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8.xml" ContentType="application/vnd.openxmlformats-officedocument.wordprocessingml.header+xml"/>
  <Override PartName="/word/footer2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4.xml" ContentType="application/vnd.openxmlformats-officedocument.wordprocessingml.header+xml"/>
  <Override PartName="/word/footer3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3.xml" ContentType="application/vnd.openxmlformats-officedocument.wordprocessingml.header+xml"/>
  <Override PartName="/word/footer4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24.xml" ContentType="application/vnd.openxmlformats-officedocument.wordprocessingml.header+xml"/>
  <Override PartName="/word/footer45.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4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47.xml" ContentType="application/vnd.openxmlformats-officedocument.wordprocessingml.footer+xml"/>
  <Override PartName="/word/header129.xml" ContentType="application/vnd.openxmlformats-officedocument.wordprocessingml.header+xml"/>
  <Override PartName="/word/footer4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4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36.xml" ContentType="application/vnd.openxmlformats-officedocument.wordprocessingml.header+xml"/>
  <Override PartName="/word/footer5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39.xml" ContentType="application/vnd.openxmlformats-officedocument.wordprocessingml.header+xml"/>
  <Override PartName="/word/footer55.xml" ContentType="application/vnd.openxmlformats-officedocument.wordprocessingml.footer+xml"/>
  <Override PartName="/word/header140.xml" ContentType="application/vnd.openxmlformats-officedocument.wordprocessingml.header+xml"/>
  <Override PartName="/word/footer5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8.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6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EB395A" w:rsidRPr="00B04DC3" w:rsidTr="00600D06">
        <w:trPr>
          <w:cantSplit/>
          <w:trHeight w:hRule="exact" w:val="857"/>
        </w:trPr>
        <w:tc>
          <w:tcPr>
            <w:tcW w:w="9639" w:type="dxa"/>
            <w:gridSpan w:val="3"/>
            <w:vAlign w:val="bottom"/>
          </w:tcPr>
          <w:p w:rsidR="00EB395A" w:rsidRPr="00B04DC3" w:rsidRDefault="00EB395A" w:rsidP="00EB1BCE">
            <w:pPr>
              <w:jc w:val="right"/>
            </w:pPr>
            <w:r w:rsidRPr="00B04DC3">
              <w:rPr>
                <w:sz w:val="40"/>
              </w:rPr>
              <w:t>E</w:t>
            </w:r>
            <w:r w:rsidRPr="00B04DC3">
              <w:t>/ECE/324/Rev.1/Add.48/Rev.</w:t>
            </w:r>
            <w:r w:rsidR="00D247DE" w:rsidRPr="00B04DC3">
              <w:t>7</w:t>
            </w:r>
            <w:r w:rsidRPr="00B04DC3">
              <w:t>−</w:t>
            </w:r>
            <w:r w:rsidRPr="00B04DC3">
              <w:rPr>
                <w:sz w:val="40"/>
              </w:rPr>
              <w:t>E</w:t>
            </w:r>
            <w:r w:rsidRPr="00B04DC3">
              <w:t>/ECE/TRANS/505/Rev.1/Add.48/Rev.</w:t>
            </w:r>
            <w:r w:rsidR="00D247DE" w:rsidRPr="00B04DC3">
              <w:t>7</w:t>
            </w:r>
          </w:p>
        </w:tc>
      </w:tr>
      <w:tr w:rsidR="003C3936" w:rsidRPr="00B04DC3" w:rsidTr="00860891">
        <w:trPr>
          <w:cantSplit/>
          <w:trHeight w:hRule="exact" w:val="2414"/>
        </w:trPr>
        <w:tc>
          <w:tcPr>
            <w:tcW w:w="1276" w:type="dxa"/>
            <w:tcBorders>
              <w:bottom w:val="single" w:sz="12" w:space="0" w:color="auto"/>
            </w:tcBorders>
          </w:tcPr>
          <w:p w:rsidR="003C3936" w:rsidRPr="00B04DC3" w:rsidRDefault="003C3936" w:rsidP="003C3936">
            <w:pPr>
              <w:spacing w:before="120"/>
            </w:pPr>
          </w:p>
        </w:tc>
        <w:tc>
          <w:tcPr>
            <w:tcW w:w="5528" w:type="dxa"/>
            <w:tcBorders>
              <w:bottom w:val="single" w:sz="12" w:space="0" w:color="auto"/>
            </w:tcBorders>
          </w:tcPr>
          <w:p w:rsidR="003C3936" w:rsidRPr="00B04DC3" w:rsidRDefault="003C3936" w:rsidP="003C3936">
            <w:pPr>
              <w:spacing w:before="120"/>
            </w:pPr>
          </w:p>
        </w:tc>
        <w:tc>
          <w:tcPr>
            <w:tcW w:w="2835" w:type="dxa"/>
            <w:tcBorders>
              <w:bottom w:val="single" w:sz="12" w:space="0" w:color="auto"/>
            </w:tcBorders>
          </w:tcPr>
          <w:p w:rsidR="00EB395A" w:rsidRPr="00B04DC3" w:rsidRDefault="00EB395A" w:rsidP="00EB395A">
            <w:pPr>
              <w:spacing w:line="240" w:lineRule="exact"/>
            </w:pPr>
          </w:p>
          <w:p w:rsidR="00EB395A" w:rsidRPr="00B04DC3" w:rsidRDefault="00EB395A" w:rsidP="00EB395A">
            <w:pPr>
              <w:spacing w:line="240" w:lineRule="exact"/>
            </w:pPr>
          </w:p>
          <w:p w:rsidR="00EB395A" w:rsidRPr="00B04DC3" w:rsidRDefault="00EB395A" w:rsidP="00EB395A">
            <w:pPr>
              <w:spacing w:line="240" w:lineRule="exact"/>
            </w:pPr>
          </w:p>
          <w:p w:rsidR="003C3936" w:rsidRDefault="003C3936" w:rsidP="002E6737">
            <w:pPr>
              <w:spacing w:line="240" w:lineRule="exact"/>
            </w:pPr>
          </w:p>
          <w:p w:rsidR="002E6737" w:rsidRPr="00B04DC3" w:rsidRDefault="000B175E" w:rsidP="000B175E">
            <w:pPr>
              <w:spacing w:line="240" w:lineRule="exact"/>
            </w:pPr>
            <w:r>
              <w:t>8</w:t>
            </w:r>
            <w:r w:rsidR="00BC41E8">
              <w:t xml:space="preserve"> July 2015</w:t>
            </w:r>
          </w:p>
        </w:tc>
      </w:tr>
    </w:tbl>
    <w:p w:rsidR="00093492" w:rsidRPr="00B04DC3" w:rsidRDefault="00A07AF2" w:rsidP="00600D06">
      <w:pPr>
        <w:pStyle w:val="HChG"/>
        <w:spacing w:before="240" w:after="120"/>
      </w:pPr>
      <w:r w:rsidRPr="00B04DC3">
        <w:tab/>
      </w:r>
      <w:r w:rsidRPr="00B04DC3">
        <w:tab/>
      </w:r>
      <w:r w:rsidR="00093492" w:rsidRPr="00B04DC3">
        <w:t>Agreement</w:t>
      </w:r>
    </w:p>
    <w:p w:rsidR="00093492" w:rsidRPr="00600D06" w:rsidRDefault="00093492" w:rsidP="00600D06">
      <w:pPr>
        <w:pStyle w:val="H1G"/>
      </w:pPr>
      <w:r w:rsidRPr="00600D06">
        <w:tab/>
      </w:r>
      <w:r w:rsidRPr="00600D06">
        <w:tab/>
        <w:t xml:space="preserve">Concerning the </w:t>
      </w:r>
      <w:r w:rsidR="00A5362E" w:rsidRPr="00600D06">
        <w:t>A</w:t>
      </w:r>
      <w:r w:rsidRPr="00600D06">
        <w:t xml:space="preserve">doption of </w:t>
      </w:r>
      <w:r w:rsidR="00A5362E" w:rsidRPr="00600D06">
        <w:t>U</w:t>
      </w:r>
      <w:r w:rsidRPr="00600D06">
        <w:t xml:space="preserve">niform </w:t>
      </w:r>
      <w:r w:rsidR="00A5362E" w:rsidRPr="00600D06">
        <w:t>T</w:t>
      </w:r>
      <w:r w:rsidRPr="00600D06">
        <w:t xml:space="preserve">echnical </w:t>
      </w:r>
      <w:r w:rsidR="00A5362E" w:rsidRPr="00600D06">
        <w:t>P</w:t>
      </w:r>
      <w:r w:rsidRPr="00600D06">
        <w:t xml:space="preserve">rescriptions for </w:t>
      </w:r>
      <w:r w:rsidR="00A5362E" w:rsidRPr="00600D06">
        <w:t>W</w:t>
      </w:r>
      <w:r w:rsidRPr="00600D06">
        <w:t xml:space="preserve">heeled </w:t>
      </w:r>
      <w:r w:rsidR="00A5362E" w:rsidRPr="00600D06">
        <w:t>V</w:t>
      </w:r>
      <w:r w:rsidRPr="00600D06">
        <w:t xml:space="preserve">ehicles, </w:t>
      </w:r>
      <w:r w:rsidR="00A5362E" w:rsidRPr="00600D06">
        <w:t>E</w:t>
      </w:r>
      <w:r w:rsidRPr="00600D06">
        <w:t xml:space="preserve">quipment and </w:t>
      </w:r>
      <w:r w:rsidR="00A5362E" w:rsidRPr="00600D06">
        <w:t>P</w:t>
      </w:r>
      <w:r w:rsidRPr="00600D06">
        <w:t xml:space="preserve">arts which can be </w:t>
      </w:r>
      <w:r w:rsidR="00A5362E" w:rsidRPr="00600D06">
        <w:t>F</w:t>
      </w:r>
      <w:r w:rsidRPr="00600D06">
        <w:t xml:space="preserve">itted and/or be </w:t>
      </w:r>
      <w:r w:rsidR="00A5362E" w:rsidRPr="00600D06">
        <w:t>U</w:t>
      </w:r>
      <w:r w:rsidRPr="00600D06">
        <w:t xml:space="preserve">sed on </w:t>
      </w:r>
      <w:r w:rsidR="00A5362E" w:rsidRPr="00600D06">
        <w:t>W</w:t>
      </w:r>
      <w:r w:rsidRPr="00600D06">
        <w:t xml:space="preserve">heeled </w:t>
      </w:r>
      <w:r w:rsidR="00A5362E" w:rsidRPr="00600D06">
        <w:t>V</w:t>
      </w:r>
      <w:r w:rsidRPr="00600D06">
        <w:t xml:space="preserve">ehicles and the </w:t>
      </w:r>
      <w:r w:rsidR="00A5362E" w:rsidRPr="00600D06">
        <w:t>C</w:t>
      </w:r>
      <w:r w:rsidRPr="00600D06">
        <w:t xml:space="preserve">onditions for </w:t>
      </w:r>
      <w:r w:rsidR="00A5362E" w:rsidRPr="00600D06">
        <w:t>R</w:t>
      </w:r>
      <w:r w:rsidRPr="00600D06">
        <w:t xml:space="preserve">eciprocal </w:t>
      </w:r>
      <w:r w:rsidR="00A5362E" w:rsidRPr="00600D06">
        <w:t>R</w:t>
      </w:r>
      <w:r w:rsidRPr="00600D06">
        <w:t xml:space="preserve">ecognition of </w:t>
      </w:r>
      <w:r w:rsidR="00A5362E" w:rsidRPr="00600D06">
        <w:t>A</w:t>
      </w:r>
      <w:r w:rsidRPr="00600D06">
        <w:t xml:space="preserve">pprovals </w:t>
      </w:r>
      <w:r w:rsidR="00A5362E" w:rsidRPr="00600D06">
        <w:t>G</w:t>
      </w:r>
      <w:r w:rsidRPr="00600D06">
        <w:t xml:space="preserve">ranted on the </w:t>
      </w:r>
      <w:r w:rsidR="00A5362E" w:rsidRPr="00600D06">
        <w:t>B</w:t>
      </w:r>
      <w:r w:rsidRPr="00600D06">
        <w:t xml:space="preserve">asis of these </w:t>
      </w:r>
      <w:r w:rsidR="00A5362E" w:rsidRPr="00600D06">
        <w:t>P</w:t>
      </w:r>
      <w:r w:rsidRPr="00600D06">
        <w:t>rescriptions</w:t>
      </w:r>
      <w:r w:rsidR="000D0653" w:rsidRPr="00600D06">
        <w:rPr>
          <w:rStyle w:val="FootnoteReference"/>
          <w:sz w:val="24"/>
        </w:rPr>
        <w:footnoteReference w:id="2"/>
      </w:r>
    </w:p>
    <w:p w:rsidR="00093492" w:rsidRPr="00B04DC3" w:rsidRDefault="00093492" w:rsidP="00093492">
      <w:pPr>
        <w:jc w:val="center"/>
      </w:pPr>
      <w:r w:rsidRPr="00B04DC3">
        <w:t>(Revision 2, including the amendments which entered into force on 16 October 1995)</w:t>
      </w:r>
    </w:p>
    <w:p w:rsidR="00093492" w:rsidRPr="00B04DC3" w:rsidRDefault="00093492" w:rsidP="00093492">
      <w:pPr>
        <w:jc w:val="center"/>
      </w:pPr>
      <w:r w:rsidRPr="00B04DC3">
        <w:t>_________</w:t>
      </w:r>
    </w:p>
    <w:p w:rsidR="00093492" w:rsidRPr="00B04DC3" w:rsidRDefault="006C677A" w:rsidP="00ED2E62">
      <w:pPr>
        <w:pStyle w:val="HChG"/>
        <w:spacing w:before="160" w:after="120"/>
      </w:pPr>
      <w:r w:rsidRPr="00B04DC3">
        <w:tab/>
      </w:r>
      <w:r w:rsidRPr="00B04DC3">
        <w:tab/>
      </w:r>
      <w:bookmarkStart w:id="0" w:name="_Toc399939858"/>
      <w:bookmarkStart w:id="1" w:name="_Toc423599441"/>
      <w:bookmarkStart w:id="2" w:name="_Toc423610849"/>
      <w:r w:rsidRPr="00B04DC3">
        <w:t>Adde</w:t>
      </w:r>
      <w:r w:rsidR="00093492" w:rsidRPr="00B04DC3">
        <w:t>ndum 48: Regulation No. 49</w:t>
      </w:r>
      <w:bookmarkEnd w:id="0"/>
      <w:bookmarkEnd w:id="1"/>
      <w:bookmarkEnd w:id="2"/>
    </w:p>
    <w:p w:rsidR="00093492" w:rsidRPr="00B04DC3" w:rsidRDefault="006C677A" w:rsidP="00860891">
      <w:pPr>
        <w:pStyle w:val="H1G"/>
        <w:spacing w:before="120" w:after="160" w:line="300" w:lineRule="exact"/>
      </w:pPr>
      <w:r w:rsidRPr="00B04DC3">
        <w:tab/>
      </w:r>
      <w:r w:rsidRPr="00B04DC3">
        <w:tab/>
      </w:r>
      <w:r w:rsidR="00093492" w:rsidRPr="00B04DC3">
        <w:t xml:space="preserve">Revision </w:t>
      </w:r>
      <w:r w:rsidR="00D247DE" w:rsidRPr="00B04DC3">
        <w:t>7</w:t>
      </w:r>
    </w:p>
    <w:p w:rsidR="00093492" w:rsidRPr="00860891" w:rsidRDefault="00093492" w:rsidP="00860891">
      <w:pPr>
        <w:pStyle w:val="SingleTxtG"/>
        <w:spacing w:after="0" w:line="180" w:lineRule="atLeast"/>
        <w:rPr>
          <w:sz w:val="16"/>
          <w:szCs w:val="16"/>
        </w:rPr>
      </w:pPr>
      <w:r w:rsidRPr="00860891">
        <w:rPr>
          <w:sz w:val="16"/>
          <w:szCs w:val="16"/>
        </w:rPr>
        <w:t>Incorporating all valid text up to:</w:t>
      </w:r>
    </w:p>
    <w:p w:rsidR="00093492" w:rsidRPr="00860891" w:rsidRDefault="00093492" w:rsidP="00860891">
      <w:pPr>
        <w:pStyle w:val="SingleTxtG"/>
        <w:spacing w:after="0" w:line="180" w:lineRule="atLeast"/>
        <w:rPr>
          <w:sz w:val="16"/>
          <w:szCs w:val="16"/>
        </w:rPr>
      </w:pPr>
      <w:r w:rsidRPr="00860891">
        <w:rPr>
          <w:sz w:val="16"/>
          <w:szCs w:val="16"/>
        </w:rPr>
        <w:t>The 05 series of amendmen</w:t>
      </w:r>
      <w:r w:rsidR="00E36D1E" w:rsidRPr="00860891">
        <w:rPr>
          <w:sz w:val="16"/>
          <w:szCs w:val="16"/>
        </w:rPr>
        <w:t xml:space="preserve">ts – Date of entry into force: </w:t>
      </w:r>
      <w:r w:rsidRPr="00860891">
        <w:rPr>
          <w:sz w:val="16"/>
          <w:szCs w:val="16"/>
        </w:rPr>
        <w:t>3 February 2008</w:t>
      </w:r>
    </w:p>
    <w:p w:rsidR="006C677A" w:rsidRPr="00860891" w:rsidRDefault="006C677A" w:rsidP="00860891">
      <w:pPr>
        <w:pStyle w:val="SingleTxtG"/>
        <w:spacing w:after="0" w:line="180" w:lineRule="atLeast"/>
        <w:rPr>
          <w:sz w:val="16"/>
          <w:szCs w:val="16"/>
        </w:rPr>
      </w:pPr>
      <w:r w:rsidRPr="00860891">
        <w:rPr>
          <w:sz w:val="16"/>
          <w:szCs w:val="16"/>
        </w:rPr>
        <w:t xml:space="preserve">Erratum to </w:t>
      </w:r>
      <w:r w:rsidR="00E36D1E" w:rsidRPr="00860891">
        <w:rPr>
          <w:sz w:val="16"/>
          <w:szCs w:val="16"/>
        </w:rPr>
        <w:t>revision</w:t>
      </w:r>
      <w:r w:rsidRPr="00860891">
        <w:rPr>
          <w:sz w:val="16"/>
          <w:szCs w:val="16"/>
        </w:rPr>
        <w:t xml:space="preserve"> 4 (</w:t>
      </w:r>
      <w:r w:rsidR="00E36D1E" w:rsidRPr="00860891">
        <w:rPr>
          <w:sz w:val="16"/>
          <w:szCs w:val="16"/>
        </w:rPr>
        <w:t>English and French only</w:t>
      </w:r>
      <w:r w:rsidRPr="00860891">
        <w:rPr>
          <w:sz w:val="16"/>
          <w:szCs w:val="16"/>
        </w:rPr>
        <w:t>)</w:t>
      </w:r>
    </w:p>
    <w:p w:rsidR="006C677A" w:rsidRPr="00860891" w:rsidRDefault="00E36D1E" w:rsidP="00860891">
      <w:pPr>
        <w:pStyle w:val="SingleTxtG"/>
        <w:spacing w:after="0" w:line="180" w:lineRule="atLeast"/>
        <w:rPr>
          <w:sz w:val="16"/>
          <w:szCs w:val="16"/>
        </w:rPr>
      </w:pPr>
      <w:r w:rsidRPr="00860891">
        <w:rPr>
          <w:sz w:val="16"/>
          <w:szCs w:val="16"/>
        </w:rPr>
        <w:t xml:space="preserve">Supplement 1 to the 05 series of amendments – Date of entry into force: </w:t>
      </w:r>
      <w:r w:rsidR="006C677A" w:rsidRPr="00860891">
        <w:rPr>
          <w:sz w:val="16"/>
          <w:szCs w:val="16"/>
        </w:rPr>
        <w:t>1</w:t>
      </w:r>
      <w:r w:rsidR="001309C3" w:rsidRPr="00860891">
        <w:rPr>
          <w:sz w:val="16"/>
          <w:szCs w:val="16"/>
        </w:rPr>
        <w:t>7</w:t>
      </w:r>
      <w:r w:rsidR="006C677A" w:rsidRPr="00860891">
        <w:rPr>
          <w:sz w:val="16"/>
          <w:szCs w:val="16"/>
        </w:rPr>
        <w:t xml:space="preserve"> </w:t>
      </w:r>
      <w:r w:rsidRPr="00860891">
        <w:rPr>
          <w:sz w:val="16"/>
          <w:szCs w:val="16"/>
        </w:rPr>
        <w:t>March</w:t>
      </w:r>
      <w:r w:rsidR="006C677A" w:rsidRPr="00860891">
        <w:rPr>
          <w:sz w:val="16"/>
          <w:szCs w:val="16"/>
        </w:rPr>
        <w:t xml:space="preserve"> 2010</w:t>
      </w:r>
    </w:p>
    <w:p w:rsidR="00B11153" w:rsidRPr="00860891" w:rsidRDefault="00E36D1E" w:rsidP="00860891">
      <w:pPr>
        <w:pStyle w:val="SingleTxtG"/>
        <w:spacing w:after="0" w:line="180" w:lineRule="atLeast"/>
        <w:rPr>
          <w:spacing w:val="-2"/>
          <w:sz w:val="16"/>
          <w:szCs w:val="16"/>
        </w:rPr>
      </w:pPr>
      <w:r w:rsidRPr="00860891">
        <w:rPr>
          <w:sz w:val="16"/>
          <w:szCs w:val="16"/>
        </w:rPr>
        <w:t xml:space="preserve">Supplement 2 to the 05 series of amendments – Date of entry into force: </w:t>
      </w:r>
      <w:r w:rsidR="00B11153" w:rsidRPr="00860891">
        <w:rPr>
          <w:spacing w:val="-2"/>
          <w:sz w:val="16"/>
          <w:szCs w:val="16"/>
        </w:rPr>
        <w:t xml:space="preserve">19 </w:t>
      </w:r>
      <w:r w:rsidRPr="00860891">
        <w:rPr>
          <w:spacing w:val="-2"/>
          <w:sz w:val="16"/>
          <w:szCs w:val="16"/>
        </w:rPr>
        <w:t>August</w:t>
      </w:r>
      <w:r w:rsidR="00B11153" w:rsidRPr="00860891">
        <w:rPr>
          <w:spacing w:val="-2"/>
          <w:sz w:val="16"/>
          <w:szCs w:val="16"/>
        </w:rPr>
        <w:t xml:space="preserve"> 2010</w:t>
      </w:r>
    </w:p>
    <w:p w:rsidR="006C677A" w:rsidRPr="00860891" w:rsidRDefault="00E36D1E" w:rsidP="00860891">
      <w:pPr>
        <w:pStyle w:val="SingleTxtG"/>
        <w:spacing w:after="0" w:line="180" w:lineRule="atLeast"/>
        <w:rPr>
          <w:spacing w:val="-2"/>
          <w:sz w:val="16"/>
          <w:szCs w:val="16"/>
        </w:rPr>
      </w:pPr>
      <w:r w:rsidRPr="00860891">
        <w:rPr>
          <w:sz w:val="16"/>
          <w:szCs w:val="16"/>
        </w:rPr>
        <w:t xml:space="preserve">Corrigendum to Supplement 2 to the 05 series of amendments – Date of entry into force: </w:t>
      </w:r>
      <w:r w:rsidR="001309C3" w:rsidRPr="00860891">
        <w:rPr>
          <w:spacing w:val="-2"/>
          <w:sz w:val="16"/>
          <w:szCs w:val="16"/>
        </w:rPr>
        <w:t>19 August</w:t>
      </w:r>
      <w:r w:rsidR="006C677A" w:rsidRPr="00860891">
        <w:rPr>
          <w:spacing w:val="-2"/>
          <w:sz w:val="16"/>
          <w:szCs w:val="16"/>
        </w:rPr>
        <w:t xml:space="preserve"> 2010</w:t>
      </w:r>
    </w:p>
    <w:p w:rsidR="006C677A" w:rsidRPr="00860891" w:rsidRDefault="00E36D1E" w:rsidP="00860891">
      <w:pPr>
        <w:pStyle w:val="SingleTxtG"/>
        <w:spacing w:after="0" w:line="180" w:lineRule="atLeast"/>
        <w:rPr>
          <w:sz w:val="16"/>
          <w:szCs w:val="16"/>
        </w:rPr>
      </w:pPr>
      <w:r w:rsidRPr="00860891">
        <w:rPr>
          <w:sz w:val="16"/>
          <w:szCs w:val="16"/>
        </w:rPr>
        <w:t xml:space="preserve">Supplement 3 to the 05 series of amendments – Date of entry into force: </w:t>
      </w:r>
      <w:r w:rsidR="006C677A" w:rsidRPr="00860891">
        <w:rPr>
          <w:sz w:val="16"/>
          <w:szCs w:val="16"/>
        </w:rPr>
        <w:t xml:space="preserve">9 </w:t>
      </w:r>
      <w:r w:rsidRPr="00860891">
        <w:rPr>
          <w:sz w:val="16"/>
          <w:szCs w:val="16"/>
        </w:rPr>
        <w:t>December</w:t>
      </w:r>
      <w:r w:rsidR="006C677A" w:rsidRPr="00860891">
        <w:rPr>
          <w:sz w:val="16"/>
          <w:szCs w:val="16"/>
        </w:rPr>
        <w:t xml:space="preserve"> 2010</w:t>
      </w:r>
    </w:p>
    <w:p w:rsidR="00D247DE" w:rsidRPr="00860891" w:rsidRDefault="00D247DE" w:rsidP="00860891">
      <w:pPr>
        <w:pStyle w:val="SingleTxtG"/>
        <w:spacing w:after="0" w:line="180" w:lineRule="atLeast"/>
        <w:rPr>
          <w:sz w:val="16"/>
          <w:szCs w:val="16"/>
        </w:rPr>
      </w:pPr>
      <w:r w:rsidRPr="00860891">
        <w:rPr>
          <w:sz w:val="16"/>
          <w:szCs w:val="16"/>
        </w:rPr>
        <w:t xml:space="preserve">Supplement 4 to the 05 series of amendments </w:t>
      </w:r>
      <w:r w:rsidR="00860891" w:rsidRPr="00860891">
        <w:rPr>
          <w:sz w:val="16"/>
          <w:szCs w:val="16"/>
        </w:rPr>
        <w:t>–</w:t>
      </w:r>
      <w:r w:rsidRPr="00860891">
        <w:rPr>
          <w:sz w:val="16"/>
          <w:szCs w:val="16"/>
        </w:rPr>
        <w:t xml:space="preserve"> Date of entry into force: 23 June 2011</w:t>
      </w:r>
    </w:p>
    <w:p w:rsidR="00C433C3" w:rsidRPr="00860891" w:rsidRDefault="00394348" w:rsidP="00860891">
      <w:pPr>
        <w:pStyle w:val="SingleTxtG"/>
        <w:spacing w:after="0" w:line="180" w:lineRule="atLeast"/>
        <w:rPr>
          <w:sz w:val="16"/>
          <w:szCs w:val="16"/>
        </w:rPr>
      </w:pPr>
      <w:r w:rsidRPr="00860891">
        <w:rPr>
          <w:sz w:val="16"/>
          <w:szCs w:val="16"/>
        </w:rPr>
        <w:t xml:space="preserve">Supplement 5 to the 05 series of amendments </w:t>
      </w:r>
      <w:r w:rsidR="00860891" w:rsidRPr="00860891">
        <w:rPr>
          <w:sz w:val="16"/>
          <w:szCs w:val="16"/>
        </w:rPr>
        <w:t>–</w:t>
      </w:r>
      <w:r w:rsidRPr="00860891">
        <w:rPr>
          <w:sz w:val="16"/>
          <w:szCs w:val="16"/>
        </w:rPr>
        <w:t xml:space="preserve"> Date of entry into force: 26 July 2012</w:t>
      </w:r>
    </w:p>
    <w:p w:rsidR="00C433C3" w:rsidRPr="00860891" w:rsidRDefault="00C433C3" w:rsidP="00860891">
      <w:pPr>
        <w:pStyle w:val="SingleTxtG"/>
        <w:spacing w:after="0" w:line="180" w:lineRule="atLeast"/>
        <w:rPr>
          <w:sz w:val="16"/>
          <w:szCs w:val="16"/>
        </w:rPr>
      </w:pPr>
      <w:r w:rsidRPr="00860891">
        <w:rPr>
          <w:sz w:val="16"/>
          <w:szCs w:val="16"/>
        </w:rPr>
        <w:t xml:space="preserve">Corrigendum 1 to Revision 5 of the Regulation </w:t>
      </w:r>
      <w:r w:rsidR="00860891" w:rsidRPr="00860891">
        <w:rPr>
          <w:sz w:val="16"/>
          <w:szCs w:val="16"/>
        </w:rPr>
        <w:t>–</w:t>
      </w:r>
      <w:r w:rsidRPr="00860891">
        <w:rPr>
          <w:sz w:val="16"/>
          <w:szCs w:val="16"/>
        </w:rPr>
        <w:t xml:space="preserve"> Date of entry into force: 14 March 2012</w:t>
      </w:r>
    </w:p>
    <w:p w:rsidR="00F10D27" w:rsidRPr="00860891" w:rsidRDefault="00F10D27" w:rsidP="00860891">
      <w:pPr>
        <w:pStyle w:val="SingleTxtG"/>
        <w:spacing w:after="0" w:line="180" w:lineRule="atLeast"/>
        <w:rPr>
          <w:sz w:val="16"/>
          <w:szCs w:val="16"/>
        </w:rPr>
      </w:pPr>
      <w:r w:rsidRPr="00860891">
        <w:rPr>
          <w:sz w:val="16"/>
          <w:szCs w:val="16"/>
        </w:rPr>
        <w:t>Supplement 6 to the 05 series of amendments – Date of entry into force: 10 June 2014</w:t>
      </w:r>
    </w:p>
    <w:p w:rsidR="00476113" w:rsidRPr="00860891" w:rsidRDefault="00476113" w:rsidP="00860891">
      <w:pPr>
        <w:pStyle w:val="SingleTxtG"/>
        <w:spacing w:after="0" w:line="180" w:lineRule="atLeast"/>
        <w:rPr>
          <w:sz w:val="16"/>
          <w:szCs w:val="16"/>
        </w:rPr>
      </w:pPr>
      <w:r w:rsidRPr="00860891">
        <w:rPr>
          <w:sz w:val="16"/>
          <w:szCs w:val="16"/>
        </w:rPr>
        <w:t>Supplement 7 to the 05 series of amendments – Date of entry into force: 22 January 2015</w:t>
      </w:r>
    </w:p>
    <w:p w:rsidR="00093492" w:rsidRPr="00600D06" w:rsidRDefault="006C677A" w:rsidP="005B529C">
      <w:pPr>
        <w:pStyle w:val="H1G"/>
        <w:spacing w:before="120" w:after="120"/>
      </w:pPr>
      <w:r w:rsidRPr="00600D06">
        <w:tab/>
      </w:r>
      <w:r w:rsidRPr="00600D06">
        <w:tab/>
        <w:t>Uniform provisions concerning the measures to be taken against the emission of gaseous and particulate pollutants from compression-ignition engines for use in vehicles, and the emission of gaseous pollutants from positive-ignition engines fuelled with natural gas or liquefied petroleum gas for use in vehicles</w:t>
      </w:r>
      <w:r w:rsidR="003E43D2" w:rsidRPr="00600D06">
        <w:t xml:space="preserve"> </w:t>
      </w:r>
    </w:p>
    <w:p w:rsidR="0046452C" w:rsidRPr="00600D06" w:rsidRDefault="005703B5" w:rsidP="00600D06">
      <w:pPr>
        <w:pStyle w:val="SingleTxtG"/>
        <w:spacing w:after="0" w:line="220" w:lineRule="exact"/>
        <w:rPr>
          <w:rStyle w:val="SingleTxtGChar"/>
          <w:spacing w:val="-4"/>
          <w:sz w:val="20"/>
        </w:rPr>
      </w:pPr>
      <w:r w:rsidRPr="00600D06">
        <w:rPr>
          <w:rStyle w:val="SingleTxtGChar"/>
          <w:spacing w:val="-4"/>
          <w:sz w:val="20"/>
        </w:rPr>
        <w:t xml:space="preserve">This document is meant purely as documentation tool. The authentic and legal binding texts </w:t>
      </w:r>
      <w:r w:rsidR="00E01ED6" w:rsidRPr="00600D06">
        <w:rPr>
          <w:rStyle w:val="SingleTxtGChar"/>
          <w:spacing w:val="-4"/>
          <w:sz w:val="20"/>
        </w:rPr>
        <w:t xml:space="preserve">of the supplements </w:t>
      </w:r>
      <w:r w:rsidRPr="00600D06">
        <w:rPr>
          <w:rStyle w:val="SingleTxtGChar"/>
          <w:spacing w:val="-4"/>
          <w:sz w:val="20"/>
        </w:rPr>
        <w:t>are</w:t>
      </w:r>
      <w:r w:rsidR="00600D06" w:rsidRPr="00600D06">
        <w:rPr>
          <w:rStyle w:val="SingleTxtGChar"/>
          <w:spacing w:val="-4"/>
          <w:sz w:val="20"/>
        </w:rPr>
        <w:t xml:space="preserve"> listed on the following page.</w:t>
      </w:r>
      <w:r w:rsidRPr="00600D06">
        <w:rPr>
          <w:rStyle w:val="SingleTxtGChar"/>
          <w:spacing w:val="-4"/>
          <w:sz w:val="20"/>
        </w:rPr>
        <w:t xml:space="preserve"> </w:t>
      </w:r>
    </w:p>
    <w:p w:rsidR="00093492" w:rsidRPr="00B04DC3" w:rsidRDefault="00093492" w:rsidP="00860891">
      <w:pPr>
        <w:spacing w:line="80" w:lineRule="atLeast"/>
        <w:jc w:val="center"/>
      </w:pPr>
      <w:r w:rsidRPr="00B04DC3">
        <w:t>_________</w:t>
      </w:r>
    </w:p>
    <w:p w:rsidR="00093492" w:rsidRPr="00B04DC3" w:rsidRDefault="00A905B7" w:rsidP="00860891">
      <w:pPr>
        <w:spacing w:line="180" w:lineRule="atLeast"/>
        <w:jc w:val="center"/>
        <w:rPr>
          <w:b/>
          <w:bCs/>
          <w:sz w:val="22"/>
        </w:rPr>
      </w:pPr>
      <w:r>
        <w:rPr>
          <w:b/>
          <w:bCs/>
          <w:noProof/>
          <w:sz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564" type="#_x0000_t75" style="position:absolute;left:0;text-align:left;margin-left:212.05pt;margin-top:.65pt;width:66.55pt;height:55.8pt;z-index:251659264;mso-wrap-distance-bottom:10.8pt" fillcolor="window">
            <v:imagedata r:id="rId9" o:title="" cropleft="-4983f" cropright="-4983f"/>
            <w10:wrap type="topAndBottom"/>
          </v:shape>
        </w:pict>
      </w:r>
      <w:r w:rsidR="00093492" w:rsidRPr="00B04DC3">
        <w:rPr>
          <w:b/>
          <w:bCs/>
          <w:sz w:val="22"/>
        </w:rPr>
        <w:t>UNITED NATIONS</w:t>
      </w:r>
    </w:p>
    <w:p w:rsidR="00600D06" w:rsidRDefault="00093492" w:rsidP="00600D06">
      <w:pPr>
        <w:pStyle w:val="SingleTxtG"/>
        <w:spacing w:after="0" w:line="220" w:lineRule="exact"/>
        <w:ind w:right="0"/>
        <w:rPr>
          <w:rStyle w:val="SingleTxtGChar"/>
          <w:spacing w:val="-4"/>
        </w:rPr>
      </w:pPr>
      <w:r w:rsidRPr="00B04DC3">
        <w:rPr>
          <w:b/>
        </w:rPr>
        <w:br w:type="page"/>
      </w:r>
      <w:r w:rsidR="00600D06" w:rsidRPr="00AB598A">
        <w:rPr>
          <w:rStyle w:val="SingleTxtGChar"/>
          <w:spacing w:val="-4"/>
          <w:sz w:val="20"/>
        </w:rPr>
        <w:lastRenderedPageBreak/>
        <w:t xml:space="preserve">The authentic and legal binding texts of the supplements are: </w:t>
      </w:r>
    </w:p>
    <w:p w:rsidR="00600D06" w:rsidRDefault="00600D06" w:rsidP="00600D06">
      <w:pPr>
        <w:pStyle w:val="SingleTxtG"/>
        <w:spacing w:after="0" w:line="220" w:lineRule="exact"/>
        <w:ind w:left="1701" w:right="0" w:hanging="567"/>
        <w:rPr>
          <w:rStyle w:val="SingleTxtGChar"/>
          <w:spacing w:val="-4"/>
        </w:rPr>
      </w:pPr>
    </w:p>
    <w:p w:rsidR="00600D06" w:rsidRPr="005C370C" w:rsidRDefault="004305AA" w:rsidP="004305AA">
      <w:pPr>
        <w:pStyle w:val="SingleTxtG"/>
        <w:spacing w:after="40" w:line="240" w:lineRule="exact"/>
        <w:ind w:left="1701" w:right="289" w:hanging="567"/>
        <w:jc w:val="left"/>
        <w:rPr>
          <w:rStyle w:val="SingleTxtGChar"/>
          <w:sz w:val="20"/>
        </w:rPr>
      </w:pPr>
      <w:r>
        <w:rPr>
          <w:rStyle w:val="SingleTxtGChar"/>
          <w:sz w:val="20"/>
        </w:rPr>
        <w:t>-</w:t>
      </w:r>
      <w:r>
        <w:rPr>
          <w:rStyle w:val="SingleTxtGChar"/>
          <w:sz w:val="20"/>
        </w:rPr>
        <w:tab/>
        <w:t xml:space="preserve">ECE/TRANS/WP.29/2007/26, </w:t>
      </w:r>
      <w:r w:rsidR="00600D06" w:rsidRPr="005C370C">
        <w:rPr>
          <w:rStyle w:val="SingleTxtGChar"/>
          <w:sz w:val="20"/>
        </w:rPr>
        <w:t xml:space="preserve">ECE/TRANS/WP.29/2007/26/Corr.1 and </w:t>
      </w:r>
      <w:r w:rsidR="00600D06" w:rsidRPr="005C370C">
        <w:rPr>
          <w:rStyle w:val="SingleTxtGChar"/>
          <w:sz w:val="20"/>
        </w:rPr>
        <w:br/>
        <w:t>ECE/TRANS/WP.29/2007/26/Amend.1</w:t>
      </w:r>
    </w:p>
    <w:p w:rsidR="00600D06" w:rsidRPr="005C370C" w:rsidRDefault="00600D06" w:rsidP="004305AA">
      <w:pPr>
        <w:pStyle w:val="SingleTxtG"/>
        <w:spacing w:after="40" w:line="240" w:lineRule="exact"/>
        <w:ind w:left="1701" w:right="289" w:hanging="567"/>
        <w:jc w:val="left"/>
        <w:rPr>
          <w:rStyle w:val="SingleTxtGChar"/>
          <w:sz w:val="20"/>
        </w:rPr>
      </w:pPr>
      <w:r w:rsidRPr="005C370C">
        <w:rPr>
          <w:rStyle w:val="SingleTxtGChar"/>
          <w:sz w:val="20"/>
        </w:rPr>
        <w:t xml:space="preserve">- </w:t>
      </w:r>
      <w:r w:rsidRPr="005C370C">
        <w:rPr>
          <w:rStyle w:val="SingleTxtGChar"/>
          <w:sz w:val="20"/>
        </w:rPr>
        <w:tab/>
        <w:t>ECE/TRANS/WP.29/2009/55 (as amended by para</w:t>
      </w:r>
      <w:r w:rsidR="004305AA">
        <w:rPr>
          <w:rStyle w:val="SingleTxtGChar"/>
          <w:sz w:val="20"/>
        </w:rPr>
        <w:t xml:space="preserve">graph </w:t>
      </w:r>
      <w:r w:rsidRPr="005C370C">
        <w:rPr>
          <w:rStyle w:val="SingleTxtGChar"/>
          <w:sz w:val="20"/>
        </w:rPr>
        <w:t>58 of ECE/TRANS/WP.29/1077)</w:t>
      </w:r>
    </w:p>
    <w:p w:rsidR="00600D06" w:rsidRPr="005C370C" w:rsidRDefault="00600D06" w:rsidP="004305AA">
      <w:pPr>
        <w:pStyle w:val="SingleTxtG"/>
        <w:spacing w:after="40" w:line="240" w:lineRule="exact"/>
        <w:ind w:left="1701" w:hanging="567"/>
        <w:jc w:val="left"/>
        <w:rPr>
          <w:rStyle w:val="SingleTxtGChar"/>
          <w:sz w:val="20"/>
        </w:rPr>
      </w:pPr>
      <w:r w:rsidRPr="005C370C">
        <w:rPr>
          <w:rStyle w:val="SingleTxtGChar"/>
          <w:sz w:val="20"/>
        </w:rPr>
        <w:t>-</w:t>
      </w:r>
      <w:r w:rsidRPr="005C370C">
        <w:rPr>
          <w:rStyle w:val="SingleTxtGChar"/>
          <w:sz w:val="20"/>
        </w:rPr>
        <w:tab/>
        <w:t xml:space="preserve">ECE/TRANS/WP.29/2009/114 and ECE/TRANS/WP.29/2009/115 </w:t>
      </w:r>
      <w:r w:rsidRPr="005C370C">
        <w:rPr>
          <w:rStyle w:val="SingleTxtGChar"/>
          <w:sz w:val="20"/>
        </w:rPr>
        <w:br/>
        <w:t>(as amended by para</w:t>
      </w:r>
      <w:r w:rsidR="004305AA">
        <w:rPr>
          <w:rStyle w:val="SingleTxtGChar"/>
          <w:sz w:val="20"/>
        </w:rPr>
        <w:t xml:space="preserve">graph </w:t>
      </w:r>
      <w:r w:rsidRPr="005C370C">
        <w:rPr>
          <w:rStyle w:val="SingleTxtGChar"/>
          <w:sz w:val="20"/>
        </w:rPr>
        <w:t>56 of ECE/TRANS/WP.29/1079)</w:t>
      </w:r>
    </w:p>
    <w:p w:rsidR="00600D06" w:rsidRPr="005C370C" w:rsidRDefault="00600D06" w:rsidP="004305AA">
      <w:pPr>
        <w:pStyle w:val="SingleTxtG"/>
        <w:tabs>
          <w:tab w:val="left" w:pos="438"/>
          <w:tab w:val="left" w:pos="1782"/>
        </w:tabs>
        <w:spacing w:after="40" w:line="240" w:lineRule="exact"/>
        <w:ind w:left="1701" w:right="0" w:hanging="567"/>
        <w:jc w:val="left"/>
        <w:rPr>
          <w:rStyle w:val="SingleTxtGChar"/>
          <w:sz w:val="20"/>
        </w:rPr>
      </w:pPr>
      <w:r w:rsidRPr="005C370C">
        <w:rPr>
          <w:rStyle w:val="SingleTxtGChar"/>
          <w:sz w:val="20"/>
        </w:rPr>
        <w:t>-</w:t>
      </w:r>
      <w:r w:rsidRPr="005C370C">
        <w:rPr>
          <w:rStyle w:val="SingleTxtGChar"/>
          <w:sz w:val="20"/>
        </w:rPr>
        <w:tab/>
        <w:t>ECE/TRANS/WP.29/2010/51</w:t>
      </w:r>
    </w:p>
    <w:p w:rsidR="00600D06" w:rsidRPr="005C370C" w:rsidRDefault="00600D06" w:rsidP="004305AA">
      <w:pPr>
        <w:pStyle w:val="SingleTxtG"/>
        <w:tabs>
          <w:tab w:val="left" w:pos="438"/>
          <w:tab w:val="left" w:pos="1782"/>
        </w:tabs>
        <w:spacing w:after="40" w:line="240" w:lineRule="exact"/>
        <w:ind w:left="1701" w:right="0" w:hanging="567"/>
        <w:jc w:val="left"/>
        <w:rPr>
          <w:rStyle w:val="SingleTxtGChar"/>
          <w:sz w:val="20"/>
        </w:rPr>
      </w:pPr>
      <w:r w:rsidRPr="005C370C">
        <w:rPr>
          <w:rStyle w:val="SingleTxtGChar"/>
          <w:sz w:val="20"/>
        </w:rPr>
        <w:t>-</w:t>
      </w:r>
      <w:r w:rsidRPr="005C370C">
        <w:rPr>
          <w:rStyle w:val="SingleTxtGChar"/>
          <w:sz w:val="20"/>
        </w:rPr>
        <w:tab/>
        <w:t>ECE/TRANS/WP.29/2010/128</w:t>
      </w:r>
    </w:p>
    <w:p w:rsidR="00600D06" w:rsidRPr="005C370C" w:rsidRDefault="00600D06" w:rsidP="004305AA">
      <w:pPr>
        <w:pStyle w:val="SingleTxtG"/>
        <w:tabs>
          <w:tab w:val="left" w:pos="438"/>
          <w:tab w:val="left" w:pos="1782"/>
        </w:tabs>
        <w:spacing w:after="40" w:line="240" w:lineRule="exact"/>
        <w:ind w:left="1701" w:right="0" w:hanging="567"/>
        <w:jc w:val="left"/>
        <w:rPr>
          <w:rStyle w:val="SingleTxtGChar"/>
          <w:sz w:val="20"/>
        </w:rPr>
      </w:pPr>
      <w:r w:rsidRPr="005C370C">
        <w:rPr>
          <w:rStyle w:val="SingleTxtGChar"/>
          <w:sz w:val="20"/>
        </w:rPr>
        <w:t>-</w:t>
      </w:r>
      <w:r w:rsidRPr="005C370C">
        <w:rPr>
          <w:rStyle w:val="SingleTxtGChar"/>
          <w:sz w:val="20"/>
        </w:rPr>
        <w:tab/>
        <w:t>ECE/TRANS/WP.29/2011/124</w:t>
      </w:r>
    </w:p>
    <w:p w:rsidR="00600D06" w:rsidRPr="005C370C" w:rsidRDefault="00600D06" w:rsidP="004305AA">
      <w:pPr>
        <w:pStyle w:val="SingleTxtG"/>
        <w:tabs>
          <w:tab w:val="left" w:pos="438"/>
          <w:tab w:val="left" w:pos="1782"/>
        </w:tabs>
        <w:spacing w:after="40" w:line="240" w:lineRule="exact"/>
        <w:ind w:left="1701" w:right="0" w:hanging="567"/>
        <w:jc w:val="left"/>
        <w:rPr>
          <w:rStyle w:val="SingleTxtGChar"/>
          <w:sz w:val="20"/>
        </w:rPr>
      </w:pPr>
      <w:r w:rsidRPr="005C370C">
        <w:rPr>
          <w:rStyle w:val="SingleTxtGChar"/>
          <w:sz w:val="20"/>
        </w:rPr>
        <w:t>-</w:t>
      </w:r>
      <w:r w:rsidRPr="005C370C">
        <w:rPr>
          <w:rStyle w:val="SingleTxtGChar"/>
          <w:sz w:val="20"/>
        </w:rPr>
        <w:tab/>
        <w:t>ECE/TRANS/WP.29/2012/39</w:t>
      </w:r>
    </w:p>
    <w:p w:rsidR="00600D06" w:rsidRPr="005C370C" w:rsidRDefault="00600D06" w:rsidP="004305AA">
      <w:pPr>
        <w:pStyle w:val="SingleTxtG"/>
        <w:tabs>
          <w:tab w:val="left" w:pos="438"/>
          <w:tab w:val="left" w:pos="1782"/>
        </w:tabs>
        <w:spacing w:after="40" w:line="240" w:lineRule="exact"/>
        <w:ind w:left="1701" w:right="0" w:hanging="567"/>
        <w:jc w:val="left"/>
        <w:rPr>
          <w:rStyle w:val="SingleTxtGChar"/>
          <w:sz w:val="20"/>
        </w:rPr>
      </w:pPr>
      <w:r w:rsidRPr="005C370C">
        <w:rPr>
          <w:rStyle w:val="SingleTxtGChar"/>
          <w:sz w:val="20"/>
        </w:rPr>
        <w:t>-</w:t>
      </w:r>
      <w:r w:rsidRPr="005C370C">
        <w:rPr>
          <w:rStyle w:val="SingleTxtGChar"/>
          <w:sz w:val="20"/>
        </w:rPr>
        <w:tab/>
        <w:t>ECE/TRANS/WP.29/2013/111</w:t>
      </w:r>
    </w:p>
    <w:p w:rsidR="00600D06" w:rsidRPr="005C370C" w:rsidRDefault="00600D06" w:rsidP="005C370C">
      <w:pPr>
        <w:pStyle w:val="SingleTxtG"/>
        <w:spacing w:after="0" w:line="240" w:lineRule="exact"/>
        <w:ind w:left="1701" w:hanging="567"/>
        <w:jc w:val="left"/>
        <w:rPr>
          <w:b/>
        </w:rPr>
      </w:pPr>
      <w:r w:rsidRPr="005C370C">
        <w:rPr>
          <w:rStyle w:val="SingleTxtGChar"/>
          <w:sz w:val="20"/>
        </w:rPr>
        <w:t>-</w:t>
      </w:r>
      <w:r w:rsidRPr="005C370C">
        <w:rPr>
          <w:rStyle w:val="SingleTxtGChar"/>
          <w:sz w:val="20"/>
        </w:rPr>
        <w:tab/>
        <w:t>ECE/TRANS/WP.29/2014/39</w:t>
      </w:r>
    </w:p>
    <w:p w:rsidR="00C71659" w:rsidRDefault="00C71659" w:rsidP="009E6C8D">
      <w:pPr>
        <w:pStyle w:val="SingleTxtG"/>
        <w:spacing w:after="0"/>
        <w:rPr>
          <w:b/>
        </w:rPr>
      </w:pPr>
    </w:p>
    <w:p w:rsidR="005B529C" w:rsidRDefault="005B529C" w:rsidP="009E6C8D">
      <w:pPr>
        <w:pStyle w:val="SingleTxtG"/>
        <w:spacing w:after="0"/>
        <w:rPr>
          <w:b/>
        </w:rPr>
      </w:pPr>
    </w:p>
    <w:p w:rsidR="005B529C" w:rsidRDefault="005B529C" w:rsidP="009E6C8D">
      <w:pPr>
        <w:pStyle w:val="SingleTxtG"/>
        <w:spacing w:after="0"/>
        <w:rPr>
          <w:b/>
        </w:rPr>
      </w:pPr>
    </w:p>
    <w:p w:rsidR="00600D06" w:rsidRDefault="00600D06" w:rsidP="009E6C8D">
      <w:pPr>
        <w:pStyle w:val="SingleTxtG"/>
        <w:spacing w:after="0"/>
        <w:rPr>
          <w:b/>
        </w:rPr>
      </w:pPr>
    </w:p>
    <w:p w:rsidR="00600D06" w:rsidRDefault="00600D06" w:rsidP="009E6C8D">
      <w:pPr>
        <w:pStyle w:val="SingleTxtG"/>
        <w:spacing w:after="0"/>
        <w:rPr>
          <w:b/>
        </w:rPr>
      </w:pPr>
    </w:p>
    <w:p w:rsidR="004305AA" w:rsidRDefault="009E6C8D" w:rsidP="009E6C8D">
      <w:pPr>
        <w:pStyle w:val="SingleTxtG"/>
        <w:spacing w:after="0"/>
        <w:rPr>
          <w:i/>
          <w:spacing w:val="-2"/>
          <w:lang w:val="fr-CH" w:eastAsia="en-GB"/>
        </w:rPr>
      </w:pPr>
      <w:r w:rsidRPr="009E6C8D">
        <w:rPr>
          <w:i/>
          <w:spacing w:val="-2"/>
          <w:lang w:val="fr-CH" w:eastAsia="en-GB"/>
        </w:rPr>
        <w:t xml:space="preserve">Note by the secretariat: </w:t>
      </w:r>
    </w:p>
    <w:p w:rsidR="004305AA" w:rsidRDefault="004305AA" w:rsidP="009E6C8D">
      <w:pPr>
        <w:pStyle w:val="SingleTxtG"/>
        <w:spacing w:after="0"/>
        <w:rPr>
          <w:i/>
          <w:spacing w:val="-2"/>
          <w:lang w:val="fr-CH" w:eastAsia="en-GB"/>
        </w:rPr>
      </w:pPr>
    </w:p>
    <w:p w:rsidR="009E6C8D" w:rsidRPr="009E6C8D" w:rsidRDefault="009E6C8D" w:rsidP="009E6C8D">
      <w:pPr>
        <w:pStyle w:val="SingleTxtG"/>
        <w:spacing w:after="0"/>
        <w:rPr>
          <w:spacing w:val="-2"/>
          <w:lang w:val="fr-CH" w:eastAsia="en-GB"/>
        </w:rPr>
      </w:pPr>
      <w:r w:rsidRPr="009E6C8D">
        <w:rPr>
          <w:spacing w:val="-2"/>
          <w:lang w:val="fr-CH" w:eastAsia="en-GB"/>
        </w:rPr>
        <w:t>W</w:t>
      </w:r>
      <w:r w:rsidR="00986923" w:rsidRPr="009E6C8D">
        <w:rPr>
          <w:spacing w:val="-2"/>
          <w:lang w:val="fr-CH" w:eastAsia="en-GB"/>
        </w:rPr>
        <w:t xml:space="preserve">hen revising this document, the secretariat identified several open issues that are currently under discussion by the responsible group GRPE. See </w:t>
      </w:r>
      <w:r w:rsidR="00600D06">
        <w:rPr>
          <w:spacing w:val="-2"/>
          <w:lang w:val="fr-CH" w:eastAsia="en-GB"/>
        </w:rPr>
        <w:t xml:space="preserve">document </w:t>
      </w:r>
      <w:r w:rsidR="00986923" w:rsidRPr="009E6C8D">
        <w:rPr>
          <w:spacing w:val="-2"/>
          <w:lang w:val="fr-CH" w:eastAsia="en-GB"/>
        </w:rPr>
        <w:t xml:space="preserve">GRPE-71-07 </w:t>
      </w:r>
    </w:p>
    <w:p w:rsidR="00986923" w:rsidRPr="009E6C8D" w:rsidRDefault="009E6C8D" w:rsidP="00986923">
      <w:pPr>
        <w:pStyle w:val="SingleTxtG"/>
        <w:rPr>
          <w:spacing w:val="-2"/>
          <w:lang w:val="fr" w:eastAsia="en-GB"/>
        </w:rPr>
      </w:pPr>
      <w:r w:rsidRPr="009E6C8D">
        <w:rPr>
          <w:spacing w:val="-2"/>
          <w:lang w:val="fr-CH" w:eastAsia="en-GB"/>
        </w:rPr>
        <w:t>(</w:t>
      </w:r>
      <w:hyperlink r:id="rId10" w:history="1">
        <w:r w:rsidRPr="009E6C8D">
          <w:rPr>
            <w:rStyle w:val="Hyperlink"/>
            <w:spacing w:val="-2"/>
            <w:lang w:val="fr-CH" w:eastAsia="en-GB"/>
          </w:rPr>
          <w:t>http://www.unece.org/trans/main/wp29/wp29wgs/wp29grpe/grpeinf71.html</w:t>
        </w:r>
      </w:hyperlink>
      <w:r w:rsidRPr="009E6C8D">
        <w:rPr>
          <w:spacing w:val="-2"/>
          <w:lang w:val="fr-CH" w:eastAsia="en-GB"/>
        </w:rPr>
        <w:t>)</w:t>
      </w:r>
    </w:p>
    <w:p w:rsidR="00E130AB" w:rsidRPr="00B04DC3" w:rsidRDefault="00E130AB" w:rsidP="00093492"/>
    <w:p w:rsidR="00EB395A" w:rsidRPr="00B04DC3" w:rsidRDefault="00EB395A" w:rsidP="001D26DF">
      <w:pPr>
        <w:sectPr w:rsidR="00EB395A" w:rsidRPr="00B04DC3" w:rsidSect="00600D06">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pgSz w:w="11907" w:h="16840" w:code="9"/>
          <w:pgMar w:top="1618" w:right="1134" w:bottom="1560" w:left="1134" w:header="964" w:footer="1863" w:gutter="0"/>
          <w:cols w:space="720"/>
          <w:titlePg/>
          <w:docGrid w:linePitch="272"/>
        </w:sectPr>
      </w:pPr>
    </w:p>
    <w:p w:rsidR="00C0100D" w:rsidRPr="00B04DC3" w:rsidRDefault="00C0100D" w:rsidP="002A4563">
      <w:pPr>
        <w:pStyle w:val="HChG"/>
      </w:pPr>
      <w:bookmarkStart w:id="3" w:name="_Toc399939859"/>
      <w:bookmarkStart w:id="4" w:name="_Toc423599442"/>
      <w:bookmarkStart w:id="5" w:name="_Toc423610850"/>
      <w:r w:rsidRPr="00B04DC3">
        <w:lastRenderedPageBreak/>
        <w:t>Regulation No. 49</w:t>
      </w:r>
      <w:bookmarkEnd w:id="3"/>
      <w:bookmarkEnd w:id="4"/>
      <w:bookmarkEnd w:id="5"/>
    </w:p>
    <w:p w:rsidR="00C0100D" w:rsidRPr="00B04DC3" w:rsidRDefault="002A4563" w:rsidP="002A4563">
      <w:pPr>
        <w:pStyle w:val="HChG"/>
        <w:rPr>
          <w:caps/>
        </w:rPr>
      </w:pPr>
      <w:r w:rsidRPr="00B04DC3">
        <w:rPr>
          <w:snapToGrid w:val="0"/>
        </w:rPr>
        <w:tab/>
      </w:r>
      <w:r w:rsidRPr="00B04DC3">
        <w:rPr>
          <w:snapToGrid w:val="0"/>
        </w:rPr>
        <w:tab/>
      </w:r>
      <w:bookmarkStart w:id="6" w:name="_Toc399939860"/>
      <w:bookmarkStart w:id="7" w:name="_Toc423599443"/>
      <w:bookmarkStart w:id="8" w:name="_Toc423610851"/>
      <w:r w:rsidRPr="00B04DC3">
        <w:rPr>
          <w:snapToGrid w:val="0"/>
        </w:rPr>
        <w:t>Unif</w:t>
      </w:r>
      <w:r w:rsidRPr="00B04DC3">
        <w:t>orm provisions concerning the measures to be taken against the emission of gaseous and particulate pollutants from compression-ignition engines for use in vehicles, and the emission of gaseous pollutants from positive-ignition engines fuelled with natural gas or liquefied petroleum gas for use in vehicles</w:t>
      </w:r>
      <w:bookmarkEnd w:id="6"/>
      <w:bookmarkEnd w:id="7"/>
      <w:bookmarkEnd w:id="8"/>
    </w:p>
    <w:p w:rsidR="002539CC" w:rsidRDefault="002539CC" w:rsidP="002539CC">
      <w:pPr>
        <w:spacing w:after="120"/>
        <w:rPr>
          <w:sz w:val="28"/>
        </w:rPr>
      </w:pPr>
      <w:r>
        <w:rPr>
          <w:sz w:val="28"/>
        </w:rPr>
        <w:t>Contents</w:t>
      </w:r>
    </w:p>
    <w:p w:rsidR="002539CC" w:rsidRDefault="002539CC" w:rsidP="002539CC">
      <w:pPr>
        <w:tabs>
          <w:tab w:val="right" w:pos="9638"/>
        </w:tabs>
        <w:spacing w:after="120"/>
        <w:ind w:left="283"/>
        <w:rPr>
          <w:sz w:val="18"/>
        </w:rPr>
      </w:pPr>
      <w:r>
        <w:rPr>
          <w:i/>
          <w:sz w:val="18"/>
        </w:rPr>
        <w:tab/>
        <w:t>Page</w:t>
      </w:r>
    </w:p>
    <w:p w:rsidR="002539CC" w:rsidRDefault="002539CC" w:rsidP="002539CC">
      <w:pPr>
        <w:tabs>
          <w:tab w:val="right" w:pos="850"/>
          <w:tab w:val="left" w:pos="1134"/>
          <w:tab w:val="left" w:pos="1559"/>
          <w:tab w:val="left" w:pos="1984"/>
          <w:tab w:val="left" w:leader="dot" w:pos="8929"/>
          <w:tab w:val="right" w:pos="9638"/>
        </w:tabs>
        <w:spacing w:after="120"/>
      </w:pPr>
      <w:r>
        <w:t>Regulation</w:t>
      </w:r>
    </w:p>
    <w:p w:rsidR="002539CC" w:rsidRDefault="008D7ECA" w:rsidP="008D7ECA">
      <w:pPr>
        <w:tabs>
          <w:tab w:val="right" w:pos="850"/>
          <w:tab w:val="left" w:pos="1134"/>
          <w:tab w:val="left" w:pos="1559"/>
          <w:tab w:val="left" w:pos="1701"/>
          <w:tab w:val="left" w:leader="dot" w:pos="8929"/>
          <w:tab w:val="right" w:pos="9638"/>
        </w:tabs>
        <w:spacing w:after="120"/>
        <w:ind w:left="1701" w:hanging="1134"/>
      </w:pPr>
      <w:r>
        <w:tab/>
        <w:t>1.</w:t>
      </w:r>
      <w:r>
        <w:tab/>
        <w:t>Scope</w:t>
      </w:r>
      <w:r>
        <w:tab/>
      </w:r>
      <w:r w:rsidR="002539CC">
        <w:tab/>
      </w:r>
      <w:r w:rsidR="002539CC">
        <w:tab/>
      </w:r>
      <w:r w:rsidR="004305AA">
        <w:t>6</w:t>
      </w:r>
    </w:p>
    <w:p w:rsidR="002539CC" w:rsidRDefault="002539CC" w:rsidP="008D7ECA">
      <w:pPr>
        <w:tabs>
          <w:tab w:val="right" w:pos="850"/>
          <w:tab w:val="left" w:pos="1134"/>
          <w:tab w:val="left" w:pos="1559"/>
          <w:tab w:val="left" w:pos="1701"/>
          <w:tab w:val="left" w:pos="1985"/>
          <w:tab w:val="left" w:leader="dot" w:pos="8929"/>
          <w:tab w:val="right" w:pos="9638"/>
        </w:tabs>
        <w:spacing w:after="120"/>
        <w:ind w:left="1701" w:hanging="1134"/>
      </w:pPr>
      <w:r>
        <w:tab/>
        <w:t>2.</w:t>
      </w:r>
      <w:r>
        <w:tab/>
        <w:t>Definitions</w:t>
      </w:r>
      <w:r>
        <w:tab/>
      </w:r>
      <w:r w:rsidR="008D7ECA">
        <w:tab/>
      </w:r>
      <w:r w:rsidR="004305AA">
        <w:t>7</w:t>
      </w:r>
    </w:p>
    <w:p w:rsidR="002539CC" w:rsidRDefault="00D21895" w:rsidP="008D7ECA">
      <w:pPr>
        <w:tabs>
          <w:tab w:val="right" w:pos="850"/>
          <w:tab w:val="left" w:pos="1134"/>
          <w:tab w:val="left" w:pos="1559"/>
          <w:tab w:val="left" w:pos="1701"/>
          <w:tab w:val="left" w:pos="2268"/>
          <w:tab w:val="left" w:leader="dot" w:pos="8929"/>
          <w:tab w:val="right" w:pos="9638"/>
        </w:tabs>
        <w:spacing w:after="120"/>
        <w:ind w:left="1701" w:hanging="1134"/>
      </w:pPr>
      <w:r>
        <w:tab/>
        <w:t>3.</w:t>
      </w:r>
      <w:r>
        <w:tab/>
        <w:t>Application for approval</w:t>
      </w:r>
      <w:r>
        <w:tab/>
      </w:r>
      <w:r>
        <w:tab/>
        <w:t>20</w:t>
      </w:r>
    </w:p>
    <w:p w:rsidR="002539CC" w:rsidRDefault="002539CC" w:rsidP="008D7ECA">
      <w:pPr>
        <w:tabs>
          <w:tab w:val="right" w:pos="850"/>
          <w:tab w:val="left" w:pos="1134"/>
          <w:tab w:val="left" w:pos="1559"/>
          <w:tab w:val="left" w:pos="1701"/>
          <w:tab w:val="left" w:pos="1843"/>
          <w:tab w:val="left" w:leader="dot" w:pos="8929"/>
          <w:tab w:val="right" w:pos="9638"/>
        </w:tabs>
        <w:spacing w:after="120"/>
        <w:ind w:left="1701" w:hanging="1134"/>
      </w:pPr>
      <w:r>
        <w:tab/>
        <w:t>4.</w:t>
      </w:r>
      <w:r>
        <w:tab/>
        <w:t>Approval</w:t>
      </w:r>
      <w:r>
        <w:tab/>
      </w:r>
      <w:r w:rsidR="008D7ECA">
        <w:tab/>
      </w:r>
      <w:r w:rsidR="00D21895">
        <w:t>22</w:t>
      </w:r>
    </w:p>
    <w:p w:rsidR="002539CC" w:rsidRDefault="00D21895" w:rsidP="00491E78">
      <w:pPr>
        <w:tabs>
          <w:tab w:val="right" w:pos="850"/>
          <w:tab w:val="left" w:pos="1134"/>
          <w:tab w:val="left" w:pos="1559"/>
          <w:tab w:val="left" w:pos="1701"/>
          <w:tab w:val="left" w:pos="2268"/>
          <w:tab w:val="left" w:leader="dot" w:pos="8929"/>
          <w:tab w:val="right" w:pos="9638"/>
        </w:tabs>
        <w:spacing w:after="120"/>
        <w:ind w:left="2268" w:hanging="1701"/>
      </w:pPr>
      <w:r>
        <w:tab/>
        <w:t>5.</w:t>
      </w:r>
      <w:r>
        <w:tab/>
        <w:t>Specifications and tests</w:t>
      </w:r>
      <w:r>
        <w:tab/>
      </w:r>
      <w:r>
        <w:tab/>
        <w:t>31</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6.</w:t>
      </w:r>
      <w:r w:rsidR="00D21895">
        <w:tab/>
        <w:t>Installation on the vehicle</w:t>
      </w:r>
      <w:r w:rsidR="00D21895">
        <w:tab/>
      </w:r>
      <w:r w:rsidR="00D21895">
        <w:tab/>
        <w:t>46</w:t>
      </w:r>
    </w:p>
    <w:p w:rsidR="002539CC" w:rsidRDefault="00D21895" w:rsidP="00491E78">
      <w:pPr>
        <w:tabs>
          <w:tab w:val="right" w:pos="850"/>
          <w:tab w:val="left" w:pos="1134"/>
          <w:tab w:val="left" w:pos="1559"/>
          <w:tab w:val="left" w:pos="1701"/>
          <w:tab w:val="left" w:pos="2268"/>
          <w:tab w:val="left" w:leader="dot" w:pos="8929"/>
          <w:tab w:val="right" w:pos="9638"/>
        </w:tabs>
        <w:spacing w:after="120"/>
        <w:ind w:left="2268" w:hanging="1701"/>
      </w:pPr>
      <w:r>
        <w:tab/>
        <w:t>7.</w:t>
      </w:r>
      <w:r>
        <w:tab/>
        <w:t>Engine family</w:t>
      </w:r>
      <w:r>
        <w:tab/>
      </w:r>
      <w:r>
        <w:tab/>
        <w:t>46</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8.</w:t>
      </w:r>
      <w:r>
        <w:tab/>
        <w:t>Con</w:t>
      </w:r>
      <w:r w:rsidR="00D21895">
        <w:t>formity of production</w:t>
      </w:r>
      <w:r w:rsidR="00D21895">
        <w:tab/>
      </w:r>
      <w:r w:rsidR="00D21895">
        <w:tab/>
        <w:t>47</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9.</w:t>
      </w:r>
      <w:r>
        <w:tab/>
        <w:t>Conformity of</w:t>
      </w:r>
      <w:r w:rsidR="00D21895">
        <w:t xml:space="preserve"> in-service vehicles/engines</w:t>
      </w:r>
      <w:r w:rsidR="00D21895">
        <w:tab/>
      </w:r>
      <w:r w:rsidR="00D21895">
        <w:tab/>
        <w:t>51</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10.</w:t>
      </w:r>
      <w:r>
        <w:tab/>
        <w:t xml:space="preserve">Penalties for </w:t>
      </w:r>
      <w:r w:rsidR="00D21895">
        <w:t>non-conformity of production</w:t>
      </w:r>
      <w:r w:rsidR="00D21895">
        <w:tab/>
      </w:r>
      <w:r w:rsidR="00D21895">
        <w:tab/>
        <w:t>51</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11.</w:t>
      </w:r>
      <w:r>
        <w:tab/>
        <w:t>Modification and extension of a</w:t>
      </w:r>
      <w:r w:rsidR="00D21895">
        <w:t>pproval of the approved type</w:t>
      </w:r>
      <w:r w:rsidR="00D21895">
        <w:tab/>
      </w:r>
      <w:r w:rsidR="00D21895">
        <w:tab/>
        <w:t>51</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12.</w:t>
      </w:r>
      <w:r>
        <w:tab/>
        <w:t>Producti</w:t>
      </w:r>
      <w:r w:rsidR="00D21895">
        <w:t>on definitively discontinued</w:t>
      </w:r>
      <w:r w:rsidR="00D21895">
        <w:tab/>
      </w:r>
      <w:r w:rsidR="00D21895">
        <w:tab/>
        <w:t>52</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13.</w:t>
      </w:r>
      <w:r>
        <w:tab/>
        <w:t>Transiti</w:t>
      </w:r>
      <w:r w:rsidR="00D21895">
        <w:t>onal provisions</w:t>
      </w:r>
      <w:r w:rsidR="00D21895">
        <w:tab/>
      </w:r>
      <w:r w:rsidR="00D21895">
        <w:tab/>
        <w:t>52</w:t>
      </w:r>
    </w:p>
    <w:p w:rsidR="002539CC" w:rsidRDefault="002539CC" w:rsidP="00491E78">
      <w:pPr>
        <w:tabs>
          <w:tab w:val="right" w:pos="850"/>
          <w:tab w:val="left" w:pos="1134"/>
          <w:tab w:val="left" w:pos="1559"/>
          <w:tab w:val="left" w:pos="1701"/>
          <w:tab w:val="left" w:pos="2410"/>
          <w:tab w:val="left" w:leader="dot" w:pos="8929"/>
          <w:tab w:val="right" w:pos="9638"/>
        </w:tabs>
        <w:spacing w:after="120"/>
        <w:ind w:left="1134" w:hanging="567"/>
      </w:pPr>
      <w:r>
        <w:tab/>
        <w:t>14.</w:t>
      </w:r>
      <w:r>
        <w:tab/>
        <w:t>Names and addresses of Technical Services responsible for conducting approval tests and</w:t>
      </w:r>
      <w:r w:rsidR="00491E78">
        <w:t xml:space="preserve"> </w:t>
      </w:r>
      <w:r w:rsidR="00491E78">
        <w:br/>
      </w:r>
      <w:r>
        <w:t>of Type Approval Authorities</w:t>
      </w:r>
      <w:r>
        <w:tab/>
      </w:r>
      <w:r>
        <w:tab/>
      </w:r>
      <w:r w:rsidR="00D21895">
        <w:t>54</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1</w:t>
      </w:r>
      <w:r>
        <w:tab/>
        <w:t xml:space="preserve">Procedure for production conformity testing when standard deviation </w:t>
      </w:r>
      <w:r w:rsidR="00491E78">
        <w:br/>
      </w:r>
      <w:r>
        <w:t>is satisfactory</w:t>
      </w:r>
      <w:r>
        <w:tab/>
      </w:r>
      <w:r>
        <w:tab/>
      </w:r>
      <w:r w:rsidR="00D21895">
        <w:t>55</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2</w:t>
      </w:r>
      <w:r>
        <w:tab/>
        <w:t xml:space="preserve">Procedure for production conformity testing when standard deviation is </w:t>
      </w:r>
      <w:r w:rsidR="00491E78">
        <w:br/>
      </w:r>
      <w:r>
        <w:t>unsatisfactory or unavailable</w:t>
      </w:r>
      <w:r>
        <w:tab/>
      </w:r>
      <w:r>
        <w:tab/>
      </w:r>
      <w:r w:rsidR="00D21895">
        <w:t>58</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3</w:t>
      </w:r>
      <w:r>
        <w:tab/>
        <w:t>Procedure for production conformity testing at manufacturer's request</w:t>
      </w:r>
      <w:r>
        <w:tab/>
      </w:r>
      <w:r>
        <w:tab/>
      </w:r>
      <w:r w:rsidR="00D21895">
        <w:t>60</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4</w:t>
      </w:r>
      <w:r>
        <w:tab/>
        <w:t>Determination of system equivalence</w:t>
      </w:r>
      <w:r>
        <w:tab/>
      </w:r>
      <w:r>
        <w:tab/>
        <w:t>6</w:t>
      </w:r>
      <w:r w:rsidR="00D21895">
        <w:t>2</w:t>
      </w:r>
    </w:p>
    <w:p w:rsidR="002539CC" w:rsidRDefault="002539CC" w:rsidP="002539CC">
      <w:pPr>
        <w:tabs>
          <w:tab w:val="left" w:pos="1134"/>
        </w:tabs>
        <w:ind w:left="1134" w:hanging="1134"/>
      </w:pPr>
      <w:r>
        <w:t>Annexes</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1</w:t>
      </w:r>
      <w:r>
        <w:tab/>
        <w:t>Information document</w:t>
      </w:r>
      <w:r>
        <w:tab/>
      </w:r>
      <w:r>
        <w:tab/>
      </w:r>
      <w:r w:rsidR="00D21895">
        <w:t>64</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1</w:t>
      </w:r>
      <w:r>
        <w:tab/>
        <w:t xml:space="preserve">Essential characteristics of the (parent) engine and information concerning </w:t>
      </w:r>
      <w:r w:rsidR="00491E78">
        <w:br/>
      </w:r>
      <w:r>
        <w:t>the conduct of test</w:t>
      </w:r>
      <w:r>
        <w:tab/>
      </w:r>
      <w:r>
        <w:tab/>
      </w:r>
      <w:r w:rsidR="00D21895">
        <w:t>65</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2</w:t>
      </w:r>
      <w:r>
        <w:tab/>
        <w:t>Essential characteristics of the engine family</w:t>
      </w:r>
      <w:r>
        <w:tab/>
      </w:r>
      <w:r>
        <w:tab/>
      </w:r>
      <w:r w:rsidR="00D21895">
        <w:t>76</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3</w:t>
      </w:r>
      <w:r>
        <w:tab/>
        <w:t>Essential characteristics of the engine type within the family</w:t>
      </w:r>
      <w:r>
        <w:tab/>
      </w:r>
      <w:r>
        <w:tab/>
      </w:r>
      <w:r w:rsidR="00D21895">
        <w:t>78</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4</w:t>
      </w:r>
      <w:r>
        <w:tab/>
        <w:t>Characteristics of the engine-related vehicle parts</w:t>
      </w:r>
      <w:r>
        <w:tab/>
      </w:r>
      <w:r>
        <w:tab/>
      </w:r>
      <w:r w:rsidR="00D21895">
        <w:t>86</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134"/>
      </w:pPr>
      <w:r>
        <w:t>Appendix 5</w:t>
      </w:r>
      <w:r>
        <w:tab/>
        <w:t>OBD-related information</w:t>
      </w:r>
      <w:r>
        <w:tab/>
      </w:r>
      <w:r>
        <w:tab/>
      </w:r>
      <w:r w:rsidR="00D21895">
        <w:t>87</w:t>
      </w:r>
    </w:p>
    <w:p w:rsidR="002539CC" w:rsidRDefault="002539CC" w:rsidP="00B000E8">
      <w:pPr>
        <w:tabs>
          <w:tab w:val="right" w:pos="850"/>
          <w:tab w:val="left" w:pos="1134"/>
          <w:tab w:val="left" w:pos="1559"/>
          <w:tab w:val="left" w:pos="1701"/>
          <w:tab w:val="left" w:pos="2835"/>
          <w:tab w:val="left" w:leader="dot" w:pos="8929"/>
          <w:tab w:val="right" w:pos="9638"/>
        </w:tabs>
        <w:spacing w:after="120"/>
        <w:ind w:left="1134" w:hanging="567"/>
      </w:pPr>
      <w:r>
        <w:tab/>
        <w:t>2A</w:t>
      </w:r>
      <w:r>
        <w:tab/>
        <w:t>Communication</w:t>
      </w:r>
      <w:r w:rsidR="00B000E8">
        <w:t xml:space="preserve"> </w:t>
      </w:r>
      <w:r w:rsidR="00B000E8" w:rsidRPr="00B000E8">
        <w:t xml:space="preserve">concerning the approval or extension or refusal or withdrawal of approval or </w:t>
      </w:r>
      <w:r w:rsidR="00B000E8">
        <w:br/>
      </w:r>
      <w:r w:rsidR="00B000E8" w:rsidRPr="00B000E8">
        <w:t>production definitively discontinued</w:t>
      </w:r>
      <w:r w:rsidR="00B000E8">
        <w:t xml:space="preserve"> </w:t>
      </w:r>
      <w:r w:rsidR="00B000E8" w:rsidRPr="00B000E8">
        <w:t xml:space="preserve">of a compression-ignition (C.I.) engine type or family </w:t>
      </w:r>
      <w:r w:rsidR="00B000E8">
        <w:br/>
      </w:r>
      <w:r w:rsidR="00B000E8" w:rsidRPr="00B000E8">
        <w:t xml:space="preserve">(Diesel or Ethanol), or a positive-ignition (P.I.) engine type or family (NG or LPG),2 as a </w:t>
      </w:r>
      <w:r w:rsidR="00B000E8">
        <w:br/>
      </w:r>
      <w:r w:rsidR="00B000E8" w:rsidRPr="00B000E8">
        <w:t xml:space="preserve">separate technical unit with regard to the emission of pollutants pursuant to </w:t>
      </w:r>
      <w:r w:rsidR="00B000E8">
        <w:br/>
      </w:r>
      <w:r w:rsidR="00B000E8" w:rsidRPr="00B000E8">
        <w:t>Regulation No. 49, 05 series of amendments</w:t>
      </w:r>
      <w:r w:rsidR="00B000E8">
        <w:t xml:space="preserve"> </w:t>
      </w:r>
      <w:r>
        <w:tab/>
      </w:r>
      <w:r>
        <w:tab/>
      </w:r>
      <w:r w:rsidR="00D21895">
        <w:t>89</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835" w:hanging="1701"/>
      </w:pPr>
      <w:r>
        <w:t>Appendix</w:t>
      </w:r>
      <w:r>
        <w:tab/>
        <w:t>OBD-related information</w:t>
      </w:r>
      <w:r>
        <w:tab/>
      </w:r>
      <w:r>
        <w:tab/>
        <w:t>9</w:t>
      </w:r>
      <w:r w:rsidR="00D21895">
        <w:t>2</w:t>
      </w:r>
    </w:p>
    <w:p w:rsidR="002539CC" w:rsidRDefault="002539CC" w:rsidP="00C859B2">
      <w:pPr>
        <w:tabs>
          <w:tab w:val="right" w:pos="850"/>
          <w:tab w:val="left" w:pos="1134"/>
          <w:tab w:val="left" w:pos="1559"/>
          <w:tab w:val="left" w:pos="1701"/>
          <w:tab w:val="left" w:pos="2835"/>
          <w:tab w:val="left" w:leader="dot" w:pos="8929"/>
          <w:tab w:val="right" w:pos="9638"/>
        </w:tabs>
        <w:spacing w:after="120"/>
        <w:ind w:left="1134" w:hanging="567"/>
      </w:pPr>
      <w:r>
        <w:tab/>
        <w:t>2B</w:t>
      </w:r>
      <w:r>
        <w:tab/>
        <w:t>Communication</w:t>
      </w:r>
      <w:r w:rsidR="00B000E8">
        <w:t xml:space="preserve"> </w:t>
      </w:r>
      <w:r w:rsidR="00B000E8" w:rsidRPr="00B000E8">
        <w:t xml:space="preserve">concerning the approval or extension or refusal or withdrawal of approval </w:t>
      </w:r>
      <w:r w:rsidR="00C859B2">
        <w:br/>
      </w:r>
      <w:r w:rsidR="00B000E8" w:rsidRPr="00B000E8">
        <w:t>or production definitively discontinued</w:t>
      </w:r>
      <w:r w:rsidR="00C859B2">
        <w:t xml:space="preserve"> </w:t>
      </w:r>
      <w:r w:rsidR="00C859B2" w:rsidRPr="00B04DC3">
        <w:t xml:space="preserve">of a vehicle type with regard to the emission of </w:t>
      </w:r>
      <w:r w:rsidR="00C859B2">
        <w:br/>
      </w:r>
      <w:r w:rsidR="00C859B2" w:rsidRPr="00B04DC3">
        <w:t>pollutants by the engine pursuant to Regulation No. 49</w:t>
      </w:r>
      <w:r>
        <w:tab/>
      </w:r>
      <w:r>
        <w:tab/>
        <w:t>9</w:t>
      </w:r>
      <w:r w:rsidR="00D21895">
        <w:t>3</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3</w:t>
      </w:r>
      <w:r>
        <w:tab/>
        <w:t>Arrangements of approval marks</w:t>
      </w:r>
      <w:r>
        <w:tab/>
      </w:r>
      <w:r>
        <w:tab/>
      </w:r>
      <w:r w:rsidR="00D21895">
        <w:t>96</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ab/>
        <w:t>4A</w:t>
      </w:r>
      <w:r>
        <w:tab/>
        <w:t>Test procedure</w:t>
      </w:r>
      <w:r>
        <w:tab/>
      </w:r>
      <w:r>
        <w:tab/>
      </w:r>
      <w:r w:rsidR="00D21895">
        <w:t>99</w:t>
      </w:r>
    </w:p>
    <w:p w:rsidR="002539CC" w:rsidRDefault="002539CC" w:rsidP="008D7ECA">
      <w:pPr>
        <w:tabs>
          <w:tab w:val="right" w:pos="850"/>
          <w:tab w:val="left" w:pos="1134"/>
          <w:tab w:val="left" w:pos="1559"/>
          <w:tab w:val="left" w:pos="1701"/>
          <w:tab w:val="left" w:pos="2268"/>
          <w:tab w:val="left" w:leader="dot" w:pos="8929"/>
          <w:tab w:val="right" w:pos="9638"/>
        </w:tabs>
        <w:spacing w:after="120"/>
        <w:ind w:left="2268" w:hanging="1134"/>
      </w:pPr>
      <w:r>
        <w:t>Appendix 1</w:t>
      </w:r>
      <w:r>
        <w:tab/>
        <w:t>ESC and ELR test cycles</w:t>
      </w:r>
      <w:r>
        <w:tab/>
      </w:r>
      <w:r>
        <w:tab/>
        <w:t>1</w:t>
      </w:r>
      <w:r w:rsidR="00D21895">
        <w:t>04</w:t>
      </w:r>
    </w:p>
    <w:p w:rsidR="002539CC" w:rsidRDefault="002539CC" w:rsidP="008D7ECA">
      <w:pPr>
        <w:tabs>
          <w:tab w:val="right" w:pos="850"/>
          <w:tab w:val="left" w:pos="1134"/>
          <w:tab w:val="left" w:pos="1559"/>
          <w:tab w:val="left" w:pos="1701"/>
          <w:tab w:val="left" w:pos="2268"/>
          <w:tab w:val="left" w:leader="dot" w:pos="8929"/>
          <w:tab w:val="right" w:pos="9638"/>
        </w:tabs>
        <w:spacing w:after="120"/>
        <w:ind w:left="2268" w:hanging="1134"/>
      </w:pPr>
      <w:r>
        <w:t>Appendix 2</w:t>
      </w:r>
      <w:r>
        <w:tab/>
        <w:t>European Transient Cycle (ETC) test cycle</w:t>
      </w:r>
      <w:r>
        <w:tab/>
      </w:r>
      <w:r>
        <w:tab/>
        <w:t>12</w:t>
      </w:r>
      <w:r w:rsidR="00D21895">
        <w:t>3</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3</w:t>
      </w:r>
      <w:r>
        <w:tab/>
        <w:t>European Transient Cycle (ETC) engine dynamometer schedule</w:t>
      </w:r>
      <w:r>
        <w:tab/>
      </w:r>
      <w:r>
        <w:tab/>
        <w:t>14</w:t>
      </w:r>
      <w:r w:rsidR="00D21895">
        <w:t>2</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4</w:t>
      </w:r>
      <w:r>
        <w:tab/>
        <w:t>Measurement and sampling procedures</w:t>
      </w:r>
      <w:r>
        <w:tab/>
      </w:r>
      <w:r>
        <w:tab/>
        <w:t>19</w:t>
      </w:r>
      <w:r w:rsidR="00D21895">
        <w:t>2</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5</w:t>
      </w:r>
      <w:r>
        <w:tab/>
        <w:t>Calibration procedure</w:t>
      </w:r>
      <w:r>
        <w:tab/>
      </w:r>
      <w:r>
        <w:tab/>
        <w:t>20</w:t>
      </w:r>
      <w:r w:rsidR="00D21895">
        <w:t>2</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6</w:t>
      </w:r>
      <w:r>
        <w:tab/>
        <w:t>Carbon flow check</w:t>
      </w:r>
      <w:r>
        <w:tab/>
      </w:r>
      <w:r>
        <w:tab/>
        <w:t>2</w:t>
      </w:r>
      <w:r w:rsidR="00D21895">
        <w:t>19</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7</w:t>
      </w:r>
      <w:r>
        <w:tab/>
        <w:t>Analytical and sampling systems</w:t>
      </w:r>
      <w:r>
        <w:tab/>
      </w:r>
      <w:r>
        <w:tab/>
        <w:t>22</w:t>
      </w:r>
      <w:r w:rsidR="00D21895">
        <w:t>2</w:t>
      </w:r>
    </w:p>
    <w:p w:rsidR="002539CC" w:rsidRDefault="002539CC" w:rsidP="008D7ECA">
      <w:pPr>
        <w:tabs>
          <w:tab w:val="right" w:pos="850"/>
          <w:tab w:val="left" w:pos="1134"/>
          <w:tab w:val="left" w:pos="1559"/>
          <w:tab w:val="left" w:pos="1701"/>
          <w:tab w:val="left" w:leader="dot" w:pos="8929"/>
          <w:tab w:val="right" w:pos="9638"/>
        </w:tabs>
        <w:spacing w:after="120"/>
        <w:ind w:left="1134" w:hanging="567"/>
      </w:pPr>
      <w:r>
        <w:t>4B</w:t>
      </w:r>
      <w:r>
        <w:tab/>
      </w:r>
      <w:r>
        <w:tab/>
        <w:t>Test procedure for Compression-Ignition (C.I.) engines and Positive-Ignition (P.I.) engines</w:t>
      </w:r>
      <w:r w:rsidR="008D7ECA">
        <w:br/>
      </w:r>
      <w:r>
        <w:t>fuelled with Natural Gas (NG) or Liquefied Petroleum Gas (LPG) incorporating the World-wide Harmonized Heavy Duty Certification (WHDC, global technical regulation (gtr) No. 4)</w:t>
      </w:r>
      <w:r>
        <w:tab/>
      </w:r>
      <w:r>
        <w:tab/>
        <w:t>2</w:t>
      </w:r>
      <w:r w:rsidR="00D21895">
        <w:t>55</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1</w:t>
      </w:r>
      <w:r>
        <w:tab/>
        <w:t>WHTC engine dynamometer schedule</w:t>
      </w:r>
      <w:r>
        <w:tab/>
      </w:r>
      <w:r>
        <w:tab/>
        <w:t>34</w:t>
      </w:r>
      <w:r w:rsidR="00D21895">
        <w:t>1</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2</w:t>
      </w:r>
      <w:r>
        <w:tab/>
        <w:t>Diesel reference fuel</w:t>
      </w:r>
      <w:r>
        <w:tab/>
      </w:r>
      <w:r>
        <w:tab/>
        <w:t>3</w:t>
      </w:r>
      <w:r w:rsidR="00D21895">
        <w:t>55</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3</w:t>
      </w:r>
      <w:r>
        <w:tab/>
        <w:t>Measurement equipment</w:t>
      </w:r>
      <w:r>
        <w:tab/>
      </w:r>
      <w:r>
        <w:tab/>
        <w:t>36</w:t>
      </w:r>
      <w:r w:rsidR="00D21895">
        <w:t>9</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4</w:t>
      </w:r>
      <w:r>
        <w:tab/>
        <w:t>Statistics</w:t>
      </w:r>
      <w:r>
        <w:tab/>
      </w:r>
      <w:r>
        <w:tab/>
        <w:t>37</w:t>
      </w:r>
      <w:r w:rsidR="00D21895">
        <w:t>2</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5</w:t>
      </w:r>
      <w:r>
        <w:tab/>
        <w:t>Carbon flow check</w:t>
      </w:r>
      <w:r>
        <w:tab/>
      </w:r>
      <w:r>
        <w:tab/>
        <w:t>37</w:t>
      </w:r>
      <w:r w:rsidR="00D21895">
        <w:t>4</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6</w:t>
      </w:r>
      <w:r>
        <w:tab/>
        <w:t>Example of calculation procedure</w:t>
      </w:r>
      <w:r>
        <w:tab/>
      </w:r>
      <w:r>
        <w:tab/>
        <w:t>3</w:t>
      </w:r>
      <w:r w:rsidR="00D21895">
        <w:t>78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7</w:t>
      </w:r>
      <w:r>
        <w:tab/>
        <w:t>Installation of auxiliaries and equipment for emissions test</w:t>
      </w:r>
      <w:r>
        <w:tab/>
      </w:r>
      <w:r>
        <w:tab/>
        <w:t>384</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4C</w:t>
      </w:r>
      <w:r>
        <w:tab/>
      </w:r>
      <w:r>
        <w:tab/>
        <w:t>ParticulateParticulate number measurement test procedure</w:t>
      </w:r>
      <w:r>
        <w:tab/>
      </w:r>
      <w:r>
        <w:tab/>
        <w:t>38</w:t>
      </w:r>
      <w:r w:rsidR="00D21895">
        <w:t>0</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1</w:t>
      </w:r>
      <w:r>
        <w:tab/>
        <w:t>Particulate number emissions measurement equipment</w:t>
      </w:r>
      <w:r>
        <w:tab/>
      </w:r>
      <w:r>
        <w:tab/>
        <w:t>3</w:t>
      </w:r>
      <w:r w:rsidR="00D21895">
        <w:t>87</w:t>
      </w:r>
    </w:p>
    <w:p w:rsidR="002539CC" w:rsidRDefault="002539CC" w:rsidP="008D7ECA">
      <w:pPr>
        <w:tabs>
          <w:tab w:val="right" w:pos="850"/>
          <w:tab w:val="left" w:pos="1134"/>
          <w:tab w:val="left" w:pos="1559"/>
          <w:tab w:val="left" w:pos="1701"/>
          <w:tab w:val="left" w:pos="2694"/>
          <w:tab w:val="left" w:leader="dot" w:pos="8929"/>
          <w:tab w:val="right" w:pos="9638"/>
        </w:tabs>
        <w:spacing w:after="120"/>
        <w:ind w:left="1134" w:hanging="567"/>
      </w:pPr>
      <w:r>
        <w:t>5</w:t>
      </w:r>
      <w:r>
        <w:tab/>
      </w:r>
      <w:r>
        <w:tab/>
        <w:t xml:space="preserve">Technical characteristics of reference fuel prescribed for approval tests and to verify the </w:t>
      </w:r>
      <w:r w:rsidR="008D7ECA">
        <w:br/>
      </w:r>
      <w:r>
        <w:t>conformity of production</w:t>
      </w:r>
      <w:r>
        <w:tab/>
      </w:r>
      <w:r>
        <w:tab/>
      </w:r>
      <w:r w:rsidR="00D21895">
        <w:t>397</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6</w:t>
      </w:r>
      <w:r>
        <w:tab/>
      </w:r>
      <w:r>
        <w:tab/>
        <w:t>Example of calculation procedure</w:t>
      </w:r>
      <w:r>
        <w:tab/>
      </w:r>
      <w:r>
        <w:tab/>
        <w:t>40</w:t>
      </w:r>
      <w:r w:rsidR="00D21895">
        <w:t>2</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7</w:t>
      </w:r>
      <w:r>
        <w:tab/>
      </w:r>
      <w:r>
        <w:tab/>
        <w:t>Procedures for conducting the test for durability of emission control systems</w:t>
      </w:r>
      <w:r>
        <w:tab/>
      </w:r>
      <w:r>
        <w:tab/>
        <w:t>4</w:t>
      </w:r>
      <w:r w:rsidR="00D21895">
        <w:t>25</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8</w:t>
      </w:r>
      <w:r>
        <w:tab/>
      </w:r>
      <w:r>
        <w:tab/>
        <w:t>Conformity of in-service vehicles/engines</w:t>
      </w:r>
      <w:r>
        <w:tab/>
      </w:r>
      <w:r>
        <w:tab/>
        <w:t>43</w:t>
      </w:r>
      <w:r w:rsidR="00D21895">
        <w:t>2</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9A</w:t>
      </w:r>
      <w:r>
        <w:tab/>
      </w:r>
      <w:r>
        <w:tab/>
        <w:t>On-Board Diagnostic systems (OBD)</w:t>
      </w:r>
      <w:r>
        <w:tab/>
      </w:r>
      <w:r>
        <w:tab/>
        <w:t>44</w:t>
      </w:r>
      <w:r w:rsidR="00D21895">
        <w:t>0</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w:t>
      </w:r>
      <w:r>
        <w:tab/>
        <w:t>On-Board Diagnostic (OBD) system approval tests</w:t>
      </w:r>
      <w:r>
        <w:tab/>
      </w:r>
      <w:r>
        <w:tab/>
        <w:t>45</w:t>
      </w:r>
      <w:r w:rsidR="00D21895">
        <w:t>3</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9B</w:t>
      </w:r>
      <w:r>
        <w:tab/>
      </w:r>
      <w:r>
        <w:tab/>
        <w:t>Technical requirements for On-Board Diagnostic systems (OBD)</w:t>
      </w:r>
      <w:r>
        <w:tab/>
      </w:r>
      <w:r>
        <w:tab/>
        <w:t>4</w:t>
      </w:r>
      <w:r w:rsidR="00D21895">
        <w:t>58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1</w:t>
      </w:r>
      <w:r>
        <w:tab/>
        <w:t>Approval of installation of OBD systems</w:t>
      </w:r>
      <w:r>
        <w:tab/>
      </w:r>
      <w:r>
        <w:tab/>
      </w:r>
      <w:r w:rsidR="00D21895">
        <w:t>497</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2</w:t>
      </w:r>
      <w:r>
        <w:tab/>
        <w:t xml:space="preserve">Malfunctions - Illustration of the DTC status - Illustration of the MI and </w:t>
      </w:r>
      <w:r w:rsidR="008D7ECA">
        <w:br/>
      </w:r>
      <w:r>
        <w:t>counters activation schemes</w:t>
      </w:r>
      <w:r>
        <w:tab/>
      </w:r>
      <w:r>
        <w:tab/>
      </w:r>
      <w:r w:rsidR="00D21895">
        <w:t>498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3</w:t>
      </w:r>
      <w:r>
        <w:tab/>
        <w:t>Monitoring requirements</w:t>
      </w:r>
      <w:r>
        <w:tab/>
      </w:r>
      <w:r>
        <w:tab/>
        <w:t>5</w:t>
      </w:r>
      <w:r w:rsidR="00D21895">
        <w:t>05</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4</w:t>
      </w:r>
      <w:r>
        <w:tab/>
        <w:t>Technical compliance report</w:t>
      </w:r>
      <w:r>
        <w:tab/>
      </w:r>
      <w:r>
        <w:tab/>
        <w:t>51</w:t>
      </w:r>
      <w:r w:rsidR="00D21895">
        <w:t>1</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5</w:t>
      </w:r>
      <w:r>
        <w:tab/>
        <w:t>Freeze frame and data stream information</w:t>
      </w:r>
      <w:r>
        <w:tab/>
      </w:r>
      <w:r>
        <w:tab/>
        <w:t>5</w:t>
      </w:r>
      <w:r w:rsidR="00D21895">
        <w:t>18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6</w:t>
      </w:r>
      <w:r>
        <w:tab/>
        <w:t>Reference standard documents</w:t>
      </w:r>
      <w:r>
        <w:tab/>
      </w:r>
      <w:r>
        <w:tab/>
        <w:t>52</w:t>
      </w:r>
      <w:r w:rsidR="00D21895">
        <w:t>1</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7</w:t>
      </w:r>
      <w:r>
        <w:tab/>
        <w:t>Documentation regarding OBD related information</w:t>
      </w:r>
      <w:r>
        <w:tab/>
      </w:r>
      <w:r>
        <w:tab/>
        <w:t>52</w:t>
      </w:r>
      <w:r w:rsidR="007F478C">
        <w:t>2</w:t>
      </w:r>
    </w:p>
    <w:p w:rsidR="002539CC" w:rsidRDefault="002539CC" w:rsidP="008D7ECA">
      <w:pPr>
        <w:tabs>
          <w:tab w:val="right" w:pos="850"/>
          <w:tab w:val="left" w:pos="1134"/>
          <w:tab w:val="left" w:pos="1559"/>
          <w:tab w:val="left" w:pos="1701"/>
          <w:tab w:val="left" w:pos="2268"/>
          <w:tab w:val="left" w:leader="dot" w:pos="8929"/>
          <w:tab w:val="right" w:pos="9638"/>
        </w:tabs>
        <w:spacing w:after="120"/>
        <w:ind w:left="1134" w:hanging="567"/>
      </w:pPr>
      <w:r>
        <w:t>9C</w:t>
      </w:r>
      <w:r>
        <w:tab/>
      </w:r>
      <w:r>
        <w:tab/>
        <w:t xml:space="preserve">Technical requirements for assessing the in-use performance of On-Board Diagnostic </w:t>
      </w:r>
      <w:r w:rsidR="008D7ECA">
        <w:br/>
      </w:r>
      <w:r>
        <w:t>systems (OBD)</w:t>
      </w:r>
      <w:r>
        <w:tab/>
      </w:r>
      <w:r>
        <w:tab/>
        <w:t>52</w:t>
      </w:r>
      <w:r w:rsidR="007F478C">
        <w:t>3</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1</w:t>
      </w:r>
      <w:r>
        <w:tab/>
        <w:t>Groups of monitors</w:t>
      </w:r>
      <w:r>
        <w:tab/>
      </w:r>
      <w:r>
        <w:tab/>
        <w:t>5</w:t>
      </w:r>
      <w:r w:rsidR="007F478C">
        <w:t>31</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10</w:t>
      </w:r>
      <w:r>
        <w:tab/>
      </w:r>
      <w:r>
        <w:tab/>
        <w:t>Technical requirements on Off-Cycle Emissions (OCE)</w:t>
      </w:r>
      <w:r>
        <w:tab/>
      </w:r>
      <w:r>
        <w:tab/>
        <w:t>53</w:t>
      </w:r>
      <w:r w:rsidR="007F478C">
        <w:t>2</w:t>
      </w:r>
    </w:p>
    <w:p w:rsidR="002539CC" w:rsidRDefault="002539CC" w:rsidP="00491E78">
      <w:pPr>
        <w:tabs>
          <w:tab w:val="right" w:pos="850"/>
          <w:tab w:val="left" w:pos="1134"/>
          <w:tab w:val="left" w:pos="1559"/>
          <w:tab w:val="left" w:pos="1701"/>
          <w:tab w:val="left" w:pos="2268"/>
          <w:tab w:val="left" w:leader="dot" w:pos="8929"/>
          <w:tab w:val="right" w:pos="9638"/>
        </w:tabs>
        <w:spacing w:after="120"/>
        <w:ind w:left="2268" w:hanging="1701"/>
      </w:pPr>
      <w:r>
        <w:t>11</w:t>
      </w:r>
      <w:r>
        <w:tab/>
      </w:r>
      <w:r>
        <w:tab/>
        <w:t>Technical requirements for dual fuel engines and vehicles</w:t>
      </w:r>
      <w:r>
        <w:tab/>
      </w:r>
      <w:r>
        <w:tab/>
        <w:t>5</w:t>
      </w:r>
      <w:r w:rsidR="007F478C">
        <w:t>44</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1</w:t>
      </w:r>
      <w:r>
        <w:tab/>
        <w:t xml:space="preserve">Types of dual-fuel engines and vehicles - illustration of the definitions and </w:t>
      </w:r>
      <w:r w:rsidR="008D7ECA">
        <w:br/>
      </w:r>
      <w:r>
        <w:t>requirements</w:t>
      </w:r>
      <w:r>
        <w:tab/>
      </w:r>
      <w:r>
        <w:tab/>
        <w:t>5</w:t>
      </w:r>
      <w:r w:rsidR="007F478C">
        <w:t>58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2</w:t>
      </w:r>
      <w:r>
        <w:tab/>
        <w:t xml:space="preserve">Activation and deactivation mechanisms of the counter(s), warning system, </w:t>
      </w:r>
      <w:r w:rsidR="008D7ECA">
        <w:br/>
      </w:r>
      <w:r>
        <w:t xml:space="preserve">operability restriction, service mode in case of dual-fuel engines and </w:t>
      </w:r>
      <w:r w:rsidR="008D7ECA">
        <w:br/>
      </w:r>
      <w:r>
        <w:t>vehicles - Description and illustrations</w:t>
      </w:r>
      <w:r>
        <w:tab/>
      </w:r>
      <w:r>
        <w:tab/>
        <w:t>5</w:t>
      </w:r>
      <w:r w:rsidR="007F478C">
        <w:t>59</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3</w:t>
      </w:r>
      <w:r>
        <w:tab/>
        <w:t xml:space="preserve">Dual-fuel indicators, warning system, operability restriction - </w:t>
      </w:r>
      <w:r w:rsidR="008D7ECA">
        <w:br/>
      </w:r>
      <w:r>
        <w:t>Demonstration requirements</w:t>
      </w:r>
      <w:r>
        <w:tab/>
      </w:r>
      <w:r>
        <w:tab/>
        <w:t>5</w:t>
      </w:r>
      <w:r w:rsidR="007F478C">
        <w:t>65</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4</w:t>
      </w:r>
      <w:r>
        <w:tab/>
        <w:t>Additional emission test procedure requirements for dual-fuel engines</w:t>
      </w:r>
      <w:r>
        <w:tab/>
      </w:r>
      <w:r>
        <w:tab/>
        <w:t>5</w:t>
      </w:r>
      <w:r w:rsidR="007F478C">
        <w:t>68</w:t>
      </w:r>
    </w:p>
    <w:p w:rsidR="002539CC" w:rsidRDefault="002539CC" w:rsidP="002539CC">
      <w:pPr>
        <w:tabs>
          <w:tab w:val="right" w:pos="850"/>
          <w:tab w:val="left" w:pos="1134"/>
          <w:tab w:val="left" w:pos="1559"/>
          <w:tab w:val="left" w:pos="1701"/>
          <w:tab w:val="left" w:pos="2268"/>
          <w:tab w:val="left" w:leader="dot" w:pos="8929"/>
          <w:tab w:val="right" w:pos="9638"/>
        </w:tabs>
        <w:spacing w:after="120"/>
        <w:ind w:left="2268" w:hanging="1134"/>
      </w:pPr>
      <w:r>
        <w:t>Appendix 5</w:t>
      </w:r>
      <w:r>
        <w:tab/>
        <w:t>Determination of molar component ratios and ugas values for dual-fuel engines</w:t>
      </w:r>
      <w:r>
        <w:tab/>
      </w:r>
      <w:r>
        <w:tab/>
        <w:t>57</w:t>
      </w:r>
      <w:r w:rsidR="007F478C">
        <w:t>1</w:t>
      </w:r>
    </w:p>
    <w:p w:rsidR="00C0100D" w:rsidRDefault="00C0100D" w:rsidP="00C0100D">
      <w:pPr>
        <w:tabs>
          <w:tab w:val="left" w:pos="1134"/>
        </w:tabs>
        <w:ind w:left="1134" w:hanging="1134"/>
      </w:pPr>
    </w:p>
    <w:p w:rsidR="002539CC" w:rsidRDefault="002539CC" w:rsidP="00C0100D">
      <w:pPr>
        <w:tabs>
          <w:tab w:val="left" w:pos="1134"/>
        </w:tabs>
        <w:ind w:left="1134" w:hanging="1134"/>
      </w:pPr>
    </w:p>
    <w:p w:rsidR="002539CC" w:rsidRPr="00B04DC3" w:rsidRDefault="002539CC" w:rsidP="00C0100D">
      <w:pPr>
        <w:tabs>
          <w:tab w:val="left" w:pos="1134"/>
        </w:tabs>
        <w:ind w:left="1134" w:hanging="1134"/>
        <w:sectPr w:rsidR="002539CC" w:rsidRPr="00B04DC3" w:rsidSect="002A4563">
          <w:headerReference w:type="even" r:id="rId16"/>
          <w:headerReference w:type="default" r:id="rId17"/>
          <w:footerReference w:type="even" r:id="rId18"/>
          <w:footerReference w:type="first" r:id="rId19"/>
          <w:footnotePr>
            <w:numRestart w:val="eachSect"/>
          </w:footnotePr>
          <w:endnotePr>
            <w:numFmt w:val="decimal"/>
          </w:endnotePr>
          <w:pgSz w:w="11907" w:h="16840" w:code="9"/>
          <w:pgMar w:top="1701" w:right="1134" w:bottom="2268" w:left="1134" w:header="851" w:footer="1701" w:gutter="0"/>
          <w:cols w:space="720"/>
        </w:sectPr>
      </w:pPr>
    </w:p>
    <w:p w:rsidR="00C0100D" w:rsidRPr="00B04DC3" w:rsidRDefault="009D7CF7" w:rsidP="008165BE">
      <w:pPr>
        <w:pStyle w:val="HChG"/>
      </w:pPr>
      <w:r w:rsidRPr="00B04DC3">
        <w:tab/>
      </w:r>
      <w:r w:rsidRPr="00B04DC3">
        <w:tab/>
      </w:r>
      <w:bookmarkStart w:id="9" w:name="_Toc423599444"/>
      <w:bookmarkStart w:id="10" w:name="_Toc423610852"/>
      <w:r w:rsidR="00C0100D" w:rsidRPr="00B04DC3">
        <w:t>1.</w:t>
      </w:r>
      <w:r w:rsidR="00C0100D" w:rsidRPr="00B04DC3">
        <w:tab/>
      </w:r>
      <w:r w:rsidRPr="00B04DC3">
        <w:tab/>
        <w:t>Scope</w:t>
      </w:r>
      <w:bookmarkEnd w:id="9"/>
      <w:bookmarkEnd w:id="10"/>
    </w:p>
    <w:p w:rsidR="00476113" w:rsidRPr="00B04DC3" w:rsidRDefault="00476113" w:rsidP="00476113">
      <w:pPr>
        <w:spacing w:after="120"/>
        <w:ind w:left="2268" w:right="1134" w:hanging="1134"/>
        <w:jc w:val="both"/>
      </w:pPr>
      <w:r w:rsidRPr="00B04DC3">
        <w:t>1.1.</w:t>
      </w:r>
      <w:r w:rsidRPr="00B04DC3">
        <w:tab/>
        <w:t>This Regulation shall apply to motor vehicles of categories M</w:t>
      </w:r>
      <w:r w:rsidRPr="00B04DC3">
        <w:rPr>
          <w:vertAlign w:val="subscript"/>
        </w:rPr>
        <w:t>1</w:t>
      </w:r>
      <w:r w:rsidRPr="00B04DC3">
        <w:t>, M</w:t>
      </w:r>
      <w:r w:rsidRPr="00B04DC3">
        <w:rPr>
          <w:vertAlign w:val="subscript"/>
        </w:rPr>
        <w:t>2</w:t>
      </w:r>
      <w:r w:rsidRPr="00B04DC3">
        <w:t>, N</w:t>
      </w:r>
      <w:r w:rsidRPr="00B04DC3">
        <w:rPr>
          <w:vertAlign w:val="subscript"/>
        </w:rPr>
        <w:t>1</w:t>
      </w:r>
      <w:r w:rsidRPr="00B04DC3">
        <w:t xml:space="preserve"> and N</w:t>
      </w:r>
      <w:r w:rsidRPr="00B04DC3">
        <w:rPr>
          <w:vertAlign w:val="subscript"/>
        </w:rPr>
        <w:t>2</w:t>
      </w:r>
      <w:r w:rsidRPr="00B04DC3">
        <w:t xml:space="preserve"> with a reference mass exceeding 2,610 kg and to all motor vehicles of categories M</w:t>
      </w:r>
      <w:r w:rsidRPr="00B04DC3">
        <w:rPr>
          <w:vertAlign w:val="subscript"/>
        </w:rPr>
        <w:t>3</w:t>
      </w:r>
      <w:r w:rsidRPr="00B04DC3">
        <w:t xml:space="preserve"> and N</w:t>
      </w:r>
      <w:r w:rsidRPr="00B04DC3">
        <w:rPr>
          <w:vertAlign w:val="subscript"/>
        </w:rPr>
        <w:t>3</w:t>
      </w:r>
      <w:r w:rsidRPr="00B04DC3">
        <w:t>.</w:t>
      </w:r>
      <w:r w:rsidRPr="00B04DC3">
        <w:rPr>
          <w:sz w:val="18"/>
          <w:vertAlign w:val="superscript"/>
        </w:rPr>
        <w:footnoteReference w:id="3"/>
      </w:r>
    </w:p>
    <w:p w:rsidR="00476113" w:rsidRPr="00B04DC3" w:rsidRDefault="00476113" w:rsidP="00476113">
      <w:pPr>
        <w:spacing w:after="120"/>
        <w:ind w:left="2268" w:right="1134" w:hanging="1134"/>
        <w:jc w:val="both"/>
      </w:pPr>
      <w:r w:rsidRPr="00B04DC3">
        <w:tab/>
        <w:t>At the request of the manufacturer, the type approval of a completed vehicle given under this Regulation shall be extended to its incomplete vehicle with a reference mass below 2,610 kg. Type approvals shall be extended if the manufacturer can demonstrate that all bodywork combinations expected to be built onto the incomplete vehicle increase the reference mass of the vehicle to above 2,610 kg.</w:t>
      </w:r>
    </w:p>
    <w:p w:rsidR="00476113" w:rsidRPr="00B04DC3" w:rsidRDefault="00476113" w:rsidP="00476113">
      <w:pPr>
        <w:spacing w:after="120"/>
        <w:ind w:left="2268" w:right="1134"/>
        <w:jc w:val="both"/>
      </w:pPr>
      <w:r w:rsidRPr="00B04DC3">
        <w:tab/>
        <w:t xml:space="preserve">At the request of the manufacturer, the type approval of a vehicle granted under this Regulation shall be extended to its variants and versions with a reference mass above 2,380 kg provided that it also meets the requirements relating to the measurement of greenhouse gas emissions and fuel consumption in accordance with Appendix 1 to Annex 12 of the </w:t>
      </w:r>
      <w:r w:rsidRPr="001A4340">
        <w:t>06 series</w:t>
      </w:r>
      <w:r w:rsidRPr="00B04DC3">
        <w:t xml:space="preserve"> of amendments to this Regulation.</w:t>
      </w:r>
    </w:p>
    <w:p w:rsidR="00476113" w:rsidRPr="00B04DC3" w:rsidRDefault="00476113" w:rsidP="00476113">
      <w:pPr>
        <w:pStyle w:val="para"/>
        <w:rPr>
          <w:lang w:val="en-GB"/>
        </w:rPr>
      </w:pPr>
      <w:r w:rsidRPr="00B04DC3">
        <w:rPr>
          <w:lang w:val="en-GB"/>
        </w:rPr>
        <w:tab/>
        <w:t>The following do not need to be approved according to this Regulation: engines mounted in vehicles of up to 2,840 kg reference mass to which an approval to Regulation No. 83 has been granted as an extension.</w:t>
      </w:r>
    </w:p>
    <w:p w:rsidR="00F10D27" w:rsidRPr="00B04DC3" w:rsidRDefault="00F10D27" w:rsidP="00F10D27">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pPr>
      <w:r w:rsidRPr="00B04DC3">
        <w:t>Table A</w:t>
      </w:r>
    </w:p>
    <w:p w:rsidR="00F10D27" w:rsidRPr="00B04DC3" w:rsidRDefault="00F10D27" w:rsidP="00F10D27">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rPr>
          <w:b/>
        </w:rPr>
      </w:pPr>
      <w:r w:rsidRPr="00B04DC3">
        <w:rPr>
          <w:b/>
        </w:rPr>
        <w:t>Applicability</w:t>
      </w:r>
    </w:p>
    <w:tbl>
      <w:tblPr>
        <w:tblW w:w="856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85"/>
        <w:gridCol w:w="1282"/>
        <w:gridCol w:w="1275"/>
        <w:gridCol w:w="1276"/>
        <w:gridCol w:w="992"/>
        <w:gridCol w:w="1276"/>
        <w:gridCol w:w="1276"/>
      </w:tblGrid>
      <w:tr w:rsidR="00F10D27" w:rsidRPr="00B04DC3" w:rsidTr="00F10D27">
        <w:tc>
          <w:tcPr>
            <w:tcW w:w="1185" w:type="dxa"/>
            <w:vMerge w:val="restart"/>
            <w:vAlign w:val="center"/>
          </w:tcPr>
          <w:p w:rsidR="00F10D27" w:rsidRPr="00B04DC3" w:rsidRDefault="00F10D27" w:rsidP="00F10D27">
            <w:pPr>
              <w:widowControl w:val="0"/>
              <w:spacing w:before="80" w:after="80" w:line="200" w:lineRule="atLeast"/>
              <w:jc w:val="center"/>
              <w:rPr>
                <w:i/>
                <w:sz w:val="16"/>
                <w:szCs w:val="16"/>
              </w:rPr>
            </w:pPr>
            <w:r w:rsidRPr="00B04DC3">
              <w:rPr>
                <w:i/>
                <w:sz w:val="16"/>
                <w:szCs w:val="16"/>
              </w:rPr>
              <w:t>Vehicle category</w:t>
            </w:r>
            <w:r w:rsidRPr="00B04DC3">
              <w:rPr>
                <w:i/>
                <w:sz w:val="16"/>
                <w:szCs w:val="16"/>
                <w:vertAlign w:val="superscript"/>
              </w:rPr>
              <w:t>1</w:t>
            </w:r>
          </w:p>
        </w:tc>
        <w:tc>
          <w:tcPr>
            <w:tcW w:w="3833" w:type="dxa"/>
            <w:gridSpan w:val="3"/>
          </w:tcPr>
          <w:p w:rsidR="00F10D27" w:rsidRPr="00B04DC3" w:rsidRDefault="00F10D27" w:rsidP="00F10D27">
            <w:pPr>
              <w:widowControl w:val="0"/>
              <w:spacing w:before="80" w:after="80" w:line="200" w:lineRule="atLeast"/>
              <w:jc w:val="center"/>
              <w:rPr>
                <w:i/>
                <w:sz w:val="16"/>
                <w:szCs w:val="16"/>
              </w:rPr>
            </w:pPr>
            <w:r w:rsidRPr="00B04DC3">
              <w:rPr>
                <w:i/>
                <w:sz w:val="16"/>
                <w:szCs w:val="16"/>
              </w:rPr>
              <w:t>Positive-ignition engines</w:t>
            </w:r>
          </w:p>
        </w:tc>
        <w:tc>
          <w:tcPr>
            <w:tcW w:w="992" w:type="dxa"/>
            <w:vMerge w:val="restart"/>
          </w:tcPr>
          <w:p w:rsidR="00F10D27" w:rsidRPr="00B04DC3" w:rsidRDefault="00F10D27" w:rsidP="00F10D27">
            <w:pPr>
              <w:widowControl w:val="0"/>
              <w:spacing w:before="80" w:after="80" w:line="200" w:lineRule="atLeast"/>
              <w:jc w:val="center"/>
              <w:rPr>
                <w:i/>
                <w:sz w:val="16"/>
                <w:szCs w:val="16"/>
              </w:rPr>
            </w:pPr>
            <w:r w:rsidRPr="00B04DC3">
              <w:rPr>
                <w:i/>
                <w:sz w:val="16"/>
                <w:szCs w:val="16"/>
              </w:rPr>
              <w:t>Dual-fuel</w:t>
            </w:r>
          </w:p>
          <w:p w:rsidR="00F10D27" w:rsidRPr="00B04DC3" w:rsidRDefault="00F10D27" w:rsidP="00F10D27">
            <w:pPr>
              <w:widowControl w:val="0"/>
              <w:spacing w:before="80" w:after="80" w:line="200" w:lineRule="atLeast"/>
              <w:jc w:val="center"/>
              <w:rPr>
                <w:i/>
                <w:sz w:val="16"/>
                <w:szCs w:val="16"/>
              </w:rPr>
            </w:pPr>
            <w:r w:rsidRPr="00B04DC3">
              <w:rPr>
                <w:i/>
                <w:sz w:val="16"/>
                <w:szCs w:val="16"/>
              </w:rPr>
              <w:t>engines</w:t>
            </w:r>
          </w:p>
        </w:tc>
        <w:tc>
          <w:tcPr>
            <w:tcW w:w="2552" w:type="dxa"/>
            <w:gridSpan w:val="2"/>
          </w:tcPr>
          <w:p w:rsidR="00F10D27" w:rsidRPr="00B04DC3" w:rsidRDefault="00F10D27" w:rsidP="00F10D27">
            <w:pPr>
              <w:widowControl w:val="0"/>
              <w:spacing w:before="80" w:after="80" w:line="200" w:lineRule="atLeast"/>
              <w:jc w:val="center"/>
              <w:rPr>
                <w:i/>
                <w:sz w:val="16"/>
                <w:szCs w:val="16"/>
              </w:rPr>
            </w:pPr>
            <w:r w:rsidRPr="00B04DC3">
              <w:rPr>
                <w:i/>
                <w:sz w:val="16"/>
                <w:szCs w:val="16"/>
              </w:rPr>
              <w:t>Compression-ignition engines</w:t>
            </w:r>
          </w:p>
        </w:tc>
      </w:tr>
      <w:tr w:rsidR="00F10D27" w:rsidRPr="00B04DC3" w:rsidTr="00F10D27">
        <w:tc>
          <w:tcPr>
            <w:tcW w:w="1185" w:type="dxa"/>
            <w:vMerge/>
            <w:tcBorders>
              <w:bottom w:val="single" w:sz="12" w:space="0" w:color="auto"/>
            </w:tcBorders>
          </w:tcPr>
          <w:p w:rsidR="00F10D27" w:rsidRPr="00B04DC3" w:rsidRDefault="00F10D27" w:rsidP="00F10D27">
            <w:pPr>
              <w:widowControl w:val="0"/>
              <w:spacing w:before="80" w:after="80" w:line="200" w:lineRule="atLeast"/>
              <w:jc w:val="center"/>
              <w:rPr>
                <w:i/>
                <w:sz w:val="16"/>
                <w:szCs w:val="16"/>
              </w:rPr>
            </w:pPr>
          </w:p>
        </w:tc>
        <w:tc>
          <w:tcPr>
            <w:tcW w:w="1282" w:type="dxa"/>
            <w:tcBorders>
              <w:bottom w:val="single" w:sz="12" w:space="0" w:color="auto"/>
            </w:tcBorders>
          </w:tcPr>
          <w:p w:rsidR="00F10D27" w:rsidRPr="00B04DC3" w:rsidRDefault="00F10D27" w:rsidP="00F10D27">
            <w:pPr>
              <w:widowControl w:val="0"/>
              <w:suppressAutoHyphens w:val="0"/>
              <w:spacing w:before="80" w:after="80" w:line="200" w:lineRule="atLeast"/>
              <w:jc w:val="center"/>
              <w:rPr>
                <w:i/>
                <w:sz w:val="16"/>
                <w:szCs w:val="16"/>
              </w:rPr>
            </w:pPr>
            <w:r w:rsidRPr="00B04DC3">
              <w:rPr>
                <w:i/>
                <w:sz w:val="16"/>
                <w:szCs w:val="16"/>
              </w:rPr>
              <w:t>Petrol</w:t>
            </w:r>
          </w:p>
        </w:tc>
        <w:tc>
          <w:tcPr>
            <w:tcW w:w="1275" w:type="dxa"/>
            <w:tcBorders>
              <w:bottom w:val="single" w:sz="12" w:space="0" w:color="auto"/>
            </w:tcBorders>
          </w:tcPr>
          <w:p w:rsidR="00F10D27" w:rsidRPr="00B04DC3" w:rsidRDefault="00F10D27" w:rsidP="00F10D27">
            <w:pPr>
              <w:widowControl w:val="0"/>
              <w:spacing w:before="80" w:after="80" w:line="200" w:lineRule="atLeast"/>
              <w:jc w:val="center"/>
              <w:rPr>
                <w:i/>
                <w:sz w:val="16"/>
                <w:szCs w:val="16"/>
              </w:rPr>
            </w:pPr>
            <w:r w:rsidRPr="00B04DC3">
              <w:rPr>
                <w:i/>
                <w:sz w:val="16"/>
                <w:szCs w:val="16"/>
              </w:rPr>
              <w:t>NG</w:t>
            </w:r>
            <w:r w:rsidRPr="00B04DC3">
              <w:rPr>
                <w:i/>
                <w:sz w:val="16"/>
                <w:szCs w:val="16"/>
                <w:vertAlign w:val="superscript"/>
              </w:rPr>
              <w:t>a</w:t>
            </w:r>
          </w:p>
        </w:tc>
        <w:tc>
          <w:tcPr>
            <w:tcW w:w="1276" w:type="dxa"/>
            <w:tcBorders>
              <w:bottom w:val="single" w:sz="12" w:space="0" w:color="auto"/>
            </w:tcBorders>
          </w:tcPr>
          <w:p w:rsidR="00F10D27" w:rsidRPr="00B04DC3" w:rsidRDefault="00F10D27" w:rsidP="002E6737">
            <w:pPr>
              <w:widowControl w:val="0"/>
              <w:spacing w:before="80" w:after="80" w:line="200" w:lineRule="atLeast"/>
              <w:jc w:val="center"/>
              <w:rPr>
                <w:i/>
                <w:sz w:val="16"/>
                <w:szCs w:val="16"/>
              </w:rPr>
            </w:pPr>
            <w:r w:rsidRPr="00B04DC3">
              <w:rPr>
                <w:i/>
                <w:sz w:val="16"/>
                <w:szCs w:val="16"/>
              </w:rPr>
              <w:t>LPG</w:t>
            </w:r>
            <w:r w:rsidRPr="00B04DC3">
              <w:rPr>
                <w:i/>
                <w:sz w:val="16"/>
                <w:szCs w:val="16"/>
                <w:vertAlign w:val="superscript"/>
              </w:rPr>
              <w:t>b</w:t>
            </w:r>
          </w:p>
        </w:tc>
        <w:tc>
          <w:tcPr>
            <w:tcW w:w="992" w:type="dxa"/>
            <w:vMerge/>
            <w:tcBorders>
              <w:bottom w:val="single" w:sz="12" w:space="0" w:color="auto"/>
            </w:tcBorders>
          </w:tcPr>
          <w:p w:rsidR="00F10D27" w:rsidRPr="00B04DC3" w:rsidRDefault="00F10D27" w:rsidP="00F10D27">
            <w:pPr>
              <w:widowControl w:val="0"/>
              <w:spacing w:before="80" w:after="80" w:line="200" w:lineRule="atLeast"/>
              <w:jc w:val="center"/>
              <w:rPr>
                <w:i/>
                <w:sz w:val="16"/>
                <w:szCs w:val="16"/>
              </w:rPr>
            </w:pPr>
          </w:p>
        </w:tc>
        <w:tc>
          <w:tcPr>
            <w:tcW w:w="1276" w:type="dxa"/>
            <w:tcBorders>
              <w:bottom w:val="single" w:sz="12" w:space="0" w:color="auto"/>
            </w:tcBorders>
          </w:tcPr>
          <w:p w:rsidR="00F10D27" w:rsidRPr="00B04DC3" w:rsidRDefault="00F10D27" w:rsidP="00F10D27">
            <w:pPr>
              <w:widowControl w:val="0"/>
              <w:spacing w:before="80" w:after="80" w:line="200" w:lineRule="atLeast"/>
              <w:jc w:val="center"/>
              <w:rPr>
                <w:i/>
                <w:sz w:val="16"/>
                <w:szCs w:val="16"/>
              </w:rPr>
            </w:pPr>
            <w:r w:rsidRPr="00B04DC3">
              <w:rPr>
                <w:i/>
                <w:sz w:val="16"/>
                <w:szCs w:val="16"/>
              </w:rPr>
              <w:t>Diesel</w:t>
            </w:r>
          </w:p>
        </w:tc>
        <w:tc>
          <w:tcPr>
            <w:tcW w:w="1276" w:type="dxa"/>
            <w:tcBorders>
              <w:bottom w:val="single" w:sz="12" w:space="0" w:color="auto"/>
            </w:tcBorders>
          </w:tcPr>
          <w:p w:rsidR="00F10D27" w:rsidRPr="00B04DC3" w:rsidRDefault="00F10D27" w:rsidP="00F10D27">
            <w:pPr>
              <w:widowControl w:val="0"/>
              <w:spacing w:before="80" w:after="80" w:line="200" w:lineRule="atLeast"/>
              <w:jc w:val="center"/>
              <w:rPr>
                <w:i/>
                <w:sz w:val="16"/>
                <w:szCs w:val="16"/>
              </w:rPr>
            </w:pPr>
            <w:r w:rsidRPr="00B04DC3">
              <w:rPr>
                <w:i/>
                <w:sz w:val="16"/>
                <w:szCs w:val="16"/>
              </w:rPr>
              <w:t>Ethanol</w:t>
            </w:r>
          </w:p>
        </w:tc>
      </w:tr>
      <w:tr w:rsidR="00F10D27" w:rsidRPr="00B04DC3" w:rsidTr="00F10D27">
        <w:tc>
          <w:tcPr>
            <w:tcW w:w="1185" w:type="dxa"/>
            <w:tcBorders>
              <w:top w:val="single" w:sz="12" w:space="0" w:color="auto"/>
            </w:tcBorders>
            <w:shd w:val="clear" w:color="auto" w:fill="auto"/>
          </w:tcPr>
          <w:p w:rsidR="00F10D27" w:rsidRPr="00B04DC3" w:rsidRDefault="00F10D27" w:rsidP="00F10D27">
            <w:pPr>
              <w:widowControl w:val="0"/>
              <w:spacing w:before="40" w:after="120"/>
              <w:jc w:val="center"/>
              <w:rPr>
                <w:sz w:val="18"/>
                <w:szCs w:val="18"/>
              </w:rPr>
            </w:pPr>
            <w:r w:rsidRPr="00B04DC3">
              <w:rPr>
                <w:sz w:val="18"/>
                <w:szCs w:val="18"/>
              </w:rPr>
              <w:t>M</w:t>
            </w:r>
            <w:r w:rsidRPr="00B04DC3">
              <w:rPr>
                <w:sz w:val="18"/>
                <w:szCs w:val="18"/>
                <w:vertAlign w:val="subscript"/>
              </w:rPr>
              <w:t>1</w:t>
            </w:r>
          </w:p>
        </w:tc>
        <w:tc>
          <w:tcPr>
            <w:tcW w:w="1282" w:type="dxa"/>
            <w:tcBorders>
              <w:top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1275" w:type="dxa"/>
            <w:tcBorders>
              <w:top w:val="single" w:sz="12"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Borders>
              <w:top w:val="single" w:sz="12"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r w:rsidRPr="00B04DC3">
              <w:rPr>
                <w:rFonts w:ascii="Times New Roman Bold" w:hAnsi="Times New Roman Bold"/>
                <w:sz w:val="18"/>
                <w:szCs w:val="18"/>
                <w:vertAlign w:val="superscript"/>
              </w:rPr>
              <w:t xml:space="preserve"> </w:t>
            </w:r>
          </w:p>
        </w:tc>
        <w:tc>
          <w:tcPr>
            <w:tcW w:w="992" w:type="dxa"/>
            <w:vMerge w:val="restart"/>
            <w:tcBorders>
              <w:top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r w:rsidRPr="00B04DC3">
              <w:rPr>
                <w:sz w:val="18"/>
                <w:szCs w:val="18"/>
                <w:vertAlign w:val="superscript"/>
              </w:rPr>
              <w:t>d</w:t>
            </w:r>
          </w:p>
        </w:tc>
        <w:tc>
          <w:tcPr>
            <w:tcW w:w="1276" w:type="dxa"/>
            <w:tcBorders>
              <w:top w:val="single" w:sz="12"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Borders>
              <w:top w:val="single" w:sz="12"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r>
      <w:tr w:rsidR="00F10D27" w:rsidRPr="00B04DC3" w:rsidTr="00F10D27">
        <w:tc>
          <w:tcPr>
            <w:tcW w:w="1185" w:type="dxa"/>
            <w:vAlign w:val="center"/>
          </w:tcPr>
          <w:p w:rsidR="00F10D27" w:rsidRPr="00B04DC3" w:rsidRDefault="00F10D27" w:rsidP="00F10D27">
            <w:pPr>
              <w:widowControl w:val="0"/>
              <w:spacing w:before="40" w:after="120"/>
              <w:jc w:val="center"/>
              <w:rPr>
                <w:sz w:val="18"/>
                <w:szCs w:val="18"/>
              </w:rPr>
            </w:pPr>
            <w:r w:rsidRPr="00B04DC3">
              <w:rPr>
                <w:sz w:val="18"/>
                <w:szCs w:val="18"/>
              </w:rPr>
              <w:t>M</w:t>
            </w:r>
            <w:r w:rsidRPr="00B04DC3">
              <w:rPr>
                <w:sz w:val="18"/>
                <w:szCs w:val="18"/>
                <w:vertAlign w:val="subscript"/>
              </w:rPr>
              <w:t>2</w:t>
            </w:r>
          </w:p>
        </w:tc>
        <w:tc>
          <w:tcPr>
            <w:tcW w:w="1282" w:type="dxa"/>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1275"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992" w:type="dxa"/>
            <w:vMerge/>
          </w:tcPr>
          <w:p w:rsidR="00F10D27" w:rsidRPr="00B04DC3" w:rsidRDefault="00F10D27" w:rsidP="00F10D27">
            <w:pPr>
              <w:widowControl w:val="0"/>
              <w:spacing w:before="40" w:after="120"/>
              <w:jc w:val="center"/>
              <w:rPr>
                <w:sz w:val="18"/>
                <w:szCs w:val="18"/>
              </w:rPr>
            </w:pPr>
          </w:p>
        </w:tc>
        <w:tc>
          <w:tcPr>
            <w:tcW w:w="1276"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r>
      <w:tr w:rsidR="00F10D27" w:rsidRPr="00B04DC3" w:rsidTr="00F10D27">
        <w:tc>
          <w:tcPr>
            <w:tcW w:w="1185" w:type="dxa"/>
          </w:tcPr>
          <w:p w:rsidR="00F10D27" w:rsidRPr="00B04DC3" w:rsidRDefault="00F10D27" w:rsidP="00F10D27">
            <w:pPr>
              <w:widowControl w:val="0"/>
              <w:spacing w:before="40" w:after="120"/>
              <w:jc w:val="center"/>
              <w:rPr>
                <w:sz w:val="18"/>
                <w:szCs w:val="18"/>
              </w:rPr>
            </w:pPr>
            <w:r w:rsidRPr="00B04DC3">
              <w:rPr>
                <w:sz w:val="18"/>
                <w:szCs w:val="18"/>
              </w:rPr>
              <w:t>M</w:t>
            </w:r>
            <w:r w:rsidRPr="00B04DC3">
              <w:rPr>
                <w:sz w:val="18"/>
                <w:szCs w:val="18"/>
                <w:vertAlign w:val="subscript"/>
              </w:rPr>
              <w:t>3</w:t>
            </w:r>
          </w:p>
        </w:tc>
        <w:tc>
          <w:tcPr>
            <w:tcW w:w="1282" w:type="dxa"/>
          </w:tcPr>
          <w:p w:rsidR="00F10D27" w:rsidRPr="00B04DC3" w:rsidRDefault="00F10D27" w:rsidP="00F10D27">
            <w:pPr>
              <w:widowControl w:val="0"/>
              <w:spacing w:before="40" w:after="120"/>
              <w:jc w:val="center"/>
              <w:rPr>
                <w:sz w:val="18"/>
                <w:szCs w:val="18"/>
              </w:rPr>
            </w:pPr>
            <w:r w:rsidRPr="00B04DC3">
              <w:rPr>
                <w:sz w:val="18"/>
                <w:szCs w:val="18"/>
              </w:rPr>
              <w:t>R49</w:t>
            </w:r>
          </w:p>
        </w:tc>
        <w:tc>
          <w:tcPr>
            <w:tcW w:w="1275" w:type="dxa"/>
          </w:tcPr>
          <w:p w:rsidR="00F10D27" w:rsidRPr="00B04DC3" w:rsidRDefault="00F10D27" w:rsidP="00F10D27">
            <w:pPr>
              <w:widowControl w:val="0"/>
              <w:spacing w:before="40" w:after="120"/>
              <w:jc w:val="center"/>
              <w:rPr>
                <w:sz w:val="18"/>
                <w:szCs w:val="18"/>
              </w:rPr>
            </w:pPr>
            <w:r w:rsidRPr="00B04DC3">
              <w:rPr>
                <w:sz w:val="18"/>
                <w:szCs w:val="18"/>
              </w:rPr>
              <w:t>R49</w:t>
            </w:r>
          </w:p>
        </w:tc>
        <w:tc>
          <w:tcPr>
            <w:tcW w:w="1276" w:type="dxa"/>
          </w:tcPr>
          <w:p w:rsidR="00F10D27" w:rsidRPr="00B04DC3" w:rsidRDefault="00F10D27" w:rsidP="00F10D27">
            <w:pPr>
              <w:widowControl w:val="0"/>
              <w:spacing w:before="40" w:after="120"/>
              <w:jc w:val="center"/>
              <w:rPr>
                <w:sz w:val="18"/>
                <w:szCs w:val="18"/>
              </w:rPr>
            </w:pPr>
            <w:r w:rsidRPr="00B04DC3">
              <w:rPr>
                <w:sz w:val="18"/>
                <w:szCs w:val="18"/>
              </w:rPr>
              <w:t>R49</w:t>
            </w:r>
          </w:p>
        </w:tc>
        <w:tc>
          <w:tcPr>
            <w:tcW w:w="992" w:type="dxa"/>
            <w:vMerge/>
          </w:tcPr>
          <w:p w:rsidR="00F10D27" w:rsidRPr="00B04DC3" w:rsidRDefault="00F10D27" w:rsidP="00F10D27">
            <w:pPr>
              <w:widowControl w:val="0"/>
              <w:spacing w:before="40" w:after="120"/>
              <w:jc w:val="center"/>
              <w:rPr>
                <w:sz w:val="18"/>
                <w:szCs w:val="18"/>
              </w:rPr>
            </w:pPr>
          </w:p>
        </w:tc>
        <w:tc>
          <w:tcPr>
            <w:tcW w:w="1276" w:type="dxa"/>
          </w:tcPr>
          <w:p w:rsidR="00F10D27" w:rsidRPr="00B04DC3" w:rsidRDefault="00F10D27" w:rsidP="00F10D27">
            <w:pPr>
              <w:widowControl w:val="0"/>
              <w:spacing w:before="40" w:after="120"/>
              <w:jc w:val="center"/>
              <w:rPr>
                <w:sz w:val="18"/>
                <w:szCs w:val="18"/>
              </w:rPr>
            </w:pPr>
            <w:r w:rsidRPr="00B04DC3">
              <w:rPr>
                <w:sz w:val="18"/>
                <w:szCs w:val="18"/>
              </w:rPr>
              <w:t>R49</w:t>
            </w:r>
          </w:p>
        </w:tc>
        <w:tc>
          <w:tcPr>
            <w:tcW w:w="1276" w:type="dxa"/>
          </w:tcPr>
          <w:p w:rsidR="00F10D27" w:rsidRPr="00B04DC3" w:rsidRDefault="00F10D27" w:rsidP="00F10D27">
            <w:pPr>
              <w:widowControl w:val="0"/>
              <w:spacing w:before="40" w:after="120"/>
              <w:jc w:val="center"/>
              <w:rPr>
                <w:sz w:val="18"/>
                <w:szCs w:val="18"/>
              </w:rPr>
            </w:pPr>
            <w:r w:rsidRPr="00B04DC3">
              <w:rPr>
                <w:sz w:val="18"/>
                <w:szCs w:val="18"/>
              </w:rPr>
              <w:t>R49</w:t>
            </w:r>
          </w:p>
        </w:tc>
      </w:tr>
      <w:tr w:rsidR="00F10D27" w:rsidRPr="00B04DC3" w:rsidTr="00F10D27">
        <w:tc>
          <w:tcPr>
            <w:tcW w:w="1185" w:type="dxa"/>
          </w:tcPr>
          <w:p w:rsidR="00F10D27" w:rsidRPr="00B04DC3" w:rsidRDefault="00F10D27" w:rsidP="00F10D27">
            <w:pPr>
              <w:widowControl w:val="0"/>
              <w:spacing w:before="40" w:after="120"/>
              <w:jc w:val="center"/>
              <w:rPr>
                <w:sz w:val="18"/>
                <w:szCs w:val="18"/>
              </w:rPr>
            </w:pPr>
            <w:r w:rsidRPr="00B04DC3">
              <w:rPr>
                <w:sz w:val="18"/>
                <w:szCs w:val="18"/>
              </w:rPr>
              <w:t>N</w:t>
            </w:r>
            <w:r w:rsidRPr="00B04DC3">
              <w:rPr>
                <w:sz w:val="18"/>
                <w:szCs w:val="18"/>
                <w:vertAlign w:val="subscript"/>
              </w:rPr>
              <w:t>1</w:t>
            </w:r>
          </w:p>
        </w:tc>
        <w:tc>
          <w:tcPr>
            <w:tcW w:w="1282" w:type="dxa"/>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1275"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992" w:type="dxa"/>
            <w:vMerge/>
          </w:tcPr>
          <w:p w:rsidR="00F10D27" w:rsidRPr="00B04DC3" w:rsidRDefault="00F10D27" w:rsidP="00F10D27">
            <w:pPr>
              <w:widowControl w:val="0"/>
              <w:spacing w:before="40" w:after="120"/>
              <w:jc w:val="center"/>
              <w:rPr>
                <w:sz w:val="18"/>
                <w:szCs w:val="18"/>
              </w:rPr>
            </w:pPr>
          </w:p>
        </w:tc>
        <w:tc>
          <w:tcPr>
            <w:tcW w:w="1276" w:type="dxa"/>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1276" w:type="dxa"/>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r>
      <w:tr w:rsidR="00F10D27" w:rsidRPr="00B04DC3" w:rsidTr="00F10D27">
        <w:tc>
          <w:tcPr>
            <w:tcW w:w="1185" w:type="dxa"/>
            <w:tcBorders>
              <w:bottom w:val="single" w:sz="4" w:space="0" w:color="auto"/>
            </w:tcBorders>
          </w:tcPr>
          <w:p w:rsidR="00F10D27" w:rsidRPr="00B04DC3" w:rsidRDefault="00F10D27" w:rsidP="00F10D27">
            <w:pPr>
              <w:widowControl w:val="0"/>
              <w:spacing w:before="40" w:after="120"/>
              <w:jc w:val="center"/>
              <w:rPr>
                <w:sz w:val="18"/>
                <w:szCs w:val="18"/>
              </w:rPr>
            </w:pPr>
            <w:r w:rsidRPr="00B04DC3">
              <w:rPr>
                <w:sz w:val="18"/>
                <w:szCs w:val="18"/>
              </w:rPr>
              <w:t>N</w:t>
            </w:r>
            <w:r w:rsidRPr="00B04DC3">
              <w:rPr>
                <w:sz w:val="18"/>
                <w:szCs w:val="18"/>
                <w:vertAlign w:val="subscript"/>
              </w:rPr>
              <w:t>2</w:t>
            </w:r>
          </w:p>
        </w:tc>
        <w:tc>
          <w:tcPr>
            <w:tcW w:w="1282" w:type="dxa"/>
            <w:tcBorders>
              <w:bottom w:val="single" w:sz="4" w:space="0" w:color="auto"/>
            </w:tcBorders>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r w:rsidRPr="00B04DC3">
              <w:rPr>
                <w:rFonts w:ascii="Times New Roman Bold" w:hAnsi="Times New Roman Bold"/>
                <w:sz w:val="18"/>
                <w:szCs w:val="18"/>
                <w:vertAlign w:val="superscript"/>
              </w:rPr>
              <w:t xml:space="preserve"> </w:t>
            </w:r>
          </w:p>
        </w:tc>
        <w:tc>
          <w:tcPr>
            <w:tcW w:w="1275" w:type="dxa"/>
            <w:tcBorders>
              <w:bottom w:val="single" w:sz="4"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1276" w:type="dxa"/>
            <w:tcBorders>
              <w:bottom w:val="single" w:sz="4"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c>
          <w:tcPr>
            <w:tcW w:w="992" w:type="dxa"/>
            <w:vMerge/>
            <w:tcBorders>
              <w:bottom w:val="single" w:sz="4" w:space="0" w:color="auto"/>
            </w:tcBorders>
          </w:tcPr>
          <w:p w:rsidR="00F10D27" w:rsidRPr="00B04DC3" w:rsidRDefault="00F10D27" w:rsidP="00F10D27">
            <w:pPr>
              <w:widowControl w:val="0"/>
              <w:spacing w:before="40" w:after="120"/>
              <w:jc w:val="center"/>
              <w:rPr>
                <w:sz w:val="18"/>
                <w:szCs w:val="18"/>
              </w:rPr>
            </w:pPr>
          </w:p>
        </w:tc>
        <w:tc>
          <w:tcPr>
            <w:tcW w:w="1276" w:type="dxa"/>
            <w:tcBorders>
              <w:bottom w:val="single" w:sz="4" w:space="0" w:color="auto"/>
            </w:tcBorders>
          </w:tcPr>
          <w:p w:rsidR="00F10D27" w:rsidRPr="00B04DC3" w:rsidRDefault="00F10D27" w:rsidP="00F10D27">
            <w:pPr>
              <w:widowControl w:val="0"/>
              <w:spacing w:before="40" w:after="120"/>
              <w:jc w:val="center"/>
              <w:rPr>
                <w:sz w:val="18"/>
                <w:szCs w:val="18"/>
              </w:rPr>
            </w:pPr>
            <w:r w:rsidRPr="00B04DC3">
              <w:rPr>
                <w:sz w:val="18"/>
                <w:szCs w:val="18"/>
              </w:rPr>
              <w:t>R49 or R83</w:t>
            </w:r>
            <w:r w:rsidRPr="00B04DC3">
              <w:rPr>
                <w:sz w:val="18"/>
                <w:szCs w:val="18"/>
                <w:vertAlign w:val="superscript"/>
              </w:rPr>
              <w:t>c</w:t>
            </w:r>
          </w:p>
        </w:tc>
        <w:tc>
          <w:tcPr>
            <w:tcW w:w="1276" w:type="dxa"/>
            <w:tcBorders>
              <w:bottom w:val="single" w:sz="4" w:space="0" w:color="auto"/>
            </w:tcBorders>
          </w:tcPr>
          <w:p w:rsidR="00F10D27" w:rsidRPr="00B04DC3" w:rsidRDefault="00F10D27" w:rsidP="00F10D27">
            <w:pPr>
              <w:widowControl w:val="0"/>
              <w:spacing w:before="40" w:after="120"/>
              <w:jc w:val="center"/>
              <w:rPr>
                <w:sz w:val="18"/>
                <w:szCs w:val="18"/>
                <w:vertAlign w:val="superscript"/>
              </w:rPr>
            </w:pPr>
            <w:r w:rsidRPr="00B04DC3">
              <w:rPr>
                <w:sz w:val="18"/>
                <w:szCs w:val="18"/>
              </w:rPr>
              <w:t>R49 or R83</w:t>
            </w:r>
            <w:r w:rsidRPr="00B04DC3">
              <w:rPr>
                <w:sz w:val="18"/>
                <w:szCs w:val="18"/>
                <w:vertAlign w:val="superscript"/>
              </w:rPr>
              <w:t>c</w:t>
            </w:r>
          </w:p>
        </w:tc>
      </w:tr>
      <w:tr w:rsidR="00F10D27" w:rsidRPr="00B04DC3" w:rsidTr="00F10D27">
        <w:tc>
          <w:tcPr>
            <w:tcW w:w="1185"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N</w:t>
            </w:r>
            <w:r w:rsidRPr="00B04DC3">
              <w:rPr>
                <w:sz w:val="18"/>
                <w:szCs w:val="18"/>
                <w:vertAlign w:val="subscript"/>
              </w:rPr>
              <w:t>3</w:t>
            </w:r>
          </w:p>
        </w:tc>
        <w:tc>
          <w:tcPr>
            <w:tcW w:w="1282"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p>
        </w:tc>
        <w:tc>
          <w:tcPr>
            <w:tcW w:w="1275"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p>
        </w:tc>
        <w:tc>
          <w:tcPr>
            <w:tcW w:w="1276"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p>
        </w:tc>
        <w:tc>
          <w:tcPr>
            <w:tcW w:w="992" w:type="dxa"/>
            <w:vMerge/>
            <w:tcBorders>
              <w:bottom w:val="single" w:sz="12" w:space="0" w:color="auto"/>
            </w:tcBorders>
          </w:tcPr>
          <w:p w:rsidR="00F10D27" w:rsidRPr="00B04DC3" w:rsidRDefault="00F10D27" w:rsidP="00F10D27">
            <w:pPr>
              <w:widowControl w:val="0"/>
              <w:spacing w:before="40" w:after="120"/>
              <w:jc w:val="center"/>
              <w:rPr>
                <w:sz w:val="18"/>
                <w:szCs w:val="18"/>
              </w:rPr>
            </w:pPr>
          </w:p>
        </w:tc>
        <w:tc>
          <w:tcPr>
            <w:tcW w:w="1276"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p>
        </w:tc>
        <w:tc>
          <w:tcPr>
            <w:tcW w:w="1276" w:type="dxa"/>
            <w:tcBorders>
              <w:bottom w:val="single" w:sz="12" w:space="0" w:color="auto"/>
            </w:tcBorders>
          </w:tcPr>
          <w:p w:rsidR="00F10D27" w:rsidRPr="00B04DC3" w:rsidRDefault="00F10D27" w:rsidP="00F10D27">
            <w:pPr>
              <w:widowControl w:val="0"/>
              <w:spacing w:before="40" w:after="120"/>
              <w:jc w:val="center"/>
              <w:rPr>
                <w:sz w:val="18"/>
                <w:szCs w:val="18"/>
              </w:rPr>
            </w:pPr>
            <w:r w:rsidRPr="00B04DC3">
              <w:rPr>
                <w:sz w:val="18"/>
                <w:szCs w:val="18"/>
              </w:rPr>
              <w:t>R49</w:t>
            </w:r>
          </w:p>
        </w:tc>
      </w:tr>
      <w:tr w:rsidR="00F10D27" w:rsidRPr="00B04DC3" w:rsidTr="00F10D27">
        <w:tc>
          <w:tcPr>
            <w:tcW w:w="8562" w:type="dxa"/>
            <w:gridSpan w:val="7"/>
            <w:tcBorders>
              <w:top w:val="single" w:sz="12" w:space="0" w:color="auto"/>
              <w:left w:val="nil"/>
              <w:bottom w:val="nil"/>
              <w:right w:val="nil"/>
            </w:tcBorders>
          </w:tcPr>
          <w:p w:rsidR="00F10D27" w:rsidRPr="00B04DC3" w:rsidRDefault="00F10D27" w:rsidP="005C370C">
            <w:pPr>
              <w:widowControl w:val="0"/>
              <w:spacing w:before="40" w:line="200" w:lineRule="atLeast"/>
              <w:ind w:left="284" w:hanging="284"/>
              <w:rPr>
                <w:sz w:val="18"/>
                <w:szCs w:val="18"/>
              </w:rPr>
            </w:pPr>
            <w:r w:rsidRPr="00B04DC3">
              <w:rPr>
                <w:sz w:val="18"/>
                <w:szCs w:val="18"/>
                <w:vertAlign w:val="superscript"/>
              </w:rPr>
              <w:t>1</w:t>
            </w:r>
            <w:r w:rsidRPr="00B04DC3">
              <w:rPr>
                <w:sz w:val="18"/>
                <w:szCs w:val="18"/>
                <w:vertAlign w:val="superscript"/>
              </w:rPr>
              <w:tab/>
            </w:r>
            <w:r w:rsidRPr="00B04DC3">
              <w:rPr>
                <w:sz w:val="18"/>
                <w:szCs w:val="18"/>
              </w:rPr>
              <w:t>As defined in the Consolidated Resolution on the Construction of Vehicles (R.E.3), document ECE/TRANS/WP.29/78/Rev.3, para.2</w:t>
            </w:r>
            <w:r w:rsidR="00ED073B" w:rsidRPr="00B04DC3">
              <w:rPr>
                <w:sz w:val="18"/>
                <w:szCs w:val="18"/>
              </w:rPr>
              <w:t>.</w:t>
            </w:r>
          </w:p>
          <w:p w:rsidR="00F10D27" w:rsidRPr="00B04DC3" w:rsidRDefault="00F10D27" w:rsidP="003E1A90">
            <w:pPr>
              <w:widowControl w:val="0"/>
              <w:spacing w:line="200" w:lineRule="atLeast"/>
              <w:ind w:left="284" w:hanging="284"/>
              <w:rPr>
                <w:sz w:val="18"/>
                <w:szCs w:val="18"/>
              </w:rPr>
            </w:pPr>
            <w:r w:rsidRPr="00B04DC3">
              <w:rPr>
                <w:sz w:val="18"/>
                <w:szCs w:val="18"/>
                <w:vertAlign w:val="superscript"/>
              </w:rPr>
              <w:t>a</w:t>
            </w:r>
            <w:r w:rsidRPr="00B04DC3">
              <w:rPr>
                <w:sz w:val="18"/>
                <w:szCs w:val="18"/>
              </w:rPr>
              <w:tab/>
              <w:t>Natural Gas.</w:t>
            </w:r>
          </w:p>
          <w:p w:rsidR="00F10D27" w:rsidRPr="00B04DC3" w:rsidRDefault="00F10D27" w:rsidP="003E1A90">
            <w:pPr>
              <w:widowControl w:val="0"/>
              <w:spacing w:line="200" w:lineRule="atLeast"/>
              <w:ind w:left="284" w:hanging="284"/>
              <w:rPr>
                <w:sz w:val="18"/>
                <w:szCs w:val="18"/>
              </w:rPr>
            </w:pPr>
            <w:r w:rsidRPr="00B04DC3">
              <w:rPr>
                <w:sz w:val="18"/>
                <w:szCs w:val="18"/>
                <w:vertAlign w:val="superscript"/>
              </w:rPr>
              <w:t>b</w:t>
            </w:r>
            <w:r w:rsidRPr="00B04DC3">
              <w:rPr>
                <w:sz w:val="18"/>
                <w:szCs w:val="18"/>
              </w:rPr>
              <w:tab/>
              <w:t>Liquefied Petroleum Gas.</w:t>
            </w:r>
          </w:p>
          <w:p w:rsidR="00F10D27" w:rsidRPr="00B04DC3" w:rsidRDefault="00F10D27" w:rsidP="003E1A90">
            <w:pPr>
              <w:widowControl w:val="0"/>
              <w:spacing w:line="200" w:lineRule="atLeast"/>
              <w:ind w:left="284" w:hanging="284"/>
              <w:rPr>
                <w:sz w:val="18"/>
                <w:szCs w:val="18"/>
              </w:rPr>
            </w:pPr>
            <w:r w:rsidRPr="00B04DC3">
              <w:rPr>
                <w:sz w:val="18"/>
                <w:szCs w:val="18"/>
                <w:vertAlign w:val="superscript"/>
              </w:rPr>
              <w:t>c</w:t>
            </w:r>
            <w:r w:rsidRPr="00B04DC3">
              <w:rPr>
                <w:sz w:val="18"/>
                <w:szCs w:val="18"/>
              </w:rPr>
              <w:tab/>
              <w:t>Regulation No. 83 applies for vehicles with a reference mass ≤ 2,610 kg and by extension of an approval for vehicles with a reference mass ≤ 2,840 kg</w:t>
            </w:r>
            <w:r w:rsidR="00ED073B" w:rsidRPr="00B04DC3">
              <w:rPr>
                <w:sz w:val="18"/>
                <w:szCs w:val="18"/>
              </w:rPr>
              <w:t>.</w:t>
            </w:r>
          </w:p>
          <w:p w:rsidR="00F10D27" w:rsidRPr="00B04DC3" w:rsidRDefault="00F10D27" w:rsidP="003E1A90">
            <w:pPr>
              <w:widowControl w:val="0"/>
              <w:spacing w:line="200" w:lineRule="atLeast"/>
              <w:ind w:left="284" w:hanging="284"/>
              <w:rPr>
                <w:sz w:val="18"/>
                <w:szCs w:val="18"/>
              </w:rPr>
            </w:pPr>
            <w:r w:rsidRPr="00B04DC3">
              <w:rPr>
                <w:sz w:val="18"/>
                <w:szCs w:val="18"/>
                <w:vertAlign w:val="superscript"/>
              </w:rPr>
              <w:t>d</w:t>
            </w:r>
            <w:r w:rsidRPr="00B04DC3">
              <w:rPr>
                <w:sz w:val="18"/>
                <w:szCs w:val="18"/>
              </w:rPr>
              <w:tab/>
              <w:t xml:space="preserve">The provisions related to dual-fuel engines and vehicles contained into Regulation No. 49 only apply for vehicles and engines within the scope of </w:t>
            </w:r>
            <w:r w:rsidR="003E1A90">
              <w:rPr>
                <w:sz w:val="18"/>
                <w:szCs w:val="18"/>
              </w:rPr>
              <w:t xml:space="preserve">the </w:t>
            </w:r>
            <w:r w:rsidRPr="00B04DC3">
              <w:rPr>
                <w:sz w:val="18"/>
                <w:szCs w:val="18"/>
              </w:rPr>
              <w:t>rev</w:t>
            </w:r>
            <w:r w:rsidR="003E1A90">
              <w:rPr>
                <w:sz w:val="18"/>
                <w:szCs w:val="18"/>
              </w:rPr>
              <w:t xml:space="preserve">ision </w:t>
            </w:r>
            <w:r w:rsidRPr="00B04DC3">
              <w:rPr>
                <w:sz w:val="18"/>
                <w:szCs w:val="18"/>
              </w:rPr>
              <w:t>5 of that Regulation</w:t>
            </w:r>
            <w:r w:rsidR="00ED073B" w:rsidRPr="00B04DC3">
              <w:rPr>
                <w:sz w:val="18"/>
                <w:szCs w:val="18"/>
              </w:rPr>
              <w:t>.</w:t>
            </w:r>
          </w:p>
        </w:tc>
      </w:tr>
    </w:tbl>
    <w:p w:rsidR="008B1B5A" w:rsidRPr="00B04DC3" w:rsidRDefault="00D01D68" w:rsidP="008B1B5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pPr>
      <w:r>
        <w:br w:type="page"/>
      </w:r>
      <w:r w:rsidR="008B1B5A" w:rsidRPr="00B04DC3">
        <w:t>Table B</w:t>
      </w:r>
    </w:p>
    <w:p w:rsidR="008B1B5A" w:rsidRPr="00B04DC3" w:rsidRDefault="008B1B5A" w:rsidP="008B1B5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rPr>
          <w:b/>
          <w:bCs/>
        </w:rPr>
      </w:pPr>
      <w:r w:rsidRPr="00B04DC3">
        <w:rPr>
          <w:b/>
        </w:rPr>
        <w:t>Requirements</w:t>
      </w:r>
    </w:p>
    <w:tbl>
      <w:tblPr>
        <w:tblW w:w="861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
        <w:gridCol w:w="993"/>
        <w:gridCol w:w="992"/>
        <w:gridCol w:w="1134"/>
        <w:gridCol w:w="1276"/>
        <w:gridCol w:w="1275"/>
      </w:tblGrid>
      <w:tr w:rsidR="008B1B5A" w:rsidRPr="00B04DC3" w:rsidTr="008B1B5A">
        <w:tc>
          <w:tcPr>
            <w:tcW w:w="2093" w:type="dxa"/>
            <w:tcBorders>
              <w:bottom w:val="single" w:sz="4" w:space="0" w:color="auto"/>
            </w:tcBorders>
          </w:tcPr>
          <w:p w:rsidR="008B1B5A" w:rsidRPr="00B04DC3" w:rsidRDefault="008B1B5A" w:rsidP="008B1B5A">
            <w:pPr>
              <w:widowControl w:val="0"/>
              <w:spacing w:before="80" w:after="80" w:line="200" w:lineRule="atLeast"/>
              <w:jc w:val="center"/>
              <w:rPr>
                <w:i/>
                <w:sz w:val="16"/>
                <w:szCs w:val="16"/>
              </w:rPr>
            </w:pPr>
          </w:p>
        </w:tc>
        <w:tc>
          <w:tcPr>
            <w:tcW w:w="2835" w:type="dxa"/>
            <w:gridSpan w:val="3"/>
            <w:tcBorders>
              <w:bottom w:val="single" w:sz="4"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Positive-ignition engines</w:t>
            </w:r>
          </w:p>
        </w:tc>
        <w:tc>
          <w:tcPr>
            <w:tcW w:w="1134" w:type="dxa"/>
            <w:vMerge w:val="restart"/>
            <w:tcBorders>
              <w:bottom w:val="single" w:sz="4"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Dual-fuel</w:t>
            </w:r>
          </w:p>
          <w:p w:rsidR="008B1B5A" w:rsidRPr="00B04DC3" w:rsidRDefault="003E1A90" w:rsidP="008B1B5A">
            <w:pPr>
              <w:widowControl w:val="0"/>
              <w:spacing w:before="80" w:after="80" w:line="200" w:lineRule="atLeast"/>
              <w:jc w:val="center"/>
              <w:rPr>
                <w:i/>
                <w:sz w:val="16"/>
                <w:szCs w:val="16"/>
              </w:rPr>
            </w:pPr>
            <w:r>
              <w:rPr>
                <w:i/>
                <w:sz w:val="16"/>
                <w:szCs w:val="16"/>
              </w:rPr>
              <w:t>e</w:t>
            </w:r>
            <w:r w:rsidR="008B1B5A" w:rsidRPr="00B04DC3">
              <w:rPr>
                <w:i/>
                <w:sz w:val="16"/>
                <w:szCs w:val="16"/>
              </w:rPr>
              <w:t>ngines</w:t>
            </w:r>
            <w:r w:rsidR="008B1B5A" w:rsidRPr="00B04DC3">
              <w:rPr>
                <w:i/>
                <w:sz w:val="16"/>
                <w:szCs w:val="16"/>
                <w:vertAlign w:val="superscript"/>
              </w:rPr>
              <w:t xml:space="preserve"> c</w:t>
            </w:r>
          </w:p>
        </w:tc>
        <w:tc>
          <w:tcPr>
            <w:tcW w:w="2551" w:type="dxa"/>
            <w:gridSpan w:val="2"/>
            <w:tcBorders>
              <w:bottom w:val="single" w:sz="4"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Compression-ignition engines</w:t>
            </w:r>
          </w:p>
        </w:tc>
      </w:tr>
      <w:tr w:rsidR="008B1B5A" w:rsidRPr="00B04DC3" w:rsidTr="008B1B5A">
        <w:tc>
          <w:tcPr>
            <w:tcW w:w="2093" w:type="dxa"/>
            <w:tcBorders>
              <w:bottom w:val="single" w:sz="12" w:space="0" w:color="auto"/>
            </w:tcBorders>
          </w:tcPr>
          <w:p w:rsidR="008B1B5A" w:rsidRPr="00B04DC3" w:rsidRDefault="008B1B5A" w:rsidP="008B1B5A">
            <w:pPr>
              <w:widowControl w:val="0"/>
              <w:spacing w:before="80" w:after="80" w:line="200" w:lineRule="atLeast"/>
              <w:jc w:val="center"/>
              <w:rPr>
                <w:sz w:val="16"/>
                <w:szCs w:val="16"/>
              </w:rPr>
            </w:pPr>
          </w:p>
        </w:tc>
        <w:tc>
          <w:tcPr>
            <w:tcW w:w="850" w:type="dxa"/>
            <w:tcBorders>
              <w:bottom w:val="single" w:sz="12"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Petrol</w:t>
            </w:r>
          </w:p>
        </w:tc>
        <w:tc>
          <w:tcPr>
            <w:tcW w:w="993" w:type="dxa"/>
            <w:tcBorders>
              <w:bottom w:val="single" w:sz="12"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 xml:space="preserve">NG </w:t>
            </w:r>
          </w:p>
        </w:tc>
        <w:tc>
          <w:tcPr>
            <w:tcW w:w="992" w:type="dxa"/>
            <w:tcBorders>
              <w:bottom w:val="single" w:sz="12"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 xml:space="preserve">LPG </w:t>
            </w:r>
          </w:p>
        </w:tc>
        <w:tc>
          <w:tcPr>
            <w:tcW w:w="1134" w:type="dxa"/>
            <w:vMerge/>
            <w:tcBorders>
              <w:bottom w:val="single" w:sz="12" w:space="0" w:color="auto"/>
            </w:tcBorders>
          </w:tcPr>
          <w:p w:rsidR="008B1B5A" w:rsidRPr="00B04DC3" w:rsidRDefault="008B1B5A" w:rsidP="008B1B5A">
            <w:pPr>
              <w:widowControl w:val="0"/>
              <w:spacing w:before="80" w:after="80" w:line="200" w:lineRule="atLeast"/>
              <w:jc w:val="center"/>
              <w:rPr>
                <w:sz w:val="16"/>
                <w:szCs w:val="16"/>
              </w:rPr>
            </w:pPr>
          </w:p>
        </w:tc>
        <w:tc>
          <w:tcPr>
            <w:tcW w:w="1276" w:type="dxa"/>
            <w:tcBorders>
              <w:bottom w:val="single" w:sz="12"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Diesel</w:t>
            </w:r>
          </w:p>
        </w:tc>
        <w:tc>
          <w:tcPr>
            <w:tcW w:w="1275" w:type="dxa"/>
            <w:tcBorders>
              <w:bottom w:val="single" w:sz="12" w:space="0" w:color="auto"/>
            </w:tcBorders>
          </w:tcPr>
          <w:p w:rsidR="008B1B5A" w:rsidRPr="00B04DC3" w:rsidRDefault="008B1B5A" w:rsidP="008B1B5A">
            <w:pPr>
              <w:widowControl w:val="0"/>
              <w:spacing w:before="80" w:after="80" w:line="200" w:lineRule="atLeast"/>
              <w:jc w:val="center"/>
              <w:rPr>
                <w:i/>
                <w:sz w:val="16"/>
                <w:szCs w:val="16"/>
              </w:rPr>
            </w:pPr>
            <w:r w:rsidRPr="00B04DC3">
              <w:rPr>
                <w:i/>
                <w:sz w:val="16"/>
                <w:szCs w:val="16"/>
              </w:rPr>
              <w:t>Ethanol</w:t>
            </w:r>
          </w:p>
        </w:tc>
      </w:tr>
      <w:tr w:rsidR="008B1B5A" w:rsidRPr="00B04DC3" w:rsidTr="008B1B5A">
        <w:tc>
          <w:tcPr>
            <w:tcW w:w="2093" w:type="dxa"/>
            <w:tcBorders>
              <w:top w:val="single" w:sz="12" w:space="0" w:color="auto"/>
            </w:tcBorders>
          </w:tcPr>
          <w:p w:rsidR="008B1B5A" w:rsidRPr="00B04DC3" w:rsidRDefault="008B1B5A" w:rsidP="008B1B5A">
            <w:pPr>
              <w:widowControl w:val="0"/>
              <w:spacing w:before="40" w:after="120"/>
            </w:pPr>
            <w:r w:rsidRPr="00B04DC3">
              <w:t>Gaseous pollutants</w:t>
            </w:r>
          </w:p>
        </w:tc>
        <w:tc>
          <w:tcPr>
            <w:tcW w:w="850" w:type="dxa"/>
            <w:tcBorders>
              <w:top w:val="single" w:sz="12" w:space="0" w:color="auto"/>
            </w:tcBorders>
          </w:tcPr>
          <w:p w:rsidR="008B1B5A" w:rsidRPr="00B04DC3" w:rsidRDefault="008B1B5A" w:rsidP="008B1B5A">
            <w:pPr>
              <w:widowControl w:val="0"/>
              <w:spacing w:before="40" w:after="120"/>
              <w:jc w:val="center"/>
            </w:pPr>
            <w:r w:rsidRPr="00B04DC3">
              <w:t>-</w:t>
            </w:r>
          </w:p>
        </w:tc>
        <w:tc>
          <w:tcPr>
            <w:tcW w:w="993" w:type="dxa"/>
            <w:tcBorders>
              <w:top w:val="single" w:sz="12" w:space="0" w:color="auto"/>
            </w:tcBorders>
          </w:tcPr>
          <w:p w:rsidR="008B1B5A" w:rsidRPr="00B04DC3" w:rsidRDefault="008B1B5A" w:rsidP="008B1B5A">
            <w:pPr>
              <w:widowControl w:val="0"/>
              <w:spacing w:before="40" w:after="120"/>
              <w:jc w:val="center"/>
            </w:pPr>
            <w:r w:rsidRPr="00B04DC3">
              <w:t>Yes</w:t>
            </w:r>
          </w:p>
        </w:tc>
        <w:tc>
          <w:tcPr>
            <w:tcW w:w="992" w:type="dxa"/>
            <w:tcBorders>
              <w:top w:val="single" w:sz="12" w:space="0" w:color="auto"/>
            </w:tcBorders>
          </w:tcPr>
          <w:p w:rsidR="008B1B5A" w:rsidRPr="00B04DC3" w:rsidRDefault="008B1B5A" w:rsidP="008B1B5A">
            <w:pPr>
              <w:widowControl w:val="0"/>
              <w:spacing w:before="40" w:after="120"/>
              <w:jc w:val="center"/>
            </w:pPr>
            <w:r w:rsidRPr="00B04DC3">
              <w:t>Yes</w:t>
            </w:r>
          </w:p>
        </w:tc>
        <w:tc>
          <w:tcPr>
            <w:tcW w:w="1134" w:type="dxa"/>
            <w:tcBorders>
              <w:top w:val="single" w:sz="12" w:space="0" w:color="auto"/>
            </w:tcBorders>
          </w:tcPr>
          <w:p w:rsidR="008B1B5A" w:rsidRPr="00B04DC3" w:rsidRDefault="008B1B5A" w:rsidP="008B1B5A">
            <w:pPr>
              <w:widowControl w:val="0"/>
              <w:spacing w:before="40" w:after="120"/>
              <w:jc w:val="center"/>
            </w:pPr>
            <w:r w:rsidRPr="00B04DC3">
              <w:t>Yes</w:t>
            </w:r>
          </w:p>
        </w:tc>
        <w:tc>
          <w:tcPr>
            <w:tcW w:w="1276" w:type="dxa"/>
            <w:tcBorders>
              <w:top w:val="single" w:sz="12" w:space="0" w:color="auto"/>
            </w:tcBorders>
          </w:tcPr>
          <w:p w:rsidR="008B1B5A" w:rsidRPr="00B04DC3" w:rsidRDefault="008B1B5A" w:rsidP="008B1B5A">
            <w:pPr>
              <w:widowControl w:val="0"/>
              <w:spacing w:before="40" w:after="120"/>
              <w:jc w:val="center"/>
            </w:pPr>
            <w:r w:rsidRPr="00B04DC3">
              <w:t>Yes</w:t>
            </w:r>
          </w:p>
        </w:tc>
        <w:tc>
          <w:tcPr>
            <w:tcW w:w="1275" w:type="dxa"/>
            <w:tcBorders>
              <w:top w:val="single" w:sz="12" w:space="0" w:color="auto"/>
            </w:tcBorders>
          </w:tcPr>
          <w:p w:rsidR="008B1B5A" w:rsidRPr="00B04DC3" w:rsidRDefault="008B1B5A" w:rsidP="008B1B5A">
            <w:pPr>
              <w:widowControl w:val="0"/>
              <w:spacing w:before="40" w:after="120"/>
              <w:jc w:val="center"/>
            </w:pPr>
            <w:r w:rsidRPr="00B04DC3">
              <w:t>Yes</w:t>
            </w:r>
          </w:p>
        </w:tc>
      </w:tr>
      <w:tr w:rsidR="008B1B5A" w:rsidRPr="00B04DC3" w:rsidTr="008B1B5A">
        <w:tc>
          <w:tcPr>
            <w:tcW w:w="2093" w:type="dxa"/>
          </w:tcPr>
          <w:p w:rsidR="008B1B5A" w:rsidRPr="00B04DC3" w:rsidRDefault="008B1B5A" w:rsidP="008B1B5A">
            <w:pPr>
              <w:widowControl w:val="0"/>
              <w:spacing w:before="40" w:after="120"/>
            </w:pPr>
            <w:r w:rsidRPr="00B04DC3">
              <w:t>Particulates</w:t>
            </w:r>
          </w:p>
        </w:tc>
        <w:tc>
          <w:tcPr>
            <w:tcW w:w="850" w:type="dxa"/>
          </w:tcPr>
          <w:p w:rsidR="008B1B5A" w:rsidRPr="00B04DC3" w:rsidRDefault="008B1B5A" w:rsidP="008B1B5A">
            <w:pPr>
              <w:widowControl w:val="0"/>
              <w:spacing w:before="40" w:after="120"/>
              <w:jc w:val="center"/>
            </w:pPr>
            <w:r w:rsidRPr="00B04DC3">
              <w:t>-</w:t>
            </w:r>
          </w:p>
        </w:tc>
        <w:tc>
          <w:tcPr>
            <w:tcW w:w="993" w:type="dxa"/>
          </w:tcPr>
          <w:p w:rsidR="008B1B5A" w:rsidRPr="00B04DC3" w:rsidRDefault="008B1B5A" w:rsidP="008B1B5A">
            <w:pPr>
              <w:widowControl w:val="0"/>
              <w:spacing w:before="40" w:after="120"/>
              <w:jc w:val="center"/>
            </w:pPr>
            <w:r w:rsidRPr="00B04DC3">
              <w:t>Yes</w:t>
            </w:r>
            <w:r w:rsidRPr="00B04DC3">
              <w:rPr>
                <w:vertAlign w:val="superscript"/>
              </w:rPr>
              <w:t>a</w:t>
            </w:r>
          </w:p>
        </w:tc>
        <w:tc>
          <w:tcPr>
            <w:tcW w:w="992" w:type="dxa"/>
          </w:tcPr>
          <w:p w:rsidR="008B1B5A" w:rsidRPr="00B04DC3" w:rsidRDefault="008B1B5A" w:rsidP="008B1B5A">
            <w:pPr>
              <w:widowControl w:val="0"/>
              <w:spacing w:before="40" w:after="120"/>
              <w:jc w:val="center"/>
            </w:pPr>
            <w:r w:rsidRPr="00B04DC3">
              <w:t>Yes</w:t>
            </w:r>
            <w:r w:rsidRPr="00B04DC3">
              <w:rPr>
                <w:vertAlign w:val="superscript"/>
              </w:rPr>
              <w:t>a</w:t>
            </w:r>
          </w:p>
        </w:tc>
        <w:tc>
          <w:tcPr>
            <w:tcW w:w="1134" w:type="dxa"/>
          </w:tcPr>
          <w:p w:rsidR="008B1B5A" w:rsidRPr="00B04DC3" w:rsidRDefault="008B1B5A" w:rsidP="008B1B5A">
            <w:pPr>
              <w:widowControl w:val="0"/>
              <w:spacing w:before="40" w:after="120"/>
              <w:jc w:val="center"/>
            </w:pPr>
            <w:r w:rsidRPr="00B04DC3">
              <w:t>Yes</w:t>
            </w:r>
          </w:p>
        </w:tc>
        <w:tc>
          <w:tcPr>
            <w:tcW w:w="1276" w:type="dxa"/>
          </w:tcPr>
          <w:p w:rsidR="008B1B5A" w:rsidRPr="00B04DC3" w:rsidRDefault="008B1B5A" w:rsidP="008B1B5A">
            <w:pPr>
              <w:widowControl w:val="0"/>
              <w:spacing w:before="40" w:after="120"/>
              <w:jc w:val="center"/>
            </w:pPr>
            <w:r w:rsidRPr="00B04DC3">
              <w:t>Yes</w:t>
            </w:r>
          </w:p>
        </w:tc>
        <w:tc>
          <w:tcPr>
            <w:tcW w:w="1275" w:type="dxa"/>
          </w:tcPr>
          <w:p w:rsidR="008B1B5A" w:rsidRPr="00B04DC3" w:rsidRDefault="008B1B5A" w:rsidP="008B1B5A">
            <w:pPr>
              <w:widowControl w:val="0"/>
              <w:spacing w:before="40" w:after="120"/>
              <w:jc w:val="center"/>
            </w:pPr>
            <w:r w:rsidRPr="00B04DC3">
              <w:t>Yes</w:t>
            </w:r>
          </w:p>
        </w:tc>
      </w:tr>
      <w:tr w:rsidR="008B1B5A" w:rsidRPr="00B04DC3" w:rsidTr="008B1B5A">
        <w:tc>
          <w:tcPr>
            <w:tcW w:w="2093" w:type="dxa"/>
          </w:tcPr>
          <w:p w:rsidR="008B1B5A" w:rsidRPr="00B04DC3" w:rsidRDefault="008B1B5A" w:rsidP="008B1B5A">
            <w:pPr>
              <w:widowControl w:val="0"/>
              <w:spacing w:before="40" w:after="120"/>
            </w:pPr>
            <w:r w:rsidRPr="00B04DC3">
              <w:t>Smoke</w:t>
            </w:r>
          </w:p>
        </w:tc>
        <w:tc>
          <w:tcPr>
            <w:tcW w:w="850" w:type="dxa"/>
          </w:tcPr>
          <w:p w:rsidR="008B1B5A" w:rsidRPr="00B04DC3" w:rsidRDefault="008B1B5A" w:rsidP="008B1B5A">
            <w:pPr>
              <w:widowControl w:val="0"/>
              <w:spacing w:before="40" w:after="120"/>
              <w:jc w:val="center"/>
            </w:pPr>
            <w:r w:rsidRPr="00B04DC3">
              <w:t>-</w:t>
            </w:r>
          </w:p>
        </w:tc>
        <w:tc>
          <w:tcPr>
            <w:tcW w:w="993" w:type="dxa"/>
          </w:tcPr>
          <w:p w:rsidR="008B1B5A" w:rsidRPr="00B04DC3" w:rsidRDefault="008B1B5A" w:rsidP="008B1B5A">
            <w:pPr>
              <w:widowControl w:val="0"/>
              <w:spacing w:before="40" w:after="120"/>
              <w:jc w:val="center"/>
            </w:pPr>
            <w:r w:rsidRPr="00B04DC3">
              <w:t>-</w:t>
            </w:r>
          </w:p>
        </w:tc>
        <w:tc>
          <w:tcPr>
            <w:tcW w:w="992" w:type="dxa"/>
          </w:tcPr>
          <w:p w:rsidR="008B1B5A" w:rsidRPr="00B04DC3" w:rsidRDefault="008B1B5A" w:rsidP="008B1B5A">
            <w:pPr>
              <w:widowControl w:val="0"/>
              <w:spacing w:before="40" w:after="120"/>
              <w:jc w:val="center"/>
            </w:pPr>
            <w:r w:rsidRPr="00B04DC3">
              <w:t>-</w:t>
            </w:r>
          </w:p>
        </w:tc>
        <w:tc>
          <w:tcPr>
            <w:tcW w:w="1134" w:type="dxa"/>
          </w:tcPr>
          <w:p w:rsidR="008B1B5A" w:rsidRPr="00B04DC3" w:rsidRDefault="008B1B5A" w:rsidP="008B1B5A">
            <w:pPr>
              <w:widowControl w:val="0"/>
              <w:spacing w:before="40" w:after="120"/>
              <w:jc w:val="center"/>
            </w:pPr>
            <w:r w:rsidRPr="00B04DC3">
              <w:t>Yes</w:t>
            </w:r>
          </w:p>
        </w:tc>
        <w:tc>
          <w:tcPr>
            <w:tcW w:w="1276" w:type="dxa"/>
          </w:tcPr>
          <w:p w:rsidR="008B1B5A" w:rsidRPr="00B04DC3" w:rsidRDefault="008B1B5A" w:rsidP="008B1B5A">
            <w:pPr>
              <w:widowControl w:val="0"/>
              <w:spacing w:before="40" w:after="120"/>
              <w:jc w:val="center"/>
            </w:pPr>
            <w:r w:rsidRPr="00B04DC3">
              <w:t>Yes</w:t>
            </w:r>
          </w:p>
        </w:tc>
        <w:tc>
          <w:tcPr>
            <w:tcW w:w="1275" w:type="dxa"/>
          </w:tcPr>
          <w:p w:rsidR="008B1B5A" w:rsidRPr="00B04DC3" w:rsidRDefault="008B1B5A" w:rsidP="008B1B5A">
            <w:pPr>
              <w:widowControl w:val="0"/>
              <w:spacing w:before="40" w:after="120"/>
              <w:jc w:val="center"/>
            </w:pPr>
            <w:r w:rsidRPr="00B04DC3">
              <w:t>Yes</w:t>
            </w:r>
          </w:p>
        </w:tc>
      </w:tr>
      <w:tr w:rsidR="008B1B5A" w:rsidRPr="00B04DC3" w:rsidTr="008B1B5A">
        <w:tc>
          <w:tcPr>
            <w:tcW w:w="2093" w:type="dxa"/>
          </w:tcPr>
          <w:p w:rsidR="008B1B5A" w:rsidRPr="00B04DC3" w:rsidRDefault="008B1B5A" w:rsidP="008B1B5A">
            <w:pPr>
              <w:widowControl w:val="0"/>
              <w:spacing w:before="40" w:after="120"/>
            </w:pPr>
            <w:r w:rsidRPr="00B04DC3">
              <w:t>Durability</w:t>
            </w:r>
          </w:p>
        </w:tc>
        <w:tc>
          <w:tcPr>
            <w:tcW w:w="850" w:type="dxa"/>
          </w:tcPr>
          <w:p w:rsidR="008B1B5A" w:rsidRPr="00B04DC3" w:rsidRDefault="008B1B5A" w:rsidP="008B1B5A">
            <w:pPr>
              <w:widowControl w:val="0"/>
              <w:spacing w:before="40" w:after="120"/>
              <w:jc w:val="center"/>
            </w:pPr>
            <w:r w:rsidRPr="00B04DC3">
              <w:t>-</w:t>
            </w:r>
          </w:p>
        </w:tc>
        <w:tc>
          <w:tcPr>
            <w:tcW w:w="993" w:type="dxa"/>
          </w:tcPr>
          <w:p w:rsidR="008B1B5A" w:rsidRPr="00B04DC3" w:rsidRDefault="008B1B5A" w:rsidP="008B1B5A">
            <w:pPr>
              <w:widowControl w:val="0"/>
              <w:spacing w:before="40" w:after="120"/>
              <w:jc w:val="center"/>
            </w:pPr>
            <w:r w:rsidRPr="00B04DC3">
              <w:t>Yes</w:t>
            </w:r>
          </w:p>
        </w:tc>
        <w:tc>
          <w:tcPr>
            <w:tcW w:w="992" w:type="dxa"/>
          </w:tcPr>
          <w:p w:rsidR="008B1B5A" w:rsidRPr="00B04DC3" w:rsidRDefault="008B1B5A" w:rsidP="008B1B5A">
            <w:pPr>
              <w:widowControl w:val="0"/>
              <w:spacing w:before="40" w:after="120"/>
              <w:jc w:val="center"/>
            </w:pPr>
            <w:r w:rsidRPr="00B04DC3">
              <w:t>Yes</w:t>
            </w:r>
          </w:p>
        </w:tc>
        <w:tc>
          <w:tcPr>
            <w:tcW w:w="1134" w:type="dxa"/>
          </w:tcPr>
          <w:p w:rsidR="008B1B5A" w:rsidRPr="00B04DC3" w:rsidRDefault="008B1B5A" w:rsidP="008B1B5A">
            <w:pPr>
              <w:widowControl w:val="0"/>
              <w:spacing w:before="40" w:after="120"/>
              <w:jc w:val="center"/>
            </w:pPr>
            <w:r w:rsidRPr="00B04DC3">
              <w:t>Yes</w:t>
            </w:r>
          </w:p>
        </w:tc>
        <w:tc>
          <w:tcPr>
            <w:tcW w:w="1276" w:type="dxa"/>
          </w:tcPr>
          <w:p w:rsidR="008B1B5A" w:rsidRPr="00B04DC3" w:rsidRDefault="008B1B5A" w:rsidP="008B1B5A">
            <w:pPr>
              <w:widowControl w:val="0"/>
              <w:spacing w:before="40" w:after="120"/>
              <w:jc w:val="center"/>
            </w:pPr>
            <w:r w:rsidRPr="00B04DC3">
              <w:t>Yes</w:t>
            </w:r>
          </w:p>
        </w:tc>
        <w:tc>
          <w:tcPr>
            <w:tcW w:w="1275" w:type="dxa"/>
          </w:tcPr>
          <w:p w:rsidR="008B1B5A" w:rsidRPr="00B04DC3" w:rsidRDefault="008B1B5A" w:rsidP="008B1B5A">
            <w:pPr>
              <w:widowControl w:val="0"/>
              <w:spacing w:before="40" w:after="120"/>
              <w:jc w:val="center"/>
            </w:pPr>
            <w:r w:rsidRPr="00B04DC3">
              <w:t>Yes</w:t>
            </w:r>
          </w:p>
        </w:tc>
      </w:tr>
      <w:tr w:rsidR="008B1B5A" w:rsidRPr="00B04DC3" w:rsidTr="008B1B5A">
        <w:tc>
          <w:tcPr>
            <w:tcW w:w="2093" w:type="dxa"/>
            <w:tcBorders>
              <w:bottom w:val="single" w:sz="4" w:space="0" w:color="auto"/>
            </w:tcBorders>
          </w:tcPr>
          <w:p w:rsidR="008B1B5A" w:rsidRPr="00B04DC3" w:rsidRDefault="008B1B5A" w:rsidP="008B1B5A">
            <w:pPr>
              <w:widowControl w:val="0"/>
              <w:spacing w:before="40" w:after="120"/>
            </w:pPr>
            <w:r w:rsidRPr="00B04DC3">
              <w:t>In-service-conformity</w:t>
            </w:r>
          </w:p>
        </w:tc>
        <w:tc>
          <w:tcPr>
            <w:tcW w:w="850" w:type="dxa"/>
            <w:tcBorders>
              <w:bottom w:val="single" w:sz="4" w:space="0" w:color="auto"/>
            </w:tcBorders>
          </w:tcPr>
          <w:p w:rsidR="008B1B5A" w:rsidRPr="00B04DC3" w:rsidRDefault="008B1B5A" w:rsidP="008B1B5A">
            <w:pPr>
              <w:widowControl w:val="0"/>
              <w:spacing w:before="40" w:after="120"/>
              <w:jc w:val="center"/>
            </w:pPr>
            <w:r w:rsidRPr="00B04DC3">
              <w:t>-</w:t>
            </w:r>
          </w:p>
        </w:tc>
        <w:tc>
          <w:tcPr>
            <w:tcW w:w="993" w:type="dxa"/>
            <w:tcBorders>
              <w:bottom w:val="single" w:sz="4" w:space="0" w:color="auto"/>
            </w:tcBorders>
          </w:tcPr>
          <w:p w:rsidR="008B1B5A" w:rsidRPr="00B04DC3" w:rsidRDefault="008B1B5A" w:rsidP="008B1B5A">
            <w:pPr>
              <w:widowControl w:val="0"/>
              <w:spacing w:before="40" w:after="120"/>
              <w:jc w:val="center"/>
            </w:pPr>
            <w:r w:rsidRPr="00B04DC3">
              <w:t>Yes</w:t>
            </w:r>
          </w:p>
        </w:tc>
        <w:tc>
          <w:tcPr>
            <w:tcW w:w="992" w:type="dxa"/>
            <w:tcBorders>
              <w:bottom w:val="single" w:sz="4" w:space="0" w:color="auto"/>
            </w:tcBorders>
          </w:tcPr>
          <w:p w:rsidR="008B1B5A" w:rsidRPr="00B04DC3" w:rsidRDefault="008B1B5A" w:rsidP="008B1B5A">
            <w:pPr>
              <w:widowControl w:val="0"/>
              <w:spacing w:before="40" w:after="120"/>
              <w:jc w:val="center"/>
            </w:pPr>
            <w:r w:rsidRPr="00B04DC3">
              <w:t>Yes</w:t>
            </w:r>
          </w:p>
        </w:tc>
        <w:tc>
          <w:tcPr>
            <w:tcW w:w="1134" w:type="dxa"/>
            <w:tcBorders>
              <w:bottom w:val="single" w:sz="4" w:space="0" w:color="auto"/>
            </w:tcBorders>
          </w:tcPr>
          <w:p w:rsidR="008B1B5A" w:rsidRPr="00B04DC3" w:rsidRDefault="008B1B5A" w:rsidP="008B1B5A">
            <w:pPr>
              <w:widowControl w:val="0"/>
              <w:spacing w:before="40" w:after="120"/>
              <w:jc w:val="center"/>
            </w:pPr>
            <w:r w:rsidRPr="00B04DC3">
              <w:t>Yes</w:t>
            </w:r>
          </w:p>
        </w:tc>
        <w:tc>
          <w:tcPr>
            <w:tcW w:w="1276" w:type="dxa"/>
            <w:tcBorders>
              <w:bottom w:val="single" w:sz="4" w:space="0" w:color="auto"/>
            </w:tcBorders>
          </w:tcPr>
          <w:p w:rsidR="008B1B5A" w:rsidRPr="00B04DC3" w:rsidRDefault="008B1B5A" w:rsidP="008B1B5A">
            <w:pPr>
              <w:widowControl w:val="0"/>
              <w:spacing w:before="40" w:after="120"/>
              <w:jc w:val="center"/>
            </w:pPr>
            <w:r w:rsidRPr="00B04DC3">
              <w:t>Yes</w:t>
            </w:r>
          </w:p>
        </w:tc>
        <w:tc>
          <w:tcPr>
            <w:tcW w:w="1275" w:type="dxa"/>
            <w:tcBorders>
              <w:bottom w:val="single" w:sz="4" w:space="0" w:color="auto"/>
            </w:tcBorders>
          </w:tcPr>
          <w:p w:rsidR="008B1B5A" w:rsidRPr="00B04DC3" w:rsidRDefault="008B1B5A" w:rsidP="008B1B5A">
            <w:pPr>
              <w:widowControl w:val="0"/>
              <w:spacing w:before="40" w:after="120"/>
              <w:jc w:val="center"/>
            </w:pPr>
            <w:r w:rsidRPr="00B04DC3">
              <w:t>Yes</w:t>
            </w:r>
          </w:p>
        </w:tc>
      </w:tr>
      <w:tr w:rsidR="008B1B5A" w:rsidRPr="00B04DC3" w:rsidTr="008B1B5A">
        <w:tc>
          <w:tcPr>
            <w:tcW w:w="2093" w:type="dxa"/>
            <w:tcBorders>
              <w:bottom w:val="single" w:sz="12" w:space="0" w:color="auto"/>
            </w:tcBorders>
          </w:tcPr>
          <w:p w:rsidR="008B1B5A" w:rsidRPr="00B04DC3" w:rsidRDefault="008B1B5A" w:rsidP="008B1B5A">
            <w:pPr>
              <w:widowControl w:val="0"/>
              <w:spacing w:before="40" w:after="120"/>
            </w:pPr>
            <w:r w:rsidRPr="00B04DC3">
              <w:t>OBD</w:t>
            </w:r>
          </w:p>
        </w:tc>
        <w:tc>
          <w:tcPr>
            <w:tcW w:w="850" w:type="dxa"/>
            <w:tcBorders>
              <w:bottom w:val="single" w:sz="12" w:space="0" w:color="auto"/>
            </w:tcBorders>
          </w:tcPr>
          <w:p w:rsidR="008B1B5A" w:rsidRPr="00B04DC3" w:rsidRDefault="008B1B5A" w:rsidP="008B1B5A">
            <w:pPr>
              <w:widowControl w:val="0"/>
              <w:spacing w:before="40" w:after="120"/>
              <w:jc w:val="center"/>
            </w:pPr>
            <w:r w:rsidRPr="00B04DC3">
              <w:t>-</w:t>
            </w:r>
          </w:p>
        </w:tc>
        <w:tc>
          <w:tcPr>
            <w:tcW w:w="993" w:type="dxa"/>
            <w:tcBorders>
              <w:bottom w:val="single" w:sz="12" w:space="0" w:color="auto"/>
            </w:tcBorders>
          </w:tcPr>
          <w:p w:rsidR="008B1B5A" w:rsidRPr="00B04DC3" w:rsidRDefault="008B1B5A" w:rsidP="008B1B5A">
            <w:pPr>
              <w:widowControl w:val="0"/>
              <w:spacing w:before="40" w:after="120"/>
              <w:jc w:val="center"/>
            </w:pPr>
            <w:r w:rsidRPr="00B04DC3">
              <w:t>Yes</w:t>
            </w:r>
            <w:r w:rsidRPr="00B04DC3">
              <w:rPr>
                <w:vertAlign w:val="superscript"/>
              </w:rPr>
              <w:t>b</w:t>
            </w:r>
          </w:p>
        </w:tc>
        <w:tc>
          <w:tcPr>
            <w:tcW w:w="992" w:type="dxa"/>
            <w:tcBorders>
              <w:bottom w:val="single" w:sz="12" w:space="0" w:color="auto"/>
            </w:tcBorders>
          </w:tcPr>
          <w:p w:rsidR="008B1B5A" w:rsidRPr="00B04DC3" w:rsidRDefault="008B1B5A" w:rsidP="008B1B5A">
            <w:pPr>
              <w:widowControl w:val="0"/>
              <w:spacing w:before="40" w:after="120"/>
              <w:jc w:val="center"/>
            </w:pPr>
            <w:r w:rsidRPr="00B04DC3">
              <w:t>Yes</w:t>
            </w:r>
            <w:r w:rsidRPr="00B04DC3">
              <w:rPr>
                <w:vertAlign w:val="superscript"/>
              </w:rPr>
              <w:t>b</w:t>
            </w:r>
          </w:p>
        </w:tc>
        <w:tc>
          <w:tcPr>
            <w:tcW w:w="1134" w:type="dxa"/>
            <w:tcBorders>
              <w:bottom w:val="single" w:sz="12" w:space="0" w:color="auto"/>
            </w:tcBorders>
          </w:tcPr>
          <w:p w:rsidR="008B1B5A" w:rsidRPr="00B04DC3" w:rsidRDefault="008B1B5A" w:rsidP="008B1B5A">
            <w:pPr>
              <w:widowControl w:val="0"/>
              <w:spacing w:before="40" w:after="120"/>
              <w:jc w:val="center"/>
            </w:pPr>
            <w:r w:rsidRPr="00B04DC3">
              <w:t>Yes</w:t>
            </w:r>
          </w:p>
        </w:tc>
        <w:tc>
          <w:tcPr>
            <w:tcW w:w="1276" w:type="dxa"/>
            <w:tcBorders>
              <w:bottom w:val="single" w:sz="12" w:space="0" w:color="auto"/>
            </w:tcBorders>
          </w:tcPr>
          <w:p w:rsidR="008B1B5A" w:rsidRPr="00B04DC3" w:rsidRDefault="008B1B5A" w:rsidP="008B1B5A">
            <w:pPr>
              <w:widowControl w:val="0"/>
              <w:spacing w:before="40" w:after="120"/>
              <w:jc w:val="center"/>
            </w:pPr>
            <w:r w:rsidRPr="00B04DC3">
              <w:t>Yes</w:t>
            </w:r>
          </w:p>
        </w:tc>
        <w:tc>
          <w:tcPr>
            <w:tcW w:w="1275" w:type="dxa"/>
            <w:tcBorders>
              <w:bottom w:val="single" w:sz="12" w:space="0" w:color="auto"/>
            </w:tcBorders>
          </w:tcPr>
          <w:p w:rsidR="008B1B5A" w:rsidRPr="00B04DC3" w:rsidRDefault="008B1B5A" w:rsidP="008B1B5A">
            <w:pPr>
              <w:widowControl w:val="0"/>
              <w:spacing w:before="40" w:after="120"/>
              <w:jc w:val="center"/>
            </w:pPr>
            <w:r w:rsidRPr="00B04DC3">
              <w:t>Yes</w:t>
            </w:r>
          </w:p>
        </w:tc>
      </w:tr>
      <w:tr w:rsidR="008B1B5A" w:rsidRPr="00B04DC3" w:rsidTr="008B1B5A">
        <w:tc>
          <w:tcPr>
            <w:tcW w:w="8613" w:type="dxa"/>
            <w:gridSpan w:val="7"/>
            <w:tcBorders>
              <w:top w:val="single" w:sz="12" w:space="0" w:color="auto"/>
              <w:left w:val="nil"/>
              <w:bottom w:val="nil"/>
              <w:right w:val="nil"/>
            </w:tcBorders>
          </w:tcPr>
          <w:p w:rsidR="008B1B5A" w:rsidRPr="00B04DC3" w:rsidRDefault="008B1B5A" w:rsidP="008B1B5A">
            <w:pPr>
              <w:widowControl w:val="0"/>
              <w:ind w:left="284" w:hanging="284"/>
              <w:rPr>
                <w:sz w:val="18"/>
                <w:szCs w:val="18"/>
              </w:rPr>
            </w:pPr>
            <w:r w:rsidRPr="00B04DC3">
              <w:rPr>
                <w:sz w:val="18"/>
                <w:szCs w:val="18"/>
                <w:vertAlign w:val="superscript"/>
              </w:rPr>
              <w:t>a</w:t>
            </w:r>
            <w:r w:rsidRPr="00B04DC3">
              <w:rPr>
                <w:sz w:val="18"/>
                <w:szCs w:val="18"/>
              </w:rPr>
              <w:tab/>
              <w:t>Only applicable to stage C in Table 2 of paragraph 5.2.1.</w:t>
            </w:r>
          </w:p>
          <w:p w:rsidR="008B1B5A" w:rsidRPr="00B04DC3" w:rsidRDefault="008B1B5A" w:rsidP="008B1B5A">
            <w:pPr>
              <w:widowControl w:val="0"/>
              <w:ind w:left="284" w:hanging="284"/>
              <w:rPr>
                <w:sz w:val="18"/>
                <w:szCs w:val="18"/>
              </w:rPr>
            </w:pPr>
            <w:r w:rsidRPr="00B04DC3">
              <w:rPr>
                <w:sz w:val="18"/>
                <w:szCs w:val="18"/>
                <w:vertAlign w:val="superscript"/>
              </w:rPr>
              <w:t>b</w:t>
            </w:r>
            <w:r w:rsidRPr="00B04DC3">
              <w:rPr>
                <w:sz w:val="18"/>
                <w:szCs w:val="18"/>
              </w:rPr>
              <w:tab/>
              <w:t>Application dates according to paragraph 5.4.2.</w:t>
            </w:r>
          </w:p>
          <w:p w:rsidR="008B1B5A" w:rsidRPr="00B04DC3" w:rsidRDefault="008B1B5A" w:rsidP="00D01D68">
            <w:pPr>
              <w:widowControl w:val="0"/>
              <w:ind w:left="284" w:hanging="284"/>
            </w:pPr>
            <w:r w:rsidRPr="00B04DC3">
              <w:rPr>
                <w:sz w:val="18"/>
                <w:szCs w:val="18"/>
                <w:vertAlign w:val="superscript"/>
              </w:rPr>
              <w:t xml:space="preserve">c </w:t>
            </w:r>
            <w:r w:rsidRPr="00B04DC3">
              <w:rPr>
                <w:i/>
                <w:sz w:val="18"/>
                <w:szCs w:val="18"/>
                <w:vertAlign w:val="superscript"/>
              </w:rPr>
              <w:tab/>
            </w:r>
            <w:r w:rsidRPr="00B04DC3">
              <w:rPr>
                <w:sz w:val="18"/>
                <w:szCs w:val="18"/>
              </w:rPr>
              <w:t>According to the requirements of Annex 11.</w:t>
            </w:r>
          </w:p>
        </w:tc>
      </w:tr>
    </w:tbl>
    <w:p w:rsidR="00C0100D" w:rsidRPr="00B04DC3" w:rsidRDefault="00C0100D" w:rsidP="00700CBE">
      <w:pPr>
        <w:pStyle w:val="para"/>
        <w:spacing w:before="240"/>
        <w:rPr>
          <w:u w:val="single"/>
          <w:lang w:val="en-GB"/>
        </w:rPr>
      </w:pPr>
      <w:r w:rsidRPr="00B04DC3">
        <w:rPr>
          <w:lang w:val="en-GB"/>
        </w:rPr>
        <w:t>1.2.</w:t>
      </w:r>
      <w:r w:rsidRPr="00B04DC3">
        <w:rPr>
          <w:lang w:val="en-GB"/>
        </w:rPr>
        <w:tab/>
        <w:t>Equivalent approvals</w:t>
      </w:r>
    </w:p>
    <w:p w:rsidR="00C0100D" w:rsidRPr="00B04DC3" w:rsidRDefault="00C0100D" w:rsidP="00AA3C44">
      <w:pPr>
        <w:pStyle w:val="para"/>
        <w:rPr>
          <w:lang w:val="en-GB"/>
        </w:rPr>
      </w:pPr>
      <w:r w:rsidRPr="00B04DC3">
        <w:rPr>
          <w:lang w:val="en-GB"/>
        </w:rPr>
        <w:tab/>
        <w:t>The following do not need to be approved according to this Regulation, if they are part of a vehicle approved according to Regulation No. 83:</w:t>
      </w:r>
    </w:p>
    <w:p w:rsidR="00C0100D" w:rsidRPr="00B04DC3" w:rsidRDefault="00C0100D" w:rsidP="000D6A75">
      <w:pPr>
        <w:pStyle w:val="a"/>
        <w:rPr>
          <w:lang w:val="en-GB"/>
        </w:rPr>
      </w:pPr>
      <w:r w:rsidRPr="00B04DC3">
        <w:rPr>
          <w:lang w:val="en-GB"/>
        </w:rPr>
        <w:t>(a)</w:t>
      </w:r>
      <w:r w:rsidRPr="00B04DC3">
        <w:rPr>
          <w:lang w:val="en-GB"/>
        </w:rPr>
        <w:tab/>
      </w:r>
      <w:r w:rsidR="000D6A75" w:rsidRPr="00B04DC3">
        <w:rPr>
          <w:lang w:val="en-GB"/>
        </w:rPr>
        <w:t>C</w:t>
      </w:r>
      <w:r w:rsidRPr="00B04DC3">
        <w:rPr>
          <w:lang w:val="en-GB"/>
        </w:rPr>
        <w:t>ompression-ignition engines to be mounted in vehicles of categories N</w:t>
      </w:r>
      <w:r w:rsidRPr="00B04DC3">
        <w:rPr>
          <w:vertAlign w:val="subscript"/>
          <w:lang w:val="en-GB"/>
        </w:rPr>
        <w:t>1</w:t>
      </w:r>
      <w:r w:rsidRPr="00B04DC3">
        <w:rPr>
          <w:lang w:val="en-GB"/>
        </w:rPr>
        <w:t>, N</w:t>
      </w:r>
      <w:r w:rsidRPr="00B04DC3">
        <w:rPr>
          <w:vertAlign w:val="subscript"/>
          <w:lang w:val="en-GB"/>
        </w:rPr>
        <w:t>2</w:t>
      </w:r>
      <w:r w:rsidRPr="00B04DC3">
        <w:rPr>
          <w:lang w:val="en-GB"/>
        </w:rPr>
        <w:t xml:space="preserve"> and M</w:t>
      </w:r>
      <w:r w:rsidRPr="00B04DC3">
        <w:rPr>
          <w:vertAlign w:val="subscript"/>
          <w:lang w:val="en-GB"/>
        </w:rPr>
        <w:t>2</w:t>
      </w:r>
      <w:r w:rsidRPr="00B04DC3">
        <w:rPr>
          <w:vertAlign w:val="superscript"/>
          <w:lang w:val="en-GB"/>
        </w:rPr>
        <w:t>1</w:t>
      </w:r>
      <w:r w:rsidRPr="00B04DC3">
        <w:rPr>
          <w:lang w:val="en-GB"/>
        </w:rPr>
        <w:t xml:space="preserve"> fuelled with diesel;</w:t>
      </w:r>
    </w:p>
    <w:p w:rsidR="00C0100D" w:rsidRPr="00B04DC3" w:rsidRDefault="00C0100D" w:rsidP="000D6A75">
      <w:pPr>
        <w:pStyle w:val="a"/>
        <w:rPr>
          <w:lang w:val="en-GB"/>
        </w:rPr>
      </w:pPr>
      <w:r w:rsidRPr="00B04DC3">
        <w:rPr>
          <w:lang w:val="en-GB"/>
        </w:rPr>
        <w:t>(b)</w:t>
      </w:r>
      <w:r w:rsidRPr="00B04DC3">
        <w:rPr>
          <w:lang w:val="en-GB"/>
        </w:rPr>
        <w:tab/>
      </w:r>
      <w:r w:rsidR="000D6A75" w:rsidRPr="00B04DC3">
        <w:rPr>
          <w:lang w:val="en-GB"/>
        </w:rPr>
        <w:t>P</w:t>
      </w:r>
      <w:r w:rsidRPr="00B04DC3">
        <w:rPr>
          <w:lang w:val="en-GB"/>
        </w:rPr>
        <w:t xml:space="preserve">ositive-ignition engines fuelled with </w:t>
      </w:r>
      <w:r w:rsidR="00257619">
        <w:rPr>
          <w:lang w:val="en-GB"/>
        </w:rPr>
        <w:t>N</w:t>
      </w:r>
      <w:r w:rsidR="00257619" w:rsidRPr="00B04DC3">
        <w:rPr>
          <w:lang w:val="en-GB"/>
        </w:rPr>
        <w:t xml:space="preserve">atural </w:t>
      </w:r>
      <w:r w:rsidR="00257619">
        <w:rPr>
          <w:lang w:val="en-GB"/>
        </w:rPr>
        <w:t>G</w:t>
      </w:r>
      <w:r w:rsidR="00257619" w:rsidRPr="00B04DC3">
        <w:rPr>
          <w:lang w:val="en-GB"/>
        </w:rPr>
        <w:t xml:space="preserve">as </w:t>
      </w:r>
      <w:r w:rsidRPr="00B04DC3">
        <w:rPr>
          <w:lang w:val="en-GB"/>
        </w:rPr>
        <w:t xml:space="preserve">(NG) or </w:t>
      </w:r>
      <w:r w:rsidR="00257619">
        <w:rPr>
          <w:lang w:val="en-GB"/>
        </w:rPr>
        <w:t>L</w:t>
      </w:r>
      <w:r w:rsidR="00257619" w:rsidRPr="00B04DC3">
        <w:rPr>
          <w:lang w:val="en-GB"/>
        </w:rPr>
        <w:t xml:space="preserve">iquefied </w:t>
      </w:r>
      <w:r w:rsidR="00257619">
        <w:rPr>
          <w:lang w:val="en-GB"/>
        </w:rPr>
        <w:t>P</w:t>
      </w:r>
      <w:r w:rsidR="00257619" w:rsidRPr="00B04DC3">
        <w:rPr>
          <w:lang w:val="en-GB"/>
        </w:rPr>
        <w:t xml:space="preserve">etroleum </w:t>
      </w:r>
      <w:r w:rsidRPr="00B04DC3">
        <w:rPr>
          <w:lang w:val="en-GB"/>
        </w:rPr>
        <w:t>gas (LPG) to be mounted in vehicles of category N</w:t>
      </w:r>
      <w:r w:rsidRPr="00B04DC3">
        <w:rPr>
          <w:vertAlign w:val="subscript"/>
          <w:lang w:val="en-GB"/>
        </w:rPr>
        <w:t>1</w:t>
      </w:r>
      <w:r w:rsidR="00F13D92" w:rsidRPr="00F13D92">
        <w:rPr>
          <w:lang w:val="en-GB"/>
        </w:rPr>
        <w:t>.</w:t>
      </w:r>
      <w:r w:rsidRPr="00B04DC3">
        <w:rPr>
          <w:vertAlign w:val="superscript"/>
          <w:lang w:val="en-GB"/>
        </w:rPr>
        <w:t>1</w:t>
      </w:r>
    </w:p>
    <w:p w:rsidR="00C0100D" w:rsidRPr="00B04DC3" w:rsidRDefault="000D6A75" w:rsidP="000D6A75">
      <w:pPr>
        <w:pStyle w:val="a"/>
        <w:rPr>
          <w:lang w:val="en-GB"/>
        </w:rPr>
      </w:pPr>
      <w:r w:rsidRPr="00B04DC3">
        <w:rPr>
          <w:lang w:val="en-GB"/>
        </w:rPr>
        <w:t>(c)</w:t>
      </w:r>
      <w:r w:rsidRPr="00B04DC3">
        <w:rPr>
          <w:lang w:val="en-GB"/>
        </w:rPr>
        <w:tab/>
        <w:t>V</w:t>
      </w:r>
      <w:r w:rsidR="00C0100D" w:rsidRPr="00B04DC3">
        <w:rPr>
          <w:lang w:val="en-GB"/>
        </w:rPr>
        <w:t>ehicles of categories N</w:t>
      </w:r>
      <w:r w:rsidR="00C0100D" w:rsidRPr="00B04DC3">
        <w:rPr>
          <w:vertAlign w:val="subscript"/>
          <w:lang w:val="en-GB"/>
        </w:rPr>
        <w:t>1</w:t>
      </w:r>
      <w:r w:rsidR="00C0100D" w:rsidRPr="00B04DC3">
        <w:rPr>
          <w:lang w:val="en-GB"/>
        </w:rPr>
        <w:t>, N</w:t>
      </w:r>
      <w:r w:rsidR="00C0100D" w:rsidRPr="00B04DC3">
        <w:rPr>
          <w:vertAlign w:val="subscript"/>
          <w:lang w:val="en-GB"/>
        </w:rPr>
        <w:t>2</w:t>
      </w:r>
      <w:r w:rsidR="00C0100D" w:rsidRPr="00B04DC3">
        <w:rPr>
          <w:lang w:val="en-GB"/>
        </w:rPr>
        <w:t xml:space="preserve"> and M</w:t>
      </w:r>
      <w:r w:rsidR="00C0100D" w:rsidRPr="00B04DC3">
        <w:rPr>
          <w:vertAlign w:val="subscript"/>
          <w:lang w:val="en-GB"/>
        </w:rPr>
        <w:t>2</w:t>
      </w:r>
      <w:r w:rsidR="001309C3" w:rsidRPr="00B04DC3">
        <w:rPr>
          <w:vertAlign w:val="superscript"/>
          <w:lang w:val="en-GB"/>
        </w:rPr>
        <w:t>1</w:t>
      </w:r>
      <w:r w:rsidR="00C0100D" w:rsidRPr="00B04DC3">
        <w:rPr>
          <w:lang w:val="en-GB"/>
        </w:rPr>
        <w:t xml:space="preserve"> fitted with compression - ignition engines fuelled with diesel and vehicles of category N</w:t>
      </w:r>
      <w:r w:rsidR="00C0100D" w:rsidRPr="00B04DC3">
        <w:rPr>
          <w:vertAlign w:val="subscript"/>
          <w:lang w:val="en-GB"/>
        </w:rPr>
        <w:t>1</w:t>
      </w:r>
      <w:r w:rsidR="00C0100D" w:rsidRPr="00B04DC3">
        <w:rPr>
          <w:vertAlign w:val="superscript"/>
          <w:lang w:val="en-GB"/>
        </w:rPr>
        <w:t>1</w:t>
      </w:r>
      <w:r w:rsidR="00C0100D" w:rsidRPr="00B04DC3">
        <w:rPr>
          <w:lang w:val="en-GB"/>
        </w:rPr>
        <w:t xml:space="preserve"> fitted with positive-ignition engines fuelled with NG or LPG.</w:t>
      </w:r>
    </w:p>
    <w:p w:rsidR="008B1B5A" w:rsidRPr="00B04DC3" w:rsidRDefault="008B1B5A" w:rsidP="008B1B5A">
      <w:pPr>
        <w:pStyle w:val="para"/>
        <w:rPr>
          <w:lang w:val="en-GB"/>
        </w:rPr>
      </w:pPr>
      <w:r w:rsidRPr="00B04DC3">
        <w:rPr>
          <w:lang w:val="en-GB"/>
        </w:rPr>
        <w:t>1.2.1.</w:t>
      </w:r>
      <w:r w:rsidRPr="00B04DC3">
        <w:rPr>
          <w:lang w:val="en-GB"/>
        </w:rPr>
        <w:tab/>
        <w:t xml:space="preserve">Equivalent approval as set out in paragraph 1.2. shall not be granted in the case of dual-fuel engines and vehicles (see definitions in paragraph 2. </w:t>
      </w:r>
      <w:r w:rsidR="00F13D92">
        <w:rPr>
          <w:lang w:val="en-GB"/>
        </w:rPr>
        <w:t>below</w:t>
      </w:r>
      <w:r w:rsidRPr="00B04DC3">
        <w:rPr>
          <w:lang w:val="en-GB"/>
        </w:rPr>
        <w:t>).</w:t>
      </w:r>
    </w:p>
    <w:p w:rsidR="00C0100D" w:rsidRPr="00B04DC3" w:rsidRDefault="00700CBE" w:rsidP="008165BE">
      <w:pPr>
        <w:pStyle w:val="HChG"/>
      </w:pPr>
      <w:r w:rsidRPr="00B04DC3">
        <w:tab/>
      </w:r>
      <w:r w:rsidRPr="00B04DC3">
        <w:tab/>
      </w:r>
      <w:bookmarkStart w:id="11" w:name="_Toc423599445"/>
      <w:bookmarkStart w:id="12" w:name="_Toc423610853"/>
      <w:r w:rsidR="00C0100D" w:rsidRPr="00B04DC3">
        <w:t>2.</w:t>
      </w:r>
      <w:r w:rsidR="00C0100D" w:rsidRPr="00B04DC3">
        <w:tab/>
      </w:r>
      <w:r w:rsidR="000D6A75" w:rsidRPr="00B04DC3">
        <w:tab/>
        <w:t>Definitions</w:t>
      </w:r>
      <w:bookmarkEnd w:id="11"/>
      <w:bookmarkEnd w:id="12"/>
    </w:p>
    <w:p w:rsidR="00C0100D" w:rsidRPr="00B04DC3" w:rsidRDefault="00C0100D" w:rsidP="000D6A75">
      <w:pPr>
        <w:pStyle w:val="para"/>
        <w:rPr>
          <w:lang w:val="en-GB"/>
        </w:rPr>
      </w:pPr>
      <w:r w:rsidRPr="00B04DC3">
        <w:rPr>
          <w:lang w:val="en-GB"/>
        </w:rPr>
        <w:t>2.1.</w:t>
      </w:r>
      <w:r w:rsidRPr="00B04DC3">
        <w:rPr>
          <w:lang w:val="en-GB"/>
        </w:rPr>
        <w:tab/>
        <w:t>For the purposes of this Regulation, the following definitions shall apply:</w:t>
      </w:r>
    </w:p>
    <w:p w:rsidR="00C0100D" w:rsidRPr="00B04DC3" w:rsidRDefault="00C0100D" w:rsidP="000D6A75">
      <w:pPr>
        <w:pStyle w:val="para"/>
        <w:rPr>
          <w:lang w:val="en-GB"/>
        </w:rPr>
      </w:pPr>
      <w:r w:rsidRPr="00B04DC3">
        <w:rPr>
          <w:lang w:val="en-GB"/>
        </w:rPr>
        <w:t>2.1.1.</w:t>
      </w:r>
      <w:r w:rsidRPr="00B04DC3">
        <w:rPr>
          <w:lang w:val="en-GB"/>
        </w:rPr>
        <w:tab/>
        <w:t>"</w:t>
      </w:r>
      <w:r w:rsidR="000D6A75" w:rsidRPr="00B04DC3">
        <w:rPr>
          <w:i/>
          <w:lang w:val="en-GB"/>
        </w:rPr>
        <w:t>A</w:t>
      </w:r>
      <w:r w:rsidRPr="00B04DC3">
        <w:rPr>
          <w:i/>
          <w:lang w:val="en-GB"/>
        </w:rPr>
        <w:t>pproval of an engine (engine family)</w:t>
      </w:r>
      <w:r w:rsidRPr="00B04DC3">
        <w:rPr>
          <w:lang w:val="en-GB"/>
        </w:rPr>
        <w:t>" means the approval of an engine type (engine family) with regard to the level of the emission of</w:t>
      </w:r>
      <w:r w:rsidRPr="00B04DC3">
        <w:rPr>
          <w:b/>
          <w:lang w:val="en-GB"/>
        </w:rPr>
        <w:t xml:space="preserve"> </w:t>
      </w:r>
      <w:r w:rsidRPr="00B04DC3">
        <w:rPr>
          <w:lang w:val="en-GB"/>
        </w:rPr>
        <w:t xml:space="preserve">gaseous and particulate pollutants, smoke and the </w:t>
      </w:r>
      <w:r w:rsidR="00257619">
        <w:rPr>
          <w:lang w:val="en-GB"/>
        </w:rPr>
        <w:t>O</w:t>
      </w:r>
      <w:r w:rsidR="00257619" w:rsidRPr="00B04DC3">
        <w:rPr>
          <w:lang w:val="en-GB"/>
        </w:rPr>
        <w:t>n</w:t>
      </w:r>
      <w:r w:rsidRPr="00B04DC3">
        <w:rPr>
          <w:lang w:val="en-GB"/>
        </w:rPr>
        <w:t>-</w:t>
      </w:r>
      <w:r w:rsidR="00257619">
        <w:rPr>
          <w:lang w:val="en-GB"/>
        </w:rPr>
        <w:t>B</w:t>
      </w:r>
      <w:r w:rsidR="00257619" w:rsidRPr="00B04DC3">
        <w:rPr>
          <w:lang w:val="en-GB"/>
        </w:rPr>
        <w:t xml:space="preserve">oard </w:t>
      </w:r>
      <w:r w:rsidR="00257619">
        <w:rPr>
          <w:lang w:val="en-GB"/>
        </w:rPr>
        <w:t>D</w:t>
      </w:r>
      <w:r w:rsidR="00257619" w:rsidRPr="00B04DC3">
        <w:rPr>
          <w:lang w:val="en-GB"/>
        </w:rPr>
        <w:t xml:space="preserve">iagnostic </w:t>
      </w:r>
      <w:r w:rsidRPr="00B04DC3">
        <w:rPr>
          <w:lang w:val="en-GB"/>
        </w:rPr>
        <w:t>(OBD) system;</w:t>
      </w:r>
    </w:p>
    <w:p w:rsidR="00C0100D" w:rsidRPr="00B04DC3" w:rsidRDefault="00C0100D" w:rsidP="000D6A75">
      <w:pPr>
        <w:pStyle w:val="para"/>
        <w:rPr>
          <w:lang w:val="en-GB"/>
        </w:rPr>
      </w:pPr>
      <w:r w:rsidRPr="00B04DC3">
        <w:rPr>
          <w:lang w:val="en-GB"/>
        </w:rPr>
        <w:t>2.1.2.</w:t>
      </w:r>
      <w:r w:rsidRPr="00B04DC3">
        <w:rPr>
          <w:lang w:val="en-GB"/>
        </w:rPr>
        <w:tab/>
      </w:r>
      <w:r w:rsidRPr="00B04DC3">
        <w:rPr>
          <w:bCs/>
          <w:lang w:val="en-GB"/>
        </w:rPr>
        <w:t>"</w:t>
      </w:r>
      <w:r w:rsidR="000D6A75" w:rsidRPr="00B04DC3">
        <w:rPr>
          <w:i/>
          <w:lang w:val="en-GB"/>
        </w:rPr>
        <w:t>A</w:t>
      </w:r>
      <w:r w:rsidRPr="00B04DC3">
        <w:rPr>
          <w:i/>
          <w:lang w:val="en-GB"/>
        </w:rPr>
        <w:t>pproval of a vehicle</w:t>
      </w:r>
      <w:r w:rsidRPr="00B04DC3">
        <w:rPr>
          <w:bCs/>
          <w:lang w:val="en-GB"/>
        </w:rPr>
        <w:t>"</w:t>
      </w:r>
      <w:r w:rsidRPr="00B04DC3">
        <w:rPr>
          <w:lang w:val="en-GB"/>
        </w:rPr>
        <w:t xml:space="preserve"> means the approval of vehicle type with regard to the level of the emission of gaseous and particulate pollutants and smoke by its engine as well as the OBD system and the engine installation on the vehicle;</w:t>
      </w:r>
    </w:p>
    <w:p w:rsidR="00C0100D" w:rsidRPr="00B04DC3" w:rsidRDefault="00C0100D" w:rsidP="000D6A75">
      <w:pPr>
        <w:pStyle w:val="para"/>
        <w:rPr>
          <w:lang w:val="en-GB"/>
        </w:rPr>
      </w:pPr>
      <w:r w:rsidRPr="00B04DC3">
        <w:rPr>
          <w:lang w:val="en-GB"/>
        </w:rPr>
        <w:t>2.1.3.</w:t>
      </w:r>
      <w:r w:rsidRPr="00B04DC3">
        <w:rPr>
          <w:lang w:val="en-GB"/>
        </w:rPr>
        <w:tab/>
      </w:r>
      <w:r w:rsidRPr="00B04DC3">
        <w:rPr>
          <w:bCs/>
          <w:lang w:val="en-GB"/>
        </w:rPr>
        <w:t>"</w:t>
      </w:r>
      <w:r w:rsidR="000D6A75" w:rsidRPr="00B04DC3">
        <w:rPr>
          <w:i/>
          <w:lang w:val="en-GB"/>
        </w:rPr>
        <w:t>R</w:t>
      </w:r>
      <w:r w:rsidRPr="00B04DC3">
        <w:rPr>
          <w:i/>
          <w:lang w:val="en-GB"/>
        </w:rPr>
        <w:t>ated speed</w:t>
      </w:r>
      <w:r w:rsidRPr="00B04DC3">
        <w:rPr>
          <w:bCs/>
          <w:lang w:val="en-GB"/>
        </w:rPr>
        <w:t>"</w:t>
      </w:r>
      <w:r w:rsidRPr="00B04DC3">
        <w:rPr>
          <w:lang w:val="en-GB"/>
        </w:rPr>
        <w:t xml:space="preserve"> means the maximum full load engine speed allowed by the governor, or, if such a governor is not present, the speed at which the maximum power is obtained from the engine, as specified by the manufacturer in </w:t>
      </w:r>
      <w:r w:rsidR="004B31B3">
        <w:rPr>
          <w:lang w:val="en-GB"/>
        </w:rPr>
        <w:t>item</w:t>
      </w:r>
      <w:r w:rsidR="004B31B3" w:rsidRPr="00B04DC3">
        <w:rPr>
          <w:lang w:val="en-GB"/>
        </w:rPr>
        <w:t xml:space="preserve"> </w:t>
      </w:r>
      <w:r w:rsidRPr="00B04DC3">
        <w:rPr>
          <w:lang w:val="en-GB"/>
        </w:rPr>
        <w:t>2. of Appendix 2 to Annex 1</w:t>
      </w:r>
      <w:r w:rsidR="00257619">
        <w:rPr>
          <w:lang w:val="en-GB"/>
        </w:rPr>
        <w:t>;</w:t>
      </w:r>
    </w:p>
    <w:p w:rsidR="00C0100D" w:rsidRPr="00B04DC3" w:rsidRDefault="00C0100D" w:rsidP="000D6A75">
      <w:pPr>
        <w:pStyle w:val="para"/>
        <w:rPr>
          <w:b/>
          <w:lang w:val="en-GB"/>
        </w:rPr>
      </w:pPr>
      <w:r w:rsidRPr="00B04DC3">
        <w:rPr>
          <w:lang w:val="en-GB"/>
        </w:rPr>
        <w:t>2.1.4.</w:t>
      </w:r>
      <w:r w:rsidRPr="00B04DC3">
        <w:rPr>
          <w:lang w:val="en-GB"/>
        </w:rPr>
        <w:tab/>
      </w:r>
      <w:r w:rsidRPr="00B04DC3">
        <w:rPr>
          <w:bCs/>
          <w:lang w:val="en-GB"/>
        </w:rPr>
        <w:t>"</w:t>
      </w:r>
      <w:r w:rsidR="008713DB" w:rsidRPr="00B04DC3">
        <w:rPr>
          <w:i/>
          <w:lang w:val="en-GB"/>
        </w:rPr>
        <w:t>V</w:t>
      </w:r>
      <w:r w:rsidRPr="00B04DC3">
        <w:rPr>
          <w:i/>
          <w:lang w:val="en-GB"/>
        </w:rPr>
        <w:t>ehicle type</w:t>
      </w:r>
      <w:r w:rsidRPr="00B04DC3">
        <w:rPr>
          <w:bCs/>
          <w:lang w:val="en-GB"/>
        </w:rPr>
        <w:t>"</w:t>
      </w:r>
      <w:r w:rsidRPr="00B04DC3">
        <w:rPr>
          <w:lang w:val="en-GB"/>
        </w:rPr>
        <w:t xml:space="preserve"> means a category of power driven vehicles which do not differ in such essential respects as the vehicle and engine characteristics as specified in Annex 1 of this Regulation.</w:t>
      </w:r>
    </w:p>
    <w:p w:rsidR="00C0100D" w:rsidRPr="00B04DC3" w:rsidRDefault="00C0100D" w:rsidP="000D6A75">
      <w:pPr>
        <w:pStyle w:val="para"/>
        <w:rPr>
          <w:lang w:val="en-GB"/>
        </w:rPr>
      </w:pPr>
      <w:r w:rsidRPr="00B04DC3">
        <w:rPr>
          <w:snapToGrid w:val="0"/>
          <w:lang w:val="en-GB" w:eastAsia="de-DE"/>
        </w:rPr>
        <w:t>2.1.5.</w:t>
      </w:r>
      <w:r w:rsidRPr="00B04DC3">
        <w:rPr>
          <w:snapToGrid w:val="0"/>
          <w:lang w:val="en-GB" w:eastAsia="de-DE"/>
        </w:rPr>
        <w:tab/>
        <w:t>"</w:t>
      </w:r>
      <w:r w:rsidR="008713DB" w:rsidRPr="00B04DC3">
        <w:rPr>
          <w:i/>
          <w:lang w:val="en-GB"/>
        </w:rPr>
        <w:t>A</w:t>
      </w:r>
      <w:r w:rsidRPr="00B04DC3">
        <w:rPr>
          <w:i/>
          <w:lang w:val="en-GB"/>
        </w:rPr>
        <w:t xml:space="preserve">uxiliary </w:t>
      </w:r>
      <w:r w:rsidR="003E68F8">
        <w:rPr>
          <w:i/>
          <w:lang w:val="en-GB"/>
        </w:rPr>
        <w:t>e</w:t>
      </w:r>
      <w:r w:rsidRPr="00B04DC3">
        <w:rPr>
          <w:i/>
          <w:lang w:val="en-GB"/>
        </w:rPr>
        <w:t xml:space="preserve">mission </w:t>
      </w:r>
      <w:r w:rsidR="004B31B3" w:rsidRPr="00B04DC3">
        <w:rPr>
          <w:i/>
          <w:lang w:val="en-GB"/>
        </w:rPr>
        <w:t>C</w:t>
      </w:r>
      <w:r w:rsidRPr="00B04DC3">
        <w:rPr>
          <w:i/>
          <w:lang w:val="en-GB"/>
        </w:rPr>
        <w:t xml:space="preserve">ontrol </w:t>
      </w:r>
      <w:r w:rsidR="004B31B3">
        <w:rPr>
          <w:i/>
          <w:lang w:val="en-GB"/>
        </w:rPr>
        <w:t>S</w:t>
      </w:r>
      <w:r w:rsidR="004B31B3" w:rsidRPr="00B04DC3">
        <w:rPr>
          <w:i/>
          <w:lang w:val="en-GB"/>
        </w:rPr>
        <w:t xml:space="preserve">trategy </w:t>
      </w:r>
      <w:r w:rsidRPr="00B04DC3">
        <w:rPr>
          <w:i/>
          <w:lang w:val="en-GB"/>
        </w:rPr>
        <w:t>(ACS)</w:t>
      </w:r>
      <w:r w:rsidRPr="00B04DC3">
        <w:rPr>
          <w:snapToGrid w:val="0"/>
          <w:lang w:val="en-GB" w:eastAsia="de-DE"/>
        </w:rPr>
        <w:t>" means an emission control strategy that becomes active or that modifies the base emission control strategy for a specific purpose or purposes and in response to a specific set of ambient and/or operating conditions, e.g.</w:t>
      </w:r>
      <w:r w:rsidRPr="00B04DC3">
        <w:rPr>
          <w:lang w:val="en-GB"/>
        </w:rPr>
        <w:t xml:space="preserve"> vehicle speed, engine speed, gear used, intake temperature, or intake pressure;</w:t>
      </w:r>
    </w:p>
    <w:p w:rsidR="00C0100D" w:rsidRPr="00B04DC3" w:rsidRDefault="00C0100D" w:rsidP="000D6A75">
      <w:pPr>
        <w:pStyle w:val="para"/>
        <w:rPr>
          <w:lang w:val="en-GB"/>
        </w:rPr>
      </w:pPr>
      <w:r w:rsidRPr="00B04DC3">
        <w:rPr>
          <w:lang w:val="en-GB"/>
        </w:rPr>
        <w:t>2.1.6.</w:t>
      </w:r>
      <w:r w:rsidRPr="00B04DC3">
        <w:rPr>
          <w:lang w:val="en-GB"/>
        </w:rPr>
        <w:tab/>
        <w:t>"</w:t>
      </w:r>
      <w:r w:rsidR="008713DB" w:rsidRPr="00B04DC3">
        <w:rPr>
          <w:i/>
          <w:lang w:val="en-GB"/>
        </w:rPr>
        <w:t>B</w:t>
      </w:r>
      <w:r w:rsidRPr="00B04DC3">
        <w:rPr>
          <w:i/>
          <w:lang w:val="en-GB"/>
        </w:rPr>
        <w:t xml:space="preserve">ase </w:t>
      </w:r>
      <w:r w:rsidR="004B31B3">
        <w:rPr>
          <w:i/>
          <w:lang w:val="en-GB"/>
        </w:rPr>
        <w:t>E</w:t>
      </w:r>
      <w:r w:rsidR="004B31B3" w:rsidRPr="00B04DC3">
        <w:rPr>
          <w:i/>
          <w:lang w:val="en-GB"/>
        </w:rPr>
        <w:t xml:space="preserve">mission </w:t>
      </w:r>
      <w:r w:rsidR="004B31B3">
        <w:rPr>
          <w:i/>
          <w:lang w:val="en-GB"/>
        </w:rPr>
        <w:t>C</w:t>
      </w:r>
      <w:r w:rsidR="004B31B3" w:rsidRPr="00B04DC3">
        <w:rPr>
          <w:i/>
          <w:lang w:val="en-GB"/>
        </w:rPr>
        <w:t xml:space="preserve">ontrol </w:t>
      </w:r>
      <w:r w:rsidR="004B31B3">
        <w:rPr>
          <w:i/>
          <w:lang w:val="en-GB"/>
        </w:rPr>
        <w:t>S</w:t>
      </w:r>
      <w:r w:rsidR="004B31B3" w:rsidRPr="00B04DC3">
        <w:rPr>
          <w:i/>
          <w:lang w:val="en-GB"/>
        </w:rPr>
        <w:t xml:space="preserve">trategy </w:t>
      </w:r>
      <w:r w:rsidRPr="00B04DC3">
        <w:rPr>
          <w:i/>
          <w:lang w:val="en-GB"/>
        </w:rPr>
        <w:t>(BECS)</w:t>
      </w:r>
      <w:r w:rsidRPr="00B04DC3">
        <w:rPr>
          <w:lang w:val="en-GB"/>
        </w:rPr>
        <w:t>" means an emission control strategy that is active throughout the speed and load operating range of the engine unless an ACS is activated</w:t>
      </w:r>
      <w:r w:rsidR="00401E79" w:rsidRPr="00B04DC3">
        <w:rPr>
          <w:lang w:val="en-GB"/>
        </w:rPr>
        <w:t xml:space="preserve">. </w:t>
      </w:r>
      <w:r w:rsidRPr="00B04DC3">
        <w:rPr>
          <w:lang w:val="en-GB"/>
        </w:rPr>
        <w:t>Examples for BECS are, but are not limited to:</w:t>
      </w:r>
    </w:p>
    <w:p w:rsidR="00C0100D" w:rsidRPr="00B04DC3" w:rsidRDefault="00C0100D" w:rsidP="008713DB">
      <w:pPr>
        <w:pStyle w:val="a"/>
        <w:rPr>
          <w:lang w:val="en-GB"/>
        </w:rPr>
      </w:pPr>
      <w:r w:rsidRPr="00B04DC3">
        <w:rPr>
          <w:lang w:val="en-GB"/>
        </w:rPr>
        <w:t>(a)</w:t>
      </w:r>
      <w:r w:rsidRPr="00B04DC3">
        <w:rPr>
          <w:lang w:val="en-GB"/>
        </w:rPr>
        <w:tab/>
      </w:r>
      <w:r w:rsidR="001309C3" w:rsidRPr="00B04DC3">
        <w:rPr>
          <w:lang w:val="en-GB"/>
        </w:rPr>
        <w:t>Engine</w:t>
      </w:r>
      <w:r w:rsidRPr="00B04DC3">
        <w:rPr>
          <w:lang w:val="en-GB"/>
        </w:rPr>
        <w:t xml:space="preserve"> timing map;</w:t>
      </w:r>
    </w:p>
    <w:p w:rsidR="00C0100D" w:rsidRPr="00B04DC3" w:rsidRDefault="00C0100D" w:rsidP="008713DB">
      <w:pPr>
        <w:pStyle w:val="a"/>
        <w:rPr>
          <w:lang w:val="en-GB"/>
        </w:rPr>
      </w:pPr>
      <w:r w:rsidRPr="00B04DC3">
        <w:rPr>
          <w:lang w:val="en-GB"/>
        </w:rPr>
        <w:t>(b)</w:t>
      </w:r>
      <w:r w:rsidRPr="00B04DC3">
        <w:rPr>
          <w:lang w:val="en-GB"/>
        </w:rPr>
        <w:tab/>
      </w:r>
      <w:r w:rsidR="001309C3" w:rsidRPr="00B04DC3">
        <w:rPr>
          <w:lang w:val="en-GB"/>
        </w:rPr>
        <w:t xml:space="preserve">Exhaust </w:t>
      </w:r>
      <w:r w:rsidR="004B31B3" w:rsidRPr="00B04DC3">
        <w:rPr>
          <w:lang w:val="en-GB"/>
        </w:rPr>
        <w:t>G</w:t>
      </w:r>
      <w:r w:rsidR="001309C3" w:rsidRPr="00B04DC3">
        <w:rPr>
          <w:lang w:val="en-GB"/>
        </w:rPr>
        <w:t xml:space="preserve">as </w:t>
      </w:r>
      <w:r w:rsidR="004B31B3" w:rsidRPr="00B04DC3">
        <w:rPr>
          <w:lang w:val="en-GB"/>
        </w:rPr>
        <w:t>R</w:t>
      </w:r>
      <w:r w:rsidR="001309C3" w:rsidRPr="00B04DC3">
        <w:rPr>
          <w:lang w:val="en-GB"/>
        </w:rPr>
        <w:t>ecirculation (</w:t>
      </w:r>
      <w:r w:rsidRPr="00B04DC3">
        <w:rPr>
          <w:lang w:val="en-GB"/>
        </w:rPr>
        <w:t>EGR</w:t>
      </w:r>
      <w:r w:rsidR="001309C3" w:rsidRPr="00B04DC3">
        <w:rPr>
          <w:lang w:val="en-GB"/>
        </w:rPr>
        <w:t>)</w:t>
      </w:r>
      <w:r w:rsidRPr="00B04DC3">
        <w:rPr>
          <w:lang w:val="en-GB"/>
        </w:rPr>
        <w:t xml:space="preserve"> map;</w:t>
      </w:r>
    </w:p>
    <w:p w:rsidR="00C0100D" w:rsidRPr="00B04DC3" w:rsidRDefault="001309C3" w:rsidP="008713DB">
      <w:pPr>
        <w:pStyle w:val="a"/>
        <w:rPr>
          <w:lang w:val="en-GB"/>
        </w:rPr>
      </w:pPr>
      <w:r w:rsidRPr="00B04DC3">
        <w:rPr>
          <w:lang w:val="en-GB"/>
        </w:rPr>
        <w:t>(c)</w:t>
      </w:r>
      <w:r w:rsidRPr="00B04DC3">
        <w:rPr>
          <w:lang w:val="en-GB"/>
        </w:rPr>
        <w:tab/>
        <w:t xml:space="preserve">Selective </w:t>
      </w:r>
      <w:r w:rsidR="004B31B3" w:rsidRPr="00B04DC3">
        <w:rPr>
          <w:lang w:val="en-GB"/>
        </w:rPr>
        <w:t>C</w:t>
      </w:r>
      <w:r w:rsidRPr="00B04DC3">
        <w:rPr>
          <w:lang w:val="en-GB"/>
        </w:rPr>
        <w:t xml:space="preserve">atalytic </w:t>
      </w:r>
      <w:r w:rsidR="004B31B3" w:rsidRPr="00B04DC3">
        <w:rPr>
          <w:lang w:val="en-GB"/>
        </w:rPr>
        <w:t>R</w:t>
      </w:r>
      <w:r w:rsidRPr="00B04DC3">
        <w:rPr>
          <w:lang w:val="en-GB"/>
        </w:rPr>
        <w:t xml:space="preserve">eduction (SCR) </w:t>
      </w:r>
      <w:r w:rsidR="00C0100D" w:rsidRPr="00B04DC3">
        <w:rPr>
          <w:lang w:val="en-GB"/>
        </w:rPr>
        <w:t>catalyst reagent dosing map;</w:t>
      </w:r>
    </w:p>
    <w:p w:rsidR="00C0100D" w:rsidRPr="00B04DC3" w:rsidRDefault="00C0100D" w:rsidP="000D6A75">
      <w:pPr>
        <w:pStyle w:val="para"/>
        <w:rPr>
          <w:snapToGrid w:val="0"/>
          <w:lang w:val="en-GB"/>
        </w:rPr>
      </w:pPr>
      <w:r w:rsidRPr="00B04DC3">
        <w:rPr>
          <w:snapToGrid w:val="0"/>
          <w:lang w:val="en-GB"/>
        </w:rPr>
        <w:t>2.1.7.</w:t>
      </w:r>
      <w:r w:rsidRPr="00B04DC3">
        <w:rPr>
          <w:snapToGrid w:val="0"/>
          <w:lang w:val="en-GB"/>
        </w:rPr>
        <w:tab/>
        <w:t>"</w:t>
      </w:r>
      <w:r w:rsidR="008713DB" w:rsidRPr="00B04DC3">
        <w:rPr>
          <w:i/>
          <w:lang w:val="en-GB"/>
        </w:rPr>
        <w:t>C</w:t>
      </w:r>
      <w:r w:rsidRPr="00B04DC3">
        <w:rPr>
          <w:i/>
          <w:lang w:val="en-GB"/>
        </w:rPr>
        <w:t xml:space="preserve">ombined </w:t>
      </w:r>
      <w:r w:rsidR="00BB1DA8" w:rsidRPr="00B04DC3">
        <w:rPr>
          <w:i/>
          <w:lang w:val="en-GB"/>
        </w:rPr>
        <w:t>deNO</w:t>
      </w:r>
      <w:r w:rsidR="00BB1DA8" w:rsidRPr="00B04DC3">
        <w:rPr>
          <w:i/>
          <w:vertAlign w:val="subscript"/>
          <w:lang w:val="en-GB"/>
        </w:rPr>
        <w:t>x</w:t>
      </w:r>
      <w:r w:rsidRPr="00B04DC3">
        <w:rPr>
          <w:i/>
          <w:lang w:val="en-GB"/>
        </w:rPr>
        <w:t>- particulate filter</w:t>
      </w:r>
      <w:r w:rsidRPr="00B04DC3">
        <w:rPr>
          <w:snapToGrid w:val="0"/>
          <w:lang w:val="en-GB"/>
        </w:rPr>
        <w:t xml:space="preserve">" means an exhaust </w:t>
      </w:r>
      <w:r w:rsidR="006A75A0">
        <w:rPr>
          <w:snapToGrid w:val="0"/>
          <w:lang w:val="en-GB"/>
        </w:rPr>
        <w:t>after-treatment</w:t>
      </w:r>
      <w:r w:rsidRPr="00B04DC3">
        <w:rPr>
          <w:snapToGrid w:val="0"/>
          <w:lang w:val="en-GB"/>
        </w:rPr>
        <w:t xml:space="preserve"> system designed to concurrently reduce emissions of oxides of nitrogen (NO</w:t>
      </w:r>
      <w:r w:rsidRPr="00B04DC3">
        <w:rPr>
          <w:snapToGrid w:val="0"/>
          <w:vertAlign w:val="subscript"/>
          <w:lang w:val="en-GB"/>
        </w:rPr>
        <w:t>x</w:t>
      </w:r>
      <w:r w:rsidRPr="00B04DC3">
        <w:rPr>
          <w:snapToGrid w:val="0"/>
          <w:lang w:val="en-GB"/>
        </w:rPr>
        <w:t xml:space="preserve">) and </w:t>
      </w:r>
      <w:r w:rsidR="00257619">
        <w:rPr>
          <w:snapToGrid w:val="0"/>
          <w:lang w:val="en-GB"/>
        </w:rPr>
        <w:t>P</w:t>
      </w:r>
      <w:r w:rsidR="00257619" w:rsidRPr="00B04DC3">
        <w:rPr>
          <w:snapToGrid w:val="0"/>
          <w:lang w:val="en-GB"/>
        </w:rPr>
        <w:t xml:space="preserve">articulate </w:t>
      </w:r>
      <w:r w:rsidR="00257619">
        <w:rPr>
          <w:snapToGrid w:val="0"/>
          <w:lang w:val="en-GB"/>
        </w:rPr>
        <w:t>P</w:t>
      </w:r>
      <w:r w:rsidRPr="00B04DC3">
        <w:rPr>
          <w:snapToGrid w:val="0"/>
          <w:lang w:val="en-GB"/>
        </w:rPr>
        <w:t>ollutants (PT);</w:t>
      </w:r>
    </w:p>
    <w:p w:rsidR="00C0100D" w:rsidRPr="00B04DC3" w:rsidRDefault="00C0100D" w:rsidP="000D6A75">
      <w:pPr>
        <w:pStyle w:val="para"/>
        <w:rPr>
          <w:lang w:val="en-GB"/>
        </w:rPr>
      </w:pPr>
      <w:r w:rsidRPr="00B04DC3">
        <w:rPr>
          <w:lang w:val="en-GB"/>
        </w:rPr>
        <w:t>2.1.8.</w:t>
      </w:r>
      <w:r w:rsidRPr="00B04DC3">
        <w:rPr>
          <w:lang w:val="en-GB"/>
        </w:rPr>
        <w:tab/>
        <w:t>"</w:t>
      </w:r>
      <w:r w:rsidR="008713DB" w:rsidRPr="00B04DC3">
        <w:rPr>
          <w:i/>
          <w:lang w:val="en-GB"/>
        </w:rPr>
        <w:t>C</w:t>
      </w:r>
      <w:r w:rsidRPr="00B04DC3">
        <w:rPr>
          <w:i/>
          <w:lang w:val="en-GB"/>
        </w:rPr>
        <w:t>ontinuous regeneration</w:t>
      </w:r>
      <w:r w:rsidRPr="00B04DC3">
        <w:rPr>
          <w:lang w:val="en-GB"/>
        </w:rPr>
        <w:t xml:space="preserve">" means the regeneration process of an exhaust </w:t>
      </w:r>
      <w:r w:rsidR="006A75A0">
        <w:rPr>
          <w:lang w:val="en-GB"/>
        </w:rPr>
        <w:t>after-treatment</w:t>
      </w:r>
      <w:r w:rsidRPr="00B04DC3">
        <w:rPr>
          <w:lang w:val="en-GB"/>
        </w:rPr>
        <w:t xml:space="preserve"> system that occurs either permanently or at least once per </w:t>
      </w:r>
      <w:r w:rsidR="00E15A27">
        <w:rPr>
          <w:lang w:val="en-GB"/>
        </w:rPr>
        <w:t>European Transient Cycle (</w:t>
      </w:r>
      <w:r w:rsidRPr="00B04DC3">
        <w:rPr>
          <w:lang w:val="en-GB"/>
        </w:rPr>
        <w:t>ETC</w:t>
      </w:r>
      <w:r w:rsidR="00E15A27">
        <w:rPr>
          <w:lang w:val="en-GB"/>
        </w:rPr>
        <w:t>)</w:t>
      </w:r>
      <w:r w:rsidRPr="00B04DC3">
        <w:rPr>
          <w:lang w:val="en-GB"/>
        </w:rPr>
        <w:t xml:space="preserve"> test</w:t>
      </w:r>
      <w:r w:rsidR="00401E79" w:rsidRPr="00B04DC3">
        <w:rPr>
          <w:lang w:val="en-GB"/>
        </w:rPr>
        <w:t xml:space="preserve">. </w:t>
      </w:r>
      <w:r w:rsidRPr="00B04DC3">
        <w:rPr>
          <w:lang w:val="en-GB"/>
        </w:rPr>
        <w:t>Such a regeneration process will not require a special test procedure;</w:t>
      </w:r>
    </w:p>
    <w:p w:rsidR="00C0100D" w:rsidRPr="00B04DC3" w:rsidRDefault="00C0100D" w:rsidP="000D6A75">
      <w:pPr>
        <w:pStyle w:val="para"/>
        <w:rPr>
          <w:lang w:val="en-GB"/>
        </w:rPr>
      </w:pPr>
      <w:r w:rsidRPr="00B04DC3">
        <w:rPr>
          <w:lang w:val="en-GB"/>
        </w:rPr>
        <w:t>2.1.9.</w:t>
      </w:r>
      <w:r w:rsidRPr="00B04DC3">
        <w:rPr>
          <w:lang w:val="en-GB"/>
        </w:rPr>
        <w:tab/>
        <w:t>"</w:t>
      </w:r>
      <w:r w:rsidR="008713DB" w:rsidRPr="00B04DC3">
        <w:rPr>
          <w:i/>
          <w:lang w:val="en-GB"/>
        </w:rPr>
        <w:t>C</w:t>
      </w:r>
      <w:r w:rsidRPr="00B04DC3">
        <w:rPr>
          <w:i/>
          <w:lang w:val="en-GB"/>
        </w:rPr>
        <w:t>ontrol area</w:t>
      </w:r>
      <w:r w:rsidRPr="00B04DC3">
        <w:rPr>
          <w:lang w:val="en-GB"/>
        </w:rPr>
        <w:t>" means the area between the engine speeds A and C and between 25 to 100 per cent load;</w:t>
      </w:r>
    </w:p>
    <w:p w:rsidR="00C0100D" w:rsidRPr="00B04DC3" w:rsidRDefault="00C0100D" w:rsidP="000D6A75">
      <w:pPr>
        <w:pStyle w:val="para"/>
        <w:rPr>
          <w:lang w:val="en-GB"/>
        </w:rPr>
      </w:pPr>
      <w:r w:rsidRPr="00B04DC3">
        <w:rPr>
          <w:lang w:val="en-GB"/>
        </w:rPr>
        <w:t>2.1.10.</w:t>
      </w:r>
      <w:r w:rsidRPr="00B04DC3">
        <w:rPr>
          <w:lang w:val="en-GB"/>
        </w:rPr>
        <w:tab/>
        <w:t>"</w:t>
      </w:r>
      <w:r w:rsidR="008713DB" w:rsidRPr="00B04DC3">
        <w:rPr>
          <w:i/>
          <w:lang w:val="en-GB"/>
        </w:rPr>
        <w:t>D</w:t>
      </w:r>
      <w:r w:rsidRPr="00B04DC3">
        <w:rPr>
          <w:i/>
          <w:lang w:val="en-GB"/>
        </w:rPr>
        <w:t>eclared maximum power (P</w:t>
      </w:r>
      <w:r w:rsidRPr="00B04DC3">
        <w:rPr>
          <w:i/>
          <w:vertAlign w:val="subscript"/>
          <w:lang w:val="en-GB"/>
        </w:rPr>
        <w:t>max</w:t>
      </w:r>
      <w:r w:rsidRPr="00B04DC3">
        <w:rPr>
          <w:i/>
          <w:lang w:val="en-GB"/>
        </w:rPr>
        <w:t>)</w:t>
      </w:r>
      <w:r w:rsidRPr="00B04DC3">
        <w:rPr>
          <w:lang w:val="en-GB"/>
        </w:rPr>
        <w:t>" means the maximum power in kW (net power</w:t>
      </w:r>
      <w:r w:rsidR="00F13D92">
        <w:rPr>
          <w:lang w:val="en-GB"/>
        </w:rPr>
        <w:t xml:space="preserve"> </w:t>
      </w:r>
      <w:r w:rsidR="00E15A27">
        <w:rPr>
          <w:lang w:val="en-GB"/>
        </w:rPr>
        <w:t xml:space="preserve">as specified in Regulation No. 85) </w:t>
      </w:r>
      <w:r w:rsidRPr="00B04DC3">
        <w:rPr>
          <w:lang w:val="en-GB"/>
        </w:rPr>
        <w:t>as declared by the manufacturer in</w:t>
      </w:r>
      <w:r w:rsidRPr="00B04DC3">
        <w:rPr>
          <w:b/>
          <w:lang w:val="en-GB"/>
        </w:rPr>
        <w:t xml:space="preserve"> </w:t>
      </w:r>
      <w:r w:rsidRPr="00B04DC3">
        <w:rPr>
          <w:lang w:val="en-GB"/>
        </w:rPr>
        <w:t>his application for approval;</w:t>
      </w:r>
    </w:p>
    <w:p w:rsidR="00C0100D" w:rsidRPr="00B04DC3" w:rsidRDefault="00C0100D" w:rsidP="000D6A75">
      <w:pPr>
        <w:pStyle w:val="para"/>
        <w:rPr>
          <w:lang w:val="en-GB"/>
        </w:rPr>
      </w:pPr>
      <w:r w:rsidRPr="00B04DC3">
        <w:rPr>
          <w:lang w:val="en-GB"/>
        </w:rPr>
        <w:t>2.1.11.</w:t>
      </w:r>
      <w:r w:rsidRPr="00B04DC3">
        <w:rPr>
          <w:lang w:val="en-GB"/>
        </w:rPr>
        <w:tab/>
        <w:t>"</w:t>
      </w:r>
      <w:r w:rsidR="008713DB" w:rsidRPr="00B04DC3">
        <w:rPr>
          <w:i/>
          <w:lang w:val="en-GB"/>
        </w:rPr>
        <w:t>D</w:t>
      </w:r>
      <w:r w:rsidRPr="00B04DC3">
        <w:rPr>
          <w:i/>
          <w:lang w:val="en-GB"/>
        </w:rPr>
        <w:t>efeat strategy</w:t>
      </w:r>
      <w:r w:rsidRPr="00B04DC3">
        <w:rPr>
          <w:lang w:val="en-GB"/>
        </w:rPr>
        <w:t>" means:</w:t>
      </w:r>
    </w:p>
    <w:p w:rsidR="00C0100D" w:rsidRPr="00B04DC3" w:rsidRDefault="00700CBE" w:rsidP="008713DB">
      <w:pPr>
        <w:pStyle w:val="a"/>
        <w:rPr>
          <w:lang w:val="en-GB"/>
        </w:rPr>
      </w:pPr>
      <w:r w:rsidRPr="00B04DC3">
        <w:rPr>
          <w:lang w:val="en-GB"/>
        </w:rPr>
        <w:t>(a)</w:t>
      </w:r>
      <w:r w:rsidRPr="00B04DC3">
        <w:rPr>
          <w:lang w:val="en-GB"/>
        </w:rPr>
        <w:tab/>
        <w:t>A</w:t>
      </w:r>
      <w:r w:rsidR="00C0100D" w:rsidRPr="00B04DC3">
        <w:rPr>
          <w:lang w:val="en-GB"/>
        </w:rPr>
        <w:t>n ACS that reduces the effectiveness of the emission control relative to the BECS under conditions that may reasonably be expected to be encountered in normal vehicle operation and use;</w:t>
      </w:r>
    </w:p>
    <w:p w:rsidR="00C0100D" w:rsidRPr="00B04DC3" w:rsidRDefault="00C0100D" w:rsidP="008713DB">
      <w:pPr>
        <w:pStyle w:val="a"/>
        <w:rPr>
          <w:lang w:val="en-GB"/>
        </w:rPr>
      </w:pPr>
      <w:r w:rsidRPr="00B04DC3">
        <w:rPr>
          <w:szCs w:val="24"/>
          <w:lang w:val="en-GB"/>
        </w:rPr>
        <w:t>(b)</w:t>
      </w:r>
      <w:r w:rsidRPr="00B04DC3">
        <w:rPr>
          <w:szCs w:val="24"/>
          <w:lang w:val="en-GB"/>
        </w:rPr>
        <w:tab/>
      </w:r>
      <w:r w:rsidR="00700CBE" w:rsidRPr="00B04DC3">
        <w:rPr>
          <w:szCs w:val="24"/>
          <w:lang w:val="en-GB"/>
        </w:rPr>
        <w:t>A</w:t>
      </w:r>
      <w:r w:rsidRPr="00B04DC3">
        <w:rPr>
          <w:szCs w:val="24"/>
          <w:lang w:val="en-GB"/>
        </w:rPr>
        <w:t xml:space="preserve"> </w:t>
      </w:r>
      <w:r w:rsidRPr="00B04DC3">
        <w:rPr>
          <w:lang w:val="en-GB"/>
        </w:rPr>
        <w:t>BECS that discriminates between operation on a standardized approval test and other operations and provides a lesser level of emission control under conditions not substantially included in the applicable approval test procedures, or;</w:t>
      </w:r>
    </w:p>
    <w:p w:rsidR="00C0100D" w:rsidRPr="00B04DC3" w:rsidRDefault="00C0100D" w:rsidP="008713DB">
      <w:pPr>
        <w:pStyle w:val="a"/>
        <w:rPr>
          <w:lang w:val="en-GB"/>
        </w:rPr>
      </w:pPr>
      <w:r w:rsidRPr="00B04DC3">
        <w:rPr>
          <w:lang w:val="en-GB"/>
        </w:rPr>
        <w:t>(c)</w:t>
      </w:r>
      <w:r w:rsidRPr="00B04DC3">
        <w:rPr>
          <w:lang w:val="en-GB"/>
        </w:rPr>
        <w:tab/>
      </w:r>
      <w:r w:rsidR="00700CBE" w:rsidRPr="00B04DC3">
        <w:rPr>
          <w:lang w:val="en-GB"/>
        </w:rPr>
        <w:t>A</w:t>
      </w:r>
      <w:r w:rsidRPr="00B04DC3">
        <w:rPr>
          <w:lang w:val="en-GB"/>
        </w:rPr>
        <w:t>n OBD or an emission control monitoring strategy that discriminates between operation on a standardized approval test and other operations and provides a lower level of monitoring capability (timely and accurately) under conditions not substantially included</w:t>
      </w:r>
      <w:r w:rsidRPr="00B04DC3">
        <w:rPr>
          <w:szCs w:val="24"/>
          <w:lang w:val="en-GB"/>
        </w:rPr>
        <w:t xml:space="preserve"> in the applicable approval test procedures;</w:t>
      </w:r>
    </w:p>
    <w:p w:rsidR="00C0100D" w:rsidRPr="00B04DC3" w:rsidRDefault="00C0100D" w:rsidP="008713DB">
      <w:pPr>
        <w:pStyle w:val="para"/>
        <w:rPr>
          <w:snapToGrid w:val="0"/>
          <w:lang w:val="en-GB"/>
        </w:rPr>
      </w:pPr>
      <w:r w:rsidRPr="00B04DC3">
        <w:rPr>
          <w:snapToGrid w:val="0"/>
          <w:lang w:val="en-GB"/>
        </w:rPr>
        <w:t>2.1.12.</w:t>
      </w:r>
      <w:r w:rsidRPr="00B04DC3">
        <w:rPr>
          <w:snapToGrid w:val="0"/>
          <w:lang w:val="en-GB"/>
        </w:rPr>
        <w:tab/>
        <w:t>"</w:t>
      </w:r>
      <w:r w:rsidR="00864CF5">
        <w:rPr>
          <w:i/>
          <w:lang w:val="en-GB"/>
        </w:rPr>
        <w:t>D</w:t>
      </w:r>
      <w:r w:rsidR="00BB1DA8" w:rsidRPr="00B04DC3">
        <w:rPr>
          <w:i/>
          <w:lang w:val="en-GB"/>
        </w:rPr>
        <w:t>eNO</w:t>
      </w:r>
      <w:r w:rsidR="00BB1DA8" w:rsidRPr="00B04DC3">
        <w:rPr>
          <w:i/>
          <w:vertAlign w:val="subscript"/>
          <w:lang w:val="en-GB"/>
        </w:rPr>
        <w:t>x</w:t>
      </w:r>
      <w:r w:rsidRPr="00B04DC3">
        <w:rPr>
          <w:i/>
          <w:lang w:val="en-GB"/>
        </w:rPr>
        <w:t xml:space="preserve"> system</w:t>
      </w:r>
      <w:r w:rsidRPr="00B04DC3">
        <w:rPr>
          <w:snapToGrid w:val="0"/>
          <w:lang w:val="en-GB"/>
        </w:rPr>
        <w:t xml:space="preserve">" means an exhaust </w:t>
      </w:r>
      <w:r w:rsidR="006A75A0">
        <w:rPr>
          <w:snapToGrid w:val="0"/>
          <w:lang w:val="en-GB"/>
        </w:rPr>
        <w:t>after-treatment</w:t>
      </w:r>
      <w:r w:rsidRPr="00B04DC3">
        <w:rPr>
          <w:snapToGrid w:val="0"/>
          <w:lang w:val="en-GB"/>
        </w:rPr>
        <w:t xml:space="preserve"> system designed to reduce emissions of oxides of nitrogen (NO</w:t>
      </w:r>
      <w:r w:rsidRPr="00B04DC3">
        <w:rPr>
          <w:snapToGrid w:val="0"/>
          <w:vertAlign w:val="subscript"/>
          <w:lang w:val="en-GB"/>
        </w:rPr>
        <w:t>x</w:t>
      </w:r>
      <w:r w:rsidRPr="00B04DC3">
        <w:rPr>
          <w:snapToGrid w:val="0"/>
          <w:lang w:val="en-GB"/>
        </w:rPr>
        <w:t>) (e.g. there are presently passive and active lean NO</w:t>
      </w:r>
      <w:r w:rsidRPr="00B04DC3">
        <w:rPr>
          <w:snapToGrid w:val="0"/>
          <w:vertAlign w:val="subscript"/>
          <w:lang w:val="en-GB"/>
        </w:rPr>
        <w:t>x</w:t>
      </w:r>
      <w:r w:rsidRPr="00B04DC3">
        <w:rPr>
          <w:snapToGrid w:val="0"/>
          <w:lang w:val="en-GB"/>
        </w:rPr>
        <w:t xml:space="preserve"> catalysts, NO</w:t>
      </w:r>
      <w:r w:rsidRPr="00B04DC3">
        <w:rPr>
          <w:snapToGrid w:val="0"/>
          <w:vertAlign w:val="subscript"/>
          <w:lang w:val="en-GB"/>
        </w:rPr>
        <w:t>x</w:t>
      </w:r>
      <w:r w:rsidRPr="00B04DC3">
        <w:rPr>
          <w:snapToGrid w:val="0"/>
          <w:lang w:val="en-GB"/>
        </w:rPr>
        <w:t xml:space="preserve"> adsorbers and SCR systems);</w:t>
      </w:r>
    </w:p>
    <w:p w:rsidR="00C0100D" w:rsidRPr="00B04DC3" w:rsidRDefault="00C0100D" w:rsidP="00864CF5">
      <w:pPr>
        <w:pStyle w:val="para"/>
        <w:keepNext/>
        <w:keepLines/>
        <w:rPr>
          <w:snapToGrid w:val="0"/>
          <w:lang w:val="en-GB"/>
        </w:rPr>
      </w:pPr>
      <w:bookmarkStart w:id="13" w:name="_Toc495721562"/>
      <w:r w:rsidRPr="00B04DC3">
        <w:rPr>
          <w:snapToGrid w:val="0"/>
          <w:lang w:val="en-GB"/>
        </w:rPr>
        <w:t>2.1.13.</w:t>
      </w:r>
      <w:r w:rsidRPr="00B04DC3">
        <w:rPr>
          <w:snapToGrid w:val="0"/>
          <w:lang w:val="en-GB"/>
        </w:rPr>
        <w:tab/>
        <w:t>"</w:t>
      </w:r>
      <w:r w:rsidR="008713DB" w:rsidRPr="00B04DC3">
        <w:rPr>
          <w:i/>
          <w:lang w:val="en-GB"/>
        </w:rPr>
        <w:t>Delay</w:t>
      </w:r>
      <w:r w:rsidRPr="00B04DC3">
        <w:rPr>
          <w:i/>
          <w:lang w:val="en-GB"/>
        </w:rPr>
        <w:t xml:space="preserve"> time</w:t>
      </w:r>
      <w:bookmarkEnd w:id="13"/>
      <w:r w:rsidRPr="00B04DC3">
        <w:rPr>
          <w:snapToGrid w:val="0"/>
          <w:lang w:val="en-GB"/>
        </w:rPr>
        <w:t>" means the time between the change of the component to be measured at the reference point and a system response of 10 per cent of the final reading (t</w:t>
      </w:r>
      <w:r w:rsidRPr="00B04DC3">
        <w:rPr>
          <w:snapToGrid w:val="0"/>
          <w:vertAlign w:val="subscript"/>
          <w:lang w:val="en-GB"/>
        </w:rPr>
        <w:t>10</w:t>
      </w:r>
      <w:r w:rsidRPr="00B04DC3">
        <w:rPr>
          <w:snapToGrid w:val="0"/>
          <w:lang w:val="en-GB"/>
        </w:rPr>
        <w:t>)</w:t>
      </w:r>
      <w:r w:rsidR="00401E79" w:rsidRPr="00B04DC3">
        <w:rPr>
          <w:snapToGrid w:val="0"/>
          <w:lang w:val="en-GB"/>
        </w:rPr>
        <w:t xml:space="preserve">. </w:t>
      </w:r>
      <w:r w:rsidRPr="00B04DC3">
        <w:rPr>
          <w:snapToGrid w:val="0"/>
          <w:lang w:val="en-GB"/>
        </w:rPr>
        <w:t>For the gaseous components, this is basically the transport time of the measured component from the sampling probe to the detector</w:t>
      </w:r>
      <w:r w:rsidR="00401E79" w:rsidRPr="00B04DC3">
        <w:rPr>
          <w:snapToGrid w:val="0"/>
          <w:lang w:val="en-GB"/>
        </w:rPr>
        <w:t xml:space="preserve">. </w:t>
      </w:r>
      <w:r w:rsidRPr="00B04DC3">
        <w:rPr>
          <w:snapToGrid w:val="0"/>
          <w:lang w:val="en-GB"/>
        </w:rPr>
        <w:t>For the delay time, the sampling probe is defined as the reference point;</w:t>
      </w:r>
    </w:p>
    <w:p w:rsidR="00C0100D" w:rsidRPr="00B04DC3" w:rsidRDefault="00C0100D" w:rsidP="008713DB">
      <w:pPr>
        <w:pStyle w:val="para"/>
        <w:rPr>
          <w:lang w:val="en-GB"/>
        </w:rPr>
      </w:pPr>
      <w:r w:rsidRPr="00B04DC3">
        <w:rPr>
          <w:lang w:val="en-GB"/>
        </w:rPr>
        <w:t>2.1.14.</w:t>
      </w:r>
      <w:r w:rsidRPr="00B04DC3">
        <w:rPr>
          <w:lang w:val="en-GB"/>
        </w:rPr>
        <w:tab/>
        <w:t>"</w:t>
      </w:r>
      <w:r w:rsidR="008713DB" w:rsidRPr="00B04DC3">
        <w:rPr>
          <w:i/>
          <w:lang w:val="en-GB"/>
        </w:rPr>
        <w:t>Diesel</w:t>
      </w:r>
      <w:r w:rsidRPr="00B04DC3">
        <w:rPr>
          <w:i/>
          <w:lang w:val="en-GB"/>
        </w:rPr>
        <w:t xml:space="preserve"> engine</w:t>
      </w:r>
      <w:r w:rsidRPr="00B04DC3">
        <w:rPr>
          <w:lang w:val="en-GB"/>
        </w:rPr>
        <w:t>" means an engine which works on the compression-ignition principle;</w:t>
      </w:r>
    </w:p>
    <w:p w:rsidR="00EC3C99" w:rsidRPr="00B04DC3" w:rsidRDefault="00EC3C99" w:rsidP="00EC3C99">
      <w:pPr>
        <w:spacing w:after="120"/>
        <w:ind w:left="2268" w:right="1134" w:hanging="1132"/>
        <w:jc w:val="both"/>
      </w:pPr>
      <w:r w:rsidRPr="00B04DC3">
        <w:t>2.1.15.</w:t>
      </w:r>
      <w:r w:rsidRPr="00B04DC3">
        <w:tab/>
        <w:t>"</w:t>
      </w:r>
      <w:r w:rsidRPr="00B04DC3">
        <w:rPr>
          <w:i/>
        </w:rPr>
        <w:t>Diesel mode</w:t>
      </w:r>
      <w:r w:rsidRPr="00B04DC3">
        <w:t>" means the normal operating mode of a dual-fuel engine during which the engine does not use any gaseous fuel for any engine operating condition</w:t>
      </w:r>
      <w:r w:rsidR="00E15A27">
        <w:t>;</w:t>
      </w:r>
    </w:p>
    <w:p w:rsidR="00EC3C99" w:rsidRPr="00B04DC3" w:rsidRDefault="00EC3C99" w:rsidP="00EC3C99">
      <w:pPr>
        <w:spacing w:after="120"/>
        <w:ind w:left="2268" w:right="1134" w:hanging="1132"/>
        <w:jc w:val="both"/>
      </w:pPr>
      <w:r w:rsidRPr="00B04DC3">
        <w:t>2.1.16.</w:t>
      </w:r>
      <w:r w:rsidRPr="00B04DC3">
        <w:tab/>
        <w:t>"</w:t>
      </w:r>
      <w:r w:rsidRPr="00B04DC3">
        <w:rPr>
          <w:i/>
        </w:rPr>
        <w:t>Driving cycle</w:t>
      </w:r>
      <w:r w:rsidRPr="00B04DC3">
        <w:t>" means a sequence consisting of an engine start, an operating period (of the vehicle), an engine shut-off, and the time until the next engine start</w:t>
      </w:r>
      <w:r w:rsidR="00E15A27">
        <w:t>;</w:t>
      </w:r>
    </w:p>
    <w:p w:rsidR="00EC3C99" w:rsidRPr="00B04DC3" w:rsidRDefault="00EC3C99" w:rsidP="00EC3C99">
      <w:pPr>
        <w:spacing w:after="120"/>
        <w:ind w:left="2268" w:right="1134" w:hanging="1134"/>
        <w:jc w:val="both"/>
      </w:pPr>
      <w:r w:rsidRPr="00B04DC3">
        <w:t>2.1.17.</w:t>
      </w:r>
      <w:r w:rsidRPr="00B04DC3">
        <w:tab/>
        <w:t>"</w:t>
      </w:r>
      <w:r w:rsidRPr="00B04DC3">
        <w:rPr>
          <w:i/>
        </w:rPr>
        <w:t>Dual-fuel engine</w:t>
      </w:r>
      <w:r w:rsidRPr="00B04DC3">
        <w:t>" means an engine system that is designed to simultaneously operate with diesel fuel and a gaseous fuel, both fuels being metered separately, where the consumed amount of one of the fuels relative to the other one may vary depending on the operation</w:t>
      </w:r>
      <w:r w:rsidR="00E15A27">
        <w:t>;</w:t>
      </w:r>
    </w:p>
    <w:p w:rsidR="00EC3C99" w:rsidRPr="00B04DC3" w:rsidRDefault="00EC3C99" w:rsidP="00EC3C99">
      <w:pPr>
        <w:spacing w:after="120"/>
        <w:ind w:left="2268" w:right="1134" w:hanging="1134"/>
        <w:jc w:val="both"/>
      </w:pPr>
      <w:r w:rsidRPr="00B04DC3">
        <w:t>2.1.18.</w:t>
      </w:r>
      <w:r w:rsidRPr="00B04DC3">
        <w:tab/>
        <w:t>"</w:t>
      </w:r>
      <w:r w:rsidRPr="00B04DC3">
        <w:rPr>
          <w:i/>
        </w:rPr>
        <w:t>Dual-fuel mode</w:t>
      </w:r>
      <w:r w:rsidRPr="00B04DC3">
        <w:t>" means the normal operating mode of a dual-fuel engine during which the engine simultaneously uses diesel fuel and a gaseous fuel at some engine operating conditions</w:t>
      </w:r>
      <w:r w:rsidR="00E15A27">
        <w:t>;</w:t>
      </w:r>
      <w:r w:rsidRPr="00B04DC3">
        <w:t xml:space="preserve"> </w:t>
      </w:r>
    </w:p>
    <w:p w:rsidR="00EC3C99" w:rsidRPr="00B04DC3" w:rsidRDefault="00EC3C99" w:rsidP="00EC3C99">
      <w:pPr>
        <w:pStyle w:val="para"/>
        <w:rPr>
          <w:lang w:val="en-GB"/>
        </w:rPr>
      </w:pPr>
      <w:r w:rsidRPr="00B04DC3">
        <w:rPr>
          <w:lang w:val="en-GB"/>
        </w:rPr>
        <w:t>2.1.19.</w:t>
      </w:r>
      <w:r w:rsidRPr="00B04DC3">
        <w:rPr>
          <w:lang w:val="en-GB"/>
        </w:rPr>
        <w:tab/>
        <w:t>"</w:t>
      </w:r>
      <w:r w:rsidRPr="00B04DC3">
        <w:rPr>
          <w:i/>
          <w:lang w:val="en-GB"/>
        </w:rPr>
        <w:t>Dual-fuel vehicle</w:t>
      </w:r>
      <w:r w:rsidRPr="00B04DC3">
        <w:rPr>
          <w:lang w:val="en-GB"/>
        </w:rPr>
        <w:t>" means a vehicle that is powered by a dual-fuel engine and that supplies the fuels used by the engine from separate on-board storage systems</w:t>
      </w:r>
      <w:r w:rsidR="00E15A27">
        <w:rPr>
          <w:lang w:val="en-GB"/>
        </w:rPr>
        <w:t>;</w:t>
      </w:r>
    </w:p>
    <w:p w:rsidR="00C0100D" w:rsidRPr="00B04DC3" w:rsidRDefault="00C0100D" w:rsidP="00EC3C99">
      <w:pPr>
        <w:pStyle w:val="para"/>
        <w:rPr>
          <w:lang w:val="en-GB"/>
        </w:rPr>
      </w:pPr>
      <w:r w:rsidRPr="00B04DC3">
        <w:rPr>
          <w:lang w:val="en-GB"/>
        </w:rPr>
        <w:t>2.1.</w:t>
      </w:r>
      <w:r w:rsidR="00EC3C99" w:rsidRPr="00B04DC3">
        <w:rPr>
          <w:lang w:val="en-GB"/>
        </w:rPr>
        <w:t>20</w:t>
      </w:r>
      <w:r w:rsidRPr="00B04DC3">
        <w:rPr>
          <w:lang w:val="en-GB"/>
        </w:rPr>
        <w:t>.</w:t>
      </w:r>
      <w:r w:rsidRPr="00B04DC3">
        <w:rPr>
          <w:lang w:val="en-GB"/>
        </w:rPr>
        <w:tab/>
        <w:t>"</w:t>
      </w:r>
      <w:r w:rsidR="00E15A27" w:rsidRPr="00864CF5">
        <w:rPr>
          <w:i/>
          <w:lang w:val="en-GB"/>
        </w:rPr>
        <w:t xml:space="preserve">European Load Response </w:t>
      </w:r>
      <w:r w:rsidR="00E15A27">
        <w:rPr>
          <w:lang w:val="en-GB"/>
        </w:rPr>
        <w:t>(</w:t>
      </w:r>
      <w:r w:rsidRPr="00B04DC3">
        <w:rPr>
          <w:i/>
          <w:lang w:val="en-GB"/>
        </w:rPr>
        <w:t>ELR</w:t>
      </w:r>
      <w:r w:rsidR="00E15A27">
        <w:rPr>
          <w:i/>
          <w:lang w:val="en-GB"/>
        </w:rPr>
        <w:t>)</w:t>
      </w:r>
      <w:r w:rsidRPr="00B04DC3">
        <w:rPr>
          <w:i/>
          <w:lang w:val="en-GB"/>
        </w:rPr>
        <w:t xml:space="preserve"> test</w:t>
      </w:r>
      <w:r w:rsidRPr="00B04DC3">
        <w:rPr>
          <w:lang w:val="en-GB"/>
        </w:rPr>
        <w:t>" means a test cycle consisting of a sequence of load steps at constant engine speeds to be applied in</w:t>
      </w:r>
      <w:r w:rsidRPr="00B04DC3">
        <w:rPr>
          <w:b/>
          <w:lang w:val="en-GB"/>
        </w:rPr>
        <w:t xml:space="preserve"> </w:t>
      </w:r>
      <w:r w:rsidRPr="00B04DC3">
        <w:rPr>
          <w:lang w:val="en-GB"/>
        </w:rPr>
        <w:t>accordance with paragraph 5.2.;</w:t>
      </w:r>
    </w:p>
    <w:p w:rsidR="00C0100D" w:rsidRPr="00B04DC3" w:rsidRDefault="00C0100D" w:rsidP="008713DB">
      <w:pPr>
        <w:pStyle w:val="para"/>
        <w:rPr>
          <w:lang w:val="en-GB"/>
        </w:rPr>
      </w:pPr>
      <w:r w:rsidRPr="00B04DC3">
        <w:rPr>
          <w:lang w:val="en-GB"/>
        </w:rPr>
        <w:t>2.1.</w:t>
      </w:r>
      <w:r w:rsidR="00EC3C99" w:rsidRPr="00B04DC3">
        <w:rPr>
          <w:lang w:val="en-GB"/>
        </w:rPr>
        <w:t>21</w:t>
      </w:r>
      <w:r w:rsidRPr="00B04DC3">
        <w:rPr>
          <w:lang w:val="en-GB"/>
        </w:rPr>
        <w:t>.</w:t>
      </w:r>
      <w:r w:rsidRPr="00B04DC3">
        <w:rPr>
          <w:lang w:val="en-GB"/>
        </w:rPr>
        <w:tab/>
        <w:t>"</w:t>
      </w:r>
      <w:r w:rsidR="00E15A27" w:rsidRPr="00864CF5">
        <w:rPr>
          <w:i/>
          <w:lang w:val="en-GB"/>
        </w:rPr>
        <w:t>European Steady State Cycle</w:t>
      </w:r>
      <w:r w:rsidR="00E15A27">
        <w:rPr>
          <w:lang w:val="en-GB"/>
        </w:rPr>
        <w:t xml:space="preserve"> (</w:t>
      </w:r>
      <w:r w:rsidRPr="00B04DC3">
        <w:rPr>
          <w:i/>
          <w:lang w:val="en-GB"/>
        </w:rPr>
        <w:t>ESC</w:t>
      </w:r>
      <w:r w:rsidR="00E15A27">
        <w:rPr>
          <w:i/>
          <w:lang w:val="en-GB"/>
        </w:rPr>
        <w:t>)</w:t>
      </w:r>
      <w:r w:rsidRPr="00B04DC3">
        <w:rPr>
          <w:i/>
          <w:lang w:val="en-GB"/>
        </w:rPr>
        <w:t xml:space="preserve"> test</w:t>
      </w:r>
      <w:r w:rsidRPr="00B04DC3">
        <w:rPr>
          <w:lang w:val="en-GB"/>
        </w:rPr>
        <w:t>" means a test cycle consisting of 13 steady state modes to be applied in accordance with paragraph 5.2.;</w:t>
      </w:r>
    </w:p>
    <w:p w:rsidR="00C0100D" w:rsidRPr="00B04DC3" w:rsidRDefault="00C0100D" w:rsidP="008713DB">
      <w:pPr>
        <w:pStyle w:val="para"/>
        <w:rPr>
          <w:lang w:val="en-GB"/>
        </w:rPr>
      </w:pPr>
      <w:r w:rsidRPr="00B04DC3">
        <w:rPr>
          <w:lang w:val="en-GB"/>
        </w:rPr>
        <w:t>2.1.</w:t>
      </w:r>
      <w:r w:rsidR="00EC3C99" w:rsidRPr="00B04DC3">
        <w:rPr>
          <w:lang w:val="en-GB"/>
        </w:rPr>
        <w:t>22</w:t>
      </w:r>
      <w:r w:rsidRPr="00B04DC3">
        <w:rPr>
          <w:lang w:val="en-GB"/>
        </w:rPr>
        <w:t>.</w:t>
      </w:r>
      <w:r w:rsidRPr="00B04DC3">
        <w:rPr>
          <w:lang w:val="en-GB"/>
        </w:rPr>
        <w:tab/>
        <w:t>"</w:t>
      </w:r>
      <w:r w:rsidR="00E15A27" w:rsidRPr="00864CF5">
        <w:rPr>
          <w:i/>
          <w:lang w:val="en-GB"/>
        </w:rPr>
        <w:t xml:space="preserve">European Transient Cycle </w:t>
      </w:r>
      <w:r w:rsidR="00E15A27">
        <w:rPr>
          <w:lang w:val="en-GB"/>
        </w:rPr>
        <w:t>(</w:t>
      </w:r>
      <w:r w:rsidRPr="00B04DC3">
        <w:rPr>
          <w:i/>
          <w:lang w:val="en-GB"/>
        </w:rPr>
        <w:t>ETC</w:t>
      </w:r>
      <w:r w:rsidR="00E15A27">
        <w:rPr>
          <w:i/>
          <w:lang w:val="en-GB"/>
        </w:rPr>
        <w:t>)</w:t>
      </w:r>
      <w:r w:rsidRPr="00B04DC3">
        <w:rPr>
          <w:i/>
          <w:lang w:val="en-GB"/>
        </w:rPr>
        <w:t xml:space="preserve"> test</w:t>
      </w:r>
      <w:r w:rsidRPr="00B04DC3">
        <w:rPr>
          <w:lang w:val="en-GB"/>
        </w:rPr>
        <w:t>" means a test cycle consisting of 1</w:t>
      </w:r>
      <w:r w:rsidR="00445C27" w:rsidRPr="00B04DC3">
        <w:rPr>
          <w:lang w:val="en-GB"/>
        </w:rPr>
        <w:t>,</w:t>
      </w:r>
      <w:r w:rsidRPr="00B04DC3">
        <w:rPr>
          <w:lang w:val="en-GB"/>
        </w:rPr>
        <w:t>800 second-by-second transient modes to be applied in</w:t>
      </w:r>
      <w:r w:rsidRPr="00B04DC3">
        <w:rPr>
          <w:b/>
          <w:lang w:val="en-GB"/>
        </w:rPr>
        <w:t xml:space="preserve"> </w:t>
      </w:r>
      <w:r w:rsidRPr="00B04DC3">
        <w:rPr>
          <w:lang w:val="en-GB"/>
        </w:rPr>
        <w:t>accordance with paragraph 5.2.;</w:t>
      </w:r>
    </w:p>
    <w:p w:rsidR="00C0100D" w:rsidRPr="00B04DC3" w:rsidRDefault="00C0100D" w:rsidP="008713DB">
      <w:pPr>
        <w:pStyle w:val="para"/>
        <w:rPr>
          <w:lang w:val="en-GB"/>
        </w:rPr>
      </w:pPr>
      <w:r w:rsidRPr="00B04DC3">
        <w:rPr>
          <w:lang w:val="en-GB"/>
        </w:rPr>
        <w:t>2.1.</w:t>
      </w:r>
      <w:r w:rsidR="00EC3C99" w:rsidRPr="00B04DC3">
        <w:rPr>
          <w:lang w:val="en-GB"/>
        </w:rPr>
        <w:t>23</w:t>
      </w:r>
      <w:r w:rsidRPr="00B04DC3">
        <w:rPr>
          <w:lang w:val="en-GB"/>
        </w:rPr>
        <w:t>.</w:t>
      </w:r>
      <w:r w:rsidRPr="00B04DC3">
        <w:rPr>
          <w:lang w:val="en-GB"/>
        </w:rPr>
        <w:tab/>
        <w:t>"</w:t>
      </w:r>
      <w:r w:rsidR="008713DB" w:rsidRPr="00B04DC3">
        <w:rPr>
          <w:i/>
          <w:lang w:val="en-GB"/>
        </w:rPr>
        <w:t>Element</w:t>
      </w:r>
      <w:r w:rsidRPr="00B04DC3">
        <w:rPr>
          <w:i/>
          <w:lang w:val="en-GB"/>
        </w:rPr>
        <w:t xml:space="preserve"> of design</w:t>
      </w:r>
      <w:r w:rsidRPr="00B04DC3">
        <w:rPr>
          <w:lang w:val="en-GB"/>
        </w:rPr>
        <w:t>" means in</w:t>
      </w:r>
      <w:r w:rsidR="00445C27" w:rsidRPr="00B04DC3">
        <w:rPr>
          <w:lang w:val="en-GB"/>
        </w:rPr>
        <w:t xml:space="preserve"> respect of a vehicle or engine:</w:t>
      </w:r>
    </w:p>
    <w:p w:rsidR="00C0100D" w:rsidRPr="00B04DC3" w:rsidRDefault="00C0100D" w:rsidP="008713DB">
      <w:pPr>
        <w:pStyle w:val="a"/>
        <w:rPr>
          <w:lang w:val="en-GB"/>
        </w:rPr>
      </w:pPr>
      <w:r w:rsidRPr="00B04DC3">
        <w:rPr>
          <w:lang w:val="en-GB"/>
        </w:rPr>
        <w:t>(a)</w:t>
      </w:r>
      <w:r w:rsidRPr="00B04DC3">
        <w:rPr>
          <w:lang w:val="en-GB"/>
        </w:rPr>
        <w:tab/>
      </w:r>
      <w:r w:rsidR="008713DB" w:rsidRPr="00B04DC3">
        <w:rPr>
          <w:lang w:val="en-GB"/>
        </w:rPr>
        <w:t>A</w:t>
      </w:r>
      <w:r w:rsidRPr="00B04DC3">
        <w:rPr>
          <w:lang w:val="en-GB"/>
        </w:rPr>
        <w:t>ny control system, including computer software, electronic control systems and computer logic;</w:t>
      </w:r>
    </w:p>
    <w:p w:rsidR="00C0100D" w:rsidRPr="00B04DC3" w:rsidRDefault="00C0100D" w:rsidP="008713DB">
      <w:pPr>
        <w:pStyle w:val="a"/>
        <w:rPr>
          <w:lang w:val="en-GB"/>
        </w:rPr>
      </w:pPr>
      <w:r w:rsidRPr="00B04DC3">
        <w:rPr>
          <w:lang w:val="en-GB"/>
        </w:rPr>
        <w:t>(b)</w:t>
      </w:r>
      <w:r w:rsidRPr="00B04DC3">
        <w:rPr>
          <w:lang w:val="en-GB"/>
        </w:rPr>
        <w:tab/>
      </w:r>
      <w:r w:rsidR="008713DB" w:rsidRPr="00B04DC3">
        <w:rPr>
          <w:lang w:val="en-GB"/>
        </w:rPr>
        <w:t>A</w:t>
      </w:r>
      <w:r w:rsidRPr="00B04DC3">
        <w:rPr>
          <w:lang w:val="en-GB"/>
        </w:rPr>
        <w:t>ny control system calibrations;</w:t>
      </w:r>
    </w:p>
    <w:p w:rsidR="00C0100D" w:rsidRPr="00B04DC3" w:rsidRDefault="00C0100D" w:rsidP="008713DB">
      <w:pPr>
        <w:pStyle w:val="a"/>
        <w:rPr>
          <w:lang w:val="en-GB"/>
        </w:rPr>
      </w:pPr>
      <w:r w:rsidRPr="00B04DC3">
        <w:rPr>
          <w:lang w:val="en-GB"/>
        </w:rPr>
        <w:t>(c)</w:t>
      </w:r>
      <w:r w:rsidRPr="00B04DC3">
        <w:rPr>
          <w:lang w:val="en-GB"/>
        </w:rPr>
        <w:tab/>
      </w:r>
      <w:r w:rsidR="008713DB" w:rsidRPr="00B04DC3">
        <w:rPr>
          <w:lang w:val="en-GB"/>
        </w:rPr>
        <w:t>T</w:t>
      </w:r>
      <w:r w:rsidRPr="00B04DC3">
        <w:rPr>
          <w:lang w:val="en-GB"/>
        </w:rPr>
        <w:t>he result of systems interaction, or;</w:t>
      </w:r>
    </w:p>
    <w:p w:rsidR="00C0100D" w:rsidRPr="00B04DC3" w:rsidRDefault="00C0100D" w:rsidP="008713DB">
      <w:pPr>
        <w:pStyle w:val="a"/>
        <w:rPr>
          <w:lang w:val="en-GB"/>
        </w:rPr>
      </w:pPr>
      <w:r w:rsidRPr="00B04DC3">
        <w:rPr>
          <w:lang w:val="en-GB"/>
        </w:rPr>
        <w:t>(d)</w:t>
      </w:r>
      <w:r w:rsidRPr="00B04DC3">
        <w:rPr>
          <w:lang w:val="en-GB"/>
        </w:rPr>
        <w:tab/>
      </w:r>
      <w:r w:rsidR="008713DB" w:rsidRPr="00B04DC3">
        <w:rPr>
          <w:lang w:val="en-GB"/>
        </w:rPr>
        <w:t>A</w:t>
      </w:r>
      <w:r w:rsidRPr="00B04DC3">
        <w:rPr>
          <w:lang w:val="en-GB"/>
        </w:rPr>
        <w:t>ny hardware items;</w:t>
      </w:r>
    </w:p>
    <w:p w:rsidR="00C0100D" w:rsidRPr="00B04DC3" w:rsidRDefault="00C0100D" w:rsidP="008713DB">
      <w:pPr>
        <w:pStyle w:val="para"/>
        <w:rPr>
          <w:lang w:val="en-GB"/>
        </w:rPr>
      </w:pPr>
      <w:r w:rsidRPr="00B04DC3">
        <w:rPr>
          <w:lang w:val="en-GB"/>
        </w:rPr>
        <w:t>2.1.</w:t>
      </w:r>
      <w:r w:rsidR="00EC3C99" w:rsidRPr="00B04DC3">
        <w:rPr>
          <w:lang w:val="en-GB"/>
        </w:rPr>
        <w:t>24</w:t>
      </w:r>
      <w:r w:rsidRPr="00B04DC3">
        <w:rPr>
          <w:lang w:val="en-GB"/>
        </w:rPr>
        <w:t>.</w:t>
      </w:r>
      <w:r w:rsidRPr="00B04DC3">
        <w:rPr>
          <w:lang w:val="en-GB"/>
        </w:rPr>
        <w:tab/>
        <w:t>"</w:t>
      </w:r>
      <w:r w:rsidR="008713DB" w:rsidRPr="00B04DC3">
        <w:rPr>
          <w:i/>
          <w:lang w:val="en-GB"/>
        </w:rPr>
        <w:t>E</w:t>
      </w:r>
      <w:r w:rsidRPr="00B04DC3">
        <w:rPr>
          <w:i/>
          <w:lang w:val="en-GB"/>
        </w:rPr>
        <w:t>missions-related defect</w:t>
      </w:r>
      <w:r w:rsidRPr="00B04DC3">
        <w:rPr>
          <w:lang w:val="en-GB"/>
        </w:rPr>
        <w:t>" means a deficiency or deviation from normal production tolerances in design, materials or workmanship in a device, system or assembly that affects any parameter, specification or component belonging to the emission control system</w:t>
      </w:r>
      <w:r w:rsidR="00401E79" w:rsidRPr="00B04DC3">
        <w:rPr>
          <w:lang w:val="en-GB"/>
        </w:rPr>
        <w:t xml:space="preserve">. </w:t>
      </w:r>
      <w:r w:rsidRPr="00B04DC3">
        <w:rPr>
          <w:lang w:val="en-GB"/>
        </w:rPr>
        <w:t>A missing component may be considered to be an "emissions-related defect";</w:t>
      </w:r>
    </w:p>
    <w:p w:rsidR="00C0100D" w:rsidRPr="00B04DC3" w:rsidRDefault="00C0100D" w:rsidP="00864CF5">
      <w:pPr>
        <w:pStyle w:val="para"/>
        <w:keepNext/>
        <w:keepLines/>
        <w:rPr>
          <w:lang w:val="en-GB"/>
        </w:rPr>
      </w:pPr>
      <w:r w:rsidRPr="00B04DC3">
        <w:rPr>
          <w:lang w:val="en-GB"/>
        </w:rPr>
        <w:t>2.1.</w:t>
      </w:r>
      <w:r w:rsidR="00EC3C99" w:rsidRPr="00B04DC3">
        <w:rPr>
          <w:lang w:val="en-GB"/>
        </w:rPr>
        <w:t>25</w:t>
      </w:r>
      <w:r w:rsidRPr="00B04DC3">
        <w:rPr>
          <w:lang w:val="en-GB"/>
        </w:rPr>
        <w:t>.</w:t>
      </w:r>
      <w:r w:rsidRPr="00B04DC3">
        <w:rPr>
          <w:lang w:val="en-GB"/>
        </w:rPr>
        <w:tab/>
        <w:t>"</w:t>
      </w:r>
      <w:r w:rsidR="008713DB" w:rsidRPr="00B04DC3">
        <w:rPr>
          <w:i/>
          <w:lang w:val="en-GB"/>
        </w:rPr>
        <w:t>E</w:t>
      </w:r>
      <w:r w:rsidRPr="00B04DC3">
        <w:rPr>
          <w:i/>
          <w:lang w:val="en-GB"/>
        </w:rPr>
        <w:t xml:space="preserve">mission </w:t>
      </w:r>
      <w:r w:rsidR="00376365">
        <w:rPr>
          <w:i/>
          <w:lang w:val="en-GB"/>
        </w:rPr>
        <w:t>C</w:t>
      </w:r>
      <w:r w:rsidR="00376365" w:rsidRPr="00B04DC3">
        <w:rPr>
          <w:i/>
          <w:lang w:val="en-GB"/>
        </w:rPr>
        <w:t xml:space="preserve">ontrol </w:t>
      </w:r>
      <w:r w:rsidR="00376365">
        <w:rPr>
          <w:i/>
          <w:lang w:val="en-GB"/>
        </w:rPr>
        <w:t>S</w:t>
      </w:r>
      <w:r w:rsidR="00376365" w:rsidRPr="00B04DC3">
        <w:rPr>
          <w:i/>
          <w:lang w:val="en-GB"/>
        </w:rPr>
        <w:t xml:space="preserve">trategy </w:t>
      </w:r>
      <w:r w:rsidRPr="00B04DC3">
        <w:rPr>
          <w:i/>
          <w:lang w:val="en-GB"/>
        </w:rPr>
        <w:t>(ECS)</w:t>
      </w:r>
      <w:r w:rsidRPr="00B04DC3">
        <w:rPr>
          <w:lang w:val="en-GB"/>
        </w:rPr>
        <w:t>" means an element or set of elements of design that is incorporated into the overall design of an engine system or vehicle for the purposes of controlling exhaust emissions that includes one BECS and one set of ACS;</w:t>
      </w:r>
    </w:p>
    <w:p w:rsidR="00C0100D" w:rsidRPr="00B04DC3" w:rsidRDefault="00C0100D" w:rsidP="008713DB">
      <w:pPr>
        <w:pStyle w:val="para"/>
        <w:rPr>
          <w:lang w:val="en-GB"/>
        </w:rPr>
      </w:pPr>
      <w:r w:rsidRPr="00B04DC3">
        <w:rPr>
          <w:lang w:val="en-GB"/>
        </w:rPr>
        <w:t>2.1.</w:t>
      </w:r>
      <w:r w:rsidR="00EC3C99" w:rsidRPr="00B04DC3">
        <w:rPr>
          <w:lang w:val="en-GB"/>
        </w:rPr>
        <w:t>26</w:t>
      </w:r>
      <w:r w:rsidRPr="00B04DC3">
        <w:rPr>
          <w:lang w:val="en-GB"/>
        </w:rPr>
        <w:t>.</w:t>
      </w:r>
      <w:r w:rsidRPr="00B04DC3">
        <w:rPr>
          <w:lang w:val="en-GB"/>
        </w:rPr>
        <w:tab/>
        <w:t>"</w:t>
      </w:r>
      <w:r w:rsidR="008713DB" w:rsidRPr="00B04DC3">
        <w:rPr>
          <w:i/>
          <w:lang w:val="en-GB"/>
        </w:rPr>
        <w:t>E</w:t>
      </w:r>
      <w:r w:rsidRPr="00B04DC3">
        <w:rPr>
          <w:i/>
          <w:lang w:val="en-GB"/>
        </w:rPr>
        <w:t>mission control system</w:t>
      </w:r>
      <w:r w:rsidRPr="00B04DC3">
        <w:rPr>
          <w:lang w:val="en-GB"/>
        </w:rPr>
        <w:t xml:space="preserve">" means the exhaust </w:t>
      </w:r>
      <w:r w:rsidR="006A75A0">
        <w:rPr>
          <w:lang w:val="en-GB"/>
        </w:rPr>
        <w:t>after-treatment</w:t>
      </w:r>
      <w:r w:rsidRPr="00B04DC3">
        <w:rPr>
          <w:lang w:val="en-GB"/>
        </w:rPr>
        <w:t xml:space="preserve"> system, the electronic management controller(s) of the engine system and any emission</w:t>
      </w:r>
      <w:r w:rsidRPr="00B04DC3">
        <w:rPr>
          <w:lang w:val="en-GB"/>
        </w:rPr>
        <w:noBreakHyphen/>
        <w:t xml:space="preserve">related component of the engine system in the exhaust which supplies an input to or receives an output from this(these) controller(s), and when applicable the communication interface (hardware and messages) between the </w:t>
      </w:r>
      <w:r w:rsidR="005E222C">
        <w:rPr>
          <w:lang w:val="en-GB"/>
        </w:rPr>
        <w:t>E</w:t>
      </w:r>
      <w:r w:rsidR="005E222C" w:rsidRPr="00B04DC3">
        <w:rPr>
          <w:lang w:val="en-GB"/>
        </w:rPr>
        <w:t xml:space="preserve">ngine </w:t>
      </w:r>
      <w:r w:rsidRPr="00B04DC3">
        <w:rPr>
          <w:lang w:val="en-GB"/>
        </w:rPr>
        <w:t xml:space="preserve">system </w:t>
      </w:r>
      <w:r w:rsidR="005E222C">
        <w:rPr>
          <w:lang w:val="en-GB"/>
        </w:rPr>
        <w:t>E</w:t>
      </w:r>
      <w:r w:rsidR="005E222C" w:rsidRPr="00B04DC3">
        <w:rPr>
          <w:lang w:val="en-GB"/>
        </w:rPr>
        <w:t xml:space="preserve">lectronic </w:t>
      </w:r>
      <w:r w:rsidR="005E222C">
        <w:rPr>
          <w:lang w:val="en-GB"/>
        </w:rPr>
        <w:t>C</w:t>
      </w:r>
      <w:r w:rsidR="005E222C" w:rsidRPr="00B04DC3">
        <w:rPr>
          <w:lang w:val="en-GB"/>
        </w:rPr>
        <w:t xml:space="preserve">ontrol </w:t>
      </w:r>
      <w:r w:rsidR="005E222C">
        <w:rPr>
          <w:lang w:val="en-GB"/>
        </w:rPr>
        <w:t>U</w:t>
      </w:r>
      <w:r w:rsidR="005E222C" w:rsidRPr="00B04DC3">
        <w:rPr>
          <w:lang w:val="en-GB"/>
        </w:rPr>
        <w:t>nit</w:t>
      </w:r>
      <w:r w:rsidRPr="00B04DC3">
        <w:rPr>
          <w:lang w:val="en-GB"/>
        </w:rPr>
        <w:t>(s) (EECU) and any other power train or vehicle control unit with respect to emissions management;</w:t>
      </w:r>
    </w:p>
    <w:p w:rsidR="00C0100D" w:rsidRPr="00B04DC3" w:rsidRDefault="00C0100D" w:rsidP="008713DB">
      <w:pPr>
        <w:pStyle w:val="para"/>
        <w:rPr>
          <w:lang w:val="en-GB"/>
        </w:rPr>
      </w:pPr>
      <w:r w:rsidRPr="00B04DC3">
        <w:rPr>
          <w:lang w:val="en-GB"/>
        </w:rPr>
        <w:t>2.1.</w:t>
      </w:r>
      <w:r w:rsidR="00EC3C99" w:rsidRPr="00B04DC3">
        <w:rPr>
          <w:lang w:val="en-GB"/>
        </w:rPr>
        <w:t>27</w:t>
      </w:r>
      <w:r w:rsidRPr="00B04DC3">
        <w:rPr>
          <w:lang w:val="en-GB"/>
        </w:rPr>
        <w:t>.</w:t>
      </w:r>
      <w:r w:rsidRPr="00B04DC3">
        <w:rPr>
          <w:lang w:val="en-GB"/>
        </w:rPr>
        <w:tab/>
        <w:t>"</w:t>
      </w:r>
      <w:r w:rsidR="008713DB" w:rsidRPr="00B04DC3">
        <w:rPr>
          <w:i/>
          <w:lang w:val="en-GB"/>
        </w:rPr>
        <w:t>E</w:t>
      </w:r>
      <w:r w:rsidRPr="00B04DC3">
        <w:rPr>
          <w:i/>
          <w:lang w:val="en-GB"/>
        </w:rPr>
        <w:t>mission control monitoring system</w:t>
      </w:r>
      <w:r w:rsidRPr="00B04DC3">
        <w:rPr>
          <w:lang w:val="en-GB"/>
        </w:rPr>
        <w:t>" means the system that ensures correct operation of the NO</w:t>
      </w:r>
      <w:r w:rsidRPr="00B04DC3">
        <w:rPr>
          <w:vertAlign w:val="subscript"/>
          <w:lang w:val="en-GB"/>
        </w:rPr>
        <w:t>x</w:t>
      </w:r>
      <w:r w:rsidRPr="00B04DC3">
        <w:rPr>
          <w:lang w:val="en-GB"/>
        </w:rPr>
        <w:t xml:space="preserve"> control measures implemented in the engine system according to the requirements of paragraph 5.5.</w:t>
      </w:r>
    </w:p>
    <w:p w:rsidR="00C0100D" w:rsidRPr="00B04DC3" w:rsidRDefault="00C0100D" w:rsidP="008713DB">
      <w:pPr>
        <w:pStyle w:val="para"/>
        <w:rPr>
          <w:lang w:val="en-GB"/>
        </w:rPr>
      </w:pPr>
      <w:r w:rsidRPr="00B04DC3">
        <w:rPr>
          <w:lang w:val="en-GB"/>
        </w:rPr>
        <w:t>2.1.</w:t>
      </w:r>
      <w:r w:rsidR="00EC3C99" w:rsidRPr="00B04DC3">
        <w:rPr>
          <w:lang w:val="en-GB"/>
        </w:rPr>
        <w:t>28</w:t>
      </w:r>
      <w:r w:rsidRPr="00B04DC3">
        <w:rPr>
          <w:lang w:val="en-GB"/>
        </w:rPr>
        <w:t>.</w:t>
      </w:r>
      <w:r w:rsidRPr="00B04DC3">
        <w:rPr>
          <w:lang w:val="en-GB"/>
        </w:rPr>
        <w:tab/>
        <w:t>"</w:t>
      </w:r>
      <w:r w:rsidR="008713DB" w:rsidRPr="00B04DC3">
        <w:rPr>
          <w:i/>
          <w:lang w:val="en-GB"/>
        </w:rPr>
        <w:t>E</w:t>
      </w:r>
      <w:r w:rsidRPr="00B04DC3">
        <w:rPr>
          <w:i/>
          <w:lang w:val="en-GB"/>
        </w:rPr>
        <w:t>mission default mode</w:t>
      </w:r>
      <w:r w:rsidRPr="00B04DC3">
        <w:rPr>
          <w:lang w:val="en-GB"/>
        </w:rPr>
        <w:t xml:space="preserve">" means an ACS activated in the case of a malfunction of the ECS detected by the OBD system that results in the </w:t>
      </w:r>
      <w:r w:rsidR="00376365">
        <w:rPr>
          <w:lang w:val="en-GB"/>
        </w:rPr>
        <w:t>M</w:t>
      </w:r>
      <w:r w:rsidR="00376365" w:rsidRPr="00B04DC3">
        <w:rPr>
          <w:lang w:val="en-GB"/>
        </w:rPr>
        <w:t xml:space="preserve">alfunction </w:t>
      </w:r>
      <w:r w:rsidR="00376365">
        <w:rPr>
          <w:lang w:val="en-GB"/>
        </w:rPr>
        <w:t>I</w:t>
      </w:r>
      <w:r w:rsidR="00376365" w:rsidRPr="00B04DC3">
        <w:rPr>
          <w:lang w:val="en-GB"/>
        </w:rPr>
        <w:t xml:space="preserve">ndicator </w:t>
      </w:r>
      <w:r w:rsidR="00445C27" w:rsidRPr="00B04DC3">
        <w:rPr>
          <w:lang w:val="en-GB"/>
        </w:rPr>
        <w:t>(</w:t>
      </w:r>
      <w:r w:rsidRPr="00B04DC3">
        <w:rPr>
          <w:lang w:val="en-GB"/>
        </w:rPr>
        <w:t>MI</w:t>
      </w:r>
      <w:r w:rsidR="00445C27" w:rsidRPr="00B04DC3">
        <w:rPr>
          <w:lang w:val="en-GB"/>
        </w:rPr>
        <w:t>)</w:t>
      </w:r>
      <w:r w:rsidRPr="00B04DC3">
        <w:rPr>
          <w:lang w:val="en-GB"/>
        </w:rPr>
        <w:t xml:space="preserve"> being activated and that does not require an input from the failed component or system;</w:t>
      </w:r>
    </w:p>
    <w:p w:rsidR="00C0100D" w:rsidRPr="00B04DC3" w:rsidRDefault="00C0100D" w:rsidP="008713DB">
      <w:pPr>
        <w:pStyle w:val="para"/>
        <w:rPr>
          <w:lang w:val="en-GB"/>
        </w:rPr>
      </w:pPr>
      <w:r w:rsidRPr="00B04DC3">
        <w:rPr>
          <w:lang w:val="en-GB"/>
        </w:rPr>
        <w:t>2.1.</w:t>
      </w:r>
      <w:r w:rsidR="00EC3C99" w:rsidRPr="00B04DC3">
        <w:rPr>
          <w:lang w:val="en-GB"/>
        </w:rPr>
        <w:t>29</w:t>
      </w:r>
      <w:r w:rsidRPr="00B04DC3">
        <w:rPr>
          <w:lang w:val="en-GB"/>
        </w:rPr>
        <w:t>.</w:t>
      </w:r>
      <w:r w:rsidRPr="00B04DC3">
        <w:rPr>
          <w:lang w:val="en-GB"/>
        </w:rPr>
        <w:tab/>
        <w:t>"</w:t>
      </w:r>
      <w:r w:rsidR="008713DB" w:rsidRPr="00B04DC3">
        <w:rPr>
          <w:i/>
          <w:lang w:val="en-GB"/>
        </w:rPr>
        <w:t>E</w:t>
      </w:r>
      <w:r w:rsidRPr="00B04DC3">
        <w:rPr>
          <w:i/>
          <w:lang w:val="en-GB"/>
        </w:rPr>
        <w:t>ngine-</w:t>
      </w:r>
      <w:r w:rsidR="006A75A0">
        <w:rPr>
          <w:i/>
          <w:lang w:val="en-GB"/>
        </w:rPr>
        <w:t>after-treatment</w:t>
      </w:r>
      <w:r w:rsidRPr="00B04DC3">
        <w:rPr>
          <w:i/>
          <w:lang w:val="en-GB"/>
        </w:rPr>
        <w:t xml:space="preserve"> system family</w:t>
      </w:r>
      <w:r w:rsidRPr="00B04DC3">
        <w:rPr>
          <w:lang w:val="en-GB"/>
        </w:rPr>
        <w:t>" means, for testing over a service accumulation schedule to establish deterioration factors according to Annex 7</w:t>
      </w:r>
      <w:r w:rsidRPr="00B04DC3">
        <w:rPr>
          <w:b/>
          <w:lang w:val="en-GB"/>
        </w:rPr>
        <w:t xml:space="preserve"> </w:t>
      </w:r>
      <w:r w:rsidRPr="00B04DC3">
        <w:rPr>
          <w:lang w:val="en-GB"/>
        </w:rPr>
        <w:t>to this Regulation and for checking the conformity of in-service vehicles/engines according to Annex 8 to this Regulation, a manufacturer's grouping of engines that comply with the definition of engine family but which are further grouped into engines utilising a similar exhaust after-treatment system;</w:t>
      </w:r>
    </w:p>
    <w:p w:rsidR="00C0100D" w:rsidRPr="00B04DC3" w:rsidRDefault="00C0100D" w:rsidP="008713DB">
      <w:pPr>
        <w:pStyle w:val="para"/>
        <w:rPr>
          <w:lang w:val="en-GB"/>
        </w:rPr>
      </w:pPr>
      <w:r w:rsidRPr="00B04DC3">
        <w:rPr>
          <w:lang w:val="en-GB"/>
        </w:rPr>
        <w:t>2.1.</w:t>
      </w:r>
      <w:r w:rsidR="00EC3C99" w:rsidRPr="00B04DC3">
        <w:rPr>
          <w:lang w:val="en-GB"/>
        </w:rPr>
        <w:t>30</w:t>
      </w:r>
      <w:r w:rsidRPr="00B04DC3">
        <w:rPr>
          <w:lang w:val="en-GB"/>
        </w:rPr>
        <w:t>.</w:t>
      </w:r>
      <w:r w:rsidRPr="00B04DC3">
        <w:rPr>
          <w:lang w:val="en-GB"/>
        </w:rPr>
        <w:tab/>
        <w:t>"</w:t>
      </w:r>
      <w:r w:rsidR="008713DB" w:rsidRPr="00B04DC3">
        <w:rPr>
          <w:i/>
          <w:lang w:val="en-GB"/>
        </w:rPr>
        <w:t>Engine</w:t>
      </w:r>
      <w:r w:rsidRPr="00B04DC3">
        <w:rPr>
          <w:i/>
          <w:lang w:val="en-GB"/>
        </w:rPr>
        <w:t xml:space="preserve"> system</w:t>
      </w:r>
      <w:r w:rsidRPr="00B04DC3">
        <w:rPr>
          <w:lang w:val="en-GB"/>
        </w:rPr>
        <w:t>" means the engine, the emission control system and the communication interface (hardware and messages) between the EECU and any other powertrain or vehicle control unit;</w:t>
      </w:r>
    </w:p>
    <w:p w:rsidR="00C0100D" w:rsidRPr="00B04DC3" w:rsidRDefault="00C0100D" w:rsidP="008713DB">
      <w:pPr>
        <w:pStyle w:val="para"/>
        <w:rPr>
          <w:lang w:val="en-GB"/>
        </w:rPr>
      </w:pPr>
      <w:r w:rsidRPr="00B04DC3">
        <w:rPr>
          <w:lang w:val="en-GB"/>
        </w:rPr>
        <w:t>2.1.</w:t>
      </w:r>
      <w:r w:rsidR="00EC3C99" w:rsidRPr="00B04DC3">
        <w:rPr>
          <w:lang w:val="en-GB"/>
        </w:rPr>
        <w:t>31</w:t>
      </w:r>
      <w:r w:rsidRPr="00B04DC3">
        <w:rPr>
          <w:lang w:val="en-GB"/>
        </w:rPr>
        <w:t>.</w:t>
      </w:r>
      <w:r w:rsidRPr="00B04DC3">
        <w:rPr>
          <w:lang w:val="en-GB"/>
        </w:rPr>
        <w:tab/>
        <w:t>"</w:t>
      </w:r>
      <w:r w:rsidR="008713DB" w:rsidRPr="00B04DC3">
        <w:rPr>
          <w:i/>
          <w:lang w:val="en-GB"/>
        </w:rPr>
        <w:t>Engine</w:t>
      </w:r>
      <w:r w:rsidRPr="00B04DC3">
        <w:rPr>
          <w:i/>
          <w:lang w:val="en-GB"/>
        </w:rPr>
        <w:t xml:space="preserve"> family</w:t>
      </w:r>
      <w:r w:rsidRPr="00B04DC3">
        <w:rPr>
          <w:lang w:val="en-GB"/>
        </w:rPr>
        <w:t>" means a manufacturer's grouping of engine systems which, through their design as defined in paragraph 7., have similar exhaust emission characteristics; all members of the family shall comply with the applicable emission limit values;</w:t>
      </w:r>
    </w:p>
    <w:p w:rsidR="00C0100D" w:rsidRPr="00B04DC3" w:rsidRDefault="00C0100D" w:rsidP="008713DB">
      <w:pPr>
        <w:pStyle w:val="para"/>
        <w:rPr>
          <w:lang w:val="en-GB"/>
        </w:rPr>
      </w:pPr>
      <w:r w:rsidRPr="00B04DC3">
        <w:rPr>
          <w:lang w:val="en-GB"/>
        </w:rPr>
        <w:t>2.1.</w:t>
      </w:r>
      <w:r w:rsidR="00EC3C99" w:rsidRPr="00B04DC3">
        <w:rPr>
          <w:lang w:val="en-GB"/>
        </w:rPr>
        <w:t>32</w:t>
      </w:r>
      <w:r w:rsidRPr="00B04DC3">
        <w:rPr>
          <w:lang w:val="en-GB"/>
        </w:rPr>
        <w:t>.</w:t>
      </w:r>
      <w:r w:rsidRPr="00B04DC3">
        <w:rPr>
          <w:lang w:val="en-GB"/>
        </w:rPr>
        <w:tab/>
        <w:t>"</w:t>
      </w:r>
      <w:r w:rsidR="008713DB" w:rsidRPr="00B04DC3">
        <w:rPr>
          <w:i/>
          <w:lang w:val="en-GB"/>
        </w:rPr>
        <w:t>E</w:t>
      </w:r>
      <w:r w:rsidRPr="00B04DC3">
        <w:rPr>
          <w:i/>
          <w:lang w:val="en-GB"/>
        </w:rPr>
        <w:t>ngine operating speed range</w:t>
      </w:r>
      <w:r w:rsidRPr="00B04DC3">
        <w:rPr>
          <w:lang w:val="en-GB"/>
        </w:rPr>
        <w:t>" means the engine speed range, most frequently used during engine field</w:t>
      </w:r>
      <w:r w:rsidRPr="00B04DC3">
        <w:rPr>
          <w:b/>
          <w:lang w:val="en-GB"/>
        </w:rPr>
        <w:t xml:space="preserve"> </w:t>
      </w:r>
      <w:r w:rsidRPr="00B04DC3">
        <w:rPr>
          <w:lang w:val="en-GB"/>
        </w:rPr>
        <w:t>operation, which lies between the low and high speeds, as set out in Appendix 1 to Annex 4A to this Regulation;</w:t>
      </w:r>
    </w:p>
    <w:p w:rsidR="00C0100D" w:rsidRPr="00B04DC3" w:rsidRDefault="00C0100D" w:rsidP="008713DB">
      <w:pPr>
        <w:pStyle w:val="para"/>
        <w:rPr>
          <w:lang w:val="en-GB"/>
        </w:rPr>
      </w:pPr>
      <w:r w:rsidRPr="00B04DC3">
        <w:rPr>
          <w:lang w:val="en-GB"/>
        </w:rPr>
        <w:t>2.1.</w:t>
      </w:r>
      <w:r w:rsidR="00EC3C99" w:rsidRPr="00B04DC3">
        <w:rPr>
          <w:lang w:val="en-GB"/>
        </w:rPr>
        <w:t>33</w:t>
      </w:r>
      <w:r w:rsidRPr="00B04DC3">
        <w:rPr>
          <w:lang w:val="en-GB"/>
        </w:rPr>
        <w:t>.</w:t>
      </w:r>
      <w:r w:rsidRPr="00B04DC3">
        <w:rPr>
          <w:lang w:val="en-GB"/>
        </w:rPr>
        <w:tab/>
        <w:t>"</w:t>
      </w:r>
      <w:r w:rsidR="008713DB" w:rsidRPr="00B04DC3">
        <w:rPr>
          <w:i/>
          <w:lang w:val="en-GB"/>
        </w:rPr>
        <w:t>E</w:t>
      </w:r>
      <w:r w:rsidRPr="00B04DC3">
        <w:rPr>
          <w:i/>
          <w:lang w:val="en-GB"/>
        </w:rPr>
        <w:t>ngine speeds A, B and C</w:t>
      </w:r>
      <w:r w:rsidRPr="00B04DC3">
        <w:rPr>
          <w:lang w:val="en-GB"/>
        </w:rPr>
        <w:t>" means the test speeds within the engine operating speed range to be used for the</w:t>
      </w:r>
      <w:r w:rsidRPr="00B04DC3">
        <w:rPr>
          <w:b/>
          <w:lang w:val="en-GB"/>
        </w:rPr>
        <w:t xml:space="preserve"> </w:t>
      </w:r>
      <w:r w:rsidRPr="00B04DC3">
        <w:rPr>
          <w:lang w:val="en-GB"/>
        </w:rPr>
        <w:t>ESC test and the ELR test, as set out in Appendix 1 to Annex 4A to this Regulation;</w:t>
      </w:r>
    </w:p>
    <w:p w:rsidR="00C0100D" w:rsidRPr="00B04DC3" w:rsidRDefault="00C0100D" w:rsidP="008713DB">
      <w:pPr>
        <w:pStyle w:val="para"/>
        <w:rPr>
          <w:lang w:val="en-GB"/>
        </w:rPr>
      </w:pPr>
      <w:r w:rsidRPr="00B04DC3">
        <w:rPr>
          <w:lang w:val="en-GB"/>
        </w:rPr>
        <w:t>2.1.</w:t>
      </w:r>
      <w:r w:rsidR="00EC3C99" w:rsidRPr="00B04DC3">
        <w:rPr>
          <w:lang w:val="en-GB"/>
        </w:rPr>
        <w:t>34</w:t>
      </w:r>
      <w:r w:rsidRPr="00B04DC3">
        <w:rPr>
          <w:lang w:val="en-GB"/>
        </w:rPr>
        <w:t>.</w:t>
      </w:r>
      <w:r w:rsidRPr="00B04DC3">
        <w:rPr>
          <w:lang w:val="en-GB"/>
        </w:rPr>
        <w:tab/>
        <w:t>"</w:t>
      </w:r>
      <w:r w:rsidR="008713DB" w:rsidRPr="00B04DC3">
        <w:rPr>
          <w:i/>
          <w:lang w:val="en-GB"/>
        </w:rPr>
        <w:t>Engine</w:t>
      </w:r>
      <w:r w:rsidRPr="00B04DC3">
        <w:rPr>
          <w:i/>
          <w:lang w:val="en-GB"/>
        </w:rPr>
        <w:t xml:space="preserve"> setting</w:t>
      </w:r>
      <w:r w:rsidRPr="00B04DC3">
        <w:rPr>
          <w:lang w:val="en-GB"/>
        </w:rPr>
        <w:t>" means a specific engine/vehicle configuration that includes the ECS, one single engine performance rating (the approved full-load curve) and, if used, one set of torque limiters;</w:t>
      </w:r>
    </w:p>
    <w:p w:rsidR="00C0100D" w:rsidRPr="00B04DC3" w:rsidRDefault="00C0100D" w:rsidP="008713DB">
      <w:pPr>
        <w:pStyle w:val="para"/>
        <w:rPr>
          <w:lang w:val="en-GB"/>
        </w:rPr>
      </w:pPr>
      <w:r w:rsidRPr="00B04DC3">
        <w:rPr>
          <w:lang w:val="en-GB"/>
        </w:rPr>
        <w:t>2.1.</w:t>
      </w:r>
      <w:r w:rsidR="00EC3C99" w:rsidRPr="00B04DC3">
        <w:rPr>
          <w:lang w:val="en-GB"/>
        </w:rPr>
        <w:t>35</w:t>
      </w:r>
      <w:r w:rsidRPr="00B04DC3">
        <w:rPr>
          <w:lang w:val="en-GB"/>
        </w:rPr>
        <w:t>.</w:t>
      </w:r>
      <w:r w:rsidRPr="00B04DC3">
        <w:rPr>
          <w:lang w:val="en-GB"/>
        </w:rPr>
        <w:tab/>
        <w:t>"</w:t>
      </w:r>
      <w:r w:rsidR="008713DB" w:rsidRPr="00B04DC3">
        <w:rPr>
          <w:i/>
          <w:lang w:val="en-GB"/>
        </w:rPr>
        <w:t>Engine</w:t>
      </w:r>
      <w:r w:rsidRPr="00B04DC3">
        <w:rPr>
          <w:i/>
          <w:lang w:val="en-GB"/>
        </w:rPr>
        <w:t xml:space="preserve"> type</w:t>
      </w:r>
      <w:r w:rsidRPr="00B04DC3">
        <w:rPr>
          <w:lang w:val="en-GB"/>
        </w:rPr>
        <w:t>" means a category of engines which do not differ in such essential respects as engine</w:t>
      </w:r>
      <w:r w:rsidRPr="00B04DC3">
        <w:rPr>
          <w:b/>
          <w:lang w:val="en-GB"/>
        </w:rPr>
        <w:t xml:space="preserve"> </w:t>
      </w:r>
      <w:r w:rsidRPr="00B04DC3">
        <w:rPr>
          <w:lang w:val="en-GB"/>
        </w:rPr>
        <w:t>characteristics as described in Annex 1 to this Regulation;</w:t>
      </w:r>
    </w:p>
    <w:p w:rsidR="00C0100D" w:rsidRPr="00B04DC3" w:rsidRDefault="00C0100D" w:rsidP="008713DB">
      <w:pPr>
        <w:pStyle w:val="para"/>
        <w:rPr>
          <w:lang w:val="en-GB"/>
        </w:rPr>
      </w:pPr>
      <w:r w:rsidRPr="00B04DC3">
        <w:rPr>
          <w:lang w:val="en-GB"/>
        </w:rPr>
        <w:t>2.1.</w:t>
      </w:r>
      <w:r w:rsidR="00EC3C99" w:rsidRPr="00B04DC3">
        <w:rPr>
          <w:lang w:val="en-GB"/>
        </w:rPr>
        <w:t>36</w:t>
      </w:r>
      <w:r w:rsidRPr="00B04DC3">
        <w:rPr>
          <w:lang w:val="en-GB"/>
        </w:rPr>
        <w:t>.</w:t>
      </w:r>
      <w:r w:rsidRPr="00B04DC3">
        <w:rPr>
          <w:lang w:val="en-GB"/>
        </w:rPr>
        <w:tab/>
        <w:t>"</w:t>
      </w:r>
      <w:r w:rsidR="008713DB" w:rsidRPr="00B04DC3">
        <w:rPr>
          <w:i/>
          <w:lang w:val="en-GB"/>
        </w:rPr>
        <w:t>Exhaust</w:t>
      </w:r>
      <w:r w:rsidRPr="00B04DC3">
        <w:rPr>
          <w:i/>
          <w:lang w:val="en-GB"/>
        </w:rPr>
        <w:t xml:space="preserve"> </w:t>
      </w:r>
      <w:r w:rsidR="006A75A0">
        <w:rPr>
          <w:i/>
          <w:lang w:val="en-GB"/>
        </w:rPr>
        <w:t>after-treatment</w:t>
      </w:r>
      <w:r w:rsidRPr="00B04DC3">
        <w:rPr>
          <w:i/>
          <w:lang w:val="en-GB"/>
        </w:rPr>
        <w:t xml:space="preserve"> system</w:t>
      </w:r>
      <w:r w:rsidRPr="00B04DC3">
        <w:rPr>
          <w:lang w:val="en-GB"/>
        </w:rPr>
        <w:t>" means a catalyst (oxidation or 3-way), particulate filter, deNO</w:t>
      </w:r>
      <w:r w:rsidRPr="00B04DC3">
        <w:rPr>
          <w:vertAlign w:val="subscript"/>
          <w:lang w:val="en-GB"/>
        </w:rPr>
        <w:t>x</w:t>
      </w:r>
      <w:r w:rsidRPr="00B04DC3">
        <w:rPr>
          <w:lang w:val="en-GB"/>
        </w:rPr>
        <w:t xml:space="preserve"> system, combined deNO</w:t>
      </w:r>
      <w:r w:rsidRPr="00B04DC3">
        <w:rPr>
          <w:vertAlign w:val="subscript"/>
          <w:lang w:val="en-GB"/>
        </w:rPr>
        <w:t>x</w:t>
      </w:r>
      <w:r w:rsidRPr="00B04DC3">
        <w:rPr>
          <w:lang w:val="en-GB"/>
        </w:rPr>
        <w:t>-particulate filter or any other emission-reducing device that is installed downstream of the engine</w:t>
      </w:r>
      <w:r w:rsidR="00401E79" w:rsidRPr="00B04DC3">
        <w:rPr>
          <w:lang w:val="en-GB"/>
        </w:rPr>
        <w:t xml:space="preserve">. </w:t>
      </w:r>
      <w:r w:rsidRPr="00B04DC3">
        <w:rPr>
          <w:lang w:val="en-GB"/>
        </w:rPr>
        <w:t>This definition excludes exhaust gas recirculation, which, where fitted, is considered an integral part of the engine system;</w:t>
      </w:r>
    </w:p>
    <w:p w:rsidR="00C0100D" w:rsidRPr="00B04DC3" w:rsidRDefault="00C0100D" w:rsidP="008713DB">
      <w:pPr>
        <w:pStyle w:val="para"/>
        <w:rPr>
          <w:lang w:val="en-GB"/>
        </w:rPr>
      </w:pPr>
      <w:r w:rsidRPr="00B04DC3">
        <w:rPr>
          <w:lang w:val="en-GB"/>
        </w:rPr>
        <w:t>2.1.</w:t>
      </w:r>
      <w:r w:rsidR="00EC3C99" w:rsidRPr="00B04DC3">
        <w:rPr>
          <w:lang w:val="en-GB"/>
        </w:rPr>
        <w:t>37</w:t>
      </w:r>
      <w:r w:rsidRPr="00B04DC3">
        <w:rPr>
          <w:lang w:val="en-GB"/>
        </w:rPr>
        <w:t>.</w:t>
      </w:r>
      <w:r w:rsidRPr="00B04DC3">
        <w:rPr>
          <w:lang w:val="en-GB"/>
        </w:rPr>
        <w:tab/>
        <w:t>"</w:t>
      </w:r>
      <w:r w:rsidR="008713DB" w:rsidRPr="00B04DC3">
        <w:rPr>
          <w:i/>
          <w:lang w:val="en-GB"/>
        </w:rPr>
        <w:t>Gas</w:t>
      </w:r>
      <w:r w:rsidRPr="00B04DC3">
        <w:rPr>
          <w:i/>
          <w:lang w:val="en-GB"/>
        </w:rPr>
        <w:t xml:space="preserve"> engine</w:t>
      </w:r>
      <w:r w:rsidRPr="00B04DC3">
        <w:rPr>
          <w:lang w:val="en-GB"/>
        </w:rPr>
        <w:t>" means a positive-ignition engine which is fuelled with NG or LPG;</w:t>
      </w:r>
    </w:p>
    <w:p w:rsidR="00C0100D" w:rsidRPr="00B04DC3" w:rsidRDefault="00C0100D" w:rsidP="008713DB">
      <w:pPr>
        <w:pStyle w:val="para"/>
        <w:rPr>
          <w:lang w:val="en-GB"/>
        </w:rPr>
      </w:pPr>
      <w:r w:rsidRPr="00B04DC3">
        <w:rPr>
          <w:lang w:val="en-GB"/>
        </w:rPr>
        <w:t>2.1.</w:t>
      </w:r>
      <w:r w:rsidR="00EC3C99" w:rsidRPr="00B04DC3">
        <w:rPr>
          <w:lang w:val="en-GB"/>
        </w:rPr>
        <w:t>38</w:t>
      </w:r>
      <w:r w:rsidRPr="00B04DC3">
        <w:rPr>
          <w:lang w:val="en-GB"/>
        </w:rPr>
        <w:t>.</w:t>
      </w:r>
      <w:r w:rsidRPr="00B04DC3">
        <w:rPr>
          <w:lang w:val="en-GB"/>
        </w:rPr>
        <w:tab/>
        <w:t>"</w:t>
      </w:r>
      <w:r w:rsidR="008713DB" w:rsidRPr="00B04DC3">
        <w:rPr>
          <w:i/>
          <w:lang w:val="en-GB"/>
        </w:rPr>
        <w:t>G</w:t>
      </w:r>
      <w:r w:rsidRPr="00B04DC3">
        <w:rPr>
          <w:i/>
          <w:lang w:val="en-GB"/>
        </w:rPr>
        <w:t>aseous pollutants</w:t>
      </w:r>
      <w:r w:rsidRPr="00B04DC3">
        <w:rPr>
          <w:lang w:val="en-GB"/>
        </w:rPr>
        <w:t>" means carbon monoxide, hydrocarbons (assuming a ratio of CH</w:t>
      </w:r>
      <w:r w:rsidRPr="00B04DC3">
        <w:rPr>
          <w:vertAlign w:val="subscript"/>
          <w:lang w:val="en-GB"/>
        </w:rPr>
        <w:t>1.85</w:t>
      </w:r>
      <w:r w:rsidRPr="00B04DC3">
        <w:rPr>
          <w:lang w:val="en-GB"/>
        </w:rPr>
        <w:t xml:space="preserve"> for diesel, CH</w:t>
      </w:r>
      <w:r w:rsidRPr="00B04DC3">
        <w:rPr>
          <w:vertAlign w:val="subscript"/>
          <w:lang w:val="en-GB"/>
        </w:rPr>
        <w:t>2.525</w:t>
      </w:r>
      <w:r w:rsidRPr="00B04DC3">
        <w:rPr>
          <w:lang w:val="en-GB"/>
        </w:rPr>
        <w:t xml:space="preserve"> for LPG and CH</w:t>
      </w:r>
      <w:r w:rsidRPr="00B04DC3">
        <w:rPr>
          <w:vertAlign w:val="subscript"/>
          <w:lang w:val="en-GB"/>
        </w:rPr>
        <w:t>2.93</w:t>
      </w:r>
      <w:r w:rsidRPr="00B04DC3">
        <w:rPr>
          <w:lang w:val="en-GB"/>
        </w:rPr>
        <w:t xml:space="preserve"> for NG (</w:t>
      </w:r>
      <w:r w:rsidR="009F018E">
        <w:rPr>
          <w:lang w:val="en-GB"/>
        </w:rPr>
        <w:t>Non-Methane Hydrocarbons (</w:t>
      </w:r>
      <w:r w:rsidRPr="00B04DC3">
        <w:rPr>
          <w:lang w:val="en-GB"/>
        </w:rPr>
        <w:t>NMHC</w:t>
      </w:r>
      <w:r w:rsidR="009F018E">
        <w:rPr>
          <w:lang w:val="en-GB"/>
        </w:rPr>
        <w:t>)</w:t>
      </w:r>
      <w:r w:rsidRPr="00B04DC3">
        <w:rPr>
          <w:lang w:val="en-GB"/>
        </w:rPr>
        <w:t>) and an assumed molecule CH</w:t>
      </w:r>
      <w:r w:rsidRPr="00B04DC3">
        <w:rPr>
          <w:vertAlign w:val="subscript"/>
          <w:lang w:val="en-GB"/>
        </w:rPr>
        <w:t>3</w:t>
      </w:r>
      <w:r w:rsidRPr="00B04DC3">
        <w:rPr>
          <w:lang w:val="en-GB"/>
        </w:rPr>
        <w:t>O</w:t>
      </w:r>
      <w:r w:rsidRPr="00B04DC3">
        <w:rPr>
          <w:vertAlign w:val="subscript"/>
          <w:lang w:val="en-GB"/>
        </w:rPr>
        <w:t xml:space="preserve">0.5 </w:t>
      </w:r>
      <w:r w:rsidRPr="00B04DC3">
        <w:rPr>
          <w:lang w:val="en-GB"/>
        </w:rPr>
        <w:t>for ethanol-fuelled diesel engines), methane (assuming a ratio of CH</w:t>
      </w:r>
      <w:r w:rsidRPr="00B04DC3">
        <w:rPr>
          <w:vertAlign w:val="subscript"/>
          <w:lang w:val="en-GB"/>
        </w:rPr>
        <w:t>4</w:t>
      </w:r>
      <w:r w:rsidRPr="00B04DC3">
        <w:rPr>
          <w:lang w:val="en-GB"/>
        </w:rPr>
        <w:t xml:space="preserve"> for NG) and oxides of</w:t>
      </w:r>
      <w:r w:rsidRPr="00B04DC3">
        <w:rPr>
          <w:b/>
          <w:lang w:val="en-GB"/>
        </w:rPr>
        <w:t xml:space="preserve"> </w:t>
      </w:r>
      <w:r w:rsidRPr="00B04DC3">
        <w:rPr>
          <w:lang w:val="en-GB"/>
        </w:rPr>
        <w:t>nitrogen, the last-named being expressed in nitrogen dioxide (NO</w:t>
      </w:r>
      <w:r w:rsidRPr="00B04DC3">
        <w:rPr>
          <w:vertAlign w:val="subscript"/>
          <w:lang w:val="en-GB"/>
        </w:rPr>
        <w:t>2</w:t>
      </w:r>
      <w:r w:rsidRPr="00B04DC3">
        <w:rPr>
          <w:lang w:val="en-GB"/>
        </w:rPr>
        <w:t>) equivalent;</w:t>
      </w:r>
    </w:p>
    <w:p w:rsidR="00C0100D" w:rsidRPr="00B04DC3" w:rsidRDefault="00C0100D" w:rsidP="000F1B35">
      <w:pPr>
        <w:pStyle w:val="para"/>
        <w:rPr>
          <w:lang w:val="en-GB"/>
        </w:rPr>
      </w:pPr>
      <w:r w:rsidRPr="00B04DC3">
        <w:rPr>
          <w:lang w:val="en-GB"/>
        </w:rPr>
        <w:t>2.1.</w:t>
      </w:r>
      <w:r w:rsidR="00EC3C99" w:rsidRPr="00B04DC3">
        <w:rPr>
          <w:lang w:val="en-GB"/>
        </w:rPr>
        <w:t>39</w:t>
      </w:r>
      <w:r w:rsidRPr="00B04DC3">
        <w:rPr>
          <w:lang w:val="en-GB"/>
        </w:rPr>
        <w:t>.</w:t>
      </w:r>
      <w:r w:rsidRPr="00B04DC3">
        <w:rPr>
          <w:lang w:val="en-GB"/>
        </w:rPr>
        <w:tab/>
        <w:t>"</w:t>
      </w:r>
      <w:r w:rsidR="008713DB" w:rsidRPr="00B04DC3">
        <w:rPr>
          <w:i/>
          <w:lang w:val="en-GB"/>
        </w:rPr>
        <w:t>High</w:t>
      </w:r>
      <w:r w:rsidRPr="00B04DC3">
        <w:rPr>
          <w:i/>
          <w:lang w:val="en-GB"/>
        </w:rPr>
        <w:t xml:space="preserve"> speed (n</w:t>
      </w:r>
      <w:r w:rsidRPr="00B04DC3">
        <w:rPr>
          <w:i/>
          <w:vertAlign w:val="subscript"/>
          <w:lang w:val="en-GB"/>
        </w:rPr>
        <w:t>hi</w:t>
      </w:r>
      <w:r w:rsidRPr="00B04DC3">
        <w:rPr>
          <w:i/>
          <w:lang w:val="en-GB"/>
        </w:rPr>
        <w:t>)</w:t>
      </w:r>
      <w:r w:rsidRPr="00B04DC3">
        <w:rPr>
          <w:lang w:val="en-GB"/>
        </w:rPr>
        <w:t>" means the highest engine speed where 70 per cent of the declared maximum power occurs;</w:t>
      </w:r>
    </w:p>
    <w:p w:rsidR="00C0100D" w:rsidRPr="00B04DC3" w:rsidRDefault="00C0100D" w:rsidP="000F1B35">
      <w:pPr>
        <w:pStyle w:val="para"/>
        <w:rPr>
          <w:lang w:val="en-GB"/>
        </w:rPr>
      </w:pPr>
      <w:r w:rsidRPr="00B04DC3">
        <w:rPr>
          <w:lang w:val="en-GB"/>
        </w:rPr>
        <w:t>2.1.</w:t>
      </w:r>
      <w:r w:rsidR="00EC3C99" w:rsidRPr="00B04DC3">
        <w:rPr>
          <w:lang w:val="en-GB"/>
        </w:rPr>
        <w:t>40</w:t>
      </w:r>
      <w:r w:rsidRPr="00B04DC3">
        <w:rPr>
          <w:lang w:val="en-GB"/>
        </w:rPr>
        <w:t>.</w:t>
      </w:r>
      <w:r w:rsidRPr="00B04DC3">
        <w:rPr>
          <w:lang w:val="en-GB"/>
        </w:rPr>
        <w:tab/>
        <w:t>"</w:t>
      </w:r>
      <w:r w:rsidR="008713DB" w:rsidRPr="00B04DC3">
        <w:rPr>
          <w:i/>
          <w:lang w:val="en-GB"/>
        </w:rPr>
        <w:t>Low</w:t>
      </w:r>
      <w:r w:rsidRPr="00B04DC3">
        <w:rPr>
          <w:i/>
          <w:lang w:val="en-GB"/>
        </w:rPr>
        <w:t xml:space="preserve"> speed (n</w:t>
      </w:r>
      <w:r w:rsidRPr="00B04DC3">
        <w:rPr>
          <w:i/>
          <w:vertAlign w:val="subscript"/>
          <w:lang w:val="en-GB"/>
        </w:rPr>
        <w:t>lo</w:t>
      </w:r>
      <w:r w:rsidRPr="00B04DC3">
        <w:rPr>
          <w:i/>
          <w:lang w:val="en-GB"/>
        </w:rPr>
        <w:t>)</w:t>
      </w:r>
      <w:r w:rsidRPr="00B04DC3">
        <w:rPr>
          <w:lang w:val="en-GB"/>
        </w:rPr>
        <w:t>" means the lowest engine speed where 50 per cent of the declared maximum power occurs;</w:t>
      </w:r>
    </w:p>
    <w:p w:rsidR="00EC3C99" w:rsidRPr="00B04DC3" w:rsidRDefault="00EC3C99" w:rsidP="000F1B35">
      <w:pPr>
        <w:pStyle w:val="para"/>
        <w:rPr>
          <w:lang w:val="en-GB"/>
        </w:rPr>
      </w:pPr>
      <w:r w:rsidRPr="00B04DC3">
        <w:rPr>
          <w:lang w:val="en-GB"/>
        </w:rPr>
        <w:t>2.1.41.</w:t>
      </w:r>
      <w:r w:rsidRPr="00B04DC3">
        <w:rPr>
          <w:lang w:val="en-GB"/>
        </w:rPr>
        <w:tab/>
        <w:t>"</w:t>
      </w:r>
      <w:r w:rsidRPr="00B04DC3">
        <w:rPr>
          <w:i/>
          <w:lang w:val="en-GB"/>
        </w:rPr>
        <w:t>LNG</w:t>
      </w:r>
      <w:r w:rsidRPr="00B04DC3">
        <w:rPr>
          <w:i/>
          <w:vertAlign w:val="subscript"/>
          <w:lang w:val="en-GB"/>
        </w:rPr>
        <w:t>20</w:t>
      </w:r>
      <w:r w:rsidRPr="00B04DC3">
        <w:rPr>
          <w:lang w:val="en-GB"/>
        </w:rPr>
        <w:t xml:space="preserve">" means a specific liquefied natural gas / liquefied biomethane composition resulting in a </w:t>
      </w:r>
      <w:r w:rsidRPr="00B04DC3">
        <w:rPr>
          <w:rFonts w:ascii="Symbol" w:hAnsi="Symbol"/>
          <w:lang w:val="en-GB"/>
        </w:rPr>
        <w:t></w:t>
      </w:r>
      <w:r w:rsidRPr="00B04DC3">
        <w:rPr>
          <w:lang w:val="en-GB"/>
        </w:rPr>
        <w:t xml:space="preserve">-shift factor not differing by more than 3 per cent the </w:t>
      </w:r>
      <w:r w:rsidRPr="00B04DC3">
        <w:rPr>
          <w:rFonts w:ascii="Symbol" w:hAnsi="Symbol"/>
          <w:lang w:val="en-GB"/>
        </w:rPr>
        <w:t></w:t>
      </w:r>
      <w:r w:rsidRPr="00B04DC3">
        <w:rPr>
          <w:lang w:val="en-GB"/>
        </w:rPr>
        <w:t>-shift factor of the G</w:t>
      </w:r>
      <w:r w:rsidRPr="00B04DC3">
        <w:rPr>
          <w:vertAlign w:val="subscript"/>
          <w:lang w:val="en-GB"/>
        </w:rPr>
        <w:t>20</w:t>
      </w:r>
      <w:r w:rsidRPr="00B04DC3">
        <w:rPr>
          <w:lang w:val="en-GB"/>
        </w:rPr>
        <w:t xml:space="preserve"> gas specified in Annex 5, and the ethane content of which does not exceed 1.5 per cent.</w:t>
      </w:r>
    </w:p>
    <w:p w:rsidR="00C0100D" w:rsidRPr="00B04DC3" w:rsidRDefault="00C0100D" w:rsidP="000F1B35">
      <w:pPr>
        <w:pStyle w:val="para"/>
        <w:rPr>
          <w:lang w:val="en-GB"/>
        </w:rPr>
      </w:pPr>
      <w:r w:rsidRPr="00B04DC3">
        <w:rPr>
          <w:lang w:val="en-GB"/>
        </w:rPr>
        <w:t>2.1.</w:t>
      </w:r>
      <w:r w:rsidR="00EC3C99" w:rsidRPr="00B04DC3">
        <w:rPr>
          <w:lang w:val="en-GB"/>
        </w:rPr>
        <w:t>42</w:t>
      </w:r>
      <w:r w:rsidRPr="00B04DC3">
        <w:rPr>
          <w:lang w:val="en-GB"/>
        </w:rPr>
        <w:t>.</w:t>
      </w:r>
      <w:r w:rsidRPr="00B04DC3">
        <w:rPr>
          <w:lang w:val="en-GB"/>
        </w:rPr>
        <w:tab/>
        <w:t>"</w:t>
      </w:r>
      <w:r w:rsidR="008713DB" w:rsidRPr="00B04DC3">
        <w:rPr>
          <w:i/>
          <w:lang w:val="en-GB"/>
        </w:rPr>
        <w:t>M</w:t>
      </w:r>
      <w:r w:rsidRPr="00B04DC3">
        <w:rPr>
          <w:i/>
          <w:lang w:val="en-GB"/>
        </w:rPr>
        <w:t>ajor functional failure</w:t>
      </w:r>
      <w:r w:rsidRPr="00B04DC3">
        <w:rPr>
          <w:lang w:val="en-GB"/>
        </w:rPr>
        <w:t>"</w:t>
      </w:r>
      <w:r w:rsidRPr="00B04DC3">
        <w:rPr>
          <w:rStyle w:val="FootnoteReference"/>
          <w:bCs/>
          <w:lang w:val="en-GB"/>
        </w:rPr>
        <w:footnoteReference w:id="4"/>
      </w:r>
      <w:r w:rsidRPr="00B04DC3">
        <w:rPr>
          <w:lang w:val="en-GB"/>
        </w:rPr>
        <w:t xml:space="preserve"> means a permanent or temporary malfunction of any exhaust </w:t>
      </w:r>
      <w:r w:rsidR="006A75A0">
        <w:rPr>
          <w:lang w:val="en-GB"/>
        </w:rPr>
        <w:t>after-treatment</w:t>
      </w:r>
      <w:r w:rsidRPr="00B04DC3">
        <w:rPr>
          <w:lang w:val="en-GB"/>
        </w:rPr>
        <w:t xml:space="preserve"> system that is expected to result in an immediate or delayed increase of the gaseous or particulate emissions of the engine system and which cannot be properly estimated by the OBD system;</w:t>
      </w:r>
    </w:p>
    <w:p w:rsidR="00C0100D" w:rsidRPr="00B04DC3" w:rsidRDefault="00C0100D" w:rsidP="000F1B35">
      <w:pPr>
        <w:pStyle w:val="para"/>
        <w:rPr>
          <w:lang w:val="en-GB"/>
        </w:rPr>
      </w:pPr>
      <w:r w:rsidRPr="00B04DC3">
        <w:rPr>
          <w:lang w:val="en-GB"/>
        </w:rPr>
        <w:t>2.1.</w:t>
      </w:r>
      <w:r w:rsidR="00EC3C99" w:rsidRPr="00B04DC3">
        <w:rPr>
          <w:lang w:val="en-GB"/>
        </w:rPr>
        <w:t>43</w:t>
      </w:r>
      <w:r w:rsidRPr="00B04DC3">
        <w:rPr>
          <w:lang w:val="en-GB"/>
        </w:rPr>
        <w:t>.</w:t>
      </w:r>
      <w:r w:rsidRPr="00B04DC3">
        <w:rPr>
          <w:lang w:val="en-GB"/>
        </w:rPr>
        <w:tab/>
        <w:t>"</w:t>
      </w:r>
      <w:r w:rsidR="008713DB" w:rsidRPr="00B04DC3">
        <w:rPr>
          <w:i/>
          <w:lang w:val="en-GB"/>
        </w:rPr>
        <w:t>Malfunction</w:t>
      </w:r>
      <w:r w:rsidRPr="00B04DC3">
        <w:rPr>
          <w:lang w:val="en-GB"/>
        </w:rPr>
        <w:t>" means:</w:t>
      </w:r>
    </w:p>
    <w:p w:rsidR="00C0100D" w:rsidRPr="00B04DC3" w:rsidRDefault="00C0100D" w:rsidP="000F1B35">
      <w:pPr>
        <w:pStyle w:val="a"/>
        <w:rPr>
          <w:lang w:val="en-GB"/>
        </w:rPr>
      </w:pPr>
      <w:r w:rsidRPr="00B04DC3">
        <w:rPr>
          <w:lang w:val="en-GB"/>
        </w:rPr>
        <w:t>(a)</w:t>
      </w:r>
      <w:r w:rsidRPr="00B04DC3">
        <w:rPr>
          <w:lang w:val="en-GB"/>
        </w:rPr>
        <w:tab/>
      </w:r>
      <w:r w:rsidR="000F1B35" w:rsidRPr="00B04DC3">
        <w:rPr>
          <w:lang w:val="en-GB"/>
        </w:rPr>
        <w:t>A</w:t>
      </w:r>
      <w:r w:rsidRPr="00B04DC3">
        <w:rPr>
          <w:lang w:val="en-GB"/>
        </w:rPr>
        <w:t xml:space="preserve">ny deterioration or failure, including electrical failures, of the emission control system, that would result in emissions exceeding the OBD threshold limits or, when applicable, in failing to reach the range of functional performance of the exhaust </w:t>
      </w:r>
      <w:r w:rsidR="006A75A0">
        <w:rPr>
          <w:lang w:val="en-GB"/>
        </w:rPr>
        <w:t>after-treatment</w:t>
      </w:r>
      <w:r w:rsidRPr="00B04DC3">
        <w:rPr>
          <w:lang w:val="en-GB"/>
        </w:rPr>
        <w:t xml:space="preserve"> system where the emission of any regulated pollutant would exceed the OBD threshold limits;</w:t>
      </w:r>
    </w:p>
    <w:p w:rsidR="00C0100D" w:rsidRPr="00B04DC3" w:rsidRDefault="00C0100D" w:rsidP="000F1B35">
      <w:pPr>
        <w:pStyle w:val="a"/>
        <w:rPr>
          <w:lang w:val="en-GB"/>
        </w:rPr>
      </w:pPr>
      <w:r w:rsidRPr="00B04DC3">
        <w:rPr>
          <w:lang w:val="en-GB"/>
        </w:rPr>
        <w:t>(b)</w:t>
      </w:r>
      <w:r w:rsidRPr="00B04DC3">
        <w:rPr>
          <w:lang w:val="en-GB"/>
        </w:rPr>
        <w:tab/>
      </w:r>
      <w:r w:rsidR="000F1B35" w:rsidRPr="00B04DC3">
        <w:rPr>
          <w:lang w:val="en-GB"/>
        </w:rPr>
        <w:t>A</w:t>
      </w:r>
      <w:r w:rsidRPr="00B04DC3">
        <w:rPr>
          <w:lang w:val="en-GB"/>
        </w:rPr>
        <w:t>ny case where the OBD system is not able to fulfil the monitoring requirements of this Regulation.</w:t>
      </w:r>
    </w:p>
    <w:p w:rsidR="00C0100D" w:rsidRPr="00B04DC3" w:rsidRDefault="00C0100D" w:rsidP="000F1B35">
      <w:pPr>
        <w:pStyle w:val="para"/>
        <w:rPr>
          <w:lang w:val="en-GB"/>
        </w:rPr>
      </w:pPr>
      <w:r w:rsidRPr="00B04DC3">
        <w:rPr>
          <w:lang w:val="en-GB"/>
        </w:rPr>
        <w:tab/>
        <w:t>A manufacturer may nevertheless consider a deterioration or failure that would result in emissions not exceeding the OBD threshold limits as a malfunction;</w:t>
      </w:r>
    </w:p>
    <w:p w:rsidR="00C0100D" w:rsidRPr="00B04DC3" w:rsidRDefault="00C0100D" w:rsidP="000F1B35">
      <w:pPr>
        <w:pStyle w:val="para"/>
        <w:rPr>
          <w:lang w:val="en-GB"/>
        </w:rPr>
      </w:pPr>
      <w:r w:rsidRPr="00B04DC3">
        <w:rPr>
          <w:lang w:val="en-GB"/>
        </w:rPr>
        <w:t>2.1.</w:t>
      </w:r>
      <w:r w:rsidR="00EC3C99" w:rsidRPr="00B04DC3">
        <w:rPr>
          <w:lang w:val="en-GB"/>
        </w:rPr>
        <w:t>44</w:t>
      </w:r>
      <w:r w:rsidRPr="00B04DC3">
        <w:rPr>
          <w:lang w:val="en-GB"/>
        </w:rPr>
        <w:t>.</w:t>
      </w:r>
      <w:r w:rsidRPr="00B04DC3">
        <w:rPr>
          <w:lang w:val="en-GB"/>
        </w:rPr>
        <w:tab/>
        <w:t>"</w:t>
      </w:r>
      <w:r w:rsidR="008713DB" w:rsidRPr="00B04DC3">
        <w:rPr>
          <w:i/>
          <w:lang w:val="en-GB"/>
        </w:rPr>
        <w:t>Malfunction</w:t>
      </w:r>
      <w:r w:rsidRPr="00B04DC3">
        <w:rPr>
          <w:i/>
          <w:lang w:val="en-GB"/>
        </w:rPr>
        <w:t xml:space="preserve"> indicator (MI)</w:t>
      </w:r>
      <w:r w:rsidRPr="00B04DC3">
        <w:rPr>
          <w:lang w:val="en-GB"/>
        </w:rPr>
        <w:t>" means a visual indicator that clearly informs the driver of the vehicle in the event of a malfunction in the sense of this Regulation;</w:t>
      </w:r>
    </w:p>
    <w:p w:rsidR="00C0100D" w:rsidRPr="00B04DC3" w:rsidRDefault="00C0100D" w:rsidP="000F1B35">
      <w:pPr>
        <w:pStyle w:val="para"/>
        <w:rPr>
          <w:lang w:val="en-GB"/>
        </w:rPr>
      </w:pPr>
      <w:r w:rsidRPr="00B04DC3">
        <w:rPr>
          <w:lang w:val="en-GB"/>
        </w:rPr>
        <w:t>2.1.</w:t>
      </w:r>
      <w:r w:rsidR="00EC3C99" w:rsidRPr="00B04DC3">
        <w:rPr>
          <w:lang w:val="en-GB"/>
        </w:rPr>
        <w:t>45</w:t>
      </w:r>
      <w:r w:rsidRPr="00B04DC3">
        <w:rPr>
          <w:lang w:val="en-GB"/>
        </w:rPr>
        <w:t>.</w:t>
      </w:r>
      <w:r w:rsidRPr="00B04DC3">
        <w:rPr>
          <w:lang w:val="en-GB"/>
        </w:rPr>
        <w:tab/>
        <w:t>"</w:t>
      </w:r>
      <w:r w:rsidR="008713DB" w:rsidRPr="00B04DC3">
        <w:rPr>
          <w:i/>
          <w:lang w:val="en-GB"/>
        </w:rPr>
        <w:t>Multi-setting</w:t>
      </w:r>
      <w:r w:rsidRPr="00B04DC3">
        <w:rPr>
          <w:i/>
          <w:lang w:val="en-GB"/>
        </w:rPr>
        <w:t xml:space="preserve"> engine</w:t>
      </w:r>
      <w:r w:rsidRPr="00B04DC3">
        <w:rPr>
          <w:lang w:val="en-GB"/>
        </w:rPr>
        <w:t>" means an engine containing more than one engine setting;</w:t>
      </w:r>
    </w:p>
    <w:p w:rsidR="00C0100D" w:rsidRPr="00B04DC3" w:rsidRDefault="00C0100D" w:rsidP="000F1B35">
      <w:pPr>
        <w:pStyle w:val="para"/>
        <w:rPr>
          <w:lang w:val="en-GB"/>
        </w:rPr>
      </w:pPr>
      <w:r w:rsidRPr="00B04DC3">
        <w:rPr>
          <w:lang w:val="en-GB"/>
        </w:rPr>
        <w:t>2.1.</w:t>
      </w:r>
      <w:r w:rsidR="00EC3C99" w:rsidRPr="00B04DC3">
        <w:rPr>
          <w:lang w:val="en-GB"/>
        </w:rPr>
        <w:t>46</w:t>
      </w:r>
      <w:r w:rsidRPr="00B04DC3">
        <w:rPr>
          <w:lang w:val="en-GB"/>
        </w:rPr>
        <w:t>.</w:t>
      </w:r>
      <w:r w:rsidRPr="00B04DC3">
        <w:rPr>
          <w:lang w:val="en-GB"/>
        </w:rPr>
        <w:tab/>
        <w:t>"</w:t>
      </w:r>
      <w:r w:rsidRPr="00B04DC3">
        <w:rPr>
          <w:i/>
          <w:lang w:val="en-GB"/>
        </w:rPr>
        <w:t>NG gas range</w:t>
      </w:r>
      <w:r w:rsidRPr="00B04DC3">
        <w:rPr>
          <w:lang w:val="en-GB"/>
        </w:rPr>
        <w:t>" means one of the H or L range as defined in European Standard EN 437, dated November 1993;</w:t>
      </w:r>
    </w:p>
    <w:p w:rsidR="00C0100D" w:rsidRPr="00B04DC3" w:rsidRDefault="00C0100D" w:rsidP="000F1B35">
      <w:pPr>
        <w:pStyle w:val="para"/>
        <w:rPr>
          <w:lang w:val="en-GB"/>
        </w:rPr>
      </w:pPr>
      <w:r w:rsidRPr="00B04DC3">
        <w:rPr>
          <w:lang w:val="en-GB"/>
        </w:rPr>
        <w:t>2.1.</w:t>
      </w:r>
      <w:r w:rsidR="00EC3C99" w:rsidRPr="00B04DC3">
        <w:rPr>
          <w:lang w:val="en-GB"/>
        </w:rPr>
        <w:t>47</w:t>
      </w:r>
      <w:r w:rsidRPr="00B04DC3">
        <w:rPr>
          <w:lang w:val="en-GB"/>
        </w:rPr>
        <w:t>.</w:t>
      </w:r>
      <w:r w:rsidRPr="00B04DC3">
        <w:rPr>
          <w:lang w:val="en-GB"/>
        </w:rPr>
        <w:tab/>
        <w:t>"</w:t>
      </w:r>
      <w:r w:rsidR="008713DB" w:rsidRPr="00B04DC3">
        <w:rPr>
          <w:i/>
          <w:lang w:val="en-GB"/>
        </w:rPr>
        <w:t>N</w:t>
      </w:r>
      <w:r w:rsidRPr="00B04DC3">
        <w:rPr>
          <w:i/>
          <w:lang w:val="en-GB"/>
        </w:rPr>
        <w:t>et power</w:t>
      </w:r>
      <w:r w:rsidRPr="00B04DC3">
        <w:rPr>
          <w:lang w:val="en-GB"/>
        </w:rPr>
        <w:t>" means the power in kW obtained on the test bench at the end of the crankshaft, or its</w:t>
      </w:r>
      <w:r w:rsidRPr="00B04DC3">
        <w:rPr>
          <w:b/>
          <w:lang w:val="en-GB"/>
        </w:rPr>
        <w:t xml:space="preserve"> </w:t>
      </w:r>
      <w:r w:rsidRPr="00B04DC3">
        <w:rPr>
          <w:lang w:val="en-GB"/>
        </w:rPr>
        <w:t>equivalent, measured in accordance with the method of measuring power as set out in Regulation No. 85;</w:t>
      </w:r>
    </w:p>
    <w:p w:rsidR="00C0100D" w:rsidRPr="00B04DC3" w:rsidRDefault="00C0100D" w:rsidP="000F1B35">
      <w:pPr>
        <w:pStyle w:val="para"/>
        <w:rPr>
          <w:lang w:val="en-GB"/>
        </w:rPr>
      </w:pPr>
      <w:r w:rsidRPr="00B04DC3">
        <w:rPr>
          <w:lang w:val="en-GB"/>
        </w:rPr>
        <w:t>2.1.</w:t>
      </w:r>
      <w:r w:rsidR="00EC3C99" w:rsidRPr="00B04DC3">
        <w:rPr>
          <w:lang w:val="en-GB"/>
        </w:rPr>
        <w:t>48</w:t>
      </w:r>
      <w:r w:rsidRPr="00B04DC3">
        <w:rPr>
          <w:lang w:val="en-GB"/>
        </w:rPr>
        <w:t>.</w:t>
      </w:r>
      <w:r w:rsidRPr="00B04DC3">
        <w:rPr>
          <w:lang w:val="en-GB"/>
        </w:rPr>
        <w:tab/>
        <w:t>"</w:t>
      </w:r>
      <w:r w:rsidRPr="00B04DC3">
        <w:rPr>
          <w:i/>
          <w:lang w:val="en-GB"/>
        </w:rPr>
        <w:t>OBD</w:t>
      </w:r>
      <w:r w:rsidRPr="00B04DC3">
        <w:rPr>
          <w:lang w:val="en-GB"/>
        </w:rPr>
        <w:t>" means an on</w:t>
      </w:r>
      <w:r w:rsidRPr="00B04DC3">
        <w:rPr>
          <w:lang w:val="en-GB"/>
        </w:rPr>
        <w:noBreakHyphen/>
        <w:t>board diagnostic system for emission control, which has the capability of detecting the occurrence of a malfunction and of identifying the likely area of malfunction by means of fault codes stored in computer memory;</w:t>
      </w:r>
    </w:p>
    <w:p w:rsidR="00C0100D" w:rsidRPr="00B04DC3" w:rsidRDefault="00C0100D" w:rsidP="000F1B35">
      <w:pPr>
        <w:pStyle w:val="para"/>
        <w:rPr>
          <w:lang w:val="en-GB"/>
        </w:rPr>
      </w:pPr>
      <w:r w:rsidRPr="00B04DC3">
        <w:rPr>
          <w:lang w:val="en-GB"/>
        </w:rPr>
        <w:t>2.1.</w:t>
      </w:r>
      <w:r w:rsidR="00EC3C99" w:rsidRPr="00B04DC3">
        <w:rPr>
          <w:lang w:val="en-GB"/>
        </w:rPr>
        <w:t>49</w:t>
      </w:r>
      <w:r w:rsidRPr="00B04DC3">
        <w:rPr>
          <w:lang w:val="en-GB"/>
        </w:rPr>
        <w:t>.</w:t>
      </w:r>
      <w:r w:rsidRPr="00B04DC3">
        <w:rPr>
          <w:lang w:val="en-GB"/>
        </w:rPr>
        <w:tab/>
        <w:t>"</w:t>
      </w:r>
      <w:r w:rsidRPr="00B04DC3">
        <w:rPr>
          <w:i/>
          <w:lang w:val="en-GB"/>
        </w:rPr>
        <w:t>OBD-engine family</w:t>
      </w:r>
      <w:r w:rsidRPr="00B04DC3">
        <w:rPr>
          <w:lang w:val="en-GB"/>
        </w:rPr>
        <w:t>" means, for approval of the OBD system according to the requirements of Annex 9A to this Regulation, a manufacturer's grouping of engine systems having common OBD system design parameters according to paragraph 7.3. of this Regulation;</w:t>
      </w:r>
    </w:p>
    <w:p w:rsidR="00C0100D" w:rsidRPr="00B04DC3" w:rsidRDefault="00C0100D" w:rsidP="000F1B35">
      <w:pPr>
        <w:pStyle w:val="para"/>
        <w:rPr>
          <w:lang w:val="en-GB"/>
        </w:rPr>
      </w:pPr>
      <w:r w:rsidRPr="00B04DC3">
        <w:rPr>
          <w:lang w:val="en-GB"/>
        </w:rPr>
        <w:t>2.1.</w:t>
      </w:r>
      <w:r w:rsidR="00EC3C99" w:rsidRPr="00B04DC3">
        <w:rPr>
          <w:lang w:val="en-GB"/>
        </w:rPr>
        <w:t>50</w:t>
      </w:r>
      <w:r w:rsidRPr="00B04DC3">
        <w:rPr>
          <w:lang w:val="en-GB"/>
        </w:rPr>
        <w:t>.</w:t>
      </w:r>
      <w:r w:rsidRPr="00B04DC3">
        <w:rPr>
          <w:lang w:val="en-GB"/>
        </w:rPr>
        <w:tab/>
        <w:t>"</w:t>
      </w:r>
      <w:r w:rsidR="008713DB" w:rsidRPr="00B04DC3">
        <w:rPr>
          <w:i/>
          <w:lang w:val="en-GB"/>
        </w:rPr>
        <w:t>O</w:t>
      </w:r>
      <w:r w:rsidRPr="00B04DC3">
        <w:rPr>
          <w:i/>
          <w:lang w:val="en-GB"/>
        </w:rPr>
        <w:t>pacimeter</w:t>
      </w:r>
      <w:r w:rsidRPr="00B04DC3">
        <w:rPr>
          <w:lang w:val="en-GB"/>
        </w:rPr>
        <w:t xml:space="preserve">" means an instrument designed to measure the opacity of smoke </w:t>
      </w:r>
      <w:r w:rsidR="002E6737">
        <w:rPr>
          <w:lang w:val="en-GB"/>
        </w:rPr>
        <w:t>particulate</w:t>
      </w:r>
      <w:r w:rsidRPr="00B04DC3">
        <w:rPr>
          <w:lang w:val="en-GB"/>
        </w:rPr>
        <w:t>s by means of the light</w:t>
      </w:r>
      <w:r w:rsidRPr="00B04DC3">
        <w:rPr>
          <w:b/>
          <w:lang w:val="en-GB"/>
        </w:rPr>
        <w:t xml:space="preserve"> </w:t>
      </w:r>
      <w:r w:rsidRPr="00B04DC3">
        <w:rPr>
          <w:lang w:val="en-GB"/>
        </w:rPr>
        <w:t>extinction principle;</w:t>
      </w:r>
    </w:p>
    <w:p w:rsidR="00C0100D" w:rsidRPr="00B04DC3" w:rsidRDefault="00C0100D" w:rsidP="000F1B35">
      <w:pPr>
        <w:pStyle w:val="para"/>
        <w:rPr>
          <w:lang w:val="en-GB"/>
        </w:rPr>
      </w:pPr>
      <w:r w:rsidRPr="00B04DC3">
        <w:rPr>
          <w:lang w:val="en-GB"/>
        </w:rPr>
        <w:t>2.1.</w:t>
      </w:r>
      <w:r w:rsidR="00EC3C99" w:rsidRPr="00B04DC3">
        <w:rPr>
          <w:lang w:val="en-GB"/>
        </w:rPr>
        <w:t>51</w:t>
      </w:r>
      <w:r w:rsidRPr="00B04DC3">
        <w:rPr>
          <w:lang w:val="en-GB"/>
        </w:rPr>
        <w:t>.</w:t>
      </w:r>
      <w:r w:rsidRPr="00B04DC3">
        <w:rPr>
          <w:lang w:val="en-GB"/>
        </w:rPr>
        <w:tab/>
        <w:t>"</w:t>
      </w:r>
      <w:r w:rsidR="008713DB" w:rsidRPr="00B04DC3">
        <w:rPr>
          <w:i/>
          <w:lang w:val="en-GB"/>
        </w:rPr>
        <w:t>Parent</w:t>
      </w:r>
      <w:r w:rsidRPr="00B04DC3">
        <w:rPr>
          <w:i/>
          <w:lang w:val="en-GB"/>
        </w:rPr>
        <w:t xml:space="preserve"> engine</w:t>
      </w:r>
      <w:r w:rsidRPr="00B04DC3">
        <w:rPr>
          <w:lang w:val="en-GB"/>
        </w:rPr>
        <w:t>" means an engine selected from an engine family in such a way that its emissions characteristics will be representative for that engine family;</w:t>
      </w:r>
    </w:p>
    <w:p w:rsidR="00C0100D" w:rsidRPr="00B04DC3" w:rsidRDefault="00C0100D" w:rsidP="000F1B35">
      <w:pPr>
        <w:pStyle w:val="para"/>
        <w:rPr>
          <w:snapToGrid w:val="0"/>
          <w:lang w:val="en-GB"/>
        </w:rPr>
      </w:pPr>
      <w:r w:rsidRPr="00B04DC3">
        <w:rPr>
          <w:snapToGrid w:val="0"/>
          <w:lang w:val="en-GB"/>
        </w:rPr>
        <w:t>2.1.</w:t>
      </w:r>
      <w:r w:rsidR="00EC3C99" w:rsidRPr="00B04DC3">
        <w:rPr>
          <w:snapToGrid w:val="0"/>
          <w:lang w:val="en-GB"/>
        </w:rPr>
        <w:t>52</w:t>
      </w:r>
      <w:r w:rsidRPr="00B04DC3">
        <w:rPr>
          <w:snapToGrid w:val="0"/>
          <w:lang w:val="en-GB"/>
        </w:rPr>
        <w:t>.</w:t>
      </w:r>
      <w:r w:rsidRPr="00B04DC3">
        <w:rPr>
          <w:snapToGrid w:val="0"/>
          <w:lang w:val="en-GB"/>
        </w:rPr>
        <w:tab/>
        <w:t>"</w:t>
      </w:r>
      <w:r w:rsidR="008713DB" w:rsidRPr="00B04DC3">
        <w:rPr>
          <w:i/>
          <w:lang w:val="en-GB"/>
        </w:rPr>
        <w:t>Particulate</w:t>
      </w:r>
      <w:r w:rsidRPr="00B04DC3">
        <w:rPr>
          <w:i/>
          <w:lang w:val="en-GB"/>
        </w:rPr>
        <w:t xml:space="preserve"> </w:t>
      </w:r>
      <w:r w:rsidR="006A75A0">
        <w:rPr>
          <w:i/>
          <w:lang w:val="en-GB"/>
        </w:rPr>
        <w:t>after-treatment</w:t>
      </w:r>
      <w:r w:rsidRPr="00B04DC3">
        <w:rPr>
          <w:i/>
          <w:lang w:val="en-GB"/>
        </w:rPr>
        <w:t xml:space="preserve"> device</w:t>
      </w:r>
      <w:r w:rsidRPr="00B04DC3">
        <w:rPr>
          <w:snapToGrid w:val="0"/>
          <w:lang w:val="en-GB"/>
        </w:rPr>
        <w:t xml:space="preserve">" means an exhaust </w:t>
      </w:r>
      <w:r w:rsidR="006A75A0">
        <w:rPr>
          <w:snapToGrid w:val="0"/>
          <w:lang w:val="en-GB"/>
        </w:rPr>
        <w:t>after-treatment</w:t>
      </w:r>
      <w:r w:rsidRPr="00B04DC3">
        <w:rPr>
          <w:snapToGrid w:val="0"/>
          <w:lang w:val="en-GB"/>
        </w:rPr>
        <w:t xml:space="preserve"> system designed to reduce emissions of particulate pollutants through a mechanical, aerodynamic, diffusional or inertial separation; </w:t>
      </w:r>
    </w:p>
    <w:p w:rsidR="00C0100D" w:rsidRPr="00B04DC3" w:rsidRDefault="00C0100D" w:rsidP="000F1B35">
      <w:pPr>
        <w:pStyle w:val="para"/>
        <w:rPr>
          <w:lang w:val="en-GB"/>
        </w:rPr>
      </w:pPr>
      <w:r w:rsidRPr="00B04DC3">
        <w:rPr>
          <w:lang w:val="en-GB"/>
        </w:rPr>
        <w:t>2.1.</w:t>
      </w:r>
      <w:r w:rsidR="00EC3C99" w:rsidRPr="00B04DC3">
        <w:rPr>
          <w:lang w:val="en-GB"/>
        </w:rPr>
        <w:t>53</w:t>
      </w:r>
      <w:r w:rsidRPr="00B04DC3">
        <w:rPr>
          <w:lang w:val="en-GB"/>
        </w:rPr>
        <w:t>.</w:t>
      </w:r>
      <w:r w:rsidRPr="00B04DC3">
        <w:rPr>
          <w:lang w:val="en-GB"/>
        </w:rPr>
        <w:tab/>
        <w:t>"</w:t>
      </w:r>
      <w:r w:rsidR="008713DB" w:rsidRPr="00B04DC3">
        <w:rPr>
          <w:i/>
          <w:lang w:val="en-GB"/>
        </w:rPr>
        <w:t>P</w:t>
      </w:r>
      <w:r w:rsidRPr="00B04DC3">
        <w:rPr>
          <w:i/>
          <w:lang w:val="en-GB"/>
        </w:rPr>
        <w:t>articulate pollutants</w:t>
      </w:r>
      <w:r w:rsidR="00376365" w:rsidRPr="00071126">
        <w:rPr>
          <w:i/>
          <w:lang w:val="en-GB"/>
        </w:rPr>
        <w:t xml:space="preserve"> </w:t>
      </w:r>
      <w:r w:rsidR="00376365" w:rsidRPr="00071126">
        <w:rPr>
          <w:i/>
          <w:snapToGrid w:val="0"/>
          <w:lang w:val="en-GB"/>
        </w:rPr>
        <w:t>(PT)</w:t>
      </w:r>
      <w:r w:rsidRPr="00B04DC3">
        <w:rPr>
          <w:lang w:val="en-GB"/>
        </w:rPr>
        <w:t>"</w:t>
      </w:r>
      <w:r w:rsidRPr="00B04DC3">
        <w:rPr>
          <w:b/>
          <w:lang w:val="en-GB"/>
        </w:rPr>
        <w:t xml:space="preserve"> </w:t>
      </w:r>
      <w:r w:rsidRPr="00B04DC3">
        <w:rPr>
          <w:lang w:val="en-GB"/>
        </w:rPr>
        <w:t>means any material collected on a specified filter medium after diluting the exhaust with clean filtered air so that the temperature does not exceed 325 K (52 °C);</w:t>
      </w:r>
    </w:p>
    <w:p w:rsidR="00C0100D" w:rsidRPr="00B04DC3" w:rsidRDefault="00C0100D" w:rsidP="000F1B35">
      <w:pPr>
        <w:pStyle w:val="para"/>
        <w:rPr>
          <w:lang w:val="en-GB"/>
        </w:rPr>
      </w:pPr>
      <w:r w:rsidRPr="00B04DC3">
        <w:rPr>
          <w:lang w:val="en-GB"/>
        </w:rPr>
        <w:t>2.1.</w:t>
      </w:r>
      <w:r w:rsidR="00EC3C99" w:rsidRPr="00B04DC3">
        <w:rPr>
          <w:lang w:val="en-GB"/>
        </w:rPr>
        <w:t>54</w:t>
      </w:r>
      <w:r w:rsidRPr="00B04DC3">
        <w:rPr>
          <w:lang w:val="en-GB"/>
        </w:rPr>
        <w:t>.</w:t>
      </w:r>
      <w:r w:rsidRPr="00B04DC3">
        <w:rPr>
          <w:lang w:val="en-GB"/>
        </w:rPr>
        <w:tab/>
        <w:t>"</w:t>
      </w:r>
      <w:r w:rsidR="008713DB" w:rsidRPr="00B04DC3">
        <w:rPr>
          <w:i/>
          <w:lang w:val="en-GB"/>
        </w:rPr>
        <w:t>Per</w:t>
      </w:r>
      <w:r w:rsidRPr="00B04DC3">
        <w:rPr>
          <w:i/>
          <w:lang w:val="en-GB"/>
        </w:rPr>
        <w:t xml:space="preserve"> cent load</w:t>
      </w:r>
      <w:r w:rsidRPr="00B04DC3">
        <w:rPr>
          <w:lang w:val="en-GB"/>
        </w:rPr>
        <w:t>" means the fraction of the maximum available torque at an engine speed;</w:t>
      </w:r>
    </w:p>
    <w:p w:rsidR="00C0100D" w:rsidRPr="00B04DC3" w:rsidRDefault="00C0100D" w:rsidP="000F1B35">
      <w:pPr>
        <w:pStyle w:val="para"/>
        <w:rPr>
          <w:lang w:val="en-GB"/>
        </w:rPr>
      </w:pPr>
      <w:r w:rsidRPr="00B04DC3">
        <w:rPr>
          <w:lang w:val="en-GB"/>
        </w:rPr>
        <w:t>2.1.</w:t>
      </w:r>
      <w:r w:rsidR="00EC3C99" w:rsidRPr="00B04DC3">
        <w:rPr>
          <w:lang w:val="en-GB"/>
        </w:rPr>
        <w:t>55</w:t>
      </w:r>
      <w:r w:rsidRPr="00B04DC3">
        <w:rPr>
          <w:lang w:val="en-GB"/>
        </w:rPr>
        <w:t>.</w:t>
      </w:r>
      <w:r w:rsidRPr="00B04DC3">
        <w:rPr>
          <w:lang w:val="en-GB"/>
        </w:rPr>
        <w:tab/>
        <w:t>"</w:t>
      </w:r>
      <w:r w:rsidR="008713DB" w:rsidRPr="00B04DC3">
        <w:rPr>
          <w:i/>
          <w:lang w:val="en-GB"/>
        </w:rPr>
        <w:t>Periodic</w:t>
      </w:r>
      <w:r w:rsidRPr="00B04DC3">
        <w:rPr>
          <w:i/>
          <w:lang w:val="en-GB"/>
        </w:rPr>
        <w:t xml:space="preserve"> regeneration</w:t>
      </w:r>
      <w:r w:rsidRPr="00B04DC3">
        <w:rPr>
          <w:lang w:val="en-GB"/>
        </w:rPr>
        <w:t>" means the regeneration process of an emission control device that occurs periodically in less than 100 hours of normal engine operation</w:t>
      </w:r>
      <w:r w:rsidR="00401E79" w:rsidRPr="00B04DC3">
        <w:rPr>
          <w:lang w:val="en-GB"/>
        </w:rPr>
        <w:t xml:space="preserve">. </w:t>
      </w:r>
      <w:r w:rsidRPr="00B04DC3">
        <w:rPr>
          <w:lang w:val="en-GB"/>
        </w:rPr>
        <w:t>During cycles where regeneration occurs, emission standards can be exceeded.</w:t>
      </w:r>
    </w:p>
    <w:p w:rsidR="00C0100D" w:rsidRPr="00B04DC3" w:rsidRDefault="00C0100D" w:rsidP="000F1B35">
      <w:pPr>
        <w:pStyle w:val="para"/>
        <w:rPr>
          <w:lang w:val="en-GB"/>
        </w:rPr>
      </w:pPr>
      <w:r w:rsidRPr="00B04DC3">
        <w:rPr>
          <w:lang w:val="en-GB"/>
        </w:rPr>
        <w:t>2.1.</w:t>
      </w:r>
      <w:r w:rsidR="00EC3C99" w:rsidRPr="00B04DC3">
        <w:rPr>
          <w:lang w:val="en-GB"/>
        </w:rPr>
        <w:t>56</w:t>
      </w:r>
      <w:r w:rsidRPr="00B04DC3">
        <w:rPr>
          <w:lang w:val="en-GB"/>
        </w:rPr>
        <w:t>.</w:t>
      </w:r>
      <w:r w:rsidRPr="00B04DC3">
        <w:rPr>
          <w:lang w:val="en-GB"/>
        </w:rPr>
        <w:tab/>
        <w:t>"</w:t>
      </w:r>
      <w:r w:rsidR="008713DB" w:rsidRPr="00B04DC3">
        <w:rPr>
          <w:i/>
          <w:lang w:val="en-GB"/>
        </w:rPr>
        <w:t>Power</w:t>
      </w:r>
      <w:r w:rsidRPr="00B04DC3">
        <w:rPr>
          <w:i/>
          <w:lang w:val="en-GB"/>
        </w:rPr>
        <w:t xml:space="preserve"> take-off unit</w:t>
      </w:r>
      <w:r w:rsidRPr="00B04DC3">
        <w:rPr>
          <w:lang w:val="en-GB"/>
        </w:rPr>
        <w:t>" means an engine</w:t>
      </w:r>
      <w:r w:rsidRPr="00B04DC3">
        <w:rPr>
          <w:lang w:val="en-GB"/>
        </w:rPr>
        <w:noBreakHyphen/>
        <w:t>driven output device for the purposes of powering auxiliary, vehicle mounted, equipment;</w:t>
      </w:r>
    </w:p>
    <w:p w:rsidR="00C0100D" w:rsidRPr="00B04DC3" w:rsidRDefault="00C0100D" w:rsidP="000F1B35">
      <w:pPr>
        <w:pStyle w:val="para"/>
        <w:rPr>
          <w:lang w:val="en-GB"/>
        </w:rPr>
      </w:pPr>
      <w:r w:rsidRPr="00B04DC3">
        <w:rPr>
          <w:lang w:val="en-GB"/>
        </w:rPr>
        <w:t>2.1.</w:t>
      </w:r>
      <w:r w:rsidR="00EC3C99" w:rsidRPr="00B04DC3">
        <w:rPr>
          <w:lang w:val="en-GB"/>
        </w:rPr>
        <w:t>57</w:t>
      </w:r>
      <w:r w:rsidRPr="00B04DC3">
        <w:rPr>
          <w:lang w:val="en-GB"/>
        </w:rPr>
        <w:t>.</w:t>
      </w:r>
      <w:r w:rsidRPr="00B04DC3">
        <w:rPr>
          <w:lang w:val="en-GB"/>
        </w:rPr>
        <w:tab/>
        <w:t>"</w:t>
      </w:r>
      <w:r w:rsidR="008713DB" w:rsidRPr="00B04DC3">
        <w:rPr>
          <w:i/>
          <w:lang w:val="en-GB"/>
        </w:rPr>
        <w:t>Reagent</w:t>
      </w:r>
      <w:r w:rsidRPr="00B04DC3">
        <w:rPr>
          <w:lang w:val="en-GB"/>
        </w:rPr>
        <w:t xml:space="preserve">" means any medium that is stored on-board the vehicle in a tank and provided to the exhaust </w:t>
      </w:r>
      <w:r w:rsidR="006A75A0">
        <w:rPr>
          <w:lang w:val="en-GB"/>
        </w:rPr>
        <w:t>after-treatment</w:t>
      </w:r>
      <w:r w:rsidRPr="00B04DC3">
        <w:rPr>
          <w:lang w:val="en-GB"/>
        </w:rPr>
        <w:t xml:space="preserve"> system (if required) upon request of the emission control system;</w:t>
      </w:r>
    </w:p>
    <w:p w:rsidR="00C0100D" w:rsidRPr="00B04DC3" w:rsidRDefault="00C0100D" w:rsidP="000F1B35">
      <w:pPr>
        <w:pStyle w:val="para"/>
        <w:rPr>
          <w:lang w:val="en-GB"/>
        </w:rPr>
      </w:pPr>
      <w:r w:rsidRPr="00B04DC3">
        <w:rPr>
          <w:lang w:val="en-GB"/>
        </w:rPr>
        <w:t>2.1.</w:t>
      </w:r>
      <w:r w:rsidR="00EC3C99" w:rsidRPr="00B04DC3">
        <w:rPr>
          <w:lang w:val="en-GB"/>
        </w:rPr>
        <w:t>58</w:t>
      </w:r>
      <w:r w:rsidRPr="00B04DC3">
        <w:rPr>
          <w:lang w:val="en-GB"/>
        </w:rPr>
        <w:t>.</w:t>
      </w:r>
      <w:r w:rsidRPr="00B04DC3">
        <w:rPr>
          <w:lang w:val="en-GB"/>
        </w:rPr>
        <w:tab/>
        <w:t>"</w:t>
      </w:r>
      <w:r w:rsidR="008713DB" w:rsidRPr="00B04DC3">
        <w:rPr>
          <w:i/>
          <w:lang w:val="en-GB"/>
        </w:rPr>
        <w:t>Recalibration</w:t>
      </w:r>
      <w:r w:rsidRPr="00B04DC3">
        <w:rPr>
          <w:lang w:val="en-GB"/>
        </w:rPr>
        <w:t>" means a fine tuning of an NG engine in order to provide the same performance (power, fuel consumption) in a different range of natural gas;</w:t>
      </w:r>
    </w:p>
    <w:p w:rsidR="00C0100D" w:rsidRPr="00B04DC3" w:rsidRDefault="00C0100D" w:rsidP="000F1B35">
      <w:pPr>
        <w:pStyle w:val="para"/>
        <w:rPr>
          <w:lang w:val="en-GB"/>
        </w:rPr>
      </w:pPr>
      <w:r w:rsidRPr="00B04DC3">
        <w:rPr>
          <w:lang w:val="en-GB"/>
        </w:rPr>
        <w:t>2.1.</w:t>
      </w:r>
      <w:r w:rsidR="00EC3C99" w:rsidRPr="00B04DC3">
        <w:rPr>
          <w:lang w:val="en-GB"/>
        </w:rPr>
        <w:t>59</w:t>
      </w:r>
      <w:r w:rsidRPr="00B04DC3">
        <w:rPr>
          <w:lang w:val="en-GB"/>
        </w:rPr>
        <w:t>.</w:t>
      </w:r>
      <w:r w:rsidRPr="00B04DC3">
        <w:rPr>
          <w:lang w:val="en-GB"/>
        </w:rPr>
        <w:tab/>
        <w:t>"</w:t>
      </w:r>
      <w:r w:rsidR="008713DB" w:rsidRPr="00B04DC3">
        <w:rPr>
          <w:i/>
          <w:lang w:val="en-GB"/>
        </w:rPr>
        <w:t>Reference</w:t>
      </w:r>
      <w:r w:rsidRPr="00B04DC3">
        <w:rPr>
          <w:i/>
          <w:lang w:val="en-GB"/>
        </w:rPr>
        <w:t xml:space="preserve"> speed (n</w:t>
      </w:r>
      <w:r w:rsidRPr="00B04DC3">
        <w:rPr>
          <w:i/>
          <w:vertAlign w:val="subscript"/>
          <w:lang w:val="en-GB"/>
        </w:rPr>
        <w:t>ref</w:t>
      </w:r>
      <w:r w:rsidRPr="00B04DC3">
        <w:rPr>
          <w:i/>
          <w:lang w:val="en-GB"/>
        </w:rPr>
        <w:t>)</w:t>
      </w:r>
      <w:r w:rsidRPr="00B04DC3">
        <w:rPr>
          <w:lang w:val="en-GB"/>
        </w:rPr>
        <w:t>" means the 100 per cent speed value to be used for denormalizing the relative speed</w:t>
      </w:r>
      <w:r w:rsidRPr="00B04DC3">
        <w:rPr>
          <w:b/>
          <w:lang w:val="en-GB"/>
        </w:rPr>
        <w:t xml:space="preserve"> </w:t>
      </w:r>
      <w:r w:rsidRPr="00B04DC3">
        <w:rPr>
          <w:lang w:val="en-GB"/>
        </w:rPr>
        <w:t>values of the ETC test, as set out in Appendix 2 to Annex 4A to this Regulation;</w:t>
      </w:r>
    </w:p>
    <w:p w:rsidR="00C0100D" w:rsidRPr="00B04DC3" w:rsidRDefault="00C0100D" w:rsidP="000F1B35">
      <w:pPr>
        <w:pStyle w:val="para"/>
        <w:rPr>
          <w:lang w:val="en-GB"/>
        </w:rPr>
      </w:pPr>
      <w:bookmarkStart w:id="14" w:name="_Toc495721561"/>
      <w:r w:rsidRPr="00B04DC3">
        <w:rPr>
          <w:lang w:val="en-GB"/>
        </w:rPr>
        <w:t>2.1.</w:t>
      </w:r>
      <w:r w:rsidR="00EC3C99" w:rsidRPr="00B04DC3">
        <w:rPr>
          <w:lang w:val="en-GB"/>
        </w:rPr>
        <w:t>60</w:t>
      </w:r>
      <w:r w:rsidRPr="00B04DC3">
        <w:rPr>
          <w:lang w:val="en-GB"/>
        </w:rPr>
        <w:t>.</w:t>
      </w:r>
      <w:r w:rsidRPr="00B04DC3">
        <w:rPr>
          <w:lang w:val="en-GB"/>
        </w:rPr>
        <w:tab/>
        <w:t>"</w:t>
      </w:r>
      <w:r w:rsidR="008713DB" w:rsidRPr="00B04DC3">
        <w:rPr>
          <w:i/>
          <w:lang w:val="en-GB"/>
        </w:rPr>
        <w:t>R</w:t>
      </w:r>
      <w:r w:rsidRPr="00B04DC3">
        <w:rPr>
          <w:i/>
          <w:lang w:val="en-GB"/>
        </w:rPr>
        <w:t>esponse time</w:t>
      </w:r>
      <w:r w:rsidRPr="00B04DC3">
        <w:rPr>
          <w:lang w:val="en-GB"/>
        </w:rPr>
        <w:t>" means the d</w:t>
      </w:r>
      <w:bookmarkEnd w:id="14"/>
      <w:r w:rsidRPr="00B04DC3">
        <w:rPr>
          <w:lang w:val="en-GB"/>
        </w:rPr>
        <w:t xml:space="preserve">ifference in time between a rapid change of the component to be measured at the reference point and the appropriate change in the response of the measuring system whereby the change of the measured component is at least 60 per cent </w:t>
      </w:r>
      <w:r w:rsidR="00071126">
        <w:rPr>
          <w:lang w:val="en-GB"/>
        </w:rPr>
        <w:t>F</w:t>
      </w:r>
      <w:r w:rsidR="00071126" w:rsidRPr="00B04DC3">
        <w:rPr>
          <w:lang w:val="en-GB"/>
        </w:rPr>
        <w:t xml:space="preserve">ull </w:t>
      </w:r>
      <w:r w:rsidR="00071126">
        <w:rPr>
          <w:lang w:val="en-GB"/>
        </w:rPr>
        <w:t>S</w:t>
      </w:r>
      <w:r w:rsidR="00071126" w:rsidRPr="00B04DC3">
        <w:rPr>
          <w:lang w:val="en-GB"/>
        </w:rPr>
        <w:t xml:space="preserve">cale </w:t>
      </w:r>
      <w:r w:rsidR="00B8756D" w:rsidRPr="00B04DC3">
        <w:rPr>
          <w:lang w:val="en-GB"/>
        </w:rPr>
        <w:t>(</w:t>
      </w:r>
      <w:r w:rsidRPr="00B04DC3">
        <w:rPr>
          <w:lang w:val="en-GB"/>
        </w:rPr>
        <w:t>FS</w:t>
      </w:r>
      <w:r w:rsidR="00B8756D" w:rsidRPr="00B04DC3">
        <w:rPr>
          <w:lang w:val="en-GB"/>
        </w:rPr>
        <w:t>)</w:t>
      </w:r>
      <w:r w:rsidRPr="00B04DC3">
        <w:rPr>
          <w:lang w:val="en-GB"/>
        </w:rPr>
        <w:t xml:space="preserve"> and takes place in less than 0.1 second</w:t>
      </w:r>
      <w:r w:rsidR="00401E79" w:rsidRPr="00B04DC3">
        <w:rPr>
          <w:lang w:val="en-GB"/>
        </w:rPr>
        <w:t xml:space="preserve">. </w:t>
      </w:r>
      <w:r w:rsidRPr="00B04DC3">
        <w:rPr>
          <w:lang w:val="en-GB"/>
        </w:rPr>
        <w:t>The system response time (t</w:t>
      </w:r>
      <w:r w:rsidRPr="00B04DC3">
        <w:rPr>
          <w:vertAlign w:val="subscript"/>
          <w:lang w:val="en-GB"/>
        </w:rPr>
        <w:t>90</w:t>
      </w:r>
      <w:r w:rsidRPr="00B04DC3">
        <w:rPr>
          <w:lang w:val="en-GB"/>
        </w:rPr>
        <w:t>) consists of the delay time to the system and of the rise time of the system (see also ISO 16183);</w:t>
      </w:r>
    </w:p>
    <w:p w:rsidR="00C0100D" w:rsidRPr="00B04DC3" w:rsidRDefault="00C0100D" w:rsidP="000F1B35">
      <w:pPr>
        <w:pStyle w:val="para"/>
        <w:rPr>
          <w:lang w:val="en-GB"/>
        </w:rPr>
      </w:pPr>
      <w:bookmarkStart w:id="15" w:name="_Toc495721563"/>
      <w:r w:rsidRPr="00B04DC3">
        <w:rPr>
          <w:lang w:val="en-GB"/>
        </w:rPr>
        <w:t>2.1.</w:t>
      </w:r>
      <w:r w:rsidR="00EC3C99" w:rsidRPr="00B04DC3">
        <w:rPr>
          <w:lang w:val="en-GB"/>
        </w:rPr>
        <w:t>61</w:t>
      </w:r>
      <w:r w:rsidRPr="00B04DC3">
        <w:rPr>
          <w:lang w:val="en-GB"/>
        </w:rPr>
        <w:t>.</w:t>
      </w:r>
      <w:r w:rsidRPr="00B04DC3">
        <w:rPr>
          <w:lang w:val="en-GB"/>
        </w:rPr>
        <w:tab/>
        <w:t>"</w:t>
      </w:r>
      <w:r w:rsidR="008713DB" w:rsidRPr="00B04DC3">
        <w:rPr>
          <w:i/>
          <w:lang w:val="en-GB"/>
        </w:rPr>
        <w:t>Rise</w:t>
      </w:r>
      <w:r w:rsidRPr="00B04DC3">
        <w:rPr>
          <w:i/>
          <w:lang w:val="en-GB"/>
        </w:rPr>
        <w:t xml:space="preserve"> time</w:t>
      </w:r>
      <w:bookmarkEnd w:id="15"/>
      <w:r w:rsidRPr="00B04DC3">
        <w:rPr>
          <w:lang w:val="en-GB"/>
        </w:rPr>
        <w:t>" means the time between the 10 per cent and 90 per cent response of the final reading (t</w:t>
      </w:r>
      <w:r w:rsidRPr="00B04DC3">
        <w:rPr>
          <w:vertAlign w:val="subscript"/>
          <w:lang w:val="en-GB"/>
        </w:rPr>
        <w:t>90</w:t>
      </w:r>
      <w:r w:rsidRPr="00B04DC3">
        <w:rPr>
          <w:lang w:val="en-GB"/>
        </w:rPr>
        <w:t xml:space="preserve"> – t</w:t>
      </w:r>
      <w:r w:rsidRPr="00B04DC3">
        <w:rPr>
          <w:vertAlign w:val="subscript"/>
          <w:lang w:val="en-GB"/>
        </w:rPr>
        <w:t>10</w:t>
      </w:r>
      <w:r w:rsidRPr="00B04DC3">
        <w:rPr>
          <w:lang w:val="en-GB"/>
        </w:rPr>
        <w:t>)</w:t>
      </w:r>
      <w:r w:rsidR="00401E79" w:rsidRPr="00B04DC3">
        <w:rPr>
          <w:lang w:val="en-GB"/>
        </w:rPr>
        <w:t xml:space="preserve">. </w:t>
      </w:r>
      <w:r w:rsidRPr="00B04DC3">
        <w:rPr>
          <w:lang w:val="en-GB"/>
        </w:rPr>
        <w:t>This is the instrument response after the component to be measured has reached the instrument</w:t>
      </w:r>
      <w:r w:rsidR="00401E79" w:rsidRPr="00B04DC3">
        <w:rPr>
          <w:lang w:val="en-GB"/>
        </w:rPr>
        <w:t xml:space="preserve">. </w:t>
      </w:r>
      <w:r w:rsidRPr="00B04DC3">
        <w:rPr>
          <w:lang w:val="en-GB"/>
        </w:rPr>
        <w:t>For the rise time, the sampling probe is defined as the reference point;</w:t>
      </w:r>
    </w:p>
    <w:p w:rsidR="00C0100D" w:rsidRPr="00B04DC3" w:rsidRDefault="00C0100D" w:rsidP="000F1B35">
      <w:pPr>
        <w:pStyle w:val="para"/>
        <w:rPr>
          <w:lang w:val="en-GB"/>
        </w:rPr>
      </w:pPr>
      <w:r w:rsidRPr="00B04DC3">
        <w:rPr>
          <w:lang w:val="en-GB"/>
        </w:rPr>
        <w:t>2.1.</w:t>
      </w:r>
      <w:r w:rsidR="00EC3C99" w:rsidRPr="00B04DC3">
        <w:rPr>
          <w:lang w:val="en-GB"/>
        </w:rPr>
        <w:t>62</w:t>
      </w:r>
      <w:r w:rsidRPr="00B04DC3">
        <w:rPr>
          <w:lang w:val="en-GB"/>
        </w:rPr>
        <w:t>.</w:t>
      </w:r>
      <w:r w:rsidRPr="00B04DC3">
        <w:rPr>
          <w:lang w:val="en-GB"/>
        </w:rPr>
        <w:tab/>
        <w:t>"</w:t>
      </w:r>
      <w:r w:rsidR="008713DB" w:rsidRPr="00B04DC3">
        <w:rPr>
          <w:i/>
          <w:lang w:val="en-GB"/>
        </w:rPr>
        <w:t>Self</w:t>
      </w:r>
      <w:r w:rsidRPr="00B04DC3">
        <w:rPr>
          <w:i/>
          <w:lang w:val="en-GB"/>
        </w:rPr>
        <w:t xml:space="preserve"> adaptability</w:t>
      </w:r>
      <w:r w:rsidRPr="00B04DC3">
        <w:rPr>
          <w:lang w:val="en-GB"/>
        </w:rPr>
        <w:t>" means any engine device allowing the air/fuel ratio to be kept constant;</w:t>
      </w:r>
    </w:p>
    <w:p w:rsidR="00B06874" w:rsidRPr="00B04DC3" w:rsidRDefault="00B06874" w:rsidP="000F1B35">
      <w:pPr>
        <w:pStyle w:val="para"/>
        <w:rPr>
          <w:lang w:val="en-GB"/>
        </w:rPr>
      </w:pPr>
      <w:r w:rsidRPr="00B04DC3">
        <w:rPr>
          <w:lang w:val="en-GB"/>
        </w:rPr>
        <w:t>2.1.63.</w:t>
      </w:r>
      <w:r w:rsidRPr="00B04DC3">
        <w:rPr>
          <w:lang w:val="en-GB"/>
        </w:rPr>
        <w:tab/>
        <w:t>"</w:t>
      </w:r>
      <w:r w:rsidRPr="00B04DC3">
        <w:rPr>
          <w:i/>
          <w:lang w:val="en-GB"/>
        </w:rPr>
        <w:t>Service mode</w:t>
      </w:r>
      <w:r w:rsidRPr="00B04DC3">
        <w:rPr>
          <w:lang w:val="en-GB"/>
        </w:rPr>
        <w:t>" means a special mode of a dual-fuel engine that is activated for the purpose of repairing, or of moving the vehicle from the traffic when operation in the dual-fuel mode is not possible</w:t>
      </w:r>
      <w:r w:rsidR="00071126">
        <w:rPr>
          <w:lang w:val="en-GB"/>
        </w:rPr>
        <w:t>;</w:t>
      </w:r>
    </w:p>
    <w:p w:rsidR="00C0100D" w:rsidRPr="00B04DC3" w:rsidRDefault="00C0100D" w:rsidP="000F1B35">
      <w:pPr>
        <w:pStyle w:val="para"/>
        <w:rPr>
          <w:lang w:val="en-GB"/>
        </w:rPr>
      </w:pPr>
      <w:r w:rsidRPr="00B04DC3">
        <w:rPr>
          <w:lang w:val="en-GB"/>
        </w:rPr>
        <w:t>2.1.</w:t>
      </w:r>
      <w:r w:rsidR="00B06874" w:rsidRPr="00B04DC3">
        <w:rPr>
          <w:lang w:val="en-GB"/>
        </w:rPr>
        <w:t>64</w:t>
      </w:r>
      <w:r w:rsidRPr="00B04DC3">
        <w:rPr>
          <w:lang w:val="en-GB"/>
        </w:rPr>
        <w:t>.</w:t>
      </w:r>
      <w:r w:rsidRPr="00B04DC3">
        <w:rPr>
          <w:lang w:val="en-GB"/>
        </w:rPr>
        <w:tab/>
        <w:t>"</w:t>
      </w:r>
      <w:r w:rsidR="008713DB" w:rsidRPr="00B04DC3">
        <w:rPr>
          <w:i/>
          <w:lang w:val="en-GB"/>
        </w:rPr>
        <w:t>Smoke</w:t>
      </w:r>
      <w:r w:rsidRPr="00B04DC3">
        <w:rPr>
          <w:lang w:val="en-GB"/>
        </w:rPr>
        <w:t xml:space="preserve">" means </w:t>
      </w:r>
      <w:r w:rsidR="002E6737">
        <w:rPr>
          <w:lang w:val="en-GB"/>
        </w:rPr>
        <w:t>particulate</w:t>
      </w:r>
      <w:r w:rsidRPr="00B04DC3">
        <w:rPr>
          <w:lang w:val="en-GB"/>
        </w:rPr>
        <w:t>s suspended in the exhaust stream of a diesel engine which absorb, reflect, or refract</w:t>
      </w:r>
      <w:r w:rsidRPr="00B04DC3">
        <w:rPr>
          <w:b/>
          <w:lang w:val="en-GB"/>
        </w:rPr>
        <w:t xml:space="preserve"> </w:t>
      </w:r>
      <w:r w:rsidRPr="00B04DC3">
        <w:rPr>
          <w:lang w:val="en-GB"/>
        </w:rPr>
        <w:t>light;</w:t>
      </w:r>
    </w:p>
    <w:p w:rsidR="00C0100D" w:rsidRPr="00B04DC3" w:rsidRDefault="00C0100D" w:rsidP="000F1B35">
      <w:pPr>
        <w:pStyle w:val="para"/>
        <w:rPr>
          <w:lang w:val="en-GB"/>
        </w:rPr>
      </w:pPr>
      <w:r w:rsidRPr="00B04DC3">
        <w:rPr>
          <w:lang w:val="en-GB"/>
        </w:rPr>
        <w:t>2.1.</w:t>
      </w:r>
      <w:r w:rsidR="00B06874" w:rsidRPr="00B04DC3">
        <w:rPr>
          <w:lang w:val="en-GB"/>
        </w:rPr>
        <w:t>65</w:t>
      </w:r>
      <w:r w:rsidRPr="00B04DC3">
        <w:rPr>
          <w:lang w:val="en-GB"/>
        </w:rPr>
        <w:t>.</w:t>
      </w:r>
      <w:r w:rsidRPr="00B04DC3">
        <w:rPr>
          <w:lang w:val="en-GB"/>
        </w:rPr>
        <w:tab/>
        <w:t>"</w:t>
      </w:r>
      <w:r w:rsidR="008713DB" w:rsidRPr="00B04DC3">
        <w:rPr>
          <w:i/>
          <w:lang w:val="en-GB"/>
        </w:rPr>
        <w:t>T</w:t>
      </w:r>
      <w:r w:rsidRPr="00B04DC3">
        <w:rPr>
          <w:i/>
          <w:lang w:val="en-GB"/>
        </w:rPr>
        <w:t>est cycle</w:t>
      </w:r>
      <w:r w:rsidRPr="00B04DC3">
        <w:rPr>
          <w:lang w:val="en-GB"/>
        </w:rPr>
        <w:t>" means a sequence of test points each with a defined speed and torque to be followed by the engine</w:t>
      </w:r>
      <w:r w:rsidRPr="00B04DC3">
        <w:rPr>
          <w:b/>
          <w:lang w:val="en-GB"/>
        </w:rPr>
        <w:t xml:space="preserve"> </w:t>
      </w:r>
      <w:r w:rsidRPr="00B04DC3">
        <w:rPr>
          <w:lang w:val="en-GB"/>
        </w:rPr>
        <w:t>under steady state (ESC test) or transient operating conditions (ETC, ELR test</w:t>
      </w:r>
      <w:r w:rsidR="00B8756D" w:rsidRPr="00B04DC3">
        <w:rPr>
          <w:lang w:val="en-GB"/>
        </w:rPr>
        <w:t>s</w:t>
      </w:r>
      <w:r w:rsidRPr="00B04DC3">
        <w:rPr>
          <w:lang w:val="en-GB"/>
        </w:rPr>
        <w:t>);</w:t>
      </w:r>
    </w:p>
    <w:p w:rsidR="00C0100D" w:rsidRPr="00B04DC3" w:rsidRDefault="00C0100D" w:rsidP="000F1B35">
      <w:pPr>
        <w:pStyle w:val="para"/>
        <w:rPr>
          <w:lang w:val="en-GB"/>
        </w:rPr>
      </w:pPr>
      <w:r w:rsidRPr="00B04DC3">
        <w:rPr>
          <w:lang w:val="en-GB"/>
        </w:rPr>
        <w:t>2.1.</w:t>
      </w:r>
      <w:r w:rsidR="00B06874" w:rsidRPr="00B04DC3">
        <w:rPr>
          <w:lang w:val="en-GB"/>
        </w:rPr>
        <w:t>66</w:t>
      </w:r>
      <w:r w:rsidRPr="00B04DC3">
        <w:rPr>
          <w:lang w:val="en-GB"/>
        </w:rPr>
        <w:t>.</w:t>
      </w:r>
      <w:r w:rsidRPr="00B04DC3">
        <w:rPr>
          <w:lang w:val="en-GB"/>
        </w:rPr>
        <w:tab/>
        <w:t>"</w:t>
      </w:r>
      <w:r w:rsidR="008713DB" w:rsidRPr="00B04DC3">
        <w:rPr>
          <w:i/>
          <w:lang w:val="en-GB"/>
        </w:rPr>
        <w:t>Torque</w:t>
      </w:r>
      <w:r w:rsidRPr="00B04DC3">
        <w:rPr>
          <w:i/>
          <w:lang w:val="en-GB"/>
        </w:rPr>
        <w:t xml:space="preserve"> limiter</w:t>
      </w:r>
      <w:r w:rsidRPr="00B04DC3">
        <w:rPr>
          <w:lang w:val="en-GB"/>
        </w:rPr>
        <w:t>" means a device that temporarily limits the maximum torque of the engine;</w:t>
      </w:r>
    </w:p>
    <w:p w:rsidR="00C0100D" w:rsidRPr="00B04DC3" w:rsidRDefault="00C0100D" w:rsidP="000F1B35">
      <w:pPr>
        <w:pStyle w:val="para"/>
        <w:rPr>
          <w:lang w:val="en-GB"/>
        </w:rPr>
      </w:pPr>
      <w:bookmarkStart w:id="16" w:name="_Toc495721564"/>
      <w:r w:rsidRPr="00B04DC3">
        <w:rPr>
          <w:lang w:val="en-GB"/>
        </w:rPr>
        <w:t>2.1.</w:t>
      </w:r>
      <w:r w:rsidR="00B06874" w:rsidRPr="00B04DC3">
        <w:rPr>
          <w:lang w:val="en-GB"/>
        </w:rPr>
        <w:t>67</w:t>
      </w:r>
      <w:r w:rsidRPr="00B04DC3">
        <w:rPr>
          <w:lang w:val="en-GB"/>
        </w:rPr>
        <w:t>.</w:t>
      </w:r>
      <w:r w:rsidRPr="00B04DC3">
        <w:rPr>
          <w:lang w:val="en-GB"/>
        </w:rPr>
        <w:tab/>
        <w:t>"</w:t>
      </w:r>
      <w:r w:rsidR="008713DB" w:rsidRPr="00B04DC3">
        <w:rPr>
          <w:i/>
          <w:lang w:val="en-GB"/>
        </w:rPr>
        <w:t>Transformation</w:t>
      </w:r>
      <w:r w:rsidRPr="00B04DC3">
        <w:rPr>
          <w:i/>
          <w:lang w:val="en-GB"/>
        </w:rPr>
        <w:t xml:space="preserve"> time</w:t>
      </w:r>
      <w:r w:rsidRPr="00B04DC3">
        <w:rPr>
          <w:lang w:val="en-GB"/>
        </w:rPr>
        <w:t>" means the time between the change of the component to be measured at the sampling probe and a system response of 50 per cent of the final reading (t</w:t>
      </w:r>
      <w:r w:rsidRPr="00B04DC3">
        <w:rPr>
          <w:vertAlign w:val="subscript"/>
          <w:lang w:val="en-GB"/>
        </w:rPr>
        <w:t>50</w:t>
      </w:r>
      <w:r w:rsidRPr="00B04DC3">
        <w:rPr>
          <w:lang w:val="en-GB"/>
        </w:rPr>
        <w:t>)</w:t>
      </w:r>
      <w:r w:rsidR="00401E79" w:rsidRPr="00B04DC3">
        <w:rPr>
          <w:lang w:val="en-GB"/>
        </w:rPr>
        <w:t xml:space="preserve">. </w:t>
      </w:r>
      <w:r w:rsidRPr="00B04DC3">
        <w:rPr>
          <w:lang w:val="en-GB"/>
        </w:rPr>
        <w:t>The transformation time is used for the signal alignment of different measurement instruments;</w:t>
      </w:r>
    </w:p>
    <w:bookmarkEnd w:id="16"/>
    <w:p w:rsidR="00C0100D" w:rsidRPr="00B04DC3" w:rsidRDefault="00C0100D" w:rsidP="000F1B35">
      <w:pPr>
        <w:pStyle w:val="para"/>
        <w:rPr>
          <w:lang w:val="en-GB"/>
        </w:rPr>
      </w:pPr>
      <w:r w:rsidRPr="00B04DC3">
        <w:rPr>
          <w:lang w:val="en-GB"/>
        </w:rPr>
        <w:t>2.1.</w:t>
      </w:r>
      <w:r w:rsidR="00B06874" w:rsidRPr="00B04DC3">
        <w:rPr>
          <w:lang w:val="en-GB"/>
        </w:rPr>
        <w:t>68</w:t>
      </w:r>
      <w:r w:rsidRPr="00B04DC3">
        <w:rPr>
          <w:lang w:val="en-GB"/>
        </w:rPr>
        <w:t>.</w:t>
      </w:r>
      <w:r w:rsidRPr="00B04DC3">
        <w:rPr>
          <w:lang w:val="en-GB"/>
        </w:rPr>
        <w:tab/>
        <w:t>"</w:t>
      </w:r>
      <w:r w:rsidRPr="00B04DC3">
        <w:rPr>
          <w:i/>
          <w:caps/>
          <w:lang w:val="en-GB"/>
        </w:rPr>
        <w:t>u</w:t>
      </w:r>
      <w:r w:rsidRPr="00B04DC3">
        <w:rPr>
          <w:i/>
          <w:lang w:val="en-GB"/>
        </w:rPr>
        <w:t>seful life</w:t>
      </w:r>
      <w:r w:rsidRPr="00B04DC3">
        <w:rPr>
          <w:lang w:val="en-GB"/>
        </w:rPr>
        <w:t>" means, for vehicles and engines that are approved to either row</w:t>
      </w:r>
      <w:r w:rsidR="00B8756D" w:rsidRPr="00B04DC3">
        <w:rPr>
          <w:lang w:val="en-GB"/>
        </w:rPr>
        <w:t> </w:t>
      </w:r>
      <w:r w:rsidRPr="00B04DC3">
        <w:rPr>
          <w:lang w:val="en-GB"/>
        </w:rPr>
        <w:t>B1, row B2 or row C of the table</w:t>
      </w:r>
      <w:r w:rsidR="00B8756D" w:rsidRPr="00B04DC3">
        <w:rPr>
          <w:lang w:val="en-GB"/>
        </w:rPr>
        <w:t>s</w:t>
      </w:r>
      <w:r w:rsidRPr="00B04DC3">
        <w:rPr>
          <w:lang w:val="en-GB"/>
        </w:rPr>
        <w:t xml:space="preserve"> given in paragraph 5.2.1. of this Regulation, the relevant period of distance and/or time that is defined in paragraph 5.3. (durability </w:t>
      </w:r>
      <w:r w:rsidR="00B8756D" w:rsidRPr="00B04DC3">
        <w:rPr>
          <w:lang w:val="en-GB"/>
        </w:rPr>
        <w:t>and deterioration factors</w:t>
      </w:r>
      <w:r w:rsidRPr="00B04DC3">
        <w:rPr>
          <w:lang w:val="en-GB"/>
        </w:rPr>
        <w:t>) over which compliance with the relevant gaseous, particulate and smoke emission limits has to be assured as part of the approval;</w:t>
      </w:r>
    </w:p>
    <w:p w:rsidR="00C0100D" w:rsidRPr="00B04DC3" w:rsidRDefault="00A905B7" w:rsidP="000F1B35">
      <w:pPr>
        <w:pStyle w:val="para"/>
        <w:rPr>
          <w:lang w:val="en-GB"/>
        </w:rPr>
      </w:pPr>
      <w:r>
        <w:rPr>
          <w:noProof/>
          <w:lang w:val="en-GB"/>
        </w:rPr>
        <w:pict>
          <v:shape id="_x0000_s1048" type="#_x0000_t75" style="position:absolute;left:0;text-align:left;margin-left:115pt;margin-top:45pt;width:85.55pt;height:18.45pt;z-index:251565056">
            <v:imagedata r:id="rId20" o:title=""/>
            <w10:wrap type="topAndBottom"/>
          </v:shape>
          <o:OLEObject Type="Embed" ProgID="Equation.3" ShapeID="_x0000_s1048" DrawAspect="Content" ObjectID="_1498392414" r:id="rId21"/>
        </w:pict>
      </w:r>
      <w:r w:rsidR="00C0100D" w:rsidRPr="00B04DC3">
        <w:rPr>
          <w:lang w:val="en-GB"/>
        </w:rPr>
        <w:t>2.1.</w:t>
      </w:r>
      <w:r w:rsidR="00B06874" w:rsidRPr="00B04DC3">
        <w:rPr>
          <w:lang w:val="en-GB"/>
        </w:rPr>
        <w:t>69</w:t>
      </w:r>
      <w:r w:rsidR="00C0100D" w:rsidRPr="00B04DC3">
        <w:rPr>
          <w:lang w:val="en-GB"/>
        </w:rPr>
        <w:t>.</w:t>
      </w:r>
      <w:r w:rsidR="00C0100D" w:rsidRPr="00B04DC3">
        <w:rPr>
          <w:lang w:val="en-GB"/>
        </w:rPr>
        <w:tab/>
        <w:t>"</w:t>
      </w:r>
      <w:r w:rsidR="00C0100D" w:rsidRPr="00B04DC3">
        <w:rPr>
          <w:i/>
          <w:lang w:val="en-GB"/>
        </w:rPr>
        <w:t>Wobbe index (lower Wl; or upper Wu)</w:t>
      </w:r>
      <w:r w:rsidR="00C0100D" w:rsidRPr="00B04DC3">
        <w:rPr>
          <w:lang w:val="en-GB"/>
        </w:rPr>
        <w:t>" means the ratio of the corresponding calorific value of a gas per unit volume and the square root of its relative density under the same reference conditions:</w:t>
      </w:r>
    </w:p>
    <w:p w:rsidR="00C0100D" w:rsidRPr="00B04DC3" w:rsidRDefault="00C0100D" w:rsidP="00B8756D">
      <w:pPr>
        <w:pStyle w:val="para"/>
        <w:spacing w:before="240"/>
        <w:rPr>
          <w:lang w:val="en-GB"/>
        </w:rPr>
      </w:pPr>
      <w:r w:rsidRPr="00B04DC3">
        <w:rPr>
          <w:lang w:val="en-GB"/>
        </w:rPr>
        <w:t>2.1.</w:t>
      </w:r>
      <w:r w:rsidR="00B06874" w:rsidRPr="00B04DC3">
        <w:rPr>
          <w:lang w:val="en-GB"/>
        </w:rPr>
        <w:t>70</w:t>
      </w:r>
      <w:r w:rsidRPr="00B04DC3">
        <w:rPr>
          <w:lang w:val="en-GB"/>
        </w:rPr>
        <w:t>.</w:t>
      </w:r>
      <w:r w:rsidRPr="00B04DC3">
        <w:rPr>
          <w:lang w:val="en-GB"/>
        </w:rPr>
        <w:tab/>
        <w:t>"</w:t>
      </w:r>
      <w:r w:rsidRPr="00B04DC3">
        <w:rPr>
          <w:i/>
          <w:lang w:val="en-GB"/>
        </w:rPr>
        <w:t>λ-shift factor (Sλ)</w:t>
      </w:r>
      <w:r w:rsidRPr="00B04DC3">
        <w:rPr>
          <w:lang w:val="en-GB"/>
        </w:rPr>
        <w:t>" means an expression that describes the required flexibility of the engine management system regarding a change of the excess-air ratio λ if the engine is fuelled with a gas composition different from pure methane (see Annex 6 for the calculation of S</w:t>
      </w:r>
      <w:r w:rsidRPr="00B04DC3">
        <w:rPr>
          <w:vertAlign w:val="subscript"/>
          <w:lang w:val="en-GB"/>
        </w:rPr>
        <w:t>λ</w:t>
      </w:r>
      <w:r w:rsidRPr="00B04DC3">
        <w:rPr>
          <w:lang w:val="en-GB"/>
        </w:rPr>
        <w:t>).</w:t>
      </w:r>
    </w:p>
    <w:p w:rsidR="000F1B35" w:rsidRPr="00B04DC3" w:rsidRDefault="000F1B35" w:rsidP="000F1B35">
      <w:pPr>
        <w:pStyle w:val="para"/>
        <w:rPr>
          <w:bCs/>
          <w:lang w:val="en-GB"/>
        </w:rPr>
      </w:pPr>
      <w:r w:rsidRPr="00B04DC3">
        <w:rPr>
          <w:lang w:val="en-GB"/>
        </w:rPr>
        <w:t>2.1.</w:t>
      </w:r>
      <w:r w:rsidR="00B06874" w:rsidRPr="00B04DC3">
        <w:rPr>
          <w:lang w:val="en-GB"/>
        </w:rPr>
        <w:t>71</w:t>
      </w:r>
      <w:r w:rsidRPr="00B04DC3">
        <w:rPr>
          <w:lang w:val="en-GB"/>
        </w:rPr>
        <w:t>.</w:t>
      </w:r>
      <w:r w:rsidRPr="00B04DC3">
        <w:rPr>
          <w:lang w:val="en-GB"/>
        </w:rPr>
        <w:tab/>
      </w:r>
      <w:r w:rsidRPr="00B04DC3">
        <w:rPr>
          <w:lang w:val="en-GB" w:eastAsia="de-DE"/>
        </w:rPr>
        <w:t>"</w:t>
      </w:r>
      <w:r w:rsidRPr="00B04DC3">
        <w:rPr>
          <w:i/>
          <w:lang w:val="en-GB" w:eastAsia="de-DE"/>
        </w:rPr>
        <w:t>Reference mass</w:t>
      </w:r>
      <w:r w:rsidRPr="00B04DC3">
        <w:rPr>
          <w:lang w:val="en-GB" w:eastAsia="de-DE"/>
        </w:rPr>
        <w:t xml:space="preserve">" means the "unladen mass" of the vehicle increased by a uniform figure of </w:t>
      </w:r>
      <w:smartTag w:uri="urn:schemas-microsoft-com:office:smarttags" w:element="metricconverter">
        <w:smartTagPr>
          <w:attr w:name="ProductID" w:val="100 kg"/>
        </w:smartTagPr>
        <w:r w:rsidRPr="00B04DC3">
          <w:rPr>
            <w:lang w:val="en-GB" w:eastAsia="de-DE"/>
          </w:rPr>
          <w:t>100 kg</w:t>
        </w:r>
      </w:smartTag>
      <w:r w:rsidRPr="00B04DC3">
        <w:rPr>
          <w:lang w:val="en-GB" w:eastAsia="de-DE"/>
        </w:rPr>
        <w:t xml:space="preserve"> for test according to Annexes 4</w:t>
      </w:r>
      <w:r w:rsidR="00B8756D" w:rsidRPr="00B04DC3">
        <w:rPr>
          <w:lang w:val="en-GB" w:eastAsia="de-DE"/>
        </w:rPr>
        <w:t>A</w:t>
      </w:r>
      <w:r w:rsidRPr="00B04DC3">
        <w:rPr>
          <w:lang w:val="en-GB" w:eastAsia="de-DE"/>
        </w:rPr>
        <w:t xml:space="preserve"> and 8 of Regulation No. 83.</w:t>
      </w:r>
    </w:p>
    <w:p w:rsidR="000F1B35" w:rsidRPr="00B04DC3" w:rsidRDefault="000F1B35" w:rsidP="000F1B35">
      <w:pPr>
        <w:pStyle w:val="para"/>
        <w:rPr>
          <w:lang w:val="en-GB"/>
        </w:rPr>
      </w:pPr>
      <w:r w:rsidRPr="00B04DC3">
        <w:rPr>
          <w:lang w:val="en-GB"/>
        </w:rPr>
        <w:t>2.1.</w:t>
      </w:r>
      <w:r w:rsidR="00B06874" w:rsidRPr="00B04DC3">
        <w:rPr>
          <w:lang w:val="en-GB"/>
        </w:rPr>
        <w:t>72</w:t>
      </w:r>
      <w:r w:rsidRPr="00B04DC3">
        <w:rPr>
          <w:lang w:val="en-GB"/>
        </w:rPr>
        <w:t>.</w:t>
      </w:r>
      <w:r w:rsidRPr="00B04DC3">
        <w:rPr>
          <w:lang w:val="en-GB"/>
        </w:rPr>
        <w:tab/>
        <w:t>"</w:t>
      </w:r>
      <w:r w:rsidRPr="00B04DC3">
        <w:rPr>
          <w:i/>
          <w:lang w:val="en-GB" w:eastAsia="de-DE"/>
        </w:rPr>
        <w:t>Unladen mass</w:t>
      </w:r>
      <w:r w:rsidRPr="00B04DC3">
        <w:rPr>
          <w:lang w:val="en-GB"/>
        </w:rPr>
        <w:t xml:space="preserve">" means the mass of the vehicle in running order without the uniform mass of the </w:t>
      </w:r>
      <w:r w:rsidR="00C433C3" w:rsidRPr="00B04DC3">
        <w:rPr>
          <w:lang w:val="en-GB"/>
        </w:rPr>
        <w:t>driver of 75 kg, passengers</w:t>
      </w:r>
      <w:r w:rsidR="00C433C3" w:rsidRPr="00B04DC3">
        <w:rPr>
          <w:b/>
          <w:lang w:val="en-GB"/>
        </w:rPr>
        <w:t xml:space="preserve"> </w:t>
      </w:r>
      <w:r w:rsidR="00C433C3" w:rsidRPr="00B04DC3">
        <w:rPr>
          <w:lang w:val="en-GB"/>
        </w:rPr>
        <w:t>or load,</w:t>
      </w:r>
      <w:r w:rsidRPr="00B04DC3">
        <w:rPr>
          <w:lang w:val="en-GB"/>
        </w:rPr>
        <w:t xml:space="preserve"> but with the fuel tank 90 per cent full and the usual set of tools and spare wheel on board, where applicable;</w:t>
      </w:r>
    </w:p>
    <w:p w:rsidR="000F1B35" w:rsidRPr="00B04DC3" w:rsidRDefault="000F1B35" w:rsidP="000F1B35">
      <w:pPr>
        <w:pStyle w:val="para"/>
        <w:rPr>
          <w:lang w:val="en-GB"/>
        </w:rPr>
      </w:pPr>
      <w:r w:rsidRPr="00B04DC3">
        <w:rPr>
          <w:color w:val="000000"/>
          <w:lang w:val="en-GB"/>
        </w:rPr>
        <w:t>2.1.</w:t>
      </w:r>
      <w:r w:rsidR="00B06874" w:rsidRPr="00B04DC3">
        <w:rPr>
          <w:color w:val="000000"/>
          <w:lang w:val="en-GB"/>
        </w:rPr>
        <w:t>73</w:t>
      </w:r>
      <w:r w:rsidRPr="00B04DC3">
        <w:rPr>
          <w:color w:val="000000"/>
          <w:lang w:val="en-GB"/>
        </w:rPr>
        <w:t>.</w:t>
      </w:r>
      <w:r w:rsidRPr="00B04DC3">
        <w:rPr>
          <w:color w:val="000000"/>
          <w:lang w:val="en-GB"/>
        </w:rPr>
        <w:tab/>
        <w:t>"</w:t>
      </w:r>
      <w:r w:rsidRPr="00B04DC3">
        <w:rPr>
          <w:i/>
          <w:lang w:val="en-GB" w:eastAsia="de-DE"/>
        </w:rPr>
        <w:t>Running order mass</w:t>
      </w:r>
      <w:r w:rsidRPr="00B04DC3">
        <w:rPr>
          <w:color w:val="000000"/>
          <w:lang w:val="en-GB"/>
        </w:rPr>
        <w:t xml:space="preserve">" means the mass described in </w:t>
      </w:r>
      <w:r w:rsidR="00B8756D" w:rsidRPr="00B04DC3">
        <w:rPr>
          <w:color w:val="000000"/>
          <w:lang w:val="en-GB"/>
        </w:rPr>
        <w:t>p</w:t>
      </w:r>
      <w:r w:rsidRPr="00B04DC3">
        <w:rPr>
          <w:color w:val="000000"/>
          <w:lang w:val="en-GB"/>
        </w:rPr>
        <w:t>aragraph 2.6. of Annex</w:t>
      </w:r>
      <w:r w:rsidR="00C334C7" w:rsidRPr="00B04DC3">
        <w:rPr>
          <w:color w:val="000000"/>
          <w:lang w:val="en-GB"/>
        </w:rPr>
        <w:t> </w:t>
      </w:r>
      <w:r w:rsidRPr="00B04DC3">
        <w:rPr>
          <w:color w:val="000000"/>
          <w:lang w:val="en-GB"/>
        </w:rPr>
        <w:t>1 to the Regulation No. 83. and for vehicles designed and constructed for the carriage of more than 9 persons (in addition to the driver), the mass of a crew member (</w:t>
      </w:r>
      <w:smartTag w:uri="urn:schemas-microsoft-com:office:smarttags" w:element="metricconverter">
        <w:smartTagPr>
          <w:attr w:name="ProductID" w:val="75 kg"/>
        </w:smartTagPr>
        <w:r w:rsidRPr="00B04DC3">
          <w:rPr>
            <w:color w:val="000000"/>
            <w:lang w:val="en-GB"/>
          </w:rPr>
          <w:t>75 kg</w:t>
        </w:r>
      </w:smartTag>
      <w:r w:rsidRPr="00B04DC3">
        <w:rPr>
          <w:color w:val="000000"/>
          <w:lang w:val="en-GB"/>
        </w:rPr>
        <w:t>), if there is a crew seat amongst the nine or more seats.</w:t>
      </w:r>
    </w:p>
    <w:p w:rsidR="00C0100D" w:rsidRPr="00B04DC3" w:rsidRDefault="00C0100D" w:rsidP="00071126">
      <w:pPr>
        <w:pStyle w:val="para"/>
        <w:spacing w:after="0"/>
        <w:rPr>
          <w:lang w:val="en-GB"/>
        </w:rPr>
      </w:pPr>
      <w:r w:rsidRPr="00B04DC3">
        <w:rPr>
          <w:lang w:val="en-GB"/>
        </w:rPr>
        <w:t>2.2.</w:t>
      </w:r>
      <w:r w:rsidRPr="00B04DC3">
        <w:rPr>
          <w:lang w:val="en-GB"/>
        </w:rPr>
        <w:tab/>
        <w:t>Symbols, abbreviations and international standards</w:t>
      </w:r>
    </w:p>
    <w:p w:rsidR="00C0100D" w:rsidRPr="00B04DC3" w:rsidRDefault="00B8756D" w:rsidP="00071126">
      <w:pPr>
        <w:pStyle w:val="H4G"/>
        <w:spacing w:before="120"/>
        <w:rPr>
          <w:i w:val="0"/>
        </w:rPr>
      </w:pPr>
      <w:r w:rsidRPr="00B04DC3">
        <w:tab/>
      </w:r>
      <w:r w:rsidRPr="00B04DC3">
        <w:tab/>
      </w:r>
      <w:r w:rsidR="00C0100D" w:rsidRPr="00B04DC3">
        <w:rPr>
          <w:i w:val="0"/>
        </w:rPr>
        <w:t>2.2</w:t>
      </w:r>
      <w:r w:rsidRPr="00B04DC3">
        <w:rPr>
          <w:i w:val="0"/>
        </w:rPr>
        <w:t>.1.</w:t>
      </w:r>
      <w:r w:rsidRPr="00B04DC3">
        <w:rPr>
          <w:i w:val="0"/>
        </w:rPr>
        <w:tab/>
      </w:r>
      <w:r w:rsidRPr="00B04DC3">
        <w:rPr>
          <w:i w:val="0"/>
        </w:rPr>
        <w:tab/>
        <w:t>Symbols for test parameters</w:t>
      </w:r>
    </w:p>
    <w:tbl>
      <w:tblPr>
        <w:tblW w:w="7655" w:type="dxa"/>
        <w:tblInd w:w="1134" w:type="dxa"/>
        <w:tblBorders>
          <w:top w:val="single" w:sz="2" w:space="0" w:color="auto"/>
          <w:bottom w:val="single" w:sz="2" w:space="0" w:color="auto"/>
          <w:insideV w:val="single" w:sz="2" w:space="0" w:color="auto"/>
        </w:tblBorders>
        <w:tblLayout w:type="fixed"/>
        <w:tblLook w:val="0000" w:firstRow="0" w:lastRow="0" w:firstColumn="0" w:lastColumn="0" w:noHBand="0" w:noVBand="0"/>
      </w:tblPr>
      <w:tblGrid>
        <w:gridCol w:w="1340"/>
        <w:gridCol w:w="1222"/>
        <w:gridCol w:w="5093"/>
      </w:tblGrid>
      <w:tr w:rsidR="00C0100D" w:rsidRPr="00B04DC3" w:rsidTr="008165BE">
        <w:trPr>
          <w:tblHeader/>
        </w:trPr>
        <w:tc>
          <w:tcPr>
            <w:tcW w:w="1559" w:type="dxa"/>
            <w:tcBorders>
              <w:top w:val="single" w:sz="2" w:space="0" w:color="auto"/>
              <w:left w:val="single" w:sz="4" w:space="0" w:color="auto"/>
              <w:bottom w:val="single" w:sz="12" w:space="0" w:color="auto"/>
            </w:tcBorders>
          </w:tcPr>
          <w:p w:rsidR="00C0100D" w:rsidRPr="00B04DC3" w:rsidRDefault="00C0100D" w:rsidP="00700CBE">
            <w:pPr>
              <w:pStyle w:val="NormalCentered"/>
              <w:numPr>
                <w:ilvl w:val="0"/>
                <w:numId w:val="0"/>
              </w:numPr>
              <w:spacing w:before="80" w:after="80" w:line="240" w:lineRule="exact"/>
              <w:rPr>
                <w:i/>
                <w:sz w:val="16"/>
                <w:szCs w:val="16"/>
              </w:rPr>
            </w:pPr>
            <w:r w:rsidRPr="00B04DC3">
              <w:rPr>
                <w:i/>
                <w:sz w:val="16"/>
                <w:szCs w:val="16"/>
              </w:rPr>
              <w:t>Symbol</w:t>
            </w:r>
          </w:p>
        </w:tc>
        <w:tc>
          <w:tcPr>
            <w:tcW w:w="1418" w:type="dxa"/>
            <w:tcBorders>
              <w:top w:val="single" w:sz="2" w:space="0" w:color="auto"/>
              <w:bottom w:val="single" w:sz="12" w:space="0" w:color="auto"/>
            </w:tcBorders>
          </w:tcPr>
          <w:p w:rsidR="00C0100D" w:rsidRPr="00B04DC3" w:rsidRDefault="00C0100D" w:rsidP="00700CBE">
            <w:pPr>
              <w:pStyle w:val="NormalCentered"/>
              <w:numPr>
                <w:ilvl w:val="0"/>
                <w:numId w:val="0"/>
              </w:numPr>
              <w:spacing w:before="80" w:after="80" w:line="240" w:lineRule="exact"/>
              <w:rPr>
                <w:i/>
                <w:sz w:val="16"/>
                <w:szCs w:val="16"/>
              </w:rPr>
            </w:pPr>
            <w:r w:rsidRPr="00B04DC3">
              <w:rPr>
                <w:i/>
                <w:sz w:val="16"/>
                <w:szCs w:val="16"/>
              </w:rPr>
              <w:t>Unit</w:t>
            </w:r>
          </w:p>
        </w:tc>
        <w:tc>
          <w:tcPr>
            <w:tcW w:w="6059" w:type="dxa"/>
            <w:tcBorders>
              <w:top w:val="single" w:sz="2" w:space="0" w:color="auto"/>
              <w:bottom w:val="single" w:sz="12" w:space="0" w:color="auto"/>
              <w:right w:val="single" w:sz="4" w:space="0" w:color="auto"/>
            </w:tcBorders>
          </w:tcPr>
          <w:p w:rsidR="00C0100D" w:rsidRPr="00B04DC3" w:rsidRDefault="00C0100D" w:rsidP="00700CBE">
            <w:pPr>
              <w:pStyle w:val="NormalCentered"/>
              <w:numPr>
                <w:ilvl w:val="0"/>
                <w:numId w:val="0"/>
              </w:numPr>
              <w:spacing w:before="80" w:after="80" w:line="240" w:lineRule="exact"/>
              <w:rPr>
                <w:i/>
                <w:sz w:val="16"/>
                <w:szCs w:val="16"/>
              </w:rPr>
            </w:pPr>
            <w:r w:rsidRPr="00B04DC3">
              <w:rPr>
                <w:i/>
                <w:sz w:val="16"/>
                <w:szCs w:val="16"/>
              </w:rPr>
              <w:t>Term</w:t>
            </w:r>
          </w:p>
        </w:tc>
      </w:tr>
      <w:tr w:rsidR="00C0100D" w:rsidRPr="00B04DC3" w:rsidTr="008165BE">
        <w:tc>
          <w:tcPr>
            <w:tcW w:w="1559" w:type="dxa"/>
            <w:tcBorders>
              <w:top w:val="single" w:sz="12" w:space="0" w:color="auto"/>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w:t>
            </w:r>
            <w:r w:rsidRPr="00B04DC3">
              <w:rPr>
                <w:sz w:val="20"/>
                <w:vertAlign w:val="subscript"/>
              </w:rPr>
              <w:t>p</w:t>
            </w:r>
          </w:p>
        </w:tc>
        <w:tc>
          <w:tcPr>
            <w:tcW w:w="1418" w:type="dxa"/>
            <w:tcBorders>
              <w:top w:val="single" w:sz="12"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2</w:t>
            </w:r>
          </w:p>
        </w:tc>
        <w:tc>
          <w:tcPr>
            <w:tcW w:w="6059" w:type="dxa"/>
            <w:tcBorders>
              <w:top w:val="single" w:sz="12" w:space="0" w:color="auto"/>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Cross sectional area of the isokinetic sampling probe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w:t>
            </w:r>
            <w:r w:rsidRPr="00B04DC3">
              <w:rPr>
                <w:sz w:val="20"/>
                <w:vertAlign w:val="subscript"/>
              </w:rPr>
              <w:t>e</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2</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Cross sectional area of the exhaust pipe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w:t>
            </w:r>
          </w:p>
        </w:tc>
        <w:tc>
          <w:tcPr>
            <w:tcW w:w="1418" w:type="dxa"/>
          </w:tcPr>
          <w:p w:rsidR="00C0100D" w:rsidRPr="00B04DC3" w:rsidRDefault="00C0100D" w:rsidP="00C334C7">
            <w:pPr>
              <w:pStyle w:val="NormalLeft"/>
              <w:spacing w:beforeLines="40" w:before="96" w:afterLines="40" w:after="96"/>
              <w:rPr>
                <w:sz w:val="20"/>
              </w:rPr>
            </w:pPr>
            <w:r w:rsidRPr="00B04DC3">
              <w:rPr>
                <w:sz w:val="20"/>
              </w:rPr>
              <w:t>ppm/vol. per cent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Concentration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10130A">
            <w:pPr>
              <w:pStyle w:val="NormalLeft"/>
              <w:spacing w:beforeLines="40" w:before="96" w:afterLines="40" w:after="96"/>
              <w:rPr>
                <w:sz w:val="20"/>
              </w:rPr>
            </w:pPr>
            <w:r w:rsidRPr="00B04DC3">
              <w:rPr>
                <w:sz w:val="20"/>
              </w:rPr>
              <w:t xml:space="preserve">Discharge coefficient of </w:t>
            </w:r>
            <w:r w:rsidR="00ED24E5">
              <w:rPr>
                <w:sz w:val="20"/>
              </w:rPr>
              <w:t>Sub</w:t>
            </w:r>
            <w:r w:rsidR="0010130A">
              <w:rPr>
                <w:sz w:val="20"/>
              </w:rPr>
              <w:t>S</w:t>
            </w:r>
            <w:r w:rsidR="00ED24E5">
              <w:rPr>
                <w:sz w:val="20"/>
              </w:rPr>
              <w:t>onic Venturi</w:t>
            </w:r>
            <w:r w:rsidR="0010130A">
              <w:rPr>
                <w:sz w:val="20"/>
              </w:rPr>
              <w:t xml:space="preserve"> </w:t>
            </w:r>
            <w:r w:rsidR="00ED24E5">
              <w:rPr>
                <w:sz w:val="20"/>
              </w:rPr>
              <w:t>-</w:t>
            </w:r>
            <w:r w:rsidR="0010130A">
              <w:rPr>
                <w:sz w:val="20"/>
              </w:rPr>
              <w:t xml:space="preserve"> </w:t>
            </w:r>
            <w:r w:rsidR="00ED24E5">
              <w:rPr>
                <w:sz w:val="20"/>
              </w:rPr>
              <w:t>Con</w:t>
            </w:r>
            <w:r w:rsidR="0010130A">
              <w:rPr>
                <w:sz w:val="20"/>
              </w:rPr>
              <w:t>s</w:t>
            </w:r>
            <w:r w:rsidR="00ED24E5">
              <w:rPr>
                <w:sz w:val="20"/>
              </w:rPr>
              <w:t>tant Volume Sampler (</w:t>
            </w:r>
            <w:r w:rsidRPr="00B04DC3">
              <w:rPr>
                <w:sz w:val="20"/>
              </w:rPr>
              <w:t>SSV-CVS</w:t>
            </w:r>
            <w:r w:rsidR="00ED24E5">
              <w:rPr>
                <w:sz w:val="20"/>
              </w:rPr>
              <w: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C1</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Carbon 1 equivalent hydrocarbon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Diameter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w:t>
            </w:r>
            <w:r w:rsidRPr="00B04DC3">
              <w:rPr>
                <w:sz w:val="20"/>
                <w:vertAlign w:val="subscript"/>
              </w:rPr>
              <w:t>0</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3</w:t>
            </w:r>
            <w:r w:rsidRPr="00B04DC3">
              <w:rPr>
                <w:sz w:val="20"/>
              </w:rPr>
              <w:t>/s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Intercept of </w:t>
            </w:r>
            <w:r w:rsidR="00071126">
              <w:rPr>
                <w:sz w:val="20"/>
              </w:rPr>
              <w:t>Positive Displacement Pump (</w:t>
            </w:r>
            <w:r w:rsidRPr="00B04DC3">
              <w:rPr>
                <w:sz w:val="20"/>
              </w:rPr>
              <w:t>PDP</w:t>
            </w:r>
            <w:r w:rsidR="00071126">
              <w:rPr>
                <w:sz w:val="20"/>
              </w:rPr>
              <w:t>)</w:t>
            </w:r>
            <w:r w:rsidRPr="00B04DC3">
              <w:rPr>
                <w:sz w:val="20"/>
              </w:rPr>
              <w:t xml:space="preserve"> calibration function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Dilution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Bessel function constant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Bessel function constant</w:t>
            </w:r>
          </w:p>
        </w:tc>
      </w:tr>
      <w:tr w:rsidR="00C0100D" w:rsidRPr="00B04DC3">
        <w:tc>
          <w:tcPr>
            <w:tcW w:w="1559" w:type="dxa"/>
            <w:tcBorders>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E</w:t>
            </w:r>
            <w:r w:rsidRPr="00B04DC3">
              <w:rPr>
                <w:sz w:val="20"/>
                <w:vertAlign w:val="subscript"/>
              </w:rPr>
              <w:t>E</w:t>
            </w:r>
          </w:p>
        </w:tc>
        <w:tc>
          <w:tcPr>
            <w:tcW w:w="1418" w:type="dxa"/>
            <w:tcBorders>
              <w:bottom w:val="nil"/>
            </w:tcBorders>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Ethane efficiency</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E</w:t>
            </w:r>
            <w:r w:rsidRPr="00B04DC3">
              <w:rPr>
                <w:sz w:val="20"/>
                <w:vertAlign w:val="subscript"/>
              </w:rPr>
              <w:t>M</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Methane efficiency</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E</w:t>
            </w:r>
            <w:r w:rsidRPr="00B04DC3">
              <w:rPr>
                <w:sz w:val="20"/>
                <w:vertAlign w:val="subscript"/>
              </w:rPr>
              <w:t>Z</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g/kWh</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Interpolated NO</w:t>
            </w:r>
            <w:r w:rsidRPr="00B04DC3">
              <w:rPr>
                <w:sz w:val="20"/>
                <w:vertAlign w:val="subscript"/>
              </w:rPr>
              <w:t>x</w:t>
            </w:r>
            <w:r w:rsidRPr="00B04DC3">
              <w:rPr>
                <w:sz w:val="20"/>
              </w:rPr>
              <w:t xml:space="preserve"> emission of the control point</w:t>
            </w:r>
          </w:p>
        </w:tc>
      </w:tr>
      <w:tr w:rsidR="00C0100D" w:rsidRPr="00B04DC3">
        <w:tc>
          <w:tcPr>
            <w:tcW w:w="1559" w:type="dxa"/>
            <w:tcBorders>
              <w:top w:val="nil"/>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w:t>
            </w:r>
          </w:p>
        </w:tc>
        <w:tc>
          <w:tcPr>
            <w:tcW w:w="1418" w:type="dxa"/>
            <w:tcBorders>
              <w:top w:val="nil"/>
            </w:tcBorders>
          </w:tcPr>
          <w:p w:rsidR="00C0100D" w:rsidRPr="00B04DC3" w:rsidRDefault="00C0100D" w:rsidP="00C334C7">
            <w:pPr>
              <w:pStyle w:val="NormalLeft"/>
              <w:spacing w:beforeLines="40" w:before="96" w:afterLines="40" w:after="96"/>
              <w:rPr>
                <w:sz w:val="20"/>
              </w:rPr>
            </w:pPr>
            <w:r w:rsidRPr="00B04DC3">
              <w:rPr>
                <w:sz w:val="20"/>
              </w:rPr>
              <w:t>1/s</w:t>
            </w:r>
          </w:p>
        </w:tc>
        <w:tc>
          <w:tcPr>
            <w:tcW w:w="6059" w:type="dxa"/>
            <w:tcBorders>
              <w:top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Frequency</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Laboratory atmospheric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w:t>
            </w:r>
            <w:r w:rsidRPr="00B04DC3">
              <w:rPr>
                <w:sz w:val="20"/>
                <w:vertAlign w:val="subscript"/>
              </w:rPr>
              <w:t>c</w:t>
            </w:r>
          </w:p>
        </w:tc>
        <w:tc>
          <w:tcPr>
            <w:tcW w:w="1418" w:type="dxa"/>
          </w:tcPr>
          <w:p w:rsidR="00C0100D" w:rsidRPr="00B04DC3" w:rsidRDefault="00C0100D" w:rsidP="00C334C7">
            <w:pPr>
              <w:pStyle w:val="NormalLeft"/>
              <w:spacing w:beforeLines="40" w:before="96" w:afterLines="40" w:after="96"/>
              <w:rPr>
                <w:sz w:val="20"/>
              </w:rPr>
            </w:pPr>
            <w:r w:rsidRPr="00B04DC3">
              <w:rPr>
                <w:sz w:val="20"/>
              </w:rPr>
              <w:t>s</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Bessel filter cut-off frequency</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w:t>
            </w:r>
            <w:r w:rsidRPr="00B04DC3">
              <w:rPr>
                <w:sz w:val="20"/>
                <w:vertAlign w:val="subscript"/>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Stoichiometric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w:t>
            </w:r>
          </w:p>
        </w:tc>
        <w:tc>
          <w:tcPr>
            <w:tcW w:w="1418" w:type="dxa"/>
          </w:tcPr>
          <w:p w:rsidR="00C0100D" w:rsidRPr="00B04DC3" w:rsidRDefault="00C0100D" w:rsidP="00C334C7">
            <w:pPr>
              <w:pStyle w:val="NormalLeft"/>
              <w:spacing w:beforeLines="40" w:before="96" w:afterLines="40" w:after="96"/>
              <w:rPr>
                <w:sz w:val="20"/>
              </w:rPr>
            </w:pPr>
            <w:r w:rsidRPr="00B04DC3">
              <w:rPr>
                <w:sz w:val="20"/>
              </w:rPr>
              <w:t>MJ/m</w:t>
            </w:r>
            <w:r w:rsidRPr="00B04DC3">
              <w:rPr>
                <w:sz w:val="20"/>
                <w:vertAlign w:val="superscript"/>
              </w:rPr>
              <w:t>3</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Calorific value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g/kg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Absolute humidity of the intake air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g/kg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Absolute humidity of the </w:t>
            </w:r>
            <w:r w:rsidR="00D748C9" w:rsidRPr="00B04DC3">
              <w:rPr>
                <w:sz w:val="20"/>
              </w:rPr>
              <w:t>diluent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i</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Subscript denoting an individual mode or instantaneous measurement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Bessel constant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Light absorption coefficient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k</w:t>
            </w:r>
            <w:r w:rsidRPr="00B04DC3">
              <w:rPr>
                <w:sz w:val="20"/>
                <w:vertAlign w:val="subscript"/>
              </w:rPr>
              <w:t>f</w:t>
            </w:r>
          </w:p>
        </w:tc>
        <w:tc>
          <w:tcPr>
            <w:tcW w:w="1418" w:type="dxa"/>
          </w:tcPr>
          <w:p w:rsidR="00C0100D" w:rsidRPr="00B04DC3" w:rsidRDefault="00C0100D" w:rsidP="00C334C7">
            <w:pPr>
              <w:pStyle w:val="NormalLeft"/>
              <w:spacing w:beforeLines="40" w:before="96" w:afterLines="40" w:after="96"/>
              <w:rPr>
                <w:sz w:val="20"/>
              </w:rPr>
            </w:pP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Fuel specific factor for dry to wet correction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h,D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Humidity correction factor for NO</w:t>
            </w:r>
            <w:r w:rsidRPr="00B04DC3">
              <w:rPr>
                <w:sz w:val="20"/>
                <w:vertAlign w:val="subscript"/>
              </w:rPr>
              <w:t>x</w:t>
            </w:r>
            <w:r w:rsidRPr="00B04DC3">
              <w:rPr>
                <w:sz w:val="20"/>
              </w:rPr>
              <w:t xml:space="preserve"> for diesel engines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h,G</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Humidity correction factor for NO</w:t>
            </w:r>
            <w:r w:rsidRPr="00B04DC3">
              <w:rPr>
                <w:sz w:val="20"/>
                <w:vertAlign w:val="subscript"/>
              </w:rPr>
              <w:t>x</w:t>
            </w:r>
            <w:r w:rsidRPr="00B04DC3">
              <w:rPr>
                <w:sz w:val="20"/>
              </w:rPr>
              <w:t xml:space="preserve"> for gas engines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V</w:t>
            </w:r>
          </w:p>
        </w:tc>
        <w:tc>
          <w:tcPr>
            <w:tcW w:w="1418" w:type="dxa"/>
          </w:tcPr>
          <w:p w:rsidR="00C0100D" w:rsidRPr="00B04DC3" w:rsidRDefault="00C0100D" w:rsidP="00C334C7">
            <w:pPr>
              <w:pStyle w:val="NormalLeft"/>
              <w:spacing w:beforeLines="40" w:before="96" w:afterLines="40" w:after="96"/>
              <w:rPr>
                <w:sz w:val="20"/>
              </w:rPr>
            </w:pPr>
          </w:p>
        </w:tc>
        <w:tc>
          <w:tcPr>
            <w:tcW w:w="6059" w:type="dxa"/>
            <w:tcBorders>
              <w:right w:val="single" w:sz="4" w:space="0" w:color="auto"/>
            </w:tcBorders>
          </w:tcPr>
          <w:p w:rsidR="00C0100D" w:rsidRPr="00B04DC3" w:rsidRDefault="00ED24E5" w:rsidP="00C334C7">
            <w:pPr>
              <w:pStyle w:val="NormalLeft"/>
              <w:spacing w:beforeLines="40" w:before="96" w:afterLines="40" w:after="96"/>
              <w:rPr>
                <w:sz w:val="20"/>
              </w:rPr>
            </w:pPr>
            <w:r>
              <w:rPr>
                <w:sz w:val="20"/>
              </w:rPr>
              <w:t>Critical Flow Venturi (</w:t>
            </w:r>
            <w:r w:rsidR="00C0100D" w:rsidRPr="00B04DC3">
              <w:rPr>
                <w:sz w:val="20"/>
              </w:rPr>
              <w:t>CFV</w:t>
            </w:r>
            <w:r>
              <w:rPr>
                <w:sz w:val="20"/>
              </w:rPr>
              <w:t>)</w:t>
            </w:r>
            <w:r w:rsidR="00C0100D" w:rsidRPr="00B04DC3">
              <w:rPr>
                <w:sz w:val="20"/>
              </w:rPr>
              <w:t xml:space="preserve"> calibration function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W,a</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Dry to wet correction factor for the intake air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W,d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Dry to wet correction factor for the </w:t>
            </w:r>
            <w:r w:rsidR="00D748C9" w:rsidRPr="00B04DC3">
              <w:rPr>
                <w:sz w:val="20"/>
              </w:rPr>
              <w:t>diluent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W,e</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Dry to wet correction factor for the diluted exhaust gas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k</w:t>
            </w:r>
            <w:r w:rsidRPr="00B04DC3">
              <w:rPr>
                <w:sz w:val="20"/>
                <w:vertAlign w:val="subscript"/>
              </w:rPr>
              <w:t>W,r</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Dry to wet correction factor for the raw exhaust gas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L</w:t>
            </w:r>
          </w:p>
        </w:tc>
        <w:tc>
          <w:tcPr>
            <w:tcW w:w="1418" w:type="dxa"/>
          </w:tcPr>
          <w:p w:rsidR="00C0100D" w:rsidRPr="00B04DC3" w:rsidRDefault="00C0100D" w:rsidP="00C334C7">
            <w:pPr>
              <w:pStyle w:val="NormalLeft"/>
              <w:spacing w:beforeLines="40" w:before="96" w:afterLines="40" w:after="96"/>
              <w:rPr>
                <w:sz w:val="20"/>
              </w:rPr>
            </w:pPr>
            <w:r w:rsidRPr="00B04DC3">
              <w:rPr>
                <w:sz w:val="20"/>
              </w:rPr>
              <w:t>per cent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Percent torque related to the maximum torque for the test engine</w:t>
            </w:r>
          </w:p>
        </w:tc>
      </w:tr>
      <w:tr w:rsidR="007908C1" w:rsidRPr="007908C1">
        <w:tc>
          <w:tcPr>
            <w:tcW w:w="1559" w:type="dxa"/>
            <w:tcBorders>
              <w:left w:val="single" w:sz="4" w:space="0" w:color="auto"/>
            </w:tcBorders>
          </w:tcPr>
          <w:p w:rsidR="007908C1" w:rsidRPr="007908C1" w:rsidRDefault="007908C1" w:rsidP="00C334C7">
            <w:pPr>
              <w:pStyle w:val="NormalLeft"/>
              <w:spacing w:beforeLines="40" w:before="96" w:afterLines="40" w:after="96"/>
              <w:rPr>
                <w:sz w:val="20"/>
              </w:rPr>
            </w:pPr>
            <w:r w:rsidRPr="007908C1">
              <w:rPr>
                <w:sz w:val="20"/>
              </w:rPr>
              <w:sym w:font="Symbol" w:char="F06C"/>
            </w:r>
          </w:p>
        </w:tc>
        <w:tc>
          <w:tcPr>
            <w:tcW w:w="1418" w:type="dxa"/>
          </w:tcPr>
          <w:p w:rsidR="007908C1" w:rsidRPr="007908C1" w:rsidRDefault="007908C1" w:rsidP="00C334C7">
            <w:pPr>
              <w:pStyle w:val="NormalLeft"/>
              <w:spacing w:beforeLines="40" w:before="96" w:afterLines="40" w:after="96"/>
              <w:rPr>
                <w:sz w:val="20"/>
              </w:rPr>
            </w:pPr>
            <w:r w:rsidRPr="007908C1">
              <w:rPr>
                <w:sz w:val="20"/>
              </w:rPr>
              <w:t>-</w:t>
            </w:r>
          </w:p>
        </w:tc>
        <w:tc>
          <w:tcPr>
            <w:tcW w:w="6059" w:type="dxa"/>
            <w:tcBorders>
              <w:right w:val="single" w:sz="4" w:space="0" w:color="auto"/>
            </w:tcBorders>
          </w:tcPr>
          <w:p w:rsidR="007908C1" w:rsidRPr="007908C1" w:rsidRDefault="007908C1" w:rsidP="00C334C7">
            <w:pPr>
              <w:pStyle w:val="NormalLeft"/>
              <w:spacing w:beforeLines="40" w:before="96" w:afterLines="40" w:after="96"/>
              <w:rPr>
                <w:sz w:val="20"/>
              </w:rPr>
            </w:pPr>
            <w:r w:rsidRPr="007908C1">
              <w:rPr>
                <w:sz w:val="20"/>
              </w:rPr>
              <w:t>Excess air ratio</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L</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Effective optical path length</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M</w:t>
            </w:r>
            <w:r w:rsidRPr="00B04DC3">
              <w:rPr>
                <w:sz w:val="20"/>
                <w:vertAlign w:val="subscript"/>
              </w:rPr>
              <w:t>ra</w:t>
            </w:r>
          </w:p>
        </w:tc>
        <w:tc>
          <w:tcPr>
            <w:tcW w:w="1418" w:type="dxa"/>
          </w:tcPr>
          <w:p w:rsidR="00C0100D" w:rsidRPr="00B04DC3" w:rsidRDefault="00C0100D" w:rsidP="00C334C7">
            <w:pPr>
              <w:pStyle w:val="NormalLeft"/>
              <w:spacing w:beforeLines="40" w:before="96" w:afterLines="40" w:after="96"/>
              <w:rPr>
                <w:sz w:val="20"/>
              </w:rPr>
            </w:pPr>
            <w:r w:rsidRPr="00B04DC3">
              <w:rPr>
                <w:sz w:val="20"/>
              </w:rPr>
              <w:t>g/mol</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Molecular mass of the intake air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M</w:t>
            </w:r>
            <w:r w:rsidRPr="00B04DC3">
              <w:rPr>
                <w:sz w:val="20"/>
                <w:vertAlign w:val="subscript"/>
              </w:rPr>
              <w:t>re</w:t>
            </w:r>
          </w:p>
        </w:tc>
        <w:tc>
          <w:tcPr>
            <w:tcW w:w="1418" w:type="dxa"/>
          </w:tcPr>
          <w:p w:rsidR="00C0100D" w:rsidRPr="00B04DC3" w:rsidRDefault="00C0100D" w:rsidP="00C334C7">
            <w:pPr>
              <w:pStyle w:val="NormalLeft"/>
              <w:spacing w:beforeLines="40" w:before="96" w:afterLines="40" w:after="96"/>
              <w:rPr>
                <w:sz w:val="20"/>
              </w:rPr>
            </w:pPr>
            <w:r w:rsidRPr="00B04DC3">
              <w:rPr>
                <w:sz w:val="20"/>
              </w:rPr>
              <w:t>g/mol</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Molecular mass of the exhaust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Mass of the </w:t>
            </w:r>
            <w:r w:rsidR="00D748C9" w:rsidRPr="00B04DC3">
              <w:rPr>
                <w:sz w:val="20"/>
              </w:rPr>
              <w:t xml:space="preserve">diluent </w:t>
            </w:r>
            <w:r w:rsidRPr="00B04DC3">
              <w:rPr>
                <w:sz w:val="20"/>
              </w:rPr>
              <w:t>sample passed through the particulate sampling filters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ed</w:t>
            </w:r>
          </w:p>
        </w:tc>
        <w:tc>
          <w:tcPr>
            <w:tcW w:w="1418" w:type="dxa"/>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Total diluted exhaust mass over the cycle</w:t>
            </w:r>
          </w:p>
        </w:tc>
      </w:tr>
      <w:tr w:rsidR="00C0100D" w:rsidRPr="00B04DC3">
        <w:tc>
          <w:tcPr>
            <w:tcW w:w="1559" w:type="dxa"/>
            <w:tcBorders>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edf</w:t>
            </w:r>
          </w:p>
        </w:tc>
        <w:tc>
          <w:tcPr>
            <w:tcW w:w="1418" w:type="dxa"/>
            <w:tcBorders>
              <w:bottom w:val="nil"/>
            </w:tcBorders>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Mass of equivalent diluted exhaust over the cycle</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ew</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Total exhaust mass over the cycle</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f</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mg</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Particulate sample mass collected</w:t>
            </w:r>
          </w:p>
        </w:tc>
      </w:tr>
      <w:tr w:rsidR="00C0100D" w:rsidRPr="00B04DC3">
        <w:tc>
          <w:tcPr>
            <w:tcW w:w="1559" w:type="dxa"/>
            <w:tcBorders>
              <w:top w:val="nil"/>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f,d</w:t>
            </w:r>
          </w:p>
        </w:tc>
        <w:tc>
          <w:tcPr>
            <w:tcW w:w="1418" w:type="dxa"/>
            <w:tcBorders>
              <w:top w:val="nil"/>
            </w:tcBorders>
          </w:tcPr>
          <w:p w:rsidR="00C0100D" w:rsidRPr="00B04DC3" w:rsidRDefault="00C0100D" w:rsidP="00C334C7">
            <w:pPr>
              <w:pStyle w:val="NormalLeft"/>
              <w:spacing w:beforeLines="40" w:before="96" w:afterLines="40" w:after="96"/>
              <w:rPr>
                <w:sz w:val="20"/>
              </w:rPr>
            </w:pPr>
            <w:r w:rsidRPr="00B04DC3">
              <w:rPr>
                <w:sz w:val="20"/>
              </w:rPr>
              <w:t>mg</w:t>
            </w:r>
          </w:p>
        </w:tc>
        <w:tc>
          <w:tcPr>
            <w:tcW w:w="6059" w:type="dxa"/>
            <w:tcBorders>
              <w:top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Particulate sample mass of the </w:t>
            </w:r>
            <w:r w:rsidR="00D748C9" w:rsidRPr="00B04DC3">
              <w:rPr>
                <w:sz w:val="20"/>
              </w:rPr>
              <w:t xml:space="preserve">diluent </w:t>
            </w:r>
            <w:r w:rsidRPr="00B04DC3">
              <w:rPr>
                <w:sz w:val="20"/>
              </w:rPr>
              <w:t>collected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m</w:t>
            </w:r>
            <w:r w:rsidRPr="00B04DC3">
              <w:rPr>
                <w:sz w:val="20"/>
                <w:vertAlign w:val="subscript"/>
              </w:rPr>
              <w:t>gas</w:t>
            </w:r>
          </w:p>
        </w:tc>
        <w:tc>
          <w:tcPr>
            <w:tcW w:w="1418" w:type="dxa"/>
          </w:tcPr>
          <w:p w:rsidR="00C0100D" w:rsidRPr="00B04DC3" w:rsidRDefault="00C0100D" w:rsidP="00C334C7">
            <w:pPr>
              <w:pStyle w:val="NormalLeft"/>
              <w:spacing w:beforeLines="40" w:before="96" w:afterLines="40" w:after="96"/>
              <w:rPr>
                <w:sz w:val="20"/>
              </w:rPr>
            </w:pPr>
            <w:r w:rsidRPr="00B04DC3">
              <w:rPr>
                <w:sz w:val="20"/>
              </w:rPr>
              <w:t>g/h or 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Gaseous emissions mass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se</w:t>
            </w:r>
          </w:p>
        </w:tc>
        <w:tc>
          <w:tcPr>
            <w:tcW w:w="1418" w:type="dxa"/>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Sample mass over the cycle</w:t>
            </w:r>
          </w:p>
        </w:tc>
      </w:tr>
      <w:tr w:rsidR="00C0100D" w:rsidRPr="00B04DC3">
        <w:tc>
          <w:tcPr>
            <w:tcW w:w="1559" w:type="dxa"/>
            <w:tcBorders>
              <w:left w:val="single" w:sz="4" w:space="0" w:color="auto"/>
            </w:tcBorders>
          </w:tcPr>
          <w:p w:rsidR="00C0100D" w:rsidRPr="00B04DC3" w:rsidRDefault="00C0100D" w:rsidP="00C334C7">
            <w:pPr>
              <w:pStyle w:val="NormalLeft"/>
              <w:keepNext/>
              <w:keepLines/>
              <w:widowControl w:val="0"/>
              <w:spacing w:beforeLines="40" w:before="96" w:afterLines="40" w:after="96"/>
              <w:rPr>
                <w:sz w:val="20"/>
              </w:rPr>
            </w:pPr>
            <w:r w:rsidRPr="00B04DC3">
              <w:rPr>
                <w:sz w:val="20"/>
              </w:rPr>
              <w:t>m</w:t>
            </w:r>
            <w:r w:rsidRPr="00B04DC3">
              <w:rPr>
                <w:sz w:val="20"/>
                <w:vertAlign w:val="subscript"/>
              </w:rPr>
              <w:t>sep</w:t>
            </w:r>
          </w:p>
        </w:tc>
        <w:tc>
          <w:tcPr>
            <w:tcW w:w="1418" w:type="dxa"/>
          </w:tcPr>
          <w:p w:rsidR="00C0100D" w:rsidRPr="00B04DC3" w:rsidRDefault="00C0100D" w:rsidP="00C334C7">
            <w:pPr>
              <w:pStyle w:val="NormalLeft"/>
              <w:keepNext/>
              <w:keepLines/>
              <w:widowControl w:val="0"/>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keepNext/>
              <w:keepLines/>
              <w:widowControl w:val="0"/>
              <w:spacing w:beforeLines="40" w:before="96" w:afterLines="40" w:after="96"/>
              <w:rPr>
                <w:sz w:val="20"/>
              </w:rPr>
            </w:pPr>
            <w:r w:rsidRPr="00B04DC3">
              <w:rPr>
                <w:sz w:val="20"/>
              </w:rPr>
              <w:t>Mass of the diluted exhaust sample passed through the particulate sampling filters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set</w:t>
            </w:r>
          </w:p>
        </w:tc>
        <w:tc>
          <w:tcPr>
            <w:tcW w:w="1418" w:type="dxa"/>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Mass of the double diluted exhaust sample passed through the particulate sampling filters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bscript"/>
              </w:rPr>
              <w:t>ssd</w:t>
            </w:r>
          </w:p>
        </w:tc>
        <w:tc>
          <w:tcPr>
            <w:tcW w:w="1418" w:type="dxa"/>
          </w:tcPr>
          <w:p w:rsidR="00C0100D" w:rsidRPr="00B04DC3" w:rsidRDefault="00C0100D" w:rsidP="00C334C7">
            <w:pPr>
              <w:pStyle w:val="NormalLeft"/>
              <w:spacing w:beforeLines="40" w:before="96" w:afterLines="40" w:after="96"/>
              <w:rPr>
                <w:sz w:val="20"/>
              </w:rPr>
            </w:pPr>
            <w:r w:rsidRPr="00B04DC3">
              <w:rPr>
                <w:sz w:val="20"/>
              </w:rPr>
              <w:t>kg</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Mass of secondary </w:t>
            </w:r>
            <w:r w:rsidR="00D748C9" w:rsidRPr="00B04DC3">
              <w:rPr>
                <w:sz w:val="20"/>
              </w:rPr>
              <w:t>diluent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p>
        </w:tc>
        <w:tc>
          <w:tcPr>
            <w:tcW w:w="1418" w:type="dxa"/>
          </w:tcPr>
          <w:p w:rsidR="00C0100D" w:rsidRPr="00B04DC3" w:rsidRDefault="00C0100D" w:rsidP="00C334C7">
            <w:pPr>
              <w:pStyle w:val="NormalLeft"/>
              <w:spacing w:beforeLines="40" w:before="96" w:afterLines="40" w:after="96"/>
              <w:rPr>
                <w:sz w:val="20"/>
              </w:rPr>
            </w:pPr>
            <w:r w:rsidRPr="00B04DC3">
              <w:rPr>
                <w:sz w:val="20"/>
              </w:rPr>
              <w:t>per cent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Opacity</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P</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Total revolutions of PDP over the cycle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P,i</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Revolutions of PDP during a time interval</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p>
        </w:tc>
        <w:tc>
          <w:tcPr>
            <w:tcW w:w="1418" w:type="dxa"/>
          </w:tcPr>
          <w:p w:rsidR="00C0100D" w:rsidRPr="00B04DC3" w:rsidRDefault="00C0100D" w:rsidP="00C334C7">
            <w:pPr>
              <w:pStyle w:val="NormalLeft"/>
              <w:spacing w:beforeLines="40" w:before="96" w:afterLines="40" w:after="96"/>
              <w:rPr>
                <w:sz w:val="20"/>
              </w:rPr>
            </w:pPr>
            <w:r w:rsidRPr="00B04DC3">
              <w:rPr>
                <w:sz w:val="20"/>
              </w:rPr>
              <w:t>min</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Engine speed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p</w:t>
            </w:r>
          </w:p>
        </w:tc>
        <w:tc>
          <w:tcPr>
            <w:tcW w:w="1418" w:type="dxa"/>
          </w:tcPr>
          <w:p w:rsidR="00C0100D" w:rsidRPr="00B04DC3" w:rsidRDefault="00C0100D" w:rsidP="00C334C7">
            <w:pPr>
              <w:pStyle w:val="NormalLeft"/>
              <w:spacing w:beforeLines="40" w:before="96" w:afterLines="40" w:after="96"/>
              <w:rPr>
                <w:sz w:val="20"/>
              </w:rPr>
            </w:pPr>
            <w:r w:rsidRPr="00B04DC3">
              <w:rPr>
                <w:sz w:val="20"/>
              </w:rPr>
              <w:t>s</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PDP speed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hi</w:t>
            </w:r>
          </w:p>
        </w:tc>
        <w:tc>
          <w:tcPr>
            <w:tcW w:w="1418" w:type="dxa"/>
          </w:tcPr>
          <w:p w:rsidR="00C0100D" w:rsidRPr="00B04DC3" w:rsidRDefault="00C0100D" w:rsidP="00C334C7">
            <w:pPr>
              <w:pStyle w:val="NormalLeft"/>
              <w:spacing w:beforeLines="40" w:before="96" w:afterLines="40" w:after="96"/>
              <w:rPr>
                <w:sz w:val="20"/>
              </w:rPr>
            </w:pPr>
            <w:r w:rsidRPr="00B04DC3">
              <w:rPr>
                <w:sz w:val="20"/>
              </w:rPr>
              <w:t>min</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High engine speed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lo</w:t>
            </w:r>
          </w:p>
        </w:tc>
        <w:tc>
          <w:tcPr>
            <w:tcW w:w="1418" w:type="dxa"/>
          </w:tcPr>
          <w:p w:rsidR="00C0100D" w:rsidRPr="00B04DC3" w:rsidRDefault="00C0100D" w:rsidP="00C334C7">
            <w:pPr>
              <w:pStyle w:val="NormalLeft"/>
              <w:spacing w:beforeLines="40" w:before="96" w:afterLines="40" w:after="96"/>
              <w:rPr>
                <w:sz w:val="20"/>
              </w:rPr>
            </w:pPr>
            <w:r w:rsidRPr="00B04DC3">
              <w:rPr>
                <w:sz w:val="20"/>
              </w:rPr>
              <w:t>min</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Low engine speed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w:t>
            </w:r>
            <w:r w:rsidRPr="00B04DC3">
              <w:rPr>
                <w:sz w:val="20"/>
                <w:vertAlign w:val="subscript"/>
              </w:rPr>
              <w:t>ref</w:t>
            </w:r>
          </w:p>
        </w:tc>
        <w:tc>
          <w:tcPr>
            <w:tcW w:w="1418" w:type="dxa"/>
          </w:tcPr>
          <w:p w:rsidR="00C0100D" w:rsidRPr="00B04DC3" w:rsidRDefault="00C0100D" w:rsidP="00C334C7">
            <w:pPr>
              <w:pStyle w:val="NormalLeft"/>
              <w:spacing w:beforeLines="40" w:before="96" w:afterLines="40" w:after="96"/>
              <w:rPr>
                <w:sz w:val="20"/>
              </w:rPr>
            </w:pPr>
            <w:r w:rsidRPr="00B04DC3">
              <w:rPr>
                <w:sz w:val="20"/>
              </w:rPr>
              <w:t>min</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Reference engine speed for ETC test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Saturation vapour pressure of the engine intake air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b</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Total atmospheric pressure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Saturation vapour pressure of the </w:t>
            </w:r>
            <w:r w:rsidR="00D748C9" w:rsidRPr="00B04DC3">
              <w:rPr>
                <w:sz w:val="20"/>
              </w:rPr>
              <w:t>diluent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p</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Absolute pressure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r</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Water vapour pressure after cooling bath</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Dry atmospheric pressure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w:t>
            </w:r>
            <w:r w:rsidRPr="00B04DC3">
              <w:rPr>
                <w:sz w:val="20"/>
                <w:vertAlign w:val="subscript"/>
              </w:rPr>
              <w:t>1</w:t>
            </w:r>
          </w:p>
        </w:tc>
        <w:tc>
          <w:tcPr>
            <w:tcW w:w="1418" w:type="dxa"/>
          </w:tcPr>
          <w:p w:rsidR="00C0100D" w:rsidRPr="00B04DC3" w:rsidRDefault="00C0100D" w:rsidP="00C334C7">
            <w:pPr>
              <w:pStyle w:val="NormalLeft"/>
              <w:spacing w:beforeLines="40" w:before="96" w:afterLines="40" w:after="96"/>
              <w:rPr>
                <w:sz w:val="20"/>
              </w:rPr>
            </w:pPr>
            <w:r w:rsidRPr="00B04DC3">
              <w:rPr>
                <w:sz w:val="20"/>
              </w:rPr>
              <w:t>kPa</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Pressure depression at pump inlet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P(a)</w:t>
            </w:r>
          </w:p>
        </w:tc>
        <w:tc>
          <w:tcPr>
            <w:tcW w:w="1418" w:type="dxa"/>
          </w:tcPr>
          <w:p w:rsidR="00C0100D" w:rsidRPr="00B04DC3" w:rsidRDefault="00C0100D" w:rsidP="00C334C7">
            <w:pPr>
              <w:pStyle w:val="NormalLeft"/>
              <w:spacing w:beforeLines="40" w:before="96" w:afterLines="40" w:after="96"/>
              <w:rPr>
                <w:sz w:val="20"/>
              </w:rPr>
            </w:pPr>
            <w:r w:rsidRPr="00B04DC3">
              <w:rPr>
                <w:sz w:val="20"/>
              </w:rPr>
              <w:t>kW</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Power absorbed by auxiliaries to be fitted for test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P(b)</w:t>
            </w:r>
          </w:p>
        </w:tc>
        <w:tc>
          <w:tcPr>
            <w:tcW w:w="1418" w:type="dxa"/>
          </w:tcPr>
          <w:p w:rsidR="00C0100D" w:rsidRPr="00B04DC3" w:rsidRDefault="00C0100D" w:rsidP="00C334C7">
            <w:pPr>
              <w:pStyle w:val="NormalLeft"/>
              <w:spacing w:beforeLines="40" w:before="96" w:afterLines="40" w:after="96"/>
              <w:rPr>
                <w:sz w:val="20"/>
              </w:rPr>
            </w:pPr>
            <w:r w:rsidRPr="00B04DC3">
              <w:rPr>
                <w:sz w:val="20"/>
              </w:rPr>
              <w:t>kW</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Power absorbed by auxiliaries to be removed for test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P(n)</w:t>
            </w:r>
          </w:p>
        </w:tc>
        <w:tc>
          <w:tcPr>
            <w:tcW w:w="1418" w:type="dxa"/>
          </w:tcPr>
          <w:p w:rsidR="00C0100D" w:rsidRPr="00B04DC3" w:rsidRDefault="00C0100D" w:rsidP="00C334C7">
            <w:pPr>
              <w:pStyle w:val="NormalLeft"/>
              <w:spacing w:beforeLines="40" w:before="96" w:afterLines="40" w:after="96"/>
              <w:rPr>
                <w:sz w:val="20"/>
              </w:rPr>
            </w:pPr>
            <w:r w:rsidRPr="00B04DC3">
              <w:rPr>
                <w:sz w:val="20"/>
              </w:rPr>
              <w:t>kW</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Net power non-corrected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P(m)</w:t>
            </w:r>
          </w:p>
        </w:tc>
        <w:tc>
          <w:tcPr>
            <w:tcW w:w="1418" w:type="dxa"/>
          </w:tcPr>
          <w:p w:rsidR="00C0100D" w:rsidRPr="00B04DC3" w:rsidRDefault="00C0100D" w:rsidP="00C334C7">
            <w:pPr>
              <w:pStyle w:val="NormalLeft"/>
              <w:spacing w:beforeLines="40" w:before="96" w:afterLines="40" w:after="96"/>
              <w:rPr>
                <w:sz w:val="20"/>
              </w:rPr>
            </w:pPr>
            <w:r w:rsidRPr="00B04DC3">
              <w:rPr>
                <w:sz w:val="20"/>
              </w:rPr>
              <w:t>kW</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Power measured on test bed</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maw</w:t>
            </w:r>
          </w:p>
        </w:tc>
        <w:tc>
          <w:tcPr>
            <w:tcW w:w="1418" w:type="dxa"/>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Intake air mass flow rate on wet basis</w:t>
            </w:r>
          </w:p>
        </w:tc>
      </w:tr>
      <w:tr w:rsidR="00C0100D" w:rsidRPr="00B04DC3">
        <w:tc>
          <w:tcPr>
            <w:tcW w:w="1559" w:type="dxa"/>
            <w:tcBorders>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mad</w:t>
            </w:r>
          </w:p>
        </w:tc>
        <w:tc>
          <w:tcPr>
            <w:tcW w:w="1418" w:type="dxa"/>
            <w:tcBorders>
              <w:bottom w:val="nil"/>
            </w:tcBorders>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Intake air mass flow rate on dry basis</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mdw</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top w:val="nil"/>
              <w:bottom w:val="nil"/>
              <w:right w:val="single" w:sz="4" w:space="0" w:color="auto"/>
            </w:tcBorders>
          </w:tcPr>
          <w:p w:rsidR="00C0100D" w:rsidRPr="00B04DC3" w:rsidRDefault="00D748C9" w:rsidP="00C334C7">
            <w:pPr>
              <w:pStyle w:val="NormalLeft"/>
              <w:spacing w:beforeLines="40" w:before="96" w:afterLines="40" w:after="96"/>
              <w:rPr>
                <w:sz w:val="20"/>
              </w:rPr>
            </w:pPr>
            <w:r w:rsidRPr="00B04DC3">
              <w:rPr>
                <w:sz w:val="20"/>
              </w:rPr>
              <w:t xml:space="preserve">Diluent </w:t>
            </w:r>
            <w:r w:rsidR="00C0100D" w:rsidRPr="00B04DC3">
              <w:rPr>
                <w:sz w:val="20"/>
              </w:rPr>
              <w:t>mass flow rate on wet basis</w:t>
            </w:r>
          </w:p>
        </w:tc>
      </w:tr>
      <w:tr w:rsidR="00C0100D" w:rsidRPr="00B04DC3">
        <w:tc>
          <w:tcPr>
            <w:tcW w:w="1559" w:type="dxa"/>
            <w:tcBorders>
              <w:top w:val="nil"/>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mdew</w:t>
            </w:r>
          </w:p>
        </w:tc>
        <w:tc>
          <w:tcPr>
            <w:tcW w:w="1418" w:type="dxa"/>
            <w:tcBorders>
              <w:top w:val="nil"/>
            </w:tcBorders>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top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Diluted exhaust gas mass flow rate on wet basis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mdew,i</w:t>
            </w:r>
          </w:p>
        </w:tc>
        <w:tc>
          <w:tcPr>
            <w:tcW w:w="1418" w:type="dxa"/>
          </w:tcPr>
          <w:p w:rsidR="00C0100D" w:rsidRPr="00B04DC3" w:rsidRDefault="00C0100D" w:rsidP="00C334C7">
            <w:pPr>
              <w:pStyle w:val="NormalLeft"/>
              <w:spacing w:beforeLines="40" w:before="96" w:afterLines="40" w:after="96"/>
              <w:rPr>
                <w:sz w:val="20"/>
              </w:rPr>
            </w:pPr>
            <w:r w:rsidRPr="00B04DC3">
              <w:rPr>
                <w:sz w:val="20"/>
              </w:rPr>
              <w:t>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Instantaneous CVS flow rate mass on wet basis </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medf</w:t>
            </w:r>
          </w:p>
        </w:tc>
        <w:tc>
          <w:tcPr>
            <w:tcW w:w="1418" w:type="dxa"/>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Equivalent diluted exhaust gas mass flow rate on wet basis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mew</w:t>
            </w:r>
          </w:p>
        </w:tc>
        <w:tc>
          <w:tcPr>
            <w:tcW w:w="1418" w:type="dxa"/>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Exhaust gas mass flow rate on wet basis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mf</w:t>
            </w:r>
          </w:p>
        </w:tc>
        <w:tc>
          <w:tcPr>
            <w:tcW w:w="1418" w:type="dxa"/>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Fuel mass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mp</w:t>
            </w:r>
          </w:p>
        </w:tc>
        <w:tc>
          <w:tcPr>
            <w:tcW w:w="1418" w:type="dxa"/>
          </w:tcPr>
          <w:p w:rsidR="00C0100D" w:rsidRPr="00B04DC3" w:rsidRDefault="00C0100D" w:rsidP="00C334C7">
            <w:pPr>
              <w:pStyle w:val="NormalLeft"/>
              <w:spacing w:beforeLines="40" w:before="96" w:afterLines="40" w:after="96"/>
              <w:rPr>
                <w:sz w:val="20"/>
              </w:rPr>
            </w:pPr>
            <w:r w:rsidRPr="00B04DC3">
              <w:rPr>
                <w:sz w:val="20"/>
              </w:rPr>
              <w:t>kg/h or kg/s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Particulate sample mass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vs</w:t>
            </w:r>
          </w:p>
        </w:tc>
        <w:tc>
          <w:tcPr>
            <w:tcW w:w="1418" w:type="dxa"/>
          </w:tcPr>
          <w:p w:rsidR="00C0100D" w:rsidRPr="00B04DC3" w:rsidRDefault="00C0100D" w:rsidP="00C334C7">
            <w:pPr>
              <w:pStyle w:val="NormalLeft"/>
              <w:spacing w:beforeLines="40" w:before="96" w:afterLines="40" w:after="96"/>
              <w:rPr>
                <w:sz w:val="20"/>
              </w:rPr>
            </w:pPr>
            <w:r w:rsidRPr="00B04DC3">
              <w:rPr>
                <w:sz w:val="20"/>
              </w:rPr>
              <w:t>dm³/min</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Sample flow rate into analyzer bench</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position w:val="6"/>
                <w:sz w:val="20"/>
              </w:rPr>
              <w:t>q</w:t>
            </w:r>
            <w:r w:rsidRPr="00B04DC3">
              <w:rPr>
                <w:position w:val="6"/>
                <w:sz w:val="20"/>
                <w:vertAlign w:val="subscript"/>
              </w:rPr>
              <w:t>vt</w:t>
            </w:r>
          </w:p>
        </w:tc>
        <w:tc>
          <w:tcPr>
            <w:tcW w:w="1418" w:type="dxa"/>
          </w:tcPr>
          <w:p w:rsidR="00C0100D" w:rsidRPr="00B04DC3" w:rsidRDefault="00C0100D" w:rsidP="00C334C7">
            <w:pPr>
              <w:pStyle w:val="NormalLeft"/>
              <w:spacing w:beforeLines="40" w:before="96" w:afterLines="40" w:after="96"/>
              <w:rPr>
                <w:sz w:val="20"/>
              </w:rPr>
            </w:pPr>
            <w:r w:rsidRPr="00B04DC3">
              <w:rPr>
                <w:sz w:val="20"/>
              </w:rPr>
              <w:t>cm³/min</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Tracer gas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Ω</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Bessel constant</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Q</w:t>
            </w:r>
            <w:r w:rsidRPr="00B04DC3">
              <w:rPr>
                <w:sz w:val="20"/>
                <w:vertAlign w:val="subscript"/>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3</w:t>
            </w:r>
            <w:r w:rsidRPr="00B04DC3">
              <w:rPr>
                <w:sz w:val="20"/>
              </w:rPr>
              <w:t>/s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PDP/CFV-CVS volume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Q</w:t>
            </w:r>
            <w:r w:rsidRPr="00B04DC3">
              <w:rPr>
                <w:sz w:val="20"/>
                <w:vertAlign w:val="subscript"/>
              </w:rPr>
              <w:t>SSV</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3</w:t>
            </w:r>
            <w:r w:rsidRPr="00B04DC3">
              <w:rPr>
                <w:sz w:val="20"/>
              </w:rPr>
              <w:t>/s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SSV-CVS volume flow rate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r</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keepNext/>
              <w:keepLines/>
              <w:spacing w:beforeLines="40" w:before="96" w:afterLines="40" w:after="96"/>
              <w:rPr>
                <w:sz w:val="20"/>
              </w:rPr>
            </w:pPr>
            <w:r w:rsidRPr="00B04DC3">
              <w:rPr>
                <w:sz w:val="20"/>
              </w:rPr>
              <w:t>Ratio of cross sectional areas of isokinetic probe and exhaust pipe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r</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Dilution ratio</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r</w:t>
            </w:r>
            <w:r w:rsidRPr="00B04DC3">
              <w:rPr>
                <w:sz w:val="20"/>
                <w:vertAlign w:val="subscript"/>
              </w:rPr>
              <w:t>D</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Diameter ratio of SSV-CVS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r</w:t>
            </w:r>
            <w:r w:rsidRPr="00B04DC3">
              <w:rPr>
                <w:sz w:val="20"/>
                <w:vertAlign w:val="subscript"/>
              </w:rPr>
              <w:t>p</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Pressure ratio of SSV-CVS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vertAlign w:val="subscript"/>
              </w:rPr>
            </w:pPr>
            <w:r w:rsidRPr="00B04DC3">
              <w:rPr>
                <w:sz w:val="20"/>
              </w:rPr>
              <w:t>r</w:t>
            </w:r>
            <w:r w:rsidRPr="00B04DC3">
              <w:rPr>
                <w:sz w:val="20"/>
                <w:vertAlign w:val="subscript"/>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Sample ratio</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R</w:t>
            </w:r>
            <w:r w:rsidRPr="00B04DC3">
              <w:rPr>
                <w:sz w:val="20"/>
                <w:vertAlign w:val="subscript"/>
              </w:rPr>
              <w:t>f</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FID response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ρ</w:t>
            </w:r>
          </w:p>
        </w:tc>
        <w:tc>
          <w:tcPr>
            <w:tcW w:w="1418" w:type="dxa"/>
          </w:tcPr>
          <w:p w:rsidR="00C0100D" w:rsidRPr="00B04DC3" w:rsidRDefault="00C0100D" w:rsidP="00C334C7">
            <w:pPr>
              <w:pStyle w:val="NormalLeft"/>
              <w:spacing w:beforeLines="40" w:before="96" w:afterLines="40" w:after="96"/>
              <w:rPr>
                <w:sz w:val="20"/>
              </w:rPr>
            </w:pPr>
            <w:r w:rsidRPr="00B04DC3">
              <w:rPr>
                <w:sz w:val="20"/>
              </w:rPr>
              <w:t>kg/m</w:t>
            </w:r>
            <w:r w:rsidRPr="00B04DC3">
              <w:rPr>
                <w:sz w:val="20"/>
                <w:vertAlign w:val="superscript"/>
              </w:rPr>
              <w:t>3</w:t>
            </w:r>
          </w:p>
        </w:tc>
        <w:tc>
          <w:tcPr>
            <w:tcW w:w="6059" w:type="dxa"/>
            <w:tcBorders>
              <w:right w:val="single" w:sz="4" w:space="0" w:color="auto"/>
            </w:tcBorders>
          </w:tcPr>
          <w:p w:rsidR="00C0100D" w:rsidRPr="00B04DC3" w:rsidRDefault="00D748C9" w:rsidP="00C334C7">
            <w:pPr>
              <w:pStyle w:val="NormalLeft"/>
              <w:spacing w:beforeLines="40" w:before="96" w:afterLines="40" w:after="96"/>
              <w:rPr>
                <w:sz w:val="20"/>
              </w:rPr>
            </w:pPr>
            <w:r w:rsidRPr="00B04DC3">
              <w:rPr>
                <w:sz w:val="20"/>
              </w:rPr>
              <w:t>D</w:t>
            </w:r>
            <w:r w:rsidR="00C0100D" w:rsidRPr="00B04DC3">
              <w:rPr>
                <w:sz w:val="20"/>
              </w:rPr>
              <w:t>ensity</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kW</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Dynamometer setting</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 xml:space="preserve">S </w:t>
            </w:r>
            <w:r w:rsidRPr="00B04DC3">
              <w:rPr>
                <w:sz w:val="20"/>
                <w:vertAlign w:val="subscript"/>
              </w:rPr>
              <w:t>i</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−1</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Instantaneous smoke value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w:t>
            </w:r>
            <w:r w:rsidRPr="00B04DC3">
              <w:rPr>
                <w:sz w:val="20"/>
                <w:vertAlign w:val="subscript"/>
              </w:rPr>
              <w:t>λ</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λ-shift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w:t>
            </w:r>
          </w:p>
        </w:tc>
        <w:tc>
          <w:tcPr>
            <w:tcW w:w="1418" w:type="dxa"/>
          </w:tcPr>
          <w:p w:rsidR="00C0100D" w:rsidRPr="00B04DC3" w:rsidRDefault="00C0100D" w:rsidP="00C334C7">
            <w:pPr>
              <w:pStyle w:val="NormalLeft"/>
              <w:spacing w:beforeLines="40" w:before="96" w:afterLines="40" w:after="96"/>
              <w:rPr>
                <w:sz w:val="20"/>
              </w:rPr>
            </w:pPr>
            <w:r w:rsidRPr="00B04DC3">
              <w:rPr>
                <w:sz w:val="20"/>
              </w:rPr>
              <w:t>K</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Absolute temperature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w:t>
            </w:r>
            <w:r w:rsidRPr="00B04DC3">
              <w:rPr>
                <w:sz w:val="20"/>
                <w:vertAlign w:val="subscript"/>
              </w:rPr>
              <w:t>a</w:t>
            </w:r>
          </w:p>
        </w:tc>
        <w:tc>
          <w:tcPr>
            <w:tcW w:w="1418" w:type="dxa"/>
          </w:tcPr>
          <w:p w:rsidR="00C0100D" w:rsidRPr="00B04DC3" w:rsidRDefault="00C0100D" w:rsidP="00C334C7">
            <w:pPr>
              <w:pStyle w:val="NormalLeft"/>
              <w:spacing w:beforeLines="40" w:before="96" w:afterLines="40" w:after="96"/>
              <w:rPr>
                <w:sz w:val="20"/>
              </w:rPr>
            </w:pPr>
            <w:r w:rsidRPr="00B04DC3">
              <w:rPr>
                <w:sz w:val="20"/>
              </w:rPr>
              <w:t>K</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Absolute temperature of the intake air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w:t>
            </w:r>
          </w:p>
        </w:tc>
        <w:tc>
          <w:tcPr>
            <w:tcW w:w="1418" w:type="dxa"/>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Measuring time</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w:t>
            </w:r>
            <w:r w:rsidRPr="00B04DC3">
              <w:rPr>
                <w:sz w:val="20"/>
                <w:vertAlign w:val="subscript"/>
              </w:rPr>
              <w:t>e</w:t>
            </w:r>
          </w:p>
        </w:tc>
        <w:tc>
          <w:tcPr>
            <w:tcW w:w="1418" w:type="dxa"/>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Electrical response time</w:t>
            </w:r>
          </w:p>
        </w:tc>
      </w:tr>
      <w:tr w:rsidR="00C0100D" w:rsidRPr="00B04DC3">
        <w:tc>
          <w:tcPr>
            <w:tcW w:w="1559" w:type="dxa"/>
            <w:tcBorders>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t</w:t>
            </w:r>
            <w:r w:rsidRPr="00B04DC3">
              <w:rPr>
                <w:sz w:val="20"/>
                <w:vertAlign w:val="subscript"/>
              </w:rPr>
              <w:t>f</w:t>
            </w:r>
          </w:p>
        </w:tc>
        <w:tc>
          <w:tcPr>
            <w:tcW w:w="1418" w:type="dxa"/>
            <w:tcBorders>
              <w:bottom w:val="nil"/>
            </w:tcBorders>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Filter response time for Bessel function</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t</w:t>
            </w:r>
            <w:r w:rsidRPr="00B04DC3">
              <w:rPr>
                <w:sz w:val="20"/>
                <w:vertAlign w:val="subscript"/>
              </w:rPr>
              <w:t>p</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Physical response time</w:t>
            </w:r>
          </w:p>
        </w:tc>
      </w:tr>
      <w:tr w:rsidR="00C0100D" w:rsidRPr="00B04DC3">
        <w:tc>
          <w:tcPr>
            <w:tcW w:w="1559" w:type="dxa"/>
            <w:tcBorders>
              <w:top w:val="nil"/>
              <w:left w:val="single" w:sz="4" w:space="0" w:color="auto"/>
              <w:bottom w:val="nil"/>
            </w:tcBorders>
          </w:tcPr>
          <w:p w:rsidR="00C0100D" w:rsidRPr="00B04DC3" w:rsidRDefault="00C0100D" w:rsidP="00C334C7">
            <w:pPr>
              <w:pStyle w:val="NormalLeft"/>
              <w:spacing w:beforeLines="40" w:before="96" w:afterLines="40" w:after="96"/>
              <w:rPr>
                <w:sz w:val="20"/>
              </w:rPr>
            </w:pPr>
            <w:r w:rsidRPr="00B04DC3">
              <w:rPr>
                <w:sz w:val="20"/>
              </w:rPr>
              <w:t>Δt</w:t>
            </w:r>
          </w:p>
        </w:tc>
        <w:tc>
          <w:tcPr>
            <w:tcW w:w="1418" w:type="dxa"/>
            <w:tcBorders>
              <w:top w:val="nil"/>
              <w:bottom w:val="nil"/>
            </w:tcBorders>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top w:val="nil"/>
              <w:bottom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Time interval between successive smoke data (= 1/sampling rate)</w:t>
            </w:r>
          </w:p>
        </w:tc>
      </w:tr>
      <w:tr w:rsidR="00C0100D" w:rsidRPr="00B04DC3">
        <w:tc>
          <w:tcPr>
            <w:tcW w:w="1559" w:type="dxa"/>
            <w:tcBorders>
              <w:top w:val="nil"/>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Δt</w:t>
            </w:r>
            <w:r w:rsidRPr="00B04DC3">
              <w:rPr>
                <w:sz w:val="20"/>
                <w:vertAlign w:val="subscript"/>
              </w:rPr>
              <w:t>i</w:t>
            </w:r>
          </w:p>
        </w:tc>
        <w:tc>
          <w:tcPr>
            <w:tcW w:w="1418" w:type="dxa"/>
            <w:tcBorders>
              <w:top w:val="nil"/>
            </w:tcBorders>
          </w:tcPr>
          <w:p w:rsidR="00C0100D" w:rsidRPr="00B04DC3" w:rsidRDefault="00C0100D" w:rsidP="00C334C7">
            <w:pPr>
              <w:pStyle w:val="NormalLeft"/>
              <w:spacing w:beforeLines="40" w:before="96" w:afterLines="40" w:after="96"/>
              <w:rPr>
                <w:sz w:val="20"/>
              </w:rPr>
            </w:pPr>
            <w:r w:rsidRPr="00B04DC3">
              <w:rPr>
                <w:sz w:val="20"/>
              </w:rPr>
              <w:t>s</w:t>
            </w:r>
          </w:p>
        </w:tc>
        <w:tc>
          <w:tcPr>
            <w:tcW w:w="6059" w:type="dxa"/>
            <w:tcBorders>
              <w:top w:val="nil"/>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Time interval for instantaneous CVS flow</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τ</w:t>
            </w:r>
          </w:p>
        </w:tc>
        <w:tc>
          <w:tcPr>
            <w:tcW w:w="1418" w:type="dxa"/>
          </w:tcPr>
          <w:p w:rsidR="00C0100D" w:rsidRPr="00B04DC3" w:rsidRDefault="00C0100D" w:rsidP="00C334C7">
            <w:pPr>
              <w:pStyle w:val="NormalLeft"/>
              <w:spacing w:beforeLines="40" w:before="96" w:afterLines="40" w:after="96"/>
              <w:rPr>
                <w:sz w:val="20"/>
              </w:rPr>
            </w:pPr>
            <w:r w:rsidRPr="00B04DC3">
              <w:rPr>
                <w:sz w:val="20"/>
              </w:rPr>
              <w:t>per cent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Smoke transmittance</w:t>
            </w:r>
          </w:p>
        </w:tc>
      </w:tr>
      <w:tr w:rsidR="00C0100D" w:rsidRPr="00B04DC3">
        <w:tc>
          <w:tcPr>
            <w:tcW w:w="1559" w:type="dxa"/>
            <w:tcBorders>
              <w:left w:val="single" w:sz="4" w:space="0" w:color="auto"/>
            </w:tcBorders>
          </w:tcPr>
          <w:p w:rsidR="00C0100D" w:rsidRPr="00B04DC3" w:rsidRDefault="00C0100D" w:rsidP="00C334C7">
            <w:pPr>
              <w:spacing w:beforeLines="40" w:before="96" w:afterLines="40" w:after="96"/>
            </w:pPr>
            <w:r w:rsidRPr="00B04DC3">
              <w:t>u</w:t>
            </w:r>
          </w:p>
        </w:tc>
        <w:tc>
          <w:tcPr>
            <w:tcW w:w="1418" w:type="dxa"/>
          </w:tcPr>
          <w:p w:rsidR="00C0100D" w:rsidRPr="00B04DC3" w:rsidRDefault="00C0100D" w:rsidP="00C334C7">
            <w:pPr>
              <w:spacing w:beforeLines="40" w:before="96" w:afterLines="40" w:after="96"/>
            </w:pPr>
            <w:r w:rsidRPr="00B04DC3">
              <w:t>-</w:t>
            </w:r>
          </w:p>
        </w:tc>
        <w:tc>
          <w:tcPr>
            <w:tcW w:w="6059" w:type="dxa"/>
            <w:tcBorders>
              <w:right w:val="single" w:sz="4" w:space="0" w:color="auto"/>
            </w:tcBorders>
          </w:tcPr>
          <w:p w:rsidR="00C0100D" w:rsidRPr="00B04DC3" w:rsidRDefault="00C0100D" w:rsidP="00C334C7">
            <w:pPr>
              <w:spacing w:beforeLines="40" w:before="96" w:afterLines="40" w:after="96"/>
            </w:pPr>
            <w:r w:rsidRPr="00B04DC3">
              <w:t>Ratio between densities of gas component and exhaust gas</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V</w:t>
            </w:r>
            <w:r w:rsidRPr="00B04DC3">
              <w:rPr>
                <w:sz w:val="20"/>
                <w:vertAlign w:val="subscript"/>
              </w:rPr>
              <w:t>0</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3</w:t>
            </w:r>
            <w:r w:rsidRPr="00B04DC3">
              <w:rPr>
                <w:sz w:val="20"/>
              </w:rPr>
              <w:t>/rev</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PDP gas volume pumped per revolution</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V</w:t>
            </w:r>
            <w:r w:rsidRPr="00B04DC3">
              <w:rPr>
                <w:sz w:val="20"/>
                <w:vertAlign w:val="subscript"/>
              </w:rPr>
              <w:t>s</w:t>
            </w:r>
          </w:p>
        </w:tc>
        <w:tc>
          <w:tcPr>
            <w:tcW w:w="1418" w:type="dxa"/>
          </w:tcPr>
          <w:p w:rsidR="00C0100D" w:rsidRPr="00B04DC3" w:rsidRDefault="00C0100D" w:rsidP="00C334C7">
            <w:pPr>
              <w:pStyle w:val="NormalLeft"/>
              <w:spacing w:beforeLines="40" w:before="96" w:afterLines="40" w:after="96"/>
              <w:rPr>
                <w:sz w:val="20"/>
              </w:rPr>
            </w:pPr>
            <w:r w:rsidRPr="00B04DC3">
              <w:rPr>
                <w:sz w:val="20"/>
              </w:rPr>
              <w:t>l</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System volume of analyzer bench</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Wobbe index</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w:t>
            </w:r>
            <w:r w:rsidRPr="00B04DC3">
              <w:rPr>
                <w:sz w:val="20"/>
                <w:vertAlign w:val="subscript"/>
              </w:rPr>
              <w:t>act</w:t>
            </w:r>
          </w:p>
        </w:tc>
        <w:tc>
          <w:tcPr>
            <w:tcW w:w="1418" w:type="dxa"/>
          </w:tcPr>
          <w:p w:rsidR="00C0100D" w:rsidRPr="00B04DC3" w:rsidRDefault="00C0100D" w:rsidP="00C334C7">
            <w:pPr>
              <w:pStyle w:val="NormalLeft"/>
              <w:spacing w:beforeLines="40" w:before="96" w:afterLines="40" w:after="96"/>
              <w:rPr>
                <w:sz w:val="20"/>
              </w:rPr>
            </w:pPr>
            <w:r w:rsidRPr="00B04DC3">
              <w:rPr>
                <w:sz w:val="20"/>
              </w:rPr>
              <w:t>kWh</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Actual cycle work of ETC</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w:t>
            </w:r>
            <w:r w:rsidRPr="00B04DC3">
              <w:rPr>
                <w:sz w:val="20"/>
                <w:vertAlign w:val="subscript"/>
              </w:rPr>
              <w:t>ref</w:t>
            </w:r>
          </w:p>
        </w:tc>
        <w:tc>
          <w:tcPr>
            <w:tcW w:w="1418" w:type="dxa"/>
          </w:tcPr>
          <w:p w:rsidR="00C0100D" w:rsidRPr="00B04DC3" w:rsidRDefault="00C0100D" w:rsidP="00C334C7">
            <w:pPr>
              <w:pStyle w:val="NormalLeft"/>
              <w:spacing w:beforeLines="40" w:before="96" w:afterLines="40" w:after="96"/>
              <w:rPr>
                <w:sz w:val="20"/>
              </w:rPr>
            </w:pPr>
            <w:r w:rsidRPr="00B04DC3">
              <w:rPr>
                <w:sz w:val="20"/>
              </w:rPr>
              <w:t>kWh</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Reference cycle work of ETC</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w:t>
            </w:r>
            <w:r w:rsidRPr="00B04DC3">
              <w:rPr>
                <w:sz w:val="20"/>
                <w:vertAlign w:val="subscript"/>
              </w:rPr>
              <w:t>f</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Weighting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W</w:t>
            </w:r>
            <w:r w:rsidRPr="00B04DC3">
              <w:rPr>
                <w:sz w:val="20"/>
                <w:vertAlign w:val="subscript"/>
              </w:rPr>
              <w:t>fe</w:t>
            </w:r>
          </w:p>
        </w:tc>
        <w:tc>
          <w:tcPr>
            <w:tcW w:w="1418" w:type="dxa"/>
          </w:tcPr>
          <w:p w:rsidR="00C0100D" w:rsidRPr="00B04DC3" w:rsidRDefault="00C0100D" w:rsidP="00C334C7">
            <w:pPr>
              <w:pStyle w:val="NormalLeft"/>
              <w:spacing w:beforeLines="40" w:before="96" w:afterLines="40" w:after="96"/>
              <w:rPr>
                <w:sz w:val="20"/>
              </w:rPr>
            </w:pPr>
            <w:r w:rsidRPr="00B04DC3">
              <w:rPr>
                <w:sz w:val="20"/>
              </w:rPr>
              <w:t>—</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Effective weighting factor</w:t>
            </w:r>
          </w:p>
        </w:tc>
      </w:tr>
      <w:tr w:rsidR="00C0100D" w:rsidRPr="00B04DC3">
        <w:tc>
          <w:tcPr>
            <w:tcW w:w="1559" w:type="dxa"/>
            <w:tcBorders>
              <w:lef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X</w:t>
            </w:r>
            <w:r w:rsidRPr="00B04DC3">
              <w:rPr>
                <w:sz w:val="20"/>
                <w:vertAlign w:val="subscript"/>
              </w:rPr>
              <w:t>0</w:t>
            </w:r>
          </w:p>
        </w:tc>
        <w:tc>
          <w:tcPr>
            <w:tcW w:w="1418" w:type="dxa"/>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3</w:t>
            </w:r>
            <w:r w:rsidRPr="00B04DC3">
              <w:rPr>
                <w:sz w:val="20"/>
              </w:rPr>
              <w:t>/rev</w:t>
            </w:r>
          </w:p>
        </w:tc>
        <w:tc>
          <w:tcPr>
            <w:tcW w:w="6059" w:type="dxa"/>
            <w:tcBorders>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Calibration function of PDP volume flow rate</w:t>
            </w:r>
          </w:p>
        </w:tc>
      </w:tr>
      <w:tr w:rsidR="00C0100D" w:rsidRPr="00B04DC3" w:rsidTr="008165BE">
        <w:tc>
          <w:tcPr>
            <w:tcW w:w="1559" w:type="dxa"/>
            <w:tcBorders>
              <w:left w:val="single" w:sz="4" w:space="0" w:color="auto"/>
              <w:bottom w:val="single" w:sz="12" w:space="0" w:color="auto"/>
            </w:tcBorders>
          </w:tcPr>
          <w:p w:rsidR="00C0100D" w:rsidRPr="00B04DC3" w:rsidRDefault="00C0100D" w:rsidP="00C334C7">
            <w:pPr>
              <w:pStyle w:val="NormalLeft"/>
              <w:spacing w:beforeLines="40" w:before="96" w:afterLines="40" w:after="96"/>
              <w:rPr>
                <w:sz w:val="20"/>
              </w:rPr>
            </w:pPr>
            <w:r w:rsidRPr="00B04DC3">
              <w:rPr>
                <w:sz w:val="20"/>
              </w:rPr>
              <w:t>Y</w:t>
            </w:r>
            <w:r w:rsidRPr="00B04DC3">
              <w:rPr>
                <w:sz w:val="20"/>
                <w:vertAlign w:val="subscript"/>
              </w:rPr>
              <w:t>i</w:t>
            </w:r>
          </w:p>
        </w:tc>
        <w:tc>
          <w:tcPr>
            <w:tcW w:w="1418" w:type="dxa"/>
            <w:tcBorders>
              <w:bottom w:val="single" w:sz="12" w:space="0" w:color="auto"/>
            </w:tcBorders>
          </w:tcPr>
          <w:p w:rsidR="00C0100D" w:rsidRPr="00B04DC3" w:rsidRDefault="00C0100D" w:rsidP="00C334C7">
            <w:pPr>
              <w:pStyle w:val="NormalLeft"/>
              <w:spacing w:beforeLines="40" w:before="96" w:afterLines="40" w:after="96"/>
              <w:rPr>
                <w:sz w:val="20"/>
              </w:rPr>
            </w:pPr>
            <w:r w:rsidRPr="00B04DC3">
              <w:rPr>
                <w:sz w:val="20"/>
              </w:rPr>
              <w:t>m</w:t>
            </w:r>
            <w:r w:rsidRPr="00B04DC3">
              <w:rPr>
                <w:sz w:val="20"/>
                <w:vertAlign w:val="superscript"/>
              </w:rPr>
              <w:t>−1</w:t>
            </w:r>
          </w:p>
        </w:tc>
        <w:tc>
          <w:tcPr>
            <w:tcW w:w="6059" w:type="dxa"/>
            <w:tcBorders>
              <w:bottom w:val="single" w:sz="12" w:space="0" w:color="auto"/>
              <w:right w:val="single" w:sz="4" w:space="0" w:color="auto"/>
            </w:tcBorders>
          </w:tcPr>
          <w:p w:rsidR="00C0100D" w:rsidRPr="00B04DC3" w:rsidRDefault="00C0100D" w:rsidP="00C334C7">
            <w:pPr>
              <w:pStyle w:val="NormalLeft"/>
              <w:spacing w:beforeLines="40" w:before="96" w:afterLines="40" w:after="96"/>
              <w:rPr>
                <w:sz w:val="20"/>
              </w:rPr>
            </w:pPr>
            <w:r w:rsidRPr="00B04DC3">
              <w:rPr>
                <w:sz w:val="20"/>
              </w:rPr>
              <w:t>1 s Bessel averaged smoke value</w:t>
            </w:r>
          </w:p>
        </w:tc>
      </w:tr>
    </w:tbl>
    <w:p w:rsidR="00C0100D" w:rsidRPr="00B04DC3" w:rsidRDefault="00C0100D" w:rsidP="008165BE">
      <w:pPr>
        <w:pStyle w:val="para"/>
        <w:rPr>
          <w:lang w:val="en-GB"/>
        </w:rPr>
      </w:pPr>
      <w:r w:rsidRPr="00B04DC3">
        <w:rPr>
          <w:lang w:val="en-GB"/>
        </w:rPr>
        <w:t>2.2.2.</w:t>
      </w:r>
      <w:r w:rsidRPr="00B04DC3">
        <w:rPr>
          <w:lang w:val="en-GB"/>
        </w:rPr>
        <w:tab/>
      </w:r>
      <w:r w:rsidR="00D748C9" w:rsidRPr="00B04DC3">
        <w:rPr>
          <w:lang w:val="en-GB"/>
        </w:rPr>
        <w:tab/>
      </w:r>
      <w:r w:rsidRPr="00B04DC3">
        <w:rPr>
          <w:lang w:val="en-GB"/>
        </w:rPr>
        <w:t>Symbols for chemical components</w:t>
      </w:r>
    </w:p>
    <w:tbl>
      <w:tblPr>
        <w:tblW w:w="0" w:type="auto"/>
        <w:tblInd w:w="2268" w:type="dxa"/>
        <w:tblLayout w:type="fixed"/>
        <w:tblLook w:val="0000" w:firstRow="0" w:lastRow="0" w:firstColumn="0" w:lastColumn="0" w:noHBand="0" w:noVBand="0"/>
      </w:tblPr>
      <w:tblGrid>
        <w:gridCol w:w="1418"/>
        <w:gridCol w:w="4394"/>
      </w:tblGrid>
      <w:tr w:rsidR="00C0100D" w:rsidRPr="00B04DC3">
        <w:tc>
          <w:tcPr>
            <w:tcW w:w="1418" w:type="dxa"/>
          </w:tcPr>
          <w:p w:rsidR="00C0100D" w:rsidRPr="00B04DC3" w:rsidRDefault="00C0100D" w:rsidP="00700CBE">
            <w:pPr>
              <w:pStyle w:val="NormalLeft"/>
              <w:spacing w:before="0"/>
              <w:rPr>
                <w:sz w:val="20"/>
              </w:rPr>
            </w:pPr>
            <w:r w:rsidRPr="00B04DC3">
              <w:rPr>
                <w:sz w:val="20"/>
              </w:rPr>
              <w:t>CH</w:t>
            </w:r>
            <w:r w:rsidRPr="00B04DC3">
              <w:rPr>
                <w:sz w:val="20"/>
                <w:vertAlign w:val="subscript"/>
              </w:rPr>
              <w:t>4</w:t>
            </w:r>
          </w:p>
        </w:tc>
        <w:tc>
          <w:tcPr>
            <w:tcW w:w="4394" w:type="dxa"/>
          </w:tcPr>
          <w:p w:rsidR="00C0100D" w:rsidRPr="00B04DC3" w:rsidRDefault="00C0100D" w:rsidP="00700CBE">
            <w:pPr>
              <w:pStyle w:val="NormalLeft"/>
              <w:spacing w:before="0"/>
              <w:rPr>
                <w:sz w:val="20"/>
              </w:rPr>
            </w:pPr>
            <w:r w:rsidRPr="00B04DC3">
              <w:rPr>
                <w:sz w:val="20"/>
              </w:rPr>
              <w:t>Methane</w:t>
            </w:r>
          </w:p>
        </w:tc>
      </w:tr>
      <w:tr w:rsidR="00C0100D" w:rsidRPr="00B04DC3">
        <w:tc>
          <w:tcPr>
            <w:tcW w:w="1418" w:type="dxa"/>
          </w:tcPr>
          <w:p w:rsidR="00C0100D" w:rsidRPr="00B04DC3" w:rsidRDefault="00C0100D" w:rsidP="00700CBE">
            <w:pPr>
              <w:pStyle w:val="NormalLeft"/>
              <w:spacing w:before="0"/>
              <w:rPr>
                <w:sz w:val="20"/>
              </w:rPr>
            </w:pPr>
            <w:r w:rsidRPr="00B04DC3">
              <w:rPr>
                <w:sz w:val="20"/>
              </w:rPr>
              <w:t>C</w:t>
            </w:r>
            <w:r w:rsidRPr="00B04DC3">
              <w:rPr>
                <w:sz w:val="20"/>
                <w:vertAlign w:val="subscript"/>
              </w:rPr>
              <w:t>2</w:t>
            </w:r>
            <w:r w:rsidRPr="00B04DC3">
              <w:rPr>
                <w:sz w:val="20"/>
              </w:rPr>
              <w:t>H</w:t>
            </w:r>
            <w:r w:rsidRPr="00B04DC3">
              <w:rPr>
                <w:sz w:val="20"/>
                <w:vertAlign w:val="subscript"/>
              </w:rPr>
              <w:t>6</w:t>
            </w:r>
          </w:p>
        </w:tc>
        <w:tc>
          <w:tcPr>
            <w:tcW w:w="4394" w:type="dxa"/>
          </w:tcPr>
          <w:p w:rsidR="00C0100D" w:rsidRPr="00B04DC3" w:rsidRDefault="00C0100D" w:rsidP="00700CBE">
            <w:pPr>
              <w:pStyle w:val="NormalLeft"/>
              <w:spacing w:before="0"/>
              <w:rPr>
                <w:sz w:val="20"/>
              </w:rPr>
            </w:pPr>
            <w:r w:rsidRPr="00B04DC3">
              <w:rPr>
                <w:sz w:val="20"/>
              </w:rPr>
              <w:t>Ethane</w:t>
            </w:r>
          </w:p>
        </w:tc>
      </w:tr>
      <w:tr w:rsidR="00C0100D" w:rsidRPr="00B04DC3">
        <w:tc>
          <w:tcPr>
            <w:tcW w:w="1418" w:type="dxa"/>
          </w:tcPr>
          <w:p w:rsidR="00C0100D" w:rsidRPr="00B04DC3" w:rsidRDefault="00C0100D" w:rsidP="00700CBE">
            <w:pPr>
              <w:pStyle w:val="NormalLeft"/>
              <w:spacing w:before="0"/>
              <w:rPr>
                <w:sz w:val="20"/>
              </w:rPr>
            </w:pPr>
            <w:r w:rsidRPr="00B04DC3">
              <w:rPr>
                <w:sz w:val="20"/>
              </w:rPr>
              <w:t>C</w:t>
            </w:r>
            <w:r w:rsidRPr="00B04DC3">
              <w:rPr>
                <w:sz w:val="20"/>
                <w:vertAlign w:val="subscript"/>
              </w:rPr>
              <w:t>2</w:t>
            </w:r>
            <w:r w:rsidRPr="00B04DC3">
              <w:rPr>
                <w:sz w:val="20"/>
              </w:rPr>
              <w:t>H</w:t>
            </w:r>
            <w:r w:rsidRPr="00B04DC3">
              <w:rPr>
                <w:sz w:val="20"/>
                <w:vertAlign w:val="subscript"/>
              </w:rPr>
              <w:t>5</w:t>
            </w:r>
            <w:r w:rsidRPr="00B04DC3">
              <w:rPr>
                <w:sz w:val="20"/>
              </w:rPr>
              <w:t>OH</w:t>
            </w:r>
          </w:p>
        </w:tc>
        <w:tc>
          <w:tcPr>
            <w:tcW w:w="4394" w:type="dxa"/>
          </w:tcPr>
          <w:p w:rsidR="00C0100D" w:rsidRPr="00B04DC3" w:rsidRDefault="00C0100D" w:rsidP="00700CBE">
            <w:pPr>
              <w:pStyle w:val="NormalLeft"/>
              <w:spacing w:before="0"/>
              <w:rPr>
                <w:sz w:val="20"/>
              </w:rPr>
            </w:pPr>
            <w:r w:rsidRPr="00B04DC3">
              <w:rPr>
                <w:sz w:val="20"/>
              </w:rPr>
              <w:t>Ethanol</w:t>
            </w:r>
          </w:p>
        </w:tc>
      </w:tr>
      <w:tr w:rsidR="00C0100D" w:rsidRPr="00B04DC3">
        <w:tc>
          <w:tcPr>
            <w:tcW w:w="1418" w:type="dxa"/>
          </w:tcPr>
          <w:p w:rsidR="00C0100D" w:rsidRPr="00B04DC3" w:rsidRDefault="00C0100D" w:rsidP="00700CBE">
            <w:pPr>
              <w:pStyle w:val="NormalLeft"/>
              <w:spacing w:before="0"/>
              <w:rPr>
                <w:sz w:val="20"/>
              </w:rPr>
            </w:pPr>
            <w:r w:rsidRPr="00B04DC3">
              <w:rPr>
                <w:sz w:val="20"/>
              </w:rPr>
              <w:t>C</w:t>
            </w:r>
            <w:r w:rsidRPr="00B04DC3">
              <w:rPr>
                <w:sz w:val="20"/>
                <w:vertAlign w:val="subscript"/>
              </w:rPr>
              <w:t>3</w:t>
            </w:r>
            <w:r w:rsidRPr="00B04DC3">
              <w:rPr>
                <w:sz w:val="20"/>
              </w:rPr>
              <w:t>H</w:t>
            </w:r>
            <w:r w:rsidRPr="00B04DC3">
              <w:rPr>
                <w:sz w:val="20"/>
                <w:vertAlign w:val="subscript"/>
              </w:rPr>
              <w:t>8</w:t>
            </w:r>
          </w:p>
        </w:tc>
        <w:tc>
          <w:tcPr>
            <w:tcW w:w="4394" w:type="dxa"/>
          </w:tcPr>
          <w:p w:rsidR="00C0100D" w:rsidRPr="00B04DC3" w:rsidRDefault="00C0100D" w:rsidP="00700CBE">
            <w:pPr>
              <w:pStyle w:val="NormalLeft"/>
              <w:spacing w:before="0"/>
              <w:rPr>
                <w:sz w:val="20"/>
              </w:rPr>
            </w:pPr>
            <w:r w:rsidRPr="00B04DC3">
              <w:rPr>
                <w:sz w:val="20"/>
              </w:rPr>
              <w:t>Propane</w:t>
            </w:r>
          </w:p>
        </w:tc>
      </w:tr>
      <w:tr w:rsidR="00C0100D" w:rsidRPr="00B04DC3">
        <w:tc>
          <w:tcPr>
            <w:tcW w:w="1418" w:type="dxa"/>
          </w:tcPr>
          <w:p w:rsidR="00C0100D" w:rsidRPr="00B04DC3" w:rsidRDefault="00C0100D" w:rsidP="00700CBE">
            <w:pPr>
              <w:pStyle w:val="NormalLeft"/>
              <w:spacing w:before="0"/>
              <w:rPr>
                <w:sz w:val="20"/>
              </w:rPr>
            </w:pPr>
            <w:r w:rsidRPr="00B04DC3">
              <w:rPr>
                <w:sz w:val="20"/>
              </w:rPr>
              <w:t>CO</w:t>
            </w:r>
          </w:p>
        </w:tc>
        <w:tc>
          <w:tcPr>
            <w:tcW w:w="4394" w:type="dxa"/>
          </w:tcPr>
          <w:p w:rsidR="00C0100D" w:rsidRPr="00B04DC3" w:rsidRDefault="00C0100D" w:rsidP="00700CBE">
            <w:pPr>
              <w:pStyle w:val="NormalLeft"/>
              <w:spacing w:before="0"/>
              <w:rPr>
                <w:sz w:val="20"/>
              </w:rPr>
            </w:pPr>
            <w:r w:rsidRPr="00B04DC3">
              <w:rPr>
                <w:sz w:val="20"/>
              </w:rPr>
              <w:t xml:space="preserve">Carbon </w:t>
            </w:r>
            <w:r w:rsidR="00A42DF7" w:rsidRPr="00B04DC3">
              <w:rPr>
                <w:sz w:val="20"/>
              </w:rPr>
              <w:t>M</w:t>
            </w:r>
            <w:r w:rsidRPr="00B04DC3">
              <w:rPr>
                <w:sz w:val="20"/>
              </w:rPr>
              <w:t>onoxide</w:t>
            </w:r>
          </w:p>
        </w:tc>
      </w:tr>
      <w:tr w:rsidR="00C0100D" w:rsidRPr="00B04DC3">
        <w:tc>
          <w:tcPr>
            <w:tcW w:w="1418" w:type="dxa"/>
          </w:tcPr>
          <w:p w:rsidR="00C0100D" w:rsidRPr="00B04DC3" w:rsidRDefault="00C0100D" w:rsidP="00700CBE">
            <w:pPr>
              <w:pStyle w:val="NormalLeft"/>
              <w:spacing w:before="0"/>
              <w:rPr>
                <w:sz w:val="20"/>
              </w:rPr>
            </w:pPr>
            <w:r w:rsidRPr="00B04DC3">
              <w:rPr>
                <w:sz w:val="20"/>
              </w:rPr>
              <w:t>DOP</w:t>
            </w:r>
          </w:p>
        </w:tc>
        <w:tc>
          <w:tcPr>
            <w:tcW w:w="4394" w:type="dxa"/>
          </w:tcPr>
          <w:p w:rsidR="00C0100D" w:rsidRPr="00B04DC3" w:rsidRDefault="00C0100D" w:rsidP="00700CBE">
            <w:pPr>
              <w:pStyle w:val="NormalLeft"/>
              <w:spacing w:before="0"/>
              <w:rPr>
                <w:sz w:val="20"/>
              </w:rPr>
            </w:pPr>
            <w:r w:rsidRPr="00B04DC3">
              <w:rPr>
                <w:sz w:val="20"/>
              </w:rPr>
              <w:t>Di-</w:t>
            </w:r>
            <w:r w:rsidR="00A42DF7" w:rsidRPr="00B04DC3">
              <w:rPr>
                <w:sz w:val="20"/>
              </w:rPr>
              <w:t>O</w:t>
            </w:r>
            <w:r w:rsidRPr="00B04DC3">
              <w:rPr>
                <w:sz w:val="20"/>
              </w:rPr>
              <w:t>ctylphtalate</w:t>
            </w:r>
          </w:p>
        </w:tc>
      </w:tr>
      <w:tr w:rsidR="00C0100D" w:rsidRPr="00B04DC3">
        <w:tc>
          <w:tcPr>
            <w:tcW w:w="1418" w:type="dxa"/>
          </w:tcPr>
          <w:p w:rsidR="00C0100D" w:rsidRPr="00B04DC3" w:rsidRDefault="00C0100D" w:rsidP="00700CBE">
            <w:pPr>
              <w:pStyle w:val="NormalLeft"/>
              <w:spacing w:before="0"/>
              <w:rPr>
                <w:sz w:val="20"/>
              </w:rPr>
            </w:pPr>
            <w:r w:rsidRPr="00B04DC3">
              <w:rPr>
                <w:sz w:val="20"/>
              </w:rPr>
              <w:t>CO</w:t>
            </w:r>
            <w:r w:rsidRPr="00B04DC3">
              <w:rPr>
                <w:sz w:val="20"/>
                <w:vertAlign w:val="subscript"/>
              </w:rPr>
              <w:t>2</w:t>
            </w:r>
          </w:p>
        </w:tc>
        <w:tc>
          <w:tcPr>
            <w:tcW w:w="4394" w:type="dxa"/>
          </w:tcPr>
          <w:p w:rsidR="00C0100D" w:rsidRPr="00B04DC3" w:rsidRDefault="00C0100D" w:rsidP="00700CBE">
            <w:pPr>
              <w:pStyle w:val="NormalLeft"/>
              <w:spacing w:before="0"/>
              <w:rPr>
                <w:sz w:val="20"/>
              </w:rPr>
            </w:pPr>
            <w:r w:rsidRPr="00B04DC3">
              <w:rPr>
                <w:sz w:val="20"/>
              </w:rPr>
              <w:t xml:space="preserve">Carbon </w:t>
            </w:r>
            <w:r w:rsidR="00A42DF7" w:rsidRPr="00B04DC3">
              <w:rPr>
                <w:sz w:val="20"/>
              </w:rPr>
              <w:t>D</w:t>
            </w:r>
            <w:r w:rsidRPr="00B04DC3">
              <w:rPr>
                <w:sz w:val="20"/>
              </w:rPr>
              <w:t>ioxide</w:t>
            </w:r>
          </w:p>
        </w:tc>
      </w:tr>
      <w:tr w:rsidR="00C0100D" w:rsidRPr="00B04DC3">
        <w:tc>
          <w:tcPr>
            <w:tcW w:w="1418" w:type="dxa"/>
          </w:tcPr>
          <w:p w:rsidR="00C0100D" w:rsidRPr="00B04DC3" w:rsidRDefault="00C0100D" w:rsidP="00700CBE">
            <w:pPr>
              <w:pStyle w:val="NormalLeft"/>
              <w:spacing w:before="0"/>
              <w:rPr>
                <w:sz w:val="20"/>
              </w:rPr>
            </w:pPr>
            <w:r w:rsidRPr="00B04DC3">
              <w:rPr>
                <w:sz w:val="20"/>
              </w:rPr>
              <w:t>HC</w:t>
            </w:r>
          </w:p>
        </w:tc>
        <w:tc>
          <w:tcPr>
            <w:tcW w:w="4394" w:type="dxa"/>
          </w:tcPr>
          <w:p w:rsidR="00C0100D" w:rsidRPr="00B04DC3" w:rsidRDefault="00C0100D" w:rsidP="00700CBE">
            <w:pPr>
              <w:pStyle w:val="NormalLeft"/>
              <w:spacing w:before="0"/>
              <w:rPr>
                <w:sz w:val="20"/>
              </w:rPr>
            </w:pPr>
            <w:r w:rsidRPr="00B04DC3">
              <w:rPr>
                <w:sz w:val="20"/>
              </w:rPr>
              <w:t>Hydrocarbons</w:t>
            </w:r>
          </w:p>
        </w:tc>
      </w:tr>
      <w:tr w:rsidR="00C0100D" w:rsidRPr="00B04DC3">
        <w:tc>
          <w:tcPr>
            <w:tcW w:w="1418" w:type="dxa"/>
          </w:tcPr>
          <w:p w:rsidR="00C0100D" w:rsidRPr="00B04DC3" w:rsidRDefault="00C0100D" w:rsidP="00700CBE">
            <w:pPr>
              <w:pStyle w:val="NormalLeft"/>
              <w:spacing w:before="0"/>
              <w:rPr>
                <w:sz w:val="20"/>
              </w:rPr>
            </w:pPr>
            <w:r w:rsidRPr="00B04DC3">
              <w:rPr>
                <w:sz w:val="20"/>
              </w:rPr>
              <w:t>NMHC</w:t>
            </w:r>
          </w:p>
        </w:tc>
        <w:tc>
          <w:tcPr>
            <w:tcW w:w="4394" w:type="dxa"/>
          </w:tcPr>
          <w:p w:rsidR="00C0100D" w:rsidRPr="00B04DC3" w:rsidRDefault="00C0100D" w:rsidP="00700CBE">
            <w:pPr>
              <w:pStyle w:val="NormalLeft"/>
              <w:spacing w:before="0"/>
              <w:rPr>
                <w:sz w:val="20"/>
              </w:rPr>
            </w:pPr>
            <w:r w:rsidRPr="00B04DC3">
              <w:rPr>
                <w:sz w:val="20"/>
              </w:rPr>
              <w:t>Non-</w:t>
            </w:r>
            <w:r w:rsidR="00A42DF7" w:rsidRPr="00B04DC3">
              <w:rPr>
                <w:sz w:val="20"/>
              </w:rPr>
              <w:t>M</w:t>
            </w:r>
            <w:r w:rsidRPr="00B04DC3">
              <w:rPr>
                <w:sz w:val="20"/>
              </w:rPr>
              <w:t xml:space="preserve">ethane </w:t>
            </w:r>
            <w:r w:rsidR="00A42DF7" w:rsidRPr="00B04DC3">
              <w:rPr>
                <w:sz w:val="20"/>
              </w:rPr>
              <w:t>H</w:t>
            </w:r>
            <w:r w:rsidRPr="00B04DC3">
              <w:rPr>
                <w:sz w:val="20"/>
              </w:rPr>
              <w:t>ydrocarbons</w:t>
            </w:r>
          </w:p>
        </w:tc>
      </w:tr>
      <w:tr w:rsidR="00C0100D" w:rsidRPr="00B04DC3">
        <w:tc>
          <w:tcPr>
            <w:tcW w:w="1418" w:type="dxa"/>
          </w:tcPr>
          <w:p w:rsidR="00C0100D" w:rsidRPr="00B04DC3" w:rsidRDefault="00C0100D" w:rsidP="00700CBE">
            <w:pPr>
              <w:pStyle w:val="NormalLeft"/>
              <w:spacing w:before="0"/>
              <w:rPr>
                <w:sz w:val="20"/>
              </w:rPr>
            </w:pPr>
            <w:r w:rsidRPr="00B04DC3">
              <w:rPr>
                <w:sz w:val="20"/>
              </w:rPr>
              <w:t>NO</w:t>
            </w:r>
            <w:r w:rsidRPr="00B04DC3">
              <w:rPr>
                <w:sz w:val="20"/>
                <w:vertAlign w:val="subscript"/>
              </w:rPr>
              <w:t>x</w:t>
            </w:r>
          </w:p>
        </w:tc>
        <w:tc>
          <w:tcPr>
            <w:tcW w:w="4394" w:type="dxa"/>
          </w:tcPr>
          <w:p w:rsidR="00C0100D" w:rsidRPr="00B04DC3" w:rsidRDefault="00C0100D" w:rsidP="00700CBE">
            <w:pPr>
              <w:pStyle w:val="NormalLeft"/>
              <w:spacing w:before="0"/>
              <w:rPr>
                <w:sz w:val="20"/>
              </w:rPr>
            </w:pPr>
            <w:r w:rsidRPr="00B04DC3">
              <w:rPr>
                <w:sz w:val="20"/>
              </w:rPr>
              <w:t xml:space="preserve">Oxides of </w:t>
            </w:r>
            <w:r w:rsidR="00A42DF7" w:rsidRPr="00B04DC3">
              <w:rPr>
                <w:sz w:val="20"/>
              </w:rPr>
              <w:t>N</w:t>
            </w:r>
            <w:r w:rsidRPr="00B04DC3">
              <w:rPr>
                <w:sz w:val="20"/>
              </w:rPr>
              <w:t>itrogen</w:t>
            </w:r>
          </w:p>
        </w:tc>
      </w:tr>
      <w:tr w:rsidR="00C0100D" w:rsidRPr="00B04DC3">
        <w:tc>
          <w:tcPr>
            <w:tcW w:w="1418" w:type="dxa"/>
          </w:tcPr>
          <w:p w:rsidR="00C0100D" w:rsidRPr="00B04DC3" w:rsidRDefault="00C0100D" w:rsidP="00700CBE">
            <w:pPr>
              <w:pStyle w:val="NormalLeft"/>
              <w:spacing w:before="0"/>
              <w:rPr>
                <w:sz w:val="20"/>
              </w:rPr>
            </w:pPr>
            <w:r w:rsidRPr="00B04DC3">
              <w:rPr>
                <w:sz w:val="20"/>
              </w:rPr>
              <w:t>NO</w:t>
            </w:r>
          </w:p>
        </w:tc>
        <w:tc>
          <w:tcPr>
            <w:tcW w:w="4394" w:type="dxa"/>
          </w:tcPr>
          <w:p w:rsidR="00C0100D" w:rsidRPr="00B04DC3" w:rsidRDefault="00C0100D" w:rsidP="00700CBE">
            <w:pPr>
              <w:pStyle w:val="NormalLeft"/>
              <w:spacing w:before="0"/>
              <w:rPr>
                <w:sz w:val="20"/>
              </w:rPr>
            </w:pPr>
            <w:r w:rsidRPr="00B04DC3">
              <w:rPr>
                <w:sz w:val="20"/>
              </w:rPr>
              <w:t xml:space="preserve">Nitric </w:t>
            </w:r>
            <w:r w:rsidR="00A42DF7" w:rsidRPr="00B04DC3">
              <w:rPr>
                <w:sz w:val="20"/>
              </w:rPr>
              <w:t>O</w:t>
            </w:r>
            <w:r w:rsidRPr="00B04DC3">
              <w:rPr>
                <w:sz w:val="20"/>
              </w:rPr>
              <w:t>xide</w:t>
            </w:r>
          </w:p>
        </w:tc>
      </w:tr>
      <w:tr w:rsidR="00C0100D" w:rsidRPr="00B04DC3">
        <w:tc>
          <w:tcPr>
            <w:tcW w:w="1418" w:type="dxa"/>
          </w:tcPr>
          <w:p w:rsidR="00C0100D" w:rsidRPr="00B04DC3" w:rsidRDefault="00C0100D" w:rsidP="00700CBE">
            <w:pPr>
              <w:pStyle w:val="NormalLeft"/>
              <w:spacing w:before="0"/>
              <w:rPr>
                <w:sz w:val="20"/>
              </w:rPr>
            </w:pPr>
            <w:r w:rsidRPr="00B04DC3">
              <w:rPr>
                <w:sz w:val="20"/>
              </w:rPr>
              <w:t>NO</w:t>
            </w:r>
            <w:r w:rsidRPr="00B04DC3">
              <w:rPr>
                <w:sz w:val="20"/>
                <w:vertAlign w:val="subscript"/>
              </w:rPr>
              <w:t>2</w:t>
            </w:r>
          </w:p>
        </w:tc>
        <w:tc>
          <w:tcPr>
            <w:tcW w:w="4394" w:type="dxa"/>
          </w:tcPr>
          <w:p w:rsidR="00C0100D" w:rsidRPr="00B04DC3" w:rsidRDefault="00C0100D" w:rsidP="00700CBE">
            <w:pPr>
              <w:pStyle w:val="NormalLeft"/>
              <w:spacing w:before="0"/>
              <w:rPr>
                <w:sz w:val="20"/>
              </w:rPr>
            </w:pPr>
            <w:r w:rsidRPr="00B04DC3">
              <w:rPr>
                <w:sz w:val="20"/>
              </w:rPr>
              <w:t xml:space="preserve">Nitrogen </w:t>
            </w:r>
            <w:r w:rsidR="00A42DF7" w:rsidRPr="00B04DC3">
              <w:rPr>
                <w:sz w:val="20"/>
              </w:rPr>
              <w:t>D</w:t>
            </w:r>
            <w:r w:rsidRPr="00B04DC3">
              <w:rPr>
                <w:sz w:val="20"/>
              </w:rPr>
              <w:t>ioxide</w:t>
            </w:r>
          </w:p>
        </w:tc>
      </w:tr>
      <w:tr w:rsidR="00C0100D" w:rsidRPr="00B04DC3">
        <w:tc>
          <w:tcPr>
            <w:tcW w:w="1418" w:type="dxa"/>
          </w:tcPr>
          <w:p w:rsidR="00C0100D" w:rsidRPr="00B04DC3" w:rsidRDefault="00C0100D" w:rsidP="00700CBE">
            <w:pPr>
              <w:pStyle w:val="NormalLeft"/>
              <w:spacing w:before="0"/>
              <w:rPr>
                <w:sz w:val="20"/>
              </w:rPr>
            </w:pPr>
            <w:r w:rsidRPr="00B04DC3">
              <w:rPr>
                <w:sz w:val="20"/>
              </w:rPr>
              <w:t>PT</w:t>
            </w:r>
          </w:p>
        </w:tc>
        <w:tc>
          <w:tcPr>
            <w:tcW w:w="4394" w:type="dxa"/>
          </w:tcPr>
          <w:p w:rsidR="00C0100D" w:rsidRPr="00B04DC3" w:rsidRDefault="00C0100D" w:rsidP="00700CBE">
            <w:pPr>
              <w:pStyle w:val="NormalLeft"/>
              <w:spacing w:before="0"/>
              <w:rPr>
                <w:sz w:val="20"/>
              </w:rPr>
            </w:pPr>
            <w:r w:rsidRPr="00B04DC3">
              <w:rPr>
                <w:sz w:val="20"/>
              </w:rPr>
              <w:t>Particulates</w:t>
            </w:r>
          </w:p>
        </w:tc>
      </w:tr>
    </w:tbl>
    <w:p w:rsidR="000770A5" w:rsidRPr="00B04DC3" w:rsidRDefault="000770A5" w:rsidP="000770A5">
      <w:pPr>
        <w:keepNext/>
        <w:keepLines/>
        <w:tabs>
          <w:tab w:val="right" w:pos="851"/>
        </w:tabs>
        <w:spacing w:before="240" w:after="120" w:line="240" w:lineRule="exact"/>
        <w:ind w:left="2268" w:right="1134" w:hanging="1134"/>
      </w:pPr>
      <w:r w:rsidRPr="00B04DC3">
        <w:t>2.2.3.</w:t>
      </w:r>
      <w:r w:rsidRPr="00B04DC3">
        <w:tab/>
        <w:t>Abbreviations</w:t>
      </w:r>
    </w:p>
    <w:tbl>
      <w:tblPr>
        <w:tblW w:w="0" w:type="auto"/>
        <w:tblInd w:w="2268" w:type="dxa"/>
        <w:tblLayout w:type="fixed"/>
        <w:tblLook w:val="0000" w:firstRow="0" w:lastRow="0" w:firstColumn="0" w:lastColumn="0" w:noHBand="0" w:noVBand="0"/>
      </w:tblPr>
      <w:tblGrid>
        <w:gridCol w:w="1441"/>
        <w:gridCol w:w="4937"/>
      </w:tblGrid>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CFV</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Critical flow venturi</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CLD</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Chemiluminescent detector</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CNG</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Compressed Natural Gas</w:t>
            </w:r>
          </w:p>
        </w:tc>
      </w:tr>
      <w:tr w:rsidR="007908C1" w:rsidRPr="00B04DC3" w:rsidTr="000770A5">
        <w:tc>
          <w:tcPr>
            <w:tcW w:w="1441" w:type="dxa"/>
          </w:tcPr>
          <w:p w:rsidR="007908C1" w:rsidRPr="00B04DC3" w:rsidRDefault="007908C1" w:rsidP="000770A5">
            <w:pPr>
              <w:suppressAutoHyphens w:val="0"/>
              <w:spacing w:after="120" w:line="240" w:lineRule="auto"/>
              <w:rPr>
                <w:lang w:eastAsia="ko-KR"/>
              </w:rPr>
            </w:pPr>
            <w:r>
              <w:rPr>
                <w:lang w:eastAsia="ko-KR"/>
              </w:rPr>
              <w:t>EEV</w:t>
            </w:r>
          </w:p>
        </w:tc>
        <w:tc>
          <w:tcPr>
            <w:tcW w:w="4937" w:type="dxa"/>
          </w:tcPr>
          <w:p w:rsidR="007908C1" w:rsidRPr="007908C1" w:rsidRDefault="007908C1" w:rsidP="000770A5">
            <w:pPr>
              <w:suppressAutoHyphens w:val="0"/>
              <w:spacing w:after="120" w:line="240" w:lineRule="auto"/>
              <w:rPr>
                <w:lang w:eastAsia="ko-KR"/>
              </w:rPr>
            </w:pPr>
            <w:r w:rsidRPr="007908C1">
              <w:t>Enhanced Environmentally Friendly Vehicle</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ELR</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European load response test</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ESC</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European steady state cycle</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ETC</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European transient cycle</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FID</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Flame ionisation detector</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GC</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Gas chromatograph</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HCLD</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Heated chemiluminescent detector</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HFID</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Heated flame ionisation detector</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LPG</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Liquefied petroleum gas</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LNG</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Liquefied Natural Gas</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NDIR</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Non-dispersive infrared analyzer</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NG</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Natural gas</w:t>
            </w:r>
          </w:p>
        </w:tc>
      </w:tr>
      <w:tr w:rsidR="000770A5" w:rsidRPr="00B04DC3" w:rsidTr="000770A5">
        <w:tc>
          <w:tcPr>
            <w:tcW w:w="1441" w:type="dxa"/>
          </w:tcPr>
          <w:p w:rsidR="000770A5" w:rsidRPr="00B04DC3" w:rsidRDefault="000770A5" w:rsidP="000770A5">
            <w:pPr>
              <w:suppressAutoHyphens w:val="0"/>
              <w:spacing w:after="120" w:line="240" w:lineRule="auto"/>
              <w:rPr>
                <w:lang w:eastAsia="ko-KR"/>
              </w:rPr>
            </w:pPr>
            <w:r w:rsidRPr="00B04DC3">
              <w:rPr>
                <w:lang w:eastAsia="ko-KR"/>
              </w:rPr>
              <w:t>NMC</w:t>
            </w:r>
          </w:p>
        </w:tc>
        <w:tc>
          <w:tcPr>
            <w:tcW w:w="4937" w:type="dxa"/>
          </w:tcPr>
          <w:p w:rsidR="000770A5" w:rsidRPr="00B04DC3" w:rsidRDefault="000770A5" w:rsidP="000770A5">
            <w:pPr>
              <w:suppressAutoHyphens w:val="0"/>
              <w:spacing w:after="120" w:line="240" w:lineRule="auto"/>
              <w:rPr>
                <w:lang w:eastAsia="ko-KR"/>
              </w:rPr>
            </w:pPr>
            <w:r w:rsidRPr="00B04DC3">
              <w:rPr>
                <w:lang w:eastAsia="ko-KR"/>
              </w:rPr>
              <w:t>Non-methane cutter</w:t>
            </w:r>
          </w:p>
        </w:tc>
      </w:tr>
    </w:tbl>
    <w:p w:rsidR="00C0100D" w:rsidRPr="00B04DC3" w:rsidRDefault="00C0100D" w:rsidP="00864CF5">
      <w:pPr>
        <w:pStyle w:val="para"/>
        <w:spacing w:before="120"/>
        <w:rPr>
          <w:lang w:val="en-GB"/>
        </w:rPr>
      </w:pPr>
      <w:r w:rsidRPr="00B04DC3">
        <w:rPr>
          <w:lang w:val="en-GB"/>
        </w:rPr>
        <w:t>2.2.4.</w:t>
      </w:r>
      <w:r w:rsidRPr="00B04DC3">
        <w:rPr>
          <w:lang w:val="en-GB"/>
        </w:rPr>
        <w:tab/>
      </w:r>
      <w:r w:rsidR="00D748C9" w:rsidRPr="00B04DC3">
        <w:rPr>
          <w:lang w:val="en-GB"/>
        </w:rPr>
        <w:tab/>
      </w:r>
      <w:r w:rsidRPr="00B04DC3">
        <w:rPr>
          <w:lang w:val="en-GB"/>
        </w:rPr>
        <w:t>Symbols for the fuel composition</w:t>
      </w:r>
    </w:p>
    <w:tbl>
      <w:tblPr>
        <w:tblW w:w="0" w:type="auto"/>
        <w:tblInd w:w="2268" w:type="dxa"/>
        <w:tblLayout w:type="fixed"/>
        <w:tblCellMar>
          <w:left w:w="70" w:type="dxa"/>
          <w:right w:w="70" w:type="dxa"/>
        </w:tblCellMar>
        <w:tblLook w:val="0000" w:firstRow="0" w:lastRow="0" w:firstColumn="0" w:lastColumn="0" w:noHBand="0" w:noVBand="0"/>
      </w:tblPr>
      <w:tblGrid>
        <w:gridCol w:w="1346"/>
        <w:gridCol w:w="4961"/>
      </w:tblGrid>
      <w:tr w:rsidR="00C0100D" w:rsidRPr="00B04DC3">
        <w:tc>
          <w:tcPr>
            <w:tcW w:w="1346" w:type="dxa"/>
          </w:tcPr>
          <w:p w:rsidR="00C0100D" w:rsidRPr="00B04DC3" w:rsidRDefault="00C0100D" w:rsidP="00700CBE">
            <w:pPr>
              <w:suppressAutoHyphens w:val="0"/>
              <w:spacing w:after="120" w:line="240" w:lineRule="auto"/>
            </w:pPr>
            <w:r w:rsidRPr="00B04DC3">
              <w:t>w</w:t>
            </w:r>
            <w:r w:rsidRPr="00B04DC3">
              <w:rPr>
                <w:vertAlign w:val="subscript"/>
              </w:rPr>
              <w:t>ALF</w:t>
            </w:r>
          </w:p>
        </w:tc>
        <w:tc>
          <w:tcPr>
            <w:tcW w:w="4961" w:type="dxa"/>
          </w:tcPr>
          <w:p w:rsidR="00C0100D" w:rsidRPr="00B04DC3" w:rsidRDefault="00C0100D" w:rsidP="00700CBE">
            <w:pPr>
              <w:suppressAutoHyphens w:val="0"/>
              <w:spacing w:after="120" w:line="240" w:lineRule="auto"/>
            </w:pPr>
            <w:r w:rsidRPr="00B04DC3">
              <w:rPr>
                <w:caps/>
              </w:rPr>
              <w:t>h</w:t>
            </w:r>
            <w:r w:rsidRPr="00B04DC3">
              <w:t>ydrogen content of fuel, per cent mass</w:t>
            </w:r>
          </w:p>
        </w:tc>
      </w:tr>
      <w:tr w:rsidR="00C0100D" w:rsidRPr="00B04DC3">
        <w:tc>
          <w:tcPr>
            <w:tcW w:w="1346" w:type="dxa"/>
          </w:tcPr>
          <w:p w:rsidR="00C0100D" w:rsidRPr="00B04DC3" w:rsidRDefault="00C0100D" w:rsidP="00700CBE">
            <w:pPr>
              <w:suppressAutoHyphens w:val="0"/>
              <w:spacing w:after="120" w:line="240" w:lineRule="auto"/>
            </w:pPr>
            <w:r w:rsidRPr="00B04DC3">
              <w:t>w</w:t>
            </w:r>
            <w:r w:rsidRPr="00B04DC3">
              <w:rPr>
                <w:vertAlign w:val="subscript"/>
              </w:rPr>
              <w:t>BET</w:t>
            </w:r>
          </w:p>
        </w:tc>
        <w:tc>
          <w:tcPr>
            <w:tcW w:w="4961" w:type="dxa"/>
          </w:tcPr>
          <w:p w:rsidR="00C0100D" w:rsidRPr="00B04DC3" w:rsidRDefault="00C0100D" w:rsidP="00700CBE">
            <w:pPr>
              <w:suppressAutoHyphens w:val="0"/>
              <w:spacing w:after="120" w:line="240" w:lineRule="auto"/>
            </w:pPr>
            <w:r w:rsidRPr="00B04DC3">
              <w:rPr>
                <w:caps/>
              </w:rPr>
              <w:t>c</w:t>
            </w:r>
            <w:r w:rsidRPr="00B04DC3">
              <w:t>arbon content of fuel, per cent mass</w:t>
            </w:r>
          </w:p>
        </w:tc>
      </w:tr>
      <w:tr w:rsidR="00C0100D" w:rsidRPr="00B04DC3">
        <w:tc>
          <w:tcPr>
            <w:tcW w:w="1346" w:type="dxa"/>
          </w:tcPr>
          <w:p w:rsidR="00C0100D" w:rsidRPr="00B04DC3" w:rsidRDefault="00C0100D" w:rsidP="00700CBE">
            <w:pPr>
              <w:suppressAutoHyphens w:val="0"/>
              <w:spacing w:after="120" w:line="240" w:lineRule="auto"/>
            </w:pPr>
            <w:r w:rsidRPr="00B04DC3">
              <w:t>w</w:t>
            </w:r>
            <w:r w:rsidRPr="00B04DC3">
              <w:rPr>
                <w:vertAlign w:val="subscript"/>
              </w:rPr>
              <w:t>GAM</w:t>
            </w:r>
          </w:p>
        </w:tc>
        <w:tc>
          <w:tcPr>
            <w:tcW w:w="4961" w:type="dxa"/>
          </w:tcPr>
          <w:p w:rsidR="00C0100D" w:rsidRPr="00B04DC3" w:rsidRDefault="00C0100D" w:rsidP="00700CBE">
            <w:pPr>
              <w:suppressAutoHyphens w:val="0"/>
              <w:spacing w:after="120" w:line="240" w:lineRule="auto"/>
            </w:pPr>
            <w:r w:rsidRPr="00B04DC3">
              <w:rPr>
                <w:caps/>
              </w:rPr>
              <w:t>s</w:t>
            </w:r>
            <w:r w:rsidRPr="00B04DC3">
              <w:t>ulphur content of fuel, per cent mass</w:t>
            </w:r>
          </w:p>
        </w:tc>
      </w:tr>
      <w:tr w:rsidR="00C0100D" w:rsidRPr="00B04DC3">
        <w:tc>
          <w:tcPr>
            <w:tcW w:w="1346" w:type="dxa"/>
          </w:tcPr>
          <w:p w:rsidR="00C0100D" w:rsidRPr="00B04DC3" w:rsidRDefault="00C0100D" w:rsidP="00700CBE">
            <w:pPr>
              <w:suppressAutoHyphens w:val="0"/>
              <w:spacing w:after="120" w:line="240" w:lineRule="auto"/>
            </w:pPr>
            <w:r w:rsidRPr="00B04DC3">
              <w:t>w</w:t>
            </w:r>
            <w:r w:rsidRPr="00B04DC3">
              <w:rPr>
                <w:vertAlign w:val="subscript"/>
              </w:rPr>
              <w:t>DEL</w:t>
            </w:r>
          </w:p>
        </w:tc>
        <w:tc>
          <w:tcPr>
            <w:tcW w:w="4961" w:type="dxa"/>
          </w:tcPr>
          <w:p w:rsidR="00C0100D" w:rsidRPr="00B04DC3" w:rsidRDefault="00C0100D" w:rsidP="00700CBE">
            <w:pPr>
              <w:suppressAutoHyphens w:val="0"/>
              <w:spacing w:after="120" w:line="240" w:lineRule="auto"/>
            </w:pPr>
            <w:r w:rsidRPr="00B04DC3">
              <w:rPr>
                <w:caps/>
              </w:rPr>
              <w:t>n</w:t>
            </w:r>
            <w:r w:rsidRPr="00B04DC3">
              <w:t>itrogen content of fuel, per cent mass</w:t>
            </w:r>
          </w:p>
        </w:tc>
      </w:tr>
      <w:tr w:rsidR="00C0100D" w:rsidRPr="00B04DC3">
        <w:tc>
          <w:tcPr>
            <w:tcW w:w="1346" w:type="dxa"/>
          </w:tcPr>
          <w:p w:rsidR="00C0100D" w:rsidRPr="00B04DC3" w:rsidRDefault="00C0100D" w:rsidP="00700CBE">
            <w:pPr>
              <w:suppressAutoHyphens w:val="0"/>
              <w:spacing w:after="120" w:line="240" w:lineRule="auto"/>
            </w:pPr>
            <w:r w:rsidRPr="00B04DC3">
              <w:t>w</w:t>
            </w:r>
            <w:r w:rsidRPr="00B04DC3">
              <w:rPr>
                <w:vertAlign w:val="subscript"/>
              </w:rPr>
              <w:t>EPS</w:t>
            </w:r>
          </w:p>
        </w:tc>
        <w:tc>
          <w:tcPr>
            <w:tcW w:w="4961" w:type="dxa"/>
          </w:tcPr>
          <w:p w:rsidR="00C0100D" w:rsidRPr="00B04DC3" w:rsidRDefault="00C0100D" w:rsidP="00700CBE">
            <w:pPr>
              <w:suppressAutoHyphens w:val="0"/>
              <w:spacing w:after="120" w:line="240" w:lineRule="auto"/>
            </w:pPr>
            <w:r w:rsidRPr="00B04DC3">
              <w:rPr>
                <w:caps/>
              </w:rPr>
              <w:t>o</w:t>
            </w:r>
            <w:r w:rsidRPr="00B04DC3">
              <w:t>xygen content of fuel, per cent mass</w:t>
            </w:r>
          </w:p>
        </w:tc>
      </w:tr>
      <w:tr w:rsidR="00C0100D" w:rsidRPr="00B04DC3">
        <w:tc>
          <w:tcPr>
            <w:tcW w:w="1346" w:type="dxa"/>
          </w:tcPr>
          <w:p w:rsidR="00C0100D" w:rsidRPr="00B04DC3" w:rsidRDefault="00C0100D" w:rsidP="00700CBE">
            <w:pPr>
              <w:suppressAutoHyphens w:val="0"/>
              <w:spacing w:after="120" w:line="240" w:lineRule="auto"/>
            </w:pPr>
            <w:r w:rsidRPr="00B04DC3">
              <w:sym w:font="Symbol" w:char="F061"/>
            </w:r>
          </w:p>
        </w:tc>
        <w:tc>
          <w:tcPr>
            <w:tcW w:w="4961" w:type="dxa"/>
          </w:tcPr>
          <w:p w:rsidR="00C0100D" w:rsidRPr="00B04DC3" w:rsidRDefault="00C0100D" w:rsidP="00700CBE">
            <w:pPr>
              <w:suppressAutoHyphens w:val="0"/>
              <w:spacing w:after="120" w:line="240" w:lineRule="auto"/>
            </w:pPr>
            <w:r w:rsidRPr="00B04DC3">
              <w:rPr>
                <w:caps/>
              </w:rPr>
              <w:t>m</w:t>
            </w:r>
            <w:r w:rsidRPr="00B04DC3">
              <w:t>olar hydrogen ratio (H/C)</w:t>
            </w:r>
          </w:p>
        </w:tc>
      </w:tr>
      <w:tr w:rsidR="00C0100D" w:rsidRPr="00B04DC3">
        <w:tc>
          <w:tcPr>
            <w:tcW w:w="1346" w:type="dxa"/>
          </w:tcPr>
          <w:p w:rsidR="00C0100D" w:rsidRPr="00B04DC3" w:rsidRDefault="00C0100D" w:rsidP="00700CBE">
            <w:pPr>
              <w:suppressAutoHyphens w:val="0"/>
              <w:spacing w:after="120" w:line="240" w:lineRule="auto"/>
            </w:pPr>
            <w:r w:rsidRPr="00B04DC3">
              <w:sym w:font="Symbol" w:char="F062"/>
            </w:r>
          </w:p>
        </w:tc>
        <w:tc>
          <w:tcPr>
            <w:tcW w:w="4961" w:type="dxa"/>
          </w:tcPr>
          <w:p w:rsidR="00C0100D" w:rsidRPr="00B04DC3" w:rsidRDefault="00C0100D" w:rsidP="00700CBE">
            <w:pPr>
              <w:suppressAutoHyphens w:val="0"/>
              <w:spacing w:after="120" w:line="240" w:lineRule="auto"/>
            </w:pPr>
            <w:r w:rsidRPr="00B04DC3">
              <w:rPr>
                <w:caps/>
              </w:rPr>
              <w:t>m</w:t>
            </w:r>
            <w:r w:rsidRPr="00B04DC3">
              <w:t>olar carbon ratio (C/C)</w:t>
            </w:r>
          </w:p>
        </w:tc>
      </w:tr>
      <w:tr w:rsidR="00C0100D" w:rsidRPr="00B04DC3">
        <w:tc>
          <w:tcPr>
            <w:tcW w:w="1346" w:type="dxa"/>
          </w:tcPr>
          <w:p w:rsidR="00C0100D" w:rsidRPr="00B04DC3" w:rsidRDefault="00C0100D" w:rsidP="00700CBE">
            <w:pPr>
              <w:suppressAutoHyphens w:val="0"/>
              <w:spacing w:after="120" w:line="240" w:lineRule="auto"/>
            </w:pPr>
            <w:r w:rsidRPr="00B04DC3">
              <w:sym w:font="Symbol" w:char="F067"/>
            </w:r>
          </w:p>
        </w:tc>
        <w:tc>
          <w:tcPr>
            <w:tcW w:w="4961" w:type="dxa"/>
          </w:tcPr>
          <w:p w:rsidR="00C0100D" w:rsidRPr="00B04DC3" w:rsidRDefault="00C0100D" w:rsidP="00700CBE">
            <w:pPr>
              <w:suppressAutoHyphens w:val="0"/>
              <w:spacing w:after="120" w:line="240" w:lineRule="auto"/>
            </w:pPr>
            <w:r w:rsidRPr="00B04DC3">
              <w:rPr>
                <w:caps/>
              </w:rPr>
              <w:t>m</w:t>
            </w:r>
            <w:r w:rsidRPr="00B04DC3">
              <w:t>olar sulphur ratio (S/C)</w:t>
            </w:r>
          </w:p>
        </w:tc>
      </w:tr>
      <w:tr w:rsidR="00C0100D" w:rsidRPr="00B04DC3">
        <w:tc>
          <w:tcPr>
            <w:tcW w:w="1346" w:type="dxa"/>
          </w:tcPr>
          <w:p w:rsidR="00C0100D" w:rsidRPr="00B04DC3" w:rsidRDefault="00C0100D" w:rsidP="00700CBE">
            <w:pPr>
              <w:suppressAutoHyphens w:val="0"/>
              <w:spacing w:after="120" w:line="240" w:lineRule="auto"/>
            </w:pPr>
            <w:r w:rsidRPr="00B04DC3">
              <w:sym w:font="Symbol" w:char="F064"/>
            </w:r>
          </w:p>
        </w:tc>
        <w:tc>
          <w:tcPr>
            <w:tcW w:w="4961" w:type="dxa"/>
          </w:tcPr>
          <w:p w:rsidR="00C0100D" w:rsidRPr="00B04DC3" w:rsidRDefault="00C0100D" w:rsidP="00700CBE">
            <w:pPr>
              <w:suppressAutoHyphens w:val="0"/>
              <w:spacing w:after="120" w:line="240" w:lineRule="auto"/>
            </w:pPr>
            <w:r w:rsidRPr="00B04DC3">
              <w:t>molar nitrogen ratio (N/C)</w:t>
            </w:r>
          </w:p>
        </w:tc>
      </w:tr>
      <w:tr w:rsidR="00C0100D" w:rsidRPr="00B04DC3">
        <w:tc>
          <w:tcPr>
            <w:tcW w:w="1346" w:type="dxa"/>
          </w:tcPr>
          <w:p w:rsidR="00C0100D" w:rsidRPr="00B04DC3" w:rsidRDefault="00C0100D" w:rsidP="00700CBE">
            <w:pPr>
              <w:suppressAutoHyphens w:val="0"/>
              <w:spacing w:after="120" w:line="240" w:lineRule="auto"/>
            </w:pPr>
            <w:r w:rsidRPr="00B04DC3">
              <w:sym w:font="Symbol" w:char="F065"/>
            </w:r>
          </w:p>
        </w:tc>
        <w:tc>
          <w:tcPr>
            <w:tcW w:w="4961" w:type="dxa"/>
          </w:tcPr>
          <w:p w:rsidR="00C0100D" w:rsidRPr="00B04DC3" w:rsidRDefault="00C0100D" w:rsidP="00700CBE">
            <w:pPr>
              <w:suppressAutoHyphens w:val="0"/>
              <w:spacing w:after="120" w:line="240" w:lineRule="auto"/>
            </w:pPr>
            <w:r w:rsidRPr="00B04DC3">
              <w:rPr>
                <w:caps/>
              </w:rPr>
              <w:t>m</w:t>
            </w:r>
            <w:r w:rsidRPr="00B04DC3">
              <w:t>olar oxygen ratio (O/C)</w:t>
            </w:r>
          </w:p>
        </w:tc>
      </w:tr>
      <w:tr w:rsidR="00C0100D" w:rsidRPr="00B04DC3">
        <w:tc>
          <w:tcPr>
            <w:tcW w:w="6307" w:type="dxa"/>
            <w:gridSpan w:val="2"/>
          </w:tcPr>
          <w:p w:rsidR="00C0100D" w:rsidRPr="00B04DC3" w:rsidRDefault="00C0100D" w:rsidP="00700CBE">
            <w:pPr>
              <w:suppressAutoHyphens w:val="0"/>
              <w:spacing w:after="120" w:line="240" w:lineRule="auto"/>
            </w:pPr>
            <w:r w:rsidRPr="00B04DC3">
              <w:t>referring to a fuel C</w:t>
            </w:r>
            <w:r w:rsidRPr="00B04DC3">
              <w:rPr>
                <w:vertAlign w:val="subscript"/>
              </w:rPr>
              <w:sym w:font="Symbol" w:char="F062"/>
            </w:r>
            <w:r w:rsidRPr="00B04DC3">
              <w:t xml:space="preserve"> H</w:t>
            </w:r>
            <w:r w:rsidRPr="00B04DC3">
              <w:rPr>
                <w:vertAlign w:val="subscript"/>
              </w:rPr>
              <w:sym w:font="Symbol" w:char="F061"/>
            </w:r>
            <w:r w:rsidRPr="00B04DC3">
              <w:t xml:space="preserve"> O</w:t>
            </w:r>
            <w:r w:rsidRPr="00B04DC3">
              <w:rPr>
                <w:vertAlign w:val="subscript"/>
              </w:rPr>
              <w:sym w:font="Symbol" w:char="F065"/>
            </w:r>
            <w:r w:rsidRPr="00B04DC3">
              <w:t xml:space="preserve"> N</w:t>
            </w:r>
            <w:r w:rsidRPr="00B04DC3">
              <w:rPr>
                <w:vertAlign w:val="subscript"/>
              </w:rPr>
              <w:sym w:font="Symbol" w:char="F064"/>
            </w:r>
            <w:r w:rsidRPr="00B04DC3">
              <w:t xml:space="preserve"> S</w:t>
            </w:r>
            <w:r w:rsidRPr="00B04DC3">
              <w:rPr>
                <w:vertAlign w:val="subscript"/>
              </w:rPr>
              <w:sym w:font="Symbol" w:char="F067"/>
            </w:r>
          </w:p>
          <w:p w:rsidR="00C0100D" w:rsidRPr="00B04DC3" w:rsidRDefault="00C0100D" w:rsidP="00700CBE">
            <w:pPr>
              <w:pStyle w:val="Applicationdirecte"/>
              <w:spacing w:before="0"/>
              <w:jc w:val="left"/>
              <w:rPr>
                <w:sz w:val="20"/>
              </w:rPr>
            </w:pPr>
            <w:r w:rsidRPr="00B04DC3">
              <w:rPr>
                <w:sz w:val="20"/>
              </w:rPr>
              <w:sym w:font="Symbol" w:char="F062"/>
            </w:r>
            <w:r w:rsidRPr="00B04DC3">
              <w:rPr>
                <w:sz w:val="20"/>
              </w:rPr>
              <w:t xml:space="preserve"> = 1 for carbon based fuels, </w:t>
            </w:r>
            <w:r w:rsidRPr="00B04DC3">
              <w:rPr>
                <w:sz w:val="20"/>
              </w:rPr>
              <w:sym w:font="Symbol" w:char="F062"/>
            </w:r>
            <w:r w:rsidRPr="00B04DC3">
              <w:rPr>
                <w:sz w:val="20"/>
              </w:rPr>
              <w:t xml:space="preserve"> = 0 for hydrogen fuel</w:t>
            </w:r>
          </w:p>
        </w:tc>
      </w:tr>
    </w:tbl>
    <w:p w:rsidR="00C0100D" w:rsidRPr="00B04DC3" w:rsidRDefault="00C0100D" w:rsidP="00864CF5">
      <w:pPr>
        <w:pStyle w:val="para"/>
        <w:spacing w:before="120"/>
        <w:rPr>
          <w:lang w:val="en-GB"/>
        </w:rPr>
      </w:pPr>
      <w:r w:rsidRPr="00B04DC3">
        <w:rPr>
          <w:lang w:val="en-GB"/>
        </w:rPr>
        <w:t>2.2.5.</w:t>
      </w:r>
      <w:r w:rsidRPr="00B04DC3">
        <w:rPr>
          <w:lang w:val="en-GB"/>
        </w:rPr>
        <w:tab/>
        <w:t>Standards referenced by this Regulation</w:t>
      </w:r>
    </w:p>
    <w:tbl>
      <w:tblPr>
        <w:tblW w:w="6400" w:type="dxa"/>
        <w:tblInd w:w="2308" w:type="dxa"/>
        <w:tblLayout w:type="fixed"/>
        <w:tblLook w:val="01E0" w:firstRow="1" w:lastRow="1" w:firstColumn="1" w:lastColumn="1" w:noHBand="0" w:noVBand="0"/>
      </w:tblPr>
      <w:tblGrid>
        <w:gridCol w:w="1400"/>
        <w:gridCol w:w="5000"/>
      </w:tblGrid>
      <w:tr w:rsidR="00C0100D" w:rsidRPr="00B04DC3">
        <w:tc>
          <w:tcPr>
            <w:tcW w:w="1400" w:type="dxa"/>
          </w:tcPr>
          <w:p w:rsidR="00C0100D" w:rsidRPr="00B04DC3" w:rsidRDefault="00C0100D" w:rsidP="00BC4B9C">
            <w:pPr>
              <w:ind w:left="-40"/>
            </w:pPr>
            <w:r w:rsidRPr="00B04DC3">
              <w:t>ISO 15031-1</w:t>
            </w:r>
          </w:p>
        </w:tc>
        <w:tc>
          <w:tcPr>
            <w:tcW w:w="5000" w:type="dxa"/>
          </w:tcPr>
          <w:p w:rsidR="00C0100D" w:rsidRPr="00B04DC3" w:rsidRDefault="00C0100D" w:rsidP="00C0100D">
            <w:r w:rsidRPr="00B04DC3">
              <w:t>ISO 15031-1: 2001 Road vehicles - Communication between vehicle and external equipment for emissions related diagnostics - Part 1: General information.</w:t>
            </w:r>
          </w:p>
        </w:tc>
      </w:tr>
      <w:tr w:rsidR="004325C1" w:rsidRPr="00B04DC3">
        <w:tc>
          <w:tcPr>
            <w:tcW w:w="1400" w:type="dxa"/>
          </w:tcPr>
          <w:p w:rsidR="004325C1" w:rsidRPr="00B04DC3" w:rsidRDefault="004325C1" w:rsidP="00BC4B9C">
            <w:pPr>
              <w:ind w:left="-40"/>
            </w:pPr>
          </w:p>
        </w:tc>
        <w:tc>
          <w:tcPr>
            <w:tcW w:w="5000" w:type="dxa"/>
          </w:tcPr>
          <w:p w:rsidR="004325C1" w:rsidRPr="00B04DC3" w:rsidRDefault="004325C1" w:rsidP="00C0100D"/>
        </w:tc>
      </w:tr>
      <w:tr w:rsidR="00C0100D" w:rsidRPr="00B04DC3">
        <w:tc>
          <w:tcPr>
            <w:tcW w:w="1400" w:type="dxa"/>
          </w:tcPr>
          <w:p w:rsidR="00C0100D" w:rsidRPr="00B04DC3" w:rsidRDefault="00C0100D" w:rsidP="00BC4B9C">
            <w:pPr>
              <w:ind w:left="-40"/>
            </w:pPr>
            <w:r w:rsidRPr="00B04DC3">
              <w:t>ISO 15031-2</w:t>
            </w:r>
          </w:p>
        </w:tc>
        <w:tc>
          <w:tcPr>
            <w:tcW w:w="5000" w:type="dxa"/>
          </w:tcPr>
          <w:p w:rsidR="00C0100D" w:rsidRPr="00B04DC3" w:rsidRDefault="00C0100D" w:rsidP="00C0100D">
            <w:r w:rsidRPr="00B04DC3">
              <w:t>ISO/PRF TR 15031-2: 2004 Road vehicles - Communication between vehicle and external equipment for emissions related diagnostics - Part 2: Terms, definitions, abbreviations and acronyms.</w:t>
            </w:r>
          </w:p>
        </w:tc>
      </w:tr>
      <w:tr w:rsidR="004325C1" w:rsidRPr="00B04DC3">
        <w:tc>
          <w:tcPr>
            <w:tcW w:w="1400" w:type="dxa"/>
          </w:tcPr>
          <w:p w:rsidR="004325C1" w:rsidRPr="00B04DC3" w:rsidRDefault="004325C1" w:rsidP="00BC4B9C">
            <w:pPr>
              <w:ind w:left="-40"/>
            </w:pPr>
          </w:p>
        </w:tc>
        <w:tc>
          <w:tcPr>
            <w:tcW w:w="5000" w:type="dxa"/>
          </w:tcPr>
          <w:p w:rsidR="004325C1" w:rsidRPr="00B04DC3" w:rsidRDefault="004325C1" w:rsidP="00C0100D"/>
        </w:tc>
      </w:tr>
      <w:tr w:rsidR="00C0100D" w:rsidRPr="00B04DC3">
        <w:tc>
          <w:tcPr>
            <w:tcW w:w="1400" w:type="dxa"/>
          </w:tcPr>
          <w:p w:rsidR="00C0100D" w:rsidRPr="00B04DC3" w:rsidRDefault="00C0100D" w:rsidP="00BC4B9C">
            <w:pPr>
              <w:keepNext/>
              <w:keepLines/>
              <w:ind w:left="-40"/>
            </w:pPr>
            <w:r w:rsidRPr="00B04DC3">
              <w:t>ISO 15031-3</w:t>
            </w:r>
          </w:p>
        </w:tc>
        <w:tc>
          <w:tcPr>
            <w:tcW w:w="5000" w:type="dxa"/>
          </w:tcPr>
          <w:p w:rsidR="00C0100D" w:rsidRPr="00B04DC3" w:rsidRDefault="00C0100D" w:rsidP="004325C1">
            <w:r w:rsidRPr="00B04DC3">
              <w:t>ISO 15031-3: 2004 Road vehicles - Communication between vehicle and external equipment for emissions related diagnostics - Part 3: Diagnostic connector and related electrical circuits, specification and use.</w:t>
            </w:r>
          </w:p>
        </w:tc>
      </w:tr>
      <w:tr w:rsidR="004325C1" w:rsidRPr="00B04DC3">
        <w:tc>
          <w:tcPr>
            <w:tcW w:w="1400" w:type="dxa"/>
          </w:tcPr>
          <w:p w:rsidR="004325C1" w:rsidRPr="00B04DC3" w:rsidRDefault="004325C1" w:rsidP="00BC4B9C">
            <w:pPr>
              <w:keepNext/>
              <w:keepLines/>
              <w:ind w:left="-40"/>
            </w:pPr>
          </w:p>
        </w:tc>
        <w:tc>
          <w:tcPr>
            <w:tcW w:w="5000" w:type="dxa"/>
          </w:tcPr>
          <w:p w:rsidR="004325C1" w:rsidRPr="00B04DC3" w:rsidRDefault="004325C1" w:rsidP="004325C1"/>
        </w:tc>
      </w:tr>
      <w:tr w:rsidR="00C0100D" w:rsidRPr="00B04DC3">
        <w:tc>
          <w:tcPr>
            <w:tcW w:w="1400" w:type="dxa"/>
          </w:tcPr>
          <w:p w:rsidR="00C0100D" w:rsidRPr="00B04DC3" w:rsidRDefault="00C0100D" w:rsidP="00BC4B9C">
            <w:pPr>
              <w:ind w:left="-40"/>
            </w:pPr>
            <w:r w:rsidRPr="00B04DC3">
              <w:t>SAE J1939-13</w:t>
            </w:r>
          </w:p>
        </w:tc>
        <w:tc>
          <w:tcPr>
            <w:tcW w:w="5000" w:type="dxa"/>
          </w:tcPr>
          <w:p w:rsidR="00C0100D" w:rsidRPr="00B04DC3" w:rsidRDefault="00C0100D" w:rsidP="00C0100D">
            <w:r w:rsidRPr="00B04DC3">
              <w:t>SAE J1939-13: Off-Board Diagnostic Connector.</w:t>
            </w:r>
          </w:p>
        </w:tc>
      </w:tr>
      <w:tr w:rsidR="004325C1" w:rsidRPr="00B04DC3">
        <w:tc>
          <w:tcPr>
            <w:tcW w:w="1400" w:type="dxa"/>
          </w:tcPr>
          <w:p w:rsidR="004325C1" w:rsidRPr="00B04DC3" w:rsidRDefault="004325C1" w:rsidP="00BC4B9C">
            <w:pPr>
              <w:ind w:left="-40"/>
            </w:pPr>
          </w:p>
        </w:tc>
        <w:tc>
          <w:tcPr>
            <w:tcW w:w="5000" w:type="dxa"/>
          </w:tcPr>
          <w:p w:rsidR="004325C1" w:rsidRPr="00B04DC3" w:rsidRDefault="004325C1" w:rsidP="00C0100D"/>
        </w:tc>
      </w:tr>
      <w:tr w:rsidR="00C0100D" w:rsidRPr="00B04DC3">
        <w:tc>
          <w:tcPr>
            <w:tcW w:w="1400" w:type="dxa"/>
          </w:tcPr>
          <w:p w:rsidR="00C0100D" w:rsidRPr="00B04DC3" w:rsidRDefault="00C0100D" w:rsidP="00BC4B9C">
            <w:pPr>
              <w:keepNext/>
              <w:keepLines/>
              <w:ind w:left="-40"/>
            </w:pPr>
            <w:r w:rsidRPr="00B04DC3">
              <w:t>ISO 15031-4</w:t>
            </w:r>
          </w:p>
        </w:tc>
        <w:tc>
          <w:tcPr>
            <w:tcW w:w="5000" w:type="dxa"/>
          </w:tcPr>
          <w:p w:rsidR="00C0100D" w:rsidRPr="00B04DC3" w:rsidRDefault="00C0100D" w:rsidP="004325C1">
            <w:r w:rsidRPr="00B04DC3">
              <w:t>ISO DIS 15031-4.3: 2004 Road vehicles - Communication between vehicle and external equipment for emissions related diagnostics - Part 4: External test equipment.</w:t>
            </w:r>
          </w:p>
        </w:tc>
      </w:tr>
      <w:tr w:rsidR="004325C1" w:rsidRPr="00B04DC3">
        <w:tc>
          <w:tcPr>
            <w:tcW w:w="1400" w:type="dxa"/>
          </w:tcPr>
          <w:p w:rsidR="004325C1" w:rsidRPr="00B04DC3" w:rsidRDefault="004325C1" w:rsidP="00BC4B9C">
            <w:pPr>
              <w:keepNext/>
              <w:keepLines/>
              <w:ind w:left="-40"/>
            </w:pPr>
          </w:p>
        </w:tc>
        <w:tc>
          <w:tcPr>
            <w:tcW w:w="5000" w:type="dxa"/>
          </w:tcPr>
          <w:p w:rsidR="004325C1" w:rsidRPr="00B04DC3" w:rsidRDefault="004325C1" w:rsidP="004325C1"/>
        </w:tc>
      </w:tr>
      <w:tr w:rsidR="00C0100D" w:rsidRPr="00B04DC3">
        <w:tc>
          <w:tcPr>
            <w:tcW w:w="1400" w:type="dxa"/>
          </w:tcPr>
          <w:p w:rsidR="00C0100D" w:rsidRPr="00B04DC3" w:rsidRDefault="00C0100D" w:rsidP="00BC4B9C">
            <w:pPr>
              <w:ind w:left="-40"/>
            </w:pPr>
            <w:r w:rsidRPr="00B04DC3">
              <w:t>SAE J1939-73</w:t>
            </w:r>
          </w:p>
        </w:tc>
        <w:tc>
          <w:tcPr>
            <w:tcW w:w="5000" w:type="dxa"/>
          </w:tcPr>
          <w:p w:rsidR="00C0100D" w:rsidRPr="00B04DC3" w:rsidRDefault="00C0100D" w:rsidP="00C0100D">
            <w:r w:rsidRPr="00B04DC3">
              <w:t>SAE J1939-73: Application Layer – Diagnostics.</w:t>
            </w:r>
          </w:p>
        </w:tc>
      </w:tr>
      <w:tr w:rsidR="00700CBE" w:rsidRPr="00B04DC3">
        <w:tc>
          <w:tcPr>
            <w:tcW w:w="1400" w:type="dxa"/>
          </w:tcPr>
          <w:p w:rsidR="00700CBE" w:rsidRPr="00B04DC3" w:rsidRDefault="00700CBE" w:rsidP="00BC4B9C">
            <w:pPr>
              <w:ind w:left="-40"/>
            </w:pPr>
          </w:p>
        </w:tc>
        <w:tc>
          <w:tcPr>
            <w:tcW w:w="5000" w:type="dxa"/>
          </w:tcPr>
          <w:p w:rsidR="00700CBE" w:rsidRPr="00B04DC3" w:rsidRDefault="00700CBE" w:rsidP="00C0100D"/>
        </w:tc>
      </w:tr>
      <w:tr w:rsidR="00C0100D" w:rsidRPr="00B04DC3">
        <w:tc>
          <w:tcPr>
            <w:tcW w:w="1400" w:type="dxa"/>
          </w:tcPr>
          <w:p w:rsidR="00C0100D" w:rsidRPr="00B04DC3" w:rsidRDefault="00C0100D" w:rsidP="00BC4B9C">
            <w:pPr>
              <w:keepNext/>
              <w:keepLines/>
              <w:ind w:left="-40"/>
            </w:pPr>
            <w:r w:rsidRPr="00B04DC3">
              <w:t>ISO 15031-5</w:t>
            </w:r>
          </w:p>
        </w:tc>
        <w:tc>
          <w:tcPr>
            <w:tcW w:w="5000" w:type="dxa"/>
          </w:tcPr>
          <w:p w:rsidR="00C0100D" w:rsidRPr="00B04DC3" w:rsidRDefault="00C0100D" w:rsidP="00C0100D">
            <w:pPr>
              <w:keepNext/>
              <w:keepLines/>
            </w:pPr>
            <w:r w:rsidRPr="00B04DC3">
              <w:t>ISO DIS 15031-5.4: 2004 Road vehicles - Communication between vehicle and external equipment for emissions related diagnostics - Part 5: Emissions-related diagnostic services.</w:t>
            </w:r>
          </w:p>
        </w:tc>
      </w:tr>
      <w:tr w:rsidR="004325C1" w:rsidRPr="00B04DC3">
        <w:tc>
          <w:tcPr>
            <w:tcW w:w="1400" w:type="dxa"/>
          </w:tcPr>
          <w:p w:rsidR="004325C1" w:rsidRPr="00B04DC3" w:rsidRDefault="004325C1" w:rsidP="00BC4B9C">
            <w:pPr>
              <w:keepNext/>
              <w:keepLines/>
              <w:ind w:left="-40"/>
            </w:pPr>
          </w:p>
        </w:tc>
        <w:tc>
          <w:tcPr>
            <w:tcW w:w="5000" w:type="dxa"/>
          </w:tcPr>
          <w:p w:rsidR="004325C1" w:rsidRPr="00B04DC3" w:rsidRDefault="004325C1" w:rsidP="00C0100D">
            <w:pPr>
              <w:keepNext/>
              <w:keepLines/>
            </w:pPr>
          </w:p>
        </w:tc>
      </w:tr>
      <w:tr w:rsidR="00C0100D" w:rsidRPr="00B04DC3">
        <w:tc>
          <w:tcPr>
            <w:tcW w:w="1400" w:type="dxa"/>
          </w:tcPr>
          <w:p w:rsidR="00C0100D" w:rsidRPr="00B04DC3" w:rsidRDefault="00C0100D" w:rsidP="00BC4B9C">
            <w:pPr>
              <w:ind w:left="-40"/>
            </w:pPr>
            <w:r w:rsidRPr="00B04DC3">
              <w:t>ISO 15031-6</w:t>
            </w:r>
          </w:p>
        </w:tc>
        <w:tc>
          <w:tcPr>
            <w:tcW w:w="5000" w:type="dxa"/>
          </w:tcPr>
          <w:p w:rsidR="00C0100D" w:rsidRPr="00B04DC3" w:rsidRDefault="00C0100D" w:rsidP="00C0100D">
            <w:pPr>
              <w:rPr>
                <w:spacing w:val="-2"/>
              </w:rPr>
            </w:pPr>
            <w:r w:rsidRPr="00B04DC3">
              <w:rPr>
                <w:spacing w:val="-2"/>
              </w:rPr>
              <w:t>ISO DIS 15031-6.4: 2004 Road vehicles - Communication between vehicle and external equipment for emissions related diagnostics - Part 6: Diagnostic trouble code definitions.</w:t>
            </w:r>
          </w:p>
        </w:tc>
      </w:tr>
      <w:tr w:rsidR="004325C1" w:rsidRPr="00B04DC3">
        <w:tc>
          <w:tcPr>
            <w:tcW w:w="1400" w:type="dxa"/>
          </w:tcPr>
          <w:p w:rsidR="004325C1" w:rsidRPr="00B04DC3" w:rsidRDefault="004325C1" w:rsidP="00BC4B9C">
            <w:pPr>
              <w:ind w:left="-40"/>
            </w:pPr>
          </w:p>
        </w:tc>
        <w:tc>
          <w:tcPr>
            <w:tcW w:w="5000" w:type="dxa"/>
          </w:tcPr>
          <w:p w:rsidR="004325C1" w:rsidRPr="00B04DC3" w:rsidRDefault="004325C1" w:rsidP="00C0100D"/>
        </w:tc>
      </w:tr>
      <w:tr w:rsidR="00C0100D" w:rsidRPr="00B04DC3">
        <w:tc>
          <w:tcPr>
            <w:tcW w:w="1400" w:type="dxa"/>
          </w:tcPr>
          <w:p w:rsidR="00C0100D" w:rsidRPr="00B04DC3" w:rsidRDefault="00C0100D" w:rsidP="00BC4B9C">
            <w:pPr>
              <w:ind w:left="-40"/>
            </w:pPr>
            <w:r w:rsidRPr="00B04DC3">
              <w:t>SAE J2012</w:t>
            </w:r>
          </w:p>
        </w:tc>
        <w:tc>
          <w:tcPr>
            <w:tcW w:w="5000" w:type="dxa"/>
          </w:tcPr>
          <w:p w:rsidR="00C0100D" w:rsidRPr="00B04DC3" w:rsidRDefault="00C0100D" w:rsidP="00C0100D">
            <w:r w:rsidRPr="00B04DC3">
              <w:t>SAE J2012: Diagnostic Trouble Code Definitions Equivalent to ISO/DIS 15031-6, April 30, 2002.</w:t>
            </w:r>
          </w:p>
        </w:tc>
      </w:tr>
      <w:tr w:rsidR="004325C1" w:rsidRPr="00B04DC3">
        <w:tc>
          <w:tcPr>
            <w:tcW w:w="1400" w:type="dxa"/>
          </w:tcPr>
          <w:p w:rsidR="004325C1" w:rsidRPr="00B04DC3" w:rsidRDefault="004325C1" w:rsidP="00BC4B9C">
            <w:pPr>
              <w:ind w:left="-40"/>
            </w:pPr>
          </w:p>
        </w:tc>
        <w:tc>
          <w:tcPr>
            <w:tcW w:w="5000" w:type="dxa"/>
          </w:tcPr>
          <w:p w:rsidR="004325C1" w:rsidRPr="00B04DC3" w:rsidRDefault="004325C1" w:rsidP="00C0100D"/>
        </w:tc>
      </w:tr>
      <w:tr w:rsidR="00C0100D" w:rsidRPr="00B04DC3">
        <w:tc>
          <w:tcPr>
            <w:tcW w:w="1400" w:type="dxa"/>
          </w:tcPr>
          <w:p w:rsidR="00C0100D" w:rsidRPr="00B04DC3" w:rsidRDefault="00C0100D" w:rsidP="00BC4B9C">
            <w:pPr>
              <w:ind w:left="-40"/>
            </w:pPr>
            <w:r w:rsidRPr="00B04DC3">
              <w:t>ISO 15031-7</w:t>
            </w:r>
          </w:p>
        </w:tc>
        <w:tc>
          <w:tcPr>
            <w:tcW w:w="5000" w:type="dxa"/>
          </w:tcPr>
          <w:p w:rsidR="00C0100D" w:rsidRPr="00B04DC3" w:rsidRDefault="00C0100D" w:rsidP="00C0100D">
            <w:r w:rsidRPr="00B04DC3">
              <w:t>ISO 15031-7: 2001 Road vehicles - Communication between vehicle and external equipment for emissions related diagnostics - Part 7: Data link security.</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SAE J2186</w:t>
            </w:r>
          </w:p>
        </w:tc>
        <w:tc>
          <w:tcPr>
            <w:tcW w:w="5000" w:type="dxa"/>
          </w:tcPr>
          <w:p w:rsidR="00C0100D" w:rsidRPr="00B04DC3" w:rsidRDefault="00C0100D" w:rsidP="00C0100D">
            <w:r w:rsidRPr="00B04DC3">
              <w:t>SAE J2186: E/E Data Link Security, dated October 1996.</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ISO 15765-4</w:t>
            </w:r>
          </w:p>
        </w:tc>
        <w:tc>
          <w:tcPr>
            <w:tcW w:w="5000" w:type="dxa"/>
          </w:tcPr>
          <w:p w:rsidR="00C0100D" w:rsidRPr="00B04DC3" w:rsidRDefault="00C0100D" w:rsidP="00C0100D">
            <w:r w:rsidRPr="00B04DC3">
              <w:t>ISO 15765-4: 2001 Road vehicles - Diagnostics on Controller Area Network (CAN) - Part 4: Requirements for emissions-related systems.</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SAE J1939</w:t>
            </w:r>
          </w:p>
        </w:tc>
        <w:tc>
          <w:tcPr>
            <w:tcW w:w="5000" w:type="dxa"/>
          </w:tcPr>
          <w:p w:rsidR="00C0100D" w:rsidRPr="00B04DC3" w:rsidRDefault="00C0100D" w:rsidP="00C0100D">
            <w:r w:rsidRPr="00B04DC3">
              <w:t>SAE J1939: Recommended Practice for a Serial Control and Communications Vehicle Network.</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ISO 16185</w:t>
            </w:r>
          </w:p>
        </w:tc>
        <w:tc>
          <w:tcPr>
            <w:tcW w:w="5000" w:type="dxa"/>
          </w:tcPr>
          <w:p w:rsidR="00C0100D" w:rsidRPr="00B04DC3" w:rsidRDefault="00C0100D" w:rsidP="00C0100D">
            <w:r w:rsidRPr="00B04DC3">
              <w:t xml:space="preserve">ISO 16185: 2000 Road vehicles – engine family for homologation. </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ISO 2575</w:t>
            </w:r>
          </w:p>
        </w:tc>
        <w:tc>
          <w:tcPr>
            <w:tcW w:w="5000" w:type="dxa"/>
          </w:tcPr>
          <w:p w:rsidR="00C0100D" w:rsidRPr="00B04DC3" w:rsidRDefault="00C0100D" w:rsidP="00C0100D">
            <w:r w:rsidRPr="00B04DC3">
              <w:t>ISO 2575: 2000 Road vehicles – Symbols for controls, indicators and tell-tales.</w:t>
            </w:r>
          </w:p>
        </w:tc>
      </w:tr>
      <w:tr w:rsidR="00530445" w:rsidRPr="00B04DC3">
        <w:tc>
          <w:tcPr>
            <w:tcW w:w="1400" w:type="dxa"/>
          </w:tcPr>
          <w:p w:rsidR="00530445" w:rsidRPr="00B04DC3" w:rsidRDefault="00530445" w:rsidP="00BC4B9C">
            <w:pPr>
              <w:ind w:left="-40"/>
            </w:pPr>
          </w:p>
        </w:tc>
        <w:tc>
          <w:tcPr>
            <w:tcW w:w="5000" w:type="dxa"/>
          </w:tcPr>
          <w:p w:rsidR="00530445" w:rsidRPr="00B04DC3" w:rsidRDefault="00530445" w:rsidP="00C0100D"/>
        </w:tc>
      </w:tr>
      <w:tr w:rsidR="00C0100D" w:rsidRPr="00B04DC3">
        <w:tc>
          <w:tcPr>
            <w:tcW w:w="1400" w:type="dxa"/>
          </w:tcPr>
          <w:p w:rsidR="00C0100D" w:rsidRPr="00B04DC3" w:rsidRDefault="00C0100D" w:rsidP="00BC4B9C">
            <w:pPr>
              <w:ind w:left="-40"/>
            </w:pPr>
            <w:r w:rsidRPr="00B04DC3">
              <w:t>ISO 16183</w:t>
            </w:r>
          </w:p>
        </w:tc>
        <w:tc>
          <w:tcPr>
            <w:tcW w:w="5000" w:type="dxa"/>
          </w:tcPr>
          <w:p w:rsidR="00C0100D" w:rsidRPr="00B04DC3" w:rsidRDefault="00C0100D" w:rsidP="00C0100D">
            <w:r w:rsidRPr="00B04DC3">
              <w:t xml:space="preserve">ISO 16183: 2002 </w:t>
            </w:r>
            <w:r w:rsidRPr="00B04DC3">
              <w:rPr>
                <w:rStyle w:val="technicalcommitteestandardslist-content"/>
              </w:rPr>
              <w:t>Heavy duty engines - Measurement of gaseous emissions from raw exhaust gas and of particulate emissions using partial flow dilution systems under transient test conditions.</w:t>
            </w:r>
          </w:p>
        </w:tc>
      </w:tr>
    </w:tbl>
    <w:p w:rsidR="00C0100D" w:rsidRPr="00B04DC3" w:rsidRDefault="00530445" w:rsidP="005E222C">
      <w:pPr>
        <w:pStyle w:val="HChG"/>
      </w:pPr>
      <w:r w:rsidRPr="00B04DC3">
        <w:tab/>
      </w:r>
      <w:r w:rsidRPr="00B04DC3">
        <w:tab/>
      </w:r>
      <w:bookmarkStart w:id="17" w:name="_Toc423599446"/>
      <w:bookmarkStart w:id="18" w:name="_Toc423610854"/>
      <w:r w:rsidR="00C0100D" w:rsidRPr="00B04DC3">
        <w:t>3.</w:t>
      </w:r>
      <w:r w:rsidR="00C0100D" w:rsidRPr="00B04DC3">
        <w:tab/>
      </w:r>
      <w:r w:rsidRPr="00B04DC3">
        <w:tab/>
        <w:t>Application for approval</w:t>
      </w:r>
      <w:bookmarkEnd w:id="17"/>
      <w:bookmarkEnd w:id="18"/>
    </w:p>
    <w:p w:rsidR="00C0100D" w:rsidRPr="00B04DC3" w:rsidRDefault="00C0100D" w:rsidP="00A210A2">
      <w:pPr>
        <w:pStyle w:val="para"/>
        <w:rPr>
          <w:lang w:val="en-GB"/>
        </w:rPr>
      </w:pPr>
      <w:r w:rsidRPr="00B04DC3">
        <w:rPr>
          <w:lang w:val="en-GB"/>
        </w:rPr>
        <w:t>3.1.</w:t>
      </w:r>
      <w:r w:rsidRPr="00B04DC3">
        <w:rPr>
          <w:lang w:val="en-GB"/>
        </w:rPr>
        <w:tab/>
        <w:t>Application for approval for a type of engine or engine family as a separate technical unit</w:t>
      </w:r>
    </w:p>
    <w:p w:rsidR="00C0100D" w:rsidRPr="00B04DC3" w:rsidRDefault="00C0100D" w:rsidP="00A353CD">
      <w:pPr>
        <w:pStyle w:val="para"/>
        <w:rPr>
          <w:lang w:val="en-GB"/>
        </w:rPr>
      </w:pPr>
      <w:r w:rsidRPr="00B04DC3">
        <w:rPr>
          <w:lang w:val="en-GB"/>
        </w:rPr>
        <w:t>3.1.1.</w:t>
      </w:r>
      <w:r w:rsidRPr="00B04DC3">
        <w:rPr>
          <w:lang w:val="en-GB"/>
        </w:rPr>
        <w:tab/>
        <w:t>The application for approval of an engine type or engine family with regard to the requirements listed in table B, paragraph 1.1.</w:t>
      </w:r>
      <w:r w:rsidRPr="00B04DC3">
        <w:rPr>
          <w:b/>
          <w:lang w:val="en-GB"/>
        </w:rPr>
        <w:t xml:space="preserve"> </w:t>
      </w:r>
      <w:r w:rsidRPr="00B04DC3">
        <w:rPr>
          <w:lang w:val="en-GB"/>
        </w:rPr>
        <w:t>shall be submitted by the engine manufacturer or by a duly accredited representative.</w:t>
      </w:r>
    </w:p>
    <w:p w:rsidR="00C0100D" w:rsidRPr="00B04DC3" w:rsidRDefault="00C0100D" w:rsidP="00A353CD">
      <w:pPr>
        <w:pStyle w:val="para"/>
        <w:rPr>
          <w:lang w:val="en-GB"/>
        </w:rPr>
      </w:pPr>
      <w:r w:rsidRPr="00B04DC3">
        <w:rPr>
          <w:lang w:val="en-GB"/>
        </w:rPr>
        <w:tab/>
        <w:t>Should the application concern an engine equipped with an OBD system, the requirements of paragraph 3.4. shall be fulfilled.</w:t>
      </w:r>
    </w:p>
    <w:p w:rsidR="00C0100D" w:rsidRPr="00B04DC3" w:rsidRDefault="00C0100D" w:rsidP="00A353CD">
      <w:pPr>
        <w:pStyle w:val="para"/>
        <w:rPr>
          <w:lang w:val="en-GB"/>
        </w:rPr>
      </w:pPr>
      <w:r w:rsidRPr="00B04DC3">
        <w:rPr>
          <w:lang w:val="en-GB"/>
        </w:rPr>
        <w:t>3.1.2.</w:t>
      </w:r>
      <w:r w:rsidRPr="00B04DC3">
        <w:rPr>
          <w:lang w:val="en-GB"/>
        </w:rPr>
        <w:tab/>
        <w:t>It shall be accompanied by the undermentioned documents in triplicate and the following particulars:</w:t>
      </w:r>
    </w:p>
    <w:p w:rsidR="00C0100D" w:rsidRPr="00B04DC3" w:rsidRDefault="00C0100D" w:rsidP="00A353CD">
      <w:pPr>
        <w:pStyle w:val="para"/>
        <w:rPr>
          <w:lang w:val="en-GB"/>
        </w:rPr>
      </w:pPr>
      <w:r w:rsidRPr="00B04DC3">
        <w:rPr>
          <w:lang w:val="en-GB"/>
        </w:rPr>
        <w:t>3.1.2.1.</w:t>
      </w:r>
      <w:r w:rsidRPr="00B04DC3">
        <w:rPr>
          <w:lang w:val="en-GB"/>
        </w:rPr>
        <w:tab/>
        <w:t>A description of the engine type or engine family, if applicable, comprising the particulars referred to in Annex 1 to this Regulation.</w:t>
      </w:r>
    </w:p>
    <w:p w:rsidR="00C0100D" w:rsidRPr="00B04DC3" w:rsidRDefault="00C0100D" w:rsidP="00A353CD">
      <w:pPr>
        <w:pStyle w:val="para"/>
        <w:rPr>
          <w:lang w:val="en-GB"/>
        </w:rPr>
      </w:pPr>
      <w:r w:rsidRPr="00B04DC3">
        <w:rPr>
          <w:lang w:val="en-GB"/>
        </w:rPr>
        <w:t>3.1.3.</w:t>
      </w:r>
      <w:r w:rsidRPr="00B04DC3">
        <w:rPr>
          <w:lang w:val="en-GB"/>
        </w:rPr>
        <w:tab/>
        <w:t>An engine conforming to the "engine type" or "parent engine" characteristics described in Annex 1 shall be submitted to the Technical Service responsible for conducting the approval tests defined in paragraph 5.</w:t>
      </w:r>
    </w:p>
    <w:p w:rsidR="00C0100D" w:rsidRPr="00B04DC3" w:rsidRDefault="00C0100D" w:rsidP="00A210A2">
      <w:pPr>
        <w:pStyle w:val="para"/>
        <w:rPr>
          <w:lang w:val="en-GB"/>
        </w:rPr>
      </w:pPr>
      <w:r w:rsidRPr="00B04DC3">
        <w:rPr>
          <w:lang w:val="en-GB"/>
        </w:rPr>
        <w:t>3.2.</w:t>
      </w:r>
      <w:r w:rsidRPr="00B04DC3">
        <w:rPr>
          <w:lang w:val="en-GB"/>
        </w:rPr>
        <w:tab/>
        <w:t>Application for approval for a vehicle type in respect of its engine</w:t>
      </w:r>
    </w:p>
    <w:p w:rsidR="00C0100D" w:rsidRPr="00B04DC3" w:rsidRDefault="00C0100D" w:rsidP="00A353CD">
      <w:pPr>
        <w:pStyle w:val="para"/>
        <w:rPr>
          <w:lang w:val="en-GB"/>
        </w:rPr>
      </w:pPr>
      <w:r w:rsidRPr="00B04DC3">
        <w:rPr>
          <w:lang w:val="en-GB"/>
        </w:rPr>
        <w:t>3.2.1.</w:t>
      </w:r>
      <w:r w:rsidRPr="00B04DC3">
        <w:rPr>
          <w:lang w:val="en-GB"/>
        </w:rPr>
        <w:tab/>
      </w:r>
      <w:r w:rsidRPr="00B04DC3">
        <w:rPr>
          <w:bCs/>
          <w:lang w:val="en-GB"/>
        </w:rPr>
        <w:t xml:space="preserve">The application for approval of a vehicle type with regard to </w:t>
      </w:r>
      <w:r w:rsidRPr="00B04DC3">
        <w:rPr>
          <w:lang w:val="en-GB"/>
        </w:rPr>
        <w:t>the requirements for its engine, or engine family, listed in table B of paragraph 1.1. and the installation of the engine on the vehicle</w:t>
      </w:r>
      <w:r w:rsidRPr="00B04DC3">
        <w:rPr>
          <w:bCs/>
          <w:lang w:val="en-GB"/>
        </w:rPr>
        <w:t xml:space="preserve"> shall be submitted by the vehicle manufacturer or by a duly accredited representative.</w:t>
      </w:r>
    </w:p>
    <w:p w:rsidR="00C0100D" w:rsidRPr="00B04DC3" w:rsidRDefault="00C0100D" w:rsidP="00A353CD">
      <w:pPr>
        <w:pStyle w:val="para"/>
        <w:rPr>
          <w:lang w:val="en-GB"/>
        </w:rPr>
      </w:pPr>
      <w:r w:rsidRPr="00B04DC3">
        <w:rPr>
          <w:lang w:val="en-GB"/>
        </w:rPr>
        <w:tab/>
        <w:t>Should the application concern an engine equipped with an OBD system, the requirements of paragraph 3.4. shall be fulfilled.</w:t>
      </w:r>
    </w:p>
    <w:p w:rsidR="00C0100D" w:rsidRPr="00B04DC3" w:rsidRDefault="00C0100D" w:rsidP="00A353CD">
      <w:pPr>
        <w:pStyle w:val="para"/>
        <w:rPr>
          <w:lang w:val="en-GB"/>
        </w:rPr>
      </w:pPr>
      <w:r w:rsidRPr="00B04DC3">
        <w:rPr>
          <w:lang w:val="en-GB"/>
        </w:rPr>
        <w:t>3.2.2.</w:t>
      </w:r>
      <w:r w:rsidRPr="00B04DC3">
        <w:rPr>
          <w:lang w:val="en-GB"/>
        </w:rPr>
        <w:tab/>
        <w:t>It shall be accompanied by the below-mentioned documents in triplicate and the following particulars:</w:t>
      </w:r>
    </w:p>
    <w:p w:rsidR="00C0100D" w:rsidRPr="00B04DC3" w:rsidRDefault="00C0100D" w:rsidP="00A353CD">
      <w:pPr>
        <w:pStyle w:val="para"/>
        <w:rPr>
          <w:lang w:val="en-GB"/>
        </w:rPr>
      </w:pPr>
      <w:r w:rsidRPr="00B04DC3">
        <w:rPr>
          <w:lang w:val="en-GB"/>
        </w:rPr>
        <w:t>3.2.2.1.</w:t>
      </w:r>
      <w:r w:rsidRPr="00B04DC3">
        <w:rPr>
          <w:lang w:val="en-GB"/>
        </w:rPr>
        <w:tab/>
        <w:t>A description of the vehicle type, of the engine-related vehicle parts and of the engine type or engine family, if applicable, comprising the particulars referred to in Annex 1 to this Regulation.</w:t>
      </w:r>
    </w:p>
    <w:p w:rsidR="00C0100D" w:rsidRPr="00B04DC3" w:rsidRDefault="00C0100D" w:rsidP="00A353CD">
      <w:pPr>
        <w:pStyle w:val="para"/>
        <w:rPr>
          <w:lang w:val="en-GB"/>
        </w:rPr>
      </w:pPr>
      <w:r w:rsidRPr="00B04DC3">
        <w:rPr>
          <w:lang w:val="en-GB"/>
        </w:rPr>
        <w:t>3.2.3.</w:t>
      </w:r>
      <w:r w:rsidRPr="00B04DC3">
        <w:rPr>
          <w:lang w:val="en-GB"/>
        </w:rPr>
        <w:tab/>
        <w:t>The manufacturer shall provide a description of the MI used by the OBD system to signal the presence of a fault to a driver of the vehicle.</w:t>
      </w:r>
    </w:p>
    <w:p w:rsidR="00C0100D" w:rsidRPr="00B04DC3" w:rsidRDefault="00C0100D" w:rsidP="00A353CD">
      <w:pPr>
        <w:pStyle w:val="para"/>
        <w:rPr>
          <w:lang w:val="en-GB"/>
        </w:rPr>
      </w:pPr>
      <w:r w:rsidRPr="00B04DC3">
        <w:rPr>
          <w:lang w:val="en-GB"/>
        </w:rPr>
        <w:tab/>
        <w:t xml:space="preserve">The manufacturer shall provide a </w:t>
      </w:r>
      <w:r w:rsidRPr="00B04DC3">
        <w:rPr>
          <w:spacing w:val="-2"/>
          <w:lang w:val="en-GB"/>
        </w:rPr>
        <w:t xml:space="preserve">description of the indicator and warning mode used </w:t>
      </w:r>
      <w:r w:rsidRPr="00B04DC3">
        <w:rPr>
          <w:lang w:val="en-GB"/>
        </w:rPr>
        <w:t>to signal the lack of required reagent to a driver of the vehicle.</w:t>
      </w:r>
    </w:p>
    <w:p w:rsidR="00C0100D" w:rsidRPr="00B04DC3" w:rsidRDefault="00C0100D" w:rsidP="00A353CD">
      <w:pPr>
        <w:pStyle w:val="para"/>
        <w:rPr>
          <w:bCs/>
          <w:lang w:val="en-GB"/>
        </w:rPr>
      </w:pPr>
      <w:r w:rsidRPr="00B04DC3">
        <w:rPr>
          <w:lang w:val="en-GB"/>
        </w:rPr>
        <w:t>3.2.4.</w:t>
      </w:r>
      <w:r w:rsidRPr="00B04DC3">
        <w:rPr>
          <w:lang w:val="en-GB"/>
        </w:rPr>
        <w:tab/>
        <w:t>A vehicle conforming to the "vehicle type" characteristics defined in Annex 1 shall be submitted to the Technical Service responsible for conducting the approval tests defined in paragraphs 5 and 6.</w:t>
      </w:r>
    </w:p>
    <w:p w:rsidR="00C0100D" w:rsidRPr="00B04DC3" w:rsidRDefault="00C0100D" w:rsidP="00A210A2">
      <w:pPr>
        <w:pStyle w:val="para"/>
        <w:rPr>
          <w:lang w:val="en-GB"/>
        </w:rPr>
      </w:pPr>
      <w:r w:rsidRPr="00B04DC3">
        <w:rPr>
          <w:lang w:val="en-GB"/>
        </w:rPr>
        <w:t>3.3.</w:t>
      </w:r>
      <w:r w:rsidRPr="00B04DC3">
        <w:rPr>
          <w:lang w:val="en-GB"/>
        </w:rPr>
        <w:tab/>
        <w:t>Application for approval for a vehicle type with an approved engine</w:t>
      </w:r>
    </w:p>
    <w:p w:rsidR="00C0100D" w:rsidRPr="00B04DC3" w:rsidRDefault="00C0100D" w:rsidP="00A353CD">
      <w:pPr>
        <w:pStyle w:val="para"/>
        <w:rPr>
          <w:lang w:val="en-GB"/>
        </w:rPr>
      </w:pPr>
      <w:r w:rsidRPr="00B04DC3">
        <w:rPr>
          <w:spacing w:val="-2"/>
          <w:lang w:val="en-GB"/>
        </w:rPr>
        <w:t>3.3.1.</w:t>
      </w:r>
      <w:r w:rsidRPr="00B04DC3">
        <w:rPr>
          <w:spacing w:val="-2"/>
          <w:lang w:val="en-GB"/>
        </w:rPr>
        <w:tab/>
      </w:r>
      <w:r w:rsidRPr="00B04DC3">
        <w:rPr>
          <w:bCs/>
          <w:lang w:val="en-GB"/>
        </w:rPr>
        <w:t xml:space="preserve">The application for approval of a vehicle </w:t>
      </w:r>
      <w:r w:rsidRPr="00B04DC3">
        <w:rPr>
          <w:lang w:val="en-GB"/>
        </w:rPr>
        <w:t>type with regard to the installation of an approved engine on the vehicle</w:t>
      </w:r>
      <w:r w:rsidRPr="00B04DC3">
        <w:rPr>
          <w:bCs/>
          <w:lang w:val="en-GB"/>
        </w:rPr>
        <w:t xml:space="preserve"> shall be submitted by the vehicle manufacturer or by a duly accredited representative.</w:t>
      </w:r>
    </w:p>
    <w:p w:rsidR="00C0100D" w:rsidRPr="00B04DC3" w:rsidRDefault="00C0100D" w:rsidP="00A353CD">
      <w:pPr>
        <w:pStyle w:val="para"/>
        <w:rPr>
          <w:lang w:val="en-GB"/>
        </w:rPr>
      </w:pPr>
      <w:r w:rsidRPr="00B04DC3">
        <w:rPr>
          <w:lang w:val="en-GB"/>
        </w:rPr>
        <w:t>3.3.2.</w:t>
      </w:r>
      <w:r w:rsidRPr="00B04DC3">
        <w:rPr>
          <w:lang w:val="en-GB"/>
        </w:rPr>
        <w:tab/>
        <w:t>It shall be accompanied by the undermentioned documents in triplicate and the following particulars:</w:t>
      </w:r>
    </w:p>
    <w:p w:rsidR="00C0100D" w:rsidRPr="00B04DC3" w:rsidRDefault="00C0100D" w:rsidP="00A353CD">
      <w:pPr>
        <w:pStyle w:val="para"/>
        <w:rPr>
          <w:lang w:val="en-GB"/>
        </w:rPr>
      </w:pPr>
      <w:r w:rsidRPr="00B04DC3">
        <w:rPr>
          <w:lang w:val="en-GB"/>
        </w:rPr>
        <w:t>3.3.2.1.</w:t>
      </w:r>
      <w:r w:rsidRPr="00B04DC3">
        <w:rPr>
          <w:lang w:val="en-GB"/>
        </w:rPr>
        <w:tab/>
      </w:r>
      <w:r w:rsidR="00A353CD" w:rsidRPr="00B04DC3">
        <w:rPr>
          <w:lang w:val="en-GB"/>
        </w:rPr>
        <w:t>A</w:t>
      </w:r>
      <w:r w:rsidRPr="00B04DC3">
        <w:rPr>
          <w:lang w:val="en-GB"/>
        </w:rPr>
        <w:t xml:space="preserve"> description of the vehicle type and of engine-related vehicle parts comprising the particulars referred to in Annex 1, as applicable, and a copy of the approval communication form (Annex 2A) for the engine or engine family, if applicable, as a separate technical unit which is installed in the vehicle type.</w:t>
      </w:r>
    </w:p>
    <w:p w:rsidR="00C0100D" w:rsidRPr="00B04DC3" w:rsidRDefault="00C0100D" w:rsidP="00A353CD">
      <w:pPr>
        <w:pStyle w:val="para"/>
        <w:rPr>
          <w:lang w:val="en-GB"/>
        </w:rPr>
      </w:pPr>
      <w:r w:rsidRPr="00B04DC3">
        <w:rPr>
          <w:lang w:val="en-GB"/>
        </w:rPr>
        <w:t>3.3.3.</w:t>
      </w:r>
      <w:r w:rsidRPr="00B04DC3">
        <w:rPr>
          <w:lang w:val="en-GB"/>
        </w:rPr>
        <w:tab/>
        <w:t>The manufacturer shall provide a description of the malfunction indicator (MI) used by the OBD system to signal the presence of a fault to a driver of the vehicle.</w:t>
      </w:r>
    </w:p>
    <w:p w:rsidR="00C0100D" w:rsidRPr="00B04DC3" w:rsidRDefault="00C0100D" w:rsidP="00A353CD">
      <w:pPr>
        <w:pStyle w:val="para"/>
        <w:rPr>
          <w:lang w:val="en-GB"/>
        </w:rPr>
      </w:pPr>
      <w:r w:rsidRPr="00B04DC3">
        <w:rPr>
          <w:lang w:val="en-GB"/>
        </w:rPr>
        <w:tab/>
        <w:t>The manufacturer shall provide a description of the indicator and warning mode</w:t>
      </w:r>
      <w:r w:rsidRPr="00B04DC3">
        <w:rPr>
          <w:spacing w:val="-2"/>
          <w:lang w:val="en-GB"/>
        </w:rPr>
        <w:t xml:space="preserve"> used </w:t>
      </w:r>
      <w:r w:rsidRPr="00B04DC3">
        <w:rPr>
          <w:lang w:val="en-GB"/>
        </w:rPr>
        <w:t>to signal the lack of required reagent to a driver of the vehicle.</w:t>
      </w:r>
    </w:p>
    <w:p w:rsidR="00C0100D" w:rsidRPr="00B04DC3" w:rsidRDefault="00C0100D" w:rsidP="00A353CD">
      <w:pPr>
        <w:pStyle w:val="para"/>
        <w:rPr>
          <w:bCs/>
          <w:lang w:val="en-GB"/>
        </w:rPr>
      </w:pPr>
      <w:r w:rsidRPr="00B04DC3">
        <w:rPr>
          <w:lang w:val="en-GB"/>
        </w:rPr>
        <w:t>3.3.4.</w:t>
      </w:r>
      <w:r w:rsidRPr="00B04DC3">
        <w:rPr>
          <w:lang w:val="en-GB"/>
        </w:rPr>
        <w:tab/>
        <w:t>A vehicle conforming to the "vehicle type" characteristics defined in Annex 1 shall be submitted to the Technical Service responsible for conducting the approval tests defined in paragraph 6.</w:t>
      </w:r>
    </w:p>
    <w:p w:rsidR="00C0100D" w:rsidRPr="00B04DC3" w:rsidRDefault="00C0100D" w:rsidP="00A210A2">
      <w:pPr>
        <w:pStyle w:val="para"/>
        <w:rPr>
          <w:lang w:val="en-GB"/>
        </w:rPr>
      </w:pPr>
      <w:r w:rsidRPr="00B04DC3">
        <w:rPr>
          <w:lang w:val="en-GB"/>
        </w:rPr>
        <w:t>3.4.</w:t>
      </w:r>
      <w:r w:rsidRPr="00B04DC3">
        <w:rPr>
          <w:lang w:val="en-GB"/>
        </w:rPr>
        <w:tab/>
        <w:t>On-board diagnostic systems</w:t>
      </w:r>
    </w:p>
    <w:p w:rsidR="00C0100D" w:rsidRPr="00B04DC3" w:rsidRDefault="00C0100D" w:rsidP="00A353CD">
      <w:pPr>
        <w:pStyle w:val="para"/>
        <w:rPr>
          <w:lang w:val="en-GB"/>
        </w:rPr>
      </w:pPr>
      <w:r w:rsidRPr="00B04DC3">
        <w:rPr>
          <w:lang w:val="en-GB"/>
        </w:rPr>
        <w:t>3.4.1.</w:t>
      </w:r>
      <w:r w:rsidRPr="00B04DC3">
        <w:rPr>
          <w:lang w:val="en-GB"/>
        </w:rPr>
        <w:tab/>
        <w:t xml:space="preserve">The application for approval of a vehicle or an engine equipped with an OBD system shall be accompanied by the information required in paragraph 9. of </w:t>
      </w:r>
      <w:r w:rsidR="00D748C9" w:rsidRPr="00B04DC3">
        <w:rPr>
          <w:lang w:val="en-GB"/>
        </w:rPr>
        <w:t xml:space="preserve">Appendix 1 to </w:t>
      </w:r>
      <w:r w:rsidRPr="00B04DC3">
        <w:rPr>
          <w:lang w:val="en-GB"/>
        </w:rPr>
        <w:t>Annex 1 (</w:t>
      </w:r>
      <w:r w:rsidR="00D748C9" w:rsidRPr="00B04DC3">
        <w:rPr>
          <w:lang w:val="en-GB"/>
        </w:rPr>
        <w:t>Essential characteristics of the (parent) engine and information concerning the conduct of test</w:t>
      </w:r>
      <w:r w:rsidRPr="00B04DC3">
        <w:rPr>
          <w:lang w:val="en-GB"/>
        </w:rPr>
        <w:t>) and/or paragraph 6. of Appendix </w:t>
      </w:r>
      <w:r w:rsidR="00D748C9" w:rsidRPr="00B04DC3">
        <w:rPr>
          <w:lang w:val="en-GB"/>
        </w:rPr>
        <w:t>3</w:t>
      </w:r>
      <w:r w:rsidRPr="00B04DC3">
        <w:rPr>
          <w:lang w:val="en-GB"/>
        </w:rPr>
        <w:t xml:space="preserve"> to Annex 1 (</w:t>
      </w:r>
      <w:r w:rsidR="00D748C9" w:rsidRPr="00B04DC3">
        <w:rPr>
          <w:lang w:val="en-GB"/>
        </w:rPr>
        <w:t xml:space="preserve">Essential characteristics of the engine </w:t>
      </w:r>
      <w:r w:rsidR="00045BE8">
        <w:rPr>
          <w:lang w:val="en-GB"/>
        </w:rPr>
        <w:t xml:space="preserve">type within the </w:t>
      </w:r>
      <w:r w:rsidR="00D748C9" w:rsidRPr="00B04DC3">
        <w:rPr>
          <w:lang w:val="en-GB"/>
        </w:rPr>
        <w:t>family</w:t>
      </w:r>
      <w:r w:rsidRPr="00B04DC3">
        <w:rPr>
          <w:lang w:val="en-GB"/>
        </w:rPr>
        <w:t>) together with:</w:t>
      </w:r>
    </w:p>
    <w:p w:rsidR="00C0100D" w:rsidRPr="00B04DC3" w:rsidRDefault="00C0100D" w:rsidP="00A353CD">
      <w:pPr>
        <w:pStyle w:val="para"/>
        <w:rPr>
          <w:lang w:val="en-GB"/>
        </w:rPr>
      </w:pPr>
      <w:r w:rsidRPr="00B04DC3">
        <w:rPr>
          <w:lang w:val="en-GB"/>
        </w:rPr>
        <w:t>3.4.1.1.</w:t>
      </w:r>
      <w:r w:rsidRPr="00B04DC3">
        <w:rPr>
          <w:lang w:val="en-GB"/>
        </w:rPr>
        <w:tab/>
        <w:t>Detailed written information fully describing the functional operation characteristics of the OBD system, including a listing of all relevant parts of the engine's emission control system, i.e. sensors, actuators and components, that are monitored by the OBD system;</w:t>
      </w:r>
    </w:p>
    <w:p w:rsidR="00C0100D" w:rsidRPr="00B04DC3" w:rsidRDefault="00C0100D" w:rsidP="00A353CD">
      <w:pPr>
        <w:pStyle w:val="para"/>
        <w:rPr>
          <w:lang w:val="en-GB"/>
        </w:rPr>
      </w:pPr>
      <w:r w:rsidRPr="00B04DC3">
        <w:rPr>
          <w:lang w:val="en-GB"/>
        </w:rPr>
        <w:t>3.4.1.2.</w:t>
      </w:r>
      <w:r w:rsidRPr="00B04DC3">
        <w:rPr>
          <w:lang w:val="en-GB"/>
        </w:rPr>
        <w:tab/>
        <w:t>Where applicable, a declaration by the manufacturer of the parameters that are used as a basis for major functional failure monitoring and, in addition:</w:t>
      </w:r>
    </w:p>
    <w:p w:rsidR="00C0100D" w:rsidRPr="00B04DC3" w:rsidRDefault="00C0100D" w:rsidP="00A353CD">
      <w:pPr>
        <w:pStyle w:val="para"/>
        <w:rPr>
          <w:lang w:val="en-GB"/>
        </w:rPr>
      </w:pPr>
      <w:r w:rsidRPr="00B04DC3">
        <w:rPr>
          <w:lang w:val="en-GB"/>
        </w:rPr>
        <w:t>3.4.1.2.1.</w:t>
      </w:r>
      <w:r w:rsidRPr="00B04DC3">
        <w:rPr>
          <w:lang w:val="en-GB"/>
        </w:rPr>
        <w:tab/>
        <w:t>The manufacturer shall provide the Technical Service with a description of potential failures within the emission control system that will have an effect on emissions</w:t>
      </w:r>
      <w:r w:rsidR="00401E79" w:rsidRPr="00B04DC3">
        <w:rPr>
          <w:lang w:val="en-GB"/>
        </w:rPr>
        <w:t xml:space="preserve">. </w:t>
      </w:r>
      <w:r w:rsidRPr="00B04DC3">
        <w:rPr>
          <w:lang w:val="en-GB"/>
        </w:rPr>
        <w:t>This information shall be subject to discussion and agreement between the Technical Service and the vehicle manufacturer.</w:t>
      </w:r>
    </w:p>
    <w:p w:rsidR="00C0100D" w:rsidRPr="00B04DC3" w:rsidRDefault="00C0100D" w:rsidP="00A353CD">
      <w:pPr>
        <w:pStyle w:val="para"/>
        <w:rPr>
          <w:lang w:val="en-GB"/>
        </w:rPr>
      </w:pPr>
      <w:r w:rsidRPr="00B04DC3">
        <w:rPr>
          <w:lang w:val="en-GB"/>
        </w:rPr>
        <w:t>3.4.1.3.</w:t>
      </w:r>
      <w:r w:rsidRPr="00B04DC3">
        <w:rPr>
          <w:lang w:val="en-GB"/>
        </w:rPr>
        <w:tab/>
        <w:t>Where applicable, a description of the communication interface (hardware and messages) between the EECU and any other powertrain or vehicle control unit when the exchanged information has an influence on the correct functioning of the emission control system.</w:t>
      </w:r>
    </w:p>
    <w:p w:rsidR="00C0100D" w:rsidRPr="00B04DC3" w:rsidRDefault="00C0100D" w:rsidP="00A353CD">
      <w:pPr>
        <w:pStyle w:val="para"/>
        <w:rPr>
          <w:lang w:val="en-GB"/>
        </w:rPr>
      </w:pPr>
      <w:r w:rsidRPr="00B04DC3">
        <w:rPr>
          <w:lang w:val="en-GB"/>
        </w:rPr>
        <w:t>3.4.1.4.</w:t>
      </w:r>
      <w:r w:rsidRPr="00B04DC3">
        <w:rPr>
          <w:lang w:val="en-GB"/>
        </w:rPr>
        <w:tab/>
        <w:t>Where appropriate, copies of other approvals with the relevant data to enable extensions of approvals.</w:t>
      </w:r>
    </w:p>
    <w:p w:rsidR="00C0100D" w:rsidRPr="00B04DC3" w:rsidRDefault="00C0100D" w:rsidP="00A353CD">
      <w:pPr>
        <w:pStyle w:val="para"/>
        <w:rPr>
          <w:lang w:val="en-GB"/>
        </w:rPr>
      </w:pPr>
      <w:r w:rsidRPr="00B04DC3">
        <w:rPr>
          <w:lang w:val="en-GB"/>
        </w:rPr>
        <w:t>3.4.1.5.</w:t>
      </w:r>
      <w:r w:rsidRPr="00B04DC3">
        <w:rPr>
          <w:lang w:val="en-GB"/>
        </w:rPr>
        <w:tab/>
        <w:t>If applicable, the particulars of the engine family</w:t>
      </w:r>
      <w:r w:rsidR="005437A8">
        <w:rPr>
          <w:lang w:val="en-GB"/>
        </w:rPr>
        <w:t xml:space="preserve"> as referred to in paragraph 7.</w:t>
      </w:r>
    </w:p>
    <w:p w:rsidR="00C0100D" w:rsidRPr="00B04DC3" w:rsidRDefault="00C0100D" w:rsidP="00A353CD">
      <w:pPr>
        <w:pStyle w:val="para"/>
        <w:rPr>
          <w:lang w:val="en-GB"/>
        </w:rPr>
      </w:pPr>
      <w:r w:rsidRPr="00B04DC3">
        <w:rPr>
          <w:lang w:val="en-GB"/>
        </w:rPr>
        <w:t>3.4.1.6.</w:t>
      </w:r>
      <w:r w:rsidRPr="00B04DC3">
        <w:rPr>
          <w:lang w:val="en-GB"/>
        </w:rPr>
        <w:tab/>
        <w:t>The manufacturer shall describe provisions taken to prevent tampering with and modification of the EECU or any interface parameter considered in paragraph 3.4.1.3.</w:t>
      </w:r>
    </w:p>
    <w:p w:rsidR="00C0100D" w:rsidRPr="00B04DC3" w:rsidRDefault="00A353CD" w:rsidP="00A210A2">
      <w:pPr>
        <w:pStyle w:val="HChG"/>
      </w:pPr>
      <w:r w:rsidRPr="00B04DC3">
        <w:tab/>
      </w:r>
      <w:r w:rsidRPr="00B04DC3">
        <w:tab/>
      </w:r>
      <w:bookmarkStart w:id="19" w:name="_Toc423599447"/>
      <w:bookmarkStart w:id="20" w:name="_Toc423610855"/>
      <w:r w:rsidR="00C0100D" w:rsidRPr="00B04DC3">
        <w:t>4.</w:t>
      </w:r>
      <w:r w:rsidR="00C0100D" w:rsidRPr="00B04DC3">
        <w:tab/>
      </w:r>
      <w:r w:rsidRPr="00B04DC3">
        <w:tab/>
        <w:t>Approval</w:t>
      </w:r>
      <w:bookmarkEnd w:id="19"/>
      <w:bookmarkEnd w:id="20"/>
    </w:p>
    <w:p w:rsidR="00C0100D" w:rsidRPr="00B04DC3" w:rsidRDefault="00C0100D" w:rsidP="00A210A2">
      <w:pPr>
        <w:pStyle w:val="para"/>
        <w:rPr>
          <w:lang w:val="en-GB"/>
        </w:rPr>
      </w:pPr>
      <w:r w:rsidRPr="00B04DC3">
        <w:rPr>
          <w:lang w:val="en-GB"/>
        </w:rPr>
        <w:t>4.1.</w:t>
      </w:r>
      <w:r w:rsidRPr="00B04DC3">
        <w:rPr>
          <w:lang w:val="en-GB"/>
        </w:rPr>
        <w:tab/>
      </w:r>
      <w:r w:rsidR="00A353CD" w:rsidRPr="00B04DC3">
        <w:rPr>
          <w:lang w:val="en-GB"/>
        </w:rPr>
        <w:tab/>
      </w:r>
      <w:r w:rsidRPr="00B04DC3">
        <w:rPr>
          <w:lang w:val="en-GB"/>
        </w:rPr>
        <w:t>Granting of a universal fuel approval</w:t>
      </w:r>
    </w:p>
    <w:p w:rsidR="00C0100D" w:rsidRPr="00B04DC3" w:rsidRDefault="00C0100D" w:rsidP="00A353CD">
      <w:pPr>
        <w:pStyle w:val="para"/>
        <w:rPr>
          <w:lang w:val="en-GB"/>
        </w:rPr>
      </w:pPr>
      <w:r w:rsidRPr="00B04DC3">
        <w:rPr>
          <w:lang w:val="en-GB"/>
        </w:rPr>
        <w:tab/>
        <w:t>A universal fuel approval is granted subject to the following requirements.</w:t>
      </w:r>
    </w:p>
    <w:p w:rsidR="00CF0D17" w:rsidRPr="00B04DC3" w:rsidRDefault="00CF0D17" w:rsidP="00A353CD">
      <w:pPr>
        <w:pStyle w:val="para"/>
        <w:rPr>
          <w:lang w:val="en-GB"/>
        </w:rPr>
      </w:pPr>
      <w:r w:rsidRPr="00B04DC3">
        <w:rPr>
          <w:lang w:val="en-GB"/>
        </w:rPr>
        <w:t>4.1.1.</w:t>
      </w:r>
      <w:r w:rsidRPr="00B04DC3">
        <w:rPr>
          <w:lang w:val="en-GB"/>
        </w:rPr>
        <w:tab/>
        <w:t>In the case of diesel, ethanol, or LNG</w:t>
      </w:r>
      <w:r w:rsidRPr="00B04DC3">
        <w:rPr>
          <w:vertAlign w:val="subscript"/>
          <w:lang w:val="en-GB"/>
        </w:rPr>
        <w:t>20</w:t>
      </w:r>
      <w:r w:rsidRPr="00B04DC3">
        <w:rPr>
          <w:lang w:val="en-GB"/>
        </w:rPr>
        <w:t xml:space="preserve"> fuel the parent engine meets the requirements of this Regulation on the reference fuel specified in Annex 5.</w:t>
      </w:r>
    </w:p>
    <w:p w:rsidR="00CF0D17" w:rsidRPr="00B04DC3" w:rsidRDefault="00CF0D17" w:rsidP="00A353CD">
      <w:pPr>
        <w:pStyle w:val="para"/>
        <w:rPr>
          <w:lang w:val="en-GB"/>
        </w:rPr>
      </w:pPr>
      <w:r w:rsidRPr="00B04DC3">
        <w:rPr>
          <w:lang w:val="en-GB"/>
        </w:rPr>
        <w:t>4.1.1.1.</w:t>
      </w:r>
      <w:r w:rsidRPr="00B04DC3">
        <w:rPr>
          <w:lang w:val="en-GB"/>
        </w:rPr>
        <w:tab/>
        <w:t>In the case of a dual-fuel engine family the parent engine meets in addition the requirements set out in Annex 11 on the reference fuels specified in Annex 5.</w:t>
      </w:r>
    </w:p>
    <w:p w:rsidR="00C0100D" w:rsidRPr="00B04DC3" w:rsidRDefault="00C0100D" w:rsidP="00A353CD">
      <w:pPr>
        <w:pStyle w:val="para"/>
        <w:rPr>
          <w:lang w:val="en-GB"/>
        </w:rPr>
      </w:pPr>
      <w:r w:rsidRPr="00B04DC3">
        <w:rPr>
          <w:lang w:val="en-GB"/>
        </w:rPr>
        <w:t>4.1.2.</w:t>
      </w:r>
      <w:r w:rsidRPr="00B04DC3">
        <w:rPr>
          <w:lang w:val="en-GB"/>
        </w:rPr>
        <w:tab/>
      </w:r>
      <w:r w:rsidR="00CF0D17" w:rsidRPr="00B04DC3">
        <w:rPr>
          <w:lang w:val="en-GB"/>
        </w:rPr>
        <w:t>In the case of CNG the parent engine, including in the case of a dual-fuel engine family, should demonstrate its capability to adapt to any fuel composition that may occur across the market.</w:t>
      </w:r>
      <w:r w:rsidR="00401E79" w:rsidRPr="00B04DC3">
        <w:rPr>
          <w:lang w:val="en-GB"/>
        </w:rPr>
        <w:t xml:space="preserve"> </w:t>
      </w:r>
      <w:r w:rsidRPr="00B04DC3">
        <w:rPr>
          <w:lang w:val="en-GB"/>
        </w:rPr>
        <w:t>In the case of natural gas there are generally two types of fuel, high calorific fuel (H-gas) and low calorific fuel (L-gas), but with a significant spread within both ranges; they differ significantly in their energy content expressed by the Wobbe Index and in their λ-shift factor (S</w:t>
      </w:r>
      <w:r w:rsidRPr="00B04DC3">
        <w:rPr>
          <w:vertAlign w:val="subscript"/>
          <w:lang w:val="en-GB"/>
        </w:rPr>
        <w:t>λ</w:t>
      </w:r>
      <w:r w:rsidRPr="00B04DC3">
        <w:rPr>
          <w:lang w:val="en-GB"/>
        </w:rPr>
        <w:t>)</w:t>
      </w:r>
      <w:r w:rsidR="00401E79" w:rsidRPr="00B04DC3">
        <w:rPr>
          <w:lang w:val="en-GB"/>
        </w:rPr>
        <w:t xml:space="preserve">. </w:t>
      </w:r>
      <w:r w:rsidRPr="00B04DC3">
        <w:rPr>
          <w:lang w:val="en-GB"/>
        </w:rPr>
        <w:t>The formulae for the calculation of the Wobbe index and S</w:t>
      </w:r>
      <w:r w:rsidRPr="00B04DC3">
        <w:rPr>
          <w:vertAlign w:val="subscript"/>
          <w:lang w:val="en-GB"/>
        </w:rPr>
        <w:t>λ</w:t>
      </w:r>
      <w:r w:rsidRPr="00B04DC3">
        <w:rPr>
          <w:lang w:val="en-GB"/>
        </w:rPr>
        <w:t xml:space="preserve"> are given in paragraph 2.1.62. and in Annex</w:t>
      </w:r>
      <w:r w:rsidR="00A353CD" w:rsidRPr="00B04DC3">
        <w:rPr>
          <w:lang w:val="en-GB"/>
        </w:rPr>
        <w:t> </w:t>
      </w:r>
      <w:r w:rsidRPr="00B04DC3">
        <w:rPr>
          <w:lang w:val="en-GB"/>
        </w:rPr>
        <w:t>6</w:t>
      </w:r>
      <w:r w:rsidR="00401E79" w:rsidRPr="00B04DC3">
        <w:rPr>
          <w:lang w:val="en-GB"/>
        </w:rPr>
        <w:t xml:space="preserve">. </w:t>
      </w:r>
      <w:r w:rsidRPr="00B04DC3">
        <w:rPr>
          <w:lang w:val="en-GB"/>
        </w:rPr>
        <w:t>Natural gases with a λ</w:t>
      </w:r>
      <w:r w:rsidRPr="00B04DC3">
        <w:rPr>
          <w:lang w:val="en-GB"/>
        </w:rPr>
        <w:noBreakHyphen/>
        <w:t>shift factor between 0.89 and 1.08 (0.89 ≤ S</w:t>
      </w:r>
      <w:r w:rsidRPr="00B04DC3">
        <w:rPr>
          <w:vertAlign w:val="subscript"/>
          <w:lang w:val="en-GB"/>
        </w:rPr>
        <w:t>λ</w:t>
      </w:r>
      <w:r w:rsidRPr="00B04DC3">
        <w:rPr>
          <w:lang w:val="en-GB"/>
        </w:rPr>
        <w:t> ≤ 1.08) are considered to belong to H</w:t>
      </w:r>
      <w:r w:rsidRPr="00B04DC3">
        <w:rPr>
          <w:lang w:val="en-GB"/>
        </w:rPr>
        <w:noBreakHyphen/>
        <w:t>range, while natural gases with a λ-shift factor between 1.08 and 1.19 (1.08 ≤ S</w:t>
      </w:r>
      <w:r w:rsidRPr="00B04DC3">
        <w:rPr>
          <w:vertAlign w:val="subscript"/>
          <w:lang w:val="en-GB"/>
        </w:rPr>
        <w:t>λ</w:t>
      </w:r>
      <w:r w:rsidRPr="00B04DC3">
        <w:rPr>
          <w:lang w:val="en-GB"/>
        </w:rPr>
        <w:t> ≤ 1.19) are considered to belong to L-range</w:t>
      </w:r>
      <w:r w:rsidR="00401E79" w:rsidRPr="00B04DC3">
        <w:rPr>
          <w:lang w:val="en-GB"/>
        </w:rPr>
        <w:t xml:space="preserve">. </w:t>
      </w:r>
      <w:r w:rsidRPr="00B04DC3">
        <w:rPr>
          <w:lang w:val="en-GB"/>
        </w:rPr>
        <w:t>The composition of the reference fuels reflects the extreme variations of S</w:t>
      </w:r>
      <w:r w:rsidRPr="00B04DC3">
        <w:rPr>
          <w:vertAlign w:val="subscript"/>
          <w:lang w:val="en-GB"/>
        </w:rPr>
        <w:t>λ</w:t>
      </w:r>
      <w:r w:rsidRPr="00B04DC3">
        <w:rPr>
          <w:lang w:val="en-GB"/>
        </w:rPr>
        <w:t>.</w:t>
      </w:r>
    </w:p>
    <w:p w:rsidR="00C0100D" w:rsidRPr="00B04DC3" w:rsidRDefault="00C0100D" w:rsidP="00A353CD">
      <w:pPr>
        <w:pStyle w:val="para"/>
        <w:rPr>
          <w:lang w:val="en-GB"/>
        </w:rPr>
      </w:pPr>
      <w:r w:rsidRPr="00B04DC3">
        <w:rPr>
          <w:lang w:val="en-GB"/>
        </w:rPr>
        <w:tab/>
        <w:t>The parent engine shall meet the requirements of this Regulation on the reference fuels G</w:t>
      </w:r>
      <w:r w:rsidRPr="00B04DC3">
        <w:rPr>
          <w:vertAlign w:val="subscript"/>
          <w:lang w:val="en-GB"/>
        </w:rPr>
        <w:t>R</w:t>
      </w:r>
      <w:r w:rsidRPr="00B04DC3">
        <w:rPr>
          <w:lang w:val="en-GB"/>
        </w:rPr>
        <w:t xml:space="preserve"> (fuel 1) and G</w:t>
      </w:r>
      <w:r w:rsidRPr="00B04DC3">
        <w:rPr>
          <w:vertAlign w:val="subscript"/>
          <w:lang w:val="en-GB"/>
        </w:rPr>
        <w:t>25</w:t>
      </w:r>
      <w:r w:rsidRPr="00B04DC3">
        <w:rPr>
          <w:lang w:val="en-GB"/>
        </w:rPr>
        <w:t xml:space="preserve"> (fuel 2), as specified in Annex 5, without any readjustment to the fuelling between the two tests</w:t>
      </w:r>
      <w:r w:rsidR="00401E79" w:rsidRPr="00B04DC3">
        <w:rPr>
          <w:lang w:val="en-GB"/>
        </w:rPr>
        <w:t xml:space="preserve">. </w:t>
      </w:r>
      <w:r w:rsidRPr="00B04DC3">
        <w:rPr>
          <w:lang w:val="en-GB"/>
        </w:rPr>
        <w:t>However, one adaptation run over one ETC cycle without measurement is permitted after the change of the fuel</w:t>
      </w:r>
      <w:r w:rsidR="00401E79" w:rsidRPr="00B04DC3">
        <w:rPr>
          <w:lang w:val="en-GB"/>
        </w:rPr>
        <w:t xml:space="preserve">. </w:t>
      </w:r>
      <w:r w:rsidRPr="00B04DC3">
        <w:rPr>
          <w:lang w:val="en-GB"/>
        </w:rPr>
        <w:t>Before testing, the parent engine shall be run-in using the procedure given in paragraph 3. of Appendix 2 to Annex 4A.</w:t>
      </w:r>
    </w:p>
    <w:p w:rsidR="00C0100D" w:rsidRPr="00B04DC3" w:rsidRDefault="00C0100D" w:rsidP="00A353CD">
      <w:pPr>
        <w:pStyle w:val="para"/>
        <w:rPr>
          <w:lang w:val="en-GB"/>
        </w:rPr>
      </w:pPr>
      <w:r w:rsidRPr="00B04DC3">
        <w:rPr>
          <w:lang w:val="en-GB"/>
        </w:rPr>
        <w:t>4.1.2.1.</w:t>
      </w:r>
      <w:r w:rsidRPr="00B04DC3">
        <w:rPr>
          <w:lang w:val="en-GB"/>
        </w:rPr>
        <w:tab/>
        <w:t>On the manufacturer's request the engine may be tested on a third fuel (fuel</w:t>
      </w:r>
      <w:r w:rsidR="00BC4B9C" w:rsidRPr="00B04DC3">
        <w:rPr>
          <w:lang w:val="en-GB"/>
        </w:rPr>
        <w:t> </w:t>
      </w:r>
      <w:r w:rsidRPr="00B04DC3">
        <w:rPr>
          <w:lang w:val="en-GB"/>
        </w:rPr>
        <w:t>3) if the λ</w:t>
      </w:r>
      <w:r w:rsidRPr="00B04DC3">
        <w:rPr>
          <w:lang w:val="en-GB"/>
        </w:rPr>
        <w:noBreakHyphen/>
        <w:t>shift factor (S</w:t>
      </w:r>
      <w:r w:rsidRPr="00B04DC3">
        <w:rPr>
          <w:vertAlign w:val="subscript"/>
          <w:lang w:val="en-GB"/>
        </w:rPr>
        <w:t>λ</w:t>
      </w:r>
      <w:r w:rsidRPr="00B04DC3">
        <w:rPr>
          <w:lang w:val="en-GB"/>
        </w:rPr>
        <w:t>) lies between 0.89 (i.e. the lower range of G</w:t>
      </w:r>
      <w:r w:rsidRPr="00B04DC3">
        <w:rPr>
          <w:vertAlign w:val="subscript"/>
          <w:lang w:val="en-GB"/>
        </w:rPr>
        <w:t>R</w:t>
      </w:r>
      <w:r w:rsidRPr="00B04DC3">
        <w:rPr>
          <w:lang w:val="en-GB"/>
        </w:rPr>
        <w:t>) and 1.19 (i.e. the upper range of G</w:t>
      </w:r>
      <w:r w:rsidRPr="00B04DC3">
        <w:rPr>
          <w:vertAlign w:val="subscript"/>
          <w:lang w:val="en-GB"/>
        </w:rPr>
        <w:t>25</w:t>
      </w:r>
      <w:r w:rsidRPr="00B04DC3">
        <w:rPr>
          <w:lang w:val="en-GB"/>
        </w:rPr>
        <w:t>), for example when fuel 3 is a market fuel</w:t>
      </w:r>
      <w:r w:rsidR="00401E79" w:rsidRPr="00B04DC3">
        <w:rPr>
          <w:lang w:val="en-GB"/>
        </w:rPr>
        <w:t xml:space="preserve">. </w:t>
      </w:r>
      <w:r w:rsidRPr="00B04DC3">
        <w:rPr>
          <w:lang w:val="en-GB"/>
        </w:rPr>
        <w:t>The results of this test may be used as a basis for the evaluation of the conformity of the production.</w:t>
      </w:r>
    </w:p>
    <w:p w:rsidR="00C0100D" w:rsidRPr="005437A8" w:rsidRDefault="00C0100D" w:rsidP="00A353CD">
      <w:pPr>
        <w:pStyle w:val="para"/>
        <w:rPr>
          <w:spacing w:val="-4"/>
          <w:lang w:val="en-GB"/>
        </w:rPr>
      </w:pPr>
      <w:r w:rsidRPr="005437A8">
        <w:rPr>
          <w:spacing w:val="-4"/>
          <w:lang w:val="en-GB"/>
        </w:rPr>
        <w:t>4.1.3.</w:t>
      </w:r>
      <w:r w:rsidRPr="005437A8">
        <w:rPr>
          <w:spacing w:val="-4"/>
          <w:lang w:val="en-GB"/>
        </w:rPr>
        <w:tab/>
      </w:r>
      <w:r w:rsidR="00CF0D17" w:rsidRPr="005437A8">
        <w:rPr>
          <w:spacing w:val="-4"/>
          <w:lang w:val="en-GB"/>
        </w:rPr>
        <w:t>In the case of a CNG engine, including a dual-fuel engine, which is self-adaptive for the range of H-gases on the one hand and the range of L-gases on the other hand, and which switches between the H-range and the L-range by means of a switch, the parent engine shall be tested on the relevant reference fuel as specified in Annex 5 for each range, at each position of the switch.</w:t>
      </w:r>
      <w:r w:rsidR="00401E79" w:rsidRPr="005437A8">
        <w:rPr>
          <w:spacing w:val="-4"/>
          <w:lang w:val="en-GB"/>
        </w:rPr>
        <w:t xml:space="preserve"> </w:t>
      </w:r>
      <w:r w:rsidRPr="005437A8">
        <w:rPr>
          <w:spacing w:val="-4"/>
          <w:lang w:val="en-GB"/>
        </w:rPr>
        <w:t>The fuels are G</w:t>
      </w:r>
      <w:r w:rsidRPr="005437A8">
        <w:rPr>
          <w:spacing w:val="-4"/>
          <w:vertAlign w:val="subscript"/>
          <w:lang w:val="en-GB"/>
        </w:rPr>
        <w:t>R</w:t>
      </w:r>
      <w:r w:rsidRPr="005437A8">
        <w:rPr>
          <w:spacing w:val="-4"/>
          <w:lang w:val="en-GB"/>
        </w:rPr>
        <w:t xml:space="preserve"> (fuel</w:t>
      </w:r>
      <w:r w:rsidR="00AA0E48">
        <w:rPr>
          <w:spacing w:val="-4"/>
          <w:lang w:val="en-GB"/>
        </w:rPr>
        <w:t> </w:t>
      </w:r>
      <w:r w:rsidRPr="005437A8">
        <w:rPr>
          <w:spacing w:val="-4"/>
          <w:lang w:val="en-GB"/>
        </w:rPr>
        <w:t>1) and G</w:t>
      </w:r>
      <w:r w:rsidRPr="005437A8">
        <w:rPr>
          <w:spacing w:val="-4"/>
          <w:vertAlign w:val="subscript"/>
          <w:lang w:val="en-GB"/>
        </w:rPr>
        <w:t>23</w:t>
      </w:r>
      <w:r w:rsidRPr="005437A8">
        <w:rPr>
          <w:spacing w:val="-4"/>
          <w:lang w:val="en-GB"/>
        </w:rPr>
        <w:t xml:space="preserve"> (fuel 3) for the H-range of gases and G</w:t>
      </w:r>
      <w:r w:rsidRPr="005437A8">
        <w:rPr>
          <w:spacing w:val="-4"/>
          <w:vertAlign w:val="subscript"/>
          <w:lang w:val="en-GB"/>
        </w:rPr>
        <w:t>25</w:t>
      </w:r>
      <w:r w:rsidRPr="005437A8">
        <w:rPr>
          <w:spacing w:val="-4"/>
          <w:lang w:val="en-GB"/>
        </w:rPr>
        <w:t xml:space="preserve"> (fuel 2) and G</w:t>
      </w:r>
      <w:r w:rsidRPr="005437A8">
        <w:rPr>
          <w:spacing w:val="-4"/>
          <w:vertAlign w:val="subscript"/>
          <w:lang w:val="en-GB"/>
        </w:rPr>
        <w:t>23</w:t>
      </w:r>
      <w:r w:rsidRPr="005437A8">
        <w:rPr>
          <w:spacing w:val="-4"/>
          <w:lang w:val="en-GB"/>
        </w:rPr>
        <w:t xml:space="preserve"> (fuel 3) for the L-range of gases</w:t>
      </w:r>
      <w:r w:rsidR="00401E79" w:rsidRPr="005437A8">
        <w:rPr>
          <w:spacing w:val="-4"/>
          <w:lang w:val="en-GB"/>
        </w:rPr>
        <w:t xml:space="preserve">. </w:t>
      </w:r>
      <w:r w:rsidRPr="005437A8">
        <w:rPr>
          <w:spacing w:val="-4"/>
          <w:lang w:val="en-GB"/>
        </w:rPr>
        <w:t>The parent engine shall meet the requirements of this Regulation at both positions of the switch without any readjustment to the fuelling between the two tests at each position of the switch</w:t>
      </w:r>
      <w:r w:rsidR="00401E79" w:rsidRPr="005437A8">
        <w:rPr>
          <w:spacing w:val="-4"/>
          <w:lang w:val="en-GB"/>
        </w:rPr>
        <w:t xml:space="preserve">. </w:t>
      </w:r>
      <w:r w:rsidRPr="005437A8">
        <w:rPr>
          <w:spacing w:val="-4"/>
          <w:lang w:val="en-GB"/>
        </w:rPr>
        <w:t>However, one adaptation run over one ETC cycle without measurement is permitted after the change of the fuel</w:t>
      </w:r>
      <w:r w:rsidR="00401E79" w:rsidRPr="005437A8">
        <w:rPr>
          <w:spacing w:val="-4"/>
          <w:lang w:val="en-GB"/>
        </w:rPr>
        <w:t xml:space="preserve">. </w:t>
      </w:r>
      <w:r w:rsidRPr="005437A8">
        <w:rPr>
          <w:spacing w:val="-4"/>
          <w:lang w:val="en-GB"/>
        </w:rPr>
        <w:t>Before testing, the parent engine shall be run-in using the procedure given in paragraph 3. of Appendix 2 to Annex 4A.</w:t>
      </w:r>
    </w:p>
    <w:p w:rsidR="00C0100D" w:rsidRPr="00B04DC3" w:rsidRDefault="00C0100D" w:rsidP="00A353CD">
      <w:pPr>
        <w:pStyle w:val="para"/>
        <w:rPr>
          <w:lang w:val="en-GB"/>
        </w:rPr>
      </w:pPr>
      <w:r w:rsidRPr="00B04DC3">
        <w:rPr>
          <w:lang w:val="en-GB"/>
        </w:rPr>
        <w:t>4.1.3.1.</w:t>
      </w:r>
      <w:r w:rsidRPr="00B04DC3">
        <w:rPr>
          <w:lang w:val="en-GB"/>
        </w:rPr>
        <w:tab/>
        <w:t>At the manufacturer's request the engine may be tested on a third fuel instead of G</w:t>
      </w:r>
      <w:r w:rsidRPr="00B04DC3">
        <w:rPr>
          <w:vertAlign w:val="subscript"/>
          <w:lang w:val="en-GB"/>
        </w:rPr>
        <w:t>23</w:t>
      </w:r>
      <w:r w:rsidRPr="00B04DC3">
        <w:rPr>
          <w:lang w:val="en-GB"/>
        </w:rPr>
        <w:t xml:space="preserve"> (fuel 3) if the λ-shift factor (S</w:t>
      </w:r>
      <w:r w:rsidRPr="00B04DC3">
        <w:rPr>
          <w:vertAlign w:val="subscript"/>
          <w:lang w:val="en-GB"/>
        </w:rPr>
        <w:t>λ</w:t>
      </w:r>
      <w:r w:rsidRPr="00B04DC3">
        <w:rPr>
          <w:lang w:val="en-GB"/>
        </w:rPr>
        <w:t>) lies between 0.89 (i.e. the lower range of G</w:t>
      </w:r>
      <w:r w:rsidRPr="00B04DC3">
        <w:rPr>
          <w:vertAlign w:val="subscript"/>
          <w:lang w:val="en-GB"/>
        </w:rPr>
        <w:t>R</w:t>
      </w:r>
      <w:r w:rsidRPr="00B04DC3">
        <w:rPr>
          <w:lang w:val="en-GB"/>
        </w:rPr>
        <w:t>) and 1.19 (i.e. the upper range of G</w:t>
      </w:r>
      <w:r w:rsidRPr="00B04DC3">
        <w:rPr>
          <w:vertAlign w:val="subscript"/>
          <w:lang w:val="en-GB"/>
        </w:rPr>
        <w:t>25</w:t>
      </w:r>
      <w:r w:rsidRPr="00B04DC3">
        <w:rPr>
          <w:lang w:val="en-GB"/>
        </w:rPr>
        <w:t>), for example when fuel 3 is a market fuel</w:t>
      </w:r>
      <w:r w:rsidR="00401E79" w:rsidRPr="00B04DC3">
        <w:rPr>
          <w:lang w:val="en-GB"/>
        </w:rPr>
        <w:t xml:space="preserve">. </w:t>
      </w:r>
      <w:r w:rsidRPr="00B04DC3">
        <w:rPr>
          <w:lang w:val="en-GB"/>
        </w:rPr>
        <w:t>The results of this test may be used as a basis for the evaluation of the conformity of the production.</w:t>
      </w:r>
    </w:p>
    <w:p w:rsidR="00CF0D17" w:rsidRPr="00B04DC3" w:rsidRDefault="00CF0D17" w:rsidP="00A353CD">
      <w:pPr>
        <w:pStyle w:val="para"/>
        <w:rPr>
          <w:lang w:val="en-GB"/>
        </w:rPr>
      </w:pPr>
      <w:r w:rsidRPr="00B04DC3">
        <w:rPr>
          <w:lang w:val="en-GB"/>
        </w:rPr>
        <w:t>4.1.4.</w:t>
      </w:r>
      <w:r w:rsidRPr="00B04DC3">
        <w:rPr>
          <w:lang w:val="en-GB"/>
        </w:rPr>
        <w:tab/>
        <w:t>In the case of CNG engines, including dual-fuel engines, the ratio of the emission results "r" shall be determined for each pollutant as follows:</w:t>
      </w:r>
    </w:p>
    <w:p w:rsidR="005437A8" w:rsidRDefault="00F5107F" w:rsidP="005437A8">
      <w:pPr>
        <w:pStyle w:val="para"/>
        <w:spacing w:after="0"/>
        <w:rPr>
          <w:lang w:val="en-GB"/>
        </w:rPr>
      </w:pPr>
      <w:r w:rsidRPr="00B04DC3">
        <w:rPr>
          <w:lang w:val="en-GB"/>
        </w:rPr>
        <w:tab/>
      </w:r>
      <w:r w:rsidR="00C0100D" w:rsidRPr="00B04DC3">
        <w:rPr>
          <w:lang w:val="en-GB"/>
        </w:rPr>
        <w:tab/>
      </w:r>
      <w:r w:rsidR="00A905B7">
        <w:rPr>
          <w:lang w:val="en-GB"/>
        </w:rPr>
      </w:r>
      <w:r w:rsidR="00A905B7">
        <w:rPr>
          <w:lang w:val="en-GB"/>
        </w:rPr>
        <w:pict>
          <v:group id="_x0000_s1400" editas="canvas" style="width:187.05pt;height:37.95pt;mso-position-horizontal-relative:char;mso-position-vertical-relative:line" coordsize="3741,759">
            <o:lock v:ext="edit" aspectratio="t"/>
            <v:shape id="_x0000_s1399" type="#_x0000_t75" style="position:absolute;width:3741;height:759" o:preferrelative="f">
              <v:fill o:detectmouseclick="t"/>
              <v:path o:extrusionok="t" o:connecttype="none"/>
              <o:lock v:ext="edit" text="t"/>
            </v:shape>
            <v:line id="_x0000_s1401" style="position:absolute" from="385,320" to="3654,320" strokeweight=".5pt"/>
            <v:rect id="_x0000_s1402" style="position:absolute;left:3521;top:354;width:101;height:240;mso-wrap-style:none" filled="f" stroked="f">
              <v:textbox style="mso-fit-shape-to-text:t" inset="0,0,0,0">
                <w:txbxContent>
                  <w:p w:rsidR="00A905B7" w:rsidRPr="00401E79" w:rsidRDefault="00A905B7">
                    <w:r w:rsidRPr="00401E79">
                      <w:rPr>
                        <w:color w:val="000000"/>
                      </w:rPr>
                      <w:t>1</w:t>
                    </w:r>
                  </w:p>
                </w:txbxContent>
              </v:textbox>
            </v:rect>
            <v:rect id="_x0000_s1403" style="position:absolute;left:3491;top:354;width:61;height:240;mso-wrap-style:none" filled="f" stroked="f">
              <v:textbox style="mso-fit-shape-to-text:t" inset="0,0,0,0">
                <w:txbxContent>
                  <w:p w:rsidR="00A905B7" w:rsidRDefault="00A905B7">
                    <w:r>
                      <w:rPr>
                        <w:color w:val="000000"/>
                        <w:sz w:val="24"/>
                        <w:szCs w:val="24"/>
                      </w:rPr>
                      <w:t xml:space="preserve"> </w:t>
                    </w:r>
                  </w:p>
                </w:txbxContent>
              </v:textbox>
            </v:rect>
            <v:rect id="_x0000_s1404" style="position:absolute;left:3131;top:354;width:311;height:240;mso-wrap-style:none" filled="f" stroked="f">
              <v:textbox style="mso-fit-shape-to-text:t" inset="0,0,0,0">
                <w:txbxContent>
                  <w:p w:rsidR="00A905B7" w:rsidRPr="00401E79" w:rsidRDefault="00A905B7">
                    <w:r w:rsidRPr="00401E79">
                      <w:rPr>
                        <w:color w:val="000000"/>
                      </w:rPr>
                      <w:t>fuel</w:t>
                    </w:r>
                  </w:p>
                </w:txbxContent>
              </v:textbox>
            </v:rect>
            <v:rect id="_x0000_s1405" style="position:absolute;left:3079;top:354;width:61;height:240;mso-wrap-style:none" filled="f" stroked="f">
              <v:textbox style="mso-fit-shape-to-text:t" inset="0,0,0,0">
                <w:txbxContent>
                  <w:p w:rsidR="00A905B7" w:rsidRDefault="00A905B7">
                    <w:r>
                      <w:rPr>
                        <w:color w:val="000000"/>
                        <w:sz w:val="24"/>
                        <w:szCs w:val="24"/>
                      </w:rPr>
                      <w:t xml:space="preserve"> </w:t>
                    </w:r>
                  </w:p>
                </w:txbxContent>
              </v:textbox>
            </v:rect>
            <v:rect id="_x0000_s1406" style="position:absolute;left:2205;top:354;width:744;height:240;mso-wrap-style:none" filled="f" stroked="f">
              <v:textbox style="mso-fit-shape-to-text:t" inset="0,0,0,0">
                <w:txbxContent>
                  <w:p w:rsidR="00A905B7" w:rsidRPr="00401E79" w:rsidRDefault="00A905B7">
                    <w:r w:rsidRPr="00401E79">
                      <w:rPr>
                        <w:color w:val="000000"/>
                      </w:rPr>
                      <w:t>reference</w:t>
                    </w:r>
                  </w:p>
                </w:txbxContent>
              </v:textbox>
            </v:rect>
            <v:rect id="_x0000_s1407" style="position:absolute;left:1909;top:354;width:201;height:240;mso-wrap-style:none" filled="f" stroked="f">
              <v:textbox style="mso-fit-shape-to-text:t" inset="0,0,0,0">
                <w:txbxContent>
                  <w:p w:rsidR="00A905B7" w:rsidRPr="00401E79" w:rsidRDefault="00A905B7">
                    <w:r w:rsidRPr="00401E79">
                      <w:rPr>
                        <w:color w:val="000000"/>
                      </w:rPr>
                      <w:t xml:space="preserve">on </w:t>
                    </w:r>
                  </w:p>
                </w:txbxContent>
              </v:textbox>
            </v:rect>
            <v:rect id="_x0000_s1408" style="position:absolute;left:1328;top:354;width:445;height:240;mso-wrap-style:none" filled="f" stroked="f">
              <v:textbox style="mso-fit-shape-to-text:t" inset="0,0,0,0">
                <w:txbxContent>
                  <w:p w:rsidR="00A905B7" w:rsidRPr="00401E79" w:rsidRDefault="00A905B7">
                    <w:r w:rsidRPr="00401E79">
                      <w:rPr>
                        <w:color w:val="000000"/>
                      </w:rPr>
                      <w:t xml:space="preserve">result </w:t>
                    </w:r>
                  </w:p>
                </w:txbxContent>
              </v:textbox>
            </v:rect>
            <v:rect id="_x0000_s1409" style="position:absolute;left:420;top:354;width:712;height:240;mso-wrap-style:none" filled="f" stroked="f">
              <v:textbox style="mso-fit-shape-to-text:t" inset="0,0,0,0">
                <w:txbxContent>
                  <w:p w:rsidR="00A905B7" w:rsidRPr="00401E79" w:rsidRDefault="00A905B7">
                    <w:r w:rsidRPr="00401E79">
                      <w:rPr>
                        <w:color w:val="000000"/>
                      </w:rPr>
                      <w:t xml:space="preserve">emission </w:t>
                    </w:r>
                  </w:p>
                </w:txbxContent>
              </v:textbox>
            </v:rect>
            <v:rect id="_x0000_s1410" style="position:absolute;left:3525;top:15;width:101;height:240;mso-wrap-style:none" filled="f" stroked="f">
              <v:textbox style="mso-fit-shape-to-text:t" inset="0,0,0,0">
                <w:txbxContent>
                  <w:p w:rsidR="00A905B7" w:rsidRPr="00401E79" w:rsidRDefault="00A905B7">
                    <w:r w:rsidRPr="00401E79">
                      <w:rPr>
                        <w:color w:val="000000"/>
                      </w:rPr>
                      <w:t>2</w:t>
                    </w:r>
                  </w:p>
                </w:txbxContent>
              </v:textbox>
            </v:rect>
            <v:rect id="_x0000_s1411" style="position:absolute;left:3469;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412" style="position:absolute;left:3109;top:15;width:311;height:240;mso-wrap-style:none" filled="f" stroked="f">
              <v:textbox style="mso-fit-shape-to-text:t" inset="0,0,0,0">
                <w:txbxContent>
                  <w:p w:rsidR="00A905B7" w:rsidRPr="00401E79" w:rsidRDefault="00A905B7">
                    <w:r w:rsidRPr="00401E79">
                      <w:rPr>
                        <w:color w:val="000000"/>
                      </w:rPr>
                      <w:t>fuel</w:t>
                    </w:r>
                  </w:p>
                </w:txbxContent>
              </v:textbox>
            </v:rect>
            <v:rect id="_x0000_s1413" style="position:absolute;left:3056;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414" style="position:absolute;left:2183;top:15;width:744;height:240;mso-wrap-style:none" filled="f" stroked="f">
              <v:textbox style="mso-fit-shape-to-text:t" inset="0,0,0,0">
                <w:txbxContent>
                  <w:p w:rsidR="00A905B7" w:rsidRPr="00401E79" w:rsidRDefault="00A905B7">
                    <w:r w:rsidRPr="00401E79">
                      <w:rPr>
                        <w:color w:val="000000"/>
                      </w:rPr>
                      <w:t>reference</w:t>
                    </w:r>
                  </w:p>
                </w:txbxContent>
              </v:textbox>
            </v:rect>
            <v:rect id="_x0000_s1415" style="position:absolute;left:1886;top:15;width:201;height:240;mso-wrap-style:none" filled="f" stroked="f">
              <v:textbox style="mso-fit-shape-to-text:t" inset="0,0,0,0">
                <w:txbxContent>
                  <w:p w:rsidR="00A905B7" w:rsidRPr="00D748C9" w:rsidRDefault="00A905B7">
                    <w:r w:rsidRPr="00D748C9">
                      <w:rPr>
                        <w:color w:val="000000"/>
                      </w:rPr>
                      <w:t xml:space="preserve">on </w:t>
                    </w:r>
                  </w:p>
                </w:txbxContent>
              </v:textbox>
            </v:rect>
            <v:rect id="_x0000_s1416" style="position:absolute;left:1305;top:15;width:445;height:240;mso-wrap-style:none" filled="f" stroked="f">
              <v:textbox style="mso-fit-shape-to-text:t" inset="0,0,0,0">
                <w:txbxContent>
                  <w:p w:rsidR="00A905B7" w:rsidRPr="00D748C9" w:rsidRDefault="00A905B7">
                    <w:r w:rsidRPr="00D748C9">
                      <w:rPr>
                        <w:color w:val="000000"/>
                      </w:rPr>
                      <w:t xml:space="preserve">result </w:t>
                    </w:r>
                  </w:p>
                </w:txbxContent>
              </v:textbox>
            </v:rect>
            <v:rect id="_x0000_s1417" style="position:absolute;left:398;top:15;width:712;height:240;mso-wrap-style:none" filled="f" stroked="f">
              <v:textbox style="mso-fit-shape-to-text:t" inset="0,0,0,0">
                <w:txbxContent>
                  <w:p w:rsidR="00A905B7" w:rsidRPr="00D748C9" w:rsidRDefault="00A905B7">
                    <w:r w:rsidRPr="00D748C9">
                      <w:rPr>
                        <w:color w:val="000000"/>
                      </w:rPr>
                      <w:t xml:space="preserve">emission </w:t>
                    </w:r>
                  </w:p>
                </w:txbxContent>
              </v:textbox>
            </v:rect>
            <v:rect id="_x0000_s1418" style="position:absolute;left:36;top:166;width:80;height:276;mso-wrap-style:none" filled="f" stroked="f">
              <v:textbox style="mso-fit-shape-to-text:t" inset="0,0,0,0">
                <w:txbxContent>
                  <w:p w:rsidR="00A905B7" w:rsidRDefault="00A905B7">
                    <w:r>
                      <w:rPr>
                        <w:color w:val="000000"/>
                        <w:sz w:val="24"/>
                        <w:szCs w:val="24"/>
                      </w:rPr>
                      <w:t>r</w:t>
                    </w:r>
                  </w:p>
                </w:txbxContent>
              </v:textbox>
            </v:rect>
            <v:rect id="_x0000_s1419" style="position:absolute;left:186;top:139;width:132;height:294;mso-wrap-style:none" filled="f" stroked="f">
              <v:textbox style="mso-fit-shape-to-text:t" inset="0,0,0,0">
                <w:txbxContent>
                  <w:p w:rsidR="00A905B7" w:rsidRDefault="00A905B7">
                    <w:r>
                      <w:rPr>
                        <w:rFonts w:ascii="Symbol" w:hAnsi="Symbol" w:cs="Symbol"/>
                        <w:color w:val="000000"/>
                        <w:sz w:val="24"/>
                        <w:szCs w:val="24"/>
                      </w:rPr>
                      <w:t></w:t>
                    </w:r>
                  </w:p>
                </w:txbxContent>
              </v:textbox>
            </v:rect>
            <w10:wrap type="none"/>
            <w10:anchorlock/>
          </v:group>
        </w:pict>
      </w:r>
    </w:p>
    <w:p w:rsidR="00C0100D" w:rsidRPr="00B04DC3" w:rsidRDefault="00F5107F" w:rsidP="00CF0D17">
      <w:pPr>
        <w:pStyle w:val="para"/>
        <w:rPr>
          <w:lang w:val="en-GB"/>
        </w:rPr>
      </w:pPr>
      <w:r w:rsidRPr="00B04DC3">
        <w:rPr>
          <w:lang w:val="en-GB"/>
        </w:rPr>
        <w:tab/>
        <w:t>or,</w:t>
      </w:r>
    </w:p>
    <w:p w:rsidR="005437A8" w:rsidRDefault="00C0100D" w:rsidP="005437A8">
      <w:pPr>
        <w:pStyle w:val="para"/>
        <w:spacing w:after="0"/>
        <w:rPr>
          <w:lang w:val="en-GB"/>
        </w:rPr>
      </w:pPr>
      <w:r w:rsidRPr="00B04DC3">
        <w:rPr>
          <w:lang w:val="en-GB"/>
        </w:rPr>
        <w:tab/>
      </w:r>
      <w:r w:rsidRPr="00B04DC3">
        <w:rPr>
          <w:lang w:val="en-GB"/>
        </w:rPr>
        <w:tab/>
      </w:r>
      <w:r w:rsidR="00A905B7">
        <w:rPr>
          <w:lang w:val="en-GB"/>
        </w:rPr>
      </w:r>
      <w:r w:rsidR="00A905B7">
        <w:rPr>
          <w:lang w:val="en-GB"/>
        </w:rPr>
        <w:pict>
          <v:group id="_x0000_s1331" editas="canvas" style="width:199.15pt;height:36pt;mso-position-horizontal-relative:char;mso-position-vertical-relative:line" coordsize="3983,720">
            <o:lock v:ext="edit" aspectratio="t"/>
            <v:shape id="_x0000_s1330" type="#_x0000_t75" style="position:absolute;width:3983;height:720" o:preferrelative="f">
              <v:fill o:detectmouseclick="t"/>
              <v:path o:extrusionok="t" o:connecttype="none"/>
              <o:lock v:ext="edit" text="t"/>
            </v:shape>
            <v:line id="_x0000_s1332" style="position:absolute" from="482,317" to="3750,317" strokeweight=".5pt"/>
            <v:rect id="_x0000_s1333" style="position:absolute;left:3621;top:351;width:101;height:240;mso-wrap-style:none" filled="f" stroked="f">
              <v:textbox style="mso-fit-shape-to-text:t" inset="0,0,0,0">
                <w:txbxContent>
                  <w:p w:rsidR="00A905B7" w:rsidRPr="00864CF5" w:rsidRDefault="00A905B7">
                    <w:r w:rsidRPr="00864CF5">
                      <w:rPr>
                        <w:color w:val="000000"/>
                      </w:rPr>
                      <w:t>3</w:t>
                    </w:r>
                  </w:p>
                </w:txbxContent>
              </v:textbox>
            </v:rect>
            <v:rect id="_x0000_s1334" style="position:absolute;left:3572;top:351;width:128;height:369" filled="f" stroked="f">
              <v:textbox inset="0,0,0,0">
                <w:txbxContent>
                  <w:p w:rsidR="00A905B7" w:rsidRPr="00AB712B" w:rsidRDefault="00A905B7" w:rsidP="00AB712B"/>
                </w:txbxContent>
              </v:textbox>
            </v:rect>
            <v:rect id="_x0000_s1335" style="position:absolute;left:3212;top:351;width:311;height:240;mso-wrap-style:none" filled="f" stroked="f">
              <v:textbox style="mso-fit-shape-to-text:t" inset="0,0,0,0">
                <w:txbxContent>
                  <w:p w:rsidR="00A905B7" w:rsidRPr="00700CBE" w:rsidRDefault="00A905B7">
                    <w:r w:rsidRPr="00700CBE">
                      <w:rPr>
                        <w:color w:val="000000"/>
                      </w:rPr>
                      <w:t>fuel</w:t>
                    </w:r>
                  </w:p>
                </w:txbxContent>
              </v:textbox>
            </v:rect>
            <v:rect id="_x0000_s1336" style="position:absolute;left:3160;top:351;width:61;height:240;mso-wrap-style:none" filled="f" stroked="f">
              <v:textbox style="mso-fit-shape-to-text:t" inset="0,0,0,0">
                <w:txbxContent>
                  <w:p w:rsidR="00A905B7" w:rsidRDefault="00A905B7">
                    <w:r>
                      <w:rPr>
                        <w:color w:val="000000"/>
                        <w:sz w:val="24"/>
                        <w:szCs w:val="24"/>
                      </w:rPr>
                      <w:t xml:space="preserve"> </w:t>
                    </w:r>
                  </w:p>
                </w:txbxContent>
              </v:textbox>
            </v:rect>
            <v:rect id="_x0000_s1337" style="position:absolute;left:2286;top:351;width:744;height:240;mso-wrap-style:none" filled="f" stroked="f">
              <v:textbox style="mso-fit-shape-to-text:t" inset="0,0,0,0">
                <w:txbxContent>
                  <w:p w:rsidR="00A905B7" w:rsidRPr="00700CBE" w:rsidRDefault="00A905B7">
                    <w:r w:rsidRPr="00700CBE">
                      <w:rPr>
                        <w:color w:val="000000"/>
                      </w:rPr>
                      <w:t>reference</w:t>
                    </w:r>
                  </w:p>
                </w:txbxContent>
              </v:textbox>
            </v:rect>
            <v:rect id="_x0000_s1338" style="position:absolute;left:1990;top:351;width:201;height:240;mso-wrap-style:none" filled="f" stroked="f">
              <v:textbox style="mso-fit-shape-to-text:t" inset="0,0,0,0">
                <w:txbxContent>
                  <w:p w:rsidR="00A905B7" w:rsidRPr="00700CBE" w:rsidRDefault="00A905B7">
                    <w:r w:rsidRPr="00700CBE">
                      <w:rPr>
                        <w:color w:val="000000"/>
                      </w:rPr>
                      <w:t xml:space="preserve">on </w:t>
                    </w:r>
                  </w:p>
                </w:txbxContent>
              </v:textbox>
            </v:rect>
            <v:rect id="_x0000_s1339" style="position:absolute;left:1410;top:351;width:445;height:240;mso-wrap-style:none" filled="f" stroked="f">
              <v:textbox style="mso-fit-shape-to-text:t" inset="0,0,0,0">
                <w:txbxContent>
                  <w:p w:rsidR="00A905B7" w:rsidRPr="00700CBE" w:rsidRDefault="00A905B7">
                    <w:r w:rsidRPr="00700CBE">
                      <w:rPr>
                        <w:color w:val="000000"/>
                      </w:rPr>
                      <w:t xml:space="preserve">result </w:t>
                    </w:r>
                  </w:p>
                </w:txbxContent>
              </v:textbox>
            </v:rect>
            <v:rect id="_x0000_s1340" style="position:absolute;left:502;top:351;width:712;height:240;mso-wrap-style:none" filled="f" stroked="f">
              <v:textbox style="mso-fit-shape-to-text:t" inset="0,0,0,0">
                <w:txbxContent>
                  <w:p w:rsidR="00A905B7" w:rsidRPr="00700CBE" w:rsidRDefault="00A905B7">
                    <w:r w:rsidRPr="00700CBE">
                      <w:rPr>
                        <w:color w:val="000000"/>
                      </w:rPr>
                      <w:t xml:space="preserve">emission </w:t>
                    </w:r>
                  </w:p>
                </w:txbxContent>
              </v:textbox>
            </v:rect>
            <v:rect id="_x0000_s1341" style="position:absolute;left:3621;top:15;width:101;height:240;mso-wrap-style:none" filled="f" stroked="f">
              <v:textbox style="mso-fit-shape-to-text:t" inset="0,0,0,0">
                <w:txbxContent>
                  <w:p w:rsidR="00A905B7" w:rsidRPr="00700CBE" w:rsidRDefault="00A905B7">
                    <w:r w:rsidRPr="00700CBE">
                      <w:rPr>
                        <w:color w:val="000000"/>
                      </w:rPr>
                      <w:t>2</w:t>
                    </w:r>
                  </w:p>
                </w:txbxContent>
              </v:textbox>
            </v:rect>
            <v:rect id="_x0000_s1342" style="position:absolute;left:3565;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43" style="position:absolute;left:3205;top:15;width:311;height:240;mso-wrap-style:none" filled="f" stroked="f">
              <v:textbox style="mso-fit-shape-to-text:t" inset="0,0,0,0">
                <w:txbxContent>
                  <w:p w:rsidR="00A905B7" w:rsidRPr="00700CBE" w:rsidRDefault="00A905B7">
                    <w:r w:rsidRPr="00700CBE">
                      <w:rPr>
                        <w:color w:val="000000"/>
                      </w:rPr>
                      <w:t>fuel</w:t>
                    </w:r>
                  </w:p>
                </w:txbxContent>
              </v:textbox>
            </v:rect>
            <v:rect id="_x0000_s1344" style="position:absolute;left:3152;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45" style="position:absolute;left:2279;top:15;width:744;height:240;mso-wrap-style:none" filled="f" stroked="f">
              <v:textbox style="mso-fit-shape-to-text:t" inset="0,0,0,0">
                <w:txbxContent>
                  <w:p w:rsidR="00A905B7" w:rsidRPr="00700CBE" w:rsidRDefault="00A905B7">
                    <w:r w:rsidRPr="00700CBE">
                      <w:rPr>
                        <w:color w:val="000000"/>
                      </w:rPr>
                      <w:t>reference</w:t>
                    </w:r>
                  </w:p>
                </w:txbxContent>
              </v:textbox>
            </v:rect>
            <v:rect id="_x0000_s1346" style="position:absolute;left:1983;top:15;width:201;height:240;mso-wrap-style:none" filled="f" stroked="f">
              <v:textbox style="mso-fit-shape-to-text:t" inset="0,0,0,0">
                <w:txbxContent>
                  <w:p w:rsidR="00A905B7" w:rsidRPr="00700CBE" w:rsidRDefault="00A905B7">
                    <w:r w:rsidRPr="00700CBE">
                      <w:rPr>
                        <w:color w:val="000000"/>
                      </w:rPr>
                      <w:t xml:space="preserve">on </w:t>
                    </w:r>
                  </w:p>
                </w:txbxContent>
              </v:textbox>
            </v:rect>
            <v:rect id="_x0000_s1347" style="position:absolute;left:1402;top:15;width:445;height:240;mso-wrap-style:none" filled="f" stroked="f">
              <v:textbox style="mso-fit-shape-to-text:t" inset="0,0,0,0">
                <w:txbxContent>
                  <w:p w:rsidR="00A905B7" w:rsidRPr="00700CBE" w:rsidRDefault="00A905B7">
                    <w:r w:rsidRPr="00700CBE">
                      <w:rPr>
                        <w:color w:val="000000"/>
                      </w:rPr>
                      <w:t xml:space="preserve">result </w:t>
                    </w:r>
                  </w:p>
                </w:txbxContent>
              </v:textbox>
            </v:rect>
            <v:rect id="_x0000_s1348" style="position:absolute;left:495;top:15;width:712;height:240;mso-wrap-style:none" filled="f" stroked="f">
              <v:textbox style="mso-fit-shape-to-text:t" inset="0,0,0,0">
                <w:txbxContent>
                  <w:p w:rsidR="00A905B7" w:rsidRPr="00700CBE" w:rsidRDefault="00A905B7">
                    <w:r w:rsidRPr="00700CBE">
                      <w:rPr>
                        <w:color w:val="000000"/>
                      </w:rPr>
                      <w:t xml:space="preserve">emission </w:t>
                    </w:r>
                  </w:p>
                </w:txbxContent>
              </v:textbox>
            </v:rect>
            <v:rect id="_x0000_s1349" style="position:absolute;left:36;top:165;width:80;height:276;mso-wrap-style:none" filled="f" stroked="f">
              <v:textbox style="mso-fit-shape-to-text:t" inset="0,0,0,0">
                <w:txbxContent>
                  <w:p w:rsidR="00A905B7" w:rsidRDefault="00A905B7">
                    <w:r>
                      <w:rPr>
                        <w:color w:val="000000"/>
                        <w:sz w:val="24"/>
                        <w:szCs w:val="24"/>
                      </w:rPr>
                      <w:t>r</w:t>
                    </w:r>
                  </w:p>
                </w:txbxContent>
              </v:textbox>
            </v:rect>
            <v:rect id="_x0000_s1350" style="position:absolute;left:110;top:295;width:72;height:240;mso-wrap-style:none" filled="f" stroked="f">
              <v:textbox style="mso-fit-shape-to-text:t" inset="0,0,0,0">
                <w:txbxContent>
                  <w:p w:rsidR="00A905B7" w:rsidRDefault="00A905B7">
                    <w:r>
                      <w:rPr>
                        <w:color w:val="000000"/>
                        <w:sz w:val="16"/>
                        <w:szCs w:val="16"/>
                      </w:rPr>
                      <w:t>a</w:t>
                    </w:r>
                  </w:p>
                </w:txbxContent>
              </v:textbox>
            </v:rect>
            <v:rect id="_x0000_s1351" style="position:absolute;left:284;top:138;width:132;height:294;mso-wrap-style:none" filled="f" stroked="f">
              <v:textbox style="mso-fit-shape-to-text:t" inset="0,0,0,0">
                <w:txbxContent>
                  <w:p w:rsidR="00A905B7" w:rsidRDefault="00A905B7">
                    <w:r>
                      <w:rPr>
                        <w:rFonts w:ascii="Symbol" w:hAnsi="Symbol" w:cs="Symbol"/>
                        <w:color w:val="000000"/>
                        <w:sz w:val="24"/>
                        <w:szCs w:val="24"/>
                      </w:rPr>
                      <w:t></w:t>
                    </w:r>
                  </w:p>
                </w:txbxContent>
              </v:textbox>
            </v:rect>
            <w10:wrap type="none"/>
            <w10:anchorlock/>
          </v:group>
        </w:pict>
      </w:r>
    </w:p>
    <w:p w:rsidR="00C0100D" w:rsidRPr="00B04DC3" w:rsidRDefault="00C0100D" w:rsidP="00A353CD">
      <w:pPr>
        <w:pStyle w:val="para"/>
        <w:rPr>
          <w:lang w:val="en-GB"/>
        </w:rPr>
      </w:pPr>
      <w:r w:rsidRPr="00B04DC3">
        <w:rPr>
          <w:lang w:val="en-GB"/>
        </w:rPr>
        <w:tab/>
        <w:t>and,</w:t>
      </w:r>
    </w:p>
    <w:p w:rsidR="00AB712B" w:rsidRDefault="00C0100D" w:rsidP="005437A8">
      <w:pPr>
        <w:pStyle w:val="para"/>
        <w:spacing w:after="0"/>
        <w:rPr>
          <w:lang w:val="en-GB"/>
        </w:rPr>
      </w:pPr>
      <w:r w:rsidRPr="00B04DC3">
        <w:rPr>
          <w:lang w:val="en-GB"/>
        </w:rPr>
        <w:tab/>
      </w:r>
      <w:r w:rsidRPr="00B04DC3">
        <w:rPr>
          <w:lang w:val="en-GB"/>
        </w:rPr>
        <w:tab/>
      </w:r>
      <w:r w:rsidR="00A905B7">
        <w:rPr>
          <w:lang w:val="en-GB"/>
        </w:rPr>
      </w:r>
      <w:r w:rsidR="00A905B7">
        <w:rPr>
          <w:lang w:val="en-GB"/>
        </w:rPr>
        <w:pict>
          <v:group id="_x0000_s1354" editas="canvas" style="width:191.65pt;height:29.55pt;mso-position-horizontal-relative:char;mso-position-vertical-relative:line" coordsize="3833,591">
            <o:lock v:ext="edit" aspectratio="t"/>
            <v:shape id="_x0000_s1353" type="#_x0000_t75" style="position:absolute;width:3833;height:591" o:preferrelative="f">
              <v:fill o:detectmouseclick="t"/>
              <v:path o:extrusionok="t" o:connecttype="none"/>
              <o:lock v:ext="edit" text="t"/>
            </v:shape>
            <v:line id="_x0000_s1355" style="position:absolute" from="487,317" to="3740,317" strokeweight=".5pt"/>
            <v:rect id="_x0000_s1356" style="position:absolute;left:3618;top:351;width:101;height:240;mso-wrap-style:none" filled="f" stroked="f">
              <v:textbox style="mso-fit-shape-to-text:t" inset="0,0,0,0">
                <w:txbxContent>
                  <w:p w:rsidR="00A905B7" w:rsidRPr="00700CBE" w:rsidRDefault="00A905B7">
                    <w:r w:rsidRPr="00700CBE">
                      <w:rPr>
                        <w:color w:val="000000"/>
                      </w:rPr>
                      <w:t>3</w:t>
                    </w:r>
                  </w:p>
                </w:txbxContent>
              </v:textbox>
            </v:rect>
            <v:rect id="_x0000_s1357" style="position:absolute;left:3570;top:351;width:61;height:240;mso-wrap-style:none" filled="f" stroked="f">
              <v:textbox style="mso-fit-shape-to-text:t" inset="0,0,0,0">
                <w:txbxContent>
                  <w:p w:rsidR="00A905B7" w:rsidRDefault="00A905B7">
                    <w:r>
                      <w:rPr>
                        <w:color w:val="000000"/>
                        <w:sz w:val="24"/>
                        <w:szCs w:val="24"/>
                      </w:rPr>
                      <w:t xml:space="preserve"> </w:t>
                    </w:r>
                  </w:p>
                </w:txbxContent>
              </v:textbox>
            </v:rect>
            <v:rect id="_x0000_s1358" style="position:absolute;left:3210;top:351;width:311;height:240;mso-wrap-style:none" filled="f" stroked="f">
              <v:textbox style="mso-fit-shape-to-text:t" inset="0,0,0,0">
                <w:txbxContent>
                  <w:p w:rsidR="00A905B7" w:rsidRDefault="00A905B7">
                    <w:r w:rsidRPr="00700CBE">
                      <w:rPr>
                        <w:color w:val="000000"/>
                      </w:rPr>
                      <w:t>fuel</w:t>
                    </w:r>
                  </w:p>
                </w:txbxContent>
              </v:textbox>
            </v:rect>
            <v:rect id="_x0000_s1359" style="position:absolute;left:3157;top:351;width:61;height:240;mso-wrap-style:none" filled="f" stroked="f">
              <v:textbox style="mso-fit-shape-to-text:t" inset="0,0,0,0">
                <w:txbxContent>
                  <w:p w:rsidR="00A905B7" w:rsidRDefault="00A905B7">
                    <w:r>
                      <w:rPr>
                        <w:color w:val="000000"/>
                        <w:sz w:val="24"/>
                        <w:szCs w:val="24"/>
                      </w:rPr>
                      <w:t xml:space="preserve"> </w:t>
                    </w:r>
                  </w:p>
                </w:txbxContent>
              </v:textbox>
            </v:rect>
            <v:rect id="_x0000_s1360" style="position:absolute;left:2284;top:351;width:744;height:240;mso-wrap-style:none" filled="f" stroked="f">
              <v:textbox style="mso-fit-shape-to-text:t" inset="0,0,0,0">
                <w:txbxContent>
                  <w:p w:rsidR="00A905B7" w:rsidRDefault="00A905B7">
                    <w:r w:rsidRPr="00700CBE">
                      <w:rPr>
                        <w:color w:val="000000"/>
                      </w:rPr>
                      <w:t>reference</w:t>
                    </w:r>
                  </w:p>
                </w:txbxContent>
              </v:textbox>
            </v:rect>
            <v:rect id="_x0000_s1361" style="position:absolute;left:1988;top:351;width:201;height:240;mso-wrap-style:none" filled="f" stroked="f">
              <v:textbox style="mso-fit-shape-to-text:t" inset="0,0,0,0">
                <w:txbxContent>
                  <w:p w:rsidR="00A905B7" w:rsidRDefault="00A905B7">
                    <w:r w:rsidRPr="00700CBE">
                      <w:rPr>
                        <w:color w:val="000000"/>
                      </w:rPr>
                      <w:t>on</w:t>
                    </w:r>
                    <w:r>
                      <w:rPr>
                        <w:color w:val="000000"/>
                        <w:sz w:val="24"/>
                        <w:szCs w:val="24"/>
                      </w:rPr>
                      <w:t xml:space="preserve"> </w:t>
                    </w:r>
                  </w:p>
                </w:txbxContent>
              </v:textbox>
            </v:rect>
            <v:rect id="_x0000_s1362" style="position:absolute;left:1407;top:351;width:445;height:240;mso-wrap-style:none" filled="f" stroked="f">
              <v:textbox style="mso-fit-shape-to-text:t" inset="0,0,0,0">
                <w:txbxContent>
                  <w:p w:rsidR="00A905B7" w:rsidRDefault="00A905B7">
                    <w:r w:rsidRPr="00700CBE">
                      <w:rPr>
                        <w:color w:val="000000"/>
                      </w:rPr>
                      <w:t>result</w:t>
                    </w:r>
                    <w:r>
                      <w:rPr>
                        <w:color w:val="000000"/>
                        <w:sz w:val="24"/>
                        <w:szCs w:val="24"/>
                      </w:rPr>
                      <w:t xml:space="preserve"> </w:t>
                    </w:r>
                  </w:p>
                </w:txbxContent>
              </v:textbox>
            </v:rect>
            <v:rect id="_x0000_s1363" style="position:absolute;left:500;top:351;width:712;height:240;mso-wrap-style:none" filled="f" stroked="f">
              <v:textbox style="mso-fit-shape-to-text:t" inset="0,0,0,0">
                <w:txbxContent>
                  <w:p w:rsidR="00A905B7" w:rsidRDefault="00A905B7">
                    <w:r w:rsidRPr="00700CBE">
                      <w:rPr>
                        <w:color w:val="000000"/>
                      </w:rPr>
                      <w:t>emission</w:t>
                    </w:r>
                    <w:r>
                      <w:rPr>
                        <w:color w:val="000000"/>
                        <w:sz w:val="24"/>
                        <w:szCs w:val="24"/>
                      </w:rPr>
                      <w:t xml:space="preserve"> </w:t>
                    </w:r>
                  </w:p>
                </w:txbxContent>
              </v:textbox>
            </v:rect>
            <v:rect id="_x0000_s1364" style="position:absolute;left:3615;top:15;width:101;height:240;mso-wrap-style:none" filled="f" stroked="f">
              <v:textbox style="mso-fit-shape-to-text:t" inset="0,0,0,0">
                <w:txbxContent>
                  <w:p w:rsidR="00A905B7" w:rsidRPr="00AB712B" w:rsidRDefault="00A905B7">
                    <w:r w:rsidRPr="00AB712B">
                      <w:rPr>
                        <w:color w:val="000000"/>
                      </w:rPr>
                      <w:t>1</w:t>
                    </w:r>
                  </w:p>
                </w:txbxContent>
              </v:textbox>
            </v:rect>
            <v:rect id="_x0000_s1365" style="position:absolute;left:3585;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66" style="position:absolute;left:3225;top:15;width:311;height:240;mso-wrap-style:none" filled="f" stroked="f">
              <v:textbox style="mso-fit-shape-to-text:t" inset="0,0,0,0">
                <w:txbxContent>
                  <w:p w:rsidR="00A905B7" w:rsidRDefault="00A905B7">
                    <w:r w:rsidRPr="00700CBE">
                      <w:rPr>
                        <w:color w:val="000000"/>
                      </w:rPr>
                      <w:t>fuel</w:t>
                    </w:r>
                  </w:p>
                </w:txbxContent>
              </v:textbox>
            </v:rect>
            <v:rect id="_x0000_s1367" style="position:absolute;left:3172;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68" style="position:absolute;left:2299;top:15;width:744;height:240;mso-wrap-style:none" filled="f" stroked="f">
              <v:textbox style="mso-fit-shape-to-text:t" inset="0,0,0,0">
                <w:txbxContent>
                  <w:p w:rsidR="00A905B7" w:rsidRDefault="00A905B7">
                    <w:r w:rsidRPr="00700CBE">
                      <w:rPr>
                        <w:color w:val="000000"/>
                      </w:rPr>
                      <w:t>reference</w:t>
                    </w:r>
                  </w:p>
                </w:txbxContent>
              </v:textbox>
            </v:rect>
            <v:rect id="_x0000_s1369" style="position:absolute;left:2003;top:15;width:201;height:240;mso-wrap-style:none" filled="f" stroked="f">
              <v:textbox style="mso-fit-shape-to-text:t" inset="0,0,0,0">
                <w:txbxContent>
                  <w:p w:rsidR="00A905B7" w:rsidRDefault="00A905B7">
                    <w:r w:rsidRPr="00700CBE">
                      <w:rPr>
                        <w:color w:val="000000"/>
                      </w:rPr>
                      <w:t>on</w:t>
                    </w:r>
                    <w:r>
                      <w:rPr>
                        <w:color w:val="000000"/>
                        <w:sz w:val="24"/>
                        <w:szCs w:val="24"/>
                      </w:rPr>
                      <w:t xml:space="preserve"> </w:t>
                    </w:r>
                  </w:p>
                </w:txbxContent>
              </v:textbox>
            </v:rect>
            <v:rect id="_x0000_s1370" style="position:absolute;left:1422;top:15;width:445;height:240;mso-wrap-style:none" filled="f" stroked="f">
              <v:textbox style="mso-fit-shape-to-text:t" inset="0,0,0,0">
                <w:txbxContent>
                  <w:p w:rsidR="00A905B7" w:rsidRDefault="00A905B7">
                    <w:r w:rsidRPr="00700CBE">
                      <w:rPr>
                        <w:color w:val="000000"/>
                      </w:rPr>
                      <w:t>result</w:t>
                    </w:r>
                    <w:r>
                      <w:rPr>
                        <w:color w:val="000000"/>
                        <w:sz w:val="24"/>
                        <w:szCs w:val="24"/>
                      </w:rPr>
                      <w:t xml:space="preserve"> </w:t>
                    </w:r>
                  </w:p>
                </w:txbxContent>
              </v:textbox>
            </v:rect>
            <v:rect id="_x0000_s1371" style="position:absolute;left:515;top:15;width:712;height:240;mso-wrap-style:none" filled="f" stroked="f">
              <v:textbox style="mso-fit-shape-to-text:t" inset="0,0,0,0">
                <w:txbxContent>
                  <w:p w:rsidR="00A905B7" w:rsidRPr="00700CBE" w:rsidRDefault="00A905B7">
                    <w:r w:rsidRPr="00700CBE">
                      <w:rPr>
                        <w:color w:val="000000"/>
                      </w:rPr>
                      <w:t xml:space="preserve">emission </w:t>
                    </w:r>
                  </w:p>
                </w:txbxContent>
              </v:textbox>
            </v:rect>
            <v:rect id="_x0000_s1372" style="position:absolute;left:36;top:165;width:80;height:276;mso-wrap-style:none" filled="f" stroked="f">
              <v:textbox style="mso-fit-shape-to-text:t" inset="0,0,0,0">
                <w:txbxContent>
                  <w:p w:rsidR="00A905B7" w:rsidRDefault="00A905B7">
                    <w:r>
                      <w:rPr>
                        <w:color w:val="000000"/>
                        <w:sz w:val="24"/>
                        <w:szCs w:val="24"/>
                      </w:rPr>
                      <w:t>r</w:t>
                    </w:r>
                  </w:p>
                </w:txbxContent>
              </v:textbox>
            </v:rect>
            <v:rect id="_x0000_s1373" style="position:absolute;left:112;top:295;width:81;height:240;mso-wrap-style:none" filled="f" stroked="f">
              <v:textbox style="mso-fit-shape-to-text:t" inset="0,0,0,0">
                <w:txbxContent>
                  <w:p w:rsidR="00A905B7" w:rsidRDefault="00A905B7">
                    <w:r>
                      <w:rPr>
                        <w:color w:val="000000"/>
                        <w:sz w:val="16"/>
                        <w:szCs w:val="16"/>
                      </w:rPr>
                      <w:t>b</w:t>
                    </w:r>
                  </w:p>
                </w:txbxContent>
              </v:textbox>
            </v:rect>
            <v:rect id="_x0000_s1374" style="position:absolute;left:289;top:138;width:132;height:294;mso-wrap-style:none" filled="f" stroked="f">
              <v:textbox style="mso-fit-shape-to-text:t" inset="0,0,0,0">
                <w:txbxContent>
                  <w:p w:rsidR="00A905B7" w:rsidRDefault="00A905B7">
                    <w:r>
                      <w:rPr>
                        <w:rFonts w:ascii="Symbol" w:hAnsi="Symbol" w:cs="Symbol"/>
                        <w:color w:val="000000"/>
                        <w:sz w:val="24"/>
                        <w:szCs w:val="24"/>
                      </w:rPr>
                      <w:t></w:t>
                    </w:r>
                  </w:p>
                </w:txbxContent>
              </v:textbox>
            </v:rect>
            <w10:wrap type="none"/>
            <w10:anchorlock/>
          </v:group>
        </w:pict>
      </w:r>
    </w:p>
    <w:p w:rsidR="005437A8" w:rsidRPr="00B04DC3" w:rsidRDefault="005437A8" w:rsidP="00A353CD">
      <w:pPr>
        <w:pStyle w:val="para"/>
        <w:rPr>
          <w:sz w:val="2"/>
          <w:szCs w:val="2"/>
          <w:lang w:val="en-GB"/>
        </w:rPr>
      </w:pPr>
    </w:p>
    <w:p w:rsidR="00C0100D" w:rsidRPr="00B04DC3" w:rsidRDefault="00C0100D" w:rsidP="00A353CD">
      <w:pPr>
        <w:pStyle w:val="para"/>
        <w:rPr>
          <w:lang w:val="en-GB"/>
        </w:rPr>
      </w:pPr>
      <w:r w:rsidRPr="00B04DC3">
        <w:rPr>
          <w:lang w:val="en-GB"/>
        </w:rPr>
        <w:t>4.1.5.</w:t>
      </w:r>
      <w:r w:rsidRPr="00B04DC3">
        <w:rPr>
          <w:lang w:val="en-GB"/>
        </w:rPr>
        <w:tab/>
      </w:r>
      <w:r w:rsidR="003D37B5" w:rsidRPr="00B04DC3">
        <w:rPr>
          <w:lang w:val="en-GB"/>
        </w:rPr>
        <w:t>In the case of LPG the parent engine, including in the case of a dual-fuel engine family, should demonstrate its capability to adapt to any fuel composition that may occur across the market. In the case of LPG there are variations in C</w:t>
      </w:r>
      <w:r w:rsidR="003D37B5" w:rsidRPr="00B04DC3">
        <w:rPr>
          <w:vertAlign w:val="subscript"/>
          <w:lang w:val="en-GB"/>
        </w:rPr>
        <w:t>3</w:t>
      </w:r>
      <w:r w:rsidR="003D37B5" w:rsidRPr="00B04DC3">
        <w:rPr>
          <w:lang w:val="en-GB"/>
        </w:rPr>
        <w:t>/C</w:t>
      </w:r>
      <w:r w:rsidR="003D37B5" w:rsidRPr="00B04DC3">
        <w:rPr>
          <w:vertAlign w:val="subscript"/>
          <w:lang w:val="en-GB"/>
        </w:rPr>
        <w:t>4</w:t>
      </w:r>
      <w:r w:rsidR="003D37B5" w:rsidRPr="00B04DC3">
        <w:rPr>
          <w:lang w:val="en-GB"/>
        </w:rPr>
        <w:t xml:space="preserve"> composition.</w:t>
      </w:r>
      <w:r w:rsidR="00401E79" w:rsidRPr="00B04DC3">
        <w:rPr>
          <w:lang w:val="en-GB"/>
        </w:rPr>
        <w:t xml:space="preserve"> </w:t>
      </w:r>
      <w:r w:rsidRPr="00B04DC3">
        <w:rPr>
          <w:lang w:val="en-GB"/>
        </w:rPr>
        <w:t>These variations are reflected in the reference fuels</w:t>
      </w:r>
      <w:r w:rsidR="00401E79" w:rsidRPr="00B04DC3">
        <w:rPr>
          <w:lang w:val="en-GB"/>
        </w:rPr>
        <w:t xml:space="preserve">. </w:t>
      </w:r>
      <w:r w:rsidRPr="00B04DC3">
        <w:rPr>
          <w:lang w:val="en-GB"/>
        </w:rPr>
        <w:t>The parent engine should meet the emission requirements on the reference fuels A and B as specified in Annex 5 without any readjustment to the fuelling between the two tests</w:t>
      </w:r>
      <w:r w:rsidR="00401E79" w:rsidRPr="00B04DC3">
        <w:rPr>
          <w:lang w:val="en-GB"/>
        </w:rPr>
        <w:t xml:space="preserve">. </w:t>
      </w:r>
      <w:r w:rsidRPr="00B04DC3">
        <w:rPr>
          <w:lang w:val="en-GB"/>
        </w:rPr>
        <w:t>However, one adaptation run over one ETC cycle without measurement is permitted after the change of the fuel</w:t>
      </w:r>
      <w:r w:rsidR="00401E79" w:rsidRPr="00B04DC3">
        <w:rPr>
          <w:lang w:val="en-GB"/>
        </w:rPr>
        <w:t xml:space="preserve">. </w:t>
      </w:r>
      <w:r w:rsidRPr="00B04DC3">
        <w:rPr>
          <w:lang w:val="en-GB"/>
        </w:rPr>
        <w:t>Before testing, the parent engine shall be run-in using the procedure defined in paragraph 3. of Appendix 2 to Annex 4A.</w:t>
      </w:r>
    </w:p>
    <w:p w:rsidR="007908C1" w:rsidRDefault="00C0100D" w:rsidP="003D37B5">
      <w:pPr>
        <w:pStyle w:val="para"/>
        <w:rPr>
          <w:lang w:val="en-GB"/>
        </w:rPr>
      </w:pPr>
      <w:r w:rsidRPr="00B04DC3">
        <w:rPr>
          <w:lang w:val="en-GB"/>
        </w:rPr>
        <w:t>4.1.5.1.</w:t>
      </w:r>
      <w:r w:rsidRPr="00B04DC3">
        <w:rPr>
          <w:lang w:val="en-GB"/>
        </w:rPr>
        <w:tab/>
        <w:t xml:space="preserve">The ratio of emission results "r" shall be determined for each pollutant as </w:t>
      </w:r>
      <w:r w:rsidR="007908C1" w:rsidRPr="00B04DC3">
        <w:rPr>
          <w:lang w:val="en-GB"/>
        </w:rPr>
        <w:t>follows:</w:t>
      </w:r>
    </w:p>
    <w:p w:rsidR="00AB712B" w:rsidRPr="00B04DC3" w:rsidRDefault="00C0100D" w:rsidP="003D37B5">
      <w:pPr>
        <w:pStyle w:val="para"/>
        <w:rPr>
          <w:sz w:val="4"/>
          <w:szCs w:val="4"/>
          <w:lang w:val="en-GB"/>
        </w:rPr>
      </w:pPr>
      <w:r w:rsidRPr="00B04DC3">
        <w:rPr>
          <w:lang w:val="en-GB"/>
        </w:rPr>
        <w:tab/>
      </w:r>
      <w:r w:rsidR="00A905B7">
        <w:rPr>
          <w:lang w:val="en-GB"/>
        </w:rPr>
      </w:r>
      <w:r w:rsidR="00A905B7">
        <w:rPr>
          <w:lang w:val="en-GB"/>
        </w:rPr>
        <w:pict>
          <v:group id="_x0000_s1377" editas="canvas" style="width:189.7pt;height:36.1pt;mso-position-horizontal-relative:char;mso-position-vertical-relative:line" coordsize="3794,722">
            <o:lock v:ext="edit" aspectratio="t"/>
            <v:shape id="_x0000_s1376" type="#_x0000_t75" style="position:absolute;width:3794;height:722" o:preferrelative="f">
              <v:fill o:detectmouseclick="t"/>
              <v:path o:extrusionok="t" o:connecttype="none"/>
              <o:lock v:ext="edit" text="t"/>
            </v:shape>
            <v:line id="_x0000_s1378" style="position:absolute" from="385,317" to="3713,317" strokeweight=".5pt"/>
            <v:rect id="_x0000_s1379" style="position:absolute;left:3524;top:351;width:145;height:240;mso-wrap-style:none" filled="f" stroked="f">
              <v:textbox style="mso-fit-shape-to-text:t" inset="0,0,0,0">
                <w:txbxContent>
                  <w:p w:rsidR="00A905B7" w:rsidRPr="00AB712B" w:rsidRDefault="00A905B7">
                    <w:r w:rsidRPr="00AB712B">
                      <w:rPr>
                        <w:color w:val="000000"/>
                      </w:rPr>
                      <w:t>A</w:t>
                    </w:r>
                  </w:p>
                </w:txbxContent>
              </v:textbox>
            </v:rect>
            <v:rect id="_x0000_s1380" style="position:absolute;left:3468;top:351;width:61;height:240;mso-wrap-style:none" filled="f" stroked="f">
              <v:textbox style="mso-fit-shape-to-text:t" inset="0,0,0,0">
                <w:txbxContent>
                  <w:p w:rsidR="00A905B7" w:rsidRDefault="00A905B7">
                    <w:r>
                      <w:rPr>
                        <w:color w:val="000000"/>
                        <w:sz w:val="24"/>
                        <w:szCs w:val="24"/>
                      </w:rPr>
                      <w:t xml:space="preserve"> </w:t>
                    </w:r>
                  </w:p>
                </w:txbxContent>
              </v:textbox>
            </v:rect>
            <v:rect id="_x0000_s1381" style="position:absolute;left:3100;top:360;width:311;height:240;mso-wrap-style:none" filled="f" stroked="f">
              <v:textbox style="mso-fit-shape-to-text:t" inset="0,0,0,0">
                <w:txbxContent>
                  <w:p w:rsidR="00A905B7" w:rsidRPr="00AB712B" w:rsidRDefault="00A905B7">
                    <w:r w:rsidRPr="00AB712B">
                      <w:rPr>
                        <w:color w:val="000000"/>
                      </w:rPr>
                      <w:t>fuel</w:t>
                    </w:r>
                  </w:p>
                </w:txbxContent>
              </v:textbox>
            </v:rect>
            <v:rect id="_x0000_s1382" style="position:absolute;left:3056;top:351;width:61;height:240;mso-wrap-style:none" filled="f" stroked="f">
              <v:textbox style="mso-fit-shape-to-text:t" inset="0,0,0,0">
                <w:txbxContent>
                  <w:p w:rsidR="00A905B7" w:rsidRDefault="00A905B7">
                    <w:r>
                      <w:rPr>
                        <w:color w:val="000000"/>
                        <w:sz w:val="24"/>
                        <w:szCs w:val="24"/>
                      </w:rPr>
                      <w:t xml:space="preserve"> </w:t>
                    </w:r>
                  </w:p>
                </w:txbxContent>
              </v:textbox>
            </v:rect>
            <v:rect id="_x0000_s1383" style="position:absolute;left:2182;top:351;width:744;height:240;mso-wrap-style:none" filled="f" stroked="f">
              <v:textbox style="mso-fit-shape-to-text:t" inset="0,0,0,0">
                <w:txbxContent>
                  <w:p w:rsidR="00A905B7" w:rsidRPr="00AB712B" w:rsidRDefault="00A905B7">
                    <w:r w:rsidRPr="00AB712B">
                      <w:rPr>
                        <w:color w:val="000000"/>
                      </w:rPr>
                      <w:t>reference</w:t>
                    </w:r>
                  </w:p>
                </w:txbxContent>
              </v:textbox>
            </v:rect>
            <v:rect id="_x0000_s1384" style="position:absolute;left:1886;top:351;width:201;height:240;mso-wrap-style:none" filled="f" stroked="f">
              <v:textbox style="mso-fit-shape-to-text:t" inset="0,0,0,0">
                <w:txbxContent>
                  <w:p w:rsidR="00A905B7" w:rsidRPr="00AB712B" w:rsidRDefault="00A905B7">
                    <w:r w:rsidRPr="00AB712B">
                      <w:rPr>
                        <w:color w:val="000000"/>
                      </w:rPr>
                      <w:t xml:space="preserve">on </w:t>
                    </w:r>
                  </w:p>
                </w:txbxContent>
              </v:textbox>
            </v:rect>
            <v:rect id="_x0000_s1385" style="position:absolute;left:1305;top:351;width:445;height:240;mso-wrap-style:none" filled="f" stroked="f">
              <v:textbox style="mso-fit-shape-to-text:t" inset="0,0,0,0">
                <w:txbxContent>
                  <w:p w:rsidR="00A905B7" w:rsidRPr="00AB712B" w:rsidRDefault="00A905B7">
                    <w:r w:rsidRPr="00AB712B">
                      <w:rPr>
                        <w:color w:val="000000"/>
                      </w:rPr>
                      <w:t xml:space="preserve">result </w:t>
                    </w:r>
                  </w:p>
                </w:txbxContent>
              </v:textbox>
            </v:rect>
            <v:rect id="_x0000_s1386" style="position:absolute;left:398;top:351;width:712;height:240;mso-wrap-style:none" filled="f" stroked="f">
              <v:textbox style="mso-fit-shape-to-text:t" inset="0,0,0,0">
                <w:txbxContent>
                  <w:p w:rsidR="00A905B7" w:rsidRPr="00AB712B" w:rsidRDefault="00A905B7">
                    <w:r w:rsidRPr="00AB712B">
                      <w:rPr>
                        <w:color w:val="000000"/>
                      </w:rPr>
                      <w:t xml:space="preserve">emission </w:t>
                    </w:r>
                  </w:p>
                </w:txbxContent>
              </v:textbox>
            </v:rect>
            <v:rect id="_x0000_s1387" style="position:absolute;left:3536;top:15;width:134;height:240;mso-wrap-style:none" filled="f" stroked="f">
              <v:textbox style="mso-fit-shape-to-text:t" inset="0,0,0,0">
                <w:txbxContent>
                  <w:p w:rsidR="00A905B7" w:rsidRPr="00AB712B" w:rsidRDefault="00A905B7">
                    <w:r w:rsidRPr="00AB712B">
                      <w:rPr>
                        <w:color w:val="000000"/>
                      </w:rPr>
                      <w:t>B</w:t>
                    </w:r>
                  </w:p>
                </w:txbxContent>
              </v:textbox>
            </v:rect>
            <v:rect id="_x0000_s1388" style="position:absolute;left:3479;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89" style="position:absolute;left:3119;top:15;width:311;height:240;mso-wrap-style:none" filled="f" stroked="f">
              <v:textbox style="mso-fit-shape-to-text:t" inset="0,0,0,0">
                <w:txbxContent>
                  <w:p w:rsidR="00A905B7" w:rsidRPr="00AB712B" w:rsidRDefault="00A905B7">
                    <w:r w:rsidRPr="00AB712B">
                      <w:rPr>
                        <w:color w:val="000000"/>
                      </w:rPr>
                      <w:t>fuel</w:t>
                    </w:r>
                  </w:p>
                </w:txbxContent>
              </v:textbox>
            </v:rect>
            <v:rect id="_x0000_s1390" style="position:absolute;left:3067;top:15;width:61;height:240;mso-wrap-style:none" filled="f" stroked="f">
              <v:textbox style="mso-fit-shape-to-text:t" inset="0,0,0,0">
                <w:txbxContent>
                  <w:p w:rsidR="00A905B7" w:rsidRDefault="00A905B7">
                    <w:r>
                      <w:rPr>
                        <w:color w:val="000000"/>
                        <w:sz w:val="24"/>
                        <w:szCs w:val="24"/>
                      </w:rPr>
                      <w:t xml:space="preserve"> </w:t>
                    </w:r>
                  </w:p>
                </w:txbxContent>
              </v:textbox>
            </v:rect>
            <v:rect id="_x0000_s1391" style="position:absolute;left:2193;top:15;width:744;height:240;mso-wrap-style:none" filled="f" stroked="f">
              <v:textbox style="mso-fit-shape-to-text:t" inset="0,0,0,0">
                <w:txbxContent>
                  <w:p w:rsidR="00A905B7" w:rsidRPr="00AB712B" w:rsidRDefault="00A905B7">
                    <w:r w:rsidRPr="00AB712B">
                      <w:rPr>
                        <w:color w:val="000000"/>
                      </w:rPr>
                      <w:t>reference</w:t>
                    </w:r>
                  </w:p>
                </w:txbxContent>
              </v:textbox>
            </v:rect>
            <v:rect id="_x0000_s1392" style="position:absolute;left:1897;top:15;width:201;height:240;mso-wrap-style:none" filled="f" stroked="f">
              <v:textbox style="mso-fit-shape-to-text:t" inset="0,0,0,0">
                <w:txbxContent>
                  <w:p w:rsidR="00A905B7" w:rsidRPr="00AB712B" w:rsidRDefault="00A905B7">
                    <w:r w:rsidRPr="00AB712B">
                      <w:rPr>
                        <w:color w:val="000000"/>
                      </w:rPr>
                      <w:t xml:space="preserve">on </w:t>
                    </w:r>
                  </w:p>
                </w:txbxContent>
              </v:textbox>
            </v:rect>
            <v:rect id="_x0000_s1393" style="position:absolute;left:1316;top:15;width:445;height:240;mso-wrap-style:none" filled="f" stroked="f">
              <v:textbox style="mso-fit-shape-to-text:t" inset="0,0,0,0">
                <w:txbxContent>
                  <w:p w:rsidR="00A905B7" w:rsidRPr="00AB712B" w:rsidRDefault="00A905B7">
                    <w:r w:rsidRPr="00AB712B">
                      <w:rPr>
                        <w:color w:val="000000"/>
                      </w:rPr>
                      <w:t xml:space="preserve">result </w:t>
                    </w:r>
                  </w:p>
                </w:txbxContent>
              </v:textbox>
            </v:rect>
            <v:rect id="_x0000_s1394" style="position:absolute;left:409;top:15;width:712;height:240;mso-wrap-style:none" filled="f" stroked="f">
              <v:textbox style="mso-fit-shape-to-text:t" inset="0,0,0,0">
                <w:txbxContent>
                  <w:p w:rsidR="00A905B7" w:rsidRPr="00AB712B" w:rsidRDefault="00A905B7">
                    <w:r w:rsidRPr="00AB712B">
                      <w:rPr>
                        <w:color w:val="000000"/>
                      </w:rPr>
                      <w:t xml:space="preserve">emission </w:t>
                    </w:r>
                  </w:p>
                </w:txbxContent>
              </v:textbox>
            </v:rect>
            <v:rect id="_x0000_s1395" style="position:absolute;left:36;top:165;width:67;height:240;mso-wrap-style:none" filled="f" stroked="f">
              <v:textbox style="mso-fit-shape-to-text:t" inset="0,0,0,0">
                <w:txbxContent>
                  <w:p w:rsidR="00A905B7" w:rsidRPr="00F5107F" w:rsidRDefault="00A905B7">
                    <w:r w:rsidRPr="00F5107F">
                      <w:rPr>
                        <w:color w:val="000000"/>
                      </w:rPr>
                      <w:t>r</w:t>
                    </w:r>
                  </w:p>
                </w:txbxContent>
              </v:textbox>
            </v:rect>
            <v:rect id="_x0000_s1396" style="position:absolute;left:186;top:138;width:132;height:294;mso-wrap-style:none" filled="f" stroked="f">
              <v:textbox style="mso-fit-shape-to-text:t" inset="0,0,0,0">
                <w:txbxContent>
                  <w:p w:rsidR="00A905B7" w:rsidRDefault="00A905B7">
                    <w:r>
                      <w:rPr>
                        <w:rFonts w:ascii="Symbol" w:hAnsi="Symbol" w:cs="Symbol"/>
                        <w:color w:val="000000"/>
                        <w:sz w:val="24"/>
                        <w:szCs w:val="24"/>
                      </w:rPr>
                      <w:t></w:t>
                    </w:r>
                  </w:p>
                </w:txbxContent>
              </v:textbox>
            </v:rect>
            <w10:wrap type="none"/>
            <w10:anchorlock/>
          </v:group>
        </w:pict>
      </w:r>
    </w:p>
    <w:p w:rsidR="003D37B5" w:rsidRPr="005437A8" w:rsidRDefault="003D37B5" w:rsidP="003D37B5">
      <w:pPr>
        <w:pStyle w:val="para"/>
        <w:rPr>
          <w:spacing w:val="-2"/>
          <w:lang w:val="en-GB"/>
        </w:rPr>
      </w:pPr>
      <w:r w:rsidRPr="005437A8">
        <w:rPr>
          <w:spacing w:val="-2"/>
          <w:lang w:val="en-GB"/>
        </w:rPr>
        <w:t>4.1.6.</w:t>
      </w:r>
      <w:r w:rsidRPr="005437A8">
        <w:rPr>
          <w:spacing w:val="-2"/>
          <w:lang w:val="en-GB"/>
        </w:rPr>
        <w:tab/>
        <w:t>In the case of LNG the parent engine, including in the case of a dual-fuel engine family but excluding the case of LNG</w:t>
      </w:r>
      <w:r w:rsidRPr="005437A8">
        <w:rPr>
          <w:spacing w:val="-2"/>
          <w:vertAlign w:val="subscript"/>
          <w:lang w:val="en-GB"/>
        </w:rPr>
        <w:t>20</w:t>
      </w:r>
      <w:r w:rsidRPr="005437A8">
        <w:rPr>
          <w:spacing w:val="-2"/>
          <w:lang w:val="en-GB"/>
        </w:rPr>
        <w:t>, shall meet the requirements of this Regulation on the reference fuels G</w:t>
      </w:r>
      <w:r w:rsidRPr="005437A8">
        <w:rPr>
          <w:spacing w:val="-2"/>
          <w:vertAlign w:val="subscript"/>
          <w:lang w:val="en-GB"/>
        </w:rPr>
        <w:t>R</w:t>
      </w:r>
      <w:r w:rsidRPr="005437A8">
        <w:rPr>
          <w:spacing w:val="-2"/>
          <w:lang w:val="en-GB"/>
        </w:rPr>
        <w:t xml:space="preserve"> (fuel 1) and G</w:t>
      </w:r>
      <w:r w:rsidRPr="005437A8">
        <w:rPr>
          <w:spacing w:val="-2"/>
          <w:vertAlign w:val="subscript"/>
          <w:lang w:val="en-GB"/>
        </w:rPr>
        <w:t>20</w:t>
      </w:r>
      <w:r w:rsidRPr="005437A8">
        <w:rPr>
          <w:spacing w:val="-2"/>
          <w:lang w:val="en-GB"/>
        </w:rPr>
        <w:t xml:space="preserve"> (fuel 2), as specified in Annex 5, without any manual readjustment to the engine fuelling system between the two tests (self-adaptation is required). One adaptation run over one ETC cycle without measurement is permitted after the change of the fuel.</w:t>
      </w:r>
    </w:p>
    <w:p w:rsidR="00C0100D" w:rsidRPr="00B04DC3" w:rsidRDefault="00C0100D" w:rsidP="00A210A2">
      <w:pPr>
        <w:pStyle w:val="para"/>
        <w:rPr>
          <w:lang w:val="en-GB"/>
        </w:rPr>
      </w:pPr>
      <w:r w:rsidRPr="00B04DC3">
        <w:rPr>
          <w:lang w:val="en-GB"/>
        </w:rPr>
        <w:t>4.2.</w:t>
      </w:r>
      <w:r w:rsidRPr="00B04DC3">
        <w:rPr>
          <w:lang w:val="en-GB"/>
        </w:rPr>
        <w:tab/>
      </w:r>
      <w:r w:rsidR="00A353CD" w:rsidRPr="00B04DC3">
        <w:rPr>
          <w:lang w:val="en-GB"/>
        </w:rPr>
        <w:tab/>
      </w:r>
      <w:r w:rsidRPr="00B04DC3">
        <w:rPr>
          <w:lang w:val="en-GB"/>
        </w:rPr>
        <w:t>Granting of a fuel range restricted approval</w:t>
      </w:r>
    </w:p>
    <w:p w:rsidR="00C0100D" w:rsidRPr="00B04DC3" w:rsidRDefault="00C0100D" w:rsidP="00A353CD">
      <w:pPr>
        <w:pStyle w:val="para"/>
        <w:rPr>
          <w:lang w:val="en-GB"/>
        </w:rPr>
      </w:pPr>
      <w:r w:rsidRPr="00B04DC3">
        <w:rPr>
          <w:lang w:val="en-GB"/>
        </w:rPr>
        <w:tab/>
        <w:t>Fuel range restricted approval is granted subject to the following requirements.</w:t>
      </w:r>
    </w:p>
    <w:p w:rsidR="003D37B5" w:rsidRPr="00B04DC3" w:rsidRDefault="003D37B5" w:rsidP="003D37B5">
      <w:pPr>
        <w:keepNext/>
        <w:keepLines/>
        <w:spacing w:after="120"/>
        <w:ind w:left="2268" w:right="1134" w:hanging="1134"/>
        <w:jc w:val="both"/>
      </w:pPr>
      <w:r w:rsidRPr="00B04DC3">
        <w:t>4.2.1.</w:t>
      </w:r>
      <w:r w:rsidRPr="00B04DC3">
        <w:tab/>
        <w:t>Exhaust emissions approval of an engine running on CNG and laid out for operation on either the range of H-gases or on the range of L-gases</w:t>
      </w:r>
    </w:p>
    <w:p w:rsidR="00C0100D" w:rsidRPr="00B04DC3" w:rsidRDefault="00D00049" w:rsidP="00D00049">
      <w:pPr>
        <w:pStyle w:val="para"/>
        <w:rPr>
          <w:lang w:val="en-GB"/>
        </w:rPr>
      </w:pPr>
      <w:r w:rsidRPr="00B04DC3">
        <w:rPr>
          <w:lang w:val="en-GB"/>
        </w:rPr>
        <w:tab/>
      </w:r>
      <w:r w:rsidR="003D37B5" w:rsidRPr="00B04DC3">
        <w:rPr>
          <w:lang w:val="en-GB"/>
        </w:rPr>
        <w:t>The parent engine, including in the case of a dual-fuel engine,</w:t>
      </w:r>
      <w:r w:rsidR="005E222C">
        <w:rPr>
          <w:lang w:val="en-GB"/>
        </w:rPr>
        <w:t xml:space="preserve"> </w:t>
      </w:r>
      <w:r w:rsidR="003D37B5" w:rsidRPr="00B04DC3">
        <w:rPr>
          <w:lang w:val="en-GB"/>
        </w:rPr>
        <w:t>shall be tested on the relevant reference fuel, as specified in Annex 5, for the relevant range. The fuels are G</w:t>
      </w:r>
      <w:r w:rsidR="003D37B5" w:rsidRPr="00B04DC3">
        <w:rPr>
          <w:vertAlign w:val="subscript"/>
          <w:lang w:val="en-GB"/>
        </w:rPr>
        <w:t>R</w:t>
      </w:r>
      <w:r w:rsidR="003D37B5" w:rsidRPr="00B04DC3">
        <w:rPr>
          <w:lang w:val="en-GB"/>
        </w:rPr>
        <w:t xml:space="preserve"> (fuel 1) and G</w:t>
      </w:r>
      <w:r w:rsidR="003D37B5" w:rsidRPr="00B04DC3">
        <w:rPr>
          <w:vertAlign w:val="subscript"/>
          <w:lang w:val="en-GB"/>
        </w:rPr>
        <w:t>23</w:t>
      </w:r>
      <w:r w:rsidR="003D37B5" w:rsidRPr="00B04DC3">
        <w:rPr>
          <w:lang w:val="en-GB"/>
        </w:rPr>
        <w:t xml:space="preserve"> (fuel 3) for the H-range of gases and G</w:t>
      </w:r>
      <w:r w:rsidR="003D37B5" w:rsidRPr="00B04DC3">
        <w:rPr>
          <w:vertAlign w:val="subscript"/>
          <w:lang w:val="en-GB"/>
        </w:rPr>
        <w:t>25</w:t>
      </w:r>
      <w:r w:rsidR="003D37B5" w:rsidRPr="00B04DC3">
        <w:rPr>
          <w:lang w:val="en-GB"/>
        </w:rPr>
        <w:t xml:space="preserve"> (fuel 2) and G</w:t>
      </w:r>
      <w:r w:rsidR="003D37B5" w:rsidRPr="00B04DC3">
        <w:rPr>
          <w:vertAlign w:val="subscript"/>
          <w:lang w:val="en-GB"/>
        </w:rPr>
        <w:t>23</w:t>
      </w:r>
      <w:r w:rsidR="003D37B5" w:rsidRPr="00B04DC3">
        <w:rPr>
          <w:lang w:val="en-GB"/>
        </w:rPr>
        <w:t xml:space="preserve"> (fuel 3) for the L-range of gases.</w:t>
      </w:r>
      <w:r w:rsidR="00C0100D" w:rsidRPr="00B04DC3">
        <w:rPr>
          <w:lang w:val="en-GB"/>
        </w:rPr>
        <w:t>The parent engine shall meet the requirements of this Regulation without any readjustment to the fuelling between the two tests</w:t>
      </w:r>
      <w:r w:rsidR="00401E79" w:rsidRPr="00B04DC3">
        <w:rPr>
          <w:lang w:val="en-GB"/>
        </w:rPr>
        <w:t xml:space="preserve">. </w:t>
      </w:r>
      <w:r w:rsidR="00C0100D" w:rsidRPr="00B04DC3">
        <w:rPr>
          <w:lang w:val="en-GB"/>
        </w:rPr>
        <w:t>However, one adaptation run over one ETC cycle without measurement is permitted after the change of the fuel</w:t>
      </w:r>
      <w:r w:rsidR="00401E79" w:rsidRPr="00B04DC3">
        <w:rPr>
          <w:lang w:val="en-GB"/>
        </w:rPr>
        <w:t xml:space="preserve">. </w:t>
      </w:r>
      <w:r w:rsidR="00C0100D" w:rsidRPr="00B04DC3">
        <w:rPr>
          <w:lang w:val="en-GB"/>
        </w:rPr>
        <w:t>Before testing, the parent engine shall be run-in using the procedure defined in paragraph 3. of Appendix 2 to Annex 4A.</w:t>
      </w:r>
    </w:p>
    <w:p w:rsidR="00C0100D" w:rsidRPr="00B04DC3" w:rsidRDefault="00C0100D" w:rsidP="00A353CD">
      <w:pPr>
        <w:pStyle w:val="para"/>
        <w:rPr>
          <w:lang w:val="en-GB"/>
        </w:rPr>
      </w:pPr>
      <w:r w:rsidRPr="00B04DC3">
        <w:rPr>
          <w:lang w:val="en-GB"/>
        </w:rPr>
        <w:t>4.2.1.1.</w:t>
      </w:r>
      <w:r w:rsidRPr="00B04DC3">
        <w:rPr>
          <w:lang w:val="en-GB"/>
        </w:rPr>
        <w:tab/>
        <w:t>At the manufacturer's request the engine may be tested on a third fuel instead of G</w:t>
      </w:r>
      <w:r w:rsidRPr="00B04DC3">
        <w:rPr>
          <w:vertAlign w:val="subscript"/>
          <w:lang w:val="en-GB"/>
        </w:rPr>
        <w:t>23</w:t>
      </w:r>
      <w:r w:rsidRPr="00B04DC3">
        <w:rPr>
          <w:lang w:val="en-GB"/>
        </w:rPr>
        <w:t xml:space="preserve"> (fuel 3) if the λ-shift factor (S</w:t>
      </w:r>
      <w:r w:rsidRPr="00B04DC3">
        <w:rPr>
          <w:vertAlign w:val="subscript"/>
          <w:lang w:val="en-GB"/>
        </w:rPr>
        <w:t>λ</w:t>
      </w:r>
      <w:r w:rsidRPr="00B04DC3">
        <w:rPr>
          <w:lang w:val="en-GB"/>
        </w:rPr>
        <w:t>) lies between 0.89 (i.e. the lower range of G</w:t>
      </w:r>
      <w:r w:rsidRPr="00B04DC3">
        <w:rPr>
          <w:vertAlign w:val="subscript"/>
          <w:lang w:val="en-GB"/>
        </w:rPr>
        <w:t>R</w:t>
      </w:r>
      <w:r w:rsidRPr="00B04DC3">
        <w:rPr>
          <w:lang w:val="en-GB"/>
        </w:rPr>
        <w:t>) and 1.19 (i.e. the upper range of G</w:t>
      </w:r>
      <w:r w:rsidRPr="00B04DC3">
        <w:rPr>
          <w:vertAlign w:val="subscript"/>
          <w:lang w:val="en-GB"/>
        </w:rPr>
        <w:t>25</w:t>
      </w:r>
      <w:r w:rsidRPr="00B04DC3">
        <w:rPr>
          <w:lang w:val="en-GB"/>
        </w:rPr>
        <w:t>), for example when fuel 3 is a market fuel</w:t>
      </w:r>
      <w:r w:rsidR="00401E79" w:rsidRPr="00B04DC3">
        <w:rPr>
          <w:lang w:val="en-GB"/>
        </w:rPr>
        <w:t xml:space="preserve">. </w:t>
      </w:r>
      <w:r w:rsidRPr="00B04DC3">
        <w:rPr>
          <w:lang w:val="en-GB"/>
        </w:rPr>
        <w:t>The results of this test may be used as a basis for the evaluation of the conformity of the production.</w:t>
      </w:r>
    </w:p>
    <w:p w:rsidR="00C0100D" w:rsidRPr="00B04DC3" w:rsidRDefault="00C0100D" w:rsidP="00A353CD">
      <w:pPr>
        <w:pStyle w:val="para"/>
        <w:rPr>
          <w:lang w:val="en-GB"/>
        </w:rPr>
      </w:pPr>
      <w:r w:rsidRPr="00B04DC3">
        <w:rPr>
          <w:lang w:val="en-GB"/>
        </w:rPr>
        <w:t>4.2.1.2.</w:t>
      </w:r>
      <w:r w:rsidRPr="00B04DC3">
        <w:rPr>
          <w:lang w:val="en-GB"/>
        </w:rPr>
        <w:tab/>
        <w:t>The ratio of emission results "r" shall be determined for each pollutant as follows:</w:t>
      </w:r>
    </w:p>
    <w:p w:rsidR="00401E79" w:rsidRPr="00B04DC3" w:rsidRDefault="00A905B7" w:rsidP="005437A8">
      <w:pPr>
        <w:pStyle w:val="para"/>
        <w:spacing w:after="0"/>
        <w:ind w:firstLine="0"/>
        <w:rPr>
          <w:lang w:val="en-GB"/>
        </w:rPr>
      </w:pPr>
      <w:r>
        <w:rPr>
          <w:lang w:val="en-GB"/>
        </w:rPr>
      </w:r>
      <w:r>
        <w:rPr>
          <w:lang w:val="en-GB"/>
        </w:rPr>
        <w:pict>
          <v:group id="_x0000_s1464" editas="canvas" style="width:187.05pt;height:40.9pt;mso-position-horizontal-relative:char;mso-position-vertical-relative:line" coordsize="3741,818">
            <o:lock v:ext="edit" aspectratio="t"/>
            <v:shape id="_x0000_s1465" type="#_x0000_t75" style="position:absolute;width:3741;height:818" o:preferrelative="f">
              <v:fill o:detectmouseclick="t"/>
              <v:path o:extrusionok="t" o:connecttype="none"/>
              <o:lock v:ext="edit" text="t"/>
            </v:shape>
            <v:line id="_x0000_s1466" style="position:absolute" from="385,320" to="3654,320" strokeweight=".5pt"/>
            <v:rect id="_x0000_s1467" style="position:absolute;left:3521;top:354;width:101;height:240;mso-wrap-style:none" filled="f" stroked="f">
              <v:textbox style="mso-next-textbox:#_x0000_s1467;mso-fit-shape-to-text:t" inset="0,0,0,0">
                <w:txbxContent>
                  <w:p w:rsidR="00A905B7" w:rsidRPr="00401E79" w:rsidRDefault="00A905B7" w:rsidP="00401E79">
                    <w:r w:rsidRPr="00401E79">
                      <w:rPr>
                        <w:color w:val="000000"/>
                      </w:rPr>
                      <w:t>1</w:t>
                    </w:r>
                  </w:p>
                </w:txbxContent>
              </v:textbox>
            </v:rect>
            <v:rect id="_x0000_s1468" style="position:absolute;left:3491;top:354;width:61;height:240;mso-wrap-style:none" filled="f" stroked="f">
              <v:textbox style="mso-next-textbox:#_x0000_s1468;mso-fit-shape-to-text:t" inset="0,0,0,0">
                <w:txbxContent>
                  <w:p w:rsidR="00A905B7" w:rsidRDefault="00A905B7" w:rsidP="00401E79">
                    <w:r>
                      <w:rPr>
                        <w:color w:val="000000"/>
                        <w:sz w:val="24"/>
                        <w:szCs w:val="24"/>
                      </w:rPr>
                      <w:t xml:space="preserve"> </w:t>
                    </w:r>
                  </w:p>
                </w:txbxContent>
              </v:textbox>
            </v:rect>
            <v:rect id="_x0000_s1469" style="position:absolute;left:3131;top:354;width:311;height:240;mso-wrap-style:none" filled="f" stroked="f">
              <v:textbox style="mso-next-textbox:#_x0000_s1469;mso-fit-shape-to-text:t" inset="0,0,0,0">
                <w:txbxContent>
                  <w:p w:rsidR="00A905B7" w:rsidRPr="00401E79" w:rsidRDefault="00A905B7" w:rsidP="00401E79">
                    <w:r w:rsidRPr="00401E79">
                      <w:rPr>
                        <w:color w:val="000000"/>
                      </w:rPr>
                      <w:t>fuel</w:t>
                    </w:r>
                  </w:p>
                </w:txbxContent>
              </v:textbox>
            </v:rect>
            <v:rect id="_x0000_s1470" style="position:absolute;left:3079;top:354;width:61;height:240;mso-wrap-style:none" filled="f" stroked="f">
              <v:textbox style="mso-next-textbox:#_x0000_s1470;mso-fit-shape-to-text:t" inset="0,0,0,0">
                <w:txbxContent>
                  <w:p w:rsidR="00A905B7" w:rsidRDefault="00A905B7" w:rsidP="00401E79">
                    <w:r>
                      <w:rPr>
                        <w:color w:val="000000"/>
                        <w:sz w:val="24"/>
                        <w:szCs w:val="24"/>
                      </w:rPr>
                      <w:t xml:space="preserve"> </w:t>
                    </w:r>
                  </w:p>
                </w:txbxContent>
              </v:textbox>
            </v:rect>
            <v:rect id="_x0000_s1471" style="position:absolute;left:2205;top:354;width:744;height:240;mso-wrap-style:none" filled="f" stroked="f">
              <v:textbox style="mso-next-textbox:#_x0000_s1471;mso-fit-shape-to-text:t" inset="0,0,0,0">
                <w:txbxContent>
                  <w:p w:rsidR="00A905B7" w:rsidRPr="00401E79" w:rsidRDefault="00A905B7" w:rsidP="00401E79">
                    <w:r w:rsidRPr="00401E79">
                      <w:rPr>
                        <w:color w:val="000000"/>
                      </w:rPr>
                      <w:t>reference</w:t>
                    </w:r>
                  </w:p>
                </w:txbxContent>
              </v:textbox>
            </v:rect>
            <v:rect id="_x0000_s1472" style="position:absolute;left:1909;top:354;width:201;height:240;mso-wrap-style:none" filled="f" stroked="f">
              <v:textbox style="mso-next-textbox:#_x0000_s1472;mso-fit-shape-to-text:t" inset="0,0,0,0">
                <w:txbxContent>
                  <w:p w:rsidR="00A905B7" w:rsidRPr="00401E79" w:rsidRDefault="00A905B7" w:rsidP="00401E79">
                    <w:r w:rsidRPr="00401E79">
                      <w:rPr>
                        <w:color w:val="000000"/>
                      </w:rPr>
                      <w:t xml:space="preserve">on </w:t>
                    </w:r>
                  </w:p>
                </w:txbxContent>
              </v:textbox>
            </v:rect>
            <v:rect id="_x0000_s1473" style="position:absolute;left:1328;top:354;width:445;height:240;mso-wrap-style:none" filled="f" stroked="f">
              <v:textbox style="mso-next-textbox:#_x0000_s1473;mso-fit-shape-to-text:t" inset="0,0,0,0">
                <w:txbxContent>
                  <w:p w:rsidR="00A905B7" w:rsidRPr="00401E79" w:rsidRDefault="00A905B7" w:rsidP="00401E79">
                    <w:r w:rsidRPr="00401E79">
                      <w:rPr>
                        <w:color w:val="000000"/>
                      </w:rPr>
                      <w:t xml:space="preserve">result </w:t>
                    </w:r>
                  </w:p>
                </w:txbxContent>
              </v:textbox>
            </v:rect>
            <v:rect id="_x0000_s1474" style="position:absolute;left:420;top:354;width:712;height:240;mso-wrap-style:none" filled="f" stroked="f">
              <v:textbox style="mso-next-textbox:#_x0000_s1474;mso-fit-shape-to-text:t" inset="0,0,0,0">
                <w:txbxContent>
                  <w:p w:rsidR="00A905B7" w:rsidRPr="00401E79" w:rsidRDefault="00A905B7" w:rsidP="00401E79">
                    <w:r w:rsidRPr="00401E79">
                      <w:rPr>
                        <w:color w:val="000000"/>
                      </w:rPr>
                      <w:t xml:space="preserve">emission </w:t>
                    </w:r>
                  </w:p>
                </w:txbxContent>
              </v:textbox>
            </v:rect>
            <v:rect id="_x0000_s1475" style="position:absolute;left:3525;top:15;width:101;height:240;mso-wrap-style:none" filled="f" stroked="f">
              <v:textbox style="mso-next-textbox:#_x0000_s1475;mso-fit-shape-to-text:t" inset="0,0,0,0">
                <w:txbxContent>
                  <w:p w:rsidR="00A905B7" w:rsidRPr="00401E79" w:rsidRDefault="00A905B7" w:rsidP="00401E79">
                    <w:r w:rsidRPr="00401E79">
                      <w:rPr>
                        <w:color w:val="000000"/>
                      </w:rPr>
                      <w:t>2</w:t>
                    </w:r>
                  </w:p>
                </w:txbxContent>
              </v:textbox>
            </v:rect>
            <v:rect id="_x0000_s1476" style="position:absolute;left:3469;top:15;width:61;height:240;mso-wrap-style:none" filled="f" stroked="f">
              <v:textbox style="mso-next-textbox:#_x0000_s1476;mso-fit-shape-to-text:t" inset="0,0,0,0">
                <w:txbxContent>
                  <w:p w:rsidR="00A905B7" w:rsidRDefault="00A905B7" w:rsidP="00401E79">
                    <w:r>
                      <w:rPr>
                        <w:color w:val="000000"/>
                        <w:sz w:val="24"/>
                        <w:szCs w:val="24"/>
                      </w:rPr>
                      <w:t xml:space="preserve"> </w:t>
                    </w:r>
                  </w:p>
                </w:txbxContent>
              </v:textbox>
            </v:rect>
            <v:rect id="_x0000_s1477" style="position:absolute;left:3109;top:15;width:311;height:240;mso-wrap-style:none" filled="f" stroked="f">
              <v:textbox style="mso-next-textbox:#_x0000_s1477;mso-fit-shape-to-text:t" inset="0,0,0,0">
                <w:txbxContent>
                  <w:p w:rsidR="00A905B7" w:rsidRPr="00401E79" w:rsidRDefault="00A905B7" w:rsidP="00401E79">
                    <w:r w:rsidRPr="00401E79">
                      <w:rPr>
                        <w:color w:val="000000"/>
                      </w:rPr>
                      <w:t>fuel</w:t>
                    </w:r>
                  </w:p>
                </w:txbxContent>
              </v:textbox>
            </v:rect>
            <v:rect id="_x0000_s1478" style="position:absolute;left:3056;top:15;width:61;height:240;mso-wrap-style:none" filled="f" stroked="f">
              <v:textbox style="mso-next-textbox:#_x0000_s1478;mso-fit-shape-to-text:t" inset="0,0,0,0">
                <w:txbxContent>
                  <w:p w:rsidR="00A905B7" w:rsidRDefault="00A905B7" w:rsidP="00401E79">
                    <w:r>
                      <w:rPr>
                        <w:color w:val="000000"/>
                        <w:sz w:val="24"/>
                        <w:szCs w:val="24"/>
                      </w:rPr>
                      <w:t xml:space="preserve"> </w:t>
                    </w:r>
                  </w:p>
                </w:txbxContent>
              </v:textbox>
            </v:rect>
            <v:rect id="_x0000_s1479" style="position:absolute;left:2183;top:15;width:744;height:240;mso-wrap-style:none" filled="f" stroked="f">
              <v:textbox style="mso-next-textbox:#_x0000_s1479;mso-fit-shape-to-text:t" inset="0,0,0,0">
                <w:txbxContent>
                  <w:p w:rsidR="00A905B7" w:rsidRPr="00401E79" w:rsidRDefault="00A905B7" w:rsidP="00401E79">
                    <w:r w:rsidRPr="00401E79">
                      <w:rPr>
                        <w:color w:val="000000"/>
                      </w:rPr>
                      <w:t>reference</w:t>
                    </w:r>
                  </w:p>
                </w:txbxContent>
              </v:textbox>
            </v:rect>
            <v:rect id="_x0000_s1480" style="position:absolute;left:1886;top:15;width:201;height:240;mso-wrap-style:none" filled="f" stroked="f">
              <v:textbox style="mso-next-textbox:#_x0000_s1480;mso-fit-shape-to-text:t" inset="0,0,0,0">
                <w:txbxContent>
                  <w:p w:rsidR="00A905B7" w:rsidRPr="00D748C9" w:rsidRDefault="00A905B7" w:rsidP="00401E79">
                    <w:r w:rsidRPr="00D748C9">
                      <w:rPr>
                        <w:color w:val="000000"/>
                      </w:rPr>
                      <w:t xml:space="preserve">on </w:t>
                    </w:r>
                  </w:p>
                </w:txbxContent>
              </v:textbox>
            </v:rect>
            <v:rect id="_x0000_s1481" style="position:absolute;left:1305;top:15;width:445;height:240;mso-wrap-style:none" filled="f" stroked="f">
              <v:textbox style="mso-next-textbox:#_x0000_s1481;mso-fit-shape-to-text:t" inset="0,0,0,0">
                <w:txbxContent>
                  <w:p w:rsidR="00A905B7" w:rsidRPr="00D748C9" w:rsidRDefault="00A905B7" w:rsidP="00401E79">
                    <w:r w:rsidRPr="00D748C9">
                      <w:rPr>
                        <w:color w:val="000000"/>
                      </w:rPr>
                      <w:t xml:space="preserve">result </w:t>
                    </w:r>
                  </w:p>
                </w:txbxContent>
              </v:textbox>
            </v:rect>
            <v:rect id="_x0000_s1482" style="position:absolute;left:398;top:15;width:712;height:240;mso-wrap-style:none" filled="f" stroked="f">
              <v:textbox style="mso-next-textbox:#_x0000_s1482;mso-fit-shape-to-text:t" inset="0,0,0,0">
                <w:txbxContent>
                  <w:p w:rsidR="00A905B7" w:rsidRPr="00D748C9" w:rsidRDefault="00A905B7" w:rsidP="00401E79">
                    <w:r w:rsidRPr="00D748C9">
                      <w:rPr>
                        <w:color w:val="000000"/>
                      </w:rPr>
                      <w:t xml:space="preserve">emission </w:t>
                    </w:r>
                  </w:p>
                </w:txbxContent>
              </v:textbox>
            </v:rect>
            <v:rect id="_x0000_s1483" style="position:absolute;left:36;top:166;width:80;height:276;mso-wrap-style:none" filled="f" stroked="f">
              <v:textbox style="mso-next-textbox:#_x0000_s1483;mso-fit-shape-to-text:t" inset="0,0,0,0">
                <w:txbxContent>
                  <w:p w:rsidR="00A905B7" w:rsidRDefault="00A905B7" w:rsidP="00401E79">
                    <w:r>
                      <w:rPr>
                        <w:color w:val="000000"/>
                        <w:sz w:val="24"/>
                        <w:szCs w:val="24"/>
                      </w:rPr>
                      <w:t>r</w:t>
                    </w:r>
                  </w:p>
                </w:txbxContent>
              </v:textbox>
            </v:rect>
            <v:rect id="_x0000_s1484" style="position:absolute;left:186;top:139;width:132;height:294;mso-wrap-style:none" filled="f" stroked="f">
              <v:textbox style="mso-next-textbox:#_x0000_s1484;mso-fit-shape-to-text:t" inset="0,0,0,0">
                <w:txbxContent>
                  <w:p w:rsidR="00A905B7" w:rsidRDefault="00A905B7" w:rsidP="00401E79">
                    <w:r>
                      <w:rPr>
                        <w:rFonts w:ascii="Symbol" w:hAnsi="Symbol" w:cs="Symbol"/>
                        <w:color w:val="000000"/>
                        <w:sz w:val="24"/>
                        <w:szCs w:val="24"/>
                      </w:rPr>
                      <w:t></w:t>
                    </w:r>
                  </w:p>
                </w:txbxContent>
              </v:textbox>
            </v:rect>
            <w10:wrap type="none"/>
            <w10:anchorlock/>
          </v:group>
        </w:pict>
      </w:r>
      <w:r w:rsidR="00453F93" w:rsidRPr="00B04DC3">
        <w:rPr>
          <w:lang w:val="en-GB"/>
        </w:rPr>
        <w:br/>
        <w:t>or,</w:t>
      </w:r>
    </w:p>
    <w:p w:rsidR="00401E79" w:rsidRPr="00B04DC3" w:rsidRDefault="00401E79" w:rsidP="005437A8">
      <w:pPr>
        <w:pStyle w:val="para"/>
        <w:spacing w:after="0"/>
        <w:rPr>
          <w:lang w:val="en-GB"/>
        </w:rPr>
      </w:pPr>
      <w:r w:rsidRPr="00B04DC3">
        <w:rPr>
          <w:lang w:val="en-GB"/>
        </w:rPr>
        <w:tab/>
      </w:r>
      <w:r w:rsidRPr="00B04DC3">
        <w:rPr>
          <w:lang w:val="en-GB"/>
        </w:rPr>
        <w:tab/>
      </w:r>
      <w:r w:rsidR="00A905B7">
        <w:rPr>
          <w:lang w:val="en-GB"/>
        </w:rPr>
      </w:r>
      <w:r w:rsidR="00A905B7">
        <w:rPr>
          <w:lang w:val="en-GB"/>
        </w:rPr>
        <w:pict>
          <v:group id="_x0000_s1420" editas="canvas" style="width:191.95pt;height:39.15pt;mso-position-horizontal-relative:char;mso-position-vertical-relative:line" coordsize="3839,783">
            <o:lock v:ext="edit" aspectratio="t"/>
            <v:shape id="_x0000_s1421" type="#_x0000_t75" style="position:absolute;width:3839;height:783" o:preferrelative="f">
              <v:fill o:detectmouseclick="t"/>
              <v:path o:extrusionok="t" o:connecttype="none"/>
              <o:lock v:ext="edit" text="t"/>
            </v:shape>
            <v:line id="_x0000_s1422" style="position:absolute" from="482,317" to="3750,317" strokeweight=".5pt"/>
            <v:rect id="_x0000_s1423" style="position:absolute;left:3621;top:351;width:121;height:276;mso-wrap-style:none" filled="f" stroked="f">
              <v:textbox style="mso-fit-shape-to-text:t" inset="0,0,0,0">
                <w:txbxContent>
                  <w:p w:rsidR="00A905B7" w:rsidRDefault="00A905B7" w:rsidP="00401E79">
                    <w:r>
                      <w:rPr>
                        <w:color w:val="000000"/>
                        <w:sz w:val="24"/>
                        <w:szCs w:val="24"/>
                      </w:rPr>
                      <w:t>3</w:t>
                    </w:r>
                  </w:p>
                </w:txbxContent>
              </v:textbox>
            </v:rect>
            <v:rect id="_x0000_s1424" style="position:absolute;left:3572;top:351;width:128;height:369" filled="f" stroked="f">
              <v:textbox inset="0,0,0,0">
                <w:txbxContent>
                  <w:p w:rsidR="00A905B7" w:rsidRPr="00AB712B" w:rsidRDefault="00A905B7" w:rsidP="00401E79"/>
                </w:txbxContent>
              </v:textbox>
            </v:rect>
            <v:rect id="_x0000_s1425" style="position:absolute;left:3212;top:351;width:311;height:240;mso-wrap-style:none" filled="f" stroked="f">
              <v:textbox style="mso-fit-shape-to-text:t" inset="0,0,0,0">
                <w:txbxContent>
                  <w:p w:rsidR="00A905B7" w:rsidRPr="00700CBE" w:rsidRDefault="00A905B7" w:rsidP="00401E79">
                    <w:r w:rsidRPr="00700CBE">
                      <w:rPr>
                        <w:color w:val="000000"/>
                      </w:rPr>
                      <w:t>fuel</w:t>
                    </w:r>
                  </w:p>
                </w:txbxContent>
              </v:textbox>
            </v:rect>
            <v:rect id="_x0000_s1426" style="position:absolute;left:3160;top:351;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27" style="position:absolute;left:2286;top:351;width:744;height:240;mso-wrap-style:none" filled="f" stroked="f">
              <v:textbox style="mso-fit-shape-to-text:t" inset="0,0,0,0">
                <w:txbxContent>
                  <w:p w:rsidR="00A905B7" w:rsidRPr="00700CBE" w:rsidRDefault="00A905B7" w:rsidP="00401E79">
                    <w:r w:rsidRPr="00700CBE">
                      <w:rPr>
                        <w:color w:val="000000"/>
                      </w:rPr>
                      <w:t>reference</w:t>
                    </w:r>
                  </w:p>
                </w:txbxContent>
              </v:textbox>
            </v:rect>
            <v:rect id="_x0000_s1428" style="position:absolute;left:1990;top:351;width:201;height:240;mso-wrap-style:none" filled="f" stroked="f">
              <v:textbox style="mso-fit-shape-to-text:t" inset="0,0,0,0">
                <w:txbxContent>
                  <w:p w:rsidR="00A905B7" w:rsidRPr="00700CBE" w:rsidRDefault="00A905B7" w:rsidP="00401E79">
                    <w:r w:rsidRPr="00700CBE">
                      <w:rPr>
                        <w:color w:val="000000"/>
                      </w:rPr>
                      <w:t xml:space="preserve">on </w:t>
                    </w:r>
                  </w:p>
                </w:txbxContent>
              </v:textbox>
            </v:rect>
            <v:rect id="_x0000_s1429" style="position:absolute;left:1410;top:351;width:445;height:240;mso-wrap-style:none" filled="f" stroked="f">
              <v:textbox style="mso-fit-shape-to-text:t" inset="0,0,0,0">
                <w:txbxContent>
                  <w:p w:rsidR="00A905B7" w:rsidRPr="00700CBE" w:rsidRDefault="00A905B7" w:rsidP="00401E79">
                    <w:r w:rsidRPr="00700CBE">
                      <w:rPr>
                        <w:color w:val="000000"/>
                      </w:rPr>
                      <w:t xml:space="preserve">result </w:t>
                    </w:r>
                  </w:p>
                </w:txbxContent>
              </v:textbox>
            </v:rect>
            <v:rect id="_x0000_s1430" style="position:absolute;left:502;top:351;width:712;height:240;mso-wrap-style:none" filled="f" stroked="f">
              <v:textbox style="mso-fit-shape-to-text:t" inset="0,0,0,0">
                <w:txbxContent>
                  <w:p w:rsidR="00A905B7" w:rsidRPr="00700CBE" w:rsidRDefault="00A905B7" w:rsidP="00401E79">
                    <w:r w:rsidRPr="00700CBE">
                      <w:rPr>
                        <w:color w:val="000000"/>
                      </w:rPr>
                      <w:t xml:space="preserve">emission </w:t>
                    </w:r>
                  </w:p>
                </w:txbxContent>
              </v:textbox>
            </v:rect>
            <v:rect id="_x0000_s1431" style="position:absolute;left:3621;top:15;width:101;height:240;mso-wrap-style:none" filled="f" stroked="f">
              <v:textbox style="mso-fit-shape-to-text:t" inset="0,0,0,0">
                <w:txbxContent>
                  <w:p w:rsidR="00A905B7" w:rsidRPr="00700CBE" w:rsidRDefault="00A905B7" w:rsidP="00401E79">
                    <w:r w:rsidRPr="00700CBE">
                      <w:rPr>
                        <w:color w:val="000000"/>
                      </w:rPr>
                      <w:t>2</w:t>
                    </w:r>
                  </w:p>
                </w:txbxContent>
              </v:textbox>
            </v:rect>
            <v:rect id="_x0000_s1432" style="position:absolute;left:3565;top:15;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33" style="position:absolute;left:3205;top:15;width:311;height:240;mso-wrap-style:none" filled="f" stroked="f">
              <v:textbox style="mso-fit-shape-to-text:t" inset="0,0,0,0">
                <w:txbxContent>
                  <w:p w:rsidR="00A905B7" w:rsidRPr="00700CBE" w:rsidRDefault="00A905B7" w:rsidP="00401E79">
                    <w:r w:rsidRPr="00700CBE">
                      <w:rPr>
                        <w:color w:val="000000"/>
                      </w:rPr>
                      <w:t>fuel</w:t>
                    </w:r>
                  </w:p>
                </w:txbxContent>
              </v:textbox>
            </v:rect>
            <v:rect id="_x0000_s1434" style="position:absolute;left:3152;top:15;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35" style="position:absolute;left:2279;top:15;width:744;height:240;mso-wrap-style:none" filled="f" stroked="f">
              <v:textbox style="mso-fit-shape-to-text:t" inset="0,0,0,0">
                <w:txbxContent>
                  <w:p w:rsidR="00A905B7" w:rsidRPr="00700CBE" w:rsidRDefault="00A905B7" w:rsidP="00401E79">
                    <w:r w:rsidRPr="00700CBE">
                      <w:rPr>
                        <w:color w:val="000000"/>
                      </w:rPr>
                      <w:t>reference</w:t>
                    </w:r>
                  </w:p>
                </w:txbxContent>
              </v:textbox>
            </v:rect>
            <v:rect id="_x0000_s1436" style="position:absolute;left:1983;top:15;width:201;height:240;mso-wrap-style:none" filled="f" stroked="f">
              <v:textbox style="mso-fit-shape-to-text:t" inset="0,0,0,0">
                <w:txbxContent>
                  <w:p w:rsidR="00A905B7" w:rsidRPr="00700CBE" w:rsidRDefault="00A905B7" w:rsidP="00401E79">
                    <w:r w:rsidRPr="00700CBE">
                      <w:rPr>
                        <w:color w:val="000000"/>
                      </w:rPr>
                      <w:t xml:space="preserve">on </w:t>
                    </w:r>
                  </w:p>
                </w:txbxContent>
              </v:textbox>
            </v:rect>
            <v:rect id="_x0000_s1437" style="position:absolute;left:1402;top:15;width:445;height:240;mso-wrap-style:none" filled="f" stroked="f">
              <v:textbox style="mso-fit-shape-to-text:t" inset="0,0,0,0">
                <w:txbxContent>
                  <w:p w:rsidR="00A905B7" w:rsidRPr="00700CBE" w:rsidRDefault="00A905B7" w:rsidP="00401E79">
                    <w:r w:rsidRPr="00700CBE">
                      <w:rPr>
                        <w:color w:val="000000"/>
                      </w:rPr>
                      <w:t xml:space="preserve">result </w:t>
                    </w:r>
                  </w:p>
                </w:txbxContent>
              </v:textbox>
            </v:rect>
            <v:rect id="_x0000_s1438" style="position:absolute;left:495;top:15;width:712;height:240;mso-wrap-style:none" filled="f" stroked="f">
              <v:textbox style="mso-fit-shape-to-text:t" inset="0,0,0,0">
                <w:txbxContent>
                  <w:p w:rsidR="00A905B7" w:rsidRPr="00700CBE" w:rsidRDefault="00A905B7" w:rsidP="00401E79">
                    <w:r w:rsidRPr="00700CBE">
                      <w:rPr>
                        <w:color w:val="000000"/>
                      </w:rPr>
                      <w:t xml:space="preserve">emission </w:t>
                    </w:r>
                  </w:p>
                </w:txbxContent>
              </v:textbox>
            </v:rect>
            <v:rect id="_x0000_s1439" style="position:absolute;left:36;top:165;width:80;height:276;mso-wrap-style:none" filled="f" stroked="f">
              <v:textbox style="mso-fit-shape-to-text:t" inset="0,0,0,0">
                <w:txbxContent>
                  <w:p w:rsidR="00A905B7" w:rsidRDefault="00A905B7" w:rsidP="00401E79">
                    <w:r>
                      <w:rPr>
                        <w:color w:val="000000"/>
                        <w:sz w:val="24"/>
                        <w:szCs w:val="24"/>
                      </w:rPr>
                      <w:t>r</w:t>
                    </w:r>
                  </w:p>
                </w:txbxContent>
              </v:textbox>
            </v:rect>
            <v:rect id="_x0000_s1440" style="position:absolute;left:110;top:295;width:72;height:240;mso-wrap-style:none" filled="f" stroked="f">
              <v:textbox style="mso-fit-shape-to-text:t" inset="0,0,0,0">
                <w:txbxContent>
                  <w:p w:rsidR="00A905B7" w:rsidRDefault="00A905B7" w:rsidP="00401E79">
                    <w:r>
                      <w:rPr>
                        <w:color w:val="000000"/>
                        <w:sz w:val="16"/>
                        <w:szCs w:val="16"/>
                      </w:rPr>
                      <w:t>a</w:t>
                    </w:r>
                  </w:p>
                </w:txbxContent>
              </v:textbox>
            </v:rect>
            <v:rect id="_x0000_s1441" style="position:absolute;left:284;top:138;width:132;height:294;mso-wrap-style:none" filled="f" stroked="f">
              <v:textbox style="mso-fit-shape-to-text:t" inset="0,0,0,0">
                <w:txbxContent>
                  <w:p w:rsidR="00A905B7" w:rsidRDefault="00A905B7" w:rsidP="00401E79">
                    <w:r>
                      <w:rPr>
                        <w:rFonts w:ascii="Symbol" w:hAnsi="Symbol" w:cs="Symbol"/>
                        <w:color w:val="000000"/>
                        <w:sz w:val="24"/>
                        <w:szCs w:val="24"/>
                      </w:rPr>
                      <w:t></w:t>
                    </w:r>
                  </w:p>
                </w:txbxContent>
              </v:textbox>
            </v:rect>
            <w10:wrap type="none"/>
            <w10:anchorlock/>
          </v:group>
        </w:pict>
      </w:r>
      <w:r w:rsidRPr="00B04DC3">
        <w:rPr>
          <w:lang w:val="en-GB"/>
        </w:rPr>
        <w:br/>
      </w:r>
      <w:r w:rsidRPr="00B04DC3">
        <w:rPr>
          <w:lang w:val="en-GB"/>
        </w:rPr>
        <w:tab/>
        <w:t>and,</w:t>
      </w:r>
    </w:p>
    <w:p w:rsidR="00401E79" w:rsidRPr="00B04DC3" w:rsidRDefault="00401E79" w:rsidP="00401E79">
      <w:pPr>
        <w:pStyle w:val="para"/>
        <w:rPr>
          <w:sz w:val="2"/>
          <w:szCs w:val="2"/>
          <w:lang w:val="en-GB"/>
        </w:rPr>
      </w:pPr>
      <w:r w:rsidRPr="00B04DC3">
        <w:rPr>
          <w:lang w:val="en-GB"/>
        </w:rPr>
        <w:tab/>
      </w:r>
      <w:r w:rsidRPr="00B04DC3">
        <w:rPr>
          <w:lang w:val="en-GB"/>
        </w:rPr>
        <w:tab/>
      </w:r>
      <w:r w:rsidR="00A905B7">
        <w:rPr>
          <w:lang w:val="en-GB"/>
        </w:rPr>
      </w:r>
      <w:r w:rsidR="00A905B7">
        <w:rPr>
          <w:lang w:val="en-GB"/>
        </w:rPr>
        <w:pict>
          <v:group id="_x0000_s1442" editas="canvas" style="width:191.65pt;height:36pt;mso-position-horizontal-relative:char;mso-position-vertical-relative:line" coordsize="3833,720">
            <o:lock v:ext="edit" aspectratio="t"/>
            <v:shape id="_x0000_s1443" type="#_x0000_t75" style="position:absolute;width:3833;height:720" o:preferrelative="f">
              <v:fill o:detectmouseclick="t"/>
              <v:path o:extrusionok="t" o:connecttype="none"/>
              <o:lock v:ext="edit" text="t"/>
            </v:shape>
            <v:line id="_x0000_s1444" style="position:absolute" from="487,317" to="3740,317" strokeweight=".5pt"/>
            <v:rect id="_x0000_s1445" style="position:absolute;left:3618;top:351;width:101;height:240;mso-wrap-style:none" filled="f" stroked="f">
              <v:textbox style="mso-fit-shape-to-text:t" inset="0,0,0,0">
                <w:txbxContent>
                  <w:p w:rsidR="00A905B7" w:rsidRPr="00700CBE" w:rsidRDefault="00A905B7" w:rsidP="00401E79">
                    <w:r w:rsidRPr="00700CBE">
                      <w:rPr>
                        <w:color w:val="000000"/>
                      </w:rPr>
                      <w:t>3</w:t>
                    </w:r>
                  </w:p>
                </w:txbxContent>
              </v:textbox>
            </v:rect>
            <v:rect id="_x0000_s1446" style="position:absolute;left:3570;top:351;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47" style="position:absolute;left:3210;top:351;width:311;height:240;mso-wrap-style:none" filled="f" stroked="f">
              <v:textbox style="mso-fit-shape-to-text:t" inset="0,0,0,0">
                <w:txbxContent>
                  <w:p w:rsidR="00A905B7" w:rsidRDefault="00A905B7" w:rsidP="00401E79">
                    <w:r w:rsidRPr="00700CBE">
                      <w:rPr>
                        <w:color w:val="000000"/>
                      </w:rPr>
                      <w:t>fuel</w:t>
                    </w:r>
                  </w:p>
                </w:txbxContent>
              </v:textbox>
            </v:rect>
            <v:rect id="_x0000_s1448" style="position:absolute;left:3157;top:351;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49" style="position:absolute;left:2284;top:351;width:744;height:240;mso-wrap-style:none" filled="f" stroked="f">
              <v:textbox style="mso-fit-shape-to-text:t" inset="0,0,0,0">
                <w:txbxContent>
                  <w:p w:rsidR="00A905B7" w:rsidRDefault="00A905B7" w:rsidP="00401E79">
                    <w:r w:rsidRPr="00700CBE">
                      <w:rPr>
                        <w:color w:val="000000"/>
                      </w:rPr>
                      <w:t>reference</w:t>
                    </w:r>
                  </w:p>
                </w:txbxContent>
              </v:textbox>
            </v:rect>
            <v:rect id="_x0000_s1450" style="position:absolute;left:1988;top:351;width:201;height:240;mso-wrap-style:none" filled="f" stroked="f">
              <v:textbox style="mso-fit-shape-to-text:t" inset="0,0,0,0">
                <w:txbxContent>
                  <w:p w:rsidR="00A905B7" w:rsidRDefault="00A905B7" w:rsidP="00401E79">
                    <w:r w:rsidRPr="00700CBE">
                      <w:rPr>
                        <w:color w:val="000000"/>
                      </w:rPr>
                      <w:t>on</w:t>
                    </w:r>
                    <w:r>
                      <w:rPr>
                        <w:color w:val="000000"/>
                        <w:sz w:val="24"/>
                        <w:szCs w:val="24"/>
                      </w:rPr>
                      <w:t xml:space="preserve"> </w:t>
                    </w:r>
                  </w:p>
                </w:txbxContent>
              </v:textbox>
            </v:rect>
            <v:rect id="_x0000_s1451" style="position:absolute;left:1407;top:351;width:445;height:240;mso-wrap-style:none" filled="f" stroked="f">
              <v:textbox style="mso-fit-shape-to-text:t" inset="0,0,0,0">
                <w:txbxContent>
                  <w:p w:rsidR="00A905B7" w:rsidRDefault="00A905B7" w:rsidP="00401E79">
                    <w:r w:rsidRPr="00700CBE">
                      <w:rPr>
                        <w:color w:val="000000"/>
                      </w:rPr>
                      <w:t>result</w:t>
                    </w:r>
                    <w:r>
                      <w:rPr>
                        <w:color w:val="000000"/>
                        <w:sz w:val="24"/>
                        <w:szCs w:val="24"/>
                      </w:rPr>
                      <w:t xml:space="preserve"> </w:t>
                    </w:r>
                  </w:p>
                </w:txbxContent>
              </v:textbox>
            </v:rect>
            <v:rect id="_x0000_s1452" style="position:absolute;left:500;top:351;width:712;height:240;mso-wrap-style:none" filled="f" stroked="f">
              <v:textbox style="mso-fit-shape-to-text:t" inset="0,0,0,0">
                <w:txbxContent>
                  <w:p w:rsidR="00A905B7" w:rsidRDefault="00A905B7" w:rsidP="00401E79">
                    <w:r w:rsidRPr="00700CBE">
                      <w:rPr>
                        <w:color w:val="000000"/>
                      </w:rPr>
                      <w:t>emission</w:t>
                    </w:r>
                    <w:r>
                      <w:rPr>
                        <w:color w:val="000000"/>
                        <w:sz w:val="24"/>
                        <w:szCs w:val="24"/>
                      </w:rPr>
                      <w:t xml:space="preserve"> </w:t>
                    </w:r>
                  </w:p>
                </w:txbxContent>
              </v:textbox>
            </v:rect>
            <v:rect id="_x0000_s1453" style="position:absolute;left:3615;top:15;width:101;height:240;mso-wrap-style:none" filled="f" stroked="f">
              <v:textbox style="mso-fit-shape-to-text:t" inset="0,0,0,0">
                <w:txbxContent>
                  <w:p w:rsidR="00A905B7" w:rsidRPr="00AB712B" w:rsidRDefault="00A905B7" w:rsidP="00401E79">
                    <w:r w:rsidRPr="00AB712B">
                      <w:rPr>
                        <w:color w:val="000000"/>
                      </w:rPr>
                      <w:t>1</w:t>
                    </w:r>
                  </w:p>
                </w:txbxContent>
              </v:textbox>
            </v:rect>
            <v:rect id="_x0000_s1454" style="position:absolute;left:3585;top:15;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55" style="position:absolute;left:3225;top:15;width:311;height:240;mso-wrap-style:none" filled="f" stroked="f">
              <v:textbox style="mso-fit-shape-to-text:t" inset="0,0,0,0">
                <w:txbxContent>
                  <w:p w:rsidR="00A905B7" w:rsidRDefault="00A905B7" w:rsidP="00401E79">
                    <w:r w:rsidRPr="00700CBE">
                      <w:rPr>
                        <w:color w:val="000000"/>
                      </w:rPr>
                      <w:t>fuel</w:t>
                    </w:r>
                  </w:p>
                </w:txbxContent>
              </v:textbox>
            </v:rect>
            <v:rect id="_x0000_s1456" style="position:absolute;left:3172;top:15;width:61;height:240;mso-wrap-style:none" filled="f" stroked="f">
              <v:textbox style="mso-fit-shape-to-text:t" inset="0,0,0,0">
                <w:txbxContent>
                  <w:p w:rsidR="00A905B7" w:rsidRDefault="00A905B7" w:rsidP="00401E79">
                    <w:r>
                      <w:rPr>
                        <w:color w:val="000000"/>
                        <w:sz w:val="24"/>
                        <w:szCs w:val="24"/>
                      </w:rPr>
                      <w:t xml:space="preserve"> </w:t>
                    </w:r>
                  </w:p>
                </w:txbxContent>
              </v:textbox>
            </v:rect>
            <v:rect id="_x0000_s1457" style="position:absolute;left:2299;top:15;width:744;height:240;mso-wrap-style:none" filled="f" stroked="f">
              <v:textbox style="mso-fit-shape-to-text:t" inset="0,0,0,0">
                <w:txbxContent>
                  <w:p w:rsidR="00A905B7" w:rsidRDefault="00A905B7" w:rsidP="00401E79">
                    <w:r w:rsidRPr="00700CBE">
                      <w:rPr>
                        <w:color w:val="000000"/>
                      </w:rPr>
                      <w:t>reference</w:t>
                    </w:r>
                  </w:p>
                </w:txbxContent>
              </v:textbox>
            </v:rect>
            <v:rect id="_x0000_s1458" style="position:absolute;left:2003;top:15;width:201;height:240;mso-wrap-style:none" filled="f" stroked="f">
              <v:textbox style="mso-fit-shape-to-text:t" inset="0,0,0,0">
                <w:txbxContent>
                  <w:p w:rsidR="00A905B7" w:rsidRDefault="00A905B7" w:rsidP="00401E79">
                    <w:r w:rsidRPr="00700CBE">
                      <w:rPr>
                        <w:color w:val="000000"/>
                      </w:rPr>
                      <w:t>on</w:t>
                    </w:r>
                    <w:r>
                      <w:rPr>
                        <w:color w:val="000000"/>
                        <w:sz w:val="24"/>
                        <w:szCs w:val="24"/>
                      </w:rPr>
                      <w:t xml:space="preserve"> </w:t>
                    </w:r>
                  </w:p>
                </w:txbxContent>
              </v:textbox>
            </v:rect>
            <v:rect id="_x0000_s1459" style="position:absolute;left:1422;top:15;width:445;height:240;mso-wrap-style:none" filled="f" stroked="f">
              <v:textbox style="mso-fit-shape-to-text:t" inset="0,0,0,0">
                <w:txbxContent>
                  <w:p w:rsidR="00A905B7" w:rsidRDefault="00A905B7" w:rsidP="00401E79">
                    <w:r w:rsidRPr="00700CBE">
                      <w:rPr>
                        <w:color w:val="000000"/>
                      </w:rPr>
                      <w:t>result</w:t>
                    </w:r>
                    <w:r>
                      <w:rPr>
                        <w:color w:val="000000"/>
                        <w:sz w:val="24"/>
                        <w:szCs w:val="24"/>
                      </w:rPr>
                      <w:t xml:space="preserve"> </w:t>
                    </w:r>
                  </w:p>
                </w:txbxContent>
              </v:textbox>
            </v:rect>
            <v:rect id="_x0000_s1460" style="position:absolute;left:515;top:15;width:712;height:240;mso-wrap-style:none" filled="f" stroked="f">
              <v:textbox style="mso-fit-shape-to-text:t" inset="0,0,0,0">
                <w:txbxContent>
                  <w:p w:rsidR="00A905B7" w:rsidRPr="00700CBE" w:rsidRDefault="00A905B7" w:rsidP="00401E79">
                    <w:r w:rsidRPr="00700CBE">
                      <w:rPr>
                        <w:color w:val="000000"/>
                      </w:rPr>
                      <w:t xml:space="preserve">emission </w:t>
                    </w:r>
                  </w:p>
                </w:txbxContent>
              </v:textbox>
            </v:rect>
            <v:rect id="_x0000_s1461" style="position:absolute;left:36;top:165;width:80;height:276;mso-wrap-style:none" filled="f" stroked="f">
              <v:textbox style="mso-fit-shape-to-text:t" inset="0,0,0,0">
                <w:txbxContent>
                  <w:p w:rsidR="00A905B7" w:rsidRDefault="00A905B7" w:rsidP="00401E79">
                    <w:r>
                      <w:rPr>
                        <w:color w:val="000000"/>
                        <w:sz w:val="24"/>
                        <w:szCs w:val="24"/>
                      </w:rPr>
                      <w:t>r</w:t>
                    </w:r>
                  </w:p>
                </w:txbxContent>
              </v:textbox>
            </v:rect>
            <v:rect id="_x0000_s1462" style="position:absolute;left:112;top:295;width:81;height:240;mso-wrap-style:none" filled="f" stroked="f">
              <v:textbox style="mso-fit-shape-to-text:t" inset="0,0,0,0">
                <w:txbxContent>
                  <w:p w:rsidR="00A905B7" w:rsidRDefault="00A905B7" w:rsidP="00401E79">
                    <w:r>
                      <w:rPr>
                        <w:color w:val="000000"/>
                        <w:sz w:val="16"/>
                        <w:szCs w:val="16"/>
                      </w:rPr>
                      <w:t>b</w:t>
                    </w:r>
                  </w:p>
                </w:txbxContent>
              </v:textbox>
            </v:rect>
            <v:rect id="_x0000_s1463" style="position:absolute;left:289;top:138;width:132;height:294;mso-wrap-style:none" filled="f" stroked="f">
              <v:textbox style="mso-fit-shape-to-text:t" inset="0,0,0,0">
                <w:txbxContent>
                  <w:p w:rsidR="00A905B7" w:rsidRDefault="00A905B7" w:rsidP="00401E79">
                    <w:r>
                      <w:rPr>
                        <w:rFonts w:ascii="Symbol" w:hAnsi="Symbol" w:cs="Symbol"/>
                        <w:color w:val="000000"/>
                        <w:sz w:val="24"/>
                        <w:szCs w:val="24"/>
                      </w:rPr>
                      <w:t></w:t>
                    </w:r>
                  </w:p>
                </w:txbxContent>
              </v:textbox>
            </v:rect>
            <w10:wrap type="none"/>
            <w10:anchorlock/>
          </v:group>
        </w:pict>
      </w:r>
    </w:p>
    <w:p w:rsidR="00C0100D" w:rsidRPr="00B04DC3" w:rsidRDefault="00C0100D" w:rsidP="00A353CD">
      <w:pPr>
        <w:pStyle w:val="para"/>
        <w:rPr>
          <w:lang w:val="en-GB"/>
        </w:rPr>
      </w:pPr>
      <w:r w:rsidRPr="00B04DC3">
        <w:rPr>
          <w:lang w:val="en-GB"/>
        </w:rPr>
        <w:t>4.2.1.3.</w:t>
      </w:r>
      <w:r w:rsidRPr="00B04DC3">
        <w:rPr>
          <w:lang w:val="en-GB"/>
        </w:rPr>
        <w:tab/>
        <w:t>On delivery to the customer</w:t>
      </w:r>
      <w:r w:rsidR="00F2385B">
        <w:rPr>
          <w:lang w:val="en-GB"/>
        </w:rPr>
        <w:t>,</w:t>
      </w:r>
      <w:r w:rsidRPr="00B04DC3">
        <w:rPr>
          <w:lang w:val="en-GB"/>
        </w:rPr>
        <w:t xml:space="preserve"> the engine shall bear a label (see paragraph</w:t>
      </w:r>
      <w:r w:rsidR="00AB712B" w:rsidRPr="00B04DC3">
        <w:rPr>
          <w:lang w:val="en-GB"/>
        </w:rPr>
        <w:t> </w:t>
      </w:r>
      <w:r w:rsidRPr="00B04DC3">
        <w:rPr>
          <w:lang w:val="en-GB"/>
        </w:rPr>
        <w:t>4.11.) stating for which range of gases the engine is approved.</w:t>
      </w:r>
    </w:p>
    <w:p w:rsidR="00D00049" w:rsidRPr="00B04DC3" w:rsidRDefault="00D00049" w:rsidP="00D00049">
      <w:pPr>
        <w:keepNext/>
        <w:keepLines/>
        <w:spacing w:after="120"/>
        <w:ind w:left="2268" w:right="1134" w:hanging="1134"/>
        <w:jc w:val="both"/>
      </w:pPr>
      <w:r w:rsidRPr="00B04DC3">
        <w:t>4.2.2.</w:t>
      </w:r>
      <w:r w:rsidRPr="00B04DC3">
        <w:tab/>
        <w:t>Exhaust emissions approval of an engine running on CNG or LPG and laid out for operation on one specific fuel composition</w:t>
      </w:r>
    </w:p>
    <w:p w:rsidR="00D00049" w:rsidRPr="00B04DC3" w:rsidRDefault="00D00049" w:rsidP="00D00049">
      <w:pPr>
        <w:pStyle w:val="para"/>
        <w:rPr>
          <w:lang w:val="en-GB"/>
        </w:rPr>
      </w:pPr>
      <w:r w:rsidRPr="00B04DC3">
        <w:rPr>
          <w:lang w:val="en-GB"/>
        </w:rPr>
        <w:t>4.2.2.1.</w:t>
      </w:r>
      <w:r w:rsidRPr="00B04DC3">
        <w:rPr>
          <w:lang w:val="en-GB"/>
        </w:rPr>
        <w:tab/>
        <w:t>The parent engine, including in the case of a dual-fuel engine, shall meet the emission requirements on the reference fuels G</w:t>
      </w:r>
      <w:r w:rsidRPr="00B04DC3">
        <w:rPr>
          <w:vertAlign w:val="subscript"/>
          <w:lang w:val="en-GB"/>
        </w:rPr>
        <w:t>R</w:t>
      </w:r>
      <w:r w:rsidRPr="00B04DC3">
        <w:rPr>
          <w:lang w:val="en-GB"/>
        </w:rPr>
        <w:t xml:space="preserve"> and G</w:t>
      </w:r>
      <w:r w:rsidRPr="00B04DC3">
        <w:rPr>
          <w:vertAlign w:val="subscript"/>
          <w:lang w:val="en-GB"/>
        </w:rPr>
        <w:t>25</w:t>
      </w:r>
      <w:r w:rsidRPr="00B04DC3">
        <w:rPr>
          <w:lang w:val="en-GB"/>
        </w:rPr>
        <w:t xml:space="preserve"> in the case of natural gas, or the reference fuels A and B in the case of LPG, as specified in Annex 5. Between the tests fine-tuning of the fuelling system is allowed. This fine-tuning will consist of a recalibration of the fuelling database, without any alteration to either the basic control strategy or the basic structure of the database. If necessary the exchange of parts that are directly related to the amount of fuel flow (such as injector nozzles) is allowed.</w:t>
      </w:r>
    </w:p>
    <w:p w:rsidR="00C0100D" w:rsidRPr="00B04DC3" w:rsidRDefault="00C0100D" w:rsidP="00A353CD">
      <w:pPr>
        <w:pStyle w:val="para"/>
        <w:rPr>
          <w:lang w:val="en-GB"/>
        </w:rPr>
      </w:pPr>
      <w:r w:rsidRPr="00B04DC3">
        <w:rPr>
          <w:lang w:val="en-GB"/>
        </w:rPr>
        <w:t>4.2.2.2.</w:t>
      </w:r>
      <w:r w:rsidRPr="00B04DC3">
        <w:rPr>
          <w:lang w:val="en-GB"/>
        </w:rPr>
        <w:tab/>
        <w:t>At the manufacturer's request the engine may be tested on the reference fuels G</w:t>
      </w:r>
      <w:r w:rsidRPr="00B04DC3">
        <w:rPr>
          <w:vertAlign w:val="subscript"/>
          <w:lang w:val="en-GB"/>
        </w:rPr>
        <w:t>R</w:t>
      </w:r>
      <w:r w:rsidRPr="00B04DC3">
        <w:rPr>
          <w:lang w:val="en-GB"/>
        </w:rPr>
        <w:t xml:space="preserve"> and G</w:t>
      </w:r>
      <w:r w:rsidRPr="00B04DC3">
        <w:rPr>
          <w:vertAlign w:val="subscript"/>
          <w:lang w:val="en-GB"/>
        </w:rPr>
        <w:t>23</w:t>
      </w:r>
      <w:r w:rsidRPr="00B04DC3">
        <w:rPr>
          <w:lang w:val="en-GB"/>
        </w:rPr>
        <w:t>, or on the reference fuels G</w:t>
      </w:r>
      <w:r w:rsidRPr="00B04DC3">
        <w:rPr>
          <w:vertAlign w:val="subscript"/>
          <w:lang w:val="en-GB"/>
        </w:rPr>
        <w:t>25</w:t>
      </w:r>
      <w:r w:rsidRPr="00B04DC3">
        <w:rPr>
          <w:lang w:val="en-GB"/>
        </w:rPr>
        <w:t xml:space="preserve"> and G</w:t>
      </w:r>
      <w:r w:rsidRPr="00B04DC3">
        <w:rPr>
          <w:vertAlign w:val="subscript"/>
          <w:lang w:val="en-GB"/>
        </w:rPr>
        <w:t>23</w:t>
      </w:r>
      <w:r w:rsidRPr="00B04DC3">
        <w:rPr>
          <w:lang w:val="en-GB"/>
        </w:rPr>
        <w:t>, in which case the approval is only valid for the H-range or the L-range of gases respectively.</w:t>
      </w:r>
    </w:p>
    <w:p w:rsidR="00C0100D" w:rsidRPr="00B04DC3" w:rsidRDefault="00C0100D" w:rsidP="00A353CD">
      <w:pPr>
        <w:pStyle w:val="para"/>
        <w:rPr>
          <w:lang w:val="en-GB"/>
        </w:rPr>
      </w:pPr>
      <w:r w:rsidRPr="00B04DC3">
        <w:rPr>
          <w:lang w:val="en-GB"/>
        </w:rPr>
        <w:t>4.2.2.3.</w:t>
      </w:r>
      <w:r w:rsidRPr="00B04DC3">
        <w:rPr>
          <w:lang w:val="en-GB"/>
        </w:rPr>
        <w:tab/>
        <w:t>On delivery to the customer the engine shall bear a label (see paragraph 4.11.) stating for which fuel composition the engine has been calibrated.</w:t>
      </w:r>
    </w:p>
    <w:p w:rsidR="00C0100D" w:rsidRPr="00B04DC3" w:rsidRDefault="00D00049" w:rsidP="00D00049">
      <w:pPr>
        <w:pStyle w:val="para"/>
        <w:rPr>
          <w:lang w:val="en-GB"/>
        </w:rPr>
      </w:pPr>
      <w:r w:rsidRPr="00B04DC3">
        <w:rPr>
          <w:lang w:val="en-GB"/>
        </w:rPr>
        <w:t>4.2.3.</w:t>
      </w:r>
      <w:r w:rsidRPr="00B04DC3">
        <w:rPr>
          <w:lang w:val="en-GB"/>
        </w:rPr>
        <w:tab/>
        <w:t>In the case of a dual-fuel engine family the parent engine shall meet in addition the requirements set out in Annex 11 on the reference fuels specified in Annex 5.</w:t>
      </w:r>
    </w:p>
    <w:p w:rsidR="00D00049" w:rsidRPr="00B04DC3" w:rsidRDefault="00D00049" w:rsidP="00C0100D">
      <w:pPr>
        <w:pStyle w:val="Point0"/>
        <w:spacing w:before="0" w:after="0"/>
        <w:ind w:left="0" w:firstLine="0"/>
      </w:pPr>
    </w:p>
    <w:p w:rsidR="00D00049" w:rsidRPr="00B04DC3" w:rsidRDefault="00D00049" w:rsidP="00C0100D">
      <w:pPr>
        <w:pStyle w:val="Point0"/>
        <w:spacing w:before="0" w:after="0"/>
        <w:ind w:left="0" w:firstLine="0"/>
      </w:pPr>
    </w:p>
    <w:p w:rsidR="00D00049" w:rsidRPr="00B04DC3" w:rsidRDefault="00D00049" w:rsidP="00C0100D">
      <w:pPr>
        <w:pStyle w:val="Point0"/>
        <w:spacing w:before="0" w:after="0"/>
        <w:ind w:left="0" w:firstLine="0"/>
        <w:sectPr w:rsidR="00D00049" w:rsidRPr="00B04DC3" w:rsidSect="002A4563">
          <w:headerReference w:type="even" r:id="rId22"/>
          <w:headerReference w:type="default" r:id="rId23"/>
          <w:footerReference w:type="even" r:id="rId24"/>
          <w:footerReference w:type="default" r:id="rId25"/>
          <w:footerReference w:type="first" r:id="rId26"/>
          <w:footnotePr>
            <w:numRestart w:val="eachSect"/>
          </w:footnotePr>
          <w:endnotePr>
            <w:numFmt w:val="decimal"/>
          </w:endnotePr>
          <w:pgSz w:w="11907" w:h="16840" w:code="9"/>
          <w:pgMar w:top="1701" w:right="1134" w:bottom="2268" w:left="1134" w:header="851" w:footer="1701" w:gutter="0"/>
          <w:cols w:space="720"/>
        </w:sectPr>
      </w:pPr>
    </w:p>
    <w:p w:rsidR="00C0100D" w:rsidRPr="00B04DC3" w:rsidRDefault="003611F0" w:rsidP="00C9239B">
      <w:pPr>
        <w:pStyle w:val="Heading1"/>
        <w:ind w:left="426"/>
        <w:rPr>
          <w:b/>
        </w:rPr>
      </w:pPr>
      <w:bookmarkStart w:id="21" w:name="_Toc399939864"/>
      <w:bookmarkStart w:id="22" w:name="_Toc423599448"/>
      <w:bookmarkStart w:id="23" w:name="_Toc423610856"/>
      <w:r w:rsidRPr="00B04DC3">
        <w:rPr>
          <w:b/>
        </w:rPr>
        <w:t>Approval of CNG-fuelled engines</w:t>
      </w:r>
      <w:bookmarkEnd w:id="21"/>
      <w:bookmarkEnd w:id="22"/>
      <w:bookmarkEnd w:id="23"/>
    </w:p>
    <w:tbl>
      <w:tblPr>
        <w:tblpPr w:leftFromText="180" w:rightFromText="180" w:vertAnchor="text" w:horzAnchor="margin" w:tblpX="510" w:tblpY="22"/>
        <w:tblOverlap w:val="never"/>
        <w:tblW w:w="134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48"/>
        <w:gridCol w:w="2024"/>
        <w:gridCol w:w="1219"/>
        <w:gridCol w:w="2467"/>
        <w:gridCol w:w="2439"/>
        <w:gridCol w:w="1276"/>
        <w:gridCol w:w="2435"/>
      </w:tblGrid>
      <w:tr w:rsidR="00C0100D" w:rsidRPr="00C9239B" w:rsidTr="00C9239B">
        <w:trPr>
          <w:cantSplit/>
          <w:trHeight w:val="389"/>
          <w:tblHeader/>
        </w:trPr>
        <w:tc>
          <w:tcPr>
            <w:tcW w:w="1548" w:type="dxa"/>
            <w:tcBorders>
              <w:top w:val="nil"/>
              <w:left w:val="nil"/>
              <w:bottom w:val="single" w:sz="12" w:space="0" w:color="000000"/>
              <w:right w:val="double" w:sz="6" w:space="0" w:color="000000"/>
            </w:tcBorders>
          </w:tcPr>
          <w:p w:rsidR="00C0100D" w:rsidRPr="00C9239B" w:rsidRDefault="00C0100D" w:rsidP="00C9239B">
            <w:pPr>
              <w:pStyle w:val="BodyText2"/>
              <w:spacing w:before="2" w:after="2"/>
              <w:ind w:left="100"/>
              <w:rPr>
                <w:rFonts w:ascii="Times New Roman" w:hAnsi="Times New Roman"/>
                <w:b w:val="0"/>
                <w:sz w:val="16"/>
                <w:szCs w:val="16"/>
              </w:rPr>
            </w:pPr>
          </w:p>
        </w:tc>
        <w:tc>
          <w:tcPr>
            <w:tcW w:w="2024" w:type="dxa"/>
            <w:tcBorders>
              <w:top w:val="double" w:sz="6" w:space="0" w:color="000000"/>
              <w:left w:val="double" w:sz="6" w:space="0" w:color="000000"/>
              <w:bottom w:val="single" w:sz="12" w:space="0" w:color="000000"/>
              <w:right w:val="single" w:sz="8" w:space="0" w:color="000000"/>
            </w:tcBorders>
          </w:tcPr>
          <w:p w:rsidR="00C0100D" w:rsidRPr="00C9239B" w:rsidRDefault="00C0100D" w:rsidP="00C9239B">
            <w:pPr>
              <w:pBdr>
                <w:left w:val="double" w:sz="6" w:space="4" w:color="000000"/>
                <w:right w:val="double" w:sz="6" w:space="4" w:color="000000"/>
              </w:pBdr>
              <w:spacing w:before="2" w:after="2"/>
              <w:ind w:left="52"/>
              <w:rPr>
                <w:bCs/>
                <w:i/>
                <w:sz w:val="16"/>
                <w:szCs w:val="16"/>
              </w:rPr>
            </w:pPr>
            <w:r w:rsidRPr="00C9239B">
              <w:rPr>
                <w:bCs/>
                <w:i/>
                <w:sz w:val="16"/>
                <w:szCs w:val="16"/>
              </w:rPr>
              <w:t>Paragraph 4.1.: Granting of a universal fuel approval</w:t>
            </w:r>
          </w:p>
        </w:tc>
        <w:tc>
          <w:tcPr>
            <w:tcW w:w="1219" w:type="dxa"/>
            <w:tcBorders>
              <w:top w:val="double" w:sz="6" w:space="0" w:color="000000"/>
              <w:left w:val="single" w:sz="8" w:space="0" w:color="000000"/>
              <w:bottom w:val="single" w:sz="12" w:space="0" w:color="000000"/>
              <w:right w:val="single" w:sz="6" w:space="0" w:color="000000"/>
            </w:tcBorders>
            <w:vAlign w:val="center"/>
          </w:tcPr>
          <w:p w:rsidR="00C0100D" w:rsidRPr="00C9239B" w:rsidRDefault="00C0100D" w:rsidP="00C9239B">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before="2" w:after="2"/>
              <w:ind w:left="82"/>
              <w:rPr>
                <w:rFonts w:ascii="Times New Roman" w:hAnsi="Times New Roman"/>
                <w:b w:val="0"/>
                <w:i/>
                <w:sz w:val="16"/>
                <w:szCs w:val="16"/>
                <w:lang w:val="en-GB"/>
              </w:rPr>
            </w:pPr>
            <w:r w:rsidRPr="00C9239B">
              <w:rPr>
                <w:rFonts w:ascii="Times New Roman" w:hAnsi="Times New Roman"/>
                <w:b w:val="0"/>
                <w:i/>
                <w:sz w:val="16"/>
                <w:szCs w:val="16"/>
                <w:lang w:val="en-GB"/>
              </w:rPr>
              <w:t>Number of test runs</w:t>
            </w:r>
          </w:p>
        </w:tc>
        <w:tc>
          <w:tcPr>
            <w:tcW w:w="2467" w:type="dxa"/>
            <w:tcBorders>
              <w:top w:val="double" w:sz="6" w:space="0" w:color="000000"/>
              <w:left w:val="single" w:sz="6" w:space="0" w:color="000000"/>
              <w:bottom w:val="single" w:sz="12" w:space="0" w:color="000000"/>
              <w:right w:val="single" w:sz="6" w:space="0" w:color="000000"/>
            </w:tcBorders>
            <w:vAlign w:val="center"/>
          </w:tcPr>
          <w:p w:rsidR="00C0100D" w:rsidRPr="00C9239B" w:rsidRDefault="00672656" w:rsidP="00C9239B">
            <w:pPr>
              <w:spacing w:before="2" w:after="2"/>
              <w:rPr>
                <w:bCs/>
                <w:i/>
                <w:sz w:val="16"/>
                <w:szCs w:val="16"/>
              </w:rPr>
            </w:pPr>
            <w:r w:rsidRPr="00C9239B">
              <w:rPr>
                <w:bCs/>
                <w:i/>
                <w:sz w:val="16"/>
                <w:szCs w:val="16"/>
              </w:rPr>
              <w:t xml:space="preserve"> </w:t>
            </w:r>
            <w:r w:rsidR="00C0100D" w:rsidRPr="00C9239B">
              <w:rPr>
                <w:bCs/>
                <w:i/>
                <w:sz w:val="16"/>
                <w:szCs w:val="16"/>
              </w:rPr>
              <w:t>Calculation of "r"</w:t>
            </w:r>
          </w:p>
        </w:tc>
        <w:tc>
          <w:tcPr>
            <w:tcW w:w="2439" w:type="dxa"/>
            <w:tcBorders>
              <w:top w:val="double" w:sz="6" w:space="0" w:color="000000"/>
              <w:left w:val="single" w:sz="6" w:space="0" w:color="000000"/>
              <w:bottom w:val="single" w:sz="12" w:space="0" w:color="000000"/>
              <w:right w:val="single" w:sz="6" w:space="0" w:color="000000"/>
            </w:tcBorders>
          </w:tcPr>
          <w:p w:rsidR="00C0100D" w:rsidRPr="00C9239B" w:rsidRDefault="00C0100D" w:rsidP="00C9239B">
            <w:pPr>
              <w:spacing w:before="2" w:after="2"/>
              <w:ind w:left="88"/>
              <w:rPr>
                <w:i/>
                <w:sz w:val="16"/>
                <w:szCs w:val="16"/>
              </w:rPr>
            </w:pPr>
            <w:r w:rsidRPr="00C9239B">
              <w:rPr>
                <w:i/>
                <w:sz w:val="16"/>
                <w:szCs w:val="16"/>
              </w:rPr>
              <w:t xml:space="preserve">Paragraph 4.2.: Granting of a fuel </w:t>
            </w:r>
            <w:r w:rsidR="00F2385B" w:rsidRPr="00C9239B">
              <w:rPr>
                <w:i/>
                <w:sz w:val="16"/>
                <w:szCs w:val="16"/>
              </w:rPr>
              <w:t xml:space="preserve">range </w:t>
            </w:r>
            <w:r w:rsidRPr="00C9239B">
              <w:rPr>
                <w:i/>
                <w:sz w:val="16"/>
                <w:szCs w:val="16"/>
              </w:rPr>
              <w:t>restricted approval</w:t>
            </w:r>
          </w:p>
        </w:tc>
        <w:tc>
          <w:tcPr>
            <w:tcW w:w="1276" w:type="dxa"/>
            <w:tcBorders>
              <w:top w:val="double" w:sz="6" w:space="0" w:color="000000"/>
              <w:left w:val="single" w:sz="6" w:space="0" w:color="000000"/>
              <w:bottom w:val="single" w:sz="12" w:space="0" w:color="000000"/>
              <w:right w:val="single" w:sz="6" w:space="0" w:color="000000"/>
            </w:tcBorders>
            <w:vAlign w:val="center"/>
          </w:tcPr>
          <w:p w:rsidR="00C0100D" w:rsidRPr="00C9239B" w:rsidRDefault="00C0100D" w:rsidP="00C9239B">
            <w:pPr>
              <w:spacing w:before="2" w:after="2"/>
              <w:ind w:left="56"/>
              <w:rPr>
                <w:bCs/>
                <w:i/>
                <w:sz w:val="16"/>
                <w:szCs w:val="16"/>
              </w:rPr>
            </w:pPr>
            <w:r w:rsidRPr="00C9239B">
              <w:rPr>
                <w:bCs/>
                <w:i/>
                <w:sz w:val="16"/>
                <w:szCs w:val="16"/>
              </w:rPr>
              <w:t>Number of test runs</w:t>
            </w:r>
          </w:p>
        </w:tc>
        <w:tc>
          <w:tcPr>
            <w:tcW w:w="2435" w:type="dxa"/>
            <w:tcBorders>
              <w:top w:val="double" w:sz="6" w:space="0" w:color="000000"/>
              <w:left w:val="single" w:sz="6" w:space="0" w:color="000000"/>
              <w:bottom w:val="single" w:sz="12" w:space="0" w:color="000000"/>
              <w:right w:val="double" w:sz="6" w:space="0" w:color="000000"/>
            </w:tcBorders>
            <w:vAlign w:val="center"/>
          </w:tcPr>
          <w:p w:rsidR="00C0100D" w:rsidRPr="00C9239B" w:rsidRDefault="00672656" w:rsidP="00C9239B">
            <w:pPr>
              <w:spacing w:before="2" w:after="2"/>
              <w:rPr>
                <w:bCs/>
                <w:i/>
                <w:sz w:val="16"/>
                <w:szCs w:val="16"/>
              </w:rPr>
            </w:pPr>
            <w:r w:rsidRPr="00C9239B">
              <w:rPr>
                <w:bCs/>
                <w:i/>
                <w:sz w:val="16"/>
                <w:szCs w:val="16"/>
              </w:rPr>
              <w:t xml:space="preserve"> </w:t>
            </w:r>
            <w:r w:rsidR="00C0100D" w:rsidRPr="00C9239B">
              <w:rPr>
                <w:bCs/>
                <w:i/>
                <w:sz w:val="16"/>
                <w:szCs w:val="16"/>
              </w:rPr>
              <w:t>Calculation of "r"</w:t>
            </w:r>
          </w:p>
        </w:tc>
      </w:tr>
      <w:tr w:rsidR="00C0100D" w:rsidRPr="00C9239B" w:rsidTr="00C9239B">
        <w:trPr>
          <w:cantSplit/>
          <w:trHeight w:val="1928"/>
          <w:tblHeader/>
        </w:trPr>
        <w:tc>
          <w:tcPr>
            <w:tcW w:w="1548" w:type="dxa"/>
            <w:tcBorders>
              <w:top w:val="double" w:sz="6" w:space="0" w:color="000000"/>
              <w:left w:val="double" w:sz="6" w:space="0" w:color="000000"/>
              <w:bottom w:val="single" w:sz="6" w:space="0" w:color="000000"/>
              <w:right w:val="single" w:sz="6" w:space="0" w:color="000000"/>
            </w:tcBorders>
            <w:vAlign w:val="center"/>
          </w:tcPr>
          <w:p w:rsidR="008B0D8A" w:rsidRPr="00C9239B" w:rsidRDefault="00C0100D" w:rsidP="00C9239B">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before="2" w:after="2"/>
              <w:ind w:left="100"/>
              <w:rPr>
                <w:rFonts w:ascii="Times New Roman" w:hAnsi="Times New Roman"/>
                <w:b w:val="0"/>
                <w:sz w:val="16"/>
                <w:szCs w:val="16"/>
                <w:lang w:val="en-GB"/>
              </w:rPr>
            </w:pPr>
            <w:r w:rsidRPr="00C9239B">
              <w:rPr>
                <w:rFonts w:ascii="Times New Roman" w:hAnsi="Times New Roman"/>
                <w:b w:val="0"/>
                <w:sz w:val="16"/>
                <w:szCs w:val="16"/>
                <w:lang w:val="en-GB"/>
              </w:rPr>
              <w:t xml:space="preserve">Refer to para. 4.1.2. </w:t>
            </w:r>
          </w:p>
          <w:p w:rsidR="00C0100D" w:rsidRPr="00C9239B" w:rsidRDefault="00C0100D" w:rsidP="00C9239B">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before="2" w:after="2"/>
              <w:ind w:left="100"/>
              <w:rPr>
                <w:rFonts w:ascii="Times New Roman" w:hAnsi="Times New Roman"/>
                <w:b w:val="0"/>
                <w:sz w:val="16"/>
                <w:szCs w:val="16"/>
                <w:lang w:val="en-GB"/>
              </w:rPr>
            </w:pPr>
            <w:r w:rsidRPr="00C9239B">
              <w:rPr>
                <w:rFonts w:ascii="Times New Roman" w:hAnsi="Times New Roman"/>
                <w:b w:val="0"/>
                <w:sz w:val="16"/>
                <w:szCs w:val="16"/>
                <w:lang w:val="en-GB"/>
              </w:rPr>
              <w:t>NG-engine adaptable to any fuel composition</w:t>
            </w:r>
          </w:p>
        </w:tc>
        <w:tc>
          <w:tcPr>
            <w:tcW w:w="2024" w:type="dxa"/>
            <w:tcBorders>
              <w:top w:val="nil"/>
              <w:left w:val="single" w:sz="6" w:space="0" w:color="000000"/>
              <w:bottom w:val="single" w:sz="6" w:space="0" w:color="000000"/>
              <w:right w:val="single" w:sz="6" w:space="0" w:color="000000"/>
            </w:tcBorders>
            <w:vAlign w:val="center"/>
          </w:tcPr>
          <w:p w:rsidR="00C0100D" w:rsidRPr="00C9239B" w:rsidRDefault="00C0100D" w:rsidP="00C9239B">
            <w:pPr>
              <w:spacing w:before="2" w:after="2"/>
              <w:ind w:left="52"/>
              <w:rPr>
                <w:bCs/>
                <w:sz w:val="16"/>
                <w:szCs w:val="16"/>
              </w:rPr>
            </w:pPr>
            <w:r w:rsidRPr="00C9239B">
              <w:rPr>
                <w:bCs/>
                <w:sz w:val="16"/>
                <w:szCs w:val="16"/>
              </w:rPr>
              <w:t>G</w:t>
            </w:r>
            <w:r w:rsidRPr="00C9239B">
              <w:rPr>
                <w:bCs/>
                <w:sz w:val="16"/>
                <w:szCs w:val="16"/>
                <w:vertAlign w:val="subscript"/>
              </w:rPr>
              <w:t>R</w:t>
            </w:r>
            <w:r w:rsidRPr="00C9239B">
              <w:rPr>
                <w:bCs/>
                <w:sz w:val="16"/>
                <w:szCs w:val="16"/>
              </w:rPr>
              <w:t xml:space="preserve"> (1) and G</w:t>
            </w:r>
            <w:r w:rsidRPr="00C9239B">
              <w:rPr>
                <w:bCs/>
                <w:sz w:val="16"/>
                <w:szCs w:val="16"/>
                <w:vertAlign w:val="subscript"/>
              </w:rPr>
              <w:t>25</w:t>
            </w:r>
            <w:r w:rsidRPr="00C9239B">
              <w:rPr>
                <w:bCs/>
                <w:sz w:val="16"/>
                <w:szCs w:val="16"/>
              </w:rPr>
              <w:t xml:space="preserve"> (2)</w:t>
            </w:r>
          </w:p>
          <w:p w:rsidR="00C0100D" w:rsidRPr="00C9239B" w:rsidRDefault="004B5A51" w:rsidP="00C9239B">
            <w:pPr>
              <w:pStyle w:val="BodyText"/>
              <w:spacing w:before="2" w:after="2"/>
              <w:ind w:left="52"/>
              <w:rPr>
                <w:sz w:val="16"/>
                <w:szCs w:val="16"/>
              </w:rPr>
            </w:pPr>
            <w:r w:rsidRPr="00C9239B">
              <w:rPr>
                <w:sz w:val="16"/>
                <w:szCs w:val="16"/>
              </w:rPr>
              <w:t>A</w:t>
            </w:r>
            <w:r w:rsidR="00C0100D" w:rsidRPr="00C9239B">
              <w:rPr>
                <w:sz w:val="16"/>
                <w:szCs w:val="16"/>
              </w:rPr>
              <w:t>t manufacturer’s request engine may be tested on an additional market fuel (3),</w:t>
            </w:r>
          </w:p>
          <w:p w:rsidR="00C0100D" w:rsidRPr="00C9239B" w:rsidRDefault="00C0100D" w:rsidP="00C9239B">
            <w:pPr>
              <w:pStyle w:val="BodyText"/>
              <w:spacing w:before="2" w:after="2"/>
              <w:ind w:left="52"/>
              <w:rPr>
                <w:sz w:val="16"/>
                <w:szCs w:val="16"/>
              </w:rPr>
            </w:pPr>
            <w:r w:rsidRPr="00C9239B">
              <w:rPr>
                <w:sz w:val="16"/>
                <w:szCs w:val="16"/>
              </w:rPr>
              <w:t>if S</w:t>
            </w:r>
            <w:r w:rsidRPr="00C9239B">
              <w:rPr>
                <w:sz w:val="16"/>
                <w:szCs w:val="16"/>
                <w:vertAlign w:val="subscript"/>
              </w:rPr>
              <w:sym w:font="Symbol" w:char="F06C"/>
            </w:r>
            <w:r w:rsidRPr="00C9239B">
              <w:rPr>
                <w:sz w:val="16"/>
                <w:szCs w:val="16"/>
              </w:rPr>
              <w:t xml:space="preserve"> = 0.89 – 1.19</w:t>
            </w:r>
          </w:p>
        </w:tc>
        <w:tc>
          <w:tcPr>
            <w:tcW w:w="1219" w:type="dxa"/>
            <w:tcBorders>
              <w:top w:val="nil"/>
              <w:left w:val="single" w:sz="6" w:space="0" w:color="000000"/>
              <w:bottom w:val="single" w:sz="6" w:space="0" w:color="000000"/>
              <w:right w:val="single" w:sz="6" w:space="0" w:color="000000"/>
            </w:tcBorders>
            <w:vAlign w:val="center"/>
          </w:tcPr>
          <w:p w:rsidR="00C0100D" w:rsidRPr="00C9239B" w:rsidRDefault="00C0100D" w:rsidP="00C9239B">
            <w:pPr>
              <w:spacing w:before="2" w:after="2"/>
              <w:ind w:left="82"/>
              <w:jc w:val="center"/>
              <w:rPr>
                <w:bCs/>
                <w:sz w:val="16"/>
                <w:szCs w:val="16"/>
              </w:rPr>
            </w:pPr>
            <w:r w:rsidRPr="00C9239B">
              <w:rPr>
                <w:bCs/>
                <w:sz w:val="16"/>
                <w:szCs w:val="16"/>
              </w:rPr>
              <w:t>2</w:t>
            </w:r>
          </w:p>
          <w:p w:rsidR="00C0100D" w:rsidRPr="00C9239B" w:rsidRDefault="00C0100D" w:rsidP="00C9239B">
            <w:pPr>
              <w:spacing w:before="2" w:after="2"/>
              <w:ind w:left="82"/>
              <w:jc w:val="center"/>
              <w:rPr>
                <w:bCs/>
                <w:sz w:val="16"/>
                <w:szCs w:val="16"/>
              </w:rPr>
            </w:pPr>
          </w:p>
          <w:p w:rsidR="00C0100D" w:rsidRPr="00C9239B" w:rsidRDefault="00C0100D" w:rsidP="00C9239B">
            <w:pPr>
              <w:spacing w:before="2" w:after="2"/>
              <w:ind w:left="82"/>
              <w:jc w:val="center"/>
              <w:rPr>
                <w:bCs/>
                <w:sz w:val="16"/>
                <w:szCs w:val="16"/>
              </w:rPr>
            </w:pPr>
            <w:r w:rsidRPr="00C9239B">
              <w:rPr>
                <w:bCs/>
                <w:sz w:val="16"/>
                <w:szCs w:val="16"/>
              </w:rPr>
              <w:t>(max. 3)</w:t>
            </w:r>
          </w:p>
        </w:tc>
        <w:tc>
          <w:tcPr>
            <w:tcW w:w="2467" w:type="dxa"/>
            <w:tcBorders>
              <w:top w:val="nil"/>
              <w:left w:val="single" w:sz="6" w:space="0" w:color="000000"/>
              <w:bottom w:val="single" w:sz="6" w:space="0" w:color="000000"/>
              <w:right w:val="single" w:sz="6" w:space="0" w:color="000000"/>
            </w:tcBorders>
            <w:tcMar>
              <w:left w:w="57" w:type="dxa"/>
            </w:tcMar>
            <w:vAlign w:val="center"/>
          </w:tcPr>
          <w:p w:rsidR="00C0100D" w:rsidRPr="00C9239B" w:rsidRDefault="008B0D8A" w:rsidP="00C9239B">
            <w:pPr>
              <w:spacing w:before="2" w:after="2"/>
              <w:jc w:val="center"/>
              <w:rPr>
                <w:bCs/>
                <w:sz w:val="16"/>
                <w:szCs w:val="16"/>
              </w:rPr>
            </w:pPr>
            <w:r w:rsidRPr="00C9239B">
              <w:rPr>
                <w:bCs/>
                <w:position w:val="-30"/>
                <w:sz w:val="16"/>
                <w:szCs w:val="16"/>
              </w:rPr>
              <w:object w:dxaOrig="1579" w:dyaOrig="680">
                <v:shape id="_x0000_i1033" type="#_x0000_t75" style="width:53.4pt;height:23.4pt" o:ole="" fillcolor="window">
                  <v:imagedata r:id="rId27" o:title=""/>
                </v:shape>
                <o:OLEObject Type="Embed" ProgID="Equation.3" ShapeID="_x0000_i1033" DrawAspect="Content" ObjectID="_1498392223" r:id="rId28"/>
              </w:object>
            </w:r>
          </w:p>
          <w:p w:rsidR="00C0100D" w:rsidRPr="00C9239B" w:rsidRDefault="00C0100D" w:rsidP="00C9239B">
            <w:pPr>
              <w:pStyle w:val="BodyText3"/>
              <w:spacing w:before="2" w:after="2"/>
              <w:rPr>
                <w:rFonts w:ascii="Times New Roman" w:hAnsi="Times New Roman"/>
                <w:b w:val="0"/>
                <w:iCs/>
                <w:sz w:val="16"/>
                <w:szCs w:val="16"/>
                <w:lang w:val="en-GB"/>
              </w:rPr>
            </w:pPr>
            <w:r w:rsidRPr="00C9239B">
              <w:rPr>
                <w:rFonts w:ascii="Times New Roman" w:hAnsi="Times New Roman"/>
                <w:b w:val="0"/>
                <w:iCs/>
                <w:sz w:val="16"/>
                <w:szCs w:val="16"/>
                <w:lang w:val="en-GB"/>
              </w:rPr>
              <w:t>and, if tested with an additional fuel</w:t>
            </w:r>
            <w:r w:rsidR="00594A72" w:rsidRPr="00C9239B">
              <w:rPr>
                <w:rFonts w:ascii="Times New Roman" w:hAnsi="Times New Roman"/>
                <w:b w:val="0"/>
                <w:iCs/>
                <w:sz w:val="16"/>
                <w:szCs w:val="16"/>
                <w:lang w:val="en-GB"/>
              </w:rPr>
              <w:t>;</w:t>
            </w:r>
          </w:p>
          <w:p w:rsidR="00C0100D" w:rsidRPr="00C9239B" w:rsidRDefault="007E4700" w:rsidP="00C9239B">
            <w:pPr>
              <w:pStyle w:val="BodyText3"/>
              <w:spacing w:before="2" w:after="2"/>
              <w:jc w:val="center"/>
              <w:rPr>
                <w:rFonts w:ascii="Times New Roman" w:hAnsi="Times New Roman"/>
                <w:b w:val="0"/>
                <w:sz w:val="16"/>
                <w:szCs w:val="16"/>
                <w:lang w:val="en-GB"/>
              </w:rPr>
            </w:pPr>
            <w:r w:rsidRPr="00C9239B">
              <w:rPr>
                <w:rFonts w:ascii="Times New Roman" w:hAnsi="Times New Roman"/>
                <w:b w:val="0"/>
                <w:bCs w:val="0"/>
                <w:position w:val="-30"/>
                <w:sz w:val="16"/>
                <w:szCs w:val="16"/>
                <w:lang w:val="en-GB"/>
              </w:rPr>
              <w:object w:dxaOrig="2680" w:dyaOrig="680">
                <v:shape id="_x0000_i1034" type="#_x0000_t75" style="width:90.6pt;height:23.4pt" o:ole="" fillcolor="window">
                  <v:imagedata r:id="rId29" o:title=""/>
                </v:shape>
                <o:OLEObject Type="Embed" ProgID="Equation.3" ShapeID="_x0000_i1034" DrawAspect="Content" ObjectID="_1498392224" r:id="rId30"/>
              </w:object>
            </w:r>
          </w:p>
          <w:p w:rsidR="00C0100D" w:rsidRPr="00C9239B" w:rsidRDefault="00C0100D" w:rsidP="00C9239B">
            <w:pPr>
              <w:spacing w:before="2" w:after="2"/>
              <w:rPr>
                <w:bCs/>
                <w:sz w:val="16"/>
                <w:szCs w:val="16"/>
              </w:rPr>
            </w:pPr>
            <w:r w:rsidRPr="00C9239B">
              <w:rPr>
                <w:bCs/>
                <w:sz w:val="16"/>
                <w:szCs w:val="16"/>
              </w:rPr>
              <w:t>and</w:t>
            </w:r>
          </w:p>
          <w:p w:rsidR="00C0100D" w:rsidRPr="00C9239B" w:rsidRDefault="002A074F" w:rsidP="00C9239B">
            <w:pPr>
              <w:spacing w:before="2" w:after="2"/>
              <w:jc w:val="center"/>
              <w:rPr>
                <w:bCs/>
                <w:sz w:val="16"/>
                <w:szCs w:val="16"/>
              </w:rPr>
            </w:pPr>
            <w:r w:rsidRPr="00C9239B">
              <w:rPr>
                <w:bCs/>
                <w:position w:val="-30"/>
                <w:sz w:val="16"/>
                <w:szCs w:val="16"/>
              </w:rPr>
              <w:object w:dxaOrig="3379" w:dyaOrig="680">
                <v:shape id="_x0000_i1035" type="#_x0000_t75" style="width:114.6pt;height:23.4pt" o:ole="" fillcolor="window">
                  <v:imagedata r:id="rId31" o:title=""/>
                </v:shape>
                <o:OLEObject Type="Embed" ProgID="Equation.3" ShapeID="_x0000_i1035" DrawAspect="Content" ObjectID="_1498392225" r:id="rId32"/>
              </w:object>
            </w:r>
          </w:p>
        </w:tc>
        <w:tc>
          <w:tcPr>
            <w:tcW w:w="2439" w:type="dxa"/>
            <w:tcBorders>
              <w:top w:val="single" w:sz="12"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spacing w:before="2" w:after="2"/>
              <w:ind w:left="88"/>
              <w:rPr>
                <w:bCs/>
                <w:sz w:val="16"/>
                <w:szCs w:val="16"/>
              </w:rPr>
            </w:pPr>
          </w:p>
        </w:tc>
        <w:tc>
          <w:tcPr>
            <w:tcW w:w="1276" w:type="dxa"/>
            <w:tcBorders>
              <w:top w:val="single" w:sz="12"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spacing w:before="2" w:after="2"/>
              <w:ind w:left="56"/>
              <w:rPr>
                <w:bCs/>
                <w:sz w:val="16"/>
                <w:szCs w:val="16"/>
              </w:rPr>
            </w:pPr>
          </w:p>
        </w:tc>
        <w:tc>
          <w:tcPr>
            <w:tcW w:w="2435" w:type="dxa"/>
            <w:tcBorders>
              <w:top w:val="single" w:sz="12" w:space="0" w:color="000000"/>
              <w:left w:val="single" w:sz="6" w:space="0" w:color="000000"/>
              <w:bottom w:val="single" w:sz="6" w:space="0" w:color="000000"/>
              <w:right w:val="double" w:sz="6" w:space="0" w:color="000000"/>
            </w:tcBorders>
            <w:shd w:val="clear" w:color="auto" w:fill="FFFFFF"/>
          </w:tcPr>
          <w:p w:rsidR="00C0100D" w:rsidRPr="00C9239B" w:rsidRDefault="00C0100D" w:rsidP="00C9239B">
            <w:pPr>
              <w:spacing w:before="2" w:after="2"/>
              <w:rPr>
                <w:bCs/>
                <w:sz w:val="16"/>
                <w:szCs w:val="16"/>
              </w:rPr>
            </w:pPr>
          </w:p>
        </w:tc>
      </w:tr>
      <w:tr w:rsidR="00C0100D" w:rsidRPr="00C9239B" w:rsidTr="00C9239B">
        <w:trPr>
          <w:cantSplit/>
          <w:trHeight w:val="1818"/>
          <w:tblHeader/>
        </w:trPr>
        <w:tc>
          <w:tcPr>
            <w:tcW w:w="1548" w:type="dxa"/>
            <w:tcBorders>
              <w:top w:val="single" w:sz="6" w:space="0" w:color="000000"/>
              <w:left w:val="double" w:sz="6" w:space="0" w:color="000000"/>
              <w:bottom w:val="single" w:sz="6" w:space="0" w:color="000000"/>
              <w:right w:val="single" w:sz="6" w:space="0" w:color="000000"/>
            </w:tcBorders>
            <w:vAlign w:val="center"/>
          </w:tcPr>
          <w:p w:rsidR="008B0D8A" w:rsidRPr="00C9239B" w:rsidRDefault="00C0100D" w:rsidP="00C9239B">
            <w:pPr>
              <w:spacing w:before="2" w:after="2"/>
              <w:ind w:left="100"/>
              <w:rPr>
                <w:bCs/>
                <w:sz w:val="16"/>
                <w:szCs w:val="16"/>
              </w:rPr>
            </w:pPr>
            <w:r w:rsidRPr="00C9239B">
              <w:rPr>
                <w:bCs/>
                <w:sz w:val="16"/>
                <w:szCs w:val="16"/>
              </w:rPr>
              <w:t xml:space="preserve">Refer to para. 4.1.3. </w:t>
            </w:r>
          </w:p>
          <w:p w:rsidR="00C0100D" w:rsidRPr="00C9239B" w:rsidRDefault="00C0100D" w:rsidP="00C9239B">
            <w:pPr>
              <w:spacing w:before="2" w:after="2"/>
              <w:ind w:left="100"/>
              <w:rPr>
                <w:bCs/>
                <w:sz w:val="16"/>
                <w:szCs w:val="16"/>
              </w:rPr>
            </w:pPr>
            <w:r w:rsidRPr="00C9239B">
              <w:rPr>
                <w:bCs/>
                <w:sz w:val="16"/>
                <w:szCs w:val="16"/>
              </w:rPr>
              <w:t>NG-engine which is self adaptive by a switch</w:t>
            </w:r>
          </w:p>
        </w:tc>
        <w:tc>
          <w:tcPr>
            <w:tcW w:w="2024" w:type="dxa"/>
            <w:tcBorders>
              <w:top w:val="single" w:sz="6" w:space="0" w:color="000000"/>
              <w:left w:val="single" w:sz="6" w:space="0" w:color="000000"/>
              <w:bottom w:val="single" w:sz="6" w:space="0" w:color="000000"/>
              <w:right w:val="single" w:sz="6" w:space="0" w:color="000000"/>
            </w:tcBorders>
            <w:vAlign w:val="center"/>
          </w:tcPr>
          <w:p w:rsidR="00C0100D" w:rsidRPr="00C9239B" w:rsidRDefault="00C0100D" w:rsidP="00C9239B">
            <w:pPr>
              <w:spacing w:before="2" w:after="2"/>
              <w:ind w:left="52"/>
              <w:rPr>
                <w:bCs/>
                <w:sz w:val="16"/>
                <w:szCs w:val="16"/>
              </w:rPr>
            </w:pPr>
            <w:r w:rsidRPr="00C9239B">
              <w:rPr>
                <w:bCs/>
                <w:sz w:val="16"/>
                <w:szCs w:val="16"/>
              </w:rPr>
              <w:t>G</w:t>
            </w:r>
            <w:r w:rsidRPr="00C9239B">
              <w:rPr>
                <w:bCs/>
                <w:sz w:val="16"/>
                <w:szCs w:val="16"/>
                <w:vertAlign w:val="subscript"/>
              </w:rPr>
              <w:t>R</w:t>
            </w:r>
            <w:r w:rsidRPr="00C9239B">
              <w:rPr>
                <w:bCs/>
                <w:sz w:val="16"/>
                <w:szCs w:val="16"/>
              </w:rPr>
              <w:t xml:space="preserve"> </w:t>
            </w:r>
            <w:r w:rsidRPr="00C9239B">
              <w:rPr>
                <w:bCs/>
                <w:sz w:val="16"/>
                <w:szCs w:val="16"/>
                <w:vertAlign w:val="subscript"/>
              </w:rPr>
              <w:t xml:space="preserve"> </w:t>
            </w:r>
            <w:r w:rsidRPr="00C9239B">
              <w:rPr>
                <w:bCs/>
                <w:sz w:val="16"/>
                <w:szCs w:val="16"/>
              </w:rPr>
              <w:t>(1) and G</w:t>
            </w:r>
            <w:r w:rsidRPr="00C9239B">
              <w:rPr>
                <w:bCs/>
                <w:sz w:val="16"/>
                <w:szCs w:val="16"/>
                <w:vertAlign w:val="subscript"/>
              </w:rPr>
              <w:t>23</w:t>
            </w:r>
            <w:r w:rsidRPr="00C9239B">
              <w:rPr>
                <w:bCs/>
                <w:sz w:val="16"/>
                <w:szCs w:val="16"/>
              </w:rPr>
              <w:t xml:space="preserve"> (3) for H</w:t>
            </w:r>
          </w:p>
          <w:p w:rsidR="00C0100D" w:rsidRPr="00C9239B" w:rsidRDefault="00C0100D" w:rsidP="00C9239B">
            <w:pPr>
              <w:spacing w:before="2" w:after="2"/>
              <w:ind w:left="52"/>
              <w:rPr>
                <w:bCs/>
                <w:sz w:val="16"/>
                <w:szCs w:val="16"/>
              </w:rPr>
            </w:pPr>
            <w:r w:rsidRPr="00C9239B">
              <w:rPr>
                <w:bCs/>
                <w:sz w:val="16"/>
                <w:szCs w:val="16"/>
                <w:u w:val="single"/>
              </w:rPr>
              <w:t>and</w:t>
            </w:r>
          </w:p>
          <w:p w:rsidR="00C0100D" w:rsidRPr="00C9239B" w:rsidRDefault="00C0100D" w:rsidP="00C9239B">
            <w:pPr>
              <w:spacing w:before="2" w:after="2"/>
              <w:ind w:left="52"/>
              <w:rPr>
                <w:bCs/>
                <w:sz w:val="16"/>
                <w:szCs w:val="16"/>
              </w:rPr>
            </w:pPr>
            <w:r w:rsidRPr="00C9239B">
              <w:rPr>
                <w:bCs/>
                <w:sz w:val="16"/>
                <w:szCs w:val="16"/>
              </w:rPr>
              <w:t>G</w:t>
            </w:r>
            <w:r w:rsidRPr="00C9239B">
              <w:rPr>
                <w:bCs/>
                <w:sz w:val="16"/>
                <w:szCs w:val="16"/>
                <w:vertAlign w:val="subscript"/>
              </w:rPr>
              <w:t>25</w:t>
            </w:r>
            <w:r w:rsidRPr="00C9239B">
              <w:rPr>
                <w:bCs/>
                <w:sz w:val="16"/>
                <w:szCs w:val="16"/>
              </w:rPr>
              <w:t xml:space="preserve"> (2) and G</w:t>
            </w:r>
            <w:r w:rsidRPr="00C9239B">
              <w:rPr>
                <w:bCs/>
                <w:sz w:val="16"/>
                <w:szCs w:val="16"/>
                <w:vertAlign w:val="subscript"/>
              </w:rPr>
              <w:t>23</w:t>
            </w:r>
            <w:r w:rsidRPr="00C9239B">
              <w:rPr>
                <w:bCs/>
                <w:sz w:val="16"/>
                <w:szCs w:val="16"/>
              </w:rPr>
              <w:t xml:space="preserve"> (3) for L</w:t>
            </w:r>
          </w:p>
          <w:p w:rsidR="00C0100D" w:rsidRPr="00C9239B" w:rsidRDefault="00594A72" w:rsidP="00C9239B">
            <w:pPr>
              <w:spacing w:before="2" w:after="2"/>
              <w:ind w:left="52"/>
              <w:rPr>
                <w:bCs/>
                <w:sz w:val="16"/>
                <w:szCs w:val="16"/>
              </w:rPr>
            </w:pPr>
            <w:r w:rsidRPr="00C9239B">
              <w:rPr>
                <w:bCs/>
                <w:sz w:val="16"/>
                <w:szCs w:val="16"/>
              </w:rPr>
              <w:t>A</w:t>
            </w:r>
            <w:r w:rsidR="00C0100D" w:rsidRPr="00C9239B">
              <w:rPr>
                <w:bCs/>
                <w:sz w:val="16"/>
                <w:szCs w:val="16"/>
              </w:rPr>
              <w:t>t manufacturer’s request engine may be tested on a market fuel (3) instead of G</w:t>
            </w:r>
            <w:r w:rsidR="00C0100D" w:rsidRPr="00C9239B">
              <w:rPr>
                <w:bCs/>
                <w:sz w:val="16"/>
                <w:szCs w:val="16"/>
                <w:vertAlign w:val="subscript"/>
              </w:rPr>
              <w:t>23</w:t>
            </w:r>
            <w:r w:rsidR="00C0100D" w:rsidRPr="00C9239B">
              <w:rPr>
                <w:bCs/>
                <w:sz w:val="16"/>
                <w:szCs w:val="16"/>
              </w:rPr>
              <w:t>, if S</w:t>
            </w:r>
            <w:r w:rsidR="00C0100D" w:rsidRPr="00C9239B">
              <w:rPr>
                <w:bCs/>
                <w:sz w:val="16"/>
                <w:szCs w:val="16"/>
                <w:vertAlign w:val="subscript"/>
              </w:rPr>
              <w:sym w:font="Symbol" w:char="F06C"/>
            </w:r>
            <w:r w:rsidR="00C0100D" w:rsidRPr="00C9239B">
              <w:rPr>
                <w:bCs/>
                <w:sz w:val="16"/>
                <w:szCs w:val="16"/>
              </w:rPr>
              <w:t xml:space="preserve"> = 0.89 – 1.19</w:t>
            </w:r>
          </w:p>
        </w:tc>
        <w:tc>
          <w:tcPr>
            <w:tcW w:w="1219" w:type="dxa"/>
            <w:tcBorders>
              <w:top w:val="single" w:sz="6" w:space="0" w:color="000000"/>
              <w:left w:val="single" w:sz="6" w:space="0" w:color="000000"/>
              <w:bottom w:val="single" w:sz="6" w:space="0" w:color="000000"/>
              <w:right w:val="single" w:sz="6" w:space="0" w:color="000000"/>
            </w:tcBorders>
            <w:vAlign w:val="center"/>
          </w:tcPr>
          <w:p w:rsidR="00C0100D" w:rsidRPr="00C9239B" w:rsidRDefault="00C0100D" w:rsidP="00C9239B">
            <w:pPr>
              <w:spacing w:before="2" w:after="2"/>
              <w:ind w:left="82"/>
              <w:rPr>
                <w:bCs/>
                <w:sz w:val="16"/>
                <w:szCs w:val="16"/>
              </w:rPr>
            </w:pPr>
            <w:r w:rsidRPr="00C9239B">
              <w:rPr>
                <w:bCs/>
                <w:sz w:val="16"/>
                <w:szCs w:val="16"/>
              </w:rPr>
              <w:t>2 for the H</w:t>
            </w:r>
            <w:r w:rsidRPr="00C9239B">
              <w:rPr>
                <w:bCs/>
                <w:sz w:val="16"/>
                <w:szCs w:val="16"/>
              </w:rPr>
              <w:noBreakHyphen/>
              <w:t>range, and</w:t>
            </w:r>
          </w:p>
          <w:p w:rsidR="00C0100D" w:rsidRPr="00C9239B" w:rsidRDefault="00C0100D" w:rsidP="00C9239B">
            <w:pPr>
              <w:spacing w:before="2" w:after="2"/>
              <w:ind w:left="82"/>
              <w:rPr>
                <w:bCs/>
                <w:sz w:val="16"/>
                <w:szCs w:val="16"/>
              </w:rPr>
            </w:pPr>
            <w:r w:rsidRPr="00C9239B">
              <w:rPr>
                <w:bCs/>
                <w:sz w:val="16"/>
                <w:szCs w:val="16"/>
              </w:rPr>
              <w:t>2 for the L</w:t>
            </w:r>
            <w:r w:rsidRPr="00C9239B">
              <w:rPr>
                <w:bCs/>
                <w:sz w:val="16"/>
                <w:szCs w:val="16"/>
              </w:rPr>
              <w:noBreakHyphen/>
              <w:t>range;</w:t>
            </w:r>
          </w:p>
          <w:p w:rsidR="00C0100D" w:rsidRPr="00C9239B" w:rsidRDefault="00C0100D" w:rsidP="00C9239B">
            <w:pPr>
              <w:pStyle w:val="BodyText"/>
              <w:spacing w:before="2" w:after="2"/>
              <w:ind w:left="82"/>
              <w:rPr>
                <w:sz w:val="16"/>
                <w:szCs w:val="16"/>
              </w:rPr>
            </w:pPr>
            <w:r w:rsidRPr="00C9239B">
              <w:rPr>
                <w:sz w:val="16"/>
                <w:szCs w:val="16"/>
              </w:rPr>
              <w:t>at respective position of switch</w:t>
            </w:r>
          </w:p>
          <w:p w:rsidR="00C0100D" w:rsidRPr="00C9239B" w:rsidRDefault="00C0100D" w:rsidP="00C9239B">
            <w:pPr>
              <w:spacing w:before="2" w:after="2"/>
              <w:ind w:left="82"/>
              <w:rPr>
                <w:bCs/>
                <w:sz w:val="16"/>
                <w:szCs w:val="16"/>
              </w:rPr>
            </w:pPr>
            <w:r w:rsidRPr="00C9239B">
              <w:rPr>
                <w:bCs/>
                <w:sz w:val="16"/>
                <w:szCs w:val="16"/>
              </w:rPr>
              <w:t>4</w:t>
            </w:r>
          </w:p>
        </w:tc>
        <w:tc>
          <w:tcPr>
            <w:tcW w:w="2467" w:type="dxa"/>
            <w:tcBorders>
              <w:top w:val="single" w:sz="6" w:space="0" w:color="000000"/>
              <w:left w:val="single" w:sz="6" w:space="0" w:color="000000"/>
              <w:bottom w:val="single" w:sz="6" w:space="0" w:color="000000"/>
              <w:right w:val="single" w:sz="6" w:space="0" w:color="000000"/>
            </w:tcBorders>
            <w:tcMar>
              <w:left w:w="57" w:type="dxa"/>
            </w:tcMar>
            <w:vAlign w:val="center"/>
          </w:tcPr>
          <w:p w:rsidR="00C0100D" w:rsidRPr="00C9239B" w:rsidRDefault="002A074F" w:rsidP="00C9239B">
            <w:pPr>
              <w:spacing w:before="2" w:after="2"/>
              <w:jc w:val="center"/>
              <w:rPr>
                <w:bCs/>
                <w:sz w:val="16"/>
                <w:szCs w:val="16"/>
              </w:rPr>
            </w:pPr>
            <w:r w:rsidRPr="00C9239B">
              <w:rPr>
                <w:bCs/>
                <w:position w:val="-30"/>
                <w:sz w:val="16"/>
                <w:szCs w:val="16"/>
              </w:rPr>
              <w:object w:dxaOrig="3379" w:dyaOrig="680">
                <v:shape id="_x0000_i1036" type="#_x0000_t75" style="width:114.6pt;height:23.4pt" o:ole="" fillcolor="window">
                  <v:imagedata r:id="rId33" o:title=""/>
                </v:shape>
                <o:OLEObject Type="Embed" ProgID="Equation.3" ShapeID="_x0000_i1036" DrawAspect="Content" ObjectID="_1498392226" r:id="rId34"/>
              </w:object>
            </w:r>
          </w:p>
          <w:p w:rsidR="00C0100D" w:rsidRPr="00C9239B" w:rsidRDefault="00C0100D" w:rsidP="00C9239B">
            <w:pPr>
              <w:spacing w:before="2" w:after="2"/>
              <w:rPr>
                <w:bCs/>
                <w:sz w:val="16"/>
                <w:szCs w:val="16"/>
              </w:rPr>
            </w:pPr>
            <w:r w:rsidRPr="00C9239B">
              <w:rPr>
                <w:bCs/>
                <w:sz w:val="16"/>
                <w:szCs w:val="16"/>
              </w:rPr>
              <w:t>and</w:t>
            </w:r>
          </w:p>
          <w:p w:rsidR="00C0100D" w:rsidRPr="00C9239B" w:rsidRDefault="002A074F" w:rsidP="00C9239B">
            <w:pPr>
              <w:spacing w:before="2" w:after="2"/>
              <w:jc w:val="center"/>
              <w:rPr>
                <w:bCs/>
                <w:sz w:val="16"/>
                <w:szCs w:val="16"/>
              </w:rPr>
            </w:pPr>
            <w:r w:rsidRPr="00C9239B">
              <w:rPr>
                <w:bCs/>
                <w:position w:val="-30"/>
                <w:sz w:val="16"/>
                <w:szCs w:val="16"/>
              </w:rPr>
              <w:object w:dxaOrig="3340" w:dyaOrig="680">
                <v:shape id="_x0000_i1037" type="#_x0000_t75" style="width:113.4pt;height:23.4pt" o:ole="" fillcolor="window">
                  <v:imagedata r:id="rId35" o:title=""/>
                </v:shape>
                <o:OLEObject Type="Embed" ProgID="Equation.3" ShapeID="_x0000_i1037" DrawAspect="Content" ObjectID="_1498392227" r:id="rId36"/>
              </w:objec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spacing w:before="2" w:after="2"/>
              <w:ind w:left="88"/>
              <w:rPr>
                <w:bCs/>
                <w:sz w:val="16"/>
                <w:szCs w:val="16"/>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spacing w:before="2" w:after="2"/>
              <w:ind w:left="56"/>
              <w:rPr>
                <w:bCs/>
                <w:sz w:val="16"/>
                <w:szCs w:val="16"/>
              </w:rPr>
            </w:pPr>
          </w:p>
        </w:tc>
        <w:tc>
          <w:tcPr>
            <w:tcW w:w="2435" w:type="dxa"/>
            <w:tcBorders>
              <w:top w:val="single" w:sz="6" w:space="0" w:color="000000"/>
              <w:left w:val="single" w:sz="6" w:space="0" w:color="000000"/>
              <w:bottom w:val="single" w:sz="6" w:space="0" w:color="000000"/>
              <w:right w:val="double" w:sz="6" w:space="0" w:color="000000"/>
            </w:tcBorders>
            <w:shd w:val="clear" w:color="auto" w:fill="FFFFFF"/>
          </w:tcPr>
          <w:p w:rsidR="00C0100D" w:rsidRPr="00C9239B" w:rsidRDefault="00C0100D" w:rsidP="00C9239B">
            <w:pPr>
              <w:spacing w:before="2" w:after="2"/>
              <w:rPr>
                <w:bCs/>
                <w:sz w:val="16"/>
                <w:szCs w:val="16"/>
              </w:rPr>
            </w:pPr>
          </w:p>
        </w:tc>
      </w:tr>
      <w:tr w:rsidR="00C0100D" w:rsidRPr="00C9239B" w:rsidTr="00C9239B">
        <w:trPr>
          <w:cantSplit/>
          <w:tblHeader/>
        </w:trPr>
        <w:tc>
          <w:tcPr>
            <w:tcW w:w="1548" w:type="dxa"/>
            <w:tcBorders>
              <w:top w:val="single" w:sz="6" w:space="0" w:color="000000"/>
              <w:left w:val="double" w:sz="6" w:space="0" w:color="000000"/>
              <w:bottom w:val="single" w:sz="6" w:space="0" w:color="000000"/>
              <w:right w:val="single" w:sz="6" w:space="0" w:color="000000"/>
            </w:tcBorders>
            <w:vAlign w:val="center"/>
          </w:tcPr>
          <w:p w:rsidR="008B0D8A" w:rsidRPr="00C9239B" w:rsidRDefault="00C0100D" w:rsidP="00C9239B">
            <w:pPr>
              <w:spacing w:before="2" w:after="2"/>
              <w:ind w:left="100"/>
              <w:rPr>
                <w:bCs/>
                <w:sz w:val="16"/>
                <w:szCs w:val="16"/>
              </w:rPr>
            </w:pPr>
            <w:r w:rsidRPr="00C9239B">
              <w:rPr>
                <w:bCs/>
                <w:sz w:val="16"/>
                <w:szCs w:val="16"/>
              </w:rPr>
              <w:t xml:space="preserve">Refer to para. 4.2.1. </w:t>
            </w:r>
          </w:p>
          <w:p w:rsidR="00C0100D" w:rsidRPr="00C9239B" w:rsidRDefault="00C0100D" w:rsidP="00C9239B">
            <w:pPr>
              <w:spacing w:before="2" w:after="2"/>
              <w:ind w:left="100"/>
              <w:rPr>
                <w:bCs/>
                <w:sz w:val="16"/>
                <w:szCs w:val="16"/>
              </w:rPr>
            </w:pPr>
            <w:r w:rsidRPr="00C9239B">
              <w:rPr>
                <w:bCs/>
                <w:sz w:val="16"/>
                <w:szCs w:val="16"/>
              </w:rPr>
              <w:t>NG-engine laid out for operation on either H</w:t>
            </w:r>
            <w:r w:rsidRPr="00C9239B">
              <w:rPr>
                <w:bCs/>
                <w:sz w:val="16"/>
                <w:szCs w:val="16"/>
              </w:rPr>
              <w:noBreakHyphen/>
              <w:t>range gas or L</w:t>
            </w:r>
            <w:r w:rsidRPr="00C9239B">
              <w:rPr>
                <w:bCs/>
                <w:sz w:val="16"/>
                <w:szCs w:val="16"/>
              </w:rPr>
              <w:noBreakHyphen/>
              <w:t>range gas</w:t>
            </w:r>
          </w:p>
        </w:tc>
        <w:tc>
          <w:tcPr>
            <w:tcW w:w="2024" w:type="dxa"/>
            <w:tcBorders>
              <w:top w:val="single" w:sz="6"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pStyle w:val="Document1"/>
              <w:keepNext w:val="0"/>
              <w:keepLines w:val="0"/>
              <w:widowControl/>
              <w:tabs>
                <w:tab w:val="clear" w:pos="-720"/>
              </w:tabs>
              <w:suppressAutoHyphens w:val="0"/>
              <w:spacing w:before="2" w:after="2"/>
              <w:ind w:left="52"/>
              <w:rPr>
                <w:rFonts w:ascii="Times New Roman" w:hAnsi="Times New Roman"/>
                <w:sz w:val="16"/>
                <w:szCs w:val="16"/>
                <w:lang w:val="en-GB"/>
              </w:rPr>
            </w:pPr>
          </w:p>
        </w:tc>
        <w:tc>
          <w:tcPr>
            <w:tcW w:w="1219" w:type="dxa"/>
            <w:tcBorders>
              <w:top w:val="single" w:sz="6" w:space="0" w:color="000000"/>
              <w:left w:val="single" w:sz="6" w:space="0" w:color="000000"/>
              <w:bottom w:val="single" w:sz="6" w:space="0" w:color="000000"/>
              <w:right w:val="single" w:sz="6" w:space="0" w:color="000000"/>
            </w:tcBorders>
            <w:shd w:val="clear" w:color="auto" w:fill="FFFFFF"/>
          </w:tcPr>
          <w:p w:rsidR="00C0100D" w:rsidRPr="00C9239B" w:rsidRDefault="00C0100D" w:rsidP="00C9239B">
            <w:pPr>
              <w:pStyle w:val="Document1"/>
              <w:keepNext w:val="0"/>
              <w:keepLines w:val="0"/>
              <w:widowControl/>
              <w:tabs>
                <w:tab w:val="clear" w:pos="-720"/>
              </w:tabs>
              <w:suppressAutoHyphens w:val="0"/>
              <w:spacing w:before="2" w:after="2"/>
              <w:ind w:left="82"/>
              <w:rPr>
                <w:rFonts w:ascii="Times New Roman" w:hAnsi="Times New Roman"/>
                <w:sz w:val="16"/>
                <w:szCs w:val="16"/>
                <w:lang w:val="en-GB"/>
              </w:rPr>
            </w:pPr>
          </w:p>
        </w:tc>
        <w:tc>
          <w:tcPr>
            <w:tcW w:w="2467" w:type="dxa"/>
            <w:tcBorders>
              <w:top w:val="single" w:sz="6" w:space="0" w:color="000000"/>
              <w:left w:val="single" w:sz="6" w:space="0" w:color="000000"/>
              <w:bottom w:val="single" w:sz="6" w:space="0" w:color="000000"/>
              <w:right w:val="single" w:sz="6" w:space="0" w:color="000000"/>
            </w:tcBorders>
            <w:shd w:val="clear" w:color="auto" w:fill="FFFFFF"/>
            <w:tcMar>
              <w:left w:w="57" w:type="dxa"/>
            </w:tcMar>
          </w:tcPr>
          <w:p w:rsidR="00C0100D" w:rsidRPr="00C9239B" w:rsidRDefault="00C0100D" w:rsidP="00C9239B">
            <w:pPr>
              <w:spacing w:before="2" w:after="2"/>
              <w:rPr>
                <w:bCs/>
                <w:sz w:val="16"/>
                <w:szCs w:val="16"/>
              </w:rPr>
            </w:pPr>
          </w:p>
        </w:tc>
        <w:tc>
          <w:tcPr>
            <w:tcW w:w="2439" w:type="dxa"/>
            <w:tcBorders>
              <w:top w:val="single" w:sz="6" w:space="0" w:color="000000"/>
              <w:left w:val="single" w:sz="6" w:space="0" w:color="000000"/>
              <w:bottom w:val="single" w:sz="6" w:space="0" w:color="000000"/>
              <w:right w:val="single" w:sz="6" w:space="0" w:color="000000"/>
            </w:tcBorders>
            <w:vAlign w:val="center"/>
          </w:tcPr>
          <w:p w:rsidR="00C0100D" w:rsidRPr="00C9239B" w:rsidRDefault="00C0100D" w:rsidP="00C9239B">
            <w:pPr>
              <w:spacing w:before="2" w:after="2"/>
              <w:ind w:left="88"/>
              <w:rPr>
                <w:bCs/>
                <w:sz w:val="16"/>
                <w:szCs w:val="16"/>
              </w:rPr>
            </w:pPr>
            <w:r w:rsidRPr="00C9239B">
              <w:rPr>
                <w:bCs/>
                <w:sz w:val="16"/>
                <w:szCs w:val="16"/>
              </w:rPr>
              <w:t>G</w:t>
            </w:r>
            <w:r w:rsidRPr="00C9239B">
              <w:rPr>
                <w:bCs/>
                <w:sz w:val="16"/>
                <w:szCs w:val="16"/>
                <w:vertAlign w:val="subscript"/>
              </w:rPr>
              <w:t>R</w:t>
            </w:r>
            <w:r w:rsidRPr="00C9239B">
              <w:rPr>
                <w:bCs/>
                <w:sz w:val="16"/>
                <w:szCs w:val="16"/>
              </w:rPr>
              <w:t xml:space="preserve"> </w:t>
            </w:r>
            <w:r w:rsidRPr="00C9239B">
              <w:rPr>
                <w:bCs/>
                <w:sz w:val="16"/>
                <w:szCs w:val="16"/>
                <w:vertAlign w:val="subscript"/>
              </w:rPr>
              <w:t xml:space="preserve"> </w:t>
            </w:r>
            <w:r w:rsidRPr="00C9239B">
              <w:rPr>
                <w:bCs/>
                <w:sz w:val="16"/>
                <w:szCs w:val="16"/>
              </w:rPr>
              <w:t>(1) and G</w:t>
            </w:r>
            <w:r w:rsidRPr="00C9239B">
              <w:rPr>
                <w:bCs/>
                <w:sz w:val="16"/>
                <w:szCs w:val="16"/>
                <w:vertAlign w:val="subscript"/>
              </w:rPr>
              <w:t>23</w:t>
            </w:r>
            <w:r w:rsidRPr="00C9239B">
              <w:rPr>
                <w:bCs/>
                <w:sz w:val="16"/>
                <w:szCs w:val="16"/>
              </w:rPr>
              <w:t xml:space="preserve"> (3) for H </w:t>
            </w:r>
            <w:r w:rsidRPr="00C9239B">
              <w:rPr>
                <w:bCs/>
                <w:sz w:val="16"/>
                <w:szCs w:val="16"/>
                <w:u w:val="single"/>
              </w:rPr>
              <w:t>or</w:t>
            </w:r>
          </w:p>
          <w:p w:rsidR="00C0100D" w:rsidRPr="00C9239B" w:rsidRDefault="00C0100D" w:rsidP="00C9239B">
            <w:pPr>
              <w:spacing w:before="2" w:after="2"/>
              <w:ind w:left="88"/>
              <w:rPr>
                <w:bCs/>
                <w:sz w:val="16"/>
                <w:szCs w:val="16"/>
              </w:rPr>
            </w:pPr>
            <w:r w:rsidRPr="00C9239B">
              <w:rPr>
                <w:bCs/>
                <w:sz w:val="16"/>
                <w:szCs w:val="16"/>
              </w:rPr>
              <w:t>G</w:t>
            </w:r>
            <w:r w:rsidRPr="00C9239B">
              <w:rPr>
                <w:bCs/>
                <w:sz w:val="16"/>
                <w:szCs w:val="16"/>
                <w:vertAlign w:val="subscript"/>
              </w:rPr>
              <w:t>25</w:t>
            </w:r>
            <w:r w:rsidRPr="00C9239B">
              <w:rPr>
                <w:bCs/>
                <w:sz w:val="16"/>
                <w:szCs w:val="16"/>
              </w:rPr>
              <w:t xml:space="preserve"> (2) and G</w:t>
            </w:r>
            <w:r w:rsidRPr="00C9239B">
              <w:rPr>
                <w:bCs/>
                <w:sz w:val="16"/>
                <w:szCs w:val="16"/>
                <w:vertAlign w:val="subscript"/>
              </w:rPr>
              <w:t>23</w:t>
            </w:r>
            <w:r w:rsidRPr="00C9239B">
              <w:rPr>
                <w:bCs/>
                <w:sz w:val="16"/>
                <w:szCs w:val="16"/>
              </w:rPr>
              <w:t xml:space="preserve"> (3) for L</w:t>
            </w:r>
          </w:p>
          <w:p w:rsidR="00C0100D" w:rsidRPr="00C9239B" w:rsidRDefault="00594A72" w:rsidP="00C9239B">
            <w:pPr>
              <w:spacing w:before="2" w:after="2"/>
              <w:ind w:left="88"/>
              <w:rPr>
                <w:bCs/>
                <w:sz w:val="16"/>
                <w:szCs w:val="16"/>
              </w:rPr>
            </w:pPr>
            <w:r w:rsidRPr="00C9239B">
              <w:rPr>
                <w:bCs/>
                <w:sz w:val="16"/>
                <w:szCs w:val="16"/>
              </w:rPr>
              <w:t>A</w:t>
            </w:r>
            <w:r w:rsidR="00C0100D" w:rsidRPr="00C9239B">
              <w:rPr>
                <w:bCs/>
                <w:sz w:val="16"/>
                <w:szCs w:val="16"/>
              </w:rPr>
              <w:t>t manufacturer’s request engine may be tested on a market fuel (3) instead of G</w:t>
            </w:r>
            <w:r w:rsidR="00C0100D" w:rsidRPr="00C9239B">
              <w:rPr>
                <w:bCs/>
                <w:sz w:val="16"/>
                <w:szCs w:val="16"/>
                <w:vertAlign w:val="subscript"/>
              </w:rPr>
              <w:t>23</w:t>
            </w:r>
            <w:r w:rsidR="00C0100D" w:rsidRPr="00C9239B">
              <w:rPr>
                <w:bCs/>
                <w:sz w:val="16"/>
                <w:szCs w:val="16"/>
              </w:rPr>
              <w:t>, if S</w:t>
            </w:r>
            <w:r w:rsidR="00C0100D" w:rsidRPr="00C9239B">
              <w:rPr>
                <w:bCs/>
                <w:sz w:val="16"/>
                <w:szCs w:val="16"/>
                <w:vertAlign w:val="subscript"/>
              </w:rPr>
              <w:sym w:font="Symbol" w:char="F06C"/>
            </w:r>
            <w:r w:rsidR="00C0100D" w:rsidRPr="00C9239B">
              <w:rPr>
                <w:bCs/>
                <w:sz w:val="16"/>
                <w:szCs w:val="16"/>
              </w:rPr>
              <w:t xml:space="preserve"> = 0.89 – 1.19</w:t>
            </w:r>
          </w:p>
        </w:tc>
        <w:tc>
          <w:tcPr>
            <w:tcW w:w="1276" w:type="dxa"/>
            <w:tcBorders>
              <w:top w:val="single" w:sz="6" w:space="0" w:color="000000"/>
              <w:left w:val="single" w:sz="6" w:space="0" w:color="000000"/>
              <w:bottom w:val="single" w:sz="6" w:space="0" w:color="000000"/>
              <w:right w:val="single" w:sz="6" w:space="0" w:color="000000"/>
            </w:tcBorders>
            <w:vAlign w:val="center"/>
          </w:tcPr>
          <w:p w:rsidR="00C0100D" w:rsidRPr="00C9239B" w:rsidRDefault="00C0100D" w:rsidP="00C9239B">
            <w:pPr>
              <w:pStyle w:val="Header"/>
              <w:pBdr>
                <w:bottom w:val="none" w:sz="0" w:space="0" w:color="auto"/>
              </w:pBdr>
              <w:spacing w:before="2" w:after="2"/>
              <w:ind w:left="56"/>
              <w:rPr>
                <w:b w:val="0"/>
                <w:sz w:val="16"/>
                <w:szCs w:val="16"/>
              </w:rPr>
            </w:pPr>
            <w:r w:rsidRPr="00C9239B">
              <w:rPr>
                <w:b w:val="0"/>
                <w:sz w:val="16"/>
                <w:szCs w:val="16"/>
              </w:rPr>
              <w:t>2 for the H-range</w:t>
            </w:r>
          </w:p>
          <w:p w:rsidR="00C0100D" w:rsidRPr="00C9239B" w:rsidRDefault="00C0100D" w:rsidP="00C9239B">
            <w:pPr>
              <w:spacing w:before="2" w:after="2"/>
              <w:ind w:left="56"/>
              <w:rPr>
                <w:bCs/>
                <w:sz w:val="16"/>
                <w:szCs w:val="16"/>
              </w:rPr>
            </w:pPr>
            <w:r w:rsidRPr="00C9239B">
              <w:rPr>
                <w:bCs/>
                <w:sz w:val="16"/>
                <w:szCs w:val="16"/>
              </w:rPr>
              <w:t>or</w:t>
            </w:r>
          </w:p>
          <w:p w:rsidR="00C0100D" w:rsidRPr="00C9239B" w:rsidRDefault="00C0100D" w:rsidP="00C9239B">
            <w:pPr>
              <w:spacing w:before="2" w:after="2"/>
              <w:ind w:left="56"/>
              <w:rPr>
                <w:bCs/>
                <w:sz w:val="16"/>
                <w:szCs w:val="16"/>
              </w:rPr>
            </w:pPr>
            <w:r w:rsidRPr="00C9239B">
              <w:rPr>
                <w:bCs/>
                <w:sz w:val="16"/>
                <w:szCs w:val="16"/>
              </w:rPr>
              <w:t>2 for the L-range</w:t>
            </w:r>
          </w:p>
          <w:p w:rsidR="00C0100D" w:rsidRPr="00C9239B" w:rsidRDefault="00C0100D" w:rsidP="00C9239B">
            <w:pPr>
              <w:spacing w:before="2" w:after="2"/>
              <w:ind w:left="56"/>
              <w:rPr>
                <w:bCs/>
                <w:sz w:val="16"/>
                <w:szCs w:val="16"/>
              </w:rPr>
            </w:pPr>
          </w:p>
          <w:p w:rsidR="00C0100D" w:rsidRPr="00C9239B" w:rsidRDefault="00C0100D" w:rsidP="00C9239B">
            <w:pPr>
              <w:spacing w:before="2" w:after="2"/>
              <w:ind w:left="56"/>
              <w:rPr>
                <w:bCs/>
                <w:sz w:val="16"/>
                <w:szCs w:val="16"/>
              </w:rPr>
            </w:pPr>
            <w:r w:rsidRPr="00C9239B">
              <w:rPr>
                <w:bCs/>
                <w:sz w:val="16"/>
                <w:szCs w:val="16"/>
              </w:rPr>
              <w:t>2</w:t>
            </w:r>
          </w:p>
        </w:tc>
        <w:tc>
          <w:tcPr>
            <w:tcW w:w="2435" w:type="dxa"/>
            <w:tcBorders>
              <w:top w:val="single" w:sz="6" w:space="0" w:color="000000"/>
              <w:left w:val="single" w:sz="6" w:space="0" w:color="000000"/>
              <w:bottom w:val="single" w:sz="6" w:space="0" w:color="000000"/>
              <w:right w:val="double" w:sz="6" w:space="0" w:color="000000"/>
            </w:tcBorders>
            <w:vAlign w:val="center"/>
          </w:tcPr>
          <w:p w:rsidR="00C0100D" w:rsidRPr="00C9239B" w:rsidRDefault="002A074F" w:rsidP="00C9239B">
            <w:pPr>
              <w:spacing w:before="2" w:after="2"/>
              <w:jc w:val="center"/>
              <w:rPr>
                <w:bCs/>
                <w:sz w:val="16"/>
                <w:szCs w:val="16"/>
              </w:rPr>
            </w:pPr>
            <w:r w:rsidRPr="00C9239B">
              <w:rPr>
                <w:bCs/>
                <w:position w:val="-30"/>
                <w:sz w:val="16"/>
                <w:szCs w:val="16"/>
              </w:rPr>
              <w:object w:dxaOrig="3340" w:dyaOrig="680">
                <v:shape id="_x0000_i1038" type="#_x0000_t75" style="width:113.4pt;height:23.4pt" o:ole="" fillcolor="window">
                  <v:imagedata r:id="rId37" o:title=""/>
                </v:shape>
                <o:OLEObject Type="Embed" ProgID="Equation.3" ShapeID="_x0000_i1038" DrawAspect="Content" ObjectID="_1498392228" r:id="rId38"/>
              </w:object>
            </w:r>
          </w:p>
          <w:p w:rsidR="00C0100D" w:rsidRPr="00C9239B" w:rsidRDefault="00C0100D" w:rsidP="00C9239B">
            <w:pPr>
              <w:spacing w:before="2" w:after="2"/>
              <w:jc w:val="center"/>
              <w:rPr>
                <w:bCs/>
                <w:sz w:val="16"/>
                <w:szCs w:val="16"/>
              </w:rPr>
            </w:pPr>
            <w:r w:rsidRPr="00C9239B">
              <w:rPr>
                <w:bCs/>
                <w:sz w:val="16"/>
                <w:szCs w:val="16"/>
              </w:rPr>
              <w:t>for the H-range</w:t>
            </w:r>
          </w:p>
          <w:p w:rsidR="00C0100D" w:rsidRPr="00C9239B" w:rsidRDefault="00C0100D" w:rsidP="00C9239B">
            <w:pPr>
              <w:spacing w:before="2" w:after="2"/>
              <w:rPr>
                <w:bCs/>
                <w:sz w:val="16"/>
                <w:szCs w:val="16"/>
              </w:rPr>
            </w:pPr>
            <w:r w:rsidRPr="00C9239B">
              <w:rPr>
                <w:bCs/>
                <w:sz w:val="16"/>
                <w:szCs w:val="16"/>
              </w:rPr>
              <w:t>or</w:t>
            </w:r>
          </w:p>
          <w:p w:rsidR="00C0100D" w:rsidRPr="00C9239B" w:rsidRDefault="002A074F" w:rsidP="00C9239B">
            <w:pPr>
              <w:spacing w:before="2" w:after="2"/>
              <w:jc w:val="center"/>
              <w:rPr>
                <w:bCs/>
                <w:sz w:val="16"/>
                <w:szCs w:val="16"/>
              </w:rPr>
            </w:pPr>
            <w:r w:rsidRPr="00C9239B">
              <w:rPr>
                <w:bCs/>
                <w:position w:val="-30"/>
                <w:sz w:val="16"/>
                <w:szCs w:val="16"/>
              </w:rPr>
              <w:object w:dxaOrig="3280" w:dyaOrig="680">
                <v:shape id="_x0000_i1039" type="#_x0000_t75" style="width:111.6pt;height:23.4pt" o:ole="" fillcolor="window">
                  <v:imagedata r:id="rId39" o:title=""/>
                </v:shape>
                <o:OLEObject Type="Embed" ProgID="Equation.3" ShapeID="_x0000_i1039" DrawAspect="Content" ObjectID="_1498392229" r:id="rId40"/>
              </w:object>
            </w:r>
          </w:p>
          <w:p w:rsidR="00C0100D" w:rsidRPr="00C9239B" w:rsidRDefault="00C0100D" w:rsidP="00C9239B">
            <w:pPr>
              <w:spacing w:before="2" w:after="2"/>
              <w:jc w:val="center"/>
              <w:rPr>
                <w:bCs/>
                <w:sz w:val="16"/>
                <w:szCs w:val="16"/>
              </w:rPr>
            </w:pPr>
            <w:r w:rsidRPr="00C9239B">
              <w:rPr>
                <w:bCs/>
                <w:sz w:val="16"/>
                <w:szCs w:val="16"/>
              </w:rPr>
              <w:t>for the L-range</w:t>
            </w:r>
          </w:p>
        </w:tc>
      </w:tr>
      <w:tr w:rsidR="00C0100D" w:rsidRPr="00C9239B" w:rsidTr="00C9239B">
        <w:trPr>
          <w:cantSplit/>
          <w:tblHeader/>
        </w:trPr>
        <w:tc>
          <w:tcPr>
            <w:tcW w:w="1548" w:type="dxa"/>
            <w:tcBorders>
              <w:top w:val="single" w:sz="6" w:space="0" w:color="000000"/>
              <w:left w:val="double" w:sz="6" w:space="0" w:color="000000"/>
              <w:bottom w:val="double" w:sz="6" w:space="0" w:color="000000"/>
              <w:right w:val="single" w:sz="6" w:space="0" w:color="000000"/>
            </w:tcBorders>
            <w:vAlign w:val="center"/>
          </w:tcPr>
          <w:p w:rsidR="00C0100D" w:rsidRPr="00C9239B" w:rsidRDefault="00C0100D" w:rsidP="00C9239B">
            <w:pPr>
              <w:spacing w:before="2" w:after="2"/>
              <w:ind w:left="100"/>
              <w:rPr>
                <w:bCs/>
                <w:sz w:val="16"/>
                <w:szCs w:val="16"/>
              </w:rPr>
            </w:pPr>
            <w:r w:rsidRPr="00C9239B">
              <w:rPr>
                <w:bCs/>
                <w:sz w:val="16"/>
                <w:szCs w:val="16"/>
              </w:rPr>
              <w:t xml:space="preserve">Refer to </w:t>
            </w:r>
            <w:r w:rsidR="002A074F" w:rsidRPr="00C9239B">
              <w:rPr>
                <w:bCs/>
                <w:sz w:val="16"/>
                <w:szCs w:val="16"/>
              </w:rPr>
              <w:br/>
            </w:r>
            <w:r w:rsidRPr="00C9239B">
              <w:rPr>
                <w:bCs/>
                <w:sz w:val="16"/>
                <w:szCs w:val="16"/>
              </w:rPr>
              <w:t xml:space="preserve">para. 4.2.2. </w:t>
            </w:r>
            <w:r w:rsidR="004B5A51" w:rsidRPr="00C9239B">
              <w:rPr>
                <w:bCs/>
                <w:sz w:val="16"/>
                <w:szCs w:val="16"/>
              </w:rPr>
              <w:br/>
            </w:r>
            <w:r w:rsidRPr="00C9239B">
              <w:rPr>
                <w:bCs/>
                <w:sz w:val="16"/>
                <w:szCs w:val="16"/>
              </w:rPr>
              <w:t xml:space="preserve">NG-engine laid out for operation on one specific fuel composition </w:t>
            </w:r>
          </w:p>
        </w:tc>
        <w:tc>
          <w:tcPr>
            <w:tcW w:w="2024" w:type="dxa"/>
            <w:tcBorders>
              <w:top w:val="single" w:sz="6" w:space="0" w:color="000000"/>
              <w:left w:val="single" w:sz="6" w:space="0" w:color="000000"/>
              <w:bottom w:val="double" w:sz="6" w:space="0" w:color="000000"/>
              <w:right w:val="single" w:sz="6" w:space="0" w:color="000000"/>
            </w:tcBorders>
            <w:shd w:val="clear" w:color="auto" w:fill="FFFFFF"/>
          </w:tcPr>
          <w:p w:rsidR="00C0100D" w:rsidRPr="00C9239B" w:rsidRDefault="00C0100D" w:rsidP="00C9239B">
            <w:pPr>
              <w:spacing w:before="2" w:after="2"/>
              <w:ind w:left="52"/>
              <w:rPr>
                <w:bCs/>
                <w:sz w:val="16"/>
                <w:szCs w:val="16"/>
              </w:rPr>
            </w:pPr>
          </w:p>
        </w:tc>
        <w:tc>
          <w:tcPr>
            <w:tcW w:w="1219" w:type="dxa"/>
            <w:tcBorders>
              <w:top w:val="single" w:sz="6" w:space="0" w:color="000000"/>
              <w:left w:val="single" w:sz="6" w:space="0" w:color="000000"/>
              <w:bottom w:val="double" w:sz="6" w:space="0" w:color="000000"/>
              <w:right w:val="single" w:sz="6" w:space="0" w:color="000000"/>
            </w:tcBorders>
            <w:shd w:val="clear" w:color="auto" w:fill="FFFFFF"/>
          </w:tcPr>
          <w:p w:rsidR="00C0100D" w:rsidRPr="00C9239B" w:rsidRDefault="00C0100D" w:rsidP="00C9239B">
            <w:pPr>
              <w:spacing w:before="2" w:after="2"/>
              <w:ind w:left="82"/>
              <w:rPr>
                <w:bCs/>
                <w:sz w:val="16"/>
                <w:szCs w:val="16"/>
              </w:rPr>
            </w:pPr>
          </w:p>
        </w:tc>
        <w:tc>
          <w:tcPr>
            <w:tcW w:w="2467" w:type="dxa"/>
            <w:tcBorders>
              <w:top w:val="single" w:sz="6" w:space="0" w:color="000000"/>
              <w:left w:val="single" w:sz="6" w:space="0" w:color="000000"/>
              <w:bottom w:val="double" w:sz="6" w:space="0" w:color="000000"/>
              <w:right w:val="single" w:sz="6" w:space="0" w:color="000000"/>
            </w:tcBorders>
            <w:shd w:val="clear" w:color="auto" w:fill="FFFFFF"/>
          </w:tcPr>
          <w:p w:rsidR="00C0100D" w:rsidRPr="00C9239B" w:rsidRDefault="00C0100D" w:rsidP="00C9239B">
            <w:pPr>
              <w:spacing w:before="2" w:after="2"/>
              <w:rPr>
                <w:bCs/>
                <w:sz w:val="16"/>
                <w:szCs w:val="16"/>
              </w:rPr>
            </w:pPr>
          </w:p>
        </w:tc>
        <w:tc>
          <w:tcPr>
            <w:tcW w:w="2439" w:type="dxa"/>
            <w:tcBorders>
              <w:top w:val="single" w:sz="6" w:space="0" w:color="000000"/>
              <w:left w:val="single" w:sz="6" w:space="0" w:color="000000"/>
              <w:bottom w:val="double" w:sz="6" w:space="0" w:color="000000"/>
              <w:right w:val="single" w:sz="6" w:space="0" w:color="000000"/>
            </w:tcBorders>
            <w:vAlign w:val="center"/>
          </w:tcPr>
          <w:p w:rsidR="00C0100D" w:rsidRPr="00C9239B" w:rsidRDefault="00C0100D" w:rsidP="00C9239B">
            <w:pPr>
              <w:spacing w:before="2" w:after="2"/>
              <w:ind w:left="88"/>
              <w:rPr>
                <w:bCs/>
                <w:sz w:val="16"/>
                <w:szCs w:val="16"/>
              </w:rPr>
            </w:pPr>
            <w:r w:rsidRPr="00C9239B">
              <w:rPr>
                <w:bCs/>
                <w:sz w:val="16"/>
                <w:szCs w:val="16"/>
              </w:rPr>
              <w:t>G</w:t>
            </w:r>
            <w:r w:rsidRPr="00C9239B">
              <w:rPr>
                <w:bCs/>
                <w:sz w:val="16"/>
                <w:szCs w:val="16"/>
                <w:vertAlign w:val="subscript"/>
              </w:rPr>
              <w:t>R</w:t>
            </w:r>
            <w:r w:rsidRPr="00C9239B">
              <w:rPr>
                <w:bCs/>
                <w:sz w:val="16"/>
                <w:szCs w:val="16"/>
              </w:rPr>
              <w:t xml:space="preserve"> (1) and G</w:t>
            </w:r>
            <w:r w:rsidRPr="00C9239B">
              <w:rPr>
                <w:bCs/>
                <w:sz w:val="16"/>
                <w:szCs w:val="16"/>
                <w:vertAlign w:val="subscript"/>
              </w:rPr>
              <w:t>25</w:t>
            </w:r>
            <w:r w:rsidRPr="00C9239B">
              <w:rPr>
                <w:bCs/>
                <w:sz w:val="16"/>
                <w:szCs w:val="16"/>
              </w:rPr>
              <w:t xml:space="preserve"> (2), </w:t>
            </w:r>
          </w:p>
          <w:p w:rsidR="00C0100D" w:rsidRPr="00C9239B" w:rsidRDefault="00594A72" w:rsidP="00C9239B">
            <w:pPr>
              <w:spacing w:before="2" w:after="2"/>
              <w:ind w:left="88"/>
              <w:rPr>
                <w:bCs/>
                <w:sz w:val="16"/>
                <w:szCs w:val="16"/>
              </w:rPr>
            </w:pPr>
            <w:r w:rsidRPr="00C9239B">
              <w:rPr>
                <w:bCs/>
                <w:sz w:val="16"/>
                <w:szCs w:val="16"/>
              </w:rPr>
              <w:t>F</w:t>
            </w:r>
            <w:r w:rsidR="00C0100D" w:rsidRPr="00C9239B">
              <w:rPr>
                <w:bCs/>
                <w:sz w:val="16"/>
                <w:szCs w:val="16"/>
              </w:rPr>
              <w:t>ine-tuning between the tests allowed;</w:t>
            </w:r>
          </w:p>
          <w:p w:rsidR="00C0100D" w:rsidRPr="00C9239B" w:rsidRDefault="00594A72" w:rsidP="00C9239B">
            <w:pPr>
              <w:spacing w:before="2" w:after="2"/>
              <w:ind w:left="88"/>
              <w:rPr>
                <w:bCs/>
                <w:sz w:val="16"/>
                <w:szCs w:val="16"/>
              </w:rPr>
            </w:pPr>
            <w:r w:rsidRPr="00C9239B">
              <w:rPr>
                <w:bCs/>
                <w:sz w:val="16"/>
                <w:szCs w:val="16"/>
              </w:rPr>
              <w:t>A</w:t>
            </w:r>
            <w:r w:rsidR="00C0100D" w:rsidRPr="00C9239B">
              <w:rPr>
                <w:bCs/>
                <w:sz w:val="16"/>
                <w:szCs w:val="16"/>
              </w:rPr>
              <w:t>t manufacturer’s request engine may be tested on:</w:t>
            </w:r>
          </w:p>
          <w:p w:rsidR="00C0100D" w:rsidRPr="00C9239B" w:rsidRDefault="00C0100D" w:rsidP="00C9239B">
            <w:pPr>
              <w:spacing w:before="2" w:after="2"/>
              <w:ind w:left="88"/>
              <w:rPr>
                <w:bCs/>
                <w:sz w:val="16"/>
                <w:szCs w:val="16"/>
              </w:rPr>
            </w:pPr>
            <w:r w:rsidRPr="00C9239B">
              <w:rPr>
                <w:bCs/>
                <w:sz w:val="16"/>
                <w:szCs w:val="16"/>
              </w:rPr>
              <w:t>G</w:t>
            </w:r>
            <w:r w:rsidRPr="00C9239B">
              <w:rPr>
                <w:bCs/>
                <w:sz w:val="16"/>
                <w:szCs w:val="16"/>
                <w:vertAlign w:val="subscript"/>
              </w:rPr>
              <w:t>R</w:t>
            </w:r>
            <w:r w:rsidRPr="00C9239B">
              <w:rPr>
                <w:bCs/>
                <w:sz w:val="16"/>
                <w:szCs w:val="16"/>
              </w:rPr>
              <w:t xml:space="preserve"> (1) and G</w:t>
            </w:r>
            <w:r w:rsidRPr="00C9239B">
              <w:rPr>
                <w:bCs/>
                <w:sz w:val="16"/>
                <w:szCs w:val="16"/>
                <w:vertAlign w:val="subscript"/>
              </w:rPr>
              <w:t>23</w:t>
            </w:r>
            <w:r w:rsidRPr="00C9239B">
              <w:rPr>
                <w:bCs/>
                <w:sz w:val="16"/>
                <w:szCs w:val="16"/>
              </w:rPr>
              <w:t xml:space="preserve"> (3) for H or</w:t>
            </w:r>
          </w:p>
          <w:p w:rsidR="00C0100D" w:rsidRPr="00C9239B" w:rsidRDefault="00C0100D" w:rsidP="00C9239B">
            <w:pPr>
              <w:spacing w:before="2" w:after="2"/>
              <w:ind w:left="88"/>
              <w:rPr>
                <w:bCs/>
                <w:sz w:val="16"/>
                <w:szCs w:val="16"/>
              </w:rPr>
            </w:pPr>
            <w:r w:rsidRPr="00C9239B">
              <w:rPr>
                <w:bCs/>
                <w:sz w:val="16"/>
                <w:szCs w:val="16"/>
              </w:rPr>
              <w:t>G</w:t>
            </w:r>
            <w:r w:rsidRPr="00C9239B">
              <w:rPr>
                <w:bCs/>
                <w:sz w:val="16"/>
                <w:szCs w:val="16"/>
                <w:vertAlign w:val="subscript"/>
              </w:rPr>
              <w:t>25</w:t>
            </w:r>
            <w:r w:rsidRPr="00C9239B">
              <w:rPr>
                <w:bCs/>
                <w:sz w:val="16"/>
                <w:szCs w:val="16"/>
              </w:rPr>
              <w:t xml:space="preserve"> (2) and G</w:t>
            </w:r>
            <w:r w:rsidRPr="00C9239B">
              <w:rPr>
                <w:bCs/>
                <w:sz w:val="16"/>
                <w:szCs w:val="16"/>
                <w:vertAlign w:val="subscript"/>
              </w:rPr>
              <w:t>23</w:t>
            </w:r>
            <w:r w:rsidRPr="00C9239B">
              <w:rPr>
                <w:bCs/>
                <w:sz w:val="16"/>
                <w:szCs w:val="16"/>
              </w:rPr>
              <w:t xml:space="preserve"> (3) for L</w:t>
            </w:r>
          </w:p>
        </w:tc>
        <w:tc>
          <w:tcPr>
            <w:tcW w:w="1276" w:type="dxa"/>
            <w:tcBorders>
              <w:top w:val="single" w:sz="6" w:space="0" w:color="000000"/>
              <w:left w:val="single" w:sz="6" w:space="0" w:color="000000"/>
              <w:bottom w:val="double" w:sz="6" w:space="0" w:color="000000"/>
              <w:right w:val="single" w:sz="6" w:space="0" w:color="000000"/>
            </w:tcBorders>
            <w:vAlign w:val="center"/>
          </w:tcPr>
          <w:p w:rsidR="00C0100D" w:rsidRPr="00C9239B" w:rsidRDefault="00C0100D" w:rsidP="00C9239B">
            <w:pPr>
              <w:spacing w:before="2" w:after="2"/>
              <w:ind w:left="56"/>
              <w:rPr>
                <w:bCs/>
                <w:sz w:val="16"/>
                <w:szCs w:val="16"/>
              </w:rPr>
            </w:pPr>
            <w:r w:rsidRPr="00C9239B">
              <w:rPr>
                <w:bCs/>
                <w:sz w:val="16"/>
                <w:szCs w:val="16"/>
              </w:rPr>
              <w:t>2</w:t>
            </w:r>
          </w:p>
          <w:p w:rsidR="00C0100D" w:rsidRPr="00C9239B" w:rsidRDefault="00C0100D" w:rsidP="00C9239B">
            <w:pPr>
              <w:spacing w:before="2" w:after="2"/>
              <w:ind w:left="56"/>
              <w:rPr>
                <w:bCs/>
                <w:sz w:val="16"/>
                <w:szCs w:val="16"/>
              </w:rPr>
            </w:pPr>
            <w:r w:rsidRPr="00C9239B">
              <w:rPr>
                <w:bCs/>
                <w:sz w:val="16"/>
                <w:szCs w:val="16"/>
              </w:rPr>
              <w:t>or</w:t>
            </w:r>
          </w:p>
          <w:p w:rsidR="00C0100D" w:rsidRPr="00C9239B" w:rsidRDefault="00C0100D" w:rsidP="00C9239B">
            <w:pPr>
              <w:spacing w:before="2" w:after="2"/>
              <w:ind w:left="56"/>
              <w:rPr>
                <w:bCs/>
                <w:sz w:val="16"/>
                <w:szCs w:val="16"/>
              </w:rPr>
            </w:pPr>
            <w:r w:rsidRPr="00C9239B">
              <w:rPr>
                <w:bCs/>
                <w:sz w:val="16"/>
                <w:szCs w:val="16"/>
              </w:rPr>
              <w:t>2 for the H-range</w:t>
            </w:r>
          </w:p>
          <w:p w:rsidR="00C0100D" w:rsidRPr="00C9239B" w:rsidRDefault="00C0100D" w:rsidP="00C9239B">
            <w:pPr>
              <w:spacing w:before="2" w:after="2"/>
              <w:ind w:left="56"/>
              <w:rPr>
                <w:bCs/>
                <w:sz w:val="16"/>
                <w:szCs w:val="16"/>
              </w:rPr>
            </w:pPr>
            <w:r w:rsidRPr="00C9239B">
              <w:rPr>
                <w:bCs/>
                <w:sz w:val="16"/>
                <w:szCs w:val="16"/>
              </w:rPr>
              <w:t>or</w:t>
            </w:r>
          </w:p>
          <w:p w:rsidR="00C0100D" w:rsidRPr="00C9239B" w:rsidRDefault="00C0100D" w:rsidP="00C9239B">
            <w:pPr>
              <w:spacing w:before="2" w:after="2"/>
              <w:ind w:left="56"/>
              <w:rPr>
                <w:bCs/>
                <w:sz w:val="16"/>
                <w:szCs w:val="16"/>
              </w:rPr>
            </w:pPr>
            <w:r w:rsidRPr="00C9239B">
              <w:rPr>
                <w:bCs/>
                <w:sz w:val="16"/>
                <w:szCs w:val="16"/>
              </w:rPr>
              <w:t>2 for the L-range</w:t>
            </w:r>
          </w:p>
          <w:p w:rsidR="00C0100D" w:rsidRPr="00C9239B" w:rsidRDefault="00C0100D" w:rsidP="00C9239B">
            <w:pPr>
              <w:spacing w:before="2" w:after="2"/>
              <w:ind w:left="56"/>
              <w:rPr>
                <w:bCs/>
                <w:sz w:val="16"/>
                <w:szCs w:val="16"/>
              </w:rPr>
            </w:pPr>
            <w:r w:rsidRPr="00C9239B">
              <w:rPr>
                <w:bCs/>
                <w:sz w:val="16"/>
                <w:szCs w:val="16"/>
              </w:rPr>
              <w:t>2</w:t>
            </w:r>
          </w:p>
        </w:tc>
        <w:tc>
          <w:tcPr>
            <w:tcW w:w="2435" w:type="dxa"/>
            <w:tcBorders>
              <w:top w:val="single" w:sz="6" w:space="0" w:color="000000"/>
              <w:left w:val="single" w:sz="6" w:space="0" w:color="000000"/>
              <w:bottom w:val="double" w:sz="6" w:space="0" w:color="000000"/>
              <w:right w:val="double" w:sz="6" w:space="0" w:color="000000"/>
            </w:tcBorders>
          </w:tcPr>
          <w:p w:rsidR="00C0100D" w:rsidRPr="00C9239B" w:rsidRDefault="00C0100D" w:rsidP="00C9239B">
            <w:pPr>
              <w:spacing w:before="2" w:after="2"/>
              <w:rPr>
                <w:bCs/>
                <w:sz w:val="16"/>
                <w:szCs w:val="16"/>
              </w:rPr>
            </w:pPr>
          </w:p>
        </w:tc>
      </w:tr>
    </w:tbl>
    <w:p w:rsidR="00E530AD" w:rsidRPr="00B04DC3" w:rsidRDefault="00C0100D" w:rsidP="00C9239B">
      <w:pPr>
        <w:pStyle w:val="Heading1"/>
        <w:ind w:left="567"/>
        <w:rPr>
          <w:b/>
        </w:rPr>
      </w:pPr>
      <w:r w:rsidRPr="00B04DC3">
        <w:rPr>
          <w:sz w:val="16"/>
          <w:szCs w:val="16"/>
        </w:rPr>
        <w:br w:type="page"/>
      </w:r>
      <w:bookmarkStart w:id="24" w:name="_Toc399939865"/>
      <w:bookmarkStart w:id="25" w:name="_Toc423599449"/>
      <w:bookmarkStart w:id="26" w:name="_Toc423610857"/>
      <w:r w:rsidR="00E530AD" w:rsidRPr="00B04DC3">
        <w:rPr>
          <w:b/>
        </w:rPr>
        <w:t>Approval of LPG-fuelled engines</w:t>
      </w:r>
      <w:bookmarkEnd w:id="24"/>
      <w:bookmarkEnd w:id="25"/>
      <w:bookmarkEnd w:id="26"/>
    </w:p>
    <w:tbl>
      <w:tblPr>
        <w:tblW w:w="11810" w:type="dxa"/>
        <w:tblInd w:w="56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986"/>
        <w:gridCol w:w="2267"/>
        <w:gridCol w:w="1126"/>
        <w:gridCol w:w="1835"/>
        <w:gridCol w:w="2186"/>
        <w:gridCol w:w="1042"/>
        <w:gridCol w:w="1368"/>
      </w:tblGrid>
      <w:tr w:rsidR="00C0100D" w:rsidRPr="00B04DC3" w:rsidTr="00C9239B">
        <w:trPr>
          <w:trHeight w:val="756"/>
        </w:trPr>
        <w:tc>
          <w:tcPr>
            <w:tcW w:w="1986" w:type="dxa"/>
            <w:tcBorders>
              <w:top w:val="nil"/>
              <w:left w:val="nil"/>
              <w:bottom w:val="single" w:sz="12" w:space="0" w:color="auto"/>
              <w:right w:val="single" w:sz="4" w:space="0" w:color="auto"/>
            </w:tcBorders>
          </w:tcPr>
          <w:p w:rsidR="00C0100D" w:rsidRPr="00B04DC3" w:rsidRDefault="00C0100D" w:rsidP="00C0100D">
            <w:pPr>
              <w:rPr>
                <w:sz w:val="18"/>
              </w:rPr>
            </w:pPr>
          </w:p>
        </w:tc>
        <w:tc>
          <w:tcPr>
            <w:tcW w:w="2267" w:type="dxa"/>
            <w:tcBorders>
              <w:top w:val="single" w:sz="4" w:space="0" w:color="auto"/>
              <w:left w:val="single" w:sz="4" w:space="0" w:color="auto"/>
              <w:bottom w:val="single" w:sz="18" w:space="0" w:color="000000"/>
              <w:right w:val="single" w:sz="6" w:space="0" w:color="000000"/>
            </w:tcBorders>
            <w:vAlign w:val="center"/>
          </w:tcPr>
          <w:p w:rsidR="00C0100D" w:rsidRPr="00B04DC3" w:rsidRDefault="00C0100D" w:rsidP="00D42399">
            <w:pPr>
              <w:pStyle w:val="Footer1"/>
              <w:tabs>
                <w:tab w:val="clear" w:pos="4680"/>
                <w:tab w:val="clear" w:pos="9000"/>
                <w:tab w:val="clear" w:pos="9360"/>
              </w:tabs>
              <w:suppressAutoHyphens w:val="0"/>
              <w:ind w:left="113" w:right="113"/>
              <w:rPr>
                <w:rFonts w:ascii="Times New Roman" w:hAnsi="Times New Roman"/>
                <w:i/>
                <w:sz w:val="18"/>
                <w:lang w:val="en-GB"/>
              </w:rPr>
            </w:pPr>
            <w:r w:rsidRPr="00B04DC3">
              <w:rPr>
                <w:rFonts w:ascii="Times New Roman" w:hAnsi="Times New Roman"/>
                <w:i/>
                <w:sz w:val="18"/>
                <w:lang w:val="en-GB"/>
              </w:rPr>
              <w:t>Paragraph 4.1.: Granting of a universal fuel approval</w:t>
            </w:r>
          </w:p>
        </w:tc>
        <w:tc>
          <w:tcPr>
            <w:tcW w:w="1126" w:type="dxa"/>
            <w:tcBorders>
              <w:top w:val="single" w:sz="4" w:space="0" w:color="auto"/>
              <w:left w:val="single" w:sz="6" w:space="0" w:color="000000"/>
              <w:bottom w:val="single" w:sz="18" w:space="0" w:color="000000"/>
              <w:right w:val="single" w:sz="6" w:space="0" w:color="000000"/>
            </w:tcBorders>
            <w:vAlign w:val="center"/>
          </w:tcPr>
          <w:p w:rsidR="00C0100D" w:rsidRPr="00524583" w:rsidRDefault="00C0100D" w:rsidP="00524583">
            <w:pPr>
              <w:pStyle w:val="Footer1"/>
              <w:tabs>
                <w:tab w:val="clear" w:pos="4680"/>
                <w:tab w:val="clear" w:pos="9000"/>
                <w:tab w:val="clear" w:pos="9360"/>
              </w:tabs>
              <w:suppressAutoHyphens w:val="0"/>
              <w:ind w:left="113" w:right="113"/>
              <w:rPr>
                <w:rFonts w:ascii="Times New Roman" w:hAnsi="Times New Roman"/>
                <w:i/>
                <w:sz w:val="18"/>
                <w:lang w:val="en-GB"/>
              </w:rPr>
            </w:pPr>
            <w:r w:rsidRPr="00524583">
              <w:rPr>
                <w:rFonts w:ascii="Times New Roman" w:hAnsi="Times New Roman"/>
                <w:i/>
                <w:sz w:val="18"/>
                <w:lang w:val="en-GB"/>
              </w:rPr>
              <w:t>Number of test runs</w:t>
            </w:r>
          </w:p>
        </w:tc>
        <w:tc>
          <w:tcPr>
            <w:tcW w:w="1835" w:type="dxa"/>
            <w:tcBorders>
              <w:top w:val="single" w:sz="4" w:space="0" w:color="auto"/>
              <w:left w:val="single" w:sz="6" w:space="0" w:color="000000"/>
              <w:bottom w:val="single" w:sz="18" w:space="0" w:color="000000"/>
              <w:right w:val="single" w:sz="6" w:space="0" w:color="000000"/>
            </w:tcBorders>
            <w:vAlign w:val="center"/>
          </w:tcPr>
          <w:p w:rsidR="00C0100D" w:rsidRPr="00B04DC3" w:rsidRDefault="00C0100D" w:rsidP="00D42399">
            <w:pPr>
              <w:ind w:left="113" w:right="113"/>
              <w:rPr>
                <w:i/>
                <w:sz w:val="18"/>
              </w:rPr>
            </w:pPr>
            <w:r w:rsidRPr="00B04DC3">
              <w:rPr>
                <w:i/>
                <w:sz w:val="18"/>
              </w:rPr>
              <w:t>Calculation of "r"</w:t>
            </w:r>
          </w:p>
        </w:tc>
        <w:tc>
          <w:tcPr>
            <w:tcW w:w="2186" w:type="dxa"/>
            <w:tcBorders>
              <w:top w:val="single" w:sz="4" w:space="0" w:color="auto"/>
              <w:left w:val="single" w:sz="6" w:space="0" w:color="000000"/>
              <w:bottom w:val="single" w:sz="18" w:space="0" w:color="000000"/>
              <w:right w:val="single" w:sz="6" w:space="0" w:color="000000"/>
            </w:tcBorders>
            <w:vAlign w:val="center"/>
          </w:tcPr>
          <w:p w:rsidR="00C0100D" w:rsidRPr="00524583" w:rsidRDefault="00C0100D" w:rsidP="00524583">
            <w:pPr>
              <w:pStyle w:val="Footer1"/>
              <w:tabs>
                <w:tab w:val="clear" w:pos="4680"/>
                <w:tab w:val="clear" w:pos="9000"/>
                <w:tab w:val="clear" w:pos="9360"/>
              </w:tabs>
              <w:suppressAutoHyphens w:val="0"/>
              <w:ind w:left="113"/>
              <w:rPr>
                <w:rFonts w:ascii="Times New Roman" w:hAnsi="Times New Roman"/>
                <w:i/>
                <w:sz w:val="18"/>
                <w:lang w:val="en-GB"/>
              </w:rPr>
            </w:pPr>
            <w:r w:rsidRPr="00524583">
              <w:rPr>
                <w:rFonts w:ascii="Times New Roman" w:hAnsi="Times New Roman"/>
                <w:i/>
                <w:sz w:val="18"/>
                <w:lang w:val="en-GB"/>
              </w:rPr>
              <w:t xml:space="preserve">Paragraph 4.2.: Granting </w:t>
            </w:r>
            <w:r w:rsidR="00A231BF">
              <w:rPr>
                <w:rFonts w:ascii="Times New Roman" w:hAnsi="Times New Roman"/>
                <w:i/>
                <w:sz w:val="18"/>
                <w:lang w:val="en-GB"/>
              </w:rPr>
              <w:br/>
            </w:r>
            <w:r w:rsidRPr="00524583">
              <w:rPr>
                <w:rFonts w:ascii="Times New Roman" w:hAnsi="Times New Roman"/>
                <w:i/>
                <w:sz w:val="18"/>
                <w:lang w:val="en-GB"/>
              </w:rPr>
              <w:t xml:space="preserve">of a fuel </w:t>
            </w:r>
            <w:r w:rsidR="00A231BF">
              <w:rPr>
                <w:rFonts w:ascii="Times New Roman" w:hAnsi="Times New Roman"/>
                <w:i/>
                <w:sz w:val="18"/>
                <w:lang w:val="en-GB"/>
              </w:rPr>
              <w:t xml:space="preserve">range </w:t>
            </w:r>
            <w:r w:rsidRPr="00524583">
              <w:rPr>
                <w:rFonts w:ascii="Times New Roman" w:hAnsi="Times New Roman"/>
                <w:i/>
                <w:sz w:val="18"/>
                <w:lang w:val="en-GB"/>
              </w:rPr>
              <w:t>restricted approval</w:t>
            </w:r>
          </w:p>
        </w:tc>
        <w:tc>
          <w:tcPr>
            <w:tcW w:w="1042" w:type="dxa"/>
            <w:tcBorders>
              <w:top w:val="single" w:sz="4" w:space="0" w:color="auto"/>
              <w:left w:val="single" w:sz="6" w:space="0" w:color="000000"/>
              <w:bottom w:val="single" w:sz="18" w:space="0" w:color="000000"/>
              <w:right w:val="single" w:sz="6" w:space="0" w:color="000000"/>
            </w:tcBorders>
            <w:vAlign w:val="center"/>
          </w:tcPr>
          <w:p w:rsidR="00C0100D" w:rsidRPr="00524583" w:rsidRDefault="00C0100D" w:rsidP="00524583">
            <w:pPr>
              <w:pStyle w:val="Footer1"/>
              <w:tabs>
                <w:tab w:val="clear" w:pos="4680"/>
                <w:tab w:val="clear" w:pos="9000"/>
                <w:tab w:val="clear" w:pos="9360"/>
              </w:tabs>
              <w:suppressAutoHyphens w:val="0"/>
              <w:ind w:left="113"/>
              <w:rPr>
                <w:rFonts w:ascii="Times New Roman" w:hAnsi="Times New Roman"/>
                <w:i/>
                <w:sz w:val="18"/>
                <w:lang w:val="en-GB"/>
              </w:rPr>
            </w:pPr>
            <w:r w:rsidRPr="00524583">
              <w:rPr>
                <w:rFonts w:ascii="Times New Roman" w:hAnsi="Times New Roman"/>
                <w:i/>
                <w:sz w:val="18"/>
                <w:lang w:val="en-GB"/>
              </w:rPr>
              <w:t>Number of test runs</w:t>
            </w:r>
          </w:p>
        </w:tc>
        <w:tc>
          <w:tcPr>
            <w:tcW w:w="1368" w:type="dxa"/>
            <w:tcBorders>
              <w:top w:val="single" w:sz="4" w:space="0" w:color="auto"/>
              <w:left w:val="single" w:sz="6" w:space="0" w:color="000000"/>
              <w:bottom w:val="single" w:sz="18" w:space="0" w:color="000000"/>
              <w:right w:val="single" w:sz="4" w:space="0" w:color="auto"/>
            </w:tcBorders>
            <w:vAlign w:val="center"/>
          </w:tcPr>
          <w:p w:rsidR="00C0100D" w:rsidRPr="00B04DC3" w:rsidRDefault="00C0100D" w:rsidP="00524583">
            <w:pPr>
              <w:pStyle w:val="Footer1"/>
              <w:tabs>
                <w:tab w:val="clear" w:pos="4680"/>
                <w:tab w:val="clear" w:pos="9000"/>
                <w:tab w:val="clear" w:pos="9360"/>
              </w:tabs>
              <w:suppressAutoHyphens w:val="0"/>
              <w:ind w:left="113" w:right="-41"/>
              <w:rPr>
                <w:i/>
                <w:sz w:val="18"/>
              </w:rPr>
            </w:pPr>
            <w:r w:rsidRPr="00524583">
              <w:rPr>
                <w:rFonts w:ascii="Times New Roman" w:hAnsi="Times New Roman"/>
                <w:i/>
                <w:sz w:val="18"/>
                <w:lang w:val="en-GB"/>
              </w:rPr>
              <w:t>Calculation of "r"</w:t>
            </w:r>
          </w:p>
        </w:tc>
      </w:tr>
      <w:tr w:rsidR="00C0100D" w:rsidRPr="00B04DC3" w:rsidTr="00C9239B">
        <w:tc>
          <w:tcPr>
            <w:tcW w:w="1986" w:type="dxa"/>
            <w:tcBorders>
              <w:top w:val="single" w:sz="12" w:space="0" w:color="auto"/>
              <w:left w:val="single" w:sz="4" w:space="0" w:color="auto"/>
              <w:bottom w:val="single" w:sz="6" w:space="0" w:color="000000"/>
              <w:right w:val="single" w:sz="6" w:space="0" w:color="000000"/>
            </w:tcBorders>
            <w:vAlign w:val="center"/>
          </w:tcPr>
          <w:p w:rsidR="00C0100D" w:rsidRPr="00B04DC3" w:rsidRDefault="00833E33" w:rsidP="00833E33">
            <w:pPr>
              <w:ind w:left="57" w:right="57"/>
              <w:rPr>
                <w:sz w:val="18"/>
              </w:rPr>
            </w:pPr>
            <w:r w:rsidRPr="00B04DC3">
              <w:rPr>
                <w:sz w:val="18"/>
              </w:rPr>
              <w:t>Refer</w:t>
            </w:r>
            <w:r w:rsidR="00C0100D" w:rsidRPr="00B04DC3">
              <w:rPr>
                <w:sz w:val="18"/>
              </w:rPr>
              <w:t xml:space="preserve"> to para. 4.1.5.</w:t>
            </w:r>
          </w:p>
          <w:p w:rsidR="00C0100D" w:rsidRPr="00B04DC3" w:rsidRDefault="00C0100D" w:rsidP="00833E33">
            <w:pPr>
              <w:ind w:left="57" w:right="57"/>
              <w:rPr>
                <w:bCs/>
                <w:sz w:val="18"/>
              </w:rPr>
            </w:pPr>
            <w:r w:rsidRPr="00B04DC3">
              <w:rPr>
                <w:bCs/>
                <w:sz w:val="18"/>
              </w:rPr>
              <w:t>LPG-engine adaptable to any fuel composition</w:t>
            </w:r>
          </w:p>
          <w:p w:rsidR="00C0100D" w:rsidRPr="00B04DC3" w:rsidRDefault="00C0100D" w:rsidP="00833E33">
            <w:pPr>
              <w:ind w:left="57" w:right="57"/>
              <w:rPr>
                <w:bCs/>
                <w:sz w:val="18"/>
              </w:rPr>
            </w:pPr>
          </w:p>
        </w:tc>
        <w:tc>
          <w:tcPr>
            <w:tcW w:w="2267" w:type="dxa"/>
            <w:tcBorders>
              <w:top w:val="single" w:sz="12" w:space="0" w:color="auto"/>
              <w:left w:val="single" w:sz="6" w:space="0" w:color="000000"/>
              <w:bottom w:val="single" w:sz="6" w:space="0" w:color="000000"/>
              <w:right w:val="single" w:sz="6" w:space="0" w:color="000000"/>
            </w:tcBorders>
            <w:vAlign w:val="center"/>
          </w:tcPr>
          <w:p w:rsidR="00C0100D" w:rsidRPr="00B04DC3" w:rsidRDefault="00C0100D" w:rsidP="00833E33">
            <w:pPr>
              <w:pStyle w:val="Heading1"/>
              <w:ind w:left="158"/>
              <w:jc w:val="center"/>
              <w:rPr>
                <w:bCs/>
                <w:i/>
                <w:sz w:val="18"/>
              </w:rPr>
            </w:pPr>
            <w:bookmarkStart w:id="27" w:name="_Toc399939866"/>
            <w:bookmarkStart w:id="28" w:name="_Toc423599450"/>
            <w:bookmarkStart w:id="29" w:name="_Toc423610858"/>
            <w:r w:rsidRPr="00B04DC3">
              <w:rPr>
                <w:bCs/>
                <w:sz w:val="18"/>
              </w:rPr>
              <w:t>fuel A and fuel B</w:t>
            </w:r>
            <w:bookmarkEnd w:id="27"/>
            <w:bookmarkEnd w:id="28"/>
            <w:bookmarkEnd w:id="29"/>
          </w:p>
        </w:tc>
        <w:tc>
          <w:tcPr>
            <w:tcW w:w="1126" w:type="dxa"/>
            <w:tcBorders>
              <w:top w:val="single" w:sz="12" w:space="0" w:color="auto"/>
              <w:left w:val="single" w:sz="6" w:space="0" w:color="000000"/>
              <w:bottom w:val="single" w:sz="6" w:space="0" w:color="000000"/>
              <w:right w:val="single" w:sz="6" w:space="0" w:color="000000"/>
            </w:tcBorders>
            <w:vAlign w:val="center"/>
          </w:tcPr>
          <w:p w:rsidR="00C0100D" w:rsidRPr="00B04DC3" w:rsidRDefault="00C0100D" w:rsidP="00C0100D">
            <w:pPr>
              <w:jc w:val="center"/>
              <w:rPr>
                <w:bCs/>
                <w:sz w:val="18"/>
              </w:rPr>
            </w:pPr>
            <w:r w:rsidRPr="00B04DC3">
              <w:rPr>
                <w:bCs/>
                <w:sz w:val="18"/>
              </w:rPr>
              <w:t>2</w:t>
            </w:r>
          </w:p>
        </w:tc>
        <w:tc>
          <w:tcPr>
            <w:tcW w:w="1835" w:type="dxa"/>
            <w:tcBorders>
              <w:top w:val="single" w:sz="18" w:space="0" w:color="000000"/>
              <w:left w:val="single" w:sz="6" w:space="0" w:color="000000"/>
              <w:bottom w:val="single" w:sz="6" w:space="0" w:color="000000"/>
              <w:right w:val="single" w:sz="6" w:space="0" w:color="000000"/>
            </w:tcBorders>
            <w:vAlign w:val="center"/>
          </w:tcPr>
          <w:p w:rsidR="00C0100D" w:rsidRPr="00B04DC3" w:rsidRDefault="00C0100D" w:rsidP="00C0100D">
            <w:pPr>
              <w:jc w:val="center"/>
              <w:rPr>
                <w:bCs/>
                <w:sz w:val="18"/>
              </w:rPr>
            </w:pPr>
            <w:r w:rsidRPr="00B04DC3">
              <w:rPr>
                <w:bCs/>
                <w:position w:val="-30"/>
                <w:sz w:val="18"/>
              </w:rPr>
              <w:object w:dxaOrig="1160" w:dyaOrig="680">
                <v:shape id="_x0000_i1040" type="#_x0000_t75" style="width:58.2pt;height:38.4pt" o:ole="" fillcolor="window">
                  <v:imagedata r:id="rId41" o:title=""/>
                </v:shape>
                <o:OLEObject Type="Embed" ProgID="Equation.3" ShapeID="_x0000_i1040" DrawAspect="Content" ObjectID="_1498392230" r:id="rId42"/>
              </w:object>
            </w:r>
          </w:p>
        </w:tc>
        <w:tc>
          <w:tcPr>
            <w:tcW w:w="2186" w:type="dxa"/>
            <w:tcBorders>
              <w:top w:val="single" w:sz="18" w:space="0" w:color="000000"/>
              <w:left w:val="single" w:sz="6" w:space="0" w:color="000000"/>
              <w:bottom w:val="single" w:sz="6" w:space="0" w:color="000000"/>
              <w:right w:val="single" w:sz="6" w:space="0" w:color="000000"/>
            </w:tcBorders>
            <w:shd w:val="clear" w:color="auto" w:fill="FFFFFF"/>
            <w:vAlign w:val="center"/>
          </w:tcPr>
          <w:p w:rsidR="00C0100D" w:rsidRPr="00B04DC3" w:rsidRDefault="00C0100D" w:rsidP="00C0100D">
            <w:pPr>
              <w:jc w:val="center"/>
              <w:rPr>
                <w:bCs/>
                <w:sz w:val="18"/>
              </w:rPr>
            </w:pPr>
          </w:p>
        </w:tc>
        <w:tc>
          <w:tcPr>
            <w:tcW w:w="1042" w:type="dxa"/>
            <w:tcBorders>
              <w:top w:val="single" w:sz="18" w:space="0" w:color="000000"/>
              <w:left w:val="single" w:sz="6" w:space="0" w:color="000000"/>
              <w:bottom w:val="single" w:sz="6" w:space="0" w:color="000000"/>
              <w:right w:val="single" w:sz="6" w:space="0" w:color="000000"/>
            </w:tcBorders>
            <w:shd w:val="clear" w:color="auto" w:fill="FFFFFF"/>
          </w:tcPr>
          <w:p w:rsidR="00C0100D" w:rsidRPr="00B04DC3" w:rsidRDefault="00C0100D" w:rsidP="00C0100D">
            <w:pPr>
              <w:jc w:val="center"/>
              <w:rPr>
                <w:bCs/>
                <w:sz w:val="18"/>
              </w:rPr>
            </w:pPr>
          </w:p>
        </w:tc>
        <w:tc>
          <w:tcPr>
            <w:tcW w:w="1368" w:type="dxa"/>
            <w:tcBorders>
              <w:top w:val="single" w:sz="18" w:space="0" w:color="000000"/>
              <w:left w:val="single" w:sz="6" w:space="0" w:color="000000"/>
              <w:bottom w:val="single" w:sz="6" w:space="0" w:color="000000"/>
              <w:right w:val="single" w:sz="4" w:space="0" w:color="auto"/>
            </w:tcBorders>
            <w:shd w:val="clear" w:color="auto" w:fill="FFFFFF"/>
          </w:tcPr>
          <w:p w:rsidR="00C0100D" w:rsidRPr="00B04DC3" w:rsidRDefault="00C0100D" w:rsidP="00C0100D">
            <w:pPr>
              <w:jc w:val="center"/>
              <w:rPr>
                <w:bCs/>
                <w:sz w:val="18"/>
              </w:rPr>
            </w:pPr>
          </w:p>
        </w:tc>
      </w:tr>
      <w:tr w:rsidR="00C0100D" w:rsidRPr="00B04DC3" w:rsidTr="00C9239B">
        <w:tc>
          <w:tcPr>
            <w:tcW w:w="1986" w:type="dxa"/>
            <w:tcBorders>
              <w:top w:val="single" w:sz="6" w:space="0" w:color="000000"/>
              <w:left w:val="single" w:sz="4" w:space="0" w:color="auto"/>
              <w:bottom w:val="single" w:sz="4" w:space="0" w:color="auto"/>
              <w:right w:val="single" w:sz="6" w:space="0" w:color="000000"/>
            </w:tcBorders>
            <w:vAlign w:val="center"/>
          </w:tcPr>
          <w:p w:rsidR="00C0100D" w:rsidRPr="00B04DC3" w:rsidRDefault="00833E33" w:rsidP="00833E33">
            <w:pPr>
              <w:ind w:left="57" w:right="57"/>
              <w:rPr>
                <w:bCs/>
                <w:sz w:val="18"/>
              </w:rPr>
            </w:pPr>
            <w:r w:rsidRPr="00B04DC3">
              <w:rPr>
                <w:bCs/>
                <w:sz w:val="18"/>
              </w:rPr>
              <w:t>Refer</w:t>
            </w:r>
            <w:r w:rsidR="00C0100D" w:rsidRPr="00B04DC3">
              <w:rPr>
                <w:bCs/>
                <w:sz w:val="18"/>
              </w:rPr>
              <w:t xml:space="preserve"> to para. 4.2.2.</w:t>
            </w:r>
          </w:p>
          <w:p w:rsidR="00C0100D" w:rsidRPr="00B04DC3" w:rsidRDefault="00C0100D" w:rsidP="00833E33">
            <w:pPr>
              <w:pStyle w:val="BodyText"/>
              <w:ind w:left="57" w:right="57"/>
              <w:rPr>
                <w:bCs/>
              </w:rPr>
            </w:pPr>
            <w:r w:rsidRPr="00B04DC3">
              <w:rPr>
                <w:bCs/>
              </w:rPr>
              <w:t>LPG-engine laid out for operation on one specific fuel composition</w:t>
            </w:r>
          </w:p>
          <w:p w:rsidR="00C0100D" w:rsidRPr="00B04DC3" w:rsidRDefault="00C0100D" w:rsidP="00833E33">
            <w:pPr>
              <w:ind w:left="57" w:right="57"/>
              <w:rPr>
                <w:bCs/>
                <w:sz w:val="18"/>
              </w:rPr>
            </w:pPr>
          </w:p>
        </w:tc>
        <w:tc>
          <w:tcPr>
            <w:tcW w:w="2267" w:type="dxa"/>
            <w:tcBorders>
              <w:top w:val="single" w:sz="6" w:space="0" w:color="000000"/>
              <w:left w:val="single" w:sz="6" w:space="0" w:color="000000"/>
              <w:bottom w:val="single" w:sz="4" w:space="0" w:color="auto"/>
              <w:right w:val="single" w:sz="6" w:space="0" w:color="000000"/>
            </w:tcBorders>
            <w:shd w:val="clear" w:color="auto" w:fill="FFFFFF"/>
          </w:tcPr>
          <w:p w:rsidR="00C0100D" w:rsidRPr="00B04DC3" w:rsidRDefault="00C0100D" w:rsidP="00C0100D">
            <w:pPr>
              <w:jc w:val="center"/>
              <w:rPr>
                <w:bCs/>
                <w:i/>
                <w:sz w:val="18"/>
              </w:rPr>
            </w:pPr>
          </w:p>
        </w:tc>
        <w:tc>
          <w:tcPr>
            <w:tcW w:w="1126" w:type="dxa"/>
            <w:tcBorders>
              <w:top w:val="single" w:sz="6" w:space="0" w:color="000000"/>
              <w:left w:val="single" w:sz="6" w:space="0" w:color="000000"/>
              <w:bottom w:val="single" w:sz="4" w:space="0" w:color="auto"/>
              <w:right w:val="single" w:sz="6" w:space="0" w:color="000000"/>
            </w:tcBorders>
            <w:shd w:val="clear" w:color="auto" w:fill="FFFFFF"/>
          </w:tcPr>
          <w:p w:rsidR="00C0100D" w:rsidRPr="00B04DC3" w:rsidRDefault="00C0100D" w:rsidP="00C0100D">
            <w:pPr>
              <w:jc w:val="center"/>
              <w:rPr>
                <w:bCs/>
                <w:sz w:val="18"/>
              </w:rPr>
            </w:pPr>
          </w:p>
        </w:tc>
        <w:tc>
          <w:tcPr>
            <w:tcW w:w="1835" w:type="dxa"/>
            <w:tcBorders>
              <w:top w:val="single" w:sz="6" w:space="0" w:color="000000"/>
              <w:left w:val="single" w:sz="6" w:space="0" w:color="000000"/>
              <w:bottom w:val="single" w:sz="4" w:space="0" w:color="auto"/>
              <w:right w:val="single" w:sz="6" w:space="0" w:color="000000"/>
            </w:tcBorders>
            <w:shd w:val="clear" w:color="auto" w:fill="FFFFFF"/>
          </w:tcPr>
          <w:p w:rsidR="00C0100D" w:rsidRPr="00B04DC3" w:rsidRDefault="00C0100D" w:rsidP="00C0100D">
            <w:pPr>
              <w:jc w:val="center"/>
              <w:rPr>
                <w:bCs/>
                <w:sz w:val="18"/>
              </w:rPr>
            </w:pPr>
          </w:p>
        </w:tc>
        <w:tc>
          <w:tcPr>
            <w:tcW w:w="2186" w:type="dxa"/>
            <w:tcBorders>
              <w:top w:val="single" w:sz="6" w:space="0" w:color="000000"/>
              <w:left w:val="single" w:sz="6" w:space="0" w:color="000000"/>
              <w:bottom w:val="single" w:sz="4" w:space="0" w:color="auto"/>
              <w:right w:val="single" w:sz="6" w:space="0" w:color="000000"/>
            </w:tcBorders>
            <w:vAlign w:val="center"/>
          </w:tcPr>
          <w:p w:rsidR="00C0100D" w:rsidRPr="00B04DC3" w:rsidRDefault="002A074F" w:rsidP="00D42399">
            <w:pPr>
              <w:ind w:left="113" w:right="113"/>
              <w:jc w:val="center"/>
              <w:rPr>
                <w:bCs/>
                <w:sz w:val="18"/>
              </w:rPr>
            </w:pPr>
            <w:r w:rsidRPr="00B04DC3">
              <w:rPr>
                <w:bCs/>
                <w:sz w:val="18"/>
              </w:rPr>
              <w:t>F</w:t>
            </w:r>
            <w:r w:rsidR="00C0100D" w:rsidRPr="00B04DC3">
              <w:rPr>
                <w:bCs/>
                <w:sz w:val="18"/>
              </w:rPr>
              <w:t>uel A and fuel B,</w:t>
            </w:r>
          </w:p>
          <w:p w:rsidR="00C0100D" w:rsidRPr="00B04DC3" w:rsidRDefault="00C0100D" w:rsidP="00D42399">
            <w:pPr>
              <w:ind w:left="113" w:right="113"/>
              <w:jc w:val="center"/>
              <w:rPr>
                <w:bCs/>
                <w:sz w:val="18"/>
              </w:rPr>
            </w:pPr>
            <w:r w:rsidRPr="00B04DC3">
              <w:rPr>
                <w:bCs/>
                <w:sz w:val="18"/>
              </w:rPr>
              <w:t>fine-tuning between the tests allowed</w:t>
            </w:r>
          </w:p>
          <w:p w:rsidR="00C0100D" w:rsidRPr="00B04DC3" w:rsidRDefault="00C0100D" w:rsidP="00C0100D">
            <w:pPr>
              <w:jc w:val="center"/>
              <w:rPr>
                <w:bCs/>
                <w:sz w:val="18"/>
              </w:rPr>
            </w:pPr>
          </w:p>
        </w:tc>
        <w:tc>
          <w:tcPr>
            <w:tcW w:w="1042" w:type="dxa"/>
            <w:tcBorders>
              <w:top w:val="single" w:sz="6" w:space="0" w:color="000000"/>
              <w:left w:val="single" w:sz="6" w:space="0" w:color="000000"/>
              <w:bottom w:val="single" w:sz="4" w:space="0" w:color="auto"/>
              <w:right w:val="single" w:sz="6" w:space="0" w:color="000000"/>
            </w:tcBorders>
            <w:vAlign w:val="center"/>
          </w:tcPr>
          <w:p w:rsidR="00C0100D" w:rsidRPr="00B04DC3" w:rsidRDefault="00C0100D" w:rsidP="00C0100D">
            <w:pPr>
              <w:jc w:val="center"/>
              <w:rPr>
                <w:bCs/>
                <w:sz w:val="18"/>
              </w:rPr>
            </w:pPr>
            <w:r w:rsidRPr="00B04DC3">
              <w:rPr>
                <w:bCs/>
                <w:sz w:val="18"/>
              </w:rPr>
              <w:t>2</w:t>
            </w:r>
          </w:p>
        </w:tc>
        <w:tc>
          <w:tcPr>
            <w:tcW w:w="1368" w:type="dxa"/>
            <w:tcBorders>
              <w:top w:val="single" w:sz="6" w:space="0" w:color="000000"/>
              <w:left w:val="single" w:sz="6" w:space="0" w:color="000000"/>
              <w:bottom w:val="single" w:sz="4" w:space="0" w:color="auto"/>
              <w:right w:val="single" w:sz="4" w:space="0" w:color="auto"/>
            </w:tcBorders>
          </w:tcPr>
          <w:p w:rsidR="00C0100D" w:rsidRPr="00B04DC3" w:rsidRDefault="00C0100D" w:rsidP="00C0100D">
            <w:pPr>
              <w:jc w:val="center"/>
              <w:rPr>
                <w:bCs/>
                <w:sz w:val="18"/>
              </w:rPr>
            </w:pPr>
          </w:p>
        </w:tc>
      </w:tr>
    </w:tbl>
    <w:p w:rsidR="00C0100D" w:rsidRPr="00B04DC3" w:rsidRDefault="00C0100D" w:rsidP="00C0100D">
      <w:pPr>
        <w:rPr>
          <w:u w:val="single"/>
        </w:rPr>
      </w:pPr>
    </w:p>
    <w:p w:rsidR="00C0100D" w:rsidRPr="00B04DC3" w:rsidRDefault="00C0100D" w:rsidP="00C0100D">
      <w:pPr>
        <w:rPr>
          <w:u w:val="single"/>
        </w:rPr>
        <w:sectPr w:rsidR="00C0100D" w:rsidRPr="00B04DC3" w:rsidSect="007C7D7E">
          <w:headerReference w:type="even" r:id="rId43"/>
          <w:headerReference w:type="default" r:id="rId44"/>
          <w:footerReference w:type="even" r:id="rId45"/>
          <w:footerReference w:type="default" r:id="rId46"/>
          <w:footnotePr>
            <w:numRestart w:val="eachSect"/>
          </w:footnotePr>
          <w:endnotePr>
            <w:numFmt w:val="decimal"/>
          </w:endnotePr>
          <w:pgSz w:w="16840" w:h="11907" w:orient="landscape" w:code="9"/>
          <w:pgMar w:top="1304" w:right="1134" w:bottom="2268" w:left="1134" w:header="851" w:footer="1701" w:gutter="0"/>
          <w:cols w:space="720"/>
        </w:sectPr>
      </w:pPr>
    </w:p>
    <w:p w:rsidR="00C0100D" w:rsidRPr="00B04DC3" w:rsidRDefault="00C0100D" w:rsidP="00A210A2">
      <w:pPr>
        <w:pStyle w:val="para"/>
        <w:rPr>
          <w:lang w:val="en-GB"/>
        </w:rPr>
      </w:pPr>
      <w:r w:rsidRPr="00B04DC3">
        <w:rPr>
          <w:lang w:val="en-GB"/>
        </w:rPr>
        <w:t>4.3.</w:t>
      </w:r>
      <w:r w:rsidRPr="00B04DC3">
        <w:rPr>
          <w:lang w:val="en-GB"/>
        </w:rPr>
        <w:tab/>
      </w:r>
      <w:r w:rsidR="00833E33" w:rsidRPr="00B04DC3">
        <w:rPr>
          <w:lang w:val="en-GB"/>
        </w:rPr>
        <w:tab/>
      </w:r>
      <w:r w:rsidRPr="00B04DC3">
        <w:rPr>
          <w:lang w:val="en-GB"/>
        </w:rPr>
        <w:t>Exhaust emissions approval of a member of a family</w:t>
      </w:r>
    </w:p>
    <w:p w:rsidR="00C0100D" w:rsidRPr="00B04DC3" w:rsidRDefault="00C0100D" w:rsidP="00833E33">
      <w:pPr>
        <w:pStyle w:val="para"/>
        <w:rPr>
          <w:lang w:val="en-GB"/>
        </w:rPr>
      </w:pPr>
      <w:r w:rsidRPr="00B04DC3">
        <w:rPr>
          <w:lang w:val="en-GB"/>
        </w:rPr>
        <w:t>4.3.1.</w:t>
      </w:r>
      <w:r w:rsidRPr="00B04DC3">
        <w:rPr>
          <w:lang w:val="en-GB"/>
        </w:rPr>
        <w:tab/>
        <w:t>With the exception of the case mentioned in paragraph 4.3.2., the approval of a parent engine shall be extended to all family members without further testing, for any fuel composition within the range for which the parent engine has been approved (in the case of engines described in paragraph 4.2.2.) or the same range of fuels (in the case of engines</w:t>
      </w:r>
      <w:r w:rsidR="00AA0E48">
        <w:rPr>
          <w:lang w:val="en-GB"/>
        </w:rPr>
        <w:t xml:space="preserve"> described in either paragraph</w:t>
      </w:r>
      <w:r w:rsidR="002B2506" w:rsidRPr="00B04DC3">
        <w:rPr>
          <w:lang w:val="en-GB"/>
        </w:rPr>
        <w:t> </w:t>
      </w:r>
      <w:r w:rsidRPr="00B04DC3">
        <w:rPr>
          <w:lang w:val="en-GB"/>
        </w:rPr>
        <w:t>4.1. or 4.2.) for which the parent engine has been approved.</w:t>
      </w:r>
    </w:p>
    <w:p w:rsidR="00C0100D" w:rsidRPr="00B04DC3" w:rsidRDefault="00C0100D" w:rsidP="00A210A2">
      <w:pPr>
        <w:pStyle w:val="para"/>
        <w:rPr>
          <w:lang w:val="en-GB"/>
        </w:rPr>
      </w:pPr>
      <w:r w:rsidRPr="00B04DC3">
        <w:rPr>
          <w:lang w:val="en-GB"/>
        </w:rPr>
        <w:t>4.3.2.</w:t>
      </w:r>
      <w:r w:rsidRPr="00B04DC3">
        <w:rPr>
          <w:lang w:val="en-GB"/>
        </w:rPr>
        <w:tab/>
        <w:t>Secondary test engine</w:t>
      </w:r>
    </w:p>
    <w:p w:rsidR="00C0100D" w:rsidRPr="00B04DC3" w:rsidRDefault="00C0100D" w:rsidP="002B2506">
      <w:pPr>
        <w:pStyle w:val="para"/>
        <w:spacing w:after="80"/>
        <w:rPr>
          <w:lang w:val="en-GB"/>
        </w:rPr>
      </w:pPr>
      <w:r w:rsidRPr="00B04DC3">
        <w:rPr>
          <w:lang w:val="en-GB"/>
        </w:rPr>
        <w:tab/>
        <w:t>In case of an application for approval of an engine, or a vehicle in respect of its engine, that engine belonging to an engine family, if the Technical Service determines that, with regard to the selected parent engine the submitted application does not fully represent the engine family defined in Annex I, Appendix 1, an alternative and if necessary an additional reference test engine may be selected by the Technical Service and tested.</w:t>
      </w:r>
    </w:p>
    <w:p w:rsidR="00C0100D" w:rsidRPr="00B04DC3" w:rsidRDefault="00C0100D" w:rsidP="002B2506">
      <w:pPr>
        <w:pStyle w:val="para"/>
        <w:spacing w:after="80"/>
        <w:rPr>
          <w:lang w:val="en-GB"/>
        </w:rPr>
      </w:pPr>
      <w:r w:rsidRPr="00B04DC3">
        <w:rPr>
          <w:lang w:val="en-GB"/>
        </w:rPr>
        <w:t>4.4.</w:t>
      </w:r>
      <w:r w:rsidRPr="00B04DC3">
        <w:rPr>
          <w:lang w:val="en-GB"/>
        </w:rPr>
        <w:tab/>
        <w:t>An approval number shall be assigned to each type approved</w:t>
      </w:r>
      <w:r w:rsidR="00401E79" w:rsidRPr="00B04DC3">
        <w:rPr>
          <w:lang w:val="en-GB"/>
        </w:rPr>
        <w:t xml:space="preserve">. </w:t>
      </w:r>
      <w:r w:rsidRPr="00B04DC3">
        <w:rPr>
          <w:lang w:val="en-GB"/>
        </w:rPr>
        <w:t>Its first two digits (at present 05, corresponding to 05 series of amendments) shall indicate the series of amendments incorporating the most recent major technical amendments made to the Regulation at the time of issue of the approval</w:t>
      </w:r>
      <w:r w:rsidR="00401E79" w:rsidRPr="00B04DC3">
        <w:rPr>
          <w:lang w:val="en-GB"/>
        </w:rPr>
        <w:t xml:space="preserve">. </w:t>
      </w:r>
      <w:r w:rsidRPr="00B04DC3">
        <w:rPr>
          <w:lang w:val="en-GB"/>
        </w:rPr>
        <w:t>The same Contracting Party shall not assign the same number to another engine type or vehicle type.</w:t>
      </w:r>
    </w:p>
    <w:p w:rsidR="00C0100D" w:rsidRPr="00B04DC3" w:rsidRDefault="00C0100D" w:rsidP="002B2506">
      <w:pPr>
        <w:pStyle w:val="para"/>
        <w:spacing w:after="80"/>
        <w:rPr>
          <w:lang w:val="en-GB"/>
        </w:rPr>
      </w:pPr>
      <w:r w:rsidRPr="00B04DC3">
        <w:rPr>
          <w:lang w:val="en-GB"/>
        </w:rPr>
        <w:t>4.5.</w:t>
      </w:r>
      <w:r w:rsidRPr="00B04DC3">
        <w:rPr>
          <w:lang w:val="en-GB"/>
        </w:rPr>
        <w:tab/>
        <w:t xml:space="preserve">Notice of approval or of extension or of refusal of approval or production </w:t>
      </w:r>
      <w:r w:rsidR="00FE5C96" w:rsidRPr="00B04DC3">
        <w:rPr>
          <w:lang w:val="en-GB"/>
        </w:rPr>
        <w:t>definitively</w:t>
      </w:r>
      <w:r w:rsidRPr="00B04DC3">
        <w:rPr>
          <w:lang w:val="en-GB"/>
        </w:rPr>
        <w:t xml:space="preserve"> discontinued of an engine type or vehicle type pursuant to this Regulation shall be communicated to the Parties to the 1958 Agreement which apply this Regulation, by means of a form conforming to the model in Annex 2A or 2B, as applicable, to this Regulation</w:t>
      </w:r>
      <w:r w:rsidR="00401E79" w:rsidRPr="00B04DC3">
        <w:rPr>
          <w:lang w:val="en-GB"/>
        </w:rPr>
        <w:t xml:space="preserve">. </w:t>
      </w:r>
      <w:r w:rsidRPr="00B04DC3">
        <w:rPr>
          <w:lang w:val="en-GB"/>
        </w:rPr>
        <w:t>Values measured during the type test shall also be shown.</w:t>
      </w:r>
    </w:p>
    <w:p w:rsidR="00C0100D" w:rsidRPr="00B04DC3" w:rsidRDefault="00C0100D" w:rsidP="002B2506">
      <w:pPr>
        <w:pStyle w:val="para"/>
        <w:spacing w:after="80"/>
        <w:rPr>
          <w:lang w:val="en-GB"/>
        </w:rPr>
      </w:pPr>
      <w:r w:rsidRPr="00B04DC3">
        <w:rPr>
          <w:lang w:val="en-GB"/>
        </w:rPr>
        <w:t>4.6.</w:t>
      </w:r>
      <w:r w:rsidRPr="00B04DC3">
        <w:rPr>
          <w:lang w:val="en-GB"/>
        </w:rPr>
        <w:tab/>
        <w:t>There shall be affixed, conspicuously and in a readily accessible place to every engine conforming to an engine type approved under this Regulation, or to every vehicle conforming to a vehicle type approved under this Regulation, an international approval mark consisting of:</w:t>
      </w:r>
    </w:p>
    <w:p w:rsidR="00C0100D" w:rsidRPr="00B04DC3" w:rsidRDefault="00C0100D" w:rsidP="002B2506">
      <w:pPr>
        <w:pStyle w:val="para"/>
        <w:spacing w:after="80"/>
        <w:rPr>
          <w:lang w:val="en-GB"/>
        </w:rPr>
      </w:pPr>
      <w:r w:rsidRPr="00B04DC3">
        <w:rPr>
          <w:lang w:val="en-GB"/>
        </w:rPr>
        <w:t>4.6.1.</w:t>
      </w:r>
      <w:r w:rsidRPr="00B04DC3">
        <w:rPr>
          <w:lang w:val="en-GB"/>
        </w:rPr>
        <w:tab/>
      </w:r>
      <w:r w:rsidR="00833E33" w:rsidRPr="00B04DC3">
        <w:rPr>
          <w:lang w:val="en-GB"/>
        </w:rPr>
        <w:t>A</w:t>
      </w:r>
      <w:r w:rsidRPr="00B04DC3">
        <w:rPr>
          <w:lang w:val="en-GB"/>
        </w:rPr>
        <w:t xml:space="preserve"> circle surrounding the letter "E" followed by the distinguishing number of the country which has granted approval</w:t>
      </w:r>
      <w:r w:rsidR="00A231BF">
        <w:rPr>
          <w:lang w:val="en-GB"/>
        </w:rPr>
        <w:t>;</w:t>
      </w:r>
      <w:r w:rsidRPr="00B04DC3">
        <w:rPr>
          <w:rStyle w:val="FootnoteReference"/>
          <w:lang w:val="en-GB"/>
        </w:rPr>
        <w:footnoteReference w:customMarkFollows="1" w:id="5"/>
        <w:t>3</w:t>
      </w:r>
    </w:p>
    <w:p w:rsidR="00C0100D" w:rsidRPr="00B04DC3" w:rsidRDefault="00C0100D" w:rsidP="00E16438">
      <w:pPr>
        <w:pStyle w:val="para"/>
        <w:rPr>
          <w:lang w:val="en-GB"/>
        </w:rPr>
      </w:pPr>
      <w:r w:rsidRPr="00B04DC3">
        <w:rPr>
          <w:lang w:val="en-GB"/>
        </w:rPr>
        <w:t>4.6.2.</w:t>
      </w:r>
      <w:r w:rsidRPr="00B04DC3">
        <w:rPr>
          <w:lang w:val="en-GB"/>
        </w:rPr>
        <w:tab/>
      </w:r>
      <w:r w:rsidR="00E16438" w:rsidRPr="00B04DC3">
        <w:rPr>
          <w:lang w:val="en-GB"/>
        </w:rPr>
        <w:t>The</w:t>
      </w:r>
      <w:r w:rsidRPr="00B04DC3">
        <w:rPr>
          <w:lang w:val="en-GB"/>
        </w:rPr>
        <w:t xml:space="preserve"> number of this Regulation, followed by the letter "R", a dash and the approval number to the right of the circle prescribed in paragraph 4.6.1.</w:t>
      </w:r>
    </w:p>
    <w:p w:rsidR="00C0100D" w:rsidRPr="00B04DC3" w:rsidRDefault="00C0100D" w:rsidP="00E16438">
      <w:pPr>
        <w:pStyle w:val="para"/>
        <w:rPr>
          <w:lang w:val="en-GB"/>
        </w:rPr>
      </w:pPr>
      <w:r w:rsidRPr="00B04DC3">
        <w:rPr>
          <w:lang w:val="en-GB"/>
        </w:rPr>
        <w:t>4.6.3.</w:t>
      </w:r>
      <w:r w:rsidRPr="00B04DC3">
        <w:rPr>
          <w:lang w:val="en-GB"/>
        </w:rPr>
        <w:tab/>
        <w:t>However, the approval mark shall contain an additional character after the letter "R", the purpose of which is to distinguish the emission stages (emission limits, OBD, etc.) for which the approval has been granted according to the following table: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368"/>
        <w:gridCol w:w="1234"/>
        <w:gridCol w:w="1234"/>
        <w:gridCol w:w="1311"/>
        <w:gridCol w:w="1237"/>
      </w:tblGrid>
      <w:tr w:rsidR="00C0100D" w:rsidRPr="00B04DC3" w:rsidTr="00B04DC3">
        <w:tc>
          <w:tcPr>
            <w:tcW w:w="987" w:type="dxa"/>
            <w:tcBorders>
              <w:bottom w:val="single" w:sz="12" w:space="0" w:color="auto"/>
            </w:tcBorders>
            <w:tcMar>
              <w:left w:w="0" w:type="dxa"/>
              <w:right w:w="0" w:type="dxa"/>
            </w:tcMar>
          </w:tcPr>
          <w:p w:rsidR="00C0100D" w:rsidRPr="00B04DC3" w:rsidRDefault="00C0100D" w:rsidP="00AA0E48">
            <w:pPr>
              <w:pStyle w:val="Text1"/>
              <w:keepNext/>
              <w:keepLines/>
              <w:spacing w:before="80" w:after="80" w:line="200" w:lineRule="exact"/>
              <w:ind w:left="5" w:hanging="5"/>
              <w:jc w:val="center"/>
              <w:rPr>
                <w:i/>
                <w:sz w:val="16"/>
                <w:szCs w:val="16"/>
              </w:rPr>
            </w:pPr>
            <w:r w:rsidRPr="00B04DC3">
              <w:rPr>
                <w:i/>
                <w:sz w:val="16"/>
                <w:szCs w:val="16"/>
              </w:rPr>
              <w:t>Character</w:t>
            </w:r>
          </w:p>
        </w:tc>
        <w:tc>
          <w:tcPr>
            <w:tcW w:w="1368" w:type="dxa"/>
            <w:tcBorders>
              <w:bottom w:val="single" w:sz="12" w:space="0" w:color="auto"/>
            </w:tcBorders>
            <w:tcMar>
              <w:left w:w="0" w:type="dxa"/>
              <w:right w:w="0" w:type="dxa"/>
            </w:tcMar>
          </w:tcPr>
          <w:p w:rsidR="00C0100D" w:rsidRPr="00B04DC3" w:rsidRDefault="00C0100D" w:rsidP="00AA0E48">
            <w:pPr>
              <w:pStyle w:val="Text1"/>
              <w:keepNext/>
              <w:keepLines/>
              <w:spacing w:before="80" w:after="80" w:line="200" w:lineRule="exact"/>
              <w:ind w:left="0"/>
              <w:jc w:val="center"/>
              <w:rPr>
                <w:i/>
                <w:sz w:val="16"/>
                <w:szCs w:val="16"/>
              </w:rPr>
            </w:pPr>
            <w:r w:rsidRPr="00B04DC3">
              <w:rPr>
                <w:i/>
                <w:sz w:val="16"/>
                <w:szCs w:val="16"/>
              </w:rPr>
              <w:t>Row</w:t>
            </w:r>
            <w:r w:rsidR="00A231BF">
              <w:rPr>
                <w:i/>
                <w:sz w:val="16"/>
                <w:szCs w:val="16"/>
              </w:rPr>
              <w:t xml:space="preserve"> </w:t>
            </w:r>
            <w:r w:rsidR="002A074F" w:rsidRPr="00B04DC3">
              <w:rPr>
                <w:i/>
                <w:sz w:val="16"/>
                <w:szCs w:val="16"/>
                <w:vertAlign w:val="superscript"/>
              </w:rPr>
              <w:t>a</w:t>
            </w:r>
          </w:p>
        </w:tc>
        <w:tc>
          <w:tcPr>
            <w:tcW w:w="1234" w:type="dxa"/>
            <w:tcBorders>
              <w:bottom w:val="single" w:sz="12" w:space="0" w:color="auto"/>
            </w:tcBorders>
            <w:tcMar>
              <w:left w:w="0" w:type="dxa"/>
              <w:right w:w="0" w:type="dxa"/>
            </w:tcMar>
          </w:tcPr>
          <w:p w:rsidR="00C0100D" w:rsidRPr="00B04DC3" w:rsidRDefault="002A074F" w:rsidP="00AA0E48">
            <w:pPr>
              <w:pStyle w:val="Text1"/>
              <w:keepNext/>
              <w:keepLines/>
              <w:spacing w:before="80" w:after="80" w:line="200" w:lineRule="exact"/>
              <w:ind w:left="30"/>
              <w:jc w:val="center"/>
              <w:rPr>
                <w:i/>
                <w:sz w:val="16"/>
                <w:szCs w:val="16"/>
              </w:rPr>
            </w:pPr>
            <w:r w:rsidRPr="00B04DC3">
              <w:rPr>
                <w:i/>
                <w:sz w:val="16"/>
                <w:szCs w:val="16"/>
              </w:rPr>
              <w:t xml:space="preserve">OBD </w:t>
            </w:r>
            <w:r w:rsidR="00A231BF">
              <w:rPr>
                <w:i/>
                <w:sz w:val="16"/>
                <w:szCs w:val="16"/>
              </w:rPr>
              <w:t>s</w:t>
            </w:r>
            <w:r w:rsidR="00A231BF" w:rsidRPr="00B04DC3">
              <w:rPr>
                <w:i/>
                <w:sz w:val="16"/>
                <w:szCs w:val="16"/>
              </w:rPr>
              <w:t xml:space="preserve">tage </w:t>
            </w:r>
            <w:r w:rsidRPr="00B04DC3">
              <w:rPr>
                <w:i/>
                <w:sz w:val="16"/>
                <w:szCs w:val="16"/>
              </w:rPr>
              <w:t>I</w:t>
            </w:r>
            <w:r w:rsidR="00A231BF">
              <w:rPr>
                <w:i/>
                <w:sz w:val="16"/>
                <w:szCs w:val="16"/>
              </w:rPr>
              <w:t xml:space="preserve"> </w:t>
            </w:r>
            <w:r w:rsidR="00C0100D" w:rsidRPr="00B04DC3">
              <w:rPr>
                <w:i/>
                <w:sz w:val="16"/>
                <w:szCs w:val="16"/>
                <w:vertAlign w:val="superscript"/>
              </w:rPr>
              <w:t>b</w:t>
            </w:r>
          </w:p>
        </w:tc>
        <w:tc>
          <w:tcPr>
            <w:tcW w:w="1234" w:type="dxa"/>
            <w:tcBorders>
              <w:bottom w:val="single" w:sz="12" w:space="0" w:color="auto"/>
            </w:tcBorders>
            <w:tcMar>
              <w:left w:w="0" w:type="dxa"/>
              <w:right w:w="0" w:type="dxa"/>
            </w:tcMar>
          </w:tcPr>
          <w:p w:rsidR="00C0100D" w:rsidRPr="00B04DC3" w:rsidRDefault="00C0100D" w:rsidP="00AA0E48">
            <w:pPr>
              <w:pStyle w:val="Text1"/>
              <w:keepNext/>
              <w:keepLines/>
              <w:spacing w:before="80" w:after="80" w:line="200" w:lineRule="exact"/>
              <w:ind w:left="41"/>
              <w:jc w:val="center"/>
              <w:rPr>
                <w:i/>
                <w:sz w:val="16"/>
                <w:szCs w:val="16"/>
              </w:rPr>
            </w:pPr>
            <w:r w:rsidRPr="00B04DC3">
              <w:rPr>
                <w:i/>
                <w:sz w:val="16"/>
                <w:szCs w:val="16"/>
              </w:rPr>
              <w:t xml:space="preserve">OBD </w:t>
            </w:r>
            <w:r w:rsidR="00A231BF">
              <w:rPr>
                <w:i/>
                <w:sz w:val="16"/>
                <w:szCs w:val="16"/>
              </w:rPr>
              <w:t>s</w:t>
            </w:r>
            <w:r w:rsidR="00A231BF" w:rsidRPr="00B04DC3">
              <w:rPr>
                <w:i/>
                <w:sz w:val="16"/>
                <w:szCs w:val="16"/>
              </w:rPr>
              <w:t xml:space="preserve">tage </w:t>
            </w:r>
            <w:r w:rsidRPr="00B04DC3">
              <w:rPr>
                <w:i/>
                <w:sz w:val="16"/>
                <w:szCs w:val="16"/>
              </w:rPr>
              <w:t>II</w:t>
            </w:r>
          </w:p>
        </w:tc>
        <w:tc>
          <w:tcPr>
            <w:tcW w:w="1311" w:type="dxa"/>
            <w:tcBorders>
              <w:bottom w:val="single" w:sz="12" w:space="0" w:color="auto"/>
            </w:tcBorders>
            <w:tcMar>
              <w:left w:w="0" w:type="dxa"/>
              <w:right w:w="0" w:type="dxa"/>
            </w:tcMar>
          </w:tcPr>
          <w:p w:rsidR="00C0100D" w:rsidRPr="00B04DC3" w:rsidRDefault="00C0100D" w:rsidP="00AA0E48">
            <w:pPr>
              <w:pStyle w:val="Text1"/>
              <w:keepNext/>
              <w:keepLines/>
              <w:spacing w:before="80" w:after="80" w:line="200" w:lineRule="exact"/>
              <w:ind w:left="52"/>
              <w:jc w:val="center"/>
              <w:rPr>
                <w:i/>
                <w:sz w:val="16"/>
                <w:szCs w:val="16"/>
              </w:rPr>
            </w:pPr>
            <w:r w:rsidRPr="00B04DC3">
              <w:rPr>
                <w:i/>
                <w:sz w:val="16"/>
                <w:szCs w:val="16"/>
              </w:rPr>
              <w:t>Durability and</w:t>
            </w:r>
            <w:r w:rsidR="002A074F" w:rsidRPr="00B04DC3">
              <w:rPr>
                <w:i/>
                <w:sz w:val="16"/>
                <w:szCs w:val="16"/>
              </w:rPr>
              <w:br/>
            </w:r>
            <w:r w:rsidRPr="00B04DC3">
              <w:rPr>
                <w:i/>
                <w:sz w:val="16"/>
                <w:szCs w:val="16"/>
              </w:rPr>
              <w:t>in-use</w:t>
            </w:r>
          </w:p>
        </w:tc>
        <w:tc>
          <w:tcPr>
            <w:tcW w:w="1237" w:type="dxa"/>
            <w:tcBorders>
              <w:bottom w:val="single" w:sz="12" w:space="0" w:color="auto"/>
            </w:tcBorders>
            <w:tcMar>
              <w:left w:w="0" w:type="dxa"/>
              <w:right w:w="0" w:type="dxa"/>
            </w:tcMar>
          </w:tcPr>
          <w:p w:rsidR="00C0100D" w:rsidRPr="00B04DC3" w:rsidRDefault="00C0100D" w:rsidP="00AA0E48">
            <w:pPr>
              <w:pStyle w:val="Text1"/>
              <w:keepNext/>
              <w:keepLines/>
              <w:spacing w:before="80" w:after="80" w:line="200" w:lineRule="exact"/>
              <w:ind w:left="0"/>
              <w:jc w:val="center"/>
              <w:rPr>
                <w:i/>
                <w:sz w:val="16"/>
                <w:szCs w:val="16"/>
                <w:vertAlign w:val="superscript"/>
              </w:rPr>
            </w:pPr>
            <w:r w:rsidRPr="00B04DC3">
              <w:rPr>
                <w:i/>
                <w:sz w:val="16"/>
                <w:szCs w:val="16"/>
              </w:rPr>
              <w:t>NO</w:t>
            </w:r>
            <w:r w:rsidRPr="00B04DC3">
              <w:rPr>
                <w:i/>
                <w:sz w:val="16"/>
                <w:szCs w:val="16"/>
                <w:vertAlign w:val="subscript"/>
              </w:rPr>
              <w:t>x</w:t>
            </w:r>
            <w:r w:rsidRPr="00B04DC3">
              <w:rPr>
                <w:i/>
                <w:sz w:val="16"/>
                <w:szCs w:val="16"/>
              </w:rPr>
              <w:t xml:space="preserve"> control</w:t>
            </w:r>
            <w:r w:rsidR="00A231BF">
              <w:rPr>
                <w:i/>
                <w:sz w:val="16"/>
                <w:szCs w:val="16"/>
              </w:rPr>
              <w:t xml:space="preserve"> </w:t>
            </w:r>
            <w:r w:rsidR="002A074F" w:rsidRPr="00B04DC3">
              <w:rPr>
                <w:i/>
                <w:sz w:val="16"/>
                <w:szCs w:val="16"/>
                <w:vertAlign w:val="superscript"/>
              </w:rPr>
              <w:t>c</w:t>
            </w:r>
          </w:p>
        </w:tc>
      </w:tr>
      <w:tr w:rsidR="00C0100D" w:rsidRPr="00B04DC3" w:rsidTr="00B04DC3">
        <w:tc>
          <w:tcPr>
            <w:tcW w:w="987"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B</w:t>
            </w:r>
          </w:p>
        </w:tc>
        <w:tc>
          <w:tcPr>
            <w:tcW w:w="1368"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B1(2005)</w:t>
            </w:r>
          </w:p>
        </w:tc>
        <w:tc>
          <w:tcPr>
            <w:tcW w:w="1234"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w:t>
            </w:r>
          </w:p>
        </w:tc>
        <w:tc>
          <w:tcPr>
            <w:tcW w:w="1311"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Borders>
              <w:top w:val="single" w:sz="12" w:space="0" w:color="auto"/>
            </w:tcBorders>
            <w:tcMar>
              <w:left w:w="0" w:type="dxa"/>
              <w:right w:w="0" w:type="dxa"/>
            </w:tcMar>
          </w:tcPr>
          <w:p w:rsidR="00C0100D" w:rsidRPr="00B04DC3" w:rsidRDefault="00C0100D" w:rsidP="00AA0E48">
            <w:pPr>
              <w:pStyle w:val="Text1"/>
              <w:keepNext/>
              <w:keepLines/>
              <w:tabs>
                <w:tab w:val="left" w:pos="1134"/>
              </w:tabs>
              <w:spacing w:beforeLines="40" w:before="96" w:afterLines="80" w:after="192" w:line="220" w:lineRule="atLeast"/>
              <w:ind w:left="1134" w:hanging="1134"/>
              <w:jc w:val="center"/>
              <w:rPr>
                <w:sz w:val="20"/>
              </w:rPr>
            </w:pPr>
            <w:r w:rsidRPr="00B04DC3">
              <w:rPr>
                <w:sz w:val="20"/>
              </w:rPr>
              <w:t>-</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C</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B1(2005)</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D</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B2(2008)</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E</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B2(2008)</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F</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B2(2008)</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G</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B2(2008)</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H</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C</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I</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C</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r>
      <w:tr w:rsidR="00C0100D" w:rsidRPr="00B04DC3">
        <w:tc>
          <w:tcPr>
            <w:tcW w:w="98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J</w:t>
            </w:r>
          </w:p>
        </w:tc>
        <w:tc>
          <w:tcPr>
            <w:tcW w:w="1368"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C</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234"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311"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r>
      <w:tr w:rsidR="00C0100D" w:rsidRPr="00B04DC3" w:rsidTr="00B04DC3">
        <w:tc>
          <w:tcPr>
            <w:tcW w:w="987"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K</w:t>
            </w:r>
          </w:p>
        </w:tc>
        <w:tc>
          <w:tcPr>
            <w:tcW w:w="1368"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C</w:t>
            </w:r>
          </w:p>
        </w:tc>
        <w:tc>
          <w:tcPr>
            <w:tcW w:w="1234"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w:t>
            </w:r>
          </w:p>
        </w:tc>
        <w:tc>
          <w:tcPr>
            <w:tcW w:w="1234"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311"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c>
          <w:tcPr>
            <w:tcW w:w="1237" w:type="dxa"/>
            <w:tcBorders>
              <w:bottom w:val="single" w:sz="12" w:space="0" w:color="auto"/>
            </w:tcBorders>
            <w:tcMar>
              <w:left w:w="0" w:type="dxa"/>
              <w:right w:w="0" w:type="dxa"/>
            </w:tcMar>
          </w:tcPr>
          <w:p w:rsidR="00C0100D" w:rsidRPr="00B04DC3" w:rsidRDefault="00C0100D" w:rsidP="00E16438">
            <w:pPr>
              <w:pStyle w:val="Text1"/>
              <w:tabs>
                <w:tab w:val="left" w:pos="1134"/>
              </w:tabs>
              <w:spacing w:beforeLines="40" w:before="96" w:afterLines="80" w:after="192" w:line="220" w:lineRule="atLeast"/>
              <w:ind w:left="1134" w:hanging="1134"/>
              <w:jc w:val="center"/>
              <w:rPr>
                <w:sz w:val="20"/>
              </w:rPr>
            </w:pPr>
            <w:r w:rsidRPr="00B04DC3">
              <w:rPr>
                <w:sz w:val="20"/>
              </w:rPr>
              <w:t>YES</w:t>
            </w:r>
          </w:p>
        </w:tc>
      </w:tr>
      <w:tr w:rsidR="00B04DC3" w:rsidRPr="00B04DC3" w:rsidTr="00B04DC3">
        <w:tc>
          <w:tcPr>
            <w:tcW w:w="7371" w:type="dxa"/>
            <w:gridSpan w:val="6"/>
            <w:tcBorders>
              <w:top w:val="single" w:sz="12" w:space="0" w:color="auto"/>
              <w:left w:val="nil"/>
              <w:bottom w:val="nil"/>
              <w:right w:val="nil"/>
            </w:tcBorders>
            <w:tcMar>
              <w:left w:w="0" w:type="dxa"/>
              <w:right w:w="0" w:type="dxa"/>
            </w:tcMar>
          </w:tcPr>
          <w:p w:rsidR="00B04DC3" w:rsidRPr="00B04DC3" w:rsidRDefault="00B04DC3" w:rsidP="00B04DC3">
            <w:pPr>
              <w:pStyle w:val="NormalRight"/>
              <w:keepNext/>
              <w:keepLines/>
              <w:tabs>
                <w:tab w:val="left" w:pos="294"/>
                <w:tab w:val="left" w:pos="1400"/>
              </w:tabs>
              <w:spacing w:before="0" w:after="0" w:line="200" w:lineRule="exact"/>
              <w:ind w:left="6"/>
              <w:jc w:val="left"/>
              <w:rPr>
                <w:sz w:val="18"/>
                <w:szCs w:val="18"/>
              </w:rPr>
            </w:pPr>
            <w:r w:rsidRPr="00B04DC3">
              <w:rPr>
                <w:i/>
                <w:sz w:val="18"/>
                <w:szCs w:val="18"/>
                <w:vertAlign w:val="superscript"/>
              </w:rPr>
              <w:t>a</w:t>
            </w:r>
            <w:r w:rsidRPr="00B04DC3">
              <w:rPr>
                <w:i/>
                <w:sz w:val="18"/>
                <w:szCs w:val="18"/>
                <w:vertAlign w:val="superscript"/>
              </w:rPr>
              <w:tab/>
            </w:r>
            <w:r w:rsidRPr="00B04DC3">
              <w:rPr>
                <w:sz w:val="18"/>
                <w:szCs w:val="18"/>
              </w:rPr>
              <w:t>In accordance with tables of paragraph 5.2.1. of this Regulation.</w:t>
            </w:r>
          </w:p>
          <w:p w:rsidR="00B04DC3" w:rsidRPr="00B04DC3" w:rsidRDefault="00B04DC3" w:rsidP="00B04DC3">
            <w:pPr>
              <w:pStyle w:val="NormalRight"/>
              <w:keepNext/>
              <w:keepLines/>
              <w:tabs>
                <w:tab w:val="left" w:pos="294"/>
                <w:tab w:val="left" w:pos="1400"/>
              </w:tabs>
              <w:spacing w:before="0" w:after="0" w:line="200" w:lineRule="exact"/>
              <w:ind w:left="6"/>
              <w:jc w:val="left"/>
              <w:rPr>
                <w:sz w:val="18"/>
                <w:szCs w:val="18"/>
              </w:rPr>
            </w:pPr>
            <w:r w:rsidRPr="00B04DC3">
              <w:rPr>
                <w:i/>
                <w:sz w:val="18"/>
                <w:szCs w:val="18"/>
                <w:vertAlign w:val="superscript"/>
              </w:rPr>
              <w:t>b</w:t>
            </w:r>
            <w:r w:rsidRPr="00B04DC3">
              <w:rPr>
                <w:i/>
                <w:sz w:val="18"/>
                <w:szCs w:val="18"/>
                <w:vertAlign w:val="superscript"/>
              </w:rPr>
              <w:tab/>
            </w:r>
            <w:r w:rsidRPr="00B04DC3">
              <w:rPr>
                <w:sz w:val="18"/>
                <w:szCs w:val="18"/>
              </w:rPr>
              <w:t>In accordance with paragraph 5.4. of this Regulation, gas engines are excluded from OBD stage I.</w:t>
            </w:r>
          </w:p>
          <w:p w:rsidR="00B04DC3" w:rsidRPr="00B04DC3" w:rsidRDefault="00B04DC3" w:rsidP="00B04DC3">
            <w:pPr>
              <w:pStyle w:val="NormalRight"/>
              <w:keepNext/>
              <w:keepLines/>
              <w:tabs>
                <w:tab w:val="left" w:pos="294"/>
                <w:tab w:val="left" w:pos="1400"/>
              </w:tabs>
              <w:spacing w:before="0" w:after="0" w:line="200" w:lineRule="exact"/>
              <w:ind w:left="6"/>
              <w:jc w:val="left"/>
              <w:rPr>
                <w:sz w:val="20"/>
              </w:rPr>
            </w:pPr>
            <w:r w:rsidRPr="00B04DC3">
              <w:rPr>
                <w:i/>
                <w:sz w:val="18"/>
                <w:szCs w:val="18"/>
                <w:vertAlign w:val="superscript"/>
              </w:rPr>
              <w:t>c</w:t>
            </w:r>
            <w:r w:rsidRPr="00B04DC3">
              <w:rPr>
                <w:i/>
                <w:sz w:val="18"/>
                <w:szCs w:val="18"/>
                <w:vertAlign w:val="superscript"/>
              </w:rPr>
              <w:tab/>
            </w:r>
            <w:r w:rsidRPr="00B04DC3">
              <w:rPr>
                <w:sz w:val="18"/>
                <w:szCs w:val="18"/>
              </w:rPr>
              <w:t>In accordance with paragraph 5.5. of this Regulation.</w:t>
            </w:r>
          </w:p>
        </w:tc>
      </w:tr>
    </w:tbl>
    <w:p w:rsidR="00C0100D" w:rsidRPr="00B04DC3" w:rsidRDefault="00C0100D" w:rsidP="00D42399">
      <w:pPr>
        <w:pStyle w:val="para"/>
        <w:spacing w:before="240"/>
        <w:rPr>
          <w:lang w:val="en-GB"/>
        </w:rPr>
      </w:pPr>
      <w:r w:rsidRPr="00B04DC3">
        <w:rPr>
          <w:lang w:val="en-GB"/>
        </w:rPr>
        <w:t>4.6.3.1.</w:t>
      </w:r>
      <w:r w:rsidRPr="00B04DC3">
        <w:rPr>
          <w:lang w:val="en-GB"/>
        </w:rPr>
        <w:tab/>
        <w:t>For NG fuelled engines the approval mark shall contain a suffix after the national symbol, the purpose of which is to distinguish which range of gases the approval has been granted</w:t>
      </w:r>
      <w:r w:rsidR="00401E79" w:rsidRPr="00B04DC3">
        <w:rPr>
          <w:lang w:val="en-GB"/>
        </w:rPr>
        <w:t xml:space="preserve">. </w:t>
      </w:r>
      <w:r w:rsidR="002A074F" w:rsidRPr="00B04DC3">
        <w:rPr>
          <w:lang w:val="en-GB"/>
        </w:rPr>
        <w:t>This mark will be as follows:</w:t>
      </w:r>
    </w:p>
    <w:p w:rsidR="00C0100D" w:rsidRPr="00B04DC3" w:rsidRDefault="00C0100D" w:rsidP="002B2506">
      <w:pPr>
        <w:pStyle w:val="para"/>
        <w:rPr>
          <w:lang w:val="en-GB"/>
        </w:rPr>
      </w:pPr>
      <w:r w:rsidRPr="00B04DC3">
        <w:rPr>
          <w:lang w:val="en-GB"/>
        </w:rPr>
        <w:t>4.6.3.1.1.</w:t>
      </w:r>
      <w:r w:rsidRPr="00B04DC3">
        <w:rPr>
          <w:lang w:val="en-GB"/>
        </w:rPr>
        <w:tab/>
        <w:t>H in case of the engine being approved and calibrated for the H</w:t>
      </w:r>
      <w:r w:rsidRPr="00B04DC3">
        <w:rPr>
          <w:lang w:val="en-GB"/>
        </w:rPr>
        <w:noBreakHyphen/>
        <w:t>range of gases;</w:t>
      </w:r>
    </w:p>
    <w:p w:rsidR="00C0100D" w:rsidRPr="00B04DC3" w:rsidRDefault="00C0100D" w:rsidP="002B2506">
      <w:pPr>
        <w:pStyle w:val="para"/>
        <w:rPr>
          <w:lang w:val="en-GB"/>
        </w:rPr>
      </w:pPr>
      <w:r w:rsidRPr="00B04DC3">
        <w:rPr>
          <w:lang w:val="en-GB"/>
        </w:rPr>
        <w:t>4.6.3.1.2.</w:t>
      </w:r>
      <w:r w:rsidRPr="00B04DC3">
        <w:rPr>
          <w:lang w:val="en-GB"/>
        </w:rPr>
        <w:tab/>
        <w:t>L in case of the engine being approved and calibrated for the L</w:t>
      </w:r>
      <w:r w:rsidRPr="00B04DC3">
        <w:rPr>
          <w:lang w:val="en-GB"/>
        </w:rPr>
        <w:noBreakHyphen/>
        <w:t>range of gases;</w:t>
      </w:r>
    </w:p>
    <w:p w:rsidR="00C0100D" w:rsidRPr="00B04DC3" w:rsidRDefault="00C0100D" w:rsidP="002B2506">
      <w:pPr>
        <w:pStyle w:val="para"/>
        <w:rPr>
          <w:lang w:val="en-GB"/>
        </w:rPr>
      </w:pPr>
      <w:r w:rsidRPr="00B04DC3">
        <w:rPr>
          <w:lang w:val="en-GB"/>
        </w:rPr>
        <w:t>4.6.3.1.3.</w:t>
      </w:r>
      <w:r w:rsidRPr="00B04DC3">
        <w:rPr>
          <w:lang w:val="en-GB"/>
        </w:rPr>
        <w:tab/>
        <w:t>HL in case of the engine being approved and calibrated for both the H</w:t>
      </w:r>
      <w:r w:rsidRPr="00B04DC3">
        <w:rPr>
          <w:lang w:val="en-GB"/>
        </w:rPr>
        <w:noBreakHyphen/>
        <w:t>range and L</w:t>
      </w:r>
      <w:r w:rsidRPr="00B04DC3">
        <w:rPr>
          <w:lang w:val="en-GB"/>
        </w:rPr>
        <w:noBreakHyphen/>
        <w:t>range of gases;</w:t>
      </w:r>
    </w:p>
    <w:p w:rsidR="00C0100D" w:rsidRPr="00B04DC3" w:rsidRDefault="00C0100D" w:rsidP="002B2506">
      <w:pPr>
        <w:pStyle w:val="para"/>
        <w:rPr>
          <w:lang w:val="en-GB"/>
        </w:rPr>
      </w:pPr>
      <w:r w:rsidRPr="00B04DC3">
        <w:rPr>
          <w:lang w:val="en-GB"/>
        </w:rPr>
        <w:t>4.6.3.1.4.</w:t>
      </w:r>
      <w:r w:rsidRPr="00B04DC3">
        <w:rPr>
          <w:lang w:val="en-GB"/>
        </w:rPr>
        <w:tab/>
        <w:t>Ht in case of the engine being approved and calibrated for a specific gas composition in the H-range of gases and transformable to another specific gas in the H-range of gases by fine tuning of the engine fuelling;</w:t>
      </w:r>
    </w:p>
    <w:p w:rsidR="00C0100D" w:rsidRPr="00B04DC3" w:rsidRDefault="00C0100D" w:rsidP="002B2506">
      <w:pPr>
        <w:pStyle w:val="para"/>
        <w:rPr>
          <w:lang w:val="en-GB"/>
        </w:rPr>
      </w:pPr>
      <w:r w:rsidRPr="00B04DC3">
        <w:rPr>
          <w:lang w:val="en-GB"/>
        </w:rPr>
        <w:t>4.6.3.1.5.</w:t>
      </w:r>
      <w:r w:rsidRPr="00B04DC3">
        <w:rPr>
          <w:lang w:val="en-GB"/>
        </w:rPr>
        <w:tab/>
        <w:t>L</w:t>
      </w:r>
      <w:r w:rsidRPr="00B04DC3">
        <w:rPr>
          <w:vertAlign w:val="subscript"/>
          <w:lang w:val="en-GB"/>
        </w:rPr>
        <w:t xml:space="preserve">t </w:t>
      </w:r>
      <w:r w:rsidRPr="00B04DC3">
        <w:rPr>
          <w:lang w:val="en-GB"/>
        </w:rPr>
        <w:t>in case of the engine being approved and calibrated for a specific gas composition in the L-range of gases and transformable to another specific gas in the L-range of gases after fine tuning of the engine fuelling;</w:t>
      </w:r>
    </w:p>
    <w:p w:rsidR="00C0100D" w:rsidRPr="00B04DC3" w:rsidRDefault="00C0100D" w:rsidP="002B2506">
      <w:pPr>
        <w:pStyle w:val="para"/>
        <w:rPr>
          <w:lang w:val="en-GB"/>
        </w:rPr>
      </w:pPr>
      <w:r w:rsidRPr="00B04DC3">
        <w:rPr>
          <w:lang w:val="en-GB"/>
        </w:rPr>
        <w:t>4.6.3.1.6.</w:t>
      </w:r>
      <w:r w:rsidRPr="00B04DC3">
        <w:rPr>
          <w:lang w:val="en-GB"/>
        </w:rPr>
        <w:tab/>
        <w:t>HLt in the case of the engine being approved and calibrated for a specific gas composition in either the H-range or the L-range of gases and transformable to another specific gas in either the H</w:t>
      </w:r>
      <w:r w:rsidRPr="00B04DC3">
        <w:rPr>
          <w:lang w:val="en-GB"/>
        </w:rPr>
        <w:noBreakHyphen/>
        <w:t>range or the L-range of gases by fine tuning of the engine fuelling</w:t>
      </w:r>
      <w:r w:rsidR="00A231BF">
        <w:rPr>
          <w:lang w:val="en-GB"/>
        </w:rPr>
        <w:t>;</w:t>
      </w:r>
    </w:p>
    <w:p w:rsidR="000430DF" w:rsidRPr="00B04DC3" w:rsidRDefault="000430DF" w:rsidP="00AA0E48">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4.6.3.1.7.</w:t>
      </w:r>
      <w:r w:rsidRPr="00B04DC3">
        <w:tab/>
        <w:t>LNG</w:t>
      </w:r>
      <w:r w:rsidRPr="00B04DC3">
        <w:rPr>
          <w:vertAlign w:val="subscript"/>
        </w:rPr>
        <w:t>20</w:t>
      </w:r>
      <w:r w:rsidRPr="00B04DC3">
        <w:t xml:space="preserve"> in case of the engine being approved and calibrated for a specific LNG composition resulting in a λ-shift factor not differing by more than 3 per cent the λ-shift factor of the G</w:t>
      </w:r>
      <w:r w:rsidRPr="00B04DC3">
        <w:rPr>
          <w:vertAlign w:val="subscript"/>
        </w:rPr>
        <w:t>20</w:t>
      </w:r>
      <w:r w:rsidRPr="00B04DC3">
        <w:t xml:space="preserve"> gas specified in Annex 9, and the ethane content of which does not exceed 1.5 per cent</w:t>
      </w:r>
      <w:r w:rsidR="00A231BF">
        <w:t>;</w:t>
      </w:r>
    </w:p>
    <w:p w:rsidR="000430DF" w:rsidRPr="00B04DC3" w:rsidRDefault="000430DF" w:rsidP="000430DF">
      <w:pPr>
        <w:pStyle w:val="para"/>
        <w:rPr>
          <w:lang w:val="en-GB"/>
        </w:rPr>
      </w:pPr>
      <w:r w:rsidRPr="00B04DC3">
        <w:rPr>
          <w:lang w:val="en-GB"/>
        </w:rPr>
        <w:t>4.6.3.1.8.</w:t>
      </w:r>
      <w:r w:rsidRPr="00B04DC3">
        <w:rPr>
          <w:lang w:val="en-GB"/>
        </w:rPr>
        <w:tab/>
        <w:t>LNG in case of the engine being approved and calibrated for any other LNG composition.</w:t>
      </w:r>
    </w:p>
    <w:p w:rsidR="000430DF" w:rsidRPr="00B04DC3" w:rsidRDefault="000430DF" w:rsidP="000430DF">
      <w:pPr>
        <w:spacing w:after="120"/>
        <w:ind w:left="2268" w:right="1134" w:hanging="1134"/>
        <w:jc w:val="both"/>
      </w:pPr>
      <w:r w:rsidRPr="00B04DC3">
        <w:t>4.6.3.2.</w:t>
      </w:r>
      <w:r w:rsidRPr="00B04DC3">
        <w:tab/>
        <w:t>For dual-fuel engines, the approval mark shall contain a series of digits after the national symbol, the purpose of which is to distinguish for which dual-fuel engine type and with which range of gases the approval has been granted. The series of digits will be constituted of two digits for the dual-fuel engine Type defined in Annex 11, followed by the letter(s) specified in paragraph 4.6.3.1. The two digits identifying the dual-fuel engine Types defined in Annex 11 are the following:</w:t>
      </w:r>
    </w:p>
    <w:p w:rsidR="000430DF" w:rsidRPr="00B04DC3" w:rsidRDefault="000430DF" w:rsidP="000430DF">
      <w:pPr>
        <w:tabs>
          <w:tab w:val="left" w:pos="2694"/>
        </w:tabs>
        <w:spacing w:after="120"/>
        <w:ind w:left="2268" w:right="1134"/>
        <w:jc w:val="both"/>
      </w:pPr>
      <w:r w:rsidRPr="00B04DC3">
        <w:t>(a)</w:t>
      </w:r>
      <w:r w:rsidRPr="00B04DC3">
        <w:tab/>
        <w:t>1A for dual-fuel engines of Type 1A, type as defined in Annex</w:t>
      </w:r>
      <w:r w:rsidR="00A231BF">
        <w:t xml:space="preserve"> </w:t>
      </w:r>
      <w:r w:rsidRPr="00B04DC3">
        <w:t>11;</w:t>
      </w:r>
    </w:p>
    <w:p w:rsidR="000430DF" w:rsidRPr="00B04DC3" w:rsidRDefault="000430DF" w:rsidP="000430DF">
      <w:pPr>
        <w:tabs>
          <w:tab w:val="left" w:pos="2694"/>
        </w:tabs>
        <w:spacing w:after="120"/>
        <w:ind w:left="2268" w:right="1134"/>
        <w:jc w:val="both"/>
      </w:pPr>
      <w:r w:rsidRPr="00B04DC3">
        <w:t>(b)</w:t>
      </w:r>
      <w:r w:rsidRPr="00B04DC3">
        <w:tab/>
        <w:t>1B for dual-fuel engines of Type 1B, type as defined in Annex</w:t>
      </w:r>
      <w:r w:rsidR="00A231BF">
        <w:t xml:space="preserve"> </w:t>
      </w:r>
      <w:r w:rsidRPr="00B04DC3">
        <w:t>11;</w:t>
      </w:r>
    </w:p>
    <w:p w:rsidR="000430DF" w:rsidRPr="00B04DC3" w:rsidRDefault="000430DF" w:rsidP="000430DF">
      <w:pPr>
        <w:tabs>
          <w:tab w:val="left" w:pos="2694"/>
        </w:tabs>
        <w:spacing w:after="120"/>
        <w:ind w:left="2268" w:right="1134"/>
        <w:jc w:val="both"/>
      </w:pPr>
      <w:r w:rsidRPr="00B04DC3">
        <w:t>(c)</w:t>
      </w:r>
      <w:r w:rsidRPr="00B04DC3">
        <w:tab/>
        <w:t>2B for dual-fuel engines of Type 2B, type as defined in Annex</w:t>
      </w:r>
      <w:r w:rsidR="00A231BF">
        <w:t xml:space="preserve"> </w:t>
      </w:r>
      <w:r w:rsidRPr="00B04DC3">
        <w:t>11;</w:t>
      </w:r>
    </w:p>
    <w:p w:rsidR="000430DF" w:rsidRPr="00B04DC3" w:rsidRDefault="000430DF" w:rsidP="000430DF">
      <w:pPr>
        <w:tabs>
          <w:tab w:val="left" w:pos="2694"/>
        </w:tabs>
        <w:spacing w:after="120"/>
        <w:ind w:left="2268" w:right="1134"/>
        <w:jc w:val="both"/>
      </w:pPr>
      <w:r w:rsidRPr="00B04DC3">
        <w:t>(d)</w:t>
      </w:r>
      <w:r w:rsidRPr="00B04DC3">
        <w:tab/>
        <w:t>3B for dual-fuel engines of Type 3B, type as defined in Annex</w:t>
      </w:r>
      <w:r w:rsidR="00A231BF">
        <w:t xml:space="preserve"> </w:t>
      </w:r>
      <w:r w:rsidRPr="00B04DC3">
        <w:t>11.</w:t>
      </w:r>
    </w:p>
    <w:p w:rsidR="00C0100D" w:rsidRPr="00B04DC3" w:rsidRDefault="00C0100D" w:rsidP="000430DF">
      <w:pPr>
        <w:pStyle w:val="para"/>
        <w:rPr>
          <w:lang w:val="en-GB"/>
        </w:rPr>
      </w:pPr>
      <w:r w:rsidRPr="00B04DC3">
        <w:rPr>
          <w:lang w:val="en-GB"/>
        </w:rPr>
        <w:t>4.7.</w:t>
      </w:r>
      <w:r w:rsidRPr="00B04DC3">
        <w:rPr>
          <w:lang w:val="en-GB"/>
        </w:rPr>
        <w:tab/>
        <w:t>If the vehicle or engine conforms to an approved type under one or more other Regulations annexed to the Agreement, in the country which has granted approval under this Regulation, the</w:t>
      </w:r>
      <w:r w:rsidR="00661DA4" w:rsidRPr="00B04DC3">
        <w:rPr>
          <w:lang w:val="en-GB"/>
        </w:rPr>
        <w:t xml:space="preserve"> symbol prescribed in paragraph </w:t>
      </w:r>
      <w:r w:rsidRPr="00B04DC3">
        <w:rPr>
          <w:lang w:val="en-GB"/>
        </w:rPr>
        <w:t>4.6.1. need not be repeated</w:t>
      </w:r>
      <w:r w:rsidR="00401E79" w:rsidRPr="00B04DC3">
        <w:rPr>
          <w:lang w:val="en-GB"/>
        </w:rPr>
        <w:t xml:space="preserve">. </w:t>
      </w:r>
      <w:r w:rsidRPr="00B04DC3">
        <w:rPr>
          <w:lang w:val="en-GB"/>
        </w:rPr>
        <w:t>In such a case, the Regulation and approval numbers and the additional symbols of all the Regulations under which approval has been granted under this Regulation shall be placed in vertical columns to the right of the symbol prescribed in paragraph 4.6.1.</w:t>
      </w:r>
    </w:p>
    <w:p w:rsidR="00C0100D" w:rsidRPr="00B04DC3" w:rsidRDefault="00C0100D" w:rsidP="002B2506">
      <w:pPr>
        <w:pStyle w:val="para"/>
        <w:rPr>
          <w:lang w:val="en-GB"/>
        </w:rPr>
      </w:pPr>
      <w:r w:rsidRPr="00B04DC3">
        <w:rPr>
          <w:lang w:val="en-GB"/>
        </w:rPr>
        <w:t>4.8.</w:t>
      </w:r>
      <w:r w:rsidRPr="00B04DC3">
        <w:rPr>
          <w:lang w:val="en-GB"/>
        </w:rPr>
        <w:tab/>
        <w:t>The approval mark shall be placed close to or on the data plate affixed by the manufacturer to the approved type.</w:t>
      </w:r>
    </w:p>
    <w:p w:rsidR="00C0100D" w:rsidRPr="00B04DC3" w:rsidRDefault="00C0100D" w:rsidP="002B2506">
      <w:pPr>
        <w:pStyle w:val="para"/>
        <w:rPr>
          <w:lang w:val="en-GB"/>
        </w:rPr>
      </w:pPr>
      <w:r w:rsidRPr="00B04DC3">
        <w:rPr>
          <w:lang w:val="en-GB"/>
        </w:rPr>
        <w:t>4.9.</w:t>
      </w:r>
      <w:r w:rsidRPr="00B04DC3">
        <w:rPr>
          <w:lang w:val="en-GB"/>
        </w:rPr>
        <w:tab/>
        <w:t>Annex 3 to this Regulation gives examples of arrangements of approval marks.</w:t>
      </w:r>
    </w:p>
    <w:p w:rsidR="00C0100D" w:rsidRPr="00B04DC3" w:rsidRDefault="00C0100D" w:rsidP="002B2506">
      <w:pPr>
        <w:pStyle w:val="para"/>
        <w:rPr>
          <w:lang w:val="en-GB"/>
        </w:rPr>
      </w:pPr>
      <w:r w:rsidRPr="00B04DC3">
        <w:rPr>
          <w:lang w:val="en-GB"/>
        </w:rPr>
        <w:t>4.10.</w:t>
      </w:r>
      <w:r w:rsidRPr="00B04DC3">
        <w:rPr>
          <w:lang w:val="en-GB"/>
        </w:rPr>
        <w:tab/>
        <w:t>The engine approved as a technical unit shall bear, in addition to the approved mark:</w:t>
      </w:r>
    </w:p>
    <w:p w:rsidR="00C0100D" w:rsidRPr="00B04DC3" w:rsidRDefault="00C0100D" w:rsidP="002B2506">
      <w:pPr>
        <w:pStyle w:val="para"/>
        <w:rPr>
          <w:lang w:val="en-GB"/>
        </w:rPr>
      </w:pPr>
      <w:r w:rsidRPr="00B04DC3">
        <w:rPr>
          <w:lang w:val="en-GB"/>
        </w:rPr>
        <w:t>4.10.1.</w:t>
      </w:r>
      <w:r w:rsidRPr="00B04DC3">
        <w:rPr>
          <w:lang w:val="en-GB"/>
        </w:rPr>
        <w:tab/>
      </w:r>
      <w:r w:rsidR="002B2506" w:rsidRPr="00B04DC3">
        <w:rPr>
          <w:lang w:val="en-GB"/>
        </w:rPr>
        <w:t>The</w:t>
      </w:r>
      <w:r w:rsidRPr="00B04DC3">
        <w:rPr>
          <w:lang w:val="en-GB"/>
        </w:rPr>
        <w:t xml:space="preserve"> trademark or trade name of the manufacturer of the engine;</w:t>
      </w:r>
    </w:p>
    <w:p w:rsidR="00C0100D" w:rsidRPr="00B04DC3" w:rsidRDefault="00C0100D" w:rsidP="002B2506">
      <w:pPr>
        <w:pStyle w:val="para"/>
        <w:rPr>
          <w:lang w:val="en-GB"/>
        </w:rPr>
      </w:pPr>
      <w:r w:rsidRPr="00B04DC3">
        <w:rPr>
          <w:lang w:val="en-GB"/>
        </w:rPr>
        <w:t>4.10.2.</w:t>
      </w:r>
      <w:r w:rsidRPr="00B04DC3">
        <w:rPr>
          <w:lang w:val="en-GB"/>
        </w:rPr>
        <w:tab/>
      </w:r>
      <w:r w:rsidR="002B2506" w:rsidRPr="00B04DC3">
        <w:rPr>
          <w:lang w:val="en-GB"/>
        </w:rPr>
        <w:t>The</w:t>
      </w:r>
      <w:r w:rsidRPr="00B04DC3">
        <w:rPr>
          <w:lang w:val="en-GB"/>
        </w:rPr>
        <w:t xml:space="preserve"> manufacturer's commercial description.</w:t>
      </w:r>
    </w:p>
    <w:p w:rsidR="004E2929" w:rsidRPr="00B04DC3" w:rsidRDefault="004E2929" w:rsidP="004E2929">
      <w:pPr>
        <w:keepNext/>
        <w:keepLines/>
        <w:spacing w:after="120"/>
        <w:ind w:left="2268" w:right="1134" w:hanging="1134"/>
        <w:jc w:val="both"/>
      </w:pPr>
      <w:r w:rsidRPr="00B04DC3">
        <w:t>4.11.</w:t>
      </w:r>
      <w:r w:rsidRPr="00B04DC3">
        <w:tab/>
      </w:r>
      <w:r w:rsidRPr="00B04DC3">
        <w:tab/>
        <w:t>Labels</w:t>
      </w:r>
    </w:p>
    <w:p w:rsidR="004E2929" w:rsidRPr="00B04DC3" w:rsidRDefault="004E2929" w:rsidP="004E2929">
      <w:pPr>
        <w:keepNext/>
        <w:keepLines/>
        <w:spacing w:after="120"/>
        <w:ind w:left="2268" w:right="1134"/>
        <w:jc w:val="both"/>
      </w:pPr>
      <w:r w:rsidRPr="00B04DC3">
        <w:t>In the case of CNG and LPG fuelled engines with a fuel range restricted type approval, and in the case of LNG</w:t>
      </w:r>
      <w:r w:rsidRPr="00B04DC3">
        <w:rPr>
          <w:vertAlign w:val="subscript"/>
        </w:rPr>
        <w:t>20</w:t>
      </w:r>
      <w:r w:rsidRPr="00B04DC3">
        <w:t xml:space="preserve"> engines, the following labels are applicable, including in the case of dual-fuel engines:</w:t>
      </w:r>
    </w:p>
    <w:p w:rsidR="004E2929" w:rsidRPr="00B04DC3" w:rsidRDefault="004E2929" w:rsidP="004E2929">
      <w:pPr>
        <w:spacing w:after="120"/>
        <w:ind w:left="2268" w:right="1134" w:hanging="1134"/>
        <w:jc w:val="both"/>
      </w:pPr>
      <w:r w:rsidRPr="00B04DC3">
        <w:t>4.11.1.</w:t>
      </w:r>
      <w:r w:rsidRPr="00B04DC3">
        <w:tab/>
      </w:r>
      <w:r w:rsidRPr="00B04DC3">
        <w:tab/>
        <w:t>Content</w:t>
      </w:r>
    </w:p>
    <w:p w:rsidR="004E2929" w:rsidRPr="00B04DC3" w:rsidRDefault="004E2929" w:rsidP="004E2929">
      <w:pPr>
        <w:spacing w:after="120"/>
        <w:ind w:left="2268" w:right="1134"/>
        <w:jc w:val="both"/>
      </w:pPr>
      <w:r w:rsidRPr="00B04DC3">
        <w:t>The following information shall be given:</w:t>
      </w:r>
    </w:p>
    <w:p w:rsidR="004E2929" w:rsidRPr="00B04DC3" w:rsidRDefault="004E2929" w:rsidP="004E2929">
      <w:pPr>
        <w:spacing w:after="120"/>
        <w:ind w:left="2268" w:right="1134"/>
        <w:jc w:val="both"/>
      </w:pPr>
      <w:r w:rsidRPr="00B04DC3">
        <w:tab/>
        <w:t>In the case of an engine fuelled with LNG</w:t>
      </w:r>
      <w:r w:rsidRPr="00B04DC3">
        <w:rPr>
          <w:vertAlign w:val="subscript"/>
        </w:rPr>
        <w:t>20</w:t>
      </w:r>
      <w:r w:rsidRPr="00B04DC3">
        <w:t>., the label shall state "ONLY FOR USE WITH LNG</w:t>
      </w:r>
      <w:r w:rsidRPr="00B04DC3">
        <w:rPr>
          <w:vertAlign w:val="subscript"/>
        </w:rPr>
        <w:t>20</w:t>
      </w:r>
      <w:r w:rsidRPr="00B04DC3">
        <w:t>"</w:t>
      </w:r>
    </w:p>
    <w:p w:rsidR="004E2929" w:rsidRPr="00B04DC3" w:rsidRDefault="004E2929" w:rsidP="004E2929">
      <w:pPr>
        <w:spacing w:after="120"/>
        <w:ind w:left="2268" w:right="1134"/>
        <w:jc w:val="both"/>
      </w:pPr>
      <w:r w:rsidRPr="00B04DC3">
        <w:t>In the case of paragraph 4.2.1.3., the label shall state "ONLY FOR USE WITH NATURAL GAS RANGE H". If applicable, "H" is replaced by "L".</w:t>
      </w:r>
    </w:p>
    <w:p w:rsidR="00C0100D" w:rsidRPr="00B04DC3" w:rsidRDefault="00C0100D" w:rsidP="00AA0E48">
      <w:pPr>
        <w:pStyle w:val="para"/>
        <w:keepNext/>
        <w:keepLines/>
        <w:rPr>
          <w:lang w:val="en-GB"/>
        </w:rPr>
      </w:pPr>
      <w:r w:rsidRPr="00B04DC3">
        <w:rPr>
          <w:lang w:val="en-GB"/>
        </w:rPr>
        <w:tab/>
        <w:t xml:space="preserve">In the case of paragraph 4.2.2.3., the label shall state "ONLY FOR USE WITH </w:t>
      </w:r>
      <w:r w:rsidR="00AA0E48">
        <w:rPr>
          <w:lang w:val="en-GB"/>
        </w:rPr>
        <w:t>NATURAL GAS SPECIFICATION ...</w:t>
      </w:r>
      <w:r w:rsidRPr="00B04DC3">
        <w:rPr>
          <w:lang w:val="en-GB"/>
        </w:rPr>
        <w:t>" or "ONLY FOR USE WITH LIQUEFIED PE</w:t>
      </w:r>
      <w:r w:rsidR="00AA0E48">
        <w:rPr>
          <w:lang w:val="en-GB"/>
        </w:rPr>
        <w:t>TROLEUM GAS SPECIFICATION ...</w:t>
      </w:r>
      <w:r w:rsidRPr="00B04DC3">
        <w:rPr>
          <w:lang w:val="en-GB"/>
        </w:rPr>
        <w:t>", as applicable</w:t>
      </w:r>
      <w:r w:rsidR="00401E79" w:rsidRPr="00B04DC3">
        <w:rPr>
          <w:lang w:val="en-GB"/>
        </w:rPr>
        <w:t xml:space="preserve">. </w:t>
      </w:r>
      <w:r w:rsidRPr="00B04DC3">
        <w:rPr>
          <w:lang w:val="en-GB"/>
        </w:rPr>
        <w:t>All the information in the relevant table(s) in Annex 5 shall be given with the individual constituents and limits specified by the engine manufacturer.</w:t>
      </w:r>
    </w:p>
    <w:p w:rsidR="00C0100D" w:rsidRPr="00B04DC3" w:rsidRDefault="00C0100D" w:rsidP="002B2506">
      <w:pPr>
        <w:pStyle w:val="para"/>
        <w:rPr>
          <w:lang w:val="en-GB"/>
        </w:rPr>
      </w:pPr>
      <w:r w:rsidRPr="00B04DC3">
        <w:rPr>
          <w:lang w:val="en-GB"/>
        </w:rPr>
        <w:tab/>
        <w:t>The letters and figures shall be at least 4 mm in height.</w:t>
      </w:r>
    </w:p>
    <w:p w:rsidR="00C0100D" w:rsidRPr="00B04DC3" w:rsidRDefault="00C0100D" w:rsidP="002B2506">
      <w:pPr>
        <w:pStyle w:val="para"/>
        <w:rPr>
          <w:spacing w:val="-2"/>
          <w:lang w:val="en-GB"/>
        </w:rPr>
      </w:pPr>
      <w:r w:rsidRPr="00B04DC3">
        <w:rPr>
          <w:spacing w:val="-2"/>
          <w:lang w:val="en-GB"/>
        </w:rPr>
        <w:tab/>
      </w:r>
      <w:r w:rsidRPr="00B04DC3">
        <w:rPr>
          <w:i/>
          <w:spacing w:val="-2"/>
          <w:lang w:val="en-GB"/>
        </w:rPr>
        <w:t>Note:</w:t>
      </w:r>
      <w:r w:rsidRPr="00B04DC3">
        <w:rPr>
          <w:spacing w:val="-2"/>
          <w:lang w:val="en-GB"/>
        </w:rPr>
        <w:t xml:space="preserve"> If lack of space prevents such labelling, a simplified code may be used</w:t>
      </w:r>
      <w:r w:rsidR="00401E79" w:rsidRPr="00B04DC3">
        <w:rPr>
          <w:spacing w:val="-2"/>
          <w:lang w:val="en-GB"/>
        </w:rPr>
        <w:t xml:space="preserve">. </w:t>
      </w:r>
      <w:r w:rsidRPr="00B04DC3">
        <w:rPr>
          <w:spacing w:val="-2"/>
          <w:lang w:val="en-GB"/>
        </w:rPr>
        <w:t>In this event, explanatory notes containing all the above information shall be easily accessible to any person filling the fuel tank or performing maintenance or repair on the engine and its accessories, as well as to the authorities concerned</w:t>
      </w:r>
      <w:r w:rsidR="00401E79" w:rsidRPr="00B04DC3">
        <w:rPr>
          <w:spacing w:val="-2"/>
          <w:lang w:val="en-GB"/>
        </w:rPr>
        <w:t xml:space="preserve">. </w:t>
      </w:r>
      <w:r w:rsidRPr="00B04DC3">
        <w:rPr>
          <w:spacing w:val="-2"/>
          <w:lang w:val="en-GB"/>
        </w:rPr>
        <w:t xml:space="preserve">The site and content of these explanatory notes will be determined by agreement between the manufacturer and the </w:t>
      </w:r>
      <w:r w:rsidR="00A231BF">
        <w:rPr>
          <w:spacing w:val="-2"/>
          <w:lang w:val="en-GB"/>
        </w:rPr>
        <w:t xml:space="preserve">Type </w:t>
      </w:r>
      <w:r w:rsidRPr="00B04DC3">
        <w:rPr>
          <w:spacing w:val="-2"/>
          <w:lang w:val="en-GB"/>
        </w:rPr>
        <w:t>Approval Authority.</w:t>
      </w:r>
    </w:p>
    <w:p w:rsidR="00C0100D" w:rsidRPr="00B04DC3" w:rsidRDefault="00C0100D" w:rsidP="00B04DC3">
      <w:pPr>
        <w:pStyle w:val="para"/>
        <w:rPr>
          <w:lang w:val="en-GB"/>
        </w:rPr>
      </w:pPr>
      <w:r w:rsidRPr="00B04DC3">
        <w:rPr>
          <w:lang w:val="en-GB"/>
        </w:rPr>
        <w:t>4.11.2.</w:t>
      </w:r>
      <w:r w:rsidRPr="00B04DC3">
        <w:rPr>
          <w:lang w:val="en-GB"/>
        </w:rPr>
        <w:tab/>
      </w:r>
      <w:r w:rsidR="002A074F" w:rsidRPr="00B04DC3">
        <w:rPr>
          <w:lang w:val="en-GB"/>
        </w:rPr>
        <w:tab/>
      </w:r>
      <w:r w:rsidRPr="00B04DC3">
        <w:rPr>
          <w:lang w:val="en-GB"/>
        </w:rPr>
        <w:t>Properties</w:t>
      </w:r>
    </w:p>
    <w:p w:rsidR="00C0100D" w:rsidRPr="00B04DC3" w:rsidRDefault="00C0100D" w:rsidP="002B2506">
      <w:pPr>
        <w:pStyle w:val="para"/>
        <w:rPr>
          <w:lang w:val="en-GB"/>
        </w:rPr>
      </w:pPr>
      <w:r w:rsidRPr="00B04DC3">
        <w:rPr>
          <w:lang w:val="en-GB"/>
        </w:rPr>
        <w:tab/>
        <w:t>Labels shall be durable for the useful life of the engine</w:t>
      </w:r>
      <w:r w:rsidR="00401E79" w:rsidRPr="00B04DC3">
        <w:rPr>
          <w:lang w:val="en-GB"/>
        </w:rPr>
        <w:t xml:space="preserve">. </w:t>
      </w:r>
      <w:r w:rsidRPr="00B04DC3">
        <w:rPr>
          <w:lang w:val="en-GB"/>
        </w:rPr>
        <w:t>Labels shall be clearly legible and their letters and figures shall be indelible</w:t>
      </w:r>
      <w:r w:rsidR="00401E79" w:rsidRPr="00B04DC3">
        <w:rPr>
          <w:lang w:val="en-GB"/>
        </w:rPr>
        <w:t xml:space="preserve">. </w:t>
      </w:r>
      <w:r w:rsidRPr="00B04DC3">
        <w:rPr>
          <w:lang w:val="en-GB"/>
        </w:rPr>
        <w:t>Additionally, labels shall be attached in such a manner that their fixing is durable for the useful life of the engine, and the labels cannot be removed without destroying or defacing them.</w:t>
      </w:r>
    </w:p>
    <w:p w:rsidR="00C0100D" w:rsidRPr="00B04DC3" w:rsidRDefault="00C0100D" w:rsidP="00B04DC3">
      <w:pPr>
        <w:pStyle w:val="para"/>
        <w:rPr>
          <w:lang w:val="en-GB"/>
        </w:rPr>
      </w:pPr>
      <w:r w:rsidRPr="00B04DC3">
        <w:rPr>
          <w:lang w:val="en-GB"/>
        </w:rPr>
        <w:t>4.11.3.</w:t>
      </w:r>
      <w:r w:rsidRPr="00B04DC3">
        <w:rPr>
          <w:lang w:val="en-GB"/>
        </w:rPr>
        <w:tab/>
      </w:r>
      <w:r w:rsidR="000917EB" w:rsidRPr="00B04DC3">
        <w:rPr>
          <w:lang w:val="en-GB"/>
        </w:rPr>
        <w:tab/>
      </w:r>
      <w:r w:rsidRPr="00B04DC3">
        <w:rPr>
          <w:lang w:val="en-GB"/>
        </w:rPr>
        <w:t>Placing</w:t>
      </w:r>
    </w:p>
    <w:p w:rsidR="00C0100D" w:rsidRPr="00B04DC3" w:rsidRDefault="00C0100D" w:rsidP="002B2506">
      <w:pPr>
        <w:pStyle w:val="para"/>
        <w:rPr>
          <w:lang w:val="en-GB"/>
        </w:rPr>
      </w:pPr>
      <w:r w:rsidRPr="00B04DC3">
        <w:rPr>
          <w:lang w:val="en-GB"/>
        </w:rPr>
        <w:tab/>
        <w:t>Labels shall be secured to an engine part necessary for normal engine operation and not normally requiring replacement during engine life</w:t>
      </w:r>
      <w:r w:rsidR="00401E79" w:rsidRPr="00B04DC3">
        <w:rPr>
          <w:lang w:val="en-GB"/>
        </w:rPr>
        <w:t xml:space="preserve">. </w:t>
      </w:r>
      <w:r w:rsidRPr="00B04DC3">
        <w:rPr>
          <w:lang w:val="en-GB"/>
        </w:rPr>
        <w:t>Additionally, these labels shall be located so as to be readily visible to the average person after the engine has been completed with all the auxiliaries necessary for engine operation.</w:t>
      </w:r>
    </w:p>
    <w:p w:rsidR="00C0100D" w:rsidRPr="00B04DC3" w:rsidRDefault="00C0100D" w:rsidP="002B2506">
      <w:pPr>
        <w:pStyle w:val="para"/>
        <w:rPr>
          <w:lang w:val="en-GB"/>
        </w:rPr>
      </w:pPr>
      <w:r w:rsidRPr="00B04DC3">
        <w:rPr>
          <w:lang w:val="en-GB"/>
        </w:rPr>
        <w:t>4.12.</w:t>
      </w:r>
      <w:r w:rsidRPr="00B04DC3">
        <w:rPr>
          <w:lang w:val="en-GB"/>
        </w:rPr>
        <w:tab/>
        <w:t>In case of an application for approval for a vehicle type in respect of its engine, the marking specified in paragraph 4.11. shall also be placed close to fuel filling aperture.</w:t>
      </w:r>
    </w:p>
    <w:p w:rsidR="00C0100D" w:rsidRPr="00B04DC3" w:rsidRDefault="00C0100D" w:rsidP="002B2506">
      <w:pPr>
        <w:pStyle w:val="para"/>
        <w:rPr>
          <w:lang w:val="en-GB"/>
        </w:rPr>
      </w:pPr>
      <w:r w:rsidRPr="00B04DC3">
        <w:rPr>
          <w:lang w:val="en-GB"/>
        </w:rPr>
        <w:t>4.13.</w:t>
      </w:r>
      <w:r w:rsidRPr="00B04DC3">
        <w:rPr>
          <w:lang w:val="en-GB"/>
        </w:rPr>
        <w:tab/>
        <w:t>In case of an application for approval for a vehicle type with an approved engine, the marking specified in paragraph 4.11. shall also be placed close to the fuel filling aperture.</w:t>
      </w:r>
    </w:p>
    <w:p w:rsidR="00C0100D" w:rsidRPr="00B04DC3" w:rsidRDefault="002B2506" w:rsidP="00B04DC3">
      <w:pPr>
        <w:pStyle w:val="HChG"/>
      </w:pPr>
      <w:r w:rsidRPr="00B04DC3">
        <w:tab/>
      </w:r>
      <w:r w:rsidRPr="00B04DC3">
        <w:tab/>
      </w:r>
      <w:bookmarkStart w:id="30" w:name="_Toc423599451"/>
      <w:bookmarkStart w:id="31" w:name="_Toc423610859"/>
      <w:r w:rsidR="00C0100D" w:rsidRPr="00B04DC3">
        <w:t>5.</w:t>
      </w:r>
      <w:r w:rsidR="00C0100D" w:rsidRPr="00B04DC3">
        <w:tab/>
      </w:r>
      <w:r w:rsidRPr="00B04DC3">
        <w:tab/>
      </w:r>
      <w:r w:rsidR="00C0100D" w:rsidRPr="00B04DC3">
        <w:t>S</w:t>
      </w:r>
      <w:r w:rsidRPr="00B04DC3">
        <w:t>pecifications and tests</w:t>
      </w:r>
      <w:bookmarkEnd w:id="30"/>
      <w:bookmarkEnd w:id="31"/>
    </w:p>
    <w:p w:rsidR="00C0100D" w:rsidRPr="00B04DC3" w:rsidRDefault="00C0100D" w:rsidP="00B04DC3">
      <w:pPr>
        <w:pStyle w:val="para"/>
        <w:rPr>
          <w:lang w:val="en-GB"/>
        </w:rPr>
      </w:pPr>
      <w:r w:rsidRPr="00B04DC3">
        <w:rPr>
          <w:lang w:val="en-GB"/>
        </w:rPr>
        <w:t>5.1.</w:t>
      </w:r>
      <w:r w:rsidRPr="00B04DC3">
        <w:rPr>
          <w:lang w:val="en-GB"/>
        </w:rPr>
        <w:tab/>
      </w:r>
      <w:r w:rsidR="002B2506" w:rsidRPr="00B04DC3">
        <w:rPr>
          <w:lang w:val="en-GB"/>
        </w:rPr>
        <w:tab/>
      </w:r>
      <w:r w:rsidRPr="00B04DC3">
        <w:rPr>
          <w:lang w:val="en-GB"/>
        </w:rPr>
        <w:t>General</w:t>
      </w:r>
    </w:p>
    <w:p w:rsidR="00C0100D" w:rsidRPr="00B04DC3" w:rsidRDefault="00C0100D" w:rsidP="000917EB">
      <w:pPr>
        <w:pStyle w:val="para"/>
        <w:rPr>
          <w:lang w:val="en-GB"/>
        </w:rPr>
      </w:pPr>
      <w:r w:rsidRPr="00B04DC3">
        <w:rPr>
          <w:lang w:val="en-GB"/>
        </w:rPr>
        <w:t>5.1.1.</w:t>
      </w:r>
      <w:r w:rsidRPr="00B04DC3">
        <w:rPr>
          <w:lang w:val="en-GB"/>
        </w:rPr>
        <w:tab/>
      </w:r>
      <w:r w:rsidR="00A11B95" w:rsidRPr="00B04DC3">
        <w:rPr>
          <w:lang w:val="en-GB"/>
        </w:rPr>
        <w:tab/>
      </w:r>
      <w:r w:rsidRPr="00B04DC3">
        <w:rPr>
          <w:lang w:val="en-GB"/>
        </w:rPr>
        <w:t>Emission control equipment</w:t>
      </w:r>
    </w:p>
    <w:p w:rsidR="00C0100D" w:rsidRPr="00B04DC3" w:rsidRDefault="00C0100D" w:rsidP="00A7313B">
      <w:pPr>
        <w:pStyle w:val="para"/>
        <w:rPr>
          <w:lang w:val="en-GB"/>
        </w:rPr>
      </w:pPr>
      <w:r w:rsidRPr="00B04DC3">
        <w:rPr>
          <w:lang w:val="en-GB"/>
        </w:rPr>
        <w:t>5.1.1.1.</w:t>
      </w:r>
      <w:r w:rsidRPr="00B04DC3">
        <w:rPr>
          <w:lang w:val="en-GB"/>
        </w:rPr>
        <w:tab/>
        <w:t>The components liable to affect, where appropriate, the emission of gaseous and particulate pollutants from diesel and gas engines shall be so designed, constructed, assembled and installed as to enable the engine, in normal use, to comply with the provisions of this Regulation.</w:t>
      </w:r>
    </w:p>
    <w:p w:rsidR="00C0100D" w:rsidRPr="00B04DC3" w:rsidRDefault="00C0100D" w:rsidP="00A7313B">
      <w:pPr>
        <w:pStyle w:val="para"/>
        <w:rPr>
          <w:lang w:val="en-GB"/>
        </w:rPr>
      </w:pPr>
      <w:r w:rsidRPr="00B04DC3">
        <w:rPr>
          <w:lang w:val="en-GB"/>
        </w:rPr>
        <w:t>5.1.2.</w:t>
      </w:r>
      <w:r w:rsidRPr="00B04DC3">
        <w:rPr>
          <w:lang w:val="en-GB"/>
        </w:rPr>
        <w:tab/>
        <w:t>The use of</w:t>
      </w:r>
      <w:r w:rsidR="00A11B95" w:rsidRPr="00B04DC3">
        <w:rPr>
          <w:lang w:val="en-GB"/>
        </w:rPr>
        <w:t xml:space="preserve"> a defeat strategy is forbidden.</w:t>
      </w:r>
    </w:p>
    <w:p w:rsidR="00C0100D" w:rsidRPr="00B04DC3" w:rsidRDefault="00C0100D" w:rsidP="00A7313B">
      <w:pPr>
        <w:pStyle w:val="para"/>
        <w:rPr>
          <w:lang w:val="en-GB"/>
        </w:rPr>
      </w:pPr>
      <w:r w:rsidRPr="00B04DC3">
        <w:rPr>
          <w:lang w:val="en-GB"/>
        </w:rPr>
        <w:t>5.1.2.1.</w:t>
      </w:r>
      <w:r w:rsidRPr="00B04DC3">
        <w:rPr>
          <w:lang w:val="en-GB"/>
        </w:rPr>
        <w:tab/>
        <w:t>The use of a multi-setting engine is forbidden until appropriate and robust provisions for multi-setting engines are laid down in this Regulation.</w:t>
      </w:r>
    </w:p>
    <w:p w:rsidR="00C0100D" w:rsidRPr="00B04DC3" w:rsidRDefault="00C0100D" w:rsidP="000917EB">
      <w:pPr>
        <w:pStyle w:val="para"/>
        <w:rPr>
          <w:lang w:val="en-GB"/>
        </w:rPr>
      </w:pPr>
      <w:r w:rsidRPr="00B04DC3">
        <w:rPr>
          <w:lang w:val="en-GB"/>
        </w:rPr>
        <w:t>5.1.3.</w:t>
      </w:r>
      <w:r w:rsidRPr="00B04DC3">
        <w:rPr>
          <w:lang w:val="en-GB"/>
        </w:rPr>
        <w:tab/>
      </w:r>
      <w:r w:rsidR="00A11B95" w:rsidRPr="00B04DC3">
        <w:rPr>
          <w:lang w:val="en-GB"/>
        </w:rPr>
        <w:tab/>
      </w:r>
      <w:r w:rsidRPr="00B04DC3">
        <w:rPr>
          <w:lang w:val="en-GB"/>
        </w:rPr>
        <w:t>Emission control strategy</w:t>
      </w:r>
    </w:p>
    <w:p w:rsidR="00C0100D" w:rsidRPr="00B04DC3" w:rsidRDefault="00C0100D" w:rsidP="00A7313B">
      <w:pPr>
        <w:pStyle w:val="para"/>
        <w:rPr>
          <w:lang w:val="en-GB"/>
        </w:rPr>
      </w:pPr>
      <w:r w:rsidRPr="00B04DC3">
        <w:rPr>
          <w:lang w:val="en-GB"/>
        </w:rPr>
        <w:t>5.1.3.1.</w:t>
      </w:r>
      <w:r w:rsidRPr="00B04DC3">
        <w:rPr>
          <w:lang w:val="en-GB"/>
        </w:rPr>
        <w:tab/>
        <w:t>Any element of design and ECS liable to affect the emission of gaseous and particulate pollutants from diesel engines and the emission of gaseous pollutants from gas engines shall be so designed, constructed, assembled and installed as to enable the engine, in normal use, to comply with the provisions of this Regulation</w:t>
      </w:r>
      <w:r w:rsidR="00401E79" w:rsidRPr="00B04DC3">
        <w:rPr>
          <w:lang w:val="en-GB"/>
        </w:rPr>
        <w:t xml:space="preserve">. </w:t>
      </w:r>
      <w:r w:rsidRPr="00B04DC3">
        <w:rPr>
          <w:lang w:val="en-GB"/>
        </w:rPr>
        <w:t xml:space="preserve">ECS consists of the </w:t>
      </w:r>
      <w:r w:rsidR="0017458B">
        <w:rPr>
          <w:lang w:val="en-GB"/>
        </w:rPr>
        <w:t>B</w:t>
      </w:r>
      <w:r w:rsidR="0017458B" w:rsidRPr="00B04DC3">
        <w:rPr>
          <w:lang w:val="en-GB"/>
        </w:rPr>
        <w:t xml:space="preserve">ase </w:t>
      </w:r>
      <w:r w:rsidRPr="00B04DC3">
        <w:rPr>
          <w:caps/>
          <w:lang w:val="en-GB"/>
        </w:rPr>
        <w:t>e</w:t>
      </w:r>
      <w:r w:rsidRPr="00B04DC3">
        <w:rPr>
          <w:lang w:val="en-GB"/>
        </w:rPr>
        <w:t xml:space="preserve">mission </w:t>
      </w:r>
      <w:r w:rsidRPr="00B04DC3">
        <w:rPr>
          <w:caps/>
          <w:lang w:val="en-GB"/>
        </w:rPr>
        <w:t>c</w:t>
      </w:r>
      <w:r w:rsidRPr="00B04DC3">
        <w:rPr>
          <w:lang w:val="en-GB"/>
        </w:rPr>
        <w:t xml:space="preserve">ontrol </w:t>
      </w:r>
      <w:r w:rsidRPr="00B04DC3">
        <w:rPr>
          <w:caps/>
          <w:lang w:val="en-GB"/>
        </w:rPr>
        <w:t>s</w:t>
      </w:r>
      <w:r w:rsidRPr="00B04DC3">
        <w:rPr>
          <w:lang w:val="en-GB"/>
        </w:rPr>
        <w:t xml:space="preserve">trategy (BECS) and usually one or more </w:t>
      </w:r>
      <w:r w:rsidR="0017458B">
        <w:rPr>
          <w:lang w:val="en-GB"/>
        </w:rPr>
        <w:t>A</w:t>
      </w:r>
      <w:r w:rsidR="0017458B" w:rsidRPr="00B04DC3">
        <w:rPr>
          <w:lang w:val="en-GB"/>
        </w:rPr>
        <w:t xml:space="preserve">uxiliary </w:t>
      </w:r>
      <w:r w:rsidRPr="00B04DC3">
        <w:rPr>
          <w:caps/>
          <w:lang w:val="en-GB"/>
        </w:rPr>
        <w:t>e</w:t>
      </w:r>
      <w:r w:rsidRPr="00B04DC3">
        <w:rPr>
          <w:lang w:val="en-GB"/>
        </w:rPr>
        <w:t xml:space="preserve">mission </w:t>
      </w:r>
      <w:r w:rsidRPr="00B04DC3">
        <w:rPr>
          <w:caps/>
          <w:lang w:val="en-GB"/>
        </w:rPr>
        <w:t>c</w:t>
      </w:r>
      <w:r w:rsidRPr="00B04DC3">
        <w:rPr>
          <w:lang w:val="en-GB"/>
        </w:rPr>
        <w:t xml:space="preserve">ontrol </w:t>
      </w:r>
      <w:r w:rsidRPr="00B04DC3">
        <w:rPr>
          <w:caps/>
          <w:lang w:val="en-GB"/>
        </w:rPr>
        <w:t>s</w:t>
      </w:r>
      <w:r w:rsidRPr="00B04DC3">
        <w:rPr>
          <w:lang w:val="en-GB"/>
        </w:rPr>
        <w:t>trategies (ACS).</w:t>
      </w:r>
    </w:p>
    <w:p w:rsidR="00C0100D" w:rsidRPr="00B04DC3" w:rsidRDefault="00C0100D" w:rsidP="000917EB">
      <w:pPr>
        <w:pStyle w:val="para"/>
        <w:rPr>
          <w:lang w:val="en-GB"/>
        </w:rPr>
      </w:pPr>
      <w:r w:rsidRPr="00B04DC3">
        <w:rPr>
          <w:lang w:val="en-GB"/>
        </w:rPr>
        <w:t>5.1.4.</w:t>
      </w:r>
      <w:r w:rsidRPr="00B04DC3">
        <w:rPr>
          <w:lang w:val="en-GB"/>
        </w:rPr>
        <w:tab/>
      </w:r>
      <w:r w:rsidR="00A11B95" w:rsidRPr="00B04DC3">
        <w:rPr>
          <w:lang w:val="en-GB"/>
        </w:rPr>
        <w:tab/>
      </w:r>
      <w:r w:rsidRPr="00B04DC3">
        <w:rPr>
          <w:lang w:val="en-GB"/>
        </w:rPr>
        <w:t>Requirements for base emission control strategy</w:t>
      </w:r>
    </w:p>
    <w:p w:rsidR="00C0100D" w:rsidRPr="00B04DC3" w:rsidRDefault="00C0100D" w:rsidP="00A7313B">
      <w:pPr>
        <w:pStyle w:val="para"/>
        <w:rPr>
          <w:lang w:val="en-GB"/>
        </w:rPr>
      </w:pPr>
      <w:r w:rsidRPr="00B04DC3">
        <w:rPr>
          <w:lang w:val="en-GB"/>
        </w:rPr>
        <w:t>5.1.4.1.</w:t>
      </w:r>
      <w:r w:rsidRPr="00B04DC3">
        <w:rPr>
          <w:lang w:val="en-GB"/>
        </w:rPr>
        <w:tab/>
        <w:t>The BECS shall be so designed as to enable the engine, in normal use, to comply with the provisions of this Regulation</w:t>
      </w:r>
      <w:r w:rsidR="00401E79" w:rsidRPr="00B04DC3">
        <w:rPr>
          <w:lang w:val="en-GB"/>
        </w:rPr>
        <w:t xml:space="preserve">. </w:t>
      </w:r>
      <w:r w:rsidRPr="00B04DC3">
        <w:rPr>
          <w:lang w:val="en-GB"/>
        </w:rPr>
        <w:t>Normal use is not restricted to the conditions of use as specified in paragraph 5.1.5.4.</w:t>
      </w:r>
    </w:p>
    <w:p w:rsidR="00C0100D" w:rsidRPr="00B04DC3" w:rsidRDefault="00C0100D" w:rsidP="000917EB">
      <w:pPr>
        <w:pStyle w:val="para"/>
        <w:rPr>
          <w:lang w:val="en-GB"/>
        </w:rPr>
      </w:pPr>
      <w:r w:rsidRPr="00B04DC3">
        <w:rPr>
          <w:lang w:val="en-GB"/>
        </w:rPr>
        <w:t>5.1.5.</w:t>
      </w:r>
      <w:r w:rsidRPr="00B04DC3">
        <w:rPr>
          <w:lang w:val="en-GB"/>
        </w:rPr>
        <w:tab/>
      </w:r>
      <w:r w:rsidR="00A11B95" w:rsidRPr="00B04DC3">
        <w:rPr>
          <w:lang w:val="en-GB"/>
        </w:rPr>
        <w:tab/>
      </w:r>
      <w:r w:rsidRPr="00B04DC3">
        <w:rPr>
          <w:lang w:val="en-GB"/>
        </w:rPr>
        <w:t xml:space="preserve">Requirements for </w:t>
      </w:r>
      <w:r w:rsidR="00DF2895">
        <w:rPr>
          <w:lang w:val="en-GB"/>
        </w:rPr>
        <w:t>A</w:t>
      </w:r>
      <w:r w:rsidRPr="00B04DC3">
        <w:rPr>
          <w:lang w:val="en-GB"/>
        </w:rPr>
        <w:t xml:space="preserve">uxiliary emission </w:t>
      </w:r>
      <w:r w:rsidR="00DF2895">
        <w:rPr>
          <w:lang w:val="en-GB"/>
        </w:rPr>
        <w:t>C</w:t>
      </w:r>
      <w:r w:rsidRPr="00B04DC3">
        <w:rPr>
          <w:lang w:val="en-GB"/>
        </w:rPr>
        <w:t xml:space="preserve">ontrol </w:t>
      </w:r>
      <w:r w:rsidR="00DF2895">
        <w:rPr>
          <w:lang w:val="en-GB"/>
        </w:rPr>
        <w:t>S</w:t>
      </w:r>
      <w:r w:rsidRPr="00B04DC3">
        <w:rPr>
          <w:lang w:val="en-GB"/>
        </w:rPr>
        <w:t>trategy</w:t>
      </w:r>
    </w:p>
    <w:p w:rsidR="00C0100D" w:rsidRPr="00B04DC3" w:rsidRDefault="00C0100D" w:rsidP="00A7313B">
      <w:pPr>
        <w:pStyle w:val="para"/>
        <w:rPr>
          <w:lang w:val="en-GB"/>
        </w:rPr>
      </w:pPr>
      <w:r w:rsidRPr="00B04DC3">
        <w:rPr>
          <w:lang w:val="en-GB"/>
        </w:rPr>
        <w:t>5.1.5.1.</w:t>
      </w:r>
      <w:r w:rsidRPr="00B04DC3">
        <w:rPr>
          <w:lang w:val="en-GB"/>
        </w:rPr>
        <w:tab/>
        <w:t>An ACS may be installed to an engine or on a vehicle provided that the ACS:</w:t>
      </w:r>
    </w:p>
    <w:p w:rsidR="00C0100D" w:rsidRPr="00B04DC3" w:rsidRDefault="00C0100D" w:rsidP="00A7313B">
      <w:pPr>
        <w:pStyle w:val="a"/>
        <w:rPr>
          <w:lang w:val="en-GB"/>
        </w:rPr>
      </w:pPr>
      <w:r w:rsidRPr="00B04DC3">
        <w:rPr>
          <w:lang w:val="en-GB"/>
        </w:rPr>
        <w:t>(a)</w:t>
      </w:r>
      <w:r w:rsidRPr="00B04DC3">
        <w:rPr>
          <w:lang w:val="en-GB"/>
        </w:rPr>
        <w:tab/>
      </w:r>
      <w:r w:rsidR="00A7313B" w:rsidRPr="00B04DC3">
        <w:rPr>
          <w:lang w:val="en-GB"/>
        </w:rPr>
        <w:t>O</w:t>
      </w:r>
      <w:r w:rsidRPr="00B04DC3">
        <w:rPr>
          <w:lang w:val="en-GB"/>
        </w:rPr>
        <w:t>perates only outside the conditions of use specified in paragraph 5.1.5.4. for the purposes defined in paragraph 5.1.5.5. or,</w:t>
      </w:r>
    </w:p>
    <w:p w:rsidR="00C0100D" w:rsidRPr="00B04DC3" w:rsidRDefault="00C0100D" w:rsidP="00A7313B">
      <w:pPr>
        <w:pStyle w:val="a"/>
        <w:rPr>
          <w:lang w:val="en-GB"/>
        </w:rPr>
      </w:pPr>
      <w:r w:rsidRPr="00B04DC3">
        <w:rPr>
          <w:lang w:val="en-GB"/>
        </w:rPr>
        <w:t>(b)</w:t>
      </w:r>
      <w:r w:rsidRPr="00B04DC3">
        <w:rPr>
          <w:lang w:val="en-GB"/>
        </w:rPr>
        <w:tab/>
      </w:r>
      <w:r w:rsidR="00A7313B" w:rsidRPr="00B04DC3">
        <w:rPr>
          <w:lang w:val="en-GB"/>
        </w:rPr>
        <w:t>I</w:t>
      </w:r>
      <w:r w:rsidRPr="00B04DC3">
        <w:rPr>
          <w:lang w:val="en-GB"/>
        </w:rPr>
        <w:t>s activated only exceptionally within the conditions of use specified in paragraph 5.1.5.4. for the purposes defined in paragraph 5.1.5.6. and not longer than is needed for these purposes.</w:t>
      </w:r>
    </w:p>
    <w:p w:rsidR="00C0100D" w:rsidRPr="00B04DC3" w:rsidRDefault="00C0100D" w:rsidP="00940F16">
      <w:pPr>
        <w:pStyle w:val="para"/>
        <w:spacing w:after="100"/>
        <w:rPr>
          <w:spacing w:val="-2"/>
          <w:lang w:val="en-GB"/>
        </w:rPr>
      </w:pPr>
      <w:r w:rsidRPr="00B04DC3">
        <w:rPr>
          <w:spacing w:val="-2"/>
          <w:lang w:val="en-GB"/>
        </w:rPr>
        <w:t>5.1.5.2.</w:t>
      </w:r>
      <w:r w:rsidRPr="00B04DC3">
        <w:rPr>
          <w:spacing w:val="-2"/>
          <w:lang w:val="en-GB"/>
        </w:rPr>
        <w:tab/>
        <w:t>An ACS that operates within the conditions of use specified in paragraph 5.1.5.4. and which results in the use of a different or modified ECS to that normally employed during the applicable emission test cycles will be permitted if, in complying with the requirements of paragraph 5.1.7., it is fully demonstrated that the measure does not permanently reduce the effectiveness of the emission control system</w:t>
      </w:r>
      <w:r w:rsidR="00401E79" w:rsidRPr="00B04DC3">
        <w:rPr>
          <w:spacing w:val="-2"/>
          <w:lang w:val="en-GB"/>
        </w:rPr>
        <w:t xml:space="preserve">. </w:t>
      </w:r>
      <w:r w:rsidRPr="00B04DC3">
        <w:rPr>
          <w:spacing w:val="-2"/>
          <w:lang w:val="en-GB"/>
        </w:rPr>
        <w:t>In all other cases, such strategy shall be considered to be a defeat strategy.</w:t>
      </w:r>
    </w:p>
    <w:p w:rsidR="00C0100D" w:rsidRPr="00B04DC3" w:rsidRDefault="00C0100D" w:rsidP="00940F16">
      <w:pPr>
        <w:pStyle w:val="para"/>
        <w:spacing w:after="100"/>
        <w:rPr>
          <w:spacing w:val="-2"/>
          <w:lang w:val="en-GB"/>
        </w:rPr>
      </w:pPr>
      <w:r w:rsidRPr="00B04DC3">
        <w:rPr>
          <w:spacing w:val="-2"/>
          <w:lang w:val="en-GB"/>
        </w:rPr>
        <w:t>5.1.5.3.</w:t>
      </w:r>
      <w:r w:rsidRPr="00B04DC3">
        <w:rPr>
          <w:spacing w:val="-2"/>
          <w:lang w:val="en-GB"/>
        </w:rPr>
        <w:tab/>
        <w:t>An ACS that operates outside the conditions of use specified in paragraph 5.1.5.4. will be permitted if, in complying with the requirements of paragraph 5.1.7., it is fully demonstrated that the measure is the minimum strategy necessary for the purposes of paragraph 5.1.5.6. with respect to environmental protection and other technical aspects</w:t>
      </w:r>
      <w:r w:rsidR="00401E79" w:rsidRPr="00B04DC3">
        <w:rPr>
          <w:spacing w:val="-2"/>
          <w:lang w:val="en-GB"/>
        </w:rPr>
        <w:t xml:space="preserve">. </w:t>
      </w:r>
      <w:r w:rsidRPr="00B04DC3">
        <w:rPr>
          <w:spacing w:val="-2"/>
          <w:lang w:val="en-GB"/>
        </w:rPr>
        <w:t>In all other cases, such a strategy shall be considered to be a defeat strategy.</w:t>
      </w:r>
    </w:p>
    <w:p w:rsidR="00C0100D" w:rsidRPr="00B04DC3" w:rsidRDefault="00C0100D" w:rsidP="00940F16">
      <w:pPr>
        <w:pStyle w:val="para"/>
        <w:spacing w:after="100"/>
        <w:rPr>
          <w:lang w:val="en-GB"/>
        </w:rPr>
      </w:pPr>
      <w:r w:rsidRPr="00B04DC3">
        <w:rPr>
          <w:lang w:val="en-GB"/>
        </w:rPr>
        <w:t>5.1.5.4.</w:t>
      </w:r>
      <w:r w:rsidRPr="00B04DC3">
        <w:rPr>
          <w:lang w:val="en-GB"/>
        </w:rPr>
        <w:tab/>
        <w:t>As provided for in paragraph 5.1.5.1., the following conditions of use apply under steady state and transient engine operations:</w:t>
      </w:r>
    </w:p>
    <w:p w:rsidR="00C0100D" w:rsidRPr="00B04DC3" w:rsidRDefault="00C0100D" w:rsidP="00A7313B">
      <w:pPr>
        <w:pStyle w:val="a"/>
        <w:rPr>
          <w:lang w:val="en-GB"/>
        </w:rPr>
      </w:pPr>
      <w:r w:rsidRPr="00B04DC3">
        <w:rPr>
          <w:lang w:val="en-GB"/>
        </w:rPr>
        <w:t>(a)</w:t>
      </w:r>
      <w:r w:rsidRPr="00B04DC3">
        <w:rPr>
          <w:lang w:val="en-GB"/>
        </w:rPr>
        <w:tab/>
      </w:r>
      <w:r w:rsidRPr="00B04DC3">
        <w:rPr>
          <w:caps/>
          <w:lang w:val="en-GB"/>
        </w:rPr>
        <w:t>a</w:t>
      </w:r>
      <w:r w:rsidRPr="00B04DC3">
        <w:rPr>
          <w:lang w:val="en-GB"/>
        </w:rPr>
        <w:t>n altitude not exceeding 1,000 metres (or equivalent atmospheric pressure of 90 kPa), and;</w:t>
      </w:r>
    </w:p>
    <w:p w:rsidR="00C0100D" w:rsidRPr="00B04DC3" w:rsidRDefault="00C0100D" w:rsidP="00A7313B">
      <w:pPr>
        <w:pStyle w:val="a"/>
        <w:rPr>
          <w:lang w:val="en-GB"/>
        </w:rPr>
      </w:pPr>
      <w:r w:rsidRPr="00B04DC3">
        <w:rPr>
          <w:lang w:val="en-GB"/>
        </w:rPr>
        <w:t>(b)</w:t>
      </w:r>
      <w:r w:rsidRPr="00B04DC3">
        <w:rPr>
          <w:lang w:val="en-GB"/>
        </w:rPr>
        <w:tab/>
      </w:r>
      <w:r w:rsidRPr="00B04DC3">
        <w:rPr>
          <w:caps/>
          <w:lang w:val="en-GB"/>
        </w:rPr>
        <w:t>a</w:t>
      </w:r>
      <w:r w:rsidRPr="00B04DC3">
        <w:rPr>
          <w:lang w:val="en-GB"/>
        </w:rPr>
        <w:t>n ambient temperature within the range 275 K to 303 K (2 °C to 30 °C)</w:t>
      </w:r>
      <w:r w:rsidRPr="00B04DC3">
        <w:rPr>
          <w:vertAlign w:val="superscript"/>
          <w:lang w:val="en-GB"/>
        </w:rPr>
        <w:footnoteReference w:id="6"/>
      </w:r>
      <w:r w:rsidR="00910136" w:rsidRPr="00B04DC3">
        <w:rPr>
          <w:vertAlign w:val="superscript"/>
          <w:lang w:val="en-GB"/>
        </w:rPr>
        <w:t>,</w:t>
      </w:r>
      <w:r w:rsidRPr="00B04DC3">
        <w:rPr>
          <w:vertAlign w:val="superscript"/>
          <w:lang w:val="en-GB"/>
        </w:rPr>
        <w:footnoteReference w:id="7"/>
      </w:r>
      <w:r w:rsidRPr="00B04DC3">
        <w:rPr>
          <w:lang w:val="en-GB"/>
        </w:rPr>
        <w:t xml:space="preserve"> and;</w:t>
      </w:r>
    </w:p>
    <w:p w:rsidR="00C0100D" w:rsidRPr="00B04DC3" w:rsidRDefault="00C0100D" w:rsidP="00A7313B">
      <w:pPr>
        <w:pStyle w:val="a"/>
        <w:rPr>
          <w:spacing w:val="-2"/>
          <w:lang w:val="en-GB"/>
        </w:rPr>
      </w:pPr>
      <w:r w:rsidRPr="00B04DC3">
        <w:rPr>
          <w:spacing w:val="-2"/>
          <w:lang w:val="en-GB"/>
        </w:rPr>
        <w:t>(c)</w:t>
      </w:r>
      <w:r w:rsidRPr="00B04DC3">
        <w:rPr>
          <w:spacing w:val="-2"/>
          <w:lang w:val="en-GB"/>
        </w:rPr>
        <w:tab/>
      </w:r>
      <w:r w:rsidRPr="00B04DC3">
        <w:rPr>
          <w:caps/>
          <w:spacing w:val="-2"/>
          <w:lang w:val="en-GB"/>
        </w:rPr>
        <w:t>e</w:t>
      </w:r>
      <w:r w:rsidRPr="00B04DC3">
        <w:rPr>
          <w:spacing w:val="-2"/>
          <w:lang w:val="en-GB"/>
        </w:rPr>
        <w:t>ngine coolant temperature within the range 343 K to 373 K (70 °C to 100 °C).</w:t>
      </w:r>
    </w:p>
    <w:p w:rsidR="00C0100D" w:rsidRPr="00B04DC3" w:rsidRDefault="00C0100D" w:rsidP="00940F16">
      <w:pPr>
        <w:pStyle w:val="para"/>
        <w:spacing w:after="100"/>
        <w:rPr>
          <w:lang w:val="en-GB"/>
        </w:rPr>
      </w:pPr>
      <w:r w:rsidRPr="00B04DC3">
        <w:rPr>
          <w:lang w:val="en-GB"/>
        </w:rPr>
        <w:t>5.1.5.5.</w:t>
      </w:r>
      <w:r w:rsidRPr="00B04DC3">
        <w:rPr>
          <w:lang w:val="en-GB"/>
        </w:rPr>
        <w:tab/>
        <w:t>An ACS may be installed to an engine, or on a vehicle, provided that the operation of the ACS is included in the applicable approval test and is activated according to paragraph 5.1.5.6.</w:t>
      </w:r>
    </w:p>
    <w:p w:rsidR="00C0100D" w:rsidRPr="00B04DC3" w:rsidRDefault="00C0100D" w:rsidP="00AA0E48">
      <w:pPr>
        <w:pStyle w:val="para"/>
        <w:keepNext/>
        <w:keepLines/>
        <w:spacing w:after="100"/>
        <w:rPr>
          <w:spacing w:val="-2"/>
          <w:lang w:val="en-GB"/>
        </w:rPr>
      </w:pPr>
      <w:r w:rsidRPr="00B04DC3">
        <w:rPr>
          <w:lang w:val="en-GB"/>
        </w:rPr>
        <w:t>5.1.5.6.</w:t>
      </w:r>
      <w:r w:rsidRPr="00B04DC3">
        <w:rPr>
          <w:lang w:val="en-GB"/>
        </w:rPr>
        <w:tab/>
        <w:t>The ACS is activated:</w:t>
      </w:r>
    </w:p>
    <w:p w:rsidR="00C0100D" w:rsidRPr="00B04DC3" w:rsidRDefault="00C0100D" w:rsidP="008611F8">
      <w:pPr>
        <w:pStyle w:val="a"/>
        <w:rPr>
          <w:spacing w:val="-2"/>
          <w:lang w:val="en-GB"/>
        </w:rPr>
      </w:pPr>
      <w:r w:rsidRPr="00B04DC3">
        <w:rPr>
          <w:lang w:val="en-GB"/>
        </w:rPr>
        <w:t>(a)</w:t>
      </w:r>
      <w:r w:rsidRPr="00B04DC3">
        <w:rPr>
          <w:lang w:val="en-GB"/>
        </w:rPr>
        <w:tab/>
      </w:r>
      <w:r w:rsidRPr="00B04DC3">
        <w:rPr>
          <w:caps/>
          <w:lang w:val="en-GB"/>
        </w:rPr>
        <w:t>o</w:t>
      </w:r>
      <w:r w:rsidRPr="00B04DC3">
        <w:rPr>
          <w:lang w:val="en-GB"/>
        </w:rPr>
        <w:t>nly by on-board signals for the purpose of protecting the engine system (including air-handling device protection) and/or vehicle from damage, or;</w:t>
      </w:r>
    </w:p>
    <w:p w:rsidR="00C0100D" w:rsidRPr="00B04DC3" w:rsidRDefault="00C0100D" w:rsidP="008611F8">
      <w:pPr>
        <w:pStyle w:val="a"/>
        <w:rPr>
          <w:spacing w:val="-2"/>
          <w:lang w:val="en-GB"/>
        </w:rPr>
      </w:pPr>
      <w:r w:rsidRPr="00B04DC3">
        <w:rPr>
          <w:spacing w:val="-2"/>
          <w:lang w:val="en-GB"/>
        </w:rPr>
        <w:t>(b)</w:t>
      </w:r>
      <w:r w:rsidRPr="00B04DC3">
        <w:rPr>
          <w:spacing w:val="-2"/>
          <w:lang w:val="en-GB"/>
        </w:rPr>
        <w:tab/>
      </w:r>
      <w:r w:rsidRPr="00B04DC3">
        <w:rPr>
          <w:caps/>
          <w:spacing w:val="-2"/>
          <w:lang w:val="en-GB"/>
        </w:rPr>
        <w:t>f</w:t>
      </w:r>
      <w:r w:rsidRPr="00B04DC3">
        <w:rPr>
          <w:spacing w:val="-2"/>
          <w:lang w:val="en-GB"/>
        </w:rPr>
        <w:t>or purposes such as operational safety, emission default modes and limp-home strategies, or;</w:t>
      </w:r>
    </w:p>
    <w:p w:rsidR="00C0100D" w:rsidRPr="00B04DC3" w:rsidRDefault="00C0100D" w:rsidP="008611F8">
      <w:pPr>
        <w:pStyle w:val="a"/>
        <w:rPr>
          <w:spacing w:val="-2"/>
          <w:lang w:val="en-GB"/>
        </w:rPr>
      </w:pPr>
      <w:r w:rsidRPr="00B04DC3">
        <w:rPr>
          <w:spacing w:val="-2"/>
          <w:lang w:val="en-GB"/>
        </w:rPr>
        <w:t>(c)</w:t>
      </w:r>
      <w:r w:rsidRPr="00B04DC3">
        <w:rPr>
          <w:spacing w:val="-2"/>
          <w:lang w:val="en-GB"/>
        </w:rPr>
        <w:tab/>
      </w:r>
      <w:r w:rsidRPr="00B04DC3">
        <w:rPr>
          <w:caps/>
          <w:spacing w:val="-2"/>
          <w:lang w:val="en-GB"/>
        </w:rPr>
        <w:t>f</w:t>
      </w:r>
      <w:r w:rsidRPr="00B04DC3">
        <w:rPr>
          <w:spacing w:val="-2"/>
          <w:lang w:val="en-GB"/>
        </w:rPr>
        <w:t>or such purposes as excessive emissions prevention, cold start or warming-up, or;</w:t>
      </w:r>
    </w:p>
    <w:p w:rsidR="00C0100D" w:rsidRPr="00AA0E48" w:rsidRDefault="00C0100D" w:rsidP="008611F8">
      <w:pPr>
        <w:pStyle w:val="a"/>
        <w:rPr>
          <w:spacing w:val="2"/>
          <w:lang w:val="en-GB"/>
        </w:rPr>
      </w:pPr>
      <w:r w:rsidRPr="00AA0E48">
        <w:rPr>
          <w:spacing w:val="2"/>
          <w:lang w:val="en-GB"/>
        </w:rPr>
        <w:t>(d)</w:t>
      </w:r>
      <w:r w:rsidRPr="00AA0E48">
        <w:rPr>
          <w:spacing w:val="2"/>
          <w:lang w:val="en-GB"/>
        </w:rPr>
        <w:tab/>
      </w:r>
      <w:r w:rsidRPr="00AA0E48">
        <w:rPr>
          <w:caps/>
          <w:spacing w:val="2"/>
          <w:lang w:val="en-GB"/>
        </w:rPr>
        <w:t>i</w:t>
      </w:r>
      <w:r w:rsidRPr="00AA0E48">
        <w:rPr>
          <w:spacing w:val="2"/>
          <w:lang w:val="en-GB"/>
        </w:rPr>
        <w:t>f it is used to trade-off the control of one regulated pollutant under specific ambient or operating conditions in order to maintain control of all other regulated pollutants within the emission limit values that are appropriate for the engine in question</w:t>
      </w:r>
      <w:r w:rsidR="00401E79" w:rsidRPr="00AA0E48">
        <w:rPr>
          <w:spacing w:val="2"/>
          <w:lang w:val="en-GB"/>
        </w:rPr>
        <w:t xml:space="preserve">. </w:t>
      </w:r>
      <w:r w:rsidRPr="00AA0E48">
        <w:rPr>
          <w:spacing w:val="2"/>
          <w:lang w:val="en-GB"/>
        </w:rPr>
        <w:t>The overall effects of such an ACS is to compensate for naturally occurring phenomena and do so in a manner that provides acceptable control of all emission constituents.</w:t>
      </w:r>
    </w:p>
    <w:p w:rsidR="00C0100D" w:rsidRPr="00B04DC3" w:rsidRDefault="00C0100D" w:rsidP="00A7313B">
      <w:pPr>
        <w:pStyle w:val="para"/>
        <w:rPr>
          <w:lang w:val="en-GB"/>
        </w:rPr>
      </w:pPr>
      <w:r w:rsidRPr="00B04DC3">
        <w:rPr>
          <w:lang w:val="en-GB"/>
        </w:rPr>
        <w:t>5.1.6.</w:t>
      </w:r>
      <w:r w:rsidRPr="00B04DC3">
        <w:rPr>
          <w:lang w:val="en-GB"/>
        </w:rPr>
        <w:tab/>
        <w:t>Requirements for torque limiters</w:t>
      </w:r>
    </w:p>
    <w:p w:rsidR="00C0100D" w:rsidRPr="00B04DC3" w:rsidRDefault="00C0100D" w:rsidP="00A7313B">
      <w:pPr>
        <w:pStyle w:val="para"/>
        <w:rPr>
          <w:lang w:val="en-GB"/>
        </w:rPr>
      </w:pPr>
      <w:r w:rsidRPr="00B04DC3">
        <w:rPr>
          <w:lang w:val="en-GB"/>
        </w:rPr>
        <w:t>5.1.6.1.</w:t>
      </w:r>
      <w:r w:rsidRPr="00B04DC3">
        <w:rPr>
          <w:lang w:val="en-GB"/>
        </w:rPr>
        <w:tab/>
        <w:t>A torque limiter will be permitted if it complies with the requirements of paragraph 5.1.6.2. or 5.5.5</w:t>
      </w:r>
      <w:r w:rsidR="00401E79" w:rsidRPr="00B04DC3">
        <w:rPr>
          <w:lang w:val="en-GB"/>
        </w:rPr>
        <w:t xml:space="preserve">. </w:t>
      </w:r>
      <w:r w:rsidRPr="00B04DC3">
        <w:rPr>
          <w:lang w:val="en-GB"/>
        </w:rPr>
        <w:t>In all other cases, a torque limiter shall be considered to be a defeat strategy.</w:t>
      </w:r>
    </w:p>
    <w:p w:rsidR="00C0100D" w:rsidRPr="00B04DC3" w:rsidRDefault="00C0100D" w:rsidP="00A7313B">
      <w:pPr>
        <w:pStyle w:val="para"/>
        <w:rPr>
          <w:lang w:val="en-GB"/>
        </w:rPr>
      </w:pPr>
      <w:r w:rsidRPr="00B04DC3">
        <w:rPr>
          <w:lang w:val="en-GB"/>
        </w:rPr>
        <w:t>5.1.6.2.</w:t>
      </w:r>
      <w:r w:rsidRPr="00B04DC3">
        <w:rPr>
          <w:lang w:val="en-GB"/>
        </w:rPr>
        <w:tab/>
        <w:t>A torque limiter may be installed to an engine, or on a vehicle, provided that:</w:t>
      </w:r>
    </w:p>
    <w:p w:rsidR="00C0100D" w:rsidRPr="00B04DC3" w:rsidRDefault="00C0100D" w:rsidP="008611F8">
      <w:pPr>
        <w:pStyle w:val="a"/>
        <w:rPr>
          <w:lang w:val="en-GB"/>
        </w:rPr>
      </w:pPr>
      <w:r w:rsidRPr="00B04DC3">
        <w:rPr>
          <w:lang w:val="en-GB"/>
        </w:rPr>
        <w:t>(a)</w:t>
      </w:r>
      <w:r w:rsidRPr="00B04DC3">
        <w:rPr>
          <w:lang w:val="en-GB"/>
        </w:rPr>
        <w:tab/>
      </w:r>
      <w:r w:rsidRPr="00B04DC3">
        <w:rPr>
          <w:caps/>
          <w:lang w:val="en-GB"/>
        </w:rPr>
        <w:t>t</w:t>
      </w:r>
      <w:r w:rsidRPr="00B04DC3">
        <w:rPr>
          <w:lang w:val="en-GB"/>
        </w:rPr>
        <w:t>he torque limiter is activated only by on-board signals for the purpose of protecting the powertrain or vehicle construction from damage and/or for the purpose of vehicle safety, or for power take-off activation when the vehicle is stationary, or for measures to ensure the correct functioning of the deNO</w:t>
      </w:r>
      <w:r w:rsidRPr="00B04DC3">
        <w:rPr>
          <w:vertAlign w:val="subscript"/>
          <w:lang w:val="en-GB"/>
        </w:rPr>
        <w:t>x</w:t>
      </w:r>
      <w:r w:rsidRPr="00B04DC3">
        <w:rPr>
          <w:lang w:val="en-GB"/>
        </w:rPr>
        <w:t xml:space="preserve"> system, and;</w:t>
      </w:r>
    </w:p>
    <w:p w:rsidR="00C0100D" w:rsidRPr="00B04DC3" w:rsidRDefault="00C0100D" w:rsidP="008611F8">
      <w:pPr>
        <w:pStyle w:val="a"/>
        <w:rPr>
          <w:lang w:val="en-GB"/>
        </w:rPr>
      </w:pPr>
      <w:r w:rsidRPr="00B04DC3">
        <w:rPr>
          <w:lang w:val="en-GB"/>
        </w:rPr>
        <w:t>(b)</w:t>
      </w:r>
      <w:r w:rsidRPr="00B04DC3">
        <w:rPr>
          <w:lang w:val="en-GB"/>
        </w:rPr>
        <w:tab/>
      </w:r>
      <w:r w:rsidRPr="00B04DC3">
        <w:rPr>
          <w:caps/>
          <w:lang w:val="en-GB"/>
        </w:rPr>
        <w:t>t</w:t>
      </w:r>
      <w:r w:rsidRPr="00B04DC3">
        <w:rPr>
          <w:lang w:val="en-GB"/>
        </w:rPr>
        <w:t>he torque limiter is active only temporarily, and;</w:t>
      </w:r>
    </w:p>
    <w:p w:rsidR="00C0100D" w:rsidRPr="00B04DC3" w:rsidRDefault="00C0100D" w:rsidP="008611F8">
      <w:pPr>
        <w:pStyle w:val="a"/>
        <w:rPr>
          <w:lang w:val="en-GB"/>
        </w:rPr>
      </w:pPr>
      <w:r w:rsidRPr="00B04DC3">
        <w:rPr>
          <w:lang w:val="en-GB"/>
        </w:rPr>
        <w:t>(c)</w:t>
      </w:r>
      <w:r w:rsidRPr="00B04DC3">
        <w:rPr>
          <w:lang w:val="en-GB"/>
        </w:rPr>
        <w:tab/>
      </w:r>
      <w:r w:rsidRPr="00B04DC3">
        <w:rPr>
          <w:caps/>
          <w:lang w:val="en-GB"/>
        </w:rPr>
        <w:t>t</w:t>
      </w:r>
      <w:r w:rsidRPr="00B04DC3">
        <w:rPr>
          <w:lang w:val="en-GB"/>
        </w:rPr>
        <w:t>he torque limiter does not modify the ECS, and;</w:t>
      </w:r>
    </w:p>
    <w:p w:rsidR="00C0100D" w:rsidRPr="00B04DC3" w:rsidRDefault="00C0100D" w:rsidP="008611F8">
      <w:pPr>
        <w:pStyle w:val="a"/>
        <w:rPr>
          <w:lang w:val="en-GB"/>
        </w:rPr>
      </w:pPr>
      <w:r w:rsidRPr="00B04DC3">
        <w:rPr>
          <w:lang w:val="en-GB"/>
        </w:rPr>
        <w:t>(d)</w:t>
      </w:r>
      <w:r w:rsidRPr="00B04DC3">
        <w:rPr>
          <w:lang w:val="en-GB"/>
        </w:rPr>
        <w:tab/>
      </w:r>
      <w:r w:rsidRPr="00B04DC3">
        <w:rPr>
          <w:caps/>
          <w:lang w:val="en-GB"/>
        </w:rPr>
        <w:t>i</w:t>
      </w:r>
      <w:r w:rsidRPr="00B04DC3">
        <w:rPr>
          <w:lang w:val="en-GB"/>
        </w:rPr>
        <w:t>n case of power take-off or powertrain protection the torque is limited to a constant value, independent from the engine speed, while never exceeding the full-load torque, and;</w:t>
      </w:r>
    </w:p>
    <w:p w:rsidR="00C0100D" w:rsidRPr="00B04DC3" w:rsidRDefault="00C0100D" w:rsidP="008611F8">
      <w:pPr>
        <w:pStyle w:val="a"/>
        <w:rPr>
          <w:lang w:val="en-GB"/>
        </w:rPr>
      </w:pPr>
      <w:r w:rsidRPr="00B04DC3">
        <w:rPr>
          <w:lang w:val="en-GB"/>
        </w:rPr>
        <w:t>(e)</w:t>
      </w:r>
      <w:r w:rsidRPr="00B04DC3">
        <w:rPr>
          <w:lang w:val="en-GB"/>
        </w:rPr>
        <w:tab/>
      </w:r>
      <w:r w:rsidR="008611F8" w:rsidRPr="00B04DC3">
        <w:rPr>
          <w:lang w:val="en-GB"/>
        </w:rPr>
        <w:t>Is</w:t>
      </w:r>
      <w:r w:rsidRPr="00B04DC3">
        <w:rPr>
          <w:lang w:val="en-GB"/>
        </w:rPr>
        <w:t xml:space="preserve"> activated in the same manner to limit the performance of a vehicle in order to encourage the driver to take the necessary measures in order to ensure the correct functioning of NO</w:t>
      </w:r>
      <w:r w:rsidRPr="00B04DC3">
        <w:rPr>
          <w:vertAlign w:val="subscript"/>
          <w:lang w:val="en-GB"/>
        </w:rPr>
        <w:t>x</w:t>
      </w:r>
      <w:r w:rsidRPr="00B04DC3">
        <w:rPr>
          <w:lang w:val="en-GB"/>
        </w:rPr>
        <w:t xml:space="preserve"> control measures within the engine system.</w:t>
      </w:r>
    </w:p>
    <w:p w:rsidR="00C0100D" w:rsidRPr="00B04DC3" w:rsidRDefault="00C0100D" w:rsidP="000917EB">
      <w:pPr>
        <w:pStyle w:val="para"/>
        <w:rPr>
          <w:lang w:val="en-GB"/>
        </w:rPr>
      </w:pPr>
      <w:r w:rsidRPr="00B04DC3">
        <w:rPr>
          <w:lang w:val="en-GB"/>
        </w:rPr>
        <w:t>5.1.7.</w:t>
      </w:r>
      <w:r w:rsidRPr="00B04DC3">
        <w:rPr>
          <w:lang w:val="en-GB"/>
        </w:rPr>
        <w:tab/>
      </w:r>
      <w:r w:rsidR="00940F16" w:rsidRPr="00B04DC3">
        <w:rPr>
          <w:lang w:val="en-GB"/>
        </w:rPr>
        <w:tab/>
      </w:r>
      <w:r w:rsidRPr="00B04DC3">
        <w:rPr>
          <w:lang w:val="en-GB"/>
        </w:rPr>
        <w:t>Special requirements for electronic emission control systems</w:t>
      </w:r>
    </w:p>
    <w:p w:rsidR="00C0100D" w:rsidRPr="00B04DC3" w:rsidRDefault="00C0100D" w:rsidP="008611F8">
      <w:pPr>
        <w:pStyle w:val="para"/>
        <w:rPr>
          <w:lang w:val="en-GB"/>
        </w:rPr>
      </w:pPr>
      <w:r w:rsidRPr="00B04DC3">
        <w:rPr>
          <w:lang w:val="en-GB"/>
        </w:rPr>
        <w:t>5.1.7.1.</w:t>
      </w:r>
      <w:r w:rsidRPr="00B04DC3">
        <w:rPr>
          <w:lang w:val="en-GB"/>
        </w:rPr>
        <w:tab/>
        <w:t>Documentation requirements</w:t>
      </w:r>
    </w:p>
    <w:p w:rsidR="00C0100D" w:rsidRPr="00AA0E48" w:rsidRDefault="00C0100D" w:rsidP="008611F8">
      <w:pPr>
        <w:pStyle w:val="para"/>
        <w:rPr>
          <w:spacing w:val="2"/>
          <w:lang w:val="en-GB"/>
        </w:rPr>
      </w:pPr>
      <w:r w:rsidRPr="00AA0E48">
        <w:rPr>
          <w:spacing w:val="2"/>
          <w:lang w:val="en-GB"/>
        </w:rPr>
        <w:tab/>
        <w:t>The manufacturer shall provide a documentation package that gives access to any element of design and ECS, and torque limiter of the engine system and the means by which it controls its output variables, whether that control is direct or indirect</w:t>
      </w:r>
      <w:r w:rsidR="00401E79" w:rsidRPr="00AA0E48">
        <w:rPr>
          <w:spacing w:val="2"/>
          <w:lang w:val="en-GB"/>
        </w:rPr>
        <w:t xml:space="preserve">. </w:t>
      </w:r>
      <w:r w:rsidRPr="00AA0E48">
        <w:rPr>
          <w:spacing w:val="2"/>
          <w:lang w:val="en-GB"/>
        </w:rPr>
        <w:t>The documentation shall be made available in two parts:</w:t>
      </w:r>
    </w:p>
    <w:p w:rsidR="00C0100D" w:rsidRPr="00B04DC3" w:rsidRDefault="00C0100D" w:rsidP="008611F8">
      <w:pPr>
        <w:pStyle w:val="a"/>
        <w:rPr>
          <w:lang w:val="en-GB"/>
        </w:rPr>
      </w:pPr>
      <w:r w:rsidRPr="00B04DC3">
        <w:rPr>
          <w:lang w:val="en-GB"/>
        </w:rPr>
        <w:t>(a)</w:t>
      </w:r>
      <w:r w:rsidRPr="00B04DC3">
        <w:rPr>
          <w:lang w:val="en-GB"/>
        </w:rPr>
        <w:tab/>
      </w:r>
      <w:r w:rsidR="008611F8" w:rsidRPr="00B04DC3">
        <w:rPr>
          <w:lang w:val="en-GB"/>
        </w:rPr>
        <w:t>The</w:t>
      </w:r>
      <w:r w:rsidRPr="00B04DC3">
        <w:rPr>
          <w:lang w:val="en-GB"/>
        </w:rPr>
        <w:t xml:space="preserve"> formal documentation package, which shall be supplied to the Technical Service at the time of submission of the approval application, shall include a full description of the ECS and, if applicable, the torque limiter</w:t>
      </w:r>
      <w:r w:rsidR="00401E79" w:rsidRPr="00B04DC3">
        <w:rPr>
          <w:lang w:val="en-GB"/>
        </w:rPr>
        <w:t xml:space="preserve">. </w:t>
      </w:r>
      <w:r w:rsidRPr="00B04DC3">
        <w:rPr>
          <w:lang w:val="en-GB"/>
        </w:rPr>
        <w:t>This documentation may be brief, provided that it exhibits evidence that all outputs permitted by a matrix obtained from the range of control of the individual unit inputs have been identified</w:t>
      </w:r>
      <w:r w:rsidR="00401E79" w:rsidRPr="00B04DC3">
        <w:rPr>
          <w:lang w:val="en-GB"/>
        </w:rPr>
        <w:t xml:space="preserve">. </w:t>
      </w:r>
      <w:r w:rsidRPr="00B04DC3">
        <w:rPr>
          <w:lang w:val="en-GB"/>
        </w:rPr>
        <w:t>This information shall be attached to the documentation required in paragraph 3. of this Regulation;</w:t>
      </w:r>
    </w:p>
    <w:p w:rsidR="00C0100D" w:rsidRPr="00B04DC3" w:rsidRDefault="00C0100D" w:rsidP="008611F8">
      <w:pPr>
        <w:pStyle w:val="a"/>
        <w:rPr>
          <w:lang w:val="en-GB"/>
        </w:rPr>
      </w:pPr>
      <w:r w:rsidRPr="00B04DC3">
        <w:rPr>
          <w:lang w:val="en-GB"/>
        </w:rPr>
        <w:t>(b)</w:t>
      </w:r>
      <w:r w:rsidRPr="00B04DC3">
        <w:rPr>
          <w:lang w:val="en-GB"/>
        </w:rPr>
        <w:tab/>
      </w:r>
      <w:r w:rsidR="008611F8" w:rsidRPr="00B04DC3">
        <w:rPr>
          <w:lang w:val="en-GB"/>
        </w:rPr>
        <w:t>Additional</w:t>
      </w:r>
      <w:r w:rsidRPr="00B04DC3">
        <w:rPr>
          <w:lang w:val="en-GB"/>
        </w:rPr>
        <w:t xml:space="preserve"> material that shows the parameters that are modified by any ACS and the boundary conditions under which the ACS operates</w:t>
      </w:r>
      <w:r w:rsidR="00401E79" w:rsidRPr="00B04DC3">
        <w:rPr>
          <w:lang w:val="en-GB"/>
        </w:rPr>
        <w:t xml:space="preserve">. </w:t>
      </w:r>
      <w:r w:rsidRPr="00B04DC3">
        <w:rPr>
          <w:lang w:val="en-GB"/>
        </w:rPr>
        <w:t>The additional material shall include a description of the fuel system control logic, timing strategies and switch points during all modes of operation</w:t>
      </w:r>
      <w:r w:rsidR="00401E79" w:rsidRPr="00B04DC3">
        <w:rPr>
          <w:lang w:val="en-GB"/>
        </w:rPr>
        <w:t xml:space="preserve">. </w:t>
      </w:r>
      <w:r w:rsidRPr="00B04DC3">
        <w:rPr>
          <w:lang w:val="en-GB"/>
        </w:rPr>
        <w:t>It shall also include a description of the torque limiter described in paragraph 5.5.5. of this Regulation.</w:t>
      </w:r>
    </w:p>
    <w:p w:rsidR="00C0100D" w:rsidRPr="00B04DC3" w:rsidRDefault="00C0100D" w:rsidP="0017458B">
      <w:pPr>
        <w:pStyle w:val="para"/>
      </w:pPr>
      <w:r w:rsidRPr="00B04DC3">
        <w:tab/>
        <w:t>The additional material shall also contain a justification for the use of any ACS and include additional material and test data to demonstrate the effect on exhaust emissions of any ACS installed to the engine or on the vehicle</w:t>
      </w:r>
      <w:r w:rsidR="00401E79" w:rsidRPr="00B04DC3">
        <w:t xml:space="preserve">. </w:t>
      </w:r>
      <w:r w:rsidRPr="00B04DC3">
        <w:t>The justification for the use of an ACS may be based on test data and/or sound engineering analysis.</w:t>
      </w:r>
    </w:p>
    <w:p w:rsidR="00C0100D" w:rsidRPr="00B04DC3" w:rsidRDefault="00C0100D" w:rsidP="0017458B">
      <w:pPr>
        <w:pStyle w:val="para"/>
      </w:pPr>
      <w:r w:rsidRPr="00B04DC3">
        <w:tab/>
        <w:t xml:space="preserve">This additional material shall remain strictly confidential, and be made available to the </w:t>
      </w:r>
      <w:r w:rsidR="009E6E1D">
        <w:t xml:space="preserve">Type </w:t>
      </w:r>
      <w:r w:rsidRPr="00B04DC3">
        <w:t>Approval Authority on request</w:t>
      </w:r>
      <w:r w:rsidR="00401E79" w:rsidRPr="00B04DC3">
        <w:t xml:space="preserve">. </w:t>
      </w:r>
      <w:r w:rsidRPr="00B04DC3">
        <w:t xml:space="preserve">The </w:t>
      </w:r>
      <w:r w:rsidR="009E6E1D">
        <w:t xml:space="preserve">Type </w:t>
      </w:r>
      <w:r w:rsidRPr="00B04DC3">
        <w:t>Approval Authority will keep this material confidential.</w:t>
      </w:r>
    </w:p>
    <w:p w:rsidR="00C0100D" w:rsidRPr="00B04DC3" w:rsidRDefault="00C0100D" w:rsidP="000917EB">
      <w:pPr>
        <w:pStyle w:val="para"/>
        <w:spacing w:after="100"/>
        <w:rPr>
          <w:spacing w:val="-2"/>
          <w:lang w:val="en-GB"/>
        </w:rPr>
      </w:pPr>
      <w:r w:rsidRPr="00B04DC3">
        <w:rPr>
          <w:spacing w:val="-2"/>
          <w:lang w:val="en-GB"/>
        </w:rPr>
        <w:t>5.1.8.</w:t>
      </w:r>
      <w:r w:rsidRPr="00B04DC3">
        <w:rPr>
          <w:spacing w:val="-2"/>
          <w:lang w:val="en-GB"/>
        </w:rPr>
        <w:tab/>
        <w:t>Specifically for the approval of engines according to row A of the tables in paragraph 5.2.1. (engines not normally tested on ETC)</w:t>
      </w:r>
    </w:p>
    <w:p w:rsidR="00C0100D" w:rsidRPr="00B04DC3" w:rsidRDefault="00C0100D" w:rsidP="00D52AA6">
      <w:pPr>
        <w:pStyle w:val="para"/>
        <w:spacing w:after="100"/>
        <w:rPr>
          <w:lang w:val="en-GB"/>
        </w:rPr>
      </w:pPr>
      <w:r w:rsidRPr="00B04DC3">
        <w:rPr>
          <w:lang w:val="en-GB"/>
        </w:rPr>
        <w:t>5.1.8.1.</w:t>
      </w:r>
      <w:r w:rsidRPr="00B04DC3">
        <w:rPr>
          <w:lang w:val="en-GB"/>
        </w:rPr>
        <w:tab/>
        <w:t>To verify whether any strategy or measure should be considered a</w:t>
      </w:r>
      <w:r w:rsidR="00940F16" w:rsidRPr="00B04DC3">
        <w:rPr>
          <w:lang w:val="en-GB"/>
        </w:rPr>
        <w:t>s a</w:t>
      </w:r>
      <w:r w:rsidRPr="00B04DC3">
        <w:rPr>
          <w:lang w:val="en-GB"/>
        </w:rPr>
        <w:t xml:space="preserve"> defeat strategy according to the definitions given in paragraph 2., the </w:t>
      </w:r>
      <w:r w:rsidR="009E6E1D">
        <w:rPr>
          <w:lang w:val="en-GB"/>
        </w:rPr>
        <w:t xml:space="preserve">Type </w:t>
      </w:r>
      <w:r w:rsidRPr="00B04DC3">
        <w:rPr>
          <w:lang w:val="en-GB"/>
        </w:rPr>
        <w:t>Approval Authority and/or the Technical Service may additionally request a NO</w:t>
      </w:r>
      <w:r w:rsidRPr="00B04DC3">
        <w:rPr>
          <w:vertAlign w:val="subscript"/>
          <w:lang w:val="en-GB"/>
        </w:rPr>
        <w:t>x</w:t>
      </w:r>
      <w:r w:rsidRPr="00B04DC3">
        <w:rPr>
          <w:lang w:val="en-GB"/>
        </w:rPr>
        <w:t xml:space="preserve"> screening test using the ETC which may be carried out in combination with either the approval test or the procedures for checking the conformity of production.</w:t>
      </w:r>
    </w:p>
    <w:p w:rsidR="00C0100D" w:rsidRPr="00B04DC3" w:rsidRDefault="00C0100D" w:rsidP="00D52AA6">
      <w:pPr>
        <w:pStyle w:val="para"/>
        <w:spacing w:after="100"/>
        <w:rPr>
          <w:spacing w:val="-2"/>
          <w:lang w:val="en-GB"/>
        </w:rPr>
      </w:pPr>
      <w:r w:rsidRPr="00B04DC3">
        <w:rPr>
          <w:spacing w:val="-2"/>
          <w:lang w:val="en-GB"/>
        </w:rPr>
        <w:t>5.1.8.2.</w:t>
      </w:r>
      <w:r w:rsidRPr="00B04DC3">
        <w:rPr>
          <w:spacing w:val="-2"/>
          <w:lang w:val="en-GB"/>
        </w:rPr>
        <w:tab/>
        <w:t>In verifying whether any strategy or measure should be considered a</w:t>
      </w:r>
      <w:r w:rsidR="00940F16" w:rsidRPr="00B04DC3">
        <w:rPr>
          <w:spacing w:val="-2"/>
          <w:lang w:val="en-GB"/>
        </w:rPr>
        <w:t>s a</w:t>
      </w:r>
      <w:r w:rsidRPr="00B04DC3">
        <w:rPr>
          <w:spacing w:val="-2"/>
          <w:lang w:val="en-GB"/>
        </w:rPr>
        <w:t xml:space="preserve"> defeat strategy according to the definitions given in paragraph 2., an additional margin of 10 per cent, related to the appropriate NO</w:t>
      </w:r>
      <w:r w:rsidRPr="00B04DC3">
        <w:rPr>
          <w:spacing w:val="-2"/>
          <w:vertAlign w:val="subscript"/>
          <w:lang w:val="en-GB"/>
        </w:rPr>
        <w:t>x</w:t>
      </w:r>
      <w:r w:rsidRPr="00B04DC3">
        <w:rPr>
          <w:spacing w:val="-2"/>
          <w:lang w:val="en-GB"/>
        </w:rPr>
        <w:t xml:space="preserve"> limit value, shall be accepted.</w:t>
      </w:r>
    </w:p>
    <w:p w:rsidR="00C0100D" w:rsidRPr="00B04DC3" w:rsidRDefault="00C0100D" w:rsidP="000917EB">
      <w:pPr>
        <w:pStyle w:val="para"/>
        <w:spacing w:after="100"/>
        <w:rPr>
          <w:spacing w:val="-2"/>
          <w:lang w:val="en-GB"/>
        </w:rPr>
      </w:pPr>
      <w:r w:rsidRPr="00B04DC3">
        <w:rPr>
          <w:spacing w:val="-2"/>
          <w:lang w:val="en-GB"/>
        </w:rPr>
        <w:t>5.1.9.</w:t>
      </w:r>
      <w:r w:rsidRPr="00B04DC3">
        <w:rPr>
          <w:spacing w:val="-2"/>
          <w:lang w:val="en-GB"/>
        </w:rPr>
        <w:tab/>
      </w:r>
      <w:r w:rsidR="00940F16" w:rsidRPr="00B04DC3">
        <w:rPr>
          <w:spacing w:val="-2"/>
          <w:lang w:val="en-GB"/>
        </w:rPr>
        <w:tab/>
      </w:r>
      <w:r w:rsidRPr="00B04DC3">
        <w:rPr>
          <w:spacing w:val="-2"/>
          <w:lang w:val="en-GB"/>
        </w:rPr>
        <w:t>Provisions for electronic system security</w:t>
      </w:r>
    </w:p>
    <w:p w:rsidR="00C0100D" w:rsidRPr="00AA0E48" w:rsidRDefault="00C0100D" w:rsidP="00D52AA6">
      <w:pPr>
        <w:pStyle w:val="para"/>
        <w:spacing w:after="100"/>
        <w:rPr>
          <w:lang w:val="en-GB"/>
        </w:rPr>
      </w:pPr>
      <w:r w:rsidRPr="00AA0E48">
        <w:rPr>
          <w:lang w:val="en-GB"/>
        </w:rPr>
        <w:t>5.1.9.1.</w:t>
      </w:r>
      <w:r w:rsidRPr="00AA0E48">
        <w:rPr>
          <w:lang w:val="en-GB"/>
        </w:rPr>
        <w:tab/>
        <w:t xml:space="preserve">Any vehicle with an </w:t>
      </w:r>
      <w:r w:rsidR="0058429C" w:rsidRPr="00AA0E48">
        <w:rPr>
          <w:lang w:val="en-GB"/>
        </w:rPr>
        <w:t>e</w:t>
      </w:r>
      <w:r w:rsidRPr="00AA0E48">
        <w:rPr>
          <w:lang w:val="en-GB"/>
        </w:rPr>
        <w:t xml:space="preserve">mission </w:t>
      </w:r>
      <w:r w:rsidR="0058429C" w:rsidRPr="00AA0E48">
        <w:rPr>
          <w:lang w:val="en-GB"/>
        </w:rPr>
        <w:t xml:space="preserve">control unit </w:t>
      </w:r>
      <w:r w:rsidRPr="00AA0E48">
        <w:rPr>
          <w:lang w:val="en-GB"/>
        </w:rPr>
        <w:t>shall include features to deter modification, except as authorized by the manufacturer</w:t>
      </w:r>
      <w:r w:rsidR="00401E79" w:rsidRPr="00AA0E48">
        <w:rPr>
          <w:lang w:val="en-GB"/>
        </w:rPr>
        <w:t xml:space="preserve">. </w:t>
      </w:r>
      <w:r w:rsidRPr="00AA0E48">
        <w:rPr>
          <w:lang w:val="en-GB"/>
        </w:rPr>
        <w:t>The manufacturer shall authorize modifications if these modifications are necessary for the diagnosis, servicing, inspection, retrofitting or repair of the vehicle</w:t>
      </w:r>
      <w:r w:rsidR="00401E79" w:rsidRPr="00AA0E48">
        <w:rPr>
          <w:lang w:val="en-GB"/>
        </w:rPr>
        <w:t xml:space="preserve">. </w:t>
      </w:r>
      <w:r w:rsidRPr="00AA0E48">
        <w:rPr>
          <w:lang w:val="en-GB"/>
        </w:rPr>
        <w:t>Any reprogrammable computer codes or operating parameters shall be resistant to tampering and afford a level of protection at least as good as the provisions in ISO 15031</w:t>
      </w:r>
      <w:r w:rsidRPr="00AA0E48">
        <w:rPr>
          <w:lang w:val="en-GB"/>
        </w:rPr>
        <w:noBreakHyphen/>
        <w:t>7 (SAE J2186) provided that the security exchange is conducted using the protocols and diagnostic connector as prescribed in paragraph 6. of Annex 9A to this Regulation</w:t>
      </w:r>
      <w:r w:rsidR="00401E79" w:rsidRPr="00AA0E48">
        <w:rPr>
          <w:lang w:val="en-GB"/>
        </w:rPr>
        <w:t xml:space="preserve">. </w:t>
      </w:r>
      <w:r w:rsidRPr="00AA0E48">
        <w:rPr>
          <w:lang w:val="en-GB"/>
        </w:rPr>
        <w:t>Any removable calibration memory chips shall be plotted, encased in a sealed container or protected by electronic algorithms and shall not be changeable without the use of specialised tools and procedures.</w:t>
      </w:r>
    </w:p>
    <w:p w:rsidR="00C0100D" w:rsidRPr="00B04DC3" w:rsidRDefault="00C0100D" w:rsidP="00D52AA6">
      <w:pPr>
        <w:pStyle w:val="para"/>
        <w:spacing w:after="100"/>
        <w:rPr>
          <w:lang w:val="en-GB"/>
        </w:rPr>
      </w:pPr>
      <w:r w:rsidRPr="00B04DC3">
        <w:rPr>
          <w:lang w:val="en-GB"/>
        </w:rPr>
        <w:t>5.1.9.2.</w:t>
      </w:r>
      <w:r w:rsidRPr="00B04DC3">
        <w:rPr>
          <w:lang w:val="en-GB"/>
        </w:rPr>
        <w:tab/>
        <w:t>Computer-coded engine operating parameters shall not be changeable without the use of specialised tools and procedures (e.g. soldered or potted computer components or sealed (or soldered) computer enclosures).</w:t>
      </w:r>
    </w:p>
    <w:p w:rsidR="00C0100D" w:rsidRPr="00B04DC3" w:rsidRDefault="00C0100D" w:rsidP="00D52AA6">
      <w:pPr>
        <w:pStyle w:val="para"/>
        <w:spacing w:after="100"/>
        <w:rPr>
          <w:lang w:val="en-GB"/>
        </w:rPr>
      </w:pPr>
      <w:r w:rsidRPr="00B04DC3">
        <w:rPr>
          <w:lang w:val="en-GB"/>
        </w:rPr>
        <w:t>5.1.9.3.</w:t>
      </w:r>
      <w:r w:rsidRPr="00B04DC3">
        <w:rPr>
          <w:lang w:val="en-GB"/>
        </w:rPr>
        <w:tab/>
        <w:t>Manufacturers shall take adequate steps to protect the maximum fuel delivery setting from tampering while a vehicle is in-service.</w:t>
      </w:r>
    </w:p>
    <w:p w:rsidR="00C0100D" w:rsidRPr="00B04DC3" w:rsidRDefault="00C0100D" w:rsidP="008611F8">
      <w:pPr>
        <w:pStyle w:val="para"/>
        <w:rPr>
          <w:lang w:val="en-GB"/>
        </w:rPr>
      </w:pPr>
      <w:r w:rsidRPr="00B04DC3">
        <w:rPr>
          <w:lang w:val="en-GB"/>
        </w:rPr>
        <w:t>5.1.9.4.</w:t>
      </w:r>
      <w:r w:rsidRPr="00B04DC3">
        <w:rPr>
          <w:lang w:val="en-GB"/>
        </w:rPr>
        <w:tab/>
        <w:t xml:space="preserve">Manufacturers may apply to the </w:t>
      </w:r>
      <w:r w:rsidR="009E6E1D">
        <w:rPr>
          <w:lang w:val="en-GB"/>
        </w:rPr>
        <w:t xml:space="preserve">Type </w:t>
      </w:r>
      <w:r w:rsidRPr="00B04DC3">
        <w:rPr>
          <w:lang w:val="en-GB"/>
        </w:rPr>
        <w:t>Approval Authority for an exemption from one of these requirements for those vehicles that are unlikely to require protection</w:t>
      </w:r>
      <w:r w:rsidR="00401E79" w:rsidRPr="00B04DC3">
        <w:rPr>
          <w:lang w:val="en-GB"/>
        </w:rPr>
        <w:t xml:space="preserve">. </w:t>
      </w:r>
      <w:r w:rsidRPr="00B04DC3">
        <w:rPr>
          <w:lang w:val="en-GB"/>
        </w:rPr>
        <w:t xml:space="preserve">The criteria that the </w:t>
      </w:r>
      <w:r w:rsidR="0058429C">
        <w:rPr>
          <w:lang w:val="en-GB"/>
        </w:rPr>
        <w:t xml:space="preserve">Type </w:t>
      </w:r>
      <w:r w:rsidRPr="00B04DC3">
        <w:rPr>
          <w:lang w:val="en-GB"/>
        </w:rPr>
        <w:t>Approval Authority will evaluate in considering an exemption will include, but are not limited to, the current availability of performance chips, the high-performance capability of the vehicle and the projected sales volume of the vehicle.</w:t>
      </w:r>
    </w:p>
    <w:p w:rsidR="00C0100D" w:rsidRPr="00B04DC3" w:rsidRDefault="00C0100D" w:rsidP="008611F8">
      <w:pPr>
        <w:pStyle w:val="para"/>
        <w:rPr>
          <w:lang w:val="en-GB"/>
        </w:rPr>
      </w:pPr>
      <w:r w:rsidRPr="00B04DC3">
        <w:rPr>
          <w:lang w:val="en-GB"/>
        </w:rPr>
        <w:t>5.1.9.5.</w:t>
      </w:r>
      <w:r w:rsidRPr="00B04DC3">
        <w:rPr>
          <w:lang w:val="en-GB"/>
        </w:rPr>
        <w:tab/>
        <w:t>Manufacturers using programmable computer code systems (e.g. </w:t>
      </w:r>
      <w:r w:rsidR="0058429C" w:rsidRPr="00B04DC3">
        <w:rPr>
          <w:lang w:val="en-GB"/>
        </w:rPr>
        <w:t>E</w:t>
      </w:r>
      <w:r w:rsidRPr="00B04DC3">
        <w:rPr>
          <w:lang w:val="en-GB"/>
        </w:rPr>
        <w:t xml:space="preserve">lectrical </w:t>
      </w:r>
      <w:r w:rsidR="0058429C">
        <w:rPr>
          <w:lang w:val="en-GB"/>
        </w:rPr>
        <w:t>E</w:t>
      </w:r>
      <w:r w:rsidR="0058429C" w:rsidRPr="00B04DC3">
        <w:rPr>
          <w:lang w:val="en-GB"/>
        </w:rPr>
        <w:t xml:space="preserve">rasable </w:t>
      </w:r>
      <w:r w:rsidR="0058429C">
        <w:rPr>
          <w:lang w:val="en-GB"/>
        </w:rPr>
        <w:t>P</w:t>
      </w:r>
      <w:r w:rsidR="0058429C" w:rsidRPr="00B04DC3">
        <w:rPr>
          <w:lang w:val="en-GB"/>
        </w:rPr>
        <w:t xml:space="preserve">rogrammable </w:t>
      </w:r>
      <w:r w:rsidR="0058429C">
        <w:rPr>
          <w:lang w:val="en-GB"/>
        </w:rPr>
        <w:t>R</w:t>
      </w:r>
      <w:r w:rsidR="0058429C" w:rsidRPr="00B04DC3">
        <w:rPr>
          <w:lang w:val="en-GB"/>
        </w:rPr>
        <w:t>ead</w:t>
      </w:r>
      <w:r w:rsidRPr="00B04DC3">
        <w:rPr>
          <w:lang w:val="en-GB"/>
        </w:rPr>
        <w:t>-</w:t>
      </w:r>
      <w:r w:rsidR="0058429C">
        <w:rPr>
          <w:lang w:val="en-GB"/>
        </w:rPr>
        <w:t>O</w:t>
      </w:r>
      <w:r w:rsidR="0058429C" w:rsidRPr="00B04DC3">
        <w:rPr>
          <w:lang w:val="en-GB"/>
        </w:rPr>
        <w:t xml:space="preserve">nly </w:t>
      </w:r>
      <w:r w:rsidR="0058429C">
        <w:rPr>
          <w:lang w:val="en-GB"/>
        </w:rPr>
        <w:t>M</w:t>
      </w:r>
      <w:r w:rsidR="0058429C" w:rsidRPr="00B04DC3">
        <w:rPr>
          <w:lang w:val="en-GB"/>
        </w:rPr>
        <w:t>emory</w:t>
      </w:r>
      <w:r w:rsidR="0017458B">
        <w:rPr>
          <w:lang w:val="en-GB"/>
        </w:rPr>
        <w:t xml:space="preserve"> (</w:t>
      </w:r>
      <w:r w:rsidRPr="00B04DC3">
        <w:rPr>
          <w:lang w:val="en-GB"/>
        </w:rPr>
        <w:t>EEPROM) shall deter unauthorized reprogramming</w:t>
      </w:r>
      <w:r w:rsidR="00401E79" w:rsidRPr="00B04DC3">
        <w:rPr>
          <w:lang w:val="en-GB"/>
        </w:rPr>
        <w:t xml:space="preserve">. </w:t>
      </w:r>
      <w:r w:rsidRPr="00B04DC3">
        <w:rPr>
          <w:lang w:val="en-GB"/>
        </w:rPr>
        <w:t>Manufacturers shall include enhanced tamper-protection strategies and write protect features requiring electronic access to an off-site computer maintained by the manufacturer</w:t>
      </w:r>
      <w:r w:rsidR="00401E79" w:rsidRPr="00B04DC3">
        <w:rPr>
          <w:lang w:val="en-GB"/>
        </w:rPr>
        <w:t xml:space="preserve">. </w:t>
      </w:r>
      <w:r w:rsidRPr="00B04DC3">
        <w:rPr>
          <w:lang w:val="en-GB"/>
        </w:rPr>
        <w:t>Alternative methods giving an equivalent level of tamper protection may be approved by the</w:t>
      </w:r>
      <w:r w:rsidR="0058429C">
        <w:rPr>
          <w:lang w:val="en-GB"/>
        </w:rPr>
        <w:t xml:space="preserve"> Type Approval Authority</w:t>
      </w:r>
      <w:r w:rsidRPr="00B04DC3">
        <w:rPr>
          <w:lang w:val="en-GB"/>
        </w:rPr>
        <w:t>.</w:t>
      </w:r>
    </w:p>
    <w:p w:rsidR="00C0100D" w:rsidRPr="00B04DC3" w:rsidRDefault="00C0100D" w:rsidP="00B04DC3">
      <w:pPr>
        <w:pStyle w:val="para"/>
        <w:rPr>
          <w:lang w:val="en-GB"/>
        </w:rPr>
      </w:pPr>
      <w:r w:rsidRPr="00B04DC3">
        <w:rPr>
          <w:lang w:val="en-GB"/>
        </w:rPr>
        <w:t>5.2.</w:t>
      </w:r>
      <w:r w:rsidRPr="00B04DC3">
        <w:rPr>
          <w:lang w:val="en-GB"/>
        </w:rPr>
        <w:tab/>
        <w:t>Specifications concerning the emission of gaseous and particulate pollutants and smoke</w:t>
      </w:r>
    </w:p>
    <w:p w:rsidR="00C0100D" w:rsidRPr="00B04DC3" w:rsidRDefault="00C0100D" w:rsidP="008611F8">
      <w:pPr>
        <w:pStyle w:val="para"/>
        <w:rPr>
          <w:lang w:val="en-GB"/>
        </w:rPr>
      </w:pPr>
      <w:r w:rsidRPr="00B04DC3">
        <w:rPr>
          <w:lang w:val="en-GB"/>
        </w:rPr>
        <w:tab/>
        <w:t>For type approval testing to either row B1 or B2 or row C of the tables in paragraph 5.2.1. the emissions shall be determined on the ESC, ELR and ETC tests.</w:t>
      </w:r>
    </w:p>
    <w:p w:rsidR="00C0100D" w:rsidRPr="00B04DC3" w:rsidRDefault="00C0100D" w:rsidP="008611F8">
      <w:pPr>
        <w:pStyle w:val="para"/>
        <w:rPr>
          <w:lang w:val="en-GB"/>
        </w:rPr>
      </w:pPr>
      <w:r w:rsidRPr="00B04DC3">
        <w:rPr>
          <w:lang w:val="en-GB"/>
        </w:rPr>
        <w:tab/>
        <w:t>For gas engines, the gaseous emissions shall be determined on the ETC test.</w:t>
      </w:r>
    </w:p>
    <w:p w:rsidR="00C0100D" w:rsidRPr="00B04DC3" w:rsidRDefault="00C0100D" w:rsidP="008611F8">
      <w:pPr>
        <w:pStyle w:val="para"/>
        <w:rPr>
          <w:lang w:val="en-GB"/>
        </w:rPr>
      </w:pPr>
      <w:r w:rsidRPr="00B04DC3">
        <w:rPr>
          <w:lang w:val="en-GB"/>
        </w:rPr>
        <w:tab/>
        <w:t>The ESC and ELR test procedures are described in Annex 4A, Appendix 1, the ETC test procedure in Annex 4A, Appendices 2 and 3.</w:t>
      </w:r>
    </w:p>
    <w:p w:rsidR="00C0100D" w:rsidRPr="00B04DC3" w:rsidRDefault="00C0100D" w:rsidP="008611F8">
      <w:pPr>
        <w:pStyle w:val="para"/>
        <w:rPr>
          <w:lang w:val="en-GB"/>
        </w:rPr>
      </w:pPr>
      <w:r w:rsidRPr="00B04DC3">
        <w:rPr>
          <w:lang w:val="en-GB"/>
        </w:rPr>
        <w:tab/>
        <w:t>The emissions of gaseous pollutants and particulate pollutants, if applicable, and smoke, if applicable, by the engine submitted for testing shall be measured by the methods described in Annex 4A, Appendix 4</w:t>
      </w:r>
      <w:r w:rsidR="00401E79" w:rsidRPr="00B04DC3">
        <w:rPr>
          <w:lang w:val="en-GB"/>
        </w:rPr>
        <w:t xml:space="preserve">. </w:t>
      </w:r>
      <w:r w:rsidRPr="00B04DC3">
        <w:rPr>
          <w:lang w:val="en-GB"/>
        </w:rPr>
        <w:t>Annex 4A, Appendix 7 describes the recommended analytical systems for the gaseous pollutants, the recommended particulate sampling systems, and the recommended smoke measurement system.</w:t>
      </w:r>
    </w:p>
    <w:p w:rsidR="00C0100D" w:rsidRPr="00B04DC3" w:rsidRDefault="00C0100D" w:rsidP="008611F8">
      <w:pPr>
        <w:pStyle w:val="para"/>
        <w:rPr>
          <w:lang w:val="en-GB"/>
        </w:rPr>
      </w:pPr>
      <w:r w:rsidRPr="00B04DC3">
        <w:rPr>
          <w:lang w:val="en-GB"/>
        </w:rPr>
        <w:tab/>
        <w:t>Other systems or analyzers may be approved by the Technical Service if it is found that they yield equivalent results on the respective test cycle</w:t>
      </w:r>
      <w:r w:rsidR="00401E79" w:rsidRPr="00B04DC3">
        <w:rPr>
          <w:lang w:val="en-GB"/>
        </w:rPr>
        <w:t xml:space="preserve">. </w:t>
      </w:r>
      <w:r w:rsidRPr="00B04DC3">
        <w:rPr>
          <w:lang w:val="en-GB"/>
        </w:rPr>
        <w:t>The determination of system equivalency shall be based upon a 7-sample pair (or larger) correlation study between the system under consideration and one of the reference systems of this Regulation</w:t>
      </w:r>
      <w:r w:rsidR="00401E79" w:rsidRPr="00B04DC3">
        <w:rPr>
          <w:lang w:val="en-GB"/>
        </w:rPr>
        <w:t xml:space="preserve">. </w:t>
      </w:r>
      <w:r w:rsidRPr="00B04DC3">
        <w:rPr>
          <w:lang w:val="en-GB"/>
        </w:rPr>
        <w:t>For particulate emissions, only the full flow dilution system or the partial flow dilution system meeting the requirements of ISO 16183 are recognized as equivalent reference systems</w:t>
      </w:r>
      <w:r w:rsidR="00401E79" w:rsidRPr="00B04DC3">
        <w:rPr>
          <w:lang w:val="en-GB"/>
        </w:rPr>
        <w:t xml:space="preserve">. </w:t>
      </w:r>
      <w:r w:rsidRPr="00B04DC3">
        <w:rPr>
          <w:lang w:val="en-GB"/>
        </w:rPr>
        <w:t>"Results" refer to the specific cycle emissions value</w:t>
      </w:r>
      <w:r w:rsidR="00401E79" w:rsidRPr="00B04DC3">
        <w:rPr>
          <w:lang w:val="en-GB"/>
        </w:rPr>
        <w:t xml:space="preserve">. </w:t>
      </w:r>
      <w:r w:rsidRPr="00B04DC3">
        <w:rPr>
          <w:lang w:val="en-GB"/>
        </w:rPr>
        <w:t>The correlation testing shall be performed at the same laboratory, test cell, and on the same engine, and is preferred to be run concurrently</w:t>
      </w:r>
      <w:r w:rsidR="00401E79" w:rsidRPr="00B04DC3">
        <w:rPr>
          <w:lang w:val="en-GB"/>
        </w:rPr>
        <w:t xml:space="preserve">. </w:t>
      </w:r>
      <w:r w:rsidRPr="00B04DC3">
        <w:rPr>
          <w:lang w:val="en-GB"/>
        </w:rPr>
        <w:t xml:space="preserve">The equivalency of the sample pair averages shall be determined by F-test and t-test statistics as described in Appendix 4 to this Regulation obtained under </w:t>
      </w:r>
      <w:r w:rsidR="0017458B" w:rsidRPr="00B04DC3">
        <w:rPr>
          <w:lang w:val="en-GB"/>
        </w:rPr>
        <w:t>th</w:t>
      </w:r>
      <w:r w:rsidR="0017458B">
        <w:rPr>
          <w:lang w:val="en-GB"/>
        </w:rPr>
        <w:t>is</w:t>
      </w:r>
      <w:r w:rsidR="0017458B" w:rsidRPr="00B04DC3">
        <w:rPr>
          <w:lang w:val="en-GB"/>
        </w:rPr>
        <w:t xml:space="preserve"> </w:t>
      </w:r>
      <w:r w:rsidRPr="00B04DC3">
        <w:rPr>
          <w:lang w:val="en-GB"/>
        </w:rPr>
        <w:t>laboratory, test cell and engine conditions</w:t>
      </w:r>
      <w:r w:rsidR="00401E79" w:rsidRPr="00B04DC3">
        <w:rPr>
          <w:lang w:val="en-GB"/>
        </w:rPr>
        <w:t xml:space="preserve">. </w:t>
      </w:r>
      <w:r w:rsidRPr="00B04DC3">
        <w:rPr>
          <w:lang w:val="en-GB"/>
        </w:rPr>
        <w:t>Outliers shall be determined in accordance with ISO 5725 and excluded from the database</w:t>
      </w:r>
      <w:r w:rsidR="00401E79" w:rsidRPr="00B04DC3">
        <w:rPr>
          <w:lang w:val="en-GB"/>
        </w:rPr>
        <w:t xml:space="preserve">. </w:t>
      </w:r>
      <w:r w:rsidRPr="00B04DC3">
        <w:rPr>
          <w:lang w:val="en-GB"/>
        </w:rPr>
        <w:t>For introduction of a new system into this Regulation, determination of equivalency shall be based upon the calculation of repeatability and reproducibility, as described in ISO 5725.</w:t>
      </w:r>
    </w:p>
    <w:p w:rsidR="00C0100D" w:rsidRPr="00B04DC3" w:rsidRDefault="00C0100D" w:rsidP="000917EB">
      <w:pPr>
        <w:pStyle w:val="para"/>
        <w:rPr>
          <w:lang w:val="en-GB"/>
        </w:rPr>
      </w:pPr>
      <w:r w:rsidRPr="00B04DC3">
        <w:rPr>
          <w:lang w:val="en-GB"/>
        </w:rPr>
        <w:t>5.2.1.</w:t>
      </w:r>
      <w:r w:rsidRPr="00B04DC3">
        <w:rPr>
          <w:lang w:val="en-GB"/>
        </w:rPr>
        <w:tab/>
      </w:r>
      <w:r w:rsidR="00D52AA6" w:rsidRPr="00B04DC3">
        <w:rPr>
          <w:lang w:val="en-GB"/>
        </w:rPr>
        <w:tab/>
      </w:r>
      <w:r w:rsidRPr="00B04DC3">
        <w:rPr>
          <w:lang w:val="en-GB"/>
        </w:rPr>
        <w:t xml:space="preserve">Limit </w:t>
      </w:r>
      <w:r w:rsidR="0017458B">
        <w:rPr>
          <w:lang w:val="en-GB"/>
        </w:rPr>
        <w:t>v</w:t>
      </w:r>
      <w:r w:rsidR="0017458B" w:rsidRPr="00B04DC3">
        <w:rPr>
          <w:lang w:val="en-GB"/>
        </w:rPr>
        <w:t>alues</w:t>
      </w:r>
    </w:p>
    <w:p w:rsidR="00C0100D" w:rsidRPr="00B04DC3" w:rsidRDefault="00C0100D" w:rsidP="008611F8">
      <w:pPr>
        <w:pStyle w:val="para"/>
        <w:rPr>
          <w:lang w:val="en-GB"/>
        </w:rPr>
      </w:pPr>
      <w:r w:rsidRPr="00B04DC3">
        <w:rPr>
          <w:lang w:val="en-GB"/>
        </w:rPr>
        <w:tab/>
        <w:t xml:space="preserve">The specific mass of the carbon monoxide, of the total hydrocarbons, of the oxides of nitrogen and of the particulates, as determined on the ESC test, and of the smoke opacity, as determined on the ELR test, shall not exceed the amounts shown in </w:t>
      </w:r>
      <w:r w:rsidR="0017458B">
        <w:rPr>
          <w:lang w:val="en-GB"/>
        </w:rPr>
        <w:t>T</w:t>
      </w:r>
      <w:r w:rsidR="0017458B" w:rsidRPr="00B04DC3">
        <w:rPr>
          <w:lang w:val="en-GB"/>
        </w:rPr>
        <w:t>able </w:t>
      </w:r>
      <w:r w:rsidRPr="00B04DC3">
        <w:rPr>
          <w:lang w:val="en-GB"/>
        </w:rPr>
        <w:t>1.</w:t>
      </w:r>
    </w:p>
    <w:p w:rsidR="00C0100D" w:rsidRPr="00B04DC3" w:rsidRDefault="00C0100D" w:rsidP="008611F8">
      <w:pPr>
        <w:pStyle w:val="para"/>
        <w:rPr>
          <w:bCs/>
          <w:lang w:val="en-GB"/>
        </w:rPr>
      </w:pPr>
      <w:r w:rsidRPr="00B04DC3">
        <w:rPr>
          <w:lang w:val="en-GB"/>
        </w:rPr>
        <w:tab/>
        <w:t xml:space="preserve">The specific mass of the carbon monoxide, of the non-methane hydrocarbons, of the methane, of the oxides of nitrogen and of the particulates as determined on the ETC test shall not exceed the amounts shown in </w:t>
      </w:r>
      <w:r w:rsidR="0017458B">
        <w:rPr>
          <w:lang w:val="en-GB"/>
        </w:rPr>
        <w:t>T</w:t>
      </w:r>
      <w:r w:rsidR="0017458B" w:rsidRPr="00B04DC3">
        <w:rPr>
          <w:lang w:val="en-GB"/>
        </w:rPr>
        <w:t>able </w:t>
      </w:r>
      <w:r w:rsidRPr="00B04DC3">
        <w:rPr>
          <w:lang w:val="en-GB"/>
        </w:rPr>
        <w:t>2</w:t>
      </w:r>
      <w:r w:rsidRPr="00B04DC3">
        <w:rPr>
          <w:bCs/>
          <w:lang w:val="en-GB"/>
        </w:rPr>
        <w:t>.</w:t>
      </w:r>
    </w:p>
    <w:p w:rsidR="00C0100D" w:rsidRPr="00B04DC3" w:rsidRDefault="00C0100D" w:rsidP="008818F2">
      <w:pPr>
        <w:pStyle w:val="Heading1"/>
      </w:pPr>
      <w:bookmarkStart w:id="32" w:name="_Toc399939868"/>
      <w:bookmarkStart w:id="33" w:name="_Toc423599452"/>
      <w:bookmarkStart w:id="34" w:name="_Toc423610860"/>
      <w:r w:rsidRPr="00B04DC3">
        <w:t>Table 1</w:t>
      </w:r>
      <w:bookmarkEnd w:id="32"/>
      <w:bookmarkEnd w:id="33"/>
      <w:bookmarkEnd w:id="34"/>
    </w:p>
    <w:p w:rsidR="00C0100D" w:rsidRPr="00B04DC3" w:rsidRDefault="00C0100D" w:rsidP="008818F2">
      <w:pPr>
        <w:pStyle w:val="Heading1"/>
        <w:rPr>
          <w:b/>
        </w:rPr>
      </w:pPr>
      <w:bookmarkStart w:id="35" w:name="_Toc399939869"/>
      <w:bookmarkStart w:id="36" w:name="_Toc423599453"/>
      <w:bookmarkStart w:id="37" w:name="_Toc423610861"/>
      <w:r w:rsidRPr="00B04DC3">
        <w:rPr>
          <w:b/>
        </w:rPr>
        <w:t>Limit values — ESC and ELR tests</w:t>
      </w:r>
      <w:bookmarkEnd w:id="35"/>
      <w:bookmarkEnd w:id="36"/>
      <w:bookmarkEnd w:id="37"/>
    </w:p>
    <w:tbl>
      <w:tblPr>
        <w:tblpPr w:leftFromText="180" w:rightFromText="180" w:vertAnchor="text" w:horzAnchor="margin" w:tblpX="1209" w:tblpY="47"/>
        <w:tblOverlap w:val="never"/>
        <w:tblW w:w="8505" w:type="dxa"/>
        <w:tblLayout w:type="fixed"/>
        <w:tblLook w:val="0000" w:firstRow="0" w:lastRow="0" w:firstColumn="0" w:lastColumn="0" w:noHBand="0" w:noVBand="0"/>
      </w:tblPr>
      <w:tblGrid>
        <w:gridCol w:w="2093"/>
        <w:gridCol w:w="1417"/>
        <w:gridCol w:w="1418"/>
        <w:gridCol w:w="1417"/>
        <w:gridCol w:w="1418"/>
        <w:gridCol w:w="742"/>
      </w:tblGrid>
      <w:tr w:rsidR="00462662" w:rsidRPr="00B04DC3" w:rsidTr="00462662">
        <w:tc>
          <w:tcPr>
            <w:tcW w:w="2093" w:type="dxa"/>
            <w:tcBorders>
              <w:top w:val="single" w:sz="4" w:space="0" w:color="auto"/>
              <w:left w:val="single" w:sz="4" w:space="0" w:color="auto"/>
              <w:bottom w:val="single" w:sz="12" w:space="0" w:color="auto"/>
              <w:right w:val="single" w:sz="2" w:space="0" w:color="auto"/>
            </w:tcBorders>
          </w:tcPr>
          <w:p w:rsidR="00462662" w:rsidRPr="00B04DC3" w:rsidRDefault="00462662" w:rsidP="00462662">
            <w:pPr>
              <w:pStyle w:val="NormalCentered"/>
              <w:numPr>
                <w:ilvl w:val="0"/>
                <w:numId w:val="0"/>
              </w:numPr>
              <w:tabs>
                <w:tab w:val="left" w:pos="1134"/>
              </w:tabs>
              <w:spacing w:before="80" w:after="80" w:line="200" w:lineRule="exact"/>
              <w:rPr>
                <w:i/>
                <w:sz w:val="16"/>
                <w:szCs w:val="16"/>
              </w:rPr>
            </w:pPr>
            <w:bookmarkStart w:id="38" w:name="_Toc399939870"/>
            <w:bookmarkStart w:id="39" w:name="_Toc423599454"/>
            <w:bookmarkStart w:id="40" w:name="_Toc423610862"/>
            <w:r w:rsidRPr="00B04DC3">
              <w:rPr>
                <w:i/>
                <w:sz w:val="16"/>
                <w:szCs w:val="16"/>
              </w:rPr>
              <w:t>Row</w:t>
            </w:r>
          </w:p>
        </w:tc>
        <w:tc>
          <w:tcPr>
            <w:tcW w:w="1417" w:type="dxa"/>
            <w:tcBorders>
              <w:top w:val="single" w:sz="4" w:space="0" w:color="auto"/>
              <w:left w:val="single" w:sz="2" w:space="0" w:color="auto"/>
              <w:bottom w:val="single" w:sz="12" w:space="0" w:color="auto"/>
              <w:right w:val="single" w:sz="2" w:space="0" w:color="auto"/>
            </w:tcBorders>
          </w:tcPr>
          <w:p w:rsidR="00462662" w:rsidRPr="00B04DC3" w:rsidRDefault="00462662" w:rsidP="00462662">
            <w:pPr>
              <w:pStyle w:val="NormalCentered"/>
              <w:numPr>
                <w:ilvl w:val="0"/>
                <w:numId w:val="0"/>
              </w:numPr>
              <w:spacing w:before="80" w:after="80" w:line="200" w:lineRule="exact"/>
              <w:rPr>
                <w:i/>
                <w:sz w:val="16"/>
                <w:szCs w:val="16"/>
              </w:rPr>
            </w:pPr>
            <w:r w:rsidRPr="00B04DC3">
              <w:rPr>
                <w:i/>
                <w:sz w:val="16"/>
                <w:szCs w:val="16"/>
              </w:rPr>
              <w:t>Mass of carbon monoxide</w:t>
            </w:r>
          </w:p>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(CO) g/kWh</w:t>
            </w:r>
          </w:p>
        </w:tc>
        <w:tc>
          <w:tcPr>
            <w:tcW w:w="1418" w:type="dxa"/>
            <w:tcBorders>
              <w:top w:val="single" w:sz="4" w:space="0" w:color="auto"/>
              <w:left w:val="single" w:sz="2" w:space="0" w:color="auto"/>
              <w:bottom w:val="single" w:sz="12" w:space="0" w:color="auto"/>
              <w:right w:val="single" w:sz="2" w:space="0" w:color="auto"/>
            </w:tcBorders>
          </w:tcPr>
          <w:p w:rsidR="00462662" w:rsidRPr="00B04DC3" w:rsidRDefault="00462662" w:rsidP="00462662">
            <w:pPr>
              <w:pStyle w:val="NormalCentered"/>
              <w:numPr>
                <w:ilvl w:val="0"/>
                <w:numId w:val="0"/>
              </w:numPr>
              <w:spacing w:before="80" w:after="80" w:line="200" w:lineRule="exact"/>
              <w:rPr>
                <w:i/>
                <w:sz w:val="16"/>
                <w:szCs w:val="16"/>
              </w:rPr>
            </w:pPr>
            <w:r w:rsidRPr="00B04DC3">
              <w:rPr>
                <w:i/>
                <w:sz w:val="16"/>
                <w:szCs w:val="16"/>
              </w:rPr>
              <w:t>Mass of hydrocarbons</w:t>
            </w:r>
          </w:p>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(HC) g/kWh</w:t>
            </w:r>
          </w:p>
        </w:tc>
        <w:tc>
          <w:tcPr>
            <w:tcW w:w="1417" w:type="dxa"/>
            <w:tcBorders>
              <w:top w:val="single" w:sz="4" w:space="0" w:color="auto"/>
              <w:left w:val="single" w:sz="2" w:space="0" w:color="auto"/>
              <w:bottom w:val="single" w:sz="12" w:space="0" w:color="auto"/>
              <w:right w:val="single" w:sz="2" w:space="0" w:color="auto"/>
            </w:tcBorders>
          </w:tcPr>
          <w:p w:rsidR="00462662" w:rsidRPr="00B04DC3" w:rsidRDefault="00462662" w:rsidP="00462662">
            <w:pPr>
              <w:pStyle w:val="NormalCentered"/>
              <w:numPr>
                <w:ilvl w:val="0"/>
                <w:numId w:val="0"/>
              </w:numPr>
              <w:spacing w:before="80" w:after="80" w:line="200" w:lineRule="exact"/>
              <w:rPr>
                <w:i/>
                <w:sz w:val="16"/>
                <w:szCs w:val="16"/>
              </w:rPr>
            </w:pPr>
            <w:r w:rsidRPr="00B04DC3">
              <w:rPr>
                <w:i/>
                <w:sz w:val="16"/>
                <w:szCs w:val="16"/>
              </w:rPr>
              <w:t>Mass of nitrogen oxides</w:t>
            </w:r>
          </w:p>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(NO</w:t>
            </w:r>
            <w:r w:rsidRPr="00B04DC3">
              <w:rPr>
                <w:i/>
                <w:sz w:val="16"/>
                <w:szCs w:val="16"/>
                <w:vertAlign w:val="subscript"/>
              </w:rPr>
              <w:t>x</w:t>
            </w:r>
            <w:r w:rsidRPr="00B04DC3">
              <w:rPr>
                <w:i/>
                <w:sz w:val="16"/>
                <w:szCs w:val="16"/>
              </w:rPr>
              <w:t>) g/kWh</w:t>
            </w:r>
          </w:p>
        </w:tc>
        <w:tc>
          <w:tcPr>
            <w:tcW w:w="1418" w:type="dxa"/>
            <w:tcBorders>
              <w:top w:val="single" w:sz="4" w:space="0" w:color="auto"/>
              <w:left w:val="single" w:sz="2" w:space="0" w:color="auto"/>
              <w:bottom w:val="single" w:sz="12" w:space="0" w:color="auto"/>
              <w:right w:val="single" w:sz="2" w:space="0" w:color="auto"/>
            </w:tcBorders>
          </w:tcPr>
          <w:p w:rsidR="00462662" w:rsidRPr="00B04DC3" w:rsidRDefault="00462662" w:rsidP="00462662">
            <w:pPr>
              <w:pStyle w:val="NormalCentered"/>
              <w:numPr>
                <w:ilvl w:val="0"/>
                <w:numId w:val="0"/>
              </w:numPr>
              <w:spacing w:before="80" w:after="80" w:line="200" w:lineRule="exact"/>
              <w:rPr>
                <w:i/>
                <w:sz w:val="16"/>
                <w:szCs w:val="16"/>
              </w:rPr>
            </w:pPr>
            <w:r w:rsidRPr="00B04DC3">
              <w:rPr>
                <w:i/>
                <w:sz w:val="16"/>
                <w:szCs w:val="16"/>
              </w:rPr>
              <w:t>Mass of particulates</w:t>
            </w:r>
          </w:p>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(PT) g/kWh</w:t>
            </w:r>
          </w:p>
        </w:tc>
        <w:tc>
          <w:tcPr>
            <w:tcW w:w="742" w:type="dxa"/>
            <w:tcBorders>
              <w:top w:val="single" w:sz="4" w:space="0" w:color="auto"/>
              <w:left w:val="single" w:sz="2" w:space="0" w:color="auto"/>
              <w:bottom w:val="single" w:sz="12" w:space="0" w:color="auto"/>
              <w:right w:val="single" w:sz="4" w:space="0" w:color="auto"/>
            </w:tcBorders>
          </w:tcPr>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Smoke</w:t>
            </w:r>
          </w:p>
          <w:p w:rsidR="00462662" w:rsidRPr="00B04DC3" w:rsidRDefault="00462662" w:rsidP="00462662">
            <w:pPr>
              <w:pStyle w:val="NormalCentered"/>
              <w:numPr>
                <w:ilvl w:val="0"/>
                <w:numId w:val="0"/>
              </w:numPr>
              <w:tabs>
                <w:tab w:val="left" w:pos="1134"/>
              </w:tabs>
              <w:spacing w:before="80" w:after="80" w:line="200" w:lineRule="exact"/>
              <w:rPr>
                <w:i/>
                <w:sz w:val="16"/>
                <w:szCs w:val="16"/>
              </w:rPr>
            </w:pPr>
            <w:r w:rsidRPr="00B04DC3">
              <w:rPr>
                <w:i/>
                <w:sz w:val="16"/>
                <w:szCs w:val="16"/>
              </w:rPr>
              <w:t>m</w:t>
            </w:r>
            <w:r w:rsidRPr="00B04DC3">
              <w:rPr>
                <w:i/>
                <w:sz w:val="16"/>
                <w:szCs w:val="16"/>
                <w:vertAlign w:val="superscript"/>
              </w:rPr>
              <w:t>−1</w:t>
            </w:r>
          </w:p>
        </w:tc>
      </w:tr>
      <w:tr w:rsidR="00462662" w:rsidRPr="00B04DC3" w:rsidTr="00462662">
        <w:tc>
          <w:tcPr>
            <w:tcW w:w="2093" w:type="dxa"/>
            <w:tcBorders>
              <w:top w:val="single" w:sz="12" w:space="0" w:color="auto"/>
              <w:left w:val="single" w:sz="4"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rPr>
                <w:sz w:val="18"/>
                <w:szCs w:val="18"/>
              </w:rPr>
            </w:pPr>
            <w:r w:rsidRPr="00B04DC3">
              <w:rPr>
                <w:sz w:val="18"/>
                <w:szCs w:val="18"/>
              </w:rPr>
              <w:t>A (2000)</w:t>
            </w:r>
          </w:p>
        </w:tc>
        <w:tc>
          <w:tcPr>
            <w:tcW w:w="1417" w:type="dxa"/>
            <w:tcBorders>
              <w:top w:val="single" w:sz="1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2.1</w:t>
            </w:r>
          </w:p>
        </w:tc>
        <w:tc>
          <w:tcPr>
            <w:tcW w:w="1418" w:type="dxa"/>
            <w:tcBorders>
              <w:top w:val="single" w:sz="1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0.66</w:t>
            </w:r>
          </w:p>
        </w:tc>
        <w:tc>
          <w:tcPr>
            <w:tcW w:w="1417" w:type="dxa"/>
            <w:tcBorders>
              <w:top w:val="single" w:sz="1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5.0</w:t>
            </w:r>
          </w:p>
        </w:tc>
        <w:tc>
          <w:tcPr>
            <w:tcW w:w="1418" w:type="dxa"/>
            <w:tcBorders>
              <w:top w:val="single" w:sz="12" w:space="0" w:color="auto"/>
              <w:left w:val="single" w:sz="2"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jc w:val="center"/>
              <w:rPr>
                <w:sz w:val="18"/>
                <w:szCs w:val="18"/>
              </w:rPr>
            </w:pPr>
            <w:r w:rsidRPr="00B04DC3">
              <w:rPr>
                <w:sz w:val="18"/>
                <w:szCs w:val="18"/>
              </w:rPr>
              <w:t>0.10 // 0.13</w:t>
            </w:r>
            <w:r w:rsidRPr="00B04DC3">
              <w:rPr>
                <w:i/>
                <w:sz w:val="18"/>
                <w:szCs w:val="18"/>
                <w:vertAlign w:val="superscript"/>
              </w:rPr>
              <w:t>a</w:t>
            </w:r>
          </w:p>
        </w:tc>
        <w:tc>
          <w:tcPr>
            <w:tcW w:w="742" w:type="dxa"/>
            <w:tcBorders>
              <w:top w:val="single" w:sz="12" w:space="0" w:color="auto"/>
              <w:left w:val="single" w:sz="2" w:space="0" w:color="auto"/>
              <w:bottom w:val="single" w:sz="2" w:space="0" w:color="auto"/>
              <w:right w:val="single" w:sz="4"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0.8</w:t>
            </w:r>
          </w:p>
        </w:tc>
      </w:tr>
      <w:tr w:rsidR="00462662" w:rsidRPr="00B04DC3" w:rsidTr="00462662">
        <w:tc>
          <w:tcPr>
            <w:tcW w:w="2093" w:type="dxa"/>
            <w:tcBorders>
              <w:top w:val="single" w:sz="2" w:space="0" w:color="auto"/>
              <w:left w:val="single" w:sz="4"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rPr>
                <w:sz w:val="18"/>
                <w:szCs w:val="18"/>
              </w:rPr>
            </w:pPr>
            <w:r w:rsidRPr="00B04DC3">
              <w:rPr>
                <w:sz w:val="18"/>
                <w:szCs w:val="18"/>
              </w:rPr>
              <w:t>B1 (2005)</w:t>
            </w:r>
          </w:p>
        </w:tc>
        <w:tc>
          <w:tcPr>
            <w:tcW w:w="1417"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1.5</w:t>
            </w:r>
          </w:p>
        </w:tc>
        <w:tc>
          <w:tcPr>
            <w:tcW w:w="1418"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0.46</w:t>
            </w:r>
          </w:p>
        </w:tc>
        <w:tc>
          <w:tcPr>
            <w:tcW w:w="1417"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3.5</w:t>
            </w:r>
          </w:p>
        </w:tc>
        <w:tc>
          <w:tcPr>
            <w:tcW w:w="1418"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jc w:val="center"/>
              <w:rPr>
                <w:sz w:val="18"/>
                <w:szCs w:val="18"/>
              </w:rPr>
            </w:pPr>
            <w:r w:rsidRPr="00B04DC3">
              <w:rPr>
                <w:sz w:val="18"/>
                <w:szCs w:val="18"/>
              </w:rPr>
              <w:t>0.02</w:t>
            </w:r>
          </w:p>
        </w:tc>
        <w:tc>
          <w:tcPr>
            <w:tcW w:w="742" w:type="dxa"/>
            <w:tcBorders>
              <w:top w:val="single" w:sz="2" w:space="0" w:color="auto"/>
              <w:left w:val="single" w:sz="2" w:space="0" w:color="auto"/>
              <w:bottom w:val="single" w:sz="2" w:space="0" w:color="auto"/>
              <w:right w:val="single" w:sz="4"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0.5</w:t>
            </w:r>
          </w:p>
        </w:tc>
      </w:tr>
      <w:tr w:rsidR="00462662" w:rsidRPr="00B04DC3" w:rsidTr="00462662">
        <w:tc>
          <w:tcPr>
            <w:tcW w:w="2093" w:type="dxa"/>
            <w:tcBorders>
              <w:top w:val="single" w:sz="2" w:space="0" w:color="auto"/>
              <w:left w:val="single" w:sz="4"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rPr>
                <w:sz w:val="18"/>
                <w:szCs w:val="18"/>
              </w:rPr>
            </w:pPr>
            <w:r w:rsidRPr="00B04DC3">
              <w:rPr>
                <w:sz w:val="18"/>
                <w:szCs w:val="18"/>
              </w:rPr>
              <w:t>B2 (2008)</w:t>
            </w:r>
          </w:p>
        </w:tc>
        <w:tc>
          <w:tcPr>
            <w:tcW w:w="1417"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1.5</w:t>
            </w:r>
          </w:p>
        </w:tc>
        <w:tc>
          <w:tcPr>
            <w:tcW w:w="1418"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0.46</w:t>
            </w:r>
          </w:p>
        </w:tc>
        <w:tc>
          <w:tcPr>
            <w:tcW w:w="1417"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2.0</w:t>
            </w:r>
          </w:p>
        </w:tc>
        <w:tc>
          <w:tcPr>
            <w:tcW w:w="1418" w:type="dxa"/>
            <w:tcBorders>
              <w:top w:val="single" w:sz="2" w:space="0" w:color="auto"/>
              <w:left w:val="single" w:sz="2" w:space="0" w:color="auto"/>
              <w:bottom w:val="single" w:sz="2" w:space="0" w:color="auto"/>
              <w:right w:val="single" w:sz="2" w:space="0" w:color="auto"/>
            </w:tcBorders>
          </w:tcPr>
          <w:p w:rsidR="00462662" w:rsidRPr="00B04DC3" w:rsidRDefault="00462662" w:rsidP="00462662">
            <w:pPr>
              <w:pStyle w:val="NormalLeft"/>
              <w:tabs>
                <w:tab w:val="left" w:pos="1134"/>
              </w:tabs>
              <w:spacing w:before="40" w:after="80" w:line="220" w:lineRule="exact"/>
              <w:jc w:val="center"/>
              <w:rPr>
                <w:sz w:val="18"/>
                <w:szCs w:val="18"/>
              </w:rPr>
            </w:pPr>
            <w:r w:rsidRPr="00B04DC3">
              <w:rPr>
                <w:sz w:val="18"/>
                <w:szCs w:val="18"/>
              </w:rPr>
              <w:t>0.02</w:t>
            </w:r>
          </w:p>
        </w:tc>
        <w:tc>
          <w:tcPr>
            <w:tcW w:w="742" w:type="dxa"/>
            <w:tcBorders>
              <w:top w:val="single" w:sz="2" w:space="0" w:color="auto"/>
              <w:left w:val="single" w:sz="2" w:space="0" w:color="auto"/>
              <w:bottom w:val="single" w:sz="2" w:space="0" w:color="auto"/>
              <w:right w:val="single" w:sz="4"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0.5</w:t>
            </w:r>
          </w:p>
        </w:tc>
      </w:tr>
      <w:tr w:rsidR="00462662" w:rsidRPr="00B04DC3" w:rsidTr="00462662">
        <w:tc>
          <w:tcPr>
            <w:tcW w:w="2093" w:type="dxa"/>
            <w:tcBorders>
              <w:top w:val="single" w:sz="2" w:space="0" w:color="auto"/>
              <w:left w:val="single" w:sz="4" w:space="0" w:color="auto"/>
              <w:bottom w:val="single" w:sz="12" w:space="0" w:color="auto"/>
              <w:right w:val="single" w:sz="2" w:space="0" w:color="auto"/>
            </w:tcBorders>
          </w:tcPr>
          <w:p w:rsidR="00462662" w:rsidRPr="00B04DC3" w:rsidRDefault="00462662" w:rsidP="00462662">
            <w:pPr>
              <w:pStyle w:val="NormalLeft"/>
              <w:tabs>
                <w:tab w:val="left" w:pos="1134"/>
              </w:tabs>
              <w:spacing w:before="40" w:after="80" w:line="220" w:lineRule="exact"/>
              <w:rPr>
                <w:sz w:val="18"/>
                <w:szCs w:val="18"/>
              </w:rPr>
            </w:pPr>
            <w:r w:rsidRPr="00B04DC3">
              <w:rPr>
                <w:sz w:val="18"/>
                <w:szCs w:val="18"/>
              </w:rPr>
              <w:t>C (</w:t>
            </w:r>
            <w:r>
              <w:rPr>
                <w:sz w:val="18"/>
                <w:szCs w:val="18"/>
              </w:rPr>
              <w:t>Enhanced Environmentally Friendly Vehicle (</w:t>
            </w:r>
            <w:r w:rsidRPr="00B04DC3">
              <w:rPr>
                <w:sz w:val="18"/>
                <w:szCs w:val="18"/>
              </w:rPr>
              <w:t>EEV)</w:t>
            </w:r>
            <w:r>
              <w:rPr>
                <w:sz w:val="18"/>
                <w:szCs w:val="18"/>
              </w:rPr>
              <w:t>)</w:t>
            </w:r>
          </w:p>
        </w:tc>
        <w:tc>
          <w:tcPr>
            <w:tcW w:w="1417" w:type="dxa"/>
            <w:tcBorders>
              <w:top w:val="single" w:sz="2" w:space="0" w:color="auto"/>
              <w:left w:val="single" w:sz="2" w:space="0" w:color="auto"/>
              <w:bottom w:val="single" w:sz="1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1.5</w:t>
            </w:r>
          </w:p>
        </w:tc>
        <w:tc>
          <w:tcPr>
            <w:tcW w:w="1418" w:type="dxa"/>
            <w:tcBorders>
              <w:top w:val="single" w:sz="2" w:space="0" w:color="auto"/>
              <w:left w:val="single" w:sz="2" w:space="0" w:color="auto"/>
              <w:bottom w:val="single" w:sz="1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0.25</w:t>
            </w:r>
          </w:p>
        </w:tc>
        <w:tc>
          <w:tcPr>
            <w:tcW w:w="1417" w:type="dxa"/>
            <w:tcBorders>
              <w:top w:val="single" w:sz="2" w:space="0" w:color="auto"/>
              <w:left w:val="single" w:sz="2" w:space="0" w:color="auto"/>
              <w:bottom w:val="single" w:sz="12" w:space="0" w:color="auto"/>
              <w:right w:val="single" w:sz="2"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2.0</w:t>
            </w:r>
          </w:p>
        </w:tc>
        <w:tc>
          <w:tcPr>
            <w:tcW w:w="1418" w:type="dxa"/>
            <w:tcBorders>
              <w:top w:val="single" w:sz="2" w:space="0" w:color="auto"/>
              <w:left w:val="single" w:sz="2" w:space="0" w:color="auto"/>
              <w:bottom w:val="single" w:sz="12" w:space="0" w:color="auto"/>
              <w:right w:val="single" w:sz="2" w:space="0" w:color="auto"/>
            </w:tcBorders>
          </w:tcPr>
          <w:p w:rsidR="00462662" w:rsidRPr="00B04DC3" w:rsidRDefault="00462662" w:rsidP="00462662">
            <w:pPr>
              <w:pStyle w:val="NormalLeft"/>
              <w:tabs>
                <w:tab w:val="left" w:pos="1134"/>
              </w:tabs>
              <w:spacing w:before="40" w:after="80" w:line="220" w:lineRule="exact"/>
              <w:jc w:val="center"/>
              <w:rPr>
                <w:sz w:val="18"/>
                <w:szCs w:val="18"/>
              </w:rPr>
            </w:pPr>
            <w:r w:rsidRPr="00B04DC3">
              <w:rPr>
                <w:sz w:val="18"/>
                <w:szCs w:val="18"/>
              </w:rPr>
              <w:t>0.02</w:t>
            </w:r>
          </w:p>
        </w:tc>
        <w:tc>
          <w:tcPr>
            <w:tcW w:w="742" w:type="dxa"/>
            <w:tcBorders>
              <w:top w:val="single" w:sz="2" w:space="0" w:color="auto"/>
              <w:left w:val="single" w:sz="2" w:space="0" w:color="auto"/>
              <w:bottom w:val="single" w:sz="12" w:space="0" w:color="auto"/>
              <w:right w:val="single" w:sz="4" w:space="0" w:color="auto"/>
            </w:tcBorders>
          </w:tcPr>
          <w:p w:rsidR="00462662" w:rsidRPr="00B04DC3" w:rsidRDefault="00462662" w:rsidP="00462662">
            <w:pPr>
              <w:pStyle w:val="NormalRight"/>
              <w:tabs>
                <w:tab w:val="left" w:pos="1134"/>
              </w:tabs>
              <w:spacing w:before="40" w:after="80" w:line="220" w:lineRule="exact"/>
              <w:jc w:val="center"/>
              <w:rPr>
                <w:sz w:val="18"/>
                <w:szCs w:val="18"/>
              </w:rPr>
            </w:pPr>
            <w:r w:rsidRPr="00B04DC3">
              <w:rPr>
                <w:sz w:val="18"/>
                <w:szCs w:val="18"/>
              </w:rPr>
              <w:t>0.15</w:t>
            </w:r>
          </w:p>
        </w:tc>
      </w:tr>
      <w:tr w:rsidR="00462662" w:rsidRPr="00B04DC3" w:rsidTr="00462662">
        <w:trPr>
          <w:cantSplit/>
        </w:trPr>
        <w:tc>
          <w:tcPr>
            <w:tcW w:w="8505" w:type="dxa"/>
            <w:gridSpan w:val="6"/>
            <w:tcBorders>
              <w:top w:val="single" w:sz="12" w:space="0" w:color="auto"/>
            </w:tcBorders>
          </w:tcPr>
          <w:p w:rsidR="00462662" w:rsidRPr="00B04DC3" w:rsidRDefault="00462662" w:rsidP="00462662">
            <w:pPr>
              <w:pStyle w:val="NormalRight"/>
              <w:tabs>
                <w:tab w:val="left" w:pos="294"/>
              </w:tabs>
              <w:spacing w:after="0"/>
              <w:jc w:val="left"/>
              <w:rPr>
                <w:sz w:val="18"/>
                <w:szCs w:val="18"/>
              </w:rPr>
            </w:pPr>
            <w:r w:rsidRPr="00B04DC3">
              <w:rPr>
                <w:i/>
                <w:sz w:val="18"/>
                <w:szCs w:val="18"/>
                <w:vertAlign w:val="superscript"/>
              </w:rPr>
              <w:t xml:space="preserve">a   </w:t>
            </w:r>
            <w:r w:rsidRPr="00B04DC3">
              <w:rPr>
                <w:sz w:val="18"/>
                <w:szCs w:val="18"/>
              </w:rPr>
              <w:t>For engines having a swept volume of less than 0.75 dm³ per cylinder and a rated power speed of more than 3,000 min</w:t>
            </w:r>
            <w:r w:rsidRPr="00B04DC3">
              <w:rPr>
                <w:sz w:val="18"/>
                <w:szCs w:val="18"/>
                <w:vertAlign w:val="superscript"/>
              </w:rPr>
              <w:t>-1</w:t>
            </w:r>
          </w:p>
        </w:tc>
      </w:tr>
    </w:tbl>
    <w:p w:rsidR="00A905B7" w:rsidRDefault="00A905B7" w:rsidP="008818F2">
      <w:pPr>
        <w:pStyle w:val="Heading1"/>
        <w:spacing w:before="840"/>
      </w:pPr>
    </w:p>
    <w:p w:rsidR="00A905B7" w:rsidRDefault="00A905B7" w:rsidP="008818F2">
      <w:pPr>
        <w:pStyle w:val="Heading1"/>
        <w:spacing w:before="840"/>
      </w:pPr>
    </w:p>
    <w:p w:rsidR="00462662" w:rsidRDefault="00462662" w:rsidP="00462662">
      <w:pPr>
        <w:pStyle w:val="Heading1"/>
        <w:spacing w:before="480"/>
      </w:pPr>
    </w:p>
    <w:p w:rsidR="00462662" w:rsidRDefault="00462662" w:rsidP="00462662">
      <w:pPr>
        <w:pStyle w:val="Heading1"/>
        <w:spacing w:before="480"/>
      </w:pPr>
    </w:p>
    <w:p w:rsidR="00462662" w:rsidRDefault="008818F2" w:rsidP="00462662">
      <w:pPr>
        <w:pStyle w:val="Heading1"/>
        <w:spacing w:line="240" w:lineRule="exact"/>
      </w:pPr>
      <w:r>
        <w:t>Ta</w:t>
      </w:r>
      <w:r w:rsidR="00C0100D" w:rsidRPr="00B04DC3">
        <w:t>bl</w:t>
      </w:r>
      <w:bookmarkStart w:id="41" w:name="_Toc399939871"/>
      <w:bookmarkStart w:id="42" w:name="_Toc423599455"/>
      <w:bookmarkStart w:id="43" w:name="_Toc423610863"/>
      <w:bookmarkEnd w:id="38"/>
      <w:bookmarkEnd w:id="39"/>
      <w:bookmarkEnd w:id="40"/>
      <w:r w:rsidR="00462662">
        <w:t>e 2</w:t>
      </w:r>
      <w:bookmarkStart w:id="44" w:name="_GoBack"/>
      <w:bookmarkEnd w:id="44"/>
    </w:p>
    <w:p w:rsidR="00C0100D" w:rsidRPr="00B04DC3" w:rsidRDefault="00C0100D" w:rsidP="00462662">
      <w:pPr>
        <w:pStyle w:val="Heading1"/>
        <w:rPr>
          <w:b/>
        </w:rPr>
      </w:pPr>
      <w:r w:rsidRPr="00B04DC3">
        <w:rPr>
          <w:b/>
        </w:rPr>
        <w:t>Limit values — ETC test</w:t>
      </w:r>
      <w:bookmarkEnd w:id="41"/>
      <w:bookmarkEnd w:id="42"/>
      <w:bookmarkEnd w:id="43"/>
    </w:p>
    <w:tbl>
      <w:tblPr>
        <w:tblW w:w="8505" w:type="dxa"/>
        <w:tblInd w:w="1134" w:type="dxa"/>
        <w:tblBorders>
          <w:top w:val="single" w:sz="2" w:space="0" w:color="auto"/>
          <w:insideH w:val="single" w:sz="2" w:space="0" w:color="auto"/>
          <w:insideV w:val="single" w:sz="2" w:space="0" w:color="auto"/>
        </w:tblBorders>
        <w:tblLayout w:type="fixed"/>
        <w:tblLook w:val="0000" w:firstRow="0" w:lastRow="0" w:firstColumn="0" w:lastColumn="0" w:noHBand="0" w:noVBand="0"/>
      </w:tblPr>
      <w:tblGrid>
        <w:gridCol w:w="1082"/>
        <w:gridCol w:w="1438"/>
        <w:gridCol w:w="1937"/>
        <w:gridCol w:w="942"/>
        <w:gridCol w:w="1474"/>
        <w:gridCol w:w="1632"/>
      </w:tblGrid>
      <w:tr w:rsidR="00C0100D" w:rsidRPr="00B04DC3" w:rsidTr="00D74B39">
        <w:trPr>
          <w:trHeight w:val="729"/>
        </w:trPr>
        <w:tc>
          <w:tcPr>
            <w:tcW w:w="1082" w:type="dxa"/>
            <w:tcBorders>
              <w:left w:val="single" w:sz="4" w:space="0" w:color="auto"/>
              <w:bottom w:val="single" w:sz="12"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Row</w:t>
            </w:r>
          </w:p>
        </w:tc>
        <w:tc>
          <w:tcPr>
            <w:tcW w:w="1438" w:type="dxa"/>
            <w:tcBorders>
              <w:bottom w:val="single" w:sz="12"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Mass of carbon monoxide</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(CO) g/kWh</w:t>
            </w:r>
          </w:p>
        </w:tc>
        <w:tc>
          <w:tcPr>
            <w:tcW w:w="1937" w:type="dxa"/>
            <w:tcBorders>
              <w:bottom w:val="single" w:sz="12"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Mass of non-methane hydrocarbons</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(NMHC) g/kWh</w:t>
            </w:r>
          </w:p>
        </w:tc>
        <w:tc>
          <w:tcPr>
            <w:tcW w:w="942" w:type="dxa"/>
            <w:tcBorders>
              <w:bottom w:val="single" w:sz="12"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Mass of</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(CH4)</w:t>
            </w:r>
            <w:r w:rsidR="001122C9" w:rsidRPr="00B04DC3">
              <w:rPr>
                <w:i/>
                <w:sz w:val="16"/>
                <w:szCs w:val="16"/>
                <w:vertAlign w:val="superscript"/>
              </w:rPr>
              <w:t>a</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g/kWh</w:t>
            </w:r>
          </w:p>
        </w:tc>
        <w:tc>
          <w:tcPr>
            <w:tcW w:w="1474" w:type="dxa"/>
            <w:tcBorders>
              <w:bottom w:val="single" w:sz="12"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Mass of nitrogen oxides</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(NO</w:t>
            </w:r>
            <w:r w:rsidRPr="00B04DC3">
              <w:rPr>
                <w:i/>
                <w:sz w:val="16"/>
                <w:szCs w:val="16"/>
                <w:vertAlign w:val="subscript"/>
              </w:rPr>
              <w:t>x</w:t>
            </w:r>
            <w:r w:rsidRPr="00B04DC3">
              <w:rPr>
                <w:i/>
                <w:sz w:val="16"/>
                <w:szCs w:val="16"/>
              </w:rPr>
              <w:t>) g/kWh</w:t>
            </w:r>
          </w:p>
        </w:tc>
        <w:tc>
          <w:tcPr>
            <w:tcW w:w="1632" w:type="dxa"/>
            <w:tcBorders>
              <w:bottom w:val="single" w:sz="12" w:space="0" w:color="auto"/>
              <w:right w:val="single" w:sz="4" w:space="0" w:color="auto"/>
            </w:tcBorders>
          </w:tcPr>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Mass of particulates (PT)</w:t>
            </w:r>
          </w:p>
          <w:p w:rsidR="00C0100D" w:rsidRPr="00B04DC3" w:rsidRDefault="00C0100D" w:rsidP="008818F2">
            <w:pPr>
              <w:pStyle w:val="NormalCentered"/>
              <w:keepLines/>
              <w:numPr>
                <w:ilvl w:val="0"/>
                <w:numId w:val="0"/>
              </w:numPr>
              <w:tabs>
                <w:tab w:val="left" w:pos="1134"/>
              </w:tabs>
              <w:spacing w:before="80" w:after="80" w:line="200" w:lineRule="exact"/>
              <w:rPr>
                <w:i/>
                <w:sz w:val="16"/>
                <w:szCs w:val="16"/>
              </w:rPr>
            </w:pPr>
            <w:r w:rsidRPr="00B04DC3">
              <w:rPr>
                <w:i/>
                <w:sz w:val="16"/>
                <w:szCs w:val="16"/>
              </w:rPr>
              <w:t>(PT)</w:t>
            </w:r>
            <w:r w:rsidRPr="00B04DC3">
              <w:rPr>
                <w:i/>
                <w:sz w:val="16"/>
                <w:szCs w:val="16"/>
                <w:vertAlign w:val="superscript"/>
              </w:rPr>
              <w:t>b</w:t>
            </w:r>
            <w:r w:rsidRPr="00B04DC3">
              <w:rPr>
                <w:i/>
                <w:sz w:val="16"/>
                <w:szCs w:val="16"/>
              </w:rPr>
              <w:t xml:space="preserve"> g/kWh</w:t>
            </w:r>
          </w:p>
        </w:tc>
      </w:tr>
      <w:tr w:rsidR="00C0100D" w:rsidRPr="00B04DC3" w:rsidTr="00B04DC3">
        <w:tc>
          <w:tcPr>
            <w:tcW w:w="1082" w:type="dxa"/>
            <w:tcBorders>
              <w:top w:val="single" w:sz="12" w:space="0" w:color="auto"/>
              <w:left w:val="single" w:sz="4" w:space="0" w:color="auto"/>
              <w:bottom w:val="single" w:sz="2" w:space="0" w:color="auto"/>
            </w:tcBorders>
          </w:tcPr>
          <w:p w:rsidR="00C0100D" w:rsidRPr="00B04DC3" w:rsidRDefault="00C0100D" w:rsidP="008818F2">
            <w:pPr>
              <w:pStyle w:val="NormalLeft"/>
              <w:keepLines/>
              <w:tabs>
                <w:tab w:val="left" w:pos="1134"/>
              </w:tabs>
              <w:spacing w:before="40" w:after="80" w:line="220" w:lineRule="exact"/>
              <w:rPr>
                <w:sz w:val="18"/>
                <w:szCs w:val="18"/>
              </w:rPr>
            </w:pPr>
            <w:r w:rsidRPr="00B04DC3">
              <w:rPr>
                <w:sz w:val="18"/>
                <w:szCs w:val="18"/>
              </w:rPr>
              <w:t>A (2000)</w:t>
            </w:r>
          </w:p>
        </w:tc>
        <w:tc>
          <w:tcPr>
            <w:tcW w:w="1438" w:type="dxa"/>
            <w:tcBorders>
              <w:top w:val="single" w:sz="12" w:space="0" w:color="auto"/>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5.45</w:t>
            </w:r>
          </w:p>
        </w:tc>
        <w:tc>
          <w:tcPr>
            <w:tcW w:w="1937" w:type="dxa"/>
            <w:tcBorders>
              <w:top w:val="single" w:sz="12" w:space="0" w:color="auto"/>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0.78</w:t>
            </w:r>
          </w:p>
        </w:tc>
        <w:tc>
          <w:tcPr>
            <w:tcW w:w="942" w:type="dxa"/>
            <w:tcBorders>
              <w:top w:val="single" w:sz="12" w:space="0" w:color="auto"/>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1.6</w:t>
            </w:r>
          </w:p>
        </w:tc>
        <w:tc>
          <w:tcPr>
            <w:tcW w:w="1474" w:type="dxa"/>
            <w:tcBorders>
              <w:top w:val="single" w:sz="12" w:space="0" w:color="auto"/>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5.0</w:t>
            </w:r>
          </w:p>
        </w:tc>
        <w:tc>
          <w:tcPr>
            <w:tcW w:w="1632" w:type="dxa"/>
            <w:tcBorders>
              <w:top w:val="single" w:sz="12" w:space="0" w:color="auto"/>
              <w:bottom w:val="single" w:sz="2" w:space="0" w:color="auto"/>
              <w:right w:val="single" w:sz="4"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0.16 // 0.21</w:t>
            </w:r>
            <w:r w:rsidRPr="00B04DC3">
              <w:rPr>
                <w:sz w:val="18"/>
                <w:szCs w:val="18"/>
                <w:vertAlign w:val="superscript"/>
              </w:rPr>
              <w:t>c</w:t>
            </w:r>
          </w:p>
        </w:tc>
      </w:tr>
      <w:tr w:rsidR="00C0100D" w:rsidRPr="00B04DC3">
        <w:tc>
          <w:tcPr>
            <w:tcW w:w="1082" w:type="dxa"/>
            <w:tcBorders>
              <w:left w:val="single" w:sz="4" w:space="0" w:color="auto"/>
              <w:bottom w:val="single" w:sz="2" w:space="0" w:color="auto"/>
            </w:tcBorders>
          </w:tcPr>
          <w:p w:rsidR="00C0100D" w:rsidRPr="00B04DC3" w:rsidRDefault="00C0100D" w:rsidP="008818F2">
            <w:pPr>
              <w:pStyle w:val="NormalLeft"/>
              <w:keepLines/>
              <w:tabs>
                <w:tab w:val="left" w:pos="1134"/>
              </w:tabs>
              <w:spacing w:before="40" w:after="80" w:line="220" w:lineRule="exact"/>
              <w:rPr>
                <w:sz w:val="18"/>
                <w:szCs w:val="18"/>
              </w:rPr>
            </w:pPr>
            <w:r w:rsidRPr="00B04DC3">
              <w:rPr>
                <w:sz w:val="18"/>
                <w:szCs w:val="18"/>
              </w:rPr>
              <w:t>B1 (2005)</w:t>
            </w:r>
          </w:p>
        </w:tc>
        <w:tc>
          <w:tcPr>
            <w:tcW w:w="1438"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4.0</w:t>
            </w:r>
          </w:p>
        </w:tc>
        <w:tc>
          <w:tcPr>
            <w:tcW w:w="1937"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0.55</w:t>
            </w:r>
          </w:p>
        </w:tc>
        <w:tc>
          <w:tcPr>
            <w:tcW w:w="942"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1.1</w:t>
            </w:r>
          </w:p>
        </w:tc>
        <w:tc>
          <w:tcPr>
            <w:tcW w:w="1474"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3.5</w:t>
            </w:r>
          </w:p>
        </w:tc>
        <w:tc>
          <w:tcPr>
            <w:tcW w:w="1632" w:type="dxa"/>
            <w:tcBorders>
              <w:bottom w:val="single" w:sz="2" w:space="0" w:color="auto"/>
              <w:right w:val="single" w:sz="4"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0.03</w:t>
            </w:r>
          </w:p>
        </w:tc>
      </w:tr>
      <w:tr w:rsidR="00C0100D" w:rsidRPr="00B04DC3">
        <w:tc>
          <w:tcPr>
            <w:tcW w:w="1082" w:type="dxa"/>
            <w:tcBorders>
              <w:left w:val="single" w:sz="4" w:space="0" w:color="auto"/>
              <w:bottom w:val="single" w:sz="2" w:space="0" w:color="auto"/>
            </w:tcBorders>
          </w:tcPr>
          <w:p w:rsidR="00C0100D" w:rsidRPr="00B04DC3" w:rsidRDefault="00C0100D" w:rsidP="008818F2">
            <w:pPr>
              <w:pStyle w:val="NormalLeft"/>
              <w:keepLines/>
              <w:tabs>
                <w:tab w:val="left" w:pos="1134"/>
              </w:tabs>
              <w:spacing w:before="40" w:after="80" w:line="220" w:lineRule="exact"/>
              <w:rPr>
                <w:sz w:val="18"/>
                <w:szCs w:val="18"/>
              </w:rPr>
            </w:pPr>
            <w:r w:rsidRPr="00B04DC3">
              <w:rPr>
                <w:sz w:val="18"/>
                <w:szCs w:val="18"/>
              </w:rPr>
              <w:t>B2 (2008)</w:t>
            </w:r>
          </w:p>
        </w:tc>
        <w:tc>
          <w:tcPr>
            <w:tcW w:w="1438"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4.0</w:t>
            </w:r>
          </w:p>
        </w:tc>
        <w:tc>
          <w:tcPr>
            <w:tcW w:w="1937"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0.55</w:t>
            </w:r>
          </w:p>
        </w:tc>
        <w:tc>
          <w:tcPr>
            <w:tcW w:w="942"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1.1</w:t>
            </w:r>
          </w:p>
        </w:tc>
        <w:tc>
          <w:tcPr>
            <w:tcW w:w="1474" w:type="dxa"/>
            <w:tcBorders>
              <w:bottom w:val="single" w:sz="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2.0</w:t>
            </w:r>
          </w:p>
        </w:tc>
        <w:tc>
          <w:tcPr>
            <w:tcW w:w="1632" w:type="dxa"/>
            <w:tcBorders>
              <w:bottom w:val="single" w:sz="2" w:space="0" w:color="auto"/>
              <w:right w:val="single" w:sz="4"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0.03</w:t>
            </w:r>
          </w:p>
        </w:tc>
      </w:tr>
      <w:tr w:rsidR="00C0100D" w:rsidRPr="00B04DC3" w:rsidTr="00B04DC3">
        <w:tc>
          <w:tcPr>
            <w:tcW w:w="1082" w:type="dxa"/>
            <w:tcBorders>
              <w:left w:val="single" w:sz="4" w:space="0" w:color="auto"/>
              <w:bottom w:val="single" w:sz="12" w:space="0" w:color="auto"/>
            </w:tcBorders>
          </w:tcPr>
          <w:p w:rsidR="00C0100D" w:rsidRPr="00B04DC3" w:rsidRDefault="00C0100D" w:rsidP="008818F2">
            <w:pPr>
              <w:pStyle w:val="NormalLeft"/>
              <w:keepLines/>
              <w:tabs>
                <w:tab w:val="left" w:pos="1134"/>
              </w:tabs>
              <w:spacing w:before="40" w:after="80" w:line="220" w:lineRule="exact"/>
              <w:rPr>
                <w:sz w:val="18"/>
                <w:szCs w:val="18"/>
              </w:rPr>
            </w:pPr>
            <w:r w:rsidRPr="00B04DC3">
              <w:rPr>
                <w:sz w:val="18"/>
                <w:szCs w:val="18"/>
              </w:rPr>
              <w:t>C (EEV)</w:t>
            </w:r>
          </w:p>
        </w:tc>
        <w:tc>
          <w:tcPr>
            <w:tcW w:w="1438" w:type="dxa"/>
            <w:tcBorders>
              <w:bottom w:val="single" w:sz="1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3.0</w:t>
            </w:r>
          </w:p>
        </w:tc>
        <w:tc>
          <w:tcPr>
            <w:tcW w:w="1937" w:type="dxa"/>
            <w:tcBorders>
              <w:bottom w:val="single" w:sz="1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0.40</w:t>
            </w:r>
          </w:p>
        </w:tc>
        <w:tc>
          <w:tcPr>
            <w:tcW w:w="942" w:type="dxa"/>
            <w:tcBorders>
              <w:bottom w:val="single" w:sz="1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0.65</w:t>
            </w:r>
          </w:p>
        </w:tc>
        <w:tc>
          <w:tcPr>
            <w:tcW w:w="1474" w:type="dxa"/>
            <w:tcBorders>
              <w:bottom w:val="single" w:sz="12"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2.0</w:t>
            </w:r>
          </w:p>
        </w:tc>
        <w:tc>
          <w:tcPr>
            <w:tcW w:w="1632" w:type="dxa"/>
            <w:tcBorders>
              <w:bottom w:val="single" w:sz="12" w:space="0" w:color="auto"/>
              <w:right w:val="single" w:sz="4" w:space="0" w:color="auto"/>
            </w:tcBorders>
          </w:tcPr>
          <w:p w:rsidR="00C0100D" w:rsidRPr="00B04DC3" w:rsidRDefault="00C0100D" w:rsidP="008818F2">
            <w:pPr>
              <w:pStyle w:val="NormalLeft"/>
              <w:keepLines/>
              <w:tabs>
                <w:tab w:val="left" w:pos="1134"/>
              </w:tabs>
              <w:spacing w:before="40" w:after="80" w:line="220" w:lineRule="exact"/>
              <w:jc w:val="center"/>
              <w:rPr>
                <w:sz w:val="18"/>
                <w:szCs w:val="18"/>
              </w:rPr>
            </w:pPr>
            <w:r w:rsidRPr="00B04DC3">
              <w:rPr>
                <w:sz w:val="18"/>
                <w:szCs w:val="18"/>
              </w:rPr>
              <w:t>0.02</w:t>
            </w:r>
          </w:p>
        </w:tc>
      </w:tr>
      <w:tr w:rsidR="00C0100D" w:rsidRPr="00B04DC3" w:rsidTr="00B04DC3">
        <w:tc>
          <w:tcPr>
            <w:tcW w:w="8505" w:type="dxa"/>
            <w:gridSpan w:val="6"/>
            <w:tcBorders>
              <w:top w:val="single" w:sz="12" w:space="0" w:color="auto"/>
            </w:tcBorders>
          </w:tcPr>
          <w:p w:rsidR="00C0100D" w:rsidRPr="00B04DC3" w:rsidRDefault="0090306E" w:rsidP="008818F2">
            <w:pPr>
              <w:pStyle w:val="NormalRight"/>
              <w:keepLines/>
              <w:tabs>
                <w:tab w:val="left" w:pos="294"/>
              </w:tabs>
              <w:spacing w:after="0" w:line="200" w:lineRule="atLeast"/>
              <w:jc w:val="left"/>
              <w:rPr>
                <w:i/>
                <w:sz w:val="18"/>
                <w:szCs w:val="18"/>
                <w:vertAlign w:val="superscript"/>
              </w:rPr>
            </w:pPr>
            <w:r w:rsidRPr="00B04DC3">
              <w:rPr>
                <w:i/>
                <w:sz w:val="18"/>
                <w:szCs w:val="18"/>
                <w:vertAlign w:val="superscript"/>
              </w:rPr>
              <w:t xml:space="preserve">a  </w:t>
            </w:r>
            <w:r w:rsidR="00C0100D" w:rsidRPr="00B04DC3">
              <w:rPr>
                <w:sz w:val="18"/>
                <w:szCs w:val="18"/>
              </w:rPr>
              <w:t>For NG engines only.</w:t>
            </w:r>
          </w:p>
          <w:p w:rsidR="00C0100D" w:rsidRPr="00B04DC3" w:rsidRDefault="0090306E" w:rsidP="008818F2">
            <w:pPr>
              <w:pStyle w:val="NormalRight"/>
              <w:keepLines/>
              <w:tabs>
                <w:tab w:val="left" w:pos="294"/>
              </w:tabs>
              <w:spacing w:before="40" w:after="0" w:line="200" w:lineRule="atLeast"/>
              <w:jc w:val="left"/>
              <w:rPr>
                <w:i/>
                <w:sz w:val="18"/>
                <w:szCs w:val="18"/>
                <w:vertAlign w:val="superscript"/>
              </w:rPr>
            </w:pPr>
            <w:r w:rsidRPr="00B04DC3">
              <w:rPr>
                <w:i/>
                <w:sz w:val="18"/>
                <w:szCs w:val="18"/>
                <w:vertAlign w:val="superscript"/>
              </w:rPr>
              <w:t xml:space="preserve">b  </w:t>
            </w:r>
            <w:r w:rsidR="00C0100D" w:rsidRPr="00B04DC3">
              <w:rPr>
                <w:sz w:val="18"/>
                <w:szCs w:val="18"/>
              </w:rPr>
              <w:t>Not applicable for gas fuelled engines at stages B1 and B2</w:t>
            </w:r>
            <w:r w:rsidR="00C0100D" w:rsidRPr="00B04DC3">
              <w:rPr>
                <w:i/>
                <w:sz w:val="18"/>
                <w:szCs w:val="18"/>
                <w:vertAlign w:val="superscript"/>
              </w:rPr>
              <w:t>.</w:t>
            </w:r>
          </w:p>
          <w:p w:rsidR="00C0100D" w:rsidRPr="00B04DC3" w:rsidRDefault="0090306E" w:rsidP="008818F2">
            <w:pPr>
              <w:pStyle w:val="NormalRight"/>
              <w:keepLines/>
              <w:tabs>
                <w:tab w:val="left" w:pos="294"/>
              </w:tabs>
              <w:spacing w:before="40" w:after="0" w:line="200" w:lineRule="atLeast"/>
              <w:jc w:val="left"/>
              <w:rPr>
                <w:i/>
                <w:sz w:val="18"/>
                <w:szCs w:val="18"/>
                <w:vertAlign w:val="superscript"/>
              </w:rPr>
            </w:pPr>
            <w:r w:rsidRPr="00B04DC3">
              <w:rPr>
                <w:i/>
                <w:sz w:val="18"/>
                <w:szCs w:val="18"/>
                <w:vertAlign w:val="superscript"/>
              </w:rPr>
              <w:t xml:space="preserve">c  </w:t>
            </w:r>
            <w:r w:rsidR="00C0100D" w:rsidRPr="00B04DC3">
              <w:rPr>
                <w:sz w:val="18"/>
                <w:szCs w:val="18"/>
              </w:rPr>
              <w:t>For engines having a swept volume of less than 0.75 dm³ per cylinder and a rated power speed of more than</w:t>
            </w:r>
            <w:r w:rsidR="00E07F11" w:rsidRPr="00B04DC3">
              <w:rPr>
                <w:sz w:val="18"/>
                <w:szCs w:val="18"/>
              </w:rPr>
              <w:t> </w:t>
            </w:r>
            <w:r w:rsidR="00C0100D" w:rsidRPr="00B04DC3">
              <w:rPr>
                <w:sz w:val="18"/>
                <w:szCs w:val="18"/>
              </w:rPr>
              <w:t xml:space="preserve">3,000 </w:t>
            </w:r>
            <w:r w:rsidR="001120FF" w:rsidRPr="00B04DC3">
              <w:rPr>
                <w:sz w:val="18"/>
                <w:szCs w:val="18"/>
              </w:rPr>
              <w:t>min</w:t>
            </w:r>
            <w:r w:rsidR="001120FF" w:rsidRPr="00B04DC3">
              <w:rPr>
                <w:sz w:val="18"/>
                <w:szCs w:val="18"/>
                <w:vertAlign w:val="superscript"/>
              </w:rPr>
              <w:t>-1</w:t>
            </w:r>
          </w:p>
        </w:tc>
      </w:tr>
    </w:tbl>
    <w:p w:rsidR="00C0100D" w:rsidRPr="00B04DC3" w:rsidRDefault="00C0100D" w:rsidP="00D74B39">
      <w:pPr>
        <w:pStyle w:val="para"/>
        <w:spacing w:before="120"/>
        <w:rPr>
          <w:lang w:val="en-GB"/>
        </w:rPr>
      </w:pPr>
      <w:r w:rsidRPr="00B04DC3">
        <w:rPr>
          <w:lang w:val="en-GB"/>
        </w:rPr>
        <w:t>5.2.2.</w:t>
      </w:r>
      <w:r w:rsidRPr="00B04DC3">
        <w:rPr>
          <w:lang w:val="en-GB"/>
        </w:rPr>
        <w:tab/>
        <w:t>Hydrocarbon measurement for diesel and gas fuelled engines</w:t>
      </w:r>
    </w:p>
    <w:p w:rsidR="00C0100D" w:rsidRPr="00B04DC3" w:rsidRDefault="00C0100D" w:rsidP="00D74B39">
      <w:pPr>
        <w:pStyle w:val="para"/>
        <w:spacing w:after="80"/>
        <w:rPr>
          <w:lang w:val="en-GB"/>
        </w:rPr>
      </w:pPr>
      <w:r w:rsidRPr="00B04DC3">
        <w:rPr>
          <w:lang w:val="en-GB"/>
        </w:rPr>
        <w:t>5.2.2.1.</w:t>
      </w:r>
      <w:r w:rsidRPr="00B04DC3">
        <w:rPr>
          <w:lang w:val="en-GB"/>
        </w:rPr>
        <w:tab/>
        <w:t xml:space="preserve">A manufacturer may choose to measure the mass of </w:t>
      </w:r>
      <w:r w:rsidR="009E5087">
        <w:rPr>
          <w:lang w:val="en-GB"/>
        </w:rPr>
        <w:t>T</w:t>
      </w:r>
      <w:r w:rsidR="009E5087" w:rsidRPr="00B04DC3">
        <w:rPr>
          <w:lang w:val="en-GB"/>
        </w:rPr>
        <w:t xml:space="preserve">otal </w:t>
      </w:r>
      <w:r w:rsidR="009E5087">
        <w:rPr>
          <w:lang w:val="en-GB"/>
        </w:rPr>
        <w:t>H</w:t>
      </w:r>
      <w:r w:rsidR="009E5087" w:rsidRPr="00B04DC3">
        <w:rPr>
          <w:lang w:val="en-GB"/>
        </w:rPr>
        <w:t xml:space="preserve">ydrocarbons </w:t>
      </w:r>
      <w:r w:rsidRPr="00B04DC3">
        <w:rPr>
          <w:lang w:val="en-GB"/>
        </w:rPr>
        <w:t>(THC) on the ETC test instead of measuring the mass of non-methane hydrocarbons</w:t>
      </w:r>
      <w:r w:rsidR="00401E79" w:rsidRPr="00B04DC3">
        <w:rPr>
          <w:lang w:val="en-GB"/>
        </w:rPr>
        <w:t xml:space="preserve">. </w:t>
      </w:r>
      <w:r w:rsidRPr="00B04DC3">
        <w:rPr>
          <w:lang w:val="en-GB"/>
        </w:rPr>
        <w:t xml:space="preserve">In this case, the limit for the mass of total hydrocarbons is the same as shown in </w:t>
      </w:r>
      <w:r w:rsidR="009E5087">
        <w:rPr>
          <w:lang w:val="en-GB"/>
        </w:rPr>
        <w:t>T</w:t>
      </w:r>
      <w:r w:rsidR="009E5087" w:rsidRPr="00B04DC3">
        <w:rPr>
          <w:lang w:val="en-GB"/>
        </w:rPr>
        <w:t xml:space="preserve">able </w:t>
      </w:r>
      <w:r w:rsidRPr="00B04DC3">
        <w:rPr>
          <w:lang w:val="en-GB"/>
        </w:rPr>
        <w:t>2 for the mass of non-methane hydrocarbons.</w:t>
      </w:r>
    </w:p>
    <w:p w:rsidR="00C0100D" w:rsidRPr="00B04DC3" w:rsidRDefault="00C0100D" w:rsidP="00D74B39">
      <w:pPr>
        <w:pStyle w:val="para"/>
        <w:keepNext/>
        <w:keepLines/>
        <w:spacing w:after="80"/>
        <w:rPr>
          <w:lang w:val="en-GB"/>
        </w:rPr>
      </w:pPr>
      <w:r w:rsidRPr="00B04DC3">
        <w:rPr>
          <w:lang w:val="en-GB"/>
        </w:rPr>
        <w:t>5.2.3.</w:t>
      </w:r>
      <w:r w:rsidRPr="00B04DC3">
        <w:rPr>
          <w:lang w:val="en-GB"/>
        </w:rPr>
        <w:tab/>
        <w:t>Specific requirements for diesel engines</w:t>
      </w:r>
    </w:p>
    <w:p w:rsidR="00C0100D" w:rsidRPr="00B04DC3" w:rsidRDefault="00C0100D" w:rsidP="00D74B39">
      <w:pPr>
        <w:pStyle w:val="para"/>
        <w:spacing w:after="80"/>
        <w:rPr>
          <w:lang w:val="en-GB"/>
        </w:rPr>
      </w:pPr>
      <w:r w:rsidRPr="00B04DC3">
        <w:rPr>
          <w:lang w:val="en-GB"/>
        </w:rPr>
        <w:t>5.2.3.1.</w:t>
      </w:r>
      <w:r w:rsidRPr="00B04DC3">
        <w:rPr>
          <w:lang w:val="en-GB"/>
        </w:rPr>
        <w:tab/>
        <w:t>The specific mass of the oxides of nitrogen measured at the random check points within the control area of the ESC test shall not exceed by more than 10 per cent the values interpolated from the adjacent test modes (reference Annex 4A, Appendix 1, paragraphs 5.6.2. and 5.6.3.).</w:t>
      </w:r>
    </w:p>
    <w:p w:rsidR="00C0100D" w:rsidRPr="00B04DC3" w:rsidRDefault="00C0100D" w:rsidP="00D74B39">
      <w:pPr>
        <w:pStyle w:val="para"/>
        <w:spacing w:after="80"/>
        <w:rPr>
          <w:lang w:val="en-GB"/>
        </w:rPr>
      </w:pPr>
      <w:r w:rsidRPr="00B04DC3">
        <w:rPr>
          <w:lang w:val="en-GB"/>
        </w:rPr>
        <w:t>5.2.3.2.</w:t>
      </w:r>
      <w:r w:rsidRPr="00B04DC3">
        <w:rPr>
          <w:lang w:val="en-GB"/>
        </w:rPr>
        <w:tab/>
        <w:t>The smoke value on the random test speed of the ELR shall not exceed the highest smoke value of the two adjacent test speeds by more than 20 per cent, or by more than 5 per cent of the limit value, whichever is greater.</w:t>
      </w:r>
    </w:p>
    <w:p w:rsidR="00C0100D" w:rsidRPr="00B04DC3" w:rsidRDefault="00C0100D" w:rsidP="00D74B39">
      <w:pPr>
        <w:pStyle w:val="para"/>
        <w:spacing w:after="80"/>
        <w:rPr>
          <w:lang w:val="en-GB"/>
        </w:rPr>
      </w:pPr>
      <w:r w:rsidRPr="00B04DC3">
        <w:rPr>
          <w:lang w:val="en-GB"/>
        </w:rPr>
        <w:t>5.3.</w:t>
      </w:r>
      <w:r w:rsidRPr="00B04DC3">
        <w:rPr>
          <w:lang w:val="en-GB"/>
        </w:rPr>
        <w:tab/>
      </w:r>
      <w:r w:rsidR="00C92D69" w:rsidRPr="00B04DC3">
        <w:rPr>
          <w:lang w:val="en-GB"/>
        </w:rPr>
        <w:tab/>
      </w:r>
      <w:r w:rsidRPr="00B04DC3">
        <w:rPr>
          <w:lang w:val="en-GB"/>
        </w:rPr>
        <w:t>Durability and deterioration factors</w:t>
      </w:r>
    </w:p>
    <w:p w:rsidR="00C0100D" w:rsidRPr="00B04DC3" w:rsidRDefault="00C0100D" w:rsidP="00C92D69">
      <w:pPr>
        <w:pStyle w:val="para"/>
        <w:rPr>
          <w:lang w:val="en-GB"/>
        </w:rPr>
      </w:pPr>
      <w:r w:rsidRPr="00B04DC3">
        <w:rPr>
          <w:lang w:val="en-GB"/>
        </w:rPr>
        <w:t>5.3.1.</w:t>
      </w:r>
      <w:r w:rsidRPr="00B04DC3">
        <w:rPr>
          <w:lang w:val="en-GB"/>
        </w:rPr>
        <w:tab/>
        <w:t>The manufacturer shall demonstrate that a compression-ignition or gas engine approved by reference to the emission limits set out in row B1 or row B2 or row C of the tables in paragraph 5.2.1. will comply with those emission limits for a useful life of:</w:t>
      </w:r>
    </w:p>
    <w:p w:rsidR="00C0100D" w:rsidRPr="00B04DC3" w:rsidRDefault="00C0100D" w:rsidP="00C92D69">
      <w:pPr>
        <w:pStyle w:val="para"/>
        <w:rPr>
          <w:lang w:val="en-GB"/>
        </w:rPr>
      </w:pPr>
      <w:r w:rsidRPr="00B04DC3">
        <w:rPr>
          <w:lang w:val="en-GB"/>
        </w:rPr>
        <w:t>5.3.1.1.</w:t>
      </w:r>
      <w:r w:rsidRPr="00B04DC3">
        <w:rPr>
          <w:lang w:val="en-GB"/>
        </w:rPr>
        <w:tab/>
        <w:t>100,000 km or five years, whichever is the sooner, in the case of engines to be fitted to vehicles of category N</w:t>
      </w:r>
      <w:r w:rsidRPr="00B04DC3">
        <w:rPr>
          <w:vertAlign w:val="subscript"/>
          <w:lang w:val="en-GB"/>
        </w:rPr>
        <w:t>1</w:t>
      </w:r>
      <w:r w:rsidRPr="00B04DC3">
        <w:rPr>
          <w:lang w:val="en-GB"/>
        </w:rPr>
        <w:t>, M</w:t>
      </w:r>
      <w:r w:rsidRPr="00B04DC3">
        <w:rPr>
          <w:vertAlign w:val="subscript"/>
          <w:lang w:val="en-GB"/>
        </w:rPr>
        <w:t xml:space="preserve">1 </w:t>
      </w:r>
      <w:r w:rsidRPr="00B04DC3">
        <w:rPr>
          <w:lang w:val="en-GB"/>
        </w:rPr>
        <w:t>&gt; 3.5 tons and M</w:t>
      </w:r>
      <w:r w:rsidRPr="00B04DC3">
        <w:rPr>
          <w:vertAlign w:val="subscript"/>
          <w:lang w:val="en-GB"/>
        </w:rPr>
        <w:t>2</w:t>
      </w:r>
      <w:r w:rsidRPr="00B04DC3">
        <w:rPr>
          <w:lang w:val="en-GB"/>
        </w:rPr>
        <w:t>;</w:t>
      </w:r>
    </w:p>
    <w:p w:rsidR="00C0100D" w:rsidRPr="00B04DC3" w:rsidRDefault="00C0100D" w:rsidP="00C92D69">
      <w:pPr>
        <w:pStyle w:val="para"/>
        <w:rPr>
          <w:lang w:val="en-GB"/>
        </w:rPr>
      </w:pPr>
      <w:r w:rsidRPr="00B04DC3">
        <w:rPr>
          <w:lang w:val="en-GB"/>
        </w:rPr>
        <w:t>5.3.1.2.</w:t>
      </w:r>
      <w:r w:rsidRPr="00B04DC3">
        <w:rPr>
          <w:lang w:val="en-GB"/>
        </w:rPr>
        <w:tab/>
        <w:t>200,000 km or six years, whichever is the sooner, in the case of engines to be fitted to vehicles of category N</w:t>
      </w:r>
      <w:r w:rsidRPr="00B04DC3">
        <w:rPr>
          <w:vertAlign w:val="subscript"/>
          <w:lang w:val="en-GB"/>
        </w:rPr>
        <w:t>2</w:t>
      </w:r>
      <w:r w:rsidRPr="00B04DC3">
        <w:rPr>
          <w:lang w:val="en-GB"/>
        </w:rPr>
        <w:t>, N</w:t>
      </w:r>
      <w:r w:rsidRPr="00B04DC3">
        <w:rPr>
          <w:vertAlign w:val="subscript"/>
          <w:lang w:val="en-GB"/>
        </w:rPr>
        <w:t>3</w:t>
      </w:r>
      <w:r w:rsidRPr="00B04DC3">
        <w:rPr>
          <w:lang w:val="en-GB"/>
        </w:rPr>
        <w:t xml:space="preserve"> with a maximum technically permissible mass not exceeding 16 tonnes and M</w:t>
      </w:r>
      <w:r w:rsidRPr="00B04DC3">
        <w:rPr>
          <w:vertAlign w:val="subscript"/>
          <w:lang w:val="en-GB"/>
        </w:rPr>
        <w:t>3</w:t>
      </w:r>
      <w:r w:rsidRPr="00B04DC3">
        <w:rPr>
          <w:lang w:val="en-GB"/>
        </w:rPr>
        <w:t xml:space="preserve"> Class I, </w:t>
      </w:r>
      <w:r w:rsidR="00661DA4" w:rsidRPr="00B04DC3">
        <w:rPr>
          <w:lang w:val="en-GB"/>
        </w:rPr>
        <w:t>Class II and Class A, and Class </w:t>
      </w:r>
      <w:r w:rsidRPr="00B04DC3">
        <w:rPr>
          <w:lang w:val="en-GB"/>
        </w:rPr>
        <w:t>B with a maximum technically per</w:t>
      </w:r>
      <w:r w:rsidR="00661DA4" w:rsidRPr="00B04DC3">
        <w:rPr>
          <w:lang w:val="en-GB"/>
        </w:rPr>
        <w:t>missible mass not exceeding 7.5 </w:t>
      </w:r>
      <w:r w:rsidRPr="00B04DC3">
        <w:rPr>
          <w:lang w:val="en-GB"/>
        </w:rPr>
        <w:t>tonnes;</w:t>
      </w:r>
    </w:p>
    <w:p w:rsidR="00C0100D" w:rsidRPr="00B04DC3" w:rsidRDefault="00C0100D" w:rsidP="00C92D69">
      <w:pPr>
        <w:pStyle w:val="para"/>
        <w:rPr>
          <w:lang w:val="en-GB"/>
        </w:rPr>
      </w:pPr>
      <w:r w:rsidRPr="00B04DC3">
        <w:rPr>
          <w:lang w:val="en-GB"/>
        </w:rPr>
        <w:t>5.3.1.3.</w:t>
      </w:r>
      <w:r w:rsidRPr="00B04DC3">
        <w:rPr>
          <w:lang w:val="en-GB"/>
        </w:rPr>
        <w:tab/>
        <w:t>500,000 km or seven years, whichever is the sooner, in the case of engines to be fitted to vehicles of category N</w:t>
      </w:r>
      <w:r w:rsidRPr="00B04DC3">
        <w:rPr>
          <w:vertAlign w:val="subscript"/>
          <w:lang w:val="en-GB"/>
        </w:rPr>
        <w:t>3</w:t>
      </w:r>
      <w:r w:rsidRPr="00B04DC3">
        <w:rPr>
          <w:lang w:val="en-GB"/>
        </w:rPr>
        <w:t xml:space="preserve"> with a maximum technically permissible mass exceeding 16 tonnes and M</w:t>
      </w:r>
      <w:r w:rsidRPr="00B04DC3">
        <w:rPr>
          <w:vertAlign w:val="subscript"/>
          <w:lang w:val="en-GB"/>
        </w:rPr>
        <w:t>3</w:t>
      </w:r>
      <w:r w:rsidRPr="00B04DC3">
        <w:rPr>
          <w:lang w:val="en-GB"/>
        </w:rPr>
        <w:t>, Class III and</w:t>
      </w:r>
      <w:r w:rsidRPr="00B04DC3">
        <w:rPr>
          <w:vertAlign w:val="subscript"/>
          <w:lang w:val="en-GB"/>
        </w:rPr>
        <w:t xml:space="preserve"> </w:t>
      </w:r>
      <w:r w:rsidRPr="00B04DC3">
        <w:rPr>
          <w:lang w:val="en-GB"/>
        </w:rPr>
        <w:t>Class B with a maximum technically permissible mass exceeding 7.5 tonnes.</w:t>
      </w:r>
    </w:p>
    <w:p w:rsidR="00C0100D" w:rsidRPr="00B04DC3" w:rsidRDefault="00C0100D" w:rsidP="00C92D69">
      <w:pPr>
        <w:pStyle w:val="para"/>
        <w:rPr>
          <w:lang w:val="en-GB"/>
        </w:rPr>
      </w:pPr>
      <w:r w:rsidRPr="00B04DC3">
        <w:rPr>
          <w:lang w:val="en-GB"/>
        </w:rPr>
        <w:t>5.3.2.</w:t>
      </w:r>
      <w:r w:rsidRPr="00B04DC3">
        <w:rPr>
          <w:lang w:val="en-GB"/>
        </w:rPr>
        <w:tab/>
        <w:t>For the purposes of this Regulation, the manufacturer shall determine deterioration factors that will be used to demonstrate that the gaseous and particulate emissions of an engine family or engine-</w:t>
      </w:r>
      <w:r w:rsidR="006A75A0">
        <w:rPr>
          <w:lang w:val="en-GB"/>
        </w:rPr>
        <w:t>after-treatment</w:t>
      </w:r>
      <w:r w:rsidRPr="00B04DC3">
        <w:rPr>
          <w:lang w:val="en-GB"/>
        </w:rPr>
        <w:t xml:space="preserve"> system family remain in conformity with the appropriate emission limits specified in the tables in paragraph 5.2.1. over the appropriate durability period laid down in paragraph 5.3.1.</w:t>
      </w:r>
    </w:p>
    <w:p w:rsidR="00C0100D" w:rsidRPr="00B04DC3" w:rsidRDefault="00C0100D" w:rsidP="00C92D69">
      <w:pPr>
        <w:pStyle w:val="para"/>
        <w:rPr>
          <w:lang w:val="en-GB"/>
        </w:rPr>
      </w:pPr>
      <w:r w:rsidRPr="00B04DC3">
        <w:rPr>
          <w:lang w:val="en-GB"/>
        </w:rPr>
        <w:t>5.3.3.</w:t>
      </w:r>
      <w:r w:rsidRPr="00B04DC3">
        <w:rPr>
          <w:lang w:val="en-GB"/>
        </w:rPr>
        <w:tab/>
        <w:t>The procedures for demonstrating the compliance of an engine or engine-</w:t>
      </w:r>
      <w:r w:rsidR="006A75A0">
        <w:rPr>
          <w:lang w:val="en-GB"/>
        </w:rPr>
        <w:t>after-treatment</w:t>
      </w:r>
      <w:r w:rsidRPr="00B04DC3">
        <w:rPr>
          <w:lang w:val="en-GB"/>
        </w:rPr>
        <w:t xml:space="preserve"> system family with the relevant emission limits over the appropriate durability period are given in Annex 7 to this Regulation.</w:t>
      </w:r>
    </w:p>
    <w:p w:rsidR="00C0100D" w:rsidRPr="00B04DC3" w:rsidRDefault="00C0100D" w:rsidP="00B04DC3">
      <w:pPr>
        <w:pStyle w:val="para"/>
        <w:rPr>
          <w:lang w:val="en-GB"/>
        </w:rPr>
      </w:pPr>
      <w:r w:rsidRPr="00B04DC3">
        <w:rPr>
          <w:lang w:val="en-GB"/>
        </w:rPr>
        <w:t>5.4.</w:t>
      </w:r>
      <w:r w:rsidRPr="00B04DC3">
        <w:rPr>
          <w:lang w:val="en-GB"/>
        </w:rPr>
        <w:tab/>
      </w:r>
      <w:r w:rsidR="00C92D69" w:rsidRPr="00B04DC3">
        <w:rPr>
          <w:lang w:val="en-GB"/>
        </w:rPr>
        <w:tab/>
      </w:r>
      <w:r w:rsidRPr="00B04DC3">
        <w:rPr>
          <w:lang w:val="en-GB"/>
        </w:rPr>
        <w:t>On-</w:t>
      </w:r>
      <w:r w:rsidR="009E5087">
        <w:rPr>
          <w:lang w:val="en-GB"/>
        </w:rPr>
        <w:t>B</w:t>
      </w:r>
      <w:r w:rsidR="009E5087" w:rsidRPr="00B04DC3">
        <w:rPr>
          <w:lang w:val="en-GB"/>
        </w:rPr>
        <w:t xml:space="preserve">oard </w:t>
      </w:r>
      <w:r w:rsidR="009E5087">
        <w:rPr>
          <w:lang w:val="en-GB"/>
        </w:rPr>
        <w:t>D</w:t>
      </w:r>
      <w:r w:rsidR="009E5087" w:rsidRPr="00B04DC3">
        <w:rPr>
          <w:lang w:val="en-GB"/>
        </w:rPr>
        <w:t xml:space="preserve">iagnostic </w:t>
      </w:r>
      <w:r w:rsidRPr="00B04DC3">
        <w:rPr>
          <w:lang w:val="en-GB"/>
        </w:rPr>
        <w:t>(OBD) system</w:t>
      </w:r>
    </w:p>
    <w:p w:rsidR="00C0100D" w:rsidRPr="00B04DC3" w:rsidRDefault="00C0100D" w:rsidP="00C92D69">
      <w:pPr>
        <w:pStyle w:val="para"/>
        <w:rPr>
          <w:lang w:val="en-GB"/>
        </w:rPr>
      </w:pPr>
      <w:r w:rsidRPr="00B04DC3">
        <w:rPr>
          <w:lang w:val="en-GB"/>
        </w:rPr>
        <w:t>5.4.1.</w:t>
      </w:r>
      <w:r w:rsidRPr="00B04DC3">
        <w:rPr>
          <w:lang w:val="en-GB"/>
        </w:rPr>
        <w:tab/>
        <w:t>A compression-ignition engine approved by reference to the emission limit values set out in row B1 or row C of the tables in paragraph 5.2.1. or a vehicle propelled by such an engine shall be fitted with an OBD system that signals the presence of a fault to the driver if the OBD threshold limits set out in row B1 or row C of the table in paragraph</w:t>
      </w:r>
      <w:r w:rsidR="00C92D69" w:rsidRPr="00B04DC3">
        <w:rPr>
          <w:lang w:val="en-GB"/>
        </w:rPr>
        <w:t> </w:t>
      </w:r>
      <w:r w:rsidRPr="00B04DC3">
        <w:rPr>
          <w:lang w:val="en-GB"/>
        </w:rPr>
        <w:t>5.4.4. are exceeded</w:t>
      </w:r>
      <w:r w:rsidR="00401E79" w:rsidRPr="00B04DC3">
        <w:rPr>
          <w:lang w:val="en-GB"/>
        </w:rPr>
        <w:t xml:space="preserve">. </w:t>
      </w:r>
      <w:r w:rsidRPr="00B04DC3">
        <w:rPr>
          <w:lang w:val="en-GB"/>
        </w:rPr>
        <w:t>The OBD system for emission control shall be in accordance with the requirements of Annex 9A to this Regulation.</w:t>
      </w:r>
    </w:p>
    <w:p w:rsidR="00C0100D" w:rsidRPr="00B04DC3" w:rsidRDefault="00C0100D" w:rsidP="00C92D69">
      <w:pPr>
        <w:pStyle w:val="para"/>
        <w:rPr>
          <w:lang w:val="en-GB"/>
        </w:rPr>
      </w:pPr>
      <w:r w:rsidRPr="00B04DC3">
        <w:rPr>
          <w:lang w:val="en-GB"/>
        </w:rPr>
        <w:t>5.4.1.1.</w:t>
      </w:r>
      <w:r w:rsidRPr="00B04DC3">
        <w:rPr>
          <w:lang w:val="en-GB"/>
        </w:rPr>
        <w:tab/>
        <w:t>In the case of exhaust after-treatment systems, the OBD system may monitor for major functional failure of any of the following:</w:t>
      </w:r>
    </w:p>
    <w:p w:rsidR="00C0100D" w:rsidRPr="00B04DC3" w:rsidRDefault="00C0100D" w:rsidP="00C92D69">
      <w:pPr>
        <w:pStyle w:val="a"/>
        <w:rPr>
          <w:lang w:val="en-GB"/>
        </w:rPr>
      </w:pPr>
      <w:r w:rsidRPr="00B04DC3">
        <w:rPr>
          <w:lang w:val="en-GB"/>
        </w:rPr>
        <w:t>(a)</w:t>
      </w:r>
      <w:r w:rsidRPr="00B04DC3">
        <w:rPr>
          <w:lang w:val="en-GB"/>
        </w:rPr>
        <w:tab/>
      </w:r>
      <w:r w:rsidR="00C92D69" w:rsidRPr="00B04DC3">
        <w:rPr>
          <w:lang w:val="en-GB"/>
        </w:rPr>
        <w:t>A</w:t>
      </w:r>
      <w:r w:rsidRPr="00B04DC3">
        <w:rPr>
          <w:lang w:val="en-GB"/>
        </w:rPr>
        <w:t xml:space="preserve"> catalyst, where fitted as a separate unit, whether or not it is part of a deNO</w:t>
      </w:r>
      <w:r w:rsidRPr="00B04DC3">
        <w:rPr>
          <w:vertAlign w:val="subscript"/>
          <w:lang w:val="en-GB"/>
        </w:rPr>
        <w:t>x</w:t>
      </w:r>
      <w:r w:rsidRPr="00B04DC3">
        <w:rPr>
          <w:lang w:val="en-GB"/>
        </w:rPr>
        <w:t xml:space="preserve"> system or a diesel particulate filter;</w:t>
      </w:r>
    </w:p>
    <w:p w:rsidR="00C0100D" w:rsidRPr="00B04DC3" w:rsidRDefault="00C0100D" w:rsidP="00C92D69">
      <w:pPr>
        <w:pStyle w:val="a"/>
        <w:rPr>
          <w:lang w:val="en-GB"/>
        </w:rPr>
      </w:pPr>
      <w:r w:rsidRPr="00B04DC3">
        <w:rPr>
          <w:lang w:val="en-GB"/>
        </w:rPr>
        <w:t>(b)</w:t>
      </w:r>
      <w:r w:rsidRPr="00B04DC3">
        <w:rPr>
          <w:lang w:val="en-GB"/>
        </w:rPr>
        <w:tab/>
      </w:r>
      <w:r w:rsidR="00C92D69" w:rsidRPr="00B04DC3">
        <w:rPr>
          <w:lang w:val="en-GB"/>
        </w:rPr>
        <w:t>A</w:t>
      </w:r>
      <w:r w:rsidRPr="00B04DC3">
        <w:rPr>
          <w:lang w:val="en-GB"/>
        </w:rPr>
        <w:t xml:space="preserve"> deNO</w:t>
      </w:r>
      <w:r w:rsidRPr="00B04DC3">
        <w:rPr>
          <w:vertAlign w:val="subscript"/>
          <w:lang w:val="en-GB"/>
        </w:rPr>
        <w:t>x</w:t>
      </w:r>
      <w:r w:rsidRPr="00B04DC3">
        <w:rPr>
          <w:lang w:val="en-GB"/>
        </w:rPr>
        <w:t xml:space="preserve"> system, where fitted;</w:t>
      </w:r>
    </w:p>
    <w:p w:rsidR="00C0100D" w:rsidRPr="00B04DC3" w:rsidRDefault="00C0100D" w:rsidP="00C92D69">
      <w:pPr>
        <w:pStyle w:val="a"/>
        <w:rPr>
          <w:lang w:val="en-GB"/>
        </w:rPr>
      </w:pPr>
      <w:r w:rsidRPr="00B04DC3">
        <w:rPr>
          <w:lang w:val="en-GB"/>
        </w:rPr>
        <w:t>(c)</w:t>
      </w:r>
      <w:r w:rsidRPr="00B04DC3">
        <w:rPr>
          <w:lang w:val="en-GB"/>
        </w:rPr>
        <w:tab/>
      </w:r>
      <w:r w:rsidR="00C92D69" w:rsidRPr="00B04DC3">
        <w:rPr>
          <w:lang w:val="en-GB"/>
        </w:rPr>
        <w:t>A</w:t>
      </w:r>
      <w:r w:rsidRPr="00B04DC3">
        <w:rPr>
          <w:lang w:val="en-GB"/>
        </w:rPr>
        <w:t xml:space="preserve"> diesel particulate filter, where fitted;</w:t>
      </w:r>
    </w:p>
    <w:p w:rsidR="00C0100D" w:rsidRPr="00B04DC3" w:rsidRDefault="00C0100D" w:rsidP="00C92D69">
      <w:pPr>
        <w:pStyle w:val="a"/>
        <w:rPr>
          <w:lang w:val="en-GB"/>
        </w:rPr>
      </w:pPr>
      <w:r w:rsidRPr="00B04DC3">
        <w:rPr>
          <w:lang w:val="en-GB"/>
        </w:rPr>
        <w:t>(d)</w:t>
      </w:r>
      <w:r w:rsidRPr="00B04DC3">
        <w:rPr>
          <w:lang w:val="en-GB"/>
        </w:rPr>
        <w:tab/>
      </w:r>
      <w:r w:rsidR="00C92D69" w:rsidRPr="00B04DC3">
        <w:rPr>
          <w:lang w:val="en-GB"/>
        </w:rPr>
        <w:t>A</w:t>
      </w:r>
      <w:r w:rsidRPr="00B04DC3">
        <w:rPr>
          <w:lang w:val="en-GB"/>
        </w:rPr>
        <w:t xml:space="preserve"> combined deNO</w:t>
      </w:r>
      <w:r w:rsidRPr="00B04DC3">
        <w:rPr>
          <w:vertAlign w:val="subscript"/>
          <w:lang w:val="en-GB"/>
        </w:rPr>
        <w:t>x</w:t>
      </w:r>
      <w:r w:rsidRPr="00B04DC3">
        <w:rPr>
          <w:lang w:val="en-GB"/>
        </w:rPr>
        <w:t>-diesel particulate filter system.</w:t>
      </w:r>
    </w:p>
    <w:p w:rsidR="00C0100D" w:rsidRPr="00AA0E48" w:rsidRDefault="00C0100D" w:rsidP="00C92D69">
      <w:pPr>
        <w:pStyle w:val="para"/>
        <w:rPr>
          <w:spacing w:val="2"/>
          <w:lang w:val="en-GB"/>
        </w:rPr>
      </w:pPr>
      <w:r w:rsidRPr="00AA0E48">
        <w:rPr>
          <w:spacing w:val="2"/>
          <w:lang w:val="en-GB"/>
        </w:rPr>
        <w:t>5.4.2.</w:t>
      </w:r>
      <w:r w:rsidRPr="00AA0E48">
        <w:rPr>
          <w:spacing w:val="2"/>
          <w:lang w:val="en-GB"/>
        </w:rPr>
        <w:tab/>
      </w:r>
      <w:r w:rsidR="00AD6062" w:rsidRPr="00AA0E48">
        <w:rPr>
          <w:spacing w:val="2"/>
          <w:lang w:val="en-GB"/>
        </w:rPr>
        <w:t>Since</w:t>
      </w:r>
      <w:r w:rsidRPr="00AA0E48">
        <w:rPr>
          <w:spacing w:val="2"/>
          <w:lang w:val="en-GB"/>
        </w:rPr>
        <w:t xml:space="preserve"> 1 October 2008 for new approvals and </w:t>
      </w:r>
      <w:r w:rsidR="00AD6062" w:rsidRPr="00AA0E48">
        <w:rPr>
          <w:spacing w:val="2"/>
          <w:lang w:val="en-GB"/>
        </w:rPr>
        <w:t>since</w:t>
      </w:r>
      <w:r w:rsidRPr="00AA0E48">
        <w:rPr>
          <w:spacing w:val="2"/>
          <w:lang w:val="en-GB"/>
        </w:rPr>
        <w:t xml:space="preserve"> 1 October 2009 for all approvals, a compression-ignition or a gas engine approved by reference to the emission limit values set out in row B2 or row C of the tables in paragraph 5.2.1., or a vehicle propelled by such an engine shall be fitted with an OBD system that signals the presence of a fault to the driver if the OBD threshold limits set out in row B2 or row C of the table in paragraph 5.4.4. are exceeded</w:t>
      </w:r>
      <w:r w:rsidR="00401E79" w:rsidRPr="00AA0E48">
        <w:rPr>
          <w:spacing w:val="2"/>
          <w:lang w:val="en-GB"/>
        </w:rPr>
        <w:t xml:space="preserve">. </w:t>
      </w:r>
      <w:r w:rsidRPr="00AA0E48">
        <w:rPr>
          <w:spacing w:val="2"/>
          <w:lang w:val="en-GB"/>
        </w:rPr>
        <w:t>The on-board diagnostic (OBD) system for emission control shall be in accordance with the requirements of Annex 9A to this Regulation.</w:t>
      </w:r>
    </w:p>
    <w:p w:rsidR="00C0100D" w:rsidRPr="00B04DC3" w:rsidRDefault="00C0100D" w:rsidP="00C92D69">
      <w:pPr>
        <w:pStyle w:val="para"/>
        <w:rPr>
          <w:lang w:val="en-GB"/>
        </w:rPr>
      </w:pPr>
      <w:r w:rsidRPr="00B04DC3">
        <w:rPr>
          <w:lang w:val="en-GB"/>
        </w:rPr>
        <w:t>5.4.3.</w:t>
      </w:r>
      <w:r w:rsidRPr="00B04DC3">
        <w:rPr>
          <w:lang w:val="en-GB"/>
        </w:rPr>
        <w:tab/>
        <w:t xml:space="preserve">The OBD system shall also include an interface between the </w:t>
      </w:r>
      <w:r w:rsidRPr="00B04DC3">
        <w:rPr>
          <w:caps/>
          <w:lang w:val="en-GB"/>
        </w:rPr>
        <w:t>e</w:t>
      </w:r>
      <w:r w:rsidRPr="00B04DC3">
        <w:rPr>
          <w:lang w:val="en-GB"/>
        </w:rPr>
        <w:t xml:space="preserve">ngine </w:t>
      </w:r>
      <w:r w:rsidRPr="00B04DC3">
        <w:rPr>
          <w:caps/>
          <w:lang w:val="en-GB"/>
        </w:rPr>
        <w:t>e</w:t>
      </w:r>
      <w:r w:rsidRPr="00B04DC3">
        <w:rPr>
          <w:lang w:val="en-GB"/>
        </w:rPr>
        <w:t xml:space="preserve">lectronic </w:t>
      </w:r>
      <w:r w:rsidRPr="00B04DC3">
        <w:rPr>
          <w:caps/>
          <w:lang w:val="en-GB"/>
        </w:rPr>
        <w:t>c</w:t>
      </w:r>
      <w:r w:rsidRPr="00B04DC3">
        <w:rPr>
          <w:lang w:val="en-GB"/>
        </w:rPr>
        <w:t xml:space="preserve">ontrol </w:t>
      </w:r>
      <w:r w:rsidRPr="00B04DC3">
        <w:rPr>
          <w:caps/>
          <w:lang w:val="en-GB"/>
        </w:rPr>
        <w:t>u</w:t>
      </w:r>
      <w:r w:rsidRPr="00B04DC3">
        <w:rPr>
          <w:lang w:val="en-GB"/>
        </w:rPr>
        <w:t>nit (EECU) and any other engine or vehicle electrical or electronic systems that provide an input to or receive an output from the EECU and which affect the correct functioning of the emission control system, such as the interface between the EECU and a transmission electronic control unit.</w:t>
      </w:r>
    </w:p>
    <w:p w:rsidR="00C0100D" w:rsidRPr="00B04DC3" w:rsidRDefault="00C0100D" w:rsidP="00C92D69">
      <w:pPr>
        <w:pStyle w:val="para"/>
        <w:rPr>
          <w:lang w:val="en-GB"/>
        </w:rPr>
      </w:pPr>
      <w:r w:rsidRPr="00B04DC3">
        <w:rPr>
          <w:lang w:val="en-GB"/>
        </w:rPr>
        <w:t>5.4.4.</w:t>
      </w:r>
      <w:r w:rsidRPr="00B04DC3">
        <w:rPr>
          <w:lang w:val="en-GB"/>
        </w:rPr>
        <w:tab/>
        <w:t>The OBD threshold limits shall be as follows:</w:t>
      </w:r>
    </w:p>
    <w:tbl>
      <w:tblPr>
        <w:tblW w:w="0" w:type="auto"/>
        <w:tblInd w:w="12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070"/>
        <w:gridCol w:w="2741"/>
      </w:tblGrid>
      <w:tr w:rsidR="00C0100D" w:rsidRPr="00B04DC3">
        <w:trPr>
          <w:cantSplit/>
        </w:trPr>
        <w:tc>
          <w:tcPr>
            <w:tcW w:w="2127" w:type="dxa"/>
            <w:vMerge w:val="restart"/>
            <w:tcBorders>
              <w:left w:val="single" w:sz="4" w:space="0" w:color="auto"/>
            </w:tcBorders>
            <w:vAlign w:val="center"/>
          </w:tcPr>
          <w:p w:rsidR="00C0100D" w:rsidRPr="00B04DC3" w:rsidRDefault="00C0100D" w:rsidP="00661DA4">
            <w:pPr>
              <w:pStyle w:val="ManualNumPar1"/>
              <w:tabs>
                <w:tab w:val="left" w:pos="1134"/>
              </w:tabs>
              <w:spacing w:before="80" w:after="80" w:line="200" w:lineRule="exact"/>
              <w:ind w:left="1134" w:hanging="1134"/>
              <w:jc w:val="left"/>
              <w:rPr>
                <w:i/>
                <w:sz w:val="16"/>
                <w:szCs w:val="16"/>
              </w:rPr>
            </w:pPr>
            <w:r w:rsidRPr="00B04DC3">
              <w:rPr>
                <w:i/>
                <w:sz w:val="16"/>
                <w:szCs w:val="16"/>
              </w:rPr>
              <w:t>Row</w:t>
            </w:r>
          </w:p>
        </w:tc>
        <w:tc>
          <w:tcPr>
            <w:tcW w:w="5811" w:type="dxa"/>
            <w:gridSpan w:val="2"/>
            <w:tcBorders>
              <w:bottom w:val="nil"/>
              <w:right w:val="single" w:sz="4" w:space="0" w:color="auto"/>
            </w:tcBorders>
            <w:vAlign w:val="center"/>
          </w:tcPr>
          <w:p w:rsidR="00C0100D" w:rsidRPr="00B04DC3" w:rsidRDefault="00C0100D" w:rsidP="00AD6062">
            <w:pPr>
              <w:pStyle w:val="ManualNumPar1"/>
              <w:tabs>
                <w:tab w:val="left" w:pos="1134"/>
              </w:tabs>
              <w:spacing w:before="80" w:after="80" w:line="200" w:lineRule="exact"/>
              <w:ind w:left="1134" w:hanging="1134"/>
              <w:jc w:val="center"/>
              <w:rPr>
                <w:i/>
                <w:sz w:val="16"/>
                <w:szCs w:val="16"/>
              </w:rPr>
            </w:pPr>
            <w:r w:rsidRPr="00B04DC3">
              <w:rPr>
                <w:i/>
                <w:sz w:val="16"/>
                <w:szCs w:val="16"/>
              </w:rPr>
              <w:t>Compression-ignition engines</w:t>
            </w:r>
          </w:p>
        </w:tc>
      </w:tr>
      <w:tr w:rsidR="00C0100D" w:rsidRPr="00B04DC3">
        <w:trPr>
          <w:cantSplit/>
        </w:trPr>
        <w:tc>
          <w:tcPr>
            <w:tcW w:w="2127" w:type="dxa"/>
            <w:vMerge/>
            <w:tcBorders>
              <w:left w:val="single" w:sz="4" w:space="0" w:color="auto"/>
            </w:tcBorders>
            <w:vAlign w:val="center"/>
          </w:tcPr>
          <w:p w:rsidR="00C0100D" w:rsidRPr="00B04DC3" w:rsidRDefault="00C0100D" w:rsidP="00661DA4">
            <w:pPr>
              <w:pStyle w:val="ManualNumPar1"/>
              <w:tabs>
                <w:tab w:val="left" w:pos="1134"/>
              </w:tabs>
              <w:spacing w:before="80" w:after="80" w:line="200" w:lineRule="exact"/>
              <w:ind w:left="1134" w:hanging="1134"/>
              <w:jc w:val="left"/>
              <w:rPr>
                <w:i/>
                <w:sz w:val="16"/>
                <w:szCs w:val="16"/>
              </w:rPr>
            </w:pPr>
          </w:p>
        </w:tc>
        <w:tc>
          <w:tcPr>
            <w:tcW w:w="3070" w:type="dxa"/>
            <w:tcBorders>
              <w:bottom w:val="nil"/>
            </w:tcBorders>
            <w:vAlign w:val="center"/>
          </w:tcPr>
          <w:p w:rsidR="00C0100D" w:rsidRPr="00B04DC3" w:rsidRDefault="00C0100D" w:rsidP="00AD6062">
            <w:pPr>
              <w:pStyle w:val="ManualNumPar1"/>
              <w:tabs>
                <w:tab w:val="left" w:pos="1134"/>
              </w:tabs>
              <w:spacing w:before="80" w:after="80" w:line="200" w:lineRule="exact"/>
              <w:ind w:left="1134" w:hanging="1134"/>
              <w:jc w:val="center"/>
              <w:rPr>
                <w:i/>
                <w:sz w:val="16"/>
                <w:szCs w:val="16"/>
              </w:rPr>
            </w:pPr>
            <w:r w:rsidRPr="00B04DC3">
              <w:rPr>
                <w:i/>
                <w:sz w:val="16"/>
                <w:szCs w:val="16"/>
              </w:rPr>
              <w:t>Mass of oxides of nitrogen</w:t>
            </w:r>
          </w:p>
        </w:tc>
        <w:tc>
          <w:tcPr>
            <w:tcW w:w="2741" w:type="dxa"/>
            <w:tcBorders>
              <w:bottom w:val="nil"/>
              <w:right w:val="single" w:sz="4" w:space="0" w:color="auto"/>
            </w:tcBorders>
          </w:tcPr>
          <w:p w:rsidR="00C0100D" w:rsidRPr="00B04DC3" w:rsidRDefault="00C0100D" w:rsidP="00AD6062">
            <w:pPr>
              <w:pStyle w:val="ManualNumPar1"/>
              <w:tabs>
                <w:tab w:val="left" w:pos="1134"/>
              </w:tabs>
              <w:spacing w:before="80" w:after="80" w:line="200" w:lineRule="exact"/>
              <w:ind w:left="1134" w:hanging="1134"/>
              <w:jc w:val="center"/>
              <w:rPr>
                <w:i/>
                <w:sz w:val="16"/>
                <w:szCs w:val="16"/>
              </w:rPr>
            </w:pPr>
            <w:r w:rsidRPr="00B04DC3">
              <w:rPr>
                <w:i/>
                <w:sz w:val="16"/>
                <w:szCs w:val="16"/>
              </w:rPr>
              <w:t>Mass of particulate</w:t>
            </w:r>
          </w:p>
        </w:tc>
      </w:tr>
      <w:tr w:rsidR="00C0100D" w:rsidRPr="00B04DC3" w:rsidTr="00B04DC3">
        <w:trPr>
          <w:cantSplit/>
        </w:trPr>
        <w:tc>
          <w:tcPr>
            <w:tcW w:w="2127" w:type="dxa"/>
            <w:vMerge/>
            <w:tcBorders>
              <w:left w:val="single" w:sz="4" w:space="0" w:color="auto"/>
              <w:bottom w:val="single" w:sz="12" w:space="0" w:color="auto"/>
            </w:tcBorders>
            <w:vAlign w:val="center"/>
          </w:tcPr>
          <w:p w:rsidR="00C0100D" w:rsidRPr="00B04DC3" w:rsidRDefault="00C0100D" w:rsidP="00661DA4">
            <w:pPr>
              <w:pStyle w:val="ManualNumPar1"/>
              <w:tabs>
                <w:tab w:val="left" w:pos="1134"/>
              </w:tabs>
              <w:spacing w:before="80" w:after="80" w:line="200" w:lineRule="exact"/>
              <w:ind w:left="1134" w:hanging="1134"/>
              <w:jc w:val="left"/>
              <w:rPr>
                <w:i/>
                <w:sz w:val="16"/>
                <w:szCs w:val="16"/>
              </w:rPr>
            </w:pPr>
          </w:p>
        </w:tc>
        <w:tc>
          <w:tcPr>
            <w:tcW w:w="3070" w:type="dxa"/>
            <w:tcBorders>
              <w:top w:val="nil"/>
              <w:bottom w:val="single" w:sz="12" w:space="0" w:color="auto"/>
            </w:tcBorders>
            <w:vAlign w:val="center"/>
          </w:tcPr>
          <w:p w:rsidR="00C0100D" w:rsidRPr="00B04DC3" w:rsidRDefault="00C0100D" w:rsidP="00AD6062">
            <w:pPr>
              <w:pStyle w:val="ManualNumPar1"/>
              <w:tabs>
                <w:tab w:val="left" w:pos="1134"/>
              </w:tabs>
              <w:spacing w:before="80" w:after="80" w:line="200" w:lineRule="exact"/>
              <w:ind w:left="1134" w:hanging="1134"/>
              <w:jc w:val="center"/>
              <w:rPr>
                <w:i/>
                <w:sz w:val="16"/>
                <w:szCs w:val="16"/>
              </w:rPr>
            </w:pPr>
            <w:r w:rsidRPr="00B04DC3">
              <w:rPr>
                <w:i/>
                <w:sz w:val="16"/>
                <w:szCs w:val="16"/>
              </w:rPr>
              <w:t>(NO</w:t>
            </w:r>
            <w:r w:rsidRPr="00B04DC3">
              <w:rPr>
                <w:i/>
                <w:sz w:val="16"/>
                <w:szCs w:val="16"/>
                <w:vertAlign w:val="subscript"/>
              </w:rPr>
              <w:t>x</w:t>
            </w:r>
            <w:r w:rsidRPr="00B04DC3">
              <w:rPr>
                <w:i/>
                <w:sz w:val="16"/>
                <w:szCs w:val="16"/>
              </w:rPr>
              <w:t>) g/kWh</w:t>
            </w:r>
          </w:p>
        </w:tc>
        <w:tc>
          <w:tcPr>
            <w:tcW w:w="2741" w:type="dxa"/>
            <w:tcBorders>
              <w:top w:val="nil"/>
              <w:bottom w:val="single" w:sz="12" w:space="0" w:color="auto"/>
              <w:right w:val="single" w:sz="4" w:space="0" w:color="auto"/>
            </w:tcBorders>
          </w:tcPr>
          <w:p w:rsidR="00C0100D" w:rsidRPr="00B04DC3" w:rsidRDefault="00C0100D" w:rsidP="00AD6062">
            <w:pPr>
              <w:pStyle w:val="ManualNumPar1"/>
              <w:tabs>
                <w:tab w:val="left" w:pos="1134"/>
              </w:tabs>
              <w:spacing w:before="80" w:after="80" w:line="200" w:lineRule="exact"/>
              <w:ind w:left="1134" w:hanging="1134"/>
              <w:jc w:val="center"/>
              <w:rPr>
                <w:i/>
                <w:sz w:val="16"/>
                <w:szCs w:val="16"/>
              </w:rPr>
            </w:pPr>
            <w:r w:rsidRPr="00B04DC3">
              <w:rPr>
                <w:i/>
                <w:sz w:val="16"/>
                <w:szCs w:val="16"/>
              </w:rPr>
              <w:t>(PT) g/kWh</w:t>
            </w:r>
          </w:p>
        </w:tc>
      </w:tr>
      <w:tr w:rsidR="00C0100D" w:rsidRPr="00B04DC3" w:rsidTr="00B04DC3">
        <w:tc>
          <w:tcPr>
            <w:tcW w:w="2127" w:type="dxa"/>
            <w:tcBorders>
              <w:top w:val="single" w:sz="12" w:space="0" w:color="auto"/>
              <w:left w:val="single" w:sz="4" w:space="0" w:color="auto"/>
            </w:tcBorders>
            <w:vAlign w:val="center"/>
          </w:tcPr>
          <w:p w:rsidR="00C0100D" w:rsidRPr="00B04DC3" w:rsidRDefault="00C0100D" w:rsidP="00661DA4">
            <w:pPr>
              <w:pStyle w:val="ManualNumPar1"/>
              <w:tabs>
                <w:tab w:val="left" w:pos="1134"/>
              </w:tabs>
              <w:spacing w:before="40" w:after="80" w:line="240" w:lineRule="exact"/>
              <w:ind w:left="1134" w:hanging="1134"/>
              <w:jc w:val="left"/>
              <w:rPr>
                <w:sz w:val="18"/>
                <w:szCs w:val="18"/>
              </w:rPr>
            </w:pPr>
            <w:r w:rsidRPr="00B04DC3">
              <w:rPr>
                <w:sz w:val="18"/>
                <w:szCs w:val="18"/>
              </w:rPr>
              <w:t>B1 (2005)</w:t>
            </w:r>
          </w:p>
        </w:tc>
        <w:tc>
          <w:tcPr>
            <w:tcW w:w="3070" w:type="dxa"/>
            <w:tcBorders>
              <w:top w:val="single" w:sz="12" w:space="0" w:color="auto"/>
            </w:tcBorders>
            <w:vAlign w:val="center"/>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7.0</w:t>
            </w:r>
          </w:p>
        </w:tc>
        <w:tc>
          <w:tcPr>
            <w:tcW w:w="2741" w:type="dxa"/>
            <w:tcBorders>
              <w:top w:val="single" w:sz="12" w:space="0" w:color="auto"/>
              <w:right w:val="single" w:sz="4" w:space="0" w:color="auto"/>
            </w:tcBorders>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0.1</w:t>
            </w:r>
          </w:p>
        </w:tc>
      </w:tr>
      <w:tr w:rsidR="00C0100D" w:rsidRPr="00B04DC3">
        <w:tc>
          <w:tcPr>
            <w:tcW w:w="2127" w:type="dxa"/>
            <w:tcBorders>
              <w:left w:val="single" w:sz="4" w:space="0" w:color="auto"/>
              <w:bottom w:val="nil"/>
            </w:tcBorders>
            <w:vAlign w:val="center"/>
          </w:tcPr>
          <w:p w:rsidR="00C0100D" w:rsidRPr="00B04DC3" w:rsidRDefault="00C0100D" w:rsidP="00661DA4">
            <w:pPr>
              <w:pStyle w:val="ManualNumPar1"/>
              <w:tabs>
                <w:tab w:val="left" w:pos="1134"/>
              </w:tabs>
              <w:spacing w:before="40" w:after="80" w:line="240" w:lineRule="exact"/>
              <w:ind w:left="1134" w:hanging="1134"/>
              <w:jc w:val="left"/>
              <w:rPr>
                <w:sz w:val="18"/>
                <w:szCs w:val="18"/>
              </w:rPr>
            </w:pPr>
            <w:r w:rsidRPr="00B04DC3">
              <w:rPr>
                <w:sz w:val="18"/>
                <w:szCs w:val="18"/>
              </w:rPr>
              <w:t>B2 (2008)</w:t>
            </w:r>
          </w:p>
        </w:tc>
        <w:tc>
          <w:tcPr>
            <w:tcW w:w="3070" w:type="dxa"/>
            <w:tcBorders>
              <w:bottom w:val="nil"/>
            </w:tcBorders>
            <w:vAlign w:val="center"/>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7.0</w:t>
            </w:r>
          </w:p>
        </w:tc>
        <w:tc>
          <w:tcPr>
            <w:tcW w:w="2741" w:type="dxa"/>
            <w:tcBorders>
              <w:bottom w:val="nil"/>
              <w:right w:val="single" w:sz="4" w:space="0" w:color="auto"/>
            </w:tcBorders>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0.1</w:t>
            </w:r>
          </w:p>
        </w:tc>
      </w:tr>
      <w:tr w:rsidR="00C0100D" w:rsidRPr="00B04DC3" w:rsidTr="00B04DC3">
        <w:tc>
          <w:tcPr>
            <w:tcW w:w="2127" w:type="dxa"/>
            <w:tcBorders>
              <w:left w:val="single" w:sz="4" w:space="0" w:color="auto"/>
              <w:bottom w:val="single" w:sz="12" w:space="0" w:color="auto"/>
            </w:tcBorders>
            <w:vAlign w:val="center"/>
          </w:tcPr>
          <w:p w:rsidR="00C0100D" w:rsidRPr="00B04DC3" w:rsidRDefault="00C0100D" w:rsidP="00661DA4">
            <w:pPr>
              <w:pStyle w:val="ManualNumPar1"/>
              <w:tabs>
                <w:tab w:val="left" w:pos="1134"/>
              </w:tabs>
              <w:spacing w:before="40" w:after="80" w:line="240" w:lineRule="exact"/>
              <w:ind w:left="1134" w:hanging="1134"/>
              <w:jc w:val="left"/>
              <w:rPr>
                <w:sz w:val="18"/>
                <w:szCs w:val="18"/>
              </w:rPr>
            </w:pPr>
            <w:r w:rsidRPr="00B04DC3">
              <w:rPr>
                <w:sz w:val="18"/>
                <w:szCs w:val="18"/>
              </w:rPr>
              <w:t>C (EEV)</w:t>
            </w:r>
          </w:p>
        </w:tc>
        <w:tc>
          <w:tcPr>
            <w:tcW w:w="3070" w:type="dxa"/>
            <w:tcBorders>
              <w:bottom w:val="single" w:sz="12" w:space="0" w:color="auto"/>
            </w:tcBorders>
            <w:vAlign w:val="center"/>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7.0</w:t>
            </w:r>
          </w:p>
        </w:tc>
        <w:tc>
          <w:tcPr>
            <w:tcW w:w="2741" w:type="dxa"/>
            <w:tcBorders>
              <w:bottom w:val="single" w:sz="12" w:space="0" w:color="auto"/>
              <w:right w:val="single" w:sz="4" w:space="0" w:color="auto"/>
            </w:tcBorders>
          </w:tcPr>
          <w:p w:rsidR="00C0100D" w:rsidRPr="00B04DC3" w:rsidRDefault="00C0100D" w:rsidP="00C92D69">
            <w:pPr>
              <w:pStyle w:val="ManualNumPar1"/>
              <w:tabs>
                <w:tab w:val="left" w:pos="1134"/>
              </w:tabs>
              <w:spacing w:before="40" w:after="80" w:line="240" w:lineRule="exact"/>
              <w:ind w:left="1134" w:hanging="1134"/>
              <w:jc w:val="center"/>
              <w:rPr>
                <w:sz w:val="18"/>
                <w:szCs w:val="18"/>
              </w:rPr>
            </w:pPr>
            <w:r w:rsidRPr="00B04DC3">
              <w:rPr>
                <w:sz w:val="18"/>
                <w:szCs w:val="18"/>
              </w:rPr>
              <w:t>0.1</w:t>
            </w:r>
          </w:p>
        </w:tc>
      </w:tr>
    </w:tbl>
    <w:p w:rsidR="00C0100D" w:rsidRPr="00B04DC3" w:rsidRDefault="00C0100D" w:rsidP="00C92D69">
      <w:pPr>
        <w:pStyle w:val="para"/>
        <w:spacing w:before="240"/>
        <w:rPr>
          <w:lang w:val="en-GB"/>
        </w:rPr>
      </w:pPr>
      <w:r w:rsidRPr="00B04DC3">
        <w:rPr>
          <w:lang w:val="en-GB"/>
        </w:rPr>
        <w:t>5.4.5.</w:t>
      </w:r>
      <w:r w:rsidRPr="00B04DC3">
        <w:rPr>
          <w:lang w:val="en-GB"/>
        </w:rPr>
        <w:tab/>
        <w:t>Full and uniform access to OBD information shall be provided for the purposes of testing, diagnosis, servicing and repair in keeping with the relevant provisions of ECE Regulation No. 83 and provisions regarding replacement components ensuring compatibility with OBD systems.</w:t>
      </w:r>
    </w:p>
    <w:p w:rsidR="00C0100D" w:rsidRPr="00B04DC3" w:rsidRDefault="00C0100D" w:rsidP="00C541E5">
      <w:pPr>
        <w:pStyle w:val="para"/>
        <w:rPr>
          <w:lang w:val="en-GB"/>
        </w:rPr>
      </w:pPr>
      <w:r w:rsidRPr="00B04DC3">
        <w:rPr>
          <w:lang w:val="en-GB"/>
        </w:rPr>
        <w:t>5.4.6.</w:t>
      </w:r>
      <w:r w:rsidRPr="00B04DC3">
        <w:rPr>
          <w:lang w:val="en-GB"/>
        </w:rPr>
        <w:tab/>
        <w:t>Small batch engine production</w:t>
      </w:r>
    </w:p>
    <w:p w:rsidR="00C0100D" w:rsidRPr="00B04DC3" w:rsidRDefault="00C0100D" w:rsidP="00C541E5">
      <w:pPr>
        <w:pStyle w:val="para"/>
        <w:rPr>
          <w:lang w:val="en-GB"/>
        </w:rPr>
      </w:pPr>
      <w:r w:rsidRPr="00B04DC3">
        <w:rPr>
          <w:lang w:val="en-GB"/>
        </w:rPr>
        <w:tab/>
        <w:t>As an alternative to the requirements of this paragraph, engine manufacturers whose world-wide annual production of a type of engine, belonging to an OBD engine family:</w:t>
      </w:r>
    </w:p>
    <w:p w:rsidR="00C0100D" w:rsidRPr="00B04DC3" w:rsidRDefault="00C0100D" w:rsidP="00C541E5">
      <w:pPr>
        <w:pStyle w:val="a"/>
        <w:rPr>
          <w:lang w:val="en-GB"/>
        </w:rPr>
      </w:pPr>
      <w:r w:rsidRPr="00B04DC3">
        <w:rPr>
          <w:lang w:val="en-GB"/>
        </w:rPr>
        <w:t>(a)</w:t>
      </w:r>
      <w:r w:rsidRPr="00B04DC3">
        <w:rPr>
          <w:lang w:val="en-GB"/>
        </w:rPr>
        <w:tab/>
      </w:r>
      <w:r w:rsidR="00C541E5" w:rsidRPr="00B04DC3">
        <w:rPr>
          <w:lang w:val="en-GB"/>
        </w:rPr>
        <w:t>Is</w:t>
      </w:r>
      <w:r w:rsidRPr="00B04DC3">
        <w:rPr>
          <w:lang w:val="en-GB"/>
        </w:rPr>
        <w:t xml:space="preserve"> less than 500 units per year, may obtain approval on the basis of the requirements of the present Regulation where the engine is monitored only for circuit continuity and the after-treatment system is monitored for major functional failure;</w:t>
      </w:r>
    </w:p>
    <w:p w:rsidR="00C0100D" w:rsidRPr="00B04DC3" w:rsidRDefault="00C0100D" w:rsidP="00C541E5">
      <w:pPr>
        <w:pStyle w:val="a"/>
        <w:rPr>
          <w:lang w:val="en-GB"/>
        </w:rPr>
      </w:pPr>
      <w:r w:rsidRPr="00B04DC3">
        <w:rPr>
          <w:lang w:val="en-GB"/>
        </w:rPr>
        <w:t>(b)</w:t>
      </w:r>
      <w:r w:rsidRPr="00B04DC3">
        <w:rPr>
          <w:lang w:val="en-GB"/>
        </w:rPr>
        <w:tab/>
      </w:r>
      <w:r w:rsidR="00C541E5" w:rsidRPr="00B04DC3">
        <w:rPr>
          <w:lang w:val="en-GB"/>
        </w:rPr>
        <w:t>Is</w:t>
      </w:r>
      <w:r w:rsidRPr="00B04DC3">
        <w:rPr>
          <w:lang w:val="en-GB"/>
        </w:rPr>
        <w:t xml:space="preserve"> less than 50 units per year, may obtain approval on the basis of the requirements of the present Regulation where the complete emission control system (i.e. the engine and after-treatment system) are monitored only for circuit continuity.</w:t>
      </w:r>
    </w:p>
    <w:p w:rsidR="00C0100D" w:rsidRPr="00B04DC3" w:rsidRDefault="00C0100D" w:rsidP="00C541E5">
      <w:pPr>
        <w:pStyle w:val="para"/>
        <w:rPr>
          <w:lang w:val="en-GB"/>
        </w:rPr>
      </w:pPr>
      <w:r w:rsidRPr="00B04DC3">
        <w:rPr>
          <w:lang w:val="en-GB"/>
        </w:rPr>
        <w:tab/>
        <w:t xml:space="preserve">The </w:t>
      </w:r>
      <w:r w:rsidR="0055021A">
        <w:rPr>
          <w:lang w:val="en-GB"/>
        </w:rPr>
        <w:t xml:space="preserve">Type </w:t>
      </w:r>
      <w:r w:rsidRPr="00B04DC3">
        <w:rPr>
          <w:lang w:val="en-GB"/>
        </w:rPr>
        <w:t>Approval Authority shall inform the other Contracting Parties of the circumstances of each approval granted under this provision.</w:t>
      </w:r>
    </w:p>
    <w:p w:rsidR="00C0100D" w:rsidRPr="00B04DC3" w:rsidRDefault="00C0100D" w:rsidP="0058429C">
      <w:pPr>
        <w:pStyle w:val="para"/>
        <w:keepNext/>
        <w:keepLines/>
        <w:rPr>
          <w:lang w:val="en-GB"/>
        </w:rPr>
      </w:pPr>
      <w:r w:rsidRPr="00B04DC3">
        <w:rPr>
          <w:lang w:val="en-GB"/>
        </w:rPr>
        <w:t>5.5.</w:t>
      </w:r>
      <w:r w:rsidRPr="00B04DC3">
        <w:rPr>
          <w:lang w:val="en-GB"/>
        </w:rPr>
        <w:tab/>
      </w:r>
      <w:r w:rsidR="00C541E5" w:rsidRPr="00B04DC3">
        <w:rPr>
          <w:lang w:val="en-GB"/>
        </w:rPr>
        <w:tab/>
      </w:r>
      <w:r w:rsidRPr="00B04DC3">
        <w:rPr>
          <w:lang w:val="en-GB"/>
        </w:rPr>
        <w:t>Requirements to ensure correct operation of NO</w:t>
      </w:r>
      <w:r w:rsidRPr="00B04DC3">
        <w:rPr>
          <w:vertAlign w:val="subscript"/>
          <w:lang w:val="en-GB"/>
        </w:rPr>
        <w:t>x</w:t>
      </w:r>
      <w:r w:rsidRPr="00B04DC3">
        <w:rPr>
          <w:lang w:val="en-GB"/>
        </w:rPr>
        <w:t xml:space="preserve"> control measures </w:t>
      </w:r>
    </w:p>
    <w:p w:rsidR="00C0100D" w:rsidRPr="00B04DC3" w:rsidRDefault="00C0100D" w:rsidP="0058429C">
      <w:pPr>
        <w:pStyle w:val="para"/>
        <w:keepNext/>
        <w:keepLines/>
        <w:rPr>
          <w:lang w:val="en-GB"/>
        </w:rPr>
      </w:pPr>
      <w:r w:rsidRPr="00B04DC3">
        <w:rPr>
          <w:lang w:val="en-GB"/>
        </w:rPr>
        <w:t>5.5.1.</w:t>
      </w:r>
      <w:r w:rsidRPr="00B04DC3">
        <w:rPr>
          <w:lang w:val="en-GB"/>
        </w:rPr>
        <w:tab/>
        <w:t>General</w:t>
      </w:r>
    </w:p>
    <w:p w:rsidR="00C0100D" w:rsidRPr="00B04DC3" w:rsidRDefault="00C0100D" w:rsidP="00C541E5">
      <w:pPr>
        <w:pStyle w:val="para"/>
        <w:rPr>
          <w:lang w:val="en-GB"/>
        </w:rPr>
      </w:pPr>
      <w:r w:rsidRPr="00B04DC3">
        <w:rPr>
          <w:lang w:val="en-GB"/>
        </w:rPr>
        <w:t>5.5.1.1.</w:t>
      </w:r>
      <w:r w:rsidRPr="00B04DC3">
        <w:rPr>
          <w:lang w:val="en-GB"/>
        </w:rPr>
        <w:tab/>
        <w:t>This paragraph is applicable to compression-ignition engine systems irrespective of the technology used to comply with the emission limit values provided in the tables in paragraph 5.2.1.</w:t>
      </w:r>
    </w:p>
    <w:p w:rsidR="00C0100D" w:rsidRPr="00B04DC3" w:rsidRDefault="00C0100D" w:rsidP="00C541E5">
      <w:pPr>
        <w:pStyle w:val="para"/>
        <w:rPr>
          <w:lang w:val="en-GB"/>
        </w:rPr>
      </w:pPr>
      <w:r w:rsidRPr="00B04DC3">
        <w:rPr>
          <w:lang w:val="en-GB"/>
        </w:rPr>
        <w:t>5.5.1.2.</w:t>
      </w:r>
      <w:r w:rsidRPr="00B04DC3">
        <w:rPr>
          <w:lang w:val="en-GB"/>
        </w:rPr>
        <w:tab/>
        <w:t>Application dates</w:t>
      </w:r>
    </w:p>
    <w:p w:rsidR="00C0100D" w:rsidRPr="00B04DC3" w:rsidRDefault="00C0100D" w:rsidP="00C541E5">
      <w:pPr>
        <w:pStyle w:val="para"/>
        <w:rPr>
          <w:lang w:val="en-GB"/>
        </w:rPr>
      </w:pPr>
      <w:r w:rsidRPr="00B04DC3">
        <w:rPr>
          <w:lang w:val="en-GB"/>
        </w:rPr>
        <w:tab/>
        <w:t>The application dates shall be in accordance with paragraph 13. of this Regulation.</w:t>
      </w:r>
    </w:p>
    <w:p w:rsidR="00C0100D" w:rsidRPr="00B04DC3" w:rsidRDefault="00C0100D" w:rsidP="00C541E5">
      <w:pPr>
        <w:pStyle w:val="para"/>
        <w:rPr>
          <w:lang w:val="en-GB"/>
        </w:rPr>
      </w:pPr>
      <w:r w:rsidRPr="00B04DC3">
        <w:rPr>
          <w:lang w:val="en-GB"/>
        </w:rPr>
        <w:t>5.5.1.3.</w:t>
      </w:r>
      <w:r w:rsidRPr="00B04DC3">
        <w:rPr>
          <w:lang w:val="en-GB"/>
        </w:rPr>
        <w:tab/>
        <w:t>Any engine system covered by this paragraph shall be designed, constructed and installed so as to be capable of meeting these requirements over the useful life of the engine.</w:t>
      </w:r>
    </w:p>
    <w:p w:rsidR="00C0100D" w:rsidRPr="00B04DC3" w:rsidRDefault="00C0100D" w:rsidP="00C541E5">
      <w:pPr>
        <w:pStyle w:val="para"/>
        <w:rPr>
          <w:lang w:val="en-GB"/>
        </w:rPr>
      </w:pPr>
      <w:r w:rsidRPr="00B04DC3">
        <w:rPr>
          <w:lang w:val="en-GB"/>
        </w:rPr>
        <w:t>5.5.1.4.</w:t>
      </w:r>
      <w:r w:rsidRPr="00B04DC3">
        <w:rPr>
          <w:lang w:val="en-GB"/>
        </w:rPr>
        <w:tab/>
        <w:t>Information that fully describes the functional operational characteristics of an engine system covered by this paragraph shall be provided by the manufacturer in Annex 1.</w:t>
      </w:r>
    </w:p>
    <w:p w:rsidR="00C0100D" w:rsidRPr="00B04DC3" w:rsidRDefault="00C0100D" w:rsidP="00C541E5">
      <w:pPr>
        <w:pStyle w:val="para"/>
        <w:rPr>
          <w:lang w:val="en-GB"/>
        </w:rPr>
      </w:pPr>
      <w:r w:rsidRPr="00B04DC3">
        <w:rPr>
          <w:lang w:val="en-GB"/>
        </w:rPr>
        <w:t>5.5.1.5.</w:t>
      </w:r>
      <w:r w:rsidRPr="00B04DC3">
        <w:rPr>
          <w:lang w:val="en-GB"/>
        </w:rPr>
        <w:tab/>
        <w:t xml:space="preserve">In its application for approval, if the engine system requires a reagent, the manufacturer shall specify the characteristics of all reagent(s) consumed by any exhaust </w:t>
      </w:r>
      <w:r w:rsidR="006A75A0">
        <w:rPr>
          <w:lang w:val="en-GB"/>
        </w:rPr>
        <w:t>after-treatment</w:t>
      </w:r>
      <w:r w:rsidRPr="00B04DC3">
        <w:rPr>
          <w:lang w:val="en-GB"/>
        </w:rPr>
        <w:t xml:space="preserve"> system, e.g. type and concentrations, operational temperature conditions, reference to international standards etc.</w:t>
      </w:r>
    </w:p>
    <w:p w:rsidR="00C0100D" w:rsidRPr="00B04DC3" w:rsidRDefault="00C0100D" w:rsidP="00C541E5">
      <w:pPr>
        <w:pStyle w:val="para"/>
        <w:rPr>
          <w:lang w:val="en-GB"/>
        </w:rPr>
      </w:pPr>
      <w:r w:rsidRPr="00B04DC3">
        <w:rPr>
          <w:lang w:val="en-GB"/>
        </w:rPr>
        <w:t>5.5.1.6.</w:t>
      </w:r>
      <w:r w:rsidRPr="00B04DC3">
        <w:rPr>
          <w:lang w:val="en-GB"/>
        </w:rPr>
        <w:tab/>
        <w:t xml:space="preserve">Subject to requirements set out in paragraph 5.1., any engine system covered by paragraph </w:t>
      </w:r>
      <w:r w:rsidR="00565E13" w:rsidRPr="00B04DC3">
        <w:rPr>
          <w:lang w:val="en-GB"/>
        </w:rPr>
        <w:t xml:space="preserve">5. </w:t>
      </w:r>
      <w:r w:rsidRPr="00B04DC3">
        <w:rPr>
          <w:lang w:val="en-GB"/>
        </w:rPr>
        <w:t>shall retain its emission control function during all conditions regularly pertaining in the territory of the Contracting Parties, especially at low ambient temperatures.</w:t>
      </w:r>
    </w:p>
    <w:p w:rsidR="00C0100D" w:rsidRPr="00B04DC3" w:rsidRDefault="00C0100D" w:rsidP="00C541E5">
      <w:pPr>
        <w:pStyle w:val="para"/>
        <w:rPr>
          <w:lang w:val="en-GB"/>
        </w:rPr>
      </w:pPr>
      <w:r w:rsidRPr="00B04DC3">
        <w:rPr>
          <w:lang w:val="en-GB"/>
        </w:rPr>
        <w:t>5.5.1.7.</w:t>
      </w:r>
      <w:r w:rsidRPr="00B04DC3">
        <w:rPr>
          <w:lang w:val="en-GB"/>
        </w:rPr>
        <w:tab/>
        <w:t>For the purpose of approval, the manufacturer shall demonstrate to the Technical Service that for engine systems that require a reagent, any emission of ammonia does not exceed, over the applicable emissions test cycle, a mean value of 25 ppm.</w:t>
      </w:r>
    </w:p>
    <w:p w:rsidR="00C0100D" w:rsidRPr="00B04DC3" w:rsidRDefault="00C0100D" w:rsidP="00C541E5">
      <w:pPr>
        <w:pStyle w:val="para"/>
        <w:rPr>
          <w:lang w:val="en-GB"/>
        </w:rPr>
      </w:pPr>
      <w:r w:rsidRPr="00B04DC3">
        <w:rPr>
          <w:lang w:val="en-GB"/>
        </w:rPr>
        <w:t>5.5.1.8.</w:t>
      </w:r>
      <w:r w:rsidRPr="00B04DC3">
        <w:rPr>
          <w:lang w:val="en-GB"/>
        </w:rPr>
        <w:tab/>
        <w:t>For engine systems requiring a reagent, each separate reagent tank installed on a vehicle shall include means for taking a sample of any fluid inside the tank</w:t>
      </w:r>
      <w:r w:rsidR="00401E79" w:rsidRPr="00B04DC3">
        <w:rPr>
          <w:lang w:val="en-GB"/>
        </w:rPr>
        <w:t xml:space="preserve">. </w:t>
      </w:r>
      <w:r w:rsidRPr="00B04DC3">
        <w:rPr>
          <w:lang w:val="en-GB"/>
        </w:rPr>
        <w:t>The sampling point shall be easily accessible without the use of any specialised tool or device.</w:t>
      </w:r>
    </w:p>
    <w:p w:rsidR="00C0100D" w:rsidRPr="00B04DC3" w:rsidRDefault="00C0100D" w:rsidP="00C541E5">
      <w:pPr>
        <w:pStyle w:val="para"/>
        <w:rPr>
          <w:lang w:val="en-GB"/>
        </w:rPr>
      </w:pPr>
      <w:r w:rsidRPr="00B04DC3">
        <w:rPr>
          <w:lang w:val="en-GB"/>
        </w:rPr>
        <w:t>5.5.2.</w:t>
      </w:r>
      <w:r w:rsidRPr="00B04DC3">
        <w:rPr>
          <w:lang w:val="en-GB"/>
        </w:rPr>
        <w:tab/>
        <w:t>Maintenance requirements</w:t>
      </w:r>
    </w:p>
    <w:p w:rsidR="00C0100D" w:rsidRPr="00B04DC3" w:rsidRDefault="00C0100D" w:rsidP="00C541E5">
      <w:pPr>
        <w:pStyle w:val="para"/>
        <w:rPr>
          <w:lang w:val="en-GB"/>
        </w:rPr>
      </w:pPr>
      <w:r w:rsidRPr="00B04DC3">
        <w:rPr>
          <w:lang w:val="en-GB"/>
        </w:rPr>
        <w:t>5.5.2.1.</w:t>
      </w:r>
      <w:r w:rsidRPr="00B04DC3">
        <w:rPr>
          <w:lang w:val="en-GB"/>
        </w:rPr>
        <w:tab/>
        <w:t>The manufacturer shall furnish or cause to be furnished to all owners of new heavy-duty vehicles or new heavy-duty engines written instructions that shall state that if the vehicle emission control system is not functioning correctly, the driver shall be informed of a problem by the malfunction indicator  and the engine shall consequentially operate with a reduced performance.</w:t>
      </w:r>
    </w:p>
    <w:p w:rsidR="00C0100D" w:rsidRPr="00B04DC3" w:rsidRDefault="00C0100D" w:rsidP="00C541E5">
      <w:pPr>
        <w:pStyle w:val="para"/>
        <w:rPr>
          <w:lang w:val="en-GB"/>
        </w:rPr>
      </w:pPr>
      <w:r w:rsidRPr="00B04DC3">
        <w:rPr>
          <w:lang w:val="en-GB"/>
        </w:rPr>
        <w:t>5.5.2.2.</w:t>
      </w:r>
      <w:r w:rsidRPr="00B04DC3">
        <w:rPr>
          <w:lang w:val="en-GB"/>
        </w:rPr>
        <w:tab/>
        <w:t>The instructions will indicate requirements for the proper use and maintenance of vehicles, including where relevant the use of consumable reagents.</w:t>
      </w:r>
    </w:p>
    <w:p w:rsidR="00C0100D" w:rsidRPr="00B04DC3" w:rsidRDefault="00C0100D" w:rsidP="00C541E5">
      <w:pPr>
        <w:pStyle w:val="para"/>
        <w:rPr>
          <w:lang w:val="en-GB"/>
        </w:rPr>
      </w:pPr>
      <w:r w:rsidRPr="00B04DC3">
        <w:rPr>
          <w:lang w:val="en-GB"/>
        </w:rPr>
        <w:t>5.5.2.3.</w:t>
      </w:r>
      <w:r w:rsidRPr="00B04DC3">
        <w:rPr>
          <w:lang w:val="en-GB"/>
        </w:rPr>
        <w:tab/>
        <w:t>The instructions shall be written in clear and non-technical language and in the language of the country in which a new heavy-duty vehicle or new heavy-duty engine is sold or registered.</w:t>
      </w:r>
    </w:p>
    <w:p w:rsidR="00C0100D" w:rsidRPr="00B04DC3" w:rsidRDefault="00C0100D" w:rsidP="00C541E5">
      <w:pPr>
        <w:pStyle w:val="para"/>
        <w:rPr>
          <w:lang w:val="en-GB"/>
        </w:rPr>
      </w:pPr>
      <w:r w:rsidRPr="00B04DC3">
        <w:rPr>
          <w:lang w:val="en-GB"/>
        </w:rPr>
        <w:t>5.5.2.4.</w:t>
      </w:r>
      <w:r w:rsidRPr="00B04DC3">
        <w:rPr>
          <w:lang w:val="en-GB"/>
        </w:rPr>
        <w:tab/>
        <w:t>The instructions shall specify if consumable reagents have to be refilled by the vehicle operator between normal maintenance intervals and shall indicate a likely rate of reagent consumption according to the type of new heavy-duty vehicle.</w:t>
      </w:r>
    </w:p>
    <w:p w:rsidR="00C0100D" w:rsidRPr="00B04DC3" w:rsidRDefault="00C0100D" w:rsidP="00C541E5">
      <w:pPr>
        <w:pStyle w:val="para"/>
        <w:rPr>
          <w:lang w:val="en-GB"/>
        </w:rPr>
      </w:pPr>
      <w:r w:rsidRPr="00B04DC3">
        <w:rPr>
          <w:lang w:val="en-GB"/>
        </w:rPr>
        <w:t>5.5.2.5.</w:t>
      </w:r>
      <w:r w:rsidRPr="00B04DC3">
        <w:rPr>
          <w:lang w:val="en-GB"/>
        </w:rPr>
        <w:tab/>
        <w:t>The instructions shall specify that use of and refilling of a required reagent of the correct specifications when indicated is mandatory for the vehicle to comply with the certificate of conformity issued for that vehicle or engine type.</w:t>
      </w:r>
    </w:p>
    <w:p w:rsidR="00C0100D" w:rsidRPr="00B04DC3" w:rsidRDefault="00C0100D" w:rsidP="00C541E5">
      <w:pPr>
        <w:pStyle w:val="para"/>
        <w:rPr>
          <w:lang w:val="en-GB"/>
        </w:rPr>
      </w:pPr>
      <w:r w:rsidRPr="00B04DC3">
        <w:rPr>
          <w:lang w:val="en-GB"/>
        </w:rPr>
        <w:t>5.5.2.6.</w:t>
      </w:r>
      <w:r w:rsidRPr="00B04DC3">
        <w:rPr>
          <w:lang w:val="en-GB"/>
        </w:rPr>
        <w:tab/>
        <w:t>The instructions shall state that it may be a criminal offence to use a vehicle that does not consume any reagent if it is required for the reduction of pollutant emissions and that, in consequence, any favourable conditions for the purchase or operation of the vehicle obtained in the country of registration or other country in which the vehicle is used may become invalid.</w:t>
      </w:r>
    </w:p>
    <w:p w:rsidR="00C0100D" w:rsidRPr="00B04DC3" w:rsidRDefault="00C0100D" w:rsidP="00C541E5">
      <w:pPr>
        <w:pStyle w:val="para"/>
        <w:rPr>
          <w:lang w:val="en-GB"/>
        </w:rPr>
      </w:pPr>
      <w:r w:rsidRPr="00B04DC3">
        <w:rPr>
          <w:lang w:val="en-GB"/>
        </w:rPr>
        <w:t>5.5.3.</w:t>
      </w:r>
      <w:r w:rsidRPr="00B04DC3">
        <w:rPr>
          <w:lang w:val="en-GB"/>
        </w:rPr>
        <w:tab/>
        <w:t>Engine system NO</w:t>
      </w:r>
      <w:r w:rsidRPr="00B04DC3">
        <w:rPr>
          <w:vertAlign w:val="subscript"/>
          <w:lang w:val="en-GB"/>
        </w:rPr>
        <w:t>x</w:t>
      </w:r>
      <w:r w:rsidRPr="00B04DC3">
        <w:rPr>
          <w:lang w:val="en-GB"/>
        </w:rPr>
        <w:t xml:space="preserve"> control</w:t>
      </w:r>
    </w:p>
    <w:p w:rsidR="00C0100D" w:rsidRPr="00B04DC3" w:rsidRDefault="00C0100D" w:rsidP="00C541E5">
      <w:pPr>
        <w:pStyle w:val="para"/>
        <w:rPr>
          <w:lang w:val="en-GB"/>
        </w:rPr>
      </w:pPr>
      <w:r w:rsidRPr="00B04DC3">
        <w:rPr>
          <w:lang w:val="en-GB"/>
        </w:rPr>
        <w:t>5.5.3.1.</w:t>
      </w:r>
      <w:r w:rsidRPr="00B04DC3">
        <w:rPr>
          <w:lang w:val="en-GB"/>
        </w:rPr>
        <w:tab/>
        <w:t>Incorrect operation of the engine system with respect to NO</w:t>
      </w:r>
      <w:r w:rsidRPr="00B04DC3">
        <w:rPr>
          <w:vertAlign w:val="subscript"/>
          <w:lang w:val="en-GB"/>
        </w:rPr>
        <w:t>x</w:t>
      </w:r>
      <w:r w:rsidRPr="00B04DC3">
        <w:rPr>
          <w:lang w:val="en-GB"/>
        </w:rPr>
        <w:t xml:space="preserve"> emissions control (for example due to lack of any required reagent, incorrect EGR flow or deactivation of EGR) shall be determined through monitoring of the NO</w:t>
      </w:r>
      <w:r w:rsidRPr="00B04DC3">
        <w:rPr>
          <w:vertAlign w:val="subscript"/>
          <w:lang w:val="en-GB"/>
        </w:rPr>
        <w:t>x</w:t>
      </w:r>
      <w:r w:rsidRPr="00B04DC3">
        <w:rPr>
          <w:lang w:val="en-GB"/>
        </w:rPr>
        <w:t xml:space="preserve"> level by sensors positioned in the exhaust stream.</w:t>
      </w:r>
    </w:p>
    <w:p w:rsidR="00C0100D" w:rsidRPr="00B04DC3" w:rsidRDefault="00C0100D" w:rsidP="00C541E5">
      <w:pPr>
        <w:pStyle w:val="para"/>
        <w:rPr>
          <w:lang w:val="en-GB"/>
        </w:rPr>
      </w:pPr>
      <w:r w:rsidRPr="00B04DC3">
        <w:rPr>
          <w:lang w:val="en-GB"/>
        </w:rPr>
        <w:t>5.5.3.2.</w:t>
      </w:r>
      <w:r w:rsidRPr="00B04DC3">
        <w:rPr>
          <w:lang w:val="en-GB"/>
        </w:rPr>
        <w:tab/>
        <w:t>Any deviation in NO</w:t>
      </w:r>
      <w:r w:rsidRPr="00B04DC3">
        <w:rPr>
          <w:vertAlign w:val="subscript"/>
          <w:lang w:val="en-GB"/>
        </w:rPr>
        <w:t>x</w:t>
      </w:r>
      <w:r w:rsidRPr="00B04DC3">
        <w:rPr>
          <w:lang w:val="en-GB"/>
        </w:rPr>
        <w:t xml:space="preserve"> level more than 1.5 </w:t>
      </w:r>
      <w:r w:rsidRPr="00B04DC3">
        <w:rPr>
          <w:rFonts w:eastAsia="MS Mincho"/>
          <w:lang w:val="en-GB" w:eastAsia="ja-JP"/>
        </w:rPr>
        <w:t xml:space="preserve">g/kWh </w:t>
      </w:r>
      <w:r w:rsidRPr="00B04DC3">
        <w:rPr>
          <w:lang w:val="en-GB"/>
        </w:rPr>
        <w:t xml:space="preserve">above the applicable limit value given in the tables of paragraph 5.2.1., shall result in the driver being informed by activation of the MI as referred </w:t>
      </w:r>
      <w:r w:rsidR="00D75405" w:rsidRPr="00B04DC3">
        <w:rPr>
          <w:lang w:val="en-GB"/>
        </w:rPr>
        <w:t>to in paragraph 3.6.5. of Annex </w:t>
      </w:r>
      <w:r w:rsidRPr="00B04DC3">
        <w:rPr>
          <w:lang w:val="en-GB"/>
        </w:rPr>
        <w:t>9A to this Regulation.</w:t>
      </w:r>
    </w:p>
    <w:p w:rsidR="00C0100D" w:rsidRPr="00B04DC3" w:rsidRDefault="00C0100D" w:rsidP="00C541E5">
      <w:pPr>
        <w:pStyle w:val="para"/>
        <w:rPr>
          <w:lang w:val="en-GB"/>
        </w:rPr>
      </w:pPr>
      <w:r w:rsidRPr="00B04DC3">
        <w:rPr>
          <w:lang w:val="en-GB"/>
        </w:rPr>
        <w:t>5.5.3.3.</w:t>
      </w:r>
      <w:r w:rsidRPr="00B04DC3">
        <w:rPr>
          <w:lang w:val="en-GB"/>
        </w:rPr>
        <w:tab/>
        <w:t>In addition, a non-erasable fault code identifying the reason why NO</w:t>
      </w:r>
      <w:r w:rsidRPr="00B04DC3">
        <w:rPr>
          <w:vertAlign w:val="subscript"/>
          <w:lang w:val="en-GB"/>
        </w:rPr>
        <w:t>x</w:t>
      </w:r>
      <w:r w:rsidRPr="00B04DC3">
        <w:rPr>
          <w:lang w:val="en-GB"/>
        </w:rPr>
        <w:t xml:space="preserve"> exceeds the levels specified in paragraph 5.5.3.2. shall be stored in accordance with paragraph 3.9.2. of Annex 9A to this Regulation for at least 400 days or 9,600 hours of engine operation.</w:t>
      </w:r>
    </w:p>
    <w:p w:rsidR="00C0100D" w:rsidRPr="00B04DC3" w:rsidRDefault="00C0100D" w:rsidP="00C541E5">
      <w:pPr>
        <w:pStyle w:val="para"/>
        <w:rPr>
          <w:lang w:val="en-GB"/>
        </w:rPr>
      </w:pPr>
      <w:r w:rsidRPr="00B04DC3">
        <w:rPr>
          <w:rFonts w:eastAsia="MS Mincho"/>
          <w:lang w:val="en-GB" w:eastAsia="ja-JP"/>
        </w:rPr>
        <w:tab/>
        <w:t>The reasons for the NO</w:t>
      </w:r>
      <w:r w:rsidRPr="00B04DC3">
        <w:rPr>
          <w:rFonts w:eastAsia="MS Mincho"/>
          <w:vertAlign w:val="subscript"/>
          <w:lang w:val="en-GB" w:eastAsia="ja-JP"/>
        </w:rPr>
        <w:t>x</w:t>
      </w:r>
      <w:r w:rsidRPr="00B04DC3">
        <w:rPr>
          <w:rFonts w:eastAsia="MS Mincho"/>
          <w:lang w:val="en-GB" w:eastAsia="ja-JP"/>
        </w:rPr>
        <w:t xml:space="preserve"> exceedance shall, at a minimum, and where applicable, be identified in the cases of empty reagent tank, interruption of reagent dosing activity, insufficient reagent quality, too low reagent consumption, incorrect EGR flow or deactivation of the EGR</w:t>
      </w:r>
      <w:r w:rsidR="00401E79" w:rsidRPr="00B04DC3">
        <w:rPr>
          <w:rFonts w:eastAsia="MS Mincho"/>
          <w:lang w:val="en-GB" w:eastAsia="ja-JP"/>
        </w:rPr>
        <w:t xml:space="preserve">. </w:t>
      </w:r>
      <w:r w:rsidRPr="00B04DC3">
        <w:rPr>
          <w:rFonts w:eastAsia="MS Mincho"/>
          <w:lang w:val="en-GB" w:eastAsia="ja-JP"/>
        </w:rPr>
        <w:t>In all other cases, the manufacturer is permitted to refer to a non-erasable fault code "high NO</w:t>
      </w:r>
      <w:r w:rsidRPr="00B04DC3">
        <w:rPr>
          <w:rFonts w:eastAsia="MS Mincho"/>
          <w:vertAlign w:val="subscript"/>
          <w:lang w:val="en-GB" w:eastAsia="ja-JP"/>
        </w:rPr>
        <w:t>x</w:t>
      </w:r>
      <w:r w:rsidRPr="00B04DC3">
        <w:rPr>
          <w:rFonts w:eastAsia="MS Mincho"/>
          <w:lang w:val="en-GB" w:eastAsia="ja-JP"/>
        </w:rPr>
        <w:t xml:space="preserve"> - root cause unknown".</w:t>
      </w:r>
    </w:p>
    <w:p w:rsidR="00C0100D" w:rsidRPr="00B04DC3" w:rsidRDefault="00C0100D" w:rsidP="00C541E5">
      <w:pPr>
        <w:pStyle w:val="para"/>
        <w:rPr>
          <w:rFonts w:eastAsia="MS Mincho"/>
          <w:lang w:val="en-GB" w:eastAsia="ja-JP"/>
        </w:rPr>
      </w:pPr>
      <w:r w:rsidRPr="00B04DC3">
        <w:rPr>
          <w:lang w:val="en-GB"/>
        </w:rPr>
        <w:t>5.5.3.4.</w:t>
      </w:r>
      <w:r w:rsidRPr="00B04DC3">
        <w:rPr>
          <w:lang w:val="en-GB"/>
        </w:rPr>
        <w:tab/>
        <w:t>If the NO</w:t>
      </w:r>
      <w:r w:rsidRPr="00B04DC3">
        <w:rPr>
          <w:vertAlign w:val="subscript"/>
          <w:lang w:val="en-GB"/>
        </w:rPr>
        <w:t>x</w:t>
      </w:r>
      <w:r w:rsidRPr="00B04DC3">
        <w:rPr>
          <w:lang w:val="en-GB"/>
        </w:rPr>
        <w:t xml:space="preserve"> level exceeds the OBD threshold limit values given in the table in paragraph 5.4.4., a torque limiter shall reduce the performance of the engine </w:t>
      </w:r>
      <w:r w:rsidRPr="00B04DC3">
        <w:rPr>
          <w:rFonts w:eastAsia="MS Mincho"/>
          <w:lang w:val="en-GB" w:eastAsia="ja-JP"/>
        </w:rPr>
        <w:t>according</w:t>
      </w:r>
      <w:r w:rsidRPr="00B04DC3">
        <w:rPr>
          <w:lang w:val="en-GB"/>
        </w:rPr>
        <w:t xml:space="preserve"> to the requirements of paragraph 5.5.5. in a manner that is clearly perceived by the driver of the vehicle. When the torque limiter is activated the driver shall continue to be alerted according to the requirements of paragraph 5.5.3.2. </w:t>
      </w:r>
      <w:r w:rsidRPr="00B04DC3">
        <w:rPr>
          <w:rFonts w:eastAsia="MS Mincho"/>
          <w:lang w:val="en-GB" w:eastAsia="ja-JP"/>
        </w:rPr>
        <w:t>and a non-erasable fault code shall be stored in accordance with paragraph 5.5.3.3.</w:t>
      </w:r>
    </w:p>
    <w:p w:rsidR="00C0100D" w:rsidRPr="00B04DC3" w:rsidRDefault="00C0100D" w:rsidP="00C541E5">
      <w:pPr>
        <w:pStyle w:val="para"/>
        <w:rPr>
          <w:lang w:val="en-GB"/>
        </w:rPr>
      </w:pPr>
      <w:r w:rsidRPr="00B04DC3">
        <w:rPr>
          <w:lang w:val="en-GB"/>
        </w:rPr>
        <w:t>5.5.3.5.</w:t>
      </w:r>
      <w:r w:rsidRPr="00B04DC3">
        <w:rPr>
          <w:lang w:val="en-GB"/>
        </w:rPr>
        <w:tab/>
        <w:t>In the case of engine systems that rely on the use of EGR and no other after</w:t>
      </w:r>
      <w:r w:rsidR="00C541E5" w:rsidRPr="00B04DC3">
        <w:rPr>
          <w:lang w:val="en-GB"/>
        </w:rPr>
        <w:t xml:space="preserve"> </w:t>
      </w:r>
      <w:r w:rsidRPr="00B04DC3">
        <w:rPr>
          <w:lang w:val="en-GB"/>
        </w:rPr>
        <w:t>treatment system for NO</w:t>
      </w:r>
      <w:r w:rsidRPr="00B04DC3">
        <w:rPr>
          <w:vertAlign w:val="subscript"/>
          <w:lang w:val="en-GB"/>
        </w:rPr>
        <w:t>x</w:t>
      </w:r>
      <w:r w:rsidRPr="00B04DC3">
        <w:rPr>
          <w:lang w:val="en-GB"/>
        </w:rPr>
        <w:t xml:space="preserve"> emissions control, the manufacturer may utilise an alternative method to the requirements of paragraph 5.5.3.1. for the determination of the NO</w:t>
      </w:r>
      <w:r w:rsidRPr="00B04DC3">
        <w:rPr>
          <w:vertAlign w:val="subscript"/>
          <w:lang w:val="en-GB"/>
        </w:rPr>
        <w:t>x</w:t>
      </w:r>
      <w:r w:rsidRPr="00B04DC3">
        <w:rPr>
          <w:lang w:val="en-GB"/>
        </w:rPr>
        <w:t xml:space="preserve"> level. At the time of type approval the manufacturer shall demonstrate that the alternative method is equally timely and accurate in determining the NO</w:t>
      </w:r>
      <w:r w:rsidRPr="00B04DC3">
        <w:rPr>
          <w:vertAlign w:val="subscript"/>
          <w:lang w:val="en-GB"/>
        </w:rPr>
        <w:t>x</w:t>
      </w:r>
      <w:r w:rsidRPr="00B04DC3">
        <w:rPr>
          <w:lang w:val="en-GB"/>
        </w:rPr>
        <w:t xml:space="preserve"> level compared to the requirements of paragraph 5.5.3.1. and that it triggers the same consequences as those referred to in paragraphs 5.5.3.2., 5.5.3.3. and 5.5.3.4.</w:t>
      </w:r>
    </w:p>
    <w:p w:rsidR="00C0100D" w:rsidRPr="00B04DC3" w:rsidRDefault="00C0100D" w:rsidP="00C541E5">
      <w:pPr>
        <w:pStyle w:val="para"/>
        <w:rPr>
          <w:lang w:val="en-GB"/>
        </w:rPr>
      </w:pPr>
      <w:r w:rsidRPr="00B04DC3">
        <w:rPr>
          <w:lang w:val="en-GB"/>
        </w:rPr>
        <w:t>5.5.4.</w:t>
      </w:r>
      <w:r w:rsidRPr="00B04DC3">
        <w:rPr>
          <w:lang w:val="en-GB"/>
        </w:rPr>
        <w:tab/>
        <w:t>Reagent control</w:t>
      </w:r>
    </w:p>
    <w:p w:rsidR="00C0100D" w:rsidRPr="00B04DC3" w:rsidRDefault="00C0100D" w:rsidP="00C541E5">
      <w:pPr>
        <w:pStyle w:val="para"/>
        <w:rPr>
          <w:lang w:val="en-GB"/>
        </w:rPr>
      </w:pPr>
      <w:r w:rsidRPr="00B04DC3">
        <w:rPr>
          <w:lang w:val="en-GB"/>
        </w:rPr>
        <w:t>5.5.4.1.</w:t>
      </w:r>
      <w:r w:rsidRPr="00B04DC3">
        <w:rPr>
          <w:lang w:val="en-GB"/>
        </w:rPr>
        <w:tab/>
        <w:t>For vehicles that require the use of a reagent to fulfil the requirements of this paragraph, the driver shall be informed of the level of reagent in the on-vehicle reagent storage tank through a specific mechanical or electronic indication on the vehicle's dashboard</w:t>
      </w:r>
      <w:r w:rsidR="00401E79" w:rsidRPr="00B04DC3">
        <w:rPr>
          <w:lang w:val="en-GB"/>
        </w:rPr>
        <w:t xml:space="preserve">. </w:t>
      </w:r>
      <w:r w:rsidRPr="00B04DC3">
        <w:rPr>
          <w:lang w:val="en-GB"/>
        </w:rPr>
        <w:t>This shall include a warning when the level of reagent goes:</w:t>
      </w:r>
    </w:p>
    <w:p w:rsidR="00C0100D" w:rsidRPr="00B04DC3" w:rsidRDefault="00C0100D" w:rsidP="00C541E5">
      <w:pPr>
        <w:pStyle w:val="a"/>
        <w:rPr>
          <w:lang w:val="en-GB"/>
        </w:rPr>
      </w:pPr>
      <w:r w:rsidRPr="00B04DC3">
        <w:rPr>
          <w:lang w:val="en-GB"/>
        </w:rPr>
        <w:t>(a)</w:t>
      </w:r>
      <w:r w:rsidRPr="00B04DC3">
        <w:rPr>
          <w:lang w:val="en-GB"/>
        </w:rPr>
        <w:tab/>
      </w:r>
      <w:r w:rsidR="00C541E5" w:rsidRPr="00B04DC3">
        <w:rPr>
          <w:lang w:val="en-GB"/>
        </w:rPr>
        <w:t>Below</w:t>
      </w:r>
      <w:r w:rsidRPr="00B04DC3">
        <w:rPr>
          <w:lang w:val="en-GB"/>
        </w:rPr>
        <w:t xml:space="preserve"> 10 per cent of the tank or a higher percentage at the choice of the manufacturer, or;</w:t>
      </w:r>
    </w:p>
    <w:p w:rsidR="00C0100D" w:rsidRPr="00B04DC3" w:rsidRDefault="00C0100D" w:rsidP="00C541E5">
      <w:pPr>
        <w:pStyle w:val="a"/>
        <w:rPr>
          <w:lang w:val="en-GB"/>
        </w:rPr>
      </w:pPr>
      <w:r w:rsidRPr="00B04DC3">
        <w:rPr>
          <w:lang w:val="en-GB"/>
        </w:rPr>
        <w:t>(b)</w:t>
      </w:r>
      <w:r w:rsidRPr="00B04DC3">
        <w:rPr>
          <w:lang w:val="en-GB"/>
        </w:rPr>
        <w:tab/>
      </w:r>
      <w:r w:rsidR="00C541E5" w:rsidRPr="00B04DC3">
        <w:rPr>
          <w:lang w:val="en-GB"/>
        </w:rPr>
        <w:t>Below</w:t>
      </w:r>
      <w:r w:rsidRPr="00B04DC3">
        <w:rPr>
          <w:lang w:val="en-GB"/>
        </w:rPr>
        <w:t xml:space="preserve"> the level corresponding to the driving distance possible with the fuel reserve level specified by the manufacturer.</w:t>
      </w:r>
    </w:p>
    <w:p w:rsidR="00C0100D" w:rsidRPr="00B04DC3" w:rsidRDefault="00C0100D" w:rsidP="00C541E5">
      <w:pPr>
        <w:pStyle w:val="para"/>
        <w:rPr>
          <w:lang w:val="en-GB"/>
        </w:rPr>
      </w:pPr>
      <w:r w:rsidRPr="00B04DC3">
        <w:rPr>
          <w:lang w:val="en-GB"/>
        </w:rPr>
        <w:tab/>
        <w:t>The reagent indicator shall be placed in close proximity to the fuel level indicator.</w:t>
      </w:r>
    </w:p>
    <w:p w:rsidR="00C0100D" w:rsidRPr="00B04DC3" w:rsidRDefault="00C0100D" w:rsidP="00C541E5">
      <w:pPr>
        <w:pStyle w:val="para"/>
        <w:rPr>
          <w:lang w:val="en-GB"/>
        </w:rPr>
      </w:pPr>
      <w:r w:rsidRPr="00B04DC3">
        <w:rPr>
          <w:lang w:val="en-GB"/>
        </w:rPr>
        <w:t>5.5.4.2.</w:t>
      </w:r>
      <w:r w:rsidRPr="00B04DC3">
        <w:rPr>
          <w:lang w:val="en-GB"/>
        </w:rPr>
        <w:tab/>
        <w:t>The driver shall be informed, according to the requirements of paragraph 3.6.5. of Annex 9A to this Regulation, if the reagent tank becomes empty.</w:t>
      </w:r>
    </w:p>
    <w:p w:rsidR="00C0100D" w:rsidRPr="00B04DC3" w:rsidRDefault="00C0100D" w:rsidP="00C541E5">
      <w:pPr>
        <w:pStyle w:val="para"/>
        <w:rPr>
          <w:lang w:val="en-GB"/>
        </w:rPr>
      </w:pPr>
      <w:r w:rsidRPr="00B04DC3">
        <w:rPr>
          <w:lang w:val="en-GB"/>
        </w:rPr>
        <w:t>5.5.4.3.</w:t>
      </w:r>
      <w:r w:rsidRPr="00B04DC3">
        <w:rPr>
          <w:lang w:val="en-GB"/>
        </w:rPr>
        <w:tab/>
        <w:t>As soon as the reagent tank becomes empty, the requirements of paragraph 5.5.5. shall apply in addition to the requirements of paragraph 5.5.4.2.</w:t>
      </w:r>
    </w:p>
    <w:p w:rsidR="00C0100D" w:rsidRPr="00B04DC3" w:rsidRDefault="00C0100D" w:rsidP="00C541E5">
      <w:pPr>
        <w:pStyle w:val="para"/>
        <w:rPr>
          <w:lang w:val="en-GB"/>
        </w:rPr>
      </w:pPr>
      <w:r w:rsidRPr="00B04DC3">
        <w:rPr>
          <w:lang w:val="en-GB"/>
        </w:rPr>
        <w:t>5.5.4.4.</w:t>
      </w:r>
      <w:r w:rsidRPr="00B04DC3">
        <w:rPr>
          <w:lang w:val="en-GB"/>
        </w:rPr>
        <w:tab/>
        <w:t>A manufacturer may choose to comply with the paragraphs 5.5.4.5. to 5.5.4.12. as an alternative to complying with the requirements of paragraph 5.5.3.</w:t>
      </w:r>
    </w:p>
    <w:p w:rsidR="00C0100D" w:rsidRPr="00B04DC3" w:rsidRDefault="00C0100D" w:rsidP="00C541E5">
      <w:pPr>
        <w:pStyle w:val="para"/>
        <w:rPr>
          <w:lang w:val="en-GB"/>
        </w:rPr>
      </w:pPr>
      <w:r w:rsidRPr="00B04DC3">
        <w:rPr>
          <w:lang w:val="en-GB"/>
        </w:rPr>
        <w:t>5.5.4.5.</w:t>
      </w:r>
      <w:r w:rsidRPr="00B04DC3">
        <w:rPr>
          <w:lang w:val="en-GB"/>
        </w:rPr>
        <w:tab/>
        <w:t>Engine systems shall include a means of determining that a fluid corresponding to the reagent characteristics declared by the manufacturer and recorded in Annex 1 to this Regulation is present on the vehicle.</w:t>
      </w:r>
    </w:p>
    <w:p w:rsidR="00C0100D" w:rsidRPr="00B04DC3" w:rsidRDefault="00C0100D" w:rsidP="00C541E5">
      <w:pPr>
        <w:pStyle w:val="para"/>
        <w:rPr>
          <w:lang w:val="en-GB"/>
        </w:rPr>
      </w:pPr>
      <w:r w:rsidRPr="00B04DC3">
        <w:rPr>
          <w:lang w:val="en-GB"/>
        </w:rPr>
        <w:t>5.5.4.6.</w:t>
      </w:r>
      <w:r w:rsidRPr="00B04DC3">
        <w:rPr>
          <w:lang w:val="en-GB"/>
        </w:rPr>
        <w:tab/>
        <w:t>If the fluid in the reagent tank does not correspond to the minimum requirements declared by the manufacturer as recorded in Annex 1 to this Regulation the additional requirements of paragraph 5.5.4.12. shall apply.</w:t>
      </w:r>
    </w:p>
    <w:p w:rsidR="00C0100D" w:rsidRPr="00B04DC3" w:rsidRDefault="00C0100D" w:rsidP="00C541E5">
      <w:pPr>
        <w:pStyle w:val="para"/>
        <w:rPr>
          <w:lang w:val="en-GB"/>
        </w:rPr>
      </w:pPr>
      <w:r w:rsidRPr="00B04DC3">
        <w:rPr>
          <w:lang w:val="en-GB"/>
        </w:rPr>
        <w:t>5.5.4.7.</w:t>
      </w:r>
      <w:r w:rsidRPr="00B04DC3">
        <w:rPr>
          <w:lang w:val="en-GB"/>
        </w:rPr>
        <w:tab/>
        <w:t>Engine systems shall include a means for determining reagent consumption and providing off-board access to consumption information.</w:t>
      </w:r>
    </w:p>
    <w:p w:rsidR="00C0100D" w:rsidRPr="00B04DC3" w:rsidRDefault="00C0100D" w:rsidP="00C541E5">
      <w:pPr>
        <w:pStyle w:val="para"/>
        <w:rPr>
          <w:lang w:val="en-GB"/>
        </w:rPr>
      </w:pPr>
      <w:r w:rsidRPr="00B04DC3">
        <w:rPr>
          <w:lang w:val="en-GB"/>
        </w:rPr>
        <w:t>5.5.4.8.</w:t>
      </w:r>
      <w:r w:rsidRPr="00B04DC3">
        <w:rPr>
          <w:lang w:val="en-GB"/>
        </w:rPr>
        <w:tab/>
        <w:t>Average reagent consumption and average demanded reagent consumption by the engine system either over the previous complete 48 hour period of engine operation or the period needed for a demanded reagent consumption of at least 15 litres, whichever is longer, shall be available via the serial port of the standard diagnostic connector as referred to in paragraph 6.8.3. of Annex 9A to this Regulation.</w:t>
      </w:r>
    </w:p>
    <w:p w:rsidR="00C0100D" w:rsidRPr="00B04DC3" w:rsidRDefault="00C0100D" w:rsidP="00C541E5">
      <w:pPr>
        <w:pStyle w:val="para"/>
        <w:rPr>
          <w:lang w:val="en-GB"/>
        </w:rPr>
      </w:pPr>
      <w:r w:rsidRPr="00B04DC3">
        <w:rPr>
          <w:lang w:val="en-GB"/>
        </w:rPr>
        <w:t>5.5.4.9.</w:t>
      </w:r>
      <w:r w:rsidRPr="00B04DC3">
        <w:rPr>
          <w:lang w:val="en-GB"/>
        </w:rPr>
        <w:tab/>
        <w:t>In order to monitor reagent consumption, at least the following parameters within the engine shall be monitored:</w:t>
      </w:r>
    </w:p>
    <w:p w:rsidR="00C0100D" w:rsidRPr="00B04DC3" w:rsidRDefault="00C0100D" w:rsidP="00C541E5">
      <w:pPr>
        <w:pStyle w:val="a"/>
        <w:rPr>
          <w:lang w:val="en-GB"/>
        </w:rPr>
      </w:pPr>
      <w:r w:rsidRPr="00B04DC3">
        <w:rPr>
          <w:lang w:val="en-GB"/>
        </w:rPr>
        <w:t>(a)</w:t>
      </w:r>
      <w:r w:rsidRPr="00B04DC3">
        <w:rPr>
          <w:lang w:val="en-GB"/>
        </w:rPr>
        <w:tab/>
      </w:r>
      <w:r w:rsidR="00C541E5" w:rsidRPr="00B04DC3">
        <w:rPr>
          <w:lang w:val="en-GB"/>
        </w:rPr>
        <w:t>Level</w:t>
      </w:r>
      <w:r w:rsidRPr="00B04DC3">
        <w:rPr>
          <w:lang w:val="en-GB"/>
        </w:rPr>
        <w:t xml:space="preserve"> of reagent in on-vehicle storage tank;</w:t>
      </w:r>
    </w:p>
    <w:p w:rsidR="00C0100D" w:rsidRPr="00B04DC3" w:rsidRDefault="00C0100D" w:rsidP="00C541E5">
      <w:pPr>
        <w:pStyle w:val="a"/>
        <w:rPr>
          <w:lang w:val="en-GB"/>
        </w:rPr>
      </w:pPr>
      <w:r w:rsidRPr="00B04DC3">
        <w:rPr>
          <w:lang w:val="en-GB"/>
        </w:rPr>
        <w:t>(b)</w:t>
      </w:r>
      <w:r w:rsidRPr="00B04DC3">
        <w:rPr>
          <w:lang w:val="en-GB"/>
        </w:rPr>
        <w:tab/>
      </w:r>
      <w:r w:rsidR="00C541E5" w:rsidRPr="00B04DC3">
        <w:rPr>
          <w:lang w:val="en-GB"/>
        </w:rPr>
        <w:t>Flow</w:t>
      </w:r>
      <w:r w:rsidRPr="00B04DC3">
        <w:rPr>
          <w:lang w:val="en-GB"/>
        </w:rPr>
        <w:t xml:space="preserve"> of reagent or injection of reagent as close as technically possible to the point of injection into an exhaust </w:t>
      </w:r>
      <w:r w:rsidR="006A75A0">
        <w:rPr>
          <w:lang w:val="en-GB"/>
        </w:rPr>
        <w:t>after-treatment</w:t>
      </w:r>
      <w:r w:rsidRPr="00B04DC3">
        <w:rPr>
          <w:lang w:val="en-GB"/>
        </w:rPr>
        <w:t xml:space="preserve"> system.</w:t>
      </w:r>
    </w:p>
    <w:p w:rsidR="00C0100D" w:rsidRPr="00B04DC3" w:rsidRDefault="00C0100D" w:rsidP="00C541E5">
      <w:pPr>
        <w:pStyle w:val="para"/>
        <w:rPr>
          <w:lang w:val="en-GB"/>
        </w:rPr>
      </w:pPr>
      <w:r w:rsidRPr="00B04DC3">
        <w:rPr>
          <w:lang w:val="en-GB"/>
        </w:rPr>
        <w:t>5.5.4.10.</w:t>
      </w:r>
      <w:r w:rsidRPr="00B04DC3">
        <w:rPr>
          <w:lang w:val="en-GB"/>
        </w:rPr>
        <w:tab/>
        <w:t>Any deviation more than 50 per cent in average reagent consumption and average demanded reagent consumption by the engine system over the period defined in paragraph 5.5.4.8. shall result in application of the measures laid down in paragraph 5.5.4.12.</w:t>
      </w:r>
    </w:p>
    <w:p w:rsidR="00C0100D" w:rsidRPr="00B04DC3" w:rsidRDefault="00C0100D" w:rsidP="00C541E5">
      <w:pPr>
        <w:pStyle w:val="para"/>
        <w:rPr>
          <w:lang w:val="en-GB"/>
        </w:rPr>
      </w:pPr>
      <w:r w:rsidRPr="00B04DC3">
        <w:rPr>
          <w:lang w:val="en-GB"/>
        </w:rPr>
        <w:t>5.5.4.11.</w:t>
      </w:r>
      <w:r w:rsidRPr="00B04DC3">
        <w:rPr>
          <w:lang w:val="en-GB"/>
        </w:rPr>
        <w:tab/>
        <w:t>In the case of interruption in reagent dosing activity the measures laid down in paragraph 5.5.4.12. shall apply</w:t>
      </w:r>
      <w:r w:rsidR="00401E79" w:rsidRPr="00B04DC3">
        <w:rPr>
          <w:lang w:val="en-GB"/>
        </w:rPr>
        <w:t xml:space="preserve">. </w:t>
      </w:r>
      <w:r w:rsidRPr="00B04DC3">
        <w:rPr>
          <w:lang w:val="en-GB"/>
        </w:rPr>
        <w:t xml:space="preserve">This is not required where such interruption is demanded by the engine </w:t>
      </w:r>
      <w:r w:rsidR="009E5087">
        <w:rPr>
          <w:lang w:val="en-GB"/>
        </w:rPr>
        <w:t>Electronic Control Unit (</w:t>
      </w:r>
      <w:r w:rsidRPr="00B04DC3">
        <w:rPr>
          <w:lang w:val="en-GB"/>
        </w:rPr>
        <w:t>ECU</w:t>
      </w:r>
      <w:r w:rsidR="009E5087">
        <w:rPr>
          <w:lang w:val="en-GB"/>
        </w:rPr>
        <w:t>)</w:t>
      </w:r>
      <w:r w:rsidRPr="00B04DC3">
        <w:rPr>
          <w:lang w:val="en-GB"/>
        </w:rPr>
        <w:t xml:space="preserve"> because engine operating conditions are such that the engine's emission performance does not require reagent dosing, provided that the manufacturer has clearly informed the </w:t>
      </w:r>
      <w:r w:rsidR="0055021A">
        <w:rPr>
          <w:lang w:val="en-GB"/>
        </w:rPr>
        <w:t xml:space="preserve">Type </w:t>
      </w:r>
      <w:r w:rsidRPr="00B04DC3">
        <w:rPr>
          <w:lang w:val="en-GB"/>
        </w:rPr>
        <w:t>Approval Authority when such operating conditions apply.</w:t>
      </w:r>
    </w:p>
    <w:p w:rsidR="00C0100D" w:rsidRPr="00B04DC3" w:rsidRDefault="00C0100D" w:rsidP="00C541E5">
      <w:pPr>
        <w:pStyle w:val="para"/>
        <w:rPr>
          <w:lang w:val="en-GB"/>
        </w:rPr>
      </w:pPr>
      <w:r w:rsidRPr="00B04DC3">
        <w:rPr>
          <w:lang w:val="en-GB"/>
        </w:rPr>
        <w:t>5.5.4.12.</w:t>
      </w:r>
      <w:r w:rsidRPr="00B04DC3">
        <w:rPr>
          <w:lang w:val="en-GB"/>
        </w:rPr>
        <w:tab/>
        <w:t>Any failure detected with respect to paragraphs 5.5.4.6., 5.5.4.10. or 5.5.4.11. shall trigger the same consequences in the same order as those referred to in paragraphs 5.5.3.2., 5.5.3.3. or 5.5.3.4.</w:t>
      </w:r>
    </w:p>
    <w:p w:rsidR="00C0100D" w:rsidRPr="00B04DC3" w:rsidRDefault="00C0100D" w:rsidP="00C541E5">
      <w:pPr>
        <w:pStyle w:val="para"/>
        <w:rPr>
          <w:lang w:val="en-GB"/>
        </w:rPr>
      </w:pPr>
      <w:r w:rsidRPr="00B04DC3">
        <w:rPr>
          <w:lang w:val="en-GB"/>
        </w:rPr>
        <w:t>5.5.5.</w:t>
      </w:r>
      <w:r w:rsidRPr="00B04DC3">
        <w:rPr>
          <w:lang w:val="en-GB"/>
        </w:rPr>
        <w:tab/>
        <w:t xml:space="preserve">Measures to discourage tampering of exhaust </w:t>
      </w:r>
      <w:r w:rsidR="006A75A0">
        <w:rPr>
          <w:lang w:val="en-GB"/>
        </w:rPr>
        <w:t>after-treatment</w:t>
      </w:r>
      <w:r w:rsidRPr="00B04DC3">
        <w:rPr>
          <w:lang w:val="en-GB"/>
        </w:rPr>
        <w:t xml:space="preserve"> systems</w:t>
      </w:r>
    </w:p>
    <w:p w:rsidR="00C0100D" w:rsidRPr="00B04DC3" w:rsidRDefault="00C0100D" w:rsidP="00C541E5">
      <w:pPr>
        <w:pStyle w:val="para"/>
        <w:rPr>
          <w:lang w:val="en-GB"/>
        </w:rPr>
      </w:pPr>
      <w:r w:rsidRPr="00B04DC3">
        <w:rPr>
          <w:lang w:val="en-GB"/>
        </w:rPr>
        <w:t>5.5.5.1.</w:t>
      </w:r>
      <w:r w:rsidRPr="00B04DC3">
        <w:rPr>
          <w:lang w:val="en-GB"/>
        </w:rPr>
        <w:tab/>
        <w:t>Any engine system covered by this paragraph shall include a torque limiter that will alert the driver that the engine system is operating incorrectly or the vehicle is being operated in an incorrect manner and thereby encourage the prompt rectification of any fault(s).</w:t>
      </w:r>
    </w:p>
    <w:p w:rsidR="00C0100D" w:rsidRPr="00B04DC3" w:rsidRDefault="00C0100D" w:rsidP="00C541E5">
      <w:pPr>
        <w:pStyle w:val="para"/>
        <w:rPr>
          <w:lang w:val="en-GB"/>
        </w:rPr>
      </w:pPr>
      <w:r w:rsidRPr="00B04DC3">
        <w:rPr>
          <w:lang w:val="en-GB"/>
        </w:rPr>
        <w:t>5.5.5.2.</w:t>
      </w:r>
      <w:r w:rsidRPr="00B04DC3">
        <w:rPr>
          <w:lang w:val="en-GB"/>
        </w:rPr>
        <w:tab/>
        <w:t>The torque limiter shall be activated when the vehicle becomes stationary for the first time after the conditions of either paragraphs 5.5.3.4., 5.5.4.3., 5.5.4.6., 5.5.4.10. or 5.5.4.11. have occurred.</w:t>
      </w:r>
    </w:p>
    <w:p w:rsidR="00C0100D" w:rsidRPr="00B04DC3" w:rsidRDefault="00C0100D" w:rsidP="00C541E5">
      <w:pPr>
        <w:pStyle w:val="para"/>
        <w:rPr>
          <w:lang w:val="en-GB"/>
        </w:rPr>
      </w:pPr>
      <w:r w:rsidRPr="00B04DC3">
        <w:rPr>
          <w:lang w:val="en-GB"/>
        </w:rPr>
        <w:t>5.5.5.3.</w:t>
      </w:r>
      <w:r w:rsidRPr="00B04DC3">
        <w:rPr>
          <w:lang w:val="en-GB"/>
        </w:rPr>
        <w:tab/>
        <w:t>Where the torque limiter comes into effect, the engine torque shall not, in any case, exceed a constant value of:</w:t>
      </w:r>
    </w:p>
    <w:p w:rsidR="00C0100D" w:rsidRPr="00B04DC3" w:rsidRDefault="00C0100D" w:rsidP="00C541E5">
      <w:pPr>
        <w:pStyle w:val="a"/>
        <w:rPr>
          <w:lang w:val="en-GB"/>
        </w:rPr>
      </w:pPr>
      <w:r w:rsidRPr="00B04DC3">
        <w:rPr>
          <w:lang w:val="en-GB"/>
        </w:rPr>
        <w:t>(a)</w:t>
      </w:r>
      <w:r w:rsidRPr="00B04DC3">
        <w:rPr>
          <w:lang w:val="en-GB"/>
        </w:rPr>
        <w:tab/>
        <w:t>60 per cent of the engine maximum torque for vehicles of category N</w:t>
      </w:r>
      <w:r w:rsidRPr="00B04DC3">
        <w:rPr>
          <w:vertAlign w:val="subscript"/>
          <w:lang w:val="en-GB"/>
        </w:rPr>
        <w:t>3</w:t>
      </w:r>
      <w:r w:rsidRPr="00B04DC3">
        <w:rPr>
          <w:lang w:val="en-GB"/>
        </w:rPr>
        <w:t xml:space="preserve"> &gt; 16 tons, </w:t>
      </w:r>
      <w:r w:rsidRPr="00B04DC3">
        <w:rPr>
          <w:rFonts w:eastAsia="MS Mincho"/>
          <w:lang w:val="en-GB" w:eastAsia="ja-JP"/>
        </w:rPr>
        <w:t>M</w:t>
      </w:r>
      <w:r w:rsidRPr="00B04DC3">
        <w:rPr>
          <w:rFonts w:eastAsia="MS Mincho"/>
          <w:vertAlign w:val="subscript"/>
          <w:lang w:val="en-GB" w:eastAsia="ja-JP"/>
        </w:rPr>
        <w:t>1</w:t>
      </w:r>
      <w:r w:rsidRPr="00B04DC3">
        <w:rPr>
          <w:rFonts w:eastAsia="MS Mincho"/>
          <w:lang w:val="en-GB" w:eastAsia="ja-JP"/>
        </w:rPr>
        <w:t> &gt; 7.5 tons,</w:t>
      </w:r>
      <w:r w:rsidRPr="00B04DC3">
        <w:rPr>
          <w:lang w:val="en-GB"/>
        </w:rPr>
        <w:t xml:space="preserve"> M</w:t>
      </w:r>
      <w:r w:rsidRPr="00B04DC3">
        <w:rPr>
          <w:vertAlign w:val="subscript"/>
          <w:lang w:val="en-GB"/>
        </w:rPr>
        <w:t>3</w:t>
      </w:r>
      <w:r w:rsidRPr="00B04DC3">
        <w:rPr>
          <w:lang w:val="en-GB"/>
        </w:rPr>
        <w:t>/III and M</w:t>
      </w:r>
      <w:r w:rsidRPr="00B04DC3">
        <w:rPr>
          <w:vertAlign w:val="subscript"/>
          <w:lang w:val="en-GB"/>
        </w:rPr>
        <w:t>3</w:t>
      </w:r>
      <w:r w:rsidRPr="00B04DC3">
        <w:rPr>
          <w:lang w:val="en-GB"/>
        </w:rPr>
        <w:t>/B &gt; 7.5 tons</w:t>
      </w:r>
      <w:r w:rsidR="0058429C">
        <w:rPr>
          <w:lang w:val="en-GB"/>
        </w:rPr>
        <w:t>;</w:t>
      </w:r>
      <w:r w:rsidRPr="00B04DC3">
        <w:rPr>
          <w:rStyle w:val="FootnoteReference"/>
          <w:bCs/>
          <w:lang w:val="en-GB"/>
        </w:rPr>
        <w:footnoteReference w:id="8"/>
      </w:r>
    </w:p>
    <w:p w:rsidR="00C0100D" w:rsidRPr="00B04DC3" w:rsidRDefault="00C0100D" w:rsidP="00C541E5">
      <w:pPr>
        <w:pStyle w:val="a"/>
        <w:rPr>
          <w:lang w:val="en-GB"/>
        </w:rPr>
      </w:pPr>
      <w:r w:rsidRPr="00B04DC3">
        <w:rPr>
          <w:lang w:val="en-GB"/>
        </w:rPr>
        <w:t>(b)</w:t>
      </w:r>
      <w:r w:rsidRPr="00B04DC3">
        <w:rPr>
          <w:lang w:val="en-GB"/>
        </w:rPr>
        <w:tab/>
        <w:t>75 per cent of the engine maximum torque for vehicles of category N</w:t>
      </w:r>
      <w:r w:rsidRPr="00B04DC3">
        <w:rPr>
          <w:vertAlign w:val="subscript"/>
          <w:lang w:val="en-GB"/>
        </w:rPr>
        <w:t>1</w:t>
      </w:r>
      <w:r w:rsidRPr="00B04DC3">
        <w:rPr>
          <w:lang w:val="en-GB"/>
        </w:rPr>
        <w:t>, N</w:t>
      </w:r>
      <w:r w:rsidRPr="00B04DC3">
        <w:rPr>
          <w:vertAlign w:val="subscript"/>
          <w:lang w:val="en-GB"/>
        </w:rPr>
        <w:t>2</w:t>
      </w:r>
      <w:r w:rsidRPr="00B04DC3">
        <w:rPr>
          <w:lang w:val="en-GB"/>
        </w:rPr>
        <w:t>, N</w:t>
      </w:r>
      <w:r w:rsidRPr="00B04DC3">
        <w:rPr>
          <w:vertAlign w:val="subscript"/>
          <w:lang w:val="en-GB"/>
        </w:rPr>
        <w:t>3</w:t>
      </w:r>
      <w:r w:rsidRPr="00B04DC3">
        <w:rPr>
          <w:lang w:val="en-GB"/>
        </w:rPr>
        <w:t xml:space="preserve"> ≤ 16 tons, </w:t>
      </w:r>
      <w:r w:rsidRPr="00B04DC3">
        <w:rPr>
          <w:rFonts w:eastAsia="MS Mincho"/>
          <w:lang w:val="en-GB" w:eastAsia="ja-JP"/>
        </w:rPr>
        <w:t>3.5 &lt; M</w:t>
      </w:r>
      <w:r w:rsidRPr="00B04DC3">
        <w:rPr>
          <w:rFonts w:eastAsia="MS Mincho"/>
          <w:vertAlign w:val="subscript"/>
          <w:lang w:val="en-GB" w:eastAsia="ja-JP"/>
        </w:rPr>
        <w:t>1</w:t>
      </w:r>
      <w:r w:rsidRPr="00B04DC3">
        <w:rPr>
          <w:rFonts w:eastAsia="MS Mincho"/>
          <w:lang w:val="en-GB" w:eastAsia="ja-JP"/>
        </w:rPr>
        <w:t xml:space="preserve"> </w:t>
      </w:r>
      <w:r w:rsidRPr="00B04DC3">
        <w:rPr>
          <w:rFonts w:eastAsia="MS Mincho"/>
          <w:lang w:val="en-GB" w:eastAsia="ja-JP"/>
        </w:rPr>
        <w:sym w:font="Symbol" w:char="F0A3"/>
      </w:r>
      <w:r w:rsidRPr="00B04DC3">
        <w:rPr>
          <w:rFonts w:eastAsia="MS Mincho"/>
          <w:lang w:val="en-GB" w:eastAsia="ja-JP"/>
        </w:rPr>
        <w:t xml:space="preserve"> 7.5 tons, </w:t>
      </w:r>
      <w:r w:rsidRPr="00B04DC3">
        <w:rPr>
          <w:lang w:val="en-GB"/>
        </w:rPr>
        <w:t>M</w:t>
      </w:r>
      <w:r w:rsidRPr="00B04DC3">
        <w:rPr>
          <w:vertAlign w:val="subscript"/>
          <w:lang w:val="en-GB"/>
        </w:rPr>
        <w:t>2</w:t>
      </w:r>
      <w:r w:rsidRPr="00B04DC3">
        <w:rPr>
          <w:lang w:val="en-GB"/>
        </w:rPr>
        <w:t>, M</w:t>
      </w:r>
      <w:r w:rsidRPr="00B04DC3">
        <w:rPr>
          <w:vertAlign w:val="subscript"/>
          <w:lang w:val="en-GB"/>
        </w:rPr>
        <w:t>3</w:t>
      </w:r>
      <w:r w:rsidRPr="00B04DC3">
        <w:rPr>
          <w:lang w:val="en-GB"/>
        </w:rPr>
        <w:t>/I, M</w:t>
      </w:r>
      <w:r w:rsidRPr="00B04DC3">
        <w:rPr>
          <w:vertAlign w:val="subscript"/>
          <w:lang w:val="en-GB"/>
        </w:rPr>
        <w:t>3</w:t>
      </w:r>
      <w:r w:rsidRPr="00B04DC3">
        <w:rPr>
          <w:lang w:val="en-GB"/>
        </w:rPr>
        <w:t>/II, M</w:t>
      </w:r>
      <w:r w:rsidRPr="00B04DC3">
        <w:rPr>
          <w:vertAlign w:val="subscript"/>
          <w:lang w:val="en-GB"/>
        </w:rPr>
        <w:t>3</w:t>
      </w:r>
      <w:r w:rsidRPr="00B04DC3">
        <w:rPr>
          <w:lang w:val="en-GB"/>
        </w:rPr>
        <w:t xml:space="preserve">/A and </w:t>
      </w:r>
      <w:r w:rsidR="00C541E5" w:rsidRPr="00B04DC3">
        <w:rPr>
          <w:lang w:val="en-GB"/>
        </w:rPr>
        <w:br/>
      </w:r>
      <w:r w:rsidRPr="00B04DC3">
        <w:rPr>
          <w:lang w:val="en-GB"/>
        </w:rPr>
        <w:t>M</w:t>
      </w:r>
      <w:r w:rsidRPr="00B04DC3">
        <w:rPr>
          <w:vertAlign w:val="subscript"/>
          <w:lang w:val="en-GB"/>
        </w:rPr>
        <w:t>3</w:t>
      </w:r>
      <w:r w:rsidRPr="00B04DC3">
        <w:rPr>
          <w:lang w:val="en-GB"/>
        </w:rPr>
        <w:t>/B ≤ 7.5 tons.</w:t>
      </w:r>
    </w:p>
    <w:p w:rsidR="00C0100D" w:rsidRPr="00B04DC3" w:rsidRDefault="00C0100D" w:rsidP="00C541E5">
      <w:pPr>
        <w:pStyle w:val="para"/>
        <w:rPr>
          <w:lang w:val="en-GB"/>
        </w:rPr>
      </w:pPr>
      <w:r w:rsidRPr="00B04DC3">
        <w:rPr>
          <w:lang w:val="en-GB"/>
        </w:rPr>
        <w:t>5.5.5.4.</w:t>
      </w:r>
      <w:r w:rsidRPr="00B04DC3">
        <w:rPr>
          <w:lang w:val="en-GB"/>
        </w:rPr>
        <w:tab/>
        <w:t>Requirements for documentation and the torque limiter are set out in paragraphs 5.5.5.5. to 5.5.5.8.</w:t>
      </w:r>
    </w:p>
    <w:p w:rsidR="00C0100D" w:rsidRPr="00B04DC3" w:rsidRDefault="00C0100D" w:rsidP="00C541E5">
      <w:pPr>
        <w:pStyle w:val="para"/>
        <w:rPr>
          <w:rFonts w:eastAsia="MS Mincho"/>
          <w:lang w:val="en-GB" w:eastAsia="ja-JP"/>
        </w:rPr>
      </w:pPr>
      <w:r w:rsidRPr="00B04DC3">
        <w:rPr>
          <w:lang w:val="en-GB"/>
        </w:rPr>
        <w:t>5.5.5.5.</w:t>
      </w:r>
      <w:r w:rsidRPr="00B04DC3">
        <w:rPr>
          <w:lang w:val="en-GB"/>
        </w:rPr>
        <w:tab/>
        <w:t xml:space="preserve">Detailed written information fully describing the functional operation characteristics of the </w:t>
      </w:r>
      <w:r w:rsidRPr="00B04DC3">
        <w:rPr>
          <w:rFonts w:eastAsia="MS Mincho"/>
          <w:lang w:val="en-GB" w:eastAsia="ja-JP"/>
        </w:rPr>
        <w:t xml:space="preserve">emission control monitoring system and the </w:t>
      </w:r>
      <w:r w:rsidRPr="00B04DC3">
        <w:rPr>
          <w:lang w:val="en-GB"/>
        </w:rPr>
        <w:t xml:space="preserve">torque limiter shall be specified according to the documentation requirements of paragraph 5.1.7.1.(b). </w:t>
      </w:r>
      <w:r w:rsidRPr="00B04DC3">
        <w:rPr>
          <w:rFonts w:eastAsia="MS Mincho"/>
          <w:lang w:val="en-GB" w:eastAsia="ja-JP"/>
        </w:rPr>
        <w:t>Specifically, the manufacturer shall provide information on the algorithms used by the ECU for relating the NO</w:t>
      </w:r>
      <w:r w:rsidRPr="00B04DC3">
        <w:rPr>
          <w:rFonts w:eastAsia="MS Mincho"/>
          <w:vertAlign w:val="subscript"/>
          <w:lang w:val="en-GB" w:eastAsia="ja-JP"/>
        </w:rPr>
        <w:t>x</w:t>
      </w:r>
      <w:r w:rsidRPr="00B04DC3">
        <w:rPr>
          <w:rFonts w:eastAsia="MS Mincho"/>
          <w:lang w:val="en-GB" w:eastAsia="ja-JP"/>
        </w:rPr>
        <w:t xml:space="preserve"> concentration to the specific NO</w:t>
      </w:r>
      <w:r w:rsidRPr="00B04DC3">
        <w:rPr>
          <w:rFonts w:eastAsia="MS Mincho"/>
          <w:vertAlign w:val="subscript"/>
          <w:lang w:val="en-GB" w:eastAsia="ja-JP"/>
        </w:rPr>
        <w:t>x</w:t>
      </w:r>
      <w:r w:rsidRPr="00B04DC3">
        <w:rPr>
          <w:rFonts w:eastAsia="MS Mincho"/>
          <w:lang w:val="en-GB" w:eastAsia="ja-JP"/>
        </w:rPr>
        <w:t xml:space="preserve"> emission (in g/kWh) on the ETC in accordance with paragraph 5.5.6.5.</w:t>
      </w:r>
    </w:p>
    <w:p w:rsidR="00C0100D" w:rsidRPr="00B04DC3" w:rsidRDefault="00C0100D" w:rsidP="00C541E5">
      <w:pPr>
        <w:pStyle w:val="para"/>
        <w:rPr>
          <w:lang w:val="en-GB"/>
        </w:rPr>
      </w:pPr>
      <w:r w:rsidRPr="00B04DC3">
        <w:rPr>
          <w:lang w:val="en-GB"/>
        </w:rPr>
        <w:t>5.5.5.6.</w:t>
      </w:r>
      <w:r w:rsidRPr="00B04DC3">
        <w:rPr>
          <w:lang w:val="en-GB"/>
        </w:rPr>
        <w:tab/>
        <w:t>The torque limiter shall be deactivated when the engine speed is at idle if the conditions for its activation have ceased to exist</w:t>
      </w:r>
      <w:r w:rsidR="00401E79" w:rsidRPr="00B04DC3">
        <w:rPr>
          <w:lang w:val="en-GB"/>
        </w:rPr>
        <w:t xml:space="preserve">. </w:t>
      </w:r>
      <w:r w:rsidRPr="00B04DC3">
        <w:rPr>
          <w:lang w:val="en-GB"/>
        </w:rPr>
        <w:t>The torque limiter shall not be automatically deactivated without the reason for its activation being remedied.</w:t>
      </w:r>
    </w:p>
    <w:p w:rsidR="00C0100D" w:rsidRPr="00B04DC3" w:rsidRDefault="00C0100D" w:rsidP="00C541E5">
      <w:pPr>
        <w:pStyle w:val="para"/>
        <w:rPr>
          <w:lang w:val="en-GB"/>
        </w:rPr>
      </w:pPr>
      <w:r w:rsidRPr="00B04DC3">
        <w:rPr>
          <w:lang w:val="en-GB"/>
        </w:rPr>
        <w:t>5.5.5.7.</w:t>
      </w:r>
      <w:r w:rsidRPr="00B04DC3">
        <w:rPr>
          <w:lang w:val="en-GB"/>
        </w:rPr>
        <w:tab/>
      </w:r>
      <w:r w:rsidRPr="00B04DC3">
        <w:rPr>
          <w:rFonts w:eastAsia="MS Mincho"/>
          <w:lang w:val="en-GB" w:eastAsia="ja-JP"/>
        </w:rPr>
        <w:t>Deactivation of the torque limiter shall not be feasible by means of a switch or a maintenance tool.</w:t>
      </w:r>
    </w:p>
    <w:p w:rsidR="00C0100D" w:rsidRPr="00B04DC3" w:rsidRDefault="00C0100D" w:rsidP="00C541E5">
      <w:pPr>
        <w:pStyle w:val="para"/>
        <w:rPr>
          <w:rFonts w:eastAsia="MS Mincho"/>
          <w:lang w:val="en-GB" w:eastAsia="ja-JP"/>
        </w:rPr>
      </w:pPr>
      <w:r w:rsidRPr="00B04DC3">
        <w:rPr>
          <w:lang w:val="en-GB"/>
        </w:rPr>
        <w:t>5.5.5.8.</w:t>
      </w:r>
      <w:r w:rsidRPr="00B04DC3">
        <w:rPr>
          <w:lang w:val="en-GB"/>
        </w:rPr>
        <w:tab/>
      </w:r>
      <w:r w:rsidRPr="00B04DC3">
        <w:rPr>
          <w:rFonts w:eastAsia="MS Mincho"/>
          <w:lang w:val="en-GB" w:eastAsia="ja-JP"/>
        </w:rPr>
        <w:t>The torque limiter shall not apply to engines or vehicles for use by the armed services, by rescue services and by fire-services and ambulances</w:t>
      </w:r>
      <w:r w:rsidR="00401E79" w:rsidRPr="00B04DC3">
        <w:rPr>
          <w:rFonts w:eastAsia="MS Mincho"/>
          <w:lang w:val="en-GB" w:eastAsia="ja-JP"/>
        </w:rPr>
        <w:t xml:space="preserve">. </w:t>
      </w:r>
      <w:r w:rsidRPr="00B04DC3">
        <w:rPr>
          <w:rFonts w:eastAsia="MS Mincho"/>
          <w:lang w:val="en-GB" w:eastAsia="ja-JP"/>
        </w:rPr>
        <w:t xml:space="preserve">Permanent deactivation shall only be done by the engine or vehicle manufacturer, and a special engine type within the engine family shall be designated for proper identification. </w:t>
      </w:r>
    </w:p>
    <w:p w:rsidR="00C0100D" w:rsidRPr="00B04DC3" w:rsidRDefault="00C0100D" w:rsidP="00C541E5">
      <w:pPr>
        <w:pStyle w:val="para"/>
        <w:rPr>
          <w:lang w:val="en-GB"/>
        </w:rPr>
      </w:pPr>
      <w:r w:rsidRPr="00B04DC3">
        <w:rPr>
          <w:lang w:val="en-GB"/>
        </w:rPr>
        <w:t>5.5.6.</w:t>
      </w:r>
      <w:r w:rsidRPr="00B04DC3">
        <w:rPr>
          <w:lang w:val="en-GB"/>
        </w:rPr>
        <w:tab/>
        <w:t>Operating conditions of the emission control monitoring system</w:t>
      </w:r>
    </w:p>
    <w:p w:rsidR="00C0100D" w:rsidRPr="00B04DC3" w:rsidRDefault="00C0100D" w:rsidP="00C541E5">
      <w:pPr>
        <w:pStyle w:val="para"/>
        <w:rPr>
          <w:rFonts w:eastAsia="MS Mincho"/>
          <w:lang w:val="en-GB" w:eastAsia="ja-JP"/>
        </w:rPr>
      </w:pPr>
      <w:r w:rsidRPr="00B04DC3">
        <w:rPr>
          <w:rFonts w:eastAsia="MS Mincho"/>
          <w:lang w:val="en-GB" w:eastAsia="ja-JP"/>
        </w:rPr>
        <w:t>5.5.6.1.</w:t>
      </w:r>
      <w:r w:rsidRPr="00B04DC3">
        <w:rPr>
          <w:rFonts w:eastAsia="MS Mincho"/>
          <w:lang w:val="en-GB" w:eastAsia="ja-JP"/>
        </w:rPr>
        <w:tab/>
        <w:t>The emission control monitoring system shall be operational,</w:t>
      </w:r>
    </w:p>
    <w:p w:rsidR="00C0100D" w:rsidRPr="00B04DC3" w:rsidRDefault="00C0100D" w:rsidP="00C541E5">
      <w:pPr>
        <w:pStyle w:val="a"/>
        <w:rPr>
          <w:rFonts w:eastAsia="MS Mincho"/>
          <w:lang w:val="en-GB" w:eastAsia="ja-JP"/>
        </w:rPr>
      </w:pPr>
      <w:r w:rsidRPr="00B04DC3">
        <w:rPr>
          <w:rFonts w:eastAsia="MS Mincho"/>
          <w:lang w:val="en-GB" w:eastAsia="ja-JP"/>
        </w:rPr>
        <w:t>(a)</w:t>
      </w:r>
      <w:r w:rsidRPr="00B04DC3">
        <w:rPr>
          <w:rFonts w:eastAsia="MS Mincho"/>
          <w:lang w:val="en-GB" w:eastAsia="ja-JP"/>
        </w:rPr>
        <w:tab/>
      </w:r>
      <w:r w:rsidR="00C541E5" w:rsidRPr="00B04DC3">
        <w:rPr>
          <w:rFonts w:eastAsia="MS Mincho"/>
          <w:lang w:val="en-GB" w:eastAsia="ja-JP"/>
        </w:rPr>
        <w:t>A</w:t>
      </w:r>
      <w:r w:rsidRPr="00B04DC3">
        <w:rPr>
          <w:rFonts w:eastAsia="MS Mincho"/>
          <w:lang w:val="en-GB" w:eastAsia="ja-JP"/>
        </w:rPr>
        <w:t>t all ambient temperatures between 266 K and 308 K (-7 °C and 35 °C);</w:t>
      </w:r>
    </w:p>
    <w:p w:rsidR="00C0100D" w:rsidRPr="00B04DC3" w:rsidRDefault="00C0100D" w:rsidP="00C541E5">
      <w:pPr>
        <w:pStyle w:val="a"/>
        <w:rPr>
          <w:rFonts w:eastAsia="MS Mincho"/>
          <w:lang w:val="en-GB" w:eastAsia="ja-JP"/>
        </w:rPr>
      </w:pPr>
      <w:r w:rsidRPr="00B04DC3">
        <w:rPr>
          <w:rFonts w:eastAsia="MS Mincho"/>
          <w:lang w:val="en-GB" w:eastAsia="ja-JP"/>
        </w:rPr>
        <w:t>(b)</w:t>
      </w:r>
      <w:r w:rsidRPr="00B04DC3">
        <w:rPr>
          <w:rFonts w:eastAsia="MS Mincho"/>
          <w:lang w:val="en-GB" w:eastAsia="ja-JP"/>
        </w:rPr>
        <w:tab/>
      </w:r>
      <w:r w:rsidR="00C541E5" w:rsidRPr="00B04DC3">
        <w:rPr>
          <w:rFonts w:eastAsia="MS Mincho"/>
          <w:lang w:val="en-GB" w:eastAsia="ja-JP"/>
        </w:rPr>
        <w:t>A</w:t>
      </w:r>
      <w:r w:rsidRPr="00B04DC3">
        <w:rPr>
          <w:rFonts w:eastAsia="MS Mincho"/>
          <w:lang w:val="en-GB" w:eastAsia="ja-JP"/>
        </w:rPr>
        <w:t>t all altitudes below 1</w:t>
      </w:r>
      <w:r w:rsidR="00661DA4" w:rsidRPr="00B04DC3">
        <w:rPr>
          <w:rFonts w:eastAsia="MS Mincho"/>
          <w:lang w:val="en-GB" w:eastAsia="ja-JP"/>
        </w:rPr>
        <w:t>,</w:t>
      </w:r>
      <w:r w:rsidRPr="00B04DC3">
        <w:rPr>
          <w:rFonts w:eastAsia="MS Mincho"/>
          <w:lang w:val="en-GB" w:eastAsia="ja-JP"/>
        </w:rPr>
        <w:t>600 m;</w:t>
      </w:r>
    </w:p>
    <w:p w:rsidR="00C0100D" w:rsidRPr="00B04DC3" w:rsidRDefault="00C0100D" w:rsidP="00C541E5">
      <w:pPr>
        <w:pStyle w:val="a"/>
        <w:rPr>
          <w:rFonts w:eastAsia="MS Mincho"/>
          <w:lang w:val="en-GB" w:eastAsia="ja-JP"/>
        </w:rPr>
      </w:pPr>
      <w:r w:rsidRPr="00B04DC3">
        <w:rPr>
          <w:rFonts w:eastAsia="MS Mincho"/>
          <w:lang w:val="en-GB" w:eastAsia="ja-JP"/>
        </w:rPr>
        <w:t>(c)</w:t>
      </w:r>
      <w:r w:rsidRPr="00B04DC3">
        <w:rPr>
          <w:rFonts w:eastAsia="MS Mincho"/>
          <w:lang w:val="en-GB" w:eastAsia="ja-JP"/>
        </w:rPr>
        <w:tab/>
      </w:r>
      <w:r w:rsidR="00C541E5" w:rsidRPr="00B04DC3">
        <w:rPr>
          <w:rFonts w:eastAsia="MS Mincho"/>
          <w:lang w:val="en-GB" w:eastAsia="ja-JP"/>
        </w:rPr>
        <w:t>A</w:t>
      </w:r>
      <w:r w:rsidRPr="00B04DC3">
        <w:rPr>
          <w:rFonts w:eastAsia="MS Mincho"/>
          <w:lang w:val="en-GB" w:eastAsia="ja-JP"/>
        </w:rPr>
        <w:t>t engine coolant temperatures above 343 K (70 °C).</w:t>
      </w:r>
    </w:p>
    <w:p w:rsidR="00C0100D" w:rsidRPr="00B04DC3" w:rsidRDefault="00C0100D" w:rsidP="00C541E5">
      <w:pPr>
        <w:pStyle w:val="para"/>
        <w:rPr>
          <w:rFonts w:eastAsia="MS Mincho"/>
          <w:lang w:val="en-GB" w:eastAsia="ja-JP"/>
        </w:rPr>
      </w:pPr>
      <w:r w:rsidRPr="00B04DC3">
        <w:rPr>
          <w:rFonts w:eastAsia="MS Mincho"/>
          <w:lang w:val="en-GB" w:eastAsia="ja-JP"/>
        </w:rPr>
        <w:tab/>
        <w:t>This paragraph does not apply in the case of monitoring for reagent level in the storage tank where monitoring shall be conducted under all conditions of use.</w:t>
      </w:r>
    </w:p>
    <w:p w:rsidR="00C0100D" w:rsidRPr="00B04DC3" w:rsidRDefault="00C0100D" w:rsidP="00C541E5">
      <w:pPr>
        <w:pStyle w:val="para"/>
        <w:rPr>
          <w:rFonts w:eastAsia="MS Mincho"/>
          <w:lang w:val="en-GB" w:eastAsia="ja-JP"/>
        </w:rPr>
      </w:pPr>
      <w:r w:rsidRPr="00B04DC3">
        <w:rPr>
          <w:rFonts w:eastAsia="MS Mincho"/>
          <w:lang w:val="en-GB" w:eastAsia="ja-JP"/>
        </w:rPr>
        <w:t>5.5.6.2.</w:t>
      </w:r>
      <w:r w:rsidRPr="00B04DC3">
        <w:rPr>
          <w:rFonts w:eastAsia="MS Mincho"/>
          <w:lang w:val="en-GB" w:eastAsia="ja-JP"/>
        </w:rPr>
        <w:tab/>
        <w:t>The emission control monitoring system may be deactivated when a limp-home strategy is active and which results in a torque reduction greater than the levels indicated in paragraph 5.5.5.3. for the appropriate vehicle category.</w:t>
      </w:r>
    </w:p>
    <w:p w:rsidR="00C0100D" w:rsidRPr="00B04DC3" w:rsidRDefault="00C0100D" w:rsidP="00C541E5">
      <w:pPr>
        <w:pStyle w:val="para"/>
        <w:rPr>
          <w:rFonts w:eastAsia="MS Mincho"/>
          <w:lang w:val="en-GB" w:eastAsia="ja-JP"/>
        </w:rPr>
      </w:pPr>
      <w:r w:rsidRPr="00B04DC3">
        <w:rPr>
          <w:rFonts w:eastAsia="MS Mincho"/>
          <w:lang w:val="en-GB" w:eastAsia="ja-JP"/>
        </w:rPr>
        <w:t>5.5.6.3.</w:t>
      </w:r>
      <w:r w:rsidRPr="00B04DC3">
        <w:rPr>
          <w:rFonts w:eastAsia="MS Mincho"/>
          <w:lang w:val="en-GB" w:eastAsia="ja-JP"/>
        </w:rPr>
        <w:tab/>
        <w:t>If an emission default mode is active, the emission control monitoring system shall remain operational and comply with the provisions of paragraph 5.5.</w:t>
      </w:r>
    </w:p>
    <w:p w:rsidR="00C0100D" w:rsidRPr="00B04DC3" w:rsidRDefault="00C0100D" w:rsidP="00C541E5">
      <w:pPr>
        <w:pStyle w:val="para"/>
        <w:rPr>
          <w:rFonts w:eastAsia="MS Mincho"/>
          <w:lang w:val="en-GB" w:eastAsia="ja-JP"/>
        </w:rPr>
      </w:pPr>
      <w:r w:rsidRPr="00B04DC3">
        <w:rPr>
          <w:rFonts w:eastAsia="MS Mincho"/>
          <w:lang w:val="en-GB" w:eastAsia="ja-JP"/>
        </w:rPr>
        <w:t>5.5.6.4.</w:t>
      </w:r>
      <w:r w:rsidRPr="00B04DC3">
        <w:rPr>
          <w:rFonts w:eastAsia="MS Mincho"/>
          <w:lang w:val="en-GB" w:eastAsia="ja-JP"/>
        </w:rPr>
        <w:tab/>
        <w:t>The incorrect operation of NO</w:t>
      </w:r>
      <w:r w:rsidRPr="00B04DC3">
        <w:rPr>
          <w:rFonts w:eastAsia="MS Mincho"/>
          <w:vertAlign w:val="subscript"/>
          <w:lang w:val="en-GB" w:eastAsia="ja-JP"/>
        </w:rPr>
        <w:t>x</w:t>
      </w:r>
      <w:r w:rsidRPr="00B04DC3">
        <w:rPr>
          <w:rFonts w:eastAsia="MS Mincho"/>
          <w:lang w:val="en-GB" w:eastAsia="ja-JP"/>
        </w:rPr>
        <w:t xml:space="preserve"> control measures shall be detected within four OBD test cycles </w:t>
      </w:r>
      <w:r w:rsidRPr="00B04DC3">
        <w:rPr>
          <w:lang w:val="en-GB"/>
        </w:rPr>
        <w:t xml:space="preserve">as referred to in the </w:t>
      </w:r>
      <w:r w:rsidRPr="00B04DC3">
        <w:rPr>
          <w:rFonts w:eastAsia="MS Mincho"/>
          <w:lang w:val="en-GB" w:eastAsia="ja-JP"/>
        </w:rPr>
        <w:t xml:space="preserve">definition given in paragraph 6.1. of </w:t>
      </w:r>
      <w:r w:rsidR="00573FB1" w:rsidRPr="00B04DC3">
        <w:rPr>
          <w:rFonts w:eastAsia="MS Mincho"/>
          <w:lang w:val="en-GB" w:eastAsia="ja-JP"/>
        </w:rPr>
        <w:t>the Appendix</w:t>
      </w:r>
      <w:r w:rsidRPr="00B04DC3">
        <w:rPr>
          <w:rFonts w:eastAsia="MS Mincho"/>
          <w:lang w:val="en-GB" w:eastAsia="ja-JP"/>
        </w:rPr>
        <w:t xml:space="preserve"> </w:t>
      </w:r>
      <w:r w:rsidR="00441D29" w:rsidRPr="00B04DC3">
        <w:rPr>
          <w:rFonts w:eastAsia="MS Mincho"/>
          <w:lang w:val="en-GB" w:eastAsia="ja-JP"/>
        </w:rPr>
        <w:t>to</w:t>
      </w:r>
      <w:r w:rsidRPr="00B04DC3">
        <w:rPr>
          <w:rFonts w:eastAsia="MS Mincho"/>
          <w:lang w:val="en-GB" w:eastAsia="ja-JP"/>
        </w:rPr>
        <w:t xml:space="preserve"> Annex 9A to this Regulation.</w:t>
      </w:r>
    </w:p>
    <w:p w:rsidR="00C0100D" w:rsidRPr="00B04DC3" w:rsidRDefault="00C0100D" w:rsidP="00C541E5">
      <w:pPr>
        <w:pStyle w:val="para"/>
        <w:rPr>
          <w:rFonts w:eastAsia="MS Mincho"/>
          <w:lang w:val="en-GB" w:eastAsia="ja-JP"/>
        </w:rPr>
      </w:pPr>
      <w:r w:rsidRPr="00B04DC3">
        <w:rPr>
          <w:rFonts w:eastAsia="MS Mincho"/>
          <w:lang w:val="en-GB" w:eastAsia="ja-JP"/>
        </w:rPr>
        <w:t>5.5.6.5.</w:t>
      </w:r>
      <w:r w:rsidRPr="00B04DC3">
        <w:rPr>
          <w:rFonts w:eastAsia="MS Mincho"/>
          <w:lang w:val="en-GB" w:eastAsia="ja-JP"/>
        </w:rPr>
        <w:tab/>
        <w:t>Algorithms used by the ECU for relating the actual NO</w:t>
      </w:r>
      <w:r w:rsidRPr="00B04DC3">
        <w:rPr>
          <w:rFonts w:eastAsia="MS Mincho"/>
          <w:vertAlign w:val="subscript"/>
          <w:lang w:val="en-GB" w:eastAsia="ja-JP"/>
        </w:rPr>
        <w:t>x</w:t>
      </w:r>
      <w:r w:rsidRPr="00B04DC3">
        <w:rPr>
          <w:rFonts w:eastAsia="MS Mincho"/>
          <w:lang w:val="en-GB" w:eastAsia="ja-JP"/>
        </w:rPr>
        <w:t xml:space="preserve"> concentration to the specific NO</w:t>
      </w:r>
      <w:r w:rsidRPr="00B04DC3">
        <w:rPr>
          <w:rFonts w:eastAsia="MS Mincho"/>
          <w:vertAlign w:val="subscript"/>
          <w:lang w:val="en-GB" w:eastAsia="ja-JP"/>
        </w:rPr>
        <w:t>x</w:t>
      </w:r>
      <w:r w:rsidRPr="00B04DC3">
        <w:rPr>
          <w:rFonts w:eastAsia="MS Mincho"/>
          <w:lang w:val="en-GB" w:eastAsia="ja-JP"/>
        </w:rPr>
        <w:t xml:space="preserve"> emission (in g/kWh) on the ETC shall not be considered to be a defeat strategy.</w:t>
      </w:r>
    </w:p>
    <w:p w:rsidR="00C0100D" w:rsidRPr="00B04DC3" w:rsidRDefault="00C0100D" w:rsidP="00C541E5">
      <w:pPr>
        <w:pStyle w:val="para"/>
        <w:rPr>
          <w:rFonts w:eastAsia="MS Mincho"/>
          <w:lang w:val="en-GB" w:eastAsia="ja-JP"/>
        </w:rPr>
      </w:pPr>
      <w:r w:rsidRPr="00B04DC3">
        <w:rPr>
          <w:rFonts w:eastAsia="MS Mincho"/>
          <w:lang w:val="en-GB" w:eastAsia="ja-JP"/>
        </w:rPr>
        <w:t>5.5.6.6.</w:t>
      </w:r>
      <w:r w:rsidRPr="00B04DC3">
        <w:rPr>
          <w:rFonts w:eastAsia="MS Mincho"/>
          <w:lang w:val="en-GB" w:eastAsia="ja-JP"/>
        </w:rPr>
        <w:tab/>
        <w:t xml:space="preserve">If an ACS that has been approved by the </w:t>
      </w:r>
      <w:r w:rsidR="0055021A">
        <w:rPr>
          <w:rFonts w:eastAsia="MS Mincho"/>
          <w:lang w:val="en-GB" w:eastAsia="ja-JP"/>
        </w:rPr>
        <w:t xml:space="preserve">Type </w:t>
      </w:r>
      <w:r w:rsidRPr="00B04DC3">
        <w:rPr>
          <w:rFonts w:eastAsia="MS Mincho"/>
          <w:lang w:val="en-GB" w:eastAsia="ja-JP"/>
        </w:rPr>
        <w:t>Approval Authority in accordance with paragraph 5.1.5. becomes operational, any increase in NO</w:t>
      </w:r>
      <w:r w:rsidRPr="00B04DC3">
        <w:rPr>
          <w:rFonts w:eastAsia="MS Mincho"/>
          <w:vertAlign w:val="subscript"/>
          <w:lang w:val="en-GB" w:eastAsia="ja-JP"/>
        </w:rPr>
        <w:t>x</w:t>
      </w:r>
      <w:r w:rsidRPr="00B04DC3">
        <w:rPr>
          <w:rFonts w:eastAsia="MS Mincho"/>
          <w:lang w:val="en-GB" w:eastAsia="ja-JP"/>
        </w:rPr>
        <w:t xml:space="preserve"> due to the operation of the ACS may be applied to the appropriate NO</w:t>
      </w:r>
      <w:r w:rsidRPr="00B04DC3">
        <w:rPr>
          <w:rFonts w:eastAsia="MS Mincho"/>
          <w:vertAlign w:val="subscript"/>
          <w:lang w:val="en-GB" w:eastAsia="ja-JP"/>
        </w:rPr>
        <w:t>x</w:t>
      </w:r>
      <w:r w:rsidRPr="00B04DC3">
        <w:rPr>
          <w:rFonts w:eastAsia="MS Mincho"/>
          <w:lang w:val="en-GB" w:eastAsia="ja-JP"/>
        </w:rPr>
        <w:t xml:space="preserve"> level referred to in paragraph 5.5.3.2</w:t>
      </w:r>
      <w:r w:rsidR="00401E79" w:rsidRPr="00B04DC3">
        <w:rPr>
          <w:rFonts w:eastAsia="MS Mincho"/>
          <w:lang w:val="en-GB" w:eastAsia="ja-JP"/>
        </w:rPr>
        <w:t xml:space="preserve">. </w:t>
      </w:r>
      <w:r w:rsidRPr="00B04DC3">
        <w:rPr>
          <w:rFonts w:eastAsia="MS Mincho"/>
          <w:lang w:val="en-GB" w:eastAsia="ja-JP"/>
        </w:rPr>
        <w:t>In all such cases, the influence of the ACS on the NO</w:t>
      </w:r>
      <w:r w:rsidRPr="00B04DC3">
        <w:rPr>
          <w:rFonts w:eastAsia="MS Mincho"/>
          <w:vertAlign w:val="subscript"/>
          <w:lang w:val="en-GB" w:eastAsia="ja-JP"/>
        </w:rPr>
        <w:t>x</w:t>
      </w:r>
      <w:r w:rsidRPr="00B04DC3">
        <w:rPr>
          <w:rFonts w:eastAsia="MS Mincho"/>
          <w:lang w:val="en-GB" w:eastAsia="ja-JP"/>
        </w:rPr>
        <w:t xml:space="preserve"> threshold shall be described in accordance with paragraph 5.5.5.5.</w:t>
      </w:r>
    </w:p>
    <w:p w:rsidR="00C0100D" w:rsidRPr="00B04DC3" w:rsidRDefault="00C0100D" w:rsidP="00C541E5">
      <w:pPr>
        <w:pStyle w:val="para"/>
        <w:rPr>
          <w:rFonts w:eastAsia="MS Mincho"/>
          <w:lang w:val="en-GB" w:eastAsia="ja-JP"/>
        </w:rPr>
      </w:pPr>
      <w:r w:rsidRPr="00B04DC3">
        <w:rPr>
          <w:rFonts w:eastAsia="MS Mincho"/>
          <w:lang w:val="en-GB" w:eastAsia="ja-JP"/>
        </w:rPr>
        <w:t>5.5.7.</w:t>
      </w:r>
      <w:r w:rsidRPr="00B04DC3">
        <w:rPr>
          <w:rFonts w:eastAsia="MS Mincho"/>
          <w:lang w:val="en-GB" w:eastAsia="ja-JP"/>
        </w:rPr>
        <w:tab/>
        <w:t>Failure of the emission control monitoring system</w:t>
      </w:r>
    </w:p>
    <w:p w:rsidR="00C0100D" w:rsidRPr="00B04DC3" w:rsidRDefault="00C0100D" w:rsidP="00C541E5">
      <w:pPr>
        <w:pStyle w:val="para"/>
        <w:rPr>
          <w:rFonts w:eastAsia="MS Mincho"/>
          <w:lang w:val="en-GB" w:eastAsia="ja-JP"/>
        </w:rPr>
      </w:pPr>
      <w:r w:rsidRPr="00B04DC3">
        <w:rPr>
          <w:rFonts w:eastAsia="MS Mincho"/>
          <w:lang w:val="en-GB" w:eastAsia="ja-JP"/>
        </w:rPr>
        <w:t>5.5.7.1.</w:t>
      </w:r>
      <w:r w:rsidRPr="00B04DC3">
        <w:rPr>
          <w:rFonts w:eastAsia="MS Mincho"/>
          <w:lang w:val="en-GB" w:eastAsia="ja-JP"/>
        </w:rPr>
        <w:tab/>
        <w:t>The emission control monitoring system shall be monitored for electrical failures and for removal or deactivation of any sensor that prevents it from diagnosing an emission increase as required by paragraphs 5.5.3.2. and 5.5.3.4.</w:t>
      </w:r>
    </w:p>
    <w:p w:rsidR="00C0100D" w:rsidRPr="00B04DC3" w:rsidRDefault="00C0100D" w:rsidP="00C541E5">
      <w:pPr>
        <w:pStyle w:val="para"/>
        <w:rPr>
          <w:rFonts w:eastAsia="MS Mincho"/>
          <w:lang w:val="en-GB" w:eastAsia="ja-JP"/>
        </w:rPr>
      </w:pPr>
      <w:r w:rsidRPr="00B04DC3">
        <w:rPr>
          <w:rFonts w:eastAsia="MS Mincho"/>
          <w:lang w:val="en-GB" w:eastAsia="ja-JP"/>
        </w:rPr>
        <w:tab/>
        <w:t>Examples of sensors that affect the diagnostic capability are those directly measuring NO</w:t>
      </w:r>
      <w:r w:rsidRPr="00B04DC3">
        <w:rPr>
          <w:rFonts w:eastAsia="MS Mincho"/>
          <w:vertAlign w:val="subscript"/>
          <w:lang w:val="en-GB" w:eastAsia="ja-JP"/>
        </w:rPr>
        <w:t>x</w:t>
      </w:r>
      <w:r w:rsidRPr="00B04DC3">
        <w:rPr>
          <w:rFonts w:eastAsia="MS Mincho"/>
          <w:lang w:val="en-GB" w:eastAsia="ja-JP"/>
        </w:rPr>
        <w:t xml:space="preserve"> concentration, urea quality sensors, and sensors used for monitoring reagent dosing activity, reagent level, reagent consumption or EGR rate.</w:t>
      </w:r>
    </w:p>
    <w:p w:rsidR="00C0100D" w:rsidRPr="00B04DC3" w:rsidRDefault="00C0100D" w:rsidP="00C541E5">
      <w:pPr>
        <w:pStyle w:val="para"/>
        <w:rPr>
          <w:rFonts w:eastAsia="MS Mincho"/>
          <w:lang w:val="en-GB" w:eastAsia="ja-JP"/>
        </w:rPr>
      </w:pPr>
      <w:r w:rsidRPr="00B04DC3">
        <w:rPr>
          <w:rFonts w:eastAsia="MS Mincho"/>
          <w:lang w:val="en-GB" w:eastAsia="ja-JP"/>
        </w:rPr>
        <w:t>5.5.7.2.</w:t>
      </w:r>
      <w:r w:rsidRPr="00B04DC3">
        <w:rPr>
          <w:rFonts w:eastAsia="MS Mincho"/>
          <w:lang w:val="en-GB" w:eastAsia="ja-JP"/>
        </w:rPr>
        <w:tab/>
        <w:t>If a failure of the emission control monitoring system is confirmed, the driver shall be immediately alerted by the activation of the warning signal according to paragraph 3.6.5. of Annex 9A to this Regulation.</w:t>
      </w:r>
    </w:p>
    <w:p w:rsidR="00C0100D" w:rsidRPr="00B04DC3" w:rsidRDefault="00C0100D" w:rsidP="00FE6E38">
      <w:pPr>
        <w:pStyle w:val="para"/>
        <w:rPr>
          <w:rFonts w:eastAsia="MS Mincho"/>
          <w:lang w:val="en-GB" w:eastAsia="ja-JP"/>
        </w:rPr>
      </w:pPr>
      <w:r w:rsidRPr="00B04DC3">
        <w:rPr>
          <w:rFonts w:eastAsia="MS Mincho"/>
          <w:lang w:val="en-GB" w:eastAsia="ja-JP"/>
        </w:rPr>
        <w:t>5.5.7.3.</w:t>
      </w:r>
      <w:r w:rsidRPr="00B04DC3">
        <w:rPr>
          <w:rFonts w:eastAsia="MS Mincho"/>
          <w:lang w:val="en-GB" w:eastAsia="ja-JP"/>
        </w:rPr>
        <w:tab/>
        <w:t xml:space="preserve">The torque limiter shall be activated in accordance with paragraph 5.5.5. if the failure is not remedied within </w:t>
      </w:r>
      <w:r w:rsidR="00573FB1" w:rsidRPr="00B04DC3">
        <w:rPr>
          <w:rFonts w:eastAsia="MS Mincho"/>
          <w:lang w:val="en-GB" w:eastAsia="ja-JP"/>
        </w:rPr>
        <w:t xml:space="preserve">a period of </w:t>
      </w:r>
      <w:r w:rsidRPr="00B04DC3">
        <w:rPr>
          <w:rFonts w:eastAsia="MS Mincho"/>
          <w:lang w:val="en-GB" w:eastAsia="ja-JP"/>
        </w:rPr>
        <w:t>50 hours of engine operation.</w:t>
      </w:r>
      <w:r w:rsidR="00573FB1" w:rsidRPr="00B04DC3">
        <w:rPr>
          <w:rFonts w:eastAsia="MS Mincho"/>
          <w:lang w:val="en-GB" w:eastAsia="ja-JP"/>
        </w:rPr>
        <w:t xml:space="preserve"> </w:t>
      </w:r>
      <w:r w:rsidRPr="00B04DC3">
        <w:rPr>
          <w:rFonts w:eastAsia="MS Mincho"/>
          <w:lang w:val="en-GB" w:eastAsia="ja-JP"/>
        </w:rPr>
        <w:tab/>
        <w:t>Th</w:t>
      </w:r>
      <w:r w:rsidR="00573FB1" w:rsidRPr="00B04DC3">
        <w:rPr>
          <w:rFonts w:eastAsia="MS Mincho"/>
          <w:lang w:val="en-GB" w:eastAsia="ja-JP"/>
        </w:rPr>
        <w:t>is</w:t>
      </w:r>
      <w:r w:rsidRPr="00B04DC3">
        <w:rPr>
          <w:rFonts w:eastAsia="MS Mincho"/>
          <w:lang w:val="en-GB" w:eastAsia="ja-JP"/>
        </w:rPr>
        <w:t xml:space="preserve"> period shall be reduced to 36 hours from the dates specified in paragraphs 13.2.3. and 13.3.3.</w:t>
      </w:r>
    </w:p>
    <w:p w:rsidR="00C0100D" w:rsidRPr="00B04DC3" w:rsidRDefault="00C0100D" w:rsidP="00FE6E38">
      <w:pPr>
        <w:pStyle w:val="para"/>
        <w:rPr>
          <w:rFonts w:eastAsia="MS Mincho"/>
          <w:lang w:val="en-GB" w:eastAsia="ja-JP"/>
        </w:rPr>
      </w:pPr>
      <w:r w:rsidRPr="00B04DC3">
        <w:rPr>
          <w:rFonts w:eastAsia="MS Mincho"/>
          <w:lang w:val="en-GB" w:eastAsia="ja-JP"/>
        </w:rPr>
        <w:t>5.5.7.4.</w:t>
      </w:r>
      <w:r w:rsidRPr="00B04DC3">
        <w:rPr>
          <w:rFonts w:eastAsia="MS Mincho"/>
          <w:lang w:val="en-GB" w:eastAsia="ja-JP"/>
        </w:rPr>
        <w:tab/>
        <w:t>When the emission control monitoring system has determined that the failure has ceased to exist, the fault code(s) associated with that failure may be cleared from the system memory, except in the cases referred to in paragraph</w:t>
      </w:r>
      <w:r w:rsidR="00FE6E38" w:rsidRPr="00B04DC3">
        <w:rPr>
          <w:rFonts w:eastAsia="MS Mincho"/>
          <w:lang w:val="en-GB" w:eastAsia="ja-JP"/>
        </w:rPr>
        <w:t> </w:t>
      </w:r>
      <w:r w:rsidRPr="00B04DC3">
        <w:rPr>
          <w:rFonts w:eastAsia="MS Mincho"/>
          <w:lang w:val="en-GB" w:eastAsia="ja-JP"/>
        </w:rPr>
        <w:t>5.5.7.5., and the torque limiter, if applicable, shall be deactivated according to paragraph 5.5.5.6.</w:t>
      </w:r>
    </w:p>
    <w:p w:rsidR="00C0100D" w:rsidRPr="00B04DC3" w:rsidRDefault="00C0100D" w:rsidP="00FE6E38">
      <w:pPr>
        <w:pStyle w:val="para"/>
        <w:rPr>
          <w:rFonts w:eastAsia="MS Mincho"/>
          <w:lang w:val="en-GB" w:eastAsia="ja-JP"/>
        </w:rPr>
      </w:pPr>
      <w:r w:rsidRPr="00B04DC3">
        <w:rPr>
          <w:rFonts w:eastAsia="MS Mincho"/>
          <w:lang w:val="en-GB" w:eastAsia="ja-JP"/>
        </w:rPr>
        <w:tab/>
        <w:t>Fault code(s) associated with a failure of the emission control monitoring system shall not be capable of being cleared from the system memory by any scan tool.</w:t>
      </w:r>
    </w:p>
    <w:p w:rsidR="00C0100D" w:rsidRPr="00B04DC3" w:rsidRDefault="00C0100D" w:rsidP="00FE6E38">
      <w:pPr>
        <w:pStyle w:val="para"/>
        <w:rPr>
          <w:rFonts w:eastAsia="MS Mincho"/>
          <w:lang w:val="en-GB" w:eastAsia="ja-JP"/>
        </w:rPr>
      </w:pPr>
      <w:r w:rsidRPr="00B04DC3">
        <w:rPr>
          <w:rFonts w:eastAsia="MS Mincho"/>
          <w:lang w:val="en-GB" w:eastAsia="ja-JP"/>
        </w:rPr>
        <w:t>5.5.7.5.</w:t>
      </w:r>
      <w:r w:rsidRPr="00B04DC3">
        <w:rPr>
          <w:rFonts w:eastAsia="MS Mincho"/>
          <w:lang w:val="en-GB" w:eastAsia="ja-JP"/>
        </w:rPr>
        <w:tab/>
        <w:t>In the case of the removal or deactivation of elements of the emission control monitoring system, in accordance with paragraph 5.5.7.1., a non-erasable fault code shall be stored in accordance with paragraph 3.9.2. of Annex 9A to this Regulation for a minimum of 400 days or 9,600 hours of engine operation.</w:t>
      </w:r>
    </w:p>
    <w:p w:rsidR="00C0100D" w:rsidRPr="00B04DC3" w:rsidRDefault="00C0100D" w:rsidP="00FE6E38">
      <w:pPr>
        <w:pStyle w:val="para"/>
        <w:rPr>
          <w:lang w:val="en-GB"/>
        </w:rPr>
      </w:pPr>
      <w:r w:rsidRPr="00B04DC3">
        <w:rPr>
          <w:lang w:val="en-GB"/>
        </w:rPr>
        <w:t>5.5.8.</w:t>
      </w:r>
      <w:r w:rsidRPr="00B04DC3">
        <w:rPr>
          <w:lang w:val="en-GB"/>
        </w:rPr>
        <w:tab/>
        <w:t>Demonstration of the emission control monitoring system</w:t>
      </w:r>
    </w:p>
    <w:p w:rsidR="00C0100D" w:rsidRPr="00B04DC3" w:rsidRDefault="00C0100D" w:rsidP="00FE6E38">
      <w:pPr>
        <w:pStyle w:val="para"/>
        <w:rPr>
          <w:rFonts w:eastAsia="MS Mincho"/>
          <w:lang w:val="en-GB" w:eastAsia="ja-JP"/>
        </w:rPr>
      </w:pPr>
      <w:r w:rsidRPr="00B04DC3">
        <w:rPr>
          <w:rFonts w:eastAsia="MS Mincho"/>
          <w:lang w:val="en-GB" w:eastAsia="ja-JP"/>
        </w:rPr>
        <w:t>5.5.8.1.</w:t>
      </w:r>
      <w:r w:rsidRPr="00B04DC3">
        <w:rPr>
          <w:rFonts w:eastAsia="MS Mincho"/>
          <w:lang w:val="en-GB" w:eastAsia="ja-JP"/>
        </w:rPr>
        <w:tab/>
        <w:t>As part of the application for approval provided for in paragraph 3., the manufacturer shall demonstrate the conformity of the provisions of this paragraph by tests on an engine dynamometer in accordance with paragraphs</w:t>
      </w:r>
      <w:r w:rsidR="00573FB1" w:rsidRPr="00B04DC3">
        <w:rPr>
          <w:rFonts w:eastAsia="MS Mincho"/>
          <w:lang w:val="en-GB" w:eastAsia="ja-JP"/>
        </w:rPr>
        <w:t> </w:t>
      </w:r>
      <w:r w:rsidRPr="00B04DC3">
        <w:rPr>
          <w:rFonts w:eastAsia="MS Mincho"/>
          <w:lang w:val="en-GB" w:eastAsia="ja-JP"/>
        </w:rPr>
        <w:t>5.5.8.2. to 5.5.8.7.</w:t>
      </w:r>
    </w:p>
    <w:p w:rsidR="00C0100D" w:rsidRPr="00B04DC3" w:rsidRDefault="00C0100D" w:rsidP="00AA0E48">
      <w:pPr>
        <w:pStyle w:val="para"/>
        <w:keepNext/>
        <w:keepLines/>
        <w:rPr>
          <w:rFonts w:eastAsia="MS Mincho"/>
          <w:lang w:val="en-GB" w:eastAsia="ja-JP"/>
        </w:rPr>
      </w:pPr>
      <w:r w:rsidRPr="00B04DC3">
        <w:rPr>
          <w:rFonts w:eastAsia="MS Mincho"/>
          <w:lang w:val="en-GB" w:eastAsia="ja-JP"/>
        </w:rPr>
        <w:t>5.5.8.2.</w:t>
      </w:r>
      <w:r w:rsidRPr="00B04DC3">
        <w:rPr>
          <w:rFonts w:eastAsia="MS Mincho"/>
          <w:lang w:val="en-GB" w:eastAsia="ja-JP"/>
        </w:rPr>
        <w:tab/>
        <w:t xml:space="preserve">The compliance of an engine family or an OBD engine family to the requirements of this paragraph may be demonstrated by testing the emission control monitoring system of one of the members of the family (the parent engine), provided the manufacturer demonstrates to the </w:t>
      </w:r>
      <w:r w:rsidR="00FB3D95">
        <w:rPr>
          <w:rFonts w:eastAsia="MS Mincho"/>
          <w:lang w:val="en-GB" w:eastAsia="ja-JP"/>
        </w:rPr>
        <w:t>T</w:t>
      </w:r>
      <w:r w:rsidR="00FB3D95" w:rsidRPr="00B04DC3">
        <w:rPr>
          <w:rFonts w:eastAsia="MS Mincho"/>
          <w:lang w:val="en-GB" w:eastAsia="ja-JP"/>
        </w:rPr>
        <w:t xml:space="preserve">ype </w:t>
      </w:r>
      <w:r w:rsidRPr="00B04DC3">
        <w:rPr>
          <w:rFonts w:eastAsia="MS Mincho"/>
          <w:lang w:val="en-GB" w:eastAsia="ja-JP"/>
        </w:rPr>
        <w:t>Approval Authority that the emission control monitoring systems are similar within the family.</w:t>
      </w:r>
    </w:p>
    <w:p w:rsidR="00C0100D" w:rsidRPr="00B04DC3" w:rsidRDefault="00C0100D" w:rsidP="00FE6E38">
      <w:pPr>
        <w:pStyle w:val="para"/>
        <w:rPr>
          <w:rFonts w:eastAsia="MS Mincho"/>
          <w:lang w:val="en-GB" w:eastAsia="ja-JP"/>
        </w:rPr>
      </w:pPr>
      <w:r w:rsidRPr="00B04DC3">
        <w:rPr>
          <w:rFonts w:eastAsia="MS Mincho"/>
          <w:lang w:val="en-GB" w:eastAsia="ja-JP"/>
        </w:rPr>
        <w:tab/>
        <w:t>This demonstration may be performed by presenting to the approval authorities such elements as algorithms, functional analyses, etc.</w:t>
      </w:r>
    </w:p>
    <w:p w:rsidR="00C0100D" w:rsidRPr="00B04DC3" w:rsidRDefault="00C0100D" w:rsidP="00FE6E38">
      <w:pPr>
        <w:pStyle w:val="para"/>
        <w:rPr>
          <w:rFonts w:eastAsia="MS Mincho"/>
          <w:lang w:val="en-GB" w:eastAsia="ja-JP"/>
        </w:rPr>
      </w:pPr>
      <w:r w:rsidRPr="00B04DC3">
        <w:rPr>
          <w:rFonts w:eastAsia="MS Mincho"/>
          <w:lang w:val="en-GB" w:eastAsia="ja-JP"/>
        </w:rPr>
        <w:tab/>
        <w:t xml:space="preserve">The parent engine is selected by the manufacturer in agreement with the </w:t>
      </w:r>
      <w:r w:rsidR="00FB3D95">
        <w:rPr>
          <w:rFonts w:eastAsia="MS Mincho"/>
          <w:lang w:val="en-GB" w:eastAsia="ja-JP"/>
        </w:rPr>
        <w:t>T</w:t>
      </w:r>
      <w:r w:rsidR="00FB3D95" w:rsidRPr="00B04DC3">
        <w:rPr>
          <w:rFonts w:eastAsia="MS Mincho"/>
          <w:lang w:val="en-GB" w:eastAsia="ja-JP"/>
        </w:rPr>
        <w:t xml:space="preserve">ype </w:t>
      </w:r>
      <w:r w:rsidRPr="00B04DC3">
        <w:rPr>
          <w:rFonts w:eastAsia="MS Mincho"/>
          <w:lang w:val="en-GB" w:eastAsia="ja-JP"/>
        </w:rPr>
        <w:t>Approval Authority.</w:t>
      </w:r>
    </w:p>
    <w:p w:rsidR="00C0100D" w:rsidRPr="00B04DC3" w:rsidRDefault="00C0100D" w:rsidP="00FE6E38">
      <w:pPr>
        <w:pStyle w:val="para"/>
        <w:rPr>
          <w:rFonts w:eastAsia="MS Mincho"/>
          <w:lang w:val="en-GB" w:eastAsia="ja-JP"/>
        </w:rPr>
      </w:pPr>
      <w:r w:rsidRPr="00B04DC3">
        <w:rPr>
          <w:rFonts w:eastAsia="MS Mincho"/>
          <w:lang w:val="en-GB" w:eastAsia="ja-JP"/>
        </w:rPr>
        <w:t>5.5.8.3.</w:t>
      </w:r>
      <w:r w:rsidRPr="00B04DC3">
        <w:rPr>
          <w:rFonts w:eastAsia="MS Mincho"/>
          <w:lang w:val="en-GB" w:eastAsia="ja-JP"/>
        </w:rPr>
        <w:tab/>
        <w:t>The testing of the emission control monitoring system consists of the following three phases:</w:t>
      </w:r>
    </w:p>
    <w:p w:rsidR="00C0100D" w:rsidRPr="00B04DC3" w:rsidRDefault="00C0100D" w:rsidP="00FE6E38">
      <w:pPr>
        <w:pStyle w:val="para"/>
        <w:rPr>
          <w:rFonts w:eastAsia="MS Mincho"/>
          <w:bCs/>
          <w:lang w:val="en-GB" w:eastAsia="ja-JP"/>
        </w:rPr>
      </w:pPr>
      <w:r w:rsidRPr="00B04DC3">
        <w:rPr>
          <w:rFonts w:eastAsia="MS Mincho"/>
          <w:bCs/>
          <w:lang w:val="en-GB" w:eastAsia="ja-JP"/>
        </w:rPr>
        <w:tab/>
        <w:t>(a)</w:t>
      </w:r>
      <w:r w:rsidRPr="00B04DC3">
        <w:rPr>
          <w:rFonts w:eastAsia="MS Mincho"/>
          <w:bCs/>
          <w:lang w:val="en-GB" w:eastAsia="ja-JP"/>
        </w:rPr>
        <w:tab/>
        <w:t>Selection:</w:t>
      </w:r>
    </w:p>
    <w:p w:rsidR="00C0100D" w:rsidRPr="00B04DC3" w:rsidRDefault="00C0100D" w:rsidP="00FE6E38">
      <w:pPr>
        <w:pStyle w:val="a"/>
        <w:rPr>
          <w:rFonts w:eastAsia="MS Mincho"/>
          <w:lang w:val="en-GB" w:eastAsia="ja-JP"/>
        </w:rPr>
      </w:pPr>
      <w:r w:rsidRPr="00B04DC3">
        <w:rPr>
          <w:rFonts w:eastAsia="MS Mincho"/>
          <w:lang w:val="en-GB" w:eastAsia="ja-JP"/>
        </w:rPr>
        <w:tab/>
      </w:r>
      <w:r w:rsidRPr="00B04DC3">
        <w:rPr>
          <w:rFonts w:eastAsia="MS Mincho"/>
          <w:lang w:val="en-GB" w:eastAsia="ja-JP"/>
        </w:rPr>
        <w:tab/>
        <w:t>An incorrect operation of the NO</w:t>
      </w:r>
      <w:r w:rsidRPr="00B04DC3">
        <w:rPr>
          <w:rFonts w:eastAsia="MS Mincho"/>
          <w:vertAlign w:val="subscript"/>
          <w:lang w:val="en-GB" w:eastAsia="ja-JP"/>
        </w:rPr>
        <w:t>x</w:t>
      </w:r>
      <w:r w:rsidRPr="00B04DC3">
        <w:rPr>
          <w:rFonts w:eastAsia="MS Mincho"/>
          <w:lang w:val="en-GB" w:eastAsia="ja-JP"/>
        </w:rPr>
        <w:t xml:space="preserve"> control measures or a failure of the emission control monitoring system is selected by the</w:t>
      </w:r>
      <w:r w:rsidR="00FB3D95">
        <w:rPr>
          <w:rFonts w:eastAsia="MS Mincho"/>
          <w:lang w:val="en-GB" w:eastAsia="ja-JP"/>
        </w:rPr>
        <w:t xml:space="preserve"> Type Approval Authority </w:t>
      </w:r>
      <w:r w:rsidRPr="00B04DC3">
        <w:rPr>
          <w:rFonts w:eastAsia="MS Mincho"/>
          <w:lang w:val="en-GB" w:eastAsia="ja-JP"/>
        </w:rPr>
        <w:t>within a list of incorrect operations provided by the manufacturer.</w:t>
      </w:r>
    </w:p>
    <w:p w:rsidR="00C0100D" w:rsidRPr="00B04DC3" w:rsidRDefault="00C0100D" w:rsidP="00FE6E38">
      <w:pPr>
        <w:pStyle w:val="para"/>
        <w:rPr>
          <w:rFonts w:eastAsia="MS Mincho"/>
          <w:bCs/>
          <w:lang w:val="en-GB" w:eastAsia="ja-JP"/>
        </w:rPr>
      </w:pPr>
      <w:r w:rsidRPr="00B04DC3">
        <w:rPr>
          <w:rFonts w:eastAsia="MS Mincho"/>
          <w:bCs/>
          <w:lang w:val="en-GB" w:eastAsia="ja-JP"/>
        </w:rPr>
        <w:tab/>
        <w:t>(b)</w:t>
      </w:r>
      <w:r w:rsidRPr="00B04DC3">
        <w:rPr>
          <w:rFonts w:eastAsia="MS Mincho"/>
          <w:bCs/>
          <w:lang w:val="en-GB" w:eastAsia="ja-JP"/>
        </w:rPr>
        <w:tab/>
        <w:t>Qualification:</w:t>
      </w:r>
    </w:p>
    <w:p w:rsidR="00C0100D" w:rsidRPr="00B04DC3" w:rsidRDefault="00C0100D" w:rsidP="00FE6E38">
      <w:pPr>
        <w:pStyle w:val="a"/>
        <w:rPr>
          <w:rFonts w:eastAsia="MS Mincho"/>
          <w:lang w:val="en-GB" w:eastAsia="ja-JP"/>
        </w:rPr>
      </w:pPr>
      <w:r w:rsidRPr="00B04DC3">
        <w:rPr>
          <w:rFonts w:eastAsia="MS Mincho"/>
          <w:lang w:val="en-GB" w:eastAsia="ja-JP"/>
        </w:rPr>
        <w:tab/>
      </w:r>
      <w:r w:rsidRPr="00B04DC3">
        <w:rPr>
          <w:rFonts w:eastAsia="MS Mincho"/>
          <w:lang w:val="en-GB" w:eastAsia="ja-JP"/>
        </w:rPr>
        <w:tab/>
        <w:t>The influence of the incorrect operation is validated by measuring the NO</w:t>
      </w:r>
      <w:r w:rsidRPr="00B04DC3">
        <w:rPr>
          <w:rFonts w:eastAsia="MS Mincho"/>
          <w:vertAlign w:val="subscript"/>
          <w:lang w:val="en-GB" w:eastAsia="ja-JP"/>
        </w:rPr>
        <w:t>x</w:t>
      </w:r>
      <w:r w:rsidRPr="00B04DC3">
        <w:rPr>
          <w:rFonts w:eastAsia="MS Mincho"/>
          <w:lang w:val="en-GB" w:eastAsia="ja-JP"/>
        </w:rPr>
        <w:t xml:space="preserve"> level over the ETC on an engine test bed.</w:t>
      </w:r>
    </w:p>
    <w:p w:rsidR="00C0100D" w:rsidRPr="00B04DC3" w:rsidRDefault="00C0100D" w:rsidP="00FE6E38">
      <w:pPr>
        <w:pStyle w:val="para"/>
        <w:rPr>
          <w:rFonts w:eastAsia="MS Mincho"/>
          <w:bCs/>
          <w:lang w:val="en-GB" w:eastAsia="ja-JP"/>
        </w:rPr>
      </w:pPr>
      <w:r w:rsidRPr="00B04DC3">
        <w:rPr>
          <w:rFonts w:eastAsia="MS Mincho"/>
          <w:bCs/>
          <w:lang w:val="en-GB" w:eastAsia="ja-JP"/>
        </w:rPr>
        <w:tab/>
        <w:t>(c)</w:t>
      </w:r>
      <w:r w:rsidRPr="00B04DC3">
        <w:rPr>
          <w:rFonts w:eastAsia="MS Mincho"/>
          <w:bCs/>
          <w:lang w:val="en-GB" w:eastAsia="ja-JP"/>
        </w:rPr>
        <w:tab/>
        <w:t>Demonstration:</w:t>
      </w:r>
    </w:p>
    <w:p w:rsidR="00C0100D" w:rsidRPr="00B04DC3" w:rsidRDefault="00C0100D" w:rsidP="00FE6E38">
      <w:pPr>
        <w:pStyle w:val="a"/>
        <w:rPr>
          <w:rFonts w:eastAsia="MS Mincho"/>
          <w:lang w:val="en-GB" w:eastAsia="ja-JP"/>
        </w:rPr>
      </w:pPr>
      <w:r w:rsidRPr="00B04DC3">
        <w:rPr>
          <w:rFonts w:eastAsia="MS Mincho"/>
          <w:lang w:val="en-GB" w:eastAsia="ja-JP"/>
        </w:rPr>
        <w:tab/>
      </w:r>
      <w:r w:rsidRPr="00B04DC3">
        <w:rPr>
          <w:rFonts w:eastAsia="MS Mincho"/>
          <w:lang w:val="en-GB" w:eastAsia="ja-JP"/>
        </w:rPr>
        <w:tab/>
        <w:t>The reaction of the system (torque reduction, warning signal, etc.) shall be demonstrated by running the engine on four OBD test cycles.</w:t>
      </w:r>
    </w:p>
    <w:p w:rsidR="00C0100D" w:rsidRPr="00B04DC3" w:rsidRDefault="00C0100D" w:rsidP="00FE6E38">
      <w:pPr>
        <w:pStyle w:val="para"/>
        <w:rPr>
          <w:rFonts w:eastAsia="MS Mincho"/>
          <w:lang w:val="en-GB" w:eastAsia="ja-JP"/>
        </w:rPr>
      </w:pPr>
      <w:r w:rsidRPr="00B04DC3">
        <w:rPr>
          <w:rFonts w:eastAsia="MS Mincho"/>
          <w:lang w:val="en-GB" w:eastAsia="ja-JP"/>
        </w:rPr>
        <w:t>5.5.8.3.1.</w:t>
      </w:r>
      <w:r w:rsidRPr="00B04DC3">
        <w:rPr>
          <w:rFonts w:eastAsia="MS Mincho"/>
          <w:lang w:val="en-GB" w:eastAsia="ja-JP"/>
        </w:rPr>
        <w:tab/>
        <w:t xml:space="preserve">For the selection phase, the manufacturer shall provide the </w:t>
      </w:r>
      <w:r w:rsidR="00FB3D95">
        <w:rPr>
          <w:rFonts w:eastAsia="MS Mincho"/>
          <w:lang w:val="en-GB" w:eastAsia="ja-JP"/>
        </w:rPr>
        <w:t>T</w:t>
      </w:r>
      <w:r w:rsidR="00FB3D95" w:rsidRPr="00B04DC3">
        <w:rPr>
          <w:rFonts w:eastAsia="MS Mincho"/>
          <w:lang w:val="en-GB" w:eastAsia="ja-JP"/>
        </w:rPr>
        <w:t xml:space="preserve">ype </w:t>
      </w:r>
      <w:r w:rsidRPr="00B04DC3">
        <w:rPr>
          <w:rFonts w:eastAsia="MS Mincho"/>
          <w:lang w:val="en-GB" w:eastAsia="ja-JP"/>
        </w:rPr>
        <w:t>Approval Authority with a description of the monitoring strategies used to determine potential incorrect operation of any NO</w:t>
      </w:r>
      <w:r w:rsidRPr="00B04DC3">
        <w:rPr>
          <w:rFonts w:eastAsia="MS Mincho"/>
          <w:vertAlign w:val="subscript"/>
          <w:lang w:val="en-GB" w:eastAsia="ja-JP"/>
        </w:rPr>
        <w:t>x</w:t>
      </w:r>
      <w:r w:rsidRPr="00B04DC3">
        <w:rPr>
          <w:rFonts w:eastAsia="MS Mincho"/>
          <w:lang w:val="en-GB" w:eastAsia="ja-JP"/>
        </w:rPr>
        <w:t xml:space="preserve"> control measure and potential failures in the emission control monitoring system that would lead either to activation of the torque limiter or to activation of the warning signal only.</w:t>
      </w:r>
    </w:p>
    <w:p w:rsidR="00C0100D" w:rsidRPr="00B04DC3" w:rsidRDefault="00C0100D" w:rsidP="00FE6E38">
      <w:pPr>
        <w:pStyle w:val="para"/>
        <w:rPr>
          <w:rFonts w:eastAsia="MS Mincho"/>
          <w:lang w:val="en-GB" w:eastAsia="ja-JP"/>
        </w:rPr>
      </w:pPr>
      <w:r w:rsidRPr="00B04DC3">
        <w:rPr>
          <w:rFonts w:eastAsia="MS Mincho"/>
          <w:lang w:val="en-GB" w:eastAsia="ja-JP"/>
        </w:rPr>
        <w:tab/>
        <w:t>Typical examples of incorrect operations for this list are an empty reagent tank, an incorrect operation leading to an interruption of reagent dosing activity, an insufficient reagent quality, an incorrect operation leading to low reagent consumption, an incorrect EGR flow or a deactivation of the EGR.</w:t>
      </w:r>
    </w:p>
    <w:p w:rsidR="00C0100D" w:rsidRPr="00B04DC3" w:rsidRDefault="00C0100D" w:rsidP="00FE6E38">
      <w:pPr>
        <w:pStyle w:val="para"/>
        <w:rPr>
          <w:rFonts w:eastAsia="MS Mincho"/>
          <w:lang w:val="en-GB" w:eastAsia="ja-JP"/>
        </w:rPr>
      </w:pPr>
      <w:r w:rsidRPr="00B04DC3">
        <w:rPr>
          <w:rFonts w:eastAsia="MS Mincho"/>
          <w:lang w:val="en-GB" w:eastAsia="ja-JP"/>
        </w:rPr>
        <w:tab/>
        <w:t>A minimum of two and a maximum of three incorrect operations of the NO</w:t>
      </w:r>
      <w:r w:rsidRPr="00B04DC3">
        <w:rPr>
          <w:rFonts w:eastAsia="MS Mincho"/>
          <w:vertAlign w:val="subscript"/>
          <w:lang w:val="en-GB" w:eastAsia="ja-JP"/>
        </w:rPr>
        <w:t>x</w:t>
      </w:r>
      <w:r w:rsidRPr="00B04DC3">
        <w:rPr>
          <w:rFonts w:eastAsia="MS Mincho"/>
          <w:lang w:val="en-GB" w:eastAsia="ja-JP"/>
        </w:rPr>
        <w:t xml:space="preserve"> control system or failures of the emission control monitoring system shall be selected by the </w:t>
      </w:r>
      <w:r w:rsidR="00FB3D95">
        <w:rPr>
          <w:rFonts w:eastAsia="MS Mincho"/>
          <w:lang w:val="en-GB" w:eastAsia="ja-JP"/>
        </w:rPr>
        <w:t>T</w:t>
      </w:r>
      <w:r w:rsidRPr="00B04DC3">
        <w:rPr>
          <w:rFonts w:eastAsia="MS Mincho"/>
          <w:lang w:val="en-GB" w:eastAsia="ja-JP"/>
        </w:rPr>
        <w:t>ype Approval Authority from this list.</w:t>
      </w:r>
    </w:p>
    <w:p w:rsidR="00C0100D" w:rsidRPr="00B04DC3" w:rsidRDefault="00C0100D" w:rsidP="00FE6E38">
      <w:pPr>
        <w:pStyle w:val="para"/>
        <w:rPr>
          <w:rFonts w:eastAsia="MS Mincho"/>
          <w:lang w:val="en-GB" w:eastAsia="ja-JP"/>
        </w:rPr>
      </w:pPr>
      <w:r w:rsidRPr="00B04DC3">
        <w:rPr>
          <w:rFonts w:eastAsia="MS Mincho"/>
          <w:lang w:val="en-GB" w:eastAsia="ja-JP"/>
        </w:rPr>
        <w:t>5.5.8.3.2.</w:t>
      </w:r>
      <w:r w:rsidRPr="00B04DC3">
        <w:rPr>
          <w:rFonts w:eastAsia="MS Mincho"/>
          <w:lang w:val="en-GB" w:eastAsia="ja-JP"/>
        </w:rPr>
        <w:tab/>
        <w:t>For the qualification phase, the NO</w:t>
      </w:r>
      <w:r w:rsidRPr="00B04DC3">
        <w:rPr>
          <w:rFonts w:eastAsia="MS Mincho"/>
          <w:vertAlign w:val="subscript"/>
          <w:lang w:val="en-GB" w:eastAsia="ja-JP"/>
        </w:rPr>
        <w:t>x</w:t>
      </w:r>
      <w:r w:rsidRPr="00B04DC3">
        <w:rPr>
          <w:rFonts w:eastAsia="MS Mincho"/>
          <w:lang w:val="en-GB" w:eastAsia="ja-JP"/>
        </w:rPr>
        <w:t xml:space="preserve"> emissions shall be measured over the ETC test cycle, according to the provisions of Appendix 2 to Annex 4A</w:t>
      </w:r>
      <w:r w:rsidR="00401E79" w:rsidRPr="00B04DC3">
        <w:rPr>
          <w:rFonts w:eastAsia="MS Mincho"/>
          <w:lang w:val="en-GB" w:eastAsia="ja-JP"/>
        </w:rPr>
        <w:t xml:space="preserve">. </w:t>
      </w:r>
      <w:r w:rsidRPr="00B04DC3">
        <w:rPr>
          <w:rFonts w:eastAsia="MS Mincho"/>
          <w:lang w:val="en-GB" w:eastAsia="ja-JP"/>
        </w:rPr>
        <w:t>The result of the ETC test shall be used to determine in which way the NO</w:t>
      </w:r>
      <w:r w:rsidRPr="00B04DC3">
        <w:rPr>
          <w:rFonts w:eastAsia="MS Mincho"/>
          <w:vertAlign w:val="subscript"/>
          <w:lang w:val="en-GB" w:eastAsia="ja-JP"/>
        </w:rPr>
        <w:t>x</w:t>
      </w:r>
      <w:r w:rsidRPr="00B04DC3">
        <w:rPr>
          <w:rFonts w:eastAsia="MS Mincho"/>
          <w:lang w:val="en-GB" w:eastAsia="ja-JP"/>
        </w:rPr>
        <w:t xml:space="preserve"> control monitoring system is expected to react during the demonstration process (torque reduction and/or warning signal)</w:t>
      </w:r>
      <w:r w:rsidR="00401E79" w:rsidRPr="00B04DC3">
        <w:rPr>
          <w:rFonts w:eastAsia="MS Mincho"/>
          <w:lang w:val="en-GB" w:eastAsia="ja-JP"/>
        </w:rPr>
        <w:t xml:space="preserve">. </w:t>
      </w:r>
      <w:r w:rsidRPr="00B04DC3">
        <w:rPr>
          <w:rFonts w:eastAsia="MS Mincho"/>
          <w:lang w:val="en-GB" w:eastAsia="ja-JP"/>
        </w:rPr>
        <w:t>The failure shall be simulated in a way that the NO</w:t>
      </w:r>
      <w:r w:rsidRPr="00B04DC3">
        <w:rPr>
          <w:rFonts w:eastAsia="MS Mincho"/>
          <w:vertAlign w:val="subscript"/>
          <w:lang w:val="en-GB" w:eastAsia="ja-JP"/>
        </w:rPr>
        <w:t>x</w:t>
      </w:r>
      <w:r w:rsidRPr="00B04DC3">
        <w:rPr>
          <w:rFonts w:eastAsia="MS Mincho"/>
          <w:lang w:val="en-GB" w:eastAsia="ja-JP"/>
        </w:rPr>
        <w:t xml:space="preserve"> level does not exceed by more than 1 g/kWh any of the threshold levels given in paragraphs 5.5.3.2. or 5.5.3.4.</w:t>
      </w:r>
    </w:p>
    <w:p w:rsidR="00C0100D" w:rsidRPr="00B04DC3" w:rsidRDefault="00C0100D" w:rsidP="00FE6E38">
      <w:pPr>
        <w:pStyle w:val="para"/>
        <w:rPr>
          <w:rFonts w:eastAsia="MS Mincho"/>
          <w:lang w:val="en-GB" w:eastAsia="ja-JP"/>
        </w:rPr>
      </w:pPr>
      <w:r w:rsidRPr="00B04DC3">
        <w:rPr>
          <w:rFonts w:eastAsia="MS Mincho"/>
          <w:lang w:val="en-GB" w:eastAsia="ja-JP"/>
        </w:rPr>
        <w:tab/>
        <w:t>Emissions qualification is not required in case of an empty reagent tank or for demonstrating a failure of the emission control monitoring system.</w:t>
      </w:r>
    </w:p>
    <w:p w:rsidR="00C0100D" w:rsidRPr="00B04DC3" w:rsidRDefault="00C0100D" w:rsidP="00FE6E38">
      <w:pPr>
        <w:pStyle w:val="para"/>
        <w:rPr>
          <w:rFonts w:eastAsia="MS Mincho"/>
          <w:lang w:val="en-GB" w:eastAsia="ja-JP"/>
        </w:rPr>
      </w:pPr>
      <w:r w:rsidRPr="00B04DC3">
        <w:rPr>
          <w:rFonts w:eastAsia="MS Mincho"/>
          <w:lang w:val="en-GB" w:eastAsia="ja-JP"/>
        </w:rPr>
        <w:tab/>
        <w:t>The torque limiter shall be deactivated during the qualification phase.</w:t>
      </w:r>
    </w:p>
    <w:p w:rsidR="00C0100D" w:rsidRPr="00B04DC3" w:rsidRDefault="00C0100D" w:rsidP="00FE6E38">
      <w:pPr>
        <w:pStyle w:val="para"/>
        <w:rPr>
          <w:rFonts w:eastAsia="MS Mincho"/>
          <w:lang w:val="en-GB" w:eastAsia="ja-JP"/>
        </w:rPr>
      </w:pPr>
      <w:r w:rsidRPr="00B04DC3">
        <w:rPr>
          <w:rFonts w:eastAsia="MS Mincho"/>
          <w:lang w:val="en-GB" w:eastAsia="ja-JP"/>
        </w:rPr>
        <w:t>5.5.8.3.3.</w:t>
      </w:r>
      <w:r w:rsidRPr="00B04DC3">
        <w:rPr>
          <w:rFonts w:eastAsia="MS Mincho"/>
          <w:lang w:val="en-GB" w:eastAsia="ja-JP"/>
        </w:rPr>
        <w:tab/>
        <w:t>For the demonstration phase, the engine shall be run over a maximum of four OBD test cycles.</w:t>
      </w:r>
    </w:p>
    <w:p w:rsidR="00C0100D" w:rsidRPr="00B04DC3" w:rsidRDefault="00C0100D" w:rsidP="00FE6E38">
      <w:pPr>
        <w:pStyle w:val="para"/>
        <w:rPr>
          <w:rFonts w:eastAsia="MS Mincho"/>
          <w:lang w:val="en-GB" w:eastAsia="ja-JP"/>
        </w:rPr>
      </w:pPr>
      <w:r w:rsidRPr="00B04DC3">
        <w:rPr>
          <w:rFonts w:eastAsia="MS Mincho"/>
          <w:lang w:val="en-GB" w:eastAsia="ja-JP"/>
        </w:rPr>
        <w:tab/>
        <w:t>No failure other than the ones which are being considered for demonstration purposes shall be present.</w:t>
      </w:r>
    </w:p>
    <w:p w:rsidR="00C0100D" w:rsidRPr="00B04DC3" w:rsidRDefault="00C0100D" w:rsidP="00FE6E38">
      <w:pPr>
        <w:pStyle w:val="para"/>
        <w:rPr>
          <w:rFonts w:eastAsia="MS Mincho"/>
          <w:lang w:val="en-GB" w:eastAsia="ja-JP"/>
        </w:rPr>
      </w:pPr>
      <w:r w:rsidRPr="00B04DC3">
        <w:rPr>
          <w:rFonts w:eastAsia="MS Mincho"/>
          <w:lang w:val="en-GB" w:eastAsia="ja-JP"/>
        </w:rPr>
        <w:t>5.5.8.3.4.</w:t>
      </w:r>
      <w:r w:rsidRPr="00B04DC3">
        <w:rPr>
          <w:rFonts w:eastAsia="MS Mincho"/>
          <w:lang w:val="en-GB" w:eastAsia="ja-JP"/>
        </w:rPr>
        <w:tab/>
        <w:t>Prior to starting the test sequence of paragraph 5.5.8.3.3., the emission control monitoring system shall be set to a "no failure" status.</w:t>
      </w:r>
    </w:p>
    <w:p w:rsidR="00C0100D" w:rsidRPr="00B04DC3" w:rsidRDefault="00C0100D" w:rsidP="00FE6E38">
      <w:pPr>
        <w:pStyle w:val="para"/>
        <w:rPr>
          <w:rFonts w:eastAsia="MS Mincho"/>
          <w:lang w:val="en-GB" w:eastAsia="ja-JP"/>
        </w:rPr>
      </w:pPr>
      <w:r w:rsidRPr="00B04DC3">
        <w:rPr>
          <w:rFonts w:eastAsia="MS Mincho"/>
          <w:lang w:val="en-GB" w:eastAsia="ja-JP"/>
        </w:rPr>
        <w:t>5.5.8.3.5.</w:t>
      </w:r>
      <w:r w:rsidRPr="00B04DC3">
        <w:rPr>
          <w:rFonts w:eastAsia="MS Mincho"/>
          <w:lang w:val="en-GB" w:eastAsia="ja-JP"/>
        </w:rPr>
        <w:tab/>
        <w:t>Depending on the NO</w:t>
      </w:r>
      <w:r w:rsidRPr="00B04DC3">
        <w:rPr>
          <w:rFonts w:eastAsia="MS Mincho"/>
          <w:vertAlign w:val="subscript"/>
          <w:lang w:val="en-GB" w:eastAsia="ja-JP"/>
        </w:rPr>
        <w:t>x</w:t>
      </w:r>
      <w:r w:rsidRPr="00B04DC3">
        <w:rPr>
          <w:rFonts w:eastAsia="MS Mincho"/>
          <w:lang w:val="en-GB" w:eastAsia="ja-JP"/>
        </w:rPr>
        <w:t xml:space="preserve"> level selected, the system shall activate a warning signal and in addition, if applicable, the torque limiter at any time before the end of the detection sequence</w:t>
      </w:r>
      <w:r w:rsidR="00401E79" w:rsidRPr="00B04DC3">
        <w:rPr>
          <w:rFonts w:eastAsia="MS Mincho"/>
          <w:lang w:val="en-GB" w:eastAsia="ja-JP"/>
        </w:rPr>
        <w:t xml:space="preserve">. </w:t>
      </w:r>
      <w:r w:rsidRPr="00B04DC3">
        <w:rPr>
          <w:rFonts w:eastAsia="MS Mincho"/>
          <w:lang w:val="en-GB" w:eastAsia="ja-JP"/>
        </w:rPr>
        <w:t>The detection sequence may be stopped once the NO</w:t>
      </w:r>
      <w:r w:rsidRPr="00B04DC3">
        <w:rPr>
          <w:rFonts w:eastAsia="MS Mincho"/>
          <w:vertAlign w:val="subscript"/>
          <w:lang w:val="en-GB" w:eastAsia="ja-JP"/>
        </w:rPr>
        <w:t>x</w:t>
      </w:r>
      <w:r w:rsidRPr="00B04DC3">
        <w:rPr>
          <w:rFonts w:eastAsia="MS Mincho"/>
          <w:lang w:val="en-GB" w:eastAsia="ja-JP"/>
        </w:rPr>
        <w:t xml:space="preserve"> control monitoring system has properly reacted.</w:t>
      </w:r>
    </w:p>
    <w:p w:rsidR="00C0100D" w:rsidRPr="00B04DC3" w:rsidRDefault="00C0100D" w:rsidP="00FE6E38">
      <w:pPr>
        <w:pStyle w:val="para"/>
        <w:rPr>
          <w:rFonts w:eastAsia="MS Mincho"/>
          <w:lang w:val="en-GB" w:eastAsia="ja-JP"/>
        </w:rPr>
      </w:pPr>
      <w:r w:rsidRPr="00B04DC3">
        <w:rPr>
          <w:rFonts w:eastAsia="MS Mincho"/>
          <w:lang w:val="en-GB" w:eastAsia="ja-JP"/>
        </w:rPr>
        <w:t>5.5.8.4.</w:t>
      </w:r>
      <w:r w:rsidRPr="00B04DC3">
        <w:rPr>
          <w:rFonts w:eastAsia="MS Mincho"/>
          <w:lang w:val="en-GB" w:eastAsia="ja-JP"/>
        </w:rPr>
        <w:tab/>
        <w:t>In the case of an emission control monitoring system principally based on monitoring the NO</w:t>
      </w:r>
      <w:r w:rsidRPr="00B04DC3">
        <w:rPr>
          <w:rFonts w:eastAsia="MS Mincho"/>
          <w:vertAlign w:val="subscript"/>
          <w:lang w:val="en-GB" w:eastAsia="ja-JP"/>
        </w:rPr>
        <w:t>x</w:t>
      </w:r>
      <w:r w:rsidRPr="00B04DC3">
        <w:rPr>
          <w:rFonts w:eastAsia="MS Mincho"/>
          <w:lang w:val="en-GB" w:eastAsia="ja-JP"/>
        </w:rPr>
        <w:t xml:space="preserve"> level by sensors positioned in the exhaust stream, the manufacturer may choose to directly monitor certain system functionalities (e.g. interruption of dosing activity, closed EGR valve) for the determination of compliance. In that case, the selected system functionality shall be demonstrated.</w:t>
      </w:r>
    </w:p>
    <w:p w:rsidR="00C0100D" w:rsidRPr="00B04DC3" w:rsidRDefault="00C0100D" w:rsidP="00FE6E38">
      <w:pPr>
        <w:pStyle w:val="para"/>
        <w:rPr>
          <w:rFonts w:eastAsia="MS Mincho"/>
          <w:lang w:val="en-GB" w:eastAsia="ja-JP"/>
        </w:rPr>
      </w:pPr>
      <w:r w:rsidRPr="00B04DC3">
        <w:rPr>
          <w:rFonts w:eastAsia="MS Mincho"/>
          <w:lang w:val="en-GB" w:eastAsia="ja-JP"/>
        </w:rPr>
        <w:t>5.5.8.5.</w:t>
      </w:r>
      <w:r w:rsidRPr="00B04DC3">
        <w:rPr>
          <w:rFonts w:eastAsia="MS Mincho"/>
          <w:lang w:val="en-GB" w:eastAsia="ja-JP"/>
        </w:rPr>
        <w:tab/>
        <w:t>The level of torque reduction required in paragraph 5.5.5.3. by the torque limiter shall be approved together with the general engine performance approval in accordance with Regulation No. 85</w:t>
      </w:r>
      <w:r w:rsidR="00401E79" w:rsidRPr="00B04DC3">
        <w:rPr>
          <w:rFonts w:eastAsia="MS Mincho"/>
          <w:lang w:val="en-GB" w:eastAsia="ja-JP"/>
        </w:rPr>
        <w:t xml:space="preserve">. </w:t>
      </w:r>
      <w:r w:rsidRPr="00B04DC3">
        <w:rPr>
          <w:rFonts w:eastAsia="MS Mincho"/>
          <w:lang w:val="en-GB" w:eastAsia="ja-JP"/>
        </w:rPr>
        <w:t xml:space="preserve">For the demonstration process, the manufacturer shall demonstrate to the </w:t>
      </w:r>
      <w:r w:rsidR="00FB3D95">
        <w:rPr>
          <w:rFonts w:eastAsia="MS Mincho"/>
          <w:lang w:val="en-GB" w:eastAsia="ja-JP"/>
        </w:rPr>
        <w:t xml:space="preserve">Type </w:t>
      </w:r>
      <w:r w:rsidRPr="00B04DC3">
        <w:rPr>
          <w:rFonts w:eastAsia="MS Mincho"/>
          <w:lang w:val="en-GB" w:eastAsia="ja-JP"/>
        </w:rPr>
        <w:t>Approval Authority the inclusion of the correct torque limiter into the engine ECU. Separate torque measurement during the demonstration is not required.</w:t>
      </w:r>
    </w:p>
    <w:p w:rsidR="00C0100D" w:rsidRPr="00B04DC3" w:rsidRDefault="00C0100D" w:rsidP="00FE6E38">
      <w:pPr>
        <w:pStyle w:val="para"/>
        <w:rPr>
          <w:rFonts w:eastAsia="MS Mincho"/>
          <w:lang w:val="en-GB" w:eastAsia="ja-JP"/>
        </w:rPr>
      </w:pPr>
      <w:r w:rsidRPr="00B04DC3">
        <w:rPr>
          <w:rFonts w:eastAsia="MS Mincho"/>
          <w:lang w:val="en-GB" w:eastAsia="ja-JP"/>
        </w:rPr>
        <w:t>5.5.8.6.</w:t>
      </w:r>
      <w:r w:rsidRPr="00B04DC3">
        <w:rPr>
          <w:rFonts w:eastAsia="MS Mincho"/>
          <w:lang w:val="en-GB" w:eastAsia="ja-JP"/>
        </w:rPr>
        <w:tab/>
        <w:t>As an alternative to paragraphs 5.5.8.3.3. to 5.5.8.3.5., the demonstration of the emission control monitoring system and the torque limiter may be performed by testing a vehicle. The vehicle shall be driven on the road or on a test track with the selected incorrect operations or failures of the emission control monitoring system to demonstrate that the warning signal and activation of the torque limiter will operate in accordance with the requirements of paragraph 5.5., and, in particular, those in paragraphs 5.5.5.2. and 5.5.5.3.</w:t>
      </w:r>
    </w:p>
    <w:p w:rsidR="00C0100D" w:rsidRPr="00B04DC3" w:rsidRDefault="00C0100D" w:rsidP="00FE6E38">
      <w:pPr>
        <w:pStyle w:val="para"/>
        <w:rPr>
          <w:rFonts w:eastAsia="MS Mincho"/>
          <w:lang w:val="en-GB" w:eastAsia="ja-JP"/>
        </w:rPr>
      </w:pPr>
      <w:r w:rsidRPr="00B04DC3">
        <w:rPr>
          <w:rFonts w:eastAsia="MS Mincho"/>
          <w:lang w:val="en-GB" w:eastAsia="ja-JP"/>
        </w:rPr>
        <w:t>5.5.8.7.</w:t>
      </w:r>
      <w:r w:rsidRPr="00B04DC3">
        <w:rPr>
          <w:rFonts w:eastAsia="MS Mincho"/>
          <w:lang w:val="en-GB" w:eastAsia="ja-JP"/>
        </w:rPr>
        <w:tab/>
        <w:t>If the storage in the computer memory of a non-erasable fault code is required for complying with the requirements of paragraph 5.5., the following three conditions shall be met by the end of demonstration sequence:</w:t>
      </w:r>
    </w:p>
    <w:p w:rsidR="00C0100D" w:rsidRPr="00B04DC3" w:rsidRDefault="00C0100D" w:rsidP="00FE6E38">
      <w:pPr>
        <w:pStyle w:val="a"/>
        <w:rPr>
          <w:rFonts w:eastAsia="MS Mincho"/>
          <w:lang w:val="en-GB" w:eastAsia="ja-JP"/>
        </w:rPr>
      </w:pPr>
      <w:r w:rsidRPr="00B04DC3">
        <w:rPr>
          <w:rFonts w:eastAsia="MS Mincho"/>
          <w:lang w:val="en-GB" w:eastAsia="ja-JP"/>
        </w:rPr>
        <w:t>(a)</w:t>
      </w:r>
      <w:r w:rsidRPr="00B04DC3">
        <w:rPr>
          <w:rFonts w:eastAsia="MS Mincho"/>
          <w:lang w:val="en-GB" w:eastAsia="ja-JP"/>
        </w:rPr>
        <w:tab/>
      </w:r>
      <w:r w:rsidR="00FE6E38" w:rsidRPr="00B04DC3">
        <w:rPr>
          <w:rFonts w:eastAsia="MS Mincho"/>
          <w:lang w:val="en-GB" w:eastAsia="ja-JP"/>
        </w:rPr>
        <w:t>That</w:t>
      </w:r>
      <w:r w:rsidRPr="00B04DC3">
        <w:rPr>
          <w:rFonts w:eastAsia="MS Mincho"/>
          <w:lang w:val="en-GB" w:eastAsia="ja-JP"/>
        </w:rPr>
        <w:t xml:space="preserve"> it is possible to confirm via the OBD scan tool the presence in the OBD computer memory of the appropriate non-erasable fault code described in paragraph 5.5.3.3. and that it can be shown to the satisfaction of the </w:t>
      </w:r>
      <w:r w:rsidR="0055021A">
        <w:rPr>
          <w:rFonts w:eastAsia="MS Mincho"/>
          <w:lang w:val="en-GB" w:eastAsia="ja-JP"/>
        </w:rPr>
        <w:t>T</w:t>
      </w:r>
      <w:r w:rsidR="0055021A" w:rsidRPr="00B04DC3">
        <w:rPr>
          <w:rFonts w:eastAsia="MS Mincho"/>
          <w:lang w:val="en-GB" w:eastAsia="ja-JP"/>
        </w:rPr>
        <w:t xml:space="preserve">ype </w:t>
      </w:r>
      <w:r w:rsidRPr="00B04DC3">
        <w:rPr>
          <w:rFonts w:eastAsia="MS Mincho"/>
          <w:lang w:val="en-GB" w:eastAsia="ja-JP"/>
        </w:rPr>
        <w:t>Approval Authority that the scan tool cannot erase it, and;</w:t>
      </w:r>
    </w:p>
    <w:p w:rsidR="00C0100D" w:rsidRPr="00B04DC3" w:rsidRDefault="00C0100D" w:rsidP="00FE6E38">
      <w:pPr>
        <w:pStyle w:val="a"/>
        <w:rPr>
          <w:rFonts w:eastAsia="MS Mincho"/>
          <w:lang w:val="en-GB" w:eastAsia="ja-JP"/>
        </w:rPr>
      </w:pPr>
      <w:r w:rsidRPr="00B04DC3">
        <w:rPr>
          <w:rFonts w:eastAsia="MS Mincho"/>
          <w:lang w:val="en-GB" w:eastAsia="ja-JP"/>
        </w:rPr>
        <w:t>(b)</w:t>
      </w:r>
      <w:r w:rsidRPr="00B04DC3">
        <w:rPr>
          <w:rFonts w:eastAsia="MS Mincho"/>
          <w:lang w:val="en-GB" w:eastAsia="ja-JP"/>
        </w:rPr>
        <w:tab/>
      </w:r>
      <w:r w:rsidR="00FE6E38" w:rsidRPr="00B04DC3">
        <w:rPr>
          <w:rFonts w:eastAsia="MS Mincho"/>
          <w:lang w:val="en-GB" w:eastAsia="ja-JP"/>
        </w:rPr>
        <w:t>That</w:t>
      </w:r>
      <w:r w:rsidRPr="00B04DC3">
        <w:rPr>
          <w:rFonts w:eastAsia="MS Mincho"/>
          <w:lang w:val="en-GB" w:eastAsia="ja-JP"/>
        </w:rPr>
        <w:t xml:space="preserve"> it is possible to confirm the time spent during the detection sequence with the warning signal activated by reading the non-erasable counter referred to in paragraph 3.9.2. of Annex 9A to this Regulation and that it can be shown to the satisfaction of the </w:t>
      </w:r>
      <w:r w:rsidR="00FB3D95">
        <w:rPr>
          <w:rFonts w:eastAsia="MS Mincho"/>
          <w:lang w:val="en-GB" w:eastAsia="ja-JP"/>
        </w:rPr>
        <w:t>T</w:t>
      </w:r>
      <w:r w:rsidR="00FB3D95" w:rsidRPr="00B04DC3">
        <w:rPr>
          <w:rFonts w:eastAsia="MS Mincho"/>
          <w:lang w:val="en-GB" w:eastAsia="ja-JP"/>
        </w:rPr>
        <w:t xml:space="preserve">ype </w:t>
      </w:r>
      <w:r w:rsidRPr="00B04DC3">
        <w:rPr>
          <w:rFonts w:eastAsia="MS Mincho"/>
          <w:lang w:val="en-GB" w:eastAsia="ja-JP"/>
        </w:rPr>
        <w:t>Approval Authority that the scan tool cannot erase it, and;</w:t>
      </w:r>
    </w:p>
    <w:p w:rsidR="00C0100D" w:rsidRPr="00B04DC3" w:rsidRDefault="00C0100D" w:rsidP="00FE6E38">
      <w:pPr>
        <w:pStyle w:val="a"/>
        <w:rPr>
          <w:rFonts w:eastAsia="MS Mincho"/>
          <w:lang w:val="en-GB" w:eastAsia="ja-JP"/>
        </w:rPr>
      </w:pPr>
      <w:r w:rsidRPr="00B04DC3">
        <w:rPr>
          <w:rFonts w:eastAsia="MS Mincho"/>
          <w:lang w:val="en-GB" w:eastAsia="ja-JP"/>
        </w:rPr>
        <w:t>(c)</w:t>
      </w:r>
      <w:r w:rsidRPr="00B04DC3">
        <w:rPr>
          <w:rFonts w:eastAsia="MS Mincho"/>
          <w:lang w:val="en-GB" w:eastAsia="ja-JP"/>
        </w:rPr>
        <w:tab/>
      </w:r>
      <w:r w:rsidRPr="00B04DC3">
        <w:rPr>
          <w:rFonts w:eastAsia="MS Mincho"/>
          <w:caps/>
          <w:lang w:val="en-GB" w:eastAsia="ja-JP"/>
        </w:rPr>
        <w:t>t</w:t>
      </w:r>
      <w:r w:rsidRPr="00B04DC3">
        <w:rPr>
          <w:rFonts w:eastAsia="MS Mincho"/>
          <w:lang w:val="en-GB" w:eastAsia="ja-JP"/>
        </w:rPr>
        <w:t xml:space="preserve">hat the </w:t>
      </w:r>
      <w:r w:rsidR="00FB3D95">
        <w:rPr>
          <w:rFonts w:eastAsia="MS Mincho"/>
          <w:lang w:val="en-GB" w:eastAsia="ja-JP"/>
        </w:rPr>
        <w:t xml:space="preserve">Type </w:t>
      </w:r>
      <w:r w:rsidRPr="00B04DC3">
        <w:rPr>
          <w:rFonts w:eastAsia="MS Mincho"/>
          <w:lang w:val="en-GB" w:eastAsia="ja-JP"/>
        </w:rPr>
        <w:t>Approval Authority has approved the elements of design showing that this non-erasable information is stored in accordance with paragraph 3.9.2. of Annex 9A to this Regulation for a minimum of 400 days or 9,600 hours of engine operation.</w:t>
      </w:r>
    </w:p>
    <w:p w:rsidR="004E2929" w:rsidRPr="00B04DC3" w:rsidRDefault="004E2929" w:rsidP="004E2929">
      <w:pPr>
        <w:keepNext/>
        <w:keepLines/>
        <w:spacing w:after="120"/>
        <w:ind w:left="2268" w:right="1134" w:hanging="1134"/>
        <w:jc w:val="both"/>
      </w:pPr>
      <w:r w:rsidRPr="00B04DC3">
        <w:t>5.6.</w:t>
      </w:r>
      <w:r w:rsidRPr="00B04DC3">
        <w:tab/>
        <w:t>Requirements related to dual-fuel engines and vehicles</w:t>
      </w:r>
    </w:p>
    <w:p w:rsidR="004E2929" w:rsidRPr="00B04DC3" w:rsidRDefault="004E2929" w:rsidP="004E2929">
      <w:pPr>
        <w:pStyle w:val="para"/>
        <w:rPr>
          <w:lang w:val="en-GB"/>
        </w:rPr>
      </w:pPr>
      <w:r w:rsidRPr="00B04DC3">
        <w:rPr>
          <w:lang w:val="en-GB"/>
        </w:rPr>
        <w:t>5.6.1.</w:t>
      </w:r>
      <w:r w:rsidRPr="00B04DC3">
        <w:rPr>
          <w:lang w:val="en-GB"/>
        </w:rPr>
        <w:tab/>
        <w:t>Dual-fuel engine and vehicles shall in addition meet the requirements set out in Annex 11 to this Regulation. In case of contradiction, the requirements set out in Annex 11 shall have precedence over those set out in paragraphs 5.1. to 5.5.</w:t>
      </w:r>
    </w:p>
    <w:p w:rsidR="00C0100D" w:rsidRPr="00B04DC3" w:rsidRDefault="00FE6E38" w:rsidP="00B04DC3">
      <w:pPr>
        <w:pStyle w:val="HChG"/>
      </w:pPr>
      <w:r w:rsidRPr="00B04DC3">
        <w:tab/>
      </w:r>
      <w:r w:rsidRPr="00B04DC3">
        <w:tab/>
      </w:r>
      <w:bookmarkStart w:id="45" w:name="_Toc423599456"/>
      <w:bookmarkStart w:id="46" w:name="_Toc423610864"/>
      <w:r w:rsidR="00C0100D" w:rsidRPr="00B04DC3">
        <w:t>6.</w:t>
      </w:r>
      <w:r w:rsidR="00C0100D" w:rsidRPr="00B04DC3">
        <w:tab/>
      </w:r>
      <w:r w:rsidRPr="00B04DC3">
        <w:tab/>
        <w:t>Installation on the vehicle</w:t>
      </w:r>
      <w:bookmarkEnd w:id="45"/>
      <w:bookmarkEnd w:id="46"/>
    </w:p>
    <w:p w:rsidR="00C0100D" w:rsidRPr="00B04DC3" w:rsidRDefault="00C0100D" w:rsidP="00FE6E38">
      <w:pPr>
        <w:pStyle w:val="para"/>
        <w:rPr>
          <w:lang w:val="en-GB"/>
        </w:rPr>
      </w:pPr>
      <w:r w:rsidRPr="00B04DC3">
        <w:rPr>
          <w:lang w:val="en-GB"/>
        </w:rPr>
        <w:t>6.1.</w:t>
      </w:r>
      <w:r w:rsidRPr="00B04DC3">
        <w:rPr>
          <w:lang w:val="en-GB"/>
        </w:rPr>
        <w:tab/>
        <w:t>The engine installation on the vehicle shall comply with the following characteristics in respect to the approval of the engine:</w:t>
      </w:r>
    </w:p>
    <w:p w:rsidR="00C0100D" w:rsidRPr="00B04DC3" w:rsidRDefault="00C0100D" w:rsidP="00FE6E38">
      <w:pPr>
        <w:pStyle w:val="para"/>
        <w:rPr>
          <w:lang w:val="en-GB"/>
        </w:rPr>
      </w:pPr>
      <w:r w:rsidRPr="00B04DC3">
        <w:rPr>
          <w:lang w:val="en-GB"/>
        </w:rPr>
        <w:t>6.1.1.</w:t>
      </w:r>
      <w:r w:rsidRPr="00B04DC3">
        <w:rPr>
          <w:lang w:val="en-GB"/>
        </w:rPr>
        <w:tab/>
      </w:r>
      <w:r w:rsidR="00FE6E38" w:rsidRPr="00B04DC3">
        <w:rPr>
          <w:lang w:val="en-GB"/>
        </w:rPr>
        <w:t>Intake</w:t>
      </w:r>
      <w:r w:rsidRPr="00B04DC3">
        <w:rPr>
          <w:lang w:val="en-GB"/>
        </w:rPr>
        <w:t xml:space="preserve"> depression shall not exceed that specified for the approved engine in Annex 2A;</w:t>
      </w:r>
    </w:p>
    <w:p w:rsidR="00C0100D" w:rsidRPr="00B04DC3" w:rsidRDefault="00C0100D" w:rsidP="00FE6E38">
      <w:pPr>
        <w:pStyle w:val="para"/>
        <w:rPr>
          <w:lang w:val="en-GB"/>
        </w:rPr>
      </w:pPr>
      <w:r w:rsidRPr="00B04DC3">
        <w:rPr>
          <w:lang w:val="en-GB"/>
        </w:rPr>
        <w:t>6.1.2.</w:t>
      </w:r>
      <w:r w:rsidRPr="00B04DC3">
        <w:rPr>
          <w:lang w:val="en-GB"/>
        </w:rPr>
        <w:tab/>
      </w:r>
      <w:r w:rsidR="00FE6E38" w:rsidRPr="00B04DC3">
        <w:rPr>
          <w:lang w:val="en-GB"/>
        </w:rPr>
        <w:t>Exhaust</w:t>
      </w:r>
      <w:r w:rsidRPr="00B04DC3">
        <w:rPr>
          <w:lang w:val="en-GB"/>
        </w:rPr>
        <w:t xml:space="preserve"> back pressure shall not exceed that specified for the approved engine in Annex 2A;</w:t>
      </w:r>
    </w:p>
    <w:p w:rsidR="00C0100D" w:rsidRPr="00B04DC3" w:rsidRDefault="00C0100D" w:rsidP="00FE6E38">
      <w:pPr>
        <w:pStyle w:val="para"/>
        <w:rPr>
          <w:lang w:val="en-GB"/>
        </w:rPr>
      </w:pPr>
      <w:r w:rsidRPr="00B04DC3">
        <w:rPr>
          <w:lang w:val="en-GB"/>
        </w:rPr>
        <w:t>6.1.3.</w:t>
      </w:r>
      <w:r w:rsidRPr="00B04DC3">
        <w:rPr>
          <w:lang w:val="en-GB"/>
        </w:rPr>
        <w:tab/>
      </w:r>
      <w:r w:rsidR="00FE6E38" w:rsidRPr="00B04DC3">
        <w:rPr>
          <w:lang w:val="en-GB"/>
        </w:rPr>
        <w:t>Power</w:t>
      </w:r>
      <w:r w:rsidRPr="00B04DC3">
        <w:rPr>
          <w:lang w:val="en-GB"/>
        </w:rPr>
        <w:t xml:space="preserve"> absorbed by the engine-driven auxiliaries shall not exceed that specified for the approved engine in Annex 2A;</w:t>
      </w:r>
    </w:p>
    <w:p w:rsidR="00C0100D" w:rsidRPr="00B04DC3" w:rsidRDefault="00C0100D" w:rsidP="00FE6E38">
      <w:pPr>
        <w:pStyle w:val="para"/>
        <w:rPr>
          <w:lang w:val="en-GB"/>
        </w:rPr>
      </w:pPr>
      <w:r w:rsidRPr="00B04DC3">
        <w:rPr>
          <w:lang w:val="en-GB"/>
        </w:rPr>
        <w:t>6.1.4.</w:t>
      </w:r>
      <w:r w:rsidRPr="00B04DC3">
        <w:rPr>
          <w:lang w:val="en-GB"/>
        </w:rPr>
        <w:tab/>
      </w:r>
      <w:r w:rsidR="00FE6E38" w:rsidRPr="00B04DC3">
        <w:rPr>
          <w:lang w:val="en-GB"/>
        </w:rPr>
        <w:t>Volume</w:t>
      </w:r>
      <w:r w:rsidRPr="00B04DC3">
        <w:rPr>
          <w:lang w:val="en-GB"/>
        </w:rPr>
        <w:t xml:space="preserve"> of the exhaust system shall not differ by more than 40 per cent of that specified for the approved engine in Annex 2A.</w:t>
      </w:r>
    </w:p>
    <w:p w:rsidR="00A2723B" w:rsidRPr="00B04DC3" w:rsidRDefault="00A2723B" w:rsidP="00A2723B">
      <w:pPr>
        <w:keepNext/>
        <w:keepLines/>
        <w:spacing w:after="120"/>
        <w:ind w:left="2268" w:right="1134" w:hanging="1134"/>
        <w:jc w:val="both"/>
      </w:pPr>
      <w:r w:rsidRPr="00B04DC3">
        <w:t>6.2.</w:t>
      </w:r>
      <w:r w:rsidRPr="00B04DC3">
        <w:tab/>
        <w:t>Requirements related to dual-fuel engines and vehicles</w:t>
      </w:r>
    </w:p>
    <w:p w:rsidR="00A2723B" w:rsidRPr="00B04DC3" w:rsidRDefault="00A2723B" w:rsidP="00A2723B">
      <w:pPr>
        <w:pStyle w:val="para"/>
        <w:rPr>
          <w:bCs/>
          <w:lang w:val="en-GB"/>
        </w:rPr>
      </w:pPr>
      <w:r w:rsidRPr="00B04DC3">
        <w:rPr>
          <w:lang w:val="en-GB"/>
        </w:rPr>
        <w:t>6.2.1.</w:t>
      </w:r>
      <w:r w:rsidRPr="00B04DC3">
        <w:rPr>
          <w:lang w:val="en-GB"/>
        </w:rPr>
        <w:tab/>
        <w:t>Notwithstanding the requirements set out in paragraph 6.1. of this Regulation, dual-fuel engines and vehicles shall in addition meet the requirements set out in Annex 11 to this Regulation.</w:t>
      </w:r>
    </w:p>
    <w:p w:rsidR="00C0100D" w:rsidRPr="00B04DC3" w:rsidRDefault="00C46752" w:rsidP="00B04DC3">
      <w:pPr>
        <w:pStyle w:val="HChG"/>
      </w:pPr>
      <w:r w:rsidRPr="00B04DC3">
        <w:tab/>
      </w:r>
      <w:r w:rsidRPr="00B04DC3">
        <w:tab/>
      </w:r>
      <w:bookmarkStart w:id="47" w:name="_Toc423599457"/>
      <w:bookmarkStart w:id="48" w:name="_Toc423610865"/>
      <w:r w:rsidR="00C0100D" w:rsidRPr="00B04DC3">
        <w:t>7.</w:t>
      </w:r>
      <w:r w:rsidR="00C0100D" w:rsidRPr="00B04DC3">
        <w:tab/>
      </w:r>
      <w:r w:rsidRPr="00B04DC3">
        <w:tab/>
      </w:r>
      <w:r w:rsidR="00FE6E38" w:rsidRPr="00B04DC3">
        <w:t>Engine family</w:t>
      </w:r>
      <w:bookmarkEnd w:id="47"/>
      <w:bookmarkEnd w:id="48"/>
    </w:p>
    <w:p w:rsidR="00C0100D" w:rsidRPr="00B04DC3" w:rsidRDefault="00C0100D" w:rsidP="00B04DC3">
      <w:pPr>
        <w:pStyle w:val="para"/>
        <w:rPr>
          <w:lang w:val="en-GB"/>
        </w:rPr>
      </w:pPr>
      <w:r w:rsidRPr="00B04DC3">
        <w:rPr>
          <w:lang w:val="en-GB"/>
        </w:rPr>
        <w:t>7.1.</w:t>
      </w:r>
      <w:r w:rsidRPr="00B04DC3">
        <w:rPr>
          <w:lang w:val="en-GB"/>
        </w:rPr>
        <w:tab/>
        <w:t>Parameters defining the engine family</w:t>
      </w:r>
    </w:p>
    <w:p w:rsidR="00C0100D" w:rsidRPr="00B04DC3" w:rsidRDefault="00C0100D" w:rsidP="00B04DC3">
      <w:pPr>
        <w:pStyle w:val="para"/>
        <w:rPr>
          <w:lang w:val="en-GB"/>
        </w:rPr>
      </w:pPr>
      <w:r w:rsidRPr="00B04DC3">
        <w:rPr>
          <w:lang w:val="en-GB"/>
        </w:rPr>
        <w:tab/>
        <w:t>The engine family, as determined by the engine manufacturer shall comply with the provisions of ISO 16185.</w:t>
      </w:r>
    </w:p>
    <w:p w:rsidR="00C0100D" w:rsidRPr="00B04DC3" w:rsidRDefault="00C0100D" w:rsidP="00B04DC3">
      <w:pPr>
        <w:pStyle w:val="para"/>
        <w:rPr>
          <w:lang w:val="en-GB"/>
        </w:rPr>
      </w:pPr>
      <w:r w:rsidRPr="00B04DC3">
        <w:rPr>
          <w:lang w:val="en-GB"/>
        </w:rPr>
        <w:t>7.2.</w:t>
      </w:r>
      <w:r w:rsidRPr="00B04DC3">
        <w:rPr>
          <w:lang w:val="en-GB"/>
        </w:rPr>
        <w:tab/>
        <w:t>Choice of the parent engine</w:t>
      </w:r>
    </w:p>
    <w:p w:rsidR="00C0100D" w:rsidRPr="00B04DC3" w:rsidRDefault="00C0100D" w:rsidP="00B04DC3">
      <w:pPr>
        <w:pStyle w:val="para"/>
        <w:rPr>
          <w:lang w:val="en-GB"/>
        </w:rPr>
      </w:pPr>
      <w:r w:rsidRPr="00B04DC3">
        <w:rPr>
          <w:lang w:val="en-GB"/>
        </w:rPr>
        <w:t>7.2.1.</w:t>
      </w:r>
      <w:r w:rsidRPr="00B04DC3">
        <w:rPr>
          <w:lang w:val="en-GB"/>
        </w:rPr>
        <w:tab/>
        <w:t>Diesel engines</w:t>
      </w:r>
    </w:p>
    <w:p w:rsidR="00C0100D" w:rsidRPr="00EE6DE4" w:rsidRDefault="00C0100D" w:rsidP="00FE6E38">
      <w:pPr>
        <w:pStyle w:val="para"/>
        <w:rPr>
          <w:lang w:val="en-GB"/>
        </w:rPr>
      </w:pPr>
      <w:r w:rsidRPr="00B04DC3">
        <w:rPr>
          <w:lang w:val="en-GB"/>
        </w:rPr>
        <w:tab/>
        <w:t xml:space="preserve">The parent engine of the family shall be selected using the primary </w:t>
      </w:r>
      <w:r w:rsidR="005D056E" w:rsidRPr="00EE6DE4">
        <w:rPr>
          <w:lang w:val="en-GB"/>
        </w:rPr>
        <w:t xml:space="preserve">criterion </w:t>
      </w:r>
      <w:r w:rsidRPr="00EE6DE4">
        <w:rPr>
          <w:lang w:val="en-GB"/>
        </w:rPr>
        <w:t>of the highest fuel delivery per stroke at the declared maximum torque speed</w:t>
      </w:r>
      <w:r w:rsidR="00401E79" w:rsidRPr="00EE6DE4">
        <w:rPr>
          <w:lang w:val="en-GB"/>
        </w:rPr>
        <w:t xml:space="preserve">. </w:t>
      </w:r>
      <w:r w:rsidRPr="00EE6DE4">
        <w:rPr>
          <w:lang w:val="en-GB"/>
        </w:rPr>
        <w:t xml:space="preserve">In the event that two or more engines share this primary </w:t>
      </w:r>
      <w:r w:rsidR="005D056E" w:rsidRPr="00EE6DE4">
        <w:rPr>
          <w:lang w:val="en-GB"/>
        </w:rPr>
        <w:t>criterion</w:t>
      </w:r>
      <w:r w:rsidRPr="00EE6DE4">
        <w:rPr>
          <w:lang w:val="en-GB"/>
        </w:rPr>
        <w:t xml:space="preserve"> the parent engine shall be selected using the secondary criteria of highest fuel delivery per stroke at rated speed</w:t>
      </w:r>
      <w:r w:rsidR="00401E79" w:rsidRPr="00EE6DE4">
        <w:rPr>
          <w:lang w:val="en-GB"/>
        </w:rPr>
        <w:t xml:space="preserve">. </w:t>
      </w:r>
      <w:r w:rsidRPr="00EE6DE4">
        <w:rPr>
          <w:lang w:val="en-GB"/>
        </w:rPr>
        <w:t xml:space="preserve">Under certain circumstances, the </w:t>
      </w:r>
      <w:r w:rsidR="005D056E" w:rsidRPr="00EE6DE4">
        <w:rPr>
          <w:lang w:val="en-GB"/>
        </w:rPr>
        <w:t xml:space="preserve">Type </w:t>
      </w:r>
      <w:r w:rsidRPr="00EE6DE4">
        <w:rPr>
          <w:lang w:val="en-GB"/>
        </w:rPr>
        <w:t>Approval Authority may conclude that the worst case emission rate of the family can best be characterized by testing a second engine</w:t>
      </w:r>
      <w:r w:rsidR="00401E79" w:rsidRPr="00EE6DE4">
        <w:rPr>
          <w:lang w:val="en-GB"/>
        </w:rPr>
        <w:t xml:space="preserve">. </w:t>
      </w:r>
      <w:r w:rsidRPr="00EE6DE4">
        <w:rPr>
          <w:lang w:val="en-GB"/>
        </w:rPr>
        <w:t xml:space="preserve">Thus, the </w:t>
      </w:r>
      <w:r w:rsidR="005D056E" w:rsidRPr="00EE6DE4">
        <w:rPr>
          <w:lang w:val="en-GB"/>
        </w:rPr>
        <w:t xml:space="preserve">Type </w:t>
      </w:r>
      <w:r w:rsidRPr="00EE6DE4">
        <w:rPr>
          <w:lang w:val="en-GB"/>
        </w:rPr>
        <w:t>Approval Authority may select an additional engine for test based upon features which indicate that it may have the highest emission level of the engines within that family.</w:t>
      </w:r>
    </w:p>
    <w:p w:rsidR="00C0100D" w:rsidRPr="00EE6DE4" w:rsidRDefault="00C0100D" w:rsidP="00FE6E38">
      <w:pPr>
        <w:pStyle w:val="para"/>
        <w:rPr>
          <w:lang w:val="en-GB"/>
        </w:rPr>
      </w:pPr>
      <w:r w:rsidRPr="00EE6DE4">
        <w:rPr>
          <w:lang w:val="en-GB"/>
        </w:rPr>
        <w:tab/>
        <w:t>If engines within the family incorporate other variable features which could be considered to affect exhaust emissions, these features shall also be identified and taken into account in the selection of the parent engine.</w:t>
      </w:r>
    </w:p>
    <w:p w:rsidR="00C0100D" w:rsidRPr="00EE6DE4" w:rsidRDefault="00C0100D" w:rsidP="00AA0E48">
      <w:pPr>
        <w:pStyle w:val="para"/>
        <w:keepNext/>
        <w:keepLines/>
        <w:rPr>
          <w:lang w:val="en-GB"/>
        </w:rPr>
      </w:pPr>
      <w:r w:rsidRPr="00EE6DE4">
        <w:rPr>
          <w:lang w:val="en-GB"/>
        </w:rPr>
        <w:t>7.2.2.</w:t>
      </w:r>
      <w:r w:rsidRPr="00EE6DE4">
        <w:rPr>
          <w:lang w:val="en-GB"/>
        </w:rPr>
        <w:tab/>
        <w:t>Gas engines</w:t>
      </w:r>
    </w:p>
    <w:p w:rsidR="00C0100D" w:rsidRPr="00B04DC3" w:rsidRDefault="00C0100D" w:rsidP="00FE6E38">
      <w:pPr>
        <w:pStyle w:val="para"/>
        <w:rPr>
          <w:lang w:val="en-GB"/>
        </w:rPr>
      </w:pPr>
      <w:r w:rsidRPr="00EE6DE4">
        <w:rPr>
          <w:lang w:val="en-GB"/>
        </w:rPr>
        <w:tab/>
        <w:t>The parent engine of the family shall be selected using the primary criteria of the largest displacement</w:t>
      </w:r>
      <w:r w:rsidR="00401E79" w:rsidRPr="00EE6DE4">
        <w:rPr>
          <w:lang w:val="en-GB"/>
        </w:rPr>
        <w:t xml:space="preserve">. </w:t>
      </w:r>
      <w:r w:rsidRPr="00EE6DE4">
        <w:rPr>
          <w:lang w:val="en-GB"/>
        </w:rPr>
        <w:t xml:space="preserve">In the event that two or more engines share this primary </w:t>
      </w:r>
      <w:r w:rsidR="005D056E" w:rsidRPr="00EE6DE4">
        <w:rPr>
          <w:lang w:val="en-GB"/>
        </w:rPr>
        <w:t>criterion</w:t>
      </w:r>
      <w:r w:rsidRPr="00B04DC3">
        <w:rPr>
          <w:lang w:val="en-GB"/>
        </w:rPr>
        <w:t>, the parent engine shall be selected using the secondary criteria in the following order:</w:t>
      </w:r>
    </w:p>
    <w:p w:rsidR="00C0100D" w:rsidRPr="00B04DC3" w:rsidRDefault="00C0100D" w:rsidP="00FE6E38">
      <w:pPr>
        <w:pStyle w:val="a"/>
        <w:rPr>
          <w:lang w:val="en-GB"/>
        </w:rPr>
      </w:pPr>
      <w:r w:rsidRPr="00B04DC3">
        <w:rPr>
          <w:lang w:val="en-GB"/>
        </w:rPr>
        <w:t>(a)</w:t>
      </w:r>
      <w:r w:rsidRPr="00B04DC3">
        <w:rPr>
          <w:lang w:val="en-GB"/>
        </w:rPr>
        <w:tab/>
      </w:r>
      <w:r w:rsidR="00FE6E38" w:rsidRPr="00B04DC3">
        <w:rPr>
          <w:lang w:val="en-GB"/>
        </w:rPr>
        <w:t>The</w:t>
      </w:r>
      <w:r w:rsidRPr="00B04DC3">
        <w:rPr>
          <w:lang w:val="en-GB"/>
        </w:rPr>
        <w:t xml:space="preserve"> highest fuel delivery per stroke at the speed of declared rated power;</w:t>
      </w:r>
    </w:p>
    <w:p w:rsidR="00C0100D" w:rsidRPr="00B04DC3" w:rsidRDefault="00C0100D" w:rsidP="00FE6E38">
      <w:pPr>
        <w:pStyle w:val="a"/>
        <w:rPr>
          <w:lang w:val="en-GB"/>
        </w:rPr>
      </w:pPr>
      <w:r w:rsidRPr="00B04DC3">
        <w:rPr>
          <w:lang w:val="en-GB"/>
        </w:rPr>
        <w:t>(b)</w:t>
      </w:r>
      <w:r w:rsidRPr="00B04DC3">
        <w:rPr>
          <w:lang w:val="en-GB"/>
        </w:rPr>
        <w:tab/>
      </w:r>
      <w:r w:rsidR="00FE6E38" w:rsidRPr="00B04DC3">
        <w:rPr>
          <w:lang w:val="en-GB"/>
        </w:rPr>
        <w:t>T</w:t>
      </w:r>
      <w:r w:rsidRPr="00B04DC3">
        <w:rPr>
          <w:lang w:val="en-GB"/>
        </w:rPr>
        <w:t>he most advanced spark timing;</w:t>
      </w:r>
    </w:p>
    <w:p w:rsidR="00C0100D" w:rsidRPr="00B04DC3" w:rsidRDefault="00C0100D" w:rsidP="00FE6E38">
      <w:pPr>
        <w:pStyle w:val="a"/>
        <w:rPr>
          <w:lang w:val="en-GB"/>
        </w:rPr>
      </w:pPr>
      <w:r w:rsidRPr="00B04DC3">
        <w:rPr>
          <w:lang w:val="en-GB"/>
        </w:rPr>
        <w:t>(c)</w:t>
      </w:r>
      <w:r w:rsidRPr="00B04DC3">
        <w:rPr>
          <w:lang w:val="en-GB"/>
        </w:rPr>
        <w:tab/>
      </w:r>
      <w:r w:rsidR="00FE6E38" w:rsidRPr="00B04DC3">
        <w:rPr>
          <w:lang w:val="en-GB"/>
        </w:rPr>
        <w:t>The</w:t>
      </w:r>
      <w:r w:rsidRPr="00B04DC3">
        <w:rPr>
          <w:lang w:val="en-GB"/>
        </w:rPr>
        <w:t xml:space="preserve"> lowest EGR rate;</w:t>
      </w:r>
    </w:p>
    <w:p w:rsidR="00C0100D" w:rsidRPr="00B04DC3" w:rsidRDefault="00C0100D" w:rsidP="00FE6E38">
      <w:pPr>
        <w:pStyle w:val="a"/>
        <w:rPr>
          <w:lang w:val="en-GB"/>
        </w:rPr>
      </w:pPr>
      <w:r w:rsidRPr="00B04DC3">
        <w:rPr>
          <w:lang w:val="en-GB"/>
        </w:rPr>
        <w:t>(d)</w:t>
      </w:r>
      <w:r w:rsidRPr="00B04DC3">
        <w:rPr>
          <w:lang w:val="en-GB"/>
        </w:rPr>
        <w:tab/>
      </w:r>
      <w:r w:rsidR="00FE6E38" w:rsidRPr="00B04DC3">
        <w:rPr>
          <w:lang w:val="en-GB"/>
        </w:rPr>
        <w:t>No</w:t>
      </w:r>
      <w:r w:rsidRPr="00B04DC3">
        <w:rPr>
          <w:lang w:val="en-GB"/>
        </w:rPr>
        <w:t xml:space="preserve"> air pump or lowest actual air flow pump.</w:t>
      </w:r>
    </w:p>
    <w:p w:rsidR="00C0100D" w:rsidRPr="00B04DC3" w:rsidRDefault="00C0100D" w:rsidP="00FE6E38">
      <w:pPr>
        <w:pStyle w:val="para"/>
        <w:rPr>
          <w:lang w:val="en-GB"/>
        </w:rPr>
      </w:pPr>
      <w:r w:rsidRPr="00B04DC3">
        <w:rPr>
          <w:lang w:val="en-GB"/>
        </w:rPr>
        <w:tab/>
        <w:t xml:space="preserve">Under certain circumstances, the </w:t>
      </w:r>
      <w:r w:rsidR="005D056E">
        <w:rPr>
          <w:lang w:val="en-GB"/>
        </w:rPr>
        <w:t xml:space="preserve">Type </w:t>
      </w:r>
      <w:r w:rsidRPr="00B04DC3">
        <w:rPr>
          <w:lang w:val="en-GB"/>
        </w:rPr>
        <w:t>Approval Authority may conclude that the worst case emission rate of the family can best be characterized by testing a second engine</w:t>
      </w:r>
      <w:r w:rsidR="00401E79" w:rsidRPr="00B04DC3">
        <w:rPr>
          <w:lang w:val="en-GB"/>
        </w:rPr>
        <w:t xml:space="preserve">. </w:t>
      </w:r>
      <w:r w:rsidRPr="00B04DC3">
        <w:rPr>
          <w:lang w:val="en-GB"/>
        </w:rPr>
        <w:t xml:space="preserve">Thus, the </w:t>
      </w:r>
      <w:r w:rsidR="005D056E">
        <w:rPr>
          <w:lang w:val="en-GB"/>
        </w:rPr>
        <w:t xml:space="preserve">Type </w:t>
      </w:r>
      <w:r w:rsidRPr="00B04DC3">
        <w:rPr>
          <w:lang w:val="en-GB"/>
        </w:rPr>
        <w:t>Approval Authority may select an additional engine for test based upon features which indicate that it may have the highest emission level of the engines within that family.</w:t>
      </w:r>
    </w:p>
    <w:p w:rsidR="00C0100D" w:rsidRPr="00B04DC3" w:rsidRDefault="00FE6E38" w:rsidP="00B04DC3">
      <w:pPr>
        <w:pStyle w:val="para"/>
        <w:ind w:left="0" w:firstLine="0"/>
        <w:rPr>
          <w:lang w:val="en-GB"/>
        </w:rPr>
      </w:pPr>
      <w:r w:rsidRPr="00B04DC3">
        <w:rPr>
          <w:lang w:val="en-GB"/>
        </w:rPr>
        <w:tab/>
      </w:r>
      <w:r w:rsidR="00B04DC3" w:rsidRPr="00B04DC3">
        <w:rPr>
          <w:lang w:val="en-GB"/>
        </w:rPr>
        <w:tab/>
      </w:r>
      <w:r w:rsidR="00C0100D" w:rsidRPr="00B04DC3">
        <w:rPr>
          <w:lang w:val="en-GB"/>
        </w:rPr>
        <w:t>7.3.</w:t>
      </w:r>
      <w:r w:rsidR="00C0100D" w:rsidRPr="00B04DC3">
        <w:rPr>
          <w:lang w:val="en-GB"/>
        </w:rPr>
        <w:tab/>
      </w:r>
      <w:r w:rsidRPr="00B04DC3">
        <w:rPr>
          <w:lang w:val="en-GB"/>
        </w:rPr>
        <w:tab/>
      </w:r>
      <w:r w:rsidR="00C0100D" w:rsidRPr="00B04DC3">
        <w:rPr>
          <w:lang w:val="en-GB"/>
        </w:rPr>
        <w:t>Parameters for defining an OBD-engine family</w:t>
      </w:r>
    </w:p>
    <w:p w:rsidR="00C0100D" w:rsidRPr="00B04DC3" w:rsidRDefault="00C0100D" w:rsidP="00FE6E38">
      <w:pPr>
        <w:pStyle w:val="para"/>
        <w:rPr>
          <w:lang w:val="en-GB"/>
        </w:rPr>
      </w:pPr>
      <w:r w:rsidRPr="00B04DC3">
        <w:rPr>
          <w:lang w:val="en-GB"/>
        </w:rPr>
        <w:tab/>
        <w:t>The OBD-engine family may be defined by basic design parameters that shall be common to engine systems within the family.</w:t>
      </w:r>
    </w:p>
    <w:p w:rsidR="00C0100D" w:rsidRPr="00B04DC3" w:rsidRDefault="00C0100D" w:rsidP="00FE6E38">
      <w:pPr>
        <w:pStyle w:val="para"/>
        <w:rPr>
          <w:lang w:val="en-GB"/>
        </w:rPr>
      </w:pPr>
      <w:r w:rsidRPr="00B04DC3">
        <w:rPr>
          <w:lang w:val="en-GB"/>
        </w:rPr>
        <w:tab/>
        <w:t>In order that engine systems may be considered to belong to the same OBD-engine family, the following list of basic parameters shall be common:</w:t>
      </w:r>
    </w:p>
    <w:p w:rsidR="00C0100D" w:rsidRPr="00B04DC3" w:rsidRDefault="00C0100D" w:rsidP="00FE6E38">
      <w:pPr>
        <w:pStyle w:val="a"/>
        <w:rPr>
          <w:lang w:val="en-GB"/>
        </w:rPr>
      </w:pPr>
      <w:r w:rsidRPr="00B04DC3">
        <w:rPr>
          <w:lang w:val="en-GB"/>
        </w:rPr>
        <w:t>(a)</w:t>
      </w:r>
      <w:r w:rsidRPr="00B04DC3">
        <w:rPr>
          <w:lang w:val="en-GB"/>
        </w:rPr>
        <w:tab/>
      </w:r>
      <w:r w:rsidR="00FE6E38" w:rsidRPr="00B04DC3">
        <w:rPr>
          <w:lang w:val="en-GB"/>
        </w:rPr>
        <w:t>The</w:t>
      </w:r>
      <w:r w:rsidRPr="00B04DC3">
        <w:rPr>
          <w:lang w:val="en-GB"/>
        </w:rPr>
        <w:t xml:space="preserve"> methods of OBD monitoring;</w:t>
      </w:r>
    </w:p>
    <w:p w:rsidR="00C0100D" w:rsidRPr="00B04DC3" w:rsidRDefault="00C0100D" w:rsidP="00FE6E38">
      <w:pPr>
        <w:pStyle w:val="a"/>
        <w:rPr>
          <w:lang w:val="en-GB"/>
        </w:rPr>
      </w:pPr>
      <w:r w:rsidRPr="00B04DC3">
        <w:rPr>
          <w:lang w:val="en-GB"/>
        </w:rPr>
        <w:t>(b)</w:t>
      </w:r>
      <w:r w:rsidRPr="00B04DC3">
        <w:rPr>
          <w:lang w:val="en-GB"/>
        </w:rPr>
        <w:tab/>
      </w:r>
      <w:r w:rsidR="00FE6E38" w:rsidRPr="00B04DC3">
        <w:rPr>
          <w:lang w:val="en-GB"/>
        </w:rPr>
        <w:t>The</w:t>
      </w:r>
      <w:r w:rsidRPr="00B04DC3">
        <w:rPr>
          <w:lang w:val="en-GB"/>
        </w:rPr>
        <w:t xml:space="preserve"> methods of malfunction detection;</w:t>
      </w:r>
    </w:p>
    <w:p w:rsidR="00C0100D" w:rsidRPr="00B04DC3" w:rsidRDefault="00FE6E38" w:rsidP="00FE6E38">
      <w:pPr>
        <w:pStyle w:val="para"/>
        <w:ind w:firstLine="0"/>
        <w:rPr>
          <w:lang w:val="en-GB"/>
        </w:rPr>
      </w:pPr>
      <w:r w:rsidRPr="00B04DC3">
        <w:rPr>
          <w:lang w:val="en-GB"/>
        </w:rPr>
        <w:t>Unless</w:t>
      </w:r>
      <w:r w:rsidR="00C0100D" w:rsidRPr="00B04DC3">
        <w:rPr>
          <w:lang w:val="en-GB"/>
        </w:rPr>
        <w:t xml:space="preserve"> these methods have been shown as equivalent by the manufacturer by means of relevant engineering demonstration or other appropriate procedures.</w:t>
      </w:r>
    </w:p>
    <w:p w:rsidR="00C0100D" w:rsidRPr="00B04DC3" w:rsidRDefault="00C0100D" w:rsidP="00FE6E38">
      <w:pPr>
        <w:pStyle w:val="para"/>
        <w:rPr>
          <w:lang w:val="en-GB"/>
        </w:rPr>
      </w:pPr>
      <w:r w:rsidRPr="00B04DC3">
        <w:rPr>
          <w:lang w:val="en-GB"/>
        </w:rPr>
        <w:tab/>
      </w:r>
      <w:r w:rsidRPr="00B04DC3">
        <w:rPr>
          <w:i/>
          <w:lang w:val="en-GB"/>
        </w:rPr>
        <w:t>Note:</w:t>
      </w:r>
      <w:r w:rsidRPr="00B04DC3">
        <w:rPr>
          <w:lang w:val="en-GB"/>
        </w:rPr>
        <w:t xml:space="preserve"> </w:t>
      </w:r>
      <w:r w:rsidR="007400FB" w:rsidRPr="00B04DC3">
        <w:rPr>
          <w:lang w:val="en-GB"/>
        </w:rPr>
        <w:t>E</w:t>
      </w:r>
      <w:r w:rsidRPr="00B04DC3">
        <w:rPr>
          <w:lang w:val="en-GB"/>
        </w:rPr>
        <w:t>ngines that do not belong to the same engine family may still belong to the same OBD-engine family provided the above-mentioned criteria are satisfied.</w:t>
      </w:r>
    </w:p>
    <w:p w:rsidR="00C0100D" w:rsidRPr="00B04DC3" w:rsidRDefault="007400FB" w:rsidP="00B04DC3">
      <w:pPr>
        <w:pStyle w:val="HChG"/>
      </w:pPr>
      <w:r w:rsidRPr="00B04DC3">
        <w:tab/>
      </w:r>
      <w:r w:rsidRPr="00B04DC3">
        <w:tab/>
      </w:r>
      <w:bookmarkStart w:id="49" w:name="_Toc423599458"/>
      <w:bookmarkStart w:id="50" w:name="_Toc423610866"/>
      <w:r w:rsidR="00C0100D" w:rsidRPr="00B04DC3">
        <w:t>8.</w:t>
      </w:r>
      <w:r w:rsidR="00C0100D" w:rsidRPr="00B04DC3">
        <w:tab/>
      </w:r>
      <w:r w:rsidRPr="00B04DC3">
        <w:tab/>
      </w:r>
      <w:r w:rsidR="00FE6E38" w:rsidRPr="00B04DC3">
        <w:t>Conformity of production</w:t>
      </w:r>
      <w:bookmarkEnd w:id="49"/>
      <w:bookmarkEnd w:id="50"/>
    </w:p>
    <w:p w:rsidR="00C0100D" w:rsidRPr="00B04DC3" w:rsidRDefault="00C0100D" w:rsidP="00FE6E38">
      <w:pPr>
        <w:pStyle w:val="para"/>
        <w:rPr>
          <w:szCs w:val="24"/>
          <w:lang w:val="en-GB"/>
        </w:rPr>
      </w:pPr>
      <w:r w:rsidRPr="00B04DC3">
        <w:rPr>
          <w:szCs w:val="24"/>
          <w:lang w:val="en-GB"/>
        </w:rPr>
        <w:tab/>
        <w:t xml:space="preserve">The </w:t>
      </w:r>
      <w:r w:rsidRPr="00B04DC3">
        <w:rPr>
          <w:lang w:val="en-GB"/>
        </w:rPr>
        <w:t>conformity</w:t>
      </w:r>
      <w:r w:rsidRPr="00B04DC3">
        <w:rPr>
          <w:szCs w:val="24"/>
          <w:lang w:val="en-GB"/>
        </w:rPr>
        <w:t xml:space="preserve"> of production procedures shall comply with those set out in the Agreement, Appendix 2 (E/ECE/324-E/ECE/TRANS/505/Rev.2), with the following requirements:</w:t>
      </w:r>
    </w:p>
    <w:p w:rsidR="00C0100D" w:rsidRPr="00B04DC3" w:rsidRDefault="00C0100D" w:rsidP="00FE6E38">
      <w:pPr>
        <w:pStyle w:val="para"/>
        <w:rPr>
          <w:lang w:val="en-GB"/>
        </w:rPr>
      </w:pPr>
      <w:r w:rsidRPr="00B04DC3">
        <w:rPr>
          <w:lang w:val="en-GB"/>
        </w:rPr>
        <w:t>8.1.</w:t>
      </w:r>
      <w:r w:rsidRPr="00B04DC3">
        <w:rPr>
          <w:lang w:val="en-GB"/>
        </w:rPr>
        <w:tab/>
        <w:t>Every engine or vehicle bearing an approval mark as prescribed under this Regulation shall be so manufactured as to conform, with regard to the description as given in the approval form and its annexes, to the approved type.</w:t>
      </w:r>
    </w:p>
    <w:p w:rsidR="00C0100D" w:rsidRPr="00B04DC3" w:rsidRDefault="00C0100D" w:rsidP="00FE6E38">
      <w:pPr>
        <w:pStyle w:val="para"/>
        <w:rPr>
          <w:lang w:val="en-GB"/>
        </w:rPr>
      </w:pPr>
      <w:r w:rsidRPr="00B04DC3">
        <w:rPr>
          <w:lang w:val="en-GB"/>
        </w:rPr>
        <w:t>8.2.</w:t>
      </w:r>
      <w:r w:rsidRPr="00B04DC3">
        <w:rPr>
          <w:lang w:val="en-GB"/>
        </w:rPr>
        <w:tab/>
        <w:t>As a general rule, conformity of production with regard to limitation of emissions is checked based on the description given in the communication form and its annexes.</w:t>
      </w:r>
    </w:p>
    <w:p w:rsidR="00C0100D" w:rsidRPr="00B04DC3" w:rsidRDefault="00C0100D" w:rsidP="00FE6E38">
      <w:pPr>
        <w:pStyle w:val="para"/>
        <w:rPr>
          <w:lang w:val="en-GB"/>
        </w:rPr>
      </w:pPr>
      <w:r w:rsidRPr="00B04DC3">
        <w:rPr>
          <w:lang w:val="en-GB"/>
        </w:rPr>
        <w:t>8.3.</w:t>
      </w:r>
      <w:r w:rsidRPr="00B04DC3">
        <w:rPr>
          <w:lang w:val="en-GB"/>
        </w:rPr>
        <w:tab/>
        <w:t>If emissions of pollutants are to be measured and an engine approval has had one or several extensions, the tests will be carried out on the engine(s) described in the information package relating to the relevant extension.</w:t>
      </w:r>
    </w:p>
    <w:p w:rsidR="00C0100D" w:rsidRPr="00B04DC3" w:rsidRDefault="00C0100D" w:rsidP="00AA0E48">
      <w:pPr>
        <w:pStyle w:val="para"/>
        <w:keepNext/>
        <w:keepLines/>
        <w:rPr>
          <w:lang w:val="en-GB"/>
        </w:rPr>
      </w:pPr>
      <w:r w:rsidRPr="00B04DC3">
        <w:rPr>
          <w:lang w:val="en-GB"/>
        </w:rPr>
        <w:t>8.3.1.</w:t>
      </w:r>
      <w:r w:rsidRPr="00B04DC3">
        <w:rPr>
          <w:lang w:val="en-GB"/>
        </w:rPr>
        <w:tab/>
        <w:t>Conformity of the engine subjected to a pollutant test:</w:t>
      </w:r>
    </w:p>
    <w:p w:rsidR="00C0100D" w:rsidRPr="00B04DC3" w:rsidRDefault="00C0100D" w:rsidP="00FE6E38">
      <w:pPr>
        <w:pStyle w:val="para"/>
        <w:rPr>
          <w:lang w:val="en-GB"/>
        </w:rPr>
      </w:pPr>
      <w:r w:rsidRPr="00B04DC3">
        <w:rPr>
          <w:lang w:val="en-GB"/>
        </w:rPr>
        <w:tab/>
        <w:t>After submission of the engine to the authorities, the manufacturer shall not carry out any adjustment to the engines selected.</w:t>
      </w:r>
    </w:p>
    <w:p w:rsidR="00592A62" w:rsidRPr="00B04DC3" w:rsidRDefault="00592A62" w:rsidP="00FE6E38">
      <w:pPr>
        <w:pStyle w:val="para"/>
        <w:rPr>
          <w:lang w:val="en-GB"/>
        </w:rPr>
      </w:pPr>
      <w:r w:rsidRPr="00B04DC3">
        <w:rPr>
          <w:lang w:val="en-GB"/>
        </w:rPr>
        <w:t>8.3.1.1.</w:t>
      </w:r>
      <w:r w:rsidRPr="00B04DC3">
        <w:rPr>
          <w:lang w:val="en-GB"/>
        </w:rPr>
        <w:tab/>
        <w:t xml:space="preserve">Three engines are randomly taken in the series. Engines that are subject to testing only on the ESC and ELR tests or only on the ETC test for type approval to row A of the tables in paragraph 5.2.1. are subject to those applicable tests for the checking of production conformity. With the agreement of the </w:t>
      </w:r>
      <w:r w:rsidR="00EE6DE4">
        <w:rPr>
          <w:lang w:val="en-GB"/>
        </w:rPr>
        <w:t>Type Approval A</w:t>
      </w:r>
      <w:r w:rsidRPr="00B04DC3">
        <w:rPr>
          <w:lang w:val="en-GB"/>
        </w:rPr>
        <w:t>uthority, all other engines type approved to row A, B1 or B2, or C of the tables in paragraph 5.2.1. are subjected to testing either on the ESC and ELR cycles or on the ETC cycle for the checking of the production conformity. The limit values are given in paragraph 5.2.1., or, in the case of a dual-fuel engine, in Annex 11 of this Regulation.</w:t>
      </w:r>
    </w:p>
    <w:p w:rsidR="00592A62" w:rsidRPr="00B04DC3" w:rsidRDefault="00592A62" w:rsidP="00FE6E38">
      <w:pPr>
        <w:pStyle w:val="para"/>
        <w:rPr>
          <w:lang w:val="en-GB"/>
        </w:rPr>
      </w:pPr>
      <w:r w:rsidRPr="00B04DC3">
        <w:rPr>
          <w:lang w:val="en-GB"/>
        </w:rPr>
        <w:t>8.3.1.1.1.</w:t>
      </w:r>
      <w:r w:rsidRPr="00B04DC3">
        <w:rPr>
          <w:lang w:val="en-GB"/>
        </w:rPr>
        <w:tab/>
        <w:t>Dual-fuel engines are tested in dual-fuel mode. When a diesel mode is available, dual-fuel engines shall also be tested in diesel mode. In that case, the test shall be performed just before or just after the test in dual-fuel mode, on the same engine, on the same engine test-bed, and under the same laboratory conditions.</w:t>
      </w:r>
    </w:p>
    <w:p w:rsidR="00C0100D" w:rsidRPr="00B04DC3" w:rsidRDefault="00C0100D" w:rsidP="00FE6E38">
      <w:pPr>
        <w:pStyle w:val="para"/>
        <w:rPr>
          <w:lang w:val="en-GB"/>
        </w:rPr>
      </w:pPr>
      <w:r w:rsidRPr="00B04DC3">
        <w:rPr>
          <w:lang w:val="en-GB"/>
        </w:rPr>
        <w:t>8.3.1.2.</w:t>
      </w:r>
      <w:r w:rsidRPr="00B04DC3">
        <w:rPr>
          <w:lang w:val="en-GB"/>
        </w:rPr>
        <w:tab/>
        <w:t>The tests are carried out according to Appendix 1 to this Regulation where the</w:t>
      </w:r>
      <w:r w:rsidR="005D056E">
        <w:rPr>
          <w:lang w:val="en-GB"/>
        </w:rPr>
        <w:t xml:space="preserve"> Type Approval Authority </w:t>
      </w:r>
      <w:r w:rsidRPr="00B04DC3">
        <w:rPr>
          <w:lang w:val="en-GB"/>
        </w:rPr>
        <w:t>is satisfied with the production standard deviation given by the manufacturer.</w:t>
      </w:r>
    </w:p>
    <w:p w:rsidR="00C0100D" w:rsidRPr="00B04DC3" w:rsidRDefault="00C0100D" w:rsidP="00FE6E38">
      <w:pPr>
        <w:pStyle w:val="para"/>
        <w:rPr>
          <w:lang w:val="en-GB"/>
        </w:rPr>
      </w:pPr>
      <w:r w:rsidRPr="00B04DC3">
        <w:rPr>
          <w:lang w:val="en-GB"/>
        </w:rPr>
        <w:tab/>
        <w:t>The tests are carried out according to Appendix 2 to this Regulation, where the</w:t>
      </w:r>
      <w:r w:rsidR="005D056E">
        <w:rPr>
          <w:lang w:val="en-GB"/>
        </w:rPr>
        <w:t xml:space="preserve"> Type Approval Authority </w:t>
      </w:r>
      <w:r w:rsidRPr="00B04DC3">
        <w:rPr>
          <w:lang w:val="en-GB"/>
        </w:rPr>
        <w:t>is not satisfied with the production standard deviation given by the manufacturer.</w:t>
      </w:r>
    </w:p>
    <w:p w:rsidR="00C0100D" w:rsidRPr="00B04DC3" w:rsidRDefault="00C0100D" w:rsidP="00FE6E38">
      <w:pPr>
        <w:pStyle w:val="para"/>
        <w:rPr>
          <w:lang w:val="en-GB"/>
        </w:rPr>
      </w:pPr>
      <w:r w:rsidRPr="00B04DC3">
        <w:rPr>
          <w:lang w:val="en-GB"/>
        </w:rPr>
        <w:tab/>
        <w:t>At the manufacturer's request, the tests may be carried out in accordance with Appendix 3 to this Regulation.</w:t>
      </w:r>
    </w:p>
    <w:p w:rsidR="00592A62" w:rsidRPr="00B04DC3" w:rsidRDefault="00592A62" w:rsidP="00592A62">
      <w:pPr>
        <w:keepNext/>
        <w:keepLines/>
        <w:spacing w:after="120"/>
        <w:ind w:left="2268" w:right="1134" w:hanging="1134"/>
        <w:jc w:val="both"/>
      </w:pPr>
      <w:r w:rsidRPr="00B04DC3">
        <w:t>8.3.1.3.</w:t>
      </w:r>
      <w:r w:rsidRPr="00B04DC3">
        <w:tab/>
        <w:t>On the basis of a test of the engine by sampling, the production of a series is regarded as conforming where a pass decision is reached for all the pollutants and non-conforming where a fail decision is reached for one pollutant, in accordance with the test criteria applied in the appropriate appendix.</w:t>
      </w:r>
    </w:p>
    <w:p w:rsidR="00592A62" w:rsidRPr="00B04DC3" w:rsidRDefault="00592A62" w:rsidP="00592A62">
      <w:pPr>
        <w:spacing w:after="120"/>
        <w:ind w:left="2268" w:right="1134"/>
        <w:jc w:val="both"/>
      </w:pPr>
      <w:r w:rsidRPr="00B04DC3">
        <w:t>In the case of dual-fuel engines tested both in dual-fuel and diesel mode, the production of a series is regarded as conforming where a pass decision is reached for all the pollutants in both dual-fuel and diesel modes and non-conforming where a fail decision is reached for one pollutant in either of the operating modes.</w:t>
      </w:r>
    </w:p>
    <w:p w:rsidR="00592A62" w:rsidRPr="00B04DC3" w:rsidRDefault="00592A62" w:rsidP="00592A62">
      <w:pPr>
        <w:spacing w:after="120"/>
        <w:ind w:left="2268" w:right="1134"/>
        <w:jc w:val="both"/>
      </w:pPr>
      <w:r w:rsidRPr="00B04DC3">
        <w:t>When a pass decision has been reached for one pollutant, this decision may not be changed by any additional tests made in order to reach a decision for the other pollutants.</w:t>
      </w:r>
    </w:p>
    <w:p w:rsidR="00C0100D" w:rsidRPr="00B04DC3" w:rsidRDefault="00C0100D" w:rsidP="00FE6E38">
      <w:pPr>
        <w:pStyle w:val="para"/>
        <w:rPr>
          <w:lang w:val="en-GB"/>
        </w:rPr>
      </w:pPr>
      <w:r w:rsidRPr="00B04DC3">
        <w:rPr>
          <w:lang w:val="en-GB"/>
        </w:rPr>
        <w:tab/>
        <w:t xml:space="preserve">If no pass decision is reached for all the pollutants and if no fail decision is reached for one pollutant, a test is carried out on another engine (see </w:t>
      </w:r>
      <w:r w:rsidR="00313D4E" w:rsidRPr="00B04DC3">
        <w:rPr>
          <w:lang w:val="en-GB"/>
        </w:rPr>
        <w:t>Figure</w:t>
      </w:r>
      <w:r w:rsidR="007400FB" w:rsidRPr="00B04DC3">
        <w:rPr>
          <w:lang w:val="en-GB"/>
        </w:rPr>
        <w:t> </w:t>
      </w:r>
      <w:r w:rsidRPr="00B04DC3">
        <w:rPr>
          <w:lang w:val="en-GB"/>
        </w:rPr>
        <w:t>2).</w:t>
      </w:r>
    </w:p>
    <w:p w:rsidR="00C0100D" w:rsidRPr="00B04DC3" w:rsidRDefault="00C0100D" w:rsidP="00FE6E38">
      <w:pPr>
        <w:pStyle w:val="para"/>
        <w:rPr>
          <w:lang w:val="en-GB"/>
        </w:rPr>
      </w:pPr>
      <w:r w:rsidRPr="00B04DC3">
        <w:rPr>
          <w:lang w:val="en-GB"/>
        </w:rPr>
        <w:tab/>
        <w:t>If no decision is reached, the manufacturer may at any time decide to stop testing. In that case a fail decision is recorded.</w:t>
      </w:r>
    </w:p>
    <w:p w:rsidR="00C0100D" w:rsidRPr="00B04DC3" w:rsidRDefault="00C0100D" w:rsidP="00FE6E38">
      <w:pPr>
        <w:pStyle w:val="para"/>
        <w:rPr>
          <w:lang w:val="en-GB"/>
        </w:rPr>
      </w:pPr>
      <w:r w:rsidRPr="00B04DC3">
        <w:rPr>
          <w:lang w:val="en-GB"/>
        </w:rPr>
        <w:t>8.3.2.</w:t>
      </w:r>
      <w:r w:rsidRPr="00B04DC3">
        <w:rPr>
          <w:lang w:val="en-GB"/>
        </w:rPr>
        <w:tab/>
        <w:t>The tests will be carried out on newly manufactured engines</w:t>
      </w:r>
      <w:r w:rsidR="00401E79" w:rsidRPr="00B04DC3">
        <w:rPr>
          <w:lang w:val="en-GB"/>
        </w:rPr>
        <w:t xml:space="preserve">. </w:t>
      </w:r>
      <w:r w:rsidRPr="00B04DC3">
        <w:rPr>
          <w:lang w:val="en-GB"/>
        </w:rPr>
        <w:t>Gas fuelled engines shall be run-in using the procedure defined in paragraph 3. of Appendix 2 to Annex 4A.</w:t>
      </w:r>
    </w:p>
    <w:p w:rsidR="00C0100D" w:rsidRPr="00B04DC3" w:rsidRDefault="00C0100D" w:rsidP="00FE6E38">
      <w:pPr>
        <w:pStyle w:val="para"/>
        <w:rPr>
          <w:lang w:val="en-GB"/>
        </w:rPr>
      </w:pPr>
      <w:r w:rsidRPr="00B04DC3">
        <w:rPr>
          <w:lang w:val="en-GB"/>
        </w:rPr>
        <w:t>8.3.2.1.</w:t>
      </w:r>
      <w:r w:rsidRPr="00B04DC3">
        <w:rPr>
          <w:lang w:val="en-GB"/>
        </w:rPr>
        <w:tab/>
        <w:t>However, at the request of the manufacturer, the tests may be carried out on diesel or gas engines which have been run-in more than the period referred to in paragraph 8.3.2., up to a maximum of 100 hours</w:t>
      </w:r>
      <w:r w:rsidR="00401E79" w:rsidRPr="00B04DC3">
        <w:rPr>
          <w:lang w:val="en-GB"/>
        </w:rPr>
        <w:t xml:space="preserve">. </w:t>
      </w:r>
      <w:r w:rsidRPr="00B04DC3">
        <w:rPr>
          <w:lang w:val="en-GB"/>
        </w:rPr>
        <w:t>In this case, the running-in procedure will be conducted by the manufacturer who shall undertake not to make any adjustments to those engines.</w:t>
      </w:r>
    </w:p>
    <w:p w:rsidR="00C0100D" w:rsidRPr="00B04DC3" w:rsidRDefault="00C0100D" w:rsidP="00FE6E38">
      <w:pPr>
        <w:pStyle w:val="para"/>
        <w:rPr>
          <w:lang w:val="en-GB"/>
        </w:rPr>
      </w:pPr>
      <w:r w:rsidRPr="00B04DC3">
        <w:rPr>
          <w:lang w:val="en-GB"/>
        </w:rPr>
        <w:t>8.3.2.2.</w:t>
      </w:r>
      <w:r w:rsidRPr="00B04DC3">
        <w:rPr>
          <w:lang w:val="en-GB"/>
        </w:rPr>
        <w:tab/>
        <w:t>When the manufacturer asks to conduct a running-in procedure in accordance with paragraph 8.3.2.1., it may be carried out on:</w:t>
      </w:r>
    </w:p>
    <w:p w:rsidR="00C0100D" w:rsidRPr="00B04DC3" w:rsidRDefault="00C0100D" w:rsidP="00FE6E38">
      <w:pPr>
        <w:pStyle w:val="a"/>
        <w:rPr>
          <w:lang w:val="en-GB"/>
        </w:rPr>
      </w:pPr>
      <w:r w:rsidRPr="00B04DC3">
        <w:rPr>
          <w:lang w:val="en-GB"/>
        </w:rPr>
        <w:t>(a)</w:t>
      </w:r>
      <w:r w:rsidRPr="00B04DC3">
        <w:rPr>
          <w:lang w:val="en-GB"/>
        </w:rPr>
        <w:tab/>
      </w:r>
      <w:r w:rsidR="00FE6E38" w:rsidRPr="00B04DC3">
        <w:rPr>
          <w:lang w:val="en-GB"/>
        </w:rPr>
        <w:t>All</w:t>
      </w:r>
      <w:r w:rsidRPr="00B04DC3">
        <w:rPr>
          <w:lang w:val="en-GB"/>
        </w:rPr>
        <w:t xml:space="preserve"> </w:t>
      </w:r>
      <w:r w:rsidR="007400FB" w:rsidRPr="00B04DC3">
        <w:rPr>
          <w:lang w:val="en-GB"/>
        </w:rPr>
        <w:t>the engines that are tested, or</w:t>
      </w:r>
    </w:p>
    <w:p w:rsidR="00C0100D" w:rsidRPr="00B04DC3" w:rsidRDefault="00C0100D" w:rsidP="00FE6E38">
      <w:pPr>
        <w:pStyle w:val="a"/>
        <w:rPr>
          <w:lang w:val="en-GB"/>
        </w:rPr>
      </w:pPr>
      <w:r w:rsidRPr="00B04DC3">
        <w:rPr>
          <w:lang w:val="en-GB"/>
        </w:rPr>
        <w:t>(b)</w:t>
      </w:r>
      <w:r w:rsidRPr="00B04DC3">
        <w:rPr>
          <w:lang w:val="en-GB"/>
        </w:rPr>
        <w:tab/>
      </w:r>
      <w:r w:rsidR="00FE6E38" w:rsidRPr="00B04DC3">
        <w:rPr>
          <w:lang w:val="en-GB"/>
        </w:rPr>
        <w:t>The</w:t>
      </w:r>
      <w:r w:rsidRPr="00B04DC3">
        <w:rPr>
          <w:lang w:val="en-GB"/>
        </w:rPr>
        <w:t xml:space="preserve"> first engine tested, with the determination of an evolution coefficient as follows:</w:t>
      </w:r>
    </w:p>
    <w:p w:rsidR="00C0100D" w:rsidRPr="00B04DC3" w:rsidRDefault="00C0100D" w:rsidP="00FE6E38">
      <w:pPr>
        <w:pStyle w:val="i"/>
        <w:rPr>
          <w:lang w:val="en-GB"/>
        </w:rPr>
      </w:pPr>
      <w:r w:rsidRPr="00B04DC3">
        <w:rPr>
          <w:lang w:val="en-GB"/>
        </w:rPr>
        <w:t>(i)</w:t>
      </w:r>
      <w:r w:rsidRPr="00B04DC3">
        <w:rPr>
          <w:lang w:val="en-GB"/>
        </w:rPr>
        <w:tab/>
      </w:r>
      <w:r w:rsidR="00FE6E38" w:rsidRPr="00B04DC3">
        <w:rPr>
          <w:lang w:val="en-GB"/>
        </w:rPr>
        <w:t>The</w:t>
      </w:r>
      <w:r w:rsidRPr="00B04DC3">
        <w:rPr>
          <w:lang w:val="en-GB"/>
        </w:rPr>
        <w:t xml:space="preserve"> pollutant emissions will be measured at zero and at "x" hours on the first engine tested,</w:t>
      </w:r>
    </w:p>
    <w:p w:rsidR="00C0100D" w:rsidRPr="00B04DC3" w:rsidRDefault="00C0100D" w:rsidP="00FE6E38">
      <w:pPr>
        <w:pStyle w:val="i"/>
        <w:rPr>
          <w:lang w:val="en-GB"/>
        </w:rPr>
      </w:pPr>
      <w:r w:rsidRPr="00B04DC3">
        <w:rPr>
          <w:lang w:val="en-GB"/>
        </w:rPr>
        <w:t>(ii)</w:t>
      </w:r>
      <w:r w:rsidRPr="00B04DC3">
        <w:rPr>
          <w:lang w:val="en-GB"/>
        </w:rPr>
        <w:tab/>
      </w:r>
      <w:r w:rsidR="00FE6E38" w:rsidRPr="00B04DC3">
        <w:rPr>
          <w:lang w:val="en-GB"/>
        </w:rPr>
        <w:t>The</w:t>
      </w:r>
      <w:r w:rsidRPr="00B04DC3">
        <w:rPr>
          <w:lang w:val="en-GB"/>
        </w:rPr>
        <w:t xml:space="preserve"> evolution coefficient of the emissions between zero and "x" hours will be calculated for each pollutant:</w:t>
      </w:r>
    </w:p>
    <w:p w:rsidR="00C0100D" w:rsidRPr="00B04DC3" w:rsidRDefault="00C0100D" w:rsidP="00FE6E38">
      <w:pPr>
        <w:autoSpaceDE w:val="0"/>
        <w:autoSpaceDN w:val="0"/>
        <w:adjustRightInd w:val="0"/>
        <w:spacing w:after="120" w:line="260" w:lineRule="exact"/>
        <w:ind w:left="3997" w:hanging="567"/>
        <w:jc w:val="both"/>
        <w:rPr>
          <w:szCs w:val="23"/>
        </w:rPr>
      </w:pPr>
      <w:r w:rsidRPr="00B04DC3">
        <w:rPr>
          <w:szCs w:val="23"/>
        </w:rPr>
        <w:t>a.</w:t>
      </w:r>
      <w:r w:rsidRPr="00B04DC3">
        <w:rPr>
          <w:szCs w:val="23"/>
        </w:rPr>
        <w:tab/>
        <w:t>Emissions "x" hours/Emissions zero hours</w:t>
      </w:r>
    </w:p>
    <w:p w:rsidR="00C0100D" w:rsidRPr="00B04DC3" w:rsidRDefault="00C0100D" w:rsidP="00FE6E38">
      <w:pPr>
        <w:autoSpaceDE w:val="0"/>
        <w:autoSpaceDN w:val="0"/>
        <w:adjustRightInd w:val="0"/>
        <w:spacing w:after="120" w:line="260" w:lineRule="exact"/>
        <w:ind w:left="3997" w:hanging="567"/>
        <w:jc w:val="both"/>
        <w:rPr>
          <w:szCs w:val="23"/>
        </w:rPr>
      </w:pPr>
      <w:r w:rsidRPr="00B04DC3">
        <w:rPr>
          <w:szCs w:val="23"/>
        </w:rPr>
        <w:t>b.</w:t>
      </w:r>
      <w:r w:rsidRPr="00B04DC3">
        <w:rPr>
          <w:szCs w:val="23"/>
        </w:rPr>
        <w:tab/>
        <w:t>It may be less than one.</w:t>
      </w:r>
    </w:p>
    <w:p w:rsidR="00C0100D" w:rsidRPr="00B04DC3" w:rsidRDefault="00C0100D" w:rsidP="00441203">
      <w:pPr>
        <w:pStyle w:val="para"/>
        <w:rPr>
          <w:lang w:val="en-GB"/>
        </w:rPr>
      </w:pPr>
      <w:r w:rsidRPr="00B04DC3">
        <w:rPr>
          <w:lang w:val="en-GB"/>
        </w:rPr>
        <w:tab/>
        <w:t>The subsequent test engines will not be subjected to the running-in procedure, but their zero hour emissions will be modified by the evolution coefficient.</w:t>
      </w:r>
      <w:r w:rsidR="007400FB" w:rsidRPr="00B04DC3">
        <w:rPr>
          <w:lang w:val="en-GB"/>
        </w:rPr>
        <w:t xml:space="preserve"> </w:t>
      </w:r>
      <w:r w:rsidRPr="00B04DC3">
        <w:rPr>
          <w:lang w:val="en-GB"/>
        </w:rPr>
        <w:t>In this case, the values to be taken will be:</w:t>
      </w:r>
    </w:p>
    <w:p w:rsidR="00C0100D" w:rsidRPr="00B04DC3" w:rsidRDefault="00C0100D" w:rsidP="00441203">
      <w:pPr>
        <w:pStyle w:val="a"/>
        <w:rPr>
          <w:lang w:val="en-GB"/>
        </w:rPr>
      </w:pPr>
      <w:r w:rsidRPr="00B04DC3">
        <w:rPr>
          <w:lang w:val="en-GB"/>
        </w:rPr>
        <w:t>(a)</w:t>
      </w:r>
      <w:r w:rsidRPr="00B04DC3">
        <w:rPr>
          <w:lang w:val="en-GB"/>
        </w:rPr>
        <w:tab/>
      </w:r>
      <w:r w:rsidR="00441203" w:rsidRPr="00B04DC3">
        <w:rPr>
          <w:lang w:val="en-GB"/>
        </w:rPr>
        <w:t>T</w:t>
      </w:r>
      <w:r w:rsidRPr="00B04DC3">
        <w:rPr>
          <w:lang w:val="en-GB"/>
        </w:rPr>
        <w:t>he values at "x" hours for the first engine;</w:t>
      </w:r>
    </w:p>
    <w:p w:rsidR="00C0100D" w:rsidRPr="00B04DC3" w:rsidRDefault="00C0100D" w:rsidP="00441203">
      <w:pPr>
        <w:pStyle w:val="a"/>
        <w:rPr>
          <w:lang w:val="en-GB"/>
        </w:rPr>
      </w:pPr>
      <w:r w:rsidRPr="00B04DC3">
        <w:rPr>
          <w:lang w:val="en-GB"/>
        </w:rPr>
        <w:t>(b)</w:t>
      </w:r>
      <w:r w:rsidRPr="00B04DC3">
        <w:rPr>
          <w:lang w:val="en-GB"/>
        </w:rPr>
        <w:tab/>
      </w:r>
      <w:r w:rsidR="00441203" w:rsidRPr="00B04DC3">
        <w:rPr>
          <w:lang w:val="en-GB"/>
        </w:rPr>
        <w:t>T</w:t>
      </w:r>
      <w:r w:rsidRPr="00B04DC3">
        <w:rPr>
          <w:lang w:val="en-GB"/>
        </w:rPr>
        <w:t>he values at zero hour multiplied by the evolution coefficient for the other engines.</w:t>
      </w:r>
    </w:p>
    <w:p w:rsidR="00C0100D" w:rsidRPr="00AA0E48" w:rsidRDefault="00C0100D" w:rsidP="00441203">
      <w:pPr>
        <w:pStyle w:val="para"/>
        <w:rPr>
          <w:spacing w:val="4"/>
          <w:lang w:val="en-GB"/>
        </w:rPr>
      </w:pPr>
      <w:r w:rsidRPr="00AA0E48">
        <w:rPr>
          <w:spacing w:val="4"/>
          <w:lang w:val="en-GB"/>
        </w:rPr>
        <w:t>8.3.2.3.</w:t>
      </w:r>
      <w:r w:rsidRPr="00AA0E48">
        <w:rPr>
          <w:spacing w:val="4"/>
          <w:lang w:val="en-GB"/>
        </w:rPr>
        <w:tab/>
        <w:t>For diesel and LPG fuelled engines, all these tests may be conducted with commercial fuel</w:t>
      </w:r>
      <w:r w:rsidR="00401E79" w:rsidRPr="00AA0E48">
        <w:rPr>
          <w:spacing w:val="4"/>
          <w:lang w:val="en-GB"/>
        </w:rPr>
        <w:t xml:space="preserve">. </w:t>
      </w:r>
      <w:r w:rsidRPr="00AA0E48">
        <w:rPr>
          <w:spacing w:val="4"/>
          <w:lang w:val="en-GB"/>
        </w:rPr>
        <w:t>However, at the manufacturer's request, the reference fuels described in Annex 5 may be used</w:t>
      </w:r>
      <w:r w:rsidR="00401E79" w:rsidRPr="00AA0E48">
        <w:rPr>
          <w:spacing w:val="4"/>
          <w:lang w:val="en-GB"/>
        </w:rPr>
        <w:t xml:space="preserve">. </w:t>
      </w:r>
      <w:r w:rsidRPr="00AA0E48">
        <w:rPr>
          <w:spacing w:val="4"/>
          <w:lang w:val="en-GB"/>
        </w:rPr>
        <w:t>This implies tests, as described in paragraph 4., with at least two of the reference fuels for each gas engine.</w:t>
      </w:r>
    </w:p>
    <w:p w:rsidR="00C0100D" w:rsidRPr="00B04DC3" w:rsidRDefault="00C0100D" w:rsidP="00441203">
      <w:pPr>
        <w:pStyle w:val="para"/>
        <w:rPr>
          <w:lang w:val="en-GB"/>
        </w:rPr>
      </w:pPr>
      <w:r w:rsidRPr="00B04DC3">
        <w:rPr>
          <w:lang w:val="en-GB"/>
        </w:rPr>
        <w:t>8.3.2.4.</w:t>
      </w:r>
      <w:r w:rsidRPr="00B04DC3">
        <w:rPr>
          <w:lang w:val="en-GB"/>
        </w:rPr>
        <w:tab/>
        <w:t>For NG fuelled engines, all these tests may be conducted with commercial fuel in the following way:</w:t>
      </w:r>
    </w:p>
    <w:p w:rsidR="00C0100D" w:rsidRPr="00B04DC3" w:rsidRDefault="00C0100D" w:rsidP="00441203">
      <w:pPr>
        <w:pStyle w:val="a"/>
        <w:rPr>
          <w:lang w:val="en-GB"/>
        </w:rPr>
      </w:pPr>
      <w:r w:rsidRPr="00B04DC3">
        <w:rPr>
          <w:lang w:val="en-GB"/>
        </w:rPr>
        <w:t>(a)</w:t>
      </w:r>
      <w:r w:rsidRPr="00B04DC3">
        <w:rPr>
          <w:lang w:val="en-GB"/>
        </w:rPr>
        <w:tab/>
      </w:r>
      <w:r w:rsidR="00441203" w:rsidRPr="00B04DC3">
        <w:rPr>
          <w:lang w:val="en-GB"/>
        </w:rPr>
        <w:t>F</w:t>
      </w:r>
      <w:r w:rsidRPr="00B04DC3">
        <w:rPr>
          <w:lang w:val="en-GB"/>
        </w:rPr>
        <w:t>or H marked engines with a commercial fuel within the H-range (0.89 ≤ Sλ ≤ 1.00),</w:t>
      </w:r>
    </w:p>
    <w:p w:rsidR="00C0100D" w:rsidRPr="00B04DC3" w:rsidRDefault="00C0100D" w:rsidP="00441203">
      <w:pPr>
        <w:pStyle w:val="a"/>
        <w:rPr>
          <w:lang w:val="en-GB"/>
        </w:rPr>
      </w:pPr>
      <w:r w:rsidRPr="00B04DC3">
        <w:rPr>
          <w:lang w:val="en-GB"/>
        </w:rPr>
        <w:t>(b)</w:t>
      </w:r>
      <w:r w:rsidRPr="00B04DC3">
        <w:rPr>
          <w:lang w:val="en-GB"/>
        </w:rPr>
        <w:tab/>
      </w:r>
      <w:r w:rsidR="00441203" w:rsidRPr="00B04DC3">
        <w:rPr>
          <w:lang w:val="en-GB"/>
        </w:rPr>
        <w:t>F</w:t>
      </w:r>
      <w:r w:rsidRPr="00B04DC3">
        <w:rPr>
          <w:lang w:val="en-GB"/>
        </w:rPr>
        <w:t>or L marked engines with a commercial fuel within the L-range (1.00 ≤ Sλ ≤ 1.19),</w:t>
      </w:r>
    </w:p>
    <w:p w:rsidR="00C0100D" w:rsidRPr="00B04DC3" w:rsidRDefault="00C0100D" w:rsidP="00441203">
      <w:pPr>
        <w:pStyle w:val="a"/>
        <w:rPr>
          <w:lang w:val="en-GB"/>
        </w:rPr>
      </w:pPr>
      <w:r w:rsidRPr="00B04DC3">
        <w:rPr>
          <w:lang w:val="en-GB"/>
        </w:rPr>
        <w:t>(c)</w:t>
      </w:r>
      <w:r w:rsidRPr="00B04DC3">
        <w:rPr>
          <w:lang w:val="en-GB"/>
        </w:rPr>
        <w:tab/>
      </w:r>
      <w:r w:rsidR="00441203" w:rsidRPr="00B04DC3">
        <w:rPr>
          <w:lang w:val="en-GB"/>
        </w:rPr>
        <w:t>F</w:t>
      </w:r>
      <w:r w:rsidRPr="00B04DC3">
        <w:rPr>
          <w:lang w:val="en-GB"/>
        </w:rPr>
        <w:t>or HL marked engines with a commercial fuel within the extreme range of the λ</w:t>
      </w:r>
      <w:r w:rsidRPr="00B04DC3">
        <w:rPr>
          <w:lang w:val="en-GB"/>
        </w:rPr>
        <w:noBreakHyphen/>
        <w:t>shift factor (0.89 ≤ Sλ ≤ 1.19).</w:t>
      </w:r>
    </w:p>
    <w:p w:rsidR="00C0100D" w:rsidRPr="00B04DC3" w:rsidRDefault="00C0100D" w:rsidP="00441203">
      <w:pPr>
        <w:pStyle w:val="para"/>
        <w:rPr>
          <w:lang w:val="en-GB"/>
        </w:rPr>
      </w:pPr>
      <w:r w:rsidRPr="00B04DC3">
        <w:rPr>
          <w:lang w:val="en-GB"/>
        </w:rPr>
        <w:tab/>
        <w:t>However, at the manufacturer's request, the reference fuels described in Annex 5 may be used</w:t>
      </w:r>
      <w:r w:rsidR="00401E79" w:rsidRPr="00B04DC3">
        <w:rPr>
          <w:lang w:val="en-GB"/>
        </w:rPr>
        <w:t xml:space="preserve">. </w:t>
      </w:r>
      <w:r w:rsidRPr="00B04DC3">
        <w:rPr>
          <w:lang w:val="en-GB"/>
        </w:rPr>
        <w:t>This implies tests, as described in paragraph 4.</w:t>
      </w:r>
    </w:p>
    <w:p w:rsidR="00C0100D" w:rsidRPr="00B04DC3" w:rsidRDefault="00C0100D" w:rsidP="00441203">
      <w:pPr>
        <w:pStyle w:val="para"/>
        <w:rPr>
          <w:lang w:val="en-GB"/>
        </w:rPr>
      </w:pPr>
      <w:r w:rsidRPr="00B04DC3">
        <w:rPr>
          <w:lang w:val="en-GB"/>
        </w:rPr>
        <w:t>8.3.2.5.</w:t>
      </w:r>
      <w:r w:rsidRPr="00B04DC3">
        <w:rPr>
          <w:lang w:val="en-GB"/>
        </w:rPr>
        <w:tab/>
        <w:t>In the case of dispute caused by the non-compliance of gas fuelled engines when using a commercial fuel, the tests shall be performed with a reference fuel on which the parent engine has been tested, or with the possible additional fuel 3 as referred to in paragraphs 4.1.3.1. and 4.2.1.1. on which the parent engine may have been tested</w:t>
      </w:r>
      <w:r w:rsidR="00401E79" w:rsidRPr="00B04DC3">
        <w:rPr>
          <w:lang w:val="en-GB"/>
        </w:rPr>
        <w:t xml:space="preserve">. </w:t>
      </w:r>
      <w:r w:rsidRPr="00B04DC3">
        <w:rPr>
          <w:lang w:val="en-GB"/>
        </w:rPr>
        <w:t>Then, the result has to be converted by a calculation applying the relevant factor(s) "r", "r</w:t>
      </w:r>
      <w:r w:rsidRPr="00B04DC3">
        <w:rPr>
          <w:vertAlign w:val="subscript"/>
          <w:lang w:val="en-GB"/>
        </w:rPr>
        <w:t>a</w:t>
      </w:r>
      <w:r w:rsidRPr="00B04DC3">
        <w:rPr>
          <w:lang w:val="en-GB"/>
        </w:rPr>
        <w:t>" or "r</w:t>
      </w:r>
      <w:r w:rsidRPr="00B04DC3">
        <w:rPr>
          <w:vertAlign w:val="subscript"/>
          <w:lang w:val="en-GB"/>
        </w:rPr>
        <w:t>b</w:t>
      </w:r>
      <w:r w:rsidRPr="00B04DC3">
        <w:rPr>
          <w:lang w:val="en-GB"/>
        </w:rPr>
        <w:t>" as described in paragraphs 4.1.4., 4.1.5.1. and 4.2.1.2</w:t>
      </w:r>
      <w:r w:rsidR="00401E79" w:rsidRPr="00B04DC3">
        <w:rPr>
          <w:lang w:val="en-GB"/>
        </w:rPr>
        <w:t xml:space="preserve">. </w:t>
      </w:r>
      <w:r w:rsidRPr="00B04DC3">
        <w:rPr>
          <w:lang w:val="en-GB"/>
        </w:rPr>
        <w:t>If "r", "r</w:t>
      </w:r>
      <w:r w:rsidRPr="00B04DC3">
        <w:rPr>
          <w:vertAlign w:val="subscript"/>
          <w:lang w:val="en-GB"/>
        </w:rPr>
        <w:t>a</w:t>
      </w:r>
      <w:r w:rsidRPr="00B04DC3">
        <w:rPr>
          <w:lang w:val="en-GB"/>
        </w:rPr>
        <w:t>" or "r</w:t>
      </w:r>
      <w:r w:rsidRPr="00B04DC3">
        <w:rPr>
          <w:vertAlign w:val="subscript"/>
          <w:lang w:val="en-GB"/>
        </w:rPr>
        <w:t>b</w:t>
      </w:r>
      <w:r w:rsidRPr="00B04DC3">
        <w:rPr>
          <w:lang w:val="en-GB"/>
        </w:rPr>
        <w:t>" are less than 1 no correction shall take place</w:t>
      </w:r>
      <w:r w:rsidR="00401E79" w:rsidRPr="00B04DC3">
        <w:rPr>
          <w:lang w:val="en-GB"/>
        </w:rPr>
        <w:t xml:space="preserve">. </w:t>
      </w:r>
      <w:r w:rsidRPr="00B04DC3">
        <w:rPr>
          <w:lang w:val="en-GB"/>
        </w:rPr>
        <w:t>The measured results and the calculated results shall demonstrate that the engine meets the limit values with all relevant fuels (fuels 1, 2 and, if applicable, fuel 3 in the case of natural gas engines and fuels A and B in the case of LPG engines).</w:t>
      </w:r>
    </w:p>
    <w:p w:rsidR="00592A62" w:rsidRPr="00B04DC3" w:rsidRDefault="00592A62" w:rsidP="00441203">
      <w:pPr>
        <w:pStyle w:val="para"/>
        <w:rPr>
          <w:lang w:val="en-GB"/>
        </w:rPr>
      </w:pPr>
      <w:r w:rsidRPr="00B04DC3">
        <w:rPr>
          <w:lang w:val="en-GB"/>
        </w:rPr>
        <w:t>8.3.2.5.1.</w:t>
      </w:r>
      <w:r w:rsidRPr="00B04DC3">
        <w:rPr>
          <w:lang w:val="en-GB"/>
        </w:rPr>
        <w:tab/>
        <w:t>In the case of dispute caused by the non-compliance of engines approved for operating on LNG</w:t>
      </w:r>
      <w:r w:rsidRPr="00B04DC3">
        <w:rPr>
          <w:vertAlign w:val="subscript"/>
          <w:lang w:val="en-GB"/>
        </w:rPr>
        <w:t>20</w:t>
      </w:r>
      <w:r w:rsidRPr="00B04DC3">
        <w:rPr>
          <w:lang w:val="en-GB"/>
        </w:rPr>
        <w:t>, including dual-fuel engines, when using a market fuel, the tests shall be performed with G</w:t>
      </w:r>
      <w:r w:rsidRPr="00B04DC3">
        <w:rPr>
          <w:vertAlign w:val="subscript"/>
          <w:lang w:val="en-GB"/>
        </w:rPr>
        <w:t>20</w:t>
      </w:r>
      <w:r w:rsidRPr="00B04DC3">
        <w:rPr>
          <w:lang w:val="en-GB"/>
        </w:rPr>
        <w:t>, as specified in Annex 5.</w:t>
      </w:r>
    </w:p>
    <w:p w:rsidR="00C0100D" w:rsidRPr="00B04DC3" w:rsidRDefault="00C0100D" w:rsidP="00441203">
      <w:pPr>
        <w:pStyle w:val="para"/>
        <w:rPr>
          <w:lang w:val="en-GB"/>
        </w:rPr>
      </w:pPr>
      <w:r w:rsidRPr="00B04DC3">
        <w:rPr>
          <w:lang w:val="en-GB"/>
        </w:rPr>
        <w:t>8.3.2.6.</w:t>
      </w:r>
      <w:r w:rsidRPr="00B04DC3">
        <w:rPr>
          <w:lang w:val="en-GB"/>
        </w:rPr>
        <w:tab/>
        <w:t>Tests for conformity of production of a gas fuelled engine laid out for operation on one specific fuel composition shall be performed on the fuel for which the engine has been calibrated.</w:t>
      </w:r>
    </w:p>
    <w:p w:rsidR="00C0100D" w:rsidRPr="00B04DC3" w:rsidRDefault="00C0100D" w:rsidP="00AB712B">
      <w:pPr>
        <w:pStyle w:val="Heading1"/>
        <w:keepNext/>
      </w:pPr>
      <w:bookmarkStart w:id="51" w:name="_Toc399939875"/>
      <w:bookmarkStart w:id="52" w:name="_Toc423599459"/>
      <w:bookmarkStart w:id="53" w:name="_Toc423610867"/>
      <w:r w:rsidRPr="00CD7DCC">
        <w:t>Figure 2</w:t>
      </w:r>
      <w:bookmarkEnd w:id="51"/>
      <w:bookmarkEnd w:id="52"/>
      <w:bookmarkEnd w:id="53"/>
    </w:p>
    <w:p w:rsidR="00C0100D" w:rsidRPr="00B04DC3" w:rsidRDefault="00C0100D" w:rsidP="00AB712B">
      <w:pPr>
        <w:pStyle w:val="Heading1"/>
        <w:keepNext/>
        <w:rPr>
          <w:b/>
        </w:rPr>
      </w:pPr>
      <w:bookmarkStart w:id="54" w:name="_Toc399939876"/>
      <w:bookmarkStart w:id="55" w:name="_Toc423599460"/>
      <w:bookmarkStart w:id="56" w:name="_Toc423610868"/>
      <w:r w:rsidRPr="00B04DC3">
        <w:rPr>
          <w:b/>
        </w:rPr>
        <w:t>Schematic of production conformity testing</w:t>
      </w:r>
      <w:bookmarkEnd w:id="54"/>
      <w:bookmarkEnd w:id="55"/>
      <w:bookmarkEnd w:id="56"/>
    </w:p>
    <w:p w:rsidR="00C0100D" w:rsidRPr="00B04DC3" w:rsidRDefault="00A905B7" w:rsidP="00225716">
      <w:pPr>
        <w:pStyle w:val="NormalCentered"/>
        <w:numPr>
          <w:ilvl w:val="0"/>
          <w:numId w:val="0"/>
        </w:numPr>
        <w:spacing w:before="0" w:after="0"/>
        <w:ind w:left="1100"/>
        <w:jc w:val="left"/>
      </w:pPr>
      <w:r>
        <w:pict>
          <v:shape id="_x0000_i1041" type="#_x0000_t75" style="width:406.2pt;height:378.6pt" fillcolor="window">
            <v:imagedata r:id="rId47" o:title=""/>
          </v:shape>
        </w:pict>
      </w:r>
    </w:p>
    <w:p w:rsidR="00C0100D" w:rsidRPr="00B04DC3" w:rsidRDefault="00C0100D" w:rsidP="00B04DC3">
      <w:pPr>
        <w:pStyle w:val="para"/>
        <w:rPr>
          <w:lang w:val="en-GB"/>
        </w:rPr>
      </w:pPr>
      <w:r w:rsidRPr="00B04DC3">
        <w:rPr>
          <w:lang w:val="en-GB"/>
        </w:rPr>
        <w:t>8.4.</w:t>
      </w:r>
      <w:r w:rsidRPr="00B04DC3">
        <w:rPr>
          <w:lang w:val="en-GB"/>
        </w:rPr>
        <w:tab/>
      </w:r>
      <w:r w:rsidR="00441203" w:rsidRPr="00B04DC3">
        <w:rPr>
          <w:lang w:val="en-GB"/>
        </w:rPr>
        <w:tab/>
      </w:r>
      <w:r w:rsidRPr="00B04DC3">
        <w:rPr>
          <w:lang w:val="en-GB"/>
        </w:rPr>
        <w:t>On-board diagnostics (OBD)</w:t>
      </w:r>
    </w:p>
    <w:p w:rsidR="00C0100D" w:rsidRPr="00B04DC3" w:rsidRDefault="00C0100D" w:rsidP="00441203">
      <w:pPr>
        <w:pStyle w:val="para"/>
        <w:rPr>
          <w:lang w:val="en-GB"/>
        </w:rPr>
      </w:pPr>
      <w:r w:rsidRPr="00B04DC3">
        <w:rPr>
          <w:lang w:val="en-GB"/>
        </w:rPr>
        <w:t>8.4.1.</w:t>
      </w:r>
      <w:r w:rsidRPr="00B04DC3">
        <w:rPr>
          <w:lang w:val="en-GB"/>
        </w:rPr>
        <w:tab/>
        <w:t>If a verification of the conformity of production of the OBD system is to be carried out, it shall be conducted in accordance with the following:</w:t>
      </w:r>
    </w:p>
    <w:p w:rsidR="00C0100D" w:rsidRPr="00B04DC3" w:rsidRDefault="00C0100D" w:rsidP="00441203">
      <w:pPr>
        <w:pStyle w:val="para"/>
        <w:rPr>
          <w:lang w:val="en-GB"/>
        </w:rPr>
      </w:pPr>
      <w:r w:rsidRPr="00B04DC3">
        <w:rPr>
          <w:lang w:val="en-GB"/>
        </w:rPr>
        <w:t>8.4.2.</w:t>
      </w:r>
      <w:r w:rsidRPr="00B04DC3">
        <w:rPr>
          <w:lang w:val="en-GB"/>
        </w:rPr>
        <w:tab/>
        <w:t xml:space="preserve">When the </w:t>
      </w:r>
      <w:r w:rsidR="005D056E">
        <w:rPr>
          <w:lang w:val="en-GB"/>
        </w:rPr>
        <w:t xml:space="preserve">Type </w:t>
      </w:r>
      <w:r w:rsidRPr="00B04DC3">
        <w:rPr>
          <w:lang w:val="en-GB"/>
        </w:rPr>
        <w:t>Approval Authority determines that the quality of production seems unsatisfactory an engine is randomly taken from the series and subjected to the tests described in Appendix 1 to Annex 9A to this Regulation</w:t>
      </w:r>
      <w:r w:rsidR="00401E79" w:rsidRPr="00B04DC3">
        <w:rPr>
          <w:lang w:val="en-GB"/>
        </w:rPr>
        <w:t xml:space="preserve">. </w:t>
      </w:r>
      <w:r w:rsidRPr="00B04DC3">
        <w:rPr>
          <w:lang w:val="en-GB"/>
        </w:rPr>
        <w:t>The tests may be carried out on an engine that has been run-in up to a maximum of 100 hours.</w:t>
      </w:r>
    </w:p>
    <w:p w:rsidR="00C0100D" w:rsidRPr="00B04DC3" w:rsidRDefault="00C0100D" w:rsidP="00441203">
      <w:pPr>
        <w:pStyle w:val="para"/>
        <w:rPr>
          <w:lang w:val="en-GB"/>
        </w:rPr>
      </w:pPr>
      <w:r w:rsidRPr="00B04DC3">
        <w:rPr>
          <w:lang w:val="en-GB"/>
        </w:rPr>
        <w:t>8.4.3.</w:t>
      </w:r>
      <w:r w:rsidRPr="00B04DC3">
        <w:rPr>
          <w:lang w:val="en-GB"/>
        </w:rPr>
        <w:tab/>
        <w:t>The production is deemed to conform if this engine meets the requirements of the tests described in Appendix 1 to Annex 9A to this Regulation.</w:t>
      </w:r>
    </w:p>
    <w:p w:rsidR="00C0100D" w:rsidRPr="00B04DC3" w:rsidRDefault="00C0100D" w:rsidP="00441203">
      <w:pPr>
        <w:pStyle w:val="para"/>
        <w:rPr>
          <w:lang w:val="en-GB"/>
        </w:rPr>
      </w:pPr>
      <w:r w:rsidRPr="00B04DC3">
        <w:rPr>
          <w:lang w:val="en-GB"/>
        </w:rPr>
        <w:t>8.4.4</w:t>
      </w:r>
      <w:r w:rsidRPr="00B04DC3">
        <w:rPr>
          <w:lang w:val="en-GB"/>
        </w:rPr>
        <w:tab/>
        <w:t>If the engine taken from the series does not satisfy the requirements of paragraph 8.4.2., a further random sample of four engines shall be taken from the series and subjected to the tests described in Appendix 1 to Annex 9A to this Regulation</w:t>
      </w:r>
      <w:r w:rsidR="00401E79" w:rsidRPr="00B04DC3">
        <w:rPr>
          <w:lang w:val="en-GB"/>
        </w:rPr>
        <w:t xml:space="preserve">. </w:t>
      </w:r>
      <w:r w:rsidRPr="00B04DC3">
        <w:rPr>
          <w:lang w:val="en-GB"/>
        </w:rPr>
        <w:t>The tests may be carried out on engines that have been run-in up to a maximum of 100 hours.</w:t>
      </w:r>
    </w:p>
    <w:p w:rsidR="00C0100D" w:rsidRPr="00B04DC3" w:rsidRDefault="00C0100D" w:rsidP="00441203">
      <w:pPr>
        <w:pStyle w:val="para"/>
        <w:rPr>
          <w:lang w:val="en-GB"/>
        </w:rPr>
      </w:pPr>
      <w:r w:rsidRPr="00B04DC3">
        <w:rPr>
          <w:lang w:val="en-GB"/>
        </w:rPr>
        <w:t>8.4.5.</w:t>
      </w:r>
      <w:r w:rsidRPr="00B04DC3">
        <w:rPr>
          <w:lang w:val="en-GB"/>
        </w:rPr>
        <w:tab/>
        <w:t>The production is deemed to conform if at least three engines out of the further random sample of four engines meet the requirements of the tests described in Appendix 1 to Annex 9A to this Regulation.</w:t>
      </w:r>
    </w:p>
    <w:p w:rsidR="00C0100D" w:rsidRPr="00B04DC3" w:rsidRDefault="00441203" w:rsidP="00B04DC3">
      <w:pPr>
        <w:pStyle w:val="HChG"/>
      </w:pPr>
      <w:r w:rsidRPr="00B04DC3">
        <w:tab/>
      </w:r>
      <w:r w:rsidRPr="00B04DC3">
        <w:tab/>
      </w:r>
      <w:bookmarkStart w:id="57" w:name="_Toc423599461"/>
      <w:bookmarkStart w:id="58" w:name="_Toc423610869"/>
      <w:r w:rsidR="00C0100D" w:rsidRPr="00B04DC3">
        <w:t>9.</w:t>
      </w:r>
      <w:r w:rsidR="00C0100D" w:rsidRPr="00B04DC3">
        <w:tab/>
      </w:r>
      <w:r w:rsidRPr="00B04DC3">
        <w:tab/>
      </w:r>
      <w:r w:rsidR="00C0100D" w:rsidRPr="00B04DC3">
        <w:t>C</w:t>
      </w:r>
      <w:r w:rsidRPr="00B04DC3">
        <w:t xml:space="preserve">onformity of </w:t>
      </w:r>
      <w:r w:rsidR="00CD7DCC" w:rsidRPr="00B04DC3">
        <w:t>in</w:t>
      </w:r>
      <w:r w:rsidR="00CD7DCC">
        <w:t>-</w:t>
      </w:r>
      <w:r w:rsidRPr="00B04DC3">
        <w:t>service vehicles/engines</w:t>
      </w:r>
      <w:bookmarkEnd w:id="57"/>
      <w:bookmarkEnd w:id="58"/>
    </w:p>
    <w:p w:rsidR="00C0100D" w:rsidRPr="00B04DC3" w:rsidRDefault="00C0100D" w:rsidP="00441203">
      <w:pPr>
        <w:pStyle w:val="para"/>
        <w:rPr>
          <w:lang w:val="en-GB"/>
        </w:rPr>
      </w:pPr>
      <w:r w:rsidRPr="00B04DC3">
        <w:rPr>
          <w:lang w:val="en-GB"/>
        </w:rPr>
        <w:t>9.1.</w:t>
      </w:r>
      <w:r w:rsidRPr="00B04DC3">
        <w:rPr>
          <w:lang w:val="en-GB"/>
        </w:rPr>
        <w:tab/>
        <w:t>For the purpose of this Regulation, the conformity of in-service vehicles/engines shall be checked periodically over the useful life period of an engine installed in a vehicle.</w:t>
      </w:r>
    </w:p>
    <w:p w:rsidR="00C0100D" w:rsidRPr="00B04DC3" w:rsidRDefault="00C0100D" w:rsidP="00441203">
      <w:pPr>
        <w:pStyle w:val="para"/>
        <w:rPr>
          <w:lang w:val="en-GB"/>
        </w:rPr>
      </w:pPr>
      <w:r w:rsidRPr="00B04DC3">
        <w:rPr>
          <w:lang w:val="en-GB"/>
        </w:rPr>
        <w:t>9.2.</w:t>
      </w:r>
      <w:r w:rsidRPr="00B04DC3">
        <w:rPr>
          <w:lang w:val="en-GB"/>
        </w:rPr>
        <w:tab/>
        <w:t>With reference to approvals granted for emissions, additional measures are appropriate for confirming the functionality of the emission control devices during the useful life of an engine installed in a vehicle under normal conditions of use.</w:t>
      </w:r>
    </w:p>
    <w:p w:rsidR="00C0100D" w:rsidRPr="00B04DC3" w:rsidRDefault="00C0100D" w:rsidP="00441203">
      <w:pPr>
        <w:pStyle w:val="para"/>
        <w:rPr>
          <w:lang w:val="en-GB"/>
        </w:rPr>
      </w:pPr>
      <w:r w:rsidRPr="00B04DC3">
        <w:rPr>
          <w:lang w:val="en-GB"/>
        </w:rPr>
        <w:t>9.3.</w:t>
      </w:r>
      <w:r w:rsidRPr="00B04DC3">
        <w:rPr>
          <w:lang w:val="en-GB"/>
        </w:rPr>
        <w:tab/>
        <w:t>The procedures to be followed regarding the conformity of in-service vehicles/engines are given in Annex 8 to this Regulation.</w:t>
      </w:r>
    </w:p>
    <w:p w:rsidR="00C0100D" w:rsidRPr="00B04DC3" w:rsidRDefault="00441203" w:rsidP="00B04DC3">
      <w:pPr>
        <w:pStyle w:val="HChG"/>
      </w:pPr>
      <w:r w:rsidRPr="00B04DC3">
        <w:tab/>
      </w:r>
      <w:r w:rsidRPr="00B04DC3">
        <w:tab/>
      </w:r>
      <w:bookmarkStart w:id="59" w:name="_Toc423599462"/>
      <w:bookmarkStart w:id="60" w:name="_Toc423610870"/>
      <w:r w:rsidR="00C0100D" w:rsidRPr="00B04DC3">
        <w:t>10.</w:t>
      </w:r>
      <w:r w:rsidR="00C0100D" w:rsidRPr="00B04DC3">
        <w:tab/>
      </w:r>
      <w:r w:rsidRPr="00B04DC3">
        <w:tab/>
      </w:r>
      <w:r w:rsidR="00C0100D" w:rsidRPr="00B04DC3">
        <w:t>P</w:t>
      </w:r>
      <w:r w:rsidRPr="00B04DC3">
        <w:t>enalties for non-conformity of production</w:t>
      </w:r>
      <w:bookmarkEnd w:id="59"/>
      <w:bookmarkEnd w:id="60"/>
    </w:p>
    <w:p w:rsidR="00C0100D" w:rsidRPr="00B04DC3" w:rsidRDefault="00C0100D" w:rsidP="00441203">
      <w:pPr>
        <w:pStyle w:val="para"/>
        <w:rPr>
          <w:lang w:val="en-GB"/>
        </w:rPr>
      </w:pPr>
      <w:r w:rsidRPr="00B04DC3">
        <w:rPr>
          <w:lang w:val="en-GB"/>
        </w:rPr>
        <w:t>10.1.</w:t>
      </w:r>
      <w:r w:rsidRPr="00B04DC3">
        <w:rPr>
          <w:lang w:val="en-GB"/>
        </w:rPr>
        <w:tab/>
        <w:t>The approval granted in respect of an engine or vehicle type pursuant to this Regulation may be withdrawn if the requirements laid down in paragraph 8.1. are not complied with, or if the engine(s) or vehicle(s) taken fail to pass the tests prescribed in paragraph 8.3.</w:t>
      </w:r>
    </w:p>
    <w:p w:rsidR="00C0100D" w:rsidRPr="00B04DC3" w:rsidRDefault="00C0100D" w:rsidP="00441203">
      <w:pPr>
        <w:pStyle w:val="para"/>
        <w:rPr>
          <w:lang w:val="en-GB"/>
        </w:rPr>
      </w:pPr>
      <w:r w:rsidRPr="00B04DC3">
        <w:rPr>
          <w:lang w:val="en-GB"/>
        </w:rPr>
        <w:t>10.2.</w:t>
      </w:r>
      <w:r w:rsidRPr="00B04DC3">
        <w:rPr>
          <w:lang w:val="en-GB"/>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w:t>
      </w:r>
      <w:r w:rsidR="00CD7DCC">
        <w:rPr>
          <w:lang w:val="en-GB"/>
        </w:rPr>
        <w:t>of</w:t>
      </w:r>
      <w:r w:rsidR="00CD7DCC" w:rsidRPr="00B04DC3">
        <w:rPr>
          <w:lang w:val="en-GB"/>
        </w:rPr>
        <w:t xml:space="preserve"> </w:t>
      </w:r>
      <w:r w:rsidRPr="00B04DC3">
        <w:rPr>
          <w:lang w:val="en-GB"/>
        </w:rPr>
        <w:t>Annexes 2A or 2B to this Regulation.</w:t>
      </w:r>
    </w:p>
    <w:p w:rsidR="00C0100D" w:rsidRPr="00B04DC3" w:rsidRDefault="00B04DC3" w:rsidP="00B04DC3">
      <w:pPr>
        <w:pStyle w:val="HChG"/>
        <w:tabs>
          <w:tab w:val="left" w:pos="1134"/>
        </w:tabs>
        <w:ind w:left="2268" w:hanging="2268"/>
      </w:pPr>
      <w:r w:rsidRPr="00B04DC3">
        <w:tab/>
      </w:r>
      <w:r w:rsidRPr="00B04DC3">
        <w:tab/>
      </w:r>
      <w:bookmarkStart w:id="61" w:name="_Toc423599463"/>
      <w:bookmarkStart w:id="62" w:name="_Toc423610871"/>
      <w:r w:rsidR="00C0100D" w:rsidRPr="00B04DC3">
        <w:t>11.</w:t>
      </w:r>
      <w:r w:rsidR="00C0100D" w:rsidRPr="00B04DC3">
        <w:tab/>
      </w:r>
      <w:r w:rsidRPr="00B04DC3">
        <w:tab/>
      </w:r>
      <w:r w:rsidR="00441203" w:rsidRPr="00B04DC3">
        <w:t>Modification and extension of approval of the approved type</w:t>
      </w:r>
      <w:bookmarkEnd w:id="61"/>
      <w:bookmarkEnd w:id="62"/>
    </w:p>
    <w:p w:rsidR="00C0100D" w:rsidRPr="00B04DC3" w:rsidRDefault="00C0100D" w:rsidP="00441203">
      <w:pPr>
        <w:pStyle w:val="para"/>
        <w:rPr>
          <w:lang w:val="en-GB"/>
        </w:rPr>
      </w:pPr>
      <w:r w:rsidRPr="00B04DC3">
        <w:rPr>
          <w:lang w:val="en-GB"/>
        </w:rPr>
        <w:t>11.1.</w:t>
      </w:r>
      <w:r w:rsidRPr="00B04DC3">
        <w:rPr>
          <w:lang w:val="en-GB"/>
        </w:rPr>
        <w:tab/>
        <w:t>Every modification of the approved type shall be notified to the</w:t>
      </w:r>
      <w:r w:rsidR="00B04DC3" w:rsidRPr="00B04DC3">
        <w:rPr>
          <w:lang w:val="en-GB"/>
        </w:rPr>
        <w:t xml:space="preserve"> </w:t>
      </w:r>
      <w:r w:rsidR="00B04DC3">
        <w:rPr>
          <w:lang w:val="en-GB"/>
        </w:rPr>
        <w:t xml:space="preserve">Type Approval Authority </w:t>
      </w:r>
      <w:r w:rsidRPr="00B04DC3">
        <w:rPr>
          <w:lang w:val="en-GB"/>
        </w:rPr>
        <w:t>which approved the type</w:t>
      </w:r>
      <w:r w:rsidR="00401E79" w:rsidRPr="00B04DC3">
        <w:rPr>
          <w:lang w:val="en-GB"/>
        </w:rPr>
        <w:t xml:space="preserve">. </w:t>
      </w:r>
      <w:r w:rsidRPr="00B04DC3">
        <w:rPr>
          <w:lang w:val="en-GB"/>
        </w:rPr>
        <w:t>The</w:t>
      </w:r>
      <w:r w:rsidR="00B04DC3">
        <w:rPr>
          <w:lang w:val="en-GB"/>
        </w:rPr>
        <w:t xml:space="preserve"> Type Approval Authority </w:t>
      </w:r>
      <w:r w:rsidRPr="00B04DC3">
        <w:rPr>
          <w:lang w:val="en-GB"/>
        </w:rPr>
        <w:t>may then either:</w:t>
      </w:r>
    </w:p>
    <w:p w:rsidR="00C0100D" w:rsidRPr="00B04DC3" w:rsidRDefault="00C0100D" w:rsidP="00441203">
      <w:pPr>
        <w:pStyle w:val="para"/>
        <w:rPr>
          <w:lang w:val="en-GB"/>
        </w:rPr>
      </w:pPr>
      <w:r w:rsidRPr="00B04DC3">
        <w:rPr>
          <w:lang w:val="en-GB"/>
        </w:rPr>
        <w:t>11.1.1.</w:t>
      </w:r>
      <w:r w:rsidRPr="00B04DC3">
        <w:rPr>
          <w:lang w:val="en-GB"/>
        </w:rPr>
        <w:tab/>
        <w:t>Consider that the modifications made are unlikely to have an appreciable adverse effect and that in any case the modified type still complies with the requirement; or</w:t>
      </w:r>
    </w:p>
    <w:p w:rsidR="00C0100D" w:rsidRPr="00B04DC3" w:rsidRDefault="00C0100D" w:rsidP="00441203">
      <w:pPr>
        <w:pStyle w:val="para"/>
        <w:rPr>
          <w:lang w:val="en-GB"/>
        </w:rPr>
      </w:pPr>
      <w:r w:rsidRPr="00B04DC3">
        <w:rPr>
          <w:lang w:val="en-GB"/>
        </w:rPr>
        <w:t>11.1.2.</w:t>
      </w:r>
      <w:r w:rsidRPr="00B04DC3">
        <w:rPr>
          <w:lang w:val="en-GB"/>
        </w:rPr>
        <w:tab/>
        <w:t>Require a further test report from the Technical Service conducting the tests.</w:t>
      </w:r>
    </w:p>
    <w:p w:rsidR="00C0100D" w:rsidRPr="00B04DC3" w:rsidRDefault="00C0100D" w:rsidP="00441203">
      <w:pPr>
        <w:pStyle w:val="para"/>
        <w:rPr>
          <w:lang w:val="en-GB"/>
        </w:rPr>
      </w:pPr>
      <w:r w:rsidRPr="00B04DC3">
        <w:rPr>
          <w:lang w:val="en-GB"/>
        </w:rPr>
        <w:t>11.2.</w:t>
      </w:r>
      <w:r w:rsidRPr="00B04DC3">
        <w:rPr>
          <w:lang w:val="en-GB"/>
        </w:rPr>
        <w:tab/>
        <w:t>Confirmation or refusal of approval, specifying the alterations, shall be communicated by the procedure specified in paragraph 4.5. to the Contracting Parties to the Agreement applying this Regulation.</w:t>
      </w:r>
    </w:p>
    <w:p w:rsidR="00C0100D" w:rsidRPr="00B04DC3" w:rsidRDefault="00C0100D" w:rsidP="00441203">
      <w:pPr>
        <w:pStyle w:val="para"/>
        <w:rPr>
          <w:lang w:val="en-GB"/>
        </w:rPr>
      </w:pPr>
      <w:r w:rsidRPr="00B04DC3">
        <w:rPr>
          <w:lang w:val="en-GB"/>
        </w:rPr>
        <w:t>11.3.</w:t>
      </w:r>
      <w:r w:rsidRPr="00B04DC3">
        <w:rPr>
          <w:lang w:val="en-GB"/>
        </w:rPr>
        <w:tab/>
        <w:t>The</w:t>
      </w:r>
      <w:r w:rsidR="00B04DC3">
        <w:rPr>
          <w:lang w:val="en-GB"/>
        </w:rPr>
        <w:t xml:space="preserve"> Type Approval Authority </w:t>
      </w:r>
      <w:r w:rsidRPr="00B04DC3">
        <w:rPr>
          <w:lang w:val="en-GB"/>
        </w:rPr>
        <w:t xml:space="preserve">issuing the extension of approval shall assign a series number for such an extension and inform thereof the other Parties to the 1958 Agreement applying this Regulation by means of a communication form conforming to the model </w:t>
      </w:r>
      <w:r w:rsidR="00CD7DCC">
        <w:rPr>
          <w:lang w:val="en-GB"/>
        </w:rPr>
        <w:t>of</w:t>
      </w:r>
      <w:r w:rsidRPr="00B04DC3">
        <w:rPr>
          <w:lang w:val="en-GB"/>
        </w:rPr>
        <w:t xml:space="preserve"> Annexes 2A or 2B to this Regulation.</w:t>
      </w:r>
    </w:p>
    <w:p w:rsidR="00C0100D" w:rsidRPr="00B04DC3" w:rsidRDefault="00441203" w:rsidP="00CD7DCC">
      <w:pPr>
        <w:pStyle w:val="HChG"/>
      </w:pPr>
      <w:r w:rsidRPr="00B04DC3">
        <w:tab/>
      </w:r>
      <w:r w:rsidRPr="00B04DC3">
        <w:tab/>
      </w:r>
      <w:bookmarkStart w:id="63" w:name="_Toc423599464"/>
      <w:bookmarkStart w:id="64" w:name="_Toc423610872"/>
      <w:r w:rsidR="00C0100D" w:rsidRPr="00B04DC3">
        <w:t>12.</w:t>
      </w:r>
      <w:r w:rsidR="00C0100D" w:rsidRPr="00B04DC3">
        <w:tab/>
      </w:r>
      <w:r w:rsidRPr="00B04DC3">
        <w:tab/>
      </w:r>
      <w:r w:rsidR="00C0100D" w:rsidRPr="00B04DC3">
        <w:t>P</w:t>
      </w:r>
      <w:r w:rsidRPr="00B04DC3">
        <w:t>roduction definitively discontinued</w:t>
      </w:r>
      <w:bookmarkEnd w:id="63"/>
      <w:bookmarkEnd w:id="64"/>
    </w:p>
    <w:p w:rsidR="00C0100D" w:rsidRPr="00B04DC3" w:rsidRDefault="00C0100D" w:rsidP="00441203">
      <w:pPr>
        <w:pStyle w:val="para"/>
        <w:rPr>
          <w:lang w:val="en-GB"/>
        </w:rPr>
      </w:pPr>
      <w:r w:rsidRPr="00B04DC3">
        <w:rPr>
          <w:lang w:val="en-GB"/>
        </w:rPr>
        <w:tab/>
        <w:t>If the holder of the approval completely ceases to manufacture the type approved in accordance with this Regulation, he shall so inform the</w:t>
      </w:r>
      <w:r w:rsidR="00B04DC3">
        <w:rPr>
          <w:lang w:val="en-GB"/>
        </w:rPr>
        <w:t xml:space="preserve"> Type Approval Authority </w:t>
      </w:r>
      <w:r w:rsidRPr="00B04DC3">
        <w:rPr>
          <w:lang w:val="en-GB"/>
        </w:rPr>
        <w:t>which granted the approval</w:t>
      </w:r>
      <w:r w:rsidR="00401E79" w:rsidRPr="00B04DC3">
        <w:rPr>
          <w:lang w:val="en-GB"/>
        </w:rPr>
        <w:t xml:space="preserve">. </w:t>
      </w:r>
      <w:r w:rsidRPr="00B04DC3">
        <w:rPr>
          <w:lang w:val="en-GB"/>
        </w:rPr>
        <w:t xml:space="preserve">Upon receiving the relevant communication that </w:t>
      </w:r>
      <w:r w:rsidR="0055021A">
        <w:rPr>
          <w:lang w:val="en-GB"/>
        </w:rPr>
        <w:t>A</w:t>
      </w:r>
      <w:r w:rsidR="0055021A" w:rsidRPr="00B04DC3">
        <w:rPr>
          <w:lang w:val="en-GB"/>
        </w:rPr>
        <w:t xml:space="preserve">uthority </w:t>
      </w:r>
      <w:r w:rsidRPr="00B04DC3">
        <w:rPr>
          <w:lang w:val="en-GB"/>
        </w:rPr>
        <w:t xml:space="preserve">shall inform thereof the other Parties to the 1958 Agreement which apply this Regulation by means of a communication form conforming to the model </w:t>
      </w:r>
      <w:r w:rsidR="00CD7DCC">
        <w:rPr>
          <w:lang w:val="en-GB"/>
        </w:rPr>
        <w:t>of</w:t>
      </w:r>
      <w:r w:rsidR="00CD7DCC" w:rsidRPr="00B04DC3">
        <w:rPr>
          <w:lang w:val="en-GB"/>
        </w:rPr>
        <w:t xml:space="preserve"> </w:t>
      </w:r>
      <w:r w:rsidRPr="00B04DC3">
        <w:rPr>
          <w:lang w:val="en-GB"/>
        </w:rPr>
        <w:t>Annexes 2A or 2B to this Regulation.</w:t>
      </w:r>
    </w:p>
    <w:p w:rsidR="00C0100D" w:rsidRPr="00B04DC3" w:rsidRDefault="00B47485" w:rsidP="00B04DC3">
      <w:pPr>
        <w:pStyle w:val="HChG"/>
      </w:pPr>
      <w:r w:rsidRPr="00B04DC3">
        <w:tab/>
      </w:r>
      <w:r w:rsidRPr="00B04DC3">
        <w:tab/>
      </w:r>
      <w:bookmarkStart w:id="65" w:name="_Toc423599465"/>
      <w:bookmarkStart w:id="66" w:name="_Toc423610873"/>
      <w:r w:rsidR="00C0100D" w:rsidRPr="00B04DC3">
        <w:t>13.</w:t>
      </w:r>
      <w:r w:rsidR="00C0100D" w:rsidRPr="00B04DC3">
        <w:tab/>
      </w:r>
      <w:r w:rsidRPr="00B04DC3">
        <w:tab/>
        <w:t>Transitional provisions</w:t>
      </w:r>
      <w:bookmarkEnd w:id="65"/>
      <w:bookmarkEnd w:id="66"/>
    </w:p>
    <w:p w:rsidR="00C0100D" w:rsidRPr="00B04DC3" w:rsidRDefault="00C0100D" w:rsidP="00B04DC3">
      <w:pPr>
        <w:pStyle w:val="para"/>
      </w:pPr>
      <w:r w:rsidRPr="00B04DC3">
        <w:t>13.1.</w:t>
      </w:r>
      <w:r w:rsidRPr="00B04DC3">
        <w:tab/>
      </w:r>
      <w:r w:rsidR="00B47485" w:rsidRPr="00B04DC3">
        <w:tab/>
      </w:r>
      <w:r w:rsidRPr="00B04DC3">
        <w:t>General</w:t>
      </w:r>
    </w:p>
    <w:p w:rsidR="00C0100D" w:rsidRPr="00AA0E48" w:rsidRDefault="00C0100D" w:rsidP="00B47485">
      <w:pPr>
        <w:pStyle w:val="para"/>
        <w:rPr>
          <w:lang w:val="en-GB"/>
        </w:rPr>
      </w:pPr>
      <w:r w:rsidRPr="00B04DC3">
        <w:rPr>
          <w:lang w:val="en-GB"/>
        </w:rPr>
        <w:t>13.1.1.</w:t>
      </w:r>
      <w:r w:rsidRPr="00B04DC3">
        <w:rPr>
          <w:lang w:val="en-GB"/>
        </w:rPr>
        <w:tab/>
        <w:t xml:space="preserve">As from the official date of entry into force of the 05 series of amendments, no Contracting Party applying this Regulation may refuse to grant </w:t>
      </w:r>
      <w:r w:rsidRPr="00AA0E48">
        <w:rPr>
          <w:lang w:val="en-GB"/>
        </w:rPr>
        <w:t>ECE approval under this Regulation as amended by the 05 series of amendments.</w:t>
      </w:r>
    </w:p>
    <w:p w:rsidR="00C0100D" w:rsidRPr="00B04DC3" w:rsidRDefault="00C0100D" w:rsidP="00B47485">
      <w:pPr>
        <w:pStyle w:val="para"/>
        <w:rPr>
          <w:lang w:val="en-GB"/>
        </w:rPr>
      </w:pPr>
      <w:r w:rsidRPr="00AA0E48">
        <w:rPr>
          <w:lang w:val="en-GB"/>
        </w:rPr>
        <w:t>13.1.2.</w:t>
      </w:r>
      <w:r w:rsidRPr="00AA0E48">
        <w:rPr>
          <w:lang w:val="en-GB"/>
        </w:rPr>
        <w:tab/>
        <w:t>As from the date of entry into force of the 05 series of amendments, Contracting Parties applying this Regulation shall grant ECE</w:t>
      </w:r>
      <w:r w:rsidRPr="00B04DC3">
        <w:rPr>
          <w:lang w:val="en-GB"/>
        </w:rPr>
        <w:t xml:space="preserve"> approvals only if the engine meets the requirements of this Regulation as amended by the 05 series of amendments.</w:t>
      </w:r>
    </w:p>
    <w:p w:rsidR="00C0100D" w:rsidRPr="00B04DC3" w:rsidRDefault="00C0100D" w:rsidP="00B47485">
      <w:pPr>
        <w:pStyle w:val="para"/>
        <w:rPr>
          <w:lang w:val="en-GB"/>
        </w:rPr>
      </w:pPr>
      <w:r w:rsidRPr="00B04DC3">
        <w:rPr>
          <w:lang w:val="en-GB"/>
        </w:rPr>
        <w:tab/>
        <w:t>The engine shall be subject to the relevant tests set out in paragraph 5. and shall comply with paragraphs 13.2.1., 13.2.2. and 13.2.3.</w:t>
      </w:r>
    </w:p>
    <w:p w:rsidR="00C0100D" w:rsidRPr="00B04DC3" w:rsidRDefault="00B04DC3" w:rsidP="00B04DC3">
      <w:pPr>
        <w:pStyle w:val="para"/>
      </w:pPr>
      <w:r>
        <w:t>1</w:t>
      </w:r>
      <w:r w:rsidR="00C0100D" w:rsidRPr="00B04DC3">
        <w:t>3.2.</w:t>
      </w:r>
      <w:r w:rsidR="00C0100D" w:rsidRPr="00B04DC3">
        <w:tab/>
      </w:r>
      <w:r w:rsidR="00B47485" w:rsidRPr="00B04DC3">
        <w:tab/>
      </w:r>
      <w:r w:rsidR="00C0100D" w:rsidRPr="00B04DC3">
        <w:t>New type approvals</w:t>
      </w:r>
    </w:p>
    <w:p w:rsidR="00C0100D" w:rsidRPr="00B04DC3" w:rsidRDefault="00C0100D" w:rsidP="00B47485">
      <w:pPr>
        <w:pStyle w:val="para"/>
        <w:rPr>
          <w:lang w:val="en-GB"/>
        </w:rPr>
      </w:pPr>
      <w:r w:rsidRPr="00B04DC3">
        <w:rPr>
          <w:lang w:val="en-GB"/>
        </w:rPr>
        <w:t>13.2.1.</w:t>
      </w:r>
      <w:r w:rsidRPr="00B04DC3">
        <w:rPr>
          <w:lang w:val="en-GB"/>
        </w:rPr>
        <w:tab/>
        <w:t>Notwithstanding the provisions of paragraphs 13.4. and 13.5., Contracting Parties applying this Regulation shall, from the date of entry into force of the 05 series of amendments to this Regulation, grant an ECE approval to an engine only if that engine satisfies:</w:t>
      </w:r>
    </w:p>
    <w:p w:rsidR="00C0100D" w:rsidRPr="00B04DC3" w:rsidRDefault="00C0100D" w:rsidP="00B47485">
      <w:pPr>
        <w:pStyle w:val="a"/>
        <w:rPr>
          <w:lang w:val="en-GB"/>
        </w:rPr>
      </w:pPr>
      <w:r w:rsidRPr="00B04DC3">
        <w:rPr>
          <w:lang w:val="en-GB"/>
        </w:rPr>
        <w:t>(a)</w:t>
      </w:r>
      <w:r w:rsidRPr="00B04DC3">
        <w:rPr>
          <w:lang w:val="en-GB"/>
        </w:rPr>
        <w:tab/>
      </w:r>
      <w:r w:rsidR="00B47485" w:rsidRPr="00B04DC3">
        <w:rPr>
          <w:lang w:val="en-GB"/>
        </w:rPr>
        <w:t>T</w:t>
      </w:r>
      <w:r w:rsidRPr="00B04DC3">
        <w:rPr>
          <w:lang w:val="en-GB"/>
        </w:rPr>
        <w:t xml:space="preserve">he relevant emission limits of </w:t>
      </w:r>
      <w:r w:rsidR="00CD7DCC">
        <w:rPr>
          <w:lang w:val="en-GB"/>
        </w:rPr>
        <w:t>row</w:t>
      </w:r>
      <w:r w:rsidR="00CD7DCC" w:rsidRPr="00B04DC3">
        <w:rPr>
          <w:lang w:val="en-GB"/>
        </w:rPr>
        <w:t xml:space="preserve"> </w:t>
      </w:r>
      <w:r w:rsidRPr="00B04DC3">
        <w:rPr>
          <w:lang w:val="en-GB"/>
        </w:rPr>
        <w:t xml:space="preserve">B1, B2 or C in the tables </w:t>
      </w:r>
      <w:r w:rsidR="00CD7DCC">
        <w:rPr>
          <w:lang w:val="en-GB"/>
        </w:rPr>
        <w:t>of</w:t>
      </w:r>
      <w:r w:rsidRPr="00B04DC3">
        <w:rPr>
          <w:lang w:val="en-GB"/>
        </w:rPr>
        <w:t xml:space="preserve"> paragraph 5.2.1. of this Regulation;</w:t>
      </w:r>
    </w:p>
    <w:p w:rsidR="00C0100D" w:rsidRPr="00B04DC3" w:rsidRDefault="00C0100D" w:rsidP="00B47485">
      <w:pPr>
        <w:pStyle w:val="a"/>
        <w:rPr>
          <w:lang w:val="en-GB"/>
        </w:rPr>
      </w:pPr>
      <w:r w:rsidRPr="00B04DC3">
        <w:rPr>
          <w:lang w:val="en-GB"/>
        </w:rPr>
        <w:t>(b)</w:t>
      </w:r>
      <w:r w:rsidRPr="00B04DC3">
        <w:rPr>
          <w:lang w:val="en-GB"/>
        </w:rPr>
        <w:tab/>
      </w:r>
      <w:r w:rsidR="00B47485" w:rsidRPr="00B04DC3">
        <w:rPr>
          <w:lang w:val="en-GB"/>
        </w:rPr>
        <w:t>T</w:t>
      </w:r>
      <w:r w:rsidRPr="00B04DC3">
        <w:rPr>
          <w:lang w:val="en-GB"/>
        </w:rPr>
        <w:t>he durability requirements set out in paragraph 5.3.;</w:t>
      </w:r>
    </w:p>
    <w:p w:rsidR="00C0100D" w:rsidRPr="00B04DC3" w:rsidRDefault="00C0100D" w:rsidP="00B47485">
      <w:pPr>
        <w:pStyle w:val="a"/>
        <w:rPr>
          <w:lang w:val="en-GB"/>
        </w:rPr>
      </w:pPr>
      <w:r w:rsidRPr="00B04DC3">
        <w:rPr>
          <w:lang w:val="en-GB"/>
        </w:rPr>
        <w:t>(c)</w:t>
      </w:r>
      <w:r w:rsidRPr="00B04DC3">
        <w:rPr>
          <w:lang w:val="en-GB"/>
        </w:rPr>
        <w:tab/>
      </w:r>
      <w:r w:rsidR="00B47485" w:rsidRPr="00B04DC3">
        <w:rPr>
          <w:lang w:val="en-GB"/>
        </w:rPr>
        <w:t>T</w:t>
      </w:r>
      <w:r w:rsidRPr="00B04DC3">
        <w:rPr>
          <w:lang w:val="en-GB"/>
        </w:rPr>
        <w:t>he OBD requirements set out in paragraph 5.4.;</w:t>
      </w:r>
    </w:p>
    <w:p w:rsidR="00D01D68" w:rsidRDefault="00C0100D" w:rsidP="00B47485">
      <w:pPr>
        <w:pStyle w:val="a"/>
        <w:rPr>
          <w:lang w:val="en-GB"/>
        </w:rPr>
      </w:pPr>
      <w:r w:rsidRPr="00B04DC3">
        <w:rPr>
          <w:lang w:val="en-GB"/>
        </w:rPr>
        <w:t>(d)</w:t>
      </w:r>
      <w:r w:rsidRPr="00B04DC3">
        <w:rPr>
          <w:lang w:val="en-GB"/>
        </w:rPr>
        <w:tab/>
      </w:r>
      <w:r w:rsidR="00B47485" w:rsidRPr="00B04DC3">
        <w:rPr>
          <w:lang w:val="en-GB"/>
        </w:rPr>
        <w:t>T</w:t>
      </w:r>
      <w:r w:rsidRPr="00B04DC3">
        <w:rPr>
          <w:lang w:val="en-GB"/>
        </w:rPr>
        <w:t>he additional provisions set out in paragraph 5.5.</w:t>
      </w:r>
    </w:p>
    <w:p w:rsidR="0039331B" w:rsidRPr="00B04DC3" w:rsidRDefault="00D01D68" w:rsidP="00B47485">
      <w:pPr>
        <w:pStyle w:val="a"/>
        <w:rPr>
          <w:sz w:val="2"/>
          <w:szCs w:val="2"/>
          <w:lang w:val="en-GB"/>
        </w:rPr>
      </w:pPr>
      <w:r>
        <w:rPr>
          <w:lang w:val="en-GB"/>
        </w:rPr>
        <w:br w:type="page"/>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98"/>
        <w:gridCol w:w="1239"/>
        <w:gridCol w:w="1203"/>
        <w:gridCol w:w="1442"/>
        <w:gridCol w:w="1121"/>
        <w:gridCol w:w="1248"/>
        <w:gridCol w:w="1254"/>
      </w:tblGrid>
      <w:tr w:rsidR="0039331B" w:rsidRPr="00B04DC3" w:rsidTr="00B04DC3">
        <w:trPr>
          <w:trHeight w:val="750"/>
        </w:trPr>
        <w:tc>
          <w:tcPr>
            <w:tcW w:w="998" w:type="dxa"/>
            <w:tcBorders>
              <w:bottom w:val="single" w:sz="12" w:space="0" w:color="auto"/>
            </w:tcBorders>
          </w:tcPr>
          <w:p w:rsidR="00C0100D" w:rsidRPr="00B04DC3" w:rsidRDefault="0039331B" w:rsidP="00225716">
            <w:pPr>
              <w:pStyle w:val="Text1"/>
              <w:tabs>
                <w:tab w:val="left" w:pos="1134"/>
                <w:tab w:val="left" w:pos="1701"/>
                <w:tab w:val="left" w:pos="2268"/>
              </w:tabs>
              <w:spacing w:before="80" w:after="80" w:line="200" w:lineRule="exact"/>
              <w:ind w:left="1134" w:hanging="1134"/>
              <w:jc w:val="center"/>
              <w:rPr>
                <w:i/>
                <w:sz w:val="16"/>
                <w:szCs w:val="16"/>
              </w:rPr>
            </w:pPr>
            <w:r w:rsidRPr="00B04DC3">
              <w:br w:type="page"/>
            </w:r>
            <w:r w:rsidR="00C0100D" w:rsidRPr="00B04DC3">
              <w:rPr>
                <w:i/>
                <w:sz w:val="16"/>
                <w:szCs w:val="16"/>
              </w:rPr>
              <w:t>Character</w:t>
            </w:r>
          </w:p>
        </w:tc>
        <w:tc>
          <w:tcPr>
            <w:tcW w:w="1239" w:type="dxa"/>
            <w:tcBorders>
              <w:bottom w:val="single" w:sz="12" w:space="0" w:color="auto"/>
            </w:tcBorders>
          </w:tcPr>
          <w:p w:rsidR="00C0100D" w:rsidRPr="00B04DC3" w:rsidRDefault="00C0100D" w:rsidP="00225716">
            <w:pPr>
              <w:pStyle w:val="Text1"/>
              <w:tabs>
                <w:tab w:val="left" w:pos="1701"/>
                <w:tab w:val="left" w:pos="2268"/>
              </w:tabs>
              <w:spacing w:before="80" w:after="80" w:line="200" w:lineRule="exact"/>
              <w:ind w:left="9" w:hanging="9"/>
              <w:jc w:val="center"/>
              <w:rPr>
                <w:i/>
                <w:sz w:val="16"/>
                <w:szCs w:val="16"/>
              </w:rPr>
            </w:pPr>
            <w:r w:rsidRPr="00B04DC3">
              <w:rPr>
                <w:i/>
                <w:sz w:val="16"/>
                <w:szCs w:val="16"/>
              </w:rPr>
              <w:t>Date</w:t>
            </w:r>
            <w:r w:rsidR="0039331B" w:rsidRPr="00B04DC3">
              <w:rPr>
                <w:i/>
                <w:sz w:val="16"/>
                <w:szCs w:val="16"/>
              </w:rPr>
              <w:br/>
            </w:r>
            <w:r w:rsidRPr="00B04DC3">
              <w:rPr>
                <w:i/>
                <w:sz w:val="16"/>
                <w:szCs w:val="16"/>
              </w:rPr>
              <w:t>New types - all types</w:t>
            </w:r>
          </w:p>
        </w:tc>
        <w:tc>
          <w:tcPr>
            <w:tcW w:w="1203" w:type="dxa"/>
            <w:tcBorders>
              <w:bottom w:val="single" w:sz="12" w:space="0" w:color="auto"/>
            </w:tcBorders>
          </w:tcPr>
          <w:p w:rsidR="00C0100D" w:rsidRPr="00B04DC3" w:rsidRDefault="00C0100D" w:rsidP="00225716">
            <w:pPr>
              <w:pStyle w:val="Text1"/>
              <w:spacing w:before="80" w:after="80" w:line="200" w:lineRule="exact"/>
              <w:ind w:left="0"/>
              <w:jc w:val="center"/>
              <w:rPr>
                <w:i/>
                <w:sz w:val="16"/>
                <w:szCs w:val="16"/>
              </w:rPr>
            </w:pPr>
            <w:r w:rsidRPr="00B04DC3">
              <w:rPr>
                <w:i/>
                <w:sz w:val="16"/>
                <w:szCs w:val="16"/>
              </w:rPr>
              <w:t xml:space="preserve">Row </w:t>
            </w:r>
            <w:r w:rsidRPr="00B04DC3">
              <w:rPr>
                <w:i/>
                <w:sz w:val="16"/>
                <w:szCs w:val="16"/>
                <w:vertAlign w:val="superscript"/>
              </w:rPr>
              <w:t>a</w:t>
            </w:r>
          </w:p>
        </w:tc>
        <w:tc>
          <w:tcPr>
            <w:tcW w:w="1442" w:type="dxa"/>
            <w:tcBorders>
              <w:bottom w:val="single" w:sz="12" w:space="0" w:color="auto"/>
            </w:tcBorders>
          </w:tcPr>
          <w:p w:rsidR="00C0100D" w:rsidRPr="00B04DC3" w:rsidRDefault="00C0100D" w:rsidP="00225716">
            <w:pPr>
              <w:pStyle w:val="Text1"/>
              <w:tabs>
                <w:tab w:val="left" w:pos="1701"/>
                <w:tab w:val="left" w:pos="2268"/>
              </w:tabs>
              <w:spacing w:before="80" w:after="80" w:line="200" w:lineRule="exact"/>
              <w:ind w:left="0"/>
              <w:jc w:val="center"/>
              <w:rPr>
                <w:i/>
                <w:sz w:val="16"/>
                <w:szCs w:val="16"/>
              </w:rPr>
            </w:pPr>
            <w:r w:rsidRPr="00B04DC3">
              <w:rPr>
                <w:i/>
                <w:sz w:val="16"/>
                <w:szCs w:val="16"/>
              </w:rPr>
              <w:t>OBD</w:t>
            </w:r>
            <w:r w:rsidR="0039331B" w:rsidRPr="00B04DC3">
              <w:rPr>
                <w:i/>
                <w:sz w:val="16"/>
                <w:szCs w:val="16"/>
              </w:rPr>
              <w:br/>
            </w:r>
            <w:r w:rsidRPr="00B04DC3">
              <w:rPr>
                <w:i/>
                <w:sz w:val="16"/>
                <w:szCs w:val="16"/>
              </w:rPr>
              <w:t xml:space="preserve">Stage I </w:t>
            </w:r>
            <w:r w:rsidRPr="00B04DC3">
              <w:rPr>
                <w:i/>
                <w:sz w:val="16"/>
                <w:szCs w:val="16"/>
                <w:vertAlign w:val="superscript"/>
              </w:rPr>
              <w:t>b</w:t>
            </w:r>
          </w:p>
        </w:tc>
        <w:tc>
          <w:tcPr>
            <w:tcW w:w="1121" w:type="dxa"/>
            <w:tcBorders>
              <w:bottom w:val="single" w:sz="12" w:space="0" w:color="auto"/>
            </w:tcBorders>
            <w:tcMar>
              <w:left w:w="0" w:type="dxa"/>
              <w:right w:w="28" w:type="dxa"/>
            </w:tcMar>
          </w:tcPr>
          <w:p w:rsidR="00C0100D" w:rsidRPr="00B04DC3" w:rsidRDefault="00C0100D" w:rsidP="00225716">
            <w:pPr>
              <w:pStyle w:val="Text1"/>
              <w:tabs>
                <w:tab w:val="left" w:pos="1701"/>
                <w:tab w:val="left" w:pos="2268"/>
              </w:tabs>
              <w:spacing w:before="80" w:after="80" w:line="200" w:lineRule="exact"/>
              <w:ind w:left="0"/>
              <w:jc w:val="center"/>
              <w:rPr>
                <w:i/>
                <w:sz w:val="16"/>
                <w:szCs w:val="16"/>
              </w:rPr>
            </w:pPr>
            <w:r w:rsidRPr="00B04DC3">
              <w:rPr>
                <w:i/>
                <w:sz w:val="16"/>
                <w:szCs w:val="16"/>
              </w:rPr>
              <w:t>OBD</w:t>
            </w:r>
            <w:r w:rsidR="0039331B" w:rsidRPr="00B04DC3">
              <w:rPr>
                <w:i/>
                <w:sz w:val="16"/>
                <w:szCs w:val="16"/>
              </w:rPr>
              <w:br/>
            </w:r>
            <w:r w:rsidRPr="00B04DC3">
              <w:rPr>
                <w:i/>
                <w:sz w:val="16"/>
                <w:szCs w:val="16"/>
              </w:rPr>
              <w:t>Stage II</w:t>
            </w:r>
          </w:p>
        </w:tc>
        <w:tc>
          <w:tcPr>
            <w:tcW w:w="1248" w:type="dxa"/>
            <w:tcBorders>
              <w:bottom w:val="single" w:sz="12" w:space="0" w:color="auto"/>
            </w:tcBorders>
          </w:tcPr>
          <w:p w:rsidR="00C0100D" w:rsidRPr="00B04DC3" w:rsidRDefault="00C0100D" w:rsidP="00225716">
            <w:pPr>
              <w:pStyle w:val="Text1"/>
              <w:tabs>
                <w:tab w:val="left" w:pos="1701"/>
                <w:tab w:val="left" w:pos="2268"/>
              </w:tabs>
              <w:spacing w:before="80" w:after="80" w:line="200" w:lineRule="exact"/>
              <w:ind w:left="24" w:hanging="24"/>
              <w:jc w:val="center"/>
              <w:rPr>
                <w:i/>
                <w:sz w:val="16"/>
                <w:szCs w:val="16"/>
              </w:rPr>
            </w:pPr>
            <w:r w:rsidRPr="00B04DC3">
              <w:rPr>
                <w:i/>
                <w:sz w:val="16"/>
                <w:szCs w:val="16"/>
              </w:rPr>
              <w:t>Durability and in-use</w:t>
            </w:r>
          </w:p>
        </w:tc>
        <w:tc>
          <w:tcPr>
            <w:tcW w:w="1254" w:type="dxa"/>
            <w:tcBorders>
              <w:bottom w:val="single" w:sz="12" w:space="0" w:color="auto"/>
            </w:tcBorders>
          </w:tcPr>
          <w:p w:rsidR="00C0100D" w:rsidRPr="00B04DC3" w:rsidRDefault="00C0100D" w:rsidP="00225716">
            <w:pPr>
              <w:pStyle w:val="Text1"/>
              <w:tabs>
                <w:tab w:val="left" w:pos="1701"/>
                <w:tab w:val="left" w:pos="2268"/>
              </w:tabs>
              <w:spacing w:before="80" w:after="80" w:line="200" w:lineRule="exact"/>
              <w:ind w:left="0"/>
              <w:jc w:val="center"/>
              <w:rPr>
                <w:i/>
                <w:sz w:val="16"/>
                <w:szCs w:val="16"/>
              </w:rPr>
            </w:pPr>
            <w:r w:rsidRPr="00B04DC3">
              <w:rPr>
                <w:i/>
                <w:sz w:val="16"/>
                <w:szCs w:val="16"/>
              </w:rPr>
              <w:t>NO</w:t>
            </w:r>
            <w:r w:rsidRPr="001829E6">
              <w:rPr>
                <w:i/>
                <w:sz w:val="16"/>
                <w:szCs w:val="16"/>
                <w:vertAlign w:val="subscript"/>
              </w:rPr>
              <w:t>x</w:t>
            </w:r>
            <w:r w:rsidRPr="00B04DC3">
              <w:rPr>
                <w:i/>
                <w:sz w:val="16"/>
                <w:szCs w:val="16"/>
              </w:rPr>
              <w:t xml:space="preserve"> control</w:t>
            </w:r>
            <w:r w:rsidR="002E04DA" w:rsidRPr="00B04DC3">
              <w:rPr>
                <w:i/>
                <w:sz w:val="16"/>
                <w:szCs w:val="16"/>
                <w:vertAlign w:val="superscript"/>
              </w:rPr>
              <w:t xml:space="preserve"> </w:t>
            </w:r>
            <w:r w:rsidRPr="00B04DC3">
              <w:rPr>
                <w:i/>
                <w:sz w:val="16"/>
                <w:szCs w:val="16"/>
                <w:vertAlign w:val="superscript"/>
              </w:rPr>
              <w:t>c</w:t>
            </w:r>
          </w:p>
        </w:tc>
      </w:tr>
      <w:tr w:rsidR="0039331B" w:rsidRPr="00B04DC3" w:rsidTr="00B04DC3">
        <w:tc>
          <w:tcPr>
            <w:tcW w:w="998" w:type="dxa"/>
            <w:tcBorders>
              <w:top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w:t>
            </w:r>
          </w:p>
        </w:tc>
        <w:tc>
          <w:tcPr>
            <w:tcW w:w="1239" w:type="dxa"/>
            <w:tcBorders>
              <w:top w:val="single" w:sz="12" w:space="0" w:color="auto"/>
            </w:tcBorders>
          </w:tcPr>
          <w:p w:rsidR="00C0100D" w:rsidRPr="00B04DC3" w:rsidRDefault="00C0100D" w:rsidP="00225716">
            <w:pPr>
              <w:pStyle w:val="Text1"/>
              <w:tabs>
                <w:tab w:val="left" w:pos="1701"/>
                <w:tab w:val="left" w:pos="2268"/>
              </w:tabs>
              <w:spacing w:beforeLines="40" w:before="96" w:afterLines="40" w:after="96" w:line="220" w:lineRule="exact"/>
              <w:ind w:left="0" w:hanging="13"/>
              <w:jc w:val="center"/>
              <w:rPr>
                <w:sz w:val="20"/>
              </w:rPr>
            </w:pPr>
            <w:r w:rsidRPr="00B04DC3">
              <w:rPr>
                <w:sz w:val="20"/>
              </w:rPr>
              <w:t>01/10/05</w:t>
            </w:r>
            <w:r w:rsidR="00DF2D85" w:rsidRPr="00B04DC3">
              <w:rPr>
                <w:sz w:val="20"/>
              </w:rPr>
              <w:br/>
            </w:r>
            <w:r w:rsidRPr="00B04DC3">
              <w:rPr>
                <w:sz w:val="20"/>
              </w:rPr>
              <w:t>01/10/06</w:t>
            </w:r>
          </w:p>
        </w:tc>
        <w:tc>
          <w:tcPr>
            <w:tcW w:w="1203" w:type="dxa"/>
            <w:tcBorders>
              <w:top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B1(2005)</w:t>
            </w:r>
          </w:p>
        </w:tc>
        <w:tc>
          <w:tcPr>
            <w:tcW w:w="1442" w:type="dxa"/>
            <w:tcBorders>
              <w:top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Borders>
              <w:top w:val="single" w:sz="12" w:space="0" w:color="auto"/>
            </w:tcBorders>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Borders>
              <w:top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Borders>
              <w:top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C</w:t>
            </w:r>
          </w:p>
        </w:tc>
        <w:tc>
          <w:tcPr>
            <w:tcW w:w="1239" w:type="dxa"/>
          </w:tcPr>
          <w:p w:rsidR="00C0100D" w:rsidRPr="00B04DC3" w:rsidRDefault="00C0100D" w:rsidP="00225716">
            <w:pPr>
              <w:pStyle w:val="Text1"/>
              <w:tabs>
                <w:tab w:val="left" w:pos="1701"/>
                <w:tab w:val="left" w:pos="2268"/>
              </w:tabs>
              <w:spacing w:beforeLines="40" w:before="96" w:afterLines="40" w:after="96" w:line="220" w:lineRule="exact"/>
              <w:ind w:left="0" w:hanging="13"/>
              <w:jc w:val="center"/>
              <w:rPr>
                <w:sz w:val="20"/>
              </w:rPr>
            </w:pPr>
            <w:r w:rsidRPr="00B04DC3">
              <w:rPr>
                <w:sz w:val="20"/>
              </w:rPr>
              <w:t>09/11/06</w:t>
            </w:r>
            <w:r w:rsidR="00DF2D85" w:rsidRPr="00B04DC3">
              <w:rPr>
                <w:sz w:val="20"/>
              </w:rPr>
              <w:br/>
            </w:r>
            <w:r w:rsidRPr="00B04DC3">
              <w:rPr>
                <w:sz w:val="20"/>
              </w:rPr>
              <w:t>01/10/07</w:t>
            </w: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B1(2005)</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D</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B2(2008)</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E</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B2(2008)</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F</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B2(2008)</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G</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B2(2008)</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H</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C</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I</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C</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r>
      <w:tr w:rsidR="0039331B" w:rsidRPr="00B04DC3">
        <w:tc>
          <w:tcPr>
            <w:tcW w:w="99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J</w:t>
            </w:r>
          </w:p>
        </w:tc>
        <w:tc>
          <w:tcPr>
            <w:tcW w:w="1239"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C</w:t>
            </w:r>
          </w:p>
        </w:tc>
        <w:tc>
          <w:tcPr>
            <w:tcW w:w="1442"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121" w:type="dxa"/>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48"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r>
      <w:tr w:rsidR="0039331B" w:rsidRPr="00B04DC3" w:rsidTr="00B04DC3">
        <w:tc>
          <w:tcPr>
            <w:tcW w:w="998"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K</w:t>
            </w:r>
          </w:p>
        </w:tc>
        <w:tc>
          <w:tcPr>
            <w:tcW w:w="1239"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p>
        </w:tc>
        <w:tc>
          <w:tcPr>
            <w:tcW w:w="1203"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C</w:t>
            </w:r>
          </w:p>
        </w:tc>
        <w:tc>
          <w:tcPr>
            <w:tcW w:w="1442"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w:t>
            </w:r>
          </w:p>
        </w:tc>
        <w:tc>
          <w:tcPr>
            <w:tcW w:w="1121" w:type="dxa"/>
            <w:tcBorders>
              <w:bottom w:val="single" w:sz="12" w:space="0" w:color="auto"/>
            </w:tcBorders>
            <w:tcMar>
              <w:left w:w="0" w:type="dxa"/>
              <w:right w:w="28" w:type="dxa"/>
            </w:tcMar>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48"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c>
          <w:tcPr>
            <w:tcW w:w="1254" w:type="dxa"/>
            <w:tcBorders>
              <w:bottom w:val="single" w:sz="12" w:space="0" w:color="auto"/>
            </w:tcBorders>
          </w:tcPr>
          <w:p w:rsidR="00C0100D" w:rsidRPr="00B04DC3" w:rsidRDefault="00C0100D" w:rsidP="00225716">
            <w:pPr>
              <w:pStyle w:val="Text1"/>
              <w:tabs>
                <w:tab w:val="left" w:pos="1134"/>
                <w:tab w:val="left" w:pos="1701"/>
                <w:tab w:val="left" w:pos="2268"/>
              </w:tabs>
              <w:spacing w:beforeLines="40" w:before="96" w:afterLines="40" w:after="96" w:line="220" w:lineRule="exact"/>
              <w:ind w:left="1134" w:hanging="1134"/>
              <w:jc w:val="center"/>
              <w:rPr>
                <w:sz w:val="20"/>
              </w:rPr>
            </w:pPr>
            <w:r w:rsidRPr="00B04DC3">
              <w:rPr>
                <w:sz w:val="20"/>
              </w:rPr>
              <w:t>YES</w:t>
            </w:r>
          </w:p>
        </w:tc>
      </w:tr>
      <w:tr w:rsidR="00B04DC3" w:rsidRPr="00B04DC3" w:rsidTr="00B04DC3">
        <w:tc>
          <w:tcPr>
            <w:tcW w:w="8505" w:type="dxa"/>
            <w:gridSpan w:val="7"/>
            <w:tcBorders>
              <w:top w:val="single" w:sz="12" w:space="0" w:color="auto"/>
              <w:left w:val="nil"/>
              <w:bottom w:val="nil"/>
              <w:right w:val="nil"/>
            </w:tcBorders>
          </w:tcPr>
          <w:p w:rsidR="00B04DC3" w:rsidRPr="00B04DC3" w:rsidRDefault="00B04DC3" w:rsidP="00B04DC3">
            <w:pPr>
              <w:pStyle w:val="NormalRight"/>
              <w:keepNext/>
              <w:keepLines/>
              <w:spacing w:before="40" w:after="0" w:line="220" w:lineRule="exact"/>
              <w:jc w:val="left"/>
              <w:rPr>
                <w:sz w:val="18"/>
                <w:szCs w:val="18"/>
              </w:rPr>
            </w:pPr>
            <w:r w:rsidRPr="00B04DC3">
              <w:rPr>
                <w:sz w:val="18"/>
                <w:szCs w:val="18"/>
                <w:vertAlign w:val="superscript"/>
              </w:rPr>
              <w:t>a</w:t>
            </w:r>
            <w:r w:rsidRPr="00B04DC3">
              <w:rPr>
                <w:sz w:val="18"/>
                <w:szCs w:val="18"/>
              </w:rPr>
              <w:t xml:space="preserve">  In accordance with tables of paragraph 5.2.1. of this Regulation.</w:t>
            </w:r>
          </w:p>
          <w:p w:rsidR="00B04DC3" w:rsidRPr="00B04DC3" w:rsidRDefault="00B04DC3" w:rsidP="00B04DC3">
            <w:pPr>
              <w:pStyle w:val="NormalRight"/>
              <w:keepNext/>
              <w:keepLines/>
              <w:spacing w:before="0" w:after="0" w:line="220" w:lineRule="exact"/>
              <w:jc w:val="left"/>
              <w:rPr>
                <w:sz w:val="18"/>
                <w:szCs w:val="18"/>
              </w:rPr>
            </w:pPr>
            <w:r w:rsidRPr="00B04DC3">
              <w:rPr>
                <w:i/>
                <w:sz w:val="18"/>
                <w:szCs w:val="18"/>
                <w:vertAlign w:val="superscript"/>
              </w:rPr>
              <w:t>b</w:t>
            </w:r>
            <w:r w:rsidRPr="00B04DC3">
              <w:rPr>
                <w:sz w:val="18"/>
                <w:szCs w:val="18"/>
              </w:rPr>
              <w:t xml:space="preserve">  In accordance with paragraph 5.4. of this Regulation, gas engines are excluded from OBD stage I.</w:t>
            </w:r>
          </w:p>
          <w:p w:rsidR="00B04DC3" w:rsidRPr="00B04DC3" w:rsidRDefault="00B04DC3" w:rsidP="00B04DC3">
            <w:pPr>
              <w:pStyle w:val="NormalRight"/>
              <w:keepNext/>
              <w:keepLines/>
              <w:spacing w:before="0" w:after="0" w:line="220" w:lineRule="exact"/>
              <w:jc w:val="left"/>
              <w:rPr>
                <w:sz w:val="20"/>
              </w:rPr>
            </w:pPr>
            <w:r w:rsidRPr="00B04DC3">
              <w:rPr>
                <w:i/>
                <w:sz w:val="18"/>
                <w:szCs w:val="18"/>
                <w:vertAlign w:val="superscript"/>
              </w:rPr>
              <w:t>c</w:t>
            </w:r>
            <w:r w:rsidRPr="00B04DC3">
              <w:rPr>
                <w:sz w:val="18"/>
                <w:szCs w:val="18"/>
              </w:rPr>
              <w:t xml:space="preserve">  In accordance with paragraph 5.5. of this Regulation.</w:t>
            </w:r>
          </w:p>
        </w:tc>
      </w:tr>
    </w:tbl>
    <w:p w:rsidR="00C0100D" w:rsidRPr="00B04DC3" w:rsidRDefault="00C0100D" w:rsidP="00C46752">
      <w:pPr>
        <w:pStyle w:val="NormalRight"/>
        <w:keepNext/>
        <w:keepLines/>
        <w:spacing w:before="0" w:after="0"/>
        <w:ind w:left="1400" w:hanging="266"/>
        <w:jc w:val="left"/>
        <w:rPr>
          <w:sz w:val="18"/>
          <w:szCs w:val="18"/>
        </w:rPr>
      </w:pPr>
    </w:p>
    <w:p w:rsidR="00C0100D" w:rsidRPr="00CD7DCC" w:rsidRDefault="00C0100D" w:rsidP="0039331B">
      <w:pPr>
        <w:pStyle w:val="para"/>
        <w:rPr>
          <w:lang w:val="en-GB"/>
        </w:rPr>
      </w:pPr>
      <w:r w:rsidRPr="00B04DC3">
        <w:rPr>
          <w:lang w:val="en-GB"/>
        </w:rPr>
        <w:t>13.2.2.</w:t>
      </w:r>
      <w:r w:rsidRPr="00B04DC3">
        <w:rPr>
          <w:lang w:val="en-GB"/>
        </w:rPr>
        <w:tab/>
        <w:t xml:space="preserve">Notwithstanding the provisions of paragraphs 13.4. and 13.5., Contracting Parties applying this Regulation shall, from 9 November 2006, grant an </w:t>
      </w:r>
      <w:r w:rsidRPr="00CD7DCC">
        <w:rPr>
          <w:lang w:val="en-GB"/>
        </w:rPr>
        <w:t>ECE approval to an engine only if that engine satisfies all conditions set out in paragraph 13.2.1. and the additional provisions set out in paragraph 5.5. of this Regulation.</w:t>
      </w:r>
    </w:p>
    <w:p w:rsidR="00C0100D" w:rsidRPr="00B04DC3" w:rsidRDefault="00C0100D" w:rsidP="0039331B">
      <w:pPr>
        <w:pStyle w:val="para"/>
        <w:rPr>
          <w:lang w:val="en-GB"/>
        </w:rPr>
      </w:pPr>
      <w:r w:rsidRPr="00CD7DCC">
        <w:rPr>
          <w:lang w:val="en-GB"/>
        </w:rPr>
        <w:t>13.2.3.</w:t>
      </w:r>
      <w:r w:rsidRPr="00CD7DCC">
        <w:rPr>
          <w:lang w:val="en-GB"/>
        </w:rPr>
        <w:tab/>
        <w:t>Notwithstanding the provisions of paragraphs 13.4.1. and 13.5., Contracting Parties applying this Regulation shall, from 1 October 2008, grant an ECE</w:t>
      </w:r>
      <w:r w:rsidRPr="00B04DC3">
        <w:rPr>
          <w:lang w:val="en-GB"/>
        </w:rPr>
        <w:t> approval to an engine only if that engine satisfies:</w:t>
      </w:r>
    </w:p>
    <w:p w:rsidR="00C0100D" w:rsidRPr="00B04DC3" w:rsidRDefault="00C0100D" w:rsidP="0039331B">
      <w:pPr>
        <w:pStyle w:val="a"/>
        <w:rPr>
          <w:lang w:val="en-GB"/>
        </w:rPr>
      </w:pPr>
      <w:r w:rsidRPr="00B04DC3">
        <w:rPr>
          <w:lang w:val="en-GB"/>
        </w:rPr>
        <w:t>(a)</w:t>
      </w:r>
      <w:r w:rsidRPr="00B04DC3">
        <w:rPr>
          <w:lang w:val="en-GB"/>
        </w:rPr>
        <w:tab/>
      </w:r>
      <w:r w:rsidR="0039331B" w:rsidRPr="00B04DC3">
        <w:rPr>
          <w:lang w:val="en-GB"/>
        </w:rPr>
        <w:t>The</w:t>
      </w:r>
      <w:r w:rsidRPr="00B04DC3">
        <w:rPr>
          <w:lang w:val="en-GB"/>
        </w:rPr>
        <w:t xml:space="preserve"> relevant emission limits of row B2 or C </w:t>
      </w:r>
      <w:r w:rsidR="00CD7DCC">
        <w:rPr>
          <w:lang w:val="en-GB"/>
        </w:rPr>
        <w:t>of</w:t>
      </w:r>
      <w:r w:rsidR="00CD7DCC" w:rsidRPr="00B04DC3">
        <w:rPr>
          <w:lang w:val="en-GB"/>
        </w:rPr>
        <w:t xml:space="preserve"> </w:t>
      </w:r>
      <w:r w:rsidRPr="00B04DC3">
        <w:rPr>
          <w:lang w:val="en-GB"/>
        </w:rPr>
        <w:t>the tables to paragraph</w:t>
      </w:r>
      <w:r w:rsidR="00AA0E48">
        <w:rPr>
          <w:lang w:val="en-GB"/>
        </w:rPr>
        <w:t> </w:t>
      </w:r>
      <w:r w:rsidRPr="00B04DC3">
        <w:rPr>
          <w:lang w:val="en-GB"/>
        </w:rPr>
        <w:t>5.2.1.</w:t>
      </w:r>
    </w:p>
    <w:p w:rsidR="00C0100D" w:rsidRPr="00B04DC3" w:rsidRDefault="00C0100D" w:rsidP="0039331B">
      <w:pPr>
        <w:pStyle w:val="a"/>
        <w:rPr>
          <w:lang w:val="en-GB"/>
        </w:rPr>
      </w:pPr>
      <w:r w:rsidRPr="00B04DC3">
        <w:rPr>
          <w:lang w:val="en-GB"/>
        </w:rPr>
        <w:t>(b)</w:t>
      </w:r>
      <w:r w:rsidRPr="00B04DC3">
        <w:rPr>
          <w:lang w:val="en-GB"/>
        </w:rPr>
        <w:tab/>
      </w:r>
      <w:r w:rsidR="0039331B" w:rsidRPr="00B04DC3">
        <w:rPr>
          <w:lang w:val="en-GB"/>
        </w:rPr>
        <w:t>The</w:t>
      </w:r>
      <w:r w:rsidRPr="00B04DC3">
        <w:rPr>
          <w:lang w:val="en-GB"/>
        </w:rPr>
        <w:t xml:space="preserve"> durability requirements set out in paragraph 5.3.</w:t>
      </w:r>
    </w:p>
    <w:p w:rsidR="00C0100D" w:rsidRPr="00B04DC3" w:rsidRDefault="00C0100D" w:rsidP="0039331B">
      <w:pPr>
        <w:pStyle w:val="a"/>
        <w:rPr>
          <w:lang w:val="en-GB"/>
        </w:rPr>
      </w:pPr>
      <w:r w:rsidRPr="00B04DC3">
        <w:rPr>
          <w:lang w:val="en-GB"/>
        </w:rPr>
        <w:t>(c)</w:t>
      </w:r>
      <w:r w:rsidRPr="00B04DC3">
        <w:rPr>
          <w:lang w:val="en-GB"/>
        </w:rPr>
        <w:tab/>
      </w:r>
      <w:r w:rsidR="0039331B" w:rsidRPr="00B04DC3">
        <w:rPr>
          <w:lang w:val="en-GB"/>
        </w:rPr>
        <w:t>The</w:t>
      </w:r>
      <w:r w:rsidRPr="00B04DC3">
        <w:rPr>
          <w:lang w:val="en-GB"/>
        </w:rPr>
        <w:t xml:space="preserve"> OBD requirements set out in paragraph 5.4. (OBD stage 2)</w:t>
      </w:r>
    </w:p>
    <w:p w:rsidR="00C0100D" w:rsidRPr="00B04DC3" w:rsidRDefault="00C0100D" w:rsidP="0039331B">
      <w:pPr>
        <w:pStyle w:val="a"/>
        <w:rPr>
          <w:lang w:val="en-GB"/>
        </w:rPr>
      </w:pPr>
      <w:r w:rsidRPr="00B04DC3">
        <w:rPr>
          <w:lang w:val="en-GB"/>
        </w:rPr>
        <w:t>(d)</w:t>
      </w:r>
      <w:r w:rsidRPr="00B04DC3">
        <w:rPr>
          <w:lang w:val="en-GB"/>
        </w:rPr>
        <w:tab/>
      </w:r>
      <w:r w:rsidR="0039331B" w:rsidRPr="00B04DC3">
        <w:rPr>
          <w:lang w:val="en-GB"/>
        </w:rPr>
        <w:t>The</w:t>
      </w:r>
      <w:r w:rsidRPr="00B04DC3">
        <w:rPr>
          <w:lang w:val="en-GB"/>
        </w:rPr>
        <w:t xml:space="preserve"> additional provisions set out in paragraph 5.5.</w:t>
      </w:r>
    </w:p>
    <w:p w:rsidR="00C0100D" w:rsidRPr="00B04DC3" w:rsidRDefault="00C0100D" w:rsidP="00B04DC3">
      <w:pPr>
        <w:pStyle w:val="para"/>
      </w:pPr>
      <w:r w:rsidRPr="00B04DC3">
        <w:t>13.3.</w:t>
      </w:r>
      <w:r w:rsidRPr="00B04DC3">
        <w:tab/>
        <w:t>Limit of validity of old type approvals</w:t>
      </w:r>
    </w:p>
    <w:p w:rsidR="00C0100D" w:rsidRPr="00B04DC3" w:rsidRDefault="00C0100D" w:rsidP="0039331B">
      <w:pPr>
        <w:pStyle w:val="para"/>
        <w:rPr>
          <w:lang w:val="en-GB"/>
        </w:rPr>
      </w:pPr>
      <w:r w:rsidRPr="00B04DC3">
        <w:rPr>
          <w:lang w:val="en-GB"/>
        </w:rPr>
        <w:t>13.3.1.</w:t>
      </w:r>
      <w:r w:rsidRPr="00B04DC3">
        <w:rPr>
          <w:lang w:val="en-GB"/>
        </w:rPr>
        <w:tab/>
        <w:t>As from the official date of entry into force of the 05 series of amendments, type approvals granted to this Regulation as amended by the 04 series of amendments shall cease to be valid.</w:t>
      </w:r>
    </w:p>
    <w:p w:rsidR="00C0100D" w:rsidRPr="00B04DC3" w:rsidRDefault="00C0100D" w:rsidP="0039331B">
      <w:pPr>
        <w:pStyle w:val="para"/>
        <w:rPr>
          <w:lang w:val="en-GB"/>
        </w:rPr>
      </w:pPr>
      <w:r w:rsidRPr="00B04DC3">
        <w:rPr>
          <w:lang w:val="en-GB"/>
        </w:rPr>
        <w:t>13.3.2.</w:t>
      </w:r>
      <w:r w:rsidRPr="00B04DC3">
        <w:rPr>
          <w:lang w:val="en-GB"/>
        </w:rPr>
        <w:tab/>
        <w:t>As from 01 October 2007, type approvals granted to this Regulation as amended by the 05 series of amendments, which do not comply with the requirement of paragraph 13.2.2., shall cease to be valid.</w:t>
      </w:r>
    </w:p>
    <w:p w:rsidR="00C0100D" w:rsidRPr="00B04DC3" w:rsidRDefault="00C0100D" w:rsidP="0039331B">
      <w:pPr>
        <w:pStyle w:val="para"/>
        <w:rPr>
          <w:lang w:val="en-GB"/>
        </w:rPr>
      </w:pPr>
      <w:r w:rsidRPr="00B04DC3">
        <w:rPr>
          <w:lang w:val="en-GB"/>
        </w:rPr>
        <w:t>13.3.3.</w:t>
      </w:r>
      <w:r w:rsidRPr="00B04DC3">
        <w:rPr>
          <w:lang w:val="en-GB"/>
        </w:rPr>
        <w:tab/>
        <w:t>As from 01 October 2009, type approvals granted to this Regulation as amended by the 05 series of amendments, which do not comply with the requirements of paragraph 13.2.3., shall cease to be valid.</w:t>
      </w:r>
    </w:p>
    <w:p w:rsidR="00C0100D" w:rsidRPr="00B04DC3" w:rsidRDefault="00C0100D" w:rsidP="00B04DC3">
      <w:pPr>
        <w:pStyle w:val="para"/>
      </w:pPr>
      <w:r w:rsidRPr="00B04DC3">
        <w:t>13.4.</w:t>
      </w:r>
      <w:r w:rsidRPr="00B04DC3">
        <w:tab/>
        <w:t>Gas engines</w:t>
      </w:r>
    </w:p>
    <w:p w:rsidR="00C0100D" w:rsidRPr="00B04DC3" w:rsidRDefault="00C0100D" w:rsidP="00B04DC3">
      <w:pPr>
        <w:pStyle w:val="para"/>
      </w:pPr>
      <w:r w:rsidRPr="00B04DC3">
        <w:t>13.4.1.</w:t>
      </w:r>
      <w:r w:rsidRPr="00B04DC3">
        <w:tab/>
        <w:t>Gas engines do not need to comply with provisions set out in paragraphs 5.5.</w:t>
      </w:r>
    </w:p>
    <w:p w:rsidR="00C0100D" w:rsidRPr="00B04DC3" w:rsidRDefault="00C0100D" w:rsidP="00B04DC3">
      <w:pPr>
        <w:pStyle w:val="para"/>
      </w:pPr>
      <w:r w:rsidRPr="00B04DC3">
        <w:t>13.4.2.</w:t>
      </w:r>
      <w:r w:rsidRPr="00B04DC3">
        <w:tab/>
        <w:t>Gas engines do not need to comply with the provisions set out in paragraph</w:t>
      </w:r>
      <w:r w:rsidR="00AB712B" w:rsidRPr="00B04DC3">
        <w:t> </w:t>
      </w:r>
      <w:r w:rsidRPr="00B04DC3">
        <w:t>5.4.1. (OBD stage 1).</w:t>
      </w:r>
    </w:p>
    <w:p w:rsidR="00C0100D" w:rsidRPr="00B04DC3" w:rsidRDefault="00C0100D" w:rsidP="00B04DC3">
      <w:pPr>
        <w:pStyle w:val="para"/>
      </w:pPr>
      <w:r w:rsidRPr="00B04DC3">
        <w:t>13.5.</w:t>
      </w:r>
      <w:r w:rsidRPr="00B04DC3">
        <w:tab/>
        <w:t>Replacement engines for vehicles in use</w:t>
      </w:r>
    </w:p>
    <w:p w:rsidR="00C0100D" w:rsidRPr="00B04DC3" w:rsidRDefault="00C0100D" w:rsidP="0039331B">
      <w:pPr>
        <w:pStyle w:val="para"/>
        <w:rPr>
          <w:lang w:val="en-GB"/>
        </w:rPr>
      </w:pPr>
      <w:r w:rsidRPr="00B04DC3">
        <w:rPr>
          <w:lang w:val="en-GB"/>
        </w:rPr>
        <w:t>13.5.1.</w:t>
      </w:r>
      <w:r w:rsidRPr="00B04DC3">
        <w:rPr>
          <w:lang w:val="en-GB"/>
        </w:rPr>
        <w:tab/>
        <w:t>Contracting Parties applying this Regulation may continue to grant approvals to those engines which comply with the requirements of this Regulation as amended by any previous series of amendments, or to any level of the Regulation as amended by the 05 series of amendments, provided that the engine is intended as a replacement for a vehicle in-use and for which that earlier standard was applicable at the date of that vehicle's entry into service.</w:t>
      </w:r>
    </w:p>
    <w:p w:rsidR="0039331B" w:rsidRPr="00B04DC3" w:rsidRDefault="00C0100D" w:rsidP="00B04DC3">
      <w:pPr>
        <w:pStyle w:val="HChG"/>
        <w:ind w:left="2268"/>
      </w:pPr>
      <w:bookmarkStart w:id="67" w:name="_Toc423599466"/>
      <w:bookmarkStart w:id="68" w:name="_Toc423610874"/>
      <w:r w:rsidRPr="00B04DC3">
        <w:t>14.</w:t>
      </w:r>
      <w:r w:rsidRPr="00B04DC3">
        <w:tab/>
      </w:r>
      <w:r w:rsidR="0039331B" w:rsidRPr="00B04DC3">
        <w:tab/>
        <w:t xml:space="preserve">Names and addresses of </w:t>
      </w:r>
      <w:r w:rsidR="00CD7DCC">
        <w:t>T</w:t>
      </w:r>
      <w:r w:rsidR="00CD7DCC" w:rsidRPr="00B04DC3">
        <w:t xml:space="preserve">echnical </w:t>
      </w:r>
      <w:r w:rsidR="0039331B" w:rsidRPr="00B04DC3">
        <w:t>Services responsible for conducting approval tests and of</w:t>
      </w:r>
      <w:r w:rsidR="00B04DC3">
        <w:t xml:space="preserve"> Type Approval Authorities</w:t>
      </w:r>
      <w:bookmarkEnd w:id="67"/>
      <w:bookmarkEnd w:id="68"/>
      <w:r w:rsidR="00B04DC3">
        <w:t xml:space="preserve"> </w:t>
      </w:r>
    </w:p>
    <w:p w:rsidR="00C0100D" w:rsidRPr="00B04DC3" w:rsidRDefault="00C0100D" w:rsidP="0039331B">
      <w:pPr>
        <w:pStyle w:val="para"/>
        <w:rPr>
          <w:lang w:val="en-GB"/>
        </w:rPr>
      </w:pPr>
      <w:r w:rsidRPr="00B04DC3">
        <w:rPr>
          <w:lang w:val="en-GB"/>
        </w:rPr>
        <w:tab/>
        <w:t>The Parties to the 1958 Agreement applying this Regulation shall communicate to the United Nations secretariat the names and addresses of the Technical Services responsible for conducting approval tests and the</w:t>
      </w:r>
      <w:r w:rsidR="00B04DC3">
        <w:rPr>
          <w:lang w:val="en-GB"/>
        </w:rPr>
        <w:t xml:space="preserve"> Type Approval Authorities </w:t>
      </w:r>
      <w:r w:rsidRPr="00B04DC3">
        <w:rPr>
          <w:lang w:val="en-GB"/>
        </w:rPr>
        <w:t>which grant approval and to which forms certifying approval or extension or refusal or withdrawal of approval, issued in other countries, are to be sent.</w:t>
      </w:r>
    </w:p>
    <w:p w:rsidR="00C0100D" w:rsidRPr="00B04DC3" w:rsidRDefault="00C0100D" w:rsidP="00C0100D">
      <w:pPr>
        <w:tabs>
          <w:tab w:val="left" w:pos="1134"/>
          <w:tab w:val="left" w:pos="1701"/>
          <w:tab w:val="left" w:pos="2268"/>
          <w:tab w:val="center" w:pos="4734"/>
          <w:tab w:val="left" w:pos="6600"/>
        </w:tabs>
        <w:ind w:left="1134" w:hanging="1134"/>
        <w:jc w:val="both"/>
      </w:pPr>
    </w:p>
    <w:p w:rsidR="00C0100D" w:rsidRPr="00B04DC3" w:rsidRDefault="00C0100D" w:rsidP="00C0100D">
      <w:pPr>
        <w:tabs>
          <w:tab w:val="left" w:pos="1134"/>
          <w:tab w:val="left" w:pos="1701"/>
          <w:tab w:val="left" w:pos="2268"/>
          <w:tab w:val="center" w:pos="4734"/>
          <w:tab w:val="left" w:pos="6600"/>
        </w:tabs>
        <w:ind w:left="1134" w:hanging="1134"/>
        <w:jc w:val="both"/>
        <w:sectPr w:rsidR="00C0100D" w:rsidRPr="00B04DC3" w:rsidSect="00E16438">
          <w:headerReference w:type="even" r:id="rId48"/>
          <w:headerReference w:type="default" r:id="rId49"/>
          <w:footerReference w:type="even" r:id="rId50"/>
          <w:footerReference w:type="default" r:id="rId51"/>
          <w:footnotePr>
            <w:numRestart w:val="eachSect"/>
          </w:footnotePr>
          <w:endnotePr>
            <w:numFmt w:val="decimal"/>
          </w:endnotePr>
          <w:pgSz w:w="11907" w:h="16840" w:code="9"/>
          <w:pgMar w:top="1438" w:right="1134" w:bottom="2268" w:left="1134" w:header="851" w:footer="1701" w:gutter="0"/>
          <w:cols w:space="720"/>
          <w:docGrid w:linePitch="326"/>
        </w:sectPr>
      </w:pPr>
    </w:p>
    <w:p w:rsidR="00AA0E48" w:rsidRDefault="00C0100D" w:rsidP="00AA0E48">
      <w:pPr>
        <w:pStyle w:val="HChG"/>
        <w:spacing w:after="120"/>
        <w:ind w:left="1701" w:hanging="1701"/>
        <w:rPr>
          <w:bCs/>
        </w:rPr>
      </w:pPr>
      <w:bookmarkStart w:id="69" w:name="_Toc423599467"/>
      <w:bookmarkStart w:id="70" w:name="_Toc423610875"/>
      <w:r w:rsidRPr="00B04DC3">
        <w:rPr>
          <w:bCs/>
        </w:rPr>
        <w:t>Appendix 1</w:t>
      </w:r>
      <w:bookmarkEnd w:id="69"/>
      <w:bookmarkEnd w:id="70"/>
    </w:p>
    <w:p w:rsidR="00C0100D" w:rsidRDefault="00AA0E48" w:rsidP="00AA0E48">
      <w:pPr>
        <w:pStyle w:val="HChG"/>
        <w:spacing w:after="120"/>
        <w:rPr>
          <w:bCs/>
        </w:rPr>
      </w:pPr>
      <w:r>
        <w:rPr>
          <w:bCs/>
        </w:rPr>
        <w:tab/>
      </w:r>
      <w:r>
        <w:rPr>
          <w:bCs/>
        </w:rPr>
        <w:tab/>
      </w:r>
      <w:bookmarkStart w:id="71" w:name="_Toc423599468"/>
      <w:bookmarkStart w:id="72" w:name="_Toc423610876"/>
      <w:r w:rsidR="00B7591F" w:rsidRPr="00B04DC3">
        <w:rPr>
          <w:bCs/>
        </w:rPr>
        <w:t>Procedure for production conformity testing when standard deviation is satisfactory</w:t>
      </w:r>
      <w:bookmarkEnd w:id="71"/>
      <w:bookmarkEnd w:id="72"/>
    </w:p>
    <w:p w:rsidR="00AA0E48" w:rsidRPr="00AA0E48" w:rsidRDefault="00AA0E48" w:rsidP="00AA0E48"/>
    <w:p w:rsidR="00C0100D" w:rsidRPr="00B04DC3" w:rsidRDefault="00C0100D" w:rsidP="00B7591F">
      <w:pPr>
        <w:pStyle w:val="para"/>
        <w:rPr>
          <w:lang w:val="en-GB"/>
        </w:rPr>
      </w:pPr>
      <w:r w:rsidRPr="00B04DC3">
        <w:rPr>
          <w:lang w:val="en-GB"/>
        </w:rPr>
        <w:t>1.</w:t>
      </w:r>
      <w:r w:rsidRPr="00B04DC3">
        <w:rPr>
          <w:lang w:val="en-GB"/>
        </w:rPr>
        <w:tab/>
        <w:t>This appendix describes the procedure to be used to verify production conformity for the emissions of pollutants when the manufacturer's production standard deviation is satisfactory.</w:t>
      </w:r>
    </w:p>
    <w:p w:rsidR="00C0100D" w:rsidRPr="00B04DC3" w:rsidRDefault="00C0100D" w:rsidP="00B7591F">
      <w:pPr>
        <w:pStyle w:val="para"/>
        <w:rPr>
          <w:lang w:val="en-GB"/>
        </w:rPr>
      </w:pPr>
      <w:r w:rsidRPr="00B04DC3">
        <w:rPr>
          <w:lang w:val="en-GB"/>
        </w:rPr>
        <w:t>2.</w:t>
      </w:r>
      <w:r w:rsidRPr="00B04DC3">
        <w:rPr>
          <w:lang w:val="en-GB"/>
        </w:rPr>
        <w:tab/>
        <w:t>With a minimum sample size of three engines the sampling procedure is set so that the probability of a lot passing a test with 40 per cent of the engines defective is 0.95 (producer's risk = 5 per cent) while the probability of a lot being accepted with 65 per cent of the engines defective is 0.10 (consumer's risk = 10 per cent).</w:t>
      </w:r>
    </w:p>
    <w:p w:rsidR="00C0100D" w:rsidRDefault="00C0100D" w:rsidP="00B7591F">
      <w:pPr>
        <w:pStyle w:val="para"/>
        <w:rPr>
          <w:lang w:val="en-GB"/>
        </w:rPr>
      </w:pPr>
      <w:r w:rsidRPr="00B04DC3">
        <w:rPr>
          <w:lang w:val="en-GB"/>
        </w:rPr>
        <w:t>3.</w:t>
      </w:r>
      <w:r w:rsidRPr="00B04DC3">
        <w:rPr>
          <w:lang w:val="en-GB"/>
        </w:rPr>
        <w:tab/>
        <w:t xml:space="preserve">The following procedure is used for each of the pollutants given in paragraph 5.2.1. of this Regulation (see </w:t>
      </w:r>
      <w:r w:rsidR="00313D4E" w:rsidRPr="00B04DC3">
        <w:rPr>
          <w:lang w:val="en-GB"/>
        </w:rPr>
        <w:t>Figure</w:t>
      </w:r>
      <w:r w:rsidRPr="00B04DC3">
        <w:rPr>
          <w:lang w:val="en-GB"/>
        </w:rPr>
        <w:t xml:space="preserve"> 2):</w:t>
      </w:r>
    </w:p>
    <w:p w:rsidR="00FA18F4" w:rsidRPr="00B04DC3" w:rsidRDefault="00FA18F4" w:rsidP="00FA18F4">
      <w:pPr>
        <w:pStyle w:val="Heading1"/>
        <w:keepNext/>
      </w:pPr>
      <w:bookmarkStart w:id="73" w:name="_Toc423599469"/>
      <w:bookmarkStart w:id="74" w:name="_Toc423610877"/>
      <w:r w:rsidRPr="00CD7DCC">
        <w:t>Figure 2</w:t>
      </w:r>
      <w:bookmarkEnd w:id="73"/>
      <w:bookmarkEnd w:id="74"/>
    </w:p>
    <w:p w:rsidR="00FA18F4" w:rsidRPr="00B04DC3" w:rsidRDefault="00FA18F4" w:rsidP="00FA18F4">
      <w:pPr>
        <w:pStyle w:val="Heading1"/>
        <w:keepNext/>
        <w:rPr>
          <w:b/>
        </w:rPr>
      </w:pPr>
      <w:bookmarkStart w:id="75" w:name="_Toc423599470"/>
      <w:bookmarkStart w:id="76" w:name="_Toc423610878"/>
      <w:r w:rsidRPr="00B04DC3">
        <w:rPr>
          <w:b/>
        </w:rPr>
        <w:t>Schematic of production conformity testing</w:t>
      </w:r>
      <w:bookmarkEnd w:id="75"/>
      <w:bookmarkEnd w:id="76"/>
    </w:p>
    <w:p w:rsidR="00FA18F4" w:rsidRPr="00B04DC3" w:rsidRDefault="00A905B7" w:rsidP="00FA18F4">
      <w:pPr>
        <w:pStyle w:val="NormalCentered"/>
        <w:numPr>
          <w:ilvl w:val="0"/>
          <w:numId w:val="0"/>
        </w:numPr>
        <w:spacing w:before="0" w:after="0"/>
        <w:ind w:left="1100"/>
        <w:jc w:val="left"/>
      </w:pPr>
      <w:r>
        <w:pict>
          <v:shape id="_x0000_i1042" type="#_x0000_t75" style="width:406.2pt;height:378.6pt" fillcolor="window">
            <v:imagedata r:id="rId47" o:title=""/>
          </v:shape>
        </w:pict>
      </w:r>
    </w:p>
    <w:p w:rsidR="00FA18F4" w:rsidRPr="00B04DC3" w:rsidRDefault="00FA18F4" w:rsidP="00FA18F4">
      <w:pPr>
        <w:pStyle w:val="para"/>
        <w:spacing w:before="240"/>
        <w:rPr>
          <w:lang w:val="en-GB"/>
        </w:rPr>
      </w:pPr>
      <w:r w:rsidRPr="00B04DC3">
        <w:rPr>
          <w:lang w:val="en-GB"/>
        </w:rPr>
        <w:t>4.</w:t>
      </w:r>
      <w:r w:rsidRPr="00B04DC3">
        <w:rPr>
          <w:lang w:val="en-GB"/>
        </w:rPr>
        <w:tab/>
        <w:t>For each sample the sum of the standardized deviations to the limit is calculated using the following formula:</w:t>
      </w:r>
    </w:p>
    <w:p w:rsidR="00FA18F4" w:rsidRPr="00B04DC3" w:rsidRDefault="00AA0E48" w:rsidP="00FA18F4">
      <w:pPr>
        <w:pStyle w:val="para"/>
        <w:rPr>
          <w:lang w:val="en-GB"/>
        </w:rPr>
      </w:pPr>
      <w:r>
        <w:rPr>
          <w:lang w:val="en-GB"/>
        </w:rPr>
        <w:tab/>
      </w:r>
      <w:r>
        <w:rPr>
          <w:lang w:val="en-GB"/>
        </w:rPr>
        <w:tab/>
      </w:r>
      <w:r w:rsidR="00A905B7">
        <w:rPr>
          <w:lang w:val="en-GB"/>
        </w:rPr>
        <w:pict>
          <v:shape id="_x0000_i1043" type="#_x0000_t75" style="width:59.4pt;height:36pt" fillcolor="window">
            <v:imagedata r:id="rId52" o:title=""/>
          </v:shape>
        </w:pict>
      </w:r>
    </w:p>
    <w:p w:rsidR="00C0100D" w:rsidRPr="00B04DC3" w:rsidRDefault="00C0100D" w:rsidP="00B7591F">
      <w:pPr>
        <w:pStyle w:val="para"/>
        <w:rPr>
          <w:lang w:val="en-GB"/>
        </w:rPr>
      </w:pPr>
      <w:r w:rsidRPr="00B04DC3">
        <w:rPr>
          <w:lang w:val="en-GB"/>
        </w:rPr>
        <w:tab/>
      </w:r>
      <w:r w:rsidR="00FA18F4">
        <w:rPr>
          <w:lang w:val="en-GB"/>
        </w:rPr>
        <w:t>Where</w:t>
      </w:r>
      <w:r w:rsidRPr="00B04DC3">
        <w:rPr>
          <w:lang w:val="en-GB"/>
        </w:rPr>
        <w:t>:</w:t>
      </w:r>
    </w:p>
    <w:tbl>
      <w:tblPr>
        <w:tblW w:w="6440" w:type="dxa"/>
        <w:tblInd w:w="2268" w:type="dxa"/>
        <w:tblBorders>
          <w:insideV w:val="single" w:sz="2" w:space="0" w:color="auto"/>
        </w:tblBorders>
        <w:tblLayout w:type="fixed"/>
        <w:tblLook w:val="0000" w:firstRow="0" w:lastRow="0" w:firstColumn="0" w:lastColumn="0" w:noHBand="0" w:noVBand="0"/>
      </w:tblPr>
      <w:tblGrid>
        <w:gridCol w:w="451"/>
        <w:gridCol w:w="402"/>
        <w:gridCol w:w="5587"/>
      </w:tblGrid>
      <w:tr w:rsidR="00C0100D" w:rsidRPr="00B04DC3">
        <w:tc>
          <w:tcPr>
            <w:tcW w:w="451" w:type="dxa"/>
            <w:tcBorders>
              <w:right w:val="nil"/>
            </w:tcBorders>
          </w:tcPr>
          <w:p w:rsidR="00C0100D" w:rsidRPr="00B04DC3" w:rsidRDefault="00C0100D" w:rsidP="00B7591F">
            <w:pPr>
              <w:spacing w:after="120"/>
              <w:ind w:left="1134" w:hanging="1134"/>
              <w:rPr>
                <w:spacing w:val="-2"/>
              </w:rPr>
            </w:pPr>
            <w:r w:rsidRPr="00B04DC3">
              <w:rPr>
                <w:spacing w:val="-2"/>
              </w:rPr>
              <w:t>L</w:t>
            </w:r>
          </w:p>
        </w:tc>
        <w:tc>
          <w:tcPr>
            <w:tcW w:w="402" w:type="dxa"/>
            <w:tcBorders>
              <w:left w:val="nil"/>
              <w:right w:val="nil"/>
            </w:tcBorders>
          </w:tcPr>
          <w:p w:rsidR="00C0100D" w:rsidRPr="00B04DC3" w:rsidRDefault="00C0100D" w:rsidP="00B7591F">
            <w:pPr>
              <w:spacing w:after="120"/>
              <w:ind w:left="1134" w:hanging="1134"/>
              <w:rPr>
                <w:spacing w:val="-2"/>
              </w:rPr>
            </w:pPr>
            <w:r w:rsidRPr="00B04DC3">
              <w:rPr>
                <w:spacing w:val="-2"/>
              </w:rPr>
              <w:t>=</w:t>
            </w:r>
          </w:p>
        </w:tc>
        <w:tc>
          <w:tcPr>
            <w:tcW w:w="5587" w:type="dxa"/>
            <w:tcBorders>
              <w:left w:val="nil"/>
            </w:tcBorders>
          </w:tcPr>
          <w:p w:rsidR="00C0100D" w:rsidRPr="00B04DC3" w:rsidRDefault="00C0100D" w:rsidP="00B7591F">
            <w:pPr>
              <w:spacing w:after="120"/>
              <w:ind w:left="34"/>
              <w:jc w:val="both"/>
              <w:rPr>
                <w:spacing w:val="-2"/>
              </w:rPr>
            </w:pPr>
            <w:r w:rsidRPr="00B04DC3">
              <w:rPr>
                <w:spacing w:val="-2"/>
              </w:rPr>
              <w:t>the natural logarithm of the limit value for the pollutant;</w:t>
            </w:r>
          </w:p>
        </w:tc>
      </w:tr>
      <w:tr w:rsidR="00C0100D" w:rsidRPr="00B04DC3">
        <w:tc>
          <w:tcPr>
            <w:tcW w:w="451" w:type="dxa"/>
            <w:tcBorders>
              <w:right w:val="nil"/>
            </w:tcBorders>
          </w:tcPr>
          <w:p w:rsidR="00C0100D" w:rsidRPr="00B04DC3" w:rsidRDefault="00C0100D" w:rsidP="00B7591F">
            <w:pPr>
              <w:spacing w:after="120"/>
              <w:ind w:left="1134" w:hanging="1134"/>
              <w:rPr>
                <w:spacing w:val="-2"/>
              </w:rPr>
            </w:pPr>
            <w:r w:rsidRPr="00B04DC3">
              <w:rPr>
                <w:spacing w:val="-2"/>
              </w:rPr>
              <w:t>x</w:t>
            </w:r>
            <w:r w:rsidRPr="00B04DC3">
              <w:rPr>
                <w:spacing w:val="-2"/>
                <w:vertAlign w:val="subscript"/>
              </w:rPr>
              <w:t>i</w:t>
            </w:r>
          </w:p>
        </w:tc>
        <w:tc>
          <w:tcPr>
            <w:tcW w:w="402" w:type="dxa"/>
            <w:tcBorders>
              <w:left w:val="nil"/>
              <w:right w:val="nil"/>
            </w:tcBorders>
          </w:tcPr>
          <w:p w:rsidR="00C0100D" w:rsidRPr="00B04DC3" w:rsidRDefault="00C0100D" w:rsidP="00B7591F">
            <w:pPr>
              <w:spacing w:after="120"/>
              <w:ind w:left="1134" w:hanging="1134"/>
              <w:rPr>
                <w:spacing w:val="-2"/>
              </w:rPr>
            </w:pPr>
            <w:r w:rsidRPr="00B04DC3">
              <w:rPr>
                <w:spacing w:val="-2"/>
              </w:rPr>
              <w:t>=</w:t>
            </w:r>
          </w:p>
        </w:tc>
        <w:tc>
          <w:tcPr>
            <w:tcW w:w="5587" w:type="dxa"/>
            <w:tcBorders>
              <w:left w:val="nil"/>
            </w:tcBorders>
          </w:tcPr>
          <w:p w:rsidR="00C0100D" w:rsidRPr="00B04DC3" w:rsidRDefault="00C0100D" w:rsidP="00B7591F">
            <w:pPr>
              <w:spacing w:after="120"/>
              <w:ind w:left="34"/>
              <w:jc w:val="both"/>
              <w:rPr>
                <w:spacing w:val="-2"/>
              </w:rPr>
            </w:pPr>
            <w:r w:rsidRPr="00B04DC3">
              <w:rPr>
                <w:spacing w:val="-2"/>
              </w:rPr>
              <w:t>the natural logarithm of the measurement (after having applied the relevant DF) for the i-th engine of the sample;</w:t>
            </w:r>
          </w:p>
        </w:tc>
      </w:tr>
      <w:tr w:rsidR="00C0100D" w:rsidRPr="00B04DC3">
        <w:tc>
          <w:tcPr>
            <w:tcW w:w="451" w:type="dxa"/>
            <w:tcBorders>
              <w:right w:val="nil"/>
            </w:tcBorders>
          </w:tcPr>
          <w:p w:rsidR="00C0100D" w:rsidRPr="00B04DC3" w:rsidRDefault="00C0100D" w:rsidP="00B7591F">
            <w:pPr>
              <w:spacing w:after="120"/>
              <w:ind w:left="1134" w:hanging="1134"/>
              <w:rPr>
                <w:spacing w:val="-2"/>
              </w:rPr>
            </w:pPr>
            <w:r w:rsidRPr="00B04DC3">
              <w:rPr>
                <w:spacing w:val="-2"/>
              </w:rPr>
              <w:t>s</w:t>
            </w:r>
          </w:p>
        </w:tc>
        <w:tc>
          <w:tcPr>
            <w:tcW w:w="402" w:type="dxa"/>
            <w:tcBorders>
              <w:left w:val="nil"/>
              <w:right w:val="nil"/>
            </w:tcBorders>
          </w:tcPr>
          <w:p w:rsidR="00C0100D" w:rsidRPr="00B04DC3" w:rsidRDefault="00C0100D" w:rsidP="00B7591F">
            <w:pPr>
              <w:spacing w:after="120"/>
              <w:ind w:left="1134" w:hanging="1134"/>
              <w:rPr>
                <w:spacing w:val="-2"/>
              </w:rPr>
            </w:pPr>
            <w:r w:rsidRPr="00B04DC3">
              <w:rPr>
                <w:spacing w:val="-2"/>
              </w:rPr>
              <w:t>=</w:t>
            </w:r>
          </w:p>
        </w:tc>
        <w:tc>
          <w:tcPr>
            <w:tcW w:w="5587" w:type="dxa"/>
            <w:tcBorders>
              <w:left w:val="nil"/>
            </w:tcBorders>
          </w:tcPr>
          <w:p w:rsidR="00C0100D" w:rsidRPr="00B04DC3" w:rsidRDefault="00C0100D" w:rsidP="00B7591F">
            <w:pPr>
              <w:spacing w:after="120"/>
              <w:ind w:left="34"/>
              <w:jc w:val="both"/>
              <w:rPr>
                <w:spacing w:val="-2"/>
              </w:rPr>
            </w:pPr>
            <w:r w:rsidRPr="00B04DC3">
              <w:rPr>
                <w:spacing w:val="-2"/>
              </w:rPr>
              <w:t>an estimate of the production standard deviation (after taking the natural logarithm of the measurements);</w:t>
            </w:r>
          </w:p>
        </w:tc>
      </w:tr>
      <w:tr w:rsidR="00C0100D" w:rsidRPr="00B04DC3">
        <w:tc>
          <w:tcPr>
            <w:tcW w:w="451" w:type="dxa"/>
            <w:tcBorders>
              <w:right w:val="nil"/>
            </w:tcBorders>
          </w:tcPr>
          <w:p w:rsidR="00C0100D" w:rsidRPr="00B04DC3" w:rsidRDefault="00C0100D" w:rsidP="00B7591F">
            <w:pPr>
              <w:spacing w:after="120"/>
              <w:ind w:left="1134" w:hanging="1134"/>
              <w:rPr>
                <w:spacing w:val="-2"/>
              </w:rPr>
            </w:pPr>
            <w:r w:rsidRPr="00B04DC3">
              <w:rPr>
                <w:spacing w:val="-2"/>
              </w:rPr>
              <w:t>n</w:t>
            </w:r>
          </w:p>
        </w:tc>
        <w:tc>
          <w:tcPr>
            <w:tcW w:w="402" w:type="dxa"/>
            <w:tcBorders>
              <w:left w:val="nil"/>
              <w:right w:val="nil"/>
            </w:tcBorders>
          </w:tcPr>
          <w:p w:rsidR="00C0100D" w:rsidRPr="00B04DC3" w:rsidRDefault="00C0100D" w:rsidP="00B7591F">
            <w:pPr>
              <w:spacing w:after="120"/>
              <w:ind w:left="1134" w:hanging="1134"/>
              <w:rPr>
                <w:spacing w:val="-2"/>
              </w:rPr>
            </w:pPr>
            <w:r w:rsidRPr="00B04DC3">
              <w:rPr>
                <w:spacing w:val="-2"/>
              </w:rPr>
              <w:t>=</w:t>
            </w:r>
          </w:p>
        </w:tc>
        <w:tc>
          <w:tcPr>
            <w:tcW w:w="5587" w:type="dxa"/>
            <w:tcBorders>
              <w:left w:val="nil"/>
            </w:tcBorders>
          </w:tcPr>
          <w:p w:rsidR="00C0100D" w:rsidRPr="00B04DC3" w:rsidRDefault="00C0100D" w:rsidP="00B7591F">
            <w:pPr>
              <w:spacing w:after="120"/>
              <w:ind w:left="34"/>
              <w:jc w:val="both"/>
              <w:rPr>
                <w:spacing w:val="-2"/>
              </w:rPr>
            </w:pPr>
            <w:r w:rsidRPr="00B04DC3">
              <w:rPr>
                <w:spacing w:val="-2"/>
              </w:rPr>
              <w:t>the current sample number.</w:t>
            </w:r>
          </w:p>
        </w:tc>
      </w:tr>
    </w:tbl>
    <w:p w:rsidR="00C0100D" w:rsidRPr="00B04DC3" w:rsidRDefault="00C0100D" w:rsidP="00B7591F">
      <w:pPr>
        <w:pStyle w:val="para"/>
        <w:rPr>
          <w:lang w:val="en-GB"/>
        </w:rPr>
      </w:pPr>
      <w:r w:rsidRPr="00B04DC3">
        <w:rPr>
          <w:lang w:val="en-GB"/>
        </w:rPr>
        <w:t>5.</w:t>
      </w:r>
      <w:r w:rsidRPr="00B04DC3">
        <w:rPr>
          <w:lang w:val="en-GB"/>
        </w:rPr>
        <w:tab/>
        <w:t>Then:</w:t>
      </w:r>
    </w:p>
    <w:p w:rsidR="00C0100D" w:rsidRPr="00B04DC3" w:rsidRDefault="00C0100D" w:rsidP="00B7591F">
      <w:pPr>
        <w:pStyle w:val="a"/>
        <w:rPr>
          <w:lang w:val="en-GB"/>
        </w:rPr>
      </w:pPr>
      <w:r w:rsidRPr="00B04DC3">
        <w:rPr>
          <w:lang w:val="en-GB"/>
        </w:rPr>
        <w:t>(a)</w:t>
      </w:r>
      <w:r w:rsidRPr="00B04DC3">
        <w:rPr>
          <w:lang w:val="en-GB"/>
        </w:rPr>
        <w:tab/>
      </w:r>
      <w:r w:rsidR="00B7591F" w:rsidRPr="00B04DC3">
        <w:rPr>
          <w:lang w:val="en-GB"/>
        </w:rPr>
        <w:t>If</w:t>
      </w:r>
      <w:r w:rsidRPr="00B04DC3">
        <w:rPr>
          <w:lang w:val="en-GB"/>
        </w:rPr>
        <w:t xml:space="preserve"> the test statistic result is greater than the pass decision number for the sample size given in </w:t>
      </w:r>
      <w:r w:rsidR="00082505">
        <w:rPr>
          <w:lang w:val="en-GB"/>
        </w:rPr>
        <w:t>T</w:t>
      </w:r>
      <w:r w:rsidR="00082505" w:rsidRPr="00B04DC3">
        <w:rPr>
          <w:lang w:val="en-GB"/>
        </w:rPr>
        <w:t xml:space="preserve">able </w:t>
      </w:r>
      <w:r w:rsidRPr="00B04DC3">
        <w:rPr>
          <w:lang w:val="en-GB"/>
        </w:rPr>
        <w:t>3, a pass decision is reached for the pollutant;</w:t>
      </w:r>
    </w:p>
    <w:p w:rsidR="00C0100D" w:rsidRPr="00B04DC3" w:rsidRDefault="00C0100D" w:rsidP="00B7591F">
      <w:pPr>
        <w:pStyle w:val="a"/>
        <w:rPr>
          <w:lang w:val="en-GB"/>
        </w:rPr>
      </w:pPr>
      <w:r w:rsidRPr="00B04DC3">
        <w:rPr>
          <w:lang w:val="en-GB"/>
        </w:rPr>
        <w:t>(b)</w:t>
      </w:r>
      <w:r w:rsidRPr="00B04DC3">
        <w:rPr>
          <w:lang w:val="en-GB"/>
        </w:rPr>
        <w:tab/>
      </w:r>
      <w:r w:rsidR="00B7591F" w:rsidRPr="00B04DC3">
        <w:rPr>
          <w:lang w:val="en-GB"/>
        </w:rPr>
        <w:t>If</w:t>
      </w:r>
      <w:r w:rsidRPr="00B04DC3">
        <w:rPr>
          <w:lang w:val="en-GB"/>
        </w:rPr>
        <w:t xml:space="preserve"> the test statistic result is less than the fail decision number for the sample size given in </w:t>
      </w:r>
      <w:r w:rsidR="00082505">
        <w:rPr>
          <w:lang w:val="en-GB"/>
        </w:rPr>
        <w:t>T</w:t>
      </w:r>
      <w:r w:rsidR="00082505" w:rsidRPr="00B04DC3">
        <w:rPr>
          <w:lang w:val="en-GB"/>
        </w:rPr>
        <w:t xml:space="preserve">able </w:t>
      </w:r>
      <w:r w:rsidRPr="00B04DC3">
        <w:rPr>
          <w:lang w:val="en-GB"/>
        </w:rPr>
        <w:t>3, a fail decision is reached for the pollutant;</w:t>
      </w:r>
    </w:p>
    <w:p w:rsidR="00C0100D" w:rsidRPr="00B04DC3" w:rsidRDefault="00C0100D" w:rsidP="00B7591F">
      <w:pPr>
        <w:pStyle w:val="a"/>
        <w:rPr>
          <w:lang w:val="en-GB"/>
        </w:rPr>
      </w:pPr>
      <w:r w:rsidRPr="00B04DC3">
        <w:rPr>
          <w:lang w:val="en-GB"/>
        </w:rPr>
        <w:t>(c)</w:t>
      </w:r>
      <w:r w:rsidRPr="00B04DC3">
        <w:rPr>
          <w:lang w:val="en-GB"/>
        </w:rPr>
        <w:tab/>
      </w:r>
      <w:r w:rsidR="00B7591F" w:rsidRPr="00B04DC3">
        <w:rPr>
          <w:lang w:val="en-GB"/>
        </w:rPr>
        <w:t>Otherwise</w:t>
      </w:r>
      <w:r w:rsidRPr="00B04DC3">
        <w:rPr>
          <w:lang w:val="en-GB"/>
        </w:rPr>
        <w:t>, an additional engine is tested according to paragraph 8.3.1. and the calculation procedure is applied to the sample increased by one more unit.</w:t>
      </w:r>
    </w:p>
    <w:p w:rsidR="00B7591F" w:rsidRPr="00B04DC3" w:rsidRDefault="00C0100D" w:rsidP="00B7591F">
      <w:pPr>
        <w:pStyle w:val="Heading1"/>
      </w:pPr>
      <w:bookmarkStart w:id="77" w:name="_Toc399939884"/>
      <w:bookmarkStart w:id="78" w:name="_Toc423599471"/>
      <w:bookmarkStart w:id="79" w:name="_Toc423610879"/>
      <w:r w:rsidRPr="00B04DC3">
        <w:t>Table 3</w:t>
      </w:r>
      <w:bookmarkEnd w:id="77"/>
      <w:bookmarkEnd w:id="78"/>
      <w:bookmarkEnd w:id="79"/>
    </w:p>
    <w:p w:rsidR="00C0100D" w:rsidRPr="00B04DC3" w:rsidRDefault="00C0100D" w:rsidP="00B7591F">
      <w:pPr>
        <w:pStyle w:val="Heading1"/>
        <w:rPr>
          <w:b/>
        </w:rPr>
      </w:pPr>
      <w:bookmarkStart w:id="80" w:name="_Toc399939885"/>
      <w:bookmarkStart w:id="81" w:name="_Toc423599472"/>
      <w:bookmarkStart w:id="82" w:name="_Toc423610880"/>
      <w:r w:rsidRPr="00B04DC3">
        <w:rPr>
          <w:b/>
        </w:rPr>
        <w:t xml:space="preserve">Pass and </w:t>
      </w:r>
      <w:r w:rsidR="00594E5F" w:rsidRPr="00B04DC3">
        <w:rPr>
          <w:b/>
        </w:rPr>
        <w:t>fail decision numbers of Appendix 1 sampling p</w:t>
      </w:r>
      <w:r w:rsidRPr="00B04DC3">
        <w:rPr>
          <w:b/>
        </w:rPr>
        <w:t>lan</w:t>
      </w:r>
      <w:bookmarkEnd w:id="80"/>
      <w:bookmarkEnd w:id="81"/>
      <w:bookmarkEnd w:id="82"/>
    </w:p>
    <w:p w:rsidR="00C0100D" w:rsidRPr="00B04DC3" w:rsidRDefault="00C0100D" w:rsidP="00B7591F">
      <w:pPr>
        <w:pStyle w:val="Heading1"/>
        <w:rPr>
          <w:b/>
        </w:rPr>
      </w:pPr>
      <w:bookmarkStart w:id="83" w:name="_Toc399939886"/>
      <w:bookmarkStart w:id="84" w:name="_Toc423599473"/>
      <w:bookmarkStart w:id="85" w:name="_Toc423610881"/>
      <w:r w:rsidRPr="00B04DC3">
        <w:rPr>
          <w:b/>
        </w:rPr>
        <w:t>Minimum sample size: 3</w:t>
      </w:r>
      <w:bookmarkEnd w:id="83"/>
      <w:bookmarkEnd w:id="84"/>
      <w:bookmarkEnd w:id="85"/>
    </w:p>
    <w:tbl>
      <w:tblPr>
        <w:tblW w:w="66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100"/>
        <w:gridCol w:w="2000"/>
      </w:tblGrid>
      <w:tr w:rsidR="00C0100D" w:rsidRPr="00B04DC3" w:rsidTr="00AA0E48">
        <w:trPr>
          <w:tblHeader/>
        </w:trPr>
        <w:tc>
          <w:tcPr>
            <w:tcW w:w="2574" w:type="dxa"/>
            <w:tcBorders>
              <w:bottom w:val="single" w:sz="12" w:space="0" w:color="auto"/>
            </w:tcBorders>
          </w:tcPr>
          <w:p w:rsidR="00C0100D" w:rsidRPr="00B04DC3" w:rsidRDefault="00C0100D" w:rsidP="00EA5811">
            <w:pPr>
              <w:autoSpaceDE w:val="0"/>
              <w:autoSpaceDN w:val="0"/>
              <w:adjustRightInd w:val="0"/>
              <w:spacing w:before="20" w:after="20" w:line="200" w:lineRule="exact"/>
              <w:ind w:left="-134" w:right="-108"/>
              <w:jc w:val="center"/>
              <w:rPr>
                <w:i/>
                <w:sz w:val="16"/>
                <w:szCs w:val="16"/>
              </w:rPr>
            </w:pPr>
            <w:r w:rsidRPr="00B04DC3">
              <w:rPr>
                <w:i/>
                <w:sz w:val="16"/>
                <w:szCs w:val="16"/>
              </w:rPr>
              <w:t xml:space="preserve">Cumulative number of engines tested </w:t>
            </w:r>
            <w:r w:rsidR="00EA5811" w:rsidRPr="00B04DC3">
              <w:rPr>
                <w:i/>
                <w:sz w:val="16"/>
                <w:szCs w:val="16"/>
              </w:rPr>
              <w:br/>
            </w:r>
            <w:r w:rsidRPr="00B04DC3">
              <w:rPr>
                <w:i/>
                <w:sz w:val="16"/>
                <w:szCs w:val="16"/>
              </w:rPr>
              <w:t>(sample size)</w:t>
            </w:r>
          </w:p>
        </w:tc>
        <w:tc>
          <w:tcPr>
            <w:tcW w:w="2100" w:type="dxa"/>
            <w:tcBorders>
              <w:bottom w:val="single" w:sz="12" w:space="0" w:color="auto"/>
            </w:tcBorders>
          </w:tcPr>
          <w:p w:rsidR="00C0100D" w:rsidRPr="00B04DC3" w:rsidRDefault="00C0100D" w:rsidP="00EA5811">
            <w:pPr>
              <w:autoSpaceDE w:val="0"/>
              <w:autoSpaceDN w:val="0"/>
              <w:adjustRightInd w:val="0"/>
              <w:spacing w:before="20" w:after="20" w:line="200" w:lineRule="exact"/>
              <w:jc w:val="center"/>
              <w:rPr>
                <w:i/>
                <w:sz w:val="16"/>
                <w:szCs w:val="16"/>
              </w:rPr>
            </w:pPr>
            <w:r w:rsidRPr="00B04DC3">
              <w:rPr>
                <w:i/>
                <w:sz w:val="16"/>
                <w:szCs w:val="16"/>
              </w:rPr>
              <w:t>Pass decision number A</w:t>
            </w:r>
            <w:r w:rsidRPr="00B04DC3">
              <w:rPr>
                <w:i/>
                <w:sz w:val="16"/>
                <w:szCs w:val="16"/>
                <w:vertAlign w:val="subscript"/>
              </w:rPr>
              <w:t>n</w:t>
            </w:r>
          </w:p>
        </w:tc>
        <w:tc>
          <w:tcPr>
            <w:tcW w:w="2000" w:type="dxa"/>
            <w:tcBorders>
              <w:bottom w:val="single" w:sz="12" w:space="0" w:color="auto"/>
            </w:tcBorders>
          </w:tcPr>
          <w:p w:rsidR="00C0100D" w:rsidRPr="00B04DC3" w:rsidRDefault="00C0100D" w:rsidP="00EA5811">
            <w:pPr>
              <w:autoSpaceDE w:val="0"/>
              <w:autoSpaceDN w:val="0"/>
              <w:adjustRightInd w:val="0"/>
              <w:spacing w:before="20" w:after="20" w:line="200" w:lineRule="exact"/>
              <w:jc w:val="center"/>
              <w:rPr>
                <w:i/>
                <w:sz w:val="16"/>
                <w:szCs w:val="16"/>
              </w:rPr>
            </w:pPr>
            <w:r w:rsidRPr="00B04DC3">
              <w:rPr>
                <w:i/>
                <w:sz w:val="16"/>
                <w:szCs w:val="16"/>
              </w:rPr>
              <w:t>Fail decision number B</w:t>
            </w:r>
            <w:r w:rsidRPr="00B04DC3">
              <w:rPr>
                <w:i/>
                <w:sz w:val="16"/>
                <w:szCs w:val="16"/>
                <w:vertAlign w:val="subscript"/>
              </w:rPr>
              <w:t>n</w:t>
            </w:r>
          </w:p>
        </w:tc>
      </w:tr>
      <w:tr w:rsidR="00C0100D" w:rsidRPr="00B04DC3" w:rsidTr="009E373B">
        <w:tc>
          <w:tcPr>
            <w:tcW w:w="2574" w:type="dxa"/>
            <w:tcBorders>
              <w:top w:val="single" w:sz="12" w:space="0" w:color="auto"/>
            </w:tcBorders>
          </w:tcPr>
          <w:p w:rsidR="00C0100D" w:rsidRPr="00B04DC3" w:rsidRDefault="00C0100D" w:rsidP="00C4527E">
            <w:pPr>
              <w:spacing w:before="20" w:after="20"/>
              <w:jc w:val="center"/>
              <w:rPr>
                <w:sz w:val="18"/>
                <w:szCs w:val="18"/>
              </w:rPr>
            </w:pPr>
            <w:r w:rsidRPr="00B04DC3">
              <w:rPr>
                <w:sz w:val="18"/>
                <w:szCs w:val="18"/>
              </w:rPr>
              <w:t>3</w:t>
            </w:r>
          </w:p>
        </w:tc>
        <w:tc>
          <w:tcPr>
            <w:tcW w:w="2100" w:type="dxa"/>
            <w:tcBorders>
              <w:top w:val="single" w:sz="12" w:space="0" w:color="auto"/>
            </w:tcBorders>
          </w:tcPr>
          <w:p w:rsidR="00C0100D" w:rsidRPr="00B04DC3" w:rsidRDefault="00C0100D" w:rsidP="00C4527E">
            <w:pPr>
              <w:spacing w:before="20" w:after="20"/>
              <w:jc w:val="center"/>
              <w:rPr>
                <w:sz w:val="18"/>
                <w:szCs w:val="18"/>
              </w:rPr>
            </w:pPr>
            <w:r w:rsidRPr="00B04DC3">
              <w:rPr>
                <w:sz w:val="18"/>
                <w:szCs w:val="18"/>
              </w:rPr>
              <w:t>3.327</w:t>
            </w:r>
          </w:p>
        </w:tc>
        <w:tc>
          <w:tcPr>
            <w:tcW w:w="2000" w:type="dxa"/>
            <w:tcBorders>
              <w:top w:val="single" w:sz="12" w:space="0" w:color="auto"/>
            </w:tcBorders>
          </w:tcPr>
          <w:p w:rsidR="00C0100D" w:rsidRPr="00B04DC3" w:rsidRDefault="00C0100D" w:rsidP="00C4527E">
            <w:pPr>
              <w:spacing w:before="20" w:after="20"/>
              <w:jc w:val="center"/>
              <w:rPr>
                <w:sz w:val="18"/>
                <w:szCs w:val="18"/>
              </w:rPr>
            </w:pPr>
            <w:r w:rsidRPr="00B04DC3">
              <w:rPr>
                <w:sz w:val="18"/>
                <w:szCs w:val="18"/>
              </w:rPr>
              <w:t>− 4.724</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4</w:t>
            </w:r>
          </w:p>
        </w:tc>
        <w:tc>
          <w:tcPr>
            <w:tcW w:w="2100" w:type="dxa"/>
          </w:tcPr>
          <w:p w:rsidR="00C0100D" w:rsidRPr="00B04DC3" w:rsidRDefault="00C0100D" w:rsidP="00C4527E">
            <w:pPr>
              <w:spacing w:before="20" w:after="20"/>
              <w:jc w:val="center"/>
              <w:rPr>
                <w:sz w:val="18"/>
                <w:szCs w:val="18"/>
              </w:rPr>
            </w:pPr>
            <w:r w:rsidRPr="00B04DC3">
              <w:rPr>
                <w:sz w:val="18"/>
                <w:szCs w:val="18"/>
              </w:rPr>
              <w:t>3.261</w:t>
            </w:r>
          </w:p>
        </w:tc>
        <w:tc>
          <w:tcPr>
            <w:tcW w:w="2000" w:type="dxa"/>
          </w:tcPr>
          <w:p w:rsidR="00C0100D" w:rsidRPr="00B04DC3" w:rsidRDefault="00C0100D" w:rsidP="00C4527E">
            <w:pPr>
              <w:spacing w:before="20" w:after="20"/>
              <w:jc w:val="center"/>
              <w:rPr>
                <w:sz w:val="18"/>
                <w:szCs w:val="18"/>
              </w:rPr>
            </w:pPr>
            <w:r w:rsidRPr="00B04DC3">
              <w:rPr>
                <w:sz w:val="18"/>
                <w:szCs w:val="18"/>
              </w:rPr>
              <w:t>− 4.790</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5</w:t>
            </w:r>
          </w:p>
        </w:tc>
        <w:tc>
          <w:tcPr>
            <w:tcW w:w="2100" w:type="dxa"/>
          </w:tcPr>
          <w:p w:rsidR="00C0100D" w:rsidRPr="00B04DC3" w:rsidRDefault="00C0100D" w:rsidP="00C4527E">
            <w:pPr>
              <w:spacing w:before="20" w:after="20"/>
              <w:jc w:val="center"/>
              <w:rPr>
                <w:sz w:val="18"/>
                <w:szCs w:val="18"/>
              </w:rPr>
            </w:pPr>
            <w:r w:rsidRPr="00B04DC3">
              <w:rPr>
                <w:sz w:val="18"/>
                <w:szCs w:val="18"/>
              </w:rPr>
              <w:t>3.195</w:t>
            </w:r>
          </w:p>
        </w:tc>
        <w:tc>
          <w:tcPr>
            <w:tcW w:w="2000" w:type="dxa"/>
          </w:tcPr>
          <w:p w:rsidR="00C0100D" w:rsidRPr="00B04DC3" w:rsidRDefault="00C0100D" w:rsidP="00C4527E">
            <w:pPr>
              <w:spacing w:before="20" w:after="20"/>
              <w:jc w:val="center"/>
              <w:rPr>
                <w:sz w:val="18"/>
                <w:szCs w:val="18"/>
              </w:rPr>
            </w:pPr>
            <w:r w:rsidRPr="00B04DC3">
              <w:rPr>
                <w:sz w:val="18"/>
                <w:szCs w:val="18"/>
              </w:rPr>
              <w:t>− 4.856</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6</w:t>
            </w:r>
          </w:p>
        </w:tc>
        <w:tc>
          <w:tcPr>
            <w:tcW w:w="2100" w:type="dxa"/>
          </w:tcPr>
          <w:p w:rsidR="00C0100D" w:rsidRPr="00B04DC3" w:rsidRDefault="00C0100D" w:rsidP="00C4527E">
            <w:pPr>
              <w:spacing w:before="20" w:after="20"/>
              <w:jc w:val="center"/>
              <w:rPr>
                <w:sz w:val="18"/>
                <w:szCs w:val="18"/>
              </w:rPr>
            </w:pPr>
            <w:r w:rsidRPr="00B04DC3">
              <w:rPr>
                <w:sz w:val="18"/>
                <w:szCs w:val="18"/>
              </w:rPr>
              <w:t>3.129</w:t>
            </w:r>
          </w:p>
        </w:tc>
        <w:tc>
          <w:tcPr>
            <w:tcW w:w="2000" w:type="dxa"/>
          </w:tcPr>
          <w:p w:rsidR="00C0100D" w:rsidRPr="00B04DC3" w:rsidRDefault="00C0100D" w:rsidP="00C4527E">
            <w:pPr>
              <w:spacing w:before="20" w:after="20"/>
              <w:jc w:val="center"/>
              <w:rPr>
                <w:sz w:val="18"/>
                <w:szCs w:val="18"/>
              </w:rPr>
            </w:pPr>
            <w:r w:rsidRPr="00B04DC3">
              <w:rPr>
                <w:sz w:val="18"/>
                <w:szCs w:val="18"/>
              </w:rPr>
              <w:t>− 4.922</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7</w:t>
            </w:r>
          </w:p>
        </w:tc>
        <w:tc>
          <w:tcPr>
            <w:tcW w:w="2100" w:type="dxa"/>
          </w:tcPr>
          <w:p w:rsidR="00C0100D" w:rsidRPr="00B04DC3" w:rsidRDefault="00C0100D" w:rsidP="00C4527E">
            <w:pPr>
              <w:spacing w:before="20" w:after="20"/>
              <w:jc w:val="center"/>
              <w:rPr>
                <w:sz w:val="18"/>
                <w:szCs w:val="18"/>
              </w:rPr>
            </w:pPr>
            <w:r w:rsidRPr="00B04DC3">
              <w:rPr>
                <w:sz w:val="18"/>
                <w:szCs w:val="18"/>
              </w:rPr>
              <w:t>3.063</w:t>
            </w:r>
          </w:p>
        </w:tc>
        <w:tc>
          <w:tcPr>
            <w:tcW w:w="2000" w:type="dxa"/>
          </w:tcPr>
          <w:p w:rsidR="00C0100D" w:rsidRPr="00B04DC3" w:rsidRDefault="00C0100D" w:rsidP="00C4527E">
            <w:pPr>
              <w:spacing w:before="20" w:after="20"/>
              <w:jc w:val="center"/>
              <w:rPr>
                <w:sz w:val="18"/>
                <w:szCs w:val="18"/>
              </w:rPr>
            </w:pPr>
            <w:r w:rsidRPr="00B04DC3">
              <w:rPr>
                <w:sz w:val="18"/>
                <w:szCs w:val="18"/>
              </w:rPr>
              <w:t>− 4.988</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8</w:t>
            </w:r>
          </w:p>
        </w:tc>
        <w:tc>
          <w:tcPr>
            <w:tcW w:w="2100" w:type="dxa"/>
          </w:tcPr>
          <w:p w:rsidR="00C0100D" w:rsidRPr="00B04DC3" w:rsidRDefault="00C0100D" w:rsidP="00C4527E">
            <w:pPr>
              <w:spacing w:before="20" w:after="20"/>
              <w:jc w:val="center"/>
              <w:rPr>
                <w:sz w:val="18"/>
                <w:szCs w:val="18"/>
              </w:rPr>
            </w:pPr>
            <w:r w:rsidRPr="00B04DC3">
              <w:rPr>
                <w:sz w:val="18"/>
                <w:szCs w:val="18"/>
              </w:rPr>
              <w:t>2.997</w:t>
            </w:r>
          </w:p>
        </w:tc>
        <w:tc>
          <w:tcPr>
            <w:tcW w:w="2000" w:type="dxa"/>
          </w:tcPr>
          <w:p w:rsidR="00C0100D" w:rsidRPr="00B04DC3" w:rsidRDefault="00C0100D" w:rsidP="00C4527E">
            <w:pPr>
              <w:spacing w:before="20" w:after="20"/>
              <w:jc w:val="center"/>
              <w:rPr>
                <w:sz w:val="18"/>
                <w:szCs w:val="18"/>
              </w:rPr>
            </w:pPr>
            <w:r w:rsidRPr="00B04DC3">
              <w:rPr>
                <w:sz w:val="18"/>
                <w:szCs w:val="18"/>
              </w:rPr>
              <w:t>− 5.054</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9</w:t>
            </w:r>
          </w:p>
        </w:tc>
        <w:tc>
          <w:tcPr>
            <w:tcW w:w="2100" w:type="dxa"/>
          </w:tcPr>
          <w:p w:rsidR="00C0100D" w:rsidRPr="00B04DC3" w:rsidRDefault="00C0100D" w:rsidP="00C4527E">
            <w:pPr>
              <w:spacing w:before="20" w:after="20"/>
              <w:jc w:val="center"/>
              <w:rPr>
                <w:sz w:val="18"/>
                <w:szCs w:val="18"/>
              </w:rPr>
            </w:pPr>
            <w:r w:rsidRPr="00B04DC3">
              <w:rPr>
                <w:sz w:val="18"/>
                <w:szCs w:val="18"/>
              </w:rPr>
              <w:t>2.931</w:t>
            </w:r>
          </w:p>
        </w:tc>
        <w:tc>
          <w:tcPr>
            <w:tcW w:w="2000" w:type="dxa"/>
          </w:tcPr>
          <w:p w:rsidR="00C0100D" w:rsidRPr="00B04DC3" w:rsidRDefault="00C0100D" w:rsidP="00C4527E">
            <w:pPr>
              <w:spacing w:before="20" w:after="20"/>
              <w:jc w:val="center"/>
              <w:rPr>
                <w:sz w:val="18"/>
                <w:szCs w:val="18"/>
              </w:rPr>
            </w:pPr>
            <w:r w:rsidRPr="00B04DC3">
              <w:rPr>
                <w:sz w:val="18"/>
                <w:szCs w:val="18"/>
              </w:rPr>
              <w:t>− 5.120</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10</w:t>
            </w:r>
          </w:p>
        </w:tc>
        <w:tc>
          <w:tcPr>
            <w:tcW w:w="2100" w:type="dxa"/>
          </w:tcPr>
          <w:p w:rsidR="00C0100D" w:rsidRPr="00B04DC3" w:rsidRDefault="00C0100D" w:rsidP="00C4527E">
            <w:pPr>
              <w:spacing w:before="20" w:after="20"/>
              <w:jc w:val="center"/>
              <w:rPr>
                <w:sz w:val="18"/>
                <w:szCs w:val="18"/>
              </w:rPr>
            </w:pPr>
            <w:r w:rsidRPr="00B04DC3">
              <w:rPr>
                <w:sz w:val="18"/>
                <w:szCs w:val="18"/>
              </w:rPr>
              <w:t>2.865</w:t>
            </w:r>
          </w:p>
        </w:tc>
        <w:tc>
          <w:tcPr>
            <w:tcW w:w="2000" w:type="dxa"/>
          </w:tcPr>
          <w:p w:rsidR="00C0100D" w:rsidRPr="00B04DC3" w:rsidRDefault="00C0100D" w:rsidP="00C4527E">
            <w:pPr>
              <w:spacing w:before="20" w:after="20"/>
              <w:jc w:val="center"/>
              <w:rPr>
                <w:sz w:val="18"/>
                <w:szCs w:val="18"/>
              </w:rPr>
            </w:pPr>
            <w:r w:rsidRPr="00B04DC3">
              <w:rPr>
                <w:sz w:val="18"/>
                <w:szCs w:val="18"/>
              </w:rPr>
              <w:t>− 5.185</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11</w:t>
            </w:r>
          </w:p>
        </w:tc>
        <w:tc>
          <w:tcPr>
            <w:tcW w:w="2100" w:type="dxa"/>
          </w:tcPr>
          <w:p w:rsidR="00C0100D" w:rsidRPr="00B04DC3" w:rsidRDefault="00C0100D" w:rsidP="00C4527E">
            <w:pPr>
              <w:spacing w:before="20" w:after="20"/>
              <w:jc w:val="center"/>
              <w:rPr>
                <w:sz w:val="18"/>
                <w:szCs w:val="18"/>
              </w:rPr>
            </w:pPr>
            <w:r w:rsidRPr="00B04DC3">
              <w:rPr>
                <w:sz w:val="18"/>
                <w:szCs w:val="18"/>
              </w:rPr>
              <w:t>2.799</w:t>
            </w:r>
          </w:p>
        </w:tc>
        <w:tc>
          <w:tcPr>
            <w:tcW w:w="2000" w:type="dxa"/>
          </w:tcPr>
          <w:p w:rsidR="00C0100D" w:rsidRPr="00B04DC3" w:rsidRDefault="00C0100D" w:rsidP="00C4527E">
            <w:pPr>
              <w:spacing w:before="20" w:after="20"/>
              <w:jc w:val="center"/>
              <w:rPr>
                <w:sz w:val="18"/>
                <w:szCs w:val="18"/>
              </w:rPr>
            </w:pPr>
            <w:r w:rsidRPr="00B04DC3">
              <w:rPr>
                <w:sz w:val="18"/>
                <w:szCs w:val="18"/>
              </w:rPr>
              <w:t>− 5.251</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12</w:t>
            </w:r>
          </w:p>
        </w:tc>
        <w:tc>
          <w:tcPr>
            <w:tcW w:w="2100" w:type="dxa"/>
          </w:tcPr>
          <w:p w:rsidR="00C0100D" w:rsidRPr="00B04DC3" w:rsidRDefault="00C0100D" w:rsidP="00C4527E">
            <w:pPr>
              <w:spacing w:before="20" w:after="20"/>
              <w:jc w:val="center"/>
              <w:rPr>
                <w:sz w:val="18"/>
                <w:szCs w:val="18"/>
              </w:rPr>
            </w:pPr>
            <w:r w:rsidRPr="00B04DC3">
              <w:rPr>
                <w:sz w:val="18"/>
                <w:szCs w:val="18"/>
              </w:rPr>
              <w:t>2.733</w:t>
            </w:r>
          </w:p>
        </w:tc>
        <w:tc>
          <w:tcPr>
            <w:tcW w:w="2000" w:type="dxa"/>
          </w:tcPr>
          <w:p w:rsidR="00C0100D" w:rsidRPr="00B04DC3" w:rsidRDefault="00C0100D" w:rsidP="00C4527E">
            <w:pPr>
              <w:spacing w:before="20" w:after="20"/>
              <w:jc w:val="center"/>
              <w:rPr>
                <w:sz w:val="18"/>
                <w:szCs w:val="18"/>
              </w:rPr>
            </w:pPr>
            <w:r w:rsidRPr="00B04DC3">
              <w:rPr>
                <w:sz w:val="18"/>
                <w:szCs w:val="18"/>
              </w:rPr>
              <w:t>− 5.317</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13</w:t>
            </w:r>
          </w:p>
        </w:tc>
        <w:tc>
          <w:tcPr>
            <w:tcW w:w="2100" w:type="dxa"/>
          </w:tcPr>
          <w:p w:rsidR="00C0100D" w:rsidRPr="00B04DC3" w:rsidRDefault="00C0100D" w:rsidP="00C4527E">
            <w:pPr>
              <w:spacing w:before="20" w:after="20"/>
              <w:jc w:val="center"/>
              <w:rPr>
                <w:sz w:val="18"/>
                <w:szCs w:val="18"/>
              </w:rPr>
            </w:pPr>
            <w:r w:rsidRPr="00B04DC3">
              <w:rPr>
                <w:sz w:val="18"/>
                <w:szCs w:val="18"/>
              </w:rPr>
              <w:t>2.667</w:t>
            </w:r>
          </w:p>
        </w:tc>
        <w:tc>
          <w:tcPr>
            <w:tcW w:w="2000" w:type="dxa"/>
          </w:tcPr>
          <w:p w:rsidR="00C0100D" w:rsidRPr="00B04DC3" w:rsidRDefault="00C0100D" w:rsidP="00C4527E">
            <w:pPr>
              <w:spacing w:before="20" w:after="20"/>
              <w:jc w:val="center"/>
              <w:rPr>
                <w:sz w:val="18"/>
                <w:szCs w:val="18"/>
              </w:rPr>
            </w:pPr>
            <w:r w:rsidRPr="00B04DC3">
              <w:rPr>
                <w:sz w:val="18"/>
                <w:szCs w:val="18"/>
              </w:rPr>
              <w:t>− 5.383</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14</w:t>
            </w:r>
          </w:p>
        </w:tc>
        <w:tc>
          <w:tcPr>
            <w:tcW w:w="2100" w:type="dxa"/>
          </w:tcPr>
          <w:p w:rsidR="00C0100D" w:rsidRPr="00B04DC3" w:rsidRDefault="00C0100D" w:rsidP="00C4527E">
            <w:pPr>
              <w:spacing w:before="20" w:after="20"/>
              <w:jc w:val="center"/>
              <w:rPr>
                <w:sz w:val="18"/>
                <w:szCs w:val="18"/>
              </w:rPr>
            </w:pPr>
            <w:r w:rsidRPr="00B04DC3">
              <w:rPr>
                <w:sz w:val="18"/>
                <w:szCs w:val="18"/>
              </w:rPr>
              <w:t>2.601</w:t>
            </w:r>
          </w:p>
        </w:tc>
        <w:tc>
          <w:tcPr>
            <w:tcW w:w="2000" w:type="dxa"/>
          </w:tcPr>
          <w:p w:rsidR="00C0100D" w:rsidRPr="00B04DC3" w:rsidRDefault="00C0100D" w:rsidP="00C4527E">
            <w:pPr>
              <w:spacing w:before="20" w:after="20"/>
              <w:jc w:val="center"/>
              <w:rPr>
                <w:sz w:val="18"/>
                <w:szCs w:val="18"/>
              </w:rPr>
            </w:pPr>
            <w:r w:rsidRPr="00B04DC3">
              <w:rPr>
                <w:sz w:val="18"/>
                <w:szCs w:val="18"/>
              </w:rPr>
              <w:t>− 5.449</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15</w:t>
            </w:r>
          </w:p>
        </w:tc>
        <w:tc>
          <w:tcPr>
            <w:tcW w:w="2100" w:type="dxa"/>
          </w:tcPr>
          <w:p w:rsidR="00C0100D" w:rsidRPr="00B04DC3" w:rsidRDefault="00C0100D" w:rsidP="00C4527E">
            <w:pPr>
              <w:spacing w:before="20" w:after="20"/>
              <w:jc w:val="center"/>
              <w:rPr>
                <w:sz w:val="18"/>
                <w:szCs w:val="18"/>
              </w:rPr>
            </w:pPr>
            <w:r w:rsidRPr="00B04DC3">
              <w:rPr>
                <w:sz w:val="18"/>
                <w:szCs w:val="18"/>
              </w:rPr>
              <w:t>2.535</w:t>
            </w:r>
          </w:p>
        </w:tc>
        <w:tc>
          <w:tcPr>
            <w:tcW w:w="2000" w:type="dxa"/>
          </w:tcPr>
          <w:p w:rsidR="00C0100D" w:rsidRPr="00B04DC3" w:rsidRDefault="00C0100D" w:rsidP="00C4527E">
            <w:pPr>
              <w:spacing w:before="20" w:after="20"/>
              <w:jc w:val="center"/>
              <w:rPr>
                <w:sz w:val="18"/>
                <w:szCs w:val="18"/>
              </w:rPr>
            </w:pPr>
            <w:r w:rsidRPr="00B04DC3">
              <w:rPr>
                <w:sz w:val="18"/>
                <w:szCs w:val="18"/>
              </w:rPr>
              <w:t>− 5.515</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16</w:t>
            </w:r>
          </w:p>
        </w:tc>
        <w:tc>
          <w:tcPr>
            <w:tcW w:w="2100" w:type="dxa"/>
          </w:tcPr>
          <w:p w:rsidR="00C0100D" w:rsidRPr="00B04DC3" w:rsidRDefault="00C0100D" w:rsidP="00C4527E">
            <w:pPr>
              <w:spacing w:before="20" w:after="20"/>
              <w:jc w:val="center"/>
              <w:rPr>
                <w:sz w:val="18"/>
                <w:szCs w:val="18"/>
              </w:rPr>
            </w:pPr>
            <w:r w:rsidRPr="00B04DC3">
              <w:rPr>
                <w:sz w:val="18"/>
                <w:szCs w:val="18"/>
              </w:rPr>
              <w:t>2.469</w:t>
            </w:r>
          </w:p>
        </w:tc>
        <w:tc>
          <w:tcPr>
            <w:tcW w:w="2000" w:type="dxa"/>
          </w:tcPr>
          <w:p w:rsidR="00C0100D" w:rsidRPr="00B04DC3" w:rsidRDefault="00C0100D" w:rsidP="00C4527E">
            <w:pPr>
              <w:spacing w:before="20" w:after="20"/>
              <w:jc w:val="center"/>
              <w:rPr>
                <w:sz w:val="18"/>
                <w:szCs w:val="18"/>
              </w:rPr>
            </w:pPr>
            <w:r w:rsidRPr="00B04DC3">
              <w:rPr>
                <w:sz w:val="18"/>
                <w:szCs w:val="18"/>
              </w:rPr>
              <w:t>− 5.581</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17</w:t>
            </w:r>
          </w:p>
        </w:tc>
        <w:tc>
          <w:tcPr>
            <w:tcW w:w="2100" w:type="dxa"/>
          </w:tcPr>
          <w:p w:rsidR="00C0100D" w:rsidRPr="00B04DC3" w:rsidRDefault="00C0100D" w:rsidP="00C4527E">
            <w:pPr>
              <w:spacing w:before="20" w:after="20"/>
              <w:jc w:val="center"/>
              <w:rPr>
                <w:sz w:val="18"/>
                <w:szCs w:val="18"/>
              </w:rPr>
            </w:pPr>
            <w:r w:rsidRPr="00B04DC3">
              <w:rPr>
                <w:sz w:val="18"/>
                <w:szCs w:val="18"/>
              </w:rPr>
              <w:t>2.403</w:t>
            </w:r>
          </w:p>
        </w:tc>
        <w:tc>
          <w:tcPr>
            <w:tcW w:w="2000" w:type="dxa"/>
          </w:tcPr>
          <w:p w:rsidR="00C0100D" w:rsidRPr="00B04DC3" w:rsidRDefault="00C0100D" w:rsidP="00C4527E">
            <w:pPr>
              <w:spacing w:before="20" w:after="20"/>
              <w:jc w:val="center"/>
              <w:rPr>
                <w:sz w:val="18"/>
                <w:szCs w:val="18"/>
              </w:rPr>
            </w:pPr>
            <w:r w:rsidRPr="00B04DC3">
              <w:rPr>
                <w:sz w:val="18"/>
                <w:szCs w:val="18"/>
              </w:rPr>
              <w:t>− 5.647</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18</w:t>
            </w:r>
          </w:p>
        </w:tc>
        <w:tc>
          <w:tcPr>
            <w:tcW w:w="2100" w:type="dxa"/>
          </w:tcPr>
          <w:p w:rsidR="00C0100D" w:rsidRPr="00B04DC3" w:rsidRDefault="00C0100D" w:rsidP="00C4527E">
            <w:pPr>
              <w:spacing w:before="20" w:after="20"/>
              <w:jc w:val="center"/>
              <w:rPr>
                <w:sz w:val="18"/>
                <w:szCs w:val="18"/>
              </w:rPr>
            </w:pPr>
            <w:r w:rsidRPr="00B04DC3">
              <w:rPr>
                <w:sz w:val="18"/>
                <w:szCs w:val="18"/>
              </w:rPr>
              <w:t>2.337</w:t>
            </w:r>
          </w:p>
        </w:tc>
        <w:tc>
          <w:tcPr>
            <w:tcW w:w="2000" w:type="dxa"/>
          </w:tcPr>
          <w:p w:rsidR="00C0100D" w:rsidRPr="00B04DC3" w:rsidRDefault="00C0100D" w:rsidP="00C4527E">
            <w:pPr>
              <w:spacing w:before="20" w:after="20"/>
              <w:jc w:val="center"/>
              <w:rPr>
                <w:sz w:val="18"/>
                <w:szCs w:val="18"/>
              </w:rPr>
            </w:pPr>
            <w:r w:rsidRPr="00B04DC3">
              <w:rPr>
                <w:sz w:val="18"/>
                <w:szCs w:val="18"/>
              </w:rPr>
              <w:t>− 5.713</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19</w:t>
            </w:r>
          </w:p>
        </w:tc>
        <w:tc>
          <w:tcPr>
            <w:tcW w:w="2100" w:type="dxa"/>
          </w:tcPr>
          <w:p w:rsidR="00C0100D" w:rsidRPr="00B04DC3" w:rsidRDefault="00C0100D" w:rsidP="00C4527E">
            <w:pPr>
              <w:spacing w:before="20" w:after="20"/>
              <w:jc w:val="center"/>
              <w:rPr>
                <w:sz w:val="18"/>
                <w:szCs w:val="18"/>
              </w:rPr>
            </w:pPr>
            <w:r w:rsidRPr="00B04DC3">
              <w:rPr>
                <w:sz w:val="18"/>
                <w:szCs w:val="18"/>
              </w:rPr>
              <w:t>2.271</w:t>
            </w:r>
          </w:p>
        </w:tc>
        <w:tc>
          <w:tcPr>
            <w:tcW w:w="2000" w:type="dxa"/>
          </w:tcPr>
          <w:p w:rsidR="00C0100D" w:rsidRPr="00B04DC3" w:rsidRDefault="00C0100D" w:rsidP="00C4527E">
            <w:pPr>
              <w:spacing w:before="20" w:after="20"/>
              <w:jc w:val="center"/>
              <w:rPr>
                <w:sz w:val="18"/>
                <w:szCs w:val="18"/>
              </w:rPr>
            </w:pPr>
            <w:r w:rsidRPr="00B04DC3">
              <w:rPr>
                <w:sz w:val="18"/>
                <w:szCs w:val="18"/>
              </w:rPr>
              <w:t>− 5.779</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20</w:t>
            </w:r>
          </w:p>
        </w:tc>
        <w:tc>
          <w:tcPr>
            <w:tcW w:w="2100" w:type="dxa"/>
          </w:tcPr>
          <w:p w:rsidR="00C0100D" w:rsidRPr="00B04DC3" w:rsidRDefault="00C0100D" w:rsidP="00C4527E">
            <w:pPr>
              <w:spacing w:before="20" w:after="20"/>
              <w:jc w:val="center"/>
              <w:rPr>
                <w:sz w:val="18"/>
                <w:szCs w:val="18"/>
              </w:rPr>
            </w:pPr>
            <w:r w:rsidRPr="00B04DC3">
              <w:rPr>
                <w:sz w:val="18"/>
                <w:szCs w:val="18"/>
              </w:rPr>
              <w:t>2.205</w:t>
            </w:r>
          </w:p>
        </w:tc>
        <w:tc>
          <w:tcPr>
            <w:tcW w:w="2000" w:type="dxa"/>
          </w:tcPr>
          <w:p w:rsidR="00C0100D" w:rsidRPr="00B04DC3" w:rsidRDefault="00C0100D" w:rsidP="00C4527E">
            <w:pPr>
              <w:spacing w:before="20" w:after="20"/>
              <w:jc w:val="center"/>
              <w:rPr>
                <w:sz w:val="18"/>
                <w:szCs w:val="18"/>
              </w:rPr>
            </w:pPr>
            <w:r w:rsidRPr="00B04DC3">
              <w:rPr>
                <w:sz w:val="18"/>
                <w:szCs w:val="18"/>
              </w:rPr>
              <w:t>− 5.845</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21</w:t>
            </w:r>
          </w:p>
        </w:tc>
        <w:tc>
          <w:tcPr>
            <w:tcW w:w="2100" w:type="dxa"/>
          </w:tcPr>
          <w:p w:rsidR="00C0100D" w:rsidRPr="00B04DC3" w:rsidRDefault="00C0100D" w:rsidP="00C4527E">
            <w:pPr>
              <w:spacing w:before="20" w:after="20"/>
              <w:jc w:val="center"/>
              <w:rPr>
                <w:sz w:val="18"/>
                <w:szCs w:val="18"/>
              </w:rPr>
            </w:pPr>
            <w:r w:rsidRPr="00B04DC3">
              <w:rPr>
                <w:sz w:val="18"/>
                <w:szCs w:val="18"/>
              </w:rPr>
              <w:t>2.139</w:t>
            </w:r>
          </w:p>
        </w:tc>
        <w:tc>
          <w:tcPr>
            <w:tcW w:w="2000" w:type="dxa"/>
          </w:tcPr>
          <w:p w:rsidR="00C0100D" w:rsidRPr="00B04DC3" w:rsidRDefault="00C0100D" w:rsidP="00C4527E">
            <w:pPr>
              <w:spacing w:before="20" w:after="20"/>
              <w:jc w:val="center"/>
              <w:rPr>
                <w:sz w:val="18"/>
                <w:szCs w:val="18"/>
              </w:rPr>
            </w:pPr>
            <w:r w:rsidRPr="00B04DC3">
              <w:rPr>
                <w:sz w:val="18"/>
                <w:szCs w:val="18"/>
              </w:rPr>
              <w:t>− 5.911</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22</w:t>
            </w:r>
          </w:p>
        </w:tc>
        <w:tc>
          <w:tcPr>
            <w:tcW w:w="2100" w:type="dxa"/>
          </w:tcPr>
          <w:p w:rsidR="00C0100D" w:rsidRPr="00B04DC3" w:rsidRDefault="00C0100D" w:rsidP="00C4527E">
            <w:pPr>
              <w:spacing w:before="20" w:after="20"/>
              <w:jc w:val="center"/>
              <w:rPr>
                <w:sz w:val="18"/>
                <w:szCs w:val="18"/>
              </w:rPr>
            </w:pPr>
            <w:r w:rsidRPr="00B04DC3">
              <w:rPr>
                <w:sz w:val="18"/>
                <w:szCs w:val="18"/>
              </w:rPr>
              <w:t>2.073</w:t>
            </w:r>
          </w:p>
        </w:tc>
        <w:tc>
          <w:tcPr>
            <w:tcW w:w="2000" w:type="dxa"/>
          </w:tcPr>
          <w:p w:rsidR="00C0100D" w:rsidRPr="00B04DC3" w:rsidRDefault="00C0100D" w:rsidP="00C4527E">
            <w:pPr>
              <w:spacing w:before="20" w:after="20"/>
              <w:jc w:val="center"/>
              <w:rPr>
                <w:sz w:val="18"/>
                <w:szCs w:val="18"/>
              </w:rPr>
            </w:pPr>
            <w:r w:rsidRPr="00B04DC3">
              <w:rPr>
                <w:sz w:val="18"/>
                <w:szCs w:val="18"/>
              </w:rPr>
              <w:t>− 5.977</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23</w:t>
            </w:r>
          </w:p>
        </w:tc>
        <w:tc>
          <w:tcPr>
            <w:tcW w:w="2100" w:type="dxa"/>
          </w:tcPr>
          <w:p w:rsidR="00C0100D" w:rsidRPr="00B04DC3" w:rsidRDefault="00C0100D" w:rsidP="00C4527E">
            <w:pPr>
              <w:spacing w:before="20" w:after="20"/>
              <w:jc w:val="center"/>
              <w:rPr>
                <w:sz w:val="18"/>
                <w:szCs w:val="18"/>
              </w:rPr>
            </w:pPr>
            <w:r w:rsidRPr="00B04DC3">
              <w:rPr>
                <w:sz w:val="18"/>
                <w:szCs w:val="18"/>
              </w:rPr>
              <w:t>2.007</w:t>
            </w:r>
          </w:p>
        </w:tc>
        <w:tc>
          <w:tcPr>
            <w:tcW w:w="2000" w:type="dxa"/>
          </w:tcPr>
          <w:p w:rsidR="00C0100D" w:rsidRPr="00B04DC3" w:rsidRDefault="00C0100D" w:rsidP="00C4527E">
            <w:pPr>
              <w:spacing w:before="20" w:after="20"/>
              <w:jc w:val="center"/>
              <w:rPr>
                <w:sz w:val="18"/>
                <w:szCs w:val="18"/>
              </w:rPr>
            </w:pPr>
            <w:r w:rsidRPr="00B04DC3">
              <w:rPr>
                <w:sz w:val="18"/>
                <w:szCs w:val="18"/>
              </w:rPr>
              <w:t>− 6.043</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24</w:t>
            </w:r>
          </w:p>
        </w:tc>
        <w:tc>
          <w:tcPr>
            <w:tcW w:w="2100" w:type="dxa"/>
          </w:tcPr>
          <w:p w:rsidR="00C0100D" w:rsidRPr="00B04DC3" w:rsidRDefault="00C0100D" w:rsidP="00C4527E">
            <w:pPr>
              <w:spacing w:before="20" w:after="20"/>
              <w:jc w:val="center"/>
              <w:rPr>
                <w:sz w:val="18"/>
                <w:szCs w:val="18"/>
              </w:rPr>
            </w:pPr>
            <w:r w:rsidRPr="00B04DC3">
              <w:rPr>
                <w:sz w:val="18"/>
                <w:szCs w:val="18"/>
              </w:rPr>
              <w:t>1.941</w:t>
            </w:r>
          </w:p>
        </w:tc>
        <w:tc>
          <w:tcPr>
            <w:tcW w:w="2000" w:type="dxa"/>
          </w:tcPr>
          <w:p w:rsidR="00C0100D" w:rsidRPr="00B04DC3" w:rsidRDefault="00C0100D" w:rsidP="00C4527E">
            <w:pPr>
              <w:spacing w:before="20" w:after="20"/>
              <w:jc w:val="center"/>
              <w:rPr>
                <w:sz w:val="18"/>
                <w:szCs w:val="18"/>
              </w:rPr>
            </w:pPr>
            <w:r w:rsidRPr="00B04DC3">
              <w:rPr>
                <w:sz w:val="18"/>
                <w:szCs w:val="18"/>
              </w:rPr>
              <w:t>− 6.109</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25</w:t>
            </w:r>
          </w:p>
        </w:tc>
        <w:tc>
          <w:tcPr>
            <w:tcW w:w="2100" w:type="dxa"/>
          </w:tcPr>
          <w:p w:rsidR="00C0100D" w:rsidRPr="00B04DC3" w:rsidRDefault="00C0100D" w:rsidP="00C4527E">
            <w:pPr>
              <w:spacing w:before="20" w:after="20"/>
              <w:jc w:val="center"/>
              <w:rPr>
                <w:sz w:val="18"/>
                <w:szCs w:val="18"/>
              </w:rPr>
            </w:pPr>
            <w:r w:rsidRPr="00B04DC3">
              <w:rPr>
                <w:sz w:val="18"/>
                <w:szCs w:val="18"/>
              </w:rPr>
              <w:t>1.875</w:t>
            </w:r>
          </w:p>
        </w:tc>
        <w:tc>
          <w:tcPr>
            <w:tcW w:w="2000" w:type="dxa"/>
          </w:tcPr>
          <w:p w:rsidR="00C0100D" w:rsidRPr="00B04DC3" w:rsidRDefault="00C0100D" w:rsidP="00C4527E">
            <w:pPr>
              <w:spacing w:before="20" w:after="20"/>
              <w:jc w:val="center"/>
              <w:rPr>
                <w:sz w:val="18"/>
                <w:szCs w:val="18"/>
              </w:rPr>
            </w:pPr>
            <w:r w:rsidRPr="00B04DC3">
              <w:rPr>
                <w:sz w:val="18"/>
                <w:szCs w:val="18"/>
              </w:rPr>
              <w:t>− 6.175</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26</w:t>
            </w:r>
          </w:p>
        </w:tc>
        <w:tc>
          <w:tcPr>
            <w:tcW w:w="2100" w:type="dxa"/>
          </w:tcPr>
          <w:p w:rsidR="00C0100D" w:rsidRPr="00B04DC3" w:rsidRDefault="00C0100D" w:rsidP="00C4527E">
            <w:pPr>
              <w:spacing w:before="20" w:after="20"/>
              <w:jc w:val="center"/>
              <w:rPr>
                <w:sz w:val="18"/>
                <w:szCs w:val="18"/>
              </w:rPr>
            </w:pPr>
            <w:r w:rsidRPr="00B04DC3">
              <w:rPr>
                <w:sz w:val="18"/>
                <w:szCs w:val="18"/>
              </w:rPr>
              <w:t>1.809</w:t>
            </w:r>
          </w:p>
        </w:tc>
        <w:tc>
          <w:tcPr>
            <w:tcW w:w="2000" w:type="dxa"/>
          </w:tcPr>
          <w:p w:rsidR="00C0100D" w:rsidRPr="00B04DC3" w:rsidRDefault="00C0100D" w:rsidP="00C4527E">
            <w:pPr>
              <w:spacing w:before="20" w:after="20"/>
              <w:jc w:val="center"/>
              <w:rPr>
                <w:sz w:val="18"/>
                <w:szCs w:val="18"/>
              </w:rPr>
            </w:pPr>
            <w:r w:rsidRPr="00B04DC3">
              <w:rPr>
                <w:sz w:val="18"/>
                <w:szCs w:val="18"/>
              </w:rPr>
              <w:t>− 6.241</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27</w:t>
            </w:r>
          </w:p>
        </w:tc>
        <w:tc>
          <w:tcPr>
            <w:tcW w:w="2100" w:type="dxa"/>
          </w:tcPr>
          <w:p w:rsidR="00C0100D" w:rsidRPr="00B04DC3" w:rsidRDefault="00C0100D" w:rsidP="00C4527E">
            <w:pPr>
              <w:spacing w:before="20" w:after="20"/>
              <w:jc w:val="center"/>
              <w:rPr>
                <w:sz w:val="18"/>
                <w:szCs w:val="18"/>
              </w:rPr>
            </w:pPr>
            <w:r w:rsidRPr="00B04DC3">
              <w:rPr>
                <w:sz w:val="18"/>
                <w:szCs w:val="18"/>
              </w:rPr>
              <w:t>1.743</w:t>
            </w:r>
          </w:p>
        </w:tc>
        <w:tc>
          <w:tcPr>
            <w:tcW w:w="2000" w:type="dxa"/>
          </w:tcPr>
          <w:p w:rsidR="00C0100D" w:rsidRPr="00B04DC3" w:rsidRDefault="00C0100D" w:rsidP="00C4527E">
            <w:pPr>
              <w:spacing w:before="20" w:after="20"/>
              <w:jc w:val="center"/>
              <w:rPr>
                <w:sz w:val="18"/>
                <w:szCs w:val="18"/>
              </w:rPr>
            </w:pPr>
            <w:r w:rsidRPr="00B04DC3">
              <w:rPr>
                <w:sz w:val="18"/>
                <w:szCs w:val="18"/>
              </w:rPr>
              <w:t>− 6.307</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28</w:t>
            </w:r>
          </w:p>
        </w:tc>
        <w:tc>
          <w:tcPr>
            <w:tcW w:w="2100" w:type="dxa"/>
          </w:tcPr>
          <w:p w:rsidR="00C0100D" w:rsidRPr="00B04DC3" w:rsidRDefault="00C0100D" w:rsidP="00C4527E">
            <w:pPr>
              <w:spacing w:before="20" w:after="20"/>
              <w:jc w:val="center"/>
              <w:rPr>
                <w:sz w:val="18"/>
                <w:szCs w:val="18"/>
              </w:rPr>
            </w:pPr>
            <w:r w:rsidRPr="00B04DC3">
              <w:rPr>
                <w:sz w:val="18"/>
                <w:szCs w:val="18"/>
              </w:rPr>
              <w:t>1.677</w:t>
            </w:r>
          </w:p>
        </w:tc>
        <w:tc>
          <w:tcPr>
            <w:tcW w:w="2000" w:type="dxa"/>
          </w:tcPr>
          <w:p w:rsidR="00C0100D" w:rsidRPr="00B04DC3" w:rsidRDefault="00C0100D" w:rsidP="00C4527E">
            <w:pPr>
              <w:spacing w:before="20" w:after="20"/>
              <w:jc w:val="center"/>
              <w:rPr>
                <w:sz w:val="18"/>
                <w:szCs w:val="18"/>
              </w:rPr>
            </w:pPr>
            <w:r w:rsidRPr="00B04DC3">
              <w:rPr>
                <w:sz w:val="18"/>
                <w:szCs w:val="18"/>
              </w:rPr>
              <w:t>− 6.373</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29</w:t>
            </w:r>
          </w:p>
        </w:tc>
        <w:tc>
          <w:tcPr>
            <w:tcW w:w="2100" w:type="dxa"/>
          </w:tcPr>
          <w:p w:rsidR="00C0100D" w:rsidRPr="00B04DC3" w:rsidRDefault="00C0100D" w:rsidP="00C4527E">
            <w:pPr>
              <w:spacing w:before="20" w:after="20"/>
              <w:jc w:val="center"/>
              <w:rPr>
                <w:sz w:val="18"/>
                <w:szCs w:val="18"/>
              </w:rPr>
            </w:pPr>
            <w:r w:rsidRPr="00B04DC3">
              <w:rPr>
                <w:sz w:val="18"/>
                <w:szCs w:val="18"/>
              </w:rPr>
              <w:t>1.611</w:t>
            </w:r>
          </w:p>
        </w:tc>
        <w:tc>
          <w:tcPr>
            <w:tcW w:w="2000" w:type="dxa"/>
          </w:tcPr>
          <w:p w:rsidR="00C0100D" w:rsidRPr="00B04DC3" w:rsidRDefault="00C0100D" w:rsidP="00C4527E">
            <w:pPr>
              <w:spacing w:before="20" w:after="20"/>
              <w:jc w:val="center"/>
              <w:rPr>
                <w:sz w:val="18"/>
                <w:szCs w:val="18"/>
              </w:rPr>
            </w:pPr>
            <w:r w:rsidRPr="00B04DC3">
              <w:rPr>
                <w:sz w:val="18"/>
                <w:szCs w:val="18"/>
              </w:rPr>
              <w:t>− 6.439</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30</w:t>
            </w:r>
          </w:p>
        </w:tc>
        <w:tc>
          <w:tcPr>
            <w:tcW w:w="2100" w:type="dxa"/>
          </w:tcPr>
          <w:p w:rsidR="00C0100D" w:rsidRPr="00B04DC3" w:rsidRDefault="00C0100D" w:rsidP="00C4527E">
            <w:pPr>
              <w:spacing w:before="20" w:after="20"/>
              <w:jc w:val="center"/>
              <w:rPr>
                <w:sz w:val="18"/>
                <w:szCs w:val="18"/>
              </w:rPr>
            </w:pPr>
            <w:r w:rsidRPr="00B04DC3">
              <w:rPr>
                <w:sz w:val="18"/>
                <w:szCs w:val="18"/>
              </w:rPr>
              <w:t>1.545</w:t>
            </w:r>
          </w:p>
        </w:tc>
        <w:tc>
          <w:tcPr>
            <w:tcW w:w="2000" w:type="dxa"/>
          </w:tcPr>
          <w:p w:rsidR="00C0100D" w:rsidRPr="00B04DC3" w:rsidRDefault="00C0100D" w:rsidP="00C4527E">
            <w:pPr>
              <w:spacing w:before="20" w:after="20"/>
              <w:jc w:val="center"/>
              <w:rPr>
                <w:sz w:val="18"/>
                <w:szCs w:val="18"/>
              </w:rPr>
            </w:pPr>
            <w:r w:rsidRPr="00B04DC3">
              <w:rPr>
                <w:sz w:val="18"/>
                <w:szCs w:val="18"/>
              </w:rPr>
              <w:t>− 6.505</w:t>
            </w:r>
          </w:p>
        </w:tc>
      </w:tr>
      <w:tr w:rsidR="00C0100D" w:rsidRPr="00B04DC3">
        <w:tc>
          <w:tcPr>
            <w:tcW w:w="2574" w:type="dxa"/>
          </w:tcPr>
          <w:p w:rsidR="00C0100D" w:rsidRPr="00B04DC3" w:rsidRDefault="00C0100D" w:rsidP="00C4527E">
            <w:pPr>
              <w:spacing w:before="20" w:after="20"/>
              <w:jc w:val="center"/>
              <w:rPr>
                <w:sz w:val="18"/>
                <w:szCs w:val="18"/>
              </w:rPr>
            </w:pPr>
            <w:r w:rsidRPr="00B04DC3">
              <w:rPr>
                <w:sz w:val="18"/>
                <w:szCs w:val="18"/>
              </w:rPr>
              <w:t>31</w:t>
            </w:r>
          </w:p>
        </w:tc>
        <w:tc>
          <w:tcPr>
            <w:tcW w:w="2100" w:type="dxa"/>
          </w:tcPr>
          <w:p w:rsidR="00C0100D" w:rsidRPr="00B04DC3" w:rsidRDefault="00C0100D" w:rsidP="00C4527E">
            <w:pPr>
              <w:spacing w:before="20" w:after="20"/>
              <w:jc w:val="center"/>
              <w:rPr>
                <w:sz w:val="18"/>
                <w:szCs w:val="18"/>
              </w:rPr>
            </w:pPr>
            <w:r w:rsidRPr="00B04DC3">
              <w:rPr>
                <w:sz w:val="18"/>
                <w:szCs w:val="18"/>
              </w:rPr>
              <w:t>1.479</w:t>
            </w:r>
          </w:p>
        </w:tc>
        <w:tc>
          <w:tcPr>
            <w:tcW w:w="2000" w:type="dxa"/>
          </w:tcPr>
          <w:p w:rsidR="00C0100D" w:rsidRPr="00B04DC3" w:rsidRDefault="00C0100D" w:rsidP="00C4527E">
            <w:pPr>
              <w:spacing w:before="20" w:after="20"/>
              <w:jc w:val="center"/>
              <w:rPr>
                <w:sz w:val="18"/>
                <w:szCs w:val="18"/>
              </w:rPr>
            </w:pPr>
            <w:r w:rsidRPr="00B04DC3">
              <w:rPr>
                <w:sz w:val="18"/>
                <w:szCs w:val="18"/>
              </w:rPr>
              <w:t>− 6.571</w:t>
            </w:r>
          </w:p>
        </w:tc>
      </w:tr>
      <w:tr w:rsidR="00C0100D" w:rsidRPr="00B04DC3" w:rsidTr="009E373B">
        <w:tc>
          <w:tcPr>
            <w:tcW w:w="2574" w:type="dxa"/>
            <w:tcBorders>
              <w:bottom w:val="single" w:sz="12" w:space="0" w:color="auto"/>
            </w:tcBorders>
          </w:tcPr>
          <w:p w:rsidR="00C0100D" w:rsidRPr="00B04DC3" w:rsidRDefault="00C0100D" w:rsidP="00C4527E">
            <w:pPr>
              <w:spacing w:before="20" w:after="20"/>
              <w:jc w:val="center"/>
              <w:rPr>
                <w:sz w:val="18"/>
                <w:szCs w:val="18"/>
              </w:rPr>
            </w:pPr>
            <w:r w:rsidRPr="00B04DC3">
              <w:rPr>
                <w:sz w:val="18"/>
                <w:szCs w:val="18"/>
              </w:rPr>
              <w:t>32</w:t>
            </w:r>
          </w:p>
        </w:tc>
        <w:tc>
          <w:tcPr>
            <w:tcW w:w="2100" w:type="dxa"/>
            <w:tcBorders>
              <w:bottom w:val="single" w:sz="12" w:space="0" w:color="auto"/>
            </w:tcBorders>
          </w:tcPr>
          <w:p w:rsidR="00C0100D" w:rsidRPr="00B04DC3" w:rsidRDefault="00C0100D" w:rsidP="00C4527E">
            <w:pPr>
              <w:spacing w:before="20" w:after="20"/>
              <w:jc w:val="center"/>
              <w:rPr>
                <w:sz w:val="18"/>
                <w:szCs w:val="18"/>
              </w:rPr>
            </w:pPr>
            <w:r w:rsidRPr="00B04DC3">
              <w:rPr>
                <w:sz w:val="18"/>
                <w:szCs w:val="18"/>
              </w:rPr>
              <w:t>− 2.112</w:t>
            </w:r>
          </w:p>
        </w:tc>
        <w:tc>
          <w:tcPr>
            <w:tcW w:w="2000" w:type="dxa"/>
            <w:tcBorders>
              <w:bottom w:val="single" w:sz="12" w:space="0" w:color="auto"/>
            </w:tcBorders>
          </w:tcPr>
          <w:p w:rsidR="00C0100D" w:rsidRPr="00B04DC3" w:rsidRDefault="00C0100D" w:rsidP="00C4527E">
            <w:pPr>
              <w:spacing w:before="20" w:after="20"/>
              <w:jc w:val="center"/>
              <w:rPr>
                <w:sz w:val="18"/>
                <w:szCs w:val="18"/>
              </w:rPr>
            </w:pPr>
            <w:r w:rsidRPr="00B04DC3">
              <w:rPr>
                <w:sz w:val="18"/>
                <w:szCs w:val="18"/>
              </w:rPr>
              <w:t>− 2.112</w:t>
            </w:r>
          </w:p>
        </w:tc>
      </w:tr>
    </w:tbl>
    <w:p w:rsidR="00C0100D" w:rsidRPr="00B04DC3" w:rsidRDefault="00C0100D" w:rsidP="00C0100D">
      <w:pPr>
        <w:rPr>
          <w:snapToGrid w:val="0"/>
        </w:rPr>
        <w:sectPr w:rsidR="00C0100D" w:rsidRPr="00B04DC3" w:rsidSect="002A4563">
          <w:headerReference w:type="even" r:id="rId53"/>
          <w:headerReference w:type="default" r:id="rId54"/>
          <w:footnotePr>
            <w:numRestart w:val="eachSect"/>
          </w:footnotePr>
          <w:endnotePr>
            <w:numFmt w:val="decimal"/>
          </w:endnotePr>
          <w:pgSz w:w="11907" w:h="16840" w:code="9"/>
          <w:pgMar w:top="1701" w:right="1134" w:bottom="2268" w:left="1134" w:header="851" w:footer="1701" w:gutter="0"/>
          <w:cols w:space="720"/>
          <w:docGrid w:linePitch="326"/>
        </w:sectPr>
      </w:pPr>
    </w:p>
    <w:p w:rsidR="00AA0E48" w:rsidRDefault="00C0100D" w:rsidP="00AA0E48">
      <w:pPr>
        <w:pStyle w:val="HChG"/>
        <w:spacing w:after="360"/>
        <w:ind w:left="1701" w:hanging="1701"/>
        <w:rPr>
          <w:bCs/>
        </w:rPr>
      </w:pPr>
      <w:bookmarkStart w:id="86" w:name="_Toc423599474"/>
      <w:bookmarkStart w:id="87" w:name="_Toc423610882"/>
      <w:r w:rsidRPr="00B04DC3">
        <w:rPr>
          <w:bCs/>
        </w:rPr>
        <w:t>Appendix 2</w:t>
      </w:r>
      <w:bookmarkEnd w:id="86"/>
      <w:bookmarkEnd w:id="87"/>
    </w:p>
    <w:p w:rsidR="00C0100D" w:rsidRPr="00B04DC3" w:rsidRDefault="00AA0E48" w:rsidP="00AA0E48">
      <w:pPr>
        <w:pStyle w:val="HChG"/>
        <w:spacing w:after="360"/>
        <w:rPr>
          <w:bCs/>
        </w:rPr>
      </w:pPr>
      <w:r>
        <w:rPr>
          <w:bCs/>
        </w:rPr>
        <w:tab/>
      </w:r>
      <w:r>
        <w:rPr>
          <w:bCs/>
        </w:rPr>
        <w:tab/>
      </w:r>
      <w:bookmarkStart w:id="88" w:name="_Toc423599475"/>
      <w:bookmarkStart w:id="89" w:name="_Toc423610883"/>
      <w:r w:rsidR="00C4527E" w:rsidRPr="00B04DC3">
        <w:rPr>
          <w:bCs/>
        </w:rPr>
        <w:t>Procedure for production conformity testing when standard deviation is unsatisfactory or unavailable</w:t>
      </w:r>
      <w:bookmarkEnd w:id="88"/>
      <w:bookmarkEnd w:id="89"/>
    </w:p>
    <w:p w:rsidR="00C0100D" w:rsidRPr="00AA0E48" w:rsidRDefault="00AA0E48" w:rsidP="00AA0E48">
      <w:pPr>
        <w:pStyle w:val="para"/>
        <w:rPr>
          <w:spacing w:val="2"/>
          <w:lang w:val="en-GB"/>
        </w:rPr>
      </w:pPr>
      <w:r w:rsidRPr="00AA0E48">
        <w:rPr>
          <w:spacing w:val="2"/>
          <w:lang w:val="en-GB"/>
        </w:rPr>
        <w:t>1</w:t>
      </w:r>
      <w:r w:rsidR="00C4527E" w:rsidRPr="00AA0E48">
        <w:rPr>
          <w:spacing w:val="2"/>
          <w:lang w:val="en-GB"/>
        </w:rPr>
        <w:t>.</w:t>
      </w:r>
      <w:r w:rsidR="00C4527E" w:rsidRPr="00AA0E48">
        <w:rPr>
          <w:spacing w:val="2"/>
          <w:lang w:val="en-GB"/>
        </w:rPr>
        <w:tab/>
      </w:r>
      <w:r w:rsidR="00C0100D" w:rsidRPr="00AA0E48">
        <w:rPr>
          <w:spacing w:val="2"/>
          <w:lang w:val="en-GB"/>
        </w:rPr>
        <w:t>This appendix describes the procedure to be used to verify production conformity for the emissions of pollutants when the manufacturer's production standard deviation is either unsatisfactory or unavailable.</w:t>
      </w:r>
    </w:p>
    <w:p w:rsidR="00C0100D" w:rsidRPr="00AA0E48" w:rsidRDefault="00C0100D" w:rsidP="00AA0E48">
      <w:pPr>
        <w:pStyle w:val="para"/>
        <w:rPr>
          <w:spacing w:val="2"/>
          <w:lang w:val="en-GB"/>
        </w:rPr>
      </w:pPr>
      <w:r w:rsidRPr="00AA0E48">
        <w:rPr>
          <w:spacing w:val="2"/>
          <w:lang w:val="en-GB"/>
        </w:rPr>
        <w:t>2.</w:t>
      </w:r>
      <w:r w:rsidRPr="00AA0E48">
        <w:rPr>
          <w:spacing w:val="2"/>
          <w:lang w:val="en-GB"/>
        </w:rPr>
        <w:tab/>
        <w:t>With a minimum sample size of three engines the sampling procedure is set so that the probability of a lot passing a test with 40 per cent of the engines defective is 0.95 (producer's risk = 5 per cent) while the probability of a lot being accepted with 65 per cent of the engines defective is 0.10 (consumer's risk = 10 per cent).</w:t>
      </w:r>
    </w:p>
    <w:p w:rsidR="00C0100D" w:rsidRPr="00AA0E48" w:rsidRDefault="00C0100D" w:rsidP="00AA0E48">
      <w:pPr>
        <w:pStyle w:val="para"/>
        <w:rPr>
          <w:spacing w:val="2"/>
          <w:lang w:val="en-GB"/>
        </w:rPr>
      </w:pPr>
      <w:r w:rsidRPr="00AA0E48">
        <w:rPr>
          <w:spacing w:val="2"/>
          <w:lang w:val="en-GB"/>
        </w:rPr>
        <w:t>3.</w:t>
      </w:r>
      <w:r w:rsidRPr="00AA0E48">
        <w:rPr>
          <w:spacing w:val="2"/>
          <w:lang w:val="en-GB"/>
        </w:rPr>
        <w:tab/>
        <w:t>The values of the pollutants given in paragraph 5.2.1. of this Regulation, after having applied the relevant DF, are considered to be log normally distributed and should be transformed by taking their natural logarithms</w:t>
      </w:r>
      <w:r w:rsidR="00401E79" w:rsidRPr="00AA0E48">
        <w:rPr>
          <w:spacing w:val="2"/>
          <w:lang w:val="en-GB"/>
        </w:rPr>
        <w:t xml:space="preserve">. </w:t>
      </w:r>
      <w:r w:rsidRPr="00AA0E48">
        <w:rPr>
          <w:spacing w:val="2"/>
          <w:lang w:val="en-GB"/>
        </w:rPr>
        <w:t>Let m</w:t>
      </w:r>
      <w:r w:rsidRPr="00AA0E48">
        <w:rPr>
          <w:spacing w:val="2"/>
          <w:vertAlign w:val="subscript"/>
          <w:lang w:val="en-GB"/>
        </w:rPr>
        <w:t>0</w:t>
      </w:r>
      <w:r w:rsidRPr="00AA0E48">
        <w:rPr>
          <w:spacing w:val="2"/>
          <w:lang w:val="en-GB"/>
        </w:rPr>
        <w:t xml:space="preserve"> and m denote the minimum and maximum sample size respectively (m</w:t>
      </w:r>
      <w:r w:rsidRPr="00AA0E48">
        <w:rPr>
          <w:spacing w:val="2"/>
          <w:vertAlign w:val="subscript"/>
          <w:lang w:val="en-GB"/>
        </w:rPr>
        <w:t>0</w:t>
      </w:r>
      <w:r w:rsidRPr="00AA0E48">
        <w:rPr>
          <w:spacing w:val="2"/>
          <w:lang w:val="en-GB"/>
        </w:rPr>
        <w:t xml:space="preserve"> = 3 and m = 32) and let n denote the current sample number.</w:t>
      </w:r>
    </w:p>
    <w:p w:rsidR="00C0100D" w:rsidRPr="00AA0E48" w:rsidRDefault="00C0100D" w:rsidP="00AA0E48">
      <w:pPr>
        <w:pStyle w:val="para"/>
        <w:rPr>
          <w:spacing w:val="2"/>
          <w:lang w:val="en-GB"/>
        </w:rPr>
      </w:pPr>
      <w:r w:rsidRPr="00AA0E48">
        <w:rPr>
          <w:spacing w:val="2"/>
          <w:lang w:val="en-GB"/>
        </w:rPr>
        <w:t>4.</w:t>
      </w:r>
      <w:r w:rsidRPr="00AA0E48">
        <w:rPr>
          <w:spacing w:val="2"/>
          <w:lang w:val="en-GB"/>
        </w:rPr>
        <w:tab/>
        <w:t>If the natural logarithms of the measured values (after having applied the relevant DF) in the series are x</w:t>
      </w:r>
      <w:r w:rsidRPr="00AA0E48">
        <w:rPr>
          <w:spacing w:val="2"/>
          <w:vertAlign w:val="subscript"/>
          <w:lang w:val="en-GB"/>
        </w:rPr>
        <w:t>1</w:t>
      </w:r>
      <w:r w:rsidRPr="00AA0E48">
        <w:rPr>
          <w:spacing w:val="2"/>
          <w:lang w:val="en-GB"/>
        </w:rPr>
        <w:t>, x</w:t>
      </w:r>
      <w:r w:rsidRPr="00AA0E48">
        <w:rPr>
          <w:spacing w:val="2"/>
          <w:vertAlign w:val="subscript"/>
          <w:lang w:val="en-GB"/>
        </w:rPr>
        <w:t>2</w:t>
      </w:r>
      <w:r w:rsidRPr="00AA0E48">
        <w:rPr>
          <w:spacing w:val="2"/>
          <w:lang w:val="en-GB"/>
        </w:rPr>
        <w:t>, … x</w:t>
      </w:r>
      <w:r w:rsidRPr="00AA0E48">
        <w:rPr>
          <w:spacing w:val="2"/>
          <w:vertAlign w:val="subscript"/>
          <w:lang w:val="en-GB"/>
        </w:rPr>
        <w:t>i</w:t>
      </w:r>
      <w:r w:rsidRPr="00AA0E48">
        <w:rPr>
          <w:spacing w:val="2"/>
          <w:lang w:val="en-GB"/>
        </w:rPr>
        <w:t xml:space="preserve"> and L is the natural logarithm of the limit value for the pollutant, then, define:</w:t>
      </w:r>
    </w:p>
    <w:p w:rsidR="00C0100D" w:rsidRPr="00B04DC3" w:rsidRDefault="00C0100D" w:rsidP="00AA0E48">
      <w:pPr>
        <w:pStyle w:val="para"/>
        <w:rPr>
          <w:lang w:val="en-GB"/>
        </w:rPr>
      </w:pPr>
      <w:r w:rsidRPr="00B04DC3">
        <w:rPr>
          <w:lang w:val="en-GB"/>
        </w:rPr>
        <w:tab/>
      </w:r>
      <w:r w:rsidRPr="00B04DC3">
        <w:rPr>
          <w:lang w:val="en-GB"/>
        </w:rPr>
        <w:tab/>
      </w:r>
      <w:r w:rsidR="00A905B7">
        <w:rPr>
          <w:lang w:val="en-GB"/>
        </w:rPr>
        <w:pict>
          <v:shape id="_x0000_i1044" type="#_x0000_t75" style="width:45.6pt;height:15.6pt" fillcolor="window">
            <v:imagedata r:id="rId55" o:title=""/>
          </v:shape>
        </w:pict>
      </w:r>
    </w:p>
    <w:p w:rsidR="00C0100D" w:rsidRPr="00B04DC3" w:rsidRDefault="00C0100D" w:rsidP="00AA0E48">
      <w:pPr>
        <w:pStyle w:val="para"/>
        <w:spacing w:line="200" w:lineRule="atLeast"/>
        <w:rPr>
          <w:lang w:val="en-GB"/>
        </w:rPr>
      </w:pPr>
      <w:r w:rsidRPr="00B04DC3">
        <w:rPr>
          <w:lang w:val="en-GB"/>
        </w:rPr>
        <w:tab/>
      </w:r>
      <w:r w:rsidRPr="00B04DC3">
        <w:rPr>
          <w:lang w:val="en-GB"/>
        </w:rPr>
        <w:tab/>
      </w:r>
      <w:r w:rsidR="00A905B7">
        <w:rPr>
          <w:lang w:val="en-GB"/>
        </w:rPr>
        <w:pict>
          <v:shape id="_x0000_i1045" type="#_x0000_t75" style="width:47.4pt;height:29.4pt" fillcolor="window">
            <v:imagedata r:id="rId56" o:title=""/>
          </v:shape>
        </w:pict>
      </w:r>
    </w:p>
    <w:p w:rsidR="00C0100D" w:rsidRPr="00B04DC3" w:rsidRDefault="00C0100D" w:rsidP="00AA0E48">
      <w:pPr>
        <w:pStyle w:val="para"/>
        <w:rPr>
          <w:lang w:val="en-GB"/>
        </w:rPr>
      </w:pPr>
      <w:r w:rsidRPr="00B04DC3">
        <w:rPr>
          <w:lang w:val="en-GB"/>
        </w:rPr>
        <w:tab/>
      </w:r>
      <w:r w:rsidRPr="00B04DC3">
        <w:rPr>
          <w:lang w:val="en-GB"/>
        </w:rPr>
        <w:tab/>
      </w:r>
      <w:r w:rsidR="00A905B7">
        <w:rPr>
          <w:lang w:val="en-GB"/>
        </w:rPr>
      </w:r>
      <w:r w:rsidR="00A905B7">
        <w:rPr>
          <w:lang w:val="en-GB"/>
        </w:rPr>
        <w:pict>
          <v:group id="_x0000_s1621" editas="canvas" style="width:103.95pt;height:41.15pt;mso-position-horizontal-relative:char;mso-position-vertical-relative:line" coordsize="2079,823">
            <o:lock v:ext="edit" aspectratio="t"/>
            <v:shape id="_x0000_s1620" type="#_x0000_t75" style="position:absolute;width:2079;height:823" o:preferrelative="f">
              <v:fill o:detectmouseclick="t"/>
              <v:path o:extrusionok="t" o:connecttype="none"/>
              <o:lock v:ext="edit" text="t"/>
            </v:shape>
            <v:line id="_x0000_s1622" style="position:absolute" from="558,417" to="714,417" strokeweight=".5pt"/>
            <v:line id="_x0000_s1623" style="position:absolute" from="1541,254" to="1650,254" strokeweight=".5pt"/>
            <v:rect id="_x0000_s1624" style="position:absolute;left:1018;top:58;width:140;height:515;mso-wrap-style:none" filled="f" stroked="f">
              <v:textbox style="mso-fit-shape-to-text:t" inset="0,0,0,0">
                <w:txbxContent>
                  <w:p w:rsidR="00A905B7" w:rsidRDefault="00A905B7">
                    <w:r>
                      <w:rPr>
                        <w:rFonts w:ascii="Symbol" w:hAnsi="Symbol" w:cs="Symbol"/>
                        <w:color w:val="000000"/>
                        <w:sz w:val="42"/>
                        <w:szCs w:val="42"/>
                      </w:rPr>
                      <w:t></w:t>
                    </w:r>
                  </w:p>
                </w:txbxContent>
              </v:textbox>
            </v:rect>
            <v:rect id="_x0000_s1625" style="position:absolute;left:1766;top:58;width:140;height:515;mso-wrap-style:none" filled="f" stroked="f">
              <v:textbox style="mso-fit-shape-to-text:t" inset="0,0,0,0">
                <w:txbxContent>
                  <w:p w:rsidR="00A905B7" w:rsidRDefault="00A905B7">
                    <w:r>
                      <w:rPr>
                        <w:rFonts w:ascii="Symbol" w:hAnsi="Symbol" w:cs="Symbol"/>
                        <w:color w:val="000000"/>
                        <w:sz w:val="42"/>
                        <w:szCs w:val="42"/>
                      </w:rPr>
                      <w:t></w:t>
                    </w:r>
                  </w:p>
                </w:txbxContent>
              </v:textbox>
            </v:rect>
            <v:rect id="_x0000_s1626" style="position:absolute;left:1872;top:30;width:81;height:240;mso-wrap-style:none" filled="f" stroked="f">
              <v:textbox style="mso-fit-shape-to-text:t" inset="0,0,0,0">
                <w:txbxContent>
                  <w:p w:rsidR="00A905B7" w:rsidRDefault="00A905B7">
                    <w:r>
                      <w:rPr>
                        <w:color w:val="000000"/>
                        <w:sz w:val="16"/>
                        <w:szCs w:val="16"/>
                      </w:rPr>
                      <w:t>2</w:t>
                    </w:r>
                  </w:p>
                </w:txbxContent>
              </v:textbox>
            </v:rect>
            <v:rect id="_x0000_s1627" style="position:absolute;left:838;top:88;width:81;height:240;mso-wrap-style:none" filled="f" stroked="f">
              <v:textbox style="mso-fit-shape-to-text:t" inset="0,0,0,0">
                <w:txbxContent>
                  <w:p w:rsidR="00A905B7" w:rsidRDefault="00A905B7">
                    <w:r>
                      <w:rPr>
                        <w:color w:val="000000"/>
                        <w:sz w:val="16"/>
                        <w:szCs w:val="16"/>
                      </w:rPr>
                      <w:t>n</w:t>
                    </w:r>
                  </w:p>
                </w:txbxContent>
              </v:textbox>
            </v:rect>
            <v:rect id="_x0000_s1628" style="position:absolute;left:910;top:583;width:81;height:240;mso-wrap-style:none" filled="f" stroked="f">
              <v:textbox style="mso-fit-shape-to-text:t" inset="0,0,0,0">
                <w:txbxContent>
                  <w:p w:rsidR="00A905B7" w:rsidRDefault="00A905B7">
                    <w:r>
                      <w:rPr>
                        <w:color w:val="000000"/>
                        <w:sz w:val="16"/>
                        <w:szCs w:val="16"/>
                      </w:rPr>
                      <w:t>1</w:t>
                    </w:r>
                  </w:p>
                </w:txbxContent>
              </v:textbox>
            </v:rect>
            <v:rect id="_x0000_s1629" style="position:absolute;left:780;top:583;width:45;height:240;mso-wrap-style:none" filled="f" stroked="f">
              <v:textbox style="mso-fit-shape-to-text:t" inset="0,0,0,0">
                <w:txbxContent>
                  <w:p w:rsidR="00A905B7" w:rsidRDefault="00A905B7">
                    <w:r>
                      <w:rPr>
                        <w:color w:val="000000"/>
                        <w:sz w:val="16"/>
                        <w:szCs w:val="16"/>
                      </w:rPr>
                      <w:t>i</w:t>
                    </w:r>
                  </w:p>
                </w:txbxContent>
              </v:textbox>
            </v:rect>
            <v:rect id="_x0000_s1630" style="position:absolute;left:1677;top:355;width:81;height:240;mso-wrap-style:none" filled="f" stroked="f">
              <v:textbox style="mso-fit-shape-to-text:t" inset="0,0,0,0">
                <w:txbxContent>
                  <w:p w:rsidR="00A905B7" w:rsidRDefault="00A905B7">
                    <w:r>
                      <w:rPr>
                        <w:color w:val="000000"/>
                        <w:sz w:val="16"/>
                        <w:szCs w:val="16"/>
                      </w:rPr>
                      <w:t>n</w:t>
                    </w:r>
                  </w:p>
                </w:txbxContent>
              </v:textbox>
            </v:rect>
            <v:rect id="_x0000_s1631" style="position:absolute;left:1233;top:395;width:45;height:240;mso-wrap-style:none" filled="f" stroked="f">
              <v:textbox style="mso-fit-shape-to-text:t" inset="0,0,0,0">
                <w:txbxContent>
                  <w:p w:rsidR="00A905B7" w:rsidRDefault="00A905B7">
                    <w:r>
                      <w:rPr>
                        <w:color w:val="000000"/>
                        <w:sz w:val="16"/>
                        <w:szCs w:val="16"/>
                      </w:rPr>
                      <w:t>i</w:t>
                    </w:r>
                  </w:p>
                </w:txbxContent>
              </v:textbox>
            </v:rect>
            <v:rect id="_x0000_s1632" style="position:absolute;left:179;top:229;width:81;height:240;mso-wrap-style:none" filled="f" stroked="f">
              <v:textbox style="mso-fit-shape-to-text:t" inset="0,0,0,0">
                <w:txbxContent>
                  <w:p w:rsidR="00A905B7" w:rsidRDefault="00A905B7">
                    <w:r>
                      <w:rPr>
                        <w:color w:val="000000"/>
                        <w:sz w:val="16"/>
                        <w:szCs w:val="16"/>
                      </w:rPr>
                      <w:t>2</w:t>
                    </w:r>
                  </w:p>
                </w:txbxContent>
              </v:textbox>
            </v:rect>
            <v:rect id="_x0000_s1633" style="position:absolute;left:179;top:395;width:81;height:240;mso-wrap-style:none" filled="f" stroked="f">
              <v:textbox style="mso-fit-shape-to-text:t" inset="0,0,0,0">
                <w:txbxContent>
                  <w:p w:rsidR="00A905B7" w:rsidRDefault="00A905B7">
                    <w:r>
                      <w:rPr>
                        <w:color w:val="000000"/>
                        <w:sz w:val="16"/>
                        <w:szCs w:val="16"/>
                      </w:rPr>
                      <w:t>n</w:t>
                    </w:r>
                  </w:p>
                </w:txbxContent>
              </v:textbox>
            </v:rect>
            <v:rect id="_x0000_s1634" style="position:absolute;left:1534;top:264;width:101;height:240;mso-wrap-style:none" filled="f" stroked="f">
              <v:textbox style="mso-fit-shape-to-text:t" inset="0,0,0,0">
                <w:txbxContent>
                  <w:p w:rsidR="00A905B7" w:rsidRPr="00AA0E48" w:rsidRDefault="00A905B7">
                    <w:r w:rsidRPr="00AA0E48">
                      <w:rPr>
                        <w:color w:val="000000"/>
                      </w:rPr>
                      <w:t>d</w:t>
                    </w:r>
                  </w:p>
                </w:txbxContent>
              </v:textbox>
            </v:rect>
            <v:rect id="_x0000_s1635" style="position:absolute;left:1094;top:264;width:101;height:240;mso-wrap-style:none" filled="f" stroked="f">
              <v:textbox style="mso-fit-shape-to-text:t" inset="0,0,0,0">
                <w:txbxContent>
                  <w:p w:rsidR="00A905B7" w:rsidRPr="00AA0E48" w:rsidRDefault="00A905B7">
                    <w:r w:rsidRPr="00AA0E48">
                      <w:rPr>
                        <w:color w:val="000000"/>
                      </w:rPr>
                      <w:t>d</w:t>
                    </w:r>
                  </w:p>
                </w:txbxContent>
              </v:textbox>
            </v:rect>
            <v:rect id="_x0000_s1636" style="position:absolute;left:574;top:450;width:101;height:240;mso-wrap-style:none" filled="f" stroked="f">
              <v:textbox style="mso-fit-shape-to-text:t" inset="0,0,0,0">
                <w:txbxContent>
                  <w:p w:rsidR="00A905B7" w:rsidRPr="00AA0E48" w:rsidRDefault="00A905B7">
                    <w:r w:rsidRPr="00AA0E48">
                      <w:rPr>
                        <w:color w:val="000000"/>
                      </w:rPr>
                      <w:t>n</w:t>
                    </w:r>
                  </w:p>
                </w:txbxContent>
              </v:textbox>
            </v:rect>
            <v:rect id="_x0000_s1637" style="position:absolute;left:576;top:114;width:101;height:240;mso-wrap-style:none" filled="f" stroked="f">
              <v:textbox style="mso-fit-shape-to-text:t" inset="0,0,0,0">
                <w:txbxContent>
                  <w:p w:rsidR="00A905B7" w:rsidRPr="00AA0E48" w:rsidRDefault="00A905B7">
                    <w:r w:rsidRPr="00AA0E48">
                      <w:rPr>
                        <w:color w:val="000000"/>
                      </w:rPr>
                      <w:t>1</w:t>
                    </w:r>
                  </w:p>
                </w:txbxContent>
              </v:textbox>
            </v:rect>
            <v:rect id="_x0000_s1638" style="position:absolute;left:40;top:264;width:101;height:240;mso-wrap-style:none" filled="f" stroked="f">
              <v:textbox style="mso-fit-shape-to-text:t" inset="0,0,0,0">
                <w:txbxContent>
                  <w:p w:rsidR="00A905B7" w:rsidRPr="00AA0E48" w:rsidRDefault="00A905B7">
                    <w:r w:rsidRPr="00AA0E48">
                      <w:rPr>
                        <w:color w:val="000000"/>
                      </w:rPr>
                      <w:t>v</w:t>
                    </w:r>
                  </w:p>
                </w:txbxContent>
              </v:textbox>
            </v:rect>
            <v:rect id="_x0000_s1639" style="position:absolute;left:753;top:213;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1640" style="position:absolute;left:833;top:565;width:88;height:240;mso-wrap-style:none" filled="f" stroked="f">
              <v:textbox style="mso-fit-shape-to-text:t" inset="0,0,0,0">
                <w:txbxContent>
                  <w:p w:rsidR="00A905B7" w:rsidRDefault="00A905B7">
                    <w:r>
                      <w:rPr>
                        <w:rFonts w:ascii="Symbol" w:hAnsi="Symbol" w:cs="Symbol"/>
                        <w:color w:val="000000"/>
                        <w:sz w:val="16"/>
                        <w:szCs w:val="16"/>
                      </w:rPr>
                      <w:t></w:t>
                    </w:r>
                  </w:p>
                </w:txbxContent>
              </v:textbox>
            </v:rect>
            <v:rect id="_x0000_s1641" style="position:absolute;left:1358;top:237;width:110;height:245;mso-wrap-style:none" filled="f" stroked="f">
              <v:textbox style="mso-fit-shape-to-text:t" inset="0,0,0,0">
                <w:txbxContent>
                  <w:p w:rsidR="00A905B7" w:rsidRPr="00AA0E48" w:rsidRDefault="00A905B7">
                    <w:r w:rsidRPr="00AA0E48">
                      <w:rPr>
                        <w:rFonts w:ascii="Symbol" w:hAnsi="Symbol" w:cs="Symbol"/>
                        <w:color w:val="000000"/>
                      </w:rPr>
                      <w:t></w:t>
                    </w:r>
                  </w:p>
                </w:txbxContent>
              </v:textbox>
            </v:rect>
            <v:rect id="_x0000_s1642" style="position:absolute;left:360;top:237;width:110;height:245;mso-wrap-style:none" filled="f" stroked="f">
              <v:textbox style="mso-fit-shape-to-text:t" inset="0,0,0,0">
                <w:txbxContent>
                  <w:p w:rsidR="00A905B7" w:rsidRPr="00AA0E48" w:rsidRDefault="00A905B7">
                    <w:r w:rsidRPr="00AA0E48">
                      <w:rPr>
                        <w:rFonts w:ascii="Symbol" w:hAnsi="Symbol" w:cs="Symbol"/>
                        <w:color w:val="000000"/>
                      </w:rPr>
                      <w:t></w:t>
                    </w:r>
                  </w:p>
                </w:txbxContent>
              </v:textbox>
            </v:rect>
            <w10:wrap type="none"/>
            <w10:anchorlock/>
          </v:group>
        </w:pict>
      </w:r>
    </w:p>
    <w:p w:rsidR="00C0100D" w:rsidRPr="00B04DC3" w:rsidRDefault="00C0100D" w:rsidP="00AA0E48">
      <w:pPr>
        <w:pStyle w:val="para"/>
        <w:rPr>
          <w:lang w:val="en-GB"/>
        </w:rPr>
      </w:pPr>
      <w:r w:rsidRPr="00B04DC3">
        <w:rPr>
          <w:lang w:val="en-GB"/>
        </w:rPr>
        <w:t>5.</w:t>
      </w:r>
      <w:r w:rsidRPr="00B04DC3">
        <w:rPr>
          <w:lang w:val="en-GB"/>
        </w:rPr>
        <w:tab/>
        <w:t>Table 4 shows values of the pass (A</w:t>
      </w:r>
      <w:r w:rsidRPr="00B04DC3">
        <w:rPr>
          <w:vertAlign w:val="subscript"/>
          <w:lang w:val="en-GB"/>
        </w:rPr>
        <w:t>n</w:t>
      </w:r>
      <w:r w:rsidRPr="00B04DC3">
        <w:rPr>
          <w:lang w:val="en-GB"/>
        </w:rPr>
        <w:t>) and fail (B</w:t>
      </w:r>
      <w:r w:rsidRPr="00B04DC3">
        <w:rPr>
          <w:vertAlign w:val="subscript"/>
          <w:lang w:val="en-GB"/>
        </w:rPr>
        <w:t>n</w:t>
      </w:r>
      <w:r w:rsidRPr="00B04DC3">
        <w:rPr>
          <w:lang w:val="en-GB"/>
        </w:rPr>
        <w:t>) decision numbers against current sample number</w:t>
      </w:r>
      <w:r w:rsidR="00401E79" w:rsidRPr="00B04DC3">
        <w:rPr>
          <w:lang w:val="en-GB"/>
        </w:rPr>
        <w:t xml:space="preserve">. </w:t>
      </w:r>
      <w:r w:rsidRPr="00B04DC3">
        <w:rPr>
          <w:lang w:val="en-GB"/>
        </w:rPr>
        <w:t xml:space="preserve">The test statistic result is the ratio </w:t>
      </w:r>
      <w:r w:rsidR="00082505">
        <w:rPr>
          <w:lang w:val="en-GB"/>
        </w:rPr>
        <w:t>d</w:t>
      </w:r>
      <w:r w:rsidR="00D56A0B">
        <w:rPr>
          <w:lang w:val="en-GB"/>
        </w:rPr>
        <w:t>̅</w:t>
      </w:r>
      <w:r w:rsidR="00082505">
        <w:rPr>
          <w:vertAlign w:val="subscript"/>
          <w:lang w:val="en-GB"/>
        </w:rPr>
        <w:t>n</w:t>
      </w:r>
      <w:r w:rsidR="00082505">
        <w:rPr>
          <w:lang w:val="en-GB"/>
        </w:rPr>
        <w:t>/v</w:t>
      </w:r>
      <w:r w:rsidR="00082505">
        <w:rPr>
          <w:vertAlign w:val="subscript"/>
          <w:lang w:val="en-GB"/>
        </w:rPr>
        <w:t>n</w:t>
      </w:r>
      <w:r w:rsidR="00D56A0B">
        <w:rPr>
          <w:vertAlign w:val="subscript"/>
          <w:lang w:val="en-GB"/>
        </w:rPr>
        <w:t xml:space="preserve"> </w:t>
      </w:r>
      <w:r w:rsidRPr="00B04DC3">
        <w:rPr>
          <w:lang w:val="en-GB"/>
        </w:rPr>
        <w:t>and shall be used to determine whether the series has passed or failed as follows:</w:t>
      </w:r>
    </w:p>
    <w:p w:rsidR="00C0100D" w:rsidRPr="00B04DC3" w:rsidRDefault="00A905B7" w:rsidP="00AA0E48">
      <w:pPr>
        <w:pStyle w:val="para"/>
        <w:rPr>
          <w:lang w:val="en-GB"/>
        </w:rPr>
      </w:pPr>
      <w:r>
        <w:rPr>
          <w:noProof/>
        </w:rPr>
        <w:pict>
          <v:shape id="_x0000_s5659" type="#_x0000_t75" style="position:absolute;left:0;text-align:left;margin-left:217.1pt;margin-top:16.7pt;width:66.45pt;height:17.1pt;z-index:251641856" fillcolor="window">
            <v:imagedata r:id="rId57" o:title=""/>
          </v:shape>
        </w:pict>
      </w:r>
      <w:r w:rsidR="00C0100D" w:rsidRPr="00B04DC3">
        <w:rPr>
          <w:lang w:val="en-GB"/>
        </w:rPr>
        <w:tab/>
        <w:t>For m</w:t>
      </w:r>
      <w:r w:rsidR="00C0100D" w:rsidRPr="00B04DC3">
        <w:rPr>
          <w:vertAlign w:val="subscript"/>
          <w:lang w:val="en-GB"/>
        </w:rPr>
        <w:t>0</w:t>
      </w:r>
      <w:r w:rsidR="00C0100D" w:rsidRPr="00B04DC3">
        <w:rPr>
          <w:lang w:val="en-GB"/>
        </w:rPr>
        <w:t xml:space="preserve"> ≤ n ≤ m:</w:t>
      </w:r>
    </w:p>
    <w:p w:rsidR="00C0100D" w:rsidRPr="00B04DC3" w:rsidRDefault="00A905B7" w:rsidP="00AA0E48">
      <w:pPr>
        <w:pStyle w:val="a"/>
        <w:rPr>
          <w:lang w:val="en-GB"/>
        </w:rPr>
      </w:pPr>
      <w:r>
        <w:rPr>
          <w:noProof/>
        </w:rPr>
        <w:pict>
          <v:shape id="_x0000_s5660" type="#_x0000_t75" style="position:absolute;left:0;text-align:left;margin-left:213.15pt;margin-top:16.8pt;width:53.55pt;height:14.3pt;z-index:251642880" fillcolor="window">
            <v:imagedata r:id="rId58" o:title=""/>
          </v:shape>
        </w:pict>
      </w:r>
      <w:r w:rsidR="000D278E" w:rsidRPr="00B04DC3">
        <w:rPr>
          <w:lang w:val="en-GB"/>
        </w:rPr>
        <w:t>(a)</w:t>
      </w:r>
      <w:r w:rsidR="000D278E" w:rsidRPr="00B04DC3">
        <w:rPr>
          <w:lang w:val="en-GB"/>
        </w:rPr>
        <w:tab/>
        <w:t>P</w:t>
      </w:r>
      <w:r w:rsidR="00C0100D" w:rsidRPr="00B04DC3">
        <w:rPr>
          <w:lang w:val="en-GB"/>
        </w:rPr>
        <w:t xml:space="preserve">ass the series if </w:t>
      </w:r>
    </w:p>
    <w:p w:rsidR="00C0100D" w:rsidRPr="00B04DC3" w:rsidRDefault="00A905B7" w:rsidP="00AA0E48">
      <w:pPr>
        <w:pStyle w:val="a"/>
        <w:rPr>
          <w:lang w:val="en-GB"/>
        </w:rPr>
      </w:pPr>
      <w:r>
        <w:rPr>
          <w:noProof/>
        </w:rPr>
        <w:pict>
          <v:shape id="_x0000_s5661" type="#_x0000_t75" style="position:absolute;left:0;text-align:left;margin-left:263.95pt;margin-top:16.7pt;width:80.3pt;height:14.3pt;z-index:251643904" fillcolor="window">
            <v:imagedata r:id="rId59" o:title=""/>
          </v:shape>
        </w:pict>
      </w:r>
      <w:r w:rsidR="00C0100D" w:rsidRPr="00B04DC3">
        <w:rPr>
          <w:lang w:val="en-GB"/>
        </w:rPr>
        <w:t>(b)</w:t>
      </w:r>
      <w:r w:rsidR="00C0100D" w:rsidRPr="00B04DC3">
        <w:rPr>
          <w:lang w:val="en-GB"/>
        </w:rPr>
        <w:tab/>
      </w:r>
      <w:r w:rsidR="000D278E" w:rsidRPr="00B04DC3">
        <w:rPr>
          <w:lang w:val="en-GB"/>
        </w:rPr>
        <w:t>F</w:t>
      </w:r>
      <w:r w:rsidR="00C0100D" w:rsidRPr="00B04DC3">
        <w:rPr>
          <w:lang w:val="en-GB"/>
        </w:rPr>
        <w:t xml:space="preserve">ail the series if </w:t>
      </w:r>
    </w:p>
    <w:p w:rsidR="00C0100D" w:rsidRPr="00B04DC3" w:rsidRDefault="00C0100D" w:rsidP="00AA0E48">
      <w:pPr>
        <w:pStyle w:val="a"/>
        <w:rPr>
          <w:lang w:val="en-GB"/>
        </w:rPr>
      </w:pPr>
      <w:r w:rsidRPr="00B04DC3">
        <w:rPr>
          <w:lang w:val="en-GB"/>
        </w:rPr>
        <w:t>(c)</w:t>
      </w:r>
      <w:r w:rsidRPr="00B04DC3">
        <w:rPr>
          <w:lang w:val="en-GB"/>
        </w:rPr>
        <w:tab/>
      </w:r>
      <w:r w:rsidR="000D278E" w:rsidRPr="00B04DC3">
        <w:rPr>
          <w:lang w:val="en-GB"/>
        </w:rPr>
        <w:t>T</w:t>
      </w:r>
      <w:r w:rsidRPr="00B04DC3">
        <w:rPr>
          <w:lang w:val="en-GB"/>
        </w:rPr>
        <w:t xml:space="preserve">ake another measurement if </w:t>
      </w:r>
    </w:p>
    <w:p w:rsidR="00C0100D" w:rsidRPr="00B04DC3" w:rsidRDefault="00C0100D" w:rsidP="00AA0E48">
      <w:pPr>
        <w:pStyle w:val="para"/>
        <w:rPr>
          <w:lang w:val="en-GB"/>
        </w:rPr>
      </w:pPr>
      <w:r w:rsidRPr="00B04DC3">
        <w:rPr>
          <w:lang w:val="en-GB"/>
        </w:rPr>
        <w:t>6.</w:t>
      </w:r>
      <w:r w:rsidRPr="00B04DC3">
        <w:rPr>
          <w:lang w:val="en-GB"/>
        </w:rPr>
        <w:tab/>
        <w:t>Remarks</w:t>
      </w:r>
    </w:p>
    <w:p w:rsidR="00C0100D" w:rsidRPr="00B04DC3" w:rsidRDefault="00C0100D" w:rsidP="00AA0E48">
      <w:pPr>
        <w:pStyle w:val="para"/>
        <w:rPr>
          <w:lang w:val="en-GB"/>
        </w:rPr>
      </w:pPr>
      <w:r w:rsidRPr="00B04DC3">
        <w:rPr>
          <w:lang w:val="en-GB"/>
        </w:rPr>
        <w:tab/>
        <w:t>The following recursive formulae are useful for calculating successive values of the test statistic:</w:t>
      </w:r>
    </w:p>
    <w:p w:rsidR="00C0100D" w:rsidRPr="00B04DC3" w:rsidRDefault="00C0100D" w:rsidP="00AA0E48">
      <w:pPr>
        <w:pStyle w:val="para"/>
        <w:rPr>
          <w:lang w:val="en-GB"/>
        </w:rPr>
      </w:pPr>
      <w:r w:rsidRPr="00B04DC3">
        <w:rPr>
          <w:lang w:val="en-GB"/>
        </w:rPr>
        <w:tab/>
      </w:r>
      <w:r w:rsidR="00A905B7">
        <w:rPr>
          <w:lang w:val="en-GB"/>
        </w:rPr>
      </w:r>
      <w:r w:rsidR="00A905B7">
        <w:rPr>
          <w:lang w:val="en-GB"/>
        </w:rPr>
        <w:pict>
          <v:group id="_x0000_s1508" editas="canvas" style="width:114.8pt;height:33.35pt;mso-position-horizontal-relative:char;mso-position-vertical-relative:line" coordsize="2296,667">
            <o:lock v:ext="edit" aspectratio="t"/>
            <v:shape id="_x0000_s1507" type="#_x0000_t75" style="position:absolute;width:2296;height:667" o:preferrelative="f">
              <v:fill o:detectmouseclick="t"/>
              <v:path o:extrusionok="t" o:connecttype="none"/>
              <o:lock v:ext="edit" text="t"/>
            </v:shape>
            <v:line id="_x0000_s1509" style="position:absolute" from="40,180" to="149,180" strokeweight=".5pt"/>
            <v:line id="_x0000_s1510" style="position:absolute" from="930,340" to="1086,340" strokeweight=".5pt"/>
            <v:line id="_x0000_s1511" style="position:absolute" from="1254,180" to="1363,180" strokeweight=".5pt"/>
            <v:line id="_x0000_s1512" style="position:absolute" from="1885,340" to="2042,340" strokeweight=".5pt"/>
            <v:rect id="_x0000_s1513" style="position:absolute;left:2215;top:317;width:81;height:240;mso-wrap-style:none" filled="f" stroked="f">
              <v:textbox style="mso-next-textbox:#_x0000_s1513;mso-fit-shape-to-text:t" inset="0,0,0,0">
                <w:txbxContent>
                  <w:p w:rsidR="00A905B7" w:rsidRDefault="00A905B7">
                    <w:r>
                      <w:rPr>
                        <w:color w:val="000000"/>
                        <w:sz w:val="16"/>
                        <w:szCs w:val="16"/>
                      </w:rPr>
                      <w:t>n</w:t>
                    </w:r>
                  </w:p>
                </w:txbxContent>
              </v:textbox>
            </v:rect>
            <v:rect id="_x0000_s1514" style="position:absolute;left:1567;top:277;width:81;height:240;mso-wrap-style:none" filled="f" stroked="f">
              <v:textbox style="mso-next-textbox:#_x0000_s1514;mso-fit-shape-to-text:t" inset="0,0,0,0">
                <w:txbxContent>
                  <w:p w:rsidR="00A905B7" w:rsidRDefault="00A905B7">
                    <w:r>
                      <w:rPr>
                        <w:color w:val="000000"/>
                        <w:sz w:val="16"/>
                        <w:szCs w:val="16"/>
                      </w:rPr>
                      <w:t>1</w:t>
                    </w:r>
                  </w:p>
                </w:txbxContent>
              </v:textbox>
            </v:rect>
            <v:rect id="_x0000_s1515" style="position:absolute;left:1383;top:277;width:81;height:240;mso-wrap-style:none" filled="f" stroked="f">
              <v:textbox style="mso-next-textbox:#_x0000_s1515;mso-fit-shape-to-text:t" inset="0,0,0,0">
                <w:txbxContent>
                  <w:p w:rsidR="00A905B7" w:rsidRDefault="00A905B7">
                    <w:r>
                      <w:rPr>
                        <w:color w:val="000000"/>
                        <w:sz w:val="16"/>
                        <w:szCs w:val="16"/>
                      </w:rPr>
                      <w:t>n</w:t>
                    </w:r>
                  </w:p>
                </w:txbxContent>
              </v:textbox>
            </v:rect>
            <v:rect id="_x0000_s1516" style="position:absolute;left:169;top:277;width:81;height:240;mso-wrap-style:none" filled="f" stroked="f">
              <v:textbox style="mso-next-textbox:#_x0000_s1516;mso-fit-shape-to-text:t" inset="0,0,0,0">
                <w:txbxContent>
                  <w:p w:rsidR="00A905B7" w:rsidRDefault="00A905B7">
                    <w:r>
                      <w:rPr>
                        <w:color w:val="000000"/>
                        <w:sz w:val="16"/>
                        <w:szCs w:val="16"/>
                      </w:rPr>
                      <w:t>n</w:t>
                    </w:r>
                  </w:p>
                </w:txbxContent>
              </v:textbox>
            </v:rect>
            <v:rect id="_x0000_s1517" style="position:absolute;left:2079;top:186;width:121;height:276;mso-wrap-style:none" filled="f" stroked="f">
              <v:textbox style="mso-next-textbox:#_x0000_s1517;mso-fit-shape-to-text:t" inset="0,0,0,0">
                <w:txbxContent>
                  <w:p w:rsidR="00A905B7" w:rsidRDefault="00A905B7">
                    <w:r>
                      <w:rPr>
                        <w:color w:val="000000"/>
                        <w:sz w:val="24"/>
                        <w:szCs w:val="24"/>
                      </w:rPr>
                      <w:t>d</w:t>
                    </w:r>
                  </w:p>
                </w:txbxContent>
              </v:textbox>
            </v:rect>
            <v:rect id="_x0000_s1518" style="position:absolute;left:1902;top:372;width:121;height:276;mso-wrap-style:none" filled="f" stroked="f">
              <v:textbox style="mso-next-textbox:#_x0000_s1518;mso-fit-shape-to-text:t" inset="0,0,0,0">
                <w:txbxContent>
                  <w:p w:rsidR="00A905B7" w:rsidRDefault="00A905B7">
                    <w:r>
                      <w:rPr>
                        <w:color w:val="000000"/>
                        <w:sz w:val="24"/>
                        <w:szCs w:val="24"/>
                      </w:rPr>
                      <w:t>n</w:t>
                    </w:r>
                  </w:p>
                </w:txbxContent>
              </v:textbox>
            </v:rect>
            <v:rect id="_x0000_s1519" style="position:absolute;left:1904;top:37;width:121;height:276;mso-wrap-style:none" filled="f" stroked="f">
              <v:textbox style="mso-next-textbox:#_x0000_s1519;mso-fit-shape-to-text:t" inset="0,0,0,0">
                <w:txbxContent>
                  <w:p w:rsidR="00A905B7" w:rsidRDefault="00A905B7">
                    <w:r>
                      <w:rPr>
                        <w:color w:val="000000"/>
                        <w:sz w:val="24"/>
                        <w:szCs w:val="24"/>
                      </w:rPr>
                      <w:t>1</w:t>
                    </w:r>
                  </w:p>
                </w:txbxContent>
              </v:textbox>
            </v:rect>
            <v:rect id="_x0000_s1520" style="position:absolute;left:1246;top:186;width:121;height:276;mso-wrap-style:none" filled="f" stroked="f">
              <v:textbox style="mso-next-textbox:#_x0000_s1520;mso-fit-shape-to-text:t" inset="0,0,0,0">
                <w:txbxContent>
                  <w:p w:rsidR="00A905B7" w:rsidRDefault="00A905B7">
                    <w:r>
                      <w:rPr>
                        <w:color w:val="000000"/>
                        <w:sz w:val="24"/>
                        <w:szCs w:val="24"/>
                      </w:rPr>
                      <w:t>d</w:t>
                    </w:r>
                  </w:p>
                </w:txbxContent>
              </v:textbox>
            </v:rect>
            <v:rect id="_x0000_s1521" style="position:absolute;left:1194;top:186;width:61;height:240;mso-wrap-style:none" filled="f" stroked="f">
              <v:textbox style="mso-next-textbox:#_x0000_s1521;mso-fit-shape-to-text:t" inset="0,0,0,0">
                <w:txbxContent>
                  <w:p w:rsidR="00A905B7" w:rsidRDefault="00A905B7">
                    <w:r>
                      <w:rPr>
                        <w:color w:val="000000"/>
                        <w:sz w:val="24"/>
                        <w:szCs w:val="24"/>
                      </w:rPr>
                      <w:t xml:space="preserve"> </w:t>
                    </w:r>
                  </w:p>
                </w:txbxContent>
              </v:textbox>
            </v:rect>
            <v:rect id="_x0000_s1522" style="position:absolute;left:946;top:372;width:121;height:276;mso-wrap-style:none" filled="f" stroked="f">
              <v:textbox style="mso-next-textbox:#_x0000_s1522;mso-fit-shape-to-text:t" inset="0,0,0,0">
                <w:txbxContent>
                  <w:p w:rsidR="00A905B7" w:rsidRDefault="00A905B7">
                    <w:r>
                      <w:rPr>
                        <w:color w:val="000000"/>
                        <w:sz w:val="24"/>
                        <w:szCs w:val="24"/>
                      </w:rPr>
                      <w:t>n</w:t>
                    </w:r>
                  </w:p>
                </w:txbxContent>
              </v:textbox>
            </v:rect>
            <v:rect id="_x0000_s1523" style="position:absolute;left:948;top:37;width:121;height:276;mso-wrap-style:none" filled="f" stroked="f">
              <v:textbox style="mso-next-textbox:#_x0000_s1523;mso-fit-shape-to-text:t" inset="0,0,0,0">
                <w:txbxContent>
                  <w:p w:rsidR="00A905B7" w:rsidRDefault="00A905B7">
                    <w:r>
                      <w:rPr>
                        <w:color w:val="000000"/>
                        <w:sz w:val="24"/>
                        <w:szCs w:val="24"/>
                      </w:rPr>
                      <w:t>1</w:t>
                    </w:r>
                  </w:p>
                </w:txbxContent>
              </v:textbox>
            </v:rect>
            <v:rect id="_x0000_s1524" style="position:absolute;left:600;top:360;width:121;height:276;mso-wrap-style:none" filled="f" stroked="f">
              <v:textbox style="mso-next-textbox:#_x0000_s1524;mso-fit-shape-to-text:t" inset="0,0,0,0">
                <w:txbxContent>
                  <w:p w:rsidR="00A905B7" w:rsidRDefault="00A905B7">
                    <w:r>
                      <w:rPr>
                        <w:color w:val="000000"/>
                        <w:sz w:val="24"/>
                        <w:szCs w:val="24"/>
                      </w:rPr>
                      <w:t>1</w:t>
                    </w:r>
                  </w:p>
                </w:txbxContent>
              </v:textbox>
            </v:rect>
            <v:rect id="_x0000_s1525" style="position:absolute;left:32;top:186;width:121;height:276;mso-wrap-style:none" filled="f" stroked="f">
              <v:textbox style="mso-next-textbox:#_x0000_s1525;mso-fit-shape-to-text:t" inset="0,0,0,0">
                <w:txbxContent>
                  <w:p w:rsidR="00A905B7" w:rsidRDefault="00A905B7">
                    <w:r>
                      <w:rPr>
                        <w:color w:val="000000"/>
                        <w:sz w:val="24"/>
                        <w:szCs w:val="24"/>
                      </w:rPr>
                      <w:t>d</w:t>
                    </w:r>
                  </w:p>
                </w:txbxContent>
              </v:textbox>
            </v:rect>
            <v:rect id="_x0000_s1526" style="position:absolute;left:1702;top:159;width:132;height:294;mso-wrap-style:none" filled="f" stroked="f">
              <v:textbox style="mso-next-textbox:#_x0000_s1526;mso-fit-shape-to-text:t" inset="0,0,0,0">
                <w:txbxContent>
                  <w:p w:rsidR="00A905B7" w:rsidRDefault="00A905B7">
                    <w:r>
                      <w:rPr>
                        <w:rFonts w:ascii="Symbol" w:hAnsi="Symbol" w:cs="Symbol"/>
                        <w:color w:val="000000"/>
                        <w:sz w:val="24"/>
                        <w:szCs w:val="24"/>
                      </w:rPr>
                      <w:t></w:t>
                    </w:r>
                  </w:p>
                </w:txbxContent>
              </v:textbox>
            </v:rect>
            <v:rect id="_x0000_s1527" style="position:absolute;left:1112;top:181;width:93;height:294;mso-wrap-style:none" filled="f" stroked="f">
              <v:textbox style="mso-next-textbox:#_x0000_s1527;mso-fit-shape-to-text:t" inset="0,0,0,0">
                <w:txbxContent>
                  <w:p w:rsidR="00A905B7" w:rsidRDefault="00A905B7">
                    <w:r>
                      <w:rPr>
                        <w:rFonts w:ascii="Symbol" w:hAnsi="Symbol" w:cs="Symbol"/>
                        <w:color w:val="000000"/>
                        <w:sz w:val="24"/>
                        <w:szCs w:val="24"/>
                      </w:rPr>
                      <w:t></w:t>
                    </w:r>
                  </w:p>
                </w:txbxContent>
              </v:textbox>
            </v:rect>
            <v:rect id="_x0000_s1528" style="position:absolute;left:1112;top:373;width:93;height:294;mso-wrap-style:none" filled="f" stroked="f">
              <v:textbox style="mso-next-textbox:#_x0000_s1528;mso-fit-shape-to-text:t" inset="0,0,0,0">
                <w:txbxContent>
                  <w:p w:rsidR="00A905B7" w:rsidRDefault="00A905B7">
                    <w:r>
                      <w:rPr>
                        <w:rFonts w:ascii="Symbol" w:hAnsi="Symbol" w:cs="Symbol"/>
                        <w:color w:val="000000"/>
                        <w:sz w:val="24"/>
                        <w:szCs w:val="24"/>
                      </w:rPr>
                      <w:t></w:t>
                    </w:r>
                  </w:p>
                </w:txbxContent>
              </v:textbox>
            </v:rect>
            <v:rect id="_x0000_s1529" style="position:absolute;left:1112;top:27;width:93;height:294;mso-wrap-style:none" filled="f" stroked="f">
              <v:textbox style="mso-next-textbox:#_x0000_s1529;mso-fit-shape-to-text:t" inset="0,0,0,0">
                <w:txbxContent>
                  <w:p w:rsidR="00A905B7" w:rsidRDefault="00A905B7">
                    <w:r>
                      <w:rPr>
                        <w:rFonts w:ascii="Symbol" w:hAnsi="Symbol" w:cs="Symbol"/>
                        <w:color w:val="000000"/>
                        <w:sz w:val="24"/>
                        <w:szCs w:val="24"/>
                      </w:rPr>
                      <w:t></w:t>
                    </w:r>
                  </w:p>
                </w:txbxContent>
              </v:textbox>
            </v:rect>
            <v:rect id="_x0000_s1530" style="position:absolute;left:514;top:181;width:93;height:294;mso-wrap-style:none" filled="f" stroked="f">
              <v:textbox style="mso-next-textbox:#_x0000_s1530;mso-fit-shape-to-text:t" inset="0,0,0,0">
                <w:txbxContent>
                  <w:p w:rsidR="00A905B7" w:rsidRDefault="00A905B7">
                    <w:r>
                      <w:rPr>
                        <w:rFonts w:ascii="Symbol" w:hAnsi="Symbol" w:cs="Symbol"/>
                        <w:color w:val="000000"/>
                        <w:sz w:val="24"/>
                        <w:szCs w:val="24"/>
                      </w:rPr>
                      <w:t></w:t>
                    </w:r>
                  </w:p>
                </w:txbxContent>
              </v:textbox>
            </v:rect>
            <v:rect id="_x0000_s1531" style="position:absolute;left:514;top:373;width:93;height:294;mso-wrap-style:none" filled="f" stroked="f">
              <v:textbox style="mso-next-textbox:#_x0000_s1531;mso-fit-shape-to-text:t" inset="0,0,0,0">
                <w:txbxContent>
                  <w:p w:rsidR="00A905B7" w:rsidRDefault="00A905B7">
                    <w:r>
                      <w:rPr>
                        <w:rFonts w:ascii="Symbol" w:hAnsi="Symbol" w:cs="Symbol"/>
                        <w:color w:val="000000"/>
                        <w:sz w:val="24"/>
                        <w:szCs w:val="24"/>
                      </w:rPr>
                      <w:t></w:t>
                    </w:r>
                  </w:p>
                </w:txbxContent>
              </v:textbox>
            </v:rect>
            <v:rect id="_x0000_s1532" style="position:absolute;left:514;top:27;width:93;height:294;mso-wrap-style:none" filled="f" stroked="f">
              <v:textbox style="mso-next-textbox:#_x0000_s1532;mso-fit-shape-to-text:t" inset="0,0,0,0">
                <w:txbxContent>
                  <w:p w:rsidR="00A905B7" w:rsidRDefault="00A905B7">
                    <w:r>
                      <w:rPr>
                        <w:rFonts w:ascii="Symbol" w:hAnsi="Symbol" w:cs="Symbol"/>
                        <w:color w:val="000000"/>
                        <w:sz w:val="24"/>
                        <w:szCs w:val="24"/>
                      </w:rPr>
                      <w:t></w:t>
                    </w:r>
                  </w:p>
                </w:txbxContent>
              </v:textbox>
            </v:rect>
            <v:rect id="_x0000_s1533" style="position:absolute;left:750;top:159;width:132;height:294;mso-wrap-style:none" filled="f" stroked="f">
              <v:textbox style="mso-next-textbox:#_x0000_s1533;mso-fit-shape-to-text:t" inset="0,0,0,0">
                <w:txbxContent>
                  <w:p w:rsidR="00A905B7" w:rsidRDefault="00A905B7">
                    <w:r>
                      <w:rPr>
                        <w:rFonts w:ascii="Symbol" w:hAnsi="Symbol" w:cs="Symbol"/>
                        <w:color w:val="000000"/>
                        <w:sz w:val="24"/>
                        <w:szCs w:val="24"/>
                      </w:rPr>
                      <w:t></w:t>
                    </w:r>
                  </w:p>
                </w:txbxContent>
              </v:textbox>
            </v:rect>
            <v:rect id="_x0000_s1534" style="position:absolute;left:335;top:159;width:132;height:294;mso-wrap-style:none" filled="f" stroked="f">
              <v:textbox style="mso-next-textbox:#_x0000_s1534;mso-fit-shape-to-text:t" inset="0,0,0,0">
                <w:txbxContent>
                  <w:p w:rsidR="00A905B7" w:rsidRDefault="00A905B7">
                    <w:r>
                      <w:rPr>
                        <w:rFonts w:ascii="Symbol" w:hAnsi="Symbol" w:cs="Symbol"/>
                        <w:color w:val="000000"/>
                        <w:sz w:val="24"/>
                        <w:szCs w:val="24"/>
                      </w:rPr>
                      <w:t></w:t>
                    </w:r>
                  </w:p>
                </w:txbxContent>
              </v:textbox>
            </v:rect>
            <v:rect id="_x0000_s1535" style="position:absolute;left:1482;top:259;width:88;height:240;mso-wrap-style:none" filled="f" stroked="f">
              <v:textbox style="mso-next-textbox:#_x0000_s1535;mso-fit-shape-to-text:t" inset="0,0,0,0">
                <w:txbxContent>
                  <w:p w:rsidR="00A905B7" w:rsidRDefault="00A905B7">
                    <w:r>
                      <w:rPr>
                        <w:rFonts w:ascii="Symbol" w:hAnsi="Symbol" w:cs="Symbol"/>
                        <w:color w:val="000000"/>
                        <w:sz w:val="16"/>
                        <w:szCs w:val="16"/>
                      </w:rPr>
                      <w:t></w:t>
                    </w:r>
                  </w:p>
                </w:txbxContent>
              </v:textbox>
            </v:rect>
            <w10:wrap type="none"/>
            <w10:anchorlock/>
          </v:group>
        </w:pict>
      </w:r>
    </w:p>
    <w:p w:rsidR="00C0100D" w:rsidRPr="00B04DC3" w:rsidRDefault="00C0100D" w:rsidP="00AA0E48">
      <w:pPr>
        <w:pStyle w:val="para"/>
        <w:spacing w:after="80"/>
        <w:rPr>
          <w:lang w:val="en-GB"/>
        </w:rPr>
      </w:pPr>
      <w:r w:rsidRPr="00B04DC3">
        <w:rPr>
          <w:lang w:val="en-GB"/>
        </w:rPr>
        <w:tab/>
      </w:r>
      <w:r w:rsidR="00A905B7">
        <w:rPr>
          <w:lang w:val="en-GB"/>
        </w:rPr>
        <w:pict>
          <v:shape id="_x0000_i1048" type="#_x0000_t75" style="width:141.6pt;height:38.4pt" fillcolor="window">
            <v:imagedata r:id="rId60" o:title=""/>
          </v:shape>
        </w:pict>
      </w:r>
    </w:p>
    <w:p w:rsidR="000D278E" w:rsidRPr="00B04DC3" w:rsidRDefault="00C0100D" w:rsidP="00AA0E48">
      <w:pPr>
        <w:pStyle w:val="para"/>
        <w:ind w:left="2127"/>
        <w:rPr>
          <w:lang w:val="en-GB"/>
        </w:rPr>
      </w:pPr>
      <w:r w:rsidRPr="00B04DC3">
        <w:rPr>
          <w:lang w:val="en-GB"/>
        </w:rPr>
        <w:tab/>
      </w:r>
      <w:r w:rsidR="00A905B7">
        <w:rPr>
          <w:lang w:val="en-GB"/>
        </w:rPr>
      </w:r>
      <w:r w:rsidR="00A905B7">
        <w:rPr>
          <w:lang w:val="en-GB"/>
        </w:rPr>
        <w:pict>
          <v:group id="_x0000_s1026" editas="canvas" style="width:150.5pt;height:36pt;mso-position-horizontal-relative:char;mso-position-vertical-relative:line" coordorigin="-300,-134" coordsize="3010,720">
            <o:lock v:ext="edit" aspectratio="t"/>
            <v:shape id="_x0000_s1027" type="#_x0000_t75" style="position:absolute;left:-300;top:-134;width:3010;height:720" o:preferrelative="f">
              <v:fill o:detectmouseclick="t"/>
              <v:path o:extrusionok="t" o:connecttype="none"/>
              <o:lock v:ext="edit" text="t"/>
            </v:shape>
            <v:line id="_x0000_s1028" style="position:absolute" from="1155,60" to="1264,60" strokeweight=".5pt"/>
            <v:rect id="_x0000_s1029" style="position:absolute;left:-100;top:-134;width:134;height:460" filled="f" stroked="f">
              <v:textbox style="mso-next-textbox:#_x0000_s1029" inset="0,0,0,0">
                <w:txbxContent>
                  <w:p w:rsidR="00A905B7" w:rsidRPr="00594E5F" w:rsidRDefault="00A905B7" w:rsidP="00C0100D">
                    <w:pPr>
                      <w:rPr>
                        <w:lang w:val="fr-CH"/>
                      </w:rPr>
                    </w:pPr>
                    <w:r>
                      <w:rPr>
                        <w:rFonts w:cs="Symbol"/>
                        <w:color w:val="000000"/>
                        <w:sz w:val="40"/>
                        <w:szCs w:val="40"/>
                        <w:lang w:val="fr-CH"/>
                      </w:rPr>
                      <w:t>(</w:t>
                    </w:r>
                  </w:p>
                </w:txbxContent>
              </v:textbox>
            </v:rect>
            <v:rect id="_x0000_s1030" style="position:absolute;left:2500;top:-134;width:100;height:720" filled="f" stroked="f">
              <v:textbox style="mso-next-textbox:#_x0000_s1030" inset="0,0,0,0">
                <w:txbxContent>
                  <w:p w:rsidR="00A905B7" w:rsidRPr="00350517" w:rsidRDefault="00A905B7" w:rsidP="00C0100D">
                    <w:pPr>
                      <w:rPr>
                        <w:sz w:val="36"/>
                        <w:szCs w:val="36"/>
                      </w:rPr>
                    </w:pPr>
                    <w:r w:rsidRPr="00350517">
                      <w:rPr>
                        <w:rFonts w:ascii="Symbol" w:hAnsi="Symbol" w:cs="Symbol"/>
                        <w:color w:val="000000"/>
                        <w:sz w:val="36"/>
                        <w:szCs w:val="36"/>
                      </w:rPr>
                      <w:t></w:t>
                    </w:r>
                  </w:p>
                </w:txbxContent>
              </v:textbox>
            </v:rect>
            <v:rect id="_x0000_s1031" style="position:absolute;left:2357;top:66;width:101;height:240;mso-wrap-style:none" filled="f" stroked="f">
              <v:textbox style="mso-next-textbox:#_x0000_s1031;mso-fit-shape-to-text:t" inset="0,0,0,0">
                <w:txbxContent>
                  <w:p w:rsidR="00A905B7" w:rsidRDefault="00A905B7" w:rsidP="00C0100D">
                    <w:r>
                      <w:rPr>
                        <w:color w:val="000000"/>
                      </w:rPr>
                      <w:t>0</w:t>
                    </w:r>
                  </w:p>
                </w:txbxContent>
              </v:textbox>
            </v:rect>
            <v:rect id="_x0000_s1032" style="position:absolute;left:1853;top:66;width:151;height:240;mso-wrap-style:none" filled="f" stroked="f">
              <v:textbox style="mso-next-textbox:#_x0000_s1032;mso-fit-shape-to-text:t" inset="0,0,0,0">
                <w:txbxContent>
                  <w:p w:rsidR="00A905B7" w:rsidRDefault="00A905B7" w:rsidP="00C0100D">
                    <w:r>
                      <w:rPr>
                        <w:color w:val="000000"/>
                      </w:rPr>
                      <w:t xml:space="preserve"> v</w:t>
                    </w:r>
                  </w:p>
                </w:txbxContent>
              </v:textbox>
            </v:rect>
            <v:rect id="_x0000_s1033" style="position:absolute;left:1801;top:66;width:56;height:240;mso-wrap-style:none" filled="f" stroked="f">
              <v:textbox style="mso-next-textbox:#_x0000_s1033;mso-fit-shape-to-text:t" inset="0,0,0,0">
                <w:txbxContent>
                  <w:p w:rsidR="00A905B7" w:rsidRDefault="00A905B7" w:rsidP="00C0100D">
                    <w:r>
                      <w:rPr>
                        <w:color w:val="000000"/>
                      </w:rPr>
                      <w:t>;</w:t>
                    </w:r>
                  </w:p>
                </w:txbxContent>
              </v:textbox>
            </v:rect>
            <v:rect id="_x0000_s1034" style="position:absolute;left:1596;top:66;width:101;height:240;mso-wrap-style:none" filled="f" stroked="f">
              <v:textbox style="mso-next-textbox:#_x0000_s1034;mso-fit-shape-to-text:t" inset="0,0,0,0">
                <w:txbxContent>
                  <w:p w:rsidR="00A905B7" w:rsidRDefault="00A905B7" w:rsidP="00C0100D">
                    <w:r>
                      <w:rPr>
                        <w:color w:val="000000"/>
                      </w:rPr>
                      <w:t>d</w:t>
                    </w:r>
                  </w:p>
                </w:txbxContent>
              </v:textbox>
            </v:rect>
            <v:rect id="_x0000_s1035" style="position:absolute;left:1148;top:66;width:101;height:240;mso-wrap-style:none" filled="f" stroked="f">
              <v:textbox style="mso-next-textbox:#_x0000_s1035;mso-fit-shape-to-text:t" inset="0,0,0,0">
                <w:txbxContent>
                  <w:p w:rsidR="00A905B7" w:rsidRDefault="00A905B7" w:rsidP="00C0100D">
                    <w:r>
                      <w:rPr>
                        <w:color w:val="000000"/>
                      </w:rPr>
                      <w:t>d</w:t>
                    </w:r>
                  </w:p>
                </w:txbxContent>
              </v:textbox>
            </v:rect>
            <v:rect id="_x0000_s1036" style="position:absolute;left:1095;top:66;width:51;height:240;mso-wrap-style:none" filled="f" stroked="f">
              <v:textbox style="mso-next-textbox:#_x0000_s1036;mso-fit-shape-to-text:t" inset="0,0,0,0">
                <w:txbxContent>
                  <w:p w:rsidR="00A905B7" w:rsidRDefault="00A905B7" w:rsidP="00C0100D">
                    <w:r>
                      <w:rPr>
                        <w:color w:val="000000"/>
                      </w:rPr>
                      <w:t xml:space="preserve"> </w:t>
                    </w:r>
                  </w:p>
                </w:txbxContent>
              </v:textbox>
            </v:rect>
            <v:rect id="_x0000_s1037" style="position:absolute;left:683;top:66;width:356;height:240;mso-wrap-style:none" filled="f" stroked="f">
              <v:textbox style="mso-next-textbox:#_x0000_s1037;mso-fit-shape-to-text:t" inset="0,0,0,0">
                <w:txbxContent>
                  <w:p w:rsidR="00A905B7" w:rsidRDefault="00A905B7" w:rsidP="00C0100D">
                    <w:r>
                      <w:rPr>
                        <w:color w:val="000000"/>
                      </w:rPr>
                      <w:t>3,...;</w:t>
                    </w:r>
                  </w:p>
                </w:txbxContent>
              </v:textbox>
            </v:rect>
            <v:rect id="_x0000_s1038" style="position:absolute;left:634;top:66;width:51;height:240;mso-wrap-style:none" filled="f" stroked="f">
              <v:textbox style="mso-next-textbox:#_x0000_s1038;mso-fit-shape-to-text:t" inset="0,0,0,0">
                <w:txbxContent>
                  <w:p w:rsidR="00A905B7" w:rsidRDefault="00A905B7" w:rsidP="00C0100D">
                    <w:r>
                      <w:rPr>
                        <w:color w:val="000000"/>
                      </w:rPr>
                      <w:t xml:space="preserve"> </w:t>
                    </w:r>
                  </w:p>
                </w:txbxContent>
              </v:textbox>
            </v:rect>
            <v:rect id="_x0000_s1039" style="position:absolute;left:465;top:66;width:151;height:240;mso-wrap-style:none" filled="f" stroked="f">
              <v:textbox style="mso-next-textbox:#_x0000_s1039;mso-fit-shape-to-text:t" inset="0,0,0,0">
                <w:txbxContent>
                  <w:p w:rsidR="00A905B7" w:rsidRDefault="00A905B7" w:rsidP="00C0100D">
                    <w:r>
                      <w:rPr>
                        <w:color w:val="000000"/>
                      </w:rPr>
                      <w:t>2,</w:t>
                    </w:r>
                  </w:p>
                </w:txbxContent>
              </v:textbox>
            </v:rect>
            <v:rect id="_x0000_s1040" style="position:absolute;left:63;top:46;width:133;height:260" filled="f" stroked="f">
              <v:textbox style="mso-next-textbox:#_x0000_s1040" inset="0,0,0,0">
                <w:txbxContent>
                  <w:p w:rsidR="00A905B7" w:rsidRDefault="00A905B7" w:rsidP="00C0100D">
                    <w:r>
                      <w:rPr>
                        <w:color w:val="000000"/>
                      </w:rPr>
                      <w:t>n</w:t>
                    </w:r>
                  </w:p>
                </w:txbxContent>
              </v:textbox>
            </v:rect>
            <v:rect id="_x0000_s1041" style="position:absolute;left:2027;top:197;width:81;height:240;mso-wrap-style:none" filled="f" stroked="f">
              <v:textbox style="mso-next-textbox:#_x0000_s1041;mso-fit-shape-to-text:t" inset="0,0,0,0">
                <w:txbxContent>
                  <w:p w:rsidR="00A905B7" w:rsidRDefault="00A905B7" w:rsidP="00C0100D">
                    <w:r>
                      <w:rPr>
                        <w:color w:val="000000"/>
                        <w:sz w:val="16"/>
                        <w:szCs w:val="16"/>
                      </w:rPr>
                      <w:t>1</w:t>
                    </w:r>
                  </w:p>
                </w:txbxContent>
              </v:textbox>
            </v:rect>
            <v:rect id="_x0000_s1042" style="position:absolute;left:1714;top:197;width:81;height:240;mso-wrap-style:none" filled="f" stroked="f">
              <v:textbox style="mso-next-textbox:#_x0000_s1042;mso-fit-shape-to-text:t" inset="0,0,0,0">
                <w:txbxContent>
                  <w:p w:rsidR="00A905B7" w:rsidRDefault="00A905B7" w:rsidP="00C0100D">
                    <w:r>
                      <w:rPr>
                        <w:color w:val="000000"/>
                        <w:sz w:val="16"/>
                        <w:szCs w:val="16"/>
                      </w:rPr>
                      <w:t>1</w:t>
                    </w:r>
                  </w:p>
                </w:txbxContent>
              </v:textbox>
            </v:rect>
            <v:rect id="_x0000_s1043" style="position:absolute;left:1266;top:157;width:81;height:240;mso-wrap-style:none" filled="f" stroked="f">
              <v:textbox style="mso-next-textbox:#_x0000_s1043;mso-fit-shape-to-text:t" inset="0,0,0,0">
                <w:txbxContent>
                  <w:p w:rsidR="00A905B7" w:rsidRDefault="00A905B7" w:rsidP="00C0100D">
                    <w:r>
                      <w:rPr>
                        <w:color w:val="000000"/>
                        <w:sz w:val="16"/>
                        <w:szCs w:val="16"/>
                      </w:rPr>
                      <w:t>1</w:t>
                    </w:r>
                  </w:p>
                </w:txbxContent>
              </v:textbox>
            </v:rect>
            <v:rect id="_x0000_s1044" style="position:absolute;left:2174;top:39;width:110;height:245;mso-wrap-style:none" filled="f" stroked="f">
              <v:textbox style="mso-next-textbox:#_x0000_s1044;mso-fit-shape-to-text:t" inset="0,0,0,0">
                <w:txbxContent>
                  <w:p w:rsidR="00A905B7" w:rsidRDefault="00A905B7" w:rsidP="00C0100D">
                    <w:r>
                      <w:rPr>
                        <w:rFonts w:ascii="Symbol" w:hAnsi="Symbol" w:cs="Symbol"/>
                        <w:color w:val="000000"/>
                      </w:rPr>
                      <w:t></w:t>
                    </w:r>
                  </w:p>
                </w:txbxContent>
              </v:textbox>
            </v:rect>
            <v:rect id="_x0000_s1045" style="position:absolute;left:1413;top:39;width:110;height:245;mso-wrap-style:none" filled="f" stroked="f">
              <v:textbox style="mso-next-textbox:#_x0000_s1045;mso-fit-shape-to-text:t" inset="0,0,0,0">
                <w:txbxContent>
                  <w:p w:rsidR="00A905B7" w:rsidRDefault="00A905B7" w:rsidP="00C0100D">
                    <w:r>
                      <w:rPr>
                        <w:rFonts w:ascii="Symbol" w:hAnsi="Symbol" w:cs="Symbol"/>
                        <w:color w:val="000000"/>
                      </w:rPr>
                      <w:t></w:t>
                    </w:r>
                  </w:p>
                </w:txbxContent>
              </v:textbox>
            </v:rect>
            <v:rect id="_x0000_s1046" style="position:absolute;left:279;top:39;width:110;height:245;mso-wrap-style:none" filled="f" stroked="f">
              <v:textbox style="mso-next-textbox:#_x0000_s1046;mso-fit-shape-to-text:t" inset="0,0,0,0">
                <w:txbxContent>
                  <w:p w:rsidR="00A905B7" w:rsidRDefault="00A905B7" w:rsidP="00C0100D">
                    <w:r>
                      <w:rPr>
                        <w:rFonts w:ascii="Symbol" w:hAnsi="Symbol" w:cs="Symbol"/>
                        <w:color w:val="000000"/>
                      </w:rPr>
                      <w:t></w:t>
                    </w:r>
                  </w:p>
                </w:txbxContent>
              </v:textbox>
            </v:rect>
            <w10:wrap type="none"/>
            <w10:anchorlock/>
          </v:group>
        </w:pict>
      </w:r>
    </w:p>
    <w:p w:rsidR="000D278E" w:rsidRPr="00B04DC3" w:rsidRDefault="00C0100D" w:rsidP="000D278E">
      <w:pPr>
        <w:pStyle w:val="Heading1"/>
        <w:keepNext/>
      </w:pPr>
      <w:bookmarkStart w:id="90" w:name="_Toc399939889"/>
      <w:bookmarkStart w:id="91" w:name="_Toc423599476"/>
      <w:bookmarkStart w:id="92" w:name="_Toc423610884"/>
      <w:r w:rsidRPr="00B04DC3">
        <w:t>Table 4</w:t>
      </w:r>
      <w:bookmarkEnd w:id="90"/>
      <w:bookmarkEnd w:id="91"/>
      <w:bookmarkEnd w:id="92"/>
    </w:p>
    <w:p w:rsidR="00C0100D" w:rsidRPr="00B04DC3" w:rsidRDefault="00C0100D" w:rsidP="000D278E">
      <w:pPr>
        <w:pStyle w:val="Heading1"/>
        <w:keepNext/>
        <w:rPr>
          <w:b/>
        </w:rPr>
      </w:pPr>
      <w:bookmarkStart w:id="93" w:name="_Toc399939890"/>
      <w:bookmarkStart w:id="94" w:name="_Toc423599477"/>
      <w:bookmarkStart w:id="95" w:name="_Toc423610885"/>
      <w:r w:rsidRPr="00B04DC3">
        <w:rPr>
          <w:b/>
        </w:rPr>
        <w:t>Pass and fail decision numbers of Appendix 2 sampling plan</w:t>
      </w:r>
      <w:bookmarkEnd w:id="93"/>
      <w:bookmarkEnd w:id="94"/>
      <w:bookmarkEnd w:id="95"/>
    </w:p>
    <w:p w:rsidR="00C0100D" w:rsidRPr="00B04DC3" w:rsidRDefault="00C0100D" w:rsidP="000D278E">
      <w:pPr>
        <w:pStyle w:val="Heading1"/>
        <w:keepNext/>
        <w:rPr>
          <w:b/>
        </w:rPr>
      </w:pPr>
      <w:bookmarkStart w:id="96" w:name="_Toc399939891"/>
      <w:bookmarkStart w:id="97" w:name="_Toc423599478"/>
      <w:bookmarkStart w:id="98" w:name="_Toc423610886"/>
      <w:r w:rsidRPr="00B04DC3">
        <w:rPr>
          <w:b/>
        </w:rPr>
        <w:t>Minimum sample size: 3</w:t>
      </w:r>
      <w:bookmarkEnd w:id="96"/>
      <w:bookmarkEnd w:id="97"/>
      <w:bookmarkEnd w:id="98"/>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0"/>
        <w:gridCol w:w="2021"/>
        <w:gridCol w:w="1960"/>
      </w:tblGrid>
      <w:tr w:rsidR="00C0100D" w:rsidRPr="00B04DC3" w:rsidTr="009E373B">
        <w:tc>
          <w:tcPr>
            <w:tcW w:w="3827" w:type="dxa"/>
            <w:tcBorders>
              <w:bottom w:val="single" w:sz="12" w:space="0" w:color="auto"/>
            </w:tcBorders>
          </w:tcPr>
          <w:p w:rsidR="00C0100D" w:rsidRPr="00B04DC3" w:rsidRDefault="00C0100D" w:rsidP="008E05FC">
            <w:pPr>
              <w:pStyle w:val="NormalCentered"/>
              <w:keepNext/>
              <w:keepLines/>
              <w:numPr>
                <w:ilvl w:val="0"/>
                <w:numId w:val="0"/>
              </w:numPr>
              <w:spacing w:before="80" w:after="80" w:line="200" w:lineRule="exact"/>
              <w:rPr>
                <w:i/>
                <w:sz w:val="16"/>
                <w:szCs w:val="16"/>
              </w:rPr>
            </w:pPr>
            <w:r w:rsidRPr="00B04DC3">
              <w:rPr>
                <w:i/>
                <w:sz w:val="16"/>
                <w:szCs w:val="16"/>
              </w:rPr>
              <w:t xml:space="preserve">Cumulative number of engines tested </w:t>
            </w:r>
            <w:r w:rsidR="000D278E" w:rsidRPr="00B04DC3">
              <w:rPr>
                <w:i/>
                <w:sz w:val="16"/>
                <w:szCs w:val="16"/>
              </w:rPr>
              <w:br/>
            </w:r>
            <w:r w:rsidRPr="00B04DC3">
              <w:rPr>
                <w:i/>
                <w:sz w:val="16"/>
                <w:szCs w:val="16"/>
              </w:rPr>
              <w:t>(sample size)</w:t>
            </w:r>
          </w:p>
        </w:tc>
        <w:tc>
          <w:tcPr>
            <w:tcW w:w="2268" w:type="dxa"/>
            <w:tcBorders>
              <w:bottom w:val="single" w:sz="12" w:space="0" w:color="auto"/>
            </w:tcBorders>
          </w:tcPr>
          <w:p w:rsidR="00C0100D" w:rsidRPr="00B04DC3" w:rsidRDefault="00C0100D" w:rsidP="008E05FC">
            <w:pPr>
              <w:pStyle w:val="NormalCentered"/>
              <w:keepNext/>
              <w:keepLines/>
              <w:numPr>
                <w:ilvl w:val="0"/>
                <w:numId w:val="0"/>
              </w:numPr>
              <w:spacing w:before="80" w:after="80" w:line="200" w:lineRule="exact"/>
              <w:rPr>
                <w:i/>
                <w:sz w:val="16"/>
                <w:szCs w:val="16"/>
              </w:rPr>
            </w:pPr>
            <w:r w:rsidRPr="00B04DC3">
              <w:rPr>
                <w:i/>
                <w:sz w:val="16"/>
                <w:szCs w:val="16"/>
              </w:rPr>
              <w:t>Pass decision number A</w:t>
            </w:r>
            <w:r w:rsidRPr="00B04DC3">
              <w:rPr>
                <w:i/>
                <w:sz w:val="16"/>
                <w:szCs w:val="16"/>
                <w:vertAlign w:val="subscript"/>
              </w:rPr>
              <w:t>n</w:t>
            </w:r>
          </w:p>
        </w:tc>
        <w:tc>
          <w:tcPr>
            <w:tcW w:w="2199" w:type="dxa"/>
            <w:tcBorders>
              <w:bottom w:val="single" w:sz="12" w:space="0" w:color="auto"/>
            </w:tcBorders>
          </w:tcPr>
          <w:p w:rsidR="00C0100D" w:rsidRPr="00B04DC3" w:rsidRDefault="00C0100D" w:rsidP="008E05FC">
            <w:pPr>
              <w:pStyle w:val="NormalCentered"/>
              <w:keepNext/>
              <w:keepLines/>
              <w:numPr>
                <w:ilvl w:val="0"/>
                <w:numId w:val="0"/>
              </w:numPr>
              <w:spacing w:before="80" w:after="80" w:line="200" w:lineRule="exact"/>
              <w:rPr>
                <w:i/>
                <w:sz w:val="16"/>
                <w:szCs w:val="16"/>
              </w:rPr>
            </w:pPr>
            <w:r w:rsidRPr="00B04DC3">
              <w:rPr>
                <w:i/>
                <w:sz w:val="16"/>
                <w:szCs w:val="16"/>
              </w:rPr>
              <w:t>Fail decision number B</w:t>
            </w:r>
            <w:r w:rsidRPr="00B04DC3">
              <w:rPr>
                <w:i/>
                <w:sz w:val="16"/>
                <w:szCs w:val="16"/>
                <w:vertAlign w:val="subscript"/>
              </w:rPr>
              <w:t>n</w:t>
            </w:r>
          </w:p>
        </w:tc>
      </w:tr>
      <w:tr w:rsidR="00C0100D" w:rsidRPr="00B04DC3" w:rsidTr="009E373B">
        <w:tc>
          <w:tcPr>
            <w:tcW w:w="3827" w:type="dxa"/>
            <w:tcBorders>
              <w:top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3</w:t>
            </w:r>
          </w:p>
        </w:tc>
        <w:tc>
          <w:tcPr>
            <w:tcW w:w="2268" w:type="dxa"/>
            <w:tcBorders>
              <w:top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− 0.80381</w:t>
            </w:r>
          </w:p>
        </w:tc>
        <w:tc>
          <w:tcPr>
            <w:tcW w:w="2199" w:type="dxa"/>
            <w:tcBorders>
              <w:top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16.64743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4</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− 0.76339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7.68627</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5</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− 0.72982</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4.67136</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6</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− 0.69962</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3.25573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7</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− 0.67129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2.45431</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8</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− 0.64406</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1.94369</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9</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− 0.61750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1.59105</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10</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− 0.59135</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1.33295</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11</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− 0.56542</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1.13566</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12</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− 0.53960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0.97970</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13</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− 0.51379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0.85307</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14</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− 0.48791</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0.74801</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15</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− 0.46191</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0.65928</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16</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− 0.43573</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0.58321</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17</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− 0.40933</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0.51718</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18</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− 0.38266</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0.45922</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19</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− 0.35570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0.40788</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20</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− 0.32840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0.36203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21</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− 0.30072</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0.32078</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22</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− 0.27263</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0.28343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23</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− 0.24410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0.24943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24</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− 0.21509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0.21831</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25</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− 0.18557</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0.18970</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26</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− 0.15550</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0.16328</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27</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− 0.12483</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0.13880</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28</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− 0.09354</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0.11603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29</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− 0.06159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0.09480</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30</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− 0.02892</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0.07493</w:t>
            </w:r>
          </w:p>
        </w:tc>
      </w:tr>
      <w:tr w:rsidR="00C0100D" w:rsidRPr="00B04DC3">
        <w:tc>
          <w:tcPr>
            <w:tcW w:w="3827"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31</w:t>
            </w:r>
          </w:p>
        </w:tc>
        <w:tc>
          <w:tcPr>
            <w:tcW w:w="2268"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− 0.00449</w:t>
            </w:r>
          </w:p>
        </w:tc>
        <w:tc>
          <w:tcPr>
            <w:tcW w:w="2199" w:type="dxa"/>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0.05629</w:t>
            </w:r>
          </w:p>
        </w:tc>
      </w:tr>
      <w:tr w:rsidR="00C0100D" w:rsidRPr="00B04DC3" w:rsidTr="009E373B">
        <w:tc>
          <w:tcPr>
            <w:tcW w:w="3827" w:type="dxa"/>
            <w:tcBorders>
              <w:bottom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32</w:t>
            </w:r>
          </w:p>
        </w:tc>
        <w:tc>
          <w:tcPr>
            <w:tcW w:w="2268" w:type="dxa"/>
            <w:tcBorders>
              <w:bottom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0.03876</w:t>
            </w:r>
          </w:p>
        </w:tc>
        <w:tc>
          <w:tcPr>
            <w:tcW w:w="2199" w:type="dxa"/>
            <w:tcBorders>
              <w:bottom w:val="single" w:sz="12" w:space="0" w:color="auto"/>
            </w:tcBorders>
          </w:tcPr>
          <w:p w:rsidR="00C0100D" w:rsidRPr="00B04DC3" w:rsidRDefault="00C0100D" w:rsidP="00637DCD">
            <w:pPr>
              <w:pStyle w:val="NormalRight"/>
              <w:keepNext/>
              <w:keepLines/>
              <w:spacing w:beforeLines="20" w:before="48" w:afterLines="20" w:after="48"/>
              <w:jc w:val="center"/>
              <w:rPr>
                <w:sz w:val="18"/>
                <w:szCs w:val="18"/>
              </w:rPr>
            </w:pPr>
            <w:r w:rsidRPr="00B04DC3">
              <w:rPr>
                <w:sz w:val="18"/>
                <w:szCs w:val="18"/>
              </w:rPr>
              <w:t>0.03876</w:t>
            </w:r>
          </w:p>
        </w:tc>
      </w:tr>
    </w:tbl>
    <w:p w:rsidR="00C0100D" w:rsidRPr="00B04DC3" w:rsidRDefault="00C0100D" w:rsidP="000D278E">
      <w:pPr>
        <w:spacing w:beforeLines="40" w:before="96" w:afterLines="40" w:after="96"/>
        <w:rPr>
          <w:snapToGrid w:val="0"/>
          <w:sz w:val="18"/>
          <w:szCs w:val="18"/>
        </w:rPr>
      </w:pPr>
    </w:p>
    <w:p w:rsidR="00C0100D" w:rsidRPr="00B04DC3" w:rsidRDefault="00C0100D" w:rsidP="00C0100D">
      <w:pPr>
        <w:rPr>
          <w:snapToGrid w:val="0"/>
        </w:rPr>
        <w:sectPr w:rsidR="00C0100D" w:rsidRPr="00B04DC3" w:rsidSect="002A4563">
          <w:headerReference w:type="even" r:id="rId61"/>
          <w:headerReference w:type="default" r:id="rId62"/>
          <w:footnotePr>
            <w:numRestart w:val="eachSect"/>
          </w:footnotePr>
          <w:endnotePr>
            <w:numFmt w:val="decimal"/>
          </w:endnotePr>
          <w:pgSz w:w="11907" w:h="16840" w:code="9"/>
          <w:pgMar w:top="1701" w:right="1134" w:bottom="2268" w:left="1134" w:header="851" w:footer="1701" w:gutter="0"/>
          <w:cols w:space="720"/>
          <w:docGrid w:linePitch="326"/>
        </w:sectPr>
      </w:pPr>
    </w:p>
    <w:p w:rsidR="00AA0E48" w:rsidRDefault="00C0100D" w:rsidP="00AA0E48">
      <w:pPr>
        <w:pStyle w:val="HChG"/>
        <w:spacing w:after="360"/>
        <w:ind w:left="1695" w:hanging="1695"/>
        <w:rPr>
          <w:bCs/>
        </w:rPr>
      </w:pPr>
      <w:bookmarkStart w:id="99" w:name="_Toc423599479"/>
      <w:bookmarkStart w:id="100" w:name="_Toc423610887"/>
      <w:r w:rsidRPr="00B04DC3">
        <w:rPr>
          <w:bCs/>
        </w:rPr>
        <w:t>Appendix 3</w:t>
      </w:r>
      <w:bookmarkEnd w:id="99"/>
      <w:bookmarkEnd w:id="100"/>
    </w:p>
    <w:p w:rsidR="00C0100D" w:rsidRPr="00B04DC3" w:rsidRDefault="00AA0E48" w:rsidP="00AA0E48">
      <w:pPr>
        <w:pStyle w:val="HChG"/>
        <w:spacing w:after="360"/>
        <w:rPr>
          <w:bCs/>
        </w:rPr>
      </w:pPr>
      <w:r>
        <w:rPr>
          <w:bCs/>
        </w:rPr>
        <w:tab/>
      </w:r>
      <w:r>
        <w:rPr>
          <w:bCs/>
        </w:rPr>
        <w:tab/>
      </w:r>
      <w:bookmarkStart w:id="101" w:name="_Toc423599480"/>
      <w:bookmarkStart w:id="102" w:name="_Toc423610888"/>
      <w:r w:rsidR="00637DCD" w:rsidRPr="00B04DC3">
        <w:rPr>
          <w:bCs/>
        </w:rPr>
        <w:t>Procedure for production conformity testing at manufacturer's request</w:t>
      </w:r>
      <w:bookmarkEnd w:id="101"/>
      <w:bookmarkEnd w:id="102"/>
      <w:r w:rsidR="00637DCD" w:rsidRPr="00B04DC3">
        <w:rPr>
          <w:bCs/>
        </w:rPr>
        <w:t xml:space="preserve"> </w:t>
      </w:r>
    </w:p>
    <w:p w:rsidR="00C0100D" w:rsidRPr="00B04DC3" w:rsidRDefault="00C0100D" w:rsidP="00637DCD">
      <w:pPr>
        <w:pStyle w:val="para"/>
        <w:rPr>
          <w:lang w:val="en-GB"/>
        </w:rPr>
      </w:pPr>
      <w:r w:rsidRPr="00B04DC3">
        <w:rPr>
          <w:lang w:val="en-GB"/>
        </w:rPr>
        <w:t>1.</w:t>
      </w:r>
      <w:r w:rsidRPr="00B04DC3">
        <w:rPr>
          <w:lang w:val="en-GB"/>
        </w:rPr>
        <w:tab/>
        <w:t>This appendix describes the procedure to be used to verify, at the manufacturer's request, production conformity for the emissions of pollutants.</w:t>
      </w:r>
    </w:p>
    <w:p w:rsidR="00C0100D" w:rsidRPr="00B04DC3" w:rsidRDefault="00C0100D" w:rsidP="00637DCD">
      <w:pPr>
        <w:pStyle w:val="para"/>
        <w:rPr>
          <w:lang w:val="en-GB"/>
        </w:rPr>
      </w:pPr>
      <w:r w:rsidRPr="00B04DC3">
        <w:rPr>
          <w:lang w:val="en-GB"/>
        </w:rPr>
        <w:t>2.</w:t>
      </w:r>
      <w:r w:rsidRPr="00B04DC3">
        <w:rPr>
          <w:lang w:val="en-GB"/>
        </w:rPr>
        <w:tab/>
        <w:t>With a minimum sample size of three engines the sampling procedure is set so that the probability of a lot passing a test with 30 per cent of the engines defective is 0.90 (producer's risk = 10 per cent) while the probability of a lot being accepted with 65 per cent of the engines defective is 0.10 (consumer's risk = 10 per cent).</w:t>
      </w:r>
    </w:p>
    <w:p w:rsidR="00C0100D" w:rsidRPr="00B04DC3" w:rsidRDefault="00C0100D" w:rsidP="00637DCD">
      <w:pPr>
        <w:pStyle w:val="para"/>
        <w:rPr>
          <w:lang w:val="en-GB"/>
        </w:rPr>
      </w:pPr>
      <w:r w:rsidRPr="00B04DC3">
        <w:rPr>
          <w:lang w:val="en-GB"/>
        </w:rPr>
        <w:t>3.</w:t>
      </w:r>
      <w:r w:rsidRPr="00B04DC3">
        <w:rPr>
          <w:lang w:val="en-GB"/>
        </w:rPr>
        <w:tab/>
        <w:t xml:space="preserve">The following procedure is used for each of the pollutants given in paragraph 5.2.1. of this Regulation (see </w:t>
      </w:r>
      <w:r w:rsidR="00313D4E" w:rsidRPr="00B04DC3">
        <w:rPr>
          <w:lang w:val="en-GB"/>
        </w:rPr>
        <w:t>Figure</w:t>
      </w:r>
      <w:r w:rsidRPr="00B04DC3">
        <w:rPr>
          <w:lang w:val="en-GB"/>
        </w:rPr>
        <w:t xml:space="preserve"> 2):</w:t>
      </w:r>
    </w:p>
    <w:p w:rsidR="00FA18F4" w:rsidRDefault="00A905B7" w:rsidP="00FA18F4">
      <w:pPr>
        <w:pStyle w:val="para"/>
        <w:ind w:firstLine="0"/>
        <w:rPr>
          <w:lang w:val="en-GB"/>
        </w:rPr>
      </w:pPr>
      <w:r>
        <w:rPr>
          <w:lang w:val="en-GB"/>
        </w:rPr>
        <w:pict>
          <v:shape id="_x0000_i1050" type="#_x0000_t75" style="width:59.4pt;height:36pt" fillcolor="window">
            <v:imagedata r:id="rId52" o:title=""/>
          </v:shape>
        </w:pict>
      </w:r>
    </w:p>
    <w:p w:rsidR="00C0100D" w:rsidRPr="00B04DC3" w:rsidRDefault="00C0100D" w:rsidP="00FA18F4">
      <w:pPr>
        <w:pStyle w:val="para"/>
        <w:ind w:firstLine="0"/>
        <w:rPr>
          <w:lang w:val="en-GB"/>
        </w:rPr>
      </w:pPr>
      <w:r w:rsidRPr="00B04DC3">
        <w:rPr>
          <w:lang w:val="en-GB"/>
        </w:rPr>
        <w:tab/>
      </w:r>
      <w:r w:rsidR="00280E7A">
        <w:rPr>
          <w:lang w:val="en-GB"/>
        </w:rPr>
        <w:t>Where</w:t>
      </w:r>
      <w:r w:rsidRPr="00B04DC3">
        <w:rPr>
          <w:lang w:val="en-GB"/>
        </w:rPr>
        <w:t>:</w:t>
      </w:r>
    </w:p>
    <w:p w:rsidR="005F33DC" w:rsidRPr="00B04DC3" w:rsidRDefault="005F33DC" w:rsidP="005F33DC">
      <w:pPr>
        <w:pStyle w:val="a"/>
        <w:tabs>
          <w:tab w:val="left" w:pos="2600"/>
        </w:tabs>
        <w:rPr>
          <w:spacing w:val="-2"/>
          <w:lang w:val="en-GB"/>
        </w:rPr>
      </w:pPr>
      <w:r w:rsidRPr="00B04DC3">
        <w:rPr>
          <w:lang w:val="en-GB"/>
        </w:rPr>
        <w:t>L</w:t>
      </w:r>
      <w:r w:rsidRPr="00B04DC3">
        <w:rPr>
          <w:lang w:val="en-GB"/>
        </w:rPr>
        <w:tab/>
        <w:t>=</w:t>
      </w:r>
      <w:r w:rsidRPr="00B04DC3">
        <w:rPr>
          <w:lang w:val="en-GB"/>
        </w:rPr>
        <w:tab/>
      </w:r>
      <w:r w:rsidRPr="00B04DC3">
        <w:rPr>
          <w:spacing w:val="-2"/>
          <w:lang w:val="en-GB"/>
        </w:rPr>
        <w:t>the natural logarithm of the limit value for the pollutant;</w:t>
      </w:r>
    </w:p>
    <w:p w:rsidR="005F33DC" w:rsidRPr="00B04DC3" w:rsidRDefault="005F33DC" w:rsidP="005F33DC">
      <w:pPr>
        <w:pStyle w:val="a"/>
        <w:tabs>
          <w:tab w:val="left" w:pos="2600"/>
        </w:tabs>
        <w:rPr>
          <w:spacing w:val="-2"/>
          <w:lang w:val="en-GB"/>
        </w:rPr>
      </w:pPr>
      <w:r w:rsidRPr="00B04DC3">
        <w:rPr>
          <w:spacing w:val="-2"/>
          <w:lang w:val="en-GB"/>
        </w:rPr>
        <w:t>x</w:t>
      </w:r>
      <w:r w:rsidRPr="00B04DC3">
        <w:rPr>
          <w:spacing w:val="-2"/>
          <w:vertAlign w:val="subscript"/>
          <w:lang w:val="en-GB"/>
        </w:rPr>
        <w:t>i</w:t>
      </w:r>
      <w:r w:rsidRPr="00B04DC3">
        <w:rPr>
          <w:spacing w:val="-2"/>
          <w:lang w:val="en-GB"/>
        </w:rPr>
        <w:tab/>
        <w:t>=</w:t>
      </w:r>
      <w:r w:rsidRPr="00B04DC3">
        <w:rPr>
          <w:spacing w:val="-2"/>
          <w:lang w:val="en-GB"/>
        </w:rPr>
        <w:tab/>
        <w:t>the natural logarithm of the measurement (after having applied the relevant DF) for the i-th engine of the sample;</w:t>
      </w:r>
    </w:p>
    <w:p w:rsidR="005F33DC" w:rsidRPr="00B04DC3" w:rsidRDefault="005F33DC" w:rsidP="005F33DC">
      <w:pPr>
        <w:pStyle w:val="a"/>
        <w:tabs>
          <w:tab w:val="left" w:pos="2600"/>
        </w:tabs>
        <w:rPr>
          <w:spacing w:val="-2"/>
          <w:lang w:val="en-GB"/>
        </w:rPr>
      </w:pPr>
      <w:r w:rsidRPr="00B04DC3">
        <w:rPr>
          <w:spacing w:val="-2"/>
          <w:lang w:val="en-GB"/>
        </w:rPr>
        <w:t>s</w:t>
      </w:r>
      <w:r w:rsidRPr="00B04DC3">
        <w:rPr>
          <w:spacing w:val="-2"/>
          <w:lang w:val="en-GB"/>
        </w:rPr>
        <w:tab/>
        <w:t>=</w:t>
      </w:r>
      <w:r w:rsidRPr="00B04DC3">
        <w:rPr>
          <w:spacing w:val="-2"/>
          <w:lang w:val="en-GB"/>
        </w:rPr>
        <w:tab/>
        <w:t>an estimate of the production standard deviation (after taking the natural logarithm of the measurements);</w:t>
      </w:r>
    </w:p>
    <w:p w:rsidR="005F33DC" w:rsidRPr="00B04DC3" w:rsidRDefault="005F33DC" w:rsidP="005F33DC">
      <w:pPr>
        <w:pStyle w:val="a"/>
        <w:tabs>
          <w:tab w:val="left" w:pos="2600"/>
        </w:tabs>
        <w:rPr>
          <w:spacing w:val="-2"/>
          <w:lang w:val="en-GB"/>
        </w:rPr>
      </w:pPr>
      <w:r w:rsidRPr="00B04DC3">
        <w:rPr>
          <w:i/>
          <w:spacing w:val="-2"/>
          <w:lang w:val="en-GB"/>
        </w:rPr>
        <w:t>n</w:t>
      </w:r>
      <w:r w:rsidRPr="00B04DC3">
        <w:rPr>
          <w:spacing w:val="-2"/>
          <w:lang w:val="en-GB"/>
        </w:rPr>
        <w:tab/>
        <w:t>=</w:t>
      </w:r>
      <w:r w:rsidRPr="00B04DC3">
        <w:rPr>
          <w:spacing w:val="-2"/>
          <w:lang w:val="en-GB"/>
        </w:rPr>
        <w:tab/>
        <w:t>the current sample number.</w:t>
      </w:r>
    </w:p>
    <w:p w:rsidR="00C0100D" w:rsidRPr="00B04DC3" w:rsidRDefault="00C0100D" w:rsidP="00637DCD">
      <w:pPr>
        <w:pStyle w:val="para"/>
        <w:rPr>
          <w:lang w:val="en-GB"/>
        </w:rPr>
      </w:pPr>
      <w:r w:rsidRPr="00B04DC3">
        <w:rPr>
          <w:lang w:val="en-GB"/>
        </w:rPr>
        <w:t>4.</w:t>
      </w:r>
      <w:r w:rsidRPr="00B04DC3">
        <w:rPr>
          <w:lang w:val="en-GB"/>
        </w:rPr>
        <w:tab/>
        <w:t>Calculate for the sample the test statistic quantifying the number of non-conforming engines, i.e. x</w:t>
      </w:r>
      <w:r w:rsidRPr="00B04DC3">
        <w:rPr>
          <w:vertAlign w:val="subscript"/>
          <w:lang w:val="en-GB"/>
        </w:rPr>
        <w:t>i</w:t>
      </w:r>
      <w:r w:rsidRPr="00B04DC3">
        <w:rPr>
          <w:lang w:val="en-GB"/>
        </w:rPr>
        <w:t> ≥ L.</w:t>
      </w:r>
    </w:p>
    <w:p w:rsidR="00C0100D" w:rsidRPr="00B04DC3" w:rsidRDefault="00C0100D" w:rsidP="00637DCD">
      <w:pPr>
        <w:pStyle w:val="para"/>
        <w:rPr>
          <w:lang w:val="en-GB"/>
        </w:rPr>
      </w:pPr>
      <w:r w:rsidRPr="00B04DC3">
        <w:rPr>
          <w:lang w:val="en-GB"/>
        </w:rPr>
        <w:t>5.</w:t>
      </w:r>
      <w:r w:rsidRPr="00B04DC3">
        <w:rPr>
          <w:lang w:val="en-GB"/>
        </w:rPr>
        <w:tab/>
        <w:t>Then:</w:t>
      </w:r>
    </w:p>
    <w:p w:rsidR="00C0100D" w:rsidRPr="00B04DC3" w:rsidRDefault="00C0100D" w:rsidP="005F33DC">
      <w:pPr>
        <w:pStyle w:val="a"/>
        <w:rPr>
          <w:lang w:val="en-GB"/>
        </w:rPr>
      </w:pPr>
      <w:r w:rsidRPr="00B04DC3">
        <w:rPr>
          <w:lang w:val="en-GB"/>
        </w:rPr>
        <w:t>(a)</w:t>
      </w:r>
      <w:r w:rsidRPr="00B04DC3">
        <w:rPr>
          <w:lang w:val="en-GB"/>
        </w:rPr>
        <w:tab/>
      </w:r>
      <w:r w:rsidR="005F33DC" w:rsidRPr="00B04DC3">
        <w:rPr>
          <w:lang w:val="en-GB"/>
        </w:rPr>
        <w:t>I</w:t>
      </w:r>
      <w:r w:rsidRPr="00B04DC3">
        <w:rPr>
          <w:lang w:val="en-GB"/>
        </w:rPr>
        <w:t xml:space="preserve">f the test statistic is less than or equal to the pass decision number for the sample size given in </w:t>
      </w:r>
      <w:r w:rsidR="00EB2682">
        <w:rPr>
          <w:lang w:val="en-GB"/>
        </w:rPr>
        <w:t>T</w:t>
      </w:r>
      <w:r w:rsidR="00EB2682" w:rsidRPr="00B04DC3">
        <w:rPr>
          <w:lang w:val="en-GB"/>
        </w:rPr>
        <w:t xml:space="preserve">able </w:t>
      </w:r>
      <w:r w:rsidRPr="00B04DC3">
        <w:rPr>
          <w:lang w:val="en-GB"/>
        </w:rPr>
        <w:t>5, a pass decision is reached for the pollutant;</w:t>
      </w:r>
    </w:p>
    <w:p w:rsidR="00C0100D" w:rsidRPr="00B04DC3" w:rsidRDefault="00C0100D" w:rsidP="005F33DC">
      <w:pPr>
        <w:pStyle w:val="a"/>
        <w:rPr>
          <w:lang w:val="en-GB"/>
        </w:rPr>
      </w:pPr>
      <w:r w:rsidRPr="00B04DC3">
        <w:rPr>
          <w:lang w:val="en-GB"/>
        </w:rPr>
        <w:t>(b)</w:t>
      </w:r>
      <w:r w:rsidRPr="00B04DC3">
        <w:rPr>
          <w:lang w:val="en-GB"/>
        </w:rPr>
        <w:tab/>
      </w:r>
      <w:r w:rsidR="005F33DC" w:rsidRPr="00B04DC3">
        <w:rPr>
          <w:lang w:val="en-GB"/>
        </w:rPr>
        <w:t>I</w:t>
      </w:r>
      <w:r w:rsidRPr="00B04DC3">
        <w:rPr>
          <w:lang w:val="en-GB"/>
        </w:rPr>
        <w:t xml:space="preserve">f the test statistic is greater than or equal to the fail decision number for the sample size given in </w:t>
      </w:r>
      <w:r w:rsidR="00EB2682">
        <w:rPr>
          <w:lang w:val="en-GB"/>
        </w:rPr>
        <w:t>T</w:t>
      </w:r>
      <w:r w:rsidR="00EB2682" w:rsidRPr="00B04DC3">
        <w:rPr>
          <w:lang w:val="en-GB"/>
        </w:rPr>
        <w:t xml:space="preserve">able </w:t>
      </w:r>
      <w:r w:rsidRPr="00B04DC3">
        <w:rPr>
          <w:lang w:val="en-GB"/>
        </w:rPr>
        <w:t>5, a fail decision is reached for the pollutant;</w:t>
      </w:r>
    </w:p>
    <w:p w:rsidR="00C0100D" w:rsidRPr="00B04DC3" w:rsidRDefault="00C0100D" w:rsidP="005F33DC">
      <w:pPr>
        <w:pStyle w:val="a"/>
        <w:rPr>
          <w:lang w:val="en-GB"/>
        </w:rPr>
      </w:pPr>
      <w:r w:rsidRPr="00B04DC3">
        <w:rPr>
          <w:lang w:val="en-GB"/>
        </w:rPr>
        <w:t>(c)</w:t>
      </w:r>
      <w:r w:rsidRPr="00B04DC3">
        <w:rPr>
          <w:lang w:val="en-GB"/>
        </w:rPr>
        <w:tab/>
      </w:r>
      <w:r w:rsidR="005F33DC" w:rsidRPr="00B04DC3">
        <w:rPr>
          <w:lang w:val="en-GB"/>
        </w:rPr>
        <w:t>O</w:t>
      </w:r>
      <w:r w:rsidRPr="00B04DC3">
        <w:rPr>
          <w:lang w:val="en-GB"/>
        </w:rPr>
        <w:t>therwise, an additional engine is tested according to paragraph 8.3.1. of this Regulation and the calculation procedure is applied to the sample increased by one more unit.</w:t>
      </w:r>
    </w:p>
    <w:p w:rsidR="00C0100D" w:rsidRPr="00B04DC3" w:rsidRDefault="00C0100D" w:rsidP="00637DCD">
      <w:pPr>
        <w:pStyle w:val="para"/>
        <w:rPr>
          <w:lang w:val="en-GB"/>
        </w:rPr>
      </w:pPr>
      <w:r w:rsidRPr="00B04DC3">
        <w:rPr>
          <w:lang w:val="en-GB"/>
        </w:rPr>
        <w:tab/>
        <w:t xml:space="preserve">In </w:t>
      </w:r>
      <w:r w:rsidR="00EB2682">
        <w:rPr>
          <w:lang w:val="en-GB"/>
        </w:rPr>
        <w:t>T</w:t>
      </w:r>
      <w:r w:rsidR="00EB2682" w:rsidRPr="00B04DC3">
        <w:rPr>
          <w:lang w:val="en-GB"/>
        </w:rPr>
        <w:t xml:space="preserve">able </w:t>
      </w:r>
      <w:r w:rsidRPr="00B04DC3">
        <w:rPr>
          <w:lang w:val="en-GB"/>
        </w:rPr>
        <w:t>5 the pass and fail decision numbers are calculated by means of the International Standard ISO 8422/1991.</w:t>
      </w:r>
    </w:p>
    <w:p w:rsidR="005F33DC" w:rsidRPr="00B04DC3" w:rsidRDefault="00C0100D" w:rsidP="005F33DC">
      <w:pPr>
        <w:pStyle w:val="Heading1"/>
      </w:pPr>
      <w:r w:rsidRPr="00B04DC3">
        <w:br w:type="page"/>
      </w:r>
      <w:bookmarkStart w:id="103" w:name="_Toc399939894"/>
      <w:bookmarkStart w:id="104" w:name="_Toc423599481"/>
      <w:bookmarkStart w:id="105" w:name="_Toc423610889"/>
      <w:r w:rsidRPr="00B04DC3">
        <w:t>Table 5</w:t>
      </w:r>
      <w:bookmarkEnd w:id="103"/>
      <w:bookmarkEnd w:id="104"/>
      <w:bookmarkEnd w:id="105"/>
    </w:p>
    <w:p w:rsidR="00C0100D" w:rsidRPr="00B04DC3" w:rsidRDefault="00C0100D" w:rsidP="005F33DC">
      <w:pPr>
        <w:pStyle w:val="Heading1"/>
        <w:rPr>
          <w:b/>
        </w:rPr>
      </w:pPr>
      <w:bookmarkStart w:id="106" w:name="_Toc399939895"/>
      <w:bookmarkStart w:id="107" w:name="_Toc423599482"/>
      <w:bookmarkStart w:id="108" w:name="_Toc423610890"/>
      <w:r w:rsidRPr="00B04DC3">
        <w:rPr>
          <w:b/>
        </w:rPr>
        <w:t>Pass and fail decision numbers of Appendix 3 sampling plan</w:t>
      </w:r>
      <w:bookmarkEnd w:id="106"/>
      <w:bookmarkEnd w:id="107"/>
      <w:bookmarkEnd w:id="108"/>
    </w:p>
    <w:p w:rsidR="00C0100D" w:rsidRPr="00B04DC3" w:rsidRDefault="00C0100D" w:rsidP="005F33DC">
      <w:pPr>
        <w:pStyle w:val="Heading1"/>
        <w:rPr>
          <w:b/>
        </w:rPr>
      </w:pPr>
      <w:bookmarkStart w:id="109" w:name="_Toc399939896"/>
      <w:bookmarkStart w:id="110" w:name="_Toc423599483"/>
      <w:bookmarkStart w:id="111" w:name="_Toc423610891"/>
      <w:r w:rsidRPr="00B04DC3">
        <w:rPr>
          <w:b/>
        </w:rPr>
        <w:t>Minimum sample size: 3</w:t>
      </w:r>
      <w:bookmarkEnd w:id="109"/>
      <w:bookmarkEnd w:id="110"/>
      <w:bookmarkEnd w:id="111"/>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668"/>
        <w:gridCol w:w="1762"/>
      </w:tblGrid>
      <w:tr w:rsidR="00C0100D" w:rsidRPr="00B04DC3" w:rsidTr="00546652">
        <w:tc>
          <w:tcPr>
            <w:tcW w:w="4394" w:type="dxa"/>
            <w:tcBorders>
              <w:bottom w:val="single" w:sz="12" w:space="0" w:color="auto"/>
            </w:tcBorders>
          </w:tcPr>
          <w:p w:rsidR="00C0100D" w:rsidRPr="00B04DC3" w:rsidRDefault="00C0100D" w:rsidP="005F33DC">
            <w:pPr>
              <w:pStyle w:val="NormalCentered"/>
              <w:keepNext/>
              <w:keepLines/>
              <w:numPr>
                <w:ilvl w:val="0"/>
                <w:numId w:val="0"/>
              </w:numPr>
              <w:spacing w:before="80" w:after="80"/>
              <w:rPr>
                <w:i/>
                <w:sz w:val="16"/>
                <w:szCs w:val="16"/>
              </w:rPr>
            </w:pPr>
            <w:r w:rsidRPr="00B04DC3">
              <w:rPr>
                <w:i/>
                <w:sz w:val="16"/>
                <w:szCs w:val="16"/>
              </w:rPr>
              <w:t>Cumulative number of engines tested (sample size)</w:t>
            </w:r>
          </w:p>
        </w:tc>
        <w:tc>
          <w:tcPr>
            <w:tcW w:w="1843" w:type="dxa"/>
            <w:tcBorders>
              <w:bottom w:val="single" w:sz="12" w:space="0" w:color="auto"/>
            </w:tcBorders>
          </w:tcPr>
          <w:p w:rsidR="00C0100D" w:rsidRPr="00B04DC3" w:rsidRDefault="00C0100D" w:rsidP="005F33DC">
            <w:pPr>
              <w:pStyle w:val="NormalCentered"/>
              <w:keepNext/>
              <w:keepLines/>
              <w:numPr>
                <w:ilvl w:val="0"/>
                <w:numId w:val="0"/>
              </w:numPr>
              <w:spacing w:before="80" w:after="80"/>
              <w:rPr>
                <w:i/>
                <w:sz w:val="16"/>
                <w:szCs w:val="16"/>
              </w:rPr>
            </w:pPr>
            <w:r w:rsidRPr="00B04DC3">
              <w:rPr>
                <w:i/>
                <w:sz w:val="16"/>
                <w:szCs w:val="16"/>
              </w:rPr>
              <w:t>Pass decision number</w:t>
            </w:r>
          </w:p>
        </w:tc>
        <w:tc>
          <w:tcPr>
            <w:tcW w:w="1949" w:type="dxa"/>
            <w:tcBorders>
              <w:bottom w:val="single" w:sz="12" w:space="0" w:color="auto"/>
            </w:tcBorders>
          </w:tcPr>
          <w:p w:rsidR="00C0100D" w:rsidRPr="00B04DC3" w:rsidRDefault="00C0100D" w:rsidP="005F33DC">
            <w:pPr>
              <w:pStyle w:val="NormalCentered"/>
              <w:keepNext/>
              <w:keepLines/>
              <w:numPr>
                <w:ilvl w:val="0"/>
                <w:numId w:val="0"/>
              </w:numPr>
              <w:spacing w:before="80" w:after="80"/>
              <w:rPr>
                <w:i/>
                <w:sz w:val="16"/>
                <w:szCs w:val="16"/>
              </w:rPr>
            </w:pPr>
            <w:r w:rsidRPr="00B04DC3">
              <w:rPr>
                <w:i/>
                <w:sz w:val="16"/>
                <w:szCs w:val="16"/>
              </w:rPr>
              <w:t>Fail decision number</w:t>
            </w:r>
          </w:p>
        </w:tc>
      </w:tr>
      <w:tr w:rsidR="00C0100D" w:rsidRPr="00B04DC3" w:rsidTr="00546652">
        <w:tc>
          <w:tcPr>
            <w:tcW w:w="4394" w:type="dxa"/>
            <w:tcBorders>
              <w:top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3</w:t>
            </w:r>
          </w:p>
        </w:tc>
        <w:tc>
          <w:tcPr>
            <w:tcW w:w="1843" w:type="dxa"/>
            <w:tcBorders>
              <w:top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w:t>
            </w:r>
          </w:p>
        </w:tc>
        <w:tc>
          <w:tcPr>
            <w:tcW w:w="1949" w:type="dxa"/>
            <w:tcBorders>
              <w:top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3</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4</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0</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4</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5</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0</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4</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6</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5</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7</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5</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8</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2</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6</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9</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2</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6</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10</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3</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7</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11</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3</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7</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12</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4</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8</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13</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4</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8</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14</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5</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9</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15</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5</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9</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16</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6</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10</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17</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6</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10</w:t>
            </w:r>
          </w:p>
        </w:tc>
      </w:tr>
      <w:tr w:rsidR="00C0100D" w:rsidRPr="00B04DC3">
        <w:tc>
          <w:tcPr>
            <w:tcW w:w="4394"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18</w:t>
            </w:r>
          </w:p>
        </w:tc>
        <w:tc>
          <w:tcPr>
            <w:tcW w:w="1843"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7</w:t>
            </w:r>
          </w:p>
        </w:tc>
        <w:tc>
          <w:tcPr>
            <w:tcW w:w="1949" w:type="dxa"/>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11</w:t>
            </w:r>
          </w:p>
        </w:tc>
      </w:tr>
      <w:tr w:rsidR="00C0100D" w:rsidRPr="00B04DC3" w:rsidTr="00546652">
        <w:tc>
          <w:tcPr>
            <w:tcW w:w="4394" w:type="dxa"/>
            <w:tcBorders>
              <w:bottom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19</w:t>
            </w:r>
          </w:p>
        </w:tc>
        <w:tc>
          <w:tcPr>
            <w:tcW w:w="1843" w:type="dxa"/>
            <w:tcBorders>
              <w:bottom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8</w:t>
            </w:r>
          </w:p>
        </w:tc>
        <w:tc>
          <w:tcPr>
            <w:tcW w:w="1949" w:type="dxa"/>
            <w:tcBorders>
              <w:bottom w:val="single" w:sz="12" w:space="0" w:color="auto"/>
            </w:tcBorders>
          </w:tcPr>
          <w:p w:rsidR="00C0100D" w:rsidRPr="00B04DC3" w:rsidRDefault="00C0100D" w:rsidP="005F33DC">
            <w:pPr>
              <w:pStyle w:val="NormalRight"/>
              <w:keepNext/>
              <w:keepLines/>
              <w:spacing w:beforeLines="20" w:before="48" w:afterLines="20" w:after="48"/>
              <w:jc w:val="center"/>
              <w:rPr>
                <w:sz w:val="18"/>
                <w:szCs w:val="18"/>
              </w:rPr>
            </w:pPr>
            <w:r w:rsidRPr="00B04DC3">
              <w:rPr>
                <w:sz w:val="18"/>
                <w:szCs w:val="18"/>
              </w:rPr>
              <w:t>9</w:t>
            </w:r>
          </w:p>
        </w:tc>
      </w:tr>
    </w:tbl>
    <w:p w:rsidR="00C0100D" w:rsidRPr="00B04DC3" w:rsidRDefault="00C0100D" w:rsidP="00C0100D">
      <w:pPr>
        <w:pStyle w:val="Heading1"/>
        <w:rPr>
          <w:lang w:eastAsia="en-GB"/>
        </w:rPr>
      </w:pPr>
    </w:p>
    <w:p w:rsidR="00C0100D" w:rsidRPr="00B04DC3" w:rsidRDefault="00C0100D" w:rsidP="00C0100D">
      <w:pPr>
        <w:rPr>
          <w:lang w:eastAsia="en-GB"/>
        </w:rPr>
        <w:sectPr w:rsidR="00C0100D" w:rsidRPr="00B04DC3" w:rsidSect="002A4563">
          <w:headerReference w:type="even" r:id="rId63"/>
          <w:headerReference w:type="default" r:id="rId64"/>
          <w:footnotePr>
            <w:numRestart w:val="eachSect"/>
          </w:footnotePr>
          <w:endnotePr>
            <w:numFmt w:val="decimal"/>
          </w:endnotePr>
          <w:pgSz w:w="11907" w:h="16840" w:code="9"/>
          <w:pgMar w:top="1701" w:right="1134" w:bottom="2268" w:left="1134" w:header="851" w:footer="1701" w:gutter="0"/>
          <w:cols w:space="720"/>
          <w:docGrid w:linePitch="326"/>
        </w:sectPr>
      </w:pPr>
    </w:p>
    <w:p w:rsidR="00AA0E48" w:rsidRDefault="00AA0E48" w:rsidP="00AA0E48">
      <w:pPr>
        <w:pStyle w:val="HChG"/>
        <w:spacing w:after="360"/>
        <w:rPr>
          <w:bCs/>
        </w:rPr>
      </w:pPr>
      <w:r>
        <w:rPr>
          <w:bCs/>
        </w:rPr>
        <w:tab/>
      </w:r>
      <w:bookmarkStart w:id="112" w:name="_Toc423599484"/>
      <w:bookmarkStart w:id="113" w:name="_Toc423610892"/>
      <w:r w:rsidR="00C0100D" w:rsidRPr="00B04DC3">
        <w:rPr>
          <w:bCs/>
        </w:rPr>
        <w:t>Appendix 4</w:t>
      </w:r>
      <w:bookmarkEnd w:id="112"/>
      <w:bookmarkEnd w:id="113"/>
    </w:p>
    <w:p w:rsidR="00C0100D" w:rsidRPr="00B04DC3" w:rsidRDefault="00AA0E48" w:rsidP="00AA0E48">
      <w:pPr>
        <w:pStyle w:val="HChG"/>
        <w:spacing w:after="360"/>
        <w:rPr>
          <w:bCs/>
        </w:rPr>
      </w:pPr>
      <w:r>
        <w:rPr>
          <w:bCs/>
        </w:rPr>
        <w:tab/>
      </w:r>
      <w:r>
        <w:rPr>
          <w:bCs/>
        </w:rPr>
        <w:tab/>
      </w:r>
      <w:bookmarkStart w:id="114" w:name="_Toc423599485"/>
      <w:bookmarkStart w:id="115" w:name="_Toc423610893"/>
      <w:r w:rsidR="00EB7842" w:rsidRPr="00B04DC3">
        <w:rPr>
          <w:bCs/>
        </w:rPr>
        <w:t>Determination of system equivalence</w:t>
      </w:r>
      <w:bookmarkEnd w:id="114"/>
      <w:bookmarkEnd w:id="115"/>
    </w:p>
    <w:p w:rsidR="00C0100D" w:rsidRPr="00B04DC3" w:rsidRDefault="00C0100D" w:rsidP="00EB7842">
      <w:pPr>
        <w:pStyle w:val="para"/>
        <w:ind w:firstLine="0"/>
        <w:rPr>
          <w:lang w:val="en-GB"/>
        </w:rPr>
      </w:pPr>
      <w:r w:rsidRPr="00B04DC3">
        <w:rPr>
          <w:lang w:val="en-GB"/>
        </w:rPr>
        <w:t>The determination of system equivalency according to paragraph 5.2. of this Regulation shall be based on a 7-sample pair (or larger) correlation study between the candidate system and one of the accepted reference systems of this Regulation using the appropriate test cycle(s)</w:t>
      </w:r>
      <w:r w:rsidR="00401E79" w:rsidRPr="00B04DC3">
        <w:rPr>
          <w:lang w:val="en-GB"/>
        </w:rPr>
        <w:t xml:space="preserve">. </w:t>
      </w:r>
      <w:r w:rsidRPr="00B04DC3">
        <w:rPr>
          <w:lang w:val="en-GB"/>
        </w:rPr>
        <w:t>The equivalency criteria to be applied shall be the F-test and the two-sided student t-test.</w:t>
      </w:r>
    </w:p>
    <w:p w:rsidR="00C0100D" w:rsidRPr="00B04DC3" w:rsidRDefault="00C0100D" w:rsidP="00EB7842">
      <w:pPr>
        <w:pStyle w:val="para"/>
        <w:ind w:firstLine="0"/>
        <w:rPr>
          <w:lang w:val="en-GB"/>
        </w:rPr>
      </w:pPr>
      <w:r w:rsidRPr="00B04DC3">
        <w:rPr>
          <w:lang w:val="en-GB"/>
        </w:rPr>
        <w:t>This statistical method examines the hypothesis that the population standard deviation and mean value for an emission measured with the candidate system do not differ from the standard deviation and population mean value for that emission measured with the reference system</w:t>
      </w:r>
      <w:r w:rsidR="00401E79" w:rsidRPr="00B04DC3">
        <w:rPr>
          <w:lang w:val="en-GB"/>
        </w:rPr>
        <w:t xml:space="preserve">. </w:t>
      </w:r>
      <w:r w:rsidRPr="00B04DC3">
        <w:rPr>
          <w:lang w:val="en-GB"/>
        </w:rPr>
        <w:t>The hypothesis shall be tested on the basis of a 5 per cent significance level of the F and t values</w:t>
      </w:r>
      <w:r w:rsidR="00401E79" w:rsidRPr="00B04DC3">
        <w:rPr>
          <w:lang w:val="en-GB"/>
        </w:rPr>
        <w:t xml:space="preserve">. </w:t>
      </w:r>
      <w:r w:rsidRPr="00B04DC3">
        <w:rPr>
          <w:lang w:val="en-GB"/>
        </w:rPr>
        <w:t>The critical F and t values for 7- to 10-sample pairs are given in the table below</w:t>
      </w:r>
      <w:r w:rsidR="00401E79" w:rsidRPr="00B04DC3">
        <w:rPr>
          <w:lang w:val="en-GB"/>
        </w:rPr>
        <w:t xml:space="preserve">. </w:t>
      </w:r>
      <w:r w:rsidRPr="00B04DC3">
        <w:rPr>
          <w:lang w:val="en-GB"/>
        </w:rPr>
        <w:t>If the F and t values calculated according to the formulae below are greater than the critical F and t values, the candidate system is not equivalent.</w:t>
      </w:r>
    </w:p>
    <w:p w:rsidR="00C0100D" w:rsidRPr="00B04DC3" w:rsidRDefault="00C0100D" w:rsidP="00EB7842">
      <w:pPr>
        <w:pStyle w:val="para"/>
        <w:ind w:firstLine="0"/>
        <w:rPr>
          <w:lang w:val="en-GB"/>
        </w:rPr>
      </w:pPr>
      <w:r w:rsidRPr="00B04DC3">
        <w:rPr>
          <w:lang w:val="en-GB"/>
        </w:rPr>
        <w:t>The following procedure shall be followed</w:t>
      </w:r>
      <w:r w:rsidR="00401E79" w:rsidRPr="00B04DC3">
        <w:rPr>
          <w:lang w:val="en-GB"/>
        </w:rPr>
        <w:t xml:space="preserve">. </w:t>
      </w:r>
      <w:r w:rsidRPr="00B04DC3">
        <w:rPr>
          <w:lang w:val="en-GB"/>
        </w:rPr>
        <w:t>The subscripts R and C refer to the reference and candidate system, respectively:</w:t>
      </w:r>
    </w:p>
    <w:p w:rsidR="00C0100D" w:rsidRPr="00B04DC3" w:rsidRDefault="00C0100D" w:rsidP="00EB7842">
      <w:pPr>
        <w:pStyle w:val="a"/>
        <w:rPr>
          <w:lang w:val="en-GB"/>
        </w:rPr>
      </w:pPr>
      <w:r w:rsidRPr="00B04DC3">
        <w:rPr>
          <w:lang w:val="en-GB"/>
        </w:rPr>
        <w:t>(a)</w:t>
      </w:r>
      <w:r w:rsidRPr="00B04DC3">
        <w:rPr>
          <w:lang w:val="en-GB"/>
        </w:rPr>
        <w:tab/>
        <w:t>Conduct at least 7 tests with the candidate and reference systems preferably operated in parallel</w:t>
      </w:r>
      <w:r w:rsidR="00401E79" w:rsidRPr="00B04DC3">
        <w:rPr>
          <w:lang w:val="en-GB"/>
        </w:rPr>
        <w:t xml:space="preserve">. </w:t>
      </w:r>
      <w:r w:rsidRPr="00B04DC3">
        <w:rPr>
          <w:lang w:val="en-GB"/>
        </w:rPr>
        <w:t>The number of tests is referred to as n</w:t>
      </w:r>
      <w:r w:rsidRPr="00B04DC3">
        <w:rPr>
          <w:vertAlign w:val="subscript"/>
          <w:lang w:val="en-GB"/>
        </w:rPr>
        <w:t>R</w:t>
      </w:r>
      <w:r w:rsidRPr="00B04DC3">
        <w:rPr>
          <w:lang w:val="en-GB"/>
        </w:rPr>
        <w:t xml:space="preserve"> and n</w:t>
      </w:r>
      <w:r w:rsidRPr="00B04DC3">
        <w:rPr>
          <w:vertAlign w:val="subscript"/>
          <w:lang w:val="en-GB"/>
        </w:rPr>
        <w:t>C</w:t>
      </w:r>
      <w:r w:rsidRPr="00B04DC3">
        <w:rPr>
          <w:lang w:val="en-GB"/>
        </w:rPr>
        <w:t>.</w:t>
      </w:r>
    </w:p>
    <w:p w:rsidR="00C0100D" w:rsidRPr="00B04DC3" w:rsidRDefault="00C0100D" w:rsidP="00EB7842">
      <w:pPr>
        <w:pStyle w:val="a"/>
        <w:rPr>
          <w:lang w:val="en-GB"/>
        </w:rPr>
      </w:pPr>
      <w:r w:rsidRPr="00B04DC3">
        <w:rPr>
          <w:lang w:val="en-GB"/>
        </w:rPr>
        <w:t>(b)</w:t>
      </w:r>
      <w:r w:rsidRPr="00B04DC3">
        <w:rPr>
          <w:lang w:val="en-GB"/>
        </w:rPr>
        <w:tab/>
        <w:t>Calculate the mean values x</w:t>
      </w:r>
      <w:r w:rsidRPr="00B04DC3">
        <w:rPr>
          <w:vertAlign w:val="subscript"/>
          <w:lang w:val="en-GB"/>
        </w:rPr>
        <w:t>R</w:t>
      </w:r>
      <w:r w:rsidRPr="00B04DC3">
        <w:rPr>
          <w:lang w:val="en-GB"/>
        </w:rPr>
        <w:t xml:space="preserve"> and x</w:t>
      </w:r>
      <w:r w:rsidRPr="00B04DC3">
        <w:rPr>
          <w:vertAlign w:val="subscript"/>
          <w:lang w:val="en-GB"/>
        </w:rPr>
        <w:t>C</w:t>
      </w:r>
      <w:r w:rsidRPr="00B04DC3">
        <w:rPr>
          <w:lang w:val="en-GB"/>
        </w:rPr>
        <w:t xml:space="preserve"> and the standard deviations s</w:t>
      </w:r>
      <w:r w:rsidRPr="00B04DC3">
        <w:rPr>
          <w:vertAlign w:val="subscript"/>
          <w:lang w:val="en-GB"/>
        </w:rPr>
        <w:t>R</w:t>
      </w:r>
      <w:r w:rsidRPr="00B04DC3">
        <w:rPr>
          <w:lang w:val="en-GB"/>
        </w:rPr>
        <w:t xml:space="preserve"> and s</w:t>
      </w:r>
      <w:r w:rsidRPr="00B04DC3">
        <w:rPr>
          <w:vertAlign w:val="subscript"/>
          <w:lang w:val="en-GB"/>
        </w:rPr>
        <w:t>C</w:t>
      </w:r>
      <w:r w:rsidRPr="00B04DC3">
        <w:rPr>
          <w:lang w:val="en-GB"/>
        </w:rPr>
        <w:t>.</w:t>
      </w:r>
    </w:p>
    <w:p w:rsidR="00C0100D" w:rsidRPr="00B04DC3" w:rsidRDefault="00C0100D" w:rsidP="00EB7842">
      <w:pPr>
        <w:pStyle w:val="a"/>
        <w:rPr>
          <w:lang w:val="en-GB"/>
        </w:rPr>
      </w:pPr>
      <w:r w:rsidRPr="00B04DC3">
        <w:rPr>
          <w:lang w:val="en-GB"/>
        </w:rPr>
        <w:t>(c)</w:t>
      </w:r>
      <w:r w:rsidRPr="00B04DC3">
        <w:rPr>
          <w:lang w:val="en-GB"/>
        </w:rPr>
        <w:tab/>
        <w:t>Calculate the F value, as follows:</w:t>
      </w:r>
    </w:p>
    <w:p w:rsidR="00C0100D" w:rsidRPr="00B04DC3" w:rsidRDefault="00C0100D" w:rsidP="00AA0E48">
      <w:pPr>
        <w:pStyle w:val="a"/>
        <w:ind w:left="1134" w:firstLine="0"/>
        <w:rPr>
          <w:lang w:val="en-GB"/>
        </w:rPr>
      </w:pPr>
      <w:r w:rsidRPr="00B04DC3">
        <w:rPr>
          <w:lang w:val="en-GB"/>
        </w:rPr>
        <w:tab/>
      </w:r>
      <w:bookmarkStart w:id="116" w:name="_MON_1222866343"/>
      <w:bookmarkStart w:id="117" w:name="_MON_1223485271"/>
      <w:bookmarkStart w:id="118" w:name="_MON_1350830412"/>
      <w:bookmarkStart w:id="119" w:name="_MON_1364380463"/>
      <w:bookmarkEnd w:id="116"/>
      <w:bookmarkEnd w:id="117"/>
      <w:bookmarkEnd w:id="118"/>
      <w:bookmarkEnd w:id="119"/>
      <w:bookmarkStart w:id="120" w:name="_MON_1222857550"/>
      <w:bookmarkEnd w:id="120"/>
      <w:r w:rsidR="00AA0E48" w:rsidRPr="00B04DC3">
        <w:rPr>
          <w:lang w:val="en-GB"/>
        </w:rPr>
        <w:object w:dxaOrig="2905" w:dyaOrig="991">
          <v:shape id="_x0000_i1051" type="#_x0000_t75" style="width:142.2pt;height:49.8pt" o:ole="">
            <v:imagedata r:id="rId65" o:title=""/>
          </v:shape>
          <o:OLEObject Type="Embed" ProgID="Word.Picture.8" ShapeID="_x0000_i1051" DrawAspect="Content" ObjectID="_1498392231" r:id="rId66"/>
        </w:object>
      </w:r>
    </w:p>
    <w:p w:rsidR="00C0100D" w:rsidRPr="00B04DC3" w:rsidRDefault="00C0100D" w:rsidP="006406C2">
      <w:pPr>
        <w:pStyle w:val="a"/>
        <w:rPr>
          <w:lang w:val="en-GB"/>
        </w:rPr>
      </w:pPr>
      <w:r w:rsidRPr="00B04DC3">
        <w:rPr>
          <w:lang w:val="en-GB"/>
        </w:rPr>
        <w:tab/>
        <w:t>(the greater of the two standard deviations S</w:t>
      </w:r>
      <w:r w:rsidRPr="00B04DC3">
        <w:rPr>
          <w:szCs w:val="24"/>
          <w:vertAlign w:val="subscript"/>
          <w:lang w:val="en-GB"/>
        </w:rPr>
        <w:t>R</w:t>
      </w:r>
      <w:r w:rsidRPr="00B04DC3">
        <w:rPr>
          <w:lang w:val="en-GB"/>
        </w:rPr>
        <w:t xml:space="preserve"> or S</w:t>
      </w:r>
      <w:r w:rsidRPr="00B04DC3">
        <w:rPr>
          <w:szCs w:val="24"/>
          <w:vertAlign w:val="subscript"/>
          <w:lang w:val="en-GB"/>
        </w:rPr>
        <w:t>C</w:t>
      </w:r>
      <w:r w:rsidRPr="00B04DC3">
        <w:rPr>
          <w:lang w:val="en-GB"/>
        </w:rPr>
        <w:t xml:space="preserve"> shall be in the numerator)</w:t>
      </w:r>
    </w:p>
    <w:p w:rsidR="00C0100D" w:rsidRPr="00B04DC3" w:rsidRDefault="00C0100D" w:rsidP="006406C2">
      <w:pPr>
        <w:pStyle w:val="a"/>
        <w:rPr>
          <w:lang w:val="en-GB"/>
        </w:rPr>
      </w:pPr>
      <w:r w:rsidRPr="00B04DC3">
        <w:rPr>
          <w:lang w:val="en-GB"/>
        </w:rPr>
        <w:t>(d)</w:t>
      </w:r>
      <w:r w:rsidRPr="00B04DC3">
        <w:rPr>
          <w:lang w:val="en-GB"/>
        </w:rPr>
        <w:tab/>
        <w:t>Calculate the t value, as follows:</w:t>
      </w:r>
    </w:p>
    <w:p w:rsidR="006406C2" w:rsidRPr="00B04DC3" w:rsidRDefault="00C0100D" w:rsidP="006406C2">
      <w:pPr>
        <w:pStyle w:val="a"/>
        <w:rPr>
          <w:sz w:val="4"/>
          <w:szCs w:val="4"/>
          <w:lang w:val="en-GB"/>
        </w:rPr>
      </w:pPr>
      <w:r w:rsidRPr="00B04DC3">
        <w:rPr>
          <w:lang w:val="en-GB"/>
        </w:rPr>
        <w:tab/>
      </w:r>
      <w:bookmarkStart w:id="121" w:name="_MON_1223485272"/>
      <w:bookmarkStart w:id="122" w:name="_MON_1364380494"/>
      <w:bookmarkStart w:id="123" w:name="_MON_1222857643"/>
      <w:bookmarkEnd w:id="121"/>
      <w:bookmarkEnd w:id="122"/>
      <w:bookmarkEnd w:id="123"/>
      <w:bookmarkStart w:id="124" w:name="_MON_1222866344"/>
      <w:bookmarkEnd w:id="124"/>
      <w:r w:rsidR="002E04DA" w:rsidRPr="00B04DC3">
        <w:rPr>
          <w:lang w:val="en-GB"/>
        </w:rPr>
        <w:object w:dxaOrig="6145" w:dyaOrig="1051">
          <v:shape id="_x0000_i1052" type="#_x0000_t75" style="width:307.8pt;height:52.2pt" o:ole="">
            <v:imagedata r:id="rId67" o:title=""/>
          </v:shape>
          <o:OLEObject Type="Embed" ProgID="Word.Picture.8" ShapeID="_x0000_i1052" DrawAspect="Content" ObjectID="_1498392232" r:id="rId68"/>
        </w:object>
      </w:r>
    </w:p>
    <w:p w:rsidR="00C0100D" w:rsidRPr="00B04DC3" w:rsidRDefault="00C0100D" w:rsidP="006406C2">
      <w:pPr>
        <w:pStyle w:val="a"/>
        <w:rPr>
          <w:lang w:val="en-GB"/>
        </w:rPr>
      </w:pPr>
      <w:r w:rsidRPr="00B04DC3">
        <w:rPr>
          <w:lang w:val="en-GB"/>
        </w:rPr>
        <w:t>(e)</w:t>
      </w:r>
      <w:r w:rsidRPr="00B04DC3">
        <w:rPr>
          <w:lang w:val="en-GB"/>
        </w:rPr>
        <w:tab/>
        <w:t>Compare the calculated F and t values with the critical F and t values corresponding to the respective number of tests indicated in table below</w:t>
      </w:r>
      <w:r w:rsidR="00401E79" w:rsidRPr="00B04DC3">
        <w:rPr>
          <w:lang w:val="en-GB"/>
        </w:rPr>
        <w:t xml:space="preserve">. </w:t>
      </w:r>
      <w:r w:rsidRPr="00B04DC3">
        <w:rPr>
          <w:lang w:val="en-GB"/>
        </w:rPr>
        <w:t>If larger sample sizes are selected, consult statistical tables for 5 per cent significance (95 per cent confidence) level.</w:t>
      </w:r>
    </w:p>
    <w:p w:rsidR="00C0100D" w:rsidRPr="00B04DC3" w:rsidRDefault="00C0100D" w:rsidP="00AA0E48">
      <w:pPr>
        <w:pStyle w:val="a"/>
        <w:keepNext/>
        <w:keepLines/>
        <w:rPr>
          <w:lang w:val="en-GB"/>
        </w:rPr>
      </w:pPr>
      <w:r w:rsidRPr="00B04DC3">
        <w:rPr>
          <w:lang w:val="en-GB"/>
        </w:rPr>
        <w:t>(f)</w:t>
      </w:r>
      <w:r w:rsidRPr="00B04DC3">
        <w:rPr>
          <w:lang w:val="en-GB"/>
        </w:rPr>
        <w:tab/>
        <w:t>Determine the degrees of freedom (df), as follows:</w:t>
      </w:r>
    </w:p>
    <w:p w:rsidR="00C0100D" w:rsidRPr="00B04DC3" w:rsidRDefault="00C0100D" w:rsidP="00EB2682">
      <w:pPr>
        <w:pStyle w:val="a"/>
        <w:tabs>
          <w:tab w:val="left" w:pos="4111"/>
        </w:tabs>
        <w:rPr>
          <w:lang w:val="en-GB"/>
        </w:rPr>
      </w:pPr>
      <w:r w:rsidRPr="00B04DC3">
        <w:rPr>
          <w:lang w:val="en-GB"/>
        </w:rPr>
        <w:tab/>
      </w:r>
      <w:r w:rsidR="008E05FC" w:rsidRPr="00B04DC3">
        <w:rPr>
          <w:lang w:val="en-GB"/>
        </w:rPr>
        <w:t>For</w:t>
      </w:r>
      <w:r w:rsidRPr="00B04DC3">
        <w:rPr>
          <w:lang w:val="en-GB"/>
        </w:rPr>
        <w:t xml:space="preserve"> the F-test:</w:t>
      </w:r>
      <w:r w:rsidRPr="00B04DC3">
        <w:rPr>
          <w:lang w:val="en-GB"/>
        </w:rPr>
        <w:tab/>
        <w:t>df = n</w:t>
      </w:r>
      <w:r w:rsidRPr="00B04DC3">
        <w:rPr>
          <w:vertAlign w:val="subscript"/>
          <w:lang w:val="en-GB"/>
        </w:rPr>
        <w:t>R</w:t>
      </w:r>
      <w:r w:rsidRPr="00B04DC3">
        <w:rPr>
          <w:lang w:val="en-GB"/>
        </w:rPr>
        <w:t xml:space="preserve"> –1 / n</w:t>
      </w:r>
      <w:r w:rsidRPr="00B04DC3">
        <w:rPr>
          <w:vertAlign w:val="subscript"/>
          <w:lang w:val="en-GB"/>
        </w:rPr>
        <w:t>C</w:t>
      </w:r>
      <w:r w:rsidRPr="00B04DC3">
        <w:rPr>
          <w:lang w:val="en-GB"/>
        </w:rPr>
        <w:t xml:space="preserve"> –1</w:t>
      </w:r>
    </w:p>
    <w:p w:rsidR="00C0100D" w:rsidRPr="00B04DC3" w:rsidRDefault="00C0100D" w:rsidP="00EB2682">
      <w:pPr>
        <w:pStyle w:val="a"/>
        <w:tabs>
          <w:tab w:val="left" w:pos="4111"/>
        </w:tabs>
        <w:rPr>
          <w:lang w:val="en-GB"/>
        </w:rPr>
      </w:pPr>
      <w:r w:rsidRPr="00B04DC3">
        <w:rPr>
          <w:lang w:val="en-GB"/>
        </w:rPr>
        <w:tab/>
      </w:r>
      <w:r w:rsidR="008E05FC" w:rsidRPr="00B04DC3">
        <w:rPr>
          <w:lang w:val="en-GB"/>
        </w:rPr>
        <w:t>For</w:t>
      </w:r>
      <w:r w:rsidRPr="00B04DC3">
        <w:rPr>
          <w:lang w:val="en-GB"/>
        </w:rPr>
        <w:t xml:space="preserve"> the t-test:df = n</w:t>
      </w:r>
      <w:r w:rsidRPr="00B04DC3">
        <w:rPr>
          <w:vertAlign w:val="subscript"/>
          <w:lang w:val="en-GB"/>
        </w:rPr>
        <w:t>C</w:t>
      </w:r>
      <w:r w:rsidRPr="00B04DC3">
        <w:rPr>
          <w:lang w:val="en-GB"/>
        </w:rPr>
        <w:t xml:space="preserve"> + n</w:t>
      </w:r>
      <w:r w:rsidRPr="00B04DC3">
        <w:rPr>
          <w:vertAlign w:val="subscript"/>
          <w:lang w:val="en-GB"/>
        </w:rPr>
        <w:t>R</w:t>
      </w:r>
      <w:r w:rsidRPr="00B04DC3">
        <w:rPr>
          <w:lang w:val="en-GB"/>
        </w:rPr>
        <w:t xml:space="preserve"> –2</w:t>
      </w:r>
    </w:p>
    <w:p w:rsidR="00C0100D" w:rsidRPr="00B04DC3" w:rsidRDefault="006406C2" w:rsidP="006406C2">
      <w:pPr>
        <w:pStyle w:val="a"/>
        <w:rPr>
          <w:b/>
          <w:lang w:val="en-GB"/>
        </w:rPr>
      </w:pPr>
      <w:r w:rsidRPr="00B04DC3">
        <w:rPr>
          <w:b/>
          <w:lang w:val="en-GB"/>
        </w:rPr>
        <w:tab/>
      </w:r>
      <w:r w:rsidR="00C0100D" w:rsidRPr="00B04DC3">
        <w:rPr>
          <w:b/>
          <w:lang w:val="en-GB"/>
        </w:rPr>
        <w:t>F and t v</w:t>
      </w:r>
      <w:r w:rsidR="008E05FC" w:rsidRPr="00B04DC3">
        <w:rPr>
          <w:b/>
          <w:lang w:val="en-GB"/>
        </w:rPr>
        <w:t>alues for selected sample sizes</w:t>
      </w:r>
    </w:p>
    <w:tbl>
      <w:tblPr>
        <w:tblW w:w="6237" w:type="dxa"/>
        <w:tblInd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099"/>
        <w:gridCol w:w="1205"/>
        <w:gridCol w:w="1206"/>
        <w:gridCol w:w="1310"/>
      </w:tblGrid>
      <w:tr w:rsidR="00C0100D" w:rsidRPr="00B04DC3" w:rsidTr="00546652">
        <w:tc>
          <w:tcPr>
            <w:tcW w:w="1417" w:type="dxa"/>
            <w:tcBorders>
              <w:bottom w:val="single" w:sz="12" w:space="0" w:color="auto"/>
            </w:tcBorders>
          </w:tcPr>
          <w:p w:rsidR="00C0100D" w:rsidRPr="00B04DC3" w:rsidRDefault="00C0100D" w:rsidP="006406C2">
            <w:pPr>
              <w:pStyle w:val="Text1"/>
              <w:spacing w:before="80" w:after="80"/>
              <w:ind w:left="0"/>
              <w:jc w:val="center"/>
              <w:rPr>
                <w:i/>
                <w:sz w:val="16"/>
                <w:szCs w:val="16"/>
              </w:rPr>
            </w:pPr>
            <w:r w:rsidRPr="00B04DC3">
              <w:rPr>
                <w:i/>
                <w:sz w:val="16"/>
                <w:szCs w:val="16"/>
              </w:rPr>
              <w:t>Sample Size</w:t>
            </w:r>
          </w:p>
        </w:tc>
        <w:tc>
          <w:tcPr>
            <w:tcW w:w="2304" w:type="dxa"/>
            <w:gridSpan w:val="2"/>
            <w:tcBorders>
              <w:bottom w:val="single" w:sz="12" w:space="0" w:color="auto"/>
            </w:tcBorders>
          </w:tcPr>
          <w:p w:rsidR="00C0100D" w:rsidRPr="00B04DC3" w:rsidRDefault="00C0100D" w:rsidP="006406C2">
            <w:pPr>
              <w:pStyle w:val="Text1"/>
              <w:spacing w:before="80" w:after="80"/>
              <w:ind w:left="0"/>
              <w:jc w:val="center"/>
              <w:rPr>
                <w:i/>
                <w:sz w:val="16"/>
                <w:szCs w:val="16"/>
              </w:rPr>
            </w:pPr>
            <w:r w:rsidRPr="00B04DC3">
              <w:rPr>
                <w:i/>
                <w:sz w:val="16"/>
                <w:szCs w:val="16"/>
              </w:rPr>
              <w:t>F-test</w:t>
            </w:r>
          </w:p>
        </w:tc>
        <w:tc>
          <w:tcPr>
            <w:tcW w:w="2516" w:type="dxa"/>
            <w:gridSpan w:val="2"/>
            <w:tcBorders>
              <w:bottom w:val="single" w:sz="12" w:space="0" w:color="auto"/>
            </w:tcBorders>
          </w:tcPr>
          <w:p w:rsidR="00C0100D" w:rsidRPr="00B04DC3" w:rsidRDefault="00C0100D" w:rsidP="006406C2">
            <w:pPr>
              <w:pStyle w:val="Text1"/>
              <w:spacing w:before="80" w:after="80"/>
              <w:ind w:left="72"/>
              <w:jc w:val="center"/>
              <w:rPr>
                <w:i/>
                <w:sz w:val="16"/>
                <w:szCs w:val="16"/>
              </w:rPr>
            </w:pPr>
            <w:r w:rsidRPr="00B04DC3">
              <w:rPr>
                <w:i/>
                <w:sz w:val="16"/>
                <w:szCs w:val="16"/>
              </w:rPr>
              <w:t>t-test</w:t>
            </w:r>
          </w:p>
        </w:tc>
      </w:tr>
      <w:tr w:rsidR="00C0100D" w:rsidRPr="00B04DC3" w:rsidTr="00546652">
        <w:tc>
          <w:tcPr>
            <w:tcW w:w="1417" w:type="dxa"/>
            <w:tcBorders>
              <w:top w:val="single" w:sz="12" w:space="0" w:color="auto"/>
            </w:tcBorders>
          </w:tcPr>
          <w:p w:rsidR="00C0100D" w:rsidRPr="00B04DC3" w:rsidRDefault="00C0100D" w:rsidP="006406C2">
            <w:pPr>
              <w:pStyle w:val="Text1"/>
              <w:spacing w:before="40" w:after="80"/>
              <w:ind w:left="0"/>
              <w:jc w:val="center"/>
              <w:rPr>
                <w:sz w:val="18"/>
                <w:szCs w:val="18"/>
              </w:rPr>
            </w:pPr>
          </w:p>
        </w:tc>
        <w:tc>
          <w:tcPr>
            <w:tcW w:w="1099" w:type="dxa"/>
            <w:tcBorders>
              <w:top w:val="single" w:sz="12" w:space="0" w:color="auto"/>
            </w:tcBorders>
          </w:tcPr>
          <w:p w:rsidR="00C0100D" w:rsidRPr="00B04DC3" w:rsidRDefault="00C0100D" w:rsidP="006406C2">
            <w:pPr>
              <w:pStyle w:val="Text1"/>
              <w:spacing w:before="40" w:after="80"/>
              <w:ind w:left="0"/>
              <w:jc w:val="center"/>
              <w:rPr>
                <w:sz w:val="18"/>
                <w:szCs w:val="18"/>
              </w:rPr>
            </w:pPr>
            <w:r w:rsidRPr="00B04DC3">
              <w:rPr>
                <w:sz w:val="18"/>
                <w:szCs w:val="18"/>
              </w:rPr>
              <w:t>df</w:t>
            </w:r>
          </w:p>
        </w:tc>
        <w:tc>
          <w:tcPr>
            <w:tcW w:w="1205" w:type="dxa"/>
            <w:tcBorders>
              <w:top w:val="single" w:sz="12" w:space="0" w:color="auto"/>
            </w:tcBorders>
          </w:tcPr>
          <w:p w:rsidR="00C0100D" w:rsidRPr="00B04DC3" w:rsidRDefault="00C0100D" w:rsidP="006406C2">
            <w:pPr>
              <w:pStyle w:val="Text1"/>
              <w:spacing w:before="40" w:after="80"/>
              <w:ind w:left="0"/>
              <w:jc w:val="center"/>
              <w:rPr>
                <w:sz w:val="18"/>
                <w:szCs w:val="18"/>
                <w:vertAlign w:val="subscript"/>
              </w:rPr>
            </w:pPr>
            <w:r w:rsidRPr="00B04DC3">
              <w:rPr>
                <w:sz w:val="18"/>
                <w:szCs w:val="18"/>
              </w:rPr>
              <w:t>F</w:t>
            </w:r>
            <w:r w:rsidRPr="00B04DC3">
              <w:rPr>
                <w:sz w:val="18"/>
                <w:szCs w:val="18"/>
                <w:vertAlign w:val="subscript"/>
              </w:rPr>
              <w:t>crit</w:t>
            </w:r>
          </w:p>
        </w:tc>
        <w:tc>
          <w:tcPr>
            <w:tcW w:w="1206" w:type="dxa"/>
            <w:tcBorders>
              <w:top w:val="single" w:sz="12" w:space="0" w:color="auto"/>
            </w:tcBorders>
          </w:tcPr>
          <w:p w:rsidR="00C0100D" w:rsidRPr="00B04DC3" w:rsidRDefault="00C0100D" w:rsidP="006406C2">
            <w:pPr>
              <w:pStyle w:val="Text1"/>
              <w:spacing w:before="40" w:after="80"/>
              <w:ind w:left="72"/>
              <w:jc w:val="center"/>
              <w:rPr>
                <w:sz w:val="18"/>
                <w:szCs w:val="18"/>
              </w:rPr>
            </w:pPr>
            <w:r w:rsidRPr="00B04DC3">
              <w:rPr>
                <w:sz w:val="18"/>
                <w:szCs w:val="18"/>
              </w:rPr>
              <w:t>df</w:t>
            </w:r>
          </w:p>
        </w:tc>
        <w:tc>
          <w:tcPr>
            <w:tcW w:w="1310" w:type="dxa"/>
            <w:tcBorders>
              <w:top w:val="single" w:sz="12" w:space="0" w:color="auto"/>
            </w:tcBorders>
          </w:tcPr>
          <w:p w:rsidR="00C0100D" w:rsidRPr="00B04DC3" w:rsidRDefault="00C0100D" w:rsidP="006406C2">
            <w:pPr>
              <w:pStyle w:val="Text1"/>
              <w:spacing w:before="40" w:after="80"/>
              <w:ind w:left="72"/>
              <w:jc w:val="center"/>
              <w:rPr>
                <w:sz w:val="18"/>
                <w:szCs w:val="18"/>
                <w:vertAlign w:val="subscript"/>
              </w:rPr>
            </w:pPr>
            <w:r w:rsidRPr="00B04DC3">
              <w:rPr>
                <w:sz w:val="18"/>
                <w:szCs w:val="18"/>
              </w:rPr>
              <w:t>t</w:t>
            </w:r>
            <w:r w:rsidRPr="00B04DC3">
              <w:rPr>
                <w:sz w:val="18"/>
                <w:szCs w:val="18"/>
                <w:vertAlign w:val="subscript"/>
              </w:rPr>
              <w:t>crit</w:t>
            </w:r>
          </w:p>
        </w:tc>
      </w:tr>
      <w:tr w:rsidR="00C0100D" w:rsidRPr="00B04DC3">
        <w:tc>
          <w:tcPr>
            <w:tcW w:w="1417" w:type="dxa"/>
          </w:tcPr>
          <w:p w:rsidR="00C0100D" w:rsidRPr="00B04DC3" w:rsidRDefault="00C0100D" w:rsidP="006406C2">
            <w:pPr>
              <w:pStyle w:val="Text1"/>
              <w:spacing w:before="40" w:after="80"/>
              <w:ind w:left="0"/>
              <w:jc w:val="center"/>
              <w:rPr>
                <w:sz w:val="18"/>
                <w:szCs w:val="18"/>
              </w:rPr>
            </w:pPr>
            <w:r w:rsidRPr="00B04DC3">
              <w:rPr>
                <w:sz w:val="18"/>
                <w:szCs w:val="18"/>
              </w:rPr>
              <w:t>7</w:t>
            </w:r>
          </w:p>
        </w:tc>
        <w:tc>
          <w:tcPr>
            <w:tcW w:w="1099" w:type="dxa"/>
          </w:tcPr>
          <w:p w:rsidR="00C0100D" w:rsidRPr="00B04DC3" w:rsidRDefault="00C0100D" w:rsidP="006406C2">
            <w:pPr>
              <w:pStyle w:val="Text1"/>
              <w:spacing w:before="40" w:after="80"/>
              <w:ind w:left="0"/>
              <w:jc w:val="center"/>
              <w:rPr>
                <w:sz w:val="18"/>
                <w:szCs w:val="18"/>
              </w:rPr>
            </w:pPr>
            <w:r w:rsidRPr="00B04DC3">
              <w:rPr>
                <w:sz w:val="18"/>
                <w:szCs w:val="18"/>
              </w:rPr>
              <w:t>6/6</w:t>
            </w:r>
          </w:p>
        </w:tc>
        <w:tc>
          <w:tcPr>
            <w:tcW w:w="1205" w:type="dxa"/>
          </w:tcPr>
          <w:p w:rsidR="00C0100D" w:rsidRPr="00B04DC3" w:rsidRDefault="00C0100D" w:rsidP="006406C2">
            <w:pPr>
              <w:pStyle w:val="Text1"/>
              <w:spacing w:before="40" w:after="80"/>
              <w:ind w:left="0"/>
              <w:jc w:val="center"/>
              <w:rPr>
                <w:sz w:val="18"/>
                <w:szCs w:val="18"/>
              </w:rPr>
            </w:pPr>
            <w:r w:rsidRPr="00B04DC3">
              <w:rPr>
                <w:sz w:val="18"/>
                <w:szCs w:val="18"/>
              </w:rPr>
              <w:t>4.284</w:t>
            </w:r>
          </w:p>
        </w:tc>
        <w:tc>
          <w:tcPr>
            <w:tcW w:w="1206" w:type="dxa"/>
          </w:tcPr>
          <w:p w:rsidR="00C0100D" w:rsidRPr="00B04DC3" w:rsidRDefault="00C0100D" w:rsidP="006406C2">
            <w:pPr>
              <w:pStyle w:val="Text1"/>
              <w:spacing w:before="40" w:after="80"/>
              <w:ind w:left="72"/>
              <w:jc w:val="center"/>
              <w:rPr>
                <w:sz w:val="18"/>
                <w:szCs w:val="18"/>
              </w:rPr>
            </w:pPr>
            <w:r w:rsidRPr="00B04DC3">
              <w:rPr>
                <w:sz w:val="18"/>
                <w:szCs w:val="18"/>
              </w:rPr>
              <w:t>12</w:t>
            </w:r>
          </w:p>
        </w:tc>
        <w:tc>
          <w:tcPr>
            <w:tcW w:w="1310" w:type="dxa"/>
          </w:tcPr>
          <w:p w:rsidR="00C0100D" w:rsidRPr="00B04DC3" w:rsidRDefault="00C0100D" w:rsidP="006406C2">
            <w:pPr>
              <w:pStyle w:val="Text1"/>
              <w:spacing w:before="40" w:after="80"/>
              <w:ind w:left="72"/>
              <w:jc w:val="center"/>
              <w:rPr>
                <w:sz w:val="18"/>
                <w:szCs w:val="18"/>
              </w:rPr>
            </w:pPr>
            <w:r w:rsidRPr="00B04DC3">
              <w:rPr>
                <w:sz w:val="18"/>
                <w:szCs w:val="18"/>
              </w:rPr>
              <w:t>2.179</w:t>
            </w:r>
          </w:p>
        </w:tc>
      </w:tr>
      <w:tr w:rsidR="00C0100D" w:rsidRPr="00B04DC3">
        <w:tc>
          <w:tcPr>
            <w:tcW w:w="1417" w:type="dxa"/>
          </w:tcPr>
          <w:p w:rsidR="00C0100D" w:rsidRPr="00B04DC3" w:rsidRDefault="00C0100D" w:rsidP="006406C2">
            <w:pPr>
              <w:pStyle w:val="Text1"/>
              <w:spacing w:before="40" w:after="80"/>
              <w:ind w:left="0"/>
              <w:jc w:val="center"/>
              <w:rPr>
                <w:sz w:val="18"/>
                <w:szCs w:val="18"/>
              </w:rPr>
            </w:pPr>
            <w:r w:rsidRPr="00B04DC3">
              <w:rPr>
                <w:sz w:val="18"/>
                <w:szCs w:val="18"/>
              </w:rPr>
              <w:t>8</w:t>
            </w:r>
          </w:p>
        </w:tc>
        <w:tc>
          <w:tcPr>
            <w:tcW w:w="1099" w:type="dxa"/>
          </w:tcPr>
          <w:p w:rsidR="00C0100D" w:rsidRPr="00B04DC3" w:rsidRDefault="00C0100D" w:rsidP="006406C2">
            <w:pPr>
              <w:pStyle w:val="Text1"/>
              <w:spacing w:before="40" w:after="80"/>
              <w:ind w:left="0"/>
              <w:jc w:val="center"/>
              <w:rPr>
                <w:sz w:val="18"/>
                <w:szCs w:val="18"/>
              </w:rPr>
            </w:pPr>
            <w:r w:rsidRPr="00B04DC3">
              <w:rPr>
                <w:sz w:val="18"/>
                <w:szCs w:val="18"/>
              </w:rPr>
              <w:t>7/7</w:t>
            </w:r>
          </w:p>
        </w:tc>
        <w:tc>
          <w:tcPr>
            <w:tcW w:w="1205" w:type="dxa"/>
          </w:tcPr>
          <w:p w:rsidR="00C0100D" w:rsidRPr="00B04DC3" w:rsidRDefault="00C0100D" w:rsidP="006406C2">
            <w:pPr>
              <w:pStyle w:val="Text1"/>
              <w:spacing w:before="40" w:after="80"/>
              <w:ind w:left="0"/>
              <w:jc w:val="center"/>
              <w:rPr>
                <w:sz w:val="18"/>
                <w:szCs w:val="18"/>
              </w:rPr>
            </w:pPr>
            <w:r w:rsidRPr="00B04DC3">
              <w:rPr>
                <w:sz w:val="18"/>
                <w:szCs w:val="18"/>
              </w:rPr>
              <w:t>3.787</w:t>
            </w:r>
          </w:p>
        </w:tc>
        <w:tc>
          <w:tcPr>
            <w:tcW w:w="1206" w:type="dxa"/>
          </w:tcPr>
          <w:p w:rsidR="00C0100D" w:rsidRPr="00B04DC3" w:rsidRDefault="00C0100D" w:rsidP="006406C2">
            <w:pPr>
              <w:pStyle w:val="Text1"/>
              <w:spacing w:before="40" w:after="80"/>
              <w:ind w:left="72"/>
              <w:jc w:val="center"/>
              <w:rPr>
                <w:sz w:val="18"/>
                <w:szCs w:val="18"/>
              </w:rPr>
            </w:pPr>
            <w:r w:rsidRPr="00B04DC3">
              <w:rPr>
                <w:sz w:val="18"/>
                <w:szCs w:val="18"/>
              </w:rPr>
              <w:t>14</w:t>
            </w:r>
          </w:p>
        </w:tc>
        <w:tc>
          <w:tcPr>
            <w:tcW w:w="1310" w:type="dxa"/>
          </w:tcPr>
          <w:p w:rsidR="00C0100D" w:rsidRPr="00B04DC3" w:rsidRDefault="00C0100D" w:rsidP="006406C2">
            <w:pPr>
              <w:pStyle w:val="Text1"/>
              <w:spacing w:before="40" w:after="80"/>
              <w:ind w:left="72"/>
              <w:jc w:val="center"/>
              <w:rPr>
                <w:sz w:val="18"/>
                <w:szCs w:val="18"/>
              </w:rPr>
            </w:pPr>
            <w:r w:rsidRPr="00B04DC3">
              <w:rPr>
                <w:sz w:val="18"/>
                <w:szCs w:val="18"/>
              </w:rPr>
              <w:t>2.145</w:t>
            </w:r>
          </w:p>
        </w:tc>
      </w:tr>
      <w:tr w:rsidR="00C0100D" w:rsidRPr="00B04DC3">
        <w:tc>
          <w:tcPr>
            <w:tcW w:w="1417" w:type="dxa"/>
          </w:tcPr>
          <w:p w:rsidR="00C0100D" w:rsidRPr="00B04DC3" w:rsidRDefault="00C0100D" w:rsidP="006406C2">
            <w:pPr>
              <w:pStyle w:val="Text1"/>
              <w:spacing w:before="40" w:after="80"/>
              <w:ind w:left="0"/>
              <w:jc w:val="center"/>
              <w:rPr>
                <w:sz w:val="18"/>
                <w:szCs w:val="18"/>
              </w:rPr>
            </w:pPr>
            <w:r w:rsidRPr="00B04DC3">
              <w:rPr>
                <w:sz w:val="18"/>
                <w:szCs w:val="18"/>
              </w:rPr>
              <w:t>9</w:t>
            </w:r>
          </w:p>
        </w:tc>
        <w:tc>
          <w:tcPr>
            <w:tcW w:w="1099" w:type="dxa"/>
          </w:tcPr>
          <w:p w:rsidR="00C0100D" w:rsidRPr="00B04DC3" w:rsidRDefault="00C0100D" w:rsidP="006406C2">
            <w:pPr>
              <w:pStyle w:val="Text1"/>
              <w:spacing w:before="40" w:after="80"/>
              <w:ind w:left="0"/>
              <w:jc w:val="center"/>
              <w:rPr>
                <w:sz w:val="18"/>
                <w:szCs w:val="18"/>
              </w:rPr>
            </w:pPr>
            <w:r w:rsidRPr="00B04DC3">
              <w:rPr>
                <w:sz w:val="18"/>
                <w:szCs w:val="18"/>
              </w:rPr>
              <w:t>8/8</w:t>
            </w:r>
          </w:p>
        </w:tc>
        <w:tc>
          <w:tcPr>
            <w:tcW w:w="1205" w:type="dxa"/>
          </w:tcPr>
          <w:p w:rsidR="00C0100D" w:rsidRPr="00B04DC3" w:rsidRDefault="00C0100D" w:rsidP="006406C2">
            <w:pPr>
              <w:pStyle w:val="Text1"/>
              <w:spacing w:before="40" w:after="80"/>
              <w:ind w:left="0"/>
              <w:jc w:val="center"/>
              <w:rPr>
                <w:sz w:val="18"/>
                <w:szCs w:val="18"/>
              </w:rPr>
            </w:pPr>
            <w:r w:rsidRPr="00B04DC3">
              <w:rPr>
                <w:sz w:val="18"/>
                <w:szCs w:val="18"/>
              </w:rPr>
              <w:t>3.438</w:t>
            </w:r>
          </w:p>
        </w:tc>
        <w:tc>
          <w:tcPr>
            <w:tcW w:w="1206" w:type="dxa"/>
          </w:tcPr>
          <w:p w:rsidR="00C0100D" w:rsidRPr="00B04DC3" w:rsidRDefault="00C0100D" w:rsidP="006406C2">
            <w:pPr>
              <w:pStyle w:val="Text1"/>
              <w:spacing w:before="40" w:after="80"/>
              <w:ind w:left="72"/>
              <w:jc w:val="center"/>
              <w:rPr>
                <w:sz w:val="18"/>
                <w:szCs w:val="18"/>
              </w:rPr>
            </w:pPr>
            <w:r w:rsidRPr="00B04DC3">
              <w:rPr>
                <w:sz w:val="18"/>
                <w:szCs w:val="18"/>
              </w:rPr>
              <w:t>16</w:t>
            </w:r>
          </w:p>
        </w:tc>
        <w:tc>
          <w:tcPr>
            <w:tcW w:w="1310" w:type="dxa"/>
          </w:tcPr>
          <w:p w:rsidR="00C0100D" w:rsidRPr="00B04DC3" w:rsidRDefault="00C0100D" w:rsidP="006406C2">
            <w:pPr>
              <w:pStyle w:val="Text1"/>
              <w:spacing w:before="40" w:after="80"/>
              <w:ind w:left="72"/>
              <w:jc w:val="center"/>
              <w:rPr>
                <w:sz w:val="18"/>
                <w:szCs w:val="18"/>
              </w:rPr>
            </w:pPr>
            <w:r w:rsidRPr="00B04DC3">
              <w:rPr>
                <w:sz w:val="18"/>
                <w:szCs w:val="18"/>
              </w:rPr>
              <w:t>2.120</w:t>
            </w:r>
          </w:p>
        </w:tc>
      </w:tr>
      <w:tr w:rsidR="00C0100D" w:rsidRPr="00B04DC3" w:rsidTr="00546652">
        <w:tc>
          <w:tcPr>
            <w:tcW w:w="1417" w:type="dxa"/>
            <w:tcBorders>
              <w:bottom w:val="single" w:sz="12" w:space="0" w:color="auto"/>
            </w:tcBorders>
          </w:tcPr>
          <w:p w:rsidR="00C0100D" w:rsidRPr="00B04DC3" w:rsidRDefault="00C0100D" w:rsidP="006406C2">
            <w:pPr>
              <w:pStyle w:val="Text1"/>
              <w:spacing w:before="40" w:after="80"/>
              <w:ind w:left="0"/>
              <w:jc w:val="center"/>
              <w:rPr>
                <w:sz w:val="18"/>
                <w:szCs w:val="18"/>
              </w:rPr>
            </w:pPr>
            <w:r w:rsidRPr="00B04DC3">
              <w:rPr>
                <w:sz w:val="18"/>
                <w:szCs w:val="18"/>
              </w:rPr>
              <w:t>10</w:t>
            </w:r>
          </w:p>
        </w:tc>
        <w:tc>
          <w:tcPr>
            <w:tcW w:w="1099" w:type="dxa"/>
            <w:tcBorders>
              <w:bottom w:val="single" w:sz="12" w:space="0" w:color="auto"/>
            </w:tcBorders>
          </w:tcPr>
          <w:p w:rsidR="00C0100D" w:rsidRPr="00B04DC3" w:rsidRDefault="00C0100D" w:rsidP="006406C2">
            <w:pPr>
              <w:pStyle w:val="Text1"/>
              <w:spacing w:before="40" w:after="80"/>
              <w:ind w:left="0"/>
              <w:jc w:val="center"/>
              <w:rPr>
                <w:sz w:val="18"/>
                <w:szCs w:val="18"/>
              </w:rPr>
            </w:pPr>
            <w:r w:rsidRPr="00B04DC3">
              <w:rPr>
                <w:sz w:val="18"/>
                <w:szCs w:val="18"/>
              </w:rPr>
              <w:t>9/9</w:t>
            </w:r>
          </w:p>
        </w:tc>
        <w:tc>
          <w:tcPr>
            <w:tcW w:w="1205" w:type="dxa"/>
            <w:tcBorders>
              <w:bottom w:val="single" w:sz="12" w:space="0" w:color="auto"/>
            </w:tcBorders>
          </w:tcPr>
          <w:p w:rsidR="00C0100D" w:rsidRPr="00B04DC3" w:rsidRDefault="00C0100D" w:rsidP="006406C2">
            <w:pPr>
              <w:pStyle w:val="Text1"/>
              <w:spacing w:before="40" w:after="80"/>
              <w:ind w:left="0"/>
              <w:jc w:val="center"/>
              <w:rPr>
                <w:sz w:val="18"/>
                <w:szCs w:val="18"/>
              </w:rPr>
            </w:pPr>
            <w:r w:rsidRPr="00B04DC3">
              <w:rPr>
                <w:sz w:val="18"/>
                <w:szCs w:val="18"/>
              </w:rPr>
              <w:t>3.179</w:t>
            </w:r>
          </w:p>
        </w:tc>
        <w:tc>
          <w:tcPr>
            <w:tcW w:w="1206" w:type="dxa"/>
            <w:tcBorders>
              <w:bottom w:val="single" w:sz="12" w:space="0" w:color="auto"/>
            </w:tcBorders>
          </w:tcPr>
          <w:p w:rsidR="00C0100D" w:rsidRPr="00B04DC3" w:rsidRDefault="00C0100D" w:rsidP="006406C2">
            <w:pPr>
              <w:pStyle w:val="Text1"/>
              <w:spacing w:before="40" w:after="80"/>
              <w:ind w:left="72"/>
              <w:jc w:val="center"/>
              <w:rPr>
                <w:sz w:val="18"/>
                <w:szCs w:val="18"/>
              </w:rPr>
            </w:pPr>
            <w:r w:rsidRPr="00B04DC3">
              <w:rPr>
                <w:sz w:val="18"/>
                <w:szCs w:val="18"/>
              </w:rPr>
              <w:t>18</w:t>
            </w:r>
          </w:p>
        </w:tc>
        <w:tc>
          <w:tcPr>
            <w:tcW w:w="1310" w:type="dxa"/>
            <w:tcBorders>
              <w:bottom w:val="single" w:sz="12" w:space="0" w:color="auto"/>
            </w:tcBorders>
          </w:tcPr>
          <w:p w:rsidR="00C0100D" w:rsidRPr="00B04DC3" w:rsidRDefault="00C0100D" w:rsidP="006406C2">
            <w:pPr>
              <w:pStyle w:val="Text1"/>
              <w:spacing w:before="40" w:after="80"/>
              <w:ind w:left="72"/>
              <w:jc w:val="center"/>
              <w:rPr>
                <w:sz w:val="18"/>
                <w:szCs w:val="18"/>
              </w:rPr>
            </w:pPr>
            <w:r w:rsidRPr="00B04DC3">
              <w:rPr>
                <w:sz w:val="18"/>
                <w:szCs w:val="18"/>
              </w:rPr>
              <w:t>2.101</w:t>
            </w:r>
          </w:p>
        </w:tc>
      </w:tr>
    </w:tbl>
    <w:p w:rsidR="00C0100D" w:rsidRPr="00B04DC3" w:rsidRDefault="00C0100D" w:rsidP="004E1B22">
      <w:pPr>
        <w:pStyle w:val="a"/>
        <w:spacing w:before="240"/>
        <w:rPr>
          <w:lang w:val="en-GB"/>
        </w:rPr>
      </w:pPr>
      <w:r w:rsidRPr="00B04DC3">
        <w:rPr>
          <w:lang w:val="en-GB"/>
        </w:rPr>
        <w:t>(g)</w:t>
      </w:r>
      <w:r w:rsidRPr="00B04DC3">
        <w:rPr>
          <w:lang w:val="en-GB"/>
        </w:rPr>
        <w:tab/>
        <w:t>Determine the equivalency, as follows:</w:t>
      </w:r>
    </w:p>
    <w:p w:rsidR="00C0100D" w:rsidRPr="00B04DC3" w:rsidRDefault="00C0100D" w:rsidP="006406C2">
      <w:pPr>
        <w:pStyle w:val="i"/>
        <w:rPr>
          <w:lang w:val="en-GB"/>
        </w:rPr>
      </w:pPr>
      <w:r w:rsidRPr="00B04DC3">
        <w:rPr>
          <w:lang w:val="en-GB"/>
        </w:rPr>
        <w:t>(i)</w:t>
      </w:r>
      <w:r w:rsidRPr="00B04DC3">
        <w:rPr>
          <w:lang w:val="en-GB"/>
        </w:rPr>
        <w:tab/>
      </w:r>
      <w:r w:rsidR="006406C2" w:rsidRPr="00B04DC3">
        <w:rPr>
          <w:lang w:val="en-GB"/>
        </w:rPr>
        <w:t>I</w:t>
      </w:r>
      <w:r w:rsidRPr="00B04DC3">
        <w:rPr>
          <w:lang w:val="en-GB"/>
        </w:rPr>
        <w:t>f F &lt; F</w:t>
      </w:r>
      <w:r w:rsidRPr="00B04DC3">
        <w:rPr>
          <w:vertAlign w:val="subscript"/>
          <w:lang w:val="en-GB"/>
        </w:rPr>
        <w:t>crit</w:t>
      </w:r>
      <w:r w:rsidRPr="00B04DC3">
        <w:rPr>
          <w:lang w:val="en-GB"/>
        </w:rPr>
        <w:t xml:space="preserve"> and t &lt; t</w:t>
      </w:r>
      <w:r w:rsidRPr="00B04DC3">
        <w:rPr>
          <w:vertAlign w:val="subscript"/>
          <w:lang w:val="en-GB"/>
        </w:rPr>
        <w:t>crit</w:t>
      </w:r>
      <w:r w:rsidRPr="00B04DC3">
        <w:rPr>
          <w:lang w:val="en-GB"/>
        </w:rPr>
        <w:t>, then the candidate system is equivalent to the reference system of this Regulation;</w:t>
      </w:r>
    </w:p>
    <w:p w:rsidR="00C0100D" w:rsidRPr="00B04DC3" w:rsidRDefault="00C0100D" w:rsidP="006406C2">
      <w:pPr>
        <w:pStyle w:val="i"/>
        <w:rPr>
          <w:lang w:val="en-GB"/>
        </w:rPr>
      </w:pPr>
      <w:r w:rsidRPr="00B04DC3">
        <w:rPr>
          <w:lang w:val="en-GB"/>
        </w:rPr>
        <w:t>(ii)</w:t>
      </w:r>
      <w:r w:rsidRPr="00B04DC3">
        <w:rPr>
          <w:lang w:val="en-GB"/>
        </w:rPr>
        <w:tab/>
      </w:r>
      <w:r w:rsidR="006406C2" w:rsidRPr="00B04DC3">
        <w:rPr>
          <w:lang w:val="en-GB"/>
        </w:rPr>
        <w:t>I</w:t>
      </w:r>
      <w:r w:rsidRPr="00B04DC3">
        <w:rPr>
          <w:lang w:val="en-GB"/>
        </w:rPr>
        <w:t xml:space="preserve">f F </w:t>
      </w:r>
      <w:r w:rsidRPr="00B04DC3">
        <w:rPr>
          <w:lang w:val="en-GB"/>
        </w:rPr>
        <w:sym w:font="Symbol" w:char="F0B3"/>
      </w:r>
      <w:r w:rsidRPr="00B04DC3">
        <w:rPr>
          <w:lang w:val="en-GB"/>
        </w:rPr>
        <w:t xml:space="preserve"> F</w:t>
      </w:r>
      <w:r w:rsidRPr="00B04DC3">
        <w:rPr>
          <w:vertAlign w:val="subscript"/>
          <w:lang w:val="en-GB"/>
        </w:rPr>
        <w:t>crit</w:t>
      </w:r>
      <w:r w:rsidRPr="00B04DC3">
        <w:rPr>
          <w:lang w:val="en-GB"/>
        </w:rPr>
        <w:t xml:space="preserve"> and t </w:t>
      </w:r>
      <w:r w:rsidRPr="00B04DC3">
        <w:rPr>
          <w:lang w:val="en-GB"/>
        </w:rPr>
        <w:sym w:font="Symbol" w:char="F0B3"/>
      </w:r>
      <w:r w:rsidRPr="00B04DC3">
        <w:rPr>
          <w:lang w:val="en-GB"/>
        </w:rPr>
        <w:t xml:space="preserve"> t</w:t>
      </w:r>
      <w:r w:rsidRPr="00B04DC3">
        <w:rPr>
          <w:vertAlign w:val="subscript"/>
          <w:lang w:val="en-GB"/>
        </w:rPr>
        <w:t>crit</w:t>
      </w:r>
      <w:r w:rsidRPr="00B04DC3">
        <w:rPr>
          <w:lang w:val="en-GB"/>
        </w:rPr>
        <w:t xml:space="preserve"> , then the candidate system is different from the reference system of this Regulation.</w:t>
      </w:r>
    </w:p>
    <w:p w:rsidR="00C0100D" w:rsidRPr="00B04DC3" w:rsidRDefault="00C0100D" w:rsidP="00C0100D">
      <w:pPr>
        <w:rPr>
          <w:u w:val="single"/>
        </w:rPr>
      </w:pPr>
    </w:p>
    <w:p w:rsidR="00C0100D" w:rsidRPr="00B04DC3" w:rsidRDefault="00C0100D" w:rsidP="00C0100D">
      <w:pPr>
        <w:rPr>
          <w:u w:val="single"/>
        </w:rPr>
        <w:sectPr w:rsidR="00C0100D" w:rsidRPr="00B04DC3" w:rsidSect="002A4563">
          <w:headerReference w:type="even" r:id="rId69"/>
          <w:headerReference w:type="default" r:id="rId70"/>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C0100D" w:rsidP="00AA0E48">
      <w:pPr>
        <w:pStyle w:val="HChG"/>
        <w:spacing w:after="360"/>
        <w:rPr>
          <w:bCs/>
        </w:rPr>
      </w:pPr>
      <w:bookmarkStart w:id="125" w:name="_Toc423599486"/>
      <w:bookmarkStart w:id="126" w:name="_Toc423610894"/>
      <w:r w:rsidRPr="00B04DC3">
        <w:rPr>
          <w:bCs/>
        </w:rPr>
        <w:t>Annex 1</w:t>
      </w:r>
      <w:bookmarkEnd w:id="125"/>
      <w:bookmarkEnd w:id="126"/>
    </w:p>
    <w:p w:rsidR="00C0100D" w:rsidRPr="00B04DC3" w:rsidRDefault="00D022DE" w:rsidP="00AA0E48">
      <w:pPr>
        <w:pStyle w:val="HChG"/>
        <w:spacing w:after="360"/>
        <w:rPr>
          <w:rFonts w:cs="EUAlbertina_Bold"/>
          <w:bCs/>
          <w:szCs w:val="28"/>
        </w:rPr>
      </w:pPr>
      <w:r w:rsidRPr="00B04DC3">
        <w:rPr>
          <w:rFonts w:cs="EUAlbertina_Bold"/>
          <w:bCs/>
          <w:szCs w:val="28"/>
        </w:rPr>
        <w:tab/>
      </w:r>
      <w:r w:rsidRPr="00B04DC3">
        <w:rPr>
          <w:rFonts w:cs="EUAlbertina_Bold"/>
          <w:bCs/>
          <w:szCs w:val="28"/>
        </w:rPr>
        <w:tab/>
      </w:r>
      <w:bookmarkStart w:id="127" w:name="_Toc423599487"/>
      <w:bookmarkStart w:id="128" w:name="_Toc423610895"/>
      <w:r w:rsidRPr="00B04DC3">
        <w:rPr>
          <w:rFonts w:cs="EUAlbertina_Bold"/>
          <w:bCs/>
          <w:szCs w:val="28"/>
        </w:rPr>
        <w:t>Information document</w:t>
      </w:r>
      <w:bookmarkEnd w:id="127"/>
      <w:bookmarkEnd w:id="128"/>
    </w:p>
    <w:p w:rsidR="00C0100D" w:rsidRPr="00B04DC3" w:rsidRDefault="00C0100D" w:rsidP="004E1B22">
      <w:pPr>
        <w:pStyle w:val="SingleTxtG"/>
      </w:pPr>
      <w:r w:rsidRPr="00B04DC3">
        <w:t>This information document is related to the approval according to Regulation No. 49</w:t>
      </w:r>
      <w:r w:rsidR="00401E79" w:rsidRPr="00B04DC3">
        <w:t xml:space="preserve">. </w:t>
      </w:r>
      <w:r w:rsidRPr="00B04DC3">
        <w:t>It is referring to measures to be taken against the emission of gaseous and particulate pollutants from compression-ignition engines for use in vehicles, and the emission of gaseous pollutants from positive-ignition engines fuelled with natural gas or liquefied petroleum gas for use in vehicles.</w:t>
      </w:r>
    </w:p>
    <w:p w:rsidR="00C0100D" w:rsidRPr="00B04DC3" w:rsidRDefault="00C0100D" w:rsidP="004E1B22">
      <w:pPr>
        <w:tabs>
          <w:tab w:val="left" w:leader="dot" w:pos="8505"/>
          <w:tab w:val="left" w:leader="dot" w:pos="9356"/>
        </w:tabs>
        <w:spacing w:after="200"/>
        <w:ind w:left="1701" w:hanging="567"/>
        <w:jc w:val="both"/>
      </w:pPr>
      <w:r w:rsidRPr="00B04DC3">
        <w:t xml:space="preserve">Vehicle </w:t>
      </w:r>
      <w:r w:rsidR="00D022DE" w:rsidRPr="00B04DC3">
        <w:t>type/parent engine/engine type</w:t>
      </w:r>
      <w:r w:rsidR="000B5A13" w:rsidRPr="00B04DC3">
        <w:rPr>
          <w:rStyle w:val="FootnoteReference"/>
        </w:rPr>
        <w:footnoteReference w:id="9"/>
      </w:r>
    </w:p>
    <w:p w:rsidR="00C0100D" w:rsidRPr="00B04DC3" w:rsidRDefault="00C0100D" w:rsidP="00AB712B">
      <w:pPr>
        <w:tabs>
          <w:tab w:val="left" w:pos="1701"/>
          <w:tab w:val="left" w:pos="2200"/>
          <w:tab w:val="left" w:leader="dot" w:pos="8505"/>
        </w:tabs>
        <w:spacing w:after="200"/>
        <w:ind w:left="1100"/>
      </w:pPr>
      <w:r w:rsidRPr="00B04DC3">
        <w:t>0.</w:t>
      </w:r>
      <w:r w:rsidRPr="00B04DC3">
        <w:tab/>
        <w:t>G</w:t>
      </w:r>
      <w:r w:rsidR="008F1CF4" w:rsidRPr="00B04DC3">
        <w:t>eneral</w:t>
      </w:r>
      <w:r w:rsidR="00AB712B" w:rsidRPr="00B04DC3">
        <w:tab/>
      </w:r>
    </w:p>
    <w:p w:rsidR="00C0100D" w:rsidRPr="00B04DC3" w:rsidRDefault="00C0100D" w:rsidP="00AB712B">
      <w:pPr>
        <w:tabs>
          <w:tab w:val="left" w:pos="1701"/>
          <w:tab w:val="left" w:pos="2200"/>
          <w:tab w:val="left" w:leader="dot" w:pos="8505"/>
        </w:tabs>
        <w:spacing w:after="200"/>
        <w:ind w:left="1100"/>
      </w:pPr>
      <w:r w:rsidRPr="00B04DC3">
        <w:t>0.1.</w:t>
      </w:r>
      <w:r w:rsidRPr="00B04DC3">
        <w:tab/>
        <w:t>Make (name of undertaking):</w:t>
      </w:r>
      <w:r w:rsidRPr="00B04DC3">
        <w:tab/>
      </w:r>
    </w:p>
    <w:p w:rsidR="00C0100D" w:rsidRPr="00B04DC3" w:rsidRDefault="00C0100D" w:rsidP="00AB712B">
      <w:pPr>
        <w:tabs>
          <w:tab w:val="left" w:pos="1701"/>
          <w:tab w:val="left" w:pos="2200"/>
          <w:tab w:val="left" w:leader="dot" w:pos="8505"/>
        </w:tabs>
        <w:spacing w:after="200"/>
        <w:ind w:left="1100"/>
      </w:pPr>
      <w:r w:rsidRPr="00B04DC3">
        <w:t>0.2.</w:t>
      </w:r>
      <w:r w:rsidRPr="00B04DC3">
        <w:tab/>
        <w:t>Type and commercial description (mention any variants):</w:t>
      </w:r>
      <w:r w:rsidRPr="00B04DC3">
        <w:tab/>
      </w:r>
    </w:p>
    <w:p w:rsidR="00C0100D" w:rsidRPr="00B04DC3" w:rsidRDefault="00C0100D" w:rsidP="00AB712B">
      <w:pPr>
        <w:tabs>
          <w:tab w:val="left" w:pos="1701"/>
          <w:tab w:val="left" w:pos="2200"/>
          <w:tab w:val="left" w:leader="dot" w:pos="8505"/>
        </w:tabs>
        <w:spacing w:after="200"/>
        <w:ind w:left="1100"/>
      </w:pPr>
      <w:r w:rsidRPr="00B04DC3">
        <w:t>0.3.</w:t>
      </w:r>
      <w:r w:rsidRPr="00B04DC3">
        <w:tab/>
        <w:t>Means and location of identification of type, if marked on the vehicle:</w:t>
      </w:r>
      <w:r w:rsidRPr="00B04DC3">
        <w:tab/>
      </w:r>
    </w:p>
    <w:p w:rsidR="00C0100D" w:rsidRPr="00B04DC3" w:rsidRDefault="00C0100D" w:rsidP="00AB712B">
      <w:pPr>
        <w:tabs>
          <w:tab w:val="left" w:pos="1701"/>
          <w:tab w:val="left" w:pos="2200"/>
          <w:tab w:val="left" w:leader="dot" w:pos="8505"/>
        </w:tabs>
        <w:spacing w:after="200"/>
        <w:ind w:left="1100"/>
      </w:pPr>
      <w:r w:rsidRPr="00B04DC3">
        <w:t>0.4.</w:t>
      </w:r>
      <w:r w:rsidRPr="00B04DC3">
        <w:tab/>
        <w:t>Category of vehicle (if applicable):</w:t>
      </w:r>
      <w:r w:rsidRPr="00B04DC3">
        <w:tab/>
      </w:r>
    </w:p>
    <w:p w:rsidR="00C0100D" w:rsidRPr="00B04DC3" w:rsidRDefault="00C0100D" w:rsidP="00AB712B">
      <w:pPr>
        <w:tabs>
          <w:tab w:val="left" w:pos="1701"/>
          <w:tab w:val="left" w:pos="2200"/>
          <w:tab w:val="left" w:leader="dot" w:pos="8505"/>
        </w:tabs>
        <w:spacing w:after="200"/>
        <w:ind w:left="1100"/>
      </w:pPr>
      <w:r w:rsidRPr="00B04DC3">
        <w:t>0.5.</w:t>
      </w:r>
      <w:r w:rsidRPr="00B04DC3">
        <w:tab/>
        <w:t>Category of engine: diesel/NG fuell</w:t>
      </w:r>
      <w:r w:rsidR="00AB712B" w:rsidRPr="00B04DC3">
        <w:t>ed/LPG fuelled/ethanol fuelled</w:t>
      </w:r>
      <w:r w:rsidR="00AB712B" w:rsidRPr="00B04DC3">
        <w:rPr>
          <w:vertAlign w:val="superscript"/>
        </w:rPr>
        <w:t>1</w:t>
      </w:r>
    </w:p>
    <w:p w:rsidR="00C0100D" w:rsidRPr="00B04DC3" w:rsidRDefault="00C0100D" w:rsidP="00AB712B">
      <w:pPr>
        <w:tabs>
          <w:tab w:val="left" w:pos="1701"/>
          <w:tab w:val="left" w:pos="2200"/>
          <w:tab w:val="left" w:leader="dot" w:pos="8505"/>
        </w:tabs>
        <w:spacing w:after="200"/>
        <w:ind w:left="1100"/>
      </w:pPr>
      <w:r w:rsidRPr="00B04DC3">
        <w:t>0.6.</w:t>
      </w:r>
      <w:r w:rsidRPr="00B04DC3">
        <w:tab/>
        <w:t>Name and address of manufacturer:</w:t>
      </w:r>
      <w:r w:rsidRPr="00B04DC3">
        <w:tab/>
      </w:r>
    </w:p>
    <w:p w:rsidR="00C0100D" w:rsidRPr="00B04DC3" w:rsidRDefault="00C0100D" w:rsidP="00AB712B">
      <w:pPr>
        <w:tabs>
          <w:tab w:val="left" w:pos="1701"/>
          <w:tab w:val="left" w:pos="2200"/>
          <w:tab w:val="left" w:leader="dot" w:pos="8505"/>
        </w:tabs>
        <w:spacing w:after="200"/>
        <w:ind w:left="1100"/>
      </w:pPr>
      <w:r w:rsidRPr="00B04DC3">
        <w:t>0.7.</w:t>
      </w:r>
      <w:r w:rsidRPr="00B04DC3">
        <w:tab/>
        <w:t>Location of statutory plates and inscriptions and method of affixing:</w:t>
      </w:r>
      <w:r w:rsidRPr="00B04DC3">
        <w:tab/>
      </w:r>
    </w:p>
    <w:p w:rsidR="00C0100D" w:rsidRPr="00B04DC3" w:rsidRDefault="00C0100D" w:rsidP="007C3750">
      <w:pPr>
        <w:tabs>
          <w:tab w:val="left" w:pos="1701"/>
          <w:tab w:val="left" w:pos="2200"/>
          <w:tab w:val="left" w:leader="dot" w:pos="8505"/>
        </w:tabs>
        <w:spacing w:after="200"/>
        <w:ind w:left="1700" w:hanging="600"/>
      </w:pPr>
      <w:r w:rsidRPr="00B04DC3">
        <w:t>0.8.</w:t>
      </w:r>
      <w:r w:rsidRPr="00B04DC3">
        <w:tab/>
        <w:t>In the case of components and separate technical units,</w:t>
      </w:r>
      <w:r w:rsidR="007C3750" w:rsidRPr="00B04DC3">
        <w:t xml:space="preserve"> location and</w:t>
      </w:r>
      <w:r w:rsidR="007C3750" w:rsidRPr="00B04DC3">
        <w:br/>
      </w:r>
      <w:r w:rsidRPr="00B04DC3">
        <w:tab/>
        <w:t>method of affixing of the ECE approval mark:</w:t>
      </w:r>
      <w:r w:rsidRPr="00B04DC3">
        <w:tab/>
      </w:r>
    </w:p>
    <w:p w:rsidR="00C0100D" w:rsidRPr="00B04DC3" w:rsidRDefault="00C0100D" w:rsidP="00AB712B">
      <w:pPr>
        <w:tabs>
          <w:tab w:val="left" w:pos="1701"/>
          <w:tab w:val="left" w:pos="2200"/>
          <w:tab w:val="left" w:leader="dot" w:pos="8505"/>
        </w:tabs>
        <w:spacing w:after="200"/>
        <w:ind w:left="1100"/>
      </w:pPr>
      <w:r w:rsidRPr="00B04DC3">
        <w:t>0.9.</w:t>
      </w:r>
      <w:r w:rsidRPr="00B04DC3">
        <w:tab/>
        <w:t>Address(es) of assembly plant(s):</w:t>
      </w:r>
      <w:r w:rsidRPr="00B04DC3">
        <w:tab/>
      </w:r>
    </w:p>
    <w:p w:rsidR="00C0100D" w:rsidRPr="00B04DC3" w:rsidRDefault="008F1CF4" w:rsidP="00AB712B">
      <w:pPr>
        <w:tabs>
          <w:tab w:val="left" w:pos="1701"/>
          <w:tab w:val="left" w:pos="2200"/>
          <w:tab w:val="left" w:leader="dot" w:pos="8505"/>
        </w:tabs>
        <w:spacing w:after="200"/>
        <w:ind w:left="1100"/>
      </w:pPr>
      <w:r w:rsidRPr="00B04DC3">
        <w:t>Appendices</w:t>
      </w:r>
      <w:r w:rsidR="00C0100D" w:rsidRPr="00B04DC3">
        <w:t>:</w:t>
      </w:r>
    </w:p>
    <w:p w:rsidR="00C0100D" w:rsidRPr="00B04DC3" w:rsidRDefault="00C0100D" w:rsidP="00AA0E48">
      <w:pPr>
        <w:tabs>
          <w:tab w:val="left" w:pos="1701"/>
          <w:tab w:val="left" w:pos="2200"/>
          <w:tab w:val="left" w:leader="dot" w:pos="8505"/>
        </w:tabs>
        <w:spacing w:after="120"/>
        <w:ind w:left="1700" w:hanging="600"/>
      </w:pPr>
      <w:r w:rsidRPr="00B04DC3">
        <w:t>1.</w:t>
      </w:r>
      <w:r w:rsidRPr="00B04DC3">
        <w:tab/>
        <w:t xml:space="preserve">Essential characteristics of the (parent) engine and information concerning </w:t>
      </w:r>
      <w:r w:rsidR="007C3750" w:rsidRPr="00B04DC3">
        <w:br/>
      </w:r>
      <w:r w:rsidRPr="00B04DC3">
        <w:t>the conduct of test (see Appendix 1).</w:t>
      </w:r>
    </w:p>
    <w:p w:rsidR="00C0100D" w:rsidRPr="00B04DC3" w:rsidRDefault="00C0100D" w:rsidP="00AA0E48">
      <w:pPr>
        <w:tabs>
          <w:tab w:val="left" w:pos="1701"/>
          <w:tab w:val="left" w:pos="2200"/>
          <w:tab w:val="left" w:leader="dot" w:pos="8505"/>
        </w:tabs>
        <w:spacing w:after="120"/>
        <w:ind w:left="1100"/>
      </w:pPr>
      <w:r w:rsidRPr="00B04DC3">
        <w:t>2.</w:t>
      </w:r>
      <w:r w:rsidRPr="00B04DC3">
        <w:tab/>
        <w:t>Essential characteristics of the engine family (see Appendix 2).</w:t>
      </w:r>
    </w:p>
    <w:p w:rsidR="00C0100D" w:rsidRPr="00B04DC3" w:rsidRDefault="00C0100D" w:rsidP="00AA0E48">
      <w:pPr>
        <w:tabs>
          <w:tab w:val="left" w:pos="1701"/>
          <w:tab w:val="left" w:pos="2200"/>
          <w:tab w:val="left" w:leader="dot" w:pos="8505"/>
        </w:tabs>
        <w:spacing w:after="120"/>
        <w:ind w:left="1100"/>
      </w:pPr>
      <w:r w:rsidRPr="00B04DC3">
        <w:t>3.</w:t>
      </w:r>
      <w:r w:rsidRPr="00B04DC3">
        <w:tab/>
        <w:t>Essential characteristics of the engine types within the family (see Appendix 3).</w:t>
      </w:r>
    </w:p>
    <w:p w:rsidR="00C0100D" w:rsidRPr="00B04DC3" w:rsidRDefault="00C0100D" w:rsidP="00AA0E48">
      <w:pPr>
        <w:tabs>
          <w:tab w:val="left" w:pos="1701"/>
          <w:tab w:val="left" w:pos="2200"/>
          <w:tab w:val="left" w:leader="dot" w:pos="8505"/>
        </w:tabs>
        <w:spacing w:after="120"/>
        <w:ind w:left="1100"/>
      </w:pPr>
      <w:r w:rsidRPr="00B04DC3">
        <w:t>4.</w:t>
      </w:r>
      <w:r w:rsidRPr="00B04DC3">
        <w:tab/>
        <w:t>Characteristics of the engine-related vehicle parts, if applicable (see Appendix 4).</w:t>
      </w:r>
    </w:p>
    <w:p w:rsidR="008F1CF4" w:rsidRPr="00B04DC3" w:rsidRDefault="00C0100D" w:rsidP="00AA0E48">
      <w:pPr>
        <w:tabs>
          <w:tab w:val="left" w:pos="1701"/>
          <w:tab w:val="left" w:pos="2200"/>
          <w:tab w:val="left" w:leader="dot" w:pos="8505"/>
        </w:tabs>
        <w:spacing w:after="120"/>
        <w:ind w:left="1700" w:hanging="600"/>
      </w:pPr>
      <w:r w:rsidRPr="00B04DC3">
        <w:t>5.</w:t>
      </w:r>
      <w:r w:rsidRPr="00B04DC3">
        <w:tab/>
      </w:r>
      <w:r w:rsidR="008F1CF4" w:rsidRPr="00B04DC3">
        <w:t>OBD-related information, if applicable</w:t>
      </w:r>
    </w:p>
    <w:p w:rsidR="00C0100D" w:rsidRPr="00B04DC3" w:rsidRDefault="008F1CF4" w:rsidP="00AA0E48">
      <w:pPr>
        <w:tabs>
          <w:tab w:val="left" w:pos="1701"/>
          <w:tab w:val="left" w:pos="2200"/>
          <w:tab w:val="left" w:leader="dot" w:pos="8505"/>
        </w:tabs>
        <w:spacing w:after="120"/>
        <w:ind w:left="1700" w:hanging="600"/>
      </w:pPr>
      <w:r w:rsidRPr="00B04DC3">
        <w:t>6.</w:t>
      </w:r>
      <w:r w:rsidRPr="00B04DC3">
        <w:tab/>
      </w:r>
      <w:r w:rsidR="00C0100D" w:rsidRPr="00B04DC3">
        <w:t>Photographs and/or drawings of the parent engine type and, if applicable, of the engine compartment.</w:t>
      </w:r>
    </w:p>
    <w:p w:rsidR="00C0100D" w:rsidRPr="00B04DC3" w:rsidRDefault="008F1CF4" w:rsidP="00AA0E48">
      <w:pPr>
        <w:tabs>
          <w:tab w:val="left" w:pos="1701"/>
          <w:tab w:val="left" w:pos="2200"/>
          <w:tab w:val="left" w:leader="dot" w:pos="8505"/>
        </w:tabs>
        <w:spacing w:after="120"/>
        <w:ind w:left="1100"/>
      </w:pPr>
      <w:r w:rsidRPr="00B04DC3">
        <w:t>7</w:t>
      </w:r>
      <w:r w:rsidR="00C0100D" w:rsidRPr="00B04DC3">
        <w:t>.</w:t>
      </w:r>
      <w:r w:rsidR="00C0100D" w:rsidRPr="00B04DC3">
        <w:tab/>
        <w:t>List further attachments, if any.</w:t>
      </w:r>
    </w:p>
    <w:p w:rsidR="00C0100D" w:rsidRPr="00B04DC3" w:rsidRDefault="00C0100D" w:rsidP="008F1CF4">
      <w:pPr>
        <w:tabs>
          <w:tab w:val="left" w:pos="1701"/>
          <w:tab w:val="left" w:pos="2200"/>
          <w:tab w:val="left" w:leader="dot" w:pos="8505"/>
        </w:tabs>
        <w:spacing w:after="200"/>
        <w:ind w:left="1100"/>
        <w:rPr>
          <w:u w:val="single"/>
        </w:rPr>
      </w:pPr>
      <w:r w:rsidRPr="00B04DC3">
        <w:tab/>
        <w:t>Date and place</w:t>
      </w:r>
      <w:r w:rsidR="00A77835">
        <w:t>:</w:t>
      </w:r>
      <w:r w:rsidR="00A77835">
        <w:tab/>
      </w:r>
    </w:p>
    <w:p w:rsidR="00C0100D" w:rsidRPr="00B04DC3" w:rsidRDefault="00C0100D" w:rsidP="00C0100D">
      <w:pPr>
        <w:jc w:val="center"/>
        <w:rPr>
          <w:u w:val="single"/>
        </w:rPr>
        <w:sectPr w:rsidR="00C0100D" w:rsidRPr="00B04DC3" w:rsidSect="002A4563">
          <w:headerReference w:type="even" r:id="rId71"/>
          <w:headerReference w:type="default" r:id="rId72"/>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0B5A13" w:rsidP="000B5A13">
      <w:pPr>
        <w:pStyle w:val="HChG"/>
      </w:pPr>
      <w:bookmarkStart w:id="129" w:name="_Toc423599488"/>
      <w:bookmarkStart w:id="130" w:name="_Toc423610896"/>
      <w:r w:rsidRPr="00B04DC3">
        <w:t>Annex 1</w:t>
      </w:r>
      <w:r w:rsidR="00546652">
        <w:t xml:space="preserve"> - </w:t>
      </w:r>
      <w:r w:rsidR="00C0100D" w:rsidRPr="00B04DC3">
        <w:t>Appendix 1</w:t>
      </w:r>
      <w:bookmarkEnd w:id="129"/>
      <w:bookmarkEnd w:id="130"/>
    </w:p>
    <w:p w:rsidR="00C0100D" w:rsidRPr="00B04DC3" w:rsidRDefault="000B5A13" w:rsidP="000B5A13">
      <w:pPr>
        <w:pStyle w:val="HChG"/>
        <w:rPr>
          <w:bCs/>
        </w:rPr>
      </w:pPr>
      <w:r w:rsidRPr="00B04DC3">
        <w:tab/>
      </w:r>
      <w:r w:rsidRPr="00B04DC3">
        <w:tab/>
      </w:r>
      <w:bookmarkStart w:id="131" w:name="_Toc423599489"/>
      <w:bookmarkStart w:id="132" w:name="_Toc423610897"/>
      <w:r w:rsidRPr="00B04DC3">
        <w:t>Essential characteristics of the (parent) engine and information concerning the conduct of test</w:t>
      </w:r>
      <w:r w:rsidR="00C0100D" w:rsidRPr="000A78EB">
        <w:rPr>
          <w:vertAlign w:val="superscript"/>
        </w:rPr>
        <w:footnoteReference w:id="10"/>
      </w:r>
      <w:bookmarkEnd w:id="131"/>
      <w:bookmarkEnd w:id="132"/>
    </w:p>
    <w:p w:rsidR="00C0100D" w:rsidRPr="00B04DC3" w:rsidRDefault="00C0100D" w:rsidP="000B5A13">
      <w:pPr>
        <w:pStyle w:val="para"/>
        <w:tabs>
          <w:tab w:val="left" w:pos="1134"/>
          <w:tab w:val="left" w:pos="2268"/>
          <w:tab w:val="right" w:leader="dot" w:pos="8505"/>
        </w:tabs>
        <w:rPr>
          <w:lang w:val="en-GB"/>
        </w:rPr>
      </w:pPr>
      <w:r w:rsidRPr="00B04DC3">
        <w:rPr>
          <w:lang w:val="en-GB"/>
        </w:rPr>
        <w:t>1.</w:t>
      </w:r>
      <w:r w:rsidRPr="00B04DC3">
        <w:rPr>
          <w:lang w:val="en-GB"/>
        </w:rPr>
        <w:tab/>
        <w:t>Description of engine</w:t>
      </w:r>
    </w:p>
    <w:p w:rsidR="00C0100D" w:rsidRPr="00B04DC3" w:rsidRDefault="00C0100D" w:rsidP="000B5A13">
      <w:pPr>
        <w:pStyle w:val="para"/>
        <w:tabs>
          <w:tab w:val="left" w:pos="1134"/>
          <w:tab w:val="left" w:pos="2268"/>
          <w:tab w:val="right" w:leader="dot" w:pos="8505"/>
        </w:tabs>
        <w:rPr>
          <w:lang w:val="en-GB"/>
        </w:rPr>
      </w:pPr>
      <w:r w:rsidRPr="00B04DC3">
        <w:rPr>
          <w:lang w:val="en-GB"/>
        </w:rPr>
        <w:t>1.1.</w:t>
      </w:r>
      <w:r w:rsidRPr="00B04DC3">
        <w:rPr>
          <w:lang w:val="en-GB"/>
        </w:rPr>
        <w:tab/>
        <w:t>Manufacturer:.</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1.2.</w:t>
      </w:r>
      <w:r w:rsidRPr="00B04DC3">
        <w:rPr>
          <w:lang w:val="en-GB"/>
        </w:rPr>
        <w:tab/>
        <w:t>Manufacturer's engine code:</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1.3.</w:t>
      </w:r>
      <w:r w:rsidRPr="00B04DC3">
        <w:rPr>
          <w:lang w:val="en-GB"/>
        </w:rPr>
        <w:tab/>
      </w:r>
      <w:r w:rsidR="00222296" w:rsidRPr="00B04DC3">
        <w:rPr>
          <w:lang w:val="en-GB"/>
        </w:rPr>
        <w:t>Cycle: four stroke / two stroke</w:t>
      </w:r>
      <w:r w:rsidRPr="00B04DC3">
        <w:rPr>
          <w:vertAlign w:val="superscript"/>
          <w:lang w:val="en-GB"/>
        </w:rPr>
        <w:footnoteReference w:id="11"/>
      </w:r>
    </w:p>
    <w:p w:rsidR="00C0100D" w:rsidRPr="00B04DC3" w:rsidRDefault="00C0100D" w:rsidP="000B5A13">
      <w:pPr>
        <w:pStyle w:val="para"/>
        <w:tabs>
          <w:tab w:val="left" w:pos="1134"/>
          <w:tab w:val="left" w:pos="2268"/>
          <w:tab w:val="right" w:leader="dot" w:pos="8505"/>
        </w:tabs>
        <w:rPr>
          <w:lang w:val="en-GB"/>
        </w:rPr>
      </w:pPr>
      <w:r w:rsidRPr="00B04DC3">
        <w:rPr>
          <w:lang w:val="en-GB"/>
        </w:rPr>
        <w:t>1.4.</w:t>
      </w:r>
      <w:r w:rsidRPr="00B04DC3">
        <w:rPr>
          <w:lang w:val="en-GB"/>
        </w:rPr>
        <w:tab/>
        <w:t>Number and arrangement of cylinders:</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1.4.1.</w:t>
      </w:r>
      <w:r w:rsidRPr="00B04DC3">
        <w:rPr>
          <w:lang w:val="en-GB"/>
        </w:rPr>
        <w:tab/>
        <w:t>Bore:</w:t>
      </w:r>
      <w:r w:rsidRPr="00B04DC3">
        <w:rPr>
          <w:lang w:val="en-GB"/>
        </w:rPr>
        <w:tab/>
        <w:t>mm</w:t>
      </w:r>
    </w:p>
    <w:p w:rsidR="00C0100D" w:rsidRPr="00B04DC3" w:rsidRDefault="00C0100D" w:rsidP="000B5A13">
      <w:pPr>
        <w:pStyle w:val="para"/>
        <w:tabs>
          <w:tab w:val="left" w:pos="1134"/>
          <w:tab w:val="left" w:pos="2268"/>
          <w:tab w:val="right" w:leader="dot" w:pos="8505"/>
        </w:tabs>
        <w:rPr>
          <w:lang w:val="en-GB"/>
        </w:rPr>
      </w:pPr>
      <w:r w:rsidRPr="00B04DC3">
        <w:rPr>
          <w:lang w:val="en-GB"/>
        </w:rPr>
        <w:t>1.4.2.</w:t>
      </w:r>
      <w:r w:rsidRPr="00B04DC3">
        <w:rPr>
          <w:lang w:val="en-GB"/>
        </w:rPr>
        <w:tab/>
        <w:t>Stroke:</w:t>
      </w:r>
      <w:r w:rsidRPr="00B04DC3">
        <w:rPr>
          <w:lang w:val="en-GB"/>
        </w:rPr>
        <w:tab/>
        <w:t>mm</w:t>
      </w:r>
    </w:p>
    <w:p w:rsidR="00C0100D" w:rsidRPr="00B04DC3" w:rsidRDefault="00C0100D" w:rsidP="000B5A13">
      <w:pPr>
        <w:pStyle w:val="para"/>
        <w:tabs>
          <w:tab w:val="left" w:pos="1134"/>
          <w:tab w:val="left" w:pos="2268"/>
          <w:tab w:val="right" w:leader="dot" w:pos="8505"/>
        </w:tabs>
        <w:rPr>
          <w:lang w:val="en-GB"/>
        </w:rPr>
      </w:pPr>
      <w:r w:rsidRPr="00B04DC3">
        <w:rPr>
          <w:lang w:val="en-GB"/>
        </w:rPr>
        <w:t>1.4.3.</w:t>
      </w:r>
      <w:r w:rsidRPr="00B04DC3">
        <w:rPr>
          <w:lang w:val="en-GB"/>
        </w:rPr>
        <w:tab/>
        <w:t>Firing order:</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1.5.</w:t>
      </w:r>
      <w:r w:rsidRPr="00B04DC3">
        <w:rPr>
          <w:lang w:val="en-GB"/>
        </w:rPr>
        <w:tab/>
        <w:t>Engine capacity:</w:t>
      </w:r>
      <w:r w:rsidRPr="00B04DC3">
        <w:rPr>
          <w:lang w:val="en-GB"/>
        </w:rPr>
        <w:tab/>
        <w:t>cm³</w:t>
      </w:r>
    </w:p>
    <w:p w:rsidR="00C0100D" w:rsidRPr="00B04DC3" w:rsidRDefault="00C0100D" w:rsidP="000B5A13">
      <w:pPr>
        <w:pStyle w:val="para"/>
        <w:tabs>
          <w:tab w:val="left" w:pos="1134"/>
          <w:tab w:val="left" w:pos="2268"/>
          <w:tab w:val="right" w:leader="dot" w:pos="8505"/>
        </w:tabs>
        <w:rPr>
          <w:lang w:val="en-GB"/>
        </w:rPr>
      </w:pPr>
      <w:r w:rsidRPr="00B04DC3">
        <w:rPr>
          <w:lang w:val="en-GB"/>
        </w:rPr>
        <w:t>1.</w:t>
      </w:r>
      <w:r w:rsidR="00222296" w:rsidRPr="00B04DC3">
        <w:rPr>
          <w:lang w:val="en-GB"/>
        </w:rPr>
        <w:t>6.</w:t>
      </w:r>
      <w:r w:rsidR="00222296" w:rsidRPr="00B04DC3">
        <w:rPr>
          <w:lang w:val="en-GB"/>
        </w:rPr>
        <w:tab/>
        <w:t>Volumetric compression ration</w:t>
      </w:r>
      <w:r w:rsidR="000A78EB">
        <w:rPr>
          <w:lang w:val="en-GB"/>
        </w:rPr>
        <w:t>:</w:t>
      </w:r>
      <w:r w:rsidRPr="00B04DC3">
        <w:rPr>
          <w:vertAlign w:val="superscript"/>
          <w:lang w:val="en-GB"/>
        </w:rPr>
        <w:footnoteReference w:id="12"/>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1.7.</w:t>
      </w:r>
      <w:r w:rsidRPr="00B04DC3">
        <w:rPr>
          <w:lang w:val="en-GB"/>
        </w:rPr>
        <w:tab/>
        <w:t>Drawing(s) of combustion chamber and piston crown:</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1.8.</w:t>
      </w:r>
      <w:r w:rsidRPr="00B04DC3">
        <w:rPr>
          <w:lang w:val="en-GB"/>
        </w:rPr>
        <w:tab/>
        <w:t>Minimum cross-sectional area of inlet and outlet ports:</w:t>
      </w:r>
      <w:r w:rsidRPr="00B04DC3">
        <w:rPr>
          <w:lang w:val="en-GB"/>
        </w:rPr>
        <w:tab/>
        <w:t>cm²</w:t>
      </w:r>
    </w:p>
    <w:p w:rsidR="00C0100D" w:rsidRPr="00B04DC3" w:rsidRDefault="00C0100D" w:rsidP="000B5A13">
      <w:pPr>
        <w:pStyle w:val="para"/>
        <w:tabs>
          <w:tab w:val="left" w:pos="1134"/>
          <w:tab w:val="left" w:pos="2268"/>
          <w:tab w:val="right" w:leader="dot" w:pos="8505"/>
        </w:tabs>
        <w:rPr>
          <w:lang w:val="en-GB"/>
        </w:rPr>
      </w:pPr>
      <w:r w:rsidRPr="00B04DC3">
        <w:rPr>
          <w:lang w:val="en-GB"/>
        </w:rPr>
        <w:t>1.9.</w:t>
      </w:r>
      <w:r w:rsidRPr="00B04DC3">
        <w:rPr>
          <w:lang w:val="en-GB"/>
        </w:rPr>
        <w:tab/>
        <w:t>Idling speed:</w:t>
      </w:r>
      <w:r w:rsidRPr="00B04DC3">
        <w:rPr>
          <w:lang w:val="en-GB"/>
        </w:rPr>
        <w:tab/>
        <w:t>min</w:t>
      </w:r>
      <w:r w:rsidRPr="00B04DC3">
        <w:rPr>
          <w:vertAlign w:val="superscript"/>
          <w:lang w:val="en-GB"/>
        </w:rPr>
        <w:t>-1</w:t>
      </w:r>
    </w:p>
    <w:p w:rsidR="00C0100D" w:rsidRPr="00B04DC3" w:rsidRDefault="00C0100D" w:rsidP="00222296">
      <w:pPr>
        <w:pStyle w:val="para"/>
        <w:tabs>
          <w:tab w:val="left" w:pos="1134"/>
          <w:tab w:val="left" w:pos="2268"/>
          <w:tab w:val="right" w:leader="dot" w:pos="8505"/>
        </w:tabs>
        <w:rPr>
          <w:lang w:val="en-GB"/>
        </w:rPr>
      </w:pPr>
      <w:r w:rsidRPr="00B04DC3">
        <w:rPr>
          <w:lang w:val="en-GB"/>
        </w:rPr>
        <w:t>1.10.</w:t>
      </w:r>
      <w:r w:rsidRPr="00B04DC3">
        <w:rPr>
          <w:lang w:val="en-GB"/>
        </w:rPr>
        <w:tab/>
        <w:t>Maximum net power</w:t>
      </w:r>
      <w:r w:rsidR="00222296" w:rsidRPr="00B04DC3">
        <w:rPr>
          <w:lang w:val="en-GB"/>
        </w:rPr>
        <w:t>:..................... kW at</w:t>
      </w:r>
      <w:r w:rsidR="00222296" w:rsidRPr="00B04DC3">
        <w:rPr>
          <w:lang w:val="en-GB"/>
        </w:rPr>
        <w:tab/>
      </w:r>
      <w:r w:rsidRPr="00B04DC3">
        <w:rPr>
          <w:lang w:val="en-GB"/>
        </w:rPr>
        <w:t>min</w:t>
      </w:r>
      <w:r w:rsidRPr="00B04DC3">
        <w:rPr>
          <w:vertAlign w:val="superscript"/>
          <w:lang w:val="en-GB"/>
        </w:rPr>
        <w:t>-1</w:t>
      </w:r>
    </w:p>
    <w:p w:rsidR="00C0100D" w:rsidRPr="00B04DC3" w:rsidRDefault="00C0100D" w:rsidP="000B5A13">
      <w:pPr>
        <w:pStyle w:val="para"/>
        <w:tabs>
          <w:tab w:val="left" w:pos="1134"/>
          <w:tab w:val="left" w:pos="2268"/>
          <w:tab w:val="right" w:leader="dot" w:pos="8505"/>
        </w:tabs>
        <w:rPr>
          <w:lang w:val="en-GB"/>
        </w:rPr>
      </w:pPr>
      <w:r w:rsidRPr="00B04DC3">
        <w:rPr>
          <w:lang w:val="en-GB"/>
        </w:rPr>
        <w:t>1.11.</w:t>
      </w:r>
      <w:r w:rsidRPr="00B04DC3">
        <w:rPr>
          <w:lang w:val="en-GB"/>
        </w:rPr>
        <w:tab/>
        <w:t>Maximum permitted engine speed:</w:t>
      </w:r>
      <w:r w:rsidRPr="00B04DC3">
        <w:rPr>
          <w:lang w:val="en-GB"/>
        </w:rPr>
        <w:tab/>
        <w:t>min</w:t>
      </w:r>
      <w:r w:rsidRPr="00B04DC3">
        <w:rPr>
          <w:vertAlign w:val="superscript"/>
          <w:lang w:val="en-GB"/>
        </w:rPr>
        <w:t>-1</w:t>
      </w:r>
    </w:p>
    <w:p w:rsidR="00C0100D" w:rsidRPr="00B04DC3" w:rsidRDefault="00C0100D" w:rsidP="000B5A13">
      <w:pPr>
        <w:pStyle w:val="para"/>
        <w:tabs>
          <w:tab w:val="left" w:pos="1134"/>
          <w:tab w:val="left" w:pos="2268"/>
          <w:tab w:val="right" w:leader="dot" w:pos="8505"/>
        </w:tabs>
        <w:rPr>
          <w:lang w:val="en-GB"/>
        </w:rPr>
      </w:pPr>
      <w:r w:rsidRPr="00B04DC3">
        <w:rPr>
          <w:lang w:val="en-GB"/>
        </w:rPr>
        <w:t>1.12.</w:t>
      </w:r>
      <w:r w:rsidRPr="00B04DC3">
        <w:rPr>
          <w:lang w:val="en-GB"/>
        </w:rPr>
        <w:tab/>
        <w:t>Maximum net torque:</w:t>
      </w:r>
      <w:r w:rsidR="00222296" w:rsidRPr="00B04DC3">
        <w:rPr>
          <w:lang w:val="en-GB"/>
        </w:rPr>
        <w:t xml:space="preserve">..................... </w:t>
      </w:r>
      <w:r w:rsidRPr="00B04DC3">
        <w:rPr>
          <w:lang w:val="en-GB"/>
        </w:rPr>
        <w:t>Nm at</w:t>
      </w:r>
      <w:r w:rsidRPr="00B04DC3">
        <w:rPr>
          <w:lang w:val="en-GB"/>
        </w:rPr>
        <w:tab/>
        <w:t>min</w:t>
      </w:r>
      <w:r w:rsidRPr="00B04DC3">
        <w:rPr>
          <w:vertAlign w:val="superscript"/>
          <w:lang w:val="en-GB"/>
        </w:rPr>
        <w:t>-1</w:t>
      </w:r>
    </w:p>
    <w:p w:rsidR="00E02D60" w:rsidRPr="00B04DC3" w:rsidRDefault="00E02D60" w:rsidP="000B5A13">
      <w:pPr>
        <w:pStyle w:val="para"/>
        <w:tabs>
          <w:tab w:val="left" w:pos="1134"/>
          <w:tab w:val="left" w:pos="2268"/>
          <w:tab w:val="right" w:leader="dot" w:pos="8505"/>
        </w:tabs>
        <w:rPr>
          <w:szCs w:val="19"/>
          <w:vertAlign w:val="superscript"/>
          <w:lang w:val="en-GB"/>
        </w:rPr>
      </w:pPr>
      <w:r w:rsidRPr="00B04DC3">
        <w:rPr>
          <w:szCs w:val="19"/>
          <w:lang w:val="en-GB"/>
        </w:rPr>
        <w:t>1.13.</w:t>
      </w:r>
      <w:r w:rsidRPr="00B04DC3">
        <w:rPr>
          <w:szCs w:val="19"/>
          <w:lang w:val="en-GB"/>
        </w:rPr>
        <w:tab/>
        <w:t>Combustion system: compression ignition/positive ignition/dual fuel</w:t>
      </w:r>
      <w:r w:rsidRPr="00B04DC3">
        <w:rPr>
          <w:szCs w:val="19"/>
          <w:vertAlign w:val="superscript"/>
          <w:lang w:val="en-GB"/>
        </w:rPr>
        <w:t>2</w:t>
      </w:r>
    </w:p>
    <w:p w:rsidR="00FB7ED6" w:rsidRPr="00B04DC3" w:rsidRDefault="00FB7ED6" w:rsidP="00FB7ED6">
      <w:pPr>
        <w:tabs>
          <w:tab w:val="left" w:pos="1134"/>
          <w:tab w:val="left" w:pos="2268"/>
          <w:tab w:val="right" w:leader="dot" w:pos="8505"/>
        </w:tabs>
        <w:spacing w:after="120"/>
        <w:ind w:left="2268" w:right="1134" w:hanging="1134"/>
        <w:jc w:val="both"/>
        <w:rPr>
          <w:vertAlign w:val="superscript"/>
        </w:rPr>
      </w:pPr>
      <w:r w:rsidRPr="00B04DC3">
        <w:t>1.13.1.</w:t>
      </w:r>
      <w:r w:rsidRPr="00B04DC3">
        <w:tab/>
        <w:t>Type of dual-fuel engine: Type 1A/Type 1B/Type 2B/Type 3B</w:t>
      </w:r>
      <w:r w:rsidRPr="00B04DC3">
        <w:rPr>
          <w:vertAlign w:val="superscript"/>
        </w:rPr>
        <w:t>2,</w:t>
      </w:r>
      <w:r w:rsidRPr="00B04DC3">
        <w:rPr>
          <w:rStyle w:val="FootnoteReference"/>
        </w:rPr>
        <w:footnoteReference w:id="13"/>
      </w:r>
    </w:p>
    <w:p w:rsidR="00FB7ED6" w:rsidRPr="00B04DC3" w:rsidRDefault="00FB7ED6" w:rsidP="00FB7ED6">
      <w:pPr>
        <w:tabs>
          <w:tab w:val="left" w:pos="1134"/>
          <w:tab w:val="left" w:pos="2268"/>
          <w:tab w:val="right" w:leader="dot" w:pos="8505"/>
        </w:tabs>
        <w:spacing w:after="120"/>
        <w:ind w:left="2268" w:right="1134" w:hanging="1134"/>
        <w:jc w:val="both"/>
        <w:rPr>
          <w:vertAlign w:val="superscript"/>
        </w:rPr>
      </w:pPr>
      <w:r w:rsidRPr="00B04DC3">
        <w:t>1.13.2.</w:t>
      </w:r>
      <w:r w:rsidRPr="00B04DC3">
        <w:tab/>
        <w:t xml:space="preserve">Gas Energy Ratio over the ETC test-cycle: </w:t>
      </w:r>
      <w:r w:rsidRPr="00B04DC3">
        <w:tab/>
        <w:t>%</w:t>
      </w:r>
      <w:r w:rsidRPr="00B04DC3">
        <w:rPr>
          <w:vertAlign w:val="superscript"/>
        </w:rPr>
        <w:t>4</w:t>
      </w:r>
    </w:p>
    <w:p w:rsidR="00FB7ED6" w:rsidRPr="00B04DC3" w:rsidRDefault="00FB7ED6" w:rsidP="00FB7ED6">
      <w:pPr>
        <w:tabs>
          <w:tab w:val="left" w:pos="1134"/>
          <w:tab w:val="left" w:pos="2268"/>
          <w:tab w:val="right" w:leader="dot" w:pos="8505"/>
        </w:tabs>
        <w:spacing w:after="120"/>
        <w:ind w:left="2268" w:right="1134" w:hanging="1134"/>
        <w:jc w:val="both"/>
        <w:rPr>
          <w:vertAlign w:val="superscript"/>
        </w:rPr>
      </w:pPr>
      <w:r w:rsidRPr="00B04DC3">
        <w:t>1.13.3.</w:t>
      </w:r>
      <w:r w:rsidRPr="00B04DC3">
        <w:tab/>
        <w:t>Idle on diesel: yes/no</w:t>
      </w:r>
      <w:r w:rsidRPr="00B04DC3">
        <w:rPr>
          <w:vertAlign w:val="superscript"/>
        </w:rPr>
        <w:t>2,4</w:t>
      </w:r>
    </w:p>
    <w:p w:rsidR="00FB7ED6" w:rsidRPr="00B04DC3" w:rsidRDefault="00FB7ED6" w:rsidP="00FB7ED6">
      <w:pPr>
        <w:keepNext/>
        <w:tabs>
          <w:tab w:val="left" w:pos="1134"/>
          <w:tab w:val="left" w:pos="2268"/>
          <w:tab w:val="right" w:leader="dot" w:pos="8505"/>
        </w:tabs>
        <w:spacing w:after="120"/>
        <w:ind w:left="2268" w:right="1134" w:hanging="1134"/>
        <w:jc w:val="both"/>
        <w:rPr>
          <w:vertAlign w:val="superscript"/>
          <w:lang w:eastAsia="x-none"/>
        </w:rPr>
      </w:pPr>
      <w:r w:rsidRPr="00B04DC3">
        <w:t>1.13.4.</w:t>
      </w:r>
      <w:r w:rsidRPr="00B04DC3">
        <w:tab/>
      </w:r>
      <w:r w:rsidRPr="00B04DC3">
        <w:rPr>
          <w:lang w:eastAsia="x-none"/>
        </w:rPr>
        <w:t>When appropriate, manufacturer reference of the documentation for installing the dual-fuel engine in a vehicle</w:t>
      </w:r>
      <w:r w:rsidRPr="00B04DC3">
        <w:rPr>
          <w:vertAlign w:val="superscript"/>
          <w:lang w:eastAsia="x-none"/>
        </w:rPr>
        <w:t>4</w:t>
      </w:r>
    </w:p>
    <w:p w:rsidR="00FB7ED6" w:rsidRPr="00B04DC3" w:rsidRDefault="00FB7ED6" w:rsidP="000B5A13">
      <w:pPr>
        <w:pStyle w:val="para"/>
        <w:tabs>
          <w:tab w:val="left" w:pos="1134"/>
          <w:tab w:val="left" w:pos="2268"/>
          <w:tab w:val="right" w:leader="dot" w:pos="8505"/>
        </w:tabs>
        <w:rPr>
          <w:vertAlign w:val="superscript"/>
          <w:lang w:val="en-GB"/>
        </w:rPr>
      </w:pPr>
      <w:r w:rsidRPr="00B04DC3">
        <w:rPr>
          <w:lang w:val="en-GB"/>
        </w:rPr>
        <w:t>1.14.</w:t>
      </w:r>
      <w:r w:rsidRPr="00B04DC3">
        <w:rPr>
          <w:lang w:val="en-GB"/>
        </w:rPr>
        <w:tab/>
        <w:t>Fuel: Diesel/LPG/NG-H/NG-L/NG-HL/ethanol/</w:t>
      </w:r>
      <w:r w:rsidRPr="00B04DC3">
        <w:rPr>
          <w:noProof/>
          <w:lang w:val="en-GB"/>
        </w:rPr>
        <w:t>LNG/LNG</w:t>
      </w:r>
      <w:r w:rsidRPr="00B04DC3">
        <w:rPr>
          <w:noProof/>
          <w:vertAlign w:val="subscript"/>
          <w:lang w:val="en-GB"/>
        </w:rPr>
        <w:t xml:space="preserve">20 </w:t>
      </w:r>
      <w:r w:rsidRPr="00B04DC3">
        <w:rPr>
          <w:vertAlign w:val="superscript"/>
          <w:lang w:val="en-GB"/>
        </w:rPr>
        <w:t>2,</w:t>
      </w:r>
      <w:r w:rsidRPr="00B04DC3">
        <w:rPr>
          <w:rStyle w:val="FootnoteReference"/>
          <w:lang w:val="en-GB"/>
        </w:rPr>
        <w:footnoteReference w:id="14"/>
      </w:r>
    </w:p>
    <w:p w:rsidR="00C0100D" w:rsidRPr="00B04DC3" w:rsidRDefault="00C0100D" w:rsidP="00AA0E48">
      <w:pPr>
        <w:pStyle w:val="para"/>
        <w:keepNext/>
        <w:keepLines/>
        <w:tabs>
          <w:tab w:val="left" w:pos="1134"/>
          <w:tab w:val="left" w:pos="2268"/>
          <w:tab w:val="right" w:leader="dot" w:pos="8505"/>
        </w:tabs>
        <w:rPr>
          <w:lang w:val="en-GB"/>
        </w:rPr>
      </w:pPr>
      <w:r w:rsidRPr="00B04DC3">
        <w:rPr>
          <w:lang w:val="en-GB"/>
        </w:rPr>
        <w:t>1.15.</w:t>
      </w:r>
      <w:r w:rsidRPr="00B04DC3">
        <w:rPr>
          <w:lang w:val="en-GB"/>
        </w:rPr>
        <w:tab/>
        <w:t>Cooling system</w:t>
      </w:r>
    </w:p>
    <w:p w:rsidR="00C0100D" w:rsidRPr="00B04DC3" w:rsidRDefault="00C0100D" w:rsidP="00AA0E48">
      <w:pPr>
        <w:pStyle w:val="para"/>
        <w:keepNext/>
        <w:keepLines/>
        <w:tabs>
          <w:tab w:val="left" w:pos="1134"/>
          <w:tab w:val="left" w:pos="2268"/>
          <w:tab w:val="right" w:leader="dot" w:pos="8505"/>
        </w:tabs>
        <w:rPr>
          <w:lang w:val="en-GB"/>
        </w:rPr>
      </w:pPr>
      <w:r w:rsidRPr="00B04DC3">
        <w:rPr>
          <w:lang w:val="en-GB"/>
        </w:rPr>
        <w:t>1.15.1.</w:t>
      </w:r>
      <w:r w:rsidRPr="00B04DC3">
        <w:rPr>
          <w:lang w:val="en-GB"/>
        </w:rPr>
        <w:tab/>
        <w:t>Liquid</w:t>
      </w:r>
    </w:p>
    <w:p w:rsidR="00C0100D" w:rsidRPr="00B04DC3" w:rsidRDefault="00C0100D" w:rsidP="000B5A13">
      <w:pPr>
        <w:pStyle w:val="para"/>
        <w:tabs>
          <w:tab w:val="left" w:pos="1134"/>
          <w:tab w:val="left" w:pos="2268"/>
          <w:tab w:val="right" w:leader="dot" w:pos="8505"/>
        </w:tabs>
        <w:rPr>
          <w:lang w:val="en-GB"/>
        </w:rPr>
      </w:pPr>
      <w:r w:rsidRPr="00B04DC3">
        <w:rPr>
          <w:lang w:val="en-GB"/>
        </w:rPr>
        <w:t>1.15.1.1.</w:t>
      </w:r>
      <w:r w:rsidRPr="00B04DC3">
        <w:rPr>
          <w:lang w:val="en-GB"/>
        </w:rPr>
        <w:tab/>
        <w:t>Nature of liquid:</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1.15.1.2.</w:t>
      </w:r>
      <w:r w:rsidRPr="00B04DC3">
        <w:rPr>
          <w:lang w:val="en-GB"/>
        </w:rPr>
        <w:tab/>
        <w:t>Circulating pump(s): yes/no</w:t>
      </w:r>
      <w:r w:rsidR="00222296" w:rsidRPr="00B04DC3">
        <w:rPr>
          <w:vertAlign w:val="superscript"/>
          <w:lang w:val="en-GB"/>
        </w:rPr>
        <w:t>2</w:t>
      </w:r>
    </w:p>
    <w:p w:rsidR="00C0100D" w:rsidRPr="00B04DC3" w:rsidRDefault="00C0100D" w:rsidP="000B5A13">
      <w:pPr>
        <w:pStyle w:val="para"/>
        <w:tabs>
          <w:tab w:val="left" w:pos="1134"/>
          <w:tab w:val="left" w:pos="2268"/>
          <w:tab w:val="right" w:leader="dot" w:pos="8505"/>
        </w:tabs>
        <w:rPr>
          <w:lang w:val="en-GB"/>
        </w:rPr>
      </w:pPr>
      <w:r w:rsidRPr="00B04DC3">
        <w:rPr>
          <w:lang w:val="en-GB"/>
        </w:rPr>
        <w:t>1.15.1.3.</w:t>
      </w:r>
      <w:r w:rsidRPr="00B04DC3">
        <w:rPr>
          <w:lang w:val="en-GB"/>
        </w:rPr>
        <w:tab/>
        <w:t>Characteristics or make(s) and type(s) (if applicable):</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1.15.1.4.</w:t>
      </w:r>
      <w:r w:rsidRPr="00B04DC3">
        <w:rPr>
          <w:lang w:val="en-GB"/>
        </w:rPr>
        <w:tab/>
        <w:t>Drive ratio(s) (if applicable):</w:t>
      </w:r>
      <w:r w:rsidRPr="00B04DC3">
        <w:rPr>
          <w:lang w:val="en-GB"/>
        </w:rPr>
        <w:tab/>
      </w:r>
    </w:p>
    <w:p w:rsidR="00C0100D" w:rsidRPr="00B04DC3" w:rsidRDefault="00C0100D" w:rsidP="000B5A13">
      <w:pPr>
        <w:pStyle w:val="para"/>
        <w:tabs>
          <w:tab w:val="left" w:pos="1134"/>
          <w:tab w:val="left" w:pos="2268"/>
          <w:tab w:val="right" w:leader="dot" w:pos="8505"/>
        </w:tabs>
        <w:rPr>
          <w:lang w:val="en-GB"/>
        </w:rPr>
      </w:pPr>
      <w:r w:rsidRPr="00B04DC3">
        <w:rPr>
          <w:lang w:val="en-GB"/>
        </w:rPr>
        <w:t>1.15.2.</w:t>
      </w:r>
      <w:r w:rsidRPr="00B04DC3">
        <w:rPr>
          <w:lang w:val="en-GB"/>
        </w:rPr>
        <w:tab/>
        <w:t>Air</w:t>
      </w:r>
    </w:p>
    <w:p w:rsidR="00C0100D" w:rsidRPr="00B04DC3" w:rsidRDefault="002C50EA" w:rsidP="000B5A13">
      <w:pPr>
        <w:pStyle w:val="para"/>
        <w:tabs>
          <w:tab w:val="left" w:leader="dot" w:pos="8505"/>
        </w:tabs>
        <w:rPr>
          <w:lang w:val="en-GB"/>
        </w:rPr>
      </w:pPr>
      <w:r w:rsidRPr="00B04DC3">
        <w:rPr>
          <w:lang w:val="en-GB"/>
        </w:rPr>
        <w:t>1.15.2.1.</w:t>
      </w:r>
      <w:r w:rsidRPr="00B04DC3">
        <w:rPr>
          <w:lang w:val="en-GB"/>
        </w:rPr>
        <w:tab/>
        <w:t>Blower: yes/no</w:t>
      </w:r>
      <w:r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1.15.2.2.</w:t>
      </w:r>
      <w:r w:rsidRPr="00B04DC3">
        <w:rPr>
          <w:lang w:val="en-GB"/>
        </w:rPr>
        <w:tab/>
        <w:t>Characteristics or make(s) and type(s) (if applicable):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1.15.2.3.</w:t>
      </w:r>
      <w:r w:rsidRPr="00B04DC3">
        <w:rPr>
          <w:lang w:val="en-GB"/>
        </w:rPr>
        <w:tab/>
        <w:t>Drive ratio(s) (if applicable):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1.16.</w:t>
      </w:r>
      <w:r w:rsidRPr="00B04DC3">
        <w:rPr>
          <w:lang w:val="en-GB"/>
        </w:rPr>
        <w:tab/>
        <w:t>Temperature permitted by the manufacturer</w:t>
      </w:r>
    </w:p>
    <w:p w:rsidR="00C0100D" w:rsidRPr="00B04DC3" w:rsidRDefault="00C0100D" w:rsidP="00196776">
      <w:pPr>
        <w:pStyle w:val="para"/>
        <w:tabs>
          <w:tab w:val="left" w:pos="1134"/>
          <w:tab w:val="left" w:pos="2268"/>
          <w:tab w:val="right" w:leader="dot" w:pos="8505"/>
        </w:tabs>
        <w:rPr>
          <w:lang w:val="en-GB"/>
        </w:rPr>
      </w:pPr>
      <w:r w:rsidRPr="00B04DC3">
        <w:rPr>
          <w:lang w:val="en-GB"/>
        </w:rPr>
        <w:t>1.16.1.</w:t>
      </w:r>
      <w:r w:rsidRPr="00B04DC3">
        <w:rPr>
          <w:lang w:val="en-GB"/>
        </w:rPr>
        <w:tab/>
        <w:t>Liquid cooling: Maximum temperature at outlet:</w:t>
      </w:r>
      <w:r w:rsidRPr="00B04DC3">
        <w:rPr>
          <w:lang w:val="en-GB"/>
        </w:rPr>
        <w:tab/>
        <w:t>K</w:t>
      </w:r>
    </w:p>
    <w:p w:rsidR="00C0100D" w:rsidRPr="00B04DC3" w:rsidRDefault="00C0100D" w:rsidP="008F1CF4">
      <w:pPr>
        <w:pStyle w:val="para"/>
        <w:tabs>
          <w:tab w:val="left" w:pos="1134"/>
          <w:tab w:val="left" w:pos="2268"/>
          <w:tab w:val="right" w:leader="dot" w:pos="8505"/>
        </w:tabs>
        <w:spacing w:after="0"/>
        <w:rPr>
          <w:lang w:val="en-GB"/>
        </w:rPr>
      </w:pPr>
      <w:r w:rsidRPr="00B04DC3">
        <w:rPr>
          <w:lang w:val="en-GB"/>
        </w:rPr>
        <w:t>1.16.2.</w:t>
      </w:r>
      <w:r w:rsidRPr="00B04DC3">
        <w:rPr>
          <w:lang w:val="en-GB"/>
        </w:rPr>
        <w:tab/>
        <w:t>Air cooling: reference point:</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ab/>
        <w:t>Maximum temperature at reference point:</w:t>
      </w:r>
      <w:r w:rsidRPr="00B04DC3">
        <w:rPr>
          <w:lang w:val="en-GB"/>
        </w:rPr>
        <w:tab/>
        <w:t>K</w:t>
      </w:r>
    </w:p>
    <w:p w:rsidR="00C0100D" w:rsidRPr="00B04DC3" w:rsidRDefault="00C0100D" w:rsidP="00196776">
      <w:pPr>
        <w:pStyle w:val="para"/>
        <w:tabs>
          <w:tab w:val="left" w:pos="1134"/>
          <w:tab w:val="left" w:pos="2268"/>
          <w:tab w:val="right" w:leader="dot" w:pos="8505"/>
        </w:tabs>
        <w:rPr>
          <w:lang w:val="en-GB"/>
        </w:rPr>
      </w:pPr>
      <w:r w:rsidRPr="00B04DC3">
        <w:rPr>
          <w:lang w:val="en-GB"/>
        </w:rPr>
        <w:t>1.16.3.</w:t>
      </w:r>
      <w:r w:rsidRPr="00B04DC3">
        <w:rPr>
          <w:lang w:val="en-GB"/>
        </w:rPr>
        <w:tab/>
        <w:t>Maximum temperature of the air at the outlet of the intake intercooler (if applicable):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1.16.4.</w:t>
      </w:r>
      <w:r w:rsidRPr="00B04DC3">
        <w:rPr>
          <w:lang w:val="en-GB"/>
        </w:rPr>
        <w:tab/>
        <w:t xml:space="preserve">Maximum exhaust temperature at the point in the exhaust pipe(s) adjacent to the outer flange(s) of the exhaust manifold(s) or turbocharger(s): </w:t>
      </w:r>
      <w:r w:rsidRPr="00B04DC3">
        <w:rPr>
          <w:lang w:val="en-GB"/>
        </w:rPr>
        <w:br/>
      </w:r>
      <w:r w:rsidRPr="00B04DC3">
        <w:rPr>
          <w:lang w:val="en-GB"/>
        </w:rPr>
        <w:tab/>
        <w:t>K</w:t>
      </w:r>
    </w:p>
    <w:p w:rsidR="00C0100D" w:rsidRPr="00B04DC3" w:rsidRDefault="00C0100D" w:rsidP="00196776">
      <w:pPr>
        <w:pStyle w:val="para"/>
        <w:tabs>
          <w:tab w:val="left" w:pos="1134"/>
          <w:tab w:val="left" w:pos="2268"/>
          <w:tab w:val="right" w:leader="dot" w:pos="8505"/>
        </w:tabs>
        <w:rPr>
          <w:lang w:val="en-GB"/>
        </w:rPr>
      </w:pPr>
      <w:r w:rsidRPr="00B04DC3">
        <w:rPr>
          <w:lang w:val="en-GB"/>
        </w:rPr>
        <w:t>1.16.5.</w:t>
      </w:r>
      <w:r w:rsidRPr="00B04DC3">
        <w:rPr>
          <w:lang w:val="en-GB"/>
        </w:rPr>
        <w:tab/>
        <w:t>Fuel temperature: min</w:t>
      </w:r>
      <w:r w:rsidR="00196776" w:rsidRPr="00B04DC3">
        <w:rPr>
          <w:lang w:val="en-GB"/>
        </w:rPr>
        <w:t>………………….</w:t>
      </w:r>
      <w:r w:rsidRPr="00B04DC3">
        <w:rPr>
          <w:lang w:val="en-GB"/>
        </w:rPr>
        <w:t>K, max.</w:t>
      </w:r>
      <w:r w:rsidRPr="00B04DC3">
        <w:rPr>
          <w:lang w:val="en-GB"/>
        </w:rPr>
        <w:tab/>
        <w:t>K</w:t>
      </w:r>
      <w:r w:rsidR="00196776" w:rsidRPr="00B04DC3">
        <w:rPr>
          <w:lang w:val="en-GB"/>
        </w:rPr>
        <w:br/>
      </w:r>
      <w:r w:rsidRPr="00B04DC3">
        <w:rPr>
          <w:lang w:val="en-GB"/>
        </w:rPr>
        <w:t xml:space="preserve">for diesel engines at injection pump inlet, for gas fuelled engines at pressure </w:t>
      </w:r>
      <w:r w:rsidR="00196776" w:rsidRPr="00B04DC3">
        <w:rPr>
          <w:lang w:val="en-GB"/>
        </w:rPr>
        <w:br/>
      </w:r>
      <w:r w:rsidRPr="00B04DC3">
        <w:rPr>
          <w:lang w:val="en-GB"/>
        </w:rPr>
        <w:t>regulator final stage</w:t>
      </w:r>
    </w:p>
    <w:p w:rsidR="00C0100D" w:rsidRPr="00B04DC3" w:rsidRDefault="00C0100D" w:rsidP="00196776">
      <w:pPr>
        <w:pStyle w:val="para"/>
        <w:tabs>
          <w:tab w:val="left" w:pos="1134"/>
          <w:tab w:val="left" w:pos="2268"/>
          <w:tab w:val="right" w:leader="dot" w:pos="8505"/>
        </w:tabs>
        <w:rPr>
          <w:lang w:val="en-GB"/>
        </w:rPr>
      </w:pPr>
      <w:r w:rsidRPr="00B04DC3">
        <w:rPr>
          <w:lang w:val="en-GB"/>
        </w:rPr>
        <w:t>1.16.6.</w:t>
      </w:r>
      <w:r w:rsidRPr="00B04DC3">
        <w:rPr>
          <w:lang w:val="en-GB"/>
        </w:rPr>
        <w:tab/>
        <w:t>Fuel pressure: min.</w:t>
      </w:r>
      <w:r w:rsidR="00196776" w:rsidRPr="00B04DC3">
        <w:rPr>
          <w:lang w:val="en-GB"/>
        </w:rPr>
        <w:t xml:space="preserve"> ………………….</w:t>
      </w:r>
      <w:r w:rsidRPr="00B04DC3">
        <w:rPr>
          <w:lang w:val="en-GB"/>
        </w:rPr>
        <w:t>kPa, max.</w:t>
      </w:r>
      <w:r w:rsidRPr="00B04DC3">
        <w:rPr>
          <w:lang w:val="en-GB"/>
        </w:rPr>
        <w:tab/>
        <w:t>kPa</w:t>
      </w:r>
      <w:r w:rsidR="00196776" w:rsidRPr="00B04DC3">
        <w:rPr>
          <w:lang w:val="en-GB"/>
        </w:rPr>
        <w:br/>
      </w:r>
      <w:r w:rsidRPr="00B04DC3">
        <w:rPr>
          <w:lang w:val="en-GB"/>
        </w:rPr>
        <w:t>at pressure regulator final stage, NG fuelled gas engines only</w:t>
      </w:r>
    </w:p>
    <w:p w:rsidR="00C0100D" w:rsidRPr="00B04DC3" w:rsidRDefault="00C0100D" w:rsidP="00196776">
      <w:pPr>
        <w:pStyle w:val="para"/>
        <w:tabs>
          <w:tab w:val="left" w:pos="1134"/>
          <w:tab w:val="left" w:pos="2268"/>
          <w:tab w:val="right" w:leader="dot" w:pos="8505"/>
        </w:tabs>
        <w:rPr>
          <w:lang w:val="en-GB"/>
        </w:rPr>
      </w:pPr>
      <w:r w:rsidRPr="00B04DC3">
        <w:rPr>
          <w:lang w:val="en-GB"/>
        </w:rPr>
        <w:t>1.16.7.</w:t>
      </w:r>
      <w:r w:rsidRPr="00B04DC3">
        <w:rPr>
          <w:lang w:val="en-GB"/>
        </w:rPr>
        <w:tab/>
        <w:t>Lubricant temperature: min.</w:t>
      </w:r>
      <w:r w:rsidR="00196776" w:rsidRPr="00B04DC3">
        <w:rPr>
          <w:lang w:val="en-GB"/>
        </w:rPr>
        <w:t xml:space="preserve"> ………………….</w:t>
      </w:r>
      <w:r w:rsidRPr="00B04DC3">
        <w:rPr>
          <w:lang w:val="en-GB"/>
        </w:rPr>
        <w:t>K, max.</w:t>
      </w:r>
      <w:r w:rsidRPr="00B04DC3">
        <w:rPr>
          <w:lang w:val="en-GB"/>
        </w:rPr>
        <w:tab/>
        <w:t>K</w:t>
      </w:r>
    </w:p>
    <w:p w:rsidR="00C0100D" w:rsidRPr="00B04DC3" w:rsidRDefault="00196776" w:rsidP="00196776">
      <w:pPr>
        <w:pStyle w:val="para"/>
        <w:tabs>
          <w:tab w:val="left" w:pos="1134"/>
          <w:tab w:val="left" w:pos="2268"/>
          <w:tab w:val="right" w:leader="dot" w:pos="8505"/>
        </w:tabs>
        <w:rPr>
          <w:lang w:val="en-GB"/>
        </w:rPr>
      </w:pPr>
      <w:r w:rsidRPr="00B04DC3">
        <w:rPr>
          <w:lang w:val="en-GB"/>
        </w:rPr>
        <w:t>1.17.</w:t>
      </w:r>
      <w:r w:rsidRPr="00B04DC3">
        <w:rPr>
          <w:lang w:val="en-GB"/>
        </w:rPr>
        <w:tab/>
        <w:t>Pressure charger: yes/no</w:t>
      </w:r>
      <w:r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1.17.1.</w:t>
      </w:r>
      <w:r w:rsidRPr="00B04DC3">
        <w:rPr>
          <w:lang w:val="en-GB"/>
        </w:rPr>
        <w:tab/>
        <w:t>Make: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1.17.2.</w:t>
      </w:r>
      <w:r w:rsidRPr="00B04DC3">
        <w:rPr>
          <w:lang w:val="en-GB"/>
        </w:rPr>
        <w:tab/>
        <w:t>Type: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1.17.3.</w:t>
      </w:r>
      <w:r w:rsidRPr="00B04DC3">
        <w:rPr>
          <w:lang w:val="en-GB"/>
        </w:rPr>
        <w:tab/>
        <w:t>Description of the system (e.g. max. charge pressure, waste gate, if applicable):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1.17.4.</w:t>
      </w:r>
      <w:r w:rsidRPr="00B04DC3">
        <w:rPr>
          <w:lang w:val="en-GB"/>
        </w:rPr>
        <w:tab/>
        <w:t>Intercooler: yes/no</w:t>
      </w:r>
      <w:r w:rsidR="00196776"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1.18.</w:t>
      </w:r>
      <w:r w:rsidRPr="00B04DC3">
        <w:rPr>
          <w:lang w:val="en-GB"/>
        </w:rPr>
        <w:tab/>
        <w:t>Intake system</w:t>
      </w:r>
    </w:p>
    <w:p w:rsidR="00C0100D" w:rsidRPr="00B04DC3" w:rsidRDefault="00C0100D" w:rsidP="00196776">
      <w:pPr>
        <w:pStyle w:val="para"/>
        <w:tabs>
          <w:tab w:val="left" w:pos="1134"/>
          <w:tab w:val="left" w:pos="2268"/>
          <w:tab w:val="right" w:leader="dot" w:pos="8505"/>
        </w:tabs>
        <w:rPr>
          <w:lang w:val="en-GB"/>
        </w:rPr>
      </w:pPr>
      <w:r w:rsidRPr="00B04DC3">
        <w:rPr>
          <w:lang w:val="en-GB"/>
        </w:rPr>
        <w:tab/>
        <w:t>Maximum allowable intake depression at rated engine speed and at 100 per cent load as specified in and under the operating conditions of Regulation No. 24, 03 series of amendments:</w:t>
      </w:r>
      <w:r w:rsidRPr="00B04DC3">
        <w:rPr>
          <w:lang w:val="en-GB"/>
        </w:rPr>
        <w:tab/>
        <w:t>kPa</w:t>
      </w:r>
    </w:p>
    <w:p w:rsidR="00C0100D" w:rsidRPr="00B04DC3" w:rsidRDefault="00C0100D" w:rsidP="00196776">
      <w:pPr>
        <w:pStyle w:val="para"/>
        <w:tabs>
          <w:tab w:val="left" w:pos="1134"/>
          <w:tab w:val="left" w:pos="2268"/>
          <w:tab w:val="right" w:leader="dot" w:pos="8505"/>
        </w:tabs>
        <w:rPr>
          <w:lang w:val="en-GB"/>
        </w:rPr>
      </w:pPr>
      <w:r w:rsidRPr="00B04DC3">
        <w:rPr>
          <w:lang w:val="en-GB"/>
        </w:rPr>
        <w:t>1.19.</w:t>
      </w:r>
      <w:r w:rsidRPr="00B04DC3">
        <w:rPr>
          <w:lang w:val="en-GB"/>
        </w:rPr>
        <w:tab/>
        <w:t xml:space="preserve">Exhaust system </w:t>
      </w:r>
    </w:p>
    <w:p w:rsidR="00C0100D" w:rsidRPr="00B04DC3" w:rsidRDefault="00C0100D" w:rsidP="00196776">
      <w:pPr>
        <w:pStyle w:val="para"/>
        <w:tabs>
          <w:tab w:val="left" w:pos="1134"/>
          <w:tab w:val="left" w:pos="2268"/>
          <w:tab w:val="right" w:leader="dot" w:pos="8505"/>
        </w:tabs>
        <w:rPr>
          <w:lang w:val="en-GB"/>
        </w:rPr>
      </w:pPr>
      <w:r w:rsidRPr="00B04DC3">
        <w:rPr>
          <w:lang w:val="en-GB"/>
        </w:rPr>
        <w:tab/>
        <w:t>Maximum allowable exhaust back pressure at rated engine speed and at 100 per cent load as specified in and under the operating conditions of Regulation No. 24, 03 series of amendments.</w:t>
      </w:r>
      <w:r w:rsidRPr="00B04DC3">
        <w:rPr>
          <w:lang w:val="en-GB"/>
        </w:rPr>
        <w:tab/>
        <w:t>kPa</w:t>
      </w:r>
    </w:p>
    <w:p w:rsidR="00C0100D" w:rsidRPr="00B04DC3" w:rsidRDefault="00C0100D" w:rsidP="00196776">
      <w:pPr>
        <w:pStyle w:val="para"/>
        <w:tabs>
          <w:tab w:val="left" w:pos="1134"/>
          <w:tab w:val="left" w:pos="2268"/>
          <w:tab w:val="right" w:leader="dot" w:pos="8505"/>
        </w:tabs>
        <w:rPr>
          <w:lang w:val="en-GB"/>
        </w:rPr>
      </w:pPr>
      <w:r w:rsidRPr="00B04DC3">
        <w:rPr>
          <w:lang w:val="en-GB"/>
        </w:rPr>
        <w:tab/>
        <w:t>Exhaust system volume:</w:t>
      </w:r>
      <w:r w:rsidRPr="00B04DC3">
        <w:rPr>
          <w:lang w:val="en-GB"/>
        </w:rPr>
        <w:tab/>
        <w:t>dm³</w:t>
      </w:r>
    </w:p>
    <w:p w:rsidR="00C0100D" w:rsidRPr="00B04DC3" w:rsidRDefault="00C0100D" w:rsidP="00196776">
      <w:pPr>
        <w:pStyle w:val="para"/>
        <w:tabs>
          <w:tab w:val="left" w:pos="1134"/>
          <w:tab w:val="left" w:pos="2268"/>
          <w:tab w:val="right" w:leader="dot" w:pos="8505"/>
        </w:tabs>
        <w:rPr>
          <w:lang w:val="en-GB"/>
        </w:rPr>
      </w:pPr>
      <w:r w:rsidRPr="00B04DC3">
        <w:rPr>
          <w:lang w:val="en-GB"/>
        </w:rPr>
        <w:t>1.20.</w:t>
      </w:r>
      <w:r w:rsidRPr="00B04DC3">
        <w:rPr>
          <w:lang w:val="en-GB"/>
        </w:rPr>
        <w:tab/>
        <w:t>Engine Electronic Control Unit (EECU) (all engine types):</w:t>
      </w:r>
    </w:p>
    <w:p w:rsidR="00C0100D" w:rsidRPr="00B04DC3" w:rsidRDefault="00C0100D" w:rsidP="00196776">
      <w:pPr>
        <w:pStyle w:val="para"/>
        <w:tabs>
          <w:tab w:val="left" w:pos="1134"/>
          <w:tab w:val="left" w:pos="2268"/>
          <w:tab w:val="right" w:leader="dot" w:pos="8505"/>
        </w:tabs>
        <w:rPr>
          <w:lang w:val="en-GB"/>
        </w:rPr>
      </w:pPr>
      <w:r w:rsidRPr="00B04DC3">
        <w:rPr>
          <w:lang w:val="en-GB"/>
        </w:rPr>
        <w:t>1.20.1.</w:t>
      </w:r>
      <w:r w:rsidRPr="00B04DC3">
        <w:rPr>
          <w:lang w:val="en-GB"/>
        </w:rPr>
        <w:tab/>
        <w:t>Make: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1.20.2.</w:t>
      </w:r>
      <w:r w:rsidRPr="00B04DC3">
        <w:rPr>
          <w:lang w:val="en-GB"/>
        </w:rPr>
        <w:tab/>
        <w:t>Type: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1.20.3.</w:t>
      </w:r>
      <w:r w:rsidRPr="00B04DC3">
        <w:rPr>
          <w:lang w:val="en-GB"/>
        </w:rPr>
        <w:tab/>
        <w:t>Software calibration number(s):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w:t>
      </w:r>
      <w:r w:rsidRPr="00B04DC3">
        <w:rPr>
          <w:lang w:val="en-GB"/>
        </w:rPr>
        <w:tab/>
        <w:t>Measures taken against air pollution</w:t>
      </w:r>
    </w:p>
    <w:p w:rsidR="00C0100D" w:rsidRPr="00B04DC3" w:rsidRDefault="00C0100D" w:rsidP="00196776">
      <w:pPr>
        <w:pStyle w:val="para"/>
        <w:tabs>
          <w:tab w:val="left" w:pos="1134"/>
          <w:tab w:val="left" w:pos="2268"/>
          <w:tab w:val="right" w:leader="dot" w:pos="8505"/>
        </w:tabs>
        <w:rPr>
          <w:lang w:val="en-GB"/>
        </w:rPr>
      </w:pPr>
      <w:r w:rsidRPr="00B04DC3">
        <w:rPr>
          <w:lang w:val="en-GB"/>
        </w:rPr>
        <w:t>2.1.</w:t>
      </w:r>
      <w:r w:rsidRPr="00B04DC3">
        <w:rPr>
          <w:lang w:val="en-GB"/>
        </w:rPr>
        <w:tab/>
        <w:t>Device for recycling crankcase gases (description and drawings):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w:t>
      </w:r>
      <w:r w:rsidRPr="00B04DC3">
        <w:rPr>
          <w:lang w:val="en-GB"/>
        </w:rPr>
        <w:tab/>
        <w:t>Additional anti-pollution devices</w:t>
      </w:r>
      <w:r w:rsidR="00F729CA" w:rsidRPr="00B04DC3">
        <w:rPr>
          <w:lang w:val="en-GB"/>
        </w:rPr>
        <w:t xml:space="preserve"> </w:t>
      </w:r>
      <w:r w:rsidRPr="00B04DC3">
        <w:rPr>
          <w:lang w:val="en-GB"/>
        </w:rPr>
        <w:t>(if any, and if not covered by another heading)</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w:t>
      </w:r>
      <w:r w:rsidRPr="00B04DC3">
        <w:rPr>
          <w:lang w:val="en-GB"/>
        </w:rPr>
        <w:tab/>
        <w:t>Catalytic converter: yes/no</w:t>
      </w:r>
      <w:r w:rsidR="00F729CA"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2.2.1.1.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2.2.1.3.</w:t>
      </w:r>
      <w:r w:rsidRPr="00B04DC3">
        <w:rPr>
          <w:lang w:val="en-GB"/>
        </w:rPr>
        <w:tab/>
        <w:t>Number of catalytic converters and elements: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2.2.1.4.</w:t>
      </w:r>
      <w:r w:rsidRPr="00B04DC3">
        <w:rPr>
          <w:lang w:val="en-GB"/>
        </w:rPr>
        <w:tab/>
        <w:t>Dimensions, shape and volume of the catalytic converter(s):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2.2.1.5.</w:t>
      </w:r>
      <w:r w:rsidRPr="00B04DC3">
        <w:rPr>
          <w:lang w:val="en-GB"/>
        </w:rPr>
        <w:tab/>
        <w:t>Type of catalytic action: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2.2.1.6.</w:t>
      </w:r>
      <w:r w:rsidRPr="00B04DC3">
        <w:rPr>
          <w:lang w:val="en-GB"/>
        </w:rPr>
        <w:tab/>
        <w:t>Total charge of precious metals: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2.2.1.7.</w:t>
      </w:r>
      <w:r w:rsidRPr="00B04DC3">
        <w:rPr>
          <w:lang w:val="en-GB"/>
        </w:rPr>
        <w:tab/>
        <w:t>Relative concentration: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2.2.1.8.</w:t>
      </w:r>
      <w:r w:rsidRPr="00B04DC3">
        <w:rPr>
          <w:lang w:val="en-GB"/>
        </w:rPr>
        <w:tab/>
        <w:t>Substrate (structure and material):</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2.2.1.9.</w:t>
      </w:r>
      <w:r w:rsidRPr="00B04DC3">
        <w:rPr>
          <w:lang w:val="en-GB"/>
        </w:rPr>
        <w:tab/>
        <w:t>Cell density:</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2.2.1.10.</w:t>
      </w:r>
      <w:r w:rsidRPr="00B04DC3">
        <w:rPr>
          <w:lang w:val="en-GB"/>
        </w:rPr>
        <w:tab/>
        <w:t>Type of casing for the catalytic converter(s):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2.2.1.11.</w:t>
      </w:r>
      <w:r w:rsidRPr="00B04DC3">
        <w:rPr>
          <w:lang w:val="en-GB"/>
        </w:rPr>
        <w:tab/>
        <w:t>Location of the catalytic converter(s) (place and reference distance in the exhaust line):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2.2.1.12.</w:t>
      </w:r>
      <w:r w:rsidRPr="00B04DC3">
        <w:rPr>
          <w:lang w:val="en-GB"/>
        </w:rPr>
        <w:tab/>
        <w:t>Normal operating temperature range (K):</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2.2.1.13.</w:t>
      </w:r>
      <w:r w:rsidRPr="00B04DC3">
        <w:rPr>
          <w:lang w:val="en-GB"/>
        </w:rPr>
        <w:tab/>
        <w:t>Consumable reagents (where appropriate):</w:t>
      </w:r>
    </w:p>
    <w:p w:rsidR="00C0100D" w:rsidRPr="00B04DC3" w:rsidRDefault="00C0100D" w:rsidP="00196776">
      <w:pPr>
        <w:pStyle w:val="para"/>
        <w:tabs>
          <w:tab w:val="left" w:pos="1134"/>
          <w:tab w:val="left" w:pos="2268"/>
          <w:tab w:val="right" w:leader="dot" w:pos="8505"/>
        </w:tabs>
        <w:rPr>
          <w:lang w:val="en-GB"/>
        </w:rPr>
      </w:pPr>
      <w:r w:rsidRPr="00B04DC3">
        <w:rPr>
          <w:lang w:val="en-GB"/>
        </w:rPr>
        <w:t>2.2.1.13.1.</w:t>
      </w:r>
      <w:r w:rsidRPr="00B04DC3">
        <w:rPr>
          <w:lang w:val="en-GB"/>
        </w:rPr>
        <w:tab/>
        <w:t>Type and concentration of reagent needed for catalytic action: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2.2.1.13.2.</w:t>
      </w:r>
      <w:r w:rsidRPr="00B04DC3">
        <w:rPr>
          <w:lang w:val="en-GB"/>
        </w:rPr>
        <w:tab/>
        <w:t>Normal operational temperature range of reagent:</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2.2.1.13.3.</w:t>
      </w:r>
      <w:r w:rsidRPr="00B04DC3">
        <w:rPr>
          <w:lang w:val="en-GB"/>
        </w:rPr>
        <w:tab/>
        <w:t>International standard (where appropriate):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2.2.1.13.4.</w:t>
      </w:r>
      <w:r w:rsidRPr="00B04DC3">
        <w:rPr>
          <w:lang w:val="en-GB"/>
        </w:rPr>
        <w:tab/>
        <w:t>Frequency of reagent refill: continuous/maintenance</w:t>
      </w:r>
      <w:r w:rsidR="00F729CA" w:rsidRPr="00B04DC3">
        <w:rPr>
          <w:vertAlign w:val="superscript"/>
          <w:lang w:val="en-GB"/>
        </w:rPr>
        <w:t>2</w:t>
      </w:r>
    </w:p>
    <w:p w:rsidR="00C0100D" w:rsidRPr="00B04DC3" w:rsidRDefault="00F729CA" w:rsidP="00196776">
      <w:pPr>
        <w:pStyle w:val="para"/>
        <w:tabs>
          <w:tab w:val="left" w:pos="1134"/>
          <w:tab w:val="left" w:pos="2268"/>
          <w:tab w:val="right" w:leader="dot" w:pos="8505"/>
        </w:tabs>
        <w:rPr>
          <w:lang w:val="en-GB"/>
        </w:rPr>
      </w:pPr>
      <w:r w:rsidRPr="00B04DC3">
        <w:rPr>
          <w:lang w:val="en-GB"/>
        </w:rPr>
        <w:t>2.2.2.</w:t>
      </w:r>
      <w:r w:rsidRPr="00B04DC3">
        <w:rPr>
          <w:lang w:val="en-GB"/>
        </w:rPr>
        <w:tab/>
        <w:t>Oxygen sensor: yes/no</w:t>
      </w:r>
      <w:r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2.2.2.1.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2.2.2.2.</w:t>
      </w:r>
      <w:r w:rsidRPr="00B04DC3">
        <w:rPr>
          <w:lang w:val="en-GB"/>
        </w:rPr>
        <w:tab/>
        <w:t>Type: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2.2.2.3.</w:t>
      </w:r>
      <w:r w:rsidRPr="00B04DC3">
        <w:rPr>
          <w:lang w:val="en-GB"/>
        </w:rPr>
        <w:tab/>
        <w:t>Location: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2.2.3.</w:t>
      </w:r>
      <w:r w:rsidRPr="00B04DC3">
        <w:rPr>
          <w:lang w:val="en-GB"/>
        </w:rPr>
        <w:tab/>
        <w:t>Air injection: yes/no</w:t>
      </w:r>
      <w:r w:rsidR="00F729CA"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2.2.3.1.</w:t>
      </w:r>
      <w:r w:rsidRPr="00B04DC3">
        <w:rPr>
          <w:lang w:val="en-GB"/>
        </w:rPr>
        <w:tab/>
        <w:t>Type (pulse air, air pump, etc.):</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2.2.4.</w:t>
      </w:r>
      <w:r w:rsidRPr="00B04DC3">
        <w:rPr>
          <w:lang w:val="en-GB"/>
        </w:rPr>
        <w:tab/>
        <w:t>EGR: yes/no</w:t>
      </w:r>
      <w:r w:rsidR="00F729CA"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2.2.4.1.</w:t>
      </w:r>
      <w:r w:rsidRPr="00B04DC3">
        <w:rPr>
          <w:lang w:val="en-GB"/>
        </w:rPr>
        <w:tab/>
        <w:t>Characteristics (make, type, flow etc):</w:t>
      </w:r>
      <w:r w:rsidRPr="00B04DC3">
        <w:rPr>
          <w:lang w:val="en-GB"/>
        </w:rPr>
        <w:tab/>
      </w:r>
    </w:p>
    <w:p w:rsidR="00C0100D" w:rsidRPr="00B04DC3" w:rsidRDefault="00C0100D" w:rsidP="00AA0E48">
      <w:pPr>
        <w:pStyle w:val="para"/>
        <w:keepNext/>
        <w:keepLines/>
        <w:tabs>
          <w:tab w:val="left" w:pos="1134"/>
          <w:tab w:val="left" w:pos="2268"/>
          <w:tab w:val="right" w:leader="dot" w:pos="8505"/>
        </w:tabs>
        <w:rPr>
          <w:lang w:val="en-GB"/>
        </w:rPr>
      </w:pPr>
      <w:r w:rsidRPr="00B04DC3">
        <w:rPr>
          <w:lang w:val="en-GB"/>
        </w:rPr>
        <w:t>2.2.5.</w:t>
      </w:r>
      <w:r w:rsidRPr="00B04DC3">
        <w:rPr>
          <w:lang w:val="en-GB"/>
        </w:rPr>
        <w:tab/>
        <w:t>Particulate trap: yes/no</w:t>
      </w:r>
      <w:r w:rsidR="00F729CA"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2.2.5.1.</w:t>
      </w:r>
      <w:r w:rsidRPr="00B04DC3">
        <w:rPr>
          <w:lang w:val="en-GB"/>
        </w:rPr>
        <w:tab/>
        <w:t>Dimensions, shape and capacity of the particulate trap:</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2.2.5.2.</w:t>
      </w:r>
      <w:r w:rsidRPr="00B04DC3">
        <w:rPr>
          <w:lang w:val="en-GB"/>
        </w:rPr>
        <w:tab/>
        <w:t>Type and design of the particulate trap:</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2.2.5.3.</w:t>
      </w:r>
      <w:r w:rsidRPr="00B04DC3">
        <w:rPr>
          <w:lang w:val="en-GB"/>
        </w:rPr>
        <w:tab/>
        <w:t>Location (reference distance in the exhaust line):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2.2.5.4.</w:t>
      </w:r>
      <w:r w:rsidRPr="00B04DC3">
        <w:rPr>
          <w:lang w:val="en-GB"/>
        </w:rPr>
        <w:tab/>
        <w:t>Method or system of regeneration, description and/or drawing:</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2.2.5.5.</w:t>
      </w:r>
      <w:r w:rsidRPr="00B04DC3">
        <w:rPr>
          <w:lang w:val="en-GB"/>
        </w:rPr>
        <w:tab/>
        <w:t>Normal operating temperature (K) and pressure (kPa) range: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2.2.5.6.</w:t>
      </w:r>
      <w:r w:rsidRPr="00B04DC3">
        <w:rPr>
          <w:lang w:val="en-GB"/>
        </w:rPr>
        <w:tab/>
        <w:t>In case of periodic regeneration:</w:t>
      </w:r>
    </w:p>
    <w:p w:rsidR="00C0100D" w:rsidRPr="00B04DC3" w:rsidRDefault="00C0100D" w:rsidP="00196776">
      <w:pPr>
        <w:pStyle w:val="para"/>
        <w:tabs>
          <w:tab w:val="left" w:pos="1134"/>
          <w:tab w:val="left" w:pos="2268"/>
          <w:tab w:val="right" w:leader="dot" w:pos="8505"/>
        </w:tabs>
        <w:rPr>
          <w:lang w:val="en-GB"/>
        </w:rPr>
      </w:pPr>
      <w:r w:rsidRPr="00B04DC3">
        <w:rPr>
          <w:lang w:val="en-GB"/>
        </w:rPr>
        <w:tab/>
        <w:t xml:space="preserve">(a) Number of ETC test cycles between 2 regenerations (n1): </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ab/>
        <w:t xml:space="preserve">(b) Number of ETC test cycles during regeneration (n2): </w:t>
      </w:r>
      <w:r w:rsidRPr="00B04DC3">
        <w:rPr>
          <w:lang w:val="en-GB"/>
        </w:rPr>
        <w:tab/>
      </w:r>
    </w:p>
    <w:p w:rsidR="00C0100D" w:rsidRPr="00B04DC3" w:rsidRDefault="00F729CA" w:rsidP="00196776">
      <w:pPr>
        <w:pStyle w:val="para"/>
        <w:tabs>
          <w:tab w:val="left" w:pos="1134"/>
          <w:tab w:val="left" w:pos="2268"/>
          <w:tab w:val="right" w:leader="dot" w:pos="8505"/>
        </w:tabs>
        <w:rPr>
          <w:lang w:val="en-GB"/>
        </w:rPr>
      </w:pPr>
      <w:r w:rsidRPr="00B04DC3">
        <w:rPr>
          <w:lang w:val="en-GB"/>
        </w:rPr>
        <w:t>2.2.6.</w:t>
      </w:r>
      <w:r w:rsidRPr="00B04DC3">
        <w:rPr>
          <w:lang w:val="en-GB"/>
        </w:rPr>
        <w:tab/>
        <w:t>Other systems: yes/no</w:t>
      </w:r>
      <w:r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2.2.6.1.</w:t>
      </w:r>
      <w:r w:rsidRPr="00B04DC3">
        <w:rPr>
          <w:lang w:val="en-GB"/>
        </w:rPr>
        <w:tab/>
        <w:t>Description and operation: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w:t>
      </w:r>
      <w:r w:rsidRPr="00B04DC3">
        <w:rPr>
          <w:lang w:val="en-GB"/>
        </w:rPr>
        <w:tab/>
        <w:t>Fuel feed</w:t>
      </w:r>
    </w:p>
    <w:p w:rsidR="009B6E08" w:rsidRPr="00B04DC3" w:rsidRDefault="009B6E08" w:rsidP="00196776">
      <w:pPr>
        <w:pStyle w:val="para"/>
        <w:tabs>
          <w:tab w:val="left" w:pos="1134"/>
          <w:tab w:val="left" w:pos="2268"/>
          <w:tab w:val="right" w:leader="dot" w:pos="8505"/>
        </w:tabs>
        <w:rPr>
          <w:lang w:val="en-GB"/>
        </w:rPr>
      </w:pPr>
      <w:r w:rsidRPr="00B04DC3">
        <w:rPr>
          <w:lang w:val="en-GB"/>
        </w:rPr>
        <w:t>3.1.</w:t>
      </w:r>
      <w:r w:rsidRPr="00B04DC3">
        <w:rPr>
          <w:lang w:val="en-GB"/>
        </w:rPr>
        <w:tab/>
        <w:t>Diesel engines, including dual-fuel engines</w:t>
      </w:r>
      <w:r w:rsidRPr="00B04DC3" w:rsidDel="009B6E08">
        <w:rPr>
          <w:lang w:val="en-GB"/>
        </w:rPr>
        <w:t xml:space="preserve"> </w:t>
      </w:r>
    </w:p>
    <w:p w:rsidR="00C0100D" w:rsidRPr="00B04DC3" w:rsidRDefault="00C0100D" w:rsidP="00196776">
      <w:pPr>
        <w:pStyle w:val="para"/>
        <w:tabs>
          <w:tab w:val="left" w:pos="1134"/>
          <w:tab w:val="left" w:pos="2268"/>
          <w:tab w:val="right" w:leader="dot" w:pos="8505"/>
        </w:tabs>
        <w:rPr>
          <w:lang w:val="en-GB"/>
        </w:rPr>
      </w:pPr>
      <w:r w:rsidRPr="00B04DC3">
        <w:rPr>
          <w:lang w:val="en-GB"/>
        </w:rPr>
        <w:t>3.1.1.</w:t>
      </w:r>
      <w:r w:rsidRPr="00B04DC3">
        <w:rPr>
          <w:lang w:val="en-GB"/>
        </w:rPr>
        <w:tab/>
        <w:t>Feed pump</w:t>
      </w:r>
    </w:p>
    <w:p w:rsidR="00C0100D" w:rsidRPr="00B04DC3" w:rsidRDefault="00F729CA" w:rsidP="00196776">
      <w:pPr>
        <w:pStyle w:val="para"/>
        <w:tabs>
          <w:tab w:val="left" w:pos="1134"/>
          <w:tab w:val="left" w:pos="2268"/>
          <w:tab w:val="right" w:leader="dot" w:pos="8505"/>
        </w:tabs>
        <w:rPr>
          <w:lang w:val="en-GB"/>
        </w:rPr>
      </w:pPr>
      <w:r w:rsidRPr="00B04DC3">
        <w:rPr>
          <w:lang w:val="en-GB"/>
        </w:rPr>
        <w:tab/>
        <w:t>Pressure</w:t>
      </w:r>
      <w:r w:rsidRPr="00B04DC3">
        <w:rPr>
          <w:vertAlign w:val="superscript"/>
          <w:lang w:val="en-GB"/>
        </w:rPr>
        <w:t>3</w:t>
      </w:r>
      <w:r w:rsidR="00C0100D" w:rsidRPr="00B04DC3">
        <w:rPr>
          <w:lang w:val="en-GB"/>
        </w:rPr>
        <w:t>:</w:t>
      </w:r>
      <w:r w:rsidRPr="00B04DC3">
        <w:rPr>
          <w:lang w:val="en-GB"/>
        </w:rPr>
        <w:t>……………………</w:t>
      </w:r>
      <w:r w:rsidR="00C0100D" w:rsidRPr="00B04DC3">
        <w:rPr>
          <w:lang w:val="en-GB"/>
        </w:rPr>
        <w:t>kPa or characteristic diagram</w:t>
      </w:r>
      <w:r w:rsidRPr="00B04DC3">
        <w:rPr>
          <w:vertAlign w:val="superscript"/>
          <w:lang w:val="en-GB"/>
        </w:rPr>
        <w:t>2</w:t>
      </w:r>
      <w:r w:rsidR="00C0100D" w:rsidRPr="00B04DC3">
        <w:rPr>
          <w:lang w:val="en-GB"/>
        </w:rPr>
        <w:t>:</w:t>
      </w:r>
      <w:r w:rsidR="00C0100D"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w:t>
      </w:r>
      <w:r w:rsidRPr="00B04DC3">
        <w:rPr>
          <w:lang w:val="en-GB"/>
        </w:rPr>
        <w:tab/>
        <w:t>Injection system</w:t>
      </w:r>
    </w:p>
    <w:p w:rsidR="00C0100D" w:rsidRPr="00B04DC3" w:rsidRDefault="00C0100D" w:rsidP="00196776">
      <w:pPr>
        <w:pStyle w:val="para"/>
        <w:tabs>
          <w:tab w:val="left" w:pos="1134"/>
          <w:tab w:val="left" w:pos="2268"/>
          <w:tab w:val="right" w:leader="dot" w:pos="8505"/>
        </w:tabs>
        <w:rPr>
          <w:lang w:val="en-GB"/>
        </w:rPr>
      </w:pPr>
      <w:r w:rsidRPr="00B04DC3">
        <w:rPr>
          <w:lang w:val="en-GB"/>
        </w:rPr>
        <w:t>3.1.2.1.</w:t>
      </w:r>
      <w:r w:rsidRPr="00B04DC3">
        <w:rPr>
          <w:lang w:val="en-GB"/>
        </w:rPr>
        <w:tab/>
        <w:t>Pump</w:t>
      </w:r>
    </w:p>
    <w:p w:rsidR="00C0100D" w:rsidRPr="00B04DC3" w:rsidRDefault="00C0100D" w:rsidP="00196776">
      <w:pPr>
        <w:pStyle w:val="para"/>
        <w:tabs>
          <w:tab w:val="left" w:pos="1134"/>
          <w:tab w:val="left" w:pos="2268"/>
          <w:tab w:val="right" w:leader="dot" w:pos="8505"/>
        </w:tabs>
        <w:rPr>
          <w:lang w:val="en-GB"/>
        </w:rPr>
      </w:pPr>
      <w:r w:rsidRPr="00B04DC3">
        <w:rPr>
          <w:lang w:val="en-GB"/>
        </w:rPr>
        <w:t>3.1.2.1.1.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3.1.2.1.2.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3.1.2.1.3.</w:t>
      </w:r>
      <w:r w:rsidRPr="00B04DC3">
        <w:rPr>
          <w:lang w:val="en-GB"/>
        </w:rPr>
        <w:tab/>
        <w:t>Delivery</w:t>
      </w:r>
      <w:r w:rsidR="00EB2682">
        <w:rPr>
          <w:lang w:val="en-GB"/>
        </w:rPr>
        <w:t>:</w:t>
      </w:r>
      <w:r w:rsidR="008F1CF4" w:rsidRPr="00B04DC3">
        <w:rPr>
          <w:vertAlign w:val="superscript"/>
          <w:lang w:val="en-GB"/>
        </w:rPr>
        <w:t>3</w:t>
      </w:r>
      <w:r w:rsidR="00F729CA" w:rsidRPr="00B04DC3">
        <w:rPr>
          <w:lang w:val="en-GB"/>
        </w:rPr>
        <w:t>…………</w:t>
      </w:r>
      <w:r w:rsidRPr="00B04DC3">
        <w:rPr>
          <w:lang w:val="en-GB"/>
        </w:rPr>
        <w:t xml:space="preserve">mm³ </w:t>
      </w:r>
      <w:r w:rsidR="000074BC" w:rsidRPr="00B04DC3">
        <w:rPr>
          <w:lang w:val="en-GB"/>
        </w:rPr>
        <w:t>per stroke at engine speed of</w:t>
      </w:r>
      <w:r w:rsidR="00F729CA" w:rsidRPr="00B04DC3">
        <w:rPr>
          <w:lang w:val="en-GB"/>
        </w:rPr>
        <w:tab/>
      </w:r>
      <w:r w:rsidRPr="00B04DC3">
        <w:rPr>
          <w:lang w:val="en-GB"/>
        </w:rPr>
        <w:t>min</w:t>
      </w:r>
      <w:r w:rsidRPr="00B04DC3">
        <w:rPr>
          <w:vertAlign w:val="superscript"/>
          <w:lang w:val="en-GB"/>
        </w:rPr>
        <w:t>-1</w:t>
      </w:r>
    </w:p>
    <w:p w:rsidR="00C0100D" w:rsidRPr="00B04DC3" w:rsidRDefault="00C0100D" w:rsidP="00196776">
      <w:pPr>
        <w:pStyle w:val="para"/>
        <w:tabs>
          <w:tab w:val="left" w:pos="1134"/>
          <w:tab w:val="left" w:pos="2268"/>
          <w:tab w:val="right" w:leader="dot" w:pos="8505"/>
        </w:tabs>
        <w:rPr>
          <w:lang w:val="en-GB"/>
        </w:rPr>
      </w:pPr>
      <w:r w:rsidRPr="00B04DC3">
        <w:rPr>
          <w:lang w:val="en-GB"/>
        </w:rPr>
        <w:tab/>
      </w:r>
      <w:r w:rsidR="00025676" w:rsidRPr="00B04DC3">
        <w:rPr>
          <w:lang w:val="en-GB"/>
        </w:rPr>
        <w:t>At</w:t>
      </w:r>
      <w:r w:rsidRPr="00B04DC3">
        <w:rPr>
          <w:lang w:val="en-GB"/>
        </w:rPr>
        <w:t xml:space="preserve"> full injection, or characteristic diagram</w:t>
      </w:r>
      <w:r w:rsidR="00F729CA" w:rsidRPr="00B04DC3">
        <w:rPr>
          <w:vertAlign w:val="superscript"/>
          <w:lang w:val="en-GB"/>
        </w:rPr>
        <w:t>2</w:t>
      </w:r>
      <w:r w:rsidR="008F0EE6" w:rsidRPr="008F0EE6">
        <w:rPr>
          <w:vertAlign w:val="superscript"/>
          <w:lang w:val="en-GB"/>
        </w:rPr>
        <w:t>,</w:t>
      </w:r>
      <w:r w:rsidR="00F729CA" w:rsidRPr="00B04DC3">
        <w:rPr>
          <w:vertAlign w:val="superscript"/>
          <w:lang w:val="en-GB"/>
        </w:rPr>
        <w:t>3</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ab/>
        <w:t xml:space="preserve">Mention the method used: On </w:t>
      </w:r>
      <w:r w:rsidR="00F729CA" w:rsidRPr="00B04DC3">
        <w:rPr>
          <w:lang w:val="en-GB"/>
        </w:rPr>
        <w:t>engine/on pump bench</w:t>
      </w:r>
      <w:r w:rsidR="00F729CA"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ab/>
        <w:t>If boost control is supplied, state the characteristic fuel delivery and boost pressure versus engine speed.</w:t>
      </w:r>
    </w:p>
    <w:p w:rsidR="00C0100D" w:rsidRPr="00B04DC3" w:rsidRDefault="00C0100D" w:rsidP="00196776">
      <w:pPr>
        <w:pStyle w:val="para"/>
        <w:tabs>
          <w:tab w:val="left" w:pos="1134"/>
          <w:tab w:val="left" w:pos="2268"/>
          <w:tab w:val="right" w:leader="dot" w:pos="8505"/>
        </w:tabs>
        <w:rPr>
          <w:lang w:val="en-GB"/>
        </w:rPr>
      </w:pPr>
      <w:r w:rsidRPr="00B04DC3">
        <w:rPr>
          <w:lang w:val="en-GB"/>
        </w:rPr>
        <w:t>3.1.2.1.4.</w:t>
      </w:r>
      <w:r w:rsidRPr="00B04DC3">
        <w:rPr>
          <w:lang w:val="en-GB"/>
        </w:rPr>
        <w:tab/>
        <w:t>Injection advance</w:t>
      </w:r>
    </w:p>
    <w:p w:rsidR="00C0100D" w:rsidRPr="00B04DC3" w:rsidRDefault="00C0100D" w:rsidP="00196776">
      <w:pPr>
        <w:pStyle w:val="para"/>
        <w:tabs>
          <w:tab w:val="left" w:pos="1134"/>
          <w:tab w:val="left" w:pos="2268"/>
          <w:tab w:val="right" w:leader="dot" w:pos="8505"/>
        </w:tabs>
        <w:rPr>
          <w:lang w:val="en-GB"/>
        </w:rPr>
      </w:pPr>
      <w:r w:rsidRPr="00B04DC3">
        <w:rPr>
          <w:lang w:val="en-GB"/>
        </w:rPr>
        <w:t>3.1.2</w:t>
      </w:r>
      <w:r w:rsidR="000074BC" w:rsidRPr="00B04DC3">
        <w:rPr>
          <w:lang w:val="en-GB"/>
        </w:rPr>
        <w:t>.1.4.1.</w:t>
      </w:r>
      <w:r w:rsidR="000074BC" w:rsidRPr="00B04DC3">
        <w:rPr>
          <w:lang w:val="en-GB"/>
        </w:rPr>
        <w:tab/>
        <w:t>Injection advance curve</w:t>
      </w:r>
      <w:r w:rsidR="008F0EE6">
        <w:rPr>
          <w:lang w:val="en-GB"/>
        </w:rPr>
        <w:t>:</w:t>
      </w:r>
      <w:r w:rsidR="000074BC" w:rsidRPr="00B04DC3">
        <w:rPr>
          <w:vertAlign w:val="superscript"/>
          <w:lang w:val="en-GB"/>
        </w:rPr>
        <w:t>3</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w:t>
      </w:r>
      <w:r w:rsidR="000074BC" w:rsidRPr="00B04DC3">
        <w:rPr>
          <w:lang w:val="en-GB"/>
        </w:rPr>
        <w:t>.1.4.2.</w:t>
      </w:r>
      <w:r w:rsidR="000074BC" w:rsidRPr="00B04DC3">
        <w:rPr>
          <w:lang w:val="en-GB"/>
        </w:rPr>
        <w:tab/>
        <w:t>Static injection timing</w:t>
      </w:r>
      <w:r w:rsidR="008F0EE6">
        <w:rPr>
          <w:lang w:val="en-GB"/>
        </w:rPr>
        <w:t>:</w:t>
      </w:r>
      <w:r w:rsidR="000074BC" w:rsidRPr="00B04DC3">
        <w:rPr>
          <w:vertAlign w:val="superscript"/>
          <w:lang w:val="en-GB"/>
        </w:rPr>
        <w:t>3</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3.1.2.2.</w:t>
      </w:r>
      <w:r w:rsidRPr="00B04DC3">
        <w:rPr>
          <w:lang w:val="en-GB"/>
        </w:rPr>
        <w:tab/>
        <w:t>Injection piping</w:t>
      </w:r>
    </w:p>
    <w:p w:rsidR="00C0100D" w:rsidRPr="00B04DC3" w:rsidRDefault="00C0100D" w:rsidP="00196776">
      <w:pPr>
        <w:pStyle w:val="para"/>
        <w:tabs>
          <w:tab w:val="left" w:pos="1134"/>
          <w:tab w:val="left" w:pos="2268"/>
          <w:tab w:val="right" w:leader="dot" w:pos="8505"/>
        </w:tabs>
        <w:rPr>
          <w:lang w:val="en-GB"/>
        </w:rPr>
      </w:pPr>
      <w:r w:rsidRPr="00B04DC3">
        <w:rPr>
          <w:lang w:val="en-GB"/>
        </w:rPr>
        <w:t>3.1.2.2.1.</w:t>
      </w:r>
      <w:r w:rsidRPr="00B04DC3">
        <w:rPr>
          <w:lang w:val="en-GB"/>
        </w:rPr>
        <w:tab/>
        <w:t>Length:</w:t>
      </w:r>
      <w:r w:rsidRPr="00B04DC3">
        <w:rPr>
          <w:lang w:val="en-GB"/>
        </w:rPr>
        <w:tab/>
        <w:t>mm</w:t>
      </w:r>
    </w:p>
    <w:p w:rsidR="00C0100D" w:rsidRPr="00B04DC3" w:rsidRDefault="00C0100D" w:rsidP="00196776">
      <w:pPr>
        <w:pStyle w:val="para"/>
        <w:tabs>
          <w:tab w:val="left" w:pos="1134"/>
          <w:tab w:val="left" w:pos="2268"/>
          <w:tab w:val="right" w:leader="dot" w:pos="8505"/>
        </w:tabs>
        <w:rPr>
          <w:lang w:val="en-GB"/>
        </w:rPr>
      </w:pPr>
      <w:r w:rsidRPr="00B04DC3">
        <w:rPr>
          <w:lang w:val="en-GB"/>
        </w:rPr>
        <w:t>3.1.2.2.2.</w:t>
      </w:r>
      <w:r w:rsidRPr="00B04DC3">
        <w:rPr>
          <w:lang w:val="en-GB"/>
        </w:rPr>
        <w:tab/>
        <w:t>Internal diameter:</w:t>
      </w:r>
      <w:r w:rsidRPr="00B04DC3">
        <w:rPr>
          <w:lang w:val="en-GB"/>
        </w:rPr>
        <w:tab/>
        <w:t>mm</w:t>
      </w:r>
    </w:p>
    <w:p w:rsidR="00C0100D" w:rsidRPr="00B04DC3" w:rsidRDefault="00C0100D" w:rsidP="00196776">
      <w:pPr>
        <w:pStyle w:val="para"/>
        <w:tabs>
          <w:tab w:val="left" w:pos="1134"/>
          <w:tab w:val="left" w:pos="2268"/>
          <w:tab w:val="right" w:leader="dot" w:pos="8505"/>
        </w:tabs>
        <w:rPr>
          <w:lang w:val="en-GB"/>
        </w:rPr>
      </w:pPr>
      <w:r w:rsidRPr="00B04DC3">
        <w:rPr>
          <w:lang w:val="en-GB"/>
        </w:rPr>
        <w:t>3.1.2.2.3.</w:t>
      </w:r>
      <w:r w:rsidRPr="00B04DC3">
        <w:rPr>
          <w:lang w:val="en-GB"/>
        </w:rPr>
        <w:tab/>
        <w:t>Common rail, make and type: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3.1.2.3.</w:t>
      </w:r>
      <w:r w:rsidRPr="00B04DC3">
        <w:rPr>
          <w:lang w:val="en-GB"/>
        </w:rPr>
        <w:tab/>
        <w:t>Injector(s)</w:t>
      </w:r>
    </w:p>
    <w:p w:rsidR="00C0100D" w:rsidRPr="00B04DC3" w:rsidRDefault="00C0100D" w:rsidP="00196776">
      <w:pPr>
        <w:pStyle w:val="para"/>
        <w:tabs>
          <w:tab w:val="left" w:pos="1134"/>
          <w:tab w:val="left" w:pos="2268"/>
          <w:tab w:val="right" w:leader="dot" w:pos="8505"/>
        </w:tabs>
        <w:rPr>
          <w:lang w:val="en-GB"/>
        </w:rPr>
      </w:pPr>
      <w:r w:rsidRPr="00B04DC3">
        <w:rPr>
          <w:lang w:val="en-GB"/>
        </w:rPr>
        <w:t>3.1.2.3.1.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3.1.2.3.2.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3.1.2.3.3.</w:t>
      </w:r>
      <w:r w:rsidRPr="00B04DC3">
        <w:rPr>
          <w:lang w:val="en-GB"/>
        </w:rPr>
        <w:tab/>
        <w:t>"Opening pressure":</w:t>
      </w:r>
      <w:r w:rsidRPr="00B04DC3">
        <w:rPr>
          <w:lang w:val="en-GB"/>
        </w:rPr>
        <w:tab/>
        <w:t>kPa</w:t>
      </w:r>
      <w:r w:rsidR="000074BC" w:rsidRPr="00B04DC3">
        <w:rPr>
          <w:vertAlign w:val="superscript"/>
          <w:lang w:val="en-GB"/>
        </w:rPr>
        <w:t>3</w:t>
      </w:r>
    </w:p>
    <w:p w:rsidR="00C0100D" w:rsidRPr="00B04DC3" w:rsidRDefault="00C0100D" w:rsidP="00196776">
      <w:pPr>
        <w:pStyle w:val="para"/>
        <w:tabs>
          <w:tab w:val="left" w:pos="1134"/>
          <w:tab w:val="left" w:pos="2268"/>
          <w:tab w:val="right" w:leader="dot" w:pos="8505"/>
        </w:tabs>
        <w:rPr>
          <w:lang w:val="en-GB"/>
        </w:rPr>
      </w:pPr>
      <w:r w:rsidRPr="00B04DC3">
        <w:rPr>
          <w:lang w:val="en-GB"/>
        </w:rPr>
        <w:tab/>
        <w:t>or characteristic diagram</w:t>
      </w:r>
      <w:r w:rsidR="000074BC" w:rsidRPr="00B04DC3">
        <w:rPr>
          <w:vertAlign w:val="superscript"/>
          <w:lang w:val="en-GB"/>
        </w:rPr>
        <w:t>2,3</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3.1.2.4.</w:t>
      </w:r>
      <w:r w:rsidRPr="00B04DC3">
        <w:rPr>
          <w:lang w:val="en-GB"/>
        </w:rPr>
        <w:tab/>
        <w:t>Governor</w:t>
      </w:r>
    </w:p>
    <w:p w:rsidR="00C0100D" w:rsidRPr="00B04DC3" w:rsidRDefault="00C0100D" w:rsidP="00196776">
      <w:pPr>
        <w:pStyle w:val="para"/>
        <w:tabs>
          <w:tab w:val="left" w:pos="1134"/>
          <w:tab w:val="left" w:pos="2268"/>
          <w:tab w:val="right" w:leader="dot" w:pos="8505"/>
        </w:tabs>
        <w:rPr>
          <w:lang w:val="en-GB"/>
        </w:rPr>
      </w:pPr>
      <w:r w:rsidRPr="00B04DC3">
        <w:rPr>
          <w:lang w:val="en-GB"/>
        </w:rPr>
        <w:t>3.1.2.4.1.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3.1.2.4.2.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3.1.2.4.3.</w:t>
      </w:r>
      <w:r w:rsidRPr="00B04DC3">
        <w:rPr>
          <w:lang w:val="en-GB"/>
        </w:rPr>
        <w:tab/>
        <w:t>Speed at which cut-off starts under full load:</w:t>
      </w:r>
      <w:r w:rsidRPr="00B04DC3">
        <w:rPr>
          <w:lang w:val="en-GB"/>
        </w:rPr>
        <w:tab/>
        <w:t>min</w:t>
      </w:r>
      <w:r w:rsidRPr="00B04DC3">
        <w:rPr>
          <w:vertAlign w:val="superscript"/>
          <w:lang w:val="en-GB"/>
        </w:rPr>
        <w:t>-1</w:t>
      </w:r>
    </w:p>
    <w:p w:rsidR="00C0100D" w:rsidRPr="00B04DC3" w:rsidRDefault="00C0100D" w:rsidP="00196776">
      <w:pPr>
        <w:pStyle w:val="para"/>
        <w:tabs>
          <w:tab w:val="left" w:pos="1134"/>
          <w:tab w:val="left" w:pos="2268"/>
          <w:tab w:val="right" w:leader="dot" w:pos="8505"/>
        </w:tabs>
        <w:rPr>
          <w:lang w:val="en-GB"/>
        </w:rPr>
      </w:pPr>
      <w:r w:rsidRPr="00B04DC3">
        <w:rPr>
          <w:lang w:val="en-GB"/>
        </w:rPr>
        <w:t>3.1.2.4.4.</w:t>
      </w:r>
      <w:r w:rsidRPr="00B04DC3">
        <w:rPr>
          <w:lang w:val="en-GB"/>
        </w:rPr>
        <w:tab/>
        <w:t>Maximum no-load speed:</w:t>
      </w:r>
      <w:r w:rsidRPr="00B04DC3">
        <w:rPr>
          <w:lang w:val="en-GB"/>
        </w:rPr>
        <w:tab/>
        <w:t>min</w:t>
      </w:r>
      <w:r w:rsidRPr="00B04DC3">
        <w:rPr>
          <w:vertAlign w:val="superscript"/>
          <w:lang w:val="en-GB"/>
        </w:rPr>
        <w:t>-1</w:t>
      </w:r>
    </w:p>
    <w:p w:rsidR="00C0100D" w:rsidRPr="00B04DC3" w:rsidRDefault="00C0100D" w:rsidP="00196776">
      <w:pPr>
        <w:pStyle w:val="para"/>
        <w:tabs>
          <w:tab w:val="left" w:pos="1134"/>
          <w:tab w:val="left" w:pos="2268"/>
          <w:tab w:val="right" w:leader="dot" w:pos="8505"/>
        </w:tabs>
        <w:rPr>
          <w:lang w:val="en-GB"/>
        </w:rPr>
      </w:pPr>
      <w:r w:rsidRPr="00B04DC3">
        <w:rPr>
          <w:lang w:val="en-GB"/>
        </w:rPr>
        <w:t>3.1.2.4.5.</w:t>
      </w:r>
      <w:r w:rsidRPr="00B04DC3">
        <w:rPr>
          <w:lang w:val="en-GB"/>
        </w:rPr>
        <w:tab/>
        <w:t>Idling speed:</w:t>
      </w:r>
      <w:r w:rsidRPr="00B04DC3">
        <w:rPr>
          <w:lang w:val="en-GB"/>
        </w:rPr>
        <w:tab/>
        <w:t>min</w:t>
      </w:r>
      <w:r w:rsidRPr="00B04DC3">
        <w:rPr>
          <w:vertAlign w:val="superscript"/>
          <w:lang w:val="en-GB"/>
        </w:rPr>
        <w:t>-1</w:t>
      </w:r>
    </w:p>
    <w:p w:rsidR="00C0100D" w:rsidRPr="00B04DC3" w:rsidRDefault="00C0100D" w:rsidP="00196776">
      <w:pPr>
        <w:pStyle w:val="para"/>
        <w:tabs>
          <w:tab w:val="left" w:pos="1134"/>
          <w:tab w:val="left" w:pos="2268"/>
          <w:tab w:val="right" w:leader="dot" w:pos="8505"/>
        </w:tabs>
        <w:rPr>
          <w:lang w:val="en-GB"/>
        </w:rPr>
      </w:pPr>
      <w:r w:rsidRPr="00B04DC3">
        <w:rPr>
          <w:lang w:val="en-GB"/>
        </w:rPr>
        <w:t>3.1.3.</w:t>
      </w:r>
      <w:r w:rsidRPr="00B04DC3">
        <w:rPr>
          <w:lang w:val="en-GB"/>
        </w:rPr>
        <w:tab/>
        <w:t>Cold start system</w:t>
      </w:r>
    </w:p>
    <w:p w:rsidR="00C0100D" w:rsidRPr="00B04DC3" w:rsidRDefault="00C0100D" w:rsidP="00196776">
      <w:pPr>
        <w:pStyle w:val="para"/>
        <w:tabs>
          <w:tab w:val="left" w:pos="1134"/>
          <w:tab w:val="left" w:pos="2268"/>
          <w:tab w:val="right" w:leader="dot" w:pos="8505"/>
        </w:tabs>
        <w:rPr>
          <w:lang w:val="en-GB"/>
        </w:rPr>
      </w:pPr>
      <w:r w:rsidRPr="00B04DC3">
        <w:rPr>
          <w:lang w:val="en-GB"/>
        </w:rPr>
        <w:t>3.1.3.1.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3.1.3.2.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3.1.3.3.</w:t>
      </w:r>
      <w:r w:rsidRPr="00B04DC3">
        <w:rPr>
          <w:lang w:val="en-GB"/>
        </w:rPr>
        <w:tab/>
        <w:t>Description: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3.1.3.4.</w:t>
      </w:r>
      <w:r w:rsidRPr="00B04DC3">
        <w:rPr>
          <w:lang w:val="en-GB"/>
        </w:rPr>
        <w:tab/>
        <w:t>Auxiliary starting aid:</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3.1.3.4.1.</w:t>
      </w:r>
      <w:r w:rsidRPr="00B04DC3">
        <w:rPr>
          <w:lang w:val="en-GB"/>
        </w:rPr>
        <w:tab/>
        <w:t>Make:</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3.1.3.4.2.</w:t>
      </w:r>
      <w:r w:rsidRPr="00B04DC3">
        <w:rPr>
          <w:lang w:val="en-GB"/>
        </w:rPr>
        <w:tab/>
        <w:t>Type:</w:t>
      </w:r>
      <w:r w:rsidRPr="00B04DC3">
        <w:rPr>
          <w:lang w:val="en-GB"/>
        </w:rPr>
        <w:tab/>
      </w:r>
    </w:p>
    <w:p w:rsidR="00C0100D" w:rsidRPr="00B04DC3" w:rsidRDefault="009B6E08" w:rsidP="00196776">
      <w:pPr>
        <w:pStyle w:val="para"/>
        <w:tabs>
          <w:tab w:val="left" w:pos="1134"/>
          <w:tab w:val="left" w:pos="2268"/>
          <w:tab w:val="right" w:leader="dot" w:pos="8505"/>
        </w:tabs>
        <w:rPr>
          <w:lang w:val="en-GB"/>
        </w:rPr>
      </w:pPr>
      <w:r w:rsidRPr="00B04DC3">
        <w:rPr>
          <w:lang w:val="en-GB"/>
        </w:rPr>
        <w:t>3.2.</w:t>
      </w:r>
      <w:r w:rsidRPr="00B04DC3">
        <w:rPr>
          <w:lang w:val="en-GB"/>
        </w:rPr>
        <w:tab/>
        <w:t>Gas fuelled engines, including dual-fuel engines</w:t>
      </w:r>
      <w:r w:rsidR="00C0100D" w:rsidRPr="00B04DC3">
        <w:rPr>
          <w:vertAlign w:val="superscript"/>
          <w:lang w:val="en-GB"/>
        </w:rPr>
        <w:footnoteReference w:id="15"/>
      </w:r>
    </w:p>
    <w:p w:rsidR="00C0100D" w:rsidRPr="00B04DC3" w:rsidRDefault="000074BC" w:rsidP="00196776">
      <w:pPr>
        <w:pStyle w:val="para"/>
        <w:tabs>
          <w:tab w:val="left" w:pos="1134"/>
          <w:tab w:val="left" w:pos="2268"/>
          <w:tab w:val="right" w:leader="dot" w:pos="8505"/>
        </w:tabs>
        <w:rPr>
          <w:lang w:val="en-GB"/>
        </w:rPr>
      </w:pPr>
      <w:r w:rsidRPr="00B04DC3">
        <w:rPr>
          <w:lang w:val="en-GB"/>
        </w:rPr>
        <w:t>3.2.1.</w:t>
      </w:r>
      <w:r w:rsidRPr="00B04DC3">
        <w:rPr>
          <w:lang w:val="en-GB"/>
        </w:rPr>
        <w:tab/>
        <w:t>Fuel: Natural gas/LPG</w:t>
      </w:r>
      <w:r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3.2.2.</w:t>
      </w:r>
      <w:r w:rsidRPr="00B04DC3">
        <w:rPr>
          <w:lang w:val="en-GB"/>
        </w:rPr>
        <w:tab/>
        <w:t xml:space="preserve">Pressure regulator(s) or </w:t>
      </w:r>
      <w:r w:rsidR="000074BC" w:rsidRPr="00B04DC3">
        <w:rPr>
          <w:lang w:val="en-GB"/>
        </w:rPr>
        <w:t>vaporiser/pressure regulator(s)</w:t>
      </w:r>
      <w:r w:rsidR="000074BC" w:rsidRPr="00B04DC3">
        <w:rPr>
          <w:vertAlign w:val="superscript"/>
          <w:lang w:val="en-GB"/>
        </w:rPr>
        <w:t>3</w:t>
      </w:r>
    </w:p>
    <w:p w:rsidR="00C0100D" w:rsidRPr="00B04DC3" w:rsidRDefault="00C0100D" w:rsidP="00196776">
      <w:pPr>
        <w:pStyle w:val="para"/>
        <w:tabs>
          <w:tab w:val="left" w:pos="1134"/>
          <w:tab w:val="left" w:pos="2268"/>
          <w:tab w:val="right" w:leader="dot" w:pos="8505"/>
        </w:tabs>
        <w:rPr>
          <w:lang w:val="en-GB"/>
        </w:rPr>
      </w:pPr>
      <w:r w:rsidRPr="00B04DC3">
        <w:rPr>
          <w:lang w:val="en-GB"/>
        </w:rPr>
        <w:t>3.2.2.1.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3.2.2.2.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3.2.2.3.</w:t>
      </w:r>
      <w:r w:rsidRPr="00B04DC3">
        <w:rPr>
          <w:lang w:val="en-GB"/>
        </w:rPr>
        <w:tab/>
        <w:t>Number of pressure reduction stages:</w:t>
      </w:r>
      <w:r w:rsidRPr="00B04DC3">
        <w:rPr>
          <w:lang w:val="en-GB"/>
        </w:rPr>
        <w:tab/>
      </w:r>
    </w:p>
    <w:p w:rsidR="00C0100D" w:rsidRPr="00B04DC3" w:rsidRDefault="00C0100D" w:rsidP="000074BC">
      <w:pPr>
        <w:pStyle w:val="para"/>
        <w:tabs>
          <w:tab w:val="left" w:pos="1134"/>
          <w:tab w:val="left" w:pos="2268"/>
          <w:tab w:val="left" w:pos="6480"/>
          <w:tab w:val="right" w:leader="dot" w:pos="8505"/>
        </w:tabs>
        <w:rPr>
          <w:lang w:val="en-GB"/>
        </w:rPr>
      </w:pPr>
      <w:r w:rsidRPr="00B04DC3">
        <w:rPr>
          <w:lang w:val="en-GB"/>
        </w:rPr>
        <w:t>3.2.2.4</w:t>
      </w:r>
      <w:r w:rsidR="000074BC" w:rsidRPr="00B04DC3">
        <w:rPr>
          <w:lang w:val="en-GB"/>
        </w:rPr>
        <w:t>.</w:t>
      </w:r>
      <w:r w:rsidR="000074BC" w:rsidRPr="00B04DC3">
        <w:rPr>
          <w:lang w:val="en-GB"/>
        </w:rPr>
        <w:tab/>
        <w:t>Pressure in final stage: min……………………..kPa, max.</w:t>
      </w:r>
      <w:r w:rsidR="000074BC" w:rsidRPr="00B04DC3">
        <w:rPr>
          <w:lang w:val="en-GB"/>
        </w:rPr>
        <w:tab/>
      </w:r>
      <w:r w:rsidRPr="00B04DC3">
        <w:rPr>
          <w:lang w:val="en-GB"/>
        </w:rPr>
        <w:t>kPa</w:t>
      </w:r>
    </w:p>
    <w:p w:rsidR="00C0100D" w:rsidRPr="00B04DC3" w:rsidRDefault="00C0100D" w:rsidP="00196776">
      <w:pPr>
        <w:pStyle w:val="para"/>
        <w:tabs>
          <w:tab w:val="left" w:pos="1134"/>
          <w:tab w:val="left" w:pos="2268"/>
          <w:tab w:val="right" w:leader="dot" w:pos="8505"/>
        </w:tabs>
        <w:rPr>
          <w:lang w:val="en-GB"/>
        </w:rPr>
      </w:pPr>
      <w:r w:rsidRPr="00B04DC3">
        <w:rPr>
          <w:lang w:val="en-GB"/>
        </w:rPr>
        <w:t>3.2.2.5.</w:t>
      </w:r>
      <w:r w:rsidRPr="00B04DC3">
        <w:rPr>
          <w:lang w:val="en-GB"/>
        </w:rPr>
        <w:tab/>
        <w:t>Number of main adjustment points:</w:t>
      </w:r>
    </w:p>
    <w:p w:rsidR="00C0100D" w:rsidRPr="00B04DC3" w:rsidRDefault="00C0100D" w:rsidP="00196776">
      <w:pPr>
        <w:pStyle w:val="para"/>
        <w:tabs>
          <w:tab w:val="left" w:pos="1134"/>
          <w:tab w:val="left" w:pos="2268"/>
          <w:tab w:val="right" w:leader="dot" w:pos="8505"/>
        </w:tabs>
        <w:rPr>
          <w:lang w:val="en-GB"/>
        </w:rPr>
      </w:pPr>
      <w:r w:rsidRPr="00B04DC3">
        <w:rPr>
          <w:lang w:val="en-GB"/>
        </w:rPr>
        <w:t>3.2.2.6.</w:t>
      </w:r>
      <w:r w:rsidRPr="00B04DC3">
        <w:rPr>
          <w:lang w:val="en-GB"/>
        </w:rPr>
        <w:tab/>
        <w:t>Number of idle adjustment points: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3.2.2.7.</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3.2.3.</w:t>
      </w:r>
      <w:r w:rsidRPr="00B04DC3">
        <w:rPr>
          <w:lang w:val="en-GB"/>
        </w:rPr>
        <w:tab/>
        <w:t>Fuelling system: mixing unit / gas injection / liquid inje</w:t>
      </w:r>
      <w:r w:rsidR="000074BC" w:rsidRPr="00B04DC3">
        <w:rPr>
          <w:lang w:val="en-GB"/>
        </w:rPr>
        <w:t>ction / direct injection</w:t>
      </w:r>
      <w:r w:rsidR="000074BC"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3.2.3.1.</w:t>
      </w:r>
      <w:r w:rsidRPr="00B04DC3">
        <w:rPr>
          <w:lang w:val="en-GB"/>
        </w:rPr>
        <w:tab/>
        <w:t>Mixture strength regulation: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3.2.3.2.</w:t>
      </w:r>
      <w:r w:rsidRPr="00B04DC3">
        <w:rPr>
          <w:lang w:val="en-GB"/>
        </w:rPr>
        <w:tab/>
        <w:t>System description and/or diagram and drawings: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3.2.3.3.</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w:t>
      </w:r>
      <w:r w:rsidRPr="00B04DC3">
        <w:rPr>
          <w:lang w:val="en-GB"/>
        </w:rPr>
        <w:tab/>
        <w:t>Mixing unit</w:t>
      </w:r>
    </w:p>
    <w:p w:rsidR="00C0100D" w:rsidRPr="00B04DC3" w:rsidRDefault="00C0100D" w:rsidP="00196776">
      <w:pPr>
        <w:pStyle w:val="para"/>
        <w:tabs>
          <w:tab w:val="left" w:pos="1134"/>
          <w:tab w:val="left" w:pos="2268"/>
          <w:tab w:val="right" w:leader="dot" w:pos="8505"/>
        </w:tabs>
        <w:rPr>
          <w:lang w:val="en-GB"/>
        </w:rPr>
      </w:pPr>
      <w:r w:rsidRPr="00B04DC3">
        <w:rPr>
          <w:lang w:val="en-GB"/>
        </w:rPr>
        <w:t>3.2.4.1.</w:t>
      </w:r>
      <w:r w:rsidRPr="00B04DC3">
        <w:rPr>
          <w:lang w:val="en-GB"/>
        </w:rPr>
        <w:tab/>
        <w:t>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3.2.4.2.</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3.2.4.3.</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3.2.4.4.</w:t>
      </w:r>
      <w:r w:rsidRPr="00B04DC3">
        <w:rPr>
          <w:lang w:val="en-GB"/>
        </w:rPr>
        <w:tab/>
        <w:t>Location:</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3.2.4.5.</w:t>
      </w:r>
      <w:r w:rsidRPr="00B04DC3">
        <w:rPr>
          <w:lang w:val="en-GB"/>
        </w:rPr>
        <w:tab/>
        <w:t>Adjustment possibilities: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3.2.4.6.</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w:t>
      </w:r>
      <w:r w:rsidRPr="00B04DC3">
        <w:rPr>
          <w:lang w:val="en-GB"/>
        </w:rPr>
        <w:tab/>
        <w:t>Inlet manifold injection</w:t>
      </w:r>
    </w:p>
    <w:p w:rsidR="00C0100D" w:rsidRPr="00B04DC3" w:rsidRDefault="00C0100D" w:rsidP="00196776">
      <w:pPr>
        <w:pStyle w:val="para"/>
        <w:tabs>
          <w:tab w:val="left" w:pos="1134"/>
          <w:tab w:val="left" w:pos="2268"/>
          <w:tab w:val="right" w:leader="dot" w:pos="8505"/>
        </w:tabs>
        <w:rPr>
          <w:lang w:val="en-GB"/>
        </w:rPr>
      </w:pPr>
      <w:r w:rsidRPr="00B04DC3">
        <w:rPr>
          <w:lang w:val="en-GB"/>
        </w:rPr>
        <w:t>3.2.5.1.</w:t>
      </w:r>
      <w:r w:rsidRPr="00B04DC3">
        <w:rPr>
          <w:lang w:val="en-GB"/>
        </w:rPr>
        <w:tab/>
        <w:t>Inj</w:t>
      </w:r>
      <w:r w:rsidR="000074BC" w:rsidRPr="00B04DC3">
        <w:rPr>
          <w:lang w:val="en-GB"/>
        </w:rPr>
        <w:t>ection: single point/multipoint</w:t>
      </w:r>
      <w:r w:rsidR="000074BC"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3.2.5.2.</w:t>
      </w:r>
      <w:r w:rsidRPr="00B04DC3">
        <w:rPr>
          <w:lang w:val="en-GB"/>
        </w:rPr>
        <w:tab/>
        <w:t>Injection: continuous/simultan</w:t>
      </w:r>
      <w:r w:rsidR="000074BC" w:rsidRPr="00B04DC3">
        <w:rPr>
          <w:lang w:val="en-GB"/>
        </w:rPr>
        <w:t>eously timed/sequentially timed</w:t>
      </w:r>
      <w:r w:rsidR="000074BC"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3.2.5.3.</w:t>
      </w:r>
      <w:r w:rsidRPr="00B04DC3">
        <w:rPr>
          <w:lang w:val="en-GB"/>
        </w:rPr>
        <w:tab/>
        <w:t>Injection equipment</w:t>
      </w:r>
    </w:p>
    <w:p w:rsidR="00C0100D" w:rsidRPr="00B04DC3" w:rsidRDefault="00C0100D" w:rsidP="00196776">
      <w:pPr>
        <w:pStyle w:val="para"/>
        <w:tabs>
          <w:tab w:val="left" w:pos="1134"/>
          <w:tab w:val="left" w:pos="2268"/>
          <w:tab w:val="right" w:leader="dot" w:pos="8505"/>
        </w:tabs>
        <w:rPr>
          <w:lang w:val="en-GB"/>
        </w:rPr>
      </w:pPr>
      <w:r w:rsidRPr="00B04DC3">
        <w:rPr>
          <w:lang w:val="en-GB"/>
        </w:rPr>
        <w:t>3.2.5.3.1.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3.2.5.3.2.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3.2.5.3.3.</w:t>
      </w:r>
      <w:r w:rsidRPr="00B04DC3">
        <w:rPr>
          <w:lang w:val="en-GB"/>
        </w:rPr>
        <w:tab/>
        <w:t>Adjustment possibilities: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3.2.5.3.4.</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3.2.5.4.</w:t>
      </w:r>
      <w:r w:rsidRPr="00B04DC3">
        <w:rPr>
          <w:lang w:val="en-GB"/>
        </w:rPr>
        <w:tab/>
        <w:t xml:space="preserve">Supply pump (if applicable): </w:t>
      </w:r>
    </w:p>
    <w:p w:rsidR="00C0100D" w:rsidRPr="00B04DC3" w:rsidRDefault="00C0100D" w:rsidP="00196776">
      <w:pPr>
        <w:pStyle w:val="para"/>
        <w:tabs>
          <w:tab w:val="left" w:pos="1134"/>
          <w:tab w:val="left" w:pos="2268"/>
          <w:tab w:val="right" w:leader="dot" w:pos="8505"/>
        </w:tabs>
        <w:rPr>
          <w:lang w:val="en-GB"/>
        </w:rPr>
      </w:pPr>
      <w:r w:rsidRPr="00B04DC3">
        <w:rPr>
          <w:lang w:val="en-GB"/>
        </w:rPr>
        <w:t>3.2.5.4.1.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3.2.5.4.2.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3.2.5.4.3</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3.2.5.5.</w:t>
      </w:r>
      <w:r w:rsidRPr="00B04DC3">
        <w:rPr>
          <w:lang w:val="en-GB"/>
        </w:rPr>
        <w:tab/>
        <w:t xml:space="preserve">Injector(s): </w:t>
      </w:r>
    </w:p>
    <w:p w:rsidR="00C0100D" w:rsidRPr="00B04DC3" w:rsidRDefault="00C0100D" w:rsidP="00196776">
      <w:pPr>
        <w:pStyle w:val="para"/>
        <w:tabs>
          <w:tab w:val="left" w:pos="1134"/>
          <w:tab w:val="left" w:pos="2268"/>
          <w:tab w:val="right" w:leader="dot" w:pos="8505"/>
        </w:tabs>
        <w:rPr>
          <w:lang w:val="en-GB"/>
        </w:rPr>
      </w:pPr>
      <w:r w:rsidRPr="00B04DC3">
        <w:rPr>
          <w:lang w:val="en-GB"/>
        </w:rPr>
        <w:t>3.2.5.5.1.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3.2.5.5.2.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3.2.5.5.3.</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w:t>
      </w:r>
      <w:r w:rsidRPr="00B04DC3">
        <w:rPr>
          <w:lang w:val="en-GB"/>
        </w:rPr>
        <w:tab/>
        <w:t>Direct injection</w:t>
      </w:r>
    </w:p>
    <w:p w:rsidR="00C0100D" w:rsidRPr="00B04DC3" w:rsidRDefault="00C0100D" w:rsidP="00196776">
      <w:pPr>
        <w:pStyle w:val="para"/>
        <w:tabs>
          <w:tab w:val="left" w:pos="1134"/>
          <w:tab w:val="left" w:pos="2268"/>
          <w:tab w:val="right" w:leader="dot" w:pos="8505"/>
        </w:tabs>
        <w:rPr>
          <w:lang w:val="en-GB"/>
        </w:rPr>
      </w:pPr>
      <w:r w:rsidRPr="00B04DC3">
        <w:rPr>
          <w:lang w:val="en-GB"/>
        </w:rPr>
        <w:t>3.2.6.1.</w:t>
      </w:r>
      <w:r w:rsidRPr="00B04DC3">
        <w:rPr>
          <w:lang w:val="en-GB"/>
        </w:rPr>
        <w:tab/>
        <w:t>Inje</w:t>
      </w:r>
      <w:r w:rsidR="000074BC" w:rsidRPr="00B04DC3">
        <w:rPr>
          <w:lang w:val="en-GB"/>
        </w:rPr>
        <w:t>ction pump / pressure regulator</w:t>
      </w:r>
      <w:r w:rsidR="000074BC" w:rsidRPr="00B04DC3">
        <w:rPr>
          <w:vertAlign w:val="superscript"/>
          <w:lang w:val="en-GB"/>
        </w:rPr>
        <w:t>2</w:t>
      </w:r>
    </w:p>
    <w:p w:rsidR="00C0100D" w:rsidRPr="00B04DC3" w:rsidRDefault="00C0100D" w:rsidP="00196776">
      <w:pPr>
        <w:pStyle w:val="para"/>
        <w:tabs>
          <w:tab w:val="left" w:pos="1134"/>
          <w:tab w:val="left" w:pos="2268"/>
          <w:tab w:val="right" w:leader="dot" w:pos="8505"/>
        </w:tabs>
        <w:rPr>
          <w:lang w:val="en-GB"/>
        </w:rPr>
      </w:pPr>
      <w:r w:rsidRPr="00B04DC3">
        <w:rPr>
          <w:lang w:val="en-GB"/>
        </w:rPr>
        <w:t>3.2.6.1.1.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3.2.6.1.2.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3.2.6.1.3</w:t>
      </w:r>
      <w:r w:rsidRPr="00B04DC3">
        <w:rPr>
          <w:lang w:val="en-GB"/>
        </w:rPr>
        <w:tab/>
        <w:t>Injection timing:</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3.2.6.1.4.</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3.2.6.2.</w:t>
      </w:r>
      <w:r w:rsidRPr="00B04DC3">
        <w:rPr>
          <w:lang w:val="en-GB"/>
        </w:rPr>
        <w:tab/>
        <w:t>Injector(s)</w:t>
      </w:r>
    </w:p>
    <w:p w:rsidR="00C0100D" w:rsidRPr="00B04DC3" w:rsidRDefault="00C0100D" w:rsidP="00196776">
      <w:pPr>
        <w:pStyle w:val="para"/>
        <w:tabs>
          <w:tab w:val="left" w:pos="1134"/>
          <w:tab w:val="left" w:pos="2268"/>
          <w:tab w:val="right" w:leader="dot" w:pos="8505"/>
        </w:tabs>
        <w:rPr>
          <w:lang w:val="en-GB"/>
        </w:rPr>
      </w:pPr>
      <w:r w:rsidRPr="00B04DC3">
        <w:rPr>
          <w:lang w:val="en-GB"/>
        </w:rPr>
        <w:t>3.2.6.2.1.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3.2.6.2.2.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3.2.6.2.3.</w:t>
      </w:r>
      <w:r w:rsidRPr="00B04DC3">
        <w:rPr>
          <w:lang w:val="en-GB"/>
        </w:rPr>
        <w:tab/>
        <w:t>Opening pre</w:t>
      </w:r>
      <w:r w:rsidR="000074BC" w:rsidRPr="00B04DC3">
        <w:rPr>
          <w:lang w:val="en-GB"/>
        </w:rPr>
        <w:t>ssure or characteristic diagram</w:t>
      </w:r>
      <w:r w:rsidR="008F0EE6">
        <w:rPr>
          <w:lang w:val="en-GB"/>
        </w:rPr>
        <w:t>:</w:t>
      </w:r>
      <w:r w:rsidR="000074BC" w:rsidRPr="00B04DC3">
        <w:rPr>
          <w:vertAlign w:val="superscript"/>
          <w:lang w:val="en-GB"/>
        </w:rPr>
        <w:t>3</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3.2.6.2.4.</w:t>
      </w:r>
      <w:r w:rsidRPr="00B04DC3">
        <w:rPr>
          <w:lang w:val="en-GB"/>
        </w:rPr>
        <w:tab/>
        <w:t>Certification number:</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3.2.7.</w:t>
      </w:r>
      <w:r w:rsidRPr="00B04DC3">
        <w:rPr>
          <w:lang w:val="en-GB"/>
        </w:rPr>
        <w:tab/>
        <w:t xml:space="preserve">Electronic </w:t>
      </w:r>
      <w:r w:rsidR="008F0EE6">
        <w:rPr>
          <w:lang w:val="en-GB"/>
        </w:rPr>
        <w:t>C</w:t>
      </w:r>
      <w:r w:rsidR="008F0EE6" w:rsidRPr="00B04DC3">
        <w:rPr>
          <w:lang w:val="en-GB"/>
        </w:rPr>
        <w:t xml:space="preserve">ontrol </w:t>
      </w:r>
      <w:r w:rsidR="008F0EE6">
        <w:rPr>
          <w:lang w:val="en-GB"/>
        </w:rPr>
        <w:t>U</w:t>
      </w:r>
      <w:r w:rsidR="008F0EE6" w:rsidRPr="00B04DC3">
        <w:rPr>
          <w:lang w:val="en-GB"/>
        </w:rPr>
        <w:t xml:space="preserve">nit </w:t>
      </w:r>
      <w:r w:rsidRPr="00B04DC3">
        <w:rPr>
          <w:lang w:val="en-GB"/>
        </w:rPr>
        <w:t>(ECU)</w:t>
      </w:r>
    </w:p>
    <w:p w:rsidR="00C0100D" w:rsidRPr="00B04DC3" w:rsidRDefault="00C0100D" w:rsidP="00196776">
      <w:pPr>
        <w:pStyle w:val="para"/>
        <w:tabs>
          <w:tab w:val="left" w:pos="1134"/>
          <w:tab w:val="left" w:pos="2268"/>
          <w:tab w:val="right" w:leader="dot" w:pos="8505"/>
        </w:tabs>
        <w:rPr>
          <w:lang w:val="en-GB"/>
        </w:rPr>
      </w:pPr>
      <w:r w:rsidRPr="00B04DC3">
        <w:rPr>
          <w:lang w:val="en-GB"/>
        </w:rPr>
        <w:t>3.2.7.1.</w:t>
      </w:r>
      <w:r w:rsidRPr="00B04DC3">
        <w:rPr>
          <w:lang w:val="en-GB"/>
        </w:rPr>
        <w:tab/>
        <w:t>Make(s):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3.2.7.2.</w:t>
      </w:r>
      <w:r w:rsidRPr="00B04DC3">
        <w:rPr>
          <w:lang w:val="en-GB"/>
        </w:rPr>
        <w:tab/>
        <w:t>Type(s):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3.2.7.3.</w:t>
      </w:r>
      <w:r w:rsidRPr="00B04DC3">
        <w:rPr>
          <w:lang w:val="en-GB"/>
        </w:rPr>
        <w:tab/>
        <w:t>Adjustment possibilities:</w:t>
      </w:r>
      <w:r w:rsidRPr="00B04DC3">
        <w:rPr>
          <w:lang w:val="en-GB"/>
        </w:rPr>
        <w:tab/>
      </w:r>
    </w:p>
    <w:p w:rsidR="00C0100D" w:rsidRPr="00B04DC3" w:rsidRDefault="00C0100D" w:rsidP="00196776">
      <w:pPr>
        <w:pStyle w:val="para"/>
        <w:tabs>
          <w:tab w:val="left" w:pos="1134"/>
          <w:tab w:val="left" w:pos="2268"/>
          <w:tab w:val="right" w:leader="dot" w:pos="8505"/>
        </w:tabs>
        <w:rPr>
          <w:lang w:val="en-GB"/>
        </w:rPr>
      </w:pPr>
      <w:r w:rsidRPr="00B04DC3">
        <w:rPr>
          <w:lang w:val="en-GB"/>
        </w:rPr>
        <w:t>3.2.8.</w:t>
      </w:r>
      <w:r w:rsidRPr="00B04DC3">
        <w:rPr>
          <w:lang w:val="en-GB"/>
        </w:rPr>
        <w:tab/>
        <w:t>NG fuel-specific equipment</w:t>
      </w:r>
    </w:p>
    <w:p w:rsidR="00C0100D" w:rsidRPr="00B04DC3" w:rsidRDefault="00C0100D" w:rsidP="00196776">
      <w:pPr>
        <w:pStyle w:val="para"/>
        <w:tabs>
          <w:tab w:val="left" w:pos="1134"/>
          <w:tab w:val="left" w:pos="2268"/>
          <w:tab w:val="right" w:leader="dot" w:pos="8505"/>
        </w:tabs>
        <w:rPr>
          <w:lang w:val="en-GB"/>
        </w:rPr>
      </w:pPr>
      <w:r w:rsidRPr="00B04DC3">
        <w:rPr>
          <w:lang w:val="en-GB"/>
        </w:rPr>
        <w:t>3.2.8.1.</w:t>
      </w:r>
      <w:r w:rsidRPr="00B04DC3">
        <w:rPr>
          <w:lang w:val="en-GB"/>
        </w:rPr>
        <w:tab/>
        <w:t>Variant 1</w:t>
      </w:r>
      <w:r w:rsidR="008F1CF4" w:rsidRPr="00B04DC3">
        <w:rPr>
          <w:lang w:val="en-GB"/>
        </w:rPr>
        <w:t xml:space="preserve"> </w:t>
      </w:r>
      <w:r w:rsidRPr="00B04DC3">
        <w:rPr>
          <w:lang w:val="en-GB"/>
        </w:rPr>
        <w:t xml:space="preserve">(only in the case of approvals of engines for several specific fuel </w:t>
      </w:r>
      <w:r w:rsidR="00FD1EE5" w:rsidRPr="00B04DC3">
        <w:rPr>
          <w:lang w:val="en-GB"/>
        </w:rPr>
        <w:br/>
      </w:r>
      <w:r w:rsidRPr="00B04DC3">
        <w:rPr>
          <w:lang w:val="en-GB"/>
        </w:rPr>
        <w:t>compositions)</w:t>
      </w:r>
    </w:p>
    <w:p w:rsidR="00C0100D" w:rsidRPr="00B04DC3" w:rsidRDefault="00C0100D" w:rsidP="00196776">
      <w:pPr>
        <w:pStyle w:val="para"/>
        <w:tabs>
          <w:tab w:val="left" w:pos="1134"/>
          <w:tab w:val="left" w:pos="2268"/>
          <w:tab w:val="right" w:leader="dot" w:pos="8505"/>
        </w:tabs>
        <w:rPr>
          <w:lang w:val="en-GB"/>
        </w:rPr>
      </w:pPr>
      <w:r w:rsidRPr="00B04DC3">
        <w:rPr>
          <w:lang w:val="en-GB"/>
        </w:rPr>
        <w:t>3.2.8.1.1.</w:t>
      </w:r>
      <w:r w:rsidRPr="00B04DC3">
        <w:rPr>
          <w:lang w:val="en-GB"/>
        </w:rPr>
        <w:tab/>
        <w:t>Fuel composition:</w:t>
      </w:r>
    </w:p>
    <w:tbl>
      <w:tblPr>
        <w:tblW w:w="6892" w:type="dxa"/>
        <w:tblInd w:w="2268" w:type="dxa"/>
        <w:tblLayout w:type="fixed"/>
        <w:tblLook w:val="01E0" w:firstRow="1" w:lastRow="1" w:firstColumn="1" w:lastColumn="1" w:noHBand="0" w:noVBand="0"/>
      </w:tblPr>
      <w:tblGrid>
        <w:gridCol w:w="1640"/>
        <w:gridCol w:w="900"/>
        <w:gridCol w:w="900"/>
        <w:gridCol w:w="900"/>
        <w:gridCol w:w="800"/>
        <w:gridCol w:w="952"/>
        <w:gridCol w:w="800"/>
      </w:tblGrid>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rPr>
                <w:vertAlign w:val="subscript"/>
              </w:rPr>
            </w:pPr>
            <w:r w:rsidRPr="001A1FEB">
              <w:t>methane (CH</w:t>
            </w:r>
            <w:r w:rsidRPr="001A1FEB">
              <w:rPr>
                <w:vertAlign w:val="subscript"/>
              </w:rPr>
              <w:t>4</w:t>
            </w:r>
            <w:r w:rsidRPr="001A1FEB">
              <w:t>):</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ethane (C</w:t>
            </w:r>
            <w:r w:rsidRPr="001A1FEB">
              <w:rPr>
                <w:vertAlign w:val="subscript"/>
              </w:rPr>
              <w:t>2</w:t>
            </w:r>
            <w:r w:rsidRPr="001A1FEB">
              <w:t>H</w:t>
            </w:r>
            <w:r w:rsidRPr="001A1FEB">
              <w:rPr>
                <w:vertAlign w:val="subscript"/>
              </w:rPr>
              <w:t>6</w:t>
            </w:r>
            <w:r w:rsidRPr="001A1FEB">
              <w:t>):</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propane (C</w:t>
            </w:r>
            <w:r w:rsidRPr="001A1FEB">
              <w:rPr>
                <w:vertAlign w:val="subscript"/>
              </w:rPr>
              <w:t>3</w:t>
            </w:r>
            <w:r w:rsidRPr="001A1FEB">
              <w:t>H</w:t>
            </w:r>
            <w:r w:rsidRPr="001A1FEB">
              <w:rPr>
                <w:vertAlign w:val="subscript"/>
              </w:rPr>
              <w:t>8</w:t>
            </w:r>
            <w:r w:rsidRPr="001A1FEB">
              <w:t>):</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butane (C</w:t>
            </w:r>
            <w:r w:rsidRPr="001A1FEB">
              <w:rPr>
                <w:vertAlign w:val="subscript"/>
              </w:rPr>
              <w:t>4</w:t>
            </w:r>
            <w:r w:rsidRPr="001A1FEB">
              <w:t>H</w:t>
            </w:r>
            <w:r w:rsidRPr="001A1FEB">
              <w:rPr>
                <w:vertAlign w:val="subscript"/>
              </w:rPr>
              <w:t>10</w:t>
            </w:r>
            <w:r w:rsidRPr="001A1FEB">
              <w:t>)</w:t>
            </w:r>
            <w:r w:rsidR="00594E5F" w:rsidRPr="001A1FEB">
              <w:t>:</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C5/C5+:</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oxygen (O</w:t>
            </w:r>
            <w:r w:rsidRPr="001A1FEB">
              <w:rPr>
                <w:vertAlign w:val="subscript"/>
              </w:rPr>
              <w:t>2</w:t>
            </w:r>
            <w:r w:rsidRPr="001A1FEB">
              <w:t>):</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r w:rsidR="00A00D72" w:rsidRPr="00B04DC3" w:rsidTr="009207B2">
        <w:tc>
          <w:tcPr>
            <w:tcW w:w="1640" w:type="dxa"/>
            <w:shd w:val="clear" w:color="auto" w:fill="auto"/>
          </w:tcPr>
          <w:p w:rsidR="00A00D72" w:rsidRPr="001A1FEB" w:rsidRDefault="00A00D72" w:rsidP="001A1FEB">
            <w:pPr>
              <w:tabs>
                <w:tab w:val="right" w:leader="dot" w:pos="9356"/>
              </w:tabs>
              <w:autoSpaceDE w:val="0"/>
              <w:autoSpaceDN w:val="0"/>
              <w:adjustRightInd w:val="0"/>
              <w:spacing w:beforeLines="40" w:before="96" w:after="40" w:line="240" w:lineRule="auto"/>
              <w:ind w:right="-136"/>
            </w:pPr>
            <w:r w:rsidRPr="001A1FEB">
              <w:t>inert (N</w:t>
            </w:r>
            <w:r w:rsidRPr="001A1FEB">
              <w:rPr>
                <w:vertAlign w:val="subscript"/>
              </w:rPr>
              <w:t>2</w:t>
            </w:r>
            <w:r w:rsidRPr="001A1FEB">
              <w:t>, He, etc.):</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40" w:line="240" w:lineRule="auto"/>
              <w:ind w:right="-136"/>
            </w:pPr>
            <w:r w:rsidRPr="001A1FEB">
              <w:t>basis:.….</w:t>
            </w:r>
          </w:p>
        </w:tc>
        <w:tc>
          <w:tcPr>
            <w:tcW w:w="9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00"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min:…..</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right="-136"/>
            </w:pPr>
            <w:r w:rsidRPr="001A1FEB">
              <w:t>% mole</w:t>
            </w:r>
          </w:p>
        </w:tc>
        <w:tc>
          <w:tcPr>
            <w:tcW w:w="952" w:type="dxa"/>
            <w:shd w:val="clear" w:color="auto" w:fill="auto"/>
          </w:tcPr>
          <w:p w:rsidR="00A00D72" w:rsidRPr="001A1FEB" w:rsidRDefault="00A00D72" w:rsidP="001A1FEB">
            <w:pPr>
              <w:tabs>
                <w:tab w:val="right" w:leader="dot" w:pos="9356"/>
              </w:tabs>
              <w:autoSpaceDE w:val="0"/>
              <w:autoSpaceDN w:val="0"/>
              <w:adjustRightInd w:val="0"/>
              <w:spacing w:beforeLines="40" w:before="96" w:afterLines="40" w:after="96" w:line="240" w:lineRule="auto"/>
              <w:ind w:right="-136"/>
            </w:pPr>
            <w:r w:rsidRPr="001A1FEB">
              <w:t>max.:….</w:t>
            </w:r>
          </w:p>
        </w:tc>
        <w:tc>
          <w:tcPr>
            <w:tcW w:w="800" w:type="dxa"/>
            <w:shd w:val="clear" w:color="auto" w:fill="auto"/>
          </w:tcPr>
          <w:p w:rsidR="00A00D72" w:rsidRPr="001A1FEB" w:rsidRDefault="00A00D72" w:rsidP="001A1FEB">
            <w:pPr>
              <w:tabs>
                <w:tab w:val="left" w:pos="1701"/>
                <w:tab w:val="right" w:leader="dot" w:pos="9356"/>
              </w:tabs>
              <w:autoSpaceDE w:val="0"/>
              <w:autoSpaceDN w:val="0"/>
              <w:adjustRightInd w:val="0"/>
              <w:spacing w:beforeLines="40" w:before="96" w:afterLines="40" w:after="96" w:line="240" w:lineRule="auto"/>
              <w:ind w:left="48" w:right="-136"/>
            </w:pPr>
            <w:r w:rsidRPr="001A1FEB">
              <w:t>% mole</w:t>
            </w:r>
          </w:p>
        </w:tc>
      </w:tr>
    </w:tbl>
    <w:p w:rsidR="00C0100D" w:rsidRPr="00B04DC3" w:rsidRDefault="00C0100D" w:rsidP="00EB2682">
      <w:pPr>
        <w:pStyle w:val="para"/>
        <w:tabs>
          <w:tab w:val="left" w:pos="1134"/>
          <w:tab w:val="left" w:pos="2268"/>
          <w:tab w:val="right" w:leader="dot" w:pos="8505"/>
        </w:tabs>
        <w:spacing w:before="240" w:after="80"/>
        <w:rPr>
          <w:lang w:val="en-GB"/>
        </w:rPr>
      </w:pPr>
      <w:r w:rsidRPr="00B04DC3">
        <w:rPr>
          <w:lang w:val="en-GB"/>
        </w:rPr>
        <w:t>3.2.8.1.2.</w:t>
      </w:r>
      <w:r w:rsidRPr="00B04DC3">
        <w:rPr>
          <w:lang w:val="en-GB"/>
        </w:rPr>
        <w:tab/>
        <w:t>Injector(s)</w:t>
      </w:r>
    </w:p>
    <w:p w:rsidR="00C0100D" w:rsidRPr="00B04DC3" w:rsidRDefault="00C0100D" w:rsidP="0088711D">
      <w:pPr>
        <w:pStyle w:val="para"/>
        <w:tabs>
          <w:tab w:val="left" w:pos="1134"/>
          <w:tab w:val="left" w:pos="2268"/>
          <w:tab w:val="right" w:leader="dot" w:pos="8505"/>
        </w:tabs>
        <w:rPr>
          <w:lang w:val="en-GB"/>
        </w:rPr>
      </w:pPr>
      <w:r w:rsidRPr="00B04DC3">
        <w:rPr>
          <w:lang w:val="en-GB"/>
        </w:rPr>
        <w:t>3.2.8.1.2.1.</w:t>
      </w:r>
      <w:r w:rsidRPr="00B04DC3">
        <w:rPr>
          <w:lang w:val="en-GB"/>
        </w:rPr>
        <w:tab/>
        <w:t>Make(s):</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3.2.8.1.2.2.</w:t>
      </w:r>
      <w:r w:rsidRPr="00B04DC3">
        <w:rPr>
          <w:lang w:val="en-GB"/>
        </w:rPr>
        <w:tab/>
        <w:t>Type(s):</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3.2.8.1.3.</w:t>
      </w:r>
      <w:r w:rsidRPr="00B04DC3">
        <w:rPr>
          <w:lang w:val="en-GB"/>
        </w:rPr>
        <w:tab/>
        <w:t>Others (if applicable)</w:t>
      </w:r>
    </w:p>
    <w:p w:rsidR="00C0100D" w:rsidRPr="00B04DC3" w:rsidRDefault="00C0100D" w:rsidP="0088711D">
      <w:pPr>
        <w:pStyle w:val="para"/>
        <w:tabs>
          <w:tab w:val="left" w:pos="1134"/>
          <w:tab w:val="left" w:pos="2268"/>
          <w:tab w:val="right" w:leader="dot" w:pos="8505"/>
        </w:tabs>
        <w:rPr>
          <w:lang w:val="en-GB"/>
        </w:rPr>
      </w:pPr>
      <w:r w:rsidRPr="00B04DC3">
        <w:rPr>
          <w:lang w:val="en-GB"/>
        </w:rPr>
        <w:t>3.2.8.2.</w:t>
      </w:r>
      <w:r w:rsidRPr="00B04DC3">
        <w:rPr>
          <w:lang w:val="en-GB"/>
        </w:rPr>
        <w:tab/>
        <w:t>Variant 2</w:t>
      </w:r>
      <w:r w:rsidR="002248F7" w:rsidRPr="00B04DC3">
        <w:rPr>
          <w:lang w:val="en-GB"/>
        </w:rPr>
        <w:t xml:space="preserve"> </w:t>
      </w:r>
      <w:r w:rsidRPr="00B04DC3">
        <w:rPr>
          <w:lang w:val="en-GB"/>
        </w:rPr>
        <w:tab/>
        <w:t>(</w:t>
      </w:r>
      <w:r w:rsidR="002248F7" w:rsidRPr="00B04DC3">
        <w:rPr>
          <w:lang w:val="en-GB"/>
        </w:rPr>
        <w:t>o</w:t>
      </w:r>
      <w:r w:rsidR="0088711D" w:rsidRPr="00B04DC3">
        <w:rPr>
          <w:lang w:val="en-GB"/>
        </w:rPr>
        <w:t>nly</w:t>
      </w:r>
      <w:r w:rsidRPr="00B04DC3">
        <w:rPr>
          <w:lang w:val="en-GB"/>
        </w:rPr>
        <w:t xml:space="preserve"> in the case of approvals for several specific fuel compositions)</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4.</w:t>
      </w:r>
      <w:r w:rsidRPr="00B04DC3">
        <w:rPr>
          <w:lang w:val="en-GB"/>
        </w:rPr>
        <w:tab/>
        <w:t>Valve timing</w:t>
      </w:r>
    </w:p>
    <w:p w:rsidR="00C0100D" w:rsidRPr="00B04DC3" w:rsidRDefault="00C0100D" w:rsidP="0088711D">
      <w:pPr>
        <w:pStyle w:val="para"/>
        <w:tabs>
          <w:tab w:val="left" w:pos="1134"/>
          <w:tab w:val="left" w:pos="2268"/>
          <w:tab w:val="right" w:leader="dot" w:pos="8505"/>
        </w:tabs>
        <w:rPr>
          <w:lang w:val="en-GB"/>
        </w:rPr>
      </w:pPr>
      <w:r w:rsidRPr="00B04DC3">
        <w:rPr>
          <w:lang w:val="en-GB"/>
        </w:rPr>
        <w:t>4.1.</w:t>
      </w:r>
      <w:r w:rsidRPr="00B04DC3">
        <w:rPr>
          <w:lang w:val="en-GB"/>
        </w:rPr>
        <w:tab/>
        <w:t>Maximum lift of valves and angles of opening and closing in relation to dead centres of equivalent data:</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4.2.</w:t>
      </w:r>
      <w:r w:rsidRPr="00B04DC3">
        <w:rPr>
          <w:lang w:val="en-GB"/>
        </w:rPr>
        <w:tab/>
      </w:r>
      <w:r w:rsidR="0088711D" w:rsidRPr="00B04DC3">
        <w:rPr>
          <w:lang w:val="en-GB"/>
        </w:rPr>
        <w:t>Reference and/or setting ranges</w:t>
      </w:r>
      <w:r w:rsidR="008F0EE6">
        <w:rPr>
          <w:lang w:val="en-GB"/>
        </w:rPr>
        <w:t>:</w:t>
      </w:r>
      <w:r w:rsidR="0088711D" w:rsidRPr="00B04DC3">
        <w:rPr>
          <w:vertAlign w:val="superscript"/>
          <w:lang w:val="en-GB"/>
        </w:rPr>
        <w:t>2</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5.</w:t>
      </w:r>
      <w:r w:rsidRPr="00B04DC3">
        <w:rPr>
          <w:lang w:val="en-GB"/>
        </w:rPr>
        <w:tab/>
        <w:t>Ignition system (spark ignition engines only)</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5.1.</w:t>
      </w:r>
      <w:r w:rsidRPr="00B04DC3">
        <w:rPr>
          <w:lang w:val="en-GB"/>
        </w:rPr>
        <w:tab/>
        <w:t>Ignition system type:</w:t>
      </w:r>
      <w:r w:rsidR="009B6E08" w:rsidRPr="00B04DC3">
        <w:rPr>
          <w:lang w:val="en-GB"/>
        </w:rPr>
        <w:t xml:space="preserve"> </w:t>
      </w:r>
      <w:r w:rsidRPr="00B04DC3">
        <w:rPr>
          <w:lang w:val="en-GB"/>
        </w:rPr>
        <w:t>common coil and plugs/individual coil and plugs/c</w:t>
      </w:r>
      <w:r w:rsidR="0088711D" w:rsidRPr="00B04DC3">
        <w:rPr>
          <w:lang w:val="en-GB"/>
        </w:rPr>
        <w:t>oil on plug/other (specify)</w:t>
      </w:r>
      <w:r w:rsidR="0088711D" w:rsidRPr="00B04DC3">
        <w:rPr>
          <w:vertAlign w:val="superscript"/>
          <w:lang w:val="en-GB"/>
        </w:rPr>
        <w:t>2</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5.2.</w:t>
      </w:r>
      <w:r w:rsidRPr="00B04DC3">
        <w:rPr>
          <w:lang w:val="en-GB"/>
        </w:rPr>
        <w:tab/>
        <w:t>Ignition control unit</w:t>
      </w:r>
    </w:p>
    <w:p w:rsidR="00C0100D" w:rsidRPr="00B04DC3" w:rsidRDefault="00C0100D" w:rsidP="0088711D">
      <w:pPr>
        <w:pStyle w:val="para"/>
        <w:tabs>
          <w:tab w:val="left" w:pos="1134"/>
          <w:tab w:val="left" w:pos="2268"/>
          <w:tab w:val="right" w:leader="dot" w:pos="8505"/>
        </w:tabs>
        <w:rPr>
          <w:lang w:val="en-GB"/>
        </w:rPr>
      </w:pPr>
      <w:r w:rsidRPr="00B04DC3">
        <w:rPr>
          <w:lang w:val="en-GB"/>
        </w:rPr>
        <w:t>5.2.1.</w:t>
      </w:r>
      <w:r w:rsidRPr="00B04DC3">
        <w:rPr>
          <w:lang w:val="en-GB"/>
        </w:rPr>
        <w:tab/>
        <w:t>Make(s):</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5.2.2.</w:t>
      </w:r>
      <w:r w:rsidRPr="00B04DC3">
        <w:rPr>
          <w:lang w:val="en-GB"/>
        </w:rPr>
        <w:tab/>
        <w:t>Type(s):</w:t>
      </w:r>
      <w:r w:rsidRPr="00B04DC3">
        <w:rPr>
          <w:lang w:val="en-GB"/>
        </w:rPr>
        <w:tab/>
      </w:r>
    </w:p>
    <w:p w:rsidR="00C0100D" w:rsidRPr="00B04DC3" w:rsidRDefault="00C0100D" w:rsidP="0088711D">
      <w:pPr>
        <w:pStyle w:val="para"/>
        <w:tabs>
          <w:tab w:val="left" w:pos="1134"/>
          <w:tab w:val="left" w:pos="2268"/>
          <w:tab w:val="right" w:leader="dot" w:pos="8505"/>
        </w:tabs>
        <w:rPr>
          <w:lang w:val="en-GB"/>
        </w:rPr>
      </w:pPr>
      <w:r w:rsidRPr="00B04DC3">
        <w:rPr>
          <w:lang w:val="en-GB"/>
        </w:rPr>
        <w:t>5.3.</w:t>
      </w:r>
      <w:r w:rsidRPr="00B04DC3">
        <w:rPr>
          <w:lang w:val="en-GB"/>
        </w:rPr>
        <w:tab/>
        <w:t>Ignit</w:t>
      </w:r>
      <w:r w:rsidR="002248F7" w:rsidRPr="00B04DC3">
        <w:rPr>
          <w:lang w:val="en-GB"/>
        </w:rPr>
        <w:t>ion advance curve / advance map</w:t>
      </w:r>
      <w:r w:rsidR="008F0EE6">
        <w:rPr>
          <w:lang w:val="en-GB"/>
        </w:rPr>
        <w:t>:</w:t>
      </w:r>
      <w:r w:rsidRPr="00B04DC3">
        <w:rPr>
          <w:vertAlign w:val="superscript"/>
          <w:lang w:val="en-GB"/>
        </w:rPr>
        <w:t>2</w:t>
      </w:r>
      <w:r w:rsidR="002248F7" w:rsidRPr="00B04DC3">
        <w:rPr>
          <w:vertAlign w:val="superscript"/>
          <w:lang w:val="en-GB"/>
        </w:rPr>
        <w:t>,</w:t>
      </w:r>
      <w:r w:rsidRPr="00B04DC3">
        <w:rPr>
          <w:vertAlign w:val="superscript"/>
          <w:lang w:val="en-GB"/>
        </w:rPr>
        <w:t>3</w:t>
      </w:r>
      <w:r w:rsidRPr="00B04DC3">
        <w:rPr>
          <w:lang w:val="en-GB"/>
        </w:rPr>
        <w:tab/>
      </w:r>
    </w:p>
    <w:p w:rsidR="00C0100D" w:rsidRPr="00B04DC3" w:rsidRDefault="0088711D" w:rsidP="0088711D">
      <w:pPr>
        <w:pStyle w:val="para"/>
        <w:tabs>
          <w:tab w:val="left" w:pos="1134"/>
          <w:tab w:val="left" w:pos="2268"/>
          <w:tab w:val="right" w:leader="dot" w:pos="8505"/>
        </w:tabs>
        <w:rPr>
          <w:lang w:val="en-GB"/>
        </w:rPr>
      </w:pPr>
      <w:r w:rsidRPr="00B04DC3">
        <w:rPr>
          <w:lang w:val="en-GB"/>
        </w:rPr>
        <w:t>5.4.</w:t>
      </w:r>
      <w:r w:rsidRPr="00B04DC3">
        <w:rPr>
          <w:lang w:val="en-GB"/>
        </w:rPr>
        <w:tab/>
        <w:t>Ignition timing</w:t>
      </w:r>
      <w:r w:rsidR="008F0EE6">
        <w:rPr>
          <w:lang w:val="en-GB"/>
        </w:rPr>
        <w:t>:</w:t>
      </w:r>
      <w:r w:rsidR="002248F7" w:rsidRPr="00B04DC3">
        <w:rPr>
          <w:vertAlign w:val="superscript"/>
          <w:lang w:val="en-GB"/>
        </w:rPr>
        <w:t>3</w:t>
      </w:r>
      <w:r w:rsidRPr="00B04DC3">
        <w:rPr>
          <w:lang w:val="en-GB"/>
        </w:rPr>
        <w:t>…………..</w:t>
      </w:r>
      <w:r w:rsidR="00C0100D" w:rsidRPr="00B04DC3">
        <w:rPr>
          <w:lang w:val="en-GB"/>
        </w:rPr>
        <w:t>degrees before TDC at a speed of</w:t>
      </w:r>
      <w:r w:rsidR="00C0100D" w:rsidRPr="00B04DC3">
        <w:rPr>
          <w:lang w:val="en-GB"/>
        </w:rPr>
        <w:tab/>
        <w:t>min</w:t>
      </w:r>
      <w:r w:rsidR="00C0100D" w:rsidRPr="00B04DC3">
        <w:rPr>
          <w:vertAlign w:val="superscript"/>
          <w:lang w:val="en-GB"/>
        </w:rPr>
        <w:t>-1</w:t>
      </w:r>
      <w:r w:rsidR="00C0100D" w:rsidRPr="00B04DC3">
        <w:rPr>
          <w:lang w:val="en-GB"/>
        </w:rPr>
        <w:br/>
        <w:t>and a MAP of</w:t>
      </w:r>
      <w:r w:rsidR="00C0100D" w:rsidRPr="00B04DC3">
        <w:rPr>
          <w:lang w:val="en-GB"/>
        </w:rPr>
        <w:tab/>
      </w:r>
      <w:r w:rsidR="002248F7" w:rsidRPr="00B04DC3">
        <w:rPr>
          <w:lang w:val="en-GB"/>
        </w:rPr>
        <w:t>k</w:t>
      </w:r>
      <w:r w:rsidR="00C0100D" w:rsidRPr="00B04DC3">
        <w:rPr>
          <w:lang w:val="en-GB"/>
        </w:rPr>
        <w:t>Pa</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5.5.</w:t>
      </w:r>
      <w:r w:rsidRPr="00B04DC3">
        <w:rPr>
          <w:lang w:val="en-GB"/>
        </w:rPr>
        <w:tab/>
        <w:t>Spark plugs</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5.5.1.</w:t>
      </w:r>
      <w:r w:rsidRPr="00B04DC3">
        <w:rPr>
          <w:lang w:val="en-GB"/>
        </w:rPr>
        <w:tab/>
        <w:t>Make(s):</w:t>
      </w:r>
      <w:r w:rsidRPr="00B04DC3">
        <w:rPr>
          <w:lang w:val="en-GB"/>
        </w:rPr>
        <w:tab/>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5.5.2.</w:t>
      </w:r>
      <w:r w:rsidRPr="00B04DC3">
        <w:rPr>
          <w:lang w:val="en-GB"/>
        </w:rPr>
        <w:tab/>
        <w:t>Type(s):</w:t>
      </w:r>
      <w:r w:rsidRPr="00B04DC3">
        <w:rPr>
          <w:lang w:val="en-GB"/>
        </w:rPr>
        <w:tab/>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5.5.3.</w:t>
      </w:r>
      <w:r w:rsidRPr="00B04DC3">
        <w:rPr>
          <w:lang w:val="en-GB"/>
        </w:rPr>
        <w:tab/>
        <w:t>Gap setting:</w:t>
      </w:r>
      <w:r w:rsidRPr="00B04DC3">
        <w:rPr>
          <w:lang w:val="en-GB"/>
        </w:rPr>
        <w:tab/>
        <w:t>mm</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5.6.</w:t>
      </w:r>
      <w:r w:rsidRPr="00B04DC3">
        <w:rPr>
          <w:lang w:val="en-GB"/>
        </w:rPr>
        <w:tab/>
        <w:t>Ignition coil(s)</w:t>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5.6.1.</w:t>
      </w:r>
      <w:r w:rsidRPr="00B04DC3">
        <w:rPr>
          <w:lang w:val="en-GB"/>
        </w:rPr>
        <w:tab/>
        <w:t>Make(s):</w:t>
      </w:r>
      <w:r w:rsidRPr="00B04DC3">
        <w:rPr>
          <w:lang w:val="en-GB"/>
        </w:rPr>
        <w:tab/>
      </w:r>
    </w:p>
    <w:p w:rsidR="00C0100D" w:rsidRPr="00B04DC3" w:rsidRDefault="00C0100D" w:rsidP="00EC1BB4">
      <w:pPr>
        <w:pStyle w:val="para"/>
        <w:tabs>
          <w:tab w:val="left" w:pos="1134"/>
          <w:tab w:val="left" w:pos="2268"/>
          <w:tab w:val="right" w:leader="dot" w:pos="8505"/>
        </w:tabs>
        <w:spacing w:after="80"/>
        <w:rPr>
          <w:lang w:val="en-GB"/>
        </w:rPr>
      </w:pPr>
      <w:r w:rsidRPr="00B04DC3">
        <w:rPr>
          <w:lang w:val="en-GB"/>
        </w:rPr>
        <w:t>5.6.2.</w:t>
      </w:r>
      <w:r w:rsidRPr="00B04DC3">
        <w:rPr>
          <w:lang w:val="en-GB"/>
        </w:rPr>
        <w:tab/>
        <w:t>Type(s):</w:t>
      </w:r>
      <w:r w:rsidRPr="00B04DC3">
        <w:rPr>
          <w:lang w:val="en-GB"/>
        </w:rPr>
        <w:tab/>
      </w:r>
    </w:p>
    <w:p w:rsidR="00C0100D" w:rsidRPr="00B04DC3" w:rsidRDefault="00C0100D" w:rsidP="00AA0E48">
      <w:pPr>
        <w:pStyle w:val="para"/>
        <w:keepNext/>
        <w:keepLines/>
        <w:spacing w:after="100"/>
        <w:rPr>
          <w:lang w:val="en-GB"/>
        </w:rPr>
      </w:pPr>
      <w:r w:rsidRPr="00B04DC3">
        <w:rPr>
          <w:lang w:val="en-GB"/>
        </w:rPr>
        <w:t>6.</w:t>
      </w:r>
      <w:r w:rsidRPr="00B04DC3">
        <w:rPr>
          <w:lang w:val="en-GB"/>
        </w:rPr>
        <w:tab/>
        <w:t>Engine-driven equipment</w:t>
      </w:r>
    </w:p>
    <w:p w:rsidR="00C0100D" w:rsidRPr="00B04DC3" w:rsidRDefault="00C0100D" w:rsidP="00AA0E48">
      <w:pPr>
        <w:pStyle w:val="para"/>
        <w:keepNext/>
        <w:keepLines/>
        <w:spacing w:after="100"/>
        <w:rPr>
          <w:lang w:val="en-GB"/>
        </w:rPr>
      </w:pPr>
      <w:r w:rsidRPr="00B04DC3">
        <w:rPr>
          <w:lang w:val="en-GB"/>
        </w:rPr>
        <w:tab/>
        <w:t>The engine shall be submitted for testing with the auxiliaries needed for operating the engine (e.g. fan, water pump etc.), as specified in and under the operating conditions of Regulation No. 24, 03 series of amendments, Annex</w:t>
      </w:r>
      <w:r w:rsidR="00540512" w:rsidRPr="00B04DC3">
        <w:rPr>
          <w:lang w:val="en-GB"/>
        </w:rPr>
        <w:t> </w:t>
      </w:r>
      <w:r w:rsidRPr="00B04DC3">
        <w:rPr>
          <w:lang w:val="en-GB"/>
        </w:rPr>
        <w:t>10, paragraph 5.1.1.</w:t>
      </w:r>
    </w:p>
    <w:p w:rsidR="00C0100D" w:rsidRPr="00B04DC3" w:rsidRDefault="00C0100D" w:rsidP="00AA0E48">
      <w:pPr>
        <w:pStyle w:val="para"/>
        <w:spacing w:after="100"/>
        <w:rPr>
          <w:lang w:val="en-GB"/>
        </w:rPr>
      </w:pPr>
      <w:r w:rsidRPr="00B04DC3">
        <w:rPr>
          <w:lang w:val="en-GB"/>
        </w:rPr>
        <w:t>6.1.</w:t>
      </w:r>
      <w:r w:rsidRPr="00B04DC3">
        <w:rPr>
          <w:lang w:val="en-GB"/>
        </w:rPr>
        <w:tab/>
        <w:t>Auxiliaries to be fitted for the test</w:t>
      </w:r>
    </w:p>
    <w:p w:rsidR="00C0100D" w:rsidRPr="00B04DC3" w:rsidRDefault="00C0100D" w:rsidP="00AA0E48">
      <w:pPr>
        <w:pStyle w:val="para"/>
        <w:spacing w:after="100"/>
        <w:rPr>
          <w:lang w:val="en-GB"/>
        </w:rPr>
      </w:pPr>
      <w:r w:rsidRPr="00B04DC3">
        <w:rPr>
          <w:lang w:val="en-GB"/>
        </w:rPr>
        <w:tab/>
        <w:t>If it is impossible or inappropriate to install the auxiliaries on the test bench, the power absorbed by them shall be determined and subtracted from the measured engine power over the whole operating area of the test cycle(s).</w:t>
      </w:r>
    </w:p>
    <w:p w:rsidR="00C0100D" w:rsidRPr="00B04DC3" w:rsidRDefault="00C0100D" w:rsidP="00AA0E48">
      <w:pPr>
        <w:pStyle w:val="para"/>
        <w:spacing w:after="100"/>
        <w:rPr>
          <w:lang w:val="en-GB"/>
        </w:rPr>
      </w:pPr>
      <w:r w:rsidRPr="00B04DC3">
        <w:rPr>
          <w:lang w:val="en-GB"/>
        </w:rPr>
        <w:t>6.2.</w:t>
      </w:r>
      <w:r w:rsidRPr="00B04DC3">
        <w:rPr>
          <w:lang w:val="en-GB"/>
        </w:rPr>
        <w:tab/>
        <w:t>Auxiliaries to be removed for the test</w:t>
      </w:r>
    </w:p>
    <w:p w:rsidR="00C0100D" w:rsidRPr="00B04DC3" w:rsidRDefault="00C0100D" w:rsidP="00AA0E48">
      <w:pPr>
        <w:pStyle w:val="para"/>
        <w:spacing w:after="100"/>
        <w:rPr>
          <w:lang w:val="en-GB"/>
        </w:rPr>
      </w:pPr>
      <w:r w:rsidRPr="00B04DC3">
        <w:rPr>
          <w:lang w:val="en-GB"/>
        </w:rPr>
        <w:tab/>
        <w:t>Auxiliaries needed only for the operation of the vehicle (e.g. air compressor, air-conditioning system etc.) shall be removed for the test</w:t>
      </w:r>
      <w:r w:rsidR="00401E79" w:rsidRPr="00B04DC3">
        <w:rPr>
          <w:lang w:val="en-GB"/>
        </w:rPr>
        <w:t xml:space="preserve">. </w:t>
      </w:r>
      <w:r w:rsidRPr="00B04DC3">
        <w:rPr>
          <w:lang w:val="en-GB"/>
        </w:rPr>
        <w:t>Where the auxiliaries cannot be removed, the power absorbed by them may be determined and added to the measured engine power over the whole operating area of the test cycle(s).</w:t>
      </w:r>
    </w:p>
    <w:p w:rsidR="00C0100D" w:rsidRPr="00B04DC3" w:rsidRDefault="00C0100D" w:rsidP="00AA0E48">
      <w:pPr>
        <w:pStyle w:val="para"/>
        <w:spacing w:after="100"/>
        <w:rPr>
          <w:lang w:val="en-GB"/>
        </w:rPr>
      </w:pPr>
      <w:r w:rsidRPr="00B04DC3">
        <w:rPr>
          <w:lang w:val="en-GB"/>
        </w:rPr>
        <w:t>7.</w:t>
      </w:r>
      <w:r w:rsidRPr="00B04DC3">
        <w:rPr>
          <w:lang w:val="en-GB"/>
        </w:rPr>
        <w:tab/>
        <w:t>Additional information on test conditions</w:t>
      </w:r>
    </w:p>
    <w:p w:rsidR="00C0100D" w:rsidRPr="00B04DC3" w:rsidRDefault="00C0100D" w:rsidP="00AA0E48">
      <w:pPr>
        <w:pStyle w:val="para"/>
        <w:spacing w:after="100"/>
        <w:rPr>
          <w:lang w:val="en-GB"/>
        </w:rPr>
      </w:pPr>
      <w:r w:rsidRPr="00B04DC3">
        <w:rPr>
          <w:lang w:val="en-GB"/>
        </w:rPr>
        <w:t>7.1.</w:t>
      </w:r>
      <w:r w:rsidRPr="00B04DC3">
        <w:rPr>
          <w:lang w:val="en-GB"/>
        </w:rPr>
        <w:tab/>
        <w:t>Lubricant used</w:t>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7.1.1.</w:t>
      </w:r>
      <w:r w:rsidRPr="00B04DC3">
        <w:rPr>
          <w:lang w:val="en-GB"/>
        </w:rPr>
        <w:tab/>
        <w:t>Make:</w:t>
      </w:r>
      <w:r w:rsidRPr="00B04DC3">
        <w:rPr>
          <w:lang w:val="en-GB"/>
        </w:rPr>
        <w:tab/>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7.1.2.</w:t>
      </w:r>
      <w:r w:rsidRPr="00B04DC3">
        <w:rPr>
          <w:lang w:val="en-GB"/>
        </w:rPr>
        <w:tab/>
        <w:t>Type:</w:t>
      </w:r>
      <w:r w:rsidRPr="00B04DC3">
        <w:rPr>
          <w:lang w:val="en-GB"/>
        </w:rPr>
        <w:tab/>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ab/>
        <w:t>(State percentage of oil in mixture if lubricant and fuel are mixed):</w:t>
      </w:r>
      <w:r w:rsidRPr="00B04DC3">
        <w:rPr>
          <w:lang w:val="en-GB"/>
        </w:rPr>
        <w:tab/>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7.2.</w:t>
      </w:r>
      <w:r w:rsidRPr="00B04DC3">
        <w:rPr>
          <w:lang w:val="en-GB"/>
        </w:rPr>
        <w:tab/>
        <w:t>Engine-driven equipment (if applicable)</w:t>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ab/>
        <w:t xml:space="preserve">The power absorbed by the auxiliaries needs only be determined, </w:t>
      </w:r>
    </w:p>
    <w:p w:rsidR="00C0100D" w:rsidRPr="00B04DC3" w:rsidRDefault="00C0100D" w:rsidP="00AA0E48">
      <w:pPr>
        <w:pStyle w:val="a"/>
        <w:spacing w:after="100"/>
        <w:rPr>
          <w:lang w:val="en-GB"/>
        </w:rPr>
      </w:pPr>
      <w:r w:rsidRPr="00B04DC3">
        <w:rPr>
          <w:lang w:val="en-GB"/>
        </w:rPr>
        <w:t xml:space="preserve">(a) </w:t>
      </w:r>
      <w:r w:rsidR="003C301D" w:rsidRPr="00B04DC3">
        <w:rPr>
          <w:lang w:val="en-GB"/>
        </w:rPr>
        <w:tab/>
      </w:r>
      <w:r w:rsidR="007C3750" w:rsidRPr="00B04DC3">
        <w:rPr>
          <w:lang w:val="en-GB"/>
        </w:rPr>
        <w:t>If</w:t>
      </w:r>
      <w:r w:rsidRPr="00B04DC3">
        <w:rPr>
          <w:lang w:val="en-GB"/>
        </w:rPr>
        <w:t xml:space="preserve"> auxiliaries needed for operating the engine, are not fitted to the engine and/or</w:t>
      </w:r>
    </w:p>
    <w:p w:rsidR="00C0100D" w:rsidRPr="00AA0E48" w:rsidRDefault="00C0100D" w:rsidP="00AA0E48">
      <w:pPr>
        <w:pStyle w:val="a"/>
        <w:spacing w:after="100"/>
        <w:rPr>
          <w:spacing w:val="-4"/>
          <w:lang w:val="en-GB"/>
        </w:rPr>
      </w:pPr>
      <w:r w:rsidRPr="00AA0E48">
        <w:rPr>
          <w:spacing w:val="-4"/>
          <w:lang w:val="en-GB"/>
        </w:rPr>
        <w:t xml:space="preserve">(b) </w:t>
      </w:r>
      <w:r w:rsidR="003C301D" w:rsidRPr="00AA0E48">
        <w:rPr>
          <w:spacing w:val="-4"/>
          <w:lang w:val="en-GB"/>
        </w:rPr>
        <w:tab/>
      </w:r>
      <w:r w:rsidR="007C3750" w:rsidRPr="00AA0E48">
        <w:rPr>
          <w:spacing w:val="-4"/>
          <w:lang w:val="en-GB"/>
        </w:rPr>
        <w:t>If</w:t>
      </w:r>
      <w:r w:rsidRPr="00AA0E48">
        <w:rPr>
          <w:spacing w:val="-4"/>
          <w:lang w:val="en-GB"/>
        </w:rPr>
        <w:t xml:space="preserve"> auxiliaries not needed for operating the engine, are fitted to the engine. </w:t>
      </w:r>
    </w:p>
    <w:p w:rsidR="00C0100D" w:rsidRPr="00B04DC3" w:rsidRDefault="00C0100D" w:rsidP="00AA0E48">
      <w:pPr>
        <w:pStyle w:val="para"/>
        <w:tabs>
          <w:tab w:val="left" w:pos="1134"/>
          <w:tab w:val="left" w:pos="2268"/>
          <w:tab w:val="right" w:leader="dot" w:pos="8505"/>
        </w:tabs>
        <w:spacing w:after="100"/>
        <w:rPr>
          <w:lang w:val="en-GB"/>
        </w:rPr>
      </w:pPr>
      <w:r w:rsidRPr="00B04DC3">
        <w:rPr>
          <w:lang w:val="en-GB"/>
        </w:rPr>
        <w:t>7.2.1.</w:t>
      </w:r>
      <w:r w:rsidRPr="00B04DC3">
        <w:rPr>
          <w:lang w:val="en-GB"/>
        </w:rPr>
        <w:tab/>
        <w:t>Enumeration and identifying details:</w:t>
      </w:r>
      <w:r w:rsidRPr="00B04DC3">
        <w:rPr>
          <w:lang w:val="en-GB"/>
        </w:rPr>
        <w:tab/>
      </w:r>
    </w:p>
    <w:p w:rsidR="00C0100D" w:rsidRPr="00B04DC3" w:rsidRDefault="00C0100D" w:rsidP="000777AB">
      <w:pPr>
        <w:pStyle w:val="para"/>
        <w:keepNext/>
        <w:tabs>
          <w:tab w:val="left" w:pos="1134"/>
          <w:tab w:val="left" w:pos="2268"/>
          <w:tab w:val="right" w:leader="dot" w:pos="8505"/>
        </w:tabs>
        <w:rPr>
          <w:lang w:val="en-GB"/>
        </w:rPr>
      </w:pPr>
      <w:r w:rsidRPr="00B04DC3">
        <w:rPr>
          <w:lang w:val="en-GB"/>
        </w:rPr>
        <w:t>7.2.2.</w:t>
      </w:r>
      <w:r w:rsidRPr="00B04DC3">
        <w:rPr>
          <w:lang w:val="en-GB"/>
        </w:rPr>
        <w:tab/>
        <w:t>Power absorbed at various indicated engine speeds:</w:t>
      </w:r>
    </w:p>
    <w:tbl>
      <w:tblPr>
        <w:tblW w:w="8467" w:type="dxa"/>
        <w:tblInd w:w="1134" w:type="dxa"/>
        <w:tblBorders>
          <w:top w:val="single" w:sz="6"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709"/>
        <w:gridCol w:w="709"/>
        <w:gridCol w:w="709"/>
        <w:gridCol w:w="708"/>
        <w:gridCol w:w="709"/>
        <w:gridCol w:w="709"/>
        <w:gridCol w:w="704"/>
      </w:tblGrid>
      <w:tr w:rsidR="00C0100D" w:rsidRPr="00B04DC3" w:rsidTr="00AA0E48">
        <w:tc>
          <w:tcPr>
            <w:tcW w:w="3510" w:type="dxa"/>
            <w:tcBorders>
              <w:top w:val="single" w:sz="4" w:space="0" w:color="auto"/>
              <w:left w:val="single" w:sz="4" w:space="0" w:color="auto"/>
              <w:bottom w:val="single" w:sz="4" w:space="0" w:color="auto"/>
            </w:tcBorders>
          </w:tcPr>
          <w:p w:rsidR="00C0100D" w:rsidRPr="00B04DC3" w:rsidRDefault="00C0100D" w:rsidP="00540512">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Equipment</w:t>
            </w:r>
          </w:p>
        </w:tc>
        <w:tc>
          <w:tcPr>
            <w:tcW w:w="4957" w:type="dxa"/>
            <w:gridSpan w:val="7"/>
            <w:tcBorders>
              <w:top w:val="single" w:sz="4" w:space="0" w:color="auto"/>
              <w:bottom w:val="single" w:sz="4" w:space="0" w:color="auto"/>
              <w:right w:val="single" w:sz="4" w:space="0" w:color="auto"/>
            </w:tcBorders>
          </w:tcPr>
          <w:p w:rsidR="00C0100D" w:rsidRPr="00B04DC3" w:rsidRDefault="00C0100D" w:rsidP="00540512">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Power absorbed (kW) at various engine speeds</w:t>
            </w:r>
          </w:p>
        </w:tc>
      </w:tr>
      <w:tr w:rsidR="00C0100D" w:rsidRPr="00B04DC3" w:rsidTr="00AA0E48">
        <w:trPr>
          <w:trHeight w:val="499"/>
        </w:trPr>
        <w:tc>
          <w:tcPr>
            <w:tcW w:w="3510" w:type="dxa"/>
            <w:tcBorders>
              <w:top w:val="single" w:sz="4" w:space="0" w:color="auto"/>
              <w:left w:val="single" w:sz="4" w:space="0" w:color="auto"/>
              <w:bottom w:val="single" w:sz="12" w:space="0" w:color="auto"/>
            </w:tcBorders>
          </w:tcPr>
          <w:p w:rsidR="00C0100D" w:rsidRPr="00B04DC3" w:rsidRDefault="00C0100D" w:rsidP="00540512">
            <w:pPr>
              <w:keepNext/>
              <w:keepLines/>
              <w:tabs>
                <w:tab w:val="left" w:pos="1134"/>
                <w:tab w:val="right" w:leader="dot" w:pos="9356"/>
              </w:tabs>
              <w:autoSpaceDE w:val="0"/>
              <w:autoSpaceDN w:val="0"/>
              <w:adjustRightInd w:val="0"/>
              <w:spacing w:before="80" w:after="80" w:line="200" w:lineRule="exact"/>
              <w:jc w:val="center"/>
              <w:rPr>
                <w:i/>
                <w:sz w:val="16"/>
                <w:szCs w:val="16"/>
              </w:rPr>
            </w:pPr>
          </w:p>
        </w:tc>
        <w:tc>
          <w:tcPr>
            <w:tcW w:w="709" w:type="dxa"/>
            <w:tcBorders>
              <w:top w:val="single" w:sz="4" w:space="0" w:color="auto"/>
              <w:bottom w:val="single" w:sz="12" w:space="0" w:color="auto"/>
            </w:tcBorders>
          </w:tcPr>
          <w:p w:rsidR="00C0100D" w:rsidRPr="00B04DC3" w:rsidRDefault="00C0100D" w:rsidP="00540512">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Idle</w:t>
            </w:r>
          </w:p>
        </w:tc>
        <w:tc>
          <w:tcPr>
            <w:tcW w:w="709" w:type="dxa"/>
            <w:tcBorders>
              <w:top w:val="single" w:sz="4" w:space="0" w:color="auto"/>
              <w:bottom w:val="single" w:sz="12" w:space="0" w:color="auto"/>
            </w:tcBorders>
          </w:tcPr>
          <w:p w:rsidR="00C0100D" w:rsidRPr="00B04DC3" w:rsidRDefault="00C0100D" w:rsidP="009B6E08">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 xml:space="preserve">Low </w:t>
            </w:r>
            <w:r w:rsidR="009B6E08" w:rsidRPr="00B04DC3">
              <w:rPr>
                <w:i/>
                <w:sz w:val="16"/>
                <w:szCs w:val="16"/>
              </w:rPr>
              <w:t>speed</w:t>
            </w:r>
          </w:p>
        </w:tc>
        <w:tc>
          <w:tcPr>
            <w:tcW w:w="709" w:type="dxa"/>
            <w:tcBorders>
              <w:top w:val="single" w:sz="4" w:space="0" w:color="auto"/>
              <w:bottom w:val="single" w:sz="12" w:space="0" w:color="auto"/>
            </w:tcBorders>
          </w:tcPr>
          <w:p w:rsidR="00C0100D" w:rsidRPr="00B04DC3" w:rsidRDefault="00C0100D" w:rsidP="009B6E08">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 xml:space="preserve">High </w:t>
            </w:r>
            <w:r w:rsidR="009B6E08" w:rsidRPr="00B04DC3">
              <w:rPr>
                <w:i/>
                <w:sz w:val="16"/>
                <w:szCs w:val="16"/>
              </w:rPr>
              <w:t>speed</w:t>
            </w:r>
          </w:p>
        </w:tc>
        <w:tc>
          <w:tcPr>
            <w:tcW w:w="708" w:type="dxa"/>
            <w:tcBorders>
              <w:top w:val="single" w:sz="4" w:space="0" w:color="auto"/>
              <w:bottom w:val="single" w:sz="12" w:space="0" w:color="auto"/>
            </w:tcBorders>
          </w:tcPr>
          <w:p w:rsidR="00C0100D" w:rsidRPr="00B04DC3" w:rsidRDefault="00C0100D" w:rsidP="00AA0E48">
            <w:pPr>
              <w:keepNext/>
              <w:keepLines/>
              <w:tabs>
                <w:tab w:val="left" w:pos="1134"/>
                <w:tab w:val="right" w:leader="dot" w:pos="9356"/>
              </w:tabs>
              <w:autoSpaceDE w:val="0"/>
              <w:autoSpaceDN w:val="0"/>
              <w:adjustRightInd w:val="0"/>
              <w:spacing w:before="80" w:after="80" w:line="200" w:lineRule="exact"/>
              <w:ind w:left="-108" w:right="-108"/>
              <w:jc w:val="center"/>
              <w:rPr>
                <w:i/>
                <w:sz w:val="16"/>
                <w:szCs w:val="16"/>
              </w:rPr>
            </w:pPr>
            <w:r w:rsidRPr="00B04DC3">
              <w:rPr>
                <w:i/>
                <w:sz w:val="16"/>
                <w:szCs w:val="16"/>
              </w:rPr>
              <w:t>Speed A</w:t>
            </w:r>
            <w:r w:rsidR="000777AB" w:rsidRPr="00B04DC3">
              <w:rPr>
                <w:i/>
                <w:sz w:val="16"/>
                <w:szCs w:val="16"/>
              </w:rPr>
              <w:t xml:space="preserve"> </w:t>
            </w:r>
            <w:r w:rsidRPr="00B04DC3">
              <w:rPr>
                <w:i/>
                <w:sz w:val="16"/>
                <w:szCs w:val="16"/>
                <w:vertAlign w:val="superscript"/>
              </w:rPr>
              <w:t>a</w:t>
            </w:r>
          </w:p>
        </w:tc>
        <w:tc>
          <w:tcPr>
            <w:tcW w:w="709" w:type="dxa"/>
            <w:tcBorders>
              <w:top w:val="single" w:sz="4" w:space="0" w:color="auto"/>
              <w:bottom w:val="single" w:sz="12" w:space="0" w:color="auto"/>
            </w:tcBorders>
          </w:tcPr>
          <w:p w:rsidR="00C0100D" w:rsidRPr="00B04DC3" w:rsidRDefault="00C0100D" w:rsidP="00AA0E48">
            <w:pPr>
              <w:keepNext/>
              <w:keepLines/>
              <w:tabs>
                <w:tab w:val="left" w:pos="1134"/>
                <w:tab w:val="right" w:leader="dot" w:pos="9356"/>
              </w:tabs>
              <w:autoSpaceDE w:val="0"/>
              <w:autoSpaceDN w:val="0"/>
              <w:adjustRightInd w:val="0"/>
              <w:spacing w:before="80" w:after="80" w:line="200" w:lineRule="exact"/>
              <w:ind w:left="-108" w:right="-108"/>
              <w:jc w:val="center"/>
              <w:rPr>
                <w:i/>
                <w:sz w:val="16"/>
                <w:szCs w:val="16"/>
              </w:rPr>
            </w:pPr>
            <w:r w:rsidRPr="00B04DC3">
              <w:rPr>
                <w:i/>
                <w:sz w:val="16"/>
                <w:szCs w:val="16"/>
              </w:rPr>
              <w:t>Speed B</w:t>
            </w:r>
            <w:r w:rsidR="000777AB" w:rsidRPr="00B04DC3">
              <w:rPr>
                <w:i/>
                <w:sz w:val="16"/>
                <w:szCs w:val="16"/>
              </w:rPr>
              <w:t xml:space="preserve"> </w:t>
            </w:r>
            <w:r w:rsidRPr="00B04DC3">
              <w:rPr>
                <w:i/>
                <w:sz w:val="16"/>
                <w:szCs w:val="16"/>
                <w:vertAlign w:val="superscript"/>
              </w:rPr>
              <w:t>a</w:t>
            </w:r>
          </w:p>
        </w:tc>
        <w:tc>
          <w:tcPr>
            <w:tcW w:w="709" w:type="dxa"/>
            <w:tcBorders>
              <w:top w:val="single" w:sz="4" w:space="0" w:color="auto"/>
              <w:bottom w:val="single" w:sz="12" w:space="0" w:color="auto"/>
            </w:tcBorders>
          </w:tcPr>
          <w:p w:rsidR="00C0100D" w:rsidRPr="00B04DC3" w:rsidRDefault="00C0100D" w:rsidP="00AA0E48">
            <w:pPr>
              <w:keepNext/>
              <w:keepLines/>
              <w:tabs>
                <w:tab w:val="left" w:pos="1134"/>
                <w:tab w:val="right" w:leader="dot" w:pos="9356"/>
              </w:tabs>
              <w:autoSpaceDE w:val="0"/>
              <w:autoSpaceDN w:val="0"/>
              <w:adjustRightInd w:val="0"/>
              <w:spacing w:before="80" w:after="80" w:line="200" w:lineRule="exact"/>
              <w:ind w:left="-108" w:right="-98"/>
              <w:jc w:val="center"/>
              <w:rPr>
                <w:i/>
                <w:sz w:val="16"/>
                <w:szCs w:val="16"/>
              </w:rPr>
            </w:pPr>
            <w:r w:rsidRPr="00B04DC3">
              <w:rPr>
                <w:i/>
                <w:sz w:val="16"/>
                <w:szCs w:val="16"/>
              </w:rPr>
              <w:t>Speed C</w:t>
            </w:r>
            <w:r w:rsidR="000777AB" w:rsidRPr="00B04DC3">
              <w:rPr>
                <w:i/>
                <w:sz w:val="16"/>
                <w:szCs w:val="16"/>
              </w:rPr>
              <w:t xml:space="preserve"> </w:t>
            </w:r>
            <w:r w:rsidRPr="00B04DC3">
              <w:rPr>
                <w:i/>
                <w:sz w:val="16"/>
                <w:szCs w:val="16"/>
                <w:vertAlign w:val="superscript"/>
              </w:rPr>
              <w:t>a</w:t>
            </w:r>
          </w:p>
        </w:tc>
        <w:tc>
          <w:tcPr>
            <w:tcW w:w="704" w:type="dxa"/>
            <w:tcBorders>
              <w:top w:val="single" w:sz="4" w:space="0" w:color="auto"/>
              <w:bottom w:val="single" w:sz="12" w:space="0" w:color="auto"/>
              <w:right w:val="single" w:sz="4" w:space="0" w:color="auto"/>
            </w:tcBorders>
          </w:tcPr>
          <w:p w:rsidR="00C0100D" w:rsidRPr="00B04DC3" w:rsidRDefault="00540512" w:rsidP="009B6E08">
            <w:pPr>
              <w:keepNext/>
              <w:keepLines/>
              <w:tabs>
                <w:tab w:val="left" w:pos="1134"/>
                <w:tab w:val="right" w:leader="dot" w:pos="9356"/>
              </w:tabs>
              <w:autoSpaceDE w:val="0"/>
              <w:autoSpaceDN w:val="0"/>
              <w:adjustRightInd w:val="0"/>
              <w:spacing w:before="80" w:after="80" w:line="200" w:lineRule="exact"/>
              <w:jc w:val="center"/>
              <w:rPr>
                <w:i/>
                <w:sz w:val="16"/>
                <w:szCs w:val="16"/>
              </w:rPr>
            </w:pPr>
            <w:r w:rsidRPr="00B04DC3">
              <w:rPr>
                <w:i/>
                <w:sz w:val="16"/>
                <w:szCs w:val="16"/>
              </w:rPr>
              <w:t xml:space="preserve">Ref. </w:t>
            </w:r>
            <w:r w:rsidR="009B6E08" w:rsidRPr="00B04DC3">
              <w:rPr>
                <w:i/>
                <w:sz w:val="16"/>
                <w:szCs w:val="16"/>
              </w:rPr>
              <w:t xml:space="preserve">speed </w:t>
            </w:r>
            <w:r w:rsidR="00C0100D" w:rsidRPr="00B04DC3">
              <w:rPr>
                <w:i/>
                <w:sz w:val="16"/>
                <w:szCs w:val="16"/>
                <w:vertAlign w:val="superscript"/>
              </w:rPr>
              <w:t>b</w:t>
            </w:r>
          </w:p>
        </w:tc>
      </w:tr>
      <w:tr w:rsidR="00C0100D" w:rsidRPr="00B04DC3" w:rsidTr="00AA0E48">
        <w:tc>
          <w:tcPr>
            <w:tcW w:w="3510" w:type="dxa"/>
            <w:tcBorders>
              <w:top w:val="single" w:sz="4" w:space="0" w:color="auto"/>
              <w:left w:val="single" w:sz="4" w:space="0" w:color="auto"/>
              <w:bottom w:val="single" w:sz="4"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40" w:line="220" w:lineRule="atLeast"/>
              <w:ind w:right="-6"/>
              <w:rPr>
                <w:spacing w:val="-2"/>
              </w:rPr>
            </w:pPr>
            <w:r w:rsidRPr="00B04DC3">
              <w:rPr>
                <w:spacing w:val="-2"/>
              </w:rPr>
              <w:t>P(a)</w:t>
            </w:r>
          </w:p>
          <w:p w:rsidR="00C0100D" w:rsidRPr="00B04DC3" w:rsidRDefault="00C0100D" w:rsidP="001A1FEB">
            <w:pPr>
              <w:keepNext/>
              <w:keepLines/>
              <w:tabs>
                <w:tab w:val="left" w:pos="1134"/>
                <w:tab w:val="right" w:leader="dot" w:pos="9356"/>
              </w:tabs>
              <w:autoSpaceDE w:val="0"/>
              <w:autoSpaceDN w:val="0"/>
              <w:adjustRightInd w:val="0"/>
              <w:spacing w:before="40" w:after="80" w:line="220" w:lineRule="atLeast"/>
              <w:ind w:right="-8"/>
              <w:rPr>
                <w:spacing w:val="-2"/>
              </w:rPr>
            </w:pPr>
            <w:r w:rsidRPr="00B04DC3">
              <w:rPr>
                <w:spacing w:val="-2"/>
              </w:rPr>
              <w:t>Auxiliaries needed for operating the engine (to be subtracted from measured engine power) see paragraph 5.1.1. of Regulation No. 24</w:t>
            </w:r>
            <w:r w:rsidR="001A1FEB">
              <w:rPr>
                <w:spacing w:val="-2"/>
              </w:rPr>
              <w:t xml:space="preserve">, </w:t>
            </w:r>
            <w:r w:rsidR="00EE1768">
              <w:rPr>
                <w:spacing w:val="-2"/>
              </w:rPr>
              <w:t>03 series of amendments</w:t>
            </w:r>
            <w:r w:rsidRPr="00B04DC3">
              <w:rPr>
                <w:spacing w:val="-2"/>
              </w:rPr>
              <w:t>, Annex 10</w:t>
            </w:r>
          </w:p>
        </w:tc>
        <w:tc>
          <w:tcPr>
            <w:tcW w:w="709"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8"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4" w:type="dxa"/>
            <w:tcBorders>
              <w:top w:val="single" w:sz="4" w:space="0" w:color="auto"/>
              <w:bottom w:val="single" w:sz="4" w:space="0" w:color="auto"/>
              <w:right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r>
      <w:tr w:rsidR="00C0100D" w:rsidRPr="00B04DC3" w:rsidTr="00AA0E48">
        <w:tc>
          <w:tcPr>
            <w:tcW w:w="3510" w:type="dxa"/>
            <w:tcBorders>
              <w:top w:val="single" w:sz="4" w:space="0" w:color="auto"/>
              <w:left w:val="single" w:sz="4" w:space="0" w:color="auto"/>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40" w:line="220" w:lineRule="atLeast"/>
              <w:ind w:right="-6"/>
              <w:rPr>
                <w:spacing w:val="-2"/>
              </w:rPr>
            </w:pPr>
            <w:r w:rsidRPr="00B04DC3">
              <w:rPr>
                <w:spacing w:val="-2"/>
              </w:rPr>
              <w:t>P(b)</w:t>
            </w:r>
          </w:p>
          <w:p w:rsidR="00C0100D" w:rsidRPr="00B04DC3" w:rsidRDefault="00C0100D" w:rsidP="001A1FEB">
            <w:pPr>
              <w:keepNext/>
              <w:keepLines/>
              <w:tabs>
                <w:tab w:val="left" w:pos="1134"/>
                <w:tab w:val="right" w:leader="dot" w:pos="9356"/>
              </w:tabs>
              <w:autoSpaceDE w:val="0"/>
              <w:autoSpaceDN w:val="0"/>
              <w:adjustRightInd w:val="0"/>
              <w:spacing w:before="40" w:after="80" w:line="220" w:lineRule="atLeast"/>
              <w:ind w:right="-8"/>
              <w:rPr>
                <w:spacing w:val="-2"/>
              </w:rPr>
            </w:pPr>
            <w:r w:rsidRPr="00B04DC3">
              <w:rPr>
                <w:spacing w:val="-2"/>
              </w:rPr>
              <w:t>Auxiliaries not needed for operating the engine (to be added to measured engine power) see paragraph 5.1.2. of Regulation No. 24</w:t>
            </w:r>
            <w:r w:rsidR="001A1FEB">
              <w:rPr>
                <w:spacing w:val="-2"/>
              </w:rPr>
              <w:t xml:space="preserve">, </w:t>
            </w:r>
            <w:r w:rsidR="00EE1768">
              <w:rPr>
                <w:spacing w:val="-2"/>
              </w:rPr>
              <w:t>03 series of amendments</w:t>
            </w:r>
            <w:r w:rsidRPr="00B04DC3">
              <w:rPr>
                <w:spacing w:val="-2"/>
              </w:rPr>
              <w:t>, Annex 10</w:t>
            </w:r>
          </w:p>
        </w:tc>
        <w:tc>
          <w:tcPr>
            <w:tcW w:w="709"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8"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9" w:type="dxa"/>
            <w:tcBorders>
              <w:top w:val="single" w:sz="4" w:space="0" w:color="auto"/>
              <w:bottom w:val="single" w:sz="12"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c>
          <w:tcPr>
            <w:tcW w:w="704" w:type="dxa"/>
            <w:tcBorders>
              <w:top w:val="single" w:sz="4" w:space="0" w:color="auto"/>
              <w:bottom w:val="single" w:sz="12" w:space="0" w:color="auto"/>
              <w:right w:val="single" w:sz="4" w:space="0" w:color="auto"/>
            </w:tcBorders>
          </w:tcPr>
          <w:p w:rsidR="00C0100D" w:rsidRPr="00B04DC3" w:rsidRDefault="00C0100D" w:rsidP="00E44279">
            <w:pPr>
              <w:keepNext/>
              <w:keepLines/>
              <w:tabs>
                <w:tab w:val="left" w:pos="1134"/>
                <w:tab w:val="right" w:leader="dot" w:pos="9356"/>
              </w:tabs>
              <w:autoSpaceDE w:val="0"/>
              <w:autoSpaceDN w:val="0"/>
              <w:adjustRightInd w:val="0"/>
              <w:spacing w:before="40" w:after="80" w:line="220" w:lineRule="atLeast"/>
              <w:ind w:left="113" w:right="113"/>
              <w:jc w:val="center"/>
            </w:pPr>
          </w:p>
        </w:tc>
      </w:tr>
      <w:tr w:rsidR="00C0100D" w:rsidRPr="00B04DC3" w:rsidTr="008F0EE6">
        <w:tc>
          <w:tcPr>
            <w:tcW w:w="8467" w:type="dxa"/>
            <w:gridSpan w:val="8"/>
            <w:tcBorders>
              <w:top w:val="single" w:sz="12" w:space="0" w:color="auto"/>
              <w:bottom w:val="nil"/>
            </w:tcBorders>
          </w:tcPr>
          <w:p w:rsidR="00C0100D" w:rsidRPr="00B04DC3" w:rsidRDefault="00540512" w:rsidP="00AA0E48">
            <w:pPr>
              <w:spacing w:line="200" w:lineRule="atLeast"/>
              <w:ind w:left="425" w:hanging="425"/>
            </w:pPr>
            <w:r w:rsidRPr="00B04DC3">
              <w:rPr>
                <w:i/>
                <w:vertAlign w:val="superscript"/>
              </w:rPr>
              <w:t>a</w:t>
            </w:r>
            <w:r w:rsidRPr="00B04DC3">
              <w:rPr>
                <w:vertAlign w:val="superscript"/>
              </w:rPr>
              <w:t xml:space="preserve">  </w:t>
            </w:r>
            <w:r w:rsidRPr="00B04DC3">
              <w:t>E</w:t>
            </w:r>
            <w:r w:rsidR="00C0100D" w:rsidRPr="00B04DC3">
              <w:rPr>
                <w:sz w:val="18"/>
                <w:szCs w:val="18"/>
              </w:rPr>
              <w:t>SC test</w:t>
            </w:r>
            <w:r w:rsidR="00C0100D" w:rsidRPr="00B04DC3">
              <w:t>.</w:t>
            </w:r>
          </w:p>
          <w:p w:rsidR="00C0100D" w:rsidRPr="00B04DC3" w:rsidRDefault="00540512" w:rsidP="003D3E73">
            <w:pPr>
              <w:ind w:left="425" w:hanging="425"/>
            </w:pPr>
            <w:r w:rsidRPr="00B04DC3">
              <w:rPr>
                <w:i/>
                <w:vertAlign w:val="superscript"/>
              </w:rPr>
              <w:t>b</w:t>
            </w:r>
            <w:r w:rsidRPr="00B04DC3">
              <w:rPr>
                <w:vertAlign w:val="superscript"/>
              </w:rPr>
              <w:t xml:space="preserve"> </w:t>
            </w:r>
            <w:r w:rsidRPr="00B04DC3">
              <w:rPr>
                <w:sz w:val="18"/>
                <w:szCs w:val="18"/>
              </w:rPr>
              <w:t xml:space="preserve"> </w:t>
            </w:r>
            <w:r w:rsidR="00C0100D" w:rsidRPr="00B04DC3">
              <w:rPr>
                <w:sz w:val="18"/>
                <w:szCs w:val="18"/>
              </w:rPr>
              <w:t>ETC test only</w:t>
            </w:r>
            <w:r w:rsidR="00C0100D" w:rsidRPr="00B04DC3">
              <w:t>.</w:t>
            </w:r>
          </w:p>
        </w:tc>
      </w:tr>
    </w:tbl>
    <w:p w:rsidR="00C0100D" w:rsidRPr="00B04DC3" w:rsidRDefault="00C0100D" w:rsidP="006910D4">
      <w:pPr>
        <w:pStyle w:val="para"/>
        <w:tabs>
          <w:tab w:val="left" w:pos="1134"/>
          <w:tab w:val="left" w:pos="2268"/>
          <w:tab w:val="right" w:leader="dot" w:pos="8505"/>
        </w:tabs>
        <w:spacing w:before="240"/>
        <w:rPr>
          <w:lang w:val="en-GB"/>
        </w:rPr>
      </w:pPr>
      <w:r w:rsidRPr="00B04DC3">
        <w:rPr>
          <w:lang w:val="en-GB"/>
        </w:rPr>
        <w:t>8.</w:t>
      </w:r>
      <w:r w:rsidRPr="00B04DC3">
        <w:rPr>
          <w:lang w:val="en-GB"/>
        </w:rPr>
        <w:tab/>
        <w:t>Engine performance</w:t>
      </w:r>
    </w:p>
    <w:p w:rsidR="00C0100D" w:rsidRPr="00B04DC3" w:rsidRDefault="00C0100D" w:rsidP="003C301D">
      <w:pPr>
        <w:pStyle w:val="para"/>
        <w:tabs>
          <w:tab w:val="left" w:pos="1134"/>
          <w:tab w:val="left" w:pos="2268"/>
          <w:tab w:val="right" w:leader="dot" w:pos="8505"/>
        </w:tabs>
        <w:rPr>
          <w:lang w:val="en-GB"/>
        </w:rPr>
      </w:pPr>
      <w:r w:rsidRPr="00B04DC3">
        <w:rPr>
          <w:lang w:val="en-GB"/>
        </w:rPr>
        <w:t>8.1.</w:t>
      </w:r>
      <w:r w:rsidRPr="00B04DC3">
        <w:rPr>
          <w:lang w:val="en-GB"/>
        </w:rPr>
        <w:tab/>
        <w:t>Engine speeds</w:t>
      </w:r>
      <w:r w:rsidRPr="00B04DC3">
        <w:rPr>
          <w:vertAlign w:val="superscript"/>
          <w:lang w:val="en-GB"/>
        </w:rPr>
        <w:footnoteReference w:id="16"/>
      </w:r>
      <w:r w:rsidR="00CC343B" w:rsidRPr="00B04DC3">
        <w:rPr>
          <w:vertAlign w:val="superscript"/>
          <w:lang w:val="en-GB"/>
        </w:rPr>
        <w:t>,</w:t>
      </w:r>
      <w:r w:rsidR="00CC343B" w:rsidRPr="00B04DC3">
        <w:rPr>
          <w:rStyle w:val="FootnoteReference"/>
          <w:lang w:val="en-GB"/>
        </w:rPr>
        <w:footnoteReference w:id="17"/>
      </w:r>
    </w:p>
    <w:p w:rsidR="00C0100D" w:rsidRPr="00B04DC3" w:rsidRDefault="00C0100D" w:rsidP="003C301D">
      <w:pPr>
        <w:pStyle w:val="para"/>
        <w:tabs>
          <w:tab w:val="left" w:pos="1134"/>
          <w:tab w:val="left" w:pos="2268"/>
          <w:tab w:val="right" w:leader="dot" w:pos="8505"/>
        </w:tabs>
        <w:rPr>
          <w:lang w:val="en-GB"/>
        </w:rPr>
      </w:pPr>
      <w:r w:rsidRPr="00B04DC3">
        <w:rPr>
          <w:lang w:val="en-GB"/>
        </w:rPr>
        <w:tab/>
        <w:t>Low speed (n</w:t>
      </w:r>
      <w:r w:rsidRPr="00B04DC3">
        <w:rPr>
          <w:vertAlign w:val="subscript"/>
          <w:lang w:val="en-GB"/>
        </w:rPr>
        <w:t>lo</w:t>
      </w:r>
      <w:r w:rsidRPr="00B04DC3">
        <w:rPr>
          <w:lang w:val="en-GB"/>
        </w:rPr>
        <w:t>):</w:t>
      </w:r>
      <w:r w:rsidRPr="00B04DC3">
        <w:rPr>
          <w:lang w:val="en-GB"/>
        </w:rPr>
        <w:tab/>
        <w:t>min</w:t>
      </w:r>
      <w:r w:rsidRPr="00B04DC3">
        <w:rPr>
          <w:vertAlign w:val="superscript"/>
          <w:lang w:val="en-GB"/>
        </w:rPr>
        <w:t>-1</w:t>
      </w:r>
    </w:p>
    <w:p w:rsidR="00C0100D" w:rsidRPr="00B04DC3" w:rsidRDefault="00C0100D" w:rsidP="003C301D">
      <w:pPr>
        <w:pStyle w:val="para"/>
        <w:tabs>
          <w:tab w:val="left" w:pos="1134"/>
          <w:tab w:val="left" w:pos="2268"/>
          <w:tab w:val="right" w:leader="dot" w:pos="8505"/>
        </w:tabs>
        <w:rPr>
          <w:lang w:val="en-GB"/>
        </w:rPr>
      </w:pPr>
      <w:r w:rsidRPr="00B04DC3">
        <w:rPr>
          <w:lang w:val="en-GB"/>
        </w:rPr>
        <w:tab/>
        <w:t>High speed (n</w:t>
      </w:r>
      <w:r w:rsidRPr="00B04DC3">
        <w:rPr>
          <w:vertAlign w:val="subscript"/>
          <w:lang w:val="en-GB"/>
        </w:rPr>
        <w:t>hi</w:t>
      </w:r>
      <w:r w:rsidRPr="00B04DC3">
        <w:rPr>
          <w:lang w:val="en-GB"/>
        </w:rPr>
        <w:t>):</w:t>
      </w:r>
      <w:r w:rsidRPr="00B04DC3">
        <w:rPr>
          <w:lang w:val="en-GB"/>
        </w:rPr>
        <w:tab/>
        <w:t>min</w:t>
      </w:r>
      <w:r w:rsidRPr="00B04DC3">
        <w:rPr>
          <w:vertAlign w:val="superscript"/>
          <w:lang w:val="en-GB"/>
        </w:rPr>
        <w:t>-1</w:t>
      </w:r>
    </w:p>
    <w:p w:rsidR="00C0100D" w:rsidRPr="00B04DC3" w:rsidRDefault="00C0100D" w:rsidP="003C301D">
      <w:pPr>
        <w:pStyle w:val="para"/>
        <w:tabs>
          <w:tab w:val="left" w:pos="1134"/>
          <w:tab w:val="left" w:pos="2268"/>
          <w:tab w:val="right" w:leader="dot" w:pos="8505"/>
        </w:tabs>
        <w:rPr>
          <w:lang w:val="en-GB"/>
        </w:rPr>
      </w:pPr>
      <w:r w:rsidRPr="00B04DC3">
        <w:rPr>
          <w:lang w:val="en-GB"/>
        </w:rPr>
        <w:tab/>
      </w:r>
      <w:r w:rsidR="006910D4" w:rsidRPr="00B04DC3">
        <w:rPr>
          <w:lang w:val="en-GB"/>
        </w:rPr>
        <w:t>For</w:t>
      </w:r>
      <w:r w:rsidRPr="00B04DC3">
        <w:rPr>
          <w:lang w:val="en-GB"/>
        </w:rPr>
        <w:t xml:space="preserve"> ESC and ELR Cycles</w:t>
      </w:r>
    </w:p>
    <w:p w:rsidR="00C0100D" w:rsidRPr="00B04DC3" w:rsidRDefault="006910D4" w:rsidP="006910D4">
      <w:pPr>
        <w:pStyle w:val="para"/>
        <w:tabs>
          <w:tab w:val="left" w:pos="1134"/>
          <w:tab w:val="left" w:pos="2800"/>
          <w:tab w:val="right" w:leader="dot" w:pos="8505"/>
        </w:tabs>
        <w:rPr>
          <w:lang w:val="en-GB"/>
        </w:rPr>
      </w:pPr>
      <w:r w:rsidRPr="00B04DC3">
        <w:rPr>
          <w:lang w:val="en-GB"/>
        </w:rPr>
        <w:tab/>
      </w:r>
      <w:r w:rsidRPr="00B04DC3">
        <w:rPr>
          <w:lang w:val="en-GB"/>
        </w:rPr>
        <w:tab/>
      </w:r>
      <w:r w:rsidR="00C0100D" w:rsidRPr="00B04DC3">
        <w:rPr>
          <w:lang w:val="en-GB"/>
        </w:rPr>
        <w:t>Idle:</w:t>
      </w:r>
      <w:r w:rsidR="00C0100D" w:rsidRPr="00B04DC3">
        <w:rPr>
          <w:lang w:val="en-GB"/>
        </w:rPr>
        <w:tab/>
        <w:t>min</w:t>
      </w:r>
      <w:r w:rsidR="00C0100D" w:rsidRPr="00B04DC3">
        <w:rPr>
          <w:vertAlign w:val="superscript"/>
          <w:lang w:val="en-GB"/>
        </w:rPr>
        <w:t>-1</w:t>
      </w:r>
    </w:p>
    <w:p w:rsidR="00C0100D" w:rsidRPr="00B04DC3" w:rsidRDefault="006910D4" w:rsidP="006910D4">
      <w:pPr>
        <w:pStyle w:val="para"/>
        <w:tabs>
          <w:tab w:val="left" w:pos="1134"/>
          <w:tab w:val="left" w:pos="2268"/>
          <w:tab w:val="left" w:pos="2800"/>
          <w:tab w:val="right" w:leader="dot" w:pos="8505"/>
        </w:tabs>
        <w:rPr>
          <w:lang w:val="en-GB"/>
        </w:rPr>
      </w:pPr>
      <w:r w:rsidRPr="00B04DC3">
        <w:rPr>
          <w:lang w:val="en-GB"/>
        </w:rPr>
        <w:tab/>
      </w:r>
      <w:r w:rsidRPr="00B04DC3">
        <w:rPr>
          <w:lang w:val="en-GB"/>
        </w:rPr>
        <w:tab/>
      </w:r>
      <w:r w:rsidR="00C0100D" w:rsidRPr="00B04DC3">
        <w:rPr>
          <w:lang w:val="en-GB"/>
        </w:rPr>
        <w:t>Speed A:</w:t>
      </w:r>
      <w:r w:rsidR="00C0100D" w:rsidRPr="00B04DC3">
        <w:rPr>
          <w:lang w:val="en-GB"/>
        </w:rPr>
        <w:tab/>
        <w:t>min</w:t>
      </w:r>
      <w:r w:rsidR="00C0100D" w:rsidRPr="00B04DC3">
        <w:rPr>
          <w:vertAlign w:val="superscript"/>
          <w:lang w:val="en-GB"/>
        </w:rPr>
        <w:t>-1</w:t>
      </w:r>
    </w:p>
    <w:p w:rsidR="00C0100D" w:rsidRPr="00B04DC3" w:rsidRDefault="006910D4" w:rsidP="006910D4">
      <w:pPr>
        <w:pStyle w:val="para"/>
        <w:tabs>
          <w:tab w:val="left" w:pos="1134"/>
          <w:tab w:val="left" w:pos="2268"/>
          <w:tab w:val="left" w:pos="2800"/>
          <w:tab w:val="right" w:leader="dot" w:pos="8505"/>
        </w:tabs>
        <w:rPr>
          <w:lang w:val="en-GB"/>
        </w:rPr>
      </w:pPr>
      <w:r w:rsidRPr="00B04DC3">
        <w:rPr>
          <w:lang w:val="en-GB"/>
        </w:rPr>
        <w:tab/>
      </w:r>
      <w:r w:rsidRPr="00B04DC3">
        <w:rPr>
          <w:lang w:val="en-GB"/>
        </w:rPr>
        <w:tab/>
      </w:r>
      <w:r w:rsidR="00C0100D" w:rsidRPr="00B04DC3">
        <w:rPr>
          <w:lang w:val="en-GB"/>
        </w:rPr>
        <w:t>Speed B:</w:t>
      </w:r>
      <w:r w:rsidR="00C0100D" w:rsidRPr="00B04DC3">
        <w:rPr>
          <w:lang w:val="en-GB"/>
        </w:rPr>
        <w:tab/>
        <w:t>min</w:t>
      </w:r>
      <w:r w:rsidR="00C0100D" w:rsidRPr="00B04DC3">
        <w:rPr>
          <w:vertAlign w:val="superscript"/>
          <w:lang w:val="en-GB"/>
        </w:rPr>
        <w:t>-1</w:t>
      </w:r>
    </w:p>
    <w:p w:rsidR="00C0100D" w:rsidRPr="00B04DC3" w:rsidRDefault="006910D4" w:rsidP="006910D4">
      <w:pPr>
        <w:pStyle w:val="para"/>
        <w:tabs>
          <w:tab w:val="left" w:pos="1134"/>
          <w:tab w:val="left" w:pos="2268"/>
          <w:tab w:val="left" w:pos="2800"/>
          <w:tab w:val="right" w:leader="dot" w:pos="8505"/>
        </w:tabs>
        <w:rPr>
          <w:lang w:val="en-GB"/>
        </w:rPr>
      </w:pPr>
      <w:r w:rsidRPr="00B04DC3">
        <w:rPr>
          <w:lang w:val="en-GB"/>
        </w:rPr>
        <w:tab/>
      </w:r>
      <w:r w:rsidRPr="00B04DC3">
        <w:rPr>
          <w:lang w:val="en-GB"/>
        </w:rPr>
        <w:tab/>
      </w:r>
      <w:r w:rsidR="00C0100D" w:rsidRPr="00B04DC3">
        <w:rPr>
          <w:lang w:val="en-GB"/>
        </w:rPr>
        <w:t>Speed C:</w:t>
      </w:r>
      <w:r w:rsidR="00C0100D" w:rsidRPr="00B04DC3">
        <w:rPr>
          <w:lang w:val="en-GB"/>
        </w:rPr>
        <w:tab/>
        <w:t>min</w:t>
      </w:r>
      <w:r w:rsidR="00C0100D" w:rsidRPr="00B04DC3">
        <w:rPr>
          <w:vertAlign w:val="superscript"/>
          <w:lang w:val="en-GB"/>
        </w:rPr>
        <w:t>-1</w:t>
      </w:r>
    </w:p>
    <w:p w:rsidR="00C0100D" w:rsidRPr="00B04DC3" w:rsidRDefault="00C0100D" w:rsidP="003C301D">
      <w:pPr>
        <w:pStyle w:val="para"/>
        <w:tabs>
          <w:tab w:val="left" w:pos="1134"/>
          <w:tab w:val="left" w:pos="2268"/>
          <w:tab w:val="right" w:leader="dot" w:pos="8505"/>
        </w:tabs>
        <w:rPr>
          <w:lang w:val="en-GB"/>
        </w:rPr>
      </w:pPr>
      <w:r w:rsidRPr="00B04DC3">
        <w:rPr>
          <w:lang w:val="en-GB"/>
        </w:rPr>
        <w:tab/>
      </w:r>
      <w:r w:rsidR="006910D4" w:rsidRPr="00B04DC3">
        <w:rPr>
          <w:lang w:val="en-GB"/>
        </w:rPr>
        <w:t>For</w:t>
      </w:r>
      <w:r w:rsidRPr="00B04DC3">
        <w:rPr>
          <w:lang w:val="en-GB"/>
        </w:rPr>
        <w:t xml:space="preserve"> ETC cycle</w:t>
      </w:r>
    </w:p>
    <w:p w:rsidR="00C0100D" w:rsidRPr="00B04DC3" w:rsidRDefault="006910D4" w:rsidP="006910D4">
      <w:pPr>
        <w:pStyle w:val="para"/>
        <w:tabs>
          <w:tab w:val="left" w:pos="1134"/>
          <w:tab w:val="left" w:pos="2800"/>
          <w:tab w:val="right" w:leader="dot" w:pos="8505"/>
        </w:tabs>
        <w:rPr>
          <w:lang w:val="en-GB"/>
        </w:rPr>
      </w:pPr>
      <w:r w:rsidRPr="00B04DC3">
        <w:rPr>
          <w:lang w:val="en-GB"/>
        </w:rPr>
        <w:tab/>
      </w:r>
      <w:r w:rsidRPr="00B04DC3">
        <w:rPr>
          <w:lang w:val="en-GB"/>
        </w:rPr>
        <w:tab/>
      </w:r>
      <w:r w:rsidR="00C0100D" w:rsidRPr="00B04DC3">
        <w:rPr>
          <w:lang w:val="en-GB"/>
        </w:rPr>
        <w:t>Reference speed:</w:t>
      </w:r>
      <w:r w:rsidR="00C0100D" w:rsidRPr="00B04DC3">
        <w:rPr>
          <w:lang w:val="en-GB"/>
        </w:rPr>
        <w:tab/>
        <w:t>min</w:t>
      </w:r>
      <w:r w:rsidR="00C0100D" w:rsidRPr="00B04DC3">
        <w:rPr>
          <w:vertAlign w:val="superscript"/>
          <w:lang w:val="en-GB"/>
        </w:rPr>
        <w:t>-1</w:t>
      </w:r>
    </w:p>
    <w:p w:rsidR="00C0100D" w:rsidRPr="00B04DC3" w:rsidRDefault="00C0100D" w:rsidP="003C301D">
      <w:pPr>
        <w:pStyle w:val="para"/>
        <w:tabs>
          <w:tab w:val="left" w:pos="1134"/>
          <w:tab w:val="left" w:pos="2268"/>
          <w:tab w:val="right" w:leader="dot" w:pos="8505"/>
        </w:tabs>
        <w:rPr>
          <w:lang w:val="en-GB"/>
        </w:rPr>
      </w:pPr>
      <w:r w:rsidRPr="00B04DC3">
        <w:rPr>
          <w:lang w:val="en-GB"/>
        </w:rPr>
        <w:t>8.2.</w:t>
      </w:r>
      <w:r w:rsidRPr="00B04DC3">
        <w:rPr>
          <w:lang w:val="en-GB"/>
        </w:rPr>
        <w:tab/>
        <w:t>Engine power (measured in accordance wi</w:t>
      </w:r>
      <w:r w:rsidR="000777AB" w:rsidRPr="00B04DC3">
        <w:rPr>
          <w:lang w:val="en-GB"/>
        </w:rPr>
        <w:t>th the provisions of Regulation </w:t>
      </w:r>
      <w:r w:rsidRPr="00B04DC3">
        <w:rPr>
          <w:lang w:val="en-GB"/>
        </w:rPr>
        <w:t>No. 24, 03 series of amendments) in kW</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811"/>
        <w:gridCol w:w="875"/>
        <w:gridCol w:w="833"/>
        <w:gridCol w:w="798"/>
        <w:gridCol w:w="880"/>
      </w:tblGrid>
      <w:tr w:rsidR="008F0EE6" w:rsidRPr="00B04DC3" w:rsidTr="00AA0E48">
        <w:trPr>
          <w:cantSplit/>
        </w:trPr>
        <w:tc>
          <w:tcPr>
            <w:tcW w:w="4308" w:type="dxa"/>
            <w:vMerge w:val="restart"/>
          </w:tcPr>
          <w:p w:rsidR="008F0EE6" w:rsidRPr="00B04DC3" w:rsidRDefault="008F0EE6" w:rsidP="00025676">
            <w:pPr>
              <w:keepNext/>
              <w:keepLines/>
              <w:numPr>
                <w:ilvl w:val="12"/>
                <w:numId w:val="0"/>
              </w:numPr>
              <w:tabs>
                <w:tab w:val="left" w:leader="dot" w:pos="8505"/>
              </w:tabs>
              <w:spacing w:before="80" w:after="80" w:line="200" w:lineRule="atLeast"/>
              <w:rPr>
                <w:i/>
                <w:sz w:val="16"/>
                <w:szCs w:val="16"/>
              </w:rPr>
            </w:pPr>
            <w:r w:rsidRPr="00B04DC3">
              <w:rPr>
                <w:i/>
                <w:sz w:val="16"/>
                <w:szCs w:val="16"/>
              </w:rPr>
              <w:br w:type="page"/>
            </w:r>
          </w:p>
        </w:tc>
        <w:tc>
          <w:tcPr>
            <w:tcW w:w="4197" w:type="dxa"/>
            <w:gridSpan w:val="5"/>
          </w:tcPr>
          <w:p w:rsidR="008F0EE6" w:rsidRPr="00B04DC3" w:rsidRDefault="008F0EE6" w:rsidP="009B6E08">
            <w:pPr>
              <w:keepNext/>
              <w:keepLines/>
              <w:numPr>
                <w:ilvl w:val="12"/>
                <w:numId w:val="0"/>
              </w:numPr>
              <w:tabs>
                <w:tab w:val="left" w:leader="dot" w:pos="8505"/>
              </w:tabs>
              <w:spacing w:before="80" w:after="80" w:line="200" w:lineRule="atLeast"/>
              <w:jc w:val="center"/>
              <w:rPr>
                <w:i/>
                <w:sz w:val="16"/>
                <w:szCs w:val="16"/>
              </w:rPr>
            </w:pPr>
            <w:r w:rsidRPr="00B04DC3">
              <w:rPr>
                <w:i/>
                <w:sz w:val="16"/>
                <w:szCs w:val="16"/>
              </w:rPr>
              <w:t>Engine speed</w:t>
            </w:r>
          </w:p>
        </w:tc>
      </w:tr>
      <w:tr w:rsidR="00AA0E48" w:rsidRPr="00B04DC3" w:rsidTr="00AA0E48">
        <w:tc>
          <w:tcPr>
            <w:tcW w:w="4308" w:type="dxa"/>
            <w:vMerge/>
            <w:tcBorders>
              <w:bottom w:val="single" w:sz="12" w:space="0" w:color="auto"/>
            </w:tcBorders>
          </w:tcPr>
          <w:p w:rsidR="008F0EE6" w:rsidRPr="00B04DC3" w:rsidRDefault="008F0EE6" w:rsidP="00025676">
            <w:pPr>
              <w:keepNext/>
              <w:keepLines/>
              <w:numPr>
                <w:ilvl w:val="12"/>
                <w:numId w:val="0"/>
              </w:numPr>
              <w:tabs>
                <w:tab w:val="left" w:leader="dot" w:pos="8505"/>
              </w:tabs>
              <w:spacing w:before="80" w:after="80" w:line="200" w:lineRule="atLeast"/>
              <w:rPr>
                <w:i/>
                <w:sz w:val="16"/>
                <w:szCs w:val="16"/>
              </w:rPr>
            </w:pPr>
          </w:p>
        </w:tc>
        <w:tc>
          <w:tcPr>
            <w:tcW w:w="811" w:type="dxa"/>
            <w:tcBorders>
              <w:bottom w:val="single" w:sz="12" w:space="0" w:color="auto"/>
            </w:tcBorders>
          </w:tcPr>
          <w:p w:rsidR="008F0EE6" w:rsidRPr="00B04DC3" w:rsidRDefault="008F0EE6" w:rsidP="00025676">
            <w:pPr>
              <w:keepNext/>
              <w:keepLines/>
              <w:numPr>
                <w:ilvl w:val="12"/>
                <w:numId w:val="0"/>
              </w:numPr>
              <w:tabs>
                <w:tab w:val="left" w:leader="dot" w:pos="8505"/>
              </w:tabs>
              <w:spacing w:before="80" w:after="80" w:line="200" w:lineRule="atLeast"/>
              <w:jc w:val="center"/>
              <w:rPr>
                <w:i/>
                <w:sz w:val="16"/>
                <w:szCs w:val="16"/>
              </w:rPr>
            </w:pPr>
            <w:r w:rsidRPr="00B04DC3">
              <w:rPr>
                <w:i/>
                <w:sz w:val="16"/>
                <w:szCs w:val="16"/>
              </w:rPr>
              <w:t>Idle</w:t>
            </w:r>
          </w:p>
        </w:tc>
        <w:tc>
          <w:tcPr>
            <w:tcW w:w="875" w:type="dxa"/>
            <w:tcBorders>
              <w:bottom w:val="single" w:sz="12" w:space="0" w:color="auto"/>
            </w:tcBorders>
          </w:tcPr>
          <w:p w:rsidR="008F0EE6" w:rsidRPr="00B04DC3" w:rsidRDefault="008F0EE6" w:rsidP="00025676">
            <w:pPr>
              <w:keepNext/>
              <w:keepLines/>
              <w:numPr>
                <w:ilvl w:val="12"/>
                <w:numId w:val="0"/>
              </w:numPr>
              <w:tabs>
                <w:tab w:val="left" w:leader="dot" w:pos="8505"/>
              </w:tabs>
              <w:spacing w:before="80" w:after="80" w:line="200" w:lineRule="atLeast"/>
              <w:jc w:val="center"/>
              <w:rPr>
                <w:i/>
                <w:sz w:val="16"/>
                <w:szCs w:val="16"/>
              </w:rPr>
            </w:pPr>
            <w:r w:rsidRPr="00B04DC3">
              <w:rPr>
                <w:i/>
                <w:sz w:val="16"/>
                <w:szCs w:val="16"/>
              </w:rPr>
              <w:t xml:space="preserve">Speed A </w:t>
            </w:r>
            <w:r w:rsidRPr="00B04DC3">
              <w:rPr>
                <w:i/>
                <w:sz w:val="16"/>
                <w:szCs w:val="16"/>
                <w:vertAlign w:val="superscript"/>
              </w:rPr>
              <w:t>a</w:t>
            </w:r>
          </w:p>
        </w:tc>
        <w:tc>
          <w:tcPr>
            <w:tcW w:w="833" w:type="dxa"/>
            <w:tcBorders>
              <w:bottom w:val="single" w:sz="12" w:space="0" w:color="auto"/>
            </w:tcBorders>
          </w:tcPr>
          <w:p w:rsidR="008F0EE6" w:rsidRPr="00B04DC3" w:rsidRDefault="008F0EE6" w:rsidP="00025676">
            <w:pPr>
              <w:keepNext/>
              <w:keepLines/>
              <w:numPr>
                <w:ilvl w:val="12"/>
                <w:numId w:val="0"/>
              </w:numPr>
              <w:tabs>
                <w:tab w:val="left" w:leader="dot" w:pos="8505"/>
              </w:tabs>
              <w:spacing w:before="80" w:after="80" w:line="200" w:lineRule="atLeast"/>
              <w:jc w:val="center"/>
              <w:rPr>
                <w:i/>
                <w:sz w:val="16"/>
                <w:szCs w:val="16"/>
              </w:rPr>
            </w:pPr>
            <w:r w:rsidRPr="00B04DC3">
              <w:rPr>
                <w:i/>
                <w:sz w:val="16"/>
                <w:szCs w:val="16"/>
              </w:rPr>
              <w:t xml:space="preserve">Speed B </w:t>
            </w:r>
            <w:r w:rsidRPr="00B04DC3">
              <w:rPr>
                <w:i/>
                <w:sz w:val="16"/>
                <w:szCs w:val="16"/>
                <w:vertAlign w:val="superscript"/>
              </w:rPr>
              <w:t>a</w:t>
            </w:r>
          </w:p>
        </w:tc>
        <w:tc>
          <w:tcPr>
            <w:tcW w:w="798" w:type="dxa"/>
            <w:tcBorders>
              <w:bottom w:val="single" w:sz="12" w:space="0" w:color="auto"/>
            </w:tcBorders>
          </w:tcPr>
          <w:p w:rsidR="008F0EE6" w:rsidRPr="00B04DC3" w:rsidRDefault="008F0EE6" w:rsidP="00AA0E48">
            <w:pPr>
              <w:keepNext/>
              <w:keepLines/>
              <w:numPr>
                <w:ilvl w:val="12"/>
                <w:numId w:val="0"/>
              </w:numPr>
              <w:tabs>
                <w:tab w:val="left" w:leader="dot" w:pos="8505"/>
              </w:tabs>
              <w:spacing w:before="80" w:after="80" w:line="200" w:lineRule="atLeast"/>
              <w:ind w:left="-52"/>
              <w:jc w:val="center"/>
              <w:rPr>
                <w:i/>
                <w:sz w:val="16"/>
                <w:szCs w:val="16"/>
              </w:rPr>
            </w:pPr>
            <w:r w:rsidRPr="00B04DC3">
              <w:rPr>
                <w:i/>
                <w:sz w:val="16"/>
                <w:szCs w:val="16"/>
              </w:rPr>
              <w:t xml:space="preserve">Speed C </w:t>
            </w:r>
            <w:r w:rsidRPr="00B04DC3">
              <w:rPr>
                <w:i/>
                <w:sz w:val="16"/>
                <w:szCs w:val="16"/>
                <w:vertAlign w:val="superscript"/>
              </w:rPr>
              <w:t>a</w:t>
            </w:r>
          </w:p>
        </w:tc>
        <w:tc>
          <w:tcPr>
            <w:tcW w:w="880" w:type="dxa"/>
            <w:tcBorders>
              <w:bottom w:val="single" w:sz="12" w:space="0" w:color="auto"/>
            </w:tcBorders>
          </w:tcPr>
          <w:p w:rsidR="008F0EE6" w:rsidRPr="00B04DC3" w:rsidRDefault="008F0EE6" w:rsidP="00AA0E48">
            <w:pPr>
              <w:keepNext/>
              <w:keepLines/>
              <w:numPr>
                <w:ilvl w:val="12"/>
                <w:numId w:val="0"/>
              </w:numPr>
              <w:tabs>
                <w:tab w:val="left" w:leader="dot" w:pos="8505"/>
              </w:tabs>
              <w:spacing w:before="80" w:after="80" w:line="200" w:lineRule="atLeast"/>
              <w:ind w:left="-108" w:right="-82"/>
              <w:jc w:val="center"/>
              <w:rPr>
                <w:i/>
                <w:sz w:val="16"/>
                <w:szCs w:val="16"/>
              </w:rPr>
            </w:pPr>
            <w:r w:rsidRPr="00B04DC3">
              <w:rPr>
                <w:i/>
                <w:sz w:val="16"/>
                <w:szCs w:val="16"/>
              </w:rPr>
              <w:t xml:space="preserve">Ref. </w:t>
            </w:r>
            <w:r w:rsidR="001A1FEB">
              <w:rPr>
                <w:i/>
                <w:sz w:val="16"/>
                <w:szCs w:val="16"/>
              </w:rPr>
              <w:t>s</w:t>
            </w:r>
            <w:r w:rsidR="00AA0E48">
              <w:rPr>
                <w:i/>
                <w:sz w:val="16"/>
                <w:szCs w:val="16"/>
              </w:rPr>
              <w:t>peed</w:t>
            </w:r>
            <w:r w:rsidR="001A1FEB" w:rsidRPr="00B04DC3">
              <w:rPr>
                <w:i/>
                <w:sz w:val="16"/>
                <w:szCs w:val="16"/>
              </w:rPr>
              <w:t xml:space="preserve"> </w:t>
            </w:r>
            <w:r w:rsidRPr="00B04DC3">
              <w:rPr>
                <w:i/>
                <w:sz w:val="16"/>
                <w:szCs w:val="16"/>
                <w:vertAlign w:val="superscript"/>
              </w:rPr>
              <w:t>b</w:t>
            </w:r>
          </w:p>
        </w:tc>
      </w:tr>
      <w:tr w:rsidR="00AA0E48" w:rsidRPr="00B04DC3" w:rsidTr="00AA0E48">
        <w:tc>
          <w:tcPr>
            <w:tcW w:w="4308"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P(m)</w:t>
            </w:r>
          </w:p>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Power measured on test bed</w:t>
            </w:r>
          </w:p>
        </w:tc>
        <w:tc>
          <w:tcPr>
            <w:tcW w:w="811"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Borders>
              <w:top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P(a)</w:t>
            </w:r>
          </w:p>
          <w:p w:rsidR="00C0100D" w:rsidRPr="00B04DC3" w:rsidRDefault="00C0100D" w:rsidP="001A1FEB">
            <w:pPr>
              <w:keepNext/>
              <w:keepLines/>
              <w:tabs>
                <w:tab w:val="left" w:pos="1134"/>
                <w:tab w:val="right" w:leader="dot" w:pos="9356"/>
              </w:tabs>
              <w:autoSpaceDE w:val="0"/>
              <w:autoSpaceDN w:val="0"/>
              <w:adjustRightInd w:val="0"/>
              <w:spacing w:before="40" w:after="80" w:line="220" w:lineRule="exact"/>
              <w:ind w:left="113" w:right="113"/>
            </w:pPr>
            <w:r w:rsidRPr="00B04DC3">
              <w:t>Power absorbed by auxiliaries to be fitted for test (paragraph 5.1.1. of Regulation No. 24</w:t>
            </w:r>
            <w:r w:rsidR="001A1FEB">
              <w:rPr>
                <w:spacing w:val="-2"/>
              </w:rPr>
              <w:t xml:space="preserve">, </w:t>
            </w:r>
            <w:r w:rsidR="00EE1768">
              <w:rPr>
                <w:spacing w:val="-2"/>
              </w:rPr>
              <w:t>03 series of amendments</w:t>
            </w:r>
            <w:r w:rsidRPr="00B04DC3">
              <w:t>, Annex 10)</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(a) if fitted</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(b) if not fitted</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P(b)</w:t>
            </w:r>
          </w:p>
          <w:p w:rsidR="00C0100D" w:rsidRPr="00B04DC3" w:rsidRDefault="00C0100D" w:rsidP="001A1FEB">
            <w:pPr>
              <w:keepNext/>
              <w:keepLines/>
              <w:tabs>
                <w:tab w:val="left" w:pos="1134"/>
                <w:tab w:val="right" w:leader="dot" w:pos="9356"/>
              </w:tabs>
              <w:autoSpaceDE w:val="0"/>
              <w:autoSpaceDN w:val="0"/>
              <w:adjustRightInd w:val="0"/>
              <w:spacing w:before="40" w:after="80" w:line="220" w:lineRule="exact"/>
              <w:ind w:left="113" w:right="113"/>
            </w:pPr>
            <w:r w:rsidRPr="00B04DC3">
              <w:t>Power absorbed by auxiliaries to be removed for test (paragraph 5.1.2. of Regulation No. 24</w:t>
            </w:r>
            <w:r w:rsidR="001A1FEB">
              <w:rPr>
                <w:spacing w:val="-2"/>
              </w:rPr>
              <w:t xml:space="preserve">, </w:t>
            </w:r>
            <w:r w:rsidR="00EE1768">
              <w:rPr>
                <w:spacing w:val="-2"/>
              </w:rPr>
              <w:t>03 series of amendments</w:t>
            </w:r>
            <w:r w:rsidRPr="00B04DC3">
              <w:t>, Annex 10)</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(a) if fitted</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AA0E48" w:rsidRPr="00B04DC3" w:rsidTr="00AA0E48">
        <w:tc>
          <w:tcPr>
            <w:tcW w:w="430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(b) if not fitted</w:t>
            </w:r>
          </w:p>
        </w:tc>
        <w:tc>
          <w:tcPr>
            <w:tcW w:w="811"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75"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33"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798"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c>
          <w:tcPr>
            <w:tcW w:w="880" w:type="dxa"/>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0</w:t>
            </w:r>
          </w:p>
        </w:tc>
      </w:tr>
      <w:tr w:rsidR="00AA0E48" w:rsidRPr="00B04DC3" w:rsidTr="00AA0E48">
        <w:tc>
          <w:tcPr>
            <w:tcW w:w="4308"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P(n)</w:t>
            </w:r>
          </w:p>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r w:rsidRPr="00B04DC3">
              <w:t>Net engine power = P(m)-P(a)+P(b)</w:t>
            </w:r>
          </w:p>
        </w:tc>
        <w:tc>
          <w:tcPr>
            <w:tcW w:w="811"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75"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33"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798"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c>
          <w:tcPr>
            <w:tcW w:w="880" w:type="dxa"/>
            <w:tcBorders>
              <w:bottom w:val="single" w:sz="12" w:space="0" w:color="auto"/>
            </w:tcBorders>
          </w:tcPr>
          <w:p w:rsidR="00C0100D" w:rsidRPr="00B04DC3" w:rsidRDefault="00C0100D" w:rsidP="00025676">
            <w:pPr>
              <w:keepNext/>
              <w:keepLines/>
              <w:tabs>
                <w:tab w:val="left" w:pos="1134"/>
                <w:tab w:val="right" w:leader="dot" w:pos="9356"/>
              </w:tabs>
              <w:autoSpaceDE w:val="0"/>
              <w:autoSpaceDN w:val="0"/>
              <w:adjustRightInd w:val="0"/>
              <w:spacing w:before="40" w:after="80" w:line="220" w:lineRule="exact"/>
              <w:ind w:left="113" w:right="113"/>
            </w:pPr>
          </w:p>
        </w:tc>
      </w:tr>
      <w:tr w:rsidR="00C0100D" w:rsidRPr="00B04DC3" w:rsidTr="008F0EE6">
        <w:tc>
          <w:tcPr>
            <w:tcW w:w="8505" w:type="dxa"/>
            <w:gridSpan w:val="6"/>
            <w:tcBorders>
              <w:top w:val="single" w:sz="12" w:space="0" w:color="auto"/>
              <w:left w:val="nil"/>
              <w:bottom w:val="nil"/>
              <w:right w:val="nil"/>
            </w:tcBorders>
          </w:tcPr>
          <w:p w:rsidR="00C0100D" w:rsidRPr="00B04DC3" w:rsidRDefault="00025676" w:rsidP="00AA0E48">
            <w:pPr>
              <w:tabs>
                <w:tab w:val="left" w:pos="466"/>
                <w:tab w:val="right" w:leader="dot" w:pos="9356"/>
              </w:tabs>
              <w:autoSpaceDE w:val="0"/>
              <w:autoSpaceDN w:val="0"/>
              <w:adjustRightInd w:val="0"/>
              <w:spacing w:before="120" w:line="200" w:lineRule="atLeast"/>
              <w:ind w:left="113" w:right="113"/>
              <w:rPr>
                <w:sz w:val="18"/>
                <w:szCs w:val="18"/>
              </w:rPr>
            </w:pPr>
            <w:r w:rsidRPr="00B04DC3">
              <w:rPr>
                <w:i/>
                <w:sz w:val="18"/>
                <w:szCs w:val="18"/>
                <w:vertAlign w:val="superscript"/>
              </w:rPr>
              <w:t>a</w:t>
            </w:r>
            <w:r w:rsidRPr="00B04DC3">
              <w:rPr>
                <w:i/>
                <w:sz w:val="18"/>
                <w:szCs w:val="18"/>
              </w:rPr>
              <w:t xml:space="preserve">  </w:t>
            </w:r>
            <w:r w:rsidR="00C0100D" w:rsidRPr="00B04DC3">
              <w:rPr>
                <w:sz w:val="18"/>
                <w:szCs w:val="18"/>
              </w:rPr>
              <w:t>ESC test.</w:t>
            </w:r>
          </w:p>
          <w:p w:rsidR="00C0100D" w:rsidRPr="00B04DC3" w:rsidRDefault="00025676" w:rsidP="00AA0E48">
            <w:pPr>
              <w:tabs>
                <w:tab w:val="left" w:pos="466"/>
                <w:tab w:val="right" w:leader="dot" w:pos="9356"/>
              </w:tabs>
              <w:autoSpaceDE w:val="0"/>
              <w:autoSpaceDN w:val="0"/>
              <w:adjustRightInd w:val="0"/>
              <w:spacing w:before="40" w:after="80" w:line="220" w:lineRule="atLeast"/>
              <w:ind w:left="113" w:right="113"/>
              <w:rPr>
                <w:sz w:val="18"/>
                <w:szCs w:val="18"/>
              </w:rPr>
            </w:pPr>
            <w:r w:rsidRPr="00B04DC3">
              <w:rPr>
                <w:i/>
                <w:sz w:val="18"/>
                <w:szCs w:val="18"/>
                <w:vertAlign w:val="superscript"/>
              </w:rPr>
              <w:t>b</w:t>
            </w:r>
            <w:r w:rsidRPr="00B04DC3">
              <w:rPr>
                <w:sz w:val="18"/>
                <w:szCs w:val="18"/>
              </w:rPr>
              <w:t xml:space="preserve">  </w:t>
            </w:r>
            <w:r w:rsidR="00C0100D" w:rsidRPr="00B04DC3">
              <w:rPr>
                <w:sz w:val="18"/>
                <w:szCs w:val="18"/>
              </w:rPr>
              <w:t>ETC test only.</w:t>
            </w:r>
          </w:p>
        </w:tc>
      </w:tr>
    </w:tbl>
    <w:p w:rsidR="00CC343B" w:rsidRPr="00B04DC3" w:rsidRDefault="00CC343B" w:rsidP="00AA0E48">
      <w:pPr>
        <w:keepNext/>
        <w:keepLines/>
        <w:tabs>
          <w:tab w:val="left" w:pos="1134"/>
          <w:tab w:val="left" w:pos="2268"/>
          <w:tab w:val="right" w:leader="dot" w:pos="8505"/>
        </w:tabs>
        <w:spacing w:after="120"/>
        <w:ind w:left="2268" w:right="1134" w:hanging="1134"/>
        <w:jc w:val="both"/>
        <w:rPr>
          <w:vertAlign w:val="superscript"/>
        </w:rPr>
      </w:pPr>
      <w:r w:rsidRPr="00B04DC3">
        <w:t>8.2.1</w:t>
      </w:r>
      <w:r w:rsidRPr="00B04DC3">
        <w:tab/>
        <w:t xml:space="preserve">Declared values for power test according to Regulation No. 85 or declared values for power test in dual-fuel mode according to Regulation No. 85 </w:t>
      </w:r>
      <w:r w:rsidRPr="00B04DC3">
        <w:rPr>
          <w:vertAlign w:val="superscript"/>
        </w:rPr>
        <w:t>4,8</w:t>
      </w:r>
    </w:p>
    <w:p w:rsidR="00CC343B" w:rsidRPr="00B04DC3" w:rsidRDefault="00CC343B" w:rsidP="00CC343B">
      <w:pPr>
        <w:tabs>
          <w:tab w:val="right" w:leader="dot" w:pos="8505"/>
        </w:tabs>
        <w:spacing w:after="120"/>
        <w:ind w:left="2268" w:right="1134"/>
        <w:jc w:val="both"/>
      </w:pPr>
      <w:r w:rsidRPr="00B04DC3">
        <w:t>Idle speed</w:t>
      </w:r>
      <w:r w:rsidRPr="00B04DC3">
        <w:tab/>
        <w:t>rpm</w:t>
      </w:r>
    </w:p>
    <w:p w:rsidR="00CC343B" w:rsidRPr="00B04DC3" w:rsidRDefault="00CC343B" w:rsidP="00CC343B">
      <w:pPr>
        <w:tabs>
          <w:tab w:val="right" w:leader="dot" w:pos="8505"/>
        </w:tabs>
        <w:spacing w:after="120"/>
        <w:ind w:left="2268" w:right="1134"/>
        <w:jc w:val="both"/>
      </w:pPr>
      <w:r w:rsidRPr="00B04DC3">
        <w:t>Speed at maximum power</w:t>
      </w:r>
      <w:r w:rsidRPr="00B04DC3">
        <w:tab/>
        <w:t>rpm</w:t>
      </w:r>
    </w:p>
    <w:p w:rsidR="00CC343B" w:rsidRPr="00B04DC3" w:rsidRDefault="00CC343B" w:rsidP="00CC343B">
      <w:pPr>
        <w:tabs>
          <w:tab w:val="right" w:leader="dot" w:pos="8505"/>
        </w:tabs>
        <w:spacing w:after="120"/>
        <w:ind w:left="2268" w:right="1134"/>
        <w:jc w:val="both"/>
      </w:pPr>
      <w:r w:rsidRPr="00B04DC3">
        <w:t>Maximum power</w:t>
      </w:r>
      <w:r w:rsidRPr="00B04DC3">
        <w:tab/>
        <w:t>kW</w:t>
      </w:r>
    </w:p>
    <w:p w:rsidR="00CC343B" w:rsidRPr="00B04DC3" w:rsidRDefault="00CC343B" w:rsidP="00CC343B">
      <w:pPr>
        <w:tabs>
          <w:tab w:val="right" w:leader="dot" w:pos="8505"/>
        </w:tabs>
        <w:spacing w:after="120"/>
        <w:ind w:left="2268" w:right="1134"/>
        <w:jc w:val="both"/>
      </w:pPr>
      <w:r w:rsidRPr="00B04DC3">
        <w:t>Speed at maximum torque</w:t>
      </w:r>
      <w:r w:rsidRPr="00B04DC3">
        <w:tab/>
        <w:t>rpm</w:t>
      </w:r>
    </w:p>
    <w:p w:rsidR="00AC1EFA" w:rsidRPr="00B04DC3" w:rsidRDefault="00CC343B" w:rsidP="00CC343B">
      <w:pPr>
        <w:tabs>
          <w:tab w:val="right" w:leader="dot" w:pos="8505"/>
        </w:tabs>
        <w:spacing w:after="120"/>
        <w:ind w:left="2268" w:right="1134"/>
        <w:jc w:val="both"/>
      </w:pPr>
      <w:r w:rsidRPr="00B04DC3">
        <w:t>Maximum torque</w:t>
      </w:r>
      <w:r w:rsidRPr="00B04DC3">
        <w:tab/>
        <w:t>Nm</w:t>
      </w:r>
    </w:p>
    <w:p w:rsidR="00C0100D" w:rsidRPr="00B04DC3" w:rsidRDefault="00C0100D" w:rsidP="004B6E97">
      <w:pPr>
        <w:pStyle w:val="para"/>
        <w:spacing w:before="240"/>
        <w:rPr>
          <w:lang w:val="en-GB"/>
        </w:rPr>
      </w:pPr>
      <w:r w:rsidRPr="00B04DC3">
        <w:rPr>
          <w:lang w:val="en-GB"/>
        </w:rPr>
        <w:t>8.3.</w:t>
      </w:r>
      <w:r w:rsidRPr="00B04DC3">
        <w:rPr>
          <w:lang w:val="en-GB"/>
        </w:rPr>
        <w:tab/>
        <w:t>Dynamometer settings (kW)</w:t>
      </w:r>
    </w:p>
    <w:p w:rsidR="00C0100D" w:rsidRPr="00B04DC3" w:rsidRDefault="00C0100D" w:rsidP="004B6E97">
      <w:pPr>
        <w:pStyle w:val="para"/>
        <w:rPr>
          <w:lang w:val="en-GB"/>
        </w:rPr>
      </w:pPr>
      <w:r w:rsidRPr="00B04DC3">
        <w:rPr>
          <w:lang w:val="en-GB"/>
        </w:rPr>
        <w:tab/>
        <w:t>The dynamometer settings for the ESC and ELR tests and for the reference cycle of the ETC test shall be based upon the net engine power P(n) of paragraph 8.2</w:t>
      </w:r>
      <w:r w:rsidR="00401E79" w:rsidRPr="00B04DC3">
        <w:rPr>
          <w:lang w:val="en-GB"/>
        </w:rPr>
        <w:t xml:space="preserve">. </w:t>
      </w:r>
      <w:r w:rsidRPr="00B04DC3">
        <w:rPr>
          <w:lang w:val="en-GB"/>
        </w:rPr>
        <w:t>It is recommended to install the engine on the test bed in the net condition</w:t>
      </w:r>
      <w:r w:rsidR="00401E79" w:rsidRPr="00B04DC3">
        <w:rPr>
          <w:lang w:val="en-GB"/>
        </w:rPr>
        <w:t xml:space="preserve">. </w:t>
      </w:r>
      <w:r w:rsidRPr="00B04DC3">
        <w:rPr>
          <w:lang w:val="en-GB"/>
        </w:rPr>
        <w:t>In this case, P(m) and P(n) are identical</w:t>
      </w:r>
      <w:r w:rsidR="00401E79" w:rsidRPr="00B04DC3">
        <w:rPr>
          <w:lang w:val="en-GB"/>
        </w:rPr>
        <w:t xml:space="preserve">. </w:t>
      </w:r>
      <w:r w:rsidRPr="00B04DC3">
        <w:rPr>
          <w:lang w:val="en-GB"/>
        </w:rPr>
        <w:t>If it is impossible or inappropriate to operate the engine under net conditions, the dynamometer settings shall be corrected to net conditions using the above formula.</w:t>
      </w:r>
    </w:p>
    <w:p w:rsidR="00C0100D" w:rsidRPr="00B04DC3" w:rsidRDefault="00C0100D" w:rsidP="004B6E97">
      <w:pPr>
        <w:pStyle w:val="para"/>
        <w:rPr>
          <w:lang w:val="en-GB"/>
        </w:rPr>
      </w:pPr>
      <w:r w:rsidRPr="00B04DC3">
        <w:rPr>
          <w:lang w:val="en-GB"/>
        </w:rPr>
        <w:t>8.3.1.</w:t>
      </w:r>
      <w:r w:rsidRPr="00B04DC3">
        <w:rPr>
          <w:lang w:val="en-GB"/>
        </w:rPr>
        <w:tab/>
        <w:t xml:space="preserve">ESC and ELR </w:t>
      </w:r>
      <w:r w:rsidR="00EE1768">
        <w:rPr>
          <w:lang w:val="en-GB"/>
        </w:rPr>
        <w:t>t</w:t>
      </w:r>
      <w:r w:rsidR="00EE1768" w:rsidRPr="00B04DC3">
        <w:rPr>
          <w:lang w:val="en-GB"/>
        </w:rPr>
        <w:t>ests</w:t>
      </w:r>
    </w:p>
    <w:p w:rsidR="00C0100D" w:rsidRDefault="00C0100D" w:rsidP="004B6E97">
      <w:pPr>
        <w:pStyle w:val="para"/>
        <w:rPr>
          <w:lang w:val="en-GB"/>
        </w:rPr>
      </w:pPr>
      <w:r w:rsidRPr="00B04DC3">
        <w:rPr>
          <w:lang w:val="en-GB"/>
        </w:rPr>
        <w:tab/>
        <w:t>The dynamometer settings shall be calculated according to the formula in Annex 4A, Appendix 1, paragraph 1.2.</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67"/>
        <w:gridCol w:w="1068"/>
        <w:gridCol w:w="1167"/>
        <w:gridCol w:w="1068"/>
      </w:tblGrid>
      <w:tr w:rsidR="008F0EE6" w:rsidRPr="00B04DC3" w:rsidTr="008F0EE6">
        <w:tc>
          <w:tcPr>
            <w:tcW w:w="1667" w:type="dxa"/>
            <w:vMerge w:val="restart"/>
          </w:tcPr>
          <w:p w:rsidR="008F0EE6" w:rsidRPr="00B04DC3" w:rsidRDefault="008F0EE6" w:rsidP="00EE1768">
            <w:pPr>
              <w:numPr>
                <w:ilvl w:val="12"/>
                <w:numId w:val="0"/>
              </w:numPr>
              <w:tabs>
                <w:tab w:val="left" w:leader="dot" w:pos="8505"/>
              </w:tabs>
              <w:spacing w:before="80" w:after="80" w:line="200" w:lineRule="atLeast"/>
              <w:jc w:val="center"/>
              <w:rPr>
                <w:i/>
                <w:sz w:val="16"/>
                <w:szCs w:val="16"/>
              </w:rPr>
            </w:pPr>
            <w:r w:rsidRPr="00B04DC3">
              <w:rPr>
                <w:i/>
                <w:sz w:val="16"/>
                <w:szCs w:val="16"/>
              </w:rPr>
              <w:t xml:space="preserve">Percent </w:t>
            </w:r>
            <w:r w:rsidR="00EE1768">
              <w:rPr>
                <w:i/>
                <w:sz w:val="16"/>
                <w:szCs w:val="16"/>
              </w:rPr>
              <w:t>l</w:t>
            </w:r>
            <w:r w:rsidR="00EE1768" w:rsidRPr="00B04DC3">
              <w:rPr>
                <w:i/>
                <w:sz w:val="16"/>
                <w:szCs w:val="16"/>
              </w:rPr>
              <w:t>oad</w:t>
            </w:r>
          </w:p>
        </w:tc>
        <w:tc>
          <w:tcPr>
            <w:tcW w:w="4570" w:type="dxa"/>
            <w:gridSpan w:val="4"/>
          </w:tcPr>
          <w:p w:rsidR="008F0EE6" w:rsidRPr="00B04DC3" w:rsidRDefault="008F0EE6" w:rsidP="00EE1768">
            <w:pPr>
              <w:numPr>
                <w:ilvl w:val="12"/>
                <w:numId w:val="0"/>
              </w:numPr>
              <w:tabs>
                <w:tab w:val="left" w:leader="dot" w:pos="8505"/>
              </w:tabs>
              <w:spacing w:before="80" w:after="80" w:line="200" w:lineRule="atLeast"/>
              <w:ind w:right="28"/>
              <w:jc w:val="center"/>
              <w:rPr>
                <w:i/>
                <w:sz w:val="16"/>
                <w:szCs w:val="16"/>
              </w:rPr>
            </w:pPr>
            <w:r w:rsidRPr="00B04DC3">
              <w:rPr>
                <w:i/>
                <w:sz w:val="16"/>
                <w:szCs w:val="16"/>
              </w:rPr>
              <w:t xml:space="preserve">Engine </w:t>
            </w:r>
            <w:r w:rsidR="00EE1768">
              <w:rPr>
                <w:i/>
                <w:sz w:val="16"/>
                <w:szCs w:val="16"/>
              </w:rPr>
              <w:t>s</w:t>
            </w:r>
            <w:r w:rsidR="00EE1768" w:rsidRPr="00B04DC3">
              <w:rPr>
                <w:i/>
                <w:sz w:val="16"/>
                <w:szCs w:val="16"/>
              </w:rPr>
              <w:t>peed</w:t>
            </w:r>
          </w:p>
        </w:tc>
      </w:tr>
      <w:tr w:rsidR="008F0EE6" w:rsidRPr="00B04DC3" w:rsidTr="008F0EE6">
        <w:tc>
          <w:tcPr>
            <w:tcW w:w="1667" w:type="dxa"/>
            <w:vMerge/>
            <w:tcBorders>
              <w:bottom w:val="single" w:sz="12" w:space="0" w:color="auto"/>
            </w:tcBorders>
          </w:tcPr>
          <w:p w:rsidR="008F0EE6" w:rsidRPr="00B04DC3" w:rsidRDefault="008F0EE6" w:rsidP="004B6E97">
            <w:pPr>
              <w:numPr>
                <w:ilvl w:val="12"/>
                <w:numId w:val="0"/>
              </w:numPr>
              <w:tabs>
                <w:tab w:val="left" w:leader="dot" w:pos="8505"/>
              </w:tabs>
              <w:spacing w:before="80" w:after="80" w:line="200" w:lineRule="atLeast"/>
              <w:jc w:val="center"/>
              <w:rPr>
                <w:i/>
                <w:sz w:val="16"/>
                <w:szCs w:val="16"/>
              </w:rPr>
            </w:pPr>
          </w:p>
        </w:tc>
        <w:tc>
          <w:tcPr>
            <w:tcW w:w="1267" w:type="dxa"/>
            <w:tcBorders>
              <w:bottom w:val="single" w:sz="12" w:space="0" w:color="auto"/>
            </w:tcBorders>
          </w:tcPr>
          <w:p w:rsidR="008F0EE6" w:rsidRPr="00B04DC3" w:rsidRDefault="008F0EE6" w:rsidP="004B6E97">
            <w:pPr>
              <w:numPr>
                <w:ilvl w:val="12"/>
                <w:numId w:val="0"/>
              </w:numPr>
              <w:tabs>
                <w:tab w:val="left" w:leader="dot" w:pos="8505"/>
              </w:tabs>
              <w:spacing w:before="80" w:after="80" w:line="200" w:lineRule="atLeast"/>
              <w:jc w:val="center"/>
              <w:rPr>
                <w:i/>
                <w:sz w:val="16"/>
                <w:szCs w:val="16"/>
              </w:rPr>
            </w:pPr>
            <w:r w:rsidRPr="00B04DC3">
              <w:rPr>
                <w:i/>
                <w:sz w:val="16"/>
                <w:szCs w:val="16"/>
              </w:rPr>
              <w:t>Idle</w:t>
            </w:r>
          </w:p>
        </w:tc>
        <w:tc>
          <w:tcPr>
            <w:tcW w:w="1068" w:type="dxa"/>
            <w:tcBorders>
              <w:bottom w:val="single" w:sz="12" w:space="0" w:color="auto"/>
            </w:tcBorders>
          </w:tcPr>
          <w:p w:rsidR="008F0EE6" w:rsidRPr="00B04DC3" w:rsidRDefault="008F0EE6" w:rsidP="004B6E97">
            <w:pPr>
              <w:numPr>
                <w:ilvl w:val="12"/>
                <w:numId w:val="0"/>
              </w:numPr>
              <w:tabs>
                <w:tab w:val="left" w:leader="dot" w:pos="8505"/>
              </w:tabs>
              <w:spacing w:before="80" w:after="80" w:line="200" w:lineRule="atLeast"/>
              <w:jc w:val="center"/>
              <w:rPr>
                <w:i/>
                <w:sz w:val="16"/>
                <w:szCs w:val="16"/>
              </w:rPr>
            </w:pPr>
            <w:r w:rsidRPr="00B04DC3">
              <w:rPr>
                <w:i/>
                <w:sz w:val="16"/>
                <w:szCs w:val="16"/>
              </w:rPr>
              <w:t>Speed A</w:t>
            </w:r>
          </w:p>
        </w:tc>
        <w:tc>
          <w:tcPr>
            <w:tcW w:w="1167" w:type="dxa"/>
            <w:tcBorders>
              <w:bottom w:val="single" w:sz="12" w:space="0" w:color="auto"/>
            </w:tcBorders>
          </w:tcPr>
          <w:p w:rsidR="008F0EE6" w:rsidRPr="00B04DC3" w:rsidRDefault="008F0EE6" w:rsidP="004B6E97">
            <w:pPr>
              <w:numPr>
                <w:ilvl w:val="12"/>
                <w:numId w:val="0"/>
              </w:numPr>
              <w:tabs>
                <w:tab w:val="left" w:leader="dot" w:pos="8505"/>
              </w:tabs>
              <w:spacing w:before="80" w:after="80" w:line="200" w:lineRule="atLeast"/>
              <w:ind w:right="7"/>
              <w:jc w:val="center"/>
              <w:rPr>
                <w:i/>
                <w:sz w:val="16"/>
                <w:szCs w:val="16"/>
              </w:rPr>
            </w:pPr>
            <w:r w:rsidRPr="00B04DC3">
              <w:rPr>
                <w:i/>
                <w:sz w:val="16"/>
                <w:szCs w:val="16"/>
              </w:rPr>
              <w:t>Speed B</w:t>
            </w:r>
          </w:p>
        </w:tc>
        <w:tc>
          <w:tcPr>
            <w:tcW w:w="1068" w:type="dxa"/>
            <w:tcBorders>
              <w:bottom w:val="single" w:sz="12" w:space="0" w:color="auto"/>
            </w:tcBorders>
          </w:tcPr>
          <w:p w:rsidR="008F0EE6" w:rsidRPr="00B04DC3" w:rsidRDefault="008F0EE6" w:rsidP="004B6E97">
            <w:pPr>
              <w:numPr>
                <w:ilvl w:val="12"/>
                <w:numId w:val="0"/>
              </w:numPr>
              <w:tabs>
                <w:tab w:val="left" w:leader="dot" w:pos="8505"/>
              </w:tabs>
              <w:spacing w:before="80" w:after="80" w:line="200" w:lineRule="atLeast"/>
              <w:ind w:right="28"/>
              <w:jc w:val="center"/>
              <w:rPr>
                <w:i/>
                <w:sz w:val="16"/>
                <w:szCs w:val="16"/>
              </w:rPr>
            </w:pPr>
            <w:r w:rsidRPr="00B04DC3">
              <w:rPr>
                <w:i/>
                <w:sz w:val="16"/>
                <w:szCs w:val="16"/>
              </w:rPr>
              <w:t>Speed C</w:t>
            </w:r>
          </w:p>
        </w:tc>
      </w:tr>
      <w:tr w:rsidR="00C0100D" w:rsidRPr="00B04DC3" w:rsidTr="008F0EE6">
        <w:tc>
          <w:tcPr>
            <w:tcW w:w="1667" w:type="dxa"/>
            <w:tcBorders>
              <w:top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10</w:t>
            </w:r>
          </w:p>
        </w:tc>
        <w:tc>
          <w:tcPr>
            <w:tcW w:w="1267" w:type="dxa"/>
            <w:tcBorders>
              <w:top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w:t>
            </w:r>
          </w:p>
        </w:tc>
        <w:tc>
          <w:tcPr>
            <w:tcW w:w="1068" w:type="dxa"/>
            <w:tcBorders>
              <w:top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p>
        </w:tc>
        <w:tc>
          <w:tcPr>
            <w:tcW w:w="1167" w:type="dxa"/>
            <w:tcBorders>
              <w:top w:val="single" w:sz="12" w:space="0" w:color="auto"/>
            </w:tcBorders>
          </w:tcPr>
          <w:p w:rsidR="00C0100D" w:rsidRPr="00B04DC3" w:rsidRDefault="00C0100D" w:rsidP="004B6E97">
            <w:pPr>
              <w:numPr>
                <w:ilvl w:val="12"/>
                <w:numId w:val="0"/>
              </w:numPr>
              <w:tabs>
                <w:tab w:val="left" w:leader="dot" w:pos="8505"/>
              </w:tabs>
              <w:spacing w:before="40" w:after="80"/>
              <w:ind w:right="7"/>
              <w:jc w:val="center"/>
              <w:rPr>
                <w:sz w:val="18"/>
                <w:szCs w:val="18"/>
              </w:rPr>
            </w:pPr>
          </w:p>
        </w:tc>
        <w:tc>
          <w:tcPr>
            <w:tcW w:w="1068" w:type="dxa"/>
            <w:tcBorders>
              <w:top w:val="single" w:sz="12" w:space="0" w:color="auto"/>
            </w:tcBorders>
          </w:tcPr>
          <w:p w:rsidR="00C0100D" w:rsidRPr="00B04DC3" w:rsidRDefault="00C0100D" w:rsidP="004B6E97">
            <w:pPr>
              <w:numPr>
                <w:ilvl w:val="12"/>
                <w:numId w:val="0"/>
              </w:numPr>
              <w:tabs>
                <w:tab w:val="left" w:leader="dot" w:pos="8505"/>
              </w:tabs>
              <w:spacing w:before="40" w:after="80"/>
              <w:ind w:right="28"/>
              <w:jc w:val="center"/>
              <w:rPr>
                <w:sz w:val="18"/>
                <w:szCs w:val="18"/>
              </w:rPr>
            </w:pPr>
          </w:p>
        </w:tc>
      </w:tr>
      <w:tr w:rsidR="00C0100D" w:rsidRPr="00B04DC3" w:rsidTr="008F0EE6">
        <w:tc>
          <w:tcPr>
            <w:tcW w:w="16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25</w:t>
            </w:r>
          </w:p>
        </w:tc>
        <w:tc>
          <w:tcPr>
            <w:tcW w:w="12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w:t>
            </w:r>
          </w:p>
        </w:tc>
        <w:tc>
          <w:tcPr>
            <w:tcW w:w="1068" w:type="dxa"/>
          </w:tcPr>
          <w:p w:rsidR="00C0100D" w:rsidRPr="00B04DC3" w:rsidRDefault="00C0100D" w:rsidP="004B6E97">
            <w:pPr>
              <w:numPr>
                <w:ilvl w:val="12"/>
                <w:numId w:val="0"/>
              </w:numPr>
              <w:tabs>
                <w:tab w:val="left" w:leader="dot" w:pos="8505"/>
              </w:tabs>
              <w:spacing w:before="40" w:after="80"/>
              <w:jc w:val="center"/>
              <w:rPr>
                <w:sz w:val="18"/>
                <w:szCs w:val="18"/>
              </w:rPr>
            </w:pPr>
          </w:p>
        </w:tc>
        <w:tc>
          <w:tcPr>
            <w:tcW w:w="1167" w:type="dxa"/>
          </w:tcPr>
          <w:p w:rsidR="00C0100D" w:rsidRPr="00B04DC3" w:rsidRDefault="00C0100D" w:rsidP="004B6E97">
            <w:pPr>
              <w:numPr>
                <w:ilvl w:val="12"/>
                <w:numId w:val="0"/>
              </w:numPr>
              <w:tabs>
                <w:tab w:val="left" w:leader="dot" w:pos="8505"/>
              </w:tabs>
              <w:spacing w:before="40" w:after="80"/>
              <w:ind w:right="7"/>
              <w:jc w:val="center"/>
              <w:rPr>
                <w:sz w:val="18"/>
                <w:szCs w:val="18"/>
              </w:rPr>
            </w:pPr>
          </w:p>
        </w:tc>
        <w:tc>
          <w:tcPr>
            <w:tcW w:w="1068" w:type="dxa"/>
          </w:tcPr>
          <w:p w:rsidR="00C0100D" w:rsidRPr="00B04DC3" w:rsidRDefault="00C0100D" w:rsidP="004B6E97">
            <w:pPr>
              <w:numPr>
                <w:ilvl w:val="12"/>
                <w:numId w:val="0"/>
              </w:numPr>
              <w:tabs>
                <w:tab w:val="left" w:leader="dot" w:pos="8505"/>
              </w:tabs>
              <w:spacing w:before="40" w:after="80"/>
              <w:ind w:right="28"/>
              <w:jc w:val="center"/>
              <w:rPr>
                <w:sz w:val="18"/>
                <w:szCs w:val="18"/>
              </w:rPr>
            </w:pPr>
          </w:p>
        </w:tc>
      </w:tr>
      <w:tr w:rsidR="00C0100D" w:rsidRPr="00B04DC3" w:rsidTr="008F0EE6">
        <w:tc>
          <w:tcPr>
            <w:tcW w:w="16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50</w:t>
            </w:r>
          </w:p>
        </w:tc>
        <w:tc>
          <w:tcPr>
            <w:tcW w:w="12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w:t>
            </w:r>
          </w:p>
        </w:tc>
        <w:tc>
          <w:tcPr>
            <w:tcW w:w="1068" w:type="dxa"/>
          </w:tcPr>
          <w:p w:rsidR="00C0100D" w:rsidRPr="00B04DC3" w:rsidRDefault="00C0100D" w:rsidP="004B6E97">
            <w:pPr>
              <w:numPr>
                <w:ilvl w:val="12"/>
                <w:numId w:val="0"/>
              </w:numPr>
              <w:tabs>
                <w:tab w:val="left" w:leader="dot" w:pos="8505"/>
              </w:tabs>
              <w:spacing w:before="40" w:after="80"/>
              <w:jc w:val="center"/>
              <w:rPr>
                <w:sz w:val="18"/>
                <w:szCs w:val="18"/>
              </w:rPr>
            </w:pPr>
          </w:p>
        </w:tc>
        <w:tc>
          <w:tcPr>
            <w:tcW w:w="1167" w:type="dxa"/>
          </w:tcPr>
          <w:p w:rsidR="00C0100D" w:rsidRPr="00B04DC3" w:rsidRDefault="00C0100D" w:rsidP="004B6E97">
            <w:pPr>
              <w:numPr>
                <w:ilvl w:val="12"/>
                <w:numId w:val="0"/>
              </w:numPr>
              <w:tabs>
                <w:tab w:val="left" w:leader="dot" w:pos="8505"/>
              </w:tabs>
              <w:spacing w:before="40" w:after="80"/>
              <w:ind w:right="7"/>
              <w:jc w:val="center"/>
              <w:rPr>
                <w:sz w:val="18"/>
                <w:szCs w:val="18"/>
              </w:rPr>
            </w:pPr>
          </w:p>
        </w:tc>
        <w:tc>
          <w:tcPr>
            <w:tcW w:w="1068" w:type="dxa"/>
          </w:tcPr>
          <w:p w:rsidR="00C0100D" w:rsidRPr="00B04DC3" w:rsidRDefault="00C0100D" w:rsidP="004B6E97">
            <w:pPr>
              <w:numPr>
                <w:ilvl w:val="12"/>
                <w:numId w:val="0"/>
              </w:numPr>
              <w:tabs>
                <w:tab w:val="left" w:leader="dot" w:pos="8505"/>
              </w:tabs>
              <w:spacing w:before="40" w:after="80"/>
              <w:ind w:right="28"/>
              <w:jc w:val="center"/>
              <w:rPr>
                <w:sz w:val="18"/>
                <w:szCs w:val="18"/>
              </w:rPr>
            </w:pPr>
          </w:p>
        </w:tc>
      </w:tr>
      <w:tr w:rsidR="00C0100D" w:rsidRPr="00B04DC3" w:rsidTr="008F0EE6">
        <w:tc>
          <w:tcPr>
            <w:tcW w:w="16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75</w:t>
            </w:r>
          </w:p>
        </w:tc>
        <w:tc>
          <w:tcPr>
            <w:tcW w:w="1267" w:type="dxa"/>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w:t>
            </w:r>
          </w:p>
        </w:tc>
        <w:tc>
          <w:tcPr>
            <w:tcW w:w="1068" w:type="dxa"/>
          </w:tcPr>
          <w:p w:rsidR="00C0100D" w:rsidRPr="00B04DC3" w:rsidRDefault="00C0100D" w:rsidP="004B6E97">
            <w:pPr>
              <w:numPr>
                <w:ilvl w:val="12"/>
                <w:numId w:val="0"/>
              </w:numPr>
              <w:tabs>
                <w:tab w:val="left" w:leader="dot" w:pos="8505"/>
              </w:tabs>
              <w:spacing w:before="40" w:after="80"/>
              <w:jc w:val="center"/>
              <w:rPr>
                <w:sz w:val="18"/>
                <w:szCs w:val="18"/>
              </w:rPr>
            </w:pPr>
          </w:p>
        </w:tc>
        <w:tc>
          <w:tcPr>
            <w:tcW w:w="1167" w:type="dxa"/>
          </w:tcPr>
          <w:p w:rsidR="00C0100D" w:rsidRPr="00B04DC3" w:rsidRDefault="00C0100D" w:rsidP="004B6E97">
            <w:pPr>
              <w:numPr>
                <w:ilvl w:val="12"/>
                <w:numId w:val="0"/>
              </w:numPr>
              <w:tabs>
                <w:tab w:val="left" w:leader="dot" w:pos="8505"/>
              </w:tabs>
              <w:spacing w:before="40" w:after="80"/>
              <w:ind w:right="7"/>
              <w:jc w:val="center"/>
              <w:rPr>
                <w:sz w:val="18"/>
                <w:szCs w:val="18"/>
              </w:rPr>
            </w:pPr>
          </w:p>
        </w:tc>
        <w:tc>
          <w:tcPr>
            <w:tcW w:w="1068" w:type="dxa"/>
          </w:tcPr>
          <w:p w:rsidR="00C0100D" w:rsidRPr="00B04DC3" w:rsidRDefault="00C0100D" w:rsidP="004B6E97">
            <w:pPr>
              <w:numPr>
                <w:ilvl w:val="12"/>
                <w:numId w:val="0"/>
              </w:numPr>
              <w:tabs>
                <w:tab w:val="left" w:leader="dot" w:pos="8505"/>
              </w:tabs>
              <w:spacing w:before="40" w:after="80"/>
              <w:ind w:right="28"/>
              <w:jc w:val="center"/>
              <w:rPr>
                <w:sz w:val="18"/>
                <w:szCs w:val="18"/>
              </w:rPr>
            </w:pPr>
          </w:p>
        </w:tc>
      </w:tr>
      <w:tr w:rsidR="00C0100D" w:rsidRPr="00B04DC3" w:rsidTr="008F0EE6">
        <w:tc>
          <w:tcPr>
            <w:tcW w:w="1667" w:type="dxa"/>
            <w:tcBorders>
              <w:bottom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r w:rsidRPr="00B04DC3">
              <w:rPr>
                <w:sz w:val="18"/>
                <w:szCs w:val="18"/>
              </w:rPr>
              <w:t>100</w:t>
            </w:r>
          </w:p>
        </w:tc>
        <w:tc>
          <w:tcPr>
            <w:tcW w:w="1267" w:type="dxa"/>
            <w:tcBorders>
              <w:bottom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p>
        </w:tc>
        <w:tc>
          <w:tcPr>
            <w:tcW w:w="1068" w:type="dxa"/>
            <w:tcBorders>
              <w:bottom w:val="single" w:sz="12" w:space="0" w:color="auto"/>
            </w:tcBorders>
          </w:tcPr>
          <w:p w:rsidR="00C0100D" w:rsidRPr="00B04DC3" w:rsidRDefault="00C0100D" w:rsidP="004B6E97">
            <w:pPr>
              <w:numPr>
                <w:ilvl w:val="12"/>
                <w:numId w:val="0"/>
              </w:numPr>
              <w:tabs>
                <w:tab w:val="left" w:leader="dot" w:pos="8505"/>
              </w:tabs>
              <w:spacing w:before="40" w:after="80"/>
              <w:jc w:val="center"/>
              <w:rPr>
                <w:sz w:val="18"/>
                <w:szCs w:val="18"/>
              </w:rPr>
            </w:pPr>
          </w:p>
        </w:tc>
        <w:tc>
          <w:tcPr>
            <w:tcW w:w="1167" w:type="dxa"/>
            <w:tcBorders>
              <w:bottom w:val="single" w:sz="12" w:space="0" w:color="auto"/>
            </w:tcBorders>
          </w:tcPr>
          <w:p w:rsidR="00C0100D" w:rsidRPr="00B04DC3" w:rsidRDefault="00C0100D" w:rsidP="004B6E97">
            <w:pPr>
              <w:numPr>
                <w:ilvl w:val="12"/>
                <w:numId w:val="0"/>
              </w:numPr>
              <w:tabs>
                <w:tab w:val="left" w:leader="dot" w:pos="8505"/>
              </w:tabs>
              <w:spacing w:before="40" w:after="80"/>
              <w:ind w:right="7"/>
              <w:jc w:val="center"/>
              <w:rPr>
                <w:sz w:val="18"/>
                <w:szCs w:val="18"/>
              </w:rPr>
            </w:pPr>
          </w:p>
        </w:tc>
        <w:tc>
          <w:tcPr>
            <w:tcW w:w="1068" w:type="dxa"/>
            <w:tcBorders>
              <w:bottom w:val="single" w:sz="12" w:space="0" w:color="auto"/>
            </w:tcBorders>
          </w:tcPr>
          <w:p w:rsidR="00C0100D" w:rsidRPr="00B04DC3" w:rsidRDefault="00C0100D" w:rsidP="004B6E97">
            <w:pPr>
              <w:numPr>
                <w:ilvl w:val="12"/>
                <w:numId w:val="0"/>
              </w:numPr>
              <w:tabs>
                <w:tab w:val="left" w:leader="dot" w:pos="8505"/>
              </w:tabs>
              <w:spacing w:before="40" w:after="80"/>
              <w:ind w:right="28"/>
              <w:jc w:val="center"/>
              <w:rPr>
                <w:sz w:val="18"/>
                <w:szCs w:val="18"/>
              </w:rPr>
            </w:pPr>
          </w:p>
        </w:tc>
      </w:tr>
    </w:tbl>
    <w:p w:rsidR="00C0100D" w:rsidRPr="00B04DC3" w:rsidRDefault="00C0100D" w:rsidP="00EC1BB4">
      <w:pPr>
        <w:pStyle w:val="para"/>
        <w:spacing w:before="160" w:after="100"/>
        <w:rPr>
          <w:lang w:val="en-GB"/>
        </w:rPr>
      </w:pPr>
      <w:r w:rsidRPr="00B04DC3">
        <w:rPr>
          <w:lang w:val="en-GB"/>
        </w:rPr>
        <w:t>8.3.2.</w:t>
      </w:r>
      <w:r w:rsidRPr="00B04DC3">
        <w:rPr>
          <w:lang w:val="en-GB"/>
        </w:rPr>
        <w:tab/>
        <w:t xml:space="preserve">ETC </w:t>
      </w:r>
      <w:r w:rsidR="00EE1768">
        <w:rPr>
          <w:lang w:val="en-GB"/>
        </w:rPr>
        <w:t>t</w:t>
      </w:r>
      <w:r w:rsidR="00EE1768" w:rsidRPr="00B04DC3">
        <w:rPr>
          <w:lang w:val="en-GB"/>
        </w:rPr>
        <w:t>est</w:t>
      </w:r>
    </w:p>
    <w:p w:rsidR="00C0100D" w:rsidRPr="00B04DC3" w:rsidRDefault="00C0100D" w:rsidP="00EC1BB4">
      <w:pPr>
        <w:pStyle w:val="para"/>
        <w:spacing w:after="100"/>
        <w:rPr>
          <w:lang w:val="en-GB"/>
        </w:rPr>
      </w:pPr>
      <w:r w:rsidRPr="00B04DC3">
        <w:rPr>
          <w:lang w:val="en-GB"/>
        </w:rPr>
        <w:tab/>
        <w:t>If the engine is not tested under net conditions, the correction formula for converting the measured power or measured cycle work, as determined according to Annex 4A, Appendix 2, paragraph 2., to net power or net cycle work shall be submitted by the engine manufacturer for the whole operating area of the cycle, and approved by the Technical Service.</w:t>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9.</w:t>
      </w:r>
      <w:r w:rsidRPr="00B04DC3">
        <w:rPr>
          <w:lang w:val="en-GB"/>
        </w:rPr>
        <w:tab/>
        <w:t>On-board diagnostic (OBD) system</w:t>
      </w:r>
    </w:p>
    <w:p w:rsidR="00C0100D" w:rsidRPr="00B04DC3" w:rsidRDefault="00C0100D" w:rsidP="004B6E97">
      <w:pPr>
        <w:pStyle w:val="para"/>
        <w:tabs>
          <w:tab w:val="left" w:pos="1134"/>
          <w:tab w:val="left" w:pos="2268"/>
          <w:tab w:val="right" w:leader="dot" w:pos="8505"/>
        </w:tabs>
        <w:rPr>
          <w:lang w:val="en-GB"/>
        </w:rPr>
      </w:pPr>
      <w:r w:rsidRPr="00B04DC3">
        <w:rPr>
          <w:lang w:val="en-GB"/>
        </w:rPr>
        <w:t>9.1.</w:t>
      </w:r>
      <w:r w:rsidRPr="00B04DC3">
        <w:rPr>
          <w:lang w:val="en-GB"/>
        </w:rPr>
        <w:tab/>
        <w:t>Written description and/or drawing of the MI</w:t>
      </w:r>
      <w:r w:rsidR="008F0EE6">
        <w:rPr>
          <w:lang w:val="en-GB"/>
        </w:rPr>
        <w:t>:</w:t>
      </w:r>
      <w:r w:rsidRPr="00B04DC3">
        <w:rPr>
          <w:vertAlign w:val="superscript"/>
          <w:lang w:val="en-GB"/>
        </w:rPr>
        <w:t>4</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9.2.</w:t>
      </w:r>
      <w:r w:rsidRPr="00B04DC3">
        <w:rPr>
          <w:lang w:val="en-GB"/>
        </w:rPr>
        <w:tab/>
        <w:t>List and purpose of all components monitored by the OBD system:</w:t>
      </w:r>
      <w:r w:rsidRPr="00B04DC3">
        <w:rPr>
          <w:lang w:val="en-GB"/>
        </w:rPr>
        <w:tab/>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9.3.</w:t>
      </w:r>
      <w:r w:rsidRPr="00B04DC3">
        <w:rPr>
          <w:lang w:val="en-GB"/>
        </w:rPr>
        <w:tab/>
        <w:t>Written description (general OBD working principles) for:</w:t>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9.3.1.</w:t>
      </w:r>
      <w:r w:rsidRPr="00B04DC3">
        <w:rPr>
          <w:lang w:val="en-GB"/>
        </w:rPr>
        <w:tab/>
        <w:t>Diesel/gas engines</w:t>
      </w:r>
    </w:p>
    <w:p w:rsidR="00C0100D" w:rsidRPr="00B04DC3" w:rsidRDefault="00C0100D" w:rsidP="004B6E97">
      <w:pPr>
        <w:pStyle w:val="para"/>
        <w:tabs>
          <w:tab w:val="left" w:pos="1134"/>
          <w:tab w:val="left" w:pos="2268"/>
          <w:tab w:val="right" w:leader="dot" w:pos="8505"/>
        </w:tabs>
        <w:rPr>
          <w:lang w:val="en-GB"/>
        </w:rPr>
      </w:pPr>
      <w:r w:rsidRPr="00B04DC3">
        <w:rPr>
          <w:lang w:val="en-GB"/>
        </w:rPr>
        <w:t>9.3.1.1.</w:t>
      </w:r>
      <w:r w:rsidRPr="00B04DC3">
        <w:rPr>
          <w:lang w:val="en-GB"/>
        </w:rPr>
        <w:tab/>
        <w:t>Catalyst monitoring</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9.3.1.2.</w:t>
      </w:r>
      <w:r w:rsidRPr="00B04DC3">
        <w:rPr>
          <w:lang w:val="en-GB"/>
        </w:rPr>
        <w:tab/>
        <w:t>deNO</w:t>
      </w:r>
      <w:r w:rsidRPr="00B04DC3">
        <w:rPr>
          <w:vertAlign w:val="subscript"/>
          <w:lang w:val="en-GB"/>
        </w:rPr>
        <w:t>x</w:t>
      </w:r>
      <w:r w:rsidRPr="00B04DC3">
        <w:rPr>
          <w:lang w:val="en-GB"/>
        </w:rPr>
        <w:t xml:space="preserve"> system monitoring</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9.3.1.3.</w:t>
      </w:r>
      <w:r w:rsidRPr="00B04DC3">
        <w:rPr>
          <w:lang w:val="en-GB"/>
        </w:rPr>
        <w:tab/>
        <w:t>Diesel particulate filter monitoring</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9.3.1.4.</w:t>
      </w:r>
      <w:r w:rsidRPr="00B04DC3">
        <w:rPr>
          <w:lang w:val="en-GB"/>
        </w:rPr>
        <w:tab/>
        <w:t>Electronic fuelling system monitoring</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9.3.1.5.</w:t>
      </w:r>
      <w:r w:rsidRPr="00B04DC3">
        <w:rPr>
          <w:lang w:val="en-GB"/>
        </w:rPr>
        <w:tab/>
        <w:t>Other components monitored by the OBD system</w:t>
      </w:r>
      <w:r w:rsidRPr="00B04DC3">
        <w:rPr>
          <w:lang w:val="en-GB"/>
        </w:rPr>
        <w:tab/>
      </w:r>
    </w:p>
    <w:p w:rsidR="00C0100D" w:rsidRPr="00B04DC3" w:rsidRDefault="00C0100D" w:rsidP="004B6E97">
      <w:pPr>
        <w:pStyle w:val="para"/>
        <w:tabs>
          <w:tab w:val="left" w:pos="1134"/>
          <w:tab w:val="left" w:pos="2268"/>
          <w:tab w:val="right" w:leader="dot" w:pos="8505"/>
        </w:tabs>
        <w:rPr>
          <w:lang w:val="en-GB"/>
        </w:rPr>
      </w:pPr>
      <w:r w:rsidRPr="00B04DC3">
        <w:rPr>
          <w:lang w:val="en-GB"/>
        </w:rPr>
        <w:t>9.4.</w:t>
      </w:r>
      <w:r w:rsidRPr="00B04DC3">
        <w:rPr>
          <w:lang w:val="en-GB"/>
        </w:rPr>
        <w:tab/>
        <w:t>Criteria for MI activation (fixed number of driving cycles or statistical method):</w:t>
      </w:r>
      <w:r w:rsidRPr="00B04DC3">
        <w:rPr>
          <w:lang w:val="en-GB"/>
        </w:rPr>
        <w:tab/>
      </w:r>
    </w:p>
    <w:p w:rsidR="00EE1768" w:rsidRPr="00B04DC3" w:rsidRDefault="00C0100D" w:rsidP="004B6E97">
      <w:pPr>
        <w:pStyle w:val="para"/>
        <w:tabs>
          <w:tab w:val="left" w:pos="1134"/>
          <w:tab w:val="left" w:pos="2268"/>
          <w:tab w:val="right" w:leader="dot" w:pos="8505"/>
        </w:tabs>
        <w:rPr>
          <w:lang w:val="en-GB"/>
        </w:rPr>
      </w:pPr>
      <w:r w:rsidRPr="00B04DC3">
        <w:rPr>
          <w:lang w:val="en-GB"/>
        </w:rPr>
        <w:t>9.5.</w:t>
      </w:r>
      <w:r w:rsidRPr="00B04DC3">
        <w:rPr>
          <w:lang w:val="en-GB"/>
        </w:rPr>
        <w:tab/>
        <w:t>List of all OBD output codes and formats used (with explanation of each):</w:t>
      </w:r>
      <w:r w:rsidRPr="00B04DC3">
        <w:rPr>
          <w:lang w:val="en-GB"/>
        </w:rPr>
        <w:tab/>
      </w:r>
      <w:r w:rsidR="00EE1768">
        <w:rPr>
          <w:lang w:val="en-GB"/>
        </w:rPr>
        <w:br/>
      </w:r>
      <w:r w:rsidR="00EE1768">
        <w:rPr>
          <w:lang w:val="en-GB"/>
        </w:rPr>
        <w:tab/>
      </w:r>
      <w:r w:rsidR="00EE1768">
        <w:rPr>
          <w:lang w:val="en-GB"/>
        </w:rPr>
        <w:tab/>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10.</w:t>
      </w:r>
      <w:r w:rsidRPr="00B04DC3">
        <w:rPr>
          <w:lang w:val="en-GB"/>
        </w:rPr>
        <w:tab/>
        <w:t>Torque limiter</w:t>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10.1.</w:t>
      </w:r>
      <w:r w:rsidRPr="00B04DC3">
        <w:rPr>
          <w:lang w:val="en-GB"/>
        </w:rPr>
        <w:tab/>
        <w:t>Description of the torque limiter activation</w:t>
      </w:r>
    </w:p>
    <w:p w:rsidR="00C0100D" w:rsidRPr="00B04DC3" w:rsidRDefault="00C0100D" w:rsidP="00EC1BB4">
      <w:pPr>
        <w:pStyle w:val="para"/>
        <w:tabs>
          <w:tab w:val="left" w:pos="1134"/>
          <w:tab w:val="left" w:pos="2268"/>
          <w:tab w:val="right" w:leader="dot" w:pos="8505"/>
        </w:tabs>
        <w:spacing w:after="100"/>
        <w:rPr>
          <w:lang w:val="en-GB"/>
        </w:rPr>
      </w:pPr>
      <w:r w:rsidRPr="00B04DC3">
        <w:rPr>
          <w:lang w:val="en-GB"/>
        </w:rPr>
        <w:t>10.2.</w:t>
      </w:r>
      <w:r w:rsidRPr="00B04DC3">
        <w:rPr>
          <w:lang w:val="en-GB"/>
        </w:rPr>
        <w:tab/>
        <w:t>Description of the full load curve limitation</w:t>
      </w:r>
    </w:p>
    <w:p w:rsidR="00C0100D" w:rsidRPr="00B04DC3" w:rsidRDefault="00C0100D" w:rsidP="00C0100D">
      <w:pPr>
        <w:sectPr w:rsidR="00C0100D" w:rsidRPr="00B04DC3" w:rsidSect="002A4563">
          <w:headerReference w:type="even" r:id="rId73"/>
          <w:headerReference w:type="default" r:id="rId74"/>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C70824" w:rsidP="00C70824">
      <w:pPr>
        <w:pStyle w:val="HChG"/>
      </w:pPr>
      <w:bookmarkStart w:id="133" w:name="_Toc423599490"/>
      <w:bookmarkStart w:id="134" w:name="_Toc423610898"/>
      <w:r w:rsidRPr="00B04DC3">
        <w:t>Annex 1</w:t>
      </w:r>
      <w:r w:rsidR="008F0EE6">
        <w:t xml:space="preserve"> - </w:t>
      </w:r>
      <w:r w:rsidR="00C0100D" w:rsidRPr="00B04DC3">
        <w:t>Appendix 2</w:t>
      </w:r>
      <w:bookmarkEnd w:id="133"/>
      <w:bookmarkEnd w:id="134"/>
    </w:p>
    <w:p w:rsidR="00C70824" w:rsidRPr="00B04DC3" w:rsidRDefault="00C70824" w:rsidP="00C70824">
      <w:pPr>
        <w:pStyle w:val="HChG"/>
        <w:rPr>
          <w:bCs/>
        </w:rPr>
      </w:pPr>
      <w:r w:rsidRPr="00B04DC3">
        <w:rPr>
          <w:bCs/>
        </w:rPr>
        <w:tab/>
      </w:r>
      <w:r w:rsidRPr="00B04DC3">
        <w:rPr>
          <w:bCs/>
        </w:rPr>
        <w:tab/>
      </w:r>
      <w:bookmarkStart w:id="135" w:name="_Toc423599491"/>
      <w:bookmarkStart w:id="136" w:name="_Toc423610899"/>
      <w:r w:rsidRPr="00B04DC3">
        <w:rPr>
          <w:bCs/>
        </w:rPr>
        <w:t>Essential characteristics of the engine family</w:t>
      </w:r>
      <w:bookmarkEnd w:id="135"/>
      <w:bookmarkEnd w:id="136"/>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bookmarkStart w:id="137" w:name="_Toc392666175"/>
      <w:r w:rsidRPr="00B04DC3">
        <w:rPr>
          <w:szCs w:val="19"/>
        </w:rPr>
        <w:tab/>
      </w:r>
      <w:r w:rsidR="00D21E3C" w:rsidRPr="00B04DC3">
        <w:rPr>
          <w:szCs w:val="19"/>
        </w:rPr>
        <w:t>1.</w:t>
      </w:r>
      <w:r w:rsidR="00D21E3C" w:rsidRPr="00B04DC3">
        <w:rPr>
          <w:szCs w:val="19"/>
        </w:rPr>
        <w:tab/>
      </w:r>
      <w:r w:rsidR="00C0100D" w:rsidRPr="00B04DC3">
        <w:rPr>
          <w:szCs w:val="19"/>
        </w:rPr>
        <w:t>Common parameters</w:t>
      </w:r>
      <w:bookmarkEnd w:id="137"/>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1.1.</w:t>
      </w:r>
      <w:r w:rsidR="00C0100D" w:rsidRPr="00B04DC3">
        <w:rPr>
          <w:szCs w:val="19"/>
        </w:rPr>
        <w:tab/>
        <w:t>Combustion cycle:</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1.2.</w:t>
      </w:r>
      <w:r w:rsidR="00C0100D" w:rsidRPr="00B04DC3">
        <w:rPr>
          <w:szCs w:val="19"/>
        </w:rPr>
        <w:tab/>
        <w:t>Cooling medium:</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t>1.3.</w:t>
      </w:r>
      <w:r w:rsidRPr="00B04DC3">
        <w:rPr>
          <w:szCs w:val="19"/>
        </w:rPr>
        <w:tab/>
        <w:t>Number of cylinders</w:t>
      </w:r>
      <w:r w:rsidR="00EB2682">
        <w:rPr>
          <w:szCs w:val="19"/>
        </w:rPr>
        <w:t>:</w:t>
      </w:r>
      <w:r w:rsidR="00C0100D" w:rsidRPr="00B04DC3">
        <w:rPr>
          <w:szCs w:val="19"/>
          <w:vertAlign w:val="superscript"/>
        </w:rPr>
        <w:footnoteReference w:id="18"/>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1.4.</w:t>
      </w:r>
      <w:r w:rsidR="00C0100D" w:rsidRPr="00B04DC3">
        <w:rPr>
          <w:szCs w:val="19"/>
        </w:rPr>
        <w:tab/>
        <w:t>Individual cylinder displacement:</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1.5.</w:t>
      </w:r>
      <w:r w:rsidR="00C0100D" w:rsidRPr="00B04DC3">
        <w:rPr>
          <w:szCs w:val="19"/>
        </w:rPr>
        <w:tab/>
        <w:t>Method of air aspiration:</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1.6.</w:t>
      </w:r>
      <w:r w:rsidR="00C0100D" w:rsidRPr="00B04DC3">
        <w:rPr>
          <w:szCs w:val="19"/>
        </w:rPr>
        <w:tab/>
        <w:t>Combustion chamber type/design:</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1.7.</w:t>
      </w:r>
      <w:r w:rsidR="00C0100D" w:rsidRPr="00B04DC3">
        <w:rPr>
          <w:szCs w:val="19"/>
        </w:rPr>
        <w:tab/>
        <w:t>Valve and porting - configuration, size and number:</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1.8.</w:t>
      </w:r>
      <w:r w:rsidR="00C0100D" w:rsidRPr="00B04DC3">
        <w:rPr>
          <w:szCs w:val="19"/>
        </w:rPr>
        <w:tab/>
        <w:t>Fuel system:</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1.9.</w:t>
      </w:r>
      <w:r w:rsidR="00C0100D" w:rsidRPr="00B04DC3">
        <w:rPr>
          <w:szCs w:val="19"/>
        </w:rPr>
        <w:tab/>
        <w:t>Ignition system (gas engines):</w:t>
      </w:r>
      <w:r w:rsidR="00C0100D"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1.10.</w:t>
      </w:r>
      <w:r w:rsidR="00C0100D" w:rsidRPr="00B04DC3">
        <w:rPr>
          <w:szCs w:val="19"/>
        </w:rPr>
        <w:tab/>
        <w:t>Miscellaneous features:</w:t>
      </w:r>
    </w:p>
    <w:p w:rsidR="00C0100D" w:rsidRPr="00B04DC3" w:rsidRDefault="00C0100D" w:rsidP="00D21E3C">
      <w:pPr>
        <w:tabs>
          <w:tab w:val="left" w:pos="2268"/>
          <w:tab w:val="left" w:leader="dot" w:pos="8505"/>
        </w:tabs>
        <w:autoSpaceDE w:val="0"/>
        <w:autoSpaceDN w:val="0"/>
        <w:adjustRightInd w:val="0"/>
        <w:spacing w:after="120"/>
        <w:ind w:left="2801" w:hanging="499"/>
        <w:jc w:val="both"/>
        <w:rPr>
          <w:szCs w:val="19"/>
        </w:rPr>
      </w:pPr>
      <w:r w:rsidRPr="00B04DC3">
        <w:rPr>
          <w:szCs w:val="19"/>
        </w:rPr>
        <w:t>(a)</w:t>
      </w:r>
      <w:r w:rsidRPr="00B04DC3">
        <w:rPr>
          <w:szCs w:val="19"/>
        </w:rPr>
        <w:tab/>
      </w:r>
      <w:r w:rsidR="00C70824" w:rsidRPr="00B04DC3">
        <w:rPr>
          <w:szCs w:val="19"/>
        </w:rPr>
        <w:t>Charge cooling system</w:t>
      </w:r>
      <w:r w:rsidR="004A252A">
        <w:rPr>
          <w:szCs w:val="19"/>
        </w:rPr>
        <w:t>:</w:t>
      </w:r>
      <w:r w:rsidR="00C70824" w:rsidRPr="00B04DC3">
        <w:rPr>
          <w:szCs w:val="19"/>
          <w:vertAlign w:val="superscript"/>
        </w:rPr>
        <w:t>1</w:t>
      </w:r>
      <w:r w:rsidRPr="00B04DC3">
        <w:rPr>
          <w:szCs w:val="19"/>
        </w:rPr>
        <w:tab/>
      </w:r>
    </w:p>
    <w:p w:rsidR="00C0100D" w:rsidRPr="00B04DC3" w:rsidRDefault="00C0100D" w:rsidP="00D21E3C">
      <w:pPr>
        <w:tabs>
          <w:tab w:val="left" w:pos="2268"/>
          <w:tab w:val="left" w:leader="dot" w:pos="8505"/>
        </w:tabs>
        <w:autoSpaceDE w:val="0"/>
        <w:autoSpaceDN w:val="0"/>
        <w:adjustRightInd w:val="0"/>
        <w:spacing w:after="120"/>
        <w:ind w:left="2801" w:hanging="499"/>
        <w:jc w:val="both"/>
        <w:rPr>
          <w:szCs w:val="19"/>
        </w:rPr>
      </w:pPr>
      <w:r w:rsidRPr="00B04DC3">
        <w:rPr>
          <w:szCs w:val="19"/>
        </w:rPr>
        <w:t>(b)</w:t>
      </w:r>
      <w:r w:rsidRPr="00B04DC3">
        <w:rPr>
          <w:szCs w:val="19"/>
        </w:rPr>
        <w:tab/>
      </w:r>
      <w:r w:rsidR="00C70824" w:rsidRPr="00B04DC3">
        <w:rPr>
          <w:szCs w:val="19"/>
        </w:rPr>
        <w:t>Exhaust gas recirculation</w:t>
      </w:r>
      <w:r w:rsidR="004A252A">
        <w:rPr>
          <w:szCs w:val="19"/>
        </w:rPr>
        <w:t>:</w:t>
      </w:r>
      <w:r w:rsidR="00C70824" w:rsidRPr="00B04DC3">
        <w:rPr>
          <w:szCs w:val="19"/>
          <w:vertAlign w:val="superscript"/>
        </w:rPr>
        <w:t>1</w:t>
      </w:r>
      <w:r w:rsidRPr="00B04DC3">
        <w:rPr>
          <w:szCs w:val="19"/>
        </w:rPr>
        <w:tab/>
      </w:r>
    </w:p>
    <w:p w:rsidR="00C0100D" w:rsidRPr="00B04DC3" w:rsidRDefault="00C0100D" w:rsidP="00D21E3C">
      <w:pPr>
        <w:tabs>
          <w:tab w:val="left" w:pos="2268"/>
          <w:tab w:val="left" w:leader="dot" w:pos="8505"/>
        </w:tabs>
        <w:autoSpaceDE w:val="0"/>
        <w:autoSpaceDN w:val="0"/>
        <w:adjustRightInd w:val="0"/>
        <w:spacing w:after="120"/>
        <w:ind w:left="2801" w:hanging="499"/>
        <w:jc w:val="both"/>
        <w:rPr>
          <w:szCs w:val="19"/>
        </w:rPr>
      </w:pPr>
      <w:r w:rsidRPr="00B04DC3">
        <w:rPr>
          <w:szCs w:val="19"/>
        </w:rPr>
        <w:t>(c)</w:t>
      </w:r>
      <w:r w:rsidRPr="00B04DC3">
        <w:rPr>
          <w:szCs w:val="19"/>
        </w:rPr>
        <w:tab/>
      </w:r>
      <w:r w:rsidR="00C70824" w:rsidRPr="00B04DC3">
        <w:rPr>
          <w:szCs w:val="19"/>
        </w:rPr>
        <w:t>Water injection/emulsion</w:t>
      </w:r>
      <w:r w:rsidR="004A252A">
        <w:rPr>
          <w:szCs w:val="19"/>
        </w:rPr>
        <w:t>:</w:t>
      </w:r>
      <w:r w:rsidR="00C70824" w:rsidRPr="00B04DC3">
        <w:rPr>
          <w:szCs w:val="19"/>
          <w:vertAlign w:val="superscript"/>
        </w:rPr>
        <w:t>1</w:t>
      </w:r>
      <w:r w:rsidRPr="00B04DC3">
        <w:rPr>
          <w:szCs w:val="19"/>
        </w:rPr>
        <w:tab/>
      </w:r>
    </w:p>
    <w:p w:rsidR="00C0100D" w:rsidRPr="00B04DC3" w:rsidRDefault="00C0100D" w:rsidP="00D21E3C">
      <w:pPr>
        <w:tabs>
          <w:tab w:val="left" w:pos="2268"/>
          <w:tab w:val="left" w:leader="dot" w:pos="8505"/>
        </w:tabs>
        <w:autoSpaceDE w:val="0"/>
        <w:autoSpaceDN w:val="0"/>
        <w:adjustRightInd w:val="0"/>
        <w:spacing w:after="120"/>
        <w:ind w:left="2801" w:hanging="499"/>
        <w:jc w:val="both"/>
        <w:rPr>
          <w:szCs w:val="19"/>
        </w:rPr>
      </w:pPr>
      <w:r w:rsidRPr="00B04DC3">
        <w:rPr>
          <w:szCs w:val="19"/>
        </w:rPr>
        <w:t>(d)</w:t>
      </w:r>
      <w:r w:rsidRPr="00B04DC3">
        <w:rPr>
          <w:szCs w:val="19"/>
        </w:rPr>
        <w:tab/>
      </w:r>
      <w:r w:rsidR="00C70824" w:rsidRPr="00B04DC3">
        <w:rPr>
          <w:szCs w:val="19"/>
        </w:rPr>
        <w:t>A</w:t>
      </w:r>
      <w:r w:rsidRPr="00B04DC3">
        <w:rPr>
          <w:szCs w:val="19"/>
        </w:rPr>
        <w:t>ir injection</w:t>
      </w:r>
      <w:r w:rsidR="004A252A">
        <w:rPr>
          <w:szCs w:val="19"/>
        </w:rPr>
        <w:t>:</w:t>
      </w:r>
      <w:r w:rsidR="00C70824" w:rsidRPr="00B04DC3">
        <w:rPr>
          <w:szCs w:val="19"/>
          <w:vertAlign w:val="superscript"/>
        </w:rPr>
        <w:t>1</w:t>
      </w:r>
      <w:r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t>1.11.</w:t>
      </w:r>
      <w:r w:rsidRPr="00B04DC3">
        <w:rPr>
          <w:szCs w:val="19"/>
        </w:rPr>
        <w:tab/>
        <w:t xml:space="preserve">Exhaust </w:t>
      </w:r>
      <w:r w:rsidR="006A75A0">
        <w:rPr>
          <w:szCs w:val="19"/>
        </w:rPr>
        <w:t>after-treatment</w:t>
      </w:r>
      <w:r w:rsidR="004A252A">
        <w:rPr>
          <w:szCs w:val="19"/>
        </w:rPr>
        <w:t>:</w:t>
      </w:r>
      <w:r w:rsidRPr="00B04DC3">
        <w:rPr>
          <w:szCs w:val="19"/>
          <w:vertAlign w:val="superscript"/>
        </w:rPr>
        <w:t>1</w:t>
      </w:r>
      <w:r w:rsidR="00C0100D" w:rsidRPr="00B04DC3">
        <w:rPr>
          <w:szCs w:val="19"/>
        </w:rPr>
        <w:tab/>
      </w:r>
    </w:p>
    <w:p w:rsidR="00C0100D" w:rsidRPr="00B04DC3" w:rsidRDefault="00C0100D" w:rsidP="00D21E3C">
      <w:pPr>
        <w:tabs>
          <w:tab w:val="left" w:pos="1100"/>
          <w:tab w:val="left" w:pos="2268"/>
          <w:tab w:val="left" w:leader="dot" w:pos="8505"/>
        </w:tabs>
        <w:autoSpaceDE w:val="0"/>
        <w:autoSpaceDN w:val="0"/>
        <w:adjustRightInd w:val="0"/>
        <w:spacing w:after="120"/>
        <w:ind w:left="2282" w:right="1039" w:hanging="2282"/>
        <w:jc w:val="both"/>
        <w:rPr>
          <w:szCs w:val="19"/>
        </w:rPr>
      </w:pPr>
      <w:r w:rsidRPr="00B04DC3">
        <w:rPr>
          <w:szCs w:val="19"/>
        </w:rPr>
        <w:tab/>
      </w:r>
      <w:r w:rsidR="00B73202" w:rsidRPr="00B04DC3">
        <w:rPr>
          <w:szCs w:val="19"/>
        </w:rPr>
        <w:tab/>
      </w:r>
      <w:r w:rsidRPr="00B04DC3">
        <w:rPr>
          <w:szCs w:val="19"/>
        </w:rPr>
        <w:t>Proof of identical (or lowest for t</w:t>
      </w:r>
      <w:r w:rsidR="00B73202" w:rsidRPr="00B04DC3">
        <w:rPr>
          <w:szCs w:val="19"/>
        </w:rPr>
        <w:t>he parent engine) ratio: system</w:t>
      </w:r>
      <w:r w:rsidR="00B73202" w:rsidRPr="00B04DC3">
        <w:rPr>
          <w:szCs w:val="19"/>
        </w:rPr>
        <w:br/>
      </w:r>
      <w:r w:rsidRPr="00B04DC3">
        <w:rPr>
          <w:szCs w:val="19"/>
        </w:rPr>
        <w:t>capacity/fuel delivery per stroke, pursuant to diagram number(s):</w:t>
      </w:r>
      <w:r w:rsidRPr="00B04DC3">
        <w:rPr>
          <w:szCs w:val="19"/>
        </w:rPr>
        <w:tab/>
      </w:r>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bookmarkStart w:id="138" w:name="_Toc392666176"/>
      <w:r w:rsidRPr="00B04DC3">
        <w:rPr>
          <w:szCs w:val="19"/>
        </w:rPr>
        <w:tab/>
      </w:r>
      <w:r w:rsidR="00C0100D" w:rsidRPr="00B04DC3">
        <w:rPr>
          <w:szCs w:val="19"/>
        </w:rPr>
        <w:t>2.</w:t>
      </w:r>
      <w:r w:rsidR="00C0100D" w:rsidRPr="00B04DC3">
        <w:rPr>
          <w:szCs w:val="19"/>
        </w:rPr>
        <w:tab/>
        <w:t>Engine family listing</w:t>
      </w:r>
      <w:bookmarkEnd w:id="138"/>
    </w:p>
    <w:p w:rsidR="00C0100D" w:rsidRPr="00B04DC3" w:rsidRDefault="00C70824"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2.1.</w:t>
      </w:r>
      <w:r w:rsidR="00C0100D" w:rsidRPr="00B04DC3">
        <w:rPr>
          <w:szCs w:val="19"/>
        </w:rPr>
        <w:tab/>
        <w:t>Name of diesel engine family:</w:t>
      </w:r>
      <w:r w:rsidR="00C0100D" w:rsidRPr="00B04DC3">
        <w:rPr>
          <w:szCs w:val="19"/>
        </w:rPr>
        <w:tab/>
      </w:r>
    </w:p>
    <w:p w:rsidR="00C0100D" w:rsidRPr="00B04DC3" w:rsidRDefault="00D21E3C" w:rsidP="00D21E3C">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br w:type="page"/>
      </w:r>
      <w:r w:rsidR="00C70824" w:rsidRPr="00B04DC3">
        <w:rPr>
          <w:szCs w:val="19"/>
        </w:rPr>
        <w:tab/>
      </w:r>
      <w:r w:rsidR="00C0100D" w:rsidRPr="00B04DC3">
        <w:rPr>
          <w:szCs w:val="19"/>
        </w:rPr>
        <w:t>2.1.1.</w:t>
      </w:r>
      <w:r w:rsidR="00C0100D" w:rsidRPr="00B04DC3">
        <w:rPr>
          <w:szCs w:val="19"/>
        </w:rPr>
        <w:tab/>
        <w:t>Specification of engines within this family:</w:t>
      </w:r>
    </w:p>
    <w:tbl>
      <w:tblPr>
        <w:tblW w:w="744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700"/>
        <w:gridCol w:w="704"/>
        <w:gridCol w:w="699"/>
        <w:gridCol w:w="750"/>
        <w:gridCol w:w="1621"/>
      </w:tblGrid>
      <w:tr w:rsidR="00C0100D" w:rsidRPr="00B04DC3" w:rsidTr="004A252A">
        <w:trPr>
          <w:cantSplit/>
        </w:trPr>
        <w:tc>
          <w:tcPr>
            <w:tcW w:w="5825" w:type="dxa"/>
            <w:gridSpan w:val="5"/>
            <w:tcBorders>
              <w:bottom w:val="single" w:sz="12" w:space="0" w:color="auto"/>
            </w:tcBorders>
          </w:tcPr>
          <w:p w:rsidR="00C0100D" w:rsidRPr="00B04DC3" w:rsidRDefault="00C0100D" w:rsidP="00C70824">
            <w:pPr>
              <w:spacing w:before="80" w:after="80" w:line="200" w:lineRule="atLeast"/>
              <w:jc w:val="center"/>
              <w:rPr>
                <w:i/>
                <w:sz w:val="16"/>
                <w:szCs w:val="16"/>
              </w:rPr>
            </w:pPr>
          </w:p>
        </w:tc>
        <w:tc>
          <w:tcPr>
            <w:tcW w:w="1621" w:type="dxa"/>
            <w:tcBorders>
              <w:bottom w:val="single" w:sz="12" w:space="0" w:color="auto"/>
            </w:tcBorders>
          </w:tcPr>
          <w:p w:rsidR="00C0100D" w:rsidRPr="00B04DC3" w:rsidRDefault="00C0100D" w:rsidP="00EB2682">
            <w:pPr>
              <w:spacing w:before="80" w:after="80" w:line="200" w:lineRule="atLeast"/>
              <w:jc w:val="center"/>
              <w:rPr>
                <w:i/>
                <w:sz w:val="16"/>
                <w:szCs w:val="16"/>
              </w:rPr>
            </w:pPr>
            <w:r w:rsidRPr="00B04DC3">
              <w:rPr>
                <w:i/>
                <w:sz w:val="16"/>
                <w:szCs w:val="16"/>
              </w:rPr>
              <w:t xml:space="preserve">Parent </w:t>
            </w:r>
            <w:r w:rsidR="00EB2682">
              <w:rPr>
                <w:i/>
                <w:sz w:val="16"/>
                <w:szCs w:val="16"/>
              </w:rPr>
              <w:t>e</w:t>
            </w:r>
            <w:r w:rsidR="00EB2682" w:rsidRPr="00B04DC3">
              <w:rPr>
                <w:i/>
                <w:sz w:val="16"/>
                <w:szCs w:val="16"/>
              </w:rPr>
              <w:t>ngine</w:t>
            </w:r>
          </w:p>
        </w:tc>
      </w:tr>
      <w:tr w:rsidR="00C0100D" w:rsidRPr="00B04DC3" w:rsidTr="00AA0E48">
        <w:tc>
          <w:tcPr>
            <w:tcW w:w="2974" w:type="dxa"/>
            <w:tcBorders>
              <w:top w:val="single" w:sz="12" w:space="0" w:color="auto"/>
            </w:tcBorders>
          </w:tcPr>
          <w:p w:rsidR="00C0100D" w:rsidRPr="00B04DC3" w:rsidRDefault="00C0100D" w:rsidP="00E6190A">
            <w:pPr>
              <w:keepNext/>
              <w:tabs>
                <w:tab w:val="left" w:pos="1134"/>
                <w:tab w:val="left" w:pos="1701"/>
                <w:tab w:val="right" w:leader="dot" w:pos="9356"/>
              </w:tabs>
              <w:autoSpaceDE w:val="0"/>
              <w:autoSpaceDN w:val="0"/>
              <w:adjustRightInd w:val="0"/>
              <w:spacing w:before="40" w:after="40" w:line="220" w:lineRule="atLeast"/>
              <w:ind w:left="113" w:right="113"/>
            </w:pPr>
            <w:r w:rsidRPr="00B04DC3">
              <w:t xml:space="preserve">Engine </w:t>
            </w:r>
            <w:r w:rsidR="00E6190A">
              <w:t>t</w:t>
            </w:r>
            <w:r w:rsidR="00E6190A" w:rsidRPr="00B04DC3">
              <w:t>ype</w:t>
            </w:r>
          </w:p>
        </w:tc>
        <w:tc>
          <w:tcPr>
            <w:tcW w:w="700" w:type="dxa"/>
            <w:tcBorders>
              <w:top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Borders>
              <w:top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Borders>
              <w:top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Borders>
              <w:top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Borders>
              <w:top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No. of cylinders</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E6190A">
            <w:pPr>
              <w:keepNext/>
              <w:tabs>
                <w:tab w:val="left" w:pos="1134"/>
                <w:tab w:val="left" w:pos="1701"/>
                <w:tab w:val="right" w:leader="dot" w:pos="9356"/>
              </w:tabs>
              <w:autoSpaceDE w:val="0"/>
              <w:autoSpaceDN w:val="0"/>
              <w:adjustRightInd w:val="0"/>
              <w:spacing w:before="40" w:after="40" w:line="220" w:lineRule="atLeast"/>
              <w:ind w:left="113" w:right="113"/>
            </w:pPr>
            <w:r w:rsidRPr="00B04DC3">
              <w:t xml:space="preserve">Rated </w:t>
            </w:r>
            <w:r w:rsidR="00E6190A">
              <w:t>s</w:t>
            </w:r>
            <w:r w:rsidR="00E6190A" w:rsidRPr="00B04DC3">
              <w:t xml:space="preserve">peed </w:t>
            </w:r>
            <w:r w:rsidRPr="00B04DC3">
              <w:t>(min</w:t>
            </w:r>
            <w:r w:rsidRPr="00B04DC3">
              <w:rPr>
                <w:vertAlign w:val="superscript"/>
              </w:rPr>
              <w:t>-1</w:t>
            </w:r>
            <w:r w:rsidRPr="00B04DC3">
              <w:t>)</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Fuel delivery per stroke (mm</w:t>
            </w:r>
            <w:r w:rsidRPr="00B04DC3">
              <w:rPr>
                <w:vertAlign w:val="superscript"/>
              </w:rPr>
              <w:t>3</w:t>
            </w:r>
            <w:r w:rsidRPr="00B04DC3">
              <w:t>)</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Rated net power (kW)</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Maximum torque speed (min</w:t>
            </w:r>
            <w:r w:rsidRPr="00B04DC3">
              <w:rPr>
                <w:vertAlign w:val="superscript"/>
              </w:rPr>
              <w:t>-1</w:t>
            </w:r>
            <w:r w:rsidRPr="00B04DC3">
              <w:t>)</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Fuel delivery per stroke (mm</w:t>
            </w:r>
            <w:r w:rsidRPr="00B04DC3">
              <w:rPr>
                <w:vertAlign w:val="superscript"/>
              </w:rPr>
              <w:t>3</w:t>
            </w:r>
            <w:r w:rsidRPr="00B04DC3">
              <w:t>)</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Maximum torque (Nm)</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Low idle speed (min</w:t>
            </w:r>
            <w:r w:rsidRPr="00B04DC3">
              <w:rPr>
                <w:vertAlign w:val="superscript"/>
              </w:rPr>
              <w:t>-1</w:t>
            </w:r>
            <w:r w:rsidRPr="00B04DC3">
              <w:t>)</w:t>
            </w:r>
          </w:p>
        </w:tc>
        <w:tc>
          <w:tcPr>
            <w:tcW w:w="70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AA0E48">
        <w:tc>
          <w:tcPr>
            <w:tcW w:w="2974" w:type="dxa"/>
            <w:tcBorders>
              <w:bottom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r w:rsidRPr="00B04DC3">
              <w:t>Cylinder displacement (in per cent of parent engine)</w:t>
            </w:r>
          </w:p>
        </w:tc>
        <w:tc>
          <w:tcPr>
            <w:tcW w:w="700" w:type="dxa"/>
            <w:tcBorders>
              <w:bottom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04" w:type="dxa"/>
            <w:tcBorders>
              <w:bottom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699" w:type="dxa"/>
            <w:tcBorders>
              <w:bottom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750" w:type="dxa"/>
            <w:tcBorders>
              <w:bottom w:val="single" w:sz="12" w:space="0" w:color="auto"/>
            </w:tcBorders>
          </w:tcPr>
          <w:p w:rsidR="00C0100D" w:rsidRPr="00B04DC3" w:rsidRDefault="00C0100D" w:rsidP="00C70824">
            <w:pPr>
              <w:keepNext/>
              <w:tabs>
                <w:tab w:val="left" w:pos="1134"/>
                <w:tab w:val="left" w:pos="1701"/>
                <w:tab w:val="right" w:leader="dot" w:pos="9356"/>
              </w:tabs>
              <w:autoSpaceDE w:val="0"/>
              <w:autoSpaceDN w:val="0"/>
              <w:adjustRightInd w:val="0"/>
              <w:spacing w:before="40" w:after="40" w:line="220" w:lineRule="atLeast"/>
              <w:ind w:left="113" w:right="113"/>
            </w:pPr>
          </w:p>
        </w:tc>
        <w:tc>
          <w:tcPr>
            <w:tcW w:w="1619" w:type="dxa"/>
            <w:tcBorders>
              <w:bottom w:val="single" w:sz="12" w:space="0" w:color="auto"/>
            </w:tcBorders>
          </w:tcPr>
          <w:p w:rsidR="00C0100D" w:rsidRPr="00B04DC3" w:rsidRDefault="00C0100D" w:rsidP="00101C1E">
            <w:pPr>
              <w:keepNext/>
              <w:tabs>
                <w:tab w:val="left" w:pos="1134"/>
                <w:tab w:val="left" w:pos="1701"/>
                <w:tab w:val="right" w:leader="dot" w:pos="9356"/>
              </w:tabs>
              <w:autoSpaceDE w:val="0"/>
              <w:autoSpaceDN w:val="0"/>
              <w:adjustRightInd w:val="0"/>
              <w:spacing w:before="40" w:after="40" w:line="220" w:lineRule="atLeast"/>
              <w:ind w:left="113" w:right="113"/>
              <w:jc w:val="center"/>
            </w:pPr>
            <w:r w:rsidRPr="00B04DC3">
              <w:t>100</w:t>
            </w:r>
          </w:p>
        </w:tc>
      </w:tr>
    </w:tbl>
    <w:p w:rsidR="00C0100D" w:rsidRPr="00B04DC3" w:rsidRDefault="00B73202" w:rsidP="00D21E3C">
      <w:pPr>
        <w:tabs>
          <w:tab w:val="left" w:pos="1134"/>
          <w:tab w:val="left" w:pos="2268"/>
          <w:tab w:val="left" w:leader="dot" w:pos="8505"/>
        </w:tabs>
        <w:autoSpaceDE w:val="0"/>
        <w:autoSpaceDN w:val="0"/>
        <w:adjustRightInd w:val="0"/>
        <w:spacing w:before="240" w:after="120"/>
        <w:ind w:left="1134" w:hanging="1134"/>
        <w:jc w:val="both"/>
        <w:rPr>
          <w:szCs w:val="19"/>
        </w:rPr>
      </w:pPr>
      <w:r w:rsidRPr="00B04DC3">
        <w:rPr>
          <w:szCs w:val="19"/>
        </w:rPr>
        <w:tab/>
      </w:r>
      <w:r w:rsidR="00C0100D" w:rsidRPr="00B04DC3">
        <w:rPr>
          <w:szCs w:val="19"/>
        </w:rPr>
        <w:t>2.2.</w:t>
      </w:r>
      <w:r w:rsidR="00C0100D" w:rsidRPr="00B04DC3">
        <w:rPr>
          <w:szCs w:val="19"/>
        </w:rPr>
        <w:tab/>
        <w:t>Name of gas engine family:</w:t>
      </w:r>
      <w:r w:rsidR="00C0100D" w:rsidRPr="00B04DC3">
        <w:rPr>
          <w:szCs w:val="19"/>
        </w:rPr>
        <w:tab/>
      </w:r>
    </w:p>
    <w:p w:rsidR="00C0100D" w:rsidRPr="00B04DC3" w:rsidRDefault="00B73202" w:rsidP="00B73202">
      <w:pPr>
        <w:tabs>
          <w:tab w:val="left" w:pos="1134"/>
          <w:tab w:val="left" w:pos="2268"/>
          <w:tab w:val="left" w:leader="dot" w:pos="8505"/>
        </w:tabs>
        <w:autoSpaceDE w:val="0"/>
        <w:autoSpaceDN w:val="0"/>
        <w:adjustRightInd w:val="0"/>
        <w:spacing w:after="240"/>
        <w:ind w:left="1134" w:hanging="1134"/>
        <w:jc w:val="both"/>
        <w:rPr>
          <w:szCs w:val="19"/>
        </w:rPr>
      </w:pPr>
      <w:r w:rsidRPr="00B04DC3">
        <w:rPr>
          <w:szCs w:val="19"/>
        </w:rPr>
        <w:tab/>
      </w:r>
      <w:r w:rsidR="00C0100D" w:rsidRPr="00B04DC3">
        <w:rPr>
          <w:szCs w:val="19"/>
        </w:rPr>
        <w:t>2.2.1.</w:t>
      </w:r>
      <w:r w:rsidR="00C0100D" w:rsidRPr="00B04DC3">
        <w:rPr>
          <w:szCs w:val="19"/>
        </w:rPr>
        <w:tab/>
        <w:t>Specification of engines within this family: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4"/>
        <w:gridCol w:w="682"/>
        <w:gridCol w:w="774"/>
        <w:gridCol w:w="650"/>
        <w:gridCol w:w="773"/>
        <w:gridCol w:w="1518"/>
      </w:tblGrid>
      <w:tr w:rsidR="00C0100D" w:rsidRPr="00B04DC3" w:rsidTr="004A252A">
        <w:trPr>
          <w:cantSplit/>
        </w:trPr>
        <w:tc>
          <w:tcPr>
            <w:tcW w:w="5853" w:type="dxa"/>
            <w:gridSpan w:val="5"/>
            <w:tcBorders>
              <w:bottom w:val="single" w:sz="12" w:space="0" w:color="auto"/>
            </w:tcBorders>
          </w:tcPr>
          <w:p w:rsidR="00C0100D" w:rsidRPr="00B04DC3" w:rsidRDefault="00C0100D" w:rsidP="00B73202">
            <w:pPr>
              <w:spacing w:before="80" w:after="80" w:line="200" w:lineRule="atLeast"/>
              <w:jc w:val="center"/>
              <w:rPr>
                <w:i/>
                <w:sz w:val="16"/>
                <w:szCs w:val="16"/>
              </w:rPr>
            </w:pPr>
          </w:p>
        </w:tc>
        <w:tc>
          <w:tcPr>
            <w:tcW w:w="1518" w:type="dxa"/>
            <w:tcBorders>
              <w:bottom w:val="single" w:sz="12" w:space="0" w:color="auto"/>
            </w:tcBorders>
          </w:tcPr>
          <w:p w:rsidR="00C0100D" w:rsidRPr="00B04DC3" w:rsidRDefault="00C0100D" w:rsidP="00EB2682">
            <w:pPr>
              <w:spacing w:before="80" w:after="80" w:line="200" w:lineRule="atLeast"/>
              <w:jc w:val="center"/>
              <w:rPr>
                <w:i/>
                <w:sz w:val="16"/>
                <w:szCs w:val="16"/>
              </w:rPr>
            </w:pPr>
            <w:r w:rsidRPr="00B04DC3">
              <w:rPr>
                <w:i/>
                <w:sz w:val="16"/>
                <w:szCs w:val="16"/>
              </w:rPr>
              <w:t xml:space="preserve">Parent </w:t>
            </w:r>
            <w:r w:rsidR="00EB2682">
              <w:rPr>
                <w:i/>
                <w:sz w:val="16"/>
                <w:szCs w:val="16"/>
              </w:rPr>
              <w:t>e</w:t>
            </w:r>
            <w:r w:rsidR="00EB2682" w:rsidRPr="00B04DC3">
              <w:rPr>
                <w:i/>
                <w:sz w:val="16"/>
                <w:szCs w:val="16"/>
              </w:rPr>
              <w:t>ngine</w:t>
            </w:r>
          </w:p>
        </w:tc>
      </w:tr>
      <w:tr w:rsidR="00C0100D" w:rsidRPr="00B04DC3" w:rsidTr="004A252A">
        <w:tc>
          <w:tcPr>
            <w:tcW w:w="2974" w:type="dxa"/>
            <w:tcBorders>
              <w:top w:val="single" w:sz="12" w:space="0" w:color="auto"/>
            </w:tcBorders>
          </w:tcPr>
          <w:p w:rsidR="00C0100D" w:rsidRPr="00B04DC3" w:rsidRDefault="00C0100D" w:rsidP="00E6190A">
            <w:pPr>
              <w:keepNext/>
              <w:tabs>
                <w:tab w:val="left" w:pos="1134"/>
                <w:tab w:val="left" w:pos="1701"/>
                <w:tab w:val="right" w:leader="dot" w:pos="9356"/>
              </w:tabs>
              <w:autoSpaceDE w:val="0"/>
              <w:autoSpaceDN w:val="0"/>
              <w:adjustRightInd w:val="0"/>
              <w:spacing w:before="40" w:after="40" w:line="220" w:lineRule="atLeast"/>
              <w:ind w:left="113" w:right="113"/>
            </w:pPr>
            <w:r w:rsidRPr="00B04DC3">
              <w:t xml:space="preserve">Engine </w:t>
            </w:r>
            <w:r w:rsidR="00E6190A">
              <w:t>t</w:t>
            </w:r>
            <w:r w:rsidR="00E6190A" w:rsidRPr="00B04DC3">
              <w:t>ype</w:t>
            </w:r>
          </w:p>
        </w:tc>
        <w:tc>
          <w:tcPr>
            <w:tcW w:w="682" w:type="dxa"/>
            <w:tcBorders>
              <w:top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Borders>
              <w:top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Borders>
              <w:top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Borders>
              <w:top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Borders>
              <w:top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No. of cylinders</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E6190A">
            <w:pPr>
              <w:keepNext/>
              <w:tabs>
                <w:tab w:val="left" w:pos="1134"/>
                <w:tab w:val="left" w:pos="1701"/>
                <w:tab w:val="right" w:leader="dot" w:pos="9356"/>
              </w:tabs>
              <w:autoSpaceDE w:val="0"/>
              <w:autoSpaceDN w:val="0"/>
              <w:adjustRightInd w:val="0"/>
              <w:spacing w:before="40" w:after="40" w:line="220" w:lineRule="atLeast"/>
              <w:ind w:left="113" w:right="113"/>
            </w:pPr>
            <w:r w:rsidRPr="00B04DC3">
              <w:t xml:space="preserve">Rated </w:t>
            </w:r>
            <w:r w:rsidR="00E6190A">
              <w:t>s</w:t>
            </w:r>
            <w:r w:rsidR="00E6190A" w:rsidRPr="00B04DC3">
              <w:t xml:space="preserve">peed </w:t>
            </w:r>
            <w:r w:rsidRPr="00B04DC3">
              <w:t>(min</w:t>
            </w:r>
            <w:r w:rsidRPr="00B04DC3">
              <w:rPr>
                <w:vertAlign w:val="superscript"/>
              </w:rPr>
              <w:t>-1</w:t>
            </w:r>
            <w:r w:rsidRPr="00B04DC3">
              <w:t>)</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Fuel delivery per stroke (mm</w:t>
            </w:r>
            <w:r w:rsidRPr="00B04DC3">
              <w:rPr>
                <w:vertAlign w:val="superscript"/>
              </w:rPr>
              <w:t>3</w:t>
            </w:r>
            <w:r w:rsidRPr="00B04DC3">
              <w:t>)</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Rated net power (kW)</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Maximum torque speed (min</w:t>
            </w:r>
            <w:r w:rsidRPr="00B04DC3">
              <w:rPr>
                <w:vertAlign w:val="superscript"/>
              </w:rPr>
              <w:t>-1</w:t>
            </w:r>
            <w:r w:rsidRPr="00B04DC3">
              <w:t>)</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Fuel delivery per stroke (mm</w:t>
            </w:r>
            <w:r w:rsidRPr="00B04DC3">
              <w:rPr>
                <w:vertAlign w:val="superscript"/>
              </w:rPr>
              <w:t>3</w:t>
            </w:r>
            <w:r w:rsidRPr="00B04DC3">
              <w:t>)</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Maximum torque (Nm)</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Low idle speed (min</w:t>
            </w:r>
            <w:r w:rsidRPr="00B04DC3">
              <w:rPr>
                <w:vertAlign w:val="superscript"/>
              </w:rPr>
              <w:t>-1</w:t>
            </w:r>
            <w:r w:rsidRPr="00B04DC3">
              <w:t>)</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Cylinder displacement (in per cent of parent engine)</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jc w:val="center"/>
            </w:pPr>
            <w:r w:rsidRPr="00B04DC3">
              <w:t>100</w:t>
            </w: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Spark timing</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EGR flow</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tc>
          <w:tcPr>
            <w:tcW w:w="29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Air pump yes/no</w:t>
            </w:r>
          </w:p>
        </w:tc>
        <w:tc>
          <w:tcPr>
            <w:tcW w:w="682"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r w:rsidR="00C0100D" w:rsidRPr="00B04DC3" w:rsidTr="004A252A">
        <w:tc>
          <w:tcPr>
            <w:tcW w:w="2974"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r w:rsidRPr="00B04DC3">
              <w:t>Air pump actual flow</w:t>
            </w:r>
          </w:p>
        </w:tc>
        <w:tc>
          <w:tcPr>
            <w:tcW w:w="682"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4"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650"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773"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c>
          <w:tcPr>
            <w:tcW w:w="1518" w:type="dxa"/>
            <w:tcBorders>
              <w:bottom w:val="single" w:sz="12" w:space="0" w:color="auto"/>
            </w:tcBorders>
          </w:tcPr>
          <w:p w:rsidR="00C0100D" w:rsidRPr="00B04DC3" w:rsidRDefault="00C0100D" w:rsidP="00B73202">
            <w:pPr>
              <w:keepNext/>
              <w:tabs>
                <w:tab w:val="left" w:pos="1134"/>
                <w:tab w:val="left" w:pos="1701"/>
                <w:tab w:val="right" w:leader="dot" w:pos="9356"/>
              </w:tabs>
              <w:autoSpaceDE w:val="0"/>
              <w:autoSpaceDN w:val="0"/>
              <w:adjustRightInd w:val="0"/>
              <w:spacing w:before="40" w:after="40" w:line="220" w:lineRule="atLeast"/>
              <w:ind w:left="113" w:right="113"/>
            </w:pPr>
          </w:p>
        </w:tc>
      </w:tr>
    </w:tbl>
    <w:p w:rsidR="00C0100D" w:rsidRPr="00B04DC3" w:rsidRDefault="00C0100D" w:rsidP="00C0100D">
      <w:pPr>
        <w:pStyle w:val="PointDouble0"/>
        <w:tabs>
          <w:tab w:val="clear" w:pos="850"/>
        </w:tabs>
        <w:spacing w:before="0" w:after="0"/>
      </w:pPr>
    </w:p>
    <w:p w:rsidR="00C0100D" w:rsidRPr="00B04DC3" w:rsidRDefault="00C0100D" w:rsidP="00C0100D">
      <w:pPr>
        <w:sectPr w:rsidR="00C0100D" w:rsidRPr="00B04DC3" w:rsidSect="002A4563">
          <w:headerReference w:type="even" r:id="rId75"/>
          <w:headerReference w:type="default" r:id="rId76"/>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B73202" w:rsidP="00B73202">
      <w:pPr>
        <w:pStyle w:val="HChG"/>
      </w:pPr>
      <w:bookmarkStart w:id="139" w:name="_Toc423599492"/>
      <w:bookmarkStart w:id="140" w:name="_Toc423610900"/>
      <w:r w:rsidRPr="00B04DC3">
        <w:t>Annex 1</w:t>
      </w:r>
      <w:r w:rsidR="00F551ED">
        <w:t xml:space="preserve"> - </w:t>
      </w:r>
      <w:r w:rsidR="00C0100D" w:rsidRPr="00B04DC3">
        <w:t>Appendix 3</w:t>
      </w:r>
      <w:bookmarkEnd w:id="139"/>
      <w:bookmarkEnd w:id="140"/>
    </w:p>
    <w:p w:rsidR="00C0100D" w:rsidRPr="00B04DC3" w:rsidRDefault="00B73202" w:rsidP="00B73202">
      <w:pPr>
        <w:pStyle w:val="HChG"/>
      </w:pPr>
      <w:r w:rsidRPr="00B04DC3">
        <w:rPr>
          <w:bCs/>
        </w:rPr>
        <w:tab/>
      </w:r>
      <w:r w:rsidRPr="00B04DC3">
        <w:rPr>
          <w:bCs/>
        </w:rPr>
        <w:tab/>
      </w:r>
      <w:bookmarkStart w:id="141" w:name="_Toc423599493"/>
      <w:bookmarkStart w:id="142" w:name="_Toc423610901"/>
      <w:r w:rsidRPr="00B04DC3">
        <w:rPr>
          <w:bCs/>
        </w:rPr>
        <w:t>Essential characteristics of the engine type within the family</w:t>
      </w:r>
      <w:r w:rsidR="00C0100D" w:rsidRPr="00B04DC3">
        <w:rPr>
          <w:rStyle w:val="FootnoteReference"/>
          <w:bCs/>
        </w:rPr>
        <w:footnoteReference w:id="19"/>
      </w:r>
      <w:bookmarkEnd w:id="141"/>
      <w:bookmarkEnd w:id="142"/>
    </w:p>
    <w:p w:rsidR="00C0100D" w:rsidRPr="00B04DC3" w:rsidRDefault="00393FA0" w:rsidP="00E6190A">
      <w:pPr>
        <w:tabs>
          <w:tab w:val="left" w:pos="1134"/>
          <w:tab w:val="left" w:pos="2268"/>
          <w:tab w:val="left" w:leader="dot" w:pos="8505"/>
        </w:tabs>
        <w:autoSpaceDE w:val="0"/>
        <w:autoSpaceDN w:val="0"/>
        <w:adjustRightInd w:val="0"/>
        <w:spacing w:before="240" w:after="120"/>
        <w:ind w:left="1134" w:hanging="1134"/>
        <w:jc w:val="both"/>
        <w:rPr>
          <w:szCs w:val="19"/>
        </w:rPr>
      </w:pPr>
      <w:r w:rsidRPr="00B04DC3">
        <w:rPr>
          <w:szCs w:val="19"/>
        </w:rPr>
        <w:tab/>
      </w:r>
      <w:r w:rsidR="00C0100D" w:rsidRPr="00B04DC3">
        <w:rPr>
          <w:szCs w:val="19"/>
        </w:rPr>
        <w:t>1.</w:t>
      </w:r>
      <w:r w:rsidR="00C0100D" w:rsidRPr="00B04DC3">
        <w:rPr>
          <w:szCs w:val="19"/>
        </w:rPr>
        <w:tab/>
        <w:t>Description of engine</w:t>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1.1.</w:t>
      </w:r>
      <w:r w:rsidR="00C0100D" w:rsidRPr="00B04DC3">
        <w:rPr>
          <w:szCs w:val="19"/>
        </w:rPr>
        <w:tab/>
        <w:t>Manufacturer:</w:t>
      </w:r>
      <w:r w:rsidR="00C0100D" w:rsidRPr="00B04DC3">
        <w:rPr>
          <w:szCs w:val="19"/>
        </w:rPr>
        <w:tab/>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1.2.</w:t>
      </w:r>
      <w:r w:rsidR="00C0100D" w:rsidRPr="00B04DC3">
        <w:rPr>
          <w:szCs w:val="19"/>
        </w:rPr>
        <w:tab/>
        <w:t>Manufacturer's engine code:</w:t>
      </w:r>
      <w:r w:rsidR="00C0100D" w:rsidRPr="00B04DC3">
        <w:rPr>
          <w:szCs w:val="19"/>
        </w:rPr>
        <w:tab/>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1.3.</w:t>
      </w:r>
      <w:r w:rsidR="00C0100D" w:rsidRPr="00B04DC3">
        <w:rPr>
          <w:szCs w:val="19"/>
        </w:rPr>
        <w:tab/>
        <w:t>Cycle: four stroke</w:t>
      </w:r>
      <w:r w:rsidR="00D21E3C" w:rsidRPr="00B04DC3">
        <w:rPr>
          <w:szCs w:val="19"/>
        </w:rPr>
        <w:t>s</w:t>
      </w:r>
      <w:r w:rsidR="00C0100D" w:rsidRPr="00B04DC3">
        <w:rPr>
          <w:szCs w:val="19"/>
        </w:rPr>
        <w:t xml:space="preserve"> / two stroke</w:t>
      </w:r>
      <w:r w:rsidR="00D21E3C" w:rsidRPr="00B04DC3">
        <w:rPr>
          <w:szCs w:val="19"/>
        </w:rPr>
        <w:t>s</w:t>
      </w:r>
      <w:r w:rsidR="00C0100D" w:rsidRPr="00B04DC3">
        <w:rPr>
          <w:szCs w:val="19"/>
          <w:vertAlign w:val="superscript"/>
        </w:rPr>
        <w:footnoteReference w:id="20"/>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1.4.</w:t>
      </w:r>
      <w:r w:rsidR="00C0100D" w:rsidRPr="00B04DC3">
        <w:rPr>
          <w:szCs w:val="19"/>
        </w:rPr>
        <w:tab/>
        <w:t>Number and arrangement of cylinders:</w:t>
      </w:r>
      <w:r w:rsidR="00C0100D" w:rsidRPr="00B04DC3">
        <w:rPr>
          <w:szCs w:val="19"/>
        </w:rPr>
        <w:tab/>
      </w:r>
    </w:p>
    <w:p w:rsidR="00C0100D" w:rsidRPr="00B04DC3" w:rsidRDefault="00393FA0" w:rsidP="00E6190A">
      <w:pPr>
        <w:pStyle w:val="para"/>
        <w:tabs>
          <w:tab w:val="left" w:pos="1134"/>
          <w:tab w:val="left" w:pos="2268"/>
          <w:tab w:val="right" w:leader="dot" w:pos="8505"/>
        </w:tabs>
        <w:rPr>
          <w:lang w:val="en-GB"/>
        </w:rPr>
      </w:pPr>
      <w:r w:rsidRPr="00B04DC3">
        <w:rPr>
          <w:lang w:val="en-GB"/>
        </w:rPr>
        <w:t>1.4.1.</w:t>
      </w:r>
      <w:r w:rsidRPr="00B04DC3">
        <w:rPr>
          <w:lang w:val="en-GB"/>
        </w:rPr>
        <w:tab/>
        <w:t>Bore:</w:t>
      </w:r>
      <w:r w:rsidRPr="00B04DC3">
        <w:rPr>
          <w:lang w:val="en-GB"/>
        </w:rPr>
        <w:tab/>
      </w:r>
      <w:r w:rsidR="00C0100D" w:rsidRPr="00B04DC3">
        <w:rPr>
          <w:lang w:val="en-GB"/>
        </w:rPr>
        <w:t>mm</w:t>
      </w:r>
    </w:p>
    <w:p w:rsidR="00C0100D" w:rsidRPr="00B04DC3" w:rsidRDefault="00C0100D" w:rsidP="00E6190A">
      <w:pPr>
        <w:pStyle w:val="para"/>
        <w:tabs>
          <w:tab w:val="left" w:pos="1134"/>
          <w:tab w:val="left" w:pos="2268"/>
          <w:tab w:val="right" w:leader="dot" w:pos="8505"/>
        </w:tabs>
        <w:rPr>
          <w:lang w:val="en-GB"/>
        </w:rPr>
      </w:pPr>
      <w:r w:rsidRPr="00B04DC3">
        <w:rPr>
          <w:lang w:val="en-GB"/>
        </w:rPr>
        <w:t>1.4.2.</w:t>
      </w:r>
      <w:r w:rsidRPr="00B04DC3">
        <w:rPr>
          <w:lang w:val="en-GB"/>
        </w:rPr>
        <w:tab/>
        <w:t>Stroke:</w:t>
      </w:r>
      <w:r w:rsidRPr="00B04DC3">
        <w:rPr>
          <w:lang w:val="en-GB"/>
        </w:rPr>
        <w:tab/>
        <w:t>mm</w:t>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1.4.3.</w:t>
      </w:r>
      <w:r w:rsidR="00C0100D" w:rsidRPr="00B04DC3">
        <w:rPr>
          <w:szCs w:val="19"/>
        </w:rPr>
        <w:tab/>
        <w:t>Firing order:</w:t>
      </w:r>
      <w:r w:rsidR="00C0100D" w:rsidRPr="00B04DC3">
        <w:rPr>
          <w:szCs w:val="19"/>
        </w:rPr>
        <w:tab/>
      </w:r>
    </w:p>
    <w:p w:rsidR="00C0100D" w:rsidRPr="00B04DC3" w:rsidRDefault="00C0100D" w:rsidP="00E6190A">
      <w:pPr>
        <w:pStyle w:val="para"/>
        <w:tabs>
          <w:tab w:val="left" w:pos="1134"/>
          <w:tab w:val="left" w:pos="2268"/>
          <w:tab w:val="right" w:leader="dot" w:pos="8505"/>
        </w:tabs>
        <w:rPr>
          <w:lang w:val="en-GB"/>
        </w:rPr>
      </w:pPr>
      <w:r w:rsidRPr="00B04DC3">
        <w:rPr>
          <w:lang w:val="en-GB"/>
        </w:rPr>
        <w:t>1.5.</w:t>
      </w:r>
      <w:r w:rsidRPr="00B04DC3">
        <w:rPr>
          <w:lang w:val="en-GB"/>
        </w:rPr>
        <w:tab/>
        <w:t>Engine capacity:</w:t>
      </w:r>
      <w:r w:rsidRPr="00B04DC3">
        <w:rPr>
          <w:lang w:val="en-GB"/>
        </w:rPr>
        <w:tab/>
        <w:t>cm³</w:t>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w:t>
      </w:r>
      <w:r w:rsidR="00D21E3C" w:rsidRPr="00B04DC3">
        <w:rPr>
          <w:szCs w:val="19"/>
        </w:rPr>
        <w:t>6.</w:t>
      </w:r>
      <w:r w:rsidR="00D21E3C" w:rsidRPr="00B04DC3">
        <w:rPr>
          <w:szCs w:val="19"/>
        </w:rPr>
        <w:tab/>
        <w:t>Volumetric compression ratio</w:t>
      </w:r>
      <w:r w:rsidR="00F551ED">
        <w:rPr>
          <w:szCs w:val="19"/>
        </w:rPr>
        <w:t>:</w:t>
      </w:r>
      <w:r w:rsidR="00C0100D" w:rsidRPr="00B04DC3">
        <w:rPr>
          <w:szCs w:val="19"/>
          <w:vertAlign w:val="superscript"/>
        </w:rPr>
        <w:footnoteReference w:id="21"/>
      </w:r>
      <w:r w:rsidR="00C0100D" w:rsidRPr="00B04DC3">
        <w:rPr>
          <w:szCs w:val="19"/>
        </w:rPr>
        <w:tab/>
      </w:r>
    </w:p>
    <w:p w:rsidR="00C0100D" w:rsidRPr="00B04DC3" w:rsidRDefault="00393FA0" w:rsidP="00E6190A">
      <w:pPr>
        <w:tabs>
          <w:tab w:val="left" w:pos="1134"/>
          <w:tab w:val="left" w:pos="2268"/>
          <w:tab w:val="left" w:leader="dot" w:pos="8505"/>
        </w:tabs>
        <w:autoSpaceDE w:val="0"/>
        <w:autoSpaceDN w:val="0"/>
        <w:adjustRightInd w:val="0"/>
        <w:spacing w:after="120"/>
        <w:ind w:left="1134" w:hanging="1134"/>
        <w:jc w:val="both"/>
        <w:rPr>
          <w:szCs w:val="19"/>
        </w:rPr>
      </w:pPr>
      <w:r w:rsidRPr="00B04DC3">
        <w:rPr>
          <w:szCs w:val="19"/>
        </w:rPr>
        <w:tab/>
      </w:r>
      <w:r w:rsidR="00C0100D" w:rsidRPr="00B04DC3">
        <w:rPr>
          <w:szCs w:val="19"/>
        </w:rPr>
        <w:t>1.7.</w:t>
      </w:r>
      <w:r w:rsidR="00C0100D" w:rsidRPr="00B04DC3">
        <w:rPr>
          <w:szCs w:val="19"/>
        </w:rPr>
        <w:tab/>
        <w:t>Drawing(s) of combustion chamber and piston crown:</w:t>
      </w:r>
      <w:r w:rsidR="00C0100D" w:rsidRPr="00B04DC3">
        <w:rPr>
          <w:szCs w:val="19"/>
        </w:rPr>
        <w:tab/>
      </w:r>
    </w:p>
    <w:p w:rsidR="00C0100D" w:rsidRPr="00B04DC3" w:rsidRDefault="00C0100D" w:rsidP="00E6190A">
      <w:pPr>
        <w:pStyle w:val="para"/>
        <w:tabs>
          <w:tab w:val="left" w:pos="1134"/>
          <w:tab w:val="left" w:pos="2268"/>
          <w:tab w:val="right" w:leader="dot" w:pos="8505"/>
        </w:tabs>
        <w:rPr>
          <w:lang w:val="en-GB"/>
        </w:rPr>
      </w:pPr>
      <w:r w:rsidRPr="00B04DC3">
        <w:rPr>
          <w:lang w:val="en-GB"/>
        </w:rPr>
        <w:t>1.8.</w:t>
      </w:r>
      <w:r w:rsidRPr="00B04DC3">
        <w:rPr>
          <w:lang w:val="en-GB"/>
        </w:rPr>
        <w:tab/>
        <w:t>Minimum cross-sectional area of inlet and outlet ports:</w:t>
      </w:r>
      <w:r w:rsidRPr="00B04DC3">
        <w:rPr>
          <w:lang w:val="en-GB"/>
        </w:rPr>
        <w:tab/>
        <w:t>cm²</w:t>
      </w:r>
    </w:p>
    <w:p w:rsidR="00C0100D" w:rsidRPr="00B04DC3" w:rsidRDefault="00C0100D" w:rsidP="00E6190A">
      <w:pPr>
        <w:pStyle w:val="para"/>
        <w:tabs>
          <w:tab w:val="left" w:pos="1134"/>
          <w:tab w:val="left" w:pos="2268"/>
          <w:tab w:val="right" w:leader="dot" w:pos="8505"/>
        </w:tabs>
        <w:rPr>
          <w:lang w:val="en-GB"/>
        </w:rPr>
      </w:pPr>
      <w:r w:rsidRPr="00B04DC3">
        <w:rPr>
          <w:lang w:val="en-GB"/>
        </w:rPr>
        <w:t>1.9.</w:t>
      </w:r>
      <w:r w:rsidRPr="00B04DC3">
        <w:rPr>
          <w:lang w:val="en-GB"/>
        </w:rPr>
        <w:tab/>
        <w:t>Idling speed:</w:t>
      </w:r>
      <w:r w:rsidRPr="00B04DC3">
        <w:rPr>
          <w:lang w:val="en-GB"/>
        </w:rPr>
        <w:tab/>
        <w:t>min</w:t>
      </w:r>
      <w:r w:rsidRPr="00B04DC3">
        <w:rPr>
          <w:vertAlign w:val="superscript"/>
          <w:lang w:val="en-GB"/>
        </w:rPr>
        <w:t>-1</w:t>
      </w:r>
    </w:p>
    <w:p w:rsidR="00C0100D" w:rsidRPr="00B04DC3" w:rsidRDefault="00C0100D" w:rsidP="00E6190A">
      <w:pPr>
        <w:pStyle w:val="para"/>
        <w:tabs>
          <w:tab w:val="left" w:pos="1134"/>
          <w:tab w:val="left" w:pos="2268"/>
          <w:tab w:val="right" w:leader="dot" w:pos="8505"/>
        </w:tabs>
        <w:rPr>
          <w:lang w:val="en-GB"/>
        </w:rPr>
      </w:pPr>
      <w:r w:rsidRPr="00B04DC3">
        <w:rPr>
          <w:lang w:val="en-GB"/>
        </w:rPr>
        <w:t>1.10.</w:t>
      </w:r>
      <w:r w:rsidRPr="00B04DC3">
        <w:rPr>
          <w:lang w:val="en-GB"/>
        </w:rPr>
        <w:tab/>
        <w:t>Maximum net power:</w:t>
      </w:r>
      <w:r w:rsidR="0022755D" w:rsidRPr="00B04DC3">
        <w:rPr>
          <w:lang w:val="en-GB"/>
        </w:rPr>
        <w:t>…………………</w:t>
      </w:r>
      <w:r w:rsidRPr="00B04DC3">
        <w:rPr>
          <w:lang w:val="en-GB"/>
        </w:rPr>
        <w:t>kW at</w:t>
      </w:r>
      <w:r w:rsidRPr="00B04DC3">
        <w:rPr>
          <w:lang w:val="en-GB"/>
        </w:rPr>
        <w:tab/>
        <w:t>min</w:t>
      </w:r>
      <w:r w:rsidRPr="00B04DC3">
        <w:rPr>
          <w:vertAlign w:val="superscript"/>
          <w:lang w:val="en-GB"/>
        </w:rPr>
        <w:t>-1</w:t>
      </w:r>
    </w:p>
    <w:p w:rsidR="00C0100D" w:rsidRPr="00B04DC3" w:rsidRDefault="00C0100D" w:rsidP="00E6190A">
      <w:pPr>
        <w:pStyle w:val="para"/>
        <w:tabs>
          <w:tab w:val="left" w:pos="1134"/>
          <w:tab w:val="left" w:pos="2268"/>
          <w:tab w:val="right" w:leader="dot" w:pos="8505"/>
        </w:tabs>
        <w:rPr>
          <w:lang w:val="en-GB"/>
        </w:rPr>
      </w:pPr>
      <w:r w:rsidRPr="00B04DC3">
        <w:rPr>
          <w:lang w:val="en-GB"/>
        </w:rPr>
        <w:t>1.11.</w:t>
      </w:r>
      <w:r w:rsidRPr="00B04DC3">
        <w:rPr>
          <w:lang w:val="en-GB"/>
        </w:rPr>
        <w:tab/>
        <w:t>Maximum permitted engine speed:</w:t>
      </w:r>
      <w:r w:rsidRPr="00B04DC3">
        <w:rPr>
          <w:lang w:val="en-GB"/>
        </w:rPr>
        <w:tab/>
        <w:t>min</w:t>
      </w:r>
      <w:r w:rsidRPr="00B04DC3">
        <w:rPr>
          <w:vertAlign w:val="superscript"/>
          <w:lang w:val="en-GB"/>
        </w:rPr>
        <w:t>-1</w:t>
      </w:r>
    </w:p>
    <w:p w:rsidR="00C0100D" w:rsidRPr="00B04DC3" w:rsidRDefault="00C0100D" w:rsidP="00E6190A">
      <w:pPr>
        <w:pStyle w:val="para"/>
        <w:tabs>
          <w:tab w:val="left" w:pos="1134"/>
          <w:tab w:val="left" w:pos="2268"/>
          <w:tab w:val="right" w:leader="dot" w:pos="8505"/>
        </w:tabs>
        <w:rPr>
          <w:lang w:val="en-GB"/>
        </w:rPr>
      </w:pPr>
      <w:r w:rsidRPr="00B04DC3">
        <w:rPr>
          <w:lang w:val="en-GB"/>
        </w:rPr>
        <w:t>1.12.</w:t>
      </w:r>
      <w:r w:rsidRPr="00B04DC3">
        <w:rPr>
          <w:lang w:val="en-GB"/>
        </w:rPr>
        <w:tab/>
        <w:t>Maximum net torque:</w:t>
      </w:r>
      <w:r w:rsidR="0022755D" w:rsidRPr="00B04DC3">
        <w:rPr>
          <w:lang w:val="en-GB"/>
        </w:rPr>
        <w:t>…………………</w:t>
      </w:r>
      <w:r w:rsidRPr="00B04DC3">
        <w:rPr>
          <w:lang w:val="en-GB"/>
        </w:rPr>
        <w:t>Nm at</w:t>
      </w:r>
      <w:r w:rsidRPr="00B04DC3">
        <w:rPr>
          <w:lang w:val="en-GB"/>
        </w:rPr>
        <w:tab/>
        <w:t>min</w:t>
      </w:r>
      <w:r w:rsidRPr="00B04DC3">
        <w:rPr>
          <w:vertAlign w:val="superscript"/>
          <w:lang w:val="en-GB"/>
        </w:rPr>
        <w:t>-1</w:t>
      </w:r>
    </w:p>
    <w:p w:rsidR="0042767D" w:rsidRDefault="00393FA0" w:rsidP="00E6190A">
      <w:pPr>
        <w:tabs>
          <w:tab w:val="left" w:pos="1134"/>
          <w:tab w:val="left" w:pos="2268"/>
          <w:tab w:val="left" w:leader="dot" w:pos="8505"/>
        </w:tabs>
        <w:autoSpaceDE w:val="0"/>
        <w:autoSpaceDN w:val="0"/>
        <w:adjustRightInd w:val="0"/>
        <w:spacing w:after="120"/>
        <w:ind w:left="1134" w:hanging="1134"/>
        <w:jc w:val="both"/>
        <w:rPr>
          <w:szCs w:val="19"/>
          <w:vertAlign w:val="superscript"/>
          <w:lang w:val="en-US"/>
        </w:rPr>
      </w:pPr>
      <w:r w:rsidRPr="00B04DC3">
        <w:rPr>
          <w:szCs w:val="19"/>
        </w:rPr>
        <w:tab/>
      </w:r>
      <w:r w:rsidR="0042767D" w:rsidRPr="0042767D">
        <w:rPr>
          <w:szCs w:val="19"/>
          <w:lang w:val="en-US"/>
        </w:rPr>
        <w:t>1.13.</w:t>
      </w:r>
      <w:r w:rsidR="0042767D" w:rsidRPr="0042767D">
        <w:rPr>
          <w:szCs w:val="19"/>
          <w:lang w:val="en-US"/>
        </w:rPr>
        <w:tab/>
        <w:t>Combustion system: compression ignition/positive ignition/dual fuel</w:t>
      </w:r>
      <w:r w:rsidR="0042767D" w:rsidRPr="0042767D">
        <w:rPr>
          <w:szCs w:val="19"/>
          <w:vertAlign w:val="superscript"/>
          <w:lang w:val="en-US"/>
        </w:rPr>
        <w:t>2</w:t>
      </w:r>
    </w:p>
    <w:p w:rsidR="00C0100D" w:rsidRPr="00B04DC3" w:rsidRDefault="0042767D" w:rsidP="00E6190A">
      <w:pPr>
        <w:tabs>
          <w:tab w:val="left" w:pos="1134"/>
          <w:tab w:val="left" w:pos="2268"/>
          <w:tab w:val="left" w:leader="dot" w:pos="8505"/>
        </w:tabs>
        <w:autoSpaceDE w:val="0"/>
        <w:autoSpaceDN w:val="0"/>
        <w:adjustRightInd w:val="0"/>
        <w:spacing w:after="120"/>
        <w:ind w:left="1134" w:hanging="1134"/>
        <w:jc w:val="both"/>
        <w:rPr>
          <w:szCs w:val="19"/>
        </w:rPr>
      </w:pPr>
      <w:r>
        <w:rPr>
          <w:szCs w:val="19"/>
          <w:vertAlign w:val="superscript"/>
          <w:lang w:val="en-US"/>
        </w:rPr>
        <w:tab/>
      </w:r>
    </w:p>
    <w:p w:rsidR="0042767D" w:rsidRPr="0042767D" w:rsidRDefault="0042767D" w:rsidP="00E6190A">
      <w:pPr>
        <w:tabs>
          <w:tab w:val="left" w:pos="1134"/>
          <w:tab w:val="left" w:pos="2268"/>
          <w:tab w:val="right" w:leader="dot" w:pos="8505"/>
        </w:tabs>
        <w:spacing w:after="120"/>
        <w:ind w:left="2268" w:right="1134" w:hanging="1134"/>
        <w:jc w:val="both"/>
        <w:rPr>
          <w:vertAlign w:val="superscript"/>
        </w:rPr>
      </w:pPr>
      <w:r w:rsidRPr="0042767D">
        <w:t>1.13.1.</w:t>
      </w:r>
      <w:r w:rsidRPr="0042767D">
        <w:tab/>
        <w:t>Type of dual-fuel engine: Type 1A/Type 1B/Type 2B/Type 3B</w:t>
      </w:r>
      <w:r w:rsidRPr="0042767D">
        <w:rPr>
          <w:vertAlign w:val="superscript"/>
        </w:rPr>
        <w:t>2,</w:t>
      </w:r>
      <w:r>
        <w:rPr>
          <w:rStyle w:val="FootnoteReference"/>
        </w:rPr>
        <w:footnoteReference w:id="22"/>
      </w:r>
    </w:p>
    <w:p w:rsidR="0042767D" w:rsidRPr="0042767D" w:rsidRDefault="0042767D" w:rsidP="00E6190A">
      <w:pPr>
        <w:tabs>
          <w:tab w:val="left" w:pos="1134"/>
          <w:tab w:val="left" w:pos="2268"/>
          <w:tab w:val="right" w:leader="dot" w:pos="8505"/>
        </w:tabs>
        <w:spacing w:after="120"/>
        <w:ind w:left="2268" w:right="1134" w:hanging="1134"/>
        <w:jc w:val="both"/>
        <w:rPr>
          <w:vertAlign w:val="superscript"/>
        </w:rPr>
      </w:pPr>
      <w:r w:rsidRPr="0042767D">
        <w:t>1.13.2.</w:t>
      </w:r>
      <w:r w:rsidRPr="0042767D">
        <w:tab/>
        <w:t xml:space="preserve">Gas </w:t>
      </w:r>
      <w:r w:rsidR="00E6190A">
        <w:t>e</w:t>
      </w:r>
      <w:r w:rsidRPr="0042767D">
        <w:t xml:space="preserve">nergy </w:t>
      </w:r>
      <w:r w:rsidR="00E6190A">
        <w:t>r</w:t>
      </w:r>
      <w:r w:rsidRPr="0042767D">
        <w:t xml:space="preserve">atio over the ETC test-cycle: </w:t>
      </w:r>
      <w:r w:rsidRPr="0042767D">
        <w:tab/>
        <w:t>%</w:t>
      </w:r>
      <w:r w:rsidRPr="0042767D">
        <w:rPr>
          <w:vertAlign w:val="superscript"/>
        </w:rPr>
        <w:t>4</w:t>
      </w:r>
    </w:p>
    <w:p w:rsidR="0042767D" w:rsidRPr="0042767D" w:rsidRDefault="0042767D" w:rsidP="00E6190A">
      <w:pPr>
        <w:tabs>
          <w:tab w:val="left" w:pos="1134"/>
          <w:tab w:val="left" w:pos="2268"/>
          <w:tab w:val="right" w:leader="dot" w:pos="8505"/>
        </w:tabs>
        <w:spacing w:after="120"/>
        <w:ind w:left="2268" w:right="1134" w:hanging="1134"/>
        <w:jc w:val="both"/>
        <w:rPr>
          <w:vertAlign w:val="superscript"/>
        </w:rPr>
      </w:pPr>
      <w:r w:rsidRPr="0042767D">
        <w:t>1.13.3.</w:t>
      </w:r>
      <w:r w:rsidRPr="0042767D">
        <w:tab/>
        <w:t>Idle on diesel: yes/no</w:t>
      </w:r>
      <w:r w:rsidRPr="0042767D">
        <w:rPr>
          <w:vertAlign w:val="superscript"/>
        </w:rPr>
        <w:t>2,4</w:t>
      </w:r>
    </w:p>
    <w:p w:rsidR="0042767D" w:rsidRPr="00E6190A" w:rsidRDefault="0042767D" w:rsidP="00E6190A">
      <w:pPr>
        <w:keepNext/>
        <w:tabs>
          <w:tab w:val="left" w:pos="1134"/>
          <w:tab w:val="left" w:pos="2268"/>
          <w:tab w:val="right" w:leader="dot" w:pos="8505"/>
        </w:tabs>
        <w:spacing w:after="120"/>
        <w:ind w:left="2268" w:right="1134" w:hanging="1134"/>
        <w:jc w:val="both"/>
        <w:rPr>
          <w:lang w:eastAsia="x-none"/>
        </w:rPr>
      </w:pPr>
      <w:r w:rsidRPr="0042767D">
        <w:t>1.13.4.</w:t>
      </w:r>
      <w:r w:rsidRPr="0042767D">
        <w:tab/>
      </w:r>
      <w:r w:rsidRPr="0042767D">
        <w:rPr>
          <w:lang w:eastAsia="x-none"/>
        </w:rPr>
        <w:t>When appropriate, manufacturer reference of the documentation for installing the dual-fuel engine in a vehicle</w:t>
      </w:r>
      <w:r w:rsidRPr="0042767D">
        <w:rPr>
          <w:vertAlign w:val="superscript"/>
          <w:lang w:eastAsia="x-none"/>
        </w:rPr>
        <w:t>4</w:t>
      </w:r>
    </w:p>
    <w:p w:rsidR="0042767D" w:rsidRPr="00E6190A" w:rsidRDefault="0042767D" w:rsidP="00E6190A">
      <w:pPr>
        <w:tabs>
          <w:tab w:val="left" w:pos="1134"/>
          <w:tab w:val="left" w:pos="2268"/>
          <w:tab w:val="left" w:leader="dot" w:pos="8505"/>
        </w:tabs>
        <w:autoSpaceDE w:val="0"/>
        <w:autoSpaceDN w:val="0"/>
        <w:adjustRightInd w:val="0"/>
        <w:spacing w:after="120"/>
        <w:ind w:left="1134" w:hanging="1134"/>
        <w:jc w:val="both"/>
        <w:rPr>
          <w:lang w:val="en-US"/>
        </w:rPr>
      </w:pPr>
      <w:r>
        <w:rPr>
          <w:lang w:val="en-US"/>
        </w:rPr>
        <w:tab/>
      </w:r>
      <w:r w:rsidRPr="00112412">
        <w:rPr>
          <w:lang w:val="en-US"/>
        </w:rPr>
        <w:t>1.14.</w:t>
      </w:r>
      <w:r w:rsidRPr="00112412">
        <w:rPr>
          <w:lang w:val="en-US"/>
        </w:rPr>
        <w:tab/>
        <w:t>Fuel: Diesel/LPG/NG-H/NG-L/NG-HL/ethanol</w:t>
      </w:r>
      <w:r w:rsidRPr="00112412">
        <w:rPr>
          <w:lang w:val="x-none"/>
        </w:rPr>
        <w:t>/</w:t>
      </w:r>
      <w:r w:rsidRPr="00112412">
        <w:rPr>
          <w:noProof/>
          <w:lang w:val="x-none"/>
        </w:rPr>
        <w:t>LNG/LNG</w:t>
      </w:r>
      <w:r w:rsidRPr="00112412">
        <w:rPr>
          <w:noProof/>
          <w:vertAlign w:val="subscript"/>
          <w:lang w:val="x-none"/>
        </w:rPr>
        <w:t xml:space="preserve">20 </w:t>
      </w:r>
      <w:r w:rsidRPr="00112412">
        <w:rPr>
          <w:vertAlign w:val="superscript"/>
          <w:lang w:val="en-US"/>
        </w:rPr>
        <w:t>2,</w:t>
      </w:r>
      <w:r>
        <w:rPr>
          <w:rStyle w:val="FootnoteReference"/>
          <w:lang w:val="en-US"/>
        </w:rPr>
        <w:footnoteReference w:id="23"/>
      </w:r>
    </w:p>
    <w:p w:rsidR="00C0100D" w:rsidRPr="00B04DC3" w:rsidRDefault="00393FA0" w:rsidP="00AA0E48">
      <w:pPr>
        <w:keepNext/>
        <w:keepLines/>
        <w:tabs>
          <w:tab w:val="left" w:pos="1134"/>
          <w:tab w:val="left" w:pos="2268"/>
          <w:tab w:val="left" w:leader="dot" w:pos="8505"/>
        </w:tabs>
        <w:autoSpaceDE w:val="0"/>
        <w:autoSpaceDN w:val="0"/>
        <w:adjustRightInd w:val="0"/>
        <w:spacing w:before="240" w:after="80"/>
        <w:ind w:left="1134" w:hanging="1134"/>
        <w:jc w:val="both"/>
        <w:rPr>
          <w:szCs w:val="19"/>
        </w:rPr>
      </w:pPr>
      <w:r w:rsidRPr="00B04DC3">
        <w:rPr>
          <w:szCs w:val="19"/>
        </w:rPr>
        <w:tab/>
      </w:r>
      <w:r w:rsidR="00C0100D" w:rsidRPr="00B04DC3">
        <w:rPr>
          <w:szCs w:val="19"/>
        </w:rPr>
        <w:t>1.15.</w:t>
      </w:r>
      <w:r w:rsidR="00C0100D" w:rsidRPr="00B04DC3">
        <w:rPr>
          <w:szCs w:val="19"/>
        </w:rPr>
        <w:tab/>
        <w:t>Cooling system</w:t>
      </w:r>
    </w:p>
    <w:p w:rsidR="00C0100D" w:rsidRPr="00B04DC3" w:rsidRDefault="00C0100D" w:rsidP="00AA0E48">
      <w:pPr>
        <w:pStyle w:val="para"/>
        <w:keepNext/>
        <w:keepLines/>
        <w:tabs>
          <w:tab w:val="left" w:pos="1134"/>
          <w:tab w:val="left" w:pos="2268"/>
          <w:tab w:val="right" w:leader="dot" w:pos="8505"/>
        </w:tabs>
        <w:spacing w:after="80"/>
        <w:rPr>
          <w:lang w:val="en-GB"/>
        </w:rPr>
      </w:pPr>
      <w:r w:rsidRPr="00B04DC3">
        <w:rPr>
          <w:lang w:val="en-GB"/>
        </w:rPr>
        <w:t>1.15.1.</w:t>
      </w:r>
      <w:r w:rsidRPr="00B04DC3">
        <w:rPr>
          <w:lang w:val="en-GB"/>
        </w:rPr>
        <w:tab/>
        <w:t>Liquid</w:t>
      </w:r>
    </w:p>
    <w:p w:rsidR="00C0100D" w:rsidRPr="00B04DC3" w:rsidRDefault="00C0100D" w:rsidP="00D21E3C">
      <w:pPr>
        <w:pStyle w:val="para"/>
        <w:tabs>
          <w:tab w:val="left" w:pos="1134"/>
          <w:tab w:val="left" w:pos="2268"/>
          <w:tab w:val="right" w:leader="dot" w:pos="8505"/>
        </w:tabs>
        <w:rPr>
          <w:lang w:val="en-GB"/>
        </w:rPr>
      </w:pPr>
      <w:r w:rsidRPr="00B04DC3">
        <w:rPr>
          <w:lang w:val="en-GB"/>
        </w:rPr>
        <w:t>1.15.1.1.</w:t>
      </w:r>
      <w:r w:rsidRPr="00B04DC3">
        <w:rPr>
          <w:lang w:val="en-GB"/>
        </w:rPr>
        <w:tab/>
        <w:t>Nature of liquid:</w:t>
      </w:r>
      <w:r w:rsidRPr="00B04DC3">
        <w:rPr>
          <w:lang w:val="en-GB"/>
        </w:rPr>
        <w:tab/>
      </w:r>
    </w:p>
    <w:p w:rsidR="00C0100D" w:rsidRPr="00B04DC3" w:rsidRDefault="00C0100D" w:rsidP="00D21E3C">
      <w:pPr>
        <w:pStyle w:val="para"/>
        <w:tabs>
          <w:tab w:val="left" w:pos="1134"/>
          <w:tab w:val="left" w:pos="2268"/>
          <w:tab w:val="right" w:leader="dot" w:pos="8505"/>
        </w:tabs>
        <w:rPr>
          <w:lang w:val="en-GB"/>
        </w:rPr>
      </w:pPr>
      <w:r w:rsidRPr="00B04DC3">
        <w:rPr>
          <w:lang w:val="en-GB"/>
        </w:rPr>
        <w:t>1.15.1</w:t>
      </w:r>
      <w:r w:rsidR="00F77516" w:rsidRPr="00B04DC3">
        <w:rPr>
          <w:lang w:val="en-GB"/>
        </w:rPr>
        <w:t>.2.</w:t>
      </w:r>
      <w:r w:rsidR="00F77516" w:rsidRPr="00B04DC3">
        <w:rPr>
          <w:lang w:val="en-GB"/>
        </w:rPr>
        <w:tab/>
        <w:t>Circulating pump(s): yes/no</w:t>
      </w:r>
      <w:r w:rsidR="00F77516" w:rsidRPr="00B04DC3">
        <w:rPr>
          <w:vertAlign w:val="superscript"/>
          <w:lang w:val="en-GB"/>
        </w:rPr>
        <w:t>2</w:t>
      </w:r>
    </w:p>
    <w:p w:rsidR="00C0100D" w:rsidRPr="00B04DC3" w:rsidRDefault="00C0100D" w:rsidP="00D21E3C">
      <w:pPr>
        <w:pStyle w:val="para"/>
        <w:tabs>
          <w:tab w:val="left" w:pos="1134"/>
          <w:tab w:val="left" w:pos="2268"/>
          <w:tab w:val="right" w:leader="dot" w:pos="8505"/>
        </w:tabs>
        <w:rPr>
          <w:lang w:val="en-GB"/>
        </w:rPr>
      </w:pPr>
      <w:r w:rsidRPr="00B04DC3">
        <w:rPr>
          <w:lang w:val="en-GB"/>
        </w:rPr>
        <w:t>1.15.1.3.</w:t>
      </w:r>
      <w:r w:rsidRPr="00B04DC3">
        <w:rPr>
          <w:lang w:val="en-GB"/>
        </w:rPr>
        <w:tab/>
        <w:t>Characteristics or make(s) and type(s) (if applicable):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1.15.1.4.</w:t>
      </w:r>
      <w:r w:rsidRPr="00B04DC3">
        <w:rPr>
          <w:lang w:val="en-GB"/>
        </w:rPr>
        <w:tab/>
        <w:t>Drive ratio(s) (if applicable):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1.15.2.</w:t>
      </w:r>
      <w:r w:rsidRPr="00B04DC3">
        <w:rPr>
          <w:lang w:val="en-GB"/>
        </w:rPr>
        <w:tab/>
        <w:t>Air</w:t>
      </w:r>
    </w:p>
    <w:p w:rsidR="00C0100D" w:rsidRPr="00B04DC3" w:rsidRDefault="00F77516" w:rsidP="00D21E3C">
      <w:pPr>
        <w:pStyle w:val="para"/>
        <w:tabs>
          <w:tab w:val="left" w:pos="1134"/>
          <w:tab w:val="left" w:pos="2268"/>
          <w:tab w:val="right" w:leader="dot" w:pos="8505"/>
        </w:tabs>
        <w:rPr>
          <w:lang w:val="en-GB"/>
        </w:rPr>
      </w:pPr>
      <w:r w:rsidRPr="00B04DC3">
        <w:rPr>
          <w:lang w:val="en-GB"/>
        </w:rPr>
        <w:t>1.15.2.1.</w:t>
      </w:r>
      <w:r w:rsidRPr="00B04DC3">
        <w:rPr>
          <w:lang w:val="en-GB"/>
        </w:rPr>
        <w:tab/>
        <w:t>Blower: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1.15.2.2.</w:t>
      </w:r>
      <w:r w:rsidRPr="00B04DC3">
        <w:rPr>
          <w:lang w:val="en-GB"/>
        </w:rPr>
        <w:tab/>
        <w:t>Characteristics or make(s) and type(s) (if applicable):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1.15.2.3.</w:t>
      </w:r>
      <w:r w:rsidRPr="00B04DC3">
        <w:rPr>
          <w:lang w:val="en-GB"/>
        </w:rPr>
        <w:tab/>
        <w:t>Drive ratio(s) (if applicable):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1.16.</w:t>
      </w:r>
      <w:r w:rsidRPr="00B04DC3">
        <w:rPr>
          <w:lang w:val="en-GB"/>
        </w:rPr>
        <w:tab/>
        <w:t>Temperature permitted by the manufacturer</w:t>
      </w:r>
    </w:p>
    <w:p w:rsidR="00C0100D" w:rsidRPr="00B04DC3" w:rsidRDefault="00C0100D" w:rsidP="00F77516">
      <w:pPr>
        <w:pStyle w:val="para"/>
        <w:tabs>
          <w:tab w:val="left" w:pos="1134"/>
          <w:tab w:val="left" w:pos="2268"/>
          <w:tab w:val="right" w:leader="dot" w:pos="8505"/>
        </w:tabs>
        <w:rPr>
          <w:lang w:val="en-GB"/>
        </w:rPr>
      </w:pPr>
      <w:r w:rsidRPr="00B04DC3">
        <w:rPr>
          <w:lang w:val="en-GB"/>
        </w:rPr>
        <w:t>1.16.1.</w:t>
      </w:r>
      <w:r w:rsidRPr="00B04DC3">
        <w:rPr>
          <w:lang w:val="en-GB"/>
        </w:rPr>
        <w:tab/>
        <w:t xml:space="preserve">Liquid cooling: </w:t>
      </w:r>
      <w:r w:rsidR="00E6190A">
        <w:rPr>
          <w:lang w:val="en-GB"/>
        </w:rPr>
        <w:t>m</w:t>
      </w:r>
      <w:r w:rsidR="00E6190A" w:rsidRPr="00B04DC3">
        <w:rPr>
          <w:lang w:val="en-GB"/>
        </w:rPr>
        <w:t xml:space="preserve">aximum </w:t>
      </w:r>
      <w:r w:rsidRPr="00B04DC3">
        <w:rPr>
          <w:lang w:val="en-GB"/>
        </w:rPr>
        <w:t>temperature at outlet:</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1.16.2.</w:t>
      </w:r>
      <w:r w:rsidRPr="00B04DC3">
        <w:rPr>
          <w:lang w:val="en-GB"/>
        </w:rPr>
        <w:tab/>
        <w:t>Air cooling: reference point:</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ab/>
        <w:t>Maximum temperature at reference point:</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1.16.3.</w:t>
      </w:r>
      <w:r w:rsidRPr="00B04DC3">
        <w:rPr>
          <w:lang w:val="en-GB"/>
        </w:rPr>
        <w:tab/>
        <w:t>Maximum temperature of the air at the outlet of the intake intercooler (if applicable):</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1.16.4.</w:t>
      </w:r>
      <w:r w:rsidRPr="00B04DC3">
        <w:rPr>
          <w:lang w:val="en-GB"/>
        </w:rPr>
        <w:tab/>
        <w:t>Maximum exhaust temperature at the point in the exhaust pipe(s) adjacent to the outer flange(s) of the exhaust manifold(s) or turbocharger(s):</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1.16.5.</w:t>
      </w:r>
      <w:r w:rsidRPr="00B04DC3">
        <w:rPr>
          <w:lang w:val="en-GB"/>
        </w:rPr>
        <w:tab/>
        <w:t>Fuel temperature: min.</w:t>
      </w:r>
      <w:r w:rsidRPr="00B04DC3">
        <w:rPr>
          <w:lang w:val="en-GB"/>
        </w:rPr>
        <w:tab/>
        <w:t>K, max.</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ab/>
      </w:r>
      <w:r w:rsidR="00D21E3C" w:rsidRPr="00B04DC3">
        <w:rPr>
          <w:lang w:val="en-GB"/>
        </w:rPr>
        <w:t>For</w:t>
      </w:r>
      <w:r w:rsidRPr="00B04DC3">
        <w:rPr>
          <w:lang w:val="en-GB"/>
        </w:rPr>
        <w:t xml:space="preserve"> diesel engines at injection pump inlet, for gas fuelled engines at pressure regulator final stage</w:t>
      </w:r>
    </w:p>
    <w:p w:rsidR="00C0100D" w:rsidRPr="00B04DC3" w:rsidRDefault="00C0100D" w:rsidP="00F77516">
      <w:pPr>
        <w:pStyle w:val="para"/>
        <w:tabs>
          <w:tab w:val="left" w:pos="1134"/>
          <w:tab w:val="left" w:pos="2268"/>
          <w:tab w:val="right" w:leader="dot" w:pos="8505"/>
        </w:tabs>
        <w:rPr>
          <w:lang w:val="en-GB"/>
        </w:rPr>
      </w:pPr>
      <w:r w:rsidRPr="00B04DC3">
        <w:rPr>
          <w:lang w:val="en-GB"/>
        </w:rPr>
        <w:t>1.16.6.</w:t>
      </w:r>
      <w:r w:rsidRPr="00B04DC3">
        <w:rPr>
          <w:lang w:val="en-GB"/>
        </w:rPr>
        <w:tab/>
        <w:t>Fuel pressure: min</w:t>
      </w:r>
      <w:r w:rsidR="00795632" w:rsidRPr="00B04DC3">
        <w:rPr>
          <w:lang w:val="en-GB"/>
        </w:rPr>
        <w:t>……………….</w:t>
      </w:r>
      <w:r w:rsidRPr="00B04DC3">
        <w:rPr>
          <w:lang w:val="en-GB"/>
        </w:rPr>
        <w:t>kPa, max.</w:t>
      </w:r>
      <w:r w:rsidRPr="00B04DC3">
        <w:rPr>
          <w:lang w:val="en-GB"/>
        </w:rPr>
        <w:tab/>
        <w:t>kPa</w:t>
      </w:r>
    </w:p>
    <w:p w:rsidR="00C0100D" w:rsidRPr="00B04DC3" w:rsidRDefault="00C0100D" w:rsidP="00F77516">
      <w:pPr>
        <w:pStyle w:val="para"/>
        <w:tabs>
          <w:tab w:val="left" w:pos="1134"/>
          <w:tab w:val="left" w:pos="2268"/>
          <w:tab w:val="right" w:leader="dot" w:pos="8505"/>
        </w:tabs>
        <w:rPr>
          <w:lang w:val="en-GB"/>
        </w:rPr>
      </w:pPr>
      <w:r w:rsidRPr="00B04DC3">
        <w:rPr>
          <w:lang w:val="en-GB"/>
        </w:rPr>
        <w:tab/>
        <w:t>at pressure regulator final stage, NG fuelled gas engines only</w:t>
      </w:r>
    </w:p>
    <w:p w:rsidR="00C0100D" w:rsidRPr="00B04DC3" w:rsidRDefault="00C0100D" w:rsidP="00F77516">
      <w:pPr>
        <w:pStyle w:val="para"/>
        <w:tabs>
          <w:tab w:val="left" w:pos="1134"/>
          <w:tab w:val="left" w:pos="2268"/>
          <w:tab w:val="right" w:leader="dot" w:pos="8505"/>
        </w:tabs>
        <w:rPr>
          <w:lang w:val="en-GB"/>
        </w:rPr>
      </w:pPr>
      <w:r w:rsidRPr="00B04DC3">
        <w:rPr>
          <w:lang w:val="en-GB"/>
        </w:rPr>
        <w:t>1.16.7.</w:t>
      </w:r>
      <w:r w:rsidRPr="00B04DC3">
        <w:rPr>
          <w:lang w:val="en-GB"/>
        </w:rPr>
        <w:tab/>
        <w:t>Lubricant temperature: min</w:t>
      </w:r>
      <w:r w:rsidR="00795632" w:rsidRPr="00B04DC3">
        <w:rPr>
          <w:lang w:val="en-GB"/>
        </w:rPr>
        <w:t>………………</w:t>
      </w:r>
      <w:r w:rsidRPr="00B04DC3">
        <w:rPr>
          <w:lang w:val="en-GB"/>
        </w:rPr>
        <w:t>K, max.</w:t>
      </w:r>
      <w:r w:rsidRPr="00B04DC3">
        <w:rPr>
          <w:lang w:val="en-GB"/>
        </w:rPr>
        <w:tab/>
        <w:t>K</w:t>
      </w:r>
    </w:p>
    <w:p w:rsidR="00C0100D" w:rsidRPr="00B04DC3" w:rsidRDefault="00C0100D" w:rsidP="00F77516">
      <w:pPr>
        <w:pStyle w:val="para"/>
        <w:tabs>
          <w:tab w:val="left" w:pos="1134"/>
          <w:tab w:val="left" w:pos="2268"/>
          <w:tab w:val="right" w:leader="dot" w:pos="8505"/>
        </w:tabs>
        <w:rPr>
          <w:lang w:val="en-GB"/>
        </w:rPr>
      </w:pPr>
      <w:r w:rsidRPr="00B04DC3">
        <w:rPr>
          <w:lang w:val="en-GB"/>
        </w:rPr>
        <w:t>1.17.</w:t>
      </w:r>
      <w:r w:rsidRPr="00B04DC3">
        <w:rPr>
          <w:lang w:val="en-GB"/>
        </w:rPr>
        <w:tab/>
        <w:t>Pressure charger: yes/</w:t>
      </w:r>
      <w:r w:rsidR="00F77516" w:rsidRPr="00B04DC3">
        <w:rPr>
          <w:lang w:val="en-GB"/>
        </w:rPr>
        <w:t>no</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1.17.1.</w:t>
      </w:r>
      <w:r w:rsidRPr="00B04DC3">
        <w:rPr>
          <w:lang w:val="en-GB"/>
        </w:rPr>
        <w:tab/>
        <w:t>Make: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1.17.2.</w:t>
      </w:r>
      <w:r w:rsidRPr="00B04DC3">
        <w:rPr>
          <w:lang w:val="en-GB"/>
        </w:rPr>
        <w:tab/>
        <w:t>Type: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1.17.3.</w:t>
      </w:r>
      <w:r w:rsidRPr="00B04DC3">
        <w:rPr>
          <w:lang w:val="en-GB"/>
        </w:rPr>
        <w:tab/>
        <w:t>Description of the system (e.g. max. charge pressure, waste gate, if applicable):</w:t>
      </w:r>
      <w:r w:rsidRPr="00B04DC3">
        <w:rPr>
          <w:lang w:val="en-GB"/>
        </w:rPr>
        <w:tab/>
      </w:r>
    </w:p>
    <w:p w:rsidR="00C0100D" w:rsidRPr="00B04DC3" w:rsidRDefault="00F77516" w:rsidP="00F77516">
      <w:pPr>
        <w:pStyle w:val="para"/>
        <w:tabs>
          <w:tab w:val="left" w:pos="1134"/>
          <w:tab w:val="left" w:pos="2268"/>
          <w:tab w:val="right" w:leader="dot" w:pos="8505"/>
        </w:tabs>
        <w:rPr>
          <w:lang w:val="en-GB"/>
        </w:rPr>
      </w:pPr>
      <w:r w:rsidRPr="00B04DC3">
        <w:rPr>
          <w:lang w:val="en-GB"/>
        </w:rPr>
        <w:t>1.17.4.</w:t>
      </w:r>
      <w:r w:rsidRPr="00B04DC3">
        <w:rPr>
          <w:lang w:val="en-GB"/>
        </w:rPr>
        <w:tab/>
        <w:t>Intercooler: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1.18.</w:t>
      </w:r>
      <w:r w:rsidRPr="00B04DC3">
        <w:rPr>
          <w:lang w:val="en-GB"/>
        </w:rPr>
        <w:tab/>
        <w:t>Intake system</w:t>
      </w:r>
    </w:p>
    <w:p w:rsidR="00C0100D" w:rsidRPr="00B04DC3" w:rsidRDefault="00C0100D" w:rsidP="00F77516">
      <w:pPr>
        <w:pStyle w:val="para"/>
        <w:tabs>
          <w:tab w:val="left" w:pos="1134"/>
          <w:tab w:val="left" w:pos="2268"/>
          <w:tab w:val="right" w:leader="dot" w:pos="8505"/>
        </w:tabs>
        <w:rPr>
          <w:lang w:val="en-GB"/>
        </w:rPr>
      </w:pPr>
      <w:r w:rsidRPr="00B04DC3">
        <w:rPr>
          <w:lang w:val="en-GB"/>
        </w:rPr>
        <w:tab/>
        <w:t>Maximum allowable intake depression at rated engine speed and at 100 per cent load as specified in and under the operating conditions of Regulation No. 24, 03 series of amendments:</w:t>
      </w:r>
      <w:r w:rsidRPr="00B04DC3">
        <w:rPr>
          <w:lang w:val="en-GB"/>
        </w:rPr>
        <w:tab/>
        <w:t>kPa</w:t>
      </w:r>
    </w:p>
    <w:p w:rsidR="00C0100D" w:rsidRPr="00B04DC3" w:rsidRDefault="00C0100D" w:rsidP="00AA0E48">
      <w:pPr>
        <w:pStyle w:val="para"/>
        <w:tabs>
          <w:tab w:val="left" w:pos="1134"/>
          <w:tab w:val="left" w:pos="2268"/>
          <w:tab w:val="right" w:leader="dot" w:pos="8505"/>
        </w:tabs>
        <w:spacing w:after="80"/>
        <w:rPr>
          <w:lang w:val="en-GB"/>
        </w:rPr>
      </w:pPr>
      <w:r w:rsidRPr="00B04DC3">
        <w:rPr>
          <w:lang w:val="en-GB"/>
        </w:rPr>
        <w:t>1.19.</w:t>
      </w:r>
      <w:r w:rsidRPr="00B04DC3">
        <w:rPr>
          <w:lang w:val="en-GB"/>
        </w:rPr>
        <w:tab/>
        <w:t xml:space="preserve">Exhaust system </w:t>
      </w:r>
    </w:p>
    <w:p w:rsidR="00C0100D" w:rsidRPr="00B04DC3" w:rsidRDefault="00C0100D" w:rsidP="00F77516">
      <w:pPr>
        <w:pStyle w:val="para"/>
        <w:tabs>
          <w:tab w:val="left" w:pos="1134"/>
          <w:tab w:val="left" w:pos="2268"/>
          <w:tab w:val="right" w:leader="dot" w:pos="8505"/>
        </w:tabs>
        <w:rPr>
          <w:lang w:val="en-GB"/>
        </w:rPr>
      </w:pPr>
      <w:r w:rsidRPr="00B04DC3">
        <w:rPr>
          <w:lang w:val="en-GB"/>
        </w:rPr>
        <w:tab/>
        <w:t>Maximum allowable exhaust back pressure at rated engine speed and at 100 per cent load as specified in and under the operating conditions of Regulation No. 24, 03 series of amendments:</w:t>
      </w:r>
      <w:r w:rsidRPr="00B04DC3">
        <w:rPr>
          <w:lang w:val="en-GB"/>
        </w:rPr>
        <w:tab/>
        <w:t>kPa</w:t>
      </w:r>
    </w:p>
    <w:p w:rsidR="00C0100D" w:rsidRPr="00B04DC3" w:rsidRDefault="00C0100D" w:rsidP="00F77516">
      <w:pPr>
        <w:pStyle w:val="para"/>
        <w:tabs>
          <w:tab w:val="left" w:pos="1134"/>
          <w:tab w:val="left" w:pos="2268"/>
          <w:tab w:val="right" w:leader="dot" w:pos="8505"/>
        </w:tabs>
        <w:rPr>
          <w:lang w:val="en-GB"/>
        </w:rPr>
      </w:pPr>
      <w:r w:rsidRPr="00B04DC3">
        <w:rPr>
          <w:lang w:val="en-GB"/>
        </w:rPr>
        <w:tab/>
        <w:t>Exhaust system volume:</w:t>
      </w:r>
      <w:r w:rsidRPr="00B04DC3">
        <w:rPr>
          <w:lang w:val="en-GB"/>
        </w:rPr>
        <w:tab/>
        <w:t>dm³</w:t>
      </w:r>
    </w:p>
    <w:p w:rsidR="00C0100D" w:rsidRPr="00B04DC3" w:rsidRDefault="00C0100D" w:rsidP="00F77516">
      <w:pPr>
        <w:pStyle w:val="para"/>
        <w:tabs>
          <w:tab w:val="left" w:pos="1134"/>
          <w:tab w:val="left" w:pos="2268"/>
          <w:tab w:val="right" w:leader="dot" w:pos="8505"/>
        </w:tabs>
        <w:rPr>
          <w:lang w:val="en-GB"/>
        </w:rPr>
      </w:pPr>
      <w:r w:rsidRPr="00B04DC3">
        <w:rPr>
          <w:lang w:val="en-GB"/>
        </w:rPr>
        <w:t>1.20.</w:t>
      </w:r>
      <w:r w:rsidRPr="00B04DC3">
        <w:rPr>
          <w:lang w:val="en-GB"/>
        </w:rPr>
        <w:tab/>
        <w:t>Engine Electronic Control Unit (EECU) (all engine types):</w:t>
      </w:r>
    </w:p>
    <w:p w:rsidR="00C0100D" w:rsidRPr="00B04DC3" w:rsidRDefault="00C0100D" w:rsidP="00F77516">
      <w:pPr>
        <w:pStyle w:val="para"/>
        <w:tabs>
          <w:tab w:val="left" w:pos="1134"/>
          <w:tab w:val="left" w:pos="2268"/>
          <w:tab w:val="right" w:leader="dot" w:pos="8505"/>
        </w:tabs>
        <w:rPr>
          <w:lang w:val="en-GB"/>
        </w:rPr>
      </w:pPr>
      <w:r w:rsidRPr="00B04DC3">
        <w:rPr>
          <w:lang w:val="en-GB"/>
        </w:rPr>
        <w:t>1.20.1.</w:t>
      </w:r>
      <w:r w:rsidRPr="00B04DC3">
        <w:rPr>
          <w:lang w:val="en-GB"/>
        </w:rPr>
        <w:tab/>
        <w:t>Make: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1.20.2.</w:t>
      </w:r>
      <w:r w:rsidRPr="00B04DC3">
        <w:rPr>
          <w:lang w:val="en-GB"/>
        </w:rPr>
        <w:tab/>
        <w:t>Type: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1.20.3.</w:t>
      </w:r>
      <w:r w:rsidRPr="00B04DC3">
        <w:rPr>
          <w:lang w:val="en-GB"/>
        </w:rPr>
        <w:tab/>
        <w:t>Software calibration number(s):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w:t>
      </w:r>
      <w:r w:rsidRPr="00B04DC3">
        <w:rPr>
          <w:lang w:val="en-GB"/>
        </w:rPr>
        <w:tab/>
        <w:t>Measures taken against air pollution</w:t>
      </w:r>
    </w:p>
    <w:p w:rsidR="00C0100D" w:rsidRPr="00B04DC3" w:rsidRDefault="00C0100D" w:rsidP="00F77516">
      <w:pPr>
        <w:pStyle w:val="para"/>
        <w:tabs>
          <w:tab w:val="left" w:pos="1134"/>
          <w:tab w:val="left" w:pos="2268"/>
          <w:tab w:val="right" w:leader="dot" w:pos="8505"/>
        </w:tabs>
        <w:rPr>
          <w:lang w:val="en-GB"/>
        </w:rPr>
      </w:pPr>
      <w:r w:rsidRPr="00B04DC3">
        <w:rPr>
          <w:lang w:val="en-GB"/>
        </w:rPr>
        <w:t>2.1.</w:t>
      </w:r>
      <w:r w:rsidRPr="00B04DC3">
        <w:rPr>
          <w:lang w:val="en-GB"/>
        </w:rPr>
        <w:tab/>
        <w:t>Device for recycling crankcase gases (description and drawings):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w:t>
      </w:r>
      <w:r w:rsidRPr="00B04DC3">
        <w:rPr>
          <w:lang w:val="en-GB"/>
        </w:rPr>
        <w:tab/>
        <w:t>Additional anti-pollution devices (if any, and if not covered by another heading)</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w:t>
      </w:r>
      <w:r w:rsidR="00F77516" w:rsidRPr="00B04DC3">
        <w:rPr>
          <w:lang w:val="en-GB"/>
        </w:rPr>
        <w:t>.1.</w:t>
      </w:r>
      <w:r w:rsidR="00F77516" w:rsidRPr="00B04DC3">
        <w:rPr>
          <w:lang w:val="en-GB"/>
        </w:rPr>
        <w:tab/>
        <w:t>Catalytic converter: yes/no</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2.2.1.1.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2.2.1.3.</w:t>
      </w:r>
      <w:r w:rsidRPr="00B04DC3">
        <w:rPr>
          <w:lang w:val="en-GB"/>
        </w:rPr>
        <w:tab/>
        <w:t>Number of catalytic converters and elements: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2.2.1.4.</w:t>
      </w:r>
      <w:r w:rsidRPr="00B04DC3">
        <w:rPr>
          <w:lang w:val="en-GB"/>
        </w:rPr>
        <w:tab/>
        <w:t>Dimensions, shape and volume of the catalytic converter(s):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2.2.1.5.</w:t>
      </w:r>
      <w:r w:rsidRPr="00B04DC3">
        <w:rPr>
          <w:lang w:val="en-GB"/>
        </w:rPr>
        <w:tab/>
        <w:t>Type of catalytic action: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2.2.1.6.</w:t>
      </w:r>
      <w:r w:rsidRPr="00B04DC3">
        <w:rPr>
          <w:lang w:val="en-GB"/>
        </w:rPr>
        <w:tab/>
        <w:t>Total charge of precious metals: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2.2.1.7.</w:t>
      </w:r>
      <w:r w:rsidRPr="00B04DC3">
        <w:rPr>
          <w:lang w:val="en-GB"/>
        </w:rPr>
        <w:tab/>
        <w:t>Relative concentration: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2.2.1.8.</w:t>
      </w:r>
      <w:r w:rsidRPr="00B04DC3">
        <w:rPr>
          <w:lang w:val="en-GB"/>
        </w:rPr>
        <w:tab/>
        <w:t>Substrate (structure and material):</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2.2.1.9.</w:t>
      </w:r>
      <w:r w:rsidRPr="00B04DC3">
        <w:rPr>
          <w:lang w:val="en-GB"/>
        </w:rPr>
        <w:tab/>
        <w:t>Cell density:</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2.2.1.10.</w:t>
      </w:r>
      <w:r w:rsidRPr="00B04DC3">
        <w:rPr>
          <w:lang w:val="en-GB"/>
        </w:rPr>
        <w:tab/>
        <w:t>Type of casing for the catalytic converter(s):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2.2.1.11.</w:t>
      </w:r>
      <w:r w:rsidRPr="00B04DC3">
        <w:rPr>
          <w:lang w:val="en-GB"/>
        </w:rPr>
        <w:tab/>
        <w:t xml:space="preserve">Location of the catalytic converter(s) (place and reference distance in the exhaust line): </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2.2.1.12.</w:t>
      </w:r>
      <w:r w:rsidRPr="00B04DC3">
        <w:rPr>
          <w:lang w:val="en-GB"/>
        </w:rPr>
        <w:tab/>
        <w:t>Normal operating temperature range (K):</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2.2.1.13.</w:t>
      </w:r>
      <w:r w:rsidRPr="00B04DC3">
        <w:rPr>
          <w:lang w:val="en-GB"/>
        </w:rPr>
        <w:tab/>
        <w:t>Consumable reagents (where appropriate):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2.2.1.13.1.</w:t>
      </w:r>
      <w:r w:rsidRPr="00B04DC3">
        <w:rPr>
          <w:lang w:val="en-GB"/>
        </w:rPr>
        <w:tab/>
        <w:t>Type and concentration of reagent needed for catalytic action: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2.2.1.13.2.</w:t>
      </w:r>
      <w:r w:rsidRPr="00B04DC3">
        <w:rPr>
          <w:lang w:val="en-GB"/>
        </w:rPr>
        <w:tab/>
        <w:t>Normal operational temperature range of reagent:</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2.2.1.13.3.</w:t>
      </w:r>
      <w:r w:rsidRPr="00B04DC3">
        <w:rPr>
          <w:lang w:val="en-GB"/>
        </w:rPr>
        <w:tab/>
        <w:t>International standard (where appropriate):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2.2.1.13.4.</w:t>
      </w:r>
      <w:r w:rsidRPr="00B04DC3">
        <w:rPr>
          <w:lang w:val="en-GB"/>
        </w:rPr>
        <w:tab/>
        <w:t>Frequency of reagent</w:t>
      </w:r>
      <w:r w:rsidR="00F77516" w:rsidRPr="00B04DC3">
        <w:rPr>
          <w:lang w:val="en-GB"/>
        </w:rPr>
        <w:t xml:space="preserve"> refill: continuous/maintenance</w:t>
      </w:r>
      <w:r w:rsidR="00F551ED">
        <w:rPr>
          <w:lang w:val="en-GB"/>
        </w:rPr>
        <w:t>:</w:t>
      </w:r>
      <w:r w:rsidR="00F77516" w:rsidRPr="00B04DC3">
        <w:rPr>
          <w:vertAlign w:val="superscript"/>
          <w:lang w:val="en-GB"/>
        </w:rPr>
        <w:t>2</w:t>
      </w:r>
      <w:r w:rsidRPr="00B04DC3">
        <w:rPr>
          <w:lang w:val="en-GB"/>
        </w:rPr>
        <w:tab/>
      </w:r>
    </w:p>
    <w:p w:rsidR="00C0100D" w:rsidRPr="00B04DC3" w:rsidRDefault="00F77516" w:rsidP="00F77516">
      <w:pPr>
        <w:pStyle w:val="para"/>
        <w:tabs>
          <w:tab w:val="left" w:pos="1134"/>
          <w:tab w:val="left" w:pos="2268"/>
          <w:tab w:val="right" w:leader="dot" w:pos="8505"/>
        </w:tabs>
        <w:rPr>
          <w:lang w:val="en-GB"/>
        </w:rPr>
      </w:pPr>
      <w:r w:rsidRPr="00B04DC3">
        <w:rPr>
          <w:lang w:val="en-GB"/>
        </w:rPr>
        <w:t>2.2.2.</w:t>
      </w:r>
      <w:r w:rsidRPr="00B04DC3">
        <w:rPr>
          <w:lang w:val="en-GB"/>
        </w:rPr>
        <w:tab/>
        <w:t>Oxygen sensor: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2.2.2.1.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2.2.2.2.</w:t>
      </w:r>
      <w:r w:rsidRPr="00B04DC3">
        <w:rPr>
          <w:lang w:val="en-GB"/>
        </w:rPr>
        <w:tab/>
        <w:t>Type: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2.2.2.3.</w:t>
      </w:r>
      <w:r w:rsidRPr="00B04DC3">
        <w:rPr>
          <w:lang w:val="en-GB"/>
        </w:rPr>
        <w:tab/>
        <w:t>Location:</w:t>
      </w:r>
      <w:r w:rsidRPr="00B04DC3">
        <w:rPr>
          <w:lang w:val="en-GB"/>
        </w:rPr>
        <w:tab/>
      </w:r>
    </w:p>
    <w:p w:rsidR="00C0100D" w:rsidRPr="00B04DC3" w:rsidRDefault="00F77516" w:rsidP="00F77516">
      <w:pPr>
        <w:pStyle w:val="para"/>
        <w:tabs>
          <w:tab w:val="left" w:pos="1134"/>
          <w:tab w:val="left" w:pos="2268"/>
          <w:tab w:val="right" w:leader="dot" w:pos="8505"/>
        </w:tabs>
        <w:rPr>
          <w:lang w:val="en-GB"/>
        </w:rPr>
      </w:pPr>
      <w:r w:rsidRPr="00B04DC3">
        <w:rPr>
          <w:lang w:val="en-GB"/>
        </w:rPr>
        <w:t>2.2.3.</w:t>
      </w:r>
      <w:r w:rsidRPr="00B04DC3">
        <w:rPr>
          <w:lang w:val="en-GB"/>
        </w:rPr>
        <w:tab/>
        <w:t>Air injection: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2.2.3.1.</w:t>
      </w:r>
      <w:r w:rsidRPr="00B04DC3">
        <w:rPr>
          <w:lang w:val="en-GB"/>
        </w:rPr>
        <w:tab/>
        <w:t>Type (pulse air, air pump, etc.):</w:t>
      </w:r>
      <w:r w:rsidRPr="00B04DC3">
        <w:rPr>
          <w:lang w:val="en-GB"/>
        </w:rPr>
        <w:tab/>
      </w:r>
    </w:p>
    <w:p w:rsidR="00C0100D" w:rsidRPr="00B04DC3" w:rsidRDefault="00F77516" w:rsidP="00F77516">
      <w:pPr>
        <w:pStyle w:val="para"/>
        <w:tabs>
          <w:tab w:val="left" w:pos="1134"/>
          <w:tab w:val="left" w:pos="2268"/>
          <w:tab w:val="right" w:leader="dot" w:pos="8505"/>
        </w:tabs>
        <w:rPr>
          <w:lang w:val="en-GB"/>
        </w:rPr>
      </w:pPr>
      <w:r w:rsidRPr="00B04DC3">
        <w:rPr>
          <w:lang w:val="en-GB"/>
        </w:rPr>
        <w:t>2.2.4.</w:t>
      </w:r>
      <w:r w:rsidRPr="00B04DC3">
        <w:rPr>
          <w:lang w:val="en-GB"/>
        </w:rPr>
        <w:tab/>
        <w:t>EGR: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2.2.4.1.</w:t>
      </w:r>
      <w:r w:rsidRPr="00B04DC3">
        <w:rPr>
          <w:lang w:val="en-GB"/>
        </w:rPr>
        <w:tab/>
        <w:t>Characteristics (make, type, flow etc):</w:t>
      </w:r>
      <w:r w:rsidRPr="00B04DC3">
        <w:rPr>
          <w:lang w:val="en-GB"/>
        </w:rPr>
        <w:tab/>
      </w:r>
    </w:p>
    <w:p w:rsidR="00C0100D" w:rsidRPr="00B04DC3" w:rsidRDefault="00F77516" w:rsidP="00F77516">
      <w:pPr>
        <w:pStyle w:val="para"/>
        <w:tabs>
          <w:tab w:val="left" w:pos="1134"/>
          <w:tab w:val="left" w:pos="2268"/>
          <w:tab w:val="right" w:leader="dot" w:pos="8505"/>
        </w:tabs>
        <w:rPr>
          <w:lang w:val="en-GB"/>
        </w:rPr>
      </w:pPr>
      <w:r w:rsidRPr="00B04DC3">
        <w:rPr>
          <w:lang w:val="en-GB"/>
        </w:rPr>
        <w:t>2.2.5.</w:t>
      </w:r>
      <w:r w:rsidRPr="00B04DC3">
        <w:rPr>
          <w:lang w:val="en-GB"/>
        </w:rPr>
        <w:tab/>
        <w:t>Particulate trap: yes/no</w:t>
      </w:r>
      <w:r w:rsidRPr="00B04DC3">
        <w:rPr>
          <w:vertAlign w:val="superscript"/>
          <w:lang w:val="en-GB"/>
        </w:rPr>
        <w:t>2</w:t>
      </w:r>
      <w:r w:rsidR="00C0100D"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2.2.5.1.</w:t>
      </w:r>
      <w:r w:rsidRPr="00B04DC3">
        <w:rPr>
          <w:lang w:val="en-GB"/>
        </w:rPr>
        <w:tab/>
        <w:t>Dimensions, shape and capacity of the particulate trap:</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2.2.5.2.</w:t>
      </w:r>
      <w:r w:rsidRPr="00B04DC3">
        <w:rPr>
          <w:lang w:val="en-GB"/>
        </w:rPr>
        <w:tab/>
        <w:t>Type and design of the particulate trap:</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2.2.5.3.</w:t>
      </w:r>
      <w:r w:rsidRPr="00B04DC3">
        <w:rPr>
          <w:lang w:val="en-GB"/>
        </w:rPr>
        <w:tab/>
        <w:t>Location (reference distance in the exhaust line):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2.2.5.4.</w:t>
      </w:r>
      <w:r w:rsidRPr="00B04DC3">
        <w:rPr>
          <w:lang w:val="en-GB"/>
        </w:rPr>
        <w:tab/>
        <w:t>Method or system of regeneration, description and/or drawing:</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2.2.5.5.</w:t>
      </w:r>
      <w:r w:rsidRPr="00B04DC3">
        <w:rPr>
          <w:lang w:val="en-GB"/>
        </w:rPr>
        <w:tab/>
        <w:t>Normal operating temperature (K) and pressure (kPa) range: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2.2.5.6.</w:t>
      </w:r>
      <w:r w:rsidRPr="00B04DC3">
        <w:rPr>
          <w:lang w:val="en-GB"/>
        </w:rPr>
        <w:tab/>
        <w:t>In case of periodic regeneration:</w:t>
      </w:r>
    </w:p>
    <w:p w:rsidR="00C0100D" w:rsidRPr="00B04DC3" w:rsidRDefault="00795632" w:rsidP="00795632">
      <w:pPr>
        <w:pStyle w:val="para"/>
        <w:tabs>
          <w:tab w:val="left" w:pos="1134"/>
          <w:tab w:val="left" w:pos="2268"/>
          <w:tab w:val="left" w:pos="2800"/>
          <w:tab w:val="right" w:leader="dot" w:pos="8505"/>
        </w:tabs>
        <w:rPr>
          <w:lang w:val="en-GB"/>
        </w:rPr>
      </w:pPr>
      <w:r w:rsidRPr="00B04DC3">
        <w:rPr>
          <w:lang w:val="en-GB"/>
        </w:rPr>
        <w:tab/>
        <w:t>(a)</w:t>
      </w:r>
      <w:r w:rsidRPr="00B04DC3">
        <w:rPr>
          <w:lang w:val="en-GB"/>
        </w:rPr>
        <w:tab/>
      </w:r>
      <w:r w:rsidR="00C0100D" w:rsidRPr="00B04DC3">
        <w:rPr>
          <w:lang w:val="en-GB"/>
        </w:rPr>
        <w:t>Number of ETC test cycles between 2 regenerations (n1)</w:t>
      </w:r>
    </w:p>
    <w:p w:rsidR="00C0100D" w:rsidRPr="00B04DC3" w:rsidRDefault="00C0100D" w:rsidP="00795632">
      <w:pPr>
        <w:pStyle w:val="para"/>
        <w:tabs>
          <w:tab w:val="left" w:pos="1134"/>
          <w:tab w:val="left" w:pos="2268"/>
          <w:tab w:val="left" w:pos="2808"/>
          <w:tab w:val="right" w:leader="dot" w:pos="8505"/>
        </w:tabs>
        <w:rPr>
          <w:lang w:val="en-GB"/>
        </w:rPr>
      </w:pPr>
      <w:r w:rsidRPr="00B04DC3">
        <w:rPr>
          <w:lang w:val="en-GB"/>
        </w:rPr>
        <w:tab/>
        <w:t>(b)</w:t>
      </w:r>
      <w:r w:rsidRPr="00B04DC3">
        <w:rPr>
          <w:lang w:val="en-GB"/>
        </w:rPr>
        <w:tab/>
        <w:t>Number of ETC test cycles during regeneration (n2)</w:t>
      </w:r>
    </w:p>
    <w:p w:rsidR="00C0100D" w:rsidRPr="00B04DC3" w:rsidRDefault="00F77516" w:rsidP="00F77516">
      <w:pPr>
        <w:pStyle w:val="para"/>
        <w:tabs>
          <w:tab w:val="left" w:pos="1134"/>
          <w:tab w:val="left" w:pos="2268"/>
          <w:tab w:val="right" w:leader="dot" w:pos="8505"/>
        </w:tabs>
        <w:rPr>
          <w:lang w:val="en-GB"/>
        </w:rPr>
      </w:pPr>
      <w:r w:rsidRPr="00B04DC3">
        <w:rPr>
          <w:lang w:val="en-GB"/>
        </w:rPr>
        <w:t>2.2.6.</w:t>
      </w:r>
      <w:r w:rsidRPr="00B04DC3">
        <w:rPr>
          <w:lang w:val="en-GB"/>
        </w:rPr>
        <w:tab/>
        <w:t>Other systems: yes/no</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2.2.6.1.</w:t>
      </w:r>
      <w:r w:rsidRPr="00B04DC3">
        <w:rPr>
          <w:lang w:val="en-GB"/>
        </w:rPr>
        <w:tab/>
        <w:t>Description and operation: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w:t>
      </w:r>
      <w:r w:rsidRPr="00B04DC3">
        <w:rPr>
          <w:lang w:val="en-GB"/>
        </w:rPr>
        <w:tab/>
        <w:t>Fuel feed</w:t>
      </w:r>
    </w:p>
    <w:p w:rsidR="0042767D" w:rsidRDefault="0042767D" w:rsidP="00F77516">
      <w:pPr>
        <w:pStyle w:val="para"/>
        <w:tabs>
          <w:tab w:val="left" w:pos="1134"/>
          <w:tab w:val="left" w:pos="2268"/>
          <w:tab w:val="right" w:leader="dot" w:pos="8505"/>
        </w:tabs>
        <w:rPr>
          <w:lang w:val="en-GB"/>
        </w:rPr>
      </w:pPr>
      <w:r w:rsidRPr="0042767D">
        <w:rPr>
          <w:lang w:val="en-US"/>
        </w:rPr>
        <w:t>3.1.</w:t>
      </w:r>
      <w:r w:rsidRPr="0042767D">
        <w:rPr>
          <w:lang w:val="en-US"/>
        </w:rPr>
        <w:tab/>
        <w:t>Diesel engines, including dual-fuel engines</w:t>
      </w:r>
      <w:r w:rsidRPr="00B04DC3" w:rsidDel="0042767D">
        <w:rPr>
          <w:lang w:val="en-GB"/>
        </w:rPr>
        <w:t xml:space="preserve"> </w:t>
      </w:r>
    </w:p>
    <w:p w:rsidR="00C0100D" w:rsidRPr="00B04DC3" w:rsidRDefault="00C0100D" w:rsidP="00F77516">
      <w:pPr>
        <w:pStyle w:val="para"/>
        <w:tabs>
          <w:tab w:val="left" w:pos="1134"/>
          <w:tab w:val="left" w:pos="2268"/>
          <w:tab w:val="right" w:leader="dot" w:pos="8505"/>
        </w:tabs>
        <w:rPr>
          <w:lang w:val="en-GB"/>
        </w:rPr>
      </w:pPr>
      <w:r w:rsidRPr="00B04DC3">
        <w:rPr>
          <w:lang w:val="en-GB"/>
        </w:rPr>
        <w:t>3.1.1.</w:t>
      </w:r>
      <w:r w:rsidRPr="00B04DC3">
        <w:rPr>
          <w:lang w:val="en-GB"/>
        </w:rPr>
        <w:tab/>
        <w:t>Feed pump</w:t>
      </w:r>
    </w:p>
    <w:p w:rsidR="00C0100D" w:rsidRPr="00B04DC3" w:rsidRDefault="00F77516" w:rsidP="00795632">
      <w:pPr>
        <w:pStyle w:val="para"/>
        <w:tabs>
          <w:tab w:val="left" w:pos="1134"/>
          <w:tab w:val="left" w:pos="2268"/>
          <w:tab w:val="left" w:pos="4824"/>
          <w:tab w:val="right" w:leader="dot" w:pos="8505"/>
        </w:tabs>
        <w:rPr>
          <w:lang w:val="en-GB"/>
        </w:rPr>
      </w:pPr>
      <w:r w:rsidRPr="00B04DC3">
        <w:rPr>
          <w:lang w:val="en-GB"/>
        </w:rPr>
        <w:tab/>
        <w:t>Pressure</w:t>
      </w:r>
      <w:r w:rsidR="00EF0DB0">
        <w:rPr>
          <w:lang w:val="en-GB"/>
        </w:rPr>
        <w:t>:</w:t>
      </w:r>
      <w:r w:rsidRPr="00B04DC3">
        <w:rPr>
          <w:vertAlign w:val="superscript"/>
          <w:lang w:val="en-GB"/>
        </w:rPr>
        <w:t>3</w:t>
      </w:r>
      <w:r w:rsidR="00795632" w:rsidRPr="00B04DC3">
        <w:rPr>
          <w:lang w:val="en-GB"/>
        </w:rPr>
        <w:t>……………….kPa or characteristic diagram</w:t>
      </w:r>
      <w:r w:rsidR="00EF0DB0">
        <w:rPr>
          <w:lang w:val="en-GB"/>
        </w:rPr>
        <w:t>:</w:t>
      </w:r>
      <w:r w:rsidR="00795632" w:rsidRPr="00B04DC3">
        <w:rPr>
          <w:vertAlign w:val="superscript"/>
          <w:lang w:val="en-GB"/>
        </w:rPr>
        <w:t>2</w:t>
      </w:r>
      <w:r w:rsidR="00C0100D"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w:t>
      </w:r>
      <w:r w:rsidRPr="00B04DC3">
        <w:rPr>
          <w:lang w:val="en-GB"/>
        </w:rPr>
        <w:tab/>
        <w:t>Injection system</w:t>
      </w:r>
    </w:p>
    <w:p w:rsidR="00C0100D" w:rsidRPr="00B04DC3" w:rsidRDefault="00C0100D" w:rsidP="00F77516">
      <w:pPr>
        <w:pStyle w:val="para"/>
        <w:tabs>
          <w:tab w:val="left" w:pos="1134"/>
          <w:tab w:val="left" w:pos="2268"/>
          <w:tab w:val="right" w:leader="dot" w:pos="8505"/>
        </w:tabs>
        <w:rPr>
          <w:lang w:val="en-GB"/>
        </w:rPr>
      </w:pPr>
      <w:r w:rsidRPr="00B04DC3">
        <w:rPr>
          <w:lang w:val="en-GB"/>
        </w:rPr>
        <w:t>3.1.2.1.</w:t>
      </w:r>
      <w:r w:rsidRPr="00B04DC3">
        <w:rPr>
          <w:lang w:val="en-GB"/>
        </w:rPr>
        <w:tab/>
        <w:t>Pump</w:t>
      </w:r>
    </w:p>
    <w:p w:rsidR="00C0100D" w:rsidRPr="00B04DC3" w:rsidRDefault="00C0100D" w:rsidP="00F77516">
      <w:pPr>
        <w:pStyle w:val="para"/>
        <w:tabs>
          <w:tab w:val="left" w:pos="1134"/>
          <w:tab w:val="left" w:pos="2268"/>
          <w:tab w:val="right" w:leader="dot" w:pos="8505"/>
        </w:tabs>
        <w:rPr>
          <w:lang w:val="en-GB"/>
        </w:rPr>
      </w:pPr>
      <w:r w:rsidRPr="00B04DC3">
        <w:rPr>
          <w:lang w:val="en-GB"/>
        </w:rPr>
        <w:t>3.1.2.1.1.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3.1.2.1.2.</w:t>
      </w:r>
      <w:r w:rsidRPr="00B04DC3">
        <w:rPr>
          <w:lang w:val="en-GB"/>
        </w:rPr>
        <w:tab/>
        <w:t>Type(s):</w:t>
      </w:r>
      <w:r w:rsidRPr="00B04DC3">
        <w:rPr>
          <w:lang w:val="en-GB"/>
        </w:rPr>
        <w:tab/>
      </w:r>
    </w:p>
    <w:p w:rsidR="00C0100D" w:rsidRPr="00B04DC3" w:rsidRDefault="00795632" w:rsidP="00795632">
      <w:pPr>
        <w:pStyle w:val="para"/>
        <w:tabs>
          <w:tab w:val="left" w:pos="1134"/>
          <w:tab w:val="left" w:pos="2268"/>
          <w:tab w:val="left" w:pos="5112"/>
          <w:tab w:val="right" w:leader="dot" w:pos="8505"/>
        </w:tabs>
        <w:rPr>
          <w:lang w:val="en-GB"/>
        </w:rPr>
      </w:pPr>
      <w:r w:rsidRPr="00B04DC3">
        <w:rPr>
          <w:lang w:val="en-GB"/>
        </w:rPr>
        <w:t>3.1.2.1.3.</w:t>
      </w:r>
      <w:r w:rsidRPr="00B04DC3">
        <w:rPr>
          <w:lang w:val="en-GB"/>
        </w:rPr>
        <w:tab/>
        <w:t>Delivery:…………</w:t>
      </w:r>
      <w:r w:rsidR="00C0100D" w:rsidRPr="00B04DC3">
        <w:rPr>
          <w:lang w:val="en-GB"/>
        </w:rPr>
        <w:t xml:space="preserve">mm³ </w:t>
      </w:r>
      <w:r w:rsidR="00F77516" w:rsidRPr="00B04DC3">
        <w:rPr>
          <w:vertAlign w:val="superscript"/>
          <w:lang w:val="en-GB"/>
        </w:rPr>
        <w:t>3</w:t>
      </w:r>
      <w:r w:rsidR="00C0100D" w:rsidRPr="00B04DC3">
        <w:rPr>
          <w:lang w:val="en-GB"/>
        </w:rPr>
        <w:t xml:space="preserve"> per stroke at engine speed of</w:t>
      </w:r>
      <w:r w:rsidR="00C0100D" w:rsidRPr="00B04DC3">
        <w:rPr>
          <w:lang w:val="en-GB"/>
        </w:rPr>
        <w:tab/>
        <w:t>min</w:t>
      </w:r>
      <w:r w:rsidR="00C0100D" w:rsidRPr="00B04DC3">
        <w:rPr>
          <w:vertAlign w:val="superscript"/>
          <w:lang w:val="en-GB"/>
        </w:rPr>
        <w:t>-1</w:t>
      </w:r>
      <w:r w:rsidRPr="00B04DC3">
        <w:rPr>
          <w:lang w:val="en-GB"/>
        </w:rPr>
        <w:br/>
      </w:r>
      <w:r w:rsidR="00C0100D" w:rsidRPr="00B04DC3">
        <w:rPr>
          <w:lang w:val="en-GB"/>
        </w:rPr>
        <w:t>at full injec</w:t>
      </w:r>
      <w:r w:rsidRPr="00B04DC3">
        <w:rPr>
          <w:lang w:val="en-GB"/>
        </w:rPr>
        <w:t>tion, or characteristic diagram</w:t>
      </w:r>
      <w:r w:rsidR="00EF0DB0">
        <w:rPr>
          <w:lang w:val="en-GB"/>
        </w:rPr>
        <w:t>:</w:t>
      </w:r>
      <w:r w:rsidRPr="00B04DC3">
        <w:rPr>
          <w:vertAlign w:val="superscript"/>
          <w:lang w:val="en-GB"/>
        </w:rPr>
        <w:t>2,</w:t>
      </w:r>
      <w:r w:rsidRPr="00B04DC3">
        <w:rPr>
          <w:lang w:val="en-GB"/>
        </w:rPr>
        <w:t xml:space="preserve"> </w:t>
      </w:r>
      <w:r w:rsidRPr="00B04DC3">
        <w:rPr>
          <w:vertAlign w:val="superscript"/>
          <w:lang w:val="en-GB"/>
        </w:rPr>
        <w:t>3</w:t>
      </w:r>
      <w:r w:rsidR="00C0100D"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ab/>
        <w:t xml:space="preserve">Mention the method used: On </w:t>
      </w:r>
      <w:r w:rsidR="00F77516" w:rsidRPr="00B04DC3">
        <w:rPr>
          <w:lang w:val="en-GB"/>
        </w:rPr>
        <w:t>engine/on pump bench</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ab/>
        <w:t>If boost control is supplied, state the characteristic fuel delivery and boost pressure versus engine speed.</w:t>
      </w:r>
    </w:p>
    <w:p w:rsidR="00C0100D" w:rsidRPr="00B04DC3" w:rsidRDefault="00C0100D" w:rsidP="00F77516">
      <w:pPr>
        <w:pStyle w:val="para"/>
        <w:tabs>
          <w:tab w:val="left" w:pos="1134"/>
          <w:tab w:val="left" w:pos="2268"/>
          <w:tab w:val="right" w:leader="dot" w:pos="8505"/>
        </w:tabs>
        <w:rPr>
          <w:lang w:val="en-GB"/>
        </w:rPr>
      </w:pPr>
      <w:r w:rsidRPr="00B04DC3">
        <w:rPr>
          <w:lang w:val="en-GB"/>
        </w:rPr>
        <w:t>3.1.2.1.4.</w:t>
      </w:r>
      <w:r w:rsidRPr="00B04DC3">
        <w:rPr>
          <w:lang w:val="en-GB"/>
        </w:rPr>
        <w:tab/>
        <w:t>Injection advance</w:t>
      </w:r>
    </w:p>
    <w:p w:rsidR="00C0100D" w:rsidRPr="00B04DC3" w:rsidRDefault="00C0100D" w:rsidP="00F77516">
      <w:pPr>
        <w:pStyle w:val="para"/>
        <w:tabs>
          <w:tab w:val="left" w:pos="1134"/>
          <w:tab w:val="left" w:pos="2268"/>
          <w:tab w:val="right" w:leader="dot" w:pos="8505"/>
        </w:tabs>
        <w:rPr>
          <w:lang w:val="en-GB"/>
        </w:rPr>
      </w:pPr>
      <w:r w:rsidRPr="00B04DC3">
        <w:rPr>
          <w:lang w:val="en-GB"/>
        </w:rPr>
        <w:t>3.1.2.1.4.1.</w:t>
      </w:r>
      <w:r w:rsidRPr="00B04DC3">
        <w:rPr>
          <w:lang w:val="en-GB"/>
        </w:rPr>
        <w:tab/>
        <w:t>Injection ad</w:t>
      </w:r>
      <w:r w:rsidR="00F77516" w:rsidRPr="00B04DC3">
        <w:rPr>
          <w:lang w:val="en-GB"/>
        </w:rPr>
        <w:t>vance curve</w:t>
      </w:r>
      <w:r w:rsidR="00EF0DB0">
        <w:rPr>
          <w:lang w:val="en-GB"/>
        </w:rPr>
        <w:t>:</w:t>
      </w:r>
      <w:r w:rsidR="00F77516" w:rsidRPr="00B04DC3">
        <w:rPr>
          <w:vertAlign w:val="superscript"/>
          <w:lang w:val="en-GB"/>
        </w:rPr>
        <w:t>3</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w:t>
      </w:r>
      <w:r w:rsidR="00F77516" w:rsidRPr="00B04DC3">
        <w:rPr>
          <w:lang w:val="en-GB"/>
        </w:rPr>
        <w:t>.1.4.2.</w:t>
      </w:r>
      <w:r w:rsidR="00F77516" w:rsidRPr="00B04DC3">
        <w:rPr>
          <w:lang w:val="en-GB"/>
        </w:rPr>
        <w:tab/>
        <w:t>Static injection timing</w:t>
      </w:r>
      <w:r w:rsidR="00EF0DB0">
        <w:rPr>
          <w:lang w:val="en-GB"/>
        </w:rPr>
        <w:t>:</w:t>
      </w:r>
      <w:r w:rsidR="00F77516" w:rsidRPr="00B04DC3">
        <w:rPr>
          <w:vertAlign w:val="superscript"/>
          <w:lang w:val="en-GB"/>
        </w:rPr>
        <w:t>3</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3.1.2.2.</w:t>
      </w:r>
      <w:r w:rsidRPr="00B04DC3">
        <w:rPr>
          <w:lang w:val="en-GB"/>
        </w:rPr>
        <w:tab/>
        <w:t>Injection piping</w:t>
      </w:r>
    </w:p>
    <w:p w:rsidR="00C0100D" w:rsidRPr="00B04DC3" w:rsidRDefault="00C0100D" w:rsidP="00F77516">
      <w:pPr>
        <w:pStyle w:val="para"/>
        <w:tabs>
          <w:tab w:val="left" w:pos="1134"/>
          <w:tab w:val="left" w:pos="2268"/>
          <w:tab w:val="right" w:leader="dot" w:pos="8505"/>
        </w:tabs>
        <w:rPr>
          <w:lang w:val="en-GB"/>
        </w:rPr>
      </w:pPr>
      <w:r w:rsidRPr="00B04DC3">
        <w:rPr>
          <w:lang w:val="en-GB"/>
        </w:rPr>
        <w:t>3.1.2.2.1.</w:t>
      </w:r>
      <w:r w:rsidRPr="00B04DC3">
        <w:rPr>
          <w:lang w:val="en-GB"/>
        </w:rPr>
        <w:tab/>
        <w:t>Length:</w:t>
      </w:r>
      <w:r w:rsidRPr="00B04DC3">
        <w:rPr>
          <w:lang w:val="en-GB"/>
        </w:rPr>
        <w:tab/>
        <w:t>mm</w:t>
      </w:r>
    </w:p>
    <w:p w:rsidR="00C0100D" w:rsidRPr="00B04DC3" w:rsidRDefault="00C0100D" w:rsidP="00F77516">
      <w:pPr>
        <w:pStyle w:val="para"/>
        <w:tabs>
          <w:tab w:val="left" w:pos="1134"/>
          <w:tab w:val="left" w:pos="2268"/>
          <w:tab w:val="right" w:leader="dot" w:pos="8505"/>
        </w:tabs>
        <w:rPr>
          <w:lang w:val="en-GB"/>
        </w:rPr>
      </w:pPr>
      <w:r w:rsidRPr="00B04DC3">
        <w:rPr>
          <w:lang w:val="en-GB"/>
        </w:rPr>
        <w:t>3.1.2.2.2.</w:t>
      </w:r>
      <w:r w:rsidRPr="00B04DC3">
        <w:rPr>
          <w:lang w:val="en-GB"/>
        </w:rPr>
        <w:tab/>
        <w:t>Internal diameter:</w:t>
      </w:r>
      <w:r w:rsidRPr="00B04DC3">
        <w:rPr>
          <w:lang w:val="en-GB"/>
        </w:rPr>
        <w:tab/>
        <w:t>mm</w:t>
      </w:r>
    </w:p>
    <w:p w:rsidR="00C0100D" w:rsidRPr="00B04DC3" w:rsidRDefault="00C0100D" w:rsidP="00F77516">
      <w:pPr>
        <w:pStyle w:val="para"/>
        <w:tabs>
          <w:tab w:val="left" w:pos="1134"/>
          <w:tab w:val="left" w:pos="2268"/>
          <w:tab w:val="right" w:leader="dot" w:pos="8505"/>
        </w:tabs>
        <w:rPr>
          <w:lang w:val="en-GB"/>
        </w:rPr>
      </w:pPr>
      <w:r w:rsidRPr="00B04DC3">
        <w:rPr>
          <w:lang w:val="en-GB"/>
        </w:rPr>
        <w:t>3.1.2.2.3.</w:t>
      </w:r>
      <w:r w:rsidRPr="00B04DC3">
        <w:rPr>
          <w:lang w:val="en-GB"/>
        </w:rPr>
        <w:tab/>
        <w:t>Common rail, make and type: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3.1.2.3.</w:t>
      </w:r>
      <w:r w:rsidRPr="00B04DC3">
        <w:rPr>
          <w:lang w:val="en-GB"/>
        </w:rPr>
        <w:tab/>
        <w:t>Injector(s)</w:t>
      </w:r>
    </w:p>
    <w:p w:rsidR="00C0100D" w:rsidRPr="00B04DC3" w:rsidRDefault="00C0100D" w:rsidP="00F77516">
      <w:pPr>
        <w:pStyle w:val="para"/>
        <w:tabs>
          <w:tab w:val="left" w:pos="1134"/>
          <w:tab w:val="left" w:pos="2268"/>
          <w:tab w:val="right" w:leader="dot" w:pos="8505"/>
        </w:tabs>
        <w:rPr>
          <w:lang w:val="en-GB"/>
        </w:rPr>
      </w:pPr>
      <w:r w:rsidRPr="00B04DC3">
        <w:rPr>
          <w:lang w:val="en-GB"/>
        </w:rPr>
        <w:t>3.1.2.3.1.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3.1.2.3.2.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w:t>
      </w:r>
      <w:r w:rsidR="00F77516" w:rsidRPr="00B04DC3">
        <w:rPr>
          <w:lang w:val="en-GB"/>
        </w:rPr>
        <w:t>.2.3.3.</w:t>
      </w:r>
      <w:r w:rsidR="00F77516" w:rsidRPr="00B04DC3">
        <w:rPr>
          <w:lang w:val="en-GB"/>
        </w:rPr>
        <w:tab/>
        <w:t>"Opening pressure":</w:t>
      </w:r>
      <w:r w:rsidR="00F77516" w:rsidRPr="00B04DC3">
        <w:rPr>
          <w:lang w:val="en-GB"/>
        </w:rPr>
        <w:tab/>
        <w:t>kPa</w:t>
      </w:r>
      <w:r w:rsidR="00F77516" w:rsidRPr="00B04DC3">
        <w:rPr>
          <w:vertAlign w:val="superscript"/>
          <w:lang w:val="en-GB"/>
        </w:rPr>
        <w:t>3</w:t>
      </w:r>
      <w:r w:rsidRPr="00B04DC3">
        <w:rPr>
          <w:lang w:val="en-GB"/>
        </w:rPr>
        <w:t xml:space="preserve"> </w:t>
      </w:r>
      <w:r w:rsidR="00F77516" w:rsidRPr="00B04DC3">
        <w:rPr>
          <w:lang w:val="en-GB"/>
        </w:rPr>
        <w:t>or characteristic diagram</w:t>
      </w:r>
      <w:r w:rsidR="00EF0DB0">
        <w:rPr>
          <w:lang w:val="en-GB"/>
        </w:rPr>
        <w:t>:</w:t>
      </w:r>
      <w:r w:rsidR="00F77516" w:rsidRPr="00B04DC3">
        <w:rPr>
          <w:vertAlign w:val="superscript"/>
          <w:lang w:val="en-GB"/>
        </w:rPr>
        <w:t>2,</w:t>
      </w:r>
      <w:r w:rsidR="00F77516" w:rsidRPr="00B04DC3">
        <w:rPr>
          <w:lang w:val="en-GB"/>
        </w:rPr>
        <w:t xml:space="preserve"> </w:t>
      </w:r>
      <w:r w:rsidR="00F77516" w:rsidRPr="00B04DC3">
        <w:rPr>
          <w:vertAlign w:val="superscript"/>
          <w:lang w:val="en-GB"/>
        </w:rPr>
        <w:t>3</w:t>
      </w:r>
    </w:p>
    <w:p w:rsidR="00C0100D" w:rsidRPr="00B04DC3" w:rsidRDefault="00C0100D" w:rsidP="00F77516">
      <w:pPr>
        <w:pStyle w:val="para"/>
        <w:tabs>
          <w:tab w:val="left" w:pos="1134"/>
          <w:tab w:val="left" w:pos="2268"/>
          <w:tab w:val="right" w:leader="dot" w:pos="8505"/>
        </w:tabs>
        <w:rPr>
          <w:lang w:val="en-GB"/>
        </w:rPr>
      </w:pPr>
      <w:r w:rsidRPr="00B04DC3">
        <w:rPr>
          <w:lang w:val="en-GB"/>
        </w:rPr>
        <w:t>3.1.2.4.</w:t>
      </w:r>
      <w:r w:rsidRPr="00B04DC3">
        <w:rPr>
          <w:lang w:val="en-GB"/>
        </w:rPr>
        <w:tab/>
        <w:t>Governor</w:t>
      </w:r>
    </w:p>
    <w:p w:rsidR="00C0100D" w:rsidRPr="00B04DC3" w:rsidRDefault="00C0100D" w:rsidP="00F77516">
      <w:pPr>
        <w:pStyle w:val="para"/>
        <w:tabs>
          <w:tab w:val="left" w:pos="1134"/>
          <w:tab w:val="left" w:pos="2268"/>
          <w:tab w:val="right" w:leader="dot" w:pos="8505"/>
        </w:tabs>
        <w:rPr>
          <w:lang w:val="en-GB"/>
        </w:rPr>
      </w:pPr>
      <w:r w:rsidRPr="00B04DC3">
        <w:rPr>
          <w:lang w:val="en-GB"/>
        </w:rPr>
        <w:t>3.1.2.4.1.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3.1.2.4.2.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3.1.2.4.3.</w:t>
      </w:r>
      <w:r w:rsidRPr="00B04DC3">
        <w:rPr>
          <w:lang w:val="en-GB"/>
        </w:rPr>
        <w:tab/>
        <w:t>Speed at which cut-off starts under full load:</w:t>
      </w:r>
      <w:r w:rsidRPr="00B04DC3">
        <w:rPr>
          <w:lang w:val="en-GB"/>
        </w:rPr>
        <w:tab/>
        <w:t>min</w:t>
      </w:r>
      <w:r w:rsidRPr="00B04DC3">
        <w:rPr>
          <w:vertAlign w:val="superscript"/>
          <w:lang w:val="en-GB"/>
        </w:rPr>
        <w:t>-1</w:t>
      </w:r>
    </w:p>
    <w:p w:rsidR="00C0100D" w:rsidRPr="00B04DC3" w:rsidRDefault="00C0100D" w:rsidP="00F77516">
      <w:pPr>
        <w:pStyle w:val="para"/>
        <w:tabs>
          <w:tab w:val="left" w:pos="1134"/>
          <w:tab w:val="left" w:pos="2268"/>
          <w:tab w:val="right" w:leader="dot" w:pos="8505"/>
        </w:tabs>
        <w:rPr>
          <w:lang w:val="en-GB"/>
        </w:rPr>
      </w:pPr>
      <w:r w:rsidRPr="00B04DC3">
        <w:rPr>
          <w:lang w:val="en-GB"/>
        </w:rPr>
        <w:t>3.1.2.4.4.</w:t>
      </w:r>
      <w:r w:rsidRPr="00B04DC3">
        <w:rPr>
          <w:lang w:val="en-GB"/>
        </w:rPr>
        <w:tab/>
        <w:t>Maximum no-load speed:</w:t>
      </w:r>
      <w:r w:rsidRPr="00B04DC3">
        <w:rPr>
          <w:lang w:val="en-GB"/>
        </w:rPr>
        <w:tab/>
        <w:t>min</w:t>
      </w:r>
      <w:r w:rsidRPr="00B04DC3">
        <w:rPr>
          <w:vertAlign w:val="superscript"/>
          <w:lang w:val="en-GB"/>
        </w:rPr>
        <w:t>-1</w:t>
      </w:r>
    </w:p>
    <w:p w:rsidR="00C0100D" w:rsidRPr="00B04DC3" w:rsidRDefault="00C0100D" w:rsidP="00F77516">
      <w:pPr>
        <w:pStyle w:val="para"/>
        <w:tabs>
          <w:tab w:val="left" w:pos="1134"/>
          <w:tab w:val="left" w:pos="2268"/>
          <w:tab w:val="right" w:leader="dot" w:pos="8505"/>
        </w:tabs>
        <w:rPr>
          <w:lang w:val="en-GB"/>
        </w:rPr>
      </w:pPr>
      <w:r w:rsidRPr="00B04DC3">
        <w:rPr>
          <w:lang w:val="en-GB"/>
        </w:rPr>
        <w:t>3.1.2.4.5.</w:t>
      </w:r>
      <w:r w:rsidRPr="00B04DC3">
        <w:rPr>
          <w:lang w:val="en-GB"/>
        </w:rPr>
        <w:tab/>
        <w:t>Idling speed:</w:t>
      </w:r>
      <w:r w:rsidRPr="00B04DC3">
        <w:rPr>
          <w:lang w:val="en-GB"/>
        </w:rPr>
        <w:tab/>
        <w:t>min</w:t>
      </w:r>
      <w:r w:rsidRPr="00B04DC3">
        <w:rPr>
          <w:vertAlign w:val="superscript"/>
          <w:lang w:val="en-GB"/>
        </w:rPr>
        <w:t>-1</w:t>
      </w:r>
    </w:p>
    <w:p w:rsidR="00C0100D" w:rsidRPr="00B04DC3" w:rsidRDefault="00C0100D" w:rsidP="00F77516">
      <w:pPr>
        <w:pStyle w:val="para"/>
        <w:tabs>
          <w:tab w:val="left" w:pos="1134"/>
          <w:tab w:val="left" w:pos="2268"/>
          <w:tab w:val="right" w:leader="dot" w:pos="8505"/>
        </w:tabs>
        <w:rPr>
          <w:lang w:val="en-GB"/>
        </w:rPr>
      </w:pPr>
      <w:r w:rsidRPr="00B04DC3">
        <w:rPr>
          <w:lang w:val="en-GB"/>
        </w:rPr>
        <w:t>3.1.3.</w:t>
      </w:r>
      <w:r w:rsidRPr="00B04DC3">
        <w:rPr>
          <w:lang w:val="en-GB"/>
        </w:rPr>
        <w:tab/>
        <w:t>Cold start system</w:t>
      </w:r>
    </w:p>
    <w:p w:rsidR="00C0100D" w:rsidRPr="00B04DC3" w:rsidRDefault="00C0100D" w:rsidP="00F77516">
      <w:pPr>
        <w:pStyle w:val="para"/>
        <w:tabs>
          <w:tab w:val="left" w:pos="1134"/>
          <w:tab w:val="left" w:pos="2268"/>
          <w:tab w:val="right" w:leader="dot" w:pos="8505"/>
        </w:tabs>
        <w:rPr>
          <w:lang w:val="en-GB"/>
        </w:rPr>
      </w:pPr>
      <w:r w:rsidRPr="00B04DC3">
        <w:rPr>
          <w:lang w:val="en-GB"/>
        </w:rPr>
        <w:t>3.1.3.1.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3.1.3.2.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3.1.3.3.</w:t>
      </w:r>
      <w:r w:rsidRPr="00B04DC3">
        <w:rPr>
          <w:lang w:val="en-GB"/>
        </w:rPr>
        <w:tab/>
        <w:t>Description: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3.1.3.4.</w:t>
      </w:r>
      <w:r w:rsidRPr="00B04DC3">
        <w:rPr>
          <w:lang w:val="en-GB"/>
        </w:rPr>
        <w:tab/>
        <w:t>Auxiliary starting aid:</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3.1.3.4.1.</w:t>
      </w:r>
      <w:r w:rsidRPr="00B04DC3">
        <w:rPr>
          <w:lang w:val="en-GB"/>
        </w:rPr>
        <w:tab/>
        <w:t>Make:</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3.1.3.4.2.</w:t>
      </w:r>
      <w:r w:rsidRPr="00B04DC3">
        <w:rPr>
          <w:lang w:val="en-GB"/>
        </w:rPr>
        <w:tab/>
        <w:t>Type:</w:t>
      </w:r>
      <w:r w:rsidRPr="00B04DC3">
        <w:rPr>
          <w:lang w:val="en-GB"/>
        </w:rPr>
        <w:tab/>
      </w:r>
    </w:p>
    <w:p w:rsidR="00C0100D" w:rsidRPr="00B04DC3" w:rsidRDefault="0042767D" w:rsidP="00F77516">
      <w:pPr>
        <w:pStyle w:val="para"/>
        <w:tabs>
          <w:tab w:val="left" w:pos="1134"/>
          <w:tab w:val="left" w:pos="2268"/>
          <w:tab w:val="right" w:leader="dot" w:pos="8505"/>
        </w:tabs>
        <w:rPr>
          <w:vertAlign w:val="superscript"/>
          <w:lang w:val="en-GB"/>
        </w:rPr>
      </w:pPr>
      <w:r w:rsidRPr="0042767D">
        <w:rPr>
          <w:lang w:val="en-US"/>
        </w:rPr>
        <w:t>3.2.</w:t>
      </w:r>
      <w:r w:rsidRPr="0042767D">
        <w:rPr>
          <w:lang w:val="en-US"/>
        </w:rPr>
        <w:tab/>
        <w:t>Gas fuelled engines, including dual-fuel engines</w:t>
      </w:r>
      <w:r w:rsidR="00C0100D" w:rsidRPr="00B04DC3">
        <w:rPr>
          <w:vertAlign w:val="superscript"/>
          <w:lang w:val="en-GB"/>
        </w:rPr>
        <w:footnoteReference w:id="24"/>
      </w:r>
    </w:p>
    <w:p w:rsidR="00C0100D" w:rsidRPr="00B04DC3" w:rsidRDefault="00F77516" w:rsidP="00F77516">
      <w:pPr>
        <w:pStyle w:val="para"/>
        <w:tabs>
          <w:tab w:val="left" w:pos="1134"/>
          <w:tab w:val="left" w:pos="2268"/>
          <w:tab w:val="right" w:leader="dot" w:pos="8505"/>
        </w:tabs>
        <w:rPr>
          <w:lang w:val="en-GB"/>
        </w:rPr>
      </w:pPr>
      <w:r w:rsidRPr="00B04DC3">
        <w:rPr>
          <w:lang w:val="en-GB"/>
        </w:rPr>
        <w:t>3.2.1.</w:t>
      </w:r>
      <w:r w:rsidRPr="00B04DC3">
        <w:rPr>
          <w:lang w:val="en-GB"/>
        </w:rPr>
        <w:tab/>
        <w:t>Fuel: Natural gas/LPG</w:t>
      </w:r>
      <w:r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3.2.2.</w:t>
      </w:r>
      <w:r w:rsidRPr="00B04DC3">
        <w:rPr>
          <w:lang w:val="en-GB"/>
        </w:rPr>
        <w:tab/>
        <w:t>Pressure regulator(s) or vaporiser/pressure regulator(s)</w:t>
      </w:r>
      <w:r w:rsidR="00F77516" w:rsidRPr="00B04DC3">
        <w:rPr>
          <w:vertAlign w:val="superscript"/>
          <w:lang w:val="en-GB"/>
        </w:rPr>
        <w:t>3</w:t>
      </w:r>
    </w:p>
    <w:p w:rsidR="00C0100D" w:rsidRPr="00B04DC3" w:rsidRDefault="00C0100D" w:rsidP="00F77516">
      <w:pPr>
        <w:pStyle w:val="para"/>
        <w:tabs>
          <w:tab w:val="left" w:pos="1134"/>
          <w:tab w:val="left" w:pos="2268"/>
          <w:tab w:val="right" w:leader="dot" w:pos="8505"/>
        </w:tabs>
        <w:rPr>
          <w:lang w:val="en-GB"/>
        </w:rPr>
      </w:pPr>
      <w:r w:rsidRPr="00B04DC3">
        <w:rPr>
          <w:lang w:val="en-GB"/>
        </w:rPr>
        <w:t>3.2.2.1.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3.2.2.2.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3.2.2.3.</w:t>
      </w:r>
      <w:r w:rsidRPr="00B04DC3">
        <w:rPr>
          <w:lang w:val="en-GB"/>
        </w:rPr>
        <w:tab/>
        <w:t>Number of pressure reduction stages:</w:t>
      </w:r>
      <w:r w:rsidRPr="00B04DC3">
        <w:rPr>
          <w:lang w:val="en-GB"/>
        </w:rPr>
        <w:tab/>
      </w:r>
    </w:p>
    <w:p w:rsidR="00C0100D" w:rsidRPr="00B04DC3" w:rsidRDefault="00C0100D" w:rsidP="00795632">
      <w:pPr>
        <w:pStyle w:val="para"/>
        <w:tabs>
          <w:tab w:val="left" w:pos="1134"/>
          <w:tab w:val="left" w:pos="2268"/>
          <w:tab w:val="right" w:leader="dot" w:pos="8505"/>
        </w:tabs>
        <w:rPr>
          <w:lang w:val="en-GB"/>
        </w:rPr>
      </w:pPr>
      <w:r w:rsidRPr="00B04DC3">
        <w:rPr>
          <w:lang w:val="en-GB"/>
        </w:rPr>
        <w:t>3.2.2.4</w:t>
      </w:r>
      <w:r w:rsidR="00795632" w:rsidRPr="00B04DC3">
        <w:rPr>
          <w:lang w:val="en-GB"/>
        </w:rPr>
        <w:t>.</w:t>
      </w:r>
      <w:r w:rsidR="00795632" w:rsidRPr="00B04DC3">
        <w:rPr>
          <w:lang w:val="en-GB"/>
        </w:rPr>
        <w:tab/>
        <w:t>Pressure in final stage: min……………….</w:t>
      </w:r>
      <w:r w:rsidRPr="00B04DC3">
        <w:rPr>
          <w:lang w:val="en-GB"/>
        </w:rPr>
        <w:t>kPa, max.</w:t>
      </w:r>
      <w:r w:rsidR="00795632" w:rsidRPr="00B04DC3">
        <w:rPr>
          <w:lang w:val="en-GB"/>
        </w:rPr>
        <w:tab/>
      </w:r>
      <w:r w:rsidRPr="00B04DC3">
        <w:rPr>
          <w:lang w:val="en-GB"/>
        </w:rPr>
        <w:t>kPa</w:t>
      </w:r>
    </w:p>
    <w:p w:rsidR="00C0100D" w:rsidRPr="00B04DC3" w:rsidRDefault="00C0100D" w:rsidP="00F77516">
      <w:pPr>
        <w:pStyle w:val="para"/>
        <w:tabs>
          <w:tab w:val="left" w:pos="1134"/>
          <w:tab w:val="left" w:pos="2268"/>
          <w:tab w:val="right" w:leader="dot" w:pos="8505"/>
        </w:tabs>
        <w:rPr>
          <w:lang w:val="en-GB"/>
        </w:rPr>
      </w:pPr>
      <w:r w:rsidRPr="00B04DC3">
        <w:rPr>
          <w:lang w:val="en-GB"/>
        </w:rPr>
        <w:t>3.2.2.5.</w:t>
      </w:r>
      <w:r w:rsidRPr="00B04DC3">
        <w:rPr>
          <w:lang w:val="en-GB"/>
        </w:rPr>
        <w:tab/>
        <w:t>Number of main adjustment points: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3.2.2.6.</w:t>
      </w:r>
      <w:r w:rsidRPr="00B04DC3">
        <w:rPr>
          <w:lang w:val="en-GB"/>
        </w:rPr>
        <w:tab/>
        <w:t>Number of idle adjustment points: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3.2.2.7.</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3.2.3.</w:t>
      </w:r>
      <w:r w:rsidRPr="00B04DC3">
        <w:rPr>
          <w:lang w:val="en-GB"/>
        </w:rPr>
        <w:tab/>
        <w:t>Fuelling system: mixing unit / gas injection / liqu</w:t>
      </w:r>
      <w:r w:rsidR="00F77516" w:rsidRPr="00B04DC3">
        <w:rPr>
          <w:lang w:val="en-GB"/>
        </w:rPr>
        <w:t>id injection / direct injection</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3.2.3.1.</w:t>
      </w:r>
      <w:r w:rsidRPr="00B04DC3">
        <w:rPr>
          <w:lang w:val="en-GB"/>
        </w:rPr>
        <w:tab/>
        <w:t>Mixture strength regulation: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3.2.3.2.</w:t>
      </w:r>
      <w:r w:rsidRPr="00B04DC3">
        <w:rPr>
          <w:lang w:val="en-GB"/>
        </w:rPr>
        <w:tab/>
        <w:t>System description and/or diagram and drawings: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3.2.3.3.</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w:t>
      </w:r>
      <w:r w:rsidRPr="00B04DC3">
        <w:rPr>
          <w:lang w:val="en-GB"/>
        </w:rPr>
        <w:tab/>
        <w:t>Mixing unit</w:t>
      </w:r>
    </w:p>
    <w:p w:rsidR="00C0100D" w:rsidRPr="00B04DC3" w:rsidRDefault="00C0100D" w:rsidP="00F77516">
      <w:pPr>
        <w:pStyle w:val="para"/>
        <w:tabs>
          <w:tab w:val="left" w:pos="1134"/>
          <w:tab w:val="left" w:pos="2268"/>
          <w:tab w:val="right" w:leader="dot" w:pos="8505"/>
        </w:tabs>
        <w:rPr>
          <w:lang w:val="en-GB"/>
        </w:rPr>
      </w:pPr>
      <w:r w:rsidRPr="00B04DC3">
        <w:rPr>
          <w:lang w:val="en-GB"/>
        </w:rPr>
        <w:t>3.2.4.1.</w:t>
      </w:r>
      <w:r w:rsidRPr="00B04DC3">
        <w:rPr>
          <w:lang w:val="en-GB"/>
        </w:rPr>
        <w:tab/>
        <w:t>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3.2.4.2.</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3.2.4.3.</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3.2.4.4.</w:t>
      </w:r>
      <w:r w:rsidRPr="00B04DC3">
        <w:rPr>
          <w:lang w:val="en-GB"/>
        </w:rPr>
        <w:tab/>
        <w:t>Location:</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3.2.4.5.</w:t>
      </w:r>
      <w:r w:rsidRPr="00B04DC3">
        <w:rPr>
          <w:lang w:val="en-GB"/>
        </w:rPr>
        <w:tab/>
        <w:t>Adjustment possibilities: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3.2.4.6.</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w:t>
      </w:r>
      <w:r w:rsidRPr="00B04DC3">
        <w:rPr>
          <w:lang w:val="en-GB"/>
        </w:rPr>
        <w:tab/>
        <w:t>Inlet manifold injection</w:t>
      </w:r>
    </w:p>
    <w:p w:rsidR="00C0100D" w:rsidRPr="00B04DC3" w:rsidRDefault="00C0100D" w:rsidP="00F77516">
      <w:pPr>
        <w:pStyle w:val="para"/>
        <w:tabs>
          <w:tab w:val="left" w:pos="1134"/>
          <w:tab w:val="left" w:pos="2268"/>
          <w:tab w:val="right" w:leader="dot" w:pos="8505"/>
        </w:tabs>
        <w:rPr>
          <w:lang w:val="en-GB"/>
        </w:rPr>
      </w:pPr>
      <w:r w:rsidRPr="00B04DC3">
        <w:rPr>
          <w:lang w:val="en-GB"/>
        </w:rPr>
        <w:t>3.2.5.1.</w:t>
      </w:r>
      <w:r w:rsidRPr="00B04DC3">
        <w:rPr>
          <w:lang w:val="en-GB"/>
        </w:rPr>
        <w:tab/>
        <w:t>Inj</w:t>
      </w:r>
      <w:r w:rsidR="00F77516" w:rsidRPr="00B04DC3">
        <w:rPr>
          <w:lang w:val="en-GB"/>
        </w:rPr>
        <w:t>ection: single point/multipoint</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3.2.5.2.</w:t>
      </w:r>
      <w:r w:rsidRPr="00B04DC3">
        <w:rPr>
          <w:lang w:val="en-GB"/>
        </w:rPr>
        <w:tab/>
        <w:t>Injection: continuous/simultan</w:t>
      </w:r>
      <w:r w:rsidR="00F77516" w:rsidRPr="00B04DC3">
        <w:rPr>
          <w:lang w:val="en-GB"/>
        </w:rPr>
        <w:t>eously timed/sequentially timed</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3.2.5.3.</w:t>
      </w:r>
      <w:r w:rsidRPr="00B04DC3">
        <w:rPr>
          <w:lang w:val="en-GB"/>
        </w:rPr>
        <w:tab/>
        <w:t>Injection equipment</w:t>
      </w:r>
    </w:p>
    <w:p w:rsidR="00C0100D" w:rsidRPr="00B04DC3" w:rsidRDefault="00C0100D" w:rsidP="00F77516">
      <w:pPr>
        <w:pStyle w:val="para"/>
        <w:tabs>
          <w:tab w:val="left" w:pos="1134"/>
          <w:tab w:val="left" w:pos="2268"/>
          <w:tab w:val="right" w:leader="dot" w:pos="8505"/>
        </w:tabs>
        <w:rPr>
          <w:lang w:val="en-GB"/>
        </w:rPr>
      </w:pPr>
      <w:r w:rsidRPr="00B04DC3">
        <w:rPr>
          <w:lang w:val="en-GB"/>
        </w:rPr>
        <w:t>3.2.5.3.1.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3.2.5.3.2.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3.2.5.3.3.</w:t>
      </w:r>
      <w:r w:rsidRPr="00B04DC3">
        <w:rPr>
          <w:lang w:val="en-GB"/>
        </w:rPr>
        <w:tab/>
        <w:t>Adjustment possibilities: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3.2.5.3.4.</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3.2.5.4.</w:t>
      </w:r>
      <w:r w:rsidRPr="00B04DC3">
        <w:rPr>
          <w:lang w:val="en-GB"/>
        </w:rPr>
        <w:tab/>
        <w:t>Supply pump (if applicable):</w:t>
      </w:r>
    </w:p>
    <w:p w:rsidR="00C0100D" w:rsidRPr="00B04DC3" w:rsidRDefault="00C0100D" w:rsidP="00F77516">
      <w:pPr>
        <w:pStyle w:val="para"/>
        <w:tabs>
          <w:tab w:val="left" w:pos="1134"/>
          <w:tab w:val="left" w:pos="2268"/>
          <w:tab w:val="right" w:leader="dot" w:pos="8505"/>
        </w:tabs>
        <w:rPr>
          <w:lang w:val="en-GB"/>
        </w:rPr>
      </w:pPr>
      <w:r w:rsidRPr="00B04DC3">
        <w:rPr>
          <w:lang w:val="en-GB"/>
        </w:rPr>
        <w:t>3.2.5.4.1.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3.2.5.4.2.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3.2.5.4.3.</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3.2.5.5.</w:t>
      </w:r>
      <w:r w:rsidRPr="00B04DC3">
        <w:rPr>
          <w:lang w:val="en-GB"/>
        </w:rPr>
        <w:tab/>
        <w:t>Injector(s):</w:t>
      </w:r>
    </w:p>
    <w:p w:rsidR="00C0100D" w:rsidRPr="00B04DC3" w:rsidRDefault="00C0100D" w:rsidP="00F77516">
      <w:pPr>
        <w:pStyle w:val="para"/>
        <w:tabs>
          <w:tab w:val="left" w:pos="1134"/>
          <w:tab w:val="left" w:pos="2268"/>
          <w:tab w:val="right" w:leader="dot" w:pos="8505"/>
        </w:tabs>
        <w:rPr>
          <w:lang w:val="en-GB"/>
        </w:rPr>
      </w:pPr>
      <w:r w:rsidRPr="00B04DC3">
        <w:rPr>
          <w:lang w:val="en-GB"/>
        </w:rPr>
        <w:t>3.2.5.5.1.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3.2.5.5.2.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3.2.5.5.3.</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w:t>
      </w:r>
      <w:r w:rsidRPr="00B04DC3">
        <w:rPr>
          <w:lang w:val="en-GB"/>
        </w:rPr>
        <w:tab/>
        <w:t>Direct injection</w:t>
      </w:r>
    </w:p>
    <w:p w:rsidR="00C0100D" w:rsidRPr="00B04DC3" w:rsidRDefault="00C0100D" w:rsidP="00F77516">
      <w:pPr>
        <w:pStyle w:val="para"/>
        <w:tabs>
          <w:tab w:val="left" w:pos="1134"/>
          <w:tab w:val="left" w:pos="2268"/>
          <w:tab w:val="right" w:leader="dot" w:pos="8505"/>
        </w:tabs>
        <w:rPr>
          <w:lang w:val="en-GB"/>
        </w:rPr>
      </w:pPr>
      <w:r w:rsidRPr="00B04DC3">
        <w:rPr>
          <w:lang w:val="en-GB"/>
        </w:rPr>
        <w:t>3.2.6.1.</w:t>
      </w:r>
      <w:r w:rsidRPr="00B04DC3">
        <w:rPr>
          <w:lang w:val="en-GB"/>
        </w:rPr>
        <w:tab/>
        <w:t>Inje</w:t>
      </w:r>
      <w:r w:rsidR="00F77516" w:rsidRPr="00B04DC3">
        <w:rPr>
          <w:lang w:val="en-GB"/>
        </w:rPr>
        <w:t>ction pump / pressure regulator</w:t>
      </w:r>
      <w:r w:rsidR="00F77516" w:rsidRPr="00B04DC3">
        <w:rPr>
          <w:vertAlign w:val="superscript"/>
          <w:lang w:val="en-GB"/>
        </w:rPr>
        <w:t>2</w:t>
      </w:r>
    </w:p>
    <w:p w:rsidR="00C0100D" w:rsidRPr="00B04DC3" w:rsidRDefault="00C0100D" w:rsidP="00F77516">
      <w:pPr>
        <w:pStyle w:val="para"/>
        <w:tabs>
          <w:tab w:val="left" w:pos="1134"/>
          <w:tab w:val="left" w:pos="2268"/>
          <w:tab w:val="right" w:leader="dot" w:pos="8505"/>
        </w:tabs>
        <w:rPr>
          <w:lang w:val="en-GB"/>
        </w:rPr>
      </w:pPr>
      <w:r w:rsidRPr="00B04DC3">
        <w:rPr>
          <w:lang w:val="en-GB"/>
        </w:rPr>
        <w:t>3.2.6.1.1.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3.2.6.1.2.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3.2.6.1.3.</w:t>
      </w:r>
      <w:r w:rsidRPr="00B04DC3">
        <w:rPr>
          <w:lang w:val="en-GB"/>
        </w:rPr>
        <w:tab/>
        <w:t>Injection timing:</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3.2.6.1.4.</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3.2.6.2.</w:t>
      </w:r>
      <w:r w:rsidRPr="00B04DC3">
        <w:rPr>
          <w:lang w:val="en-GB"/>
        </w:rPr>
        <w:tab/>
        <w:t>Injector(s)</w:t>
      </w:r>
    </w:p>
    <w:p w:rsidR="00C0100D" w:rsidRPr="00B04DC3" w:rsidRDefault="00C0100D" w:rsidP="00F77516">
      <w:pPr>
        <w:pStyle w:val="para"/>
        <w:tabs>
          <w:tab w:val="left" w:pos="1134"/>
          <w:tab w:val="left" w:pos="2268"/>
          <w:tab w:val="right" w:leader="dot" w:pos="8505"/>
        </w:tabs>
        <w:rPr>
          <w:lang w:val="en-GB"/>
        </w:rPr>
      </w:pPr>
      <w:r w:rsidRPr="00B04DC3">
        <w:rPr>
          <w:lang w:val="en-GB"/>
        </w:rPr>
        <w:t>3.2.6.2.1.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3.2.6.2.2.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3.2.6.2.3.</w:t>
      </w:r>
      <w:r w:rsidRPr="00B04DC3">
        <w:rPr>
          <w:lang w:val="en-GB"/>
        </w:rPr>
        <w:tab/>
        <w:t>Opening pre</w:t>
      </w:r>
      <w:r w:rsidR="00F77516" w:rsidRPr="00B04DC3">
        <w:rPr>
          <w:lang w:val="en-GB"/>
        </w:rPr>
        <w:t>ssure or characteristic diagram</w:t>
      </w:r>
      <w:r w:rsidR="00EF0DB0">
        <w:rPr>
          <w:lang w:val="en-GB"/>
        </w:rPr>
        <w:t>:</w:t>
      </w:r>
      <w:r w:rsidR="00F77516" w:rsidRPr="00B04DC3">
        <w:rPr>
          <w:vertAlign w:val="superscript"/>
          <w:lang w:val="en-GB"/>
        </w:rPr>
        <w:t>3</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3.2.6.2.4.</w:t>
      </w:r>
      <w:r w:rsidRPr="00B04DC3">
        <w:rPr>
          <w:lang w:val="en-GB"/>
        </w:rPr>
        <w:tab/>
        <w:t>Certification number:</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3.2.7.</w:t>
      </w:r>
      <w:r w:rsidRPr="00B04DC3">
        <w:rPr>
          <w:lang w:val="en-GB"/>
        </w:rPr>
        <w:tab/>
        <w:t xml:space="preserve">Electronic </w:t>
      </w:r>
      <w:r w:rsidRPr="00B04DC3">
        <w:rPr>
          <w:caps/>
          <w:lang w:val="en-GB"/>
        </w:rPr>
        <w:t>c</w:t>
      </w:r>
      <w:r w:rsidRPr="00B04DC3">
        <w:rPr>
          <w:lang w:val="en-GB"/>
        </w:rPr>
        <w:t xml:space="preserve">ontrol </w:t>
      </w:r>
      <w:r w:rsidRPr="00B04DC3">
        <w:rPr>
          <w:caps/>
          <w:lang w:val="en-GB"/>
        </w:rPr>
        <w:t>u</w:t>
      </w:r>
      <w:r w:rsidRPr="00B04DC3">
        <w:rPr>
          <w:lang w:val="en-GB"/>
        </w:rPr>
        <w:t>nit (ECU)</w:t>
      </w:r>
    </w:p>
    <w:p w:rsidR="00C0100D" w:rsidRPr="00B04DC3" w:rsidRDefault="00C0100D" w:rsidP="00F77516">
      <w:pPr>
        <w:pStyle w:val="para"/>
        <w:tabs>
          <w:tab w:val="left" w:pos="1134"/>
          <w:tab w:val="left" w:pos="2268"/>
          <w:tab w:val="right" w:leader="dot" w:pos="8505"/>
        </w:tabs>
        <w:rPr>
          <w:lang w:val="en-GB"/>
        </w:rPr>
      </w:pPr>
      <w:r w:rsidRPr="00B04DC3">
        <w:rPr>
          <w:lang w:val="en-GB"/>
        </w:rPr>
        <w:t>3.2.7.1.</w:t>
      </w:r>
      <w:r w:rsidRPr="00B04DC3">
        <w:rPr>
          <w:lang w:val="en-GB"/>
        </w:rPr>
        <w:tab/>
        <w:t>Make(s):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3.2.7.2.</w:t>
      </w:r>
      <w:r w:rsidRPr="00B04DC3">
        <w:rPr>
          <w:lang w:val="en-GB"/>
        </w:rPr>
        <w:tab/>
        <w:t>Type(s):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3.2.7.3.</w:t>
      </w:r>
      <w:r w:rsidRPr="00B04DC3">
        <w:rPr>
          <w:lang w:val="en-GB"/>
        </w:rPr>
        <w:tab/>
        <w:t>Adjustment possibilities:</w:t>
      </w:r>
      <w:r w:rsidRPr="00B04DC3">
        <w:rPr>
          <w:lang w:val="en-GB"/>
        </w:rPr>
        <w:tab/>
      </w:r>
    </w:p>
    <w:p w:rsidR="00C0100D" w:rsidRPr="00B04DC3" w:rsidRDefault="00C0100D" w:rsidP="00F77516">
      <w:pPr>
        <w:pStyle w:val="para"/>
        <w:tabs>
          <w:tab w:val="left" w:pos="1134"/>
          <w:tab w:val="left" w:pos="2268"/>
          <w:tab w:val="right" w:leader="dot" w:pos="8505"/>
        </w:tabs>
        <w:rPr>
          <w:lang w:val="en-GB"/>
        </w:rPr>
      </w:pPr>
      <w:r w:rsidRPr="00B04DC3">
        <w:rPr>
          <w:lang w:val="en-GB"/>
        </w:rPr>
        <w:t>3.2.8.</w:t>
      </w:r>
      <w:r w:rsidRPr="00B04DC3">
        <w:rPr>
          <w:lang w:val="en-GB"/>
        </w:rPr>
        <w:tab/>
        <w:t>NG fuel-specific equipment</w:t>
      </w:r>
    </w:p>
    <w:p w:rsidR="00C0100D" w:rsidRPr="00B04DC3" w:rsidRDefault="00C0100D" w:rsidP="00F77516">
      <w:pPr>
        <w:pStyle w:val="para"/>
        <w:tabs>
          <w:tab w:val="left" w:pos="1134"/>
          <w:tab w:val="left" w:pos="2268"/>
          <w:tab w:val="right" w:leader="dot" w:pos="8505"/>
        </w:tabs>
        <w:rPr>
          <w:lang w:val="en-GB"/>
        </w:rPr>
      </w:pPr>
      <w:r w:rsidRPr="00B04DC3">
        <w:rPr>
          <w:lang w:val="en-GB"/>
        </w:rPr>
        <w:t>3.2.8.1.</w:t>
      </w:r>
      <w:r w:rsidRPr="00B04DC3">
        <w:rPr>
          <w:lang w:val="en-GB"/>
        </w:rPr>
        <w:tab/>
        <w:t>Variant 1</w:t>
      </w:r>
      <w:r w:rsidR="00BB784C" w:rsidRPr="00B04DC3">
        <w:rPr>
          <w:lang w:val="en-GB"/>
        </w:rPr>
        <w:t xml:space="preserve"> </w:t>
      </w:r>
      <w:r w:rsidRPr="00B04DC3">
        <w:rPr>
          <w:lang w:val="en-GB"/>
        </w:rPr>
        <w:t>(</w:t>
      </w:r>
      <w:r w:rsidR="00BB784C" w:rsidRPr="00B04DC3">
        <w:rPr>
          <w:lang w:val="en-GB"/>
        </w:rPr>
        <w:t>o</w:t>
      </w:r>
      <w:r w:rsidR="00196BF4" w:rsidRPr="00B04DC3">
        <w:rPr>
          <w:lang w:val="en-GB"/>
        </w:rPr>
        <w:t>nly</w:t>
      </w:r>
      <w:r w:rsidRPr="00B04DC3">
        <w:rPr>
          <w:lang w:val="en-GB"/>
        </w:rPr>
        <w:t xml:space="preserve"> in the case of approvals of engines for several specific fuel </w:t>
      </w:r>
      <w:r w:rsidR="00ED6D71" w:rsidRPr="00B04DC3">
        <w:rPr>
          <w:lang w:val="en-GB"/>
        </w:rPr>
        <w:br/>
      </w:r>
      <w:r w:rsidRPr="00B04DC3">
        <w:rPr>
          <w:lang w:val="en-GB"/>
        </w:rPr>
        <w:t>compositions)</w:t>
      </w:r>
    </w:p>
    <w:p w:rsidR="00C0100D" w:rsidRPr="00B04DC3" w:rsidRDefault="00C0100D" w:rsidP="00AA0E48">
      <w:pPr>
        <w:pStyle w:val="para"/>
        <w:keepNext/>
        <w:keepLines/>
        <w:numPr>
          <w:ilvl w:val="4"/>
          <w:numId w:val="13"/>
        </w:numPr>
        <w:tabs>
          <w:tab w:val="left" w:pos="1134"/>
          <w:tab w:val="right" w:leader="dot" w:pos="8505"/>
        </w:tabs>
        <w:ind w:left="2274"/>
        <w:rPr>
          <w:lang w:val="en-GB"/>
        </w:rPr>
      </w:pPr>
      <w:r w:rsidRPr="00B04DC3">
        <w:rPr>
          <w:lang w:val="en-GB"/>
        </w:rPr>
        <w:t>Fuel composition:</w:t>
      </w:r>
    </w:p>
    <w:tbl>
      <w:tblPr>
        <w:tblW w:w="7337" w:type="dxa"/>
        <w:tblInd w:w="2268" w:type="dxa"/>
        <w:tblLayout w:type="fixed"/>
        <w:tblLook w:val="01E0" w:firstRow="1" w:lastRow="1" w:firstColumn="1" w:lastColumn="1" w:noHBand="0" w:noVBand="0"/>
      </w:tblPr>
      <w:tblGrid>
        <w:gridCol w:w="1809"/>
        <w:gridCol w:w="992"/>
        <w:gridCol w:w="900"/>
        <w:gridCol w:w="900"/>
        <w:gridCol w:w="893"/>
        <w:gridCol w:w="896"/>
        <w:gridCol w:w="947"/>
      </w:tblGrid>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rPr>
                <w:vertAlign w:val="subscript"/>
              </w:rPr>
            </w:pPr>
            <w:r w:rsidRPr="00C77432">
              <w:t>methane (CH</w:t>
            </w:r>
            <w:r w:rsidRPr="00C77432">
              <w:rPr>
                <w:vertAlign w:val="subscript"/>
              </w:rPr>
              <w:t>4</w:t>
            </w:r>
            <w:r w:rsidRPr="00C77432">
              <w:t>):</w:t>
            </w:r>
          </w:p>
        </w:tc>
        <w:tc>
          <w:tcPr>
            <w:tcW w:w="992"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ethane (C</w:t>
            </w:r>
            <w:r w:rsidRPr="00C77432">
              <w:rPr>
                <w:vertAlign w:val="subscript"/>
              </w:rPr>
              <w:t>2</w:t>
            </w:r>
            <w:r w:rsidRPr="00C77432">
              <w:t>H</w:t>
            </w:r>
            <w:r w:rsidRPr="00C77432">
              <w:rPr>
                <w:vertAlign w:val="subscript"/>
              </w:rPr>
              <w:t>6</w:t>
            </w:r>
            <w:r w:rsidRPr="00C77432">
              <w:t>):</w:t>
            </w:r>
          </w:p>
        </w:tc>
        <w:tc>
          <w:tcPr>
            <w:tcW w:w="992" w:type="dxa"/>
            <w:shd w:val="clear" w:color="auto" w:fill="auto"/>
          </w:tcPr>
          <w:p w:rsidR="00A00D72" w:rsidRPr="00C77432" w:rsidRDefault="007720E8"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propane (C</w:t>
            </w:r>
            <w:r w:rsidRPr="00C77432">
              <w:rPr>
                <w:vertAlign w:val="subscript"/>
              </w:rPr>
              <w:t>3</w:t>
            </w:r>
            <w:r w:rsidRPr="00C77432">
              <w:t>H</w:t>
            </w:r>
            <w:r w:rsidRPr="00C77432">
              <w:rPr>
                <w:vertAlign w:val="subscript"/>
              </w:rPr>
              <w:t>8</w:t>
            </w:r>
            <w:r w:rsidRPr="00C77432">
              <w:t>):</w:t>
            </w:r>
          </w:p>
        </w:tc>
        <w:tc>
          <w:tcPr>
            <w:tcW w:w="992" w:type="dxa"/>
            <w:shd w:val="clear" w:color="auto" w:fill="auto"/>
          </w:tcPr>
          <w:p w:rsidR="00A00D72" w:rsidRPr="00C77432" w:rsidRDefault="007720E8"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butane (C</w:t>
            </w:r>
            <w:r w:rsidRPr="00C77432">
              <w:rPr>
                <w:vertAlign w:val="subscript"/>
              </w:rPr>
              <w:t>4</w:t>
            </w:r>
            <w:r w:rsidRPr="00C77432">
              <w:t>H</w:t>
            </w:r>
            <w:r w:rsidRPr="00C77432">
              <w:rPr>
                <w:vertAlign w:val="subscript"/>
              </w:rPr>
              <w:t>10</w:t>
            </w:r>
            <w:r w:rsidRPr="00C77432">
              <w:t>)</w:t>
            </w:r>
            <w:r w:rsidR="000777AB" w:rsidRPr="00C77432">
              <w:t>:</w:t>
            </w:r>
          </w:p>
        </w:tc>
        <w:tc>
          <w:tcPr>
            <w:tcW w:w="992" w:type="dxa"/>
            <w:shd w:val="clear" w:color="auto" w:fill="auto"/>
          </w:tcPr>
          <w:p w:rsidR="00A00D72" w:rsidRPr="00C77432" w:rsidRDefault="007720E8"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C5/C5+:</w:t>
            </w:r>
          </w:p>
        </w:tc>
        <w:tc>
          <w:tcPr>
            <w:tcW w:w="992" w:type="dxa"/>
            <w:shd w:val="clear" w:color="auto" w:fill="auto"/>
          </w:tcPr>
          <w:p w:rsidR="00A00D72" w:rsidRPr="00C77432" w:rsidRDefault="007720E8"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oxygen (O</w:t>
            </w:r>
            <w:r w:rsidRPr="00C77432">
              <w:rPr>
                <w:vertAlign w:val="subscript"/>
              </w:rPr>
              <w:t>2</w:t>
            </w:r>
            <w:r w:rsidRPr="00C77432">
              <w:t>):</w:t>
            </w:r>
          </w:p>
        </w:tc>
        <w:tc>
          <w:tcPr>
            <w:tcW w:w="992"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basis:.…</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r w:rsidR="00376938" w:rsidRPr="00C77432" w:rsidTr="00C77432">
        <w:tc>
          <w:tcPr>
            <w:tcW w:w="1809"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ind w:right="-60"/>
            </w:pPr>
            <w:r w:rsidRPr="00C77432">
              <w:t>inert (N</w:t>
            </w:r>
            <w:r w:rsidRPr="00C77432">
              <w:rPr>
                <w:vertAlign w:val="subscript"/>
              </w:rPr>
              <w:t>2</w:t>
            </w:r>
            <w:r w:rsidRPr="00C77432">
              <w:t>, He, etc.):</w:t>
            </w:r>
          </w:p>
        </w:tc>
        <w:tc>
          <w:tcPr>
            <w:tcW w:w="992" w:type="dxa"/>
            <w:shd w:val="clear" w:color="auto" w:fill="auto"/>
          </w:tcPr>
          <w:p w:rsidR="00A00D72" w:rsidRPr="00C77432" w:rsidRDefault="007720E8" w:rsidP="009207B2">
            <w:pPr>
              <w:tabs>
                <w:tab w:val="right" w:leader="dot" w:pos="9356"/>
              </w:tabs>
              <w:autoSpaceDE w:val="0"/>
              <w:autoSpaceDN w:val="0"/>
              <w:adjustRightInd w:val="0"/>
              <w:spacing w:beforeLines="40" w:before="96" w:after="40" w:line="240" w:lineRule="auto"/>
            </w:pPr>
            <w:r w:rsidRPr="00C77432">
              <w:t>basis:.</w:t>
            </w:r>
            <w:r w:rsidR="00A00D72" w:rsidRPr="00C77432">
              <w:t>.</w:t>
            </w:r>
          </w:p>
        </w:tc>
        <w:tc>
          <w:tcPr>
            <w:tcW w:w="900"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900" w:type="dxa"/>
            <w:shd w:val="clear" w:color="auto" w:fill="auto"/>
          </w:tcPr>
          <w:p w:rsidR="00A00D72" w:rsidRPr="00C77432" w:rsidRDefault="00A00D72" w:rsidP="009207B2">
            <w:pPr>
              <w:tabs>
                <w:tab w:val="right" w:leader="dot" w:pos="9356"/>
              </w:tabs>
              <w:autoSpaceDE w:val="0"/>
              <w:autoSpaceDN w:val="0"/>
              <w:adjustRightInd w:val="0"/>
              <w:spacing w:beforeLines="40" w:before="96" w:afterLines="40" w:after="96" w:line="240" w:lineRule="auto"/>
            </w:pPr>
            <w:r w:rsidRPr="00C77432">
              <w:t>min:…..</w:t>
            </w:r>
          </w:p>
        </w:tc>
        <w:tc>
          <w:tcPr>
            <w:tcW w:w="893"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right="48"/>
            </w:pPr>
            <w:r w:rsidRPr="00C77432">
              <w:t>% mole</w:t>
            </w:r>
          </w:p>
        </w:tc>
        <w:tc>
          <w:tcPr>
            <w:tcW w:w="896" w:type="dxa"/>
            <w:shd w:val="clear" w:color="auto" w:fill="auto"/>
          </w:tcPr>
          <w:p w:rsidR="00A00D72" w:rsidRPr="00C77432" w:rsidRDefault="00A00D72" w:rsidP="00C77432">
            <w:pPr>
              <w:tabs>
                <w:tab w:val="right" w:leader="dot" w:pos="9356"/>
              </w:tabs>
              <w:autoSpaceDE w:val="0"/>
              <w:autoSpaceDN w:val="0"/>
              <w:adjustRightInd w:val="0"/>
              <w:spacing w:beforeLines="40" w:before="96" w:afterLines="40" w:after="96" w:line="240" w:lineRule="auto"/>
              <w:ind w:right="-63"/>
            </w:pPr>
            <w:r w:rsidRPr="00C77432">
              <w:t>max.:….</w:t>
            </w:r>
          </w:p>
        </w:tc>
        <w:tc>
          <w:tcPr>
            <w:tcW w:w="947" w:type="dxa"/>
            <w:shd w:val="clear" w:color="auto" w:fill="auto"/>
          </w:tcPr>
          <w:p w:rsidR="00A00D72" w:rsidRPr="00C77432" w:rsidRDefault="00A00D72" w:rsidP="009207B2">
            <w:pPr>
              <w:tabs>
                <w:tab w:val="left" w:pos="1701"/>
                <w:tab w:val="right" w:leader="dot" w:pos="9356"/>
              </w:tabs>
              <w:autoSpaceDE w:val="0"/>
              <w:autoSpaceDN w:val="0"/>
              <w:adjustRightInd w:val="0"/>
              <w:spacing w:beforeLines="40" w:before="96" w:afterLines="40" w:after="96" w:line="240" w:lineRule="auto"/>
              <w:ind w:left="31" w:right="48"/>
            </w:pPr>
            <w:r w:rsidRPr="00C77432">
              <w:t>% mole</w:t>
            </w:r>
          </w:p>
        </w:tc>
      </w:tr>
    </w:tbl>
    <w:p w:rsidR="00C0100D" w:rsidRPr="00B04DC3" w:rsidRDefault="00C0100D" w:rsidP="00485CB1">
      <w:pPr>
        <w:pStyle w:val="para"/>
        <w:tabs>
          <w:tab w:val="left" w:pos="1134"/>
          <w:tab w:val="left" w:pos="2268"/>
          <w:tab w:val="right" w:leader="dot" w:pos="8505"/>
        </w:tabs>
        <w:spacing w:before="240"/>
        <w:rPr>
          <w:lang w:val="en-GB"/>
        </w:rPr>
      </w:pPr>
      <w:r w:rsidRPr="00B04DC3">
        <w:rPr>
          <w:lang w:val="en-GB"/>
        </w:rPr>
        <w:t>3.2.8.1.2.</w:t>
      </w:r>
      <w:r w:rsidRPr="00B04DC3">
        <w:rPr>
          <w:lang w:val="en-GB"/>
        </w:rPr>
        <w:tab/>
        <w:t>Injector(s)</w:t>
      </w:r>
    </w:p>
    <w:p w:rsidR="00C0100D" w:rsidRPr="00B04DC3" w:rsidRDefault="00C0100D" w:rsidP="00485CB1">
      <w:pPr>
        <w:pStyle w:val="para"/>
        <w:tabs>
          <w:tab w:val="left" w:pos="1134"/>
          <w:tab w:val="left" w:pos="2268"/>
          <w:tab w:val="right" w:leader="dot" w:pos="8505"/>
        </w:tabs>
        <w:rPr>
          <w:lang w:val="en-GB"/>
        </w:rPr>
      </w:pPr>
      <w:r w:rsidRPr="00B04DC3">
        <w:rPr>
          <w:lang w:val="en-GB"/>
        </w:rPr>
        <w:t>3.2.8.1.2.1.</w:t>
      </w:r>
      <w:r w:rsidRPr="00B04DC3">
        <w:rPr>
          <w:lang w:val="en-GB"/>
        </w:rPr>
        <w:tab/>
        <w:t>Make(s):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3.2.8.1.2.2.</w:t>
      </w:r>
      <w:r w:rsidRPr="00B04DC3">
        <w:rPr>
          <w:lang w:val="en-GB"/>
        </w:rPr>
        <w:tab/>
        <w:t>Type(s):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3.2.8.1.3.</w:t>
      </w:r>
      <w:r w:rsidRPr="00B04DC3">
        <w:rPr>
          <w:lang w:val="en-GB"/>
        </w:rPr>
        <w:tab/>
        <w:t>Others (if applicable)</w:t>
      </w:r>
    </w:p>
    <w:p w:rsidR="00C0100D" w:rsidRPr="00B04DC3" w:rsidRDefault="00C0100D" w:rsidP="00485CB1">
      <w:pPr>
        <w:pStyle w:val="para"/>
        <w:tabs>
          <w:tab w:val="left" w:pos="1134"/>
          <w:tab w:val="left" w:pos="2268"/>
          <w:tab w:val="right" w:leader="dot" w:pos="8505"/>
        </w:tabs>
        <w:rPr>
          <w:lang w:val="en-GB"/>
        </w:rPr>
      </w:pPr>
      <w:r w:rsidRPr="00B04DC3">
        <w:rPr>
          <w:lang w:val="en-GB"/>
        </w:rPr>
        <w:t>3.2.8.2.</w:t>
      </w:r>
      <w:r w:rsidRPr="00B04DC3">
        <w:rPr>
          <w:lang w:val="en-GB"/>
        </w:rPr>
        <w:tab/>
        <w:t>Variant 2</w:t>
      </w:r>
      <w:r w:rsidR="00BB784C" w:rsidRPr="00B04DC3">
        <w:rPr>
          <w:lang w:val="en-GB"/>
        </w:rPr>
        <w:t xml:space="preserve"> </w:t>
      </w:r>
      <w:r w:rsidRPr="00B04DC3">
        <w:rPr>
          <w:lang w:val="en-GB"/>
        </w:rPr>
        <w:tab/>
        <w:t>(</w:t>
      </w:r>
      <w:r w:rsidR="00BB784C" w:rsidRPr="00B04DC3">
        <w:rPr>
          <w:lang w:val="en-GB"/>
        </w:rPr>
        <w:t>o</w:t>
      </w:r>
      <w:r w:rsidR="00485CB1" w:rsidRPr="00B04DC3">
        <w:rPr>
          <w:lang w:val="en-GB"/>
        </w:rPr>
        <w:t>nly</w:t>
      </w:r>
      <w:r w:rsidRPr="00B04DC3">
        <w:rPr>
          <w:lang w:val="en-GB"/>
        </w:rPr>
        <w:t xml:space="preserve"> in the case of approvals for several specific fuel compositions)</w:t>
      </w:r>
    </w:p>
    <w:p w:rsidR="00C0100D" w:rsidRPr="00B04DC3" w:rsidRDefault="00C0100D" w:rsidP="00485CB1">
      <w:pPr>
        <w:pStyle w:val="para"/>
        <w:tabs>
          <w:tab w:val="left" w:pos="1134"/>
          <w:tab w:val="left" w:pos="2268"/>
          <w:tab w:val="right" w:leader="dot" w:pos="8505"/>
        </w:tabs>
        <w:rPr>
          <w:lang w:val="en-GB"/>
        </w:rPr>
      </w:pPr>
      <w:r w:rsidRPr="00B04DC3">
        <w:rPr>
          <w:lang w:val="en-GB"/>
        </w:rPr>
        <w:t>4.</w:t>
      </w:r>
      <w:r w:rsidRPr="00B04DC3">
        <w:rPr>
          <w:lang w:val="en-GB"/>
        </w:rPr>
        <w:tab/>
        <w:t>Valve timing</w:t>
      </w:r>
    </w:p>
    <w:p w:rsidR="00C0100D" w:rsidRPr="00B04DC3" w:rsidRDefault="00C0100D" w:rsidP="00485CB1">
      <w:pPr>
        <w:pStyle w:val="para"/>
        <w:tabs>
          <w:tab w:val="left" w:pos="1134"/>
          <w:tab w:val="left" w:pos="2268"/>
          <w:tab w:val="right" w:leader="dot" w:pos="8505"/>
        </w:tabs>
        <w:rPr>
          <w:lang w:val="en-GB"/>
        </w:rPr>
      </w:pPr>
      <w:r w:rsidRPr="00B04DC3">
        <w:rPr>
          <w:lang w:val="en-GB"/>
        </w:rPr>
        <w:t>4.1.</w:t>
      </w:r>
      <w:r w:rsidRPr="00B04DC3">
        <w:rPr>
          <w:lang w:val="en-GB"/>
        </w:rPr>
        <w:tab/>
        <w:t>Maximum lift of valves and angles of opening and closing in relation to dead centres of equivalent data:</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4.2.</w:t>
      </w:r>
      <w:r w:rsidRPr="00B04DC3">
        <w:rPr>
          <w:lang w:val="en-GB"/>
        </w:rPr>
        <w:tab/>
      </w:r>
      <w:r w:rsidR="00485CB1" w:rsidRPr="00B04DC3">
        <w:rPr>
          <w:lang w:val="en-GB"/>
        </w:rPr>
        <w:t>Reference and/or setting ranges</w:t>
      </w:r>
      <w:r w:rsidR="00485CB1" w:rsidRPr="00B04DC3">
        <w:rPr>
          <w:vertAlign w:val="superscript"/>
          <w:lang w:val="en-GB"/>
        </w:rPr>
        <w:t>2</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w:t>
      </w:r>
      <w:r w:rsidRPr="00B04DC3">
        <w:rPr>
          <w:lang w:val="en-GB"/>
        </w:rPr>
        <w:tab/>
        <w:t>Ignition system (spark ignition engines only)</w:t>
      </w:r>
    </w:p>
    <w:p w:rsidR="00C0100D" w:rsidRPr="00B04DC3" w:rsidRDefault="00C0100D" w:rsidP="00485CB1">
      <w:pPr>
        <w:pStyle w:val="para"/>
        <w:tabs>
          <w:tab w:val="left" w:pos="1134"/>
          <w:tab w:val="left" w:pos="2268"/>
          <w:tab w:val="right" w:leader="dot" w:pos="8505"/>
        </w:tabs>
        <w:rPr>
          <w:lang w:val="en-GB"/>
        </w:rPr>
      </w:pPr>
      <w:r w:rsidRPr="00B04DC3">
        <w:rPr>
          <w:lang w:val="en-GB"/>
        </w:rPr>
        <w:t>5.1.</w:t>
      </w:r>
      <w:r w:rsidRPr="00B04DC3">
        <w:rPr>
          <w:lang w:val="en-GB"/>
        </w:rPr>
        <w:tab/>
        <w:t>Ignition system type: common coil and plugs/individual coil and plu</w:t>
      </w:r>
      <w:r w:rsidR="00485CB1" w:rsidRPr="00B04DC3">
        <w:rPr>
          <w:lang w:val="en-GB"/>
        </w:rPr>
        <w:t>gs/coil on plug/other (specify)</w:t>
      </w:r>
      <w:r w:rsidR="00485CB1" w:rsidRPr="00B04DC3">
        <w:rPr>
          <w:vertAlign w:val="superscript"/>
          <w:lang w:val="en-GB"/>
        </w:rPr>
        <w:t>2</w:t>
      </w:r>
    </w:p>
    <w:p w:rsidR="00C0100D" w:rsidRPr="00B04DC3" w:rsidRDefault="00C0100D" w:rsidP="00485CB1">
      <w:pPr>
        <w:pStyle w:val="para"/>
        <w:tabs>
          <w:tab w:val="left" w:pos="1134"/>
          <w:tab w:val="left" w:pos="2268"/>
          <w:tab w:val="right" w:leader="dot" w:pos="8505"/>
        </w:tabs>
        <w:rPr>
          <w:lang w:val="en-GB"/>
        </w:rPr>
      </w:pPr>
      <w:r w:rsidRPr="00B04DC3">
        <w:rPr>
          <w:lang w:val="en-GB"/>
        </w:rPr>
        <w:t>5.2.</w:t>
      </w:r>
      <w:r w:rsidRPr="00B04DC3">
        <w:rPr>
          <w:lang w:val="en-GB"/>
        </w:rPr>
        <w:tab/>
        <w:t>Ignition control unit</w:t>
      </w:r>
    </w:p>
    <w:p w:rsidR="00C0100D" w:rsidRPr="00B04DC3" w:rsidRDefault="00C0100D" w:rsidP="00485CB1">
      <w:pPr>
        <w:pStyle w:val="para"/>
        <w:tabs>
          <w:tab w:val="left" w:pos="1134"/>
          <w:tab w:val="left" w:pos="2268"/>
          <w:tab w:val="right" w:leader="dot" w:pos="8505"/>
        </w:tabs>
        <w:rPr>
          <w:lang w:val="en-GB"/>
        </w:rPr>
      </w:pPr>
      <w:r w:rsidRPr="00B04DC3">
        <w:rPr>
          <w:lang w:val="en-GB"/>
        </w:rPr>
        <w:t>5.2.1.</w:t>
      </w:r>
      <w:r w:rsidRPr="00B04DC3">
        <w:rPr>
          <w:lang w:val="en-GB"/>
        </w:rPr>
        <w:tab/>
        <w:t>Make(s):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5.2.2.</w:t>
      </w:r>
      <w:r w:rsidRPr="00B04DC3">
        <w:rPr>
          <w:lang w:val="en-GB"/>
        </w:rPr>
        <w:tab/>
        <w:t>Type(s):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5.3.</w:t>
      </w:r>
      <w:r w:rsidRPr="00B04DC3">
        <w:rPr>
          <w:lang w:val="en-GB"/>
        </w:rPr>
        <w:tab/>
        <w:t>Ignit</w:t>
      </w:r>
      <w:r w:rsidR="00485CB1" w:rsidRPr="00B04DC3">
        <w:rPr>
          <w:lang w:val="en-GB"/>
        </w:rPr>
        <w:t>ion advance curve / advance map</w:t>
      </w:r>
      <w:r w:rsidR="00EF0DB0">
        <w:rPr>
          <w:lang w:val="en-GB"/>
        </w:rPr>
        <w:t>:</w:t>
      </w:r>
      <w:r w:rsidR="00485CB1" w:rsidRPr="00B04DC3">
        <w:rPr>
          <w:vertAlign w:val="superscript"/>
          <w:lang w:val="en-GB"/>
        </w:rPr>
        <w:t>2,</w:t>
      </w:r>
      <w:r w:rsidR="00485CB1" w:rsidRPr="00B04DC3">
        <w:rPr>
          <w:lang w:val="en-GB"/>
        </w:rPr>
        <w:t xml:space="preserve"> </w:t>
      </w:r>
      <w:r w:rsidR="00485CB1" w:rsidRPr="00B04DC3">
        <w:rPr>
          <w:vertAlign w:val="superscript"/>
          <w:lang w:val="en-GB"/>
        </w:rPr>
        <w:t>3</w:t>
      </w:r>
      <w:r w:rsidRPr="00B04DC3">
        <w:rPr>
          <w:lang w:val="en-GB"/>
        </w:rPr>
        <w:tab/>
      </w:r>
    </w:p>
    <w:p w:rsidR="00C0100D" w:rsidRPr="00B04DC3" w:rsidRDefault="00485CB1" w:rsidP="00485CB1">
      <w:pPr>
        <w:pStyle w:val="para"/>
        <w:tabs>
          <w:tab w:val="left" w:pos="1134"/>
          <w:tab w:val="left" w:pos="2268"/>
          <w:tab w:val="right" w:leader="dot" w:pos="8505"/>
        </w:tabs>
        <w:rPr>
          <w:lang w:val="en-GB"/>
        </w:rPr>
      </w:pPr>
      <w:r w:rsidRPr="00B04DC3">
        <w:rPr>
          <w:lang w:val="en-GB"/>
        </w:rPr>
        <w:t>5.4.</w:t>
      </w:r>
      <w:r w:rsidRPr="00B04DC3">
        <w:rPr>
          <w:lang w:val="en-GB"/>
        </w:rPr>
        <w:tab/>
        <w:t>Ignition timing</w:t>
      </w:r>
      <w:r w:rsidR="00EF0DB0">
        <w:rPr>
          <w:lang w:val="en-GB"/>
        </w:rPr>
        <w:t>:</w:t>
      </w:r>
      <w:r w:rsidRPr="00B04DC3">
        <w:rPr>
          <w:vertAlign w:val="superscript"/>
          <w:lang w:val="en-GB"/>
        </w:rPr>
        <w:t>3</w:t>
      </w:r>
      <w:r w:rsidR="004B2784" w:rsidRPr="00B04DC3">
        <w:rPr>
          <w:lang w:val="en-GB"/>
        </w:rPr>
        <w:t>…………….</w:t>
      </w:r>
      <w:r w:rsidR="00C0100D" w:rsidRPr="00B04DC3">
        <w:rPr>
          <w:lang w:val="en-GB"/>
        </w:rPr>
        <w:t>degrees before TDC at a speed of</w:t>
      </w:r>
      <w:r w:rsidR="00C0100D" w:rsidRPr="00B04DC3">
        <w:rPr>
          <w:lang w:val="en-GB"/>
        </w:rPr>
        <w:tab/>
        <w:t>min</w:t>
      </w:r>
      <w:r w:rsidR="00C0100D" w:rsidRPr="00B04DC3">
        <w:rPr>
          <w:vertAlign w:val="superscript"/>
          <w:lang w:val="en-GB"/>
        </w:rPr>
        <w:t>-1</w:t>
      </w:r>
    </w:p>
    <w:p w:rsidR="00C0100D" w:rsidRPr="00B04DC3" w:rsidRDefault="00C0100D" w:rsidP="00485CB1">
      <w:pPr>
        <w:pStyle w:val="para"/>
        <w:tabs>
          <w:tab w:val="left" w:pos="1134"/>
          <w:tab w:val="left" w:pos="2268"/>
          <w:tab w:val="right" w:leader="dot" w:pos="8505"/>
        </w:tabs>
        <w:rPr>
          <w:lang w:val="en-GB"/>
        </w:rPr>
      </w:pPr>
      <w:r w:rsidRPr="00B04DC3">
        <w:rPr>
          <w:lang w:val="en-GB"/>
        </w:rPr>
        <w:tab/>
        <w:t>and a MAP of</w:t>
      </w:r>
      <w:r w:rsidRPr="00B04DC3">
        <w:rPr>
          <w:lang w:val="en-GB"/>
        </w:rPr>
        <w:tab/>
        <w:t>kPa</w:t>
      </w:r>
    </w:p>
    <w:p w:rsidR="00C0100D" w:rsidRPr="00B04DC3" w:rsidRDefault="00C0100D" w:rsidP="00485CB1">
      <w:pPr>
        <w:pStyle w:val="para"/>
        <w:tabs>
          <w:tab w:val="left" w:pos="1134"/>
          <w:tab w:val="left" w:pos="2268"/>
          <w:tab w:val="right" w:leader="dot" w:pos="8505"/>
        </w:tabs>
        <w:rPr>
          <w:lang w:val="en-GB"/>
        </w:rPr>
      </w:pPr>
      <w:r w:rsidRPr="00B04DC3">
        <w:rPr>
          <w:lang w:val="en-GB"/>
        </w:rPr>
        <w:t>5.5.</w:t>
      </w:r>
      <w:r w:rsidRPr="00B04DC3">
        <w:rPr>
          <w:lang w:val="en-GB"/>
        </w:rPr>
        <w:tab/>
        <w:t>Spark plugs</w:t>
      </w:r>
    </w:p>
    <w:p w:rsidR="00C0100D" w:rsidRPr="00B04DC3" w:rsidRDefault="00C0100D" w:rsidP="00485CB1">
      <w:pPr>
        <w:pStyle w:val="para"/>
        <w:tabs>
          <w:tab w:val="left" w:pos="1134"/>
          <w:tab w:val="left" w:pos="2268"/>
          <w:tab w:val="right" w:leader="dot" w:pos="8505"/>
        </w:tabs>
        <w:rPr>
          <w:lang w:val="en-GB"/>
        </w:rPr>
      </w:pPr>
      <w:r w:rsidRPr="00B04DC3">
        <w:rPr>
          <w:lang w:val="en-GB"/>
        </w:rPr>
        <w:t>5.5.1.</w:t>
      </w:r>
      <w:r w:rsidRPr="00B04DC3">
        <w:rPr>
          <w:lang w:val="en-GB"/>
        </w:rPr>
        <w:tab/>
        <w:t>Make(s):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5.5.2.</w:t>
      </w:r>
      <w:r w:rsidRPr="00B04DC3">
        <w:rPr>
          <w:lang w:val="en-GB"/>
        </w:rPr>
        <w:tab/>
        <w:t>Type(s):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5.5.3.</w:t>
      </w:r>
      <w:r w:rsidRPr="00B04DC3">
        <w:rPr>
          <w:lang w:val="en-GB"/>
        </w:rPr>
        <w:tab/>
        <w:t>Gap setting:</w:t>
      </w:r>
      <w:r w:rsidRPr="00B04DC3">
        <w:rPr>
          <w:lang w:val="en-GB"/>
        </w:rPr>
        <w:tab/>
        <w:t>mm</w:t>
      </w:r>
    </w:p>
    <w:p w:rsidR="00C0100D" w:rsidRPr="00B04DC3" w:rsidRDefault="00C0100D" w:rsidP="00485CB1">
      <w:pPr>
        <w:pStyle w:val="para"/>
        <w:tabs>
          <w:tab w:val="left" w:pos="1134"/>
          <w:tab w:val="left" w:pos="2268"/>
          <w:tab w:val="right" w:leader="dot" w:pos="8505"/>
        </w:tabs>
        <w:rPr>
          <w:lang w:val="en-GB"/>
        </w:rPr>
      </w:pPr>
      <w:r w:rsidRPr="00B04DC3">
        <w:rPr>
          <w:lang w:val="en-GB"/>
        </w:rPr>
        <w:t>5.6.</w:t>
      </w:r>
      <w:r w:rsidRPr="00B04DC3">
        <w:rPr>
          <w:lang w:val="en-GB"/>
        </w:rPr>
        <w:tab/>
        <w:t>Ignition coil(s)</w:t>
      </w:r>
    </w:p>
    <w:p w:rsidR="00C0100D" w:rsidRPr="00B04DC3" w:rsidRDefault="00C0100D" w:rsidP="00485CB1">
      <w:pPr>
        <w:pStyle w:val="para"/>
        <w:tabs>
          <w:tab w:val="left" w:pos="1134"/>
          <w:tab w:val="left" w:pos="2268"/>
          <w:tab w:val="right" w:leader="dot" w:pos="8505"/>
        </w:tabs>
        <w:rPr>
          <w:lang w:val="en-GB"/>
        </w:rPr>
      </w:pPr>
      <w:r w:rsidRPr="00B04DC3">
        <w:rPr>
          <w:lang w:val="en-GB"/>
        </w:rPr>
        <w:t>5.6.1.</w:t>
      </w:r>
      <w:r w:rsidRPr="00B04DC3">
        <w:rPr>
          <w:lang w:val="en-GB"/>
        </w:rPr>
        <w:tab/>
        <w:t>Make(s):</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5.6.2.</w:t>
      </w:r>
      <w:r w:rsidRPr="00B04DC3">
        <w:rPr>
          <w:lang w:val="en-GB"/>
        </w:rPr>
        <w:tab/>
        <w:t>Type(s):</w:t>
      </w:r>
      <w:r w:rsidRPr="00B04DC3">
        <w:rPr>
          <w:lang w:val="en-GB"/>
        </w:rPr>
        <w:tab/>
      </w:r>
    </w:p>
    <w:p w:rsidR="00C0100D" w:rsidRPr="00B04DC3" w:rsidRDefault="00C0100D" w:rsidP="00AA0E48">
      <w:pPr>
        <w:pStyle w:val="para"/>
        <w:keepNext/>
        <w:keepLines/>
        <w:tabs>
          <w:tab w:val="left" w:pos="1134"/>
          <w:tab w:val="left" w:pos="2268"/>
          <w:tab w:val="right" w:leader="dot" w:pos="8505"/>
        </w:tabs>
        <w:rPr>
          <w:lang w:val="en-GB"/>
        </w:rPr>
      </w:pPr>
      <w:r w:rsidRPr="00B04DC3">
        <w:rPr>
          <w:lang w:val="en-GB"/>
        </w:rPr>
        <w:t>6.</w:t>
      </w:r>
      <w:r w:rsidRPr="00B04DC3">
        <w:rPr>
          <w:lang w:val="en-GB"/>
        </w:rPr>
        <w:tab/>
        <w:t>On-</w:t>
      </w:r>
      <w:r w:rsidR="007720E8" w:rsidRPr="00B04DC3">
        <w:rPr>
          <w:lang w:val="en-GB"/>
        </w:rPr>
        <w:t>B</w:t>
      </w:r>
      <w:r w:rsidRPr="00B04DC3">
        <w:rPr>
          <w:lang w:val="en-GB"/>
        </w:rPr>
        <w:t xml:space="preserve">oard </w:t>
      </w:r>
      <w:r w:rsidR="007720E8" w:rsidRPr="00B04DC3">
        <w:rPr>
          <w:lang w:val="en-GB"/>
        </w:rPr>
        <w:t>D</w:t>
      </w:r>
      <w:r w:rsidRPr="00B04DC3">
        <w:rPr>
          <w:lang w:val="en-GB"/>
        </w:rPr>
        <w:t>iagnostic (OBD) system</w:t>
      </w:r>
      <w:r w:rsidR="00C77432">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6.1.</w:t>
      </w:r>
      <w:r w:rsidRPr="00B04DC3">
        <w:rPr>
          <w:lang w:val="en-GB"/>
        </w:rPr>
        <w:tab/>
        <w:t>Written description and/or drawing of the MI</w:t>
      </w:r>
      <w:r w:rsidR="00EF0DB0">
        <w:rPr>
          <w:lang w:val="en-GB"/>
        </w:rPr>
        <w:t>:</w:t>
      </w:r>
      <w:r w:rsidR="004B2784" w:rsidRPr="00B04DC3">
        <w:rPr>
          <w:vertAlign w:val="superscript"/>
          <w:lang w:val="en-GB"/>
        </w:rPr>
        <w:t>4</w:t>
      </w:r>
      <w:r w:rsidR="00C77432">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6.2.</w:t>
      </w:r>
      <w:r w:rsidRPr="00B04DC3">
        <w:rPr>
          <w:lang w:val="en-GB"/>
        </w:rPr>
        <w:tab/>
        <w:t>List and purpose of all components monitored by the OBD system:</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6.3.</w:t>
      </w:r>
      <w:r w:rsidRPr="00B04DC3">
        <w:rPr>
          <w:lang w:val="en-GB"/>
        </w:rPr>
        <w:tab/>
        <w:t xml:space="preserve">Written description (general OBD working principles) for: </w:t>
      </w:r>
    </w:p>
    <w:p w:rsidR="00C0100D" w:rsidRPr="00B04DC3" w:rsidRDefault="004B2784" w:rsidP="00485CB1">
      <w:pPr>
        <w:pStyle w:val="para"/>
        <w:tabs>
          <w:tab w:val="left" w:pos="1134"/>
          <w:tab w:val="left" w:pos="2268"/>
          <w:tab w:val="right" w:leader="dot" w:pos="8505"/>
        </w:tabs>
        <w:rPr>
          <w:lang w:val="en-GB"/>
        </w:rPr>
      </w:pPr>
      <w:r w:rsidRPr="00B04DC3">
        <w:rPr>
          <w:lang w:val="en-GB"/>
        </w:rPr>
        <w:t>6.3.1.</w:t>
      </w:r>
      <w:r w:rsidRPr="00B04DC3">
        <w:rPr>
          <w:lang w:val="en-GB"/>
        </w:rPr>
        <w:tab/>
        <w:t>Diesel/gas engines</w:t>
      </w:r>
      <w:r w:rsidR="00EF0DB0">
        <w:rPr>
          <w:lang w:val="en-GB"/>
        </w:rPr>
        <w:t>:</w:t>
      </w:r>
      <w:r w:rsidRPr="00B04DC3">
        <w:rPr>
          <w:vertAlign w:val="superscript"/>
          <w:lang w:val="en-GB"/>
        </w:rPr>
        <w:t>4</w:t>
      </w:r>
      <w:r w:rsidR="00C0100D" w:rsidRPr="00B04DC3">
        <w:rPr>
          <w:lang w:val="en-GB"/>
        </w:rPr>
        <w:tab/>
      </w:r>
    </w:p>
    <w:p w:rsidR="00C0100D" w:rsidRPr="00B04DC3" w:rsidRDefault="004B2784" w:rsidP="00485CB1">
      <w:pPr>
        <w:pStyle w:val="para"/>
        <w:tabs>
          <w:tab w:val="left" w:pos="1134"/>
          <w:tab w:val="left" w:pos="2268"/>
          <w:tab w:val="right" w:leader="dot" w:pos="8505"/>
        </w:tabs>
        <w:rPr>
          <w:lang w:val="en-GB"/>
        </w:rPr>
      </w:pPr>
      <w:r w:rsidRPr="00B04DC3">
        <w:rPr>
          <w:lang w:val="en-GB"/>
        </w:rPr>
        <w:t>6.3.1.1.</w:t>
      </w:r>
      <w:r w:rsidRPr="00B04DC3">
        <w:rPr>
          <w:lang w:val="en-GB"/>
        </w:rPr>
        <w:tab/>
        <w:t>Catalyst monitoring</w:t>
      </w:r>
      <w:r w:rsidR="00EF0DB0">
        <w:rPr>
          <w:lang w:val="en-GB"/>
        </w:rPr>
        <w:t>:</w:t>
      </w:r>
      <w:r w:rsidRPr="00B04DC3">
        <w:rPr>
          <w:vertAlign w:val="superscript"/>
          <w:lang w:val="en-GB"/>
        </w:rPr>
        <w:t>4</w:t>
      </w:r>
      <w:r w:rsidR="00C0100D"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w:t>
      </w:r>
      <w:r w:rsidR="004B2784" w:rsidRPr="00B04DC3">
        <w:rPr>
          <w:lang w:val="en-GB"/>
        </w:rPr>
        <w:t>.3.1.2.</w:t>
      </w:r>
      <w:r w:rsidR="004B2784" w:rsidRPr="00B04DC3">
        <w:rPr>
          <w:lang w:val="en-GB"/>
        </w:rPr>
        <w:tab/>
        <w:t>deNO</w:t>
      </w:r>
      <w:r w:rsidR="004B2784" w:rsidRPr="00B04DC3">
        <w:rPr>
          <w:vertAlign w:val="subscript"/>
          <w:lang w:val="en-GB"/>
        </w:rPr>
        <w:t>x</w:t>
      </w:r>
      <w:r w:rsidR="004B2784" w:rsidRPr="00B04DC3">
        <w:rPr>
          <w:lang w:val="en-GB"/>
        </w:rPr>
        <w:t xml:space="preserve"> system monitoring</w:t>
      </w:r>
      <w:r w:rsidR="00EF0DB0">
        <w:rPr>
          <w:lang w:val="en-GB"/>
        </w:rPr>
        <w:t>:</w:t>
      </w:r>
      <w:r w:rsidR="004B2784" w:rsidRPr="00B04DC3">
        <w:rPr>
          <w:vertAlign w:val="superscript"/>
          <w:lang w:val="en-GB"/>
        </w:rPr>
        <w:t>4</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6.3.1.3.</w:t>
      </w:r>
      <w:r w:rsidRPr="00B04DC3">
        <w:rPr>
          <w:lang w:val="en-GB"/>
        </w:rPr>
        <w:tab/>
        <w:t>Diese</w:t>
      </w:r>
      <w:r w:rsidR="004B2784" w:rsidRPr="00B04DC3">
        <w:rPr>
          <w:lang w:val="en-GB"/>
        </w:rPr>
        <w:t>l particulate filter monitoring</w:t>
      </w:r>
      <w:r w:rsidR="00EF0DB0">
        <w:rPr>
          <w:lang w:val="en-GB"/>
        </w:rPr>
        <w:t>:</w:t>
      </w:r>
      <w:r w:rsidR="004B2784" w:rsidRPr="00B04DC3">
        <w:rPr>
          <w:vertAlign w:val="superscript"/>
          <w:lang w:val="en-GB"/>
        </w:rPr>
        <w:t>4</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6.3.1.4.</w:t>
      </w:r>
      <w:r w:rsidRPr="00B04DC3">
        <w:rPr>
          <w:lang w:val="en-GB"/>
        </w:rPr>
        <w:tab/>
        <w:t>Electr</w:t>
      </w:r>
      <w:r w:rsidR="004B2784" w:rsidRPr="00B04DC3">
        <w:rPr>
          <w:lang w:val="en-GB"/>
        </w:rPr>
        <w:t>onic fuelling system monitoring</w:t>
      </w:r>
      <w:r w:rsidR="00EF0DB0">
        <w:rPr>
          <w:lang w:val="en-GB"/>
        </w:rPr>
        <w:t>:</w:t>
      </w:r>
      <w:r w:rsidR="004B2784" w:rsidRPr="00B04DC3">
        <w:rPr>
          <w:vertAlign w:val="superscript"/>
          <w:lang w:val="en-GB"/>
        </w:rPr>
        <w:t>4</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6.3.1.5.</w:t>
      </w:r>
      <w:r w:rsidRPr="00B04DC3">
        <w:rPr>
          <w:lang w:val="en-GB"/>
        </w:rPr>
        <w:tab/>
        <w:t>Other compone</w:t>
      </w:r>
      <w:r w:rsidR="004B2784" w:rsidRPr="00B04DC3">
        <w:rPr>
          <w:lang w:val="en-GB"/>
        </w:rPr>
        <w:t>nts monitored by the OBD system</w:t>
      </w:r>
      <w:r w:rsidR="00EF0DB0">
        <w:rPr>
          <w:lang w:val="en-GB"/>
        </w:rPr>
        <w:t>:</w:t>
      </w:r>
      <w:r w:rsidR="004B2784" w:rsidRPr="00B04DC3">
        <w:rPr>
          <w:vertAlign w:val="superscript"/>
          <w:lang w:val="en-GB"/>
        </w:rPr>
        <w:t>4</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6.4.</w:t>
      </w:r>
      <w:r w:rsidRPr="00B04DC3">
        <w:rPr>
          <w:lang w:val="en-GB"/>
        </w:rPr>
        <w:tab/>
        <w:t>Criteria for MI activation (fixed number of driving cycles or statistical method):</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6.5.</w:t>
      </w:r>
      <w:r w:rsidRPr="00B04DC3">
        <w:rPr>
          <w:lang w:val="en-GB"/>
        </w:rPr>
        <w:tab/>
        <w:t>List of all OBD output codes and formats used (with explanation of each):</w:t>
      </w:r>
      <w:r w:rsidRPr="00B04DC3">
        <w:rPr>
          <w:lang w:val="en-GB"/>
        </w:rPr>
        <w:tab/>
      </w:r>
    </w:p>
    <w:p w:rsidR="00C0100D" w:rsidRPr="00B04DC3" w:rsidRDefault="00C0100D" w:rsidP="00485CB1">
      <w:pPr>
        <w:pStyle w:val="para"/>
        <w:tabs>
          <w:tab w:val="left" w:pos="1134"/>
          <w:tab w:val="left" w:pos="2268"/>
          <w:tab w:val="right" w:leader="dot" w:pos="8505"/>
        </w:tabs>
        <w:rPr>
          <w:lang w:val="en-GB"/>
        </w:rPr>
      </w:pPr>
      <w:r w:rsidRPr="00B04DC3">
        <w:rPr>
          <w:lang w:val="en-GB"/>
        </w:rPr>
        <w:t>7.</w:t>
      </w:r>
      <w:r w:rsidRPr="00B04DC3">
        <w:rPr>
          <w:lang w:val="en-GB"/>
        </w:rPr>
        <w:tab/>
        <w:t>Torque limiter</w:t>
      </w:r>
    </w:p>
    <w:p w:rsidR="00C0100D" w:rsidRPr="00B04DC3" w:rsidRDefault="00C0100D" w:rsidP="00485CB1">
      <w:pPr>
        <w:pStyle w:val="para"/>
        <w:tabs>
          <w:tab w:val="left" w:pos="1134"/>
          <w:tab w:val="left" w:pos="2268"/>
          <w:tab w:val="right" w:leader="dot" w:pos="8505"/>
        </w:tabs>
        <w:rPr>
          <w:lang w:val="en-GB"/>
        </w:rPr>
      </w:pPr>
      <w:r w:rsidRPr="00B04DC3">
        <w:rPr>
          <w:lang w:val="en-GB"/>
        </w:rPr>
        <w:t>7.1.</w:t>
      </w:r>
      <w:r w:rsidRPr="00B04DC3">
        <w:rPr>
          <w:lang w:val="en-GB"/>
        </w:rPr>
        <w:tab/>
        <w:t>Description of the torque limiter activation</w:t>
      </w:r>
    </w:p>
    <w:p w:rsidR="00C0100D" w:rsidRPr="00B04DC3" w:rsidRDefault="00C0100D" w:rsidP="00485CB1">
      <w:pPr>
        <w:pStyle w:val="para"/>
        <w:tabs>
          <w:tab w:val="left" w:pos="1134"/>
          <w:tab w:val="left" w:pos="2268"/>
          <w:tab w:val="right" w:leader="dot" w:pos="8505"/>
        </w:tabs>
        <w:rPr>
          <w:lang w:val="en-GB"/>
        </w:rPr>
      </w:pPr>
      <w:r w:rsidRPr="00B04DC3">
        <w:rPr>
          <w:lang w:val="en-GB"/>
        </w:rPr>
        <w:t>7.2.</w:t>
      </w:r>
      <w:r w:rsidRPr="00B04DC3">
        <w:rPr>
          <w:lang w:val="en-GB"/>
        </w:rPr>
        <w:tab/>
        <w:t>Description of the full load curve limitation</w:t>
      </w:r>
    </w:p>
    <w:p w:rsidR="00C0100D" w:rsidRPr="00B04DC3" w:rsidRDefault="00C0100D" w:rsidP="00C0100D">
      <w:pPr>
        <w:pStyle w:val="PointDouble0"/>
        <w:tabs>
          <w:tab w:val="clear" w:pos="850"/>
          <w:tab w:val="left" w:pos="1134"/>
          <w:tab w:val="left" w:leader="dot" w:pos="8789"/>
        </w:tabs>
        <w:spacing w:before="0" w:after="0"/>
        <w:ind w:left="1134" w:hanging="1134"/>
      </w:pPr>
    </w:p>
    <w:p w:rsidR="00C0100D" w:rsidRPr="00B04DC3" w:rsidRDefault="00C0100D" w:rsidP="00C0100D">
      <w:pPr>
        <w:sectPr w:rsidR="00C0100D" w:rsidRPr="00B04DC3" w:rsidSect="002A4563">
          <w:headerReference w:type="even" r:id="rId77"/>
          <w:headerReference w:type="default" r:id="rId78"/>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9233F2" w:rsidP="009233F2">
      <w:pPr>
        <w:pStyle w:val="HChG"/>
      </w:pPr>
      <w:bookmarkStart w:id="143" w:name="_Toc423599494"/>
      <w:bookmarkStart w:id="144" w:name="_Toc423610902"/>
      <w:r w:rsidRPr="00B04DC3">
        <w:t>Annex 1</w:t>
      </w:r>
      <w:r w:rsidR="00A94412">
        <w:t xml:space="preserve"> - </w:t>
      </w:r>
      <w:r w:rsidR="00C0100D" w:rsidRPr="00B04DC3">
        <w:t>Appendix 4</w:t>
      </w:r>
      <w:bookmarkEnd w:id="143"/>
      <w:bookmarkEnd w:id="144"/>
    </w:p>
    <w:p w:rsidR="00C0100D" w:rsidRPr="00B04DC3" w:rsidRDefault="009233F2" w:rsidP="009233F2">
      <w:pPr>
        <w:pStyle w:val="HChG"/>
        <w:rPr>
          <w:bCs/>
        </w:rPr>
      </w:pPr>
      <w:r w:rsidRPr="00B04DC3">
        <w:rPr>
          <w:bCs/>
        </w:rPr>
        <w:tab/>
      </w:r>
      <w:r w:rsidRPr="00B04DC3">
        <w:rPr>
          <w:bCs/>
        </w:rPr>
        <w:tab/>
      </w:r>
      <w:bookmarkStart w:id="145" w:name="_Toc423599495"/>
      <w:bookmarkStart w:id="146" w:name="_Toc423610903"/>
      <w:r w:rsidRPr="00B04DC3">
        <w:rPr>
          <w:bCs/>
        </w:rPr>
        <w:t>Characteristics of the engine-related vehicle parts</w:t>
      </w:r>
      <w:bookmarkEnd w:id="145"/>
      <w:bookmarkEnd w:id="146"/>
    </w:p>
    <w:p w:rsidR="00C0100D" w:rsidRPr="00B04DC3" w:rsidRDefault="00C0100D" w:rsidP="009233F2">
      <w:pPr>
        <w:pStyle w:val="para"/>
        <w:tabs>
          <w:tab w:val="left" w:pos="1134"/>
          <w:tab w:val="left" w:pos="2268"/>
          <w:tab w:val="right" w:leader="dot" w:pos="8505"/>
        </w:tabs>
        <w:rPr>
          <w:lang w:val="en-GB"/>
        </w:rPr>
      </w:pPr>
      <w:r w:rsidRPr="00B04DC3">
        <w:rPr>
          <w:lang w:val="en-GB"/>
        </w:rPr>
        <w:t>1.</w:t>
      </w:r>
      <w:r w:rsidRPr="00B04DC3">
        <w:rPr>
          <w:lang w:val="en-GB"/>
        </w:rPr>
        <w:tab/>
        <w:t>Intake system depression at rated engine speed and at 100 per cent load:</w:t>
      </w:r>
      <w:r w:rsidR="009233F2" w:rsidRPr="00B04DC3">
        <w:rPr>
          <w:lang w:val="en-GB"/>
        </w:rPr>
        <w:br/>
      </w:r>
      <w:r w:rsidRPr="00B04DC3">
        <w:rPr>
          <w:lang w:val="en-GB"/>
        </w:rPr>
        <w:tab/>
        <w:t>kPa</w:t>
      </w:r>
    </w:p>
    <w:p w:rsidR="00C0100D" w:rsidRPr="00B04DC3" w:rsidRDefault="00C0100D" w:rsidP="009233F2">
      <w:pPr>
        <w:pStyle w:val="para"/>
        <w:tabs>
          <w:tab w:val="left" w:pos="1134"/>
          <w:tab w:val="left" w:pos="2268"/>
          <w:tab w:val="right" w:leader="dot" w:pos="8505"/>
        </w:tabs>
        <w:rPr>
          <w:lang w:val="en-GB"/>
        </w:rPr>
      </w:pPr>
      <w:r w:rsidRPr="00B04DC3">
        <w:rPr>
          <w:lang w:val="en-GB"/>
        </w:rPr>
        <w:t>2.</w:t>
      </w:r>
      <w:r w:rsidRPr="00B04DC3">
        <w:rPr>
          <w:lang w:val="en-GB"/>
        </w:rPr>
        <w:tab/>
        <w:t>Exhaust system back pressure at rated engine speed and at 100 per cent load:</w:t>
      </w:r>
      <w:r w:rsidR="009233F2" w:rsidRPr="00B04DC3">
        <w:rPr>
          <w:lang w:val="en-GB"/>
        </w:rPr>
        <w:br/>
      </w:r>
      <w:r w:rsidRPr="00B04DC3">
        <w:rPr>
          <w:lang w:val="en-GB"/>
        </w:rPr>
        <w:tab/>
        <w:t>kPa</w:t>
      </w:r>
    </w:p>
    <w:p w:rsidR="00C0100D" w:rsidRPr="00B04DC3" w:rsidRDefault="00C0100D" w:rsidP="009233F2">
      <w:pPr>
        <w:pStyle w:val="para"/>
        <w:tabs>
          <w:tab w:val="left" w:pos="1134"/>
          <w:tab w:val="left" w:pos="2268"/>
          <w:tab w:val="right" w:leader="dot" w:pos="8505"/>
        </w:tabs>
        <w:rPr>
          <w:lang w:val="en-GB"/>
        </w:rPr>
      </w:pPr>
      <w:r w:rsidRPr="00B04DC3">
        <w:rPr>
          <w:lang w:val="en-GB"/>
        </w:rPr>
        <w:t>3.</w:t>
      </w:r>
      <w:r w:rsidRPr="00B04DC3">
        <w:rPr>
          <w:lang w:val="en-GB"/>
        </w:rPr>
        <w:tab/>
        <w:t>Volume of exhaust system:</w:t>
      </w:r>
      <w:r w:rsidRPr="00B04DC3">
        <w:rPr>
          <w:lang w:val="en-GB"/>
        </w:rPr>
        <w:tab/>
        <w:t>cm³</w:t>
      </w:r>
    </w:p>
    <w:p w:rsidR="00C0100D" w:rsidRPr="00B04DC3" w:rsidRDefault="00C0100D" w:rsidP="009233F2">
      <w:pPr>
        <w:pStyle w:val="para"/>
        <w:tabs>
          <w:tab w:val="left" w:pos="1134"/>
          <w:tab w:val="left" w:pos="2268"/>
          <w:tab w:val="right" w:leader="dot" w:pos="8505"/>
        </w:tabs>
        <w:rPr>
          <w:lang w:val="en-GB"/>
        </w:rPr>
      </w:pPr>
      <w:r w:rsidRPr="00B04DC3">
        <w:rPr>
          <w:lang w:val="en-GB"/>
        </w:rPr>
        <w:t>4.</w:t>
      </w:r>
      <w:r w:rsidRPr="00B04DC3">
        <w:rPr>
          <w:lang w:val="en-GB"/>
        </w:rPr>
        <w:tab/>
        <w:t>Power absorbed by the engine-driven auxiliaries as specified in and under the operation conditions of Regulation No. 24, 03 series of amendments, Annex 10, paragraph 5.1.1.</w:t>
      </w:r>
      <w:r w:rsidRPr="00B04DC3">
        <w:rPr>
          <w:vertAlign w:val="superscript"/>
          <w:lang w:val="en-GB"/>
        </w:rPr>
        <w:footnoteReference w:id="25"/>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728"/>
        <w:gridCol w:w="826"/>
        <w:gridCol w:w="867"/>
        <w:gridCol w:w="854"/>
        <w:gridCol w:w="882"/>
        <w:gridCol w:w="812"/>
        <w:gridCol w:w="1085"/>
      </w:tblGrid>
      <w:tr w:rsidR="00BB784C" w:rsidRPr="00B04DC3">
        <w:trPr>
          <w:cantSplit/>
        </w:trPr>
        <w:tc>
          <w:tcPr>
            <w:tcW w:w="2877" w:type="dxa"/>
            <w:vMerge w:val="restart"/>
          </w:tcPr>
          <w:p w:rsidR="00BB784C" w:rsidRPr="00B04DC3" w:rsidRDefault="00BB784C" w:rsidP="00BB784C">
            <w:pPr>
              <w:spacing w:before="80" w:after="80" w:line="200" w:lineRule="exact"/>
              <w:jc w:val="center"/>
              <w:rPr>
                <w:i/>
                <w:sz w:val="16"/>
                <w:szCs w:val="16"/>
              </w:rPr>
            </w:pPr>
            <w:r w:rsidRPr="00B04DC3">
              <w:rPr>
                <w:i/>
                <w:sz w:val="16"/>
                <w:szCs w:val="16"/>
              </w:rPr>
              <w:t>Equipment</w:t>
            </w:r>
          </w:p>
          <w:p w:rsidR="00BB784C" w:rsidRPr="00B04DC3" w:rsidRDefault="00BB784C" w:rsidP="00BB784C">
            <w:pPr>
              <w:spacing w:before="80" w:after="80" w:line="200" w:lineRule="exact"/>
              <w:jc w:val="center"/>
              <w:rPr>
                <w:i/>
                <w:sz w:val="16"/>
                <w:szCs w:val="16"/>
              </w:rPr>
            </w:pPr>
            <w:r w:rsidRPr="00B04DC3">
              <w:rPr>
                <w:i/>
                <w:sz w:val="16"/>
                <w:szCs w:val="16"/>
              </w:rPr>
              <w:t>P(a)</w:t>
            </w:r>
          </w:p>
        </w:tc>
        <w:tc>
          <w:tcPr>
            <w:tcW w:w="6054" w:type="dxa"/>
            <w:gridSpan w:val="7"/>
          </w:tcPr>
          <w:p w:rsidR="00BB784C" w:rsidRPr="00B04DC3" w:rsidRDefault="00BB784C" w:rsidP="00BB784C">
            <w:pPr>
              <w:spacing w:before="80" w:after="80" w:line="200" w:lineRule="exact"/>
              <w:jc w:val="center"/>
              <w:rPr>
                <w:i/>
                <w:sz w:val="16"/>
                <w:szCs w:val="16"/>
              </w:rPr>
            </w:pPr>
            <w:r w:rsidRPr="00B04DC3">
              <w:rPr>
                <w:i/>
                <w:sz w:val="16"/>
                <w:szCs w:val="16"/>
              </w:rPr>
              <w:t>Power absorbed (kW) at various engine speeds</w:t>
            </w:r>
          </w:p>
        </w:tc>
      </w:tr>
      <w:tr w:rsidR="00BB784C" w:rsidRPr="00B04DC3" w:rsidTr="00BC714F">
        <w:trPr>
          <w:cantSplit/>
        </w:trPr>
        <w:tc>
          <w:tcPr>
            <w:tcW w:w="2877" w:type="dxa"/>
            <w:vMerge/>
            <w:tcBorders>
              <w:bottom w:val="single" w:sz="12" w:space="0" w:color="auto"/>
            </w:tcBorders>
          </w:tcPr>
          <w:p w:rsidR="00BB784C" w:rsidRPr="00B04DC3" w:rsidRDefault="00BB784C" w:rsidP="00BB784C">
            <w:pPr>
              <w:spacing w:before="80" w:after="80" w:line="200" w:lineRule="exact"/>
              <w:rPr>
                <w:i/>
                <w:sz w:val="16"/>
                <w:szCs w:val="16"/>
              </w:rPr>
            </w:pPr>
          </w:p>
        </w:tc>
        <w:tc>
          <w:tcPr>
            <w:tcW w:w="728" w:type="dxa"/>
            <w:tcBorders>
              <w:bottom w:val="single" w:sz="12" w:space="0" w:color="auto"/>
            </w:tcBorders>
          </w:tcPr>
          <w:p w:rsidR="00BB784C" w:rsidRPr="00B04DC3" w:rsidRDefault="00BB784C" w:rsidP="00BB784C">
            <w:pPr>
              <w:spacing w:before="80" w:after="80" w:line="200" w:lineRule="exact"/>
              <w:jc w:val="center"/>
              <w:rPr>
                <w:i/>
                <w:sz w:val="16"/>
                <w:szCs w:val="16"/>
              </w:rPr>
            </w:pPr>
            <w:r w:rsidRPr="00B04DC3">
              <w:rPr>
                <w:i/>
                <w:sz w:val="16"/>
                <w:szCs w:val="16"/>
              </w:rPr>
              <w:t>Idle</w:t>
            </w:r>
          </w:p>
        </w:tc>
        <w:tc>
          <w:tcPr>
            <w:tcW w:w="826" w:type="dxa"/>
            <w:tcBorders>
              <w:bottom w:val="single" w:sz="12" w:space="0" w:color="auto"/>
            </w:tcBorders>
          </w:tcPr>
          <w:p w:rsidR="00BB784C" w:rsidRPr="00B04DC3" w:rsidRDefault="00BB784C" w:rsidP="006F156B">
            <w:pPr>
              <w:spacing w:before="80" w:after="80" w:line="200" w:lineRule="exact"/>
              <w:jc w:val="center"/>
              <w:rPr>
                <w:i/>
                <w:sz w:val="16"/>
                <w:szCs w:val="16"/>
              </w:rPr>
            </w:pPr>
            <w:r w:rsidRPr="00B04DC3">
              <w:rPr>
                <w:i/>
                <w:sz w:val="16"/>
                <w:szCs w:val="16"/>
              </w:rPr>
              <w:t xml:space="preserve">Low </w:t>
            </w:r>
            <w:r w:rsidR="006F156B">
              <w:rPr>
                <w:i/>
                <w:sz w:val="16"/>
                <w:szCs w:val="16"/>
              </w:rPr>
              <w:t>s</w:t>
            </w:r>
            <w:r w:rsidR="006F156B" w:rsidRPr="00B04DC3">
              <w:rPr>
                <w:i/>
                <w:sz w:val="16"/>
                <w:szCs w:val="16"/>
              </w:rPr>
              <w:t>peed</w:t>
            </w:r>
          </w:p>
        </w:tc>
        <w:tc>
          <w:tcPr>
            <w:tcW w:w="867" w:type="dxa"/>
            <w:tcBorders>
              <w:bottom w:val="single" w:sz="12" w:space="0" w:color="auto"/>
            </w:tcBorders>
          </w:tcPr>
          <w:p w:rsidR="00BB784C" w:rsidRPr="00B04DC3" w:rsidRDefault="00BB784C" w:rsidP="006F156B">
            <w:pPr>
              <w:spacing w:before="80" w:after="80" w:line="200" w:lineRule="exact"/>
              <w:jc w:val="center"/>
              <w:rPr>
                <w:i/>
                <w:sz w:val="16"/>
                <w:szCs w:val="16"/>
              </w:rPr>
            </w:pPr>
            <w:r w:rsidRPr="00B04DC3">
              <w:rPr>
                <w:i/>
                <w:sz w:val="16"/>
                <w:szCs w:val="16"/>
              </w:rPr>
              <w:t xml:space="preserve">High </w:t>
            </w:r>
            <w:r w:rsidR="006F156B">
              <w:rPr>
                <w:i/>
                <w:sz w:val="16"/>
                <w:szCs w:val="16"/>
              </w:rPr>
              <w:t>s</w:t>
            </w:r>
            <w:r w:rsidR="006F156B" w:rsidRPr="00B04DC3">
              <w:rPr>
                <w:i/>
                <w:sz w:val="16"/>
                <w:szCs w:val="16"/>
              </w:rPr>
              <w:t>peed</w:t>
            </w:r>
          </w:p>
        </w:tc>
        <w:tc>
          <w:tcPr>
            <w:tcW w:w="854" w:type="dxa"/>
            <w:tcBorders>
              <w:bottom w:val="single" w:sz="12" w:space="0" w:color="auto"/>
            </w:tcBorders>
          </w:tcPr>
          <w:p w:rsidR="00BB784C" w:rsidRPr="00B04DC3" w:rsidRDefault="00BB784C" w:rsidP="00BB784C">
            <w:pPr>
              <w:spacing w:before="80" w:after="80" w:line="200" w:lineRule="exact"/>
              <w:jc w:val="center"/>
              <w:rPr>
                <w:i/>
                <w:sz w:val="16"/>
                <w:szCs w:val="16"/>
              </w:rPr>
            </w:pPr>
            <w:r w:rsidRPr="00B04DC3">
              <w:rPr>
                <w:i/>
                <w:sz w:val="16"/>
                <w:szCs w:val="16"/>
              </w:rPr>
              <w:t>Speed A</w:t>
            </w:r>
            <w:r w:rsidR="000777AB" w:rsidRPr="00B04DC3">
              <w:rPr>
                <w:i/>
                <w:sz w:val="16"/>
                <w:szCs w:val="16"/>
              </w:rPr>
              <w:t xml:space="preserve"> </w:t>
            </w:r>
            <w:r w:rsidRPr="00B04DC3">
              <w:rPr>
                <w:i/>
                <w:sz w:val="16"/>
                <w:szCs w:val="16"/>
                <w:vertAlign w:val="superscript"/>
              </w:rPr>
              <w:t>a</w:t>
            </w:r>
          </w:p>
        </w:tc>
        <w:tc>
          <w:tcPr>
            <w:tcW w:w="882" w:type="dxa"/>
            <w:tcBorders>
              <w:bottom w:val="single" w:sz="12" w:space="0" w:color="auto"/>
            </w:tcBorders>
          </w:tcPr>
          <w:p w:rsidR="00BB784C" w:rsidRPr="00B04DC3" w:rsidRDefault="00EC3DEF" w:rsidP="00BB784C">
            <w:pPr>
              <w:spacing w:before="80" w:after="80" w:line="200" w:lineRule="exact"/>
              <w:jc w:val="center"/>
              <w:rPr>
                <w:i/>
                <w:sz w:val="16"/>
                <w:szCs w:val="16"/>
              </w:rPr>
            </w:pPr>
            <w:r w:rsidRPr="00B04DC3">
              <w:rPr>
                <w:i/>
                <w:sz w:val="16"/>
                <w:szCs w:val="16"/>
              </w:rPr>
              <w:t>Speed B</w:t>
            </w:r>
            <w:r w:rsidR="000777AB" w:rsidRPr="00B04DC3">
              <w:rPr>
                <w:i/>
                <w:sz w:val="16"/>
                <w:szCs w:val="16"/>
              </w:rPr>
              <w:t xml:space="preserve"> </w:t>
            </w:r>
            <w:r w:rsidR="00BB784C" w:rsidRPr="00B04DC3">
              <w:rPr>
                <w:i/>
                <w:sz w:val="16"/>
                <w:szCs w:val="16"/>
                <w:vertAlign w:val="superscript"/>
              </w:rPr>
              <w:t>a</w:t>
            </w:r>
          </w:p>
        </w:tc>
        <w:tc>
          <w:tcPr>
            <w:tcW w:w="812" w:type="dxa"/>
            <w:tcBorders>
              <w:bottom w:val="single" w:sz="12" w:space="0" w:color="auto"/>
            </w:tcBorders>
          </w:tcPr>
          <w:p w:rsidR="00BB784C" w:rsidRPr="00B04DC3" w:rsidRDefault="00BB784C" w:rsidP="000777AB">
            <w:pPr>
              <w:spacing w:before="80" w:after="80" w:line="200" w:lineRule="exact"/>
              <w:ind w:right="-95"/>
              <w:jc w:val="center"/>
              <w:rPr>
                <w:i/>
                <w:sz w:val="16"/>
                <w:szCs w:val="16"/>
              </w:rPr>
            </w:pPr>
            <w:r w:rsidRPr="00B04DC3">
              <w:rPr>
                <w:i/>
                <w:sz w:val="16"/>
                <w:szCs w:val="16"/>
              </w:rPr>
              <w:t>Speed</w:t>
            </w:r>
            <w:r w:rsidR="00EC3DEF" w:rsidRPr="00B04DC3">
              <w:rPr>
                <w:i/>
                <w:sz w:val="16"/>
                <w:szCs w:val="16"/>
              </w:rPr>
              <w:t xml:space="preserve"> C</w:t>
            </w:r>
            <w:r w:rsidR="000777AB" w:rsidRPr="00B04DC3">
              <w:rPr>
                <w:i/>
                <w:sz w:val="16"/>
                <w:szCs w:val="16"/>
              </w:rPr>
              <w:t xml:space="preserve"> </w:t>
            </w:r>
            <w:r w:rsidRPr="00B04DC3">
              <w:rPr>
                <w:i/>
                <w:sz w:val="16"/>
                <w:szCs w:val="16"/>
                <w:vertAlign w:val="superscript"/>
              </w:rPr>
              <w:t>a</w:t>
            </w:r>
          </w:p>
        </w:tc>
        <w:tc>
          <w:tcPr>
            <w:tcW w:w="1085" w:type="dxa"/>
            <w:tcBorders>
              <w:bottom w:val="single" w:sz="12" w:space="0" w:color="auto"/>
            </w:tcBorders>
          </w:tcPr>
          <w:p w:rsidR="00BB784C" w:rsidRPr="00B04DC3" w:rsidRDefault="00BB784C" w:rsidP="006F156B">
            <w:pPr>
              <w:spacing w:before="80" w:after="80" w:line="200" w:lineRule="exact"/>
              <w:jc w:val="center"/>
              <w:rPr>
                <w:i/>
                <w:sz w:val="16"/>
                <w:szCs w:val="16"/>
              </w:rPr>
            </w:pPr>
            <w:r w:rsidRPr="00B04DC3">
              <w:rPr>
                <w:i/>
                <w:sz w:val="16"/>
                <w:szCs w:val="16"/>
              </w:rPr>
              <w:t xml:space="preserve">Ref. </w:t>
            </w:r>
            <w:r w:rsidR="006F156B">
              <w:rPr>
                <w:i/>
                <w:sz w:val="16"/>
                <w:szCs w:val="16"/>
              </w:rPr>
              <w:t>s</w:t>
            </w:r>
            <w:r w:rsidR="006F156B" w:rsidRPr="00B04DC3">
              <w:rPr>
                <w:i/>
                <w:sz w:val="16"/>
                <w:szCs w:val="16"/>
              </w:rPr>
              <w:t xml:space="preserve">peed </w:t>
            </w:r>
            <w:r w:rsidRPr="00B04DC3">
              <w:rPr>
                <w:i/>
                <w:sz w:val="16"/>
                <w:szCs w:val="16"/>
                <w:vertAlign w:val="superscript"/>
              </w:rPr>
              <w:t>b</w:t>
            </w:r>
          </w:p>
        </w:tc>
      </w:tr>
      <w:tr w:rsidR="00C0100D" w:rsidRPr="00B04DC3" w:rsidTr="00BC714F">
        <w:tc>
          <w:tcPr>
            <w:tcW w:w="2877" w:type="dxa"/>
            <w:tcBorders>
              <w:top w:val="single" w:sz="12" w:space="0" w:color="auto"/>
              <w:bottom w:val="single" w:sz="12" w:space="0" w:color="auto"/>
            </w:tcBorders>
          </w:tcPr>
          <w:p w:rsidR="00C0100D" w:rsidRPr="00B04DC3" w:rsidRDefault="00C0100D" w:rsidP="00BB784C">
            <w:pPr>
              <w:spacing w:after="120"/>
            </w:pPr>
            <w:r w:rsidRPr="00B04DC3">
              <w:t>Engine-driven auxiliaries</w:t>
            </w:r>
          </w:p>
          <w:p w:rsidR="00C0100D" w:rsidRPr="00B04DC3" w:rsidRDefault="00C0100D" w:rsidP="00C0100D">
            <w:r w:rsidRPr="00B04DC3">
              <w:t>See paragraph 5.1.1. of Regulation No. 24</w:t>
            </w:r>
            <w:r w:rsidR="001A1FEB">
              <w:rPr>
                <w:spacing w:val="-2"/>
              </w:rPr>
              <w:t>, 03 series of amendments</w:t>
            </w:r>
            <w:r w:rsidRPr="00B04DC3">
              <w:t>, Annex 10.</w:t>
            </w:r>
          </w:p>
          <w:p w:rsidR="00C0100D" w:rsidRPr="00B04DC3" w:rsidRDefault="00C0100D" w:rsidP="00C0100D"/>
        </w:tc>
        <w:tc>
          <w:tcPr>
            <w:tcW w:w="728" w:type="dxa"/>
            <w:tcBorders>
              <w:top w:val="single" w:sz="12" w:space="0" w:color="auto"/>
              <w:bottom w:val="single" w:sz="12" w:space="0" w:color="auto"/>
            </w:tcBorders>
          </w:tcPr>
          <w:p w:rsidR="00C0100D" w:rsidRPr="00B04DC3" w:rsidRDefault="00C0100D" w:rsidP="00C0100D"/>
        </w:tc>
        <w:tc>
          <w:tcPr>
            <w:tcW w:w="826" w:type="dxa"/>
            <w:tcBorders>
              <w:top w:val="single" w:sz="12" w:space="0" w:color="auto"/>
              <w:bottom w:val="single" w:sz="12" w:space="0" w:color="auto"/>
            </w:tcBorders>
          </w:tcPr>
          <w:p w:rsidR="00C0100D" w:rsidRPr="00B04DC3" w:rsidRDefault="00C0100D" w:rsidP="00C0100D"/>
        </w:tc>
        <w:tc>
          <w:tcPr>
            <w:tcW w:w="867" w:type="dxa"/>
            <w:tcBorders>
              <w:top w:val="single" w:sz="12" w:space="0" w:color="auto"/>
              <w:bottom w:val="single" w:sz="12" w:space="0" w:color="auto"/>
            </w:tcBorders>
          </w:tcPr>
          <w:p w:rsidR="00C0100D" w:rsidRPr="00B04DC3" w:rsidRDefault="00C0100D" w:rsidP="00C0100D"/>
        </w:tc>
        <w:tc>
          <w:tcPr>
            <w:tcW w:w="854" w:type="dxa"/>
            <w:tcBorders>
              <w:top w:val="single" w:sz="12" w:space="0" w:color="auto"/>
              <w:bottom w:val="single" w:sz="12" w:space="0" w:color="auto"/>
            </w:tcBorders>
          </w:tcPr>
          <w:p w:rsidR="00C0100D" w:rsidRPr="00B04DC3" w:rsidRDefault="00C0100D" w:rsidP="00C0100D"/>
        </w:tc>
        <w:tc>
          <w:tcPr>
            <w:tcW w:w="882" w:type="dxa"/>
            <w:tcBorders>
              <w:top w:val="single" w:sz="12" w:space="0" w:color="auto"/>
              <w:bottom w:val="single" w:sz="12" w:space="0" w:color="auto"/>
            </w:tcBorders>
          </w:tcPr>
          <w:p w:rsidR="00C0100D" w:rsidRPr="00B04DC3" w:rsidRDefault="00C0100D" w:rsidP="00C0100D"/>
        </w:tc>
        <w:tc>
          <w:tcPr>
            <w:tcW w:w="812" w:type="dxa"/>
            <w:tcBorders>
              <w:top w:val="single" w:sz="12" w:space="0" w:color="auto"/>
              <w:bottom w:val="single" w:sz="12" w:space="0" w:color="auto"/>
            </w:tcBorders>
          </w:tcPr>
          <w:p w:rsidR="00C0100D" w:rsidRPr="00B04DC3" w:rsidRDefault="00C0100D" w:rsidP="00C0100D"/>
        </w:tc>
        <w:tc>
          <w:tcPr>
            <w:tcW w:w="1085" w:type="dxa"/>
            <w:tcBorders>
              <w:top w:val="single" w:sz="12" w:space="0" w:color="auto"/>
              <w:bottom w:val="single" w:sz="12" w:space="0" w:color="auto"/>
            </w:tcBorders>
          </w:tcPr>
          <w:p w:rsidR="00C0100D" w:rsidRPr="00B04DC3" w:rsidRDefault="00C0100D" w:rsidP="00C0100D"/>
        </w:tc>
      </w:tr>
      <w:tr w:rsidR="00C0100D" w:rsidRPr="00B04DC3" w:rsidTr="00BC714F">
        <w:trPr>
          <w:cantSplit/>
        </w:trPr>
        <w:tc>
          <w:tcPr>
            <w:tcW w:w="8931" w:type="dxa"/>
            <w:gridSpan w:val="8"/>
            <w:tcBorders>
              <w:top w:val="single" w:sz="12" w:space="0" w:color="auto"/>
              <w:left w:val="nil"/>
              <w:bottom w:val="nil"/>
              <w:right w:val="nil"/>
            </w:tcBorders>
          </w:tcPr>
          <w:p w:rsidR="00C0100D" w:rsidRPr="00B04DC3" w:rsidRDefault="00BB784C" w:rsidP="00C0100D">
            <w:pPr>
              <w:ind w:left="425" w:hanging="425"/>
            </w:pPr>
            <w:r w:rsidRPr="00B04DC3">
              <w:rPr>
                <w:i/>
                <w:vertAlign w:val="superscript"/>
              </w:rPr>
              <w:t>a</w:t>
            </w:r>
            <w:r w:rsidRPr="00B04DC3">
              <w:rPr>
                <w:vertAlign w:val="superscript"/>
              </w:rPr>
              <w:t xml:space="preserve"> </w:t>
            </w:r>
            <w:r w:rsidRPr="00B04DC3">
              <w:t xml:space="preserve"> </w:t>
            </w:r>
            <w:r w:rsidR="00C0100D" w:rsidRPr="00B04DC3">
              <w:t>ESC test.</w:t>
            </w:r>
          </w:p>
          <w:p w:rsidR="00C0100D" w:rsidRPr="00B04DC3" w:rsidRDefault="00C0100D" w:rsidP="00C0100D">
            <w:pPr>
              <w:ind w:left="425" w:hanging="425"/>
            </w:pPr>
            <w:r w:rsidRPr="00B04DC3">
              <w:rPr>
                <w:i/>
                <w:vertAlign w:val="superscript"/>
              </w:rPr>
              <w:t>b</w:t>
            </w:r>
            <w:r w:rsidR="00BB784C" w:rsidRPr="00B04DC3">
              <w:rPr>
                <w:vertAlign w:val="superscript"/>
              </w:rPr>
              <w:t xml:space="preserve">  </w:t>
            </w:r>
            <w:r w:rsidRPr="00B04DC3">
              <w:t>ETC test only.</w:t>
            </w:r>
          </w:p>
        </w:tc>
      </w:tr>
    </w:tbl>
    <w:p w:rsidR="00C0100D" w:rsidRPr="00B04DC3" w:rsidRDefault="00C0100D" w:rsidP="00C0100D">
      <w:pPr>
        <w:pStyle w:val="SectionTitle"/>
        <w:spacing w:before="0" w:after="0"/>
        <w:rPr>
          <w:snapToGrid w:val="0"/>
        </w:rPr>
        <w:sectPr w:rsidR="00C0100D" w:rsidRPr="00B04DC3" w:rsidSect="002A4563">
          <w:headerReference w:type="even" r:id="rId79"/>
          <w:headerReference w:type="default" r:id="rId80"/>
          <w:footerReference w:type="even" r:id="rId81"/>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66675C" w:rsidP="0066675C">
      <w:pPr>
        <w:pStyle w:val="HChG"/>
      </w:pPr>
      <w:bookmarkStart w:id="147" w:name="_Toc423599496"/>
      <w:bookmarkStart w:id="148" w:name="_Toc423610904"/>
      <w:r w:rsidRPr="00B04DC3">
        <w:t>Annex 1</w:t>
      </w:r>
      <w:r w:rsidR="0075426D">
        <w:t xml:space="preserve"> - </w:t>
      </w:r>
      <w:r w:rsidR="00C0100D" w:rsidRPr="00B04DC3">
        <w:t>Appendix 5</w:t>
      </w:r>
      <w:bookmarkEnd w:id="147"/>
      <w:bookmarkEnd w:id="148"/>
    </w:p>
    <w:p w:rsidR="00C0100D" w:rsidRPr="00B04DC3" w:rsidRDefault="0066675C" w:rsidP="0066675C">
      <w:pPr>
        <w:pStyle w:val="HChG"/>
        <w:rPr>
          <w:bCs/>
        </w:rPr>
      </w:pPr>
      <w:r w:rsidRPr="00B04DC3">
        <w:rPr>
          <w:bCs/>
        </w:rPr>
        <w:tab/>
      </w:r>
      <w:r w:rsidRPr="00B04DC3">
        <w:rPr>
          <w:bCs/>
        </w:rPr>
        <w:tab/>
      </w:r>
      <w:bookmarkStart w:id="149" w:name="_Toc423599497"/>
      <w:bookmarkStart w:id="150" w:name="_Toc423610905"/>
      <w:r w:rsidR="00C0100D" w:rsidRPr="00B04DC3">
        <w:rPr>
          <w:bCs/>
        </w:rPr>
        <w:t>OBD-</w:t>
      </w:r>
      <w:r w:rsidRPr="00B04DC3">
        <w:rPr>
          <w:bCs/>
        </w:rPr>
        <w:t>related information</w:t>
      </w:r>
      <w:bookmarkEnd w:id="149"/>
      <w:bookmarkEnd w:id="150"/>
    </w:p>
    <w:p w:rsidR="00C0100D" w:rsidRPr="00B04DC3" w:rsidRDefault="00C0100D" w:rsidP="005249D2">
      <w:pPr>
        <w:pStyle w:val="para"/>
        <w:rPr>
          <w:lang w:val="en-GB"/>
        </w:rPr>
      </w:pPr>
      <w:r w:rsidRPr="00B04DC3">
        <w:rPr>
          <w:lang w:val="en-GB"/>
        </w:rPr>
        <w:t>1.</w:t>
      </w:r>
      <w:r w:rsidRPr="00B04DC3">
        <w:rPr>
          <w:lang w:val="en-GB"/>
        </w:rPr>
        <w:tab/>
        <w:t>In accordance with the provisions of paragraph 5. of Annex 9A to this Regulation, the following additional information shall be provided by the vehicle manufacturer for the purposes of enabling the manufacture of OBD-compatible replacement or service parts and diagnostic tools and test equipment, unless such information is covered by intellectual property rights or constitutes specific know-how of the manufacturer or the supplier(s)</w:t>
      </w:r>
      <w:r w:rsidR="00401E79" w:rsidRPr="00B04DC3">
        <w:rPr>
          <w:lang w:val="en-GB"/>
        </w:rPr>
        <w:t xml:space="preserve">. </w:t>
      </w:r>
      <w:r w:rsidRPr="00B04DC3">
        <w:rPr>
          <w:lang w:val="en-GB"/>
        </w:rPr>
        <w:t>The information given in this paragraph shall be repeated in Annex 2A to this Regulation:</w:t>
      </w:r>
    </w:p>
    <w:p w:rsidR="00C0100D" w:rsidRPr="00B04DC3" w:rsidRDefault="00C0100D" w:rsidP="005249D2">
      <w:pPr>
        <w:pStyle w:val="para"/>
        <w:rPr>
          <w:lang w:val="en-GB"/>
        </w:rPr>
      </w:pPr>
      <w:r w:rsidRPr="00B04DC3">
        <w:rPr>
          <w:lang w:val="en-GB"/>
        </w:rPr>
        <w:t>1.1.</w:t>
      </w:r>
      <w:r w:rsidRPr="00B04DC3">
        <w:rPr>
          <w:lang w:val="en-GB"/>
        </w:rPr>
        <w:tab/>
        <w:t>A description of the type and number of the pre-conditioning cycles used for the original type approval of the vehicle.</w:t>
      </w:r>
    </w:p>
    <w:p w:rsidR="00C0100D" w:rsidRPr="00B04DC3" w:rsidRDefault="00C0100D" w:rsidP="005249D2">
      <w:pPr>
        <w:pStyle w:val="para"/>
        <w:rPr>
          <w:lang w:val="en-GB"/>
        </w:rPr>
      </w:pPr>
      <w:r w:rsidRPr="00B04DC3">
        <w:rPr>
          <w:lang w:val="en-GB"/>
        </w:rPr>
        <w:t>1.2.</w:t>
      </w:r>
      <w:r w:rsidRPr="00B04DC3">
        <w:rPr>
          <w:lang w:val="en-GB"/>
        </w:rPr>
        <w:tab/>
        <w:t>A description of the type of the OBD demonstration cycle used for the original approval of the vehicle for the component monitored by the OBD system.</w:t>
      </w:r>
    </w:p>
    <w:p w:rsidR="00C0100D" w:rsidRPr="00B04DC3" w:rsidRDefault="00C0100D" w:rsidP="005249D2">
      <w:pPr>
        <w:pStyle w:val="para"/>
        <w:rPr>
          <w:lang w:val="en-GB"/>
        </w:rPr>
      </w:pPr>
      <w:r w:rsidRPr="00B04DC3">
        <w:rPr>
          <w:lang w:val="en-GB"/>
        </w:rPr>
        <w:t>1.3.</w:t>
      </w:r>
      <w:r w:rsidRPr="00B04DC3">
        <w:rPr>
          <w:lang w:val="en-GB"/>
        </w:rPr>
        <w:tab/>
        <w:t>A comprehensive document describing all sensed components with the strategy for fault detection and MI activation (fixed number of driving cycles or statistical method), including a list of relevant secondary sensed parameters for each component monitored by the OBD system</w:t>
      </w:r>
      <w:r w:rsidR="00401E79" w:rsidRPr="00B04DC3">
        <w:rPr>
          <w:lang w:val="en-GB"/>
        </w:rPr>
        <w:t xml:space="preserve">. </w:t>
      </w:r>
      <w:r w:rsidRPr="00B04DC3">
        <w:rPr>
          <w:lang w:val="en-GB"/>
        </w:rPr>
        <w:t>A list of all OBD output codes and format used (with an explanation of each) associated with individual emission related powertrain components and individual non-emission related components, where monitoring of the component is used to determine MI activation.</w:t>
      </w:r>
    </w:p>
    <w:p w:rsidR="00C0100D" w:rsidRPr="00B04DC3" w:rsidRDefault="00C0100D" w:rsidP="005249D2">
      <w:pPr>
        <w:pStyle w:val="para"/>
        <w:rPr>
          <w:lang w:val="en-GB"/>
        </w:rPr>
      </w:pPr>
      <w:r w:rsidRPr="00B04DC3">
        <w:rPr>
          <w:lang w:val="en-GB"/>
        </w:rPr>
        <w:t>1.3.1.</w:t>
      </w:r>
      <w:r w:rsidRPr="00B04DC3">
        <w:rPr>
          <w:lang w:val="en-GB"/>
        </w:rPr>
        <w:tab/>
        <w:t xml:space="preserve">The information required by this paragraph may, for example, be defined by completing a table as follows which shall be attached to </w:t>
      </w:r>
      <w:r w:rsidR="00242FEC">
        <w:rPr>
          <w:lang w:val="en-GB"/>
        </w:rPr>
        <w:t>the information document</w:t>
      </w:r>
      <w:r w:rsidRPr="00B04DC3">
        <w:rPr>
          <w:lang w:val="en-GB"/>
        </w:rPr>
        <w:t>:</w:t>
      </w:r>
    </w:p>
    <w:tbl>
      <w:tblPr>
        <w:tblW w:w="0" w:type="auto"/>
        <w:jc w:val="center"/>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2"/>
        <w:gridCol w:w="742"/>
        <w:gridCol w:w="1162"/>
        <w:gridCol w:w="1218"/>
        <w:gridCol w:w="969"/>
        <w:gridCol w:w="1400"/>
        <w:gridCol w:w="1242"/>
        <w:gridCol w:w="1190"/>
      </w:tblGrid>
      <w:tr w:rsidR="00C0100D" w:rsidRPr="00B04DC3">
        <w:trPr>
          <w:jc w:val="center"/>
        </w:trPr>
        <w:tc>
          <w:tcPr>
            <w:tcW w:w="1302"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Component</w:t>
            </w:r>
          </w:p>
        </w:tc>
        <w:tc>
          <w:tcPr>
            <w:tcW w:w="742"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Fault code</w:t>
            </w:r>
          </w:p>
        </w:tc>
        <w:tc>
          <w:tcPr>
            <w:tcW w:w="1162"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Monitoring strategy</w:t>
            </w:r>
          </w:p>
        </w:tc>
        <w:tc>
          <w:tcPr>
            <w:tcW w:w="1218"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Fault detection criteria</w:t>
            </w:r>
          </w:p>
        </w:tc>
        <w:tc>
          <w:tcPr>
            <w:tcW w:w="969"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MI activation criteria</w:t>
            </w:r>
          </w:p>
        </w:tc>
        <w:tc>
          <w:tcPr>
            <w:tcW w:w="1400" w:type="dxa"/>
            <w:vAlign w:val="center"/>
          </w:tcPr>
          <w:p w:rsidR="00C0100D" w:rsidRPr="00B04DC3" w:rsidRDefault="00C0100D" w:rsidP="00EC3DEF">
            <w:pPr>
              <w:keepNext/>
              <w:keepLines/>
              <w:spacing w:before="80" w:after="80" w:line="200" w:lineRule="atLeast"/>
              <w:rPr>
                <w:i/>
                <w:sz w:val="16"/>
                <w:szCs w:val="16"/>
              </w:rPr>
            </w:pPr>
            <w:r w:rsidRPr="00B04DC3">
              <w:rPr>
                <w:i/>
                <w:sz w:val="16"/>
                <w:szCs w:val="16"/>
              </w:rPr>
              <w:t>Secondary parameters</w:t>
            </w:r>
          </w:p>
        </w:tc>
        <w:tc>
          <w:tcPr>
            <w:tcW w:w="1242" w:type="dxa"/>
            <w:vAlign w:val="center"/>
          </w:tcPr>
          <w:p w:rsidR="00C0100D" w:rsidRPr="00B04DC3" w:rsidRDefault="005249D2" w:rsidP="00EC3DEF">
            <w:pPr>
              <w:keepNext/>
              <w:keepLines/>
              <w:spacing w:before="80" w:after="80" w:line="200" w:lineRule="atLeast"/>
              <w:ind w:left="-72"/>
              <w:rPr>
                <w:i/>
                <w:sz w:val="16"/>
                <w:szCs w:val="16"/>
              </w:rPr>
            </w:pPr>
            <w:r w:rsidRPr="00B04DC3">
              <w:rPr>
                <w:i/>
                <w:sz w:val="16"/>
                <w:szCs w:val="16"/>
              </w:rPr>
              <w:t>Precondi</w:t>
            </w:r>
            <w:r w:rsidR="00C0100D" w:rsidRPr="00B04DC3">
              <w:rPr>
                <w:i/>
                <w:sz w:val="16"/>
                <w:szCs w:val="16"/>
              </w:rPr>
              <w:t>tioning</w:t>
            </w:r>
          </w:p>
        </w:tc>
        <w:tc>
          <w:tcPr>
            <w:tcW w:w="1190" w:type="dxa"/>
            <w:vAlign w:val="center"/>
          </w:tcPr>
          <w:p w:rsidR="00C0100D" w:rsidRPr="00B04DC3" w:rsidRDefault="005249D2" w:rsidP="00EC3DEF">
            <w:pPr>
              <w:keepNext/>
              <w:keepLines/>
              <w:spacing w:before="80" w:after="80" w:line="200" w:lineRule="atLeast"/>
              <w:rPr>
                <w:i/>
                <w:sz w:val="16"/>
                <w:szCs w:val="16"/>
              </w:rPr>
            </w:pPr>
            <w:r w:rsidRPr="00B04DC3">
              <w:rPr>
                <w:i/>
                <w:sz w:val="16"/>
                <w:szCs w:val="16"/>
              </w:rPr>
              <w:t>Demon</w:t>
            </w:r>
            <w:r w:rsidR="00C0100D" w:rsidRPr="00B04DC3">
              <w:rPr>
                <w:i/>
                <w:sz w:val="16"/>
                <w:szCs w:val="16"/>
              </w:rPr>
              <w:t>stration test</w:t>
            </w:r>
          </w:p>
        </w:tc>
      </w:tr>
      <w:tr w:rsidR="00C0100D" w:rsidRPr="00B04DC3" w:rsidTr="0075426D">
        <w:trPr>
          <w:jc w:val="center"/>
        </w:trPr>
        <w:tc>
          <w:tcPr>
            <w:tcW w:w="1302" w:type="dxa"/>
            <w:tcBorders>
              <w:top w:val="single" w:sz="12" w:space="0" w:color="auto"/>
              <w:bottom w:val="single" w:sz="12" w:space="0" w:color="auto"/>
            </w:tcBorders>
            <w:vAlign w:val="center"/>
          </w:tcPr>
          <w:p w:rsidR="00C0100D" w:rsidRPr="00B04DC3" w:rsidRDefault="00C0100D" w:rsidP="005249D2">
            <w:pPr>
              <w:keepNext/>
              <w:keepLines/>
              <w:spacing w:before="40" w:after="120"/>
              <w:ind w:left="-145" w:firstLine="145"/>
            </w:pPr>
            <w:r w:rsidRPr="00B04DC3">
              <w:t>SCR catalyst</w:t>
            </w:r>
          </w:p>
        </w:tc>
        <w:tc>
          <w:tcPr>
            <w:tcW w:w="742"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Pxxxx</w:t>
            </w:r>
          </w:p>
        </w:tc>
        <w:tc>
          <w:tcPr>
            <w:tcW w:w="1162"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NO</w:t>
            </w:r>
            <w:r w:rsidRPr="00B04DC3">
              <w:rPr>
                <w:vertAlign w:val="subscript"/>
              </w:rPr>
              <w:t>x</w:t>
            </w:r>
            <w:r w:rsidRPr="00B04DC3">
              <w:t xml:space="preserve"> sensor 1 and 2 signals</w:t>
            </w:r>
          </w:p>
        </w:tc>
        <w:tc>
          <w:tcPr>
            <w:tcW w:w="1218"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Difference between sensor 1 and sensor 2 signals</w:t>
            </w:r>
          </w:p>
        </w:tc>
        <w:tc>
          <w:tcPr>
            <w:tcW w:w="969"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3</w:t>
            </w:r>
            <w:r w:rsidRPr="00B04DC3">
              <w:rPr>
                <w:vertAlign w:val="superscript"/>
              </w:rPr>
              <w:t>rd</w:t>
            </w:r>
            <w:r w:rsidRPr="00B04DC3">
              <w:t xml:space="preserve"> cycle</w:t>
            </w:r>
          </w:p>
        </w:tc>
        <w:tc>
          <w:tcPr>
            <w:tcW w:w="1400"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Engine speed, engine load, catalyst temperature, reagent activity</w:t>
            </w:r>
          </w:p>
        </w:tc>
        <w:tc>
          <w:tcPr>
            <w:tcW w:w="1242"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Three OBD test cycles (3 short ESC cycles)</w:t>
            </w:r>
          </w:p>
        </w:tc>
        <w:tc>
          <w:tcPr>
            <w:tcW w:w="1190" w:type="dxa"/>
            <w:tcBorders>
              <w:top w:val="single" w:sz="12" w:space="0" w:color="auto"/>
              <w:bottom w:val="single" w:sz="12" w:space="0" w:color="auto"/>
            </w:tcBorders>
            <w:vAlign w:val="center"/>
          </w:tcPr>
          <w:p w:rsidR="00C0100D" w:rsidRPr="00B04DC3" w:rsidRDefault="00C0100D" w:rsidP="005249D2">
            <w:pPr>
              <w:keepNext/>
              <w:keepLines/>
              <w:spacing w:before="40" w:after="120"/>
            </w:pPr>
            <w:r w:rsidRPr="00B04DC3">
              <w:t>OBD test cycle (short ESC cycle)</w:t>
            </w:r>
          </w:p>
        </w:tc>
      </w:tr>
    </w:tbl>
    <w:p w:rsidR="00C0100D" w:rsidRPr="00B04DC3" w:rsidRDefault="00C0100D" w:rsidP="005249D2">
      <w:pPr>
        <w:pStyle w:val="para"/>
        <w:spacing w:before="240"/>
        <w:rPr>
          <w:lang w:val="en-GB"/>
        </w:rPr>
      </w:pPr>
      <w:r w:rsidRPr="00B04DC3">
        <w:rPr>
          <w:lang w:val="en-GB"/>
        </w:rPr>
        <w:t>1.3.2.</w:t>
      </w:r>
      <w:r w:rsidRPr="00B04DC3">
        <w:rPr>
          <w:lang w:val="en-GB"/>
        </w:rPr>
        <w:tab/>
        <w:t>The information required by this appendix may be limited to the complete list of the fault codes recorded by the OBD system where paragraph 5.1.2.1. of Annex 9A to this Regulation is not applicable as in the case of replacement or service components</w:t>
      </w:r>
      <w:r w:rsidR="00401E79" w:rsidRPr="00B04DC3">
        <w:rPr>
          <w:lang w:val="en-GB"/>
        </w:rPr>
        <w:t xml:space="preserve">. </w:t>
      </w:r>
      <w:r w:rsidRPr="00B04DC3">
        <w:rPr>
          <w:lang w:val="en-GB"/>
        </w:rPr>
        <w:t>This information may, for example, be defined by completing the two first columns of the table of paragraph 1.3.1. above.</w:t>
      </w:r>
    </w:p>
    <w:p w:rsidR="00C0100D" w:rsidRPr="00B04DC3" w:rsidRDefault="00C0100D" w:rsidP="005249D2">
      <w:pPr>
        <w:pStyle w:val="para"/>
        <w:rPr>
          <w:lang w:val="en-GB"/>
        </w:rPr>
      </w:pPr>
      <w:r w:rsidRPr="00B04DC3">
        <w:rPr>
          <w:lang w:val="en-GB"/>
        </w:rPr>
        <w:tab/>
        <w:t xml:space="preserve">The complete information package should be made available to the </w:t>
      </w:r>
      <w:r w:rsidR="0055021A">
        <w:rPr>
          <w:lang w:val="en-GB"/>
        </w:rPr>
        <w:t xml:space="preserve">Type </w:t>
      </w:r>
      <w:r w:rsidRPr="00B04DC3">
        <w:rPr>
          <w:lang w:val="en-GB"/>
        </w:rPr>
        <w:t>Approval Authority as part of the additional material requested in paragraph 5.1.7.1. "</w:t>
      </w:r>
      <w:r w:rsidR="00EC3DEF" w:rsidRPr="00B04DC3">
        <w:rPr>
          <w:lang w:val="en-GB"/>
        </w:rPr>
        <w:t>Documentation</w:t>
      </w:r>
      <w:r w:rsidRPr="00B04DC3">
        <w:rPr>
          <w:lang w:val="en-GB"/>
        </w:rPr>
        <w:t xml:space="preserve"> requirements" of this Regulation.</w:t>
      </w:r>
    </w:p>
    <w:p w:rsidR="00C0100D" w:rsidRPr="00B04DC3" w:rsidRDefault="00C0100D" w:rsidP="005249D2">
      <w:pPr>
        <w:pStyle w:val="para"/>
        <w:rPr>
          <w:lang w:val="en-GB"/>
        </w:rPr>
      </w:pPr>
      <w:r w:rsidRPr="00B04DC3">
        <w:rPr>
          <w:lang w:val="en-GB"/>
        </w:rPr>
        <w:t>1.3.3.</w:t>
      </w:r>
      <w:r w:rsidRPr="00B04DC3">
        <w:rPr>
          <w:lang w:val="en-GB"/>
        </w:rPr>
        <w:tab/>
        <w:t>The information required by this paragraph shall be repeated in Annex 2A to this Regulation.</w:t>
      </w:r>
    </w:p>
    <w:p w:rsidR="00C0100D" w:rsidRPr="00B04DC3" w:rsidRDefault="00C0100D" w:rsidP="005249D2">
      <w:pPr>
        <w:pStyle w:val="para"/>
        <w:rPr>
          <w:lang w:val="en-GB"/>
        </w:rPr>
      </w:pPr>
      <w:r w:rsidRPr="00B04DC3">
        <w:rPr>
          <w:lang w:val="en-GB"/>
        </w:rPr>
        <w:tab/>
        <w:t>Where paragraph 5.1.2.1. of Annex 9A to this Regulation is not applicable in the case of replacement or service components, the information provided in Annex 2A can be limited to the one mentioned in paragraph 1.3.2.</w:t>
      </w:r>
    </w:p>
    <w:p w:rsidR="00C0100D" w:rsidRPr="00B04DC3" w:rsidRDefault="00C0100D" w:rsidP="00C0100D">
      <w:pPr>
        <w:pStyle w:val="Text1"/>
        <w:tabs>
          <w:tab w:val="left" w:pos="567"/>
          <w:tab w:val="left" w:pos="1134"/>
        </w:tabs>
        <w:spacing w:before="0" w:after="0"/>
        <w:ind w:left="567" w:hanging="567"/>
        <w:rPr>
          <w:snapToGrid w:val="0"/>
        </w:rPr>
      </w:pPr>
    </w:p>
    <w:p w:rsidR="00C0100D" w:rsidRPr="00B04DC3" w:rsidRDefault="00C0100D" w:rsidP="00C0100D">
      <w:pPr>
        <w:rPr>
          <w:snapToGrid w:val="0"/>
        </w:rPr>
        <w:sectPr w:rsidR="00C0100D" w:rsidRPr="00B04DC3" w:rsidSect="002A4563">
          <w:headerReference w:type="even" r:id="rId82"/>
          <w:headerReference w:type="default" r:id="rId83"/>
          <w:footerReference w:type="even" r:id="rId84"/>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C0100D" w:rsidP="00AC44FF">
      <w:pPr>
        <w:pStyle w:val="HChG"/>
      </w:pPr>
      <w:bookmarkStart w:id="151" w:name="_Toc423599498"/>
      <w:bookmarkStart w:id="152" w:name="_Toc423610906"/>
      <w:r w:rsidRPr="00B04DC3">
        <w:t>Annex 2A</w:t>
      </w:r>
      <w:bookmarkEnd w:id="151"/>
      <w:bookmarkEnd w:id="152"/>
    </w:p>
    <w:p w:rsidR="00C0100D" w:rsidRPr="00B04DC3" w:rsidRDefault="00C0100D" w:rsidP="00AC44FF">
      <w:pPr>
        <w:pStyle w:val="HChG"/>
      </w:pPr>
      <w:r w:rsidRPr="00B04DC3">
        <w:tab/>
      </w:r>
      <w:r w:rsidR="00AC44FF" w:rsidRPr="00B04DC3">
        <w:tab/>
      </w:r>
      <w:bookmarkStart w:id="153" w:name="_Toc423599499"/>
      <w:bookmarkStart w:id="154" w:name="_Toc423610907"/>
      <w:r w:rsidR="00AC44FF" w:rsidRPr="00B04DC3">
        <w:t>Communication</w:t>
      </w:r>
      <w:bookmarkEnd w:id="153"/>
      <w:bookmarkEnd w:id="154"/>
    </w:p>
    <w:p w:rsidR="00C0100D" w:rsidRPr="00B04DC3" w:rsidRDefault="00AC44FF" w:rsidP="00AC44FF">
      <w:pPr>
        <w:tabs>
          <w:tab w:val="left" w:pos="1100"/>
          <w:tab w:val="center" w:pos="4734"/>
          <w:tab w:val="left" w:pos="4841"/>
          <w:tab w:val="left" w:pos="5556"/>
          <w:tab w:val="left" w:pos="6276"/>
          <w:tab w:val="left" w:pos="6996"/>
          <w:tab w:val="left" w:pos="7710"/>
          <w:tab w:val="left" w:pos="8430"/>
          <w:tab w:val="left" w:pos="9150"/>
        </w:tabs>
      </w:pPr>
      <w:r w:rsidRPr="00B04DC3">
        <w:tab/>
      </w:r>
      <w:r w:rsidR="00C0100D" w:rsidRPr="00B04DC3">
        <w:t>(</w:t>
      </w:r>
      <w:r w:rsidRPr="00B04DC3">
        <w:t>M</w:t>
      </w:r>
      <w:r w:rsidR="00C0100D" w:rsidRPr="00B04DC3">
        <w:t>aximum format:  A4 (210 x 297 mm))</w:t>
      </w:r>
    </w:p>
    <w:p w:rsidR="00C0100D" w:rsidRPr="00B04DC3" w:rsidRDefault="00C0100D" w:rsidP="00C0100D">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4841"/>
      </w:pPr>
      <w:r w:rsidRPr="00B04DC3">
        <w:t>issued by:</w:t>
      </w:r>
      <w:r w:rsidRPr="00B04DC3">
        <w:tab/>
        <w:t>Name of administration:</w:t>
      </w:r>
    </w:p>
    <w:p w:rsidR="00C0100D" w:rsidRPr="00B04DC3" w:rsidRDefault="00C0100D" w:rsidP="00C0100D">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FE5C96" w:rsidRPr="00B04DC3">
        <w:t>.......</w:t>
      </w:r>
      <w:r w:rsidRPr="00B04DC3">
        <w:t>...............</w:t>
      </w:r>
    </w:p>
    <w:p w:rsidR="00AC44FF" w:rsidRPr="00B04DC3" w:rsidRDefault="00AC44FF" w:rsidP="00AC44FF">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FE5C96" w:rsidRPr="00B04DC3">
        <w:t>.......</w:t>
      </w:r>
      <w:r w:rsidRPr="00B04DC3">
        <w:t>......................</w:t>
      </w:r>
    </w:p>
    <w:p w:rsidR="00AC44FF" w:rsidRPr="00B04DC3" w:rsidRDefault="00AC44FF" w:rsidP="00AC44FF">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FE5C96" w:rsidRPr="00B04DC3">
        <w:t>.......</w:t>
      </w:r>
      <w:r w:rsidRPr="00B04DC3">
        <w:t>.......................</w:t>
      </w:r>
    </w:p>
    <w:p w:rsidR="00AC44FF" w:rsidRPr="00B04DC3" w:rsidRDefault="00AC44FF" w:rsidP="00AC44FF">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rsidR="00C0100D" w:rsidRPr="00B04DC3" w:rsidRDefault="00A905B7" w:rsidP="00AC44FF">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pPr>
      <w:r>
        <w:pict>
          <v:shape id="_x0000_i1053" type="#_x0000_t75" style="width:71.4pt;height:71.4pt">
            <v:imagedata r:id="rId85" o:title=""/>
          </v:shape>
        </w:pict>
      </w:r>
      <w:r w:rsidR="00813E76" w:rsidRPr="00B04DC3">
        <w:rPr>
          <w:rStyle w:val="FootnoteReference"/>
          <w:color w:val="FFFFFF"/>
        </w:rPr>
        <w:footnoteReference w:id="26"/>
      </w:r>
    </w:p>
    <w:p w:rsidR="00C0100D" w:rsidRPr="00B04DC3" w:rsidRDefault="00AC44FF" w:rsidP="00AC44FF">
      <w:pPr>
        <w:tabs>
          <w:tab w:val="left" w:pos="2687"/>
        </w:tabs>
        <w:ind w:left="2268" w:hanging="1168"/>
        <w:rPr>
          <w:szCs w:val="22"/>
        </w:rPr>
      </w:pPr>
      <w:r w:rsidRPr="00B04DC3">
        <w:rPr>
          <w:szCs w:val="22"/>
        </w:rPr>
        <w:t>Concerning</w:t>
      </w:r>
      <w:r w:rsidR="0075426D">
        <w:rPr>
          <w:szCs w:val="22"/>
        </w:rPr>
        <w:t>:</w:t>
      </w:r>
      <w:r w:rsidR="00813E76" w:rsidRPr="00B04DC3">
        <w:rPr>
          <w:rStyle w:val="FootnoteReference"/>
          <w:szCs w:val="22"/>
        </w:rPr>
        <w:footnoteReference w:id="27"/>
      </w:r>
      <w:r w:rsidR="00C0100D" w:rsidRPr="00B04DC3">
        <w:rPr>
          <w:szCs w:val="22"/>
        </w:rPr>
        <w:tab/>
      </w:r>
      <w:r w:rsidR="00C0100D" w:rsidRPr="00B04DC3">
        <w:rPr>
          <w:szCs w:val="22"/>
        </w:rPr>
        <w:tab/>
        <w:t>A</w:t>
      </w:r>
      <w:r w:rsidR="0075426D" w:rsidRPr="00B04DC3">
        <w:rPr>
          <w:szCs w:val="22"/>
        </w:rPr>
        <w:t>pproval granted</w:t>
      </w:r>
    </w:p>
    <w:p w:rsidR="00C0100D" w:rsidRPr="00B04DC3" w:rsidRDefault="00023D64" w:rsidP="00AC44FF">
      <w:pPr>
        <w:tabs>
          <w:tab w:val="left" w:pos="2687"/>
        </w:tabs>
        <w:ind w:left="2268" w:hanging="1168"/>
        <w:rPr>
          <w:szCs w:val="22"/>
        </w:rPr>
      </w:pPr>
      <w:r w:rsidRPr="00B04DC3">
        <w:rPr>
          <w:szCs w:val="22"/>
        </w:rPr>
        <w:tab/>
      </w:r>
      <w:r w:rsidR="00AC44FF" w:rsidRPr="00B04DC3">
        <w:rPr>
          <w:szCs w:val="22"/>
        </w:rPr>
        <w:tab/>
      </w:r>
      <w:r w:rsidR="00C0100D" w:rsidRPr="00B04DC3">
        <w:rPr>
          <w:szCs w:val="22"/>
        </w:rPr>
        <w:t>A</w:t>
      </w:r>
      <w:r w:rsidR="0075426D" w:rsidRPr="00B04DC3">
        <w:rPr>
          <w:szCs w:val="22"/>
        </w:rPr>
        <w:t>pproval extended</w:t>
      </w:r>
    </w:p>
    <w:p w:rsidR="00C0100D" w:rsidRPr="00B04DC3" w:rsidRDefault="00AC44FF" w:rsidP="00AC44FF">
      <w:pPr>
        <w:tabs>
          <w:tab w:val="left" w:pos="2687"/>
        </w:tabs>
        <w:ind w:left="2268" w:hanging="1168"/>
        <w:rPr>
          <w:szCs w:val="22"/>
        </w:rPr>
      </w:pPr>
      <w:r w:rsidRPr="00B04DC3">
        <w:rPr>
          <w:szCs w:val="22"/>
        </w:rPr>
        <w:tab/>
      </w:r>
      <w:r w:rsidRPr="00B04DC3">
        <w:rPr>
          <w:szCs w:val="22"/>
        </w:rPr>
        <w:tab/>
      </w:r>
      <w:r w:rsidR="00C0100D" w:rsidRPr="00B04DC3">
        <w:rPr>
          <w:szCs w:val="22"/>
        </w:rPr>
        <w:t>A</w:t>
      </w:r>
      <w:r w:rsidR="0075426D" w:rsidRPr="00B04DC3">
        <w:rPr>
          <w:szCs w:val="22"/>
        </w:rPr>
        <w:t>pproval refused</w:t>
      </w:r>
    </w:p>
    <w:p w:rsidR="00C0100D" w:rsidRPr="00B04DC3" w:rsidRDefault="00AC44FF" w:rsidP="00AC44FF">
      <w:pPr>
        <w:tabs>
          <w:tab w:val="left" w:pos="2687"/>
        </w:tabs>
        <w:ind w:left="2268" w:hanging="1168"/>
        <w:rPr>
          <w:szCs w:val="22"/>
        </w:rPr>
      </w:pPr>
      <w:r w:rsidRPr="00B04DC3">
        <w:rPr>
          <w:szCs w:val="22"/>
        </w:rPr>
        <w:tab/>
      </w:r>
      <w:r w:rsidRPr="00B04DC3">
        <w:rPr>
          <w:szCs w:val="22"/>
        </w:rPr>
        <w:tab/>
      </w:r>
      <w:r w:rsidR="00C0100D" w:rsidRPr="00B04DC3">
        <w:rPr>
          <w:szCs w:val="22"/>
        </w:rPr>
        <w:t>A</w:t>
      </w:r>
      <w:r w:rsidR="0075426D" w:rsidRPr="00B04DC3">
        <w:rPr>
          <w:szCs w:val="22"/>
        </w:rPr>
        <w:t>pproval withdrawn</w:t>
      </w:r>
    </w:p>
    <w:p w:rsidR="00C0100D" w:rsidRPr="00B04DC3" w:rsidRDefault="00AC44FF" w:rsidP="004D5FD0">
      <w:pPr>
        <w:tabs>
          <w:tab w:val="left" w:pos="2687"/>
        </w:tabs>
        <w:spacing w:after="360"/>
        <w:ind w:left="2268" w:hanging="1168"/>
        <w:rPr>
          <w:szCs w:val="22"/>
        </w:rPr>
      </w:pPr>
      <w:r w:rsidRPr="00B04DC3">
        <w:rPr>
          <w:szCs w:val="22"/>
        </w:rPr>
        <w:tab/>
      </w:r>
      <w:r w:rsidRPr="00B04DC3">
        <w:rPr>
          <w:szCs w:val="22"/>
        </w:rPr>
        <w:tab/>
      </w:r>
      <w:r w:rsidR="00C0100D" w:rsidRPr="00B04DC3">
        <w:rPr>
          <w:szCs w:val="22"/>
        </w:rPr>
        <w:t>P</w:t>
      </w:r>
      <w:r w:rsidR="0075426D" w:rsidRPr="00B04DC3">
        <w:rPr>
          <w:szCs w:val="22"/>
        </w:rPr>
        <w:t>roduction definitively discontinued</w:t>
      </w:r>
    </w:p>
    <w:p w:rsidR="00C0100D" w:rsidRPr="00B04DC3" w:rsidRDefault="00C0100D" w:rsidP="00350F5F">
      <w:pPr>
        <w:pStyle w:val="para"/>
        <w:ind w:left="1134" w:firstLine="0"/>
        <w:rPr>
          <w:lang w:val="en-GB"/>
        </w:rPr>
      </w:pPr>
      <w:r w:rsidRPr="00B04DC3">
        <w:rPr>
          <w:lang w:val="en-GB"/>
        </w:rPr>
        <w:t>of a compression-ignition (C.I.) engine type or family (Diesel or Ethanol), or a positive-ignition (P.I.) engine type or family (NG or LPG)</w:t>
      </w:r>
      <w:r w:rsidR="0075426D">
        <w:rPr>
          <w:lang w:val="en-GB"/>
        </w:rPr>
        <w:t>,</w:t>
      </w:r>
      <w:r w:rsidR="004D5FD0" w:rsidRPr="00B04DC3">
        <w:rPr>
          <w:vertAlign w:val="superscript"/>
          <w:lang w:val="en-GB"/>
        </w:rPr>
        <w:t>2</w:t>
      </w:r>
      <w:r w:rsidRPr="00B04DC3">
        <w:rPr>
          <w:lang w:val="en-GB"/>
        </w:rPr>
        <w:t xml:space="preserve"> as a separate technical unit with regard to the emission of pollutants pursuant to Regulation No. 49, 05 series of amendments</w:t>
      </w:r>
    </w:p>
    <w:p w:rsidR="00C0100D" w:rsidRPr="00B04DC3" w:rsidRDefault="004D5FD0" w:rsidP="004D5FD0">
      <w:pPr>
        <w:pStyle w:val="SingleTxtG"/>
        <w:tabs>
          <w:tab w:val="left" w:pos="1134"/>
          <w:tab w:val="left" w:pos="4536"/>
          <w:tab w:val="left" w:pos="5103"/>
          <w:tab w:val="right" w:pos="8505"/>
        </w:tabs>
      </w:pPr>
      <w:r w:rsidRPr="00B04DC3">
        <w:t xml:space="preserve">Approval No. ........................................................ </w:t>
      </w:r>
      <w:r w:rsidR="00C0100D" w:rsidRPr="00B04DC3">
        <w:t>Extension No. ....</w:t>
      </w:r>
      <w:r w:rsidRPr="00B04DC3">
        <w:t>......................................</w:t>
      </w:r>
      <w:r w:rsidR="00C0100D" w:rsidRPr="00B04DC3">
        <w:t>.</w:t>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w:t>
      </w:r>
      <w:r w:rsidR="00C0100D" w:rsidRPr="00B04DC3">
        <w:rPr>
          <w:rFonts w:cs="Courier New"/>
        </w:rPr>
        <w:tab/>
        <w:t>Trade name or mark of the engine:</w:t>
      </w:r>
      <w:r w:rsidR="00C0100D" w:rsidRPr="00B04DC3">
        <w:rPr>
          <w:rFonts w:cs="Courier New"/>
        </w:rPr>
        <w:tab/>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2.</w:t>
      </w:r>
      <w:r w:rsidR="00C0100D" w:rsidRPr="00B04DC3">
        <w:rPr>
          <w:rFonts w:cs="Courier New"/>
        </w:rPr>
        <w:tab/>
        <w:t>Engine type / Engine family:</w:t>
      </w:r>
      <w:r w:rsidR="00C0100D" w:rsidRPr="00B04DC3">
        <w:rPr>
          <w:rFonts w:cs="Courier New"/>
        </w:rPr>
        <w:tab/>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2.1</w:t>
      </w:r>
      <w:r w:rsidR="00C0100D" w:rsidRPr="00B04DC3">
        <w:rPr>
          <w:rFonts w:cs="Courier New"/>
        </w:rPr>
        <w:tab/>
        <w:t>Manufacturer</w:t>
      </w:r>
      <w:r w:rsidR="004D5FD0" w:rsidRPr="00B04DC3">
        <w:rPr>
          <w:rFonts w:cs="Courier New"/>
        </w:rPr>
        <w:t>´s code as marked on the engine</w:t>
      </w:r>
      <w:r w:rsidR="0075426D">
        <w:rPr>
          <w:rFonts w:cs="Courier New"/>
        </w:rPr>
        <w:t>:</w:t>
      </w:r>
      <w:r w:rsidR="00813E76" w:rsidRPr="00B04DC3">
        <w:rPr>
          <w:rStyle w:val="FootnoteReference"/>
          <w:rFonts w:cs="Courier New"/>
        </w:rPr>
        <w:footnoteReference w:id="28"/>
      </w:r>
      <w:r w:rsidR="00C0100D" w:rsidRPr="00B04DC3">
        <w:rPr>
          <w:rFonts w:cs="Courier New"/>
        </w:rPr>
        <w:t xml:space="preserve"> </w:t>
      </w:r>
      <w:r w:rsidR="00C0100D" w:rsidRPr="00B04DC3">
        <w:rPr>
          <w:rFonts w:cs="Courier New"/>
        </w:rPr>
        <w:tab/>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3.</w:t>
      </w:r>
      <w:r w:rsidR="00C0100D" w:rsidRPr="00B04DC3">
        <w:rPr>
          <w:rFonts w:cs="Courier New"/>
        </w:rPr>
        <w:tab/>
        <w:t>Combustion type: compression-ignition/positive-igniti</w:t>
      </w:r>
      <w:r w:rsidR="004D5FD0" w:rsidRPr="00B04DC3">
        <w:rPr>
          <w:rFonts w:cs="Courier New"/>
        </w:rPr>
        <w:t>on</w:t>
      </w:r>
      <w:r w:rsidR="00C0100D" w:rsidRPr="00B04DC3">
        <w:rPr>
          <w:rFonts w:cs="Courier New"/>
          <w:vertAlign w:val="superscript"/>
        </w:rPr>
        <w:t>2</w:t>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3.1.</w:t>
      </w:r>
      <w:r w:rsidR="00C0100D" w:rsidRPr="00B04DC3">
        <w:rPr>
          <w:rFonts w:cs="Courier New"/>
        </w:rPr>
        <w:tab/>
        <w:t>Type of fuel:</w:t>
      </w:r>
      <w:r w:rsidR="00C0100D" w:rsidRPr="00B04DC3">
        <w:rPr>
          <w:rFonts w:cs="Courier New"/>
        </w:rPr>
        <w:tab/>
      </w:r>
      <w:r w:rsidR="004D5FD0" w:rsidRPr="00B04DC3">
        <w:rPr>
          <w:rFonts w:cs="Courier New"/>
        </w:rPr>
        <w:tab/>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4.</w:t>
      </w:r>
      <w:r w:rsidR="00C0100D" w:rsidRPr="00B04DC3">
        <w:rPr>
          <w:rFonts w:cs="Courier New"/>
        </w:rPr>
        <w:tab/>
        <w:t>Manufacturer's name and address:</w:t>
      </w:r>
      <w:r w:rsidR="00C0100D" w:rsidRPr="00B04DC3">
        <w:rPr>
          <w:rFonts w:cs="Courier New"/>
        </w:rPr>
        <w:tab/>
      </w:r>
    </w:p>
    <w:p w:rsidR="00023D64" w:rsidRPr="00B04DC3" w:rsidRDefault="00023D64" w:rsidP="00CC52C6">
      <w:pPr>
        <w:tabs>
          <w:tab w:val="left" w:pos="1133"/>
          <w:tab w:val="left" w:pos="2268"/>
          <w:tab w:val="right" w:leader="dot" w:pos="8505"/>
        </w:tabs>
        <w:autoSpaceDE w:val="0"/>
        <w:autoSpaceDN w:val="0"/>
        <w:adjustRightInd w:val="0"/>
        <w:spacing w:after="120"/>
        <w:ind w:left="1134" w:hanging="1134"/>
        <w:rPr>
          <w:rFonts w:cs="Courier New"/>
        </w:rPr>
      </w:pPr>
      <w:r w:rsidRPr="00B04DC3">
        <w:rPr>
          <w:rFonts w:cs="Courier New"/>
        </w:rPr>
        <w:tab/>
      </w:r>
      <w:r w:rsidR="00C0100D" w:rsidRPr="00B04DC3">
        <w:rPr>
          <w:rFonts w:cs="Courier New"/>
        </w:rPr>
        <w:t>5.</w:t>
      </w:r>
      <w:r w:rsidR="00C0100D" w:rsidRPr="00B04DC3">
        <w:rPr>
          <w:rFonts w:cs="Courier New"/>
        </w:rPr>
        <w:tab/>
        <w:t>If applicable, name and address of manufacturer's representative:</w:t>
      </w:r>
      <w:r w:rsidRPr="00B04DC3">
        <w:rPr>
          <w:rFonts w:cs="Courier New"/>
        </w:rPr>
        <w:br/>
      </w:r>
      <w:r w:rsidRPr="00B04DC3">
        <w:rPr>
          <w:rFonts w:cs="Courier New"/>
        </w:rPr>
        <w:tab/>
      </w:r>
      <w:r w:rsidRPr="00B04DC3">
        <w:rPr>
          <w:rFonts w:cs="Courier New"/>
        </w:rPr>
        <w:tab/>
      </w:r>
      <w:r w:rsidR="00C0100D" w:rsidRPr="00B04DC3">
        <w:rPr>
          <w:rFonts w:cs="Courier New"/>
        </w:rPr>
        <w:tab/>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rPr>
          <w:rFonts w:cs="Courier New"/>
        </w:rPr>
      </w:pPr>
      <w:r w:rsidRPr="00B04DC3">
        <w:rPr>
          <w:rFonts w:cs="Courier New"/>
        </w:rPr>
        <w:tab/>
      </w:r>
      <w:r w:rsidR="00C0100D" w:rsidRPr="00B04DC3">
        <w:rPr>
          <w:rFonts w:cs="Courier New"/>
        </w:rPr>
        <w:t>6.</w:t>
      </w:r>
      <w:r w:rsidR="00C0100D" w:rsidRPr="00B04DC3">
        <w:rPr>
          <w:rFonts w:cs="Courier New"/>
        </w:rPr>
        <w:tab/>
        <w:t>Maxi</w:t>
      </w:r>
      <w:r w:rsidR="004D5FD0" w:rsidRPr="00B04DC3">
        <w:rPr>
          <w:rFonts w:cs="Courier New"/>
        </w:rPr>
        <w:t>mum allowable intake depression</w:t>
      </w:r>
      <w:r w:rsidR="00260B82">
        <w:rPr>
          <w:rFonts w:cs="Courier New"/>
        </w:rPr>
        <w:t>:</w:t>
      </w:r>
      <w:r w:rsidR="00C0100D" w:rsidRPr="00B04DC3">
        <w:rPr>
          <w:vertAlign w:val="superscript"/>
        </w:rPr>
        <w:t>3</w:t>
      </w:r>
      <w:r w:rsidR="00C0100D" w:rsidRPr="00B04DC3">
        <w:rPr>
          <w:rFonts w:cs="Courier New"/>
        </w:rPr>
        <w:tab/>
        <w:t>kPa</w:t>
      </w:r>
    </w:p>
    <w:p w:rsidR="00C0100D" w:rsidRPr="00B04DC3" w:rsidRDefault="00023D64" w:rsidP="00CC52C6">
      <w:pPr>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7.</w:t>
      </w:r>
      <w:r w:rsidR="00C0100D" w:rsidRPr="00B04DC3">
        <w:rPr>
          <w:rFonts w:cs="Courier New"/>
        </w:rPr>
        <w:tab/>
        <w:t>Maximum allowable back-pressure</w:t>
      </w:r>
      <w:r w:rsidR="00260B82">
        <w:rPr>
          <w:rFonts w:cs="Courier New"/>
        </w:rPr>
        <w:t>:</w:t>
      </w:r>
      <w:r w:rsidR="00C0100D" w:rsidRPr="00B04DC3">
        <w:rPr>
          <w:rFonts w:cs="Courier New"/>
          <w:vertAlign w:val="superscript"/>
        </w:rPr>
        <w:t>3</w:t>
      </w:r>
      <w:r w:rsidR="00C0100D" w:rsidRPr="00B04DC3">
        <w:rPr>
          <w:rFonts w:cs="Courier New"/>
        </w:rPr>
        <w:tab/>
        <w:t>kPa</w:t>
      </w:r>
    </w:p>
    <w:p w:rsidR="00C0100D" w:rsidRPr="00B04DC3" w:rsidRDefault="00023D64" w:rsidP="00AA0E48">
      <w:pPr>
        <w:keepNext/>
        <w:keepLines/>
        <w:tabs>
          <w:tab w:val="left" w:pos="1133"/>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8.</w:t>
      </w:r>
      <w:r w:rsidR="00C0100D" w:rsidRPr="00B04DC3">
        <w:rPr>
          <w:rFonts w:cs="Courier New"/>
        </w:rPr>
        <w:tab/>
        <w:t>Maximum permissible power absorbed</w:t>
      </w:r>
      <w:r w:rsidR="004D5FD0" w:rsidRPr="00B04DC3">
        <w:rPr>
          <w:rFonts w:cs="Courier New"/>
        </w:rPr>
        <w:t xml:space="preserve"> by the engine</w:t>
      </w:r>
      <w:r w:rsidR="004D5FD0" w:rsidRPr="00B04DC3">
        <w:rPr>
          <w:rFonts w:cs="Courier New"/>
        </w:rPr>
        <w:noBreakHyphen/>
        <w:t>driven equipment</w:t>
      </w:r>
      <w:r w:rsidR="00260B82">
        <w:rPr>
          <w:rFonts w:cs="Courier New"/>
        </w:rPr>
        <w:t>:</w:t>
      </w:r>
      <w:r w:rsidR="00C0100D" w:rsidRPr="00B04DC3">
        <w:rPr>
          <w:rFonts w:cs="Courier New"/>
          <w:vertAlign w:val="superscript"/>
        </w:rPr>
        <w:t>3</w:t>
      </w:r>
    </w:p>
    <w:p w:rsidR="00C0100D" w:rsidRPr="00B04DC3" w:rsidRDefault="00C0100D" w:rsidP="00CC52C6">
      <w:pPr>
        <w:tabs>
          <w:tab w:val="left" w:pos="2268"/>
          <w:tab w:val="right" w:leader="dot" w:pos="8505"/>
        </w:tabs>
        <w:autoSpaceDE w:val="0"/>
        <w:autoSpaceDN w:val="0"/>
        <w:adjustRightInd w:val="0"/>
        <w:spacing w:after="120"/>
        <w:ind w:left="2302" w:right="1140" w:hanging="1134"/>
        <w:jc w:val="both"/>
        <w:rPr>
          <w:rFonts w:cs="Courier New"/>
        </w:rPr>
      </w:pPr>
      <w:r w:rsidRPr="00B04DC3">
        <w:rPr>
          <w:rFonts w:cs="Courier New"/>
        </w:rPr>
        <w:tab/>
        <w:t>Idle:</w:t>
      </w:r>
      <w:r w:rsidRPr="00B04DC3">
        <w:rPr>
          <w:rFonts w:cs="Courier New"/>
        </w:rPr>
        <w:fldChar w:fldCharType="begin"/>
      </w:r>
      <w:r w:rsidRPr="00B04DC3">
        <w:rPr>
          <w:rFonts w:cs="Courier New"/>
        </w:rPr>
        <w:fldChar w:fldCharType="end"/>
      </w:r>
      <w:r w:rsidR="008E3ADA" w:rsidRPr="00B04DC3">
        <w:rPr>
          <w:rFonts w:cs="Courier New"/>
        </w:rPr>
        <w:t>…</w:t>
      </w:r>
      <w:r w:rsidR="00FE5C96" w:rsidRPr="00B04DC3">
        <w:rPr>
          <w:rFonts w:cs="Courier New"/>
        </w:rPr>
        <w:t>…</w:t>
      </w:r>
      <w:r w:rsidR="008E3ADA" w:rsidRPr="00B04DC3">
        <w:rPr>
          <w:rFonts w:cs="Courier New"/>
        </w:rPr>
        <w:t>…</w:t>
      </w:r>
      <w:r w:rsidR="00FE5C96" w:rsidRPr="00B04DC3">
        <w:rPr>
          <w:rFonts w:cs="Courier New"/>
        </w:rPr>
        <w:t>….</w:t>
      </w:r>
      <w:r w:rsidR="008E3ADA" w:rsidRPr="00B04DC3">
        <w:rPr>
          <w:rFonts w:cs="Courier New"/>
        </w:rPr>
        <w:t>.</w:t>
      </w:r>
      <w:r w:rsidRPr="00B04DC3">
        <w:rPr>
          <w:rFonts w:cs="Courier New"/>
        </w:rPr>
        <w:t xml:space="preserve">kW; </w:t>
      </w:r>
      <w:r w:rsidR="00FE5C96" w:rsidRPr="00B04DC3">
        <w:rPr>
          <w:rFonts w:cs="Courier New"/>
        </w:rPr>
        <w:t xml:space="preserve">  </w:t>
      </w:r>
      <w:r w:rsidRPr="00B04DC3">
        <w:rPr>
          <w:rFonts w:cs="Courier New"/>
        </w:rPr>
        <w:t>Low Speed:</w:t>
      </w:r>
      <w:r w:rsidR="008E3ADA" w:rsidRPr="00B04DC3">
        <w:rPr>
          <w:rFonts w:cs="Courier New"/>
        </w:rPr>
        <w:t>…</w:t>
      </w:r>
      <w:r w:rsidR="00FE5C96" w:rsidRPr="00B04DC3">
        <w:rPr>
          <w:rFonts w:cs="Courier New"/>
        </w:rPr>
        <w:t>…..</w:t>
      </w:r>
      <w:r w:rsidR="008E3ADA" w:rsidRPr="00B04DC3">
        <w:rPr>
          <w:rFonts w:cs="Courier New"/>
        </w:rPr>
        <w:t>….</w:t>
      </w:r>
      <w:r w:rsidRPr="00B04DC3">
        <w:rPr>
          <w:rFonts w:cs="Courier New"/>
        </w:rPr>
        <w:t xml:space="preserve">kW; </w:t>
      </w:r>
      <w:r w:rsidR="00FE5C96" w:rsidRPr="00B04DC3">
        <w:rPr>
          <w:rFonts w:cs="Courier New"/>
        </w:rPr>
        <w:t xml:space="preserve">  </w:t>
      </w:r>
      <w:r w:rsidRPr="00B04DC3">
        <w:rPr>
          <w:rFonts w:cs="Courier New"/>
        </w:rPr>
        <w:t>High Speed:</w:t>
      </w:r>
      <w:r w:rsidRPr="00B04DC3">
        <w:rPr>
          <w:rFonts w:cs="Courier New"/>
        </w:rPr>
        <w:tab/>
        <w:t>kW</w:t>
      </w:r>
    </w:p>
    <w:p w:rsidR="00C0100D" w:rsidRPr="00B04DC3" w:rsidRDefault="00C0100D" w:rsidP="00CC52C6">
      <w:pPr>
        <w:tabs>
          <w:tab w:val="left" w:pos="2268"/>
          <w:tab w:val="right" w:leader="dot" w:pos="8505"/>
        </w:tabs>
        <w:autoSpaceDE w:val="0"/>
        <w:autoSpaceDN w:val="0"/>
        <w:adjustRightInd w:val="0"/>
        <w:spacing w:after="120"/>
        <w:ind w:left="2302" w:right="1140" w:hanging="1134"/>
        <w:jc w:val="both"/>
        <w:rPr>
          <w:rFonts w:cs="Courier New"/>
        </w:rPr>
      </w:pPr>
      <w:r w:rsidRPr="00B04DC3">
        <w:rPr>
          <w:rFonts w:cs="Courier New"/>
        </w:rPr>
        <w:tab/>
        <w:t>Speed A:</w:t>
      </w:r>
      <w:r w:rsidRPr="00B04DC3">
        <w:rPr>
          <w:rFonts w:cs="Courier New"/>
        </w:rPr>
        <w:fldChar w:fldCharType="begin"/>
      </w:r>
      <w:r w:rsidRPr="00B04DC3">
        <w:rPr>
          <w:rFonts w:cs="Courier New"/>
        </w:rPr>
        <w:fldChar w:fldCharType="end"/>
      </w:r>
      <w:r w:rsidR="00FE5C96" w:rsidRPr="00B04DC3">
        <w:rPr>
          <w:rFonts w:cs="Courier New"/>
        </w:rPr>
        <w:t>……</w:t>
      </w:r>
      <w:r w:rsidR="008E3ADA" w:rsidRPr="00B04DC3">
        <w:rPr>
          <w:rFonts w:cs="Courier New"/>
        </w:rPr>
        <w:t>...</w:t>
      </w:r>
      <w:r w:rsidRPr="00B04DC3">
        <w:rPr>
          <w:rFonts w:cs="Courier New"/>
        </w:rPr>
        <w:t xml:space="preserve">kW; </w:t>
      </w:r>
      <w:r w:rsidR="00FE5C96" w:rsidRPr="00B04DC3">
        <w:rPr>
          <w:rFonts w:cs="Courier New"/>
        </w:rPr>
        <w:t xml:space="preserve">  </w:t>
      </w:r>
      <w:r w:rsidRPr="00B04DC3">
        <w:rPr>
          <w:rFonts w:cs="Courier New"/>
        </w:rPr>
        <w:t>Speed B:</w:t>
      </w:r>
      <w:r w:rsidR="008E3ADA" w:rsidRPr="00B04DC3">
        <w:rPr>
          <w:rFonts w:cs="Courier New"/>
        </w:rPr>
        <w:t>…</w:t>
      </w:r>
      <w:r w:rsidR="00FE5C96" w:rsidRPr="00B04DC3">
        <w:rPr>
          <w:rFonts w:cs="Courier New"/>
        </w:rPr>
        <w:t>…..…</w:t>
      </w:r>
      <w:r w:rsidR="008E3ADA" w:rsidRPr="00B04DC3">
        <w:rPr>
          <w:rFonts w:cs="Courier New"/>
        </w:rPr>
        <w:t>…..</w:t>
      </w:r>
      <w:r w:rsidRPr="00B04DC3">
        <w:rPr>
          <w:rFonts w:cs="Courier New"/>
        </w:rPr>
        <w:fldChar w:fldCharType="begin"/>
      </w:r>
      <w:r w:rsidRPr="00B04DC3">
        <w:rPr>
          <w:rFonts w:cs="Courier New"/>
        </w:rPr>
        <w:fldChar w:fldCharType="end"/>
      </w:r>
      <w:r w:rsidRPr="00B04DC3">
        <w:rPr>
          <w:rFonts w:cs="Courier New"/>
        </w:rPr>
        <w:t xml:space="preserve">kW; </w:t>
      </w:r>
      <w:r w:rsidR="00FE5C96" w:rsidRPr="00B04DC3">
        <w:rPr>
          <w:rFonts w:cs="Courier New"/>
        </w:rPr>
        <w:t xml:space="preserve"> </w:t>
      </w:r>
      <w:r w:rsidRPr="00B04DC3">
        <w:rPr>
          <w:rFonts w:cs="Courier New"/>
        </w:rPr>
        <w:t>Speed C:</w:t>
      </w:r>
      <w:r w:rsidRPr="00B04DC3">
        <w:rPr>
          <w:rFonts w:cs="Courier New"/>
        </w:rPr>
        <w:tab/>
        <w:t>kW</w:t>
      </w:r>
    </w:p>
    <w:p w:rsidR="00C0100D" w:rsidRPr="00B04DC3" w:rsidRDefault="00C0100D" w:rsidP="00CC52C6">
      <w:pPr>
        <w:tabs>
          <w:tab w:val="left" w:pos="2268"/>
          <w:tab w:val="right" w:leader="dot" w:pos="8505"/>
        </w:tabs>
        <w:autoSpaceDE w:val="0"/>
        <w:autoSpaceDN w:val="0"/>
        <w:adjustRightInd w:val="0"/>
        <w:spacing w:after="120"/>
        <w:ind w:left="2300" w:right="1139" w:hanging="1134"/>
        <w:jc w:val="both"/>
        <w:rPr>
          <w:rFonts w:cs="Courier New"/>
        </w:rPr>
      </w:pPr>
      <w:r w:rsidRPr="00B04DC3">
        <w:rPr>
          <w:rFonts w:cs="Courier New"/>
        </w:rPr>
        <w:tab/>
        <w:t>Reference Speed:</w:t>
      </w:r>
      <w:r w:rsidRPr="00B04DC3">
        <w:rPr>
          <w:rFonts w:cs="Courier New"/>
        </w:rPr>
        <w:tab/>
        <w:t>kW</w:t>
      </w:r>
    </w:p>
    <w:p w:rsidR="00C0100D" w:rsidRPr="00B04DC3" w:rsidRDefault="006F0700" w:rsidP="00CC52C6">
      <w:pPr>
        <w:tabs>
          <w:tab w:val="left" w:pos="1133"/>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9.</w:t>
      </w:r>
      <w:r w:rsidR="00C0100D" w:rsidRPr="00B04DC3">
        <w:rPr>
          <w:rFonts w:cs="Courier New"/>
        </w:rPr>
        <w:tab/>
        <w:t>Volume of exhaust system:</w:t>
      </w:r>
      <w:r w:rsidR="00C0100D" w:rsidRPr="00B04DC3">
        <w:rPr>
          <w:rFonts w:cs="Courier New"/>
        </w:rPr>
        <w:tab/>
        <w:t>cm</w:t>
      </w:r>
      <w:r w:rsidR="00C0100D" w:rsidRPr="00B04DC3">
        <w:rPr>
          <w:rFonts w:cs="Courier New"/>
          <w:vertAlign w:val="superscript"/>
        </w:rPr>
        <w:t>3</w:t>
      </w:r>
    </w:p>
    <w:p w:rsidR="00C0100D" w:rsidRPr="00B04DC3" w:rsidRDefault="006F0700" w:rsidP="00CC52C6">
      <w:pPr>
        <w:tabs>
          <w:tab w:val="left" w:pos="1133"/>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10.</w:t>
      </w:r>
      <w:r w:rsidR="00C0100D" w:rsidRPr="00B04DC3">
        <w:rPr>
          <w:rFonts w:cs="Courier New"/>
        </w:rPr>
        <w:tab/>
        <w:t>Restrictions of use (if any):</w:t>
      </w:r>
      <w:r w:rsidR="00C0100D" w:rsidRPr="00B04DC3">
        <w:rPr>
          <w:rFonts w:cs="Courier New"/>
        </w:rPr>
        <w:tab/>
      </w:r>
    </w:p>
    <w:p w:rsidR="00C0100D" w:rsidRPr="00B04DC3" w:rsidRDefault="006F0700"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11.</w:t>
      </w:r>
      <w:r w:rsidR="00C0100D" w:rsidRPr="00B04DC3">
        <w:rPr>
          <w:rFonts w:cs="Courier New"/>
        </w:rPr>
        <w:tab/>
        <w:t>Emission levels of the engine/parent engine</w:t>
      </w:r>
      <w:r w:rsidR="00C0100D" w:rsidRPr="00B04DC3">
        <w:rPr>
          <w:rFonts w:cs="Courier New"/>
          <w:vertAlign w:val="superscript"/>
        </w:rPr>
        <w:t>2</w:t>
      </w:r>
    </w:p>
    <w:p w:rsidR="00C0100D" w:rsidRPr="00B04DC3" w:rsidRDefault="006F0700"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11.1.</w:t>
      </w:r>
      <w:r w:rsidR="00C0100D" w:rsidRPr="00B04DC3">
        <w:rPr>
          <w:rFonts w:cs="Courier New"/>
        </w:rPr>
        <w:tab/>
        <w:t>Emission stage (according to table in paragraph 4.6.3</w:t>
      </w:r>
      <w:r w:rsidR="00B170C7" w:rsidRPr="00B04DC3">
        <w:rPr>
          <w:rFonts w:cs="Courier New"/>
        </w:rPr>
        <w:t>.)</w:t>
      </w:r>
      <w:r w:rsidR="00B170C7">
        <w:rPr>
          <w:rFonts w:cs="Courier New"/>
        </w:rPr>
        <w:t>:</w:t>
      </w:r>
      <w:r w:rsidR="00C0100D" w:rsidRPr="00B04DC3">
        <w:rPr>
          <w:rFonts w:cs="Courier New"/>
        </w:rPr>
        <w:tab/>
      </w:r>
    </w:p>
    <w:p w:rsidR="00C0100D" w:rsidRPr="00B04DC3" w:rsidRDefault="006F0700" w:rsidP="00CC52C6">
      <w:pPr>
        <w:tabs>
          <w:tab w:val="left" w:pos="1134"/>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11.2.</w:t>
      </w:r>
      <w:r w:rsidR="00C0100D" w:rsidRPr="00B04DC3">
        <w:rPr>
          <w:rFonts w:cs="Courier New"/>
        </w:rPr>
        <w:tab/>
        <w:t>ESC test (if applicable):</w:t>
      </w:r>
    </w:p>
    <w:p w:rsidR="00C0100D" w:rsidRPr="00B04DC3" w:rsidRDefault="006F0700"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ab/>
        <w:t>Deterioratio</w:t>
      </w:r>
      <w:r w:rsidR="008E3ADA" w:rsidRPr="00B04DC3">
        <w:rPr>
          <w:rFonts w:cs="Courier New"/>
        </w:rPr>
        <w:t>n factor (DF):</w:t>
      </w:r>
      <w:r w:rsidR="008E3ADA" w:rsidRPr="00B04DC3">
        <w:rPr>
          <w:rFonts w:cs="Courier New"/>
        </w:rPr>
        <w:tab/>
        <w:t>calculated/fixed</w:t>
      </w:r>
      <w:r w:rsidR="00C0100D" w:rsidRPr="00B04DC3">
        <w:rPr>
          <w:rFonts w:cs="Courier New"/>
          <w:vertAlign w:val="superscript"/>
        </w:rPr>
        <w:t>2</w:t>
      </w:r>
    </w:p>
    <w:p w:rsidR="00C0100D" w:rsidRPr="00B04DC3" w:rsidRDefault="006F0700"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C0100D" w:rsidRPr="00B04DC3">
        <w:rPr>
          <w:rFonts w:cs="Courier New"/>
        </w:rPr>
        <w:tab/>
        <w:t>Specify the DF values and the emissions on the ESC test in the table below:</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1023"/>
        <w:gridCol w:w="1023"/>
        <w:gridCol w:w="1023"/>
        <w:gridCol w:w="1023"/>
      </w:tblGrid>
      <w:tr w:rsidR="00C0100D" w:rsidRPr="00B04DC3">
        <w:tc>
          <w:tcPr>
            <w:tcW w:w="6237" w:type="dxa"/>
            <w:gridSpan w:val="5"/>
            <w:vAlign w:val="center"/>
          </w:tcPr>
          <w:p w:rsidR="00C0100D" w:rsidRPr="00B04DC3" w:rsidRDefault="00C0100D" w:rsidP="00FE5C96">
            <w:pPr>
              <w:spacing w:before="60" w:after="60" w:line="200" w:lineRule="exact"/>
              <w:jc w:val="center"/>
              <w:rPr>
                <w:i/>
                <w:sz w:val="16"/>
                <w:szCs w:val="16"/>
              </w:rPr>
            </w:pPr>
            <w:r w:rsidRPr="00B04DC3">
              <w:rPr>
                <w:i/>
                <w:sz w:val="16"/>
                <w:szCs w:val="16"/>
              </w:rPr>
              <w:t>ESC test</w:t>
            </w:r>
          </w:p>
        </w:tc>
      </w:tr>
      <w:tr w:rsidR="00FE5C96" w:rsidRPr="00B04DC3">
        <w:trPr>
          <w:trHeight w:val="243"/>
        </w:trPr>
        <w:tc>
          <w:tcPr>
            <w:tcW w:w="2145" w:type="dxa"/>
            <w:vAlign w:val="center"/>
          </w:tcPr>
          <w:p w:rsidR="00FE5C96" w:rsidRPr="00B04DC3" w:rsidRDefault="00FE5C96" w:rsidP="00FE5C96">
            <w:pPr>
              <w:spacing w:before="60" w:after="60" w:line="200" w:lineRule="exact"/>
              <w:rPr>
                <w:i/>
                <w:sz w:val="16"/>
                <w:szCs w:val="16"/>
              </w:rPr>
            </w:pPr>
            <w:r w:rsidRPr="00B04DC3">
              <w:rPr>
                <w:i/>
                <w:sz w:val="16"/>
                <w:szCs w:val="16"/>
              </w:rPr>
              <w:t>DF:</w:t>
            </w:r>
          </w:p>
        </w:tc>
        <w:tc>
          <w:tcPr>
            <w:tcW w:w="1023" w:type="dxa"/>
            <w:vAlign w:val="center"/>
          </w:tcPr>
          <w:p w:rsidR="00FE5C96" w:rsidRPr="00B04DC3" w:rsidRDefault="00FE5C96" w:rsidP="00FE5C96">
            <w:pPr>
              <w:spacing w:before="60" w:after="60" w:line="200" w:lineRule="exact"/>
              <w:jc w:val="center"/>
              <w:rPr>
                <w:i/>
                <w:sz w:val="16"/>
                <w:szCs w:val="16"/>
              </w:rPr>
            </w:pPr>
            <w:r w:rsidRPr="00B04DC3">
              <w:rPr>
                <w:i/>
                <w:sz w:val="16"/>
                <w:szCs w:val="16"/>
              </w:rPr>
              <w:t>CO</w:t>
            </w:r>
          </w:p>
        </w:tc>
        <w:tc>
          <w:tcPr>
            <w:tcW w:w="1023" w:type="dxa"/>
            <w:vAlign w:val="center"/>
          </w:tcPr>
          <w:p w:rsidR="00FE5C96" w:rsidRPr="00B04DC3" w:rsidRDefault="00FE5C96" w:rsidP="00FE5C96">
            <w:pPr>
              <w:spacing w:before="60" w:after="60" w:line="200" w:lineRule="exact"/>
              <w:jc w:val="center"/>
              <w:rPr>
                <w:i/>
                <w:sz w:val="16"/>
                <w:szCs w:val="16"/>
              </w:rPr>
            </w:pPr>
            <w:r w:rsidRPr="00B04DC3">
              <w:rPr>
                <w:i/>
                <w:sz w:val="16"/>
                <w:szCs w:val="16"/>
              </w:rPr>
              <w:t>THC</w:t>
            </w:r>
          </w:p>
        </w:tc>
        <w:tc>
          <w:tcPr>
            <w:tcW w:w="1023" w:type="dxa"/>
            <w:vAlign w:val="center"/>
          </w:tcPr>
          <w:p w:rsidR="00FE5C96" w:rsidRPr="00B04DC3" w:rsidRDefault="00FE5C96" w:rsidP="00FE5C96">
            <w:pPr>
              <w:spacing w:before="60" w:after="60" w:line="200" w:lineRule="exact"/>
              <w:jc w:val="center"/>
              <w:rPr>
                <w:i/>
                <w:sz w:val="16"/>
                <w:szCs w:val="16"/>
              </w:rPr>
            </w:pPr>
            <w:r w:rsidRPr="00B04DC3">
              <w:rPr>
                <w:i/>
                <w:sz w:val="16"/>
                <w:szCs w:val="16"/>
              </w:rPr>
              <w:t>NO</w:t>
            </w:r>
            <w:r w:rsidRPr="00B04DC3">
              <w:rPr>
                <w:i/>
                <w:sz w:val="16"/>
                <w:szCs w:val="16"/>
                <w:vertAlign w:val="subscript"/>
              </w:rPr>
              <w:t>x</w:t>
            </w:r>
          </w:p>
        </w:tc>
        <w:tc>
          <w:tcPr>
            <w:tcW w:w="1023" w:type="dxa"/>
            <w:vAlign w:val="center"/>
          </w:tcPr>
          <w:p w:rsidR="00FE5C96" w:rsidRPr="00B04DC3" w:rsidRDefault="00FE5C96" w:rsidP="00FE5C96">
            <w:pPr>
              <w:spacing w:before="60" w:after="60" w:line="200" w:lineRule="exact"/>
              <w:jc w:val="center"/>
              <w:rPr>
                <w:i/>
                <w:sz w:val="16"/>
                <w:szCs w:val="16"/>
              </w:rPr>
            </w:pPr>
            <w:r w:rsidRPr="00B04DC3">
              <w:rPr>
                <w:i/>
                <w:sz w:val="16"/>
                <w:szCs w:val="16"/>
              </w:rPr>
              <w:t>PT</w:t>
            </w:r>
          </w:p>
        </w:tc>
      </w:tr>
      <w:tr w:rsidR="00C0100D" w:rsidRPr="00B04DC3" w:rsidTr="00260B82">
        <w:trPr>
          <w:trHeight w:val="363"/>
        </w:trPr>
        <w:tc>
          <w:tcPr>
            <w:tcW w:w="2145" w:type="dxa"/>
            <w:tcBorders>
              <w:bottom w:val="single" w:sz="12" w:space="0" w:color="auto"/>
            </w:tcBorders>
            <w:vAlign w:val="center"/>
          </w:tcPr>
          <w:p w:rsidR="00C0100D" w:rsidRPr="00B04DC3" w:rsidRDefault="00C0100D" w:rsidP="00FE5C96">
            <w:pPr>
              <w:spacing w:before="60" w:after="60" w:line="200" w:lineRule="exact"/>
              <w:rPr>
                <w:i/>
                <w:sz w:val="16"/>
                <w:szCs w:val="16"/>
              </w:rPr>
            </w:pPr>
            <w:r w:rsidRPr="00B04DC3">
              <w:rPr>
                <w:i/>
                <w:sz w:val="16"/>
                <w:szCs w:val="16"/>
              </w:rPr>
              <w:t>Emissions</w:t>
            </w:r>
          </w:p>
        </w:tc>
        <w:tc>
          <w:tcPr>
            <w:tcW w:w="1023" w:type="dxa"/>
            <w:tcBorders>
              <w:bottom w:val="single" w:sz="12" w:space="0" w:color="auto"/>
            </w:tcBorders>
          </w:tcPr>
          <w:p w:rsidR="00C0100D" w:rsidRPr="00B04DC3" w:rsidRDefault="00C0100D" w:rsidP="00FE5C96">
            <w:pPr>
              <w:spacing w:before="60" w:after="60" w:line="200" w:lineRule="exact"/>
              <w:jc w:val="center"/>
              <w:rPr>
                <w:i/>
                <w:sz w:val="16"/>
                <w:szCs w:val="16"/>
              </w:rPr>
            </w:pPr>
            <w:r w:rsidRPr="00B04DC3">
              <w:rPr>
                <w:i/>
                <w:sz w:val="16"/>
                <w:szCs w:val="16"/>
              </w:rPr>
              <w:t>CO</w:t>
            </w:r>
            <w:r w:rsidR="00FE5C96" w:rsidRPr="00B04DC3">
              <w:rPr>
                <w:i/>
                <w:sz w:val="16"/>
                <w:szCs w:val="16"/>
              </w:rPr>
              <w:br/>
            </w:r>
            <w:r w:rsidRPr="00B04DC3">
              <w:rPr>
                <w:i/>
                <w:sz w:val="16"/>
                <w:szCs w:val="16"/>
              </w:rPr>
              <w:t>(g/kWh)</w:t>
            </w:r>
          </w:p>
        </w:tc>
        <w:tc>
          <w:tcPr>
            <w:tcW w:w="1023" w:type="dxa"/>
            <w:tcBorders>
              <w:bottom w:val="single" w:sz="12" w:space="0" w:color="auto"/>
            </w:tcBorders>
          </w:tcPr>
          <w:p w:rsidR="00C0100D" w:rsidRPr="00B04DC3" w:rsidRDefault="00C0100D" w:rsidP="00FE5C96">
            <w:pPr>
              <w:spacing w:before="60" w:after="60" w:line="200" w:lineRule="exact"/>
              <w:jc w:val="center"/>
              <w:rPr>
                <w:i/>
                <w:sz w:val="16"/>
                <w:szCs w:val="16"/>
              </w:rPr>
            </w:pPr>
            <w:r w:rsidRPr="00B04DC3">
              <w:rPr>
                <w:i/>
                <w:sz w:val="16"/>
                <w:szCs w:val="16"/>
              </w:rPr>
              <w:t>THC</w:t>
            </w:r>
            <w:r w:rsidR="00FE5C96" w:rsidRPr="00B04DC3">
              <w:rPr>
                <w:i/>
                <w:sz w:val="16"/>
                <w:szCs w:val="16"/>
              </w:rPr>
              <w:br/>
            </w:r>
            <w:r w:rsidRPr="00B04DC3">
              <w:rPr>
                <w:i/>
                <w:sz w:val="16"/>
                <w:szCs w:val="16"/>
              </w:rPr>
              <w:t>(g/kWh)</w:t>
            </w:r>
          </w:p>
        </w:tc>
        <w:tc>
          <w:tcPr>
            <w:tcW w:w="1023" w:type="dxa"/>
            <w:tcBorders>
              <w:bottom w:val="single" w:sz="12" w:space="0" w:color="auto"/>
            </w:tcBorders>
          </w:tcPr>
          <w:p w:rsidR="00C0100D" w:rsidRPr="00B04DC3" w:rsidRDefault="00C0100D" w:rsidP="00FE5C96">
            <w:pPr>
              <w:spacing w:before="60" w:after="60" w:line="200" w:lineRule="exact"/>
              <w:jc w:val="center"/>
              <w:rPr>
                <w:i/>
                <w:sz w:val="16"/>
                <w:szCs w:val="16"/>
              </w:rPr>
            </w:pPr>
            <w:r w:rsidRPr="00B04DC3">
              <w:rPr>
                <w:i/>
                <w:sz w:val="16"/>
                <w:szCs w:val="16"/>
              </w:rPr>
              <w:t>NO</w:t>
            </w:r>
            <w:r w:rsidRPr="00B04DC3">
              <w:rPr>
                <w:i/>
                <w:sz w:val="16"/>
                <w:szCs w:val="16"/>
                <w:vertAlign w:val="subscript"/>
              </w:rPr>
              <w:t>x</w:t>
            </w:r>
            <w:r w:rsidR="00FE5C96" w:rsidRPr="00B04DC3">
              <w:rPr>
                <w:i/>
                <w:sz w:val="16"/>
                <w:szCs w:val="16"/>
                <w:vertAlign w:val="subscript"/>
              </w:rPr>
              <w:br/>
            </w:r>
            <w:r w:rsidRPr="00B04DC3">
              <w:rPr>
                <w:i/>
                <w:sz w:val="16"/>
                <w:szCs w:val="16"/>
              </w:rPr>
              <w:t>(g/kWh)</w:t>
            </w:r>
          </w:p>
        </w:tc>
        <w:tc>
          <w:tcPr>
            <w:tcW w:w="1023" w:type="dxa"/>
            <w:tcBorders>
              <w:bottom w:val="single" w:sz="12" w:space="0" w:color="auto"/>
            </w:tcBorders>
          </w:tcPr>
          <w:p w:rsidR="00C0100D" w:rsidRPr="00B04DC3" w:rsidRDefault="00C0100D" w:rsidP="00FE5C96">
            <w:pPr>
              <w:spacing w:before="60" w:after="60" w:line="200" w:lineRule="exact"/>
              <w:jc w:val="center"/>
              <w:rPr>
                <w:i/>
                <w:sz w:val="16"/>
                <w:szCs w:val="16"/>
              </w:rPr>
            </w:pPr>
            <w:r w:rsidRPr="00B04DC3">
              <w:rPr>
                <w:i/>
                <w:sz w:val="16"/>
                <w:szCs w:val="16"/>
              </w:rPr>
              <w:t>PT</w:t>
            </w:r>
            <w:r w:rsidR="00FE5C96" w:rsidRPr="00B04DC3">
              <w:rPr>
                <w:i/>
                <w:sz w:val="16"/>
                <w:szCs w:val="16"/>
              </w:rPr>
              <w:br/>
            </w:r>
            <w:r w:rsidRPr="00B04DC3">
              <w:rPr>
                <w:i/>
                <w:sz w:val="16"/>
                <w:szCs w:val="16"/>
              </w:rPr>
              <w:t>(g/kWh)</w:t>
            </w:r>
          </w:p>
        </w:tc>
      </w:tr>
      <w:tr w:rsidR="00C0100D" w:rsidRPr="00B04DC3" w:rsidTr="00260B82">
        <w:tc>
          <w:tcPr>
            <w:tcW w:w="2145" w:type="dxa"/>
            <w:tcBorders>
              <w:top w:val="single" w:sz="12" w:space="0" w:color="auto"/>
            </w:tcBorders>
          </w:tcPr>
          <w:p w:rsidR="00C0100D" w:rsidRPr="00B04DC3" w:rsidRDefault="00C0100D" w:rsidP="00023D64">
            <w:pPr>
              <w:spacing w:before="60" w:after="60"/>
              <w:ind w:right="63"/>
              <w:jc w:val="both"/>
              <w:rPr>
                <w:szCs w:val="16"/>
              </w:rPr>
            </w:pPr>
            <w:r w:rsidRPr="00B04DC3">
              <w:rPr>
                <w:szCs w:val="16"/>
              </w:rPr>
              <w:t>Measured:</w:t>
            </w:r>
          </w:p>
        </w:tc>
        <w:tc>
          <w:tcPr>
            <w:tcW w:w="1023" w:type="dxa"/>
            <w:tcBorders>
              <w:top w:val="single" w:sz="12" w:space="0" w:color="auto"/>
            </w:tcBorders>
          </w:tcPr>
          <w:p w:rsidR="00C0100D" w:rsidRPr="00B04DC3" w:rsidRDefault="00C0100D" w:rsidP="00023D64">
            <w:pPr>
              <w:spacing w:before="60" w:after="60"/>
              <w:ind w:right="1139"/>
              <w:jc w:val="both"/>
              <w:rPr>
                <w:szCs w:val="16"/>
              </w:rPr>
            </w:pPr>
          </w:p>
        </w:tc>
        <w:tc>
          <w:tcPr>
            <w:tcW w:w="1023" w:type="dxa"/>
            <w:tcBorders>
              <w:top w:val="single" w:sz="12" w:space="0" w:color="auto"/>
            </w:tcBorders>
          </w:tcPr>
          <w:p w:rsidR="00C0100D" w:rsidRPr="00B04DC3" w:rsidRDefault="00C0100D" w:rsidP="00023D64">
            <w:pPr>
              <w:spacing w:before="60" w:after="60"/>
              <w:ind w:right="1139"/>
              <w:jc w:val="both"/>
              <w:rPr>
                <w:szCs w:val="16"/>
              </w:rPr>
            </w:pPr>
          </w:p>
        </w:tc>
        <w:tc>
          <w:tcPr>
            <w:tcW w:w="1023" w:type="dxa"/>
            <w:tcBorders>
              <w:top w:val="single" w:sz="12" w:space="0" w:color="auto"/>
            </w:tcBorders>
          </w:tcPr>
          <w:p w:rsidR="00C0100D" w:rsidRPr="00B04DC3" w:rsidRDefault="00C0100D" w:rsidP="00023D64">
            <w:pPr>
              <w:spacing w:before="60" w:after="60"/>
              <w:ind w:right="1139"/>
              <w:jc w:val="both"/>
              <w:rPr>
                <w:szCs w:val="16"/>
              </w:rPr>
            </w:pPr>
          </w:p>
        </w:tc>
        <w:tc>
          <w:tcPr>
            <w:tcW w:w="1023" w:type="dxa"/>
            <w:tcBorders>
              <w:top w:val="single" w:sz="12" w:space="0" w:color="auto"/>
            </w:tcBorders>
          </w:tcPr>
          <w:p w:rsidR="00C0100D" w:rsidRPr="00B04DC3" w:rsidRDefault="00C0100D" w:rsidP="00023D64">
            <w:pPr>
              <w:spacing w:before="60" w:after="60"/>
              <w:ind w:right="1139"/>
              <w:jc w:val="both"/>
              <w:rPr>
                <w:szCs w:val="16"/>
              </w:rPr>
            </w:pPr>
          </w:p>
        </w:tc>
      </w:tr>
      <w:tr w:rsidR="00C0100D" w:rsidRPr="00B04DC3" w:rsidTr="00260B82">
        <w:tc>
          <w:tcPr>
            <w:tcW w:w="2145" w:type="dxa"/>
            <w:tcBorders>
              <w:bottom w:val="single" w:sz="12" w:space="0" w:color="auto"/>
            </w:tcBorders>
          </w:tcPr>
          <w:p w:rsidR="00C0100D" w:rsidRPr="00B04DC3" w:rsidRDefault="00C0100D" w:rsidP="00023D64">
            <w:pPr>
              <w:spacing w:before="60" w:after="60"/>
              <w:ind w:right="63"/>
              <w:jc w:val="both"/>
              <w:rPr>
                <w:szCs w:val="16"/>
              </w:rPr>
            </w:pPr>
            <w:r w:rsidRPr="00B04DC3">
              <w:rPr>
                <w:szCs w:val="16"/>
              </w:rPr>
              <w:t>Calculated with DF:</w:t>
            </w:r>
          </w:p>
        </w:tc>
        <w:tc>
          <w:tcPr>
            <w:tcW w:w="1023" w:type="dxa"/>
            <w:tcBorders>
              <w:bottom w:val="single" w:sz="12" w:space="0" w:color="auto"/>
            </w:tcBorders>
          </w:tcPr>
          <w:p w:rsidR="00C0100D" w:rsidRPr="00B04DC3" w:rsidRDefault="00C0100D" w:rsidP="00023D64">
            <w:pPr>
              <w:spacing w:before="60" w:after="60"/>
              <w:ind w:right="1139"/>
              <w:jc w:val="both"/>
              <w:rPr>
                <w:szCs w:val="16"/>
              </w:rPr>
            </w:pPr>
          </w:p>
        </w:tc>
        <w:tc>
          <w:tcPr>
            <w:tcW w:w="1023" w:type="dxa"/>
            <w:tcBorders>
              <w:bottom w:val="single" w:sz="12" w:space="0" w:color="auto"/>
            </w:tcBorders>
          </w:tcPr>
          <w:p w:rsidR="00C0100D" w:rsidRPr="00B04DC3" w:rsidRDefault="00C0100D" w:rsidP="00023D64">
            <w:pPr>
              <w:spacing w:before="60" w:after="60"/>
              <w:ind w:right="1139"/>
              <w:jc w:val="both"/>
              <w:rPr>
                <w:szCs w:val="16"/>
              </w:rPr>
            </w:pPr>
          </w:p>
        </w:tc>
        <w:tc>
          <w:tcPr>
            <w:tcW w:w="1023" w:type="dxa"/>
            <w:tcBorders>
              <w:bottom w:val="single" w:sz="12" w:space="0" w:color="auto"/>
            </w:tcBorders>
          </w:tcPr>
          <w:p w:rsidR="00C0100D" w:rsidRPr="00B04DC3" w:rsidRDefault="00C0100D" w:rsidP="00023D64">
            <w:pPr>
              <w:spacing w:before="60" w:after="60"/>
              <w:ind w:right="1139"/>
              <w:jc w:val="both"/>
              <w:rPr>
                <w:szCs w:val="16"/>
              </w:rPr>
            </w:pPr>
          </w:p>
        </w:tc>
        <w:tc>
          <w:tcPr>
            <w:tcW w:w="1023" w:type="dxa"/>
            <w:tcBorders>
              <w:bottom w:val="single" w:sz="12" w:space="0" w:color="auto"/>
            </w:tcBorders>
          </w:tcPr>
          <w:p w:rsidR="00C0100D" w:rsidRPr="00B04DC3" w:rsidRDefault="00C0100D" w:rsidP="00023D64">
            <w:pPr>
              <w:spacing w:before="60" w:after="60"/>
              <w:ind w:right="1139"/>
              <w:jc w:val="both"/>
              <w:rPr>
                <w:szCs w:val="16"/>
              </w:rPr>
            </w:pPr>
          </w:p>
        </w:tc>
      </w:tr>
    </w:tbl>
    <w:p w:rsidR="00C0100D" w:rsidRPr="00B04DC3" w:rsidRDefault="008E3ADA" w:rsidP="00376938">
      <w:pPr>
        <w:tabs>
          <w:tab w:val="left" w:pos="1134"/>
          <w:tab w:val="left" w:pos="2268"/>
          <w:tab w:val="right" w:leader="dot" w:pos="8505"/>
        </w:tabs>
        <w:autoSpaceDE w:val="0"/>
        <w:autoSpaceDN w:val="0"/>
        <w:adjustRightInd w:val="0"/>
        <w:spacing w:before="120" w:after="120"/>
        <w:ind w:left="1134" w:right="1140" w:hanging="1134"/>
        <w:jc w:val="both"/>
        <w:rPr>
          <w:rFonts w:cs="Courier New"/>
        </w:rPr>
      </w:pPr>
      <w:r w:rsidRPr="00B04DC3">
        <w:rPr>
          <w:rFonts w:cs="Courier New"/>
        </w:rPr>
        <w:tab/>
      </w:r>
      <w:r w:rsidR="00C0100D" w:rsidRPr="00B04DC3">
        <w:rPr>
          <w:rFonts w:cs="Courier New"/>
        </w:rPr>
        <w:t>11.3.</w:t>
      </w:r>
      <w:r w:rsidR="00C0100D" w:rsidRPr="00B04DC3">
        <w:rPr>
          <w:rFonts w:cs="Courier New"/>
        </w:rPr>
        <w:tab/>
        <w:t>ELR test (if applicable):</w:t>
      </w:r>
    </w:p>
    <w:p w:rsidR="00C0100D" w:rsidRPr="00B04DC3" w:rsidRDefault="008E3ADA"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7C3750" w:rsidRPr="00B04DC3">
        <w:rPr>
          <w:rFonts w:cs="Courier New"/>
        </w:rPr>
        <w:tab/>
        <w:t>S</w:t>
      </w:r>
      <w:r w:rsidR="00C0100D" w:rsidRPr="00B04DC3">
        <w:rPr>
          <w:rFonts w:cs="Courier New"/>
        </w:rPr>
        <w:t>moke value:</w:t>
      </w:r>
      <w:r w:rsidR="00C0100D" w:rsidRPr="00B04DC3">
        <w:rPr>
          <w:rFonts w:cs="Courier New"/>
        </w:rPr>
        <w:tab/>
        <w:t>m</w:t>
      </w:r>
      <w:r w:rsidR="00C0100D" w:rsidRPr="00B04DC3">
        <w:rPr>
          <w:rFonts w:cs="Courier New"/>
          <w:vertAlign w:val="superscript"/>
        </w:rPr>
        <w:t>-1</w:t>
      </w:r>
    </w:p>
    <w:p w:rsidR="00C0100D" w:rsidRPr="00B04DC3" w:rsidRDefault="00023D64" w:rsidP="00CC52C6">
      <w:pPr>
        <w:tabs>
          <w:tab w:val="left" w:pos="1134"/>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11.4.</w:t>
      </w:r>
      <w:r w:rsidR="00C0100D" w:rsidRPr="00B04DC3">
        <w:rPr>
          <w:rFonts w:cs="Courier New"/>
        </w:rPr>
        <w:tab/>
        <w:t>ETC test:</w:t>
      </w:r>
    </w:p>
    <w:p w:rsidR="00C0100D" w:rsidRPr="00B04DC3" w:rsidRDefault="00C0100D" w:rsidP="00CC52C6">
      <w:pPr>
        <w:tabs>
          <w:tab w:val="left" w:pos="1134"/>
          <w:tab w:val="left" w:pos="2268"/>
          <w:tab w:val="right" w:leader="dot" w:pos="8505"/>
        </w:tabs>
        <w:autoSpaceDE w:val="0"/>
        <w:autoSpaceDN w:val="0"/>
        <w:adjustRightInd w:val="0"/>
        <w:spacing w:after="120"/>
        <w:ind w:left="1134" w:right="1139" w:hanging="1134"/>
        <w:jc w:val="both"/>
        <w:rPr>
          <w:rFonts w:cs="Courier New"/>
        </w:rPr>
      </w:pPr>
      <w:r w:rsidRPr="00B04DC3">
        <w:rPr>
          <w:rFonts w:cs="Courier New"/>
        </w:rPr>
        <w:tab/>
      </w:r>
      <w:r w:rsidR="00023D64" w:rsidRPr="00B04DC3">
        <w:rPr>
          <w:rFonts w:cs="Courier New"/>
        </w:rPr>
        <w:tab/>
      </w:r>
      <w:r w:rsidRPr="00B04DC3">
        <w:rPr>
          <w:rFonts w:cs="Courier New"/>
        </w:rPr>
        <w:t>Deterioratio</w:t>
      </w:r>
      <w:r w:rsidR="006F0700" w:rsidRPr="00B04DC3">
        <w:rPr>
          <w:rFonts w:cs="Courier New"/>
        </w:rPr>
        <w:t xml:space="preserve">n factor (DF): </w:t>
      </w:r>
      <w:r w:rsidR="00023D64" w:rsidRPr="00B04DC3">
        <w:rPr>
          <w:rFonts w:cs="Courier New"/>
        </w:rPr>
        <w:t>calculated/fixed</w:t>
      </w:r>
      <w:r w:rsidRPr="00B04DC3">
        <w:rPr>
          <w:rFonts w:cs="Courier New"/>
          <w:vertAlign w:val="superscript"/>
        </w:rPr>
        <w:t>2</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698"/>
        <w:gridCol w:w="990"/>
        <w:gridCol w:w="1040"/>
        <w:gridCol w:w="803"/>
        <w:gridCol w:w="945"/>
      </w:tblGrid>
      <w:tr w:rsidR="00C0100D" w:rsidRPr="00B04DC3">
        <w:tc>
          <w:tcPr>
            <w:tcW w:w="6237" w:type="dxa"/>
            <w:gridSpan w:val="6"/>
            <w:tcMar>
              <w:left w:w="28" w:type="dxa"/>
              <w:right w:w="28" w:type="dxa"/>
            </w:tcMar>
          </w:tcPr>
          <w:p w:rsidR="00C0100D" w:rsidRPr="00B04DC3" w:rsidRDefault="00C0100D" w:rsidP="00CC52C6">
            <w:pPr>
              <w:spacing w:before="60" w:after="60" w:line="200" w:lineRule="exact"/>
              <w:jc w:val="center"/>
              <w:rPr>
                <w:i/>
                <w:sz w:val="16"/>
                <w:szCs w:val="16"/>
              </w:rPr>
            </w:pPr>
            <w:r w:rsidRPr="00B04DC3">
              <w:rPr>
                <w:i/>
                <w:sz w:val="16"/>
                <w:szCs w:val="16"/>
              </w:rPr>
              <w:t>ETC test</w:t>
            </w:r>
          </w:p>
        </w:tc>
      </w:tr>
      <w:tr w:rsidR="00CC52C6" w:rsidRPr="00B04DC3">
        <w:trPr>
          <w:trHeight w:val="339"/>
        </w:trPr>
        <w:tc>
          <w:tcPr>
            <w:tcW w:w="1761" w:type="dxa"/>
            <w:tcMar>
              <w:left w:w="28" w:type="dxa"/>
              <w:right w:w="28" w:type="dxa"/>
            </w:tcMar>
            <w:vAlign w:val="center"/>
          </w:tcPr>
          <w:p w:rsidR="00CC52C6" w:rsidRPr="00B04DC3" w:rsidRDefault="00CC52C6" w:rsidP="00CC52C6">
            <w:pPr>
              <w:spacing w:before="60" w:after="60" w:line="200" w:lineRule="exact"/>
              <w:jc w:val="center"/>
              <w:rPr>
                <w:i/>
                <w:sz w:val="16"/>
                <w:szCs w:val="16"/>
              </w:rPr>
            </w:pPr>
            <w:r w:rsidRPr="00B04DC3">
              <w:rPr>
                <w:i/>
                <w:sz w:val="16"/>
                <w:szCs w:val="16"/>
              </w:rPr>
              <w:t>DF:</w:t>
            </w:r>
          </w:p>
        </w:tc>
        <w:tc>
          <w:tcPr>
            <w:tcW w:w="698" w:type="dxa"/>
            <w:tcMar>
              <w:left w:w="28" w:type="dxa"/>
              <w:right w:w="28" w:type="dxa"/>
            </w:tcMar>
          </w:tcPr>
          <w:p w:rsidR="00CC52C6" w:rsidRPr="00B04DC3" w:rsidRDefault="00CC52C6" w:rsidP="00CC52C6">
            <w:pPr>
              <w:spacing w:before="60" w:after="60" w:line="200" w:lineRule="exact"/>
              <w:jc w:val="center"/>
              <w:rPr>
                <w:i/>
                <w:sz w:val="16"/>
                <w:szCs w:val="16"/>
              </w:rPr>
            </w:pPr>
            <w:r w:rsidRPr="00B04DC3">
              <w:rPr>
                <w:i/>
                <w:sz w:val="16"/>
                <w:szCs w:val="16"/>
              </w:rPr>
              <w:t>CO</w:t>
            </w:r>
          </w:p>
        </w:tc>
        <w:tc>
          <w:tcPr>
            <w:tcW w:w="990" w:type="dxa"/>
            <w:tcMar>
              <w:left w:w="28" w:type="dxa"/>
              <w:right w:w="28" w:type="dxa"/>
            </w:tcMar>
          </w:tcPr>
          <w:p w:rsidR="00CC52C6" w:rsidRPr="00B04DC3" w:rsidRDefault="00CC52C6" w:rsidP="00CC52C6">
            <w:pPr>
              <w:spacing w:before="60" w:after="60" w:line="200" w:lineRule="exact"/>
              <w:jc w:val="center"/>
              <w:rPr>
                <w:i/>
                <w:sz w:val="16"/>
                <w:szCs w:val="16"/>
              </w:rPr>
            </w:pPr>
            <w:r w:rsidRPr="00B04DC3">
              <w:rPr>
                <w:i/>
                <w:sz w:val="16"/>
                <w:szCs w:val="16"/>
              </w:rPr>
              <w:t>NMHC</w:t>
            </w:r>
          </w:p>
        </w:tc>
        <w:tc>
          <w:tcPr>
            <w:tcW w:w="1040" w:type="dxa"/>
            <w:tcMar>
              <w:left w:w="28" w:type="dxa"/>
              <w:right w:w="28" w:type="dxa"/>
            </w:tcMar>
          </w:tcPr>
          <w:p w:rsidR="00CC52C6" w:rsidRPr="00B04DC3" w:rsidRDefault="00CC52C6" w:rsidP="00CC52C6">
            <w:pPr>
              <w:spacing w:before="60" w:after="60" w:line="200" w:lineRule="exact"/>
              <w:jc w:val="center"/>
              <w:rPr>
                <w:i/>
                <w:sz w:val="16"/>
                <w:szCs w:val="16"/>
              </w:rPr>
            </w:pPr>
            <w:r w:rsidRPr="00B04DC3">
              <w:rPr>
                <w:i/>
                <w:sz w:val="16"/>
                <w:szCs w:val="16"/>
              </w:rPr>
              <w:t>CH</w:t>
            </w:r>
            <w:r w:rsidRPr="00B04DC3">
              <w:rPr>
                <w:i/>
                <w:sz w:val="16"/>
                <w:szCs w:val="16"/>
                <w:vertAlign w:val="subscript"/>
              </w:rPr>
              <w:t>4</w:t>
            </w:r>
          </w:p>
        </w:tc>
        <w:tc>
          <w:tcPr>
            <w:tcW w:w="803" w:type="dxa"/>
            <w:tcMar>
              <w:left w:w="28" w:type="dxa"/>
              <w:right w:w="28" w:type="dxa"/>
            </w:tcMar>
          </w:tcPr>
          <w:p w:rsidR="00CC52C6" w:rsidRPr="00B04DC3" w:rsidRDefault="00CC52C6" w:rsidP="00CC52C6">
            <w:pPr>
              <w:spacing w:before="60" w:after="60" w:line="200" w:lineRule="exact"/>
              <w:jc w:val="center"/>
              <w:rPr>
                <w:i/>
                <w:sz w:val="16"/>
                <w:szCs w:val="16"/>
              </w:rPr>
            </w:pPr>
            <w:r w:rsidRPr="00B04DC3">
              <w:rPr>
                <w:i/>
                <w:sz w:val="16"/>
                <w:szCs w:val="16"/>
              </w:rPr>
              <w:t>NO</w:t>
            </w:r>
            <w:r w:rsidRPr="00B04DC3">
              <w:rPr>
                <w:i/>
                <w:sz w:val="16"/>
                <w:szCs w:val="16"/>
                <w:vertAlign w:val="subscript"/>
              </w:rPr>
              <w:t>x</w:t>
            </w:r>
          </w:p>
        </w:tc>
        <w:tc>
          <w:tcPr>
            <w:tcW w:w="945" w:type="dxa"/>
            <w:tcMar>
              <w:left w:w="28" w:type="dxa"/>
              <w:right w:w="28" w:type="dxa"/>
            </w:tcMar>
          </w:tcPr>
          <w:p w:rsidR="00CC52C6" w:rsidRPr="00B04DC3" w:rsidRDefault="00CC52C6" w:rsidP="00CC52C6">
            <w:pPr>
              <w:spacing w:before="60" w:after="60" w:line="200" w:lineRule="exact"/>
              <w:jc w:val="center"/>
              <w:rPr>
                <w:i/>
                <w:sz w:val="16"/>
                <w:szCs w:val="16"/>
              </w:rPr>
            </w:pPr>
            <w:r w:rsidRPr="00B04DC3">
              <w:rPr>
                <w:i/>
                <w:sz w:val="16"/>
                <w:szCs w:val="16"/>
              </w:rPr>
              <w:t>PT</w:t>
            </w:r>
          </w:p>
        </w:tc>
      </w:tr>
      <w:tr w:rsidR="00C0100D" w:rsidRPr="00B04DC3" w:rsidTr="00260B82">
        <w:tc>
          <w:tcPr>
            <w:tcW w:w="1761" w:type="dxa"/>
            <w:tcBorders>
              <w:bottom w:val="single" w:sz="12" w:space="0" w:color="auto"/>
            </w:tcBorders>
            <w:tcMar>
              <w:left w:w="28" w:type="dxa"/>
              <w:right w:w="28" w:type="dxa"/>
            </w:tcMar>
            <w:vAlign w:val="center"/>
          </w:tcPr>
          <w:p w:rsidR="00C0100D" w:rsidRPr="00B04DC3" w:rsidRDefault="00C0100D" w:rsidP="00CC52C6">
            <w:pPr>
              <w:spacing w:before="60" w:after="60" w:line="200" w:lineRule="exact"/>
              <w:jc w:val="center"/>
              <w:rPr>
                <w:i/>
                <w:sz w:val="16"/>
                <w:szCs w:val="16"/>
              </w:rPr>
            </w:pPr>
            <w:r w:rsidRPr="00B04DC3">
              <w:rPr>
                <w:i/>
                <w:sz w:val="16"/>
                <w:szCs w:val="16"/>
              </w:rPr>
              <w:t xml:space="preserve">Emissions </w:t>
            </w:r>
          </w:p>
        </w:tc>
        <w:tc>
          <w:tcPr>
            <w:tcW w:w="698" w:type="dxa"/>
            <w:tcBorders>
              <w:bottom w:val="single" w:sz="12" w:space="0" w:color="auto"/>
            </w:tcBorders>
            <w:tcMar>
              <w:left w:w="28" w:type="dxa"/>
              <w:right w:w="28" w:type="dxa"/>
            </w:tcMar>
          </w:tcPr>
          <w:p w:rsidR="00C0100D" w:rsidRPr="00B04DC3" w:rsidRDefault="00C0100D" w:rsidP="00CC52C6">
            <w:pPr>
              <w:spacing w:before="60" w:after="60" w:line="200" w:lineRule="exact"/>
              <w:jc w:val="center"/>
              <w:rPr>
                <w:i/>
                <w:sz w:val="16"/>
                <w:szCs w:val="16"/>
              </w:rPr>
            </w:pPr>
            <w:r w:rsidRPr="00B04DC3">
              <w:rPr>
                <w:i/>
                <w:sz w:val="16"/>
                <w:szCs w:val="16"/>
              </w:rPr>
              <w:t>CO</w:t>
            </w:r>
            <w:r w:rsidR="00CC52C6" w:rsidRPr="00B04DC3">
              <w:rPr>
                <w:i/>
                <w:sz w:val="16"/>
                <w:szCs w:val="16"/>
              </w:rPr>
              <w:br/>
            </w:r>
            <w:r w:rsidRPr="00B04DC3">
              <w:rPr>
                <w:i/>
                <w:sz w:val="16"/>
                <w:szCs w:val="16"/>
              </w:rPr>
              <w:t>(g/kWh)</w:t>
            </w:r>
          </w:p>
        </w:tc>
        <w:tc>
          <w:tcPr>
            <w:tcW w:w="990" w:type="dxa"/>
            <w:tcBorders>
              <w:bottom w:val="single" w:sz="12" w:space="0" w:color="auto"/>
            </w:tcBorders>
            <w:tcMar>
              <w:left w:w="28" w:type="dxa"/>
              <w:right w:w="28" w:type="dxa"/>
            </w:tcMar>
          </w:tcPr>
          <w:p w:rsidR="00C0100D" w:rsidRPr="00B04DC3" w:rsidRDefault="00C0100D" w:rsidP="00CC52C6">
            <w:pPr>
              <w:spacing w:before="60" w:after="60" w:line="200" w:lineRule="exact"/>
              <w:jc w:val="center"/>
              <w:rPr>
                <w:i/>
                <w:sz w:val="16"/>
                <w:szCs w:val="16"/>
              </w:rPr>
            </w:pPr>
            <w:r w:rsidRPr="00B04DC3">
              <w:rPr>
                <w:i/>
                <w:sz w:val="16"/>
                <w:szCs w:val="16"/>
              </w:rPr>
              <w:t>NMHC</w:t>
            </w:r>
            <w:r w:rsidR="00CC52C6" w:rsidRPr="00B04DC3">
              <w:rPr>
                <w:i/>
                <w:sz w:val="16"/>
                <w:szCs w:val="16"/>
              </w:rPr>
              <w:br/>
            </w:r>
            <w:r w:rsidRPr="00B04DC3">
              <w:rPr>
                <w:i/>
                <w:sz w:val="16"/>
                <w:szCs w:val="16"/>
              </w:rPr>
              <w:t>(g/kWh)</w:t>
            </w:r>
            <w:r w:rsidR="00911052" w:rsidRPr="00B04DC3">
              <w:rPr>
                <w:i/>
                <w:sz w:val="16"/>
                <w:szCs w:val="16"/>
                <w:vertAlign w:val="superscript"/>
              </w:rPr>
              <w:t xml:space="preserve"> 2</w:t>
            </w:r>
          </w:p>
        </w:tc>
        <w:tc>
          <w:tcPr>
            <w:tcW w:w="1040" w:type="dxa"/>
            <w:tcBorders>
              <w:bottom w:val="single" w:sz="12" w:space="0" w:color="auto"/>
            </w:tcBorders>
            <w:tcMar>
              <w:left w:w="28" w:type="dxa"/>
              <w:right w:w="28" w:type="dxa"/>
            </w:tcMar>
          </w:tcPr>
          <w:p w:rsidR="00C0100D" w:rsidRPr="00B04DC3" w:rsidRDefault="00C0100D" w:rsidP="00CC52C6">
            <w:pPr>
              <w:spacing w:before="60" w:after="60" w:line="200" w:lineRule="exact"/>
              <w:jc w:val="center"/>
              <w:rPr>
                <w:i/>
                <w:sz w:val="16"/>
                <w:szCs w:val="16"/>
              </w:rPr>
            </w:pPr>
            <w:r w:rsidRPr="00B04DC3">
              <w:rPr>
                <w:i/>
                <w:sz w:val="16"/>
                <w:szCs w:val="16"/>
              </w:rPr>
              <w:t>CH</w:t>
            </w:r>
            <w:r w:rsidRPr="00B04DC3">
              <w:rPr>
                <w:i/>
                <w:sz w:val="16"/>
                <w:szCs w:val="16"/>
                <w:vertAlign w:val="subscript"/>
              </w:rPr>
              <w:t>4</w:t>
            </w:r>
            <w:r w:rsidR="00CC52C6" w:rsidRPr="00B04DC3">
              <w:rPr>
                <w:i/>
                <w:sz w:val="16"/>
                <w:szCs w:val="16"/>
              </w:rPr>
              <w:br/>
            </w:r>
            <w:r w:rsidRPr="00B04DC3">
              <w:rPr>
                <w:i/>
                <w:sz w:val="16"/>
                <w:szCs w:val="16"/>
              </w:rPr>
              <w:t>(g/kWh)</w:t>
            </w:r>
            <w:r w:rsidR="00911052" w:rsidRPr="00B04DC3">
              <w:rPr>
                <w:i/>
                <w:sz w:val="16"/>
                <w:szCs w:val="16"/>
                <w:vertAlign w:val="superscript"/>
              </w:rPr>
              <w:t xml:space="preserve"> 2</w:t>
            </w:r>
          </w:p>
        </w:tc>
        <w:tc>
          <w:tcPr>
            <w:tcW w:w="803" w:type="dxa"/>
            <w:tcBorders>
              <w:bottom w:val="single" w:sz="12" w:space="0" w:color="auto"/>
            </w:tcBorders>
            <w:tcMar>
              <w:left w:w="28" w:type="dxa"/>
              <w:right w:w="28" w:type="dxa"/>
            </w:tcMar>
          </w:tcPr>
          <w:p w:rsidR="00C0100D" w:rsidRPr="00B04DC3" w:rsidRDefault="00C0100D" w:rsidP="00CC52C6">
            <w:pPr>
              <w:spacing w:before="60" w:after="60" w:line="200" w:lineRule="exact"/>
              <w:jc w:val="center"/>
              <w:rPr>
                <w:i/>
                <w:sz w:val="16"/>
                <w:szCs w:val="16"/>
              </w:rPr>
            </w:pPr>
            <w:r w:rsidRPr="00B04DC3">
              <w:rPr>
                <w:i/>
                <w:sz w:val="16"/>
                <w:szCs w:val="16"/>
              </w:rPr>
              <w:t>NO</w:t>
            </w:r>
            <w:r w:rsidRPr="00B04DC3">
              <w:rPr>
                <w:i/>
                <w:sz w:val="16"/>
                <w:szCs w:val="16"/>
                <w:vertAlign w:val="subscript"/>
              </w:rPr>
              <w:t>x</w:t>
            </w:r>
            <w:r w:rsidR="00CC52C6" w:rsidRPr="00B04DC3">
              <w:rPr>
                <w:i/>
                <w:sz w:val="16"/>
                <w:szCs w:val="16"/>
              </w:rPr>
              <w:br/>
            </w:r>
            <w:r w:rsidRPr="00B04DC3">
              <w:rPr>
                <w:i/>
                <w:sz w:val="16"/>
                <w:szCs w:val="16"/>
              </w:rPr>
              <w:t>(g/kWh)</w:t>
            </w:r>
          </w:p>
        </w:tc>
        <w:tc>
          <w:tcPr>
            <w:tcW w:w="945" w:type="dxa"/>
            <w:tcBorders>
              <w:bottom w:val="single" w:sz="12" w:space="0" w:color="auto"/>
            </w:tcBorders>
            <w:tcMar>
              <w:left w:w="28" w:type="dxa"/>
              <w:right w:w="28" w:type="dxa"/>
            </w:tcMar>
          </w:tcPr>
          <w:p w:rsidR="00C0100D" w:rsidRPr="00B04DC3" w:rsidRDefault="00C0100D" w:rsidP="00B170C7">
            <w:pPr>
              <w:spacing w:before="60" w:after="60" w:line="200" w:lineRule="exact"/>
              <w:jc w:val="center"/>
              <w:rPr>
                <w:i/>
                <w:sz w:val="16"/>
                <w:szCs w:val="16"/>
              </w:rPr>
            </w:pPr>
            <w:r w:rsidRPr="00B04DC3">
              <w:rPr>
                <w:i/>
                <w:sz w:val="16"/>
                <w:szCs w:val="16"/>
              </w:rPr>
              <w:t>PT</w:t>
            </w:r>
            <w:r w:rsidR="00CC52C6" w:rsidRPr="00B04DC3">
              <w:rPr>
                <w:i/>
                <w:sz w:val="16"/>
                <w:szCs w:val="16"/>
              </w:rPr>
              <w:br/>
            </w:r>
            <w:r w:rsidR="00911052" w:rsidRPr="00B04DC3">
              <w:rPr>
                <w:i/>
                <w:sz w:val="16"/>
                <w:szCs w:val="16"/>
              </w:rPr>
              <w:t>(g/kWh</w:t>
            </w:r>
            <w:r w:rsidR="00B170C7">
              <w:rPr>
                <w:i/>
                <w:sz w:val="16"/>
                <w:szCs w:val="16"/>
              </w:rPr>
              <w:t>)</w:t>
            </w:r>
            <w:r w:rsidR="00911052" w:rsidRPr="00B04DC3">
              <w:rPr>
                <w:i/>
                <w:sz w:val="16"/>
                <w:szCs w:val="16"/>
                <w:vertAlign w:val="superscript"/>
              </w:rPr>
              <w:t>2</w:t>
            </w:r>
          </w:p>
        </w:tc>
      </w:tr>
      <w:tr w:rsidR="00C0100D" w:rsidRPr="00B04DC3" w:rsidTr="00260B82">
        <w:tc>
          <w:tcPr>
            <w:tcW w:w="1761" w:type="dxa"/>
            <w:tcBorders>
              <w:top w:val="single" w:sz="12" w:space="0" w:color="auto"/>
            </w:tcBorders>
            <w:tcMar>
              <w:left w:w="28" w:type="dxa"/>
              <w:right w:w="28" w:type="dxa"/>
            </w:tcMar>
          </w:tcPr>
          <w:p w:rsidR="00C0100D" w:rsidRPr="00B04DC3" w:rsidRDefault="00C0100D" w:rsidP="00CC52C6">
            <w:pPr>
              <w:spacing w:before="60" w:after="60"/>
              <w:ind w:right="63"/>
              <w:rPr>
                <w:szCs w:val="16"/>
              </w:rPr>
            </w:pPr>
            <w:r w:rsidRPr="00B04DC3">
              <w:rPr>
                <w:szCs w:val="16"/>
              </w:rPr>
              <w:t>Measured with regeneration:</w:t>
            </w:r>
          </w:p>
        </w:tc>
        <w:tc>
          <w:tcPr>
            <w:tcW w:w="698" w:type="dxa"/>
            <w:tcBorders>
              <w:top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990" w:type="dxa"/>
            <w:tcBorders>
              <w:top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1040" w:type="dxa"/>
            <w:tcBorders>
              <w:top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803" w:type="dxa"/>
            <w:tcBorders>
              <w:top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945" w:type="dxa"/>
            <w:tcBorders>
              <w:top w:val="single" w:sz="12" w:space="0" w:color="auto"/>
            </w:tcBorders>
            <w:tcMar>
              <w:left w:w="28" w:type="dxa"/>
              <w:right w:w="28" w:type="dxa"/>
            </w:tcMar>
          </w:tcPr>
          <w:p w:rsidR="00C0100D" w:rsidRPr="00B04DC3" w:rsidRDefault="00C0100D" w:rsidP="006F0700">
            <w:pPr>
              <w:spacing w:before="60" w:after="60"/>
              <w:ind w:right="63"/>
              <w:jc w:val="both"/>
              <w:rPr>
                <w:szCs w:val="16"/>
              </w:rPr>
            </w:pPr>
          </w:p>
        </w:tc>
      </w:tr>
      <w:tr w:rsidR="00C0100D" w:rsidRPr="00B04DC3">
        <w:tc>
          <w:tcPr>
            <w:tcW w:w="1761" w:type="dxa"/>
            <w:tcMar>
              <w:left w:w="28" w:type="dxa"/>
              <w:right w:w="28" w:type="dxa"/>
            </w:tcMar>
          </w:tcPr>
          <w:p w:rsidR="00C0100D" w:rsidRPr="00B04DC3" w:rsidRDefault="00C0100D" w:rsidP="00CC52C6">
            <w:pPr>
              <w:spacing w:before="60" w:after="60"/>
              <w:ind w:right="63"/>
              <w:rPr>
                <w:szCs w:val="16"/>
              </w:rPr>
            </w:pPr>
            <w:r w:rsidRPr="00B04DC3">
              <w:rPr>
                <w:szCs w:val="16"/>
              </w:rPr>
              <w:t>Measured without regeneration:</w:t>
            </w:r>
          </w:p>
        </w:tc>
        <w:tc>
          <w:tcPr>
            <w:tcW w:w="698" w:type="dxa"/>
            <w:tcMar>
              <w:left w:w="28" w:type="dxa"/>
              <w:right w:w="28" w:type="dxa"/>
            </w:tcMar>
          </w:tcPr>
          <w:p w:rsidR="00C0100D" w:rsidRPr="00B04DC3" w:rsidRDefault="00C0100D" w:rsidP="006F0700">
            <w:pPr>
              <w:spacing w:before="60" w:after="60"/>
              <w:ind w:right="63"/>
              <w:jc w:val="both"/>
              <w:rPr>
                <w:szCs w:val="16"/>
              </w:rPr>
            </w:pPr>
          </w:p>
        </w:tc>
        <w:tc>
          <w:tcPr>
            <w:tcW w:w="990" w:type="dxa"/>
            <w:tcMar>
              <w:left w:w="28" w:type="dxa"/>
              <w:right w:w="28" w:type="dxa"/>
            </w:tcMar>
          </w:tcPr>
          <w:p w:rsidR="00C0100D" w:rsidRPr="00B04DC3" w:rsidRDefault="00C0100D" w:rsidP="006F0700">
            <w:pPr>
              <w:spacing w:before="60" w:after="60"/>
              <w:ind w:right="63"/>
              <w:jc w:val="both"/>
              <w:rPr>
                <w:szCs w:val="16"/>
              </w:rPr>
            </w:pPr>
          </w:p>
        </w:tc>
        <w:tc>
          <w:tcPr>
            <w:tcW w:w="1040" w:type="dxa"/>
            <w:tcMar>
              <w:left w:w="28" w:type="dxa"/>
              <w:right w:w="28" w:type="dxa"/>
            </w:tcMar>
          </w:tcPr>
          <w:p w:rsidR="00C0100D" w:rsidRPr="00B04DC3" w:rsidRDefault="00C0100D" w:rsidP="006F0700">
            <w:pPr>
              <w:spacing w:before="60" w:after="60"/>
              <w:ind w:right="63"/>
              <w:jc w:val="both"/>
              <w:rPr>
                <w:szCs w:val="16"/>
              </w:rPr>
            </w:pPr>
          </w:p>
        </w:tc>
        <w:tc>
          <w:tcPr>
            <w:tcW w:w="803" w:type="dxa"/>
            <w:tcMar>
              <w:left w:w="28" w:type="dxa"/>
              <w:right w:w="28" w:type="dxa"/>
            </w:tcMar>
          </w:tcPr>
          <w:p w:rsidR="00C0100D" w:rsidRPr="00B04DC3" w:rsidRDefault="00C0100D" w:rsidP="006F0700">
            <w:pPr>
              <w:spacing w:before="60" w:after="60"/>
              <w:ind w:right="63"/>
              <w:jc w:val="both"/>
              <w:rPr>
                <w:szCs w:val="16"/>
              </w:rPr>
            </w:pPr>
          </w:p>
        </w:tc>
        <w:tc>
          <w:tcPr>
            <w:tcW w:w="945" w:type="dxa"/>
            <w:tcMar>
              <w:left w:w="28" w:type="dxa"/>
              <w:right w:w="28" w:type="dxa"/>
            </w:tcMar>
          </w:tcPr>
          <w:p w:rsidR="00C0100D" w:rsidRPr="00B04DC3" w:rsidRDefault="00C0100D" w:rsidP="006F0700">
            <w:pPr>
              <w:spacing w:before="60" w:after="60"/>
              <w:ind w:right="63"/>
              <w:jc w:val="both"/>
              <w:rPr>
                <w:szCs w:val="16"/>
              </w:rPr>
            </w:pPr>
          </w:p>
        </w:tc>
      </w:tr>
      <w:tr w:rsidR="00C0100D" w:rsidRPr="00B04DC3">
        <w:tc>
          <w:tcPr>
            <w:tcW w:w="1761" w:type="dxa"/>
            <w:tcMar>
              <w:left w:w="28" w:type="dxa"/>
              <w:right w:w="28" w:type="dxa"/>
            </w:tcMar>
          </w:tcPr>
          <w:p w:rsidR="00C0100D" w:rsidRPr="00B04DC3" w:rsidRDefault="00C0100D" w:rsidP="00CC52C6">
            <w:pPr>
              <w:spacing w:before="60" w:after="60"/>
              <w:ind w:right="63"/>
              <w:rPr>
                <w:szCs w:val="16"/>
              </w:rPr>
            </w:pPr>
            <w:r w:rsidRPr="00B04DC3">
              <w:rPr>
                <w:szCs w:val="16"/>
              </w:rPr>
              <w:t>Measured/weighted:</w:t>
            </w:r>
          </w:p>
        </w:tc>
        <w:tc>
          <w:tcPr>
            <w:tcW w:w="698" w:type="dxa"/>
            <w:tcMar>
              <w:left w:w="28" w:type="dxa"/>
              <w:right w:w="28" w:type="dxa"/>
            </w:tcMar>
          </w:tcPr>
          <w:p w:rsidR="00C0100D" w:rsidRPr="00B04DC3" w:rsidRDefault="00C0100D" w:rsidP="006F0700">
            <w:pPr>
              <w:spacing w:before="60" w:after="60"/>
              <w:ind w:right="63"/>
              <w:jc w:val="both"/>
              <w:rPr>
                <w:szCs w:val="16"/>
              </w:rPr>
            </w:pPr>
          </w:p>
        </w:tc>
        <w:tc>
          <w:tcPr>
            <w:tcW w:w="990" w:type="dxa"/>
            <w:tcMar>
              <w:left w:w="28" w:type="dxa"/>
              <w:right w:w="28" w:type="dxa"/>
            </w:tcMar>
          </w:tcPr>
          <w:p w:rsidR="00C0100D" w:rsidRPr="00B04DC3" w:rsidRDefault="00C0100D" w:rsidP="006F0700">
            <w:pPr>
              <w:spacing w:before="60" w:after="60"/>
              <w:ind w:right="63"/>
              <w:jc w:val="both"/>
              <w:rPr>
                <w:szCs w:val="16"/>
              </w:rPr>
            </w:pPr>
          </w:p>
        </w:tc>
        <w:tc>
          <w:tcPr>
            <w:tcW w:w="1040" w:type="dxa"/>
            <w:tcMar>
              <w:left w:w="28" w:type="dxa"/>
              <w:right w:w="28" w:type="dxa"/>
            </w:tcMar>
          </w:tcPr>
          <w:p w:rsidR="00C0100D" w:rsidRPr="00B04DC3" w:rsidRDefault="00C0100D" w:rsidP="006F0700">
            <w:pPr>
              <w:spacing w:before="60" w:after="60"/>
              <w:ind w:right="63"/>
              <w:jc w:val="both"/>
              <w:rPr>
                <w:szCs w:val="16"/>
              </w:rPr>
            </w:pPr>
          </w:p>
        </w:tc>
        <w:tc>
          <w:tcPr>
            <w:tcW w:w="803" w:type="dxa"/>
            <w:tcMar>
              <w:left w:w="28" w:type="dxa"/>
              <w:right w:w="28" w:type="dxa"/>
            </w:tcMar>
          </w:tcPr>
          <w:p w:rsidR="00C0100D" w:rsidRPr="00B04DC3" w:rsidRDefault="00C0100D" w:rsidP="006F0700">
            <w:pPr>
              <w:spacing w:before="60" w:after="60"/>
              <w:ind w:right="63"/>
              <w:jc w:val="both"/>
              <w:rPr>
                <w:szCs w:val="16"/>
              </w:rPr>
            </w:pPr>
          </w:p>
        </w:tc>
        <w:tc>
          <w:tcPr>
            <w:tcW w:w="945" w:type="dxa"/>
            <w:tcMar>
              <w:left w:w="28" w:type="dxa"/>
              <w:right w:w="28" w:type="dxa"/>
            </w:tcMar>
          </w:tcPr>
          <w:p w:rsidR="00C0100D" w:rsidRPr="00B04DC3" w:rsidRDefault="00C0100D" w:rsidP="006F0700">
            <w:pPr>
              <w:spacing w:before="60" w:after="60"/>
              <w:ind w:right="63"/>
              <w:jc w:val="both"/>
              <w:rPr>
                <w:szCs w:val="16"/>
              </w:rPr>
            </w:pPr>
          </w:p>
        </w:tc>
      </w:tr>
      <w:tr w:rsidR="00C0100D" w:rsidRPr="00B04DC3" w:rsidTr="00260B82">
        <w:tc>
          <w:tcPr>
            <w:tcW w:w="1761"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r w:rsidRPr="00B04DC3">
              <w:rPr>
                <w:szCs w:val="16"/>
              </w:rPr>
              <w:t>Calculated with DF:</w:t>
            </w:r>
          </w:p>
        </w:tc>
        <w:tc>
          <w:tcPr>
            <w:tcW w:w="698"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990"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1040"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803"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p>
        </w:tc>
        <w:tc>
          <w:tcPr>
            <w:tcW w:w="945" w:type="dxa"/>
            <w:tcBorders>
              <w:bottom w:val="single" w:sz="12" w:space="0" w:color="auto"/>
            </w:tcBorders>
            <w:tcMar>
              <w:left w:w="28" w:type="dxa"/>
              <w:right w:w="28" w:type="dxa"/>
            </w:tcMar>
          </w:tcPr>
          <w:p w:rsidR="00C0100D" w:rsidRPr="00B04DC3" w:rsidRDefault="00C0100D" w:rsidP="006F0700">
            <w:pPr>
              <w:spacing w:before="60" w:after="60"/>
              <w:ind w:right="63"/>
              <w:jc w:val="both"/>
              <w:rPr>
                <w:szCs w:val="16"/>
              </w:rPr>
            </w:pPr>
          </w:p>
        </w:tc>
      </w:tr>
    </w:tbl>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12.</w:t>
      </w:r>
      <w:r w:rsidR="00C0100D" w:rsidRPr="00B04DC3">
        <w:rPr>
          <w:rFonts w:cs="Courier New"/>
        </w:rPr>
        <w:tab/>
        <w:t>Engine submitted for tests on:</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13.</w:t>
      </w:r>
      <w:r w:rsidR="00C0100D" w:rsidRPr="00B04DC3">
        <w:rPr>
          <w:rFonts w:cs="Courier New"/>
        </w:rPr>
        <w:tab/>
        <w:t xml:space="preserve">Technical </w:t>
      </w:r>
      <w:r w:rsidR="00B170C7">
        <w:rPr>
          <w:rFonts w:cs="Courier New"/>
        </w:rPr>
        <w:t>S</w:t>
      </w:r>
      <w:r w:rsidR="00B170C7" w:rsidRPr="00B04DC3">
        <w:rPr>
          <w:rFonts w:cs="Courier New"/>
        </w:rPr>
        <w:t xml:space="preserve">ervice </w:t>
      </w:r>
      <w:r w:rsidR="00C0100D" w:rsidRPr="00B04DC3">
        <w:rPr>
          <w:rFonts w:cs="Courier New"/>
        </w:rPr>
        <w:t>responsible for conducting the approval tests:</w:t>
      </w:r>
      <w:r w:rsidR="00CC52C6" w:rsidRPr="00B04DC3">
        <w:rPr>
          <w:rFonts w:cs="Courier New"/>
        </w:rPr>
        <w:tab/>
      </w:r>
    </w:p>
    <w:p w:rsidR="00CC52C6" w:rsidRPr="00B04DC3" w:rsidRDefault="00CC52C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Pr="00B04DC3">
        <w:rPr>
          <w:rFonts w:cs="Courier New"/>
        </w:rPr>
        <w:tab/>
      </w:r>
      <w:r w:rsidRPr="00B04DC3">
        <w:rPr>
          <w:rFonts w:cs="Courier New"/>
        </w:rPr>
        <w:tab/>
      </w:r>
      <w:r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14.</w:t>
      </w:r>
      <w:r w:rsidR="00C0100D" w:rsidRPr="00B04DC3">
        <w:rPr>
          <w:rFonts w:cs="Courier New"/>
        </w:rPr>
        <w:tab/>
        <w:t xml:space="preserve">Date of test report issued by that </w:t>
      </w:r>
      <w:r w:rsidR="00B170C7">
        <w:rPr>
          <w:rFonts w:cs="Courier New"/>
        </w:rPr>
        <w:t>S</w:t>
      </w:r>
      <w:r w:rsidR="00C0100D" w:rsidRPr="00B04DC3">
        <w:rPr>
          <w:rFonts w:cs="Courier New"/>
        </w:rPr>
        <w:t>ervice:</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15.</w:t>
      </w:r>
      <w:r w:rsidR="00C0100D" w:rsidRPr="00B04DC3">
        <w:rPr>
          <w:rFonts w:cs="Courier New"/>
        </w:rPr>
        <w:tab/>
        <w:t>Number of the test report issued by that service:</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16</w:t>
      </w:r>
      <w:r w:rsidR="00AA0E48">
        <w:rPr>
          <w:rFonts w:cs="Courier New"/>
        </w:rPr>
        <w:t>.</w:t>
      </w:r>
      <w:r w:rsidR="00C0100D" w:rsidRPr="00B04DC3">
        <w:rPr>
          <w:rFonts w:cs="Courier New"/>
        </w:rPr>
        <w:tab/>
        <w:t>Site of approval mark on the engine:</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17.</w:t>
      </w:r>
      <w:r w:rsidR="00C0100D" w:rsidRPr="00B04DC3">
        <w:rPr>
          <w:rFonts w:cs="Courier New"/>
        </w:rPr>
        <w:tab/>
        <w:t>Reasons for extension:</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18</w:t>
      </w:r>
      <w:r w:rsidRPr="00B04DC3">
        <w:rPr>
          <w:rFonts w:cs="Courier New"/>
        </w:rPr>
        <w:t>.</w:t>
      </w:r>
      <w:r w:rsidR="00C0100D" w:rsidRPr="00B04DC3">
        <w:rPr>
          <w:rFonts w:cs="Courier New"/>
        </w:rPr>
        <w:tab/>
        <w:t>Place:</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19</w:t>
      </w:r>
      <w:r w:rsidRPr="00B04DC3">
        <w:rPr>
          <w:rFonts w:cs="Courier New"/>
        </w:rPr>
        <w:t>.</w:t>
      </w:r>
      <w:r w:rsidR="00C0100D" w:rsidRPr="00B04DC3">
        <w:rPr>
          <w:rFonts w:cs="Courier New"/>
        </w:rPr>
        <w:tab/>
        <w:t xml:space="preserve">Date: </w:t>
      </w:r>
      <w:r w:rsidR="00C0100D" w:rsidRPr="00B04DC3">
        <w:rPr>
          <w:rFonts w:cs="Courier New"/>
        </w:rPr>
        <w:tab/>
      </w:r>
    </w:p>
    <w:p w:rsidR="00C0100D" w:rsidRPr="00B04DC3" w:rsidRDefault="00813E76" w:rsidP="00CC52C6">
      <w:pPr>
        <w:tabs>
          <w:tab w:val="left" w:pos="1133"/>
          <w:tab w:val="left" w:pos="2268"/>
          <w:tab w:val="right" w:leader="dot" w:pos="8505"/>
        </w:tabs>
        <w:autoSpaceDE w:val="0"/>
        <w:autoSpaceDN w:val="0"/>
        <w:adjustRightInd w:val="0"/>
        <w:spacing w:after="120"/>
        <w:ind w:left="1134" w:right="1140" w:hanging="1134"/>
        <w:jc w:val="both"/>
        <w:rPr>
          <w:rFonts w:cs="Courier New"/>
        </w:rPr>
      </w:pPr>
      <w:r w:rsidRPr="00B04DC3">
        <w:rPr>
          <w:rFonts w:cs="Courier New"/>
        </w:rPr>
        <w:tab/>
      </w:r>
      <w:r w:rsidR="00C0100D" w:rsidRPr="00B04DC3">
        <w:rPr>
          <w:rFonts w:cs="Courier New"/>
        </w:rPr>
        <w:t>20.</w:t>
      </w:r>
      <w:r w:rsidR="00C0100D" w:rsidRPr="00B04DC3">
        <w:rPr>
          <w:rFonts w:cs="Courier New"/>
        </w:rPr>
        <w:tab/>
        <w:t xml:space="preserve">Signature: </w:t>
      </w:r>
      <w:r w:rsidR="00C0100D" w:rsidRPr="00B04DC3">
        <w:rPr>
          <w:rFonts w:cs="Courier New"/>
        </w:rPr>
        <w:tab/>
      </w:r>
    </w:p>
    <w:p w:rsidR="00C0100D" w:rsidRPr="00B04DC3" w:rsidRDefault="00C0100D" w:rsidP="00CC52C6">
      <w:pPr>
        <w:tabs>
          <w:tab w:val="left" w:pos="2268"/>
          <w:tab w:val="right" w:leader="dot" w:pos="8505"/>
        </w:tabs>
        <w:autoSpaceDE w:val="0"/>
        <w:autoSpaceDN w:val="0"/>
        <w:adjustRightInd w:val="0"/>
        <w:spacing w:after="120"/>
        <w:ind w:left="2268" w:right="1140" w:hanging="1134"/>
        <w:jc w:val="both"/>
        <w:rPr>
          <w:rFonts w:cs="Courier New"/>
        </w:rPr>
      </w:pPr>
      <w:r w:rsidRPr="00B04DC3">
        <w:rPr>
          <w:rFonts w:cs="Courier New"/>
        </w:rPr>
        <w:t>21.</w:t>
      </w:r>
      <w:r w:rsidRPr="00B04DC3">
        <w:rPr>
          <w:rFonts w:cs="Courier New"/>
        </w:rPr>
        <w:tab/>
        <w:t>The following documents, bearing the approval number shown above, are annexed to this communication:</w:t>
      </w:r>
    </w:p>
    <w:p w:rsidR="00C0100D" w:rsidRPr="00B04DC3" w:rsidRDefault="00813E76" w:rsidP="00CC52C6">
      <w:pPr>
        <w:pStyle w:val="para"/>
        <w:autoSpaceDE w:val="0"/>
        <w:autoSpaceDN w:val="0"/>
        <w:adjustRightInd w:val="0"/>
        <w:rPr>
          <w:lang w:val="en-GB"/>
        </w:rPr>
      </w:pPr>
      <w:r w:rsidRPr="00B04DC3">
        <w:rPr>
          <w:lang w:val="en-GB"/>
        </w:rPr>
        <w:tab/>
      </w:r>
      <w:r w:rsidR="00C0100D" w:rsidRPr="00B04DC3">
        <w:rPr>
          <w:lang w:val="en-GB"/>
        </w:rPr>
        <w:tab/>
        <w:t>One copy of Annex 1 to this Regulation completed and with the drawings and diagrams referred to attached.</w:t>
      </w:r>
    </w:p>
    <w:p w:rsidR="00C0100D" w:rsidRPr="00B04DC3" w:rsidRDefault="00C0100D" w:rsidP="00C0100D">
      <w:pPr>
        <w:tabs>
          <w:tab w:val="left" w:pos="-867"/>
          <w:tab w:val="left" w:pos="1133"/>
          <w:tab w:val="left" w:pos="1701"/>
          <w:tab w:val="left" w:pos="1967"/>
          <w:tab w:val="left" w:pos="2687"/>
          <w:tab w:val="left" w:pos="3407"/>
          <w:tab w:val="left" w:pos="4121"/>
          <w:tab w:val="left" w:pos="4841"/>
          <w:tab w:val="left" w:pos="5556"/>
          <w:tab w:val="left" w:pos="6276"/>
          <w:tab w:val="left" w:pos="6996"/>
          <w:tab w:val="left" w:pos="7710"/>
          <w:tab w:val="left" w:pos="8430"/>
          <w:tab w:val="left" w:pos="9150"/>
        </w:tabs>
        <w:ind w:left="1134" w:hanging="1134"/>
      </w:pPr>
    </w:p>
    <w:p w:rsidR="00C0100D" w:rsidRPr="00B04DC3" w:rsidRDefault="00C0100D" w:rsidP="00C0100D">
      <w:pPr>
        <w:pStyle w:val="NormalCentered"/>
        <w:spacing w:before="0" w:after="0"/>
        <w:sectPr w:rsidR="00C0100D" w:rsidRPr="00B04DC3" w:rsidSect="002A4563">
          <w:headerReference w:type="even" r:id="rId86"/>
          <w:headerReference w:type="default" r:id="rId87"/>
          <w:footerReference w:type="even" r:id="rId88"/>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813E76" w:rsidP="00D81B35">
      <w:pPr>
        <w:pStyle w:val="HChG"/>
      </w:pPr>
      <w:bookmarkStart w:id="155" w:name="_Toc423599500"/>
      <w:bookmarkStart w:id="156" w:name="_Toc423610908"/>
      <w:r w:rsidRPr="00B04DC3">
        <w:t>Annex 2A</w:t>
      </w:r>
      <w:r w:rsidR="00D81B35" w:rsidRPr="00B04DC3">
        <w:t xml:space="preserve"> - </w:t>
      </w:r>
      <w:r w:rsidR="00C0100D" w:rsidRPr="00B04DC3">
        <w:t>Appendix</w:t>
      </w:r>
      <w:bookmarkEnd w:id="155"/>
      <w:bookmarkEnd w:id="156"/>
    </w:p>
    <w:p w:rsidR="00C0100D" w:rsidRPr="00B04DC3" w:rsidRDefault="00813E76" w:rsidP="00813E76">
      <w:pPr>
        <w:pStyle w:val="HChG"/>
        <w:rPr>
          <w:bCs/>
        </w:rPr>
      </w:pPr>
      <w:r w:rsidRPr="00B04DC3">
        <w:rPr>
          <w:bCs/>
        </w:rPr>
        <w:tab/>
      </w:r>
      <w:r w:rsidRPr="00B04DC3">
        <w:rPr>
          <w:bCs/>
        </w:rPr>
        <w:tab/>
      </w:r>
      <w:bookmarkStart w:id="157" w:name="_Toc423599501"/>
      <w:bookmarkStart w:id="158" w:name="_Toc423610909"/>
      <w:r w:rsidR="00C0100D" w:rsidRPr="00B04DC3">
        <w:rPr>
          <w:bCs/>
        </w:rPr>
        <w:t>OBD-</w:t>
      </w:r>
      <w:r w:rsidRPr="00B04DC3">
        <w:rPr>
          <w:bCs/>
        </w:rPr>
        <w:t>related information</w:t>
      </w:r>
      <w:bookmarkEnd w:id="157"/>
      <w:bookmarkEnd w:id="158"/>
    </w:p>
    <w:p w:rsidR="00C0100D" w:rsidRPr="00B04DC3" w:rsidRDefault="00C0100D" w:rsidP="00350F5F">
      <w:pPr>
        <w:pStyle w:val="para"/>
        <w:ind w:left="1134" w:firstLine="0"/>
        <w:rPr>
          <w:lang w:val="en-GB"/>
        </w:rPr>
      </w:pPr>
      <w:r w:rsidRPr="00B04DC3">
        <w:rPr>
          <w:lang w:val="en-GB"/>
        </w:rPr>
        <w:t xml:space="preserve">As noted in Appendix </w:t>
      </w:r>
      <w:r w:rsidR="00D81B35" w:rsidRPr="00B04DC3">
        <w:rPr>
          <w:lang w:val="en-GB"/>
        </w:rPr>
        <w:t xml:space="preserve">5 </w:t>
      </w:r>
      <w:r w:rsidR="001A2E86" w:rsidRPr="00B04DC3">
        <w:rPr>
          <w:lang w:val="en-GB"/>
        </w:rPr>
        <w:t>to</w:t>
      </w:r>
      <w:r w:rsidRPr="00B04DC3">
        <w:rPr>
          <w:lang w:val="en-GB"/>
        </w:rPr>
        <w:t xml:space="preserve"> Annex 1 to this Regulation, the information in this appendix is provided by the engine/vehicle manufacturer for the purposes of enabling the manufacture of OBD-compatible replacement or service parts and diagnostic tools and test equipment</w:t>
      </w:r>
      <w:r w:rsidR="00401E79" w:rsidRPr="00B04DC3">
        <w:rPr>
          <w:lang w:val="en-GB"/>
        </w:rPr>
        <w:t xml:space="preserve">. </w:t>
      </w:r>
      <w:r w:rsidRPr="00B04DC3">
        <w:rPr>
          <w:lang w:val="en-GB"/>
        </w:rPr>
        <w:t>Such information need not be supplied by the engine/vehicle manufacturer if it is covered by intellectual property rights or constitutes specific know-how of the manufacturer or the supplier(s).</w:t>
      </w:r>
    </w:p>
    <w:p w:rsidR="00C0100D" w:rsidRPr="00B04DC3" w:rsidRDefault="00C0100D" w:rsidP="00350F5F">
      <w:pPr>
        <w:pStyle w:val="para"/>
        <w:ind w:left="1134" w:firstLine="0"/>
        <w:rPr>
          <w:lang w:val="en-GB"/>
        </w:rPr>
      </w:pPr>
      <w:r w:rsidRPr="00B04DC3">
        <w:rPr>
          <w:lang w:val="en-GB"/>
        </w:rPr>
        <w:t>Upon request, this appendix will be made available to any interested component, diagnostic tools or test equipment manufacturer, on a non-discriminatory basis.</w:t>
      </w:r>
    </w:p>
    <w:p w:rsidR="00C0100D" w:rsidRPr="00B04DC3" w:rsidRDefault="00C0100D" w:rsidP="00350F5F">
      <w:pPr>
        <w:pStyle w:val="para"/>
        <w:ind w:left="1134" w:firstLine="0"/>
        <w:rPr>
          <w:lang w:val="en-GB"/>
        </w:rPr>
      </w:pPr>
      <w:r w:rsidRPr="00B04DC3">
        <w:rPr>
          <w:lang w:val="en-GB"/>
        </w:rPr>
        <w:t xml:space="preserve">In compliance with the provisions of paragraph 1.3.3. of Appendix </w:t>
      </w:r>
      <w:r w:rsidR="009F153C" w:rsidRPr="00B04DC3">
        <w:rPr>
          <w:lang w:val="en-GB"/>
        </w:rPr>
        <w:t>5</w:t>
      </w:r>
      <w:r w:rsidRPr="00B04DC3">
        <w:rPr>
          <w:lang w:val="en-GB"/>
        </w:rPr>
        <w:t xml:space="preserve"> to Annex 1, the information required by this paragraph shall be identical to that provided in that </w:t>
      </w:r>
      <w:r w:rsidR="00350F5F">
        <w:rPr>
          <w:lang w:val="en-GB"/>
        </w:rPr>
        <w:t>a</w:t>
      </w:r>
      <w:r w:rsidR="00350F5F" w:rsidRPr="00B04DC3">
        <w:rPr>
          <w:lang w:val="en-GB"/>
        </w:rPr>
        <w:t>ppendix</w:t>
      </w:r>
      <w:r w:rsidRPr="00B04DC3">
        <w:rPr>
          <w:lang w:val="en-GB"/>
        </w:rPr>
        <w:t>.</w:t>
      </w:r>
    </w:p>
    <w:p w:rsidR="00C0100D" w:rsidRPr="00B04DC3" w:rsidRDefault="00C0100D" w:rsidP="00813E76">
      <w:pPr>
        <w:pStyle w:val="para"/>
        <w:rPr>
          <w:lang w:val="en-GB"/>
        </w:rPr>
      </w:pPr>
      <w:r w:rsidRPr="00B04DC3">
        <w:rPr>
          <w:lang w:val="en-GB"/>
        </w:rPr>
        <w:t>1.</w:t>
      </w:r>
      <w:r w:rsidRPr="00B04DC3">
        <w:rPr>
          <w:lang w:val="en-GB"/>
        </w:rPr>
        <w:tab/>
        <w:t>A description of the type and number of the pre-conditioning cycles used for the original type approval of the vehicle.</w:t>
      </w:r>
    </w:p>
    <w:p w:rsidR="00C0100D" w:rsidRPr="00B04DC3" w:rsidRDefault="00C0100D" w:rsidP="00813E76">
      <w:pPr>
        <w:pStyle w:val="para"/>
        <w:rPr>
          <w:lang w:val="en-GB"/>
        </w:rPr>
      </w:pPr>
      <w:r w:rsidRPr="00B04DC3">
        <w:rPr>
          <w:lang w:val="en-GB"/>
        </w:rPr>
        <w:t>2.</w:t>
      </w:r>
      <w:r w:rsidRPr="00B04DC3">
        <w:rPr>
          <w:lang w:val="en-GB"/>
        </w:rPr>
        <w:tab/>
        <w:t>A description of the type of the OBD demonstration cycle used for the original type approval of the vehicle for the component monitored by the OBD system.</w:t>
      </w:r>
    </w:p>
    <w:p w:rsidR="00C0100D" w:rsidRPr="00B04DC3" w:rsidRDefault="00C0100D" w:rsidP="00813E76">
      <w:pPr>
        <w:pStyle w:val="para"/>
        <w:rPr>
          <w:lang w:val="en-GB"/>
        </w:rPr>
      </w:pPr>
      <w:r w:rsidRPr="00B04DC3">
        <w:rPr>
          <w:lang w:val="en-GB"/>
        </w:rPr>
        <w:t>3.</w:t>
      </w:r>
      <w:r w:rsidRPr="00B04DC3">
        <w:rPr>
          <w:lang w:val="en-GB"/>
        </w:rPr>
        <w:tab/>
        <w:t>A comprehensive document describing all sensed components with the strategy for fault detection and MI activation (fixed number of driving cycles or statistical method), including a list of relevant secondary sensed parameters for each component monitored by the OBD system</w:t>
      </w:r>
      <w:r w:rsidR="00401E79" w:rsidRPr="00B04DC3">
        <w:rPr>
          <w:lang w:val="en-GB"/>
        </w:rPr>
        <w:t xml:space="preserve">. </w:t>
      </w:r>
      <w:r w:rsidRPr="00B04DC3">
        <w:rPr>
          <w:lang w:val="en-GB"/>
        </w:rPr>
        <w:t>A list of all OBD output codes and format used (with an explanation of each) associated with individual emission related powertrain components and individual non-emission related components, where monitoring of the component is used to determine MI activation.</w:t>
      </w:r>
    </w:p>
    <w:p w:rsidR="00C0100D" w:rsidRPr="00B04DC3" w:rsidRDefault="00C0100D" w:rsidP="00C0100D">
      <w:pPr>
        <w:tabs>
          <w:tab w:val="center" w:pos="4734"/>
          <w:tab w:val="left" w:pos="4841"/>
          <w:tab w:val="left" w:pos="5556"/>
          <w:tab w:val="left" w:pos="6276"/>
          <w:tab w:val="left" w:pos="6996"/>
          <w:tab w:val="left" w:pos="7710"/>
          <w:tab w:val="left" w:pos="8430"/>
          <w:tab w:val="left" w:pos="9150"/>
        </w:tabs>
      </w:pPr>
    </w:p>
    <w:p w:rsidR="00C0100D" w:rsidRPr="00B04DC3" w:rsidRDefault="00C0100D" w:rsidP="00C0100D">
      <w:pPr>
        <w:tabs>
          <w:tab w:val="center" w:pos="4734"/>
          <w:tab w:val="left" w:pos="4841"/>
          <w:tab w:val="left" w:pos="5556"/>
          <w:tab w:val="left" w:pos="6276"/>
          <w:tab w:val="left" w:pos="6996"/>
          <w:tab w:val="left" w:pos="7710"/>
          <w:tab w:val="left" w:pos="8430"/>
          <w:tab w:val="left" w:pos="9150"/>
        </w:tabs>
        <w:sectPr w:rsidR="00C0100D" w:rsidRPr="00B04DC3" w:rsidSect="002A4563">
          <w:headerReference w:type="even" r:id="rId89"/>
          <w:headerReference w:type="default" r:id="rId90"/>
          <w:footnotePr>
            <w:numRestart w:val="eachSect"/>
          </w:footnotePr>
          <w:endnotePr>
            <w:numFmt w:val="decimal"/>
          </w:endnotePr>
          <w:pgSz w:w="11907" w:h="16840" w:code="9"/>
          <w:pgMar w:top="1701" w:right="1134" w:bottom="2268" w:left="1134" w:header="851" w:footer="1701" w:gutter="0"/>
          <w:cols w:space="720"/>
          <w:docGrid w:linePitch="326"/>
        </w:sectPr>
      </w:pPr>
    </w:p>
    <w:p w:rsidR="00E46E21" w:rsidRPr="00B04DC3" w:rsidRDefault="00E46E21" w:rsidP="00E46E21">
      <w:pPr>
        <w:pStyle w:val="HChG"/>
      </w:pPr>
      <w:bookmarkStart w:id="159" w:name="_Toc423599502"/>
      <w:bookmarkStart w:id="160" w:name="_Toc423610910"/>
      <w:r w:rsidRPr="00B04DC3">
        <w:t>Annex 2B</w:t>
      </w:r>
      <w:bookmarkEnd w:id="159"/>
      <w:bookmarkEnd w:id="160"/>
    </w:p>
    <w:p w:rsidR="00E46E21" w:rsidRPr="00B04DC3" w:rsidRDefault="00C0100D" w:rsidP="00E46E21">
      <w:pPr>
        <w:pStyle w:val="HChG"/>
      </w:pPr>
      <w:r w:rsidRPr="00B04DC3">
        <w:tab/>
      </w:r>
      <w:r w:rsidR="00E46E21" w:rsidRPr="00B04DC3">
        <w:tab/>
      </w:r>
      <w:bookmarkStart w:id="161" w:name="_Toc423599503"/>
      <w:bookmarkStart w:id="162" w:name="_Toc423610911"/>
      <w:r w:rsidR="00E46E21" w:rsidRPr="00B04DC3">
        <w:t>Communication</w:t>
      </w:r>
      <w:bookmarkEnd w:id="161"/>
      <w:bookmarkEnd w:id="162"/>
    </w:p>
    <w:p w:rsidR="00E46E21" w:rsidRPr="00B04DC3" w:rsidRDefault="00E46E21" w:rsidP="00E46E21">
      <w:pPr>
        <w:tabs>
          <w:tab w:val="left" w:pos="1100"/>
          <w:tab w:val="center" w:pos="4734"/>
          <w:tab w:val="left" w:pos="4841"/>
          <w:tab w:val="left" w:pos="5556"/>
          <w:tab w:val="left" w:pos="6276"/>
          <w:tab w:val="left" w:pos="6996"/>
          <w:tab w:val="left" w:pos="7710"/>
          <w:tab w:val="left" w:pos="8430"/>
          <w:tab w:val="left" w:pos="9150"/>
        </w:tabs>
      </w:pPr>
      <w:r w:rsidRPr="00B04DC3">
        <w:tab/>
        <w:t>(Maximum format:  A4 (210 x 297 mm))</w:t>
      </w:r>
    </w:p>
    <w:p w:rsidR="00E46E21" w:rsidRPr="00B04DC3" w:rsidRDefault="00E46E21"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4841"/>
      </w:pPr>
      <w:r w:rsidRPr="00B04DC3">
        <w:t>issued by:</w:t>
      </w:r>
      <w:r w:rsidRPr="00B04DC3">
        <w:tab/>
        <w:t>Name of administration:</w:t>
      </w:r>
    </w:p>
    <w:p w:rsidR="00E46E21" w:rsidRPr="00B04DC3" w:rsidRDefault="00E46E21"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CC52C6" w:rsidRPr="00B04DC3">
        <w:t>.....</w:t>
      </w:r>
      <w:r w:rsidRPr="00B04DC3">
        <w:t>.....</w:t>
      </w:r>
    </w:p>
    <w:p w:rsidR="00E46E21" w:rsidRPr="00B04DC3" w:rsidRDefault="00E46E21"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CC52C6" w:rsidRPr="00B04DC3">
        <w:t>.....</w:t>
      </w:r>
      <w:r w:rsidRPr="00B04DC3">
        <w:t>...</w:t>
      </w:r>
    </w:p>
    <w:p w:rsidR="00E46E21" w:rsidRPr="00B04DC3" w:rsidRDefault="00E46E21"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r w:rsidRPr="00B04DC3">
        <w:t>...............................</w:t>
      </w:r>
      <w:r w:rsidR="00CC52C6" w:rsidRPr="00B04DC3">
        <w:t>.....</w:t>
      </w:r>
      <w:r w:rsidRPr="00B04DC3">
        <w:t>.......</w:t>
      </w:r>
    </w:p>
    <w:p w:rsidR="00E46E21" w:rsidRPr="00B04DC3" w:rsidRDefault="00E46E21"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ind w:firstLine="6276"/>
      </w:pPr>
    </w:p>
    <w:p w:rsidR="00E46E21" w:rsidRPr="00B04DC3" w:rsidRDefault="00A905B7" w:rsidP="00E46E21">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480"/>
        <w:ind w:left="1100"/>
      </w:pPr>
      <w:r>
        <w:pict>
          <v:shape id="_x0000_i1054" type="#_x0000_t75" style="width:70.8pt;height:70.8pt">
            <v:imagedata r:id="rId85" o:title=""/>
          </v:shape>
        </w:pict>
      </w:r>
      <w:r w:rsidR="00E46E21" w:rsidRPr="00B04DC3">
        <w:rPr>
          <w:rStyle w:val="FootnoteReference"/>
          <w:color w:val="FFFFFF"/>
        </w:rPr>
        <w:footnoteReference w:id="29"/>
      </w:r>
    </w:p>
    <w:p w:rsidR="00E46E21" w:rsidRPr="00B04DC3" w:rsidRDefault="00E46E21" w:rsidP="00E46E21">
      <w:pPr>
        <w:tabs>
          <w:tab w:val="left" w:pos="2687"/>
        </w:tabs>
        <w:ind w:left="2268" w:hanging="1168"/>
        <w:rPr>
          <w:szCs w:val="22"/>
        </w:rPr>
      </w:pPr>
      <w:r w:rsidRPr="00B04DC3">
        <w:rPr>
          <w:szCs w:val="22"/>
        </w:rPr>
        <w:t>Concerning</w:t>
      </w:r>
      <w:r w:rsidR="00260B82">
        <w:rPr>
          <w:szCs w:val="22"/>
        </w:rPr>
        <w:t>:</w:t>
      </w:r>
      <w:r w:rsidRPr="00B04DC3">
        <w:rPr>
          <w:rStyle w:val="FootnoteReference"/>
          <w:szCs w:val="22"/>
        </w:rPr>
        <w:footnoteReference w:id="30"/>
      </w:r>
      <w:r w:rsidRPr="00B04DC3">
        <w:rPr>
          <w:szCs w:val="22"/>
        </w:rPr>
        <w:tab/>
      </w:r>
      <w:r w:rsidRPr="00B04DC3">
        <w:rPr>
          <w:szCs w:val="22"/>
        </w:rPr>
        <w:tab/>
        <w:t>A</w:t>
      </w:r>
      <w:r w:rsidR="00260B82" w:rsidRPr="00B04DC3">
        <w:rPr>
          <w:szCs w:val="22"/>
        </w:rPr>
        <w:t>pproval granted</w:t>
      </w:r>
    </w:p>
    <w:p w:rsidR="00E46E21" w:rsidRPr="00B04DC3" w:rsidRDefault="00E46E21" w:rsidP="00E46E21">
      <w:pPr>
        <w:tabs>
          <w:tab w:val="left" w:pos="2687"/>
        </w:tabs>
        <w:ind w:left="2268" w:hanging="1168"/>
        <w:rPr>
          <w:szCs w:val="22"/>
        </w:rPr>
      </w:pPr>
      <w:r w:rsidRPr="00B04DC3">
        <w:rPr>
          <w:szCs w:val="22"/>
        </w:rPr>
        <w:tab/>
      </w:r>
      <w:r w:rsidRPr="00B04DC3">
        <w:rPr>
          <w:szCs w:val="22"/>
        </w:rPr>
        <w:tab/>
        <w:t>A</w:t>
      </w:r>
      <w:r w:rsidR="00260B82" w:rsidRPr="00B04DC3">
        <w:rPr>
          <w:szCs w:val="22"/>
        </w:rPr>
        <w:t>pproval extended</w:t>
      </w:r>
    </w:p>
    <w:p w:rsidR="00E46E21" w:rsidRPr="00B04DC3" w:rsidRDefault="00E46E21" w:rsidP="00E46E21">
      <w:pPr>
        <w:tabs>
          <w:tab w:val="left" w:pos="2687"/>
        </w:tabs>
        <w:ind w:left="2268" w:hanging="1168"/>
        <w:rPr>
          <w:szCs w:val="22"/>
        </w:rPr>
      </w:pPr>
      <w:r w:rsidRPr="00B04DC3">
        <w:rPr>
          <w:szCs w:val="22"/>
        </w:rPr>
        <w:tab/>
      </w:r>
      <w:r w:rsidRPr="00B04DC3">
        <w:rPr>
          <w:szCs w:val="22"/>
        </w:rPr>
        <w:tab/>
        <w:t>A</w:t>
      </w:r>
      <w:r w:rsidR="00260B82" w:rsidRPr="00B04DC3">
        <w:rPr>
          <w:szCs w:val="22"/>
        </w:rPr>
        <w:t>pproval refused</w:t>
      </w:r>
    </w:p>
    <w:p w:rsidR="00E46E21" w:rsidRPr="00B04DC3" w:rsidRDefault="00E46E21" w:rsidP="00E46E21">
      <w:pPr>
        <w:tabs>
          <w:tab w:val="left" w:pos="2687"/>
        </w:tabs>
        <w:ind w:left="2268" w:hanging="1168"/>
        <w:rPr>
          <w:szCs w:val="22"/>
        </w:rPr>
      </w:pPr>
      <w:r w:rsidRPr="00B04DC3">
        <w:rPr>
          <w:szCs w:val="22"/>
        </w:rPr>
        <w:tab/>
      </w:r>
      <w:r w:rsidRPr="00B04DC3">
        <w:rPr>
          <w:szCs w:val="22"/>
        </w:rPr>
        <w:tab/>
        <w:t>A</w:t>
      </w:r>
      <w:r w:rsidR="00260B82" w:rsidRPr="00B04DC3">
        <w:rPr>
          <w:szCs w:val="22"/>
        </w:rPr>
        <w:t>pproval withdrawn</w:t>
      </w:r>
    </w:p>
    <w:p w:rsidR="00E46E21" w:rsidRPr="00B04DC3" w:rsidRDefault="00E46E21" w:rsidP="00E46E21">
      <w:pPr>
        <w:tabs>
          <w:tab w:val="left" w:pos="2687"/>
        </w:tabs>
        <w:spacing w:after="360"/>
        <w:ind w:left="2268" w:hanging="1168"/>
        <w:rPr>
          <w:szCs w:val="22"/>
        </w:rPr>
      </w:pPr>
      <w:r w:rsidRPr="00B04DC3">
        <w:rPr>
          <w:szCs w:val="22"/>
        </w:rPr>
        <w:tab/>
      </w:r>
      <w:r w:rsidRPr="00B04DC3">
        <w:rPr>
          <w:szCs w:val="22"/>
        </w:rPr>
        <w:tab/>
        <w:t>P</w:t>
      </w:r>
      <w:r w:rsidR="00260B82" w:rsidRPr="00B04DC3">
        <w:rPr>
          <w:szCs w:val="22"/>
        </w:rPr>
        <w:t>roduction definitively discontinued</w:t>
      </w:r>
    </w:p>
    <w:p w:rsidR="00C0100D" w:rsidRPr="00B04DC3" w:rsidRDefault="00C0100D" w:rsidP="00350F5F">
      <w:pPr>
        <w:pStyle w:val="para"/>
        <w:ind w:left="1134" w:firstLine="0"/>
        <w:rPr>
          <w:lang w:val="en-GB"/>
        </w:rPr>
      </w:pPr>
      <w:r w:rsidRPr="00B04DC3">
        <w:rPr>
          <w:lang w:val="en-GB"/>
        </w:rPr>
        <w:t>of a vehicle type with regard to the emission of pollutants by the engine pursuant to Regulation No. 49</w:t>
      </w:r>
    </w:p>
    <w:p w:rsidR="00E46E21" w:rsidRPr="00B04DC3" w:rsidRDefault="00E46E21" w:rsidP="00E46E21">
      <w:pPr>
        <w:pStyle w:val="SingleTxtG"/>
        <w:tabs>
          <w:tab w:val="left" w:pos="1134"/>
          <w:tab w:val="left" w:pos="4536"/>
          <w:tab w:val="left" w:pos="5103"/>
          <w:tab w:val="right" w:pos="8505"/>
        </w:tabs>
      </w:pPr>
      <w:r w:rsidRPr="00B04DC3">
        <w:t>Approval No. ........................................................ Extension No. ...........................................</w:t>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w:t>
      </w:r>
      <w:r w:rsidR="00C0100D" w:rsidRPr="00B04DC3">
        <w:rPr>
          <w:rFonts w:cs="Courier New"/>
        </w:rPr>
        <w:tab/>
        <w:t>Trade name or mark of the engine:</w:t>
      </w:r>
      <w:r w:rsidR="00C0100D"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1.1.</w:t>
      </w:r>
      <w:r w:rsidR="00C0100D" w:rsidRPr="00B04DC3">
        <w:rPr>
          <w:rFonts w:cs="Courier New"/>
        </w:rPr>
        <w:tab/>
        <w:t>Make and type of the engine:</w:t>
      </w:r>
      <w:r w:rsidR="00C0100D"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1.2.</w:t>
      </w:r>
      <w:r w:rsidR="00C0100D" w:rsidRPr="00B04DC3">
        <w:rPr>
          <w:rFonts w:cs="Courier New"/>
        </w:rPr>
        <w:tab/>
        <w:t xml:space="preserve">Manufacturer's code as marked on the engine: </w:t>
      </w:r>
      <w:r w:rsidR="00C0100D"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2.</w:t>
      </w:r>
      <w:r w:rsidR="00C0100D" w:rsidRPr="00B04DC3">
        <w:rPr>
          <w:rFonts w:cs="Courier New"/>
        </w:rPr>
        <w:tab/>
        <w:t>Vehicle make and type:</w:t>
      </w:r>
      <w:r w:rsidR="00C0100D"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3.</w:t>
      </w:r>
      <w:r w:rsidR="00C0100D" w:rsidRPr="00B04DC3">
        <w:rPr>
          <w:rFonts w:cs="Courier New"/>
        </w:rPr>
        <w:tab/>
        <w:t>Manufacturer's name and address:</w:t>
      </w:r>
      <w:r w:rsidR="00C0100D"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4.</w:t>
      </w:r>
      <w:r w:rsidR="00C0100D" w:rsidRPr="00B04DC3">
        <w:rPr>
          <w:rFonts w:cs="Courier New"/>
        </w:rPr>
        <w:tab/>
        <w:t>If applicable, name and address of manufacturer's representative:</w:t>
      </w:r>
      <w:r w:rsidR="00C0100D" w:rsidRPr="00B04DC3">
        <w:rPr>
          <w:rFonts w:cs="Courier New"/>
        </w:rPr>
        <w:tab/>
      </w:r>
    </w:p>
    <w:p w:rsidR="00C0100D" w:rsidRPr="00B04DC3" w:rsidRDefault="00C0100D"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E46E21" w:rsidRPr="00B04DC3">
        <w:rPr>
          <w:rFonts w:cs="Courier New"/>
        </w:rPr>
        <w:tab/>
      </w:r>
      <w:r w:rsidR="00E46E21" w:rsidRPr="00B04DC3">
        <w:rPr>
          <w:rFonts w:cs="Courier New"/>
        </w:rPr>
        <w:tab/>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5.</w:t>
      </w:r>
      <w:r w:rsidR="00C0100D" w:rsidRPr="00B04DC3">
        <w:rPr>
          <w:rFonts w:cs="Courier New"/>
        </w:rPr>
        <w:tab/>
        <w:t>Maximum allowable intake depression:</w:t>
      </w:r>
      <w:r w:rsidR="00C0100D" w:rsidRPr="00B04DC3">
        <w:rPr>
          <w:rFonts w:cs="Courier New"/>
        </w:rPr>
        <w:tab/>
        <w:t>kPa</w:t>
      </w:r>
    </w:p>
    <w:p w:rsidR="00C0100D" w:rsidRPr="00B04DC3" w:rsidRDefault="00E46E2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6.</w:t>
      </w:r>
      <w:r w:rsidR="00C0100D" w:rsidRPr="00B04DC3">
        <w:rPr>
          <w:rFonts w:cs="Courier New"/>
        </w:rPr>
        <w:tab/>
        <w:t xml:space="preserve">Maximum allowable back-pressure: </w:t>
      </w:r>
      <w:r w:rsidR="00C0100D" w:rsidRPr="00B04DC3">
        <w:rPr>
          <w:rFonts w:cs="Courier New"/>
        </w:rPr>
        <w:tab/>
        <w:t>kPa</w:t>
      </w:r>
    </w:p>
    <w:p w:rsidR="00C0100D" w:rsidRPr="00B04DC3" w:rsidRDefault="00CC52C6"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br w:type="page"/>
      </w:r>
      <w:r w:rsidR="006B664A" w:rsidRPr="00B04DC3">
        <w:rPr>
          <w:rFonts w:cs="Courier New"/>
        </w:rPr>
        <w:tab/>
      </w:r>
      <w:r w:rsidR="00C0100D" w:rsidRPr="00B04DC3">
        <w:rPr>
          <w:rFonts w:cs="Courier New"/>
        </w:rPr>
        <w:t>7.</w:t>
      </w:r>
      <w:r w:rsidR="00C0100D" w:rsidRPr="00B04DC3">
        <w:rPr>
          <w:rFonts w:cs="Courier New"/>
        </w:rPr>
        <w:tab/>
        <w:t>Maximum permissible power absorbed by the engine</w:t>
      </w:r>
      <w:r w:rsidR="00C0100D" w:rsidRPr="00B04DC3">
        <w:rPr>
          <w:rFonts w:cs="Courier New"/>
        </w:rPr>
        <w:noBreakHyphen/>
        <w:t>driven equipment:</w:t>
      </w:r>
    </w:p>
    <w:p w:rsidR="00C0100D" w:rsidRPr="00B04DC3" w:rsidRDefault="00C0100D" w:rsidP="00CC52C6">
      <w:pPr>
        <w:tabs>
          <w:tab w:val="left" w:pos="2268"/>
          <w:tab w:val="right" w:leader="dot" w:pos="8505"/>
        </w:tabs>
        <w:autoSpaceDE w:val="0"/>
        <w:autoSpaceDN w:val="0"/>
        <w:adjustRightInd w:val="0"/>
        <w:spacing w:after="120"/>
        <w:ind w:left="2302" w:right="1140" w:hanging="1134"/>
        <w:jc w:val="both"/>
        <w:rPr>
          <w:rFonts w:cs="Courier New"/>
        </w:rPr>
      </w:pPr>
      <w:r w:rsidRPr="00B04DC3">
        <w:rPr>
          <w:rFonts w:cs="Courier New"/>
        </w:rPr>
        <w:tab/>
        <w:t>Idle:</w:t>
      </w:r>
      <w:r w:rsidRPr="00B04DC3">
        <w:rPr>
          <w:rFonts w:cs="Courier New"/>
        </w:rPr>
        <w:fldChar w:fldCharType="begin"/>
      </w:r>
      <w:r w:rsidRPr="00B04DC3">
        <w:rPr>
          <w:rFonts w:cs="Courier New"/>
        </w:rPr>
        <w:fldChar w:fldCharType="end"/>
      </w:r>
      <w:r w:rsidR="006B664A" w:rsidRPr="00B04DC3">
        <w:rPr>
          <w:rFonts w:cs="Courier New"/>
        </w:rPr>
        <w:t>…</w:t>
      </w:r>
      <w:r w:rsidR="003623A8" w:rsidRPr="00B04DC3">
        <w:rPr>
          <w:rFonts w:cs="Courier New"/>
        </w:rPr>
        <w:t>.</w:t>
      </w:r>
      <w:r w:rsidR="006B664A" w:rsidRPr="00B04DC3">
        <w:rPr>
          <w:rFonts w:cs="Courier New"/>
        </w:rPr>
        <w:t xml:space="preserve">………..…kW; </w:t>
      </w:r>
      <w:r w:rsidR="00CC52C6" w:rsidRPr="00B04DC3">
        <w:rPr>
          <w:rFonts w:cs="Courier New"/>
        </w:rPr>
        <w:t xml:space="preserve">   </w:t>
      </w:r>
      <w:r w:rsidR="003623A8" w:rsidRPr="00B04DC3">
        <w:rPr>
          <w:rFonts w:cs="Courier New"/>
        </w:rPr>
        <w:t>Low Speed:…</w:t>
      </w:r>
      <w:r w:rsidR="006B664A" w:rsidRPr="00B04DC3">
        <w:rPr>
          <w:rFonts w:cs="Courier New"/>
        </w:rPr>
        <w:t>……</w:t>
      </w:r>
      <w:r w:rsidR="003623A8" w:rsidRPr="00B04DC3">
        <w:rPr>
          <w:rFonts w:cs="Courier New"/>
        </w:rPr>
        <w:t>k</w:t>
      </w:r>
      <w:r w:rsidRPr="00B04DC3">
        <w:rPr>
          <w:rFonts w:cs="Courier New"/>
        </w:rPr>
        <w:t xml:space="preserve">W; </w:t>
      </w:r>
      <w:r w:rsidR="00CC52C6" w:rsidRPr="00B04DC3">
        <w:rPr>
          <w:rFonts w:cs="Courier New"/>
        </w:rPr>
        <w:t xml:space="preserve">  </w:t>
      </w:r>
      <w:r w:rsidR="003623A8" w:rsidRPr="00B04DC3">
        <w:rPr>
          <w:rFonts w:cs="Courier New"/>
        </w:rPr>
        <w:t xml:space="preserve"> </w:t>
      </w:r>
      <w:r w:rsidRPr="00B04DC3">
        <w:rPr>
          <w:rFonts w:cs="Courier New"/>
        </w:rPr>
        <w:t>High Speed:</w:t>
      </w:r>
      <w:r w:rsidRPr="00B04DC3">
        <w:rPr>
          <w:rFonts w:cs="Courier New"/>
        </w:rPr>
        <w:tab/>
        <w:t>kW</w:t>
      </w:r>
    </w:p>
    <w:p w:rsidR="00C0100D" w:rsidRPr="00B04DC3" w:rsidRDefault="00C0100D" w:rsidP="00CC52C6">
      <w:pPr>
        <w:tabs>
          <w:tab w:val="left" w:pos="2268"/>
          <w:tab w:val="right" w:leader="dot" w:pos="8505"/>
        </w:tabs>
        <w:autoSpaceDE w:val="0"/>
        <w:autoSpaceDN w:val="0"/>
        <w:adjustRightInd w:val="0"/>
        <w:spacing w:after="120"/>
        <w:ind w:left="2302" w:right="1140" w:hanging="1134"/>
        <w:jc w:val="both"/>
        <w:rPr>
          <w:rFonts w:cs="Courier New"/>
        </w:rPr>
      </w:pPr>
      <w:r w:rsidRPr="00B04DC3">
        <w:rPr>
          <w:rFonts w:cs="Courier New"/>
        </w:rPr>
        <w:tab/>
        <w:t>Speed A:</w:t>
      </w:r>
      <w:r w:rsidRPr="00B04DC3">
        <w:rPr>
          <w:rFonts w:cs="Courier New"/>
        </w:rPr>
        <w:fldChar w:fldCharType="begin"/>
      </w:r>
      <w:r w:rsidRPr="00B04DC3">
        <w:rPr>
          <w:rFonts w:cs="Courier New"/>
        </w:rPr>
        <w:fldChar w:fldCharType="end"/>
      </w:r>
      <w:r w:rsidR="006B664A" w:rsidRPr="00B04DC3">
        <w:rPr>
          <w:rFonts w:cs="Courier New"/>
        </w:rPr>
        <w:t>…</w:t>
      </w:r>
      <w:r w:rsidR="00CC52C6" w:rsidRPr="00B04DC3">
        <w:rPr>
          <w:rFonts w:cs="Courier New"/>
        </w:rPr>
        <w:t>…</w:t>
      </w:r>
      <w:r w:rsidR="006B664A" w:rsidRPr="00B04DC3">
        <w:rPr>
          <w:rFonts w:cs="Courier New"/>
        </w:rPr>
        <w:t>……</w:t>
      </w:r>
      <w:r w:rsidRPr="00B04DC3">
        <w:rPr>
          <w:rFonts w:cs="Courier New"/>
        </w:rPr>
        <w:t>kW;</w:t>
      </w:r>
      <w:r w:rsidR="00CC52C6" w:rsidRPr="00B04DC3">
        <w:rPr>
          <w:rFonts w:cs="Courier New"/>
        </w:rPr>
        <w:t xml:space="preserve">   </w:t>
      </w:r>
      <w:r w:rsidRPr="00B04DC3">
        <w:rPr>
          <w:rFonts w:cs="Courier New"/>
        </w:rPr>
        <w:t xml:space="preserve"> Speed B:</w:t>
      </w:r>
      <w:r w:rsidR="003623A8" w:rsidRPr="00B04DC3">
        <w:rPr>
          <w:rFonts w:cs="Courier New"/>
        </w:rPr>
        <w:t>……</w:t>
      </w:r>
      <w:r w:rsidR="006B664A" w:rsidRPr="00B04DC3">
        <w:rPr>
          <w:rFonts w:cs="Courier New"/>
        </w:rPr>
        <w:t>…….</w:t>
      </w:r>
      <w:r w:rsidRPr="00B04DC3">
        <w:rPr>
          <w:rFonts w:cs="Courier New"/>
        </w:rPr>
        <w:fldChar w:fldCharType="begin"/>
      </w:r>
      <w:r w:rsidRPr="00B04DC3">
        <w:rPr>
          <w:rFonts w:cs="Courier New"/>
        </w:rPr>
        <w:fldChar w:fldCharType="end"/>
      </w:r>
      <w:r w:rsidRPr="00B04DC3">
        <w:rPr>
          <w:rFonts w:cs="Courier New"/>
        </w:rPr>
        <w:t xml:space="preserve">kW; </w:t>
      </w:r>
      <w:r w:rsidR="00CC52C6" w:rsidRPr="00B04DC3">
        <w:rPr>
          <w:rFonts w:cs="Courier New"/>
        </w:rPr>
        <w:t xml:space="preserve">  </w:t>
      </w:r>
      <w:r w:rsidRPr="00B04DC3">
        <w:rPr>
          <w:rFonts w:cs="Courier New"/>
        </w:rPr>
        <w:t>Speed C:</w:t>
      </w:r>
      <w:r w:rsidRPr="00B04DC3">
        <w:rPr>
          <w:rFonts w:cs="Courier New"/>
        </w:rPr>
        <w:tab/>
        <w:t>kW</w:t>
      </w:r>
    </w:p>
    <w:p w:rsidR="00C0100D" w:rsidRPr="00B04DC3" w:rsidRDefault="006B664A" w:rsidP="00CC52C6">
      <w:pPr>
        <w:tabs>
          <w:tab w:val="left" w:pos="2268"/>
          <w:tab w:val="right" w:leader="dot" w:pos="8505"/>
        </w:tabs>
        <w:autoSpaceDE w:val="0"/>
        <w:autoSpaceDN w:val="0"/>
        <w:adjustRightInd w:val="0"/>
        <w:spacing w:after="120"/>
        <w:ind w:left="2302" w:right="1140" w:hanging="1134"/>
        <w:jc w:val="both"/>
        <w:rPr>
          <w:rFonts w:cs="Courier New"/>
        </w:rPr>
      </w:pPr>
      <w:r w:rsidRPr="00B04DC3">
        <w:rPr>
          <w:rFonts w:cs="Courier New"/>
        </w:rPr>
        <w:tab/>
        <w:t xml:space="preserve">Reference </w:t>
      </w:r>
      <w:r w:rsidR="004E65D6">
        <w:rPr>
          <w:rFonts w:cs="Courier New"/>
        </w:rPr>
        <w:t>s</w:t>
      </w:r>
      <w:r w:rsidR="004E65D6" w:rsidRPr="00B04DC3">
        <w:rPr>
          <w:rFonts w:cs="Courier New"/>
        </w:rPr>
        <w:t>peed</w:t>
      </w:r>
      <w:r w:rsidRPr="00B04DC3">
        <w:rPr>
          <w:rFonts w:cs="Courier New"/>
        </w:rPr>
        <w:t>:</w:t>
      </w:r>
      <w:r w:rsidR="00C0100D" w:rsidRPr="00B04DC3">
        <w:rPr>
          <w:rFonts w:cs="Courier New"/>
        </w:rPr>
        <w:tab/>
        <w:t>kW</w:t>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8.</w:t>
      </w:r>
      <w:r w:rsidR="00C0100D" w:rsidRPr="00B04DC3">
        <w:rPr>
          <w:rFonts w:cs="Courier New"/>
        </w:rPr>
        <w:tab/>
        <w:t>Volume of the exhaust system:</w:t>
      </w:r>
      <w:r w:rsidR="00C0100D" w:rsidRPr="00B04DC3">
        <w:rPr>
          <w:rFonts w:cs="Courier New"/>
        </w:rPr>
        <w:tab/>
        <w:t>cm</w:t>
      </w:r>
      <w:r w:rsidR="00C0100D" w:rsidRPr="00B04DC3">
        <w:rPr>
          <w:rFonts w:cs="Courier New"/>
          <w:vertAlign w:val="superscript"/>
        </w:rPr>
        <w:t>3</w:t>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9.</w:t>
      </w:r>
      <w:r w:rsidR="00C0100D" w:rsidRPr="00B04DC3">
        <w:rPr>
          <w:rFonts w:cs="Courier New"/>
        </w:rPr>
        <w:tab/>
        <w:t>Emission levels of the engine/parent engine</w:t>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9.1.</w:t>
      </w:r>
      <w:r w:rsidR="00C0100D" w:rsidRPr="00B04DC3">
        <w:rPr>
          <w:rFonts w:cs="Courier New"/>
        </w:rPr>
        <w:tab/>
        <w:t xml:space="preserve">Emission stage (according to table in paragraph 4.6.3.) </w:t>
      </w:r>
      <w:r w:rsidR="00C0100D" w:rsidRPr="00B04DC3">
        <w:rPr>
          <w:rFonts w:cs="Courier New"/>
        </w:rPr>
        <w:tab/>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9.2.</w:t>
      </w:r>
      <w:r w:rsidR="00C0100D" w:rsidRPr="00B04DC3">
        <w:rPr>
          <w:rFonts w:cs="Courier New"/>
        </w:rPr>
        <w:tab/>
        <w:t>ESC test (if applicable):</w:t>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ab/>
        <w:t xml:space="preserve">Deterioration </w:t>
      </w:r>
      <w:r w:rsidRPr="00B04DC3">
        <w:rPr>
          <w:rFonts w:cs="Courier New"/>
        </w:rPr>
        <w:t>factor (DF):</w:t>
      </w:r>
      <w:r w:rsidR="009F153C" w:rsidRPr="00B04DC3">
        <w:rPr>
          <w:rFonts w:cs="Courier New"/>
        </w:rPr>
        <w:tab/>
      </w:r>
      <w:r w:rsidRPr="00B04DC3">
        <w:rPr>
          <w:rFonts w:cs="Courier New"/>
        </w:rPr>
        <w:t xml:space="preserve"> calculated/fixed</w:t>
      </w:r>
      <w:r w:rsidRPr="00B04DC3">
        <w:rPr>
          <w:rFonts w:cs="Courier New"/>
          <w:vertAlign w:val="superscript"/>
        </w:rPr>
        <w:t>2</w:t>
      </w:r>
    </w:p>
    <w:p w:rsidR="00C0100D" w:rsidRPr="00B04DC3" w:rsidRDefault="006B664A"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ab/>
        <w:t>Specify the DF values and the emissions on the ESC test in the table below:</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1023"/>
        <w:gridCol w:w="1023"/>
        <w:gridCol w:w="1023"/>
        <w:gridCol w:w="1023"/>
      </w:tblGrid>
      <w:tr w:rsidR="00C0100D" w:rsidRPr="00B04DC3">
        <w:tc>
          <w:tcPr>
            <w:tcW w:w="6237" w:type="dxa"/>
            <w:gridSpan w:val="5"/>
            <w:vAlign w:val="cente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ESC test</w:t>
            </w:r>
          </w:p>
        </w:tc>
      </w:tr>
      <w:tr w:rsidR="003623A8" w:rsidRPr="00B04DC3">
        <w:trPr>
          <w:trHeight w:val="351"/>
        </w:trPr>
        <w:tc>
          <w:tcPr>
            <w:tcW w:w="2145" w:type="dxa"/>
            <w:vAlign w:val="cente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DF:</w:t>
            </w:r>
          </w:p>
        </w:tc>
        <w:tc>
          <w:tcPr>
            <w:tcW w:w="1023" w:type="dxa"/>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CO</w:t>
            </w:r>
          </w:p>
        </w:tc>
        <w:tc>
          <w:tcPr>
            <w:tcW w:w="1023" w:type="dxa"/>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THC</w:t>
            </w:r>
          </w:p>
        </w:tc>
        <w:tc>
          <w:tcPr>
            <w:tcW w:w="1023" w:type="dxa"/>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NO</w:t>
            </w:r>
            <w:r w:rsidRPr="00B04DC3">
              <w:rPr>
                <w:i/>
                <w:sz w:val="16"/>
                <w:szCs w:val="16"/>
                <w:vertAlign w:val="subscript"/>
              </w:rPr>
              <w:t>x</w:t>
            </w:r>
          </w:p>
        </w:tc>
        <w:tc>
          <w:tcPr>
            <w:tcW w:w="1023" w:type="dxa"/>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PT</w:t>
            </w:r>
          </w:p>
        </w:tc>
      </w:tr>
      <w:tr w:rsidR="00C0100D" w:rsidRPr="00B04DC3" w:rsidTr="00260B82">
        <w:tc>
          <w:tcPr>
            <w:tcW w:w="2145" w:type="dxa"/>
            <w:tcBorders>
              <w:bottom w:val="single" w:sz="12" w:space="0" w:color="auto"/>
            </w:tcBorders>
            <w:vAlign w:val="cente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Emissions</w:t>
            </w:r>
          </w:p>
        </w:tc>
        <w:tc>
          <w:tcPr>
            <w:tcW w:w="1023" w:type="dxa"/>
            <w:tcBorders>
              <w:bottom w:val="single" w:sz="12" w:space="0" w:color="auto"/>
            </w:tcBorders>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CO</w:t>
            </w:r>
            <w:r w:rsidR="003623A8" w:rsidRPr="00B04DC3">
              <w:rPr>
                <w:i/>
                <w:sz w:val="16"/>
                <w:szCs w:val="16"/>
              </w:rPr>
              <w:br/>
            </w:r>
            <w:r w:rsidRPr="00B04DC3">
              <w:rPr>
                <w:i/>
                <w:sz w:val="16"/>
                <w:szCs w:val="16"/>
              </w:rPr>
              <w:t>(g/kWh)</w:t>
            </w:r>
          </w:p>
        </w:tc>
        <w:tc>
          <w:tcPr>
            <w:tcW w:w="1023" w:type="dxa"/>
            <w:tcBorders>
              <w:bottom w:val="single" w:sz="12" w:space="0" w:color="auto"/>
            </w:tcBorders>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THC</w:t>
            </w:r>
            <w:r w:rsidR="003623A8" w:rsidRPr="00B04DC3">
              <w:rPr>
                <w:i/>
                <w:sz w:val="16"/>
                <w:szCs w:val="16"/>
              </w:rPr>
              <w:br/>
            </w:r>
            <w:r w:rsidRPr="00B04DC3">
              <w:rPr>
                <w:i/>
                <w:sz w:val="16"/>
                <w:szCs w:val="16"/>
              </w:rPr>
              <w:t>(g/kWh)</w:t>
            </w:r>
          </w:p>
        </w:tc>
        <w:tc>
          <w:tcPr>
            <w:tcW w:w="1023" w:type="dxa"/>
            <w:tcBorders>
              <w:bottom w:val="single" w:sz="12" w:space="0" w:color="auto"/>
            </w:tcBorders>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NO</w:t>
            </w:r>
            <w:r w:rsidRPr="00B04DC3">
              <w:rPr>
                <w:i/>
                <w:sz w:val="16"/>
                <w:szCs w:val="16"/>
                <w:vertAlign w:val="subscript"/>
              </w:rPr>
              <w:t>x</w:t>
            </w:r>
            <w:r w:rsidR="003623A8" w:rsidRPr="00B04DC3">
              <w:rPr>
                <w:i/>
                <w:sz w:val="16"/>
                <w:szCs w:val="16"/>
              </w:rPr>
              <w:br/>
            </w:r>
            <w:r w:rsidRPr="00B04DC3">
              <w:rPr>
                <w:i/>
                <w:sz w:val="16"/>
                <w:szCs w:val="16"/>
              </w:rPr>
              <w:t>(g/kWh)</w:t>
            </w:r>
          </w:p>
        </w:tc>
        <w:tc>
          <w:tcPr>
            <w:tcW w:w="1023" w:type="dxa"/>
            <w:tcBorders>
              <w:bottom w:val="single" w:sz="12" w:space="0" w:color="auto"/>
            </w:tcBorders>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PT</w:t>
            </w:r>
            <w:r w:rsidR="003623A8" w:rsidRPr="00B04DC3">
              <w:rPr>
                <w:i/>
                <w:sz w:val="16"/>
                <w:szCs w:val="16"/>
              </w:rPr>
              <w:br/>
            </w:r>
            <w:r w:rsidRPr="00B04DC3">
              <w:rPr>
                <w:i/>
                <w:sz w:val="16"/>
                <w:szCs w:val="16"/>
              </w:rPr>
              <w:t>(g/kWh)</w:t>
            </w:r>
          </w:p>
        </w:tc>
      </w:tr>
      <w:tr w:rsidR="00C0100D" w:rsidRPr="00B04DC3" w:rsidTr="00260B82">
        <w:tc>
          <w:tcPr>
            <w:tcW w:w="2145" w:type="dxa"/>
            <w:tcBorders>
              <w:top w:val="single" w:sz="12" w:space="0" w:color="auto"/>
            </w:tcBorders>
          </w:tcPr>
          <w:p w:rsidR="00C0100D" w:rsidRPr="00B04DC3" w:rsidRDefault="00C0100D" w:rsidP="00ED0418">
            <w:pPr>
              <w:spacing w:before="60" w:after="60"/>
              <w:rPr>
                <w:szCs w:val="16"/>
              </w:rPr>
            </w:pPr>
            <w:r w:rsidRPr="00B04DC3">
              <w:rPr>
                <w:szCs w:val="16"/>
              </w:rPr>
              <w:t>Measured:</w:t>
            </w:r>
          </w:p>
        </w:tc>
        <w:tc>
          <w:tcPr>
            <w:tcW w:w="1023" w:type="dxa"/>
            <w:tcBorders>
              <w:top w:val="single" w:sz="12" w:space="0" w:color="auto"/>
            </w:tcBorders>
          </w:tcPr>
          <w:p w:rsidR="00C0100D" w:rsidRPr="00B04DC3" w:rsidRDefault="00C0100D" w:rsidP="00ED0418">
            <w:pPr>
              <w:spacing w:before="60" w:after="60"/>
              <w:rPr>
                <w:szCs w:val="16"/>
              </w:rPr>
            </w:pPr>
          </w:p>
        </w:tc>
        <w:tc>
          <w:tcPr>
            <w:tcW w:w="1023" w:type="dxa"/>
            <w:tcBorders>
              <w:top w:val="single" w:sz="12" w:space="0" w:color="auto"/>
            </w:tcBorders>
          </w:tcPr>
          <w:p w:rsidR="00C0100D" w:rsidRPr="00B04DC3" w:rsidRDefault="00C0100D" w:rsidP="00ED0418">
            <w:pPr>
              <w:spacing w:before="60" w:after="60"/>
              <w:rPr>
                <w:szCs w:val="16"/>
              </w:rPr>
            </w:pPr>
          </w:p>
        </w:tc>
        <w:tc>
          <w:tcPr>
            <w:tcW w:w="1023" w:type="dxa"/>
            <w:tcBorders>
              <w:top w:val="single" w:sz="12" w:space="0" w:color="auto"/>
            </w:tcBorders>
          </w:tcPr>
          <w:p w:rsidR="00C0100D" w:rsidRPr="00B04DC3" w:rsidRDefault="00C0100D" w:rsidP="00ED0418">
            <w:pPr>
              <w:spacing w:before="60" w:after="60"/>
              <w:rPr>
                <w:szCs w:val="16"/>
              </w:rPr>
            </w:pPr>
          </w:p>
        </w:tc>
        <w:tc>
          <w:tcPr>
            <w:tcW w:w="1023" w:type="dxa"/>
            <w:tcBorders>
              <w:top w:val="single" w:sz="12" w:space="0" w:color="auto"/>
            </w:tcBorders>
          </w:tcPr>
          <w:p w:rsidR="00C0100D" w:rsidRPr="00B04DC3" w:rsidRDefault="00C0100D" w:rsidP="00ED0418">
            <w:pPr>
              <w:spacing w:before="60" w:after="60"/>
              <w:rPr>
                <w:szCs w:val="16"/>
              </w:rPr>
            </w:pPr>
          </w:p>
        </w:tc>
      </w:tr>
      <w:tr w:rsidR="00C0100D" w:rsidRPr="00B04DC3" w:rsidTr="00260B82">
        <w:tc>
          <w:tcPr>
            <w:tcW w:w="2145" w:type="dxa"/>
            <w:tcBorders>
              <w:bottom w:val="single" w:sz="12" w:space="0" w:color="auto"/>
            </w:tcBorders>
          </w:tcPr>
          <w:p w:rsidR="00C0100D" w:rsidRPr="00B04DC3" w:rsidRDefault="00C0100D" w:rsidP="00ED0418">
            <w:pPr>
              <w:spacing w:before="60" w:after="60"/>
              <w:rPr>
                <w:szCs w:val="16"/>
              </w:rPr>
            </w:pPr>
            <w:r w:rsidRPr="00B04DC3">
              <w:rPr>
                <w:szCs w:val="16"/>
              </w:rPr>
              <w:t>Calculated with DF:</w:t>
            </w:r>
          </w:p>
        </w:tc>
        <w:tc>
          <w:tcPr>
            <w:tcW w:w="1023" w:type="dxa"/>
            <w:tcBorders>
              <w:bottom w:val="single" w:sz="12" w:space="0" w:color="auto"/>
            </w:tcBorders>
          </w:tcPr>
          <w:p w:rsidR="00C0100D" w:rsidRPr="00B04DC3" w:rsidRDefault="00C0100D" w:rsidP="00ED0418">
            <w:pPr>
              <w:spacing w:before="60" w:after="60"/>
              <w:rPr>
                <w:szCs w:val="16"/>
              </w:rPr>
            </w:pPr>
          </w:p>
        </w:tc>
        <w:tc>
          <w:tcPr>
            <w:tcW w:w="1023" w:type="dxa"/>
            <w:tcBorders>
              <w:bottom w:val="single" w:sz="12" w:space="0" w:color="auto"/>
            </w:tcBorders>
          </w:tcPr>
          <w:p w:rsidR="00C0100D" w:rsidRPr="00B04DC3" w:rsidRDefault="00C0100D" w:rsidP="00ED0418">
            <w:pPr>
              <w:spacing w:before="60" w:after="60"/>
              <w:rPr>
                <w:szCs w:val="16"/>
              </w:rPr>
            </w:pPr>
          </w:p>
        </w:tc>
        <w:tc>
          <w:tcPr>
            <w:tcW w:w="1023" w:type="dxa"/>
            <w:tcBorders>
              <w:bottom w:val="single" w:sz="12" w:space="0" w:color="auto"/>
            </w:tcBorders>
          </w:tcPr>
          <w:p w:rsidR="00C0100D" w:rsidRPr="00B04DC3" w:rsidRDefault="00C0100D" w:rsidP="00ED0418">
            <w:pPr>
              <w:spacing w:before="60" w:after="60"/>
              <w:rPr>
                <w:szCs w:val="16"/>
              </w:rPr>
            </w:pPr>
          </w:p>
        </w:tc>
        <w:tc>
          <w:tcPr>
            <w:tcW w:w="1023" w:type="dxa"/>
            <w:tcBorders>
              <w:bottom w:val="single" w:sz="12" w:space="0" w:color="auto"/>
            </w:tcBorders>
          </w:tcPr>
          <w:p w:rsidR="00C0100D" w:rsidRPr="00B04DC3" w:rsidRDefault="00C0100D" w:rsidP="00ED0418">
            <w:pPr>
              <w:spacing w:before="60" w:after="60"/>
              <w:rPr>
                <w:szCs w:val="16"/>
              </w:rPr>
            </w:pPr>
          </w:p>
        </w:tc>
      </w:tr>
    </w:tbl>
    <w:p w:rsidR="00C0100D" w:rsidRPr="00B04DC3" w:rsidRDefault="00ED0418" w:rsidP="003623A8">
      <w:pPr>
        <w:tabs>
          <w:tab w:val="left" w:pos="1134"/>
          <w:tab w:val="left" w:pos="2268"/>
          <w:tab w:val="right" w:leader="dot" w:pos="8505"/>
        </w:tabs>
        <w:autoSpaceDE w:val="0"/>
        <w:autoSpaceDN w:val="0"/>
        <w:adjustRightInd w:val="0"/>
        <w:spacing w:before="240" w:after="120"/>
        <w:ind w:left="1134" w:hanging="1134"/>
        <w:jc w:val="both"/>
        <w:rPr>
          <w:rFonts w:cs="Courier New"/>
        </w:rPr>
      </w:pPr>
      <w:r w:rsidRPr="00B04DC3">
        <w:rPr>
          <w:rFonts w:cs="Courier New"/>
        </w:rPr>
        <w:tab/>
      </w:r>
      <w:r w:rsidR="00C0100D" w:rsidRPr="00B04DC3">
        <w:rPr>
          <w:rFonts w:cs="Courier New"/>
        </w:rPr>
        <w:t>9.3.</w:t>
      </w:r>
      <w:r w:rsidR="00C0100D" w:rsidRPr="00B04DC3">
        <w:rPr>
          <w:rFonts w:cs="Courier New"/>
        </w:rPr>
        <w:tab/>
        <w:t>ELR test (if applicable):</w:t>
      </w:r>
      <w:r w:rsidRPr="00B04DC3">
        <w:rPr>
          <w:rFonts w:cs="Courier New"/>
        </w:rPr>
        <w:tab/>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ab/>
      </w:r>
      <w:r w:rsidR="004E65D6" w:rsidRPr="00B04DC3">
        <w:rPr>
          <w:rFonts w:cs="Courier New"/>
        </w:rPr>
        <w:t>Smoke</w:t>
      </w:r>
      <w:r w:rsidR="00C0100D" w:rsidRPr="00B04DC3">
        <w:rPr>
          <w:rFonts w:cs="Courier New"/>
        </w:rPr>
        <w:t xml:space="preserve"> value:</w:t>
      </w:r>
      <w:r w:rsidR="00C0100D" w:rsidRPr="00B04DC3">
        <w:rPr>
          <w:rFonts w:cs="Courier New"/>
        </w:rPr>
        <w:tab/>
        <w:t>m</w:t>
      </w:r>
      <w:r w:rsidR="00C0100D" w:rsidRPr="00B04DC3">
        <w:rPr>
          <w:rFonts w:cs="Courier New"/>
          <w:vertAlign w:val="superscript"/>
        </w:rPr>
        <w:t>-1</w:t>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9.4.</w:t>
      </w:r>
      <w:r w:rsidR="00C0100D" w:rsidRPr="00B04DC3">
        <w:rPr>
          <w:rFonts w:cs="Courier New"/>
        </w:rPr>
        <w:tab/>
        <w:t>ETC test:</w:t>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ab/>
        <w:t>Deterioration</w:t>
      </w:r>
      <w:r w:rsidRPr="00B04DC3">
        <w:rPr>
          <w:rFonts w:cs="Courier New"/>
        </w:rPr>
        <w:t xml:space="preserve"> </w:t>
      </w:r>
      <w:r w:rsidR="00350F5F">
        <w:rPr>
          <w:rFonts w:cs="Courier New"/>
        </w:rPr>
        <w:t>F</w:t>
      </w:r>
      <w:r w:rsidR="00350F5F" w:rsidRPr="00B04DC3">
        <w:rPr>
          <w:rFonts w:cs="Courier New"/>
        </w:rPr>
        <w:t xml:space="preserve">actor </w:t>
      </w:r>
      <w:r w:rsidRPr="00B04DC3">
        <w:rPr>
          <w:rFonts w:cs="Courier New"/>
        </w:rPr>
        <w:t>(DF): calculated/fixed</w:t>
      </w:r>
      <w:r w:rsidRPr="00B04DC3">
        <w:rPr>
          <w:rFonts w:cs="Courier New"/>
          <w:vertAlign w:val="superscript"/>
        </w:rPr>
        <w:t>2</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754"/>
        <w:gridCol w:w="887"/>
        <w:gridCol w:w="887"/>
        <w:gridCol w:w="754"/>
        <w:gridCol w:w="887"/>
      </w:tblGrid>
      <w:tr w:rsidR="00C0100D" w:rsidRPr="00B04DC3">
        <w:tc>
          <w:tcPr>
            <w:tcW w:w="6237" w:type="dxa"/>
            <w:gridSpan w:val="6"/>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ETC test</w:t>
            </w:r>
          </w:p>
        </w:tc>
      </w:tr>
      <w:tr w:rsidR="003623A8" w:rsidRPr="00B04DC3">
        <w:trPr>
          <w:trHeight w:val="435"/>
        </w:trPr>
        <w:tc>
          <w:tcPr>
            <w:tcW w:w="2068" w:type="dxa"/>
            <w:tcMar>
              <w:left w:w="28" w:type="dxa"/>
              <w:right w:w="28" w:type="dxa"/>
            </w:tcMar>
            <w:vAlign w:val="cente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DF:</w:t>
            </w:r>
          </w:p>
        </w:tc>
        <w:tc>
          <w:tcPr>
            <w:tcW w:w="754" w:type="dxa"/>
            <w:tcMar>
              <w:left w:w="28" w:type="dxa"/>
              <w:right w:w="28" w:type="dxa"/>
            </w:tcMa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CO</w:t>
            </w:r>
          </w:p>
        </w:tc>
        <w:tc>
          <w:tcPr>
            <w:tcW w:w="887" w:type="dxa"/>
            <w:tcMar>
              <w:left w:w="28" w:type="dxa"/>
              <w:right w:w="28" w:type="dxa"/>
            </w:tcMa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NMHC</w:t>
            </w:r>
          </w:p>
        </w:tc>
        <w:tc>
          <w:tcPr>
            <w:tcW w:w="887" w:type="dxa"/>
            <w:tcMar>
              <w:left w:w="28" w:type="dxa"/>
              <w:right w:w="28" w:type="dxa"/>
            </w:tcMa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CH</w:t>
            </w:r>
            <w:r w:rsidRPr="00B04DC3">
              <w:rPr>
                <w:i/>
                <w:sz w:val="16"/>
                <w:szCs w:val="16"/>
                <w:vertAlign w:val="subscript"/>
              </w:rPr>
              <w:t>4</w:t>
            </w:r>
          </w:p>
        </w:tc>
        <w:tc>
          <w:tcPr>
            <w:tcW w:w="754" w:type="dxa"/>
            <w:tcMar>
              <w:left w:w="28" w:type="dxa"/>
              <w:right w:w="28" w:type="dxa"/>
            </w:tcMa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NO</w:t>
            </w:r>
            <w:r w:rsidRPr="00B04DC3">
              <w:rPr>
                <w:i/>
                <w:sz w:val="16"/>
                <w:szCs w:val="16"/>
                <w:vertAlign w:val="subscript"/>
              </w:rPr>
              <w:t>x</w:t>
            </w:r>
          </w:p>
        </w:tc>
        <w:tc>
          <w:tcPr>
            <w:tcW w:w="887" w:type="dxa"/>
            <w:tcMar>
              <w:left w:w="28" w:type="dxa"/>
              <w:right w:w="28" w:type="dxa"/>
            </w:tcMar>
          </w:tcPr>
          <w:p w:rsidR="003623A8" w:rsidRPr="00B04DC3" w:rsidRDefault="003623A8" w:rsidP="00ED0418">
            <w:pPr>
              <w:pStyle w:val="Text1"/>
              <w:keepNext/>
              <w:tabs>
                <w:tab w:val="left" w:leader="dot" w:pos="5670"/>
              </w:tabs>
              <w:spacing w:before="80" w:after="80"/>
              <w:ind w:left="0"/>
              <w:jc w:val="center"/>
              <w:rPr>
                <w:i/>
                <w:sz w:val="16"/>
                <w:szCs w:val="16"/>
              </w:rPr>
            </w:pPr>
            <w:r w:rsidRPr="00B04DC3">
              <w:rPr>
                <w:i/>
                <w:sz w:val="16"/>
                <w:szCs w:val="16"/>
              </w:rPr>
              <w:t>PT</w:t>
            </w:r>
          </w:p>
        </w:tc>
      </w:tr>
      <w:tr w:rsidR="00C0100D" w:rsidRPr="00B04DC3" w:rsidTr="00260B82">
        <w:tc>
          <w:tcPr>
            <w:tcW w:w="2068" w:type="dxa"/>
            <w:tcBorders>
              <w:bottom w:val="single" w:sz="12" w:space="0" w:color="auto"/>
            </w:tcBorders>
            <w:tcMar>
              <w:left w:w="28" w:type="dxa"/>
              <w:right w:w="28" w:type="dxa"/>
            </w:tcMar>
            <w:vAlign w:val="cente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 xml:space="preserve">Emissions </w:t>
            </w:r>
          </w:p>
        </w:tc>
        <w:tc>
          <w:tcPr>
            <w:tcW w:w="754" w:type="dxa"/>
            <w:tcBorders>
              <w:bottom w:val="single" w:sz="12" w:space="0" w:color="auto"/>
            </w:tcBorders>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CO</w:t>
            </w:r>
          </w:p>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(g/kWh)</w:t>
            </w:r>
          </w:p>
        </w:tc>
        <w:tc>
          <w:tcPr>
            <w:tcW w:w="887" w:type="dxa"/>
            <w:tcBorders>
              <w:bottom w:val="single" w:sz="12" w:space="0" w:color="auto"/>
            </w:tcBorders>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NMHC</w:t>
            </w:r>
          </w:p>
          <w:p w:rsidR="00C0100D" w:rsidRPr="00B04DC3" w:rsidRDefault="00ED0418" w:rsidP="00ED0418">
            <w:pPr>
              <w:pStyle w:val="Text1"/>
              <w:keepNext/>
              <w:tabs>
                <w:tab w:val="left" w:leader="dot" w:pos="5670"/>
              </w:tabs>
              <w:spacing w:before="80" w:after="80"/>
              <w:ind w:left="0"/>
              <w:jc w:val="center"/>
              <w:rPr>
                <w:i/>
                <w:sz w:val="16"/>
                <w:szCs w:val="16"/>
              </w:rPr>
            </w:pPr>
            <w:r w:rsidRPr="00B04DC3">
              <w:rPr>
                <w:i/>
                <w:sz w:val="16"/>
                <w:szCs w:val="16"/>
              </w:rPr>
              <w:t>(g/kWh)</w:t>
            </w:r>
            <w:r w:rsidR="00C0100D" w:rsidRPr="00B04DC3">
              <w:rPr>
                <w:i/>
                <w:sz w:val="16"/>
                <w:szCs w:val="16"/>
                <w:vertAlign w:val="superscript"/>
              </w:rPr>
              <w:t>2</w:t>
            </w:r>
          </w:p>
        </w:tc>
        <w:tc>
          <w:tcPr>
            <w:tcW w:w="887" w:type="dxa"/>
            <w:tcBorders>
              <w:bottom w:val="single" w:sz="12" w:space="0" w:color="auto"/>
            </w:tcBorders>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CH4</w:t>
            </w:r>
          </w:p>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(g/kWh)</w:t>
            </w:r>
            <w:r w:rsidR="00ED0418" w:rsidRPr="00B04DC3">
              <w:rPr>
                <w:i/>
                <w:sz w:val="16"/>
                <w:szCs w:val="16"/>
                <w:vertAlign w:val="superscript"/>
              </w:rPr>
              <w:t xml:space="preserve"> 2</w:t>
            </w:r>
          </w:p>
        </w:tc>
        <w:tc>
          <w:tcPr>
            <w:tcW w:w="754" w:type="dxa"/>
            <w:tcBorders>
              <w:bottom w:val="single" w:sz="12" w:space="0" w:color="auto"/>
            </w:tcBorders>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NO</w:t>
            </w:r>
            <w:r w:rsidRPr="001829E6">
              <w:rPr>
                <w:i/>
                <w:sz w:val="16"/>
                <w:szCs w:val="16"/>
                <w:vertAlign w:val="subscript"/>
              </w:rPr>
              <w:t>x</w:t>
            </w:r>
          </w:p>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(g/kWh)</w:t>
            </w:r>
          </w:p>
        </w:tc>
        <w:tc>
          <w:tcPr>
            <w:tcW w:w="887" w:type="dxa"/>
            <w:tcBorders>
              <w:bottom w:val="single" w:sz="12" w:space="0" w:color="auto"/>
            </w:tcBorders>
            <w:tcMar>
              <w:left w:w="28" w:type="dxa"/>
              <w:right w:w="28" w:type="dxa"/>
            </w:tcMar>
          </w:tcPr>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PT</w:t>
            </w:r>
          </w:p>
          <w:p w:rsidR="00C0100D" w:rsidRPr="00B04DC3" w:rsidRDefault="00C0100D" w:rsidP="00ED0418">
            <w:pPr>
              <w:pStyle w:val="Text1"/>
              <w:keepNext/>
              <w:tabs>
                <w:tab w:val="left" w:leader="dot" w:pos="5670"/>
              </w:tabs>
              <w:spacing w:before="80" w:after="80"/>
              <w:ind w:left="0"/>
              <w:jc w:val="center"/>
              <w:rPr>
                <w:i/>
                <w:sz w:val="16"/>
                <w:szCs w:val="16"/>
              </w:rPr>
            </w:pPr>
            <w:r w:rsidRPr="00B04DC3">
              <w:rPr>
                <w:i/>
                <w:sz w:val="16"/>
                <w:szCs w:val="16"/>
              </w:rPr>
              <w:t>(g/kWh)</w:t>
            </w:r>
            <w:r w:rsidR="00ED0418" w:rsidRPr="00B04DC3">
              <w:rPr>
                <w:i/>
                <w:sz w:val="16"/>
                <w:szCs w:val="16"/>
                <w:vertAlign w:val="superscript"/>
              </w:rPr>
              <w:t xml:space="preserve"> 2</w:t>
            </w:r>
          </w:p>
        </w:tc>
      </w:tr>
      <w:tr w:rsidR="00C0100D" w:rsidRPr="00B04DC3" w:rsidTr="00260B82">
        <w:tc>
          <w:tcPr>
            <w:tcW w:w="2068" w:type="dxa"/>
            <w:tcBorders>
              <w:top w:val="single" w:sz="12" w:space="0" w:color="auto"/>
            </w:tcBorders>
            <w:tcMar>
              <w:left w:w="28" w:type="dxa"/>
              <w:right w:w="28" w:type="dxa"/>
            </w:tcMar>
          </w:tcPr>
          <w:p w:rsidR="00C0100D" w:rsidRPr="00B04DC3" w:rsidRDefault="00C0100D" w:rsidP="00ED0418">
            <w:pPr>
              <w:spacing w:before="60" w:after="60"/>
              <w:ind w:left="113" w:right="113"/>
              <w:rPr>
                <w:szCs w:val="16"/>
              </w:rPr>
            </w:pPr>
            <w:r w:rsidRPr="00B04DC3">
              <w:rPr>
                <w:szCs w:val="16"/>
              </w:rPr>
              <w:t>Measured with regeneration:</w:t>
            </w:r>
          </w:p>
        </w:tc>
        <w:tc>
          <w:tcPr>
            <w:tcW w:w="754" w:type="dxa"/>
            <w:tcBorders>
              <w:top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top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top w:val="single" w:sz="12" w:space="0" w:color="auto"/>
            </w:tcBorders>
            <w:tcMar>
              <w:left w:w="28" w:type="dxa"/>
              <w:right w:w="28" w:type="dxa"/>
            </w:tcMar>
          </w:tcPr>
          <w:p w:rsidR="00C0100D" w:rsidRPr="00B04DC3" w:rsidRDefault="00C0100D" w:rsidP="00ED0418">
            <w:pPr>
              <w:spacing w:before="60" w:after="60"/>
              <w:rPr>
                <w:szCs w:val="16"/>
              </w:rPr>
            </w:pPr>
          </w:p>
        </w:tc>
        <w:tc>
          <w:tcPr>
            <w:tcW w:w="754" w:type="dxa"/>
            <w:tcBorders>
              <w:top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top w:val="single" w:sz="12" w:space="0" w:color="auto"/>
            </w:tcBorders>
            <w:tcMar>
              <w:left w:w="28" w:type="dxa"/>
              <w:right w:w="28" w:type="dxa"/>
            </w:tcMar>
          </w:tcPr>
          <w:p w:rsidR="00C0100D" w:rsidRPr="00B04DC3" w:rsidRDefault="00C0100D" w:rsidP="00ED0418">
            <w:pPr>
              <w:spacing w:before="60" w:after="60"/>
              <w:rPr>
                <w:szCs w:val="16"/>
              </w:rPr>
            </w:pPr>
          </w:p>
        </w:tc>
      </w:tr>
      <w:tr w:rsidR="00C0100D" w:rsidRPr="00B04DC3">
        <w:tc>
          <w:tcPr>
            <w:tcW w:w="2068" w:type="dxa"/>
            <w:tcMar>
              <w:left w:w="28" w:type="dxa"/>
              <w:right w:w="28" w:type="dxa"/>
            </w:tcMar>
          </w:tcPr>
          <w:p w:rsidR="00C0100D" w:rsidRPr="00B04DC3" w:rsidRDefault="00C0100D" w:rsidP="00ED0418">
            <w:pPr>
              <w:spacing w:before="60" w:after="60"/>
              <w:ind w:left="113" w:right="113"/>
              <w:rPr>
                <w:szCs w:val="16"/>
              </w:rPr>
            </w:pPr>
            <w:r w:rsidRPr="00B04DC3">
              <w:rPr>
                <w:szCs w:val="16"/>
              </w:rPr>
              <w:t>Measured without regeneration:</w:t>
            </w:r>
          </w:p>
        </w:tc>
        <w:tc>
          <w:tcPr>
            <w:tcW w:w="754"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c>
          <w:tcPr>
            <w:tcW w:w="754"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r>
      <w:tr w:rsidR="00C0100D" w:rsidRPr="00B04DC3">
        <w:tc>
          <w:tcPr>
            <w:tcW w:w="2068" w:type="dxa"/>
            <w:tcMar>
              <w:left w:w="28" w:type="dxa"/>
              <w:right w:w="28" w:type="dxa"/>
            </w:tcMar>
          </w:tcPr>
          <w:p w:rsidR="00C0100D" w:rsidRPr="00B04DC3" w:rsidRDefault="00C0100D" w:rsidP="00ED0418">
            <w:pPr>
              <w:spacing w:before="60" w:after="60"/>
              <w:ind w:left="113" w:right="113"/>
              <w:rPr>
                <w:szCs w:val="16"/>
              </w:rPr>
            </w:pPr>
            <w:r w:rsidRPr="00B04DC3">
              <w:rPr>
                <w:szCs w:val="16"/>
              </w:rPr>
              <w:t>Measured/weighted:</w:t>
            </w:r>
          </w:p>
        </w:tc>
        <w:tc>
          <w:tcPr>
            <w:tcW w:w="754"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c>
          <w:tcPr>
            <w:tcW w:w="754" w:type="dxa"/>
            <w:tcMar>
              <w:left w:w="28" w:type="dxa"/>
              <w:right w:w="28" w:type="dxa"/>
            </w:tcMar>
          </w:tcPr>
          <w:p w:rsidR="00C0100D" w:rsidRPr="00B04DC3" w:rsidRDefault="00C0100D" w:rsidP="00ED0418">
            <w:pPr>
              <w:spacing w:before="60" w:after="60"/>
              <w:rPr>
                <w:szCs w:val="16"/>
              </w:rPr>
            </w:pPr>
          </w:p>
        </w:tc>
        <w:tc>
          <w:tcPr>
            <w:tcW w:w="887" w:type="dxa"/>
            <w:tcMar>
              <w:left w:w="28" w:type="dxa"/>
              <w:right w:w="28" w:type="dxa"/>
            </w:tcMar>
          </w:tcPr>
          <w:p w:rsidR="00C0100D" w:rsidRPr="00B04DC3" w:rsidRDefault="00C0100D" w:rsidP="00ED0418">
            <w:pPr>
              <w:spacing w:before="60" w:after="60"/>
              <w:rPr>
                <w:szCs w:val="16"/>
              </w:rPr>
            </w:pPr>
          </w:p>
        </w:tc>
      </w:tr>
      <w:tr w:rsidR="00C0100D" w:rsidRPr="00B04DC3" w:rsidTr="00260B82">
        <w:tc>
          <w:tcPr>
            <w:tcW w:w="2068" w:type="dxa"/>
            <w:tcBorders>
              <w:bottom w:val="single" w:sz="12" w:space="0" w:color="auto"/>
            </w:tcBorders>
            <w:tcMar>
              <w:left w:w="28" w:type="dxa"/>
              <w:right w:w="28" w:type="dxa"/>
            </w:tcMar>
          </w:tcPr>
          <w:p w:rsidR="00C0100D" w:rsidRPr="00B04DC3" w:rsidRDefault="00C0100D" w:rsidP="00ED0418">
            <w:pPr>
              <w:spacing w:before="60" w:after="60"/>
              <w:ind w:left="113" w:right="113"/>
              <w:rPr>
                <w:szCs w:val="16"/>
              </w:rPr>
            </w:pPr>
            <w:r w:rsidRPr="00B04DC3">
              <w:rPr>
                <w:szCs w:val="16"/>
              </w:rPr>
              <w:t>Calculated with DF:</w:t>
            </w:r>
          </w:p>
        </w:tc>
        <w:tc>
          <w:tcPr>
            <w:tcW w:w="754" w:type="dxa"/>
            <w:tcBorders>
              <w:bottom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bottom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bottom w:val="single" w:sz="12" w:space="0" w:color="auto"/>
            </w:tcBorders>
            <w:tcMar>
              <w:left w:w="28" w:type="dxa"/>
              <w:right w:w="28" w:type="dxa"/>
            </w:tcMar>
          </w:tcPr>
          <w:p w:rsidR="00C0100D" w:rsidRPr="00B04DC3" w:rsidRDefault="00C0100D" w:rsidP="00ED0418">
            <w:pPr>
              <w:spacing w:before="60" w:after="60"/>
              <w:rPr>
                <w:szCs w:val="16"/>
              </w:rPr>
            </w:pPr>
          </w:p>
        </w:tc>
        <w:tc>
          <w:tcPr>
            <w:tcW w:w="754" w:type="dxa"/>
            <w:tcBorders>
              <w:bottom w:val="single" w:sz="12" w:space="0" w:color="auto"/>
            </w:tcBorders>
            <w:tcMar>
              <w:left w:w="28" w:type="dxa"/>
              <w:right w:w="28" w:type="dxa"/>
            </w:tcMar>
          </w:tcPr>
          <w:p w:rsidR="00C0100D" w:rsidRPr="00B04DC3" w:rsidRDefault="00C0100D" w:rsidP="00ED0418">
            <w:pPr>
              <w:spacing w:before="60" w:after="60"/>
              <w:rPr>
                <w:szCs w:val="16"/>
              </w:rPr>
            </w:pPr>
          </w:p>
        </w:tc>
        <w:tc>
          <w:tcPr>
            <w:tcW w:w="887" w:type="dxa"/>
            <w:tcBorders>
              <w:bottom w:val="single" w:sz="12" w:space="0" w:color="auto"/>
            </w:tcBorders>
            <w:tcMar>
              <w:left w:w="28" w:type="dxa"/>
              <w:right w:w="28" w:type="dxa"/>
            </w:tcMar>
          </w:tcPr>
          <w:p w:rsidR="00C0100D" w:rsidRPr="00B04DC3" w:rsidRDefault="00C0100D" w:rsidP="00ED0418">
            <w:pPr>
              <w:spacing w:before="60" w:after="60"/>
              <w:rPr>
                <w:szCs w:val="16"/>
              </w:rPr>
            </w:pPr>
          </w:p>
        </w:tc>
      </w:tr>
    </w:tbl>
    <w:p w:rsidR="00C0100D" w:rsidRPr="00B04DC3" w:rsidRDefault="00ED0418" w:rsidP="003623A8">
      <w:pPr>
        <w:tabs>
          <w:tab w:val="left" w:pos="1134"/>
          <w:tab w:val="left" w:pos="2268"/>
          <w:tab w:val="right" w:leader="dot" w:pos="8505"/>
        </w:tabs>
        <w:autoSpaceDE w:val="0"/>
        <w:autoSpaceDN w:val="0"/>
        <w:adjustRightInd w:val="0"/>
        <w:spacing w:before="240" w:after="120"/>
        <w:ind w:left="1134" w:hanging="1134"/>
        <w:jc w:val="both"/>
        <w:rPr>
          <w:rFonts w:cs="Courier New"/>
        </w:rPr>
      </w:pPr>
      <w:r w:rsidRPr="00B04DC3">
        <w:rPr>
          <w:rFonts w:cs="Courier New"/>
        </w:rPr>
        <w:tab/>
      </w:r>
      <w:r w:rsidR="00C0100D" w:rsidRPr="00B04DC3">
        <w:rPr>
          <w:rFonts w:cs="Courier New"/>
        </w:rPr>
        <w:t>10.</w:t>
      </w:r>
      <w:r w:rsidR="00C0100D" w:rsidRPr="00B04DC3">
        <w:rPr>
          <w:rFonts w:cs="Courier New"/>
        </w:rPr>
        <w:tab/>
        <w:t>Engine submitted for tests on:</w:t>
      </w:r>
      <w:r w:rsidR="00C0100D" w:rsidRPr="00B04DC3">
        <w:rPr>
          <w:rFonts w:cs="Courier New"/>
        </w:rPr>
        <w:tab/>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11.</w:t>
      </w:r>
      <w:r w:rsidR="00C0100D" w:rsidRPr="00B04DC3">
        <w:rPr>
          <w:rFonts w:cs="Courier New"/>
        </w:rPr>
        <w:tab/>
        <w:t>Technical Service responsible for conducting the approval tests:</w:t>
      </w:r>
      <w:r w:rsidR="00C0100D" w:rsidRPr="00B04DC3">
        <w:rPr>
          <w:rFonts w:cs="Courier New"/>
        </w:rPr>
        <w:tab/>
      </w:r>
    </w:p>
    <w:p w:rsidR="00C0100D" w:rsidRPr="00B04DC3" w:rsidRDefault="00C0100D"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ED0418" w:rsidRPr="00B04DC3">
        <w:rPr>
          <w:rFonts w:cs="Courier New"/>
        </w:rPr>
        <w:tab/>
      </w:r>
      <w:r w:rsidR="00ED0418" w:rsidRPr="00B04DC3">
        <w:rPr>
          <w:rFonts w:cs="Courier New"/>
        </w:rPr>
        <w:tab/>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12.</w:t>
      </w:r>
      <w:r w:rsidR="00C0100D" w:rsidRPr="00B04DC3">
        <w:rPr>
          <w:rFonts w:cs="Courier New"/>
        </w:rPr>
        <w:tab/>
        <w:t xml:space="preserve">Date of test report issued by that </w:t>
      </w:r>
      <w:r w:rsidR="00350F5F">
        <w:rPr>
          <w:rFonts w:cs="Courier New"/>
        </w:rPr>
        <w:t>S</w:t>
      </w:r>
      <w:r w:rsidR="00350F5F" w:rsidRPr="00B04DC3">
        <w:rPr>
          <w:rFonts w:cs="Courier New"/>
        </w:rPr>
        <w:t>ervice</w:t>
      </w:r>
      <w:r w:rsidR="00C0100D" w:rsidRPr="00B04DC3">
        <w:rPr>
          <w:rFonts w:cs="Courier New"/>
        </w:rPr>
        <w:t>:</w:t>
      </w:r>
      <w:r w:rsidR="00C0100D" w:rsidRPr="00B04DC3">
        <w:rPr>
          <w:rFonts w:cs="Courier New"/>
        </w:rPr>
        <w:tab/>
      </w:r>
    </w:p>
    <w:p w:rsidR="00C0100D" w:rsidRPr="00B04DC3" w:rsidRDefault="00ED0418"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13.</w:t>
      </w:r>
      <w:r w:rsidR="00C0100D" w:rsidRPr="00B04DC3">
        <w:rPr>
          <w:rFonts w:cs="Courier New"/>
        </w:rPr>
        <w:tab/>
        <w:t xml:space="preserve">Number of test report issued by that </w:t>
      </w:r>
      <w:r w:rsidR="00350F5F">
        <w:rPr>
          <w:rFonts w:cs="Courier New"/>
        </w:rPr>
        <w:t>S</w:t>
      </w:r>
      <w:r w:rsidR="00350F5F" w:rsidRPr="00B04DC3">
        <w:rPr>
          <w:rFonts w:cs="Courier New"/>
        </w:rPr>
        <w:t>ervice</w:t>
      </w:r>
      <w:r w:rsidR="00C0100D" w:rsidRPr="00B04DC3">
        <w:rPr>
          <w:rFonts w:cs="Courier New"/>
        </w:rPr>
        <w:t>:</w:t>
      </w:r>
      <w:r w:rsidR="00C0100D" w:rsidRPr="00B04DC3">
        <w:rPr>
          <w:rFonts w:cs="Courier New"/>
        </w:rPr>
        <w:tab/>
      </w:r>
    </w:p>
    <w:p w:rsidR="00ED0418" w:rsidRPr="00B04DC3" w:rsidRDefault="00C0100D" w:rsidP="003623A8">
      <w:pPr>
        <w:tabs>
          <w:tab w:val="left" w:pos="1134"/>
          <w:tab w:val="left" w:pos="2268"/>
          <w:tab w:val="right" w:leader="dot" w:pos="8505"/>
        </w:tabs>
        <w:autoSpaceDE w:val="0"/>
        <w:autoSpaceDN w:val="0"/>
        <w:adjustRightInd w:val="0"/>
        <w:spacing w:after="120"/>
        <w:ind w:left="2268" w:right="1038" w:hanging="1134"/>
        <w:jc w:val="both"/>
        <w:rPr>
          <w:rFonts w:cs="Courier New"/>
        </w:rPr>
      </w:pPr>
      <w:r w:rsidRPr="00B04DC3">
        <w:rPr>
          <w:rFonts w:cs="Courier New"/>
        </w:rPr>
        <w:t>14.</w:t>
      </w:r>
      <w:r w:rsidRPr="00B04DC3">
        <w:rPr>
          <w:rFonts w:cs="Courier New"/>
        </w:rPr>
        <w:tab/>
      </w:r>
      <w:r w:rsidR="00ED0418" w:rsidRPr="00B04DC3">
        <w:rPr>
          <w:rFonts w:cs="Courier New"/>
        </w:rPr>
        <w:tab/>
      </w:r>
      <w:r w:rsidRPr="00B04DC3">
        <w:rPr>
          <w:rFonts w:cs="Courier New"/>
        </w:rPr>
        <w:t>Approval number of the engine/engine family, if approved as a separate technical unit:</w:t>
      </w:r>
      <w:r w:rsidR="00ED0418" w:rsidRPr="00B04DC3">
        <w:rPr>
          <w:rFonts w:cs="Courier New"/>
        </w:rPr>
        <w:tab/>
      </w:r>
      <w:r w:rsidR="00ED0418" w:rsidRPr="00B04DC3">
        <w:rPr>
          <w:rFonts w:cs="Courier New"/>
        </w:rPr>
        <w:tab/>
      </w:r>
      <w:r w:rsidR="00ED0418" w:rsidRPr="00B04DC3">
        <w:rPr>
          <w:rFonts w:cs="Courier New"/>
        </w:rPr>
        <w:tab/>
      </w:r>
    </w:p>
    <w:p w:rsidR="00C0100D" w:rsidRPr="00B04DC3" w:rsidRDefault="0073571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15.</w:t>
      </w:r>
      <w:r w:rsidR="00C0100D" w:rsidRPr="00B04DC3">
        <w:rPr>
          <w:rFonts w:cs="Courier New"/>
        </w:rPr>
        <w:tab/>
        <w:t>Site of appr</w:t>
      </w:r>
      <w:r w:rsidR="003623A8" w:rsidRPr="00B04DC3">
        <w:rPr>
          <w:rFonts w:cs="Courier New"/>
        </w:rPr>
        <w:t>oval mark on the vehicle/engine</w:t>
      </w:r>
      <w:r w:rsidR="003623A8" w:rsidRPr="00B04DC3">
        <w:rPr>
          <w:rFonts w:cs="Courier New"/>
          <w:vertAlign w:val="superscript"/>
        </w:rPr>
        <w:t>2</w:t>
      </w:r>
    </w:p>
    <w:p w:rsidR="00C0100D" w:rsidRPr="00B04DC3" w:rsidRDefault="0073571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16.</w:t>
      </w:r>
      <w:r w:rsidR="00C0100D" w:rsidRPr="00B04DC3">
        <w:rPr>
          <w:rFonts w:cs="Courier New"/>
        </w:rPr>
        <w:tab/>
        <w:t>Reasons for extension:</w:t>
      </w:r>
      <w:r w:rsidR="00C0100D" w:rsidRPr="00B04DC3">
        <w:rPr>
          <w:rFonts w:cs="Courier New"/>
        </w:rPr>
        <w:tab/>
      </w:r>
    </w:p>
    <w:p w:rsidR="00C0100D" w:rsidRPr="00B04DC3" w:rsidRDefault="0073571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17.</w:t>
      </w:r>
      <w:r w:rsidR="00C0100D" w:rsidRPr="00B04DC3">
        <w:rPr>
          <w:rFonts w:cs="Courier New"/>
        </w:rPr>
        <w:tab/>
        <w:t>Place:</w:t>
      </w:r>
      <w:r w:rsidR="00C0100D" w:rsidRPr="00B04DC3">
        <w:rPr>
          <w:rFonts w:cs="Courier New"/>
        </w:rPr>
        <w:tab/>
      </w:r>
    </w:p>
    <w:p w:rsidR="00C0100D" w:rsidRPr="00B04DC3" w:rsidRDefault="0073571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18.</w:t>
      </w:r>
      <w:r w:rsidR="00C0100D" w:rsidRPr="00B04DC3">
        <w:rPr>
          <w:rFonts w:cs="Courier New"/>
        </w:rPr>
        <w:tab/>
        <w:t>Date:</w:t>
      </w:r>
      <w:r w:rsidR="00C0100D" w:rsidRPr="00B04DC3">
        <w:rPr>
          <w:rFonts w:cs="Courier New"/>
        </w:rPr>
        <w:tab/>
      </w:r>
    </w:p>
    <w:p w:rsidR="00C0100D" w:rsidRPr="00B04DC3" w:rsidRDefault="00735711" w:rsidP="00CC52C6">
      <w:pPr>
        <w:tabs>
          <w:tab w:val="left" w:pos="1134"/>
          <w:tab w:val="left" w:pos="2268"/>
          <w:tab w:val="right" w:leader="dot" w:pos="8505"/>
        </w:tabs>
        <w:autoSpaceDE w:val="0"/>
        <w:autoSpaceDN w:val="0"/>
        <w:adjustRightInd w:val="0"/>
        <w:spacing w:after="120"/>
        <w:ind w:left="1134" w:hanging="1134"/>
        <w:jc w:val="both"/>
        <w:rPr>
          <w:rFonts w:cs="Courier New"/>
        </w:rPr>
      </w:pPr>
      <w:r w:rsidRPr="00B04DC3">
        <w:rPr>
          <w:rFonts w:cs="Courier New"/>
        </w:rPr>
        <w:tab/>
      </w:r>
      <w:r w:rsidR="00C0100D" w:rsidRPr="00B04DC3">
        <w:rPr>
          <w:rFonts w:cs="Courier New"/>
        </w:rPr>
        <w:t>19.</w:t>
      </w:r>
      <w:r w:rsidR="00C0100D" w:rsidRPr="00B04DC3">
        <w:rPr>
          <w:rFonts w:cs="Courier New"/>
        </w:rPr>
        <w:tab/>
        <w:t>Signature:</w:t>
      </w:r>
      <w:r w:rsidR="00C0100D" w:rsidRPr="00B04DC3">
        <w:rPr>
          <w:rFonts w:cs="Courier New"/>
        </w:rPr>
        <w:tab/>
      </w:r>
    </w:p>
    <w:p w:rsidR="00C0100D" w:rsidRPr="00B04DC3" w:rsidRDefault="00C0100D" w:rsidP="00C0100D">
      <w:pPr>
        <w:tabs>
          <w:tab w:val="left" w:pos="600"/>
          <w:tab w:val="left" w:pos="1200"/>
          <w:tab w:val="left" w:pos="1800"/>
          <w:tab w:val="left" w:pos="2040"/>
          <w:tab w:val="left" w:pos="2400"/>
          <w:tab w:val="left" w:pos="4200"/>
          <w:tab w:val="left" w:pos="5400"/>
          <w:tab w:val="left" w:pos="6840"/>
        </w:tabs>
        <w:ind w:left="1276" w:hanging="1276"/>
        <w:jc w:val="both"/>
      </w:pPr>
    </w:p>
    <w:p w:rsidR="00C0100D" w:rsidRPr="00B04DC3" w:rsidRDefault="00C0100D" w:rsidP="00C0100D">
      <w:pPr>
        <w:tabs>
          <w:tab w:val="left" w:pos="600"/>
          <w:tab w:val="left" w:pos="1200"/>
          <w:tab w:val="left" w:pos="1800"/>
          <w:tab w:val="left" w:pos="2040"/>
          <w:tab w:val="left" w:pos="2400"/>
          <w:tab w:val="left" w:pos="4200"/>
          <w:tab w:val="left" w:pos="5400"/>
          <w:tab w:val="left" w:pos="6840"/>
        </w:tabs>
        <w:ind w:left="1276" w:hanging="1276"/>
        <w:jc w:val="both"/>
        <w:sectPr w:rsidR="00C0100D" w:rsidRPr="00B04DC3" w:rsidSect="002A4563">
          <w:headerReference w:type="even" r:id="rId91"/>
          <w:headerReference w:type="default" r:id="rId92"/>
          <w:footnotePr>
            <w:numRestart w:val="eachSect"/>
          </w:footnotePr>
          <w:endnotePr>
            <w:numFmt w:val="decimal"/>
          </w:endnotePr>
          <w:pgSz w:w="11907" w:h="16840" w:code="9"/>
          <w:pgMar w:top="1701" w:right="1134" w:bottom="2268" w:left="1134" w:header="851" w:footer="1701" w:gutter="0"/>
          <w:cols w:space="720"/>
          <w:docGrid w:linePitch="326"/>
        </w:sectPr>
      </w:pPr>
    </w:p>
    <w:p w:rsidR="00C0100D" w:rsidRPr="00B04DC3" w:rsidRDefault="00C0100D" w:rsidP="00735711">
      <w:pPr>
        <w:pStyle w:val="HChG"/>
      </w:pPr>
      <w:bookmarkStart w:id="163" w:name="_Toc423599504"/>
      <w:bookmarkStart w:id="164" w:name="_Toc423610912"/>
      <w:r w:rsidRPr="00B04DC3">
        <w:t>Annex 3</w:t>
      </w:r>
      <w:bookmarkEnd w:id="163"/>
      <w:bookmarkEnd w:id="164"/>
    </w:p>
    <w:p w:rsidR="00C0100D" w:rsidRPr="00260B82" w:rsidRDefault="00735711" w:rsidP="00260B82">
      <w:pPr>
        <w:pStyle w:val="HChG"/>
      </w:pPr>
      <w:r w:rsidRPr="00260B82">
        <w:tab/>
      </w:r>
      <w:r w:rsidRPr="00260B82">
        <w:tab/>
      </w:r>
      <w:bookmarkStart w:id="165" w:name="_Toc423599505"/>
      <w:bookmarkStart w:id="166" w:name="_Toc423610913"/>
      <w:r w:rsidRPr="00260B82">
        <w:t>Arrangements of approval marks</w:t>
      </w:r>
      <w:bookmarkEnd w:id="165"/>
      <w:bookmarkEnd w:id="166"/>
    </w:p>
    <w:p w:rsidR="00C0100D" w:rsidRPr="00B04DC3" w:rsidRDefault="00C0100D" w:rsidP="00735711">
      <w:pPr>
        <w:pStyle w:val="para"/>
        <w:rPr>
          <w:lang w:val="en-GB"/>
        </w:rPr>
      </w:pPr>
      <w:r w:rsidRPr="00B04DC3">
        <w:rPr>
          <w:lang w:val="en-GB"/>
        </w:rPr>
        <w:t>(See table in paragraph 4.6.3. of this Regulation)</w:t>
      </w:r>
    </w:p>
    <w:p w:rsidR="00C0100D" w:rsidRPr="00B04DC3" w:rsidRDefault="00C0100D" w:rsidP="00C161BF">
      <w:pPr>
        <w:pStyle w:val="para"/>
        <w:rPr>
          <w:lang w:val="en-GB"/>
        </w:rPr>
      </w:pPr>
      <w:r w:rsidRPr="00B04DC3">
        <w:rPr>
          <w:lang w:val="en-GB"/>
        </w:rPr>
        <w:t>I.</w:t>
      </w:r>
      <w:r w:rsidRPr="00B04DC3">
        <w:rPr>
          <w:lang w:val="en-GB"/>
        </w:rPr>
        <w:tab/>
      </w:r>
      <w:r w:rsidR="00C161BF" w:rsidRPr="00B04DC3">
        <w:rPr>
          <w:lang w:val="en-GB"/>
        </w:rPr>
        <w:t>Approval</w:t>
      </w:r>
      <w:r w:rsidRPr="00B04DC3">
        <w:rPr>
          <w:lang w:val="en-GB"/>
        </w:rPr>
        <w:t xml:space="preserve"> "B" (Row B1, OBD stage 1, without NO</w:t>
      </w:r>
      <w:r w:rsidRPr="00B04DC3">
        <w:rPr>
          <w:vertAlign w:val="subscript"/>
          <w:lang w:val="en-GB"/>
        </w:rPr>
        <w:t>x</w:t>
      </w:r>
      <w:r w:rsidRPr="00B04DC3">
        <w:rPr>
          <w:lang w:val="en-GB"/>
        </w:rPr>
        <w:t xml:space="preserve"> control)</w:t>
      </w:r>
    </w:p>
    <w:p w:rsidR="00C0100D" w:rsidRPr="00B04DC3" w:rsidRDefault="00C0100D" w:rsidP="00C161BF">
      <w:pPr>
        <w:pStyle w:val="para"/>
        <w:rPr>
          <w:lang w:val="en-GB"/>
        </w:rPr>
      </w:pPr>
      <w:r w:rsidRPr="00B04DC3">
        <w:rPr>
          <w:lang w:val="en-GB"/>
        </w:rPr>
        <w:t>Example 1</w:t>
      </w:r>
    </w:p>
    <w:p w:rsidR="00C0100D" w:rsidRPr="00B04DC3" w:rsidRDefault="00C0100D" w:rsidP="00C161BF">
      <w:pPr>
        <w:pStyle w:val="para"/>
        <w:rPr>
          <w:lang w:val="en-GB"/>
        </w:rPr>
      </w:pPr>
      <w:r w:rsidRPr="00B04DC3">
        <w:rPr>
          <w:lang w:val="en-GB"/>
        </w:rPr>
        <w:t>Diesel engines:</w:t>
      </w:r>
    </w:p>
    <w:p w:rsidR="00C0100D" w:rsidRPr="00B04DC3" w:rsidRDefault="00C0100D" w:rsidP="00C0100D">
      <w:pPr>
        <w:keepNext/>
        <w:keepLines/>
        <w:tabs>
          <w:tab w:val="left" w:pos="567"/>
          <w:tab w:val="num" w:pos="851"/>
          <w:tab w:val="left" w:pos="2556"/>
          <w:tab w:val="left" w:pos="3756"/>
          <w:tab w:val="left" w:pos="5196"/>
        </w:tabs>
        <w:ind w:left="567" w:hanging="567"/>
        <w:jc w:val="both"/>
      </w:pPr>
    </w:p>
    <w:p w:rsidR="00C0100D" w:rsidRPr="00B04DC3" w:rsidRDefault="00A905B7" w:rsidP="00C0100D">
      <w:pPr>
        <w:keepNext/>
        <w:keepLines/>
        <w:tabs>
          <w:tab w:val="left" w:pos="567"/>
          <w:tab w:val="num" w:pos="851"/>
          <w:tab w:val="left" w:pos="2556"/>
          <w:tab w:val="left" w:pos="3756"/>
          <w:tab w:val="left" w:pos="5196"/>
        </w:tabs>
        <w:ind w:left="567" w:hanging="567"/>
        <w:jc w:val="both"/>
      </w:pPr>
      <w:r>
        <w:rPr>
          <w:noProof/>
        </w:rPr>
        <w:pict>
          <v:group id="_x0000_s5590" style="position:absolute;left:0;text-align:left;margin-left:131.6pt;margin-top:1.85pt;width:275pt;height:52.95pt;z-index:251569152" coordorigin="3766,4978" coordsize="5500,1059">
            <v:line id="_x0000_s1194" style="position:absolute;flip:x" from="3881,4987" to="4830,4988" strokeweight="0"/>
            <v:line id="_x0000_s1195" style="position:absolute;flip:x" from="3881,5856" to="4830,5857" strokeweight="0"/>
            <v:rect id="_x0000_s1196" style="position:absolute;left:3766;top:5354;width:193;height:230" filled="f" stroked="f">
              <v:textbox style="mso-next-textbox:#_x0000_s1196" inset="0,0,0,0">
                <w:txbxContent>
                  <w:p w:rsidR="00A905B7" w:rsidRDefault="00A905B7" w:rsidP="00C0100D">
                    <w:r>
                      <w:rPr>
                        <w:b/>
                        <w:bCs/>
                        <w:color w:val="000000"/>
                        <w:sz w:val="16"/>
                        <w:szCs w:val="16"/>
                      </w:rPr>
                      <w:t>a</w:t>
                    </w:r>
                  </w:p>
                </w:txbxContent>
              </v:textbox>
            </v:rect>
            <v:line id="_x0000_s1197" style="position:absolute" from="3922,4987" to="3923,5856" strokeweight="0"/>
            <v:shape id="_x0000_s1198" style="position:absolute;left:3863;top:4987;width:114;height:116;mso-position-horizontal:absolute;mso-position-vertical:absolute" coordsize="113,116" path="m113,116l58,,,116,58,58r55,58xe" fillcolor="black" strokeweight="0">
              <v:path arrowok="t"/>
            </v:shape>
            <v:shape id="_x0000_s1199" style="position:absolute;left:3863;top:5740;width:114;height:116;mso-position-horizontal:absolute;mso-position-vertical:absolute" coordsize="113,116" path="m113,l58,116,,,58,58,113,xe" fillcolor="black" strokeweight="0">
              <v:path arrowok="t"/>
            </v:shape>
            <v:line id="_x0000_s1200" style="position:absolute;flip:x" from="4223,5204" to="4528,5205" strokeweight="0"/>
            <v:line id="_x0000_s1201" style="position:absolute;flip:x" from="4223,5639" to="4528,5640" strokeweight="0"/>
            <v:line id="_x0000_s1202" style="position:absolute" from="4298,5204" to="4299,5639" strokeweight="0"/>
            <v:shape id="_x0000_s1203" style="position:absolute;left:4242;top:5204;width:115;height:117;mso-position-horizontal:absolute;mso-position-vertical:absolute" coordsize="113,117" path="m113,117l55,,,117,55,59r58,58xe" fillcolor="black" strokeweight="0">
              <v:path arrowok="t"/>
            </v:shape>
            <v:shape id="_x0000_s1204" style="position:absolute;left:4242;top:5523;width:115;height:116;mso-position-horizontal:absolute;mso-position-vertical:absolute" coordsize="113,116" path="m113,l55,116,,,55,58,113,xe" fillcolor="black" strokeweight="0">
              <v:path arrowok="t"/>
            </v:shape>
            <v:line id="_x0000_s1205" style="position:absolute" from="4071,5385" to="4223,5386" strokeweight="0"/>
            <v:rect id="_x0000_s1206" style="position:absolute;left:4034;top:5121;width:193;height:230" filled="f" stroked="f">
              <v:textbox style="mso-next-textbox:#_x0000_s1206" inset="0,0,0,0">
                <w:txbxContent>
                  <w:p w:rsidR="00A905B7" w:rsidRDefault="00A905B7" w:rsidP="00C0100D">
                    <w:r>
                      <w:rPr>
                        <w:b/>
                        <w:bCs/>
                        <w:color w:val="000000"/>
                        <w:sz w:val="16"/>
                        <w:szCs w:val="16"/>
                      </w:rPr>
                      <w:t xml:space="preserve">  a</w:t>
                    </w:r>
                  </w:p>
                </w:txbxContent>
              </v:textbox>
            </v:rect>
            <v:rect id="_x0000_s1207" style="position:absolute;left:4125;top:5343;width:173;height:202" filled="f" stroked="f">
              <v:textbox style="mso-next-textbox:#_x0000_s1207" inset="0,0,0,0">
                <w:txbxContent>
                  <w:p w:rsidR="00A905B7" w:rsidRDefault="00A905B7" w:rsidP="00C0100D">
                    <w:r>
                      <w:rPr>
                        <w:b/>
                        <w:bCs/>
                        <w:color w:val="000000"/>
                        <w:sz w:val="12"/>
                        <w:szCs w:val="12"/>
                      </w:rPr>
                      <w:t>2</w:t>
                    </w:r>
                  </w:p>
                </w:txbxContent>
              </v:textbox>
            </v:rect>
            <v:oval id="_x0000_s1208" style="position:absolute;left:4565;top:4987;width:912;height:873" stroked="f"/>
            <v:shape id="_x0000_s1209" style="position:absolute;left:4556;top:4978;width:927;height:888;mso-position-horizontal:absolute;mso-position-vertical:absolute" coordsize="912,888"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v:shape>
            <v:rect id="_x0000_s1210" style="position:absolute;left:4640;top:5073;width:573;height:836" filled="f" stroked="f">
              <v:textbox style="mso-next-textbox:#_x0000_s1210" inset="0,0,0,0">
                <w:txbxContent>
                  <w:p w:rsidR="00A905B7" w:rsidRDefault="00A905B7" w:rsidP="00C0100D">
                    <w:r>
                      <w:rPr>
                        <w:rFonts w:ascii="Arial Narrow" w:hAnsi="Arial Narrow"/>
                        <w:color w:val="000000"/>
                        <w:sz w:val="62"/>
                        <w:szCs w:val="62"/>
                      </w:rPr>
                      <w:t>E</w:t>
                    </w:r>
                  </w:p>
                </w:txbxContent>
              </v:textbox>
            </v:rect>
            <v:rect id="_x0000_s1211" style="position:absolute;left:4992;top:5495;width:97;height:226" filled="f" stroked="f">
              <v:textbox style="mso-next-textbox:#_x0000_s1211" inset="0,0,0,0">
                <w:txbxContent>
                  <w:p w:rsidR="00A905B7" w:rsidRDefault="00A905B7" w:rsidP="00C0100D">
                    <w:r>
                      <w:rPr>
                        <w:rFonts w:ascii="Arial Narrow" w:hAnsi="Arial Narrow"/>
                        <w:color w:val="000000"/>
                        <w:sz w:val="16"/>
                        <w:szCs w:val="16"/>
                      </w:rPr>
                      <w:t xml:space="preserve"> </w:t>
                    </w:r>
                  </w:p>
                </w:txbxContent>
              </v:textbox>
            </v:rect>
            <v:rect id="_x0000_s1212" style="position:absolute;left:5029;top:5260;width:541;height:578" filled="f" stroked="f">
              <v:textbox style="mso-next-textbox:#_x0000_s1212" inset="0,0,0,0">
                <w:txbxContent>
                  <w:p w:rsidR="00A905B7" w:rsidRDefault="00A905B7" w:rsidP="00C0100D">
                    <w:r>
                      <w:rPr>
                        <w:rFonts w:ascii="Arial Narrow" w:hAnsi="Arial Narrow"/>
                        <w:color w:val="000000"/>
                        <w:sz w:val="40"/>
                        <w:szCs w:val="40"/>
                      </w:rPr>
                      <w:t>11</w:t>
                    </w:r>
                  </w:p>
                </w:txbxContent>
              </v:textbox>
            </v:rect>
            <v:rect id="_x0000_s1213" style="position:absolute;left:6069;top:5214;width:3002;height:566" filled="f" stroked="f">
              <v:textbox style="mso-next-textbox:#_x0000_s1213" inset="0,0,0,0">
                <w:txbxContent>
                  <w:p w:rsidR="00A905B7" w:rsidRDefault="00A905B7" w:rsidP="00C0100D">
                    <w:r>
                      <w:rPr>
                        <w:rFonts w:ascii="Arial" w:hAnsi="Arial" w:cs="Arial"/>
                        <w:color w:val="000000"/>
                        <w:sz w:val="40"/>
                        <w:szCs w:val="40"/>
                      </w:rPr>
                      <w:t>49 RB - 052439</w:t>
                    </w:r>
                  </w:p>
                </w:txbxContent>
              </v:textbox>
            </v:rect>
            <v:line id="_x0000_s1214" style="position:absolute" from="5552,5639" to="5931,5640" strokeweight="0"/>
            <v:line id="_x0000_s1215" style="position:absolute" from="5552,5312" to="5931,5313" strokeweight="0"/>
            <v:line id="_x0000_s1217" style="position:absolute" from="5741,5459" to="5894,5460" strokeweight="0"/>
            <v:rect id="_x0000_s1218" style="position:absolute;left:5763;top:5190;width:220;height:493" filled="f" stroked="f">
              <v:textbox style="mso-next-textbox:#_x0000_s1218" inset="0,0,0,0">
                <w:txbxContent>
                  <w:p w:rsidR="00A905B7" w:rsidRDefault="00A905B7" w:rsidP="00C0100D">
                    <w:pPr>
                      <w:rPr>
                        <w:b/>
                        <w:bCs/>
                        <w:color w:val="000000"/>
                        <w:sz w:val="12"/>
                        <w:szCs w:val="12"/>
                      </w:rPr>
                    </w:pPr>
                    <w:r>
                      <w:rPr>
                        <w:b/>
                        <w:bCs/>
                        <w:color w:val="000000"/>
                        <w:sz w:val="12"/>
                        <w:szCs w:val="12"/>
                      </w:rPr>
                      <w:t>a</w:t>
                    </w:r>
                  </w:p>
                  <w:p w:rsidR="00A905B7" w:rsidRDefault="00A905B7" w:rsidP="00C0100D">
                    <w:r>
                      <w:rPr>
                        <w:b/>
                        <w:bCs/>
                        <w:color w:val="000000"/>
                        <w:sz w:val="12"/>
                        <w:szCs w:val="12"/>
                      </w:rPr>
                      <w:t>3</w:t>
                    </w:r>
                  </w:p>
                </w:txbxContent>
              </v:textbox>
            </v:rect>
            <v:rect id="_x0000_s1219" style="position:absolute;left:8016;top:5807;width:193;height:230" filled="f" stroked="f">
              <v:textbox style="mso-next-textbox:#_x0000_s1219" inset="0,0,0,0">
                <w:txbxContent>
                  <w:p w:rsidR="00A905B7" w:rsidRDefault="00A905B7" w:rsidP="00C0100D">
                    <w:r>
                      <w:rPr>
                        <w:b/>
                        <w:bCs/>
                        <w:color w:val="000000"/>
                        <w:sz w:val="16"/>
                        <w:szCs w:val="16"/>
                      </w:rPr>
                      <w:t>a</w:t>
                    </w:r>
                  </w:p>
                </w:txbxContent>
              </v:textbox>
            </v:rect>
            <v:rect id="_x0000_s1220" style="position:absolute;left:8112;top:5829;width:523;height:202" filled="f" stroked="f">
              <v:textbox style="mso-next-textbox:#_x0000_s1220" inset="0,0,0,0">
                <w:txbxContent>
                  <w:p w:rsidR="00A905B7" w:rsidRDefault="00A905B7" w:rsidP="00C0100D">
                    <w:r>
                      <w:rPr>
                        <w:b/>
                        <w:bCs/>
                        <w:color w:val="000000"/>
                        <w:sz w:val="12"/>
                        <w:szCs w:val="12"/>
                      </w:rPr>
                      <w:t xml:space="preserve"> = </w:t>
                    </w:r>
                    <w:r>
                      <w:rPr>
                        <w:rFonts w:ascii="Times New Roman Bold" w:hAnsi="Times New Roman Bold"/>
                        <w:b/>
                        <w:bCs/>
                        <w:color w:val="000000"/>
                        <w:sz w:val="16"/>
                        <w:szCs w:val="12"/>
                      </w:rPr>
                      <w:t xml:space="preserve">8 </w:t>
                    </w:r>
                  </w:p>
                </w:txbxContent>
              </v:textbox>
            </v:rect>
            <v:rect id="_x0000_s1221" style="position:absolute;left:8514;top:5807;width:675;height:230" filled="f" stroked="f">
              <v:textbox style="mso-next-textbox:#_x0000_s1221" inset="0,0,0,0">
                <w:txbxContent>
                  <w:p w:rsidR="00A905B7" w:rsidRDefault="00A905B7" w:rsidP="00C0100D">
                    <w:r>
                      <w:rPr>
                        <w:b/>
                        <w:bCs/>
                        <w:color w:val="000000"/>
                        <w:sz w:val="16"/>
                        <w:szCs w:val="16"/>
                      </w:rPr>
                      <w:t>mm min</w:t>
                    </w:r>
                  </w:p>
                </w:txbxContent>
              </v:textbox>
            </v:rect>
            <v:rect id="_x0000_s1222" style="position:absolute;left:9092;top:5829;width:174;height:202" filled="f" stroked="f">
              <v:textbox style="mso-next-textbox:#_x0000_s1222" inset="0,0,0,0">
                <w:txbxContent>
                  <w:p w:rsidR="00A905B7" w:rsidRDefault="00A905B7" w:rsidP="00C0100D">
                    <w:r>
                      <w:rPr>
                        <w:b/>
                        <w:bCs/>
                        <w:color w:val="000000"/>
                        <w:sz w:val="12"/>
                        <w:szCs w:val="12"/>
                      </w:rPr>
                      <w:t>.</w:t>
                    </w:r>
                  </w:p>
                </w:txbxContent>
              </v:textbox>
            </v:rect>
            <v:line id="_x0000_s1223" style="position:absolute" from="5642,5312" to="5643,5639" strokeweight="0"/>
            <v:shape id="_x0000_s1224" style="position:absolute;left:5583;top:5312;width:119;height:116;mso-position-horizontal:absolute;mso-position-vertical:absolute" coordsize="117,116" path="m117,116l58,,,116,58,58r59,58xe" fillcolor="black" strokeweight="0">
              <v:path arrowok="t"/>
            </v:shape>
            <v:shape id="_x0000_s1225" style="position:absolute;left:5583;top:5523;width:119;height:116;mso-position-horizontal:absolute;mso-position-vertical:absolute" coordsize="117,116" path="m117,l58,116,,,58,58,117,xe" fillcolor="black" strokeweight="0">
              <v:path arrowok="t"/>
            </v:shape>
          </v:group>
        </w:pict>
      </w:r>
    </w:p>
    <w:p w:rsidR="00C0100D" w:rsidRPr="00B04DC3" w:rsidRDefault="00C0100D" w:rsidP="00C0100D">
      <w:pPr>
        <w:keepNext/>
        <w:keepLines/>
        <w:tabs>
          <w:tab w:val="left" w:pos="567"/>
          <w:tab w:val="num" w:pos="851"/>
          <w:tab w:val="left" w:pos="2556"/>
          <w:tab w:val="left" w:pos="3756"/>
          <w:tab w:val="left" w:pos="5196"/>
        </w:tabs>
        <w:ind w:left="567" w:hanging="567"/>
        <w:jc w:val="both"/>
      </w:pPr>
    </w:p>
    <w:p w:rsidR="00C0100D" w:rsidRPr="00B04DC3" w:rsidRDefault="00C0100D" w:rsidP="00C0100D">
      <w:pPr>
        <w:keepNext/>
        <w:keepLines/>
        <w:tabs>
          <w:tab w:val="left" w:pos="567"/>
          <w:tab w:val="num" w:pos="851"/>
          <w:tab w:val="center" w:pos="3090"/>
          <w:tab w:val="left" w:pos="3756"/>
          <w:tab w:val="left" w:pos="5196"/>
        </w:tabs>
        <w:ind w:left="567" w:hanging="567"/>
        <w:jc w:val="both"/>
        <w:rPr>
          <w:u w:val="single"/>
        </w:rPr>
      </w:pPr>
    </w:p>
    <w:p w:rsidR="00C0100D" w:rsidRPr="00B04DC3" w:rsidRDefault="00C0100D" w:rsidP="00C0100D">
      <w:pPr>
        <w:pStyle w:val="Heading5"/>
        <w:tabs>
          <w:tab w:val="left" w:pos="567"/>
          <w:tab w:val="num" w:pos="851"/>
        </w:tabs>
        <w:ind w:left="567" w:hanging="567"/>
      </w:pPr>
    </w:p>
    <w:p w:rsidR="00C0100D" w:rsidRPr="00B04DC3" w:rsidRDefault="00C0100D" w:rsidP="00C0100D"/>
    <w:p w:rsidR="00C0100D" w:rsidRPr="00B04DC3" w:rsidRDefault="00C0100D" w:rsidP="00C161BF">
      <w:pPr>
        <w:pStyle w:val="para"/>
        <w:rPr>
          <w:lang w:val="en-GB"/>
        </w:rPr>
      </w:pPr>
      <w:r w:rsidRPr="00B04DC3">
        <w:rPr>
          <w:lang w:val="en-GB"/>
        </w:rPr>
        <w:t>Example 2</w:t>
      </w:r>
    </w:p>
    <w:p w:rsidR="00C0100D" w:rsidRPr="00B04DC3" w:rsidRDefault="00C0100D" w:rsidP="00C161BF">
      <w:pPr>
        <w:pStyle w:val="para"/>
        <w:rPr>
          <w:lang w:val="en-GB"/>
        </w:rPr>
      </w:pPr>
      <w:r w:rsidRPr="00B04DC3">
        <w:rPr>
          <w:lang w:val="en-GB"/>
        </w:rPr>
        <w:t>Natural gas (NG) engines:</w:t>
      </w:r>
    </w:p>
    <w:p w:rsidR="00C0100D" w:rsidRPr="00B04DC3" w:rsidRDefault="00A905B7" w:rsidP="00C161BF">
      <w:pPr>
        <w:pStyle w:val="SingleTxtG"/>
        <w:ind w:firstLine="567"/>
      </w:pPr>
      <w:r>
        <w:rPr>
          <w:noProof/>
        </w:rPr>
        <w:pict>
          <v:group id="_x0000_s5591" style="position:absolute;left:0;text-align:left;margin-left:133.1pt;margin-top:25.15pt;width:270.35pt;height:77.35pt;z-index:251568128" coordorigin="3796,7354" coordsize="5407,1547">
            <v:rect id="_x0000_s1151" style="position:absolute;left:6038;top:7416;width:753;height:585" filled="f" stroked="f">
              <v:textbox style="mso-next-textbox:#_x0000_s1151" inset="0,0,0,0">
                <w:txbxContent>
                  <w:p w:rsidR="00A905B7" w:rsidRDefault="00A905B7" w:rsidP="00C0100D">
                    <w:r>
                      <w:rPr>
                        <w:rFonts w:ascii="Arial" w:hAnsi="Arial" w:cs="Arial"/>
                        <w:color w:val="000000"/>
                        <w:sz w:val="42"/>
                        <w:szCs w:val="42"/>
                      </w:rPr>
                      <w:t>HL</w:t>
                    </w:r>
                  </w:p>
                </w:txbxContent>
              </v:textbox>
            </v:rect>
            <v:rect id="_x0000_s1152" style="position:absolute;left:6575;top:7675;width:187;height:345" filled="f" stroked="f">
              <v:textbox style="mso-next-textbox:#_x0000_s1152" inset="0,0,0,0">
                <w:txbxContent>
                  <w:p w:rsidR="00A905B7" w:rsidRDefault="00A905B7" w:rsidP="00C0100D">
                    <w:r>
                      <w:rPr>
                        <w:rFonts w:ascii="Arial" w:hAnsi="Arial" w:cs="Arial"/>
                        <w:color w:val="000000"/>
                      </w:rPr>
                      <w:t>t</w:t>
                    </w:r>
                  </w:p>
                </w:txbxContent>
              </v:textbox>
            </v:rect>
            <v:rect id="_x0000_s1153" style="position:absolute;left:5510;top:7354;width:284;height:510" filled="f" stroked="f">
              <v:textbox style="mso-next-textbox:#_x0000_s1153" inset="0,0,0,0">
                <w:txbxContent>
                  <w:p w:rsidR="00A905B7" w:rsidRPr="008F2A18" w:rsidRDefault="00A905B7" w:rsidP="00C0100D">
                    <w:pPr>
                      <w:rPr>
                        <w:sz w:val="16"/>
                        <w:szCs w:val="16"/>
                        <w:lang w:val="fr-CH"/>
                      </w:rPr>
                    </w:pPr>
                    <w:r>
                      <w:rPr>
                        <w:lang w:val="fr-CH"/>
                      </w:rPr>
                      <w:t xml:space="preserve"> </w:t>
                    </w:r>
                    <w:r w:rsidRPr="008F2A18">
                      <w:rPr>
                        <w:sz w:val="16"/>
                        <w:szCs w:val="16"/>
                        <w:lang w:val="fr-CH"/>
                      </w:rPr>
                      <w:t>a</w:t>
                    </w:r>
                  </w:p>
                  <w:p w:rsidR="00A905B7" w:rsidRPr="008F2A18" w:rsidRDefault="00A905B7" w:rsidP="00C0100D">
                    <w:pPr>
                      <w:rPr>
                        <w:sz w:val="16"/>
                        <w:szCs w:val="16"/>
                        <w:lang w:val="fr-CH"/>
                      </w:rPr>
                    </w:pPr>
                    <w:r>
                      <w:rPr>
                        <w:lang w:val="fr-CH"/>
                      </w:rPr>
                      <w:t xml:space="preserve"> </w:t>
                    </w:r>
                    <w:r w:rsidRPr="008F2A18">
                      <w:rPr>
                        <w:sz w:val="16"/>
                        <w:szCs w:val="16"/>
                        <w:lang w:val="fr-CH"/>
                      </w:rPr>
                      <w:t>3</w:t>
                    </w:r>
                  </w:p>
                </w:txbxContent>
              </v:textbox>
            </v:rect>
            <v:line id="_x0000_s1154" style="position:absolute" from="5534,7641" to="5683,7642" strokeweight="0"/>
            <v:line id="_x0000_s1156" style="position:absolute" from="5687,7789" to="6060,7790" strokeweight="0"/>
            <v:line id="_x0000_s1157" style="position:absolute" from="5687,7489" to="6060,7490" strokeweight="0"/>
            <v:line id="_x0000_s1158" style="position:absolute" from="5725,7489" to="5726,7789" strokeweight="0"/>
            <v:shape id="_x0000_s1159" style="position:absolute;left:5665;top:7489;width:120;height:120;mso-position-horizontal:absolute;mso-position-vertical:absolute" coordsize="120,120" path="m120,120l60,,,120,60,60r60,60xe" fillcolor="black" strokeweight="0">
              <v:path arrowok="t"/>
            </v:shape>
            <v:shape id="_x0000_s1160" style="position:absolute;left:5665;top:7669;width:120;height:120;mso-position-horizontal:absolute;mso-position-vertical:absolute" coordsize="120,120" path="m120,l60,120,,,60,60,120,xe" fillcolor="black" strokeweight="0">
              <v:path arrowok="t"/>
            </v:shape>
            <v:line id="_x0000_s1161" style="position:absolute;flip:x" from="3910,7751" to="4843,7752" strokeweight="0"/>
            <v:line id="_x0000_s1162" style="position:absolute;flip:x" from="3910,8646" to="4843,8647" strokeweight="0"/>
            <v:rect id="_x0000_s1163" style="position:absolute;left:3796;top:8127;width:196;height:228" filled="f" stroked="f">
              <v:textbox style="mso-next-textbox:#_x0000_s1163" inset="0,0,0,0">
                <w:txbxContent>
                  <w:p w:rsidR="00A905B7" w:rsidRDefault="00A905B7" w:rsidP="00C0100D">
                    <w:r>
                      <w:rPr>
                        <w:b/>
                        <w:bCs/>
                        <w:color w:val="000000"/>
                        <w:sz w:val="16"/>
                        <w:szCs w:val="16"/>
                      </w:rPr>
                      <w:t>a</w:t>
                    </w:r>
                  </w:p>
                </w:txbxContent>
              </v:textbox>
            </v:rect>
            <v:line id="_x0000_s1164" style="position:absolute" from="3948,7751" to="3949,8646" strokeweight="0"/>
            <v:shape id="_x0000_s1165" style="position:absolute;left:3888;top:7751;width:120;height:117;mso-position-horizontal:absolute;mso-position-vertical:absolute" coordsize="120,117" path="m120,117l60,,,117,60,60r60,57xe" fillcolor="black" strokeweight="0">
              <v:path arrowok="t"/>
            </v:shape>
            <v:shape id="_x0000_s1166" style="position:absolute;left:3888;top:8529;width:120;height:117;mso-position-horizontal:absolute;mso-position-vertical:absolute" coordsize="120,117" path="m120,l60,117,,,60,60,120,xe" fillcolor="black" strokeweight="0">
              <v:path arrowok="t"/>
            </v:shape>
            <v:line id="_x0000_s1167" style="position:absolute;flip:x" from="4245,7976" to="4545,7977" strokeweight="0"/>
            <v:line id="_x0000_s1168" style="position:absolute;flip:x" from="4245,8422" to="4545,8423" strokeweight="0"/>
            <v:line id="_x0000_s1169" style="position:absolute" from="4321,7976" to="4322,8422" strokeweight="0"/>
            <v:shape id="_x0000_s1170" style="position:absolute;left:4261;top:7976;width:120;height:117;mso-position-horizontal:absolute;mso-position-vertical:absolute" coordsize="120,117" path="m120,117l60,,,117,60,57r60,60xe" fillcolor="black" strokeweight="0">
              <v:path arrowok="t"/>
            </v:shape>
            <v:shape id="_x0000_s1171" style="position:absolute;left:4261;top:8305;width:120;height:117;mso-position-horizontal:absolute;mso-position-vertical:absolute" coordsize="120,117" path="m120,l60,117,,,60,60,120,xe" fillcolor="black" strokeweight="0">
              <v:path arrowok="t"/>
            </v:shape>
            <v:line id="_x0000_s1172" style="position:absolute" from="4096,8162" to="4245,8163" strokeweight="0"/>
            <v:rect id="_x0000_s1173" style="position:absolute;left:4134;top:7909;width:196;height:228" filled="f" stroked="f">
              <v:textbox style="mso-next-textbox:#_x0000_s1173" inset="0,0,0,0">
                <w:txbxContent>
                  <w:p w:rsidR="00A905B7" w:rsidRDefault="00A905B7" w:rsidP="00C0100D">
                    <w:r>
                      <w:rPr>
                        <w:b/>
                        <w:bCs/>
                        <w:color w:val="000000"/>
                        <w:sz w:val="16"/>
                        <w:szCs w:val="16"/>
                      </w:rPr>
                      <w:t>a</w:t>
                    </w:r>
                  </w:p>
                </w:txbxContent>
              </v:textbox>
            </v:rect>
            <v:rect id="_x0000_s1174" style="position:absolute;left:4142;top:8125;width:164;height:199" filled="f" stroked="f">
              <v:textbox style="mso-next-textbox:#_x0000_s1174" inset="0,0,0,0">
                <w:txbxContent>
                  <w:p w:rsidR="00A905B7" w:rsidRDefault="00A905B7" w:rsidP="00C0100D">
                    <w:r>
                      <w:rPr>
                        <w:b/>
                        <w:bCs/>
                        <w:color w:val="000000"/>
                        <w:sz w:val="14"/>
                        <w:szCs w:val="14"/>
                      </w:rPr>
                      <w:t>2</w:t>
                    </w:r>
                  </w:p>
                </w:txbxContent>
              </v:textbox>
            </v:rect>
            <v:oval id="_x0000_s1175" style="position:absolute;left:4583;top:7751;width:898;height:898" stroked="f"/>
            <v:shape id="_x0000_s1176" style="position:absolute;left:4574;top:7742;width:914;height:914;mso-position-horizontal:absolute;mso-position-vertical:absolute" coordsize="914,914" path="m,455r,44l3,525r6,22l13,569r6,22l25,610r10,22l63,692r29,38l117,762r31,31l180,819r38,25l234,860r25,9l278,879r19,6l319,891r19,7l360,904r70,10l477,914r70,-10l591,891r19,-6l632,879r41,-19l730,819r32,-26l794,762r25,-32l860,673r19,-41l885,610r7,-19l904,547r10,-70l914,430,904,360r-6,-22l892,319r-7,-22l879,278,869,259r-9,-25l844,218,819,180,794,148,762,117,730,91,692,63,632,34,610,25,591,19,569,12,547,9,525,3,499,,408,,382,3,360,9r-22,3l319,19r-22,6l259,44r-22,9l218,63,180,91r-32,26l117,148,92,180,63,218r-9,19l44,259,25,297r-6,22l13,338,9,360,3,382,,408r,47l19,455r,-47l22,389r6,-23l31,344r7,-19l44,303,63,265,73,243r9,-12l104,193r25,-32l161,129r32,-25l231,82,243,72r22,-9l303,44r23,-6l345,31r22,-3l389,22r19,-3l499,19r19,3l541,28r22,3l585,38r19,6l626,53r54,29l718,104r31,25l781,161r25,32l831,231r10,15l850,265r10,19l866,303r7,22l879,344r6,22l895,430r,47l885,540r-12,45l866,604r-6,22l841,661r-35,56l781,749r-32,32l718,806r-57,35l626,860r-22,6l585,872r-44,13l477,895r-47,l367,885r-22,-6l326,872r-23,-6l284,860,265,850r-19,-9l231,831,193,806,161,781,129,749,104,717,82,680,54,626,44,604,38,585,31,563,28,540,22,518,19,499r,-44l,455xe" fillcolor="black" stroked="f">
              <v:path arrowok="t"/>
            </v:shape>
            <v:rect id="_x0000_s1177" style="position:absolute;left:4656;top:7837;width:579;height:863" filled="f" stroked="f">
              <v:textbox style="mso-next-textbox:#_x0000_s1177" inset="0,0,0,0">
                <w:txbxContent>
                  <w:p w:rsidR="00A905B7" w:rsidRDefault="00A905B7" w:rsidP="00C0100D">
                    <w:r>
                      <w:rPr>
                        <w:rFonts w:ascii="Arial Narrow" w:hAnsi="Arial Narrow"/>
                        <w:color w:val="000000"/>
                        <w:sz w:val="64"/>
                        <w:szCs w:val="64"/>
                      </w:rPr>
                      <w:t>E</w:t>
                    </w:r>
                  </w:p>
                </w:txbxContent>
              </v:textbox>
            </v:rect>
            <v:rect id="_x0000_s1178" style="position:absolute;left:5001;top:8276;width:95;height:221" filled="f" stroked="f">
              <v:textbox style="mso-next-textbox:#_x0000_s1178" inset="0,0,0,0">
                <w:txbxContent>
                  <w:p w:rsidR="00A905B7" w:rsidRDefault="00A905B7" w:rsidP="00C0100D">
                    <w:r>
                      <w:rPr>
                        <w:rFonts w:ascii="Arial Narrow" w:hAnsi="Arial Narrow"/>
                        <w:color w:val="000000"/>
                        <w:sz w:val="16"/>
                        <w:szCs w:val="16"/>
                      </w:rPr>
                      <w:t xml:space="preserve"> </w:t>
                    </w:r>
                  </w:p>
                </w:txbxContent>
              </v:textbox>
            </v:rect>
            <v:rect id="_x0000_s1179" style="position:absolute;left:5039;top:8033;width:557;height:601" filled="f" stroked="f">
              <v:textbox style="mso-next-textbox:#_x0000_s1179" inset="0,0,0,0">
                <w:txbxContent>
                  <w:p w:rsidR="00A905B7" w:rsidRDefault="00A905B7" w:rsidP="00C0100D">
                    <w:r>
                      <w:rPr>
                        <w:rFonts w:ascii="Arial Narrow" w:hAnsi="Arial Narrow"/>
                        <w:color w:val="000000"/>
                        <w:sz w:val="42"/>
                        <w:szCs w:val="42"/>
                      </w:rPr>
                      <w:t>11</w:t>
                    </w:r>
                  </w:p>
                </w:txbxContent>
              </v:textbox>
            </v:rect>
            <v:rect id="_x0000_s1180" style="position:absolute;left:6000;top:8014;width:3096;height:585" filled="f" stroked="f">
              <v:textbox style="mso-next-textbox:#_x0000_s1180" inset="0,0,0,0">
                <w:txbxContent>
                  <w:p w:rsidR="00A905B7" w:rsidRDefault="00A905B7" w:rsidP="00C0100D">
                    <w:r>
                      <w:rPr>
                        <w:rFonts w:ascii="Arial" w:hAnsi="Arial" w:cs="Arial"/>
                        <w:color w:val="000000"/>
                        <w:sz w:val="42"/>
                        <w:szCs w:val="42"/>
                      </w:rPr>
                      <w:t>49 RB - 052439</w:t>
                    </w:r>
                  </w:p>
                </w:txbxContent>
              </v:textbox>
            </v:rect>
            <v:line id="_x0000_s1181" style="position:absolute" from="5554,8422" to="5927,8423" strokeweight="0"/>
            <v:line id="_x0000_s1182" style="position:absolute" from="5554,8086" to="5927,8087" strokeweight="0"/>
            <v:rect id="_x0000_s1183" style="position:absolute;left:5734;top:8001;width:196;height:228" filled="f" stroked="f">
              <v:textbox style="mso-next-textbox:#_x0000_s1183" inset="0,0,0,0">
                <w:txbxContent>
                  <w:p w:rsidR="00A905B7" w:rsidRDefault="00A905B7" w:rsidP="00C0100D">
                    <w:r>
                      <w:rPr>
                        <w:b/>
                        <w:bCs/>
                        <w:color w:val="000000"/>
                        <w:sz w:val="16"/>
                        <w:szCs w:val="16"/>
                      </w:rPr>
                      <w:t>a</w:t>
                    </w:r>
                  </w:p>
                </w:txbxContent>
              </v:textbox>
            </v:rect>
            <v:line id="_x0000_s1184" style="position:absolute" from="5741,8235" to="5889,8236" strokeweight="0"/>
            <v:rect id="_x0000_s1185" style="position:absolute;left:5775;top:8273;width:164;height:199" filled="f" stroked="f">
              <v:textbox style="mso-next-textbox:#_x0000_s1185" inset="0,0,0,0">
                <w:txbxContent>
                  <w:p w:rsidR="00A905B7" w:rsidRDefault="00A905B7" w:rsidP="00C0100D"/>
                </w:txbxContent>
              </v:textbox>
            </v:rect>
            <v:rect id="_x0000_s1186" style="position:absolute;left:7979;top:8599;width:196;height:228" filled="f" stroked="f">
              <v:textbox style="mso-next-textbox:#_x0000_s1186" inset="0,0,0,0">
                <w:txbxContent>
                  <w:p w:rsidR="00A905B7" w:rsidRDefault="00A905B7" w:rsidP="00C0100D">
                    <w:r>
                      <w:rPr>
                        <w:b/>
                        <w:bCs/>
                        <w:color w:val="000000"/>
                        <w:sz w:val="16"/>
                        <w:szCs w:val="16"/>
                      </w:rPr>
                      <w:t>a</w:t>
                    </w:r>
                  </w:p>
                </w:txbxContent>
              </v:textbox>
            </v:rect>
            <v:rect id="_x0000_s1187" style="position:absolute;left:8074;top:8621;width:493;height:280" filled="f" stroked="f">
              <v:textbox style="mso-next-textbox:#_x0000_s1187" inset="0,0,0,0">
                <w:txbxContent>
                  <w:p w:rsidR="00A905B7" w:rsidRDefault="00A905B7" w:rsidP="00C0100D">
                    <w:r>
                      <w:rPr>
                        <w:b/>
                        <w:bCs/>
                        <w:color w:val="000000"/>
                        <w:sz w:val="14"/>
                        <w:szCs w:val="14"/>
                      </w:rPr>
                      <w:t xml:space="preserve"> = 8 </w:t>
                    </w:r>
                  </w:p>
                </w:txbxContent>
              </v:textbox>
            </v:rect>
            <v:rect id="_x0000_s1188" style="position:absolute;left:8469;top:8599;width:686;height:228" filled="f" stroked="f">
              <v:textbox style="mso-next-textbox:#_x0000_s1188" inset="0,0,0,0">
                <w:txbxContent>
                  <w:p w:rsidR="00A905B7" w:rsidRDefault="00A905B7" w:rsidP="00C0100D">
                    <w:r>
                      <w:rPr>
                        <w:b/>
                        <w:bCs/>
                        <w:color w:val="000000"/>
                        <w:sz w:val="16"/>
                        <w:szCs w:val="16"/>
                      </w:rPr>
                      <w:t>mm min</w:t>
                    </w:r>
                  </w:p>
                </w:txbxContent>
              </v:textbox>
            </v:rect>
            <v:rect id="_x0000_s1189" style="position:absolute;left:9039;top:8621;width:164;height:199" filled="f" stroked="f">
              <v:textbox style="mso-next-textbox:#_x0000_s1189" inset="0,0,0,0">
                <w:txbxContent>
                  <w:p w:rsidR="00A905B7" w:rsidRDefault="00A905B7" w:rsidP="00C0100D">
                    <w:r>
                      <w:rPr>
                        <w:b/>
                        <w:bCs/>
                        <w:color w:val="000000"/>
                        <w:sz w:val="14"/>
                        <w:szCs w:val="14"/>
                      </w:rPr>
                      <w:t>.</w:t>
                    </w:r>
                  </w:p>
                </w:txbxContent>
              </v:textbox>
            </v:rect>
            <v:line id="_x0000_s1190" style="position:absolute" from="5652,8086" to="5653,8425" strokeweight="0"/>
            <v:shape id="_x0000_s1191" style="position:absolute;left:5592;top:8086;width:120;height:121;mso-position-horizontal:absolute;mso-position-vertical:absolute" coordsize="120,121" path="m120,121l60,,,121,60,60r60,61xe" fillcolor="black" strokeweight="0">
              <v:path arrowok="t"/>
            </v:shape>
            <v:shape id="_x0000_s1192" style="position:absolute;left:5592;top:8305;width:120;height:120;mso-position-horizontal:absolute;mso-position-vertical:absolute" coordsize="120,120" path="m120,l60,120,,,60,60,120,xe" fillcolor="black" strokeweight="0">
              <v:path arrowok="t"/>
            </v:shape>
          </v:group>
        </w:pict>
      </w:r>
      <w:r w:rsidR="00C0100D" w:rsidRPr="00B04DC3">
        <w:t>The suffix after the national symbol indicates the fuel qualification determined in accordance with paragraph 4.6.3.1. of this Regulation.</w:t>
      </w: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pStyle w:val="BodyTextIndent"/>
        <w:tabs>
          <w:tab w:val="left" w:pos="567"/>
          <w:tab w:val="left" w:pos="851"/>
          <w:tab w:val="left" w:pos="2556"/>
        </w:tabs>
        <w:spacing w:after="0"/>
        <w:ind w:left="567" w:hanging="567"/>
        <w:jc w:val="both"/>
      </w:pPr>
    </w:p>
    <w:p w:rsidR="00C0100D" w:rsidRPr="00B04DC3" w:rsidRDefault="00A905B7" w:rsidP="00C0100D">
      <w:pPr>
        <w:pStyle w:val="BodyTextIndent"/>
        <w:tabs>
          <w:tab w:val="left" w:pos="567"/>
          <w:tab w:val="left" w:pos="851"/>
          <w:tab w:val="left" w:pos="2556"/>
        </w:tabs>
        <w:spacing w:after="0"/>
        <w:ind w:left="567" w:hanging="567"/>
        <w:jc w:val="both"/>
      </w:pPr>
      <w:r>
        <w:rPr>
          <w:noProof/>
        </w:rPr>
        <w:pict>
          <v:rect id="_x0000_s1576" style="position:absolute;left:0;text-align:left;margin-left:230pt;margin-top:10.7pt;width:8.2pt;height:9.95pt;z-index:251575296" filled="f" stroked="f">
            <v:textbox style="mso-next-textbox:#_x0000_s1576" inset="0,0,0,0">
              <w:txbxContent>
                <w:p w:rsidR="00A905B7" w:rsidRDefault="00A905B7" w:rsidP="00C0100D">
                  <w:r>
                    <w:rPr>
                      <w:b/>
                      <w:bCs/>
                      <w:color w:val="000000"/>
                      <w:sz w:val="14"/>
                      <w:szCs w:val="14"/>
                    </w:rPr>
                    <w:t>3</w:t>
                  </w:r>
                </w:p>
              </w:txbxContent>
            </v:textbox>
          </v:rect>
        </w:pict>
      </w:r>
      <w:r>
        <w:rPr>
          <w:noProof/>
        </w:rPr>
        <w:pict>
          <v:rect id="_x0000_s1574" style="position:absolute;left:0;text-align:left;margin-left:230pt;margin-top:1.7pt;width:9.8pt;height:11.4pt;z-index:251574272" filled="f" stroked="f">
            <v:textbox style="mso-next-textbox:#_x0000_s1574" inset="0,0,0,0">
              <w:txbxContent>
                <w:p w:rsidR="00A905B7" w:rsidRPr="00F379C8" w:rsidRDefault="00A905B7" w:rsidP="00F379C8">
                  <w:pPr>
                    <w:rPr>
                      <w:lang w:val="fr-CH"/>
                    </w:rPr>
                  </w:pPr>
                  <w:r>
                    <w:rPr>
                      <w:lang w:val="fr-CH"/>
                    </w:rPr>
                    <w:t xml:space="preserve">    </w:t>
                  </w:r>
                </w:p>
              </w:txbxContent>
            </v:textbox>
          </v:rect>
        </w:pict>
      </w:r>
    </w:p>
    <w:p w:rsidR="00C0100D" w:rsidRPr="00B04DC3" w:rsidRDefault="00C0100D" w:rsidP="00C0100D">
      <w:pPr>
        <w:pStyle w:val="BodyTextIndent"/>
        <w:tabs>
          <w:tab w:val="left" w:pos="567"/>
          <w:tab w:val="left" w:pos="851"/>
          <w:tab w:val="left" w:pos="2556"/>
        </w:tabs>
        <w:spacing w:after="0"/>
        <w:ind w:left="567" w:hanging="567"/>
        <w:jc w:val="both"/>
      </w:pPr>
    </w:p>
    <w:p w:rsidR="00C0100D" w:rsidRPr="00B04DC3" w:rsidRDefault="00C0100D" w:rsidP="00C0100D">
      <w:pPr>
        <w:pStyle w:val="BodyTextIndent"/>
        <w:tabs>
          <w:tab w:val="left" w:pos="567"/>
          <w:tab w:val="left" w:pos="851"/>
          <w:tab w:val="left" w:pos="2556"/>
        </w:tabs>
        <w:spacing w:after="0"/>
        <w:ind w:left="567" w:hanging="567"/>
        <w:jc w:val="both"/>
      </w:pPr>
    </w:p>
    <w:p w:rsidR="00C0100D" w:rsidRPr="00B04DC3" w:rsidRDefault="00C0100D" w:rsidP="00C0100D">
      <w:pPr>
        <w:pStyle w:val="BodyTextIndent"/>
        <w:tabs>
          <w:tab w:val="left" w:pos="567"/>
          <w:tab w:val="left" w:pos="851"/>
          <w:tab w:val="left" w:pos="2556"/>
        </w:tabs>
        <w:spacing w:after="0"/>
        <w:ind w:left="567" w:hanging="567"/>
        <w:jc w:val="both"/>
      </w:pPr>
    </w:p>
    <w:p w:rsidR="00C0100D" w:rsidRPr="00B04DC3" w:rsidRDefault="00C0100D" w:rsidP="00C161BF">
      <w:pPr>
        <w:pStyle w:val="SingleTxtG"/>
        <w:ind w:firstLine="567"/>
      </w:pPr>
      <w:r w:rsidRPr="00B04DC3">
        <w:t>The above approval marks affixed to an engine/vehicle show that the engine/vehicle type concerned has been approved in the United Kingdom (E</w:t>
      </w:r>
      <w:r w:rsidR="00260B82">
        <w:t> </w:t>
      </w:r>
      <w:r w:rsidRPr="00B04DC3">
        <w:t>11) pursuant to Regulation</w:t>
      </w:r>
      <w:r w:rsidR="008F2A18" w:rsidRPr="00B04DC3">
        <w:t> </w:t>
      </w:r>
      <w:r w:rsidRPr="00B04DC3">
        <w:t>No</w:t>
      </w:r>
      <w:r w:rsidR="008F2A18" w:rsidRPr="00B04DC3">
        <w:t>.</w:t>
      </w:r>
      <w:r w:rsidRPr="00B04DC3">
        <w:t> 49 and under approval number 052439</w:t>
      </w:r>
      <w:r w:rsidR="00401E79" w:rsidRPr="00B04DC3">
        <w:t xml:space="preserve">. </w:t>
      </w:r>
      <w:r w:rsidRPr="00B04DC3">
        <w:t>This approval indicates that the approval was given in accordance with the requirements of Regulation No. 49 with the 05</w:t>
      </w:r>
      <w:r w:rsidR="008F2A18" w:rsidRPr="00B04DC3">
        <w:t> </w:t>
      </w:r>
      <w:r w:rsidRPr="00B04DC3">
        <w:t xml:space="preserve">series of amendments incorporated and satisfying the relevant emission stages detailed in paragraph 4.6.3. of this Regulation. </w:t>
      </w:r>
    </w:p>
    <w:p w:rsidR="00C0100D" w:rsidRPr="00B04DC3" w:rsidRDefault="00C0100D" w:rsidP="00C161BF">
      <w:pPr>
        <w:pStyle w:val="para"/>
        <w:rPr>
          <w:lang w:val="en-GB"/>
        </w:rPr>
      </w:pPr>
      <w:r w:rsidRPr="00B04DC3">
        <w:rPr>
          <w:lang w:val="en-GB"/>
        </w:rPr>
        <w:t>II.</w:t>
      </w:r>
      <w:r w:rsidRPr="00B04DC3">
        <w:rPr>
          <w:lang w:val="en-GB"/>
        </w:rPr>
        <w:tab/>
      </w:r>
      <w:r w:rsidR="00C161BF" w:rsidRPr="00B04DC3">
        <w:rPr>
          <w:lang w:val="en-GB"/>
        </w:rPr>
        <w:t>Approval</w:t>
      </w:r>
      <w:r w:rsidRPr="00B04DC3">
        <w:rPr>
          <w:lang w:val="en-GB"/>
        </w:rPr>
        <w:t xml:space="preserve"> "C" (Row B1, OBD stage 1, with NO</w:t>
      </w:r>
      <w:r w:rsidRPr="00B04DC3">
        <w:rPr>
          <w:vertAlign w:val="subscript"/>
          <w:lang w:val="en-GB"/>
        </w:rPr>
        <w:t>x</w:t>
      </w:r>
      <w:r w:rsidRPr="00B04DC3">
        <w:rPr>
          <w:lang w:val="en-GB"/>
        </w:rPr>
        <w:t xml:space="preserve"> control)</w:t>
      </w:r>
    </w:p>
    <w:p w:rsidR="00C0100D" w:rsidRPr="00B04DC3" w:rsidRDefault="00C0100D" w:rsidP="00C161BF">
      <w:pPr>
        <w:pStyle w:val="para"/>
        <w:rPr>
          <w:lang w:val="en-GB"/>
        </w:rPr>
      </w:pPr>
      <w:r w:rsidRPr="00B04DC3">
        <w:rPr>
          <w:lang w:val="en-GB"/>
        </w:rPr>
        <w:t>Example 3</w:t>
      </w:r>
    </w:p>
    <w:p w:rsidR="00C0100D" w:rsidRPr="00B04DC3" w:rsidRDefault="00A905B7" w:rsidP="00C161BF">
      <w:pPr>
        <w:pStyle w:val="para"/>
        <w:rPr>
          <w:szCs w:val="24"/>
          <w:lang w:val="en-GB"/>
        </w:rPr>
      </w:pPr>
      <w:r>
        <w:rPr>
          <w:noProof/>
          <w:lang w:val="en-GB"/>
        </w:rPr>
        <w:pict>
          <v:group id="_x0000_s5589" style="position:absolute;left:0;text-align:left;margin-left:127.7pt;margin-top:17.6pt;width:277.55pt;height:56.3pt;z-index:251570176" coordorigin="3688,11703" coordsize="5551,1126">
            <v:line id="_x0000_s1227" style="position:absolute;flip:x" from="3804,11712" to="4763,11713" strokeweight="0"/>
            <v:line id="_x0000_s1228" style="position:absolute;flip:x" from="3804,12605" to="4763,12606" strokeweight="0"/>
            <v:rect id="_x0000_s1229" style="position:absolute;left:3688;top:12090;width:195;height:226" filled="f" stroked="f">
              <v:textbox style="mso-next-textbox:#_x0000_s1229" inset="0,0,0,0">
                <w:txbxContent>
                  <w:p w:rsidR="00A905B7" w:rsidRDefault="00A905B7" w:rsidP="00C0100D">
                    <w:r>
                      <w:rPr>
                        <w:b/>
                        <w:bCs/>
                        <w:color w:val="000000"/>
                        <w:sz w:val="16"/>
                        <w:szCs w:val="16"/>
                      </w:rPr>
                      <w:t>a</w:t>
                    </w:r>
                  </w:p>
                </w:txbxContent>
              </v:textbox>
            </v:rect>
            <v:line id="_x0000_s1230" style="position:absolute" from="3845,11712" to="3846,12605" strokeweight="0"/>
            <v:shape id="_x0000_s1231" style="position:absolute;left:3785;top:11712;width:117;height:120;mso-position-horizontal:absolute;mso-position-vertical:absolute" coordsize="117,120" path="m117,120l60,,,120,60,60r57,60xe" fillcolor="black" strokeweight="0">
              <v:path arrowok="t"/>
            </v:shape>
            <v:shape id="_x0000_s1232" style="position:absolute;left:3785;top:12486;width:117;height:119;mso-position-horizontal:absolute;mso-position-vertical:absolute" coordsize="117,119" path="m117,l60,119,,,60,59,117,xe" fillcolor="black" strokeweight="0">
              <v:path arrowok="t"/>
            </v:shape>
            <v:line id="_x0000_s1233" style="position:absolute;flip:x" from="4150,11936" to="4458,11937" strokeweight="0"/>
            <v:line id="_x0000_s1234" style="position:absolute;flip:x" from="4150,12382" to="4458,12383" strokeweight="0"/>
            <v:line id="_x0000_s1235" style="position:absolute" from="4225,11936" to="4226,12382" strokeweight="0"/>
            <v:shape id="_x0000_s1236" style="position:absolute;left:4169;top:11936;width:116;height:119;mso-position-horizontal:absolute;mso-position-vertical:absolute" coordsize="116,119" path="m116,119l56,,,119,56,59r60,60xe" fillcolor="black" strokeweight="0">
              <v:path arrowok="t"/>
            </v:shape>
            <v:shape id="_x0000_s1237" style="position:absolute;left:4169;top:12262;width:116;height:120;mso-position-horizontal:absolute;mso-position-vertical:absolute" coordsize="116,120" path="m116,l56,120,,,56,60,116,xe" fillcolor="black" strokeweight="0">
              <v:path arrowok="t"/>
            </v:shape>
            <v:line id="_x0000_s1238" style="position:absolute" from="3996,12121" to="4150,12122" strokeweight="0"/>
            <v:rect id="_x0000_s1239" style="position:absolute;left:4034;top:11961;width:195;height:226" filled="f" stroked="f">
              <v:textbox style="mso-next-textbox:#_x0000_s1239" inset="0,0,0,0">
                <w:txbxContent>
                  <w:p w:rsidR="00A905B7" w:rsidRPr="0062535F" w:rsidRDefault="00A905B7" w:rsidP="00C0100D">
                    <w:r>
                      <w:pict>
                        <v:shape id="_x0000_i1056" type="#_x0000_t75" style="width:9.6pt;height:14.4pt">
                          <v:imagedata r:id="rId93" o:title=""/>
                        </v:shape>
                      </w:pict>
                    </w:r>
                  </w:p>
                </w:txbxContent>
              </v:textbox>
            </v:rect>
            <v:rect id="_x0000_s1240" style="position:absolute;left:4042;top:12095;width:170;height:207" filled="f" stroked="f">
              <v:textbox style="mso-next-textbox:#_x0000_s1240" inset="0,0,0,0">
                <w:txbxContent>
                  <w:p w:rsidR="00A905B7" w:rsidRDefault="00A905B7" w:rsidP="00C0100D">
                    <w:r>
                      <w:rPr>
                        <w:b/>
                        <w:bCs/>
                        <w:color w:val="000000"/>
                        <w:sz w:val="14"/>
                        <w:szCs w:val="14"/>
                      </w:rPr>
                      <w:t>2</w:t>
                    </w:r>
                  </w:p>
                </w:txbxContent>
              </v:textbox>
            </v:rect>
            <v:oval id="_x0000_s1241" style="position:absolute;left:4496;top:11712;width:921;height:896" stroked="f"/>
            <v:shape id="_x0000_s1242" style="position:absolute;left:4486;top:11703;width:937;height:911;mso-position-horizontal:absolute;mso-position-vertical:absolute" coordsize="937,911" path="m,456r,44l3,525r7,22l13,569r6,22l29,610r6,22l54,673r41,56l107,745r16,16l135,776r16,16l170,805r16,12l242,858r22,9l286,877r19,6l371,902r25,3l421,908r22,3l491,911r25,-3l563,902r88,-25l670,867r22,-9l733,830r15,-13l767,805r16,-13l830,745r13,-16l871,691r28,-59l909,610r6,-19l928,547r9,-69l937,431r-9,-70l921,339r-6,-18l909,299,899,280r-9,-22l871,217,855,201,843,182,830,167,814,148,799,135,767,104,748,91,733,79,714,63,692,53,670,44,651,35,629,25,585,13,563,9,541,3,516,,421,,393,3,371,9r-22,4l305,25,286,35r-22,9l223,63,186,91r-16,13l151,119r-28,29l107,167,95,182,82,201,69,217,54,236,44,258r-9,22l29,299,19,321r-6,18l10,361,3,383,,409r,47l19,456r,-47l22,390r7,-22l32,346r6,-19l47,305r7,-19l63,264,73,248r9,-19l95,214r12,-19l120,179r15,-19l164,132r19,-16l198,104,236,82,271,63,293,53r18,-9l355,31r22,-3l399,22r22,-3l516,19r19,3l557,28r22,3l623,44r22,9l664,63r22,9l701,82r19,9l736,104r19,12l786,148r16,12l818,179r12,16l843,214r9,15l871,264r9,22l890,305r6,22l902,346r7,22l918,431r,47l909,541r-13,44l890,603r-10,22l852,679r-22,38l818,732r-48,47l755,792r-19,13l720,817r-34,22l664,849r-19,9l557,883r-41,6l491,893r-48,l421,889r-25,-3l377,883,311,864r-18,-6l271,849,255,839,198,805,183,792,164,779,148,764,135,748,120,732,107,717,73,660,54,625,47,603,38,585,32,563,29,541,22,519,19,500r,-44l,456xe" fillcolor="black" stroked="f">
              <v:path arrowok="t"/>
            </v:shape>
            <v:rect id="_x0000_s1243" style="position:absolute;left:4571;top:11800;width:585;height:861" filled="f" stroked="f">
              <v:textbox style="mso-next-textbox:#_x0000_s1243" inset="0,0,0,0">
                <w:txbxContent>
                  <w:p w:rsidR="00A905B7" w:rsidRDefault="00A905B7" w:rsidP="00C0100D">
                    <w:r>
                      <w:rPr>
                        <w:rFonts w:ascii="Arial Narrow" w:hAnsi="Arial Narrow"/>
                        <w:color w:val="000000"/>
                        <w:sz w:val="62"/>
                        <w:szCs w:val="62"/>
                      </w:rPr>
                      <w:t>E</w:t>
                    </w:r>
                  </w:p>
                </w:txbxContent>
              </v:textbox>
            </v:rect>
            <v:rect id="_x0000_s1244" style="position:absolute;left:4926;top:12234;width:94;height:220" filled="f" stroked="f">
              <v:textbox style="mso-next-textbox:#_x0000_s1244" inset="0,0,0,0">
                <w:txbxContent>
                  <w:p w:rsidR="00A905B7" w:rsidRDefault="00A905B7" w:rsidP="00C0100D">
                    <w:r>
                      <w:rPr>
                        <w:rFonts w:ascii="Arial Narrow" w:hAnsi="Arial Narrow"/>
                        <w:color w:val="000000"/>
                        <w:sz w:val="16"/>
                        <w:szCs w:val="16"/>
                      </w:rPr>
                      <w:t xml:space="preserve"> </w:t>
                    </w:r>
                  </w:p>
                </w:txbxContent>
              </v:textbox>
            </v:rect>
            <v:rect id="_x0000_s1245" style="position:absolute;left:4964;top:11992;width:534;height:575" filled="f" stroked="f">
              <v:textbox style="mso-next-textbox:#_x0000_s1245" inset="0,0,0,0">
                <w:txbxContent>
                  <w:p w:rsidR="00A905B7" w:rsidRDefault="00A905B7" w:rsidP="00C0100D">
                    <w:r>
                      <w:rPr>
                        <w:rFonts w:ascii="Arial Narrow" w:hAnsi="Arial Narrow"/>
                        <w:color w:val="000000"/>
                        <w:sz w:val="42"/>
                        <w:szCs w:val="42"/>
                      </w:rPr>
                      <w:t>11</w:t>
                    </w:r>
                  </w:p>
                </w:txbxContent>
              </v:textbox>
            </v:rect>
            <v:rect id="_x0000_s1246" style="position:absolute;left:6014;top:11945;width:3099;height:566" filled="f" stroked="f">
              <v:textbox style="mso-next-textbox:#_x0000_s1246" inset="0,0,0,0">
                <w:txbxContent>
                  <w:p w:rsidR="00A905B7" w:rsidRDefault="00A905B7" w:rsidP="00C0100D">
                    <w:r>
                      <w:rPr>
                        <w:rFonts w:ascii="Arial" w:hAnsi="Arial" w:cs="Arial"/>
                        <w:color w:val="000000"/>
                        <w:sz w:val="42"/>
                        <w:szCs w:val="42"/>
                      </w:rPr>
                      <w:t>49 RC - 052439</w:t>
                    </w:r>
                  </w:p>
                </w:txbxContent>
              </v:textbox>
            </v:rect>
            <v:line id="_x0000_s1247" style="position:absolute" from="5492,12382" to="5876,12383" strokeweight="0"/>
            <v:line id="_x0000_s1248" style="position:absolute" from="5492,12046" to="5876,12047" strokeweight="0"/>
            <v:rect id="_x0000_s1249" style="position:absolute;left:5734;top:11961;width:183;height:279" filled="f" stroked="f">
              <v:textbox style="mso-next-textbox:#_x0000_s1249" inset="0,0,0,0">
                <w:txbxContent>
                  <w:p w:rsidR="00A905B7" w:rsidRDefault="00A905B7" w:rsidP="00C0100D">
                    <w:pPr>
                      <w:rPr>
                        <w:b/>
                        <w:bCs/>
                        <w:color w:val="000000"/>
                        <w:sz w:val="16"/>
                        <w:szCs w:val="16"/>
                      </w:rPr>
                    </w:pPr>
                    <w:r>
                      <w:rPr>
                        <w:b/>
                        <w:bCs/>
                        <w:color w:val="000000"/>
                        <w:sz w:val="16"/>
                        <w:szCs w:val="16"/>
                      </w:rPr>
                      <w:t>a</w:t>
                    </w:r>
                  </w:p>
                  <w:p w:rsidR="00A905B7" w:rsidRDefault="00A905B7" w:rsidP="00C0100D"/>
                </w:txbxContent>
              </v:textbox>
            </v:rect>
            <v:line id="_x0000_s1250" style="position:absolute" from="5684,12196" to="5838,12197" strokeweight="0"/>
            <v:rect id="_x0000_s1251" style="position:absolute;left:5734;top:12141;width:158;height:297" filled="f" stroked="f">
              <v:textbox style="mso-next-textbox:#_x0000_s1251" inset="0,0,0,0">
                <w:txbxContent>
                  <w:p w:rsidR="00A905B7" w:rsidRDefault="00A905B7" w:rsidP="00C0100D">
                    <w:r>
                      <w:rPr>
                        <w:b/>
                        <w:bCs/>
                        <w:color w:val="000000"/>
                        <w:sz w:val="14"/>
                        <w:szCs w:val="14"/>
                      </w:rPr>
                      <w:t>3</w:t>
                    </w:r>
                  </w:p>
                </w:txbxContent>
              </v:textbox>
            </v:rect>
            <v:rect id="_x0000_s1252" style="position:absolute;left:7981;top:12555;width:195;height:226" filled="f" stroked="f">
              <v:textbox style="mso-next-textbox:#_x0000_s1252" inset="0,0,0,0">
                <w:txbxContent>
                  <w:p w:rsidR="00A905B7" w:rsidRDefault="00A905B7" w:rsidP="00C0100D">
                    <w:r>
                      <w:rPr>
                        <w:b/>
                        <w:bCs/>
                        <w:color w:val="000000"/>
                        <w:sz w:val="16"/>
                        <w:szCs w:val="16"/>
                      </w:rPr>
                      <w:t>a</w:t>
                    </w:r>
                  </w:p>
                </w:txbxContent>
              </v:textbox>
            </v:rect>
            <v:rect id="_x0000_s1253" style="position:absolute;left:8079;top:12545;width:509;height:284" filled="f" stroked="f">
              <v:textbox style="mso-next-textbox:#_x0000_s1253" inset="0,0,0,0">
                <w:txbxContent>
                  <w:p w:rsidR="00A905B7" w:rsidRDefault="00A905B7" w:rsidP="00C0100D">
                    <w:r>
                      <w:rPr>
                        <w:b/>
                        <w:bCs/>
                        <w:color w:val="000000"/>
                        <w:sz w:val="14"/>
                        <w:szCs w:val="14"/>
                      </w:rPr>
                      <w:t xml:space="preserve"> = 8 </w:t>
                    </w:r>
                  </w:p>
                </w:txbxContent>
              </v:textbox>
            </v:rect>
            <v:rect id="_x0000_s1254" style="position:absolute;left:8484;top:12555;width:682;height:226" filled="f" stroked="f">
              <v:textbox style="mso-next-textbox:#_x0000_s1254" inset="0,0,0,0">
                <w:txbxContent>
                  <w:p w:rsidR="00A905B7" w:rsidRDefault="00A905B7" w:rsidP="00C0100D">
                    <w:r>
                      <w:rPr>
                        <w:b/>
                        <w:bCs/>
                        <w:color w:val="000000"/>
                        <w:sz w:val="16"/>
                        <w:szCs w:val="16"/>
                      </w:rPr>
                      <w:t>mm min</w:t>
                    </w:r>
                  </w:p>
                </w:txbxContent>
              </v:textbox>
            </v:rect>
            <v:rect id="_x0000_s1255" style="position:absolute;left:9069;top:12577;width:170;height:207" filled="f" stroked="f">
              <v:textbox style="mso-next-textbox:#_x0000_s1255" inset="0,0,0,0">
                <w:txbxContent>
                  <w:p w:rsidR="00A905B7" w:rsidRDefault="00A905B7" w:rsidP="00C0100D">
                    <w:r>
                      <w:rPr>
                        <w:b/>
                        <w:bCs/>
                        <w:color w:val="000000"/>
                        <w:sz w:val="14"/>
                        <w:szCs w:val="14"/>
                      </w:rPr>
                      <w:t>.</w:t>
                    </w:r>
                  </w:p>
                </w:txbxContent>
              </v:textbox>
            </v:rect>
            <v:line id="_x0000_s1256" style="position:absolute" from="5583,12046" to="5584,12382" strokeweight="0"/>
            <v:shape id="_x0000_s1257" style="position:absolute;left:5524;top:12046;width:119;height:119;mso-position-horizontal:absolute;mso-position-vertical:absolute" coordsize="119,119" path="m119,119l59,,,119,59,59r60,60xe" fillcolor="black" strokeweight="0">
              <v:path arrowok="t"/>
            </v:shape>
            <v:shape id="_x0000_s1258" style="position:absolute;left:5524;top:12262;width:119;height:120;mso-position-horizontal:absolute;mso-position-vertical:absolute" coordsize="119,120" path="m119,l59,120,,,59,60,119,xe" fillcolor="black" strokeweight="0">
              <v:path arrowok="t"/>
            </v:shape>
          </v:group>
        </w:pict>
      </w:r>
      <w:r w:rsidR="00C0100D" w:rsidRPr="00B04DC3">
        <w:rPr>
          <w:szCs w:val="24"/>
          <w:lang w:val="en-GB"/>
        </w:rPr>
        <w:t>Diesel engines:</w:t>
      </w:r>
    </w:p>
    <w:p w:rsidR="00C0100D" w:rsidRPr="00B04DC3" w:rsidRDefault="00C0100D" w:rsidP="00C0100D">
      <w:pPr>
        <w:pStyle w:val="BodyTextIndent"/>
        <w:tabs>
          <w:tab w:val="left" w:pos="567"/>
          <w:tab w:val="num" w:pos="851"/>
        </w:tabs>
        <w:spacing w:after="0"/>
        <w:ind w:left="567" w:hanging="567"/>
        <w:jc w:val="both"/>
      </w:pPr>
    </w:p>
    <w:p w:rsidR="00C0100D" w:rsidRPr="00B04DC3" w:rsidRDefault="00C0100D" w:rsidP="00C0100D">
      <w:pPr>
        <w:pStyle w:val="Heading5"/>
        <w:tabs>
          <w:tab w:val="left" w:pos="567"/>
          <w:tab w:val="num" w:pos="851"/>
        </w:tabs>
        <w:ind w:left="567" w:hanging="567"/>
      </w:pPr>
    </w:p>
    <w:p w:rsidR="00C0100D" w:rsidRPr="00B04DC3" w:rsidRDefault="00C0100D" w:rsidP="00C0100D">
      <w:pPr>
        <w:pStyle w:val="Heading5"/>
        <w:tabs>
          <w:tab w:val="left" w:pos="567"/>
          <w:tab w:val="num" w:pos="851"/>
        </w:tabs>
        <w:ind w:left="567" w:hanging="567"/>
      </w:pPr>
    </w:p>
    <w:p w:rsidR="00C0100D" w:rsidRPr="00B04DC3" w:rsidRDefault="00C0100D" w:rsidP="00C161BF">
      <w:pPr>
        <w:pStyle w:val="BodyTextIndent"/>
        <w:tabs>
          <w:tab w:val="left" w:pos="567"/>
          <w:tab w:val="num" w:pos="851"/>
          <w:tab w:val="center" w:pos="4734"/>
          <w:tab w:val="left" w:pos="5400"/>
          <w:tab w:val="left" w:pos="6840"/>
        </w:tabs>
        <w:spacing w:after="360"/>
        <w:ind w:left="567" w:hanging="567"/>
        <w:jc w:val="both"/>
      </w:pPr>
    </w:p>
    <w:p w:rsidR="00C0100D" w:rsidRPr="00B04DC3" w:rsidRDefault="00C0100D" w:rsidP="00C161BF">
      <w:pPr>
        <w:pStyle w:val="SingleTxtG"/>
        <w:spacing w:after="360"/>
      </w:pPr>
      <w:r w:rsidRPr="00B04DC3">
        <w:tab/>
        <w:t>The above approval mark affixed to an engine/vehicle shows that the engine/vehicle type concerned has been approved in the United Kingdom (E</w:t>
      </w:r>
      <w:r w:rsidR="00260B82">
        <w:t> </w:t>
      </w:r>
      <w:r w:rsidRPr="00B04DC3">
        <w:t>11) pursuant to Regulation</w:t>
      </w:r>
      <w:r w:rsidR="008F2A18" w:rsidRPr="00B04DC3">
        <w:t> </w:t>
      </w:r>
      <w:r w:rsidRPr="00B04DC3">
        <w:t>No. 49 and under approval number 052439</w:t>
      </w:r>
      <w:r w:rsidR="00401E79" w:rsidRPr="00B04DC3">
        <w:t xml:space="preserve">. </w:t>
      </w:r>
      <w:r w:rsidRPr="00B04DC3">
        <w:t>This approval indicates that the approval was given in accordance with the requirements of Regulation No. 49 with the 05</w:t>
      </w:r>
      <w:r w:rsidR="0062535F" w:rsidRPr="00B04DC3">
        <w:t> </w:t>
      </w:r>
      <w:r w:rsidRPr="00B04DC3">
        <w:t>series of amendments incorporated and satisfying the relevant emission stages detailed in paragraph 4.6.3. of this Regulation.</w:t>
      </w:r>
    </w:p>
    <w:p w:rsidR="00C0100D" w:rsidRPr="00B04DC3" w:rsidRDefault="00C0100D" w:rsidP="00C161BF">
      <w:pPr>
        <w:pStyle w:val="para"/>
        <w:rPr>
          <w:lang w:val="en-GB"/>
        </w:rPr>
      </w:pPr>
      <w:r w:rsidRPr="00B04DC3">
        <w:rPr>
          <w:lang w:val="en-GB"/>
        </w:rPr>
        <w:t>III.</w:t>
      </w:r>
      <w:r w:rsidRPr="00B04DC3">
        <w:rPr>
          <w:lang w:val="en-GB"/>
        </w:rPr>
        <w:tab/>
      </w:r>
      <w:r w:rsidR="00C161BF" w:rsidRPr="00B04DC3">
        <w:rPr>
          <w:lang w:val="en-GB"/>
        </w:rPr>
        <w:t>Approval</w:t>
      </w:r>
      <w:r w:rsidRPr="00B04DC3">
        <w:rPr>
          <w:lang w:val="en-GB"/>
        </w:rPr>
        <w:t xml:space="preserve"> "F" (Row B2, OBD stage 2, without NO</w:t>
      </w:r>
      <w:r w:rsidRPr="00B04DC3">
        <w:rPr>
          <w:vertAlign w:val="subscript"/>
          <w:lang w:val="en-GB"/>
        </w:rPr>
        <w:t>x</w:t>
      </w:r>
      <w:r w:rsidRPr="00B04DC3">
        <w:rPr>
          <w:lang w:val="en-GB"/>
        </w:rPr>
        <w:t xml:space="preserve"> control)</w:t>
      </w:r>
    </w:p>
    <w:p w:rsidR="00C0100D" w:rsidRPr="00B04DC3" w:rsidRDefault="00C0100D" w:rsidP="00C161BF">
      <w:pPr>
        <w:pStyle w:val="para"/>
        <w:rPr>
          <w:lang w:val="en-GB"/>
        </w:rPr>
      </w:pPr>
      <w:r w:rsidRPr="00B04DC3">
        <w:rPr>
          <w:lang w:val="en-GB"/>
        </w:rPr>
        <w:t>Example 4</w:t>
      </w:r>
    </w:p>
    <w:p w:rsidR="00C0100D" w:rsidRPr="00B04DC3" w:rsidRDefault="00C0100D" w:rsidP="00C161BF">
      <w:pPr>
        <w:pStyle w:val="para"/>
        <w:rPr>
          <w:szCs w:val="24"/>
          <w:lang w:val="en-GB"/>
        </w:rPr>
      </w:pPr>
      <w:r w:rsidRPr="00B04DC3">
        <w:rPr>
          <w:szCs w:val="24"/>
          <w:lang w:val="en-GB"/>
        </w:rPr>
        <w:t>LPG engines:</w:t>
      </w:r>
    </w:p>
    <w:p w:rsidR="00C0100D" w:rsidRPr="00B04DC3" w:rsidRDefault="00A905B7" w:rsidP="00C0100D">
      <w:pPr>
        <w:tabs>
          <w:tab w:val="left" w:pos="567"/>
          <w:tab w:val="num" w:pos="851"/>
          <w:tab w:val="left" w:pos="2556"/>
          <w:tab w:val="left" w:pos="3756"/>
          <w:tab w:val="left" w:pos="5196"/>
        </w:tabs>
        <w:ind w:left="567" w:hanging="567"/>
        <w:jc w:val="both"/>
      </w:pPr>
      <w:r>
        <w:rPr>
          <w:noProof/>
        </w:rPr>
        <w:pict>
          <v:group id="_x0000_s5588" style="position:absolute;left:0;text-align:left;margin-left:143.8pt;margin-top:9.95pt;width:272.55pt;height:60.45pt;z-index:251567104" coordorigin="4010,2980" coordsize="5451,1209">
            <v:line id="_x0000_s1118" style="position:absolute;flip:x" from="4123,2989" to="5057,2990" strokeweight="0"/>
            <v:line id="_x0000_s1119" style="position:absolute;flip:x" from="4123,3858" to="5057,3859" strokeweight="0"/>
            <v:rect id="_x0000_s1120" style="position:absolute;left:4010;top:3356;width:190;height:230" filled="f" stroked="f">
              <v:textbox style="mso-next-textbox:#_x0000_s1120" inset="0,0,0,0">
                <w:txbxContent>
                  <w:p w:rsidR="00A905B7" w:rsidRDefault="00A905B7" w:rsidP="00C0100D">
                    <w:r>
                      <w:rPr>
                        <w:b/>
                        <w:bCs/>
                        <w:color w:val="000000"/>
                        <w:sz w:val="16"/>
                        <w:szCs w:val="16"/>
                      </w:rPr>
                      <w:t>a</w:t>
                    </w:r>
                  </w:p>
                </w:txbxContent>
              </v:textbox>
            </v:rect>
            <v:line id="_x0000_s1121" style="position:absolute" from="4163,2989" to="4164,3858" strokeweight="0"/>
            <v:shape id="_x0000_s1122" style="position:absolute;left:4105;top:2989;width:113;height:116" coordsize="113,116" path="m113,116l58,,,116,58,58r55,58xe" fillcolor="black" strokeweight="0">
              <v:path arrowok="t"/>
            </v:shape>
            <v:shape id="_x0000_s1123" style="position:absolute;left:4105;top:3742;width:113;height:116" coordsize="113,116" path="m113,l58,116,,,58,58,113,xe" fillcolor="black" strokeweight="0">
              <v:path arrowok="t"/>
            </v:shape>
            <v:line id="_x0000_s1124" style="position:absolute;flip:x" from="4460,3206" to="4760,3207" strokeweight="0"/>
            <v:line id="_x0000_s1125" style="position:absolute;flip:x" from="4460,3641" to="4760,3642" strokeweight="0"/>
            <v:line id="_x0000_s1126" style="position:absolute" from="4533,3206" to="4534,3641" strokeweight="0"/>
            <v:shape id="_x0000_s1127" style="position:absolute;left:4478;top:3206;width:113;height:117" coordsize="113,117" path="m113,117l55,,,117,55,59r58,58xe" fillcolor="black" strokeweight="0">
              <v:path arrowok="t"/>
            </v:shape>
            <v:shape id="_x0000_s1128" style="position:absolute;left:4478;top:3525;width:113;height:116" coordsize="113,116" path="m113,l55,116,,,55,58,113,xe" fillcolor="black" strokeweight="0">
              <v:path arrowok="t"/>
            </v:shape>
            <v:line id="_x0000_s1129" style="position:absolute" from="4310,3387" to="4460,3388" strokeweight="0"/>
            <v:rect id="_x0000_s1130" style="position:absolute;left:4347;top:3183;width:190;height:230" filled="f" stroked="f">
              <v:textbox style="mso-next-textbox:#_x0000_s1130" inset="0,0,0,0">
                <w:txbxContent>
                  <w:p w:rsidR="00A905B7" w:rsidRDefault="00A905B7" w:rsidP="00C0100D">
                    <w:r>
                      <w:rPr>
                        <w:b/>
                        <w:bCs/>
                        <w:color w:val="000000"/>
                        <w:sz w:val="16"/>
                        <w:szCs w:val="16"/>
                      </w:rPr>
                      <w:t>a</w:t>
                    </w:r>
                  </w:p>
                </w:txbxContent>
              </v:textbox>
            </v:rect>
            <v:rect id="_x0000_s1131" style="position:absolute;left:4355;top:3353;width:171;height:202" filled="f" stroked="f">
              <v:textbox style="mso-next-textbox:#_x0000_s1131" inset="0,0,0,0">
                <w:txbxContent>
                  <w:p w:rsidR="00A905B7" w:rsidRDefault="00A905B7" w:rsidP="00C0100D">
                    <w:r>
                      <w:rPr>
                        <w:b/>
                        <w:bCs/>
                        <w:color w:val="000000"/>
                        <w:sz w:val="12"/>
                        <w:szCs w:val="12"/>
                      </w:rPr>
                      <w:t>2</w:t>
                    </w:r>
                  </w:p>
                </w:txbxContent>
              </v:textbox>
            </v:rect>
            <v:oval id="_x0000_s1132" style="position:absolute;left:4796;top:2989;width:897;height:873" stroked="f"/>
            <v:shape id="_x0000_s1133" style="position:absolute;left:4787;top:2980;width:912;height:888" coordsize="912,888"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v:shape>
            <v:rect id="_x0000_s1134" style="position:absolute;left:4870;top:3075;width:563;height:836" filled="f" stroked="f">
              <v:textbox style="mso-next-textbox:#_x0000_s1134" inset="0,0,0,0">
                <w:txbxContent>
                  <w:p w:rsidR="00A905B7" w:rsidRDefault="00A905B7" w:rsidP="00C0100D">
                    <w:r>
                      <w:rPr>
                        <w:rFonts w:ascii="Arial Narrow" w:hAnsi="Arial Narrow"/>
                        <w:color w:val="000000"/>
                        <w:sz w:val="62"/>
                        <w:szCs w:val="62"/>
                      </w:rPr>
                      <w:t>E</w:t>
                    </w:r>
                  </w:p>
                </w:txbxContent>
              </v:textbox>
            </v:rect>
            <v:rect id="_x0000_s1135" style="position:absolute;left:5216;top:3497;width:95;height:226" filled="f" stroked="f">
              <v:textbox style="mso-next-textbox:#_x0000_s1135" inset="0,0,0,0">
                <w:txbxContent>
                  <w:p w:rsidR="00A905B7" w:rsidRDefault="00A905B7" w:rsidP="00C0100D">
                    <w:r>
                      <w:rPr>
                        <w:rFonts w:ascii="Arial Narrow" w:hAnsi="Arial Narrow"/>
                        <w:color w:val="000000"/>
                        <w:sz w:val="16"/>
                        <w:szCs w:val="16"/>
                      </w:rPr>
                      <w:t xml:space="preserve"> </w:t>
                    </w:r>
                  </w:p>
                </w:txbxContent>
              </v:textbox>
            </v:rect>
            <v:rect id="_x0000_s1136" style="position:absolute;left:5252;top:3262;width:532;height:578" filled="f" stroked="f">
              <v:textbox style="mso-next-textbox:#_x0000_s1136" inset="0,0,0,0">
                <w:txbxContent>
                  <w:p w:rsidR="00A905B7" w:rsidRDefault="00A905B7" w:rsidP="00C0100D">
                    <w:r>
                      <w:rPr>
                        <w:rFonts w:ascii="Arial Narrow" w:hAnsi="Arial Narrow"/>
                        <w:color w:val="000000"/>
                        <w:sz w:val="40"/>
                        <w:szCs w:val="40"/>
                      </w:rPr>
                      <w:t>11</w:t>
                    </w:r>
                  </w:p>
                </w:txbxContent>
              </v:textbox>
            </v:rect>
            <v:rect id="_x0000_s1137" style="position:absolute;left:6275;top:3216;width:3186;height:566" filled="f" stroked="f">
              <v:textbox style="mso-next-textbox:#_x0000_s1137" inset="0,0,0,0">
                <w:txbxContent>
                  <w:p w:rsidR="00A905B7" w:rsidRDefault="00A905B7" w:rsidP="00C0100D">
                    <w:r>
                      <w:rPr>
                        <w:rFonts w:ascii="Arial" w:hAnsi="Arial" w:cs="Arial"/>
                        <w:color w:val="000000"/>
                        <w:sz w:val="40"/>
                        <w:szCs w:val="40"/>
                      </w:rPr>
                      <w:t>49 RF - 052439</w:t>
                    </w:r>
                  </w:p>
                </w:txbxContent>
              </v:textbox>
            </v:rect>
            <v:line id="_x0000_s1138" style="position:absolute" from="5767,3641" to="6140,3642" strokeweight="0"/>
            <v:line id="_x0000_s1139" style="position:absolute" from="5767,3314" to="6140,3315" strokeweight="0"/>
            <v:rect id="_x0000_s1140" style="position:absolute;left:5990;top:3283;width:190;height:230" filled="f" stroked="f">
              <v:textbox style="mso-next-textbox:#_x0000_s1140" inset="0,0,0,0">
                <w:txbxContent>
                  <w:p w:rsidR="00A905B7" w:rsidRDefault="00A905B7" w:rsidP="00C0100D">
                    <w:r>
                      <w:rPr>
                        <w:b/>
                        <w:bCs/>
                        <w:color w:val="000000"/>
                        <w:sz w:val="16"/>
                        <w:szCs w:val="16"/>
                      </w:rPr>
                      <w:t>a</w:t>
                    </w:r>
                  </w:p>
                </w:txbxContent>
              </v:textbox>
            </v:rect>
            <v:line id="_x0000_s1141" style="position:absolute" from="5953,3491" to="6103,3492" strokeweight="0"/>
            <v:rect id="_x0000_s1142" style="position:absolute;left:5990;top:3494;width:171;height:202" filled="f" stroked="f">
              <v:textbox style="mso-next-textbox:#_x0000_s1142" inset="0,0,0,0">
                <w:txbxContent>
                  <w:p w:rsidR="00A905B7" w:rsidRDefault="00A905B7" w:rsidP="00C0100D"/>
                </w:txbxContent>
              </v:textbox>
            </v:rect>
            <v:rect id="_x0000_s1143" style="position:absolute;left:8190;top:3809;width:190;height:230" filled="f" stroked="f">
              <v:textbox style="mso-next-textbox:#_x0000_s1143" inset="0,0,0,0">
                <w:txbxContent>
                  <w:p w:rsidR="00A905B7" w:rsidRDefault="00A905B7" w:rsidP="00C0100D">
                    <w:r>
                      <w:rPr>
                        <w:b/>
                        <w:bCs/>
                        <w:color w:val="000000"/>
                        <w:sz w:val="16"/>
                        <w:szCs w:val="16"/>
                      </w:rPr>
                      <w:t>a</w:t>
                    </w:r>
                  </w:p>
                </w:txbxContent>
              </v:textbox>
            </v:rect>
            <v:rect id="_x0000_s1144" style="position:absolute;left:8285;top:3799;width:349;height:390" filled="f" stroked="f">
              <v:textbox style="mso-next-textbox:#_x0000_s1144" inset="0,0,0,0">
                <w:txbxContent>
                  <w:p w:rsidR="00A905B7" w:rsidRDefault="00A905B7" w:rsidP="00C0100D">
                    <w:r>
                      <w:rPr>
                        <w:b/>
                        <w:bCs/>
                        <w:color w:val="000000"/>
                        <w:sz w:val="12"/>
                        <w:szCs w:val="12"/>
                      </w:rPr>
                      <w:t xml:space="preserve"> = 8 </w:t>
                    </w:r>
                  </w:p>
                </w:txbxContent>
              </v:textbox>
            </v:rect>
            <v:rect id="_x0000_s1145" style="position:absolute;left:8552;top:3809;width:664;height:230" filled="f" stroked="f">
              <v:textbox style="mso-next-textbox:#_x0000_s1145" inset="0,0,0,0">
                <w:txbxContent>
                  <w:p w:rsidR="00A905B7" w:rsidRDefault="00A905B7" w:rsidP="00C0100D">
                    <w:r>
                      <w:rPr>
                        <w:b/>
                        <w:bCs/>
                        <w:color w:val="000000"/>
                        <w:sz w:val="16"/>
                        <w:szCs w:val="16"/>
                      </w:rPr>
                      <w:t>mm min</w:t>
                    </w:r>
                  </w:p>
                </w:txbxContent>
              </v:textbox>
            </v:rect>
            <v:rect id="_x0000_s1146" style="position:absolute;left:9249;top:3831;width:171;height:202" filled="f" stroked="f">
              <v:textbox style="mso-next-textbox:#_x0000_s1146" inset="0,0,0,0">
                <w:txbxContent>
                  <w:p w:rsidR="00A905B7" w:rsidRDefault="00A905B7" w:rsidP="00C0100D">
                    <w:r>
                      <w:rPr>
                        <w:b/>
                        <w:bCs/>
                        <w:color w:val="000000"/>
                        <w:sz w:val="12"/>
                        <w:szCs w:val="12"/>
                      </w:rPr>
                      <w:t>.</w:t>
                    </w:r>
                  </w:p>
                </w:txbxContent>
              </v:textbox>
            </v:rect>
            <v:line id="_x0000_s1147" style="position:absolute" from="5855,3314" to="5856,3641" strokeweight="0"/>
            <v:shape id="_x0000_s1148" style="position:absolute;left:5797;top:3314;width:117;height:116" coordsize="117,116" path="m117,116l58,,,116,58,58r59,58xe" fillcolor="black" strokeweight="0">
              <v:path arrowok="t"/>
            </v:shape>
            <v:shape id="_x0000_s1149" style="position:absolute;left:5797;top:3525;width:117;height:116" coordsize="117,116" path="m117,l58,116,,,58,58,117,xe" fillcolor="black" strokeweight="0">
              <v:path arrowok="t"/>
            </v:shape>
          </v:group>
        </w:pict>
      </w: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A905B7" w:rsidP="00C0100D">
      <w:pPr>
        <w:tabs>
          <w:tab w:val="left" w:pos="567"/>
          <w:tab w:val="num" w:pos="851"/>
          <w:tab w:val="left" w:pos="2556"/>
          <w:tab w:val="left" w:pos="3756"/>
          <w:tab w:val="left" w:pos="5196"/>
        </w:tabs>
        <w:ind w:left="567" w:hanging="567"/>
        <w:jc w:val="both"/>
      </w:pPr>
      <w:r>
        <w:rPr>
          <w:noProof/>
        </w:rPr>
        <w:pict>
          <v:rect id="_x0000_s1618" style="position:absolute;left:0;text-align:left;margin-left:242pt;margin-top:8pt;width:8.55pt;height:10.1pt;z-index:251576320" filled="f" stroked="f">
            <v:textbox style="mso-next-textbox:#_x0000_s1618" inset="0,0,0,0">
              <w:txbxContent>
                <w:p w:rsidR="00A905B7" w:rsidRDefault="00A905B7" w:rsidP="00C0100D">
                  <w:r>
                    <w:rPr>
                      <w:b/>
                      <w:bCs/>
                      <w:color w:val="000000"/>
                      <w:sz w:val="12"/>
                      <w:szCs w:val="12"/>
                    </w:rPr>
                    <w:t xml:space="preserve"> 3</w:t>
                  </w:r>
                </w:p>
              </w:txbxContent>
            </v:textbox>
          </v:rect>
        </w:pict>
      </w: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tabs>
          <w:tab w:val="left" w:pos="567"/>
          <w:tab w:val="num" w:pos="851"/>
          <w:tab w:val="center" w:pos="3090"/>
          <w:tab w:val="left" w:pos="3756"/>
          <w:tab w:val="left" w:pos="5196"/>
        </w:tabs>
        <w:ind w:left="567" w:hanging="567"/>
        <w:jc w:val="both"/>
      </w:pPr>
    </w:p>
    <w:p w:rsidR="00C0100D" w:rsidRPr="00B04DC3" w:rsidRDefault="00C0100D" w:rsidP="00C161BF">
      <w:pPr>
        <w:pStyle w:val="SingleTxtG"/>
      </w:pPr>
      <w:r w:rsidRPr="00B04DC3">
        <w:tab/>
        <w:t>The above approval mark affixed to an engine/vehicle shows that the engine/vehicle type concerned has been approved in the United Kingd</w:t>
      </w:r>
      <w:r w:rsidR="008E284E" w:rsidRPr="00B04DC3">
        <w:t>om (E</w:t>
      </w:r>
      <w:r w:rsidR="00260B82">
        <w:t> </w:t>
      </w:r>
      <w:r w:rsidR="008E284E" w:rsidRPr="00B04DC3">
        <w:t>11) pursuant to Regulation </w:t>
      </w:r>
      <w:r w:rsidRPr="00B04DC3">
        <w:t>No. 49 and under approval number 052439</w:t>
      </w:r>
      <w:r w:rsidR="00401E79" w:rsidRPr="00B04DC3">
        <w:t xml:space="preserve">. </w:t>
      </w:r>
      <w:r w:rsidRPr="00B04DC3">
        <w:t>This approval indicates that the approval was given in accordance with the requirements o</w:t>
      </w:r>
      <w:r w:rsidR="008E284E" w:rsidRPr="00B04DC3">
        <w:t>f Regulation No. 49 with the 05 </w:t>
      </w:r>
      <w:r w:rsidRPr="00B04DC3">
        <w:t>series of amendments incorporated and satisfying the relevant emission stages detailed in paragraph 4.6.3. of this Regulation.</w:t>
      </w:r>
    </w:p>
    <w:p w:rsidR="00C0100D" w:rsidRPr="00B04DC3" w:rsidRDefault="00C0100D" w:rsidP="00C161BF">
      <w:pPr>
        <w:pStyle w:val="para"/>
        <w:rPr>
          <w:lang w:val="en-GB"/>
        </w:rPr>
      </w:pPr>
      <w:r w:rsidRPr="00B04DC3">
        <w:rPr>
          <w:lang w:val="en-GB"/>
        </w:rPr>
        <w:t>IV.</w:t>
      </w:r>
      <w:r w:rsidRPr="00B04DC3">
        <w:rPr>
          <w:lang w:val="en-GB"/>
        </w:rPr>
        <w:tab/>
      </w:r>
      <w:r w:rsidR="00C161BF" w:rsidRPr="00B04DC3">
        <w:rPr>
          <w:lang w:val="en-GB"/>
        </w:rPr>
        <w:t>Approval</w:t>
      </w:r>
      <w:r w:rsidRPr="00B04DC3">
        <w:rPr>
          <w:lang w:val="en-GB"/>
        </w:rPr>
        <w:t xml:space="preserve"> "G" (Row B2, OBD stage 2, with NO</w:t>
      </w:r>
      <w:r w:rsidRPr="00B04DC3">
        <w:rPr>
          <w:vertAlign w:val="subscript"/>
          <w:lang w:val="en-GB"/>
        </w:rPr>
        <w:t>x</w:t>
      </w:r>
      <w:r w:rsidRPr="00B04DC3">
        <w:rPr>
          <w:lang w:val="en-GB"/>
        </w:rPr>
        <w:t xml:space="preserve"> control)</w:t>
      </w:r>
    </w:p>
    <w:p w:rsidR="00C0100D" w:rsidRPr="00B04DC3" w:rsidRDefault="00C0100D" w:rsidP="00C161BF">
      <w:pPr>
        <w:pStyle w:val="para"/>
        <w:rPr>
          <w:lang w:val="en-GB"/>
        </w:rPr>
      </w:pPr>
      <w:r w:rsidRPr="00B04DC3">
        <w:rPr>
          <w:lang w:val="en-GB"/>
        </w:rPr>
        <w:t>Example 5</w:t>
      </w:r>
    </w:p>
    <w:p w:rsidR="00C0100D" w:rsidRPr="00B04DC3" w:rsidRDefault="00C0100D" w:rsidP="00C161BF">
      <w:pPr>
        <w:pStyle w:val="para"/>
        <w:rPr>
          <w:szCs w:val="24"/>
          <w:lang w:val="en-GB"/>
        </w:rPr>
      </w:pPr>
      <w:r w:rsidRPr="00B04DC3">
        <w:rPr>
          <w:szCs w:val="24"/>
          <w:lang w:val="en-GB"/>
        </w:rPr>
        <w:t>Diesel engine:</w:t>
      </w:r>
    </w:p>
    <w:p w:rsidR="00C0100D" w:rsidRPr="00B04DC3" w:rsidRDefault="00A905B7" w:rsidP="00C161BF">
      <w:pPr>
        <w:pStyle w:val="para"/>
        <w:rPr>
          <w:lang w:val="en-GB"/>
        </w:rPr>
      </w:pPr>
      <w:r>
        <w:rPr>
          <w:noProof/>
          <w:lang w:val="en-GB"/>
        </w:rPr>
        <w:pict>
          <v:group id="_x0000_s5587" style="position:absolute;left:0;text-align:left;margin-left:130pt;margin-top:11.2pt;width:274.85pt;height:52.8pt;z-index:251571200" coordorigin="3734,7085" coordsize="5497,1056">
            <v:line id="_x0000_s1260" style="position:absolute;flip:x" from="3847,7094" to="4781,7095" strokeweight="0"/>
            <v:line id="_x0000_s1261" style="position:absolute;flip:x" from="3847,7951" to="4781,7952" strokeweight="0"/>
            <v:rect id="_x0000_s1262" style="position:absolute;left:3734;top:7456;width:190;height:226" filled="f" stroked="f">
              <v:textbox style="mso-next-textbox:#_x0000_s1262" inset="0,0,0,0">
                <w:txbxContent>
                  <w:p w:rsidR="00A905B7" w:rsidRDefault="00A905B7" w:rsidP="00C0100D">
                    <w:r>
                      <w:rPr>
                        <w:b/>
                        <w:bCs/>
                        <w:color w:val="000000"/>
                        <w:sz w:val="16"/>
                        <w:szCs w:val="16"/>
                      </w:rPr>
                      <w:t>a</w:t>
                    </w:r>
                  </w:p>
                </w:txbxContent>
              </v:textbox>
            </v:rect>
            <v:line id="_x0000_s1263" style="position:absolute" from="3887,7094" to="3888,7951" strokeweight="0"/>
            <v:shape id="_x0000_s1264" style="position:absolute;left:3829;top:7094;width:113;height:114" coordsize="113,116" path="m113,116l58,,,116,58,58r55,58xe" fillcolor="black" strokeweight="0">
              <v:path arrowok="t"/>
            </v:shape>
            <v:shape id="_x0000_s1265" style="position:absolute;left:3829;top:7836;width:113;height:115" coordsize="113,116" path="m113,l58,116,,,58,58,113,xe" fillcolor="black" strokeweight="0">
              <v:path arrowok="t"/>
            </v:shape>
            <v:line id="_x0000_s1266" style="position:absolute;flip:x" from="4184,7308" to="4484,7309" strokeweight="0"/>
            <v:line id="_x0000_s1267" style="position:absolute;flip:x" from="4184,7737" to="4484,7738" strokeweight="0"/>
            <v:line id="_x0000_s1268" style="position:absolute" from="4257,7308" to="4258,7737" strokeweight="0"/>
            <v:shape id="_x0000_s1269" style="position:absolute;left:4202;top:7308;width:113;height:115" coordsize="113,117" path="m113,117l55,,,117,55,59r58,58xe" fillcolor="black" strokeweight="0">
              <v:path arrowok="t"/>
            </v:shape>
            <v:shape id="_x0000_s1270" style="position:absolute;left:4202;top:7622;width:113;height:115" coordsize="113,116" path="m113,l55,116,,,55,58,113,xe" fillcolor="black" strokeweight="0">
              <v:path arrowok="t"/>
            </v:shape>
            <v:line id="_x0000_s1271" style="position:absolute" from="4034,7486" to="4184,7487" strokeweight="0"/>
            <v:rect id="_x0000_s1272" style="position:absolute;left:4071;top:7268;width:190;height:227" filled="f" stroked="f">
              <v:textbox style="mso-next-textbox:#_x0000_s1272" inset="0,0,0,0">
                <w:txbxContent>
                  <w:p w:rsidR="00A905B7" w:rsidRDefault="00A905B7" w:rsidP="00C0100D">
                    <w:r>
                      <w:rPr>
                        <w:b/>
                        <w:bCs/>
                        <w:color w:val="000000"/>
                        <w:sz w:val="16"/>
                        <w:szCs w:val="16"/>
                      </w:rPr>
                      <w:t>a</w:t>
                    </w:r>
                  </w:p>
                </w:txbxContent>
              </v:textbox>
            </v:rect>
            <v:rect id="_x0000_s1273" style="position:absolute;left:4087;top:7436;width:171;height:199" filled="f" stroked="f">
              <v:textbox style="mso-next-textbox:#_x0000_s1273" inset="0,0,0,0">
                <w:txbxContent>
                  <w:p w:rsidR="00A905B7" w:rsidRDefault="00A905B7" w:rsidP="00C0100D">
                    <w:r>
                      <w:rPr>
                        <w:b/>
                        <w:bCs/>
                        <w:color w:val="000000"/>
                        <w:sz w:val="12"/>
                        <w:szCs w:val="12"/>
                      </w:rPr>
                      <w:t>2</w:t>
                    </w:r>
                  </w:p>
                </w:txbxContent>
              </v:textbox>
            </v:rect>
            <v:oval id="_x0000_s1274" style="position:absolute;left:4520;top:7094;width:897;height:861" stroked="f"/>
            <v:shape id="_x0000_s1275" style="position:absolute;left:4511;top:7085;width:912;height:875" coordsize="912,888"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v:shape>
            <v:rect id="_x0000_s1276" style="position:absolute;left:4594;top:7179;width:563;height:824" filled="f" stroked="f">
              <v:textbox style="mso-next-textbox:#_x0000_s1276" inset="0,0,0,0">
                <w:txbxContent>
                  <w:p w:rsidR="00A905B7" w:rsidRDefault="00A905B7" w:rsidP="00C0100D">
                    <w:r>
                      <w:rPr>
                        <w:rFonts w:ascii="Arial Narrow" w:hAnsi="Arial Narrow"/>
                        <w:color w:val="000000"/>
                        <w:sz w:val="62"/>
                        <w:szCs w:val="62"/>
                      </w:rPr>
                      <w:t>E</w:t>
                    </w:r>
                  </w:p>
                </w:txbxContent>
              </v:textbox>
            </v:rect>
            <v:rect id="_x0000_s1277" style="position:absolute;left:4940;top:7595;width:95;height:222" filled="f" stroked="f">
              <v:textbox style="mso-next-textbox:#_x0000_s1277" inset="0,0,0,0">
                <w:txbxContent>
                  <w:p w:rsidR="00A905B7" w:rsidRDefault="00A905B7" w:rsidP="00C0100D">
                    <w:r>
                      <w:rPr>
                        <w:rFonts w:ascii="Arial Narrow" w:hAnsi="Arial Narrow"/>
                        <w:color w:val="000000"/>
                        <w:sz w:val="16"/>
                        <w:szCs w:val="16"/>
                      </w:rPr>
                      <w:t xml:space="preserve"> </w:t>
                    </w:r>
                  </w:p>
                </w:txbxContent>
              </v:textbox>
            </v:rect>
            <v:rect id="_x0000_s1278" style="position:absolute;left:4976;top:7363;width:532;height:570" filled="f" stroked="f">
              <v:textbox style="mso-next-textbox:#_x0000_s1278" inset="0,0,0,0">
                <w:txbxContent>
                  <w:p w:rsidR="00A905B7" w:rsidRDefault="00A905B7" w:rsidP="00C0100D">
                    <w:r>
                      <w:rPr>
                        <w:rFonts w:ascii="Arial Narrow" w:hAnsi="Arial Narrow"/>
                        <w:color w:val="000000"/>
                        <w:sz w:val="40"/>
                        <w:szCs w:val="40"/>
                      </w:rPr>
                      <w:t>11</w:t>
                    </w:r>
                  </w:p>
                </w:txbxContent>
              </v:textbox>
            </v:rect>
            <v:rect id="_x0000_s1279" style="position:absolute;left:5999;top:7318;width:3232;height:558" filled="f" stroked="f">
              <v:textbox style="mso-next-textbox:#_x0000_s1279" inset="0,0,0,0">
                <w:txbxContent>
                  <w:p w:rsidR="00A905B7" w:rsidRDefault="00A905B7" w:rsidP="00C0100D">
                    <w:r>
                      <w:rPr>
                        <w:rFonts w:ascii="Arial" w:hAnsi="Arial" w:cs="Arial"/>
                        <w:color w:val="000000"/>
                        <w:sz w:val="40"/>
                        <w:szCs w:val="40"/>
                      </w:rPr>
                      <w:t>49 RG - 052439</w:t>
                    </w:r>
                  </w:p>
                </w:txbxContent>
              </v:textbox>
            </v:rect>
            <v:line id="_x0000_s1280" style="position:absolute" from="5491,7737" to="5864,7738" strokeweight="0"/>
            <v:line id="_x0000_s1281" style="position:absolute" from="5491,7414" to="5864,7415" strokeweight="0"/>
            <v:rect id="_x0000_s1282" style="position:absolute;left:5714;top:7352;width:190;height:226" filled="f" stroked="f">
              <v:textbox style="mso-next-textbox:#_x0000_s1282" inset="0,0,0,0">
                <w:txbxContent>
                  <w:p w:rsidR="00A905B7" w:rsidRDefault="00A905B7" w:rsidP="00C0100D">
                    <w:r>
                      <w:rPr>
                        <w:b/>
                        <w:bCs/>
                        <w:color w:val="000000"/>
                        <w:sz w:val="16"/>
                        <w:szCs w:val="16"/>
                      </w:rPr>
                      <w:t>a</w:t>
                    </w:r>
                  </w:p>
                </w:txbxContent>
              </v:textbox>
            </v:rect>
            <v:line id="_x0000_s1283" style="position:absolute" from="5677,7559" to="5827,7560" strokeweight="0"/>
            <v:rect id="_x0000_s1284" style="position:absolute;left:5722;top:7512;width:171;height:199" filled="f" stroked="f">
              <v:textbox style="mso-next-textbox:#_x0000_s1284" inset="0,0,0,0">
                <w:txbxContent>
                  <w:p w:rsidR="00A905B7" w:rsidRDefault="00A905B7" w:rsidP="00C0100D">
                    <w:r>
                      <w:rPr>
                        <w:b/>
                        <w:bCs/>
                        <w:color w:val="000000"/>
                        <w:sz w:val="12"/>
                        <w:szCs w:val="12"/>
                      </w:rPr>
                      <w:t>3</w:t>
                    </w:r>
                  </w:p>
                </w:txbxContent>
              </v:textbox>
            </v:rect>
            <v:rect id="_x0000_s1285" style="position:absolute;left:7914;top:7902;width:190;height:227" filled="f" stroked="f">
              <v:textbox style="mso-next-textbox:#_x0000_s1285" inset="0,0,0,0">
                <w:txbxContent>
                  <w:p w:rsidR="00A905B7" w:rsidRDefault="00A905B7" w:rsidP="00C0100D">
                    <w:r>
                      <w:rPr>
                        <w:b/>
                        <w:bCs/>
                        <w:color w:val="000000"/>
                        <w:sz w:val="16"/>
                        <w:szCs w:val="16"/>
                      </w:rPr>
                      <w:t>a</w:t>
                    </w:r>
                  </w:p>
                </w:txbxContent>
              </v:textbox>
            </v:rect>
            <v:rect id="_x0000_s1286" style="position:absolute;left:8009;top:7884;width:514;height:257" filled="f" stroked="f">
              <v:textbox style="mso-next-textbox:#_x0000_s1286" inset="0,0,0,0">
                <w:txbxContent>
                  <w:p w:rsidR="00A905B7" w:rsidRDefault="00A905B7" w:rsidP="00C0100D">
                    <w:r>
                      <w:rPr>
                        <w:b/>
                        <w:bCs/>
                        <w:color w:val="000000"/>
                        <w:sz w:val="12"/>
                        <w:szCs w:val="12"/>
                      </w:rPr>
                      <w:t xml:space="preserve"> = 8 </w:t>
                    </w:r>
                  </w:p>
                </w:txbxContent>
              </v:textbox>
            </v:rect>
            <v:rect id="_x0000_s1287" style="position:absolute;left:8404;top:7902;width:664;height:227" filled="f" stroked="f">
              <v:textbox style="mso-next-textbox:#_x0000_s1287" inset="0,0,0,0">
                <w:txbxContent>
                  <w:p w:rsidR="00A905B7" w:rsidRDefault="00A905B7" w:rsidP="00C0100D">
                    <w:r>
                      <w:rPr>
                        <w:b/>
                        <w:bCs/>
                        <w:color w:val="000000"/>
                        <w:sz w:val="16"/>
                        <w:szCs w:val="16"/>
                      </w:rPr>
                      <w:t>mm min</w:t>
                    </w:r>
                  </w:p>
                </w:txbxContent>
              </v:textbox>
            </v:rect>
            <v:rect id="_x0000_s1288" style="position:absolute;left:8973;top:7924;width:171;height:199" filled="f" stroked="f">
              <v:textbox style="mso-next-textbox:#_x0000_s1288" inset="0,0,0,0">
                <w:txbxContent>
                  <w:p w:rsidR="00A905B7" w:rsidRDefault="00A905B7" w:rsidP="00C0100D">
                    <w:r>
                      <w:rPr>
                        <w:b/>
                        <w:bCs/>
                        <w:color w:val="000000"/>
                        <w:sz w:val="12"/>
                        <w:szCs w:val="12"/>
                      </w:rPr>
                      <w:t>.</w:t>
                    </w:r>
                  </w:p>
                </w:txbxContent>
              </v:textbox>
            </v:rect>
            <v:line id="_x0000_s1289" style="position:absolute" from="5579,7414" to="5580,7737" strokeweight="0"/>
            <v:shape id="_x0000_s1290" style="position:absolute;left:5521;top:7414;width:117;height:115" coordsize="117,116" path="m117,116l58,,,116,58,58r59,58xe" fillcolor="black" strokeweight="0">
              <v:path arrowok="t"/>
            </v:shape>
            <v:shape id="_x0000_s1291" style="position:absolute;left:5521;top:7622;width:117;height:115" coordsize="117,116" path="m117,l58,116,,,58,58,117,xe" fillcolor="black" strokeweight="0">
              <v:path arrowok="t"/>
            </v:shape>
          </v:group>
        </w:pict>
      </w:r>
    </w:p>
    <w:p w:rsidR="00C161BF" w:rsidRPr="00B04DC3" w:rsidRDefault="00C161BF" w:rsidP="00C161BF">
      <w:pPr>
        <w:pStyle w:val="para"/>
        <w:rPr>
          <w:lang w:val="en-GB"/>
        </w:rPr>
      </w:pP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tabs>
          <w:tab w:val="left" w:pos="567"/>
          <w:tab w:val="num" w:pos="851"/>
          <w:tab w:val="center" w:pos="3090"/>
          <w:tab w:val="left" w:pos="3756"/>
          <w:tab w:val="left" w:pos="5196"/>
        </w:tabs>
        <w:ind w:left="567" w:hanging="567"/>
        <w:jc w:val="both"/>
        <w:rPr>
          <w:u w:val="single"/>
        </w:rPr>
      </w:pPr>
    </w:p>
    <w:p w:rsidR="00C0100D" w:rsidRPr="00B04DC3" w:rsidRDefault="00C0100D" w:rsidP="00C0100D">
      <w:pPr>
        <w:tabs>
          <w:tab w:val="left" w:pos="567"/>
          <w:tab w:val="num" w:pos="851"/>
          <w:tab w:val="center" w:pos="3090"/>
          <w:tab w:val="left" w:pos="3756"/>
          <w:tab w:val="left" w:pos="5196"/>
        </w:tabs>
        <w:ind w:left="567" w:hanging="567"/>
        <w:jc w:val="both"/>
        <w:rPr>
          <w:u w:val="single"/>
        </w:rPr>
      </w:pPr>
    </w:p>
    <w:p w:rsidR="00C0100D" w:rsidRPr="00B04DC3" w:rsidRDefault="00C0100D" w:rsidP="00C161BF">
      <w:pPr>
        <w:pStyle w:val="SingleTxtG"/>
      </w:pPr>
      <w:r w:rsidRPr="00B04DC3">
        <w:tab/>
        <w:t>The above approval mark affixed to an engine/vehicle shows that the engine/vehicle type concerned has been approved in the United Kingd</w:t>
      </w:r>
      <w:r w:rsidR="008E284E" w:rsidRPr="00B04DC3">
        <w:t>om (E</w:t>
      </w:r>
      <w:r w:rsidR="00260B82">
        <w:t> </w:t>
      </w:r>
      <w:r w:rsidR="008E284E" w:rsidRPr="00B04DC3">
        <w:t>11) pursuant to Regulation </w:t>
      </w:r>
      <w:r w:rsidRPr="00B04DC3">
        <w:t>No. 49 and under approval number 052439</w:t>
      </w:r>
      <w:r w:rsidR="00401E79" w:rsidRPr="00B04DC3">
        <w:t xml:space="preserve">. </w:t>
      </w:r>
      <w:r w:rsidRPr="00B04DC3">
        <w:t>This approval indicates that the approval was given in accordance with the requirements o</w:t>
      </w:r>
      <w:r w:rsidR="008E284E" w:rsidRPr="00B04DC3">
        <w:t>f Regulation No. 49 with the 05 </w:t>
      </w:r>
      <w:r w:rsidRPr="00B04DC3">
        <w:t>series of amendments incorporated and satisfying the relevant emission stages detailed in paragraph 4.6.3. of this Regulation.</w:t>
      </w:r>
    </w:p>
    <w:p w:rsidR="00C0100D" w:rsidRPr="00B04DC3" w:rsidRDefault="00C0100D" w:rsidP="00C161BF">
      <w:pPr>
        <w:pStyle w:val="para"/>
        <w:rPr>
          <w:lang w:val="en-GB"/>
        </w:rPr>
      </w:pPr>
      <w:r w:rsidRPr="00B04DC3">
        <w:rPr>
          <w:lang w:val="en-GB"/>
        </w:rPr>
        <w:t>V.</w:t>
      </w:r>
      <w:r w:rsidRPr="00B04DC3">
        <w:rPr>
          <w:lang w:val="en-GB"/>
        </w:rPr>
        <w:tab/>
      </w:r>
      <w:r w:rsidR="00C161BF" w:rsidRPr="00B04DC3">
        <w:rPr>
          <w:lang w:val="en-GB"/>
        </w:rPr>
        <w:t>Approval</w:t>
      </w:r>
      <w:r w:rsidRPr="00B04DC3">
        <w:rPr>
          <w:lang w:val="en-GB"/>
        </w:rPr>
        <w:t xml:space="preserve"> "J" (Row C, OBD stage 2, without NO</w:t>
      </w:r>
      <w:r w:rsidRPr="00B04DC3">
        <w:rPr>
          <w:vertAlign w:val="subscript"/>
          <w:lang w:val="en-GB"/>
        </w:rPr>
        <w:t>x</w:t>
      </w:r>
      <w:r w:rsidRPr="00B04DC3">
        <w:rPr>
          <w:lang w:val="en-GB"/>
        </w:rPr>
        <w:t xml:space="preserve"> control)</w:t>
      </w:r>
    </w:p>
    <w:p w:rsidR="00C0100D" w:rsidRPr="00B04DC3" w:rsidRDefault="00C0100D" w:rsidP="00C161BF">
      <w:pPr>
        <w:pStyle w:val="para"/>
        <w:rPr>
          <w:lang w:val="en-GB"/>
        </w:rPr>
      </w:pPr>
      <w:r w:rsidRPr="00B04DC3">
        <w:rPr>
          <w:lang w:val="en-GB"/>
        </w:rPr>
        <w:t>Example 6</w:t>
      </w:r>
    </w:p>
    <w:p w:rsidR="00C0100D" w:rsidRPr="00B04DC3" w:rsidRDefault="00C0100D" w:rsidP="00C161BF">
      <w:pPr>
        <w:pStyle w:val="para"/>
        <w:rPr>
          <w:szCs w:val="24"/>
          <w:lang w:val="en-GB"/>
        </w:rPr>
      </w:pPr>
      <w:r w:rsidRPr="00B04DC3">
        <w:rPr>
          <w:szCs w:val="24"/>
          <w:lang w:val="en-GB"/>
        </w:rPr>
        <w:t>LPG engine:</w:t>
      </w:r>
    </w:p>
    <w:p w:rsidR="00C0100D" w:rsidRPr="00B04DC3" w:rsidRDefault="00C0100D" w:rsidP="00C0100D">
      <w:pPr>
        <w:pStyle w:val="BodyTextIndent"/>
        <w:tabs>
          <w:tab w:val="left" w:pos="567"/>
          <w:tab w:val="num" w:pos="851"/>
          <w:tab w:val="left" w:pos="2556"/>
        </w:tabs>
        <w:spacing w:after="0"/>
        <w:ind w:left="567" w:hanging="567"/>
        <w:jc w:val="both"/>
      </w:pPr>
    </w:p>
    <w:p w:rsidR="00C0100D" w:rsidRPr="00B04DC3" w:rsidRDefault="00A905B7" w:rsidP="00C0100D">
      <w:pPr>
        <w:pStyle w:val="BodyTextIndent"/>
        <w:tabs>
          <w:tab w:val="left" w:pos="567"/>
          <w:tab w:val="num" w:pos="851"/>
          <w:tab w:val="left" w:pos="2556"/>
        </w:tabs>
        <w:spacing w:after="0"/>
        <w:ind w:left="567" w:hanging="567"/>
        <w:jc w:val="both"/>
      </w:pPr>
      <w:r>
        <w:rPr>
          <w:noProof/>
        </w:rPr>
        <w:pict>
          <v:group id="_x0000_s5586" style="position:absolute;left:0;text-align:left;margin-left:130.9pt;margin-top:.05pt;width:274.85pt;height:61.75pt;z-index:251572224" coordorigin="3752,11218" coordsize="5497,1235">
            <v:line id="_x0000_s1293" style="position:absolute;flip:x" from="3865,11227" to="4799,11228" strokeweight="0"/>
            <v:line id="_x0000_s1294" style="position:absolute;flip:x" from="3865,12084" to="4799,12085" strokeweight="0"/>
            <v:rect id="_x0000_s1295" style="position:absolute;left:3752;top:11589;width:190;height:226" filled="f" stroked="f">
              <v:textbox style="mso-next-textbox:#_x0000_s1295" inset="0,0,0,0">
                <w:txbxContent>
                  <w:p w:rsidR="00A905B7" w:rsidRDefault="00A905B7" w:rsidP="00C0100D">
                    <w:r>
                      <w:rPr>
                        <w:b/>
                        <w:bCs/>
                        <w:color w:val="000000"/>
                        <w:sz w:val="16"/>
                        <w:szCs w:val="16"/>
                      </w:rPr>
                      <w:t>a</w:t>
                    </w:r>
                  </w:p>
                </w:txbxContent>
              </v:textbox>
            </v:rect>
            <v:line id="_x0000_s1296" style="position:absolute" from="3905,11227" to="3906,12084" strokeweight="0"/>
            <v:shape id="_x0000_s1297" style="position:absolute;left:3847;top:11227;width:113;height:114" coordsize="113,116" path="m113,116l58,,,116,58,58r55,58xe" fillcolor="black" strokeweight="0">
              <v:path arrowok="t"/>
            </v:shape>
            <v:shape id="_x0000_s1298" style="position:absolute;left:3847;top:11969;width:113;height:115" coordsize="113,116" path="m113,l58,116,,,58,58,113,xe" fillcolor="black" strokeweight="0">
              <v:path arrowok="t"/>
            </v:shape>
            <v:line id="_x0000_s1299" style="position:absolute;flip:x" from="4202,11441" to="4502,11442" strokeweight="0"/>
            <v:line id="_x0000_s1300" style="position:absolute;flip:x" from="4202,11870" to="4502,11871" strokeweight="0"/>
            <v:line id="_x0000_s1301" style="position:absolute" from="4275,11441" to="4276,11870" strokeweight="0"/>
            <v:shape id="_x0000_s1302" style="position:absolute;left:4220;top:11441;width:113;height:115" coordsize="113,117" path="m113,117l55,,,117,55,59r58,58xe" fillcolor="black" strokeweight="0">
              <v:path arrowok="t"/>
            </v:shape>
            <v:shape id="_x0000_s1303" style="position:absolute;left:4220;top:11755;width:113;height:115" coordsize="113,116" path="m113,l55,116,,,55,58,113,xe" fillcolor="black" strokeweight="0">
              <v:path arrowok="t"/>
            </v:shape>
            <v:line id="_x0000_s1304" style="position:absolute" from="4052,11619" to="4202,11620" strokeweight="0"/>
            <v:rect id="_x0000_s1305" style="position:absolute;left:4089;top:11385;width:190;height:227" filled="f" stroked="f">
              <v:textbox style="mso-next-textbox:#_x0000_s1305" inset="0,0,0,0">
                <w:txbxContent>
                  <w:p w:rsidR="00A905B7" w:rsidRDefault="00A905B7" w:rsidP="00C0100D">
                    <w:r>
                      <w:rPr>
                        <w:b/>
                        <w:bCs/>
                        <w:color w:val="000000"/>
                        <w:sz w:val="16"/>
                        <w:szCs w:val="16"/>
                      </w:rPr>
                      <w:t>a</w:t>
                    </w:r>
                  </w:p>
                </w:txbxContent>
              </v:textbox>
            </v:rect>
            <v:rect id="_x0000_s1306" style="position:absolute;left:4060;top:11575;width:390;height:386" filled="f" stroked="f">
              <v:textbox style="mso-next-textbox:#_x0000_s1306" inset="0,0,0,0">
                <w:txbxContent>
                  <w:p w:rsidR="00A905B7" w:rsidRDefault="00A905B7" w:rsidP="00C0100D">
                    <w:r>
                      <w:rPr>
                        <w:b/>
                        <w:bCs/>
                        <w:color w:val="000000"/>
                        <w:sz w:val="12"/>
                        <w:szCs w:val="12"/>
                      </w:rPr>
                      <w:t xml:space="preserve"> 2</w:t>
                    </w:r>
                  </w:p>
                </w:txbxContent>
              </v:textbox>
            </v:rect>
            <v:oval id="_x0000_s1307" style="position:absolute;left:4538;top:11227;width:897;height:861" stroked="f"/>
            <v:shape id="_x0000_s1308" style="position:absolute;left:4529;top:11218;width:912;height:875" coordsize="912,888"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v:shape>
            <v:rect id="_x0000_s1309" style="position:absolute;left:4612;top:11312;width:563;height:824" filled="f" stroked="f">
              <v:textbox style="mso-next-textbox:#_x0000_s1309" inset="0,0,0,0">
                <w:txbxContent>
                  <w:p w:rsidR="00A905B7" w:rsidRDefault="00A905B7" w:rsidP="00C0100D">
                    <w:r>
                      <w:rPr>
                        <w:rFonts w:ascii="Arial Narrow" w:hAnsi="Arial Narrow"/>
                        <w:color w:val="000000"/>
                        <w:sz w:val="62"/>
                        <w:szCs w:val="62"/>
                      </w:rPr>
                      <w:t>E</w:t>
                    </w:r>
                  </w:p>
                </w:txbxContent>
              </v:textbox>
            </v:rect>
            <v:rect id="_x0000_s1310" style="position:absolute;left:4958;top:11728;width:95;height:222" filled="f" stroked="f">
              <v:textbox style="mso-next-textbox:#_x0000_s1310" inset="0,0,0,0">
                <w:txbxContent>
                  <w:p w:rsidR="00A905B7" w:rsidRDefault="00A905B7" w:rsidP="00C0100D">
                    <w:r>
                      <w:rPr>
                        <w:rFonts w:ascii="Arial Narrow" w:hAnsi="Arial Narrow"/>
                        <w:color w:val="000000"/>
                        <w:sz w:val="16"/>
                        <w:szCs w:val="16"/>
                      </w:rPr>
                      <w:t xml:space="preserve"> </w:t>
                    </w:r>
                  </w:p>
                </w:txbxContent>
              </v:textbox>
            </v:rect>
            <v:rect id="_x0000_s1311" style="position:absolute;left:4994;top:11496;width:532;height:570" filled="f" stroked="f">
              <v:textbox style="mso-next-textbox:#_x0000_s1311" inset="0,0,0,0">
                <w:txbxContent>
                  <w:p w:rsidR="00A905B7" w:rsidRDefault="00A905B7" w:rsidP="00C0100D">
                    <w:r>
                      <w:rPr>
                        <w:rFonts w:ascii="Arial Narrow" w:hAnsi="Arial Narrow"/>
                        <w:color w:val="000000"/>
                        <w:sz w:val="40"/>
                        <w:szCs w:val="40"/>
                      </w:rPr>
                      <w:t>11</w:t>
                    </w:r>
                  </w:p>
                </w:txbxContent>
              </v:textbox>
            </v:rect>
            <v:rect id="_x0000_s1312" style="position:absolute;left:6017;top:11451;width:3232;height:558" filled="f" stroked="f">
              <v:textbox style="mso-next-textbox:#_x0000_s1312" inset="0,0,0,0">
                <w:txbxContent>
                  <w:p w:rsidR="00A905B7" w:rsidRDefault="00A905B7" w:rsidP="00C0100D">
                    <w:r>
                      <w:rPr>
                        <w:rFonts w:ascii="Arial" w:hAnsi="Arial" w:cs="Arial"/>
                        <w:color w:val="000000"/>
                        <w:sz w:val="40"/>
                        <w:szCs w:val="40"/>
                      </w:rPr>
                      <w:t>49 RJ - 052439</w:t>
                    </w:r>
                  </w:p>
                </w:txbxContent>
              </v:textbox>
            </v:rect>
            <v:line id="_x0000_s1313" style="position:absolute" from="5509,11870" to="5882,11871" strokeweight="0"/>
            <v:line id="_x0000_s1314" style="position:absolute" from="5509,11547" to="5882,11548" strokeweight="0"/>
            <v:rect id="_x0000_s1315" style="position:absolute;left:5732;top:11485;width:190;height:226" filled="f" stroked="f">
              <v:textbox style="mso-next-textbox:#_x0000_s1315" inset="0,0,0,0">
                <w:txbxContent>
                  <w:p w:rsidR="00A905B7" w:rsidRDefault="00A905B7" w:rsidP="00C0100D">
                    <w:r>
                      <w:rPr>
                        <w:b/>
                        <w:bCs/>
                        <w:color w:val="000000"/>
                        <w:sz w:val="16"/>
                        <w:szCs w:val="16"/>
                      </w:rPr>
                      <w:t>a</w:t>
                    </w:r>
                  </w:p>
                </w:txbxContent>
              </v:textbox>
            </v:rect>
            <v:line id="_x0000_s1316" style="position:absolute" from="5695,11692" to="5845,11693" strokeweight="0"/>
            <v:rect id="_x0000_s1317" style="position:absolute;left:5740;top:11637;width:171;height:199" filled="f" stroked="f">
              <v:textbox style="mso-next-textbox:#_x0000_s1317" inset="0,0,0,0">
                <w:txbxContent>
                  <w:p w:rsidR="00A905B7" w:rsidRDefault="00A905B7" w:rsidP="00C0100D">
                    <w:r>
                      <w:rPr>
                        <w:b/>
                        <w:bCs/>
                        <w:color w:val="000000"/>
                        <w:sz w:val="12"/>
                        <w:szCs w:val="12"/>
                      </w:rPr>
                      <w:t>3</w:t>
                    </w:r>
                  </w:p>
                </w:txbxContent>
              </v:textbox>
            </v:rect>
            <v:rect id="_x0000_s1318" style="position:absolute;left:7932;top:12035;width:190;height:227" filled="f" stroked="f">
              <v:textbox style="mso-next-textbox:#_x0000_s1318" inset="0,0,0,0">
                <w:txbxContent>
                  <w:p w:rsidR="00A905B7" w:rsidRDefault="00A905B7" w:rsidP="00C0100D">
                    <w:r>
                      <w:rPr>
                        <w:b/>
                        <w:bCs/>
                        <w:color w:val="000000"/>
                        <w:sz w:val="16"/>
                        <w:szCs w:val="16"/>
                      </w:rPr>
                      <w:t>a</w:t>
                    </w:r>
                  </w:p>
                </w:txbxContent>
              </v:textbox>
            </v:rect>
            <v:rect id="_x0000_s1319" style="position:absolute;left:8043;top:12011;width:514;height:442" filled="f" stroked="f">
              <v:textbox style="mso-next-textbox:#_x0000_s1319" inset="0,0,0,0">
                <w:txbxContent>
                  <w:p w:rsidR="00A905B7" w:rsidRDefault="00A905B7" w:rsidP="00C0100D">
                    <w:r>
                      <w:rPr>
                        <w:b/>
                        <w:bCs/>
                        <w:color w:val="000000"/>
                        <w:sz w:val="12"/>
                        <w:szCs w:val="12"/>
                      </w:rPr>
                      <w:t xml:space="preserve"> = 8 </w:t>
                    </w:r>
                  </w:p>
                </w:txbxContent>
              </v:textbox>
            </v:rect>
            <v:rect id="_x0000_s1320" style="position:absolute;left:8350;top:12035;width:664;height:227" filled="f" stroked="f">
              <v:textbox style="mso-next-textbox:#_x0000_s1320" inset="0,0,0,0">
                <w:txbxContent>
                  <w:p w:rsidR="00A905B7" w:rsidRDefault="00A905B7" w:rsidP="00C0100D">
                    <w:r>
                      <w:rPr>
                        <w:b/>
                        <w:bCs/>
                        <w:color w:val="000000"/>
                        <w:sz w:val="16"/>
                        <w:szCs w:val="16"/>
                      </w:rPr>
                      <w:t>mm min</w:t>
                    </w:r>
                  </w:p>
                </w:txbxContent>
              </v:textbox>
            </v:rect>
            <v:rect id="_x0000_s1321" style="position:absolute;left:8991;top:12057;width:171;height:199" filled="f" stroked="f">
              <v:textbox style="mso-next-textbox:#_x0000_s1321" inset="0,0,0,0">
                <w:txbxContent>
                  <w:p w:rsidR="00A905B7" w:rsidRDefault="00A905B7" w:rsidP="00C0100D">
                    <w:r>
                      <w:rPr>
                        <w:b/>
                        <w:bCs/>
                        <w:color w:val="000000"/>
                        <w:sz w:val="12"/>
                        <w:szCs w:val="12"/>
                      </w:rPr>
                      <w:t>.</w:t>
                    </w:r>
                  </w:p>
                </w:txbxContent>
              </v:textbox>
            </v:rect>
            <v:line id="_x0000_s1322" style="position:absolute" from="5597,11547" to="5598,11870" strokeweight="0"/>
            <v:shape id="_x0000_s1323" style="position:absolute;left:5539;top:11547;width:117;height:115" coordsize="117,116" path="m117,116l58,,,116,58,58r59,58xe" fillcolor="black" strokeweight="0">
              <v:path arrowok="t"/>
            </v:shape>
            <v:shape id="_x0000_s1324" style="position:absolute;left:5539;top:11755;width:117;height:115" coordsize="117,116" path="m117,l58,116,,,58,58,117,xe" fillcolor="black" strokeweight="0">
              <v:path arrowok="t"/>
            </v:shape>
          </v:group>
        </w:pict>
      </w: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tabs>
          <w:tab w:val="left" w:pos="567"/>
          <w:tab w:val="num" w:pos="851"/>
          <w:tab w:val="center" w:pos="3090"/>
          <w:tab w:val="left" w:pos="3756"/>
          <w:tab w:val="left" w:pos="5196"/>
        </w:tabs>
        <w:ind w:left="567" w:hanging="567"/>
        <w:jc w:val="both"/>
        <w:rPr>
          <w:u w:val="single"/>
        </w:rPr>
      </w:pPr>
    </w:p>
    <w:p w:rsidR="00C161BF" w:rsidRPr="00B04DC3" w:rsidRDefault="00C161BF" w:rsidP="00C0100D">
      <w:pPr>
        <w:tabs>
          <w:tab w:val="left" w:pos="567"/>
          <w:tab w:val="num" w:pos="851"/>
          <w:tab w:val="center" w:pos="3090"/>
          <w:tab w:val="left" w:pos="3756"/>
          <w:tab w:val="left" w:pos="5196"/>
        </w:tabs>
        <w:ind w:left="567" w:hanging="567"/>
        <w:jc w:val="both"/>
        <w:rPr>
          <w:u w:val="single"/>
        </w:rPr>
      </w:pPr>
    </w:p>
    <w:p w:rsidR="00C0100D" w:rsidRPr="00B04DC3" w:rsidRDefault="00C0100D" w:rsidP="00C0100D">
      <w:pPr>
        <w:tabs>
          <w:tab w:val="left" w:pos="567"/>
          <w:tab w:val="num" w:pos="851"/>
          <w:tab w:val="center" w:pos="3090"/>
          <w:tab w:val="left" w:pos="3756"/>
          <w:tab w:val="left" w:pos="5196"/>
        </w:tabs>
        <w:ind w:left="567" w:hanging="567"/>
        <w:jc w:val="both"/>
        <w:rPr>
          <w:u w:val="single"/>
        </w:rPr>
      </w:pPr>
    </w:p>
    <w:p w:rsidR="00C0100D" w:rsidRPr="00B04DC3" w:rsidRDefault="00C0100D" w:rsidP="00C161BF">
      <w:pPr>
        <w:pStyle w:val="SingleTxtG"/>
      </w:pPr>
      <w:r w:rsidRPr="00B04DC3">
        <w:tab/>
        <w:t>The above approval mark affixed to an engine/vehicle shows that the engine/vehicle type concerned has been approved in the United Kingd</w:t>
      </w:r>
      <w:r w:rsidR="00D04F10" w:rsidRPr="00B04DC3">
        <w:t>om (E</w:t>
      </w:r>
      <w:r w:rsidR="00260B82">
        <w:t> </w:t>
      </w:r>
      <w:r w:rsidR="00D04F10" w:rsidRPr="00B04DC3">
        <w:t>11) pursuant to Regulation </w:t>
      </w:r>
      <w:r w:rsidRPr="00B04DC3">
        <w:t>No. 49 and under approval number 052439</w:t>
      </w:r>
      <w:r w:rsidR="00401E79" w:rsidRPr="00B04DC3">
        <w:t xml:space="preserve">. </w:t>
      </w:r>
      <w:r w:rsidRPr="00B04DC3">
        <w:t>This approval indicates that the approval was given in accordance with the requirements o</w:t>
      </w:r>
      <w:r w:rsidR="00D04F10" w:rsidRPr="00B04DC3">
        <w:t>f Regulation No. 49 with the 05 </w:t>
      </w:r>
      <w:r w:rsidRPr="00B04DC3">
        <w:t>series of amendments incorporated and satisfying the relevant emission stages detailed in paragraph 4.6.3. of this Regulation.</w:t>
      </w:r>
    </w:p>
    <w:p w:rsidR="00C0100D" w:rsidRPr="00B04DC3" w:rsidRDefault="0080740F" w:rsidP="00C161BF">
      <w:pPr>
        <w:pStyle w:val="para"/>
        <w:rPr>
          <w:lang w:val="en-GB"/>
        </w:rPr>
      </w:pPr>
      <w:r w:rsidRPr="00B04DC3">
        <w:rPr>
          <w:lang w:val="en-GB"/>
        </w:rPr>
        <w:br w:type="page"/>
      </w:r>
      <w:r w:rsidR="00C0100D" w:rsidRPr="00B04DC3">
        <w:rPr>
          <w:lang w:val="en-GB"/>
        </w:rPr>
        <w:t>VI.</w:t>
      </w:r>
      <w:r w:rsidR="00C0100D" w:rsidRPr="00B04DC3">
        <w:rPr>
          <w:lang w:val="en-GB"/>
        </w:rPr>
        <w:tab/>
      </w:r>
      <w:r w:rsidRPr="00B04DC3">
        <w:rPr>
          <w:lang w:val="en-GB"/>
        </w:rPr>
        <w:t>Engine/Vehicle approved to one or more regulations</w:t>
      </w:r>
    </w:p>
    <w:p w:rsidR="00C0100D" w:rsidRPr="00B04DC3" w:rsidRDefault="00C0100D" w:rsidP="0080740F">
      <w:pPr>
        <w:pStyle w:val="para"/>
        <w:rPr>
          <w:lang w:val="en-GB"/>
        </w:rPr>
      </w:pPr>
      <w:r w:rsidRPr="00B04DC3">
        <w:rPr>
          <w:lang w:val="en-GB"/>
        </w:rPr>
        <w:tab/>
        <w:t>(See paragraph 4.7. of this Regulation)</w:t>
      </w:r>
    </w:p>
    <w:p w:rsidR="00C0100D" w:rsidRPr="00B04DC3" w:rsidRDefault="00C0100D" w:rsidP="0080740F">
      <w:pPr>
        <w:pStyle w:val="para"/>
        <w:rPr>
          <w:lang w:val="en-GB"/>
        </w:rPr>
      </w:pPr>
      <w:r w:rsidRPr="00B04DC3">
        <w:rPr>
          <w:lang w:val="en-GB"/>
        </w:rPr>
        <w:t>Example 7</w:t>
      </w:r>
    </w:p>
    <w:p w:rsidR="00C0100D" w:rsidRPr="00B04DC3" w:rsidRDefault="00C0100D" w:rsidP="00C0100D">
      <w:pPr>
        <w:tabs>
          <w:tab w:val="left" w:pos="567"/>
          <w:tab w:val="num" w:pos="851"/>
        </w:tabs>
        <w:ind w:left="567" w:hanging="567"/>
        <w:jc w:val="both"/>
      </w:pPr>
    </w:p>
    <w:p w:rsidR="00C0100D" w:rsidRPr="00B04DC3" w:rsidRDefault="00A905B7" w:rsidP="00C0100D">
      <w:pPr>
        <w:pStyle w:val="BodyTextIndent"/>
        <w:tabs>
          <w:tab w:val="left" w:pos="567"/>
          <w:tab w:val="num" w:pos="851"/>
          <w:tab w:val="center" w:pos="4734"/>
          <w:tab w:val="left" w:pos="5400"/>
          <w:tab w:val="left" w:pos="6840"/>
        </w:tabs>
        <w:spacing w:after="0"/>
        <w:ind w:left="567" w:hanging="567"/>
        <w:jc w:val="both"/>
      </w:pPr>
      <w:r>
        <w:rPr>
          <w:noProof/>
        </w:rPr>
        <w:pict>
          <v:group id="_x0000_s5585" style="position:absolute;left:0;text-align:left;margin-left:86.2pt;margin-top:5.55pt;width:364.35pt;height:55.9pt;z-index:251566080" coordorigin="2858,3132" coordsize="7287,1118">
            <v:rect id="_x0000_s1050" style="position:absolute;left:5284;top:3149;width:1968;height:481" strokeweight="0"/>
            <v:rect id="_x0000_s1051" style="position:absolute;left:5284;top:3627;width:1968;height:478" strokeweight="0"/>
            <v:rect id="_x0000_s1052" style="position:absolute;left:7249;top:3149;width:1931;height:481" strokeweight="0"/>
            <v:rect id="_x0000_s1053" style="position:absolute;left:7249;top:3627;width:1931;height:478" strokeweight="0"/>
            <v:rect id="_x0000_s1054" style="position:absolute;left:5449;top:3149;width:1992;height:623" filled="f" stroked="f">
              <v:textbox style="mso-next-textbox:#_x0000_s1054" inset="0,0,0,0">
                <w:txbxContent>
                  <w:p w:rsidR="00A905B7" w:rsidRDefault="00A905B7" w:rsidP="00C0100D">
                    <w:r>
                      <w:rPr>
                        <w:rFonts w:ascii="Arial" w:hAnsi="Arial" w:cs="Arial"/>
                        <w:color w:val="000000"/>
                        <w:sz w:val="44"/>
                        <w:szCs w:val="44"/>
                      </w:rPr>
                      <w:t>49 G HL</w:t>
                    </w:r>
                  </w:p>
                </w:txbxContent>
              </v:textbox>
            </v:rect>
            <v:rect id="_x0000_s1055" style="position:absolute;left:5509;top:3627;width:713;height:623" filled="f" stroked="f">
              <v:textbox style="mso-next-textbox:#_x0000_s1055" inset="0,0,0,0">
                <w:txbxContent>
                  <w:p w:rsidR="00A905B7" w:rsidRDefault="00A905B7" w:rsidP="00C0100D">
                    <w:r>
                      <w:rPr>
                        <w:rFonts w:ascii="Arial" w:hAnsi="Arial" w:cs="Arial"/>
                        <w:color w:val="000000"/>
                        <w:sz w:val="44"/>
                        <w:szCs w:val="44"/>
                      </w:rPr>
                      <w:t>24</w:t>
                    </w:r>
                  </w:p>
                </w:txbxContent>
              </v:textbox>
            </v:rect>
            <v:rect id="_x0000_s1056" style="position:absolute;left:7336;top:3627;width:1864;height:623" filled="f" stroked="f">
              <v:textbox style="mso-next-textbox:#_x0000_s1056" inset="0,0,0,0">
                <w:txbxContent>
                  <w:p w:rsidR="00A905B7" w:rsidRDefault="00A905B7" w:rsidP="00C0100D">
                    <w:r>
                      <w:rPr>
                        <w:rFonts w:ascii="Arial" w:hAnsi="Arial" w:cs="Arial"/>
                        <w:color w:val="000000"/>
                        <w:sz w:val="44"/>
                        <w:szCs w:val="44"/>
                      </w:rPr>
                      <w:t>03 1628</w:t>
                    </w:r>
                  </w:p>
                </w:txbxContent>
              </v:textbox>
            </v:rect>
            <v:rect id="_x0000_s1057" style="position:absolute;left:7350;top:3145;width:1864;height:623" filled="f" stroked="f">
              <v:textbox style="mso-next-textbox:#_x0000_s1057" inset="0,0,0,0">
                <w:txbxContent>
                  <w:p w:rsidR="00A905B7" w:rsidRDefault="00A905B7" w:rsidP="00C0100D">
                    <w:r>
                      <w:rPr>
                        <w:rFonts w:ascii="Arial" w:hAnsi="Arial" w:cs="Arial"/>
                        <w:color w:val="000000"/>
                        <w:sz w:val="44"/>
                        <w:szCs w:val="44"/>
                      </w:rPr>
                      <w:t>05 2439</w:t>
                    </w:r>
                  </w:p>
                </w:txbxContent>
              </v:textbox>
            </v:rect>
            <v:line id="_x0000_s1058" style="position:absolute" from="3494,3381" to="3495,3859" strokeweight="0"/>
            <v:shape id="_x0000_s1059" style="position:absolute;left:3430;top:3381;width:128;height:128" coordsize="128,128" path="m128,128l64,,,128,64,64r64,64xe" fillcolor="black" strokeweight="0">
              <v:path arrowok="t"/>
            </v:shape>
            <v:shape id="_x0000_s1060" style="position:absolute;left:3430;top:3731;width:128;height:128" coordsize="128,128" path="m128,l64,128,,,64,64,128,xe" fillcolor="black" strokeweight="0">
              <v:path arrowok="t"/>
            </v:shape>
            <v:line id="_x0000_s1061" style="position:absolute" from="3255,3580" to="3413,3581" strokeweight="0"/>
            <v:rect id="_x0000_s1062" style="position:absolute;left:3295;top:3344;width:215;height:256" filled="f" stroked="f">
              <v:textbox style="mso-next-textbox:#_x0000_s1062" inset="0,0,0,0">
                <w:txbxContent>
                  <w:p w:rsidR="00A905B7" w:rsidRDefault="00A905B7" w:rsidP="00C0100D">
                    <w:r>
                      <w:rPr>
                        <w:b/>
                        <w:bCs/>
                        <w:color w:val="000000"/>
                        <w:sz w:val="16"/>
                        <w:szCs w:val="16"/>
                      </w:rPr>
                      <w:t>a</w:t>
                    </w:r>
                  </w:p>
                </w:txbxContent>
              </v:textbox>
            </v:rect>
            <v:rect id="_x0000_s1063" style="position:absolute;left:3295;top:3531;width:195;height:229" filled="f" stroked="f">
              <v:textbox style="mso-next-textbox:#_x0000_s1063" inset="0,0,0,0">
                <w:txbxContent>
                  <w:p w:rsidR="00A905B7" w:rsidRDefault="00A905B7" w:rsidP="00C0100D">
                    <w:r>
                      <w:rPr>
                        <w:b/>
                        <w:bCs/>
                        <w:color w:val="000000"/>
                        <w:sz w:val="14"/>
                        <w:szCs w:val="14"/>
                      </w:rPr>
                      <w:t>2</w:t>
                    </w:r>
                  </w:p>
                </w:txbxContent>
              </v:textbox>
            </v:rect>
            <v:line id="_x0000_s1064" style="position:absolute;flip:x" from="2976,3142" to="3972,3143" strokeweight="0"/>
            <v:line id="_x0000_s1065" style="position:absolute;flip:x" from="2976,4098" to="3972,4099" strokeweight="0"/>
            <v:rect id="_x0000_s1066" style="position:absolute;left:2858;top:3546;width:215;height:256" filled="f" stroked="f">
              <v:textbox style="mso-next-textbox:#_x0000_s1066" inset="0,0,0,0">
                <w:txbxContent>
                  <w:p w:rsidR="00A905B7" w:rsidRDefault="00A905B7" w:rsidP="00C0100D">
                    <w:r>
                      <w:rPr>
                        <w:b/>
                        <w:bCs/>
                        <w:color w:val="000000"/>
                        <w:sz w:val="16"/>
                        <w:szCs w:val="16"/>
                      </w:rPr>
                      <w:t>a</w:t>
                    </w:r>
                  </w:p>
                </w:txbxContent>
              </v:textbox>
            </v:rect>
            <v:line id="_x0000_s1067" style="position:absolute" from="3016,3142" to="3017,4098" strokeweight="0"/>
            <v:shape id="_x0000_s1068" style="position:absolute;left:2956;top:3142;width:124;height:128" coordsize="124,128" path="m124,128l60,,,128,60,64r64,64xe" fillcolor="black" strokeweight="0">
              <v:path arrowok="t"/>
            </v:shape>
            <v:shape id="_x0000_s1069" style="position:absolute;left:2956;top:3970;width:124;height:128" coordsize="124,128" path="m124,l60,128,,,60,64,124,xe" fillcolor="black" strokeweight="0">
              <v:path arrowok="t"/>
            </v:shape>
            <v:line id="_x0000_s1070" style="position:absolute;flip:x" from="3336,3381" to="3652,3382" strokeweight="0"/>
            <v:line id="_x0000_s1071" style="position:absolute;flip:x" from="3336,3859" to="3652,3860" strokeweight="0"/>
            <v:oval id="_x0000_s1072" style="position:absolute;left:3692;top:3142;width:959;height:959" stroked="f"/>
            <v:shape id="_x0000_s1073" style="position:absolute;left:3682;top:3132;width:976;height:976" coordsize="976,976" path="m,488r,47l4,562r6,24l14,609r6,24l27,653r10,24l68,740r30,41l111,798r34,33l158,848r21,14l195,875r21,14l232,902r21,17l276,929r24,10l320,946r23,7l364,959r23,7l461,976r51,l586,966r47,-13l653,946r24,-7l720,919r61,-44l815,848r33,-33l875,781r44,-61l939,677r7,-24l952,633r14,-47l976,512r,-51l966,387r-7,-23l952,343r-6,-23l939,300,929,276,919,252,902,232,889,215,875,195,862,178,848,158,831,145,798,111,781,98,740,67,677,37,653,27,633,20,609,13,586,10,562,3,535,,438,,411,3r-24,7l364,13r-21,7l320,27,300,37,276,47,232,67,216,84,195,98r-16,13l158,128r-13,17l128,158r-17,20l98,195,84,215,68,232,47,276,37,300,27,320r-7,23l14,364r-4,23l4,411,,438r,50l20,488r,-50l24,417r7,-23l34,370r7,-20l47,326,57,306,68,283,88,246,98,229r13,-20l125,192r17,-20l158,158r14,-17l192,125r17,-14l229,98,246,88,283,67,306,57,327,47r23,-7l370,34r24,-4l417,24r21,-4l535,20r20,4l579,30r24,4l626,40r20,7l670,57r57,31l767,111r17,14l818,158r17,14l848,192r14,17l875,229r14,17l899,266r10,17l919,306r7,20l932,350r7,20l946,394r10,67l956,512r-10,67l932,626r-6,20l919,670r-20,37l862,767r-27,34l801,835r-34,27l707,899r-37,20l646,926r-20,6l579,946r-67,10l461,956,394,946r-24,-7l350,932r-23,-6l306,919,283,909,266,899,246,889,229,875,209,862,192,848,172,835,158,818,125,784,111,767,88,727,57,670,47,646,41,626,34,602,31,579,24,555,20,535r,-47l,488xe" fillcolor="black" stroked="f">
              <v:path arrowok="t"/>
            </v:shape>
            <v:rect id="_x0000_s1074" style="position:absolute;left:3773;top:3236;width:616;height:919" filled="f" stroked="f">
              <v:textbox style="mso-next-textbox:#_x0000_s1074" inset="0,0,0,0">
                <w:txbxContent>
                  <w:p w:rsidR="00A905B7" w:rsidRDefault="00A905B7" w:rsidP="00C0100D">
                    <w:r>
                      <w:rPr>
                        <w:rFonts w:ascii="Arial Narrow" w:hAnsi="Arial Narrow"/>
                        <w:color w:val="000000"/>
                        <w:sz w:val="68"/>
                        <w:szCs w:val="68"/>
                      </w:rPr>
                      <w:t>E</w:t>
                    </w:r>
                  </w:p>
                </w:txbxContent>
              </v:textbox>
            </v:rect>
            <v:rect id="_x0000_s1075" style="position:absolute;left:4140;top:3701;width:104;height:252" filled="f" stroked="f">
              <v:textbox style="mso-next-textbox:#_x0000_s1075" inset="0,0,0,0">
                <w:txbxContent>
                  <w:p w:rsidR="00A905B7" w:rsidRDefault="00A905B7" w:rsidP="00C0100D">
                    <w:r>
                      <w:rPr>
                        <w:rFonts w:ascii="Arial Narrow" w:hAnsi="Arial Narrow"/>
                        <w:color w:val="000000"/>
                        <w:sz w:val="16"/>
                        <w:szCs w:val="16"/>
                      </w:rPr>
                      <w:t xml:space="preserve"> </w:t>
                    </w:r>
                  </w:p>
                </w:txbxContent>
              </v:textbox>
            </v:rect>
            <v:rect id="_x0000_s1076" style="position:absolute;left:4177;top:3442;width:585;height:636" filled="f" stroked="f">
              <v:textbox style="mso-next-textbox:#_x0000_s1076" inset="0,0,0,0">
                <w:txbxContent>
                  <w:p w:rsidR="00A905B7" w:rsidRDefault="00A905B7" w:rsidP="00C0100D">
                    <w:r>
                      <w:rPr>
                        <w:rFonts w:ascii="Arial Narrow" w:hAnsi="Arial Narrow"/>
                        <w:color w:val="000000"/>
                        <w:sz w:val="44"/>
                        <w:szCs w:val="44"/>
                      </w:rPr>
                      <w:t>11</w:t>
                    </w:r>
                  </w:p>
                </w:txbxContent>
              </v:textbox>
            </v:rect>
            <v:line id="_x0000_s1077" style="position:absolute" from="4725,3859" to="5122,3860" strokeweight="0"/>
            <v:line id="_x0000_s1078" style="position:absolute" from="4725,3499" to="5122,3500" strokeweight="0"/>
            <v:rect id="_x0000_s1079" style="position:absolute;left:4924;top:3441;width:215;height:256" filled="f" stroked="f">
              <v:textbox style="mso-next-textbox:#_x0000_s1079" inset="0,0,0,0">
                <w:txbxContent>
                  <w:p w:rsidR="00A905B7" w:rsidRDefault="00A905B7" w:rsidP="00C0100D">
                    <w:r>
                      <w:rPr>
                        <w:b/>
                        <w:bCs/>
                        <w:color w:val="000000"/>
                        <w:sz w:val="16"/>
                        <w:szCs w:val="16"/>
                      </w:rPr>
                      <w:t>a</w:t>
                    </w:r>
                  </w:p>
                </w:txbxContent>
              </v:textbox>
            </v:rect>
            <v:line id="_x0000_s1080" style="position:absolute" from="4883,3660" to="5045,3661" strokeweight="0"/>
            <v:rect id="_x0000_s1081" style="position:absolute;left:4932;top:3617;width:195;height:229" filled="f" stroked="f">
              <v:textbox style="mso-next-textbox:#_x0000_s1081" inset="0,0,0,0">
                <w:txbxContent>
                  <w:p w:rsidR="00A905B7" w:rsidRDefault="00A905B7" w:rsidP="00C0100D">
                    <w:r>
                      <w:rPr>
                        <w:b/>
                        <w:bCs/>
                        <w:color w:val="000000"/>
                        <w:sz w:val="14"/>
                        <w:szCs w:val="14"/>
                      </w:rPr>
                      <w:t>3</w:t>
                    </w:r>
                  </w:p>
                </w:txbxContent>
              </v:textbox>
            </v:rect>
            <v:rect id="_x0000_s1082" style="position:absolute;left:9930;top:3166;width:215;height:256" filled="f" stroked="f">
              <v:textbox style="mso-next-textbox:#_x0000_s1082" inset="0,0,0,0">
                <w:txbxContent>
                  <w:p w:rsidR="00A905B7" w:rsidRDefault="00A905B7" w:rsidP="00C0100D">
                    <w:r>
                      <w:rPr>
                        <w:b/>
                        <w:bCs/>
                        <w:color w:val="000000"/>
                        <w:sz w:val="16"/>
                        <w:szCs w:val="16"/>
                      </w:rPr>
                      <w:t>a</w:t>
                    </w:r>
                  </w:p>
                </w:txbxContent>
              </v:textbox>
            </v:rect>
            <v:shape id="_x0000_s1083" style="position:absolute;left:9893;top:3384;width:158;height:1" coordsize="158,0" path="m,l78,r80,e" filled="f" strokeweight="0">
              <v:path arrowok="t"/>
            </v:shape>
            <v:rect id="_x0000_s1084" style="position:absolute;left:9930;top:3357;width:195;height:229" filled="f" stroked="f">
              <v:textbox style="mso-next-textbox:#_x0000_s1084" inset="0,0,0,0">
                <w:txbxContent>
                  <w:p w:rsidR="00A905B7" w:rsidRDefault="00A905B7" w:rsidP="00C0100D">
                    <w:r>
                      <w:rPr>
                        <w:b/>
                        <w:bCs/>
                        <w:color w:val="000000"/>
                        <w:sz w:val="14"/>
                        <w:szCs w:val="14"/>
                      </w:rPr>
                      <w:t>2</w:t>
                    </w:r>
                  </w:p>
                </w:txbxContent>
              </v:textbox>
            </v:rect>
            <v:rect id="_x0000_s1085" style="position:absolute;left:9930;top:3640;width:215;height:256" filled="f" stroked="f">
              <v:textbox style="mso-next-textbox:#_x0000_s1085" inset="0,0,0,0">
                <w:txbxContent>
                  <w:p w:rsidR="00A905B7" w:rsidRDefault="00A905B7" w:rsidP="00C0100D">
                    <w:r>
                      <w:rPr>
                        <w:b/>
                        <w:bCs/>
                        <w:color w:val="000000"/>
                        <w:sz w:val="16"/>
                        <w:szCs w:val="16"/>
                      </w:rPr>
                      <w:t>a</w:t>
                    </w:r>
                  </w:p>
                </w:txbxContent>
              </v:textbox>
            </v:rect>
            <v:shape id="_x0000_s1086" style="position:absolute;left:9893;top:3856;width:158;height:1" coordsize="158,0" path="m,l78,r80,e" filled="f" strokeweight="0">
              <v:path arrowok="t"/>
            </v:shape>
            <v:rect id="_x0000_s1087" style="position:absolute;left:9930;top:3856;width:195;height:229" filled="f" stroked="f">
              <v:textbox style="mso-next-textbox:#_x0000_s1087" inset="0,0,0,0">
                <w:txbxContent>
                  <w:p w:rsidR="00A905B7" w:rsidRDefault="00A905B7" w:rsidP="00C0100D">
                    <w:r>
                      <w:rPr>
                        <w:b/>
                        <w:bCs/>
                        <w:color w:val="000000"/>
                        <w:sz w:val="14"/>
                        <w:szCs w:val="14"/>
                      </w:rPr>
                      <w:t>2</w:t>
                    </w:r>
                  </w:p>
                </w:txbxContent>
              </v:textbox>
            </v:rect>
            <v:rect id="_x0000_s1088" style="position:absolute;left:6179;top:3805;width:565;height:323" filled="f" stroked="f">
              <v:textbox style="mso-next-textbox:#_x0000_s1088" inset="0,0,0,0">
                <w:txbxContent>
                  <w:p w:rsidR="00A905B7" w:rsidRDefault="00A905B7" w:rsidP="00C0100D">
                    <w:pPr>
                      <w:pStyle w:val="References"/>
                      <w:widowControl/>
                      <w:tabs>
                        <w:tab w:val="clear" w:pos="5088"/>
                        <w:tab w:val="clear" w:pos="5376"/>
                        <w:tab w:val="clear" w:pos="6096"/>
                        <w:tab w:val="clear" w:pos="6816"/>
                        <w:tab w:val="clear" w:pos="7536"/>
                        <w:tab w:val="clear" w:pos="8256"/>
                        <w:tab w:val="clear" w:pos="8976"/>
                      </w:tabs>
                      <w:suppressAutoHyphens w:val="0"/>
                      <w:rPr>
                        <w:rFonts w:ascii="Arial" w:hAnsi="Arial" w:cs="Arial"/>
                        <w:strike/>
                        <w:snapToGrid/>
                        <w:lang w:val="en-GB" w:eastAsia="fr-FR"/>
                      </w:rPr>
                    </w:pPr>
                  </w:p>
                </w:txbxContent>
              </v:textbox>
            </v:rect>
            <v:line id="_x0000_s1089" style="position:absolute" from="9217,3226" to="9614,3227" strokeweight="0"/>
            <v:line id="_x0000_s1090" style="position:absolute" from="9217,3543" to="9614,3544" strokeweight="0"/>
            <v:line id="_x0000_s1091" style="position:absolute" from="9335,3226" to="9336,3543" strokeweight="0"/>
            <v:shape id="_x0000_s1092" style="position:absolute;left:9274;top:3226;width:125;height:125" coordsize="125,125" path="m125,125l61,,,125,61,64r64,61xe" fillcolor="black" strokeweight="0">
              <v:path arrowok="t"/>
            </v:shape>
            <v:shape id="_x0000_s1093" style="position:absolute;left:9274;top:3418;width:125;height:125" coordsize="125,125" path="m125,l61,125,,,61,64,125,xe" fillcolor="black" strokeweight="0">
              <v:path arrowok="t"/>
            </v:shape>
            <v:rect id="_x0000_s1094" style="position:absolute;left:9493;top:3154;width:215;height:256" filled="f" stroked="f">
              <v:textbox style="mso-next-textbox:#_x0000_s1094" inset="0,0,0,0">
                <w:txbxContent>
                  <w:p w:rsidR="00A905B7" w:rsidRDefault="00A905B7" w:rsidP="00C0100D">
                    <w:r>
                      <w:rPr>
                        <w:b/>
                        <w:bCs/>
                        <w:color w:val="000000"/>
                        <w:sz w:val="16"/>
                        <w:szCs w:val="16"/>
                      </w:rPr>
                      <w:t>a</w:t>
                    </w:r>
                  </w:p>
                </w:txbxContent>
              </v:textbox>
            </v:rect>
            <v:shape id="_x0000_s1095" style="position:absolute;left:9456;top:3378;width:158;height:1" coordsize="158,0" path="m,l77,r81,e" filled="f" strokeweight="0">
              <v:path arrowok="t"/>
            </v:shape>
            <v:rect id="_x0000_s1096" style="position:absolute;left:9501;top:3330;width:195;height:229" filled="f" stroked="f">
              <v:textbox style="mso-next-textbox:#_x0000_s1096" inset="0,0,0,0">
                <w:txbxContent>
                  <w:p w:rsidR="00A905B7" w:rsidRDefault="00A905B7" w:rsidP="00C0100D">
                    <w:r>
                      <w:rPr>
                        <w:b/>
                        <w:bCs/>
                        <w:color w:val="000000"/>
                        <w:sz w:val="14"/>
                        <w:szCs w:val="14"/>
                      </w:rPr>
                      <w:t>3</w:t>
                    </w:r>
                  </w:p>
                </w:txbxContent>
              </v:textbox>
            </v:rect>
            <v:line id="_x0000_s1097" style="position:absolute" from="9217,3704" to="9614,3705" strokeweight="0"/>
            <v:line id="_x0000_s1098" style="position:absolute" from="9217,4021" to="9614,4022" strokeweight="0"/>
            <v:line id="_x0000_s1099" style="position:absolute" from="9335,3704" to="9336,4021" strokeweight="0"/>
            <v:shape id="_x0000_s1100" style="position:absolute;left:9274;top:3704;width:125;height:125" coordsize="125,125" path="m125,125l61,,,125,61,61r64,64xe" fillcolor="black" strokeweight="0">
              <v:path arrowok="t"/>
            </v:shape>
            <v:shape id="_x0000_s1101" style="position:absolute;left:9274;top:3896;width:125;height:125" coordsize="125,125" path="m125,l61,125,,,61,61,125,xe" fillcolor="black" strokeweight="0">
              <v:path arrowok="t"/>
            </v:shape>
            <v:rect id="_x0000_s1102" style="position:absolute;left:9493;top:3645;width:215;height:256" filled="f" stroked="f">
              <v:textbox style="mso-next-textbox:#_x0000_s1102" inset="0,0,0,0">
                <w:txbxContent>
                  <w:p w:rsidR="00A905B7" w:rsidRDefault="00A905B7" w:rsidP="00C0100D">
                    <w:r>
                      <w:rPr>
                        <w:b/>
                        <w:bCs/>
                        <w:color w:val="000000"/>
                        <w:sz w:val="16"/>
                        <w:szCs w:val="16"/>
                      </w:rPr>
                      <w:t>a</w:t>
                    </w:r>
                  </w:p>
                </w:txbxContent>
              </v:textbox>
            </v:rect>
            <v:shape id="_x0000_s1103" style="position:absolute;left:9456;top:3856;width:158;height:1" coordsize="158,0" path="m,l77,r81,e" filled="f" strokeweight="0">
              <v:path arrowok="t"/>
            </v:shape>
            <v:rect id="_x0000_s1104" style="position:absolute;left:9493;top:3828;width:195;height:229" filled="f" stroked="f">
              <v:textbox style="mso-next-textbox:#_x0000_s1104" inset="0,0,0,0">
                <w:txbxContent>
                  <w:p w:rsidR="00A905B7" w:rsidRDefault="00A905B7" w:rsidP="00C0100D">
                    <w:r>
                      <w:rPr>
                        <w:b/>
                        <w:bCs/>
                        <w:color w:val="000000"/>
                        <w:sz w:val="14"/>
                        <w:szCs w:val="14"/>
                      </w:rPr>
                      <w:t>3</w:t>
                    </w:r>
                  </w:p>
                </w:txbxContent>
              </v:textbox>
            </v:rect>
            <v:line id="_x0000_s1105" style="position:absolute" from="9217,3145" to="10011,3146" strokeweight="0"/>
            <v:line id="_x0000_s1106" style="position:absolute" from="9217,3623" to="10011,3624" strokeweight="0"/>
            <v:line id="_x0000_s1107" style="position:absolute" from="9217,4101" to="10011,4102" strokeweight="0"/>
            <v:line id="_x0000_s1108" style="position:absolute" from="9772,3145" to="9773,3623" strokeweight="0"/>
            <v:shape id="_x0000_s1109" style="position:absolute;left:9711;top:3145;width:125;height:128" coordsize="125,128" path="m125,128l61,,,128,61,64r64,64xe" fillcolor="black" strokeweight="0">
              <v:path arrowok="t"/>
            </v:shape>
            <v:shape id="_x0000_s1110" style="position:absolute;left:9711;top:3496;width:125;height:127" coordsize="125,127" path="m125,l61,127,,,61,63,125,xe" fillcolor="black" strokeweight="0">
              <v:path arrowok="t"/>
            </v:shape>
            <v:line id="_x0000_s1111" style="position:absolute;flip:y" from="9772,3623" to="9773,4101" strokeweight="0"/>
            <v:shape id="_x0000_s1112" style="position:absolute;left:9711;top:3973;width:125;height:128" coordsize="125,128" path="m,l61,128,125,,61,64,,xe" fillcolor="black" strokeweight="0">
              <v:path arrowok="t"/>
            </v:shape>
            <v:shape id="_x0000_s1113" style="position:absolute;left:9711;top:3623;width:125;height:125" coordsize="125,125" path="m,125l61,r64,125l61,64,,125xe" fillcolor="black" strokeweight="0">
              <v:path arrowok="t"/>
            </v:shape>
            <v:line id="_x0000_s1114" style="position:absolute" from="4806,3502" to="4807,3862" strokeweight="0"/>
            <v:shape id="_x0000_s1115" style="position:absolute;left:4742;top:3502;width:128;height:128" coordsize="128,128" path="m128,128l64,,,128,64,64r64,64xe" fillcolor="black" strokeweight="0">
              <v:path arrowok="t"/>
            </v:shape>
            <v:shape id="_x0000_s1116" style="position:absolute;left:4742;top:3734;width:128;height:128" coordsize="128,128" path="m128,l64,128,,,64,64,128,xe" fillcolor="black" strokeweight="0">
              <v:path arrowok="t"/>
            </v:shape>
          </v:group>
        </w:pict>
      </w:r>
    </w:p>
    <w:p w:rsidR="00C0100D" w:rsidRPr="00B04DC3" w:rsidRDefault="00C0100D" w:rsidP="00C0100D">
      <w:pPr>
        <w:pStyle w:val="BodyTextIndent"/>
        <w:tabs>
          <w:tab w:val="left" w:pos="567"/>
          <w:tab w:val="num" w:pos="851"/>
          <w:tab w:val="center" w:pos="4734"/>
          <w:tab w:val="left" w:pos="5400"/>
          <w:tab w:val="left" w:pos="6840"/>
        </w:tabs>
        <w:spacing w:after="0"/>
        <w:ind w:left="567" w:hanging="567"/>
        <w:jc w:val="both"/>
      </w:pPr>
    </w:p>
    <w:p w:rsidR="00C0100D" w:rsidRPr="00B04DC3" w:rsidRDefault="00C0100D" w:rsidP="00C0100D">
      <w:pPr>
        <w:pStyle w:val="BodyTextIndent"/>
        <w:tabs>
          <w:tab w:val="left" w:pos="567"/>
          <w:tab w:val="num" w:pos="851"/>
          <w:tab w:val="center" w:pos="4734"/>
          <w:tab w:val="left" w:pos="5400"/>
          <w:tab w:val="left" w:pos="6840"/>
        </w:tabs>
        <w:spacing w:after="0"/>
        <w:ind w:left="567" w:hanging="567"/>
        <w:jc w:val="both"/>
      </w:pPr>
    </w:p>
    <w:p w:rsidR="00C0100D" w:rsidRPr="00B04DC3" w:rsidRDefault="00C0100D" w:rsidP="00C0100D">
      <w:pPr>
        <w:tabs>
          <w:tab w:val="left" w:pos="567"/>
          <w:tab w:val="num" w:pos="851"/>
          <w:tab w:val="left" w:pos="2556"/>
          <w:tab w:val="left" w:pos="3756"/>
          <w:tab w:val="left" w:pos="5196"/>
        </w:tabs>
        <w:ind w:left="567" w:hanging="567"/>
        <w:jc w:val="both"/>
      </w:pPr>
    </w:p>
    <w:p w:rsidR="00C0100D" w:rsidRPr="00B04DC3" w:rsidRDefault="00C0100D" w:rsidP="00C0100D">
      <w:pPr>
        <w:tabs>
          <w:tab w:val="left" w:pos="567"/>
          <w:tab w:val="num" w:pos="851"/>
          <w:tab w:val="left" w:pos="2556"/>
          <w:tab w:val="left" w:pos="3756"/>
          <w:tab w:val="left" w:pos="5196"/>
        </w:tabs>
        <w:ind w:left="567" w:hanging="567"/>
        <w:jc w:val="both"/>
      </w:pPr>
    </w:p>
    <w:p w:rsidR="0087212F" w:rsidRPr="00B04DC3" w:rsidRDefault="00C0100D" w:rsidP="0080740F">
      <w:pPr>
        <w:pStyle w:val="SingleTxtG"/>
      </w:pPr>
      <w:r w:rsidRPr="00B04DC3">
        <w:tab/>
        <w:t>The above approval mark affixed to a HL natural gas engine/vehicle shows that the engine/vehicle type concerned has been approved in the United Kingdom (E</w:t>
      </w:r>
      <w:r w:rsidR="00260B82">
        <w:t> </w:t>
      </w:r>
      <w:r w:rsidRPr="00B04DC3">
        <w:t>11) pursuant to Regulation No. 49 (emission stage G) and Regulation No. 24</w:t>
      </w:r>
      <w:r w:rsidR="00260B82">
        <w:t>.</w:t>
      </w:r>
      <w:r w:rsidR="0080740F" w:rsidRPr="00B04DC3">
        <w:rPr>
          <w:rStyle w:val="FootnoteReference"/>
        </w:rPr>
        <w:footnoteReference w:id="31"/>
      </w:r>
      <w:r w:rsidR="00401E79" w:rsidRPr="00B04DC3">
        <w:t xml:space="preserve"> </w:t>
      </w:r>
      <w:r w:rsidRPr="00B04DC3">
        <w:t>The first two digits of the approval numbers indicate that, at the dates when the respective approvals were given, Regulation No. 49 included the 05 series of amendments, and Regulation No. 24 the 03 series of amendments.</w:t>
      </w:r>
    </w:p>
    <w:p w:rsidR="00AC1EFA" w:rsidRPr="00B04DC3" w:rsidRDefault="00AC1EFA" w:rsidP="0080740F">
      <w:pPr>
        <w:pStyle w:val="SingleTxtG"/>
        <w:sectPr w:rsidR="00AC1EFA" w:rsidRPr="00B04DC3" w:rsidSect="002A4563">
          <w:headerReference w:type="even" r:id="rId94"/>
          <w:headerReference w:type="default" r:id="rId95"/>
          <w:headerReference w:type="first" r:id="rId96"/>
          <w:footerReference w:type="first" r:id="rId97"/>
          <w:footnotePr>
            <w:numRestart w:val="eachSect"/>
          </w:footnotePr>
          <w:endnotePr>
            <w:numFmt w:val="decimal"/>
          </w:endnotePr>
          <w:pgSz w:w="11907" w:h="16840" w:code="9"/>
          <w:pgMar w:top="1701" w:right="1134" w:bottom="2268" w:left="1134" w:header="964" w:footer="1701" w:gutter="0"/>
          <w:cols w:space="720"/>
          <w:titlePg/>
          <w:docGrid w:linePitch="272"/>
        </w:sectPr>
      </w:pPr>
    </w:p>
    <w:p w:rsidR="00DA59A4" w:rsidRPr="00B04DC3" w:rsidRDefault="00DA59A4" w:rsidP="00DA59A4">
      <w:pPr>
        <w:pStyle w:val="HChG"/>
      </w:pPr>
      <w:bookmarkStart w:id="167" w:name="_Toc423599506"/>
      <w:bookmarkStart w:id="168" w:name="_Toc423610914"/>
      <w:r w:rsidRPr="00B04DC3">
        <w:t>Annex 4A</w:t>
      </w:r>
      <w:bookmarkEnd w:id="167"/>
      <w:bookmarkEnd w:id="168"/>
    </w:p>
    <w:p w:rsidR="00DA59A4" w:rsidRPr="00B04DC3" w:rsidRDefault="00DA59A4" w:rsidP="00DA59A4">
      <w:pPr>
        <w:pStyle w:val="HChG"/>
      </w:pPr>
      <w:r w:rsidRPr="00B04DC3">
        <w:tab/>
      </w:r>
      <w:r w:rsidRPr="00B04DC3">
        <w:tab/>
      </w:r>
      <w:bookmarkStart w:id="169" w:name="_Toc423599507"/>
      <w:bookmarkStart w:id="170" w:name="_Toc423610915"/>
      <w:r w:rsidRPr="00B04DC3">
        <w:t>Test procedure</w:t>
      </w:r>
      <w:bookmarkEnd w:id="169"/>
      <w:bookmarkEnd w:id="170"/>
    </w:p>
    <w:p w:rsidR="00DA59A4" w:rsidRPr="00B04DC3" w:rsidRDefault="00DA59A4" w:rsidP="00DA59A4">
      <w:pPr>
        <w:pStyle w:val="para"/>
        <w:rPr>
          <w:lang w:val="en-GB"/>
        </w:rPr>
      </w:pPr>
      <w:r w:rsidRPr="00B04DC3">
        <w:rPr>
          <w:lang w:val="en-GB"/>
        </w:rPr>
        <w:t>1.</w:t>
      </w:r>
      <w:r w:rsidRPr="00B04DC3">
        <w:rPr>
          <w:lang w:val="en-GB"/>
        </w:rPr>
        <w:tab/>
        <w:t>Introduction</w:t>
      </w:r>
    </w:p>
    <w:p w:rsidR="00DA59A4" w:rsidRPr="00B04DC3" w:rsidRDefault="00DA59A4" w:rsidP="00DA59A4">
      <w:pPr>
        <w:pStyle w:val="para"/>
        <w:rPr>
          <w:lang w:val="en-GB"/>
        </w:rPr>
      </w:pPr>
      <w:r w:rsidRPr="00B04DC3">
        <w:rPr>
          <w:lang w:val="en-GB"/>
        </w:rPr>
        <w:t>1.1.</w:t>
      </w:r>
      <w:r w:rsidRPr="00B04DC3">
        <w:rPr>
          <w:lang w:val="en-GB"/>
        </w:rPr>
        <w:tab/>
        <w:t>This annex describes the methods of determining emissions of gaseous components, particulates and smoke from the engines to be tested. Three test cycles are described that shall be applied according to the provisions of paragraph 5.2.</w:t>
      </w:r>
      <w:r w:rsidR="006A75A0">
        <w:rPr>
          <w:lang w:val="en-GB"/>
        </w:rPr>
        <w:t xml:space="preserve"> of this Regulation</w:t>
      </w:r>
      <w:r w:rsidRPr="00B04DC3">
        <w:rPr>
          <w:lang w:val="en-GB"/>
        </w:rPr>
        <w:t>:</w:t>
      </w:r>
    </w:p>
    <w:p w:rsidR="00DA59A4" w:rsidRPr="00B04DC3" w:rsidRDefault="00DA59A4" w:rsidP="00DA59A4">
      <w:pPr>
        <w:pStyle w:val="a"/>
        <w:rPr>
          <w:lang w:val="en-GB"/>
        </w:rPr>
      </w:pPr>
      <w:r w:rsidRPr="00B04DC3">
        <w:rPr>
          <w:lang w:val="en-GB"/>
        </w:rPr>
        <w:t>(a)</w:t>
      </w:r>
      <w:r w:rsidRPr="00B04DC3">
        <w:rPr>
          <w:lang w:val="en-GB"/>
        </w:rPr>
        <w:tab/>
        <w:t>The ESC which consists of a steady state 13-mode cycle,</w:t>
      </w:r>
    </w:p>
    <w:p w:rsidR="00DA59A4" w:rsidRPr="00B04DC3" w:rsidRDefault="00DA59A4" w:rsidP="00DA59A4">
      <w:pPr>
        <w:pStyle w:val="a"/>
        <w:rPr>
          <w:lang w:val="en-GB"/>
        </w:rPr>
      </w:pPr>
      <w:r w:rsidRPr="00B04DC3">
        <w:rPr>
          <w:lang w:val="en-GB"/>
        </w:rPr>
        <w:t>(b)</w:t>
      </w:r>
      <w:r w:rsidRPr="00B04DC3">
        <w:rPr>
          <w:lang w:val="en-GB"/>
        </w:rPr>
        <w:tab/>
        <w:t>The ELR which consists of transient load steps at different speeds, which are integral parts of one test procedure, and are run concurrently,</w:t>
      </w:r>
    </w:p>
    <w:p w:rsidR="00DA59A4" w:rsidRPr="00B04DC3" w:rsidRDefault="00DA59A4" w:rsidP="00DA59A4">
      <w:pPr>
        <w:pStyle w:val="a"/>
        <w:rPr>
          <w:lang w:val="en-GB"/>
        </w:rPr>
      </w:pPr>
      <w:r w:rsidRPr="00B04DC3">
        <w:rPr>
          <w:lang w:val="en-GB"/>
        </w:rPr>
        <w:t>(c)</w:t>
      </w:r>
      <w:r w:rsidRPr="00B04DC3">
        <w:rPr>
          <w:lang w:val="en-GB"/>
        </w:rPr>
        <w:tab/>
        <w:t>The ETC which consists of a second-by-second sequence of transient modes.</w:t>
      </w:r>
    </w:p>
    <w:p w:rsidR="00DA59A4" w:rsidRPr="00B04DC3" w:rsidRDefault="00DA59A4" w:rsidP="00DA59A4">
      <w:pPr>
        <w:pStyle w:val="para"/>
        <w:rPr>
          <w:lang w:val="en-GB"/>
        </w:rPr>
      </w:pPr>
      <w:r w:rsidRPr="00B04DC3">
        <w:rPr>
          <w:lang w:val="en-GB"/>
        </w:rPr>
        <w:t>1.2.</w:t>
      </w:r>
      <w:r w:rsidRPr="00B04DC3">
        <w:rPr>
          <w:lang w:val="en-GB"/>
        </w:rPr>
        <w:tab/>
        <w:t>The test shall be carried out with the engine mounted on a test bench and connected to a dynamometer.</w:t>
      </w:r>
    </w:p>
    <w:p w:rsidR="00C2508C" w:rsidRPr="00B04DC3" w:rsidRDefault="00C2508C" w:rsidP="00C2508C">
      <w:pPr>
        <w:spacing w:after="120"/>
        <w:ind w:left="2268" w:right="1134" w:hanging="1134"/>
        <w:jc w:val="both"/>
      </w:pPr>
      <w:r w:rsidRPr="00B04DC3">
        <w:t>1.3.</w:t>
      </w:r>
      <w:r w:rsidRPr="00B04DC3">
        <w:tab/>
        <w:t>Measurement principle</w:t>
      </w:r>
    </w:p>
    <w:p w:rsidR="00C2508C" w:rsidRPr="00B04DC3" w:rsidRDefault="00C2508C" w:rsidP="00C2508C">
      <w:pPr>
        <w:pStyle w:val="para"/>
        <w:rPr>
          <w:lang w:val="en-GB"/>
        </w:rPr>
      </w:pPr>
      <w:r w:rsidRPr="00B04DC3">
        <w:rPr>
          <w:lang w:val="en-GB"/>
        </w:rPr>
        <w:tab/>
        <w:t>The emissions to be measured from the exhaust of the engine include the gaseous components (carbon monoxide, total hydrocarbons for diesel and type 3B dual-fuel engines on the ESC test only; non-methane hydrocarbons for diesel, dual-fuel and gas engines on the ETC test only; methane for gas and dual-fuel engines on the ETC test only and oxides of nitrogen), the particulates (diesel and dual-fuel engines only) and smoke (diesel and dual-fuel engines on the ELR test only). Additionally, carbon dioxide is often used as a tracer gas for determining the dilution ratio of partial and full flow dilution systems. Good engineering practice recommends the general measurement of carbon dioxide as an excellent tool for the detection of measurement problems during the test run.</w:t>
      </w:r>
    </w:p>
    <w:p w:rsidR="00DA59A4" w:rsidRPr="00B04DC3" w:rsidRDefault="00DA59A4" w:rsidP="00DA59A4">
      <w:pPr>
        <w:pStyle w:val="para"/>
        <w:rPr>
          <w:lang w:val="en-GB"/>
        </w:rPr>
      </w:pPr>
      <w:r w:rsidRPr="00B04DC3">
        <w:rPr>
          <w:lang w:val="en-GB"/>
        </w:rPr>
        <w:t>1.3.1.</w:t>
      </w:r>
      <w:r w:rsidRPr="00B04DC3">
        <w:rPr>
          <w:lang w:val="en-GB"/>
        </w:rPr>
        <w:tab/>
        <w:t xml:space="preserve">ESC </w:t>
      </w:r>
      <w:r w:rsidR="006A75A0">
        <w:rPr>
          <w:lang w:val="en-GB"/>
        </w:rPr>
        <w:t>t</w:t>
      </w:r>
      <w:r w:rsidR="006A75A0" w:rsidRPr="00B04DC3">
        <w:rPr>
          <w:lang w:val="en-GB"/>
        </w:rPr>
        <w:t>est</w:t>
      </w:r>
    </w:p>
    <w:p w:rsidR="00DA59A4" w:rsidRPr="00B04DC3" w:rsidRDefault="00DA59A4" w:rsidP="00DA59A4">
      <w:pPr>
        <w:pStyle w:val="para"/>
        <w:rPr>
          <w:lang w:val="en-GB"/>
        </w:rPr>
      </w:pPr>
      <w:r w:rsidRPr="00B04DC3">
        <w:rPr>
          <w:lang w:val="en-GB"/>
        </w:rPr>
        <w:tab/>
        <w:t>During a prescribed sequence of warmed-up engine operating conditions the amounts of the above exhaust emissions shall be examined continuously by taking a sample from the raw or diluted exhaust gas. The test cycle consists of a number of speed and power modes which cover the typical operating range of diesel engines. During each mode the concentration of each gaseous pollutant, exhaust flow and power output shall be determined, and the measured values weighted. For particulate measurement, the exhaust gas shall be diluted with conditioned ambient air using either a partial flow or full flow dilution system. The particulates shall be collected on a single suitable filter in proportion to the weighting factors of each mode. The grams of each pollutant emitted per kilowatt hour shall be calculated as described in Appendix 1 to this annex. Additionally, NO</w:t>
      </w:r>
      <w:r w:rsidRPr="00B04DC3">
        <w:rPr>
          <w:vertAlign w:val="subscript"/>
          <w:lang w:val="en-GB"/>
        </w:rPr>
        <w:t>x</w:t>
      </w:r>
      <w:r w:rsidRPr="00B04DC3">
        <w:rPr>
          <w:lang w:val="en-GB"/>
        </w:rPr>
        <w:t xml:space="preserve"> shall be measured at three test points within the control area selected by the Technical Service and the measured values compared to the values calculated from those modes of the test cycle enveloping the selected test points. The NO</w:t>
      </w:r>
      <w:r w:rsidRPr="00B04DC3">
        <w:rPr>
          <w:vertAlign w:val="subscript"/>
          <w:lang w:val="en-GB"/>
        </w:rPr>
        <w:t>x</w:t>
      </w:r>
      <w:r w:rsidRPr="00B04DC3">
        <w:rPr>
          <w:lang w:val="en-GB"/>
        </w:rPr>
        <w:t xml:space="preserve"> control check ensures the effectiveness of the emission control of the engine within the typical engine operating range.</w:t>
      </w:r>
    </w:p>
    <w:p w:rsidR="00DA59A4" w:rsidRPr="00B04DC3" w:rsidRDefault="00DA59A4" w:rsidP="00DA59A4">
      <w:pPr>
        <w:pStyle w:val="para"/>
        <w:rPr>
          <w:lang w:val="en-GB"/>
        </w:rPr>
      </w:pPr>
      <w:r w:rsidRPr="00B04DC3">
        <w:rPr>
          <w:lang w:val="en-GB"/>
        </w:rPr>
        <w:t>1.3.2.</w:t>
      </w:r>
      <w:r w:rsidRPr="00B04DC3">
        <w:rPr>
          <w:lang w:val="en-GB"/>
        </w:rPr>
        <w:tab/>
        <w:t xml:space="preserve">ELR </w:t>
      </w:r>
      <w:r w:rsidR="006A75A0">
        <w:rPr>
          <w:lang w:val="en-GB"/>
        </w:rPr>
        <w:t>t</w:t>
      </w:r>
      <w:r w:rsidR="006A75A0" w:rsidRPr="00B04DC3">
        <w:rPr>
          <w:lang w:val="en-GB"/>
        </w:rPr>
        <w:t>est</w:t>
      </w:r>
    </w:p>
    <w:p w:rsidR="00DA59A4" w:rsidRPr="00B04DC3" w:rsidRDefault="00DA59A4" w:rsidP="00DA59A4">
      <w:pPr>
        <w:pStyle w:val="para"/>
        <w:rPr>
          <w:lang w:val="en-GB"/>
        </w:rPr>
      </w:pPr>
      <w:r w:rsidRPr="00B04DC3">
        <w:rPr>
          <w:lang w:val="en-GB"/>
        </w:rPr>
        <w:tab/>
        <w:t>During a prescribed load response test, the smoke of a warmed-up engine shall be determined by means of an opacimeter. The test consists of loading the engine at constant speed from 10 per cent to 100 per cent load at three different engine speeds. Additionally, a fourth load step selected by the Technical Service</w:t>
      </w:r>
      <w:r w:rsidRPr="00B04DC3">
        <w:rPr>
          <w:rStyle w:val="FootnoteReference"/>
          <w:bCs/>
          <w:lang w:val="en-GB"/>
        </w:rPr>
        <w:footnoteReference w:id="32"/>
      </w:r>
      <w:r w:rsidRPr="00B04DC3">
        <w:rPr>
          <w:lang w:val="en-GB"/>
        </w:rPr>
        <w:t xml:space="preserve"> shall be run, and the value compared to the values of the previous load steps. The smoke peak shall be determined using an averaging algorithm, as described in Appendix 1 to this annex.</w:t>
      </w:r>
    </w:p>
    <w:p w:rsidR="00DA59A4" w:rsidRPr="00B04DC3" w:rsidRDefault="00DA59A4" w:rsidP="00DA59A4">
      <w:pPr>
        <w:pStyle w:val="para"/>
        <w:rPr>
          <w:lang w:val="en-GB"/>
        </w:rPr>
      </w:pPr>
      <w:r w:rsidRPr="00B04DC3">
        <w:rPr>
          <w:lang w:val="en-GB"/>
        </w:rPr>
        <w:t>1.3.3.</w:t>
      </w:r>
      <w:r w:rsidRPr="00B04DC3">
        <w:rPr>
          <w:lang w:val="en-GB"/>
        </w:rPr>
        <w:tab/>
        <w:t xml:space="preserve">ETC </w:t>
      </w:r>
      <w:r w:rsidR="006A75A0">
        <w:rPr>
          <w:lang w:val="en-GB"/>
        </w:rPr>
        <w:t>t</w:t>
      </w:r>
      <w:r w:rsidR="006A75A0" w:rsidRPr="00B04DC3">
        <w:rPr>
          <w:lang w:val="en-GB"/>
        </w:rPr>
        <w:t>est</w:t>
      </w:r>
    </w:p>
    <w:p w:rsidR="00DA59A4" w:rsidRPr="00B04DC3" w:rsidRDefault="00DA59A4" w:rsidP="00DA59A4">
      <w:pPr>
        <w:pStyle w:val="para"/>
        <w:rPr>
          <w:lang w:val="en-GB"/>
        </w:rPr>
      </w:pPr>
      <w:r w:rsidRPr="00B04DC3">
        <w:rPr>
          <w:lang w:val="en-GB"/>
        </w:rPr>
        <w:tab/>
        <w:t>During a prescribed transient cycle of warmed-up engine operating conditions, which is based closely on road-type-specific driving patterns of heavy-duty engines installed in trucks and buses, the above pollutants shall be examined either after diluting the total exhaust gas with conditioned ambient air (CVS system with double dilution for particulates) or by determining the gaseous components in the raw exhaust gas and the particulates with a partial flow dilution system. Using the engine torque and speed feedback signals of the engine dynamometer, the power shall be integrated with respect to time of the cycle resulting in the work produced by the engine over the cycle. For a CVS system, the concentration of NO</w:t>
      </w:r>
      <w:r w:rsidRPr="00B04DC3">
        <w:rPr>
          <w:vertAlign w:val="subscript"/>
          <w:lang w:val="en-GB"/>
        </w:rPr>
        <w:t>x</w:t>
      </w:r>
      <w:r w:rsidRPr="00B04DC3">
        <w:rPr>
          <w:lang w:val="en-GB"/>
        </w:rPr>
        <w:t xml:space="preserve"> and HC shall be determined over the cycle by integration of the analyzer signal, whereas the concentration of CO, CO</w:t>
      </w:r>
      <w:r w:rsidRPr="00B04DC3">
        <w:rPr>
          <w:vertAlign w:val="subscript"/>
          <w:lang w:val="en-GB"/>
        </w:rPr>
        <w:t>2</w:t>
      </w:r>
      <w:r w:rsidRPr="00B04DC3">
        <w:rPr>
          <w:lang w:val="en-GB"/>
        </w:rPr>
        <w:t>, and NMHC may be determined by integration of the analyzer signal or by bag sampling. If measured in the raw exhaust gas, all gaseous components shall be determined over the cycle by integration of the analyzer signal. For particulates, a proportional sample shall be collected on a suitable filter. The raw or diluted exhaust gas flow rate shall be determined over the cycle to calculate the mass emission values of the pollutants. The mass emission values shall be related to the engine work to get the grams of each pollutant emitted per kilowatt hour, as described in Appendix 2 to this annex.</w:t>
      </w:r>
    </w:p>
    <w:p w:rsidR="00DA59A4" w:rsidRPr="00B04DC3" w:rsidRDefault="00DA59A4" w:rsidP="00DA59A4">
      <w:pPr>
        <w:pStyle w:val="para"/>
        <w:rPr>
          <w:lang w:val="en-GB"/>
        </w:rPr>
      </w:pPr>
      <w:r w:rsidRPr="00B04DC3">
        <w:rPr>
          <w:lang w:val="en-GB"/>
        </w:rPr>
        <w:t>2.</w:t>
      </w:r>
      <w:r w:rsidRPr="00B04DC3">
        <w:rPr>
          <w:lang w:val="en-GB"/>
        </w:rPr>
        <w:tab/>
        <w:t>Test conditions</w:t>
      </w:r>
    </w:p>
    <w:p w:rsidR="00DA59A4" w:rsidRPr="00B04DC3" w:rsidRDefault="00DA59A4" w:rsidP="00DA59A4">
      <w:pPr>
        <w:pStyle w:val="para"/>
        <w:rPr>
          <w:lang w:val="en-GB"/>
        </w:rPr>
      </w:pPr>
      <w:r w:rsidRPr="00B04DC3">
        <w:rPr>
          <w:lang w:val="en-GB"/>
        </w:rPr>
        <w:t>2.1.</w:t>
      </w:r>
      <w:r w:rsidRPr="00B04DC3">
        <w:rPr>
          <w:lang w:val="en-GB"/>
        </w:rPr>
        <w:tab/>
        <w:t>Engine test conditions</w:t>
      </w:r>
    </w:p>
    <w:p w:rsidR="00DA59A4" w:rsidRPr="00B04DC3" w:rsidRDefault="00DA59A4" w:rsidP="00DA59A4">
      <w:pPr>
        <w:pStyle w:val="para"/>
        <w:rPr>
          <w:lang w:val="en-GB"/>
        </w:rPr>
      </w:pPr>
      <w:r w:rsidRPr="00B04DC3">
        <w:rPr>
          <w:lang w:val="en-GB"/>
        </w:rPr>
        <w:t>2.1.1.</w:t>
      </w:r>
      <w:r w:rsidRPr="00B04DC3">
        <w:rPr>
          <w:lang w:val="en-GB"/>
        </w:rPr>
        <w:tab/>
        <w:t>The absolute temperature (T</w:t>
      </w:r>
      <w:r w:rsidRPr="00B04DC3">
        <w:rPr>
          <w:vertAlign w:val="subscript"/>
          <w:lang w:val="en-GB"/>
        </w:rPr>
        <w:t>a</w:t>
      </w:r>
      <w:r w:rsidRPr="00B04DC3">
        <w:rPr>
          <w:lang w:val="en-GB"/>
        </w:rPr>
        <w:t>) of the engine air at the inlet to the engine expressed in Kelvin, and the dry atmospheric pressure (p</w:t>
      </w:r>
      <w:r w:rsidRPr="00B04DC3">
        <w:rPr>
          <w:vertAlign w:val="subscript"/>
          <w:lang w:val="en-GB"/>
        </w:rPr>
        <w:t>s</w:t>
      </w:r>
      <w:r w:rsidRPr="00B04DC3">
        <w:rPr>
          <w:lang w:val="en-GB"/>
        </w:rPr>
        <w:t>), expressed in kPa shall be measured and the parameter f</w:t>
      </w:r>
      <w:r w:rsidRPr="00B04DC3">
        <w:rPr>
          <w:vertAlign w:val="subscript"/>
          <w:lang w:val="en-GB"/>
        </w:rPr>
        <w:t>a</w:t>
      </w:r>
      <w:r w:rsidRPr="00B04DC3">
        <w:rPr>
          <w:lang w:val="en-GB"/>
        </w:rPr>
        <w:t xml:space="preserve"> shall be determined according to the following provisions. In multi-cylinder engines having distinct groups of intake manifolds, for example, in a "V" engine configuration, the average temperature of the distinct groups shall be taken.</w:t>
      </w:r>
    </w:p>
    <w:p w:rsidR="00C2508C" w:rsidRPr="00B04DC3" w:rsidRDefault="00C2508C" w:rsidP="00C2508C">
      <w:pPr>
        <w:keepNext/>
        <w:keepLines/>
        <w:tabs>
          <w:tab w:val="decimal" w:pos="567"/>
        </w:tabs>
        <w:spacing w:after="120"/>
        <w:ind w:left="2835" w:right="1134" w:hanging="567"/>
        <w:jc w:val="both"/>
      </w:pPr>
      <w:r w:rsidRPr="00B04DC3">
        <w:t>(a)</w:t>
      </w:r>
      <w:r w:rsidRPr="00B04DC3">
        <w:tab/>
        <w:t>For compression-ignition and dual-fuel engines:</w:t>
      </w:r>
    </w:p>
    <w:p w:rsidR="00DA59A4" w:rsidRPr="00B04DC3" w:rsidRDefault="00DA59A4" w:rsidP="00DA59A4">
      <w:pPr>
        <w:pStyle w:val="a"/>
        <w:rPr>
          <w:lang w:val="en-GB"/>
        </w:rPr>
      </w:pPr>
      <w:r w:rsidRPr="00B04DC3">
        <w:rPr>
          <w:lang w:val="en-GB"/>
        </w:rPr>
        <w:tab/>
      </w:r>
      <w:r w:rsidRPr="00B04DC3">
        <w:rPr>
          <w:lang w:val="en-GB"/>
        </w:rPr>
        <w:tab/>
        <w:t>Naturally aspirated and mechanically supercharged engines:</w:t>
      </w:r>
    </w:p>
    <w:p w:rsidR="00DA59A4" w:rsidRPr="00B04DC3" w:rsidRDefault="00DA59A4" w:rsidP="00DA59A4">
      <w:pPr>
        <w:pStyle w:val="NormalCentered"/>
        <w:numPr>
          <w:ilvl w:val="0"/>
          <w:numId w:val="0"/>
        </w:numPr>
        <w:tabs>
          <w:tab w:val="left" w:pos="567"/>
          <w:tab w:val="left" w:pos="1134"/>
          <w:tab w:val="left" w:pos="1701"/>
        </w:tabs>
        <w:spacing w:before="0" w:after="0"/>
        <w:jc w:val="both"/>
      </w:pPr>
      <w:r w:rsidRPr="00B04DC3">
        <w:tab/>
      </w:r>
      <w:r w:rsidRPr="00B04DC3">
        <w:tab/>
      </w:r>
      <w:r w:rsidRPr="00B04DC3">
        <w:tab/>
      </w:r>
      <w:r w:rsidRPr="00B04DC3">
        <w:tab/>
      </w:r>
      <w:r w:rsidRPr="00B04DC3">
        <w:tab/>
      </w:r>
      <w:r w:rsidR="001F2236" w:rsidRPr="00B04DC3">
        <w:rPr>
          <w:position w:val="-32"/>
        </w:rPr>
        <w:object w:dxaOrig="2299" w:dyaOrig="760">
          <v:shape id="_x0000_i1057" type="#_x0000_t75" style="width:114.6pt;height:38.4pt" o:ole="">
            <v:imagedata r:id="rId98" o:title=""/>
          </v:shape>
          <o:OLEObject Type="Embed" ProgID="Equation.3" ShapeID="_x0000_i1057" DrawAspect="Content" ObjectID="_1498392233" r:id="rId99"/>
        </w:object>
      </w:r>
    </w:p>
    <w:p w:rsidR="00DA59A4" w:rsidRPr="00B04DC3" w:rsidRDefault="00DA59A4" w:rsidP="00AA0E48">
      <w:pPr>
        <w:pStyle w:val="a"/>
        <w:keepNext/>
        <w:keepLines/>
        <w:spacing w:before="240"/>
        <w:rPr>
          <w:lang w:val="en-GB"/>
        </w:rPr>
      </w:pPr>
      <w:r w:rsidRPr="00B04DC3">
        <w:rPr>
          <w:lang w:val="en-GB"/>
        </w:rPr>
        <w:tab/>
      </w:r>
      <w:r w:rsidRPr="00B04DC3">
        <w:rPr>
          <w:lang w:val="en-GB"/>
        </w:rPr>
        <w:tab/>
        <w:t>Turbocharged engines with or without cooling of the intake air:</w:t>
      </w:r>
    </w:p>
    <w:p w:rsidR="00DA59A4" w:rsidRPr="00B04DC3" w:rsidRDefault="00DA59A4" w:rsidP="00DA59A4">
      <w:pPr>
        <w:pStyle w:val="NormalCentered"/>
        <w:numPr>
          <w:ilvl w:val="0"/>
          <w:numId w:val="0"/>
        </w:numPr>
        <w:tabs>
          <w:tab w:val="left" w:pos="567"/>
          <w:tab w:val="left" w:pos="1134"/>
          <w:tab w:val="left" w:pos="1701"/>
        </w:tabs>
        <w:spacing w:before="0"/>
        <w:jc w:val="both"/>
      </w:pPr>
      <w:r w:rsidRPr="00B04DC3">
        <w:tab/>
      </w:r>
      <w:r w:rsidRPr="00B04DC3">
        <w:tab/>
      </w:r>
      <w:r w:rsidRPr="00B04DC3">
        <w:tab/>
      </w:r>
      <w:r w:rsidRPr="00B04DC3">
        <w:tab/>
      </w:r>
      <w:r w:rsidRPr="00B04DC3">
        <w:tab/>
      </w:r>
      <w:r w:rsidR="00AA0E48" w:rsidRPr="00B04DC3">
        <w:rPr>
          <w:position w:val="-32"/>
        </w:rPr>
        <w:object w:dxaOrig="2480" w:dyaOrig="900">
          <v:shape id="_x0000_i1058" type="#_x0000_t75" style="width:108.6pt;height:39.6pt" o:ole="">
            <v:imagedata r:id="rId100" o:title=""/>
          </v:shape>
          <o:OLEObject Type="Embed" ProgID="Equation.3" ShapeID="_x0000_i1058" DrawAspect="Content" ObjectID="_1498392234" r:id="rId101"/>
        </w:object>
      </w:r>
    </w:p>
    <w:p w:rsidR="00DA59A4" w:rsidRPr="00B04DC3" w:rsidRDefault="00DA59A4" w:rsidP="00DA59A4">
      <w:pPr>
        <w:pStyle w:val="a"/>
        <w:rPr>
          <w:lang w:val="en-GB"/>
        </w:rPr>
      </w:pPr>
      <w:r w:rsidRPr="00B04DC3">
        <w:rPr>
          <w:lang w:val="en-GB"/>
        </w:rPr>
        <w:t>(b)</w:t>
      </w:r>
      <w:r w:rsidRPr="00B04DC3">
        <w:rPr>
          <w:lang w:val="en-GB"/>
        </w:rPr>
        <w:tab/>
        <w:t>For spark-ignition engines:</w:t>
      </w:r>
    </w:p>
    <w:p w:rsidR="00DA59A4" w:rsidRPr="00B04DC3" w:rsidRDefault="00DA59A4" w:rsidP="00DA59A4">
      <w:pPr>
        <w:pStyle w:val="NormalCentered"/>
        <w:numPr>
          <w:ilvl w:val="0"/>
          <w:numId w:val="0"/>
        </w:numPr>
        <w:tabs>
          <w:tab w:val="left" w:pos="567"/>
          <w:tab w:val="left" w:pos="1134"/>
          <w:tab w:val="left" w:pos="1701"/>
        </w:tabs>
        <w:spacing w:before="0"/>
        <w:jc w:val="both"/>
      </w:pPr>
      <w:r w:rsidRPr="00B04DC3">
        <w:tab/>
      </w:r>
      <w:r w:rsidRPr="00B04DC3">
        <w:tab/>
      </w:r>
      <w:r w:rsidRPr="00B04DC3">
        <w:tab/>
      </w:r>
      <w:r w:rsidRPr="00B04DC3">
        <w:tab/>
      </w:r>
      <w:r w:rsidRPr="00B04DC3">
        <w:tab/>
      </w:r>
      <w:r w:rsidR="00AA0E48" w:rsidRPr="00B04DC3">
        <w:rPr>
          <w:position w:val="-32"/>
        </w:rPr>
        <w:object w:dxaOrig="2480" w:dyaOrig="900">
          <v:shape id="_x0000_i1059" type="#_x0000_t75" style="width:108.6pt;height:39.6pt" o:ole="">
            <v:imagedata r:id="rId102" o:title=""/>
          </v:shape>
          <o:OLEObject Type="Embed" ProgID="Equation.3" ShapeID="_x0000_i1059" DrawAspect="Content" ObjectID="_1498392235" r:id="rId103"/>
        </w:object>
      </w:r>
    </w:p>
    <w:p w:rsidR="00DA59A4" w:rsidRPr="00B04DC3" w:rsidRDefault="00DA59A4" w:rsidP="00DA59A4">
      <w:pPr>
        <w:pStyle w:val="para"/>
        <w:rPr>
          <w:lang w:val="en-GB"/>
        </w:rPr>
      </w:pPr>
      <w:r w:rsidRPr="00B04DC3">
        <w:rPr>
          <w:lang w:val="en-GB"/>
        </w:rPr>
        <w:t>2.1.2.</w:t>
      </w:r>
      <w:r w:rsidRPr="00B04DC3">
        <w:rPr>
          <w:lang w:val="en-GB"/>
        </w:rPr>
        <w:tab/>
        <w:t>Test validity</w:t>
      </w:r>
    </w:p>
    <w:p w:rsidR="00DA59A4" w:rsidRPr="00B04DC3" w:rsidRDefault="00DA59A4" w:rsidP="00DA59A4">
      <w:pPr>
        <w:pStyle w:val="para"/>
        <w:rPr>
          <w:lang w:val="en-GB"/>
        </w:rPr>
      </w:pPr>
      <w:r w:rsidRPr="00B04DC3">
        <w:rPr>
          <w:lang w:val="en-GB"/>
        </w:rPr>
        <w:tab/>
        <w:t>For a test to be recognized as valid, the parameter f</w:t>
      </w:r>
      <w:r w:rsidRPr="00B04DC3">
        <w:rPr>
          <w:vertAlign w:val="subscript"/>
          <w:lang w:val="en-GB"/>
        </w:rPr>
        <w:t>a</w:t>
      </w:r>
      <w:r w:rsidRPr="00B04DC3">
        <w:rPr>
          <w:lang w:val="en-GB"/>
        </w:rPr>
        <w:t xml:space="preserve"> shall be such that:</w:t>
      </w:r>
    </w:p>
    <w:p w:rsidR="00DA59A4" w:rsidRPr="00B04DC3" w:rsidRDefault="00DA59A4" w:rsidP="00DA59A4">
      <w:pPr>
        <w:pStyle w:val="para"/>
        <w:ind w:firstLine="0"/>
        <w:rPr>
          <w:lang w:val="en-GB"/>
        </w:rPr>
      </w:pPr>
      <w:r w:rsidRPr="00B04DC3">
        <w:rPr>
          <w:lang w:val="en-GB"/>
        </w:rPr>
        <w:t xml:space="preserve">0.96 </w:t>
      </w:r>
      <w:r w:rsidRPr="00B04DC3">
        <w:rPr>
          <w:lang w:val="en-GB"/>
        </w:rPr>
        <w:sym w:font="Symbol" w:char="F0A3"/>
      </w:r>
      <w:r w:rsidRPr="00B04DC3">
        <w:rPr>
          <w:lang w:val="en-GB"/>
        </w:rPr>
        <w:t xml:space="preserve"> f</w:t>
      </w:r>
      <w:r w:rsidRPr="00B04DC3">
        <w:rPr>
          <w:vertAlign w:val="subscript"/>
          <w:lang w:val="en-GB"/>
        </w:rPr>
        <w:t>a</w:t>
      </w:r>
      <w:r w:rsidRPr="00B04DC3">
        <w:rPr>
          <w:lang w:val="en-GB"/>
        </w:rPr>
        <w:t xml:space="preserve"> </w:t>
      </w:r>
      <w:r w:rsidRPr="00B04DC3">
        <w:rPr>
          <w:lang w:val="en-GB"/>
        </w:rPr>
        <w:sym w:font="Symbol" w:char="F0A3"/>
      </w:r>
      <w:r w:rsidRPr="00B04DC3">
        <w:rPr>
          <w:lang w:val="en-GB"/>
        </w:rPr>
        <w:t xml:space="preserve"> 1.06</w:t>
      </w:r>
    </w:p>
    <w:p w:rsidR="00DA59A4" w:rsidRPr="00B04DC3" w:rsidRDefault="00DA59A4" w:rsidP="00DA59A4">
      <w:pPr>
        <w:pStyle w:val="para"/>
        <w:rPr>
          <w:lang w:val="en-GB"/>
        </w:rPr>
      </w:pPr>
      <w:r w:rsidRPr="00B04DC3">
        <w:rPr>
          <w:lang w:val="en-GB"/>
        </w:rPr>
        <w:t>2.2.</w:t>
      </w:r>
      <w:r w:rsidRPr="00B04DC3">
        <w:rPr>
          <w:lang w:val="en-GB"/>
        </w:rPr>
        <w:tab/>
        <w:t>Engines with charge air cooling</w:t>
      </w:r>
    </w:p>
    <w:p w:rsidR="00DA59A4" w:rsidRPr="00B04DC3" w:rsidRDefault="00DA59A4" w:rsidP="00DA59A4">
      <w:pPr>
        <w:pStyle w:val="para"/>
        <w:rPr>
          <w:lang w:val="en-GB"/>
        </w:rPr>
      </w:pPr>
      <w:r w:rsidRPr="00B04DC3">
        <w:rPr>
          <w:lang w:val="en-GB"/>
        </w:rPr>
        <w:tab/>
        <w:t>The charge air temperature shall be recorded and shall be, at the speed of the declared maximum power and full load, within ±5 K of the maximum charge air temperature specified in Annex 1, Appendix 1, paragraph 1.16.3. The temperature of the cooling medium shall be at least 293 K (20 °C).</w:t>
      </w:r>
    </w:p>
    <w:p w:rsidR="00DA59A4" w:rsidRPr="00B04DC3" w:rsidRDefault="00DA59A4" w:rsidP="00DA59A4">
      <w:pPr>
        <w:pStyle w:val="para"/>
        <w:rPr>
          <w:lang w:val="en-GB"/>
        </w:rPr>
      </w:pPr>
      <w:r w:rsidRPr="00B04DC3">
        <w:rPr>
          <w:lang w:val="en-GB"/>
        </w:rPr>
        <w:tab/>
        <w:t>If a test shop system or external blower is used, the charge air temperature shall be within ±5 K of the maximum charge air temperature specified in Annex 1, Appendix 1, paragraph 1.16.3. at the speed of the declared maximum power and full load. The setting of the charge air cooler for meeting the above conditions shall be used for the whole test cycle.</w:t>
      </w:r>
    </w:p>
    <w:p w:rsidR="00DA59A4" w:rsidRPr="00B04DC3" w:rsidRDefault="00DA59A4" w:rsidP="00DA59A4">
      <w:pPr>
        <w:pStyle w:val="para"/>
        <w:rPr>
          <w:lang w:val="en-GB"/>
        </w:rPr>
      </w:pPr>
      <w:r w:rsidRPr="00B04DC3">
        <w:rPr>
          <w:lang w:val="en-GB"/>
        </w:rPr>
        <w:t>2.3.</w:t>
      </w:r>
      <w:r w:rsidRPr="00B04DC3">
        <w:rPr>
          <w:lang w:val="en-GB"/>
        </w:rPr>
        <w:tab/>
        <w:t>Engine air intake system</w:t>
      </w:r>
    </w:p>
    <w:p w:rsidR="00DA59A4" w:rsidRPr="00B04DC3" w:rsidRDefault="00DA59A4" w:rsidP="00DA59A4">
      <w:pPr>
        <w:pStyle w:val="para"/>
        <w:rPr>
          <w:lang w:val="en-GB"/>
        </w:rPr>
      </w:pPr>
      <w:r w:rsidRPr="00B04DC3">
        <w:rPr>
          <w:lang w:val="en-GB"/>
        </w:rPr>
        <w:tab/>
        <w:t>An engine air intake system shall be used presenting an air intake restriction within ±100 Pa of the upper limit of the engine operating at the speed at the declared maximum power and full load.</w:t>
      </w:r>
    </w:p>
    <w:p w:rsidR="00DA59A4" w:rsidRPr="00B04DC3" w:rsidRDefault="00DA59A4" w:rsidP="00DA59A4">
      <w:pPr>
        <w:pStyle w:val="para"/>
        <w:rPr>
          <w:lang w:val="en-GB"/>
        </w:rPr>
      </w:pPr>
      <w:r w:rsidRPr="00B04DC3">
        <w:rPr>
          <w:lang w:val="en-GB"/>
        </w:rPr>
        <w:t>2.4.</w:t>
      </w:r>
      <w:r w:rsidRPr="00B04DC3">
        <w:rPr>
          <w:lang w:val="en-GB"/>
        </w:rPr>
        <w:tab/>
        <w:t>Engine exhaust system</w:t>
      </w:r>
    </w:p>
    <w:p w:rsidR="00DA59A4" w:rsidRPr="00B04DC3" w:rsidRDefault="00DA59A4" w:rsidP="00DA59A4">
      <w:pPr>
        <w:pStyle w:val="para"/>
        <w:rPr>
          <w:lang w:val="en-GB"/>
        </w:rPr>
      </w:pPr>
      <w:r w:rsidRPr="00B04DC3">
        <w:rPr>
          <w:lang w:val="en-GB"/>
        </w:rPr>
        <w:tab/>
        <w:t>An exhaust system shall be used presenting an exhaust back pressure within ±1,000 Pa of the upper limit of the engine operating at the speed of declared maximum power and full load and a volume within ±40 per cent of that specified by the manufacturer. A test shop system may be used, provided it represents actual engine operating conditions. The exhaust system shall conform to the requirements for exhaust gas sampling, as set out in paragraph 3.4. of Appendix 4 to this annex, and in Appendix 7, paragraph 2.2.1., EP exhaust pipe and paragraph 2.3.1., EP exhaust pipe.</w:t>
      </w:r>
    </w:p>
    <w:p w:rsidR="00DA59A4" w:rsidRPr="00B04DC3" w:rsidRDefault="00DA59A4" w:rsidP="00DA59A4">
      <w:pPr>
        <w:pStyle w:val="para"/>
        <w:rPr>
          <w:lang w:val="en-GB"/>
        </w:rPr>
      </w:pPr>
      <w:r w:rsidRPr="00B04DC3">
        <w:rPr>
          <w:lang w:val="en-GB"/>
        </w:rPr>
        <w:tab/>
        <w:t xml:space="preserve">If the engine is equipped with an exhaust </w:t>
      </w:r>
      <w:r w:rsidR="006A75A0">
        <w:rPr>
          <w:lang w:val="en-GB"/>
        </w:rPr>
        <w:t>after-treatment</w:t>
      </w:r>
      <w:r w:rsidRPr="00B04DC3">
        <w:rPr>
          <w:lang w:val="en-GB"/>
        </w:rPr>
        <w:t xml:space="preserve"> device, the exhaust pipe shall have the same diameter as found in-use for at least 4 pipe diameters upstream to the inlet of the beginning of the expansion section containing the </w:t>
      </w:r>
      <w:r w:rsidR="006A75A0">
        <w:rPr>
          <w:lang w:val="en-GB"/>
        </w:rPr>
        <w:t>after-treatment</w:t>
      </w:r>
      <w:r w:rsidRPr="00B04DC3">
        <w:rPr>
          <w:lang w:val="en-GB"/>
        </w:rPr>
        <w:t xml:space="preserve"> device. The distance from the exhaust manifold flange or turbocharger outlet to the exhaust </w:t>
      </w:r>
      <w:r w:rsidR="006A75A0">
        <w:rPr>
          <w:lang w:val="en-GB"/>
        </w:rPr>
        <w:t>after-treatmentafter-treatment</w:t>
      </w:r>
      <w:r w:rsidRPr="00B04DC3">
        <w:rPr>
          <w:lang w:val="en-GB"/>
        </w:rPr>
        <w:t xml:space="preserve"> device shall be the same as in the vehicle configuration or within the distance specifications of the manufacturer. The exhaust backpressure or restriction shall follow the same criteria as above, and may be set with a valve. The </w:t>
      </w:r>
      <w:r w:rsidR="006A75A0">
        <w:rPr>
          <w:lang w:val="en-GB"/>
        </w:rPr>
        <w:t>after-treatmentafter-treatment</w:t>
      </w:r>
      <w:r w:rsidRPr="00B04DC3">
        <w:rPr>
          <w:lang w:val="en-GB"/>
        </w:rPr>
        <w:t xml:space="preserve"> container may be removed during dummy tests and during engine mapping, and replaced with an equivalent container having an inactive catalyst support.</w:t>
      </w:r>
    </w:p>
    <w:p w:rsidR="00DA59A4" w:rsidRPr="00B04DC3" w:rsidRDefault="00DA59A4" w:rsidP="00DA59A4">
      <w:pPr>
        <w:pStyle w:val="para"/>
        <w:rPr>
          <w:lang w:val="en-GB"/>
        </w:rPr>
      </w:pPr>
      <w:r w:rsidRPr="00B04DC3">
        <w:rPr>
          <w:lang w:val="en-GB"/>
        </w:rPr>
        <w:t>2.5.</w:t>
      </w:r>
      <w:r w:rsidRPr="00B04DC3">
        <w:rPr>
          <w:lang w:val="en-GB"/>
        </w:rPr>
        <w:tab/>
        <w:t>Cooling system</w:t>
      </w:r>
    </w:p>
    <w:p w:rsidR="00DA59A4" w:rsidRPr="00B04DC3" w:rsidRDefault="00DA59A4" w:rsidP="00DA59A4">
      <w:pPr>
        <w:pStyle w:val="para"/>
        <w:rPr>
          <w:lang w:val="en-GB"/>
        </w:rPr>
      </w:pPr>
      <w:r w:rsidRPr="00B04DC3">
        <w:rPr>
          <w:lang w:val="en-GB"/>
        </w:rPr>
        <w:tab/>
        <w:t>An engine cooling system with sufficient capacity to maintain the engine at normal operating temperatures prescribed by the manufacturer shall be used.</w:t>
      </w:r>
    </w:p>
    <w:p w:rsidR="00DA59A4" w:rsidRPr="00B04DC3" w:rsidRDefault="00DA59A4" w:rsidP="00DA59A4">
      <w:pPr>
        <w:pStyle w:val="para"/>
        <w:rPr>
          <w:lang w:val="en-GB"/>
        </w:rPr>
      </w:pPr>
      <w:r w:rsidRPr="00B04DC3">
        <w:rPr>
          <w:lang w:val="en-GB"/>
        </w:rPr>
        <w:t>2.6.</w:t>
      </w:r>
      <w:r w:rsidRPr="00B04DC3">
        <w:rPr>
          <w:lang w:val="en-GB"/>
        </w:rPr>
        <w:tab/>
        <w:t>Lubricating oil</w:t>
      </w:r>
    </w:p>
    <w:p w:rsidR="00DA59A4" w:rsidRPr="00B04DC3" w:rsidRDefault="00DA59A4" w:rsidP="00DA59A4">
      <w:pPr>
        <w:pStyle w:val="para"/>
        <w:rPr>
          <w:lang w:val="en-GB"/>
        </w:rPr>
      </w:pPr>
      <w:r w:rsidRPr="00B04DC3">
        <w:rPr>
          <w:lang w:val="en-GB"/>
        </w:rPr>
        <w:tab/>
        <w:t>Specifications of the lubricating oil used for the test shall be recorded and presented with the results of the test, as specified in Annex 1, Appendix 1, paragraph 7.1.</w:t>
      </w:r>
    </w:p>
    <w:p w:rsidR="00DA59A4" w:rsidRPr="00B04DC3" w:rsidRDefault="00DA59A4" w:rsidP="00DA59A4">
      <w:pPr>
        <w:pStyle w:val="para"/>
        <w:rPr>
          <w:lang w:val="en-GB"/>
        </w:rPr>
      </w:pPr>
      <w:r w:rsidRPr="00B04DC3">
        <w:rPr>
          <w:lang w:val="en-GB"/>
        </w:rPr>
        <w:t>2.7.</w:t>
      </w:r>
      <w:r w:rsidRPr="00B04DC3">
        <w:rPr>
          <w:lang w:val="en-GB"/>
        </w:rPr>
        <w:tab/>
        <w:t>Fuel</w:t>
      </w:r>
    </w:p>
    <w:p w:rsidR="00DA59A4" w:rsidRPr="00B04DC3" w:rsidRDefault="00DA59A4" w:rsidP="00DA59A4">
      <w:pPr>
        <w:pStyle w:val="para"/>
        <w:rPr>
          <w:lang w:val="en-GB"/>
        </w:rPr>
      </w:pPr>
      <w:r w:rsidRPr="00B04DC3">
        <w:rPr>
          <w:lang w:val="en-GB"/>
        </w:rPr>
        <w:tab/>
        <w:t>The fuel shall be the reference fuel specified in Annex 5.</w:t>
      </w:r>
    </w:p>
    <w:p w:rsidR="00DA59A4" w:rsidRPr="00B04DC3" w:rsidRDefault="00DA59A4" w:rsidP="00DA59A4">
      <w:pPr>
        <w:pStyle w:val="para"/>
        <w:rPr>
          <w:lang w:val="en-GB"/>
        </w:rPr>
      </w:pPr>
      <w:r w:rsidRPr="00B04DC3">
        <w:rPr>
          <w:lang w:val="en-GB"/>
        </w:rPr>
        <w:tab/>
        <w:t>The fuel temperature and measuring point shall be specified by the manufacturer within the limits given in Annex 1, Appendix 1, paragraph 1.16.5. The fuel temperature shall not be lower than 306 K (33 °C). If not specified, it shall be 311 K ± 5 K (38 °C ± 5 °C) at the inlet to the fuel supply.</w:t>
      </w:r>
    </w:p>
    <w:p w:rsidR="00DA59A4" w:rsidRPr="00B04DC3" w:rsidRDefault="00DA59A4" w:rsidP="00DA59A4">
      <w:pPr>
        <w:pStyle w:val="para"/>
        <w:rPr>
          <w:lang w:val="en-GB"/>
        </w:rPr>
      </w:pPr>
      <w:r w:rsidRPr="00B04DC3">
        <w:rPr>
          <w:lang w:val="en-GB"/>
        </w:rPr>
        <w:tab/>
        <w:t>For NG and LPG fuelled engines, the fuel temperature and measuring point shall be within the limits given in Annex 1, paragraph 1.16.5. or in Annex 1, Appendix 3, paragraph 1.16.5. in cases where the engine is not a parent engine.</w:t>
      </w:r>
    </w:p>
    <w:p w:rsidR="00DA59A4" w:rsidRPr="00B04DC3" w:rsidRDefault="00DA59A4" w:rsidP="00DA59A4">
      <w:pPr>
        <w:pStyle w:val="para"/>
        <w:rPr>
          <w:lang w:val="en-GB"/>
        </w:rPr>
      </w:pPr>
      <w:r w:rsidRPr="00B04DC3">
        <w:rPr>
          <w:lang w:val="en-GB"/>
        </w:rPr>
        <w:t>2.8.</w:t>
      </w:r>
      <w:r w:rsidRPr="00B04DC3">
        <w:rPr>
          <w:lang w:val="en-GB"/>
        </w:rPr>
        <w:tab/>
        <w:t xml:space="preserve">Testing of exhaust </w:t>
      </w:r>
      <w:r w:rsidR="006A75A0">
        <w:rPr>
          <w:lang w:val="en-GB"/>
        </w:rPr>
        <w:t>after-treatmentafter-treatment</w:t>
      </w:r>
      <w:r w:rsidRPr="00B04DC3">
        <w:rPr>
          <w:lang w:val="en-GB"/>
        </w:rPr>
        <w:t xml:space="preserve"> systems</w:t>
      </w:r>
    </w:p>
    <w:p w:rsidR="00DA59A4" w:rsidRPr="00B04DC3" w:rsidRDefault="00DA59A4" w:rsidP="00DA59A4">
      <w:pPr>
        <w:pStyle w:val="para"/>
        <w:rPr>
          <w:lang w:val="en-GB"/>
        </w:rPr>
      </w:pPr>
      <w:r w:rsidRPr="00B04DC3">
        <w:rPr>
          <w:lang w:val="en-GB"/>
        </w:rPr>
        <w:tab/>
        <w:t xml:space="preserve">If the engine is equipped with an exhaust </w:t>
      </w:r>
      <w:r w:rsidR="006A75A0">
        <w:rPr>
          <w:lang w:val="en-GB"/>
        </w:rPr>
        <w:t>after-treatment</w:t>
      </w:r>
      <w:r w:rsidRPr="00B04DC3">
        <w:rPr>
          <w:lang w:val="en-GB"/>
        </w:rPr>
        <w:t xml:space="preserve"> system, the emissions measured on the test cycle shall be representative of the emissions in the field. In the case of an engine equipped with a exhaust </w:t>
      </w:r>
      <w:r w:rsidR="006A75A0">
        <w:rPr>
          <w:lang w:val="en-GB"/>
        </w:rPr>
        <w:t>after-treatment</w:t>
      </w:r>
      <w:r w:rsidRPr="00B04DC3">
        <w:rPr>
          <w:lang w:val="en-GB"/>
        </w:rPr>
        <w:t xml:space="preserve"> system that requires the consumption of a reagent, the reagent used for all tests shall comply with Annex 1, Appendix 1, paragraph 2.2.1.13.</w:t>
      </w:r>
    </w:p>
    <w:p w:rsidR="00DA59A4" w:rsidRPr="00B04DC3" w:rsidRDefault="00DA59A4" w:rsidP="00DA59A4">
      <w:pPr>
        <w:pStyle w:val="para"/>
        <w:rPr>
          <w:lang w:val="en-GB"/>
        </w:rPr>
      </w:pPr>
      <w:r w:rsidRPr="00B04DC3">
        <w:rPr>
          <w:lang w:val="en-GB"/>
        </w:rPr>
        <w:t>2.8.1.</w:t>
      </w:r>
      <w:r w:rsidRPr="00B04DC3">
        <w:rPr>
          <w:lang w:val="en-GB"/>
        </w:rPr>
        <w:tab/>
        <w:t xml:space="preserve">For an exhaust </w:t>
      </w:r>
      <w:r w:rsidR="006A75A0">
        <w:rPr>
          <w:lang w:val="en-GB"/>
        </w:rPr>
        <w:t>after-treatment</w:t>
      </w:r>
      <w:r w:rsidRPr="00B04DC3">
        <w:rPr>
          <w:lang w:val="en-GB"/>
        </w:rPr>
        <w:t xml:space="preserve"> system based on a continuous regeneration process the emissions shall be measured on a stabilized </w:t>
      </w:r>
      <w:r w:rsidR="006A75A0">
        <w:rPr>
          <w:lang w:val="en-GB"/>
        </w:rPr>
        <w:t>after-treatment</w:t>
      </w:r>
      <w:r w:rsidRPr="00B04DC3">
        <w:rPr>
          <w:lang w:val="en-GB"/>
        </w:rPr>
        <w:t xml:space="preserve"> system.</w:t>
      </w:r>
    </w:p>
    <w:p w:rsidR="00DA59A4" w:rsidRPr="00B04DC3" w:rsidRDefault="00DA59A4" w:rsidP="00DA59A4">
      <w:pPr>
        <w:pStyle w:val="para"/>
        <w:rPr>
          <w:lang w:val="en-GB"/>
        </w:rPr>
      </w:pPr>
      <w:r w:rsidRPr="00B04DC3">
        <w:rPr>
          <w:lang w:val="en-GB"/>
        </w:rPr>
        <w:tab/>
        <w:t>The regeneration process shall occur at least once during the ETC test and the manufacturer shall declare the normal conditions under which regeneration occurs (soot load, temperature, exhaust back-pressure, etc).</w:t>
      </w:r>
    </w:p>
    <w:p w:rsidR="00DA59A4" w:rsidRPr="00B04DC3" w:rsidRDefault="00DA59A4" w:rsidP="00DA59A4">
      <w:pPr>
        <w:pStyle w:val="para"/>
        <w:rPr>
          <w:lang w:val="en-GB"/>
        </w:rPr>
      </w:pPr>
      <w:r w:rsidRPr="00B04DC3">
        <w:rPr>
          <w:lang w:val="en-GB"/>
        </w:rPr>
        <w:tab/>
        <w:t xml:space="preserve">In order to verify the regeneration process at least five ETC tests shall be conducted. During the tests the exhaust temperature and pressure shall be recorded (temperature before and after the </w:t>
      </w:r>
      <w:r w:rsidR="006A75A0">
        <w:rPr>
          <w:lang w:val="en-GB"/>
        </w:rPr>
        <w:t>after-treatment</w:t>
      </w:r>
      <w:r w:rsidRPr="00B04DC3">
        <w:rPr>
          <w:lang w:val="en-GB"/>
        </w:rPr>
        <w:t xml:space="preserve"> system, exhaust back pressure, etc).</w:t>
      </w:r>
    </w:p>
    <w:p w:rsidR="00DA59A4" w:rsidRPr="00B04DC3" w:rsidRDefault="00DA59A4" w:rsidP="00DA59A4">
      <w:pPr>
        <w:pStyle w:val="para"/>
        <w:rPr>
          <w:lang w:val="en-GB"/>
        </w:rPr>
      </w:pPr>
      <w:r w:rsidRPr="00B04DC3">
        <w:rPr>
          <w:lang w:val="en-GB"/>
        </w:rPr>
        <w:tab/>
        <w:t xml:space="preserve">The </w:t>
      </w:r>
      <w:r w:rsidR="006A75A0">
        <w:rPr>
          <w:lang w:val="en-GB"/>
        </w:rPr>
        <w:t>after-treatment</w:t>
      </w:r>
      <w:r w:rsidRPr="00B04DC3">
        <w:rPr>
          <w:lang w:val="en-GB"/>
        </w:rPr>
        <w:t xml:space="preserve"> system is considered to be satisfactory if the conditions declared by the manufacturer occur during the test during a sufficient time.</w:t>
      </w:r>
    </w:p>
    <w:p w:rsidR="00DA59A4" w:rsidRPr="00B04DC3" w:rsidRDefault="00DA59A4" w:rsidP="00DA59A4">
      <w:pPr>
        <w:pStyle w:val="para"/>
        <w:rPr>
          <w:lang w:val="en-GB"/>
        </w:rPr>
      </w:pPr>
      <w:r w:rsidRPr="00B04DC3">
        <w:rPr>
          <w:lang w:val="en-GB"/>
        </w:rPr>
        <w:tab/>
        <w:t>The final test result shall be the arithmetic mean of the different ETC test results.</w:t>
      </w:r>
    </w:p>
    <w:p w:rsidR="00DA59A4" w:rsidRPr="00B04DC3" w:rsidRDefault="00DA59A4" w:rsidP="00DA59A4">
      <w:pPr>
        <w:pStyle w:val="para"/>
        <w:rPr>
          <w:lang w:val="en-GB"/>
        </w:rPr>
      </w:pPr>
      <w:r w:rsidRPr="00B04DC3">
        <w:rPr>
          <w:lang w:val="en-GB"/>
        </w:rPr>
        <w:tab/>
        <w:t xml:space="preserve">If the exhaust </w:t>
      </w:r>
      <w:r w:rsidR="006A75A0">
        <w:rPr>
          <w:lang w:val="en-GB"/>
        </w:rPr>
        <w:t>after-treatment</w:t>
      </w:r>
      <w:r w:rsidRPr="00B04DC3">
        <w:rPr>
          <w:lang w:val="en-GB"/>
        </w:rPr>
        <w:t xml:space="preserve"> has a security mode that shifts to a periodic regeneration mode it should be checked following paragraph 2.8.2. For that specific case the emission limits in </w:t>
      </w:r>
      <w:r w:rsidR="006A75A0">
        <w:rPr>
          <w:lang w:val="en-GB"/>
        </w:rPr>
        <w:t>T</w:t>
      </w:r>
      <w:r w:rsidR="006A75A0" w:rsidRPr="00B04DC3">
        <w:rPr>
          <w:lang w:val="en-GB"/>
        </w:rPr>
        <w:t xml:space="preserve">able </w:t>
      </w:r>
      <w:r w:rsidRPr="00B04DC3">
        <w:rPr>
          <w:lang w:val="en-GB"/>
        </w:rPr>
        <w:t>2 of paragraph 5.2. could be exceeded and would not be weighted.</w:t>
      </w:r>
    </w:p>
    <w:p w:rsidR="00DA59A4" w:rsidRPr="00B04DC3" w:rsidRDefault="00DA59A4" w:rsidP="00AA0E48">
      <w:pPr>
        <w:pStyle w:val="para"/>
        <w:keepNext/>
        <w:keepLines/>
        <w:rPr>
          <w:lang w:val="en-GB"/>
        </w:rPr>
      </w:pPr>
      <w:r w:rsidRPr="00B04DC3">
        <w:rPr>
          <w:lang w:val="en-GB"/>
        </w:rPr>
        <w:t>2.8.2.</w:t>
      </w:r>
      <w:r w:rsidRPr="00B04DC3">
        <w:rPr>
          <w:lang w:val="en-GB"/>
        </w:rPr>
        <w:tab/>
        <w:t xml:space="preserve">For an exhaust </w:t>
      </w:r>
      <w:r w:rsidR="006A75A0">
        <w:rPr>
          <w:lang w:val="en-GB"/>
        </w:rPr>
        <w:t>after-treatment</w:t>
      </w:r>
      <w:r w:rsidRPr="00B04DC3">
        <w:rPr>
          <w:lang w:val="en-GB"/>
        </w:rPr>
        <w:t xml:space="preserve"> based on a periodic regeneration process, the emissions shall be measured on at least two ETC tests, one during and one outside a regeneration event on a stabilized </w:t>
      </w:r>
      <w:r w:rsidR="006A75A0">
        <w:rPr>
          <w:lang w:val="en-GB"/>
        </w:rPr>
        <w:t>after-treatment</w:t>
      </w:r>
      <w:r w:rsidRPr="00B04DC3">
        <w:rPr>
          <w:lang w:val="en-GB"/>
        </w:rPr>
        <w:t xml:space="preserve"> system, and the results be weighted.</w:t>
      </w:r>
    </w:p>
    <w:p w:rsidR="00DA59A4" w:rsidRPr="00B04DC3" w:rsidRDefault="00DA59A4" w:rsidP="00DA59A4">
      <w:pPr>
        <w:pStyle w:val="para"/>
        <w:rPr>
          <w:lang w:val="en-GB"/>
        </w:rPr>
      </w:pPr>
      <w:r w:rsidRPr="00B04DC3">
        <w:rPr>
          <w:lang w:val="en-GB"/>
        </w:rPr>
        <w:tab/>
        <w:t>The regeneration process shall occur at least once during the ETC test. The engine may be equipped with a switch capable of preventing or permitting the regeneration process provided this operation has no effect on the original engine calibration.</w:t>
      </w:r>
    </w:p>
    <w:p w:rsidR="00DA59A4" w:rsidRPr="00B04DC3" w:rsidRDefault="00DA59A4" w:rsidP="00DA59A4">
      <w:pPr>
        <w:pStyle w:val="para"/>
        <w:rPr>
          <w:lang w:val="en-GB"/>
        </w:rPr>
      </w:pPr>
      <w:r w:rsidRPr="00B04DC3">
        <w:rPr>
          <w:lang w:val="en-GB"/>
        </w:rPr>
        <w:tab/>
        <w:t>The manufacturer shall declare the normal parameter conditions under which the regeneration process occurs (soot load, temperature, exhaust back-pressure etc.) and its duration time (n2). The manufacturer shall also provide all the data to determine the time between two regenerations (n1). The exact procedure to determine this time shall be agreed by the Technical Service based upon good engineering judgement.</w:t>
      </w:r>
    </w:p>
    <w:p w:rsidR="00DA59A4" w:rsidRPr="00B04DC3" w:rsidRDefault="00DA59A4" w:rsidP="00DA59A4">
      <w:pPr>
        <w:pStyle w:val="para"/>
        <w:rPr>
          <w:lang w:val="en-GB"/>
        </w:rPr>
      </w:pPr>
      <w:r w:rsidRPr="00B04DC3">
        <w:rPr>
          <w:lang w:val="en-GB"/>
        </w:rPr>
        <w:tab/>
        <w:t xml:space="preserve">The manufacturer shall provide an </w:t>
      </w:r>
      <w:r w:rsidR="006A75A0">
        <w:rPr>
          <w:lang w:val="en-GB"/>
        </w:rPr>
        <w:t>after-treatment</w:t>
      </w:r>
      <w:r w:rsidRPr="00B04DC3">
        <w:rPr>
          <w:lang w:val="en-GB"/>
        </w:rPr>
        <w:t xml:space="preserve"> system that has been loaded in order to achieve regeneration during an ETC test. Regeneration shall not occur during this engine conditioning phase.</w:t>
      </w:r>
    </w:p>
    <w:p w:rsidR="00DA59A4" w:rsidRPr="00B04DC3" w:rsidRDefault="00DA59A4" w:rsidP="00DA59A4">
      <w:pPr>
        <w:pStyle w:val="para"/>
        <w:rPr>
          <w:lang w:val="en-GB"/>
        </w:rPr>
      </w:pPr>
      <w:r w:rsidRPr="00B04DC3">
        <w:rPr>
          <w:lang w:val="en-GB"/>
        </w:rPr>
        <w:tab/>
        <w:t>Average emissions between regeneration phases shall be determined from the arithmetic mean of several approximately equidistant ETC tests. It is recommended to run at least one ETC as close as possible prior to a regeneration test and one ETC immediately after a regeneration test. As an alternative, the manufacturer may provide data to show that the emissions remain constant (</w:t>
      </w:r>
      <w:r w:rsidRPr="00B04DC3">
        <w:rPr>
          <w:lang w:val="en-GB"/>
        </w:rPr>
        <w:sym w:font="Symbol" w:char="F0B1"/>
      </w:r>
      <w:r w:rsidRPr="00B04DC3">
        <w:rPr>
          <w:lang w:val="en-GB"/>
        </w:rPr>
        <w:t>15 per cent) between regeneration phases. In this case, the emissions of only one ETC test may be used.</w:t>
      </w:r>
    </w:p>
    <w:p w:rsidR="00DA59A4" w:rsidRPr="00B04DC3" w:rsidRDefault="00DA59A4" w:rsidP="00DA59A4">
      <w:pPr>
        <w:pStyle w:val="para"/>
        <w:rPr>
          <w:lang w:val="en-GB"/>
        </w:rPr>
      </w:pPr>
      <w:r w:rsidRPr="00B04DC3">
        <w:rPr>
          <w:lang w:val="en-GB"/>
        </w:rPr>
        <w:tab/>
        <w:t>During the regeneration test, all the data needed to detect regeneration shall be recorded (CO or NO</w:t>
      </w:r>
      <w:r w:rsidRPr="00B04DC3">
        <w:rPr>
          <w:vertAlign w:val="subscript"/>
          <w:lang w:val="en-GB"/>
        </w:rPr>
        <w:t>x</w:t>
      </w:r>
      <w:r w:rsidRPr="00B04DC3">
        <w:rPr>
          <w:lang w:val="en-GB"/>
        </w:rPr>
        <w:t xml:space="preserve"> emissions, temperature before and after the </w:t>
      </w:r>
      <w:r w:rsidR="006A75A0">
        <w:rPr>
          <w:lang w:val="en-GB"/>
        </w:rPr>
        <w:t>after-treatment</w:t>
      </w:r>
      <w:r w:rsidRPr="00B04DC3">
        <w:rPr>
          <w:lang w:val="en-GB"/>
        </w:rPr>
        <w:t xml:space="preserve"> system, exhaust back pressure etc).</w:t>
      </w:r>
    </w:p>
    <w:p w:rsidR="00DA59A4" w:rsidRPr="00B04DC3" w:rsidRDefault="00DA59A4" w:rsidP="00DA59A4">
      <w:pPr>
        <w:pStyle w:val="para"/>
        <w:rPr>
          <w:lang w:val="en-GB"/>
        </w:rPr>
      </w:pPr>
      <w:r w:rsidRPr="00B04DC3">
        <w:rPr>
          <w:lang w:val="en-GB"/>
        </w:rPr>
        <w:tab/>
        <w:t xml:space="preserve">During the regeneration process, the emission limits in </w:t>
      </w:r>
      <w:r w:rsidR="00350F5F">
        <w:rPr>
          <w:lang w:val="en-GB"/>
        </w:rPr>
        <w:t>T</w:t>
      </w:r>
      <w:r w:rsidR="00350F5F" w:rsidRPr="00B04DC3">
        <w:rPr>
          <w:lang w:val="en-GB"/>
        </w:rPr>
        <w:t xml:space="preserve">able </w:t>
      </w:r>
      <w:r w:rsidRPr="00B04DC3">
        <w:rPr>
          <w:lang w:val="en-GB"/>
        </w:rPr>
        <w:t>2 of paragraph 5.2. can be exceeded.</w:t>
      </w:r>
    </w:p>
    <w:p w:rsidR="00DA59A4" w:rsidRPr="00B04DC3" w:rsidRDefault="00DA59A4" w:rsidP="00DA59A4">
      <w:pPr>
        <w:pStyle w:val="para"/>
        <w:rPr>
          <w:lang w:val="en-GB"/>
        </w:rPr>
      </w:pPr>
      <w:r w:rsidRPr="00B04DC3">
        <w:rPr>
          <w:lang w:val="en-GB"/>
        </w:rPr>
        <w:tab/>
        <w:t xml:space="preserve">The measured emissions shall be weighted according to paragraphs 5.5. and 6.3. of Appendix 2 to this annex and the final result shall not exceed the limits in </w:t>
      </w:r>
      <w:r w:rsidR="00350F5F">
        <w:rPr>
          <w:lang w:val="en-GB"/>
        </w:rPr>
        <w:t>T</w:t>
      </w:r>
      <w:r w:rsidR="00350F5F" w:rsidRPr="00B04DC3">
        <w:rPr>
          <w:lang w:val="en-GB"/>
        </w:rPr>
        <w:t>able </w:t>
      </w:r>
      <w:r w:rsidRPr="00B04DC3">
        <w:rPr>
          <w:lang w:val="en-GB"/>
        </w:rPr>
        <w:t>2 of paragraph 5.2.</w:t>
      </w:r>
    </w:p>
    <w:p w:rsidR="00DA59A4" w:rsidRPr="00B04DC3" w:rsidRDefault="00DA59A4" w:rsidP="00DA59A4">
      <w:pPr>
        <w:pStyle w:val="NormalCentered"/>
        <w:numPr>
          <w:ilvl w:val="0"/>
          <w:numId w:val="0"/>
        </w:numPr>
        <w:spacing w:before="0" w:after="0"/>
        <w:jc w:val="left"/>
      </w:pPr>
    </w:p>
    <w:p w:rsidR="00DA59A4" w:rsidRPr="00B04DC3" w:rsidRDefault="00DA59A4" w:rsidP="00DA59A4">
      <w:pPr>
        <w:pStyle w:val="NormalCentered"/>
        <w:tabs>
          <w:tab w:val="clear" w:pos="709"/>
        </w:tabs>
        <w:spacing w:before="0" w:after="0"/>
        <w:ind w:left="0" w:firstLine="0"/>
        <w:jc w:val="left"/>
        <w:sectPr w:rsidR="00DA59A4" w:rsidRPr="00B04DC3" w:rsidSect="00DA59A4">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endnotePr>
            <w:numFmt w:val="decimal"/>
          </w:endnotePr>
          <w:pgSz w:w="11907" w:h="16840" w:code="9"/>
          <w:pgMar w:top="1701" w:right="1134" w:bottom="2268" w:left="1134" w:header="964" w:footer="1701" w:gutter="0"/>
          <w:cols w:space="720"/>
          <w:titlePg/>
          <w:docGrid w:linePitch="272"/>
        </w:sectPr>
      </w:pPr>
    </w:p>
    <w:p w:rsidR="00DA59A4" w:rsidRPr="00B04DC3" w:rsidRDefault="00DA59A4" w:rsidP="00DA59A4">
      <w:pPr>
        <w:pStyle w:val="HChG"/>
      </w:pPr>
      <w:bookmarkStart w:id="171" w:name="_Toc423599508"/>
      <w:bookmarkStart w:id="172" w:name="_Toc423610916"/>
      <w:r w:rsidRPr="00B04DC3">
        <w:t>Annex 4A</w:t>
      </w:r>
      <w:r w:rsidR="00260B82">
        <w:t xml:space="preserve"> - </w:t>
      </w:r>
      <w:r w:rsidRPr="00B04DC3">
        <w:t>Appendix 1</w:t>
      </w:r>
      <w:bookmarkEnd w:id="171"/>
      <w:bookmarkEnd w:id="172"/>
    </w:p>
    <w:p w:rsidR="00DA59A4" w:rsidRPr="00B04DC3" w:rsidRDefault="00DA59A4" w:rsidP="00DA59A4">
      <w:pPr>
        <w:pStyle w:val="HChG"/>
      </w:pPr>
      <w:r w:rsidRPr="00B04DC3">
        <w:tab/>
      </w:r>
      <w:r w:rsidRPr="00B04DC3">
        <w:tab/>
      </w:r>
      <w:bookmarkStart w:id="173" w:name="_Toc423599509"/>
      <w:bookmarkStart w:id="174" w:name="_Toc423610917"/>
      <w:r w:rsidRPr="00B04DC3">
        <w:t>ESC and ELR test cycles</w:t>
      </w:r>
      <w:bookmarkEnd w:id="173"/>
      <w:bookmarkEnd w:id="174"/>
    </w:p>
    <w:p w:rsidR="00DA59A4" w:rsidRPr="00B04DC3" w:rsidRDefault="00DA59A4" w:rsidP="00DA59A4">
      <w:pPr>
        <w:pStyle w:val="para"/>
        <w:rPr>
          <w:lang w:val="en-GB"/>
        </w:rPr>
      </w:pPr>
      <w:r w:rsidRPr="00B04DC3">
        <w:rPr>
          <w:lang w:val="en-GB"/>
        </w:rPr>
        <w:t>1.</w:t>
      </w:r>
      <w:r w:rsidRPr="00B04DC3">
        <w:rPr>
          <w:lang w:val="en-GB"/>
        </w:rPr>
        <w:tab/>
        <w:t>Engine and dynamometer settings</w:t>
      </w:r>
    </w:p>
    <w:p w:rsidR="00DA59A4" w:rsidRPr="00B04DC3" w:rsidRDefault="00DA59A4" w:rsidP="00DA59A4">
      <w:pPr>
        <w:pStyle w:val="para"/>
        <w:rPr>
          <w:lang w:val="en-GB"/>
        </w:rPr>
      </w:pPr>
      <w:r w:rsidRPr="00B04DC3">
        <w:rPr>
          <w:lang w:val="en-GB"/>
        </w:rPr>
        <w:t>1.1.</w:t>
      </w:r>
      <w:r w:rsidRPr="00B04DC3">
        <w:rPr>
          <w:lang w:val="en-GB"/>
        </w:rPr>
        <w:tab/>
        <w:t>Determination of engine speeds A, B and C</w:t>
      </w:r>
    </w:p>
    <w:p w:rsidR="00DA59A4" w:rsidRPr="00B04DC3" w:rsidRDefault="00DA59A4" w:rsidP="00DA59A4">
      <w:pPr>
        <w:pStyle w:val="para"/>
        <w:rPr>
          <w:lang w:val="en-GB"/>
        </w:rPr>
      </w:pPr>
      <w:r w:rsidRPr="00B04DC3">
        <w:rPr>
          <w:lang w:val="en-GB"/>
        </w:rPr>
        <w:tab/>
        <w:t>The engine speeds A, B and C shall be declared by the manufacturer in accordance with the following provisions:</w:t>
      </w:r>
    </w:p>
    <w:p w:rsidR="00DA59A4" w:rsidRPr="00B04DC3" w:rsidRDefault="00DA59A4" w:rsidP="00DA59A4">
      <w:pPr>
        <w:pStyle w:val="para"/>
        <w:rPr>
          <w:lang w:val="en-GB"/>
        </w:rPr>
      </w:pPr>
      <w:r w:rsidRPr="00B04DC3">
        <w:rPr>
          <w:lang w:val="en-GB"/>
        </w:rPr>
        <w:tab/>
        <w:t>The high speed n</w:t>
      </w:r>
      <w:r w:rsidRPr="00B04DC3">
        <w:rPr>
          <w:vertAlign w:val="subscript"/>
          <w:lang w:val="en-GB"/>
        </w:rPr>
        <w:t>hi</w:t>
      </w:r>
      <w:r w:rsidRPr="00B04DC3">
        <w:rPr>
          <w:lang w:val="en-GB"/>
        </w:rPr>
        <w:t xml:space="preserve"> shall be determined by calculating 70 per cent of the declared maximum net power P(n), as determined in Annex 1, Appendix 1, paragraph 8.2. The highest engine speed where this power value occurs on the power curve is defined as n</w:t>
      </w:r>
      <w:r w:rsidRPr="00B04DC3">
        <w:rPr>
          <w:vertAlign w:val="subscript"/>
          <w:lang w:val="en-GB"/>
        </w:rPr>
        <w:t>hi</w:t>
      </w:r>
      <w:r w:rsidRPr="00B04DC3">
        <w:rPr>
          <w:lang w:val="en-GB"/>
        </w:rPr>
        <w:t>.</w:t>
      </w:r>
    </w:p>
    <w:p w:rsidR="00DA59A4" w:rsidRPr="00B04DC3" w:rsidRDefault="00DA59A4" w:rsidP="00DA59A4">
      <w:pPr>
        <w:pStyle w:val="para"/>
        <w:rPr>
          <w:lang w:val="en-GB"/>
        </w:rPr>
      </w:pPr>
      <w:r w:rsidRPr="00B04DC3">
        <w:rPr>
          <w:lang w:val="en-GB"/>
        </w:rPr>
        <w:tab/>
        <w:t>The low speed n</w:t>
      </w:r>
      <w:r w:rsidRPr="00B04DC3">
        <w:rPr>
          <w:vertAlign w:val="subscript"/>
          <w:lang w:val="en-GB"/>
        </w:rPr>
        <w:t>lo</w:t>
      </w:r>
      <w:r w:rsidRPr="00B04DC3">
        <w:rPr>
          <w:lang w:val="en-GB"/>
        </w:rPr>
        <w:t xml:space="preserve"> shall be determined by calculating 50 per cent of the declared maximum net power P(n), as determined in Annex 1, Appendix 1, paragraph 8.2. The lowest engine speed where this power value occurs on the power curve is defined as n</w:t>
      </w:r>
      <w:r w:rsidRPr="00B04DC3">
        <w:rPr>
          <w:vertAlign w:val="subscript"/>
          <w:lang w:val="en-GB"/>
        </w:rPr>
        <w:t>lo</w:t>
      </w:r>
      <w:r w:rsidRPr="00B04DC3">
        <w:rPr>
          <w:lang w:val="en-GB"/>
        </w:rPr>
        <w:t>.</w:t>
      </w:r>
    </w:p>
    <w:p w:rsidR="00DA59A4" w:rsidRPr="00B04DC3" w:rsidRDefault="00DA59A4" w:rsidP="00DA59A4">
      <w:pPr>
        <w:pStyle w:val="para"/>
        <w:rPr>
          <w:lang w:val="en-GB"/>
        </w:rPr>
      </w:pPr>
      <w:r w:rsidRPr="00B04DC3">
        <w:rPr>
          <w:lang w:val="en-GB"/>
        </w:rPr>
        <w:tab/>
        <w:t>The engine speeds A, B and C shall be calculated as follows:</w:t>
      </w:r>
    </w:p>
    <w:p w:rsidR="00DA59A4" w:rsidRPr="00B04DC3" w:rsidRDefault="00DA59A4" w:rsidP="00DA59A4">
      <w:pPr>
        <w:pStyle w:val="para"/>
        <w:rPr>
          <w:lang w:val="en-GB"/>
        </w:rPr>
      </w:pPr>
      <w:r w:rsidRPr="00B04DC3">
        <w:rPr>
          <w:lang w:val="en-GB"/>
        </w:rPr>
        <w:tab/>
      </w:r>
      <w:r w:rsidRPr="00B04DC3">
        <w:rPr>
          <w:lang w:val="en-GB"/>
        </w:rPr>
        <w:tab/>
        <w:t>Speed A = n</w:t>
      </w:r>
      <w:r w:rsidRPr="00B04DC3">
        <w:rPr>
          <w:vertAlign w:val="subscript"/>
          <w:lang w:val="en-GB"/>
        </w:rPr>
        <w:t>lo</w:t>
      </w:r>
      <w:r w:rsidRPr="00B04DC3">
        <w:rPr>
          <w:lang w:val="en-GB"/>
        </w:rPr>
        <w:t xml:space="preserve"> + 25 per cent (n</w:t>
      </w:r>
      <w:r w:rsidRPr="00B04DC3">
        <w:rPr>
          <w:vertAlign w:val="subscript"/>
          <w:lang w:val="en-GB"/>
        </w:rPr>
        <w:t>hi</w:t>
      </w:r>
      <w:r w:rsidRPr="00B04DC3">
        <w:rPr>
          <w:lang w:val="en-GB"/>
        </w:rPr>
        <w:t xml:space="preserve"> − n</w:t>
      </w:r>
      <w:r w:rsidRPr="00B04DC3">
        <w:rPr>
          <w:vertAlign w:val="subscript"/>
          <w:lang w:val="en-GB"/>
        </w:rPr>
        <w:t>lo</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Speed B = n</w:t>
      </w:r>
      <w:r w:rsidRPr="00B04DC3">
        <w:rPr>
          <w:vertAlign w:val="subscript"/>
          <w:lang w:val="en-GB"/>
        </w:rPr>
        <w:t>lo</w:t>
      </w:r>
      <w:r w:rsidRPr="00B04DC3">
        <w:rPr>
          <w:lang w:val="en-GB"/>
        </w:rPr>
        <w:t xml:space="preserve"> + 50 per cent (n</w:t>
      </w:r>
      <w:r w:rsidRPr="00B04DC3">
        <w:rPr>
          <w:vertAlign w:val="subscript"/>
          <w:lang w:val="en-GB"/>
        </w:rPr>
        <w:t>hi</w:t>
      </w:r>
      <w:r w:rsidRPr="00B04DC3">
        <w:rPr>
          <w:lang w:val="en-GB"/>
        </w:rPr>
        <w:t xml:space="preserve"> − n</w:t>
      </w:r>
      <w:r w:rsidRPr="00B04DC3">
        <w:rPr>
          <w:vertAlign w:val="subscript"/>
          <w:lang w:val="en-GB"/>
        </w:rPr>
        <w:t>lo</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Speed C = n</w:t>
      </w:r>
      <w:r w:rsidRPr="00B04DC3">
        <w:rPr>
          <w:vertAlign w:val="subscript"/>
          <w:lang w:val="en-GB"/>
        </w:rPr>
        <w:t>lo</w:t>
      </w:r>
      <w:r w:rsidRPr="00B04DC3">
        <w:rPr>
          <w:lang w:val="en-GB"/>
        </w:rPr>
        <w:t xml:space="preserve"> + 75 per cent (n</w:t>
      </w:r>
      <w:r w:rsidRPr="00B04DC3">
        <w:rPr>
          <w:vertAlign w:val="subscript"/>
          <w:lang w:val="en-GB"/>
        </w:rPr>
        <w:t>hi</w:t>
      </w:r>
      <w:r w:rsidRPr="00B04DC3">
        <w:rPr>
          <w:lang w:val="en-GB"/>
        </w:rPr>
        <w:t xml:space="preserve"> − n</w:t>
      </w:r>
      <w:r w:rsidRPr="00B04DC3">
        <w:rPr>
          <w:vertAlign w:val="subscript"/>
          <w:lang w:val="en-GB"/>
        </w:rPr>
        <w:t>lo</w:t>
      </w:r>
      <w:r w:rsidRPr="00B04DC3">
        <w:rPr>
          <w:lang w:val="en-GB"/>
        </w:rPr>
        <w:t>)</w:t>
      </w:r>
    </w:p>
    <w:p w:rsidR="00DA59A4" w:rsidRPr="00B04DC3" w:rsidRDefault="00DA59A4" w:rsidP="00DA59A4">
      <w:pPr>
        <w:pStyle w:val="para"/>
        <w:rPr>
          <w:lang w:val="en-GB"/>
        </w:rPr>
      </w:pPr>
      <w:r w:rsidRPr="00B04DC3">
        <w:rPr>
          <w:lang w:val="en-GB"/>
        </w:rPr>
        <w:tab/>
        <w:t>The engine speeds A, B and C may be verified by either of the following methods:</w:t>
      </w:r>
    </w:p>
    <w:p w:rsidR="00DA59A4" w:rsidRPr="00B04DC3" w:rsidRDefault="00DA59A4" w:rsidP="00DA59A4">
      <w:pPr>
        <w:pStyle w:val="a"/>
        <w:rPr>
          <w:lang w:val="en-GB"/>
        </w:rPr>
      </w:pPr>
      <w:r w:rsidRPr="00B04DC3">
        <w:rPr>
          <w:lang w:val="en-GB"/>
        </w:rPr>
        <w:t>(a)</w:t>
      </w:r>
      <w:r w:rsidRPr="00B04DC3">
        <w:rPr>
          <w:lang w:val="en-GB"/>
        </w:rPr>
        <w:tab/>
        <w:t>Additional test points shall be measured during engine power approval according to Regulation No. 85 for an accurate determination of n</w:t>
      </w:r>
      <w:r w:rsidRPr="00B04DC3">
        <w:rPr>
          <w:vertAlign w:val="subscript"/>
          <w:lang w:val="en-GB"/>
        </w:rPr>
        <w:t>hi</w:t>
      </w:r>
      <w:r w:rsidRPr="00B04DC3">
        <w:rPr>
          <w:lang w:val="en-GB"/>
        </w:rPr>
        <w:t xml:space="preserve"> and n</w:t>
      </w:r>
      <w:r w:rsidRPr="00B04DC3">
        <w:rPr>
          <w:vertAlign w:val="subscript"/>
          <w:lang w:val="en-GB"/>
        </w:rPr>
        <w:t>lo</w:t>
      </w:r>
      <w:r w:rsidRPr="00B04DC3">
        <w:rPr>
          <w:lang w:val="en-GB"/>
        </w:rPr>
        <w:t>. The maximum power, n</w:t>
      </w:r>
      <w:r w:rsidRPr="00B04DC3">
        <w:rPr>
          <w:vertAlign w:val="subscript"/>
          <w:lang w:val="en-GB"/>
        </w:rPr>
        <w:t>hi</w:t>
      </w:r>
      <w:r w:rsidRPr="00B04DC3">
        <w:rPr>
          <w:lang w:val="en-GB"/>
        </w:rPr>
        <w:t xml:space="preserve"> and n</w:t>
      </w:r>
      <w:r w:rsidRPr="00B04DC3">
        <w:rPr>
          <w:vertAlign w:val="subscript"/>
          <w:lang w:val="en-GB"/>
        </w:rPr>
        <w:t>lo</w:t>
      </w:r>
      <w:r w:rsidRPr="00B04DC3">
        <w:rPr>
          <w:lang w:val="en-GB"/>
        </w:rPr>
        <w:t xml:space="preserve"> shall be determined from the power curve, and engine speeds A, B and C shall be calculated according to the above provisions.</w:t>
      </w:r>
    </w:p>
    <w:p w:rsidR="00DA59A4" w:rsidRPr="00B04DC3" w:rsidRDefault="00DA59A4" w:rsidP="00DA59A4">
      <w:pPr>
        <w:pStyle w:val="a"/>
        <w:rPr>
          <w:lang w:val="en-GB"/>
        </w:rPr>
      </w:pPr>
      <w:r w:rsidRPr="00B04DC3">
        <w:rPr>
          <w:lang w:val="en-GB"/>
        </w:rPr>
        <w:t>(b)</w:t>
      </w:r>
      <w:r w:rsidRPr="00B04DC3">
        <w:rPr>
          <w:lang w:val="en-GB"/>
        </w:rPr>
        <w:tab/>
        <w:t>The engine shall be mapped along the full load curve, from maximum no load speed to idle speed, using at least five measurement points per 1,000 min</w:t>
      </w:r>
      <w:r w:rsidRPr="00B04DC3">
        <w:rPr>
          <w:vertAlign w:val="superscript"/>
          <w:lang w:val="en-GB"/>
        </w:rPr>
        <w:t>-1</w:t>
      </w:r>
      <w:r w:rsidRPr="00B04DC3">
        <w:rPr>
          <w:lang w:val="en-GB"/>
        </w:rPr>
        <w:t xml:space="preserve"> intervals and measurement points within ±50 min</w:t>
      </w:r>
      <w:r w:rsidRPr="00B04DC3">
        <w:rPr>
          <w:vertAlign w:val="superscript"/>
          <w:lang w:val="en-GB"/>
        </w:rPr>
        <w:t>-1</w:t>
      </w:r>
      <w:r w:rsidRPr="00B04DC3">
        <w:rPr>
          <w:lang w:val="en-GB"/>
        </w:rPr>
        <w:t xml:space="preserve"> of the speed at declared maximum power. The maximum power, n</w:t>
      </w:r>
      <w:r w:rsidRPr="00B04DC3">
        <w:rPr>
          <w:vertAlign w:val="subscript"/>
          <w:lang w:val="en-GB"/>
        </w:rPr>
        <w:t>hi</w:t>
      </w:r>
      <w:r w:rsidRPr="00B04DC3">
        <w:rPr>
          <w:lang w:val="en-GB"/>
        </w:rPr>
        <w:t xml:space="preserve"> and n</w:t>
      </w:r>
      <w:r w:rsidRPr="00B04DC3">
        <w:rPr>
          <w:vertAlign w:val="subscript"/>
          <w:lang w:val="en-GB"/>
        </w:rPr>
        <w:t>lo</w:t>
      </w:r>
      <w:r w:rsidRPr="00B04DC3">
        <w:rPr>
          <w:lang w:val="en-GB"/>
        </w:rPr>
        <w:t xml:space="preserve"> shall be determined from this mapping curve, and engine speeds A, B and C shall be calculated according to the above provisions.</w:t>
      </w:r>
    </w:p>
    <w:p w:rsidR="00DA59A4" w:rsidRPr="00B04DC3" w:rsidRDefault="00DA59A4" w:rsidP="00DA59A4">
      <w:pPr>
        <w:pStyle w:val="para"/>
        <w:rPr>
          <w:spacing w:val="-2"/>
          <w:lang w:val="en-GB"/>
        </w:rPr>
      </w:pPr>
      <w:r w:rsidRPr="00B04DC3">
        <w:rPr>
          <w:spacing w:val="-2"/>
          <w:lang w:val="en-GB"/>
        </w:rPr>
        <w:tab/>
        <w:t>If the measured engine speeds A, B and C are within ±3 per cent of the engine speeds as declared by the manufacturer, the declared engine speeds shall be used for the emissions test. If the tolerance is exceeded for any of the engine speeds, the measured engine speeds shall be used for the emissions test.</w:t>
      </w:r>
    </w:p>
    <w:p w:rsidR="00DA59A4" w:rsidRPr="00B04DC3" w:rsidRDefault="00DA59A4" w:rsidP="00DA59A4">
      <w:pPr>
        <w:pStyle w:val="para"/>
        <w:rPr>
          <w:lang w:val="en-GB"/>
        </w:rPr>
      </w:pPr>
      <w:r w:rsidRPr="00B04DC3">
        <w:rPr>
          <w:lang w:val="en-GB"/>
        </w:rPr>
        <w:t>1.2.</w:t>
      </w:r>
      <w:r w:rsidRPr="00B04DC3">
        <w:rPr>
          <w:lang w:val="en-GB"/>
        </w:rPr>
        <w:tab/>
        <w:t>Determination of dynamometer settings</w:t>
      </w:r>
    </w:p>
    <w:p w:rsidR="00DA59A4" w:rsidRPr="00B04DC3" w:rsidRDefault="00DA59A4" w:rsidP="00DA59A4">
      <w:pPr>
        <w:pStyle w:val="para"/>
        <w:rPr>
          <w:lang w:val="en-GB"/>
        </w:rPr>
      </w:pPr>
      <w:r w:rsidRPr="00B04DC3">
        <w:rPr>
          <w:lang w:val="en-GB"/>
        </w:rPr>
        <w:tab/>
        <w:t>The torque curve at full load shall be determined by experimentation to calculate the torque values for the specified test modes under net conditions, as specified in Annex 1, Appendix 1, paragraph 8.2. The power absorbed by engine-driven equipment, if applicable, shall be taken into account. The dynamometer setting for each test mode shall be calculated using the formula:</w:t>
      </w:r>
    </w:p>
    <w:p w:rsidR="00DA59A4" w:rsidRPr="00B04DC3" w:rsidRDefault="00DA59A4" w:rsidP="00DA59A4">
      <w:pPr>
        <w:pStyle w:val="para"/>
        <w:rPr>
          <w:lang w:val="en-GB"/>
        </w:rPr>
      </w:pPr>
      <w:r w:rsidRPr="00B04DC3">
        <w:rPr>
          <w:lang w:val="en-GB"/>
        </w:rPr>
        <w:tab/>
        <w:t>s = P(n) x (L/100) if tested under net conditions</w:t>
      </w:r>
    </w:p>
    <w:p w:rsidR="00DA59A4" w:rsidRPr="00B04DC3" w:rsidRDefault="00DA59A4" w:rsidP="00DA59A4">
      <w:pPr>
        <w:pStyle w:val="para"/>
        <w:rPr>
          <w:lang w:val="en-GB"/>
        </w:rPr>
      </w:pPr>
      <w:r w:rsidRPr="00B04DC3">
        <w:rPr>
          <w:lang w:val="en-GB"/>
        </w:rPr>
        <w:tab/>
        <w:t>s = P(n) x (L/100) + (P(a) − P(b)) if not tested under net conditions</w:t>
      </w:r>
    </w:p>
    <w:p w:rsidR="00DA59A4" w:rsidRPr="00B04DC3" w:rsidRDefault="00DA59A4" w:rsidP="00DA59A4">
      <w:pPr>
        <w:pStyle w:val="para"/>
        <w:rPr>
          <w:lang w:val="en-GB"/>
        </w:rPr>
      </w:pPr>
      <w:r w:rsidRPr="00B04DC3">
        <w:rPr>
          <w:lang w:val="en-GB"/>
        </w:rPr>
        <w:tab/>
      </w:r>
      <w:r w:rsidR="00260B82" w:rsidRPr="00B04DC3">
        <w:rPr>
          <w:lang w:val="en-GB"/>
        </w:rPr>
        <w:t>Where</w:t>
      </w:r>
      <w:r w:rsidRPr="00B04DC3">
        <w:rPr>
          <w:lang w:val="en-GB"/>
        </w:rPr>
        <w:t>:</w:t>
      </w:r>
    </w:p>
    <w:tbl>
      <w:tblPr>
        <w:tblW w:w="6237" w:type="dxa"/>
        <w:tblInd w:w="2268" w:type="dxa"/>
        <w:tblBorders>
          <w:insideV w:val="single" w:sz="2" w:space="0" w:color="auto"/>
        </w:tblBorders>
        <w:tblLayout w:type="fixed"/>
        <w:tblLook w:val="0000" w:firstRow="0" w:lastRow="0" w:firstColumn="0" w:lastColumn="0" w:noHBand="0" w:noVBand="0"/>
      </w:tblPr>
      <w:tblGrid>
        <w:gridCol w:w="571"/>
        <w:gridCol w:w="370"/>
        <w:gridCol w:w="5296"/>
      </w:tblGrid>
      <w:tr w:rsidR="00DA59A4" w:rsidRPr="00B04DC3">
        <w:tc>
          <w:tcPr>
            <w:tcW w:w="709" w:type="dxa"/>
            <w:tcBorders>
              <w:right w:val="nil"/>
            </w:tcBorders>
          </w:tcPr>
          <w:p w:rsidR="00DA59A4" w:rsidRPr="00B04DC3" w:rsidRDefault="00DA59A4" w:rsidP="00DA59A4">
            <w:pPr>
              <w:pStyle w:val="NormalLeft"/>
              <w:spacing w:before="0" w:after="0"/>
              <w:rPr>
                <w:sz w:val="20"/>
              </w:rPr>
            </w:pPr>
            <w:r w:rsidRPr="00B04DC3">
              <w:rPr>
                <w:sz w:val="20"/>
              </w:rPr>
              <w:t>s</w:t>
            </w:r>
          </w:p>
        </w:tc>
        <w:tc>
          <w:tcPr>
            <w:tcW w:w="425" w:type="dxa"/>
            <w:tcBorders>
              <w:left w:val="nil"/>
              <w:right w:val="nil"/>
            </w:tcBorders>
          </w:tcPr>
          <w:p w:rsidR="00DA59A4" w:rsidRPr="00B04DC3" w:rsidRDefault="00DA59A4" w:rsidP="00DA59A4">
            <w:pPr>
              <w:pStyle w:val="NormalLeft"/>
              <w:spacing w:before="0" w:after="0"/>
              <w:rPr>
                <w:sz w:val="20"/>
              </w:rPr>
            </w:pPr>
            <w:r w:rsidRPr="00B04DC3">
              <w:rPr>
                <w:sz w:val="20"/>
              </w:rPr>
              <w:t>=</w:t>
            </w:r>
          </w:p>
        </w:tc>
        <w:tc>
          <w:tcPr>
            <w:tcW w:w="7371" w:type="dxa"/>
            <w:tcBorders>
              <w:left w:val="nil"/>
            </w:tcBorders>
          </w:tcPr>
          <w:p w:rsidR="00DA59A4" w:rsidRPr="00B04DC3" w:rsidRDefault="00DA59A4" w:rsidP="00DA59A4">
            <w:pPr>
              <w:pStyle w:val="NormalLeft"/>
              <w:spacing w:before="0"/>
              <w:jc w:val="both"/>
              <w:rPr>
                <w:sz w:val="20"/>
              </w:rPr>
            </w:pPr>
            <w:r w:rsidRPr="00B04DC3">
              <w:rPr>
                <w:sz w:val="20"/>
              </w:rPr>
              <w:t>dynamometer setting, kW</w:t>
            </w:r>
          </w:p>
        </w:tc>
      </w:tr>
      <w:tr w:rsidR="00DA59A4" w:rsidRPr="00B04DC3">
        <w:tc>
          <w:tcPr>
            <w:tcW w:w="709" w:type="dxa"/>
            <w:tcBorders>
              <w:right w:val="nil"/>
            </w:tcBorders>
          </w:tcPr>
          <w:p w:rsidR="00DA59A4" w:rsidRPr="00B04DC3" w:rsidRDefault="00DA59A4" w:rsidP="00DA59A4">
            <w:pPr>
              <w:pStyle w:val="NormalLeft"/>
              <w:spacing w:before="0" w:after="0"/>
              <w:rPr>
                <w:sz w:val="20"/>
              </w:rPr>
            </w:pPr>
            <w:r w:rsidRPr="00B04DC3">
              <w:rPr>
                <w:sz w:val="20"/>
              </w:rPr>
              <w:t>P(n)</w:t>
            </w:r>
          </w:p>
        </w:tc>
        <w:tc>
          <w:tcPr>
            <w:tcW w:w="425" w:type="dxa"/>
            <w:tcBorders>
              <w:left w:val="nil"/>
              <w:right w:val="nil"/>
            </w:tcBorders>
          </w:tcPr>
          <w:p w:rsidR="00DA59A4" w:rsidRPr="00B04DC3" w:rsidRDefault="00DA59A4" w:rsidP="00DA59A4">
            <w:pPr>
              <w:pStyle w:val="NormalLeft"/>
              <w:spacing w:before="0" w:after="0"/>
              <w:rPr>
                <w:sz w:val="20"/>
              </w:rPr>
            </w:pPr>
            <w:r w:rsidRPr="00B04DC3">
              <w:rPr>
                <w:sz w:val="20"/>
              </w:rPr>
              <w:t>=</w:t>
            </w:r>
          </w:p>
        </w:tc>
        <w:tc>
          <w:tcPr>
            <w:tcW w:w="7371" w:type="dxa"/>
            <w:tcBorders>
              <w:left w:val="nil"/>
            </w:tcBorders>
          </w:tcPr>
          <w:p w:rsidR="00DA59A4" w:rsidRPr="00B04DC3" w:rsidRDefault="00DA59A4" w:rsidP="00DA59A4">
            <w:pPr>
              <w:pStyle w:val="NormalLeft"/>
              <w:spacing w:before="0"/>
              <w:jc w:val="both"/>
              <w:rPr>
                <w:sz w:val="20"/>
              </w:rPr>
            </w:pPr>
            <w:r w:rsidRPr="00B04DC3">
              <w:rPr>
                <w:sz w:val="20"/>
              </w:rPr>
              <w:t>net engine power as indicated in Annex 1, Appendix 1,</w:t>
            </w:r>
            <w:r w:rsidRPr="00B04DC3">
              <w:t xml:space="preserve"> </w:t>
            </w:r>
            <w:r w:rsidRPr="00B04DC3">
              <w:rPr>
                <w:sz w:val="20"/>
              </w:rPr>
              <w:t>paragraph 8.2., kW</w:t>
            </w:r>
          </w:p>
        </w:tc>
      </w:tr>
      <w:tr w:rsidR="00DA59A4" w:rsidRPr="00B04DC3">
        <w:tc>
          <w:tcPr>
            <w:tcW w:w="709" w:type="dxa"/>
            <w:tcBorders>
              <w:right w:val="nil"/>
            </w:tcBorders>
          </w:tcPr>
          <w:p w:rsidR="00DA59A4" w:rsidRPr="00B04DC3" w:rsidRDefault="00DA59A4" w:rsidP="00DA59A4">
            <w:pPr>
              <w:pStyle w:val="NormalLeft"/>
              <w:spacing w:before="0" w:after="0"/>
              <w:rPr>
                <w:sz w:val="20"/>
              </w:rPr>
            </w:pPr>
            <w:r w:rsidRPr="00B04DC3">
              <w:rPr>
                <w:sz w:val="20"/>
              </w:rPr>
              <w:t>L</w:t>
            </w:r>
          </w:p>
        </w:tc>
        <w:tc>
          <w:tcPr>
            <w:tcW w:w="425" w:type="dxa"/>
            <w:tcBorders>
              <w:left w:val="nil"/>
              <w:right w:val="nil"/>
            </w:tcBorders>
          </w:tcPr>
          <w:p w:rsidR="00DA59A4" w:rsidRPr="00B04DC3" w:rsidRDefault="00DA59A4" w:rsidP="00DA59A4">
            <w:pPr>
              <w:pStyle w:val="NormalLeft"/>
              <w:spacing w:before="0" w:after="0"/>
              <w:rPr>
                <w:sz w:val="20"/>
              </w:rPr>
            </w:pPr>
            <w:r w:rsidRPr="00B04DC3">
              <w:rPr>
                <w:sz w:val="20"/>
              </w:rPr>
              <w:t>=</w:t>
            </w:r>
          </w:p>
        </w:tc>
        <w:tc>
          <w:tcPr>
            <w:tcW w:w="7371" w:type="dxa"/>
            <w:tcBorders>
              <w:left w:val="nil"/>
            </w:tcBorders>
          </w:tcPr>
          <w:p w:rsidR="00DA59A4" w:rsidRPr="00B04DC3" w:rsidRDefault="00DA59A4" w:rsidP="006A75A0">
            <w:pPr>
              <w:pStyle w:val="NormalLeft"/>
              <w:spacing w:before="0"/>
              <w:jc w:val="both"/>
              <w:rPr>
                <w:sz w:val="20"/>
              </w:rPr>
            </w:pPr>
            <w:r w:rsidRPr="00B04DC3">
              <w:rPr>
                <w:sz w:val="20"/>
              </w:rPr>
              <w:t>per cent load as indicated in paragraph 2.7.1., per cent</w:t>
            </w:r>
          </w:p>
        </w:tc>
      </w:tr>
      <w:tr w:rsidR="00DA59A4" w:rsidRPr="00B04DC3">
        <w:tc>
          <w:tcPr>
            <w:tcW w:w="709" w:type="dxa"/>
            <w:tcBorders>
              <w:right w:val="nil"/>
            </w:tcBorders>
          </w:tcPr>
          <w:p w:rsidR="00DA59A4" w:rsidRPr="00B04DC3" w:rsidRDefault="00DA59A4" w:rsidP="00DA59A4">
            <w:pPr>
              <w:pStyle w:val="NormalLeft"/>
              <w:spacing w:before="0" w:after="0"/>
              <w:rPr>
                <w:sz w:val="20"/>
              </w:rPr>
            </w:pPr>
            <w:r w:rsidRPr="00B04DC3">
              <w:rPr>
                <w:sz w:val="20"/>
              </w:rPr>
              <w:t>P(a)</w:t>
            </w:r>
          </w:p>
        </w:tc>
        <w:tc>
          <w:tcPr>
            <w:tcW w:w="425" w:type="dxa"/>
            <w:tcBorders>
              <w:left w:val="nil"/>
              <w:right w:val="nil"/>
            </w:tcBorders>
          </w:tcPr>
          <w:p w:rsidR="00DA59A4" w:rsidRPr="00B04DC3" w:rsidRDefault="00DA59A4" w:rsidP="00DA59A4">
            <w:pPr>
              <w:pStyle w:val="NormalLeft"/>
              <w:spacing w:before="0" w:after="0"/>
              <w:rPr>
                <w:sz w:val="20"/>
              </w:rPr>
            </w:pPr>
            <w:r w:rsidRPr="00B04DC3">
              <w:rPr>
                <w:sz w:val="20"/>
              </w:rPr>
              <w:t>=</w:t>
            </w:r>
          </w:p>
        </w:tc>
        <w:tc>
          <w:tcPr>
            <w:tcW w:w="7371" w:type="dxa"/>
            <w:tcBorders>
              <w:left w:val="nil"/>
            </w:tcBorders>
          </w:tcPr>
          <w:p w:rsidR="00DA59A4" w:rsidRPr="00B04DC3" w:rsidRDefault="00DA59A4" w:rsidP="00DA59A4">
            <w:pPr>
              <w:pStyle w:val="NormalLeft"/>
              <w:spacing w:before="0"/>
              <w:jc w:val="both"/>
              <w:rPr>
                <w:sz w:val="20"/>
              </w:rPr>
            </w:pPr>
            <w:r w:rsidRPr="00B04DC3">
              <w:rPr>
                <w:sz w:val="20"/>
              </w:rPr>
              <w:t>power absorbed by auxiliaries to be fitted as indicated in Annex 1, Appendix 1, paragraph 6.1.</w:t>
            </w:r>
          </w:p>
        </w:tc>
      </w:tr>
      <w:tr w:rsidR="00DA59A4" w:rsidRPr="00B04DC3">
        <w:tc>
          <w:tcPr>
            <w:tcW w:w="709" w:type="dxa"/>
            <w:tcBorders>
              <w:right w:val="nil"/>
            </w:tcBorders>
          </w:tcPr>
          <w:p w:rsidR="00DA59A4" w:rsidRPr="00B04DC3" w:rsidRDefault="00DA59A4" w:rsidP="00DA59A4">
            <w:pPr>
              <w:pStyle w:val="NormalLeft"/>
              <w:spacing w:before="0" w:after="0"/>
              <w:rPr>
                <w:sz w:val="20"/>
              </w:rPr>
            </w:pPr>
            <w:r w:rsidRPr="00B04DC3">
              <w:rPr>
                <w:sz w:val="20"/>
              </w:rPr>
              <w:t>P(b)</w:t>
            </w:r>
          </w:p>
        </w:tc>
        <w:tc>
          <w:tcPr>
            <w:tcW w:w="425" w:type="dxa"/>
            <w:tcBorders>
              <w:left w:val="nil"/>
              <w:right w:val="nil"/>
            </w:tcBorders>
          </w:tcPr>
          <w:p w:rsidR="00DA59A4" w:rsidRPr="00B04DC3" w:rsidRDefault="00DA59A4" w:rsidP="00DA59A4">
            <w:pPr>
              <w:pStyle w:val="NormalLeft"/>
              <w:spacing w:before="0" w:after="0"/>
              <w:rPr>
                <w:sz w:val="20"/>
              </w:rPr>
            </w:pPr>
            <w:r w:rsidRPr="00B04DC3">
              <w:rPr>
                <w:sz w:val="20"/>
              </w:rPr>
              <w:t>=</w:t>
            </w:r>
          </w:p>
        </w:tc>
        <w:tc>
          <w:tcPr>
            <w:tcW w:w="7371" w:type="dxa"/>
            <w:tcBorders>
              <w:left w:val="nil"/>
            </w:tcBorders>
          </w:tcPr>
          <w:p w:rsidR="00DA59A4" w:rsidRPr="00B04DC3" w:rsidRDefault="00DA59A4" w:rsidP="00DA59A4">
            <w:pPr>
              <w:pStyle w:val="NormalLeft"/>
              <w:spacing w:before="0"/>
              <w:jc w:val="both"/>
              <w:rPr>
                <w:sz w:val="20"/>
              </w:rPr>
            </w:pPr>
            <w:r w:rsidRPr="00B04DC3">
              <w:rPr>
                <w:sz w:val="20"/>
              </w:rPr>
              <w:t>power absorbed by auxiliaries to be removed as indicated in Annex 1, Appendix 1, paragraph 6.2.</w:t>
            </w:r>
          </w:p>
        </w:tc>
      </w:tr>
    </w:tbl>
    <w:p w:rsidR="00DA59A4" w:rsidRPr="00B04DC3" w:rsidRDefault="00DA59A4" w:rsidP="00DA59A4">
      <w:pPr>
        <w:pStyle w:val="para"/>
        <w:rPr>
          <w:lang w:val="en-GB"/>
        </w:rPr>
      </w:pPr>
      <w:r w:rsidRPr="00B04DC3">
        <w:rPr>
          <w:lang w:val="en-GB"/>
        </w:rPr>
        <w:t>2.</w:t>
      </w:r>
      <w:r w:rsidRPr="00B04DC3">
        <w:rPr>
          <w:lang w:val="en-GB"/>
        </w:rPr>
        <w:tab/>
        <w:t>ESC test run</w:t>
      </w:r>
    </w:p>
    <w:p w:rsidR="00DA59A4" w:rsidRPr="00B04DC3" w:rsidRDefault="00DA59A4" w:rsidP="00DA59A4">
      <w:pPr>
        <w:pStyle w:val="para"/>
        <w:rPr>
          <w:lang w:val="en-GB"/>
        </w:rPr>
      </w:pPr>
      <w:r w:rsidRPr="00B04DC3">
        <w:rPr>
          <w:lang w:val="en-GB"/>
        </w:rPr>
        <w:tab/>
        <w:t>At the manufacturers request, a dummy test may be run for conditioning of the engine and exhaust system before the measurement cycle.</w:t>
      </w:r>
    </w:p>
    <w:p w:rsidR="00DA59A4" w:rsidRPr="00B04DC3" w:rsidRDefault="00DA59A4" w:rsidP="00DA59A4">
      <w:pPr>
        <w:pStyle w:val="para"/>
        <w:rPr>
          <w:lang w:val="en-GB"/>
        </w:rPr>
      </w:pPr>
      <w:r w:rsidRPr="00B04DC3">
        <w:rPr>
          <w:lang w:val="en-GB"/>
        </w:rPr>
        <w:t>2.1.</w:t>
      </w:r>
      <w:r w:rsidRPr="00B04DC3">
        <w:rPr>
          <w:lang w:val="en-GB"/>
        </w:rPr>
        <w:tab/>
        <w:t>Preparation of the sampling filter</w:t>
      </w:r>
    </w:p>
    <w:p w:rsidR="00DA59A4" w:rsidRPr="00B04DC3" w:rsidRDefault="00DA59A4" w:rsidP="00DA59A4">
      <w:pPr>
        <w:pStyle w:val="para"/>
        <w:rPr>
          <w:lang w:val="en-GB"/>
        </w:rPr>
      </w:pPr>
      <w:r w:rsidRPr="00B04DC3">
        <w:rPr>
          <w:lang w:val="en-GB"/>
        </w:rPr>
        <w:tab/>
        <w:t>At least one hour before the test, each filter shall be placed in a partially covered petri dish which is protected against dust contamination, and placed in a weighing chamber for stabilization. At the end of the stabilization period each filter shall be weighed and the tare weight shall be recorded. The filter shall then be stored in a closed petri dish or sealed filter holder until needed for testing. The filter shall be used within eight hours of its removal from the weighing chamber. The tare weight shall be recorded.</w:t>
      </w:r>
    </w:p>
    <w:p w:rsidR="00DA59A4" w:rsidRPr="00B04DC3" w:rsidRDefault="00DA59A4" w:rsidP="00DA59A4">
      <w:pPr>
        <w:pStyle w:val="para"/>
        <w:rPr>
          <w:lang w:val="en-GB"/>
        </w:rPr>
      </w:pPr>
      <w:r w:rsidRPr="00B04DC3">
        <w:rPr>
          <w:lang w:val="en-GB"/>
        </w:rPr>
        <w:t>2.2.</w:t>
      </w:r>
      <w:r w:rsidRPr="00B04DC3">
        <w:rPr>
          <w:lang w:val="en-GB"/>
        </w:rPr>
        <w:tab/>
        <w:t>Installation of the measuring equipment</w:t>
      </w:r>
    </w:p>
    <w:p w:rsidR="00DA59A4" w:rsidRPr="00B04DC3" w:rsidRDefault="00DA59A4" w:rsidP="00DA59A4">
      <w:pPr>
        <w:pStyle w:val="para"/>
        <w:rPr>
          <w:lang w:val="en-GB"/>
        </w:rPr>
      </w:pPr>
      <w:r w:rsidRPr="00B04DC3">
        <w:rPr>
          <w:lang w:val="en-GB"/>
        </w:rPr>
        <w:tab/>
        <w:t>The instrumentation and sample probes shall be installed as required. When using a full flow dilution system for exhaust gas dilution, the tailpipe shall be connected to the system.</w:t>
      </w:r>
    </w:p>
    <w:p w:rsidR="00DA59A4" w:rsidRPr="00B04DC3" w:rsidRDefault="00DA59A4" w:rsidP="00DA59A4">
      <w:pPr>
        <w:pStyle w:val="para"/>
        <w:rPr>
          <w:lang w:val="en-GB"/>
        </w:rPr>
      </w:pPr>
      <w:r w:rsidRPr="00B04DC3">
        <w:rPr>
          <w:lang w:val="en-GB"/>
        </w:rPr>
        <w:t>2.3.</w:t>
      </w:r>
      <w:r w:rsidRPr="00B04DC3">
        <w:rPr>
          <w:lang w:val="en-GB"/>
        </w:rPr>
        <w:tab/>
        <w:t>Starting the dilution system and the engine</w:t>
      </w:r>
    </w:p>
    <w:p w:rsidR="00DA59A4" w:rsidRPr="00B04DC3" w:rsidRDefault="00DA59A4" w:rsidP="00DA59A4">
      <w:pPr>
        <w:pStyle w:val="para"/>
        <w:rPr>
          <w:lang w:val="en-GB"/>
        </w:rPr>
      </w:pPr>
      <w:r w:rsidRPr="00B04DC3">
        <w:rPr>
          <w:lang w:val="en-GB"/>
        </w:rPr>
        <w:tab/>
        <w:t>The dilution system and the engine shall be started and warmed up until all temperatures and pressures have stabilized at maximum power according to the recommendation of the manufacturer and good engineering practice.</w:t>
      </w:r>
    </w:p>
    <w:p w:rsidR="00DA59A4" w:rsidRPr="00B04DC3" w:rsidRDefault="00DA59A4" w:rsidP="00DA59A4">
      <w:pPr>
        <w:pStyle w:val="para"/>
        <w:rPr>
          <w:lang w:val="en-GB"/>
        </w:rPr>
      </w:pPr>
      <w:r w:rsidRPr="00B04DC3">
        <w:rPr>
          <w:lang w:val="en-GB"/>
        </w:rPr>
        <w:t>2.4.</w:t>
      </w:r>
      <w:r w:rsidRPr="00B04DC3">
        <w:rPr>
          <w:lang w:val="en-GB"/>
        </w:rPr>
        <w:tab/>
        <w:t>Starting the particulate sampling system</w:t>
      </w:r>
    </w:p>
    <w:p w:rsidR="00DA59A4" w:rsidRPr="00B04DC3" w:rsidRDefault="00DA59A4" w:rsidP="00DA59A4">
      <w:pPr>
        <w:pStyle w:val="para"/>
        <w:rPr>
          <w:lang w:val="en-GB"/>
        </w:rPr>
      </w:pPr>
      <w:r w:rsidRPr="00B04DC3">
        <w:rPr>
          <w:lang w:val="en-GB"/>
        </w:rPr>
        <w:tab/>
        <w:t>The particulate sampling system shall be started and running on by-pass. The particulate background level of the diluent may be determined by passing diluent through the particulate filters. If filtered diluent is used, one measurement may be done prior to or after the test. If the diluent is not filtered, measurements at the beginning and at the end of the cycle, may be done, and the values averaged.</w:t>
      </w:r>
    </w:p>
    <w:p w:rsidR="00DA59A4" w:rsidRPr="00B04DC3" w:rsidRDefault="00DA59A4" w:rsidP="00DA59A4">
      <w:pPr>
        <w:pStyle w:val="para"/>
        <w:rPr>
          <w:lang w:val="en-GB"/>
        </w:rPr>
      </w:pPr>
      <w:r w:rsidRPr="00B04DC3">
        <w:rPr>
          <w:lang w:val="en-GB"/>
        </w:rPr>
        <w:t>2.5.</w:t>
      </w:r>
      <w:r w:rsidRPr="00B04DC3">
        <w:rPr>
          <w:lang w:val="en-GB"/>
        </w:rPr>
        <w:tab/>
        <w:t>Adjustment of the dilution ratio</w:t>
      </w:r>
    </w:p>
    <w:p w:rsidR="00DA59A4" w:rsidRPr="00B04DC3" w:rsidRDefault="00DA59A4" w:rsidP="00DA59A4">
      <w:pPr>
        <w:pStyle w:val="para"/>
        <w:rPr>
          <w:lang w:val="en-GB"/>
        </w:rPr>
      </w:pPr>
      <w:r w:rsidRPr="00B04DC3">
        <w:rPr>
          <w:lang w:val="en-GB"/>
        </w:rPr>
        <w:tab/>
        <w:t>The diluent shall be set such that the temperature of the diluted exhaust gas measured immediately prior to the filter shall not exceed 325 K (52 °C) at any mode. The dilution ratio (q) shall not be less than 4.</w:t>
      </w:r>
    </w:p>
    <w:p w:rsidR="00DA59A4" w:rsidRPr="00B04DC3" w:rsidRDefault="00DA59A4" w:rsidP="00AA0E48">
      <w:pPr>
        <w:pStyle w:val="para"/>
        <w:keepNext/>
        <w:keepLines/>
        <w:rPr>
          <w:lang w:val="en-GB"/>
        </w:rPr>
      </w:pPr>
      <w:r w:rsidRPr="00B04DC3">
        <w:rPr>
          <w:lang w:val="en-GB"/>
        </w:rPr>
        <w:tab/>
        <w:t>For systems that use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concentration measurement for dilution ratio control, the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content of the diluent shall be measured at the beginning and at the end of each test. The pre- and </w:t>
      </w:r>
      <w:r w:rsidR="006A75A0" w:rsidRPr="00B04DC3">
        <w:rPr>
          <w:lang w:val="en-GB"/>
        </w:rPr>
        <w:t>post</w:t>
      </w:r>
      <w:r w:rsidR="006A75A0">
        <w:rPr>
          <w:lang w:val="en-GB"/>
        </w:rPr>
        <w:t>-</w:t>
      </w:r>
      <w:r w:rsidRPr="00B04DC3">
        <w:rPr>
          <w:lang w:val="en-GB"/>
        </w:rPr>
        <w:t>test background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concentration measurements of the diluent shall be within 100 ppm or 5 ppm of each other, respectively.</w:t>
      </w:r>
    </w:p>
    <w:p w:rsidR="00DA59A4" w:rsidRPr="00B04DC3" w:rsidRDefault="00DA59A4" w:rsidP="00DA59A4">
      <w:pPr>
        <w:pStyle w:val="para"/>
        <w:rPr>
          <w:lang w:val="en-GB"/>
        </w:rPr>
      </w:pPr>
      <w:r w:rsidRPr="00B04DC3">
        <w:rPr>
          <w:lang w:val="en-GB"/>
        </w:rPr>
        <w:t>2.6.</w:t>
      </w:r>
      <w:r w:rsidRPr="00B04DC3">
        <w:rPr>
          <w:lang w:val="en-GB"/>
        </w:rPr>
        <w:tab/>
        <w:t>Checking the analyzers</w:t>
      </w:r>
    </w:p>
    <w:p w:rsidR="00DA59A4" w:rsidRPr="00B04DC3" w:rsidRDefault="00DA59A4" w:rsidP="00DA59A4">
      <w:pPr>
        <w:pStyle w:val="para"/>
        <w:rPr>
          <w:lang w:val="en-GB"/>
        </w:rPr>
      </w:pPr>
      <w:r w:rsidRPr="00B04DC3">
        <w:rPr>
          <w:lang w:val="en-GB"/>
        </w:rPr>
        <w:tab/>
        <w:t>The emission analyzers shall be set at zero and spanned. The sample bags, if used, shall be evacuated.</w:t>
      </w:r>
    </w:p>
    <w:p w:rsidR="00DA59A4" w:rsidRPr="00B04DC3" w:rsidRDefault="00DA59A4" w:rsidP="00DA59A4">
      <w:pPr>
        <w:pStyle w:val="para"/>
        <w:rPr>
          <w:lang w:val="en-GB"/>
        </w:rPr>
      </w:pPr>
      <w:r w:rsidRPr="00B04DC3">
        <w:rPr>
          <w:lang w:val="en-GB"/>
        </w:rPr>
        <w:t>2.7.</w:t>
      </w:r>
      <w:r w:rsidRPr="00B04DC3">
        <w:rPr>
          <w:lang w:val="en-GB"/>
        </w:rPr>
        <w:tab/>
        <w:t>Test cycle</w:t>
      </w:r>
    </w:p>
    <w:p w:rsidR="00DA59A4" w:rsidRPr="00B04DC3" w:rsidRDefault="00DA59A4" w:rsidP="00DA59A4">
      <w:pPr>
        <w:pStyle w:val="para"/>
        <w:rPr>
          <w:lang w:val="en-GB"/>
        </w:rPr>
      </w:pPr>
      <w:r w:rsidRPr="00B04DC3">
        <w:rPr>
          <w:lang w:val="en-GB"/>
        </w:rPr>
        <w:t>2.7.1.</w:t>
      </w:r>
      <w:r w:rsidRPr="00B04DC3">
        <w:rPr>
          <w:lang w:val="en-GB"/>
        </w:rPr>
        <w:tab/>
        <w:t>The following 13-mode cycle shall be followed in dynamometer operation on the test engine</w:t>
      </w:r>
    </w:p>
    <w:tbl>
      <w:tblPr>
        <w:tblW w:w="6237" w:type="dxa"/>
        <w:tblInd w:w="2268" w:type="dxa"/>
        <w:tblBorders>
          <w:top w:val="single" w:sz="2" w:space="0" w:color="auto"/>
          <w:insideH w:val="single" w:sz="2" w:space="0" w:color="auto"/>
          <w:insideV w:val="single" w:sz="2" w:space="0" w:color="auto"/>
        </w:tblBorders>
        <w:tblLayout w:type="fixed"/>
        <w:tblLook w:val="0000" w:firstRow="0" w:lastRow="0" w:firstColumn="0" w:lastColumn="0" w:noHBand="0" w:noVBand="0"/>
      </w:tblPr>
      <w:tblGrid>
        <w:gridCol w:w="1367"/>
        <w:gridCol w:w="1137"/>
        <w:gridCol w:w="1156"/>
        <w:gridCol w:w="1395"/>
        <w:gridCol w:w="1182"/>
      </w:tblGrid>
      <w:tr w:rsidR="00DA59A4" w:rsidRPr="00B04DC3" w:rsidTr="00260B82">
        <w:tc>
          <w:tcPr>
            <w:tcW w:w="1890" w:type="dxa"/>
            <w:tcBorders>
              <w:left w:val="single" w:sz="4" w:space="0" w:color="auto"/>
              <w:bottom w:val="single" w:sz="12" w:space="0" w:color="auto"/>
            </w:tcBorders>
          </w:tcPr>
          <w:p w:rsidR="00DA59A4" w:rsidRPr="00B04DC3" w:rsidRDefault="00DA59A4" w:rsidP="006A75A0">
            <w:pPr>
              <w:pStyle w:val="NormalCentered"/>
              <w:numPr>
                <w:ilvl w:val="0"/>
                <w:numId w:val="0"/>
              </w:numPr>
              <w:spacing w:before="80" w:after="80" w:line="200" w:lineRule="exact"/>
              <w:rPr>
                <w:i/>
                <w:sz w:val="16"/>
                <w:szCs w:val="16"/>
              </w:rPr>
            </w:pPr>
            <w:r w:rsidRPr="00B04DC3">
              <w:rPr>
                <w:i/>
                <w:sz w:val="16"/>
                <w:szCs w:val="16"/>
              </w:rPr>
              <w:t xml:space="preserve">Mode </w:t>
            </w:r>
            <w:r w:rsidR="006A75A0">
              <w:rPr>
                <w:i/>
                <w:sz w:val="16"/>
                <w:szCs w:val="16"/>
              </w:rPr>
              <w:t>n</w:t>
            </w:r>
            <w:r w:rsidR="006A75A0" w:rsidRPr="00B04DC3">
              <w:rPr>
                <w:i/>
                <w:sz w:val="16"/>
                <w:szCs w:val="16"/>
              </w:rPr>
              <w:t>umber</w:t>
            </w:r>
          </w:p>
        </w:tc>
        <w:tc>
          <w:tcPr>
            <w:tcW w:w="1554" w:type="dxa"/>
            <w:tcBorders>
              <w:bottom w:val="single" w:sz="12" w:space="0" w:color="auto"/>
            </w:tcBorders>
          </w:tcPr>
          <w:p w:rsidR="00DA59A4" w:rsidRPr="00B04DC3" w:rsidRDefault="00DA59A4" w:rsidP="006A75A0">
            <w:pPr>
              <w:pStyle w:val="NormalCentered"/>
              <w:numPr>
                <w:ilvl w:val="0"/>
                <w:numId w:val="0"/>
              </w:numPr>
              <w:spacing w:before="80" w:after="80" w:line="200" w:lineRule="exact"/>
              <w:rPr>
                <w:i/>
                <w:sz w:val="16"/>
                <w:szCs w:val="16"/>
              </w:rPr>
            </w:pPr>
            <w:r w:rsidRPr="00B04DC3">
              <w:rPr>
                <w:i/>
                <w:sz w:val="16"/>
                <w:szCs w:val="16"/>
              </w:rPr>
              <w:t xml:space="preserve">Engine </w:t>
            </w:r>
            <w:r w:rsidR="006A75A0">
              <w:rPr>
                <w:i/>
                <w:sz w:val="16"/>
                <w:szCs w:val="16"/>
              </w:rPr>
              <w:t>s</w:t>
            </w:r>
            <w:r w:rsidR="006A75A0" w:rsidRPr="00B04DC3">
              <w:rPr>
                <w:i/>
                <w:sz w:val="16"/>
                <w:szCs w:val="16"/>
              </w:rPr>
              <w:t>peed</w:t>
            </w:r>
          </w:p>
        </w:tc>
        <w:tc>
          <w:tcPr>
            <w:tcW w:w="1582" w:type="dxa"/>
            <w:tcBorders>
              <w:bottom w:val="single" w:sz="12" w:space="0" w:color="auto"/>
            </w:tcBorders>
          </w:tcPr>
          <w:p w:rsidR="00DA59A4" w:rsidRPr="00B04DC3" w:rsidRDefault="00DA59A4" w:rsidP="006A75A0">
            <w:pPr>
              <w:pStyle w:val="NormalCentered"/>
              <w:numPr>
                <w:ilvl w:val="0"/>
                <w:numId w:val="0"/>
              </w:numPr>
              <w:spacing w:before="80" w:after="80" w:line="200" w:lineRule="exact"/>
              <w:rPr>
                <w:i/>
                <w:sz w:val="16"/>
                <w:szCs w:val="16"/>
              </w:rPr>
            </w:pPr>
            <w:r w:rsidRPr="00B04DC3">
              <w:rPr>
                <w:i/>
                <w:sz w:val="16"/>
                <w:szCs w:val="16"/>
              </w:rPr>
              <w:t xml:space="preserve">Per cent </w:t>
            </w:r>
            <w:r w:rsidR="006A75A0">
              <w:rPr>
                <w:i/>
                <w:sz w:val="16"/>
                <w:szCs w:val="16"/>
              </w:rPr>
              <w:t>l</w:t>
            </w:r>
            <w:r w:rsidR="006A75A0" w:rsidRPr="00B04DC3">
              <w:rPr>
                <w:i/>
                <w:sz w:val="16"/>
                <w:szCs w:val="16"/>
              </w:rPr>
              <w:t>oad</w:t>
            </w:r>
          </w:p>
        </w:tc>
        <w:tc>
          <w:tcPr>
            <w:tcW w:w="1931" w:type="dxa"/>
            <w:tcBorders>
              <w:bottom w:val="single" w:sz="12" w:space="0" w:color="auto"/>
            </w:tcBorders>
          </w:tcPr>
          <w:p w:rsidR="00DA59A4" w:rsidRPr="00B04DC3" w:rsidRDefault="00DA59A4" w:rsidP="006A75A0">
            <w:pPr>
              <w:pStyle w:val="NormalCentered"/>
              <w:numPr>
                <w:ilvl w:val="0"/>
                <w:numId w:val="0"/>
              </w:numPr>
              <w:spacing w:before="80" w:after="80" w:line="200" w:lineRule="exact"/>
              <w:rPr>
                <w:i/>
                <w:sz w:val="16"/>
                <w:szCs w:val="16"/>
              </w:rPr>
            </w:pPr>
            <w:r w:rsidRPr="00B04DC3">
              <w:rPr>
                <w:i/>
                <w:sz w:val="16"/>
                <w:szCs w:val="16"/>
              </w:rPr>
              <w:t xml:space="preserve">Weighting </w:t>
            </w:r>
            <w:r w:rsidR="006A75A0">
              <w:rPr>
                <w:i/>
                <w:sz w:val="16"/>
                <w:szCs w:val="16"/>
              </w:rPr>
              <w:t>f</w:t>
            </w:r>
            <w:r w:rsidR="006A75A0" w:rsidRPr="00B04DC3">
              <w:rPr>
                <w:i/>
                <w:sz w:val="16"/>
                <w:szCs w:val="16"/>
              </w:rPr>
              <w:t>actor</w:t>
            </w:r>
          </w:p>
        </w:tc>
        <w:tc>
          <w:tcPr>
            <w:tcW w:w="1619" w:type="dxa"/>
            <w:tcBorders>
              <w:bottom w:val="single" w:sz="12" w:space="0" w:color="auto"/>
              <w:right w:val="single" w:sz="4" w:space="0" w:color="auto"/>
            </w:tcBorders>
          </w:tcPr>
          <w:p w:rsidR="00DA59A4" w:rsidRPr="00B04DC3" w:rsidRDefault="00DA59A4" w:rsidP="006A75A0">
            <w:pPr>
              <w:pStyle w:val="NormalCentered"/>
              <w:numPr>
                <w:ilvl w:val="0"/>
                <w:numId w:val="0"/>
              </w:numPr>
              <w:spacing w:before="80" w:after="80" w:line="200" w:lineRule="exact"/>
              <w:rPr>
                <w:i/>
                <w:sz w:val="16"/>
                <w:szCs w:val="16"/>
              </w:rPr>
            </w:pPr>
            <w:r w:rsidRPr="00B04DC3">
              <w:rPr>
                <w:i/>
                <w:sz w:val="16"/>
                <w:szCs w:val="16"/>
              </w:rPr>
              <w:t xml:space="preserve">Mode </w:t>
            </w:r>
            <w:r w:rsidR="006A75A0">
              <w:rPr>
                <w:i/>
                <w:sz w:val="16"/>
                <w:szCs w:val="16"/>
              </w:rPr>
              <w:t>l</w:t>
            </w:r>
            <w:r w:rsidR="006A75A0" w:rsidRPr="00B04DC3">
              <w:rPr>
                <w:i/>
                <w:sz w:val="16"/>
                <w:szCs w:val="16"/>
              </w:rPr>
              <w:t>ength</w:t>
            </w:r>
          </w:p>
        </w:tc>
      </w:tr>
      <w:tr w:rsidR="00DA59A4" w:rsidRPr="00B04DC3" w:rsidTr="00260B82">
        <w:tc>
          <w:tcPr>
            <w:tcW w:w="1890" w:type="dxa"/>
            <w:tcBorders>
              <w:top w:val="single" w:sz="12" w:space="0" w:color="auto"/>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w:t>
            </w:r>
          </w:p>
        </w:tc>
        <w:tc>
          <w:tcPr>
            <w:tcW w:w="1554" w:type="dxa"/>
            <w:tcBorders>
              <w:top w:val="single" w:sz="12" w:space="0" w:color="auto"/>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idle</w:t>
            </w:r>
          </w:p>
        </w:tc>
        <w:tc>
          <w:tcPr>
            <w:tcW w:w="1582" w:type="dxa"/>
            <w:tcBorders>
              <w:top w:val="single" w:sz="12" w:space="0" w:color="auto"/>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w:t>
            </w:r>
          </w:p>
        </w:tc>
        <w:tc>
          <w:tcPr>
            <w:tcW w:w="1931" w:type="dxa"/>
            <w:tcBorders>
              <w:top w:val="single" w:sz="12" w:space="0" w:color="auto"/>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0.15</w:t>
            </w:r>
          </w:p>
        </w:tc>
        <w:tc>
          <w:tcPr>
            <w:tcW w:w="1619" w:type="dxa"/>
            <w:tcBorders>
              <w:top w:val="single" w:sz="12" w:space="0" w:color="auto"/>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4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A</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100</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0.08</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3</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B</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50</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0.10</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4</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B</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75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0.10</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5</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A</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50</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6</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A</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75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7</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A</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8</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B</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100</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0.09</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9</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B</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0.10</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10</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C</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100</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0.08</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11</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C</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tc>
          <w:tcPr>
            <w:tcW w:w="1890" w:type="dxa"/>
            <w:tcBorders>
              <w:top w:val="nil"/>
              <w:left w:val="single" w:sz="4"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12</w:t>
            </w:r>
          </w:p>
        </w:tc>
        <w:tc>
          <w:tcPr>
            <w:tcW w:w="1554"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C</w:t>
            </w:r>
          </w:p>
        </w:tc>
        <w:tc>
          <w:tcPr>
            <w:tcW w:w="1582" w:type="dxa"/>
            <w:tcBorders>
              <w:top w:val="nil"/>
              <w:left w:val="single" w:sz="2" w:space="0" w:color="auto"/>
              <w:bottom w:val="nil"/>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75</w:t>
            </w:r>
          </w:p>
        </w:tc>
        <w:tc>
          <w:tcPr>
            <w:tcW w:w="1931" w:type="dxa"/>
            <w:tcBorders>
              <w:top w:val="nil"/>
              <w:left w:val="single" w:sz="2" w:space="0" w:color="auto"/>
              <w:bottom w:val="nil"/>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nil"/>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r w:rsidR="00DA59A4" w:rsidRPr="00B04DC3" w:rsidTr="00260B82">
        <w:tc>
          <w:tcPr>
            <w:tcW w:w="1890" w:type="dxa"/>
            <w:tcBorders>
              <w:top w:val="nil"/>
              <w:left w:val="single" w:sz="4" w:space="0" w:color="auto"/>
              <w:bottom w:val="single" w:sz="12" w:space="0" w:color="auto"/>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13</w:t>
            </w:r>
          </w:p>
        </w:tc>
        <w:tc>
          <w:tcPr>
            <w:tcW w:w="1554" w:type="dxa"/>
            <w:tcBorders>
              <w:top w:val="nil"/>
              <w:left w:val="single" w:sz="2" w:space="0" w:color="auto"/>
              <w:bottom w:val="single" w:sz="12" w:space="0" w:color="auto"/>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C</w:t>
            </w:r>
          </w:p>
        </w:tc>
        <w:tc>
          <w:tcPr>
            <w:tcW w:w="1582" w:type="dxa"/>
            <w:tcBorders>
              <w:top w:val="nil"/>
              <w:left w:val="single" w:sz="2" w:space="0" w:color="auto"/>
              <w:bottom w:val="single" w:sz="12" w:space="0" w:color="auto"/>
              <w:right w:val="single" w:sz="2"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50</w:t>
            </w:r>
          </w:p>
        </w:tc>
        <w:tc>
          <w:tcPr>
            <w:tcW w:w="1931" w:type="dxa"/>
            <w:tcBorders>
              <w:top w:val="nil"/>
              <w:left w:val="single" w:sz="2" w:space="0" w:color="auto"/>
              <w:bottom w:val="single" w:sz="12" w:space="0" w:color="auto"/>
              <w:right w:val="single" w:sz="2" w:space="0" w:color="auto"/>
            </w:tcBorders>
          </w:tcPr>
          <w:p w:rsidR="00DA59A4" w:rsidRPr="00B04DC3" w:rsidRDefault="00DA59A4" w:rsidP="00DA59A4">
            <w:pPr>
              <w:pStyle w:val="NormalRight"/>
              <w:spacing w:beforeLines="40" w:before="96" w:afterLines="80" w:after="192" w:line="220" w:lineRule="exact"/>
              <w:jc w:val="center"/>
              <w:rPr>
                <w:sz w:val="18"/>
                <w:szCs w:val="18"/>
              </w:rPr>
            </w:pPr>
            <w:r w:rsidRPr="00B04DC3">
              <w:rPr>
                <w:sz w:val="18"/>
                <w:szCs w:val="18"/>
              </w:rPr>
              <w:t>0.05</w:t>
            </w:r>
          </w:p>
        </w:tc>
        <w:tc>
          <w:tcPr>
            <w:tcW w:w="1619" w:type="dxa"/>
            <w:tcBorders>
              <w:top w:val="nil"/>
              <w:left w:val="single" w:sz="2" w:space="0" w:color="auto"/>
              <w:bottom w:val="single" w:sz="12" w:space="0" w:color="auto"/>
              <w:right w:val="single" w:sz="4" w:space="0" w:color="auto"/>
            </w:tcBorders>
          </w:tcPr>
          <w:p w:rsidR="00DA59A4" w:rsidRPr="00B04DC3" w:rsidRDefault="00DA59A4" w:rsidP="00DA59A4">
            <w:pPr>
              <w:pStyle w:val="NormalLeft"/>
              <w:spacing w:beforeLines="40" w:before="96" w:afterLines="80" w:after="192" w:line="220" w:lineRule="exact"/>
              <w:jc w:val="center"/>
              <w:rPr>
                <w:sz w:val="18"/>
                <w:szCs w:val="18"/>
              </w:rPr>
            </w:pPr>
            <w:r w:rsidRPr="00B04DC3">
              <w:rPr>
                <w:sz w:val="18"/>
                <w:szCs w:val="18"/>
              </w:rPr>
              <w:t>2 minutes</w:t>
            </w:r>
          </w:p>
        </w:tc>
      </w:tr>
    </w:tbl>
    <w:p w:rsidR="00DA59A4" w:rsidRPr="00B04DC3" w:rsidRDefault="00DA59A4" w:rsidP="00DA59A4">
      <w:pPr>
        <w:pStyle w:val="para"/>
        <w:spacing w:before="240"/>
        <w:rPr>
          <w:lang w:val="en-GB"/>
        </w:rPr>
      </w:pPr>
      <w:r w:rsidRPr="00B04DC3">
        <w:rPr>
          <w:lang w:val="en-GB"/>
        </w:rPr>
        <w:t>2.7.2.</w:t>
      </w:r>
      <w:r w:rsidRPr="00B04DC3">
        <w:rPr>
          <w:lang w:val="en-GB"/>
        </w:rPr>
        <w:tab/>
        <w:t>Test sequence</w:t>
      </w:r>
    </w:p>
    <w:p w:rsidR="00DA59A4" w:rsidRPr="00B04DC3" w:rsidRDefault="00DA59A4" w:rsidP="00DA59A4">
      <w:pPr>
        <w:pStyle w:val="para"/>
        <w:rPr>
          <w:lang w:val="en-GB"/>
        </w:rPr>
      </w:pPr>
      <w:r w:rsidRPr="00B04DC3">
        <w:rPr>
          <w:lang w:val="en-GB"/>
        </w:rPr>
        <w:tab/>
        <w:t>The test sequence shall be started. The test shall be performed in the order of the mode numbers as set out in paragraph 2.7.1.</w:t>
      </w:r>
      <w:r w:rsidR="006A75A0">
        <w:rPr>
          <w:lang w:val="en-GB"/>
        </w:rPr>
        <w:t xml:space="preserve"> of this appendix.</w:t>
      </w:r>
    </w:p>
    <w:p w:rsidR="00DA59A4" w:rsidRPr="00B04DC3" w:rsidRDefault="00DA59A4" w:rsidP="00DA59A4">
      <w:pPr>
        <w:pStyle w:val="para"/>
        <w:rPr>
          <w:lang w:val="en-GB"/>
        </w:rPr>
      </w:pPr>
      <w:r w:rsidRPr="00B04DC3">
        <w:rPr>
          <w:lang w:val="en-GB"/>
        </w:rPr>
        <w:tab/>
        <w:t>The engine shall be operated for the prescribed time in each mode, completing engine speed and load changes in the first 20 seconds. The specified speed shall be held to within ±50 min</w:t>
      </w:r>
      <w:r w:rsidRPr="00B04DC3">
        <w:rPr>
          <w:vertAlign w:val="superscript"/>
          <w:lang w:val="en-GB"/>
        </w:rPr>
        <w:noBreakHyphen/>
        <w:t>1</w:t>
      </w:r>
      <w:r w:rsidRPr="00B04DC3">
        <w:rPr>
          <w:lang w:val="en-GB"/>
        </w:rPr>
        <w:t xml:space="preserve"> and the specified torque shall be held to within ±2 per cent of the maximum torque at the test speed.</w:t>
      </w:r>
    </w:p>
    <w:p w:rsidR="00DA59A4" w:rsidRPr="00B04DC3" w:rsidRDefault="00DA59A4" w:rsidP="00DA59A4">
      <w:pPr>
        <w:pStyle w:val="para"/>
        <w:rPr>
          <w:lang w:val="en-GB"/>
        </w:rPr>
      </w:pPr>
      <w:r w:rsidRPr="00B04DC3">
        <w:rPr>
          <w:lang w:val="en-GB"/>
        </w:rPr>
        <w:tab/>
        <w:t>At the manufacturer's request, the test sequence may be repeated a sufficient number of times for sampling more particulate mass on the filter. The manufacturer shall supply a detailed description of the data evaluation and calculation procedures. The gaseous emissions shall only be determined on the first cycle.</w:t>
      </w:r>
    </w:p>
    <w:p w:rsidR="00DA59A4" w:rsidRPr="00B04DC3" w:rsidRDefault="00DA59A4" w:rsidP="00DA59A4">
      <w:pPr>
        <w:pStyle w:val="para"/>
        <w:rPr>
          <w:lang w:val="en-GB"/>
        </w:rPr>
      </w:pPr>
      <w:r w:rsidRPr="00B04DC3">
        <w:rPr>
          <w:lang w:val="en-GB"/>
        </w:rPr>
        <w:t>2.7.3.</w:t>
      </w:r>
      <w:r w:rsidRPr="00B04DC3">
        <w:rPr>
          <w:lang w:val="en-GB"/>
        </w:rPr>
        <w:tab/>
        <w:t>Analyzer response</w:t>
      </w:r>
    </w:p>
    <w:p w:rsidR="00DA59A4" w:rsidRPr="00B04DC3" w:rsidRDefault="00DA59A4" w:rsidP="00DA59A4">
      <w:pPr>
        <w:pStyle w:val="para"/>
        <w:rPr>
          <w:lang w:val="en-GB"/>
        </w:rPr>
      </w:pPr>
      <w:r w:rsidRPr="00B04DC3">
        <w:rPr>
          <w:lang w:val="en-GB"/>
        </w:rPr>
        <w:tab/>
        <w:t>The output of the analyzers shall be recorded on a strip chart recorder or measured with an equivalent data acquisition system with the exhaust gas flowing through the analyzers throughout the test cycle.</w:t>
      </w:r>
    </w:p>
    <w:p w:rsidR="00DA59A4" w:rsidRPr="00B04DC3" w:rsidRDefault="00DA59A4" w:rsidP="00DA59A4">
      <w:pPr>
        <w:pStyle w:val="para"/>
        <w:rPr>
          <w:lang w:val="en-GB"/>
        </w:rPr>
      </w:pPr>
      <w:r w:rsidRPr="00B04DC3">
        <w:rPr>
          <w:lang w:val="en-GB"/>
        </w:rPr>
        <w:t>2.7.4.</w:t>
      </w:r>
      <w:r w:rsidRPr="00B04DC3">
        <w:rPr>
          <w:lang w:val="en-GB"/>
        </w:rPr>
        <w:tab/>
        <w:t>Particulate sampling</w:t>
      </w:r>
    </w:p>
    <w:p w:rsidR="00DA59A4" w:rsidRPr="00B04DC3" w:rsidRDefault="00DA59A4" w:rsidP="00DA59A4">
      <w:pPr>
        <w:pStyle w:val="para"/>
        <w:rPr>
          <w:lang w:val="en-GB"/>
        </w:rPr>
      </w:pPr>
      <w:r w:rsidRPr="00B04DC3">
        <w:rPr>
          <w:lang w:val="en-GB"/>
        </w:rPr>
        <w:tab/>
        <w:t xml:space="preserve">A single filter shall be used for the complete test procedure. The modal weighting factors specified in the test cycle procedure shall be taken into account by taking a sample proportional to the exhaust mass flow during each individual mode of the cycle. This can be achieved by adjusting sample flow rate, sampling time, and/or dilution ratio, accordingly, so that the criterion for the effective weighting factors in paragraph 6.6. </w:t>
      </w:r>
      <w:r w:rsidR="006A75A0">
        <w:rPr>
          <w:lang w:val="en-GB"/>
        </w:rPr>
        <w:t>of this appendix</w:t>
      </w:r>
      <w:r w:rsidR="006A75A0" w:rsidRPr="00B04DC3">
        <w:rPr>
          <w:lang w:val="en-GB"/>
        </w:rPr>
        <w:t xml:space="preserve"> </w:t>
      </w:r>
      <w:r w:rsidRPr="00B04DC3">
        <w:rPr>
          <w:lang w:val="en-GB"/>
        </w:rPr>
        <w:t>is met.</w:t>
      </w:r>
    </w:p>
    <w:p w:rsidR="00DA59A4" w:rsidRPr="00B04DC3" w:rsidRDefault="00DA59A4" w:rsidP="00DA59A4">
      <w:pPr>
        <w:pStyle w:val="para"/>
        <w:rPr>
          <w:lang w:val="en-GB"/>
        </w:rPr>
      </w:pPr>
      <w:r w:rsidRPr="00B04DC3">
        <w:rPr>
          <w:lang w:val="en-GB"/>
        </w:rPr>
        <w:tab/>
        <w:t>The sampling time per mode shall be at least four seconds per 0.01 weighting factor. Sampling shall be conducted as late as possible within each mode. Particulate sampling shall be completed no earlier than five seconds before the end of each mode.</w:t>
      </w:r>
    </w:p>
    <w:p w:rsidR="00DA59A4" w:rsidRPr="00B04DC3" w:rsidRDefault="00DA59A4" w:rsidP="00DA59A4">
      <w:pPr>
        <w:pStyle w:val="para"/>
        <w:rPr>
          <w:lang w:val="en-GB"/>
        </w:rPr>
      </w:pPr>
      <w:r w:rsidRPr="00B04DC3">
        <w:rPr>
          <w:lang w:val="en-GB"/>
        </w:rPr>
        <w:t>2.7.5.</w:t>
      </w:r>
      <w:r w:rsidRPr="00B04DC3">
        <w:rPr>
          <w:lang w:val="en-GB"/>
        </w:rPr>
        <w:tab/>
        <w:t>Engine conditions</w:t>
      </w:r>
    </w:p>
    <w:p w:rsidR="00DA59A4" w:rsidRPr="00B04DC3" w:rsidRDefault="00DA59A4" w:rsidP="00DA59A4">
      <w:pPr>
        <w:pStyle w:val="para"/>
        <w:rPr>
          <w:lang w:val="en-GB"/>
        </w:rPr>
      </w:pPr>
      <w:r w:rsidRPr="00B04DC3">
        <w:rPr>
          <w:lang w:val="en-GB"/>
        </w:rPr>
        <w:tab/>
        <w:t>The engine speed and load, intake air temperature and depression, exhaust temperature and backpressure, fuel flow and air or exhaust flow, charge air temperature, fuel temperature and humidity shall be recorded during each mode, with the speed and load requirements (see paragraph 2.7.2.) being met during the time of particulate sampling, but in any case during the last minute of each mode.</w:t>
      </w:r>
    </w:p>
    <w:p w:rsidR="00DA59A4" w:rsidRPr="00B04DC3" w:rsidRDefault="00DA59A4" w:rsidP="00DA59A4">
      <w:pPr>
        <w:pStyle w:val="para"/>
        <w:rPr>
          <w:lang w:val="en-GB"/>
        </w:rPr>
      </w:pPr>
      <w:r w:rsidRPr="00B04DC3">
        <w:rPr>
          <w:lang w:val="en-GB"/>
        </w:rPr>
        <w:tab/>
        <w:t>Any additional data required for calculation shall be recorded (see paragraphs 4. and 5.</w:t>
      </w:r>
      <w:r w:rsidR="006A75A0">
        <w:rPr>
          <w:lang w:val="en-GB"/>
        </w:rPr>
        <w:t xml:space="preserve"> of this appendix</w:t>
      </w:r>
      <w:r w:rsidRPr="00B04DC3">
        <w:rPr>
          <w:lang w:val="en-GB"/>
        </w:rPr>
        <w:t>).</w:t>
      </w:r>
    </w:p>
    <w:p w:rsidR="00DA59A4" w:rsidRPr="00B04DC3" w:rsidRDefault="00DA59A4" w:rsidP="00DA59A4">
      <w:pPr>
        <w:pStyle w:val="para"/>
        <w:rPr>
          <w:lang w:val="en-GB"/>
        </w:rPr>
      </w:pPr>
      <w:r w:rsidRPr="00B04DC3">
        <w:rPr>
          <w:lang w:val="en-GB"/>
        </w:rPr>
        <w:t>2.7.6.</w:t>
      </w:r>
      <w:r w:rsidRPr="00B04DC3">
        <w:rPr>
          <w:lang w:val="en-GB"/>
        </w:rPr>
        <w:tab/>
        <w:t>NO</w:t>
      </w:r>
      <w:r w:rsidRPr="00B04DC3">
        <w:rPr>
          <w:vertAlign w:val="subscript"/>
          <w:lang w:val="en-GB"/>
        </w:rPr>
        <w:t>x</w:t>
      </w:r>
      <w:r w:rsidRPr="00B04DC3">
        <w:rPr>
          <w:lang w:val="en-GB"/>
        </w:rPr>
        <w:t xml:space="preserve"> check within the control area</w:t>
      </w:r>
    </w:p>
    <w:p w:rsidR="00DA59A4" w:rsidRPr="00B04DC3" w:rsidRDefault="00DA59A4" w:rsidP="00DA59A4">
      <w:pPr>
        <w:pStyle w:val="para"/>
        <w:rPr>
          <w:lang w:val="en-GB"/>
        </w:rPr>
      </w:pPr>
      <w:r w:rsidRPr="00B04DC3">
        <w:rPr>
          <w:lang w:val="en-GB"/>
        </w:rPr>
        <w:tab/>
        <w:t>The NO</w:t>
      </w:r>
      <w:r w:rsidRPr="00B04DC3">
        <w:rPr>
          <w:vertAlign w:val="subscript"/>
          <w:lang w:val="en-GB"/>
        </w:rPr>
        <w:t>x</w:t>
      </w:r>
      <w:r w:rsidRPr="00B04DC3">
        <w:rPr>
          <w:lang w:val="en-GB"/>
        </w:rPr>
        <w:t xml:space="preserve"> check within the control area shall be performed immediately upon completion of mode 13.</w:t>
      </w:r>
    </w:p>
    <w:p w:rsidR="00DA59A4" w:rsidRPr="00B04DC3" w:rsidRDefault="00DA59A4" w:rsidP="00DA59A4">
      <w:pPr>
        <w:pStyle w:val="para"/>
        <w:rPr>
          <w:lang w:val="en-GB"/>
        </w:rPr>
      </w:pPr>
      <w:r w:rsidRPr="00B04DC3">
        <w:rPr>
          <w:lang w:val="en-GB"/>
        </w:rPr>
        <w:tab/>
        <w:t>The engine shall be conditioned at mode 13 for a period of three minutes before the start of the measurements. Three measurements shall be made at different locations within the control area, selected by the Technical Service</w:t>
      </w:r>
      <w:r w:rsidR="006A75A0">
        <w:rPr>
          <w:lang w:val="en-GB"/>
        </w:rPr>
        <w:t>.</w:t>
      </w:r>
      <w:r w:rsidRPr="00B04DC3">
        <w:rPr>
          <w:rStyle w:val="FootnoteReference"/>
          <w:bCs/>
          <w:lang w:val="en-GB"/>
        </w:rPr>
        <w:footnoteReference w:id="33"/>
      </w:r>
      <w:r w:rsidRPr="00B04DC3">
        <w:rPr>
          <w:lang w:val="en-GB"/>
        </w:rPr>
        <w:t xml:space="preserve"> The time for each measurement shall be two minutes.</w:t>
      </w:r>
    </w:p>
    <w:p w:rsidR="00DA59A4" w:rsidRPr="00B04DC3" w:rsidRDefault="00DA59A4" w:rsidP="00DA59A4">
      <w:pPr>
        <w:pStyle w:val="para"/>
        <w:rPr>
          <w:lang w:val="en-GB"/>
        </w:rPr>
      </w:pPr>
      <w:r w:rsidRPr="00B04DC3">
        <w:rPr>
          <w:lang w:val="en-GB"/>
        </w:rPr>
        <w:tab/>
        <w:t>The measurement procedure is identical to the NO</w:t>
      </w:r>
      <w:r w:rsidRPr="00B04DC3">
        <w:rPr>
          <w:vertAlign w:val="subscript"/>
          <w:lang w:val="en-GB"/>
        </w:rPr>
        <w:t>x</w:t>
      </w:r>
      <w:r w:rsidRPr="00B04DC3">
        <w:rPr>
          <w:lang w:val="en-GB"/>
        </w:rPr>
        <w:t xml:space="preserve"> measurement on the 13-mode cycle, and shall be carried out in accordance with paragraphs 2.7.3., 2.7.5. and 4.1. of this appendix and </w:t>
      </w:r>
      <w:r w:rsidR="004F59F4" w:rsidRPr="00B04DC3">
        <w:rPr>
          <w:lang w:val="en-GB"/>
        </w:rPr>
        <w:t>paragraph 3.</w:t>
      </w:r>
      <w:r w:rsidR="00A11839">
        <w:rPr>
          <w:lang w:val="en-GB"/>
        </w:rPr>
        <w:t xml:space="preserve"> of</w:t>
      </w:r>
      <w:r w:rsidR="004F59F4">
        <w:rPr>
          <w:lang w:val="en-GB"/>
        </w:rPr>
        <w:t xml:space="preserve"> </w:t>
      </w:r>
      <w:r w:rsidRPr="00B04DC3">
        <w:rPr>
          <w:lang w:val="en-GB"/>
        </w:rPr>
        <w:t>Appendix 4</w:t>
      </w:r>
      <w:r w:rsidR="004F59F4">
        <w:rPr>
          <w:lang w:val="en-GB"/>
        </w:rPr>
        <w:t>.</w:t>
      </w:r>
      <w:r w:rsidR="004F59F4" w:rsidRPr="00B04DC3">
        <w:rPr>
          <w:lang w:val="en-GB"/>
        </w:rPr>
        <w:t xml:space="preserve"> </w:t>
      </w:r>
    </w:p>
    <w:p w:rsidR="00DA59A4" w:rsidRPr="00B04DC3" w:rsidRDefault="00DA59A4" w:rsidP="00DA59A4">
      <w:pPr>
        <w:pStyle w:val="para"/>
        <w:rPr>
          <w:lang w:val="en-GB"/>
        </w:rPr>
      </w:pPr>
      <w:r w:rsidRPr="00B04DC3">
        <w:rPr>
          <w:lang w:val="en-GB"/>
        </w:rPr>
        <w:tab/>
        <w:t>The calculation shall be carried out in accordance with paragraph 4.</w:t>
      </w:r>
    </w:p>
    <w:p w:rsidR="00DA59A4" w:rsidRPr="00B04DC3" w:rsidRDefault="00DA59A4" w:rsidP="00AA0E48">
      <w:pPr>
        <w:pStyle w:val="para"/>
        <w:keepNext/>
        <w:keepLines/>
        <w:rPr>
          <w:lang w:val="en-GB"/>
        </w:rPr>
      </w:pPr>
      <w:r w:rsidRPr="00B04DC3">
        <w:rPr>
          <w:lang w:val="en-GB"/>
        </w:rPr>
        <w:t>2.7.7.</w:t>
      </w:r>
      <w:r w:rsidRPr="00B04DC3">
        <w:rPr>
          <w:lang w:val="en-GB"/>
        </w:rPr>
        <w:tab/>
        <w:t>Rechecking the analyzers</w:t>
      </w:r>
    </w:p>
    <w:p w:rsidR="00DA59A4" w:rsidRPr="00B04DC3" w:rsidRDefault="00DA59A4" w:rsidP="00DA59A4">
      <w:pPr>
        <w:pStyle w:val="para"/>
        <w:rPr>
          <w:lang w:val="en-GB"/>
        </w:rPr>
      </w:pPr>
      <w:r w:rsidRPr="00B04DC3">
        <w:rPr>
          <w:lang w:val="en-GB"/>
        </w:rPr>
        <w:tab/>
        <w:t>After the emission test a zero gas and the same span gas shall be used for rechecking. The test will be considered acceptable if the difference between the pre-test and post-test results is less than 2 per cent of the span gas value.</w:t>
      </w:r>
    </w:p>
    <w:p w:rsidR="00DA59A4" w:rsidRPr="00B04DC3" w:rsidRDefault="00DA59A4" w:rsidP="00350F5F">
      <w:pPr>
        <w:pStyle w:val="para"/>
        <w:keepNext/>
        <w:keepLines/>
        <w:rPr>
          <w:lang w:val="en-GB"/>
        </w:rPr>
      </w:pPr>
      <w:r w:rsidRPr="00B04DC3">
        <w:rPr>
          <w:lang w:val="en-GB"/>
        </w:rPr>
        <w:t>3.</w:t>
      </w:r>
      <w:r w:rsidRPr="00B04DC3">
        <w:rPr>
          <w:lang w:val="en-GB"/>
        </w:rPr>
        <w:tab/>
        <w:t>ELR test run</w:t>
      </w:r>
    </w:p>
    <w:p w:rsidR="00DA59A4" w:rsidRPr="00B04DC3" w:rsidRDefault="00DA59A4" w:rsidP="00DA59A4">
      <w:pPr>
        <w:pStyle w:val="para"/>
        <w:rPr>
          <w:lang w:val="en-GB"/>
        </w:rPr>
      </w:pPr>
      <w:r w:rsidRPr="00B04DC3">
        <w:rPr>
          <w:lang w:val="en-GB"/>
        </w:rPr>
        <w:t>3.1.</w:t>
      </w:r>
      <w:r w:rsidRPr="00B04DC3">
        <w:rPr>
          <w:lang w:val="en-GB"/>
        </w:rPr>
        <w:tab/>
        <w:t>Installation of the measuring equipment</w:t>
      </w:r>
    </w:p>
    <w:p w:rsidR="00DA59A4" w:rsidRPr="00B04DC3" w:rsidRDefault="00DA59A4" w:rsidP="00DA59A4">
      <w:pPr>
        <w:pStyle w:val="para"/>
        <w:rPr>
          <w:lang w:val="en-GB"/>
        </w:rPr>
      </w:pPr>
      <w:r w:rsidRPr="00B04DC3">
        <w:rPr>
          <w:lang w:val="en-GB"/>
        </w:rPr>
        <w:tab/>
        <w:t xml:space="preserve">The opacimeter and sample probes, if applicable, shall be installed after the exhaust silencer or any </w:t>
      </w:r>
      <w:r w:rsidR="006A75A0">
        <w:rPr>
          <w:lang w:val="en-GB"/>
        </w:rPr>
        <w:t>after-treatment</w:t>
      </w:r>
      <w:r w:rsidRPr="00B04DC3">
        <w:rPr>
          <w:lang w:val="en-GB"/>
        </w:rPr>
        <w:t xml:space="preserve"> device, if fitted, according to the general installation procedures specified by the instrument manufacturer. Additionally, the requirements of paragraph 10. of ISO 11614 shall be observed.</w:t>
      </w:r>
    </w:p>
    <w:p w:rsidR="00DA59A4" w:rsidRPr="00B04DC3" w:rsidRDefault="00DA59A4" w:rsidP="00DA59A4">
      <w:pPr>
        <w:pStyle w:val="para"/>
        <w:rPr>
          <w:lang w:val="en-GB"/>
        </w:rPr>
      </w:pPr>
      <w:r w:rsidRPr="00B04DC3">
        <w:rPr>
          <w:lang w:val="en-GB"/>
        </w:rPr>
        <w:tab/>
        <w:t>Prior to any zero and full-scale checks, the opacimeter shall be warmed up and stabilized according to the instrument manufacturer's recommendations. If the opacimeter is equipped with a purge air system to prevent sooting of the meter optics, this system shall also be activated and adjusted according to the manufacturer's recommendations.</w:t>
      </w:r>
    </w:p>
    <w:p w:rsidR="00DA59A4" w:rsidRPr="00B04DC3" w:rsidRDefault="00DA59A4" w:rsidP="00DA59A4">
      <w:pPr>
        <w:pStyle w:val="para"/>
        <w:rPr>
          <w:lang w:val="en-GB"/>
        </w:rPr>
      </w:pPr>
      <w:r w:rsidRPr="00B04DC3">
        <w:rPr>
          <w:lang w:val="en-GB"/>
        </w:rPr>
        <w:t>3.2.</w:t>
      </w:r>
      <w:r w:rsidRPr="00B04DC3">
        <w:rPr>
          <w:lang w:val="en-GB"/>
        </w:rPr>
        <w:tab/>
        <w:t>Checking of the opacimeter</w:t>
      </w:r>
    </w:p>
    <w:p w:rsidR="00DA59A4" w:rsidRPr="00B04DC3" w:rsidRDefault="00DA59A4" w:rsidP="00DA59A4">
      <w:pPr>
        <w:pStyle w:val="para"/>
        <w:rPr>
          <w:lang w:val="en-GB"/>
        </w:rPr>
      </w:pPr>
      <w:r w:rsidRPr="00B04DC3">
        <w:rPr>
          <w:lang w:val="en-GB"/>
        </w:rPr>
        <w:tab/>
        <w:t>The zero and full scale checks shall be made in the opacity readout mode, since the opacity scale offers two truly definable calibration points, namely 0 per cent opacity and 100 per cent opacity. The light absorption coefficient is then correctly calculated based upon the measured opacity and the L</w:t>
      </w:r>
      <w:r w:rsidRPr="00B04DC3">
        <w:rPr>
          <w:vertAlign w:val="subscript"/>
          <w:lang w:val="en-GB"/>
        </w:rPr>
        <w:t>A</w:t>
      </w:r>
      <w:r w:rsidRPr="00B04DC3">
        <w:rPr>
          <w:lang w:val="en-GB"/>
        </w:rPr>
        <w:t>, as submitted by the opacimeter manufacturer, when the instrument is returned to the k readout mode for testing.</w:t>
      </w:r>
    </w:p>
    <w:p w:rsidR="00DA59A4" w:rsidRPr="00B04DC3" w:rsidRDefault="00DA59A4" w:rsidP="00DA59A4">
      <w:pPr>
        <w:pStyle w:val="para"/>
        <w:rPr>
          <w:lang w:val="en-GB"/>
        </w:rPr>
      </w:pPr>
      <w:r w:rsidRPr="00B04DC3">
        <w:rPr>
          <w:lang w:val="en-GB"/>
        </w:rPr>
        <w:tab/>
        <w:t xml:space="preserve">With no blockage of the opacimeter light beam, the readout shall be adjusted to </w:t>
      </w:r>
      <w:r w:rsidRPr="004F59F4">
        <w:rPr>
          <w:lang w:val="en-GB"/>
        </w:rPr>
        <w:t>0.0</w:t>
      </w:r>
      <w:r w:rsidRPr="00B04DC3">
        <w:rPr>
          <w:lang w:val="en-GB"/>
        </w:rPr>
        <w:t xml:space="preserve"> per cent ± 1.0 per cent opacity. With the light being prevented from reaching the receiver, the readout shall be adjusted to 100.0 per cent ± 1.0 per cent opacity.</w:t>
      </w:r>
    </w:p>
    <w:p w:rsidR="00DA59A4" w:rsidRPr="00B04DC3" w:rsidRDefault="00DA59A4" w:rsidP="00DA59A4">
      <w:pPr>
        <w:pStyle w:val="para"/>
        <w:rPr>
          <w:lang w:val="en-GB"/>
        </w:rPr>
      </w:pPr>
      <w:r w:rsidRPr="00B04DC3">
        <w:rPr>
          <w:lang w:val="en-GB"/>
        </w:rPr>
        <w:t>3.3.</w:t>
      </w:r>
      <w:r w:rsidRPr="00B04DC3">
        <w:rPr>
          <w:lang w:val="en-GB"/>
        </w:rPr>
        <w:tab/>
        <w:t>Test cycle</w:t>
      </w:r>
    </w:p>
    <w:p w:rsidR="00DA59A4" w:rsidRPr="00B04DC3" w:rsidRDefault="00DA59A4" w:rsidP="00DA59A4">
      <w:pPr>
        <w:pStyle w:val="para"/>
        <w:rPr>
          <w:lang w:val="en-GB"/>
        </w:rPr>
      </w:pPr>
      <w:r w:rsidRPr="00B04DC3">
        <w:rPr>
          <w:lang w:val="en-GB"/>
        </w:rPr>
        <w:t>3.3.1.</w:t>
      </w:r>
      <w:r w:rsidRPr="00B04DC3">
        <w:rPr>
          <w:lang w:val="en-GB"/>
        </w:rPr>
        <w:tab/>
        <w:t>Conditioning of the engine</w:t>
      </w:r>
    </w:p>
    <w:p w:rsidR="00DA59A4" w:rsidRPr="00B04DC3" w:rsidRDefault="00DA59A4" w:rsidP="00DA59A4">
      <w:pPr>
        <w:pStyle w:val="para"/>
        <w:rPr>
          <w:lang w:val="en-GB"/>
        </w:rPr>
      </w:pPr>
      <w:r w:rsidRPr="00B04DC3">
        <w:rPr>
          <w:lang w:val="en-GB"/>
        </w:rPr>
        <w:tab/>
        <w:t>Warming up of the engine and the system shall be at maximum power in order to stabilise the engine parameters according to the recommendation of the manufacturer. The preconditioning phase should also protect the actual measurement against the influence of deposits in the exhaust system from a former test.</w:t>
      </w:r>
    </w:p>
    <w:p w:rsidR="00DA59A4" w:rsidRPr="00B04DC3" w:rsidRDefault="00DA59A4" w:rsidP="00DA59A4">
      <w:pPr>
        <w:pStyle w:val="para"/>
        <w:rPr>
          <w:lang w:val="en-GB"/>
        </w:rPr>
      </w:pPr>
      <w:r w:rsidRPr="00B04DC3">
        <w:rPr>
          <w:lang w:val="en-GB"/>
        </w:rPr>
        <w:tab/>
        <w:t>When the engine is stabilized, the cycle shall be started within 20 ± 2</w:t>
      </w:r>
      <w:r w:rsidR="00077AA2" w:rsidRPr="00B04DC3">
        <w:rPr>
          <w:lang w:val="en-GB"/>
        </w:rPr>
        <w:t xml:space="preserve"> seconds</w:t>
      </w:r>
      <w:r w:rsidR="00464A90" w:rsidRPr="00B04DC3">
        <w:rPr>
          <w:lang w:val="en-GB"/>
        </w:rPr>
        <w:t xml:space="preserve"> </w:t>
      </w:r>
      <w:r w:rsidRPr="00B04DC3">
        <w:rPr>
          <w:lang w:val="en-GB"/>
        </w:rPr>
        <w:t>after the preconditioning phase. At the manufacturer's request, a dummy test may be run for additional conditioning before the measurement cycle.</w:t>
      </w:r>
    </w:p>
    <w:p w:rsidR="00DA59A4" w:rsidRPr="00B04DC3" w:rsidRDefault="00DA59A4" w:rsidP="00DA59A4">
      <w:pPr>
        <w:pStyle w:val="para"/>
        <w:rPr>
          <w:lang w:val="en-GB"/>
        </w:rPr>
      </w:pPr>
      <w:r w:rsidRPr="00B04DC3">
        <w:rPr>
          <w:lang w:val="en-GB"/>
        </w:rPr>
        <w:t>3.3.2.</w:t>
      </w:r>
      <w:r w:rsidRPr="00B04DC3">
        <w:rPr>
          <w:lang w:val="en-GB"/>
        </w:rPr>
        <w:tab/>
        <w:t>Test sequence</w:t>
      </w:r>
    </w:p>
    <w:p w:rsidR="00DA59A4" w:rsidRPr="00B04DC3" w:rsidRDefault="00DA59A4" w:rsidP="00DA59A4">
      <w:pPr>
        <w:pStyle w:val="para"/>
        <w:rPr>
          <w:lang w:val="en-GB"/>
        </w:rPr>
      </w:pPr>
      <w:r w:rsidRPr="00B04DC3">
        <w:rPr>
          <w:lang w:val="en-GB"/>
        </w:rPr>
        <w:tab/>
        <w:t>The test consists of a sequence of three load steps at each of the three engine speeds A (cycle 1), B (cycle 2) and C (cycle 3) determined in accordance with Annex 4A, paragraph 1.1., followed by cycle 4 at a speed within the control area and a load between 10 per cent and 100 per cent, selected by the Technical Service</w:t>
      </w:r>
      <w:r w:rsidRPr="00B04DC3">
        <w:rPr>
          <w:vertAlign w:val="superscript"/>
          <w:lang w:val="en-GB"/>
        </w:rPr>
        <w:t>1</w:t>
      </w:r>
      <w:r w:rsidRPr="00B04DC3">
        <w:rPr>
          <w:lang w:val="en-GB"/>
        </w:rPr>
        <w:t xml:space="preserve">. The following sequence shall be followed in dynamometer operation on the test engine, as shown in </w:t>
      </w:r>
      <w:r w:rsidR="00313D4E" w:rsidRPr="00B04DC3">
        <w:rPr>
          <w:lang w:val="en-GB"/>
        </w:rPr>
        <w:t>Figure</w:t>
      </w:r>
      <w:r w:rsidRPr="00B04DC3">
        <w:rPr>
          <w:lang w:val="en-GB"/>
        </w:rPr>
        <w:t xml:space="preserve"> 3.</w:t>
      </w:r>
    </w:p>
    <w:p w:rsidR="00DA59A4" w:rsidRPr="00B04DC3" w:rsidRDefault="00DA59A4" w:rsidP="00260B82">
      <w:pPr>
        <w:pStyle w:val="Heading1"/>
        <w:keepNext/>
        <w:keepLines/>
      </w:pPr>
      <w:bookmarkStart w:id="175" w:name="_Toc399939923"/>
      <w:bookmarkStart w:id="176" w:name="_Toc423599510"/>
      <w:bookmarkStart w:id="177" w:name="_Toc423610918"/>
      <w:r w:rsidRPr="00B04DC3">
        <w:t>Figure 3</w:t>
      </w:r>
      <w:bookmarkEnd w:id="175"/>
      <w:bookmarkEnd w:id="176"/>
      <w:bookmarkEnd w:id="177"/>
    </w:p>
    <w:p w:rsidR="00DA59A4" w:rsidRPr="00B04DC3" w:rsidRDefault="00DA59A4" w:rsidP="00260B82">
      <w:pPr>
        <w:pStyle w:val="Heading1"/>
        <w:keepNext/>
        <w:keepLines/>
        <w:rPr>
          <w:b/>
        </w:rPr>
      </w:pPr>
      <w:bookmarkStart w:id="178" w:name="_Toc399939924"/>
      <w:bookmarkStart w:id="179" w:name="_Toc423599511"/>
      <w:bookmarkStart w:id="180" w:name="_Toc423610919"/>
      <w:r w:rsidRPr="00B04DC3">
        <w:rPr>
          <w:b/>
        </w:rPr>
        <w:t xml:space="preserve">Sequence of ELR </w:t>
      </w:r>
      <w:bookmarkEnd w:id="178"/>
      <w:r w:rsidR="004F59F4">
        <w:rPr>
          <w:b/>
        </w:rPr>
        <w:t>t</w:t>
      </w:r>
      <w:r w:rsidR="004F59F4" w:rsidRPr="00B04DC3">
        <w:rPr>
          <w:b/>
        </w:rPr>
        <w:t>est</w:t>
      </w:r>
      <w:bookmarkEnd w:id="179"/>
      <w:bookmarkEnd w:id="180"/>
    </w:p>
    <w:p w:rsidR="00DA59A4" w:rsidRPr="00B04DC3" w:rsidRDefault="00A905B7" w:rsidP="00DA59A4">
      <w:pPr>
        <w:pStyle w:val="NormalCentered"/>
        <w:numPr>
          <w:ilvl w:val="0"/>
          <w:numId w:val="0"/>
        </w:numPr>
        <w:spacing w:before="0" w:after="0"/>
      </w:pPr>
      <w:r>
        <w:pict>
          <v:shape id="_x0000_i1060" type="#_x0000_t75" style="width:446.4pt;height:249.6pt" fillcolor="window">
            <v:imagedata r:id="rId110" o:title=""/>
          </v:shape>
        </w:pict>
      </w:r>
    </w:p>
    <w:p w:rsidR="00DA59A4" w:rsidRPr="00B04DC3" w:rsidRDefault="00DA59A4" w:rsidP="00DA59A4">
      <w:pPr>
        <w:pStyle w:val="a"/>
        <w:rPr>
          <w:lang w:val="en-GB"/>
        </w:rPr>
      </w:pPr>
      <w:r w:rsidRPr="00B04DC3">
        <w:rPr>
          <w:lang w:val="en-GB"/>
        </w:rPr>
        <w:t>(a)</w:t>
      </w:r>
      <w:r w:rsidRPr="00B04DC3">
        <w:rPr>
          <w:lang w:val="en-GB"/>
        </w:rPr>
        <w:tab/>
        <w:t>The engine shall be operated at engine speed A and 10 per cent load for 20 ± 2</w:t>
      </w:r>
      <w:r w:rsidR="00077AA2" w:rsidRPr="00B04DC3">
        <w:rPr>
          <w:lang w:val="en-GB"/>
        </w:rPr>
        <w:t xml:space="preserve"> seconds</w:t>
      </w:r>
      <w:r w:rsidRPr="00B04DC3">
        <w:rPr>
          <w:lang w:val="en-GB"/>
        </w:rPr>
        <w:t xml:space="preserve">The specified speed shall be held to within </w:t>
      </w:r>
      <w:r w:rsidR="00F367CA">
        <w:rPr>
          <w:lang w:val="en-GB"/>
        </w:rPr>
        <w:br/>
      </w:r>
      <w:r w:rsidRPr="00B04DC3">
        <w:rPr>
          <w:lang w:val="en-GB"/>
        </w:rPr>
        <w:t>±20 min</w:t>
      </w:r>
      <w:r w:rsidRPr="00B04DC3">
        <w:rPr>
          <w:vertAlign w:val="superscript"/>
          <w:lang w:val="en-GB"/>
        </w:rPr>
        <w:t>-1</w:t>
      </w:r>
      <w:r w:rsidRPr="00B04DC3">
        <w:rPr>
          <w:lang w:val="en-GB"/>
        </w:rPr>
        <w:t xml:space="preserve"> and the specified torque shall be held to within ±2 per cent of the maximum torque at the test speed.</w:t>
      </w:r>
    </w:p>
    <w:p w:rsidR="00DA59A4" w:rsidRPr="00B04DC3" w:rsidRDefault="00DA59A4" w:rsidP="00DA59A4">
      <w:pPr>
        <w:pStyle w:val="a"/>
        <w:rPr>
          <w:lang w:val="en-GB"/>
        </w:rPr>
      </w:pPr>
      <w:r w:rsidRPr="00B04DC3">
        <w:rPr>
          <w:lang w:val="en-GB"/>
        </w:rPr>
        <w:t>(b)</w:t>
      </w:r>
      <w:r w:rsidRPr="00B04DC3">
        <w:rPr>
          <w:lang w:val="en-GB"/>
        </w:rPr>
        <w:tab/>
        <w:t>At the end of the previous segment, the speed control lever shall be moved rapidly to, and held in, the wide open position for 10 ± 1</w:t>
      </w:r>
      <w:r w:rsidR="00464A90" w:rsidRPr="00B04DC3">
        <w:rPr>
          <w:lang w:val="en-GB"/>
        </w:rPr>
        <w:t> </w:t>
      </w:r>
      <w:r w:rsidRPr="00B04DC3">
        <w:rPr>
          <w:lang w:val="en-GB"/>
        </w:rPr>
        <w:t>s</w:t>
      </w:r>
      <w:r w:rsidR="00077AA2" w:rsidRPr="00B04DC3">
        <w:rPr>
          <w:lang w:val="en-GB"/>
        </w:rPr>
        <w:t>econds</w:t>
      </w:r>
      <w:r w:rsidRPr="00B04DC3">
        <w:rPr>
          <w:lang w:val="en-GB"/>
        </w:rPr>
        <w:t>. The necessary dynamometer load shall be applied to keep the engine speed within ±150 min</w:t>
      </w:r>
      <w:r w:rsidRPr="00B04DC3">
        <w:rPr>
          <w:vertAlign w:val="superscript"/>
          <w:lang w:val="en-GB"/>
        </w:rPr>
        <w:t>-1</w:t>
      </w:r>
      <w:r w:rsidRPr="00B04DC3">
        <w:rPr>
          <w:lang w:val="en-GB"/>
        </w:rPr>
        <w:t xml:space="preserve"> during the first three seconds, and within ±20 min</w:t>
      </w:r>
      <w:r w:rsidRPr="00B04DC3">
        <w:rPr>
          <w:vertAlign w:val="superscript"/>
          <w:lang w:val="en-GB"/>
        </w:rPr>
        <w:t>-1</w:t>
      </w:r>
      <w:r w:rsidRPr="00B04DC3">
        <w:rPr>
          <w:lang w:val="en-GB"/>
        </w:rPr>
        <w:t xml:space="preserve"> during the rest of the segment.</w:t>
      </w:r>
    </w:p>
    <w:p w:rsidR="00DA59A4" w:rsidRPr="00B04DC3" w:rsidRDefault="00DA59A4" w:rsidP="00DA59A4">
      <w:pPr>
        <w:pStyle w:val="a"/>
        <w:rPr>
          <w:lang w:val="en-GB"/>
        </w:rPr>
      </w:pPr>
      <w:r w:rsidRPr="00B04DC3">
        <w:rPr>
          <w:lang w:val="en-GB"/>
        </w:rPr>
        <w:t>(c)</w:t>
      </w:r>
      <w:r w:rsidRPr="00B04DC3">
        <w:rPr>
          <w:lang w:val="en-GB"/>
        </w:rPr>
        <w:tab/>
        <w:t>The sequence described in (a) and (b) shall be repeated two times.</w:t>
      </w:r>
    </w:p>
    <w:p w:rsidR="00DA59A4" w:rsidRPr="00B04DC3" w:rsidRDefault="00DA59A4" w:rsidP="00DA59A4">
      <w:pPr>
        <w:pStyle w:val="a"/>
        <w:rPr>
          <w:lang w:val="en-GB"/>
        </w:rPr>
      </w:pPr>
      <w:r w:rsidRPr="00B04DC3">
        <w:rPr>
          <w:lang w:val="en-GB"/>
        </w:rPr>
        <w:t>(d)</w:t>
      </w:r>
      <w:r w:rsidRPr="00B04DC3">
        <w:rPr>
          <w:lang w:val="en-GB"/>
        </w:rPr>
        <w:tab/>
        <w:t>Upon completion of the third load step, the engine shall be adjusted to engine speed B and 10 per cent load within 20 ± 2 seconds.</w:t>
      </w:r>
    </w:p>
    <w:p w:rsidR="00DA59A4" w:rsidRPr="00B04DC3" w:rsidRDefault="00DA59A4" w:rsidP="00DA59A4">
      <w:pPr>
        <w:pStyle w:val="a"/>
        <w:rPr>
          <w:lang w:val="en-GB"/>
        </w:rPr>
      </w:pPr>
      <w:r w:rsidRPr="00B04DC3">
        <w:rPr>
          <w:lang w:val="en-GB"/>
        </w:rPr>
        <w:t>(e)</w:t>
      </w:r>
      <w:r w:rsidRPr="00B04DC3">
        <w:rPr>
          <w:lang w:val="en-GB"/>
        </w:rPr>
        <w:tab/>
        <w:t>The sequence (a) to (c) shall be run with the engine operating at engine speed B.</w:t>
      </w:r>
    </w:p>
    <w:p w:rsidR="00DA59A4" w:rsidRPr="00B04DC3" w:rsidRDefault="00DA59A4" w:rsidP="00DA59A4">
      <w:pPr>
        <w:pStyle w:val="a"/>
        <w:rPr>
          <w:lang w:val="en-GB"/>
        </w:rPr>
      </w:pPr>
      <w:r w:rsidRPr="00B04DC3">
        <w:rPr>
          <w:lang w:val="en-GB"/>
        </w:rPr>
        <w:t>(f)</w:t>
      </w:r>
      <w:r w:rsidRPr="00B04DC3">
        <w:rPr>
          <w:lang w:val="en-GB"/>
        </w:rPr>
        <w:tab/>
        <w:t>Upon completion of the third load step, the engine shall be adjusted to engine speed C and 10 per cent load within 20 ± 2 seconds.</w:t>
      </w:r>
    </w:p>
    <w:p w:rsidR="00DA59A4" w:rsidRPr="00B04DC3" w:rsidRDefault="00DA59A4" w:rsidP="00DA59A4">
      <w:pPr>
        <w:pStyle w:val="a"/>
        <w:rPr>
          <w:lang w:val="en-GB"/>
        </w:rPr>
      </w:pPr>
      <w:r w:rsidRPr="00B04DC3">
        <w:rPr>
          <w:lang w:val="en-GB"/>
        </w:rPr>
        <w:t>(g)</w:t>
      </w:r>
      <w:r w:rsidRPr="00B04DC3">
        <w:rPr>
          <w:lang w:val="en-GB"/>
        </w:rPr>
        <w:tab/>
        <w:t>The sequence (a) to (c) shall be run with the engine operating at engine speed C.</w:t>
      </w:r>
    </w:p>
    <w:p w:rsidR="00DA59A4" w:rsidRPr="00B04DC3" w:rsidRDefault="00DA59A4" w:rsidP="00DA59A4">
      <w:pPr>
        <w:pStyle w:val="a"/>
        <w:rPr>
          <w:lang w:val="en-GB"/>
        </w:rPr>
      </w:pPr>
      <w:r w:rsidRPr="00B04DC3">
        <w:rPr>
          <w:lang w:val="en-GB"/>
        </w:rPr>
        <w:t>(h)</w:t>
      </w:r>
      <w:r w:rsidRPr="00B04DC3">
        <w:rPr>
          <w:lang w:val="en-GB"/>
        </w:rPr>
        <w:tab/>
        <w:t>Upon completion of the third load step, the engine shall be adjusted to the selected engine speed and any load above 10 per cent within 20 ± 2 seconds.</w:t>
      </w:r>
    </w:p>
    <w:p w:rsidR="00DA59A4" w:rsidRPr="00B04DC3" w:rsidRDefault="00DA59A4" w:rsidP="00DA59A4">
      <w:pPr>
        <w:pStyle w:val="a"/>
        <w:rPr>
          <w:lang w:val="en-GB"/>
        </w:rPr>
      </w:pPr>
      <w:r w:rsidRPr="00B04DC3">
        <w:rPr>
          <w:lang w:val="en-GB"/>
        </w:rPr>
        <w:t>(i)</w:t>
      </w:r>
      <w:r w:rsidRPr="00B04DC3">
        <w:rPr>
          <w:lang w:val="en-GB"/>
        </w:rPr>
        <w:tab/>
        <w:t>The sequence (a) to (c) shall be run with the engine operating at the selected engine speed.</w:t>
      </w:r>
    </w:p>
    <w:p w:rsidR="00DA59A4" w:rsidRPr="00B04DC3" w:rsidRDefault="00DA59A4" w:rsidP="00DA59A4">
      <w:pPr>
        <w:pStyle w:val="para"/>
        <w:rPr>
          <w:lang w:val="en-GB"/>
        </w:rPr>
      </w:pPr>
      <w:r w:rsidRPr="00B04DC3">
        <w:rPr>
          <w:lang w:val="en-GB"/>
        </w:rPr>
        <w:br w:type="page"/>
        <w:t>3.4.</w:t>
      </w:r>
      <w:r w:rsidRPr="00B04DC3">
        <w:rPr>
          <w:lang w:val="en-GB"/>
        </w:rPr>
        <w:tab/>
        <w:t>Cycle validation</w:t>
      </w:r>
    </w:p>
    <w:p w:rsidR="00DA59A4" w:rsidRPr="00B04DC3" w:rsidRDefault="00DA59A4" w:rsidP="00DA59A4">
      <w:pPr>
        <w:pStyle w:val="para"/>
        <w:ind w:firstLine="0"/>
        <w:rPr>
          <w:lang w:val="en-GB"/>
        </w:rPr>
      </w:pPr>
      <w:r w:rsidRPr="00B04DC3">
        <w:rPr>
          <w:lang w:val="en-GB"/>
        </w:rPr>
        <w:t>The relative standard deviations of the mean smoke values at each test speed (SV</w:t>
      </w:r>
      <w:r w:rsidRPr="00B04DC3">
        <w:rPr>
          <w:vertAlign w:val="subscript"/>
          <w:lang w:val="en-GB"/>
        </w:rPr>
        <w:t>A</w:t>
      </w:r>
      <w:r w:rsidRPr="00B04DC3">
        <w:rPr>
          <w:lang w:val="en-GB"/>
        </w:rPr>
        <w:t>, SV</w:t>
      </w:r>
      <w:r w:rsidRPr="00B04DC3">
        <w:rPr>
          <w:vertAlign w:val="subscript"/>
          <w:lang w:val="en-GB"/>
        </w:rPr>
        <w:t>B</w:t>
      </w:r>
      <w:r w:rsidRPr="00B04DC3">
        <w:rPr>
          <w:lang w:val="en-GB"/>
        </w:rPr>
        <w:t>, SV</w:t>
      </w:r>
      <w:r w:rsidRPr="00B04DC3">
        <w:rPr>
          <w:vertAlign w:val="subscript"/>
          <w:lang w:val="en-GB"/>
        </w:rPr>
        <w:t>C</w:t>
      </w:r>
      <w:r w:rsidRPr="00B04DC3">
        <w:rPr>
          <w:lang w:val="en-GB"/>
        </w:rPr>
        <w:t xml:space="preserve">, as calculated in accordance with paragraph 7.3.3. of this appendix from the three successive load steps at each test speed) shall be lower than 15 per cent of the mean value, or 10 per cent of the limit value shown in </w:t>
      </w:r>
      <w:r w:rsidR="004F59F4">
        <w:rPr>
          <w:lang w:val="en-GB"/>
        </w:rPr>
        <w:t>T</w:t>
      </w:r>
      <w:r w:rsidR="004F59F4" w:rsidRPr="00B04DC3">
        <w:rPr>
          <w:lang w:val="en-GB"/>
        </w:rPr>
        <w:t xml:space="preserve">able </w:t>
      </w:r>
      <w:r w:rsidRPr="00B04DC3">
        <w:rPr>
          <w:lang w:val="en-GB"/>
        </w:rPr>
        <w:t>1 of paragraph 5.2. of the Regulation, whichever is greater. If the difference is greater, the sequence shall be repeated until three successive load steps meet the validation criteria.</w:t>
      </w:r>
    </w:p>
    <w:p w:rsidR="00DA59A4" w:rsidRPr="00B04DC3" w:rsidRDefault="00DA59A4" w:rsidP="00DA59A4">
      <w:pPr>
        <w:pStyle w:val="para"/>
        <w:rPr>
          <w:lang w:val="en-GB"/>
        </w:rPr>
      </w:pPr>
      <w:r w:rsidRPr="00B04DC3">
        <w:rPr>
          <w:lang w:val="en-GB"/>
        </w:rPr>
        <w:t>3.5.</w:t>
      </w:r>
      <w:r w:rsidRPr="00B04DC3">
        <w:rPr>
          <w:lang w:val="en-GB"/>
        </w:rPr>
        <w:tab/>
        <w:t>Rechecking of the opacimeter</w:t>
      </w:r>
    </w:p>
    <w:p w:rsidR="00DA59A4" w:rsidRPr="00B04DC3" w:rsidRDefault="00DA59A4" w:rsidP="00DA59A4">
      <w:pPr>
        <w:pStyle w:val="para"/>
        <w:ind w:firstLine="0"/>
        <w:rPr>
          <w:lang w:val="en-GB"/>
        </w:rPr>
      </w:pPr>
      <w:r w:rsidRPr="00B04DC3">
        <w:rPr>
          <w:lang w:val="en-GB"/>
        </w:rPr>
        <w:t xml:space="preserve">The post-test opacimeter zero drift value shall not exceed ±5.0 per cent of the limit value shown in </w:t>
      </w:r>
      <w:r w:rsidR="004F59F4">
        <w:rPr>
          <w:lang w:val="en-GB"/>
        </w:rPr>
        <w:t>T</w:t>
      </w:r>
      <w:r w:rsidR="004F59F4" w:rsidRPr="00B04DC3">
        <w:rPr>
          <w:lang w:val="en-GB"/>
        </w:rPr>
        <w:t xml:space="preserve">able </w:t>
      </w:r>
      <w:r w:rsidRPr="00B04DC3">
        <w:rPr>
          <w:lang w:val="en-GB"/>
        </w:rPr>
        <w:t>1 of paragraph 5.2. of the Regulation.</w:t>
      </w:r>
    </w:p>
    <w:p w:rsidR="00DA59A4" w:rsidRPr="00B04DC3" w:rsidRDefault="00DA59A4" w:rsidP="00DA59A4">
      <w:pPr>
        <w:pStyle w:val="para"/>
        <w:rPr>
          <w:lang w:val="en-GB"/>
        </w:rPr>
      </w:pPr>
      <w:r w:rsidRPr="00B04DC3">
        <w:rPr>
          <w:lang w:val="en-GB"/>
        </w:rPr>
        <w:t>4.</w:t>
      </w:r>
      <w:r w:rsidRPr="00B04DC3">
        <w:rPr>
          <w:lang w:val="en-GB"/>
        </w:rPr>
        <w:tab/>
        <w:t>Calculation of the exhaust gas flow</w:t>
      </w:r>
    </w:p>
    <w:p w:rsidR="00DA59A4" w:rsidRPr="00B04DC3" w:rsidRDefault="00DA59A4" w:rsidP="00DA59A4">
      <w:pPr>
        <w:pStyle w:val="para"/>
        <w:rPr>
          <w:lang w:val="en-GB"/>
        </w:rPr>
      </w:pPr>
      <w:r w:rsidRPr="00B04DC3">
        <w:rPr>
          <w:lang w:val="en-GB"/>
        </w:rPr>
        <w:t>4.1.</w:t>
      </w:r>
      <w:r w:rsidRPr="00B04DC3">
        <w:rPr>
          <w:lang w:val="en-GB"/>
        </w:rPr>
        <w:tab/>
        <w:t>Determination of raw exhaust gas mass flow</w:t>
      </w:r>
    </w:p>
    <w:p w:rsidR="00DA59A4" w:rsidRPr="00B04DC3" w:rsidRDefault="00DA59A4" w:rsidP="00DA59A4">
      <w:pPr>
        <w:pStyle w:val="para"/>
        <w:ind w:firstLine="0"/>
        <w:rPr>
          <w:lang w:val="en-GB"/>
        </w:rPr>
      </w:pPr>
      <w:r w:rsidRPr="00B04DC3">
        <w:rPr>
          <w:lang w:val="en-GB"/>
        </w:rPr>
        <w:t>For calculation of the emissions in the raw exhaust, it is necessary to know the exhaust gas flow. The exhaust gas mass flow rate shall be determined in accordance with paragraph 4.1.1. or 4.1.2.</w:t>
      </w:r>
      <w:r w:rsidR="004F59F4" w:rsidRPr="004F59F4">
        <w:rPr>
          <w:lang w:val="en-GB"/>
        </w:rPr>
        <w:t xml:space="preserve"> </w:t>
      </w:r>
      <w:r w:rsidR="004F59F4">
        <w:rPr>
          <w:lang w:val="en-GB"/>
        </w:rPr>
        <w:t>of this appendix</w:t>
      </w:r>
      <w:r w:rsidR="004F59F4" w:rsidRPr="00B04DC3">
        <w:rPr>
          <w:lang w:val="en-GB"/>
        </w:rPr>
        <w:t>.</w:t>
      </w:r>
      <w:r w:rsidRPr="00B04DC3">
        <w:rPr>
          <w:lang w:val="en-GB"/>
        </w:rPr>
        <w:t xml:space="preserve"> The accuracy of exhaust flow determination shall be ±2.5 per cent of reading or </w:t>
      </w:r>
      <w:r w:rsidRPr="00B04DC3">
        <w:rPr>
          <w:lang w:val="en-GB"/>
        </w:rPr>
        <w:sym w:font="Symbol" w:char="F0B1"/>
      </w:r>
      <w:r w:rsidRPr="00B04DC3">
        <w:rPr>
          <w:lang w:val="en-GB"/>
        </w:rPr>
        <w:t>1.5 per cent of the engine's maximum value whichever is the greater. Equivalent methods (e.g. those described in paragraph 4.2. of Appendix 2 to this annex) may be used.</w:t>
      </w:r>
      <w:bookmarkStart w:id="181" w:name="_Ref468088089"/>
      <w:bookmarkStart w:id="182" w:name="_Ref468181478"/>
      <w:bookmarkStart w:id="183" w:name="_Toc67799363"/>
    </w:p>
    <w:p w:rsidR="00DA59A4" w:rsidRPr="00B04DC3" w:rsidRDefault="00DA59A4" w:rsidP="00DA59A4">
      <w:pPr>
        <w:pStyle w:val="para"/>
        <w:rPr>
          <w:lang w:val="en-GB"/>
        </w:rPr>
      </w:pPr>
      <w:r w:rsidRPr="00B04DC3">
        <w:rPr>
          <w:lang w:val="en-GB"/>
        </w:rPr>
        <w:t>4.1.1.</w:t>
      </w:r>
      <w:r w:rsidRPr="00B04DC3">
        <w:rPr>
          <w:lang w:val="en-GB"/>
        </w:rPr>
        <w:tab/>
        <w:t>Direct measurement method</w:t>
      </w:r>
      <w:bookmarkEnd w:id="181"/>
      <w:bookmarkEnd w:id="182"/>
      <w:bookmarkEnd w:id="183"/>
    </w:p>
    <w:p w:rsidR="00DA59A4" w:rsidRPr="00B04DC3" w:rsidRDefault="00DA59A4" w:rsidP="00DA59A4">
      <w:pPr>
        <w:pStyle w:val="para"/>
        <w:ind w:firstLine="0"/>
        <w:rPr>
          <w:lang w:val="en-GB"/>
        </w:rPr>
      </w:pPr>
      <w:r w:rsidRPr="00B04DC3">
        <w:rPr>
          <w:lang w:val="en-GB"/>
        </w:rPr>
        <w:t>Direct measurement of the exhaust flow may be done by systems such as:</w:t>
      </w:r>
    </w:p>
    <w:p w:rsidR="00DA59A4" w:rsidRPr="00B04DC3" w:rsidRDefault="00DA59A4" w:rsidP="00DA59A4">
      <w:pPr>
        <w:pStyle w:val="a"/>
        <w:rPr>
          <w:lang w:val="en-GB"/>
        </w:rPr>
      </w:pPr>
      <w:r w:rsidRPr="00B04DC3">
        <w:rPr>
          <w:lang w:val="en-GB"/>
        </w:rPr>
        <w:t>(a)</w:t>
      </w:r>
      <w:r w:rsidRPr="00B04DC3">
        <w:rPr>
          <w:lang w:val="en-GB"/>
        </w:rPr>
        <w:tab/>
        <w:t>Pressure differential devices, like flow nozzle;</w:t>
      </w:r>
    </w:p>
    <w:p w:rsidR="00DA59A4" w:rsidRPr="00B04DC3" w:rsidRDefault="00DA59A4" w:rsidP="00DA59A4">
      <w:pPr>
        <w:pStyle w:val="a"/>
        <w:rPr>
          <w:lang w:val="en-GB"/>
        </w:rPr>
      </w:pPr>
      <w:r w:rsidRPr="00B04DC3">
        <w:rPr>
          <w:lang w:val="en-GB"/>
        </w:rPr>
        <w:t>(b)</w:t>
      </w:r>
      <w:r w:rsidRPr="00B04DC3">
        <w:rPr>
          <w:lang w:val="en-GB"/>
        </w:rPr>
        <w:tab/>
        <w:t>Ultrasonic flowmeter;</w:t>
      </w:r>
    </w:p>
    <w:p w:rsidR="00DA59A4" w:rsidRPr="00B04DC3" w:rsidRDefault="00DA59A4" w:rsidP="00DA59A4">
      <w:pPr>
        <w:pStyle w:val="a"/>
        <w:rPr>
          <w:lang w:val="en-GB"/>
        </w:rPr>
      </w:pPr>
      <w:r w:rsidRPr="00B04DC3">
        <w:rPr>
          <w:lang w:val="en-GB"/>
        </w:rPr>
        <w:t>(c)</w:t>
      </w:r>
      <w:r w:rsidRPr="00B04DC3">
        <w:rPr>
          <w:lang w:val="en-GB"/>
        </w:rPr>
        <w:tab/>
      </w:r>
      <w:r w:rsidRPr="00B04DC3">
        <w:rPr>
          <w:lang w:val="en-GB"/>
        </w:rPr>
        <w:tab/>
        <w:t>Vortex flowmeter.</w:t>
      </w:r>
    </w:p>
    <w:p w:rsidR="00DA59A4" w:rsidRPr="00B04DC3" w:rsidRDefault="00DA59A4" w:rsidP="00DA59A4">
      <w:pPr>
        <w:pStyle w:val="para"/>
        <w:ind w:firstLine="0"/>
        <w:rPr>
          <w:lang w:val="en-GB"/>
        </w:rPr>
      </w:pPr>
      <w:r w:rsidRPr="00B04DC3">
        <w:rPr>
          <w:lang w:val="en-GB"/>
        </w:rPr>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rsidR="00C2508C" w:rsidRPr="00B04DC3" w:rsidRDefault="00C2508C" w:rsidP="00C2508C">
      <w:pPr>
        <w:spacing w:after="120"/>
        <w:ind w:left="2268" w:right="1134" w:hanging="1134"/>
        <w:jc w:val="both"/>
      </w:pPr>
      <w:bookmarkStart w:id="184" w:name="_Ref469390317"/>
      <w:bookmarkStart w:id="185" w:name="_Ref469391084"/>
      <w:bookmarkStart w:id="186" w:name="_Toc67799364"/>
      <w:r w:rsidRPr="00B04DC3">
        <w:t>4.1.2.</w:t>
      </w:r>
      <w:r w:rsidRPr="00B04DC3">
        <w:tab/>
        <w:t>Air and fuel measurement method</w:t>
      </w:r>
    </w:p>
    <w:p w:rsidR="00C2508C" w:rsidRPr="00B04DC3" w:rsidRDefault="00C2508C" w:rsidP="00C2508C">
      <w:pPr>
        <w:spacing w:after="120"/>
        <w:ind w:left="2268" w:right="1134"/>
        <w:jc w:val="both"/>
      </w:pPr>
      <w:r w:rsidRPr="00B04DC3">
        <w:t>This involves measurement of the air flow and the fuel flow. Air flowmeters and fuel flowmeters shall be used that meet the total accuracy requirement of paragraph 4.1. The calculation of the exhaust gas flow is as follows:</w:t>
      </w:r>
    </w:p>
    <w:p w:rsidR="00C2508C" w:rsidRPr="00B04DC3" w:rsidRDefault="00C2508C" w:rsidP="00C2508C">
      <w:pPr>
        <w:spacing w:after="120"/>
        <w:ind w:left="2268" w:right="1134" w:hanging="1134"/>
        <w:jc w:val="both"/>
      </w:pPr>
      <w:r w:rsidRPr="00B04DC3">
        <w:tab/>
      </w:r>
      <w:r w:rsidRPr="00B04DC3">
        <w:tab/>
      </w:r>
      <w:r w:rsidR="00A905B7">
        <w:pict>
          <v:group id="Canvas 1071" o:spid="_x0000_s5637" editas="canvas" style="width:95.5pt;height:24.85pt;mso-position-horizontal-relative:char;mso-position-vertical-relative:line" coordsize="12128,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">
            <v:shape id="_x0000_s5638" type="#_x0000_t75" style="position:absolute;width:12128;height:3155;visibility:visible">
              <v:fill o:detectmouseclick="t"/>
              <v:path o:connecttype="none"/>
            </v:shape>
            <v:rect id="Rectangle 1073" o:spid="_x0000_s5639" style="position:absolute;left:10845;top:1111;width:1283;height:2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A905B7" w:rsidRPr="00EC3118" w:rsidRDefault="00A905B7" w:rsidP="00C2508C">
                    <w:r w:rsidRPr="00EC3118">
                      <w:rPr>
                        <w:iCs/>
                        <w:color w:val="000000"/>
                        <w:sz w:val="14"/>
                        <w:szCs w:val="14"/>
                      </w:rPr>
                      <w:t>mf</w:t>
                    </w:r>
                  </w:p>
                </w:txbxContent>
              </v:textbox>
            </v:rect>
            <v:rect id="Rectangle 1074" o:spid="_x0000_s5640" style="position:absolute;left:6299;top:1111;width:2845;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gI8YA&#10;AADcAAAADwAAAGRycy9kb3ducmV2LnhtbESPQWvCQBSE70L/w/IKvYjZNIcaU1cpBaEHQYwe2tsj&#10;+5qNZt+G7NZEf323UPA4zMw3zHI92lZcqPeNYwXPSQqCuHK64VrB8bCZ5SB8QNbYOiYFV/KwXj1M&#10;llhoN/CeLmWoRYSwL1CBCaErpPSVIYs+cR1x9L5dbzFE2ddS9zhEuG1llqYv0mLDccFgR++GqnP5&#10;YxVsdp8N8U3up4t8cKcq+yrNtlPq6XF8ewURaAz38H/7QyvIs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gI8YAAADcAAAADwAAAAAAAAAAAAAAAACYAgAAZHJz&#10;L2Rvd25yZXYueG1sUEsFBgAAAAAEAAQA9QAAAIsDAAAAAA==&#10;" filled="f" stroked="f">
              <v:textbox style="mso-fit-shape-to-text:t" inset="0,0,0,0">
                <w:txbxContent>
                  <w:p w:rsidR="00A905B7" w:rsidRPr="00EC3118" w:rsidRDefault="00A905B7" w:rsidP="00C2508C">
                    <w:r w:rsidRPr="00EC3118">
                      <w:rPr>
                        <w:iCs/>
                        <w:color w:val="000000"/>
                        <w:sz w:val="14"/>
                        <w:szCs w:val="14"/>
                      </w:rPr>
                      <w:t>maw</w:t>
                    </w:r>
                  </w:p>
                </w:txbxContent>
              </v:textbox>
            </v:rect>
            <v:rect id="Rectangle 1075" o:spid="_x0000_s5641" style="position:absolute;left:1066;top:1111;width:2363;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0UcMA&#10;AADcAAAADwAAAGRycy9kb3ducmV2LnhtbERPz2vCMBS+D/wfwhO8jJnaw6idsQyhsIMgdh709mie&#10;TV3zUprM1v31y2Gw48f3e1NMthN3GnzrWMFqmYAgrp1uuVFw+ixfMhA+IGvsHJOCB3kotrOnDeba&#10;jXykexUaEUPY56jAhNDnUvrakEW/dD1x5K5usBgiHBqpBxxjuO1kmiSv0mLLscFgTztD9Vf1bRWU&#10;h3NL/COPz+tsdLc6vVRm3yu1mE/vbyACTeFf/Of+0AqyNK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f0UcMAAADcAAAADwAAAAAAAAAAAAAAAACYAgAAZHJzL2Rv&#10;d25yZXYueG1sUEsFBgAAAAAEAAQA9QAAAIgDAAAAAA==&#10;" filled="f" stroked="f">
              <v:textbox style="mso-fit-shape-to-text:t" inset="0,0,0,0">
                <w:txbxContent>
                  <w:p w:rsidR="00A905B7" w:rsidRPr="00EC3118" w:rsidRDefault="00A905B7" w:rsidP="00C2508C">
                    <w:r w:rsidRPr="00EC3118">
                      <w:rPr>
                        <w:iCs/>
                        <w:color w:val="000000"/>
                        <w:sz w:val="14"/>
                        <w:szCs w:val="14"/>
                      </w:rPr>
                      <w:t>mew</w:t>
                    </w:r>
                  </w:p>
                </w:txbxContent>
              </v:textbox>
            </v:rect>
            <v:rect id="Rectangle 1076" o:spid="_x0000_s5642" style="position:absolute;left:10020;top:152;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A905B7" w:rsidRPr="00EC3118" w:rsidRDefault="00A905B7" w:rsidP="00C2508C">
                    <w:r w:rsidRPr="00EC3118">
                      <w:rPr>
                        <w:iCs/>
                        <w:color w:val="000000"/>
                      </w:rPr>
                      <w:t>q</w:t>
                    </w:r>
                  </w:p>
                </w:txbxContent>
              </v:textbox>
            </v:rect>
            <v:rect id="Rectangle 1077" o:spid="_x0000_s5643" style="position:absolute;left:5461;top:152;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A905B7" w:rsidRPr="00EC3118" w:rsidRDefault="00A905B7" w:rsidP="00C2508C">
                    <w:r w:rsidRPr="00EC3118">
                      <w:rPr>
                        <w:iCs/>
                        <w:color w:val="000000"/>
                      </w:rPr>
                      <w:t>q</w:t>
                    </w:r>
                  </w:p>
                </w:txbxContent>
              </v:textbox>
            </v:rect>
            <v:rect id="Rectangle 1078" o:spid="_x0000_s5644" style="position:absolute;left:228;top:152;width:641;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A905B7" w:rsidRPr="00EC3118" w:rsidRDefault="00A905B7" w:rsidP="00C2508C">
                    <w:r w:rsidRPr="00EC3118">
                      <w:rPr>
                        <w:iCs/>
                        <w:color w:val="000000"/>
                      </w:rPr>
                      <w:t>q</w:t>
                    </w:r>
                  </w:p>
                </w:txbxContent>
              </v:textbox>
            </v:rect>
            <v:rect id="Rectangle 1079" o:spid="_x0000_s5645" style="position:absolute;left:8667;width:699;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rsidR="00A905B7" w:rsidRDefault="00A905B7" w:rsidP="00C2508C">
                    <w:r>
                      <w:rPr>
                        <w:rFonts w:ascii="Symbol" w:hAnsi="Symbol" w:cs="Symbol"/>
                        <w:color w:val="000000"/>
                      </w:rPr>
                      <w:t></w:t>
                    </w:r>
                  </w:p>
                </w:txbxContent>
              </v:textbox>
            </v:rect>
            <v:rect id="Rectangle 1080" o:spid="_x0000_s5646" style="position:absolute;left:3752;width:699;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rsidR="00A905B7" w:rsidRDefault="00A905B7" w:rsidP="00C2508C">
                    <w:r>
                      <w:rPr>
                        <w:rFonts w:ascii="Symbol" w:hAnsi="Symbol" w:cs="Symbol"/>
                        <w:color w:val="000000"/>
                      </w:rPr>
                      <w:t></w:t>
                    </w:r>
                  </w:p>
                </w:txbxContent>
              </v:textbox>
            </v:rect>
            <w10:wrap type="none"/>
            <w10:anchorlock/>
          </v:group>
        </w:pict>
      </w:r>
      <w:r w:rsidR="00A905B7">
        <w:rPr>
          <w:noProof/>
          <w:lang w:eastAsia="en-GB"/>
        </w:rPr>
        <w:pict>
          <v:shape id="Picture 88" o:spid="_x0000_i1062" type="#_x0000_t75" style="width:7.8pt;height:15.6pt;visibility:visible">
            <v:imagedata r:id="rId111" o:title=""/>
          </v:shape>
        </w:pict>
      </w:r>
    </w:p>
    <w:p w:rsidR="00C2508C" w:rsidRPr="00B04DC3" w:rsidRDefault="00C2508C" w:rsidP="00C2508C">
      <w:pPr>
        <w:pStyle w:val="para"/>
        <w:rPr>
          <w:lang w:val="en-GB"/>
        </w:rPr>
      </w:pPr>
      <w:r w:rsidRPr="00B04DC3">
        <w:rPr>
          <w:lang w:val="en-GB"/>
        </w:rPr>
        <w:tab/>
        <w:t>In case of dual-fuel engines operating in dual-fuel mode, the fuel flows for both the gaseous and the diesel fuel shall be measured and their masses added.</w:t>
      </w:r>
    </w:p>
    <w:bookmarkEnd w:id="184"/>
    <w:bookmarkEnd w:id="185"/>
    <w:bookmarkEnd w:id="186"/>
    <w:p w:rsidR="00DA59A4" w:rsidRPr="00B04DC3" w:rsidRDefault="00DA59A4" w:rsidP="00DA59A4">
      <w:pPr>
        <w:pStyle w:val="para"/>
        <w:rPr>
          <w:lang w:val="en-GB"/>
        </w:rPr>
      </w:pPr>
      <w:r w:rsidRPr="00B04DC3">
        <w:rPr>
          <w:lang w:val="en-GB"/>
        </w:rPr>
        <w:t>4.2.</w:t>
      </w:r>
      <w:r w:rsidRPr="00B04DC3">
        <w:rPr>
          <w:lang w:val="en-GB"/>
        </w:rPr>
        <w:tab/>
        <w:t>Determination of diluted exhaust gas mass flow</w:t>
      </w:r>
    </w:p>
    <w:p w:rsidR="00DA59A4" w:rsidRPr="00B04DC3" w:rsidRDefault="00DA59A4" w:rsidP="00DA59A4">
      <w:pPr>
        <w:pStyle w:val="para"/>
        <w:rPr>
          <w:lang w:val="en-GB"/>
        </w:rPr>
      </w:pPr>
      <w:r w:rsidRPr="00B04DC3">
        <w:rPr>
          <w:lang w:val="en-GB"/>
        </w:rPr>
        <w:tab/>
        <w:t>For calculation of the emissions in the diluted exhaust using a full flow dilution system it is necessary to know the diluted exhaust gas flow. The flow rate of the diluted exhaust (q</w:t>
      </w:r>
      <w:r w:rsidRPr="00B04DC3">
        <w:rPr>
          <w:vertAlign w:val="subscript"/>
          <w:lang w:val="en-GB"/>
        </w:rPr>
        <w:t>medw</w:t>
      </w:r>
      <w:r w:rsidRPr="00B04DC3">
        <w:rPr>
          <w:lang w:val="en-GB"/>
        </w:rPr>
        <w:t>) shall be measured over each mode with a PDP-CVS, CFV</w:t>
      </w:r>
      <w:r w:rsidRPr="00B04DC3">
        <w:rPr>
          <w:lang w:val="en-GB"/>
        </w:rPr>
        <w:noBreakHyphen/>
        <w:t>CVS or SSV-CVS in line with the general formulae given in paragraph 4.1. of Appendix 2 to this annex. The accuracy shall be ±2 per cent of reading or better, and shall be determined according to the provisions of paragraph 2.4. of Appendix 5 to this annex.</w:t>
      </w:r>
    </w:p>
    <w:p w:rsidR="00DA59A4" w:rsidRPr="00B04DC3" w:rsidRDefault="00DA59A4" w:rsidP="00DA59A4">
      <w:pPr>
        <w:pStyle w:val="para"/>
        <w:rPr>
          <w:lang w:val="en-GB"/>
        </w:rPr>
      </w:pPr>
      <w:r w:rsidRPr="00B04DC3">
        <w:rPr>
          <w:lang w:val="en-GB"/>
        </w:rPr>
        <w:t>5.</w:t>
      </w:r>
      <w:r w:rsidRPr="00B04DC3">
        <w:rPr>
          <w:lang w:val="en-GB"/>
        </w:rPr>
        <w:tab/>
        <w:t>Calculation of the gaseous emissions</w:t>
      </w:r>
    </w:p>
    <w:p w:rsidR="00DA59A4" w:rsidRPr="00B04DC3" w:rsidRDefault="00DA59A4" w:rsidP="00DA59A4">
      <w:pPr>
        <w:pStyle w:val="para"/>
        <w:rPr>
          <w:lang w:val="en-GB"/>
        </w:rPr>
      </w:pPr>
      <w:r w:rsidRPr="00B04DC3">
        <w:rPr>
          <w:lang w:val="en-GB"/>
        </w:rPr>
        <w:t>5.1.</w:t>
      </w:r>
      <w:r w:rsidRPr="00B04DC3">
        <w:rPr>
          <w:lang w:val="en-GB"/>
        </w:rPr>
        <w:tab/>
        <w:t>Data evaluation</w:t>
      </w:r>
    </w:p>
    <w:p w:rsidR="00DA59A4" w:rsidRPr="00B04DC3" w:rsidRDefault="00DA59A4" w:rsidP="00DA59A4">
      <w:pPr>
        <w:pStyle w:val="para"/>
        <w:rPr>
          <w:lang w:val="en-GB"/>
        </w:rPr>
      </w:pPr>
      <w:r w:rsidRPr="00B04DC3">
        <w:rPr>
          <w:lang w:val="en-GB"/>
        </w:rPr>
        <w:tab/>
        <w:t>For the evaluation of the gaseous emissions, the chart reading of the last 30 seconds of each mode shall be averaged and the average concentrations (conc) of HC, CO and NO</w:t>
      </w:r>
      <w:r w:rsidRPr="00B04DC3">
        <w:rPr>
          <w:vertAlign w:val="subscript"/>
          <w:lang w:val="en-GB"/>
        </w:rPr>
        <w:t>x</w:t>
      </w:r>
      <w:r w:rsidRPr="00B04DC3">
        <w:rPr>
          <w:lang w:val="en-GB"/>
        </w:rPr>
        <w:t xml:space="preserve"> during each mode shall be determined from the average chart readings and the corresponding calibration data. A different type of recording can be used if it ensures an equivalent data acquisition.</w:t>
      </w:r>
    </w:p>
    <w:p w:rsidR="00DA59A4" w:rsidRPr="00B04DC3" w:rsidRDefault="00DA59A4" w:rsidP="00DA59A4">
      <w:pPr>
        <w:pStyle w:val="para"/>
        <w:rPr>
          <w:lang w:val="en-GB"/>
        </w:rPr>
      </w:pPr>
      <w:r w:rsidRPr="00B04DC3">
        <w:rPr>
          <w:lang w:val="en-GB"/>
        </w:rPr>
        <w:tab/>
        <w:t>For the NO</w:t>
      </w:r>
      <w:r w:rsidRPr="00B04DC3">
        <w:rPr>
          <w:vertAlign w:val="subscript"/>
          <w:lang w:val="en-GB"/>
        </w:rPr>
        <w:t>x</w:t>
      </w:r>
      <w:r w:rsidRPr="00B04DC3">
        <w:rPr>
          <w:lang w:val="en-GB"/>
        </w:rPr>
        <w:t xml:space="preserve"> check within the control area, the above requirements apply for NO</w:t>
      </w:r>
      <w:r w:rsidRPr="00B04DC3">
        <w:rPr>
          <w:vertAlign w:val="subscript"/>
          <w:lang w:val="en-GB"/>
        </w:rPr>
        <w:t>x</w:t>
      </w:r>
      <w:r w:rsidRPr="00B04DC3">
        <w:rPr>
          <w:lang w:val="en-GB"/>
        </w:rPr>
        <w:t xml:space="preserve"> only.</w:t>
      </w:r>
    </w:p>
    <w:p w:rsidR="00DA59A4" w:rsidRPr="00B04DC3" w:rsidRDefault="00DA59A4" w:rsidP="00DA59A4">
      <w:pPr>
        <w:pStyle w:val="para"/>
        <w:rPr>
          <w:lang w:val="en-GB"/>
        </w:rPr>
      </w:pPr>
      <w:r w:rsidRPr="00B04DC3">
        <w:rPr>
          <w:lang w:val="en-GB"/>
        </w:rPr>
        <w:tab/>
        <w:t>The exhaust gas flow q</w:t>
      </w:r>
      <w:r w:rsidRPr="00B04DC3">
        <w:rPr>
          <w:vertAlign w:val="subscript"/>
          <w:lang w:val="en-GB"/>
        </w:rPr>
        <w:t>mew</w:t>
      </w:r>
      <w:r w:rsidRPr="00B04DC3">
        <w:rPr>
          <w:lang w:val="en-GB"/>
        </w:rPr>
        <w:t xml:space="preserve"> or the diluted exhaust gas flow q</w:t>
      </w:r>
      <w:r w:rsidRPr="00B04DC3">
        <w:rPr>
          <w:vertAlign w:val="subscript"/>
          <w:lang w:val="en-GB"/>
        </w:rPr>
        <w:t>mdew</w:t>
      </w:r>
      <w:r w:rsidRPr="00B04DC3">
        <w:rPr>
          <w:lang w:val="en-GB"/>
        </w:rPr>
        <w:t xml:space="preserve">, if used optionally, shall be determined in accordance with paragraphs 4. to 4.2. of this </w:t>
      </w:r>
      <w:r w:rsidR="00F367CA">
        <w:rPr>
          <w:lang w:val="en-GB"/>
        </w:rPr>
        <w:t>a</w:t>
      </w:r>
      <w:r w:rsidR="00F367CA" w:rsidRPr="00B04DC3">
        <w:rPr>
          <w:lang w:val="en-GB"/>
        </w:rPr>
        <w:t>ppendix</w:t>
      </w:r>
      <w:r w:rsidRPr="00B04DC3">
        <w:rPr>
          <w:lang w:val="en-GB"/>
        </w:rPr>
        <w:t>.</w:t>
      </w:r>
    </w:p>
    <w:p w:rsidR="00C2508C" w:rsidRPr="00B04DC3" w:rsidRDefault="00C2508C" w:rsidP="00C2508C">
      <w:pPr>
        <w:spacing w:after="120"/>
        <w:ind w:left="2268" w:right="1134" w:hanging="1134"/>
        <w:jc w:val="both"/>
        <w:rPr>
          <w:u w:val="single"/>
        </w:rPr>
      </w:pPr>
      <w:r w:rsidRPr="00B04DC3">
        <w:t>5.2.</w:t>
      </w:r>
      <w:r w:rsidRPr="00B04DC3">
        <w:tab/>
        <w:t>Dry / wet correction</w:t>
      </w:r>
    </w:p>
    <w:p w:rsidR="00C2508C" w:rsidRPr="00B04DC3" w:rsidRDefault="00C2508C" w:rsidP="00C2508C">
      <w:pPr>
        <w:spacing w:after="120"/>
        <w:ind w:left="2268" w:right="1134" w:hanging="1134"/>
        <w:jc w:val="both"/>
      </w:pPr>
      <w:r w:rsidRPr="00B04DC3">
        <w:tab/>
        <w:t>The measured concentration shall be converted to a wet basis according to the following formulae, if not already measured on a wet basis. The conversion shall be done for each individual mode.</w:t>
      </w:r>
    </w:p>
    <w:p w:rsidR="00C2508C" w:rsidRPr="00B04DC3" w:rsidRDefault="00C2508C" w:rsidP="00C2508C">
      <w:pPr>
        <w:spacing w:after="120"/>
        <w:ind w:left="2268" w:right="1134"/>
        <w:jc w:val="both"/>
      </w:pPr>
      <w:r w:rsidRPr="00B04DC3">
        <w:t xml:space="preserve">The </w:t>
      </w:r>
      <w:r w:rsidRPr="00B04DC3">
        <w:rPr>
          <w:i/>
        </w:rPr>
        <w:t>u</w:t>
      </w:r>
      <w:r w:rsidRPr="00B04DC3">
        <w:rPr>
          <w:i/>
          <w:vertAlign w:val="subscript"/>
        </w:rPr>
        <w:t>gas</w:t>
      </w:r>
      <w:r w:rsidRPr="00B04DC3">
        <w:t>-values and molar ratios as described in paragraphs A.5.2. and A.5.3. of Appendix 5 to Annex 11 shall be used for dual-fuel engines, operating in dual-fuel mode,</w:t>
      </w:r>
    </w:p>
    <w:p w:rsidR="00C2508C" w:rsidRPr="00B04DC3" w:rsidRDefault="00A905B7" w:rsidP="00C2508C">
      <w:pPr>
        <w:spacing w:after="120"/>
        <w:ind w:left="2268" w:right="1134"/>
        <w:jc w:val="both"/>
      </w:pPr>
      <w:r>
        <w:pict>
          <v:group id="Canvas 1081" o:spid="_x0000_s5647" editas="canvas" style="width:73.5pt;height:32.75pt;mso-position-horizontal-relative:char;mso-position-vertical-relative:line" coordsize="9334,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">
            <v:shape id="_x0000_s5648" type="#_x0000_t75" style="position:absolute;width:9334;height:4159;visibility:visible">
              <v:fill o:detectmouseclick="t"/>
              <v:path o:connecttype="none"/>
            </v:shape>
            <v:rect id="Rectangle 1083" o:spid="_x0000_s5649" style="position:absolute;left:7861;top:1111;width:1187;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A905B7" w:rsidRPr="00EC3118" w:rsidRDefault="00A905B7" w:rsidP="00C2508C">
                    <w:r w:rsidRPr="00EC3118">
                      <w:rPr>
                        <w:iCs/>
                        <w:color w:val="000000"/>
                        <w:sz w:val="14"/>
                        <w:szCs w:val="14"/>
                      </w:rPr>
                      <w:t>dry</w:t>
                    </w:r>
                  </w:p>
                </w:txbxContent>
              </v:textbox>
            </v:rect>
            <v:rect id="Rectangle 1084" o:spid="_x0000_s5650" style="position:absolute;left:4775;top:1111;width:844;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A905B7" w:rsidRPr="00EC3118" w:rsidRDefault="00A905B7" w:rsidP="00C2508C">
                    <w:r w:rsidRPr="00EC3118">
                      <w:rPr>
                        <w:iCs/>
                        <w:color w:val="000000"/>
                        <w:sz w:val="14"/>
                        <w:szCs w:val="14"/>
                      </w:rPr>
                      <w:t>W</w:t>
                    </w:r>
                  </w:p>
                </w:txbxContent>
              </v:textbox>
            </v:rect>
            <v:rect id="Rectangle 1085" o:spid="_x0000_s5651" style="position:absolute;left:958;top:1111;width:2471;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7MIA&#10;AADcAAAADwAAAGRycy9kb3ducmV2LnhtbERPTYvCMBC9C/sfwizsRTTVg3SrUZYFwcOCWD2st6EZ&#10;m2ozKU201V9vDoLHx/terHpbixu1vnKsYDJOQBAXTldcKjjs16MUhA/IGmvHpOBOHlbLj8ECM+06&#10;3tEtD6WIIewzVGBCaDIpfWHIoh+7hjhyJ9daDBG2pdQtdjHc1nKaJDNpseLYYLChX0PFJb9aBevt&#10;f0X8kLvhd9q5czE95uavUerrs/+ZgwjUh7f45d5oBekk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z7swgAAANwAAAAPAAAAAAAAAAAAAAAAAJgCAABkcnMvZG93&#10;bnJldi54bWxQSwUGAAAAAAQABAD1AAAAhwMAAAAA&#10;" filled="f" stroked="f">
              <v:textbox style="mso-fit-shape-to-text:t" inset="0,0,0,0">
                <w:txbxContent>
                  <w:p w:rsidR="00A905B7" w:rsidRPr="00EC3118" w:rsidRDefault="00A905B7" w:rsidP="00C2508C">
                    <w:r w:rsidRPr="00EC3118">
                      <w:rPr>
                        <w:iCs/>
                        <w:color w:val="000000"/>
                        <w:sz w:val="14"/>
                        <w:szCs w:val="14"/>
                      </w:rPr>
                      <w:t>wet</w:t>
                    </w:r>
                  </w:p>
                </w:txbxContent>
              </v:textbox>
            </v:rect>
            <v:rect id="Rectangle 1086" o:spid="_x0000_s5652" style="position:absolute;left:7131;top:152;width:565;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A905B7" w:rsidRPr="00EC3118" w:rsidRDefault="00A905B7" w:rsidP="00C2508C">
                    <w:r w:rsidRPr="00EC3118">
                      <w:rPr>
                        <w:iCs/>
                        <w:color w:val="000000"/>
                      </w:rPr>
                      <w:t>c</w:t>
                    </w:r>
                  </w:p>
                </w:txbxContent>
              </v:textbox>
            </v:rect>
            <v:rect id="Rectangle 1087" o:spid="_x0000_s5653" style="position:absolute;left:4076;top:152;width:642;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A905B7" w:rsidRPr="00EC3118" w:rsidRDefault="00A905B7" w:rsidP="00C2508C">
                    <w:r w:rsidRPr="00EC3118">
                      <w:rPr>
                        <w:iCs/>
                        <w:color w:val="000000"/>
                      </w:rPr>
                      <w:t>k</w:t>
                    </w:r>
                  </w:p>
                </w:txbxContent>
              </v:textbox>
            </v:rect>
            <v:rect id="Rectangle 1088" o:spid="_x0000_s5654" style="position:absolute;left:215;top:152;width:56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A905B7" w:rsidRPr="00EC3118" w:rsidRDefault="00A905B7" w:rsidP="00C2508C">
                    <w:r w:rsidRPr="00EC3118">
                      <w:rPr>
                        <w:iCs/>
                        <w:color w:val="000000"/>
                      </w:rPr>
                      <w:t>c</w:t>
                    </w:r>
                  </w:p>
                </w:txbxContent>
              </v:textbox>
            </v:rect>
            <v:rect id="Rectangle 1089" o:spid="_x0000_s5655" style="position:absolute;left:6064;width:698;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A905B7" w:rsidRDefault="00A905B7" w:rsidP="00C2508C">
                    <w:r>
                      <w:rPr>
                        <w:rFonts w:ascii="Symbol" w:hAnsi="Symbol" w:cs="Symbol"/>
                        <w:color w:val="000000"/>
                      </w:rPr>
                      <w:t></w:t>
                    </w:r>
                  </w:p>
                </w:txbxContent>
              </v:textbox>
            </v:rect>
            <v:rect id="Rectangle 1090" o:spid="_x0000_s5656" style="position:absolute;left:2844;width:699;height:15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A905B7" w:rsidRDefault="00A905B7" w:rsidP="00C2508C">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t>For the raw exhaust gas:</w:t>
      </w:r>
    </w:p>
    <w:p w:rsidR="00DA59A4" w:rsidRPr="00B04DC3" w:rsidRDefault="00DA59A4" w:rsidP="00DA59A4">
      <w:pPr>
        <w:pStyle w:val="para"/>
        <w:rPr>
          <w:b/>
          <w:lang w:val="en-GB"/>
        </w:rPr>
      </w:pPr>
      <w:r w:rsidRPr="00B04DC3">
        <w:rPr>
          <w:lang w:val="en-GB"/>
        </w:rPr>
        <w:tab/>
      </w:r>
      <w:r w:rsidRPr="00B04DC3">
        <w:rPr>
          <w:lang w:val="en-GB"/>
        </w:rPr>
        <w:tab/>
      </w:r>
      <w:bookmarkStart w:id="187" w:name="_MON_1365860258"/>
      <w:bookmarkStart w:id="188" w:name="_MON_1365860293"/>
      <w:bookmarkStart w:id="189" w:name="_MON_1365860309"/>
      <w:bookmarkStart w:id="190" w:name="_MON_1223469644"/>
      <w:bookmarkStart w:id="191" w:name="_MON_1223469788"/>
      <w:bookmarkStart w:id="192" w:name="_MON_1223470027"/>
      <w:bookmarkStart w:id="193" w:name="_MON_1223470148"/>
      <w:bookmarkStart w:id="194" w:name="_MON_1223470213"/>
      <w:bookmarkEnd w:id="187"/>
      <w:bookmarkEnd w:id="188"/>
      <w:bookmarkEnd w:id="189"/>
      <w:bookmarkEnd w:id="190"/>
      <w:bookmarkEnd w:id="191"/>
      <w:bookmarkEnd w:id="192"/>
      <w:bookmarkEnd w:id="193"/>
      <w:bookmarkEnd w:id="194"/>
      <w:bookmarkStart w:id="195" w:name="_MON_1363762476"/>
      <w:bookmarkEnd w:id="195"/>
      <w:r w:rsidR="00E636BF" w:rsidRPr="00B04DC3">
        <w:rPr>
          <w:lang w:val="en-GB"/>
        </w:rPr>
        <w:object w:dxaOrig="5478" w:dyaOrig="1390">
          <v:shape id="_x0000_i1064" type="#_x0000_t75" style="width:230.4pt;height:59.4pt" o:ole="">
            <v:imagedata r:id="rId112" o:title=""/>
          </v:shape>
          <o:OLEObject Type="Embed" ProgID="Word.Picture.8" ShapeID="_x0000_i1064" DrawAspect="Content" ObjectID="_1498392236" r:id="rId113"/>
        </w:object>
      </w:r>
    </w:p>
    <w:p w:rsidR="00DA59A4" w:rsidRPr="00B04DC3" w:rsidRDefault="00DA59A4" w:rsidP="00DA59A4">
      <w:pPr>
        <w:pStyle w:val="para"/>
        <w:ind w:firstLine="0"/>
        <w:rPr>
          <w:lang w:val="en-GB"/>
        </w:rPr>
      </w:pPr>
      <w:r w:rsidRPr="00B04DC3">
        <w:rPr>
          <w:lang w:val="en-GB"/>
        </w:rPr>
        <w:t>or</w:t>
      </w:r>
    </w:p>
    <w:p w:rsidR="00DA59A4" w:rsidRPr="00B04DC3" w:rsidRDefault="00DA59A4" w:rsidP="00DA59A4">
      <w:pPr>
        <w:pStyle w:val="para"/>
        <w:rPr>
          <w:lang w:val="en-GB"/>
        </w:rPr>
      </w:pPr>
      <w:r w:rsidRPr="00B04DC3">
        <w:rPr>
          <w:lang w:val="en-GB"/>
        </w:rPr>
        <w:tab/>
      </w:r>
      <w:r w:rsidRPr="00B04DC3">
        <w:rPr>
          <w:lang w:val="en-GB"/>
        </w:rPr>
        <w:tab/>
      </w:r>
      <w:bookmarkStart w:id="196" w:name="_MON_1223470266"/>
      <w:bookmarkEnd w:id="196"/>
      <w:bookmarkStart w:id="197" w:name="_MON_1363762729"/>
      <w:bookmarkEnd w:id="197"/>
      <w:r w:rsidR="00E636BF" w:rsidRPr="00B04DC3">
        <w:rPr>
          <w:lang w:val="en-GB"/>
        </w:rPr>
        <w:object w:dxaOrig="5903" w:dyaOrig="1351">
          <v:shape id="_x0000_i1065" type="#_x0000_t75" style="width:256.8pt;height:59.4pt" o:ole="">
            <v:imagedata r:id="rId114" o:title=""/>
          </v:shape>
          <o:OLEObject Type="Embed" ProgID="Word.Picture.8" ShapeID="_x0000_i1065" DrawAspect="Content" ObjectID="_1498392237" r:id="rId115"/>
        </w:object>
      </w:r>
    </w:p>
    <w:p w:rsidR="00DA59A4" w:rsidRPr="00B04DC3" w:rsidRDefault="00DA59A4" w:rsidP="00DA59A4">
      <w:pPr>
        <w:pStyle w:val="para"/>
        <w:ind w:firstLine="0"/>
        <w:rPr>
          <w:lang w:val="en-GB"/>
        </w:rPr>
      </w:pPr>
      <w:r w:rsidRPr="00B04DC3">
        <w:rPr>
          <w:lang w:val="en-GB"/>
        </w:rPr>
        <w:t>or</w:t>
      </w:r>
    </w:p>
    <w:p w:rsidR="00DA59A4" w:rsidRPr="00B04DC3" w:rsidRDefault="00DA59A4" w:rsidP="00DA59A4">
      <w:pPr>
        <w:pStyle w:val="para"/>
        <w:rPr>
          <w:lang w:val="en-GB"/>
        </w:rPr>
      </w:pPr>
      <w:r w:rsidRPr="00B04DC3">
        <w:rPr>
          <w:lang w:val="en-GB"/>
        </w:rPr>
        <w:tab/>
      </w:r>
      <w:r w:rsidRPr="00B04DC3">
        <w:rPr>
          <w:lang w:val="en-GB"/>
        </w:rPr>
        <w:tab/>
      </w:r>
      <w:r w:rsidR="00E636BF" w:rsidRPr="00B04DC3">
        <w:rPr>
          <w:position w:val="-32"/>
          <w:lang w:val="en-GB"/>
        </w:rPr>
        <w:object w:dxaOrig="4780" w:dyaOrig="760">
          <v:shape id="_x0000_i1066" type="#_x0000_t75" style="width:200.4pt;height:32.4pt" o:ole="" fillcolor="window">
            <v:imagedata r:id="rId116" o:title=""/>
          </v:shape>
          <o:OLEObject Type="Embed" ProgID="Equation.3" ShapeID="_x0000_i1066" DrawAspect="Content" ObjectID="_1498392238" r:id="rId117"/>
        </w:object>
      </w:r>
    </w:p>
    <w:p w:rsidR="00DA59A4" w:rsidRPr="00B04DC3" w:rsidRDefault="00DA59A4" w:rsidP="00DA59A4">
      <w:pPr>
        <w:pStyle w:val="para"/>
        <w:ind w:firstLine="0"/>
        <w:rPr>
          <w:position w:val="-6"/>
          <w:lang w:val="en-GB"/>
        </w:rPr>
      </w:pPr>
      <w:r w:rsidRPr="00B04DC3">
        <w:rPr>
          <w:position w:val="-6"/>
          <w:lang w:val="en-GB"/>
        </w:rPr>
        <w:t>with</w:t>
      </w:r>
    </w:p>
    <w:p w:rsidR="00DA59A4" w:rsidRPr="00B04DC3" w:rsidRDefault="00DA59A4" w:rsidP="00DA59A4">
      <w:pPr>
        <w:pStyle w:val="para"/>
        <w:tabs>
          <w:tab w:val="left" w:pos="2552"/>
          <w:tab w:val="left" w:pos="2835"/>
        </w:tabs>
        <w:ind w:firstLine="0"/>
        <w:rPr>
          <w:lang w:val="en-GB"/>
        </w:rPr>
      </w:pPr>
      <w:r w:rsidRPr="00B04DC3">
        <w:rPr>
          <w:lang w:val="en-GB"/>
        </w:rPr>
        <w:t>k</w:t>
      </w:r>
      <w:r w:rsidRPr="00B04DC3">
        <w:rPr>
          <w:vertAlign w:val="subscript"/>
          <w:lang w:val="en-GB"/>
        </w:rPr>
        <w:t>f</w:t>
      </w:r>
      <w:r w:rsidRPr="00B04DC3">
        <w:rPr>
          <w:lang w:val="en-GB"/>
        </w:rPr>
        <w:tab/>
        <w:t>=</w:t>
      </w:r>
      <w:r w:rsidRPr="00B04DC3">
        <w:rPr>
          <w:lang w:val="en-GB"/>
        </w:rPr>
        <w:tab/>
        <w:t xml:space="preserve">0.055594 </w:t>
      </w:r>
      <w:r w:rsidRPr="00B04DC3">
        <w:rPr>
          <w:rFonts w:cs="Arial"/>
          <w:lang w:val="en-GB"/>
        </w:rPr>
        <w:t>x</w:t>
      </w:r>
      <w:r w:rsidRPr="00B04DC3">
        <w:rPr>
          <w:lang w:val="en-GB"/>
        </w:rPr>
        <w:t xml:space="preserve"> w</w:t>
      </w:r>
      <w:r w:rsidRPr="00B04DC3">
        <w:rPr>
          <w:vertAlign w:val="subscript"/>
          <w:lang w:val="en-GB"/>
        </w:rPr>
        <w:t>ALF</w:t>
      </w:r>
      <w:r w:rsidRPr="00B04DC3">
        <w:rPr>
          <w:lang w:val="en-GB"/>
        </w:rPr>
        <w:t xml:space="preserve"> + 0.0080021 </w:t>
      </w:r>
      <w:r w:rsidRPr="00B04DC3">
        <w:rPr>
          <w:rFonts w:cs="Arial"/>
          <w:lang w:val="en-GB"/>
        </w:rPr>
        <w:t>x</w:t>
      </w:r>
      <w:r w:rsidRPr="00B04DC3">
        <w:rPr>
          <w:lang w:val="en-GB"/>
        </w:rPr>
        <w:t xml:space="preserve"> w</w:t>
      </w:r>
      <w:r w:rsidRPr="00B04DC3">
        <w:rPr>
          <w:vertAlign w:val="subscript"/>
          <w:lang w:val="en-GB"/>
        </w:rPr>
        <w:t>DEL</w:t>
      </w:r>
      <w:r w:rsidRPr="00B04DC3">
        <w:rPr>
          <w:lang w:val="en-GB"/>
        </w:rPr>
        <w:t xml:space="preserve"> + 0.0070046 </w:t>
      </w:r>
      <w:r w:rsidRPr="00B04DC3">
        <w:rPr>
          <w:rFonts w:cs="Arial"/>
          <w:lang w:val="en-GB"/>
        </w:rPr>
        <w:t>x</w:t>
      </w:r>
      <w:r w:rsidRPr="00B04DC3">
        <w:rPr>
          <w:lang w:val="en-GB"/>
        </w:rPr>
        <w:t xml:space="preserve"> w</w:t>
      </w:r>
      <w:r w:rsidRPr="00B04DC3">
        <w:rPr>
          <w:vertAlign w:val="subscript"/>
          <w:lang w:val="en-GB"/>
        </w:rPr>
        <w:t>EPS</w:t>
      </w:r>
    </w:p>
    <w:p w:rsidR="00DA59A4" w:rsidRPr="00B04DC3" w:rsidRDefault="00DA59A4" w:rsidP="00DA59A4">
      <w:pPr>
        <w:pStyle w:val="para"/>
        <w:ind w:firstLine="0"/>
        <w:rPr>
          <w:position w:val="-6"/>
          <w:lang w:val="en-GB"/>
        </w:rPr>
      </w:pPr>
      <w:r w:rsidRPr="00B04DC3">
        <w:rPr>
          <w:position w:val="-6"/>
          <w:lang w:val="en-GB"/>
        </w:rPr>
        <w:t>and</w:t>
      </w:r>
    </w:p>
    <w:p w:rsidR="00DA59A4" w:rsidRPr="00B04DC3" w:rsidRDefault="00DA59A4" w:rsidP="00DA59A4">
      <w:pPr>
        <w:pStyle w:val="para"/>
        <w:rPr>
          <w:lang w:val="en-GB"/>
        </w:rPr>
      </w:pPr>
      <w:r w:rsidRPr="00B04DC3">
        <w:rPr>
          <w:lang w:val="en-GB"/>
        </w:rPr>
        <w:tab/>
      </w:r>
      <w:r w:rsidRPr="00B04DC3">
        <w:rPr>
          <w:lang w:val="en-GB"/>
        </w:rPr>
        <w:tab/>
        <w:t>k</w:t>
      </w:r>
      <w:r w:rsidRPr="00B04DC3">
        <w:rPr>
          <w:vertAlign w:val="subscript"/>
          <w:lang w:val="en-GB"/>
        </w:rPr>
        <w:t>w1</w:t>
      </w:r>
      <w:r w:rsidRPr="00B04DC3">
        <w:rPr>
          <w:lang w:val="en-GB"/>
        </w:rPr>
        <w:t xml:space="preserve"> = </w:t>
      </w:r>
      <w:r w:rsidR="00E636BF" w:rsidRPr="00B04DC3">
        <w:rPr>
          <w:position w:val="-30"/>
          <w:lang w:val="en-GB"/>
        </w:rPr>
        <w:object w:dxaOrig="2020" w:dyaOrig="680">
          <v:shape id="_x0000_i1067" type="#_x0000_t75" style="width:83.4pt;height:27.6pt" o:ole="" fillcolor="window">
            <v:imagedata r:id="rId118" o:title=""/>
          </v:shape>
          <o:OLEObject Type="Embed" ProgID="Equation.3" ShapeID="_x0000_i1067" DrawAspect="Content" ObjectID="_1498392239" r:id="rId119"/>
        </w:object>
      </w:r>
    </w:p>
    <w:p w:rsidR="00DA59A4" w:rsidRPr="00B04DC3" w:rsidRDefault="00DA59A4" w:rsidP="00DA59A4">
      <w:pPr>
        <w:pStyle w:val="para"/>
        <w:rPr>
          <w:lang w:val="en-GB"/>
        </w:rPr>
      </w:pPr>
      <w:r w:rsidRPr="00B04DC3">
        <w:rPr>
          <w:lang w:val="en-GB"/>
        </w:rPr>
        <w:tab/>
      </w:r>
      <w:r w:rsidR="00260B82">
        <w:rPr>
          <w:lang w:val="en-GB"/>
        </w:rPr>
        <w:t>W</w:t>
      </w:r>
      <w:r w:rsidR="00260B82" w:rsidRPr="00B04DC3">
        <w:rPr>
          <w:lang w:val="en-GB"/>
        </w:rPr>
        <w:t>here</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H</w:t>
      </w:r>
      <w:r w:rsidRPr="00B04DC3">
        <w:rPr>
          <w:vertAlign w:val="subscript"/>
          <w:lang w:val="en-GB"/>
        </w:rPr>
        <w:t>a</w:t>
      </w:r>
      <w:r w:rsidRPr="00B04DC3">
        <w:rPr>
          <w:lang w:val="en-GB"/>
        </w:rPr>
        <w:tab/>
        <w:t>= intake air humidity, g water per kg dry air</w:t>
      </w:r>
    </w:p>
    <w:p w:rsidR="00DA59A4" w:rsidRPr="00B04DC3" w:rsidRDefault="00DA59A4" w:rsidP="00DA59A4">
      <w:pPr>
        <w:pStyle w:val="para"/>
        <w:rPr>
          <w:lang w:val="en-GB"/>
        </w:rPr>
      </w:pPr>
      <w:r w:rsidRPr="00B04DC3">
        <w:rPr>
          <w:lang w:val="en-GB"/>
        </w:rPr>
        <w:tab/>
      </w:r>
      <w:r w:rsidRPr="00B04DC3">
        <w:rPr>
          <w:lang w:val="en-GB"/>
        </w:rPr>
        <w:tab/>
        <w:t>w</w:t>
      </w:r>
      <w:r w:rsidRPr="00B04DC3">
        <w:rPr>
          <w:vertAlign w:val="subscript"/>
          <w:lang w:val="en-GB"/>
        </w:rPr>
        <w:t>ALF</w:t>
      </w:r>
      <w:r w:rsidRPr="00B04DC3">
        <w:rPr>
          <w:lang w:val="en-GB"/>
        </w:rPr>
        <w:tab/>
        <w:t>= hydrogen content of the fuel, per cent mass</w:t>
      </w:r>
    </w:p>
    <w:p w:rsidR="00DA59A4" w:rsidRPr="00B04DC3" w:rsidRDefault="00DA59A4" w:rsidP="00DA59A4">
      <w:pPr>
        <w:pStyle w:val="para"/>
        <w:rPr>
          <w:lang w:val="en-GB"/>
        </w:rPr>
      </w:pPr>
      <w:r w:rsidRPr="00B04DC3">
        <w:rPr>
          <w:lang w:val="en-GB"/>
        </w:rPr>
        <w:tab/>
      </w:r>
      <w:r w:rsidRPr="00B04DC3">
        <w:rPr>
          <w:lang w:val="en-GB"/>
        </w:rPr>
        <w:tab/>
        <w:t>q</w:t>
      </w:r>
      <w:r w:rsidRPr="00B04DC3">
        <w:rPr>
          <w:vertAlign w:val="subscript"/>
          <w:lang w:val="en-GB"/>
        </w:rPr>
        <w:t>mf,i</w:t>
      </w:r>
      <w:r w:rsidRPr="00B04DC3">
        <w:rPr>
          <w:lang w:val="en-GB"/>
        </w:rPr>
        <w:tab/>
        <w:t>= instantaneous fuel mass flow rate, kg/s</w:t>
      </w:r>
    </w:p>
    <w:p w:rsidR="00DA59A4" w:rsidRPr="00B04DC3" w:rsidRDefault="00DA59A4" w:rsidP="00DA59A4">
      <w:pPr>
        <w:pStyle w:val="para"/>
        <w:rPr>
          <w:lang w:val="en-GB"/>
        </w:rPr>
      </w:pPr>
      <w:r w:rsidRPr="00B04DC3">
        <w:rPr>
          <w:lang w:val="en-GB"/>
        </w:rPr>
        <w:tab/>
      </w:r>
      <w:r w:rsidRPr="00B04DC3">
        <w:rPr>
          <w:lang w:val="en-GB"/>
        </w:rPr>
        <w:tab/>
        <w:t>q</w:t>
      </w:r>
      <w:r w:rsidRPr="00B04DC3">
        <w:rPr>
          <w:vertAlign w:val="subscript"/>
          <w:lang w:val="en-GB"/>
        </w:rPr>
        <w:t>mad,i</w:t>
      </w:r>
      <w:r w:rsidRPr="00B04DC3">
        <w:rPr>
          <w:vertAlign w:val="subscript"/>
          <w:lang w:val="en-GB"/>
        </w:rPr>
        <w:tab/>
      </w:r>
      <w:r w:rsidRPr="00B04DC3">
        <w:rPr>
          <w:lang w:val="en-GB"/>
        </w:rPr>
        <w:t>= instantaneous dry intake air mass flow rate, kg/s</w:t>
      </w:r>
    </w:p>
    <w:p w:rsidR="00DA59A4" w:rsidRPr="00B04DC3" w:rsidRDefault="00DA59A4" w:rsidP="00DA59A4">
      <w:pPr>
        <w:pStyle w:val="para"/>
        <w:rPr>
          <w:lang w:val="en-GB"/>
        </w:rPr>
      </w:pPr>
      <w:r w:rsidRPr="00B04DC3">
        <w:rPr>
          <w:lang w:val="en-GB"/>
        </w:rPr>
        <w:tab/>
      </w:r>
      <w:r w:rsidRPr="00B04DC3">
        <w:rPr>
          <w:lang w:val="en-GB"/>
        </w:rPr>
        <w:tab/>
        <w:t>p</w:t>
      </w:r>
      <w:r w:rsidRPr="00B04DC3">
        <w:rPr>
          <w:vertAlign w:val="subscript"/>
          <w:lang w:val="en-GB"/>
        </w:rPr>
        <w:t>r</w:t>
      </w:r>
      <w:r w:rsidRPr="00B04DC3">
        <w:rPr>
          <w:lang w:val="en-GB"/>
        </w:rPr>
        <w:tab/>
        <w:t>= water vapour pressure after cooling bath, kPa</w:t>
      </w:r>
    </w:p>
    <w:p w:rsidR="00DA59A4" w:rsidRPr="00B04DC3" w:rsidRDefault="00DA59A4" w:rsidP="00DA59A4">
      <w:pPr>
        <w:pStyle w:val="para"/>
        <w:rPr>
          <w:lang w:val="en-GB"/>
        </w:rPr>
      </w:pPr>
      <w:r w:rsidRPr="00B04DC3">
        <w:rPr>
          <w:lang w:val="en-GB"/>
        </w:rPr>
        <w:tab/>
      </w:r>
      <w:r w:rsidRPr="00B04DC3">
        <w:rPr>
          <w:lang w:val="en-GB"/>
        </w:rPr>
        <w:tab/>
        <w:t>p</w:t>
      </w:r>
      <w:r w:rsidRPr="00B04DC3">
        <w:rPr>
          <w:vertAlign w:val="subscript"/>
          <w:lang w:val="en-GB"/>
        </w:rPr>
        <w:t>b</w:t>
      </w:r>
      <w:r w:rsidRPr="00B04DC3">
        <w:rPr>
          <w:lang w:val="en-GB"/>
        </w:rPr>
        <w:tab/>
        <w:t>= total atmospheric pressure, kPa</w:t>
      </w:r>
    </w:p>
    <w:p w:rsidR="00DA59A4" w:rsidRPr="00B04DC3" w:rsidRDefault="00DA59A4" w:rsidP="00DA59A4">
      <w:pPr>
        <w:pStyle w:val="para"/>
        <w:rPr>
          <w:lang w:val="en-GB"/>
        </w:rPr>
      </w:pPr>
      <w:r w:rsidRPr="00B04DC3">
        <w:rPr>
          <w:lang w:val="en-GB"/>
        </w:rPr>
        <w:tab/>
      </w:r>
      <w:r w:rsidRPr="00B04DC3">
        <w:rPr>
          <w:lang w:val="en-GB"/>
        </w:rPr>
        <w:tab/>
        <w:t>w</w:t>
      </w:r>
      <w:r w:rsidRPr="00B04DC3">
        <w:rPr>
          <w:vertAlign w:val="subscript"/>
          <w:lang w:val="en-GB"/>
        </w:rPr>
        <w:t>DEL</w:t>
      </w:r>
      <w:r w:rsidRPr="00B04DC3">
        <w:rPr>
          <w:lang w:val="en-GB"/>
        </w:rPr>
        <w:tab/>
        <w:t>= nitrogen content of the fuel, per cent mass</w:t>
      </w:r>
    </w:p>
    <w:p w:rsidR="00DA59A4" w:rsidRPr="00B04DC3" w:rsidRDefault="00DA59A4" w:rsidP="00DA59A4">
      <w:pPr>
        <w:pStyle w:val="para"/>
        <w:rPr>
          <w:lang w:val="en-GB"/>
        </w:rPr>
      </w:pPr>
      <w:r w:rsidRPr="00B04DC3">
        <w:rPr>
          <w:lang w:val="en-GB"/>
        </w:rPr>
        <w:tab/>
      </w:r>
      <w:r w:rsidRPr="00B04DC3">
        <w:rPr>
          <w:lang w:val="en-GB"/>
        </w:rPr>
        <w:tab/>
        <w:t>w</w:t>
      </w:r>
      <w:r w:rsidRPr="00B04DC3">
        <w:rPr>
          <w:vertAlign w:val="subscript"/>
          <w:lang w:val="en-GB"/>
        </w:rPr>
        <w:t>EPS</w:t>
      </w:r>
      <w:r w:rsidRPr="00B04DC3">
        <w:rPr>
          <w:lang w:val="en-GB"/>
        </w:rPr>
        <w:tab/>
        <w:t>= oxygen content of the fuel, per cent mass</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sym w:font="Symbol" w:char="F061"/>
      </w:r>
      <w:r w:rsidRPr="00B04DC3">
        <w:rPr>
          <w:lang w:val="en-GB"/>
        </w:rPr>
        <w:tab/>
        <w:t>= molar hydrogen ratio of the fuel</w:t>
      </w:r>
    </w:p>
    <w:p w:rsidR="00DA59A4" w:rsidRPr="00B04DC3" w:rsidRDefault="00DA59A4" w:rsidP="00DA59A4">
      <w:pPr>
        <w:pStyle w:val="para"/>
        <w:rPr>
          <w:lang w:val="en-GB"/>
        </w:rPr>
      </w:pPr>
      <w:r w:rsidRPr="00B04DC3">
        <w:rPr>
          <w:lang w:val="en-GB"/>
        </w:rPr>
        <w:tab/>
      </w:r>
      <w:r w:rsidRPr="00B04DC3">
        <w:rPr>
          <w:lang w:val="en-GB"/>
        </w:rPr>
        <w:tab/>
        <w:t>c</w:t>
      </w:r>
      <w:r w:rsidRPr="00B04DC3">
        <w:rPr>
          <w:vertAlign w:val="subscript"/>
          <w:lang w:val="en-GB"/>
        </w:rPr>
        <w:t>CO2</w:t>
      </w:r>
      <w:r w:rsidRPr="00B04DC3">
        <w:rPr>
          <w:lang w:val="en-GB"/>
        </w:rPr>
        <w:tab/>
        <w:t>= dry CO</w:t>
      </w:r>
      <w:r w:rsidRPr="00B04DC3">
        <w:rPr>
          <w:vertAlign w:val="subscript"/>
          <w:lang w:val="en-GB"/>
        </w:rPr>
        <w:t>2</w:t>
      </w:r>
      <w:r w:rsidRPr="00B04DC3">
        <w:rPr>
          <w:lang w:val="en-GB"/>
        </w:rPr>
        <w:t xml:space="preserve"> concentration, per cent</w:t>
      </w:r>
    </w:p>
    <w:p w:rsidR="00DA59A4" w:rsidRPr="00B04DC3" w:rsidRDefault="00DA59A4" w:rsidP="00DA59A4">
      <w:pPr>
        <w:pStyle w:val="para"/>
        <w:rPr>
          <w:lang w:val="en-GB"/>
        </w:rPr>
      </w:pPr>
      <w:r w:rsidRPr="00B04DC3">
        <w:rPr>
          <w:lang w:val="en-GB"/>
        </w:rPr>
        <w:tab/>
      </w:r>
      <w:r w:rsidRPr="00B04DC3">
        <w:rPr>
          <w:lang w:val="en-GB"/>
        </w:rPr>
        <w:tab/>
        <w:t>c</w:t>
      </w:r>
      <w:r w:rsidRPr="00B04DC3">
        <w:rPr>
          <w:vertAlign w:val="subscript"/>
          <w:lang w:val="en-GB"/>
        </w:rPr>
        <w:t>CO</w:t>
      </w:r>
      <w:r w:rsidRPr="00B04DC3">
        <w:rPr>
          <w:vertAlign w:val="subscript"/>
          <w:lang w:val="en-GB"/>
        </w:rPr>
        <w:tab/>
      </w:r>
      <w:r w:rsidRPr="00B04DC3">
        <w:rPr>
          <w:lang w:val="en-GB"/>
        </w:rPr>
        <w:t>= dry CO concentration, per cent</w:t>
      </w:r>
    </w:p>
    <w:p w:rsidR="00DA59A4" w:rsidRPr="00B04DC3" w:rsidRDefault="00DA59A4" w:rsidP="00DA59A4">
      <w:pPr>
        <w:pStyle w:val="para"/>
        <w:rPr>
          <w:lang w:val="en-GB"/>
        </w:rPr>
      </w:pPr>
      <w:r w:rsidRPr="00B04DC3">
        <w:rPr>
          <w:lang w:val="en-GB"/>
        </w:rPr>
        <w:tab/>
        <w:t>For the diluted exhaust gas:</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763" editas="canvas" style="width:171pt;height:41.75pt;mso-position-horizontal-relative:char;mso-position-vertical-relative:line" coordsize="3420,835">
            <o:lock v:ext="edit" aspectratio="t"/>
            <v:shape id="_x0000_s1764" type="#_x0000_t75" style="position:absolute;width:3420;height:835" o:preferrelative="f">
              <v:fill o:detectmouseclick="t"/>
              <v:path o:extrusionok="t" o:connecttype="none"/>
              <o:lock v:ext="edit" text="t"/>
            </v:shape>
            <v:line id="_x0000_s1765" style="position:absolute" from="1331,360" to="2619,360" strokeweight=".5pt"/>
            <v:rect id="_x0000_s1766" style="position:absolute;left:3338;top:353;width:71;height:240;mso-wrap-style:none" filled="f" stroked="f">
              <v:textbox style="mso-fit-shape-to-text:t" inset="0,0,0,0">
                <w:txbxContent>
                  <w:p w:rsidR="00A905B7" w:rsidRDefault="00A905B7">
                    <w:r>
                      <w:rPr>
                        <w:color w:val="000000"/>
                        <w:sz w:val="14"/>
                        <w:szCs w:val="14"/>
                      </w:rPr>
                      <w:t>1</w:t>
                    </w:r>
                  </w:p>
                </w:txbxContent>
              </v:textbox>
            </v:rect>
            <v:rect id="_x0000_s1767" style="position:absolute;left:2506;top:125;width:71;height:240;mso-wrap-style:none" filled="f" stroked="f">
              <v:textbox style="mso-fit-shape-to-text:t" inset="0,0,0,0">
                <w:txbxContent>
                  <w:p w:rsidR="00A905B7" w:rsidRDefault="00A905B7">
                    <w:r>
                      <w:rPr>
                        <w:color w:val="000000"/>
                        <w:sz w:val="14"/>
                        <w:szCs w:val="14"/>
                      </w:rPr>
                      <w:t>2</w:t>
                    </w:r>
                  </w:p>
                </w:txbxContent>
              </v:textbox>
            </v:rect>
            <v:rect id="_x0000_s1768" style="position:absolute;left:389;top:353;width:71;height:240;mso-wrap-style:none" filled="f" stroked="f">
              <v:textbox style="mso-fit-shape-to-text:t" inset="0,0,0,0">
                <w:txbxContent>
                  <w:p w:rsidR="00A905B7" w:rsidRDefault="00A905B7">
                    <w:r>
                      <w:rPr>
                        <w:color w:val="000000"/>
                        <w:sz w:val="14"/>
                        <w:szCs w:val="14"/>
                      </w:rPr>
                      <w:t>1</w:t>
                    </w:r>
                  </w:p>
                </w:txbxContent>
              </v:textbox>
            </v:rect>
            <v:rect id="_x0000_s1769" style="position:absolute;left:1799;top:391;width:301;height:240;mso-wrap-style:none" filled="f" stroked="f">
              <v:textbox style="mso-fit-shape-to-text:t" inset="0,0,0,0">
                <w:txbxContent>
                  <w:p w:rsidR="00A905B7" w:rsidRDefault="00A905B7">
                    <w:r>
                      <w:rPr>
                        <w:color w:val="000000"/>
                      </w:rPr>
                      <w:t>200</w:t>
                    </w:r>
                  </w:p>
                </w:txbxContent>
              </v:textbox>
            </v:rect>
            <v:rect id="_x0000_s1770" style="position:absolute;left:1799;top:31;width:167;height:240;mso-wrap-style:none" filled="f" stroked="f">
              <v:textbox style="mso-fit-shape-to-text:t" inset="0,0,0,0">
                <w:txbxContent>
                  <w:p w:rsidR="00A905B7" w:rsidRDefault="00A905B7">
                    <w:r>
                      <w:rPr>
                        <w:color w:val="000000"/>
                      </w:rPr>
                      <w:t>%</w:t>
                    </w:r>
                  </w:p>
                </w:txbxContent>
              </v:textbox>
            </v:rect>
            <v:rect id="_x0000_s1771" style="position:absolute;left:943;top:204;width:101;height:240;mso-wrap-style:none" filled="f" stroked="f">
              <v:textbox style="mso-fit-shape-to-text:t" inset="0,0,0,0">
                <w:txbxContent>
                  <w:p w:rsidR="00A905B7" w:rsidRDefault="00A905B7">
                    <w:r>
                      <w:rPr>
                        <w:color w:val="000000"/>
                      </w:rPr>
                      <w:t>1</w:t>
                    </w:r>
                  </w:p>
                </w:txbxContent>
              </v:textbox>
            </v:rect>
            <v:rect id="_x0000_s1772" style="position:absolute;left:3204;top:355;width:133;height:240;mso-wrap-style:none" filled="f" stroked="f">
              <v:textbox style="mso-fit-shape-to-text:t" inset="0,0,0,0">
                <w:txbxContent>
                  <w:p w:rsidR="00A905B7" w:rsidRPr="00142758" w:rsidRDefault="00A905B7">
                    <w:r w:rsidRPr="00142758">
                      <w:rPr>
                        <w:iCs/>
                        <w:color w:val="000000"/>
                        <w:sz w:val="14"/>
                        <w:szCs w:val="14"/>
                      </w:rPr>
                      <w:t>W</w:t>
                    </w:r>
                  </w:p>
                </w:txbxContent>
              </v:textbox>
            </v:rect>
            <v:rect id="_x0000_s1773" style="position:absolute;left:2298;top:127;width:195;height:240;mso-wrap-style:none" filled="f" stroked="f">
              <v:textbox style="mso-fit-shape-to-text:t" inset="0,0,0,0">
                <w:txbxContent>
                  <w:p w:rsidR="00A905B7" w:rsidRPr="00142758" w:rsidRDefault="00A905B7">
                    <w:r w:rsidRPr="00142758">
                      <w:rPr>
                        <w:iCs/>
                        <w:color w:val="000000"/>
                        <w:sz w:val="14"/>
                        <w:szCs w:val="14"/>
                      </w:rPr>
                      <w:t>CO</w:t>
                    </w:r>
                  </w:p>
                </w:txbxContent>
              </v:textbox>
            </v:rect>
            <v:rect id="_x0000_s1774" style="position:absolute;left:2190;top:102;width:102;height:240;mso-wrap-style:none" filled="f" stroked="f">
              <v:textbox style="mso-fit-shape-to-text:t" inset="0,0,0,0">
                <w:txbxContent>
                  <w:p w:rsidR="00A905B7" w:rsidRPr="00142758" w:rsidRDefault="00A905B7">
                    <w:r w:rsidRPr="00142758">
                      <w:rPr>
                        <w:iCs/>
                        <w:color w:val="000000"/>
                        <w:sz w:val="14"/>
                        <w:szCs w:val="14"/>
                      </w:rPr>
                      <w:t>w</w:t>
                    </w:r>
                  </w:p>
                </w:txbxContent>
              </v:textbox>
            </v:rect>
            <v:rect id="_x0000_s1775" style="position:absolute;left:213;top:355;width:195;height:240;mso-wrap-style:none" filled="f" stroked="f">
              <v:textbox style="mso-fit-shape-to-text:t" inset="0,0,0,0">
                <w:txbxContent>
                  <w:p w:rsidR="00A905B7" w:rsidRPr="00142758" w:rsidRDefault="00A905B7">
                    <w:r w:rsidRPr="00142758">
                      <w:rPr>
                        <w:iCs/>
                        <w:color w:val="000000"/>
                        <w:sz w:val="14"/>
                        <w:szCs w:val="14"/>
                      </w:rPr>
                      <w:t>We</w:t>
                    </w:r>
                  </w:p>
                </w:txbxContent>
              </v:textbox>
            </v:rect>
            <v:rect id="_x0000_s1776" style="position:absolute;left:3034;top:204;width:145;height:240;mso-wrap-style:none" filled="f" stroked="f">
              <v:textbox style="mso-fit-shape-to-text:t" inset="0,0,0,0">
                <w:txbxContent>
                  <w:p w:rsidR="00A905B7" w:rsidRPr="000207FE" w:rsidRDefault="00A905B7">
                    <w:r w:rsidRPr="000207FE">
                      <w:rPr>
                        <w:iCs/>
                        <w:color w:val="000000"/>
                      </w:rPr>
                      <w:t>K</w:t>
                    </w:r>
                  </w:p>
                </w:txbxContent>
              </v:textbox>
            </v:rect>
            <v:rect id="_x0000_s1777" style="position:absolute;left:2072;top:31;width:89;height:240;mso-wrap-style:none" filled="f" stroked="f">
              <v:textbox style="mso-fit-shape-to-text:t" inset="0,0,0,0">
                <w:txbxContent>
                  <w:p w:rsidR="00A905B7" w:rsidRPr="00142758" w:rsidRDefault="00A905B7">
                    <w:r w:rsidRPr="00142758">
                      <w:rPr>
                        <w:iCs/>
                        <w:color w:val="000000"/>
                      </w:rPr>
                      <w:t>c</w:t>
                    </w:r>
                  </w:p>
                </w:txbxContent>
              </v:textbox>
            </v:rect>
            <v:rect id="_x0000_s1778" style="position:absolute;left:43;top:204;width:145;height:240;mso-wrap-style:none" filled="f" stroked="f">
              <v:textbox style="mso-fit-shape-to-text:t" inset="0,0,0,0">
                <w:txbxContent>
                  <w:p w:rsidR="00A905B7" w:rsidRPr="000207FE" w:rsidRDefault="00A905B7">
                    <w:r w:rsidRPr="000207FE">
                      <w:rPr>
                        <w:iCs/>
                        <w:color w:val="000000"/>
                      </w:rPr>
                      <w:t>K</w:t>
                    </w:r>
                  </w:p>
                </w:txbxContent>
              </v:textbox>
            </v:rect>
            <v:rect id="_x0000_s1779" style="position:absolute;left:2818;top:180;width:110;height:245;mso-wrap-style:none" filled="f" stroked="f">
              <v:textbox style="mso-fit-shape-to-text:t" inset="0,0,0,0">
                <w:txbxContent>
                  <w:p w:rsidR="00A905B7" w:rsidRDefault="00A905B7">
                    <w:r>
                      <w:rPr>
                        <w:rFonts w:ascii="Symbol" w:hAnsi="Symbol" w:cs="Symbol"/>
                        <w:color w:val="000000"/>
                      </w:rPr>
                      <w:t></w:t>
                    </w:r>
                  </w:p>
                </w:txbxContent>
              </v:textbox>
            </v:rect>
            <v:rect id="_x0000_s1780" style="position:absolute;left:2648;top:264;width:77;height:245;mso-wrap-style:none" filled="f" stroked="f">
              <v:textbox style="mso-fit-shape-to-text:t" inset="0,0,0,0">
                <w:txbxContent>
                  <w:p w:rsidR="00A905B7" w:rsidRDefault="00A905B7">
                    <w:r>
                      <w:rPr>
                        <w:rFonts w:ascii="Symbol" w:hAnsi="Symbol" w:cs="Symbol"/>
                        <w:color w:val="000000"/>
                      </w:rPr>
                      <w:t></w:t>
                    </w:r>
                  </w:p>
                </w:txbxContent>
              </v:textbox>
            </v:rect>
            <v:rect id="_x0000_s1781" style="position:absolute;left:2648;top:178;width:77;height:245;mso-wrap-style:none" filled="f" stroked="f">
              <v:textbox style="mso-fit-shape-to-text:t" inset="0,0,0,0">
                <w:txbxContent>
                  <w:p w:rsidR="00A905B7" w:rsidRDefault="00A905B7">
                    <w:r>
                      <w:rPr>
                        <w:rFonts w:ascii="Symbol" w:hAnsi="Symbol" w:cs="Symbol"/>
                        <w:color w:val="000000"/>
                      </w:rPr>
                      <w:t></w:t>
                    </w:r>
                  </w:p>
                </w:txbxContent>
              </v:textbox>
            </v:rect>
            <v:rect id="_x0000_s1782" style="position:absolute;left:2648;top:418;width:77;height:245;mso-wrap-style:none" filled="f" stroked="f">
              <v:textbox style="mso-fit-shape-to-text:t" inset="0,0,0,0">
                <w:txbxContent>
                  <w:p w:rsidR="00A905B7" w:rsidRDefault="00A905B7">
                    <w:r>
                      <w:rPr>
                        <w:rFonts w:ascii="Symbol" w:hAnsi="Symbol" w:cs="Symbol"/>
                        <w:color w:val="000000"/>
                      </w:rPr>
                      <w:t></w:t>
                    </w:r>
                  </w:p>
                </w:txbxContent>
              </v:textbox>
            </v:rect>
            <v:rect id="_x0000_s1783" style="position:absolute;left:2648;top:24;width:77;height:245;mso-wrap-style:none" filled="f" stroked="f">
              <v:textbox style="mso-fit-shape-to-text:t" inset="0,0,0,0">
                <w:txbxContent>
                  <w:p w:rsidR="00A905B7" w:rsidRDefault="00A905B7">
                    <w:r>
                      <w:rPr>
                        <w:rFonts w:ascii="Symbol" w:hAnsi="Symbol" w:cs="Symbol"/>
                        <w:color w:val="000000"/>
                      </w:rPr>
                      <w:t></w:t>
                    </w:r>
                  </w:p>
                </w:txbxContent>
              </v:textbox>
            </v:rect>
            <v:rect id="_x0000_s1784" style="position:absolute;left:849;top:264;width:77;height:245;mso-wrap-style:none" filled="f" stroked="f">
              <v:textbox style="mso-fit-shape-to-text:t" inset="0,0,0,0">
                <w:txbxContent>
                  <w:p w:rsidR="00A905B7" w:rsidRDefault="00A905B7">
                    <w:r>
                      <w:rPr>
                        <w:rFonts w:ascii="Symbol" w:hAnsi="Symbol" w:cs="Symbol"/>
                        <w:color w:val="000000"/>
                      </w:rPr>
                      <w:t></w:t>
                    </w:r>
                  </w:p>
                </w:txbxContent>
              </v:textbox>
            </v:rect>
            <v:rect id="_x0000_s1785" style="position:absolute;left:849;top:178;width:77;height:245;mso-wrap-style:none" filled="f" stroked="f">
              <v:textbox style="mso-fit-shape-to-text:t" inset="0,0,0,0">
                <w:txbxContent>
                  <w:p w:rsidR="00A905B7" w:rsidRDefault="00A905B7">
                    <w:r>
                      <w:rPr>
                        <w:rFonts w:ascii="Symbol" w:hAnsi="Symbol" w:cs="Symbol"/>
                        <w:color w:val="000000"/>
                      </w:rPr>
                      <w:t></w:t>
                    </w:r>
                  </w:p>
                </w:txbxContent>
              </v:textbox>
            </v:rect>
            <v:rect id="_x0000_s1786" style="position:absolute;left:849;top:418;width:77;height:245;mso-wrap-style:none" filled="f" stroked="f">
              <v:textbox style="mso-fit-shape-to-text:t" inset="0,0,0,0">
                <w:txbxContent>
                  <w:p w:rsidR="00A905B7" w:rsidRDefault="00A905B7">
                    <w:r>
                      <w:rPr>
                        <w:rFonts w:ascii="Symbol" w:hAnsi="Symbol" w:cs="Symbol"/>
                        <w:color w:val="000000"/>
                      </w:rPr>
                      <w:t></w:t>
                    </w:r>
                  </w:p>
                </w:txbxContent>
              </v:textbox>
            </v:rect>
            <v:rect id="_x0000_s1787" style="position:absolute;left:849;top:24;width:77;height:245;mso-wrap-style:none" filled="f" stroked="f">
              <v:textbox style="mso-fit-shape-to-text:t" inset="0,0,0,0">
                <w:txbxContent>
                  <w:p w:rsidR="00A905B7" w:rsidRDefault="00A905B7">
                    <w:r>
                      <w:rPr>
                        <w:rFonts w:ascii="Symbol" w:hAnsi="Symbol" w:cs="Symbol"/>
                        <w:color w:val="000000"/>
                      </w:rPr>
                      <w:t></w:t>
                    </w:r>
                  </w:p>
                </w:txbxContent>
              </v:textbox>
            </v:rect>
            <v:rect id="_x0000_s1788" style="position:absolute;left:1600;top:7;width:110;height:245;mso-wrap-style:none" filled="f" stroked="f">
              <v:textbox style="mso-fit-shape-to-text:t" inset="0,0,0,0">
                <w:txbxContent>
                  <w:p w:rsidR="00A905B7" w:rsidRDefault="00A905B7">
                    <w:r>
                      <w:rPr>
                        <w:rFonts w:ascii="Symbol" w:hAnsi="Symbol" w:cs="Symbol"/>
                        <w:color w:val="000000"/>
                      </w:rPr>
                      <w:t></w:t>
                    </w:r>
                  </w:p>
                </w:txbxContent>
              </v:textbox>
            </v:rect>
            <v:rect id="_x0000_s1789" style="position:absolute;left:1118;top:180;width:110;height:245;mso-wrap-style:none" filled="f" stroked="f">
              <v:textbox style="mso-fit-shape-to-text:t" inset="0,0,0,0">
                <w:txbxContent>
                  <w:p w:rsidR="00A905B7" w:rsidRDefault="00A905B7">
                    <w:r>
                      <w:rPr>
                        <w:rFonts w:ascii="Symbol" w:hAnsi="Symbol" w:cs="Symbol"/>
                        <w:color w:val="000000"/>
                      </w:rPr>
                      <w:t></w:t>
                    </w:r>
                  </w:p>
                </w:txbxContent>
              </v:textbox>
            </v:rect>
            <v:rect id="_x0000_s1790" style="position:absolute;left:602;top:180;width:110;height:245;mso-wrap-style:none" filled="f" stroked="f">
              <v:textbox style="mso-fit-shape-to-text:t" inset="0,0,0,0">
                <w:txbxContent>
                  <w:p w:rsidR="00A905B7" w:rsidRDefault="00A905B7">
                    <w:r>
                      <w:rPr>
                        <w:rFonts w:ascii="Symbol" w:hAnsi="Symbol" w:cs="Symbol"/>
                        <w:color w:val="000000"/>
                      </w:rPr>
                      <w:t></w:t>
                    </w:r>
                  </w:p>
                </w:txbxContent>
              </v:textbox>
            </v:rect>
            <v:rect id="_x0000_s1791" style="position:absolute;left:1329;top:7;width:139;height:245;mso-wrap-style:none" filled="f" stroked="f">
              <v:textbox style="mso-fit-shape-to-text:t" inset="0,0,0,0">
                <w:txbxContent>
                  <w:p w:rsidR="00A905B7" w:rsidRDefault="00A905B7">
                    <w:r>
                      <w:rPr>
                        <w:rFonts w:ascii="Symbol" w:hAnsi="Symbol" w:cs="Symbol"/>
                        <w:i/>
                        <w:iCs/>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t>or</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792" editas="canvas" style="width:141.25pt;height:67.8pt;mso-position-horizontal-relative:char;mso-position-vertical-relative:line" coordsize="2825,1356">
            <o:lock v:ext="edit" aspectratio="t"/>
            <v:shape id="_x0000_s1793" type="#_x0000_t75" style="position:absolute;width:2825;height:1356" o:preferrelative="f">
              <v:fill o:detectmouseclick="t"/>
              <v:path o:extrusionok="t" o:connecttype="none"/>
              <o:lock v:ext="edit" text="t"/>
            </v:shape>
            <v:rect id="_x0000_s1794" style="position:absolute;left:1304;top:242;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1795" style="position:absolute;left:2105;top:242;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line id="_x0000_s1796" style="position:absolute" from="1290,994" to="2539,994" strokeweight=".25pt"/>
            <v:line id="_x0000_s1797" style="position:absolute" from="909,660" to="2559,660" strokeweight=".5pt"/>
            <v:rect id="_x0000_s1798" style="position:absolute;left:2590;top:852;width:77;height:245;mso-wrap-style:none" filled="f" stroked="f">
              <v:textbox style="mso-fit-shape-to-text:t" inset="0,0,0,0">
                <w:txbxContent>
                  <w:p w:rsidR="00A905B7" w:rsidRDefault="00A905B7">
                    <w:r>
                      <w:rPr>
                        <w:rFonts w:ascii="Symbol" w:hAnsi="Symbol" w:cs="Symbol"/>
                        <w:color w:val="000000"/>
                      </w:rPr>
                      <w:t></w:t>
                    </w:r>
                  </w:p>
                </w:txbxContent>
              </v:textbox>
            </v:rect>
            <v:rect id="_x0000_s1799" style="position:absolute;left:2590;top:65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0" style="position:absolute;left:2590;top:42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1" style="position:absolute;left:2590;top:19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2" style="position:absolute;left:2590;top:1006;width:77;height:245;mso-wrap-style:none" filled="f" stroked="f">
              <v:textbox style="mso-fit-shape-to-text:t" inset="0,0,0,0">
                <w:txbxContent>
                  <w:p w:rsidR="00A905B7" w:rsidRDefault="00A905B7">
                    <w:r>
                      <w:rPr>
                        <w:rFonts w:ascii="Symbol" w:hAnsi="Symbol" w:cs="Symbol"/>
                        <w:color w:val="000000"/>
                      </w:rPr>
                      <w:t></w:t>
                    </w:r>
                  </w:p>
                </w:txbxContent>
              </v:textbox>
            </v:rect>
            <v:rect id="_x0000_s1803" style="position:absolute;left:2590;top:36;width:77;height:245;mso-wrap-style:none" filled="f" stroked="f">
              <v:textbox style="mso-fit-shape-to-text:t" inset="0,0,0,0">
                <w:txbxContent>
                  <w:p w:rsidR="00A905B7" w:rsidRDefault="00A905B7">
                    <w:r>
                      <w:rPr>
                        <w:rFonts w:ascii="Symbol" w:hAnsi="Symbol" w:cs="Symbol"/>
                        <w:color w:val="000000"/>
                      </w:rPr>
                      <w:t></w:t>
                    </w:r>
                  </w:p>
                </w:txbxContent>
              </v:textbox>
            </v:rect>
            <v:rect id="_x0000_s1804" style="position:absolute;left:784;top:852;width:77;height:245;mso-wrap-style:none" filled="f" stroked="f">
              <v:textbox style="mso-fit-shape-to-text:t" inset="0,0,0,0">
                <w:txbxContent>
                  <w:p w:rsidR="00A905B7" w:rsidRDefault="00A905B7">
                    <w:r>
                      <w:rPr>
                        <w:rFonts w:ascii="Symbol" w:hAnsi="Symbol" w:cs="Symbol"/>
                        <w:color w:val="000000"/>
                      </w:rPr>
                      <w:t></w:t>
                    </w:r>
                  </w:p>
                </w:txbxContent>
              </v:textbox>
            </v:rect>
            <v:rect id="_x0000_s1805" style="position:absolute;left:784;top:65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6" style="position:absolute;left:784;top:42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7" style="position:absolute;left:784;top:190;width:77;height:245;mso-wrap-style:none" filled="f" stroked="f">
              <v:textbox style="mso-fit-shape-to-text:t" inset="0,0,0,0">
                <w:txbxContent>
                  <w:p w:rsidR="00A905B7" w:rsidRDefault="00A905B7">
                    <w:r>
                      <w:rPr>
                        <w:rFonts w:ascii="Symbol" w:hAnsi="Symbol" w:cs="Symbol"/>
                        <w:color w:val="000000"/>
                      </w:rPr>
                      <w:t></w:t>
                    </w:r>
                  </w:p>
                </w:txbxContent>
              </v:textbox>
            </v:rect>
            <v:rect id="_x0000_s1808" style="position:absolute;left:784;top:1006;width:77;height:245;mso-wrap-style:none" filled="f" stroked="f">
              <v:textbox style="mso-fit-shape-to-text:t" inset="0,0,0,0">
                <w:txbxContent>
                  <w:p w:rsidR="00A905B7" w:rsidRDefault="00A905B7">
                    <w:r>
                      <w:rPr>
                        <w:rFonts w:ascii="Symbol" w:hAnsi="Symbol" w:cs="Symbol"/>
                        <w:color w:val="000000"/>
                      </w:rPr>
                      <w:t></w:t>
                    </w:r>
                  </w:p>
                </w:txbxContent>
              </v:textbox>
            </v:rect>
            <v:rect id="_x0000_s1809" style="position:absolute;left:784;top:36;width:77;height:245;mso-wrap-style:none" filled="f" stroked="f">
              <v:textbox style="mso-fit-shape-to-text:t" inset="0,0,0,0">
                <w:txbxContent>
                  <w:p w:rsidR="00A905B7" w:rsidRDefault="00A905B7">
                    <w:r>
                      <w:rPr>
                        <w:rFonts w:ascii="Symbol" w:hAnsi="Symbol" w:cs="Symbol"/>
                        <w:color w:val="000000"/>
                      </w:rPr>
                      <w:t></w:t>
                    </w:r>
                  </w:p>
                </w:txbxContent>
              </v:textbox>
            </v:rect>
            <v:rect id="_x0000_s1810" style="position:absolute;left:1527;top:641;width:110;height:245;mso-wrap-style:none" filled="f" stroked="f">
              <v:textbox style="mso-fit-shape-to-text:t" inset="0,0,0,0">
                <w:txbxContent>
                  <w:p w:rsidR="00A905B7" w:rsidRDefault="00A905B7">
                    <w:r>
                      <w:rPr>
                        <w:rFonts w:ascii="Symbol" w:hAnsi="Symbol" w:cs="Symbol"/>
                        <w:color w:val="000000"/>
                      </w:rPr>
                      <w:t></w:t>
                    </w:r>
                  </w:p>
                </w:txbxContent>
              </v:textbox>
            </v:rect>
            <v:rect id="_x0000_s1811" style="position:absolute;left:1074;top:814;width:110;height:245;mso-wrap-style:none" filled="f" stroked="f">
              <v:textbox style="mso-fit-shape-to-text:t" inset="0,0,0,0">
                <w:txbxContent>
                  <w:p w:rsidR="00A905B7" w:rsidRDefault="00A905B7">
                    <w:r>
                      <w:rPr>
                        <w:rFonts w:ascii="Symbol" w:hAnsi="Symbol" w:cs="Symbol"/>
                        <w:color w:val="000000"/>
                      </w:rPr>
                      <w:t></w:t>
                    </w:r>
                  </w:p>
                </w:txbxContent>
              </v:textbox>
            </v:rect>
            <v:rect id="_x0000_s1812" style="position:absolute;left:1527;top:322;width:110;height:245;mso-wrap-style:none" filled="f" stroked="f">
              <v:textbox style="mso-fit-shape-to-text:t" inset="0,0,0,0">
                <w:txbxContent>
                  <w:p w:rsidR="00A905B7" w:rsidRDefault="00A905B7">
                    <w:r>
                      <w:rPr>
                        <w:rFonts w:ascii="Symbol" w:hAnsi="Symbol" w:cs="Symbol"/>
                        <w:color w:val="000000"/>
                      </w:rPr>
                      <w:t></w:t>
                    </w:r>
                  </w:p>
                </w:txbxContent>
              </v:textbox>
            </v:rect>
            <v:rect id="_x0000_s1813" style="position:absolute;left:583;top:480;width:110;height:245;mso-wrap-style:none" filled="f" stroked="f">
              <v:textbox style="mso-fit-shape-to-text:t" inset="0,0,0,0">
                <w:txbxContent>
                  <w:p w:rsidR="00A905B7" w:rsidRDefault="00A905B7">
                    <w:r>
                      <w:rPr>
                        <w:rFonts w:ascii="Symbol" w:hAnsi="Symbol" w:cs="Symbol"/>
                        <w:color w:val="000000"/>
                      </w:rPr>
                      <w:t></w:t>
                    </w:r>
                  </w:p>
                </w:txbxContent>
              </v:textbox>
            </v:rect>
            <v:rect id="_x0000_s1814" style="position:absolute;left:1738;top:1025;width:301;height:240;mso-wrap-style:none" filled="f" stroked="f">
              <v:textbox style="mso-fit-shape-to-text:t" inset="0,0,0,0">
                <w:txbxContent>
                  <w:p w:rsidR="00A905B7" w:rsidRDefault="00A905B7">
                    <w:r>
                      <w:rPr>
                        <w:color w:val="000000"/>
                      </w:rPr>
                      <w:t>200</w:t>
                    </w:r>
                  </w:p>
                </w:txbxContent>
              </v:textbox>
            </v:rect>
            <v:rect id="_x0000_s1815" style="position:absolute;left:1726;top:665;width:167;height:240;mso-wrap-style:none" filled="f" stroked="f">
              <v:textbox style="mso-fit-shape-to-text:t" inset="0,0,0,0">
                <w:txbxContent>
                  <w:p w:rsidR="00A905B7" w:rsidRDefault="00A905B7">
                    <w:r>
                      <w:rPr>
                        <w:color w:val="000000"/>
                      </w:rPr>
                      <w:t>%</w:t>
                    </w:r>
                  </w:p>
                </w:txbxContent>
              </v:textbox>
            </v:rect>
            <v:rect id="_x0000_s1816" style="position:absolute;left:899;top:838;width:101;height:240;mso-wrap-style:none" filled="f" stroked="f">
              <v:textbox style="mso-fit-shape-to-text:t" inset="0,0,0,0">
                <w:txbxContent>
                  <w:p w:rsidR="00A905B7" w:rsidRDefault="00A905B7">
                    <w:r>
                      <w:rPr>
                        <w:color w:val="000000"/>
                      </w:rPr>
                      <w:t>1</w:t>
                    </w:r>
                  </w:p>
                </w:txbxContent>
              </v:textbox>
            </v:rect>
            <v:rect id="_x0000_s1817" style="position:absolute;left:1398;top:346;width:101;height:240;mso-wrap-style:none" filled="f" stroked="f">
              <v:textbox style="mso-fit-shape-to-text:t" inset="0,0,0,0">
                <w:txbxContent>
                  <w:p w:rsidR="00A905B7" w:rsidRDefault="00A905B7">
                    <w:r>
                      <w:rPr>
                        <w:color w:val="000000"/>
                      </w:rPr>
                      <w:t>1</w:t>
                    </w:r>
                  </w:p>
                </w:txbxContent>
              </v:textbox>
            </v:rect>
            <v:rect id="_x0000_s1818" style="position:absolute;left:2427;top:758;width:71;height:240;mso-wrap-style:none" filled="f" stroked="f">
              <v:textbox style="mso-fit-shape-to-text:t" inset="0,0,0,0">
                <w:txbxContent>
                  <w:p w:rsidR="00A905B7" w:rsidRDefault="00A905B7">
                    <w:r>
                      <w:rPr>
                        <w:color w:val="000000"/>
                        <w:sz w:val="14"/>
                        <w:szCs w:val="14"/>
                      </w:rPr>
                      <w:t>2</w:t>
                    </w:r>
                  </w:p>
                </w:txbxContent>
              </v:textbox>
            </v:rect>
            <v:rect id="_x0000_s1819" style="position:absolute;left:2002;top:425;width:71;height:240;mso-wrap-style:none" filled="f" stroked="f">
              <v:textbox style="mso-fit-shape-to-text:t" inset="0,0,0,0">
                <w:txbxContent>
                  <w:p w:rsidR="00A905B7" w:rsidRDefault="00A905B7">
                    <w:r>
                      <w:rPr>
                        <w:color w:val="000000"/>
                        <w:sz w:val="14"/>
                        <w:szCs w:val="14"/>
                      </w:rPr>
                      <w:t>1</w:t>
                    </w:r>
                  </w:p>
                </w:txbxContent>
              </v:textbox>
            </v:rect>
            <v:rect id="_x0000_s1820" style="position:absolute;left:403;top:653;width:71;height:240;mso-wrap-style:none" filled="f" stroked="f">
              <v:textbox style="mso-fit-shape-to-text:t" inset="0,0,0,0">
                <w:txbxContent>
                  <w:p w:rsidR="00A905B7" w:rsidRDefault="00A905B7">
                    <w:r>
                      <w:rPr>
                        <w:color w:val="000000"/>
                        <w:sz w:val="14"/>
                        <w:szCs w:val="14"/>
                      </w:rPr>
                      <w:t>2</w:t>
                    </w:r>
                  </w:p>
                </w:txbxContent>
              </v:textbox>
            </v:rect>
            <v:rect id="_x0000_s1821" style="position:absolute;left:2218;top:750;width:195;height:240;mso-wrap-style:none" filled="f" stroked="f">
              <v:textbox style="mso-fit-shape-to-text:t" inset="0,0,0,0">
                <w:txbxContent>
                  <w:p w:rsidR="00A905B7" w:rsidRPr="00142758" w:rsidRDefault="00A905B7">
                    <w:r w:rsidRPr="00142758">
                      <w:rPr>
                        <w:iCs/>
                        <w:color w:val="000000"/>
                        <w:sz w:val="14"/>
                        <w:szCs w:val="14"/>
                      </w:rPr>
                      <w:t>CO</w:t>
                    </w:r>
                  </w:p>
                </w:txbxContent>
              </v:textbox>
            </v:rect>
            <v:rect id="_x0000_s1822" style="position:absolute;left:2115;top:736;width:71;height:240;mso-wrap-style:none" filled="f" stroked="f">
              <v:textbox style="mso-fit-shape-to-text:t" inset="0,0,0,0">
                <w:txbxContent>
                  <w:p w:rsidR="00A905B7" w:rsidRPr="00142758" w:rsidRDefault="00A905B7">
                    <w:r w:rsidRPr="00142758">
                      <w:rPr>
                        <w:iCs/>
                        <w:color w:val="000000"/>
                        <w:sz w:val="14"/>
                        <w:szCs w:val="14"/>
                      </w:rPr>
                      <w:t>d</w:t>
                    </w:r>
                  </w:p>
                </w:txbxContent>
              </v:textbox>
            </v:rect>
            <v:rect id="_x0000_s1823" style="position:absolute;left:1870;top:417;width:133;height:240;mso-wrap-style:none" filled="f" stroked="f">
              <v:textbox style="mso-fit-shape-to-text:t" inset="0,0,0,0">
                <w:txbxContent>
                  <w:p w:rsidR="00A905B7" w:rsidRPr="00142758" w:rsidRDefault="00A905B7">
                    <w:r w:rsidRPr="00142758">
                      <w:rPr>
                        <w:iCs/>
                        <w:color w:val="000000"/>
                        <w:sz w:val="14"/>
                        <w:szCs w:val="14"/>
                      </w:rPr>
                      <w:t>W</w:t>
                    </w:r>
                  </w:p>
                </w:txbxContent>
              </v:textbox>
            </v:rect>
            <v:rect id="_x0000_s1824" style="position:absolute;left:213;top:655;width:195;height:240;mso-wrap-style:none" filled="f" stroked="f">
              <v:textbox style="mso-fit-shape-to-text:t" inset="0,0,0,0">
                <w:txbxContent>
                  <w:p w:rsidR="00A905B7" w:rsidRPr="00142758" w:rsidRDefault="00A905B7">
                    <w:r w:rsidRPr="00142758">
                      <w:rPr>
                        <w:iCs/>
                        <w:color w:val="000000"/>
                        <w:sz w:val="14"/>
                        <w:szCs w:val="14"/>
                      </w:rPr>
                      <w:t>We</w:t>
                    </w:r>
                  </w:p>
                </w:txbxContent>
              </v:textbox>
            </v:rect>
            <v:rect id="_x0000_s1825" style="position:absolute;left:2000;top:665;width:89;height:240;mso-wrap-style:none" filled="f" stroked="f">
              <v:textbox style="mso-fit-shape-to-text:t" inset="0,0,0,0">
                <w:txbxContent>
                  <w:p w:rsidR="00A905B7" w:rsidRPr="00142758" w:rsidRDefault="00A905B7">
                    <w:r w:rsidRPr="00142758">
                      <w:rPr>
                        <w:iCs/>
                        <w:color w:val="000000"/>
                      </w:rPr>
                      <w:t>c</w:t>
                    </w:r>
                  </w:p>
                </w:txbxContent>
              </v:textbox>
            </v:rect>
            <v:rect id="_x0000_s1826" style="position:absolute;left:1700;top:346;width:145;height:240;mso-wrap-style:none" filled="f" stroked="f">
              <v:textbox style="mso-fit-shape-to-text:t" inset="0,0,0,0">
                <w:txbxContent>
                  <w:p w:rsidR="00A905B7" w:rsidRPr="00142758" w:rsidRDefault="00A905B7">
                    <w:r w:rsidRPr="00142758">
                      <w:rPr>
                        <w:iCs/>
                        <w:color w:val="000000"/>
                      </w:rPr>
                      <w:t>K</w:t>
                    </w:r>
                  </w:p>
                </w:txbxContent>
              </v:textbox>
            </v:rect>
            <v:rect id="_x0000_s1827" style="position:absolute;left:43;top:504;width:145;height:240;mso-wrap-style:none" filled="f" stroked="f">
              <v:textbox style="mso-fit-shape-to-text:t" inset="0,0,0,0">
                <w:txbxContent>
                  <w:p w:rsidR="00A905B7" w:rsidRPr="00142758" w:rsidRDefault="00A905B7">
                    <w:r w:rsidRPr="00142758">
                      <w:rPr>
                        <w:iCs/>
                        <w:color w:val="000000"/>
                      </w:rPr>
                      <w:t>K</w:t>
                    </w:r>
                  </w:p>
                </w:txbxContent>
              </v:textbox>
            </v:rect>
            <v:rect id="_x0000_s1828" style="position:absolute;left:1288;top:641;width:127;height:245;mso-wrap-style:none" filled="f" stroked="f">
              <v:textbox style="mso-fit-shape-to-text:t" inset="0,0,0,0">
                <w:txbxContent>
                  <w:p w:rsidR="00A905B7" w:rsidRDefault="00A905B7">
                    <w:r>
                      <w:rPr>
                        <w:rFonts w:ascii="Symbol" w:hAnsi="Symbol" w:cs="Symbol"/>
                        <w:i/>
                        <w:iCs/>
                        <w:color w:val="000000"/>
                      </w:rPr>
                      <w:t></w:t>
                    </w:r>
                  </w:p>
                </w:txbxContent>
              </v:textbox>
            </v:rect>
            <w10:wrap type="none"/>
            <w10:anchorlock/>
          </v:group>
        </w:pict>
      </w:r>
    </w:p>
    <w:p w:rsidR="00DA59A4" w:rsidRPr="00B04DC3" w:rsidRDefault="00DA59A4" w:rsidP="00260B82">
      <w:pPr>
        <w:pStyle w:val="para"/>
        <w:keepNext/>
        <w:keepLines/>
        <w:rPr>
          <w:lang w:val="en-GB"/>
        </w:rPr>
      </w:pPr>
      <w:r w:rsidRPr="00B04DC3">
        <w:rPr>
          <w:lang w:val="en-GB"/>
        </w:rPr>
        <w:tab/>
        <w:t>For the diluent:</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829" editas="canvas" style="width:80.5pt;height:32.7pt;mso-position-horizontal-relative:char;mso-position-vertical-relative:line" coordsize="1610,654">
            <o:lock v:ext="edit" aspectratio="t"/>
            <v:shape id="_x0000_s1830" type="#_x0000_t75" style="position:absolute;width:1610;height:654" o:preferrelative="f">
              <v:fill o:detectmouseclick="t"/>
              <v:path o:extrusionok="t" o:connecttype="none"/>
              <o:lock v:ext="edit" text="t"/>
            </v:shape>
            <v:rect id="_x0000_s1831" style="position:absolute;left:1521;top:172;width:71;height:240;mso-wrap-style:none" filled="f" stroked="f">
              <v:textbox style="mso-fit-shape-to-text:t" inset="0,0,0,0">
                <w:txbxContent>
                  <w:p w:rsidR="00A905B7" w:rsidRDefault="00A905B7">
                    <w:r>
                      <w:rPr>
                        <w:color w:val="000000"/>
                        <w:sz w:val="14"/>
                        <w:szCs w:val="14"/>
                      </w:rPr>
                      <w:t>1</w:t>
                    </w:r>
                  </w:p>
                </w:txbxContent>
              </v:textbox>
            </v:rect>
            <v:rect id="_x0000_s1832" style="position:absolute;left:815;top:23;width:101;height:240;mso-wrap-style:none" filled="f" stroked="f">
              <v:textbox style="mso-fit-shape-to-text:t" inset="0,0,0,0">
                <w:txbxContent>
                  <w:p w:rsidR="00A905B7" w:rsidRDefault="00A905B7">
                    <w:r>
                      <w:rPr>
                        <w:color w:val="000000"/>
                      </w:rPr>
                      <w:t>1</w:t>
                    </w:r>
                  </w:p>
                </w:txbxContent>
              </v:textbox>
            </v:rect>
            <v:rect id="_x0000_s1833" style="position:absolute;left:1387;top:174;width:133;height:240;mso-wrap-style:none" filled="f" stroked="f">
              <v:textbox style="mso-fit-shape-to-text:t" inset="0,0,0,0">
                <w:txbxContent>
                  <w:p w:rsidR="00A905B7" w:rsidRPr="008C2690" w:rsidRDefault="00A905B7">
                    <w:r w:rsidRPr="008C2690">
                      <w:rPr>
                        <w:iCs/>
                        <w:color w:val="000000"/>
                        <w:sz w:val="14"/>
                        <w:szCs w:val="14"/>
                      </w:rPr>
                      <w:t>W</w:t>
                    </w:r>
                  </w:p>
                </w:txbxContent>
              </v:textbox>
            </v:rect>
            <v:rect id="_x0000_s1834" style="position:absolute;left:216;top:174;width:203;height:240;mso-wrap-style:none" filled="f" stroked="f">
              <v:textbox style="mso-fit-shape-to-text:t" inset="0,0,0,0">
                <w:txbxContent>
                  <w:p w:rsidR="00A905B7" w:rsidRPr="008C2690" w:rsidRDefault="00A905B7">
                    <w:r w:rsidRPr="008C2690">
                      <w:rPr>
                        <w:iCs/>
                        <w:color w:val="000000"/>
                        <w:sz w:val="14"/>
                        <w:szCs w:val="14"/>
                      </w:rPr>
                      <w:t>Wd</w:t>
                    </w:r>
                  </w:p>
                </w:txbxContent>
              </v:textbox>
            </v:rect>
            <v:rect id="_x0000_s1835" style="position:absolute;left:1216;top:23;width:145;height:240;mso-wrap-style:none" filled="f" stroked="f">
              <v:textbox style="mso-fit-shape-to-text:t" inset="0,0,0,0">
                <w:txbxContent>
                  <w:p w:rsidR="00A905B7" w:rsidRPr="008C2690" w:rsidRDefault="00A905B7">
                    <w:r w:rsidRPr="008C2690">
                      <w:rPr>
                        <w:iCs/>
                        <w:color w:val="000000"/>
                      </w:rPr>
                      <w:t>K</w:t>
                    </w:r>
                  </w:p>
                </w:txbxContent>
              </v:textbox>
            </v:rect>
            <v:rect id="_x0000_s1836" style="position:absolute;left:43;top:23;width:145;height:240;mso-wrap-style:none" filled="f" stroked="f">
              <v:textbox style="mso-fit-shape-to-text:t" inset="0,0,0,0">
                <w:txbxContent>
                  <w:p w:rsidR="00A905B7" w:rsidRPr="008C2690" w:rsidRDefault="00A905B7">
                    <w:r w:rsidRPr="008C2690">
                      <w:rPr>
                        <w:iCs/>
                        <w:color w:val="000000"/>
                      </w:rPr>
                      <w:t>K</w:t>
                    </w:r>
                  </w:p>
                </w:txbxContent>
              </v:textbox>
            </v:rect>
            <v:rect id="_x0000_s1837" style="position:absolute;left:995;width:110;height:245;mso-wrap-style:none" filled="f" stroked="f">
              <v:textbox style="mso-fit-shape-to-text:t" inset="0,0,0,0">
                <w:txbxContent>
                  <w:p w:rsidR="00A905B7" w:rsidRDefault="00A905B7">
                    <w:r>
                      <w:rPr>
                        <w:rFonts w:ascii="Symbol" w:hAnsi="Symbol" w:cs="Symbol"/>
                        <w:color w:val="000000"/>
                      </w:rPr>
                      <w:t></w:t>
                    </w:r>
                  </w:p>
                </w:txbxContent>
              </v:textbox>
            </v:rect>
            <v:rect id="_x0000_s1838" style="position:absolute;left:579;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r>
      <w:r w:rsidRPr="00B04DC3">
        <w:rPr>
          <w:lang w:val="en-GB"/>
        </w:rPr>
        <w:tab/>
      </w:r>
      <w:bookmarkStart w:id="198" w:name="_MON_1223470322"/>
      <w:bookmarkStart w:id="199" w:name="_MON_1223489874"/>
      <w:bookmarkEnd w:id="198"/>
      <w:bookmarkEnd w:id="199"/>
      <w:bookmarkStart w:id="200" w:name="_MON_1363763120"/>
      <w:bookmarkEnd w:id="200"/>
      <w:r w:rsidR="00AA0E48" w:rsidRPr="00B04DC3">
        <w:rPr>
          <w:lang w:val="en-GB"/>
        </w:rPr>
        <w:object w:dxaOrig="5362" w:dyaOrig="1428">
          <v:shape id="_x0000_i1071" type="#_x0000_t75" style="width:231.6pt;height:61.8pt" o:ole="">
            <v:imagedata r:id="rId120" o:title=""/>
          </v:shape>
          <o:OLEObject Type="Embed" ProgID="Word.Picture.8" ShapeID="_x0000_i1071" DrawAspect="Content" ObjectID="_1498392240" r:id="rId121"/>
        </w:object>
      </w:r>
    </w:p>
    <w:p w:rsidR="00DA59A4" w:rsidRPr="00B04DC3" w:rsidRDefault="00DA59A4" w:rsidP="00DA59A4">
      <w:pPr>
        <w:pStyle w:val="para"/>
        <w:rPr>
          <w:lang w:val="en-GB"/>
        </w:rPr>
      </w:pPr>
      <w:r w:rsidRPr="00B04DC3">
        <w:rPr>
          <w:lang w:val="en-GB"/>
        </w:rPr>
        <w:tab/>
        <w:t>For the intake air:</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839" editas="canvas" style="width:80.5pt;height:33pt;mso-position-horizontal-relative:char;mso-position-vertical-relative:line" coordsize="1610,660">
            <o:lock v:ext="edit" aspectratio="t"/>
            <v:shape id="_x0000_s1840" type="#_x0000_t75" style="position:absolute;width:1610;height:660" o:preferrelative="f">
              <v:fill o:detectmouseclick="t"/>
              <v:path o:extrusionok="t" o:connecttype="none"/>
              <o:lock v:ext="edit" text="t"/>
            </v:shape>
            <v:rect id="_x0000_s1841" style="position:absolute;left:1502;top:172;width:71;height:240;mso-wrap-style:none" filled="f" stroked="f">
              <v:textbox style="mso-fit-shape-to-text:t" inset="0,0,0,0">
                <w:txbxContent>
                  <w:p w:rsidR="00A905B7" w:rsidRDefault="00A905B7">
                    <w:r>
                      <w:rPr>
                        <w:color w:val="000000"/>
                        <w:sz w:val="14"/>
                        <w:szCs w:val="14"/>
                      </w:rPr>
                      <w:t>2</w:t>
                    </w:r>
                  </w:p>
                </w:txbxContent>
              </v:textbox>
            </v:rect>
            <v:rect id="_x0000_s1842" style="position:absolute;left:819;top:23;width:101;height:240;mso-wrap-style:none" filled="f" stroked="f">
              <v:textbox style="mso-fit-shape-to-text:t" inset="0,0,0,0">
                <w:txbxContent>
                  <w:p w:rsidR="00A905B7" w:rsidRDefault="00A905B7">
                    <w:r>
                      <w:rPr>
                        <w:color w:val="000000"/>
                      </w:rPr>
                      <w:t>1</w:t>
                    </w:r>
                  </w:p>
                </w:txbxContent>
              </v:textbox>
            </v:rect>
            <v:rect id="_x0000_s1843" style="position:absolute;left:1353;top:174;width:133;height:240;mso-wrap-style:none" filled="f" stroked="f">
              <v:textbox style="mso-fit-shape-to-text:t" inset="0,0,0,0">
                <w:txbxContent>
                  <w:p w:rsidR="00A905B7" w:rsidRPr="008C2690" w:rsidRDefault="00A905B7">
                    <w:r w:rsidRPr="008C2690">
                      <w:rPr>
                        <w:iCs/>
                        <w:color w:val="000000"/>
                        <w:sz w:val="14"/>
                        <w:szCs w:val="14"/>
                      </w:rPr>
                      <w:t>W</w:t>
                    </w:r>
                  </w:p>
                </w:txbxContent>
              </v:textbox>
            </v:rect>
            <v:rect id="_x0000_s1844" style="position:absolute;left:180;top:180;width:195;height:240;mso-wrap-style:none" filled="f" stroked="f">
              <v:textbox style="mso-fit-shape-to-text:t" inset="0,0,0,0">
                <w:txbxContent>
                  <w:p w:rsidR="00A905B7" w:rsidRPr="008C2690" w:rsidRDefault="00A905B7">
                    <w:r w:rsidRPr="008C2690">
                      <w:rPr>
                        <w:iCs/>
                        <w:color w:val="000000"/>
                        <w:sz w:val="14"/>
                        <w:szCs w:val="14"/>
                      </w:rPr>
                      <w:t>Wa</w:t>
                    </w:r>
                  </w:p>
                </w:txbxContent>
              </v:textbox>
            </v:rect>
            <v:rect id="_x0000_s1845" style="position:absolute;left:1182;top:23;width:145;height:240;mso-wrap-style:none" filled="f" stroked="f">
              <v:textbox style="mso-fit-shape-to-text:t" inset="0,0,0,0">
                <w:txbxContent>
                  <w:p w:rsidR="00A905B7" w:rsidRPr="008C2690" w:rsidRDefault="00A905B7">
                    <w:r w:rsidRPr="008C2690">
                      <w:rPr>
                        <w:iCs/>
                        <w:color w:val="000000"/>
                      </w:rPr>
                      <w:t>K</w:t>
                    </w:r>
                  </w:p>
                </w:txbxContent>
              </v:textbox>
            </v:rect>
            <v:rect id="_x0000_s1846" style="position:absolute;left:43;top:23;width:145;height:240;mso-wrap-style:none" filled="f" stroked="f">
              <v:textbox style="mso-fit-shape-to-text:t" inset="0,0,0,0">
                <w:txbxContent>
                  <w:p w:rsidR="00A905B7" w:rsidRPr="008C2690" w:rsidRDefault="00A905B7">
                    <w:r w:rsidRPr="008C2690">
                      <w:rPr>
                        <w:iCs/>
                        <w:color w:val="000000"/>
                      </w:rPr>
                      <w:t>K</w:t>
                    </w:r>
                  </w:p>
                </w:txbxContent>
              </v:textbox>
            </v:rect>
            <v:rect id="_x0000_s1847" style="position:absolute;left:980;width:110;height:245;mso-wrap-style:none" filled="f" stroked="f">
              <v:textbox style="mso-fit-shape-to-text:t" inset="0,0,0,0">
                <w:txbxContent>
                  <w:p w:rsidR="00A905B7" w:rsidRDefault="00A905B7">
                    <w:r>
                      <w:rPr>
                        <w:rFonts w:ascii="Symbol" w:hAnsi="Symbol" w:cs="Symbol"/>
                        <w:color w:val="000000"/>
                      </w:rPr>
                      <w:t></w:t>
                    </w:r>
                  </w:p>
                </w:txbxContent>
              </v:textbox>
            </v:rect>
            <v:rect id="_x0000_s1848" style="position:absolute;left:574;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r>
      <w:r w:rsidRPr="00B04DC3">
        <w:rPr>
          <w:lang w:val="en-GB"/>
        </w:rPr>
        <w:tab/>
      </w:r>
      <w:bookmarkStart w:id="201" w:name="_MON_1223470419"/>
      <w:bookmarkStart w:id="202" w:name="_MON_1223470500"/>
      <w:bookmarkEnd w:id="201"/>
      <w:bookmarkEnd w:id="202"/>
      <w:bookmarkStart w:id="203" w:name="_MON_1363763239"/>
      <w:bookmarkEnd w:id="203"/>
      <w:r w:rsidR="00AA0E48" w:rsidRPr="00B04DC3">
        <w:rPr>
          <w:lang w:val="en-GB"/>
        </w:rPr>
        <w:object w:dxaOrig="2765" w:dyaOrig="669">
          <v:shape id="_x0000_i1073" type="#_x0000_t75" style="width:117.6pt;height:28.2pt" o:ole="" fillcolor="window">
            <v:imagedata r:id="rId122" o:title=""/>
          </v:shape>
          <o:OLEObject Type="Embed" ProgID="Word.Picture.8" ShapeID="_x0000_i1073" DrawAspect="Content" ObjectID="_1498392241" r:id="rId123"/>
        </w:object>
      </w:r>
    </w:p>
    <w:p w:rsidR="00DA59A4" w:rsidRPr="00B04DC3" w:rsidRDefault="00DA59A4" w:rsidP="00AA0E48">
      <w:pPr>
        <w:pStyle w:val="para"/>
        <w:keepNext/>
        <w:keepLines/>
        <w:rPr>
          <w:lang w:val="en-GB"/>
        </w:rPr>
      </w:pPr>
      <w:r w:rsidRPr="00B04DC3">
        <w:rPr>
          <w:lang w:val="en-GB"/>
        </w:rPr>
        <w:tab/>
      </w:r>
      <w:r w:rsidR="00260B82" w:rsidRPr="00B04DC3">
        <w:rPr>
          <w:lang w:val="en-GB"/>
        </w:rPr>
        <w:t>Where</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H</w:t>
      </w:r>
      <w:r w:rsidRPr="00B04DC3">
        <w:rPr>
          <w:vertAlign w:val="subscript"/>
          <w:lang w:val="en-GB"/>
        </w:rPr>
        <w:t>a</w:t>
      </w:r>
      <w:r w:rsidRPr="00B04DC3">
        <w:rPr>
          <w:lang w:val="en-GB"/>
        </w:rPr>
        <w:tab/>
        <w:t>=</w:t>
      </w:r>
      <w:r w:rsidRPr="00B04DC3">
        <w:rPr>
          <w:lang w:val="en-GB"/>
        </w:rPr>
        <w:tab/>
        <w:t>intake air humidity, g water per kg dry air</w:t>
      </w:r>
    </w:p>
    <w:p w:rsidR="00DA59A4" w:rsidRPr="00B04DC3" w:rsidRDefault="00DA59A4" w:rsidP="00DA59A4">
      <w:pPr>
        <w:pStyle w:val="para"/>
        <w:rPr>
          <w:lang w:val="en-GB"/>
        </w:rPr>
      </w:pPr>
      <w:r w:rsidRPr="00B04DC3">
        <w:rPr>
          <w:lang w:val="en-GB"/>
        </w:rPr>
        <w:tab/>
      </w:r>
      <w:r w:rsidRPr="00B04DC3">
        <w:rPr>
          <w:lang w:val="en-GB"/>
        </w:rPr>
        <w:tab/>
        <w:t>H</w:t>
      </w:r>
      <w:r w:rsidRPr="00B04DC3">
        <w:rPr>
          <w:vertAlign w:val="subscript"/>
          <w:lang w:val="en-GB"/>
        </w:rPr>
        <w:t>d</w:t>
      </w:r>
      <w:r w:rsidRPr="00B04DC3">
        <w:rPr>
          <w:lang w:val="en-GB"/>
        </w:rPr>
        <w:tab/>
        <w:t>=</w:t>
      </w:r>
      <w:r w:rsidRPr="00B04DC3">
        <w:rPr>
          <w:lang w:val="en-GB"/>
        </w:rPr>
        <w:tab/>
        <w:t>diluent humidity, g water per kg dry air</w:t>
      </w:r>
    </w:p>
    <w:p w:rsidR="00DA59A4" w:rsidRPr="00B04DC3" w:rsidRDefault="00DA59A4" w:rsidP="00DA59A4">
      <w:pPr>
        <w:pStyle w:val="para"/>
        <w:rPr>
          <w:lang w:val="en-GB"/>
        </w:rPr>
      </w:pPr>
      <w:r w:rsidRPr="00B04DC3">
        <w:rPr>
          <w:lang w:val="en-GB"/>
        </w:rPr>
        <w:tab/>
        <w:t>and may be derived from relative humidity measurement, dewpoint measurement, vapour pressure measurement or dry/wet bulb measurement using the generally accepted formulae.</w:t>
      </w:r>
    </w:p>
    <w:p w:rsidR="00DA59A4" w:rsidRPr="00B04DC3" w:rsidRDefault="00DA59A4" w:rsidP="00DA59A4">
      <w:pPr>
        <w:pStyle w:val="para"/>
        <w:rPr>
          <w:lang w:val="en-GB"/>
        </w:rPr>
      </w:pPr>
      <w:r w:rsidRPr="00B04DC3">
        <w:rPr>
          <w:lang w:val="en-GB"/>
        </w:rPr>
        <w:t>5.3.</w:t>
      </w:r>
      <w:r w:rsidRPr="00B04DC3">
        <w:rPr>
          <w:lang w:val="en-GB"/>
        </w:rPr>
        <w:tab/>
        <w:t>NO</w:t>
      </w:r>
      <w:r w:rsidRPr="00B04DC3">
        <w:rPr>
          <w:vertAlign w:val="subscript"/>
          <w:lang w:val="en-GB"/>
        </w:rPr>
        <w:t>x</w:t>
      </w:r>
      <w:r w:rsidRPr="00B04DC3">
        <w:rPr>
          <w:lang w:val="en-GB"/>
        </w:rPr>
        <w:t xml:space="preserve"> correction for humidity and temperature</w:t>
      </w:r>
    </w:p>
    <w:p w:rsidR="00DA59A4" w:rsidRPr="00B04DC3" w:rsidRDefault="00DA59A4" w:rsidP="00DA59A4">
      <w:pPr>
        <w:pStyle w:val="para"/>
        <w:rPr>
          <w:lang w:val="en-GB"/>
        </w:rPr>
      </w:pPr>
      <w:r w:rsidRPr="00B04DC3">
        <w:rPr>
          <w:lang w:val="en-GB"/>
        </w:rPr>
        <w:tab/>
        <w:t>As the NO</w:t>
      </w:r>
      <w:r w:rsidRPr="00B04DC3">
        <w:rPr>
          <w:vertAlign w:val="subscript"/>
          <w:lang w:val="en-GB"/>
        </w:rPr>
        <w:t>x</w:t>
      </w:r>
      <w:r w:rsidRPr="00B04DC3">
        <w:rPr>
          <w:lang w:val="en-GB"/>
        </w:rPr>
        <w:t xml:space="preserve"> emission depends on ambient air conditions, the NO</w:t>
      </w:r>
      <w:r w:rsidRPr="00B04DC3">
        <w:rPr>
          <w:vertAlign w:val="subscript"/>
          <w:lang w:val="en-GB"/>
        </w:rPr>
        <w:t>x</w:t>
      </w:r>
      <w:r w:rsidRPr="00B04DC3">
        <w:rPr>
          <w:lang w:val="en-GB"/>
        </w:rPr>
        <w:t xml:space="preserve"> concentration shall be corrected for ambient air temperature and humidity with the factors given in the following formulae. The factors are valid in the range between 0 and 25 g/kg dry air.</w:t>
      </w:r>
    </w:p>
    <w:p w:rsidR="00DA59A4" w:rsidRPr="00B04DC3" w:rsidRDefault="00DA59A4" w:rsidP="00DA59A4">
      <w:pPr>
        <w:pStyle w:val="para"/>
        <w:rPr>
          <w:lang w:val="en-GB"/>
        </w:rPr>
      </w:pPr>
      <w:r w:rsidRPr="00B04DC3">
        <w:rPr>
          <w:lang w:val="en-GB"/>
        </w:rPr>
        <w:tab/>
        <w:t>(a)</w:t>
      </w:r>
      <w:r w:rsidRPr="00B04DC3">
        <w:rPr>
          <w:lang w:val="en-GB"/>
        </w:rPr>
        <w:tab/>
        <w:t>For compression ignition engines:</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bookmarkStart w:id="204" w:name="_MON_1223469585"/>
      <w:bookmarkEnd w:id="204"/>
      <w:bookmarkStart w:id="205" w:name="_MON_1363763346"/>
      <w:bookmarkEnd w:id="205"/>
      <w:r w:rsidRPr="00B04DC3">
        <w:rPr>
          <w:lang w:val="en-GB"/>
        </w:rPr>
        <w:object w:dxaOrig="5208" w:dyaOrig="643">
          <v:shape id="_x0000_i1074" type="#_x0000_t75" style="width:218.4pt;height:27.6pt" o:ole="">
            <v:imagedata r:id="rId124" o:title=""/>
          </v:shape>
          <o:OLEObject Type="Embed" ProgID="Word.Picture.8" ShapeID="_x0000_i1074" DrawAspect="Content" ObjectID="_1498392242" r:id="rId125"/>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F367CA" w:rsidRPr="00B04DC3">
        <w:rPr>
          <w:lang w:val="en-GB"/>
        </w:rPr>
        <w:t>With</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t>T</w:t>
      </w:r>
      <w:r w:rsidRPr="00B04DC3">
        <w:rPr>
          <w:vertAlign w:val="subscript"/>
          <w:lang w:val="en-GB"/>
        </w:rPr>
        <w:t>a</w:t>
      </w:r>
      <w:r w:rsidRPr="00B04DC3">
        <w:rPr>
          <w:lang w:val="en-GB"/>
        </w:rPr>
        <w:t xml:space="preserve"> =</w:t>
      </w:r>
      <w:r w:rsidRPr="00B04DC3">
        <w:rPr>
          <w:lang w:val="en-GB"/>
        </w:rPr>
        <w:tab/>
        <w:t>temperature of the intake air, K</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t>H</w:t>
      </w:r>
      <w:r w:rsidRPr="00B04DC3">
        <w:rPr>
          <w:vertAlign w:val="subscript"/>
          <w:lang w:val="en-GB"/>
        </w:rPr>
        <w:t>a</w:t>
      </w:r>
      <w:r w:rsidRPr="00B04DC3">
        <w:rPr>
          <w:lang w:val="en-GB"/>
        </w:rPr>
        <w:t xml:space="preserve"> =</w:t>
      </w:r>
      <w:r w:rsidRPr="00B04DC3">
        <w:rPr>
          <w:lang w:val="en-GB"/>
        </w:rPr>
        <w:tab/>
        <w:t>humidity of the intake air, g water per kg dry air</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F367CA" w:rsidRPr="00B04DC3">
        <w:rPr>
          <w:lang w:val="en-GB"/>
        </w:rPr>
        <w:t>Where</w:t>
      </w:r>
      <w:r w:rsidRPr="00B04DC3">
        <w:rPr>
          <w:lang w:val="en-GB"/>
        </w:rPr>
        <w:t>:</w:t>
      </w:r>
    </w:p>
    <w:p w:rsidR="00DA59A4" w:rsidRPr="00B04DC3" w:rsidRDefault="00DA59A4" w:rsidP="00DA59A4">
      <w:pPr>
        <w:pStyle w:val="para"/>
        <w:ind w:left="2835" w:hanging="1701"/>
        <w:rPr>
          <w:lang w:val="en-GB"/>
        </w:rPr>
      </w:pPr>
      <w:r w:rsidRPr="00B04DC3">
        <w:rPr>
          <w:lang w:val="en-GB"/>
        </w:rPr>
        <w:tab/>
      </w:r>
      <w:r w:rsidRPr="00B04DC3">
        <w:rPr>
          <w:lang w:val="en-GB"/>
        </w:rPr>
        <w:tab/>
        <w:t>H</w:t>
      </w:r>
      <w:r w:rsidRPr="00B04DC3">
        <w:rPr>
          <w:vertAlign w:val="subscript"/>
          <w:lang w:val="en-GB"/>
        </w:rPr>
        <w:t>a</w:t>
      </w:r>
      <w:r w:rsidRPr="00B04DC3">
        <w:rPr>
          <w:lang w:val="en-GB"/>
        </w:rPr>
        <w:t xml:space="preserve"> may be derived from relative humidity measurement, dewpoint measurement, vapour pressure measurement or dry/wet bulb measurement using the generally accepted formulae.</w:t>
      </w:r>
    </w:p>
    <w:p w:rsidR="00DA59A4" w:rsidRPr="00B04DC3" w:rsidRDefault="00DA59A4" w:rsidP="00DA59A4">
      <w:pPr>
        <w:pStyle w:val="para"/>
        <w:rPr>
          <w:lang w:val="en-GB"/>
        </w:rPr>
      </w:pPr>
      <w:r w:rsidRPr="00B04DC3">
        <w:rPr>
          <w:lang w:val="en-GB"/>
        </w:rPr>
        <w:tab/>
        <w:t>(b)</w:t>
      </w:r>
      <w:r w:rsidRPr="00B04DC3">
        <w:rPr>
          <w:lang w:val="en-GB"/>
        </w:rPr>
        <w:tab/>
        <w:t>For spark ignition engines</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t>k</w:t>
      </w:r>
      <w:r w:rsidRPr="00B04DC3">
        <w:rPr>
          <w:vertAlign w:val="subscript"/>
          <w:lang w:val="en-GB"/>
        </w:rPr>
        <w:t>h.G</w:t>
      </w:r>
      <w:r w:rsidR="00AA0E48">
        <w:rPr>
          <w:lang w:val="en-GB"/>
        </w:rPr>
        <w:tab/>
        <w:t xml:space="preserve">= </w:t>
      </w:r>
      <w:r w:rsidRPr="00B04DC3">
        <w:rPr>
          <w:lang w:val="en-GB"/>
        </w:rPr>
        <w:t xml:space="preserve">0.6272 + 44.030 </w:t>
      </w:r>
      <w:r w:rsidRPr="00B04DC3">
        <w:rPr>
          <w:position w:val="-4"/>
          <w:lang w:val="en-GB"/>
        </w:rPr>
        <w:object w:dxaOrig="180" w:dyaOrig="200">
          <v:shape id="_x0000_i1075" type="#_x0000_t75" style="width:9.6pt;height:9.6pt" o:ole="">
            <v:imagedata r:id="rId126" o:title=""/>
          </v:shape>
          <o:OLEObject Type="Embed" ProgID="Equation.3" ShapeID="_x0000_i1075" DrawAspect="Content" ObjectID="_1498392243" r:id="rId127"/>
        </w:object>
      </w:r>
      <w:r w:rsidRPr="00B04DC3">
        <w:rPr>
          <w:lang w:val="en-GB"/>
        </w:rPr>
        <w:t xml:space="preserve"> 10</w:t>
      </w:r>
      <w:r w:rsidRPr="00B04DC3">
        <w:rPr>
          <w:vertAlign w:val="superscript"/>
          <w:lang w:val="en-GB"/>
        </w:rPr>
        <w:t>-3</w:t>
      </w:r>
      <w:r w:rsidRPr="00B04DC3">
        <w:rPr>
          <w:lang w:val="en-GB"/>
        </w:rPr>
        <w:t xml:space="preserve"> </w:t>
      </w:r>
      <w:r w:rsidRPr="00B04DC3">
        <w:rPr>
          <w:position w:val="-4"/>
          <w:lang w:val="en-GB"/>
        </w:rPr>
        <w:object w:dxaOrig="180" w:dyaOrig="200">
          <v:shape id="_x0000_i1076" type="#_x0000_t75" style="width:9.6pt;height:9.6pt" o:ole="">
            <v:imagedata r:id="rId128" o:title=""/>
          </v:shape>
          <o:OLEObject Type="Embed" ProgID="Equation.3" ShapeID="_x0000_i1076" DrawAspect="Content" ObjectID="_1498392244" r:id="rId129"/>
        </w:object>
      </w:r>
      <w:r w:rsidRPr="00B04DC3">
        <w:rPr>
          <w:lang w:val="en-GB"/>
        </w:rPr>
        <w:t xml:space="preserve"> H</w:t>
      </w:r>
      <w:r w:rsidRPr="00B04DC3">
        <w:rPr>
          <w:vertAlign w:val="subscript"/>
          <w:lang w:val="en-GB"/>
        </w:rPr>
        <w:t>a</w:t>
      </w:r>
      <w:r w:rsidRPr="00B04DC3">
        <w:rPr>
          <w:lang w:val="en-GB"/>
        </w:rPr>
        <w:t xml:space="preserve"> – 0.862 </w:t>
      </w:r>
      <w:r w:rsidRPr="00B04DC3">
        <w:rPr>
          <w:position w:val="-4"/>
          <w:lang w:val="en-GB"/>
        </w:rPr>
        <w:object w:dxaOrig="180" w:dyaOrig="200">
          <v:shape id="_x0000_i1077" type="#_x0000_t75" style="width:9.6pt;height:9.6pt" o:ole="">
            <v:imagedata r:id="rId130" o:title=""/>
          </v:shape>
          <o:OLEObject Type="Embed" ProgID="Equation.3" ShapeID="_x0000_i1077" DrawAspect="Content" ObjectID="_1498392245" r:id="rId131"/>
        </w:object>
      </w:r>
      <w:r w:rsidRPr="00B04DC3">
        <w:rPr>
          <w:lang w:val="en-GB"/>
        </w:rPr>
        <w:t xml:space="preserve"> 10</w:t>
      </w:r>
      <w:r w:rsidRPr="00B04DC3">
        <w:rPr>
          <w:vertAlign w:val="superscript"/>
          <w:lang w:val="en-GB"/>
        </w:rPr>
        <w:t>-3</w:t>
      </w:r>
      <w:r w:rsidRPr="00B04DC3">
        <w:rPr>
          <w:lang w:val="en-GB"/>
        </w:rPr>
        <w:t xml:space="preserve"> </w:t>
      </w:r>
      <w:r w:rsidRPr="00B04DC3">
        <w:rPr>
          <w:position w:val="-4"/>
          <w:lang w:val="en-GB"/>
        </w:rPr>
        <w:object w:dxaOrig="180" w:dyaOrig="200">
          <v:shape id="_x0000_i1078" type="#_x0000_t75" style="width:9.6pt;height:9.6pt" o:ole="">
            <v:imagedata r:id="rId132" o:title=""/>
          </v:shape>
          <o:OLEObject Type="Embed" ProgID="Equation.3" ShapeID="_x0000_i1078" DrawAspect="Content" ObjectID="_1498392246" r:id="rId133"/>
        </w:object>
      </w:r>
      <w:r w:rsidRPr="00B04DC3">
        <w:rPr>
          <w:lang w:val="en-GB"/>
        </w:rPr>
        <w:t xml:space="preserve"> H</w:t>
      </w:r>
      <w:r w:rsidRPr="00B04DC3">
        <w:rPr>
          <w:vertAlign w:val="subscript"/>
          <w:lang w:val="en-GB"/>
        </w:rPr>
        <w:t>a</w:t>
      </w:r>
      <w:r w:rsidRPr="00B04DC3">
        <w:rPr>
          <w:lang w:val="en-GB"/>
        </w:rPr>
        <w:t>²</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260B82" w:rsidRPr="00B04DC3">
        <w:rPr>
          <w:lang w:val="en-GB"/>
        </w:rPr>
        <w:t>Where</w:t>
      </w:r>
      <w:r w:rsidRPr="00B04DC3">
        <w:rPr>
          <w:lang w:val="en-GB"/>
        </w:rPr>
        <w:t>:</w:t>
      </w:r>
    </w:p>
    <w:p w:rsidR="00DA59A4" w:rsidRPr="00B04DC3" w:rsidRDefault="00DA59A4" w:rsidP="00DA59A4">
      <w:pPr>
        <w:pStyle w:val="para"/>
        <w:ind w:left="2835" w:hanging="1701"/>
        <w:rPr>
          <w:lang w:val="en-GB"/>
        </w:rPr>
      </w:pPr>
      <w:r w:rsidRPr="00B04DC3">
        <w:rPr>
          <w:lang w:val="en-GB"/>
        </w:rPr>
        <w:tab/>
      </w:r>
      <w:r w:rsidRPr="00B04DC3">
        <w:rPr>
          <w:lang w:val="en-GB"/>
        </w:rPr>
        <w:tab/>
        <w:t>H</w:t>
      </w:r>
      <w:r w:rsidRPr="00B04DC3">
        <w:rPr>
          <w:vertAlign w:val="subscript"/>
          <w:lang w:val="en-GB"/>
        </w:rPr>
        <w:t>a</w:t>
      </w:r>
      <w:r w:rsidRPr="00B04DC3">
        <w:rPr>
          <w:lang w:val="en-GB"/>
        </w:rPr>
        <w:t xml:space="preserve"> may be derived from relative humidity measurement, dew point measurement, vapour pressure measurement or dry/wet bulb measurement using the generally accepted formulae.</w:t>
      </w:r>
    </w:p>
    <w:p w:rsidR="00DA59A4" w:rsidRPr="00B04DC3" w:rsidRDefault="00DA59A4" w:rsidP="00DA59A4">
      <w:pPr>
        <w:pStyle w:val="para"/>
        <w:rPr>
          <w:lang w:val="en-GB"/>
        </w:rPr>
      </w:pPr>
      <w:r w:rsidRPr="00B04DC3">
        <w:rPr>
          <w:lang w:val="en-GB"/>
        </w:rPr>
        <w:t>5.4.</w:t>
      </w:r>
      <w:r w:rsidRPr="00B04DC3">
        <w:rPr>
          <w:lang w:val="en-GB"/>
        </w:rPr>
        <w:tab/>
        <w:t>Calculation of the emission mass flow rates</w:t>
      </w:r>
    </w:p>
    <w:p w:rsidR="00DA59A4" w:rsidRPr="00B04DC3" w:rsidRDefault="00DA59A4" w:rsidP="00DA59A4">
      <w:pPr>
        <w:pStyle w:val="para"/>
        <w:rPr>
          <w:lang w:val="en-GB"/>
        </w:rPr>
      </w:pPr>
      <w:r w:rsidRPr="00B04DC3">
        <w:rPr>
          <w:lang w:val="en-GB"/>
        </w:rPr>
        <w:tab/>
        <w:t>The emission mass flow rate (g/h) for each mode shall be calculated as follows. For the calculation of NO</w:t>
      </w:r>
      <w:r w:rsidRPr="00B04DC3">
        <w:rPr>
          <w:vertAlign w:val="subscript"/>
          <w:lang w:val="en-GB"/>
        </w:rPr>
        <w:t>x</w:t>
      </w:r>
      <w:r w:rsidRPr="00B04DC3">
        <w:rPr>
          <w:lang w:val="en-GB"/>
        </w:rPr>
        <w:t>, the humidity correction factor k</w:t>
      </w:r>
      <w:r w:rsidRPr="00B04DC3">
        <w:rPr>
          <w:vertAlign w:val="subscript"/>
          <w:lang w:val="en-GB"/>
        </w:rPr>
        <w:t>h,D</w:t>
      </w:r>
      <w:r w:rsidRPr="00B04DC3">
        <w:rPr>
          <w:lang w:val="en-GB"/>
        </w:rPr>
        <w:t>, or k</w:t>
      </w:r>
      <w:r w:rsidRPr="00B04DC3">
        <w:rPr>
          <w:vertAlign w:val="subscript"/>
          <w:lang w:val="en-GB"/>
        </w:rPr>
        <w:t>h,G</w:t>
      </w:r>
      <w:r w:rsidRPr="00B04DC3">
        <w:rPr>
          <w:lang w:val="en-GB"/>
        </w:rPr>
        <w:t>, as applicable, as determined according to paragraph 5.3., shall be used.</w:t>
      </w:r>
    </w:p>
    <w:p w:rsidR="00DA59A4" w:rsidRPr="00B04DC3" w:rsidRDefault="00DA59A4" w:rsidP="00DA59A4">
      <w:pPr>
        <w:pStyle w:val="para"/>
        <w:rPr>
          <w:lang w:val="en-GB"/>
        </w:rPr>
      </w:pPr>
      <w:r w:rsidRPr="00B04DC3">
        <w:rPr>
          <w:lang w:val="en-GB"/>
        </w:rPr>
        <w:tab/>
        <w:t>The measured concentration shall be converted to a wet basis according to paragraph 5.2. if not already measured on a wet basis. Values for u</w:t>
      </w:r>
      <w:r w:rsidRPr="00B04DC3">
        <w:rPr>
          <w:vertAlign w:val="subscript"/>
          <w:lang w:val="en-GB"/>
        </w:rPr>
        <w:t>gas</w:t>
      </w:r>
      <w:r w:rsidRPr="00B04DC3">
        <w:rPr>
          <w:lang w:val="en-GB"/>
        </w:rPr>
        <w:t xml:space="preserve"> are given in table 6 for selected components based on ideal gas properties and the fuels relevant for this Regulation.</w:t>
      </w:r>
    </w:p>
    <w:p w:rsidR="00DA59A4" w:rsidRPr="00B04DC3" w:rsidRDefault="00DA59A4" w:rsidP="00DA59A4">
      <w:pPr>
        <w:pStyle w:val="para"/>
        <w:rPr>
          <w:lang w:val="en-GB"/>
        </w:rPr>
      </w:pPr>
      <w:r w:rsidRPr="00B04DC3">
        <w:rPr>
          <w:lang w:val="en-GB"/>
        </w:rPr>
        <w:tab/>
        <w:t>(a)</w:t>
      </w:r>
      <w:r w:rsidRPr="00B04DC3">
        <w:rPr>
          <w:lang w:val="en-GB"/>
        </w:rPr>
        <w:tab/>
        <w:t>For the raw exhaust gas</w:t>
      </w:r>
    </w:p>
    <w:p w:rsidR="00DA59A4" w:rsidRPr="00B04DC3" w:rsidRDefault="00DA59A4" w:rsidP="00DA59A4">
      <w:pPr>
        <w:pStyle w:val="para"/>
        <w:tabs>
          <w:tab w:val="left" w:pos="3500"/>
        </w:tabs>
        <w:ind w:left="3900" w:hanging="1100"/>
        <w:rPr>
          <w:szCs w:val="16"/>
          <w:lang w:val="en-GB"/>
        </w:rPr>
      </w:pPr>
      <w:r w:rsidRPr="00B04DC3">
        <w:rPr>
          <w:szCs w:val="16"/>
          <w:lang w:val="en-GB"/>
        </w:rPr>
        <w:t>m</w:t>
      </w:r>
      <w:r w:rsidRPr="00B04DC3">
        <w:rPr>
          <w:szCs w:val="16"/>
          <w:vertAlign w:val="subscript"/>
          <w:lang w:val="en-GB"/>
        </w:rPr>
        <w:t>gas</w:t>
      </w:r>
      <w:r w:rsidRPr="00B04DC3">
        <w:rPr>
          <w:szCs w:val="16"/>
          <w:lang w:val="en-GB"/>
        </w:rPr>
        <w:t xml:space="preserve"> =</w:t>
      </w:r>
      <w:r w:rsidRPr="00B04DC3">
        <w:rPr>
          <w:szCs w:val="16"/>
          <w:lang w:val="en-GB"/>
        </w:rPr>
        <w:tab/>
        <w:t>u</w:t>
      </w:r>
      <w:r w:rsidRPr="00B04DC3">
        <w:rPr>
          <w:szCs w:val="16"/>
          <w:vertAlign w:val="subscript"/>
          <w:lang w:val="en-GB"/>
        </w:rPr>
        <w:t>gas</w:t>
      </w:r>
      <w:r w:rsidRPr="00B04DC3">
        <w:rPr>
          <w:szCs w:val="16"/>
          <w:lang w:val="en-GB"/>
        </w:rPr>
        <w:t xml:space="preserve"> </w:t>
      </w:r>
      <w:r w:rsidRPr="00B04DC3">
        <w:rPr>
          <w:position w:val="-4"/>
          <w:lang w:val="en-GB"/>
        </w:rPr>
        <w:object w:dxaOrig="180" w:dyaOrig="200">
          <v:shape id="_x0000_i1079" type="#_x0000_t75" style="width:9.6pt;height:9.6pt" o:ole="">
            <v:imagedata r:id="rId134" o:title=""/>
          </v:shape>
          <o:OLEObject Type="Embed" ProgID="Equation.3" ShapeID="_x0000_i1079" DrawAspect="Content" ObjectID="_1498392247" r:id="rId135"/>
        </w:object>
      </w:r>
      <w:r w:rsidRPr="00B04DC3">
        <w:rPr>
          <w:szCs w:val="16"/>
          <w:lang w:val="en-GB"/>
        </w:rPr>
        <w:t xml:space="preserve"> c</w:t>
      </w:r>
      <w:r w:rsidRPr="00B04DC3">
        <w:rPr>
          <w:szCs w:val="16"/>
          <w:vertAlign w:val="subscript"/>
          <w:lang w:val="en-GB"/>
        </w:rPr>
        <w:t>gas</w:t>
      </w:r>
      <w:r w:rsidRPr="00B04DC3">
        <w:rPr>
          <w:szCs w:val="16"/>
          <w:lang w:val="en-GB"/>
        </w:rPr>
        <w:t xml:space="preserve"> </w:t>
      </w:r>
      <w:r w:rsidRPr="00B04DC3">
        <w:rPr>
          <w:position w:val="-4"/>
          <w:lang w:val="en-GB"/>
        </w:rPr>
        <w:object w:dxaOrig="180" w:dyaOrig="200">
          <v:shape id="_x0000_i1080" type="#_x0000_t75" style="width:9.6pt;height:9.6pt" o:ole="">
            <v:imagedata r:id="rId136" o:title=""/>
          </v:shape>
          <o:OLEObject Type="Embed" ProgID="Equation.3" ShapeID="_x0000_i1080" DrawAspect="Content" ObjectID="_1498392248" r:id="rId137"/>
        </w:object>
      </w:r>
      <w:r w:rsidRPr="00B04DC3">
        <w:rPr>
          <w:szCs w:val="16"/>
          <w:lang w:val="en-GB"/>
        </w:rPr>
        <w:t xml:space="preserve"> q</w:t>
      </w:r>
      <w:r w:rsidRPr="00B04DC3">
        <w:rPr>
          <w:szCs w:val="16"/>
          <w:vertAlign w:val="subscript"/>
          <w:lang w:val="en-GB"/>
        </w:rPr>
        <w:t>mew</w:t>
      </w:r>
    </w:p>
    <w:p w:rsidR="00DA59A4" w:rsidRPr="00B04DC3" w:rsidRDefault="00260B82" w:rsidP="00DA59A4">
      <w:pPr>
        <w:pStyle w:val="para"/>
        <w:tabs>
          <w:tab w:val="left" w:pos="3500"/>
        </w:tabs>
        <w:ind w:left="3900" w:hanging="1100"/>
        <w:rPr>
          <w:szCs w:val="16"/>
          <w:lang w:val="en-GB"/>
        </w:rPr>
      </w:pPr>
      <w:r w:rsidRPr="00B04DC3">
        <w:rPr>
          <w:szCs w:val="16"/>
          <w:lang w:val="en-GB"/>
        </w:rPr>
        <w:t>Where</w:t>
      </w:r>
      <w:r w:rsidR="00DA59A4" w:rsidRPr="00B04DC3">
        <w:rPr>
          <w:szCs w:val="16"/>
          <w:lang w:val="en-GB"/>
        </w:rPr>
        <w:t>:</w:t>
      </w:r>
    </w:p>
    <w:p w:rsidR="00DA59A4" w:rsidRPr="00B04DC3" w:rsidRDefault="00DA59A4" w:rsidP="00DA59A4">
      <w:pPr>
        <w:pStyle w:val="para"/>
        <w:tabs>
          <w:tab w:val="left" w:pos="3500"/>
        </w:tabs>
        <w:ind w:left="3900" w:hanging="1100"/>
        <w:rPr>
          <w:szCs w:val="16"/>
          <w:lang w:val="en-GB"/>
        </w:rPr>
      </w:pPr>
      <w:r w:rsidRPr="00B04DC3">
        <w:rPr>
          <w:szCs w:val="16"/>
          <w:lang w:val="en-GB"/>
        </w:rPr>
        <w:t>u</w:t>
      </w:r>
      <w:r w:rsidRPr="00B04DC3">
        <w:rPr>
          <w:szCs w:val="16"/>
          <w:vertAlign w:val="subscript"/>
          <w:lang w:val="en-GB"/>
        </w:rPr>
        <w:t>gas</w:t>
      </w:r>
      <w:r w:rsidRPr="00B04DC3">
        <w:rPr>
          <w:szCs w:val="16"/>
          <w:lang w:val="en-GB"/>
        </w:rPr>
        <w:tab/>
        <w:t>=</w:t>
      </w:r>
      <w:r w:rsidRPr="00B04DC3">
        <w:rPr>
          <w:szCs w:val="16"/>
          <w:lang w:val="en-GB"/>
        </w:rPr>
        <w:tab/>
        <w:t>ratio between density of exhaust component and density of exhaust gas</w:t>
      </w:r>
    </w:p>
    <w:p w:rsidR="00DA59A4" w:rsidRPr="00B04DC3" w:rsidRDefault="00DA59A4" w:rsidP="00DA59A4">
      <w:pPr>
        <w:pStyle w:val="para"/>
        <w:tabs>
          <w:tab w:val="left" w:pos="3500"/>
        </w:tabs>
        <w:ind w:left="3900" w:hanging="1100"/>
        <w:rPr>
          <w:szCs w:val="16"/>
          <w:lang w:val="en-GB"/>
        </w:rPr>
      </w:pPr>
      <w:r w:rsidRPr="00B04DC3">
        <w:rPr>
          <w:szCs w:val="16"/>
          <w:lang w:val="en-GB"/>
        </w:rPr>
        <w:t>c</w:t>
      </w:r>
      <w:r w:rsidRPr="00B04DC3">
        <w:rPr>
          <w:szCs w:val="16"/>
          <w:vertAlign w:val="subscript"/>
          <w:lang w:val="en-GB"/>
        </w:rPr>
        <w:t>gas</w:t>
      </w:r>
      <w:r w:rsidRPr="00B04DC3">
        <w:rPr>
          <w:szCs w:val="16"/>
          <w:lang w:val="en-GB"/>
        </w:rPr>
        <w:tab/>
        <w:t>=</w:t>
      </w:r>
      <w:r w:rsidRPr="00B04DC3">
        <w:rPr>
          <w:szCs w:val="16"/>
          <w:lang w:val="en-GB"/>
        </w:rPr>
        <w:tab/>
        <w:t>concentration of the respective component in the raw exhaust gas, ppm</w:t>
      </w:r>
    </w:p>
    <w:p w:rsidR="00DA59A4" w:rsidRPr="00B04DC3" w:rsidRDefault="00DA59A4" w:rsidP="00DA59A4">
      <w:pPr>
        <w:pStyle w:val="para"/>
        <w:tabs>
          <w:tab w:val="left" w:pos="3500"/>
        </w:tabs>
        <w:ind w:left="3900" w:hanging="1100"/>
        <w:rPr>
          <w:szCs w:val="16"/>
          <w:lang w:val="en-GB"/>
        </w:rPr>
      </w:pPr>
      <w:r w:rsidRPr="00B04DC3">
        <w:rPr>
          <w:szCs w:val="16"/>
          <w:lang w:val="en-GB"/>
        </w:rPr>
        <w:t>q</w:t>
      </w:r>
      <w:r w:rsidRPr="00B04DC3">
        <w:rPr>
          <w:szCs w:val="16"/>
          <w:vertAlign w:val="subscript"/>
          <w:lang w:val="en-GB"/>
        </w:rPr>
        <w:t>mew</w:t>
      </w:r>
      <w:r w:rsidRPr="00B04DC3">
        <w:rPr>
          <w:szCs w:val="16"/>
          <w:lang w:val="en-GB"/>
        </w:rPr>
        <w:tab/>
        <w:t>=</w:t>
      </w:r>
      <w:r w:rsidRPr="00B04DC3">
        <w:rPr>
          <w:szCs w:val="16"/>
          <w:lang w:val="en-GB"/>
        </w:rPr>
        <w:tab/>
        <w:t>exhaust mass flow rate, kg/h</w:t>
      </w:r>
    </w:p>
    <w:p w:rsidR="00DA59A4" w:rsidRPr="00B04DC3" w:rsidRDefault="00DA59A4" w:rsidP="00DA59A4">
      <w:pPr>
        <w:pStyle w:val="para"/>
        <w:rPr>
          <w:lang w:val="en-GB"/>
        </w:rPr>
      </w:pPr>
      <w:r w:rsidRPr="00B04DC3">
        <w:rPr>
          <w:lang w:val="en-GB"/>
        </w:rPr>
        <w:tab/>
        <w:t>(b)</w:t>
      </w:r>
      <w:r w:rsidRPr="00B04DC3">
        <w:rPr>
          <w:lang w:val="en-GB"/>
        </w:rPr>
        <w:tab/>
        <w:t>For the diluted gas</w:t>
      </w:r>
    </w:p>
    <w:p w:rsidR="00DA59A4" w:rsidRPr="00B04DC3" w:rsidRDefault="00DA59A4" w:rsidP="00DA59A4">
      <w:pPr>
        <w:pStyle w:val="para"/>
        <w:rPr>
          <w:b/>
          <w:lang w:val="en-GB"/>
        </w:rPr>
      </w:pPr>
      <w:r w:rsidRPr="00B04DC3">
        <w:rPr>
          <w:lang w:val="en-GB"/>
        </w:rPr>
        <w:tab/>
      </w:r>
      <w:r w:rsidRPr="00B04DC3">
        <w:rPr>
          <w:lang w:val="en-GB"/>
        </w:rPr>
        <w:tab/>
      </w:r>
      <w:r w:rsidRPr="00B04DC3">
        <w:rPr>
          <w:lang w:val="en-GB"/>
        </w:rPr>
        <w:tab/>
      </w:r>
      <w:r w:rsidR="00A905B7">
        <w:rPr>
          <w:lang w:val="en-GB"/>
        </w:rPr>
      </w:r>
      <w:r w:rsidR="00A905B7">
        <w:rPr>
          <w:lang w:val="en-GB"/>
        </w:rPr>
        <w:pict>
          <v:group id="_x0000_s1849" editas="canvas" style="width:124.5pt;height:30.2pt;mso-position-horizontal-relative:char;mso-position-vertical-relative:line" coordsize="2490,604">
            <o:lock v:ext="edit" aspectratio="t"/>
            <v:shape id="_x0000_s1850" type="#_x0000_t75" style="position:absolute;width:2490;height:604" o:preferrelative="f">
              <v:fill o:detectmouseclick="t"/>
              <v:path o:extrusionok="t" o:connecttype="none"/>
              <o:lock v:ext="edit" text="t"/>
            </v:shape>
            <v:rect id="_x0000_s1851" style="position:absolute;left:2131;top:124;width:343;height:240;mso-wrap-style:none" filled="f" stroked="f">
              <v:textbox style="mso-fit-shape-to-text:t" inset="0,0,0,0">
                <w:txbxContent>
                  <w:p w:rsidR="00A905B7" w:rsidRPr="00FF78DA" w:rsidRDefault="00A905B7">
                    <w:r w:rsidRPr="00FF78DA">
                      <w:rPr>
                        <w:iCs/>
                        <w:color w:val="000000"/>
                        <w:sz w:val="14"/>
                        <w:szCs w:val="14"/>
                      </w:rPr>
                      <w:t>mdew</w:t>
                    </w:r>
                  </w:p>
                </w:txbxContent>
              </v:textbox>
            </v:rect>
            <v:rect id="_x0000_s1852" style="position:absolute;left:1685;top:124;width:63;height:240;mso-wrap-style:none" filled="f" stroked="f">
              <v:textbox style="mso-fit-shape-to-text:t" inset="0,0,0,0">
                <w:txbxContent>
                  <w:p w:rsidR="00A905B7" w:rsidRPr="00FF78DA" w:rsidRDefault="00A905B7">
                    <w:r w:rsidRPr="00FF78DA">
                      <w:rPr>
                        <w:iCs/>
                        <w:color w:val="000000"/>
                        <w:sz w:val="14"/>
                        <w:szCs w:val="14"/>
                      </w:rPr>
                      <w:t>c</w:t>
                    </w:r>
                  </w:p>
                </w:txbxContent>
              </v:textbox>
            </v:rect>
            <v:rect id="_x0000_s1853" style="position:absolute;left:1445;top:124;width:187;height:240;mso-wrap-style:none" filled="f" stroked="f">
              <v:textbox style="mso-fit-shape-to-text:t" inset="0,0,0,0">
                <w:txbxContent>
                  <w:p w:rsidR="00A905B7" w:rsidRDefault="00A905B7">
                    <w:r w:rsidRPr="00FF78DA">
                      <w:rPr>
                        <w:iCs/>
                        <w:color w:val="000000"/>
                        <w:sz w:val="14"/>
                        <w:szCs w:val="14"/>
                      </w:rPr>
                      <w:t>ga</w:t>
                    </w:r>
                    <w:r>
                      <w:rPr>
                        <w:i/>
                        <w:iCs/>
                        <w:color w:val="000000"/>
                        <w:sz w:val="14"/>
                        <w:szCs w:val="14"/>
                      </w:rPr>
                      <w:t>s</w:t>
                    </w:r>
                  </w:p>
                </w:txbxContent>
              </v:textbox>
            </v:rect>
            <v:rect id="_x0000_s1854" style="position:absolute;left:875;top:124;width:187;height:240;mso-wrap-style:none" filled="f" stroked="f">
              <v:textbox style="mso-fit-shape-to-text:t" inset="0,0,0,0">
                <w:txbxContent>
                  <w:p w:rsidR="00A905B7" w:rsidRPr="00FF78DA" w:rsidRDefault="00A905B7">
                    <w:r w:rsidRPr="00FF78DA">
                      <w:rPr>
                        <w:iCs/>
                        <w:color w:val="000000"/>
                        <w:sz w:val="14"/>
                        <w:szCs w:val="14"/>
                      </w:rPr>
                      <w:t>gas</w:t>
                    </w:r>
                  </w:p>
                </w:txbxContent>
              </v:textbox>
            </v:rect>
            <v:rect id="_x0000_s1855" style="position:absolute;left:194;top:124;width:187;height:240;mso-wrap-style:none" filled="f" stroked="f">
              <v:textbox style="mso-fit-shape-to-text:t" inset="0,0,0,0">
                <w:txbxContent>
                  <w:p w:rsidR="00A905B7" w:rsidRPr="00FF78DA" w:rsidRDefault="00A905B7">
                    <w:r w:rsidRPr="00FF78DA">
                      <w:rPr>
                        <w:iCs/>
                        <w:color w:val="000000"/>
                        <w:sz w:val="14"/>
                        <w:szCs w:val="14"/>
                      </w:rPr>
                      <w:t>gas</w:t>
                    </w:r>
                  </w:p>
                </w:txbxContent>
              </v:textbox>
            </v:rect>
            <v:rect id="_x0000_s1856" style="position:absolute;left:2023;top:21;width:101;height:240;mso-wrap-style:none" filled="f" stroked="f">
              <v:textbox style="mso-fit-shape-to-text:t" inset="0,0,0,0">
                <w:txbxContent>
                  <w:p w:rsidR="00A905B7" w:rsidRPr="00FF78DA" w:rsidRDefault="00A905B7">
                    <w:r w:rsidRPr="00FF78DA">
                      <w:rPr>
                        <w:iCs/>
                        <w:color w:val="000000"/>
                      </w:rPr>
                      <w:t>q</w:t>
                    </w:r>
                  </w:p>
                </w:txbxContent>
              </v:textbox>
            </v:rect>
            <v:rect id="_x0000_s1857" style="position:absolute;left:1342;top:21;width:89;height:240;mso-wrap-style:none" filled="f" stroked="f">
              <v:textbox style="mso-fit-shape-to-text:t" inset="0,0,0,0">
                <w:txbxContent>
                  <w:p w:rsidR="00A905B7" w:rsidRPr="00FF78DA" w:rsidRDefault="00A905B7">
                    <w:r w:rsidRPr="00FF78DA">
                      <w:rPr>
                        <w:iCs/>
                        <w:color w:val="000000"/>
                      </w:rPr>
                      <w:t>c</w:t>
                    </w:r>
                  </w:p>
                </w:txbxContent>
              </v:textbox>
            </v:rect>
            <v:rect id="_x0000_s1858" style="position:absolute;left:757;top:21;width:101;height:240;mso-wrap-style:none" filled="f" stroked="f">
              <v:textbox style="mso-fit-shape-to-text:t" inset="0,0,0,0">
                <w:txbxContent>
                  <w:p w:rsidR="00A905B7" w:rsidRPr="00FF78DA" w:rsidRDefault="00A905B7">
                    <w:r w:rsidRPr="00FF78DA">
                      <w:rPr>
                        <w:iCs/>
                        <w:color w:val="000000"/>
                      </w:rPr>
                      <w:t>u</w:t>
                    </w:r>
                  </w:p>
                </w:txbxContent>
              </v:textbox>
            </v:rect>
            <v:rect id="_x0000_s1859" style="position:absolute;top:21;width:210;height:240" filled="f" stroked="f">
              <v:textbox style="mso-fit-shape-to-text:t" inset="0,0,0,0">
                <w:txbxContent>
                  <w:p w:rsidR="00A905B7" w:rsidRPr="00FF78DA" w:rsidRDefault="00A905B7">
                    <w:r w:rsidRPr="00FF78DA">
                      <w:rPr>
                        <w:iCs/>
                        <w:color w:val="000000"/>
                      </w:rPr>
                      <w:t>m</w:t>
                    </w:r>
                  </w:p>
                </w:txbxContent>
              </v:textbox>
            </v:rect>
            <v:rect id="_x0000_s1860" style="position:absolute;left:1843;width:110;height:245;mso-wrap-style:none" filled="f" stroked="f">
              <v:textbox style="mso-fit-shape-to-text:t" inset="0,0,0,0">
                <w:txbxContent>
                  <w:p w:rsidR="00A905B7" w:rsidRDefault="00A905B7">
                    <w:r>
                      <w:rPr>
                        <w:rFonts w:ascii="Symbol" w:hAnsi="Symbol" w:cs="Symbol"/>
                        <w:color w:val="000000"/>
                      </w:rPr>
                      <w:t></w:t>
                    </w:r>
                  </w:p>
                </w:txbxContent>
              </v:textbox>
            </v:rect>
            <v:rect id="_x0000_s1861" style="position:absolute;left:1167;width:110;height:245;mso-wrap-style:none" filled="f" stroked="f">
              <v:textbox style="mso-fit-shape-to-text:t" inset="0,0,0,0">
                <w:txbxContent>
                  <w:p w:rsidR="00A905B7" w:rsidRDefault="00A905B7">
                    <w:r>
                      <w:rPr>
                        <w:rFonts w:ascii="Symbol" w:hAnsi="Symbol" w:cs="Symbol"/>
                        <w:color w:val="000000"/>
                      </w:rPr>
                      <w:t></w:t>
                    </w:r>
                  </w:p>
                </w:txbxContent>
              </v:textbox>
            </v:rect>
            <v:rect id="_x0000_s1862" style="position:absolute;left:537;width:110;height:245;mso-wrap-style:none" filled="f" stroked="f">
              <v:textbox style="mso-fit-shape-to-text:t" inset="0,0,0,0">
                <w:txbxContent>
                  <w:p w:rsidR="00A905B7" w:rsidRDefault="00A905B7">
                    <w:r>
                      <w:rPr>
                        <w:rFonts w:ascii="Symbol" w:hAnsi="Symbol" w:cs="Symbol"/>
                        <w:color w:val="000000"/>
                      </w:rPr>
                      <w:t></w:t>
                    </w:r>
                  </w:p>
                </w:txbxContent>
              </v:textbox>
            </v:rect>
            <v:rect id="_x0000_s1863" style="position:absolute;left:1646;top:121;width:36;height:240;mso-wrap-style:none" filled="f" stroked="f">
              <v:textbox style="mso-fit-shape-to-text:t" inset="0,0,0,0">
                <w:txbxContent>
                  <w:p w:rsidR="00A905B7" w:rsidRDefault="00A905B7">
                    <w:r>
                      <w:rPr>
                        <w:color w:val="000000"/>
                        <w:sz w:val="14"/>
                        <w:szCs w:val="14"/>
                      </w:rPr>
                      <w:t>,</w:t>
                    </w:r>
                  </w:p>
                </w:txbxContent>
              </v:textbox>
            </v:rect>
            <w10:wrap type="none"/>
            <w10:anchorlock/>
          </v:group>
        </w:pi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260B82" w:rsidRPr="00B04DC3">
        <w:rPr>
          <w:lang w:val="en-GB"/>
        </w:rPr>
        <w:t>Where</w:t>
      </w:r>
      <w:r w:rsidRPr="00B04DC3">
        <w:rPr>
          <w:lang w:val="en-GB"/>
        </w:rPr>
        <w:t>:</w:t>
      </w:r>
    </w:p>
    <w:p w:rsidR="00DA59A4" w:rsidRPr="00B04DC3" w:rsidRDefault="00DA59A4" w:rsidP="00DA59A4">
      <w:pPr>
        <w:pStyle w:val="para"/>
        <w:tabs>
          <w:tab w:val="left" w:pos="3500"/>
        </w:tabs>
        <w:ind w:left="3900" w:hanging="1100"/>
        <w:rPr>
          <w:lang w:val="en-GB"/>
        </w:rPr>
      </w:pPr>
      <w:r w:rsidRPr="00B04DC3">
        <w:rPr>
          <w:lang w:val="en-GB"/>
        </w:rPr>
        <w:t>u</w:t>
      </w:r>
      <w:r w:rsidRPr="00B04DC3">
        <w:rPr>
          <w:vertAlign w:val="subscript"/>
          <w:lang w:val="en-GB"/>
        </w:rPr>
        <w:t>gas</w:t>
      </w:r>
      <w:r w:rsidRPr="00B04DC3">
        <w:rPr>
          <w:vertAlign w:val="subscript"/>
          <w:lang w:val="en-GB"/>
        </w:rPr>
        <w:tab/>
      </w:r>
      <w:r w:rsidRPr="00B04DC3">
        <w:rPr>
          <w:lang w:val="en-GB"/>
        </w:rPr>
        <w:t>=</w:t>
      </w:r>
      <w:r w:rsidRPr="00B04DC3">
        <w:rPr>
          <w:lang w:val="en-GB"/>
        </w:rPr>
        <w:tab/>
        <w:t xml:space="preserve">ratio between </w:t>
      </w:r>
      <w:r w:rsidRPr="00B04DC3">
        <w:rPr>
          <w:szCs w:val="16"/>
          <w:lang w:val="en-GB"/>
        </w:rPr>
        <w:t>density</w:t>
      </w:r>
      <w:r w:rsidRPr="00B04DC3">
        <w:rPr>
          <w:lang w:val="en-GB"/>
        </w:rPr>
        <w:t xml:space="preserve"> of exhaust component and density of air</w:t>
      </w:r>
    </w:p>
    <w:p w:rsidR="00DA59A4" w:rsidRPr="00B04DC3" w:rsidRDefault="00DA59A4" w:rsidP="00DA59A4">
      <w:pPr>
        <w:pStyle w:val="para"/>
        <w:tabs>
          <w:tab w:val="left" w:pos="3500"/>
        </w:tabs>
        <w:ind w:left="3900" w:hanging="1100"/>
        <w:rPr>
          <w:lang w:val="en-GB"/>
        </w:rPr>
      </w:pPr>
      <w:r w:rsidRPr="00B04DC3">
        <w:rPr>
          <w:lang w:val="en-GB"/>
        </w:rPr>
        <w:t>c</w:t>
      </w:r>
      <w:r w:rsidRPr="00B04DC3">
        <w:rPr>
          <w:vertAlign w:val="subscript"/>
          <w:lang w:val="en-GB"/>
        </w:rPr>
        <w:t>gas,c</w:t>
      </w:r>
      <w:r w:rsidRPr="00B04DC3">
        <w:rPr>
          <w:lang w:val="en-GB"/>
        </w:rPr>
        <w:tab/>
        <w:t>=</w:t>
      </w:r>
      <w:r w:rsidRPr="00B04DC3">
        <w:rPr>
          <w:lang w:val="en-GB"/>
        </w:rPr>
        <w:tab/>
        <w:t xml:space="preserve">background </w:t>
      </w:r>
      <w:r w:rsidRPr="00B04DC3">
        <w:rPr>
          <w:szCs w:val="16"/>
          <w:lang w:val="en-GB"/>
        </w:rPr>
        <w:t>corrected</w:t>
      </w:r>
      <w:r w:rsidRPr="00B04DC3">
        <w:rPr>
          <w:lang w:val="en-GB"/>
        </w:rPr>
        <w:t xml:space="preserve"> concentration of the respective component in the diluted exhaust gas, ppm</w:t>
      </w:r>
    </w:p>
    <w:p w:rsidR="00DA59A4" w:rsidRPr="00B04DC3" w:rsidRDefault="00DA59A4" w:rsidP="00DA59A4">
      <w:pPr>
        <w:pStyle w:val="para"/>
        <w:tabs>
          <w:tab w:val="left" w:pos="3500"/>
        </w:tabs>
        <w:ind w:left="3900" w:hanging="1100"/>
        <w:rPr>
          <w:lang w:val="en-GB"/>
        </w:rPr>
      </w:pPr>
      <w:r w:rsidRPr="00B04DC3">
        <w:rPr>
          <w:lang w:val="en-GB"/>
        </w:rPr>
        <w:t>q</w:t>
      </w:r>
      <w:r w:rsidRPr="00B04DC3">
        <w:rPr>
          <w:vertAlign w:val="subscript"/>
          <w:lang w:val="en-GB"/>
        </w:rPr>
        <w:t>mdew</w:t>
      </w:r>
      <w:r w:rsidRPr="00B04DC3">
        <w:rPr>
          <w:lang w:val="en-GB"/>
        </w:rPr>
        <w:tab/>
        <w:t>=</w:t>
      </w:r>
      <w:r w:rsidRPr="00B04DC3">
        <w:rPr>
          <w:lang w:val="en-GB"/>
        </w:rPr>
        <w:tab/>
        <w:t>diluted exhaust mass flow rate, kg/h</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260B82" w:rsidRPr="00B04DC3">
        <w:rPr>
          <w:lang w:val="en-GB"/>
        </w:rPr>
        <w:t>Where</w:t>
      </w:r>
      <w:r w:rsidRPr="00B04DC3">
        <w:rPr>
          <w:lang w:val="en-GB"/>
        </w:rPr>
        <w:t>:</w:t>
      </w:r>
    </w:p>
    <w:p w:rsidR="00DA59A4" w:rsidRPr="00B04DC3" w:rsidRDefault="00DA59A4" w:rsidP="00DA59A4">
      <w:pPr>
        <w:pStyle w:val="a"/>
        <w:rPr>
          <w:lang w:val="en-GB"/>
        </w:rPr>
      </w:pPr>
      <w:r w:rsidRPr="00B04DC3">
        <w:rPr>
          <w:lang w:val="en-GB"/>
        </w:rPr>
        <w:tab/>
      </w:r>
      <w:r w:rsidRPr="00B04DC3">
        <w:rPr>
          <w:lang w:val="en-GB"/>
        </w:rPr>
        <w:tab/>
      </w:r>
      <w:r w:rsidR="00A905B7">
        <w:rPr>
          <w:lang w:val="en-GB"/>
        </w:rPr>
        <w:pict>
          <v:shape id="_x0000_i1082" type="#_x0000_t75" style="width:107.4pt;height:27.6pt">
            <v:imagedata r:id="rId138" o:title=""/>
          </v:shape>
        </w:pict>
      </w:r>
    </w:p>
    <w:p w:rsidR="00DA59A4" w:rsidRPr="00B04DC3" w:rsidRDefault="00DA59A4" w:rsidP="00DA59A4">
      <w:pPr>
        <w:pStyle w:val="para"/>
        <w:rPr>
          <w:lang w:val="en-GB"/>
        </w:rPr>
      </w:pPr>
      <w:r w:rsidRPr="00B04DC3">
        <w:rPr>
          <w:lang w:val="en-GB"/>
        </w:rPr>
        <w:tab/>
        <w:t>The dilution factor D shall be calculated according to paragraph 5.4.1. of Appendix 2 to this annex.</w:t>
      </w:r>
    </w:p>
    <w:p w:rsidR="00DA59A4" w:rsidRPr="00B04DC3" w:rsidRDefault="00DA59A4" w:rsidP="00DA59A4">
      <w:pPr>
        <w:pStyle w:val="para"/>
        <w:rPr>
          <w:lang w:val="en-GB"/>
        </w:rPr>
      </w:pPr>
      <w:r w:rsidRPr="00B04DC3">
        <w:rPr>
          <w:lang w:val="en-GB"/>
        </w:rPr>
        <w:t>5.5.</w:t>
      </w:r>
      <w:r w:rsidRPr="00B04DC3">
        <w:rPr>
          <w:lang w:val="en-GB"/>
        </w:rPr>
        <w:tab/>
        <w:t>Calculation of the specific emissions</w:t>
      </w:r>
    </w:p>
    <w:p w:rsidR="00DA59A4" w:rsidRPr="00B04DC3" w:rsidRDefault="00DA59A4" w:rsidP="00DA59A4">
      <w:pPr>
        <w:pStyle w:val="para"/>
        <w:rPr>
          <w:lang w:val="en-GB"/>
        </w:rPr>
      </w:pPr>
      <w:r w:rsidRPr="00B04DC3">
        <w:rPr>
          <w:lang w:val="en-GB"/>
        </w:rPr>
        <w:tab/>
        <w:t>The emissions (g/kWh) shall be calculated for all individual components in the following way:</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pict>
          <v:shape id="_x0000_i1083" type="#_x0000_t75" style="width:9.6pt;height:17.4pt" fillcolor="window">
            <v:imagedata r:id="rId139" o:title=""/>
          </v:shape>
        </w:pict>
      </w:r>
      <w:r w:rsidR="00A905B7">
        <w:rPr>
          <w:lang w:val="en-GB"/>
        </w:rPr>
      </w:r>
      <w:r w:rsidR="00A905B7">
        <w:rPr>
          <w:lang w:val="en-GB"/>
        </w:rPr>
        <w:pict>
          <v:group id="_x0000_s1864" editas="canvas" style="width:142.9pt;height:77.15pt;mso-position-horizontal-relative:char;mso-position-vertical-relative:line" coordsize="2858,1543">
            <o:lock v:ext="edit" aspectratio="t"/>
            <v:shape id="_x0000_s1865" type="#_x0000_t75" style="position:absolute;width:2858;height:1543" o:preferrelative="f">
              <v:fill o:detectmouseclick="t"/>
              <v:path o:extrusionok="t" o:connecttype="none"/>
              <o:lock v:ext="edit" text="t"/>
            </v:shape>
            <v:rect id="_x0000_s1866" style="position:absolute;left:1314;top:98;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1867" style="position:absolute;left:2618;top:98;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1868" style="position:absolute;left:1295;top:809;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1869" style="position:absolute;left:2637;top:809;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line id="_x0000_s1870" style="position:absolute" from="980,720" to="2707,720" strokeweight=".5pt"/>
            <v:rect id="_x0000_s1871" style="position:absolute;left:1004;top:861;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1872" style="position:absolute;left:1023;top:151;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1873" style="position:absolute;left:1078;top:730;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1874" style="position:absolute;left:1086;top:1217;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1875" style="position:absolute;left:1095;top:19;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1876" style="position:absolute;left:1110;top:507;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1877" style="position:absolute;left:2027;top:888;width:110;height:245;mso-wrap-style:none" filled="f" stroked="f">
              <v:textbox style="mso-fit-shape-to-text:t" inset="0,0,0,0">
                <w:txbxContent>
                  <w:p w:rsidR="00A905B7" w:rsidRDefault="00A905B7">
                    <w:r>
                      <w:rPr>
                        <w:rFonts w:ascii="Symbol" w:hAnsi="Symbol" w:cs="Symbol"/>
                        <w:color w:val="000000"/>
                      </w:rPr>
                      <w:t></w:t>
                    </w:r>
                  </w:p>
                </w:txbxContent>
              </v:textbox>
            </v:rect>
            <v:rect id="_x0000_s1878" style="position:absolute;left:2010;top:178;width:110;height:245;mso-wrap-style:none" filled="f" stroked="f">
              <v:textbox style="mso-fit-shape-to-text:t" inset="0,0,0,0">
                <w:txbxContent>
                  <w:p w:rsidR="00A905B7" w:rsidRDefault="00A905B7">
                    <w:r>
                      <w:rPr>
                        <w:rFonts w:ascii="Symbol" w:hAnsi="Symbol" w:cs="Symbol"/>
                        <w:color w:val="000000"/>
                      </w:rPr>
                      <w:t></w:t>
                    </w:r>
                  </w:p>
                </w:txbxContent>
              </v:textbox>
            </v:rect>
            <v:rect id="_x0000_s1879" style="position:absolute;left:721;top:540;width:110;height:245;mso-wrap-style:none" filled="f" stroked="f">
              <v:textbox style="mso-fit-shape-to-text:t" inset="0,0,0,0">
                <w:txbxContent>
                  <w:p w:rsidR="00A905B7" w:rsidRDefault="00A905B7">
                    <w:r>
                      <w:rPr>
                        <w:rFonts w:ascii="Symbol" w:hAnsi="Symbol" w:cs="Symbol"/>
                        <w:color w:val="000000"/>
                      </w:rPr>
                      <w:t></w:t>
                    </w:r>
                  </w:p>
                </w:txbxContent>
              </v:textbox>
            </v:rect>
            <v:rect id="_x0000_s1880" style="position:absolute;left:1198;top:744;width:71;height:240;mso-wrap-style:none" filled="f" stroked="f">
              <v:textbox style="mso-fit-shape-to-text:t" inset="0,0,0,0">
                <w:txbxContent>
                  <w:p w:rsidR="00A905B7" w:rsidRPr="00FF78DA" w:rsidRDefault="00A905B7">
                    <w:r w:rsidRPr="00FF78DA">
                      <w:rPr>
                        <w:iCs/>
                        <w:color w:val="000000"/>
                        <w:sz w:val="14"/>
                        <w:szCs w:val="14"/>
                      </w:rPr>
                      <w:t>n</w:t>
                    </w:r>
                  </w:p>
                </w:txbxContent>
              </v:textbox>
            </v:rect>
            <v:rect id="_x0000_s1881" style="position:absolute;left:992;top:744;width:39;height:240;mso-wrap-style:none" filled="f" stroked="f">
              <v:textbox style="mso-fit-shape-to-text:t" inset="0,0,0,0">
                <w:txbxContent>
                  <w:p w:rsidR="00A905B7" w:rsidRPr="00FF78DA" w:rsidRDefault="00A905B7">
                    <w:r w:rsidRPr="00FF78DA">
                      <w:rPr>
                        <w:iCs/>
                        <w:color w:val="000000"/>
                        <w:sz w:val="14"/>
                        <w:szCs w:val="14"/>
                      </w:rPr>
                      <w:t>i</w:t>
                    </w:r>
                  </w:p>
                </w:txbxContent>
              </v:textbox>
            </v:rect>
            <v:rect id="_x0000_s1882" style="position:absolute;left:1198;top:1231;width:71;height:240;mso-wrap-style:none" filled="f" stroked="f">
              <v:textbox style="mso-fit-shape-to-text:t" inset="0,0,0,0">
                <w:txbxContent>
                  <w:p w:rsidR="00A905B7" w:rsidRPr="00FF78DA" w:rsidRDefault="00A905B7">
                    <w:r w:rsidRPr="00FF78DA">
                      <w:rPr>
                        <w:iCs/>
                        <w:color w:val="000000"/>
                        <w:sz w:val="14"/>
                        <w:szCs w:val="14"/>
                      </w:rPr>
                      <w:t>1</w:t>
                    </w:r>
                  </w:p>
                </w:txbxContent>
              </v:textbox>
            </v:rect>
            <v:rect id="_x0000_s1883" style="position:absolute;left:999;top:1231;width:39;height:240;mso-wrap-style:none" filled="f" stroked="f">
              <v:textbox style="mso-fit-shape-to-text:t" inset="0,0,0,0">
                <w:txbxContent>
                  <w:p w:rsidR="00A905B7" w:rsidRPr="00FF78DA" w:rsidRDefault="00A905B7">
                    <w:r w:rsidRPr="00FF78DA">
                      <w:rPr>
                        <w:iCs/>
                        <w:color w:val="000000"/>
                        <w:sz w:val="14"/>
                        <w:szCs w:val="14"/>
                      </w:rPr>
                      <w:t>i</w:t>
                    </w:r>
                  </w:p>
                </w:txbxContent>
              </v:textbox>
            </v:rect>
            <v:rect id="_x0000_s1884" style="position:absolute;left:2462;top:1063;width:117;height:240;mso-wrap-style:none" filled="f" stroked="f">
              <v:textbox style="mso-fit-shape-to-text:t" inset="0,0,0,0">
                <w:txbxContent>
                  <w:p w:rsidR="00A905B7" w:rsidRPr="00FF78DA" w:rsidRDefault="00A905B7">
                    <w:r w:rsidRPr="00FF78DA">
                      <w:rPr>
                        <w:iCs/>
                        <w:color w:val="000000"/>
                        <w:sz w:val="14"/>
                        <w:szCs w:val="14"/>
                      </w:rPr>
                      <w:t>Fi</w:t>
                    </w:r>
                  </w:p>
                </w:txbxContent>
              </v:textbox>
            </v:rect>
            <v:rect id="_x0000_s1885" style="position:absolute;left:1840;top:1063;width:39;height:240;mso-wrap-style:none" filled="f" stroked="f">
              <v:textbox style="mso-fit-shape-to-text:t" inset="0,0,0,0">
                <w:txbxContent>
                  <w:p w:rsidR="00A905B7" w:rsidRPr="00FF78DA" w:rsidRDefault="00A905B7">
                    <w:r w:rsidRPr="00FF78DA">
                      <w:rPr>
                        <w:iCs/>
                        <w:color w:val="000000"/>
                        <w:sz w:val="14"/>
                        <w:szCs w:val="14"/>
                      </w:rPr>
                      <w:t>i</w:t>
                    </w:r>
                  </w:p>
                </w:txbxContent>
              </v:textbox>
            </v:rect>
            <v:rect id="_x0000_s1886" style="position:absolute;left:1218;top:33;width:71;height:240;mso-wrap-style:none" filled="f" stroked="f">
              <v:textbox style="mso-fit-shape-to-text:t" inset="0,0,0,0">
                <w:txbxContent>
                  <w:p w:rsidR="00A905B7" w:rsidRPr="00FF78DA" w:rsidRDefault="00A905B7">
                    <w:r w:rsidRPr="00FF78DA">
                      <w:rPr>
                        <w:iCs/>
                        <w:color w:val="000000"/>
                        <w:sz w:val="14"/>
                        <w:szCs w:val="14"/>
                      </w:rPr>
                      <w:t>n</w:t>
                    </w:r>
                  </w:p>
                </w:txbxContent>
              </v:textbox>
            </v:rect>
            <v:rect id="_x0000_s1887" style="position:absolute;left:1011;top:33;width:39;height:240;mso-wrap-style:none" filled="f" stroked="f">
              <v:textbox style="mso-fit-shape-to-text:t" inset="0,0,0,0">
                <w:txbxContent>
                  <w:p w:rsidR="00A905B7" w:rsidRPr="00FF78DA" w:rsidRDefault="00A905B7">
                    <w:r w:rsidRPr="00FF78DA">
                      <w:rPr>
                        <w:iCs/>
                        <w:color w:val="000000"/>
                        <w:sz w:val="14"/>
                        <w:szCs w:val="14"/>
                      </w:rPr>
                      <w:t>i</w:t>
                    </w:r>
                  </w:p>
                </w:txbxContent>
              </v:textbox>
            </v:rect>
            <v:rect id="_x0000_s1888" style="position:absolute;left:1026;top:481;width:39;height:240;mso-wrap-style:none" filled="f" stroked="f">
              <v:textbox style="mso-fit-shape-to-text:t" inset="0,0,0,0">
                <w:txbxContent>
                  <w:p w:rsidR="00A905B7" w:rsidRPr="00FF78DA" w:rsidRDefault="00A905B7">
                    <w:r w:rsidRPr="00FF78DA">
                      <w:rPr>
                        <w:iCs/>
                        <w:color w:val="000000"/>
                        <w:sz w:val="14"/>
                        <w:szCs w:val="14"/>
                      </w:rPr>
                      <w:t>i</w:t>
                    </w:r>
                  </w:p>
                </w:txbxContent>
              </v:textbox>
            </v:rect>
            <v:rect id="_x0000_s1889" style="position:absolute;left:2445;top:353;width:117;height:240;mso-wrap-style:none" filled="f" stroked="f">
              <v:textbox style="mso-fit-shape-to-text:t" inset="0,0,0,0">
                <w:txbxContent>
                  <w:p w:rsidR="00A905B7" w:rsidRPr="00FF78DA" w:rsidRDefault="00A905B7">
                    <w:r w:rsidRPr="00FF78DA">
                      <w:rPr>
                        <w:iCs/>
                        <w:color w:val="000000"/>
                        <w:sz w:val="14"/>
                        <w:szCs w:val="14"/>
                      </w:rPr>
                      <w:t>Fi</w:t>
                    </w:r>
                  </w:p>
                </w:txbxContent>
              </v:textbox>
            </v:rect>
            <v:rect id="_x0000_s1890" style="position:absolute;left:1566;top:353;width:319;height:240;mso-wrap-style:none" filled="f" stroked="f">
              <v:textbox style="mso-fit-shape-to-text:t" inset="0,0,0,0">
                <w:txbxContent>
                  <w:p w:rsidR="00A905B7" w:rsidRPr="00FF78DA" w:rsidRDefault="00A905B7">
                    <w:r w:rsidRPr="00FF78DA">
                      <w:rPr>
                        <w:iCs/>
                        <w:color w:val="000000"/>
                        <w:sz w:val="14"/>
                        <w:szCs w:val="14"/>
                      </w:rPr>
                      <w:t>GASi</w:t>
                    </w:r>
                  </w:p>
                </w:txbxContent>
              </v:textbox>
            </v:rect>
            <v:rect id="_x0000_s1891" style="position:absolute;left:457;top:635;width:71;height:240;mso-wrap-style:none" filled="f" stroked="f">
              <v:textbox style="mso-fit-shape-to-text:t" inset="0,0,0,0">
                <w:txbxContent>
                  <w:p w:rsidR="00A905B7" w:rsidRPr="00FF78DA" w:rsidRDefault="00A905B7">
                    <w:r w:rsidRPr="00FF78DA">
                      <w:rPr>
                        <w:iCs/>
                        <w:color w:val="000000"/>
                        <w:sz w:val="14"/>
                        <w:szCs w:val="14"/>
                      </w:rPr>
                      <w:t>x</w:t>
                    </w:r>
                  </w:p>
                </w:txbxContent>
              </v:textbox>
            </v:rect>
            <v:rect id="_x0000_s1892" style="position:absolute;left:2253;top:912;width:189;height:240;mso-wrap-style:none" filled="f" stroked="f">
              <v:textbox style="mso-fit-shape-to-text:t" inset="0,0,0,0">
                <w:txbxContent>
                  <w:p w:rsidR="00A905B7" w:rsidRPr="00FF78DA" w:rsidRDefault="00A905B7">
                    <w:r w:rsidRPr="00FF78DA">
                      <w:rPr>
                        <w:iCs/>
                        <w:color w:val="000000"/>
                      </w:rPr>
                      <w:t>W</w:t>
                    </w:r>
                  </w:p>
                </w:txbxContent>
              </v:textbox>
            </v:rect>
            <v:rect id="_x0000_s1893" style="position:absolute;left:1619;top:912;width:101;height:240;mso-wrap-style:none" filled="f" stroked="f">
              <v:textbox style="mso-fit-shape-to-text:t" inset="0,0,0,0">
                <w:txbxContent>
                  <w:p w:rsidR="00A905B7" w:rsidRPr="00FF78DA" w:rsidRDefault="00A905B7">
                    <w:r w:rsidRPr="00FF78DA">
                      <w:rPr>
                        <w:iCs/>
                        <w:color w:val="000000"/>
                      </w:rPr>
                      <w:t>n</w:t>
                    </w:r>
                  </w:p>
                </w:txbxContent>
              </v:textbox>
            </v:rect>
            <v:rect id="_x0000_s1894" style="position:absolute;left:1379;top:912;width:112;height:240;mso-wrap-style:none" filled="f" stroked="f">
              <v:textbox style="mso-fit-shape-to-text:t" inset="0,0,0,0">
                <w:txbxContent>
                  <w:p w:rsidR="00A905B7" w:rsidRPr="00FF78DA" w:rsidRDefault="00A905B7">
                    <w:r w:rsidRPr="00FF78DA">
                      <w:rPr>
                        <w:iCs/>
                        <w:color w:val="000000"/>
                      </w:rPr>
                      <w:t>P</w:t>
                    </w:r>
                  </w:p>
                </w:txbxContent>
              </v:textbox>
            </v:rect>
            <v:rect id="_x0000_s1895" style="position:absolute;left:2234;top:202;width:189;height:240;mso-wrap-style:none" filled="f" stroked="f">
              <v:textbox style="mso-fit-shape-to-text:t" inset="0,0,0,0">
                <w:txbxContent>
                  <w:p w:rsidR="00A905B7" w:rsidRPr="00FF78DA" w:rsidRDefault="00A905B7">
                    <w:r w:rsidRPr="00FF78DA">
                      <w:rPr>
                        <w:iCs/>
                        <w:color w:val="000000"/>
                      </w:rPr>
                      <w:t>W</w:t>
                    </w:r>
                  </w:p>
                </w:txbxContent>
              </v:textbox>
            </v:rect>
            <v:rect id="_x0000_s1896" style="position:absolute;left:1388;top:202;width:156;height:240;mso-wrap-style:none" filled="f" stroked="f">
              <v:textbox style="mso-fit-shape-to-text:t" inset="0,0,0,0">
                <w:txbxContent>
                  <w:p w:rsidR="00A905B7" w:rsidRPr="00FF78DA" w:rsidRDefault="00A905B7">
                    <w:r w:rsidRPr="00FF78DA">
                      <w:rPr>
                        <w:iCs/>
                        <w:color w:val="000000"/>
                      </w:rPr>
                      <w:t>m</w:t>
                    </w:r>
                  </w:p>
                </w:txbxContent>
              </v:textbox>
            </v:rect>
            <v:rect id="_x0000_s1897" style="position:absolute;left:29;top:564;width:401;height:240;mso-wrap-style:none" filled="f" stroked="f">
              <v:textbox style="mso-fit-shape-to-text:t" inset="0,0,0,0">
                <w:txbxContent>
                  <w:p w:rsidR="00A905B7" w:rsidRPr="00FF78DA" w:rsidRDefault="00A905B7">
                    <w:r w:rsidRPr="00FF78DA">
                      <w:rPr>
                        <w:iCs/>
                        <w:color w:val="000000"/>
                      </w:rPr>
                      <w:t>GAS</w:t>
                    </w:r>
                  </w:p>
                </w:txbxContent>
              </v:textbox>
            </v:rect>
            <v:rect id="_x0000_s1898" style="position:absolute;left:1741;top:912;width:67;height:240;mso-wrap-style:none" filled="f" stroked="f">
              <v:textbox style="mso-fit-shape-to-text:t" inset="0,0,0,0">
                <w:txbxContent>
                  <w:p w:rsidR="00A905B7" w:rsidRDefault="00A905B7">
                    <w:r>
                      <w:rPr>
                        <w:color w:val="000000"/>
                      </w:rPr>
                      <w:t>)</w:t>
                    </w:r>
                  </w:p>
                </w:txbxContent>
              </v:textbox>
            </v:rect>
            <v:rect id="_x0000_s1899" style="position:absolute;left:1532;top:912;width:67;height:240;mso-wrap-style:none" filled="f" stroked="f">
              <v:textbox style="mso-fit-shape-to-text:t" inset="0,0,0,0">
                <w:txbxContent>
                  <w:p w:rsidR="00A905B7" w:rsidRDefault="00A905B7">
                    <w:r>
                      <w:rPr>
                        <w:color w:val="000000"/>
                      </w:rPr>
                      <w:t>(</w:t>
                    </w:r>
                  </w:p>
                </w:txbxContent>
              </v:textbox>
            </v:rect>
            <v:rect id="_x0000_s1900" style="position:absolute;left:1215;top:489;width:71;height:240;mso-wrap-style:none" filled="f" stroked="f">
              <v:textbox style="mso-fit-shape-to-text:t" inset="0,0,0,0">
                <w:txbxContent>
                  <w:p w:rsidR="00A905B7" w:rsidRDefault="00A905B7">
                    <w:r>
                      <w:rPr>
                        <w:color w:val="000000"/>
                        <w:sz w:val="14"/>
                        <w:szCs w:val="14"/>
                      </w:rPr>
                      <w:t>1</w:t>
                    </w:r>
                  </w:p>
                </w:txbxContent>
              </v:textbox>
            </v:rect>
            <w10:wrap type="none"/>
            <w10:anchorlock/>
          </v:group>
        </w:pict>
      </w:r>
    </w:p>
    <w:p w:rsidR="00DA59A4" w:rsidRPr="00B04DC3" w:rsidRDefault="00DA59A4" w:rsidP="00DA59A4">
      <w:pPr>
        <w:pStyle w:val="para"/>
        <w:rPr>
          <w:lang w:val="en-GB"/>
        </w:rPr>
      </w:pPr>
      <w:r w:rsidRPr="00B04DC3">
        <w:rPr>
          <w:lang w:val="en-GB"/>
        </w:rPr>
        <w:tab/>
      </w:r>
      <w:r w:rsidR="00260B82" w:rsidRPr="00B04DC3">
        <w:rPr>
          <w:lang w:val="en-GB"/>
        </w:rPr>
        <w:t>Where</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m</w:t>
      </w:r>
      <w:r w:rsidRPr="00B04DC3">
        <w:rPr>
          <w:vertAlign w:val="subscript"/>
          <w:lang w:val="en-GB"/>
        </w:rPr>
        <w:t>gas</w:t>
      </w:r>
      <w:r w:rsidRPr="00B04DC3">
        <w:rPr>
          <w:lang w:val="en-GB"/>
        </w:rPr>
        <w:t xml:space="preserve"> is the mass of individual gas</w:t>
      </w:r>
    </w:p>
    <w:p w:rsidR="00DA59A4" w:rsidRPr="00B04DC3" w:rsidRDefault="00DA59A4" w:rsidP="00DA59A4">
      <w:pPr>
        <w:pStyle w:val="para"/>
        <w:rPr>
          <w:lang w:val="en-GB"/>
        </w:rPr>
      </w:pPr>
      <w:r w:rsidRPr="00B04DC3">
        <w:rPr>
          <w:lang w:val="en-GB"/>
        </w:rPr>
        <w:tab/>
      </w:r>
      <w:r w:rsidRPr="00B04DC3">
        <w:rPr>
          <w:lang w:val="en-GB"/>
        </w:rPr>
        <w:tab/>
        <w:t>P</w:t>
      </w:r>
      <w:r w:rsidRPr="00B04DC3">
        <w:rPr>
          <w:vertAlign w:val="subscript"/>
          <w:lang w:val="en-GB"/>
        </w:rPr>
        <w:t>(n)</w:t>
      </w:r>
      <w:r w:rsidRPr="00B04DC3">
        <w:rPr>
          <w:lang w:val="en-GB"/>
        </w:rPr>
        <w:t xml:space="preserve"> is the net power determined according to paragraph 8.2., Appendix 1, Annex 1.</w:t>
      </w:r>
    </w:p>
    <w:p w:rsidR="00DA59A4" w:rsidRPr="00B04DC3" w:rsidRDefault="00DA59A4" w:rsidP="00DA59A4">
      <w:pPr>
        <w:pStyle w:val="para"/>
        <w:rPr>
          <w:lang w:val="en-GB"/>
        </w:rPr>
      </w:pPr>
      <w:r w:rsidRPr="00B04DC3">
        <w:rPr>
          <w:lang w:val="en-GB"/>
        </w:rPr>
        <w:tab/>
        <w:t>The weighting factors used in the above calculation are according to paragraph 2.7.1.</w:t>
      </w:r>
      <w:r w:rsidR="004F59F4">
        <w:rPr>
          <w:lang w:val="en-GB"/>
        </w:rPr>
        <w:t xml:space="preserve"> of this appendix.</w:t>
      </w:r>
    </w:p>
    <w:p w:rsidR="00DA59A4" w:rsidRPr="00B04DC3" w:rsidRDefault="00DA59A4" w:rsidP="00AA0E48">
      <w:pPr>
        <w:pStyle w:val="Heading1"/>
        <w:keepNext/>
        <w:keepLines/>
      </w:pPr>
      <w:bookmarkStart w:id="206" w:name="_Toc399939925"/>
      <w:bookmarkStart w:id="207" w:name="_Toc423599512"/>
      <w:bookmarkStart w:id="208" w:name="_Toc423610920"/>
      <w:r w:rsidRPr="00B04DC3">
        <w:t>Table 6</w:t>
      </w:r>
      <w:bookmarkEnd w:id="206"/>
      <w:bookmarkEnd w:id="207"/>
      <w:bookmarkEnd w:id="208"/>
    </w:p>
    <w:p w:rsidR="00DA59A4" w:rsidRPr="00B04DC3" w:rsidRDefault="00DA59A4" w:rsidP="00AA0E48">
      <w:pPr>
        <w:pStyle w:val="Heading1"/>
        <w:keepNext/>
        <w:keepLines/>
        <w:spacing w:after="40"/>
        <w:rPr>
          <w:b/>
        </w:rPr>
      </w:pPr>
      <w:bookmarkStart w:id="209" w:name="_Toc399939926"/>
      <w:bookmarkStart w:id="210" w:name="_Toc423599513"/>
      <w:bookmarkStart w:id="211" w:name="_Toc423610921"/>
      <w:r w:rsidRPr="00B04DC3">
        <w:rPr>
          <w:b/>
        </w:rPr>
        <w:t>Values of u</w:t>
      </w:r>
      <w:r w:rsidRPr="00B04DC3">
        <w:rPr>
          <w:b/>
          <w:vertAlign w:val="subscript"/>
        </w:rPr>
        <w:t>gas</w:t>
      </w:r>
      <w:r w:rsidRPr="00B04DC3">
        <w:rPr>
          <w:b/>
        </w:rPr>
        <w:t xml:space="preserve"> in the raw and dilute exhaust gas for various exhaust components</w:t>
      </w:r>
      <w:bookmarkEnd w:id="209"/>
      <w:bookmarkEnd w:id="210"/>
      <w:bookmarkEnd w:id="211"/>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1417"/>
        <w:gridCol w:w="960"/>
        <w:gridCol w:w="1075"/>
        <w:gridCol w:w="1166"/>
        <w:gridCol w:w="1075"/>
        <w:gridCol w:w="1001"/>
        <w:gridCol w:w="896"/>
      </w:tblGrid>
      <w:tr w:rsidR="00DA59A4" w:rsidRPr="00B04DC3" w:rsidTr="00260B82">
        <w:tc>
          <w:tcPr>
            <w:tcW w:w="959"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rPr>
                <w:i/>
                <w:sz w:val="16"/>
                <w:szCs w:val="16"/>
              </w:rPr>
            </w:pPr>
            <w:r w:rsidRPr="00B04DC3">
              <w:rPr>
                <w:i/>
                <w:sz w:val="16"/>
                <w:szCs w:val="16"/>
              </w:rPr>
              <w:t>Fuel</w:t>
            </w:r>
          </w:p>
        </w:tc>
        <w:tc>
          <w:tcPr>
            <w:tcW w:w="1843"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rPr>
                <w:i/>
                <w:sz w:val="16"/>
                <w:szCs w:val="16"/>
              </w:rPr>
            </w:pPr>
          </w:p>
        </w:tc>
        <w:tc>
          <w:tcPr>
            <w:tcW w:w="992"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NO</w:t>
            </w:r>
            <w:r w:rsidRPr="00B04DC3">
              <w:rPr>
                <w:i/>
                <w:sz w:val="16"/>
                <w:szCs w:val="16"/>
                <w:vertAlign w:val="subscript"/>
              </w:rPr>
              <w:t>x</w:t>
            </w:r>
          </w:p>
        </w:tc>
        <w:tc>
          <w:tcPr>
            <w:tcW w:w="1134"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CO</w:t>
            </w:r>
          </w:p>
        </w:tc>
        <w:tc>
          <w:tcPr>
            <w:tcW w:w="1276"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THC/NMHC</w:t>
            </w:r>
          </w:p>
        </w:tc>
        <w:tc>
          <w:tcPr>
            <w:tcW w:w="1134"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CO</w:t>
            </w:r>
            <w:r w:rsidRPr="00B04DC3">
              <w:rPr>
                <w:i/>
                <w:sz w:val="16"/>
                <w:szCs w:val="16"/>
                <w:vertAlign w:val="subscript"/>
              </w:rPr>
              <w:t>2</w:t>
            </w:r>
          </w:p>
        </w:tc>
        <w:tc>
          <w:tcPr>
            <w:tcW w:w="992"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CH</w:t>
            </w:r>
            <w:r w:rsidRPr="00B04DC3">
              <w:rPr>
                <w:i/>
                <w:sz w:val="16"/>
                <w:szCs w:val="16"/>
                <w:vertAlign w:val="subscript"/>
              </w:rPr>
              <w:t>4</w:t>
            </w:r>
          </w:p>
        </w:tc>
        <w:tc>
          <w:tcPr>
            <w:tcW w:w="956" w:type="dxa"/>
            <w:tcBorders>
              <w:bottom w:val="single" w:sz="12" w:space="0" w:color="auto"/>
            </w:tcBorders>
          </w:tcPr>
          <w:p w:rsidR="00DA59A4" w:rsidRPr="00B04DC3" w:rsidRDefault="00DA59A4" w:rsidP="00AA0E48">
            <w:pPr>
              <w:pStyle w:val="Text1"/>
              <w:keepNext/>
              <w:keepLines/>
              <w:tabs>
                <w:tab w:val="left" w:pos="567"/>
                <w:tab w:val="left" w:pos="1134"/>
              </w:tabs>
              <w:spacing w:before="80" w:after="80" w:line="200" w:lineRule="exact"/>
              <w:ind w:left="0"/>
              <w:jc w:val="center"/>
              <w:rPr>
                <w:i/>
                <w:sz w:val="16"/>
                <w:szCs w:val="16"/>
              </w:rPr>
            </w:pPr>
            <w:r w:rsidRPr="00B04DC3">
              <w:rPr>
                <w:i/>
                <w:sz w:val="16"/>
                <w:szCs w:val="16"/>
              </w:rPr>
              <w:t>Density</w:t>
            </w:r>
          </w:p>
        </w:tc>
      </w:tr>
      <w:tr w:rsidR="00DA59A4" w:rsidRPr="00B04DC3" w:rsidTr="00260B82">
        <w:tc>
          <w:tcPr>
            <w:tcW w:w="959" w:type="dxa"/>
            <w:vMerge w:val="restart"/>
            <w:tcBorders>
              <w:top w:val="single" w:sz="12" w:space="0" w:color="auto"/>
            </w:tcBorders>
            <w:vAlign w:val="center"/>
          </w:tcPr>
          <w:p w:rsidR="00DA59A4" w:rsidRPr="00B04DC3" w:rsidRDefault="00DA59A4" w:rsidP="00AA0E48">
            <w:pPr>
              <w:keepNext/>
              <w:keepLines/>
              <w:spacing w:beforeLines="40" w:before="96" w:afterLines="40" w:after="96" w:line="220" w:lineRule="exact"/>
              <w:ind w:right="57"/>
              <w:jc w:val="both"/>
              <w:rPr>
                <w:sz w:val="18"/>
                <w:szCs w:val="18"/>
              </w:rPr>
            </w:pPr>
            <w:r w:rsidRPr="00B04DC3">
              <w:rPr>
                <w:sz w:val="18"/>
                <w:szCs w:val="18"/>
              </w:rPr>
              <w:t>Diesel</w:t>
            </w:r>
          </w:p>
        </w:tc>
        <w:tc>
          <w:tcPr>
            <w:tcW w:w="1843" w:type="dxa"/>
            <w:tcBorders>
              <w:top w:val="single" w:sz="12" w:space="0" w:color="auto"/>
            </w:tcBorders>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Exhaust raw</w:t>
            </w:r>
          </w:p>
        </w:tc>
        <w:tc>
          <w:tcPr>
            <w:tcW w:w="992" w:type="dxa"/>
            <w:tcBorders>
              <w:top w:val="single" w:sz="12" w:space="0" w:color="auto"/>
            </w:tcBorders>
          </w:tcPr>
          <w:p w:rsidR="00DA59A4" w:rsidRPr="00B04DC3" w:rsidRDefault="00DA59A4" w:rsidP="00AA0E48">
            <w:pPr>
              <w:keepNext/>
              <w:keepLines/>
              <w:spacing w:beforeLines="40" w:before="96" w:afterLines="40" w:after="96" w:line="220" w:lineRule="exact"/>
              <w:ind w:left="57" w:right="-27"/>
              <w:rPr>
                <w:sz w:val="18"/>
                <w:szCs w:val="18"/>
              </w:rPr>
            </w:pPr>
            <w:r w:rsidRPr="00B04DC3">
              <w:rPr>
                <w:sz w:val="18"/>
                <w:szCs w:val="18"/>
              </w:rPr>
              <w:t>0.001587</w:t>
            </w:r>
          </w:p>
        </w:tc>
        <w:tc>
          <w:tcPr>
            <w:tcW w:w="1134" w:type="dxa"/>
            <w:tcBorders>
              <w:top w:val="single" w:sz="12" w:space="0" w:color="auto"/>
            </w:tcBorders>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0.000966</w:t>
            </w:r>
          </w:p>
        </w:tc>
        <w:tc>
          <w:tcPr>
            <w:tcW w:w="1276" w:type="dxa"/>
            <w:tcBorders>
              <w:top w:val="single" w:sz="12" w:space="0" w:color="auto"/>
            </w:tcBorders>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0.000479</w:t>
            </w:r>
          </w:p>
        </w:tc>
        <w:tc>
          <w:tcPr>
            <w:tcW w:w="1134" w:type="dxa"/>
            <w:tcBorders>
              <w:top w:val="single" w:sz="12" w:space="0" w:color="auto"/>
            </w:tcBorders>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0.001518</w:t>
            </w:r>
          </w:p>
        </w:tc>
        <w:tc>
          <w:tcPr>
            <w:tcW w:w="992" w:type="dxa"/>
            <w:tcBorders>
              <w:top w:val="single" w:sz="12" w:space="0" w:color="auto"/>
            </w:tcBorders>
          </w:tcPr>
          <w:p w:rsidR="00DA59A4" w:rsidRPr="00B04DC3" w:rsidRDefault="00DA59A4" w:rsidP="00AA0E48">
            <w:pPr>
              <w:keepNext/>
              <w:keepLines/>
              <w:spacing w:beforeLines="40" w:before="96" w:afterLines="40" w:after="96" w:line="220" w:lineRule="exact"/>
              <w:ind w:left="57" w:right="53"/>
              <w:rPr>
                <w:sz w:val="18"/>
                <w:szCs w:val="18"/>
              </w:rPr>
            </w:pPr>
            <w:r w:rsidRPr="00B04DC3">
              <w:rPr>
                <w:sz w:val="18"/>
                <w:szCs w:val="18"/>
              </w:rPr>
              <w:t>0.000553</w:t>
            </w:r>
          </w:p>
        </w:tc>
        <w:tc>
          <w:tcPr>
            <w:tcW w:w="956" w:type="dxa"/>
            <w:tcBorders>
              <w:top w:val="single" w:sz="12" w:space="0" w:color="auto"/>
            </w:tcBorders>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1.2943</w:t>
            </w:r>
          </w:p>
        </w:tc>
      </w:tr>
      <w:tr w:rsidR="00DA59A4" w:rsidRPr="00B04DC3">
        <w:tc>
          <w:tcPr>
            <w:tcW w:w="959" w:type="dxa"/>
            <w:vMerge/>
          </w:tcPr>
          <w:p w:rsidR="00DA59A4" w:rsidRPr="00B04DC3" w:rsidRDefault="00DA59A4" w:rsidP="00AA0E48">
            <w:pPr>
              <w:keepNext/>
              <w:keepLines/>
              <w:spacing w:beforeLines="40" w:before="96" w:afterLines="40" w:after="96" w:line="220" w:lineRule="exact"/>
              <w:ind w:right="57"/>
              <w:jc w:val="both"/>
              <w:rPr>
                <w:sz w:val="18"/>
                <w:szCs w:val="18"/>
              </w:rPr>
            </w:pPr>
          </w:p>
        </w:tc>
        <w:tc>
          <w:tcPr>
            <w:tcW w:w="1843"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Exhaust dilute</w:t>
            </w:r>
          </w:p>
        </w:tc>
        <w:tc>
          <w:tcPr>
            <w:tcW w:w="992" w:type="dxa"/>
          </w:tcPr>
          <w:p w:rsidR="00DA59A4" w:rsidRPr="00B04DC3" w:rsidRDefault="00DA59A4" w:rsidP="00AA0E48">
            <w:pPr>
              <w:keepNext/>
              <w:keepLines/>
              <w:spacing w:beforeLines="40" w:before="96" w:afterLines="40" w:after="96" w:line="220" w:lineRule="exact"/>
              <w:ind w:left="57" w:right="-27"/>
              <w:rPr>
                <w:sz w:val="18"/>
                <w:szCs w:val="18"/>
              </w:rPr>
            </w:pPr>
            <w:r w:rsidRPr="00B04DC3">
              <w:rPr>
                <w:sz w:val="18"/>
                <w:szCs w:val="18"/>
              </w:rPr>
              <w:t>0.001588</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0.000967</w:t>
            </w:r>
          </w:p>
        </w:tc>
        <w:tc>
          <w:tcPr>
            <w:tcW w:w="127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0.000480</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0.001519</w:t>
            </w:r>
          </w:p>
        </w:tc>
        <w:tc>
          <w:tcPr>
            <w:tcW w:w="992" w:type="dxa"/>
          </w:tcPr>
          <w:p w:rsidR="00DA59A4" w:rsidRPr="00B04DC3" w:rsidRDefault="00DA59A4" w:rsidP="00AA0E48">
            <w:pPr>
              <w:keepNext/>
              <w:keepLines/>
              <w:spacing w:beforeLines="40" w:before="96" w:afterLines="40" w:after="96" w:line="220" w:lineRule="exact"/>
              <w:ind w:left="57" w:right="53"/>
              <w:rPr>
                <w:sz w:val="18"/>
                <w:szCs w:val="18"/>
              </w:rPr>
            </w:pPr>
            <w:r w:rsidRPr="00B04DC3">
              <w:rPr>
                <w:sz w:val="18"/>
                <w:szCs w:val="18"/>
              </w:rPr>
              <w:t>0.000553</w:t>
            </w:r>
          </w:p>
        </w:tc>
        <w:tc>
          <w:tcPr>
            <w:tcW w:w="95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1.293</w:t>
            </w:r>
          </w:p>
        </w:tc>
      </w:tr>
      <w:tr w:rsidR="00DA59A4" w:rsidRPr="00B04DC3">
        <w:tc>
          <w:tcPr>
            <w:tcW w:w="959" w:type="dxa"/>
            <w:vMerge w:val="restart"/>
            <w:vAlign w:val="center"/>
          </w:tcPr>
          <w:p w:rsidR="00DA59A4" w:rsidRPr="00B04DC3" w:rsidRDefault="00DA59A4" w:rsidP="00AA0E48">
            <w:pPr>
              <w:keepNext/>
              <w:keepLines/>
              <w:spacing w:beforeLines="40" w:before="96" w:afterLines="40" w:after="96" w:line="220" w:lineRule="exact"/>
              <w:ind w:right="57"/>
              <w:jc w:val="both"/>
              <w:rPr>
                <w:sz w:val="18"/>
                <w:szCs w:val="18"/>
              </w:rPr>
            </w:pPr>
            <w:r w:rsidRPr="00B04DC3">
              <w:rPr>
                <w:sz w:val="18"/>
                <w:szCs w:val="18"/>
              </w:rPr>
              <w:t>Ethanol</w:t>
            </w:r>
          </w:p>
        </w:tc>
        <w:tc>
          <w:tcPr>
            <w:tcW w:w="1843"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Exhaust raw</w:t>
            </w:r>
          </w:p>
        </w:tc>
        <w:tc>
          <w:tcPr>
            <w:tcW w:w="992" w:type="dxa"/>
          </w:tcPr>
          <w:p w:rsidR="00DA59A4" w:rsidRPr="00B04DC3" w:rsidRDefault="00DA59A4" w:rsidP="00AA0E48">
            <w:pPr>
              <w:keepNext/>
              <w:keepLines/>
              <w:spacing w:beforeLines="40" w:before="96" w:afterLines="40" w:after="96" w:line="220" w:lineRule="exact"/>
              <w:ind w:left="57" w:right="-27"/>
              <w:rPr>
                <w:sz w:val="18"/>
                <w:szCs w:val="18"/>
              </w:rPr>
            </w:pPr>
            <w:r w:rsidRPr="00B04DC3">
              <w:rPr>
                <w:sz w:val="18"/>
                <w:szCs w:val="18"/>
              </w:rPr>
              <w:t>0.001609</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0.000980</w:t>
            </w:r>
          </w:p>
        </w:tc>
        <w:tc>
          <w:tcPr>
            <w:tcW w:w="127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0.000805</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0.001539</w:t>
            </w:r>
          </w:p>
        </w:tc>
        <w:tc>
          <w:tcPr>
            <w:tcW w:w="992" w:type="dxa"/>
          </w:tcPr>
          <w:p w:rsidR="00DA59A4" w:rsidRPr="00B04DC3" w:rsidRDefault="00DA59A4" w:rsidP="00AA0E48">
            <w:pPr>
              <w:keepNext/>
              <w:keepLines/>
              <w:spacing w:beforeLines="40" w:before="96" w:afterLines="40" w:after="96" w:line="220" w:lineRule="exact"/>
              <w:ind w:left="57" w:right="53"/>
              <w:rPr>
                <w:sz w:val="18"/>
                <w:szCs w:val="18"/>
              </w:rPr>
            </w:pPr>
            <w:r w:rsidRPr="00B04DC3">
              <w:rPr>
                <w:sz w:val="18"/>
                <w:szCs w:val="18"/>
              </w:rPr>
              <w:t>0.000561</w:t>
            </w:r>
          </w:p>
        </w:tc>
        <w:tc>
          <w:tcPr>
            <w:tcW w:w="95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1.2757</w:t>
            </w:r>
          </w:p>
        </w:tc>
      </w:tr>
      <w:tr w:rsidR="00DA59A4" w:rsidRPr="00B04DC3">
        <w:tc>
          <w:tcPr>
            <w:tcW w:w="959" w:type="dxa"/>
            <w:vMerge/>
          </w:tcPr>
          <w:p w:rsidR="00DA59A4" w:rsidRPr="00B04DC3" w:rsidRDefault="00DA59A4" w:rsidP="00AA0E48">
            <w:pPr>
              <w:keepNext/>
              <w:keepLines/>
              <w:spacing w:beforeLines="40" w:before="96" w:afterLines="40" w:after="96" w:line="220" w:lineRule="exact"/>
              <w:ind w:right="57"/>
              <w:jc w:val="both"/>
              <w:rPr>
                <w:sz w:val="18"/>
                <w:szCs w:val="18"/>
              </w:rPr>
            </w:pPr>
          </w:p>
        </w:tc>
        <w:tc>
          <w:tcPr>
            <w:tcW w:w="1843"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Exhaust dilute</w:t>
            </w:r>
          </w:p>
        </w:tc>
        <w:tc>
          <w:tcPr>
            <w:tcW w:w="992" w:type="dxa"/>
          </w:tcPr>
          <w:p w:rsidR="00DA59A4" w:rsidRPr="00B04DC3" w:rsidRDefault="00DA59A4" w:rsidP="00AA0E48">
            <w:pPr>
              <w:keepNext/>
              <w:keepLines/>
              <w:spacing w:beforeLines="40" w:before="96" w:afterLines="40" w:after="96" w:line="220" w:lineRule="exact"/>
              <w:ind w:left="57" w:right="-27"/>
              <w:rPr>
                <w:sz w:val="18"/>
                <w:szCs w:val="18"/>
              </w:rPr>
            </w:pPr>
            <w:r w:rsidRPr="00B04DC3">
              <w:rPr>
                <w:sz w:val="18"/>
                <w:szCs w:val="18"/>
              </w:rPr>
              <w:t>0.001588</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0.000967</w:t>
            </w:r>
          </w:p>
        </w:tc>
        <w:tc>
          <w:tcPr>
            <w:tcW w:w="127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0.000795</w:t>
            </w:r>
          </w:p>
        </w:tc>
        <w:tc>
          <w:tcPr>
            <w:tcW w:w="1134"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0.001519</w:t>
            </w:r>
          </w:p>
        </w:tc>
        <w:tc>
          <w:tcPr>
            <w:tcW w:w="992" w:type="dxa"/>
          </w:tcPr>
          <w:p w:rsidR="00DA59A4" w:rsidRPr="00B04DC3" w:rsidRDefault="00DA59A4" w:rsidP="00AA0E48">
            <w:pPr>
              <w:keepNext/>
              <w:keepLines/>
              <w:spacing w:beforeLines="40" w:before="96" w:afterLines="40" w:after="96" w:line="220" w:lineRule="exact"/>
              <w:ind w:left="57" w:right="53"/>
              <w:rPr>
                <w:sz w:val="18"/>
                <w:szCs w:val="18"/>
              </w:rPr>
            </w:pPr>
            <w:r w:rsidRPr="00B04DC3">
              <w:rPr>
                <w:sz w:val="18"/>
                <w:szCs w:val="18"/>
              </w:rPr>
              <w:t>0.000553</w:t>
            </w:r>
          </w:p>
        </w:tc>
        <w:tc>
          <w:tcPr>
            <w:tcW w:w="956" w:type="dxa"/>
          </w:tcPr>
          <w:p w:rsidR="00DA59A4" w:rsidRPr="00B04DC3" w:rsidRDefault="00DA59A4" w:rsidP="00AA0E48">
            <w:pPr>
              <w:keepNext/>
              <w:keepLines/>
              <w:spacing w:beforeLines="40" w:before="96" w:afterLines="40" w:after="96" w:line="220" w:lineRule="exact"/>
              <w:ind w:left="57" w:right="57"/>
              <w:rPr>
                <w:sz w:val="18"/>
                <w:szCs w:val="18"/>
              </w:rPr>
            </w:pPr>
            <w:r w:rsidRPr="00B04DC3">
              <w:rPr>
                <w:sz w:val="18"/>
                <w:szCs w:val="18"/>
              </w:rPr>
              <w:t>1.293</w:t>
            </w:r>
          </w:p>
        </w:tc>
      </w:tr>
      <w:tr w:rsidR="00DA59A4" w:rsidRPr="00B04DC3">
        <w:tc>
          <w:tcPr>
            <w:tcW w:w="959" w:type="dxa"/>
            <w:vMerge w:val="restart"/>
            <w:vAlign w:val="center"/>
          </w:tcPr>
          <w:p w:rsidR="00DA59A4" w:rsidRPr="00B04DC3" w:rsidRDefault="00DA59A4" w:rsidP="00005F95">
            <w:pPr>
              <w:spacing w:beforeLines="40" w:before="96" w:afterLines="40" w:after="96" w:line="220" w:lineRule="exact"/>
              <w:ind w:right="57"/>
              <w:jc w:val="both"/>
              <w:rPr>
                <w:sz w:val="18"/>
                <w:szCs w:val="18"/>
              </w:rPr>
            </w:pPr>
            <w:r w:rsidRPr="00B04DC3">
              <w:rPr>
                <w:sz w:val="18"/>
                <w:szCs w:val="18"/>
              </w:rPr>
              <w:t>CNG</w:t>
            </w:r>
          </w:p>
        </w:tc>
        <w:tc>
          <w:tcPr>
            <w:tcW w:w="1843"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raw</w:t>
            </w:r>
          </w:p>
        </w:tc>
        <w:tc>
          <w:tcPr>
            <w:tcW w:w="992" w:type="dxa"/>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0.001622</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0.000987</w:t>
            </w:r>
          </w:p>
        </w:tc>
        <w:tc>
          <w:tcPr>
            <w:tcW w:w="127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0.000523</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0.001552</w:t>
            </w:r>
          </w:p>
        </w:tc>
        <w:tc>
          <w:tcPr>
            <w:tcW w:w="992" w:type="dxa"/>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0.000565</w:t>
            </w:r>
          </w:p>
        </w:tc>
        <w:tc>
          <w:tcPr>
            <w:tcW w:w="95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1.2661</w:t>
            </w:r>
          </w:p>
        </w:tc>
      </w:tr>
      <w:tr w:rsidR="00DA59A4" w:rsidRPr="00B04DC3">
        <w:tc>
          <w:tcPr>
            <w:tcW w:w="959" w:type="dxa"/>
            <w:vMerge/>
          </w:tcPr>
          <w:p w:rsidR="00DA59A4" w:rsidRPr="00B04DC3" w:rsidRDefault="00DA59A4" w:rsidP="00005F95">
            <w:pPr>
              <w:spacing w:beforeLines="40" w:before="96" w:afterLines="40" w:after="96" w:line="220" w:lineRule="exact"/>
              <w:ind w:right="57"/>
              <w:jc w:val="both"/>
              <w:rPr>
                <w:sz w:val="18"/>
                <w:szCs w:val="18"/>
              </w:rPr>
            </w:pPr>
          </w:p>
        </w:tc>
        <w:tc>
          <w:tcPr>
            <w:tcW w:w="1843"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dilute</w:t>
            </w:r>
          </w:p>
        </w:tc>
        <w:tc>
          <w:tcPr>
            <w:tcW w:w="992" w:type="dxa"/>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0.001588</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0.000967</w:t>
            </w:r>
          </w:p>
        </w:tc>
        <w:tc>
          <w:tcPr>
            <w:tcW w:w="127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0.000584</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0.001519</w:t>
            </w:r>
          </w:p>
        </w:tc>
        <w:tc>
          <w:tcPr>
            <w:tcW w:w="992" w:type="dxa"/>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0.000553</w:t>
            </w:r>
          </w:p>
        </w:tc>
        <w:tc>
          <w:tcPr>
            <w:tcW w:w="95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1.293</w:t>
            </w:r>
          </w:p>
        </w:tc>
      </w:tr>
      <w:tr w:rsidR="00DA59A4" w:rsidRPr="00B04DC3">
        <w:tc>
          <w:tcPr>
            <w:tcW w:w="959" w:type="dxa"/>
            <w:vMerge w:val="restart"/>
            <w:vAlign w:val="center"/>
          </w:tcPr>
          <w:p w:rsidR="00DA59A4" w:rsidRPr="00B04DC3" w:rsidRDefault="00DA59A4" w:rsidP="00005F95">
            <w:pPr>
              <w:spacing w:beforeLines="40" w:before="96" w:afterLines="40" w:after="96" w:line="220" w:lineRule="exact"/>
              <w:ind w:right="57"/>
              <w:jc w:val="both"/>
              <w:rPr>
                <w:sz w:val="18"/>
                <w:szCs w:val="18"/>
              </w:rPr>
            </w:pPr>
            <w:r w:rsidRPr="00B04DC3">
              <w:rPr>
                <w:sz w:val="18"/>
                <w:szCs w:val="18"/>
              </w:rPr>
              <w:t>Propane</w:t>
            </w:r>
          </w:p>
        </w:tc>
        <w:tc>
          <w:tcPr>
            <w:tcW w:w="1843"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raw</w:t>
            </w:r>
          </w:p>
        </w:tc>
        <w:tc>
          <w:tcPr>
            <w:tcW w:w="992" w:type="dxa"/>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0.001603</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0.000976</w:t>
            </w:r>
          </w:p>
        </w:tc>
        <w:tc>
          <w:tcPr>
            <w:tcW w:w="127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0.000511</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0.001533</w:t>
            </w:r>
          </w:p>
        </w:tc>
        <w:tc>
          <w:tcPr>
            <w:tcW w:w="992" w:type="dxa"/>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0.000559</w:t>
            </w:r>
          </w:p>
        </w:tc>
        <w:tc>
          <w:tcPr>
            <w:tcW w:w="95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1.2805</w:t>
            </w:r>
          </w:p>
        </w:tc>
      </w:tr>
      <w:tr w:rsidR="00DA59A4" w:rsidRPr="00B04DC3">
        <w:tc>
          <w:tcPr>
            <w:tcW w:w="959" w:type="dxa"/>
            <w:vMerge/>
          </w:tcPr>
          <w:p w:rsidR="00DA59A4" w:rsidRPr="00B04DC3" w:rsidRDefault="00DA59A4" w:rsidP="00005F95">
            <w:pPr>
              <w:spacing w:beforeLines="40" w:before="96" w:afterLines="40" w:after="96" w:line="220" w:lineRule="exact"/>
              <w:ind w:right="57"/>
              <w:jc w:val="both"/>
              <w:rPr>
                <w:sz w:val="18"/>
                <w:szCs w:val="18"/>
              </w:rPr>
            </w:pPr>
          </w:p>
        </w:tc>
        <w:tc>
          <w:tcPr>
            <w:tcW w:w="1843"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dilute</w:t>
            </w:r>
          </w:p>
        </w:tc>
        <w:tc>
          <w:tcPr>
            <w:tcW w:w="992" w:type="dxa"/>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0.001588</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0.000967</w:t>
            </w:r>
          </w:p>
        </w:tc>
        <w:tc>
          <w:tcPr>
            <w:tcW w:w="127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0.000507</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0.001519</w:t>
            </w:r>
          </w:p>
        </w:tc>
        <w:tc>
          <w:tcPr>
            <w:tcW w:w="992" w:type="dxa"/>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0.000553</w:t>
            </w:r>
          </w:p>
        </w:tc>
        <w:tc>
          <w:tcPr>
            <w:tcW w:w="95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1.293</w:t>
            </w:r>
          </w:p>
        </w:tc>
      </w:tr>
      <w:tr w:rsidR="00DA59A4" w:rsidRPr="00B04DC3">
        <w:tc>
          <w:tcPr>
            <w:tcW w:w="959" w:type="dxa"/>
            <w:vMerge w:val="restart"/>
            <w:vAlign w:val="center"/>
          </w:tcPr>
          <w:p w:rsidR="00DA59A4" w:rsidRPr="00B04DC3" w:rsidRDefault="00DA59A4" w:rsidP="00005F95">
            <w:pPr>
              <w:spacing w:beforeLines="40" w:before="96" w:afterLines="40" w:after="96" w:line="220" w:lineRule="exact"/>
              <w:ind w:right="57"/>
              <w:jc w:val="both"/>
              <w:rPr>
                <w:sz w:val="18"/>
                <w:szCs w:val="18"/>
              </w:rPr>
            </w:pPr>
            <w:r w:rsidRPr="00B04DC3">
              <w:rPr>
                <w:sz w:val="18"/>
                <w:szCs w:val="18"/>
              </w:rPr>
              <w:t>Butane</w:t>
            </w:r>
          </w:p>
        </w:tc>
        <w:tc>
          <w:tcPr>
            <w:tcW w:w="1843"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raw</w:t>
            </w:r>
          </w:p>
        </w:tc>
        <w:tc>
          <w:tcPr>
            <w:tcW w:w="992" w:type="dxa"/>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0.001600</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0.000974</w:t>
            </w:r>
          </w:p>
        </w:tc>
        <w:tc>
          <w:tcPr>
            <w:tcW w:w="127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0.000505</w:t>
            </w:r>
          </w:p>
        </w:tc>
        <w:tc>
          <w:tcPr>
            <w:tcW w:w="1134"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0.001530</w:t>
            </w:r>
          </w:p>
        </w:tc>
        <w:tc>
          <w:tcPr>
            <w:tcW w:w="992" w:type="dxa"/>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0.000558</w:t>
            </w:r>
          </w:p>
        </w:tc>
        <w:tc>
          <w:tcPr>
            <w:tcW w:w="956" w:type="dxa"/>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1.2832</w:t>
            </w:r>
          </w:p>
        </w:tc>
      </w:tr>
      <w:tr w:rsidR="00DA59A4" w:rsidRPr="00B04DC3" w:rsidTr="00B23BB1">
        <w:tc>
          <w:tcPr>
            <w:tcW w:w="959" w:type="dxa"/>
            <w:vMerge/>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p>
        </w:tc>
        <w:tc>
          <w:tcPr>
            <w:tcW w:w="1843" w:type="dxa"/>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Exhaust dilute</w:t>
            </w:r>
          </w:p>
        </w:tc>
        <w:tc>
          <w:tcPr>
            <w:tcW w:w="992" w:type="dxa"/>
            <w:tcBorders>
              <w:bottom w:val="single" w:sz="12" w:space="0" w:color="auto"/>
            </w:tcBorders>
          </w:tcPr>
          <w:p w:rsidR="00DA59A4" w:rsidRPr="00B04DC3" w:rsidRDefault="00DA59A4" w:rsidP="00B23BB1">
            <w:pPr>
              <w:spacing w:beforeLines="40" w:before="96" w:afterLines="40" w:after="96" w:line="220" w:lineRule="exact"/>
              <w:ind w:left="57" w:right="-27"/>
              <w:rPr>
                <w:sz w:val="18"/>
                <w:szCs w:val="18"/>
              </w:rPr>
            </w:pPr>
            <w:r w:rsidRPr="00B04DC3">
              <w:rPr>
                <w:sz w:val="18"/>
                <w:szCs w:val="18"/>
              </w:rPr>
              <w:t>0.001588</w:t>
            </w:r>
          </w:p>
        </w:tc>
        <w:tc>
          <w:tcPr>
            <w:tcW w:w="1134" w:type="dxa"/>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0.000967</w:t>
            </w:r>
          </w:p>
        </w:tc>
        <w:tc>
          <w:tcPr>
            <w:tcW w:w="1276" w:type="dxa"/>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0.000501</w:t>
            </w:r>
          </w:p>
        </w:tc>
        <w:tc>
          <w:tcPr>
            <w:tcW w:w="1134" w:type="dxa"/>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0.001519</w:t>
            </w:r>
          </w:p>
        </w:tc>
        <w:tc>
          <w:tcPr>
            <w:tcW w:w="992" w:type="dxa"/>
            <w:tcBorders>
              <w:bottom w:val="single" w:sz="12" w:space="0" w:color="auto"/>
            </w:tcBorders>
          </w:tcPr>
          <w:p w:rsidR="00DA59A4" w:rsidRPr="00B04DC3" w:rsidRDefault="00DA59A4" w:rsidP="00B23BB1">
            <w:pPr>
              <w:spacing w:beforeLines="40" w:before="96" w:afterLines="40" w:after="96" w:line="220" w:lineRule="exact"/>
              <w:ind w:left="57" w:right="53"/>
              <w:rPr>
                <w:sz w:val="18"/>
                <w:szCs w:val="18"/>
              </w:rPr>
            </w:pPr>
            <w:r w:rsidRPr="00B04DC3">
              <w:rPr>
                <w:sz w:val="18"/>
                <w:szCs w:val="18"/>
              </w:rPr>
              <w:t>0.000553</w:t>
            </w:r>
          </w:p>
        </w:tc>
        <w:tc>
          <w:tcPr>
            <w:tcW w:w="956" w:type="dxa"/>
            <w:tcBorders>
              <w:bottom w:val="single" w:sz="12" w:space="0" w:color="auto"/>
            </w:tcBorders>
          </w:tcPr>
          <w:p w:rsidR="00DA59A4" w:rsidRPr="00B04DC3" w:rsidRDefault="00DA59A4" w:rsidP="00DA59A4">
            <w:pPr>
              <w:spacing w:beforeLines="40" w:before="96" w:afterLines="40" w:after="96" w:line="220" w:lineRule="exact"/>
              <w:ind w:left="57" w:right="57"/>
              <w:rPr>
                <w:sz w:val="18"/>
                <w:szCs w:val="18"/>
              </w:rPr>
            </w:pPr>
            <w:r w:rsidRPr="00B04DC3">
              <w:rPr>
                <w:sz w:val="18"/>
                <w:szCs w:val="18"/>
              </w:rPr>
              <w:t>1.293</w:t>
            </w:r>
          </w:p>
        </w:tc>
      </w:tr>
      <w:tr w:rsidR="00DA59A4" w:rsidRPr="00B04DC3" w:rsidTr="00B23BB1">
        <w:tc>
          <w:tcPr>
            <w:tcW w:w="9286" w:type="dxa"/>
            <w:gridSpan w:val="8"/>
            <w:tcBorders>
              <w:top w:val="single" w:sz="12" w:space="0" w:color="auto"/>
              <w:left w:val="nil"/>
              <w:bottom w:val="nil"/>
              <w:right w:val="nil"/>
            </w:tcBorders>
          </w:tcPr>
          <w:p w:rsidR="00DA59A4" w:rsidRPr="00B04DC3" w:rsidRDefault="00DA59A4" w:rsidP="00DA59A4">
            <w:pPr>
              <w:spacing w:after="40" w:line="220" w:lineRule="exact"/>
              <w:ind w:left="284" w:right="57" w:hanging="227"/>
              <w:rPr>
                <w:i/>
                <w:sz w:val="18"/>
                <w:szCs w:val="18"/>
              </w:rPr>
            </w:pPr>
            <w:r w:rsidRPr="00B04DC3">
              <w:rPr>
                <w:i/>
                <w:sz w:val="18"/>
                <w:szCs w:val="18"/>
              </w:rPr>
              <w:t>Notes:</w:t>
            </w:r>
            <w:r w:rsidRPr="00B04DC3">
              <w:rPr>
                <w:i/>
                <w:sz w:val="18"/>
                <w:szCs w:val="18"/>
              </w:rPr>
              <w:tab/>
            </w:r>
          </w:p>
          <w:p w:rsidR="00DA59A4" w:rsidRPr="00B04DC3" w:rsidRDefault="00DA59A4" w:rsidP="00AA0E48">
            <w:pPr>
              <w:spacing w:line="220" w:lineRule="exact"/>
              <w:ind w:left="284" w:right="57" w:hanging="227"/>
              <w:rPr>
                <w:sz w:val="18"/>
                <w:szCs w:val="18"/>
              </w:rPr>
            </w:pPr>
            <w:r w:rsidRPr="00B04DC3">
              <w:rPr>
                <w:sz w:val="18"/>
                <w:szCs w:val="18"/>
              </w:rPr>
              <w:t>-</w:t>
            </w:r>
            <w:r w:rsidRPr="00B04DC3">
              <w:rPr>
                <w:sz w:val="18"/>
                <w:szCs w:val="18"/>
              </w:rPr>
              <w:tab/>
              <w:t xml:space="preserve">u values of raw exhaust based on ideal gas properties at </w:t>
            </w:r>
            <w:r w:rsidRPr="00B04DC3">
              <w:rPr>
                <w:sz w:val="18"/>
                <w:szCs w:val="18"/>
              </w:rPr>
              <w:sym w:font="Symbol" w:char="F06C"/>
            </w:r>
            <w:r w:rsidRPr="00B04DC3">
              <w:rPr>
                <w:sz w:val="18"/>
                <w:szCs w:val="18"/>
              </w:rPr>
              <w:t xml:space="preserve"> = 2. dry air, 273 K, 101.3 kPa</w:t>
            </w:r>
          </w:p>
          <w:p w:rsidR="00DA59A4" w:rsidRPr="00B04DC3" w:rsidRDefault="00DA59A4" w:rsidP="00AA0E48">
            <w:pPr>
              <w:spacing w:line="220" w:lineRule="exact"/>
              <w:ind w:left="284" w:right="57" w:hanging="227"/>
              <w:rPr>
                <w:sz w:val="18"/>
                <w:szCs w:val="18"/>
              </w:rPr>
            </w:pPr>
            <w:r w:rsidRPr="00B04DC3">
              <w:rPr>
                <w:sz w:val="18"/>
                <w:szCs w:val="18"/>
              </w:rPr>
              <w:t>-</w:t>
            </w:r>
            <w:r w:rsidRPr="00B04DC3">
              <w:rPr>
                <w:sz w:val="18"/>
                <w:szCs w:val="18"/>
              </w:rPr>
              <w:tab/>
              <w:t>u values of dilute exhaust based on ideal gas properties and density of air</w:t>
            </w:r>
          </w:p>
          <w:p w:rsidR="00DA59A4" w:rsidRPr="00B04DC3" w:rsidRDefault="00DA59A4" w:rsidP="00AA0E48">
            <w:pPr>
              <w:spacing w:line="220" w:lineRule="exact"/>
              <w:ind w:left="284" w:right="57" w:hanging="227"/>
              <w:rPr>
                <w:sz w:val="18"/>
                <w:szCs w:val="18"/>
              </w:rPr>
            </w:pPr>
            <w:r w:rsidRPr="00B04DC3">
              <w:rPr>
                <w:sz w:val="18"/>
                <w:szCs w:val="18"/>
              </w:rPr>
              <w:t>-</w:t>
            </w:r>
            <w:r w:rsidRPr="00B04DC3">
              <w:rPr>
                <w:sz w:val="18"/>
                <w:szCs w:val="18"/>
              </w:rPr>
              <w:tab/>
              <w:t>u values of CNG accurate within 0.2 per cent for mass composition of: C = 66 to 76 per cent;</w:t>
            </w:r>
            <w:r w:rsidRPr="00B04DC3">
              <w:rPr>
                <w:sz w:val="18"/>
                <w:szCs w:val="18"/>
              </w:rPr>
              <w:br/>
              <w:t>H = 22 to 25 per cent; N = 0 to 12 per cent</w:t>
            </w:r>
          </w:p>
          <w:p w:rsidR="00DA59A4" w:rsidRPr="00B04DC3" w:rsidRDefault="00DA59A4" w:rsidP="00DA59A4">
            <w:pPr>
              <w:spacing w:after="40" w:line="220" w:lineRule="exact"/>
              <w:ind w:left="284" w:right="57" w:hanging="227"/>
              <w:rPr>
                <w:sz w:val="18"/>
                <w:szCs w:val="18"/>
              </w:rPr>
            </w:pPr>
            <w:r w:rsidRPr="00B04DC3">
              <w:rPr>
                <w:sz w:val="18"/>
                <w:szCs w:val="18"/>
              </w:rPr>
              <w:t>-</w:t>
            </w:r>
            <w:r w:rsidRPr="00B04DC3">
              <w:rPr>
                <w:sz w:val="18"/>
                <w:szCs w:val="18"/>
              </w:rPr>
              <w:tab/>
              <w:t>u value of CNG for HC corresponds to CH</w:t>
            </w:r>
            <w:r w:rsidRPr="00B04DC3">
              <w:rPr>
                <w:sz w:val="18"/>
                <w:szCs w:val="18"/>
                <w:vertAlign w:val="subscript"/>
              </w:rPr>
              <w:t>2.93</w:t>
            </w:r>
            <w:r w:rsidRPr="00B04DC3">
              <w:rPr>
                <w:sz w:val="18"/>
                <w:szCs w:val="18"/>
              </w:rPr>
              <w:t xml:space="preserve"> (for total HC use u value of CH</w:t>
            </w:r>
            <w:r w:rsidRPr="00B04DC3">
              <w:rPr>
                <w:sz w:val="18"/>
                <w:szCs w:val="18"/>
                <w:vertAlign w:val="subscript"/>
              </w:rPr>
              <w:t>4</w:t>
            </w:r>
            <w:r w:rsidRPr="00B04DC3">
              <w:rPr>
                <w:sz w:val="18"/>
                <w:szCs w:val="18"/>
              </w:rPr>
              <w:t>)</w:t>
            </w:r>
          </w:p>
        </w:tc>
      </w:tr>
    </w:tbl>
    <w:p w:rsidR="00DA59A4" w:rsidRPr="00B04DC3" w:rsidRDefault="00DA59A4" w:rsidP="00DA59A4">
      <w:pPr>
        <w:pStyle w:val="para"/>
        <w:spacing w:before="240"/>
        <w:rPr>
          <w:lang w:val="en-GB"/>
        </w:rPr>
      </w:pPr>
      <w:bookmarkStart w:id="212" w:name="_Toc370810504"/>
      <w:bookmarkStart w:id="213" w:name="_Toc392666188"/>
      <w:r w:rsidRPr="00B04DC3">
        <w:rPr>
          <w:lang w:val="en-GB"/>
        </w:rPr>
        <w:t>5.6.</w:t>
      </w:r>
      <w:r w:rsidRPr="00B04DC3">
        <w:rPr>
          <w:lang w:val="en-GB"/>
        </w:rPr>
        <w:tab/>
        <w:t>Calculation of the area control values</w:t>
      </w:r>
    </w:p>
    <w:p w:rsidR="00DA59A4" w:rsidRPr="00B04DC3" w:rsidRDefault="00DA59A4" w:rsidP="00DA59A4">
      <w:pPr>
        <w:pStyle w:val="para"/>
        <w:rPr>
          <w:lang w:val="en-GB"/>
        </w:rPr>
      </w:pPr>
      <w:r w:rsidRPr="00B04DC3">
        <w:rPr>
          <w:lang w:val="en-GB"/>
        </w:rPr>
        <w:tab/>
        <w:t>For the three control points selected according to paragraph 2.7.6.</w:t>
      </w:r>
      <w:r w:rsidR="00FA27AE" w:rsidRPr="00FA27AE">
        <w:rPr>
          <w:lang w:val="en-GB"/>
        </w:rPr>
        <w:t xml:space="preserve"> </w:t>
      </w:r>
      <w:r w:rsidR="00FA27AE">
        <w:rPr>
          <w:lang w:val="en-GB"/>
        </w:rPr>
        <w:t>of this appendix</w:t>
      </w:r>
      <w:r w:rsidRPr="00B04DC3">
        <w:rPr>
          <w:lang w:val="en-GB"/>
        </w:rPr>
        <w:t>, the NO</w:t>
      </w:r>
      <w:r w:rsidR="001829E6">
        <w:rPr>
          <w:vertAlign w:val="subscript"/>
          <w:lang w:val="en-GB"/>
        </w:rPr>
        <w:t>x</w:t>
      </w:r>
      <w:r w:rsidRPr="00B04DC3">
        <w:rPr>
          <w:lang w:val="en-GB"/>
        </w:rPr>
        <w:t xml:space="preserve"> emission shall be measured and calculated according to paragraph 5.6.1.</w:t>
      </w:r>
      <w:r w:rsidR="00FA27AE" w:rsidRPr="00FA27AE">
        <w:rPr>
          <w:lang w:val="en-GB"/>
        </w:rPr>
        <w:t xml:space="preserve"> </w:t>
      </w:r>
      <w:r w:rsidR="00FA27AE">
        <w:rPr>
          <w:lang w:val="en-GB"/>
        </w:rPr>
        <w:t>of this appendix</w:t>
      </w:r>
      <w:r w:rsidRPr="00B04DC3">
        <w:rPr>
          <w:lang w:val="en-GB"/>
        </w:rPr>
        <w:t xml:space="preserve"> and also determined by interpolation from the modes of the test cycle closest to the respective control point according to paragraph 5.6.2. </w:t>
      </w:r>
      <w:r w:rsidR="00FA27AE">
        <w:rPr>
          <w:lang w:val="en-GB"/>
        </w:rPr>
        <w:t xml:space="preserve">of this appendix. </w:t>
      </w:r>
      <w:r w:rsidRPr="00B04DC3">
        <w:rPr>
          <w:lang w:val="en-GB"/>
        </w:rPr>
        <w:t>The measured values are then compared to the interpolated values according to paragraph 5.6.3.</w:t>
      </w:r>
      <w:r w:rsidR="00FA27AE" w:rsidRPr="00FA27AE">
        <w:rPr>
          <w:lang w:val="en-GB"/>
        </w:rPr>
        <w:t xml:space="preserve"> </w:t>
      </w:r>
      <w:r w:rsidR="00FA27AE">
        <w:rPr>
          <w:lang w:val="en-GB"/>
        </w:rPr>
        <w:t>of this appendix.</w:t>
      </w:r>
    </w:p>
    <w:p w:rsidR="00DA59A4" w:rsidRPr="00B04DC3" w:rsidRDefault="00DA59A4" w:rsidP="00B23BB1">
      <w:pPr>
        <w:pStyle w:val="para"/>
        <w:keepNext/>
        <w:keepLines/>
        <w:rPr>
          <w:lang w:val="en-GB"/>
        </w:rPr>
      </w:pPr>
      <w:r w:rsidRPr="00B04DC3">
        <w:rPr>
          <w:lang w:val="en-GB"/>
        </w:rPr>
        <w:t>5.6.1.</w:t>
      </w:r>
      <w:r w:rsidRPr="00B04DC3">
        <w:rPr>
          <w:lang w:val="en-GB"/>
        </w:rPr>
        <w:tab/>
        <w:t>Calculation of the specific emission</w:t>
      </w:r>
    </w:p>
    <w:p w:rsidR="00DA59A4" w:rsidRPr="00B04DC3" w:rsidRDefault="00DA59A4" w:rsidP="00DA59A4">
      <w:pPr>
        <w:pStyle w:val="para"/>
        <w:rPr>
          <w:lang w:val="en-GB"/>
        </w:rPr>
      </w:pPr>
      <w:r w:rsidRPr="00B04DC3">
        <w:rPr>
          <w:lang w:val="en-GB"/>
        </w:rPr>
        <w:tab/>
        <w:t>The NO</w:t>
      </w:r>
      <w:r w:rsidRPr="00B04DC3">
        <w:rPr>
          <w:vertAlign w:val="subscript"/>
          <w:lang w:val="en-GB"/>
        </w:rPr>
        <w:t>x</w:t>
      </w:r>
      <w:r w:rsidRPr="00B04DC3">
        <w:rPr>
          <w:lang w:val="en-GB"/>
        </w:rPr>
        <w:t xml:space="preserve"> emission for each of the control points (Z) shall be calculated as follows:</w:t>
      </w:r>
    </w:p>
    <w:p w:rsidR="00DA59A4" w:rsidRPr="00B04DC3" w:rsidRDefault="00DA59A4" w:rsidP="00AA0E48">
      <w:pPr>
        <w:pStyle w:val="para"/>
        <w:spacing w:after="60"/>
        <w:rPr>
          <w:lang w:val="en-GB"/>
        </w:rPr>
      </w:pPr>
      <w:r w:rsidRPr="00B04DC3">
        <w:rPr>
          <w:lang w:val="en-GB"/>
        </w:rPr>
        <w:tab/>
      </w:r>
      <w:r w:rsidRPr="00B04DC3">
        <w:rPr>
          <w:lang w:val="en-GB"/>
        </w:rPr>
        <w:tab/>
        <w:t>m</w:t>
      </w:r>
      <w:r w:rsidRPr="00B04DC3">
        <w:rPr>
          <w:vertAlign w:val="subscript"/>
          <w:lang w:val="en-GB"/>
        </w:rPr>
        <w:t>NOx,Z</w:t>
      </w:r>
      <w:r w:rsidR="00845825">
        <w:rPr>
          <w:vertAlign w:val="subscript"/>
          <w:lang w:val="en-GB"/>
        </w:rPr>
        <w:t xml:space="preserve">   </w:t>
      </w:r>
      <w:r w:rsidRPr="00B04DC3">
        <w:rPr>
          <w:lang w:val="en-GB"/>
        </w:rPr>
        <w:t xml:space="preserve"> =</w:t>
      </w:r>
      <w:r w:rsidR="00C859B2">
        <w:rPr>
          <w:lang w:val="en-GB"/>
        </w:rPr>
        <w:t xml:space="preserve"> </w:t>
      </w:r>
      <w:r w:rsidRPr="00B04DC3">
        <w:rPr>
          <w:lang w:val="en-GB"/>
        </w:rPr>
        <w:t xml:space="preserve">0.001587 </w:t>
      </w:r>
      <w:r w:rsidRPr="00B04DC3">
        <w:rPr>
          <w:position w:val="-4"/>
          <w:lang w:val="en-GB"/>
        </w:rPr>
        <w:object w:dxaOrig="180" w:dyaOrig="200">
          <v:shape id="_x0000_i1085" type="#_x0000_t75" style="width:9.6pt;height:9.6pt" o:ole="">
            <v:imagedata r:id="rId140" o:title=""/>
          </v:shape>
          <o:OLEObject Type="Embed" ProgID="Equation.3" ShapeID="_x0000_i1085" DrawAspect="Content" ObjectID="_1498392249" r:id="rId141"/>
        </w:object>
      </w:r>
      <w:r w:rsidRPr="00B04DC3">
        <w:rPr>
          <w:lang w:val="en-GB"/>
        </w:rPr>
        <w:t xml:space="preserve"> c</w:t>
      </w:r>
      <w:r w:rsidRPr="00B04DC3">
        <w:rPr>
          <w:vertAlign w:val="subscript"/>
          <w:lang w:val="en-GB"/>
        </w:rPr>
        <w:t>NOx,Z</w:t>
      </w:r>
      <w:r w:rsidRPr="00B04DC3">
        <w:rPr>
          <w:lang w:val="en-GB"/>
        </w:rPr>
        <w:t xml:space="preserve"> </w:t>
      </w:r>
      <w:r w:rsidRPr="00B04DC3">
        <w:rPr>
          <w:position w:val="-4"/>
          <w:lang w:val="en-GB"/>
        </w:rPr>
        <w:object w:dxaOrig="180" w:dyaOrig="200">
          <v:shape id="_x0000_i1086" type="#_x0000_t75" style="width:9.6pt;height:9.6pt" o:ole="">
            <v:imagedata r:id="rId142" o:title=""/>
          </v:shape>
          <o:OLEObject Type="Embed" ProgID="Equation.3" ShapeID="_x0000_i1086" DrawAspect="Content" ObjectID="_1498392250" r:id="rId143"/>
        </w:object>
      </w:r>
      <w:r w:rsidRPr="00B04DC3">
        <w:rPr>
          <w:lang w:val="en-GB"/>
        </w:rPr>
        <w:t xml:space="preserve"> k</w:t>
      </w:r>
      <w:r w:rsidRPr="00B04DC3">
        <w:rPr>
          <w:vertAlign w:val="subscript"/>
          <w:lang w:val="en-GB"/>
        </w:rPr>
        <w:t>h,D</w:t>
      </w:r>
      <w:r w:rsidRPr="00B04DC3">
        <w:rPr>
          <w:lang w:val="en-GB"/>
        </w:rPr>
        <w:t xml:space="preserve"> </w:t>
      </w:r>
      <w:r w:rsidRPr="00B04DC3">
        <w:rPr>
          <w:position w:val="-4"/>
          <w:lang w:val="en-GB"/>
        </w:rPr>
        <w:object w:dxaOrig="180" w:dyaOrig="200">
          <v:shape id="_x0000_i1087" type="#_x0000_t75" style="width:9.6pt;height:9.6pt" o:ole="">
            <v:imagedata r:id="rId144" o:title=""/>
          </v:shape>
          <o:OLEObject Type="Embed" ProgID="Equation.3" ShapeID="_x0000_i1087" DrawAspect="Content" ObjectID="_1498392251" r:id="rId145"/>
        </w:object>
      </w:r>
      <w:r w:rsidRPr="00B04DC3">
        <w:rPr>
          <w:lang w:val="en-GB"/>
        </w:rPr>
        <w:t xml:space="preserve"> q</w:t>
      </w:r>
      <w:r w:rsidRPr="00B04DC3">
        <w:rPr>
          <w:vertAlign w:val="subscript"/>
          <w:lang w:val="en-GB"/>
        </w:rPr>
        <w:t>mew</w:t>
      </w:r>
    </w:p>
    <w:p w:rsidR="00DA59A4" w:rsidRPr="00B04DC3" w:rsidRDefault="00DA59A4" w:rsidP="00AA0E48">
      <w:pPr>
        <w:pStyle w:val="para"/>
        <w:spacing w:after="60"/>
        <w:rPr>
          <w:lang w:val="en-GB"/>
        </w:rPr>
      </w:pPr>
      <w:r w:rsidRPr="00B04DC3">
        <w:rPr>
          <w:lang w:val="en-GB"/>
        </w:rPr>
        <w:tab/>
      </w:r>
      <w:r w:rsidRPr="00B04DC3">
        <w:rPr>
          <w:lang w:val="en-GB"/>
        </w:rPr>
        <w:tab/>
      </w:r>
      <w:r w:rsidR="00A905B7">
        <w:rPr>
          <w:lang w:val="en-GB"/>
        </w:rPr>
      </w:r>
      <w:r w:rsidR="00A905B7">
        <w:rPr>
          <w:lang w:val="en-GB"/>
        </w:rPr>
        <w:pict>
          <v:group id="_x0000_s1901" editas="canvas" style="width:78pt;height:39.1pt;mso-position-horizontal-relative:char;mso-position-vertical-relative:line" coordsize="1560,782">
            <o:lock v:ext="edit" aspectratio="t"/>
            <v:shape id="_x0000_s1902" type="#_x0000_t75" style="position:absolute;width:1560;height:782" o:preferrelative="f">
              <v:fill o:detectmouseclick="t"/>
              <v:path o:extrusionok="t" o:connecttype="none"/>
              <o:lock v:ext="edit" text="t"/>
            </v:shape>
            <v:line id="_x0000_s1903" style="position:absolute" from="884,400" to="1531,401" strokeweight=".5pt"/>
            <v:rect id="_x0000_s1904" style="position:absolute;left:1383;top:472;width:86;height:240;mso-wrap-style:none" filled="f" stroked="f">
              <v:textbox style="mso-fit-shape-to-text:t" inset="0,0,0,0">
                <w:txbxContent>
                  <w:p w:rsidR="00A905B7" w:rsidRPr="00147595" w:rsidRDefault="00A905B7">
                    <w:r w:rsidRPr="00147595">
                      <w:rPr>
                        <w:iCs/>
                        <w:color w:val="000000"/>
                        <w:sz w:val="14"/>
                        <w:szCs w:val="14"/>
                      </w:rPr>
                      <w:t>Z</w:t>
                    </w:r>
                  </w:p>
                </w:txbxContent>
              </v:textbox>
            </v:rect>
            <v:rect id="_x0000_s1905" style="position:absolute;left:1395;top:173;width:86;height:240;mso-wrap-style:none" filled="f" stroked="f">
              <v:textbox style="mso-fit-shape-to-text:t" inset="0,0,0,0">
                <w:txbxContent>
                  <w:p w:rsidR="00A905B7" w:rsidRPr="00147595" w:rsidRDefault="00A905B7">
                    <w:r w:rsidRPr="00147595">
                      <w:rPr>
                        <w:iCs/>
                        <w:color w:val="000000"/>
                        <w:sz w:val="14"/>
                        <w:szCs w:val="14"/>
                      </w:rPr>
                      <w:t>Z</w:t>
                    </w:r>
                  </w:p>
                </w:txbxContent>
              </v:textbox>
            </v:rect>
            <v:rect id="_x0000_s1906" style="position:absolute;left:1086;top:173;width:273;height:240;mso-wrap-style:none" filled="f" stroked="f">
              <v:textbox style="mso-fit-shape-to-text:t" inset="0,0,0,0">
                <w:txbxContent>
                  <w:p w:rsidR="00A905B7" w:rsidRPr="00147595" w:rsidRDefault="00A905B7">
                    <w:r w:rsidRPr="00147595">
                      <w:rPr>
                        <w:iCs/>
                        <w:color w:val="000000"/>
                        <w:sz w:val="14"/>
                        <w:szCs w:val="14"/>
                      </w:rPr>
                      <w:t>NOx</w:t>
                    </w:r>
                  </w:p>
                </w:txbxContent>
              </v:textbox>
            </v:rect>
            <v:rect id="_x0000_s1907" style="position:absolute;left:428;top:215;width:86;height:240;mso-wrap-style:none" filled="f" stroked="f">
              <v:textbox style="mso-fit-shape-to-text:t" inset="0,0,0,0">
                <w:txbxContent>
                  <w:p w:rsidR="00A905B7" w:rsidRPr="00147595" w:rsidRDefault="00A905B7">
                    <w:r w:rsidRPr="00147595">
                      <w:rPr>
                        <w:iCs/>
                        <w:color w:val="000000"/>
                        <w:sz w:val="14"/>
                        <w:szCs w:val="14"/>
                      </w:rPr>
                      <w:t>Z</w:t>
                    </w:r>
                  </w:p>
                </w:txbxContent>
              </v:textbox>
            </v:rect>
            <v:rect id="_x0000_s1908" style="position:absolute;left:1157;top:391;width:121;height:240" filled="f" stroked="f">
              <v:textbox style="mso-fit-shape-to-text:t" inset="0,0,0,0">
                <w:txbxContent>
                  <w:p w:rsidR="00A905B7" w:rsidRPr="00147595" w:rsidRDefault="00A905B7">
                    <w:r w:rsidRPr="00147595">
                      <w:rPr>
                        <w:iCs/>
                        <w:color w:val="000000"/>
                      </w:rPr>
                      <w:t>n</w:t>
                    </w:r>
                  </w:p>
                </w:txbxContent>
              </v:textbox>
            </v:rect>
            <v:rect id="_x0000_s1909" style="position:absolute;left:920;top:391;width:112;height:240;mso-wrap-style:none" filled="f" stroked="f">
              <v:textbox style="mso-fit-shape-to-text:t" inset="0,0,0,0">
                <w:txbxContent>
                  <w:p w:rsidR="00A905B7" w:rsidRPr="00147595" w:rsidRDefault="00A905B7">
                    <w:r w:rsidRPr="00147595">
                      <w:rPr>
                        <w:iCs/>
                        <w:color w:val="000000"/>
                      </w:rPr>
                      <w:t>P</w:t>
                    </w:r>
                  </w:p>
                </w:txbxContent>
              </v:textbox>
            </v:rect>
            <v:rect id="_x0000_s1910" style="position:absolute;left:901;top:22;width:156;height:240;mso-wrap-style:none" filled="f" stroked="f">
              <v:textbox style="mso-fit-shape-to-text:t" inset="0,0,0,0">
                <w:txbxContent>
                  <w:p w:rsidR="00A905B7" w:rsidRPr="00147595" w:rsidRDefault="00A905B7">
                    <w:r w:rsidRPr="00147595">
                      <w:rPr>
                        <w:iCs/>
                        <w:color w:val="000000"/>
                      </w:rPr>
                      <w:t>m</w:t>
                    </w:r>
                  </w:p>
                </w:txbxContent>
              </v:textbox>
            </v:rect>
            <v:rect id="_x0000_s1911" style="position:absolute;left:48;top:204;width:354;height:240;mso-wrap-style:none" filled="f" stroked="f">
              <v:textbox style="mso-fit-shape-to-text:t" inset="0,0,0,0">
                <w:txbxContent>
                  <w:p w:rsidR="00A905B7" w:rsidRPr="00147595" w:rsidRDefault="00A905B7">
                    <w:r w:rsidRPr="00147595">
                      <w:rPr>
                        <w:iCs/>
                        <w:color w:val="000000"/>
                      </w:rPr>
                      <w:t>NO</w:t>
                    </w:r>
                    <w:r w:rsidRPr="00571605">
                      <w:rPr>
                        <w:iCs/>
                        <w:color w:val="000000"/>
                        <w:vertAlign w:val="subscript"/>
                      </w:rPr>
                      <w:t>x</w:t>
                    </w:r>
                  </w:p>
                </w:txbxContent>
              </v:textbox>
            </v:rect>
            <v:rect id="_x0000_s1912" style="position:absolute;left:1282;top:391;width:67;height:240;mso-wrap-style:none" filled="f" stroked="f">
              <v:textbox style="mso-fit-shape-to-text:t" inset="0,0,0,0">
                <w:txbxContent>
                  <w:p w:rsidR="00A905B7" w:rsidRDefault="00A905B7">
                    <w:r>
                      <w:rPr>
                        <w:color w:val="000000"/>
                      </w:rPr>
                      <w:t>)</w:t>
                    </w:r>
                  </w:p>
                </w:txbxContent>
              </v:textbox>
            </v:rect>
            <v:rect id="_x0000_s1913" style="position:absolute;left:1071;top:391;width:67;height:240;mso-wrap-style:none" filled="f" stroked="f">
              <v:textbox style="mso-fit-shape-to-text:t" inset="0,0,0,0">
                <w:txbxContent>
                  <w:p w:rsidR="00A905B7" w:rsidRDefault="00A905B7">
                    <w:r>
                      <w:rPr>
                        <w:color w:val="000000"/>
                      </w:rPr>
                      <w:t>(</w:t>
                    </w:r>
                  </w:p>
                </w:txbxContent>
              </v:textbox>
            </v:rect>
            <v:rect id="_x0000_s1914" style="position:absolute;left:1352;top:171;width:36;height:240;mso-wrap-style:none" filled="f" stroked="f">
              <v:textbox style="mso-fit-shape-to-text:t" inset="0,0,0,0">
                <w:txbxContent>
                  <w:p w:rsidR="00A905B7" w:rsidRDefault="00A905B7">
                    <w:r>
                      <w:rPr>
                        <w:color w:val="000000"/>
                        <w:sz w:val="14"/>
                        <w:szCs w:val="14"/>
                      </w:rPr>
                      <w:t>,</w:t>
                    </w:r>
                  </w:p>
                </w:txbxContent>
              </v:textbox>
            </v:rect>
            <v:rect id="_x0000_s1915" style="position:absolute;left:685;top:240;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5.6.2.</w:t>
      </w:r>
      <w:r w:rsidRPr="00B04DC3">
        <w:rPr>
          <w:lang w:val="en-GB"/>
        </w:rPr>
        <w:tab/>
        <w:t>Determination of the emission value from the test cycle</w:t>
      </w:r>
    </w:p>
    <w:p w:rsidR="00DA59A4" w:rsidRPr="00B04DC3" w:rsidRDefault="00DA59A4" w:rsidP="00DA59A4">
      <w:pPr>
        <w:pStyle w:val="para"/>
        <w:rPr>
          <w:lang w:val="en-GB"/>
        </w:rPr>
      </w:pPr>
      <w:r w:rsidRPr="00B04DC3">
        <w:rPr>
          <w:lang w:val="en-GB"/>
        </w:rPr>
        <w:tab/>
        <w:t>The NO</w:t>
      </w:r>
      <w:r w:rsidRPr="00B04DC3">
        <w:rPr>
          <w:vertAlign w:val="subscript"/>
          <w:lang w:val="en-GB"/>
        </w:rPr>
        <w:t>x</w:t>
      </w:r>
      <w:r w:rsidRPr="00B04DC3">
        <w:rPr>
          <w:lang w:val="en-GB"/>
        </w:rPr>
        <w:t xml:space="preserve"> emission for each of the control points shall be interpolated from the four closest modes of the test cycle that envelop the selected control point Z as shown in </w:t>
      </w:r>
      <w:r w:rsidR="00313D4E" w:rsidRPr="00B04DC3">
        <w:rPr>
          <w:lang w:val="en-GB"/>
        </w:rPr>
        <w:t>Figure</w:t>
      </w:r>
      <w:r w:rsidRPr="00B04DC3">
        <w:rPr>
          <w:lang w:val="en-GB"/>
        </w:rPr>
        <w:t xml:space="preserve"> 4. For these modes (R, S, T, U), the following definitions apply:</w:t>
      </w:r>
    </w:p>
    <w:p w:rsidR="00DA59A4" w:rsidRPr="00B04DC3" w:rsidRDefault="00DA59A4" w:rsidP="00DA59A4">
      <w:pPr>
        <w:pStyle w:val="para"/>
        <w:rPr>
          <w:lang w:val="en-GB"/>
        </w:rPr>
      </w:pPr>
      <w:r w:rsidRPr="00B04DC3">
        <w:rPr>
          <w:lang w:val="en-GB"/>
        </w:rPr>
        <w:tab/>
        <w:t>Speed(R) = Speed(T) = n</w:t>
      </w:r>
      <w:r w:rsidRPr="00B04DC3">
        <w:rPr>
          <w:vertAlign w:val="subscript"/>
          <w:lang w:val="en-GB"/>
        </w:rPr>
        <w:t>RT</w:t>
      </w:r>
    </w:p>
    <w:p w:rsidR="00DA59A4" w:rsidRPr="00B04DC3" w:rsidRDefault="00DA59A4" w:rsidP="00DA59A4">
      <w:pPr>
        <w:pStyle w:val="para"/>
        <w:rPr>
          <w:lang w:val="en-GB"/>
        </w:rPr>
      </w:pPr>
      <w:r w:rsidRPr="00B04DC3">
        <w:rPr>
          <w:lang w:val="en-GB"/>
        </w:rPr>
        <w:tab/>
        <w:t>Speed(S) = Speed(U) = n</w:t>
      </w:r>
      <w:r w:rsidRPr="00B04DC3">
        <w:rPr>
          <w:vertAlign w:val="subscript"/>
          <w:lang w:val="en-GB"/>
        </w:rPr>
        <w:t>SU</w:t>
      </w:r>
    </w:p>
    <w:p w:rsidR="00DA59A4" w:rsidRPr="00B04DC3" w:rsidRDefault="00DA59A4" w:rsidP="00DA59A4">
      <w:pPr>
        <w:pStyle w:val="para"/>
        <w:rPr>
          <w:lang w:val="en-GB"/>
        </w:rPr>
      </w:pPr>
      <w:r w:rsidRPr="00B04DC3">
        <w:rPr>
          <w:lang w:val="en-GB"/>
        </w:rPr>
        <w:tab/>
        <w:t>Per cent load(R) = Per cent load(S)</w:t>
      </w:r>
    </w:p>
    <w:p w:rsidR="00DA59A4" w:rsidRPr="00B04DC3" w:rsidRDefault="00DA59A4" w:rsidP="00DA59A4">
      <w:pPr>
        <w:pStyle w:val="para"/>
        <w:rPr>
          <w:lang w:val="en-GB"/>
        </w:rPr>
      </w:pPr>
      <w:r w:rsidRPr="00B04DC3">
        <w:rPr>
          <w:lang w:val="en-GB"/>
        </w:rPr>
        <w:tab/>
        <w:t>Per cent load(T) = Per cent load(U).</w:t>
      </w:r>
    </w:p>
    <w:p w:rsidR="00DA59A4" w:rsidRPr="00B04DC3" w:rsidRDefault="00DA59A4" w:rsidP="00DA59A4">
      <w:pPr>
        <w:pStyle w:val="para"/>
        <w:rPr>
          <w:lang w:val="en-GB"/>
        </w:rPr>
      </w:pPr>
      <w:r w:rsidRPr="00B04DC3">
        <w:rPr>
          <w:lang w:val="en-GB"/>
        </w:rPr>
        <w:tab/>
        <w:t>The NO</w:t>
      </w:r>
      <w:r w:rsidRPr="00B04DC3">
        <w:rPr>
          <w:vertAlign w:val="subscript"/>
          <w:lang w:val="en-GB"/>
        </w:rPr>
        <w:t>x</w:t>
      </w:r>
      <w:r w:rsidRPr="00B04DC3">
        <w:rPr>
          <w:lang w:val="en-GB"/>
        </w:rPr>
        <w:t xml:space="preserve"> emission of the selected control point Z shall be calculated as follows:</w:t>
      </w:r>
    </w:p>
    <w:p w:rsidR="00DA59A4" w:rsidRPr="00B04DC3" w:rsidRDefault="00DA59A4" w:rsidP="00DA59A4">
      <w:pPr>
        <w:pStyle w:val="para"/>
        <w:rPr>
          <w:lang w:val="en-GB"/>
        </w:rPr>
      </w:pPr>
      <w:r w:rsidRPr="00B04DC3">
        <w:rPr>
          <w:lang w:val="en-GB"/>
        </w:rPr>
        <w:tab/>
      </w:r>
      <w:r w:rsidR="00A905B7">
        <w:rPr>
          <w:lang w:val="en-GB"/>
        </w:rPr>
      </w:r>
      <w:r w:rsidR="00A905B7">
        <w:rPr>
          <w:lang w:val="en-GB"/>
        </w:rPr>
        <w:pict>
          <v:group id="_x0000_s1916" editas="canvas" style="width:191.25pt;height:39pt;mso-position-horizontal-relative:char;mso-position-vertical-relative:line" coordsize="3825,780">
            <o:lock v:ext="edit" aspectratio="t"/>
            <v:shape id="_x0000_s1917" type="#_x0000_t75" style="position:absolute;width:3825;height:780" o:preferrelative="f">
              <v:fill o:detectmouseclick="t"/>
              <v:path o:extrusionok="t" o:connecttype="none"/>
              <o:lock v:ext="edit" text="t"/>
            </v:shape>
            <v:line id="_x0000_s1918" style="position:absolute" from="555,410" to="3741,411" strokeweight=".5pt"/>
            <v:rect id="_x0000_s1919" style="position:absolute;left:2520;top:540;width:172;height:240;mso-wrap-style:none" filled="f" stroked="f">
              <v:textbox style="mso-next-textbox:#_x0000_s1919;mso-fit-shape-to-text:t" inset="0,0,0,0">
                <w:txbxContent>
                  <w:p w:rsidR="00A905B7" w:rsidRPr="00147595" w:rsidRDefault="00A905B7">
                    <w:r w:rsidRPr="00147595">
                      <w:rPr>
                        <w:iCs/>
                        <w:color w:val="000000"/>
                        <w:sz w:val="14"/>
                        <w:szCs w:val="14"/>
                      </w:rPr>
                      <w:t>RS</w:t>
                    </w:r>
                  </w:p>
                </w:txbxContent>
              </v:textbox>
            </v:rect>
            <v:rect id="_x0000_s1920" style="position:absolute;left:1813;top:523;width:187;height:240;mso-wrap-style:none" filled="f" stroked="f">
              <v:textbox style="mso-next-textbox:#_x0000_s1920;mso-fit-shape-to-text:t" inset="0,0,0,0">
                <w:txbxContent>
                  <w:p w:rsidR="00A905B7" w:rsidRPr="00147595" w:rsidRDefault="00A905B7">
                    <w:r w:rsidRPr="00147595">
                      <w:rPr>
                        <w:iCs/>
                        <w:color w:val="000000"/>
                        <w:sz w:val="14"/>
                        <w:szCs w:val="14"/>
                      </w:rPr>
                      <w:t>TU</w:t>
                    </w:r>
                  </w:p>
                </w:txbxContent>
              </v:textbox>
            </v:rect>
            <v:rect id="_x0000_s1921" style="position:absolute;left:3448;top:175;width:172;height:240;mso-wrap-style:none" filled="f" stroked="f">
              <v:textbox style="mso-next-textbox:#_x0000_s1921;mso-fit-shape-to-text:t" inset="0,0,0,0">
                <w:txbxContent>
                  <w:p w:rsidR="00A905B7" w:rsidRPr="00147595" w:rsidRDefault="00A905B7">
                    <w:r w:rsidRPr="00147595">
                      <w:rPr>
                        <w:iCs/>
                        <w:color w:val="000000"/>
                        <w:sz w:val="14"/>
                        <w:szCs w:val="14"/>
                      </w:rPr>
                      <w:t>RS</w:t>
                    </w:r>
                  </w:p>
                </w:txbxContent>
              </v:textbox>
            </v:rect>
            <v:rect id="_x0000_s1922" style="position:absolute;left:2850;top:175;width:86;height:240;mso-wrap-style:none" filled="f" stroked="f">
              <v:textbox style="mso-next-textbox:#_x0000_s1922;mso-fit-shape-to-text:t" inset="0,0,0,0">
                <w:txbxContent>
                  <w:p w:rsidR="00A905B7" w:rsidRPr="00147595" w:rsidRDefault="00A905B7">
                    <w:r w:rsidRPr="00147595">
                      <w:rPr>
                        <w:iCs/>
                        <w:color w:val="000000"/>
                        <w:sz w:val="14"/>
                        <w:szCs w:val="14"/>
                      </w:rPr>
                      <w:t>Z</w:t>
                    </w:r>
                  </w:p>
                </w:txbxContent>
              </v:textbox>
            </v:rect>
            <v:rect id="_x0000_s1923" style="position:absolute;left:2036;top:175;width:172;height:240;mso-wrap-style:none" filled="f" stroked="f">
              <v:textbox style="mso-next-textbox:#_x0000_s1923;mso-fit-shape-to-text:t" inset="0,0,0,0">
                <w:txbxContent>
                  <w:p w:rsidR="00A905B7" w:rsidRPr="00147595" w:rsidRDefault="00A905B7">
                    <w:r w:rsidRPr="00147595">
                      <w:rPr>
                        <w:iCs/>
                        <w:color w:val="000000"/>
                        <w:sz w:val="14"/>
                        <w:szCs w:val="14"/>
                      </w:rPr>
                      <w:t>RS</w:t>
                    </w:r>
                  </w:p>
                </w:txbxContent>
              </v:textbox>
            </v:rect>
            <v:rect id="_x0000_s1924" style="position:absolute;left:1410;top:175;width:187;height:240;mso-wrap-style:none" filled="f" stroked="f">
              <v:textbox style="mso-next-textbox:#_x0000_s1924;mso-fit-shape-to-text:t" inset="0,0,0,0">
                <w:txbxContent>
                  <w:p w:rsidR="00A905B7" w:rsidRPr="00147595" w:rsidRDefault="00A905B7">
                    <w:r w:rsidRPr="00147595">
                      <w:rPr>
                        <w:iCs/>
                        <w:color w:val="000000"/>
                        <w:sz w:val="14"/>
                        <w:szCs w:val="14"/>
                      </w:rPr>
                      <w:t>TU</w:t>
                    </w:r>
                  </w:p>
                </w:txbxContent>
              </v:textbox>
            </v:rect>
            <v:rect id="_x0000_s1925" style="position:absolute;left:740;top:175;width:172;height:240;mso-wrap-style:none" filled="f" stroked="f">
              <v:textbox style="mso-next-textbox:#_x0000_s1925;mso-fit-shape-to-text:t" inset="0,0,0,0">
                <w:txbxContent>
                  <w:p w:rsidR="00A905B7" w:rsidRPr="00147595" w:rsidRDefault="00A905B7">
                    <w:r w:rsidRPr="00147595">
                      <w:rPr>
                        <w:iCs/>
                        <w:color w:val="000000"/>
                        <w:sz w:val="14"/>
                        <w:szCs w:val="14"/>
                      </w:rPr>
                      <w:t>RS</w:t>
                    </w:r>
                  </w:p>
                </w:txbxContent>
              </v:textbox>
            </v:rect>
            <v:rect id="_x0000_s1926" style="position:absolute;left:2276;top:374;width:178;height:240;mso-wrap-style:none" filled="f" stroked="f">
              <v:textbox style="mso-next-textbox:#_x0000_s1926;mso-fit-shape-to-text:t" inset="0,0,0,0">
                <w:txbxContent>
                  <w:p w:rsidR="00A905B7" w:rsidRPr="00147595" w:rsidRDefault="00A905B7">
                    <w:r w:rsidRPr="00147595">
                      <w:rPr>
                        <w:iCs/>
                        <w:color w:val="000000"/>
                      </w:rPr>
                      <w:t>M</w:t>
                    </w:r>
                  </w:p>
                </w:txbxContent>
              </v:textbox>
            </v:rect>
            <v:rect id="_x0000_s1927" style="position:absolute;left:1587;top:374;width:178;height:240;mso-wrap-style:none" filled="f" stroked="f">
              <v:textbox style="mso-next-textbox:#_x0000_s1927;mso-fit-shape-to-text:t" inset="0,0,0,0">
                <w:txbxContent>
                  <w:p w:rsidR="00A905B7" w:rsidRPr="00147595" w:rsidRDefault="00A905B7">
                    <w:r w:rsidRPr="00147595">
                      <w:rPr>
                        <w:iCs/>
                        <w:color w:val="000000"/>
                      </w:rPr>
                      <w:t>M</w:t>
                    </w:r>
                  </w:p>
                </w:txbxContent>
              </v:textbox>
            </v:rect>
            <v:rect id="_x0000_s1928" style="position:absolute;left:3208;top:26;width:178;height:240;mso-wrap-style:none" filled="f" stroked="f">
              <v:textbox style="mso-next-textbox:#_x0000_s1928;mso-fit-shape-to-text:t" inset="0,0,0,0">
                <w:txbxContent>
                  <w:p w:rsidR="00A905B7" w:rsidRPr="00147595" w:rsidRDefault="00A905B7">
                    <w:r w:rsidRPr="00147595">
                      <w:rPr>
                        <w:iCs/>
                        <w:color w:val="000000"/>
                      </w:rPr>
                      <w:t>M</w:t>
                    </w:r>
                  </w:p>
                </w:txbxContent>
              </v:textbox>
            </v:rect>
            <v:rect id="_x0000_s1929" style="position:absolute;left:2613;top:26;width:178;height:240;mso-wrap-style:none" filled="f" stroked="f">
              <v:textbox style="mso-next-textbox:#_x0000_s1929;mso-fit-shape-to-text:t" inset="0,0,0,0">
                <w:txbxContent>
                  <w:p w:rsidR="00A905B7" w:rsidRPr="00147595" w:rsidRDefault="00A905B7">
                    <w:r w:rsidRPr="00147595">
                      <w:rPr>
                        <w:iCs/>
                        <w:color w:val="000000"/>
                      </w:rPr>
                      <w:t>M</w:t>
                    </w:r>
                  </w:p>
                </w:txbxContent>
              </v:textbox>
            </v:rect>
            <v:rect id="_x0000_s1930" style="position:absolute;left:1875;top:26;width:123;height:240;mso-wrap-style:none" filled="f" stroked="f">
              <v:textbox style="mso-next-textbox:#_x0000_s1930;mso-fit-shape-to-text:t" inset="0,0,0,0">
                <w:txbxContent>
                  <w:p w:rsidR="00A905B7" w:rsidRPr="00147595" w:rsidRDefault="00A905B7">
                    <w:r w:rsidRPr="00147595">
                      <w:rPr>
                        <w:iCs/>
                        <w:color w:val="000000"/>
                      </w:rPr>
                      <w:t>E</w:t>
                    </w:r>
                  </w:p>
                </w:txbxContent>
              </v:textbox>
            </v:rect>
            <v:rect id="_x0000_s1931" style="position:absolute;left:1261;top:26;width:123;height:240;mso-wrap-style:none" filled="f" stroked="f">
              <v:textbox style="mso-next-textbox:#_x0000_s1931;mso-fit-shape-to-text:t" inset="0,0,0,0">
                <w:txbxContent>
                  <w:p w:rsidR="00A905B7" w:rsidRPr="00147595" w:rsidRDefault="00A905B7">
                    <w:r w:rsidRPr="00147595">
                      <w:rPr>
                        <w:iCs/>
                        <w:color w:val="000000"/>
                      </w:rPr>
                      <w:t>E</w:t>
                    </w:r>
                  </w:p>
                </w:txbxContent>
              </v:textbox>
            </v:rect>
            <v:rect id="_x0000_s1932" style="position:absolute;left:579;top:26;width:123;height:240;mso-wrap-style:none" filled="f" stroked="f">
              <v:textbox style="mso-next-textbox:#_x0000_s1932;mso-fit-shape-to-text:t" inset="0,0,0,0">
                <w:txbxContent>
                  <w:p w:rsidR="00A905B7" w:rsidRPr="00147595" w:rsidRDefault="00A905B7">
                    <w:r w:rsidRPr="00147595">
                      <w:rPr>
                        <w:iCs/>
                        <w:color w:val="000000"/>
                      </w:rPr>
                      <w:t>E</w:t>
                    </w:r>
                  </w:p>
                </w:txbxContent>
              </v:textbox>
            </v:rect>
            <v:rect id="_x0000_s1933" style="position:absolute;left:43;top:244;width:211;height:240;mso-wrap-style:none" filled="f" stroked="f">
              <v:textbox style="mso-next-textbox:#_x0000_s1933;mso-fit-shape-to-text:t" inset="0,0,0,0">
                <w:txbxContent>
                  <w:p w:rsidR="00A905B7" w:rsidRPr="00147595" w:rsidRDefault="00A905B7">
                    <w:r w:rsidRPr="00147595">
                      <w:rPr>
                        <w:iCs/>
                        <w:color w:val="000000"/>
                      </w:rPr>
                      <w:t>Ez</w:t>
                    </w:r>
                  </w:p>
                </w:txbxContent>
              </v:textbox>
            </v:rect>
            <v:rect id="_x0000_s1934" style="position:absolute;left:2094;top:350;width:110;height:245;mso-wrap-style:none" filled="f" stroked="f">
              <v:textbox style="mso-next-textbox:#_x0000_s1934;mso-fit-shape-to-text:t" inset="0,0,0,0">
                <w:txbxContent>
                  <w:p w:rsidR="00A905B7" w:rsidRDefault="00A905B7">
                    <w:r>
                      <w:rPr>
                        <w:rFonts w:ascii="Symbol" w:hAnsi="Symbol" w:cs="Symbol"/>
                        <w:color w:val="000000"/>
                      </w:rPr>
                      <w:t></w:t>
                    </w:r>
                  </w:p>
                </w:txbxContent>
              </v:textbox>
            </v:rect>
            <v:rect id="_x0000_s1935" style="position:absolute;left:3023;top:2;width:110;height:245;mso-wrap-style:none" filled="f" stroked="f">
              <v:textbox style="mso-next-textbox:#_x0000_s1935;mso-fit-shape-to-text:t" inset="0,0,0,0">
                <w:txbxContent>
                  <w:p w:rsidR="00A905B7" w:rsidRDefault="00A905B7">
                    <w:r>
                      <w:rPr>
                        <w:rFonts w:ascii="Symbol" w:hAnsi="Symbol" w:cs="Symbol"/>
                        <w:color w:val="000000"/>
                      </w:rPr>
                      <w:t></w:t>
                    </w:r>
                  </w:p>
                </w:txbxContent>
              </v:textbox>
            </v:rect>
            <v:rect id="_x0000_s1936" style="position:absolute;left:2353;top:2;width:110;height:245;mso-wrap-style:none" filled="f" stroked="f">
              <v:textbox style="mso-next-textbox:#_x0000_s1936;mso-fit-shape-to-text:t" inset="0,0,0,0">
                <w:txbxContent>
                  <w:p w:rsidR="00A905B7" w:rsidRDefault="00A905B7">
                    <w:r>
                      <w:rPr>
                        <w:rFonts w:ascii="Symbol" w:hAnsi="Symbol" w:cs="Symbol"/>
                        <w:color w:val="000000"/>
                      </w:rPr>
                      <w:t></w:t>
                    </w:r>
                  </w:p>
                </w:txbxContent>
              </v:textbox>
            </v:rect>
            <v:rect id="_x0000_s1937" style="position:absolute;left:1688;top:2;width:110;height:245;mso-wrap-style:none" filled="f" stroked="f">
              <v:textbox style="mso-next-textbox:#_x0000_s1937;mso-fit-shape-to-text:t" inset="0,0,0,0">
                <w:txbxContent>
                  <w:p w:rsidR="00A905B7" w:rsidRDefault="00A905B7">
                    <w:r>
                      <w:rPr>
                        <w:rFonts w:ascii="Symbol" w:hAnsi="Symbol" w:cs="Symbol"/>
                        <w:color w:val="000000"/>
                      </w:rPr>
                      <w:t></w:t>
                    </w:r>
                  </w:p>
                </w:txbxContent>
              </v:textbox>
            </v:rect>
            <v:rect id="_x0000_s1938" style="position:absolute;left:987;top:2;width:110;height:245;mso-wrap-style:none" filled="f" stroked="f">
              <v:textbox style="mso-next-textbox:#_x0000_s1938;mso-fit-shape-to-text:t" inset="0,0,0,0">
                <w:txbxContent>
                  <w:p w:rsidR="00A905B7" w:rsidRDefault="00A905B7">
                    <w:r>
                      <w:rPr>
                        <w:rFonts w:ascii="Symbol" w:hAnsi="Symbol" w:cs="Symbol"/>
                        <w:color w:val="000000"/>
                      </w:rPr>
                      <w:t></w:t>
                    </w:r>
                  </w:p>
                </w:txbxContent>
              </v:textbox>
            </v:rect>
            <v:rect id="_x0000_s1939" style="position:absolute;left:355;top:250;width:110;height:245;mso-wrap-style:none" filled="f" stroked="f">
              <v:textbox style="mso-next-textbox:#_x0000_s1939;mso-fit-shape-to-text:t" inset="0,0,0,0">
                <w:txbxContent>
                  <w:p w:rsidR="00A905B7" w:rsidRDefault="00A905B7">
                    <w:r>
                      <w:rPr>
                        <w:rFonts w:ascii="Symbol" w:hAnsi="Symbol" w:cs="Symbol"/>
                        <w:color w:val="000000"/>
                      </w:rPr>
                      <w:t></w:t>
                    </w:r>
                  </w:p>
                </w:txbxContent>
              </v:textbox>
            </v:rect>
            <v:rect id="_x0000_s1940" style="position:absolute;left:3650;top:26;width:67;height:240;mso-wrap-style:none" filled="f" stroked="f">
              <v:textbox style="mso-next-textbox:#_x0000_s1940;mso-fit-shape-to-text:t" inset="0,0,0,0">
                <w:txbxContent>
                  <w:p w:rsidR="00A905B7" w:rsidRDefault="00A905B7">
                    <w:r>
                      <w:rPr>
                        <w:color w:val="000000"/>
                      </w:rPr>
                      <w:t>)</w:t>
                    </w:r>
                  </w:p>
                </w:txbxContent>
              </v:textbox>
            </v:rect>
            <v:rect id="_x0000_s1941" style="position:absolute;left:2521;top:26;width:67;height:240;mso-wrap-style:none" filled="f" stroked="f">
              <v:textbox style="mso-next-textbox:#_x0000_s1941;mso-fit-shape-to-text:t" inset="0,0,0,0">
                <w:txbxContent>
                  <w:p w:rsidR="00A905B7" w:rsidRDefault="00A905B7">
                    <w:r>
                      <w:rPr>
                        <w:color w:val="000000"/>
                      </w:rPr>
                      <w:t>(</w:t>
                    </w:r>
                  </w:p>
                </w:txbxContent>
              </v:textbox>
            </v:rect>
            <v:rect id="_x0000_s1942" style="position:absolute;left:2240;top:26;width:67;height:240;mso-wrap-style:none" filled="f" stroked="f">
              <v:textbox style="mso-next-textbox:#_x0000_s1942;mso-fit-shape-to-text:t" inset="0,0,0,0">
                <w:txbxContent>
                  <w:p w:rsidR="00A905B7" w:rsidRDefault="00A905B7">
                    <w:r>
                      <w:rPr>
                        <w:color w:val="000000"/>
                      </w:rPr>
                      <w:t>)</w:t>
                    </w:r>
                  </w:p>
                </w:txbxContent>
              </v:textbox>
            </v:rect>
            <v:rect id="_x0000_s1943" style="position:absolute;left:1167;top:26;width:67;height:240;mso-wrap-style:none" filled="f" stroked="f">
              <v:textbox style="mso-next-textbox:#_x0000_s1943;mso-fit-shape-to-text:t" inset="0,0,0,0">
                <w:txbxContent>
                  <w:p w:rsidR="00A905B7" w:rsidRDefault="00A905B7">
                    <w:r>
                      <w:rPr>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t>and:</w:t>
      </w:r>
    </w:p>
    <w:p w:rsidR="00DA59A4" w:rsidRPr="00B04DC3" w:rsidRDefault="00DA59A4" w:rsidP="00DA59A4">
      <w:pPr>
        <w:pStyle w:val="para"/>
        <w:spacing w:after="240"/>
        <w:rPr>
          <w:lang w:val="en-GB"/>
        </w:rPr>
      </w:pPr>
      <w:r w:rsidRPr="00B04DC3">
        <w:rPr>
          <w:lang w:val="en-GB"/>
        </w:rPr>
        <w:tab/>
      </w:r>
      <w:r w:rsidR="00AA0E48" w:rsidRPr="00B04DC3">
        <w:rPr>
          <w:position w:val="-30"/>
          <w:lang w:val="en-GB"/>
        </w:rPr>
        <w:object w:dxaOrig="3620" w:dyaOrig="680">
          <v:shape id="_x0000_i1090" type="#_x0000_t75" style="width:163.8pt;height:30.6pt" o:ole="">
            <v:imagedata r:id="rId146" o:title=""/>
          </v:shape>
          <o:OLEObject Type="Embed" ProgID="Equation.3" ShapeID="_x0000_i1090" DrawAspect="Content" ObjectID="_1498392252" r:id="rId147"/>
        </w:object>
      </w:r>
    </w:p>
    <w:p w:rsidR="00DA59A4" w:rsidRPr="00B04DC3" w:rsidRDefault="00DA59A4" w:rsidP="00DA59A4">
      <w:pPr>
        <w:pStyle w:val="para"/>
        <w:spacing w:after="240"/>
        <w:rPr>
          <w:lang w:val="en-GB"/>
        </w:rPr>
      </w:pPr>
      <w:r w:rsidRPr="00B04DC3">
        <w:rPr>
          <w:lang w:val="en-GB"/>
        </w:rPr>
        <w:tab/>
      </w:r>
      <w:r w:rsidR="00AA0E48" w:rsidRPr="00B04DC3">
        <w:rPr>
          <w:position w:val="-30"/>
          <w:lang w:val="en-GB"/>
        </w:rPr>
        <w:object w:dxaOrig="3400" w:dyaOrig="680">
          <v:shape id="_x0000_i1091" type="#_x0000_t75" style="width:153.6pt;height:30.6pt" o:ole="">
            <v:imagedata r:id="rId148" o:title=""/>
          </v:shape>
          <o:OLEObject Type="Embed" ProgID="Equation.3" ShapeID="_x0000_i1091" DrawAspect="Content" ObjectID="_1498392253" r:id="rId149"/>
        </w:object>
      </w:r>
    </w:p>
    <w:p w:rsidR="00DA59A4" w:rsidRPr="00B04DC3" w:rsidRDefault="00DA59A4" w:rsidP="00DA59A4">
      <w:pPr>
        <w:pStyle w:val="para"/>
        <w:spacing w:after="240"/>
        <w:rPr>
          <w:lang w:val="en-GB"/>
        </w:rPr>
      </w:pPr>
      <w:r w:rsidRPr="00B04DC3">
        <w:rPr>
          <w:lang w:val="en-GB"/>
        </w:rPr>
        <w:tab/>
      </w:r>
      <w:r w:rsidR="00AA0E48" w:rsidRPr="00B04DC3">
        <w:rPr>
          <w:position w:val="-30"/>
          <w:lang w:val="en-GB"/>
        </w:rPr>
        <w:object w:dxaOrig="3700" w:dyaOrig="680">
          <v:shape id="_x0000_i1092" type="#_x0000_t75" style="width:156.6pt;height:29.4pt" o:ole="">
            <v:imagedata r:id="rId150" o:title=""/>
          </v:shape>
          <o:OLEObject Type="Embed" ProgID="Equation.3" ShapeID="_x0000_i1092" DrawAspect="Content" ObjectID="_1498392254" r:id="rId151"/>
        </w:object>
      </w:r>
    </w:p>
    <w:p w:rsidR="00DA59A4" w:rsidRPr="00B04DC3" w:rsidRDefault="00DA59A4" w:rsidP="00DA59A4">
      <w:pPr>
        <w:pStyle w:val="para"/>
        <w:rPr>
          <w:lang w:val="en-GB"/>
        </w:rPr>
      </w:pPr>
      <w:r w:rsidRPr="00B04DC3">
        <w:rPr>
          <w:lang w:val="en-GB"/>
        </w:rPr>
        <w:tab/>
      </w:r>
      <w:r w:rsidR="00AA0E48" w:rsidRPr="00B04DC3">
        <w:rPr>
          <w:position w:val="-30"/>
          <w:lang w:val="en-GB"/>
        </w:rPr>
        <w:object w:dxaOrig="3620" w:dyaOrig="680">
          <v:shape id="_x0000_i1093" type="#_x0000_t75" style="width:157.8pt;height:29.4pt" o:ole="">
            <v:imagedata r:id="rId152" o:title=""/>
          </v:shape>
          <o:OLEObject Type="Embed" ProgID="Equation.3" ShapeID="_x0000_i1093" DrawAspect="Content" ObjectID="_1498392255" r:id="rId153"/>
        </w:obje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2268"/>
        </w:tabs>
        <w:ind w:left="3969" w:hanging="2835"/>
        <w:rPr>
          <w:lang w:val="en-GB"/>
        </w:rPr>
      </w:pPr>
      <w:r w:rsidRPr="00B04DC3">
        <w:rPr>
          <w:lang w:val="en-GB"/>
        </w:rPr>
        <w:tab/>
        <w:t>E</w:t>
      </w:r>
      <w:r w:rsidRPr="00B04DC3">
        <w:rPr>
          <w:vertAlign w:val="subscript"/>
          <w:lang w:val="en-GB"/>
        </w:rPr>
        <w:t>R</w:t>
      </w:r>
      <w:r w:rsidRPr="00B04DC3">
        <w:rPr>
          <w:lang w:val="en-GB"/>
        </w:rPr>
        <w:t>, E</w:t>
      </w:r>
      <w:r w:rsidRPr="00B04DC3">
        <w:rPr>
          <w:vertAlign w:val="subscript"/>
          <w:lang w:val="en-GB"/>
        </w:rPr>
        <w:t>S</w:t>
      </w:r>
      <w:r w:rsidRPr="00B04DC3">
        <w:rPr>
          <w:lang w:val="en-GB"/>
        </w:rPr>
        <w:t>, E</w:t>
      </w:r>
      <w:r w:rsidRPr="00B04DC3">
        <w:rPr>
          <w:vertAlign w:val="subscript"/>
          <w:lang w:val="en-GB"/>
        </w:rPr>
        <w:t>T</w:t>
      </w:r>
      <w:r w:rsidRPr="00B04DC3">
        <w:rPr>
          <w:lang w:val="en-GB"/>
        </w:rPr>
        <w:t>, E</w:t>
      </w:r>
      <w:r w:rsidRPr="00B04DC3">
        <w:rPr>
          <w:vertAlign w:val="subscript"/>
          <w:lang w:val="en-GB"/>
        </w:rPr>
        <w:t xml:space="preserve">U </w:t>
      </w:r>
      <w:r w:rsidRPr="00B04DC3">
        <w:rPr>
          <w:lang w:val="en-GB"/>
        </w:rPr>
        <w:t>=</w:t>
      </w:r>
      <w:r w:rsidRPr="00B04DC3">
        <w:rPr>
          <w:lang w:val="en-GB"/>
        </w:rPr>
        <w:tab/>
        <w:t>specific NO</w:t>
      </w:r>
      <w:r w:rsidRPr="00B04DC3">
        <w:rPr>
          <w:vertAlign w:val="subscript"/>
          <w:lang w:val="en-GB"/>
        </w:rPr>
        <w:t>x</w:t>
      </w:r>
      <w:r w:rsidRPr="00B04DC3">
        <w:rPr>
          <w:lang w:val="en-GB"/>
        </w:rPr>
        <w:t xml:space="preserve"> emission of the enveloping modes calculated in accordance with paragraph 5.6.1.</w:t>
      </w:r>
      <w:r w:rsidR="00FA27AE" w:rsidRPr="00FA27AE">
        <w:rPr>
          <w:lang w:val="en-GB"/>
        </w:rPr>
        <w:t xml:space="preserve"> </w:t>
      </w:r>
      <w:r w:rsidR="00FA27AE">
        <w:rPr>
          <w:lang w:val="en-GB"/>
        </w:rPr>
        <w:t>of this appendix.</w:t>
      </w:r>
    </w:p>
    <w:p w:rsidR="00DA59A4" w:rsidRPr="00B04DC3" w:rsidRDefault="00DA59A4" w:rsidP="00DA59A4">
      <w:pPr>
        <w:pStyle w:val="para"/>
        <w:rPr>
          <w:lang w:val="en-GB"/>
        </w:rPr>
      </w:pPr>
      <w:r w:rsidRPr="00B04DC3">
        <w:rPr>
          <w:lang w:val="en-GB"/>
        </w:rPr>
        <w:tab/>
      </w:r>
      <w:r w:rsidRPr="00B04DC3">
        <w:rPr>
          <w:lang w:val="en-GB"/>
        </w:rPr>
        <w:tab/>
        <w:t>M</w:t>
      </w:r>
      <w:r w:rsidRPr="00B04DC3">
        <w:rPr>
          <w:vertAlign w:val="subscript"/>
          <w:lang w:val="en-GB"/>
        </w:rPr>
        <w:t>R</w:t>
      </w:r>
      <w:r w:rsidRPr="00B04DC3">
        <w:rPr>
          <w:lang w:val="en-GB"/>
        </w:rPr>
        <w:t>, M</w:t>
      </w:r>
      <w:r w:rsidRPr="00B04DC3">
        <w:rPr>
          <w:vertAlign w:val="subscript"/>
          <w:lang w:val="en-GB"/>
        </w:rPr>
        <w:t>S</w:t>
      </w:r>
      <w:r w:rsidRPr="00B04DC3">
        <w:rPr>
          <w:lang w:val="en-GB"/>
        </w:rPr>
        <w:t>, M</w:t>
      </w:r>
      <w:r w:rsidRPr="00B04DC3">
        <w:rPr>
          <w:vertAlign w:val="subscript"/>
          <w:lang w:val="en-GB"/>
        </w:rPr>
        <w:t>T</w:t>
      </w:r>
      <w:r w:rsidRPr="00B04DC3">
        <w:rPr>
          <w:lang w:val="en-GB"/>
        </w:rPr>
        <w:t>, M</w:t>
      </w:r>
      <w:r w:rsidRPr="00B04DC3">
        <w:rPr>
          <w:vertAlign w:val="subscript"/>
          <w:lang w:val="en-GB"/>
        </w:rPr>
        <w:t>U</w:t>
      </w:r>
      <w:r w:rsidRPr="00B04DC3">
        <w:rPr>
          <w:lang w:val="en-GB"/>
        </w:rPr>
        <w:t xml:space="preserve"> =</w:t>
      </w:r>
      <w:r w:rsidRPr="00B04DC3">
        <w:rPr>
          <w:lang w:val="en-GB"/>
        </w:rPr>
        <w:tab/>
        <w:t>engine torque of the enveloping modes</w:t>
      </w:r>
      <w:bookmarkStart w:id="214" w:name="_Toc392664041"/>
      <w:r w:rsidRPr="00B04DC3">
        <w:rPr>
          <w:lang w:val="en-GB"/>
        </w:rPr>
        <w:t>.</w:t>
      </w:r>
    </w:p>
    <w:p w:rsidR="00DA59A4" w:rsidRPr="00B04DC3" w:rsidRDefault="00DA59A4" w:rsidP="00DA59A4">
      <w:pPr>
        <w:pStyle w:val="Heading1"/>
      </w:pPr>
      <w:bookmarkStart w:id="215" w:name="_Toc399939927"/>
      <w:bookmarkStart w:id="216" w:name="_Toc423599514"/>
      <w:bookmarkStart w:id="217" w:name="_Toc423610922"/>
      <w:r w:rsidRPr="00B04DC3">
        <w:t>Figure 4</w:t>
      </w:r>
      <w:bookmarkEnd w:id="215"/>
      <w:bookmarkEnd w:id="216"/>
      <w:bookmarkEnd w:id="217"/>
    </w:p>
    <w:p w:rsidR="00DA59A4" w:rsidRPr="00B04DC3" w:rsidRDefault="00DA59A4" w:rsidP="00DA59A4">
      <w:pPr>
        <w:pStyle w:val="SingleTxtG"/>
        <w:keepNext/>
        <w:rPr>
          <w:b/>
        </w:rPr>
      </w:pPr>
      <w:r w:rsidRPr="00B04DC3">
        <w:rPr>
          <w:b/>
        </w:rPr>
        <w:t>Interpolation of NO</w:t>
      </w:r>
      <w:r w:rsidRPr="00B04DC3">
        <w:rPr>
          <w:b/>
          <w:vertAlign w:val="subscript"/>
        </w:rPr>
        <w:t>x</w:t>
      </w:r>
      <w:r w:rsidRPr="00B04DC3">
        <w:rPr>
          <w:b/>
        </w:rPr>
        <w:t xml:space="preserve"> </w:t>
      </w:r>
      <w:r w:rsidR="00FA27AE">
        <w:rPr>
          <w:b/>
        </w:rPr>
        <w:t>c</w:t>
      </w:r>
      <w:r w:rsidR="00FA27AE" w:rsidRPr="00B04DC3">
        <w:rPr>
          <w:b/>
        </w:rPr>
        <w:t xml:space="preserve">ontrol </w:t>
      </w:r>
      <w:bookmarkEnd w:id="214"/>
      <w:r w:rsidR="00FA27AE">
        <w:rPr>
          <w:b/>
        </w:rPr>
        <w:t>p</w:t>
      </w:r>
      <w:r w:rsidR="00FA27AE" w:rsidRPr="00B04DC3">
        <w:rPr>
          <w:b/>
        </w:rPr>
        <w:t>oint</w:t>
      </w:r>
    </w:p>
    <w:p w:rsidR="00DA59A4" w:rsidRPr="00B04DC3" w:rsidRDefault="00A905B7" w:rsidP="00AA0E48">
      <w:pPr>
        <w:ind w:left="1134"/>
      </w:pPr>
      <w:r>
        <w:pict>
          <v:shape id="_x0000_i1094" type="#_x0000_t75" style="width:346.2pt;height:237.6pt" fillcolor="window">
            <v:imagedata r:id="rId154" o:title=""/>
          </v:shape>
        </w:pict>
      </w:r>
    </w:p>
    <w:p w:rsidR="00DA59A4" w:rsidRPr="00B04DC3" w:rsidRDefault="00DA59A4" w:rsidP="00DA59A4">
      <w:pPr>
        <w:pStyle w:val="para"/>
        <w:rPr>
          <w:lang w:val="en-GB"/>
        </w:rPr>
      </w:pPr>
      <w:r w:rsidRPr="00B04DC3">
        <w:rPr>
          <w:lang w:val="en-GB"/>
        </w:rPr>
        <w:t>5.6.3.</w:t>
      </w:r>
      <w:r w:rsidRPr="00B04DC3">
        <w:rPr>
          <w:lang w:val="en-GB"/>
        </w:rPr>
        <w:tab/>
        <w:t>Comparison of NO</w:t>
      </w:r>
      <w:r w:rsidRPr="00B04DC3">
        <w:rPr>
          <w:vertAlign w:val="subscript"/>
          <w:lang w:val="en-GB"/>
        </w:rPr>
        <w:t>x</w:t>
      </w:r>
      <w:r w:rsidRPr="00B04DC3">
        <w:rPr>
          <w:lang w:val="en-GB"/>
        </w:rPr>
        <w:t xml:space="preserve"> emission values</w:t>
      </w:r>
    </w:p>
    <w:p w:rsidR="00DA59A4" w:rsidRPr="00B04DC3" w:rsidRDefault="00DA59A4" w:rsidP="00DA59A4">
      <w:pPr>
        <w:pStyle w:val="para"/>
        <w:rPr>
          <w:lang w:val="en-GB"/>
        </w:rPr>
      </w:pPr>
      <w:r w:rsidRPr="00B04DC3">
        <w:rPr>
          <w:lang w:val="en-GB"/>
        </w:rPr>
        <w:tab/>
        <w:t>The measured specific NO</w:t>
      </w:r>
      <w:r w:rsidRPr="00B04DC3">
        <w:rPr>
          <w:vertAlign w:val="subscript"/>
          <w:lang w:val="en-GB"/>
        </w:rPr>
        <w:t xml:space="preserve">x </w:t>
      </w:r>
      <w:r w:rsidRPr="00B04DC3">
        <w:rPr>
          <w:lang w:val="en-GB"/>
        </w:rPr>
        <w:t>emission of the control point Z (NO</w:t>
      </w:r>
      <w:r w:rsidRPr="00B04DC3">
        <w:rPr>
          <w:vertAlign w:val="subscript"/>
          <w:lang w:val="en-GB"/>
        </w:rPr>
        <w:t>x,Z</w:t>
      </w:r>
      <w:r w:rsidRPr="00B04DC3">
        <w:rPr>
          <w:lang w:val="en-GB"/>
        </w:rPr>
        <w:t>) is compared to the interpolated value (E</w:t>
      </w:r>
      <w:r w:rsidRPr="00B04DC3">
        <w:rPr>
          <w:vertAlign w:val="subscript"/>
          <w:lang w:val="en-GB"/>
        </w:rPr>
        <w:t>Z</w:t>
      </w:r>
      <w:r w:rsidRPr="00B04DC3">
        <w:rPr>
          <w:lang w:val="en-GB"/>
        </w:rPr>
        <w:t>) as follows:</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0"/>
          <w:lang w:val="en-GB"/>
        </w:rPr>
        <w:object w:dxaOrig="2620" w:dyaOrig="680">
          <v:shape id="_x0000_i1095" type="#_x0000_t75" style="width:114pt;height:29.4pt" o:ole="">
            <v:imagedata r:id="rId155" o:title=""/>
          </v:shape>
          <o:OLEObject Type="Embed" ProgID="Equation.3" ShapeID="_x0000_i1095" DrawAspect="Content" ObjectID="_1498392256" r:id="rId156"/>
        </w:object>
      </w:r>
    </w:p>
    <w:p w:rsidR="00DA59A4" w:rsidRPr="00B04DC3" w:rsidRDefault="00DA59A4" w:rsidP="00DA59A4">
      <w:pPr>
        <w:pStyle w:val="para"/>
        <w:rPr>
          <w:lang w:val="en-GB"/>
        </w:rPr>
      </w:pPr>
      <w:r w:rsidRPr="00B04DC3">
        <w:rPr>
          <w:lang w:val="en-GB"/>
        </w:rPr>
        <w:t>6.</w:t>
      </w:r>
      <w:r w:rsidRPr="00B04DC3">
        <w:rPr>
          <w:lang w:val="en-GB"/>
        </w:rPr>
        <w:tab/>
        <w:t>Calcultation of the particulate emissions</w:t>
      </w:r>
    </w:p>
    <w:bookmarkEnd w:id="212"/>
    <w:bookmarkEnd w:id="213"/>
    <w:p w:rsidR="00DA59A4" w:rsidRPr="00B04DC3" w:rsidRDefault="00DA59A4" w:rsidP="00DA59A4">
      <w:pPr>
        <w:pStyle w:val="para"/>
        <w:rPr>
          <w:lang w:val="en-GB"/>
        </w:rPr>
      </w:pPr>
      <w:r w:rsidRPr="00B04DC3">
        <w:rPr>
          <w:lang w:val="en-GB"/>
        </w:rPr>
        <w:t>6.1.</w:t>
      </w:r>
      <w:r w:rsidRPr="00B04DC3">
        <w:rPr>
          <w:lang w:val="en-GB"/>
        </w:rPr>
        <w:tab/>
        <w:t>Data evaluation</w:t>
      </w:r>
    </w:p>
    <w:p w:rsidR="00DA59A4" w:rsidRPr="00B04DC3" w:rsidRDefault="00DA59A4" w:rsidP="00DA59A4">
      <w:pPr>
        <w:pStyle w:val="para"/>
        <w:rPr>
          <w:lang w:val="en-GB"/>
        </w:rPr>
      </w:pPr>
      <w:r w:rsidRPr="00B04DC3">
        <w:rPr>
          <w:lang w:val="en-GB"/>
        </w:rPr>
        <w:tab/>
        <w:t>For the evaluation of the particulates, the total sample masses (m</w:t>
      </w:r>
      <w:r w:rsidRPr="00B04DC3">
        <w:rPr>
          <w:vertAlign w:val="subscript"/>
          <w:lang w:val="en-GB"/>
        </w:rPr>
        <w:t>sep</w:t>
      </w:r>
      <w:r w:rsidRPr="00B04DC3">
        <w:rPr>
          <w:lang w:val="en-GB"/>
        </w:rPr>
        <w:t>) through the filter shall be recorded for each mode.</w:t>
      </w:r>
    </w:p>
    <w:p w:rsidR="00DA59A4" w:rsidRPr="00B04DC3" w:rsidRDefault="00DA59A4" w:rsidP="00DA59A4">
      <w:pPr>
        <w:pStyle w:val="para"/>
        <w:rPr>
          <w:lang w:val="en-GB"/>
        </w:rPr>
      </w:pPr>
      <w:r w:rsidRPr="00B04DC3">
        <w:rPr>
          <w:lang w:val="en-GB"/>
        </w:rPr>
        <w:tab/>
        <w:t>The filter shall be returned to the weighing chamber and conditioned for at least one hour, but not more than 80 hours, and then weighed. The gross weight of the filters shall be recorded and the tare weight (see paragraph 2.1.</w:t>
      </w:r>
      <w:r w:rsidR="00FA27AE" w:rsidRPr="00FA27AE">
        <w:rPr>
          <w:lang w:val="en-GB"/>
        </w:rPr>
        <w:t xml:space="preserve"> </w:t>
      </w:r>
      <w:r w:rsidR="00FA27AE">
        <w:rPr>
          <w:lang w:val="en-GB"/>
        </w:rPr>
        <w:t>of this appendix</w:t>
      </w:r>
      <w:r w:rsidRPr="00B04DC3">
        <w:rPr>
          <w:lang w:val="en-GB"/>
        </w:rPr>
        <w:t>) subtracted, which results in the particulate sample mass m</w:t>
      </w:r>
      <w:r w:rsidRPr="00B04DC3">
        <w:rPr>
          <w:vertAlign w:val="subscript"/>
          <w:lang w:val="en-GB"/>
        </w:rPr>
        <w:t>f</w:t>
      </w:r>
      <w:r w:rsidRPr="00B04DC3">
        <w:rPr>
          <w:lang w:val="en-GB"/>
        </w:rPr>
        <w:t>.</w:t>
      </w:r>
    </w:p>
    <w:p w:rsidR="00DA59A4" w:rsidRPr="00B04DC3" w:rsidRDefault="00DA59A4" w:rsidP="00DA59A4">
      <w:pPr>
        <w:pStyle w:val="para"/>
        <w:rPr>
          <w:lang w:val="en-GB"/>
        </w:rPr>
      </w:pPr>
      <w:r w:rsidRPr="00B04DC3">
        <w:rPr>
          <w:lang w:val="en-GB"/>
        </w:rPr>
        <w:tab/>
        <w:t>If background correction is to be applied, the diluent mass (m</w:t>
      </w:r>
      <w:r w:rsidRPr="00B04DC3">
        <w:rPr>
          <w:vertAlign w:val="subscript"/>
          <w:lang w:val="en-GB"/>
        </w:rPr>
        <w:t>d</w:t>
      </w:r>
      <w:r w:rsidRPr="00B04DC3">
        <w:rPr>
          <w:lang w:val="en-GB"/>
        </w:rPr>
        <w:t>) through the filter and the particulate mass (m</w:t>
      </w:r>
      <w:r w:rsidRPr="00B04DC3">
        <w:rPr>
          <w:vertAlign w:val="subscript"/>
          <w:lang w:val="en-GB"/>
        </w:rPr>
        <w:t>f, d</w:t>
      </w:r>
      <w:r w:rsidRPr="00B04DC3">
        <w:rPr>
          <w:lang w:val="en-GB"/>
        </w:rPr>
        <w:t>) shall be recorded. If more than one measurement was made, the quotient m</w:t>
      </w:r>
      <w:r w:rsidRPr="00B04DC3">
        <w:rPr>
          <w:vertAlign w:val="subscript"/>
          <w:lang w:val="en-GB"/>
        </w:rPr>
        <w:t>f,d</w:t>
      </w:r>
      <w:r w:rsidRPr="00B04DC3">
        <w:rPr>
          <w:lang w:val="en-GB"/>
        </w:rPr>
        <w:t>/m</w:t>
      </w:r>
      <w:r w:rsidRPr="00B04DC3">
        <w:rPr>
          <w:vertAlign w:val="subscript"/>
          <w:lang w:val="en-GB"/>
        </w:rPr>
        <w:t>d</w:t>
      </w:r>
      <w:r w:rsidRPr="00B04DC3">
        <w:rPr>
          <w:lang w:val="en-GB"/>
        </w:rPr>
        <w:t xml:space="preserve"> shall be calculated for each single measurement and the values averaged.</w:t>
      </w:r>
    </w:p>
    <w:p w:rsidR="00C2508C" w:rsidRPr="00B04DC3" w:rsidRDefault="00C2508C" w:rsidP="00C2508C">
      <w:pPr>
        <w:spacing w:after="120"/>
        <w:ind w:left="2268" w:right="1134" w:hanging="1134"/>
        <w:jc w:val="both"/>
      </w:pPr>
      <w:r w:rsidRPr="00B04DC3">
        <w:t>6.2.</w:t>
      </w:r>
      <w:r w:rsidRPr="00B04DC3">
        <w:tab/>
        <w:t>Partial flow dilution system</w:t>
      </w:r>
    </w:p>
    <w:p w:rsidR="00C2508C" w:rsidRPr="00B04DC3" w:rsidRDefault="00C2508C" w:rsidP="00C2508C">
      <w:pPr>
        <w:spacing w:after="120"/>
        <w:ind w:left="2268" w:right="1134" w:hanging="1134"/>
        <w:jc w:val="both"/>
      </w:pPr>
      <w:r w:rsidRPr="00B04DC3">
        <w:tab/>
        <w:t>The final reported test results of the particulate emission shall be determined through the following steps. Since various types of dilution rate control may be used, different calculation methods for q</w:t>
      </w:r>
      <w:r w:rsidRPr="00B04DC3">
        <w:rPr>
          <w:vertAlign w:val="subscript"/>
        </w:rPr>
        <w:t>medf</w:t>
      </w:r>
      <w:r w:rsidRPr="00B04DC3">
        <w:t xml:space="preserve"> apply. All calculations shall be based upon the average values of the individual modes during the sampling period.</w:t>
      </w:r>
    </w:p>
    <w:p w:rsidR="00C2508C" w:rsidRPr="00B04DC3" w:rsidRDefault="00C2508C" w:rsidP="00C2508C">
      <w:pPr>
        <w:pStyle w:val="para"/>
        <w:ind w:firstLine="0"/>
        <w:rPr>
          <w:lang w:val="en-GB"/>
        </w:rPr>
      </w:pPr>
      <w:r w:rsidRPr="00B04DC3">
        <w:rPr>
          <w:lang w:val="en-GB"/>
        </w:rPr>
        <w:t>In case of dual-fuel engines operating in dual-fuel mode, the exhaust mass flow shall be determined according to the direct measurement method as specified in 6.2.4.</w:t>
      </w:r>
      <w:r w:rsidR="00FA27AE" w:rsidRPr="00FA27AE">
        <w:rPr>
          <w:lang w:val="en-GB"/>
        </w:rPr>
        <w:t xml:space="preserve"> </w:t>
      </w:r>
      <w:r w:rsidR="00FA27AE">
        <w:rPr>
          <w:lang w:val="en-GB"/>
        </w:rPr>
        <w:t>of this appendix.</w:t>
      </w:r>
    </w:p>
    <w:p w:rsidR="00DA59A4" w:rsidRPr="00B04DC3" w:rsidRDefault="00DA59A4" w:rsidP="00DA59A4">
      <w:pPr>
        <w:pStyle w:val="para"/>
        <w:rPr>
          <w:lang w:val="en-GB"/>
        </w:rPr>
      </w:pPr>
      <w:r w:rsidRPr="00B04DC3">
        <w:rPr>
          <w:lang w:val="en-GB"/>
        </w:rPr>
        <w:t>6.2.1.</w:t>
      </w:r>
      <w:r w:rsidRPr="00B04DC3">
        <w:rPr>
          <w:lang w:val="en-GB"/>
        </w:rPr>
        <w:tab/>
        <w:t>Isokinetic systems</w:t>
      </w:r>
    </w:p>
    <w:p w:rsidR="00DA59A4" w:rsidRPr="00B04DC3" w:rsidRDefault="00DA59A4" w:rsidP="00DA59A4">
      <w:pPr>
        <w:pStyle w:val="para"/>
        <w:rPr>
          <w:lang w:val="en-GB"/>
        </w:rPr>
      </w:pPr>
      <w:r w:rsidRPr="00B04DC3">
        <w:rPr>
          <w:lang w:val="en-GB"/>
        </w:rPr>
        <w:tab/>
      </w:r>
      <w:r w:rsidRPr="00B04DC3">
        <w:rPr>
          <w:lang w:val="en-GB"/>
        </w:rPr>
        <w:tab/>
      </w:r>
      <w:r w:rsidRPr="00B04DC3">
        <w:rPr>
          <w:position w:val="-12"/>
          <w:lang w:val="en-GB"/>
        </w:rPr>
        <w:object w:dxaOrig="1700" w:dyaOrig="360">
          <v:shape id="_x0000_i1096" type="#_x0000_t75" style="width:84.6pt;height:18pt" o:ole="">
            <v:imagedata r:id="rId157" o:title=""/>
          </v:shape>
          <o:OLEObject Type="Embed" ProgID="Equation.3" ShapeID="_x0000_i1096" DrawAspect="Content" ObjectID="_1498392257" r:id="rId158"/>
        </w:object>
      </w:r>
    </w:p>
    <w:p w:rsidR="00DA59A4" w:rsidRPr="00B04DC3" w:rsidRDefault="00DA59A4" w:rsidP="00DA59A4">
      <w:pPr>
        <w:pStyle w:val="para"/>
        <w:rPr>
          <w:lang w:val="en-GB"/>
        </w:rPr>
      </w:pPr>
      <w:r w:rsidRPr="00B04DC3">
        <w:rPr>
          <w:lang w:val="en-GB"/>
        </w:rPr>
        <w:tab/>
      </w:r>
      <w:r w:rsidRPr="00B04DC3">
        <w:rPr>
          <w:lang w:val="en-GB"/>
        </w:rPr>
        <w:tab/>
      </w:r>
      <w:r w:rsidRPr="00B04DC3">
        <w:rPr>
          <w:position w:val="-30"/>
          <w:lang w:val="en-GB"/>
        </w:rPr>
        <w:object w:dxaOrig="2240" w:dyaOrig="680">
          <v:shape id="_x0000_i1097" type="#_x0000_t75" style="width:111.6pt;height:33.6pt" o:ole="">
            <v:imagedata r:id="rId159" o:title=""/>
          </v:shape>
          <o:OLEObject Type="Embed" ProgID="Equation.3" ShapeID="_x0000_i1097" DrawAspect="Content" ObjectID="_1498392258" r:id="rId160"/>
        </w:obje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 xml:space="preserve"> r</w:t>
      </w:r>
      <w:r w:rsidRPr="00B04DC3">
        <w:rPr>
          <w:vertAlign w:val="subscript"/>
          <w:lang w:val="en-GB"/>
        </w:rPr>
        <w:t>a</w:t>
      </w:r>
      <w:r w:rsidRPr="00B04DC3">
        <w:rPr>
          <w:lang w:val="en-GB"/>
        </w:rPr>
        <w:t xml:space="preserve"> corresponds to the ratio of the cross sectional areas of the isokinetic probe and the exhaust pipe:</w:t>
      </w:r>
    </w:p>
    <w:p w:rsidR="00DA59A4" w:rsidRPr="00B04DC3" w:rsidRDefault="00DA59A4" w:rsidP="00DA59A4">
      <w:pPr>
        <w:pStyle w:val="para"/>
        <w:rPr>
          <w:lang w:val="en-GB"/>
        </w:rPr>
      </w:pPr>
      <w:r w:rsidRPr="00B04DC3">
        <w:rPr>
          <w:lang w:val="en-GB"/>
        </w:rPr>
        <w:tab/>
      </w:r>
      <w:r w:rsidRPr="00B04DC3">
        <w:rPr>
          <w:lang w:val="en-GB"/>
        </w:rPr>
        <w:tab/>
      </w:r>
      <w:r w:rsidRPr="00B04DC3">
        <w:rPr>
          <w:position w:val="-30"/>
          <w:lang w:val="en-GB"/>
        </w:rPr>
        <w:object w:dxaOrig="840" w:dyaOrig="720">
          <v:shape id="_x0000_i1098" type="#_x0000_t75" style="width:42pt;height:36pt" o:ole="">
            <v:imagedata r:id="rId161" o:title=""/>
          </v:shape>
          <o:OLEObject Type="Embed" ProgID="Equation.3" ShapeID="_x0000_i1098" DrawAspect="Content" ObjectID="_1498392259" r:id="rId162"/>
        </w:object>
      </w:r>
    </w:p>
    <w:p w:rsidR="00DA59A4" w:rsidRPr="00B04DC3" w:rsidRDefault="00DA59A4" w:rsidP="00DA59A4">
      <w:pPr>
        <w:pStyle w:val="para"/>
        <w:rPr>
          <w:lang w:val="en-GB"/>
        </w:rPr>
      </w:pPr>
      <w:r w:rsidRPr="00B04DC3">
        <w:rPr>
          <w:lang w:val="en-GB"/>
        </w:rPr>
        <w:t>6.2.2.</w:t>
      </w:r>
      <w:r w:rsidRPr="00B04DC3">
        <w:rPr>
          <w:lang w:val="en-GB"/>
        </w:rPr>
        <w:tab/>
        <w:t>Systems with measurement of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concentration</w:t>
      </w:r>
    </w:p>
    <w:p w:rsidR="00DA59A4" w:rsidRPr="00B04DC3" w:rsidRDefault="00DA59A4" w:rsidP="00AA0E48">
      <w:pPr>
        <w:pStyle w:val="para"/>
        <w:spacing w:after="60"/>
        <w:rPr>
          <w:lang w:val="en-GB"/>
        </w:rPr>
      </w:pPr>
      <w:r w:rsidRPr="00B04DC3">
        <w:rPr>
          <w:lang w:val="en-GB"/>
        </w:rPr>
        <w:tab/>
      </w:r>
      <w:r w:rsidRPr="00B04DC3">
        <w:rPr>
          <w:lang w:val="en-GB"/>
        </w:rPr>
        <w:tab/>
      </w:r>
      <w:r w:rsidR="00A905B7">
        <w:rPr>
          <w:lang w:val="en-GB"/>
        </w:rPr>
      </w:r>
      <w:r w:rsidR="00A905B7">
        <w:rPr>
          <w:lang w:val="en-GB"/>
        </w:rPr>
        <w:pict>
          <v:group id="_x0000_s1944" editas="canvas" style="width:87pt;height:32.75pt;mso-position-horizontal-relative:char;mso-position-vertical-relative:line" coordsize="1740,655">
            <o:lock v:ext="edit" aspectratio="t"/>
            <v:shape id="_x0000_s1945" type="#_x0000_t75" style="position:absolute;width:1740;height:655" o:preferrelative="f">
              <v:fill o:detectmouseclick="t"/>
              <v:path o:extrusionok="t" o:connecttype="none"/>
              <o:lock v:ext="edit" text="t"/>
            </v:shape>
            <v:rect id="_x0000_s1946" style="position:absolute;left:1620;top:180;width:71;height:240;mso-wrap-style:none" filled="f" stroked="f">
              <v:textbox style="mso-fit-shape-to-text:t" inset="0,0,0,0">
                <w:txbxContent>
                  <w:p w:rsidR="00A905B7" w:rsidRPr="008A3BC5" w:rsidRDefault="00A905B7">
                    <w:r w:rsidRPr="008A3BC5">
                      <w:rPr>
                        <w:color w:val="000000"/>
                        <w:sz w:val="14"/>
                        <w:szCs w:val="14"/>
                      </w:rPr>
                      <w:t>d</w:t>
                    </w:r>
                  </w:p>
                </w:txbxContent>
              </v:textbox>
            </v:rect>
            <v:rect id="_x0000_s1947" style="position:absolute;left:1548;top:24;width:67;height:240;mso-wrap-style:none" filled="f" stroked="f">
              <v:textbox style="mso-fit-shape-to-text:t" inset="0,0,0,0">
                <w:txbxContent>
                  <w:p w:rsidR="00A905B7" w:rsidRPr="008A3BC5" w:rsidRDefault="00A905B7">
                    <w:r w:rsidRPr="008A3BC5">
                      <w:rPr>
                        <w:iCs/>
                        <w:color w:val="000000"/>
                      </w:rPr>
                      <w:t>r</w:t>
                    </w:r>
                  </w:p>
                </w:txbxContent>
              </v:textbox>
            </v:rect>
            <v:rect id="_x0000_s1948" style="position:absolute;left:829;top:24;width:101;height:240;mso-wrap-style:none" filled="f" stroked="f">
              <v:textbox style="mso-fit-shape-to-text:t" inset="0,0,0,0">
                <w:txbxContent>
                  <w:p w:rsidR="00A905B7" w:rsidRPr="008A3BC5" w:rsidRDefault="00A905B7">
                    <w:r w:rsidRPr="008A3BC5">
                      <w:rPr>
                        <w:iCs/>
                        <w:color w:val="000000"/>
                      </w:rPr>
                      <w:t>q</w:t>
                    </w:r>
                  </w:p>
                </w:txbxContent>
              </v:textbox>
            </v:rect>
            <v:rect id="_x0000_s1949" style="position:absolute;left:36;top:24;width:101;height:240;mso-wrap-style:none" filled="f" stroked="f">
              <v:textbox style="mso-fit-shape-to-text:t" inset="0,0,0,0">
                <w:txbxContent>
                  <w:p w:rsidR="00A905B7" w:rsidRPr="008A3BC5" w:rsidRDefault="00A905B7">
                    <w:r w:rsidRPr="008A3BC5">
                      <w:rPr>
                        <w:iCs/>
                        <w:color w:val="000000"/>
                      </w:rPr>
                      <w:t>q</w:t>
                    </w:r>
                  </w:p>
                </w:txbxContent>
              </v:textbox>
            </v:rect>
            <v:rect id="_x0000_s1950" style="position:absolute;left:963;top:175;width:477;height:240" filled="f" stroked="f">
              <v:textbox style="mso-fit-shape-to-text:t" inset="0,0,0,0">
                <w:txbxContent>
                  <w:p w:rsidR="00A905B7" w:rsidRPr="008A3BC5" w:rsidRDefault="00A905B7">
                    <w:r w:rsidRPr="008A3BC5">
                      <w:rPr>
                        <w:iCs/>
                        <w:color w:val="000000"/>
                        <w:sz w:val="14"/>
                        <w:szCs w:val="14"/>
                      </w:rPr>
                      <w:t>mew</w:t>
                    </w:r>
                  </w:p>
                </w:txbxContent>
              </v:textbox>
            </v:rect>
            <v:rect id="_x0000_s1951" style="position:absolute;left:173;top:175;width:288;height:240;mso-wrap-style:none" filled="f" stroked="f">
              <v:textbox style="mso-fit-shape-to-text:t" inset="0,0,0,0">
                <w:txbxContent>
                  <w:p w:rsidR="00A905B7" w:rsidRPr="008A3BC5" w:rsidRDefault="00A905B7">
                    <w:r w:rsidRPr="008A3BC5">
                      <w:rPr>
                        <w:iCs/>
                        <w:color w:val="000000"/>
                        <w:sz w:val="14"/>
                        <w:szCs w:val="14"/>
                      </w:rPr>
                      <w:t>medf</w:t>
                    </w:r>
                  </w:p>
                </w:txbxContent>
              </v:textbox>
            </v:rect>
            <v:rect id="_x0000_s1952" style="position:absolute;left:1330;width:110;height:245;mso-wrap-style:none" filled="f" stroked="f">
              <v:textbox style="mso-fit-shape-to-text:t" inset="0,0,0,0">
                <w:txbxContent>
                  <w:p w:rsidR="00A905B7" w:rsidRDefault="00A905B7">
                    <w:r>
                      <w:rPr>
                        <w:rFonts w:ascii="Symbol" w:hAnsi="Symbol" w:cs="Symbol"/>
                        <w:color w:val="000000"/>
                      </w:rPr>
                      <w:t></w:t>
                    </w:r>
                  </w:p>
                </w:txbxContent>
              </v:textbox>
            </v:rect>
            <v:rect id="_x0000_s1953" style="position:absolute;left:604;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954" editas="canvas" style="width:81.15pt;height:50.5pt;mso-position-horizontal-relative:char;mso-position-vertical-relative:line" coordorigin=",-5" coordsize="1623,1010">
            <o:lock v:ext="edit" aspectratio="t"/>
            <v:shape id="_x0000_s1955" type="#_x0000_t75" style="position:absolute;top:-5;width:1623;height:1010" o:preferrelative="f">
              <v:fill o:detectmouseclick="t"/>
              <v:path o:extrusionok="t" o:connecttype="none"/>
              <o:lock v:ext="edit" text="t"/>
            </v:shape>
            <v:line id="_x0000_s1956" style="position:absolute" from="551,410" to="1582,411" strokeweight=".5pt"/>
            <v:rect id="_x0000_s1957" style="position:absolute;left:1356;top:445;width:203;height:240;mso-wrap-style:none" filled="f" stroked="f">
              <v:textbox style="mso-fit-shape-to-text:t" inset="0,0,0,0">
                <w:txbxContent>
                  <w:p w:rsidR="00A905B7" w:rsidRPr="008A3BC5" w:rsidRDefault="00A905B7">
                    <w:r w:rsidRPr="008A3BC5">
                      <w:rPr>
                        <w:iCs/>
                        <w:color w:val="000000"/>
                        <w:sz w:val="14"/>
                        <w:szCs w:val="14"/>
                      </w:rPr>
                      <w:t>wA</w:t>
                    </w:r>
                  </w:p>
                </w:txbxContent>
              </v:textbox>
            </v:rect>
            <v:rect id="_x0000_s1958" style="position:absolute;left:685;top:455;width:203;height:240;mso-wrap-style:none" filled="f" stroked="f">
              <v:textbox style="mso-fit-shape-to-text:t" inset="0,0,0,0">
                <w:txbxContent>
                  <w:p w:rsidR="00A905B7" w:rsidRPr="008A3BC5" w:rsidRDefault="00A905B7">
                    <w:r w:rsidRPr="008A3BC5">
                      <w:rPr>
                        <w:iCs/>
                        <w:color w:val="000000"/>
                        <w:sz w:val="14"/>
                        <w:szCs w:val="14"/>
                      </w:rPr>
                      <w:t>wD</w:t>
                    </w:r>
                  </w:p>
                </w:txbxContent>
              </v:textbox>
            </v:rect>
            <v:rect id="_x0000_s1959" style="position:absolute;left:1352;top:168;width:203;height:240;mso-wrap-style:none" filled="f" stroked="f">
              <v:textbox style="mso-fit-shape-to-text:t" inset="0,0,0,0">
                <w:txbxContent>
                  <w:p w:rsidR="00A905B7" w:rsidRPr="008A3BC5" w:rsidRDefault="00A905B7">
                    <w:r w:rsidRPr="008A3BC5">
                      <w:rPr>
                        <w:iCs/>
                        <w:color w:val="000000"/>
                        <w:sz w:val="14"/>
                        <w:szCs w:val="14"/>
                      </w:rPr>
                      <w:t>wA</w:t>
                    </w:r>
                  </w:p>
                </w:txbxContent>
              </v:textbox>
            </v:rect>
            <v:rect id="_x0000_s1960" style="position:absolute;left:693;top:168;width:187;height:240;mso-wrap-style:none" filled="f" stroked="f">
              <v:textbox style="mso-fit-shape-to-text:t" inset="0,0,0,0">
                <w:txbxContent>
                  <w:p w:rsidR="00A905B7" w:rsidRPr="008A3BC5" w:rsidRDefault="00A905B7">
                    <w:r w:rsidRPr="008A3BC5">
                      <w:rPr>
                        <w:iCs/>
                        <w:color w:val="000000"/>
                        <w:sz w:val="14"/>
                        <w:szCs w:val="14"/>
                      </w:rPr>
                      <w:t>wE</w:t>
                    </w:r>
                  </w:p>
                </w:txbxContent>
              </v:textbox>
            </v:rect>
            <v:rect id="_x0000_s1961" style="position:absolute;left:1234;top:374;width:89;height:240;mso-wrap-style:none" filled="f" stroked="f">
              <v:textbox style="mso-fit-shape-to-text:t" inset="0,0,0,0">
                <w:txbxContent>
                  <w:p w:rsidR="00A905B7" w:rsidRPr="008A3BC5" w:rsidRDefault="00A905B7">
                    <w:r w:rsidRPr="008A3BC5">
                      <w:rPr>
                        <w:iCs/>
                        <w:color w:val="000000"/>
                      </w:rPr>
                      <w:t>c</w:t>
                    </w:r>
                  </w:p>
                </w:txbxContent>
              </v:textbox>
            </v:rect>
            <v:rect id="_x0000_s1962" style="position:absolute;left:563;top:374;width:89;height:240;mso-wrap-style:none" filled="f" stroked="f">
              <v:textbox style="mso-fit-shape-to-text:t" inset="0,0,0,0">
                <w:txbxContent>
                  <w:p w:rsidR="00A905B7" w:rsidRPr="008A3BC5" w:rsidRDefault="00A905B7">
                    <w:r w:rsidRPr="008A3BC5">
                      <w:rPr>
                        <w:iCs/>
                        <w:color w:val="000000"/>
                      </w:rPr>
                      <w:t>c</w:t>
                    </w:r>
                  </w:p>
                </w:txbxContent>
              </v:textbox>
            </v:rect>
            <v:rect id="_x0000_s1963" style="position:absolute;left:1229;top:109;width:89;height:240;mso-wrap-style:none" filled="f" stroked="f">
              <v:textbox style="mso-fit-shape-to-text:t" inset="0,0,0,0">
                <w:txbxContent>
                  <w:p w:rsidR="00A905B7" w:rsidRPr="008A3BC5" w:rsidRDefault="00A905B7">
                    <w:r w:rsidRPr="008A3BC5">
                      <w:rPr>
                        <w:iCs/>
                        <w:color w:val="000000"/>
                      </w:rPr>
                      <w:t>c</w:t>
                    </w:r>
                  </w:p>
                </w:txbxContent>
              </v:textbox>
            </v:rect>
            <v:rect id="_x0000_s1964" style="position:absolute;left:590;top:119;width:89;height:240;mso-wrap-style:none" filled="f" stroked="f">
              <v:textbox style="mso-fit-shape-to-text:t" inset="0,0,0,0">
                <w:txbxContent>
                  <w:p w:rsidR="00A905B7" w:rsidRPr="008A3BC5" w:rsidRDefault="00A905B7">
                    <w:r w:rsidRPr="008A3BC5">
                      <w:rPr>
                        <w:iCs/>
                        <w:color w:val="000000"/>
                      </w:rPr>
                      <w:t>c</w:t>
                    </w:r>
                  </w:p>
                </w:txbxContent>
              </v:textbox>
            </v:rect>
            <v:rect id="_x0000_s1965" style="position:absolute;left:36;top:184;width:67;height:240;mso-wrap-style:none" filled="f" stroked="f">
              <v:textbox style="mso-fit-shape-to-text:t" inset="0,0,0,0">
                <w:txbxContent>
                  <w:p w:rsidR="00A905B7" w:rsidRPr="008A3BC5" w:rsidRDefault="00A905B7">
                    <w:r w:rsidRPr="008A3BC5">
                      <w:rPr>
                        <w:iCs/>
                        <w:color w:val="000000"/>
                      </w:rPr>
                      <w:t>r</w:t>
                    </w:r>
                  </w:p>
                </w:txbxContent>
              </v:textbox>
            </v:rect>
            <v:rect id="_x0000_s1966" style="position:absolute;left:1014;top:460;width:110;height:245;mso-wrap-style:none" filled="f" stroked="f">
              <v:textbox style="mso-fit-shape-to-text:t" inset="0,0,0,0">
                <w:txbxContent>
                  <w:p w:rsidR="00A905B7" w:rsidRDefault="00A905B7">
                    <w:r>
                      <w:rPr>
                        <w:rFonts w:ascii="Symbol" w:hAnsi="Symbol" w:cs="Symbol"/>
                        <w:color w:val="000000"/>
                      </w:rPr>
                      <w:t></w:t>
                    </w:r>
                  </w:p>
                </w:txbxContent>
              </v:textbox>
            </v:rect>
            <v:rect id="_x0000_s1967" style="position:absolute;left:1009;top:135;width:110;height:245;mso-wrap-style:none" filled="f" stroked="f">
              <v:textbox style="mso-fit-shape-to-text:t" inset="0,0,0,0">
                <w:txbxContent>
                  <w:p w:rsidR="00A905B7" w:rsidRDefault="00A905B7">
                    <w:r>
                      <w:rPr>
                        <w:rFonts w:ascii="Symbol" w:hAnsi="Symbol" w:cs="Symbol"/>
                        <w:color w:val="000000"/>
                      </w:rPr>
                      <w:t></w:t>
                    </w:r>
                  </w:p>
                </w:txbxContent>
              </v:textbox>
            </v:rect>
            <v:rect id="_x0000_s1968" style="position:absolute;left:324;top:240;width:110;height:245;mso-wrap-style:none" filled="f" stroked="f">
              <v:textbox style="mso-fit-shape-to-text:t" inset="0,0,0,0">
                <w:txbxContent>
                  <w:p w:rsidR="00A905B7" w:rsidRDefault="00A905B7">
                    <w:r>
                      <w:rPr>
                        <w:rFonts w:ascii="Symbol" w:hAnsi="Symbol" w:cs="Symbol"/>
                        <w:color w:val="000000"/>
                      </w:rPr>
                      <w:t></w:t>
                    </w:r>
                  </w:p>
                </w:txbxContent>
              </v:textbox>
            </v:rect>
            <v:rect id="_x0000_s1969" style="position:absolute;left:120;top:266;width:71;height:240;mso-wrap-style:none" filled="f" stroked="f">
              <v:textbox style="mso-fit-shape-to-text:t" inset="0,0,0,0">
                <w:txbxContent>
                  <w:p w:rsidR="00A905B7" w:rsidRPr="000207FE" w:rsidRDefault="00A905B7">
                    <w:r w:rsidRPr="000207FE">
                      <w:rPr>
                        <w:color w:val="000000"/>
                        <w:sz w:val="14"/>
                        <w:szCs w:val="14"/>
                      </w:rPr>
                      <w:t>d</w:t>
                    </w:r>
                  </w:p>
                </w:txbxContent>
              </v:textbox>
            </v:rect>
            <w10:wrap type="none"/>
            <w10:anchorlock/>
          </v:group>
        </w:pi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2900"/>
        </w:tabs>
        <w:ind w:left="3200" w:hanging="932"/>
        <w:rPr>
          <w:lang w:val="en-GB"/>
        </w:rPr>
      </w:pPr>
      <w:r w:rsidRPr="00B04DC3">
        <w:rPr>
          <w:lang w:val="en-GB"/>
        </w:rPr>
        <w:t>c</w:t>
      </w:r>
      <w:r w:rsidRPr="00B04DC3">
        <w:rPr>
          <w:vertAlign w:val="subscript"/>
          <w:lang w:val="en-GB"/>
        </w:rPr>
        <w:t>wE</w:t>
      </w:r>
      <w:r w:rsidRPr="00B04DC3">
        <w:rPr>
          <w:lang w:val="en-GB"/>
        </w:rPr>
        <w:tab/>
        <w:t>=</w:t>
      </w:r>
      <w:r w:rsidRPr="00B04DC3">
        <w:rPr>
          <w:lang w:val="en-GB"/>
        </w:rPr>
        <w:tab/>
        <w:t>wet concentration of the tracer gas in the raw exhaust</w:t>
      </w:r>
    </w:p>
    <w:p w:rsidR="00DA59A4" w:rsidRPr="00B04DC3" w:rsidRDefault="00DA59A4" w:rsidP="00DA59A4">
      <w:pPr>
        <w:pStyle w:val="para"/>
        <w:tabs>
          <w:tab w:val="left" w:pos="2900"/>
        </w:tabs>
        <w:ind w:left="3200" w:hanging="932"/>
        <w:rPr>
          <w:lang w:val="en-GB"/>
        </w:rPr>
      </w:pPr>
      <w:r w:rsidRPr="00B04DC3">
        <w:rPr>
          <w:lang w:val="en-GB"/>
        </w:rPr>
        <w:t>c</w:t>
      </w:r>
      <w:r w:rsidRPr="00B04DC3">
        <w:rPr>
          <w:vertAlign w:val="subscript"/>
          <w:lang w:val="en-GB"/>
        </w:rPr>
        <w:t>wD</w:t>
      </w:r>
      <w:r w:rsidRPr="00B04DC3">
        <w:rPr>
          <w:vertAlign w:val="subscript"/>
          <w:lang w:val="en-GB"/>
        </w:rPr>
        <w:tab/>
      </w:r>
      <w:r w:rsidRPr="00B04DC3">
        <w:rPr>
          <w:lang w:val="en-GB"/>
        </w:rPr>
        <w:t>=</w:t>
      </w:r>
      <w:r w:rsidRPr="00B04DC3">
        <w:rPr>
          <w:lang w:val="en-GB"/>
        </w:rPr>
        <w:tab/>
        <w:t>wet concentration of the tracer gas in the diluted exhaust</w:t>
      </w:r>
    </w:p>
    <w:p w:rsidR="00DA59A4" w:rsidRPr="00B04DC3" w:rsidRDefault="00DA59A4" w:rsidP="00DA59A4">
      <w:pPr>
        <w:pStyle w:val="para"/>
        <w:tabs>
          <w:tab w:val="left" w:pos="2900"/>
        </w:tabs>
        <w:ind w:left="3200" w:hanging="932"/>
        <w:rPr>
          <w:lang w:val="en-GB"/>
        </w:rPr>
      </w:pPr>
      <w:r w:rsidRPr="00B04DC3">
        <w:rPr>
          <w:lang w:val="en-GB"/>
        </w:rPr>
        <w:t>c</w:t>
      </w:r>
      <w:r w:rsidRPr="00B04DC3">
        <w:rPr>
          <w:vertAlign w:val="subscript"/>
          <w:lang w:val="en-GB"/>
        </w:rPr>
        <w:t>wA</w:t>
      </w:r>
      <w:r w:rsidRPr="00B04DC3">
        <w:rPr>
          <w:lang w:val="en-GB"/>
        </w:rPr>
        <w:tab/>
        <w:t>=</w:t>
      </w:r>
      <w:r w:rsidRPr="00B04DC3">
        <w:rPr>
          <w:lang w:val="en-GB"/>
        </w:rPr>
        <w:tab/>
        <w:t>wet concentration of the tracer gas in the diluent</w:t>
      </w:r>
    </w:p>
    <w:p w:rsidR="00DA59A4" w:rsidRPr="00B04DC3" w:rsidRDefault="00DA59A4" w:rsidP="00DA59A4">
      <w:pPr>
        <w:pStyle w:val="para"/>
        <w:rPr>
          <w:lang w:val="en-GB"/>
        </w:rPr>
      </w:pPr>
      <w:r w:rsidRPr="00B04DC3">
        <w:rPr>
          <w:lang w:val="en-GB"/>
        </w:rPr>
        <w:tab/>
        <w:t>Concentrations measured on a dry basis shall be converted to a wet basis according to paragraph 5.2. of this appendix.</w:t>
      </w:r>
    </w:p>
    <w:p w:rsidR="00DA59A4" w:rsidRPr="00B04DC3" w:rsidRDefault="00DA59A4" w:rsidP="00B23BB1">
      <w:pPr>
        <w:pStyle w:val="para"/>
        <w:keepNext/>
        <w:keepLines/>
        <w:rPr>
          <w:lang w:val="en-GB"/>
        </w:rPr>
      </w:pPr>
      <w:r w:rsidRPr="00B04DC3">
        <w:rPr>
          <w:lang w:val="en-GB"/>
        </w:rPr>
        <w:t>6.2.3.</w:t>
      </w:r>
      <w:r w:rsidRPr="00B04DC3">
        <w:rPr>
          <w:lang w:val="en-GB"/>
        </w:rPr>
        <w:tab/>
        <w:t>Systems with CO</w:t>
      </w:r>
      <w:r w:rsidRPr="00B04DC3">
        <w:rPr>
          <w:vertAlign w:val="subscript"/>
          <w:lang w:val="en-GB"/>
        </w:rPr>
        <w:t>2</w:t>
      </w:r>
      <w:r w:rsidRPr="00B04DC3">
        <w:rPr>
          <w:lang w:val="en-GB"/>
        </w:rPr>
        <w:t xml:space="preserve"> measurement and carbon balance method</w:t>
      </w:r>
      <w:r w:rsidRPr="00B04DC3">
        <w:rPr>
          <w:rStyle w:val="FootnoteReference"/>
          <w:bCs/>
          <w:lang w:val="en-GB"/>
        </w:rPr>
        <w:footnoteReference w:id="34"/>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2439" w:dyaOrig="700">
          <v:shape id="_x0000_i1101" type="#_x0000_t75" style="width:111.6pt;height:32.4pt" o:ole="">
            <v:imagedata r:id="rId163" o:title=""/>
          </v:shape>
          <o:OLEObject Type="Embed" ProgID="Equation.3" ShapeID="_x0000_i1101" DrawAspect="Content" ObjectID="_1498392260" r:id="rId164"/>
        </w:obje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2900"/>
        </w:tabs>
        <w:ind w:left="3200" w:hanging="932"/>
        <w:rPr>
          <w:lang w:val="en-GB"/>
        </w:rPr>
      </w:pPr>
      <w:r w:rsidRPr="00B04DC3">
        <w:rPr>
          <w:lang w:val="en-GB"/>
        </w:rPr>
        <w:t>c</w:t>
      </w:r>
      <w:r w:rsidRPr="00B04DC3">
        <w:rPr>
          <w:vertAlign w:val="subscript"/>
          <w:lang w:val="en-GB"/>
        </w:rPr>
        <w:t>(CO2)D</w:t>
      </w:r>
      <w:r w:rsidRPr="00B04DC3">
        <w:rPr>
          <w:vertAlign w:val="subscript"/>
          <w:lang w:val="en-GB"/>
        </w:rPr>
        <w:tab/>
      </w:r>
      <w:r w:rsidRPr="00B04DC3">
        <w:rPr>
          <w:lang w:val="en-GB"/>
        </w:rPr>
        <w:t xml:space="preserve"> = </w:t>
      </w:r>
      <w:r w:rsidRPr="00B04DC3">
        <w:rPr>
          <w:lang w:val="en-GB"/>
        </w:rPr>
        <w:tab/>
        <w:t>CO</w:t>
      </w:r>
      <w:r w:rsidRPr="00B04DC3">
        <w:rPr>
          <w:vertAlign w:val="subscript"/>
          <w:lang w:val="en-GB"/>
        </w:rPr>
        <w:t>2</w:t>
      </w:r>
      <w:r w:rsidRPr="00B04DC3">
        <w:rPr>
          <w:lang w:val="en-GB"/>
        </w:rPr>
        <w:t xml:space="preserve"> concentration of the diluted exhaust</w:t>
      </w:r>
    </w:p>
    <w:p w:rsidR="00DA59A4" w:rsidRPr="00B04DC3" w:rsidRDefault="00DA59A4" w:rsidP="00DA59A4">
      <w:pPr>
        <w:pStyle w:val="para"/>
        <w:tabs>
          <w:tab w:val="left" w:pos="2900"/>
        </w:tabs>
        <w:spacing w:after="0"/>
        <w:ind w:left="3198" w:hanging="930"/>
        <w:rPr>
          <w:lang w:val="en-GB"/>
        </w:rPr>
      </w:pPr>
      <w:r w:rsidRPr="00B04DC3">
        <w:rPr>
          <w:lang w:val="en-GB"/>
        </w:rPr>
        <w:t>c</w:t>
      </w:r>
      <w:r w:rsidRPr="00B04DC3">
        <w:rPr>
          <w:vertAlign w:val="subscript"/>
          <w:lang w:val="en-GB"/>
        </w:rPr>
        <w:t>(CO2)A</w:t>
      </w:r>
      <w:r w:rsidRPr="00B04DC3">
        <w:rPr>
          <w:lang w:val="en-GB"/>
        </w:rPr>
        <w:t xml:space="preserve"> </w:t>
      </w:r>
      <w:r w:rsidRPr="00B04DC3">
        <w:rPr>
          <w:lang w:val="en-GB"/>
        </w:rPr>
        <w:tab/>
        <w:t xml:space="preserve">= </w:t>
      </w:r>
      <w:r w:rsidRPr="00B04DC3">
        <w:rPr>
          <w:lang w:val="en-GB"/>
        </w:rPr>
        <w:tab/>
        <w:t>CO</w:t>
      </w:r>
      <w:r w:rsidRPr="00B04DC3">
        <w:rPr>
          <w:vertAlign w:val="subscript"/>
          <w:lang w:val="en-GB"/>
        </w:rPr>
        <w:t>2</w:t>
      </w:r>
      <w:r w:rsidRPr="00B04DC3">
        <w:rPr>
          <w:lang w:val="en-GB"/>
        </w:rPr>
        <w:t xml:space="preserve"> concentration of the diluent</w:t>
      </w:r>
    </w:p>
    <w:p w:rsidR="00DA59A4" w:rsidRPr="00B04DC3" w:rsidRDefault="00DA59A4" w:rsidP="00FA27AE">
      <w:pPr>
        <w:pStyle w:val="para"/>
        <w:tabs>
          <w:tab w:val="left" w:pos="3192"/>
        </w:tabs>
        <w:rPr>
          <w:lang w:val="en-GB"/>
        </w:rPr>
      </w:pPr>
      <w:r w:rsidRPr="00B04DC3">
        <w:rPr>
          <w:lang w:val="en-GB"/>
        </w:rPr>
        <w:tab/>
      </w:r>
      <w:r w:rsidRPr="00B04DC3">
        <w:rPr>
          <w:lang w:val="en-GB"/>
        </w:rPr>
        <w:tab/>
      </w:r>
      <w:r w:rsidRPr="00B04DC3">
        <w:rPr>
          <w:lang w:val="en-GB"/>
        </w:rPr>
        <w:tab/>
        <w:t>(concentrations in vol per cent on wet basis)</w:t>
      </w:r>
    </w:p>
    <w:p w:rsidR="00DA59A4" w:rsidRPr="00B04DC3" w:rsidRDefault="00DA59A4" w:rsidP="00DA59A4">
      <w:pPr>
        <w:pStyle w:val="para"/>
        <w:rPr>
          <w:lang w:val="en-GB"/>
        </w:rPr>
      </w:pPr>
      <w:r w:rsidRPr="00B04DC3">
        <w:rPr>
          <w:lang w:val="en-GB"/>
        </w:rPr>
        <w:tab/>
        <w:t>This equation is based upon the carbon balance assumption (carbon atoms supplied to the engine are emitted as CO</w:t>
      </w:r>
      <w:r w:rsidRPr="00B04DC3">
        <w:rPr>
          <w:vertAlign w:val="subscript"/>
          <w:lang w:val="en-GB"/>
        </w:rPr>
        <w:t>2</w:t>
      </w:r>
      <w:r w:rsidRPr="00B04DC3">
        <w:rPr>
          <w:lang w:val="en-GB"/>
        </w:rPr>
        <w:t>) and determined through the following steps:</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1970" editas="canvas" style="width:87pt;height:33pt;mso-position-horizontal-relative:char;mso-position-vertical-relative:line" coordsize="1740,660">
            <o:lock v:ext="edit" aspectratio="t"/>
            <v:shape id="_x0000_s1971" type="#_x0000_t75" style="position:absolute;width:1740;height:660" o:preferrelative="f">
              <v:fill o:detectmouseclick="t"/>
              <v:path o:extrusionok="t" o:connecttype="none"/>
              <o:lock v:ext="edit" text="t"/>
            </v:shape>
            <v:rect id="_x0000_s1972" style="position:absolute;left:1632;top:102;width:71;height:240;mso-wrap-style:none" filled="f" stroked="f">
              <v:textbox style="mso-fit-shape-to-text:t" inset="0,0,0,0">
                <w:txbxContent>
                  <w:p w:rsidR="00A905B7" w:rsidRDefault="00A905B7">
                    <w:r>
                      <w:rPr>
                        <w:color w:val="000000"/>
                        <w:sz w:val="14"/>
                        <w:szCs w:val="14"/>
                      </w:rPr>
                      <w:t>d</w:t>
                    </w:r>
                  </w:p>
                </w:txbxContent>
              </v:textbox>
            </v:rect>
            <v:rect id="_x0000_s1973" style="position:absolute;left:1548;top:24;width:67;height:240;mso-wrap-style:none" filled="f" stroked="f">
              <v:textbox style="mso-fit-shape-to-text:t" inset="0,0,0,0">
                <w:txbxContent>
                  <w:p w:rsidR="00A905B7" w:rsidRPr="002430C5" w:rsidRDefault="00A905B7">
                    <w:r w:rsidRPr="002430C5">
                      <w:rPr>
                        <w:iCs/>
                        <w:color w:val="000000"/>
                      </w:rPr>
                      <w:t>r</w:t>
                    </w:r>
                  </w:p>
                </w:txbxContent>
              </v:textbox>
            </v:rect>
            <v:rect id="_x0000_s1974" style="position:absolute;left:829;top:24;width:101;height:240;mso-wrap-style:none" filled="f" stroked="f">
              <v:textbox style="mso-fit-shape-to-text:t" inset="0,0,0,0">
                <w:txbxContent>
                  <w:p w:rsidR="00A905B7" w:rsidRPr="002430C5" w:rsidRDefault="00A905B7">
                    <w:r w:rsidRPr="002430C5">
                      <w:rPr>
                        <w:iCs/>
                        <w:color w:val="000000"/>
                      </w:rPr>
                      <w:t>q</w:t>
                    </w:r>
                  </w:p>
                </w:txbxContent>
              </v:textbox>
            </v:rect>
            <v:rect id="_x0000_s1975" style="position:absolute;left:36;top:24;width:101;height:240;mso-wrap-style:none" filled="f" stroked="f">
              <v:textbox style="mso-fit-shape-to-text:t" inset="0,0,0,0">
                <w:txbxContent>
                  <w:p w:rsidR="00A905B7" w:rsidRPr="002430C5" w:rsidRDefault="00A905B7">
                    <w:r w:rsidRPr="002430C5">
                      <w:rPr>
                        <w:iCs/>
                        <w:color w:val="000000"/>
                      </w:rPr>
                      <w:t>q</w:t>
                    </w:r>
                  </w:p>
                </w:txbxContent>
              </v:textbox>
            </v:rect>
            <v:rect id="_x0000_s1976" style="position:absolute;left:963;top:95;width:273;height:240;mso-wrap-style:none" filled="f" stroked="f">
              <v:textbox style="mso-fit-shape-to-text:t" inset="0,0,0,0">
                <w:txbxContent>
                  <w:p w:rsidR="00A905B7" w:rsidRPr="002430C5" w:rsidRDefault="00A905B7">
                    <w:r w:rsidRPr="002430C5">
                      <w:rPr>
                        <w:iCs/>
                        <w:color w:val="000000"/>
                        <w:sz w:val="14"/>
                        <w:szCs w:val="14"/>
                      </w:rPr>
                      <w:t>mew</w:t>
                    </w:r>
                  </w:p>
                </w:txbxContent>
              </v:textbox>
            </v:rect>
            <v:rect id="_x0000_s1977" style="position:absolute;left:180;top:90;width:288;height:240;mso-wrap-style:none" filled="f" stroked="f">
              <v:textbox style="mso-fit-shape-to-text:t" inset="0,0,0,0">
                <w:txbxContent>
                  <w:p w:rsidR="00A905B7" w:rsidRPr="002430C5" w:rsidRDefault="00A905B7">
                    <w:r w:rsidRPr="002430C5">
                      <w:rPr>
                        <w:iCs/>
                        <w:color w:val="000000"/>
                        <w:sz w:val="14"/>
                        <w:szCs w:val="14"/>
                      </w:rPr>
                      <w:t>medf</w:t>
                    </w:r>
                  </w:p>
                </w:txbxContent>
              </v:textbox>
            </v:rect>
            <v:rect id="_x0000_s1978" style="position:absolute;left:1330;width:110;height:245;mso-wrap-style:none" filled="f" stroked="f">
              <v:textbox style="mso-fit-shape-to-text:t" inset="0,0,0,0">
                <w:txbxContent>
                  <w:p w:rsidR="00A905B7" w:rsidRDefault="00A905B7">
                    <w:r>
                      <w:rPr>
                        <w:rFonts w:ascii="Symbol" w:hAnsi="Symbol" w:cs="Symbol"/>
                        <w:color w:val="000000"/>
                      </w:rPr>
                      <w:t></w:t>
                    </w:r>
                  </w:p>
                </w:txbxContent>
              </v:textbox>
            </v:rect>
            <v:rect id="_x0000_s1979" style="position:absolute;left:604;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DA59A4">
      <w:pPr>
        <w:pStyle w:val="para"/>
        <w:rPr>
          <w:lang w:val="en-GB"/>
        </w:rPr>
      </w:pPr>
      <w:r w:rsidRPr="00B04DC3">
        <w:rPr>
          <w:lang w:val="en-GB"/>
        </w:rPr>
        <w:tab/>
        <w:t>and</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2900" w:dyaOrig="700">
          <v:shape id="_x0000_i1103" type="#_x0000_t75" style="width:129.6pt;height:31.8pt" o:ole="">
            <v:imagedata r:id="rId165" o:title=""/>
          </v:shape>
          <o:OLEObject Type="Embed" ProgID="Equation.3" ShapeID="_x0000_i1103" DrawAspect="Content" ObjectID="_1498392261" r:id="rId166"/>
        </w:object>
      </w:r>
    </w:p>
    <w:p w:rsidR="00DA59A4" w:rsidRPr="00B04DC3" w:rsidRDefault="00DA59A4" w:rsidP="00DA59A4">
      <w:pPr>
        <w:pStyle w:val="para"/>
        <w:rPr>
          <w:lang w:val="en-GB"/>
        </w:rPr>
      </w:pPr>
      <w:r w:rsidRPr="00B04DC3">
        <w:rPr>
          <w:lang w:val="en-GB"/>
        </w:rPr>
        <w:t>6.2.4.</w:t>
      </w:r>
      <w:r w:rsidRPr="00B04DC3">
        <w:rPr>
          <w:lang w:val="en-GB"/>
        </w:rPr>
        <w:tab/>
        <w:t>Systems with flow measurement</w:t>
      </w:r>
    </w:p>
    <w:p w:rsidR="00DA59A4" w:rsidRPr="00B04DC3" w:rsidRDefault="00DA59A4" w:rsidP="00AA0E48">
      <w:pPr>
        <w:pStyle w:val="para"/>
        <w:spacing w:after="60"/>
        <w:rPr>
          <w:lang w:val="en-GB"/>
        </w:rPr>
      </w:pPr>
      <w:r w:rsidRPr="00B04DC3">
        <w:rPr>
          <w:lang w:val="en-GB"/>
        </w:rPr>
        <w:tab/>
      </w:r>
      <w:r w:rsidRPr="00B04DC3">
        <w:rPr>
          <w:lang w:val="en-GB"/>
        </w:rPr>
        <w:tab/>
      </w:r>
      <w:r w:rsidR="00A905B7">
        <w:rPr>
          <w:lang w:val="en-GB"/>
        </w:rPr>
      </w:r>
      <w:r w:rsidR="00A905B7">
        <w:rPr>
          <w:lang w:val="en-GB"/>
        </w:rPr>
        <w:pict>
          <v:group id="_x0000_s1980" editas="canvas" style="width:87pt;height:32.75pt;mso-position-horizontal-relative:char;mso-position-vertical-relative:line" coordsize="1740,655">
            <o:lock v:ext="edit" aspectratio="t"/>
            <v:shape id="_x0000_s1981" type="#_x0000_t75" style="position:absolute;width:1740;height:655" o:preferrelative="f">
              <v:fill o:detectmouseclick="t"/>
              <v:path o:extrusionok="t" o:connecttype="none"/>
              <o:lock v:ext="edit" text="t"/>
            </v:shape>
            <v:rect id="_x0000_s1982" style="position:absolute;left:1632;top:172;width:71;height:240;mso-wrap-style:none" filled="f" stroked="f">
              <v:textbox style="mso-fit-shape-to-text:t" inset="0,0,0,0">
                <w:txbxContent>
                  <w:p w:rsidR="00A905B7" w:rsidRDefault="00A905B7">
                    <w:r>
                      <w:rPr>
                        <w:color w:val="000000"/>
                        <w:sz w:val="14"/>
                        <w:szCs w:val="14"/>
                      </w:rPr>
                      <w:t>d</w:t>
                    </w:r>
                  </w:p>
                </w:txbxContent>
              </v:textbox>
            </v:rect>
            <v:rect id="_x0000_s1983" style="position:absolute;left:1548;top:24;width:67;height:240;mso-wrap-style:none" filled="f" stroked="f">
              <v:textbox style="mso-fit-shape-to-text:t" inset="0,0,0,0">
                <w:txbxContent>
                  <w:p w:rsidR="00A905B7" w:rsidRPr="002430C5" w:rsidRDefault="00A905B7">
                    <w:r w:rsidRPr="002430C5">
                      <w:rPr>
                        <w:iCs/>
                        <w:color w:val="000000"/>
                      </w:rPr>
                      <w:t>r</w:t>
                    </w:r>
                  </w:p>
                </w:txbxContent>
              </v:textbox>
            </v:rect>
            <v:rect id="_x0000_s1984" style="position:absolute;left:829;top:24;width:101;height:240;mso-wrap-style:none" filled="f" stroked="f">
              <v:textbox style="mso-fit-shape-to-text:t" inset="0,0,0,0">
                <w:txbxContent>
                  <w:p w:rsidR="00A905B7" w:rsidRPr="002430C5" w:rsidRDefault="00A905B7">
                    <w:r w:rsidRPr="002430C5">
                      <w:rPr>
                        <w:iCs/>
                        <w:color w:val="000000"/>
                      </w:rPr>
                      <w:t>q</w:t>
                    </w:r>
                  </w:p>
                </w:txbxContent>
              </v:textbox>
            </v:rect>
            <v:rect id="_x0000_s1985" style="position:absolute;left:36;top:24;width:101;height:240;mso-wrap-style:none" filled="f" stroked="f">
              <v:textbox style="mso-fit-shape-to-text:t" inset="0,0,0,0">
                <w:txbxContent>
                  <w:p w:rsidR="00A905B7" w:rsidRPr="002430C5" w:rsidRDefault="00A905B7">
                    <w:r w:rsidRPr="002430C5">
                      <w:rPr>
                        <w:iCs/>
                        <w:color w:val="000000"/>
                      </w:rPr>
                      <w:t>q</w:t>
                    </w:r>
                  </w:p>
                </w:txbxContent>
              </v:textbox>
            </v:rect>
            <v:rect id="_x0000_s1986" style="position:absolute;left:963;top:175;width:273;height:240;mso-wrap-style:none" filled="f" stroked="f">
              <v:textbox style="mso-fit-shape-to-text:t" inset="0,0,0,0">
                <w:txbxContent>
                  <w:p w:rsidR="00A905B7" w:rsidRPr="002430C5" w:rsidRDefault="00A905B7">
                    <w:r w:rsidRPr="002430C5">
                      <w:rPr>
                        <w:iCs/>
                        <w:color w:val="000000"/>
                        <w:sz w:val="14"/>
                        <w:szCs w:val="14"/>
                      </w:rPr>
                      <w:t>mew</w:t>
                    </w:r>
                  </w:p>
                </w:txbxContent>
              </v:textbox>
            </v:rect>
            <v:rect id="_x0000_s1987" style="position:absolute;left:173;top:175;width:295;height:240;mso-wrap-style:none" filled="f" stroked="f">
              <v:textbox style="mso-fit-shape-to-text:t" inset="0,0,0,0">
                <w:txbxContent>
                  <w:p w:rsidR="00A905B7" w:rsidRDefault="00A905B7">
                    <w:r w:rsidRPr="002430C5">
                      <w:rPr>
                        <w:iCs/>
                        <w:color w:val="000000"/>
                        <w:sz w:val="14"/>
                        <w:szCs w:val="14"/>
                      </w:rPr>
                      <w:t>med</w:t>
                    </w:r>
                    <w:r>
                      <w:rPr>
                        <w:i/>
                        <w:iCs/>
                        <w:color w:val="000000"/>
                        <w:sz w:val="14"/>
                        <w:szCs w:val="14"/>
                      </w:rPr>
                      <w:t>f</w:t>
                    </w:r>
                  </w:p>
                </w:txbxContent>
              </v:textbox>
            </v:rect>
            <v:rect id="_x0000_s1988" style="position:absolute;left:1330;width:110;height:245;mso-wrap-style:none" filled="f" stroked="f">
              <v:textbox style="mso-fit-shape-to-text:t" inset="0,0,0,0">
                <w:txbxContent>
                  <w:p w:rsidR="00A905B7" w:rsidRDefault="00A905B7">
                    <w:r>
                      <w:rPr>
                        <w:rFonts w:ascii="Symbol" w:hAnsi="Symbol" w:cs="Symbol"/>
                        <w:color w:val="000000"/>
                      </w:rPr>
                      <w:t></w:t>
                    </w:r>
                  </w:p>
                </w:txbxContent>
              </v:textbox>
            </v:rect>
            <v:rect id="_x0000_s1989" style="position:absolute;left:604;width:110;height:245;mso-wrap-style:none" filled="f" stroked="f">
              <v:textbox style="mso-fit-shape-to-text:t" inset="0,0,0,0">
                <w:txbxContent>
                  <w:p w:rsidR="00A905B7" w:rsidRDefault="00A905B7">
                    <w:r>
                      <w:rPr>
                        <w:rFonts w:ascii="Symbol" w:hAnsi="Symbol" w:cs="Symbol"/>
                        <w:color w:val="000000"/>
                      </w:rPr>
                      <w:t></w:t>
                    </w:r>
                  </w:p>
                </w:txbxContent>
              </v:textbox>
            </v:rect>
            <w10:wrap type="none"/>
            <w10:anchorlock/>
          </v:group>
        </w:pict>
      </w:r>
    </w:p>
    <w:p w:rsidR="00DA59A4" w:rsidRPr="00B04DC3" w:rsidRDefault="00DA59A4" w:rsidP="00AA0E48">
      <w:pPr>
        <w:pStyle w:val="para"/>
        <w:spacing w:after="40"/>
        <w:rPr>
          <w:lang w:val="en-GB"/>
        </w:rPr>
      </w:pPr>
      <w:r w:rsidRPr="00B04DC3">
        <w:rPr>
          <w:lang w:val="en-GB"/>
        </w:rPr>
        <w:tab/>
      </w:r>
      <w:r w:rsidRPr="00B04DC3">
        <w:rPr>
          <w:lang w:val="en-GB"/>
        </w:rPr>
        <w:tab/>
      </w:r>
      <w:r w:rsidR="00A905B7">
        <w:rPr>
          <w:lang w:val="en-GB"/>
        </w:rPr>
      </w:r>
      <w:r w:rsidR="00A905B7">
        <w:rPr>
          <w:lang w:val="en-GB"/>
        </w:rPr>
        <w:pict>
          <v:group id="_x0000_s1990" editas="canvas" style="width:85.5pt;height:50.15pt;mso-position-horizontal-relative:char;mso-position-vertical-relative:line" coordsize="1710,1003">
            <o:lock v:ext="edit" aspectratio="t"/>
            <v:shape id="_x0000_s1991" type="#_x0000_t75" style="position:absolute;width:1710;height:1003" o:preferrelative="f">
              <v:fill o:detectmouseclick="t"/>
              <v:path o:extrusionok="t" o:connecttype="none"/>
              <o:lock v:ext="edit" text="t"/>
            </v:shape>
            <v:line id="_x0000_s1992" style="position:absolute" from="513,340" to="1674,340" strokeweight=".5pt"/>
            <v:rect id="_x0000_s1993" style="position:absolute;left:1370;top:433;width:340;height:287" filled="f" stroked="f">
              <v:textbox inset="0,0,0,0">
                <w:txbxContent>
                  <w:p w:rsidR="00A905B7" w:rsidRPr="002430C5" w:rsidRDefault="00A905B7">
                    <w:r w:rsidRPr="002430C5">
                      <w:rPr>
                        <w:iCs/>
                        <w:color w:val="000000"/>
                        <w:sz w:val="14"/>
                        <w:szCs w:val="14"/>
                      </w:rPr>
                      <w:t>mdw</w:t>
                    </w:r>
                  </w:p>
                </w:txbxContent>
              </v:textbox>
            </v:rect>
            <v:rect id="_x0000_s1994" style="position:absolute;left:659;top:443;width:343;height:240;mso-wrap-style:none" filled="f" stroked="f">
              <v:textbox style="mso-fit-shape-to-text:t" inset="0,0,0,0">
                <w:txbxContent>
                  <w:p w:rsidR="00A905B7" w:rsidRPr="002430C5" w:rsidRDefault="00A905B7">
                    <w:r w:rsidRPr="002430C5">
                      <w:rPr>
                        <w:iCs/>
                        <w:color w:val="000000"/>
                        <w:sz w:val="14"/>
                        <w:szCs w:val="14"/>
                      </w:rPr>
                      <w:t>mdew</w:t>
                    </w:r>
                  </w:p>
                </w:txbxContent>
              </v:textbox>
            </v:rect>
            <v:rect id="_x0000_s1995" style="position:absolute;left:984;top:75;width:343;height:240;mso-wrap-style:none" filled="f" stroked="f">
              <v:textbox style="mso-fit-shape-to-text:t" inset="0,0,0,0">
                <w:txbxContent>
                  <w:p w:rsidR="00A905B7" w:rsidRPr="002430C5" w:rsidRDefault="00A905B7">
                    <w:r w:rsidRPr="002430C5">
                      <w:rPr>
                        <w:iCs/>
                        <w:color w:val="000000"/>
                        <w:sz w:val="14"/>
                        <w:szCs w:val="14"/>
                      </w:rPr>
                      <w:t>mdew</w:t>
                    </w:r>
                  </w:p>
                </w:txbxContent>
              </v:textbox>
            </v:rect>
            <v:rect id="_x0000_s1996" style="position:absolute;left:1238;top:374;width:101;height:240;mso-wrap-style:none" filled="f" stroked="f">
              <v:textbox style="mso-fit-shape-to-text:t" inset="0,0,0,0">
                <w:txbxContent>
                  <w:p w:rsidR="00A905B7" w:rsidRPr="002430C5" w:rsidRDefault="00A905B7">
                    <w:r w:rsidRPr="002430C5">
                      <w:rPr>
                        <w:iCs/>
                        <w:color w:val="000000"/>
                      </w:rPr>
                      <w:t>q</w:t>
                    </w:r>
                  </w:p>
                </w:txbxContent>
              </v:textbox>
            </v:rect>
            <v:rect id="_x0000_s1997" style="position:absolute;left:527;top:374;width:101;height:240;mso-wrap-style:none" filled="f" stroked="f">
              <v:textbox style="mso-fit-shape-to-text:t" inset="0,0,0,0">
                <w:txbxContent>
                  <w:p w:rsidR="00A905B7" w:rsidRPr="002430C5" w:rsidRDefault="00A905B7">
                    <w:r w:rsidRPr="002430C5">
                      <w:rPr>
                        <w:iCs/>
                        <w:color w:val="000000"/>
                      </w:rPr>
                      <w:t>q</w:t>
                    </w:r>
                  </w:p>
                </w:txbxContent>
              </v:textbox>
            </v:rect>
            <v:rect id="_x0000_s1998" style="position:absolute;left:853;top:26;width:101;height:240;mso-wrap-style:none" filled="f" stroked="f">
              <v:textbox style="mso-fit-shape-to-text:t" inset="0,0,0,0">
                <w:txbxContent>
                  <w:p w:rsidR="00A905B7" w:rsidRPr="002430C5" w:rsidRDefault="00A905B7">
                    <w:r w:rsidRPr="002430C5">
                      <w:rPr>
                        <w:iCs/>
                        <w:color w:val="000000"/>
                      </w:rPr>
                      <w:t>q</w:t>
                    </w:r>
                  </w:p>
                </w:txbxContent>
              </v:textbox>
            </v:rect>
            <v:rect id="_x0000_s1999" style="position:absolute;left:36;top:184;width:67;height:240;mso-wrap-style:none" filled="f" stroked="f">
              <v:textbox style="mso-fit-shape-to-text:t" inset="0,0,0,0">
                <w:txbxContent>
                  <w:p w:rsidR="00A905B7" w:rsidRPr="002430C5" w:rsidRDefault="00A905B7">
                    <w:r w:rsidRPr="002430C5">
                      <w:rPr>
                        <w:iCs/>
                        <w:color w:val="000000"/>
                      </w:rPr>
                      <w:t>r</w:t>
                    </w:r>
                  </w:p>
                </w:txbxContent>
              </v:textbox>
            </v:rect>
            <v:rect id="_x0000_s2000" style="position:absolute;left:1061;top:420;width:110;height:245;mso-wrap-style:none" filled="f" stroked="f">
              <v:textbox style="mso-fit-shape-to-text:t" inset="0,0,0,0">
                <w:txbxContent>
                  <w:p w:rsidR="00A905B7" w:rsidRDefault="00A905B7">
                    <w:r>
                      <w:rPr>
                        <w:rFonts w:ascii="Symbol" w:hAnsi="Symbol" w:cs="Symbol"/>
                        <w:color w:val="000000"/>
                      </w:rPr>
                      <w:t></w:t>
                    </w:r>
                  </w:p>
                </w:txbxContent>
              </v:textbox>
            </v:rect>
            <v:rect id="_x0000_s2001" style="position:absolute;left:299;top:160;width:110;height:245;mso-wrap-style:none" filled="f" stroked="f">
              <v:textbox style="mso-fit-shape-to-text:t" inset="0,0,0,0">
                <w:txbxContent>
                  <w:p w:rsidR="00A905B7" w:rsidRDefault="00A905B7">
                    <w:r>
                      <w:rPr>
                        <w:rFonts w:ascii="Symbol" w:hAnsi="Symbol" w:cs="Symbol"/>
                        <w:color w:val="000000"/>
                      </w:rPr>
                      <w:t></w:t>
                    </w:r>
                  </w:p>
                </w:txbxContent>
              </v:textbox>
            </v:rect>
            <v:rect id="_x0000_s2002" style="position:absolute;left:115;top:276;width:71;height:240;mso-wrap-style:none" filled="f" stroked="f">
              <v:textbox style="mso-fit-shape-to-text:t" inset="0,0,0,0">
                <w:txbxContent>
                  <w:p w:rsidR="00A905B7" w:rsidRDefault="00A905B7">
                    <w:r>
                      <w:rPr>
                        <w:color w:val="000000"/>
                        <w:sz w:val="14"/>
                        <w:szCs w:val="14"/>
                      </w:rPr>
                      <w:t>d</w:t>
                    </w:r>
                  </w:p>
                </w:txbxContent>
              </v:textbox>
            </v:rect>
            <w10:wrap type="none"/>
            <w10:anchorlock/>
          </v:group>
        </w:pict>
      </w:r>
    </w:p>
    <w:p w:rsidR="00CB5698" w:rsidRPr="00B04DC3" w:rsidRDefault="00CB5698" w:rsidP="00CB5698">
      <w:pPr>
        <w:spacing w:after="120"/>
        <w:ind w:left="2268" w:right="1134" w:hanging="1134"/>
        <w:jc w:val="both"/>
      </w:pPr>
      <w:r w:rsidRPr="00B04DC3">
        <w:t>6.3.</w:t>
      </w:r>
      <w:r w:rsidRPr="00B04DC3">
        <w:tab/>
        <w:t>Full flow dilution system</w:t>
      </w:r>
    </w:p>
    <w:p w:rsidR="00CB5698" w:rsidRPr="00B04DC3" w:rsidRDefault="00CB5698" w:rsidP="00CB5698">
      <w:pPr>
        <w:spacing w:after="120"/>
        <w:ind w:left="2268" w:right="1134" w:hanging="1134"/>
        <w:jc w:val="both"/>
      </w:pPr>
      <w:r w:rsidRPr="00B04DC3">
        <w:tab/>
        <w:t>All calculations shall be based upon the average values of the individual modes during the sampling period. The diluted exhaust gas flow q</w:t>
      </w:r>
      <w:r w:rsidRPr="00B04DC3">
        <w:rPr>
          <w:vertAlign w:val="subscript"/>
        </w:rPr>
        <w:t>mdew</w:t>
      </w:r>
      <w:r w:rsidRPr="00B04DC3">
        <w:t xml:space="preserve"> shall be determined in accordance with paragraph 4.1. of Appendix 2 to this annex. The total sample mass m</w:t>
      </w:r>
      <w:r w:rsidRPr="00B04DC3">
        <w:rPr>
          <w:vertAlign w:val="subscript"/>
        </w:rPr>
        <w:t>sep</w:t>
      </w:r>
      <w:r w:rsidRPr="00B04DC3">
        <w:t xml:space="preserve"> shall be calculated in accordance with paragraph 6.2.1. of Appendix 2 to this annex.</w:t>
      </w:r>
    </w:p>
    <w:p w:rsidR="00CB5698" w:rsidRPr="00B04DC3" w:rsidRDefault="00CB5698" w:rsidP="00CB5698">
      <w:pPr>
        <w:pStyle w:val="para"/>
        <w:rPr>
          <w:lang w:val="en-GB"/>
        </w:rPr>
      </w:pPr>
      <w:r w:rsidRPr="00B04DC3">
        <w:rPr>
          <w:lang w:val="en-GB"/>
        </w:rPr>
        <w:tab/>
        <w:t>In case of dual-fuel engines operating in dual-fuel mode, the calculations shall be performed according to Appendix 4 to Annex 11.</w:t>
      </w:r>
    </w:p>
    <w:p w:rsidR="00DA59A4" w:rsidRPr="00B04DC3" w:rsidRDefault="00DA59A4" w:rsidP="00B23BB1">
      <w:pPr>
        <w:pStyle w:val="para"/>
        <w:keepNext/>
        <w:keepLines/>
        <w:rPr>
          <w:lang w:val="en-GB"/>
        </w:rPr>
      </w:pPr>
      <w:r w:rsidRPr="00B04DC3">
        <w:rPr>
          <w:lang w:val="en-GB"/>
        </w:rPr>
        <w:t>6.4.</w:t>
      </w:r>
      <w:r w:rsidRPr="00B04DC3">
        <w:rPr>
          <w:lang w:val="en-GB"/>
        </w:rPr>
        <w:tab/>
        <w:t>Calculation of the particulate mass flow rate</w:t>
      </w:r>
    </w:p>
    <w:p w:rsidR="00DA59A4" w:rsidRPr="00B04DC3" w:rsidRDefault="00DA59A4" w:rsidP="00DA59A4">
      <w:pPr>
        <w:pStyle w:val="para"/>
        <w:rPr>
          <w:lang w:val="en-GB"/>
        </w:rPr>
      </w:pPr>
      <w:r w:rsidRPr="00B04DC3">
        <w:rPr>
          <w:lang w:val="en-GB"/>
        </w:rPr>
        <w:tab/>
        <w:t>The particulate mass flow rate shall be calculated as follows. If a full flow dilution system is used, q</w:t>
      </w:r>
      <w:r w:rsidRPr="00B04DC3">
        <w:rPr>
          <w:vertAlign w:val="subscript"/>
          <w:lang w:val="en-GB"/>
        </w:rPr>
        <w:t>medf</w:t>
      </w:r>
      <w:r w:rsidRPr="00B04DC3">
        <w:rPr>
          <w:lang w:val="en-GB"/>
        </w:rPr>
        <w:t xml:space="preserve"> as determined according to paragraph 6.2.</w:t>
      </w:r>
      <w:r w:rsidR="00FA27AE" w:rsidRPr="00FA27AE">
        <w:rPr>
          <w:lang w:val="en-GB"/>
        </w:rPr>
        <w:t xml:space="preserve"> </w:t>
      </w:r>
      <w:r w:rsidR="00FA27AE">
        <w:rPr>
          <w:lang w:val="en-GB"/>
        </w:rPr>
        <w:t>of this appendix</w:t>
      </w:r>
      <w:r w:rsidRPr="00B04DC3">
        <w:rPr>
          <w:lang w:val="en-GB"/>
        </w:rPr>
        <w:t xml:space="preserve"> shall be replaced with q</w:t>
      </w:r>
      <w:r w:rsidRPr="00B04DC3">
        <w:rPr>
          <w:vertAlign w:val="subscript"/>
          <w:lang w:val="en-GB"/>
        </w:rPr>
        <w:t>mdew</w:t>
      </w:r>
      <w:r w:rsidRPr="00B04DC3">
        <w:rPr>
          <w:lang w:val="en-GB"/>
        </w:rPr>
        <w:t xml:space="preserve"> as determined according to paragraph 6.3.</w:t>
      </w:r>
      <w:r w:rsidR="00FA27AE" w:rsidRPr="00FA27AE">
        <w:rPr>
          <w:lang w:val="en-GB"/>
        </w:rPr>
        <w:t xml:space="preserve"> </w:t>
      </w:r>
      <w:r w:rsidR="00FA27AE">
        <w:rPr>
          <w:lang w:val="en-GB"/>
        </w:rPr>
        <w:t>of this appendix.</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2120" w:dyaOrig="740">
          <v:shape id="_x0000_i1106" type="#_x0000_t75" style="width:87.6pt;height:30pt" o:ole="">
            <v:imagedata r:id="rId167" o:title=""/>
          </v:shape>
          <o:OLEObject Type="Embed" ProgID="Equation.3" ShapeID="_x0000_i1106" DrawAspect="Content" ObjectID="_1498392262" r:id="rId168"/>
        </w:objec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2160" w:dyaOrig="720">
          <v:shape id="_x0000_i1107" type="#_x0000_t75" style="width:87.6pt;height:29.4pt" o:ole="">
            <v:imagedata r:id="rId169" o:title=""/>
          </v:shape>
          <o:OLEObject Type="Embed" ProgID="Equation.3" ShapeID="_x0000_i1107" DrawAspect="Content" ObjectID="_1498392263" r:id="rId170"/>
        </w:objec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1480" w:dyaOrig="740">
          <v:shape id="_x0000_i1108" type="#_x0000_t75" style="width:56.4pt;height:28.2pt" o:ole="">
            <v:imagedata r:id="rId171" o:title=""/>
          </v:shape>
          <o:OLEObject Type="Embed" ProgID="Equation.3" ShapeID="_x0000_i1108" DrawAspect="Content" ObjectID="_1498392264" r:id="rId172"/>
        </w:object>
      </w:r>
    </w:p>
    <w:p w:rsidR="00DA59A4" w:rsidRPr="00B04DC3" w:rsidRDefault="00DA59A4" w:rsidP="00DA59A4">
      <w:pPr>
        <w:pStyle w:val="para"/>
        <w:rPr>
          <w:lang w:val="en-GB"/>
        </w:rPr>
      </w:pPr>
      <w:r w:rsidRPr="00B04DC3">
        <w:rPr>
          <w:lang w:val="en-GB"/>
        </w:rPr>
        <w:tab/>
      </w:r>
      <w:r w:rsidRPr="00B04DC3">
        <w:rPr>
          <w:lang w:val="en-GB"/>
        </w:rPr>
        <w:tab/>
        <w:t>i = 1, ... n</w:t>
      </w:r>
    </w:p>
    <w:p w:rsidR="00DA59A4" w:rsidRPr="00B04DC3" w:rsidRDefault="00DA59A4" w:rsidP="00DA59A4">
      <w:pPr>
        <w:pStyle w:val="para"/>
        <w:rPr>
          <w:lang w:val="en-GB"/>
        </w:rPr>
      </w:pPr>
      <w:r w:rsidRPr="00B04DC3">
        <w:rPr>
          <w:lang w:val="en-GB"/>
        </w:rPr>
        <w:tab/>
        <w:t>The particulate mass flow rate may be background corrected as follows:</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6"/>
          <w:lang w:val="en-GB"/>
        </w:rPr>
        <w:object w:dxaOrig="5360" w:dyaOrig="840">
          <v:shape id="_x0000_i1109" type="#_x0000_t75" style="width:216.6pt;height:33.6pt" o:ole="">
            <v:imagedata r:id="rId173" o:title=""/>
          </v:shape>
          <o:OLEObject Type="Embed" ProgID="Equation.3" ShapeID="_x0000_i1109" DrawAspect="Content" ObjectID="_1498392265" r:id="rId174"/>
        </w:obje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 xml:space="preserve"> D shall be calculated in accordance with paragraph 5.4.1. of Appendix 2 to this annex.</w:t>
      </w:r>
    </w:p>
    <w:p w:rsidR="00DA59A4" w:rsidRPr="00B04DC3" w:rsidRDefault="00DA59A4" w:rsidP="00DA59A4">
      <w:pPr>
        <w:pStyle w:val="para"/>
        <w:rPr>
          <w:lang w:val="en-GB"/>
        </w:rPr>
      </w:pPr>
      <w:r w:rsidRPr="00B04DC3">
        <w:rPr>
          <w:lang w:val="en-GB"/>
        </w:rPr>
        <w:t>6.5.</w:t>
      </w:r>
      <w:r w:rsidRPr="00B04DC3">
        <w:rPr>
          <w:lang w:val="en-GB"/>
        </w:rPr>
        <w:tab/>
        <w:t>Calculation of the specific emission</w:t>
      </w:r>
    </w:p>
    <w:p w:rsidR="00DA59A4" w:rsidRPr="00B04DC3" w:rsidRDefault="00DA59A4" w:rsidP="00DA59A4">
      <w:pPr>
        <w:pStyle w:val="para"/>
        <w:rPr>
          <w:lang w:val="en-GB"/>
        </w:rPr>
      </w:pPr>
      <w:r w:rsidRPr="00B04DC3">
        <w:rPr>
          <w:lang w:val="en-GB"/>
        </w:rPr>
        <w:tab/>
        <w:t>The particulate emission shall be calculated in the following way:</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64"/>
          <w:lang w:val="en-GB"/>
        </w:rPr>
        <w:object w:dxaOrig="1700" w:dyaOrig="1020">
          <v:shape id="_x0000_i1110" type="#_x0000_t75" style="width:79.8pt;height:48pt" o:ole="" fillcolor="window">
            <v:imagedata r:id="rId175" o:title=""/>
          </v:shape>
          <o:OLEObject Type="Embed" ProgID="Equation.3" ShapeID="_x0000_i1110" DrawAspect="Content" ObjectID="_1498392266" r:id="rId176"/>
        </w:object>
      </w:r>
    </w:p>
    <w:p w:rsidR="00DA59A4" w:rsidRPr="00B04DC3" w:rsidRDefault="00DA59A4" w:rsidP="00DA59A4">
      <w:pPr>
        <w:pStyle w:val="para"/>
        <w:rPr>
          <w:lang w:val="en-GB"/>
        </w:rPr>
      </w:pPr>
      <w:r w:rsidRPr="00B04DC3">
        <w:rPr>
          <w:lang w:val="en-GB"/>
        </w:rPr>
        <w:t>6.6.</w:t>
      </w:r>
      <w:r w:rsidRPr="00B04DC3">
        <w:rPr>
          <w:lang w:val="en-GB"/>
        </w:rPr>
        <w:tab/>
        <w:t>Effective weighting factor</w:t>
      </w:r>
    </w:p>
    <w:p w:rsidR="00DA59A4" w:rsidRPr="00B04DC3" w:rsidRDefault="00DA59A4" w:rsidP="00DA59A4">
      <w:pPr>
        <w:pStyle w:val="para"/>
        <w:rPr>
          <w:lang w:val="en-GB"/>
        </w:rPr>
      </w:pPr>
      <w:r w:rsidRPr="00B04DC3">
        <w:rPr>
          <w:lang w:val="en-GB"/>
        </w:rPr>
        <w:tab/>
        <w:t>The effective weighting factor W</w:t>
      </w:r>
      <w:r w:rsidRPr="00B04DC3">
        <w:rPr>
          <w:vertAlign w:val="subscript"/>
          <w:lang w:val="en-GB"/>
        </w:rPr>
        <w:t>fei</w:t>
      </w:r>
      <w:r w:rsidRPr="00B04DC3">
        <w:rPr>
          <w:lang w:val="en-GB"/>
        </w:rPr>
        <w:t xml:space="preserve"> for each mode shall be calculated in the following way:</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1900" w:dyaOrig="760">
          <v:shape id="_x0000_i1111" type="#_x0000_t75" style="width:82.2pt;height:32.4pt" o:ole="" fillcolor="window">
            <v:imagedata r:id="rId177" o:title=""/>
          </v:shape>
          <o:OLEObject Type="Embed" ProgID="Equation.3" ShapeID="_x0000_i1111" DrawAspect="Content" ObjectID="_1498392267" r:id="rId178"/>
        </w:object>
      </w:r>
    </w:p>
    <w:p w:rsidR="00DA59A4" w:rsidRPr="00B04DC3" w:rsidRDefault="00DA59A4" w:rsidP="00DA59A4">
      <w:pPr>
        <w:pStyle w:val="para"/>
        <w:rPr>
          <w:lang w:val="en-GB"/>
        </w:rPr>
      </w:pPr>
      <w:r w:rsidRPr="00B04DC3">
        <w:rPr>
          <w:lang w:val="en-GB"/>
        </w:rPr>
        <w:tab/>
        <w:t>The value of the effective weighting factors shall be within ±0.003 (0.005 for the idle mode) of the weighting factors listed in paragraph 2.7.1. of this appendix.</w:t>
      </w:r>
    </w:p>
    <w:p w:rsidR="00DA59A4" w:rsidRPr="00B04DC3" w:rsidRDefault="00DA59A4" w:rsidP="00DA59A4">
      <w:pPr>
        <w:pStyle w:val="para"/>
        <w:rPr>
          <w:lang w:val="en-GB"/>
        </w:rPr>
      </w:pPr>
      <w:r w:rsidRPr="00B04DC3">
        <w:rPr>
          <w:lang w:val="en-GB"/>
        </w:rPr>
        <w:t>7.</w:t>
      </w:r>
      <w:r w:rsidRPr="00B04DC3">
        <w:rPr>
          <w:lang w:val="en-GB"/>
        </w:rPr>
        <w:tab/>
        <w:t>Calculation of the smoke values</w:t>
      </w:r>
    </w:p>
    <w:p w:rsidR="00DA59A4" w:rsidRPr="00B04DC3" w:rsidRDefault="00DA59A4" w:rsidP="00DA59A4">
      <w:pPr>
        <w:pStyle w:val="para"/>
        <w:rPr>
          <w:lang w:val="en-GB"/>
        </w:rPr>
      </w:pPr>
      <w:r w:rsidRPr="00B04DC3">
        <w:rPr>
          <w:lang w:val="en-GB"/>
        </w:rPr>
        <w:t>7.1.</w:t>
      </w:r>
      <w:r w:rsidRPr="00B04DC3">
        <w:rPr>
          <w:lang w:val="en-GB"/>
        </w:rPr>
        <w:tab/>
        <w:t>Bessel algorithm</w:t>
      </w:r>
    </w:p>
    <w:p w:rsidR="00DA59A4" w:rsidRPr="00B04DC3" w:rsidRDefault="00DA59A4" w:rsidP="00DA59A4">
      <w:pPr>
        <w:pStyle w:val="para"/>
        <w:rPr>
          <w:lang w:val="en-GB"/>
        </w:rPr>
      </w:pPr>
      <w:r w:rsidRPr="00B04DC3">
        <w:rPr>
          <w:lang w:val="en-GB"/>
        </w:rPr>
        <w:tab/>
        <w:t>The Bessel algorithm shall be used to compute the 1 s</w:t>
      </w:r>
      <w:r w:rsidR="00077AA2" w:rsidRPr="00B04DC3">
        <w:rPr>
          <w:lang w:val="en-GB"/>
        </w:rPr>
        <w:t>econd</w:t>
      </w:r>
      <w:r w:rsidRPr="00B04DC3">
        <w:rPr>
          <w:lang w:val="en-GB"/>
        </w:rPr>
        <w:t xml:space="preserve"> average values from the instantaneous smoke readings, converted in accordance with paragraph 7.3.1. </w:t>
      </w:r>
      <w:r w:rsidR="00FA27AE">
        <w:rPr>
          <w:lang w:val="en-GB"/>
        </w:rPr>
        <w:t>of this appendix</w:t>
      </w:r>
      <w:r w:rsidR="00FA27AE" w:rsidRPr="00B04DC3">
        <w:rPr>
          <w:lang w:val="en-GB"/>
        </w:rPr>
        <w:t xml:space="preserve"> </w:t>
      </w:r>
      <w:r w:rsidR="00FA27AE">
        <w:rPr>
          <w:lang w:val="en-GB"/>
        </w:rPr>
        <w:t xml:space="preserve">. </w:t>
      </w:r>
      <w:r w:rsidRPr="00B04DC3">
        <w:rPr>
          <w:lang w:val="en-GB"/>
        </w:rPr>
        <w:t xml:space="preserve">The algorithm emulates a low pass second order filter, and its use requires iterative calculations to determine the coefficients. These coefficients are a function of the response time of the opacimeter system and the sampling rate. Therefore, paragraph 7.1.1. </w:t>
      </w:r>
      <w:r w:rsidR="00FA27AE">
        <w:rPr>
          <w:lang w:val="en-GB"/>
        </w:rPr>
        <w:t>of this appendix</w:t>
      </w:r>
      <w:r w:rsidR="00FA27AE" w:rsidRPr="00B04DC3">
        <w:rPr>
          <w:lang w:val="en-GB"/>
        </w:rPr>
        <w:t xml:space="preserve"> </w:t>
      </w:r>
      <w:r w:rsidRPr="00B04DC3">
        <w:rPr>
          <w:lang w:val="en-GB"/>
        </w:rPr>
        <w:t>shall be repeated whenever the system response time and/or sampling rate changes.</w:t>
      </w:r>
    </w:p>
    <w:p w:rsidR="00DA59A4" w:rsidRPr="00B04DC3" w:rsidRDefault="00DA59A4" w:rsidP="00DA59A4">
      <w:pPr>
        <w:pStyle w:val="para"/>
        <w:rPr>
          <w:lang w:val="en-GB"/>
        </w:rPr>
      </w:pPr>
      <w:r w:rsidRPr="00B04DC3">
        <w:rPr>
          <w:lang w:val="en-GB"/>
        </w:rPr>
        <w:t>7.1.1.</w:t>
      </w:r>
      <w:r w:rsidRPr="00B04DC3">
        <w:rPr>
          <w:lang w:val="en-GB"/>
        </w:rPr>
        <w:tab/>
        <w:t>Calculation of filter response time and Bessel constants</w:t>
      </w:r>
    </w:p>
    <w:p w:rsidR="00DA59A4" w:rsidRPr="00B04DC3" w:rsidRDefault="00DA59A4" w:rsidP="00DA59A4">
      <w:pPr>
        <w:pStyle w:val="para"/>
        <w:rPr>
          <w:lang w:val="en-GB"/>
        </w:rPr>
      </w:pPr>
      <w:r w:rsidRPr="00B04DC3">
        <w:rPr>
          <w:lang w:val="en-GB"/>
        </w:rPr>
        <w:tab/>
        <w:t>The required Bessel response time (t</w:t>
      </w:r>
      <w:r w:rsidRPr="00B04DC3">
        <w:rPr>
          <w:vertAlign w:val="subscript"/>
          <w:lang w:val="en-GB"/>
        </w:rPr>
        <w:t>F</w:t>
      </w:r>
      <w:r w:rsidRPr="00B04DC3">
        <w:rPr>
          <w:lang w:val="en-GB"/>
        </w:rPr>
        <w:t>) is a function of the physical and electrical response times of the opacimeter system, as specified in Appendix 4 to this annex and shall be calculated by the following equation:</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pict>
          <v:shape id="_x0000_i1112" type="#_x0000_t75" style="width:91.8pt;height:24pt" fillcolor="window">
            <v:imagedata r:id="rId179" o:title=""/>
          </v:shape>
        </w:pic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2900"/>
        </w:tabs>
        <w:ind w:left="3200" w:hanging="932"/>
        <w:rPr>
          <w:lang w:val="en-GB"/>
        </w:rPr>
      </w:pPr>
      <w:r w:rsidRPr="00B04DC3">
        <w:rPr>
          <w:lang w:val="en-GB"/>
        </w:rPr>
        <w:t>t</w:t>
      </w:r>
      <w:r w:rsidRPr="00B04DC3">
        <w:rPr>
          <w:vertAlign w:val="subscript"/>
          <w:lang w:val="en-GB"/>
        </w:rPr>
        <w:t>p</w:t>
      </w:r>
      <w:r w:rsidRPr="00B04DC3">
        <w:rPr>
          <w:lang w:val="en-GB"/>
        </w:rPr>
        <w:tab/>
        <w:t xml:space="preserve"> = </w:t>
      </w:r>
      <w:r w:rsidRPr="00B04DC3">
        <w:rPr>
          <w:lang w:val="en-GB"/>
        </w:rPr>
        <w:tab/>
        <w:t>physical response time, s</w:t>
      </w:r>
    </w:p>
    <w:p w:rsidR="00DA59A4" w:rsidRPr="00B04DC3" w:rsidRDefault="00DA59A4" w:rsidP="00DA59A4">
      <w:pPr>
        <w:pStyle w:val="para"/>
        <w:tabs>
          <w:tab w:val="left" w:pos="2900"/>
        </w:tabs>
        <w:ind w:left="3200" w:hanging="932"/>
        <w:rPr>
          <w:lang w:val="en-GB"/>
        </w:rPr>
      </w:pPr>
      <w:r w:rsidRPr="00B04DC3">
        <w:rPr>
          <w:lang w:val="en-GB"/>
        </w:rPr>
        <w:t>t</w:t>
      </w:r>
      <w:r w:rsidRPr="00B04DC3">
        <w:rPr>
          <w:vertAlign w:val="subscript"/>
          <w:lang w:val="en-GB"/>
        </w:rPr>
        <w:t>e</w:t>
      </w:r>
      <w:r w:rsidRPr="00B04DC3">
        <w:rPr>
          <w:lang w:val="en-GB"/>
        </w:rPr>
        <w:tab/>
        <w:t xml:space="preserve"> = </w:t>
      </w:r>
      <w:r w:rsidRPr="00B04DC3">
        <w:rPr>
          <w:lang w:val="en-GB"/>
        </w:rPr>
        <w:tab/>
        <w:t>electrical response time, s</w:t>
      </w:r>
    </w:p>
    <w:p w:rsidR="00DA59A4" w:rsidRPr="00B04DC3" w:rsidRDefault="00DA59A4" w:rsidP="00AA0E48">
      <w:pPr>
        <w:pStyle w:val="para"/>
        <w:spacing w:after="60"/>
        <w:rPr>
          <w:lang w:val="en-GB"/>
        </w:rPr>
      </w:pPr>
      <w:r w:rsidRPr="00B04DC3">
        <w:rPr>
          <w:lang w:val="en-GB"/>
        </w:rPr>
        <w:tab/>
        <w:t>The calculations for estimating the filter cut-off frequency (f</w:t>
      </w:r>
      <w:r w:rsidRPr="00B04DC3">
        <w:rPr>
          <w:vertAlign w:val="subscript"/>
          <w:lang w:val="en-GB"/>
        </w:rPr>
        <w:t>c</w:t>
      </w:r>
      <w:r w:rsidRPr="00B04DC3">
        <w:rPr>
          <w:lang w:val="en-GB"/>
        </w:rPr>
        <w:t>) are based on a step input 0 to 1 in ≤ 0.01 s</w:t>
      </w:r>
      <w:r w:rsidR="00077AA2" w:rsidRPr="00B04DC3">
        <w:rPr>
          <w:lang w:val="en-GB"/>
        </w:rPr>
        <w:t>econd</w:t>
      </w:r>
      <w:r w:rsidRPr="00B04DC3">
        <w:rPr>
          <w:lang w:val="en-GB"/>
        </w:rPr>
        <w:t xml:space="preserve"> (see Annex 6). The response time is defined as the time between when the Bessel output reaches 10 per cent (t</w:t>
      </w:r>
      <w:r w:rsidRPr="00B04DC3">
        <w:rPr>
          <w:vertAlign w:val="subscript"/>
          <w:lang w:val="en-GB"/>
        </w:rPr>
        <w:t>10</w:t>
      </w:r>
      <w:r w:rsidRPr="00B04DC3">
        <w:rPr>
          <w:lang w:val="en-GB"/>
        </w:rPr>
        <w:t>) and when it reaches 90 per cent (t</w:t>
      </w:r>
      <w:r w:rsidRPr="00B04DC3">
        <w:rPr>
          <w:vertAlign w:val="subscript"/>
          <w:lang w:val="en-GB"/>
        </w:rPr>
        <w:t>90</w:t>
      </w:r>
      <w:r w:rsidRPr="00B04DC3">
        <w:rPr>
          <w:lang w:val="en-GB"/>
        </w:rPr>
        <w:t>) of this step function. This shall be obtained by iterating on f</w:t>
      </w:r>
      <w:r w:rsidRPr="00B04DC3">
        <w:rPr>
          <w:vertAlign w:val="subscript"/>
          <w:lang w:val="en-GB"/>
        </w:rPr>
        <w:t>c</w:t>
      </w:r>
      <w:r w:rsidRPr="00B04DC3">
        <w:rPr>
          <w:lang w:val="en-GB"/>
        </w:rPr>
        <w:t xml:space="preserve"> until t</w:t>
      </w:r>
      <w:r w:rsidRPr="00B04DC3">
        <w:rPr>
          <w:vertAlign w:val="subscript"/>
          <w:lang w:val="en-GB"/>
        </w:rPr>
        <w:t xml:space="preserve">90 </w:t>
      </w:r>
      <w:r w:rsidRPr="00B04DC3">
        <w:rPr>
          <w:lang w:val="en-GB"/>
        </w:rPr>
        <w:t>- t</w:t>
      </w:r>
      <w:r w:rsidRPr="00B04DC3">
        <w:rPr>
          <w:vertAlign w:val="subscript"/>
          <w:lang w:val="en-GB"/>
        </w:rPr>
        <w:t>10</w:t>
      </w:r>
      <w:r w:rsidRPr="00B04DC3">
        <w:rPr>
          <w:lang w:val="en-GB"/>
        </w:rPr>
        <w:t> ≈ t</w:t>
      </w:r>
      <w:r w:rsidRPr="00B04DC3">
        <w:rPr>
          <w:vertAlign w:val="subscript"/>
          <w:lang w:val="en-GB"/>
        </w:rPr>
        <w:t>F</w:t>
      </w:r>
      <w:r w:rsidRPr="00B04DC3">
        <w:rPr>
          <w:lang w:val="en-GB"/>
        </w:rPr>
        <w:t>. The first iteration for f</w:t>
      </w:r>
      <w:r w:rsidRPr="00B04DC3">
        <w:rPr>
          <w:vertAlign w:val="subscript"/>
          <w:lang w:val="en-GB"/>
        </w:rPr>
        <w:t>c</w:t>
      </w:r>
      <w:r w:rsidRPr="00B04DC3">
        <w:rPr>
          <w:lang w:val="en-GB"/>
        </w:rPr>
        <w:t xml:space="preserve"> is given by the following formula:</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r>
      <w:r w:rsidR="00A905B7">
        <w:rPr>
          <w:lang w:val="en-GB"/>
        </w:rPr>
        <w:pict>
          <v:group id="_x0000_s3141" editas="canvas" style="width:59.1pt;height:36.25pt;mso-position-horizontal-relative:char;mso-position-vertical-relative:line" coordsize="1182,725">
            <o:lock v:ext="edit" aspectratio="t"/>
            <v:shape id="_x0000_s3140" type="#_x0000_t75" style="position:absolute;width:1182;height:725" o:preferrelative="f">
              <v:fill o:detectmouseclick="t"/>
              <v:path o:extrusionok="t" o:connecttype="none"/>
              <o:lock v:ext="edit" text="t"/>
            </v:shape>
            <v:line id="_x0000_s3142" style="position:absolute" from="496,320" to="1155,320" strokeweight=".5pt"/>
            <v:rect id="_x0000_s3143" style="position:absolute;left:1025;top:485;width:89;height:240;mso-wrap-style:none" filled="f" stroked="f">
              <v:textbox style="mso-fit-shape-to-text:t" inset="0,0,0,0">
                <w:txbxContent>
                  <w:p w:rsidR="00A905B7" w:rsidRDefault="00A905B7">
                    <w:r>
                      <w:rPr>
                        <w:color w:val="000000"/>
                        <w:sz w:val="16"/>
                        <w:szCs w:val="16"/>
                      </w:rPr>
                      <w:t>F</w:t>
                    </w:r>
                  </w:p>
                </w:txbxContent>
              </v:textbox>
            </v:rect>
            <v:rect id="_x0000_s3144" style="position:absolute;left:132;top:297;width:72;height:240;mso-wrap-style:none" filled="f" stroked="f">
              <v:textbox style="mso-fit-shape-to-text:t" inset="0,0,0,0">
                <w:txbxContent>
                  <w:p w:rsidR="00A905B7" w:rsidRDefault="00A905B7">
                    <w:r>
                      <w:rPr>
                        <w:color w:val="000000"/>
                        <w:sz w:val="16"/>
                        <w:szCs w:val="16"/>
                      </w:rPr>
                      <w:t>c</w:t>
                    </w:r>
                  </w:p>
                </w:txbxContent>
              </v:textbox>
            </v:rect>
            <v:rect id="_x0000_s3145" style="position:absolute;left:931;top:354;width:56;height:240;mso-wrap-style:none" filled="f" stroked="f">
              <v:textbox style="mso-fit-shape-to-text:t" inset="0,0,0,0">
                <w:txbxContent>
                  <w:p w:rsidR="00A905B7" w:rsidRPr="00AA0E48" w:rsidRDefault="00A905B7">
                    <w:r w:rsidRPr="00AA0E48">
                      <w:rPr>
                        <w:color w:val="000000"/>
                      </w:rPr>
                      <w:t>t</w:t>
                    </w:r>
                  </w:p>
                </w:txbxContent>
              </v:textbox>
            </v:rect>
            <v:rect id="_x0000_s3146" style="position:absolute;left:486;top:354;width:201;height:240;mso-wrap-style:none" filled="f" stroked="f">
              <v:textbox style="mso-fit-shape-to-text:t" inset="0,0,0,0">
                <w:txbxContent>
                  <w:p w:rsidR="00A905B7" w:rsidRPr="00AA0E48" w:rsidRDefault="00A905B7">
                    <w:r w:rsidRPr="00AA0E48">
                      <w:rPr>
                        <w:color w:val="000000"/>
                      </w:rPr>
                      <w:t>10</w:t>
                    </w:r>
                  </w:p>
                </w:txbxContent>
              </v:textbox>
            </v:rect>
            <v:rect id="_x0000_s3147" style="position:absolute;left:767;top:15;width:101;height:240;mso-wrap-style:none" filled="f" stroked="f">
              <v:textbox style="mso-fit-shape-to-text:t" inset="0,0,0,0">
                <w:txbxContent>
                  <w:p w:rsidR="00A905B7" w:rsidRPr="00AA0E48" w:rsidRDefault="00A905B7">
                    <w:r w:rsidRPr="00AA0E48">
                      <w:rPr>
                        <w:color w:val="000000"/>
                      </w:rPr>
                      <w:t>π</w:t>
                    </w:r>
                  </w:p>
                </w:txbxContent>
              </v:textbox>
            </v:rect>
            <v:rect id="_x0000_s3148" style="position:absolute;left:32;top:166;width:67;height:240;mso-wrap-style:none" filled="f" stroked="f">
              <v:textbox style="mso-fit-shape-to-text:t" inset="0,0,0,0">
                <w:txbxContent>
                  <w:p w:rsidR="00A905B7" w:rsidRPr="00AA0E48" w:rsidRDefault="00A905B7">
                    <w:r w:rsidRPr="00AA0E48">
                      <w:rPr>
                        <w:color w:val="000000"/>
                      </w:rPr>
                      <w:t>f</w:t>
                    </w:r>
                  </w:p>
                </w:txbxContent>
              </v:textbox>
            </v:rect>
            <v:rect id="_x0000_s3149" style="position:absolute;left:755;top:326;width:110;height:245;mso-wrap-style:none" filled="f" stroked="f">
              <v:textbox style="mso-fit-shape-to-text:t" inset="0,0,0,0">
                <w:txbxContent>
                  <w:p w:rsidR="00A905B7" w:rsidRPr="00AA0E48" w:rsidRDefault="00A905B7">
                    <w:r w:rsidRPr="00AA0E48">
                      <w:rPr>
                        <w:rFonts w:ascii="Symbol" w:hAnsi="Symbol" w:cs="Symbol"/>
                        <w:color w:val="000000"/>
                      </w:rPr>
                      <w:t></w:t>
                    </w:r>
                  </w:p>
                </w:txbxContent>
              </v:textbox>
            </v:rect>
            <v:rect id="_x0000_s3150" style="position:absolute;left:298;top:138;width:110;height:245;mso-wrap-style:none" filled="f" stroked="f">
              <v:textbox style="mso-fit-shape-to-text:t" inset="0,0,0,0">
                <w:txbxContent>
                  <w:p w:rsidR="00A905B7" w:rsidRPr="00AA0E48" w:rsidRDefault="00A905B7">
                    <w:r w:rsidRPr="00AA0E48">
                      <w:rPr>
                        <w:rFonts w:ascii="Symbol" w:hAnsi="Symbol" w:cs="Symbol"/>
                        <w:color w:val="000000"/>
                      </w:rPr>
                      <w:t></w:t>
                    </w:r>
                  </w:p>
                </w:txbxContent>
              </v:textbox>
            </v:rect>
            <w10:wrap type="none"/>
            <w10:anchorlock/>
          </v:group>
        </w:pict>
      </w:r>
    </w:p>
    <w:p w:rsidR="00DA59A4" w:rsidRPr="00B04DC3" w:rsidRDefault="00DA59A4" w:rsidP="00AA0E48">
      <w:pPr>
        <w:pStyle w:val="para"/>
        <w:spacing w:after="60"/>
        <w:rPr>
          <w:lang w:val="en-GB"/>
        </w:rPr>
      </w:pPr>
      <w:r w:rsidRPr="00B04DC3">
        <w:rPr>
          <w:lang w:val="en-GB"/>
        </w:rPr>
        <w:tab/>
        <w:t>The Bessel constants E and K shall be calculated by the following equations:</w: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pict>
          <v:shape id="_x0000_i1114" type="#_x0000_t75" style="width:123.6pt;height:29.4pt" fillcolor="window">
            <v:imagedata r:id="rId180" o:title=""/>
          </v:shape>
        </w:pict>
      </w:r>
    </w:p>
    <w:p w:rsidR="00DA59A4" w:rsidRPr="00B04DC3" w:rsidRDefault="00DA59A4" w:rsidP="00DA59A4">
      <w:pPr>
        <w:pStyle w:val="para"/>
        <w:rPr>
          <w:lang w:val="en-GB"/>
        </w:rPr>
      </w:pPr>
      <w:r w:rsidRPr="00B04DC3">
        <w:rPr>
          <w:lang w:val="en-GB"/>
        </w:rPr>
        <w:tab/>
      </w:r>
      <w:r w:rsidRPr="00B04DC3">
        <w:rPr>
          <w:lang w:val="en-GB"/>
        </w:rPr>
        <w:tab/>
      </w:r>
      <w:r w:rsidR="00A905B7">
        <w:rPr>
          <w:lang w:val="en-GB"/>
        </w:rPr>
        <w:pict>
          <v:shape id="_x0000_i1115" type="#_x0000_t75" style="width:114pt;height:16.2pt" fillcolor="window">
            <v:imagedata r:id="rId181" o:title=""/>
          </v:shape>
        </w:pict>
      </w:r>
    </w:p>
    <w:p w:rsidR="00DA59A4" w:rsidRPr="00B04DC3" w:rsidRDefault="00DA59A4" w:rsidP="00AA0E48">
      <w:pPr>
        <w:pStyle w:val="para"/>
        <w:spacing w:after="60"/>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3085"/>
        </w:tabs>
        <w:ind w:left="2282" w:hanging="21"/>
        <w:jc w:val="left"/>
        <w:rPr>
          <w:lang w:val="en-GB"/>
        </w:rPr>
      </w:pPr>
      <w:r w:rsidRPr="00B04DC3">
        <w:rPr>
          <w:lang w:val="en-GB"/>
        </w:rPr>
        <w:t>D</w:t>
      </w:r>
      <w:r w:rsidRPr="00B04DC3">
        <w:rPr>
          <w:lang w:val="en-GB"/>
        </w:rPr>
        <w:tab/>
        <w:t xml:space="preserve"> = 0.618034</w:t>
      </w:r>
    </w:p>
    <w:p w:rsidR="00DA59A4" w:rsidRPr="00B04DC3" w:rsidRDefault="00DA59A4" w:rsidP="00DA59A4">
      <w:pPr>
        <w:pStyle w:val="para"/>
        <w:tabs>
          <w:tab w:val="left" w:pos="3085"/>
        </w:tabs>
        <w:ind w:left="2282" w:hanging="21"/>
        <w:jc w:val="left"/>
        <w:rPr>
          <w:i/>
          <w:lang w:val="en-GB"/>
        </w:rPr>
      </w:pPr>
      <w:r w:rsidRPr="00B04DC3">
        <w:rPr>
          <w:i/>
          <w:position w:val="-30"/>
          <w:lang w:val="en-GB"/>
        </w:rPr>
        <w:object w:dxaOrig="1920" w:dyaOrig="680">
          <v:shape id="_x0000_i1116" type="#_x0000_t75" style="width:69.6pt;height:24.6pt" o:ole="">
            <v:imagedata r:id="rId182" o:title=""/>
          </v:shape>
          <o:OLEObject Type="Embed" ProgID="Equation.3" ShapeID="_x0000_i1116" DrawAspect="Content" ObjectID="_1498392268" r:id="rId183"/>
        </w:object>
      </w:r>
    </w:p>
    <w:p w:rsidR="00DA59A4" w:rsidRPr="00B04DC3" w:rsidRDefault="00DA59A4" w:rsidP="00DA59A4">
      <w:pPr>
        <w:pStyle w:val="para"/>
        <w:tabs>
          <w:tab w:val="left" w:pos="3085"/>
        </w:tabs>
        <w:ind w:left="2282" w:hanging="21"/>
        <w:jc w:val="left"/>
        <w:rPr>
          <w:lang w:val="en-GB"/>
        </w:rPr>
      </w:pPr>
      <w:r w:rsidRPr="00B04DC3">
        <w:rPr>
          <w:position w:val="-30"/>
          <w:lang w:val="en-GB"/>
        </w:rPr>
        <w:object w:dxaOrig="2200" w:dyaOrig="680">
          <v:shape id="_x0000_i1117" type="#_x0000_t75" style="width:87.6pt;height:26.4pt" o:ole="">
            <v:imagedata r:id="rId184" o:title=""/>
          </v:shape>
          <o:OLEObject Type="Embed" ProgID="Equation.3" ShapeID="_x0000_i1117" DrawAspect="Content" ObjectID="_1498392269" r:id="rId185"/>
        </w:object>
      </w:r>
    </w:p>
    <w:p w:rsidR="00DA59A4" w:rsidRPr="00B04DC3" w:rsidRDefault="00DA59A4" w:rsidP="00AA0E48">
      <w:pPr>
        <w:pStyle w:val="para"/>
        <w:spacing w:after="60"/>
        <w:rPr>
          <w:lang w:val="en-GB"/>
        </w:rPr>
      </w:pPr>
      <w:r w:rsidRPr="00B04DC3">
        <w:rPr>
          <w:lang w:val="en-GB"/>
        </w:rPr>
        <w:t>7.1.2.</w:t>
      </w:r>
      <w:r w:rsidRPr="00B04DC3">
        <w:rPr>
          <w:lang w:val="en-GB"/>
        </w:rPr>
        <w:tab/>
        <w:t>Calculation of the Bessel algorithm</w:t>
      </w:r>
    </w:p>
    <w:p w:rsidR="00DA59A4" w:rsidRPr="00B04DC3" w:rsidRDefault="00DA59A4" w:rsidP="00DA59A4">
      <w:pPr>
        <w:pStyle w:val="para"/>
        <w:rPr>
          <w:lang w:val="en-GB"/>
        </w:rPr>
      </w:pPr>
      <w:r w:rsidRPr="00B04DC3">
        <w:rPr>
          <w:lang w:val="en-GB"/>
        </w:rPr>
        <w:tab/>
        <w:t>Using the values of E and K, the 1 s</w:t>
      </w:r>
      <w:r w:rsidR="00077AA2" w:rsidRPr="00B04DC3">
        <w:rPr>
          <w:lang w:val="en-GB"/>
        </w:rPr>
        <w:t>econd</w:t>
      </w:r>
      <w:r w:rsidRPr="00B04DC3">
        <w:rPr>
          <w:lang w:val="en-GB"/>
        </w:rPr>
        <w:t xml:space="preserve"> Bessel averaged response to a step input S</w:t>
      </w:r>
      <w:r w:rsidRPr="00B04DC3">
        <w:rPr>
          <w:vertAlign w:val="subscript"/>
          <w:lang w:val="en-GB"/>
        </w:rPr>
        <w:t>i</w:t>
      </w:r>
      <w:r w:rsidRPr="00B04DC3">
        <w:rPr>
          <w:lang w:val="en-GB"/>
        </w:rPr>
        <w:t xml:space="preserve"> shall be calculated as follows:</w:t>
      </w:r>
    </w:p>
    <w:p w:rsidR="00DA59A4" w:rsidRPr="00B04DC3" w:rsidRDefault="00DA59A4" w:rsidP="00DA59A4">
      <w:pPr>
        <w:pStyle w:val="para"/>
        <w:rPr>
          <w:lang w:val="en-GB"/>
        </w:rPr>
      </w:pPr>
      <w:r w:rsidRPr="00B04DC3">
        <w:rPr>
          <w:lang w:val="en-GB"/>
        </w:rPr>
        <w:tab/>
      </w:r>
      <w:r w:rsidRPr="00B04DC3">
        <w:rPr>
          <w:lang w:val="en-GB"/>
        </w:rPr>
        <w:tab/>
        <w:t>Y</w:t>
      </w:r>
      <w:r w:rsidRPr="00B04DC3">
        <w:rPr>
          <w:vertAlign w:val="subscript"/>
          <w:lang w:val="en-GB"/>
        </w:rPr>
        <w:t>i</w:t>
      </w:r>
      <w:r w:rsidRPr="00B04DC3">
        <w:rPr>
          <w:lang w:val="en-GB"/>
        </w:rPr>
        <w:t xml:space="preserve"> = Y</w:t>
      </w:r>
      <w:r w:rsidRPr="00B04DC3">
        <w:rPr>
          <w:vertAlign w:val="subscript"/>
          <w:lang w:val="en-GB"/>
        </w:rPr>
        <w:t>i−1</w:t>
      </w:r>
      <w:r w:rsidRPr="00B04DC3">
        <w:rPr>
          <w:lang w:val="en-GB"/>
        </w:rPr>
        <w:t xml:space="preserve"> + E </w:t>
      </w:r>
      <w:r w:rsidRPr="00B04DC3">
        <w:rPr>
          <w:lang w:val="en-GB"/>
        </w:rPr>
        <w:sym w:font="Symbol" w:char="F0B4"/>
      </w:r>
      <w:r w:rsidRPr="00B04DC3">
        <w:rPr>
          <w:lang w:val="en-GB"/>
        </w:rPr>
        <w:t xml:space="preserve"> (S</w:t>
      </w:r>
      <w:r w:rsidRPr="00B04DC3">
        <w:rPr>
          <w:vertAlign w:val="subscript"/>
          <w:lang w:val="en-GB"/>
        </w:rPr>
        <w:t>i</w:t>
      </w:r>
      <w:r w:rsidRPr="00B04DC3">
        <w:rPr>
          <w:lang w:val="en-GB"/>
        </w:rPr>
        <w:t xml:space="preserve"> + 2 </w:t>
      </w:r>
      <w:r w:rsidRPr="00B04DC3">
        <w:rPr>
          <w:lang w:val="en-GB"/>
        </w:rPr>
        <w:sym w:font="Symbol" w:char="F0B4"/>
      </w:r>
      <w:r w:rsidRPr="00B04DC3">
        <w:rPr>
          <w:lang w:val="en-GB"/>
        </w:rPr>
        <w:t xml:space="preserve"> S</w:t>
      </w:r>
      <w:r w:rsidRPr="00B04DC3">
        <w:rPr>
          <w:vertAlign w:val="subscript"/>
          <w:lang w:val="en-GB"/>
        </w:rPr>
        <w:t>i−1</w:t>
      </w:r>
      <w:r w:rsidRPr="00B04DC3">
        <w:rPr>
          <w:lang w:val="en-GB"/>
        </w:rPr>
        <w:t xml:space="preserve"> + S</w:t>
      </w:r>
      <w:r w:rsidRPr="00B04DC3">
        <w:rPr>
          <w:vertAlign w:val="subscript"/>
          <w:lang w:val="en-GB"/>
        </w:rPr>
        <w:t>i−2</w:t>
      </w:r>
      <w:r w:rsidRPr="00B04DC3">
        <w:rPr>
          <w:lang w:val="en-GB"/>
        </w:rPr>
        <w:t xml:space="preserve"> − 4 </w:t>
      </w:r>
      <w:r w:rsidRPr="00B04DC3">
        <w:rPr>
          <w:lang w:val="en-GB"/>
        </w:rPr>
        <w:sym w:font="Symbol" w:char="F0B4"/>
      </w:r>
      <w:r w:rsidRPr="00B04DC3">
        <w:rPr>
          <w:lang w:val="en-GB"/>
        </w:rPr>
        <w:t xml:space="preserve"> Y</w:t>
      </w:r>
      <w:r w:rsidRPr="00B04DC3">
        <w:rPr>
          <w:vertAlign w:val="subscript"/>
          <w:lang w:val="en-GB"/>
        </w:rPr>
        <w:t>i−2</w:t>
      </w:r>
      <w:r w:rsidRPr="00B04DC3">
        <w:rPr>
          <w:lang w:val="en-GB"/>
        </w:rPr>
        <w:t xml:space="preserve">) + K </w:t>
      </w:r>
      <w:r w:rsidRPr="00B04DC3">
        <w:rPr>
          <w:lang w:val="en-GB"/>
        </w:rPr>
        <w:sym w:font="Symbol" w:char="F0B4"/>
      </w:r>
      <w:r w:rsidRPr="00B04DC3">
        <w:rPr>
          <w:lang w:val="en-GB"/>
        </w:rPr>
        <w:t xml:space="preserve"> (Y</w:t>
      </w:r>
      <w:r w:rsidRPr="00B04DC3">
        <w:rPr>
          <w:vertAlign w:val="subscript"/>
          <w:lang w:val="en-GB"/>
        </w:rPr>
        <w:t>i−1</w:t>
      </w:r>
      <w:r w:rsidRPr="00B04DC3">
        <w:rPr>
          <w:lang w:val="en-GB"/>
        </w:rPr>
        <w:t xml:space="preserve"> − Y</w:t>
      </w:r>
      <w:r w:rsidRPr="00B04DC3">
        <w:rPr>
          <w:vertAlign w:val="subscript"/>
          <w:lang w:val="en-GB"/>
        </w:rPr>
        <w:t>i−2</w:t>
      </w:r>
      <w:r w:rsidRPr="00B04DC3">
        <w:rPr>
          <w:lang w:val="en-GB"/>
        </w:rPr>
        <w:t>)</w: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p w:rsidR="00DA59A4" w:rsidRPr="00B04DC3" w:rsidRDefault="00DA59A4" w:rsidP="00DA59A4">
      <w:pPr>
        <w:pStyle w:val="para"/>
        <w:tabs>
          <w:tab w:val="left" w:pos="1668"/>
        </w:tabs>
        <w:ind w:firstLine="0"/>
        <w:jc w:val="left"/>
        <w:rPr>
          <w:lang w:val="en-GB"/>
        </w:rPr>
      </w:pPr>
      <w:r w:rsidRPr="00B04DC3">
        <w:rPr>
          <w:lang w:val="en-GB"/>
        </w:rPr>
        <w:t>S</w:t>
      </w:r>
      <w:r w:rsidRPr="00B04DC3">
        <w:rPr>
          <w:vertAlign w:val="subscript"/>
          <w:lang w:val="en-GB"/>
        </w:rPr>
        <w:t>i-2</w:t>
      </w:r>
      <w:r w:rsidRPr="00B04DC3">
        <w:rPr>
          <w:lang w:val="en-GB"/>
        </w:rPr>
        <w:tab/>
        <w:t xml:space="preserve"> = S</w:t>
      </w:r>
      <w:r w:rsidRPr="00B04DC3">
        <w:rPr>
          <w:vertAlign w:val="subscript"/>
          <w:lang w:val="en-GB"/>
        </w:rPr>
        <w:t>i-1</w:t>
      </w:r>
      <w:r w:rsidRPr="00B04DC3">
        <w:rPr>
          <w:lang w:val="en-GB"/>
        </w:rPr>
        <w:t xml:space="preserve"> = 0</w:t>
      </w:r>
    </w:p>
    <w:p w:rsidR="00DA59A4" w:rsidRPr="00B04DC3" w:rsidRDefault="00DA59A4" w:rsidP="00DA59A4">
      <w:pPr>
        <w:pStyle w:val="para"/>
        <w:tabs>
          <w:tab w:val="left" w:pos="1668"/>
        </w:tabs>
        <w:ind w:firstLine="0"/>
        <w:jc w:val="left"/>
        <w:rPr>
          <w:lang w:val="en-GB"/>
        </w:rPr>
      </w:pPr>
      <w:r w:rsidRPr="00B04DC3">
        <w:rPr>
          <w:lang w:val="en-GB"/>
        </w:rPr>
        <w:t>S</w:t>
      </w:r>
      <w:r w:rsidRPr="00B04DC3">
        <w:rPr>
          <w:vertAlign w:val="subscript"/>
          <w:lang w:val="en-GB"/>
        </w:rPr>
        <w:t>i</w:t>
      </w:r>
      <w:r w:rsidRPr="00B04DC3">
        <w:rPr>
          <w:lang w:val="en-GB"/>
        </w:rPr>
        <w:tab/>
        <w:t xml:space="preserve"> = 1</w:t>
      </w:r>
    </w:p>
    <w:p w:rsidR="00DA59A4" w:rsidRPr="00B04DC3" w:rsidRDefault="00DA59A4" w:rsidP="00DA59A4">
      <w:pPr>
        <w:pStyle w:val="para"/>
        <w:tabs>
          <w:tab w:val="left" w:pos="1668"/>
        </w:tabs>
        <w:ind w:firstLine="0"/>
        <w:jc w:val="left"/>
        <w:rPr>
          <w:lang w:val="en-GB"/>
        </w:rPr>
      </w:pPr>
      <w:r w:rsidRPr="00B04DC3">
        <w:rPr>
          <w:lang w:val="en-GB"/>
        </w:rPr>
        <w:t>Y</w:t>
      </w:r>
      <w:r w:rsidRPr="00B04DC3">
        <w:rPr>
          <w:vertAlign w:val="subscript"/>
          <w:lang w:val="en-GB"/>
        </w:rPr>
        <w:t>i-2</w:t>
      </w:r>
      <w:r w:rsidRPr="00B04DC3">
        <w:rPr>
          <w:lang w:val="en-GB"/>
        </w:rPr>
        <w:tab/>
        <w:t xml:space="preserve"> = Y</w:t>
      </w:r>
      <w:r w:rsidRPr="00B04DC3">
        <w:rPr>
          <w:vertAlign w:val="subscript"/>
          <w:lang w:val="en-GB"/>
        </w:rPr>
        <w:t>i-1</w:t>
      </w:r>
      <w:r w:rsidRPr="00B04DC3">
        <w:rPr>
          <w:lang w:val="en-GB"/>
        </w:rPr>
        <w:t xml:space="preserve"> = 0</w:t>
      </w:r>
    </w:p>
    <w:p w:rsidR="00DA59A4" w:rsidRPr="00B04DC3" w:rsidRDefault="00DA59A4" w:rsidP="00AA0E48">
      <w:pPr>
        <w:pStyle w:val="para"/>
        <w:spacing w:after="60"/>
        <w:rPr>
          <w:lang w:val="en-GB"/>
        </w:rPr>
      </w:pPr>
      <w:r w:rsidRPr="00B04DC3">
        <w:rPr>
          <w:lang w:val="en-GB"/>
        </w:rPr>
        <w:tab/>
        <w:t>The times t</w:t>
      </w:r>
      <w:r w:rsidRPr="00B04DC3">
        <w:rPr>
          <w:vertAlign w:val="subscript"/>
          <w:lang w:val="en-GB"/>
        </w:rPr>
        <w:t>10</w:t>
      </w:r>
      <w:r w:rsidRPr="00B04DC3">
        <w:rPr>
          <w:lang w:val="en-GB"/>
        </w:rPr>
        <w:t xml:space="preserve"> and t</w:t>
      </w:r>
      <w:r w:rsidRPr="00B04DC3">
        <w:rPr>
          <w:vertAlign w:val="subscript"/>
          <w:lang w:val="en-GB"/>
        </w:rPr>
        <w:t>90</w:t>
      </w:r>
      <w:r w:rsidRPr="00B04DC3">
        <w:rPr>
          <w:lang w:val="en-GB"/>
        </w:rPr>
        <w:t xml:space="preserve"> shall be interpolated. The difference in time between t</w:t>
      </w:r>
      <w:r w:rsidRPr="00B04DC3">
        <w:rPr>
          <w:vertAlign w:val="subscript"/>
          <w:lang w:val="en-GB"/>
        </w:rPr>
        <w:t>90</w:t>
      </w:r>
      <w:r w:rsidRPr="00B04DC3">
        <w:rPr>
          <w:lang w:val="en-GB"/>
        </w:rPr>
        <w:t xml:space="preserve"> and t</w:t>
      </w:r>
      <w:r w:rsidRPr="00B04DC3">
        <w:rPr>
          <w:vertAlign w:val="subscript"/>
          <w:lang w:val="en-GB"/>
        </w:rPr>
        <w:t>10</w:t>
      </w:r>
      <w:r w:rsidRPr="00B04DC3">
        <w:rPr>
          <w:lang w:val="en-GB"/>
        </w:rPr>
        <w:t xml:space="preserve"> defines the response time t</w:t>
      </w:r>
      <w:r w:rsidRPr="00B04DC3">
        <w:rPr>
          <w:vertAlign w:val="subscript"/>
          <w:lang w:val="en-GB"/>
        </w:rPr>
        <w:t>F</w:t>
      </w:r>
      <w:r w:rsidRPr="00B04DC3">
        <w:rPr>
          <w:lang w:val="en-GB"/>
        </w:rPr>
        <w:t xml:space="preserve"> for that value of f</w:t>
      </w:r>
      <w:r w:rsidRPr="00B04DC3">
        <w:rPr>
          <w:vertAlign w:val="subscript"/>
          <w:lang w:val="en-GB"/>
        </w:rPr>
        <w:t>c</w:t>
      </w:r>
      <w:r w:rsidRPr="00B04DC3">
        <w:rPr>
          <w:lang w:val="en-GB"/>
        </w:rPr>
        <w:t>. If this response time is not close enough to the required response time, iteration shall be continued until the actual response time is within 1 per cent of the required response as follows:</w:t>
      </w:r>
    </w:p>
    <w:p w:rsidR="00DA59A4" w:rsidRPr="00B04DC3" w:rsidRDefault="00DA59A4" w:rsidP="00DA59A4">
      <w:pPr>
        <w:pStyle w:val="para"/>
        <w:rPr>
          <w:vertAlign w:val="subscript"/>
          <w:lang w:val="en-GB"/>
        </w:rPr>
      </w:pPr>
      <w:r w:rsidRPr="00B04DC3">
        <w:rPr>
          <w:lang w:val="en-GB"/>
        </w:rPr>
        <w:tab/>
      </w:r>
      <w:r w:rsidRPr="00B04DC3">
        <w:rPr>
          <w:lang w:val="en-GB"/>
        </w:rPr>
        <w:tab/>
        <w:t>((t</w:t>
      </w:r>
      <w:r w:rsidRPr="00B04DC3">
        <w:rPr>
          <w:vertAlign w:val="subscript"/>
          <w:lang w:val="en-GB"/>
        </w:rPr>
        <w:t>90</w:t>
      </w:r>
      <w:r w:rsidRPr="00B04DC3">
        <w:rPr>
          <w:lang w:val="en-GB"/>
        </w:rPr>
        <w:t xml:space="preserve"> − t</w:t>
      </w:r>
      <w:r w:rsidRPr="00B04DC3">
        <w:rPr>
          <w:vertAlign w:val="subscript"/>
          <w:lang w:val="en-GB"/>
        </w:rPr>
        <w:t>10</w:t>
      </w:r>
      <w:r w:rsidRPr="00B04DC3">
        <w:rPr>
          <w:lang w:val="en-GB"/>
        </w:rPr>
        <w:t>) − t</w:t>
      </w:r>
      <w:r w:rsidRPr="00B04DC3">
        <w:rPr>
          <w:vertAlign w:val="subscript"/>
          <w:lang w:val="en-GB"/>
        </w:rPr>
        <w:t>F</w:t>
      </w:r>
      <w:r w:rsidRPr="00B04DC3">
        <w:rPr>
          <w:lang w:val="en-GB"/>
        </w:rPr>
        <w:t xml:space="preserve">) ≤ 0.01 </w:t>
      </w:r>
      <w:r w:rsidRPr="00B04DC3">
        <w:rPr>
          <w:lang w:val="en-GB"/>
        </w:rPr>
        <w:sym w:font="Symbol" w:char="F0B4"/>
      </w:r>
      <w:r w:rsidRPr="00B04DC3">
        <w:rPr>
          <w:lang w:val="en-GB"/>
        </w:rPr>
        <w:t xml:space="preserve"> t</w:t>
      </w:r>
      <w:r w:rsidRPr="00B04DC3">
        <w:rPr>
          <w:vertAlign w:val="subscript"/>
          <w:lang w:val="en-GB"/>
        </w:rPr>
        <w:t>F</w:t>
      </w:r>
    </w:p>
    <w:p w:rsidR="00DA59A4" w:rsidRPr="00B04DC3" w:rsidRDefault="00DA59A4" w:rsidP="00DA59A4">
      <w:pPr>
        <w:pStyle w:val="para"/>
        <w:rPr>
          <w:lang w:val="en-GB"/>
        </w:rPr>
      </w:pPr>
      <w:r w:rsidRPr="00B04DC3">
        <w:rPr>
          <w:lang w:val="en-GB"/>
        </w:rPr>
        <w:t>7.2.</w:t>
      </w:r>
      <w:r w:rsidRPr="00B04DC3">
        <w:rPr>
          <w:lang w:val="en-GB"/>
        </w:rPr>
        <w:tab/>
        <w:t>Data evaluation</w:t>
      </w:r>
    </w:p>
    <w:p w:rsidR="00DA59A4" w:rsidRPr="00B04DC3" w:rsidRDefault="00DA59A4" w:rsidP="00DA59A4">
      <w:pPr>
        <w:pStyle w:val="para"/>
        <w:rPr>
          <w:lang w:val="en-GB"/>
        </w:rPr>
      </w:pPr>
      <w:r w:rsidRPr="00B04DC3">
        <w:rPr>
          <w:lang w:val="en-GB"/>
        </w:rPr>
        <w:tab/>
        <w:t>The smoke measurement values shall be sampled with a minimum rate of 20 Hz.</w:t>
      </w:r>
    </w:p>
    <w:p w:rsidR="00DA59A4" w:rsidRPr="00B04DC3" w:rsidRDefault="00DA59A4" w:rsidP="00DA59A4">
      <w:pPr>
        <w:pStyle w:val="para"/>
        <w:rPr>
          <w:lang w:val="en-GB"/>
        </w:rPr>
      </w:pPr>
      <w:r w:rsidRPr="00B04DC3">
        <w:rPr>
          <w:lang w:val="en-GB"/>
        </w:rPr>
        <w:t>7.3.</w:t>
      </w:r>
      <w:r w:rsidRPr="00B04DC3">
        <w:rPr>
          <w:lang w:val="en-GB"/>
        </w:rPr>
        <w:tab/>
        <w:t>Determination of smoke</w:t>
      </w:r>
    </w:p>
    <w:p w:rsidR="00DA59A4" w:rsidRPr="00B04DC3" w:rsidRDefault="00DA59A4" w:rsidP="00DA59A4">
      <w:pPr>
        <w:pStyle w:val="para"/>
        <w:rPr>
          <w:lang w:val="en-GB"/>
        </w:rPr>
      </w:pPr>
      <w:r w:rsidRPr="00B04DC3">
        <w:rPr>
          <w:lang w:val="en-GB"/>
        </w:rPr>
        <w:t>7.3.1.</w:t>
      </w:r>
      <w:r w:rsidRPr="00B04DC3">
        <w:rPr>
          <w:lang w:val="en-GB"/>
        </w:rPr>
        <w:tab/>
        <w:t xml:space="preserve">Data </w:t>
      </w:r>
      <w:r w:rsidR="00F367CA">
        <w:rPr>
          <w:lang w:val="en-GB"/>
        </w:rPr>
        <w:t>c</w:t>
      </w:r>
      <w:r w:rsidR="00F367CA" w:rsidRPr="00B04DC3">
        <w:rPr>
          <w:lang w:val="en-GB"/>
        </w:rPr>
        <w:t>onversion</w:t>
      </w:r>
    </w:p>
    <w:p w:rsidR="00DA59A4" w:rsidRPr="00B04DC3" w:rsidRDefault="00DA59A4" w:rsidP="00DA59A4">
      <w:pPr>
        <w:pStyle w:val="para"/>
        <w:rPr>
          <w:lang w:val="en-GB"/>
        </w:rPr>
      </w:pPr>
      <w:r w:rsidRPr="00B04DC3">
        <w:rPr>
          <w:lang w:val="en-GB"/>
        </w:rPr>
        <w:tab/>
        <w:t>Since the basic measurement unit of all opacimeters is transmittance, the smoke values shall be converted from transmittance (τ) to the light absorption coefficient (k) as follows:</w:t>
      </w:r>
    </w:p>
    <w:p w:rsidR="00DA59A4" w:rsidRPr="00B04DC3" w:rsidRDefault="00A905B7" w:rsidP="00DA59A4">
      <w:pPr>
        <w:pStyle w:val="para"/>
        <w:ind w:firstLine="0"/>
        <w:rPr>
          <w:lang w:val="en-GB"/>
        </w:rPr>
      </w:pPr>
      <w:r>
        <w:rPr>
          <w:lang w:val="en-GB"/>
        </w:rPr>
        <w:pict>
          <v:shape id="_x0000_i1118" type="#_x0000_t75" style="width:86.4pt;height:27.6pt" fillcolor="window">
            <v:imagedata r:id="rId186" o:title=""/>
          </v:shape>
        </w:pict>
      </w:r>
    </w:p>
    <w:p w:rsidR="00DA59A4" w:rsidRPr="00B04DC3" w:rsidRDefault="00DA59A4" w:rsidP="00DA59A4">
      <w:pPr>
        <w:pStyle w:val="para"/>
        <w:rPr>
          <w:lang w:val="en-GB"/>
        </w:rPr>
      </w:pPr>
      <w:r w:rsidRPr="00B04DC3">
        <w:rPr>
          <w:lang w:val="en-GB"/>
        </w:rPr>
        <w:tab/>
        <w:t>and</w:t>
      </w:r>
    </w:p>
    <w:p w:rsidR="00DA59A4" w:rsidRPr="00B04DC3" w:rsidRDefault="00DA59A4" w:rsidP="00DA59A4">
      <w:pPr>
        <w:pStyle w:val="para"/>
        <w:ind w:firstLine="0"/>
        <w:rPr>
          <w:lang w:val="en-GB"/>
        </w:rPr>
      </w:pPr>
      <w:r w:rsidRPr="00B04DC3">
        <w:rPr>
          <w:lang w:val="en-GB"/>
        </w:rPr>
        <w:t>N = 100 − τ</w:t>
      </w:r>
    </w:p>
    <w:p w:rsidR="00DA59A4" w:rsidRPr="00B04DC3" w:rsidRDefault="00DA59A4" w:rsidP="00DA59A4">
      <w:pPr>
        <w:pStyle w:val="para"/>
        <w:rPr>
          <w:lang w:val="en-GB"/>
        </w:rPr>
      </w:pPr>
      <w:r w:rsidRPr="00B04DC3">
        <w:rPr>
          <w:lang w:val="en-GB"/>
        </w:rPr>
        <w:tab/>
      </w:r>
      <w:r w:rsidR="00B23BB1" w:rsidRPr="00B04DC3">
        <w:rPr>
          <w:lang w:val="en-GB"/>
        </w:rPr>
        <w:t>Where</w:t>
      </w:r>
      <w:r w:rsidRPr="00B04DC3">
        <w:rPr>
          <w:lang w:val="en-GB"/>
        </w:rPr>
        <w:t>:</w:t>
      </w:r>
    </w:p>
    <w:tbl>
      <w:tblPr>
        <w:tblW w:w="6321" w:type="dxa"/>
        <w:tblInd w:w="2292" w:type="dxa"/>
        <w:tblLayout w:type="fixed"/>
        <w:tblLook w:val="0000" w:firstRow="0" w:lastRow="0" w:firstColumn="0" w:lastColumn="0" w:noHBand="0" w:noVBand="0"/>
      </w:tblPr>
      <w:tblGrid>
        <w:gridCol w:w="462"/>
        <w:gridCol w:w="5859"/>
      </w:tblGrid>
      <w:tr w:rsidR="00DA59A4" w:rsidRPr="00B04DC3">
        <w:tc>
          <w:tcPr>
            <w:tcW w:w="462"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k</w:t>
            </w:r>
          </w:p>
        </w:tc>
        <w:tc>
          <w:tcPr>
            <w:tcW w:w="5859"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 xml:space="preserve"> = light absorption coefficient, m</w:t>
            </w:r>
            <w:r w:rsidRPr="00B04DC3">
              <w:rPr>
                <w:sz w:val="20"/>
                <w:vertAlign w:val="superscript"/>
              </w:rPr>
              <w:t>-1</w:t>
            </w:r>
          </w:p>
        </w:tc>
      </w:tr>
      <w:tr w:rsidR="00DA59A4" w:rsidRPr="00B04DC3">
        <w:tc>
          <w:tcPr>
            <w:tcW w:w="462"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L</w:t>
            </w:r>
            <w:r w:rsidRPr="00B04DC3">
              <w:rPr>
                <w:sz w:val="20"/>
                <w:vertAlign w:val="subscript"/>
              </w:rPr>
              <w:t>A</w:t>
            </w:r>
          </w:p>
        </w:tc>
        <w:tc>
          <w:tcPr>
            <w:tcW w:w="5859" w:type="dxa"/>
          </w:tcPr>
          <w:p w:rsidR="00DA59A4" w:rsidRPr="00B04DC3" w:rsidRDefault="00DA59A4" w:rsidP="00DA59A4">
            <w:pPr>
              <w:pStyle w:val="NormalLeft"/>
              <w:tabs>
                <w:tab w:val="left" w:pos="1134"/>
                <w:tab w:val="left" w:pos="1701"/>
              </w:tabs>
              <w:spacing w:before="0"/>
              <w:ind w:left="223" w:hanging="223"/>
              <w:rPr>
                <w:sz w:val="20"/>
              </w:rPr>
            </w:pPr>
            <w:r w:rsidRPr="00B04DC3">
              <w:rPr>
                <w:sz w:val="20"/>
              </w:rPr>
              <w:t xml:space="preserve"> = effective optical path length, as submitted by instrument manufacturer, m</w:t>
            </w:r>
          </w:p>
        </w:tc>
      </w:tr>
      <w:tr w:rsidR="00DA59A4" w:rsidRPr="00B04DC3">
        <w:tc>
          <w:tcPr>
            <w:tcW w:w="462"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N</w:t>
            </w:r>
          </w:p>
        </w:tc>
        <w:tc>
          <w:tcPr>
            <w:tcW w:w="5859"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 xml:space="preserve"> = opacity, per cent</w:t>
            </w:r>
          </w:p>
        </w:tc>
      </w:tr>
      <w:tr w:rsidR="00DA59A4" w:rsidRPr="00B04DC3">
        <w:tc>
          <w:tcPr>
            <w:tcW w:w="462"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τ</w:t>
            </w:r>
          </w:p>
        </w:tc>
        <w:tc>
          <w:tcPr>
            <w:tcW w:w="5859" w:type="dxa"/>
          </w:tcPr>
          <w:p w:rsidR="00DA59A4" w:rsidRPr="00B04DC3" w:rsidRDefault="00DA59A4" w:rsidP="00DA59A4">
            <w:pPr>
              <w:pStyle w:val="NormalLeft"/>
              <w:tabs>
                <w:tab w:val="left" w:pos="567"/>
                <w:tab w:val="left" w:pos="1134"/>
                <w:tab w:val="left" w:pos="1701"/>
              </w:tabs>
              <w:spacing w:before="0"/>
              <w:ind w:left="567" w:hanging="567"/>
              <w:rPr>
                <w:sz w:val="20"/>
              </w:rPr>
            </w:pPr>
            <w:r w:rsidRPr="00B04DC3">
              <w:rPr>
                <w:sz w:val="20"/>
              </w:rPr>
              <w:t xml:space="preserve"> = transmittance, per cent</w:t>
            </w:r>
          </w:p>
        </w:tc>
      </w:tr>
    </w:tbl>
    <w:p w:rsidR="00DA59A4" w:rsidRPr="00B04DC3" w:rsidRDefault="00DA59A4" w:rsidP="00DA59A4">
      <w:pPr>
        <w:pStyle w:val="para"/>
        <w:rPr>
          <w:lang w:val="en-GB"/>
        </w:rPr>
      </w:pPr>
      <w:r w:rsidRPr="00B04DC3">
        <w:rPr>
          <w:lang w:val="en-GB"/>
        </w:rPr>
        <w:tab/>
        <w:t>The conversion shall be applied, before any further data processing is made.</w:t>
      </w:r>
    </w:p>
    <w:p w:rsidR="00DA59A4" w:rsidRPr="00B04DC3" w:rsidRDefault="00DA59A4" w:rsidP="00DA59A4">
      <w:pPr>
        <w:pStyle w:val="para"/>
        <w:rPr>
          <w:lang w:val="en-GB"/>
        </w:rPr>
      </w:pPr>
      <w:r w:rsidRPr="00B04DC3">
        <w:rPr>
          <w:lang w:val="en-GB"/>
        </w:rPr>
        <w:t>7.3.2.</w:t>
      </w:r>
      <w:r w:rsidRPr="00B04DC3">
        <w:rPr>
          <w:lang w:val="en-GB"/>
        </w:rPr>
        <w:tab/>
        <w:t>Calculation of Bessel averaged smoke</w:t>
      </w:r>
    </w:p>
    <w:p w:rsidR="00DA59A4" w:rsidRPr="00B04DC3" w:rsidRDefault="00DA59A4" w:rsidP="00DA59A4">
      <w:pPr>
        <w:pStyle w:val="para"/>
        <w:rPr>
          <w:lang w:val="en-GB"/>
        </w:rPr>
      </w:pPr>
      <w:r w:rsidRPr="00B04DC3">
        <w:rPr>
          <w:lang w:val="en-GB"/>
        </w:rPr>
        <w:tab/>
        <w:t>The proper cut-off frequency f</w:t>
      </w:r>
      <w:r w:rsidRPr="00B04DC3">
        <w:rPr>
          <w:vertAlign w:val="subscript"/>
          <w:lang w:val="en-GB"/>
        </w:rPr>
        <w:t>c</w:t>
      </w:r>
      <w:r w:rsidRPr="00B04DC3">
        <w:rPr>
          <w:lang w:val="en-GB"/>
        </w:rPr>
        <w:t xml:space="preserve"> is the one that produces the required filter response time t</w:t>
      </w:r>
      <w:r w:rsidRPr="00B04DC3">
        <w:rPr>
          <w:vertAlign w:val="subscript"/>
          <w:lang w:val="en-GB"/>
        </w:rPr>
        <w:t>F</w:t>
      </w:r>
      <w:r w:rsidRPr="00B04DC3">
        <w:rPr>
          <w:lang w:val="en-GB"/>
        </w:rPr>
        <w:t>. Once this frequency has been determined through the iterative process of paragraph 7.1.1., the proper Bessel algorithm constants E and K shall be calculated. The Bessel algorithm shall then be applied to the instantaneous smoke trace (k-value), as described in paragraph 7.1.2.</w:t>
      </w:r>
      <w:r w:rsidR="00FA27AE" w:rsidRPr="00FA27AE">
        <w:rPr>
          <w:lang w:val="en-GB"/>
        </w:rPr>
        <w:t xml:space="preserve"> </w:t>
      </w:r>
      <w:r w:rsidR="00FA27AE">
        <w:rPr>
          <w:lang w:val="en-GB"/>
        </w:rPr>
        <w:t>of this appendix</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Y</w:t>
      </w:r>
      <w:r w:rsidRPr="00B04DC3">
        <w:rPr>
          <w:vertAlign w:val="subscript"/>
          <w:lang w:val="en-GB"/>
        </w:rPr>
        <w:t>i</w:t>
      </w:r>
      <w:r w:rsidRPr="00B04DC3">
        <w:rPr>
          <w:lang w:val="en-GB"/>
        </w:rPr>
        <w:t xml:space="preserve"> = Y</w:t>
      </w:r>
      <w:r w:rsidRPr="00B04DC3">
        <w:rPr>
          <w:vertAlign w:val="subscript"/>
          <w:lang w:val="en-GB"/>
        </w:rPr>
        <w:t>i−1</w:t>
      </w:r>
      <w:r w:rsidRPr="00B04DC3">
        <w:rPr>
          <w:lang w:val="en-GB"/>
        </w:rPr>
        <w:t xml:space="preserve"> + E </w:t>
      </w:r>
      <w:r w:rsidRPr="00B04DC3">
        <w:rPr>
          <w:lang w:val="en-GB"/>
        </w:rPr>
        <w:sym w:font="Symbol" w:char="F0B4"/>
      </w:r>
      <w:r w:rsidRPr="00B04DC3">
        <w:rPr>
          <w:lang w:val="en-GB"/>
        </w:rPr>
        <w:t xml:space="preserve"> (S</w:t>
      </w:r>
      <w:r w:rsidRPr="00B04DC3">
        <w:rPr>
          <w:vertAlign w:val="subscript"/>
          <w:lang w:val="en-GB"/>
        </w:rPr>
        <w:t>i</w:t>
      </w:r>
      <w:r w:rsidRPr="00B04DC3">
        <w:rPr>
          <w:lang w:val="en-GB"/>
        </w:rPr>
        <w:t xml:space="preserve"> + 2 </w:t>
      </w:r>
      <w:r w:rsidRPr="00B04DC3">
        <w:rPr>
          <w:lang w:val="en-GB"/>
        </w:rPr>
        <w:sym w:font="Symbol" w:char="F0B4"/>
      </w:r>
      <w:r w:rsidRPr="00B04DC3">
        <w:rPr>
          <w:lang w:val="en-GB"/>
        </w:rPr>
        <w:t xml:space="preserve"> S</w:t>
      </w:r>
      <w:r w:rsidRPr="00B04DC3">
        <w:rPr>
          <w:vertAlign w:val="subscript"/>
          <w:lang w:val="en-GB"/>
        </w:rPr>
        <w:t>i−1</w:t>
      </w:r>
      <w:r w:rsidRPr="00B04DC3">
        <w:rPr>
          <w:lang w:val="en-GB"/>
        </w:rPr>
        <w:t xml:space="preserve"> + S</w:t>
      </w:r>
      <w:r w:rsidRPr="00B04DC3">
        <w:rPr>
          <w:vertAlign w:val="subscript"/>
          <w:lang w:val="en-GB"/>
        </w:rPr>
        <w:t>i−2</w:t>
      </w:r>
      <w:r w:rsidRPr="00B04DC3">
        <w:rPr>
          <w:lang w:val="en-GB"/>
        </w:rPr>
        <w:t xml:space="preserve"> − 4 </w:t>
      </w:r>
      <w:r w:rsidRPr="00B04DC3">
        <w:rPr>
          <w:lang w:val="en-GB"/>
        </w:rPr>
        <w:sym w:font="Symbol" w:char="F0B4"/>
      </w:r>
      <w:r w:rsidRPr="00B04DC3">
        <w:rPr>
          <w:lang w:val="en-GB"/>
        </w:rPr>
        <w:t xml:space="preserve"> Y</w:t>
      </w:r>
      <w:r w:rsidRPr="00B04DC3">
        <w:rPr>
          <w:vertAlign w:val="subscript"/>
          <w:lang w:val="en-GB"/>
        </w:rPr>
        <w:t>i−2</w:t>
      </w:r>
      <w:r w:rsidRPr="00B04DC3">
        <w:rPr>
          <w:lang w:val="en-GB"/>
        </w:rPr>
        <w:t xml:space="preserve">) + K </w:t>
      </w:r>
      <w:r w:rsidRPr="00B04DC3">
        <w:rPr>
          <w:lang w:val="en-GB"/>
        </w:rPr>
        <w:sym w:font="Symbol" w:char="F0B4"/>
      </w:r>
      <w:r w:rsidRPr="00B04DC3">
        <w:rPr>
          <w:lang w:val="en-GB"/>
        </w:rPr>
        <w:t xml:space="preserve"> (Y</w:t>
      </w:r>
      <w:r w:rsidRPr="00B04DC3">
        <w:rPr>
          <w:vertAlign w:val="subscript"/>
          <w:lang w:val="en-GB"/>
        </w:rPr>
        <w:t>i−1</w:t>
      </w:r>
      <w:r w:rsidRPr="00B04DC3">
        <w:rPr>
          <w:lang w:val="en-GB"/>
        </w:rPr>
        <w:t xml:space="preserve"> − Y</w:t>
      </w:r>
      <w:r w:rsidRPr="00B04DC3">
        <w:rPr>
          <w:vertAlign w:val="subscript"/>
          <w:lang w:val="en-GB"/>
        </w:rPr>
        <w:t>i−2</w:t>
      </w:r>
      <w:r w:rsidRPr="00B04DC3">
        <w:rPr>
          <w:lang w:val="en-GB"/>
        </w:rPr>
        <w:t>)</w:t>
      </w:r>
    </w:p>
    <w:p w:rsidR="00DA59A4" w:rsidRPr="00B04DC3" w:rsidRDefault="00DA59A4" w:rsidP="00DA59A4">
      <w:pPr>
        <w:pStyle w:val="para"/>
        <w:rPr>
          <w:lang w:val="en-GB"/>
        </w:rPr>
      </w:pPr>
      <w:r w:rsidRPr="00B04DC3">
        <w:rPr>
          <w:lang w:val="en-GB"/>
        </w:rPr>
        <w:tab/>
        <w:t>The Bessel algorithm is recursive in nature. Thus, it needs some initial input values of S</w:t>
      </w:r>
      <w:r w:rsidRPr="00B04DC3">
        <w:rPr>
          <w:vertAlign w:val="subscript"/>
          <w:lang w:val="en-GB"/>
        </w:rPr>
        <w:t>i-1</w:t>
      </w:r>
      <w:r w:rsidRPr="00B04DC3">
        <w:rPr>
          <w:lang w:val="en-GB"/>
        </w:rPr>
        <w:t xml:space="preserve"> and S</w:t>
      </w:r>
      <w:r w:rsidRPr="00B04DC3">
        <w:rPr>
          <w:vertAlign w:val="subscript"/>
          <w:lang w:val="en-GB"/>
        </w:rPr>
        <w:t>i-2</w:t>
      </w:r>
      <w:r w:rsidRPr="00B04DC3">
        <w:rPr>
          <w:lang w:val="en-GB"/>
        </w:rPr>
        <w:t xml:space="preserve"> and initial output values Y</w:t>
      </w:r>
      <w:r w:rsidRPr="00B04DC3">
        <w:rPr>
          <w:vertAlign w:val="subscript"/>
          <w:lang w:val="en-GB"/>
        </w:rPr>
        <w:t>i-1</w:t>
      </w:r>
      <w:r w:rsidRPr="00B04DC3">
        <w:rPr>
          <w:lang w:val="en-GB"/>
        </w:rPr>
        <w:t xml:space="preserve"> and Y</w:t>
      </w:r>
      <w:r w:rsidRPr="00B04DC3">
        <w:rPr>
          <w:vertAlign w:val="subscript"/>
          <w:lang w:val="en-GB"/>
        </w:rPr>
        <w:t>i-2</w:t>
      </w:r>
      <w:r w:rsidRPr="00B04DC3">
        <w:rPr>
          <w:lang w:val="en-GB"/>
        </w:rPr>
        <w:t xml:space="preserve"> to get the algorithm started. These may be assumed to be 0.</w:t>
      </w:r>
    </w:p>
    <w:p w:rsidR="00DA59A4" w:rsidRPr="00B04DC3" w:rsidRDefault="00DA59A4" w:rsidP="00DA59A4">
      <w:pPr>
        <w:pStyle w:val="para"/>
        <w:rPr>
          <w:lang w:val="en-GB"/>
        </w:rPr>
      </w:pPr>
      <w:r w:rsidRPr="00B04DC3">
        <w:rPr>
          <w:lang w:val="en-GB"/>
        </w:rPr>
        <w:tab/>
        <w:t>For each load step of the three speeds A, B and C, the maximum 1s value Y</w:t>
      </w:r>
      <w:r w:rsidRPr="00B04DC3">
        <w:rPr>
          <w:vertAlign w:val="subscript"/>
          <w:lang w:val="en-GB"/>
        </w:rPr>
        <w:t>max</w:t>
      </w:r>
      <w:r w:rsidRPr="00B04DC3">
        <w:rPr>
          <w:lang w:val="en-GB"/>
        </w:rPr>
        <w:t xml:space="preserve"> shall be selected from the individual Y</w:t>
      </w:r>
      <w:r w:rsidRPr="00B04DC3">
        <w:rPr>
          <w:vertAlign w:val="subscript"/>
          <w:lang w:val="en-GB"/>
        </w:rPr>
        <w:t>i</w:t>
      </w:r>
      <w:r w:rsidRPr="00B04DC3">
        <w:rPr>
          <w:lang w:val="en-GB"/>
        </w:rPr>
        <w:t xml:space="preserve"> values of each smoke trace.</w:t>
      </w:r>
    </w:p>
    <w:p w:rsidR="00DA59A4" w:rsidRPr="00B04DC3" w:rsidRDefault="00DA59A4" w:rsidP="00DA59A4">
      <w:pPr>
        <w:pStyle w:val="para"/>
        <w:rPr>
          <w:lang w:val="en-GB"/>
        </w:rPr>
      </w:pPr>
      <w:r w:rsidRPr="00B04DC3">
        <w:rPr>
          <w:lang w:val="en-GB"/>
        </w:rPr>
        <w:t>7.3.3.</w:t>
      </w:r>
      <w:r w:rsidRPr="00B04DC3">
        <w:rPr>
          <w:lang w:val="en-GB"/>
        </w:rPr>
        <w:tab/>
        <w:t>Final result</w:t>
      </w:r>
    </w:p>
    <w:p w:rsidR="00DA59A4" w:rsidRPr="00B04DC3" w:rsidRDefault="00DA59A4" w:rsidP="00DA59A4">
      <w:pPr>
        <w:pStyle w:val="para"/>
        <w:rPr>
          <w:lang w:val="en-GB"/>
        </w:rPr>
      </w:pPr>
      <w:r w:rsidRPr="00B04DC3">
        <w:rPr>
          <w:lang w:val="en-GB"/>
        </w:rPr>
        <w:tab/>
        <w:t>The mean smoke values (SV) from each cycle (test speed) shall be calculated as follows:</w:t>
      </w:r>
    </w:p>
    <w:p w:rsidR="00DA59A4" w:rsidRPr="00B04DC3" w:rsidRDefault="00DA59A4" w:rsidP="00DA59A4">
      <w:pPr>
        <w:pStyle w:val="para"/>
        <w:ind w:firstLine="0"/>
        <w:rPr>
          <w:lang w:val="en-GB"/>
        </w:rPr>
      </w:pPr>
      <w:r w:rsidRPr="00B04DC3">
        <w:rPr>
          <w:lang w:val="en-GB"/>
        </w:rPr>
        <w:t>For test speed A:</w:t>
      </w:r>
      <w:r w:rsidRPr="00B04DC3">
        <w:rPr>
          <w:lang w:val="en-GB"/>
        </w:rPr>
        <w:tab/>
        <w:t>SV</w:t>
      </w:r>
      <w:r w:rsidRPr="00B04DC3">
        <w:rPr>
          <w:vertAlign w:val="subscript"/>
          <w:lang w:val="en-GB"/>
        </w:rPr>
        <w:t>A</w:t>
      </w:r>
      <w:r w:rsidRPr="00B04DC3">
        <w:rPr>
          <w:lang w:val="en-GB"/>
        </w:rPr>
        <w:t xml:space="preserve"> = (Y</w:t>
      </w:r>
      <w:r w:rsidRPr="00B04DC3">
        <w:rPr>
          <w:vertAlign w:val="subscript"/>
          <w:lang w:val="en-GB"/>
        </w:rPr>
        <w:t>max1,A</w:t>
      </w:r>
      <w:r w:rsidRPr="00B04DC3">
        <w:rPr>
          <w:lang w:val="en-GB"/>
        </w:rPr>
        <w:t xml:space="preserve"> + Y</w:t>
      </w:r>
      <w:r w:rsidRPr="00B04DC3">
        <w:rPr>
          <w:vertAlign w:val="subscript"/>
          <w:lang w:val="en-GB"/>
        </w:rPr>
        <w:t>max2,A</w:t>
      </w:r>
      <w:r w:rsidRPr="00B04DC3">
        <w:rPr>
          <w:lang w:val="en-GB"/>
        </w:rPr>
        <w:t xml:space="preserve"> + Y</w:t>
      </w:r>
      <w:r w:rsidRPr="00B04DC3">
        <w:rPr>
          <w:vertAlign w:val="subscript"/>
          <w:lang w:val="en-GB"/>
        </w:rPr>
        <w:t>max3,A</w:t>
      </w:r>
      <w:r w:rsidRPr="00B04DC3">
        <w:rPr>
          <w:lang w:val="en-GB"/>
        </w:rPr>
        <w:t>) / 3</w:t>
      </w:r>
    </w:p>
    <w:p w:rsidR="00DA59A4" w:rsidRPr="00B04DC3" w:rsidRDefault="00DA59A4" w:rsidP="00DA59A4">
      <w:pPr>
        <w:pStyle w:val="para"/>
        <w:ind w:firstLine="0"/>
        <w:rPr>
          <w:lang w:val="en-GB"/>
        </w:rPr>
      </w:pPr>
      <w:r w:rsidRPr="00B04DC3">
        <w:rPr>
          <w:lang w:val="en-GB"/>
        </w:rPr>
        <w:t>For test speed B:</w:t>
      </w:r>
      <w:r w:rsidRPr="00B04DC3">
        <w:rPr>
          <w:lang w:val="en-GB"/>
        </w:rPr>
        <w:tab/>
        <w:t>SV</w:t>
      </w:r>
      <w:r w:rsidRPr="00B04DC3">
        <w:rPr>
          <w:vertAlign w:val="subscript"/>
          <w:lang w:val="en-GB"/>
        </w:rPr>
        <w:t>B</w:t>
      </w:r>
      <w:r w:rsidRPr="00B04DC3">
        <w:rPr>
          <w:lang w:val="en-GB"/>
        </w:rPr>
        <w:t xml:space="preserve"> = (Y</w:t>
      </w:r>
      <w:r w:rsidRPr="00B04DC3">
        <w:rPr>
          <w:vertAlign w:val="subscript"/>
          <w:lang w:val="en-GB"/>
        </w:rPr>
        <w:t>max1,B</w:t>
      </w:r>
      <w:r w:rsidRPr="00B04DC3">
        <w:rPr>
          <w:lang w:val="en-GB"/>
        </w:rPr>
        <w:t xml:space="preserve"> + Y</w:t>
      </w:r>
      <w:r w:rsidRPr="00B04DC3">
        <w:rPr>
          <w:vertAlign w:val="subscript"/>
          <w:lang w:val="en-GB"/>
        </w:rPr>
        <w:t>max2,B</w:t>
      </w:r>
      <w:r w:rsidRPr="00B04DC3">
        <w:rPr>
          <w:lang w:val="en-GB"/>
        </w:rPr>
        <w:t xml:space="preserve"> + Y</w:t>
      </w:r>
      <w:r w:rsidRPr="00B04DC3">
        <w:rPr>
          <w:vertAlign w:val="subscript"/>
          <w:lang w:val="en-GB"/>
        </w:rPr>
        <w:t>max3,B</w:t>
      </w:r>
      <w:r w:rsidRPr="00B04DC3">
        <w:rPr>
          <w:lang w:val="en-GB"/>
        </w:rPr>
        <w:t>) / 3</w:t>
      </w:r>
    </w:p>
    <w:p w:rsidR="00DA59A4" w:rsidRPr="00B04DC3" w:rsidRDefault="00DA59A4" w:rsidP="00DA59A4">
      <w:pPr>
        <w:pStyle w:val="para"/>
        <w:ind w:firstLine="0"/>
        <w:rPr>
          <w:lang w:val="en-GB"/>
        </w:rPr>
      </w:pPr>
      <w:r w:rsidRPr="00B04DC3">
        <w:rPr>
          <w:lang w:val="en-GB"/>
        </w:rPr>
        <w:t>For test speed C:</w:t>
      </w:r>
      <w:r w:rsidRPr="00B04DC3">
        <w:rPr>
          <w:lang w:val="en-GB"/>
        </w:rPr>
        <w:tab/>
        <w:t>SV</w:t>
      </w:r>
      <w:r w:rsidRPr="00B04DC3">
        <w:rPr>
          <w:vertAlign w:val="subscript"/>
          <w:lang w:val="en-GB"/>
        </w:rPr>
        <w:t>C</w:t>
      </w:r>
      <w:r w:rsidRPr="00B04DC3">
        <w:rPr>
          <w:lang w:val="en-GB"/>
        </w:rPr>
        <w:t xml:space="preserve"> = (Y</w:t>
      </w:r>
      <w:r w:rsidRPr="00B04DC3">
        <w:rPr>
          <w:vertAlign w:val="subscript"/>
          <w:lang w:val="en-GB"/>
        </w:rPr>
        <w:t>max1,C</w:t>
      </w:r>
      <w:r w:rsidRPr="00B04DC3">
        <w:rPr>
          <w:lang w:val="en-GB"/>
        </w:rPr>
        <w:t xml:space="preserve"> + Y</w:t>
      </w:r>
      <w:r w:rsidRPr="00B04DC3">
        <w:rPr>
          <w:vertAlign w:val="subscript"/>
          <w:lang w:val="en-GB"/>
        </w:rPr>
        <w:t>max2,C</w:t>
      </w:r>
      <w:r w:rsidRPr="00B04DC3">
        <w:rPr>
          <w:lang w:val="en-GB"/>
        </w:rPr>
        <w:t xml:space="preserve"> + Y</w:t>
      </w:r>
      <w:r w:rsidRPr="00B04DC3">
        <w:rPr>
          <w:vertAlign w:val="subscript"/>
          <w:lang w:val="en-GB"/>
        </w:rPr>
        <w:t>max3,C</w:t>
      </w:r>
      <w:r w:rsidRPr="00B04DC3">
        <w:rPr>
          <w:lang w:val="en-GB"/>
        </w:rPr>
        <w:t>) / 3</w:t>
      </w:r>
    </w:p>
    <w:p w:rsidR="00DA59A4" w:rsidRPr="00B04DC3" w:rsidRDefault="00DA59A4" w:rsidP="00AA0E48">
      <w:pPr>
        <w:pStyle w:val="para"/>
        <w:keepNext/>
        <w:keepLines/>
        <w:rPr>
          <w:lang w:val="en-GB"/>
        </w:rPr>
      </w:pPr>
      <w:r w:rsidRPr="00B04DC3">
        <w:rPr>
          <w:lang w:val="en-GB"/>
        </w:rPr>
        <w:tab/>
      </w:r>
      <w:r w:rsidR="00B23BB1" w:rsidRPr="00B04DC3">
        <w:rPr>
          <w:lang w:val="en-GB"/>
        </w:rPr>
        <w:t>Where</w:t>
      </w:r>
      <w:r w:rsidRPr="00B04DC3">
        <w:rPr>
          <w:lang w:val="en-GB"/>
        </w:rPr>
        <w:t>:</w:t>
      </w:r>
    </w:p>
    <w:p w:rsidR="00DA59A4" w:rsidRPr="00B04DC3" w:rsidRDefault="00DA59A4" w:rsidP="00AA0E48">
      <w:pPr>
        <w:pStyle w:val="para"/>
        <w:keepNext/>
        <w:keepLines/>
        <w:tabs>
          <w:tab w:val="left" w:pos="2866"/>
          <w:tab w:val="left" w:pos="3969"/>
        </w:tabs>
        <w:ind w:left="4253" w:hanging="1985"/>
        <w:jc w:val="left"/>
        <w:rPr>
          <w:lang w:val="en-GB"/>
        </w:rPr>
      </w:pPr>
      <w:r w:rsidRPr="00B04DC3">
        <w:rPr>
          <w:lang w:val="en-GB"/>
        </w:rPr>
        <w:t>Y</w:t>
      </w:r>
      <w:r w:rsidRPr="00B04DC3">
        <w:rPr>
          <w:vertAlign w:val="subscript"/>
          <w:lang w:val="en-GB"/>
        </w:rPr>
        <w:t>max1</w:t>
      </w:r>
      <w:r w:rsidRPr="00B04DC3">
        <w:rPr>
          <w:lang w:val="en-GB"/>
        </w:rPr>
        <w:t>, Y</w:t>
      </w:r>
      <w:r w:rsidRPr="00B04DC3">
        <w:rPr>
          <w:vertAlign w:val="subscript"/>
          <w:lang w:val="en-GB"/>
        </w:rPr>
        <w:t>max2</w:t>
      </w:r>
      <w:r w:rsidRPr="00B04DC3">
        <w:rPr>
          <w:lang w:val="en-GB"/>
        </w:rPr>
        <w:t>, Y</w:t>
      </w:r>
      <w:r w:rsidRPr="00B04DC3">
        <w:rPr>
          <w:vertAlign w:val="subscript"/>
          <w:lang w:val="en-GB"/>
        </w:rPr>
        <w:t>max3</w:t>
      </w:r>
      <w:r w:rsidRPr="00B04DC3">
        <w:rPr>
          <w:lang w:val="en-GB"/>
        </w:rPr>
        <w:tab/>
        <w:t>=</w:t>
      </w:r>
      <w:r w:rsidRPr="00B04DC3">
        <w:rPr>
          <w:lang w:val="en-GB"/>
        </w:rPr>
        <w:tab/>
        <w:t>highest 1 s</w:t>
      </w:r>
      <w:r w:rsidR="00077AA2" w:rsidRPr="00B04DC3">
        <w:rPr>
          <w:lang w:val="en-GB"/>
        </w:rPr>
        <w:t xml:space="preserve"> </w:t>
      </w:r>
      <w:r w:rsidRPr="00B04DC3">
        <w:rPr>
          <w:lang w:val="en-GB"/>
        </w:rPr>
        <w:t>Bessel averaged smoke value at each of the three load steps</w:t>
      </w:r>
    </w:p>
    <w:p w:rsidR="00DA59A4" w:rsidRPr="00B04DC3" w:rsidRDefault="00DA59A4" w:rsidP="00DA59A4">
      <w:pPr>
        <w:pStyle w:val="para"/>
        <w:rPr>
          <w:lang w:val="en-GB"/>
        </w:rPr>
      </w:pPr>
      <w:r w:rsidRPr="00B04DC3">
        <w:rPr>
          <w:lang w:val="en-GB"/>
        </w:rPr>
        <w:tab/>
        <w:t>The final value shall be calculated as follows:</w:t>
      </w:r>
    </w:p>
    <w:p w:rsidR="00DA59A4" w:rsidRPr="00B04DC3" w:rsidRDefault="00DA59A4" w:rsidP="00DA59A4">
      <w:pPr>
        <w:pStyle w:val="para"/>
        <w:rPr>
          <w:lang w:val="en-GB"/>
        </w:rPr>
      </w:pPr>
      <w:r w:rsidRPr="00B04DC3">
        <w:rPr>
          <w:lang w:val="en-GB"/>
        </w:rPr>
        <w:tab/>
      </w:r>
      <w:r w:rsidRPr="00B04DC3">
        <w:rPr>
          <w:lang w:val="en-GB"/>
        </w:rPr>
        <w:tab/>
        <w:t>SV = (0.43 x SV</w:t>
      </w:r>
      <w:r w:rsidRPr="00B04DC3">
        <w:rPr>
          <w:vertAlign w:val="subscript"/>
          <w:lang w:val="en-GB"/>
        </w:rPr>
        <w:t>A</w:t>
      </w:r>
      <w:r w:rsidRPr="00B04DC3">
        <w:rPr>
          <w:lang w:val="en-GB"/>
        </w:rPr>
        <w:t>) + (0.56 x SV</w:t>
      </w:r>
      <w:r w:rsidRPr="00B04DC3">
        <w:rPr>
          <w:vertAlign w:val="subscript"/>
          <w:lang w:val="en-GB"/>
        </w:rPr>
        <w:t>B</w:t>
      </w:r>
      <w:r w:rsidRPr="00B04DC3">
        <w:rPr>
          <w:lang w:val="en-GB"/>
        </w:rPr>
        <w:t>) + (0.01 x SV</w:t>
      </w:r>
      <w:r w:rsidRPr="00B04DC3">
        <w:rPr>
          <w:vertAlign w:val="subscript"/>
          <w:lang w:val="en-GB"/>
        </w:rPr>
        <w:t>C</w:t>
      </w:r>
      <w:r w:rsidRPr="00B04DC3">
        <w:rPr>
          <w:lang w:val="en-GB"/>
        </w:rPr>
        <w:t>)</w:t>
      </w:r>
    </w:p>
    <w:p w:rsidR="00DA59A4" w:rsidRPr="00B04DC3" w:rsidRDefault="00DA59A4" w:rsidP="00DA59A4">
      <w:pPr>
        <w:pStyle w:val="para"/>
        <w:rPr>
          <w:lang w:val="en-GB"/>
        </w:rPr>
      </w:pPr>
    </w:p>
    <w:p w:rsidR="00DA59A4" w:rsidRPr="00B04DC3" w:rsidRDefault="00DA59A4" w:rsidP="00DA59A4">
      <w:pPr>
        <w:pStyle w:val="SingleTxtG"/>
        <w:sectPr w:rsidR="00DA59A4" w:rsidRPr="00B04DC3" w:rsidSect="00DA59A4">
          <w:headerReference w:type="even" r:id="rId187"/>
          <w:headerReference w:type="default" r:id="rId188"/>
          <w:footnotePr>
            <w:numRestart w:val="eachSect"/>
          </w:footnotePr>
          <w:endnotePr>
            <w:numFmt w:val="decimal"/>
          </w:endnotePr>
          <w:pgSz w:w="11907" w:h="16840" w:code="9"/>
          <w:pgMar w:top="1701" w:right="1134" w:bottom="2268" w:left="1134" w:header="851" w:footer="1701" w:gutter="0"/>
          <w:cols w:space="720"/>
          <w:docGrid w:linePitch="326"/>
        </w:sectPr>
      </w:pPr>
    </w:p>
    <w:p w:rsidR="00DA59A4" w:rsidRPr="00B04DC3" w:rsidRDefault="00DA59A4" w:rsidP="00AA0E48">
      <w:pPr>
        <w:pStyle w:val="HChG"/>
        <w:spacing w:after="360"/>
      </w:pPr>
      <w:bookmarkStart w:id="218" w:name="_Toc423599515"/>
      <w:bookmarkStart w:id="219" w:name="_Toc423610923"/>
      <w:r w:rsidRPr="00B04DC3">
        <w:t>Annex 4A</w:t>
      </w:r>
      <w:r w:rsidR="00B23BB1">
        <w:t xml:space="preserve"> - </w:t>
      </w:r>
      <w:r w:rsidRPr="00B04DC3">
        <w:t>Appendix 2</w:t>
      </w:r>
      <w:bookmarkEnd w:id="218"/>
      <w:bookmarkEnd w:id="219"/>
    </w:p>
    <w:p w:rsidR="00DA59A4" w:rsidRPr="00B04DC3" w:rsidRDefault="00DA59A4" w:rsidP="00AA0E48">
      <w:pPr>
        <w:pStyle w:val="HChG"/>
        <w:spacing w:after="360"/>
      </w:pPr>
      <w:r w:rsidRPr="00B04DC3">
        <w:tab/>
      </w:r>
      <w:r w:rsidRPr="00B04DC3">
        <w:tab/>
      </w:r>
      <w:bookmarkStart w:id="220" w:name="_Toc423599516"/>
      <w:bookmarkStart w:id="221" w:name="_Toc423610924"/>
      <w:r w:rsidR="009105AC" w:rsidRPr="00B04DC3">
        <w:rPr>
          <w:lang w:eastAsia="ko-KR"/>
        </w:rPr>
        <w:t xml:space="preserve">European </w:t>
      </w:r>
      <w:r w:rsidR="00FA27AE">
        <w:rPr>
          <w:lang w:eastAsia="ko-KR"/>
        </w:rPr>
        <w:t>T</w:t>
      </w:r>
      <w:r w:rsidR="009105AC" w:rsidRPr="00B04DC3">
        <w:rPr>
          <w:lang w:eastAsia="ko-KR"/>
        </w:rPr>
        <w:t xml:space="preserve">ransient </w:t>
      </w:r>
      <w:r w:rsidR="00FA27AE">
        <w:rPr>
          <w:lang w:eastAsia="ko-KR"/>
        </w:rPr>
        <w:t>C</w:t>
      </w:r>
      <w:r w:rsidR="009105AC" w:rsidRPr="00B04DC3">
        <w:rPr>
          <w:lang w:eastAsia="ko-KR"/>
        </w:rPr>
        <w:t>ycle</w:t>
      </w:r>
      <w:r w:rsidR="009105AC" w:rsidRPr="00B04DC3">
        <w:t xml:space="preserve"> </w:t>
      </w:r>
      <w:r w:rsidR="009105AC">
        <w:t>(</w:t>
      </w:r>
      <w:r w:rsidRPr="00B04DC3">
        <w:t>ETC</w:t>
      </w:r>
      <w:r w:rsidR="009105AC">
        <w:t>)</w:t>
      </w:r>
      <w:r w:rsidRPr="00B04DC3">
        <w:t xml:space="preserve"> </w:t>
      </w:r>
      <w:r w:rsidR="00B23BB1">
        <w:t>t</w:t>
      </w:r>
      <w:r w:rsidR="00B23BB1" w:rsidRPr="00B04DC3">
        <w:t xml:space="preserve">est </w:t>
      </w:r>
      <w:r w:rsidRPr="00B04DC3">
        <w:t>cycle</w:t>
      </w:r>
      <w:bookmarkEnd w:id="220"/>
      <w:bookmarkEnd w:id="221"/>
    </w:p>
    <w:p w:rsidR="00DA59A4" w:rsidRPr="00B04DC3" w:rsidRDefault="00DA59A4" w:rsidP="00DA59A4">
      <w:pPr>
        <w:pStyle w:val="para"/>
        <w:rPr>
          <w:lang w:val="en-GB"/>
        </w:rPr>
      </w:pPr>
      <w:r w:rsidRPr="00B04DC3">
        <w:rPr>
          <w:lang w:val="en-GB"/>
        </w:rPr>
        <w:t>1.</w:t>
      </w:r>
      <w:r w:rsidRPr="00B04DC3">
        <w:rPr>
          <w:lang w:val="en-GB"/>
        </w:rPr>
        <w:tab/>
        <w:t>Engine mapping procedure</w:t>
      </w:r>
    </w:p>
    <w:p w:rsidR="00DA59A4" w:rsidRPr="00B04DC3" w:rsidRDefault="00DA59A4" w:rsidP="00DA59A4">
      <w:pPr>
        <w:pStyle w:val="para"/>
        <w:rPr>
          <w:lang w:val="en-GB"/>
        </w:rPr>
      </w:pPr>
      <w:r w:rsidRPr="00B04DC3">
        <w:rPr>
          <w:lang w:val="en-GB"/>
        </w:rPr>
        <w:t>1.1.</w:t>
      </w:r>
      <w:r w:rsidRPr="00B04DC3">
        <w:rPr>
          <w:lang w:val="en-GB"/>
        </w:rPr>
        <w:tab/>
        <w:t xml:space="preserve">Determination of the </w:t>
      </w:r>
      <w:r w:rsidR="009105AC">
        <w:rPr>
          <w:lang w:val="en-GB"/>
        </w:rPr>
        <w:t>m</w:t>
      </w:r>
      <w:r w:rsidR="009105AC" w:rsidRPr="00B04DC3">
        <w:rPr>
          <w:lang w:val="en-GB"/>
        </w:rPr>
        <w:t xml:space="preserve">apping </w:t>
      </w:r>
      <w:r w:rsidR="009105AC">
        <w:rPr>
          <w:lang w:val="en-GB"/>
        </w:rPr>
        <w:t>s</w:t>
      </w:r>
      <w:r w:rsidR="009105AC" w:rsidRPr="00B04DC3">
        <w:rPr>
          <w:lang w:val="en-GB"/>
        </w:rPr>
        <w:t xml:space="preserve">peed </w:t>
      </w:r>
      <w:r w:rsidR="009105AC">
        <w:rPr>
          <w:lang w:val="en-GB"/>
        </w:rPr>
        <w:t>r</w:t>
      </w:r>
      <w:r w:rsidR="009105AC" w:rsidRPr="00B04DC3">
        <w:rPr>
          <w:lang w:val="en-GB"/>
        </w:rPr>
        <w:t>ange</w:t>
      </w:r>
    </w:p>
    <w:p w:rsidR="00DA59A4" w:rsidRPr="00B04DC3" w:rsidRDefault="00DA59A4" w:rsidP="00DA59A4">
      <w:pPr>
        <w:pStyle w:val="para"/>
        <w:rPr>
          <w:lang w:val="en-GB"/>
        </w:rPr>
      </w:pPr>
      <w:r w:rsidRPr="00B04DC3">
        <w:rPr>
          <w:lang w:val="en-GB"/>
        </w:rPr>
        <w:tab/>
        <w:t>For generating the ETC on the test cell, the engine needs to be mapped prior to the test cycle for determining the speed vs. torque curve. The minimum and maximum mapping speeds are defined as follows:</w:t>
      </w:r>
    </w:p>
    <w:p w:rsidR="00DA59A4" w:rsidRPr="00B04DC3" w:rsidRDefault="00DA59A4" w:rsidP="00DA59A4">
      <w:pPr>
        <w:pStyle w:val="para"/>
        <w:tabs>
          <w:tab w:val="left" w:pos="4536"/>
        </w:tabs>
        <w:ind w:left="4844" w:hanging="2576"/>
        <w:rPr>
          <w:lang w:val="en-GB"/>
        </w:rPr>
      </w:pPr>
      <w:r w:rsidRPr="00B04DC3">
        <w:rPr>
          <w:lang w:val="en-GB"/>
        </w:rPr>
        <w:t>Minimum mapping speed</w:t>
      </w:r>
      <w:r w:rsidRPr="00B04DC3">
        <w:rPr>
          <w:lang w:val="en-GB"/>
        </w:rPr>
        <w:tab/>
        <w:t xml:space="preserve"> = </w:t>
      </w:r>
      <w:r w:rsidRPr="00B04DC3">
        <w:rPr>
          <w:lang w:val="en-GB"/>
        </w:rPr>
        <w:tab/>
        <w:t>idle speed</w:t>
      </w:r>
    </w:p>
    <w:p w:rsidR="00DA59A4" w:rsidRPr="00B04DC3" w:rsidRDefault="00DA59A4" w:rsidP="00DA59A4">
      <w:pPr>
        <w:pStyle w:val="para"/>
        <w:tabs>
          <w:tab w:val="left" w:pos="4536"/>
        </w:tabs>
        <w:ind w:left="4844" w:hanging="2576"/>
        <w:rPr>
          <w:lang w:val="en-GB"/>
        </w:rPr>
      </w:pPr>
      <w:r w:rsidRPr="00B04DC3">
        <w:rPr>
          <w:lang w:val="en-GB"/>
        </w:rPr>
        <w:t>Maximum mapping speed</w:t>
      </w:r>
      <w:r w:rsidRPr="00B04DC3">
        <w:rPr>
          <w:lang w:val="en-GB"/>
        </w:rPr>
        <w:tab/>
        <w:t xml:space="preserve"> = </w:t>
      </w:r>
      <w:r w:rsidRPr="00B04DC3">
        <w:rPr>
          <w:lang w:val="en-GB"/>
        </w:rPr>
        <w:tab/>
        <w:t>n</w:t>
      </w:r>
      <w:r w:rsidRPr="00B04DC3">
        <w:rPr>
          <w:vertAlign w:val="subscript"/>
          <w:lang w:val="en-GB"/>
        </w:rPr>
        <w:t>hi</w:t>
      </w:r>
      <w:r w:rsidRPr="00B04DC3">
        <w:rPr>
          <w:lang w:val="en-GB"/>
        </w:rPr>
        <w:t xml:space="preserve"> </w:t>
      </w:r>
      <w:r w:rsidRPr="00B04DC3">
        <w:rPr>
          <w:lang w:val="en-GB"/>
        </w:rPr>
        <w:sym w:font="Symbol" w:char="F0B4"/>
      </w:r>
      <w:r w:rsidRPr="00B04DC3">
        <w:rPr>
          <w:lang w:val="en-GB"/>
        </w:rPr>
        <w:t xml:space="preserve"> 1.02 or speed where full load torque drops off to zero, whichever is lower</w:t>
      </w:r>
    </w:p>
    <w:p w:rsidR="00DA59A4" w:rsidRPr="00B04DC3" w:rsidRDefault="00DA59A4" w:rsidP="00DA59A4">
      <w:pPr>
        <w:pStyle w:val="para"/>
        <w:rPr>
          <w:lang w:val="en-GB"/>
        </w:rPr>
      </w:pPr>
      <w:r w:rsidRPr="00B04DC3">
        <w:rPr>
          <w:lang w:val="en-GB"/>
        </w:rPr>
        <w:t>1.2.</w:t>
      </w:r>
      <w:r w:rsidRPr="00B04DC3">
        <w:rPr>
          <w:lang w:val="en-GB"/>
        </w:rPr>
        <w:tab/>
        <w:t>Performing the engine power map</w:t>
      </w:r>
    </w:p>
    <w:p w:rsidR="00DA59A4" w:rsidRPr="00B04DC3" w:rsidRDefault="00DA59A4" w:rsidP="00DA59A4">
      <w:pPr>
        <w:pStyle w:val="para"/>
        <w:rPr>
          <w:lang w:val="en-GB"/>
        </w:rPr>
      </w:pPr>
      <w:r w:rsidRPr="00B04DC3">
        <w:rPr>
          <w:lang w:val="en-GB"/>
        </w:rPr>
        <w:tab/>
        <w:t>The engine shall be warmed up at maximum power in order to stabilise the engine parameters according to the recommendation of the manufacturer and good engineering practice. When the engine is stabilized, the engine map shall be performed as follows:</w:t>
      </w:r>
    </w:p>
    <w:p w:rsidR="00DA59A4" w:rsidRPr="00B04DC3" w:rsidRDefault="00DA59A4" w:rsidP="00DA59A4">
      <w:pPr>
        <w:pStyle w:val="a"/>
        <w:tabs>
          <w:tab w:val="left" w:pos="6096"/>
        </w:tabs>
        <w:rPr>
          <w:lang w:val="en-GB"/>
        </w:rPr>
      </w:pPr>
      <w:r w:rsidRPr="00B04DC3">
        <w:rPr>
          <w:lang w:val="en-GB"/>
        </w:rPr>
        <w:t>(a)</w:t>
      </w:r>
      <w:r w:rsidRPr="00B04DC3">
        <w:rPr>
          <w:lang w:val="en-GB"/>
        </w:rPr>
        <w:tab/>
        <w:t>The engine shall be unloaded and operated at idle speed;</w:t>
      </w:r>
    </w:p>
    <w:p w:rsidR="00DA59A4" w:rsidRPr="00B04DC3" w:rsidRDefault="00DA59A4" w:rsidP="00DA59A4">
      <w:pPr>
        <w:pStyle w:val="a"/>
        <w:rPr>
          <w:lang w:val="en-GB"/>
        </w:rPr>
      </w:pPr>
      <w:r w:rsidRPr="00B04DC3">
        <w:rPr>
          <w:lang w:val="en-GB"/>
        </w:rPr>
        <w:t>(b)</w:t>
      </w:r>
      <w:r w:rsidRPr="00B04DC3">
        <w:rPr>
          <w:lang w:val="en-GB"/>
        </w:rPr>
        <w:tab/>
        <w:t>The engine shall be operated at full load setting of the injection pump at minimum mapping speed;</w:t>
      </w:r>
    </w:p>
    <w:p w:rsidR="00DA59A4" w:rsidRPr="00B04DC3" w:rsidRDefault="00DA59A4" w:rsidP="00DA59A4">
      <w:pPr>
        <w:pStyle w:val="a"/>
        <w:rPr>
          <w:lang w:val="en-GB"/>
        </w:rPr>
      </w:pPr>
      <w:r w:rsidRPr="00B04DC3">
        <w:rPr>
          <w:lang w:val="en-GB"/>
        </w:rPr>
        <w:t>(c)</w:t>
      </w:r>
      <w:r w:rsidRPr="00B04DC3">
        <w:rPr>
          <w:lang w:val="en-GB"/>
        </w:rPr>
        <w:tab/>
      </w:r>
      <w:r w:rsidRPr="00B04DC3">
        <w:rPr>
          <w:spacing w:val="-2"/>
          <w:lang w:val="en-GB"/>
        </w:rPr>
        <w:t>The engine speed shall be increased at an average rate of 8 ± 1 min</w:t>
      </w:r>
      <w:r w:rsidRPr="00B04DC3">
        <w:rPr>
          <w:spacing w:val="-2"/>
          <w:vertAlign w:val="superscript"/>
          <w:lang w:val="en-GB"/>
        </w:rPr>
        <w:t>−1</w:t>
      </w:r>
      <w:r w:rsidRPr="00B04DC3">
        <w:rPr>
          <w:spacing w:val="-2"/>
          <w:lang w:val="en-GB"/>
        </w:rPr>
        <w:t xml:space="preserve"> /s</w:t>
      </w:r>
      <w:r w:rsidRPr="00B04DC3">
        <w:rPr>
          <w:lang w:val="en-GB"/>
        </w:rPr>
        <w:t xml:space="preserve"> from minimum to maximum mapping speed. Engine speed and torque points shall be recorded at a sample rate of at least one point per second.</w:t>
      </w:r>
    </w:p>
    <w:p w:rsidR="00DA59A4" w:rsidRPr="00B04DC3" w:rsidRDefault="00DA59A4" w:rsidP="00DA59A4">
      <w:pPr>
        <w:pStyle w:val="para"/>
        <w:rPr>
          <w:lang w:val="en-GB"/>
        </w:rPr>
      </w:pPr>
      <w:r w:rsidRPr="00B04DC3">
        <w:rPr>
          <w:lang w:val="en-GB"/>
        </w:rPr>
        <w:t>1.3.</w:t>
      </w:r>
      <w:r w:rsidRPr="00B04DC3">
        <w:rPr>
          <w:lang w:val="en-GB"/>
        </w:rPr>
        <w:tab/>
        <w:t>Mapping curve generation</w:t>
      </w:r>
    </w:p>
    <w:p w:rsidR="00DA59A4" w:rsidRPr="00B04DC3" w:rsidRDefault="00DA59A4" w:rsidP="00DA59A4">
      <w:pPr>
        <w:pStyle w:val="para"/>
        <w:rPr>
          <w:lang w:val="en-GB"/>
        </w:rPr>
      </w:pPr>
      <w:r w:rsidRPr="00B04DC3">
        <w:rPr>
          <w:lang w:val="en-GB"/>
        </w:rPr>
        <w:tab/>
        <w:t>All data points recorded under paragraph 1.2. of this appendix shall be connected using linear interpolation between points. The resulting torque curve is the mapping curve and shall be used to convert the normalized torque values of the engine cycle into actual torque values for the test cycle, as described in paragraph 2. of this appendix.</w:t>
      </w:r>
    </w:p>
    <w:p w:rsidR="00DA59A4" w:rsidRPr="00B04DC3" w:rsidRDefault="00DA59A4" w:rsidP="00DA59A4">
      <w:pPr>
        <w:pStyle w:val="para"/>
        <w:rPr>
          <w:lang w:val="en-GB"/>
        </w:rPr>
      </w:pPr>
      <w:r w:rsidRPr="00B04DC3">
        <w:rPr>
          <w:lang w:val="en-GB"/>
        </w:rPr>
        <w:t>1.4.</w:t>
      </w:r>
      <w:r w:rsidRPr="00B04DC3">
        <w:rPr>
          <w:lang w:val="en-GB"/>
        </w:rPr>
        <w:tab/>
        <w:t>Alternate mapping</w:t>
      </w:r>
    </w:p>
    <w:p w:rsidR="00DA59A4" w:rsidRPr="00B04DC3" w:rsidRDefault="00DA59A4" w:rsidP="00DA59A4">
      <w:pPr>
        <w:pStyle w:val="para"/>
        <w:rPr>
          <w:lang w:val="en-GB"/>
        </w:rPr>
      </w:pPr>
      <w:r w:rsidRPr="00B04DC3">
        <w:rPr>
          <w:lang w:val="en-GB"/>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Technical Service along with the justification for their use. In no case, however, shall descending continual sweeps of engine speed be used for governed or turbocharged engines.</w:t>
      </w:r>
    </w:p>
    <w:p w:rsidR="00DA59A4" w:rsidRPr="00B04DC3" w:rsidRDefault="00DA59A4" w:rsidP="00DA59A4">
      <w:pPr>
        <w:pStyle w:val="para"/>
        <w:rPr>
          <w:lang w:val="en-GB"/>
        </w:rPr>
      </w:pPr>
      <w:r w:rsidRPr="00B04DC3">
        <w:rPr>
          <w:lang w:val="en-GB"/>
        </w:rPr>
        <w:br w:type="page"/>
        <w:t>1.5.</w:t>
      </w:r>
      <w:r w:rsidRPr="00B04DC3">
        <w:rPr>
          <w:lang w:val="en-GB"/>
        </w:rPr>
        <w:tab/>
        <w:t>Replicate tests</w:t>
      </w:r>
    </w:p>
    <w:p w:rsidR="00DA59A4" w:rsidRPr="00B04DC3" w:rsidRDefault="00DA59A4" w:rsidP="00DA59A4">
      <w:pPr>
        <w:pStyle w:val="para"/>
        <w:rPr>
          <w:lang w:val="en-GB"/>
        </w:rPr>
      </w:pPr>
      <w:r w:rsidRPr="00B04DC3">
        <w:rPr>
          <w:lang w:val="en-GB"/>
        </w:rPr>
        <w:tab/>
        <w:t>An engine need not be mapped before each and every test cycle. An engine shall be remapped prior to a test cycle if:</w:t>
      </w:r>
    </w:p>
    <w:p w:rsidR="00DA59A4" w:rsidRPr="00B04DC3" w:rsidRDefault="00DA59A4" w:rsidP="00DA59A4">
      <w:pPr>
        <w:pStyle w:val="a"/>
        <w:rPr>
          <w:lang w:val="en-GB"/>
        </w:rPr>
      </w:pPr>
      <w:r w:rsidRPr="00B04DC3">
        <w:rPr>
          <w:lang w:val="en-GB"/>
        </w:rPr>
        <w:t>(a)</w:t>
      </w:r>
      <w:r w:rsidRPr="00B04DC3">
        <w:rPr>
          <w:lang w:val="en-GB"/>
        </w:rPr>
        <w:tab/>
        <w:t>An unreasonable amount of time has transpired since the last map, as determined by engineering judgement,</w:t>
      </w:r>
    </w:p>
    <w:p w:rsidR="00DA59A4" w:rsidRPr="00B04DC3" w:rsidRDefault="00DA59A4" w:rsidP="00DA59A4">
      <w:pPr>
        <w:pStyle w:val="a"/>
        <w:rPr>
          <w:lang w:val="en-GB"/>
        </w:rPr>
      </w:pPr>
      <w:r w:rsidRPr="00B04DC3">
        <w:rPr>
          <w:lang w:val="en-GB"/>
        </w:rPr>
        <w:tab/>
        <w:t>or,</w:t>
      </w:r>
    </w:p>
    <w:p w:rsidR="00DA59A4" w:rsidRPr="00B04DC3" w:rsidRDefault="00DA59A4" w:rsidP="00DA59A4">
      <w:pPr>
        <w:pStyle w:val="a"/>
        <w:rPr>
          <w:lang w:val="en-GB"/>
        </w:rPr>
      </w:pPr>
      <w:r w:rsidRPr="00B04DC3">
        <w:rPr>
          <w:lang w:val="en-GB"/>
        </w:rPr>
        <w:t>(b)</w:t>
      </w:r>
      <w:r w:rsidRPr="00B04DC3">
        <w:rPr>
          <w:lang w:val="en-GB"/>
        </w:rPr>
        <w:tab/>
        <w:t>Physical changes or recalibrations have been made to the engine which may potentially affect engine performance.</w:t>
      </w:r>
    </w:p>
    <w:p w:rsidR="00DA59A4" w:rsidRPr="00B04DC3" w:rsidRDefault="00DA59A4" w:rsidP="00DA59A4">
      <w:pPr>
        <w:pStyle w:val="para"/>
        <w:rPr>
          <w:lang w:val="en-GB"/>
        </w:rPr>
      </w:pPr>
      <w:r w:rsidRPr="00B04DC3">
        <w:rPr>
          <w:lang w:val="en-GB"/>
        </w:rPr>
        <w:t>2.</w:t>
      </w:r>
      <w:r w:rsidRPr="00B04DC3">
        <w:rPr>
          <w:lang w:val="en-GB"/>
        </w:rPr>
        <w:tab/>
        <w:t>Generation of the reference test cycle</w:t>
      </w:r>
    </w:p>
    <w:p w:rsidR="00DA59A4" w:rsidRPr="00B04DC3" w:rsidRDefault="00DA59A4" w:rsidP="00DA59A4">
      <w:pPr>
        <w:pStyle w:val="para"/>
        <w:rPr>
          <w:lang w:val="en-GB"/>
        </w:rPr>
      </w:pPr>
      <w:r w:rsidRPr="00B04DC3">
        <w:rPr>
          <w:lang w:val="en-GB"/>
        </w:rPr>
        <w:tab/>
        <w:t>The transient test cycle is described in Appendix 3 to this annex. The normalized values for torque and speed shall be changed to the actual values, as follows, resulting in the reference cycle.</w:t>
      </w:r>
    </w:p>
    <w:p w:rsidR="00DA59A4" w:rsidRPr="00B04DC3" w:rsidRDefault="00DA59A4" w:rsidP="00DA59A4">
      <w:pPr>
        <w:pStyle w:val="para"/>
        <w:rPr>
          <w:lang w:val="en-GB"/>
        </w:rPr>
      </w:pPr>
      <w:r w:rsidRPr="00B04DC3">
        <w:rPr>
          <w:lang w:val="en-GB"/>
        </w:rPr>
        <w:t>2.1.</w:t>
      </w:r>
      <w:r w:rsidRPr="00B04DC3">
        <w:rPr>
          <w:lang w:val="en-GB"/>
        </w:rPr>
        <w:tab/>
        <w:t xml:space="preserve">Actual </w:t>
      </w:r>
      <w:r w:rsidR="00C15FD2">
        <w:rPr>
          <w:lang w:val="en-GB"/>
        </w:rPr>
        <w:t>s</w:t>
      </w:r>
      <w:r w:rsidR="00C15FD2" w:rsidRPr="00B04DC3">
        <w:rPr>
          <w:lang w:val="en-GB"/>
        </w:rPr>
        <w:t>peed</w:t>
      </w:r>
    </w:p>
    <w:p w:rsidR="00DA59A4" w:rsidRPr="00B04DC3" w:rsidRDefault="00DA59A4" w:rsidP="00DA59A4">
      <w:pPr>
        <w:pStyle w:val="para"/>
        <w:rPr>
          <w:lang w:val="en-GB"/>
        </w:rPr>
      </w:pPr>
      <w:r w:rsidRPr="00B04DC3">
        <w:rPr>
          <w:lang w:val="en-GB"/>
        </w:rPr>
        <w:tab/>
        <w:t>The speed shall be unnormalized using the following equation:</w:t>
      </w:r>
    </w:p>
    <w:p w:rsidR="00DA59A4" w:rsidRPr="00B04DC3" w:rsidRDefault="00A905B7" w:rsidP="00DA59A4">
      <w:pPr>
        <w:pStyle w:val="para"/>
        <w:ind w:firstLine="0"/>
        <w:rPr>
          <w:lang w:val="en-GB"/>
        </w:rPr>
      </w:pPr>
      <w:r>
        <w:rPr>
          <w:lang w:val="en-GB"/>
        </w:rPr>
      </w:r>
      <w:r>
        <w:rPr>
          <w:lang w:val="en-GB"/>
        </w:rPr>
        <w:pict>
          <v:group id="_x0000_s1680" editas="canvas" style="width:356.25pt;height:33.85pt;mso-position-horizontal-relative:char;mso-position-vertical-relative:line" coordorigin=",-13" coordsize="7125,677">
            <o:lock v:ext="edit" aspectratio="t"/>
            <v:shape id="_x0000_s1681" type="#_x0000_t75" style="position:absolute;top:-13;width:7125;height:677" o:preferrelative="f">
              <v:fill o:detectmouseclick="t"/>
              <v:path o:extrusionok="t" o:connecttype="none"/>
              <o:lock v:ext="edit" text="t"/>
            </v:shape>
            <v:line id="_x0000_s1682" style="position:absolute" from="1332,322" to="4864,323" strokeweight=".5pt"/>
            <v:rect id="_x0000_s1683" style="position:absolute;left:5528;top:167;width:410;height:240;mso-wrap-style:none" filled="f" stroked="f">
              <v:textbox style="mso-next-textbox:#_x0000_s1683;mso-fit-shape-to-text:t" inset="0,0,0,0">
                <w:txbxContent>
                  <w:p w:rsidR="00A905B7" w:rsidRPr="00A11839" w:rsidRDefault="00A905B7">
                    <w:pPr>
                      <w:rPr>
                        <w:sz w:val="18"/>
                        <w:szCs w:val="18"/>
                      </w:rPr>
                    </w:pPr>
                    <w:r w:rsidRPr="00A11839">
                      <w:rPr>
                        <w:color w:val="000000"/>
                        <w:sz w:val="18"/>
                        <w:szCs w:val="18"/>
                      </w:rPr>
                      <w:t>speed</w:t>
                    </w:r>
                  </w:p>
                </w:txbxContent>
              </v:textbox>
            </v:rect>
            <v:rect id="_x0000_s1684" style="position:absolute;left:5710;top:167;width:51;height:240;mso-wrap-style:none" filled="f" stroked="f">
              <v:textbox style="mso-next-textbox:#_x0000_s1684;mso-fit-shape-to-text:t" inset="0,0,0,0">
                <w:txbxContent>
                  <w:p w:rsidR="00A905B7" w:rsidRPr="00B5330D" w:rsidRDefault="00A905B7">
                    <w:r w:rsidRPr="00B5330D">
                      <w:rPr>
                        <w:color w:val="000000"/>
                      </w:rPr>
                      <w:t xml:space="preserve"> </w:t>
                    </w:r>
                  </w:p>
                </w:txbxContent>
              </v:textbox>
            </v:rect>
            <v:rect id="_x0000_s1685" style="position:absolute;left:5185;top:167;width:270;height:240;mso-wrap-style:none" filled="f" stroked="f">
              <v:textbox style="mso-next-textbox:#_x0000_s1685;mso-fit-shape-to-text:t" inset="0,0,0,0">
                <w:txbxContent>
                  <w:p w:rsidR="00A905B7" w:rsidRPr="00A11839" w:rsidRDefault="00A905B7">
                    <w:pPr>
                      <w:rPr>
                        <w:sz w:val="18"/>
                        <w:szCs w:val="18"/>
                      </w:rPr>
                    </w:pPr>
                    <w:r w:rsidRPr="00A11839">
                      <w:rPr>
                        <w:color w:val="000000"/>
                        <w:sz w:val="18"/>
                        <w:szCs w:val="18"/>
                      </w:rPr>
                      <w:t>idle</w:t>
                    </w:r>
                  </w:p>
                </w:txbxContent>
              </v:textbox>
            </v:rect>
            <v:rect id="_x0000_s1686" style="position:absolute;left:3134;top:356;width:301;height:240;mso-wrap-style:none" filled="f" stroked="f">
              <v:textbox style="mso-next-textbox:#_x0000_s1686;mso-fit-shape-to-text:t" inset="0,0,0,0">
                <w:txbxContent>
                  <w:p w:rsidR="00A905B7" w:rsidRPr="00B5330D" w:rsidRDefault="00A905B7">
                    <w:r w:rsidRPr="00B5330D">
                      <w:rPr>
                        <w:color w:val="000000"/>
                      </w:rPr>
                      <w:t>100</w:t>
                    </w:r>
                  </w:p>
                </w:txbxContent>
              </v:textbox>
            </v:rect>
            <v:rect id="_x0000_s1687" style="position:absolute;left:4394;top:15;width:470;height:240;mso-wrap-style:none" filled="f" stroked="f">
              <v:textbox style="mso-next-textbox:#_x0000_s1687;mso-fit-shape-to-text:t" inset="0,0,0,0">
                <w:txbxContent>
                  <w:p w:rsidR="00A905B7" w:rsidRPr="00A11839" w:rsidRDefault="00A905B7">
                    <w:pPr>
                      <w:rPr>
                        <w:sz w:val="18"/>
                        <w:szCs w:val="18"/>
                      </w:rPr>
                    </w:pPr>
                    <w:r w:rsidRPr="00A11839">
                      <w:rPr>
                        <w:color w:val="000000"/>
                        <w:sz w:val="18"/>
                        <w:szCs w:val="18"/>
                      </w:rPr>
                      <w:t>speed)</w:t>
                    </w:r>
                  </w:p>
                </w:txbxContent>
              </v:textbox>
            </v:rect>
            <v:rect id="_x0000_s1688" style="position:absolute;left:4444;top:15;width:51;height:240;mso-wrap-style:none" filled="f" stroked="f">
              <v:textbox style="mso-next-textbox:#_x0000_s1688;mso-fit-shape-to-text:t" inset="0,0,0,0">
                <w:txbxContent>
                  <w:p w:rsidR="00A905B7" w:rsidRPr="00B5330D" w:rsidRDefault="00A905B7">
                    <w:r w:rsidRPr="00B5330D">
                      <w:rPr>
                        <w:color w:val="000000"/>
                      </w:rPr>
                      <w:t xml:space="preserve"> </w:t>
                    </w:r>
                  </w:p>
                </w:txbxContent>
              </v:textbox>
            </v:rect>
            <v:rect id="_x0000_s1689" style="position:absolute;left:4051;top:15;width:270;height:240;mso-wrap-style:none" filled="f" stroked="f">
              <v:textbox style="mso-next-textbox:#_x0000_s1689;mso-fit-shape-to-text:t" inset="0,0,0,0">
                <w:txbxContent>
                  <w:p w:rsidR="00A905B7" w:rsidRPr="00A11839" w:rsidRDefault="00A905B7">
                    <w:pPr>
                      <w:rPr>
                        <w:sz w:val="18"/>
                        <w:szCs w:val="18"/>
                      </w:rPr>
                    </w:pPr>
                    <w:r w:rsidRPr="00A11839">
                      <w:rPr>
                        <w:color w:val="000000"/>
                        <w:sz w:val="18"/>
                        <w:szCs w:val="18"/>
                      </w:rPr>
                      <w:t>idle</w:t>
                    </w:r>
                  </w:p>
                </w:txbxContent>
              </v:textbox>
            </v:rect>
            <v:rect id="_x0000_s1693" style="position:absolute;left:2271;top:15;width:51;height:240;mso-wrap-style:none" filled="f" stroked="f">
              <v:textbox style="mso-next-textbox:#_x0000_s1693;mso-fit-shape-to-text:t" inset="0,0,0,0">
                <w:txbxContent>
                  <w:p w:rsidR="00A905B7" w:rsidRPr="00B5330D" w:rsidRDefault="00A905B7">
                    <w:r w:rsidRPr="00B5330D">
                      <w:rPr>
                        <w:color w:val="000000"/>
                      </w:rPr>
                      <w:t xml:space="preserve"> </w:t>
                    </w:r>
                  </w:p>
                </w:txbxContent>
              </v:textbox>
            </v:rect>
            <v:rect id="_x0000_s1694" style="position:absolute;left:1333;top:15;width:1030;height:240;mso-wrap-style:none" filled="f" stroked="f">
              <v:textbox style="mso-next-textbox:#_x0000_s1694;mso-fit-shape-to-text:t" inset="0,0,0,0">
                <w:txbxContent>
                  <w:p w:rsidR="00A905B7" w:rsidRPr="00A11839" w:rsidRDefault="00A905B7">
                    <w:pPr>
                      <w:rPr>
                        <w:sz w:val="18"/>
                        <w:szCs w:val="18"/>
                      </w:rPr>
                    </w:pPr>
                    <w:r w:rsidRPr="00A11839">
                      <w:rPr>
                        <w:color w:val="000000"/>
                        <w:sz w:val="18"/>
                        <w:szCs w:val="18"/>
                      </w:rPr>
                      <w:t>per cent speed</w:t>
                    </w:r>
                  </w:p>
                </w:txbxContent>
              </v:textbox>
            </v:rect>
            <v:rect id="_x0000_s1695" style="position:absolute;left:587;top:167;width:497;height:240" filled="f" stroked="f">
              <v:textbox style="mso-next-textbox:#_x0000_s1695;mso-fit-shape-to-text:t" inset="0,0,0,0">
                <w:txbxContent>
                  <w:p w:rsidR="00A905B7" w:rsidRPr="00A11839" w:rsidRDefault="00A905B7">
                    <w:pPr>
                      <w:rPr>
                        <w:sz w:val="18"/>
                        <w:szCs w:val="18"/>
                      </w:rPr>
                    </w:pPr>
                    <w:r w:rsidRPr="00A11839">
                      <w:rPr>
                        <w:color w:val="000000"/>
                        <w:sz w:val="18"/>
                        <w:szCs w:val="18"/>
                      </w:rPr>
                      <w:t>speed</w:t>
                    </w:r>
                  </w:p>
                </w:txbxContent>
              </v:textbox>
            </v:rect>
            <v:rect id="_x0000_s1696" style="position:absolute;left:659;top:167;width:51;height:240;mso-wrap-style:none" filled="f" stroked="f">
              <v:textbox style="mso-next-textbox:#_x0000_s1696;mso-fit-shape-to-text:t" inset="0,0,0,0">
                <w:txbxContent>
                  <w:p w:rsidR="00A905B7" w:rsidRPr="00B5330D" w:rsidRDefault="00A905B7">
                    <w:r w:rsidRPr="00B5330D">
                      <w:rPr>
                        <w:color w:val="000000"/>
                      </w:rPr>
                      <w:t xml:space="preserve"> </w:t>
                    </w:r>
                  </w:p>
                </w:txbxContent>
              </v:textbox>
            </v:rect>
            <v:rect id="_x0000_s1697" style="position:absolute;left:36;top:167;width:480;height:240;mso-wrap-style:none" filled="f" stroked="f">
              <v:textbox style="mso-next-textbox:#_x0000_s1697;mso-fit-shape-to-text:t" inset="0,0,0,0">
                <w:txbxContent>
                  <w:p w:rsidR="00A905B7" w:rsidRPr="00A11839" w:rsidRDefault="00A905B7">
                    <w:pPr>
                      <w:rPr>
                        <w:sz w:val="18"/>
                        <w:szCs w:val="18"/>
                      </w:rPr>
                    </w:pPr>
                    <w:r w:rsidRPr="00A11839">
                      <w:rPr>
                        <w:color w:val="000000"/>
                        <w:sz w:val="18"/>
                        <w:szCs w:val="18"/>
                      </w:rPr>
                      <w:t>Actual</w:t>
                    </w:r>
                  </w:p>
                </w:txbxContent>
              </v:textbox>
            </v:rect>
            <v:rect id="_x0000_s1698" style="position:absolute;left:4976;top:139;width:110;height:245;mso-wrap-style:none" filled="f" stroked="f">
              <v:textbox style="mso-next-textbox:#_x0000_s1698;mso-fit-shape-to-text:t" inset="0,0,0,0">
                <w:txbxContent>
                  <w:p w:rsidR="00A905B7" w:rsidRPr="00B5330D" w:rsidRDefault="00A905B7">
                    <w:r w:rsidRPr="00B5330D">
                      <w:rPr>
                        <w:rFonts w:ascii="Symbol" w:hAnsi="Symbol" w:cs="Symbol"/>
                        <w:color w:val="000000"/>
                      </w:rPr>
                      <w:t></w:t>
                    </w:r>
                  </w:p>
                </w:txbxContent>
              </v:textbox>
            </v:rect>
            <v:rect id="_x0000_s1699" style="position:absolute;left:3878;top:-13;width:110;height:245;mso-wrap-style:none" filled="f" stroked="f">
              <v:textbox style="mso-next-textbox:#_x0000_s1699;mso-fit-shape-to-text:t" inset="0,0,0,0">
                <w:txbxContent>
                  <w:p w:rsidR="00A905B7" w:rsidRPr="00B5330D" w:rsidRDefault="00A905B7">
                    <w:r w:rsidRPr="00B5330D">
                      <w:rPr>
                        <w:rFonts w:ascii="Symbol" w:hAnsi="Symbol" w:cs="Symbol"/>
                        <w:color w:val="000000"/>
                      </w:rPr>
                      <w:t></w:t>
                    </w:r>
                  </w:p>
                </w:txbxContent>
              </v:textbox>
            </v:rect>
            <v:rect id="_x0000_s1700" style="position:absolute;left:1155;top:139;width:110;height:245;mso-wrap-style:none" filled="f" stroked="f">
              <v:textbox style="mso-next-textbox:#_x0000_s1700;mso-fit-shape-to-text:t" inset="0,0,0,0">
                <w:txbxContent>
                  <w:p w:rsidR="00A905B7" w:rsidRPr="00B5330D" w:rsidRDefault="00A905B7">
                    <w:r w:rsidRPr="00B5330D">
                      <w:rPr>
                        <w:rFonts w:ascii="Symbol" w:hAnsi="Symbol" w:cs="Symbol"/>
                        <w:color w:val="000000"/>
                      </w:rPr>
                      <w:t></w:t>
                    </w:r>
                  </w:p>
                </w:txbxContent>
              </v:textbox>
            </v:rect>
            <v:rect id="_x0000_s1690" style="position:absolute;left:3316;top:-2;width:493;height:234" filled="f" stroked="f">
              <v:textbox style="mso-next-textbox:#_x0000_s1690" inset="0,0,0,0">
                <w:txbxContent>
                  <w:p w:rsidR="00A905B7" w:rsidRPr="00A11839" w:rsidRDefault="00A905B7">
                    <w:pPr>
                      <w:rPr>
                        <w:sz w:val="18"/>
                        <w:szCs w:val="18"/>
                      </w:rPr>
                    </w:pPr>
                    <w:r w:rsidRPr="00A11839">
                      <w:rPr>
                        <w:color w:val="000000"/>
                        <w:sz w:val="18"/>
                        <w:szCs w:val="18"/>
                      </w:rPr>
                      <w:t>speed</w:t>
                    </w:r>
                  </w:p>
                </w:txbxContent>
              </v:textbox>
            </v:rect>
            <v:rect id="_x0000_s1692" style="position:absolute;left:2477;top:-2;width:730;height:240;mso-wrap-style:none" filled="f" stroked="f">
              <v:textbox style="mso-next-textbox:#_x0000_s1692;mso-fit-shape-to-text:t" inset="0,0,0,0">
                <w:txbxContent>
                  <w:p w:rsidR="00A905B7" w:rsidRPr="00A11839" w:rsidRDefault="00A905B7">
                    <w:pPr>
                      <w:rPr>
                        <w:sz w:val="18"/>
                        <w:szCs w:val="18"/>
                      </w:rPr>
                    </w:pPr>
                    <w:r w:rsidRPr="00A11839">
                      <w:rPr>
                        <w:color w:val="000000"/>
                        <w:sz w:val="18"/>
                        <w:szCs w:val="18"/>
                      </w:rPr>
                      <w:t>(reference</w:t>
                    </w:r>
                  </w:p>
                </w:txbxContent>
              </v:textbox>
            </v:rect>
            <w10:wrap type="none"/>
            <w10:anchorlock/>
          </v:group>
        </w:pict>
      </w:r>
    </w:p>
    <w:p w:rsidR="00DA59A4" w:rsidRPr="00B04DC3" w:rsidRDefault="00DA59A4" w:rsidP="00DA59A4">
      <w:pPr>
        <w:pStyle w:val="para"/>
        <w:rPr>
          <w:lang w:val="en-GB"/>
        </w:rPr>
      </w:pPr>
      <w:r w:rsidRPr="00B04DC3">
        <w:rPr>
          <w:lang w:val="en-GB"/>
        </w:rPr>
        <w:tab/>
        <w:t>The reference speed (n</w:t>
      </w:r>
      <w:r w:rsidRPr="00B04DC3">
        <w:rPr>
          <w:vertAlign w:val="subscript"/>
          <w:lang w:val="en-GB"/>
        </w:rPr>
        <w:t>ref</w:t>
      </w:r>
      <w:r w:rsidRPr="00B04DC3">
        <w:rPr>
          <w:lang w:val="en-GB"/>
        </w:rPr>
        <w:t>) corresponds to the 100 per cent speed values specified in the engine dynamometer schedule of Appendix 3</w:t>
      </w:r>
      <w:r w:rsidR="00FA27AE">
        <w:rPr>
          <w:lang w:val="en-GB"/>
        </w:rPr>
        <w:t xml:space="preserve"> to this annex</w:t>
      </w:r>
      <w:r w:rsidRPr="00B04DC3">
        <w:rPr>
          <w:lang w:val="en-GB"/>
        </w:rPr>
        <w:t>. It is defined as follows:</w:t>
      </w:r>
    </w:p>
    <w:p w:rsidR="00DA59A4" w:rsidRPr="00B04DC3" w:rsidRDefault="00DA59A4" w:rsidP="00DA59A4">
      <w:pPr>
        <w:pStyle w:val="para"/>
        <w:ind w:firstLine="0"/>
        <w:rPr>
          <w:lang w:val="en-GB"/>
        </w:rPr>
      </w:pPr>
      <w:r w:rsidRPr="00B04DC3">
        <w:rPr>
          <w:lang w:val="en-GB"/>
        </w:rPr>
        <w:t>n</w:t>
      </w:r>
      <w:r w:rsidRPr="00B04DC3">
        <w:rPr>
          <w:vertAlign w:val="subscript"/>
          <w:lang w:val="en-GB"/>
        </w:rPr>
        <w:t>ref</w:t>
      </w:r>
      <w:r w:rsidRPr="00B04DC3">
        <w:rPr>
          <w:lang w:val="en-GB"/>
        </w:rPr>
        <w:t xml:space="preserve"> = n</w:t>
      </w:r>
      <w:r w:rsidRPr="00B04DC3">
        <w:rPr>
          <w:vertAlign w:val="subscript"/>
          <w:lang w:val="en-GB"/>
        </w:rPr>
        <w:t>lo</w:t>
      </w:r>
      <w:r w:rsidRPr="00B04DC3">
        <w:rPr>
          <w:lang w:val="en-GB"/>
        </w:rPr>
        <w:t xml:space="preserve"> + 95 per cent x (n</w:t>
      </w:r>
      <w:r w:rsidRPr="00B04DC3">
        <w:rPr>
          <w:vertAlign w:val="subscript"/>
          <w:lang w:val="en-GB"/>
        </w:rPr>
        <w:t>hi</w:t>
      </w:r>
      <w:r w:rsidRPr="00B04DC3">
        <w:rPr>
          <w:lang w:val="en-GB"/>
        </w:rPr>
        <w:t xml:space="preserve"> − n</w:t>
      </w:r>
      <w:r w:rsidRPr="00B04DC3">
        <w:rPr>
          <w:vertAlign w:val="subscript"/>
          <w:lang w:val="en-GB"/>
        </w:rPr>
        <w:t>lo</w:t>
      </w:r>
      <w:r w:rsidRPr="00B04DC3">
        <w:rPr>
          <w:lang w:val="en-GB"/>
        </w:rPr>
        <w:t>)</w:t>
      </w:r>
    </w:p>
    <w:p w:rsidR="00DA59A4" w:rsidRPr="00B04DC3" w:rsidRDefault="00DA59A4" w:rsidP="00DA59A4">
      <w:pPr>
        <w:pStyle w:val="para"/>
        <w:rPr>
          <w:lang w:val="en-GB"/>
        </w:rPr>
      </w:pPr>
      <w:r w:rsidRPr="00B04DC3">
        <w:rPr>
          <w:lang w:val="en-GB"/>
        </w:rPr>
        <w:tab/>
      </w:r>
      <w:r w:rsidR="00C15FD2" w:rsidRPr="00B04DC3">
        <w:rPr>
          <w:lang w:val="en-GB"/>
        </w:rPr>
        <w:t>Where</w:t>
      </w:r>
      <w:r w:rsidRPr="00B04DC3">
        <w:rPr>
          <w:lang w:val="en-GB"/>
        </w:rPr>
        <w:t xml:space="preserve"> n</w:t>
      </w:r>
      <w:r w:rsidRPr="00B04DC3">
        <w:rPr>
          <w:vertAlign w:val="subscript"/>
          <w:lang w:val="en-GB"/>
        </w:rPr>
        <w:t>hi</w:t>
      </w:r>
      <w:r w:rsidRPr="00B04DC3">
        <w:rPr>
          <w:lang w:val="en-GB"/>
        </w:rPr>
        <w:t xml:space="preserve"> and n</w:t>
      </w:r>
      <w:r w:rsidRPr="00B04DC3">
        <w:rPr>
          <w:vertAlign w:val="subscript"/>
          <w:lang w:val="en-GB"/>
        </w:rPr>
        <w:t>lo</w:t>
      </w:r>
      <w:r w:rsidRPr="00B04DC3">
        <w:rPr>
          <w:lang w:val="en-GB"/>
        </w:rPr>
        <w:t xml:space="preserve"> are either specified according to paragraph 2. </w:t>
      </w:r>
      <w:r w:rsidR="00FA27AE">
        <w:rPr>
          <w:lang w:val="en-GB"/>
        </w:rPr>
        <w:t>of this appendix</w:t>
      </w:r>
      <w:r w:rsidR="00FA27AE" w:rsidRPr="00B04DC3">
        <w:rPr>
          <w:lang w:val="en-GB"/>
        </w:rPr>
        <w:t xml:space="preserve"> </w:t>
      </w:r>
      <w:r w:rsidRPr="00B04DC3">
        <w:rPr>
          <w:lang w:val="en-GB"/>
        </w:rPr>
        <w:t>or determined according to paragraph 1.1. of Appendix 1 to this annex.</w:t>
      </w:r>
    </w:p>
    <w:p w:rsidR="00DA59A4" w:rsidRPr="00B04DC3" w:rsidRDefault="00DA59A4" w:rsidP="00DA59A4">
      <w:pPr>
        <w:pStyle w:val="para"/>
        <w:rPr>
          <w:lang w:val="en-GB"/>
        </w:rPr>
      </w:pPr>
      <w:r w:rsidRPr="00B04DC3">
        <w:rPr>
          <w:lang w:val="en-GB"/>
        </w:rPr>
        <w:t>2.2.</w:t>
      </w:r>
      <w:r w:rsidRPr="00B04DC3">
        <w:rPr>
          <w:lang w:val="en-GB"/>
        </w:rPr>
        <w:tab/>
        <w:t>Actual torque</w:t>
      </w:r>
    </w:p>
    <w:p w:rsidR="00DA59A4" w:rsidRPr="00B04DC3" w:rsidRDefault="00DA59A4" w:rsidP="00DA59A4">
      <w:pPr>
        <w:pStyle w:val="para"/>
        <w:rPr>
          <w:lang w:val="en-GB"/>
        </w:rPr>
      </w:pPr>
      <w:r w:rsidRPr="00B04DC3">
        <w:rPr>
          <w:lang w:val="en-GB"/>
        </w:rPr>
        <w:tab/>
        <w:t>The torque is normalized to the maximum torque at the respective speed. The torque values of the reference cycle shall be unnormalized, using the mapping curve determined according to paragraph 1.3. of this appendix, as follows:</w:t>
      </w:r>
    </w:p>
    <w:p w:rsidR="00DA59A4" w:rsidRPr="00B04DC3" w:rsidRDefault="00DA59A4" w:rsidP="00DA59A4">
      <w:pPr>
        <w:pStyle w:val="para"/>
        <w:ind w:firstLine="0"/>
        <w:rPr>
          <w:lang w:val="en-GB"/>
        </w:rPr>
      </w:pPr>
      <w:r w:rsidRPr="00B04DC3">
        <w:rPr>
          <w:lang w:val="en-GB"/>
        </w:rPr>
        <w:t>Actual torque = (per cent torque x max. torque/100) for the respective actual speed as determined in paragraph 2.1. of this appendix.</w:t>
      </w:r>
    </w:p>
    <w:p w:rsidR="00DA59A4" w:rsidRPr="00B04DC3" w:rsidRDefault="00DA59A4" w:rsidP="00DA59A4">
      <w:pPr>
        <w:pStyle w:val="para"/>
        <w:rPr>
          <w:lang w:val="en-GB"/>
        </w:rPr>
      </w:pPr>
      <w:r w:rsidRPr="00B04DC3">
        <w:rPr>
          <w:lang w:val="en-GB"/>
        </w:rPr>
        <w:tab/>
        <w:t>The negative torque values of the motoring points ("m") shall take on, for purposes of reference cycle generation, unnormalized values determined in either of the following ways:</w:t>
      </w:r>
    </w:p>
    <w:p w:rsidR="00DA59A4" w:rsidRPr="00B04DC3" w:rsidRDefault="00DA59A4" w:rsidP="00DA59A4">
      <w:pPr>
        <w:pStyle w:val="a"/>
        <w:rPr>
          <w:lang w:val="en-GB"/>
        </w:rPr>
      </w:pPr>
      <w:r w:rsidRPr="00B04DC3">
        <w:rPr>
          <w:lang w:val="en-GB"/>
        </w:rPr>
        <w:t>(a)</w:t>
      </w:r>
      <w:r w:rsidRPr="00B04DC3">
        <w:rPr>
          <w:lang w:val="en-GB"/>
        </w:rPr>
        <w:tab/>
        <w:t>Negative 40 per cent of the positive torque available at the associated speed point,</w:t>
      </w:r>
    </w:p>
    <w:p w:rsidR="00DA59A4" w:rsidRPr="00B04DC3" w:rsidRDefault="00DA59A4" w:rsidP="00DA59A4">
      <w:pPr>
        <w:pStyle w:val="a"/>
        <w:rPr>
          <w:lang w:val="en-GB"/>
        </w:rPr>
      </w:pPr>
      <w:r w:rsidRPr="00B04DC3">
        <w:rPr>
          <w:lang w:val="en-GB"/>
        </w:rPr>
        <w:t>(b)</w:t>
      </w:r>
      <w:r w:rsidRPr="00B04DC3">
        <w:rPr>
          <w:lang w:val="en-GB"/>
        </w:rPr>
        <w:tab/>
        <w:t>Mapping of the negative torque required to motor the engine from minimum to maximum mapping speed,</w:t>
      </w:r>
    </w:p>
    <w:p w:rsidR="00DA59A4" w:rsidRPr="00B04DC3" w:rsidRDefault="00DA59A4" w:rsidP="00DA59A4">
      <w:pPr>
        <w:pStyle w:val="a"/>
        <w:rPr>
          <w:lang w:val="en-GB"/>
        </w:rPr>
      </w:pPr>
      <w:r w:rsidRPr="00B04DC3">
        <w:rPr>
          <w:lang w:val="en-GB"/>
        </w:rPr>
        <w:t>(c)</w:t>
      </w:r>
      <w:r w:rsidRPr="00B04DC3">
        <w:rPr>
          <w:lang w:val="en-GB"/>
        </w:rPr>
        <w:tab/>
        <w:t>Determination of the negative torque required to motor the engine at idle and reference speeds and linear interpolation between these two points.</w:t>
      </w:r>
    </w:p>
    <w:p w:rsidR="00DA59A4" w:rsidRPr="00B04DC3" w:rsidRDefault="00DA59A4" w:rsidP="00DA59A4">
      <w:pPr>
        <w:pStyle w:val="para"/>
        <w:rPr>
          <w:lang w:val="en-GB"/>
        </w:rPr>
      </w:pPr>
      <w:r w:rsidRPr="00B04DC3">
        <w:rPr>
          <w:lang w:val="en-GB"/>
        </w:rPr>
        <w:br w:type="page"/>
        <w:t>2.3.</w:t>
      </w:r>
      <w:r w:rsidRPr="00B04DC3">
        <w:rPr>
          <w:lang w:val="en-GB"/>
        </w:rPr>
        <w:tab/>
        <w:t>Example of the unnormalization procedure</w:t>
      </w:r>
    </w:p>
    <w:p w:rsidR="00DA59A4" w:rsidRPr="00B04DC3" w:rsidRDefault="00DA59A4" w:rsidP="00DA59A4">
      <w:pPr>
        <w:pStyle w:val="para"/>
        <w:rPr>
          <w:lang w:val="en-GB"/>
        </w:rPr>
      </w:pPr>
      <w:r w:rsidRPr="00B04DC3">
        <w:rPr>
          <w:lang w:val="en-GB"/>
        </w:rPr>
        <w:tab/>
        <w:t>As an example, the following test point shall be unnormalized:</w:t>
      </w:r>
    </w:p>
    <w:p w:rsidR="00DA59A4" w:rsidRPr="00B04DC3" w:rsidRDefault="00DA59A4" w:rsidP="00DA59A4">
      <w:pPr>
        <w:pStyle w:val="para"/>
        <w:ind w:firstLine="0"/>
        <w:rPr>
          <w:lang w:val="en-GB"/>
        </w:rPr>
      </w:pPr>
      <w:r w:rsidRPr="00B04DC3">
        <w:rPr>
          <w:lang w:val="en-GB"/>
        </w:rPr>
        <w:t>Per cent speed</w:t>
      </w:r>
      <w:r w:rsidRPr="00B04DC3">
        <w:rPr>
          <w:lang w:val="en-GB"/>
        </w:rPr>
        <w:tab/>
        <w:t xml:space="preserve"> = 43</w:t>
      </w:r>
    </w:p>
    <w:p w:rsidR="00DA59A4" w:rsidRPr="00B04DC3" w:rsidRDefault="00DA59A4" w:rsidP="00DA59A4">
      <w:pPr>
        <w:pStyle w:val="para"/>
        <w:ind w:firstLine="0"/>
        <w:rPr>
          <w:lang w:val="en-GB"/>
        </w:rPr>
      </w:pPr>
      <w:r w:rsidRPr="00B04DC3">
        <w:rPr>
          <w:lang w:val="en-GB"/>
        </w:rPr>
        <w:t>Per cent torque</w:t>
      </w:r>
      <w:r w:rsidRPr="00B04DC3">
        <w:rPr>
          <w:lang w:val="en-GB"/>
        </w:rPr>
        <w:tab/>
        <w:t xml:space="preserve"> = 82</w:t>
      </w:r>
    </w:p>
    <w:p w:rsidR="00DA59A4" w:rsidRPr="00B04DC3" w:rsidRDefault="00DA59A4" w:rsidP="00DA59A4">
      <w:pPr>
        <w:pStyle w:val="para"/>
        <w:rPr>
          <w:lang w:val="en-GB"/>
        </w:rPr>
      </w:pPr>
      <w:r w:rsidRPr="00B04DC3">
        <w:rPr>
          <w:lang w:val="en-GB"/>
        </w:rPr>
        <w:tab/>
        <w:t>Given the following values:</w:t>
      </w:r>
    </w:p>
    <w:p w:rsidR="00DA59A4" w:rsidRPr="00B04DC3" w:rsidRDefault="00DA59A4" w:rsidP="00DA59A4">
      <w:pPr>
        <w:pStyle w:val="para"/>
        <w:ind w:firstLine="0"/>
        <w:rPr>
          <w:lang w:val="en-GB"/>
        </w:rPr>
      </w:pPr>
      <w:r w:rsidRPr="00B04DC3">
        <w:rPr>
          <w:lang w:val="en-GB"/>
        </w:rPr>
        <w:t>Reference speed</w:t>
      </w:r>
      <w:r w:rsidRPr="00B04DC3">
        <w:rPr>
          <w:lang w:val="en-GB"/>
        </w:rPr>
        <w:tab/>
        <w:t xml:space="preserve"> = 2,200 min</w:t>
      </w:r>
      <w:r w:rsidRPr="00B04DC3">
        <w:rPr>
          <w:vertAlign w:val="superscript"/>
          <w:lang w:val="en-GB"/>
        </w:rPr>
        <w:t>−1</w:t>
      </w:r>
    </w:p>
    <w:p w:rsidR="00DA59A4" w:rsidRPr="00B04DC3" w:rsidRDefault="00DA59A4" w:rsidP="00DA59A4">
      <w:pPr>
        <w:pStyle w:val="para"/>
        <w:ind w:firstLine="0"/>
        <w:rPr>
          <w:lang w:val="en-GB"/>
        </w:rPr>
      </w:pPr>
      <w:r w:rsidRPr="00B04DC3">
        <w:rPr>
          <w:lang w:val="en-GB"/>
        </w:rPr>
        <w:t>Idle speed</w:t>
      </w:r>
      <w:r w:rsidRPr="00B04DC3">
        <w:rPr>
          <w:lang w:val="en-GB"/>
        </w:rPr>
        <w:tab/>
      </w:r>
      <w:r w:rsidRPr="00B04DC3">
        <w:rPr>
          <w:lang w:val="en-GB"/>
        </w:rPr>
        <w:tab/>
        <w:t xml:space="preserve"> = 600 min</w:t>
      </w:r>
      <w:r w:rsidRPr="00B04DC3">
        <w:rPr>
          <w:vertAlign w:val="superscript"/>
          <w:lang w:val="en-GB"/>
        </w:rPr>
        <w:t>−1</w:t>
      </w:r>
    </w:p>
    <w:p w:rsidR="00DA59A4" w:rsidRPr="00B04DC3" w:rsidRDefault="00DA59A4" w:rsidP="00DA59A4">
      <w:pPr>
        <w:pStyle w:val="para"/>
        <w:rPr>
          <w:lang w:val="en-GB"/>
        </w:rPr>
      </w:pPr>
      <w:r w:rsidRPr="00B04DC3">
        <w:rPr>
          <w:lang w:val="en-GB"/>
        </w:rPr>
        <w:tab/>
        <w:t>Results in,</w:t>
      </w:r>
    </w:p>
    <w:p w:rsidR="00DA59A4" w:rsidRPr="00B04DC3" w:rsidRDefault="00DA59A4" w:rsidP="00DA59A4">
      <w:pPr>
        <w:pStyle w:val="para"/>
        <w:rPr>
          <w:vertAlign w:val="superscript"/>
          <w:lang w:val="en-GB"/>
        </w:rPr>
      </w:pPr>
      <w:r w:rsidRPr="00B04DC3">
        <w:rPr>
          <w:lang w:val="en-GB"/>
        </w:rPr>
        <w:tab/>
      </w:r>
      <w:r w:rsidRPr="00B04DC3">
        <w:rPr>
          <w:lang w:val="en-GB"/>
        </w:rPr>
        <w:tab/>
        <w:t xml:space="preserve">Actual speed </w:t>
      </w:r>
      <w:r w:rsidRPr="00B04DC3">
        <w:rPr>
          <w:lang w:val="en-GB"/>
        </w:rPr>
        <w:tab/>
      </w:r>
      <w:r w:rsidRPr="00B04DC3">
        <w:rPr>
          <w:lang w:val="en-GB"/>
        </w:rPr>
        <w:tab/>
        <w:t xml:space="preserve">= (43 </w:t>
      </w:r>
      <w:r w:rsidRPr="00B04DC3">
        <w:rPr>
          <w:lang w:val="en-GB"/>
        </w:rPr>
        <w:sym w:font="Symbol" w:char="F0B4"/>
      </w:r>
      <w:r w:rsidRPr="00B04DC3">
        <w:rPr>
          <w:lang w:val="en-GB"/>
        </w:rPr>
        <w:t xml:space="preserve"> (2,200 − 600)/100) + 600 = 1,288 min</w:t>
      </w:r>
      <w:r w:rsidRPr="00B04DC3">
        <w:rPr>
          <w:vertAlign w:val="superscript"/>
          <w:lang w:val="en-GB"/>
        </w:rPr>
        <w:t>−1</w:t>
      </w:r>
    </w:p>
    <w:p w:rsidR="00DA59A4" w:rsidRPr="00B04DC3" w:rsidRDefault="00DA59A4" w:rsidP="00DA59A4">
      <w:pPr>
        <w:pStyle w:val="para"/>
        <w:rPr>
          <w:lang w:val="en-GB"/>
        </w:rPr>
      </w:pPr>
      <w:r w:rsidRPr="00B04DC3">
        <w:rPr>
          <w:lang w:val="en-GB"/>
        </w:rPr>
        <w:tab/>
      </w:r>
      <w:r w:rsidRPr="00B04DC3">
        <w:rPr>
          <w:lang w:val="en-GB"/>
        </w:rPr>
        <w:tab/>
        <w:t xml:space="preserve">Actual torque </w:t>
      </w:r>
      <w:r w:rsidRPr="00B04DC3">
        <w:rPr>
          <w:lang w:val="en-GB"/>
        </w:rPr>
        <w:tab/>
        <w:t xml:space="preserve">= (82 </w:t>
      </w:r>
      <w:r w:rsidRPr="00B04DC3">
        <w:rPr>
          <w:lang w:val="en-GB"/>
        </w:rPr>
        <w:sym w:font="Symbol" w:char="F0B4"/>
      </w:r>
      <w:r w:rsidRPr="00B04DC3">
        <w:rPr>
          <w:lang w:val="en-GB"/>
        </w:rPr>
        <w:t xml:space="preserve"> 700/100) = 574 Nm</w:t>
      </w:r>
    </w:p>
    <w:p w:rsidR="00DA59A4" w:rsidRPr="00B04DC3" w:rsidRDefault="00DA59A4" w:rsidP="00DA59A4">
      <w:pPr>
        <w:pStyle w:val="para"/>
        <w:rPr>
          <w:lang w:val="en-GB"/>
        </w:rPr>
      </w:pPr>
      <w:r w:rsidRPr="00B04DC3">
        <w:rPr>
          <w:lang w:val="en-GB"/>
        </w:rPr>
        <w:tab/>
      </w:r>
      <w:r w:rsidR="00C15FD2" w:rsidRPr="00B04DC3">
        <w:rPr>
          <w:lang w:val="en-GB"/>
        </w:rPr>
        <w:t>Where</w:t>
      </w:r>
      <w:r w:rsidRPr="00B04DC3">
        <w:rPr>
          <w:lang w:val="en-GB"/>
        </w:rPr>
        <w:t xml:space="preserve"> the maximum torque observed from the mapping curve at 1,288 min</w:t>
      </w:r>
      <w:r w:rsidRPr="00B04DC3">
        <w:rPr>
          <w:vertAlign w:val="superscript"/>
          <w:lang w:val="en-GB"/>
        </w:rPr>
        <w:t>−1</w:t>
      </w:r>
      <w:r w:rsidRPr="00B04DC3">
        <w:rPr>
          <w:lang w:val="en-GB"/>
        </w:rPr>
        <w:t xml:space="preserve"> is 700 Nm.</w:t>
      </w:r>
    </w:p>
    <w:p w:rsidR="00DA59A4" w:rsidRPr="00B04DC3" w:rsidRDefault="00DA59A4" w:rsidP="00DA59A4">
      <w:pPr>
        <w:pStyle w:val="para"/>
        <w:rPr>
          <w:lang w:val="en-GB"/>
        </w:rPr>
      </w:pPr>
      <w:r w:rsidRPr="00B04DC3">
        <w:rPr>
          <w:lang w:val="en-GB"/>
        </w:rPr>
        <w:t>3.</w:t>
      </w:r>
      <w:r w:rsidRPr="00B04DC3">
        <w:rPr>
          <w:lang w:val="en-GB"/>
        </w:rPr>
        <w:tab/>
        <w:t>Emissions test run</w:t>
      </w:r>
    </w:p>
    <w:p w:rsidR="00DA59A4" w:rsidRPr="00B04DC3" w:rsidRDefault="00DA59A4" w:rsidP="00DA59A4">
      <w:pPr>
        <w:pStyle w:val="para"/>
        <w:rPr>
          <w:lang w:val="en-GB"/>
        </w:rPr>
      </w:pPr>
      <w:r w:rsidRPr="00B04DC3">
        <w:rPr>
          <w:lang w:val="en-GB"/>
        </w:rPr>
        <w:tab/>
        <w:t>At the manufacturers request, a dummy test may be run for conditioning of the engine and exhaust system before the measurement cycle.</w:t>
      </w:r>
    </w:p>
    <w:p w:rsidR="00DA59A4" w:rsidRPr="00B04DC3" w:rsidRDefault="00DA59A4" w:rsidP="00DA59A4">
      <w:pPr>
        <w:pStyle w:val="para"/>
        <w:rPr>
          <w:lang w:val="en-GB"/>
        </w:rPr>
      </w:pPr>
      <w:r w:rsidRPr="00B04DC3">
        <w:rPr>
          <w:lang w:val="en-GB"/>
        </w:rPr>
        <w:tab/>
        <w:t>NG and LPG fuelled engines shall be run-in using the ETC test. The engine shall be run over a minimum of two ETC cycles and until the CO emission measured over one ETC cycle does not exceed by more than 10 per cent the CO emission measured over the previous ETC cycle.</w:t>
      </w:r>
    </w:p>
    <w:p w:rsidR="00DA59A4" w:rsidRPr="00B04DC3" w:rsidRDefault="00DA59A4" w:rsidP="00DA59A4">
      <w:pPr>
        <w:pStyle w:val="para"/>
        <w:rPr>
          <w:lang w:val="en-GB"/>
        </w:rPr>
      </w:pPr>
      <w:r w:rsidRPr="00B04DC3">
        <w:rPr>
          <w:lang w:val="en-GB"/>
        </w:rPr>
        <w:t>3.1.</w:t>
      </w:r>
      <w:r w:rsidRPr="00B04DC3">
        <w:rPr>
          <w:lang w:val="en-GB"/>
        </w:rPr>
        <w:tab/>
        <w:t xml:space="preserve">Preparation of the sampling filters (if applicable) </w:t>
      </w:r>
    </w:p>
    <w:p w:rsidR="00DA59A4" w:rsidRPr="00B04DC3" w:rsidRDefault="00DA59A4" w:rsidP="00DA59A4">
      <w:pPr>
        <w:pStyle w:val="para"/>
        <w:rPr>
          <w:lang w:val="en-GB"/>
        </w:rPr>
      </w:pPr>
      <w:r w:rsidRPr="00B04DC3">
        <w:rPr>
          <w:lang w:val="en-GB"/>
        </w:rPr>
        <w:tab/>
        <w:t>At least one hour before the test, each filter shall be placed in a partially covered petri dish, which is protected against dust contamination, and placed in a weighing chamber for stabilization. At the end of the stabilisation period, each filter shall be weighed and the tare weight shall be recorded. The filter shall then be stored in a closed petri dish or sealed filter holder until needed for testing. The filter shall be used within eight hours of its removal from the weighing chamber. The tare weight shall be recorded.</w:t>
      </w:r>
    </w:p>
    <w:p w:rsidR="00DA59A4" w:rsidRPr="00B04DC3" w:rsidRDefault="00DA59A4" w:rsidP="00DA59A4">
      <w:pPr>
        <w:pStyle w:val="para"/>
        <w:rPr>
          <w:lang w:val="en-GB"/>
        </w:rPr>
      </w:pPr>
      <w:r w:rsidRPr="00B04DC3">
        <w:rPr>
          <w:lang w:val="en-GB"/>
        </w:rPr>
        <w:t>3.2.</w:t>
      </w:r>
      <w:r w:rsidRPr="00B04DC3">
        <w:rPr>
          <w:lang w:val="en-GB"/>
        </w:rPr>
        <w:tab/>
        <w:t>Installation of the measuring equipment</w:t>
      </w:r>
    </w:p>
    <w:p w:rsidR="00DA59A4" w:rsidRPr="00B04DC3" w:rsidRDefault="00DA59A4" w:rsidP="00DA59A4">
      <w:pPr>
        <w:pStyle w:val="para"/>
        <w:rPr>
          <w:lang w:val="en-GB"/>
        </w:rPr>
      </w:pPr>
      <w:r w:rsidRPr="00B04DC3">
        <w:rPr>
          <w:lang w:val="en-GB"/>
        </w:rPr>
        <w:tab/>
        <w:t>The instrumentation and sample probes shall be installed as required. The tailpipe shall be connected to the full flow dilution system, if used.</w:t>
      </w:r>
    </w:p>
    <w:p w:rsidR="00DA59A4" w:rsidRPr="00B04DC3" w:rsidRDefault="00DA59A4" w:rsidP="00DA59A4">
      <w:pPr>
        <w:pStyle w:val="para"/>
        <w:rPr>
          <w:lang w:val="en-GB"/>
        </w:rPr>
      </w:pPr>
      <w:r w:rsidRPr="00B04DC3">
        <w:rPr>
          <w:lang w:val="en-GB"/>
        </w:rPr>
        <w:t>3.3.</w:t>
      </w:r>
      <w:r w:rsidRPr="00B04DC3">
        <w:rPr>
          <w:lang w:val="en-GB"/>
        </w:rPr>
        <w:tab/>
        <w:t>Starting the dilution system and the engine</w:t>
      </w:r>
    </w:p>
    <w:p w:rsidR="00DA59A4" w:rsidRPr="00B04DC3" w:rsidRDefault="00DA59A4" w:rsidP="00DA59A4">
      <w:pPr>
        <w:pStyle w:val="para"/>
        <w:rPr>
          <w:lang w:val="en-GB"/>
        </w:rPr>
      </w:pPr>
      <w:r w:rsidRPr="00B04DC3">
        <w:rPr>
          <w:lang w:val="en-GB"/>
        </w:rPr>
        <w:tab/>
        <w:t>The dilution system and the engine shall be started and warmed up until all temperatures and pressures have stabilised at maximum power according to the recommendation of the manufacturer and good engineering practice.</w:t>
      </w:r>
    </w:p>
    <w:p w:rsidR="001448D0" w:rsidRPr="00B04DC3" w:rsidRDefault="001448D0" w:rsidP="00DA59A4">
      <w:pPr>
        <w:pStyle w:val="para"/>
        <w:rPr>
          <w:lang w:val="en-GB"/>
        </w:rPr>
      </w:pPr>
      <w:r w:rsidRPr="00B04DC3">
        <w:rPr>
          <w:lang w:val="en-GB"/>
        </w:rPr>
        <w:t>3.4.</w:t>
      </w:r>
      <w:r w:rsidRPr="00B04DC3">
        <w:rPr>
          <w:lang w:val="en-GB"/>
        </w:rPr>
        <w:tab/>
        <w:t>Starting the particulate sampling system (diesel and dual-fuel engines only)</w:t>
      </w:r>
    </w:p>
    <w:p w:rsidR="00DA59A4" w:rsidRPr="00B04DC3" w:rsidRDefault="00DA59A4" w:rsidP="00DA59A4">
      <w:pPr>
        <w:pStyle w:val="para"/>
        <w:rPr>
          <w:lang w:val="en-GB"/>
        </w:rPr>
      </w:pPr>
      <w:r w:rsidRPr="00B04DC3">
        <w:rPr>
          <w:lang w:val="en-GB"/>
        </w:rPr>
        <w:tab/>
        <w:t>The particulate sampling system shall be started and running on by-pass. The particulate background level of the diluent may be determined by passing diluent through the particulate filters. If the filtered diluent is used, one measurement may be done prior to or after the test. If the diluent is not filtered, measurements at the beginning and at the end of the cycle may be done and the values averaged.</w:t>
      </w:r>
    </w:p>
    <w:p w:rsidR="00DA59A4" w:rsidRPr="00B04DC3" w:rsidRDefault="00DA59A4" w:rsidP="00DA59A4">
      <w:pPr>
        <w:pStyle w:val="para"/>
        <w:rPr>
          <w:lang w:val="en-GB"/>
        </w:rPr>
      </w:pPr>
      <w:r w:rsidRPr="00B04DC3">
        <w:rPr>
          <w:lang w:val="en-GB"/>
        </w:rPr>
        <w:tab/>
        <w:t>The dilution system and the engine shall be started and warmed up until all temperatures and pressures have stabilized according to the recommendation of the manufacturer and good engineering practice.</w:t>
      </w:r>
    </w:p>
    <w:p w:rsidR="00DA59A4" w:rsidRPr="00B04DC3" w:rsidRDefault="00DA59A4" w:rsidP="00DA59A4">
      <w:pPr>
        <w:pStyle w:val="para"/>
        <w:rPr>
          <w:lang w:val="en-GB"/>
        </w:rPr>
      </w:pPr>
      <w:r w:rsidRPr="00B04DC3">
        <w:rPr>
          <w:lang w:val="en-GB"/>
        </w:rPr>
        <w:tab/>
        <w:t xml:space="preserve">In case of periodic regeneration </w:t>
      </w:r>
      <w:r w:rsidR="006A75A0">
        <w:rPr>
          <w:lang w:val="en-GB"/>
        </w:rPr>
        <w:t>after-treatment</w:t>
      </w:r>
      <w:r w:rsidRPr="00B04DC3">
        <w:rPr>
          <w:lang w:val="en-GB"/>
        </w:rPr>
        <w:t>, the regeneration shall not occur during the warm-up of the engine.</w:t>
      </w:r>
    </w:p>
    <w:p w:rsidR="00DA59A4" w:rsidRPr="00B04DC3" w:rsidRDefault="00DA59A4" w:rsidP="00DA59A4">
      <w:pPr>
        <w:pStyle w:val="para"/>
        <w:rPr>
          <w:lang w:val="en-GB"/>
        </w:rPr>
      </w:pPr>
      <w:r w:rsidRPr="00B04DC3">
        <w:rPr>
          <w:lang w:val="en-GB"/>
        </w:rPr>
        <w:t>3.5.</w:t>
      </w:r>
      <w:r w:rsidRPr="00B04DC3">
        <w:rPr>
          <w:lang w:val="en-GB"/>
        </w:rPr>
        <w:tab/>
        <w:t>Adjustment of the dilution system</w:t>
      </w:r>
    </w:p>
    <w:p w:rsidR="00DA59A4" w:rsidRPr="00B04DC3" w:rsidRDefault="00DA59A4" w:rsidP="00DA59A4">
      <w:pPr>
        <w:pStyle w:val="para"/>
        <w:rPr>
          <w:lang w:val="en-GB"/>
        </w:rPr>
      </w:pPr>
      <w:r w:rsidRPr="00B04DC3">
        <w:rPr>
          <w:lang w:val="en-GB"/>
        </w:rPr>
        <w:tab/>
        <w:t>The flow rates of the dilution system (full flow or partial flow) shall be set to eliminate water condensation in the system, and to obtain a filter face temperature of maximum 325 K (52 °C) or less (see paragraph 2.3.1. of Appendix 7</w:t>
      </w:r>
      <w:r w:rsidR="00FA27AE">
        <w:rPr>
          <w:lang w:val="en-GB"/>
        </w:rPr>
        <w:t xml:space="preserve"> to this annex</w:t>
      </w:r>
      <w:r w:rsidRPr="00B04DC3">
        <w:rPr>
          <w:lang w:val="en-GB"/>
        </w:rPr>
        <w:t>, DT dilution tunnel).</w:t>
      </w:r>
    </w:p>
    <w:p w:rsidR="00DA59A4" w:rsidRPr="00B04DC3" w:rsidRDefault="00DA59A4" w:rsidP="00DA59A4">
      <w:pPr>
        <w:pStyle w:val="para"/>
        <w:rPr>
          <w:lang w:val="en-GB"/>
        </w:rPr>
      </w:pPr>
      <w:r w:rsidRPr="00B04DC3">
        <w:rPr>
          <w:lang w:val="en-GB"/>
        </w:rPr>
        <w:t>3.6.</w:t>
      </w:r>
      <w:r w:rsidRPr="00B04DC3">
        <w:rPr>
          <w:lang w:val="en-GB"/>
        </w:rPr>
        <w:tab/>
        <w:t>Checking the analyzers</w:t>
      </w:r>
    </w:p>
    <w:p w:rsidR="00DA59A4" w:rsidRPr="00B04DC3" w:rsidRDefault="00DA59A4" w:rsidP="00DA59A4">
      <w:pPr>
        <w:pStyle w:val="para"/>
        <w:rPr>
          <w:lang w:val="en-GB"/>
        </w:rPr>
      </w:pPr>
      <w:r w:rsidRPr="00B04DC3">
        <w:rPr>
          <w:lang w:val="en-GB"/>
        </w:rPr>
        <w:tab/>
        <w:t>The emission analyzers shall be set at zero and spanned. If sample bags are used, they shall be evacuated.</w:t>
      </w:r>
    </w:p>
    <w:p w:rsidR="00DA59A4" w:rsidRPr="00B04DC3" w:rsidRDefault="00DA59A4" w:rsidP="00DA59A4">
      <w:pPr>
        <w:pStyle w:val="para"/>
        <w:rPr>
          <w:lang w:val="en-GB"/>
        </w:rPr>
      </w:pPr>
      <w:r w:rsidRPr="00B04DC3">
        <w:rPr>
          <w:lang w:val="en-GB"/>
        </w:rPr>
        <w:t>3.7.</w:t>
      </w:r>
      <w:r w:rsidRPr="00B04DC3">
        <w:rPr>
          <w:lang w:val="en-GB"/>
        </w:rPr>
        <w:tab/>
        <w:t>Engine starting procedure</w:t>
      </w:r>
    </w:p>
    <w:p w:rsidR="00DA59A4" w:rsidRPr="00B04DC3" w:rsidRDefault="00DA59A4" w:rsidP="00DA59A4">
      <w:pPr>
        <w:pStyle w:val="para"/>
        <w:rPr>
          <w:lang w:val="en-GB"/>
        </w:rPr>
      </w:pPr>
      <w:r w:rsidRPr="00B04DC3">
        <w:rPr>
          <w:lang w:val="en-GB"/>
        </w:rPr>
        <w:tab/>
        <w:t>The stabilized engine shall be started according to the manufacturer's recommended starting procedure in the owner's manual, using either a production starter motor or the dynamometer. Optionally, the test may start directly from the engine-preconditioning phase without shutting the engine off, when the engine has reached the idle speed.</w:t>
      </w:r>
    </w:p>
    <w:p w:rsidR="00DA59A4" w:rsidRPr="00B04DC3" w:rsidRDefault="00DA59A4" w:rsidP="00DA59A4">
      <w:pPr>
        <w:pStyle w:val="para"/>
        <w:rPr>
          <w:lang w:val="en-GB"/>
        </w:rPr>
      </w:pPr>
      <w:r w:rsidRPr="00B04DC3">
        <w:rPr>
          <w:lang w:val="en-GB"/>
        </w:rPr>
        <w:t>3.8.</w:t>
      </w:r>
      <w:r w:rsidRPr="00B04DC3">
        <w:rPr>
          <w:lang w:val="en-GB"/>
        </w:rPr>
        <w:tab/>
        <w:t>Test cycle</w:t>
      </w:r>
    </w:p>
    <w:p w:rsidR="00DA59A4" w:rsidRPr="00B04DC3" w:rsidRDefault="00DA59A4" w:rsidP="00DA59A4">
      <w:pPr>
        <w:pStyle w:val="para"/>
        <w:rPr>
          <w:lang w:val="en-GB"/>
        </w:rPr>
      </w:pPr>
      <w:r w:rsidRPr="00B04DC3">
        <w:rPr>
          <w:lang w:val="en-GB"/>
        </w:rPr>
        <w:t>3.8.1.</w:t>
      </w:r>
      <w:r w:rsidRPr="00B04DC3">
        <w:rPr>
          <w:lang w:val="en-GB"/>
        </w:rPr>
        <w:tab/>
        <w:t>Test sequence</w:t>
      </w:r>
    </w:p>
    <w:p w:rsidR="00DA59A4" w:rsidRPr="00B04DC3" w:rsidRDefault="00DA59A4" w:rsidP="00DA59A4">
      <w:pPr>
        <w:pStyle w:val="para"/>
        <w:rPr>
          <w:lang w:val="en-GB"/>
        </w:rPr>
      </w:pPr>
      <w:r w:rsidRPr="00B04DC3">
        <w:rPr>
          <w:lang w:val="en-GB"/>
        </w:rPr>
        <w:tab/>
        <w:t>The test sequence shall be started, if the engine has reached idle speed. The test shall be performed according to the reference cycle as set out in paragraph 2. of this appendix. Engine speed and torque command set points shall be issued at 5 Hz (10 Hz recommended) or greater. Feedback engine speed and torque shall be recorded at least once every second during the test cycle, and the signals may be electronically filtered.</w:t>
      </w:r>
    </w:p>
    <w:p w:rsidR="00DA59A4" w:rsidRPr="00B04DC3" w:rsidRDefault="00DA59A4" w:rsidP="00DA59A4">
      <w:pPr>
        <w:pStyle w:val="para"/>
        <w:rPr>
          <w:lang w:val="en-GB"/>
        </w:rPr>
      </w:pPr>
      <w:r w:rsidRPr="00B04DC3">
        <w:rPr>
          <w:lang w:val="en-GB"/>
        </w:rPr>
        <w:t>3.8.2.</w:t>
      </w:r>
      <w:r w:rsidRPr="00B04DC3">
        <w:rPr>
          <w:lang w:val="en-GB"/>
        </w:rPr>
        <w:tab/>
        <w:t>Gaseous emissions measurement</w:t>
      </w:r>
    </w:p>
    <w:p w:rsidR="00DA59A4" w:rsidRPr="00B04DC3" w:rsidRDefault="00DA59A4" w:rsidP="00DA59A4">
      <w:pPr>
        <w:pStyle w:val="para"/>
        <w:rPr>
          <w:lang w:val="en-GB"/>
        </w:rPr>
      </w:pPr>
      <w:r w:rsidRPr="00B04DC3">
        <w:rPr>
          <w:lang w:val="en-GB"/>
        </w:rPr>
        <w:t>3.8.2.1.</w:t>
      </w:r>
      <w:r w:rsidRPr="00B04DC3">
        <w:rPr>
          <w:lang w:val="en-GB"/>
        </w:rPr>
        <w:tab/>
        <w:t>Full flow dilution system</w:t>
      </w:r>
    </w:p>
    <w:p w:rsidR="00DA59A4" w:rsidRPr="00B04DC3" w:rsidRDefault="00DA59A4" w:rsidP="00DA59A4">
      <w:pPr>
        <w:pStyle w:val="para"/>
        <w:rPr>
          <w:lang w:val="en-GB"/>
        </w:rPr>
      </w:pPr>
      <w:r w:rsidRPr="00B04DC3">
        <w:rPr>
          <w:lang w:val="en-GB"/>
        </w:rPr>
        <w:tab/>
        <w:t>At the start of the engine or test sequence, if the cycle is started directly from the preconditioning, the measuring equipment shall be started, simultaneously:</w:t>
      </w:r>
    </w:p>
    <w:p w:rsidR="00DA59A4" w:rsidRPr="00B04DC3" w:rsidRDefault="00DA59A4" w:rsidP="00DA59A4">
      <w:pPr>
        <w:pStyle w:val="a"/>
        <w:rPr>
          <w:lang w:val="en-GB"/>
        </w:rPr>
      </w:pPr>
      <w:r w:rsidRPr="00B04DC3">
        <w:rPr>
          <w:lang w:val="en-GB"/>
        </w:rPr>
        <w:t>(a)</w:t>
      </w:r>
      <w:r w:rsidRPr="00B04DC3">
        <w:rPr>
          <w:lang w:val="en-GB"/>
        </w:rPr>
        <w:tab/>
        <w:t>Start collecting or analysing diluent;</w:t>
      </w:r>
    </w:p>
    <w:p w:rsidR="00DA59A4" w:rsidRPr="00B04DC3" w:rsidRDefault="00DA59A4" w:rsidP="00DA59A4">
      <w:pPr>
        <w:pStyle w:val="a"/>
        <w:rPr>
          <w:lang w:val="en-GB"/>
        </w:rPr>
      </w:pPr>
      <w:r w:rsidRPr="00B04DC3">
        <w:rPr>
          <w:lang w:val="en-GB"/>
        </w:rPr>
        <w:t>(b)</w:t>
      </w:r>
      <w:r w:rsidRPr="00B04DC3">
        <w:rPr>
          <w:lang w:val="en-GB"/>
        </w:rPr>
        <w:tab/>
        <w:t>Start collecting or analysing diluted exhaust gas;</w:t>
      </w:r>
    </w:p>
    <w:p w:rsidR="00DA59A4" w:rsidRPr="00B04DC3" w:rsidRDefault="00DA59A4" w:rsidP="00DA59A4">
      <w:pPr>
        <w:pStyle w:val="a"/>
        <w:rPr>
          <w:lang w:val="en-GB"/>
        </w:rPr>
      </w:pPr>
      <w:r w:rsidRPr="00B04DC3">
        <w:rPr>
          <w:lang w:val="en-GB"/>
        </w:rPr>
        <w:t>(c)</w:t>
      </w:r>
      <w:r w:rsidRPr="00B04DC3">
        <w:rPr>
          <w:lang w:val="en-GB"/>
        </w:rPr>
        <w:tab/>
        <w:t xml:space="preserve">Start measuring the amount of diluted exhaust gas </w:t>
      </w:r>
      <w:r w:rsidR="00CA549F">
        <w:rPr>
          <w:lang w:val="en-GB"/>
        </w:rPr>
        <w:t>C</w:t>
      </w:r>
      <w:r w:rsidR="00CA549F" w:rsidRPr="00CA549F">
        <w:rPr>
          <w:lang w:val="en-GB"/>
        </w:rPr>
        <w:t xml:space="preserve">onstant </w:t>
      </w:r>
      <w:r w:rsidR="00CA549F">
        <w:rPr>
          <w:lang w:val="en-GB"/>
        </w:rPr>
        <w:t>V</w:t>
      </w:r>
      <w:r w:rsidR="00CA549F" w:rsidRPr="00CA549F">
        <w:rPr>
          <w:lang w:val="en-GB"/>
        </w:rPr>
        <w:t xml:space="preserve">olume </w:t>
      </w:r>
      <w:r w:rsidR="00CA549F">
        <w:rPr>
          <w:lang w:val="en-GB"/>
        </w:rPr>
        <w:t>S</w:t>
      </w:r>
      <w:r w:rsidR="00CA549F" w:rsidRPr="00CA549F">
        <w:rPr>
          <w:lang w:val="en-GB"/>
        </w:rPr>
        <w:t xml:space="preserve">ampling </w:t>
      </w:r>
      <w:r w:rsidRPr="00B04DC3">
        <w:rPr>
          <w:lang w:val="en-GB"/>
        </w:rPr>
        <w:t>(CVS) and the required temperatures and pressures;</w:t>
      </w:r>
    </w:p>
    <w:p w:rsidR="00DA59A4" w:rsidRPr="00B04DC3" w:rsidRDefault="00DA59A4" w:rsidP="00DA59A4">
      <w:pPr>
        <w:pStyle w:val="a"/>
        <w:rPr>
          <w:lang w:val="en-GB"/>
        </w:rPr>
      </w:pPr>
      <w:r w:rsidRPr="00B04DC3">
        <w:rPr>
          <w:lang w:val="en-GB"/>
        </w:rPr>
        <w:t>(d)</w:t>
      </w:r>
      <w:r w:rsidRPr="00B04DC3">
        <w:rPr>
          <w:lang w:val="en-GB"/>
        </w:rPr>
        <w:tab/>
        <w:t>Start recording the feedback data of speed and torque of the dynamometer.</w:t>
      </w:r>
    </w:p>
    <w:p w:rsidR="00DA59A4" w:rsidRPr="00B04DC3" w:rsidRDefault="00DA59A4" w:rsidP="00DA59A4">
      <w:pPr>
        <w:pStyle w:val="para"/>
        <w:rPr>
          <w:lang w:val="en-GB"/>
        </w:rPr>
      </w:pPr>
      <w:r w:rsidRPr="00B04DC3">
        <w:rPr>
          <w:lang w:val="en-GB"/>
        </w:rPr>
        <w:tab/>
        <w:t>HC and NO</w:t>
      </w:r>
      <w:r w:rsidRPr="00B04DC3">
        <w:rPr>
          <w:vertAlign w:val="subscript"/>
          <w:lang w:val="en-GB"/>
        </w:rPr>
        <w:t>x</w:t>
      </w:r>
      <w:r w:rsidRPr="00B04DC3">
        <w:rPr>
          <w:lang w:val="en-GB"/>
        </w:rPr>
        <w:t xml:space="preserve"> shall be measured continuously in the dilution tunnel with a frequency of 2 Hz. The average concentrations shall be determined by integrating the analyzer signals over the test cycle. The system response time shall be no greater than 20 s, and shall be coordinated with CVS flow fluctuations and sampling time/test cycle offsets, if necessary. CO, CO</w:t>
      </w:r>
      <w:r w:rsidRPr="00B04DC3">
        <w:rPr>
          <w:vertAlign w:val="subscript"/>
          <w:lang w:val="en-GB"/>
        </w:rPr>
        <w:t>2</w:t>
      </w:r>
      <w:r w:rsidRPr="00B04DC3">
        <w:rPr>
          <w:lang w:val="en-GB"/>
        </w:rPr>
        <w:t>, NMHC and CH</w:t>
      </w:r>
      <w:r w:rsidRPr="00B04DC3">
        <w:rPr>
          <w:vertAlign w:val="subscript"/>
          <w:lang w:val="en-GB"/>
        </w:rPr>
        <w:t>4</w:t>
      </w:r>
      <w:r w:rsidRPr="00B04DC3">
        <w:rPr>
          <w:lang w:val="en-GB"/>
        </w:rPr>
        <w:t xml:space="preserve"> shall be determined by integration or by analysing the concentrations in the sample bag, collected over the cycle. The concentrations of the gaseous pollutants in the diluent shall be determined by integration or by collecting into the background bag. All other values shall be recorded with a minimum of one measurement per second (1 Hz).</w:t>
      </w:r>
    </w:p>
    <w:p w:rsidR="00DA59A4" w:rsidRPr="00B04DC3" w:rsidRDefault="00DA59A4" w:rsidP="00DA59A4">
      <w:pPr>
        <w:pStyle w:val="para"/>
        <w:rPr>
          <w:lang w:val="en-GB"/>
        </w:rPr>
      </w:pPr>
      <w:r w:rsidRPr="00B04DC3">
        <w:rPr>
          <w:lang w:val="en-GB"/>
        </w:rPr>
        <w:t>3.8.2.2.</w:t>
      </w:r>
      <w:r w:rsidRPr="00B04DC3">
        <w:rPr>
          <w:lang w:val="en-GB"/>
        </w:rPr>
        <w:tab/>
        <w:t>Raw exhaust measurement</w:t>
      </w:r>
    </w:p>
    <w:p w:rsidR="00DA59A4" w:rsidRPr="00B04DC3" w:rsidRDefault="00DA59A4" w:rsidP="00DA59A4">
      <w:pPr>
        <w:pStyle w:val="para"/>
        <w:rPr>
          <w:lang w:val="en-GB"/>
        </w:rPr>
      </w:pPr>
      <w:r w:rsidRPr="00B04DC3">
        <w:rPr>
          <w:lang w:val="en-GB"/>
        </w:rPr>
        <w:tab/>
        <w:t>At the start of the engine or test sequence, if the cycle is started directly from the preconditioning,, the measuring equipment shall be started, simultaneously:</w:t>
      </w:r>
    </w:p>
    <w:p w:rsidR="00DA59A4" w:rsidRPr="00B04DC3" w:rsidRDefault="00DA59A4" w:rsidP="00DA59A4">
      <w:pPr>
        <w:pStyle w:val="a"/>
        <w:rPr>
          <w:lang w:val="en-GB"/>
        </w:rPr>
      </w:pPr>
      <w:r w:rsidRPr="00B04DC3">
        <w:rPr>
          <w:lang w:val="en-GB"/>
        </w:rPr>
        <w:t>(a)</w:t>
      </w:r>
      <w:r w:rsidRPr="00B04DC3">
        <w:rPr>
          <w:lang w:val="en-GB"/>
        </w:rPr>
        <w:tab/>
        <w:t>Start analysing the raw exhaust gas concentrations;</w:t>
      </w:r>
    </w:p>
    <w:p w:rsidR="00DA59A4" w:rsidRPr="00B04DC3" w:rsidRDefault="00DA59A4" w:rsidP="00DA59A4">
      <w:pPr>
        <w:pStyle w:val="a"/>
        <w:rPr>
          <w:lang w:val="en-GB"/>
        </w:rPr>
      </w:pPr>
      <w:r w:rsidRPr="00B04DC3">
        <w:rPr>
          <w:lang w:val="en-GB"/>
        </w:rPr>
        <w:t>(b)</w:t>
      </w:r>
      <w:r w:rsidRPr="00B04DC3">
        <w:rPr>
          <w:lang w:val="en-GB"/>
        </w:rPr>
        <w:tab/>
        <w:t>Start measuring the exhaust gas or intake air and fuel flow rate;</w:t>
      </w:r>
    </w:p>
    <w:p w:rsidR="00DA59A4" w:rsidRPr="00B04DC3" w:rsidRDefault="00DA59A4" w:rsidP="00DA59A4">
      <w:pPr>
        <w:pStyle w:val="a"/>
        <w:rPr>
          <w:lang w:val="en-GB"/>
        </w:rPr>
      </w:pPr>
      <w:r w:rsidRPr="00B04DC3">
        <w:rPr>
          <w:lang w:val="en-GB"/>
        </w:rPr>
        <w:t>(c)</w:t>
      </w:r>
      <w:r w:rsidRPr="00B04DC3">
        <w:rPr>
          <w:lang w:val="en-GB"/>
        </w:rPr>
        <w:tab/>
        <w:t>Start recording the feedback data of speed and torque of the dynamometer.</w:t>
      </w:r>
    </w:p>
    <w:p w:rsidR="00DA59A4" w:rsidRPr="00B04DC3" w:rsidRDefault="00DA59A4" w:rsidP="00DA59A4">
      <w:pPr>
        <w:pStyle w:val="para"/>
        <w:rPr>
          <w:lang w:val="en-GB"/>
        </w:rPr>
      </w:pPr>
      <w:r w:rsidRPr="00B04DC3">
        <w:rPr>
          <w:lang w:val="en-GB"/>
        </w:rPr>
        <w:tab/>
        <w:t>For the evaluation of the gaseous emissions, the emission concentrations (HC, CO and NO</w:t>
      </w:r>
      <w:r w:rsidRPr="00B04DC3">
        <w:rPr>
          <w:vertAlign w:val="subscript"/>
          <w:lang w:val="en-GB"/>
        </w:rPr>
        <w:t>x</w:t>
      </w:r>
      <w:r w:rsidRPr="00B04DC3">
        <w:rPr>
          <w:lang w:val="en-GB"/>
        </w:rPr>
        <w:t>) and the exhaust gas mass flow rate shall be recorded and stored with at least 2 Hz on a computer system. The system response time shall be no greater than 10</w:t>
      </w:r>
      <w:r w:rsidR="00077AA2" w:rsidRPr="00B04DC3">
        <w:rPr>
          <w:lang w:val="en-GB"/>
        </w:rPr>
        <w:t xml:space="preserve"> seconds</w:t>
      </w:r>
      <w:r w:rsidR="009F018E">
        <w:rPr>
          <w:lang w:val="en-GB"/>
        </w:rPr>
        <w:t xml:space="preserve">. </w:t>
      </w:r>
      <w:r w:rsidRPr="00B04DC3">
        <w:rPr>
          <w:lang w:val="en-GB"/>
        </w:rPr>
        <w:t>All other data may be recorded with a sample rate of at least 1 Hz. For analogue analyzers the response shall be recorded, and the calibration data may be applied online or offline during the data evaluation.</w:t>
      </w:r>
    </w:p>
    <w:p w:rsidR="00DA59A4" w:rsidRPr="00B04DC3" w:rsidRDefault="00DA59A4" w:rsidP="00DA59A4">
      <w:pPr>
        <w:pStyle w:val="para"/>
        <w:rPr>
          <w:lang w:val="en-GB"/>
        </w:rPr>
      </w:pPr>
      <w:r w:rsidRPr="00B04DC3">
        <w:rPr>
          <w:lang w:val="en-GB"/>
        </w:rPr>
        <w:tab/>
        <w:t xml:space="preserve">For calculation of the mass emission of the gaseous components the traces of the recorded concentrations and the trace of the exhaust gas mass flow rate shall be time aligned by the transformation time as defined in paragraph 2. of this Regulation. </w:t>
      </w:r>
      <w:r w:rsidR="00D81B35" w:rsidRPr="00B04DC3">
        <w:rPr>
          <w:lang w:val="en-GB"/>
        </w:rPr>
        <w:t>Therefore, the response time of the exhaust gas mass flow system and each gaseous emissions analyzer shall be determined</w:t>
      </w:r>
      <w:r w:rsidRPr="00B04DC3">
        <w:rPr>
          <w:lang w:val="en-GB"/>
        </w:rPr>
        <w:t xml:space="preserve"> according to the provisions of paragraph 4.2.1. and paragraph 1.5. of Appendix 5 to this annex and recorded.</w:t>
      </w:r>
    </w:p>
    <w:p w:rsidR="00DA59A4" w:rsidRPr="00B04DC3" w:rsidRDefault="00DA59A4" w:rsidP="00DA59A4">
      <w:pPr>
        <w:pStyle w:val="para"/>
        <w:rPr>
          <w:lang w:val="en-GB"/>
        </w:rPr>
      </w:pPr>
      <w:r w:rsidRPr="00B04DC3">
        <w:rPr>
          <w:lang w:val="en-GB"/>
        </w:rPr>
        <w:t>3.8.3.</w:t>
      </w:r>
      <w:r w:rsidRPr="00B04DC3">
        <w:rPr>
          <w:lang w:val="en-GB"/>
        </w:rPr>
        <w:tab/>
        <w:t>Particulate sampling (if applicable)</w:t>
      </w:r>
    </w:p>
    <w:p w:rsidR="00DA59A4" w:rsidRPr="00B04DC3" w:rsidRDefault="00DA59A4" w:rsidP="00DA59A4">
      <w:pPr>
        <w:pStyle w:val="para"/>
        <w:rPr>
          <w:lang w:val="en-GB"/>
        </w:rPr>
      </w:pPr>
      <w:r w:rsidRPr="00B04DC3">
        <w:rPr>
          <w:lang w:val="en-GB"/>
        </w:rPr>
        <w:t>3.8.3.1.</w:t>
      </w:r>
      <w:r w:rsidRPr="00B04DC3">
        <w:rPr>
          <w:lang w:val="en-GB"/>
        </w:rPr>
        <w:tab/>
        <w:t>Full flow dilution system</w:t>
      </w:r>
    </w:p>
    <w:p w:rsidR="00DA59A4" w:rsidRPr="00B04DC3" w:rsidRDefault="00DA59A4" w:rsidP="00DA59A4">
      <w:pPr>
        <w:pStyle w:val="para"/>
        <w:rPr>
          <w:lang w:val="en-GB"/>
        </w:rPr>
      </w:pPr>
      <w:r w:rsidRPr="00B04DC3">
        <w:rPr>
          <w:lang w:val="en-GB"/>
        </w:rPr>
        <w:tab/>
        <w:t>At the start of the engine or test sequence, if the cycle is started directly from the preconditioning, the particulate sampling system shall be switched from by-pass to collecting particulates.</w:t>
      </w:r>
    </w:p>
    <w:p w:rsidR="00DA59A4" w:rsidRPr="00B04DC3" w:rsidRDefault="00DA59A4" w:rsidP="00DA59A4">
      <w:pPr>
        <w:pStyle w:val="para"/>
        <w:rPr>
          <w:lang w:val="en-GB"/>
        </w:rPr>
      </w:pPr>
      <w:r w:rsidRPr="00B04DC3">
        <w:rPr>
          <w:lang w:val="en-GB"/>
        </w:rPr>
        <w:tab/>
        <w:t>If no flow compensation is used, the sample pump(s) shall be adjusted so that the flow rate through the particulate sample probe or transfer tube is maintained at a value within ±5 per cent of the set flow rate. If flow compensation (i.e., proportional control of sample flow) is used, it shall be demonstrated that the ratio of main tunnel flow to particulate sample flow does not change by more than ±5 per cent of its set value (except for the first 10 seconds of sampling).</w:t>
      </w:r>
    </w:p>
    <w:p w:rsidR="00DA59A4" w:rsidRPr="00B04DC3" w:rsidRDefault="00DA59A4" w:rsidP="00DA59A4">
      <w:pPr>
        <w:pStyle w:val="para"/>
        <w:rPr>
          <w:lang w:val="en-GB"/>
        </w:rPr>
      </w:pPr>
      <w:r w:rsidRPr="00B04DC3">
        <w:rPr>
          <w:lang w:val="en-GB"/>
        </w:rPr>
        <w:tab/>
        <w:t xml:space="preserve">For double dilution operation, sample flow is the net difference between the flow rate through the sample filters and the secondary </w:t>
      </w:r>
      <w:r w:rsidR="00457582" w:rsidRPr="00B04DC3">
        <w:rPr>
          <w:lang w:val="en-GB"/>
        </w:rPr>
        <w:t>diluent</w:t>
      </w:r>
      <w:r w:rsidRPr="00B04DC3">
        <w:rPr>
          <w:lang w:val="en-GB"/>
        </w:rPr>
        <w:t xml:space="preserve"> flow rate.</w:t>
      </w:r>
    </w:p>
    <w:p w:rsidR="00DA59A4" w:rsidRPr="00B04DC3" w:rsidRDefault="00DA59A4" w:rsidP="00DA59A4">
      <w:pPr>
        <w:pStyle w:val="para"/>
        <w:rPr>
          <w:lang w:val="en-GB"/>
        </w:rPr>
      </w:pPr>
      <w:r w:rsidRPr="00B04DC3">
        <w:rPr>
          <w:lang w:val="en-GB"/>
        </w:rPr>
        <w:tab/>
        <w:t>The average temperature and pressure at the gas meter(s) or flow instrumentation inlet shall be recorded. If the set flow rate cannot be maintained over the complete cycle (within ±5 per cent) because of high particulate loading on the filter, the test shall be voided. The test shall be rerun using a lower flow rate and/or a larger diameter filter.</w:t>
      </w:r>
    </w:p>
    <w:p w:rsidR="00DA59A4" w:rsidRPr="00B04DC3" w:rsidRDefault="00DA59A4" w:rsidP="00DA59A4">
      <w:pPr>
        <w:pStyle w:val="para"/>
        <w:rPr>
          <w:lang w:val="en-GB"/>
        </w:rPr>
      </w:pPr>
      <w:r w:rsidRPr="00B04DC3">
        <w:rPr>
          <w:lang w:val="en-GB"/>
        </w:rPr>
        <w:br w:type="page"/>
        <w:t>3.8.3.2.</w:t>
      </w:r>
      <w:r w:rsidRPr="00B04DC3">
        <w:rPr>
          <w:lang w:val="en-GB"/>
        </w:rPr>
        <w:tab/>
        <w:t>Partial flow dilution system</w:t>
      </w:r>
    </w:p>
    <w:p w:rsidR="00DA59A4" w:rsidRPr="00B04DC3" w:rsidRDefault="00DA59A4" w:rsidP="00DA59A4">
      <w:pPr>
        <w:pStyle w:val="para"/>
        <w:rPr>
          <w:lang w:val="en-GB"/>
        </w:rPr>
      </w:pPr>
      <w:r w:rsidRPr="00B04DC3">
        <w:rPr>
          <w:lang w:val="en-GB"/>
        </w:rPr>
        <w:tab/>
        <w:t>At the start of the engine or test sequence, if the cycle is started directly from the preconditioning, the particulate sampling system shall be switched from by-pass to collecting particulates.</w:t>
      </w:r>
    </w:p>
    <w:p w:rsidR="00DA59A4" w:rsidRPr="00B04DC3" w:rsidRDefault="00DA59A4" w:rsidP="00DA59A4">
      <w:pPr>
        <w:pStyle w:val="para"/>
        <w:rPr>
          <w:lang w:val="en-GB"/>
        </w:rPr>
      </w:pPr>
      <w:r w:rsidRPr="00B04DC3">
        <w:rPr>
          <w:lang w:val="en-GB"/>
        </w:rPr>
        <w:tab/>
        <w:t>For the control of a partial flow dilution system, a fast system response is required. The transformation time for the system shall be determined by the procedure in paragraph 3.3. of Appendix 5 to this annex. If the combined transformation time of the exhaust flow measurement (see paragraph 4.2.1. of this appendix) and the partial flow system is ≤ 0.3 s</w:t>
      </w:r>
      <w:r w:rsidR="00077AA2" w:rsidRPr="00B04DC3">
        <w:rPr>
          <w:lang w:val="en-GB"/>
        </w:rPr>
        <w:t>econd</w:t>
      </w:r>
      <w:r w:rsidRPr="00B04DC3">
        <w:rPr>
          <w:lang w:val="en-GB"/>
        </w:rPr>
        <w:t>, online control may be used. If the transformation time exceeds 0.3 </w:t>
      </w:r>
      <w:r w:rsidR="00077AA2" w:rsidRPr="00B04DC3">
        <w:rPr>
          <w:lang w:val="en-GB"/>
        </w:rPr>
        <w:t>second</w:t>
      </w:r>
      <w:r w:rsidRPr="00B04DC3">
        <w:rPr>
          <w:lang w:val="en-GB"/>
        </w:rPr>
        <w:t>, look ahead control based on a pre-recorded test run shall be used. In this case, the rise time shall be </w:t>
      </w:r>
      <w:r w:rsidRPr="00B04DC3">
        <w:rPr>
          <w:lang w:val="en-GB"/>
        </w:rPr>
        <w:sym w:font="Symbol" w:char="F0A3"/>
      </w:r>
      <w:r w:rsidRPr="00B04DC3">
        <w:rPr>
          <w:lang w:val="en-GB"/>
        </w:rPr>
        <w:t> 1 s</w:t>
      </w:r>
      <w:r w:rsidR="00077AA2" w:rsidRPr="00B04DC3">
        <w:rPr>
          <w:lang w:val="en-GB"/>
        </w:rPr>
        <w:t>econd</w:t>
      </w:r>
      <w:r w:rsidRPr="00B04DC3">
        <w:rPr>
          <w:lang w:val="en-GB"/>
        </w:rPr>
        <w:t xml:space="preserve"> and the delay time of the combination </w:t>
      </w:r>
      <w:r w:rsidRPr="00B04DC3">
        <w:rPr>
          <w:lang w:val="en-GB"/>
        </w:rPr>
        <w:sym w:font="Symbol" w:char="F0A3"/>
      </w:r>
      <w:r w:rsidRPr="00B04DC3">
        <w:rPr>
          <w:lang w:val="en-GB"/>
        </w:rPr>
        <w:t> 10 </w:t>
      </w:r>
      <w:r w:rsidR="00077AA2" w:rsidRPr="00B04DC3">
        <w:rPr>
          <w:lang w:val="en-GB"/>
        </w:rPr>
        <w:t>second</w:t>
      </w:r>
      <w:r w:rsidRPr="00B04DC3">
        <w:rPr>
          <w:lang w:val="en-GB"/>
        </w:rPr>
        <w:t>s.</w:t>
      </w:r>
    </w:p>
    <w:p w:rsidR="00DA59A4" w:rsidRPr="00B04DC3" w:rsidRDefault="00DA59A4" w:rsidP="00DA59A4">
      <w:pPr>
        <w:pStyle w:val="para"/>
        <w:rPr>
          <w:lang w:val="en-GB"/>
        </w:rPr>
      </w:pPr>
      <w:r w:rsidRPr="00B04DC3">
        <w:rPr>
          <w:lang w:val="en-GB"/>
        </w:rPr>
        <w:tab/>
        <w:t>The total system response shall be designed as to ensure a representative sample of the particulates, q</w:t>
      </w:r>
      <w:r w:rsidRPr="00B04DC3">
        <w:rPr>
          <w:vertAlign w:val="subscript"/>
          <w:lang w:val="en-GB"/>
        </w:rPr>
        <w:t>mp,i</w:t>
      </w:r>
      <w:r w:rsidRPr="00B04DC3">
        <w:rPr>
          <w:lang w:val="en-GB"/>
        </w:rPr>
        <w:t>, proportional to the exhaust mass flow. To determine the proportionality, a regression analysis of q</w:t>
      </w:r>
      <w:r w:rsidRPr="00B04DC3">
        <w:rPr>
          <w:vertAlign w:val="subscript"/>
          <w:lang w:val="en-GB"/>
        </w:rPr>
        <w:t>mp,i</w:t>
      </w:r>
      <w:r w:rsidRPr="00B04DC3">
        <w:rPr>
          <w:lang w:val="en-GB"/>
        </w:rPr>
        <w:t xml:space="preserve"> versus q</w:t>
      </w:r>
      <w:r w:rsidRPr="00B04DC3">
        <w:rPr>
          <w:vertAlign w:val="subscript"/>
          <w:lang w:val="en-GB"/>
        </w:rPr>
        <w:t>mew,i</w:t>
      </w:r>
      <w:r w:rsidRPr="00B04DC3">
        <w:rPr>
          <w:lang w:val="en-GB"/>
        </w:rPr>
        <w:t xml:space="preserve"> shall be conducted on a minimum 1 Hz data acquisition rate, and the following criteria shall be met:</w:t>
      </w:r>
    </w:p>
    <w:p w:rsidR="00DA59A4" w:rsidRPr="00B04DC3" w:rsidRDefault="00DA59A4" w:rsidP="00DA59A4">
      <w:pPr>
        <w:pStyle w:val="a"/>
        <w:rPr>
          <w:lang w:val="en-GB"/>
        </w:rPr>
      </w:pPr>
      <w:r w:rsidRPr="00B04DC3">
        <w:rPr>
          <w:lang w:val="en-GB"/>
        </w:rPr>
        <w:t>(a)</w:t>
      </w:r>
      <w:r w:rsidRPr="00B04DC3">
        <w:rPr>
          <w:lang w:val="en-GB"/>
        </w:rPr>
        <w:tab/>
        <w:t>The correlation coefficient r</w:t>
      </w:r>
      <w:r w:rsidRPr="00B04DC3">
        <w:rPr>
          <w:vertAlign w:val="superscript"/>
          <w:lang w:val="en-GB"/>
        </w:rPr>
        <w:t xml:space="preserve">2 </w:t>
      </w:r>
      <w:r w:rsidRPr="00B04DC3">
        <w:rPr>
          <w:lang w:val="en-GB"/>
        </w:rPr>
        <w:t>of the linear regression between q</w:t>
      </w:r>
      <w:r w:rsidRPr="00B04DC3">
        <w:rPr>
          <w:vertAlign w:val="subscript"/>
          <w:lang w:val="en-GB"/>
        </w:rPr>
        <w:t>mp,i</w:t>
      </w:r>
      <w:r w:rsidRPr="00B04DC3">
        <w:rPr>
          <w:lang w:val="en-GB"/>
        </w:rPr>
        <w:t xml:space="preserve"> and q</w:t>
      </w:r>
      <w:r w:rsidRPr="00B04DC3">
        <w:rPr>
          <w:vertAlign w:val="subscript"/>
          <w:lang w:val="en-GB"/>
        </w:rPr>
        <w:t>mew,i</w:t>
      </w:r>
      <w:r w:rsidRPr="00B04DC3">
        <w:rPr>
          <w:lang w:val="en-GB"/>
        </w:rPr>
        <w:t xml:space="preserve"> shall not be less than 0.95;</w:t>
      </w:r>
    </w:p>
    <w:p w:rsidR="00DA59A4" w:rsidRPr="00B04DC3" w:rsidRDefault="00DA59A4" w:rsidP="00DA59A4">
      <w:pPr>
        <w:pStyle w:val="a"/>
        <w:rPr>
          <w:lang w:val="en-GB"/>
        </w:rPr>
      </w:pPr>
      <w:r w:rsidRPr="00B04DC3">
        <w:rPr>
          <w:lang w:val="en-GB"/>
        </w:rPr>
        <w:t>(b)</w:t>
      </w:r>
      <w:r w:rsidRPr="00B04DC3">
        <w:rPr>
          <w:lang w:val="en-GB"/>
        </w:rPr>
        <w:tab/>
        <w:t>The standard error of estimate of q</w:t>
      </w:r>
      <w:r w:rsidRPr="00B04DC3">
        <w:rPr>
          <w:vertAlign w:val="subscript"/>
          <w:lang w:val="en-GB"/>
        </w:rPr>
        <w:t>mp,i</w:t>
      </w:r>
      <w:r w:rsidRPr="00B04DC3">
        <w:rPr>
          <w:lang w:val="en-GB"/>
        </w:rPr>
        <w:t xml:space="preserve"> on q</w:t>
      </w:r>
      <w:r w:rsidRPr="00B04DC3">
        <w:rPr>
          <w:vertAlign w:val="subscript"/>
          <w:lang w:val="en-GB"/>
        </w:rPr>
        <w:t>mew,i</w:t>
      </w:r>
      <w:r w:rsidRPr="00B04DC3">
        <w:rPr>
          <w:lang w:val="en-GB"/>
        </w:rPr>
        <w:t xml:space="preserve"> shall not exceed 5 per cent of q</w:t>
      </w:r>
      <w:r w:rsidRPr="00B04DC3">
        <w:rPr>
          <w:vertAlign w:val="subscript"/>
          <w:lang w:val="en-GB"/>
        </w:rPr>
        <w:t>mp</w:t>
      </w:r>
      <w:r w:rsidRPr="00B04DC3">
        <w:rPr>
          <w:lang w:val="en-GB"/>
        </w:rPr>
        <w:t xml:space="preserve"> maximum;</w:t>
      </w:r>
    </w:p>
    <w:p w:rsidR="00DA59A4" w:rsidRPr="00B04DC3" w:rsidRDefault="00DA59A4" w:rsidP="00DA59A4">
      <w:pPr>
        <w:pStyle w:val="a"/>
        <w:rPr>
          <w:lang w:val="en-GB"/>
        </w:rPr>
      </w:pPr>
      <w:r w:rsidRPr="00B04DC3">
        <w:rPr>
          <w:lang w:val="en-GB"/>
        </w:rPr>
        <w:t>(c)</w:t>
      </w:r>
      <w:r w:rsidRPr="00B04DC3">
        <w:rPr>
          <w:lang w:val="en-GB"/>
        </w:rPr>
        <w:tab/>
        <w:t>q</w:t>
      </w:r>
      <w:r w:rsidRPr="00B04DC3">
        <w:rPr>
          <w:vertAlign w:val="subscript"/>
          <w:lang w:val="en-GB"/>
        </w:rPr>
        <w:t>mp</w:t>
      </w:r>
      <w:r w:rsidRPr="00B04DC3">
        <w:rPr>
          <w:lang w:val="en-GB"/>
        </w:rPr>
        <w:t xml:space="preserve"> intercept of the regression line shall not exceed </w:t>
      </w:r>
      <w:r w:rsidRPr="00B04DC3">
        <w:rPr>
          <w:lang w:val="en-GB"/>
        </w:rPr>
        <w:sym w:font="Symbol" w:char="F0B1"/>
      </w:r>
      <w:r w:rsidRPr="00B04DC3">
        <w:rPr>
          <w:lang w:val="en-GB"/>
        </w:rPr>
        <w:t>2 per cent of q</w:t>
      </w:r>
      <w:r w:rsidRPr="00B04DC3">
        <w:rPr>
          <w:vertAlign w:val="subscript"/>
          <w:lang w:val="en-GB"/>
        </w:rPr>
        <w:t>mp</w:t>
      </w:r>
      <w:r w:rsidRPr="00B04DC3">
        <w:rPr>
          <w:lang w:val="en-GB"/>
        </w:rPr>
        <w:t xml:space="preserve"> maximum.</w:t>
      </w:r>
    </w:p>
    <w:p w:rsidR="00DA59A4" w:rsidRPr="00B04DC3" w:rsidRDefault="00DA59A4" w:rsidP="00DA59A4">
      <w:pPr>
        <w:pStyle w:val="para"/>
        <w:rPr>
          <w:lang w:val="en-GB"/>
        </w:rPr>
      </w:pPr>
      <w:r w:rsidRPr="00B04DC3">
        <w:rPr>
          <w:lang w:val="en-GB"/>
        </w:rPr>
        <w:tab/>
        <w:t>Optionally, a pretest may be run, and the exhaust mass flow signal of the pretest be used for controlling the sample flow into the particulate system (look-ahead control). Such a procedure is required if the transformation time of the particulate system, t</w:t>
      </w:r>
      <w:r w:rsidRPr="00B04DC3">
        <w:rPr>
          <w:vertAlign w:val="subscript"/>
          <w:lang w:val="en-GB"/>
        </w:rPr>
        <w:t>50,P</w:t>
      </w:r>
      <w:r w:rsidRPr="00B04DC3">
        <w:rPr>
          <w:lang w:val="en-GB"/>
        </w:rPr>
        <w:t xml:space="preserve"> or the transformation time of the exhaust mass flow signal, t</w:t>
      </w:r>
      <w:r w:rsidRPr="00B04DC3">
        <w:rPr>
          <w:vertAlign w:val="subscript"/>
          <w:lang w:val="en-GB"/>
        </w:rPr>
        <w:t>50,F</w:t>
      </w:r>
      <w:r w:rsidRPr="00B04DC3">
        <w:rPr>
          <w:lang w:val="en-GB"/>
        </w:rPr>
        <w:t>, or both, are &gt; 0.3 s</w:t>
      </w:r>
      <w:r w:rsidR="00077AA2" w:rsidRPr="00B04DC3">
        <w:rPr>
          <w:lang w:val="en-GB"/>
        </w:rPr>
        <w:t>econd</w:t>
      </w:r>
      <w:r w:rsidRPr="00B04DC3">
        <w:rPr>
          <w:lang w:val="en-GB"/>
        </w:rPr>
        <w:t>. A correct control of the partial dilution system is obtained, if the time trace of q</w:t>
      </w:r>
      <w:r w:rsidRPr="00B04DC3">
        <w:rPr>
          <w:vertAlign w:val="subscript"/>
          <w:lang w:val="en-GB"/>
        </w:rPr>
        <w:t>mew,pre</w:t>
      </w:r>
      <w:r w:rsidRPr="00B04DC3">
        <w:rPr>
          <w:lang w:val="en-GB"/>
        </w:rPr>
        <w:t xml:space="preserve"> of the pretest, which controls q</w:t>
      </w:r>
      <w:r w:rsidRPr="00B04DC3">
        <w:rPr>
          <w:vertAlign w:val="subscript"/>
          <w:lang w:val="en-GB"/>
        </w:rPr>
        <w:t>mp</w:t>
      </w:r>
      <w:r w:rsidRPr="00B04DC3">
        <w:rPr>
          <w:lang w:val="en-GB"/>
        </w:rPr>
        <w:t>, is shifted by a look-ahead time of t</w:t>
      </w:r>
      <w:r w:rsidRPr="00B04DC3">
        <w:rPr>
          <w:vertAlign w:val="subscript"/>
          <w:lang w:val="en-GB"/>
        </w:rPr>
        <w:t>50,P</w:t>
      </w:r>
      <w:r w:rsidRPr="00B04DC3">
        <w:rPr>
          <w:lang w:val="en-GB"/>
        </w:rPr>
        <w:t> + t</w:t>
      </w:r>
      <w:r w:rsidRPr="00B04DC3">
        <w:rPr>
          <w:vertAlign w:val="subscript"/>
          <w:lang w:val="en-GB"/>
        </w:rPr>
        <w:t>50,F</w:t>
      </w:r>
      <w:r w:rsidRPr="00B04DC3">
        <w:rPr>
          <w:lang w:val="en-GB"/>
        </w:rPr>
        <w:t xml:space="preserve"> .</w:t>
      </w:r>
    </w:p>
    <w:p w:rsidR="00DA59A4" w:rsidRPr="00B04DC3" w:rsidRDefault="00DA59A4" w:rsidP="00DA59A4">
      <w:pPr>
        <w:pStyle w:val="para"/>
        <w:rPr>
          <w:lang w:val="en-GB"/>
        </w:rPr>
      </w:pPr>
      <w:r w:rsidRPr="00B04DC3">
        <w:rPr>
          <w:lang w:val="en-GB"/>
        </w:rPr>
        <w:tab/>
        <w:t>For establishing the correlation between q</w:t>
      </w:r>
      <w:r w:rsidRPr="00B04DC3">
        <w:rPr>
          <w:vertAlign w:val="subscript"/>
          <w:lang w:val="en-GB"/>
        </w:rPr>
        <w:t>mp,i</w:t>
      </w:r>
      <w:r w:rsidRPr="00B04DC3">
        <w:rPr>
          <w:lang w:val="en-GB"/>
        </w:rPr>
        <w:t xml:space="preserve"> and q</w:t>
      </w:r>
      <w:r w:rsidRPr="00B04DC3">
        <w:rPr>
          <w:vertAlign w:val="subscript"/>
          <w:lang w:val="en-GB"/>
        </w:rPr>
        <w:t>mew,i</w:t>
      </w:r>
      <w:r w:rsidRPr="00B04DC3">
        <w:rPr>
          <w:lang w:val="en-GB"/>
        </w:rPr>
        <w:t xml:space="preserve"> the data taken during the actual test shall be used, with q</w:t>
      </w:r>
      <w:r w:rsidRPr="00B04DC3">
        <w:rPr>
          <w:vertAlign w:val="subscript"/>
          <w:lang w:val="en-GB"/>
        </w:rPr>
        <w:t>mew,i</w:t>
      </w:r>
      <w:r w:rsidRPr="00B04DC3">
        <w:rPr>
          <w:lang w:val="en-GB"/>
        </w:rPr>
        <w:t xml:space="preserve"> time aligned by t</w:t>
      </w:r>
      <w:r w:rsidRPr="00B04DC3">
        <w:rPr>
          <w:vertAlign w:val="subscript"/>
          <w:lang w:val="en-GB"/>
        </w:rPr>
        <w:t>50,F</w:t>
      </w:r>
      <w:r w:rsidRPr="00B04DC3">
        <w:rPr>
          <w:lang w:val="en-GB"/>
        </w:rPr>
        <w:t xml:space="preserve"> relative to q</w:t>
      </w:r>
      <w:r w:rsidRPr="00B04DC3">
        <w:rPr>
          <w:vertAlign w:val="subscript"/>
          <w:lang w:val="en-GB"/>
        </w:rPr>
        <w:t>mp,i</w:t>
      </w:r>
      <w:r w:rsidRPr="00B04DC3">
        <w:rPr>
          <w:lang w:val="en-GB"/>
        </w:rPr>
        <w:t xml:space="preserve"> (no contribution from t</w:t>
      </w:r>
      <w:r w:rsidRPr="00B04DC3">
        <w:rPr>
          <w:vertAlign w:val="subscript"/>
          <w:lang w:val="en-GB"/>
        </w:rPr>
        <w:t>50,P</w:t>
      </w:r>
      <w:r w:rsidRPr="00B04DC3">
        <w:rPr>
          <w:lang w:val="en-GB"/>
        </w:rPr>
        <w:t xml:space="preserve"> to the time alignment). That is, the time shift between q</w:t>
      </w:r>
      <w:r w:rsidRPr="00B04DC3">
        <w:rPr>
          <w:vertAlign w:val="subscript"/>
          <w:lang w:val="en-GB"/>
        </w:rPr>
        <w:t>mew</w:t>
      </w:r>
      <w:r w:rsidRPr="00B04DC3">
        <w:rPr>
          <w:lang w:val="en-GB"/>
        </w:rPr>
        <w:t xml:space="preserve"> and q</w:t>
      </w:r>
      <w:r w:rsidRPr="00B04DC3">
        <w:rPr>
          <w:vertAlign w:val="subscript"/>
          <w:lang w:val="en-GB"/>
        </w:rPr>
        <w:t xml:space="preserve">mp </w:t>
      </w:r>
      <w:r w:rsidRPr="00B04DC3">
        <w:rPr>
          <w:lang w:val="en-GB"/>
        </w:rPr>
        <w:t>is the difference in their transformation times that were determined in paragraph 3.3. of Appendix 5 to this annex.</w:t>
      </w:r>
    </w:p>
    <w:p w:rsidR="00DA59A4" w:rsidRPr="00B04DC3" w:rsidRDefault="00DA59A4" w:rsidP="00DA59A4">
      <w:pPr>
        <w:pStyle w:val="para"/>
        <w:rPr>
          <w:lang w:val="en-GB"/>
        </w:rPr>
      </w:pPr>
      <w:r w:rsidRPr="00B04DC3">
        <w:rPr>
          <w:lang w:val="en-GB"/>
        </w:rPr>
        <w:t>3.8.4.</w:t>
      </w:r>
      <w:r w:rsidRPr="00B04DC3">
        <w:rPr>
          <w:lang w:val="en-GB"/>
        </w:rPr>
        <w:tab/>
        <w:t>Engine stalling</w:t>
      </w:r>
    </w:p>
    <w:p w:rsidR="00DA59A4" w:rsidRPr="00B04DC3" w:rsidRDefault="00DA59A4" w:rsidP="00DA59A4">
      <w:pPr>
        <w:pStyle w:val="para"/>
        <w:rPr>
          <w:lang w:val="en-GB"/>
        </w:rPr>
      </w:pPr>
      <w:r w:rsidRPr="00B04DC3">
        <w:rPr>
          <w:lang w:val="en-GB"/>
        </w:rPr>
        <w:tab/>
        <w:t>If the engine stalls anywhere during the test cycle, the engine shall be preconditioned and restarted, and the test repeated. If a malfunction occurs in any of the required test equipment during the test cycle, the test shall be voided.</w:t>
      </w:r>
    </w:p>
    <w:p w:rsidR="00DA59A4" w:rsidRPr="00B04DC3" w:rsidRDefault="00DA59A4" w:rsidP="00DA59A4">
      <w:pPr>
        <w:pStyle w:val="para"/>
        <w:rPr>
          <w:lang w:val="en-GB"/>
        </w:rPr>
      </w:pPr>
      <w:r w:rsidRPr="00B04DC3">
        <w:rPr>
          <w:lang w:val="en-GB"/>
        </w:rPr>
        <w:t>3.8.5.</w:t>
      </w:r>
      <w:r w:rsidRPr="00B04DC3">
        <w:rPr>
          <w:lang w:val="en-GB"/>
        </w:rPr>
        <w:tab/>
        <w:t>Operations after test</w:t>
      </w:r>
    </w:p>
    <w:p w:rsidR="00DA59A4" w:rsidRPr="00B04DC3" w:rsidRDefault="00DA59A4" w:rsidP="00DA59A4">
      <w:pPr>
        <w:pStyle w:val="para"/>
        <w:rPr>
          <w:lang w:val="en-GB"/>
        </w:rPr>
      </w:pPr>
      <w:r w:rsidRPr="00B04DC3">
        <w:rPr>
          <w:lang w:val="en-GB"/>
        </w:rPr>
        <w:tab/>
        <w:t>At the completion of the test, the measurement of the diluted exhaust gas volume or raw exhaust gas flow rate, the gas flow into the collecting bags and the particulate sample pump shall be stopped. For an integrating analyzer system, sampling shall continue until system response times have elapsed.</w:t>
      </w:r>
    </w:p>
    <w:p w:rsidR="00DA59A4" w:rsidRPr="00B04DC3" w:rsidRDefault="00DA59A4" w:rsidP="00DA59A4">
      <w:pPr>
        <w:pStyle w:val="para"/>
        <w:rPr>
          <w:lang w:val="en-GB"/>
        </w:rPr>
      </w:pPr>
      <w:r w:rsidRPr="00B04DC3">
        <w:rPr>
          <w:lang w:val="en-GB"/>
        </w:rPr>
        <w:tab/>
        <w:t>The concentrations of the collecting bags, if used, shall be analysed as soon as possible and in any case not later than 20 minutes after the end of the test cycle.</w:t>
      </w:r>
    </w:p>
    <w:p w:rsidR="00DA59A4" w:rsidRPr="00B04DC3" w:rsidRDefault="00DA59A4" w:rsidP="00DA59A4">
      <w:pPr>
        <w:pStyle w:val="para"/>
        <w:rPr>
          <w:lang w:val="en-GB"/>
        </w:rPr>
      </w:pPr>
      <w:r w:rsidRPr="00B04DC3">
        <w:rPr>
          <w:lang w:val="en-GB"/>
        </w:rPr>
        <w:tab/>
        <w:t>After the emission test, a zero gas and the same span gas shall be used for re-checking the analyzers. The test will be considered acceptable if the difference between the pre-test and post-test results is less than 2 per cent of the span gas value.</w:t>
      </w:r>
    </w:p>
    <w:p w:rsidR="00DA59A4" w:rsidRPr="00B04DC3" w:rsidRDefault="00DA59A4" w:rsidP="00DA59A4">
      <w:pPr>
        <w:pStyle w:val="para"/>
        <w:rPr>
          <w:lang w:val="en-GB"/>
        </w:rPr>
      </w:pPr>
      <w:r w:rsidRPr="00B04DC3">
        <w:rPr>
          <w:lang w:val="en-GB"/>
        </w:rPr>
        <w:t>3.9.</w:t>
      </w:r>
      <w:r w:rsidRPr="00B04DC3">
        <w:rPr>
          <w:lang w:val="en-GB"/>
        </w:rPr>
        <w:tab/>
        <w:t>Verification of the test run</w:t>
      </w:r>
    </w:p>
    <w:p w:rsidR="00DA59A4" w:rsidRPr="00B04DC3" w:rsidRDefault="00DA59A4" w:rsidP="00DA59A4">
      <w:pPr>
        <w:pStyle w:val="para"/>
        <w:rPr>
          <w:lang w:val="en-GB"/>
        </w:rPr>
      </w:pPr>
      <w:r w:rsidRPr="00B04DC3">
        <w:rPr>
          <w:lang w:val="en-GB"/>
        </w:rPr>
        <w:t>3.9.1.</w:t>
      </w:r>
      <w:r w:rsidRPr="00B04DC3">
        <w:rPr>
          <w:lang w:val="en-GB"/>
        </w:rPr>
        <w:tab/>
        <w:t>Data shift</w:t>
      </w:r>
    </w:p>
    <w:p w:rsidR="00DA59A4" w:rsidRPr="00B04DC3" w:rsidRDefault="00DA59A4" w:rsidP="00DA59A4">
      <w:pPr>
        <w:pStyle w:val="para"/>
        <w:rPr>
          <w:lang w:val="en-GB"/>
        </w:rPr>
      </w:pPr>
      <w:r w:rsidRPr="00B04DC3">
        <w:rPr>
          <w:lang w:val="en-GB"/>
        </w:rPr>
        <w:tab/>
        <w:t>To minimize the biasing effect of the time lag between the feedback and reference cycle values, the entire engine speed and torque feedback signal sequence may be advanced or delayed in time with respect to the reference speed and torque sequence. If the feedback signals are shifted, both speed and torque shall be shifted the same amount in the same direction.</w:t>
      </w:r>
    </w:p>
    <w:p w:rsidR="00DA59A4" w:rsidRPr="00B04DC3" w:rsidRDefault="00DA59A4" w:rsidP="00DA59A4">
      <w:pPr>
        <w:pStyle w:val="para"/>
        <w:rPr>
          <w:lang w:val="en-GB"/>
        </w:rPr>
      </w:pPr>
      <w:r w:rsidRPr="00B04DC3">
        <w:rPr>
          <w:lang w:val="en-GB"/>
        </w:rPr>
        <w:t>3.9.2.</w:t>
      </w:r>
      <w:r w:rsidRPr="00B04DC3">
        <w:rPr>
          <w:lang w:val="en-GB"/>
        </w:rPr>
        <w:tab/>
        <w:t>Calculation of the cycle work</w:t>
      </w:r>
    </w:p>
    <w:p w:rsidR="00DA59A4" w:rsidRPr="00B04DC3" w:rsidRDefault="00DA59A4" w:rsidP="00DA59A4">
      <w:pPr>
        <w:pStyle w:val="para"/>
        <w:rPr>
          <w:lang w:val="en-GB"/>
        </w:rPr>
      </w:pPr>
      <w:r w:rsidRPr="00B04DC3">
        <w:rPr>
          <w:lang w:val="en-GB"/>
        </w:rPr>
        <w:tab/>
        <w:t>The actual cycle work W</w:t>
      </w:r>
      <w:r w:rsidRPr="00B04DC3">
        <w:rPr>
          <w:vertAlign w:val="subscript"/>
          <w:lang w:val="en-GB"/>
        </w:rPr>
        <w:t>act</w:t>
      </w:r>
      <w:r w:rsidRPr="00B04DC3">
        <w:rPr>
          <w:lang w:val="en-GB"/>
        </w:rPr>
        <w:t xml:space="preserve"> (kWh) shall be calculated using each pair of engine feedback speed and torque values recorded. This shall be done after any feedback data shift has occurred, if this option is selected. The actual cycle work W</w:t>
      </w:r>
      <w:r w:rsidRPr="00B04DC3">
        <w:rPr>
          <w:vertAlign w:val="subscript"/>
          <w:lang w:val="en-GB"/>
        </w:rPr>
        <w:t>act</w:t>
      </w:r>
      <w:r w:rsidRPr="00B04DC3">
        <w:rPr>
          <w:lang w:val="en-GB"/>
        </w:rPr>
        <w:t xml:space="preserve"> is used for comparison to the reference cycle work W</w:t>
      </w:r>
      <w:r w:rsidRPr="00B04DC3">
        <w:rPr>
          <w:vertAlign w:val="subscript"/>
          <w:lang w:val="en-GB"/>
        </w:rPr>
        <w:t>ref</w:t>
      </w:r>
      <w:r w:rsidRPr="00B04DC3">
        <w:rPr>
          <w:lang w:val="en-GB"/>
        </w:rPr>
        <w:t xml:space="preserve"> and for calculating the brake specific emissions (see paragraphs 5.5. and 6.3. of this appendix). The same methodology shall be used for integrating both reference and actual engine power. If values are to be determined between adjacent reference or adjacent measured values, linear interpolation shall be used.</w:t>
      </w:r>
    </w:p>
    <w:p w:rsidR="00DA59A4" w:rsidRPr="00B04DC3" w:rsidRDefault="00DA59A4" w:rsidP="00DA59A4">
      <w:pPr>
        <w:pStyle w:val="para"/>
        <w:rPr>
          <w:lang w:val="en-GB"/>
        </w:rPr>
      </w:pPr>
      <w:r w:rsidRPr="00B04DC3">
        <w:rPr>
          <w:lang w:val="en-GB"/>
        </w:rPr>
        <w:tab/>
        <w:t>In integrating the reference and actual cycle work, all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rsidR="00DA59A4" w:rsidRPr="00B04DC3" w:rsidRDefault="00DA59A4" w:rsidP="00DA59A4">
      <w:pPr>
        <w:pStyle w:val="para"/>
        <w:rPr>
          <w:lang w:val="en-GB"/>
        </w:rPr>
      </w:pPr>
      <w:r w:rsidRPr="00B04DC3">
        <w:rPr>
          <w:lang w:val="en-GB"/>
        </w:rPr>
        <w:tab/>
        <w:t>W</w:t>
      </w:r>
      <w:r w:rsidRPr="00B04DC3">
        <w:rPr>
          <w:vertAlign w:val="subscript"/>
          <w:lang w:val="en-GB"/>
        </w:rPr>
        <w:t>act</w:t>
      </w:r>
      <w:r w:rsidRPr="00B04DC3">
        <w:rPr>
          <w:lang w:val="en-GB"/>
        </w:rPr>
        <w:t xml:space="preserve"> shall be between −15 per cent and +5 per cent of W</w:t>
      </w:r>
      <w:r w:rsidRPr="00B04DC3">
        <w:rPr>
          <w:vertAlign w:val="subscript"/>
          <w:lang w:val="en-GB"/>
        </w:rPr>
        <w:t>ref</w:t>
      </w:r>
    </w:p>
    <w:p w:rsidR="00DA59A4" w:rsidRPr="00B04DC3" w:rsidRDefault="00DA59A4" w:rsidP="00DA59A4">
      <w:pPr>
        <w:pStyle w:val="para"/>
        <w:rPr>
          <w:lang w:val="en-GB"/>
        </w:rPr>
      </w:pPr>
      <w:r w:rsidRPr="00B04DC3">
        <w:rPr>
          <w:lang w:val="en-GB"/>
        </w:rPr>
        <w:t>3.9.3.</w:t>
      </w:r>
      <w:r w:rsidRPr="00B04DC3">
        <w:rPr>
          <w:lang w:val="en-GB"/>
        </w:rPr>
        <w:tab/>
        <w:t>Validation statistics of the test cycle</w:t>
      </w:r>
    </w:p>
    <w:p w:rsidR="00DA59A4" w:rsidRPr="00B04DC3" w:rsidRDefault="00DA59A4" w:rsidP="00DA59A4">
      <w:pPr>
        <w:pStyle w:val="para"/>
        <w:rPr>
          <w:lang w:val="en-GB"/>
        </w:rPr>
      </w:pPr>
      <w:r w:rsidRPr="00B04DC3">
        <w:rPr>
          <w:lang w:val="en-GB"/>
        </w:rPr>
        <w:tab/>
        <w:t>Linear regressions of the feedback values on the reference values shall be performed for speed, torque and power. This shall be done after any feedback data shift has occurred, if this option is selected. The method of least squares shall be used, with the best-fit equation having the form:</w:t>
      </w:r>
    </w:p>
    <w:p w:rsidR="00DA59A4" w:rsidRPr="00B04DC3" w:rsidRDefault="00DA59A4" w:rsidP="00DA59A4">
      <w:pPr>
        <w:pStyle w:val="para"/>
        <w:ind w:firstLine="0"/>
        <w:rPr>
          <w:lang w:val="en-GB"/>
        </w:rPr>
      </w:pPr>
      <w:r w:rsidRPr="00B04DC3">
        <w:rPr>
          <w:lang w:val="en-GB"/>
        </w:rPr>
        <w:t>y = mx + b</w: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tbl>
      <w:tblPr>
        <w:tblW w:w="6491" w:type="dxa"/>
        <w:tblInd w:w="2264" w:type="dxa"/>
        <w:tblLayout w:type="fixed"/>
        <w:tblLook w:val="0000" w:firstRow="0" w:lastRow="0" w:firstColumn="0" w:lastColumn="0" w:noHBand="0" w:noVBand="0"/>
      </w:tblPr>
      <w:tblGrid>
        <w:gridCol w:w="448"/>
        <w:gridCol w:w="6043"/>
      </w:tblGrid>
      <w:tr w:rsidR="00DA59A4" w:rsidRPr="00B04DC3">
        <w:tc>
          <w:tcPr>
            <w:tcW w:w="448" w:type="dxa"/>
          </w:tcPr>
          <w:p w:rsidR="00DA59A4" w:rsidRPr="00B04DC3" w:rsidRDefault="00DA59A4" w:rsidP="00DA59A4">
            <w:pPr>
              <w:tabs>
                <w:tab w:val="left" w:pos="1134"/>
                <w:tab w:val="left" w:pos="1701"/>
              </w:tabs>
              <w:ind w:left="1134" w:hanging="1134"/>
            </w:pPr>
            <w:r w:rsidRPr="00B04DC3">
              <w:t>y</w:t>
            </w:r>
          </w:p>
        </w:tc>
        <w:tc>
          <w:tcPr>
            <w:tcW w:w="6043" w:type="dxa"/>
          </w:tcPr>
          <w:p w:rsidR="00DA59A4" w:rsidRPr="00B04DC3" w:rsidRDefault="00DA59A4" w:rsidP="00DA59A4">
            <w:pPr>
              <w:tabs>
                <w:tab w:val="left" w:pos="1134"/>
                <w:tab w:val="left" w:pos="1701"/>
              </w:tabs>
              <w:spacing w:after="120"/>
              <w:ind w:left="1134" w:hanging="1208"/>
            </w:pPr>
            <w:r w:rsidRPr="00B04DC3">
              <w:t xml:space="preserve"> = feedback (actual) value of speed (min</w:t>
            </w:r>
            <w:r w:rsidRPr="00B04DC3">
              <w:rPr>
                <w:vertAlign w:val="superscript"/>
              </w:rPr>
              <w:t>−1</w:t>
            </w:r>
            <w:r w:rsidRPr="00B04DC3">
              <w:t>), torque (Nm), or power (kW)</w:t>
            </w:r>
          </w:p>
        </w:tc>
      </w:tr>
      <w:tr w:rsidR="00DA59A4" w:rsidRPr="00B04DC3">
        <w:tc>
          <w:tcPr>
            <w:tcW w:w="448" w:type="dxa"/>
          </w:tcPr>
          <w:p w:rsidR="00DA59A4" w:rsidRPr="00B04DC3" w:rsidRDefault="00DA59A4" w:rsidP="00DA59A4">
            <w:pPr>
              <w:tabs>
                <w:tab w:val="left" w:pos="1134"/>
                <w:tab w:val="left" w:pos="1701"/>
              </w:tabs>
              <w:ind w:left="1134" w:hanging="1134"/>
            </w:pPr>
            <w:r w:rsidRPr="00B04DC3">
              <w:t>m</w:t>
            </w:r>
          </w:p>
        </w:tc>
        <w:tc>
          <w:tcPr>
            <w:tcW w:w="6043" w:type="dxa"/>
          </w:tcPr>
          <w:p w:rsidR="00DA59A4" w:rsidRPr="00B04DC3" w:rsidRDefault="00DA59A4" w:rsidP="00DA59A4">
            <w:pPr>
              <w:tabs>
                <w:tab w:val="left" w:pos="1134"/>
                <w:tab w:val="left" w:pos="1701"/>
              </w:tabs>
              <w:spacing w:after="120"/>
              <w:ind w:left="1134" w:hanging="1208"/>
            </w:pPr>
            <w:r w:rsidRPr="00B04DC3">
              <w:t xml:space="preserve"> = slope of the regression line</w:t>
            </w:r>
          </w:p>
        </w:tc>
      </w:tr>
      <w:tr w:rsidR="00DA59A4" w:rsidRPr="00B04DC3">
        <w:tc>
          <w:tcPr>
            <w:tcW w:w="448" w:type="dxa"/>
          </w:tcPr>
          <w:p w:rsidR="00DA59A4" w:rsidRPr="00B04DC3" w:rsidRDefault="00DA59A4" w:rsidP="00DA59A4">
            <w:pPr>
              <w:tabs>
                <w:tab w:val="left" w:pos="1134"/>
                <w:tab w:val="left" w:pos="1701"/>
              </w:tabs>
              <w:ind w:left="1134" w:hanging="1134"/>
            </w:pPr>
            <w:r w:rsidRPr="00B04DC3">
              <w:t>x</w:t>
            </w:r>
          </w:p>
        </w:tc>
        <w:tc>
          <w:tcPr>
            <w:tcW w:w="6043" w:type="dxa"/>
          </w:tcPr>
          <w:p w:rsidR="00DA59A4" w:rsidRPr="00B04DC3" w:rsidRDefault="00DA59A4" w:rsidP="00DA59A4">
            <w:pPr>
              <w:tabs>
                <w:tab w:val="left" w:pos="1134"/>
                <w:tab w:val="left" w:pos="1701"/>
              </w:tabs>
              <w:spacing w:after="120"/>
              <w:ind w:left="1134" w:hanging="1208"/>
            </w:pPr>
            <w:r w:rsidRPr="00B04DC3">
              <w:t xml:space="preserve"> = reference value of speed (min</w:t>
            </w:r>
            <w:r w:rsidRPr="00B04DC3">
              <w:rPr>
                <w:vertAlign w:val="superscript"/>
              </w:rPr>
              <w:t>−1</w:t>
            </w:r>
            <w:r w:rsidRPr="00B04DC3">
              <w:t>), torque (Nm), or power (kW)</w:t>
            </w:r>
          </w:p>
        </w:tc>
      </w:tr>
      <w:tr w:rsidR="00DA59A4" w:rsidRPr="00B04DC3">
        <w:tc>
          <w:tcPr>
            <w:tcW w:w="448" w:type="dxa"/>
          </w:tcPr>
          <w:p w:rsidR="00DA59A4" w:rsidRPr="00B04DC3" w:rsidRDefault="00DA59A4" w:rsidP="00DA59A4">
            <w:pPr>
              <w:tabs>
                <w:tab w:val="left" w:pos="1134"/>
                <w:tab w:val="left" w:pos="1701"/>
              </w:tabs>
              <w:ind w:left="1134" w:hanging="1134"/>
            </w:pPr>
            <w:r w:rsidRPr="00B04DC3">
              <w:t>b</w:t>
            </w:r>
          </w:p>
        </w:tc>
        <w:tc>
          <w:tcPr>
            <w:tcW w:w="6043" w:type="dxa"/>
          </w:tcPr>
          <w:p w:rsidR="00DA59A4" w:rsidRPr="00B04DC3" w:rsidRDefault="00DA59A4" w:rsidP="00DA59A4">
            <w:pPr>
              <w:tabs>
                <w:tab w:val="left" w:pos="1134"/>
                <w:tab w:val="left" w:pos="1701"/>
              </w:tabs>
              <w:spacing w:after="120"/>
              <w:ind w:left="1134" w:hanging="1208"/>
            </w:pPr>
            <w:r w:rsidRPr="00B04DC3">
              <w:t xml:space="preserve"> = y intercept of the regression line</w:t>
            </w:r>
          </w:p>
        </w:tc>
      </w:tr>
    </w:tbl>
    <w:p w:rsidR="00DA59A4" w:rsidRPr="00B04DC3" w:rsidRDefault="00DA59A4" w:rsidP="00DA59A4">
      <w:pPr>
        <w:pStyle w:val="para"/>
        <w:rPr>
          <w:lang w:val="en-GB"/>
        </w:rPr>
      </w:pPr>
      <w:r w:rsidRPr="00B04DC3">
        <w:rPr>
          <w:lang w:val="en-GB"/>
        </w:rPr>
        <w:tab/>
        <w:t xml:space="preserve">The </w:t>
      </w:r>
      <w:r w:rsidR="009F018E">
        <w:rPr>
          <w:lang w:val="en-GB"/>
        </w:rPr>
        <w:t>S</w:t>
      </w:r>
      <w:r w:rsidR="009F018E" w:rsidRPr="00B04DC3">
        <w:rPr>
          <w:lang w:val="en-GB"/>
        </w:rPr>
        <w:t xml:space="preserve">tandard </w:t>
      </w:r>
      <w:r w:rsidR="009F018E">
        <w:rPr>
          <w:lang w:val="en-GB"/>
        </w:rPr>
        <w:t>E</w:t>
      </w:r>
      <w:r w:rsidR="009F018E" w:rsidRPr="00B04DC3">
        <w:rPr>
          <w:lang w:val="en-GB"/>
        </w:rPr>
        <w:t xml:space="preserve">rror </w:t>
      </w:r>
      <w:r w:rsidRPr="00B04DC3">
        <w:rPr>
          <w:lang w:val="en-GB"/>
        </w:rPr>
        <w:t>of estimate (SE) of y on x and the coefficient of determination (r</w:t>
      </w:r>
      <w:r w:rsidRPr="00B04DC3">
        <w:rPr>
          <w:vertAlign w:val="superscript"/>
          <w:lang w:val="en-GB"/>
        </w:rPr>
        <w:t>2</w:t>
      </w:r>
      <w:r w:rsidRPr="00B04DC3">
        <w:rPr>
          <w:lang w:val="en-GB"/>
        </w:rPr>
        <w:t>) shall be calculated for each regression line.</w:t>
      </w:r>
    </w:p>
    <w:p w:rsidR="00DA59A4" w:rsidRPr="00B04DC3" w:rsidRDefault="00DA59A4" w:rsidP="00DA59A4">
      <w:pPr>
        <w:pStyle w:val="para"/>
        <w:rPr>
          <w:lang w:val="en-GB"/>
        </w:rPr>
      </w:pPr>
      <w:r w:rsidRPr="00B04DC3">
        <w:rPr>
          <w:lang w:val="en-GB"/>
        </w:rPr>
        <w:tab/>
        <w:t xml:space="preserve">It is recommended that this analysis be performed at 1 Hz. All negative reference torque values and the associated feedback values shall be deleted from the calculation of cycle torque and power validation statistics. For a test to be considered valid, the criteria of </w:t>
      </w:r>
      <w:r w:rsidR="00BC242F" w:rsidRPr="00B04DC3">
        <w:rPr>
          <w:lang w:val="en-GB"/>
        </w:rPr>
        <w:t>T</w:t>
      </w:r>
      <w:r w:rsidRPr="00B04DC3">
        <w:rPr>
          <w:lang w:val="en-GB"/>
        </w:rPr>
        <w:t>able 7 shall be met.</w:t>
      </w:r>
    </w:p>
    <w:p w:rsidR="00DA59A4" w:rsidRPr="00B04DC3" w:rsidRDefault="00DA59A4" w:rsidP="00DA59A4">
      <w:pPr>
        <w:pStyle w:val="Heading1"/>
        <w:spacing w:after="120"/>
      </w:pPr>
      <w:bookmarkStart w:id="222" w:name="_Toc399939930"/>
      <w:bookmarkStart w:id="223" w:name="_Toc423599517"/>
      <w:bookmarkStart w:id="224" w:name="_Toc423610925"/>
      <w:r w:rsidRPr="00B04DC3">
        <w:t>Table 7</w:t>
      </w:r>
      <w:r w:rsidRPr="00B04DC3">
        <w:br/>
      </w:r>
      <w:r w:rsidRPr="00B04DC3">
        <w:rPr>
          <w:b/>
        </w:rPr>
        <w:t>Regression line tolerances</w:t>
      </w:r>
      <w:bookmarkEnd w:id="222"/>
      <w:bookmarkEnd w:id="223"/>
      <w:bookmarkEnd w:id="224"/>
    </w:p>
    <w:tbl>
      <w:tblPr>
        <w:tblW w:w="83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30"/>
        <w:gridCol w:w="2410"/>
        <w:gridCol w:w="2268"/>
      </w:tblGrid>
      <w:tr w:rsidR="00DA59A4" w:rsidRPr="00B04DC3" w:rsidTr="009105AC">
        <w:tc>
          <w:tcPr>
            <w:tcW w:w="2235" w:type="dxa"/>
            <w:tcBorders>
              <w:bottom w:val="single" w:sz="12" w:space="0" w:color="auto"/>
            </w:tcBorders>
          </w:tcPr>
          <w:p w:rsidR="00DA59A4" w:rsidRPr="00B04DC3" w:rsidRDefault="00DA59A4" w:rsidP="00DA59A4">
            <w:pPr>
              <w:pStyle w:val="tableen-tte"/>
            </w:pPr>
          </w:p>
        </w:tc>
        <w:tc>
          <w:tcPr>
            <w:tcW w:w="1430" w:type="dxa"/>
            <w:tcBorders>
              <w:bottom w:val="single" w:sz="12" w:space="0" w:color="auto"/>
            </w:tcBorders>
          </w:tcPr>
          <w:p w:rsidR="00DA59A4" w:rsidRPr="00B04DC3" w:rsidRDefault="00DA59A4" w:rsidP="00DA59A4">
            <w:pPr>
              <w:pStyle w:val="tableen-tte"/>
            </w:pPr>
            <w:r w:rsidRPr="00B04DC3">
              <w:t>Speed</w:t>
            </w:r>
          </w:p>
        </w:tc>
        <w:tc>
          <w:tcPr>
            <w:tcW w:w="2410" w:type="dxa"/>
            <w:tcBorders>
              <w:bottom w:val="single" w:sz="12" w:space="0" w:color="auto"/>
            </w:tcBorders>
          </w:tcPr>
          <w:p w:rsidR="00DA59A4" w:rsidRPr="00B04DC3" w:rsidRDefault="00DA59A4" w:rsidP="00DA59A4">
            <w:pPr>
              <w:pStyle w:val="tableen-tte"/>
            </w:pPr>
            <w:r w:rsidRPr="00B04DC3">
              <w:t>Torque</w:t>
            </w:r>
          </w:p>
        </w:tc>
        <w:tc>
          <w:tcPr>
            <w:tcW w:w="2268" w:type="dxa"/>
            <w:tcBorders>
              <w:bottom w:val="single" w:sz="12" w:space="0" w:color="auto"/>
            </w:tcBorders>
          </w:tcPr>
          <w:p w:rsidR="00DA59A4" w:rsidRPr="00B04DC3" w:rsidRDefault="00DA59A4" w:rsidP="00DA59A4">
            <w:pPr>
              <w:pStyle w:val="tableen-tte"/>
            </w:pPr>
            <w:r w:rsidRPr="00B04DC3">
              <w:t>Power</w:t>
            </w:r>
          </w:p>
        </w:tc>
      </w:tr>
      <w:tr w:rsidR="00DA59A4" w:rsidRPr="00B04DC3" w:rsidTr="009105AC">
        <w:tc>
          <w:tcPr>
            <w:tcW w:w="2235" w:type="dxa"/>
            <w:tcBorders>
              <w:top w:val="single" w:sz="12" w:space="0" w:color="auto"/>
            </w:tcBorders>
          </w:tcPr>
          <w:p w:rsidR="00DA59A4" w:rsidRPr="00B04DC3" w:rsidRDefault="00DA59A4" w:rsidP="009F018E">
            <w:pPr>
              <w:pStyle w:val="StyletableautexteBefore2lineAfter6line1"/>
            </w:pPr>
            <w:r w:rsidRPr="00B04DC3">
              <w:t xml:space="preserve">Standard </w:t>
            </w:r>
            <w:r w:rsidR="009F018E">
              <w:t>E</w:t>
            </w:r>
            <w:r w:rsidR="009F018E" w:rsidRPr="00B04DC3">
              <w:t xml:space="preserve">rror </w:t>
            </w:r>
            <w:r w:rsidRPr="00B04DC3">
              <w:t>of estimate (SE) of Y on X</w:t>
            </w:r>
          </w:p>
        </w:tc>
        <w:tc>
          <w:tcPr>
            <w:tcW w:w="1430" w:type="dxa"/>
            <w:tcBorders>
              <w:top w:val="single" w:sz="12" w:space="0" w:color="auto"/>
            </w:tcBorders>
          </w:tcPr>
          <w:p w:rsidR="00DA59A4" w:rsidRPr="00B04DC3" w:rsidRDefault="00DA59A4" w:rsidP="00DA59A4">
            <w:pPr>
              <w:pStyle w:val="StyletableautexteBefore2lineAfter6line1"/>
            </w:pPr>
            <w:r w:rsidRPr="00B04DC3">
              <w:t>max 100 min</w:t>
            </w:r>
            <w:r w:rsidRPr="00B04DC3">
              <w:rPr>
                <w:vertAlign w:val="superscript"/>
              </w:rPr>
              <w:t>–1</w:t>
            </w:r>
          </w:p>
        </w:tc>
        <w:tc>
          <w:tcPr>
            <w:tcW w:w="2410" w:type="dxa"/>
            <w:tcBorders>
              <w:top w:val="single" w:sz="12" w:space="0" w:color="auto"/>
            </w:tcBorders>
          </w:tcPr>
          <w:p w:rsidR="00DA59A4" w:rsidRPr="00B04DC3" w:rsidRDefault="00DA59A4" w:rsidP="00DA59A4">
            <w:pPr>
              <w:pStyle w:val="StyletableautexteBefore2lineAfter6line1"/>
            </w:pPr>
            <w:r w:rsidRPr="00B04DC3">
              <w:t>max 13 per cent of power map maximum engine torque</w:t>
            </w:r>
          </w:p>
        </w:tc>
        <w:tc>
          <w:tcPr>
            <w:tcW w:w="2268" w:type="dxa"/>
            <w:tcBorders>
              <w:top w:val="single" w:sz="12" w:space="0" w:color="auto"/>
            </w:tcBorders>
          </w:tcPr>
          <w:p w:rsidR="00DA59A4" w:rsidRPr="00B04DC3" w:rsidRDefault="00DA59A4" w:rsidP="00DA59A4">
            <w:pPr>
              <w:pStyle w:val="StyletableautexteBefore2lineAfter6line1"/>
            </w:pPr>
            <w:r w:rsidRPr="00B04DC3">
              <w:t>max 8 per cent of power map maximum engine power</w:t>
            </w:r>
          </w:p>
        </w:tc>
      </w:tr>
      <w:tr w:rsidR="00DA59A4" w:rsidRPr="00B04DC3">
        <w:tc>
          <w:tcPr>
            <w:tcW w:w="2235" w:type="dxa"/>
          </w:tcPr>
          <w:p w:rsidR="00DA59A4" w:rsidRPr="00B04DC3" w:rsidRDefault="00DA59A4" w:rsidP="00DA59A4">
            <w:pPr>
              <w:pStyle w:val="StyletableautexteBefore2lineAfter6line1"/>
            </w:pPr>
            <w:r w:rsidRPr="00B04DC3">
              <w:t>Slope of the regression line, m</w:t>
            </w:r>
          </w:p>
        </w:tc>
        <w:tc>
          <w:tcPr>
            <w:tcW w:w="1430" w:type="dxa"/>
          </w:tcPr>
          <w:p w:rsidR="00DA59A4" w:rsidRPr="00B04DC3" w:rsidRDefault="00DA59A4" w:rsidP="00DA59A4">
            <w:pPr>
              <w:pStyle w:val="StyletableautexteBefore2lineAfter6line1"/>
            </w:pPr>
            <w:r w:rsidRPr="00B04DC3">
              <w:t>0.95 to 1.03</w:t>
            </w:r>
          </w:p>
        </w:tc>
        <w:tc>
          <w:tcPr>
            <w:tcW w:w="2410" w:type="dxa"/>
          </w:tcPr>
          <w:p w:rsidR="00DA59A4" w:rsidRPr="00B04DC3" w:rsidRDefault="00DA59A4" w:rsidP="00DA59A4">
            <w:pPr>
              <w:pStyle w:val="StyletableautexteBefore2lineAfter6line1"/>
            </w:pPr>
            <w:r w:rsidRPr="00B04DC3">
              <w:t>0.83-1.03</w:t>
            </w:r>
          </w:p>
        </w:tc>
        <w:tc>
          <w:tcPr>
            <w:tcW w:w="2268" w:type="dxa"/>
          </w:tcPr>
          <w:p w:rsidR="00DA59A4" w:rsidRPr="00B04DC3" w:rsidRDefault="00DA59A4" w:rsidP="00DA59A4">
            <w:pPr>
              <w:pStyle w:val="StyletableautexteBefore2lineAfter6line1"/>
            </w:pPr>
            <w:r w:rsidRPr="00B04DC3">
              <w:t>0.89-1.03</w:t>
            </w:r>
          </w:p>
          <w:p w:rsidR="00DA59A4" w:rsidRPr="00B04DC3" w:rsidRDefault="00DA59A4" w:rsidP="00DA59A4">
            <w:pPr>
              <w:pStyle w:val="StyletableautexteBefore2lineAfter6line1"/>
            </w:pPr>
          </w:p>
        </w:tc>
      </w:tr>
      <w:tr w:rsidR="00DA59A4" w:rsidRPr="00B04DC3">
        <w:tc>
          <w:tcPr>
            <w:tcW w:w="2235" w:type="dxa"/>
          </w:tcPr>
          <w:p w:rsidR="00DA59A4" w:rsidRPr="00B04DC3" w:rsidRDefault="00DA59A4" w:rsidP="00DA59A4">
            <w:pPr>
              <w:pStyle w:val="StyletableautexteBefore2lineAfter6line1"/>
            </w:pPr>
            <w:r w:rsidRPr="00B04DC3">
              <w:t>Coefficient of determination, r</w:t>
            </w:r>
            <w:r w:rsidRPr="00B04DC3">
              <w:rPr>
                <w:vertAlign w:val="superscript"/>
              </w:rPr>
              <w:t>2</w:t>
            </w:r>
          </w:p>
        </w:tc>
        <w:tc>
          <w:tcPr>
            <w:tcW w:w="1430" w:type="dxa"/>
          </w:tcPr>
          <w:p w:rsidR="00DA59A4" w:rsidRPr="00B04DC3" w:rsidRDefault="00DA59A4" w:rsidP="00DA59A4">
            <w:pPr>
              <w:pStyle w:val="StyletableautexteBefore2lineAfter6line1"/>
            </w:pPr>
            <w:r w:rsidRPr="00B04DC3">
              <w:t>min 0.9700</w:t>
            </w:r>
          </w:p>
          <w:p w:rsidR="00DA59A4" w:rsidRPr="00B04DC3" w:rsidRDefault="00DA59A4" w:rsidP="00DA59A4">
            <w:pPr>
              <w:pStyle w:val="StyletableautexteBefore2lineAfter6line1"/>
            </w:pPr>
          </w:p>
        </w:tc>
        <w:tc>
          <w:tcPr>
            <w:tcW w:w="2410" w:type="dxa"/>
          </w:tcPr>
          <w:p w:rsidR="00DA59A4" w:rsidRPr="00B04DC3" w:rsidRDefault="00DA59A4" w:rsidP="00DA59A4">
            <w:pPr>
              <w:pStyle w:val="StyletableautexteBefore2lineAfter6line1"/>
            </w:pPr>
            <w:r w:rsidRPr="00B04DC3">
              <w:t>min 0.8800</w:t>
            </w:r>
          </w:p>
          <w:p w:rsidR="00DA59A4" w:rsidRPr="00B04DC3" w:rsidRDefault="00DA59A4" w:rsidP="00DA59A4">
            <w:pPr>
              <w:pStyle w:val="StyletableautexteBefore2lineAfter6line1"/>
            </w:pPr>
          </w:p>
        </w:tc>
        <w:tc>
          <w:tcPr>
            <w:tcW w:w="2268" w:type="dxa"/>
          </w:tcPr>
          <w:p w:rsidR="00DA59A4" w:rsidRPr="00B04DC3" w:rsidRDefault="00DA59A4" w:rsidP="00DA59A4">
            <w:pPr>
              <w:pStyle w:val="StyletableautexteBefore2lineAfter6line1"/>
            </w:pPr>
            <w:r w:rsidRPr="00B04DC3">
              <w:t>min 0.9100</w:t>
            </w:r>
          </w:p>
          <w:p w:rsidR="00DA59A4" w:rsidRPr="00B04DC3" w:rsidRDefault="00DA59A4" w:rsidP="00DA59A4">
            <w:pPr>
              <w:pStyle w:val="StyletableautexteBefore2lineAfter6line1"/>
            </w:pPr>
          </w:p>
        </w:tc>
      </w:tr>
      <w:tr w:rsidR="00DA59A4" w:rsidRPr="00B04DC3" w:rsidTr="009105AC">
        <w:tc>
          <w:tcPr>
            <w:tcW w:w="2235" w:type="dxa"/>
            <w:tcBorders>
              <w:bottom w:val="single" w:sz="12" w:space="0" w:color="auto"/>
            </w:tcBorders>
          </w:tcPr>
          <w:p w:rsidR="00DA59A4" w:rsidRPr="00B04DC3" w:rsidRDefault="00DA59A4" w:rsidP="00DA59A4">
            <w:pPr>
              <w:pStyle w:val="StyletableautexteBefore2lineAfter6line1"/>
            </w:pPr>
            <w:r w:rsidRPr="00B04DC3">
              <w:t>Y intercept of the regression line, b</w:t>
            </w:r>
          </w:p>
        </w:tc>
        <w:tc>
          <w:tcPr>
            <w:tcW w:w="1430" w:type="dxa"/>
            <w:tcBorders>
              <w:bottom w:val="single" w:sz="12" w:space="0" w:color="auto"/>
            </w:tcBorders>
          </w:tcPr>
          <w:p w:rsidR="00DA59A4" w:rsidRPr="00B04DC3" w:rsidRDefault="00DA59A4" w:rsidP="00DA59A4">
            <w:pPr>
              <w:pStyle w:val="StyletableautexteBefore2lineAfter6line1"/>
            </w:pPr>
            <w:r w:rsidRPr="00B04DC3">
              <w:t>±50 min</w:t>
            </w:r>
            <w:r w:rsidRPr="00B04DC3">
              <w:rPr>
                <w:vertAlign w:val="superscript"/>
              </w:rPr>
              <w:t>–1</w:t>
            </w:r>
          </w:p>
        </w:tc>
        <w:tc>
          <w:tcPr>
            <w:tcW w:w="2410" w:type="dxa"/>
            <w:tcBorders>
              <w:bottom w:val="single" w:sz="12" w:space="0" w:color="auto"/>
            </w:tcBorders>
          </w:tcPr>
          <w:p w:rsidR="00DA59A4" w:rsidRPr="00B04DC3" w:rsidRDefault="00DA59A4" w:rsidP="00DA59A4">
            <w:pPr>
              <w:pStyle w:val="StyletableautexteBefore2lineAfter6line1"/>
            </w:pPr>
            <w:r w:rsidRPr="00B04DC3">
              <w:t>±20 Nm or ±2 per cent of max torque whichever is greater</w:t>
            </w:r>
          </w:p>
        </w:tc>
        <w:tc>
          <w:tcPr>
            <w:tcW w:w="2268" w:type="dxa"/>
            <w:tcBorders>
              <w:bottom w:val="single" w:sz="12" w:space="0" w:color="auto"/>
            </w:tcBorders>
          </w:tcPr>
          <w:p w:rsidR="00DA59A4" w:rsidRPr="00B04DC3" w:rsidRDefault="00DA59A4" w:rsidP="00DA59A4">
            <w:pPr>
              <w:pStyle w:val="StyletableautexteBefore2lineAfter6line1"/>
            </w:pPr>
            <w:r w:rsidRPr="00B04DC3">
              <w:t>±4 kW or ±2 per cent of max power whichever is greater</w:t>
            </w:r>
          </w:p>
        </w:tc>
      </w:tr>
    </w:tbl>
    <w:p w:rsidR="00DA59A4" w:rsidRPr="00B04DC3" w:rsidRDefault="00DA59A4" w:rsidP="00DA59A4">
      <w:pPr>
        <w:pStyle w:val="StyletableautexteBefore2lineAfter6line1"/>
      </w:pPr>
      <w:r w:rsidRPr="00B04DC3">
        <w:tab/>
      </w:r>
      <w:r w:rsidRPr="00B04DC3">
        <w:tab/>
        <w:t xml:space="preserve">Point deletions from the regression analyses are permitted where noted in </w:t>
      </w:r>
      <w:r w:rsidR="00BC242F" w:rsidRPr="00B04DC3">
        <w:t>T</w:t>
      </w:r>
      <w:r w:rsidRPr="00B04DC3">
        <w:t>able 8.</w:t>
      </w:r>
    </w:p>
    <w:p w:rsidR="00DA59A4" w:rsidRPr="00B04DC3" w:rsidRDefault="00DA59A4" w:rsidP="00DA59A4">
      <w:pPr>
        <w:pStyle w:val="Heading1"/>
      </w:pPr>
      <w:bookmarkStart w:id="225" w:name="_Toc399939931"/>
      <w:bookmarkStart w:id="226" w:name="_Toc423599518"/>
      <w:bookmarkStart w:id="227" w:name="_Toc423610926"/>
      <w:r w:rsidRPr="00B04DC3">
        <w:t>Table 8</w:t>
      </w:r>
      <w:bookmarkEnd w:id="225"/>
      <w:bookmarkEnd w:id="226"/>
      <w:bookmarkEnd w:id="227"/>
    </w:p>
    <w:p w:rsidR="00DA59A4" w:rsidRPr="00B04DC3" w:rsidRDefault="00DA59A4" w:rsidP="00DA59A4">
      <w:pPr>
        <w:pStyle w:val="Heading1"/>
        <w:spacing w:after="120"/>
        <w:rPr>
          <w:b/>
        </w:rPr>
      </w:pPr>
      <w:bookmarkStart w:id="228" w:name="_Toc399939932"/>
      <w:bookmarkStart w:id="229" w:name="_Toc423599519"/>
      <w:bookmarkStart w:id="230" w:name="_Toc423610927"/>
      <w:r w:rsidRPr="00B04DC3">
        <w:rPr>
          <w:b/>
        </w:rPr>
        <w:t>Permitted point deletions from regression analysis</w:t>
      </w:r>
      <w:bookmarkEnd w:id="228"/>
      <w:bookmarkEnd w:id="229"/>
      <w:bookmarkEnd w:id="230"/>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2"/>
        <w:gridCol w:w="2153"/>
      </w:tblGrid>
      <w:tr w:rsidR="00DA59A4" w:rsidRPr="00B04DC3" w:rsidTr="009105AC">
        <w:tc>
          <w:tcPr>
            <w:tcW w:w="6636" w:type="dxa"/>
            <w:tcBorders>
              <w:bottom w:val="single" w:sz="12" w:space="0" w:color="auto"/>
            </w:tcBorders>
          </w:tcPr>
          <w:p w:rsidR="00DA59A4" w:rsidRPr="00B04DC3" w:rsidRDefault="00DA59A4" w:rsidP="00DA59A4">
            <w:pPr>
              <w:pStyle w:val="tableen-tte"/>
            </w:pPr>
            <w:r w:rsidRPr="00B04DC3">
              <w:t>Conditions</w:t>
            </w:r>
          </w:p>
        </w:tc>
        <w:tc>
          <w:tcPr>
            <w:tcW w:w="2242" w:type="dxa"/>
            <w:tcBorders>
              <w:bottom w:val="single" w:sz="12" w:space="0" w:color="auto"/>
            </w:tcBorders>
          </w:tcPr>
          <w:p w:rsidR="00DA59A4" w:rsidRPr="00B04DC3" w:rsidRDefault="00DA59A4" w:rsidP="00DA59A4">
            <w:pPr>
              <w:pStyle w:val="tableen-tte"/>
            </w:pPr>
            <w:r w:rsidRPr="00B04DC3">
              <w:t>Points to be deleted</w:t>
            </w:r>
          </w:p>
        </w:tc>
      </w:tr>
      <w:tr w:rsidR="00DA59A4" w:rsidRPr="00B04DC3" w:rsidTr="009105AC">
        <w:tc>
          <w:tcPr>
            <w:tcW w:w="6636" w:type="dxa"/>
            <w:tcBorders>
              <w:top w:val="single" w:sz="12" w:space="0" w:color="auto"/>
            </w:tcBorders>
          </w:tcPr>
          <w:p w:rsidR="00DA59A4" w:rsidRPr="00B04DC3" w:rsidRDefault="00DA59A4" w:rsidP="00DA59A4">
            <w:pPr>
              <w:pStyle w:val="tableautexte"/>
            </w:pPr>
            <w:r w:rsidRPr="00B04DC3">
              <w:t>Full load demand and torque feedback &lt; 95 per cent torque reference</w:t>
            </w:r>
          </w:p>
        </w:tc>
        <w:tc>
          <w:tcPr>
            <w:tcW w:w="2242" w:type="dxa"/>
            <w:tcBorders>
              <w:top w:val="single" w:sz="12" w:space="0" w:color="auto"/>
            </w:tcBorders>
          </w:tcPr>
          <w:p w:rsidR="00DA59A4" w:rsidRPr="00B04DC3" w:rsidRDefault="00DA59A4" w:rsidP="00DA59A4">
            <w:pPr>
              <w:pStyle w:val="tableautexte"/>
            </w:pPr>
            <w:r w:rsidRPr="00B04DC3">
              <w:t>Torque and/or power</w:t>
            </w:r>
          </w:p>
        </w:tc>
      </w:tr>
      <w:tr w:rsidR="00DA59A4" w:rsidRPr="00B04DC3">
        <w:tc>
          <w:tcPr>
            <w:tcW w:w="6636" w:type="dxa"/>
          </w:tcPr>
          <w:p w:rsidR="00DA59A4" w:rsidRPr="00B04DC3" w:rsidRDefault="00DA59A4" w:rsidP="00DA59A4">
            <w:pPr>
              <w:pStyle w:val="tableautexte"/>
            </w:pPr>
            <w:r w:rsidRPr="00B04DC3">
              <w:t>Full load demand and speed feedback &lt; 95 per cent speed reference</w:t>
            </w:r>
          </w:p>
        </w:tc>
        <w:tc>
          <w:tcPr>
            <w:tcW w:w="2242" w:type="dxa"/>
          </w:tcPr>
          <w:p w:rsidR="00DA59A4" w:rsidRPr="00B04DC3" w:rsidRDefault="00DA59A4" w:rsidP="00DA59A4">
            <w:pPr>
              <w:pStyle w:val="tableautexte"/>
            </w:pPr>
            <w:r w:rsidRPr="00B04DC3">
              <w:t>Speed and/or power</w:t>
            </w:r>
          </w:p>
        </w:tc>
      </w:tr>
      <w:tr w:rsidR="00DA59A4" w:rsidRPr="00B04DC3">
        <w:tc>
          <w:tcPr>
            <w:tcW w:w="6636" w:type="dxa"/>
          </w:tcPr>
          <w:p w:rsidR="00DA59A4" w:rsidRPr="00B04DC3" w:rsidRDefault="00DA59A4" w:rsidP="00DA59A4">
            <w:pPr>
              <w:pStyle w:val="tableautexte"/>
            </w:pPr>
            <w:r w:rsidRPr="00B04DC3">
              <w:t>No load, not an idle point, and torque feedback &gt; torque reference</w:t>
            </w:r>
          </w:p>
        </w:tc>
        <w:tc>
          <w:tcPr>
            <w:tcW w:w="2242" w:type="dxa"/>
          </w:tcPr>
          <w:p w:rsidR="00DA59A4" w:rsidRPr="00B04DC3" w:rsidRDefault="00DA59A4" w:rsidP="00DA59A4">
            <w:pPr>
              <w:pStyle w:val="tableautexte"/>
            </w:pPr>
            <w:r w:rsidRPr="00B04DC3">
              <w:t>Torque and/or power</w:t>
            </w:r>
          </w:p>
        </w:tc>
      </w:tr>
      <w:tr w:rsidR="00DA59A4" w:rsidRPr="00B04DC3">
        <w:tc>
          <w:tcPr>
            <w:tcW w:w="6636" w:type="dxa"/>
          </w:tcPr>
          <w:p w:rsidR="00DA59A4" w:rsidRPr="00B04DC3" w:rsidRDefault="00DA59A4" w:rsidP="00DA59A4">
            <w:pPr>
              <w:pStyle w:val="tableautexte"/>
            </w:pPr>
            <w:r w:rsidRPr="00B04DC3">
              <w:t xml:space="preserve">No load, speed feedback </w:t>
            </w:r>
            <w:r w:rsidRPr="00B04DC3">
              <w:sym w:font="Symbol" w:char="F0A3"/>
            </w:r>
            <w:r w:rsidRPr="00B04DC3">
              <w:t xml:space="preserve"> idle speed + 50 min</w:t>
            </w:r>
            <w:r w:rsidRPr="00B04DC3">
              <w:rPr>
                <w:vertAlign w:val="superscript"/>
              </w:rPr>
              <w:t>-1</w:t>
            </w:r>
            <w:r w:rsidRPr="00B04DC3">
              <w:t xml:space="preserve"> and torque feedback = manufacturer defined/measured idle torque </w:t>
            </w:r>
            <w:r w:rsidRPr="00B04DC3">
              <w:sym w:font="Symbol" w:char="F0B1"/>
            </w:r>
            <w:r w:rsidRPr="00B04DC3">
              <w:t>2 per cent of max. torque</w:t>
            </w:r>
          </w:p>
        </w:tc>
        <w:tc>
          <w:tcPr>
            <w:tcW w:w="2242" w:type="dxa"/>
          </w:tcPr>
          <w:p w:rsidR="00DA59A4" w:rsidRPr="00B04DC3" w:rsidRDefault="00DA59A4" w:rsidP="00DA59A4">
            <w:pPr>
              <w:pStyle w:val="tableautexte"/>
            </w:pPr>
            <w:r w:rsidRPr="00B04DC3">
              <w:t>Speed and/or power</w:t>
            </w:r>
          </w:p>
        </w:tc>
      </w:tr>
      <w:tr w:rsidR="00DA59A4" w:rsidRPr="00B04DC3">
        <w:tc>
          <w:tcPr>
            <w:tcW w:w="6636" w:type="dxa"/>
          </w:tcPr>
          <w:p w:rsidR="00DA59A4" w:rsidRPr="00B04DC3" w:rsidRDefault="00DA59A4" w:rsidP="00DA59A4">
            <w:pPr>
              <w:pStyle w:val="tableautexte"/>
            </w:pPr>
            <w:r w:rsidRPr="00B04DC3">
              <w:t>No load, speed feedback &gt; idle speed + 50 min</w:t>
            </w:r>
            <w:r w:rsidRPr="00B04DC3">
              <w:rPr>
                <w:vertAlign w:val="superscript"/>
              </w:rPr>
              <w:t>-1</w:t>
            </w:r>
            <w:r w:rsidRPr="00B04DC3">
              <w:t xml:space="preserve"> and torque feedback &gt; 105 per cent torque reference</w:t>
            </w:r>
          </w:p>
        </w:tc>
        <w:tc>
          <w:tcPr>
            <w:tcW w:w="2242" w:type="dxa"/>
          </w:tcPr>
          <w:p w:rsidR="00DA59A4" w:rsidRPr="00B04DC3" w:rsidRDefault="00DA59A4" w:rsidP="00DA59A4">
            <w:pPr>
              <w:pStyle w:val="tableautexte"/>
            </w:pPr>
            <w:r w:rsidRPr="00B04DC3">
              <w:t>Torque and/or power</w:t>
            </w:r>
          </w:p>
        </w:tc>
      </w:tr>
      <w:tr w:rsidR="00DA59A4" w:rsidRPr="00B04DC3" w:rsidTr="009105AC">
        <w:tc>
          <w:tcPr>
            <w:tcW w:w="6636" w:type="dxa"/>
            <w:tcBorders>
              <w:bottom w:val="single" w:sz="12" w:space="0" w:color="auto"/>
            </w:tcBorders>
          </w:tcPr>
          <w:p w:rsidR="00DA59A4" w:rsidRPr="00B04DC3" w:rsidRDefault="00DA59A4" w:rsidP="00DA59A4">
            <w:pPr>
              <w:pStyle w:val="tableautexte"/>
            </w:pPr>
            <w:r w:rsidRPr="00B04DC3">
              <w:t>No load and speed feedback &gt; 105 per cent speed reference</w:t>
            </w:r>
          </w:p>
        </w:tc>
        <w:tc>
          <w:tcPr>
            <w:tcW w:w="2242" w:type="dxa"/>
            <w:tcBorders>
              <w:bottom w:val="single" w:sz="12" w:space="0" w:color="auto"/>
            </w:tcBorders>
          </w:tcPr>
          <w:p w:rsidR="00DA59A4" w:rsidRPr="00B04DC3" w:rsidRDefault="00DA59A4" w:rsidP="00DA59A4">
            <w:pPr>
              <w:pStyle w:val="tableautexte"/>
            </w:pPr>
            <w:r w:rsidRPr="00B04DC3">
              <w:t>Speed and/or power</w:t>
            </w:r>
          </w:p>
        </w:tc>
      </w:tr>
    </w:tbl>
    <w:p w:rsidR="00DA59A4" w:rsidRPr="00B04DC3" w:rsidRDefault="00DA59A4" w:rsidP="00DA59A4">
      <w:pPr>
        <w:pStyle w:val="para"/>
        <w:spacing w:before="240"/>
        <w:rPr>
          <w:lang w:val="en-GB"/>
        </w:rPr>
      </w:pPr>
      <w:r w:rsidRPr="00B04DC3">
        <w:rPr>
          <w:lang w:val="en-GB"/>
        </w:rPr>
        <w:t>4.</w:t>
      </w:r>
      <w:r w:rsidRPr="00B04DC3">
        <w:rPr>
          <w:lang w:val="en-GB"/>
        </w:rPr>
        <w:tab/>
        <w:t>Calculation of the exhaust gas flow</w:t>
      </w:r>
    </w:p>
    <w:p w:rsidR="00DA59A4" w:rsidRPr="00B04DC3" w:rsidRDefault="00DA59A4" w:rsidP="00DA59A4">
      <w:pPr>
        <w:pStyle w:val="para"/>
        <w:rPr>
          <w:lang w:val="en-GB"/>
        </w:rPr>
      </w:pPr>
      <w:r w:rsidRPr="00B04DC3">
        <w:rPr>
          <w:lang w:val="en-GB"/>
        </w:rPr>
        <w:t>4.1.</w:t>
      </w:r>
      <w:r w:rsidRPr="00B04DC3">
        <w:rPr>
          <w:lang w:val="en-GB"/>
        </w:rPr>
        <w:tab/>
        <w:t>Determination of the diluted exhaust gas flow</w:t>
      </w:r>
    </w:p>
    <w:p w:rsidR="00DA59A4" w:rsidRPr="00B04DC3" w:rsidRDefault="00DA59A4" w:rsidP="00DA59A4">
      <w:pPr>
        <w:pStyle w:val="para"/>
        <w:rPr>
          <w:lang w:val="en-GB"/>
        </w:rPr>
      </w:pPr>
      <w:r w:rsidRPr="00B04DC3">
        <w:rPr>
          <w:lang w:val="en-GB"/>
        </w:rPr>
        <w:tab/>
        <w:t>The total diluted exhaust gas flow over the cycle (kg/test) shall be calculated from the measurement values over the cycle and the corresponding calibration data of the flow measurement device (V</w:t>
      </w:r>
      <w:r w:rsidRPr="00B04DC3">
        <w:rPr>
          <w:vertAlign w:val="subscript"/>
          <w:lang w:val="en-GB"/>
        </w:rPr>
        <w:t>0</w:t>
      </w:r>
      <w:r w:rsidRPr="00B04DC3">
        <w:rPr>
          <w:lang w:val="en-GB"/>
        </w:rPr>
        <w:t xml:space="preserve"> for </w:t>
      </w:r>
      <w:r w:rsidR="007A153A">
        <w:rPr>
          <w:lang w:val="en-GB"/>
        </w:rPr>
        <w:t>Positive Displacement Pump (</w:t>
      </w:r>
      <w:r w:rsidRPr="00B04DC3">
        <w:rPr>
          <w:lang w:val="en-GB"/>
        </w:rPr>
        <w:t>PDP</w:t>
      </w:r>
      <w:r w:rsidR="007A153A">
        <w:rPr>
          <w:lang w:val="en-GB"/>
        </w:rPr>
        <w:t>)</w:t>
      </w:r>
      <w:r w:rsidRPr="00B04DC3">
        <w:rPr>
          <w:lang w:val="en-GB"/>
        </w:rPr>
        <w:t>, K</w:t>
      </w:r>
      <w:r w:rsidRPr="00B04DC3">
        <w:rPr>
          <w:vertAlign w:val="subscript"/>
          <w:lang w:val="en-GB"/>
        </w:rPr>
        <w:t>V</w:t>
      </w:r>
      <w:r w:rsidRPr="00B04DC3">
        <w:rPr>
          <w:lang w:val="en-GB"/>
        </w:rPr>
        <w:t xml:space="preserve"> for CFV, C</w:t>
      </w:r>
      <w:r w:rsidRPr="00B04DC3">
        <w:rPr>
          <w:vertAlign w:val="subscript"/>
          <w:lang w:val="en-GB"/>
        </w:rPr>
        <w:t>d</w:t>
      </w:r>
      <w:r w:rsidRPr="00B04DC3">
        <w:rPr>
          <w:lang w:val="en-GB"/>
        </w:rPr>
        <w:t xml:space="preserve"> for </w:t>
      </w:r>
      <w:r w:rsidR="007A153A">
        <w:rPr>
          <w:lang w:val="en-GB"/>
        </w:rPr>
        <w:t>Subsonic Venturi (</w:t>
      </w:r>
      <w:r w:rsidRPr="00B04DC3">
        <w:rPr>
          <w:lang w:val="en-GB"/>
        </w:rPr>
        <w:t>SSV), as determined in paragraph 2. of Appendix 5 to this annex). The following formulae shall be applied, if the temperature of the diluted exhaust is kept constant over the cycle by using a heat exchanger (±6 K for a PDP-CVS, ±11 K for a CFV-CVS or ±11 K for a SSV</w:t>
      </w:r>
      <w:r w:rsidRPr="00B04DC3">
        <w:rPr>
          <w:lang w:val="en-GB"/>
        </w:rPr>
        <w:noBreakHyphen/>
        <w:t xml:space="preserve">CVS), see paragraph 2.3. of </w:t>
      </w:r>
      <w:r w:rsidR="00D75405" w:rsidRPr="00B04DC3">
        <w:rPr>
          <w:lang w:val="en-GB"/>
        </w:rPr>
        <w:t>Appendix 7 to this a</w:t>
      </w:r>
      <w:r w:rsidRPr="00B04DC3">
        <w:rPr>
          <w:lang w:val="en-GB"/>
        </w:rPr>
        <w:t>nnex).</w:t>
      </w:r>
    </w:p>
    <w:p w:rsidR="00DA59A4" w:rsidRPr="00B04DC3" w:rsidRDefault="00DA59A4" w:rsidP="00DA59A4">
      <w:pPr>
        <w:pStyle w:val="para"/>
        <w:rPr>
          <w:lang w:val="en-GB"/>
        </w:rPr>
      </w:pPr>
      <w:r w:rsidRPr="00B04DC3">
        <w:rPr>
          <w:lang w:val="en-GB"/>
        </w:rPr>
        <w:br w:type="page"/>
      </w:r>
      <w:r w:rsidRPr="00B04DC3">
        <w:rPr>
          <w:lang w:val="en-GB"/>
        </w:rPr>
        <w:tab/>
        <w:t>For the PDP-CVS system:</w:t>
      </w:r>
    </w:p>
    <w:p w:rsidR="00DA59A4" w:rsidRPr="00B04DC3" w:rsidRDefault="00DA59A4" w:rsidP="00DA59A4">
      <w:pPr>
        <w:pStyle w:val="para"/>
        <w:ind w:firstLine="0"/>
        <w:rPr>
          <w:lang w:val="en-GB"/>
        </w:rPr>
      </w:pPr>
      <w:r w:rsidRPr="00B04DC3">
        <w:rPr>
          <w:lang w:val="en-GB"/>
        </w:rPr>
        <w:t>m</w:t>
      </w:r>
      <w:r w:rsidRPr="00B04DC3">
        <w:rPr>
          <w:vertAlign w:val="subscript"/>
          <w:lang w:val="en-GB"/>
        </w:rPr>
        <w:t xml:space="preserve">ed </w:t>
      </w:r>
      <w:r w:rsidRPr="00B04DC3">
        <w:rPr>
          <w:lang w:val="en-GB"/>
        </w:rPr>
        <w:t xml:space="preserve">= 1.293 </w:t>
      </w:r>
      <w:r w:rsidRPr="00B04DC3">
        <w:rPr>
          <w:position w:val="-4"/>
          <w:lang w:val="en-GB"/>
        </w:rPr>
        <w:object w:dxaOrig="180" w:dyaOrig="200">
          <v:shape id="_x0000_i1120" type="#_x0000_t75" style="width:9.6pt;height:9.6pt" o:ole="">
            <v:imagedata r:id="rId189" o:title=""/>
          </v:shape>
          <o:OLEObject Type="Embed" ProgID="Equation.3" ShapeID="_x0000_i1120" DrawAspect="Content" ObjectID="_1498392270" r:id="rId190"/>
        </w:object>
      </w:r>
      <w:r w:rsidRPr="00B04DC3">
        <w:rPr>
          <w:lang w:val="en-GB"/>
        </w:rPr>
        <w:t xml:space="preserve"> V</w:t>
      </w:r>
      <w:r w:rsidRPr="00B04DC3">
        <w:rPr>
          <w:vertAlign w:val="subscript"/>
          <w:lang w:val="en-GB"/>
        </w:rPr>
        <w:t>0</w:t>
      </w:r>
      <w:r w:rsidRPr="00B04DC3">
        <w:rPr>
          <w:lang w:val="en-GB"/>
        </w:rPr>
        <w:t xml:space="preserve"> </w:t>
      </w:r>
      <w:r w:rsidRPr="00B04DC3">
        <w:rPr>
          <w:position w:val="-4"/>
          <w:lang w:val="en-GB"/>
        </w:rPr>
        <w:object w:dxaOrig="180" w:dyaOrig="200">
          <v:shape id="_x0000_i1121" type="#_x0000_t75" style="width:9.6pt;height:9.6pt" o:ole="">
            <v:imagedata r:id="rId191" o:title=""/>
          </v:shape>
          <o:OLEObject Type="Embed" ProgID="Equation.3" ShapeID="_x0000_i1121" DrawAspect="Content" ObjectID="_1498392271" r:id="rId192"/>
        </w:object>
      </w:r>
      <w:r w:rsidRPr="00B04DC3">
        <w:rPr>
          <w:lang w:val="en-GB"/>
        </w:rPr>
        <w:t xml:space="preserve"> N</w:t>
      </w:r>
      <w:r w:rsidRPr="00B04DC3">
        <w:rPr>
          <w:vertAlign w:val="subscript"/>
          <w:lang w:val="en-GB"/>
        </w:rPr>
        <w:t>P</w:t>
      </w:r>
      <w:r w:rsidRPr="00B04DC3">
        <w:rPr>
          <w:lang w:val="en-GB"/>
        </w:rPr>
        <w:t xml:space="preserve"> </w:t>
      </w:r>
      <w:r w:rsidRPr="00B04DC3">
        <w:rPr>
          <w:position w:val="-4"/>
          <w:lang w:val="en-GB"/>
        </w:rPr>
        <w:object w:dxaOrig="180" w:dyaOrig="200">
          <v:shape id="_x0000_i1122" type="#_x0000_t75" style="width:9.6pt;height:9.6pt" o:ole="">
            <v:imagedata r:id="rId193" o:title=""/>
          </v:shape>
          <o:OLEObject Type="Embed" ProgID="Equation.3" ShapeID="_x0000_i1122" DrawAspect="Content" ObjectID="_1498392272" r:id="rId194"/>
        </w:object>
      </w:r>
      <w:r w:rsidRPr="00B04DC3">
        <w:rPr>
          <w:lang w:val="en-GB"/>
        </w:rPr>
        <w:t xml:space="preserve"> (p</w:t>
      </w:r>
      <w:r w:rsidRPr="00B04DC3">
        <w:rPr>
          <w:vertAlign w:val="subscript"/>
          <w:lang w:val="en-GB"/>
        </w:rPr>
        <w:t>b</w:t>
      </w:r>
      <w:r w:rsidRPr="00B04DC3">
        <w:rPr>
          <w:lang w:val="en-GB"/>
        </w:rPr>
        <w:t xml:space="preserve"> - p</w:t>
      </w:r>
      <w:r w:rsidRPr="00B04DC3">
        <w:rPr>
          <w:vertAlign w:val="subscript"/>
          <w:lang w:val="en-GB"/>
        </w:rPr>
        <w:t>1</w:t>
      </w:r>
      <w:r w:rsidRPr="00B04DC3">
        <w:rPr>
          <w:lang w:val="en-GB"/>
        </w:rPr>
        <w:t xml:space="preserve">) </w:t>
      </w:r>
      <w:r w:rsidRPr="00B04DC3">
        <w:rPr>
          <w:position w:val="-4"/>
          <w:lang w:val="en-GB"/>
        </w:rPr>
        <w:object w:dxaOrig="180" w:dyaOrig="200">
          <v:shape id="_x0000_i1123" type="#_x0000_t75" style="width:9.6pt;height:9.6pt" o:ole="">
            <v:imagedata r:id="rId195" o:title=""/>
          </v:shape>
          <o:OLEObject Type="Embed" ProgID="Equation.3" ShapeID="_x0000_i1123" DrawAspect="Content" ObjectID="_1498392273" r:id="rId196"/>
        </w:object>
      </w:r>
      <w:r w:rsidRPr="00B04DC3">
        <w:rPr>
          <w:lang w:val="en-GB"/>
        </w:rPr>
        <w:t xml:space="preserve"> 273 / (101.3 </w:t>
      </w:r>
      <w:r w:rsidRPr="00B04DC3">
        <w:rPr>
          <w:position w:val="-4"/>
          <w:lang w:val="en-GB"/>
        </w:rPr>
        <w:object w:dxaOrig="180" w:dyaOrig="200">
          <v:shape id="_x0000_i1124" type="#_x0000_t75" style="width:9.6pt;height:9.6pt" o:ole="">
            <v:imagedata r:id="rId197" o:title=""/>
          </v:shape>
          <o:OLEObject Type="Embed" ProgID="Equation.3" ShapeID="_x0000_i1124" DrawAspect="Content" ObjectID="_1498392274" r:id="rId198"/>
        </w:object>
      </w:r>
      <w:r w:rsidRPr="00B04DC3">
        <w:rPr>
          <w:lang w:val="en-GB"/>
        </w:rPr>
        <w:t xml:space="preserve"> T)</w:t>
      </w:r>
    </w:p>
    <w:p w:rsidR="00DA59A4" w:rsidRPr="00B04DC3" w:rsidRDefault="00DA59A4" w:rsidP="00DA59A4">
      <w:pPr>
        <w:pStyle w:val="para"/>
        <w:rPr>
          <w:lang w:val="en-GB"/>
        </w:rPr>
      </w:pPr>
      <w:r w:rsidRPr="00B04DC3">
        <w:rPr>
          <w:lang w:val="en-GB"/>
        </w:rPr>
        <w:tab/>
      </w:r>
      <w:r w:rsidR="00C15FD2" w:rsidRPr="00B04DC3">
        <w:rPr>
          <w:lang w:val="en-GB"/>
        </w:rPr>
        <w:t>Where</w:t>
      </w:r>
      <w:r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t>V</w:t>
      </w:r>
      <w:r w:rsidRPr="00B04DC3">
        <w:rPr>
          <w:vertAlign w:val="subscript"/>
          <w:lang w:val="en-GB"/>
        </w:rPr>
        <w:t>0</w:t>
      </w:r>
      <w:r w:rsidRPr="00B04DC3">
        <w:rPr>
          <w:lang w:val="en-GB"/>
        </w:rPr>
        <w:tab/>
        <w:t>=</w:t>
      </w:r>
      <w:r w:rsidRPr="00B04DC3">
        <w:rPr>
          <w:lang w:val="en-GB"/>
        </w:rPr>
        <w:tab/>
        <w:t>volume of gas pumped per revolution under test conditions, m³/rev</w:t>
      </w:r>
    </w:p>
    <w:p w:rsidR="00DA59A4" w:rsidRPr="00B04DC3" w:rsidRDefault="00DA59A4" w:rsidP="00DA59A4">
      <w:pPr>
        <w:pStyle w:val="para"/>
        <w:tabs>
          <w:tab w:val="left" w:pos="2694"/>
        </w:tabs>
        <w:ind w:left="2977" w:hanging="709"/>
        <w:rPr>
          <w:lang w:val="en-GB"/>
        </w:rPr>
      </w:pPr>
      <w:r w:rsidRPr="00B04DC3">
        <w:rPr>
          <w:lang w:val="en-GB"/>
        </w:rPr>
        <w:t>N</w:t>
      </w:r>
      <w:r w:rsidRPr="00B04DC3">
        <w:rPr>
          <w:vertAlign w:val="subscript"/>
          <w:lang w:val="en-GB"/>
        </w:rPr>
        <w:t>P</w:t>
      </w:r>
      <w:r w:rsidRPr="00B04DC3">
        <w:rPr>
          <w:lang w:val="en-GB"/>
        </w:rPr>
        <w:tab/>
        <w:t>=</w:t>
      </w:r>
      <w:r w:rsidRPr="00B04DC3">
        <w:rPr>
          <w:lang w:val="en-GB"/>
        </w:rPr>
        <w:tab/>
        <w:t>total revolutions of pump per test</w:t>
      </w:r>
    </w:p>
    <w:p w:rsidR="00DA59A4" w:rsidRPr="00B04DC3" w:rsidRDefault="00DA59A4" w:rsidP="00DA59A4">
      <w:pPr>
        <w:pStyle w:val="para"/>
        <w:tabs>
          <w:tab w:val="left" w:pos="2694"/>
        </w:tabs>
        <w:ind w:left="2977" w:hanging="709"/>
        <w:rPr>
          <w:lang w:val="en-GB"/>
        </w:rPr>
      </w:pPr>
      <w:r w:rsidRPr="00B04DC3">
        <w:rPr>
          <w:lang w:val="en-GB"/>
        </w:rPr>
        <w:t>p</w:t>
      </w:r>
      <w:r w:rsidRPr="00B04DC3">
        <w:rPr>
          <w:vertAlign w:val="subscript"/>
          <w:lang w:val="en-GB"/>
        </w:rPr>
        <w:t>b</w:t>
      </w:r>
      <w:r w:rsidRPr="00B04DC3">
        <w:rPr>
          <w:lang w:val="en-GB"/>
        </w:rPr>
        <w:tab/>
        <w:t>=</w:t>
      </w:r>
      <w:r w:rsidRPr="00B04DC3">
        <w:rPr>
          <w:lang w:val="en-GB"/>
        </w:rPr>
        <w:tab/>
        <w:t>atmospheric pressure in the test cell, kPa</w:t>
      </w:r>
    </w:p>
    <w:p w:rsidR="00DA59A4" w:rsidRPr="00B04DC3" w:rsidRDefault="00DA59A4" w:rsidP="00DA59A4">
      <w:pPr>
        <w:pStyle w:val="para"/>
        <w:tabs>
          <w:tab w:val="left" w:pos="2694"/>
        </w:tabs>
        <w:ind w:left="2977" w:hanging="709"/>
        <w:rPr>
          <w:lang w:val="en-GB"/>
        </w:rPr>
      </w:pPr>
      <w:r w:rsidRPr="00B04DC3">
        <w:rPr>
          <w:lang w:val="en-GB"/>
        </w:rPr>
        <w:t>p</w:t>
      </w:r>
      <w:r w:rsidRPr="00B04DC3">
        <w:rPr>
          <w:vertAlign w:val="subscript"/>
          <w:lang w:val="en-GB"/>
        </w:rPr>
        <w:t>1</w:t>
      </w:r>
      <w:r w:rsidRPr="00B04DC3">
        <w:rPr>
          <w:lang w:val="en-GB"/>
        </w:rPr>
        <w:tab/>
        <w:t>=</w:t>
      </w:r>
      <w:r w:rsidRPr="00B04DC3">
        <w:rPr>
          <w:lang w:val="en-GB"/>
        </w:rPr>
        <w:tab/>
        <w:t>pressure depression below atmospheric at pump inlet, kPa</w:t>
      </w:r>
    </w:p>
    <w:p w:rsidR="00DA59A4" w:rsidRPr="00B04DC3" w:rsidRDefault="00DA59A4" w:rsidP="00DA59A4">
      <w:pPr>
        <w:pStyle w:val="para"/>
        <w:tabs>
          <w:tab w:val="left" w:pos="2694"/>
        </w:tabs>
        <w:ind w:left="2977" w:hanging="709"/>
        <w:rPr>
          <w:lang w:val="en-GB"/>
        </w:rPr>
      </w:pPr>
      <w:r w:rsidRPr="00B04DC3">
        <w:rPr>
          <w:lang w:val="en-GB"/>
        </w:rPr>
        <w:t>T</w:t>
      </w:r>
      <w:r w:rsidRPr="00B04DC3">
        <w:rPr>
          <w:lang w:val="en-GB"/>
        </w:rPr>
        <w:tab/>
        <w:t>=</w:t>
      </w:r>
      <w:r w:rsidRPr="00B04DC3">
        <w:rPr>
          <w:lang w:val="en-GB"/>
        </w:rPr>
        <w:tab/>
        <w:t>average temperature of the diluted exhaust gas at pump inlet over the cycle, K</w:t>
      </w:r>
    </w:p>
    <w:p w:rsidR="00DA59A4" w:rsidRPr="00B04DC3" w:rsidRDefault="00DA59A4" w:rsidP="00DA59A4">
      <w:pPr>
        <w:pStyle w:val="para"/>
        <w:rPr>
          <w:lang w:val="en-GB"/>
        </w:rPr>
      </w:pPr>
      <w:r w:rsidRPr="00B04DC3">
        <w:rPr>
          <w:lang w:val="en-GB"/>
        </w:rPr>
        <w:tab/>
        <w:t>For the CFV-CVS system:</w:t>
      </w:r>
    </w:p>
    <w:p w:rsidR="00DA59A4" w:rsidRPr="00B04DC3" w:rsidRDefault="00DA59A4" w:rsidP="00DA59A4">
      <w:pPr>
        <w:pStyle w:val="para"/>
        <w:tabs>
          <w:tab w:val="left" w:pos="2694"/>
        </w:tabs>
        <w:ind w:left="2977" w:hanging="709"/>
        <w:rPr>
          <w:lang w:val="en-GB"/>
        </w:rPr>
      </w:pPr>
      <w:r w:rsidRPr="00B04DC3">
        <w:rPr>
          <w:lang w:val="en-GB"/>
        </w:rPr>
        <w:t>m</w:t>
      </w:r>
      <w:r w:rsidRPr="00B04DC3">
        <w:rPr>
          <w:vertAlign w:val="subscript"/>
          <w:lang w:val="en-GB"/>
        </w:rPr>
        <w:t>ed</w:t>
      </w:r>
      <w:r w:rsidRPr="00B04DC3">
        <w:rPr>
          <w:lang w:val="en-GB"/>
        </w:rPr>
        <w:tab/>
        <w:t xml:space="preserve">= 1.293 </w:t>
      </w:r>
      <w:r w:rsidRPr="00B04DC3">
        <w:rPr>
          <w:position w:val="-4"/>
          <w:lang w:val="en-GB"/>
        </w:rPr>
        <w:object w:dxaOrig="180" w:dyaOrig="200">
          <v:shape id="_x0000_i1125" type="#_x0000_t75" style="width:9.6pt;height:9.6pt" o:ole="">
            <v:imagedata r:id="rId199" o:title=""/>
          </v:shape>
          <o:OLEObject Type="Embed" ProgID="Equation.3" ShapeID="_x0000_i1125" DrawAspect="Content" ObjectID="_1498392275" r:id="rId200"/>
        </w:object>
      </w:r>
      <w:r w:rsidRPr="00B04DC3">
        <w:rPr>
          <w:lang w:val="en-GB"/>
        </w:rPr>
        <w:t xml:space="preserve"> t </w:t>
      </w:r>
      <w:r w:rsidRPr="00B04DC3">
        <w:rPr>
          <w:position w:val="-4"/>
          <w:lang w:val="en-GB"/>
        </w:rPr>
        <w:object w:dxaOrig="180" w:dyaOrig="200">
          <v:shape id="_x0000_i1126" type="#_x0000_t75" style="width:9.6pt;height:9.6pt" o:ole="">
            <v:imagedata r:id="rId201" o:title=""/>
          </v:shape>
          <o:OLEObject Type="Embed" ProgID="Equation.3" ShapeID="_x0000_i1126" DrawAspect="Content" ObjectID="_1498392276" r:id="rId202"/>
        </w:object>
      </w:r>
      <w:r w:rsidRPr="00B04DC3">
        <w:rPr>
          <w:lang w:val="en-GB"/>
        </w:rPr>
        <w:t xml:space="preserve"> K</w:t>
      </w:r>
      <w:r w:rsidRPr="00B04DC3">
        <w:rPr>
          <w:vertAlign w:val="subscript"/>
          <w:lang w:val="en-GB"/>
        </w:rPr>
        <w:t>v</w:t>
      </w:r>
      <w:r w:rsidRPr="00B04DC3">
        <w:rPr>
          <w:lang w:val="en-GB"/>
        </w:rPr>
        <w:t xml:space="preserve"> </w:t>
      </w:r>
      <w:r w:rsidRPr="00B04DC3">
        <w:rPr>
          <w:position w:val="-4"/>
          <w:lang w:val="en-GB"/>
        </w:rPr>
        <w:object w:dxaOrig="180" w:dyaOrig="200">
          <v:shape id="_x0000_i1127" type="#_x0000_t75" style="width:9.6pt;height:9.6pt" o:ole="">
            <v:imagedata r:id="rId203" o:title=""/>
          </v:shape>
          <o:OLEObject Type="Embed" ProgID="Equation.3" ShapeID="_x0000_i1127" DrawAspect="Content" ObjectID="_1498392277" r:id="rId204"/>
        </w:object>
      </w:r>
      <w:r w:rsidRPr="00B04DC3">
        <w:rPr>
          <w:lang w:val="en-GB"/>
        </w:rPr>
        <w:t xml:space="preserve"> p</w:t>
      </w:r>
      <w:r w:rsidRPr="00B04DC3">
        <w:rPr>
          <w:vertAlign w:val="subscript"/>
          <w:lang w:val="en-GB"/>
        </w:rPr>
        <w:t>p</w:t>
      </w:r>
      <w:r w:rsidRPr="00B04DC3">
        <w:rPr>
          <w:lang w:val="en-GB"/>
        </w:rPr>
        <w:t xml:space="preserve"> / T </w:t>
      </w:r>
      <w:r w:rsidRPr="00B04DC3">
        <w:rPr>
          <w:vertAlign w:val="superscript"/>
          <w:lang w:val="en-GB"/>
        </w:rPr>
        <w:t>0,5</w: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t>t</w:t>
      </w:r>
      <w:r w:rsidRPr="00B04DC3">
        <w:rPr>
          <w:lang w:val="en-GB"/>
        </w:rPr>
        <w:tab/>
        <w:t>=</w:t>
      </w:r>
      <w:r w:rsidRPr="00B04DC3">
        <w:rPr>
          <w:lang w:val="en-GB"/>
        </w:rPr>
        <w:tab/>
        <w:t>cycle time, s</w:t>
      </w:r>
    </w:p>
    <w:p w:rsidR="00DA59A4" w:rsidRPr="00B04DC3" w:rsidRDefault="00DA59A4" w:rsidP="00DA59A4">
      <w:pPr>
        <w:pStyle w:val="para"/>
        <w:tabs>
          <w:tab w:val="left" w:pos="2694"/>
        </w:tabs>
        <w:ind w:left="2977" w:hanging="709"/>
        <w:rPr>
          <w:lang w:val="en-GB"/>
        </w:rPr>
      </w:pPr>
      <w:r w:rsidRPr="00B04DC3">
        <w:rPr>
          <w:lang w:val="en-GB"/>
        </w:rPr>
        <w:t>K</w:t>
      </w:r>
      <w:r w:rsidRPr="00B04DC3">
        <w:rPr>
          <w:vertAlign w:val="subscript"/>
          <w:lang w:val="en-GB"/>
        </w:rPr>
        <w:t>V</w:t>
      </w:r>
      <w:r w:rsidRPr="00B04DC3">
        <w:rPr>
          <w:lang w:val="en-GB"/>
        </w:rPr>
        <w:tab/>
        <w:t>=</w:t>
      </w:r>
      <w:r w:rsidRPr="00B04DC3">
        <w:rPr>
          <w:lang w:val="en-GB"/>
        </w:rPr>
        <w:tab/>
        <w:t>calibration coefficient of the critical flow venturi for standard conditions</w:t>
      </w:r>
    </w:p>
    <w:p w:rsidR="00DA59A4" w:rsidRPr="00B04DC3" w:rsidRDefault="00DA59A4" w:rsidP="00DA59A4">
      <w:pPr>
        <w:pStyle w:val="para"/>
        <w:tabs>
          <w:tab w:val="left" w:pos="2694"/>
        </w:tabs>
        <w:ind w:left="2977" w:hanging="709"/>
        <w:rPr>
          <w:lang w:val="en-GB"/>
        </w:rPr>
      </w:pPr>
      <w:r w:rsidRPr="00B04DC3">
        <w:rPr>
          <w:lang w:val="en-GB"/>
        </w:rPr>
        <w:t>p</w:t>
      </w:r>
      <w:r w:rsidRPr="00B04DC3">
        <w:rPr>
          <w:vertAlign w:val="subscript"/>
          <w:lang w:val="en-GB"/>
        </w:rPr>
        <w:t>p</w:t>
      </w:r>
      <w:r w:rsidRPr="00B04DC3">
        <w:rPr>
          <w:lang w:val="en-GB"/>
        </w:rPr>
        <w:tab/>
        <w:t>=</w:t>
      </w:r>
      <w:r w:rsidRPr="00B04DC3">
        <w:rPr>
          <w:lang w:val="en-GB"/>
        </w:rPr>
        <w:tab/>
        <w:t>absolute pressure at venturi inlet, kPa</w:t>
      </w:r>
    </w:p>
    <w:p w:rsidR="00DA59A4" w:rsidRPr="00B04DC3" w:rsidRDefault="00DA59A4" w:rsidP="00DA59A4">
      <w:pPr>
        <w:pStyle w:val="para"/>
        <w:tabs>
          <w:tab w:val="left" w:pos="2694"/>
        </w:tabs>
        <w:ind w:left="2977" w:hanging="709"/>
        <w:rPr>
          <w:lang w:val="en-GB"/>
        </w:rPr>
      </w:pPr>
      <w:r w:rsidRPr="00B04DC3">
        <w:rPr>
          <w:lang w:val="en-GB"/>
        </w:rPr>
        <w:t>T</w:t>
      </w:r>
      <w:r w:rsidRPr="00B04DC3">
        <w:rPr>
          <w:lang w:val="en-GB"/>
        </w:rPr>
        <w:tab/>
        <w:t>=</w:t>
      </w:r>
      <w:r w:rsidRPr="00B04DC3">
        <w:rPr>
          <w:lang w:val="en-GB"/>
        </w:rPr>
        <w:tab/>
        <w:t>absolute temperature at venturi inlet, K</w:t>
      </w:r>
    </w:p>
    <w:p w:rsidR="00DA59A4" w:rsidRPr="00B04DC3" w:rsidRDefault="00DA59A4" w:rsidP="00DA59A4">
      <w:pPr>
        <w:pStyle w:val="para"/>
        <w:rPr>
          <w:lang w:val="en-GB"/>
        </w:rPr>
      </w:pPr>
      <w:r w:rsidRPr="00B04DC3">
        <w:rPr>
          <w:lang w:val="en-GB"/>
        </w:rPr>
        <w:tab/>
        <w:t>For the SSV-CVS system</w:t>
      </w:r>
    </w:p>
    <w:p w:rsidR="00DA59A4" w:rsidRPr="00B04DC3" w:rsidRDefault="00DA59A4" w:rsidP="00DA59A4">
      <w:pPr>
        <w:pStyle w:val="para"/>
        <w:tabs>
          <w:tab w:val="left" w:pos="2700"/>
        </w:tabs>
        <w:ind w:left="3100" w:hanging="832"/>
        <w:rPr>
          <w:lang w:val="en-GB"/>
        </w:rPr>
      </w:pPr>
      <w:r w:rsidRPr="00B04DC3">
        <w:rPr>
          <w:lang w:val="en-GB"/>
        </w:rPr>
        <w:t>m</w:t>
      </w:r>
      <w:r w:rsidRPr="00B04DC3">
        <w:rPr>
          <w:vertAlign w:val="subscript"/>
          <w:lang w:val="en-GB"/>
        </w:rPr>
        <w:t>ed</w:t>
      </w:r>
      <w:r w:rsidRPr="00B04DC3">
        <w:rPr>
          <w:lang w:val="en-GB"/>
        </w:rPr>
        <w:t xml:space="preserve"> = 1,293 </w:t>
      </w:r>
      <w:r w:rsidRPr="00B04DC3">
        <w:rPr>
          <w:position w:val="-4"/>
          <w:lang w:val="en-GB"/>
        </w:rPr>
        <w:object w:dxaOrig="180" w:dyaOrig="200">
          <v:shape id="_x0000_i1128" type="#_x0000_t75" style="width:9.6pt;height:9.6pt" o:ole="">
            <v:imagedata r:id="rId205" o:title=""/>
          </v:shape>
          <o:OLEObject Type="Embed" ProgID="Equation.3" ShapeID="_x0000_i1128" DrawAspect="Content" ObjectID="_1498392278" r:id="rId206"/>
        </w:object>
      </w:r>
      <w:r w:rsidRPr="00B04DC3">
        <w:rPr>
          <w:lang w:val="en-GB"/>
        </w:rPr>
        <w:t xml:space="preserve"> Q</w:t>
      </w:r>
      <w:r w:rsidRPr="00B04DC3">
        <w:rPr>
          <w:vertAlign w:val="subscript"/>
          <w:lang w:val="en-GB"/>
        </w:rPr>
        <w:t>SSV</w: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40"/>
          <w:lang w:val="en-GB"/>
        </w:rPr>
        <w:object w:dxaOrig="5539" w:dyaOrig="940">
          <v:shape id="_x0000_i1129" type="#_x0000_t75" style="width:255.6pt;height:42.6pt" o:ole="">
            <v:imagedata r:id="rId207" o:title=""/>
          </v:shape>
          <o:OLEObject Type="Embed" ProgID="Equation.3" ShapeID="_x0000_i1129" DrawAspect="Content" ObjectID="_1498392279" r:id="rId208"/>
        </w:object>
      </w:r>
    </w:p>
    <w:p w:rsidR="00DA59A4" w:rsidRPr="00B04DC3" w:rsidRDefault="00DA59A4" w:rsidP="00DA59A4">
      <w:pPr>
        <w:pStyle w:val="para"/>
        <w:rPr>
          <w:lang w:val="en-GB"/>
        </w:rPr>
      </w:pPr>
      <w:r w:rsidRPr="00B04DC3">
        <w:rPr>
          <w:lang w:val="en-GB"/>
        </w:rPr>
        <w:tab/>
      </w:r>
      <w:r w:rsidR="009105AC" w:rsidRPr="00B04DC3">
        <w:rPr>
          <w:lang w:val="en-GB"/>
        </w:rPr>
        <w:t>With</w:t>
      </w:r>
      <w:r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t>A</w:t>
      </w:r>
      <w:r w:rsidRPr="00B04DC3">
        <w:rPr>
          <w:vertAlign w:val="subscript"/>
          <w:lang w:val="en-GB"/>
        </w:rPr>
        <w:t>0</w:t>
      </w:r>
      <w:r w:rsidRPr="00B04DC3">
        <w:rPr>
          <w:lang w:val="en-GB"/>
        </w:rPr>
        <w:tab/>
        <w:t>=</w:t>
      </w:r>
      <w:r w:rsidRPr="00B04DC3">
        <w:rPr>
          <w:lang w:val="en-GB"/>
        </w:rPr>
        <w:tab/>
        <w:t xml:space="preserve">collection of constants and units conversions </w:t>
      </w:r>
    </w:p>
    <w:p w:rsidR="00DA59A4" w:rsidRPr="00B04DC3" w:rsidRDefault="00DA59A4" w:rsidP="00DA59A4">
      <w:pPr>
        <w:pStyle w:val="para"/>
        <w:tabs>
          <w:tab w:val="left" w:pos="2694"/>
        </w:tabs>
        <w:ind w:left="2977" w:hanging="709"/>
        <w:rPr>
          <w:lang w:val="en-GB"/>
        </w:rPr>
      </w:pPr>
      <w:r w:rsidRPr="00B04DC3">
        <w:rPr>
          <w:lang w:val="en-GB"/>
        </w:rPr>
        <w:tab/>
        <w:t>=</w:t>
      </w:r>
      <w:r w:rsidRPr="00B04DC3">
        <w:rPr>
          <w:lang w:val="en-GB"/>
        </w:rPr>
        <w:tab/>
        <w:t xml:space="preserve">0.006111 in SI units of </w:t>
      </w:r>
      <w:r w:rsidRPr="00B04DC3">
        <w:rPr>
          <w:position w:val="-50"/>
          <w:lang w:val="en-GB"/>
        </w:rPr>
        <w:object w:dxaOrig="2120" w:dyaOrig="1120">
          <v:shape id="_x0000_i1130" type="#_x0000_t75" style="width:89.4pt;height:47.4pt" o:ole="" fillcolor="window">
            <v:imagedata r:id="rId209" o:title=""/>
          </v:shape>
          <o:OLEObject Type="Embed" ProgID="Equation.3" ShapeID="_x0000_i1130" DrawAspect="Content" ObjectID="_1498392280" r:id="rId210"/>
        </w:object>
      </w:r>
    </w:p>
    <w:p w:rsidR="00DA59A4" w:rsidRPr="00B04DC3" w:rsidRDefault="00DA59A4" w:rsidP="00DA59A4">
      <w:pPr>
        <w:pStyle w:val="para"/>
        <w:tabs>
          <w:tab w:val="left" w:pos="2694"/>
        </w:tabs>
        <w:ind w:left="2977" w:hanging="709"/>
        <w:rPr>
          <w:lang w:val="en-GB"/>
        </w:rPr>
      </w:pPr>
      <w:r w:rsidRPr="00B04DC3">
        <w:rPr>
          <w:lang w:val="en-GB"/>
        </w:rPr>
        <w:t>d</w:t>
      </w:r>
      <w:r w:rsidRPr="00B04DC3">
        <w:rPr>
          <w:lang w:val="en-GB"/>
        </w:rPr>
        <w:tab/>
        <w:t>=</w:t>
      </w:r>
      <w:r w:rsidRPr="00B04DC3">
        <w:rPr>
          <w:lang w:val="en-GB"/>
        </w:rPr>
        <w:tab/>
        <w:t>diameter of the SSV throat, m</w:t>
      </w:r>
    </w:p>
    <w:p w:rsidR="00DA59A4" w:rsidRPr="00B04DC3" w:rsidRDefault="00DA59A4" w:rsidP="00DA59A4">
      <w:pPr>
        <w:pStyle w:val="para"/>
        <w:tabs>
          <w:tab w:val="left" w:pos="2694"/>
        </w:tabs>
        <w:ind w:left="2977" w:hanging="709"/>
        <w:rPr>
          <w:lang w:val="en-GB"/>
        </w:rPr>
      </w:pPr>
      <w:r w:rsidRPr="00B04DC3">
        <w:rPr>
          <w:lang w:val="en-GB"/>
        </w:rPr>
        <w:t>C</w:t>
      </w:r>
      <w:r w:rsidRPr="00B04DC3">
        <w:rPr>
          <w:vertAlign w:val="subscript"/>
          <w:lang w:val="en-GB"/>
        </w:rPr>
        <w:t>d</w:t>
      </w:r>
      <w:r w:rsidRPr="00B04DC3">
        <w:rPr>
          <w:vertAlign w:val="subscript"/>
          <w:lang w:val="en-GB"/>
        </w:rPr>
        <w:tab/>
      </w:r>
      <w:r w:rsidRPr="00B04DC3">
        <w:rPr>
          <w:lang w:val="en-GB"/>
        </w:rPr>
        <w:t>=</w:t>
      </w:r>
      <w:r w:rsidRPr="00B04DC3">
        <w:rPr>
          <w:lang w:val="en-GB"/>
        </w:rPr>
        <w:tab/>
        <w:t>discharge coefficient of the SSV</w:t>
      </w:r>
    </w:p>
    <w:p w:rsidR="00DA59A4" w:rsidRPr="00B04DC3" w:rsidRDefault="00DA59A4" w:rsidP="00DA59A4">
      <w:pPr>
        <w:pStyle w:val="para"/>
        <w:tabs>
          <w:tab w:val="left" w:pos="2694"/>
        </w:tabs>
        <w:ind w:left="2977" w:hanging="709"/>
        <w:rPr>
          <w:lang w:val="en-GB"/>
        </w:rPr>
      </w:pPr>
      <w:r w:rsidRPr="00B04DC3">
        <w:rPr>
          <w:lang w:val="en-GB"/>
        </w:rPr>
        <w:t>p</w:t>
      </w:r>
      <w:r w:rsidRPr="00B04DC3">
        <w:rPr>
          <w:vertAlign w:val="subscript"/>
          <w:lang w:val="en-GB"/>
        </w:rPr>
        <w:t>p</w:t>
      </w:r>
      <w:r w:rsidRPr="00B04DC3">
        <w:rPr>
          <w:vertAlign w:val="subscript"/>
          <w:lang w:val="en-GB"/>
        </w:rPr>
        <w:tab/>
      </w:r>
      <w:r w:rsidRPr="00B04DC3">
        <w:rPr>
          <w:lang w:val="en-GB"/>
        </w:rPr>
        <w:t>=</w:t>
      </w:r>
      <w:r w:rsidRPr="00B04DC3">
        <w:rPr>
          <w:lang w:val="en-GB"/>
        </w:rPr>
        <w:tab/>
        <w:t>absolute pressure at venturi inlet, kPa</w:t>
      </w:r>
    </w:p>
    <w:p w:rsidR="00DA59A4" w:rsidRPr="00B04DC3" w:rsidRDefault="00DA59A4" w:rsidP="00AA0E48">
      <w:pPr>
        <w:pStyle w:val="para"/>
        <w:tabs>
          <w:tab w:val="left" w:pos="2694"/>
        </w:tabs>
        <w:spacing w:after="40"/>
        <w:ind w:left="2977" w:hanging="709"/>
        <w:rPr>
          <w:lang w:val="en-GB"/>
        </w:rPr>
      </w:pPr>
      <w:r w:rsidRPr="00B04DC3">
        <w:rPr>
          <w:lang w:val="en-GB"/>
        </w:rPr>
        <w:t>T</w:t>
      </w:r>
      <w:r w:rsidRPr="00B04DC3">
        <w:rPr>
          <w:lang w:val="en-GB"/>
        </w:rPr>
        <w:tab/>
        <w:t>=</w:t>
      </w:r>
      <w:r w:rsidRPr="00B04DC3">
        <w:rPr>
          <w:lang w:val="en-GB"/>
        </w:rPr>
        <w:tab/>
        <w:t>temperature at the venturi inlet, K</w:t>
      </w:r>
    </w:p>
    <w:p w:rsidR="00DA59A4" w:rsidRPr="00B04DC3" w:rsidRDefault="00DA59A4" w:rsidP="00DA59A4">
      <w:pPr>
        <w:pStyle w:val="para"/>
        <w:tabs>
          <w:tab w:val="left" w:pos="2694"/>
        </w:tabs>
        <w:ind w:left="2977" w:hanging="709"/>
        <w:rPr>
          <w:lang w:val="en-GB"/>
        </w:rPr>
      </w:pPr>
      <w:r w:rsidRPr="00AA0E48">
        <w:rPr>
          <w:position w:val="-6"/>
          <w:lang w:val="en-GB"/>
        </w:rPr>
        <w:t>r</w:t>
      </w:r>
      <w:r w:rsidRPr="00AA0E48">
        <w:rPr>
          <w:position w:val="-6"/>
          <w:vertAlign w:val="subscript"/>
          <w:lang w:val="en-GB"/>
        </w:rPr>
        <w:t>p</w:t>
      </w:r>
      <w:r w:rsidRPr="00AA0E48">
        <w:rPr>
          <w:position w:val="-6"/>
          <w:lang w:val="en-GB"/>
        </w:rPr>
        <w:tab/>
        <w:t>=</w:t>
      </w:r>
      <w:r w:rsidRPr="00AA0E48">
        <w:rPr>
          <w:position w:val="-6"/>
          <w:lang w:val="en-GB"/>
        </w:rPr>
        <w:tab/>
        <w:t>ratio of the SSV throat to in</w:t>
      </w:r>
      <w:r w:rsidR="00AA0E48" w:rsidRPr="00AA0E48">
        <w:rPr>
          <w:position w:val="-6"/>
          <w:lang w:val="en-GB"/>
        </w:rPr>
        <w:t xml:space="preserve">let absolute, static pressure  </w:t>
      </w:r>
      <w:r w:rsidR="00AA0E48" w:rsidRPr="00B04DC3">
        <w:rPr>
          <w:position w:val="-30"/>
          <w:lang w:val="en-GB"/>
        </w:rPr>
        <w:object w:dxaOrig="880" w:dyaOrig="680">
          <v:shape id="_x0000_i1131" type="#_x0000_t75" style="width:36pt;height:27.6pt" o:ole="">
            <v:imagedata r:id="rId211" o:title=""/>
          </v:shape>
          <o:OLEObject Type="Embed" ProgID="Equation.3" ShapeID="_x0000_i1131" DrawAspect="Content" ObjectID="_1498392281" r:id="rId212"/>
        </w:object>
      </w:r>
    </w:p>
    <w:p w:rsidR="00DA59A4" w:rsidRPr="00B04DC3" w:rsidRDefault="00DA59A4" w:rsidP="00DA59A4">
      <w:pPr>
        <w:pStyle w:val="para"/>
        <w:tabs>
          <w:tab w:val="left" w:pos="2694"/>
        </w:tabs>
        <w:ind w:left="2977" w:hanging="709"/>
        <w:rPr>
          <w:lang w:val="en-GB"/>
        </w:rPr>
      </w:pPr>
      <w:r w:rsidRPr="00B04DC3">
        <w:rPr>
          <w:lang w:val="en-GB"/>
        </w:rPr>
        <w:t>r</w:t>
      </w:r>
      <w:r w:rsidRPr="00B04DC3">
        <w:rPr>
          <w:vertAlign w:val="subscript"/>
          <w:lang w:val="en-GB"/>
        </w:rPr>
        <w:t>D</w:t>
      </w:r>
      <w:r w:rsidRPr="00B04DC3">
        <w:rPr>
          <w:lang w:val="en-GB"/>
        </w:rPr>
        <w:tab/>
        <w:t>=</w:t>
      </w:r>
      <w:r w:rsidRPr="00B04DC3">
        <w:rPr>
          <w:lang w:val="en-GB"/>
        </w:rPr>
        <w:tab/>
        <w:t>ratio of the SSV throat diameter, d, to the inlet pipe inner diameter D</w:t>
      </w:r>
    </w:p>
    <w:p w:rsidR="00DA59A4" w:rsidRPr="00B04DC3" w:rsidRDefault="00DA59A4" w:rsidP="00DA59A4">
      <w:pPr>
        <w:pStyle w:val="para"/>
        <w:rPr>
          <w:lang w:val="en-GB"/>
        </w:rPr>
      </w:pPr>
    </w:p>
    <w:p w:rsidR="00DA59A4" w:rsidRPr="00B04DC3" w:rsidRDefault="00DA59A4" w:rsidP="00DA59A4">
      <w:pPr>
        <w:pStyle w:val="para"/>
        <w:rPr>
          <w:lang w:val="en-GB"/>
        </w:rPr>
      </w:pPr>
      <w:r w:rsidRPr="00B04DC3">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rsidR="00DA59A4" w:rsidRPr="00B04DC3" w:rsidRDefault="00DA59A4" w:rsidP="00DA59A4">
      <w:pPr>
        <w:pStyle w:val="para"/>
        <w:rPr>
          <w:lang w:val="en-GB"/>
        </w:rPr>
      </w:pPr>
      <w:r w:rsidRPr="00B04DC3">
        <w:rPr>
          <w:lang w:val="en-GB"/>
        </w:rPr>
        <w:tab/>
        <w:t>For the PDP-CVS system:</w:t>
      </w:r>
    </w:p>
    <w:p w:rsidR="00DA59A4" w:rsidRPr="00B04DC3" w:rsidRDefault="00DA59A4" w:rsidP="00DA59A4">
      <w:pPr>
        <w:pStyle w:val="para"/>
        <w:tabs>
          <w:tab w:val="left" w:pos="2694"/>
        </w:tabs>
        <w:ind w:left="2977" w:hanging="709"/>
        <w:rPr>
          <w:lang w:val="en-GB"/>
        </w:rPr>
      </w:pPr>
      <w:r w:rsidRPr="00B04DC3">
        <w:rPr>
          <w:lang w:val="en-GB"/>
        </w:rPr>
        <w:t>m</w:t>
      </w:r>
      <w:r w:rsidRPr="00B04DC3">
        <w:rPr>
          <w:vertAlign w:val="subscript"/>
          <w:lang w:val="en-GB"/>
        </w:rPr>
        <w:t>ed,i</w:t>
      </w:r>
      <w:r w:rsidRPr="00B04DC3">
        <w:rPr>
          <w:lang w:val="en-GB"/>
        </w:rPr>
        <w:t xml:space="preserve"> = 1.293 </w:t>
      </w:r>
      <w:r w:rsidRPr="00B04DC3">
        <w:rPr>
          <w:position w:val="-4"/>
          <w:lang w:val="en-GB"/>
        </w:rPr>
        <w:object w:dxaOrig="180" w:dyaOrig="200">
          <v:shape id="_x0000_i1132" type="#_x0000_t75" style="width:9.6pt;height:9.6pt" o:ole="">
            <v:imagedata r:id="rId199" o:title=""/>
          </v:shape>
          <o:OLEObject Type="Embed" ProgID="Equation.3" ShapeID="_x0000_i1132" DrawAspect="Content" ObjectID="_1498392282" r:id="rId213"/>
        </w:object>
      </w:r>
      <w:r w:rsidRPr="00B04DC3">
        <w:rPr>
          <w:lang w:val="en-GB"/>
        </w:rPr>
        <w:t xml:space="preserve"> V</w:t>
      </w:r>
      <w:r w:rsidRPr="00B04DC3">
        <w:rPr>
          <w:vertAlign w:val="subscript"/>
          <w:lang w:val="en-GB"/>
        </w:rPr>
        <w:t>0</w:t>
      </w:r>
      <w:r w:rsidRPr="00B04DC3">
        <w:rPr>
          <w:lang w:val="en-GB"/>
        </w:rPr>
        <w:t xml:space="preserve"> </w:t>
      </w:r>
      <w:r w:rsidRPr="00B04DC3">
        <w:rPr>
          <w:position w:val="-4"/>
          <w:lang w:val="en-GB"/>
        </w:rPr>
        <w:object w:dxaOrig="180" w:dyaOrig="200">
          <v:shape id="_x0000_i1133" type="#_x0000_t75" style="width:9.6pt;height:9.6pt" o:ole="">
            <v:imagedata r:id="rId199" o:title=""/>
          </v:shape>
          <o:OLEObject Type="Embed" ProgID="Equation.3" ShapeID="_x0000_i1133" DrawAspect="Content" ObjectID="_1498392283" r:id="rId214"/>
        </w:object>
      </w:r>
      <w:r w:rsidRPr="00B04DC3">
        <w:rPr>
          <w:lang w:val="en-GB"/>
        </w:rPr>
        <w:t xml:space="preserve"> N</w:t>
      </w:r>
      <w:r w:rsidRPr="00B04DC3">
        <w:rPr>
          <w:vertAlign w:val="subscript"/>
          <w:lang w:val="en-GB"/>
        </w:rPr>
        <w:t>P,i</w:t>
      </w:r>
      <w:r w:rsidRPr="00B04DC3">
        <w:rPr>
          <w:lang w:val="en-GB"/>
        </w:rPr>
        <w:t xml:space="preserve"> </w:t>
      </w:r>
      <w:r w:rsidRPr="00B04DC3">
        <w:rPr>
          <w:position w:val="-4"/>
          <w:lang w:val="en-GB"/>
        </w:rPr>
        <w:object w:dxaOrig="180" w:dyaOrig="200">
          <v:shape id="_x0000_i1134" type="#_x0000_t75" style="width:9.6pt;height:9.6pt" o:ole="">
            <v:imagedata r:id="rId199" o:title=""/>
          </v:shape>
          <o:OLEObject Type="Embed" ProgID="Equation.3" ShapeID="_x0000_i1134" DrawAspect="Content" ObjectID="_1498392284" r:id="rId215"/>
        </w:object>
      </w:r>
      <w:r w:rsidRPr="00B04DC3">
        <w:rPr>
          <w:lang w:val="en-GB"/>
        </w:rPr>
        <w:t xml:space="preserve"> (p</w:t>
      </w:r>
      <w:r w:rsidRPr="00B04DC3">
        <w:rPr>
          <w:vertAlign w:val="subscript"/>
          <w:lang w:val="en-GB"/>
        </w:rPr>
        <w:t>b</w:t>
      </w:r>
      <w:r w:rsidRPr="00B04DC3">
        <w:rPr>
          <w:lang w:val="en-GB"/>
        </w:rPr>
        <w:t xml:space="preserve"> - p</w:t>
      </w:r>
      <w:r w:rsidRPr="00B04DC3">
        <w:rPr>
          <w:vertAlign w:val="subscript"/>
          <w:lang w:val="en-GB"/>
        </w:rPr>
        <w:t>1</w:t>
      </w:r>
      <w:r w:rsidRPr="00B04DC3">
        <w:rPr>
          <w:lang w:val="en-GB"/>
        </w:rPr>
        <w:t xml:space="preserve">) </w:t>
      </w:r>
      <w:r w:rsidRPr="00B04DC3">
        <w:rPr>
          <w:position w:val="-4"/>
          <w:lang w:val="en-GB"/>
        </w:rPr>
        <w:object w:dxaOrig="180" w:dyaOrig="200">
          <v:shape id="_x0000_i1135" type="#_x0000_t75" style="width:9.6pt;height:9.6pt" o:ole="">
            <v:imagedata r:id="rId199" o:title=""/>
          </v:shape>
          <o:OLEObject Type="Embed" ProgID="Equation.3" ShapeID="_x0000_i1135" DrawAspect="Content" ObjectID="_1498392285" r:id="rId216"/>
        </w:object>
      </w:r>
      <w:r w:rsidRPr="00B04DC3">
        <w:rPr>
          <w:lang w:val="en-GB"/>
        </w:rPr>
        <w:t xml:space="preserve"> 273 / (101.3 </w:t>
      </w:r>
      <w:r w:rsidRPr="00B04DC3">
        <w:rPr>
          <w:position w:val="-4"/>
          <w:lang w:val="en-GB"/>
        </w:rPr>
        <w:object w:dxaOrig="180" w:dyaOrig="200">
          <v:shape id="_x0000_i1136" type="#_x0000_t75" style="width:9.6pt;height:9.6pt" o:ole="">
            <v:imagedata r:id="rId199" o:title=""/>
          </v:shape>
          <o:OLEObject Type="Embed" ProgID="Equation.3" ShapeID="_x0000_i1136" DrawAspect="Content" ObjectID="_1498392286" r:id="rId217"/>
        </w:object>
      </w:r>
      <w:r w:rsidRPr="00B04DC3">
        <w:rPr>
          <w:lang w:val="en-GB"/>
        </w:rPr>
        <w:t xml:space="preserve"> T)</w:t>
      </w:r>
    </w:p>
    <w:p w:rsidR="00DA59A4" w:rsidRPr="00B04DC3" w:rsidRDefault="009105AC" w:rsidP="00DA59A4">
      <w:pPr>
        <w:pStyle w:val="para"/>
        <w:tabs>
          <w:tab w:val="left" w:pos="2694"/>
        </w:tabs>
        <w:ind w:left="2977" w:hanging="709"/>
        <w:rPr>
          <w:lang w:val="en-GB"/>
        </w:rPr>
      </w:pPr>
      <w:r w:rsidRPr="00B04DC3">
        <w:rPr>
          <w:lang w:val="en-GB"/>
        </w:rPr>
        <w:t>Where</w:t>
      </w:r>
      <w:r w:rsidR="00DA59A4"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t>N</w:t>
      </w:r>
      <w:r w:rsidRPr="00B04DC3">
        <w:rPr>
          <w:vertAlign w:val="subscript"/>
          <w:lang w:val="en-GB"/>
        </w:rPr>
        <w:t>P,i</w:t>
      </w:r>
      <w:r w:rsidRPr="00B04DC3">
        <w:rPr>
          <w:lang w:val="en-GB"/>
        </w:rPr>
        <w:tab/>
        <w:t>=</w:t>
      </w:r>
      <w:r w:rsidRPr="00B04DC3">
        <w:rPr>
          <w:lang w:val="en-GB"/>
        </w:rPr>
        <w:tab/>
        <w:t>total revolutions of pump per time interval</w:t>
      </w:r>
    </w:p>
    <w:p w:rsidR="00DA59A4" w:rsidRPr="00B04DC3" w:rsidRDefault="00DA59A4" w:rsidP="00DA59A4">
      <w:pPr>
        <w:pStyle w:val="para"/>
        <w:tabs>
          <w:tab w:val="left" w:pos="2694"/>
        </w:tabs>
        <w:ind w:left="2977" w:hanging="709"/>
        <w:rPr>
          <w:lang w:val="en-GB"/>
        </w:rPr>
      </w:pPr>
      <w:r w:rsidRPr="00B04DC3">
        <w:rPr>
          <w:lang w:val="en-GB"/>
        </w:rPr>
        <w:t>For the CFV-CVS system:</w:t>
      </w:r>
    </w:p>
    <w:p w:rsidR="00DA59A4" w:rsidRPr="00B04DC3" w:rsidRDefault="00DA59A4" w:rsidP="00DA59A4">
      <w:pPr>
        <w:pStyle w:val="para"/>
        <w:tabs>
          <w:tab w:val="left" w:pos="2694"/>
        </w:tabs>
        <w:ind w:left="2977" w:hanging="709"/>
        <w:rPr>
          <w:vertAlign w:val="superscript"/>
          <w:lang w:val="en-GB"/>
        </w:rPr>
      </w:pPr>
      <w:r w:rsidRPr="00B04DC3">
        <w:rPr>
          <w:lang w:val="en-GB"/>
        </w:rPr>
        <w:t>m</w:t>
      </w:r>
      <w:r w:rsidRPr="00B04DC3">
        <w:rPr>
          <w:vertAlign w:val="subscript"/>
          <w:lang w:val="en-GB"/>
        </w:rPr>
        <w:t>ed,i</w:t>
      </w:r>
      <w:r w:rsidRPr="00B04DC3">
        <w:rPr>
          <w:lang w:val="en-GB"/>
        </w:rPr>
        <w:t xml:space="preserve"> = 1.293 </w:t>
      </w:r>
      <w:r w:rsidRPr="00B04DC3">
        <w:rPr>
          <w:position w:val="-4"/>
          <w:lang w:val="en-GB"/>
        </w:rPr>
        <w:object w:dxaOrig="180" w:dyaOrig="200">
          <v:shape id="_x0000_i1137" type="#_x0000_t75" style="width:9.6pt;height:9.6pt" o:ole="">
            <v:imagedata r:id="rId199" o:title=""/>
          </v:shape>
          <o:OLEObject Type="Embed" ProgID="Equation.3" ShapeID="_x0000_i1137" DrawAspect="Content" ObjectID="_1498392287" r:id="rId218"/>
        </w:object>
      </w:r>
      <w:r w:rsidRPr="00B04DC3">
        <w:rPr>
          <w:lang w:val="en-GB"/>
        </w:rPr>
        <w:t xml:space="preserve"> </w:t>
      </w:r>
      <w:r w:rsidRPr="00B04DC3">
        <w:rPr>
          <w:lang w:val="en-GB"/>
        </w:rPr>
        <w:sym w:font="Symbol" w:char="F044"/>
      </w:r>
      <w:r w:rsidRPr="00B04DC3">
        <w:rPr>
          <w:lang w:val="en-GB"/>
        </w:rPr>
        <w:t>t</w:t>
      </w:r>
      <w:r w:rsidRPr="00B04DC3">
        <w:rPr>
          <w:vertAlign w:val="subscript"/>
          <w:lang w:val="en-GB"/>
        </w:rPr>
        <w:t>i</w:t>
      </w:r>
      <w:r w:rsidRPr="00B04DC3">
        <w:rPr>
          <w:lang w:val="en-GB"/>
        </w:rPr>
        <w:t xml:space="preserve"> </w:t>
      </w:r>
      <w:r w:rsidRPr="00B04DC3">
        <w:rPr>
          <w:position w:val="-4"/>
          <w:lang w:val="en-GB"/>
        </w:rPr>
        <w:object w:dxaOrig="180" w:dyaOrig="200">
          <v:shape id="_x0000_i1138" type="#_x0000_t75" style="width:9.6pt;height:9.6pt" o:ole="">
            <v:imagedata r:id="rId199" o:title=""/>
          </v:shape>
          <o:OLEObject Type="Embed" ProgID="Equation.3" ShapeID="_x0000_i1138" DrawAspect="Content" ObjectID="_1498392288" r:id="rId219"/>
        </w:object>
      </w:r>
      <w:r w:rsidRPr="00B04DC3">
        <w:rPr>
          <w:lang w:val="en-GB"/>
        </w:rPr>
        <w:t xml:space="preserve"> K</w:t>
      </w:r>
      <w:r w:rsidRPr="00B04DC3">
        <w:rPr>
          <w:vertAlign w:val="subscript"/>
          <w:lang w:val="en-GB"/>
        </w:rPr>
        <w:t>V</w:t>
      </w:r>
      <w:r w:rsidRPr="00B04DC3">
        <w:rPr>
          <w:lang w:val="en-GB"/>
        </w:rPr>
        <w:t xml:space="preserve"> </w:t>
      </w:r>
      <w:r w:rsidRPr="00B04DC3">
        <w:rPr>
          <w:position w:val="-4"/>
          <w:lang w:val="en-GB"/>
        </w:rPr>
        <w:object w:dxaOrig="180" w:dyaOrig="200">
          <v:shape id="_x0000_i1139" type="#_x0000_t75" style="width:9.6pt;height:9.6pt" o:ole="">
            <v:imagedata r:id="rId199" o:title=""/>
          </v:shape>
          <o:OLEObject Type="Embed" ProgID="Equation.3" ShapeID="_x0000_i1139" DrawAspect="Content" ObjectID="_1498392289" r:id="rId220"/>
        </w:object>
      </w:r>
      <w:r w:rsidRPr="00B04DC3">
        <w:rPr>
          <w:lang w:val="en-GB"/>
        </w:rPr>
        <w:t xml:space="preserve"> p</w:t>
      </w:r>
      <w:r w:rsidRPr="00B04DC3">
        <w:rPr>
          <w:vertAlign w:val="subscript"/>
          <w:lang w:val="en-GB"/>
        </w:rPr>
        <w:t>p</w:t>
      </w:r>
      <w:r w:rsidRPr="00B04DC3">
        <w:rPr>
          <w:lang w:val="en-GB"/>
        </w:rPr>
        <w:t xml:space="preserve"> / T</w:t>
      </w:r>
      <w:r w:rsidRPr="00B04DC3">
        <w:rPr>
          <w:vertAlign w:val="superscript"/>
          <w:lang w:val="en-GB"/>
        </w:rPr>
        <w:t xml:space="preserve"> 0.5</w:t>
      </w:r>
    </w:p>
    <w:p w:rsidR="00DA59A4" w:rsidRPr="00B04DC3" w:rsidRDefault="009105AC" w:rsidP="00DA59A4">
      <w:pPr>
        <w:pStyle w:val="para"/>
        <w:tabs>
          <w:tab w:val="left" w:pos="2694"/>
        </w:tabs>
        <w:ind w:left="2977" w:hanging="709"/>
        <w:rPr>
          <w:lang w:val="en-GB"/>
        </w:rPr>
      </w:pPr>
      <w:r w:rsidRPr="00B04DC3">
        <w:rPr>
          <w:lang w:val="en-GB"/>
        </w:rPr>
        <w:t>Where</w:t>
      </w:r>
      <w:r w:rsidR="00DA59A4"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sym w:font="Symbol" w:char="F044"/>
      </w:r>
      <w:r w:rsidRPr="00B04DC3">
        <w:rPr>
          <w:lang w:val="en-GB"/>
        </w:rPr>
        <w:t>t</w:t>
      </w:r>
      <w:r w:rsidRPr="00B04DC3">
        <w:rPr>
          <w:vertAlign w:val="subscript"/>
          <w:lang w:val="en-GB"/>
        </w:rPr>
        <w:t>i</w:t>
      </w:r>
      <w:r w:rsidRPr="00B04DC3">
        <w:rPr>
          <w:lang w:val="en-GB"/>
        </w:rPr>
        <w:tab/>
        <w:t>=</w:t>
      </w:r>
      <w:r w:rsidRPr="00B04DC3">
        <w:rPr>
          <w:lang w:val="en-GB"/>
        </w:rPr>
        <w:tab/>
        <w:t>time interval, s</w:t>
      </w:r>
    </w:p>
    <w:p w:rsidR="00DA59A4" w:rsidRPr="00B04DC3" w:rsidRDefault="00DA59A4" w:rsidP="00DA59A4">
      <w:pPr>
        <w:pStyle w:val="para"/>
        <w:tabs>
          <w:tab w:val="left" w:pos="2694"/>
        </w:tabs>
        <w:ind w:left="2977" w:hanging="709"/>
        <w:rPr>
          <w:lang w:val="en-GB"/>
        </w:rPr>
      </w:pPr>
      <w:r w:rsidRPr="00B04DC3">
        <w:rPr>
          <w:lang w:val="en-GB"/>
        </w:rPr>
        <w:t>For the SSV-CVS system:</w:t>
      </w:r>
    </w:p>
    <w:p w:rsidR="00DA59A4" w:rsidRPr="00B04DC3" w:rsidRDefault="00DA59A4" w:rsidP="00DA59A4">
      <w:pPr>
        <w:pStyle w:val="para"/>
        <w:tabs>
          <w:tab w:val="left" w:pos="2694"/>
        </w:tabs>
        <w:ind w:left="2977" w:hanging="709"/>
        <w:rPr>
          <w:lang w:val="en-GB"/>
        </w:rPr>
      </w:pPr>
      <w:r w:rsidRPr="00B04DC3">
        <w:rPr>
          <w:lang w:val="en-GB"/>
        </w:rPr>
        <w:t>m</w:t>
      </w:r>
      <w:r w:rsidRPr="00B04DC3">
        <w:rPr>
          <w:vertAlign w:val="subscript"/>
          <w:lang w:val="en-GB"/>
        </w:rPr>
        <w:t>ed,i</w:t>
      </w:r>
      <w:r w:rsidRPr="00B04DC3">
        <w:rPr>
          <w:lang w:val="en-GB"/>
        </w:rPr>
        <w:tab/>
        <w:t>=</w:t>
      </w:r>
      <w:r w:rsidRPr="00B04DC3">
        <w:rPr>
          <w:lang w:val="en-GB"/>
        </w:rPr>
        <w:tab/>
        <w:t xml:space="preserve">1.293 </w:t>
      </w:r>
      <w:r w:rsidRPr="00B04DC3">
        <w:rPr>
          <w:position w:val="-4"/>
          <w:lang w:val="en-GB"/>
        </w:rPr>
        <w:object w:dxaOrig="180" w:dyaOrig="200">
          <v:shape id="_x0000_i1140" type="#_x0000_t75" style="width:9.6pt;height:9.6pt" o:ole="">
            <v:imagedata r:id="rId199" o:title=""/>
          </v:shape>
          <o:OLEObject Type="Embed" ProgID="Equation.3" ShapeID="_x0000_i1140" DrawAspect="Content" ObjectID="_1498392290" r:id="rId221"/>
        </w:object>
      </w:r>
      <w:r w:rsidRPr="00B04DC3">
        <w:rPr>
          <w:lang w:val="en-GB"/>
        </w:rPr>
        <w:t xml:space="preserve"> Q</w:t>
      </w:r>
      <w:r w:rsidRPr="00B04DC3">
        <w:rPr>
          <w:vertAlign w:val="subscript"/>
          <w:lang w:val="en-GB"/>
        </w:rPr>
        <w:t>SSV</w:t>
      </w:r>
      <w:r w:rsidRPr="00B04DC3">
        <w:rPr>
          <w:lang w:val="en-GB"/>
        </w:rPr>
        <w:t xml:space="preserve"> </w:t>
      </w:r>
      <w:r w:rsidRPr="00B04DC3">
        <w:rPr>
          <w:position w:val="-4"/>
          <w:lang w:val="en-GB"/>
        </w:rPr>
        <w:object w:dxaOrig="180" w:dyaOrig="200">
          <v:shape id="_x0000_i1141" type="#_x0000_t75" style="width:9.6pt;height:9.6pt" o:ole="">
            <v:imagedata r:id="rId199" o:title=""/>
          </v:shape>
          <o:OLEObject Type="Embed" ProgID="Equation.3" ShapeID="_x0000_i1141" DrawAspect="Content" ObjectID="_1498392291" r:id="rId222"/>
        </w:object>
      </w:r>
      <w:r w:rsidRPr="00B04DC3">
        <w:rPr>
          <w:lang w:val="en-GB"/>
        </w:rPr>
        <w:t xml:space="preserve"> </w:t>
      </w:r>
      <w:r w:rsidRPr="00B04DC3">
        <w:rPr>
          <w:lang w:val="en-GB"/>
        </w:rPr>
        <w:sym w:font="Symbol" w:char="F044"/>
      </w:r>
      <w:r w:rsidRPr="00B04DC3">
        <w:rPr>
          <w:lang w:val="en-GB"/>
        </w:rPr>
        <w:t>t</w:t>
      </w:r>
      <w:r w:rsidRPr="00B04DC3">
        <w:rPr>
          <w:vertAlign w:val="subscript"/>
          <w:lang w:val="en-GB"/>
        </w:rPr>
        <w:t>i</w:t>
      </w:r>
    </w:p>
    <w:p w:rsidR="00DA59A4" w:rsidRPr="00B04DC3" w:rsidRDefault="009105AC" w:rsidP="00DA59A4">
      <w:pPr>
        <w:pStyle w:val="para"/>
        <w:tabs>
          <w:tab w:val="left" w:pos="2694"/>
        </w:tabs>
        <w:ind w:left="2977" w:hanging="709"/>
        <w:rPr>
          <w:lang w:val="en-GB"/>
        </w:rPr>
      </w:pPr>
      <w:r w:rsidRPr="00B04DC3">
        <w:rPr>
          <w:lang w:val="en-GB"/>
        </w:rPr>
        <w:t>Where</w:t>
      </w:r>
      <w:r w:rsidR="00DA59A4" w:rsidRPr="00B04DC3">
        <w:rPr>
          <w:lang w:val="en-GB"/>
        </w:rPr>
        <w:t>:</w:t>
      </w:r>
    </w:p>
    <w:p w:rsidR="00DA59A4" w:rsidRPr="00B04DC3" w:rsidRDefault="00DA59A4" w:rsidP="00DA59A4">
      <w:pPr>
        <w:pStyle w:val="para"/>
        <w:tabs>
          <w:tab w:val="left" w:pos="2694"/>
        </w:tabs>
        <w:ind w:left="2977" w:hanging="709"/>
        <w:rPr>
          <w:lang w:val="en-GB"/>
        </w:rPr>
      </w:pPr>
      <w:r w:rsidRPr="00B04DC3">
        <w:rPr>
          <w:lang w:val="en-GB"/>
        </w:rPr>
        <w:sym w:font="Symbol" w:char="F044"/>
      </w:r>
      <w:r w:rsidRPr="00B04DC3">
        <w:rPr>
          <w:lang w:val="en-GB"/>
        </w:rPr>
        <w:t>t</w:t>
      </w:r>
      <w:r w:rsidRPr="00B04DC3">
        <w:rPr>
          <w:vertAlign w:val="subscript"/>
          <w:lang w:val="en-GB"/>
        </w:rPr>
        <w:t>i</w:t>
      </w:r>
      <w:r w:rsidRPr="00B04DC3">
        <w:rPr>
          <w:lang w:val="en-GB"/>
        </w:rPr>
        <w:tab/>
        <w:t>=</w:t>
      </w:r>
      <w:r w:rsidRPr="00B04DC3">
        <w:rPr>
          <w:lang w:val="en-GB"/>
        </w:rPr>
        <w:tab/>
        <w:t>time interval, s</w:t>
      </w:r>
    </w:p>
    <w:p w:rsidR="00DA59A4" w:rsidRPr="00B04DC3" w:rsidRDefault="00DA59A4" w:rsidP="00DA59A4">
      <w:pPr>
        <w:pStyle w:val="para"/>
        <w:rPr>
          <w:lang w:val="en-GB"/>
        </w:rPr>
      </w:pPr>
      <w:r w:rsidRPr="00B04DC3">
        <w:rPr>
          <w:lang w:val="en-GB"/>
        </w:rPr>
        <w:tab/>
        <w:t>The real time calculation shall be initialised with either a reasonable value for C</w:t>
      </w:r>
      <w:r w:rsidRPr="00B04DC3">
        <w:rPr>
          <w:vertAlign w:val="subscript"/>
          <w:lang w:val="en-GB"/>
        </w:rPr>
        <w:t>d</w:t>
      </w:r>
      <w:r w:rsidRPr="00B04DC3">
        <w:rPr>
          <w:lang w:val="en-GB"/>
        </w:rPr>
        <w:t>, such as 0.98, or a reasonable value of Q</w:t>
      </w:r>
      <w:r w:rsidRPr="00B04DC3">
        <w:rPr>
          <w:vertAlign w:val="subscript"/>
          <w:lang w:val="en-GB"/>
        </w:rPr>
        <w:t>ssv</w:t>
      </w:r>
      <w:r w:rsidRPr="00B04DC3">
        <w:rPr>
          <w:lang w:val="en-GB"/>
        </w:rPr>
        <w:t>. If the calculation is initialised with Q</w:t>
      </w:r>
      <w:r w:rsidRPr="00B04DC3">
        <w:rPr>
          <w:vertAlign w:val="subscript"/>
          <w:lang w:val="en-GB"/>
        </w:rPr>
        <w:t>ssv</w:t>
      </w:r>
      <w:r w:rsidRPr="00B04DC3">
        <w:rPr>
          <w:lang w:val="en-GB"/>
        </w:rPr>
        <w:t>, the initial value of Q</w:t>
      </w:r>
      <w:r w:rsidRPr="00B04DC3">
        <w:rPr>
          <w:vertAlign w:val="subscript"/>
          <w:lang w:val="en-GB"/>
        </w:rPr>
        <w:t>ssv</w:t>
      </w:r>
      <w:r w:rsidRPr="00B04DC3">
        <w:rPr>
          <w:lang w:val="en-GB"/>
        </w:rPr>
        <w:t xml:space="preserve"> shall be used to evaluate Re.</w:t>
      </w:r>
    </w:p>
    <w:p w:rsidR="00DA59A4" w:rsidRPr="00B04DC3" w:rsidRDefault="00DA59A4" w:rsidP="00DA59A4">
      <w:pPr>
        <w:pStyle w:val="para"/>
        <w:rPr>
          <w:lang w:val="en-GB"/>
        </w:rPr>
      </w:pPr>
      <w:r w:rsidRPr="00B04DC3">
        <w:rPr>
          <w:lang w:val="en-GB"/>
        </w:rPr>
        <w:tab/>
        <w:t>During all emissions tests, the Reynolds number at the SSV throat shall be in the range of Reynolds numbers used to derive the calibration curve developed in paragraph 2.4. of Appendix 5 to this annex.</w:t>
      </w:r>
    </w:p>
    <w:p w:rsidR="001448D0" w:rsidRPr="00B04DC3" w:rsidRDefault="001448D0" w:rsidP="001448D0">
      <w:pPr>
        <w:pStyle w:val="para"/>
        <w:rPr>
          <w:lang w:val="en-GB"/>
        </w:rPr>
      </w:pPr>
      <w:r w:rsidRPr="00B04DC3">
        <w:rPr>
          <w:lang w:val="en-GB"/>
        </w:rPr>
        <w:t>4.2.</w:t>
      </w:r>
      <w:r w:rsidRPr="00B04DC3">
        <w:rPr>
          <w:lang w:val="en-GB"/>
        </w:rPr>
        <w:tab/>
        <w:t>Determination of raw exhaust gas mass flow</w:t>
      </w:r>
    </w:p>
    <w:p w:rsidR="001448D0" w:rsidRPr="00AA0E48" w:rsidRDefault="001448D0" w:rsidP="001448D0">
      <w:pPr>
        <w:pStyle w:val="para"/>
        <w:rPr>
          <w:spacing w:val="-2"/>
          <w:lang w:val="en-GB"/>
        </w:rPr>
      </w:pPr>
      <w:r w:rsidRPr="00AA0E48">
        <w:rPr>
          <w:spacing w:val="-2"/>
          <w:lang w:val="en-GB"/>
        </w:rPr>
        <w:tab/>
        <w:t>For calculation of the emissions in the raw exhaust gas and for controlling of a partial flow dilution system, it is necessary to know the exhaust gas mass flow rate. For the determination of the exhaust mass flow rate, either of the methods described in paragraphs 4.2.2. to 4.2.5. of this appendix may be used.</w:t>
      </w:r>
    </w:p>
    <w:p w:rsidR="001448D0" w:rsidRPr="00B04DC3" w:rsidRDefault="001448D0" w:rsidP="001448D0">
      <w:pPr>
        <w:pStyle w:val="para"/>
        <w:rPr>
          <w:lang w:val="en-GB"/>
        </w:rPr>
      </w:pPr>
      <w:r w:rsidRPr="00B04DC3">
        <w:rPr>
          <w:lang w:val="en-GB"/>
        </w:rPr>
        <w:tab/>
        <w:t>Only the direct measurement of the exhaust flow is applicable for dual-fuel engines operating in dual-fuel mode. The use of the air and fuel measurement method is not allowed in this mode.</w:t>
      </w:r>
    </w:p>
    <w:p w:rsidR="00DA59A4" w:rsidRPr="00B04DC3" w:rsidRDefault="00DA59A4" w:rsidP="00DA59A4">
      <w:pPr>
        <w:pStyle w:val="para"/>
        <w:rPr>
          <w:lang w:val="en-GB"/>
        </w:rPr>
      </w:pPr>
      <w:r w:rsidRPr="00B04DC3">
        <w:rPr>
          <w:lang w:val="en-GB"/>
        </w:rPr>
        <w:t>4.2.1.</w:t>
      </w:r>
      <w:r w:rsidRPr="00B04DC3">
        <w:rPr>
          <w:lang w:val="en-GB"/>
        </w:rPr>
        <w:tab/>
        <w:t>Response time</w:t>
      </w:r>
    </w:p>
    <w:p w:rsidR="00DA59A4" w:rsidRPr="00B04DC3" w:rsidRDefault="00DA59A4" w:rsidP="00DA59A4">
      <w:pPr>
        <w:pStyle w:val="para"/>
        <w:rPr>
          <w:lang w:val="en-GB"/>
        </w:rPr>
      </w:pPr>
      <w:r w:rsidRPr="00B04DC3">
        <w:rPr>
          <w:lang w:val="en-GB"/>
        </w:rPr>
        <w:tab/>
        <w:t>For the purpose of emissions calculation, the response time of either method described below shall be equal to or less than the requirement for the analyzer response time, as defined in paragraph 1.5. of Appendix 5 to this annex.</w:t>
      </w:r>
    </w:p>
    <w:p w:rsidR="00DA59A4" w:rsidRPr="00B04DC3" w:rsidRDefault="00DA59A4" w:rsidP="00DA59A4">
      <w:pPr>
        <w:pStyle w:val="para"/>
        <w:rPr>
          <w:lang w:val="en-GB"/>
        </w:rPr>
      </w:pPr>
      <w:r w:rsidRPr="00B04DC3">
        <w:rPr>
          <w:lang w:val="en-GB"/>
        </w:rPr>
        <w:tab/>
        <w:t>For the purpose of controlling of a partial flow dilution system, a faster response is required. For partial flow dilution systems with online control, a response time of </w:t>
      </w:r>
      <w:r w:rsidRPr="00B04DC3">
        <w:rPr>
          <w:lang w:val="en-GB"/>
        </w:rPr>
        <w:sym w:font="Symbol" w:char="F0A3"/>
      </w:r>
      <w:r w:rsidRPr="00B04DC3">
        <w:rPr>
          <w:lang w:val="en-GB"/>
        </w:rPr>
        <w:t> 0.3 seconds is required. For partial flow dilution systems with look ahead control based on a pre-recorded test run, a response time of the exhaust flow measurement system of </w:t>
      </w:r>
      <w:r w:rsidRPr="00B04DC3">
        <w:rPr>
          <w:lang w:val="en-GB"/>
        </w:rPr>
        <w:sym w:font="Symbol" w:char="F0A3"/>
      </w:r>
      <w:r w:rsidRPr="00B04DC3">
        <w:rPr>
          <w:lang w:val="en-GB"/>
        </w:rPr>
        <w:t> 5 seconds with a rise time of </w:t>
      </w:r>
      <w:r w:rsidRPr="00B04DC3">
        <w:rPr>
          <w:lang w:val="en-GB"/>
        </w:rPr>
        <w:sym w:font="Symbol" w:char="F0A3"/>
      </w:r>
      <w:r w:rsidRPr="00B04DC3">
        <w:rPr>
          <w:lang w:val="en-GB"/>
        </w:rPr>
        <w:t> 1 second is required. The system response time shall be specified by the instrument manufacturer. The combined response time requirements for exhaust gas flow and partial flow dilution system are indicated in paragraph 3.8.3.2.</w:t>
      </w:r>
      <w:r w:rsidR="001A3718">
        <w:rPr>
          <w:lang w:val="en-GB"/>
        </w:rPr>
        <w:t xml:space="preserve"> of this appendix.</w:t>
      </w:r>
    </w:p>
    <w:p w:rsidR="00DA59A4" w:rsidRPr="00B04DC3" w:rsidRDefault="00DA59A4" w:rsidP="00DA59A4">
      <w:pPr>
        <w:pStyle w:val="para"/>
        <w:rPr>
          <w:lang w:val="en-GB"/>
        </w:rPr>
      </w:pPr>
      <w:r w:rsidRPr="00B04DC3">
        <w:rPr>
          <w:lang w:val="en-GB"/>
        </w:rPr>
        <w:t>4.2.2.</w:t>
      </w:r>
      <w:r w:rsidRPr="00B04DC3">
        <w:rPr>
          <w:lang w:val="en-GB"/>
        </w:rPr>
        <w:tab/>
        <w:t>Direct measurement method</w:t>
      </w:r>
    </w:p>
    <w:p w:rsidR="00DA59A4" w:rsidRPr="00B04DC3" w:rsidRDefault="00DA59A4" w:rsidP="00DA59A4">
      <w:pPr>
        <w:pStyle w:val="para"/>
        <w:rPr>
          <w:lang w:val="en-GB"/>
        </w:rPr>
      </w:pPr>
      <w:r w:rsidRPr="00B04DC3">
        <w:rPr>
          <w:lang w:val="en-GB"/>
        </w:rPr>
        <w:tab/>
        <w:t>Direct measurement of the instantaneous exhaust flow may be done by systems such as:</w:t>
      </w:r>
    </w:p>
    <w:p w:rsidR="00DA59A4" w:rsidRPr="00B04DC3" w:rsidRDefault="00DA59A4" w:rsidP="00DA59A4">
      <w:pPr>
        <w:pStyle w:val="a"/>
        <w:rPr>
          <w:lang w:val="en-GB"/>
        </w:rPr>
      </w:pPr>
      <w:r w:rsidRPr="00B04DC3">
        <w:rPr>
          <w:lang w:val="en-GB"/>
        </w:rPr>
        <w:t>(a)</w:t>
      </w:r>
      <w:r w:rsidRPr="00B04DC3">
        <w:rPr>
          <w:lang w:val="en-GB"/>
        </w:rPr>
        <w:tab/>
        <w:t>Pressure differential devices, like flow nozzle;</w:t>
      </w:r>
    </w:p>
    <w:p w:rsidR="00DA59A4" w:rsidRPr="00B04DC3" w:rsidRDefault="00DA59A4" w:rsidP="00DA59A4">
      <w:pPr>
        <w:pStyle w:val="a"/>
        <w:rPr>
          <w:lang w:val="en-GB"/>
        </w:rPr>
      </w:pPr>
      <w:r w:rsidRPr="00B04DC3">
        <w:rPr>
          <w:lang w:val="en-GB"/>
        </w:rPr>
        <w:t>(b)</w:t>
      </w:r>
      <w:r w:rsidRPr="00B04DC3">
        <w:rPr>
          <w:lang w:val="en-GB"/>
        </w:rPr>
        <w:tab/>
        <w:t>Ultrasonic flowmeter;</w:t>
      </w:r>
    </w:p>
    <w:p w:rsidR="00DA59A4" w:rsidRPr="00B04DC3" w:rsidRDefault="00DA59A4" w:rsidP="00DA59A4">
      <w:pPr>
        <w:pStyle w:val="a"/>
        <w:rPr>
          <w:lang w:val="en-GB"/>
        </w:rPr>
      </w:pPr>
      <w:r w:rsidRPr="00B04DC3">
        <w:rPr>
          <w:lang w:val="en-GB"/>
        </w:rPr>
        <w:t>(c)</w:t>
      </w:r>
      <w:r w:rsidRPr="00B04DC3">
        <w:rPr>
          <w:lang w:val="en-GB"/>
        </w:rPr>
        <w:tab/>
        <w:t>Vortex flowmeter.</w:t>
      </w:r>
    </w:p>
    <w:p w:rsidR="00DA59A4" w:rsidRPr="00B04DC3" w:rsidRDefault="00DA59A4" w:rsidP="00DA59A4">
      <w:pPr>
        <w:pStyle w:val="para"/>
        <w:rPr>
          <w:lang w:val="en-GB"/>
        </w:rPr>
      </w:pPr>
      <w:r w:rsidRPr="00B04DC3">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Engine performance and emissions shall especially not be affected by the installation of the device.</w:t>
      </w:r>
    </w:p>
    <w:p w:rsidR="00DA59A4" w:rsidRPr="00B04DC3" w:rsidRDefault="00DA59A4" w:rsidP="00DA59A4">
      <w:pPr>
        <w:pStyle w:val="para"/>
        <w:rPr>
          <w:lang w:val="en-GB"/>
        </w:rPr>
      </w:pPr>
      <w:r w:rsidRPr="00B04DC3">
        <w:rPr>
          <w:lang w:val="en-GB"/>
        </w:rPr>
        <w:tab/>
        <w:t>The accuracy of exhaust flow determination shall be at least ±2.5 per cent of reading or </w:t>
      </w:r>
      <w:r w:rsidRPr="00B04DC3">
        <w:rPr>
          <w:lang w:val="en-GB"/>
        </w:rPr>
        <w:sym w:font="Symbol" w:char="F0B1"/>
      </w:r>
      <w:r w:rsidRPr="00B04DC3">
        <w:rPr>
          <w:lang w:val="en-GB"/>
        </w:rPr>
        <w:t>1.5 per cent of engine's maximum value, whichever is the greater.</w:t>
      </w:r>
    </w:p>
    <w:p w:rsidR="00DA59A4" w:rsidRPr="00B04DC3" w:rsidRDefault="00DA59A4" w:rsidP="00DA59A4">
      <w:pPr>
        <w:pStyle w:val="para"/>
        <w:rPr>
          <w:lang w:val="en-GB"/>
        </w:rPr>
      </w:pPr>
      <w:r w:rsidRPr="00B04DC3">
        <w:rPr>
          <w:lang w:val="en-GB"/>
        </w:rPr>
        <w:t>4.2.3.</w:t>
      </w:r>
      <w:r w:rsidRPr="00B04DC3">
        <w:rPr>
          <w:lang w:val="en-GB"/>
        </w:rPr>
        <w:tab/>
        <w:t>Air and fuel measurement method</w:t>
      </w:r>
    </w:p>
    <w:p w:rsidR="00DA59A4" w:rsidRPr="00B04DC3" w:rsidRDefault="00DA59A4" w:rsidP="00DA59A4">
      <w:pPr>
        <w:pStyle w:val="para"/>
        <w:rPr>
          <w:lang w:val="en-GB"/>
        </w:rPr>
      </w:pPr>
      <w:r w:rsidRPr="00B04DC3">
        <w:rPr>
          <w:lang w:val="en-GB"/>
        </w:rPr>
        <w:tab/>
        <w:t>This involves measurement of the air flow and the fuel flow. Air flowmeters and fuel flowmeters shall be used that meet the total exhaust flow accuracy requirement of paragraph 4.2.2. above. The calculation of the exhaust gas flow is as follows:</w:t>
      </w:r>
    </w:p>
    <w:p w:rsidR="00DA59A4" w:rsidRPr="00B04DC3" w:rsidRDefault="00DA59A4" w:rsidP="00DA59A4">
      <w:pPr>
        <w:pStyle w:val="para"/>
        <w:ind w:firstLine="0"/>
        <w:rPr>
          <w:lang w:val="en-GB"/>
        </w:rPr>
      </w:pPr>
      <w:r w:rsidRPr="00B04DC3">
        <w:rPr>
          <w:szCs w:val="14"/>
          <w:lang w:val="en-GB"/>
        </w:rPr>
        <w:t>q</w:t>
      </w:r>
      <w:r w:rsidRPr="00B04DC3">
        <w:rPr>
          <w:szCs w:val="14"/>
          <w:vertAlign w:val="subscript"/>
          <w:lang w:val="en-GB"/>
        </w:rPr>
        <w:t>mew</w:t>
      </w:r>
      <w:r w:rsidRPr="00B04DC3">
        <w:rPr>
          <w:szCs w:val="14"/>
          <w:lang w:val="en-GB"/>
        </w:rPr>
        <w:t xml:space="preserve"> = q</w:t>
      </w:r>
      <w:r w:rsidRPr="00B04DC3">
        <w:rPr>
          <w:szCs w:val="14"/>
          <w:vertAlign w:val="subscript"/>
          <w:lang w:val="en-GB"/>
        </w:rPr>
        <w:t>maw</w:t>
      </w:r>
      <w:r w:rsidRPr="00B04DC3">
        <w:rPr>
          <w:szCs w:val="14"/>
          <w:lang w:val="en-GB"/>
        </w:rPr>
        <w:t xml:space="preserve"> + q</w:t>
      </w:r>
      <w:r w:rsidRPr="00B04DC3">
        <w:rPr>
          <w:szCs w:val="14"/>
          <w:vertAlign w:val="subscript"/>
          <w:lang w:val="en-GB"/>
        </w:rPr>
        <w:t>mf</w:t>
      </w:r>
    </w:p>
    <w:p w:rsidR="00DA59A4" w:rsidRPr="00B04DC3" w:rsidRDefault="00DA59A4" w:rsidP="00DA59A4">
      <w:pPr>
        <w:pStyle w:val="para"/>
        <w:rPr>
          <w:lang w:val="en-GB"/>
        </w:rPr>
      </w:pPr>
      <w:r w:rsidRPr="00B04DC3">
        <w:rPr>
          <w:lang w:val="en-GB"/>
        </w:rPr>
        <w:t>4.2.4.</w:t>
      </w:r>
      <w:r w:rsidRPr="00B04DC3">
        <w:rPr>
          <w:lang w:val="en-GB"/>
        </w:rPr>
        <w:tab/>
        <w:t>Tracer measurement method</w:t>
      </w:r>
    </w:p>
    <w:p w:rsidR="00DA59A4" w:rsidRPr="00B04DC3" w:rsidRDefault="00DA59A4" w:rsidP="00DA59A4">
      <w:pPr>
        <w:pStyle w:val="para"/>
        <w:rPr>
          <w:lang w:val="en-GB"/>
        </w:rPr>
      </w:pPr>
      <w:r w:rsidRPr="00B04DC3">
        <w:rPr>
          <w:lang w:val="en-GB"/>
        </w:rPr>
        <w:tab/>
        <w:t>This involves measurement of the concentration of a tracer gas in the exhaust. 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rsidR="00DA59A4" w:rsidRPr="00B04DC3" w:rsidRDefault="00DA59A4" w:rsidP="00DA59A4">
      <w:pPr>
        <w:pStyle w:val="para"/>
        <w:rPr>
          <w:lang w:val="en-GB"/>
        </w:rPr>
      </w:pPr>
      <w:r w:rsidRPr="00B04DC3">
        <w:rPr>
          <w:lang w:val="en-GB"/>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rsidR="00DA59A4" w:rsidRPr="00B04DC3" w:rsidRDefault="00DA59A4" w:rsidP="00DA59A4">
      <w:pPr>
        <w:pStyle w:val="para"/>
        <w:rPr>
          <w:lang w:val="en-GB"/>
        </w:rPr>
      </w:pPr>
      <w:r w:rsidRPr="00B04DC3">
        <w:rPr>
          <w:lang w:val="en-GB"/>
        </w:rPr>
        <w:tab/>
        <w:t>The tracer gas flow rate shall be set so that the tracer gas concentration at engine idle speed after mixing becomes lower than the full scale of the trace gas analyzer.</w:t>
      </w:r>
    </w:p>
    <w:p w:rsidR="00DA59A4" w:rsidRPr="00B04DC3" w:rsidRDefault="00DA59A4" w:rsidP="00DA59A4">
      <w:pPr>
        <w:pStyle w:val="para"/>
        <w:rPr>
          <w:lang w:val="en-GB"/>
        </w:rPr>
      </w:pPr>
      <w:r w:rsidRPr="00B04DC3">
        <w:rPr>
          <w:lang w:val="en-GB"/>
        </w:rPr>
        <w:tab/>
        <w:t>The calculation of the exhaust gas flow is as follows:</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32"/>
          <w:lang w:val="en-GB"/>
        </w:rPr>
        <w:object w:dxaOrig="2400" w:dyaOrig="700">
          <v:shape id="_x0000_i1142" type="#_x0000_t75" style="width:103.8pt;height:30pt" o:ole="" fillcolor="window">
            <v:imagedata r:id="rId223" o:title=""/>
          </v:shape>
          <o:OLEObject Type="Embed" ProgID="Equation.3" ShapeID="_x0000_i1142" DrawAspect="Content" ObjectID="_1498392292" r:id="rId224"/>
        </w:object>
      </w:r>
    </w:p>
    <w:p w:rsidR="00DA59A4" w:rsidRPr="00B04DC3" w:rsidRDefault="00DA59A4" w:rsidP="00DA59A4">
      <w:pPr>
        <w:pStyle w:val="para"/>
        <w:rPr>
          <w:lang w:val="en-GB"/>
        </w:rPr>
      </w:pPr>
      <w:r w:rsidRPr="00B04DC3">
        <w:rPr>
          <w:lang w:val="en-GB"/>
        </w:rPr>
        <w:tab/>
      </w:r>
      <w:r w:rsidR="00C15FD2" w:rsidRPr="00B04DC3">
        <w:rPr>
          <w:lang w:val="en-GB"/>
        </w:rPr>
        <w:t>Where</w:t>
      </w:r>
      <w:r w:rsidRPr="00B04DC3">
        <w:rPr>
          <w:lang w:val="en-GB"/>
        </w:rPr>
        <w:t>:</w:t>
      </w:r>
    </w:p>
    <w:p w:rsidR="00DA59A4" w:rsidRPr="00B04DC3" w:rsidRDefault="00DA59A4" w:rsidP="00DA59A4">
      <w:pPr>
        <w:pStyle w:val="para"/>
        <w:tabs>
          <w:tab w:val="left" w:pos="2268"/>
          <w:tab w:val="left" w:pos="2835"/>
        </w:tabs>
        <w:ind w:left="3119" w:hanging="1985"/>
        <w:rPr>
          <w:lang w:val="en-GB"/>
        </w:rPr>
      </w:pPr>
      <w:r w:rsidRPr="00B04DC3">
        <w:rPr>
          <w:lang w:val="en-GB"/>
        </w:rPr>
        <w:tab/>
        <w:t>q</w:t>
      </w:r>
      <w:r w:rsidRPr="00B04DC3">
        <w:rPr>
          <w:vertAlign w:val="subscript"/>
          <w:lang w:val="en-GB"/>
        </w:rPr>
        <w:t>mew,i</w:t>
      </w:r>
      <w:r w:rsidRPr="00B04DC3">
        <w:rPr>
          <w:lang w:val="en-GB"/>
        </w:rPr>
        <w:tab/>
        <w:t>=</w:t>
      </w:r>
      <w:r w:rsidRPr="00B04DC3">
        <w:rPr>
          <w:lang w:val="en-GB"/>
        </w:rPr>
        <w:tab/>
        <w:t>instantaneous exhaust mass flow, kg/s</w:t>
      </w:r>
    </w:p>
    <w:p w:rsidR="00DA59A4" w:rsidRPr="00B04DC3" w:rsidRDefault="00DA59A4" w:rsidP="00DA59A4">
      <w:pPr>
        <w:pStyle w:val="para"/>
        <w:tabs>
          <w:tab w:val="left" w:pos="2268"/>
          <w:tab w:val="left" w:pos="2835"/>
        </w:tabs>
        <w:ind w:left="3119" w:hanging="1985"/>
        <w:rPr>
          <w:lang w:val="en-GB"/>
        </w:rPr>
      </w:pPr>
      <w:r w:rsidRPr="00B04DC3">
        <w:rPr>
          <w:lang w:val="en-GB"/>
        </w:rPr>
        <w:tab/>
        <w:t>q</w:t>
      </w:r>
      <w:r w:rsidRPr="00B04DC3">
        <w:rPr>
          <w:vertAlign w:val="subscript"/>
          <w:lang w:val="en-GB"/>
        </w:rPr>
        <w:t>vt</w:t>
      </w:r>
      <w:r w:rsidRPr="00B04DC3">
        <w:rPr>
          <w:lang w:val="en-GB"/>
        </w:rPr>
        <w:tab/>
        <w:t>=</w:t>
      </w:r>
      <w:r w:rsidRPr="00B04DC3">
        <w:rPr>
          <w:lang w:val="en-GB"/>
        </w:rPr>
        <w:tab/>
        <w:t>tracer gas flow, cm³/min</w:t>
      </w:r>
    </w:p>
    <w:p w:rsidR="00DA59A4" w:rsidRPr="00B04DC3" w:rsidRDefault="00DA59A4" w:rsidP="00DA59A4">
      <w:pPr>
        <w:pStyle w:val="para"/>
        <w:tabs>
          <w:tab w:val="left" w:pos="2268"/>
          <w:tab w:val="left" w:pos="2835"/>
        </w:tabs>
        <w:ind w:left="3119" w:hanging="1985"/>
        <w:rPr>
          <w:lang w:val="en-GB"/>
        </w:rPr>
      </w:pPr>
      <w:r w:rsidRPr="00B04DC3">
        <w:rPr>
          <w:lang w:val="en-GB"/>
        </w:rPr>
        <w:tab/>
        <w:t>c</w:t>
      </w:r>
      <w:r w:rsidRPr="00B04DC3">
        <w:rPr>
          <w:vertAlign w:val="subscript"/>
          <w:lang w:val="en-GB"/>
        </w:rPr>
        <w:t>mix.i</w:t>
      </w:r>
      <w:r w:rsidRPr="00B04DC3">
        <w:rPr>
          <w:lang w:val="en-GB"/>
        </w:rPr>
        <w:tab/>
        <w:t>=</w:t>
      </w:r>
      <w:r w:rsidRPr="00B04DC3">
        <w:rPr>
          <w:lang w:val="en-GB"/>
        </w:rPr>
        <w:tab/>
        <w:t>instantaneous concentration of the tracer gas after mixing, ppm</w:t>
      </w:r>
    </w:p>
    <w:p w:rsidR="00DA59A4" w:rsidRPr="00B04DC3" w:rsidRDefault="00DA59A4" w:rsidP="00DA59A4">
      <w:pPr>
        <w:pStyle w:val="para"/>
        <w:tabs>
          <w:tab w:val="left" w:pos="2268"/>
          <w:tab w:val="left" w:pos="2835"/>
        </w:tabs>
        <w:ind w:left="3119" w:hanging="1985"/>
        <w:rPr>
          <w:lang w:val="en-GB"/>
        </w:rPr>
      </w:pPr>
      <w:r w:rsidRPr="00B04DC3">
        <w:rPr>
          <w:lang w:val="en-GB"/>
        </w:rPr>
        <w:tab/>
      </w:r>
      <w:r w:rsidRPr="00B04DC3">
        <w:rPr>
          <w:lang w:val="en-GB"/>
        </w:rPr>
        <w:sym w:font="Symbol" w:char="F072"/>
      </w:r>
      <w:r w:rsidRPr="00B04DC3">
        <w:rPr>
          <w:vertAlign w:val="subscript"/>
          <w:lang w:val="en-GB"/>
        </w:rPr>
        <w:t>e</w:t>
      </w:r>
      <w:r w:rsidRPr="00B04DC3">
        <w:rPr>
          <w:vertAlign w:val="subscript"/>
          <w:lang w:val="en-GB"/>
        </w:rPr>
        <w:tab/>
      </w:r>
      <w:r w:rsidRPr="00B04DC3">
        <w:rPr>
          <w:lang w:val="en-GB"/>
        </w:rPr>
        <w:t>=</w:t>
      </w:r>
      <w:r w:rsidRPr="00B04DC3">
        <w:rPr>
          <w:lang w:val="en-GB"/>
        </w:rPr>
        <w:tab/>
        <w:t xml:space="preserve">density of the exhaust gas, kg/m³ (cf. </w:t>
      </w:r>
      <w:r w:rsidR="001A3718">
        <w:rPr>
          <w:lang w:val="en-GB"/>
        </w:rPr>
        <w:t>T</w:t>
      </w:r>
      <w:r w:rsidR="001A3718" w:rsidRPr="00B04DC3">
        <w:rPr>
          <w:lang w:val="en-GB"/>
        </w:rPr>
        <w:t xml:space="preserve">able </w:t>
      </w:r>
      <w:r w:rsidRPr="00B04DC3">
        <w:rPr>
          <w:lang w:val="en-GB"/>
        </w:rPr>
        <w:t>6)</w:t>
      </w:r>
    </w:p>
    <w:p w:rsidR="00DA59A4" w:rsidRPr="00B04DC3" w:rsidRDefault="00DA59A4" w:rsidP="00DA59A4">
      <w:pPr>
        <w:pStyle w:val="para"/>
        <w:tabs>
          <w:tab w:val="left" w:pos="2268"/>
          <w:tab w:val="left" w:pos="2835"/>
        </w:tabs>
        <w:ind w:left="3119" w:hanging="1985"/>
        <w:rPr>
          <w:lang w:val="en-GB"/>
        </w:rPr>
      </w:pPr>
      <w:r w:rsidRPr="00B04DC3">
        <w:rPr>
          <w:lang w:val="en-GB"/>
        </w:rPr>
        <w:tab/>
        <w:t>c</w:t>
      </w:r>
      <w:r w:rsidRPr="00B04DC3">
        <w:rPr>
          <w:vertAlign w:val="subscript"/>
          <w:lang w:val="en-GB"/>
        </w:rPr>
        <w:t>b</w:t>
      </w:r>
      <w:r w:rsidRPr="00B04DC3">
        <w:rPr>
          <w:lang w:val="en-GB"/>
        </w:rPr>
        <w:tab/>
        <w:t>=</w:t>
      </w:r>
      <w:r w:rsidRPr="00B04DC3">
        <w:rPr>
          <w:lang w:val="en-GB"/>
        </w:rPr>
        <w:tab/>
        <w:t>background concentration of the tracer gas in the intake air, ppm</w:t>
      </w:r>
    </w:p>
    <w:p w:rsidR="00DA59A4" w:rsidRPr="00B04DC3" w:rsidRDefault="00DA59A4" w:rsidP="00DA59A4">
      <w:pPr>
        <w:pStyle w:val="para"/>
        <w:rPr>
          <w:lang w:val="en-GB"/>
        </w:rPr>
      </w:pPr>
      <w:r w:rsidRPr="00B04DC3">
        <w:rPr>
          <w:lang w:val="en-GB"/>
        </w:rPr>
        <w:tab/>
        <w:t>When the background concentration is less than 1 per cent of the concentration of the tracer gas after mixing (c</w:t>
      </w:r>
      <w:r w:rsidRPr="00B04DC3">
        <w:rPr>
          <w:vertAlign w:val="subscript"/>
          <w:lang w:val="en-GB"/>
        </w:rPr>
        <w:t>mix.i</w:t>
      </w:r>
      <w:r w:rsidRPr="00B04DC3">
        <w:rPr>
          <w:lang w:val="en-GB"/>
        </w:rPr>
        <w:t>) at maximum exhaust flow, the background concentration may be neglected.</w:t>
      </w:r>
    </w:p>
    <w:p w:rsidR="00DA59A4" w:rsidRPr="00B04DC3" w:rsidRDefault="00DA59A4" w:rsidP="00DA59A4">
      <w:pPr>
        <w:pStyle w:val="para"/>
        <w:rPr>
          <w:lang w:val="en-GB"/>
        </w:rPr>
      </w:pPr>
      <w:r w:rsidRPr="00B04DC3">
        <w:rPr>
          <w:lang w:val="en-GB"/>
        </w:rPr>
        <w:tab/>
        <w:t>The total system shall meet the accuracy specifications for the exhaust gas flow, and shall be calibrated according to paragraph 1.7. of Appendix 5 to this annex.</w:t>
      </w:r>
    </w:p>
    <w:p w:rsidR="00DA59A4" w:rsidRPr="00B04DC3" w:rsidRDefault="00DA59A4" w:rsidP="00DA59A4">
      <w:pPr>
        <w:pStyle w:val="para"/>
        <w:rPr>
          <w:lang w:val="en-GB"/>
        </w:rPr>
      </w:pPr>
      <w:r w:rsidRPr="00B04DC3">
        <w:rPr>
          <w:lang w:val="en-GB"/>
        </w:rPr>
        <w:t>4.2.5.</w:t>
      </w:r>
      <w:r w:rsidRPr="00B04DC3">
        <w:rPr>
          <w:lang w:val="en-GB"/>
        </w:rPr>
        <w:tab/>
        <w:t>Air flow and air-to-fuel ratio measurement method</w:t>
      </w:r>
    </w:p>
    <w:p w:rsidR="00DA59A4" w:rsidRPr="00B04DC3" w:rsidRDefault="00DA59A4" w:rsidP="00DA59A4">
      <w:pPr>
        <w:pStyle w:val="para"/>
        <w:rPr>
          <w:lang w:val="en-GB"/>
        </w:rPr>
      </w:pPr>
      <w:r w:rsidRPr="00B04DC3">
        <w:rPr>
          <w:lang w:val="en-GB"/>
        </w:rPr>
        <w:tab/>
        <w:t>This involves exhaust mass calculation from the air flow and the air to fuel ratio. The calculation of the instantaneous exhaust gas mass flow is as follows:</w:t>
      </w:r>
    </w:p>
    <w:p w:rsidR="00DA59A4" w:rsidRPr="00B04DC3" w:rsidRDefault="00DA59A4" w:rsidP="00DA59A4">
      <w:pPr>
        <w:pStyle w:val="para"/>
        <w:rPr>
          <w:lang w:val="en-GB"/>
        </w:rPr>
      </w:pPr>
      <w:r w:rsidRPr="00B04DC3">
        <w:rPr>
          <w:lang w:val="en-GB"/>
        </w:rPr>
        <w:tab/>
      </w:r>
      <w:r w:rsidRPr="00B04DC3">
        <w:rPr>
          <w:lang w:val="en-GB"/>
        </w:rPr>
        <w:tab/>
      </w:r>
      <w:bookmarkStart w:id="231" w:name="_MON_1223280095"/>
      <w:bookmarkEnd w:id="231"/>
      <w:bookmarkStart w:id="232" w:name="_MON_1363770228"/>
      <w:bookmarkEnd w:id="232"/>
      <w:r w:rsidRPr="00B04DC3">
        <w:rPr>
          <w:lang w:val="en-GB"/>
        </w:rPr>
        <w:object w:dxaOrig="3586" w:dyaOrig="901">
          <v:shape id="_x0000_i1143" type="#_x0000_t75" style="width:130.8pt;height:33.6pt" o:ole="">
            <v:imagedata r:id="rId225" o:title=""/>
          </v:shape>
          <o:OLEObject Type="Embed" ProgID="Word.Picture.8" ShapeID="_x0000_i1143" DrawAspect="Content" ObjectID="_1498392293" r:id="rId226"/>
        </w:object>
      </w:r>
    </w:p>
    <w:p w:rsidR="00DA59A4" w:rsidRPr="00B04DC3" w:rsidRDefault="00DA59A4" w:rsidP="00DA59A4">
      <w:pPr>
        <w:pStyle w:val="para"/>
        <w:rPr>
          <w:lang w:val="en-GB"/>
        </w:rPr>
      </w:pPr>
      <w:r w:rsidRPr="00B04DC3">
        <w:rPr>
          <w:lang w:val="en-GB"/>
        </w:rPr>
        <w:tab/>
      </w:r>
      <w:r w:rsidR="009105AC" w:rsidRPr="00B04DC3">
        <w:rPr>
          <w:lang w:val="en-GB"/>
        </w:rPr>
        <w:t>With</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r>
      <w:r w:rsidRPr="00B04DC3">
        <w:rPr>
          <w:position w:val="-28"/>
          <w:lang w:val="en-GB"/>
        </w:rPr>
        <w:object w:dxaOrig="6619" w:dyaOrig="999">
          <v:shape id="_x0000_i1144" type="#_x0000_t75" style="width:265.8pt;height:39.6pt" o:ole="" fillcolor="window">
            <v:imagedata r:id="rId227" o:title=""/>
          </v:shape>
          <o:OLEObject Type="Embed" ProgID="Equation.3" ShapeID="_x0000_i1144" DrawAspect="Content" ObjectID="_1498392294" r:id="rId228"/>
        </w:object>
      </w:r>
    </w:p>
    <w:p w:rsidR="00DA59A4" w:rsidRPr="00B04DC3" w:rsidRDefault="00DA59A4" w:rsidP="00AA0E48">
      <w:pPr>
        <w:pStyle w:val="para"/>
        <w:ind w:left="1134" w:firstLine="0"/>
        <w:rPr>
          <w:lang w:val="en-GB"/>
        </w:rPr>
      </w:pPr>
      <w:r w:rsidRPr="00B04DC3">
        <w:rPr>
          <w:lang w:val="en-GB" w:eastAsia="ja-JP"/>
        </w:rPr>
        <w:tab/>
      </w:r>
      <w:r w:rsidRPr="00B04DC3">
        <w:rPr>
          <w:lang w:val="en-GB" w:eastAsia="ja-JP"/>
        </w:rPr>
        <w:tab/>
      </w:r>
      <w:r w:rsidRPr="00B04DC3">
        <w:rPr>
          <w:position w:val="-60"/>
          <w:lang w:val="en-GB" w:eastAsia="ja-JP"/>
        </w:rPr>
        <w:object w:dxaOrig="9100" w:dyaOrig="2079">
          <v:shape id="_x0000_i1145" type="#_x0000_t75" style="width:372pt;height:84.6pt" o:ole="" fillcolor="window">
            <v:imagedata r:id="rId229" o:title=""/>
          </v:shape>
          <o:OLEObject Type="Embed" ProgID="Equation.3" ShapeID="_x0000_i1145" DrawAspect="Content" ObjectID="_1498392295" r:id="rId230"/>
        </w:object>
      </w: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835"/>
        </w:tabs>
        <w:ind w:left="3119" w:hanging="1985"/>
        <w:rPr>
          <w:lang w:val="en-GB"/>
        </w:rPr>
      </w:pPr>
      <w:r w:rsidRPr="00B04DC3">
        <w:rPr>
          <w:lang w:val="en-GB"/>
        </w:rPr>
        <w:tab/>
        <w:t>A/F</w:t>
      </w:r>
      <w:r w:rsidRPr="00B04DC3">
        <w:rPr>
          <w:vertAlign w:val="subscript"/>
          <w:lang w:val="en-GB"/>
        </w:rPr>
        <w:t>st</w:t>
      </w:r>
      <w:r w:rsidRPr="00B04DC3">
        <w:rPr>
          <w:lang w:val="en-GB"/>
        </w:rPr>
        <w:tab/>
        <w:t>=</w:t>
      </w:r>
      <w:r w:rsidRPr="00B04DC3">
        <w:rPr>
          <w:lang w:val="en-GB"/>
        </w:rPr>
        <w:tab/>
        <w:t>stoichiometric air to fuel ratio, kg/kg</w:t>
      </w:r>
    </w:p>
    <w:p w:rsidR="00DA59A4" w:rsidRPr="00B04DC3" w:rsidRDefault="00DA59A4" w:rsidP="00DA59A4">
      <w:pPr>
        <w:pStyle w:val="para"/>
        <w:tabs>
          <w:tab w:val="left" w:pos="2268"/>
          <w:tab w:val="left" w:pos="2835"/>
        </w:tabs>
        <w:ind w:left="3119" w:hanging="1985"/>
        <w:rPr>
          <w:lang w:val="en-GB"/>
        </w:rPr>
      </w:pPr>
      <w:r w:rsidRPr="00B04DC3">
        <w:rPr>
          <w:lang w:val="en-GB"/>
        </w:rPr>
        <w:tab/>
      </w:r>
      <w:r w:rsidRPr="00B04DC3">
        <w:rPr>
          <w:lang w:val="en-GB"/>
        </w:rPr>
        <w:sym w:font="Symbol" w:char="F06C"/>
      </w:r>
      <w:r w:rsidRPr="00B04DC3">
        <w:rPr>
          <w:lang w:val="en-GB"/>
        </w:rPr>
        <w:tab/>
        <w:t>=</w:t>
      </w:r>
      <w:r w:rsidRPr="00B04DC3">
        <w:rPr>
          <w:lang w:val="en-GB"/>
        </w:rPr>
        <w:tab/>
        <w:t>excess air ratio</w:t>
      </w:r>
    </w:p>
    <w:p w:rsidR="00DA59A4" w:rsidRPr="00B04DC3" w:rsidRDefault="00DA59A4" w:rsidP="00DA59A4">
      <w:pPr>
        <w:pStyle w:val="para"/>
        <w:tabs>
          <w:tab w:val="left" w:pos="2268"/>
          <w:tab w:val="left" w:pos="2835"/>
        </w:tabs>
        <w:ind w:left="3119" w:hanging="1985"/>
        <w:rPr>
          <w:lang w:val="en-GB"/>
        </w:rPr>
      </w:pPr>
      <w:r w:rsidRPr="00B04DC3">
        <w:rPr>
          <w:lang w:val="en-GB"/>
        </w:rPr>
        <w:tab/>
        <w:t>c</w:t>
      </w:r>
      <w:r w:rsidRPr="00B04DC3">
        <w:rPr>
          <w:vertAlign w:val="subscript"/>
          <w:lang w:val="en-GB"/>
        </w:rPr>
        <w:t>CO2</w:t>
      </w:r>
      <w:r w:rsidRPr="00B04DC3">
        <w:rPr>
          <w:lang w:val="en-GB"/>
        </w:rPr>
        <w:tab/>
        <w:t>=</w:t>
      </w:r>
      <w:r w:rsidRPr="00B04DC3">
        <w:rPr>
          <w:lang w:val="en-GB"/>
        </w:rPr>
        <w:tab/>
        <w:t>dry CO</w:t>
      </w:r>
      <w:r w:rsidRPr="00B04DC3">
        <w:rPr>
          <w:vertAlign w:val="subscript"/>
          <w:lang w:val="en-GB"/>
        </w:rPr>
        <w:t>2</w:t>
      </w:r>
      <w:r w:rsidRPr="00B04DC3">
        <w:rPr>
          <w:lang w:val="en-GB"/>
        </w:rPr>
        <w:t xml:space="preserve"> concentration, per cent</w:t>
      </w:r>
    </w:p>
    <w:p w:rsidR="00DA59A4" w:rsidRPr="00B04DC3" w:rsidRDefault="00DA59A4" w:rsidP="00DA59A4">
      <w:pPr>
        <w:pStyle w:val="para"/>
        <w:tabs>
          <w:tab w:val="left" w:pos="2268"/>
          <w:tab w:val="left" w:pos="2835"/>
        </w:tabs>
        <w:ind w:left="3119" w:hanging="1985"/>
        <w:rPr>
          <w:lang w:val="en-GB"/>
        </w:rPr>
      </w:pPr>
      <w:r w:rsidRPr="00B04DC3">
        <w:rPr>
          <w:lang w:val="en-GB"/>
        </w:rPr>
        <w:tab/>
        <w:t>c</w:t>
      </w:r>
      <w:r w:rsidRPr="00B04DC3">
        <w:rPr>
          <w:vertAlign w:val="subscript"/>
          <w:lang w:val="en-GB"/>
        </w:rPr>
        <w:t>CO</w:t>
      </w:r>
      <w:r w:rsidRPr="00B04DC3">
        <w:rPr>
          <w:lang w:val="en-GB"/>
        </w:rPr>
        <w:tab/>
        <w:t>=</w:t>
      </w:r>
      <w:r w:rsidRPr="00B04DC3">
        <w:rPr>
          <w:lang w:val="en-GB"/>
        </w:rPr>
        <w:tab/>
        <w:t>dry CO concentration, ppm</w:t>
      </w:r>
    </w:p>
    <w:p w:rsidR="00DA59A4" w:rsidRPr="00B04DC3" w:rsidRDefault="00DA59A4" w:rsidP="00DA59A4">
      <w:pPr>
        <w:pStyle w:val="para"/>
        <w:tabs>
          <w:tab w:val="left" w:pos="2268"/>
          <w:tab w:val="left" w:pos="2835"/>
        </w:tabs>
        <w:ind w:left="3119" w:hanging="1985"/>
        <w:rPr>
          <w:lang w:val="en-GB"/>
        </w:rPr>
      </w:pPr>
      <w:r w:rsidRPr="00B04DC3">
        <w:rPr>
          <w:lang w:val="en-GB"/>
        </w:rPr>
        <w:tab/>
        <w:t>c</w:t>
      </w:r>
      <w:r w:rsidRPr="00B04DC3">
        <w:rPr>
          <w:vertAlign w:val="subscript"/>
          <w:lang w:val="en-GB"/>
        </w:rPr>
        <w:t>HC</w:t>
      </w:r>
      <w:r w:rsidRPr="00B04DC3">
        <w:rPr>
          <w:lang w:val="en-GB"/>
        </w:rPr>
        <w:tab/>
        <w:t>=</w:t>
      </w:r>
      <w:r w:rsidRPr="00B04DC3">
        <w:rPr>
          <w:lang w:val="en-GB"/>
        </w:rPr>
        <w:tab/>
        <w:t>HC concentration, ppm</w:t>
      </w:r>
    </w:p>
    <w:p w:rsidR="00DA59A4" w:rsidRPr="00B04DC3" w:rsidRDefault="00DA59A4" w:rsidP="00DA59A4">
      <w:pPr>
        <w:pStyle w:val="para"/>
        <w:rPr>
          <w:lang w:val="en-GB"/>
        </w:rPr>
      </w:pPr>
      <w:r w:rsidRPr="00B04DC3">
        <w:rPr>
          <w:lang w:val="en-GB"/>
        </w:rPr>
        <w:tab/>
        <w:t>The air flowmeter shall meet the accuracy specifications of paragraph 2.2. of Appendix 4 to this annex, the CO</w:t>
      </w:r>
      <w:r w:rsidRPr="00B04DC3">
        <w:rPr>
          <w:vertAlign w:val="subscript"/>
          <w:lang w:val="en-GB"/>
        </w:rPr>
        <w:t>2</w:t>
      </w:r>
      <w:r w:rsidRPr="00B04DC3">
        <w:rPr>
          <w:lang w:val="en-GB"/>
        </w:rPr>
        <w:t xml:space="preserve"> analyzer used shall meet the specifications of paragraph 3.3.2. of Appendix 4 to this annex and the total system shall meet the accuracy specifications for the exhaust gas flow.</w:t>
      </w:r>
    </w:p>
    <w:p w:rsidR="00DA59A4" w:rsidRPr="00B04DC3" w:rsidRDefault="00DA59A4" w:rsidP="00DA59A4">
      <w:pPr>
        <w:pStyle w:val="para"/>
        <w:rPr>
          <w:lang w:val="en-GB"/>
        </w:rPr>
      </w:pPr>
      <w:r w:rsidRPr="00B04DC3">
        <w:rPr>
          <w:lang w:val="en-GB"/>
        </w:rPr>
        <w:tab/>
        <w:t>Optionally, air to fuel ratio measurement equipment such as a zirconia type sensor may be used for the measurement of the excess air ratio which meets the specifications of paragraph 3.3.6. of Appendix 4 to this annex.</w:t>
      </w:r>
    </w:p>
    <w:p w:rsidR="001448D0" w:rsidRPr="00B04DC3" w:rsidRDefault="001448D0" w:rsidP="00AA0E48">
      <w:pPr>
        <w:keepNext/>
        <w:keepLines/>
        <w:spacing w:after="120"/>
        <w:ind w:left="2268" w:right="1134" w:hanging="1134"/>
        <w:jc w:val="both"/>
      </w:pPr>
      <w:r w:rsidRPr="00B04DC3">
        <w:t>5.</w:t>
      </w:r>
      <w:r w:rsidRPr="00B04DC3">
        <w:tab/>
        <w:t>Calculation of the gaseous emissions</w:t>
      </w:r>
    </w:p>
    <w:p w:rsidR="001448D0" w:rsidRPr="00B04DC3" w:rsidRDefault="001448D0" w:rsidP="001448D0">
      <w:pPr>
        <w:pStyle w:val="para"/>
        <w:rPr>
          <w:lang w:val="en-GB"/>
        </w:rPr>
      </w:pPr>
      <w:r w:rsidRPr="00B04DC3">
        <w:rPr>
          <w:lang w:val="en-GB"/>
        </w:rPr>
        <w:tab/>
        <w:t>The calculation procedures as specified in Annex 4B as adapted in Appendix 4 to Annex 11 shall be used for dual-fuel engines operating in dual-fuel mode.</w:t>
      </w:r>
    </w:p>
    <w:p w:rsidR="00DA59A4" w:rsidRPr="00B04DC3" w:rsidRDefault="00DA59A4" w:rsidP="00DA59A4">
      <w:pPr>
        <w:pStyle w:val="para"/>
        <w:rPr>
          <w:lang w:val="en-GB"/>
        </w:rPr>
      </w:pPr>
      <w:r w:rsidRPr="00B04DC3">
        <w:rPr>
          <w:lang w:val="en-GB"/>
        </w:rPr>
        <w:t>5.1.</w:t>
      </w:r>
      <w:r w:rsidRPr="00B04DC3">
        <w:rPr>
          <w:lang w:val="en-GB"/>
        </w:rPr>
        <w:tab/>
        <w:t>Data evaluation</w:t>
      </w:r>
    </w:p>
    <w:p w:rsidR="00DA59A4" w:rsidRPr="00B04DC3" w:rsidRDefault="00DA59A4" w:rsidP="00DA59A4">
      <w:pPr>
        <w:pStyle w:val="para"/>
        <w:rPr>
          <w:lang w:val="en-GB"/>
        </w:rPr>
      </w:pPr>
      <w:r w:rsidRPr="00B04DC3">
        <w:rPr>
          <w:lang w:val="en-GB"/>
        </w:rPr>
        <w:tab/>
        <w:t>For the evaluation of the gaseous emissions in the diluted exhaust gas, the emission concentrations (HC, CO and NO</w:t>
      </w:r>
      <w:r w:rsidRPr="00B04DC3">
        <w:rPr>
          <w:vertAlign w:val="subscript"/>
          <w:lang w:val="en-GB"/>
        </w:rPr>
        <w:t>x</w:t>
      </w:r>
      <w:r w:rsidRPr="00B04DC3">
        <w:rPr>
          <w:lang w:val="en-GB"/>
        </w:rPr>
        <w:t>) and the diluted exhaust gas mass flow rate shall be recorded according to paragraph 3.8.2.1. of this appendix and stored on a computer system. For analogue analyzers the response shall be recorded, and the calibration data may be applied online or offline during the data evaluation.</w:t>
      </w:r>
    </w:p>
    <w:p w:rsidR="00DA59A4" w:rsidRPr="00B04DC3" w:rsidRDefault="00DA59A4" w:rsidP="00DA59A4">
      <w:pPr>
        <w:pStyle w:val="para"/>
        <w:rPr>
          <w:lang w:val="en-GB"/>
        </w:rPr>
      </w:pPr>
      <w:r w:rsidRPr="00B04DC3">
        <w:rPr>
          <w:lang w:val="en-GB"/>
        </w:rPr>
        <w:tab/>
        <w:t>For the evaluation of the gaseous emissions in the raw exhaust gas, the emission concentrations (HC, CO and NO</w:t>
      </w:r>
      <w:r w:rsidRPr="00B04DC3">
        <w:rPr>
          <w:vertAlign w:val="subscript"/>
          <w:lang w:val="en-GB"/>
        </w:rPr>
        <w:t>x</w:t>
      </w:r>
      <w:r w:rsidRPr="00B04DC3">
        <w:rPr>
          <w:lang w:val="en-GB"/>
        </w:rPr>
        <w:t>) and the exhaust gas mass flow rate shall be recorded according to paragraph 3.8.2.2. of this appendix and stored on a computer system. For analogue analyzers the response shall be recorded, and the calibration data may be applied online or offline during the data evaluation.</w:t>
      </w:r>
    </w:p>
    <w:p w:rsidR="00DA59A4" w:rsidRPr="00B04DC3" w:rsidRDefault="00DA59A4" w:rsidP="00DA59A4">
      <w:pPr>
        <w:pStyle w:val="para"/>
        <w:rPr>
          <w:lang w:val="en-GB"/>
        </w:rPr>
      </w:pPr>
      <w:r w:rsidRPr="00B04DC3">
        <w:rPr>
          <w:lang w:val="en-GB"/>
        </w:rPr>
        <w:t>5.2.</w:t>
      </w:r>
      <w:r w:rsidRPr="00B04DC3">
        <w:rPr>
          <w:lang w:val="en-GB"/>
        </w:rPr>
        <w:tab/>
        <w:t>Dry / wet correction</w:t>
      </w:r>
    </w:p>
    <w:p w:rsidR="00DA59A4" w:rsidRPr="00B04DC3" w:rsidRDefault="00DA59A4" w:rsidP="00DA59A4">
      <w:pPr>
        <w:pStyle w:val="para"/>
        <w:rPr>
          <w:lang w:val="en-GB"/>
        </w:rPr>
      </w:pPr>
      <w:r w:rsidRPr="00B04DC3">
        <w:rPr>
          <w:lang w:val="en-GB"/>
        </w:rPr>
        <w:tab/>
        <w:t>If the concentration is measured on a dry basis, it shall be converted to a wet basis according to the following formula. For continuous measurement, the conversion shall be applied to each instantaneous measurement before any further calculation.</w:t>
      </w:r>
    </w:p>
    <w:p w:rsidR="00DA59A4" w:rsidRPr="00B04DC3" w:rsidRDefault="00DA59A4" w:rsidP="00DA59A4">
      <w:pPr>
        <w:pStyle w:val="para"/>
        <w:rPr>
          <w:lang w:val="en-GB"/>
        </w:rPr>
      </w:pPr>
      <w:r w:rsidRPr="00B04DC3">
        <w:rPr>
          <w:lang w:val="en-GB"/>
        </w:rPr>
        <w:tab/>
      </w:r>
      <w:r w:rsidRPr="00B04DC3">
        <w:rPr>
          <w:lang w:val="en-GB"/>
        </w:rPr>
        <w:tab/>
      </w:r>
      <w:r w:rsidR="00AA0E48" w:rsidRPr="00B04DC3">
        <w:rPr>
          <w:position w:val="-12"/>
          <w:lang w:val="en-GB"/>
        </w:rPr>
        <w:object w:dxaOrig="1540" w:dyaOrig="360">
          <v:shape id="_x0000_i1146" type="#_x0000_t75" style="width:64.2pt;height:14.4pt" o:ole="" fillcolor="window">
            <v:imagedata r:id="rId231" o:title=""/>
          </v:shape>
          <o:OLEObject Type="Embed" ProgID="Equation.3" ShapeID="_x0000_i1146" DrawAspect="Content" ObjectID="_1498392296" r:id="rId232"/>
        </w:object>
      </w:r>
    </w:p>
    <w:p w:rsidR="00DA59A4" w:rsidRPr="00B04DC3" w:rsidRDefault="00DA59A4" w:rsidP="00DA59A4">
      <w:pPr>
        <w:pStyle w:val="para"/>
        <w:rPr>
          <w:lang w:val="en-GB"/>
        </w:rPr>
      </w:pPr>
      <w:r w:rsidRPr="00B04DC3">
        <w:rPr>
          <w:lang w:val="en-GB"/>
        </w:rPr>
        <w:tab/>
        <w:t>The conversion equations of paragraph 5.2. of Appendix 1 to this annex shall apply.</w:t>
      </w:r>
    </w:p>
    <w:p w:rsidR="00DA59A4" w:rsidRPr="00B04DC3" w:rsidRDefault="00DA59A4" w:rsidP="00DA59A4">
      <w:pPr>
        <w:pStyle w:val="para"/>
        <w:rPr>
          <w:lang w:val="en-GB"/>
        </w:rPr>
      </w:pPr>
      <w:r w:rsidRPr="00B04DC3">
        <w:rPr>
          <w:lang w:val="en-GB"/>
        </w:rPr>
        <w:t>5.3.</w:t>
      </w:r>
      <w:r w:rsidRPr="00B04DC3">
        <w:rPr>
          <w:lang w:val="en-GB"/>
        </w:rPr>
        <w:tab/>
        <w:t>NO</w:t>
      </w:r>
      <w:r w:rsidRPr="00B04DC3">
        <w:rPr>
          <w:vertAlign w:val="subscript"/>
          <w:lang w:val="en-GB"/>
        </w:rPr>
        <w:t>x</w:t>
      </w:r>
      <w:r w:rsidRPr="00B04DC3">
        <w:rPr>
          <w:lang w:val="en-GB"/>
        </w:rPr>
        <w:t xml:space="preserve"> correction for humidity and temperature</w:t>
      </w:r>
    </w:p>
    <w:p w:rsidR="00DA59A4" w:rsidRPr="00B04DC3" w:rsidRDefault="00DA59A4" w:rsidP="00DA59A4">
      <w:pPr>
        <w:pStyle w:val="para"/>
        <w:rPr>
          <w:lang w:val="en-GB"/>
        </w:rPr>
      </w:pPr>
      <w:r w:rsidRPr="00B04DC3">
        <w:rPr>
          <w:lang w:val="en-GB"/>
        </w:rPr>
        <w:tab/>
        <w:t>As the NO</w:t>
      </w:r>
      <w:r w:rsidRPr="00B04DC3">
        <w:rPr>
          <w:vertAlign w:val="subscript"/>
          <w:lang w:val="en-GB"/>
        </w:rPr>
        <w:t>x</w:t>
      </w:r>
      <w:r w:rsidRPr="00B04DC3">
        <w:rPr>
          <w:lang w:val="en-GB"/>
        </w:rPr>
        <w:t xml:space="preserve"> emission depends on ambient air conditions, the NO</w:t>
      </w:r>
      <w:r w:rsidRPr="00B04DC3">
        <w:rPr>
          <w:vertAlign w:val="subscript"/>
          <w:lang w:val="en-GB"/>
        </w:rPr>
        <w:t>x</w:t>
      </w:r>
      <w:r w:rsidRPr="00B04DC3">
        <w:rPr>
          <w:lang w:val="en-GB"/>
        </w:rPr>
        <w:t xml:space="preserve"> concentration shall be corrected for ambient air temperature and humidity with the factors given in paragraph 5.3. of Appendix 1 to this annex. The factors are valid in the range between 0 and 25 g/kg dry air.</w:t>
      </w:r>
    </w:p>
    <w:p w:rsidR="00DA59A4" w:rsidRPr="00B04DC3" w:rsidRDefault="00DA59A4" w:rsidP="00DA59A4">
      <w:pPr>
        <w:pStyle w:val="para"/>
        <w:rPr>
          <w:lang w:val="en-GB"/>
        </w:rPr>
      </w:pPr>
      <w:r w:rsidRPr="00B04DC3">
        <w:rPr>
          <w:lang w:val="en-GB"/>
        </w:rPr>
        <w:t>5.4.</w:t>
      </w:r>
      <w:r w:rsidRPr="00B04DC3">
        <w:rPr>
          <w:lang w:val="en-GB"/>
        </w:rPr>
        <w:tab/>
        <w:t>Calculation of the emission mass flow rates</w:t>
      </w:r>
    </w:p>
    <w:p w:rsidR="00DA59A4" w:rsidRPr="00B04DC3" w:rsidRDefault="00DA59A4" w:rsidP="00DA59A4">
      <w:pPr>
        <w:pStyle w:val="para"/>
        <w:rPr>
          <w:lang w:val="en-GB"/>
        </w:rPr>
      </w:pPr>
      <w:r w:rsidRPr="00B04DC3">
        <w:rPr>
          <w:lang w:val="en-GB"/>
        </w:rPr>
        <w:tab/>
        <w:t>The emission mass over the cycle (g/test) shall be calculated as follows depending on the measurement method applied. The measured concentration shall be converted to a wet basis according to paragraph 5.2. of Appendix 1 to this annex, if not already measured on a wet basis. The respective values for u</w:t>
      </w:r>
      <w:r w:rsidRPr="00B04DC3">
        <w:rPr>
          <w:vertAlign w:val="subscript"/>
          <w:lang w:val="en-GB"/>
        </w:rPr>
        <w:t>gas</w:t>
      </w:r>
      <w:r w:rsidRPr="00B04DC3">
        <w:rPr>
          <w:lang w:val="en-GB"/>
        </w:rPr>
        <w:t xml:space="preserve"> shall be applied that are given in </w:t>
      </w:r>
      <w:r w:rsidR="001A3718">
        <w:rPr>
          <w:lang w:val="en-GB"/>
        </w:rPr>
        <w:t>T</w:t>
      </w:r>
      <w:r w:rsidR="001A3718" w:rsidRPr="00B04DC3">
        <w:rPr>
          <w:lang w:val="en-GB"/>
        </w:rPr>
        <w:t>able </w:t>
      </w:r>
      <w:r w:rsidRPr="00B04DC3">
        <w:rPr>
          <w:lang w:val="en-GB"/>
        </w:rPr>
        <w:t>6 of Appendix 1 to this annex for selected components based on ideal gas properties and the fuels relevant for this Regulation.</w:t>
      </w:r>
    </w:p>
    <w:p w:rsidR="00DA59A4" w:rsidRPr="00B04DC3" w:rsidRDefault="00DA59A4" w:rsidP="00DA59A4">
      <w:pPr>
        <w:pStyle w:val="a"/>
        <w:rPr>
          <w:lang w:val="en-GB"/>
        </w:rPr>
      </w:pPr>
      <w:r w:rsidRPr="00B04DC3">
        <w:rPr>
          <w:lang w:val="en-GB"/>
        </w:rPr>
        <w:t>(a)</w:t>
      </w:r>
      <w:r w:rsidRPr="00B04DC3">
        <w:rPr>
          <w:lang w:val="en-GB"/>
        </w:rPr>
        <w:tab/>
        <w:t>For the raw exhaust gas:</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t>m</w:t>
      </w:r>
      <w:r w:rsidRPr="00B04DC3">
        <w:rPr>
          <w:vertAlign w:val="subscript"/>
          <w:lang w:val="en-GB"/>
        </w:rPr>
        <w:t>gas</w:t>
      </w:r>
      <w:r w:rsidRPr="00B04DC3">
        <w:rPr>
          <w:lang w:val="en-GB"/>
        </w:rPr>
        <w:t xml:space="preserve"> =</w:t>
      </w:r>
      <w:r w:rsidRPr="00B04DC3">
        <w:rPr>
          <w:lang w:val="en-GB"/>
        </w:rPr>
        <w:tab/>
      </w:r>
      <w:r w:rsidRPr="00B04DC3">
        <w:rPr>
          <w:position w:val="-28"/>
          <w:lang w:val="en-GB"/>
        </w:rPr>
        <w:object w:dxaOrig="2380" w:dyaOrig="680">
          <v:shape id="_x0000_i1147" type="#_x0000_t75" style="width:119.4pt;height:33.6pt" o:ole="" fillcolor="window">
            <v:imagedata r:id="rId233" o:title=""/>
          </v:shape>
          <o:OLEObject Type="Embed" ProgID="Equation.3" ShapeID="_x0000_i1147" DrawAspect="Content" ObjectID="_1498392297" r:id="rId234"/>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AD3688" w:rsidRPr="00B04DC3" w:rsidRDefault="00DA59A4" w:rsidP="00AD3688">
      <w:pPr>
        <w:pStyle w:val="para"/>
        <w:tabs>
          <w:tab w:val="left" w:pos="2842"/>
          <w:tab w:val="left" w:pos="3360"/>
        </w:tabs>
        <w:ind w:left="3696" w:hanging="2562"/>
        <w:rPr>
          <w:lang w:val="en-GB"/>
        </w:rPr>
      </w:pPr>
      <w:r w:rsidRPr="00B04DC3">
        <w:rPr>
          <w:lang w:val="en-GB"/>
        </w:rPr>
        <w:tab/>
        <w:t>u</w:t>
      </w:r>
      <w:r w:rsidRPr="00B04DC3">
        <w:rPr>
          <w:vertAlign w:val="subscript"/>
          <w:lang w:val="en-GB"/>
        </w:rPr>
        <w:t>gas</w:t>
      </w:r>
      <w:r w:rsidRPr="00B04DC3">
        <w:rPr>
          <w:lang w:val="en-GB"/>
        </w:rPr>
        <w:tab/>
        <w:t>=</w:t>
      </w:r>
      <w:r w:rsidRPr="00B04DC3">
        <w:rPr>
          <w:lang w:val="en-GB"/>
        </w:rPr>
        <w:tab/>
        <w:t xml:space="preserve">ratio between density of exhaust component and density of exhaust gas from </w:t>
      </w:r>
      <w:r w:rsidR="001A3718">
        <w:rPr>
          <w:lang w:val="en-GB"/>
        </w:rPr>
        <w:t>T</w:t>
      </w:r>
      <w:r w:rsidR="001A3718" w:rsidRPr="00B04DC3">
        <w:rPr>
          <w:lang w:val="en-GB"/>
        </w:rPr>
        <w:t xml:space="preserve">able </w:t>
      </w:r>
      <w:r w:rsidRPr="00B04DC3">
        <w:rPr>
          <w:lang w:val="en-GB"/>
        </w:rPr>
        <w:t>6</w:t>
      </w:r>
    </w:p>
    <w:p w:rsidR="00AD3688" w:rsidRPr="00B04DC3" w:rsidRDefault="00DA59A4" w:rsidP="00AD3688">
      <w:pPr>
        <w:pStyle w:val="para"/>
        <w:tabs>
          <w:tab w:val="left" w:pos="2800"/>
          <w:tab w:val="left" w:pos="3360"/>
        </w:tabs>
        <w:ind w:left="3696" w:hanging="2562"/>
        <w:rPr>
          <w:lang w:val="en-GB"/>
        </w:rPr>
      </w:pPr>
      <w:r w:rsidRPr="00B04DC3">
        <w:rPr>
          <w:lang w:val="en-GB"/>
        </w:rPr>
        <w:tab/>
        <w:t>c</w:t>
      </w:r>
      <w:r w:rsidRPr="00B04DC3">
        <w:rPr>
          <w:vertAlign w:val="subscript"/>
          <w:lang w:val="en-GB"/>
        </w:rPr>
        <w:t>gas,i</w:t>
      </w:r>
      <w:r w:rsidRPr="00B04DC3">
        <w:rPr>
          <w:lang w:val="en-GB"/>
        </w:rPr>
        <w:tab/>
        <w:t>=</w:t>
      </w:r>
      <w:r w:rsidRPr="00B04DC3">
        <w:rPr>
          <w:lang w:val="en-GB"/>
        </w:rPr>
        <w:tab/>
        <w:t>instantaneous concentration of the respective component in the raw exhaust gas, ppm</w:t>
      </w:r>
    </w:p>
    <w:p w:rsidR="00AD3688" w:rsidRPr="00B04DC3" w:rsidRDefault="00DA59A4" w:rsidP="00AD3688">
      <w:pPr>
        <w:pStyle w:val="para"/>
        <w:tabs>
          <w:tab w:val="left" w:pos="2800"/>
          <w:tab w:val="left" w:pos="3360"/>
        </w:tabs>
        <w:ind w:left="3696" w:hanging="2562"/>
        <w:rPr>
          <w:lang w:val="en-GB"/>
        </w:rPr>
      </w:pPr>
      <w:r w:rsidRPr="00B04DC3">
        <w:rPr>
          <w:lang w:val="en-GB"/>
        </w:rPr>
        <w:tab/>
        <w:t>q</w:t>
      </w:r>
      <w:r w:rsidRPr="00B04DC3">
        <w:rPr>
          <w:vertAlign w:val="subscript"/>
          <w:lang w:val="en-GB"/>
        </w:rPr>
        <w:t>mew,i</w:t>
      </w:r>
      <w:r w:rsidRPr="00B04DC3">
        <w:rPr>
          <w:lang w:val="en-GB"/>
        </w:rPr>
        <w:tab/>
        <w:t>=</w:t>
      </w:r>
      <w:r w:rsidRPr="00B04DC3">
        <w:rPr>
          <w:lang w:val="en-GB"/>
        </w:rPr>
        <w:tab/>
        <w:t>instantaneous exhaust mass flow rate, kg/s</w:t>
      </w:r>
    </w:p>
    <w:p w:rsidR="004524F5" w:rsidRPr="00B04DC3" w:rsidRDefault="00DA59A4" w:rsidP="00AD3688">
      <w:pPr>
        <w:pStyle w:val="para"/>
        <w:tabs>
          <w:tab w:val="left" w:pos="2800"/>
          <w:tab w:val="left" w:pos="3360"/>
        </w:tabs>
        <w:ind w:left="3696" w:hanging="2562"/>
        <w:rPr>
          <w:lang w:val="en-GB"/>
        </w:rPr>
      </w:pPr>
      <w:r w:rsidRPr="00B04DC3">
        <w:rPr>
          <w:lang w:val="en-GB"/>
        </w:rPr>
        <w:tab/>
        <w:t>f</w:t>
      </w:r>
      <w:r w:rsidRPr="00B04DC3">
        <w:rPr>
          <w:lang w:val="en-GB"/>
        </w:rPr>
        <w:tab/>
        <w:t>=</w:t>
      </w:r>
      <w:r w:rsidRPr="00B04DC3">
        <w:rPr>
          <w:lang w:val="en-GB"/>
        </w:rPr>
        <w:tab/>
        <w:t>data sampling rate, Hz</w:t>
      </w:r>
    </w:p>
    <w:p w:rsidR="004524F5" w:rsidRPr="00B04DC3" w:rsidRDefault="00DA59A4" w:rsidP="004524F5">
      <w:pPr>
        <w:pStyle w:val="para"/>
        <w:tabs>
          <w:tab w:val="left" w:pos="2800"/>
          <w:tab w:val="left" w:pos="3360"/>
        </w:tabs>
        <w:ind w:left="3696" w:hanging="2562"/>
        <w:rPr>
          <w:lang w:val="en-GB"/>
        </w:rPr>
      </w:pPr>
      <w:r w:rsidRPr="00B04DC3">
        <w:rPr>
          <w:lang w:val="en-GB"/>
        </w:rPr>
        <w:tab/>
        <w:t>n</w:t>
      </w:r>
      <w:r w:rsidRPr="00B04DC3">
        <w:rPr>
          <w:lang w:val="en-GB"/>
        </w:rPr>
        <w:tab/>
        <w:t>=</w:t>
      </w:r>
      <w:r w:rsidRPr="00B04DC3">
        <w:rPr>
          <w:lang w:val="en-GB"/>
        </w:rPr>
        <w:tab/>
        <w:t>number of measurements</w:t>
      </w:r>
    </w:p>
    <w:p w:rsidR="00DA59A4" w:rsidRPr="00B04DC3" w:rsidRDefault="004524F5" w:rsidP="004524F5">
      <w:pPr>
        <w:pStyle w:val="para"/>
        <w:tabs>
          <w:tab w:val="left" w:pos="2200"/>
          <w:tab w:val="left" w:pos="2800"/>
          <w:tab w:val="left" w:pos="3360"/>
        </w:tabs>
        <w:ind w:left="3696" w:hanging="2562"/>
        <w:rPr>
          <w:lang w:val="en-GB"/>
        </w:rPr>
      </w:pPr>
      <w:r w:rsidRPr="00B04DC3">
        <w:rPr>
          <w:lang w:val="en-GB"/>
        </w:rPr>
        <w:t xml:space="preserve"> </w:t>
      </w:r>
      <w:r w:rsidRPr="00B04DC3">
        <w:rPr>
          <w:lang w:val="en-GB"/>
        </w:rPr>
        <w:tab/>
      </w:r>
      <w:r w:rsidR="00DA59A4" w:rsidRPr="00B04DC3">
        <w:rPr>
          <w:lang w:val="en-GB"/>
        </w:rPr>
        <w:t>(b)</w:t>
      </w:r>
      <w:r w:rsidR="00DA59A4" w:rsidRPr="00B04DC3">
        <w:rPr>
          <w:lang w:val="en-GB"/>
        </w:rPr>
        <w:tab/>
        <w:t>For the diluted exhaust gas without flow compensation:</w:t>
      </w:r>
    </w:p>
    <w:p w:rsidR="00DA59A4" w:rsidRPr="00B04DC3" w:rsidRDefault="00DA59A4" w:rsidP="004524F5">
      <w:pPr>
        <w:pStyle w:val="para"/>
        <w:tabs>
          <w:tab w:val="left" w:pos="2842"/>
          <w:tab w:val="left" w:pos="3360"/>
        </w:tabs>
        <w:ind w:left="3696" w:hanging="2562"/>
        <w:rPr>
          <w:lang w:val="en-GB"/>
        </w:rPr>
      </w:pPr>
      <w:r w:rsidRPr="00B04DC3">
        <w:rPr>
          <w:lang w:val="en-GB"/>
        </w:rPr>
        <w:tab/>
        <w:t>m</w:t>
      </w:r>
      <w:r w:rsidRPr="00B04DC3">
        <w:rPr>
          <w:vertAlign w:val="subscript"/>
          <w:lang w:val="en-GB"/>
        </w:rPr>
        <w:t>gas</w:t>
      </w:r>
      <w:r w:rsidRPr="00B04DC3">
        <w:rPr>
          <w:lang w:val="en-GB"/>
        </w:rPr>
        <w:tab/>
        <w:t>=</w:t>
      </w:r>
      <w:r w:rsidRPr="00B04DC3">
        <w:rPr>
          <w:lang w:val="en-GB"/>
        </w:rPr>
        <w:tab/>
        <w:t>u</w:t>
      </w:r>
      <w:r w:rsidRPr="00B04DC3">
        <w:rPr>
          <w:vertAlign w:val="subscript"/>
          <w:lang w:val="en-GB"/>
        </w:rPr>
        <w:t>gas</w:t>
      </w:r>
      <w:r w:rsidRPr="00B04DC3">
        <w:rPr>
          <w:lang w:val="en-GB"/>
        </w:rPr>
        <w:t xml:space="preserve"> </w:t>
      </w:r>
      <w:r w:rsidRPr="00B04DC3">
        <w:rPr>
          <w:rFonts w:ascii="Arial" w:hAnsi="Arial" w:cs="Arial"/>
          <w:lang w:val="en-GB"/>
        </w:rPr>
        <w:t>x</w:t>
      </w:r>
      <w:r w:rsidRPr="00B04DC3">
        <w:rPr>
          <w:lang w:val="en-GB"/>
        </w:rPr>
        <w:t xml:space="preserve"> c</w:t>
      </w:r>
      <w:r w:rsidRPr="00B04DC3">
        <w:rPr>
          <w:vertAlign w:val="subscript"/>
          <w:lang w:val="en-GB"/>
        </w:rPr>
        <w:t>gas</w:t>
      </w:r>
      <w:r w:rsidRPr="00B04DC3">
        <w:rPr>
          <w:lang w:val="en-GB"/>
        </w:rPr>
        <w:t xml:space="preserve"> </w:t>
      </w:r>
      <w:r w:rsidRPr="00B04DC3">
        <w:rPr>
          <w:rFonts w:ascii="Arial" w:hAnsi="Arial" w:cs="Arial"/>
          <w:lang w:val="en-GB"/>
        </w:rPr>
        <w:t>x</w:t>
      </w:r>
      <w:r w:rsidRPr="00B04DC3">
        <w:rPr>
          <w:lang w:val="en-GB"/>
        </w:rPr>
        <w:t xml:space="preserve"> m</w:t>
      </w:r>
      <w:r w:rsidRPr="00B04DC3">
        <w:rPr>
          <w:vertAlign w:val="subscript"/>
          <w:lang w:val="en-GB"/>
        </w:rPr>
        <w:t>ed</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4524F5" w:rsidRPr="00B04DC3" w:rsidRDefault="00DA59A4" w:rsidP="004524F5">
      <w:pPr>
        <w:pStyle w:val="para"/>
        <w:tabs>
          <w:tab w:val="left" w:pos="2842"/>
          <w:tab w:val="left" w:pos="3360"/>
        </w:tabs>
        <w:ind w:left="3696" w:hanging="2562"/>
        <w:rPr>
          <w:lang w:val="en-GB"/>
        </w:rPr>
      </w:pPr>
      <w:r w:rsidRPr="00B04DC3">
        <w:rPr>
          <w:lang w:val="en-GB"/>
        </w:rPr>
        <w:tab/>
        <w:t>u</w:t>
      </w:r>
      <w:r w:rsidRPr="00B04DC3">
        <w:rPr>
          <w:vertAlign w:val="subscript"/>
          <w:lang w:val="en-GB"/>
        </w:rPr>
        <w:t>gas</w:t>
      </w:r>
      <w:r w:rsidRPr="00B04DC3">
        <w:rPr>
          <w:lang w:val="en-GB"/>
        </w:rPr>
        <w:tab/>
        <w:t>=</w:t>
      </w:r>
      <w:r w:rsidRPr="00B04DC3">
        <w:rPr>
          <w:lang w:val="en-GB"/>
        </w:rPr>
        <w:tab/>
        <w:t xml:space="preserve">ratio between density of exhaust component and density of air from </w:t>
      </w:r>
      <w:r w:rsidR="001A3718">
        <w:rPr>
          <w:lang w:val="en-GB"/>
        </w:rPr>
        <w:t>T</w:t>
      </w:r>
      <w:r w:rsidR="001A3718" w:rsidRPr="00B04DC3">
        <w:rPr>
          <w:lang w:val="en-GB"/>
        </w:rPr>
        <w:t xml:space="preserve">able </w:t>
      </w:r>
      <w:r w:rsidRPr="00B04DC3">
        <w:rPr>
          <w:lang w:val="en-GB"/>
        </w:rPr>
        <w:t>6</w:t>
      </w:r>
    </w:p>
    <w:p w:rsidR="004524F5" w:rsidRPr="00B04DC3" w:rsidRDefault="00DA59A4" w:rsidP="004524F5">
      <w:pPr>
        <w:pStyle w:val="para"/>
        <w:tabs>
          <w:tab w:val="left" w:pos="2800"/>
          <w:tab w:val="left" w:pos="2842"/>
          <w:tab w:val="left" w:pos="3360"/>
        </w:tabs>
        <w:ind w:left="3696" w:hanging="2562"/>
        <w:rPr>
          <w:lang w:val="en-GB"/>
        </w:rPr>
      </w:pPr>
      <w:r w:rsidRPr="00B04DC3">
        <w:rPr>
          <w:lang w:val="en-GB"/>
        </w:rPr>
        <w:tab/>
        <w:t>c</w:t>
      </w:r>
      <w:r w:rsidRPr="00B04DC3">
        <w:rPr>
          <w:vertAlign w:val="subscript"/>
          <w:lang w:val="en-GB"/>
        </w:rPr>
        <w:t>gas</w:t>
      </w:r>
      <w:r w:rsidRPr="00B04DC3">
        <w:rPr>
          <w:lang w:val="en-GB"/>
        </w:rPr>
        <w:tab/>
        <w:t>=</w:t>
      </w:r>
      <w:r w:rsidRPr="00B04DC3">
        <w:rPr>
          <w:lang w:val="en-GB"/>
        </w:rPr>
        <w:tab/>
        <w:t>average background corrected concentration of the respective component, ppm</w:t>
      </w:r>
    </w:p>
    <w:p w:rsidR="004524F5" w:rsidRPr="00B04DC3" w:rsidRDefault="00DA59A4" w:rsidP="004524F5">
      <w:pPr>
        <w:pStyle w:val="para"/>
        <w:tabs>
          <w:tab w:val="left" w:pos="2800"/>
          <w:tab w:val="left" w:pos="3360"/>
        </w:tabs>
        <w:ind w:left="3696" w:hanging="2562"/>
        <w:rPr>
          <w:lang w:val="en-GB"/>
        </w:rPr>
      </w:pPr>
      <w:r w:rsidRPr="00B04DC3">
        <w:rPr>
          <w:lang w:val="en-GB"/>
        </w:rPr>
        <w:tab/>
        <w:t>m</w:t>
      </w:r>
      <w:r w:rsidRPr="00B04DC3">
        <w:rPr>
          <w:vertAlign w:val="subscript"/>
          <w:lang w:val="en-GB"/>
        </w:rPr>
        <w:t>ed</w:t>
      </w:r>
      <w:r w:rsidRPr="00B04DC3">
        <w:rPr>
          <w:lang w:val="en-GB"/>
        </w:rPr>
        <w:tab/>
        <w:t>=</w:t>
      </w:r>
      <w:r w:rsidRPr="00B04DC3">
        <w:rPr>
          <w:lang w:val="en-GB"/>
        </w:rPr>
        <w:tab/>
        <w:t>total diluted exhaust mass over the cycle, kg</w:t>
      </w:r>
    </w:p>
    <w:p w:rsidR="00DA59A4" w:rsidRPr="00B04DC3" w:rsidRDefault="00A905B7" w:rsidP="004524F5">
      <w:pPr>
        <w:pStyle w:val="para"/>
        <w:tabs>
          <w:tab w:val="left" w:pos="2800"/>
          <w:tab w:val="left" w:pos="3360"/>
        </w:tabs>
        <w:ind w:left="3696" w:hanging="2562"/>
        <w:rPr>
          <w:lang w:val="en-GB"/>
        </w:rPr>
      </w:pPr>
      <w:r>
        <w:rPr>
          <w:noProof/>
          <w:lang w:val="en-GB"/>
        </w:rPr>
        <w:pict>
          <v:rect id="_x0000_s3077" style="position:absolute;left:0;text-align:left;margin-left:228.25pt;margin-top:16.5pt;width:3.3pt;height:12pt;z-index:251614208;mso-wrap-style:none" filled="f" stroked="f">
            <v:textbox style="mso-next-textbox:#_x0000_s3077;mso-fit-shape-to-text:t" inset="0,0,0,0">
              <w:txbxContent>
                <w:p w:rsidR="00A905B7" w:rsidRDefault="00A905B7">
                  <w:r>
                    <w:rPr>
                      <w:rFonts w:ascii="Symbol" w:hAnsi="Symbol" w:cs="Symbol"/>
                      <w:color w:val="000000"/>
                      <w:sz w:val="12"/>
                      <w:szCs w:val="12"/>
                    </w:rPr>
                    <w:t></w:t>
                  </w:r>
                </w:p>
              </w:txbxContent>
            </v:textbox>
          </v:rect>
        </w:pict>
      </w:r>
      <w:r>
        <w:rPr>
          <w:noProof/>
          <w:lang w:val="en-GB"/>
        </w:rPr>
        <w:pict>
          <v:rect id="_x0000_s2027" style="position:absolute;left:0;text-align:left;margin-left:225.95pt;margin-top:16.65pt;width:1.7pt;height:12pt;z-index:251613184;mso-wrap-style:none" filled="f" stroked="f">
            <v:textbox style="mso-next-textbox:#_x0000_s2027;mso-fit-shape-to-text:t" inset="0,0,0,0">
              <w:txbxContent>
                <w:p w:rsidR="00A905B7" w:rsidRPr="00E8533C" w:rsidRDefault="00A905B7">
                  <w:r w:rsidRPr="00E8533C">
                    <w:rPr>
                      <w:iCs/>
                      <w:color w:val="000000"/>
                      <w:sz w:val="12"/>
                      <w:szCs w:val="12"/>
                    </w:rPr>
                    <w:t>i</w:t>
                  </w:r>
                </w:p>
              </w:txbxContent>
            </v:textbox>
          </v:rect>
        </w:pict>
      </w:r>
      <w:r>
        <w:rPr>
          <w:noProof/>
          <w:lang w:val="en-GB"/>
        </w:rPr>
        <w:pict>
          <v:rect id="_x0000_s2026" style="position:absolute;left:0;text-align:left;margin-left:232.2pt;margin-top:16.65pt;width:3.05pt;height:12pt;z-index:251612160;mso-wrap-style:none" filled="f" stroked="f">
            <v:textbox style="mso-next-textbox:#_x0000_s2026;mso-fit-shape-to-text:t" inset="0,0,0,0">
              <w:txbxContent>
                <w:p w:rsidR="00A905B7" w:rsidRPr="00E8533C" w:rsidRDefault="00A905B7">
                  <w:r w:rsidRPr="00E8533C">
                    <w:rPr>
                      <w:iCs/>
                      <w:color w:val="000000"/>
                      <w:sz w:val="12"/>
                      <w:szCs w:val="12"/>
                    </w:rPr>
                    <w:t>n</w:t>
                  </w:r>
                </w:p>
              </w:txbxContent>
            </v:textbox>
          </v:rect>
        </w:pict>
      </w:r>
      <w:r w:rsidR="00DA59A4" w:rsidRPr="00B04DC3">
        <w:rPr>
          <w:lang w:val="en-GB"/>
        </w:rPr>
        <w:tab/>
        <w:t>(c)</w:t>
      </w:r>
      <w:r w:rsidR="00DA59A4" w:rsidRPr="00B04DC3">
        <w:rPr>
          <w:lang w:val="en-GB"/>
        </w:rPr>
        <w:tab/>
        <w:t>For the diluted exhaust gas with flow compensation:</w:t>
      </w:r>
    </w:p>
    <w:p w:rsidR="00DA59A4" w:rsidRPr="00B04DC3" w:rsidRDefault="00DA59A4" w:rsidP="00AA0E48">
      <w:pPr>
        <w:pStyle w:val="NormalCentered"/>
        <w:numPr>
          <w:ilvl w:val="0"/>
          <w:numId w:val="0"/>
        </w:numPr>
        <w:tabs>
          <w:tab w:val="left" w:pos="1134"/>
          <w:tab w:val="left" w:pos="1701"/>
          <w:tab w:val="left" w:pos="2835"/>
          <w:tab w:val="left" w:pos="3374"/>
          <w:tab w:val="left" w:pos="3828"/>
        </w:tabs>
        <w:spacing w:before="0"/>
        <w:jc w:val="left"/>
      </w:pPr>
      <w:r w:rsidRPr="00B04DC3">
        <w:tab/>
      </w:r>
      <w:r w:rsidRPr="00B04DC3">
        <w:tab/>
      </w:r>
      <w:r w:rsidRPr="00B04DC3">
        <w:tab/>
      </w:r>
      <w:r w:rsidRPr="00AA0E48">
        <w:rPr>
          <w:position w:val="38"/>
          <w:sz w:val="20"/>
        </w:rPr>
        <w:t>m</w:t>
      </w:r>
      <w:r w:rsidRPr="00AA0E48">
        <w:rPr>
          <w:position w:val="38"/>
          <w:vertAlign w:val="subscript"/>
        </w:rPr>
        <w:t>gas</w:t>
      </w:r>
      <w:r w:rsidRPr="00AA0E48">
        <w:rPr>
          <w:position w:val="38"/>
        </w:rPr>
        <w:tab/>
        <w:t>=</w:t>
      </w:r>
      <w:r w:rsidR="00A905B7">
        <w:rPr>
          <w:sz w:val="20"/>
        </w:rPr>
      </w:r>
      <w:r w:rsidR="00A905B7">
        <w:rPr>
          <w:sz w:val="20"/>
        </w:rPr>
        <w:pict>
          <v:group id="_x0000_s2003" editas="canvas" style="width:267.7pt;height:39.95pt;mso-position-horizontal-relative:char;mso-position-vertical-relative:line" coordorigin="37,37" coordsize="5354,799">
            <o:lock v:ext="edit" aspectratio="t"/>
            <v:shape id="_x0000_s2004" type="#_x0000_t75" style="position:absolute;left:37;top:37;width:5354;height:799" o:preferrelative="f">
              <v:fill o:detectmouseclick="t"/>
              <v:path o:extrusionok="t" o:connecttype="none"/>
              <o:lock v:ext="edit" text="t"/>
            </v:shape>
            <v:line id="_x0000_s2005" style="position:absolute" from="2229,363" to="2405,363" strokeweight=".45pt"/>
            <v:rect id="_x0000_s2006" style="position:absolute;left:3856;top:128;width:94;height:343;mso-wrap-style:none" filled="f" stroked="f">
              <v:textbox style="mso-next-textbox:#_x0000_s2006;mso-fit-shape-to-text:t" inset="0,0,0,0">
                <w:txbxContent>
                  <w:p w:rsidR="00A905B7" w:rsidRDefault="00A905B7">
                    <w:r>
                      <w:rPr>
                        <w:rFonts w:ascii="Symbol" w:hAnsi="Symbol" w:cs="Symbol"/>
                        <w:color w:val="000000"/>
                        <w:sz w:val="28"/>
                        <w:szCs w:val="28"/>
                      </w:rPr>
                      <w:t></w:t>
                    </w:r>
                  </w:p>
                </w:txbxContent>
              </v:textbox>
            </v:rect>
            <v:rect id="_x0000_s2007" style="position:absolute;left:4520;top:128;width:94;height:343;mso-wrap-style:none" filled="f" stroked="f">
              <v:textbox style="mso-next-textbox:#_x0000_s2007;mso-fit-shape-to-text:t" inset="0,0,0,0">
                <w:txbxContent>
                  <w:p w:rsidR="00A905B7" w:rsidRDefault="00A905B7">
                    <w:r>
                      <w:rPr>
                        <w:rFonts w:ascii="Symbol" w:hAnsi="Symbol" w:cs="Symbol"/>
                        <w:color w:val="000000"/>
                        <w:sz w:val="28"/>
                        <w:szCs w:val="28"/>
                      </w:rPr>
                      <w:t></w:t>
                    </w:r>
                  </w:p>
                </w:txbxContent>
              </v:textbox>
            </v:rect>
            <v:rect id="_x0000_s2008" style="position:absolute;left:2884;top:72;width:114;height:417;mso-wrap-style:none" filled="f" stroked="f">
              <v:textbox style="mso-next-textbox:#_x0000_s2008;mso-fit-shape-to-text:t" inset="0,0,0,0">
                <w:txbxContent>
                  <w:p w:rsidR="00A905B7" w:rsidRDefault="00A905B7">
                    <w:r>
                      <w:rPr>
                        <w:rFonts w:ascii="Symbol" w:hAnsi="Symbol" w:cs="Symbol"/>
                        <w:color w:val="000000"/>
                        <w:sz w:val="34"/>
                        <w:szCs w:val="34"/>
                      </w:rPr>
                      <w:t></w:t>
                    </w:r>
                  </w:p>
                </w:txbxContent>
              </v:textbox>
            </v:rect>
            <v:rect id="_x0000_s2009" style="position:absolute;left:5136;top:72;width:114;height:417;mso-wrap-style:none" filled="f" stroked="f">
              <v:textbox style="mso-next-textbox:#_x0000_s2009;mso-fit-shape-to-text:t" inset="0,0,0,0">
                <w:txbxContent>
                  <w:p w:rsidR="00A905B7" w:rsidRDefault="00A905B7">
                    <w:r>
                      <w:rPr>
                        <w:rFonts w:ascii="Symbol" w:hAnsi="Symbol" w:cs="Symbol"/>
                        <w:color w:val="000000"/>
                        <w:sz w:val="34"/>
                        <w:szCs w:val="34"/>
                      </w:rPr>
                      <w:t></w:t>
                    </w:r>
                  </w:p>
                </w:txbxContent>
              </v:textbox>
            </v:rect>
            <v:rect id="_x0000_s2010" style="position:absolute;left:2821;top:59;width:120;height:441;mso-wrap-style:none" filled="f" stroked="f">
              <v:textbox style="mso-next-textbox:#_x0000_s2010;mso-fit-shape-to-text:t" inset="0,0,0,0">
                <w:txbxContent>
                  <w:p w:rsidR="00A905B7" w:rsidRDefault="00A905B7">
                    <w:r>
                      <w:rPr>
                        <w:rFonts w:ascii="Symbol" w:hAnsi="Symbol" w:cs="Symbol"/>
                        <w:color w:val="000000"/>
                        <w:sz w:val="36"/>
                        <w:szCs w:val="36"/>
                      </w:rPr>
                      <w:t></w:t>
                    </w:r>
                  </w:p>
                </w:txbxContent>
              </v:textbox>
            </v:rect>
            <v:rect id="_x0000_s2011" style="position:absolute;left:5189;top:59;width:120;height:441;mso-wrap-style:none" filled="f" stroked="f">
              <v:textbox style="mso-next-textbox:#_x0000_s2011;mso-fit-shape-to-text:t" inset="0,0,0,0">
                <w:txbxContent>
                  <w:p w:rsidR="00A905B7" w:rsidRDefault="00A905B7">
                    <w:r>
                      <w:rPr>
                        <w:rFonts w:ascii="Symbol" w:hAnsi="Symbol" w:cs="Symbol"/>
                        <w:color w:val="000000"/>
                        <w:sz w:val="36"/>
                        <w:szCs w:val="36"/>
                      </w:rPr>
                      <w:t></w:t>
                    </w:r>
                  </w:p>
                </w:txbxContent>
              </v:textbox>
            </v:rect>
            <v:rect id="_x0000_s2012" style="position:absolute;left:4886;top:356;width:194;height:240;mso-wrap-style:none" filled="f" stroked="f">
              <v:textbox style="mso-next-textbox:#_x0000_s2012;mso-fit-shape-to-text:t" inset="0,0,0,0">
                <w:txbxContent>
                  <w:p w:rsidR="00A905B7" w:rsidRDefault="00A905B7">
                    <w:r>
                      <w:rPr>
                        <w:rFonts w:ascii="Arial" w:hAnsi="Arial" w:cs="Arial"/>
                        <w:color w:val="000000"/>
                        <w:sz w:val="12"/>
                        <w:szCs w:val="12"/>
                      </w:rPr>
                      <w:t>gas</w:t>
                    </w:r>
                  </w:p>
                </w:txbxContent>
              </v:textbox>
            </v:rect>
            <v:rect id="_x0000_s2013" style="position:absolute;left:3564;top:356;width:67;height:240;mso-wrap-style:none" filled="f" stroked="f">
              <v:textbox style="mso-next-textbox:#_x0000_s2013;mso-fit-shape-to-text:t" inset="0,0,0,0">
                <w:txbxContent>
                  <w:p w:rsidR="00A905B7" w:rsidRDefault="00A905B7">
                    <w:r>
                      <w:rPr>
                        <w:rFonts w:ascii="Arial" w:hAnsi="Arial" w:cs="Arial"/>
                        <w:color w:val="000000"/>
                        <w:sz w:val="12"/>
                        <w:szCs w:val="12"/>
                      </w:rPr>
                      <w:t>d</w:t>
                    </w:r>
                  </w:p>
                </w:txbxContent>
              </v:textbox>
            </v:rect>
            <v:rect id="_x0000_s2014" style="position:absolute;left:3143;top:356;width:134;height:240;mso-wrap-style:none" filled="f" stroked="f">
              <v:textbox style="mso-next-textbox:#_x0000_s2014;mso-fit-shape-to-text:t" inset="0,0,0,0">
                <w:txbxContent>
                  <w:p w:rsidR="00A905B7" w:rsidRDefault="00A905B7">
                    <w:r>
                      <w:rPr>
                        <w:rFonts w:ascii="Arial" w:hAnsi="Arial" w:cs="Arial"/>
                        <w:color w:val="000000"/>
                        <w:sz w:val="12"/>
                        <w:szCs w:val="12"/>
                      </w:rPr>
                      <w:t>ed</w:t>
                    </w:r>
                  </w:p>
                </w:txbxContent>
              </v:textbox>
            </v:rect>
            <v:rect id="_x0000_s2015" style="position:absolute;left:241;top:356;width:194;height:240;mso-wrap-style:none" filled="f" stroked="f">
              <v:textbox style="mso-next-textbox:#_x0000_s2015;mso-fit-shape-to-text:t" inset="0,0,0,0">
                <w:txbxContent>
                  <w:p w:rsidR="00A905B7" w:rsidRDefault="00A905B7">
                    <w:r>
                      <w:rPr>
                        <w:rFonts w:ascii="Arial" w:hAnsi="Arial" w:cs="Arial"/>
                        <w:color w:val="000000"/>
                        <w:sz w:val="12"/>
                        <w:szCs w:val="12"/>
                      </w:rPr>
                      <w:t>gas</w:t>
                    </w:r>
                  </w:p>
                </w:txbxContent>
              </v:textbox>
            </v:rect>
            <v:rect id="_x0000_s2016" style="position:absolute;left:4201;top:220;width:123;height:253;mso-wrap-style:none" filled="f" stroked="f">
              <v:textbox style="mso-next-textbox:#_x0000_s2016;mso-fit-shape-to-text:t" inset="0,0,0,0">
                <w:txbxContent>
                  <w:p w:rsidR="00A905B7" w:rsidRDefault="00A905B7">
                    <w:r>
                      <w:rPr>
                        <w:rFonts w:ascii="Arial" w:hAnsi="Arial" w:cs="Arial"/>
                        <w:color w:val="000000"/>
                        <w:sz w:val="22"/>
                        <w:szCs w:val="22"/>
                      </w:rPr>
                      <w:t>1</w:t>
                    </w:r>
                  </w:p>
                </w:txbxContent>
              </v:textbox>
            </v:rect>
            <v:rect id="_x0000_s2017" style="position:absolute;left:3916;top:220;width:123;height:253;mso-wrap-style:none" filled="f" stroked="f">
              <v:textbox style="mso-next-textbox:#_x0000_s2017;mso-fit-shape-to-text:t" inset="0,0,0,0">
                <w:txbxContent>
                  <w:p w:rsidR="00A905B7" w:rsidRDefault="00A905B7">
                    <w:r>
                      <w:rPr>
                        <w:rFonts w:ascii="Arial" w:hAnsi="Arial" w:cs="Arial"/>
                        <w:color w:val="000000"/>
                        <w:sz w:val="22"/>
                        <w:szCs w:val="22"/>
                      </w:rPr>
                      <w:t>1</w:t>
                    </w:r>
                  </w:p>
                </w:txbxContent>
              </v:textbox>
            </v:rect>
            <v:rect id="_x0000_s2018" style="position:absolute;left:4775;top:220;width:111;height:253;mso-wrap-style:none" filled="f" stroked="f">
              <v:textbox style="mso-next-textbox:#_x0000_s2018;mso-fit-shape-to-text:t" inset="0,0,0,0">
                <w:txbxContent>
                  <w:p w:rsidR="00A905B7" w:rsidRPr="00E8533C" w:rsidRDefault="00A905B7">
                    <w:r w:rsidRPr="00E8533C">
                      <w:rPr>
                        <w:iCs/>
                        <w:color w:val="000000"/>
                        <w:sz w:val="22"/>
                        <w:szCs w:val="22"/>
                      </w:rPr>
                      <w:t>u</w:t>
                    </w:r>
                  </w:p>
                </w:txbxContent>
              </v:textbox>
            </v:rect>
            <v:rect id="_x0000_s2019" style="position:absolute;left:4361;top:220;width:159;height:253;mso-wrap-style:none" filled="f" stroked="f">
              <v:textbox style="mso-next-textbox:#_x0000_s2019;mso-fit-shape-to-text:t" inset="0,0,0,0">
                <w:txbxContent>
                  <w:p w:rsidR="00A905B7" w:rsidRPr="00E8533C" w:rsidRDefault="00A905B7">
                    <w:r w:rsidRPr="00E8533C">
                      <w:rPr>
                        <w:iCs/>
                        <w:color w:val="000000"/>
                        <w:sz w:val="22"/>
                        <w:szCs w:val="22"/>
                      </w:rPr>
                      <w:t>D</w:t>
                    </w:r>
                  </w:p>
                </w:txbxContent>
              </v:textbox>
            </v:rect>
            <v:rect id="_x0000_s2020" style="position:absolute;left:3471;top:220;width:98;height:253;mso-wrap-style:none" filled="f" stroked="f">
              <v:textbox style="mso-next-textbox:#_x0000_s2020;mso-fit-shape-to-text:t" inset="0,0,0,0">
                <w:txbxContent>
                  <w:p w:rsidR="00A905B7" w:rsidRPr="00E8533C" w:rsidRDefault="00A905B7">
                    <w:r w:rsidRPr="00E8533C">
                      <w:rPr>
                        <w:iCs/>
                        <w:color w:val="000000"/>
                        <w:sz w:val="22"/>
                        <w:szCs w:val="22"/>
                      </w:rPr>
                      <w:t>c</w:t>
                    </w:r>
                  </w:p>
                </w:txbxContent>
              </v:textbox>
            </v:rect>
            <v:rect id="_x0000_s2021" style="position:absolute;left:2983;top:220;width:172;height:253;mso-wrap-style:none" filled="f" stroked="f">
              <v:textbox style="mso-next-textbox:#_x0000_s2021;mso-fit-shape-to-text:t" inset="0,0,0,0">
                <w:txbxContent>
                  <w:p w:rsidR="00A905B7" w:rsidRPr="00E8533C" w:rsidRDefault="00A905B7">
                    <w:r w:rsidRPr="00E8533C">
                      <w:rPr>
                        <w:iCs/>
                        <w:color w:val="000000"/>
                        <w:sz w:val="22"/>
                        <w:szCs w:val="22"/>
                      </w:rPr>
                      <w:t>m</w:t>
                    </w:r>
                  </w:p>
                </w:txbxContent>
              </v:textbox>
            </v:rect>
            <v:rect id="_x0000_s2022" style="position:absolute;left:2296;top:393;width:74;height:253;mso-wrap-style:none" filled="f" stroked="f">
              <v:textbox style="mso-next-textbox:#_x0000_s2022;mso-fit-shape-to-text:t" inset="0,0,0,0">
                <w:txbxContent>
                  <w:p w:rsidR="00A905B7" w:rsidRPr="00E8533C" w:rsidRDefault="00A905B7">
                    <w:r w:rsidRPr="00E8533C">
                      <w:rPr>
                        <w:iCs/>
                        <w:color w:val="000000"/>
                        <w:sz w:val="22"/>
                        <w:szCs w:val="22"/>
                      </w:rPr>
                      <w:t>f</w:t>
                    </w:r>
                  </w:p>
                </w:txbxContent>
              </v:textbox>
            </v:rect>
            <v:rect id="_x0000_s2023" style="position:absolute;left:1514;top:220;width:111;height:253;mso-wrap-style:none" filled="f" stroked="f">
              <v:textbox style="mso-next-textbox:#_x0000_s2023;mso-fit-shape-to-text:t" inset="0,0,0,0">
                <w:txbxContent>
                  <w:p w:rsidR="00A905B7" w:rsidRPr="00E8533C" w:rsidRDefault="00A905B7">
                    <w:r w:rsidRPr="00E8533C">
                      <w:rPr>
                        <w:iCs/>
                        <w:color w:val="000000"/>
                        <w:sz w:val="22"/>
                        <w:szCs w:val="22"/>
                      </w:rPr>
                      <w:t>q</w:t>
                    </w:r>
                  </w:p>
                </w:txbxContent>
              </v:textbox>
            </v:rect>
            <v:rect id="_x0000_s2024" style="position:absolute;left:1051;top:220;width:98;height:253;mso-wrap-style:none" filled="f" stroked="f">
              <v:textbox style="mso-next-textbox:#_x0000_s2024;mso-fit-shape-to-text:t" inset="0,0,0,0">
                <w:txbxContent>
                  <w:p w:rsidR="00A905B7" w:rsidRPr="00E8533C" w:rsidRDefault="00A905B7">
                    <w:r w:rsidRPr="00E8533C">
                      <w:rPr>
                        <w:iCs/>
                        <w:color w:val="000000"/>
                        <w:sz w:val="22"/>
                        <w:szCs w:val="22"/>
                      </w:rPr>
                      <w:t>c</w:t>
                    </w:r>
                  </w:p>
                </w:txbxContent>
              </v:textbox>
            </v:rect>
            <v:rect id="_x0000_s2025" style="position:absolute;left:130;top:220;width:111;height:253;mso-wrap-style:none" filled="f" stroked="f">
              <v:textbox style="mso-next-textbox:#_x0000_s2025;mso-fit-shape-to-text:t" inset="0,0,0,0">
                <w:txbxContent>
                  <w:p w:rsidR="00A905B7" w:rsidRPr="00E8533C" w:rsidRDefault="00A905B7">
                    <w:r w:rsidRPr="00E8533C">
                      <w:rPr>
                        <w:iCs/>
                        <w:color w:val="000000"/>
                        <w:sz w:val="22"/>
                        <w:szCs w:val="22"/>
                      </w:rPr>
                      <w:t>u</w:t>
                    </w:r>
                  </w:p>
                </w:txbxContent>
              </v:textbox>
            </v:rect>
            <v:rect id="_x0000_s2028" style="position:absolute;left:708;top:413;width:34;height:240;mso-wrap-style:none" filled="f" stroked="f">
              <v:textbox style="mso-next-textbox:#_x0000_s2028;mso-fit-shape-to-text:t" inset="0,0,0,0">
                <w:txbxContent>
                  <w:p w:rsidR="00A905B7" w:rsidRDefault="00A905B7">
                    <w:r>
                      <w:rPr>
                        <w:i/>
                        <w:iCs/>
                        <w:color w:val="000000"/>
                        <w:sz w:val="12"/>
                        <w:szCs w:val="12"/>
                      </w:rPr>
                      <w:t>i</w:t>
                    </w:r>
                  </w:p>
                </w:txbxContent>
              </v:textbox>
            </v:rect>
            <v:rect id="_x0000_s2029" style="position:absolute;left:1624;top:358;width:87;height:240;mso-wrap-style:none" filled="f" stroked="f">
              <v:textbox style="mso-next-textbox:#_x0000_s2029;mso-fit-shape-to-text:t" inset="0,0,0,0">
                <w:txbxContent>
                  <w:p w:rsidR="00A905B7" w:rsidRDefault="00A905B7">
                    <w:r>
                      <w:rPr>
                        <w:i/>
                        <w:iCs/>
                        <w:color w:val="000000"/>
                        <w:sz w:val="12"/>
                        <w:szCs w:val="12"/>
                      </w:rPr>
                      <w:t>m</w:t>
                    </w:r>
                  </w:p>
                </w:txbxContent>
              </v:textbox>
            </v:rect>
            <v:rect id="_x0000_s2030" style="position:absolute;left:4610;top:198;width:121;height:270;mso-wrap-style:none" filled="f" stroked="f">
              <v:textbox style="mso-next-textbox:#_x0000_s2030;mso-fit-shape-to-text:t" inset="0,0,0,0">
                <w:txbxContent>
                  <w:p w:rsidR="00A905B7" w:rsidRDefault="00A905B7">
                    <w:r>
                      <w:rPr>
                        <w:rFonts w:ascii="Symbol" w:hAnsi="Symbol" w:cs="Symbol"/>
                        <w:color w:val="000000"/>
                        <w:sz w:val="22"/>
                        <w:szCs w:val="22"/>
                      </w:rPr>
                      <w:t></w:t>
                    </w:r>
                  </w:p>
                </w:txbxContent>
              </v:textbox>
            </v:rect>
            <v:rect id="_x0000_s2031" style="position:absolute;left:4040;top:198;width:121;height:270;mso-wrap-style:none" filled="f" stroked="f">
              <v:textbox style="mso-next-textbox:#_x0000_s2031;mso-fit-shape-to-text:t" inset="0,0,0,0">
                <w:txbxContent>
                  <w:p w:rsidR="00A905B7" w:rsidRDefault="00A905B7">
                    <w:r>
                      <w:rPr>
                        <w:rFonts w:ascii="Symbol" w:hAnsi="Symbol" w:cs="Symbol"/>
                        <w:color w:val="000000"/>
                        <w:sz w:val="22"/>
                        <w:szCs w:val="22"/>
                      </w:rPr>
                      <w:t></w:t>
                    </w:r>
                  </w:p>
                </w:txbxContent>
              </v:textbox>
            </v:rect>
            <v:rect id="_x0000_s2032" style="position:absolute;left:3710;top:198;width:121;height:270;mso-wrap-style:none" filled="f" stroked="f">
              <v:textbox style="mso-next-textbox:#_x0000_s2032;mso-fit-shape-to-text:t" inset="0,0,0,0">
                <w:txbxContent>
                  <w:p w:rsidR="00A905B7" w:rsidRDefault="00A905B7">
                    <w:r>
                      <w:rPr>
                        <w:rFonts w:ascii="Symbol" w:hAnsi="Symbol" w:cs="Symbol"/>
                        <w:color w:val="000000"/>
                        <w:sz w:val="22"/>
                        <w:szCs w:val="22"/>
                      </w:rPr>
                      <w:t></w:t>
                    </w:r>
                  </w:p>
                </w:txbxContent>
              </v:textbox>
            </v:rect>
            <v:rect id="_x0000_s2033" style="position:absolute;left:3311;top:198;width:121;height:270;mso-wrap-style:none" filled="f" stroked="f">
              <v:textbox style="mso-next-textbox:#_x0000_s2033;mso-fit-shape-to-text:t" inset="0,0,0,0">
                <w:txbxContent>
                  <w:p w:rsidR="00A905B7" w:rsidRDefault="00A905B7">
                    <w:r>
                      <w:rPr>
                        <w:rFonts w:ascii="Symbol" w:hAnsi="Symbol" w:cs="Symbol"/>
                        <w:color w:val="000000"/>
                        <w:sz w:val="22"/>
                        <w:szCs w:val="22"/>
                      </w:rPr>
                      <w:t></w:t>
                    </w:r>
                  </w:p>
                </w:txbxContent>
              </v:textbox>
            </v:rect>
            <v:rect id="_x0000_s2034" style="position:absolute;left:2659;top:198;width:121;height:270;mso-wrap-style:none" filled="f" stroked="f">
              <v:textbox style="mso-next-textbox:#_x0000_s2034;mso-fit-shape-to-text:t" inset="0,0,0,0">
                <w:txbxContent>
                  <w:p w:rsidR="00A905B7" w:rsidRDefault="00A905B7">
                    <w:r>
                      <w:rPr>
                        <w:rFonts w:ascii="Symbol" w:hAnsi="Symbol" w:cs="Symbol"/>
                        <w:color w:val="000000"/>
                        <w:sz w:val="22"/>
                        <w:szCs w:val="22"/>
                      </w:rPr>
                      <w:t></w:t>
                    </w:r>
                  </w:p>
                </w:txbxContent>
              </v:textbox>
            </v:rect>
            <v:rect id="_x0000_s2035" style="position:absolute;left:2521;top:247;width:85;height:270;mso-wrap-style:none" filled="f" stroked="f">
              <v:textbox style="mso-next-textbox:#_x0000_s2035;mso-fit-shape-to-text:t" inset="0,0,0,0">
                <w:txbxContent>
                  <w:p w:rsidR="00A905B7" w:rsidRDefault="00A905B7">
                    <w:r>
                      <w:rPr>
                        <w:rFonts w:ascii="Symbol" w:hAnsi="Symbol" w:cs="Symbol"/>
                        <w:color w:val="000000"/>
                        <w:sz w:val="22"/>
                        <w:szCs w:val="22"/>
                      </w:rPr>
                      <w:t></w:t>
                    </w:r>
                  </w:p>
                </w:txbxContent>
              </v:textbox>
            </v:rect>
            <v:rect id="_x0000_s2036" style="position:absolute;left:2521;top:437;width:85;height:270;mso-wrap-style:none" filled="f" stroked="f">
              <v:textbox style="mso-next-textbox:#_x0000_s2036;mso-fit-shape-to-text:t" inset="0,0,0,0">
                <w:txbxContent>
                  <w:p w:rsidR="00A905B7" w:rsidRDefault="00A905B7">
                    <w:r>
                      <w:rPr>
                        <w:rFonts w:ascii="Symbol" w:hAnsi="Symbol" w:cs="Symbol"/>
                        <w:color w:val="000000"/>
                        <w:sz w:val="22"/>
                        <w:szCs w:val="22"/>
                      </w:rPr>
                      <w:t></w:t>
                    </w:r>
                  </w:p>
                </w:txbxContent>
              </v:textbox>
            </v:rect>
            <v:rect id="_x0000_s2037" style="position:absolute;left:2521;top:37;width:85;height:270;mso-wrap-style:none" filled="f" stroked="f">
              <v:textbox style="mso-next-textbox:#_x0000_s2037;mso-fit-shape-to-text:t" inset="0,0,0,0">
                <w:txbxContent>
                  <w:p w:rsidR="00A905B7" w:rsidRDefault="00A905B7">
                    <w:r>
                      <w:rPr>
                        <w:rFonts w:ascii="Symbol" w:hAnsi="Symbol" w:cs="Symbol"/>
                        <w:color w:val="000000"/>
                        <w:sz w:val="22"/>
                        <w:szCs w:val="22"/>
                      </w:rPr>
                      <w:t></w:t>
                    </w:r>
                  </w:p>
                </w:txbxContent>
              </v:textbox>
            </v:rect>
            <v:rect id="_x0000_s2038" style="position:absolute;left:37;top:247;width:85;height:270;mso-wrap-style:none" filled="f" stroked="f">
              <v:textbox style="mso-next-textbox:#_x0000_s2038;mso-fit-shape-to-text:t" inset="0,0,0,0">
                <w:txbxContent>
                  <w:p w:rsidR="00A905B7" w:rsidRDefault="00A905B7">
                    <w:r>
                      <w:rPr>
                        <w:rFonts w:ascii="Symbol" w:hAnsi="Symbol" w:cs="Symbol"/>
                        <w:color w:val="000000"/>
                        <w:sz w:val="22"/>
                        <w:szCs w:val="22"/>
                      </w:rPr>
                      <w:t></w:t>
                    </w:r>
                  </w:p>
                </w:txbxContent>
              </v:textbox>
            </v:rect>
            <v:rect id="_x0000_s2039" style="position:absolute;left:37;top:437;width:85;height:270;mso-wrap-style:none" filled="f" stroked="f">
              <v:textbox style="mso-next-textbox:#_x0000_s2039;mso-fit-shape-to-text:t" inset="0,0,0,0">
                <w:txbxContent>
                  <w:p w:rsidR="00A905B7" w:rsidRDefault="00A905B7">
                    <w:r>
                      <w:rPr>
                        <w:rFonts w:ascii="Symbol" w:hAnsi="Symbol" w:cs="Symbol"/>
                        <w:color w:val="000000"/>
                        <w:sz w:val="22"/>
                        <w:szCs w:val="22"/>
                      </w:rPr>
                      <w:t></w:t>
                    </w:r>
                  </w:p>
                </w:txbxContent>
              </v:textbox>
            </v:rect>
            <v:rect id="_x0000_s2040" style="position:absolute;left:37;top:37;width:85;height:270;mso-wrap-style:none" filled="f" stroked="f">
              <v:textbox style="mso-next-textbox:#_x0000_s2040;mso-fit-shape-to-text:t" inset="0,0,0,0">
                <w:txbxContent>
                  <w:p w:rsidR="00A905B7" w:rsidRDefault="00A905B7">
                    <w:r>
                      <w:rPr>
                        <w:rFonts w:ascii="Symbol" w:hAnsi="Symbol" w:cs="Symbol"/>
                        <w:color w:val="000000"/>
                        <w:sz w:val="22"/>
                        <w:szCs w:val="22"/>
                      </w:rPr>
                      <w:t></w:t>
                    </w:r>
                  </w:p>
                </w:txbxContent>
              </v:textbox>
            </v:rect>
            <v:rect id="_x0000_s2041" style="position:absolute;left:2433;top:279;width:85;height:270;mso-wrap-style:none" filled="f" stroked="f">
              <v:textbox style="mso-next-textbox:#_x0000_s2041;mso-fit-shape-to-text:t" inset="0,0,0,0">
                <w:txbxContent>
                  <w:p w:rsidR="00A905B7" w:rsidRDefault="00A905B7">
                    <w:r>
                      <w:rPr>
                        <w:rFonts w:ascii="Symbol" w:hAnsi="Symbol" w:cs="Symbol"/>
                        <w:color w:val="000000"/>
                        <w:sz w:val="22"/>
                        <w:szCs w:val="22"/>
                      </w:rPr>
                      <w:t></w:t>
                    </w:r>
                  </w:p>
                </w:txbxContent>
              </v:textbox>
            </v:rect>
            <v:rect id="_x0000_s2042" style="position:absolute;left:2433;top:194;width:85;height:270;mso-wrap-style:none" filled="f" stroked="f">
              <v:textbox style="mso-next-textbox:#_x0000_s2042;mso-fit-shape-to-text:t" inset="0,0,0,0">
                <w:txbxContent>
                  <w:p w:rsidR="00A905B7" w:rsidRDefault="00A905B7">
                    <w:r>
                      <w:rPr>
                        <w:rFonts w:ascii="Symbol" w:hAnsi="Symbol" w:cs="Symbol"/>
                        <w:color w:val="000000"/>
                        <w:sz w:val="22"/>
                        <w:szCs w:val="22"/>
                      </w:rPr>
                      <w:t></w:t>
                    </w:r>
                  </w:p>
                </w:txbxContent>
              </v:textbox>
            </v:rect>
            <v:rect id="_x0000_s2043" style="position:absolute;left:2433;top:419;width:85;height:270;mso-wrap-style:none" filled="f" stroked="f">
              <v:textbox style="mso-next-textbox:#_x0000_s2043;mso-fit-shape-to-text:t" inset="0,0,0,0">
                <w:txbxContent>
                  <w:p w:rsidR="00A905B7" w:rsidRDefault="00A905B7">
                    <w:r>
                      <w:rPr>
                        <w:rFonts w:ascii="Symbol" w:hAnsi="Symbol" w:cs="Symbol"/>
                        <w:color w:val="000000"/>
                        <w:sz w:val="22"/>
                        <w:szCs w:val="22"/>
                      </w:rPr>
                      <w:t></w:t>
                    </w:r>
                  </w:p>
                </w:txbxContent>
              </v:textbox>
            </v:rect>
            <v:rect id="_x0000_s2044" style="position:absolute;left:2433;top:54;width:85;height:270;mso-wrap-style:none" filled="f" stroked="f">
              <v:textbox style="mso-next-textbox:#_x0000_s2044;mso-fit-shape-to-text:t" inset="0,0,0,0">
                <w:txbxContent>
                  <w:p w:rsidR="00A905B7" w:rsidRDefault="00A905B7">
                    <w:r>
                      <w:rPr>
                        <w:rFonts w:ascii="Symbol" w:hAnsi="Symbol" w:cs="Symbol"/>
                        <w:color w:val="000000"/>
                        <w:sz w:val="22"/>
                        <w:szCs w:val="22"/>
                      </w:rPr>
                      <w:t></w:t>
                    </w:r>
                  </w:p>
                </w:txbxContent>
              </v:textbox>
            </v:rect>
            <v:rect id="_x0000_s2045" style="position:absolute;left:934;top:279;width:85;height:270;mso-wrap-style:none" filled="f" stroked="f">
              <v:textbox style="mso-next-textbox:#_x0000_s2045;mso-fit-shape-to-text:t" inset="0,0,0,0">
                <w:txbxContent>
                  <w:p w:rsidR="00A905B7" w:rsidRDefault="00A905B7">
                    <w:r>
                      <w:rPr>
                        <w:rFonts w:ascii="Symbol" w:hAnsi="Symbol" w:cs="Symbol"/>
                        <w:color w:val="000000"/>
                        <w:sz w:val="22"/>
                        <w:szCs w:val="22"/>
                      </w:rPr>
                      <w:t></w:t>
                    </w:r>
                  </w:p>
                </w:txbxContent>
              </v:textbox>
            </v:rect>
            <v:rect id="_x0000_s2046" style="position:absolute;left:934;top:194;width:85;height:270;mso-wrap-style:none" filled="f" stroked="f">
              <v:textbox style="mso-next-textbox:#_x0000_s2046;mso-fit-shape-to-text:t" inset="0,0,0,0">
                <w:txbxContent>
                  <w:p w:rsidR="00A905B7" w:rsidRDefault="00A905B7">
                    <w:r>
                      <w:rPr>
                        <w:rFonts w:ascii="Symbol" w:hAnsi="Symbol" w:cs="Symbol"/>
                        <w:color w:val="000000"/>
                        <w:sz w:val="22"/>
                        <w:szCs w:val="22"/>
                      </w:rPr>
                      <w:t></w:t>
                    </w:r>
                  </w:p>
                </w:txbxContent>
              </v:textbox>
            </v:rect>
            <v:rect id="_x0000_s2047" style="position:absolute;left:934;top:419;width:85;height:270;mso-wrap-style:none" filled="f" stroked="f">
              <v:textbox style="mso-next-textbox:#_x0000_s2047;mso-fit-shape-to-text:t" inset="0,0,0,0">
                <w:txbxContent>
                  <w:p w:rsidR="00A905B7" w:rsidRDefault="00A905B7">
                    <w:r>
                      <w:rPr>
                        <w:rFonts w:ascii="Symbol" w:hAnsi="Symbol" w:cs="Symbol"/>
                        <w:color w:val="000000"/>
                        <w:sz w:val="22"/>
                        <w:szCs w:val="22"/>
                      </w:rPr>
                      <w:t></w:t>
                    </w:r>
                  </w:p>
                </w:txbxContent>
              </v:textbox>
            </v:rect>
            <v:rect id="_x0000_s3072" style="position:absolute;left:934;top:54;width:85;height:270;mso-wrap-style:none" filled="f" stroked="f">
              <v:textbox style="mso-next-textbox:#_x0000_s3072;mso-fit-shape-to-text:t" inset="0,0,0,0">
                <w:txbxContent>
                  <w:p w:rsidR="00A905B7" w:rsidRDefault="00A905B7">
                    <w:r>
                      <w:rPr>
                        <w:rFonts w:ascii="Symbol" w:hAnsi="Symbol" w:cs="Symbol"/>
                        <w:color w:val="000000"/>
                        <w:sz w:val="22"/>
                        <w:szCs w:val="22"/>
                      </w:rPr>
                      <w:t></w:t>
                    </w:r>
                  </w:p>
                </w:txbxContent>
              </v:textbox>
            </v:rect>
            <v:rect id="_x0000_s3073" style="position:absolute;left:2065;top:198;width:121;height:270;mso-wrap-style:none" filled="f" stroked="f">
              <v:textbox style="mso-next-textbox:#_x0000_s3073;mso-fit-shape-to-text:t" inset="0,0,0,0">
                <w:txbxContent>
                  <w:p w:rsidR="00A905B7" w:rsidRDefault="00A905B7">
                    <w:r>
                      <w:rPr>
                        <w:rFonts w:ascii="Symbol" w:hAnsi="Symbol" w:cs="Symbol"/>
                        <w:color w:val="000000"/>
                        <w:sz w:val="22"/>
                        <w:szCs w:val="22"/>
                      </w:rPr>
                      <w:t></w:t>
                    </w:r>
                  </w:p>
                </w:txbxContent>
              </v:textbox>
            </v:rect>
            <v:rect id="_x0000_s3074" style="position:absolute;left:1339;top:198;width:121;height:270;mso-wrap-style:none" filled="f" stroked="f">
              <v:textbox style="mso-next-textbox:#_x0000_s3074;mso-fit-shape-to-text:t" inset="0,0,0,0">
                <w:txbxContent>
                  <w:p w:rsidR="00A905B7" w:rsidRDefault="00A905B7">
                    <w:r>
                      <w:rPr>
                        <w:rFonts w:ascii="Symbol" w:hAnsi="Symbol" w:cs="Symbol"/>
                        <w:color w:val="000000"/>
                        <w:sz w:val="22"/>
                        <w:szCs w:val="22"/>
                      </w:rPr>
                      <w:t></w:t>
                    </w:r>
                  </w:p>
                </w:txbxContent>
              </v:textbox>
            </v:rect>
            <v:rect id="_x0000_s3075" style="position:absolute;left:515;top:198;width:121;height:270;mso-wrap-style:none" filled="f" stroked="f">
              <v:textbox style="mso-next-textbox:#_x0000_s3075;mso-fit-shape-to-text:t" inset="0,0,0,0">
                <w:txbxContent>
                  <w:p w:rsidR="00A905B7" w:rsidRDefault="00A905B7">
                    <w:r>
                      <w:rPr>
                        <w:rFonts w:ascii="Symbol" w:hAnsi="Symbol" w:cs="Symbol"/>
                        <w:color w:val="000000"/>
                        <w:sz w:val="22"/>
                        <w:szCs w:val="22"/>
                      </w:rPr>
                      <w:t></w:t>
                    </w:r>
                  </w:p>
                </w:txbxContent>
              </v:textbox>
            </v:rect>
            <v:rect id="_x0000_s3078" style="position:absolute;left:754;top:420;width:66;height:240;mso-wrap-style:none" filled="f" stroked="f">
              <v:textbox style="mso-next-textbox:#_x0000_s3078;mso-fit-shape-to-text:t" inset="0,0,0,0">
                <w:txbxContent>
                  <w:p w:rsidR="00A905B7" w:rsidRDefault="00A905B7">
                    <w:r>
                      <w:rPr>
                        <w:rFonts w:ascii="Symbol" w:hAnsi="Symbol" w:cs="Symbol"/>
                        <w:color w:val="000000"/>
                        <w:sz w:val="12"/>
                        <w:szCs w:val="12"/>
                      </w:rPr>
                      <w:t></w:t>
                    </w:r>
                  </w:p>
                </w:txbxContent>
              </v:textbox>
            </v:rect>
            <v:rect id="_x0000_s3079" style="position:absolute;left:4288;top:220;width:62;height:253;mso-wrap-style:none" filled="f" stroked="f">
              <v:textbox style="mso-next-textbox:#_x0000_s3079;mso-fit-shape-to-text:t" inset="0,0,0,0">
                <w:txbxContent>
                  <w:p w:rsidR="00A905B7" w:rsidRDefault="00A905B7">
                    <w:r>
                      <w:rPr>
                        <w:color w:val="000000"/>
                        <w:sz w:val="22"/>
                        <w:szCs w:val="22"/>
                      </w:rPr>
                      <w:t>/</w:t>
                    </w:r>
                  </w:p>
                </w:txbxContent>
              </v:textbox>
            </v:rect>
            <v:rect id="_x0000_s3080" style="position:absolute;left:2276;top:83;width:111;height:253;mso-wrap-style:none" filled="f" stroked="f">
              <v:textbox style="mso-next-textbox:#_x0000_s3080;mso-fit-shape-to-text:t" inset="0,0,0,0">
                <w:txbxContent>
                  <w:p w:rsidR="00A905B7" w:rsidRDefault="00A905B7">
                    <w:r>
                      <w:rPr>
                        <w:color w:val="000000"/>
                        <w:sz w:val="22"/>
                        <w:szCs w:val="22"/>
                      </w:rPr>
                      <w:t>1</w:t>
                    </w:r>
                  </w:p>
                </w:txbxContent>
              </v:textbox>
            </v:rect>
            <v:rect id="_x0000_s3081" style="position:absolute;left:820;top:411;width:61;height:240;mso-wrap-style:none" filled="f" stroked="f">
              <v:textbox style="mso-next-textbox:#_x0000_s3081;mso-fit-shape-to-text:t" inset="0,0,0,0">
                <w:txbxContent>
                  <w:p w:rsidR="00A905B7" w:rsidRDefault="00A905B7">
                    <w:r>
                      <w:rPr>
                        <w:color w:val="000000"/>
                        <w:sz w:val="12"/>
                        <w:szCs w:val="12"/>
                      </w:rPr>
                      <w:t>1</w:t>
                    </w:r>
                  </w:p>
                </w:txbxContent>
              </v:textbox>
            </v:rect>
            <v:rect id="_x0000_s3082" style="position:absolute;left:1960;top:356;width:34;height:240;mso-wrap-style:none" filled="f" stroked="f">
              <v:textbox style="mso-next-textbox:#_x0000_s3082;mso-fit-shape-to-text:t" inset="0,0,0,0">
                <w:txbxContent>
                  <w:p w:rsidR="00A905B7" w:rsidRDefault="00A905B7">
                    <w:r>
                      <w:rPr>
                        <w:color w:val="000000"/>
                        <w:sz w:val="12"/>
                        <w:szCs w:val="12"/>
                      </w:rPr>
                      <w:t>i</w:t>
                    </w:r>
                  </w:p>
                </w:txbxContent>
              </v:textbox>
            </v:rect>
            <v:rect id="_x0000_s3083" style="position:absolute;left:1714;top:356;width:230;height:240;mso-wrap-style:none" filled="f" stroked="f">
              <v:textbox style="mso-next-textbox:#_x0000_s3083;mso-fit-shape-to-text:t" inset="0,0,0,0">
                <w:txbxContent>
                  <w:p w:rsidR="00A905B7" w:rsidRDefault="00A905B7">
                    <w:r>
                      <w:rPr>
                        <w:color w:val="000000"/>
                        <w:sz w:val="12"/>
                        <w:szCs w:val="12"/>
                      </w:rPr>
                      <w:t>dew,</w:t>
                    </w:r>
                  </w:p>
                </w:txbxContent>
              </v:textbox>
            </v:rect>
            <v:rect id="_x0000_s3084" style="position:absolute;left:1236;top:356;width:34;height:240;mso-wrap-style:none" filled="f" stroked="f">
              <v:textbox style="mso-next-textbox:#_x0000_s3084;mso-fit-shape-to-text:t" inset="0,0,0,0">
                <w:txbxContent>
                  <w:p w:rsidR="00A905B7" w:rsidRDefault="00A905B7">
                    <w:r>
                      <w:rPr>
                        <w:color w:val="000000"/>
                        <w:sz w:val="12"/>
                        <w:szCs w:val="12"/>
                      </w:rPr>
                      <w:t>i</w:t>
                    </w:r>
                  </w:p>
                </w:txbxContent>
              </v:textbox>
            </v:rect>
            <v:rect id="_x0000_s3085" style="position:absolute;left:1146;top:356;width:84;height:240;mso-wrap-style:none" filled="f" stroked="f">
              <v:textbox style="mso-next-textbox:#_x0000_s3085;mso-fit-shape-to-text:t" inset="0,0,0,0">
                <w:txbxContent>
                  <w:p w:rsidR="00A905B7" w:rsidRDefault="00A905B7">
                    <w:r>
                      <w:rPr>
                        <w:color w:val="000000"/>
                        <w:sz w:val="12"/>
                        <w:szCs w:val="12"/>
                      </w:rPr>
                      <w:t>e,</w:t>
                    </w:r>
                  </w:p>
                </w:txbxContent>
              </v:textbox>
            </v:rect>
            <v:rect id="_x0000_s3076" style="position:absolute;left:660;top:110;width:229;height:392;mso-wrap-style:none" filled="f" stroked="f">
              <v:textbox style="mso-next-textbox:#_x0000_s3076;mso-fit-shape-to-text:t" inset="0,0,0,0">
                <w:txbxContent>
                  <w:p w:rsidR="00A905B7" w:rsidRDefault="00A905B7">
                    <w:r>
                      <w:rPr>
                        <w:rFonts w:ascii="Symbol" w:hAnsi="Symbol" w:cs="Symbol"/>
                        <w:color w:val="000000"/>
                        <w:sz w:val="32"/>
                        <w:szCs w:val="32"/>
                      </w:rPr>
                      <w:t></w:t>
                    </w:r>
                  </w:p>
                </w:txbxContent>
              </v:textbox>
            </v:rect>
            <w10:wrap type="none"/>
            <w10:anchorlock/>
          </v:group>
        </w:pict>
      </w:r>
    </w:p>
    <w:p w:rsidR="00DA59A4" w:rsidRPr="00B04DC3" w:rsidRDefault="00DA59A4" w:rsidP="00DA59A4">
      <w:pPr>
        <w:pStyle w:val="para"/>
        <w:rPr>
          <w:lang w:val="en-GB"/>
        </w:rPr>
      </w:pPr>
      <w:r w:rsidRPr="00B04DC3">
        <w:rPr>
          <w:lang w:val="en-GB"/>
        </w:rPr>
        <w:tab/>
      </w:r>
      <w:r w:rsidR="004524F5" w:rsidRPr="00B04DC3">
        <w:rPr>
          <w:lang w:val="en-GB"/>
        </w:rPr>
        <w:tab/>
      </w:r>
      <w:r w:rsidR="004524F5" w:rsidRPr="00B04DC3">
        <w:rPr>
          <w:lang w:val="en-GB"/>
        </w:rPr>
        <w:tab/>
      </w:r>
      <w:r w:rsidR="009105AC" w:rsidRPr="00B04DC3">
        <w:rPr>
          <w:lang w:val="en-GB"/>
        </w:rPr>
        <w:t>Where</w:t>
      </w:r>
      <w:r w:rsidRPr="00B04DC3">
        <w:rPr>
          <w:lang w:val="en-GB"/>
        </w:rPr>
        <w:t>:</w:t>
      </w:r>
    </w:p>
    <w:p w:rsidR="00DA59A4" w:rsidRPr="00B04DC3" w:rsidRDefault="00DA59A4" w:rsidP="004524F5">
      <w:pPr>
        <w:pStyle w:val="para"/>
        <w:tabs>
          <w:tab w:val="left" w:pos="2842"/>
          <w:tab w:val="left" w:pos="3360"/>
        </w:tabs>
        <w:ind w:left="3696" w:hanging="2562"/>
        <w:rPr>
          <w:lang w:val="en-GB"/>
        </w:rPr>
      </w:pPr>
      <w:r w:rsidRPr="00B04DC3">
        <w:rPr>
          <w:lang w:val="en-GB"/>
        </w:rPr>
        <w:tab/>
        <w:t>c</w:t>
      </w:r>
      <w:r w:rsidRPr="00B04DC3">
        <w:rPr>
          <w:vertAlign w:val="subscript"/>
          <w:lang w:val="en-GB"/>
        </w:rPr>
        <w:t>e,i</w:t>
      </w:r>
      <w:r w:rsidRPr="00B04DC3">
        <w:rPr>
          <w:lang w:val="en-GB"/>
        </w:rPr>
        <w:tab/>
        <w:t>=</w:t>
      </w:r>
      <w:r w:rsidRPr="00B04DC3">
        <w:rPr>
          <w:lang w:val="en-GB"/>
        </w:rPr>
        <w:tab/>
        <w:t>instantaneous concentration of the respective component measured in the diluted exhaust gas, ppm</w:t>
      </w:r>
    </w:p>
    <w:p w:rsidR="004524F5" w:rsidRPr="00B04DC3" w:rsidRDefault="00DA59A4" w:rsidP="004524F5">
      <w:pPr>
        <w:pStyle w:val="para"/>
        <w:tabs>
          <w:tab w:val="left" w:pos="2842"/>
          <w:tab w:val="left" w:pos="3360"/>
        </w:tabs>
        <w:ind w:left="3696" w:hanging="2562"/>
        <w:rPr>
          <w:lang w:val="en-GB"/>
        </w:rPr>
      </w:pPr>
      <w:r w:rsidRPr="00B04DC3">
        <w:rPr>
          <w:lang w:val="en-GB"/>
        </w:rPr>
        <w:tab/>
        <w:t>c</w:t>
      </w:r>
      <w:r w:rsidRPr="00B04DC3">
        <w:rPr>
          <w:vertAlign w:val="subscript"/>
          <w:lang w:val="en-GB"/>
        </w:rPr>
        <w:t>d</w:t>
      </w:r>
      <w:r w:rsidRPr="00B04DC3">
        <w:rPr>
          <w:lang w:val="en-GB"/>
        </w:rPr>
        <w:tab/>
        <w:t>=</w:t>
      </w:r>
      <w:r w:rsidRPr="00B04DC3">
        <w:rPr>
          <w:lang w:val="en-GB"/>
        </w:rPr>
        <w:tab/>
        <w:t>concentration of the respective component measured in the diluent, ppm</w:t>
      </w:r>
    </w:p>
    <w:p w:rsidR="004524F5" w:rsidRPr="00B04DC3" w:rsidRDefault="00DA59A4" w:rsidP="004524F5">
      <w:pPr>
        <w:pStyle w:val="para"/>
        <w:tabs>
          <w:tab w:val="left" w:pos="2842"/>
          <w:tab w:val="left" w:pos="3360"/>
        </w:tabs>
        <w:ind w:left="3696" w:hanging="2562"/>
        <w:rPr>
          <w:lang w:val="en-GB"/>
        </w:rPr>
      </w:pPr>
      <w:r w:rsidRPr="00B04DC3">
        <w:rPr>
          <w:position w:val="6"/>
          <w:lang w:val="en-GB"/>
        </w:rPr>
        <w:tab/>
        <w:t>q</w:t>
      </w:r>
      <w:r w:rsidRPr="00B04DC3">
        <w:rPr>
          <w:position w:val="6"/>
          <w:vertAlign w:val="subscript"/>
          <w:lang w:val="en-GB"/>
        </w:rPr>
        <w:t>mdew,i</w:t>
      </w:r>
      <w:r w:rsidRPr="00B04DC3">
        <w:rPr>
          <w:lang w:val="en-GB"/>
        </w:rPr>
        <w:tab/>
        <w:t>=</w:t>
      </w:r>
      <w:r w:rsidRPr="00B04DC3">
        <w:rPr>
          <w:lang w:val="en-GB"/>
        </w:rPr>
        <w:tab/>
        <w:t>instantaneous diluted exhaust gas mass flow rate, kg/s</w:t>
      </w:r>
    </w:p>
    <w:p w:rsidR="004524F5" w:rsidRPr="00B04DC3" w:rsidRDefault="00DA59A4" w:rsidP="004524F5">
      <w:pPr>
        <w:pStyle w:val="para"/>
        <w:tabs>
          <w:tab w:val="left" w:pos="2842"/>
          <w:tab w:val="left" w:pos="3360"/>
        </w:tabs>
        <w:ind w:left="3696" w:hanging="2562"/>
        <w:rPr>
          <w:lang w:val="en-GB"/>
        </w:rPr>
      </w:pPr>
      <w:r w:rsidRPr="00B04DC3">
        <w:rPr>
          <w:lang w:val="en-GB"/>
        </w:rPr>
        <w:tab/>
        <w:t>m</w:t>
      </w:r>
      <w:r w:rsidRPr="00B04DC3">
        <w:rPr>
          <w:vertAlign w:val="subscript"/>
          <w:lang w:val="en-GB"/>
        </w:rPr>
        <w:t>ed</w:t>
      </w:r>
      <w:r w:rsidRPr="00B04DC3">
        <w:rPr>
          <w:lang w:val="en-GB"/>
        </w:rPr>
        <w:tab/>
        <w:t>=</w:t>
      </w:r>
      <w:r w:rsidRPr="00B04DC3">
        <w:rPr>
          <w:lang w:val="en-GB"/>
        </w:rPr>
        <w:tab/>
        <w:t>total mass of diluted exhaust gas over the cycle, kg</w:t>
      </w:r>
    </w:p>
    <w:p w:rsidR="004524F5" w:rsidRPr="00B04DC3" w:rsidRDefault="00DA59A4" w:rsidP="004524F5">
      <w:pPr>
        <w:pStyle w:val="para"/>
        <w:tabs>
          <w:tab w:val="left" w:pos="2842"/>
          <w:tab w:val="left" w:pos="3360"/>
        </w:tabs>
        <w:ind w:left="3696" w:hanging="2562"/>
        <w:rPr>
          <w:lang w:val="en-GB"/>
        </w:rPr>
      </w:pPr>
      <w:r w:rsidRPr="00B04DC3">
        <w:rPr>
          <w:lang w:val="en-GB"/>
        </w:rPr>
        <w:tab/>
        <w:t>u</w:t>
      </w:r>
      <w:r w:rsidRPr="00B04DC3">
        <w:rPr>
          <w:vertAlign w:val="subscript"/>
          <w:lang w:val="en-GB"/>
        </w:rPr>
        <w:t>gas</w:t>
      </w:r>
      <w:r w:rsidRPr="00B04DC3">
        <w:rPr>
          <w:lang w:val="en-GB"/>
        </w:rPr>
        <w:tab/>
        <w:t>=</w:t>
      </w:r>
      <w:r w:rsidRPr="00B04DC3">
        <w:rPr>
          <w:lang w:val="en-GB"/>
        </w:rPr>
        <w:tab/>
        <w:t>ratio between density of exhaust component and density of air from</w:t>
      </w:r>
      <w:r w:rsidR="001A3718">
        <w:rPr>
          <w:lang w:val="en-GB"/>
        </w:rPr>
        <w:t xml:space="preserve"> T</w:t>
      </w:r>
      <w:r w:rsidRPr="00B04DC3">
        <w:rPr>
          <w:lang w:val="en-GB"/>
        </w:rPr>
        <w:t>able 6</w:t>
      </w:r>
    </w:p>
    <w:p w:rsidR="004524F5" w:rsidRPr="00B04DC3" w:rsidRDefault="00DA59A4" w:rsidP="004524F5">
      <w:pPr>
        <w:pStyle w:val="para"/>
        <w:tabs>
          <w:tab w:val="left" w:pos="2842"/>
          <w:tab w:val="left" w:pos="3360"/>
        </w:tabs>
        <w:ind w:left="3696" w:hanging="2562"/>
        <w:rPr>
          <w:lang w:val="en-GB"/>
        </w:rPr>
      </w:pPr>
      <w:r w:rsidRPr="00B04DC3">
        <w:rPr>
          <w:lang w:val="en-GB"/>
        </w:rPr>
        <w:tab/>
        <w:t>D</w:t>
      </w:r>
      <w:r w:rsidRPr="00B04DC3">
        <w:rPr>
          <w:lang w:val="en-GB"/>
        </w:rPr>
        <w:tab/>
        <w:t>=</w:t>
      </w:r>
      <w:r w:rsidRPr="00B04DC3">
        <w:rPr>
          <w:lang w:val="en-GB"/>
        </w:rPr>
        <w:tab/>
        <w:t>dilution factor (see paragraph 5.4.1.</w:t>
      </w:r>
      <w:r w:rsidR="001A3718">
        <w:rPr>
          <w:lang w:val="en-GB"/>
        </w:rPr>
        <w:t xml:space="preserve"> of this appendix</w:t>
      </w:r>
      <w:r w:rsidRPr="00B04DC3">
        <w:rPr>
          <w:lang w:val="en-GB"/>
        </w:rPr>
        <w:t>)</w:t>
      </w:r>
      <w:r w:rsidR="004524F5" w:rsidRPr="00B04DC3">
        <w:rPr>
          <w:lang w:val="en-GB"/>
        </w:rPr>
        <w:t xml:space="preserve"> </w:t>
      </w:r>
    </w:p>
    <w:p w:rsidR="00DA59A4" w:rsidRPr="00B04DC3" w:rsidRDefault="00DA59A4" w:rsidP="009105AC">
      <w:pPr>
        <w:pStyle w:val="para"/>
        <w:tabs>
          <w:tab w:val="left" w:pos="2800"/>
        </w:tabs>
        <w:ind w:left="2835" w:hanging="1701"/>
        <w:rPr>
          <w:lang w:val="en-GB"/>
        </w:rPr>
      </w:pPr>
      <w:r w:rsidRPr="00B04DC3">
        <w:rPr>
          <w:lang w:val="en-GB"/>
        </w:rPr>
        <w:tab/>
        <w:t>If applicable, the concentration of NMHC and CH</w:t>
      </w:r>
      <w:r w:rsidRPr="00B04DC3">
        <w:rPr>
          <w:vertAlign w:val="subscript"/>
          <w:lang w:val="en-GB"/>
        </w:rPr>
        <w:t>4</w:t>
      </w:r>
      <w:r w:rsidRPr="00B04DC3">
        <w:rPr>
          <w:lang w:val="en-GB"/>
        </w:rPr>
        <w:t xml:space="preserve"> shall be calculated by either of the methods shown in paragraph 3.3.4. of Appendix 4 to this annex, as follows:</w:t>
      </w:r>
    </w:p>
    <w:p w:rsidR="00DA59A4" w:rsidRPr="00B04DC3" w:rsidRDefault="00DA59A4" w:rsidP="00DA59A4">
      <w:pPr>
        <w:pStyle w:val="a"/>
        <w:rPr>
          <w:lang w:val="en-GB"/>
        </w:rPr>
      </w:pPr>
      <w:r w:rsidRPr="00B04DC3">
        <w:rPr>
          <w:lang w:val="en-GB"/>
        </w:rPr>
        <w:t>(a)</w:t>
      </w:r>
      <w:r w:rsidRPr="00B04DC3">
        <w:rPr>
          <w:lang w:val="en-GB"/>
        </w:rPr>
        <w:tab/>
        <w:t>GC method (full flow dilution system, only):</w:t>
      </w:r>
    </w:p>
    <w:p w:rsidR="00DA59A4" w:rsidRPr="00B04DC3" w:rsidRDefault="00AA0E48" w:rsidP="00DA59A4">
      <w:pPr>
        <w:pStyle w:val="a"/>
        <w:rPr>
          <w:vertAlign w:val="subscript"/>
          <w:lang w:val="en-GB"/>
        </w:rPr>
      </w:pPr>
      <w:r>
        <w:rPr>
          <w:lang w:val="en-GB"/>
        </w:rPr>
        <w:tab/>
      </w:r>
      <w:r>
        <w:rPr>
          <w:lang w:val="en-GB"/>
        </w:rPr>
        <w:tab/>
      </w:r>
      <w:r w:rsidR="00DA59A4" w:rsidRPr="00B04DC3">
        <w:rPr>
          <w:lang w:val="en-GB"/>
        </w:rPr>
        <w:t>c</w:t>
      </w:r>
      <w:r w:rsidR="00DA59A4" w:rsidRPr="00B04DC3">
        <w:rPr>
          <w:vertAlign w:val="subscript"/>
          <w:lang w:val="en-GB"/>
        </w:rPr>
        <w:t>NMHC</w:t>
      </w:r>
      <w:r w:rsidR="00DA59A4" w:rsidRPr="00B04DC3">
        <w:rPr>
          <w:lang w:val="en-GB"/>
        </w:rPr>
        <w:t xml:space="preserve"> = c</w:t>
      </w:r>
      <w:r w:rsidR="00DA59A4" w:rsidRPr="00B04DC3">
        <w:rPr>
          <w:vertAlign w:val="subscript"/>
          <w:lang w:val="en-GB"/>
        </w:rPr>
        <w:t>HC</w:t>
      </w:r>
      <w:r w:rsidR="00DA59A4" w:rsidRPr="00B04DC3">
        <w:rPr>
          <w:lang w:val="en-GB"/>
        </w:rPr>
        <w:t xml:space="preserve"> – c</w:t>
      </w:r>
      <w:r w:rsidR="00DA59A4" w:rsidRPr="00B04DC3">
        <w:rPr>
          <w:vertAlign w:val="subscript"/>
          <w:lang w:val="en-GB"/>
        </w:rPr>
        <w:t>CH4</w:t>
      </w:r>
    </w:p>
    <w:p w:rsidR="00DA59A4" w:rsidRPr="00B04DC3" w:rsidRDefault="00DA59A4" w:rsidP="00DA59A4">
      <w:pPr>
        <w:pStyle w:val="a"/>
        <w:rPr>
          <w:lang w:val="en-GB"/>
        </w:rPr>
      </w:pPr>
      <w:r w:rsidRPr="00B04DC3">
        <w:rPr>
          <w:lang w:val="en-GB"/>
        </w:rPr>
        <w:t>(b)</w:t>
      </w:r>
      <w:r w:rsidRPr="00B04DC3">
        <w:rPr>
          <w:lang w:val="en-GB"/>
        </w:rPr>
        <w:tab/>
        <w:t>NMC method:</w:t>
      </w:r>
    </w:p>
    <w:p w:rsidR="00DA59A4" w:rsidRPr="00B04DC3" w:rsidRDefault="00DA59A4" w:rsidP="00DA59A4">
      <w:pPr>
        <w:pStyle w:val="a"/>
        <w:rPr>
          <w:lang w:val="en-GB"/>
        </w:rPr>
      </w:pPr>
      <w:r w:rsidRPr="00B04DC3">
        <w:rPr>
          <w:lang w:val="en-GB"/>
        </w:rPr>
        <w:tab/>
      </w:r>
      <w:r w:rsidRPr="00B04DC3">
        <w:rPr>
          <w:lang w:val="en-GB"/>
        </w:rPr>
        <w:tab/>
      </w:r>
      <w:r w:rsidRPr="00B04DC3">
        <w:rPr>
          <w:position w:val="-24"/>
          <w:lang w:val="en-GB"/>
        </w:rPr>
        <w:object w:dxaOrig="3840" w:dyaOrig="639">
          <v:shape id="_x0000_i1149" type="#_x0000_t75" style="width:192pt;height:32.4pt" o:ole="" fillcolor="window">
            <v:imagedata r:id="rId235" o:title=""/>
          </v:shape>
          <o:OLEObject Type="Embed" ProgID="Equation.3" ShapeID="_x0000_i1149" DrawAspect="Content" ObjectID="_1498392298" r:id="rId236"/>
        </w:object>
      </w:r>
    </w:p>
    <w:p w:rsidR="00DA59A4" w:rsidRPr="00B04DC3" w:rsidRDefault="00DA59A4" w:rsidP="00DA59A4">
      <w:pPr>
        <w:pStyle w:val="a"/>
        <w:rPr>
          <w:lang w:val="en-GB"/>
        </w:rPr>
      </w:pPr>
      <w:r w:rsidRPr="00B04DC3">
        <w:rPr>
          <w:lang w:val="en-GB"/>
        </w:rPr>
        <w:tab/>
      </w:r>
      <w:r w:rsidRPr="00B04DC3">
        <w:rPr>
          <w:lang w:val="en-GB"/>
        </w:rPr>
        <w:tab/>
      </w:r>
      <w:r w:rsidR="00AA0E48" w:rsidRPr="00B04DC3">
        <w:rPr>
          <w:position w:val="-24"/>
          <w:lang w:val="en-GB"/>
        </w:rPr>
        <w:object w:dxaOrig="3620" w:dyaOrig="639">
          <v:shape id="_x0000_i1150" type="#_x0000_t75" style="width:180.6pt;height:32.4pt" o:ole="" fillcolor="window">
            <v:imagedata r:id="rId237" o:title=""/>
          </v:shape>
          <o:OLEObject Type="Embed" ProgID="Equation.3" ShapeID="_x0000_i1150" DrawAspect="Content" ObjectID="_1498392299" r:id="rId238"/>
        </w:object>
      </w:r>
    </w:p>
    <w:p w:rsidR="00DA59A4" w:rsidRPr="00B04DC3" w:rsidRDefault="00DA59A4" w:rsidP="00AA0E48">
      <w:pPr>
        <w:pStyle w:val="para"/>
        <w:keepNext/>
        <w:keepLines/>
        <w:ind w:left="0" w:firstLine="0"/>
        <w:rPr>
          <w:lang w:val="en-GB"/>
        </w:rPr>
      </w:pPr>
      <w:r w:rsidRPr="00B04DC3">
        <w:rPr>
          <w:lang w:val="en-GB"/>
        </w:rPr>
        <w:tab/>
      </w:r>
      <w:r w:rsidRPr="00B04DC3">
        <w:rPr>
          <w:lang w:val="en-GB"/>
        </w:rPr>
        <w:tab/>
      </w: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DA59A4">
      <w:pPr>
        <w:pStyle w:val="a"/>
        <w:tabs>
          <w:tab w:val="left" w:pos="3828"/>
        </w:tabs>
        <w:ind w:left="4116" w:hanging="1246"/>
        <w:rPr>
          <w:lang w:val="en-GB"/>
        </w:rPr>
      </w:pPr>
      <w:r w:rsidRPr="00B04DC3">
        <w:rPr>
          <w:lang w:val="en-GB"/>
        </w:rPr>
        <w:t>c</w:t>
      </w:r>
      <w:r w:rsidRPr="00B04DC3">
        <w:rPr>
          <w:vertAlign w:val="subscript"/>
          <w:lang w:val="en-GB"/>
        </w:rPr>
        <w:t>HC(w/Cutter)</w:t>
      </w:r>
      <w:r w:rsidRPr="00B04DC3">
        <w:rPr>
          <w:vertAlign w:val="subscript"/>
          <w:lang w:val="en-GB"/>
        </w:rPr>
        <w:tab/>
      </w:r>
      <w:r w:rsidRPr="00B04DC3">
        <w:rPr>
          <w:lang w:val="en-GB"/>
        </w:rPr>
        <w:t>=</w:t>
      </w:r>
      <w:r w:rsidRPr="00B04DC3">
        <w:rPr>
          <w:lang w:val="en-GB"/>
        </w:rPr>
        <w:tab/>
        <w:t>HC concentration with the sample gas flowing through the NMC</w:t>
      </w:r>
    </w:p>
    <w:p w:rsidR="00DA59A4" w:rsidRPr="00B04DC3" w:rsidRDefault="00DA59A4" w:rsidP="00DA59A4">
      <w:pPr>
        <w:pStyle w:val="a"/>
        <w:tabs>
          <w:tab w:val="left" w:pos="3828"/>
        </w:tabs>
        <w:ind w:left="4116" w:hanging="1281"/>
        <w:rPr>
          <w:lang w:val="en-GB"/>
        </w:rPr>
      </w:pPr>
      <w:r w:rsidRPr="00B04DC3">
        <w:rPr>
          <w:lang w:val="en-GB"/>
        </w:rPr>
        <w:t>c</w:t>
      </w:r>
      <w:r w:rsidRPr="00B04DC3">
        <w:rPr>
          <w:vertAlign w:val="subscript"/>
          <w:lang w:val="en-GB"/>
        </w:rPr>
        <w:t>HC(w/oCutter)</w:t>
      </w:r>
      <w:r w:rsidRPr="00B04DC3">
        <w:rPr>
          <w:lang w:val="en-GB"/>
        </w:rPr>
        <w:tab/>
        <w:t>=</w:t>
      </w:r>
      <w:r w:rsidRPr="00B04DC3">
        <w:rPr>
          <w:lang w:val="en-GB"/>
        </w:rPr>
        <w:tab/>
        <w:t>HC concentration with the sample gas bypassing the NMC</w:t>
      </w:r>
    </w:p>
    <w:p w:rsidR="00DA59A4" w:rsidRPr="00B04DC3" w:rsidRDefault="00DA59A4" w:rsidP="00DA59A4">
      <w:pPr>
        <w:pStyle w:val="para"/>
        <w:rPr>
          <w:lang w:val="en-GB"/>
        </w:rPr>
      </w:pPr>
      <w:r w:rsidRPr="00B04DC3">
        <w:rPr>
          <w:lang w:val="en-GB"/>
        </w:rPr>
        <w:t>5.4.1.</w:t>
      </w:r>
      <w:r w:rsidRPr="00B04DC3">
        <w:rPr>
          <w:lang w:val="en-GB"/>
        </w:rPr>
        <w:tab/>
        <w:t>Determination of the background corrected concentrations (full flow dilution system, only)</w:t>
      </w:r>
    </w:p>
    <w:p w:rsidR="00DA59A4" w:rsidRPr="00B04DC3" w:rsidRDefault="00DA59A4" w:rsidP="00DA59A4">
      <w:pPr>
        <w:pStyle w:val="para"/>
        <w:rPr>
          <w:lang w:val="en-GB"/>
        </w:rPr>
      </w:pPr>
      <w:r w:rsidRPr="00B04DC3">
        <w:rPr>
          <w:lang w:val="en-GB"/>
        </w:rPr>
        <w:tab/>
        <w:t xml:space="preserve">The average background concentration of the gaseous pollutants in the </w:t>
      </w:r>
      <w:r w:rsidR="00457582" w:rsidRPr="00B04DC3">
        <w:rPr>
          <w:lang w:val="en-GB"/>
        </w:rPr>
        <w:t>diluent</w:t>
      </w:r>
      <w:r w:rsidRPr="00B04DC3">
        <w:rPr>
          <w:lang w:val="en-GB"/>
        </w:rPr>
        <w:t xml:space="preserve"> shall be subtracted from measured concentrations to get the net concentrations of the pollutants. The average values of the background concentrations can be determined by the sample bag method or by continuous measurement with integration. The following formula shall be used.</w:t>
      </w:r>
    </w:p>
    <w:p w:rsidR="00DA59A4" w:rsidRPr="00B04DC3" w:rsidRDefault="00DA59A4" w:rsidP="001A3718">
      <w:pPr>
        <w:pStyle w:val="para"/>
        <w:tabs>
          <w:tab w:val="left" w:pos="2694"/>
          <w:tab w:val="left" w:pos="3038"/>
        </w:tabs>
        <w:rPr>
          <w:lang w:val="en-GB"/>
        </w:rPr>
      </w:pPr>
      <w:r w:rsidRPr="00B04DC3">
        <w:rPr>
          <w:lang w:val="en-GB"/>
        </w:rPr>
        <w:tab/>
        <w:t>c</w:t>
      </w:r>
      <w:r w:rsidRPr="00B04DC3">
        <w:rPr>
          <w:lang w:val="en-GB"/>
        </w:rPr>
        <w:tab/>
        <w:t>=</w:t>
      </w:r>
      <w:r w:rsidRPr="00B04DC3">
        <w:rPr>
          <w:lang w:val="en-GB"/>
        </w:rPr>
        <w:tab/>
        <w:t>c</w:t>
      </w:r>
      <w:r w:rsidRPr="00B04DC3">
        <w:rPr>
          <w:vertAlign w:val="subscript"/>
          <w:lang w:val="en-GB"/>
        </w:rPr>
        <w:t>e</w:t>
      </w:r>
      <w:r w:rsidRPr="00B04DC3">
        <w:rPr>
          <w:lang w:val="en-GB"/>
        </w:rPr>
        <w:t xml:space="preserve"> - c</w:t>
      </w:r>
      <w:r w:rsidRPr="00B04DC3">
        <w:rPr>
          <w:vertAlign w:val="subscript"/>
          <w:lang w:val="en-GB"/>
        </w:rPr>
        <w:t>d</w:t>
      </w:r>
      <w:r w:rsidRPr="00B04DC3">
        <w:rPr>
          <w:lang w:val="en-GB"/>
        </w:rPr>
        <w:t xml:space="preserve"> </w:t>
      </w:r>
      <w:r w:rsidRPr="00B04DC3">
        <w:rPr>
          <w:rFonts w:ascii="Arial" w:hAnsi="Arial" w:cs="Arial"/>
          <w:lang w:val="en-GB"/>
        </w:rPr>
        <w:t>x</w:t>
      </w:r>
      <w:r w:rsidRPr="00B04DC3">
        <w:rPr>
          <w:lang w:val="en-GB"/>
        </w:rPr>
        <w:t xml:space="preserve"> (1 - (1/D))</w: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694"/>
        </w:tabs>
        <w:ind w:left="3024" w:hanging="1890"/>
        <w:rPr>
          <w:lang w:val="en-GB"/>
        </w:rPr>
      </w:pPr>
      <w:r w:rsidRPr="00B04DC3">
        <w:rPr>
          <w:lang w:val="en-GB"/>
        </w:rPr>
        <w:tab/>
        <w:t>c</w:t>
      </w:r>
      <w:r w:rsidRPr="00B04DC3">
        <w:rPr>
          <w:vertAlign w:val="subscript"/>
          <w:lang w:val="en-GB"/>
        </w:rPr>
        <w:t>e</w:t>
      </w:r>
      <w:r w:rsidRPr="00B04DC3">
        <w:rPr>
          <w:lang w:val="en-GB"/>
        </w:rPr>
        <w:tab/>
        <w:t>=</w:t>
      </w:r>
      <w:r w:rsidRPr="00B04DC3">
        <w:rPr>
          <w:lang w:val="en-GB"/>
        </w:rPr>
        <w:tab/>
        <w:t>concentration of the respective pollutant measured in the diluted exhaust gas, ppm</w:t>
      </w:r>
    </w:p>
    <w:p w:rsidR="00DA59A4" w:rsidRPr="00B04DC3" w:rsidRDefault="00DA59A4" w:rsidP="00DA59A4">
      <w:pPr>
        <w:pStyle w:val="para"/>
        <w:tabs>
          <w:tab w:val="left" w:pos="2268"/>
          <w:tab w:val="left" w:pos="2694"/>
        </w:tabs>
        <w:ind w:left="3024" w:hanging="1890"/>
        <w:rPr>
          <w:lang w:val="en-GB"/>
        </w:rPr>
      </w:pPr>
      <w:r w:rsidRPr="00B04DC3">
        <w:rPr>
          <w:lang w:val="en-GB"/>
        </w:rPr>
        <w:tab/>
        <w:t>c</w:t>
      </w:r>
      <w:r w:rsidRPr="00B04DC3">
        <w:rPr>
          <w:vertAlign w:val="subscript"/>
          <w:lang w:val="en-GB"/>
        </w:rPr>
        <w:t>d</w:t>
      </w:r>
      <w:r w:rsidRPr="00B04DC3">
        <w:rPr>
          <w:lang w:val="en-GB"/>
        </w:rPr>
        <w:tab/>
        <w:t>=</w:t>
      </w:r>
      <w:r w:rsidRPr="00B04DC3">
        <w:rPr>
          <w:lang w:val="en-GB"/>
        </w:rPr>
        <w:tab/>
        <w:t xml:space="preserve">concentration of the respective pollutant measured in the </w:t>
      </w:r>
      <w:r w:rsidR="00457582" w:rsidRPr="00B04DC3">
        <w:rPr>
          <w:lang w:val="en-GB"/>
        </w:rPr>
        <w:t>diluent</w:t>
      </w:r>
      <w:r w:rsidRPr="00B04DC3">
        <w:rPr>
          <w:lang w:val="en-GB"/>
        </w:rPr>
        <w:t>, ppm</w:t>
      </w:r>
    </w:p>
    <w:p w:rsidR="00DA59A4" w:rsidRPr="00B04DC3" w:rsidRDefault="00DA59A4" w:rsidP="00DA59A4">
      <w:pPr>
        <w:pStyle w:val="para"/>
        <w:tabs>
          <w:tab w:val="left" w:pos="2268"/>
          <w:tab w:val="left" w:pos="2694"/>
        </w:tabs>
        <w:ind w:left="3024" w:hanging="1890"/>
        <w:rPr>
          <w:lang w:val="en-GB"/>
        </w:rPr>
      </w:pPr>
      <w:r w:rsidRPr="00B04DC3">
        <w:rPr>
          <w:lang w:val="en-GB"/>
        </w:rPr>
        <w:tab/>
        <w:t>D</w:t>
      </w:r>
      <w:r w:rsidRPr="00B04DC3">
        <w:rPr>
          <w:lang w:val="en-GB"/>
        </w:rPr>
        <w:tab/>
        <w:t>=</w:t>
      </w:r>
      <w:r w:rsidRPr="00B04DC3">
        <w:rPr>
          <w:lang w:val="en-GB"/>
        </w:rPr>
        <w:tab/>
        <w:t>dilution factor</w:t>
      </w:r>
    </w:p>
    <w:p w:rsidR="00DA59A4" w:rsidRPr="00B04DC3" w:rsidRDefault="00DA59A4" w:rsidP="00DA59A4">
      <w:pPr>
        <w:pStyle w:val="para"/>
        <w:rPr>
          <w:lang w:val="en-GB"/>
        </w:rPr>
      </w:pPr>
      <w:r w:rsidRPr="00B04DC3">
        <w:rPr>
          <w:lang w:val="en-GB"/>
        </w:rPr>
        <w:tab/>
        <w:t>The dilution factor shall be calculated as follows:</w:t>
      </w:r>
    </w:p>
    <w:p w:rsidR="00DA59A4" w:rsidRPr="00B04DC3" w:rsidRDefault="00DA59A4" w:rsidP="00DA59A4">
      <w:pPr>
        <w:pStyle w:val="para"/>
        <w:rPr>
          <w:lang w:val="en-GB"/>
        </w:rPr>
      </w:pPr>
      <w:r w:rsidRPr="00B04DC3">
        <w:rPr>
          <w:lang w:val="en-GB"/>
        </w:rPr>
        <w:tab/>
        <w:t>(a)</w:t>
      </w:r>
      <w:r w:rsidRPr="00B04DC3">
        <w:rPr>
          <w:lang w:val="en-GB"/>
        </w:rPr>
        <w:tab/>
        <w:t>For diesel and LPG fueled gas engines</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A905B7">
        <w:rPr>
          <w:lang w:val="en-GB"/>
        </w:rPr>
      </w:r>
      <w:r w:rsidR="00A905B7">
        <w:rPr>
          <w:lang w:val="en-GB"/>
        </w:rPr>
        <w:pict>
          <v:group id="_x0000_s3086" editas="canvas" style="width:143.75pt;height:50.5pt;mso-position-horizontal-relative:char;mso-position-vertical-relative:line" coordsize="2875,1010">
            <o:lock v:ext="edit" aspectratio="t"/>
            <v:shape id="_x0000_s3087" type="#_x0000_t75" style="position:absolute;width:2875;height:1010" o:preferrelative="f">
              <v:fill o:detectmouseclick="t"/>
              <v:path o:extrusionok="t" o:connecttype="none"/>
              <o:lock v:ext="edit" text="t"/>
            </v:shape>
            <v:rect id="_x0000_s3088" style="position:absolute;left:1153;top:274;width:107;height:392;mso-wrap-style:none" filled="f" stroked="f">
              <v:textbox style="mso-next-textbox:#_x0000_s3088;mso-fit-shape-to-text:t" inset="0,0,0,0">
                <w:txbxContent>
                  <w:p w:rsidR="00A905B7" w:rsidRDefault="00A905B7">
                    <w:r>
                      <w:rPr>
                        <w:rFonts w:ascii="Symbol" w:hAnsi="Symbol" w:cs="Symbol"/>
                        <w:color w:val="000000"/>
                        <w:sz w:val="32"/>
                        <w:szCs w:val="32"/>
                      </w:rPr>
                      <w:t></w:t>
                    </w:r>
                  </w:p>
                </w:txbxContent>
              </v:textbox>
            </v:rect>
            <v:rect id="_x0000_s3089" style="position:absolute;left:2140;top:274;width:107;height:392;mso-wrap-style:none" filled="f" stroked="f">
              <v:textbox style="mso-next-textbox:#_x0000_s3089;mso-fit-shape-to-text:t" inset="0,0,0,0">
                <w:txbxContent>
                  <w:p w:rsidR="00A905B7" w:rsidRDefault="00A905B7">
                    <w:r>
                      <w:rPr>
                        <w:rFonts w:ascii="Symbol" w:hAnsi="Symbol" w:cs="Symbol"/>
                        <w:color w:val="000000"/>
                        <w:sz w:val="32"/>
                        <w:szCs w:val="32"/>
                      </w:rPr>
                      <w:t></w:t>
                    </w:r>
                  </w:p>
                </w:txbxContent>
              </v:textbox>
            </v:rect>
            <v:line id="_x0000_s3090" style="position:absolute" from="490,340" to="2841,340" strokeweight=".5pt"/>
            <v:rect id="_x0000_s3091" style="position:absolute;left:2728;top:362;width:71;height:240;mso-wrap-style:none" filled="f" stroked="f">
              <v:textbox style="mso-next-textbox:#_x0000_s3091;mso-fit-shape-to-text:t" inset="0,0,0,0">
                <w:txbxContent>
                  <w:p w:rsidR="00A905B7" w:rsidRDefault="00A905B7">
                    <w:r>
                      <w:rPr>
                        <w:color w:val="000000"/>
                        <w:sz w:val="14"/>
                        <w:szCs w:val="14"/>
                      </w:rPr>
                      <w:t>4</w:t>
                    </w:r>
                  </w:p>
                </w:txbxContent>
              </v:textbox>
            </v:rect>
            <v:rect id="_x0000_s3092" style="position:absolute;left:1696;top:93;width:55;height:240;mso-wrap-style:none" filled="f" stroked="f">
              <v:textbox style="mso-next-textbox:#_x0000_s3092;mso-fit-shape-to-text:t" inset="0,0,0,0">
                <w:txbxContent>
                  <w:p w:rsidR="00A905B7" w:rsidRDefault="00A905B7">
                    <w:r>
                      <w:rPr>
                        <w:color w:val="000000"/>
                        <w:sz w:val="14"/>
                        <w:szCs w:val="14"/>
                      </w:rPr>
                      <w:t>s</w:t>
                    </w:r>
                  </w:p>
                </w:txbxContent>
              </v:textbox>
            </v:rect>
            <v:rect id="_x0000_s3093" style="position:absolute;left:2382;top:381;width:201;height:240;mso-wrap-style:none" filled="f" stroked="f">
              <v:textbox style="mso-next-textbox:#_x0000_s3093;mso-fit-shape-to-text:t" inset="0,0,0,0">
                <w:txbxContent>
                  <w:p w:rsidR="00A905B7" w:rsidRDefault="00A905B7">
                    <w:r>
                      <w:rPr>
                        <w:color w:val="000000"/>
                      </w:rPr>
                      <w:t>10</w:t>
                    </w:r>
                  </w:p>
                </w:txbxContent>
              </v:textbox>
            </v:rect>
            <v:rect id="_x0000_s3094" style="position:absolute;left:2642;top:348;width:77;height:240;mso-wrap-style:none" filled="f" stroked="f">
              <v:textbox style="mso-next-textbox:#_x0000_s3094;mso-fit-shape-to-text:t" inset="0,0,0,0">
                <w:txbxContent>
                  <w:p w:rsidR="00A905B7" w:rsidRDefault="00A905B7">
                    <w:r>
                      <w:rPr>
                        <w:rFonts w:ascii="Symbol" w:hAnsi="Symbol" w:cs="Symbol"/>
                        <w:color w:val="000000"/>
                        <w:sz w:val="14"/>
                        <w:szCs w:val="14"/>
                      </w:rPr>
                      <w:t></w:t>
                    </w:r>
                  </w:p>
                </w:txbxContent>
              </v:textbox>
            </v:rect>
            <v:rect id="_x0000_s3095" style="position:absolute;left:2234;top:357;width:110;height:245;mso-wrap-style:none" filled="f" stroked="f">
              <v:textbox style="mso-next-textbox:#_x0000_s3095;mso-fit-shape-to-text:t" inset="0,0,0,0">
                <w:txbxContent>
                  <w:p w:rsidR="00A905B7" w:rsidRDefault="00A905B7">
                    <w:r>
                      <w:rPr>
                        <w:rFonts w:ascii="Symbol" w:hAnsi="Symbol" w:cs="Symbol"/>
                        <w:color w:val="000000"/>
                      </w:rPr>
                      <w:t></w:t>
                    </w:r>
                  </w:p>
                </w:txbxContent>
              </v:textbox>
            </v:rect>
            <v:rect id="_x0000_s3096" style="position:absolute;left:1604;top:357;width:110;height:245;mso-wrap-style:none" filled="f" stroked="f">
              <v:textbox style="mso-next-textbox:#_x0000_s3096;mso-fit-shape-to-text:t" inset="0,0,0,0">
                <w:txbxContent>
                  <w:p w:rsidR="00A905B7" w:rsidRDefault="00A905B7">
                    <w:r>
                      <w:rPr>
                        <w:rFonts w:ascii="Symbol" w:hAnsi="Symbol" w:cs="Symbol"/>
                        <w:color w:val="000000"/>
                      </w:rPr>
                      <w:t></w:t>
                    </w:r>
                  </w:p>
                </w:txbxContent>
              </v:textbox>
            </v:rect>
            <v:rect id="_x0000_s3097" style="position:absolute;left:970;top:357;width:110;height:245;mso-wrap-style:none" filled="f" stroked="f">
              <v:textbox style="mso-next-textbox:#_x0000_s3097;mso-fit-shape-to-text:t" inset="0,0,0,0">
                <w:txbxContent>
                  <w:p w:rsidR="00A905B7" w:rsidRDefault="00A905B7">
                    <w:r>
                      <w:rPr>
                        <w:rFonts w:ascii="Symbol" w:hAnsi="Symbol" w:cs="Symbol"/>
                        <w:color w:val="000000"/>
                      </w:rPr>
                      <w:t></w:t>
                    </w:r>
                  </w:p>
                </w:txbxContent>
              </v:textbox>
            </v:rect>
            <v:rect id="_x0000_s3098" style="position:absolute;left:288;top:160;width:110;height:245;mso-wrap-style:none" filled="f" stroked="f">
              <v:textbox style="mso-next-textbox:#_x0000_s3098;mso-fit-shape-to-text:t" inset="0,0,0,0">
                <w:txbxContent>
                  <w:p w:rsidR="00A905B7" w:rsidRDefault="00A905B7">
                    <w:r>
                      <w:rPr>
                        <w:rFonts w:ascii="Symbol" w:hAnsi="Symbol" w:cs="Symbol"/>
                        <w:color w:val="000000"/>
                      </w:rPr>
                      <w:t></w:t>
                    </w:r>
                  </w:p>
                </w:txbxContent>
              </v:textbox>
            </v:rect>
            <v:rect id="_x0000_s3099" style="position:absolute;left:1885;top:530;width:211;height:240;mso-wrap-style:none" filled="f" stroked="f">
              <v:textbox style="mso-next-textbox:#_x0000_s3099;mso-fit-shape-to-text:t" inset="0,0,0,0">
                <w:txbxContent>
                  <w:p w:rsidR="00A905B7" w:rsidRDefault="00A905B7">
                    <w:r>
                      <w:rPr>
                        <w:rFonts w:ascii="Arial" w:hAnsi="Arial" w:cs="Arial"/>
                        <w:color w:val="000000"/>
                        <w:sz w:val="14"/>
                        <w:szCs w:val="14"/>
                      </w:rPr>
                      <w:t>CO</w:t>
                    </w:r>
                  </w:p>
                </w:txbxContent>
              </v:textbox>
            </v:rect>
            <v:rect id="_x0000_s3100" style="position:absolute;left:1319;top:530;width:203;height:240;mso-wrap-style:none" filled="f" stroked="f">
              <v:textbox style="mso-next-textbox:#_x0000_s3100;mso-fit-shape-to-text:t" inset="0,0,0,0">
                <w:txbxContent>
                  <w:p w:rsidR="00A905B7" w:rsidRDefault="00A905B7">
                    <w:r>
                      <w:rPr>
                        <w:rFonts w:ascii="Arial" w:hAnsi="Arial" w:cs="Arial"/>
                        <w:color w:val="000000"/>
                        <w:sz w:val="14"/>
                        <w:szCs w:val="14"/>
                      </w:rPr>
                      <w:t>HC</w:t>
                    </w:r>
                  </w:p>
                </w:txbxContent>
              </v:textbox>
            </v:rect>
            <v:rect id="_x0000_s3101" style="position:absolute;left:600;top:530;width:288;height:240;mso-wrap-style:none" filled="f" stroked="f">
              <v:textbox style="mso-next-textbox:#_x0000_s3101;mso-fit-shape-to-text:t" inset="0,0,0,0">
                <w:txbxContent>
                  <w:p w:rsidR="00A905B7" w:rsidRDefault="00A905B7">
                    <w:r>
                      <w:rPr>
                        <w:rFonts w:ascii="Arial" w:hAnsi="Arial" w:cs="Arial"/>
                        <w:color w:val="000000"/>
                        <w:sz w:val="14"/>
                        <w:szCs w:val="14"/>
                      </w:rPr>
                      <w:t>CO2</w:t>
                    </w:r>
                  </w:p>
                </w:txbxContent>
              </v:textbox>
            </v:rect>
            <v:rect id="_x0000_s3102" style="position:absolute;left:1789;top:417;width:89;height:240;mso-wrap-style:none" filled="f" stroked="f">
              <v:textbox style="mso-next-textbox:#_x0000_s3102;mso-fit-shape-to-text:t" inset="0,0,0,0">
                <w:txbxContent>
                  <w:p w:rsidR="00A905B7" w:rsidRPr="007710A4" w:rsidRDefault="00A905B7">
                    <w:r w:rsidRPr="007710A4">
                      <w:rPr>
                        <w:iCs/>
                        <w:color w:val="000000"/>
                      </w:rPr>
                      <w:t>c</w:t>
                    </w:r>
                  </w:p>
                </w:txbxContent>
              </v:textbox>
            </v:rect>
            <v:rect id="_x0000_s3103" style="position:absolute;left:1225;top:417;width:89;height:240;mso-wrap-style:none" filled="f" stroked="f">
              <v:textbox style="mso-next-textbox:#_x0000_s3103;mso-fit-shape-to-text:t" inset="0,0,0,0">
                <w:txbxContent>
                  <w:p w:rsidR="00A905B7" w:rsidRPr="007710A4" w:rsidRDefault="00A905B7">
                    <w:r w:rsidRPr="007710A4">
                      <w:rPr>
                        <w:iCs/>
                        <w:color w:val="000000"/>
                      </w:rPr>
                      <w:t>c</w:t>
                    </w:r>
                  </w:p>
                </w:txbxContent>
              </v:textbox>
            </v:rect>
            <v:rect id="_x0000_s3104" style="position:absolute;left:502;top:417;width:89;height:240;mso-wrap-style:none" filled="f" stroked="f">
              <v:textbox style="mso-next-textbox:#_x0000_s3104;mso-fit-shape-to-text:t" inset="0,0,0,0">
                <w:txbxContent>
                  <w:p w:rsidR="00A905B7" w:rsidRPr="007710A4" w:rsidRDefault="00A905B7">
                    <w:r w:rsidRPr="007710A4">
                      <w:rPr>
                        <w:iCs/>
                        <w:color w:val="000000"/>
                      </w:rPr>
                      <w:t>c</w:t>
                    </w:r>
                  </w:p>
                </w:txbxContent>
              </v:textbox>
            </v:rect>
            <v:rect id="_x0000_s3105" style="position:absolute;left:1559;top:24;width:112;height:240;mso-wrap-style:none" filled="f" stroked="f">
              <v:textbox style="mso-next-textbox:#_x0000_s3105;mso-fit-shape-to-text:t" inset="0,0,0,0">
                <w:txbxContent>
                  <w:p w:rsidR="00A905B7" w:rsidRPr="007710A4" w:rsidRDefault="00A905B7">
                    <w:r w:rsidRPr="007710A4">
                      <w:rPr>
                        <w:iCs/>
                        <w:color w:val="000000"/>
                      </w:rPr>
                      <w:t>F</w:t>
                    </w:r>
                  </w:p>
                </w:txbxContent>
              </v:textbox>
            </v:rect>
            <v:rect id="_x0000_s3106" style="position:absolute;left:43;top:184;width:145;height:240;mso-wrap-style:none" filled="f" stroked="f">
              <v:textbox style="mso-next-textbox:#_x0000_s3106;mso-fit-shape-to-text:t" inset="0,0,0,0">
                <w:txbxContent>
                  <w:p w:rsidR="00A905B7" w:rsidRPr="007710A4" w:rsidRDefault="00A905B7">
                    <w:r w:rsidRPr="007710A4">
                      <w:rPr>
                        <w:iCs/>
                        <w:color w:val="000000"/>
                      </w:rPr>
                      <w:t>D</w:t>
                    </w:r>
                  </w:p>
                </w:txbxContent>
              </v:textbox>
            </v:rect>
            <w10:wrap type="none"/>
            <w10:anchorlock/>
          </v:group>
        </w:pict>
      </w:r>
    </w:p>
    <w:p w:rsidR="00DA59A4" w:rsidRPr="00B04DC3" w:rsidRDefault="00DA59A4" w:rsidP="00DA59A4">
      <w:pPr>
        <w:pStyle w:val="para"/>
        <w:rPr>
          <w:lang w:val="en-GB"/>
        </w:rPr>
      </w:pPr>
      <w:r w:rsidRPr="00B04DC3">
        <w:rPr>
          <w:lang w:val="en-GB"/>
        </w:rPr>
        <w:tab/>
        <w:t>(b)</w:t>
      </w:r>
      <w:r w:rsidRPr="00B04DC3">
        <w:rPr>
          <w:lang w:val="en-GB"/>
        </w:rPr>
        <w:tab/>
        <w:t>For NG fueled gas engines</w:t>
      </w:r>
    </w:p>
    <w:p w:rsidR="00DA59A4" w:rsidRPr="00B04DC3" w:rsidRDefault="00DA59A4" w:rsidP="00DA59A4">
      <w:pPr>
        <w:pStyle w:val="para"/>
        <w:rPr>
          <w:b/>
          <w:lang w:val="en-GB"/>
        </w:rPr>
      </w:pPr>
      <w:r w:rsidRPr="00B04DC3">
        <w:rPr>
          <w:lang w:val="en-GB"/>
        </w:rPr>
        <w:tab/>
      </w:r>
      <w:r w:rsidRPr="00B04DC3">
        <w:rPr>
          <w:lang w:val="en-GB"/>
        </w:rPr>
        <w:tab/>
      </w:r>
      <w:r w:rsidRPr="00B04DC3">
        <w:rPr>
          <w:lang w:val="en-GB"/>
        </w:rPr>
        <w:tab/>
        <w:t>D</w:t>
      </w:r>
      <w:r w:rsidRPr="00B04DC3">
        <w:rPr>
          <w:lang w:val="en-GB"/>
        </w:rPr>
        <w:tab/>
        <w:t>=</w:t>
      </w:r>
      <w:r w:rsidRPr="00B04DC3">
        <w:rPr>
          <w:lang w:val="en-GB"/>
        </w:rPr>
        <w:tab/>
      </w:r>
      <w:r w:rsidRPr="00B04DC3">
        <w:rPr>
          <w:position w:val="-32"/>
          <w:lang w:val="en-GB"/>
        </w:rPr>
        <w:object w:dxaOrig="2920" w:dyaOrig="700">
          <v:shape id="_x0000_i1152" type="#_x0000_t75" style="width:146.4pt;height:35.4pt" o:ole="">
            <v:imagedata r:id="rId239" o:title=""/>
          </v:shape>
          <o:OLEObject Type="Embed" ProgID="Equation.3" ShapeID="_x0000_i1152" DrawAspect="Content" ObjectID="_1498392300" r:id="rId240"/>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516D24" w:rsidRPr="00B04DC3">
        <w:rPr>
          <w:lang w:val="en-GB"/>
        </w:rPr>
        <w:t>Where</w:t>
      </w:r>
      <w:r w:rsidRPr="00B04DC3">
        <w:rPr>
          <w:lang w:val="en-GB"/>
        </w:rPr>
        <w:t>:</w:t>
      </w:r>
    </w:p>
    <w:p w:rsidR="00DA59A4" w:rsidRPr="00B04DC3" w:rsidRDefault="00DA59A4" w:rsidP="00DA59A4">
      <w:pPr>
        <w:pStyle w:val="para"/>
        <w:tabs>
          <w:tab w:val="left" w:pos="2268"/>
          <w:tab w:val="left" w:pos="2835"/>
          <w:tab w:val="left" w:pos="3544"/>
        </w:tabs>
        <w:ind w:left="3892" w:hanging="2758"/>
        <w:rPr>
          <w:lang w:val="en-GB"/>
        </w:rPr>
      </w:pPr>
      <w:r w:rsidRPr="00B04DC3">
        <w:rPr>
          <w:lang w:val="en-GB"/>
        </w:rPr>
        <w:tab/>
      </w:r>
      <w:r w:rsidRPr="00B04DC3">
        <w:rPr>
          <w:lang w:val="en-GB"/>
        </w:rPr>
        <w:tab/>
        <w:t>c</w:t>
      </w:r>
      <w:r w:rsidRPr="00B04DC3">
        <w:rPr>
          <w:vertAlign w:val="subscript"/>
          <w:lang w:val="en-GB"/>
        </w:rPr>
        <w:t>CO2</w:t>
      </w:r>
      <w:r w:rsidRPr="00B04DC3">
        <w:rPr>
          <w:lang w:val="en-GB"/>
        </w:rPr>
        <w:tab/>
        <w:t>=</w:t>
      </w:r>
      <w:r w:rsidRPr="00B04DC3">
        <w:rPr>
          <w:lang w:val="en-GB"/>
        </w:rPr>
        <w:tab/>
        <w:t>concentration of CO</w:t>
      </w:r>
      <w:r w:rsidRPr="00B04DC3">
        <w:rPr>
          <w:vertAlign w:val="subscript"/>
          <w:lang w:val="en-GB"/>
        </w:rPr>
        <w:t>2</w:t>
      </w:r>
      <w:r w:rsidRPr="00B04DC3">
        <w:rPr>
          <w:lang w:val="en-GB"/>
        </w:rPr>
        <w:t xml:space="preserve"> in the diluted exhaust gas, per cent vol</w:t>
      </w:r>
    </w:p>
    <w:p w:rsidR="00DA59A4" w:rsidRPr="00B04DC3" w:rsidRDefault="00DA59A4" w:rsidP="00DA59A4">
      <w:pPr>
        <w:pStyle w:val="para"/>
        <w:tabs>
          <w:tab w:val="left" w:pos="2268"/>
          <w:tab w:val="left" w:pos="2835"/>
          <w:tab w:val="left" w:pos="3544"/>
        </w:tabs>
        <w:ind w:left="3892" w:hanging="2758"/>
        <w:rPr>
          <w:lang w:val="en-GB"/>
        </w:rPr>
      </w:pPr>
      <w:r w:rsidRPr="00B04DC3">
        <w:rPr>
          <w:lang w:val="en-GB"/>
        </w:rPr>
        <w:tab/>
      </w:r>
      <w:r w:rsidRPr="00B04DC3">
        <w:rPr>
          <w:lang w:val="en-GB"/>
        </w:rPr>
        <w:tab/>
        <w:t>c</w:t>
      </w:r>
      <w:r w:rsidRPr="00B04DC3">
        <w:rPr>
          <w:vertAlign w:val="subscript"/>
          <w:lang w:val="en-GB"/>
        </w:rPr>
        <w:t>HC</w:t>
      </w:r>
      <w:r w:rsidRPr="00B04DC3">
        <w:rPr>
          <w:vertAlign w:val="subscript"/>
          <w:lang w:val="en-GB"/>
        </w:rPr>
        <w:tab/>
      </w:r>
      <w:r w:rsidRPr="00B04DC3">
        <w:rPr>
          <w:lang w:val="en-GB"/>
        </w:rPr>
        <w:t>=</w:t>
      </w:r>
      <w:r w:rsidRPr="00B04DC3">
        <w:rPr>
          <w:lang w:val="en-GB"/>
        </w:rPr>
        <w:tab/>
        <w:t>concentration of HC in the diluted exhaust gas, ppm C1</w:t>
      </w:r>
    </w:p>
    <w:p w:rsidR="00DA59A4" w:rsidRPr="00B04DC3" w:rsidRDefault="00DA59A4" w:rsidP="00DA59A4">
      <w:pPr>
        <w:pStyle w:val="para"/>
        <w:tabs>
          <w:tab w:val="left" w:pos="2268"/>
          <w:tab w:val="left" w:pos="2835"/>
          <w:tab w:val="left" w:pos="3544"/>
        </w:tabs>
        <w:ind w:left="3892" w:hanging="2758"/>
        <w:rPr>
          <w:spacing w:val="-4"/>
          <w:lang w:val="en-GB"/>
        </w:rPr>
      </w:pPr>
      <w:r w:rsidRPr="00B04DC3">
        <w:rPr>
          <w:lang w:val="en-GB"/>
        </w:rPr>
        <w:tab/>
      </w:r>
      <w:r w:rsidRPr="00B04DC3">
        <w:rPr>
          <w:lang w:val="en-GB"/>
        </w:rPr>
        <w:tab/>
        <w:t>c</w:t>
      </w:r>
      <w:r w:rsidRPr="00B04DC3">
        <w:rPr>
          <w:vertAlign w:val="subscript"/>
          <w:lang w:val="en-GB"/>
        </w:rPr>
        <w:t>NMHC</w:t>
      </w:r>
      <w:r w:rsidRPr="00B04DC3">
        <w:rPr>
          <w:lang w:val="en-GB"/>
        </w:rPr>
        <w:tab/>
        <w:t>=</w:t>
      </w:r>
      <w:r w:rsidRPr="00B04DC3">
        <w:rPr>
          <w:lang w:val="en-GB"/>
        </w:rPr>
        <w:tab/>
      </w:r>
      <w:r w:rsidRPr="00B04DC3">
        <w:rPr>
          <w:spacing w:val="-4"/>
          <w:lang w:val="en-GB"/>
        </w:rPr>
        <w:t>concentration of NMHC in the diluted exhaust gas, ppm C1</w:t>
      </w:r>
    </w:p>
    <w:p w:rsidR="00DA59A4" w:rsidRPr="00B04DC3" w:rsidRDefault="00DA59A4" w:rsidP="00DA59A4">
      <w:pPr>
        <w:pStyle w:val="para"/>
        <w:tabs>
          <w:tab w:val="left" w:pos="2268"/>
          <w:tab w:val="left" w:pos="2835"/>
          <w:tab w:val="left" w:pos="3544"/>
        </w:tabs>
        <w:ind w:left="3892" w:hanging="2758"/>
        <w:rPr>
          <w:lang w:val="en-GB"/>
        </w:rPr>
      </w:pPr>
      <w:r w:rsidRPr="00B04DC3">
        <w:rPr>
          <w:lang w:val="en-GB"/>
        </w:rPr>
        <w:tab/>
      </w:r>
      <w:r w:rsidRPr="00B04DC3">
        <w:rPr>
          <w:lang w:val="en-GB"/>
        </w:rPr>
        <w:tab/>
        <w:t>c</w:t>
      </w:r>
      <w:r w:rsidRPr="00B04DC3">
        <w:rPr>
          <w:vertAlign w:val="subscript"/>
          <w:lang w:val="en-GB"/>
        </w:rPr>
        <w:t>CO</w:t>
      </w:r>
      <w:r w:rsidRPr="00B04DC3">
        <w:rPr>
          <w:lang w:val="en-GB"/>
        </w:rPr>
        <w:tab/>
        <w:t>=</w:t>
      </w:r>
      <w:r w:rsidRPr="00B04DC3">
        <w:rPr>
          <w:lang w:val="en-GB"/>
        </w:rPr>
        <w:tab/>
        <w:t>concentration of CO in the diluted exhaust gas, ppm</w:t>
      </w:r>
    </w:p>
    <w:p w:rsidR="00DA59A4" w:rsidRPr="00B04DC3" w:rsidRDefault="00DA59A4" w:rsidP="00DA59A4">
      <w:pPr>
        <w:pStyle w:val="para"/>
        <w:tabs>
          <w:tab w:val="left" w:pos="2268"/>
          <w:tab w:val="left" w:pos="2835"/>
          <w:tab w:val="left" w:pos="3544"/>
        </w:tabs>
        <w:ind w:left="3892" w:hanging="2758"/>
        <w:rPr>
          <w:lang w:val="en-GB"/>
        </w:rPr>
      </w:pPr>
      <w:r w:rsidRPr="00B04DC3">
        <w:rPr>
          <w:lang w:val="en-GB"/>
        </w:rPr>
        <w:tab/>
      </w:r>
      <w:r w:rsidRPr="00B04DC3">
        <w:rPr>
          <w:lang w:val="en-GB"/>
        </w:rPr>
        <w:tab/>
        <w:t>F</w:t>
      </w:r>
      <w:r w:rsidRPr="00B04DC3">
        <w:rPr>
          <w:vertAlign w:val="subscript"/>
          <w:lang w:val="en-GB"/>
        </w:rPr>
        <w:t>S</w:t>
      </w:r>
      <w:r w:rsidRPr="00B04DC3">
        <w:rPr>
          <w:lang w:val="en-GB"/>
        </w:rPr>
        <w:tab/>
        <w:t>=</w:t>
      </w:r>
      <w:r w:rsidRPr="00B04DC3">
        <w:rPr>
          <w:lang w:val="en-GB"/>
        </w:rPr>
        <w:tab/>
        <w:t>stoichiometric factor</w:t>
      </w:r>
    </w:p>
    <w:p w:rsidR="00DA59A4" w:rsidRPr="00B04DC3" w:rsidRDefault="00DA59A4" w:rsidP="00DA59A4">
      <w:pPr>
        <w:pStyle w:val="para"/>
        <w:rPr>
          <w:lang w:val="en-GB"/>
        </w:rPr>
      </w:pPr>
      <w:r w:rsidRPr="00B04DC3">
        <w:rPr>
          <w:lang w:val="en-GB"/>
        </w:rPr>
        <w:tab/>
        <w:t>Concentrations measured on dry basis shall be converted to a wet basis in accordance with paragraph 5.2. of Appendix 1 to this annex.</w:t>
      </w:r>
    </w:p>
    <w:p w:rsidR="00DA59A4" w:rsidRPr="00B04DC3" w:rsidRDefault="00DA59A4" w:rsidP="00AA0E48">
      <w:pPr>
        <w:pStyle w:val="para"/>
        <w:keepNext/>
        <w:rPr>
          <w:lang w:val="en-GB"/>
        </w:rPr>
      </w:pPr>
      <w:r w:rsidRPr="00B04DC3">
        <w:rPr>
          <w:lang w:val="en-GB"/>
        </w:rPr>
        <w:tab/>
        <w:t>The stoichiometric factor shall be calculated as follows:</w:t>
      </w:r>
    </w:p>
    <w:p w:rsidR="00DA59A4" w:rsidRPr="00B04DC3" w:rsidRDefault="00DA59A4" w:rsidP="00DA59A4">
      <w:pPr>
        <w:pStyle w:val="para"/>
        <w:rPr>
          <w:lang w:val="en-GB"/>
        </w:rPr>
      </w:pPr>
      <w:r w:rsidRPr="00B04DC3">
        <w:rPr>
          <w:lang w:val="en-GB"/>
        </w:rPr>
        <w:tab/>
      </w:r>
      <w:r w:rsidRPr="00B04DC3">
        <w:rPr>
          <w:lang w:val="en-GB"/>
        </w:rPr>
        <w:tab/>
      </w:r>
      <w:r w:rsidRPr="00B04DC3">
        <w:rPr>
          <w:position w:val="-60"/>
          <w:lang w:val="en-GB"/>
        </w:rPr>
        <w:object w:dxaOrig="4020" w:dyaOrig="980">
          <v:shape id="_x0000_i1153" type="#_x0000_t75" style="width:149.4pt;height:36.6pt" o:ole="">
            <v:imagedata r:id="rId241" o:title=""/>
          </v:shape>
          <o:OLEObject Type="Embed" ProgID="Equation.3" ShapeID="_x0000_i1153" DrawAspect="Content" ObjectID="_1498392301" r:id="rId242"/>
        </w:object>
      </w:r>
    </w:p>
    <w:p w:rsidR="00DA59A4" w:rsidRPr="00B04DC3" w:rsidRDefault="00DA59A4" w:rsidP="00DA59A4">
      <w:pPr>
        <w:pStyle w:val="para"/>
        <w:rPr>
          <w:lang w:val="en-GB"/>
        </w:rPr>
      </w:pP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DA59A4">
      <w:pPr>
        <w:pStyle w:val="para"/>
        <w:rPr>
          <w:rFonts w:ascii="Symbol" w:hAnsi="Symbol"/>
          <w:lang w:val="en-GB"/>
        </w:rPr>
      </w:pPr>
      <w:r w:rsidRPr="00B04DC3">
        <w:rPr>
          <w:lang w:val="en-GB"/>
        </w:rPr>
        <w:tab/>
      </w:r>
      <w:r w:rsidRPr="00B04DC3">
        <w:rPr>
          <w:lang w:val="en-GB"/>
        </w:rPr>
        <w:tab/>
      </w:r>
      <w:r w:rsidRPr="00B04DC3">
        <w:rPr>
          <w:lang w:val="en-GB"/>
        </w:rPr>
        <w:sym w:font="Symbol" w:char="F061"/>
      </w:r>
      <w:r w:rsidRPr="00B04DC3">
        <w:rPr>
          <w:lang w:val="en-GB"/>
        </w:rPr>
        <w:t xml:space="preserve">, </w:t>
      </w:r>
      <w:r w:rsidRPr="00B04DC3">
        <w:rPr>
          <w:lang w:val="en-GB"/>
        </w:rPr>
        <w:sym w:font="Symbol" w:char="F065"/>
      </w:r>
      <w:r w:rsidRPr="00B04DC3">
        <w:rPr>
          <w:lang w:val="en-GB"/>
        </w:rPr>
        <w:t xml:space="preserve"> are the molar ratios referring to a fuel C H</w:t>
      </w:r>
      <w:r w:rsidRPr="00B04DC3">
        <w:rPr>
          <w:vertAlign w:val="subscript"/>
          <w:lang w:val="en-GB"/>
        </w:rPr>
        <w:sym w:font="Symbol" w:char="F061"/>
      </w:r>
      <w:r w:rsidRPr="00B04DC3">
        <w:rPr>
          <w:lang w:val="en-GB"/>
        </w:rPr>
        <w:t xml:space="preserve"> O</w:t>
      </w:r>
      <w:r w:rsidRPr="00B04DC3">
        <w:rPr>
          <w:vertAlign w:val="subscript"/>
          <w:lang w:val="en-GB"/>
        </w:rPr>
        <w:sym w:font="Symbol" w:char="F065"/>
      </w:r>
      <w:r w:rsidRPr="00B04DC3">
        <w:rPr>
          <w:vertAlign w:val="subscript"/>
          <w:lang w:val="en-GB"/>
        </w:rPr>
        <w:t xml:space="preserve"> </w:t>
      </w:r>
    </w:p>
    <w:p w:rsidR="00DA59A4" w:rsidRPr="00B04DC3" w:rsidRDefault="00DA59A4" w:rsidP="00DA59A4">
      <w:pPr>
        <w:pStyle w:val="para"/>
        <w:rPr>
          <w:lang w:val="en-GB"/>
        </w:rPr>
      </w:pPr>
      <w:r w:rsidRPr="00B04DC3">
        <w:rPr>
          <w:lang w:val="en-GB"/>
        </w:rPr>
        <w:tab/>
        <w:t>Alternatively, if the fuel composition is not known, the following stoichiometric factors may be used:</w:t>
      </w:r>
    </w:p>
    <w:p w:rsidR="00DA59A4" w:rsidRPr="00B04DC3" w:rsidRDefault="00DA59A4" w:rsidP="00DA59A4">
      <w:pPr>
        <w:pStyle w:val="para"/>
        <w:rPr>
          <w:lang w:val="en-GB"/>
        </w:rPr>
      </w:pPr>
      <w:r w:rsidRPr="00B04DC3">
        <w:rPr>
          <w:lang w:val="en-GB"/>
        </w:rPr>
        <w:tab/>
      </w:r>
      <w:r w:rsidRPr="00B04DC3">
        <w:rPr>
          <w:lang w:val="en-GB"/>
        </w:rPr>
        <w:tab/>
        <w:t>F</w:t>
      </w:r>
      <w:r w:rsidRPr="00B04DC3">
        <w:rPr>
          <w:vertAlign w:val="subscript"/>
          <w:lang w:val="en-GB"/>
        </w:rPr>
        <w:t>S</w:t>
      </w:r>
      <w:r w:rsidRPr="00B04DC3">
        <w:rPr>
          <w:lang w:val="en-GB"/>
        </w:rPr>
        <w:t xml:space="preserve"> (diesel)</w:t>
      </w:r>
      <w:r w:rsidRPr="00B04DC3">
        <w:rPr>
          <w:lang w:val="en-GB"/>
        </w:rPr>
        <w:tab/>
        <w:t>=</w:t>
      </w:r>
      <w:r w:rsidRPr="00B04DC3">
        <w:rPr>
          <w:lang w:val="en-GB"/>
        </w:rPr>
        <w:tab/>
        <w:t>13.4</w:t>
      </w:r>
    </w:p>
    <w:p w:rsidR="00DA59A4" w:rsidRPr="00B04DC3" w:rsidRDefault="00DA59A4" w:rsidP="00DA59A4">
      <w:pPr>
        <w:pStyle w:val="para"/>
        <w:rPr>
          <w:lang w:val="en-GB"/>
        </w:rPr>
      </w:pPr>
      <w:r w:rsidRPr="00B04DC3">
        <w:rPr>
          <w:lang w:val="en-GB"/>
        </w:rPr>
        <w:tab/>
      </w:r>
      <w:r w:rsidRPr="00B04DC3">
        <w:rPr>
          <w:lang w:val="en-GB"/>
        </w:rPr>
        <w:tab/>
        <w:t>F</w:t>
      </w:r>
      <w:r w:rsidRPr="00B04DC3">
        <w:rPr>
          <w:vertAlign w:val="subscript"/>
          <w:lang w:val="en-GB"/>
        </w:rPr>
        <w:t>S</w:t>
      </w:r>
      <w:r w:rsidRPr="00B04DC3">
        <w:rPr>
          <w:lang w:val="en-GB"/>
        </w:rPr>
        <w:t xml:space="preserve"> (LPG)</w:t>
      </w:r>
      <w:r w:rsidRPr="00B04DC3">
        <w:rPr>
          <w:lang w:val="en-GB"/>
        </w:rPr>
        <w:tab/>
        <w:t>=</w:t>
      </w:r>
      <w:r w:rsidRPr="00B04DC3">
        <w:rPr>
          <w:lang w:val="en-GB"/>
        </w:rPr>
        <w:tab/>
        <w:t>11.6</w:t>
      </w:r>
    </w:p>
    <w:p w:rsidR="00DA59A4" w:rsidRPr="00B04DC3" w:rsidRDefault="00DA59A4" w:rsidP="00DA59A4">
      <w:pPr>
        <w:pStyle w:val="para"/>
        <w:rPr>
          <w:lang w:val="en-GB"/>
        </w:rPr>
      </w:pPr>
      <w:r w:rsidRPr="00B04DC3">
        <w:rPr>
          <w:lang w:val="en-GB"/>
        </w:rPr>
        <w:tab/>
      </w:r>
      <w:r w:rsidRPr="00B04DC3">
        <w:rPr>
          <w:lang w:val="en-GB"/>
        </w:rPr>
        <w:tab/>
        <w:t>F</w:t>
      </w:r>
      <w:r w:rsidRPr="00B04DC3">
        <w:rPr>
          <w:vertAlign w:val="subscript"/>
          <w:lang w:val="en-GB"/>
        </w:rPr>
        <w:t>S</w:t>
      </w:r>
      <w:r w:rsidRPr="00B04DC3">
        <w:rPr>
          <w:lang w:val="en-GB"/>
        </w:rPr>
        <w:t xml:space="preserve"> (NG)</w:t>
      </w:r>
      <w:r w:rsidRPr="00B04DC3">
        <w:rPr>
          <w:lang w:val="en-GB"/>
        </w:rPr>
        <w:tab/>
        <w:t>=</w:t>
      </w:r>
      <w:r w:rsidRPr="00B04DC3">
        <w:rPr>
          <w:lang w:val="en-GB"/>
        </w:rPr>
        <w:tab/>
        <w:t xml:space="preserve">  9.5</w:t>
      </w:r>
    </w:p>
    <w:p w:rsidR="00DA59A4" w:rsidRPr="00B04DC3" w:rsidRDefault="00DA59A4" w:rsidP="00DA59A4">
      <w:pPr>
        <w:pStyle w:val="para"/>
        <w:rPr>
          <w:lang w:val="en-GB"/>
        </w:rPr>
      </w:pPr>
      <w:r w:rsidRPr="00B04DC3">
        <w:rPr>
          <w:lang w:val="en-GB"/>
        </w:rPr>
        <w:tab/>
      </w:r>
      <w:r w:rsidRPr="00B04DC3">
        <w:rPr>
          <w:lang w:val="en-GB"/>
        </w:rPr>
        <w:tab/>
        <w:t>F</w:t>
      </w:r>
      <w:r w:rsidRPr="00B04DC3">
        <w:rPr>
          <w:vertAlign w:val="subscript"/>
          <w:lang w:val="en-GB"/>
        </w:rPr>
        <w:t>S</w:t>
      </w:r>
      <w:r w:rsidRPr="00B04DC3">
        <w:rPr>
          <w:lang w:val="en-GB"/>
        </w:rPr>
        <w:t xml:space="preserve"> (Ethanol)</w:t>
      </w:r>
      <w:r w:rsidRPr="00B04DC3">
        <w:rPr>
          <w:lang w:val="en-GB"/>
        </w:rPr>
        <w:tab/>
        <w:t>=</w:t>
      </w:r>
      <w:r w:rsidRPr="00B04DC3">
        <w:rPr>
          <w:lang w:val="en-GB"/>
        </w:rPr>
        <w:tab/>
        <w:t>12.3</w:t>
      </w:r>
    </w:p>
    <w:p w:rsidR="00DA59A4" w:rsidRPr="00B04DC3" w:rsidRDefault="00DA59A4" w:rsidP="00DA59A4">
      <w:pPr>
        <w:pStyle w:val="para"/>
        <w:rPr>
          <w:lang w:val="en-GB"/>
        </w:rPr>
      </w:pPr>
      <w:r w:rsidRPr="00B04DC3">
        <w:rPr>
          <w:lang w:val="en-GB"/>
        </w:rPr>
        <w:t>5.5.</w:t>
      </w:r>
      <w:r w:rsidRPr="00B04DC3">
        <w:rPr>
          <w:lang w:val="en-GB"/>
        </w:rPr>
        <w:tab/>
        <w:t>Calculation of the specific emissions</w:t>
      </w:r>
    </w:p>
    <w:p w:rsidR="00DA59A4" w:rsidRPr="00B04DC3" w:rsidRDefault="00DA59A4" w:rsidP="00DA59A4">
      <w:pPr>
        <w:pStyle w:val="para"/>
        <w:rPr>
          <w:lang w:val="en-GB"/>
        </w:rPr>
      </w:pPr>
      <w:r w:rsidRPr="00B04DC3">
        <w:rPr>
          <w:lang w:val="en-GB"/>
        </w:rPr>
        <w:tab/>
        <w:t>The emissions (g/kWh) shall be calculated in the following way:</w:t>
      </w:r>
    </w:p>
    <w:p w:rsidR="00DA59A4" w:rsidRPr="00B04DC3" w:rsidRDefault="00DA59A4" w:rsidP="00DA59A4">
      <w:pPr>
        <w:pStyle w:val="para"/>
        <w:rPr>
          <w:lang w:val="en-GB"/>
        </w:rPr>
      </w:pPr>
      <w:r w:rsidRPr="00B04DC3">
        <w:rPr>
          <w:lang w:val="en-GB"/>
        </w:rPr>
        <w:tab/>
        <w:t>(a)</w:t>
      </w:r>
      <w:r w:rsidRPr="00B04DC3">
        <w:rPr>
          <w:lang w:val="en-GB"/>
        </w:rPr>
        <w:tab/>
        <w:t>All components, except NO</w:t>
      </w:r>
      <w:r w:rsidRPr="00B04DC3">
        <w:rPr>
          <w:vertAlign w:val="subscript"/>
          <w:lang w:val="en-GB"/>
        </w:rPr>
        <w:t>x</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Pr="00B04DC3">
        <w:rPr>
          <w:position w:val="-30"/>
          <w:lang w:val="en-GB"/>
        </w:rPr>
        <w:object w:dxaOrig="1200" w:dyaOrig="700">
          <v:shape id="_x0000_i1154" type="#_x0000_t75" style="width:60pt;height:35.4pt" o:ole="">
            <v:imagedata r:id="rId243" o:title=""/>
          </v:shape>
          <o:OLEObject Type="Embed" ProgID="Equation.3" ShapeID="_x0000_i1154" DrawAspect="Content" ObjectID="_1498392302" r:id="rId244"/>
        </w:object>
      </w:r>
    </w:p>
    <w:p w:rsidR="00DA59A4" w:rsidRPr="00B04DC3" w:rsidRDefault="00DA59A4" w:rsidP="00DA59A4">
      <w:pPr>
        <w:pStyle w:val="para"/>
        <w:rPr>
          <w:lang w:val="en-GB"/>
        </w:rPr>
      </w:pPr>
      <w:r w:rsidRPr="00B04DC3">
        <w:rPr>
          <w:lang w:val="en-GB"/>
        </w:rPr>
        <w:tab/>
        <w:t>(b)</w:t>
      </w:r>
      <w:r w:rsidRPr="00B04DC3">
        <w:rPr>
          <w:lang w:val="en-GB"/>
        </w:rPr>
        <w:tab/>
        <w:t>NO</w:t>
      </w:r>
      <w:r w:rsidRPr="00B04DC3">
        <w:rPr>
          <w:vertAlign w:val="subscript"/>
          <w:lang w:val="en-GB"/>
        </w:rPr>
        <w:t>x</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Pr="00B04DC3">
        <w:rPr>
          <w:position w:val="-30"/>
          <w:lang w:val="en-GB"/>
        </w:rPr>
        <w:object w:dxaOrig="1640" w:dyaOrig="700">
          <v:shape id="_x0000_i1155" type="#_x0000_t75" style="width:81.6pt;height:35.4pt" o:ole="">
            <v:imagedata r:id="rId245" o:title=""/>
          </v:shape>
          <o:OLEObject Type="Embed" ProgID="Equation.3" ShapeID="_x0000_i1155" DrawAspect="Content" ObjectID="_1498392303" r:id="rId246"/>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516D24" w:rsidRPr="00B04DC3">
        <w:rPr>
          <w:lang w:val="en-GB"/>
        </w:rPr>
        <w:t>Where</w:t>
      </w:r>
      <w:r w:rsidRPr="00B04DC3">
        <w:rPr>
          <w:lang w:val="en-GB"/>
        </w:rPr>
        <w:t>:</w:t>
      </w:r>
    </w:p>
    <w:p w:rsidR="00DA59A4" w:rsidRPr="00B04DC3" w:rsidRDefault="00DA59A4" w:rsidP="00DA59A4">
      <w:pPr>
        <w:pStyle w:val="para"/>
        <w:tabs>
          <w:tab w:val="left" w:pos="3402"/>
        </w:tabs>
        <w:ind w:left="3686" w:hanging="851"/>
        <w:rPr>
          <w:lang w:val="en-GB"/>
        </w:rPr>
      </w:pPr>
      <w:r w:rsidRPr="00B04DC3">
        <w:rPr>
          <w:lang w:val="en-GB"/>
        </w:rPr>
        <w:t>W</w:t>
      </w:r>
      <w:r w:rsidRPr="00B04DC3">
        <w:rPr>
          <w:vertAlign w:val="subscript"/>
          <w:lang w:val="en-GB"/>
        </w:rPr>
        <w:t>act</w:t>
      </w:r>
      <w:r w:rsidRPr="00B04DC3">
        <w:rPr>
          <w:lang w:val="en-GB"/>
        </w:rPr>
        <w:tab/>
        <w:t>=</w:t>
      </w:r>
      <w:r w:rsidRPr="00B04DC3">
        <w:rPr>
          <w:lang w:val="en-GB"/>
        </w:rPr>
        <w:tab/>
        <w:t>actual cycle work as determined according to paragraph 3.9.2.</w:t>
      </w:r>
      <w:r w:rsidR="00710050">
        <w:rPr>
          <w:lang w:val="en-GB"/>
        </w:rPr>
        <w:t xml:space="preserve"> of this appendix.</w:t>
      </w:r>
    </w:p>
    <w:p w:rsidR="00DA59A4" w:rsidRPr="00B04DC3" w:rsidRDefault="00DA59A4" w:rsidP="00DA59A4">
      <w:pPr>
        <w:pStyle w:val="para"/>
        <w:rPr>
          <w:lang w:val="en-GB"/>
        </w:rPr>
      </w:pPr>
      <w:r w:rsidRPr="00B04DC3">
        <w:rPr>
          <w:lang w:val="en-GB"/>
        </w:rPr>
        <w:t>5.5.1.</w:t>
      </w:r>
      <w:r w:rsidRPr="00B04DC3">
        <w:rPr>
          <w:lang w:val="en-GB"/>
        </w:rPr>
        <w:tab/>
        <w:t xml:space="preserve">In case of a periodic exhaust </w:t>
      </w:r>
      <w:r w:rsidR="006A75A0">
        <w:rPr>
          <w:lang w:val="en-GB"/>
        </w:rPr>
        <w:t>after-treatment</w:t>
      </w:r>
      <w:r w:rsidRPr="00B04DC3">
        <w:rPr>
          <w:lang w:val="en-GB"/>
        </w:rPr>
        <w:t xml:space="preserve"> system, the emissions shall be weighted as follows:</w:t>
      </w:r>
    </w:p>
    <w:p w:rsidR="00DA59A4" w:rsidRPr="00B04DC3" w:rsidRDefault="00DA59A4" w:rsidP="00DA59A4">
      <w:pPr>
        <w:pStyle w:val="para"/>
        <w:rPr>
          <w:sz w:val="2"/>
          <w:szCs w:val="2"/>
          <w:lang w:val="en-GB"/>
        </w:rPr>
      </w:pPr>
      <w:r w:rsidRPr="00B04DC3">
        <w:rPr>
          <w:lang w:val="en-GB"/>
        </w:rPr>
        <w:tab/>
      </w:r>
      <w:r w:rsidRPr="00B04DC3">
        <w:rPr>
          <w:lang w:val="en-GB"/>
        </w:rPr>
        <w:tab/>
      </w:r>
      <w:r w:rsidR="00A905B7">
        <w:rPr>
          <w:lang w:val="en-GB"/>
        </w:rPr>
      </w:r>
      <w:r w:rsidR="00A905B7">
        <w:rPr>
          <w:lang w:val="en-GB"/>
        </w:rPr>
        <w:pict>
          <v:group id="_x0000_s1701" editas="canvas" style="width:234.5pt;height:33.3pt;mso-position-horizontal-relative:char;mso-position-vertical-relative:line" coordsize="4690,666">
            <o:lock v:ext="edit" aspectratio="t"/>
            <v:shape id="_x0000_s1702" type="#_x0000_t75" style="position:absolute;width:4690;height:666" o:preferrelative="f">
              <v:fill o:detectmouseclick="t"/>
              <v:path o:extrusionok="t" o:connecttype="none"/>
              <o:lock v:ext="edit" text="t"/>
            </v:shape>
            <v:line id="_x0000_s1703" style="position:absolute" from="36,55" to="588,55" strokeweight=".45pt"/>
            <v:line id="_x0000_s1704" style="position:absolute" from="1254,55" to="2084,55" strokeweight=".45pt"/>
            <v:line id="_x0000_s1705" style="position:absolute" from="2702,55" to="3566,55" strokeweight=".45pt"/>
            <v:rect id="_x0000_s1706" style="position:absolute;left:4273;top:61;width:267;height:240;mso-wrap-style:none" filled="f" stroked="f">
              <v:textbox style="mso-next-textbox:#_x0000_s1706;mso-fit-shape-to-text:t" inset="0,0,0,0">
                <w:txbxContent>
                  <w:p w:rsidR="00A905B7" w:rsidRPr="00394B99" w:rsidRDefault="00A905B7">
                    <w:r w:rsidRPr="00394B99">
                      <w:rPr>
                        <w:color w:val="000000"/>
                      </w:rPr>
                      <w:t>n2)</w:t>
                    </w:r>
                  </w:p>
                </w:txbxContent>
              </v:textbox>
            </v:rect>
            <v:rect id="_x0000_s1707" style="position:absolute;left:3804;top:61;width:267;height:240;mso-wrap-style:none" filled="f" stroked="f">
              <v:textbox style="mso-next-textbox:#_x0000_s1707;mso-fit-shape-to-text:t" inset="0,0,0,0">
                <w:txbxContent>
                  <w:p w:rsidR="00A905B7" w:rsidRPr="00394B99" w:rsidRDefault="00A905B7">
                    <w:r w:rsidRPr="00394B99">
                      <w:rPr>
                        <w:color w:val="000000"/>
                      </w:rPr>
                      <w:t>(n1</w:t>
                    </w:r>
                  </w:p>
                </w:txbxContent>
              </v:textbox>
            </v:rect>
            <v:rect id="_x0000_s1708" style="position:absolute;left:3640;top:61;width:106;height:240;mso-wrap-style:none" filled="f" stroked="f">
              <v:textbox style="mso-next-textbox:#_x0000_s1708;mso-fit-shape-to-text:t" inset="0,0,0,0">
                <w:txbxContent>
                  <w:p w:rsidR="00A905B7" w:rsidRPr="00394B99" w:rsidRDefault="00A905B7">
                    <w:r w:rsidRPr="00394B99">
                      <w:rPr>
                        <w:color w:val="000000"/>
                      </w:rPr>
                      <w:t xml:space="preserve"> / </w:t>
                    </w:r>
                  </w:p>
                </w:txbxContent>
              </v:textbox>
            </v:rect>
            <v:rect id="_x0000_s1709" style="position:absolute;left:3576;top:61;width:67;height:240;mso-wrap-style:none" filled="f" stroked="f">
              <v:textbox style="mso-next-textbox:#_x0000_s1709;mso-fit-shape-to-text:t" inset="0,0,0,0">
                <w:txbxContent>
                  <w:p w:rsidR="00A905B7" w:rsidRPr="00394B99" w:rsidRDefault="00A905B7">
                    <w:r w:rsidRPr="00394B99">
                      <w:rPr>
                        <w:color w:val="000000"/>
                      </w:rPr>
                      <w:t>)</w:t>
                    </w:r>
                  </w:p>
                </w:txbxContent>
              </v:textbox>
            </v:rect>
            <v:rect id="_x0000_s1710" style="position:absolute;left:3338;top:186;width:201;height:240;mso-wrap-style:none" filled="f" stroked="f">
              <v:textbox style="mso-next-textbox:#_x0000_s1710;mso-fit-shape-to-text:t" inset="0,0,0,0">
                <w:txbxContent>
                  <w:p w:rsidR="00A905B7" w:rsidRPr="00394B99" w:rsidRDefault="00A905B7">
                    <w:r w:rsidRPr="00394B99">
                      <w:rPr>
                        <w:color w:val="000000"/>
                      </w:rPr>
                      <w:t>n2</w:t>
                    </w:r>
                  </w:p>
                </w:txbxContent>
              </v:textbox>
            </v:rect>
            <v:rect id="_x0000_s1711" style="position:absolute;left:3286;top:186;width:51;height:240;mso-wrap-style:none" filled="f" stroked="f">
              <v:textbox style="mso-next-textbox:#_x0000_s1711;mso-fit-shape-to-text:t" inset="0,0,0,0">
                <w:txbxContent>
                  <w:p w:rsidR="00A905B7" w:rsidRPr="00394B99" w:rsidRDefault="00A905B7">
                    <w:r w:rsidRPr="00394B99">
                      <w:rPr>
                        <w:color w:val="000000"/>
                      </w:rPr>
                      <w:t xml:space="preserve"> </w:t>
                    </w:r>
                  </w:p>
                </w:txbxContent>
              </v:textbox>
            </v:rect>
            <v:rect id="_x0000_s1712" style="position:absolute;left:2903;top:186;width:362;height:240;mso-wrap-style:none" filled="f" stroked="f">
              <v:textbox style="mso-next-textbox:#_x0000_s1712;mso-fit-shape-to-text:t" inset="0,0,0,0">
                <w:txbxContent>
                  <w:p w:rsidR="00A905B7" w:rsidRPr="00394B99" w:rsidRDefault="00A905B7">
                    <w:r w:rsidRPr="00394B99">
                      <w:rPr>
                        <w:color w:val="000000"/>
                      </w:rPr>
                      <w:t>Gas,</w:t>
                    </w:r>
                  </w:p>
                </w:txbxContent>
              </v:textbox>
            </v:rect>
            <v:rect id="_x0000_s1713" style="position:absolute;left:2699;top:61;width:178;height:240;mso-wrap-style:none" filled="f" stroked="f">
              <v:textbox style="mso-next-textbox:#_x0000_s1713;mso-fit-shape-to-text:t" inset="0,0,0,0">
                <w:txbxContent>
                  <w:p w:rsidR="00A905B7" w:rsidRPr="00394B99" w:rsidRDefault="00A905B7">
                    <w:r w:rsidRPr="00394B99">
                      <w:rPr>
                        <w:color w:val="000000"/>
                      </w:rPr>
                      <w:t>M</w:t>
                    </w:r>
                  </w:p>
                </w:txbxContent>
              </v:textbox>
            </v:rect>
            <v:rect id="_x0000_s1714" style="position:absolute;left:2648;top:61;width:51;height:240;mso-wrap-style:none" filled="f" stroked="f">
              <v:textbox style="mso-next-textbox:#_x0000_s1714;mso-fit-shape-to-text:t" inset="0,0,0,0">
                <w:txbxContent>
                  <w:p w:rsidR="00A905B7" w:rsidRPr="00394B99" w:rsidRDefault="00A905B7">
                    <w:r w:rsidRPr="00394B99">
                      <w:rPr>
                        <w:color w:val="000000"/>
                      </w:rPr>
                      <w:t xml:space="preserve"> </w:t>
                    </w:r>
                  </w:p>
                </w:txbxContent>
              </v:textbox>
            </v:rect>
            <v:rect id="_x0000_s1715" style="position:absolute;left:2503;top:61;width:51;height:240;mso-wrap-style:none" filled="f" stroked="f">
              <v:textbox style="mso-next-textbox:#_x0000_s1715;mso-fit-shape-to-text:t" inset="0,0,0,0">
                <w:txbxContent>
                  <w:p w:rsidR="00A905B7" w:rsidRPr="00394B99" w:rsidRDefault="00A905B7">
                    <w:r w:rsidRPr="00394B99">
                      <w:rPr>
                        <w:color w:val="000000"/>
                      </w:rPr>
                      <w:t xml:space="preserve"> </w:t>
                    </w:r>
                  </w:p>
                </w:txbxContent>
              </v:textbox>
            </v:rect>
            <v:rect id="_x0000_s1716" style="position:absolute;left:2295;top:61;width:201;height:240;mso-wrap-style:none" filled="f" stroked="f">
              <v:textbox style="mso-next-textbox:#_x0000_s1716;mso-fit-shape-to-text:t" inset="0,0,0,0">
                <w:txbxContent>
                  <w:p w:rsidR="00A905B7" w:rsidRPr="00394B99" w:rsidRDefault="00A905B7">
                    <w:r w:rsidRPr="00394B99">
                      <w:rPr>
                        <w:color w:val="000000"/>
                      </w:rPr>
                      <w:t>n2</w:t>
                    </w:r>
                  </w:p>
                </w:txbxContent>
              </v:textbox>
            </v:rect>
            <v:rect id="_x0000_s1717" style="position:absolute;left:2245;top:61;width:51;height:240;mso-wrap-style:none" filled="f" stroked="f">
              <v:textbox style="mso-next-textbox:#_x0000_s1717;mso-fit-shape-to-text:t" inset="0,0,0,0">
                <w:txbxContent>
                  <w:p w:rsidR="00A905B7" w:rsidRPr="00394B99" w:rsidRDefault="00A905B7">
                    <w:r w:rsidRPr="00394B99">
                      <w:rPr>
                        <w:color w:val="000000"/>
                      </w:rPr>
                      <w:t xml:space="preserve"> </w:t>
                    </w:r>
                  </w:p>
                </w:txbxContent>
              </v:textbox>
            </v:rect>
            <v:rect id="_x0000_s1718" style="position:absolute;left:1874;top:186;width:201;height:240;mso-wrap-style:none" filled="f" stroked="f">
              <v:textbox style="mso-next-textbox:#_x0000_s1718;mso-fit-shape-to-text:t" inset="0,0,0,0">
                <w:txbxContent>
                  <w:p w:rsidR="00A905B7" w:rsidRPr="00394B99" w:rsidRDefault="00A905B7">
                    <w:r w:rsidRPr="00394B99">
                      <w:rPr>
                        <w:color w:val="000000"/>
                      </w:rPr>
                      <w:t>n1</w:t>
                    </w:r>
                  </w:p>
                </w:txbxContent>
              </v:textbox>
            </v:rect>
            <v:rect id="_x0000_s1719" style="position:absolute;left:1455;top:186;width:362;height:240;mso-wrap-style:none" filled="f" stroked="f">
              <v:textbox style="mso-next-textbox:#_x0000_s1719;mso-fit-shape-to-text:t" inset="0,0,0,0">
                <w:txbxContent>
                  <w:p w:rsidR="00A905B7" w:rsidRPr="00394B99" w:rsidRDefault="00A905B7">
                    <w:r w:rsidRPr="00394B99">
                      <w:rPr>
                        <w:color w:val="000000"/>
                      </w:rPr>
                      <w:t>Gas,</w:t>
                    </w:r>
                  </w:p>
                </w:txbxContent>
              </v:textbox>
            </v:rect>
            <v:rect id="_x0000_s1720" style="position:absolute;left:1251;top:61;width:178;height:240;mso-wrap-style:none" filled="f" stroked="f">
              <v:textbox style="mso-next-textbox:#_x0000_s1720;mso-fit-shape-to-text:t" inset="0,0,0,0">
                <w:txbxContent>
                  <w:p w:rsidR="00A905B7" w:rsidRPr="00394B99" w:rsidRDefault="00A905B7">
                    <w:r w:rsidRPr="00394B99">
                      <w:rPr>
                        <w:color w:val="000000"/>
                      </w:rPr>
                      <w:t>M</w:t>
                    </w:r>
                  </w:p>
                </w:txbxContent>
              </v:textbox>
            </v:rect>
            <v:rect id="_x0000_s1721" style="position:absolute;left:1062;top:61;width:51;height:240;mso-wrap-style:none" filled="f" stroked="f">
              <v:textbox style="mso-next-textbox:#_x0000_s1721;mso-fit-shape-to-text:t" inset="0,0,0,0">
                <w:txbxContent>
                  <w:p w:rsidR="00A905B7" w:rsidRPr="00394B99" w:rsidRDefault="00A905B7">
                    <w:r w:rsidRPr="00394B99">
                      <w:rPr>
                        <w:color w:val="000000"/>
                      </w:rPr>
                      <w:t xml:space="preserve"> </w:t>
                    </w:r>
                  </w:p>
                </w:txbxContent>
              </v:textbox>
            </v:rect>
            <v:rect id="_x0000_s1722" style="position:absolute;left:799;top:61;width:267;height:240;mso-wrap-style:none" filled="f" stroked="f">
              <v:textbox style="mso-next-textbox:#_x0000_s1722;mso-fit-shape-to-text:t" inset="0,0,0,0">
                <w:txbxContent>
                  <w:p w:rsidR="00A905B7" w:rsidRPr="00394B99" w:rsidRDefault="00A905B7">
                    <w:r w:rsidRPr="00394B99">
                      <w:rPr>
                        <w:color w:val="000000"/>
                      </w:rPr>
                      <w:t>(n1</w:t>
                    </w:r>
                  </w:p>
                </w:txbxContent>
              </v:textbox>
            </v:rect>
            <v:rect id="_x0000_s1723" style="position:absolute;left:752;top:61;width:51;height:240;mso-wrap-style:none" filled="f" stroked="f">
              <v:textbox style="mso-next-textbox:#_x0000_s1723;mso-fit-shape-to-text:t" inset="0,0,0,0">
                <w:txbxContent>
                  <w:p w:rsidR="00A905B7" w:rsidRPr="00394B99" w:rsidRDefault="00A905B7">
                    <w:r w:rsidRPr="00394B99">
                      <w:rPr>
                        <w:color w:val="000000"/>
                      </w:rPr>
                      <w:t xml:space="preserve"> </w:t>
                    </w:r>
                  </w:p>
                </w:txbxContent>
              </v:textbox>
            </v:rect>
            <v:rect id="_x0000_s1724" style="position:absolute;left:588;top:61;width:51;height:240;mso-wrap-style:none" filled="f" stroked="f">
              <v:textbox style="mso-next-textbox:#_x0000_s1724;mso-fit-shape-to-text:t" inset="0,0,0,0">
                <w:txbxContent>
                  <w:p w:rsidR="00A905B7" w:rsidRPr="00394B99" w:rsidRDefault="00A905B7">
                    <w:r w:rsidRPr="00394B99">
                      <w:rPr>
                        <w:color w:val="000000"/>
                      </w:rPr>
                      <w:t xml:space="preserve"> </w:t>
                    </w:r>
                  </w:p>
                </w:txbxContent>
              </v:textbox>
            </v:rect>
            <v:rect id="_x0000_s1725" style="position:absolute;left:237;top:186;width:312;height:240;mso-wrap-style:none" filled="f" stroked="f">
              <v:textbox style="mso-next-textbox:#_x0000_s1725;mso-fit-shape-to-text:t" inset="0,0,0,0">
                <w:txbxContent>
                  <w:p w:rsidR="00A905B7" w:rsidRPr="00394B99" w:rsidRDefault="00A905B7">
                    <w:r w:rsidRPr="00394B99">
                      <w:rPr>
                        <w:color w:val="000000"/>
                      </w:rPr>
                      <w:t>Gas</w:t>
                    </w:r>
                  </w:p>
                </w:txbxContent>
              </v:textbox>
            </v:rect>
            <v:rect id="_x0000_s1726" style="position:absolute;left:33;top:61;width:178;height:240;mso-wrap-style:none" filled="f" stroked="f">
              <v:textbox style="mso-next-textbox:#_x0000_s1726;mso-fit-shape-to-text:t" inset="0,0,0,0">
                <w:txbxContent>
                  <w:p w:rsidR="00A905B7" w:rsidRPr="00394B99" w:rsidRDefault="00A905B7">
                    <w:r w:rsidRPr="00394B99">
                      <w:rPr>
                        <w:color w:val="000000"/>
                      </w:rPr>
                      <w:t>M</w:t>
                    </w:r>
                  </w:p>
                </w:txbxContent>
              </v:textbox>
            </v:rect>
            <v:rect id="_x0000_s1727" style="position:absolute;left:4111;top:37;width:110;height:245;mso-wrap-style:none" filled="f" stroked="f">
              <v:textbox style="mso-next-textbox:#_x0000_s1727;mso-fit-shape-to-text:t" inset="0,0,0,0">
                <w:txbxContent>
                  <w:p w:rsidR="00A905B7" w:rsidRPr="00394B99" w:rsidRDefault="00A905B7">
                    <w:r w:rsidRPr="00394B99">
                      <w:rPr>
                        <w:rFonts w:ascii="Symbol" w:hAnsi="Symbol" w:cs="Symbol"/>
                        <w:color w:val="000000"/>
                      </w:rPr>
                      <w:t></w:t>
                    </w:r>
                  </w:p>
                </w:txbxContent>
              </v:textbox>
            </v:rect>
            <v:rect id="_x0000_s1728" style="position:absolute;left:2541;top:37;width:110;height:245;mso-wrap-style:none" filled="f" stroked="f">
              <v:textbox style="mso-next-textbox:#_x0000_s1728;mso-fit-shape-to-text:t" inset="0,0,0,0">
                <w:txbxContent>
                  <w:p w:rsidR="00A905B7" w:rsidRPr="00394B99" w:rsidRDefault="00A905B7">
                    <w:r w:rsidRPr="00394B99">
                      <w:rPr>
                        <w:rFonts w:ascii="Symbol" w:hAnsi="Symbol" w:cs="Symbol"/>
                        <w:color w:val="000000"/>
                      </w:rPr>
                      <w:t></w:t>
                    </w:r>
                  </w:p>
                </w:txbxContent>
              </v:textbox>
            </v:rect>
            <v:rect id="_x0000_s1729" style="position:absolute;left:2129;top:37;width:110;height:245;mso-wrap-style:none" filled="f" stroked="f">
              <v:textbox style="mso-next-textbox:#_x0000_s1729;mso-fit-shape-to-text:t" inset="0,0,0,0">
                <w:txbxContent>
                  <w:p w:rsidR="00A905B7" w:rsidRPr="00394B99" w:rsidRDefault="00A905B7">
                    <w:r w:rsidRPr="00394B99">
                      <w:rPr>
                        <w:rFonts w:ascii="Symbol" w:hAnsi="Symbol" w:cs="Symbol"/>
                        <w:color w:val="000000"/>
                      </w:rPr>
                      <w:t></w:t>
                    </w:r>
                  </w:p>
                </w:txbxContent>
              </v:textbox>
            </v:rect>
            <v:rect id="_x0000_s1730" style="position:absolute;left:1100;top:37;width:110;height:245;mso-wrap-style:none" filled="f" stroked="f">
              <v:textbox style="mso-next-textbox:#_x0000_s1730;mso-fit-shape-to-text:t" inset="0,0,0,0">
                <w:txbxContent>
                  <w:p w:rsidR="00A905B7" w:rsidRPr="00394B99" w:rsidRDefault="00A905B7">
                    <w:r w:rsidRPr="00394B99">
                      <w:rPr>
                        <w:rFonts w:ascii="Symbol" w:hAnsi="Symbol" w:cs="Symbol"/>
                        <w:color w:val="000000"/>
                      </w:rPr>
                      <w:t></w:t>
                    </w:r>
                  </w:p>
                </w:txbxContent>
              </v:textbox>
            </v:rect>
            <v:rect id="_x0000_s1731" style="position:absolute;left:640;top:37;width:110;height:245;mso-wrap-style:none" filled="f" stroked="f">
              <v:textbox style="mso-next-textbox:#_x0000_s1731;mso-fit-shape-to-text:t" inset="0,0,0,0">
                <w:txbxContent>
                  <w:p w:rsidR="00A905B7" w:rsidRPr="00394B99" w:rsidRDefault="00A905B7">
                    <w:r w:rsidRPr="00394B99">
                      <w:rPr>
                        <w:rFonts w:ascii="Symbol" w:hAnsi="Symbol" w:cs="Symbol"/>
                        <w:color w:val="000000"/>
                      </w:rPr>
                      <w:t></w:t>
                    </w:r>
                  </w:p>
                </w:txbxContent>
              </v:textbox>
            </v:rect>
            <v:rect id="_x0000_s1732" style="position:absolute;left:4587;top:321;width:51;height:240;mso-wrap-style:none" filled="f" stroked="f">
              <v:textbox style="mso-next-textbox:#_x0000_s1732;mso-fit-shape-to-text:t" inset="0,0,0,0">
                <w:txbxContent>
                  <w:p w:rsidR="00A905B7" w:rsidRPr="00394B99" w:rsidRDefault="00A905B7">
                    <w:r w:rsidRPr="00394B99">
                      <w:rPr>
                        <w:color w:val="000000"/>
                      </w:rPr>
                      <w:t xml:space="preserve"> </w:t>
                    </w:r>
                  </w:p>
                </w:txbxContent>
              </v:textbox>
            </v:rect>
            <v:rect id="_x0000_s1733" style="position:absolute;left:4580;top:319;width:51;height:240;mso-wrap-style:none" filled="f" stroked="f">
              <v:textbox style="mso-next-textbox:#_x0000_s1733;mso-fit-shape-to-text:t" inset="0,0,0,0">
                <w:txbxContent>
                  <w:p w:rsidR="00A905B7" w:rsidRPr="00394B99" w:rsidRDefault="00A905B7">
                    <w:r w:rsidRPr="00394B99">
                      <w:rPr>
                        <w:color w:val="000000"/>
                      </w:rPr>
                      <w:t xml:space="preserve"> </w:t>
                    </w:r>
                  </w:p>
                </w:txbxContent>
              </v:textbox>
            </v:rect>
            <w10:wrap type="none"/>
            <w10:anchorlock/>
          </v:group>
        </w:pic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977"/>
        </w:tabs>
        <w:ind w:left="3261" w:hanging="2127"/>
        <w:rPr>
          <w:lang w:val="en-GB"/>
        </w:rPr>
      </w:pPr>
      <w:r w:rsidRPr="00B04DC3">
        <w:rPr>
          <w:lang w:val="en-GB"/>
        </w:rPr>
        <w:tab/>
        <w:t>n1</w:t>
      </w:r>
      <w:r w:rsidRPr="00B04DC3">
        <w:rPr>
          <w:lang w:val="en-GB"/>
        </w:rPr>
        <w:tab/>
        <w:t>=</w:t>
      </w:r>
      <w:r w:rsidRPr="00B04DC3">
        <w:rPr>
          <w:lang w:val="en-GB"/>
        </w:rPr>
        <w:tab/>
        <w:t>number of ETC tests between two regenerations</w:t>
      </w:r>
    </w:p>
    <w:p w:rsidR="00DA59A4" w:rsidRPr="00B04DC3" w:rsidRDefault="00DA59A4" w:rsidP="00DA59A4">
      <w:pPr>
        <w:pStyle w:val="para"/>
        <w:tabs>
          <w:tab w:val="left" w:pos="2268"/>
          <w:tab w:val="left" w:pos="2977"/>
        </w:tabs>
        <w:ind w:left="3261" w:hanging="2127"/>
        <w:rPr>
          <w:lang w:val="en-GB"/>
        </w:rPr>
      </w:pPr>
      <w:r w:rsidRPr="00B04DC3">
        <w:rPr>
          <w:lang w:val="en-GB"/>
        </w:rPr>
        <w:tab/>
        <w:t>n2</w:t>
      </w:r>
      <w:r w:rsidRPr="00B04DC3">
        <w:rPr>
          <w:lang w:val="en-GB"/>
        </w:rPr>
        <w:tab/>
        <w:t>=</w:t>
      </w:r>
      <w:r w:rsidRPr="00B04DC3">
        <w:rPr>
          <w:lang w:val="en-GB"/>
        </w:rPr>
        <w:tab/>
        <w:t>number of ETC during a regeneration (minimum of one ETC test)</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gas,n2</w:t>
      </w:r>
      <w:r w:rsidRPr="00B04DC3">
        <w:rPr>
          <w:lang w:val="en-GB"/>
        </w:rPr>
        <w:tab/>
        <w:t>=</w:t>
      </w:r>
      <w:r w:rsidRPr="00B04DC3">
        <w:rPr>
          <w:lang w:val="en-GB"/>
        </w:rPr>
        <w:tab/>
        <w:t>emissions during a regeneration</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gas,n1</w:t>
      </w:r>
      <w:r w:rsidRPr="00B04DC3">
        <w:rPr>
          <w:lang w:val="en-GB"/>
        </w:rPr>
        <w:tab/>
        <w:t>=</w:t>
      </w:r>
      <w:r w:rsidRPr="00B04DC3">
        <w:rPr>
          <w:lang w:val="en-GB"/>
        </w:rPr>
        <w:tab/>
        <w:t>emissions after a regeneration</w:t>
      </w:r>
    </w:p>
    <w:p w:rsidR="001448D0" w:rsidRPr="00B04DC3" w:rsidRDefault="001448D0" w:rsidP="001448D0">
      <w:pPr>
        <w:spacing w:after="120"/>
        <w:ind w:left="2268" w:right="1134" w:hanging="1134"/>
        <w:jc w:val="both"/>
      </w:pPr>
      <w:r w:rsidRPr="00B04DC3">
        <w:t>6.</w:t>
      </w:r>
      <w:r w:rsidRPr="00B04DC3">
        <w:tab/>
        <w:t>Calculation of the particulate emission (if applicable)</w:t>
      </w:r>
    </w:p>
    <w:p w:rsidR="001448D0" w:rsidRPr="00B04DC3" w:rsidRDefault="001448D0" w:rsidP="001448D0">
      <w:pPr>
        <w:pStyle w:val="para"/>
        <w:rPr>
          <w:lang w:val="en-GB"/>
        </w:rPr>
      </w:pPr>
      <w:r w:rsidRPr="00B04DC3">
        <w:rPr>
          <w:lang w:val="en-GB"/>
        </w:rPr>
        <w:tab/>
        <w:t>The calculation procedures as specified in Annex 4B as adapted in Appendix 4 to Annex 11 shall be used for dual-fuel engines operating in dual-fuel mode.</w:t>
      </w:r>
    </w:p>
    <w:p w:rsidR="00DA59A4" w:rsidRPr="00B04DC3" w:rsidRDefault="00DA59A4" w:rsidP="00DA59A4">
      <w:pPr>
        <w:pStyle w:val="para"/>
        <w:rPr>
          <w:lang w:val="en-GB"/>
        </w:rPr>
      </w:pPr>
      <w:r w:rsidRPr="00B04DC3">
        <w:rPr>
          <w:lang w:val="en-GB"/>
        </w:rPr>
        <w:t>6.1.</w:t>
      </w:r>
      <w:r w:rsidRPr="00B04DC3">
        <w:rPr>
          <w:lang w:val="en-GB"/>
        </w:rPr>
        <w:tab/>
        <w:t>Data evaluation</w:t>
      </w:r>
    </w:p>
    <w:p w:rsidR="00DA59A4" w:rsidRPr="00B04DC3" w:rsidRDefault="00DA59A4" w:rsidP="00DA59A4">
      <w:pPr>
        <w:pStyle w:val="para"/>
        <w:rPr>
          <w:lang w:val="en-GB"/>
        </w:rPr>
      </w:pPr>
      <w:r w:rsidRPr="00B04DC3">
        <w:rPr>
          <w:lang w:val="en-GB"/>
        </w:rPr>
        <w:tab/>
        <w:t>The particulate filter shall be returned to the weighing chamber no later than one hour after completion of the test. It shall be conditioned in a partially covered petri dish, which is protected against dust contamination, for at least one hour, but not more than 80 hours, and then weighed. The gross weight of the filters shall be recorded and the tare weight subtracted, which results in the particulate sample mass m</w:t>
      </w:r>
      <w:r w:rsidRPr="00B04DC3">
        <w:rPr>
          <w:vertAlign w:val="subscript"/>
          <w:lang w:val="en-GB"/>
        </w:rPr>
        <w:t>f</w:t>
      </w:r>
      <w:r w:rsidRPr="00B04DC3">
        <w:rPr>
          <w:lang w:val="en-GB"/>
        </w:rPr>
        <w:t>. For the evaluation of the particulate concentration, the total sample mass (m</w:t>
      </w:r>
      <w:r w:rsidRPr="00B04DC3">
        <w:rPr>
          <w:vertAlign w:val="subscript"/>
          <w:lang w:val="en-GB"/>
        </w:rPr>
        <w:t>sep</w:t>
      </w:r>
      <w:r w:rsidRPr="00B04DC3">
        <w:rPr>
          <w:lang w:val="en-GB"/>
        </w:rPr>
        <w:t>) through the filters over the test cycle shall be recorded.</w:t>
      </w:r>
    </w:p>
    <w:p w:rsidR="00DA59A4" w:rsidRPr="00B04DC3" w:rsidRDefault="00DA59A4" w:rsidP="00DA59A4">
      <w:pPr>
        <w:pStyle w:val="para"/>
        <w:rPr>
          <w:lang w:val="en-GB"/>
        </w:rPr>
      </w:pPr>
      <w:r w:rsidRPr="00B04DC3">
        <w:rPr>
          <w:lang w:val="en-GB"/>
        </w:rPr>
        <w:tab/>
        <w:t>If background correction is to be applied, the diluent mass (m</w:t>
      </w:r>
      <w:r w:rsidRPr="00B04DC3">
        <w:rPr>
          <w:vertAlign w:val="subscript"/>
          <w:lang w:val="en-GB"/>
        </w:rPr>
        <w:t>d</w:t>
      </w:r>
      <w:r w:rsidRPr="00B04DC3">
        <w:rPr>
          <w:lang w:val="en-GB"/>
        </w:rPr>
        <w:t>) through the filter and the particulate mass (m</w:t>
      </w:r>
      <w:r w:rsidRPr="00B04DC3">
        <w:rPr>
          <w:vertAlign w:val="subscript"/>
          <w:lang w:val="en-GB"/>
        </w:rPr>
        <w:t>f, d</w:t>
      </w:r>
      <w:r w:rsidRPr="00B04DC3">
        <w:rPr>
          <w:lang w:val="en-GB"/>
        </w:rPr>
        <w:t>) shall be recorded.</w:t>
      </w:r>
    </w:p>
    <w:p w:rsidR="00DA59A4" w:rsidRPr="00B04DC3" w:rsidRDefault="00DA59A4" w:rsidP="00DA59A4">
      <w:pPr>
        <w:pStyle w:val="para"/>
        <w:rPr>
          <w:lang w:val="en-GB"/>
        </w:rPr>
      </w:pPr>
      <w:r w:rsidRPr="00B04DC3">
        <w:rPr>
          <w:lang w:val="en-GB"/>
        </w:rPr>
        <w:t>6.2.</w:t>
      </w:r>
      <w:r w:rsidRPr="00B04DC3">
        <w:rPr>
          <w:lang w:val="en-GB"/>
        </w:rPr>
        <w:tab/>
        <w:t>Calculation of the mass flow</w:t>
      </w:r>
    </w:p>
    <w:p w:rsidR="00DA59A4" w:rsidRPr="00B04DC3" w:rsidRDefault="00DA59A4" w:rsidP="00DA59A4">
      <w:pPr>
        <w:pStyle w:val="para"/>
        <w:rPr>
          <w:lang w:val="en-GB"/>
        </w:rPr>
      </w:pPr>
      <w:r w:rsidRPr="00B04DC3">
        <w:rPr>
          <w:lang w:val="en-GB"/>
        </w:rPr>
        <w:t>6.2.1.</w:t>
      </w:r>
      <w:r w:rsidRPr="00B04DC3">
        <w:rPr>
          <w:lang w:val="en-GB"/>
        </w:rPr>
        <w:tab/>
        <w:t>Full flow dilution system</w:t>
      </w:r>
    </w:p>
    <w:p w:rsidR="00DA59A4" w:rsidRPr="00B04DC3" w:rsidRDefault="00DA59A4" w:rsidP="00DA59A4">
      <w:pPr>
        <w:pStyle w:val="para"/>
        <w:rPr>
          <w:lang w:val="en-GB"/>
        </w:rPr>
      </w:pPr>
      <w:r w:rsidRPr="00B04DC3">
        <w:rPr>
          <w:lang w:val="en-GB"/>
        </w:rPr>
        <w:tab/>
        <w:t>The particulate mass (g/test) shall be calculated as follows:</w:t>
      </w:r>
    </w:p>
    <w:p w:rsidR="00DA59A4" w:rsidRPr="00B04DC3" w:rsidRDefault="000F40CF" w:rsidP="00DA59A4">
      <w:pPr>
        <w:pStyle w:val="para"/>
        <w:ind w:firstLine="0"/>
        <w:rPr>
          <w:lang w:val="en-GB"/>
        </w:rPr>
      </w:pPr>
      <w:r w:rsidRPr="00B04DC3">
        <w:rPr>
          <w:position w:val="-32"/>
          <w:lang w:val="en-GB"/>
        </w:rPr>
        <w:object w:dxaOrig="2000" w:dyaOrig="700">
          <v:shape id="_x0000_i1157" type="#_x0000_t75" style="width:79.2pt;height:26.4pt" o:ole="">
            <v:imagedata r:id="rId247" o:title=""/>
          </v:shape>
          <o:OLEObject Type="Embed" ProgID="Equation.3" ShapeID="_x0000_i1157" DrawAspect="Content" ObjectID="_1498392304" r:id="rId248"/>
        </w:objec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f</w:t>
      </w:r>
      <w:r w:rsidRPr="00B04DC3">
        <w:rPr>
          <w:lang w:val="en-GB"/>
        </w:rPr>
        <w:tab/>
        <w:t>=</w:t>
      </w:r>
      <w:r w:rsidRPr="00B04DC3">
        <w:rPr>
          <w:lang w:val="en-GB"/>
        </w:rPr>
        <w:tab/>
        <w:t>particulate mass sampled over the cycle, mg</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sep</w:t>
      </w:r>
      <w:r w:rsidRPr="00B04DC3">
        <w:rPr>
          <w:lang w:val="en-GB"/>
        </w:rPr>
        <w:tab/>
        <w:t>=</w:t>
      </w:r>
      <w:r w:rsidRPr="00B04DC3">
        <w:rPr>
          <w:lang w:val="en-GB"/>
        </w:rPr>
        <w:tab/>
        <w:t>mass of diluted exhaust gas passing the particulate collection filters, kg</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ed</w:t>
      </w:r>
      <w:r w:rsidRPr="00B04DC3">
        <w:rPr>
          <w:lang w:val="en-GB"/>
        </w:rPr>
        <w:tab/>
        <w:t>=</w:t>
      </w:r>
      <w:r w:rsidRPr="00B04DC3">
        <w:rPr>
          <w:lang w:val="en-GB"/>
        </w:rPr>
        <w:tab/>
        <w:t>mass of diluted exhaust gas over the cycle, kg</w:t>
      </w:r>
    </w:p>
    <w:p w:rsidR="00DA59A4" w:rsidRPr="00B04DC3" w:rsidRDefault="00DA59A4" w:rsidP="00DA59A4">
      <w:pPr>
        <w:pStyle w:val="para"/>
        <w:rPr>
          <w:lang w:val="en-GB"/>
        </w:rPr>
      </w:pPr>
      <w:r w:rsidRPr="00B04DC3">
        <w:rPr>
          <w:lang w:val="en-GB"/>
        </w:rPr>
        <w:tab/>
        <w:t>If a double dilution system is used, the mass of the secondary diluent shall be subtracted from the total mass of the double diluted exhaust gas sampled through the particulate filters.</w:t>
      </w:r>
    </w:p>
    <w:p w:rsidR="00DA59A4" w:rsidRPr="00B04DC3" w:rsidRDefault="00DA59A4" w:rsidP="00DA59A4">
      <w:pPr>
        <w:pStyle w:val="para"/>
        <w:rPr>
          <w:lang w:val="en-GB"/>
        </w:rPr>
      </w:pPr>
      <w:r w:rsidRPr="00B04DC3">
        <w:rPr>
          <w:lang w:val="en-GB"/>
        </w:rPr>
        <w:tab/>
      </w:r>
      <w:r w:rsidRPr="00B04DC3">
        <w:rPr>
          <w:lang w:val="en-GB"/>
        </w:rPr>
        <w:tab/>
        <w:t>m</w:t>
      </w:r>
      <w:r w:rsidRPr="00B04DC3">
        <w:rPr>
          <w:vertAlign w:val="subscript"/>
          <w:lang w:val="en-GB"/>
        </w:rPr>
        <w:t>sep</w:t>
      </w:r>
      <w:r w:rsidRPr="00B04DC3">
        <w:rPr>
          <w:lang w:val="en-GB"/>
        </w:rPr>
        <w:tab/>
        <w:t>=</w:t>
      </w:r>
      <w:r w:rsidRPr="00B04DC3">
        <w:rPr>
          <w:lang w:val="en-GB"/>
        </w:rPr>
        <w:tab/>
        <w:t>m</w:t>
      </w:r>
      <w:r w:rsidRPr="00B04DC3">
        <w:rPr>
          <w:vertAlign w:val="subscript"/>
          <w:lang w:val="en-GB"/>
        </w:rPr>
        <w:t>set</w:t>
      </w:r>
      <w:r w:rsidRPr="00B04DC3">
        <w:rPr>
          <w:lang w:val="en-GB"/>
        </w:rPr>
        <w:t xml:space="preserve"> - m</w:t>
      </w:r>
      <w:r w:rsidRPr="00B04DC3">
        <w:rPr>
          <w:vertAlign w:val="subscript"/>
          <w:lang w:val="en-GB"/>
        </w:rPr>
        <w:t>ssd</w: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set</w:t>
      </w:r>
      <w:r w:rsidRPr="00B04DC3">
        <w:rPr>
          <w:lang w:val="en-GB"/>
        </w:rPr>
        <w:tab/>
        <w:t>=</w:t>
      </w:r>
      <w:r w:rsidRPr="00B04DC3">
        <w:rPr>
          <w:lang w:val="en-GB"/>
        </w:rPr>
        <w:tab/>
        <w:t>mass of double diluted exhaust gas through particulate filter, kg</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ssd</w:t>
      </w:r>
      <w:r w:rsidRPr="00B04DC3">
        <w:rPr>
          <w:lang w:val="en-GB"/>
        </w:rPr>
        <w:tab/>
        <w:t>=</w:t>
      </w:r>
      <w:r w:rsidRPr="00B04DC3">
        <w:rPr>
          <w:lang w:val="en-GB"/>
        </w:rPr>
        <w:tab/>
        <w:t>mass of secondary diluent, kg</w:t>
      </w:r>
    </w:p>
    <w:p w:rsidR="00DA59A4" w:rsidRPr="00B04DC3" w:rsidRDefault="00DA59A4" w:rsidP="00DA59A4">
      <w:pPr>
        <w:pStyle w:val="para"/>
        <w:rPr>
          <w:lang w:val="en-GB"/>
        </w:rPr>
      </w:pPr>
      <w:r w:rsidRPr="00B04DC3">
        <w:rPr>
          <w:lang w:val="en-GB"/>
        </w:rPr>
        <w:tab/>
        <w:t>If the particulate background level of the diluent is determined in accordance with paragraph 3.4.</w:t>
      </w:r>
      <w:r w:rsidR="00710050">
        <w:rPr>
          <w:lang w:val="en-GB"/>
        </w:rPr>
        <w:t xml:space="preserve"> of this appendix</w:t>
      </w:r>
      <w:r w:rsidRPr="00B04DC3">
        <w:rPr>
          <w:lang w:val="en-GB"/>
        </w:rPr>
        <w:t>, the particulate mass may be background corrected. In this case, the particulate mass (g/test) shall be calculated as follows:</w:t>
      </w:r>
    </w:p>
    <w:p w:rsidR="00DA59A4" w:rsidRPr="00B04DC3" w:rsidRDefault="00DA59A4" w:rsidP="00DA59A4">
      <w:pPr>
        <w:pStyle w:val="para"/>
        <w:rPr>
          <w:lang w:val="en-GB"/>
        </w:rPr>
      </w:pPr>
      <w:r w:rsidRPr="00B04DC3">
        <w:rPr>
          <w:lang w:val="en-GB"/>
        </w:rPr>
        <w:tab/>
      </w:r>
      <w:r w:rsidRPr="00B04DC3">
        <w:rPr>
          <w:lang w:val="en-GB"/>
        </w:rPr>
        <w:tab/>
        <w:t>m</w:t>
      </w:r>
      <w:r w:rsidRPr="00B04DC3">
        <w:rPr>
          <w:vertAlign w:val="subscript"/>
          <w:lang w:val="en-GB"/>
        </w:rPr>
        <w:t>PT</w:t>
      </w:r>
      <w:r w:rsidRPr="00B04DC3">
        <w:rPr>
          <w:lang w:val="en-GB"/>
        </w:rPr>
        <w:t xml:space="preserve"> = </w:t>
      </w:r>
      <w:r w:rsidRPr="00B04DC3">
        <w:rPr>
          <w:position w:val="-30"/>
          <w:lang w:val="en-GB"/>
        </w:rPr>
        <w:object w:dxaOrig="3180" w:dyaOrig="720">
          <v:shape id="_x0000_i1158" type="#_x0000_t75" style="width:141.6pt;height:32.4pt" o:ole="" fillcolor="window">
            <v:imagedata r:id="rId249" o:title=""/>
          </v:shape>
          <o:OLEObject Type="Embed" ProgID="Equation.3" ShapeID="_x0000_i1158" DrawAspect="Content" ObjectID="_1498392305" r:id="rId250"/>
        </w:objec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268"/>
          <w:tab w:val="left" w:pos="2977"/>
        </w:tabs>
        <w:ind w:left="3261" w:hanging="2127"/>
        <w:rPr>
          <w:lang w:val="en-GB"/>
        </w:rPr>
      </w:pPr>
      <w:r w:rsidRPr="00B04DC3">
        <w:rPr>
          <w:lang w:val="en-GB"/>
        </w:rPr>
        <w:tab/>
        <w:t>m</w:t>
      </w:r>
      <w:r w:rsidRPr="00B04DC3">
        <w:rPr>
          <w:vertAlign w:val="subscript"/>
          <w:lang w:val="en-GB"/>
        </w:rPr>
        <w:t>PT</w:t>
      </w:r>
      <w:r w:rsidRPr="00B04DC3">
        <w:rPr>
          <w:lang w:val="en-GB"/>
        </w:rPr>
        <w:t>, m</w:t>
      </w:r>
      <w:r w:rsidRPr="00B04DC3">
        <w:rPr>
          <w:vertAlign w:val="subscript"/>
          <w:lang w:val="en-GB"/>
        </w:rPr>
        <w:t>sep</w:t>
      </w:r>
      <w:r w:rsidRPr="00B04DC3">
        <w:rPr>
          <w:lang w:val="en-GB"/>
        </w:rPr>
        <w:t>, m</w:t>
      </w:r>
      <w:r w:rsidRPr="00B04DC3">
        <w:rPr>
          <w:vertAlign w:val="subscript"/>
          <w:lang w:val="en-GB"/>
        </w:rPr>
        <w:t>ed</w:t>
      </w:r>
      <w:r w:rsidRPr="00B04DC3">
        <w:rPr>
          <w:lang w:val="en-GB"/>
        </w:rPr>
        <w:tab/>
        <w:t xml:space="preserve"> :</w:t>
      </w:r>
      <w:r w:rsidRPr="00B04DC3">
        <w:rPr>
          <w:vertAlign w:val="subscript"/>
          <w:lang w:val="en-GB"/>
        </w:rPr>
        <w:t xml:space="preserve"> </w:t>
      </w:r>
      <w:r w:rsidRPr="00B04DC3">
        <w:rPr>
          <w:lang w:val="en-GB"/>
        </w:rPr>
        <w:t>see above</w:t>
      </w:r>
    </w:p>
    <w:p w:rsidR="00DA59A4" w:rsidRPr="00B04DC3" w:rsidRDefault="00DA59A4" w:rsidP="00DA59A4">
      <w:pPr>
        <w:pStyle w:val="para"/>
        <w:tabs>
          <w:tab w:val="left" w:pos="2268"/>
          <w:tab w:val="left" w:pos="2835"/>
        </w:tabs>
        <w:ind w:left="3119" w:hanging="1985"/>
        <w:rPr>
          <w:lang w:val="en-GB"/>
        </w:rPr>
      </w:pPr>
      <w:r w:rsidRPr="00B04DC3">
        <w:rPr>
          <w:lang w:val="en-GB"/>
        </w:rPr>
        <w:tab/>
        <w:t>m</w:t>
      </w:r>
      <w:r w:rsidRPr="00B04DC3">
        <w:rPr>
          <w:vertAlign w:val="subscript"/>
          <w:lang w:val="en-GB"/>
        </w:rPr>
        <w:t>d</w:t>
      </w:r>
      <w:r w:rsidRPr="00B04DC3">
        <w:rPr>
          <w:lang w:val="en-GB"/>
        </w:rPr>
        <w:tab/>
        <w:t>=</w:t>
      </w:r>
      <w:r w:rsidRPr="00B04DC3">
        <w:rPr>
          <w:lang w:val="en-GB"/>
        </w:rPr>
        <w:tab/>
        <w:t>mass of primary diluent sampled by background particulate sampler, kg</w:t>
      </w:r>
    </w:p>
    <w:p w:rsidR="00DA59A4" w:rsidRPr="00B04DC3" w:rsidRDefault="00DA59A4" w:rsidP="00DA59A4">
      <w:pPr>
        <w:pStyle w:val="para"/>
        <w:tabs>
          <w:tab w:val="left" w:pos="2268"/>
          <w:tab w:val="left" w:pos="2835"/>
        </w:tabs>
        <w:ind w:left="3119" w:hanging="1985"/>
        <w:rPr>
          <w:lang w:val="en-GB"/>
        </w:rPr>
      </w:pPr>
      <w:r w:rsidRPr="00B04DC3">
        <w:rPr>
          <w:lang w:val="en-GB"/>
        </w:rPr>
        <w:tab/>
        <w:t>m</w:t>
      </w:r>
      <w:r w:rsidRPr="00B04DC3">
        <w:rPr>
          <w:vertAlign w:val="subscript"/>
          <w:lang w:val="en-GB"/>
        </w:rPr>
        <w:t>f,d</w:t>
      </w:r>
      <w:r w:rsidRPr="00B04DC3">
        <w:rPr>
          <w:lang w:val="en-GB"/>
        </w:rPr>
        <w:tab/>
        <w:t>=</w:t>
      </w:r>
      <w:r w:rsidRPr="00B04DC3">
        <w:rPr>
          <w:lang w:val="en-GB"/>
        </w:rPr>
        <w:tab/>
        <w:t>mass of the collected background particulates of the primary diluent, mg</w:t>
      </w:r>
    </w:p>
    <w:p w:rsidR="00DA59A4" w:rsidRPr="00B04DC3" w:rsidRDefault="00DA59A4" w:rsidP="00DA59A4">
      <w:pPr>
        <w:pStyle w:val="para"/>
        <w:tabs>
          <w:tab w:val="left" w:pos="2268"/>
          <w:tab w:val="left" w:pos="2835"/>
        </w:tabs>
        <w:ind w:left="3119" w:hanging="1985"/>
        <w:rPr>
          <w:lang w:val="en-GB"/>
        </w:rPr>
      </w:pPr>
      <w:r w:rsidRPr="00B04DC3">
        <w:rPr>
          <w:lang w:val="en-GB"/>
        </w:rPr>
        <w:tab/>
        <w:t>D</w:t>
      </w:r>
      <w:r w:rsidRPr="00B04DC3">
        <w:rPr>
          <w:lang w:val="en-GB"/>
        </w:rPr>
        <w:tab/>
        <w:t>=</w:t>
      </w:r>
      <w:r w:rsidRPr="00B04DC3">
        <w:rPr>
          <w:lang w:val="en-GB"/>
        </w:rPr>
        <w:tab/>
        <w:t>dilution factor as determined in paragraph 5.4.1.</w:t>
      </w:r>
      <w:r w:rsidR="00710050" w:rsidRPr="00710050">
        <w:rPr>
          <w:lang w:val="en-GB"/>
        </w:rPr>
        <w:t xml:space="preserve"> </w:t>
      </w:r>
      <w:r w:rsidR="00710050">
        <w:rPr>
          <w:lang w:val="en-GB"/>
        </w:rPr>
        <w:t>of this appendix</w:t>
      </w:r>
    </w:p>
    <w:p w:rsidR="00DA59A4" w:rsidRPr="00B04DC3" w:rsidRDefault="00DA59A4" w:rsidP="00DA59A4">
      <w:pPr>
        <w:pStyle w:val="para"/>
        <w:rPr>
          <w:lang w:val="en-GB"/>
        </w:rPr>
      </w:pPr>
      <w:r w:rsidRPr="00B04DC3">
        <w:rPr>
          <w:lang w:val="en-GB"/>
        </w:rPr>
        <w:t>6.2.2.</w:t>
      </w:r>
      <w:r w:rsidRPr="00B04DC3">
        <w:rPr>
          <w:lang w:val="en-GB"/>
        </w:rPr>
        <w:tab/>
        <w:t>Partial flow dilution system</w:t>
      </w:r>
    </w:p>
    <w:p w:rsidR="00DA59A4" w:rsidRPr="00B04DC3" w:rsidRDefault="00DA59A4" w:rsidP="00DA59A4">
      <w:pPr>
        <w:pStyle w:val="para"/>
        <w:rPr>
          <w:lang w:val="en-GB"/>
        </w:rPr>
      </w:pPr>
      <w:r w:rsidRPr="00B04DC3">
        <w:rPr>
          <w:lang w:val="en-GB"/>
        </w:rPr>
        <w:tab/>
        <w:t>The mass of particulates (g/test) shall be calculated by either of the following methods:</w:t>
      </w:r>
    </w:p>
    <w:p w:rsidR="00DA59A4" w:rsidRPr="00B04DC3" w:rsidRDefault="00DA59A4" w:rsidP="00DA59A4">
      <w:pPr>
        <w:pStyle w:val="para"/>
        <w:rPr>
          <w:lang w:val="en-GB"/>
        </w:rPr>
      </w:pPr>
      <w:r w:rsidRPr="00B04DC3">
        <w:rPr>
          <w:lang w:val="en-GB"/>
        </w:rPr>
        <w:tab/>
        <w:t>(a)</w:t>
      </w:r>
      <w:r w:rsidRPr="00B04DC3">
        <w:rPr>
          <w:lang w:val="en-GB"/>
        </w:rPr>
        <w:tab/>
        <w:t>m</w:t>
      </w:r>
      <w:r w:rsidRPr="00B04DC3">
        <w:rPr>
          <w:vertAlign w:val="subscript"/>
          <w:lang w:val="en-GB"/>
        </w:rPr>
        <w:t xml:space="preserve">PT </w:t>
      </w:r>
      <w:r w:rsidRPr="00B04DC3">
        <w:rPr>
          <w:lang w:val="en-GB"/>
        </w:rPr>
        <w:t xml:space="preserve">=  </w:t>
      </w:r>
      <w:r w:rsidRPr="00B04DC3">
        <w:rPr>
          <w:position w:val="-32"/>
          <w:lang w:val="en-GB"/>
        </w:rPr>
        <w:object w:dxaOrig="1160" w:dyaOrig="700">
          <v:shape id="_x0000_i1159" type="#_x0000_t75" style="width:57.6pt;height:35.4pt" o:ole="" fillcolor="window">
            <v:imagedata r:id="rId251" o:title=""/>
          </v:shape>
          <o:OLEObject Type="Embed" ProgID="Equation.3" ShapeID="_x0000_i1159" DrawAspect="Content" ObjectID="_1498392306" r:id="rId252"/>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f</w:t>
      </w:r>
      <w:r w:rsidRPr="00B04DC3">
        <w:rPr>
          <w:lang w:val="en-GB"/>
        </w:rPr>
        <w:tab/>
        <w:t>=</w:t>
      </w:r>
      <w:r w:rsidRPr="00B04DC3">
        <w:rPr>
          <w:lang w:val="en-GB"/>
        </w:rPr>
        <w:tab/>
        <w:t>particulate mass sampled over the cycle, mg</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sep</w:t>
      </w:r>
      <w:r w:rsidRPr="00B04DC3">
        <w:rPr>
          <w:lang w:val="en-GB"/>
        </w:rPr>
        <w:tab/>
        <w:t>=</w:t>
      </w:r>
      <w:r w:rsidRPr="00B04DC3">
        <w:rPr>
          <w:lang w:val="en-GB"/>
        </w:rPr>
        <w:tab/>
        <w:t>mass of diluted exhaust gas passing the particulate collection filters, kg</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edf</w:t>
      </w:r>
      <w:r w:rsidRPr="00B04DC3">
        <w:rPr>
          <w:lang w:val="en-GB"/>
        </w:rPr>
        <w:tab/>
        <w:t>=</w:t>
      </w:r>
      <w:r w:rsidRPr="00B04DC3">
        <w:rPr>
          <w:lang w:val="en-GB"/>
        </w:rPr>
        <w:tab/>
        <w:t>mass of equivalent diluted exhaust gas over the cycle, kg</w:t>
      </w:r>
    </w:p>
    <w:p w:rsidR="00DA59A4" w:rsidRPr="00B04DC3" w:rsidRDefault="00DA59A4" w:rsidP="00DA59A4">
      <w:pPr>
        <w:pStyle w:val="para"/>
        <w:ind w:left="2835" w:hanging="1701"/>
        <w:rPr>
          <w:lang w:val="en-GB"/>
        </w:rPr>
      </w:pPr>
      <w:r w:rsidRPr="00B04DC3">
        <w:rPr>
          <w:lang w:val="en-GB"/>
        </w:rPr>
        <w:tab/>
      </w:r>
      <w:r w:rsidRPr="00B04DC3">
        <w:rPr>
          <w:lang w:val="en-GB"/>
        </w:rPr>
        <w:tab/>
        <w:t>The total mass of equivalent diluted exhaust gas mass over the cycle shall be determined as follows:</w:t>
      </w:r>
    </w:p>
    <w:p w:rsidR="00DA59A4" w:rsidRPr="00B04DC3" w:rsidRDefault="00DA59A4" w:rsidP="00DA59A4">
      <w:pPr>
        <w:pStyle w:val="para"/>
        <w:spacing w:after="240"/>
        <w:rPr>
          <w:lang w:val="en-GB"/>
        </w:rPr>
      </w:pPr>
      <w:r w:rsidRPr="00B04DC3">
        <w:rPr>
          <w:lang w:val="en-GB"/>
        </w:rPr>
        <w:tab/>
      </w:r>
      <w:r w:rsidRPr="00B04DC3">
        <w:rPr>
          <w:lang w:val="en-GB"/>
        </w:rPr>
        <w:tab/>
      </w:r>
      <w:r w:rsidRPr="00B04DC3">
        <w:rPr>
          <w:lang w:val="en-GB"/>
        </w:rPr>
        <w:tab/>
        <w:t>m</w:t>
      </w:r>
      <w:r w:rsidRPr="00B04DC3">
        <w:rPr>
          <w:vertAlign w:val="subscript"/>
          <w:lang w:val="en-GB"/>
        </w:rPr>
        <w:t>edf</w:t>
      </w:r>
      <w:r w:rsidRPr="00B04DC3">
        <w:rPr>
          <w:lang w:val="en-GB"/>
        </w:rPr>
        <w:tab/>
        <w:t xml:space="preserve">= </w:t>
      </w:r>
      <w:r w:rsidRPr="00B04DC3">
        <w:rPr>
          <w:position w:val="-28"/>
          <w:lang w:val="en-GB"/>
        </w:rPr>
        <w:object w:dxaOrig="1240" w:dyaOrig="680">
          <v:shape id="_x0000_i1160" type="#_x0000_t75" style="width:62.4pt;height:33.6pt" o:ole="" fillcolor="window">
            <v:imagedata r:id="rId253" o:title=""/>
          </v:shape>
          <o:OLEObject Type="Embed" ProgID="Equation.3" ShapeID="_x0000_i1160" DrawAspect="Content" ObjectID="_1498392307" r:id="rId254"/>
        </w:object>
      </w:r>
    </w:p>
    <w:p w:rsidR="00DA59A4" w:rsidRPr="00B04DC3" w:rsidRDefault="00DA59A4" w:rsidP="00DA59A4">
      <w:pPr>
        <w:pStyle w:val="para"/>
        <w:spacing w:after="240"/>
        <w:rPr>
          <w:lang w:val="en-GB"/>
        </w:rPr>
      </w:pPr>
      <w:r w:rsidRPr="00B04DC3">
        <w:rPr>
          <w:lang w:val="en-GB"/>
        </w:rPr>
        <w:tab/>
      </w:r>
      <w:r w:rsidRPr="00B04DC3">
        <w:rPr>
          <w:lang w:val="en-GB"/>
        </w:rPr>
        <w:tab/>
      </w:r>
      <w:r w:rsidRPr="00B04DC3">
        <w:rPr>
          <w:lang w:val="en-GB"/>
        </w:rPr>
        <w:tab/>
        <w:t>q</w:t>
      </w:r>
      <w:r w:rsidRPr="00B04DC3">
        <w:rPr>
          <w:vertAlign w:val="subscript"/>
          <w:lang w:val="en-GB"/>
        </w:rPr>
        <w:t>medf,i</w:t>
      </w:r>
      <w:r w:rsidRPr="00B04DC3">
        <w:rPr>
          <w:lang w:val="en-GB"/>
        </w:rPr>
        <w:tab/>
        <w:t>= q</w:t>
      </w:r>
      <w:r w:rsidRPr="00B04DC3">
        <w:rPr>
          <w:vertAlign w:val="subscript"/>
          <w:lang w:val="en-GB"/>
        </w:rPr>
        <w:t>mew,i</w:t>
      </w:r>
      <w:r w:rsidRPr="00B04DC3">
        <w:rPr>
          <w:lang w:val="en-GB"/>
        </w:rPr>
        <w:t xml:space="preserve"> </w:t>
      </w:r>
      <w:r w:rsidRPr="00B04DC3">
        <w:rPr>
          <w:rFonts w:ascii="Arial" w:hAnsi="Arial" w:cs="Arial"/>
          <w:lang w:val="en-GB"/>
        </w:rPr>
        <w:t>x</w:t>
      </w:r>
      <w:r w:rsidRPr="00B04DC3">
        <w:rPr>
          <w:lang w:val="en-GB"/>
        </w:rPr>
        <w:t xml:space="preserve"> r</w:t>
      </w:r>
      <w:r w:rsidRPr="00B04DC3">
        <w:rPr>
          <w:vertAlign w:val="subscript"/>
          <w:lang w:val="en-GB"/>
        </w:rPr>
        <w:t>d,i</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t>r</w:t>
      </w:r>
      <w:r w:rsidRPr="00B04DC3">
        <w:rPr>
          <w:vertAlign w:val="subscript"/>
          <w:lang w:val="en-GB"/>
        </w:rPr>
        <w:t>d,i</w:t>
      </w:r>
      <w:r w:rsidRPr="00B04DC3">
        <w:rPr>
          <w:lang w:val="en-GB"/>
        </w:rPr>
        <w:tab/>
        <w:t xml:space="preserve">= </w:t>
      </w:r>
      <w:r w:rsidRPr="00B04DC3">
        <w:rPr>
          <w:position w:val="-34"/>
          <w:lang w:val="en-GB"/>
        </w:rPr>
        <w:object w:dxaOrig="1560" w:dyaOrig="740">
          <v:shape id="_x0000_i1161" type="#_x0000_t75" style="width:78pt;height:36.6pt" o:ole="" fillcolor="window">
            <v:imagedata r:id="rId255" o:title=""/>
          </v:shape>
          <o:OLEObject Type="Embed" ProgID="Equation.3" ShapeID="_x0000_i1161" DrawAspect="Content" ObjectID="_1498392308" r:id="rId256"/>
        </w:objec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835"/>
          <w:tab w:val="left" w:pos="3402"/>
        </w:tabs>
        <w:ind w:left="3686" w:hanging="2552"/>
        <w:rPr>
          <w:lang w:val="en-GB"/>
        </w:rPr>
      </w:pPr>
      <w:r w:rsidRPr="00B04DC3">
        <w:rPr>
          <w:lang w:val="en-GB"/>
        </w:rPr>
        <w:tab/>
        <w:t>q</w:t>
      </w:r>
      <w:r w:rsidRPr="00B04DC3">
        <w:rPr>
          <w:vertAlign w:val="subscript"/>
          <w:lang w:val="en-GB"/>
        </w:rPr>
        <w:t>medf,i</w:t>
      </w:r>
      <w:r w:rsidRPr="00B04DC3">
        <w:rPr>
          <w:lang w:val="en-GB"/>
        </w:rPr>
        <w:tab/>
        <w:t>=</w:t>
      </w:r>
      <w:r w:rsidRPr="00B04DC3">
        <w:rPr>
          <w:lang w:val="en-GB"/>
        </w:rPr>
        <w:tab/>
        <w:t>instantaneous equivalent diluted exhaust mass flow rate, kg/s</w:t>
      </w:r>
    </w:p>
    <w:p w:rsidR="00DA59A4" w:rsidRPr="00B04DC3" w:rsidRDefault="00DA59A4" w:rsidP="00DA59A4">
      <w:pPr>
        <w:pStyle w:val="para"/>
        <w:tabs>
          <w:tab w:val="left" w:pos="2835"/>
          <w:tab w:val="left" w:pos="3402"/>
        </w:tabs>
        <w:ind w:left="3686" w:hanging="2552"/>
        <w:rPr>
          <w:lang w:val="en-GB"/>
        </w:rPr>
      </w:pPr>
      <w:r w:rsidRPr="00B04DC3">
        <w:rPr>
          <w:lang w:val="en-GB"/>
        </w:rPr>
        <w:tab/>
        <w:t>q</w:t>
      </w:r>
      <w:r w:rsidRPr="00B04DC3">
        <w:rPr>
          <w:vertAlign w:val="subscript"/>
          <w:lang w:val="en-GB"/>
        </w:rPr>
        <w:t>mew,i</w:t>
      </w:r>
      <w:r w:rsidRPr="00B04DC3">
        <w:rPr>
          <w:lang w:val="en-GB"/>
        </w:rPr>
        <w:tab/>
        <w:t>=</w:t>
      </w:r>
      <w:r w:rsidRPr="00B04DC3">
        <w:rPr>
          <w:lang w:val="en-GB"/>
        </w:rPr>
        <w:tab/>
        <w:t>instantaneous exhaust mass flow rate, kg/s</w:t>
      </w:r>
    </w:p>
    <w:p w:rsidR="00DA59A4" w:rsidRPr="00B04DC3" w:rsidRDefault="00DA59A4" w:rsidP="00DA59A4">
      <w:pPr>
        <w:pStyle w:val="para"/>
        <w:tabs>
          <w:tab w:val="left" w:pos="2835"/>
          <w:tab w:val="left" w:pos="3402"/>
        </w:tabs>
        <w:ind w:left="3686" w:hanging="2552"/>
        <w:rPr>
          <w:lang w:val="en-GB"/>
        </w:rPr>
      </w:pPr>
      <w:r w:rsidRPr="00B04DC3">
        <w:rPr>
          <w:lang w:val="en-GB"/>
        </w:rPr>
        <w:tab/>
        <w:t>r</w:t>
      </w:r>
      <w:r w:rsidRPr="00B04DC3">
        <w:rPr>
          <w:vertAlign w:val="subscript"/>
          <w:lang w:val="en-GB"/>
        </w:rPr>
        <w:t>d,i</w:t>
      </w:r>
      <w:r w:rsidRPr="00B04DC3">
        <w:rPr>
          <w:lang w:val="en-GB"/>
        </w:rPr>
        <w:tab/>
        <w:t>=</w:t>
      </w:r>
      <w:r w:rsidRPr="00B04DC3">
        <w:rPr>
          <w:lang w:val="en-GB"/>
        </w:rPr>
        <w:tab/>
        <w:t>instantaneous dilution ratio</w:t>
      </w:r>
    </w:p>
    <w:p w:rsidR="00DA59A4" w:rsidRPr="00B04DC3" w:rsidRDefault="00DA59A4" w:rsidP="00DA59A4">
      <w:pPr>
        <w:pStyle w:val="para"/>
        <w:tabs>
          <w:tab w:val="left" w:pos="2835"/>
          <w:tab w:val="left" w:pos="3402"/>
        </w:tabs>
        <w:ind w:left="3686" w:hanging="2552"/>
        <w:rPr>
          <w:lang w:val="en-GB"/>
        </w:rPr>
      </w:pPr>
      <w:r w:rsidRPr="00B04DC3">
        <w:rPr>
          <w:lang w:val="en-GB"/>
        </w:rPr>
        <w:tab/>
        <w:t>q</w:t>
      </w:r>
      <w:r w:rsidRPr="00B04DC3">
        <w:rPr>
          <w:vertAlign w:val="subscript"/>
          <w:lang w:val="en-GB"/>
        </w:rPr>
        <w:t>mdew,i</w:t>
      </w:r>
      <w:r w:rsidRPr="00B04DC3">
        <w:rPr>
          <w:lang w:val="en-GB"/>
        </w:rPr>
        <w:tab/>
        <w:t>=</w:t>
      </w:r>
      <w:r w:rsidRPr="00B04DC3">
        <w:rPr>
          <w:lang w:val="en-GB"/>
        </w:rPr>
        <w:tab/>
        <w:t>instantaneous diluted exhaust mass flow rate through dilution tunnel, kg/s</w:t>
      </w:r>
    </w:p>
    <w:p w:rsidR="00DA59A4" w:rsidRPr="00B04DC3" w:rsidRDefault="00DA59A4" w:rsidP="00DA59A4">
      <w:pPr>
        <w:pStyle w:val="para"/>
        <w:tabs>
          <w:tab w:val="left" w:pos="2835"/>
          <w:tab w:val="left" w:pos="3402"/>
        </w:tabs>
        <w:ind w:left="3686" w:hanging="2552"/>
        <w:rPr>
          <w:lang w:val="en-GB"/>
        </w:rPr>
      </w:pPr>
      <w:r w:rsidRPr="00B04DC3">
        <w:rPr>
          <w:lang w:val="en-GB"/>
        </w:rPr>
        <w:tab/>
        <w:t>q</w:t>
      </w:r>
      <w:r w:rsidRPr="00B04DC3">
        <w:rPr>
          <w:vertAlign w:val="subscript"/>
          <w:lang w:val="en-GB"/>
        </w:rPr>
        <w:t>mdw,i</w:t>
      </w:r>
      <w:r w:rsidRPr="00B04DC3">
        <w:rPr>
          <w:lang w:val="en-GB"/>
        </w:rPr>
        <w:tab/>
        <w:t>=</w:t>
      </w:r>
      <w:r w:rsidRPr="00B04DC3">
        <w:rPr>
          <w:lang w:val="en-GB"/>
        </w:rPr>
        <w:tab/>
        <w:t>instantaneous diluent mass flow rate, kg/s</w:t>
      </w:r>
    </w:p>
    <w:p w:rsidR="00DA59A4" w:rsidRPr="00B04DC3" w:rsidRDefault="00DA59A4" w:rsidP="00DA59A4">
      <w:pPr>
        <w:pStyle w:val="para"/>
        <w:tabs>
          <w:tab w:val="left" w:pos="2835"/>
          <w:tab w:val="left" w:pos="3402"/>
        </w:tabs>
        <w:ind w:left="3686" w:hanging="2552"/>
        <w:rPr>
          <w:lang w:val="en-GB"/>
        </w:rPr>
      </w:pPr>
      <w:r w:rsidRPr="00B04DC3">
        <w:rPr>
          <w:lang w:val="en-GB"/>
        </w:rPr>
        <w:tab/>
        <w:t>f</w:t>
      </w:r>
      <w:r w:rsidRPr="00B04DC3">
        <w:rPr>
          <w:lang w:val="en-GB"/>
        </w:rPr>
        <w:tab/>
        <w:t>=</w:t>
      </w:r>
      <w:r w:rsidRPr="00B04DC3">
        <w:rPr>
          <w:lang w:val="en-GB"/>
        </w:rPr>
        <w:tab/>
        <w:t>data sampling rate, Hz</w:t>
      </w:r>
    </w:p>
    <w:p w:rsidR="00DA59A4" w:rsidRPr="00B04DC3" w:rsidRDefault="00DA59A4" w:rsidP="00DA59A4">
      <w:pPr>
        <w:pStyle w:val="para"/>
        <w:tabs>
          <w:tab w:val="left" w:pos="2835"/>
          <w:tab w:val="left" w:pos="3402"/>
        </w:tabs>
        <w:ind w:left="3686" w:hanging="2552"/>
        <w:rPr>
          <w:lang w:val="en-GB"/>
        </w:rPr>
      </w:pPr>
      <w:r w:rsidRPr="00B04DC3">
        <w:rPr>
          <w:lang w:val="en-GB"/>
        </w:rPr>
        <w:tab/>
        <w:t>n</w:t>
      </w:r>
      <w:r w:rsidRPr="00B04DC3">
        <w:rPr>
          <w:lang w:val="en-GB"/>
        </w:rPr>
        <w:tab/>
        <w:t>=</w:t>
      </w:r>
      <w:r w:rsidRPr="00B04DC3">
        <w:rPr>
          <w:lang w:val="en-GB"/>
        </w:rPr>
        <w:tab/>
        <w:t>number of measurements</w:t>
      </w:r>
    </w:p>
    <w:p w:rsidR="00DA59A4" w:rsidRPr="00B04DC3" w:rsidRDefault="00DA59A4" w:rsidP="00DA59A4">
      <w:pPr>
        <w:pStyle w:val="para"/>
        <w:rPr>
          <w:lang w:val="en-GB"/>
        </w:rPr>
      </w:pPr>
      <w:r w:rsidRPr="00B04DC3">
        <w:rPr>
          <w:lang w:val="en-GB"/>
        </w:rPr>
        <w:tab/>
        <w:t>(b)</w:t>
      </w:r>
      <w:r w:rsidRPr="00B04DC3">
        <w:rPr>
          <w:szCs w:val="24"/>
          <w:lang w:val="en-GB"/>
        </w:rPr>
        <w:tab/>
        <w:t>m</w:t>
      </w:r>
      <w:r w:rsidRPr="00B04DC3">
        <w:rPr>
          <w:szCs w:val="24"/>
          <w:vertAlign w:val="subscript"/>
          <w:lang w:val="en-GB"/>
        </w:rPr>
        <w:t>PT</w:t>
      </w:r>
      <w:r w:rsidRPr="00B04DC3">
        <w:rPr>
          <w:szCs w:val="24"/>
          <w:lang w:val="en-GB"/>
        </w:rPr>
        <w:t xml:space="preserve"> = m</w:t>
      </w:r>
      <w:r w:rsidRPr="00B04DC3">
        <w:rPr>
          <w:szCs w:val="24"/>
          <w:vertAlign w:val="subscript"/>
          <w:lang w:val="en-GB"/>
        </w:rPr>
        <w:t>f</w:t>
      </w:r>
      <w:r w:rsidRPr="00B04DC3">
        <w:rPr>
          <w:szCs w:val="24"/>
          <w:lang w:val="en-GB"/>
        </w:rPr>
        <w:t xml:space="preserve"> / (r</w:t>
      </w:r>
      <w:r w:rsidRPr="00B04DC3">
        <w:rPr>
          <w:szCs w:val="24"/>
          <w:vertAlign w:val="subscript"/>
          <w:lang w:val="en-GB"/>
        </w:rPr>
        <w:t>s</w:t>
      </w:r>
      <w:r w:rsidRPr="00B04DC3">
        <w:rPr>
          <w:szCs w:val="24"/>
          <w:lang w:val="en-GB"/>
        </w:rPr>
        <w:t xml:space="preserve"> </w:t>
      </w:r>
      <w:r w:rsidRPr="00B04DC3">
        <w:rPr>
          <w:rFonts w:ascii="Arial" w:hAnsi="Arial" w:cs="Arial"/>
          <w:lang w:val="en-GB"/>
        </w:rPr>
        <w:t>x</w:t>
      </w:r>
      <w:r w:rsidRPr="00B04DC3">
        <w:rPr>
          <w:szCs w:val="24"/>
          <w:lang w:val="en-GB"/>
        </w:rPr>
        <w:t xml:space="preserve"> 1,000)</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f</w:t>
      </w:r>
      <w:r w:rsidRPr="00B04DC3">
        <w:rPr>
          <w:lang w:val="en-GB"/>
        </w:rPr>
        <w:tab/>
        <w:t>=</w:t>
      </w:r>
      <w:r w:rsidRPr="00B04DC3">
        <w:rPr>
          <w:lang w:val="en-GB"/>
        </w:rPr>
        <w:tab/>
        <w:t>particulate mass sampled over the cycle, mg</w:t>
      </w:r>
    </w:p>
    <w:p w:rsidR="00DA59A4" w:rsidRPr="00B04DC3" w:rsidRDefault="00DA59A4" w:rsidP="00DA59A4">
      <w:pPr>
        <w:pStyle w:val="para"/>
        <w:tabs>
          <w:tab w:val="left" w:pos="2835"/>
          <w:tab w:val="left" w:pos="3402"/>
        </w:tabs>
        <w:ind w:left="3686" w:hanging="2552"/>
        <w:rPr>
          <w:lang w:val="en-GB"/>
        </w:rPr>
      </w:pPr>
      <w:r w:rsidRPr="00B04DC3">
        <w:rPr>
          <w:lang w:val="en-GB"/>
        </w:rPr>
        <w:tab/>
        <w:t>r</w:t>
      </w:r>
      <w:r w:rsidRPr="00B04DC3">
        <w:rPr>
          <w:vertAlign w:val="subscript"/>
          <w:lang w:val="en-GB"/>
        </w:rPr>
        <w:t>s</w:t>
      </w:r>
      <w:r w:rsidRPr="00B04DC3">
        <w:rPr>
          <w:lang w:val="en-GB"/>
        </w:rPr>
        <w:tab/>
        <w:t>=</w:t>
      </w:r>
      <w:r w:rsidRPr="00B04DC3">
        <w:rPr>
          <w:vertAlign w:val="subscript"/>
          <w:lang w:val="en-GB"/>
        </w:rPr>
        <w:tab/>
      </w:r>
      <w:r w:rsidRPr="00B04DC3">
        <w:rPr>
          <w:lang w:val="en-GB"/>
        </w:rPr>
        <w:t>average sample ratio over the test cycle</w:t>
      </w:r>
    </w:p>
    <w:p w:rsidR="00DA59A4" w:rsidRPr="00B04DC3" w:rsidRDefault="00DA59A4" w:rsidP="00DA59A4">
      <w:pPr>
        <w:pStyle w:val="para"/>
        <w:rPr>
          <w:lang w:val="en-GB"/>
        </w:rPr>
      </w:pPr>
      <w:r w:rsidRPr="00B04DC3">
        <w:rPr>
          <w:lang w:val="en-GB"/>
        </w:rPr>
        <w:tab/>
      </w:r>
      <w:r w:rsidRPr="00B04DC3">
        <w:rPr>
          <w:lang w:val="en-GB"/>
        </w:rPr>
        <w:tab/>
      </w:r>
      <w:r w:rsidRPr="00B04DC3">
        <w:rPr>
          <w:lang w:val="en-GB"/>
        </w:rPr>
        <w:tab/>
      </w:r>
      <w:r w:rsidR="009105AC" w:rsidRPr="00B04DC3">
        <w:rPr>
          <w:lang w:val="en-GB"/>
        </w:rPr>
        <w:t>With</w:t>
      </w:r>
      <w:r w:rsidRPr="00B04DC3">
        <w:rPr>
          <w:lang w:val="en-GB"/>
        </w:rPr>
        <w:t>:</w:t>
      </w:r>
    </w:p>
    <w:p w:rsidR="00DA59A4" w:rsidRPr="00B04DC3" w:rsidRDefault="00DA59A4" w:rsidP="00DA59A4">
      <w:pPr>
        <w:pStyle w:val="para"/>
        <w:tabs>
          <w:tab w:val="left" w:pos="2268"/>
          <w:tab w:val="left" w:pos="2835"/>
        </w:tabs>
        <w:ind w:left="3119" w:hanging="1985"/>
        <w:rPr>
          <w:lang w:val="en-GB"/>
        </w:rPr>
      </w:pPr>
      <w:r w:rsidRPr="00B04DC3">
        <w:rPr>
          <w:lang w:val="en-GB"/>
        </w:rPr>
        <w:tab/>
      </w:r>
      <w:r w:rsidRPr="00B04DC3">
        <w:rPr>
          <w:lang w:val="en-GB"/>
        </w:rPr>
        <w:tab/>
        <w:t>r</w:t>
      </w:r>
      <w:r w:rsidRPr="00B04DC3">
        <w:rPr>
          <w:vertAlign w:val="subscript"/>
          <w:lang w:val="en-GB"/>
        </w:rPr>
        <w:t>s</w:t>
      </w:r>
      <w:r w:rsidRPr="00B04DC3">
        <w:rPr>
          <w:vertAlign w:val="subscript"/>
          <w:lang w:val="en-GB"/>
        </w:rPr>
        <w:tab/>
      </w:r>
      <w:r w:rsidRPr="00B04DC3">
        <w:rPr>
          <w:lang w:val="en-GB"/>
        </w:rPr>
        <w:t>=</w:t>
      </w:r>
      <w:r w:rsidRPr="00B04DC3">
        <w:rPr>
          <w:b/>
          <w:lang w:val="en-GB"/>
        </w:rPr>
        <w:tab/>
      </w:r>
      <w:r w:rsidRPr="00B04DC3">
        <w:rPr>
          <w:b/>
          <w:position w:val="-30"/>
          <w:lang w:val="en-GB"/>
        </w:rPr>
        <w:object w:dxaOrig="1140" w:dyaOrig="700">
          <v:shape id="_x0000_i1162" type="#_x0000_t75" style="width:47.4pt;height:29.4pt" o:ole="" fillcolor="window">
            <v:imagedata r:id="rId257" o:title=""/>
          </v:shape>
          <o:OLEObject Type="Embed" ProgID="Equation.3" ShapeID="_x0000_i1162" DrawAspect="Content" ObjectID="_1498392309" r:id="rId258"/>
        </w:object>
      </w:r>
    </w:p>
    <w:p w:rsidR="00DA59A4" w:rsidRPr="00B04DC3" w:rsidRDefault="00DA59A4" w:rsidP="00AA0E48">
      <w:pPr>
        <w:pStyle w:val="para"/>
        <w:keepNext/>
        <w:rPr>
          <w:lang w:val="en-GB"/>
        </w:rPr>
      </w:pPr>
      <w:r w:rsidRPr="00B04DC3">
        <w:rPr>
          <w:lang w:val="en-GB"/>
        </w:rPr>
        <w:tab/>
      </w:r>
      <w:r w:rsidRPr="00B04DC3">
        <w:rPr>
          <w:lang w:val="en-GB"/>
        </w:rPr>
        <w:tab/>
      </w:r>
      <w:r w:rsidRPr="00B04DC3">
        <w:rPr>
          <w:lang w:val="en-GB"/>
        </w:rPr>
        <w:tab/>
      </w:r>
      <w:r w:rsidR="009105AC" w:rsidRPr="00B04DC3">
        <w:rPr>
          <w:lang w:val="en-GB"/>
        </w:rPr>
        <w:t>Where</w:t>
      </w:r>
      <w:r w:rsidRPr="00B04DC3">
        <w:rPr>
          <w:lang w:val="en-GB"/>
        </w:rPr>
        <w:t>:</w:t>
      </w:r>
    </w:p>
    <w:p w:rsidR="00DA59A4" w:rsidRPr="00B04DC3" w:rsidRDefault="00DA59A4" w:rsidP="00AA0E48">
      <w:pPr>
        <w:pStyle w:val="para"/>
        <w:keepNext/>
        <w:tabs>
          <w:tab w:val="left" w:pos="2835"/>
          <w:tab w:val="left" w:pos="3402"/>
        </w:tabs>
        <w:ind w:left="3686" w:hanging="2552"/>
        <w:rPr>
          <w:lang w:val="en-GB"/>
        </w:rPr>
      </w:pPr>
      <w:r w:rsidRPr="00B04DC3">
        <w:rPr>
          <w:lang w:val="en-GB"/>
        </w:rPr>
        <w:tab/>
        <w:t>m</w:t>
      </w:r>
      <w:r w:rsidRPr="00B04DC3">
        <w:rPr>
          <w:vertAlign w:val="subscript"/>
          <w:lang w:val="en-GB"/>
        </w:rPr>
        <w:t>se</w:t>
      </w:r>
      <w:r w:rsidRPr="00B04DC3">
        <w:rPr>
          <w:lang w:val="en-GB"/>
        </w:rPr>
        <w:tab/>
        <w:t>=</w:t>
      </w:r>
      <w:r w:rsidRPr="00B04DC3">
        <w:rPr>
          <w:lang w:val="en-GB"/>
        </w:rPr>
        <w:tab/>
        <w:t>sample mass over the cycle, kg</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ew</w:t>
      </w:r>
      <w:r w:rsidRPr="00B04DC3">
        <w:rPr>
          <w:vertAlign w:val="subscript"/>
          <w:lang w:val="en-GB"/>
        </w:rPr>
        <w:tab/>
      </w:r>
      <w:r w:rsidRPr="00B04DC3">
        <w:rPr>
          <w:lang w:val="en-GB"/>
        </w:rPr>
        <w:t>=</w:t>
      </w:r>
      <w:r w:rsidRPr="00B04DC3">
        <w:rPr>
          <w:lang w:val="en-GB"/>
        </w:rPr>
        <w:tab/>
        <w:t>total exhaust mass flow over the cycle, kg</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sep</w:t>
      </w:r>
      <w:r w:rsidRPr="00B04DC3">
        <w:rPr>
          <w:vertAlign w:val="subscript"/>
          <w:lang w:val="en-GB"/>
        </w:rPr>
        <w:tab/>
      </w:r>
      <w:r w:rsidRPr="00B04DC3">
        <w:rPr>
          <w:lang w:val="en-GB"/>
        </w:rPr>
        <w:t>=</w:t>
      </w:r>
      <w:r w:rsidRPr="00B04DC3">
        <w:rPr>
          <w:lang w:val="en-GB"/>
        </w:rPr>
        <w:tab/>
        <w:t>mass of diluted exhaust gas passing the particulate collection filters, kg</w:t>
      </w:r>
    </w:p>
    <w:p w:rsidR="00DA59A4" w:rsidRPr="00B04DC3" w:rsidRDefault="00DA59A4" w:rsidP="00DA59A4">
      <w:pPr>
        <w:pStyle w:val="para"/>
        <w:tabs>
          <w:tab w:val="left" w:pos="2835"/>
          <w:tab w:val="left" w:pos="3402"/>
        </w:tabs>
        <w:ind w:left="3686" w:hanging="2552"/>
        <w:rPr>
          <w:lang w:val="en-GB"/>
        </w:rPr>
      </w:pPr>
      <w:r w:rsidRPr="00B04DC3">
        <w:rPr>
          <w:lang w:val="en-GB"/>
        </w:rPr>
        <w:tab/>
        <w:t>m</w:t>
      </w:r>
      <w:r w:rsidRPr="00B04DC3">
        <w:rPr>
          <w:vertAlign w:val="subscript"/>
          <w:lang w:val="en-GB"/>
        </w:rPr>
        <w:t>sed</w:t>
      </w:r>
      <w:r w:rsidRPr="00B04DC3">
        <w:rPr>
          <w:vertAlign w:val="subscript"/>
          <w:lang w:val="en-GB"/>
        </w:rPr>
        <w:tab/>
      </w:r>
      <w:r w:rsidRPr="00B04DC3">
        <w:rPr>
          <w:lang w:val="en-GB"/>
        </w:rPr>
        <w:t>=</w:t>
      </w:r>
      <w:r w:rsidRPr="00B04DC3">
        <w:rPr>
          <w:lang w:val="en-GB"/>
        </w:rPr>
        <w:tab/>
        <w:t>mass of diluted exhaust gas passing the dilution tunnel, kg</w:t>
      </w:r>
    </w:p>
    <w:p w:rsidR="00DA59A4" w:rsidRPr="00B04DC3" w:rsidRDefault="00DA59A4" w:rsidP="00DA59A4">
      <w:pPr>
        <w:pStyle w:val="para"/>
        <w:ind w:firstLine="0"/>
        <w:rPr>
          <w:lang w:val="en-GB"/>
        </w:rPr>
      </w:pPr>
      <w:r w:rsidRPr="00B04DC3">
        <w:rPr>
          <w:i/>
          <w:lang w:val="en-GB"/>
        </w:rPr>
        <w:t>Note:</w:t>
      </w:r>
      <w:r w:rsidRPr="00B04DC3">
        <w:rPr>
          <w:lang w:val="en-GB"/>
        </w:rPr>
        <w:tab/>
        <w:t>In case of the total sampling type system, m</w:t>
      </w:r>
      <w:r w:rsidRPr="00B04DC3">
        <w:rPr>
          <w:vertAlign w:val="subscript"/>
          <w:lang w:val="en-GB"/>
        </w:rPr>
        <w:t>sep</w:t>
      </w:r>
      <w:r w:rsidRPr="00B04DC3">
        <w:rPr>
          <w:lang w:val="en-GB"/>
        </w:rPr>
        <w:t xml:space="preserve"> and M</w:t>
      </w:r>
      <w:r w:rsidRPr="00B04DC3">
        <w:rPr>
          <w:vertAlign w:val="subscript"/>
          <w:lang w:val="en-GB"/>
        </w:rPr>
        <w:t>sed</w:t>
      </w:r>
      <w:r w:rsidRPr="00B04DC3">
        <w:rPr>
          <w:lang w:val="en-GB"/>
        </w:rPr>
        <w:t xml:space="preserve"> are identical.</w:t>
      </w:r>
    </w:p>
    <w:p w:rsidR="00DA59A4" w:rsidRPr="00B04DC3" w:rsidRDefault="00DA59A4" w:rsidP="00DA59A4">
      <w:pPr>
        <w:pStyle w:val="para"/>
        <w:rPr>
          <w:lang w:val="en-GB"/>
        </w:rPr>
      </w:pPr>
      <w:r w:rsidRPr="00B04DC3">
        <w:rPr>
          <w:lang w:val="en-GB"/>
        </w:rPr>
        <w:t>6.3.</w:t>
      </w:r>
      <w:r w:rsidRPr="00B04DC3">
        <w:rPr>
          <w:lang w:val="en-GB"/>
        </w:rPr>
        <w:tab/>
        <w:t xml:space="preserve">Calculation of the </w:t>
      </w:r>
      <w:r w:rsidR="00710050">
        <w:rPr>
          <w:lang w:val="en-GB"/>
        </w:rPr>
        <w:t>s</w:t>
      </w:r>
      <w:r w:rsidR="00710050" w:rsidRPr="00B04DC3">
        <w:rPr>
          <w:lang w:val="en-GB"/>
        </w:rPr>
        <w:t xml:space="preserve">pecific </w:t>
      </w:r>
      <w:r w:rsidR="00710050">
        <w:rPr>
          <w:lang w:val="en-GB"/>
        </w:rPr>
        <w:t>e</w:t>
      </w:r>
      <w:r w:rsidR="00710050" w:rsidRPr="00B04DC3">
        <w:rPr>
          <w:lang w:val="en-GB"/>
        </w:rPr>
        <w:t>mission</w:t>
      </w:r>
    </w:p>
    <w:p w:rsidR="00DA59A4" w:rsidRPr="00B04DC3" w:rsidRDefault="00DA59A4" w:rsidP="00DA59A4">
      <w:pPr>
        <w:pStyle w:val="para"/>
        <w:rPr>
          <w:lang w:val="en-GB"/>
        </w:rPr>
      </w:pPr>
      <w:r w:rsidRPr="00B04DC3">
        <w:rPr>
          <w:lang w:val="en-GB"/>
        </w:rPr>
        <w:tab/>
        <w:t>The particulate emission (g/kWh) shall be calculated in the following way:</w:t>
      </w:r>
    </w:p>
    <w:p w:rsidR="00DA59A4" w:rsidRPr="00B04DC3" w:rsidRDefault="00DA59A4" w:rsidP="00DA59A4">
      <w:pPr>
        <w:pStyle w:val="para"/>
        <w:rPr>
          <w:lang w:val="en-GB"/>
        </w:rPr>
      </w:pPr>
      <w:r w:rsidRPr="00B04DC3">
        <w:rPr>
          <w:lang w:val="en-GB"/>
        </w:rPr>
        <w:tab/>
      </w:r>
      <w:r w:rsidRPr="00B04DC3">
        <w:rPr>
          <w:lang w:val="en-GB"/>
        </w:rPr>
        <w:tab/>
      </w:r>
      <w:r w:rsidRPr="00B04DC3">
        <w:rPr>
          <w:position w:val="-30"/>
          <w:lang w:val="en-GB"/>
        </w:rPr>
        <w:object w:dxaOrig="1180" w:dyaOrig="680">
          <v:shape id="_x0000_i1163" type="#_x0000_t75" style="width:50.4pt;height:29.4pt" o:ole="">
            <v:imagedata r:id="rId259" o:title=""/>
          </v:shape>
          <o:OLEObject Type="Embed" ProgID="Equation.3" ShapeID="_x0000_i1163" DrawAspect="Content" ObjectID="_1498392310" r:id="rId260"/>
        </w:objec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rPr>
          <w:lang w:val="en-GB"/>
        </w:rPr>
      </w:pPr>
      <w:r w:rsidRPr="00B04DC3">
        <w:rPr>
          <w:lang w:val="en-GB"/>
        </w:rPr>
        <w:tab/>
      </w:r>
      <w:r w:rsidRPr="00B04DC3">
        <w:rPr>
          <w:lang w:val="en-GB"/>
        </w:rPr>
        <w:tab/>
        <w:t>W</w:t>
      </w:r>
      <w:r w:rsidRPr="00B04DC3">
        <w:rPr>
          <w:vertAlign w:val="subscript"/>
          <w:lang w:val="en-GB"/>
        </w:rPr>
        <w:t>act</w:t>
      </w:r>
      <w:r w:rsidRPr="00B04DC3">
        <w:rPr>
          <w:lang w:val="en-GB"/>
        </w:rPr>
        <w:tab/>
        <w:t xml:space="preserve">= </w:t>
      </w:r>
      <w:r w:rsidRPr="00B04DC3">
        <w:rPr>
          <w:spacing w:val="-2"/>
          <w:lang w:val="en-GB"/>
        </w:rPr>
        <w:t>actual cycle work as determined according to paragraph 3.9.2.</w:t>
      </w:r>
      <w:r w:rsidR="00710050" w:rsidRPr="00710050">
        <w:rPr>
          <w:lang w:val="en-GB"/>
        </w:rPr>
        <w:t xml:space="preserve"> </w:t>
      </w:r>
      <w:r w:rsidR="00710050">
        <w:rPr>
          <w:lang w:val="en-GB"/>
        </w:rPr>
        <w:t>of this appendix</w:t>
      </w:r>
      <w:r w:rsidRPr="00B04DC3">
        <w:rPr>
          <w:spacing w:val="-2"/>
          <w:lang w:val="en-GB"/>
        </w:rPr>
        <w:t>, kWh</w:t>
      </w:r>
    </w:p>
    <w:p w:rsidR="00DA59A4" w:rsidRPr="00B04DC3" w:rsidRDefault="00DA59A4" w:rsidP="00DA59A4">
      <w:pPr>
        <w:pStyle w:val="para"/>
        <w:rPr>
          <w:lang w:val="en-GB"/>
        </w:rPr>
      </w:pPr>
      <w:r w:rsidRPr="00B04DC3">
        <w:rPr>
          <w:lang w:val="en-GB"/>
        </w:rPr>
        <w:t>6.3.1</w:t>
      </w:r>
      <w:r w:rsidRPr="00B04DC3">
        <w:rPr>
          <w:lang w:val="en-GB"/>
        </w:rPr>
        <w:tab/>
        <w:t xml:space="preserve">In case of a periodic regeneration </w:t>
      </w:r>
      <w:r w:rsidR="006A75A0">
        <w:rPr>
          <w:lang w:val="en-GB"/>
        </w:rPr>
        <w:t>after-treatment</w:t>
      </w:r>
      <w:r w:rsidRPr="00B04DC3">
        <w:rPr>
          <w:lang w:val="en-GB"/>
        </w:rPr>
        <w:t xml:space="preserve"> system, the emissions shall be weighted as follows:</w:t>
      </w:r>
    </w:p>
    <w:p w:rsidR="00DA59A4" w:rsidRPr="00B04DC3" w:rsidRDefault="00A905B7" w:rsidP="00DA59A4">
      <w:pPr>
        <w:pStyle w:val="para"/>
        <w:ind w:firstLine="0"/>
        <w:rPr>
          <w:lang w:val="en-GB"/>
        </w:rPr>
      </w:pPr>
      <w:r>
        <w:rPr>
          <w:lang w:val="en-GB"/>
        </w:rPr>
      </w:r>
      <w:r>
        <w:rPr>
          <w:lang w:val="en-GB"/>
        </w:rPr>
        <w:pict>
          <v:group id="_x0000_s1734" editas="canvas" style="width:183.75pt;height:28.35pt;mso-position-horizontal-relative:char;mso-position-vertical-relative:line" coordsize="3675,567">
            <o:lock v:ext="edit" aspectratio="t"/>
            <v:shape id="_x0000_s1735" type="#_x0000_t75" style="position:absolute;width:3675;height:567" o:preferrelative="f">
              <v:fill o:detectmouseclick="t"/>
              <v:path o:extrusionok="t" o:connecttype="none"/>
              <o:lock v:ext="edit" text="t"/>
            </v:shape>
            <v:line id="_x0000_s1736" style="position:absolute" from="39,57" to="305,57" strokeweight=".5pt"/>
            <v:line id="_x0000_s1737" style="position:absolute" from="1016,57" to="1410,57" strokeweight=".5pt"/>
            <v:line id="_x0000_s1738" style="position:absolute" from="2071,57" to="2476,57" strokeweight=".5pt"/>
            <v:rect id="_x0000_s1739" style="position:absolute;left:3231;top:61;width:267;height:240;mso-wrap-style:none" filled="f" stroked="f">
              <v:textbox style="mso-next-textbox:#_x0000_s1739;mso-fit-shape-to-text:t" inset="0,0,0,0">
                <w:txbxContent>
                  <w:p w:rsidR="00A905B7" w:rsidRPr="007B37C8" w:rsidRDefault="00A905B7">
                    <w:r w:rsidRPr="007B37C8">
                      <w:rPr>
                        <w:color w:val="000000"/>
                      </w:rPr>
                      <w:t>n2)</w:t>
                    </w:r>
                  </w:p>
                </w:txbxContent>
              </v:textbox>
            </v:rect>
            <v:rect id="_x0000_s1740" style="position:absolute;left:2731;top:61;width:267;height:240;mso-wrap-style:none" filled="f" stroked="f">
              <v:textbox style="mso-next-textbox:#_x0000_s1740;mso-fit-shape-to-text:t" inset="0,0,0,0">
                <w:txbxContent>
                  <w:p w:rsidR="00A905B7" w:rsidRPr="007B37C8" w:rsidRDefault="00A905B7">
                    <w:r w:rsidRPr="007B37C8">
                      <w:rPr>
                        <w:color w:val="000000"/>
                      </w:rPr>
                      <w:t>(n1</w:t>
                    </w:r>
                  </w:p>
                </w:txbxContent>
              </v:textbox>
            </v:rect>
            <v:rect id="_x0000_s1741" style="position:absolute;left:2557;top:61;width:106;height:240;mso-wrap-style:none" filled="f" stroked="f">
              <v:textbox style="mso-next-textbox:#_x0000_s1741;mso-fit-shape-to-text:t" inset="0,0,0,0">
                <w:txbxContent>
                  <w:p w:rsidR="00A905B7" w:rsidRPr="007B37C8" w:rsidRDefault="00A905B7">
                    <w:r w:rsidRPr="007B37C8">
                      <w:rPr>
                        <w:color w:val="000000"/>
                      </w:rPr>
                      <w:t xml:space="preserve"> / </w:t>
                    </w:r>
                  </w:p>
                </w:txbxContent>
              </v:textbox>
            </v:rect>
            <v:rect id="_x0000_s1742" style="position:absolute;left:2488;top:61;width:67;height:240;mso-wrap-style:none" filled="f" stroked="f">
              <v:textbox style="mso-next-textbox:#_x0000_s1742;mso-fit-shape-to-text:t" inset="0,0,0,0">
                <w:txbxContent>
                  <w:p w:rsidR="00A905B7" w:rsidRPr="007B37C8" w:rsidRDefault="00A905B7">
                    <w:r w:rsidRPr="007B37C8">
                      <w:rPr>
                        <w:color w:val="000000"/>
                      </w:rPr>
                      <w:t>)</w:t>
                    </w:r>
                  </w:p>
                </w:txbxContent>
              </v:textbox>
            </v:rect>
            <v:rect id="_x0000_s1743" style="position:absolute;left:2067;top:61;width:234;height:240;mso-wrap-style:none" filled="f" stroked="f">
              <v:textbox style="mso-next-textbox:#_x0000_s1743;mso-fit-shape-to-text:t" inset="0,0,0,0">
                <w:txbxContent>
                  <w:p w:rsidR="00A905B7" w:rsidRPr="007B37C8" w:rsidRDefault="00A905B7">
                    <w:r w:rsidRPr="007B37C8">
                      <w:rPr>
                        <w:color w:val="000000"/>
                      </w:rPr>
                      <w:t>PT</w:t>
                    </w:r>
                  </w:p>
                </w:txbxContent>
              </v:textbox>
            </v:rect>
            <v:rect id="_x0000_s1744" style="position:absolute;left:2012;top:61;width:51;height:240;mso-wrap-style:none" filled="f" stroked="f">
              <v:textbox style="mso-next-textbox:#_x0000_s1744;mso-fit-shape-to-text:t" inset="0,0,0,0">
                <w:txbxContent>
                  <w:p w:rsidR="00A905B7" w:rsidRPr="007B37C8" w:rsidRDefault="00A905B7">
                    <w:r w:rsidRPr="007B37C8">
                      <w:rPr>
                        <w:color w:val="000000"/>
                      </w:rPr>
                      <w:t xml:space="preserve"> </w:t>
                    </w:r>
                  </w:p>
                </w:txbxContent>
              </v:textbox>
            </v:rect>
            <v:rect id="_x0000_s1745" style="position:absolute;left:1858;top:61;width:51;height:240;mso-wrap-style:none" filled="f" stroked="f">
              <v:textbox style="mso-next-textbox:#_x0000_s1745;mso-fit-shape-to-text:t" inset="0,0,0,0">
                <w:txbxContent>
                  <w:p w:rsidR="00A905B7" w:rsidRPr="007B37C8" w:rsidRDefault="00A905B7">
                    <w:r w:rsidRPr="007B37C8">
                      <w:rPr>
                        <w:color w:val="000000"/>
                      </w:rPr>
                      <w:t xml:space="preserve"> </w:t>
                    </w:r>
                  </w:p>
                </w:txbxContent>
              </v:textbox>
            </v:rect>
            <v:rect id="_x0000_s1746" style="position:absolute;left:1637;top:61;width:201;height:240;mso-wrap-style:none" filled="f" stroked="f">
              <v:textbox style="mso-next-textbox:#_x0000_s1746;mso-fit-shape-to-text:t" inset="0,0,0,0">
                <w:txbxContent>
                  <w:p w:rsidR="00A905B7" w:rsidRPr="007B37C8" w:rsidRDefault="00A905B7">
                    <w:r w:rsidRPr="007B37C8">
                      <w:rPr>
                        <w:color w:val="000000"/>
                      </w:rPr>
                      <w:t>n2</w:t>
                    </w:r>
                  </w:p>
                </w:txbxContent>
              </v:textbox>
            </v:rect>
            <v:rect id="_x0000_s1747" style="position:absolute;left:1582;top:61;width:51;height:240;mso-wrap-style:none" filled="f" stroked="f">
              <v:textbox style="mso-next-textbox:#_x0000_s1747;mso-fit-shape-to-text:t" inset="0,0,0,0">
                <w:txbxContent>
                  <w:p w:rsidR="00A905B7" w:rsidRPr="007B37C8" w:rsidRDefault="00A905B7">
                    <w:r w:rsidRPr="007B37C8">
                      <w:rPr>
                        <w:color w:val="000000"/>
                      </w:rPr>
                      <w:t xml:space="preserve"> </w:t>
                    </w:r>
                  </w:p>
                </w:txbxContent>
              </v:textbox>
            </v:rect>
            <v:rect id="_x0000_s1748" style="position:absolute;left:1013;top:61;width:234;height:240;mso-wrap-style:none" filled="f" stroked="f">
              <v:textbox style="mso-next-textbox:#_x0000_s1748;mso-fit-shape-to-text:t" inset="0,0,0,0">
                <w:txbxContent>
                  <w:p w:rsidR="00A905B7" w:rsidRPr="007B37C8" w:rsidRDefault="00A905B7">
                    <w:r w:rsidRPr="007B37C8">
                      <w:rPr>
                        <w:color w:val="000000"/>
                      </w:rPr>
                      <w:t>PT</w:t>
                    </w:r>
                  </w:p>
                </w:txbxContent>
              </v:textbox>
            </v:rect>
            <v:rect id="_x0000_s1749" style="position:absolute;left:811;top:61;width:51;height:240;mso-wrap-style:none" filled="f" stroked="f">
              <v:textbox style="mso-next-textbox:#_x0000_s1749;mso-fit-shape-to-text:t" inset="0,0,0,0">
                <w:txbxContent>
                  <w:p w:rsidR="00A905B7" w:rsidRPr="007B37C8" w:rsidRDefault="00A905B7">
                    <w:r w:rsidRPr="007B37C8">
                      <w:rPr>
                        <w:color w:val="000000"/>
                      </w:rPr>
                      <w:t xml:space="preserve"> </w:t>
                    </w:r>
                  </w:p>
                </w:txbxContent>
              </v:textbox>
            </v:rect>
            <v:rect id="_x0000_s1750" style="position:absolute;left:531;top:61;width:267;height:240;mso-wrap-style:none" filled="f" stroked="f">
              <v:textbox style="mso-next-textbox:#_x0000_s1750;mso-fit-shape-to-text:t" inset="0,0,0,0">
                <w:txbxContent>
                  <w:p w:rsidR="00A905B7" w:rsidRPr="007B37C8" w:rsidRDefault="00A905B7">
                    <w:r w:rsidRPr="007B37C8">
                      <w:rPr>
                        <w:color w:val="000000"/>
                      </w:rPr>
                      <w:t>(n1</w:t>
                    </w:r>
                  </w:p>
                </w:txbxContent>
              </v:textbox>
            </v:rect>
            <v:rect id="_x0000_s1751" style="position:absolute;left:480;top:61;width:51;height:240;mso-wrap-style:none" filled="f" stroked="f">
              <v:textbox style="mso-next-textbox:#_x0000_s1751;mso-fit-shape-to-text:t" inset="0,0,0,0">
                <w:txbxContent>
                  <w:p w:rsidR="00A905B7" w:rsidRPr="007B37C8" w:rsidRDefault="00A905B7">
                    <w:r w:rsidRPr="007B37C8">
                      <w:rPr>
                        <w:color w:val="000000"/>
                      </w:rPr>
                      <w:t xml:space="preserve"> </w:t>
                    </w:r>
                  </w:p>
                </w:txbxContent>
              </v:textbox>
            </v:rect>
            <v:rect id="_x0000_s1752" style="position:absolute;left:305;top:61;width:51;height:240;mso-wrap-style:none" filled="f" stroked="f">
              <v:textbox style="mso-next-textbox:#_x0000_s1752;mso-fit-shape-to-text:t" inset="0,0,0,0">
                <w:txbxContent>
                  <w:p w:rsidR="00A905B7" w:rsidRPr="007B37C8" w:rsidRDefault="00A905B7">
                    <w:r w:rsidRPr="007B37C8">
                      <w:rPr>
                        <w:color w:val="000000"/>
                      </w:rPr>
                      <w:t xml:space="preserve"> </w:t>
                    </w:r>
                  </w:p>
                </w:txbxContent>
              </v:textbox>
            </v:rect>
            <v:rect id="_x0000_s1753" style="position:absolute;left:36;top:61;width:234;height:240;mso-wrap-style:none" filled="f" stroked="f">
              <v:textbox style="mso-next-textbox:#_x0000_s1753;mso-fit-shape-to-text:t" inset="0,0,0,0">
                <w:txbxContent>
                  <w:p w:rsidR="00A905B7" w:rsidRPr="007B37C8" w:rsidRDefault="00A905B7">
                    <w:r w:rsidRPr="007B37C8">
                      <w:rPr>
                        <w:color w:val="000000"/>
                      </w:rPr>
                      <w:t>PT</w:t>
                    </w:r>
                  </w:p>
                </w:txbxContent>
              </v:textbox>
            </v:rect>
            <v:rect id="_x0000_s1754" style="position:absolute;left:2325;top:204;width:201;height:240;mso-wrap-style:none" filled="f" stroked="f">
              <v:textbox style="mso-next-textbox:#_x0000_s1754;mso-fit-shape-to-text:t" inset="0,0,0,0">
                <w:txbxContent>
                  <w:p w:rsidR="00A905B7" w:rsidRPr="007B37C8" w:rsidRDefault="00A905B7">
                    <w:r w:rsidRPr="007B37C8">
                      <w:rPr>
                        <w:color w:val="000000"/>
                      </w:rPr>
                      <w:t>n2</w:t>
                    </w:r>
                  </w:p>
                </w:txbxContent>
              </v:textbox>
            </v:rect>
            <v:rect id="_x0000_s1755" style="position:absolute;left:1271;top:204;width:201;height:240;mso-wrap-style:none" filled="f" stroked="f">
              <v:textbox style="mso-next-textbox:#_x0000_s1755;mso-fit-shape-to-text:t" inset="0,0,0,0">
                <w:txbxContent>
                  <w:p w:rsidR="00A905B7" w:rsidRPr="007B37C8" w:rsidRDefault="00A905B7">
                    <w:r w:rsidRPr="007B37C8">
                      <w:rPr>
                        <w:color w:val="000000"/>
                      </w:rPr>
                      <w:t>n1</w:t>
                    </w:r>
                  </w:p>
                </w:txbxContent>
              </v:textbox>
            </v:rect>
            <v:rect id="_x0000_s1756" style="position:absolute;left:3059;top:36;width:110;height:245;mso-wrap-style:none" filled="f" stroked="f">
              <v:textbox style="mso-next-textbox:#_x0000_s1756;mso-fit-shape-to-text:t" inset="0,0,0,0">
                <w:txbxContent>
                  <w:p w:rsidR="00A905B7" w:rsidRPr="007B37C8" w:rsidRDefault="00A905B7">
                    <w:r w:rsidRPr="007B37C8">
                      <w:rPr>
                        <w:rFonts w:ascii="Symbol" w:hAnsi="Symbol" w:cs="Symbol"/>
                        <w:color w:val="000000"/>
                      </w:rPr>
                      <w:t></w:t>
                    </w:r>
                  </w:p>
                </w:txbxContent>
              </v:textbox>
            </v:rect>
            <v:rect id="_x0000_s1757" style="position:absolute;left:1899;top:36;width:110;height:245;mso-wrap-style:none" filled="f" stroked="f">
              <v:textbox style="mso-next-textbox:#_x0000_s1757;mso-fit-shape-to-text:t" inset="0,0,0,0">
                <w:txbxContent>
                  <w:p w:rsidR="00A905B7" w:rsidRPr="007B37C8" w:rsidRDefault="00A905B7">
                    <w:r w:rsidRPr="007B37C8">
                      <w:rPr>
                        <w:rFonts w:ascii="Symbol" w:hAnsi="Symbol" w:cs="Symbol"/>
                        <w:color w:val="000000"/>
                      </w:rPr>
                      <w:t></w:t>
                    </w:r>
                  </w:p>
                </w:txbxContent>
              </v:textbox>
            </v:rect>
            <v:rect id="_x0000_s1758" style="position:absolute;left:1459;top:36;width:110;height:245;mso-wrap-style:none" filled="f" stroked="f">
              <v:textbox style="mso-next-textbox:#_x0000_s1758;mso-fit-shape-to-text:t" inset="0,0,0,0">
                <w:txbxContent>
                  <w:p w:rsidR="00A905B7" w:rsidRPr="007B37C8" w:rsidRDefault="00A905B7">
                    <w:r w:rsidRPr="007B37C8">
                      <w:rPr>
                        <w:rFonts w:ascii="Symbol" w:hAnsi="Symbol" w:cs="Symbol"/>
                        <w:color w:val="000000"/>
                      </w:rPr>
                      <w:t></w:t>
                    </w:r>
                  </w:p>
                </w:txbxContent>
              </v:textbox>
            </v:rect>
            <v:rect id="_x0000_s1759" style="position:absolute;left:850;top:36;width:110;height:245;mso-wrap-style:none" filled="f" stroked="f">
              <v:textbox style="mso-next-textbox:#_x0000_s1759;mso-fit-shape-to-text:t" inset="0,0,0,0">
                <w:txbxContent>
                  <w:p w:rsidR="00A905B7" w:rsidRPr="007B37C8" w:rsidRDefault="00A905B7">
                    <w:r w:rsidRPr="007B37C8">
                      <w:rPr>
                        <w:rFonts w:ascii="Symbol" w:hAnsi="Symbol" w:cs="Symbol"/>
                        <w:color w:val="000000"/>
                      </w:rPr>
                      <w:t></w:t>
                    </w:r>
                  </w:p>
                </w:txbxContent>
              </v:textbox>
            </v:rect>
            <v:rect id="_x0000_s1760" style="position:absolute;left:360;top:36;width:110;height:245;mso-wrap-style:none" filled="f" stroked="f">
              <v:textbox style="mso-next-textbox:#_x0000_s1760;mso-fit-shape-to-text:t" inset="0,0,0,0">
                <w:txbxContent>
                  <w:p w:rsidR="00A905B7" w:rsidRPr="007B37C8" w:rsidRDefault="00A905B7">
                    <w:r w:rsidRPr="007B37C8">
                      <w:rPr>
                        <w:rFonts w:ascii="Symbol" w:hAnsi="Symbol" w:cs="Symbol"/>
                        <w:color w:val="000000"/>
                      </w:rPr>
                      <w:t></w:t>
                    </w:r>
                  </w:p>
                </w:txbxContent>
              </v:textbox>
            </v:rect>
            <v:rect id="_x0000_s1761" style="position:absolute;left:3570;top:218;width:51;height:240;mso-wrap-style:none" filled="f" stroked="f">
              <v:textbox style="mso-next-textbox:#_x0000_s1761;mso-fit-shape-to-text:t" inset="0,0,0,0">
                <w:txbxContent>
                  <w:p w:rsidR="00A905B7" w:rsidRPr="007B37C8" w:rsidRDefault="00A905B7">
                    <w:r w:rsidRPr="007B37C8">
                      <w:rPr>
                        <w:color w:val="000000"/>
                      </w:rPr>
                      <w:t xml:space="preserve"> </w:t>
                    </w:r>
                  </w:p>
                </w:txbxContent>
              </v:textbox>
            </v:rect>
            <v:rect id="_x0000_s1762" style="position:absolute;left:3560;top:218;width:91;height:240;mso-wrap-style:none" filled="f" stroked="f">
              <v:textbox style="mso-next-textbox:#_x0000_s1762;mso-fit-shape-to-text:t" inset="0,0,0,0">
                <w:txbxContent>
                  <w:p w:rsidR="00A905B7" w:rsidRPr="007B37C8" w:rsidRDefault="00A905B7" w:rsidP="00DA59A4"/>
                </w:txbxContent>
              </v:textbox>
            </v:rect>
            <w10:wrap type="none"/>
            <w10:anchorlock/>
          </v:group>
        </w:pict>
      </w:r>
    </w:p>
    <w:p w:rsidR="00DA59A4" w:rsidRPr="00B04DC3" w:rsidRDefault="00DA59A4" w:rsidP="00DA59A4">
      <w:pPr>
        <w:pStyle w:val="para"/>
        <w:rPr>
          <w:lang w:val="en-GB"/>
        </w:rPr>
      </w:pPr>
      <w:r w:rsidRPr="00B04DC3">
        <w:rPr>
          <w:lang w:val="en-GB"/>
        </w:rPr>
        <w:tab/>
      </w:r>
      <w:r w:rsidR="009105AC" w:rsidRPr="00B04DC3">
        <w:rPr>
          <w:lang w:val="en-GB"/>
        </w:rPr>
        <w:t>Where</w:t>
      </w:r>
      <w:r w:rsidRPr="00B04DC3">
        <w:rPr>
          <w:lang w:val="en-GB"/>
        </w:rPr>
        <w:t>:</w:t>
      </w:r>
    </w:p>
    <w:p w:rsidR="00DA59A4" w:rsidRPr="00B04DC3" w:rsidRDefault="00DA59A4" w:rsidP="00DA59A4">
      <w:pPr>
        <w:pStyle w:val="para"/>
        <w:rPr>
          <w:lang w:val="en-GB"/>
        </w:rPr>
      </w:pPr>
      <w:r w:rsidRPr="00B04DC3">
        <w:rPr>
          <w:lang w:val="en-GB"/>
        </w:rPr>
        <w:tab/>
        <w:t>n1</w:t>
      </w:r>
      <w:r w:rsidRPr="00B04DC3">
        <w:rPr>
          <w:lang w:val="en-GB"/>
        </w:rPr>
        <w:tab/>
        <w:t>= number of ETC tests between two regeneration events</w:t>
      </w:r>
    </w:p>
    <w:p w:rsidR="00DA59A4" w:rsidRPr="00B04DC3" w:rsidRDefault="00DA59A4" w:rsidP="00DA59A4">
      <w:pPr>
        <w:pStyle w:val="para"/>
        <w:rPr>
          <w:lang w:val="en-GB"/>
        </w:rPr>
      </w:pPr>
      <w:r w:rsidRPr="00B04DC3">
        <w:rPr>
          <w:lang w:val="en-GB"/>
        </w:rPr>
        <w:tab/>
        <w:t>n2</w:t>
      </w:r>
      <w:r w:rsidRPr="00B04DC3">
        <w:rPr>
          <w:lang w:val="en-GB"/>
        </w:rPr>
        <w:tab/>
        <w:t>= number of ETC tests during a regeneration (minimum of one ETC)</w:t>
      </w:r>
    </w:p>
    <w:p w:rsidR="00DA59A4" w:rsidRDefault="00DA59A4" w:rsidP="00DA59A4">
      <w:pPr>
        <w:pStyle w:val="para"/>
        <w:rPr>
          <w:lang w:val="en-GB"/>
        </w:rPr>
      </w:pPr>
      <w:r w:rsidRPr="00B04DC3">
        <w:rPr>
          <w:lang w:val="en-GB"/>
        </w:rPr>
        <w:tab/>
      </w:r>
      <w:r w:rsidR="009F357C">
        <w:rPr>
          <w:lang w:val="en-GB"/>
        </w:rPr>
        <w:tab/>
      </w:r>
      <w:r w:rsidR="00463E81" w:rsidRPr="00463E81">
        <w:rPr>
          <w:position w:val="-10"/>
          <w:lang w:val="en-GB"/>
        </w:rPr>
        <w:object w:dxaOrig="499" w:dyaOrig="380">
          <v:shape id="_x0000_i1165" type="#_x0000_t75" style="width:24.6pt;height:18.6pt" o:ole="">
            <v:imagedata r:id="rId261" o:title=""/>
          </v:shape>
          <o:OLEObject Type="Embed" ProgID="Equation.3" ShapeID="_x0000_i1165" DrawAspect="Content" ObjectID="_1498392311" r:id="rId262"/>
        </w:object>
      </w:r>
      <w:r w:rsidR="009F357C">
        <w:rPr>
          <w:lang w:val="en-GB"/>
        </w:rPr>
        <w:tab/>
      </w:r>
      <w:r w:rsidRPr="00B04DC3">
        <w:rPr>
          <w:lang w:val="en-GB"/>
        </w:rPr>
        <w:t>=</w:t>
      </w:r>
      <w:r w:rsidR="009F357C">
        <w:rPr>
          <w:lang w:val="en-GB"/>
        </w:rPr>
        <w:t xml:space="preserve"> </w:t>
      </w:r>
      <w:r w:rsidRPr="00B04DC3">
        <w:rPr>
          <w:lang w:val="en-GB"/>
        </w:rPr>
        <w:t>emissions during a regeneration</w:t>
      </w:r>
    </w:p>
    <w:p w:rsidR="00DA59A4" w:rsidRPr="00B04DC3" w:rsidRDefault="00DA59A4" w:rsidP="00DA59A4">
      <w:pPr>
        <w:pStyle w:val="para"/>
        <w:rPr>
          <w:lang w:val="en-GB"/>
        </w:rPr>
      </w:pPr>
      <w:r w:rsidRPr="00B04DC3">
        <w:rPr>
          <w:lang w:val="en-GB"/>
        </w:rPr>
        <w:tab/>
      </w:r>
      <w:r w:rsidR="009F357C">
        <w:rPr>
          <w:lang w:val="en-GB"/>
        </w:rPr>
        <w:tab/>
      </w:r>
      <w:r w:rsidR="00463E81" w:rsidRPr="00463E81">
        <w:rPr>
          <w:position w:val="-10"/>
          <w:lang w:val="en-GB"/>
        </w:rPr>
        <w:object w:dxaOrig="520" w:dyaOrig="380">
          <v:shape id="_x0000_i1166" type="#_x0000_t75" style="width:26.4pt;height:18.6pt" o:ole="">
            <v:imagedata r:id="rId263" o:title=""/>
          </v:shape>
          <o:OLEObject Type="Embed" ProgID="Equation.3" ShapeID="_x0000_i1166" DrawAspect="Content" ObjectID="_1498392312" r:id="rId264"/>
        </w:object>
      </w:r>
      <w:r w:rsidRPr="00B04DC3">
        <w:rPr>
          <w:lang w:val="en-GB"/>
        </w:rPr>
        <w:tab/>
        <w:t>=</w:t>
      </w:r>
      <w:r w:rsidR="009F357C">
        <w:rPr>
          <w:lang w:val="en-GB"/>
        </w:rPr>
        <w:t xml:space="preserve"> </w:t>
      </w:r>
      <w:r w:rsidRPr="00B04DC3">
        <w:rPr>
          <w:lang w:val="en-GB"/>
        </w:rPr>
        <w:t>emissions outside a regeneration</w:t>
      </w:r>
    </w:p>
    <w:p w:rsidR="00DA59A4" w:rsidRPr="00B04DC3" w:rsidRDefault="00DA59A4" w:rsidP="00DA59A4">
      <w:pPr>
        <w:pStyle w:val="para"/>
        <w:rPr>
          <w:lang w:val="en-GB"/>
        </w:rPr>
        <w:sectPr w:rsidR="00DA59A4" w:rsidRPr="00B04DC3" w:rsidSect="00DA59A4">
          <w:headerReference w:type="even" r:id="rId265"/>
          <w:headerReference w:type="default" r:id="rId266"/>
          <w:footnotePr>
            <w:numRestart w:val="eachSect"/>
          </w:footnotePr>
          <w:endnotePr>
            <w:numFmt w:val="decimal"/>
          </w:endnotePr>
          <w:pgSz w:w="11907" w:h="16840" w:code="9"/>
          <w:pgMar w:top="1701" w:right="1134" w:bottom="2268" w:left="1134" w:header="851" w:footer="1701" w:gutter="0"/>
          <w:cols w:space="720"/>
          <w:docGrid w:linePitch="326"/>
        </w:sectPr>
      </w:pPr>
    </w:p>
    <w:p w:rsidR="00DA59A4" w:rsidRPr="00B04DC3" w:rsidRDefault="00DA59A4" w:rsidP="00DA59A4">
      <w:pPr>
        <w:pStyle w:val="HChG"/>
      </w:pPr>
      <w:bookmarkStart w:id="233" w:name="_Toc423599520"/>
      <w:bookmarkStart w:id="234" w:name="_Toc423610928"/>
      <w:r w:rsidRPr="00B04DC3">
        <w:t>Annex 4A</w:t>
      </w:r>
      <w:r w:rsidR="009F357C">
        <w:t xml:space="preserve"> - </w:t>
      </w:r>
      <w:r w:rsidRPr="00B04DC3">
        <w:t>Appendix 3</w:t>
      </w:r>
      <w:bookmarkEnd w:id="233"/>
      <w:bookmarkEnd w:id="234"/>
    </w:p>
    <w:p w:rsidR="00DA59A4" w:rsidRPr="00B04DC3" w:rsidRDefault="009F357C" w:rsidP="009F357C">
      <w:pPr>
        <w:pStyle w:val="HChG"/>
      </w:pPr>
      <w:r>
        <w:rPr>
          <w:lang w:eastAsia="ko-KR"/>
        </w:rPr>
        <w:tab/>
      </w:r>
      <w:r>
        <w:rPr>
          <w:lang w:eastAsia="ko-KR"/>
        </w:rPr>
        <w:tab/>
      </w:r>
      <w:bookmarkStart w:id="235" w:name="_Toc423599521"/>
      <w:bookmarkStart w:id="236" w:name="_Toc423610929"/>
      <w:r w:rsidRPr="00B04DC3">
        <w:rPr>
          <w:lang w:eastAsia="ko-KR"/>
        </w:rPr>
        <w:t xml:space="preserve">European </w:t>
      </w:r>
      <w:r w:rsidR="00710050">
        <w:rPr>
          <w:lang w:eastAsia="ko-KR"/>
        </w:rPr>
        <w:t>T</w:t>
      </w:r>
      <w:r w:rsidRPr="00B04DC3">
        <w:rPr>
          <w:lang w:eastAsia="ko-KR"/>
        </w:rPr>
        <w:t xml:space="preserve">ransient </w:t>
      </w:r>
      <w:r w:rsidR="00710050">
        <w:rPr>
          <w:lang w:eastAsia="ko-KR"/>
        </w:rPr>
        <w:t>C</w:t>
      </w:r>
      <w:r w:rsidRPr="00B04DC3">
        <w:rPr>
          <w:lang w:eastAsia="ko-KR"/>
        </w:rPr>
        <w:t>ycle</w:t>
      </w:r>
      <w:r w:rsidRPr="00B04DC3">
        <w:t xml:space="preserve"> </w:t>
      </w:r>
      <w:r>
        <w:t>(</w:t>
      </w:r>
      <w:r w:rsidR="00DA59A4" w:rsidRPr="00B04DC3">
        <w:t>ETC</w:t>
      </w:r>
      <w:r>
        <w:t>)</w:t>
      </w:r>
      <w:r w:rsidR="00DA59A4" w:rsidRPr="00B04DC3">
        <w:t xml:space="preserve"> engine dynamometer schedule</w:t>
      </w:r>
      <w:bookmarkEnd w:id="235"/>
      <w:bookmarkEnd w:id="236"/>
    </w:p>
    <w:tbl>
      <w:tblPr>
        <w:tblW w:w="0" w:type="auto"/>
        <w:tblInd w:w="1950" w:type="dxa"/>
        <w:tblLayout w:type="fixed"/>
        <w:tblCellMar>
          <w:right w:w="425" w:type="dxa"/>
        </w:tblCellMar>
        <w:tblLook w:val="0000" w:firstRow="0" w:lastRow="0" w:firstColumn="0" w:lastColumn="0" w:noHBand="0" w:noVBand="0"/>
      </w:tblPr>
      <w:tblGrid>
        <w:gridCol w:w="1677"/>
        <w:gridCol w:w="1784"/>
        <w:gridCol w:w="1947"/>
      </w:tblGrid>
      <w:tr w:rsidR="00DA59A4" w:rsidRPr="00B04DC3" w:rsidTr="009F357C">
        <w:trPr>
          <w:trHeight w:val="144"/>
          <w:tblHeader/>
        </w:trPr>
        <w:tc>
          <w:tcPr>
            <w:tcW w:w="1677" w:type="dxa"/>
            <w:tcBorders>
              <w:top w:val="single" w:sz="4" w:space="0" w:color="auto"/>
              <w:left w:val="single" w:sz="4" w:space="0" w:color="auto"/>
              <w:bottom w:val="single" w:sz="12" w:space="0" w:color="auto"/>
              <w:right w:val="single" w:sz="2" w:space="0" w:color="auto"/>
            </w:tcBorders>
          </w:tcPr>
          <w:p w:rsidR="00DA59A4" w:rsidRPr="00B04DC3" w:rsidRDefault="00DA59A4" w:rsidP="00370708">
            <w:pPr>
              <w:pStyle w:val="tableen-tte"/>
              <w:jc w:val="right"/>
            </w:pPr>
            <w:r w:rsidRPr="00B04DC3">
              <w:t>Time</w:t>
            </w:r>
            <w:r w:rsidRPr="00B04DC3">
              <w:br/>
              <w:t>(s)</w:t>
            </w:r>
          </w:p>
        </w:tc>
        <w:tc>
          <w:tcPr>
            <w:tcW w:w="1784" w:type="dxa"/>
            <w:tcBorders>
              <w:top w:val="single" w:sz="4" w:space="0" w:color="auto"/>
              <w:left w:val="single" w:sz="2" w:space="0" w:color="auto"/>
              <w:bottom w:val="single" w:sz="12" w:space="0" w:color="auto"/>
              <w:right w:val="single" w:sz="2" w:space="0" w:color="auto"/>
            </w:tcBorders>
          </w:tcPr>
          <w:p w:rsidR="00DA59A4" w:rsidRPr="00B04DC3" w:rsidRDefault="00DA59A4" w:rsidP="00370708">
            <w:pPr>
              <w:pStyle w:val="tableen-tte"/>
              <w:jc w:val="right"/>
            </w:pPr>
            <w:r w:rsidRPr="00B04DC3">
              <w:t>Norm. speed</w:t>
            </w:r>
            <w:r w:rsidRPr="00B04DC3">
              <w:br/>
              <w:t>(per cent)</w:t>
            </w:r>
          </w:p>
        </w:tc>
        <w:tc>
          <w:tcPr>
            <w:tcW w:w="1947" w:type="dxa"/>
            <w:tcBorders>
              <w:top w:val="single" w:sz="4" w:space="0" w:color="auto"/>
              <w:left w:val="single" w:sz="2" w:space="0" w:color="auto"/>
              <w:bottom w:val="single" w:sz="12" w:space="0" w:color="auto"/>
              <w:right w:val="single" w:sz="4" w:space="0" w:color="auto"/>
            </w:tcBorders>
          </w:tcPr>
          <w:p w:rsidR="00DA59A4" w:rsidRPr="00B04DC3" w:rsidRDefault="00DA59A4" w:rsidP="00370708">
            <w:pPr>
              <w:pStyle w:val="tableen-tte"/>
              <w:jc w:val="right"/>
            </w:pPr>
            <w:r w:rsidRPr="00B04DC3">
              <w:t>Norm. torque</w:t>
            </w:r>
            <w:r w:rsidRPr="00B04DC3">
              <w:br/>
              <w:t>(per cent)</w:t>
            </w:r>
          </w:p>
        </w:tc>
      </w:tr>
      <w:tr w:rsidR="00DA59A4" w:rsidRPr="00B04DC3" w:rsidTr="009F357C">
        <w:trPr>
          <w:trHeight w:val="144"/>
        </w:trPr>
        <w:tc>
          <w:tcPr>
            <w:tcW w:w="1677" w:type="dxa"/>
            <w:tcBorders>
              <w:top w:val="single" w:sz="12" w:space="0" w:color="auto"/>
              <w:left w:val="single" w:sz="4" w:space="0" w:color="auto"/>
              <w:bottom w:val="single" w:sz="2" w:space="0" w:color="auto"/>
              <w:right w:val="single" w:sz="2" w:space="0" w:color="auto"/>
            </w:tcBorders>
          </w:tcPr>
          <w:p w:rsidR="00DA59A4" w:rsidRPr="00B04DC3" w:rsidRDefault="00DA59A4" w:rsidP="00DA59A4">
            <w:pPr>
              <w:spacing w:before="40" w:after="40"/>
              <w:jc w:val="right"/>
              <w:rPr>
                <w:sz w:val="18"/>
                <w:szCs w:val="18"/>
              </w:rPr>
            </w:pPr>
            <w:r w:rsidRPr="00B04DC3">
              <w:rPr>
                <w:sz w:val="18"/>
                <w:szCs w:val="18"/>
              </w:rPr>
              <w:t>1</w:t>
            </w:r>
          </w:p>
        </w:tc>
        <w:tc>
          <w:tcPr>
            <w:tcW w:w="1784" w:type="dxa"/>
            <w:tcBorders>
              <w:top w:val="single" w:sz="1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1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370708">
            <w:pPr>
              <w:tabs>
                <w:tab w:val="decimal" w:pos="896"/>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370708">
            <w:pPr>
              <w:tabs>
                <w:tab w:val="decimal" w:pos="896"/>
              </w:tabs>
              <w:spacing w:before="40" w:after="40"/>
              <w:jc w:val="right"/>
              <w:rPr>
                <w:sz w:val="18"/>
                <w:szCs w:val="18"/>
              </w:rPr>
            </w:pPr>
            <w:r w:rsidRPr="00B04DC3">
              <w:rPr>
                <w:sz w:val="18"/>
                <w:szCs w:val="18"/>
              </w:rPr>
              <w:t>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370708">
            <w:pPr>
              <w:tabs>
                <w:tab w:val="decimal" w:pos="896"/>
              </w:tabs>
              <w:spacing w:before="40" w:after="40"/>
              <w:jc w:val="right"/>
              <w:rPr>
                <w:sz w:val="18"/>
                <w:szCs w:val="18"/>
              </w:rPr>
            </w:pPr>
            <w:r w:rsidRPr="00B04DC3">
              <w:rPr>
                <w:sz w:val="18"/>
                <w:szCs w:val="18"/>
              </w:rPr>
              <w:t>23.1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48.3</w:t>
            </w:r>
          </w:p>
        </w:tc>
      </w:tr>
      <w:tr w:rsidR="00DA59A4" w:rsidRPr="00B04DC3">
        <w:trPr>
          <w:trHeight w:val="144"/>
        </w:trPr>
        <w:tc>
          <w:tcPr>
            <w:tcW w:w="1677" w:type="dxa"/>
            <w:tcBorders>
              <w:top w:val="single" w:sz="2" w:space="0" w:color="auto"/>
              <w:left w:val="single" w:sz="4" w:space="0" w:color="auto"/>
              <w:bottom w:val="single" w:sz="4"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1089</w:t>
            </w:r>
          </w:p>
        </w:tc>
        <w:tc>
          <w:tcPr>
            <w:tcW w:w="1784" w:type="dxa"/>
            <w:tcBorders>
              <w:top w:val="single" w:sz="2" w:space="0" w:color="auto"/>
              <w:left w:val="single" w:sz="2" w:space="0" w:color="auto"/>
              <w:bottom w:val="single" w:sz="4"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4"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r>
      <w:tr w:rsidR="00DA59A4" w:rsidRPr="00B04DC3">
        <w:trPr>
          <w:trHeight w:val="144"/>
        </w:trPr>
        <w:tc>
          <w:tcPr>
            <w:tcW w:w="1677" w:type="dxa"/>
            <w:tcBorders>
              <w:top w:val="single" w:sz="4"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1090</w:t>
            </w:r>
          </w:p>
        </w:tc>
        <w:tc>
          <w:tcPr>
            <w:tcW w:w="1784" w:type="dxa"/>
            <w:tcBorders>
              <w:top w:val="single" w:sz="4"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4"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56.9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83.2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73.6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76.9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45.8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19.4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26.3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1709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13.1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1719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22.4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1729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16.1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60.8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14.3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1749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8.2</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11.8</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8.1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1759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4.9</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10.1</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7.5</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6.7</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58.2</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6.6</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57.3</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17.3</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11.4</w:t>
            </w:r>
          </w:p>
        </w:tc>
      </w:tr>
      <w:tr w:rsidR="00DA59A4" w:rsidRPr="00B04DC3">
        <w:trPr>
          <w:trHeight w:val="14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57.5</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47.4</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1769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28.8</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24.3</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57.7</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25.5</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35.5</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29.3</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33.8</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18.7</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9.8</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58.8</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23.9</w:t>
            </w:r>
          </w:p>
        </w:tc>
      </w:tr>
      <w:tr w:rsidR="00DA59A4" w:rsidRPr="00B04DC3">
        <w:trPr>
          <w:trHeight w:val="32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59.1</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48.2</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1779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59.4</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37.2</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59.6</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29.1</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25</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40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30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15</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20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5</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1789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24"/>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1790</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1791</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1792</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1793</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1794</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1795</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1796</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1797</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1798</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trPr>
          <w:trHeight w:val="312"/>
        </w:trPr>
        <w:tc>
          <w:tcPr>
            <w:tcW w:w="1677" w:type="dxa"/>
            <w:tcBorders>
              <w:top w:val="single" w:sz="2" w:space="0" w:color="auto"/>
              <w:left w:val="single" w:sz="4"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1799</w:t>
            </w:r>
          </w:p>
        </w:tc>
        <w:tc>
          <w:tcPr>
            <w:tcW w:w="1784" w:type="dxa"/>
            <w:tcBorders>
              <w:top w:val="single" w:sz="2" w:space="0" w:color="auto"/>
              <w:left w:val="single" w:sz="2" w:space="0" w:color="auto"/>
              <w:bottom w:val="single" w:sz="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rsidTr="009F357C">
        <w:trPr>
          <w:trHeight w:val="312"/>
        </w:trPr>
        <w:tc>
          <w:tcPr>
            <w:tcW w:w="1677" w:type="dxa"/>
            <w:tcBorders>
              <w:top w:val="single" w:sz="2" w:space="0" w:color="auto"/>
              <w:left w:val="single" w:sz="4" w:space="0" w:color="auto"/>
              <w:bottom w:val="single" w:sz="1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1800</w:t>
            </w:r>
          </w:p>
        </w:tc>
        <w:tc>
          <w:tcPr>
            <w:tcW w:w="1784" w:type="dxa"/>
            <w:tcBorders>
              <w:top w:val="single" w:sz="2" w:space="0" w:color="auto"/>
              <w:left w:val="single" w:sz="2" w:space="0" w:color="auto"/>
              <w:bottom w:val="single" w:sz="12" w:space="0" w:color="auto"/>
              <w:right w:val="single" w:sz="2"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c>
          <w:tcPr>
            <w:tcW w:w="1947" w:type="dxa"/>
            <w:tcBorders>
              <w:top w:val="single" w:sz="2" w:space="0" w:color="auto"/>
              <w:left w:val="single" w:sz="2" w:space="0" w:color="auto"/>
              <w:bottom w:val="single" w:sz="12"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0</w:t>
            </w:r>
          </w:p>
        </w:tc>
      </w:tr>
      <w:tr w:rsidR="00DA59A4" w:rsidRPr="00B04DC3" w:rsidTr="009F357C">
        <w:trPr>
          <w:trHeight w:val="324"/>
        </w:trPr>
        <w:tc>
          <w:tcPr>
            <w:tcW w:w="5407" w:type="dxa"/>
            <w:gridSpan w:val="3"/>
            <w:tcBorders>
              <w:top w:val="single" w:sz="12" w:space="0" w:color="auto"/>
              <w:left w:val="single" w:sz="4" w:space="0" w:color="auto"/>
              <w:bottom w:val="single" w:sz="4" w:space="0" w:color="auto"/>
              <w:right w:val="single" w:sz="4" w:space="0" w:color="auto"/>
            </w:tcBorders>
          </w:tcPr>
          <w:p w:rsidR="00DA59A4" w:rsidRPr="00B04DC3" w:rsidRDefault="00DA59A4" w:rsidP="00DA59A4">
            <w:pPr>
              <w:tabs>
                <w:tab w:val="right" w:pos="744"/>
              </w:tabs>
              <w:spacing w:before="40" w:after="40"/>
              <w:jc w:val="right"/>
              <w:rPr>
                <w:sz w:val="18"/>
                <w:szCs w:val="18"/>
              </w:rPr>
            </w:pPr>
            <w:r w:rsidRPr="00B04DC3">
              <w:rPr>
                <w:sz w:val="18"/>
                <w:szCs w:val="18"/>
              </w:rPr>
              <w:t>"m" = motoring</w:t>
            </w:r>
          </w:p>
        </w:tc>
      </w:tr>
    </w:tbl>
    <w:p w:rsidR="00DA59A4" w:rsidRPr="00B04DC3" w:rsidRDefault="00DA59A4" w:rsidP="00DA59A4">
      <w:pPr>
        <w:pStyle w:val="para"/>
        <w:rPr>
          <w:lang w:val="en-GB"/>
        </w:rPr>
      </w:pPr>
      <w:r w:rsidRPr="00B04DC3">
        <w:rPr>
          <w:lang w:val="en-GB"/>
        </w:rPr>
        <w:br w:type="page"/>
        <w:t xml:space="preserve">A graphical display of the ETC dynamometer schedule is shown in </w:t>
      </w:r>
      <w:r w:rsidR="000F40CF" w:rsidRPr="00B04DC3">
        <w:rPr>
          <w:lang w:val="en-GB"/>
        </w:rPr>
        <w:t>F</w:t>
      </w:r>
      <w:r w:rsidRPr="00B04DC3">
        <w:rPr>
          <w:lang w:val="en-GB"/>
        </w:rPr>
        <w:t>igure 5.</w:t>
      </w:r>
    </w:p>
    <w:p w:rsidR="00DA59A4" w:rsidRPr="00B04DC3" w:rsidRDefault="00DA59A4" w:rsidP="00DA59A4">
      <w:pPr>
        <w:pStyle w:val="Heading1"/>
      </w:pPr>
      <w:bookmarkStart w:id="237" w:name="_Toc399939935"/>
      <w:bookmarkStart w:id="238" w:name="_Toc423599522"/>
      <w:bookmarkStart w:id="239" w:name="_Toc423610930"/>
      <w:r w:rsidRPr="00B04DC3">
        <w:t>Figure 5</w:t>
      </w:r>
      <w:bookmarkEnd w:id="237"/>
      <w:bookmarkEnd w:id="238"/>
      <w:bookmarkEnd w:id="239"/>
    </w:p>
    <w:p w:rsidR="00DA59A4" w:rsidRPr="00B04DC3" w:rsidRDefault="00DA59A4" w:rsidP="00DA59A4">
      <w:pPr>
        <w:pStyle w:val="Heading1"/>
        <w:rPr>
          <w:b/>
        </w:rPr>
      </w:pPr>
      <w:bookmarkStart w:id="240" w:name="_Toc399939936"/>
      <w:bookmarkStart w:id="241" w:name="_Toc423599523"/>
      <w:bookmarkStart w:id="242" w:name="_Toc423610931"/>
      <w:r w:rsidRPr="00B04DC3">
        <w:rPr>
          <w:b/>
        </w:rPr>
        <w:t>ETC dynamometer schedule</w:t>
      </w:r>
      <w:bookmarkEnd w:id="240"/>
      <w:bookmarkEnd w:id="241"/>
      <w:bookmarkEnd w:id="242"/>
    </w:p>
    <w:p w:rsidR="00DA59A4" w:rsidRPr="00B04DC3" w:rsidRDefault="00A905B7" w:rsidP="00AA0E48">
      <w:pPr>
        <w:pStyle w:val="Text1"/>
        <w:spacing w:before="0" w:after="0"/>
      </w:pPr>
      <w:r>
        <w:pict>
          <v:shape id="_x0000_i1167" type="#_x0000_t75" style="width:438pt;height:299.4pt" fillcolor="window">
            <v:imagedata r:id="rId267" o:title=""/>
          </v:shape>
        </w:pict>
      </w:r>
    </w:p>
    <w:p w:rsidR="00DA59A4" w:rsidRPr="00B04DC3" w:rsidRDefault="00DA59A4" w:rsidP="00DA59A4">
      <w:pPr>
        <w:pStyle w:val="NormalCentered"/>
        <w:numPr>
          <w:ilvl w:val="0"/>
          <w:numId w:val="0"/>
        </w:numPr>
        <w:spacing w:before="0" w:after="0"/>
        <w:jc w:val="left"/>
      </w:pPr>
    </w:p>
    <w:p w:rsidR="00D75405" w:rsidRPr="00B04DC3" w:rsidRDefault="00D75405" w:rsidP="0080740F">
      <w:pPr>
        <w:pStyle w:val="SingleTxtG"/>
        <w:sectPr w:rsidR="00D75405" w:rsidRPr="00B04DC3" w:rsidSect="00DA59A4">
          <w:headerReference w:type="even" r:id="rId268"/>
          <w:headerReference w:type="default" r:id="rId269"/>
          <w:footerReference w:type="first" r:id="rId270"/>
          <w:footnotePr>
            <w:numRestart w:val="eachSect"/>
          </w:footnotePr>
          <w:endnotePr>
            <w:numFmt w:val="decimal"/>
          </w:endnotePr>
          <w:pgSz w:w="11907" w:h="16840" w:code="9"/>
          <w:pgMar w:top="1701" w:right="1134" w:bottom="2268" w:left="1134" w:header="851" w:footer="1701" w:gutter="0"/>
          <w:cols w:space="720"/>
          <w:docGrid w:linePitch="326"/>
        </w:sectPr>
      </w:pPr>
    </w:p>
    <w:p w:rsidR="00D75405" w:rsidRPr="00B04DC3" w:rsidRDefault="00D75405" w:rsidP="00D75405">
      <w:pPr>
        <w:pStyle w:val="HChG"/>
      </w:pPr>
      <w:bookmarkStart w:id="243" w:name="_Toc423599524"/>
      <w:bookmarkStart w:id="244" w:name="_Toc423610932"/>
      <w:r w:rsidRPr="00B04DC3">
        <w:t>Annex 4A</w:t>
      </w:r>
      <w:r w:rsidR="006C5934">
        <w:t xml:space="preserve"> - </w:t>
      </w:r>
      <w:r w:rsidRPr="00B04DC3">
        <w:t>Appendix 4</w:t>
      </w:r>
      <w:bookmarkEnd w:id="243"/>
      <w:bookmarkEnd w:id="244"/>
    </w:p>
    <w:p w:rsidR="00D75405" w:rsidRPr="00B04DC3" w:rsidRDefault="00D75405" w:rsidP="00D75405">
      <w:pPr>
        <w:pStyle w:val="HChG"/>
      </w:pPr>
      <w:r w:rsidRPr="00B04DC3">
        <w:tab/>
      </w:r>
      <w:r w:rsidRPr="00B04DC3">
        <w:tab/>
      </w:r>
      <w:bookmarkStart w:id="245" w:name="_Toc423599525"/>
      <w:bookmarkStart w:id="246" w:name="_Toc423610933"/>
      <w:r w:rsidRPr="00B04DC3">
        <w:t>Measurement and sampling procedures</w:t>
      </w:r>
      <w:bookmarkEnd w:id="245"/>
      <w:bookmarkEnd w:id="246"/>
    </w:p>
    <w:p w:rsidR="00D75405" w:rsidRPr="00B04DC3" w:rsidRDefault="00D75405" w:rsidP="00D75405">
      <w:pPr>
        <w:pStyle w:val="para"/>
        <w:rPr>
          <w:lang w:val="en-GB"/>
        </w:rPr>
      </w:pPr>
      <w:r w:rsidRPr="00B04DC3">
        <w:rPr>
          <w:lang w:val="en-GB"/>
        </w:rPr>
        <w:t>1.</w:t>
      </w:r>
      <w:r w:rsidRPr="00B04DC3">
        <w:rPr>
          <w:lang w:val="en-GB"/>
        </w:rPr>
        <w:tab/>
        <w:t>Introduction</w:t>
      </w:r>
    </w:p>
    <w:p w:rsidR="00D75405" w:rsidRPr="00B04DC3" w:rsidRDefault="00D75405" w:rsidP="00D75405">
      <w:pPr>
        <w:pStyle w:val="para"/>
        <w:rPr>
          <w:lang w:val="en-GB"/>
        </w:rPr>
      </w:pPr>
      <w:r w:rsidRPr="00B04DC3">
        <w:rPr>
          <w:lang w:val="en-GB"/>
        </w:rPr>
        <w:tab/>
        <w:t>Gaseous components, particulates, and smoke emitted by the engine submitted for testing shall be measured by the methods described in Appendix 7 to Annex 4A. The respective paragraphs of Appendix 7 describe the recommended analytical systems for the gaseous emissions (paragraph 1.), the recommended particulate dilution and sampling systems (paragraph 2.), and the recommended opacimeters for smoke measurement (paragraph 3.).</w:t>
      </w:r>
    </w:p>
    <w:p w:rsidR="00D75405" w:rsidRPr="00B04DC3" w:rsidRDefault="00D75405" w:rsidP="00D75405">
      <w:pPr>
        <w:pStyle w:val="para"/>
        <w:rPr>
          <w:lang w:val="en-GB"/>
        </w:rPr>
      </w:pPr>
      <w:r w:rsidRPr="00B04DC3">
        <w:rPr>
          <w:lang w:val="en-GB"/>
        </w:rPr>
        <w:tab/>
        <w:t>For the ESC, the gaseous components shall be determined in the raw exhaust gas. Optionally, they may be determined in the diluted exhaust gas, if a full flow dilution system is used for particulate determination. Particulates shall be determined with either a partial flow or a full flow dilution system.</w:t>
      </w:r>
    </w:p>
    <w:p w:rsidR="00D75405" w:rsidRPr="00B04DC3" w:rsidRDefault="00D75405" w:rsidP="00D75405">
      <w:pPr>
        <w:pStyle w:val="para"/>
        <w:rPr>
          <w:lang w:val="en-GB"/>
        </w:rPr>
      </w:pPr>
      <w:r w:rsidRPr="00B04DC3">
        <w:rPr>
          <w:lang w:val="en-GB"/>
        </w:rPr>
        <w:tab/>
        <w:t>For the ETC, the following systems may be used:</w:t>
      </w:r>
    </w:p>
    <w:p w:rsidR="00D75405" w:rsidRPr="00B04DC3" w:rsidRDefault="00D75405" w:rsidP="00D75405">
      <w:pPr>
        <w:pStyle w:val="a"/>
        <w:rPr>
          <w:lang w:val="en-GB"/>
        </w:rPr>
      </w:pPr>
      <w:r w:rsidRPr="00B04DC3">
        <w:rPr>
          <w:lang w:val="en-GB"/>
        </w:rPr>
        <w:t>(a)</w:t>
      </w:r>
      <w:r w:rsidRPr="00B04DC3">
        <w:rPr>
          <w:lang w:val="en-GB"/>
        </w:rPr>
        <w:tab/>
        <w:t>A CVS full flow dilution system for determining gaseous and particulate emissions (double dilution systems are permissible), or,</w:t>
      </w:r>
    </w:p>
    <w:p w:rsidR="00D75405" w:rsidRPr="00B04DC3" w:rsidRDefault="00D75405" w:rsidP="00D75405">
      <w:pPr>
        <w:pStyle w:val="a"/>
        <w:rPr>
          <w:lang w:val="en-GB"/>
        </w:rPr>
      </w:pPr>
      <w:r w:rsidRPr="00B04DC3">
        <w:rPr>
          <w:lang w:val="en-GB"/>
        </w:rPr>
        <w:t>(b)</w:t>
      </w:r>
      <w:r w:rsidRPr="00B04DC3">
        <w:rPr>
          <w:lang w:val="en-GB"/>
        </w:rPr>
        <w:tab/>
        <w:t>A combination of raw exhaust measurement for the gaseous emissions and a partial flow dilution system for particulate emissions, or,</w:t>
      </w:r>
    </w:p>
    <w:p w:rsidR="00D75405" w:rsidRPr="00B04DC3" w:rsidRDefault="00D75405" w:rsidP="00D75405">
      <w:pPr>
        <w:pStyle w:val="a"/>
        <w:rPr>
          <w:lang w:val="en-GB"/>
        </w:rPr>
      </w:pPr>
      <w:r w:rsidRPr="00B04DC3">
        <w:rPr>
          <w:lang w:val="en-GB"/>
        </w:rPr>
        <w:t>(c)</w:t>
      </w:r>
      <w:r w:rsidRPr="00B04DC3">
        <w:rPr>
          <w:lang w:val="en-GB"/>
        </w:rPr>
        <w:tab/>
        <w:t>Any combination of the two principles (e.g. raw gaseous measurement and full flow particulate measurement).</w:t>
      </w:r>
    </w:p>
    <w:p w:rsidR="00D75405" w:rsidRPr="00B04DC3" w:rsidRDefault="00D75405" w:rsidP="00D75405">
      <w:pPr>
        <w:pStyle w:val="para"/>
        <w:rPr>
          <w:lang w:val="en-GB"/>
        </w:rPr>
      </w:pPr>
      <w:r w:rsidRPr="00B04DC3">
        <w:rPr>
          <w:lang w:val="en-GB"/>
        </w:rPr>
        <w:t>2.</w:t>
      </w:r>
      <w:r w:rsidRPr="00B04DC3">
        <w:rPr>
          <w:lang w:val="en-GB"/>
        </w:rPr>
        <w:tab/>
        <w:t>Dynamometer and test cell equipment</w:t>
      </w:r>
    </w:p>
    <w:p w:rsidR="00D75405" w:rsidRPr="00B04DC3" w:rsidRDefault="00D75405" w:rsidP="00D75405">
      <w:pPr>
        <w:pStyle w:val="para"/>
        <w:rPr>
          <w:lang w:val="en-GB"/>
        </w:rPr>
      </w:pPr>
      <w:r w:rsidRPr="00B04DC3">
        <w:rPr>
          <w:lang w:val="en-GB"/>
        </w:rPr>
        <w:tab/>
        <w:t>The following equipment shall be used for emission tests of engines on engine dynamometers.</w:t>
      </w:r>
    </w:p>
    <w:p w:rsidR="00D75405" w:rsidRPr="00B04DC3" w:rsidRDefault="00D75405" w:rsidP="00D75405">
      <w:pPr>
        <w:pStyle w:val="para"/>
        <w:rPr>
          <w:lang w:val="en-GB"/>
        </w:rPr>
      </w:pPr>
      <w:r w:rsidRPr="00B04DC3">
        <w:rPr>
          <w:lang w:val="en-GB"/>
        </w:rPr>
        <w:t>2.1.</w:t>
      </w:r>
      <w:r w:rsidRPr="00B04DC3">
        <w:rPr>
          <w:lang w:val="en-GB"/>
        </w:rPr>
        <w:tab/>
        <w:t>Engine dynamometer</w:t>
      </w:r>
    </w:p>
    <w:p w:rsidR="00D75405" w:rsidRPr="00B04DC3" w:rsidRDefault="00D75405" w:rsidP="00D75405">
      <w:pPr>
        <w:pStyle w:val="para"/>
        <w:rPr>
          <w:lang w:val="en-GB"/>
        </w:rPr>
      </w:pPr>
      <w:r w:rsidRPr="00B04DC3">
        <w:rPr>
          <w:lang w:val="en-GB"/>
        </w:rPr>
        <w:tab/>
        <w:t>An engine dynamometer shall be used with adequate characteristics to perform the test cycles described in Appendices 1 and 2 to this annex. The speed measuring system shall have an accuracy of ±2 per cent of reading. The torque measuring system shall have an accuracy of ±3 per cent of reading in the range &gt; 20 per cent of full scale, and an accuracy of ±0,6 per cent of full scale in the range ≤ 20 per cent of full scale.</w:t>
      </w:r>
    </w:p>
    <w:p w:rsidR="00D75405" w:rsidRPr="00B04DC3" w:rsidRDefault="00D75405" w:rsidP="00D75405">
      <w:pPr>
        <w:pStyle w:val="para"/>
        <w:rPr>
          <w:lang w:val="en-GB"/>
        </w:rPr>
      </w:pPr>
      <w:r w:rsidRPr="00B04DC3">
        <w:rPr>
          <w:lang w:val="en-GB"/>
        </w:rPr>
        <w:t>2.2.</w:t>
      </w:r>
      <w:r w:rsidRPr="00B04DC3">
        <w:rPr>
          <w:lang w:val="en-GB"/>
        </w:rPr>
        <w:tab/>
        <w:t>Other instruments</w:t>
      </w:r>
    </w:p>
    <w:p w:rsidR="00D75405" w:rsidRPr="00B04DC3" w:rsidRDefault="00D75405" w:rsidP="00D75405">
      <w:pPr>
        <w:pStyle w:val="para"/>
        <w:rPr>
          <w:lang w:val="en-GB"/>
        </w:rPr>
      </w:pPr>
      <w:r w:rsidRPr="00B04DC3">
        <w:rPr>
          <w:lang w:val="en-GB"/>
        </w:rPr>
        <w:tab/>
        <w:t xml:space="preserve">Measuring instruments for fuel consumption, air consumption, temperature of coolant and lubricant, exhaust gas pressure and intake manifold depression, exhaust gas temperature, air intake temperature, atmospheric pressure, humidity and fuel temperature shall be used, as required. These instruments shall satisfy the requirements given in </w:t>
      </w:r>
      <w:r w:rsidR="00710050">
        <w:rPr>
          <w:lang w:val="en-GB"/>
        </w:rPr>
        <w:t>T</w:t>
      </w:r>
      <w:r w:rsidR="00710050" w:rsidRPr="00B04DC3">
        <w:rPr>
          <w:lang w:val="en-GB"/>
        </w:rPr>
        <w:t xml:space="preserve">able </w:t>
      </w:r>
      <w:r w:rsidRPr="00B04DC3">
        <w:rPr>
          <w:lang w:val="en-GB"/>
        </w:rPr>
        <w:t>9.</w:t>
      </w:r>
    </w:p>
    <w:p w:rsidR="00D75405" w:rsidRPr="00B04DC3" w:rsidRDefault="00D75405" w:rsidP="00D75405">
      <w:pPr>
        <w:pStyle w:val="Heading1"/>
        <w:rPr>
          <w:b/>
        </w:rPr>
      </w:pPr>
      <w:r w:rsidRPr="00B04DC3">
        <w:br w:type="page"/>
      </w:r>
      <w:bookmarkStart w:id="247" w:name="_Toc399939939"/>
      <w:bookmarkStart w:id="248" w:name="_Toc423599526"/>
      <w:bookmarkStart w:id="249" w:name="_Toc423610934"/>
      <w:r w:rsidRPr="00B04DC3">
        <w:t>Table 9</w:t>
      </w:r>
      <w:r w:rsidRPr="00B04DC3">
        <w:rPr>
          <w:b/>
        </w:rPr>
        <w:br/>
        <w:t>Accuracy of measuring instruments</w:t>
      </w:r>
      <w:bookmarkEnd w:id="247"/>
      <w:bookmarkEnd w:id="248"/>
      <w:bookmarkEnd w:id="249"/>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9" w:type="dxa"/>
          <w:right w:w="69" w:type="dxa"/>
        </w:tblCellMar>
        <w:tblLook w:val="0000" w:firstRow="0" w:lastRow="0" w:firstColumn="0" w:lastColumn="0" w:noHBand="0" w:noVBand="0"/>
      </w:tblPr>
      <w:tblGrid>
        <w:gridCol w:w="2823"/>
        <w:gridCol w:w="4548"/>
      </w:tblGrid>
      <w:tr w:rsidR="00D75405" w:rsidRPr="00B04DC3" w:rsidTr="006C5934">
        <w:tc>
          <w:tcPr>
            <w:tcW w:w="3297" w:type="dxa"/>
            <w:tcBorders>
              <w:bottom w:val="single" w:sz="12" w:space="0" w:color="auto"/>
            </w:tcBorders>
          </w:tcPr>
          <w:p w:rsidR="00D75405" w:rsidRPr="00B04DC3" w:rsidRDefault="00D75405" w:rsidP="00D75405">
            <w:pPr>
              <w:pStyle w:val="tableen-tte"/>
            </w:pPr>
            <w:r w:rsidRPr="00B04DC3">
              <w:t>Measuring instrument</w:t>
            </w:r>
          </w:p>
        </w:tc>
        <w:tc>
          <w:tcPr>
            <w:tcW w:w="5330" w:type="dxa"/>
            <w:tcBorders>
              <w:bottom w:val="single" w:sz="12" w:space="0" w:color="auto"/>
            </w:tcBorders>
          </w:tcPr>
          <w:p w:rsidR="00D75405" w:rsidRPr="00B04DC3" w:rsidRDefault="00D75405" w:rsidP="00D75405">
            <w:pPr>
              <w:pStyle w:val="tableen-tte"/>
            </w:pPr>
            <w:r w:rsidRPr="00B04DC3">
              <w:t>Accuracy</w:t>
            </w:r>
          </w:p>
        </w:tc>
      </w:tr>
      <w:tr w:rsidR="00D75405" w:rsidRPr="00B04DC3" w:rsidTr="006C5934">
        <w:tc>
          <w:tcPr>
            <w:tcW w:w="3297" w:type="dxa"/>
            <w:tcBorders>
              <w:top w:val="single" w:sz="12" w:space="0" w:color="auto"/>
            </w:tcBorders>
          </w:tcPr>
          <w:p w:rsidR="00D75405" w:rsidRPr="00B04DC3" w:rsidRDefault="00D75405" w:rsidP="00D75405">
            <w:pPr>
              <w:pStyle w:val="tableautexte"/>
            </w:pPr>
            <w:r w:rsidRPr="00B04DC3">
              <w:t>Fuel consumption</w:t>
            </w:r>
          </w:p>
        </w:tc>
        <w:tc>
          <w:tcPr>
            <w:tcW w:w="5330" w:type="dxa"/>
            <w:tcBorders>
              <w:top w:val="single" w:sz="12" w:space="0" w:color="auto"/>
            </w:tcBorders>
          </w:tcPr>
          <w:p w:rsidR="00D75405" w:rsidRPr="00B04DC3" w:rsidRDefault="00D75405" w:rsidP="00D75405">
            <w:pPr>
              <w:pStyle w:val="tableautexte"/>
            </w:pPr>
            <w:r w:rsidRPr="00B04DC3">
              <w:t>±2 per cent of engine's maximum value</w:t>
            </w:r>
          </w:p>
        </w:tc>
      </w:tr>
      <w:tr w:rsidR="00D75405" w:rsidRPr="00B04DC3">
        <w:tc>
          <w:tcPr>
            <w:tcW w:w="3297" w:type="dxa"/>
          </w:tcPr>
          <w:p w:rsidR="00D75405" w:rsidRPr="00B04DC3" w:rsidRDefault="00D75405" w:rsidP="00D75405">
            <w:pPr>
              <w:pStyle w:val="tableautexte"/>
            </w:pPr>
            <w:r w:rsidRPr="00B04DC3">
              <w:t>Air consumption</w:t>
            </w:r>
          </w:p>
        </w:tc>
        <w:tc>
          <w:tcPr>
            <w:tcW w:w="5330" w:type="dxa"/>
          </w:tcPr>
          <w:p w:rsidR="00D75405" w:rsidRPr="00B04DC3" w:rsidRDefault="00D75405" w:rsidP="00D75405">
            <w:pPr>
              <w:pStyle w:val="tableautexte"/>
            </w:pPr>
            <w:r w:rsidRPr="00B04DC3">
              <w:sym w:font="Symbol" w:char="F0B1"/>
            </w:r>
            <w:r w:rsidRPr="00B04DC3">
              <w:t xml:space="preserve">2 per cent of reading or </w:t>
            </w:r>
            <w:r w:rsidRPr="00B04DC3">
              <w:sym w:font="Symbol" w:char="F0B1"/>
            </w:r>
            <w:r w:rsidRPr="00B04DC3">
              <w:t>1 per cent of engine's maximum value whichever is greater</w:t>
            </w:r>
          </w:p>
        </w:tc>
      </w:tr>
      <w:tr w:rsidR="00D75405" w:rsidRPr="00B04DC3">
        <w:tc>
          <w:tcPr>
            <w:tcW w:w="3297" w:type="dxa"/>
          </w:tcPr>
          <w:p w:rsidR="00D75405" w:rsidRPr="00B04DC3" w:rsidRDefault="00D75405" w:rsidP="00D75405">
            <w:pPr>
              <w:pStyle w:val="tableautexte"/>
            </w:pPr>
            <w:r w:rsidRPr="00B04DC3">
              <w:t>Exhaust gas flow</w:t>
            </w:r>
          </w:p>
        </w:tc>
        <w:tc>
          <w:tcPr>
            <w:tcW w:w="5330" w:type="dxa"/>
          </w:tcPr>
          <w:p w:rsidR="00D75405" w:rsidRPr="00B04DC3" w:rsidRDefault="00D75405" w:rsidP="00D75405">
            <w:pPr>
              <w:pStyle w:val="tableautexte"/>
            </w:pPr>
            <w:r w:rsidRPr="00B04DC3">
              <w:sym w:font="Symbol" w:char="F0B1"/>
            </w:r>
            <w:r w:rsidRPr="00B04DC3">
              <w:t xml:space="preserve">2.5 per cent of reading or </w:t>
            </w:r>
            <w:r w:rsidRPr="00B04DC3">
              <w:sym w:font="Symbol" w:char="F0B1"/>
            </w:r>
            <w:r w:rsidRPr="00B04DC3">
              <w:t>1.5 per cent of engine's maximum value whichever is greater</w:t>
            </w:r>
          </w:p>
        </w:tc>
      </w:tr>
      <w:tr w:rsidR="00D75405" w:rsidRPr="00B04DC3">
        <w:tc>
          <w:tcPr>
            <w:tcW w:w="3297" w:type="dxa"/>
          </w:tcPr>
          <w:p w:rsidR="00D75405" w:rsidRPr="00B04DC3" w:rsidRDefault="00D75405" w:rsidP="00D75405">
            <w:pPr>
              <w:pStyle w:val="tableautexte"/>
            </w:pPr>
            <w:r w:rsidRPr="00B04DC3">
              <w:t>Temperatures ≤ 600 K (327 °C)</w:t>
            </w:r>
          </w:p>
        </w:tc>
        <w:tc>
          <w:tcPr>
            <w:tcW w:w="5330" w:type="dxa"/>
          </w:tcPr>
          <w:p w:rsidR="00D75405" w:rsidRPr="00B04DC3" w:rsidRDefault="00D75405" w:rsidP="00D75405">
            <w:pPr>
              <w:pStyle w:val="tableautexte"/>
            </w:pPr>
            <w:r w:rsidRPr="00B04DC3">
              <w:t>±2 K absolute</w:t>
            </w:r>
          </w:p>
        </w:tc>
      </w:tr>
      <w:tr w:rsidR="00D75405" w:rsidRPr="00B04DC3">
        <w:tc>
          <w:tcPr>
            <w:tcW w:w="3297" w:type="dxa"/>
          </w:tcPr>
          <w:p w:rsidR="00D75405" w:rsidRPr="00B04DC3" w:rsidRDefault="00D75405" w:rsidP="00D75405">
            <w:pPr>
              <w:pStyle w:val="tableautexte"/>
            </w:pPr>
            <w:r w:rsidRPr="00B04DC3">
              <w:t>Temperatures ≥ 600 K (327 °C)</w:t>
            </w:r>
          </w:p>
        </w:tc>
        <w:tc>
          <w:tcPr>
            <w:tcW w:w="5330" w:type="dxa"/>
          </w:tcPr>
          <w:p w:rsidR="00D75405" w:rsidRPr="00B04DC3" w:rsidRDefault="00D75405" w:rsidP="00D75405">
            <w:pPr>
              <w:pStyle w:val="tableautexte"/>
            </w:pPr>
            <w:r w:rsidRPr="00B04DC3">
              <w:t>±1 per cent of reading</w:t>
            </w:r>
          </w:p>
        </w:tc>
      </w:tr>
      <w:tr w:rsidR="00D75405" w:rsidRPr="00B04DC3">
        <w:tc>
          <w:tcPr>
            <w:tcW w:w="3297" w:type="dxa"/>
          </w:tcPr>
          <w:p w:rsidR="00D75405" w:rsidRPr="00B04DC3" w:rsidRDefault="00D75405" w:rsidP="00D75405">
            <w:pPr>
              <w:pStyle w:val="tableautexte"/>
            </w:pPr>
            <w:r w:rsidRPr="00B04DC3">
              <w:t>Atmospheric pressure</w:t>
            </w:r>
          </w:p>
        </w:tc>
        <w:tc>
          <w:tcPr>
            <w:tcW w:w="5330" w:type="dxa"/>
          </w:tcPr>
          <w:p w:rsidR="00D75405" w:rsidRPr="00B04DC3" w:rsidRDefault="00D75405" w:rsidP="00D75405">
            <w:pPr>
              <w:pStyle w:val="tableautexte"/>
            </w:pPr>
            <w:r w:rsidRPr="00B04DC3">
              <w:t>±0.1 kPa absolute</w:t>
            </w:r>
          </w:p>
        </w:tc>
      </w:tr>
      <w:tr w:rsidR="00D75405" w:rsidRPr="00B04DC3">
        <w:tc>
          <w:tcPr>
            <w:tcW w:w="3297" w:type="dxa"/>
          </w:tcPr>
          <w:p w:rsidR="00D75405" w:rsidRPr="00B04DC3" w:rsidRDefault="00D75405" w:rsidP="00D75405">
            <w:pPr>
              <w:pStyle w:val="tableautexte"/>
            </w:pPr>
            <w:r w:rsidRPr="00B04DC3">
              <w:t>Exhaust gas pressure</w:t>
            </w:r>
          </w:p>
        </w:tc>
        <w:tc>
          <w:tcPr>
            <w:tcW w:w="5330" w:type="dxa"/>
          </w:tcPr>
          <w:p w:rsidR="00D75405" w:rsidRPr="00B04DC3" w:rsidRDefault="00D75405" w:rsidP="00D75405">
            <w:pPr>
              <w:pStyle w:val="tableautexte"/>
            </w:pPr>
            <w:r w:rsidRPr="00B04DC3">
              <w:t>±0.2 kPa absolute</w:t>
            </w:r>
          </w:p>
        </w:tc>
      </w:tr>
      <w:tr w:rsidR="00D75405" w:rsidRPr="00B04DC3">
        <w:tc>
          <w:tcPr>
            <w:tcW w:w="3297" w:type="dxa"/>
          </w:tcPr>
          <w:p w:rsidR="00D75405" w:rsidRPr="00B04DC3" w:rsidRDefault="00D75405" w:rsidP="00D75405">
            <w:pPr>
              <w:pStyle w:val="tableautexte"/>
            </w:pPr>
            <w:r w:rsidRPr="00B04DC3">
              <w:t>Intake depression</w:t>
            </w:r>
          </w:p>
        </w:tc>
        <w:tc>
          <w:tcPr>
            <w:tcW w:w="5330" w:type="dxa"/>
          </w:tcPr>
          <w:p w:rsidR="00D75405" w:rsidRPr="00B04DC3" w:rsidRDefault="00D75405" w:rsidP="00D75405">
            <w:pPr>
              <w:pStyle w:val="tableautexte"/>
            </w:pPr>
            <w:r w:rsidRPr="00B04DC3">
              <w:t>±0.05 kPa absolute</w:t>
            </w:r>
          </w:p>
        </w:tc>
      </w:tr>
      <w:tr w:rsidR="00D75405" w:rsidRPr="00B04DC3">
        <w:tc>
          <w:tcPr>
            <w:tcW w:w="3297" w:type="dxa"/>
          </w:tcPr>
          <w:p w:rsidR="00D75405" w:rsidRPr="00B04DC3" w:rsidRDefault="00D75405" w:rsidP="00D75405">
            <w:pPr>
              <w:pStyle w:val="tableautexte"/>
            </w:pPr>
            <w:r w:rsidRPr="00B04DC3">
              <w:t>Other pressures</w:t>
            </w:r>
          </w:p>
        </w:tc>
        <w:tc>
          <w:tcPr>
            <w:tcW w:w="5330" w:type="dxa"/>
          </w:tcPr>
          <w:p w:rsidR="00D75405" w:rsidRPr="00B04DC3" w:rsidRDefault="00D75405" w:rsidP="00D75405">
            <w:pPr>
              <w:pStyle w:val="tableautexte"/>
            </w:pPr>
            <w:r w:rsidRPr="00B04DC3">
              <w:t>±0.1 kPa absolute</w:t>
            </w:r>
          </w:p>
        </w:tc>
      </w:tr>
      <w:tr w:rsidR="00D75405" w:rsidRPr="00B04DC3">
        <w:tc>
          <w:tcPr>
            <w:tcW w:w="3297" w:type="dxa"/>
          </w:tcPr>
          <w:p w:rsidR="00D75405" w:rsidRPr="00B04DC3" w:rsidRDefault="00D75405" w:rsidP="00D75405">
            <w:pPr>
              <w:pStyle w:val="tableautexte"/>
            </w:pPr>
            <w:r w:rsidRPr="00B04DC3">
              <w:t>Relative humidity</w:t>
            </w:r>
          </w:p>
        </w:tc>
        <w:tc>
          <w:tcPr>
            <w:tcW w:w="5330" w:type="dxa"/>
          </w:tcPr>
          <w:p w:rsidR="00D75405" w:rsidRPr="00B04DC3" w:rsidRDefault="00D75405" w:rsidP="00D75405">
            <w:pPr>
              <w:pStyle w:val="tableautexte"/>
            </w:pPr>
            <w:r w:rsidRPr="00B04DC3">
              <w:t>±3 per cent absolute</w:t>
            </w:r>
          </w:p>
        </w:tc>
      </w:tr>
      <w:tr w:rsidR="00D75405" w:rsidRPr="00B04DC3">
        <w:tc>
          <w:tcPr>
            <w:tcW w:w="3297" w:type="dxa"/>
          </w:tcPr>
          <w:p w:rsidR="00D75405" w:rsidRPr="00B04DC3" w:rsidRDefault="00D75405" w:rsidP="00D75405">
            <w:pPr>
              <w:pStyle w:val="tableautexte"/>
            </w:pPr>
            <w:r w:rsidRPr="00B04DC3">
              <w:t>Absolute humidity</w:t>
            </w:r>
          </w:p>
        </w:tc>
        <w:tc>
          <w:tcPr>
            <w:tcW w:w="5330" w:type="dxa"/>
          </w:tcPr>
          <w:p w:rsidR="00D75405" w:rsidRPr="00B04DC3" w:rsidRDefault="00D75405" w:rsidP="00D75405">
            <w:pPr>
              <w:pStyle w:val="tableautexte"/>
            </w:pPr>
            <w:r w:rsidRPr="00B04DC3">
              <w:t>±5 per cent of reading</w:t>
            </w:r>
          </w:p>
        </w:tc>
      </w:tr>
      <w:tr w:rsidR="00D75405" w:rsidRPr="00B04DC3">
        <w:tc>
          <w:tcPr>
            <w:tcW w:w="3297" w:type="dxa"/>
          </w:tcPr>
          <w:p w:rsidR="00D75405" w:rsidRPr="00B04DC3" w:rsidRDefault="00D75405" w:rsidP="00D75405">
            <w:pPr>
              <w:pStyle w:val="tableautexte"/>
            </w:pPr>
            <w:r w:rsidRPr="00B04DC3">
              <w:t>Diluent flow</w:t>
            </w:r>
          </w:p>
        </w:tc>
        <w:tc>
          <w:tcPr>
            <w:tcW w:w="5330" w:type="dxa"/>
          </w:tcPr>
          <w:p w:rsidR="00D75405" w:rsidRPr="00B04DC3" w:rsidRDefault="00D75405" w:rsidP="00D75405">
            <w:pPr>
              <w:pStyle w:val="tableautexte"/>
            </w:pPr>
            <w:r w:rsidRPr="00B04DC3">
              <w:t>±2 per cent of reading</w:t>
            </w:r>
          </w:p>
        </w:tc>
      </w:tr>
      <w:tr w:rsidR="00D75405" w:rsidRPr="00B04DC3" w:rsidTr="006C5934">
        <w:tc>
          <w:tcPr>
            <w:tcW w:w="3297" w:type="dxa"/>
            <w:tcBorders>
              <w:bottom w:val="single" w:sz="12" w:space="0" w:color="auto"/>
            </w:tcBorders>
          </w:tcPr>
          <w:p w:rsidR="00D75405" w:rsidRPr="00B04DC3" w:rsidRDefault="00D75405" w:rsidP="00D75405">
            <w:pPr>
              <w:pStyle w:val="tableautexte"/>
            </w:pPr>
            <w:r w:rsidRPr="00B04DC3">
              <w:t>Diluted exhaust gas flow</w:t>
            </w:r>
          </w:p>
        </w:tc>
        <w:tc>
          <w:tcPr>
            <w:tcW w:w="5330" w:type="dxa"/>
            <w:tcBorders>
              <w:bottom w:val="single" w:sz="12" w:space="0" w:color="auto"/>
            </w:tcBorders>
          </w:tcPr>
          <w:p w:rsidR="00D75405" w:rsidRPr="00B04DC3" w:rsidRDefault="00D75405" w:rsidP="00D75405">
            <w:pPr>
              <w:pStyle w:val="tableautexte"/>
            </w:pPr>
            <w:r w:rsidRPr="00B04DC3">
              <w:t>±2 per cent of reading</w:t>
            </w:r>
          </w:p>
        </w:tc>
      </w:tr>
    </w:tbl>
    <w:p w:rsidR="00D75405" w:rsidRPr="00B04DC3" w:rsidRDefault="00D75405" w:rsidP="00D75405">
      <w:pPr>
        <w:pStyle w:val="para"/>
        <w:spacing w:before="240"/>
        <w:rPr>
          <w:lang w:val="en-GB"/>
        </w:rPr>
      </w:pPr>
      <w:r w:rsidRPr="00B04DC3">
        <w:rPr>
          <w:lang w:val="en-GB"/>
        </w:rPr>
        <w:t>3.</w:t>
      </w:r>
      <w:r w:rsidRPr="00B04DC3">
        <w:rPr>
          <w:lang w:val="en-GB"/>
        </w:rPr>
        <w:tab/>
        <w:t>Determination of the gaseous components</w:t>
      </w:r>
    </w:p>
    <w:p w:rsidR="00D75405" w:rsidRPr="00B04DC3" w:rsidRDefault="00D75405" w:rsidP="00D75405">
      <w:pPr>
        <w:pStyle w:val="para"/>
        <w:rPr>
          <w:lang w:val="en-GB"/>
        </w:rPr>
      </w:pPr>
      <w:r w:rsidRPr="00B04DC3">
        <w:rPr>
          <w:lang w:val="en-GB"/>
        </w:rPr>
        <w:t>3.1.</w:t>
      </w:r>
      <w:r w:rsidRPr="00B04DC3">
        <w:rPr>
          <w:lang w:val="en-GB"/>
        </w:rPr>
        <w:tab/>
        <w:t>General analyzer specifications</w:t>
      </w:r>
    </w:p>
    <w:p w:rsidR="00D75405" w:rsidRPr="00B04DC3" w:rsidRDefault="00D75405" w:rsidP="00D75405">
      <w:pPr>
        <w:pStyle w:val="para"/>
        <w:rPr>
          <w:lang w:val="en-GB"/>
        </w:rPr>
      </w:pPr>
      <w:r w:rsidRPr="00B04DC3">
        <w:rPr>
          <w:lang w:val="en-GB"/>
        </w:rPr>
        <w:tab/>
        <w:t>The analyzers shall have a measuring range appropriate for the accuracy required to measure the concentrations of the exhaust gas components (paragraph 3.1.1.</w:t>
      </w:r>
      <w:r w:rsidR="00710050">
        <w:rPr>
          <w:lang w:val="en-GB"/>
        </w:rPr>
        <w:t xml:space="preserve"> below</w:t>
      </w:r>
      <w:r w:rsidRPr="00B04DC3">
        <w:rPr>
          <w:lang w:val="en-GB"/>
        </w:rPr>
        <w:t>). It is recommended that the analyzers be operated such that the measured concentration falls between 15 per cent and 100 per cent of full scale.</w:t>
      </w:r>
    </w:p>
    <w:p w:rsidR="00D75405" w:rsidRPr="00B04DC3" w:rsidRDefault="00D75405" w:rsidP="00D75405">
      <w:pPr>
        <w:pStyle w:val="para"/>
        <w:rPr>
          <w:lang w:val="en-GB"/>
        </w:rPr>
      </w:pPr>
      <w:r w:rsidRPr="00B04DC3">
        <w:rPr>
          <w:lang w:val="en-GB"/>
        </w:rPr>
        <w:tab/>
        <w:t>If read-out systems (computers, data loggers) can provide sufficient accuracy and resolution below 15 per cent of full scale, measurements below 15 per cent of full scale are also acceptable. In this case, additional calibrations of at least four non-zero nominally equally spaced points are to be made to ensure the accuracy of the calibration curves according to paragraph 1.6.4. of Appendix 5 to this annex.</w:t>
      </w:r>
    </w:p>
    <w:p w:rsidR="00D75405" w:rsidRPr="00B04DC3" w:rsidRDefault="00D75405" w:rsidP="00D75405">
      <w:pPr>
        <w:pStyle w:val="para"/>
        <w:rPr>
          <w:lang w:val="en-GB"/>
        </w:rPr>
      </w:pPr>
      <w:r w:rsidRPr="00B04DC3">
        <w:rPr>
          <w:lang w:val="en-GB"/>
        </w:rPr>
        <w:tab/>
        <w:t xml:space="preserve">The </w:t>
      </w:r>
      <w:r w:rsidR="00710050">
        <w:rPr>
          <w:lang w:val="en-GB"/>
        </w:rPr>
        <w:t>E</w:t>
      </w:r>
      <w:r w:rsidR="00710050" w:rsidRPr="00B04DC3">
        <w:rPr>
          <w:lang w:val="en-GB"/>
        </w:rPr>
        <w:t xml:space="preserve">lectromagnetic </w:t>
      </w:r>
      <w:r w:rsidR="00710050">
        <w:rPr>
          <w:lang w:val="en-GB"/>
        </w:rPr>
        <w:t>C</w:t>
      </w:r>
      <w:r w:rsidR="00710050" w:rsidRPr="00B04DC3">
        <w:rPr>
          <w:lang w:val="en-GB"/>
        </w:rPr>
        <w:t xml:space="preserve">ompatibility </w:t>
      </w:r>
      <w:r w:rsidRPr="00B04DC3">
        <w:rPr>
          <w:lang w:val="en-GB"/>
        </w:rPr>
        <w:t>(EMC) of the equipment shall be on a level as to minimize additional errors.</w:t>
      </w:r>
    </w:p>
    <w:p w:rsidR="00D75405" w:rsidRPr="00B04DC3" w:rsidRDefault="00D75405" w:rsidP="00D75405">
      <w:pPr>
        <w:pStyle w:val="para"/>
        <w:rPr>
          <w:lang w:val="en-GB"/>
        </w:rPr>
      </w:pPr>
      <w:r w:rsidRPr="00B04DC3">
        <w:rPr>
          <w:lang w:val="en-GB"/>
        </w:rPr>
        <w:t>3.1.1.</w:t>
      </w:r>
      <w:r w:rsidRPr="00B04DC3">
        <w:rPr>
          <w:lang w:val="en-GB"/>
        </w:rPr>
        <w:tab/>
        <w:t>Accuracy</w:t>
      </w:r>
    </w:p>
    <w:p w:rsidR="00D75405" w:rsidRPr="00B04DC3" w:rsidRDefault="00D75405" w:rsidP="00D75405">
      <w:pPr>
        <w:pStyle w:val="para"/>
        <w:rPr>
          <w:lang w:val="en-GB"/>
        </w:rPr>
      </w:pPr>
      <w:r w:rsidRPr="00B04DC3">
        <w:rPr>
          <w:lang w:val="en-GB"/>
        </w:rPr>
        <w:tab/>
        <w:t>The analyzer shall not deviate from the nominal calibration point by more than ±2 per cent of the reading over the whole measurement range except zero, or ±0.3 per cent of full scale whichever is larger. The accuracy shall be determined according to the calibration requirements laid down in paragraph 1.6. of Appendix 5 to this annex.</w:t>
      </w:r>
    </w:p>
    <w:p w:rsidR="00D75405" w:rsidRPr="00B04DC3" w:rsidRDefault="00D75405" w:rsidP="00D75405">
      <w:pPr>
        <w:pStyle w:val="para"/>
        <w:ind w:firstLine="0"/>
        <w:rPr>
          <w:lang w:val="en-GB"/>
        </w:rPr>
      </w:pPr>
      <w:r w:rsidRPr="00B04DC3">
        <w:rPr>
          <w:i/>
          <w:lang w:val="en-GB"/>
        </w:rPr>
        <w:t>Note:</w:t>
      </w:r>
      <w:r w:rsidRPr="00B04DC3">
        <w:rPr>
          <w:lang w:val="en-GB"/>
        </w:rPr>
        <w:tab/>
        <w:t>For the purpose of this Regulation, accuracy is defined as the deviation of the analyzer reading from the nominal calibration values using a calibration gas (= true value).</w:t>
      </w:r>
    </w:p>
    <w:p w:rsidR="00D75405" w:rsidRPr="00B04DC3" w:rsidRDefault="00D75405" w:rsidP="00D75405">
      <w:pPr>
        <w:pStyle w:val="para"/>
        <w:rPr>
          <w:lang w:val="en-GB"/>
        </w:rPr>
      </w:pPr>
      <w:r w:rsidRPr="00B04DC3">
        <w:rPr>
          <w:lang w:val="en-GB"/>
        </w:rPr>
        <w:t>3.1.2.</w:t>
      </w:r>
      <w:r w:rsidRPr="00B04DC3">
        <w:rPr>
          <w:lang w:val="en-GB"/>
        </w:rPr>
        <w:tab/>
        <w:t>Precision</w:t>
      </w:r>
    </w:p>
    <w:p w:rsidR="00D75405" w:rsidRPr="00B04DC3" w:rsidRDefault="00D75405" w:rsidP="00D75405">
      <w:pPr>
        <w:pStyle w:val="para"/>
        <w:rPr>
          <w:lang w:val="en-GB"/>
        </w:rPr>
      </w:pPr>
      <w:r w:rsidRPr="00B04DC3">
        <w:rPr>
          <w:lang w:val="en-GB"/>
        </w:rPr>
        <w:tab/>
        <w:t>The precision, defined as 2.5 times the standard deviation of 10 repetitive responses to a given calibration or span gas, has to be not greater than ±1 per cent of full scale concentration for each range used above 155 ppm (or ppmC) or ±2 per cent of each range used below 155 ppm (or ppmC).</w:t>
      </w:r>
    </w:p>
    <w:p w:rsidR="00D75405" w:rsidRPr="00B04DC3" w:rsidRDefault="00D75405" w:rsidP="00D75405">
      <w:pPr>
        <w:pStyle w:val="para"/>
        <w:rPr>
          <w:lang w:val="en-GB"/>
        </w:rPr>
      </w:pPr>
      <w:r w:rsidRPr="00B04DC3">
        <w:rPr>
          <w:lang w:val="en-GB"/>
        </w:rPr>
        <w:t>3.1.3.</w:t>
      </w:r>
      <w:r w:rsidRPr="00B04DC3">
        <w:rPr>
          <w:lang w:val="en-GB"/>
        </w:rPr>
        <w:tab/>
        <w:t>Noise</w:t>
      </w:r>
    </w:p>
    <w:p w:rsidR="00D75405" w:rsidRPr="00B04DC3" w:rsidRDefault="00D75405" w:rsidP="00D75405">
      <w:pPr>
        <w:pStyle w:val="para"/>
        <w:rPr>
          <w:lang w:val="en-GB"/>
        </w:rPr>
      </w:pPr>
      <w:r w:rsidRPr="00B04DC3">
        <w:rPr>
          <w:lang w:val="en-GB"/>
        </w:rPr>
        <w:tab/>
        <w:t>The analyzer peak-to-peak response to zero and calibration or span gases over any 10 second period shall not exceed 2 per cent of full scale on all ranges used.</w:t>
      </w:r>
    </w:p>
    <w:p w:rsidR="00D75405" w:rsidRPr="00B04DC3" w:rsidRDefault="00D75405" w:rsidP="00D75405">
      <w:pPr>
        <w:pStyle w:val="para"/>
        <w:rPr>
          <w:lang w:val="en-GB"/>
        </w:rPr>
      </w:pPr>
      <w:r w:rsidRPr="00B04DC3">
        <w:rPr>
          <w:lang w:val="en-GB"/>
        </w:rPr>
        <w:t>3.1.4.</w:t>
      </w:r>
      <w:r w:rsidRPr="00B04DC3">
        <w:rPr>
          <w:lang w:val="en-GB"/>
        </w:rPr>
        <w:tab/>
        <w:t>Zero drift</w:t>
      </w:r>
    </w:p>
    <w:p w:rsidR="00D75405" w:rsidRPr="00B04DC3" w:rsidRDefault="00D75405" w:rsidP="00D75405">
      <w:pPr>
        <w:pStyle w:val="para"/>
        <w:rPr>
          <w:lang w:val="en-GB"/>
        </w:rPr>
      </w:pPr>
      <w:r w:rsidRPr="00B04DC3">
        <w:rPr>
          <w:lang w:val="en-GB"/>
        </w:rPr>
        <w:tab/>
        <w:t>Zero response is defined as the mean response, including noise, to a zero gas during a 30 seconds time interval. The drift of the zero response during a one hour period shall be less than 2 per cent of full scale on the lowest range used.</w:t>
      </w:r>
    </w:p>
    <w:p w:rsidR="00D75405" w:rsidRPr="00B04DC3" w:rsidRDefault="00D75405" w:rsidP="00D75405">
      <w:pPr>
        <w:pStyle w:val="para"/>
        <w:rPr>
          <w:lang w:val="en-GB"/>
        </w:rPr>
      </w:pPr>
      <w:r w:rsidRPr="00B04DC3">
        <w:rPr>
          <w:lang w:val="en-GB"/>
        </w:rPr>
        <w:t>3.1.5.</w:t>
      </w:r>
      <w:r w:rsidRPr="00B04DC3">
        <w:rPr>
          <w:lang w:val="en-GB"/>
        </w:rPr>
        <w:tab/>
        <w:t>Span drift</w:t>
      </w:r>
    </w:p>
    <w:p w:rsidR="00D75405" w:rsidRPr="00B04DC3" w:rsidRDefault="00D75405" w:rsidP="00D75405">
      <w:pPr>
        <w:pStyle w:val="para"/>
        <w:rPr>
          <w:lang w:val="en-GB"/>
        </w:rPr>
      </w:pPr>
      <w:r w:rsidRPr="00B04DC3">
        <w:rPr>
          <w:lang w:val="en-GB"/>
        </w:rPr>
        <w:tab/>
        <w:t>Span response is defined as the mean response, including noise, to a span gas during a 30 seconds time interval. The drift of the span response during a one hour period shall be less than 2 per cent of full scale on the lowest range used.</w:t>
      </w:r>
    </w:p>
    <w:p w:rsidR="00D75405" w:rsidRPr="00B04DC3" w:rsidRDefault="00D75405" w:rsidP="00D75405">
      <w:pPr>
        <w:pStyle w:val="para"/>
        <w:rPr>
          <w:lang w:val="en-GB"/>
        </w:rPr>
      </w:pPr>
      <w:r w:rsidRPr="00B04DC3">
        <w:rPr>
          <w:lang w:val="en-GB"/>
        </w:rPr>
        <w:t>3.1.6.</w:t>
      </w:r>
      <w:r w:rsidRPr="00B04DC3">
        <w:rPr>
          <w:lang w:val="en-GB"/>
        </w:rPr>
        <w:tab/>
        <w:t>Rise time</w:t>
      </w:r>
    </w:p>
    <w:p w:rsidR="00D75405" w:rsidRPr="00B04DC3" w:rsidRDefault="00D75405" w:rsidP="00D75405">
      <w:pPr>
        <w:pStyle w:val="para"/>
        <w:rPr>
          <w:lang w:val="en-GB"/>
        </w:rPr>
      </w:pPr>
      <w:r w:rsidRPr="00B04DC3">
        <w:rPr>
          <w:lang w:val="en-GB"/>
        </w:rPr>
        <w:tab/>
        <w:t>The rise time of the analyzer installed in the measurement system shall not exceed 3.5 seconds.</w:t>
      </w:r>
    </w:p>
    <w:p w:rsidR="00D75405" w:rsidRPr="00B04DC3" w:rsidRDefault="00D75405" w:rsidP="00D75405">
      <w:pPr>
        <w:pStyle w:val="para"/>
        <w:ind w:firstLine="0"/>
        <w:rPr>
          <w:lang w:val="en-GB"/>
        </w:rPr>
      </w:pPr>
      <w:r w:rsidRPr="00B04DC3">
        <w:rPr>
          <w:i/>
          <w:lang w:val="en-GB"/>
        </w:rPr>
        <w:t>Note:</w:t>
      </w:r>
      <w:r w:rsidRPr="00B04DC3">
        <w:rPr>
          <w:lang w:val="en-GB"/>
        </w:rPr>
        <w:t xml:space="preserve"> Only evaluating the response time of the analyzer alone will not clearly define the suitability of the total system for transient testing. Volumes and especially dead volumes through out the system will not only effect the transportation time from the probe to the analyzer, but also effect the rise time. Also transport times inside of an analyzer would be defined as analyzer response time, like the converter or water traps inside NO</w:t>
      </w:r>
      <w:r w:rsidRPr="00B04DC3">
        <w:rPr>
          <w:vertAlign w:val="subscript"/>
          <w:lang w:val="en-GB"/>
        </w:rPr>
        <w:t>x</w:t>
      </w:r>
      <w:r w:rsidRPr="00B04DC3">
        <w:rPr>
          <w:lang w:val="en-GB"/>
        </w:rPr>
        <w:t xml:space="preserve"> analyzers. The determination of the total system response time is described in paragraph 1.5. of Appendix 5 to this annex.</w:t>
      </w:r>
    </w:p>
    <w:p w:rsidR="00D75405" w:rsidRPr="00B04DC3" w:rsidRDefault="00D75405" w:rsidP="00D75405">
      <w:pPr>
        <w:pStyle w:val="para"/>
        <w:rPr>
          <w:lang w:val="en-GB"/>
        </w:rPr>
      </w:pPr>
      <w:r w:rsidRPr="00B04DC3">
        <w:rPr>
          <w:lang w:val="en-GB"/>
        </w:rPr>
        <w:t>3.2.</w:t>
      </w:r>
      <w:r w:rsidRPr="00B04DC3">
        <w:rPr>
          <w:lang w:val="en-GB"/>
        </w:rPr>
        <w:tab/>
        <w:t>Gas drying</w:t>
      </w:r>
    </w:p>
    <w:p w:rsidR="00D75405" w:rsidRPr="00B04DC3" w:rsidRDefault="00D75405" w:rsidP="00D75405">
      <w:pPr>
        <w:pStyle w:val="para"/>
        <w:rPr>
          <w:lang w:val="en-GB"/>
        </w:rPr>
      </w:pPr>
      <w:r w:rsidRPr="00B04DC3">
        <w:rPr>
          <w:lang w:val="en-GB"/>
        </w:rPr>
        <w:tab/>
        <w:t>The optional gas drying device shall have a minimal effect on the concentration of the measured gases. Chemical dryers are not an acceptable method of removing water from the sample.</w:t>
      </w:r>
    </w:p>
    <w:p w:rsidR="00D75405" w:rsidRPr="00B04DC3" w:rsidRDefault="00D75405" w:rsidP="00D75405">
      <w:pPr>
        <w:pStyle w:val="para"/>
        <w:rPr>
          <w:lang w:val="en-GB"/>
        </w:rPr>
      </w:pPr>
      <w:r w:rsidRPr="00B04DC3">
        <w:rPr>
          <w:lang w:val="en-GB"/>
        </w:rPr>
        <w:t>3.3.</w:t>
      </w:r>
      <w:r w:rsidRPr="00B04DC3">
        <w:rPr>
          <w:lang w:val="en-GB"/>
        </w:rPr>
        <w:tab/>
        <w:t>Analyzers</w:t>
      </w:r>
    </w:p>
    <w:p w:rsidR="00D75405" w:rsidRPr="00B04DC3" w:rsidRDefault="00D75405" w:rsidP="00D75405">
      <w:pPr>
        <w:pStyle w:val="para"/>
        <w:rPr>
          <w:lang w:val="en-GB"/>
        </w:rPr>
      </w:pPr>
      <w:r w:rsidRPr="00B04DC3">
        <w:rPr>
          <w:lang w:val="en-GB"/>
        </w:rPr>
        <w:tab/>
        <w:t>Paragraphs 3.3.1 to 3.3.4 describe the measurement principles to be used. A detailed description of the measurement systems is given in Appendix 7</w:t>
      </w:r>
      <w:r w:rsidR="00710050">
        <w:rPr>
          <w:lang w:val="en-GB"/>
        </w:rPr>
        <w:t xml:space="preserve"> of this annex</w:t>
      </w:r>
      <w:r w:rsidRPr="00B04DC3">
        <w:rPr>
          <w:lang w:val="en-GB"/>
        </w:rPr>
        <w:t>. The gases to be measured shall be analyzed with the following instruments. For non-linear analyzers, the use of linearizing circuits is permitted.</w:t>
      </w:r>
    </w:p>
    <w:p w:rsidR="00D75405" w:rsidRPr="00B04DC3" w:rsidRDefault="00D75405" w:rsidP="00D75405">
      <w:pPr>
        <w:pStyle w:val="para"/>
        <w:rPr>
          <w:lang w:val="en-GB"/>
        </w:rPr>
      </w:pPr>
      <w:r w:rsidRPr="00B04DC3">
        <w:rPr>
          <w:lang w:val="en-GB"/>
        </w:rPr>
        <w:br w:type="page"/>
        <w:t>3.3.1.</w:t>
      </w:r>
      <w:r w:rsidRPr="00B04DC3">
        <w:rPr>
          <w:lang w:val="en-GB"/>
        </w:rPr>
        <w:tab/>
        <w:t>Carbon monoxide (CO) analysis</w:t>
      </w:r>
    </w:p>
    <w:p w:rsidR="00D75405" w:rsidRPr="00B04DC3" w:rsidRDefault="00D75405" w:rsidP="00D75405">
      <w:pPr>
        <w:pStyle w:val="para"/>
        <w:rPr>
          <w:lang w:val="en-GB"/>
        </w:rPr>
      </w:pPr>
      <w:r w:rsidRPr="00B04DC3">
        <w:rPr>
          <w:lang w:val="en-GB"/>
        </w:rPr>
        <w:tab/>
        <w:t>The carbon monoxide analyzer shall be of the Non-Dispersive InfraRed (NDIR) absorption type.</w:t>
      </w:r>
    </w:p>
    <w:p w:rsidR="00D75405" w:rsidRPr="00B04DC3" w:rsidRDefault="00D75405" w:rsidP="00D75405">
      <w:pPr>
        <w:pStyle w:val="para"/>
        <w:rPr>
          <w:lang w:val="en-GB"/>
        </w:rPr>
      </w:pPr>
      <w:r w:rsidRPr="00B04DC3">
        <w:rPr>
          <w:lang w:val="en-GB"/>
        </w:rPr>
        <w:t>3.3.2.</w:t>
      </w:r>
      <w:r w:rsidRPr="00B04DC3">
        <w:rPr>
          <w:lang w:val="en-GB"/>
        </w:rPr>
        <w:tab/>
        <w:t>Carbon dioxide (CO</w:t>
      </w:r>
      <w:r w:rsidRPr="00B04DC3">
        <w:rPr>
          <w:vertAlign w:val="subscript"/>
          <w:lang w:val="en-GB"/>
        </w:rPr>
        <w:t>2</w:t>
      </w:r>
      <w:r w:rsidRPr="00B04DC3">
        <w:rPr>
          <w:lang w:val="en-GB"/>
        </w:rPr>
        <w:t>) analysis</w:t>
      </w:r>
    </w:p>
    <w:p w:rsidR="00D75405" w:rsidRPr="00B04DC3" w:rsidRDefault="00D75405" w:rsidP="00D75405">
      <w:pPr>
        <w:pStyle w:val="para"/>
        <w:rPr>
          <w:lang w:val="en-GB"/>
        </w:rPr>
      </w:pPr>
      <w:r w:rsidRPr="00B04DC3">
        <w:rPr>
          <w:lang w:val="en-GB"/>
        </w:rPr>
        <w:tab/>
        <w:t>The carbon dioxide analyzer shall be of the Non-Dispersive InfraRed (NDIR) absorption type.</w:t>
      </w:r>
    </w:p>
    <w:p w:rsidR="00D75405" w:rsidRPr="00B04DC3" w:rsidRDefault="00D75405" w:rsidP="00D75405">
      <w:pPr>
        <w:pStyle w:val="para"/>
        <w:rPr>
          <w:lang w:val="en-GB"/>
        </w:rPr>
      </w:pPr>
      <w:r w:rsidRPr="00B04DC3">
        <w:rPr>
          <w:lang w:val="en-GB"/>
        </w:rPr>
        <w:t>3.3.3.</w:t>
      </w:r>
      <w:r w:rsidRPr="00B04DC3">
        <w:rPr>
          <w:lang w:val="en-GB"/>
        </w:rPr>
        <w:tab/>
        <w:t>Hydrocarbon (HC) analysis</w:t>
      </w:r>
    </w:p>
    <w:p w:rsidR="00D75405" w:rsidRPr="00B04DC3" w:rsidRDefault="00D75405" w:rsidP="00D75405">
      <w:pPr>
        <w:pStyle w:val="para"/>
        <w:rPr>
          <w:lang w:val="en-GB"/>
        </w:rPr>
      </w:pPr>
      <w:r w:rsidRPr="00B04DC3">
        <w:rPr>
          <w:lang w:val="en-GB"/>
        </w:rPr>
        <w:tab/>
        <w:t>For diesel and LPG fuelled gas engines, the hydrocarbon analyzer shall be of the Heated Flame Ionisation Detector (HFID) type with detector, valves, pipework, etc. heated so as to maintain a gas temperature of 463 K ± 10 K (190 ± 10 °C). For NG fuelled gas engines, the hydrocarbon analyzer may be of the non heated Flame Ionisation Detector (FID) type depending upon the method used (see paragraph 1.3. of Appendix 7</w:t>
      </w:r>
      <w:r w:rsidR="00347858">
        <w:rPr>
          <w:lang w:val="en-GB"/>
        </w:rPr>
        <w:t xml:space="preserve"> to this annex</w:t>
      </w:r>
      <w:r w:rsidRPr="00B04DC3">
        <w:rPr>
          <w:lang w:val="en-GB"/>
        </w:rPr>
        <w:t>).</w:t>
      </w:r>
    </w:p>
    <w:p w:rsidR="00D75405" w:rsidRPr="00B04DC3" w:rsidRDefault="00D75405" w:rsidP="00D75405">
      <w:pPr>
        <w:pStyle w:val="para"/>
        <w:rPr>
          <w:lang w:val="en-GB"/>
        </w:rPr>
      </w:pPr>
      <w:r w:rsidRPr="00B04DC3">
        <w:rPr>
          <w:lang w:val="en-GB"/>
        </w:rPr>
        <w:t>3.3.4.</w:t>
      </w:r>
      <w:r w:rsidRPr="00B04DC3">
        <w:rPr>
          <w:lang w:val="en-GB"/>
        </w:rPr>
        <w:tab/>
        <w:t>Non-Methane Hydrocarbon (NMHC) analysis (NG fuelled gas engines only)</w:t>
      </w:r>
    </w:p>
    <w:p w:rsidR="00D75405" w:rsidRPr="00B04DC3" w:rsidRDefault="00D75405" w:rsidP="00D75405">
      <w:pPr>
        <w:pStyle w:val="para"/>
        <w:rPr>
          <w:lang w:val="en-GB"/>
        </w:rPr>
      </w:pPr>
      <w:r w:rsidRPr="00B04DC3">
        <w:rPr>
          <w:lang w:val="en-GB"/>
        </w:rPr>
        <w:tab/>
        <w:t>Non-methane hydrocarbons shall be determined by either of the following methods:</w:t>
      </w:r>
    </w:p>
    <w:p w:rsidR="00D75405" w:rsidRPr="00B04DC3" w:rsidRDefault="00D75405" w:rsidP="00D75405">
      <w:pPr>
        <w:pStyle w:val="para"/>
        <w:rPr>
          <w:lang w:val="en-GB"/>
        </w:rPr>
      </w:pPr>
      <w:r w:rsidRPr="00B04DC3">
        <w:rPr>
          <w:lang w:val="en-GB"/>
        </w:rPr>
        <w:t>3.3.4.1.</w:t>
      </w:r>
      <w:r w:rsidRPr="00B04DC3">
        <w:rPr>
          <w:lang w:val="en-GB"/>
        </w:rPr>
        <w:tab/>
        <w:t xml:space="preserve">Gas </w:t>
      </w:r>
      <w:r w:rsidR="00710050">
        <w:rPr>
          <w:lang w:val="en-GB"/>
        </w:rPr>
        <w:t>C</w:t>
      </w:r>
      <w:r w:rsidR="00710050" w:rsidRPr="00B04DC3">
        <w:rPr>
          <w:lang w:val="en-GB"/>
        </w:rPr>
        <w:t xml:space="preserve">hromatograph </w:t>
      </w:r>
      <w:r w:rsidRPr="00B04DC3">
        <w:rPr>
          <w:lang w:val="en-GB"/>
        </w:rPr>
        <w:t>(GC) method</w:t>
      </w:r>
    </w:p>
    <w:p w:rsidR="00D75405" w:rsidRPr="00B04DC3" w:rsidRDefault="00D75405" w:rsidP="00D75405">
      <w:pPr>
        <w:pStyle w:val="para"/>
        <w:rPr>
          <w:lang w:val="en-GB"/>
        </w:rPr>
      </w:pPr>
      <w:r w:rsidRPr="00B04DC3">
        <w:rPr>
          <w:lang w:val="en-GB"/>
        </w:rPr>
        <w:tab/>
        <w:t>Non-methane hydrocarbons shall be determined by subtraction of the methane analysed with a Gas Chromatograph (GC) conditioned at 423 K (150 °C) from the hydrocarbons measured according to paragraph 3.3.3.</w:t>
      </w:r>
      <w:r w:rsidR="00710050" w:rsidRPr="00710050">
        <w:rPr>
          <w:lang w:val="en-GB"/>
        </w:rPr>
        <w:t xml:space="preserve"> </w:t>
      </w:r>
      <w:r w:rsidR="00710050">
        <w:rPr>
          <w:lang w:val="en-GB"/>
        </w:rPr>
        <w:t>of this appendix.</w:t>
      </w:r>
    </w:p>
    <w:p w:rsidR="00D75405" w:rsidRPr="00B04DC3" w:rsidRDefault="00D75405" w:rsidP="00D75405">
      <w:pPr>
        <w:pStyle w:val="para"/>
        <w:rPr>
          <w:lang w:val="en-GB"/>
        </w:rPr>
      </w:pPr>
      <w:r w:rsidRPr="00B04DC3">
        <w:rPr>
          <w:lang w:val="en-GB"/>
        </w:rPr>
        <w:t>3.3.4.2.</w:t>
      </w:r>
      <w:r w:rsidRPr="00B04DC3">
        <w:rPr>
          <w:lang w:val="en-GB"/>
        </w:rPr>
        <w:tab/>
        <w:t>Non-Methane Cutter (NMC) method</w:t>
      </w:r>
    </w:p>
    <w:p w:rsidR="00D75405" w:rsidRPr="00B04DC3" w:rsidRDefault="00D75405" w:rsidP="00D75405">
      <w:pPr>
        <w:pStyle w:val="para"/>
        <w:rPr>
          <w:lang w:val="en-GB"/>
        </w:rPr>
      </w:pPr>
      <w:r w:rsidRPr="00B04DC3">
        <w:rPr>
          <w:lang w:val="en-GB"/>
        </w:rPr>
        <w:tab/>
        <w:t xml:space="preserve">The determination of the non-methane fraction shall be performed with a heated NMC operated in line with an FID as per paragraph 3.3.3. </w:t>
      </w:r>
      <w:r w:rsidR="00710050">
        <w:rPr>
          <w:lang w:val="en-GB"/>
        </w:rPr>
        <w:t>of this appendix</w:t>
      </w:r>
      <w:r w:rsidR="00710050" w:rsidRPr="00B04DC3">
        <w:rPr>
          <w:lang w:val="en-GB"/>
        </w:rPr>
        <w:t xml:space="preserve"> </w:t>
      </w:r>
      <w:r w:rsidRPr="00B04DC3">
        <w:rPr>
          <w:lang w:val="en-GB"/>
        </w:rPr>
        <w:t>by subtraction of the methane from the hydrocarbons.</w:t>
      </w:r>
    </w:p>
    <w:p w:rsidR="00D75405" w:rsidRPr="00B04DC3" w:rsidRDefault="00D75405" w:rsidP="00D75405">
      <w:pPr>
        <w:pStyle w:val="para"/>
        <w:rPr>
          <w:lang w:val="en-GB"/>
        </w:rPr>
      </w:pPr>
      <w:r w:rsidRPr="00B04DC3">
        <w:rPr>
          <w:lang w:val="en-GB"/>
        </w:rPr>
        <w:t>3.3.5.</w:t>
      </w:r>
      <w:r w:rsidRPr="00B04DC3">
        <w:rPr>
          <w:lang w:val="en-GB"/>
        </w:rPr>
        <w:tab/>
        <w:t>Oxides of nitrogen (NO</w:t>
      </w:r>
      <w:r w:rsidRPr="00B04DC3">
        <w:rPr>
          <w:vertAlign w:val="subscript"/>
          <w:lang w:val="en-GB"/>
        </w:rPr>
        <w:t>x</w:t>
      </w:r>
      <w:r w:rsidRPr="00B04DC3">
        <w:rPr>
          <w:lang w:val="en-GB"/>
        </w:rPr>
        <w:t>) analysis</w:t>
      </w:r>
    </w:p>
    <w:p w:rsidR="00D75405" w:rsidRPr="00B04DC3" w:rsidRDefault="00D75405" w:rsidP="00D75405">
      <w:pPr>
        <w:pStyle w:val="para"/>
        <w:rPr>
          <w:lang w:val="en-GB"/>
        </w:rPr>
      </w:pPr>
      <w:r w:rsidRPr="00B04DC3">
        <w:rPr>
          <w:lang w:val="en-GB"/>
        </w:rPr>
        <w:tab/>
        <w:t>The oxides of nitrogen analyzer shall be of the ChemiLuminescent Detector (CLD) or Heated ChemiLuminescent Detector (HCLD) type with a NO</w:t>
      </w:r>
      <w:r w:rsidRPr="00B04DC3">
        <w:rPr>
          <w:vertAlign w:val="subscript"/>
          <w:lang w:val="en-GB"/>
        </w:rPr>
        <w:t>2</w:t>
      </w:r>
      <w:r w:rsidRPr="00B04DC3">
        <w:rPr>
          <w:lang w:val="en-GB"/>
        </w:rPr>
        <w:t>/NO converter, if measured on a dry basis. If measured on a wet basis, a HCLD with converter maintained above 328 K (55 °C) shall be used, provided the water quench check (see paragraph 1.9.2.2. of Appendix 5 to this annex) is satisfied.</w:t>
      </w:r>
    </w:p>
    <w:p w:rsidR="00D75405" w:rsidRPr="00B04DC3" w:rsidRDefault="00D75405" w:rsidP="00D75405">
      <w:pPr>
        <w:pStyle w:val="para"/>
        <w:rPr>
          <w:lang w:val="en-GB"/>
        </w:rPr>
      </w:pPr>
      <w:r w:rsidRPr="00B04DC3">
        <w:rPr>
          <w:lang w:val="en-GB"/>
        </w:rPr>
        <w:t>3.3.6.</w:t>
      </w:r>
      <w:r w:rsidRPr="00B04DC3">
        <w:rPr>
          <w:lang w:val="en-GB"/>
        </w:rPr>
        <w:tab/>
        <w:t>Air-to-fuel measurement</w:t>
      </w:r>
      <w:bookmarkStart w:id="250" w:name="_Toc472585094"/>
    </w:p>
    <w:p w:rsidR="00D75405" w:rsidRPr="00B04DC3" w:rsidRDefault="00D75405" w:rsidP="00D75405">
      <w:pPr>
        <w:pStyle w:val="para"/>
        <w:rPr>
          <w:lang w:val="en-GB"/>
        </w:rPr>
      </w:pPr>
      <w:r w:rsidRPr="00B04DC3">
        <w:rPr>
          <w:lang w:val="en-GB"/>
        </w:rPr>
        <w:tab/>
        <w:t>The air to fuel measurement equipment used to determine the exhaust gas flow as specified in paragraph 4.2.5. of Appendix 2 to this annex shall be a wide range air to fuel ratio sensor or lambda sensor of Zirconia type. The sensor shall be mounted directly on the exhaust pipe where the exhaust gas temperature is high enough to eliminate water condensation.</w:t>
      </w:r>
    </w:p>
    <w:p w:rsidR="00D75405" w:rsidRPr="00B04DC3" w:rsidRDefault="00D75405" w:rsidP="00D75405">
      <w:pPr>
        <w:pStyle w:val="para"/>
        <w:rPr>
          <w:lang w:val="en-GB"/>
        </w:rPr>
      </w:pPr>
      <w:r w:rsidRPr="00B04DC3">
        <w:rPr>
          <w:lang w:val="en-GB"/>
        </w:rPr>
        <w:tab/>
        <w:t>The accuracy of the sensor with incorporated electronics shall be within:</w:t>
      </w:r>
    </w:p>
    <w:p w:rsidR="00D75405" w:rsidRPr="00B04DC3" w:rsidRDefault="00D75405" w:rsidP="00D75405">
      <w:pPr>
        <w:pStyle w:val="para"/>
        <w:rPr>
          <w:lang w:val="en-GB"/>
        </w:rPr>
      </w:pPr>
      <w:r w:rsidRPr="00B04DC3">
        <w:rPr>
          <w:lang w:val="en-GB"/>
        </w:rPr>
        <w:tab/>
      </w:r>
      <w:r w:rsidRPr="00B04DC3">
        <w:rPr>
          <w:lang w:val="en-GB"/>
        </w:rPr>
        <w:tab/>
      </w:r>
      <w:r w:rsidRPr="00B04DC3">
        <w:rPr>
          <w:lang w:val="en-GB"/>
        </w:rPr>
        <w:sym w:font="Symbol" w:char="F0B1"/>
      </w:r>
      <w:r w:rsidRPr="00B04DC3">
        <w:rPr>
          <w:lang w:val="en-GB"/>
        </w:rPr>
        <w:t>3 per cent of reading</w:t>
      </w:r>
      <w:r w:rsidRPr="00B04DC3">
        <w:rPr>
          <w:lang w:val="en-GB"/>
        </w:rPr>
        <w:tab/>
      </w:r>
      <w:r w:rsidRPr="00B04DC3">
        <w:rPr>
          <w:lang w:val="en-GB"/>
        </w:rPr>
        <w:sym w:font="Symbol" w:char="F06C"/>
      </w:r>
      <w:r w:rsidRPr="00B04DC3">
        <w:rPr>
          <w:lang w:val="en-GB"/>
        </w:rPr>
        <w:t xml:space="preserve"> &lt; 2</w:t>
      </w:r>
    </w:p>
    <w:p w:rsidR="00D75405" w:rsidRPr="00B04DC3" w:rsidRDefault="00D75405" w:rsidP="00D75405">
      <w:pPr>
        <w:pStyle w:val="para"/>
        <w:rPr>
          <w:lang w:val="en-GB"/>
        </w:rPr>
      </w:pPr>
      <w:r w:rsidRPr="00B04DC3">
        <w:rPr>
          <w:lang w:val="en-GB"/>
        </w:rPr>
        <w:tab/>
      </w:r>
      <w:r w:rsidRPr="00B04DC3">
        <w:rPr>
          <w:lang w:val="en-GB"/>
        </w:rPr>
        <w:tab/>
      </w:r>
      <w:r w:rsidRPr="00B04DC3">
        <w:rPr>
          <w:lang w:val="en-GB"/>
        </w:rPr>
        <w:sym w:font="Symbol" w:char="F0B1"/>
      </w:r>
      <w:r w:rsidRPr="00B04DC3">
        <w:rPr>
          <w:lang w:val="en-GB"/>
        </w:rPr>
        <w:t>5 per cent of reading</w:t>
      </w:r>
      <w:r w:rsidRPr="00B04DC3">
        <w:rPr>
          <w:lang w:val="en-GB"/>
        </w:rPr>
        <w:tab/>
        <w:t xml:space="preserve">2 </w:t>
      </w:r>
      <w:r w:rsidRPr="00B04DC3">
        <w:rPr>
          <w:lang w:val="en-GB"/>
        </w:rPr>
        <w:sym w:font="Symbol" w:char="F0A3"/>
      </w:r>
      <w:r w:rsidRPr="00B04DC3">
        <w:rPr>
          <w:lang w:val="en-GB"/>
        </w:rPr>
        <w:t xml:space="preserve"> </w:t>
      </w:r>
      <w:r w:rsidRPr="00B04DC3">
        <w:rPr>
          <w:lang w:val="en-GB"/>
        </w:rPr>
        <w:sym w:font="Symbol" w:char="F06C"/>
      </w:r>
      <w:r w:rsidRPr="00B04DC3">
        <w:rPr>
          <w:lang w:val="en-GB"/>
        </w:rPr>
        <w:t xml:space="preserve"> &lt; 5</w:t>
      </w:r>
    </w:p>
    <w:p w:rsidR="00D75405" w:rsidRPr="00B04DC3" w:rsidRDefault="00D75405" w:rsidP="00D75405">
      <w:pPr>
        <w:pStyle w:val="para"/>
        <w:rPr>
          <w:lang w:val="en-GB"/>
        </w:rPr>
      </w:pPr>
      <w:r w:rsidRPr="00B04DC3">
        <w:rPr>
          <w:lang w:val="en-GB"/>
        </w:rPr>
        <w:tab/>
      </w:r>
      <w:r w:rsidRPr="00B04DC3">
        <w:rPr>
          <w:lang w:val="en-GB"/>
        </w:rPr>
        <w:tab/>
      </w:r>
      <w:r w:rsidRPr="00B04DC3">
        <w:rPr>
          <w:lang w:val="en-GB"/>
        </w:rPr>
        <w:sym w:font="Symbol" w:char="F0B1"/>
      </w:r>
      <w:r w:rsidRPr="00B04DC3">
        <w:rPr>
          <w:lang w:val="en-GB"/>
        </w:rPr>
        <w:t>10 per cent of reading</w:t>
      </w:r>
      <w:r w:rsidRPr="00B04DC3">
        <w:rPr>
          <w:lang w:val="en-GB"/>
        </w:rPr>
        <w:tab/>
        <w:t xml:space="preserve">5 </w:t>
      </w:r>
      <w:r w:rsidRPr="00B04DC3">
        <w:rPr>
          <w:lang w:val="en-GB"/>
        </w:rPr>
        <w:sym w:font="Symbol" w:char="F0A3"/>
      </w:r>
      <w:r w:rsidRPr="00B04DC3">
        <w:rPr>
          <w:lang w:val="en-GB"/>
        </w:rPr>
        <w:t xml:space="preserve"> </w:t>
      </w:r>
      <w:r w:rsidRPr="00B04DC3">
        <w:rPr>
          <w:lang w:val="en-GB"/>
        </w:rPr>
        <w:sym w:font="Symbol" w:char="F06C"/>
      </w:r>
    </w:p>
    <w:p w:rsidR="00D75405" w:rsidRPr="00B04DC3" w:rsidRDefault="00D75405" w:rsidP="00D75405">
      <w:pPr>
        <w:pStyle w:val="para"/>
        <w:rPr>
          <w:lang w:val="en-GB"/>
        </w:rPr>
      </w:pPr>
      <w:r w:rsidRPr="00B04DC3">
        <w:rPr>
          <w:lang w:val="en-GB"/>
        </w:rPr>
        <w:tab/>
        <w:t>To fulfil the accuracy specified above, the sensor shall be calibrated as specified by the instrument manufacturer.</w:t>
      </w:r>
      <w:bookmarkEnd w:id="250"/>
    </w:p>
    <w:p w:rsidR="00D75405" w:rsidRPr="00B04DC3" w:rsidRDefault="00D75405" w:rsidP="00D75405">
      <w:pPr>
        <w:pStyle w:val="para"/>
        <w:rPr>
          <w:lang w:val="en-GB"/>
        </w:rPr>
      </w:pPr>
      <w:r w:rsidRPr="00B04DC3">
        <w:rPr>
          <w:lang w:val="en-GB"/>
        </w:rPr>
        <w:t>3.4.</w:t>
      </w:r>
      <w:r w:rsidRPr="00B04DC3">
        <w:rPr>
          <w:lang w:val="en-GB"/>
        </w:rPr>
        <w:tab/>
        <w:t>Sampling of gaseous emissions</w:t>
      </w:r>
    </w:p>
    <w:p w:rsidR="00D75405" w:rsidRPr="00B04DC3" w:rsidRDefault="00D75405" w:rsidP="00D75405">
      <w:pPr>
        <w:pStyle w:val="para"/>
        <w:rPr>
          <w:lang w:val="en-GB"/>
        </w:rPr>
      </w:pPr>
      <w:r w:rsidRPr="00B04DC3">
        <w:rPr>
          <w:lang w:val="en-GB"/>
        </w:rPr>
        <w:t>3.4.1.</w:t>
      </w:r>
      <w:r w:rsidRPr="00B04DC3">
        <w:rPr>
          <w:lang w:val="en-GB"/>
        </w:rPr>
        <w:tab/>
        <w:t>Raw exhaust gas</w:t>
      </w:r>
    </w:p>
    <w:p w:rsidR="00D75405" w:rsidRPr="00B04DC3" w:rsidRDefault="00D75405" w:rsidP="00D75405">
      <w:pPr>
        <w:pStyle w:val="para"/>
        <w:rPr>
          <w:lang w:val="en-GB"/>
        </w:rPr>
      </w:pPr>
      <w:r w:rsidRPr="00B04DC3">
        <w:rPr>
          <w:lang w:val="en-GB"/>
        </w:rPr>
        <w:tab/>
        <w:t>The gaseous emissions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rsidR="00D75405" w:rsidRPr="00B04DC3" w:rsidRDefault="00D75405" w:rsidP="00D75405">
      <w:pPr>
        <w:pStyle w:val="para"/>
        <w:rPr>
          <w:lang w:val="en-GB"/>
        </w:rPr>
      </w:pPr>
      <w:r w:rsidRPr="00B04DC3">
        <w:rPr>
          <w:lang w:val="en-GB"/>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CO</w:t>
      </w:r>
      <w:r w:rsidRPr="00B04DC3">
        <w:rPr>
          <w:vertAlign w:val="subscript"/>
          <w:lang w:val="en-GB"/>
        </w:rPr>
        <w:t>2</w:t>
      </w:r>
      <w:r w:rsidRPr="00B04DC3">
        <w:rPr>
          <w:lang w:val="en-GB"/>
        </w:rPr>
        <w:t xml:space="preserve"> emission. Other methods which have been shown to correlate with the above methods may be used. For exhaust emission calculation the total exhaust mass flow shall be used.</w:t>
      </w:r>
    </w:p>
    <w:p w:rsidR="00D75405" w:rsidRPr="00B04DC3" w:rsidRDefault="00D75405" w:rsidP="00D75405">
      <w:pPr>
        <w:pStyle w:val="para"/>
        <w:rPr>
          <w:lang w:val="en-GB"/>
        </w:rPr>
      </w:pPr>
      <w:r w:rsidRPr="00B04DC3">
        <w:rPr>
          <w:lang w:val="en-GB"/>
        </w:rPr>
        <w:tab/>
        <w:t xml:space="preserve">If the engine is equipped with an exhaust </w:t>
      </w:r>
      <w:r w:rsidR="006A75A0">
        <w:rPr>
          <w:lang w:val="en-GB"/>
        </w:rPr>
        <w:t>after-treatment</w:t>
      </w:r>
      <w:r w:rsidRPr="00B04DC3">
        <w:rPr>
          <w:lang w:val="en-GB"/>
        </w:rPr>
        <w:t xml:space="preserve"> system, the exhaust sample shall be taken downstream of the exhaust </w:t>
      </w:r>
      <w:r w:rsidR="006A75A0">
        <w:rPr>
          <w:lang w:val="en-GB"/>
        </w:rPr>
        <w:t>after-treatment</w:t>
      </w:r>
      <w:r w:rsidRPr="00B04DC3">
        <w:rPr>
          <w:lang w:val="en-GB"/>
        </w:rPr>
        <w:t xml:space="preserve"> system.</w:t>
      </w:r>
    </w:p>
    <w:p w:rsidR="00D75405" w:rsidRPr="00B04DC3" w:rsidRDefault="00D75405" w:rsidP="00D75405">
      <w:pPr>
        <w:pStyle w:val="para"/>
        <w:rPr>
          <w:lang w:val="en-GB"/>
        </w:rPr>
      </w:pPr>
      <w:r w:rsidRPr="00B04DC3">
        <w:rPr>
          <w:lang w:val="en-GB"/>
        </w:rPr>
        <w:t>3.4.2.</w:t>
      </w:r>
      <w:r w:rsidRPr="00B04DC3">
        <w:rPr>
          <w:lang w:val="en-GB"/>
        </w:rPr>
        <w:tab/>
        <w:t>Diluted exhaust gas</w:t>
      </w:r>
    </w:p>
    <w:p w:rsidR="00D75405" w:rsidRPr="00B04DC3" w:rsidRDefault="00D75405" w:rsidP="00D75405">
      <w:pPr>
        <w:pStyle w:val="para"/>
        <w:rPr>
          <w:lang w:val="en-GB"/>
        </w:rPr>
      </w:pPr>
      <w:r w:rsidRPr="00B04DC3">
        <w:rPr>
          <w:lang w:val="en-GB"/>
        </w:rPr>
        <w:tab/>
        <w:t xml:space="preserve">The </w:t>
      </w:r>
      <w:r w:rsidR="00710050">
        <w:rPr>
          <w:lang w:val="en-GB"/>
        </w:rPr>
        <w:t>E</w:t>
      </w:r>
      <w:r w:rsidR="00710050" w:rsidRPr="00B04DC3">
        <w:rPr>
          <w:lang w:val="en-GB"/>
        </w:rPr>
        <w:t xml:space="preserve">xhaust </w:t>
      </w:r>
      <w:r w:rsidR="00710050">
        <w:rPr>
          <w:lang w:val="en-GB"/>
        </w:rPr>
        <w:t>P</w:t>
      </w:r>
      <w:r w:rsidR="00710050" w:rsidRPr="00B04DC3">
        <w:rPr>
          <w:lang w:val="en-GB"/>
        </w:rPr>
        <w:t xml:space="preserve">ipe </w:t>
      </w:r>
      <w:r w:rsidR="00710050">
        <w:rPr>
          <w:lang w:val="en-GB"/>
        </w:rPr>
        <w:t xml:space="preserve">(EP) </w:t>
      </w:r>
      <w:r w:rsidRPr="00B04DC3">
        <w:rPr>
          <w:lang w:val="en-GB"/>
        </w:rPr>
        <w:t>between the engine and the full flow dilution system shall conform to the requirements of paragraph 2.3.1. of Appendix 7</w:t>
      </w:r>
      <w:r w:rsidR="002540E4">
        <w:rPr>
          <w:lang w:val="en-GB"/>
        </w:rPr>
        <w:t xml:space="preserve"> to this annex</w:t>
      </w:r>
      <w:r w:rsidRPr="00B04DC3">
        <w:rPr>
          <w:lang w:val="en-GB"/>
        </w:rPr>
        <w:t>.</w:t>
      </w:r>
    </w:p>
    <w:p w:rsidR="00D75405" w:rsidRPr="00B04DC3" w:rsidRDefault="00D75405" w:rsidP="00D75405">
      <w:pPr>
        <w:pStyle w:val="para"/>
        <w:rPr>
          <w:lang w:val="en-GB"/>
        </w:rPr>
      </w:pPr>
      <w:r w:rsidRPr="00B04DC3">
        <w:rPr>
          <w:lang w:val="en-GB"/>
        </w:rPr>
        <w:tab/>
        <w:t>The gaseous emissions sample probe(s) shall be installed in the dilution tunnel at a point where the diluent and exhaust gas are well mixed, and in close proximity to the particulates sampling probe.</w:t>
      </w:r>
    </w:p>
    <w:p w:rsidR="00D75405" w:rsidRPr="00B04DC3" w:rsidRDefault="00D75405" w:rsidP="00D75405">
      <w:pPr>
        <w:pStyle w:val="para"/>
        <w:rPr>
          <w:lang w:val="en-GB"/>
        </w:rPr>
      </w:pPr>
      <w:r w:rsidRPr="00B04DC3">
        <w:rPr>
          <w:lang w:val="en-GB"/>
        </w:rPr>
        <w:tab/>
        <w:t>Sampling can generally be done in two ways:</w:t>
      </w:r>
    </w:p>
    <w:p w:rsidR="00D75405" w:rsidRPr="00B04DC3" w:rsidRDefault="00D75405" w:rsidP="00D75405">
      <w:pPr>
        <w:pStyle w:val="a"/>
        <w:rPr>
          <w:lang w:val="en-GB"/>
        </w:rPr>
      </w:pPr>
      <w:r w:rsidRPr="00B04DC3">
        <w:rPr>
          <w:lang w:val="en-GB"/>
        </w:rPr>
        <w:t>(a)</w:t>
      </w:r>
      <w:r w:rsidRPr="00B04DC3">
        <w:rPr>
          <w:lang w:val="en-GB"/>
        </w:rPr>
        <w:tab/>
        <w:t>The pollutants are sampled into a sampling bag over the cycle and measured after completion of the test;</w:t>
      </w:r>
    </w:p>
    <w:p w:rsidR="00D75405" w:rsidRPr="00B04DC3" w:rsidRDefault="00D75405" w:rsidP="00D75405">
      <w:pPr>
        <w:pStyle w:val="a"/>
        <w:rPr>
          <w:lang w:val="en-GB"/>
        </w:rPr>
      </w:pPr>
      <w:r w:rsidRPr="00B04DC3">
        <w:rPr>
          <w:lang w:val="en-GB"/>
        </w:rPr>
        <w:t>(b)</w:t>
      </w:r>
      <w:r w:rsidRPr="00B04DC3">
        <w:rPr>
          <w:lang w:val="en-GB"/>
        </w:rPr>
        <w:tab/>
        <w:t>The pollutants are sampled continuously and integrated over the cycle; this method is mandatory for HC and NO</w:t>
      </w:r>
      <w:r w:rsidRPr="00B04DC3">
        <w:rPr>
          <w:vertAlign w:val="subscript"/>
          <w:lang w:val="en-GB"/>
        </w:rPr>
        <w:t>x</w:t>
      </w:r>
      <w:r w:rsidRPr="00B04DC3">
        <w:rPr>
          <w:lang w:val="en-GB"/>
        </w:rPr>
        <w:t>.</w:t>
      </w:r>
    </w:p>
    <w:p w:rsidR="00D75405" w:rsidRPr="00B04DC3" w:rsidRDefault="00D75405" w:rsidP="00D75405">
      <w:pPr>
        <w:pStyle w:val="para"/>
        <w:rPr>
          <w:lang w:val="en-GB"/>
        </w:rPr>
      </w:pPr>
      <w:r w:rsidRPr="00B04DC3">
        <w:rPr>
          <w:lang w:val="en-GB"/>
        </w:rPr>
        <w:t>4.</w:t>
      </w:r>
      <w:r w:rsidRPr="00B04DC3">
        <w:rPr>
          <w:lang w:val="en-GB"/>
        </w:rPr>
        <w:tab/>
        <w:t>Determination of the particulates</w:t>
      </w:r>
    </w:p>
    <w:p w:rsidR="00D75405" w:rsidRPr="00B04DC3" w:rsidRDefault="00D75405" w:rsidP="00D75405">
      <w:pPr>
        <w:pStyle w:val="para"/>
        <w:rPr>
          <w:lang w:val="en-GB"/>
        </w:rPr>
      </w:pPr>
      <w:r w:rsidRPr="00B04DC3">
        <w:rPr>
          <w:lang w:val="en-GB"/>
        </w:rPr>
        <w:tab/>
        <w:t>The determination of the particulates requires a dilution system. Dilution may be accomplished by a partial flow dilution system or a full flow double dilution system. The flow capacity of the dilution system shall be large enough to completely eliminate water condensation in the dilution and sampling systems. The temperature of the diluted exhaust gas shall be below 325 K (52 °C) immediately upstream of the filter holders. Humidity control of the diluent before entering the dilution system is permitted, and especially dehumidifying is useful if diluent humidity is high. The temperature of the diluent shall be higher than 288 K (15 °C) in close proximity to the entrance into the dilution tunnel.</w:t>
      </w:r>
    </w:p>
    <w:p w:rsidR="00D75405" w:rsidRPr="00B04DC3" w:rsidRDefault="00D75405" w:rsidP="00C04835">
      <w:pPr>
        <w:pStyle w:val="para"/>
        <w:keepNext/>
        <w:keepLines/>
        <w:rPr>
          <w:lang w:val="en-GB"/>
        </w:rPr>
      </w:pPr>
      <w:r w:rsidRPr="00B04DC3">
        <w:rPr>
          <w:lang w:val="en-GB"/>
        </w:rPr>
        <w:tab/>
        <w:t>The partial flow dilution system has to be designed to extract a proportional raw exhaust sample from the engine exhaust stream, thus responding to excursions in the exhaust stream flow rate, and introduce diluent to this sample to achieve a temperature of below 325 K (52 °C) at the test filter. For this it is essential that the dilution ratio or the sampling ratio r</w:t>
      </w:r>
      <w:r w:rsidRPr="00B04DC3">
        <w:rPr>
          <w:vertAlign w:val="subscript"/>
          <w:lang w:val="en-GB"/>
        </w:rPr>
        <w:t>dil</w:t>
      </w:r>
      <w:r w:rsidRPr="00B04DC3">
        <w:rPr>
          <w:lang w:val="en-GB"/>
        </w:rPr>
        <w:t xml:space="preserve"> or r</w:t>
      </w:r>
      <w:r w:rsidRPr="00B04DC3">
        <w:rPr>
          <w:vertAlign w:val="subscript"/>
          <w:lang w:val="en-GB"/>
        </w:rPr>
        <w:t>s</w:t>
      </w:r>
      <w:r w:rsidRPr="00B04DC3">
        <w:rPr>
          <w:lang w:val="en-GB"/>
        </w:rPr>
        <w:t xml:space="preserve"> be determined such that the accuracy limits of paragraph 3.2.1. of Appendix 5 to this </w:t>
      </w:r>
      <w:r w:rsidR="002540E4">
        <w:rPr>
          <w:lang w:val="en-GB"/>
        </w:rPr>
        <w:t>a</w:t>
      </w:r>
      <w:r w:rsidR="002540E4" w:rsidRPr="00B04DC3">
        <w:rPr>
          <w:lang w:val="en-GB"/>
        </w:rPr>
        <w:t xml:space="preserve">nnex </w:t>
      </w:r>
      <w:r w:rsidRPr="00B04DC3">
        <w:rPr>
          <w:lang w:val="en-GB"/>
        </w:rPr>
        <w:t>are fulfilled. Different extraction methods can be applied, whereby the type of extraction used dictates to a significant degree the sampling hardware and procedures to be used (paragraph 2.2. of Appendix 7</w:t>
      </w:r>
      <w:r w:rsidR="002540E4">
        <w:rPr>
          <w:lang w:val="en-GB"/>
        </w:rPr>
        <w:t xml:space="preserve"> to this annex</w:t>
      </w:r>
      <w:r w:rsidRPr="00B04DC3">
        <w:rPr>
          <w:lang w:val="en-GB"/>
        </w:rPr>
        <w:t>).</w:t>
      </w:r>
    </w:p>
    <w:p w:rsidR="00D75405" w:rsidRPr="00B04DC3" w:rsidRDefault="00D75405" w:rsidP="00D75405">
      <w:pPr>
        <w:pStyle w:val="para"/>
        <w:rPr>
          <w:lang w:val="en-GB"/>
        </w:rPr>
      </w:pPr>
      <w:r w:rsidRPr="00B04DC3">
        <w:rPr>
          <w:lang w:val="en-GB"/>
        </w:rPr>
        <w:tab/>
        <w:t>In general, the particulate sampling probe shall be installed in close proximity to the gaseous emissions sampling probe, but sufficiently distant as to not cause interference. Therefore, the installation provisions of paragraph 3.4.1. also apply to particulate sampling. The sampling line shall conform to the requirements of paragraph 2. of Appendix 7</w:t>
      </w:r>
      <w:r w:rsidR="002540E4">
        <w:rPr>
          <w:lang w:val="en-GB"/>
        </w:rPr>
        <w:t xml:space="preserve"> to this annex</w:t>
      </w:r>
      <w:r w:rsidRPr="00B04DC3">
        <w:rPr>
          <w:lang w:val="en-GB"/>
        </w:rPr>
        <w:t>.</w:t>
      </w:r>
    </w:p>
    <w:p w:rsidR="00D75405" w:rsidRPr="00B04DC3" w:rsidRDefault="00D75405" w:rsidP="00D75405">
      <w:pPr>
        <w:pStyle w:val="para"/>
        <w:rPr>
          <w:lang w:val="en-GB"/>
        </w:rPr>
      </w:pPr>
      <w:r w:rsidRPr="00B04DC3">
        <w:rPr>
          <w:lang w:val="en-GB"/>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Other methods which have been shown to correlate with the above methods may be used. For exhaust emission calculation the total exhaust mass flow shall be used.</w:t>
      </w:r>
    </w:p>
    <w:p w:rsidR="00D75405" w:rsidRPr="00B04DC3" w:rsidRDefault="00D75405" w:rsidP="00D75405">
      <w:pPr>
        <w:pStyle w:val="para"/>
        <w:rPr>
          <w:lang w:val="en-GB"/>
        </w:rPr>
      </w:pPr>
      <w:r w:rsidRPr="00B04DC3">
        <w:rPr>
          <w:lang w:val="en-GB"/>
        </w:rPr>
        <w:tab/>
        <w:t>To determine the mass of the particulates, a particulate sampling system, particulate sampling filters, a microgram balance, and a temperature and humidity controlled weighing chamber, are required.</w:t>
      </w:r>
    </w:p>
    <w:p w:rsidR="00D75405" w:rsidRPr="00B04DC3" w:rsidRDefault="00D75405" w:rsidP="00D75405">
      <w:pPr>
        <w:pStyle w:val="para"/>
        <w:rPr>
          <w:lang w:val="en-GB"/>
        </w:rPr>
      </w:pPr>
      <w:r w:rsidRPr="00B04DC3">
        <w:rPr>
          <w:lang w:val="en-GB"/>
        </w:rPr>
        <w:tab/>
        <w:t>For particulate sampling, the single filter method shall be applied which uses one filter (see paragraph 4.1.3. below) for the whole test cycle. For the ESC, considerable attention shall be paid to sampling times and flows during the sampling phase of the test.</w:t>
      </w:r>
    </w:p>
    <w:p w:rsidR="00D75405" w:rsidRPr="00B04DC3" w:rsidRDefault="00D75405" w:rsidP="00D75405">
      <w:pPr>
        <w:pStyle w:val="para"/>
        <w:rPr>
          <w:lang w:val="en-GB"/>
        </w:rPr>
      </w:pPr>
      <w:r w:rsidRPr="00B04DC3">
        <w:rPr>
          <w:lang w:val="en-GB"/>
        </w:rPr>
        <w:t>4.1</w:t>
      </w:r>
      <w:r w:rsidRPr="00B04DC3">
        <w:rPr>
          <w:lang w:val="en-GB"/>
        </w:rPr>
        <w:tab/>
        <w:t>Particulate sampling filters</w:t>
      </w:r>
    </w:p>
    <w:p w:rsidR="00D75405" w:rsidRPr="00B04DC3" w:rsidRDefault="00D75405" w:rsidP="00D75405">
      <w:pPr>
        <w:pStyle w:val="para"/>
        <w:rPr>
          <w:lang w:val="en-GB"/>
        </w:rPr>
      </w:pPr>
      <w:r w:rsidRPr="00B04DC3">
        <w:rPr>
          <w:lang w:val="en-GB"/>
        </w:rPr>
        <w:tab/>
        <w:t xml:space="preserve">The diluted exhaust shall be sampled by a filter that meets the requirements of paragraphs 4.1.1. and 4.1.2. </w:t>
      </w:r>
      <w:r w:rsidR="002540E4">
        <w:rPr>
          <w:lang w:val="en-GB"/>
        </w:rPr>
        <w:t xml:space="preserve">below </w:t>
      </w:r>
      <w:r w:rsidRPr="00B04DC3">
        <w:rPr>
          <w:lang w:val="en-GB"/>
        </w:rPr>
        <w:t>during the test sequence.</w:t>
      </w:r>
    </w:p>
    <w:p w:rsidR="00D75405" w:rsidRPr="00B04DC3" w:rsidRDefault="00D75405" w:rsidP="00D75405">
      <w:pPr>
        <w:pStyle w:val="para"/>
        <w:rPr>
          <w:lang w:val="en-GB"/>
        </w:rPr>
      </w:pPr>
      <w:r w:rsidRPr="00B04DC3">
        <w:rPr>
          <w:lang w:val="en-GB"/>
        </w:rPr>
        <w:t>4.1.1.</w:t>
      </w:r>
      <w:r w:rsidRPr="00B04DC3">
        <w:rPr>
          <w:lang w:val="en-GB"/>
        </w:rPr>
        <w:tab/>
        <w:t>Filter specification</w:t>
      </w:r>
    </w:p>
    <w:p w:rsidR="00D75405" w:rsidRPr="00B04DC3" w:rsidRDefault="00D75405" w:rsidP="00D75405">
      <w:pPr>
        <w:pStyle w:val="para"/>
        <w:rPr>
          <w:lang w:val="en-GB"/>
        </w:rPr>
      </w:pPr>
      <w:r w:rsidRPr="00B04DC3">
        <w:rPr>
          <w:lang w:val="en-GB"/>
        </w:rPr>
        <w:tab/>
        <w:t>Fluorocarbon coated glass fiber filters are required. All filter types shall have a 0.3 µm DOP (di-octylphthalate) collection efficiency of at least 99 per cent at a gas face velocity between 35 and 100 cm/s.</w:t>
      </w:r>
    </w:p>
    <w:p w:rsidR="00D75405" w:rsidRPr="00B04DC3" w:rsidRDefault="00D75405" w:rsidP="00D75405">
      <w:pPr>
        <w:pStyle w:val="para"/>
        <w:rPr>
          <w:lang w:val="en-GB"/>
        </w:rPr>
      </w:pPr>
      <w:r w:rsidRPr="00B04DC3">
        <w:rPr>
          <w:lang w:val="en-GB"/>
        </w:rPr>
        <w:t>4.1.2.</w:t>
      </w:r>
      <w:r w:rsidRPr="00B04DC3">
        <w:rPr>
          <w:lang w:val="en-GB"/>
        </w:rPr>
        <w:tab/>
        <w:t>Filter size</w:t>
      </w:r>
    </w:p>
    <w:p w:rsidR="00D75405" w:rsidRPr="00B04DC3" w:rsidRDefault="00D75405" w:rsidP="00D75405">
      <w:pPr>
        <w:pStyle w:val="para"/>
        <w:rPr>
          <w:lang w:val="en-GB"/>
        </w:rPr>
      </w:pPr>
      <w:r w:rsidRPr="00B04DC3">
        <w:rPr>
          <w:lang w:val="en-GB"/>
        </w:rPr>
        <w:tab/>
        <w:t>Particulate filters with a diameter of 47 mm or 70 mm are recommended. Larger diameter filters are acceptable (paragraph 4.1.4.</w:t>
      </w:r>
      <w:r w:rsidR="002540E4">
        <w:rPr>
          <w:lang w:val="en-GB"/>
        </w:rPr>
        <w:t xml:space="preserve"> below</w:t>
      </w:r>
      <w:r w:rsidRPr="00B04DC3">
        <w:rPr>
          <w:lang w:val="en-GB"/>
        </w:rPr>
        <w:t>), but smaller diameter filters are not permitted.</w:t>
      </w:r>
    </w:p>
    <w:p w:rsidR="00D75405" w:rsidRPr="00B04DC3" w:rsidRDefault="00D75405" w:rsidP="00D75405">
      <w:pPr>
        <w:pStyle w:val="para"/>
        <w:rPr>
          <w:lang w:val="en-GB"/>
        </w:rPr>
      </w:pPr>
      <w:r w:rsidRPr="00B04DC3">
        <w:rPr>
          <w:lang w:val="en-GB"/>
        </w:rPr>
        <w:t>4.1.3.</w:t>
      </w:r>
      <w:r w:rsidRPr="00B04DC3">
        <w:rPr>
          <w:lang w:val="en-GB"/>
        </w:rPr>
        <w:tab/>
        <w:t>Filter face velocity</w:t>
      </w:r>
    </w:p>
    <w:p w:rsidR="00D75405" w:rsidRPr="00B04DC3" w:rsidRDefault="00D75405" w:rsidP="00D75405">
      <w:pPr>
        <w:pStyle w:val="para"/>
        <w:rPr>
          <w:lang w:val="en-GB"/>
        </w:rPr>
      </w:pPr>
      <w:r w:rsidRPr="00B04DC3">
        <w:rPr>
          <w:lang w:val="en-GB"/>
        </w:rPr>
        <w:tab/>
        <w:t>A gas face velocity through the filter of 35 to 100 cm/s shall be achieved. The pressure drop increase between the beginning and the end of the test shall be no more than 25 kPa.</w:t>
      </w:r>
    </w:p>
    <w:p w:rsidR="00D75405" w:rsidRPr="00B04DC3" w:rsidRDefault="00D75405" w:rsidP="00D75405">
      <w:pPr>
        <w:pStyle w:val="para"/>
        <w:rPr>
          <w:lang w:val="en-GB"/>
        </w:rPr>
      </w:pPr>
      <w:r w:rsidRPr="00B04DC3">
        <w:rPr>
          <w:lang w:val="en-GB"/>
        </w:rPr>
        <w:t>4.1.4.</w:t>
      </w:r>
      <w:r w:rsidRPr="00B04DC3">
        <w:rPr>
          <w:lang w:val="en-GB"/>
        </w:rPr>
        <w:tab/>
        <w:t>Filter loading</w:t>
      </w:r>
    </w:p>
    <w:p w:rsidR="00D75405" w:rsidRPr="00B04DC3" w:rsidRDefault="00D75405" w:rsidP="00D75405">
      <w:pPr>
        <w:pStyle w:val="para"/>
        <w:rPr>
          <w:lang w:val="en-GB"/>
        </w:rPr>
      </w:pPr>
      <w:r w:rsidRPr="00B04DC3">
        <w:rPr>
          <w:lang w:val="en-GB"/>
        </w:rPr>
        <w:tab/>
        <w:t>The required minimum filter loadings for the most common filter sizes are shown in table 10. For larger filter sizes, the minimum filter loading shall be 0.065 mg/1,000 mm² filter area.</w:t>
      </w:r>
    </w:p>
    <w:p w:rsidR="00D75405" w:rsidRPr="00B04DC3" w:rsidRDefault="00D75405" w:rsidP="00D75405">
      <w:pPr>
        <w:pStyle w:val="Heading1"/>
      </w:pPr>
      <w:bookmarkStart w:id="251" w:name="_Toc399939940"/>
      <w:bookmarkStart w:id="252" w:name="_Toc423599527"/>
      <w:bookmarkStart w:id="253" w:name="_Toc423610935"/>
      <w:r w:rsidRPr="00B04DC3">
        <w:t>Table 10</w:t>
      </w:r>
      <w:bookmarkEnd w:id="251"/>
      <w:bookmarkEnd w:id="252"/>
      <w:bookmarkEnd w:id="253"/>
    </w:p>
    <w:p w:rsidR="00D75405" w:rsidRPr="00B04DC3" w:rsidRDefault="00D75405" w:rsidP="00D75405">
      <w:pPr>
        <w:pStyle w:val="Heading1"/>
        <w:rPr>
          <w:b/>
        </w:rPr>
      </w:pPr>
      <w:bookmarkStart w:id="254" w:name="_Toc399939941"/>
      <w:bookmarkStart w:id="255" w:name="_Toc423599528"/>
      <w:bookmarkStart w:id="256" w:name="_Toc423610936"/>
      <w:r w:rsidRPr="00B04DC3">
        <w:rPr>
          <w:b/>
        </w:rPr>
        <w:t xml:space="preserve">Minimum </w:t>
      </w:r>
      <w:r w:rsidR="002540E4">
        <w:rPr>
          <w:b/>
        </w:rPr>
        <w:t>f</w:t>
      </w:r>
      <w:r w:rsidR="002540E4" w:rsidRPr="00B04DC3">
        <w:rPr>
          <w:b/>
        </w:rPr>
        <w:t xml:space="preserve">ilter </w:t>
      </w:r>
      <w:bookmarkEnd w:id="254"/>
      <w:r w:rsidR="002540E4">
        <w:rPr>
          <w:b/>
        </w:rPr>
        <w:t>l</w:t>
      </w:r>
      <w:r w:rsidR="002540E4" w:rsidRPr="00B04DC3">
        <w:rPr>
          <w:b/>
        </w:rPr>
        <w:t>oadings</w:t>
      </w:r>
      <w:bookmarkEnd w:id="255"/>
      <w:bookmarkEnd w:id="256"/>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2275"/>
      </w:tblGrid>
      <w:tr w:rsidR="00D75405" w:rsidRPr="00B04DC3" w:rsidTr="006C5934">
        <w:trPr>
          <w:cantSplit/>
          <w:trHeight w:val="240"/>
        </w:trPr>
        <w:tc>
          <w:tcPr>
            <w:tcW w:w="2075" w:type="dxa"/>
            <w:tcBorders>
              <w:bottom w:val="single" w:sz="12" w:space="0" w:color="auto"/>
            </w:tcBorders>
          </w:tcPr>
          <w:p w:rsidR="00D75405" w:rsidRPr="00B04DC3" w:rsidRDefault="00D75405" w:rsidP="00D75405">
            <w:pPr>
              <w:pStyle w:val="tableen-tte"/>
              <w:jc w:val="center"/>
            </w:pPr>
            <w:r w:rsidRPr="00B04DC3">
              <w:t>Filter Diameter (mm)</w:t>
            </w:r>
          </w:p>
        </w:tc>
        <w:tc>
          <w:tcPr>
            <w:tcW w:w="2275" w:type="dxa"/>
            <w:tcBorders>
              <w:bottom w:val="single" w:sz="12" w:space="0" w:color="auto"/>
            </w:tcBorders>
          </w:tcPr>
          <w:p w:rsidR="00D75405" w:rsidRPr="00B04DC3" w:rsidRDefault="00D75405" w:rsidP="00D75405">
            <w:pPr>
              <w:pStyle w:val="tableen-tte"/>
              <w:jc w:val="center"/>
            </w:pPr>
            <w:r w:rsidRPr="00B04DC3">
              <w:t>Minimum loading (mg)</w:t>
            </w:r>
          </w:p>
        </w:tc>
      </w:tr>
      <w:tr w:rsidR="00D75405" w:rsidRPr="00B04DC3" w:rsidTr="006C5934">
        <w:trPr>
          <w:cantSplit/>
          <w:trHeight w:val="240"/>
        </w:trPr>
        <w:tc>
          <w:tcPr>
            <w:tcW w:w="2075" w:type="dxa"/>
            <w:tcBorders>
              <w:top w:val="single" w:sz="12" w:space="0" w:color="auto"/>
            </w:tcBorders>
          </w:tcPr>
          <w:p w:rsidR="00D75405" w:rsidRPr="00B04DC3" w:rsidRDefault="00D75405" w:rsidP="00D75405">
            <w:pPr>
              <w:pStyle w:val="StyletableauchiffresBefore2lineAfter2line"/>
            </w:pPr>
            <w:r w:rsidRPr="00B04DC3">
              <w:t>47</w:t>
            </w:r>
          </w:p>
        </w:tc>
        <w:tc>
          <w:tcPr>
            <w:tcW w:w="2275" w:type="dxa"/>
            <w:tcBorders>
              <w:top w:val="single" w:sz="12" w:space="0" w:color="auto"/>
            </w:tcBorders>
          </w:tcPr>
          <w:p w:rsidR="00D75405" w:rsidRPr="00B04DC3" w:rsidRDefault="00D75405" w:rsidP="00D75405">
            <w:pPr>
              <w:pStyle w:val="StyletableauchiffresBefore2lineAfter2line"/>
            </w:pPr>
            <w:r w:rsidRPr="00B04DC3">
              <w:t>0.11</w:t>
            </w:r>
          </w:p>
        </w:tc>
      </w:tr>
      <w:tr w:rsidR="00D75405" w:rsidRPr="00B04DC3">
        <w:trPr>
          <w:cantSplit/>
          <w:trHeight w:val="240"/>
        </w:trPr>
        <w:tc>
          <w:tcPr>
            <w:tcW w:w="2075" w:type="dxa"/>
          </w:tcPr>
          <w:p w:rsidR="00D75405" w:rsidRPr="00B04DC3" w:rsidRDefault="00D75405" w:rsidP="00D75405">
            <w:pPr>
              <w:pStyle w:val="StyletableauchiffresBefore2lineAfter2line"/>
            </w:pPr>
            <w:r w:rsidRPr="00B04DC3">
              <w:t>70</w:t>
            </w:r>
          </w:p>
        </w:tc>
        <w:tc>
          <w:tcPr>
            <w:tcW w:w="2275" w:type="dxa"/>
          </w:tcPr>
          <w:p w:rsidR="00D75405" w:rsidRPr="00B04DC3" w:rsidRDefault="00D75405" w:rsidP="00D75405">
            <w:pPr>
              <w:pStyle w:val="StyletableauchiffresBefore2lineAfter2line"/>
            </w:pPr>
            <w:r w:rsidRPr="00B04DC3">
              <w:t>0.25</w:t>
            </w:r>
          </w:p>
        </w:tc>
      </w:tr>
      <w:tr w:rsidR="00D75405" w:rsidRPr="00B04DC3">
        <w:trPr>
          <w:cantSplit/>
          <w:trHeight w:val="240"/>
        </w:trPr>
        <w:tc>
          <w:tcPr>
            <w:tcW w:w="2075" w:type="dxa"/>
          </w:tcPr>
          <w:p w:rsidR="00D75405" w:rsidRPr="00B04DC3" w:rsidRDefault="00D75405" w:rsidP="00D75405">
            <w:pPr>
              <w:pStyle w:val="StyletableauchiffresBefore2lineAfter2line"/>
            </w:pPr>
            <w:r w:rsidRPr="00B04DC3">
              <w:t>90</w:t>
            </w:r>
          </w:p>
        </w:tc>
        <w:tc>
          <w:tcPr>
            <w:tcW w:w="2275" w:type="dxa"/>
          </w:tcPr>
          <w:p w:rsidR="00D75405" w:rsidRPr="00B04DC3" w:rsidRDefault="00D75405" w:rsidP="00D75405">
            <w:pPr>
              <w:pStyle w:val="StyletableauchiffresBefore2lineAfter2line"/>
            </w:pPr>
            <w:r w:rsidRPr="00B04DC3">
              <w:t>0.41</w:t>
            </w:r>
          </w:p>
        </w:tc>
      </w:tr>
      <w:tr w:rsidR="00D75405" w:rsidRPr="00B04DC3" w:rsidTr="006C5934">
        <w:trPr>
          <w:cantSplit/>
          <w:trHeight w:val="240"/>
        </w:trPr>
        <w:tc>
          <w:tcPr>
            <w:tcW w:w="2075" w:type="dxa"/>
            <w:tcBorders>
              <w:bottom w:val="single" w:sz="12" w:space="0" w:color="auto"/>
            </w:tcBorders>
          </w:tcPr>
          <w:p w:rsidR="00D75405" w:rsidRPr="00B04DC3" w:rsidRDefault="00D75405" w:rsidP="00D75405">
            <w:pPr>
              <w:pStyle w:val="StyletableauchiffresBefore2lineAfter2line"/>
            </w:pPr>
            <w:r w:rsidRPr="00B04DC3">
              <w:t>110</w:t>
            </w:r>
          </w:p>
        </w:tc>
        <w:tc>
          <w:tcPr>
            <w:tcW w:w="2275" w:type="dxa"/>
            <w:tcBorders>
              <w:bottom w:val="single" w:sz="12" w:space="0" w:color="auto"/>
            </w:tcBorders>
          </w:tcPr>
          <w:p w:rsidR="00D75405" w:rsidRPr="00B04DC3" w:rsidRDefault="00D75405" w:rsidP="00D75405">
            <w:pPr>
              <w:pStyle w:val="StyletableauchiffresBefore2lineAfter2line"/>
            </w:pPr>
            <w:r w:rsidRPr="00B04DC3">
              <w:t>0.62</w:t>
            </w:r>
          </w:p>
        </w:tc>
      </w:tr>
    </w:tbl>
    <w:p w:rsidR="00D75405" w:rsidRPr="00B04DC3" w:rsidRDefault="00D75405" w:rsidP="00D75405">
      <w:pPr>
        <w:pStyle w:val="para"/>
        <w:spacing w:before="240"/>
        <w:rPr>
          <w:lang w:val="en-GB"/>
        </w:rPr>
      </w:pPr>
      <w:r w:rsidRPr="00B04DC3">
        <w:rPr>
          <w:lang w:val="en-GB"/>
        </w:rPr>
        <w:tab/>
        <w:t xml:space="preserve">If, based on previous testing, the required minimum filter loading is unlikely to be reached on a test cycle after optimisation of flow rates and dilution ratio, a lower filter loading may be acceptable, with the agreement of the parties involved (manufacturer </w:t>
      </w:r>
      <w:r w:rsidR="002540E4" w:rsidRPr="00B04DC3">
        <w:rPr>
          <w:lang w:val="en-GB"/>
        </w:rPr>
        <w:t>and</w:t>
      </w:r>
      <w:r w:rsidR="002540E4">
        <w:rPr>
          <w:lang w:val="en-GB"/>
        </w:rPr>
        <w:t xml:space="preserve"> Type </w:t>
      </w:r>
      <w:r w:rsidRPr="00B04DC3">
        <w:rPr>
          <w:lang w:val="en-GB"/>
        </w:rPr>
        <w:t>Approval Authority), if it can be shown to meet the accuracy requirements of paragraph 4.2.</w:t>
      </w:r>
      <w:r w:rsidR="002540E4">
        <w:rPr>
          <w:lang w:val="en-GB"/>
        </w:rPr>
        <w:t xml:space="preserve"> below</w:t>
      </w:r>
      <w:r w:rsidRPr="00B04DC3">
        <w:rPr>
          <w:lang w:val="en-GB"/>
        </w:rPr>
        <w:t>, e.g. with a 0.1 µg balance.</w:t>
      </w:r>
    </w:p>
    <w:p w:rsidR="00D75405" w:rsidRPr="00B04DC3" w:rsidRDefault="00D75405" w:rsidP="00D75405">
      <w:pPr>
        <w:pStyle w:val="para"/>
        <w:rPr>
          <w:lang w:val="en-GB"/>
        </w:rPr>
      </w:pPr>
      <w:r w:rsidRPr="00B04DC3">
        <w:rPr>
          <w:lang w:val="en-GB"/>
        </w:rPr>
        <w:t>4.1.5.</w:t>
      </w:r>
      <w:r w:rsidRPr="00B04DC3">
        <w:rPr>
          <w:lang w:val="en-GB"/>
        </w:rPr>
        <w:tab/>
        <w:t>Filter holder</w:t>
      </w:r>
    </w:p>
    <w:p w:rsidR="00D75405" w:rsidRPr="00B04DC3" w:rsidRDefault="00D75405" w:rsidP="00D75405">
      <w:pPr>
        <w:pStyle w:val="para"/>
        <w:rPr>
          <w:lang w:val="en-GB"/>
        </w:rPr>
      </w:pPr>
      <w:r w:rsidRPr="00B04DC3">
        <w:rPr>
          <w:lang w:val="en-GB"/>
        </w:rPr>
        <w:tab/>
        <w:t>For the emissions test, the filters shall be placed in a filter holder assembly meeting the requirements of paragraph 2.2. of Appendix 7</w:t>
      </w:r>
      <w:r w:rsidR="002540E4">
        <w:rPr>
          <w:lang w:val="en-GB"/>
        </w:rPr>
        <w:t xml:space="preserve"> to this annex</w:t>
      </w:r>
      <w:r w:rsidRPr="00B04DC3">
        <w:rPr>
          <w:lang w:val="en-GB"/>
        </w:rPr>
        <w:t>. The filter holder assembly shall be of a design that provides an even flow distribution across the filter stain area. Quick acting valves shall be located either upstream or downstream of the filter holder. An inertial pre-classifier with a 50 per cent cut point between 2.5 µm and 10 µm may be installed immediately upstream of the filter holder. The use of the pre-classifier is strongly recommended if an open tube sampling probe facing upstream into the exhaust flow is used.</w:t>
      </w:r>
    </w:p>
    <w:p w:rsidR="00D75405" w:rsidRPr="00B04DC3" w:rsidRDefault="00D75405" w:rsidP="00D75405">
      <w:pPr>
        <w:pStyle w:val="para"/>
        <w:rPr>
          <w:lang w:val="en-GB"/>
        </w:rPr>
      </w:pPr>
      <w:r w:rsidRPr="00B04DC3">
        <w:rPr>
          <w:lang w:val="en-GB"/>
        </w:rPr>
        <w:t>4.2.</w:t>
      </w:r>
      <w:r w:rsidRPr="00B04DC3">
        <w:rPr>
          <w:lang w:val="en-GB"/>
        </w:rPr>
        <w:tab/>
        <w:t>Weighing chamber and analytical balance specifications</w:t>
      </w:r>
    </w:p>
    <w:p w:rsidR="00D75405" w:rsidRPr="00B04DC3" w:rsidRDefault="00D75405" w:rsidP="00D75405">
      <w:pPr>
        <w:pStyle w:val="para"/>
        <w:rPr>
          <w:lang w:val="en-GB"/>
        </w:rPr>
      </w:pPr>
      <w:r w:rsidRPr="00B04DC3">
        <w:rPr>
          <w:lang w:val="en-GB"/>
        </w:rPr>
        <w:t>4.2.1.</w:t>
      </w:r>
      <w:r w:rsidRPr="00B04DC3">
        <w:rPr>
          <w:lang w:val="en-GB"/>
        </w:rPr>
        <w:tab/>
        <w:t>Weighing chamber conditions</w:t>
      </w:r>
    </w:p>
    <w:p w:rsidR="00D75405" w:rsidRPr="00B04DC3" w:rsidRDefault="00D75405" w:rsidP="00D75405">
      <w:pPr>
        <w:pStyle w:val="para"/>
        <w:rPr>
          <w:lang w:val="en-GB"/>
        </w:rPr>
      </w:pPr>
      <w:r w:rsidRPr="00B04DC3">
        <w:rPr>
          <w:lang w:val="en-GB"/>
        </w:rPr>
        <w:tab/>
        <w:t>The temperature of the chamber (or room) in which the particulate filters are conditioned and weighed shall be maintained to within 295 K ± 3 K (22 °C ± 3 °C) during all filter conditioning and weighing. The humidity shall be maintained to a dewpoint of 282.5 K ± 3 K (9.5 °C ± 3 °C) and a relative humidity of 45 per cent ± 8 per cent.</w:t>
      </w:r>
    </w:p>
    <w:p w:rsidR="00D75405" w:rsidRPr="00B04DC3" w:rsidRDefault="00D75405" w:rsidP="00D75405">
      <w:pPr>
        <w:pStyle w:val="para"/>
        <w:rPr>
          <w:lang w:val="en-GB"/>
        </w:rPr>
      </w:pPr>
      <w:r w:rsidRPr="00B04DC3">
        <w:rPr>
          <w:lang w:val="en-GB"/>
        </w:rPr>
        <w:t>4.2.2.</w:t>
      </w:r>
      <w:r w:rsidRPr="00B04DC3">
        <w:rPr>
          <w:lang w:val="en-GB"/>
        </w:rPr>
        <w:tab/>
        <w:t>Reference filter weighing</w:t>
      </w:r>
    </w:p>
    <w:p w:rsidR="00D75405" w:rsidRPr="00B04DC3" w:rsidRDefault="00D75405" w:rsidP="00D75405">
      <w:pPr>
        <w:pStyle w:val="para"/>
        <w:rPr>
          <w:lang w:val="en-GB"/>
        </w:rPr>
      </w:pPr>
      <w:r w:rsidRPr="00B04DC3">
        <w:rPr>
          <w:lang w:val="en-GB"/>
        </w:rPr>
        <w:tab/>
        <w:t xml:space="preserve">The chamber (or room) environment shall be free of any ambient contaminants (such as dust) that would settle on the particulate filters during their stabilisation. Disturbances to weighing room specifications as outlined in paragraph 4.2.1. </w:t>
      </w:r>
      <w:r w:rsidR="002540E4">
        <w:rPr>
          <w:lang w:val="en-GB"/>
        </w:rPr>
        <w:t xml:space="preserve">above </w:t>
      </w:r>
      <w:r w:rsidRPr="00B04DC3">
        <w:rPr>
          <w:lang w:val="en-GB"/>
        </w:rPr>
        <w:t>will be allowed if the duration of the disturbances does not exceed 30 minutes. The weighing room should meet the required specifications prior to personal entrance into the weighing room. At least two unused reference filters shall be weighed within four hours of, but preferably at the same time as the sample filter weightings. They shall be the same size and material as the sample filters.</w:t>
      </w:r>
    </w:p>
    <w:p w:rsidR="00D75405" w:rsidRPr="00B04DC3" w:rsidRDefault="00D75405" w:rsidP="00D75405">
      <w:pPr>
        <w:pStyle w:val="para"/>
        <w:rPr>
          <w:lang w:val="en-GB"/>
        </w:rPr>
      </w:pPr>
      <w:r w:rsidRPr="00B04DC3">
        <w:rPr>
          <w:lang w:val="en-GB"/>
        </w:rPr>
        <w:tab/>
        <w:t>If the average weight of the reference filters changes between sample filter weightings by more than 10 µg, then all sample filters shall be discarded and the emissions test repeated.</w:t>
      </w:r>
    </w:p>
    <w:p w:rsidR="00D75405" w:rsidRPr="00B04DC3" w:rsidRDefault="00D75405" w:rsidP="00D75405">
      <w:pPr>
        <w:pStyle w:val="para"/>
        <w:rPr>
          <w:lang w:val="en-GB"/>
        </w:rPr>
      </w:pPr>
      <w:r w:rsidRPr="00B04DC3">
        <w:rPr>
          <w:lang w:val="en-GB"/>
        </w:rPr>
        <w:tab/>
        <w:t xml:space="preserve">If the weighing room stability criteria outlined in paragraph 4.2.1. </w:t>
      </w:r>
      <w:r w:rsidR="002540E4">
        <w:rPr>
          <w:lang w:val="en-GB"/>
        </w:rPr>
        <w:t xml:space="preserve">above </w:t>
      </w:r>
      <w:r w:rsidRPr="00B04DC3">
        <w:rPr>
          <w:lang w:val="en-GB"/>
        </w:rPr>
        <w:t>is not met, but the reference filter weightings meet the above criteria, the engine manufacturer has the option of accepting the sample filter weights or voiding the tests, fixing the weighing room control system and re-running the test.</w:t>
      </w:r>
    </w:p>
    <w:p w:rsidR="00D75405" w:rsidRPr="00B04DC3" w:rsidRDefault="00D75405" w:rsidP="00D75405">
      <w:pPr>
        <w:pStyle w:val="para"/>
        <w:rPr>
          <w:lang w:val="en-GB"/>
        </w:rPr>
      </w:pPr>
      <w:r w:rsidRPr="00B04DC3">
        <w:rPr>
          <w:lang w:val="en-GB"/>
        </w:rPr>
        <w:t>4.2.3.</w:t>
      </w:r>
      <w:r w:rsidRPr="00B04DC3">
        <w:rPr>
          <w:lang w:val="en-GB"/>
        </w:rPr>
        <w:tab/>
        <w:t>Analytical balance</w:t>
      </w:r>
    </w:p>
    <w:p w:rsidR="00D75405" w:rsidRPr="00B04DC3" w:rsidRDefault="00D75405" w:rsidP="00D75405">
      <w:pPr>
        <w:pStyle w:val="para"/>
        <w:rPr>
          <w:lang w:val="en-GB"/>
        </w:rPr>
      </w:pPr>
      <w:r w:rsidRPr="00B04DC3">
        <w:rPr>
          <w:lang w:val="en-GB"/>
        </w:rPr>
        <w:tab/>
        <w:t>The analytical balance used to determine the filter weight shall have a precision (standard deviation) of at least 2 µg and a resolution of at least 1 µg (1 digit = 1 µg) specified by the balance manufacturer.</w:t>
      </w:r>
    </w:p>
    <w:p w:rsidR="00D75405" w:rsidRPr="00B04DC3" w:rsidRDefault="00D75405" w:rsidP="00D75405">
      <w:pPr>
        <w:pStyle w:val="para"/>
        <w:rPr>
          <w:lang w:val="en-GB"/>
        </w:rPr>
      </w:pPr>
      <w:r w:rsidRPr="00B04DC3">
        <w:rPr>
          <w:lang w:val="en-GB"/>
        </w:rPr>
        <w:t>4.2.4.</w:t>
      </w:r>
      <w:r w:rsidRPr="00B04DC3">
        <w:rPr>
          <w:lang w:val="en-GB"/>
        </w:rPr>
        <w:tab/>
        <w:t>Elimination of static electricity effects</w:t>
      </w:r>
    </w:p>
    <w:p w:rsidR="00D75405" w:rsidRPr="00B04DC3" w:rsidRDefault="00D75405" w:rsidP="00D75405">
      <w:pPr>
        <w:pStyle w:val="para"/>
        <w:rPr>
          <w:lang w:val="en-GB"/>
        </w:rPr>
      </w:pPr>
      <w:r w:rsidRPr="00B04DC3">
        <w:rPr>
          <w:lang w:val="en-GB"/>
        </w:rPr>
        <w:tab/>
        <w:t>To eliminate the effects of static electricity, the filters shall be neutralized prior to weighing, e.g. by a Polonium neutralizer, a Faraday cage or a device of similar effect.</w:t>
      </w:r>
    </w:p>
    <w:p w:rsidR="00D75405" w:rsidRPr="00B04DC3" w:rsidRDefault="00D75405" w:rsidP="00D75405">
      <w:pPr>
        <w:pStyle w:val="para"/>
        <w:rPr>
          <w:lang w:val="en-GB"/>
        </w:rPr>
      </w:pPr>
      <w:r w:rsidRPr="00B04DC3">
        <w:rPr>
          <w:lang w:val="en-GB"/>
        </w:rPr>
        <w:t>4.2.5.</w:t>
      </w:r>
      <w:r w:rsidRPr="00B04DC3">
        <w:rPr>
          <w:lang w:val="en-GB"/>
        </w:rPr>
        <w:tab/>
        <w:t>Specifications for flow measurement</w:t>
      </w:r>
    </w:p>
    <w:p w:rsidR="00D75405" w:rsidRPr="00B04DC3" w:rsidRDefault="00D75405" w:rsidP="00D75405">
      <w:pPr>
        <w:pStyle w:val="para"/>
        <w:rPr>
          <w:lang w:val="en-GB"/>
        </w:rPr>
      </w:pPr>
      <w:r w:rsidRPr="00B04DC3">
        <w:rPr>
          <w:lang w:val="en-GB"/>
        </w:rPr>
        <w:t>4.2.5.1.</w:t>
      </w:r>
      <w:r w:rsidRPr="00B04DC3">
        <w:rPr>
          <w:lang w:val="en-GB"/>
        </w:rPr>
        <w:tab/>
        <w:t>General requirements</w:t>
      </w:r>
    </w:p>
    <w:p w:rsidR="00D75405" w:rsidRPr="00B04DC3" w:rsidRDefault="00D75405" w:rsidP="00D75405">
      <w:pPr>
        <w:pStyle w:val="para"/>
        <w:rPr>
          <w:lang w:val="en-GB"/>
        </w:rPr>
      </w:pPr>
      <w:r w:rsidRPr="00B04DC3">
        <w:rPr>
          <w:lang w:val="en-GB"/>
        </w:rPr>
        <w:tab/>
        <w:t>Absolute accuracies of flow meter or flow measurement instrumentation shall be as specified in paragraph 2.2.</w:t>
      </w:r>
      <w:r w:rsidR="002540E4" w:rsidRPr="002540E4">
        <w:rPr>
          <w:lang w:val="en-GB"/>
        </w:rPr>
        <w:t xml:space="preserve"> </w:t>
      </w:r>
      <w:r w:rsidR="002540E4">
        <w:rPr>
          <w:lang w:val="en-GB"/>
        </w:rPr>
        <w:t>of this appendix.</w:t>
      </w:r>
    </w:p>
    <w:p w:rsidR="00D75405" w:rsidRPr="00B04DC3" w:rsidRDefault="00D75405" w:rsidP="00D75405">
      <w:pPr>
        <w:pStyle w:val="para"/>
        <w:rPr>
          <w:lang w:val="en-GB"/>
        </w:rPr>
      </w:pPr>
      <w:r w:rsidRPr="00B04DC3">
        <w:rPr>
          <w:lang w:val="en-GB"/>
        </w:rPr>
        <w:t>4.2.5.2.</w:t>
      </w:r>
      <w:r w:rsidRPr="00B04DC3">
        <w:rPr>
          <w:lang w:val="en-GB"/>
        </w:rPr>
        <w:tab/>
        <w:t>Special provisions for partial flow dilution systems</w:t>
      </w:r>
    </w:p>
    <w:p w:rsidR="00D75405" w:rsidRPr="00B04DC3" w:rsidRDefault="00D75405" w:rsidP="00D75405">
      <w:pPr>
        <w:pStyle w:val="para"/>
        <w:rPr>
          <w:lang w:val="en-GB"/>
        </w:rPr>
      </w:pPr>
      <w:r w:rsidRPr="00B04DC3">
        <w:rPr>
          <w:lang w:val="en-GB"/>
        </w:rPr>
        <w:tab/>
        <w:t>For partial flow dilution systems, the accuracy of the sample flow q</w:t>
      </w:r>
      <w:r w:rsidRPr="00B04DC3">
        <w:rPr>
          <w:vertAlign w:val="subscript"/>
          <w:lang w:val="en-GB"/>
        </w:rPr>
        <w:t>mp</w:t>
      </w:r>
      <w:r w:rsidRPr="00B04DC3">
        <w:rPr>
          <w:lang w:val="en-GB"/>
        </w:rPr>
        <w:t xml:space="preserve"> is of special concern, if not measured directly, but determined by differential flow measurement:</w:t>
      </w:r>
    </w:p>
    <w:p w:rsidR="002540E4" w:rsidRDefault="00A905B7" w:rsidP="002540E4">
      <w:pPr>
        <w:pStyle w:val="para"/>
        <w:ind w:firstLine="0"/>
        <w:rPr>
          <w:lang w:val="en-GB"/>
        </w:rPr>
      </w:pPr>
      <w:r>
        <w:rPr>
          <w:lang w:val="en-GB"/>
        </w:rPr>
      </w:r>
      <w:r>
        <w:rPr>
          <w:lang w:val="en-GB"/>
        </w:rPr>
        <w:pict>
          <v:group id="_x0000_s3567" editas="canvas" style="width:89.5pt;height:22.4pt;mso-position-horizontal-relative:char;mso-position-vertical-relative:line" coordsize="1790,448">
            <o:lock v:ext="edit" aspectratio="t"/>
            <v:shape id="_x0000_s3568" type="#_x0000_t75" style="position:absolute;width:1790;height:448" o:preferrelative="f">
              <v:fill o:detectmouseclick="t"/>
              <v:path o:extrusionok="t" o:connecttype="none"/>
              <o:lock v:ext="edit" text="t"/>
            </v:shape>
            <v:rect id="_x0000_s3569" style="position:absolute;left:1492;top:105;width:281;height:240;mso-wrap-style:none" filled="f" stroked="f">
              <v:textbox style="mso-fit-shape-to-text:t" inset="0,0,0,0">
                <w:txbxContent>
                  <w:p w:rsidR="00A905B7" w:rsidRPr="00EF36C2" w:rsidRDefault="00A905B7">
                    <w:r w:rsidRPr="00EF36C2">
                      <w:rPr>
                        <w:iCs/>
                        <w:color w:val="000000"/>
                        <w:sz w:val="14"/>
                        <w:szCs w:val="14"/>
                      </w:rPr>
                      <w:t>mdw</w:t>
                    </w:r>
                  </w:p>
                </w:txbxContent>
              </v:textbox>
            </v:rect>
            <v:rect id="_x0000_s3570" style="position:absolute;left:776;top:105;width:343;height:240;mso-wrap-style:none" filled="f" stroked="f">
              <v:textbox style="mso-fit-shape-to-text:t" inset="0,0,0,0">
                <w:txbxContent>
                  <w:p w:rsidR="00A905B7" w:rsidRPr="00EF36C2" w:rsidRDefault="00A905B7">
                    <w:r w:rsidRPr="00EF36C2">
                      <w:rPr>
                        <w:iCs/>
                        <w:color w:val="000000"/>
                        <w:sz w:val="14"/>
                        <w:szCs w:val="14"/>
                      </w:rPr>
                      <w:t>mdew</w:t>
                    </w:r>
                  </w:p>
                </w:txbxContent>
              </v:textbox>
            </v:rect>
            <v:rect id="_x0000_s3571" style="position:absolute;left:1360;top:24;width:101;height:240;mso-wrap-style:none" filled="f" stroked="f">
              <v:textbox style="mso-fit-shape-to-text:t" inset="0,0,0,0">
                <w:txbxContent>
                  <w:p w:rsidR="00A905B7" w:rsidRPr="00EF36C2" w:rsidRDefault="00A905B7">
                    <w:r w:rsidRPr="00EF36C2">
                      <w:rPr>
                        <w:iCs/>
                        <w:color w:val="000000"/>
                      </w:rPr>
                      <w:t>q</w:t>
                    </w:r>
                  </w:p>
                </w:txbxContent>
              </v:textbox>
            </v:rect>
            <v:rect id="_x0000_s3572" style="position:absolute;left:646;top:24;width:101;height:240;mso-wrap-style:none" filled="f" stroked="f">
              <v:textbox style="mso-fit-shape-to-text:t" inset="0,0,0,0">
                <w:txbxContent>
                  <w:p w:rsidR="00A905B7" w:rsidRPr="00EF36C2" w:rsidRDefault="00A905B7">
                    <w:r w:rsidRPr="00EF36C2">
                      <w:rPr>
                        <w:iCs/>
                        <w:color w:val="000000"/>
                      </w:rPr>
                      <w:t>q</w:t>
                    </w:r>
                  </w:p>
                </w:txbxContent>
              </v:textbox>
            </v:rect>
            <v:rect id="_x0000_s3573" style="position:absolute;left:1180;top:50;width:110;height:245;mso-wrap-style:none" filled="f" stroked="f">
              <v:textbox style="mso-fit-shape-to-text:t" inset="0,0,0,0">
                <w:txbxContent>
                  <w:p w:rsidR="00A905B7" w:rsidRDefault="00A905B7">
                    <w:r>
                      <w:rPr>
                        <w:rFonts w:ascii="Symbol" w:hAnsi="Symbol" w:cs="Symbol"/>
                        <w:color w:val="000000"/>
                      </w:rPr>
                      <w:t></w:t>
                    </w:r>
                  </w:p>
                </w:txbxContent>
              </v:textbox>
            </v:rect>
            <v:rect id="_x0000_s3574" style="position:absolute;left:452;width:110;height:245;mso-wrap-style:none" filled="f" stroked="f">
              <v:textbox style="mso-fit-shape-to-text:t" inset="0,0,0,0">
                <w:txbxContent>
                  <w:p w:rsidR="00A905B7" w:rsidRDefault="00A905B7">
                    <w:r>
                      <w:rPr>
                        <w:rFonts w:ascii="Symbol" w:hAnsi="Symbol" w:cs="Symbol"/>
                        <w:color w:val="000000"/>
                      </w:rPr>
                      <w:t></w:t>
                    </w:r>
                  </w:p>
                </w:txbxContent>
              </v:textbox>
            </v:rect>
            <v:rect id="_x0000_s3575" style="position:absolute;left:178;top:102;width:179;height:240;mso-wrap-style:none" filled="f" stroked="f">
              <v:textbox style="mso-fit-shape-to-text:t" inset="0,0,0,0">
                <w:txbxContent>
                  <w:p w:rsidR="00A905B7" w:rsidRDefault="00A905B7">
                    <w:r>
                      <w:rPr>
                        <w:color w:val="000000"/>
                        <w:sz w:val="14"/>
                        <w:szCs w:val="14"/>
                      </w:rPr>
                      <w:t>mp</w:t>
                    </w:r>
                  </w:p>
                </w:txbxContent>
              </v:textbox>
            </v:rect>
            <v:rect id="_x0000_s3576" style="position:absolute;left:34;top:24;width:101;height:240;mso-wrap-style:none" filled="f" stroked="f">
              <v:textbox style="mso-fit-shape-to-text:t" inset="0,0,0,0">
                <w:txbxContent>
                  <w:p w:rsidR="00A905B7" w:rsidRDefault="00A905B7">
                    <w:r>
                      <w:rPr>
                        <w:color w:val="000000"/>
                      </w:rPr>
                      <w:t>q</w:t>
                    </w:r>
                  </w:p>
                </w:txbxContent>
              </v:textbox>
            </v:rect>
            <w10:wrap type="none"/>
            <w10:anchorlock/>
          </v:group>
        </w:pict>
      </w:r>
    </w:p>
    <w:p w:rsidR="00D75405" w:rsidRPr="00B04DC3" w:rsidRDefault="00D75405" w:rsidP="002540E4">
      <w:pPr>
        <w:pStyle w:val="para"/>
        <w:ind w:firstLine="0"/>
        <w:rPr>
          <w:lang w:val="en-GB"/>
        </w:rPr>
      </w:pPr>
      <w:r w:rsidRPr="00B04DC3">
        <w:rPr>
          <w:lang w:val="en-GB"/>
        </w:rPr>
        <w:tab/>
        <w:t xml:space="preserve">In this case an accuracy of </w:t>
      </w:r>
      <w:r w:rsidRPr="00B04DC3">
        <w:rPr>
          <w:lang w:val="en-GB"/>
        </w:rPr>
        <w:sym w:font="Symbol" w:char="F0B1"/>
      </w:r>
      <w:r w:rsidRPr="00B04DC3">
        <w:rPr>
          <w:lang w:val="en-GB"/>
        </w:rPr>
        <w:t>2 per cent for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is not sufficient to guarantee acceptable accuracies of q</w:t>
      </w:r>
      <w:r w:rsidRPr="00B04DC3">
        <w:rPr>
          <w:vertAlign w:val="subscript"/>
          <w:lang w:val="en-GB"/>
        </w:rPr>
        <w:t>mp</w:t>
      </w:r>
      <w:r w:rsidRPr="00B04DC3">
        <w:rPr>
          <w:lang w:val="en-GB"/>
        </w:rPr>
        <w:t>. If the gas flow is determined by differential flow measurement, the maximum error of the difference shall be such that the accuracy of q</w:t>
      </w:r>
      <w:r w:rsidRPr="00B04DC3">
        <w:rPr>
          <w:vertAlign w:val="subscript"/>
          <w:lang w:val="en-GB"/>
        </w:rPr>
        <w:t>mp</w:t>
      </w:r>
      <w:r w:rsidRPr="00B04DC3">
        <w:rPr>
          <w:lang w:val="en-GB"/>
        </w:rPr>
        <w:t xml:space="preserve"> is within </w:t>
      </w:r>
      <w:r w:rsidRPr="00B04DC3">
        <w:rPr>
          <w:lang w:val="en-GB"/>
        </w:rPr>
        <w:sym w:font="Symbol" w:char="F0B1"/>
      </w:r>
      <w:r w:rsidRPr="00B04DC3">
        <w:rPr>
          <w:lang w:val="en-GB"/>
        </w:rPr>
        <w:t>5 per cent when the dilution ratio is less than 15. It can be calculated by taking root-mean-square of the errors of each instrument.</w:t>
      </w:r>
    </w:p>
    <w:p w:rsidR="00D75405" w:rsidRPr="00B04DC3" w:rsidRDefault="00D75405" w:rsidP="00D75405">
      <w:pPr>
        <w:pStyle w:val="para"/>
        <w:rPr>
          <w:lang w:val="en-GB"/>
        </w:rPr>
      </w:pPr>
      <w:r w:rsidRPr="00B04DC3">
        <w:rPr>
          <w:lang w:val="en-GB"/>
        </w:rPr>
        <w:tab/>
        <w:t>Acceptable accuracies of q</w:t>
      </w:r>
      <w:r w:rsidRPr="00B04DC3">
        <w:rPr>
          <w:vertAlign w:val="subscript"/>
          <w:lang w:val="en-GB"/>
        </w:rPr>
        <w:t>mp</w:t>
      </w:r>
      <w:r w:rsidRPr="00B04DC3">
        <w:rPr>
          <w:lang w:val="en-GB"/>
        </w:rPr>
        <w:t xml:space="preserve"> can be obtained by either of the following methods:</w:t>
      </w:r>
    </w:p>
    <w:p w:rsidR="00D75405" w:rsidRPr="00B04DC3" w:rsidRDefault="00D75405" w:rsidP="00D75405">
      <w:pPr>
        <w:pStyle w:val="para"/>
        <w:rPr>
          <w:lang w:val="en-GB"/>
        </w:rPr>
      </w:pPr>
      <w:r w:rsidRPr="00B04DC3">
        <w:rPr>
          <w:lang w:val="en-GB"/>
        </w:rPr>
        <w:tab/>
        <w:t>The absolute accuracies of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are </w:t>
      </w:r>
      <w:r w:rsidRPr="00B04DC3">
        <w:rPr>
          <w:lang w:val="en-GB"/>
        </w:rPr>
        <w:sym w:font="Symbol" w:char="F0B1"/>
      </w:r>
      <w:r w:rsidRPr="00B04DC3">
        <w:rPr>
          <w:lang w:val="en-GB"/>
        </w:rPr>
        <w:t>0.2 per cent which guarantees an accuracy of q</w:t>
      </w:r>
      <w:r w:rsidRPr="00B04DC3">
        <w:rPr>
          <w:vertAlign w:val="subscript"/>
          <w:lang w:val="en-GB"/>
        </w:rPr>
        <w:t>mp</w:t>
      </w:r>
      <w:r w:rsidRPr="00B04DC3">
        <w:rPr>
          <w:lang w:val="en-GB"/>
        </w:rPr>
        <w:t xml:space="preserve"> of </w:t>
      </w:r>
      <w:r w:rsidRPr="00B04DC3">
        <w:rPr>
          <w:lang w:val="en-GB"/>
        </w:rPr>
        <w:sym w:font="Symbol" w:char="F0A3"/>
      </w:r>
      <w:r w:rsidRPr="00B04DC3">
        <w:rPr>
          <w:lang w:val="en-GB"/>
        </w:rPr>
        <w:t xml:space="preserve"> 5 per cent at a dilution ratio of 15. However, greater errors will occur at higher dilution ratios;</w:t>
      </w:r>
    </w:p>
    <w:p w:rsidR="00D75405" w:rsidRPr="00B04DC3" w:rsidRDefault="00D75405" w:rsidP="00D75405">
      <w:pPr>
        <w:pStyle w:val="para"/>
        <w:rPr>
          <w:lang w:val="en-GB"/>
        </w:rPr>
      </w:pPr>
      <w:r w:rsidRPr="00B04DC3">
        <w:rPr>
          <w:lang w:val="en-GB"/>
        </w:rPr>
        <w:tab/>
        <w:t>Calibration of q</w:t>
      </w:r>
      <w:r w:rsidRPr="00B04DC3">
        <w:rPr>
          <w:vertAlign w:val="subscript"/>
          <w:lang w:val="en-GB"/>
        </w:rPr>
        <w:t>mdw</w:t>
      </w:r>
      <w:r w:rsidRPr="00B04DC3">
        <w:rPr>
          <w:lang w:val="en-GB"/>
        </w:rPr>
        <w:t xml:space="preserve"> relative to q</w:t>
      </w:r>
      <w:r w:rsidRPr="00B04DC3">
        <w:rPr>
          <w:vertAlign w:val="subscript"/>
          <w:lang w:val="en-GB"/>
        </w:rPr>
        <w:t>mdew</w:t>
      </w:r>
      <w:r w:rsidRPr="00B04DC3">
        <w:rPr>
          <w:lang w:val="en-GB"/>
        </w:rPr>
        <w:t xml:space="preserve"> is carried out such that the same accuracies for q</w:t>
      </w:r>
      <w:r w:rsidRPr="00B04DC3">
        <w:rPr>
          <w:vertAlign w:val="subscript"/>
          <w:lang w:val="en-GB"/>
        </w:rPr>
        <w:t>mp</w:t>
      </w:r>
      <w:r w:rsidRPr="00B04DC3">
        <w:rPr>
          <w:lang w:val="en-GB"/>
        </w:rPr>
        <w:t xml:space="preserve"> as in a) are obtained. For the details of such a calibration see paragraph 3.2.1. of Appendix 5 to this annex;</w:t>
      </w:r>
    </w:p>
    <w:p w:rsidR="00D75405" w:rsidRPr="00B04DC3" w:rsidRDefault="00D75405" w:rsidP="00D75405">
      <w:pPr>
        <w:pStyle w:val="para"/>
        <w:rPr>
          <w:lang w:val="en-GB"/>
        </w:rPr>
      </w:pPr>
      <w:r w:rsidRPr="00B04DC3">
        <w:rPr>
          <w:lang w:val="en-GB"/>
        </w:rPr>
        <w:tab/>
        <w:t>The accuracy of q</w:t>
      </w:r>
      <w:r w:rsidRPr="00B04DC3">
        <w:rPr>
          <w:vertAlign w:val="subscript"/>
          <w:lang w:val="en-GB"/>
        </w:rPr>
        <w:t>mp</w:t>
      </w:r>
      <w:r w:rsidRPr="00B04DC3">
        <w:rPr>
          <w:lang w:val="en-GB"/>
        </w:rPr>
        <w:t xml:space="preserve"> is determined indirectly from the accuracy of the dilution ratio as determined by a tracer gas, e.g. CO</w:t>
      </w:r>
      <w:r w:rsidRPr="00B04DC3">
        <w:rPr>
          <w:vertAlign w:val="subscript"/>
          <w:lang w:val="en-GB"/>
        </w:rPr>
        <w:t>2</w:t>
      </w:r>
      <w:r w:rsidRPr="00B04DC3">
        <w:rPr>
          <w:lang w:val="en-GB"/>
        </w:rPr>
        <w:t>. Again, accuracies equivalent to method a) for q</w:t>
      </w:r>
      <w:r w:rsidRPr="00B04DC3">
        <w:rPr>
          <w:vertAlign w:val="subscript"/>
          <w:lang w:val="en-GB"/>
        </w:rPr>
        <w:t>mp</w:t>
      </w:r>
      <w:r w:rsidRPr="00B04DC3">
        <w:rPr>
          <w:lang w:val="en-GB"/>
        </w:rPr>
        <w:t xml:space="preserve"> are required;</w:t>
      </w:r>
    </w:p>
    <w:p w:rsidR="00D75405" w:rsidRPr="00B04DC3" w:rsidRDefault="00D75405" w:rsidP="00C04835">
      <w:pPr>
        <w:pStyle w:val="para"/>
        <w:keepNext/>
        <w:keepLines/>
        <w:rPr>
          <w:lang w:val="en-GB"/>
        </w:rPr>
      </w:pPr>
      <w:r w:rsidRPr="00B04DC3">
        <w:rPr>
          <w:lang w:val="en-GB"/>
        </w:rPr>
        <w:tab/>
        <w:t>The absolute accuracy of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is within </w:t>
      </w:r>
      <w:r w:rsidRPr="00B04DC3">
        <w:rPr>
          <w:lang w:val="en-GB"/>
        </w:rPr>
        <w:sym w:font="Symbol" w:char="F0B1"/>
      </w:r>
      <w:r w:rsidRPr="00B04DC3">
        <w:rPr>
          <w:lang w:val="en-GB"/>
        </w:rPr>
        <w:t>2 per cent of full scale, the maximum error of the difference between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is within 0.2 per cent, and the linearity error is within </w:t>
      </w:r>
      <w:r w:rsidRPr="00B04DC3">
        <w:rPr>
          <w:lang w:val="en-GB"/>
        </w:rPr>
        <w:sym w:font="Symbol" w:char="F0B1"/>
      </w:r>
      <w:r w:rsidRPr="00B04DC3">
        <w:rPr>
          <w:lang w:val="en-GB"/>
        </w:rPr>
        <w:t>0.2 per cent of the highest q</w:t>
      </w:r>
      <w:r w:rsidRPr="00B04DC3">
        <w:rPr>
          <w:vertAlign w:val="subscript"/>
          <w:lang w:val="en-GB"/>
        </w:rPr>
        <w:t>mdew</w:t>
      </w:r>
      <w:r w:rsidRPr="00B04DC3">
        <w:rPr>
          <w:lang w:val="en-GB"/>
        </w:rPr>
        <w:t xml:space="preserve"> observed during the test.</w:t>
      </w:r>
    </w:p>
    <w:p w:rsidR="00D75405" w:rsidRPr="00B04DC3" w:rsidRDefault="00D75405" w:rsidP="00D75405">
      <w:pPr>
        <w:pStyle w:val="para"/>
        <w:rPr>
          <w:lang w:val="en-GB"/>
        </w:rPr>
      </w:pPr>
      <w:r w:rsidRPr="00B04DC3">
        <w:rPr>
          <w:lang w:val="en-GB"/>
        </w:rPr>
        <w:t>5.</w:t>
      </w:r>
      <w:r w:rsidRPr="00B04DC3">
        <w:rPr>
          <w:lang w:val="en-GB"/>
        </w:rPr>
        <w:tab/>
        <w:t>Determination of smoke</w:t>
      </w:r>
    </w:p>
    <w:p w:rsidR="00D75405" w:rsidRPr="00B04DC3" w:rsidRDefault="00D75405" w:rsidP="00D75405">
      <w:pPr>
        <w:pStyle w:val="para"/>
        <w:rPr>
          <w:lang w:val="en-GB"/>
        </w:rPr>
      </w:pPr>
      <w:r w:rsidRPr="00B04DC3">
        <w:rPr>
          <w:lang w:val="en-GB"/>
        </w:rPr>
        <w:tab/>
        <w:t>This paragraph provides specifications for the required and optional test equipment to be used for the ELR test. The smoke shall be measured with an opacimeter having an opacity and a light absorption coefficient readout mode. The opacity readout mode shall only be used for calibration and checking of the opacimeter. The smoke values of the test cycle shall be measured in the light absorption coefficient readout mode.</w:t>
      </w:r>
    </w:p>
    <w:p w:rsidR="00D75405" w:rsidRPr="00B04DC3" w:rsidRDefault="00D75405" w:rsidP="00D75405">
      <w:pPr>
        <w:pStyle w:val="para"/>
        <w:rPr>
          <w:lang w:val="en-GB"/>
        </w:rPr>
      </w:pPr>
      <w:r w:rsidRPr="00B04DC3">
        <w:rPr>
          <w:lang w:val="en-GB"/>
        </w:rPr>
        <w:t>5.1.</w:t>
      </w:r>
      <w:r w:rsidRPr="00B04DC3">
        <w:rPr>
          <w:lang w:val="en-GB"/>
        </w:rPr>
        <w:tab/>
        <w:t>General requirements</w:t>
      </w:r>
    </w:p>
    <w:p w:rsidR="00D75405" w:rsidRPr="00B04DC3" w:rsidRDefault="00D75405" w:rsidP="00D75405">
      <w:pPr>
        <w:pStyle w:val="para"/>
        <w:rPr>
          <w:lang w:val="en-GB"/>
        </w:rPr>
      </w:pPr>
      <w:r w:rsidRPr="00B04DC3">
        <w:rPr>
          <w:lang w:val="en-GB"/>
        </w:rPr>
        <w:tab/>
        <w:t>The ELR requires the use of a smoke measurement and data processing system which includes three functional units. These units may be integrated into a single component or provided as a system of interconnected components. The three functional units are:</w:t>
      </w:r>
    </w:p>
    <w:p w:rsidR="00D75405" w:rsidRPr="00B04DC3" w:rsidRDefault="00D75405" w:rsidP="00D75405">
      <w:pPr>
        <w:pStyle w:val="a"/>
        <w:rPr>
          <w:lang w:val="en-GB"/>
        </w:rPr>
      </w:pPr>
      <w:r w:rsidRPr="00B04DC3">
        <w:rPr>
          <w:lang w:val="en-GB"/>
        </w:rPr>
        <w:t>(a)</w:t>
      </w:r>
      <w:r w:rsidRPr="00B04DC3">
        <w:rPr>
          <w:lang w:val="en-GB"/>
        </w:rPr>
        <w:tab/>
        <w:t>An opacimeter meeting the specifications of paragraph 3</w:t>
      </w:r>
      <w:r w:rsidR="002540E4">
        <w:rPr>
          <w:lang w:val="en-GB"/>
        </w:rPr>
        <w:t xml:space="preserve">., </w:t>
      </w:r>
      <w:r w:rsidR="002540E4" w:rsidRPr="00B04DC3">
        <w:rPr>
          <w:lang w:val="en-GB"/>
        </w:rPr>
        <w:t>Appendix 7</w:t>
      </w:r>
      <w:r w:rsidR="002540E4">
        <w:rPr>
          <w:lang w:val="en-GB"/>
        </w:rPr>
        <w:t xml:space="preserve"> to this annex</w:t>
      </w:r>
      <w:r w:rsidRPr="00B04DC3">
        <w:rPr>
          <w:lang w:val="en-GB"/>
        </w:rPr>
        <w:t>.</w:t>
      </w:r>
    </w:p>
    <w:p w:rsidR="00D75405" w:rsidRPr="00B04DC3" w:rsidRDefault="00D75405" w:rsidP="00D75405">
      <w:pPr>
        <w:pStyle w:val="a"/>
        <w:rPr>
          <w:lang w:val="en-GB"/>
        </w:rPr>
      </w:pPr>
      <w:r w:rsidRPr="00B04DC3">
        <w:rPr>
          <w:lang w:val="en-GB"/>
        </w:rPr>
        <w:t>(b)</w:t>
      </w:r>
      <w:r w:rsidRPr="00B04DC3">
        <w:rPr>
          <w:lang w:val="en-GB"/>
        </w:rPr>
        <w:tab/>
        <w:t>A data processing unit capable of performing the functions described in paragraph 7. of Appendix 1 to this annex.</w:t>
      </w:r>
    </w:p>
    <w:p w:rsidR="00D75405" w:rsidRPr="00B04DC3" w:rsidRDefault="00D75405" w:rsidP="00D75405">
      <w:pPr>
        <w:pStyle w:val="a"/>
        <w:rPr>
          <w:lang w:val="en-GB"/>
        </w:rPr>
      </w:pPr>
      <w:r w:rsidRPr="00B04DC3">
        <w:rPr>
          <w:lang w:val="en-GB"/>
        </w:rPr>
        <w:t>(c)</w:t>
      </w:r>
      <w:r w:rsidRPr="00B04DC3">
        <w:rPr>
          <w:lang w:val="en-GB"/>
        </w:rPr>
        <w:tab/>
        <w:t>A printer and/or electronic storage medium to record and output the required smoke values specified in paragraph 7.3. of Appendix 1 to this annex.</w:t>
      </w:r>
    </w:p>
    <w:p w:rsidR="00D75405" w:rsidRPr="00B04DC3" w:rsidRDefault="00D75405" w:rsidP="00D75405">
      <w:pPr>
        <w:pStyle w:val="para"/>
        <w:rPr>
          <w:lang w:val="en-GB"/>
        </w:rPr>
      </w:pPr>
      <w:r w:rsidRPr="00B04DC3">
        <w:rPr>
          <w:lang w:val="en-GB"/>
        </w:rPr>
        <w:t>5.2.</w:t>
      </w:r>
      <w:r w:rsidRPr="00B04DC3">
        <w:rPr>
          <w:lang w:val="en-GB"/>
        </w:rPr>
        <w:tab/>
        <w:t>Specific requirements</w:t>
      </w:r>
    </w:p>
    <w:p w:rsidR="00D75405" w:rsidRPr="00B04DC3" w:rsidRDefault="00D75405" w:rsidP="00D75405">
      <w:pPr>
        <w:pStyle w:val="para"/>
        <w:rPr>
          <w:lang w:val="en-GB"/>
        </w:rPr>
      </w:pPr>
      <w:r w:rsidRPr="00B04DC3">
        <w:rPr>
          <w:lang w:val="en-GB"/>
        </w:rPr>
        <w:t>5.2.1.</w:t>
      </w:r>
      <w:r w:rsidRPr="00B04DC3">
        <w:rPr>
          <w:lang w:val="en-GB"/>
        </w:rPr>
        <w:tab/>
        <w:t>Linearity</w:t>
      </w:r>
    </w:p>
    <w:p w:rsidR="00D75405" w:rsidRPr="00B04DC3" w:rsidRDefault="00D75405" w:rsidP="00D75405">
      <w:pPr>
        <w:pStyle w:val="para"/>
        <w:rPr>
          <w:lang w:val="en-GB"/>
        </w:rPr>
      </w:pPr>
      <w:r w:rsidRPr="00B04DC3">
        <w:rPr>
          <w:lang w:val="en-GB"/>
        </w:rPr>
        <w:tab/>
        <w:t>The linearity shall be within ±2 per cent opacity.</w:t>
      </w:r>
    </w:p>
    <w:p w:rsidR="00D75405" w:rsidRPr="00B04DC3" w:rsidRDefault="00D75405" w:rsidP="00D75405">
      <w:pPr>
        <w:pStyle w:val="para"/>
        <w:rPr>
          <w:lang w:val="en-GB"/>
        </w:rPr>
      </w:pPr>
      <w:r w:rsidRPr="00B04DC3">
        <w:rPr>
          <w:lang w:val="en-GB"/>
        </w:rPr>
        <w:t>5.2.2.</w:t>
      </w:r>
      <w:r w:rsidRPr="00B04DC3">
        <w:rPr>
          <w:lang w:val="en-GB"/>
        </w:rPr>
        <w:tab/>
        <w:t xml:space="preserve">Zero </w:t>
      </w:r>
      <w:r w:rsidR="002540E4">
        <w:rPr>
          <w:lang w:val="en-GB"/>
        </w:rPr>
        <w:t>d</w:t>
      </w:r>
      <w:r w:rsidR="002540E4" w:rsidRPr="00B04DC3">
        <w:rPr>
          <w:lang w:val="en-GB"/>
        </w:rPr>
        <w:t>rift</w:t>
      </w:r>
    </w:p>
    <w:p w:rsidR="00D75405" w:rsidRPr="00B04DC3" w:rsidRDefault="00D75405" w:rsidP="00D75405">
      <w:pPr>
        <w:pStyle w:val="para"/>
        <w:rPr>
          <w:lang w:val="en-GB"/>
        </w:rPr>
      </w:pPr>
      <w:r w:rsidRPr="00B04DC3">
        <w:rPr>
          <w:lang w:val="en-GB"/>
        </w:rPr>
        <w:tab/>
        <w:t>The zero drift during a one hour period shall not exceed ±1 per cent opacity.</w:t>
      </w:r>
    </w:p>
    <w:p w:rsidR="00D75405" w:rsidRPr="00B04DC3" w:rsidRDefault="00D75405" w:rsidP="00D75405">
      <w:pPr>
        <w:pStyle w:val="para"/>
        <w:rPr>
          <w:lang w:val="en-GB"/>
        </w:rPr>
      </w:pPr>
      <w:r w:rsidRPr="00B04DC3">
        <w:rPr>
          <w:lang w:val="en-GB"/>
        </w:rPr>
        <w:t>5.2.3.</w:t>
      </w:r>
      <w:r w:rsidRPr="00B04DC3">
        <w:rPr>
          <w:lang w:val="en-GB"/>
        </w:rPr>
        <w:tab/>
        <w:t xml:space="preserve">Opacimeter </w:t>
      </w:r>
      <w:r w:rsidR="002540E4">
        <w:rPr>
          <w:lang w:val="en-GB"/>
        </w:rPr>
        <w:t>d</w:t>
      </w:r>
      <w:r w:rsidR="002540E4" w:rsidRPr="00B04DC3">
        <w:rPr>
          <w:lang w:val="en-GB"/>
        </w:rPr>
        <w:t xml:space="preserve">isplay </w:t>
      </w:r>
      <w:r w:rsidRPr="00B04DC3">
        <w:rPr>
          <w:lang w:val="en-GB"/>
        </w:rPr>
        <w:t xml:space="preserve">and </w:t>
      </w:r>
      <w:r w:rsidR="002540E4">
        <w:rPr>
          <w:lang w:val="en-GB"/>
        </w:rPr>
        <w:t>r</w:t>
      </w:r>
      <w:r w:rsidR="002540E4" w:rsidRPr="00B04DC3">
        <w:rPr>
          <w:lang w:val="en-GB"/>
        </w:rPr>
        <w:t>ange</w:t>
      </w:r>
    </w:p>
    <w:p w:rsidR="00D75405" w:rsidRPr="00B04DC3" w:rsidRDefault="00D75405" w:rsidP="00D75405">
      <w:pPr>
        <w:pStyle w:val="para"/>
        <w:rPr>
          <w:lang w:val="en-GB"/>
        </w:rPr>
      </w:pPr>
      <w:r w:rsidRPr="00B04DC3">
        <w:rPr>
          <w:lang w:val="en-GB"/>
        </w:rPr>
        <w:tab/>
        <w:t>For display in opacity, the range shall be 0-100 per cent opacity, and the readability 0.1 per cent opacity. For display in light absorption coefficient, the range shall be 0-30 m</w:t>
      </w:r>
      <w:r w:rsidRPr="00B04DC3">
        <w:rPr>
          <w:vertAlign w:val="superscript"/>
          <w:lang w:val="en-GB"/>
        </w:rPr>
        <w:t>−1</w:t>
      </w:r>
      <w:r w:rsidRPr="00B04DC3">
        <w:rPr>
          <w:lang w:val="en-GB"/>
        </w:rPr>
        <w:t xml:space="preserve"> light absorption coefficient, and the readability 0.01 m</w:t>
      </w:r>
      <w:r w:rsidRPr="00B04DC3">
        <w:rPr>
          <w:vertAlign w:val="superscript"/>
          <w:lang w:val="en-GB"/>
        </w:rPr>
        <w:t>−1</w:t>
      </w:r>
      <w:r w:rsidRPr="00B04DC3">
        <w:rPr>
          <w:lang w:val="en-GB"/>
        </w:rPr>
        <w:t xml:space="preserve"> light absorption coefficient.</w:t>
      </w:r>
    </w:p>
    <w:p w:rsidR="00D75405" w:rsidRPr="00B04DC3" w:rsidRDefault="00D75405" w:rsidP="00D75405">
      <w:pPr>
        <w:pStyle w:val="para"/>
        <w:rPr>
          <w:lang w:val="en-GB"/>
        </w:rPr>
      </w:pPr>
      <w:r w:rsidRPr="00B04DC3">
        <w:rPr>
          <w:lang w:val="en-GB"/>
        </w:rPr>
        <w:t>5.2.4.</w:t>
      </w:r>
      <w:r w:rsidRPr="00B04DC3">
        <w:rPr>
          <w:lang w:val="en-GB"/>
        </w:rPr>
        <w:tab/>
        <w:t>Instrument response time</w:t>
      </w:r>
    </w:p>
    <w:p w:rsidR="00D75405" w:rsidRPr="00B04DC3" w:rsidRDefault="00D75405" w:rsidP="00D75405">
      <w:pPr>
        <w:pStyle w:val="para"/>
        <w:rPr>
          <w:lang w:val="en-GB"/>
        </w:rPr>
      </w:pPr>
      <w:r w:rsidRPr="00B04DC3">
        <w:rPr>
          <w:lang w:val="en-GB"/>
        </w:rPr>
        <w:tab/>
        <w:t>The physical response time of the opacimeter shall not exceed 0.2 second. The physical response time is the difference between the times when the output of a rapid response receiver reaches 10 and 90 per cent of the full deviation when the opacity of the gas being measured is changed in less than 0.1 second.</w:t>
      </w:r>
    </w:p>
    <w:p w:rsidR="00D75405" w:rsidRPr="00B04DC3" w:rsidRDefault="00D75405" w:rsidP="00D75405">
      <w:pPr>
        <w:pStyle w:val="para"/>
        <w:rPr>
          <w:lang w:val="en-GB"/>
        </w:rPr>
      </w:pPr>
      <w:r w:rsidRPr="00B04DC3">
        <w:rPr>
          <w:lang w:val="en-GB"/>
        </w:rPr>
        <w:tab/>
        <w:t>The electrical response time of the opacimeter shall not exceed 0.05 second. The electrical response time is the difference between the times when the opacimeter output reaches 10 and 90 per cent of the full scale when the light source is interrupted or completely extinguished in less than 0.01 second.</w:t>
      </w:r>
    </w:p>
    <w:p w:rsidR="00D75405" w:rsidRPr="00B04DC3" w:rsidRDefault="00D75405" w:rsidP="00C04835">
      <w:pPr>
        <w:pStyle w:val="para"/>
        <w:keepNext/>
        <w:keepLines/>
        <w:rPr>
          <w:lang w:val="en-GB"/>
        </w:rPr>
      </w:pPr>
      <w:r w:rsidRPr="00B04DC3">
        <w:rPr>
          <w:lang w:val="en-GB"/>
        </w:rPr>
        <w:t>5.2.5.</w:t>
      </w:r>
      <w:r w:rsidRPr="00B04DC3">
        <w:rPr>
          <w:lang w:val="en-GB"/>
        </w:rPr>
        <w:tab/>
        <w:t>Neutral density filters</w:t>
      </w:r>
    </w:p>
    <w:p w:rsidR="00D75405" w:rsidRPr="00B04DC3" w:rsidRDefault="00D75405" w:rsidP="00D75405">
      <w:pPr>
        <w:pStyle w:val="para"/>
        <w:rPr>
          <w:lang w:val="en-GB"/>
        </w:rPr>
      </w:pPr>
      <w:r w:rsidRPr="00B04DC3">
        <w:rPr>
          <w:lang w:val="en-GB"/>
        </w:rPr>
        <w:tab/>
        <w:t>Any neutral density filter used in conjunction with opacimeter calibration, linearity measurements, or setting span shall have its value known to within 1.0 per cent opacity. The filter's nominal value shall be checked for accuracy at least yearly using a reference traceable to a national or international standard.</w:t>
      </w:r>
    </w:p>
    <w:p w:rsidR="00D75405" w:rsidRPr="00B04DC3" w:rsidRDefault="00D75405" w:rsidP="00D75405">
      <w:pPr>
        <w:pStyle w:val="para"/>
        <w:rPr>
          <w:lang w:val="en-GB"/>
        </w:rPr>
      </w:pPr>
      <w:r w:rsidRPr="00B04DC3">
        <w:rPr>
          <w:lang w:val="en-GB"/>
        </w:rPr>
        <w:tab/>
        <w:t>Neutral density filters are precision devices and can easily be damaged during use. Handling should be minimized and, when required, should be done with care to avoid scratching or soiling of the filter.</w:t>
      </w:r>
    </w:p>
    <w:p w:rsidR="00A06E5F" w:rsidRDefault="00A06E5F" w:rsidP="00D75405">
      <w:pPr>
        <w:pStyle w:val="para"/>
        <w:rPr>
          <w:lang w:val="en-GB"/>
        </w:rPr>
        <w:sectPr w:rsidR="00A06E5F" w:rsidSect="002B5947">
          <w:headerReference w:type="even" r:id="rId271"/>
          <w:headerReference w:type="default" r:id="rId272"/>
          <w:footerReference w:type="even" r:id="rId273"/>
          <w:footerReference w:type="default" r:id="rId274"/>
          <w:headerReference w:type="first" r:id="rId275"/>
          <w:footnotePr>
            <w:numRestart w:val="eachSect"/>
          </w:footnotePr>
          <w:endnotePr>
            <w:numFmt w:val="decimal"/>
          </w:endnotePr>
          <w:pgSz w:w="11907" w:h="16840" w:code="9"/>
          <w:pgMar w:top="1701" w:right="1134" w:bottom="2268" w:left="1134" w:header="1134" w:footer="1701" w:gutter="0"/>
          <w:cols w:space="720"/>
          <w:docGrid w:linePitch="326"/>
        </w:sectPr>
      </w:pPr>
    </w:p>
    <w:p w:rsidR="00C04835" w:rsidRDefault="00C04835" w:rsidP="00D75405">
      <w:pPr>
        <w:pStyle w:val="para"/>
        <w:rPr>
          <w:lang w:val="en-GB"/>
        </w:rPr>
        <w:sectPr w:rsidR="00C04835" w:rsidSect="00D75405">
          <w:headerReference w:type="even" r:id="rId276"/>
          <w:headerReference w:type="default" r:id="rId277"/>
          <w:headerReference w:type="first" r:id="rId278"/>
          <w:footerReference w:type="first" r:id="rId279"/>
          <w:footnotePr>
            <w:numRestart w:val="eachSect"/>
          </w:footnotePr>
          <w:endnotePr>
            <w:numFmt w:val="decimal"/>
          </w:endnotePr>
          <w:type w:val="continuous"/>
          <w:pgSz w:w="11907" w:h="16840" w:code="9"/>
          <w:pgMar w:top="1954" w:right="1134" w:bottom="2268" w:left="1134" w:header="1134" w:footer="1701" w:gutter="0"/>
          <w:cols w:space="720"/>
        </w:sectPr>
      </w:pPr>
    </w:p>
    <w:p w:rsidR="00D75405" w:rsidRPr="00381748" w:rsidRDefault="00D75405" w:rsidP="00C04835">
      <w:pPr>
        <w:pStyle w:val="HChG"/>
        <w:spacing w:after="360"/>
      </w:pPr>
      <w:bookmarkStart w:id="257" w:name="_Toc423599529"/>
      <w:bookmarkStart w:id="258" w:name="_Toc423610937"/>
      <w:r w:rsidRPr="00381748">
        <w:t>Annex 4A</w:t>
      </w:r>
      <w:r w:rsidR="00381748">
        <w:t xml:space="preserve"> - </w:t>
      </w:r>
      <w:r w:rsidRPr="00381748">
        <w:t>Appendix 5</w:t>
      </w:r>
      <w:bookmarkEnd w:id="257"/>
      <w:bookmarkEnd w:id="258"/>
    </w:p>
    <w:p w:rsidR="00D75405" w:rsidRPr="00381748" w:rsidRDefault="00D75405" w:rsidP="00C04835">
      <w:pPr>
        <w:pStyle w:val="HChG"/>
        <w:spacing w:after="360"/>
      </w:pPr>
      <w:r w:rsidRPr="00381748">
        <w:tab/>
      </w:r>
      <w:r w:rsidRPr="00381748">
        <w:tab/>
      </w:r>
      <w:bookmarkStart w:id="259" w:name="_Toc423599530"/>
      <w:bookmarkStart w:id="260" w:name="_Toc423610938"/>
      <w:r w:rsidRPr="00381748">
        <w:t>Calibration procedure</w:t>
      </w:r>
      <w:bookmarkEnd w:id="259"/>
      <w:bookmarkEnd w:id="260"/>
    </w:p>
    <w:p w:rsidR="00D75405" w:rsidRPr="00B04DC3" w:rsidRDefault="00D75405" w:rsidP="00D75405">
      <w:pPr>
        <w:pStyle w:val="para"/>
        <w:rPr>
          <w:lang w:val="en-GB"/>
        </w:rPr>
      </w:pPr>
      <w:r w:rsidRPr="00381748">
        <w:rPr>
          <w:lang w:val="en-GB"/>
        </w:rPr>
        <w:t>1.</w:t>
      </w:r>
      <w:r w:rsidRPr="00381748">
        <w:rPr>
          <w:lang w:val="en-GB"/>
        </w:rPr>
        <w:tab/>
        <w:t>Calibration of the analytical instruments</w:t>
      </w:r>
    </w:p>
    <w:p w:rsidR="00D75405" w:rsidRPr="00B04DC3" w:rsidRDefault="00D75405" w:rsidP="00D75405">
      <w:pPr>
        <w:pStyle w:val="para"/>
        <w:rPr>
          <w:lang w:val="en-GB"/>
        </w:rPr>
      </w:pPr>
      <w:r w:rsidRPr="00B04DC3">
        <w:rPr>
          <w:lang w:val="en-GB"/>
        </w:rPr>
        <w:t>1.1.</w:t>
      </w:r>
      <w:r w:rsidRPr="00B04DC3">
        <w:rPr>
          <w:lang w:val="en-GB"/>
        </w:rPr>
        <w:tab/>
        <w:t>Introduction</w:t>
      </w:r>
    </w:p>
    <w:p w:rsidR="00D75405" w:rsidRPr="00B04DC3" w:rsidRDefault="00D75405" w:rsidP="00D75405">
      <w:pPr>
        <w:pStyle w:val="para"/>
        <w:rPr>
          <w:lang w:val="en-GB"/>
        </w:rPr>
      </w:pPr>
      <w:r w:rsidRPr="00B04DC3">
        <w:rPr>
          <w:lang w:val="en-GB"/>
        </w:rPr>
        <w:tab/>
        <w:t>Each analyzer shall be calibrated as often as necessary to fulfil the accuracy requirements of this Regulation. The calibration method that shall be used is described in this paragraph for the analyzers indicated in Annex 4A, Appendix 4, paragraph 3. and Appendix 7, paragraph 1.</w:t>
      </w:r>
    </w:p>
    <w:p w:rsidR="00D75405" w:rsidRPr="00B04DC3" w:rsidRDefault="00D75405" w:rsidP="00D75405">
      <w:pPr>
        <w:pStyle w:val="para"/>
        <w:rPr>
          <w:lang w:val="en-GB"/>
        </w:rPr>
      </w:pPr>
      <w:r w:rsidRPr="00B04DC3">
        <w:rPr>
          <w:lang w:val="en-GB"/>
        </w:rPr>
        <w:t>1.2.</w:t>
      </w:r>
      <w:r w:rsidRPr="00B04DC3">
        <w:rPr>
          <w:lang w:val="en-GB"/>
        </w:rPr>
        <w:tab/>
        <w:t xml:space="preserve">Calibration </w:t>
      </w:r>
      <w:r w:rsidR="00EC0816">
        <w:rPr>
          <w:lang w:val="en-GB"/>
        </w:rPr>
        <w:t>g</w:t>
      </w:r>
      <w:r w:rsidR="00EC0816" w:rsidRPr="00B04DC3">
        <w:rPr>
          <w:lang w:val="en-GB"/>
        </w:rPr>
        <w:t>ases</w:t>
      </w:r>
    </w:p>
    <w:p w:rsidR="00D75405" w:rsidRPr="00B04DC3" w:rsidRDefault="00D75405" w:rsidP="00D75405">
      <w:pPr>
        <w:pStyle w:val="para"/>
        <w:rPr>
          <w:lang w:val="en-GB"/>
        </w:rPr>
      </w:pPr>
      <w:r w:rsidRPr="00B04DC3">
        <w:rPr>
          <w:lang w:val="en-GB"/>
        </w:rPr>
        <w:tab/>
        <w:t>The shelf life of all calibration gases shall be respected.</w:t>
      </w:r>
    </w:p>
    <w:p w:rsidR="00D75405" w:rsidRPr="00B04DC3" w:rsidRDefault="00D75405" w:rsidP="00D75405">
      <w:pPr>
        <w:pStyle w:val="para"/>
        <w:rPr>
          <w:lang w:val="en-GB"/>
        </w:rPr>
      </w:pPr>
      <w:r w:rsidRPr="00B04DC3">
        <w:rPr>
          <w:lang w:val="en-GB"/>
        </w:rPr>
        <w:tab/>
        <w:t>The expiration date of the calibration gases stated by the manufacturer shall be recorded.</w:t>
      </w:r>
    </w:p>
    <w:p w:rsidR="00D75405" w:rsidRPr="00B04DC3" w:rsidRDefault="00D75405" w:rsidP="00D75405">
      <w:pPr>
        <w:pStyle w:val="para"/>
        <w:rPr>
          <w:lang w:val="en-GB"/>
        </w:rPr>
      </w:pPr>
      <w:r w:rsidRPr="00B04DC3">
        <w:rPr>
          <w:lang w:val="en-GB"/>
        </w:rPr>
        <w:t>1.2.1.</w:t>
      </w:r>
      <w:r w:rsidRPr="00B04DC3">
        <w:rPr>
          <w:lang w:val="en-GB"/>
        </w:rPr>
        <w:tab/>
        <w:t xml:space="preserve">Pure </w:t>
      </w:r>
      <w:r w:rsidR="00EC0816">
        <w:rPr>
          <w:lang w:val="en-GB"/>
        </w:rPr>
        <w:t>g</w:t>
      </w:r>
      <w:r w:rsidR="00EC0816" w:rsidRPr="00B04DC3">
        <w:rPr>
          <w:lang w:val="en-GB"/>
        </w:rPr>
        <w:t>ases</w:t>
      </w:r>
    </w:p>
    <w:p w:rsidR="00D75405" w:rsidRPr="00B04DC3" w:rsidRDefault="00D75405" w:rsidP="00D75405">
      <w:pPr>
        <w:pStyle w:val="para"/>
        <w:rPr>
          <w:lang w:val="en-GB"/>
        </w:rPr>
      </w:pPr>
      <w:r w:rsidRPr="00B04DC3">
        <w:rPr>
          <w:lang w:val="en-GB"/>
        </w:rPr>
        <w:tab/>
        <w:t>The required purity of the gases is defined by the contamination limits given below. The following gases shall be available for operation:</w:t>
      </w:r>
    </w:p>
    <w:p w:rsidR="00D75405" w:rsidRPr="00B04DC3" w:rsidRDefault="00D75405" w:rsidP="00D75405">
      <w:pPr>
        <w:pStyle w:val="para"/>
        <w:spacing w:after="0"/>
        <w:rPr>
          <w:lang w:val="en-GB"/>
        </w:rPr>
      </w:pPr>
      <w:r w:rsidRPr="00B04DC3">
        <w:rPr>
          <w:lang w:val="en-GB"/>
        </w:rPr>
        <w:tab/>
      </w:r>
      <w:r w:rsidRPr="00B04DC3">
        <w:rPr>
          <w:lang w:val="en-GB"/>
        </w:rPr>
        <w:tab/>
        <w:t>Purified nitrogen</w:t>
      </w:r>
    </w:p>
    <w:p w:rsidR="00D75405" w:rsidRPr="00B04DC3" w:rsidRDefault="00D75405" w:rsidP="00D75405">
      <w:pPr>
        <w:pStyle w:val="para"/>
        <w:rPr>
          <w:lang w:val="en-GB"/>
        </w:rPr>
      </w:pPr>
      <w:r w:rsidRPr="00B04DC3">
        <w:rPr>
          <w:lang w:val="en-GB"/>
        </w:rPr>
        <w:tab/>
      </w:r>
      <w:r w:rsidRPr="00B04DC3">
        <w:rPr>
          <w:lang w:val="en-GB"/>
        </w:rPr>
        <w:tab/>
        <w:t>(Contamination ≤ 1 ppm C1, ≤ 1 ppm CO, ≤ 400 ppm CO</w:t>
      </w:r>
      <w:r w:rsidRPr="00B04DC3">
        <w:rPr>
          <w:vertAlign w:val="subscript"/>
          <w:lang w:val="en-GB"/>
        </w:rPr>
        <w:t>2</w:t>
      </w:r>
      <w:r w:rsidRPr="00B04DC3">
        <w:rPr>
          <w:lang w:val="en-GB"/>
        </w:rPr>
        <w:t>, ≤ 0.1 ppm NO)</w:t>
      </w:r>
    </w:p>
    <w:p w:rsidR="00D75405" w:rsidRPr="00B04DC3" w:rsidRDefault="00D75405" w:rsidP="00D75405">
      <w:pPr>
        <w:pStyle w:val="para"/>
        <w:spacing w:after="0"/>
        <w:rPr>
          <w:lang w:val="en-GB"/>
        </w:rPr>
      </w:pPr>
      <w:r w:rsidRPr="00B04DC3">
        <w:rPr>
          <w:lang w:val="en-GB"/>
        </w:rPr>
        <w:tab/>
      </w:r>
      <w:r w:rsidRPr="00B04DC3">
        <w:rPr>
          <w:lang w:val="en-GB"/>
        </w:rPr>
        <w:tab/>
        <w:t>Purified oxygen</w:t>
      </w:r>
    </w:p>
    <w:p w:rsidR="00D75405" w:rsidRPr="00B04DC3" w:rsidRDefault="00D75405" w:rsidP="00D75405">
      <w:pPr>
        <w:pStyle w:val="para"/>
        <w:rPr>
          <w:lang w:val="en-GB"/>
        </w:rPr>
      </w:pPr>
      <w:r w:rsidRPr="00B04DC3">
        <w:rPr>
          <w:lang w:val="en-GB"/>
        </w:rPr>
        <w:tab/>
      </w:r>
      <w:r w:rsidRPr="00B04DC3">
        <w:rPr>
          <w:lang w:val="en-GB"/>
        </w:rPr>
        <w:tab/>
        <w:t>(Purity &gt; 99.5 per cent vol O</w:t>
      </w:r>
      <w:r w:rsidRPr="00B04DC3">
        <w:rPr>
          <w:vertAlign w:val="subscript"/>
          <w:lang w:val="en-GB"/>
        </w:rPr>
        <w:t>2</w:t>
      </w:r>
      <w:r w:rsidRPr="00B04DC3">
        <w:rPr>
          <w:lang w:val="en-GB"/>
        </w:rPr>
        <w:t>)</w:t>
      </w:r>
    </w:p>
    <w:p w:rsidR="00D75405" w:rsidRPr="00B04DC3" w:rsidRDefault="00D75405" w:rsidP="00D75405">
      <w:pPr>
        <w:pStyle w:val="para"/>
        <w:spacing w:after="0"/>
        <w:rPr>
          <w:lang w:val="en-GB"/>
        </w:rPr>
      </w:pPr>
      <w:r w:rsidRPr="00B04DC3">
        <w:rPr>
          <w:lang w:val="en-GB"/>
        </w:rPr>
        <w:tab/>
      </w:r>
      <w:r w:rsidRPr="00B04DC3">
        <w:rPr>
          <w:lang w:val="en-GB"/>
        </w:rPr>
        <w:tab/>
        <w:t>Hydrogen-helium mixture</w:t>
      </w:r>
    </w:p>
    <w:p w:rsidR="00D75405" w:rsidRPr="00B04DC3" w:rsidRDefault="00D75405" w:rsidP="00D75405">
      <w:pPr>
        <w:pStyle w:val="para"/>
        <w:spacing w:after="0"/>
        <w:rPr>
          <w:lang w:val="en-GB"/>
        </w:rPr>
      </w:pPr>
      <w:r w:rsidRPr="00B04DC3">
        <w:rPr>
          <w:lang w:val="en-GB"/>
        </w:rPr>
        <w:tab/>
      </w:r>
      <w:r w:rsidRPr="00B04DC3">
        <w:rPr>
          <w:lang w:val="en-GB"/>
        </w:rPr>
        <w:tab/>
        <w:t>(40 ± 2 per cent hydrogen, balance helium)</w:t>
      </w:r>
    </w:p>
    <w:p w:rsidR="00D75405" w:rsidRPr="00B04DC3" w:rsidRDefault="00D75405" w:rsidP="00D75405">
      <w:pPr>
        <w:pStyle w:val="para"/>
        <w:rPr>
          <w:lang w:val="en-GB"/>
        </w:rPr>
      </w:pPr>
      <w:r w:rsidRPr="00B04DC3">
        <w:rPr>
          <w:lang w:val="en-GB"/>
        </w:rPr>
        <w:tab/>
      </w:r>
      <w:r w:rsidRPr="00B04DC3">
        <w:rPr>
          <w:lang w:val="en-GB"/>
        </w:rPr>
        <w:tab/>
        <w:t>(Contamination ≤ 1 ppm C1, ≤ 400 ppm CO</w:t>
      </w:r>
      <w:r w:rsidRPr="00B04DC3">
        <w:rPr>
          <w:vertAlign w:val="subscript"/>
          <w:lang w:val="en-GB"/>
        </w:rPr>
        <w:t>2</w:t>
      </w:r>
      <w:r w:rsidRPr="00B04DC3">
        <w:rPr>
          <w:lang w:val="en-GB"/>
        </w:rPr>
        <w:t>)</w:t>
      </w:r>
    </w:p>
    <w:p w:rsidR="00D75405" w:rsidRPr="00B04DC3" w:rsidRDefault="00D75405" w:rsidP="00D75405">
      <w:pPr>
        <w:pStyle w:val="para"/>
        <w:spacing w:after="0"/>
        <w:rPr>
          <w:lang w:val="en-GB"/>
        </w:rPr>
      </w:pPr>
      <w:r w:rsidRPr="00B04DC3">
        <w:rPr>
          <w:lang w:val="en-GB"/>
        </w:rPr>
        <w:tab/>
      </w:r>
      <w:r w:rsidRPr="00B04DC3">
        <w:rPr>
          <w:lang w:val="en-GB"/>
        </w:rPr>
        <w:tab/>
        <w:t>Purified synthetic air</w:t>
      </w:r>
    </w:p>
    <w:p w:rsidR="00D75405" w:rsidRPr="00B04DC3" w:rsidRDefault="00D75405" w:rsidP="00D75405">
      <w:pPr>
        <w:pStyle w:val="para"/>
        <w:spacing w:after="0"/>
        <w:rPr>
          <w:lang w:val="en-GB"/>
        </w:rPr>
      </w:pPr>
      <w:r w:rsidRPr="00B04DC3">
        <w:rPr>
          <w:lang w:val="en-GB"/>
        </w:rPr>
        <w:tab/>
      </w:r>
      <w:r w:rsidRPr="00B04DC3">
        <w:rPr>
          <w:lang w:val="en-GB"/>
        </w:rPr>
        <w:tab/>
        <w:t>(Contamination ≤ 1 ppm C1, ≤ 1 ppm CO, ≤ 400 ppm CO</w:t>
      </w:r>
      <w:r w:rsidRPr="00B04DC3">
        <w:rPr>
          <w:vertAlign w:val="subscript"/>
          <w:lang w:val="en-GB"/>
        </w:rPr>
        <w:t>2</w:t>
      </w:r>
      <w:r w:rsidRPr="00B04DC3">
        <w:rPr>
          <w:lang w:val="en-GB"/>
        </w:rPr>
        <w:t>, ≤ 0,1 ppm NO)</w:t>
      </w:r>
    </w:p>
    <w:p w:rsidR="00D75405" w:rsidRPr="00B04DC3" w:rsidRDefault="00D75405" w:rsidP="00D75405">
      <w:pPr>
        <w:pStyle w:val="para"/>
        <w:rPr>
          <w:lang w:val="en-GB"/>
        </w:rPr>
      </w:pPr>
      <w:r w:rsidRPr="00B04DC3">
        <w:rPr>
          <w:lang w:val="en-GB"/>
        </w:rPr>
        <w:tab/>
      </w:r>
      <w:r w:rsidRPr="00B04DC3">
        <w:rPr>
          <w:lang w:val="en-GB"/>
        </w:rPr>
        <w:tab/>
        <w:t>(Oxygen content between 18-21 per cent vol.)</w:t>
      </w:r>
    </w:p>
    <w:p w:rsidR="00D75405" w:rsidRPr="00B04DC3" w:rsidRDefault="00D75405" w:rsidP="00D75405">
      <w:pPr>
        <w:pStyle w:val="para"/>
        <w:rPr>
          <w:lang w:val="en-GB"/>
        </w:rPr>
      </w:pPr>
      <w:r w:rsidRPr="00B04DC3">
        <w:rPr>
          <w:lang w:val="en-GB"/>
        </w:rPr>
        <w:tab/>
      </w:r>
      <w:r w:rsidRPr="00B04DC3">
        <w:rPr>
          <w:lang w:val="en-GB"/>
        </w:rPr>
        <w:tab/>
        <w:t>Purified propane or CO for the CVS verification</w:t>
      </w:r>
    </w:p>
    <w:p w:rsidR="00D75405" w:rsidRPr="00B04DC3" w:rsidRDefault="00D75405" w:rsidP="00D75405">
      <w:pPr>
        <w:pStyle w:val="para"/>
        <w:rPr>
          <w:lang w:val="en-GB"/>
        </w:rPr>
      </w:pPr>
      <w:r w:rsidRPr="00B04DC3">
        <w:rPr>
          <w:lang w:val="en-GB"/>
        </w:rPr>
        <w:t>1.2.2.</w:t>
      </w:r>
      <w:r w:rsidRPr="00B04DC3">
        <w:rPr>
          <w:lang w:val="en-GB"/>
        </w:rPr>
        <w:tab/>
        <w:t xml:space="preserve">Calibration and </w:t>
      </w:r>
      <w:r w:rsidR="00EC0816">
        <w:rPr>
          <w:lang w:val="en-GB"/>
        </w:rPr>
        <w:t>s</w:t>
      </w:r>
      <w:r w:rsidRPr="00B04DC3">
        <w:rPr>
          <w:lang w:val="en-GB"/>
        </w:rPr>
        <w:t xml:space="preserve">pan </w:t>
      </w:r>
      <w:r w:rsidR="00EC0816">
        <w:rPr>
          <w:lang w:val="en-GB"/>
        </w:rPr>
        <w:t>g</w:t>
      </w:r>
      <w:r w:rsidR="00EC0816" w:rsidRPr="00B04DC3">
        <w:rPr>
          <w:lang w:val="en-GB"/>
        </w:rPr>
        <w:t>ases</w:t>
      </w:r>
    </w:p>
    <w:p w:rsidR="00D75405" w:rsidRPr="00B04DC3" w:rsidRDefault="00D75405" w:rsidP="00D75405">
      <w:pPr>
        <w:pStyle w:val="para"/>
        <w:rPr>
          <w:lang w:val="en-GB"/>
        </w:rPr>
      </w:pPr>
      <w:r w:rsidRPr="00B04DC3">
        <w:rPr>
          <w:lang w:val="en-GB"/>
        </w:rPr>
        <w:tab/>
        <w:t>Mixtures of gases having the following chemical compositions shall be available:</w:t>
      </w:r>
    </w:p>
    <w:p w:rsidR="00D75405" w:rsidRPr="00B04DC3" w:rsidRDefault="00D75405" w:rsidP="00D75405">
      <w:pPr>
        <w:pStyle w:val="para"/>
        <w:rPr>
          <w:lang w:val="en-GB"/>
        </w:rPr>
      </w:pPr>
      <w:r w:rsidRPr="00B04DC3">
        <w:rPr>
          <w:lang w:val="en-GB"/>
        </w:rPr>
        <w:tab/>
      </w:r>
      <w:r w:rsidRPr="00B04DC3">
        <w:rPr>
          <w:lang w:val="en-GB"/>
        </w:rPr>
        <w:tab/>
        <w:t>C</w:t>
      </w:r>
      <w:r w:rsidRPr="00B04DC3">
        <w:rPr>
          <w:vertAlign w:val="subscript"/>
          <w:lang w:val="en-GB"/>
        </w:rPr>
        <w:t>3</w:t>
      </w:r>
      <w:r w:rsidRPr="00B04DC3">
        <w:rPr>
          <w:lang w:val="en-GB"/>
        </w:rPr>
        <w:t>H</w:t>
      </w:r>
      <w:r w:rsidRPr="00B04DC3">
        <w:rPr>
          <w:vertAlign w:val="subscript"/>
          <w:lang w:val="en-GB"/>
        </w:rPr>
        <w:t>8</w:t>
      </w:r>
      <w:r w:rsidRPr="00B04DC3">
        <w:rPr>
          <w:lang w:val="en-GB"/>
        </w:rPr>
        <w:t xml:space="preserve"> and purified synthetic air (see paragraph 1.2.1.</w:t>
      </w:r>
      <w:r w:rsidR="002540E4">
        <w:rPr>
          <w:lang w:val="en-GB"/>
        </w:rPr>
        <w:t xml:space="preserve"> above</w:t>
      </w:r>
      <w:r w:rsidRPr="00B04DC3">
        <w:rPr>
          <w:lang w:val="en-GB"/>
        </w:rPr>
        <w:t>);</w:t>
      </w:r>
    </w:p>
    <w:p w:rsidR="00D75405" w:rsidRPr="00B04DC3" w:rsidRDefault="00D75405" w:rsidP="00D75405">
      <w:pPr>
        <w:pStyle w:val="para"/>
        <w:rPr>
          <w:lang w:val="en-GB"/>
        </w:rPr>
      </w:pPr>
      <w:r w:rsidRPr="00B04DC3">
        <w:rPr>
          <w:lang w:val="en-GB"/>
        </w:rPr>
        <w:tab/>
      </w:r>
      <w:r w:rsidRPr="00B04DC3">
        <w:rPr>
          <w:lang w:val="en-GB"/>
        </w:rPr>
        <w:tab/>
        <w:t>CO and purified nitrogen;</w:t>
      </w:r>
    </w:p>
    <w:p w:rsidR="00D75405" w:rsidRPr="00B04DC3" w:rsidRDefault="00D75405" w:rsidP="00D75405">
      <w:pPr>
        <w:pStyle w:val="para"/>
        <w:rPr>
          <w:lang w:val="en-GB"/>
        </w:rPr>
      </w:pPr>
      <w:r w:rsidRPr="00B04DC3">
        <w:rPr>
          <w:lang w:val="en-GB"/>
        </w:rPr>
        <w:tab/>
      </w:r>
      <w:r w:rsidRPr="00B04DC3">
        <w:rPr>
          <w:lang w:val="en-GB"/>
        </w:rPr>
        <w:tab/>
        <w:t>NO</w:t>
      </w:r>
      <w:r w:rsidRPr="00B04DC3">
        <w:rPr>
          <w:vertAlign w:val="subscript"/>
          <w:lang w:val="en-GB"/>
        </w:rPr>
        <w:t>x</w:t>
      </w:r>
      <w:r w:rsidRPr="00B04DC3">
        <w:rPr>
          <w:lang w:val="en-GB"/>
        </w:rPr>
        <w:t xml:space="preserve"> and purified nitrogen (the amount of NO</w:t>
      </w:r>
      <w:r w:rsidRPr="00B04DC3">
        <w:rPr>
          <w:vertAlign w:val="subscript"/>
          <w:lang w:val="en-GB"/>
        </w:rPr>
        <w:t>2</w:t>
      </w:r>
      <w:r w:rsidRPr="00B04DC3">
        <w:rPr>
          <w:lang w:val="en-GB"/>
        </w:rPr>
        <w:t xml:space="preserve"> contained in this calibration gas shall not exceed 5 per cent of the NO content);</w:t>
      </w:r>
    </w:p>
    <w:p w:rsidR="00D75405" w:rsidRPr="00B04DC3" w:rsidRDefault="00D75405" w:rsidP="00D75405">
      <w:pPr>
        <w:pStyle w:val="para"/>
        <w:rPr>
          <w:lang w:val="en-GB"/>
        </w:rPr>
      </w:pPr>
      <w:r w:rsidRPr="00B04DC3">
        <w:rPr>
          <w:lang w:val="en-GB"/>
        </w:rPr>
        <w:tab/>
      </w:r>
      <w:r w:rsidRPr="00B04DC3">
        <w:rPr>
          <w:lang w:val="en-GB"/>
        </w:rPr>
        <w:tab/>
        <w:t>CO</w:t>
      </w:r>
      <w:r w:rsidRPr="00B04DC3">
        <w:rPr>
          <w:vertAlign w:val="subscript"/>
          <w:lang w:val="en-GB"/>
        </w:rPr>
        <w:t>2</w:t>
      </w:r>
      <w:r w:rsidRPr="00B04DC3">
        <w:rPr>
          <w:lang w:val="en-GB"/>
        </w:rPr>
        <w:t xml:space="preserve"> and purified nitrogen;</w:t>
      </w:r>
    </w:p>
    <w:p w:rsidR="00D75405" w:rsidRPr="00B04DC3" w:rsidRDefault="00D75405" w:rsidP="00D75405">
      <w:pPr>
        <w:pStyle w:val="para"/>
        <w:rPr>
          <w:lang w:val="en-GB"/>
        </w:rPr>
      </w:pPr>
      <w:r w:rsidRPr="00B04DC3">
        <w:rPr>
          <w:lang w:val="en-GB"/>
        </w:rPr>
        <w:tab/>
      </w:r>
      <w:r w:rsidRPr="00B04DC3">
        <w:rPr>
          <w:lang w:val="en-GB"/>
        </w:rPr>
        <w:tab/>
        <w:t>CH</w:t>
      </w:r>
      <w:r w:rsidRPr="00B04DC3">
        <w:rPr>
          <w:vertAlign w:val="subscript"/>
          <w:lang w:val="en-GB"/>
        </w:rPr>
        <w:t>4</w:t>
      </w:r>
      <w:r w:rsidRPr="00B04DC3">
        <w:rPr>
          <w:lang w:val="en-GB"/>
        </w:rPr>
        <w:t xml:space="preserve"> and purified synthetic air;</w:t>
      </w:r>
    </w:p>
    <w:p w:rsidR="00D75405" w:rsidRPr="00B04DC3" w:rsidRDefault="00D75405" w:rsidP="00D75405">
      <w:pPr>
        <w:pStyle w:val="para"/>
        <w:rPr>
          <w:lang w:val="en-GB"/>
        </w:rPr>
      </w:pPr>
      <w:r w:rsidRPr="00B04DC3">
        <w:rPr>
          <w:lang w:val="en-GB"/>
        </w:rPr>
        <w:tab/>
      </w:r>
      <w:r w:rsidRPr="00B04DC3">
        <w:rPr>
          <w:lang w:val="en-GB"/>
        </w:rPr>
        <w:tab/>
        <w:t>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and purified synthetic air.</w:t>
      </w:r>
    </w:p>
    <w:p w:rsidR="00D75405" w:rsidRPr="00B04DC3" w:rsidRDefault="00D75405" w:rsidP="00D75405">
      <w:pPr>
        <w:pStyle w:val="para"/>
        <w:ind w:firstLine="0"/>
        <w:rPr>
          <w:lang w:val="en-GB"/>
        </w:rPr>
      </w:pPr>
      <w:r w:rsidRPr="00B04DC3">
        <w:rPr>
          <w:i/>
          <w:lang w:val="en-GB"/>
        </w:rPr>
        <w:t>Note:</w:t>
      </w:r>
      <w:r w:rsidRPr="00B04DC3">
        <w:rPr>
          <w:lang w:val="en-GB"/>
        </w:rPr>
        <w:tab/>
        <w:t>Other gas combinations are allowed provided the gases do not react with one another.</w:t>
      </w:r>
    </w:p>
    <w:p w:rsidR="00D75405" w:rsidRPr="00B04DC3" w:rsidRDefault="00D75405" w:rsidP="00D75405">
      <w:pPr>
        <w:pStyle w:val="para"/>
        <w:rPr>
          <w:lang w:val="en-GB"/>
        </w:rPr>
      </w:pPr>
      <w:r w:rsidRPr="00B04DC3">
        <w:rPr>
          <w:lang w:val="en-GB"/>
        </w:rPr>
        <w:tab/>
        <w:t>The true concentration of a calibration and span gas shall be within ±2 per cent of the nominal value. All concentrations of calibration gas shall be given on a volume basis (volume percent or volume ppm).</w:t>
      </w:r>
    </w:p>
    <w:p w:rsidR="00D75405" w:rsidRPr="00B04DC3" w:rsidRDefault="00D75405" w:rsidP="00D75405">
      <w:pPr>
        <w:pStyle w:val="para"/>
        <w:rPr>
          <w:lang w:val="en-GB"/>
        </w:rPr>
      </w:pPr>
      <w:r w:rsidRPr="00B04DC3">
        <w:rPr>
          <w:lang w:val="en-GB"/>
        </w:rPr>
        <w:tab/>
        <w:t>The gases used for calibration and span may also be obtained by means of a gas divider, diluting with purified N</w:t>
      </w:r>
      <w:r w:rsidRPr="00B04DC3">
        <w:rPr>
          <w:vertAlign w:val="subscript"/>
          <w:lang w:val="en-GB"/>
        </w:rPr>
        <w:t>2</w:t>
      </w:r>
      <w:r w:rsidRPr="00B04DC3">
        <w:rPr>
          <w:lang w:val="en-GB"/>
        </w:rPr>
        <w:t xml:space="preserve"> or with purified synthetic air. The accuracy of the mixing device shall be such that the concentration of the diluted calibration gases may be determined to within ±2 per cent.</w:t>
      </w:r>
    </w:p>
    <w:p w:rsidR="00D75405" w:rsidRPr="00B04DC3" w:rsidRDefault="00D75405" w:rsidP="00D75405">
      <w:pPr>
        <w:pStyle w:val="para"/>
        <w:rPr>
          <w:lang w:val="en-GB"/>
        </w:rPr>
      </w:pPr>
      <w:r w:rsidRPr="00B04DC3">
        <w:rPr>
          <w:lang w:val="en-GB"/>
        </w:rPr>
        <w:t>1.2.3.</w:t>
      </w:r>
      <w:r w:rsidRPr="00B04DC3">
        <w:rPr>
          <w:lang w:val="en-GB"/>
        </w:rPr>
        <w:tab/>
        <w:t>Use of precision blending devices</w:t>
      </w:r>
    </w:p>
    <w:p w:rsidR="00D75405" w:rsidRPr="00B04DC3" w:rsidRDefault="00D75405" w:rsidP="00D75405">
      <w:pPr>
        <w:pStyle w:val="para"/>
        <w:rPr>
          <w:lang w:val="en-GB"/>
        </w:rPr>
      </w:pPr>
      <w:r w:rsidRPr="00B04DC3">
        <w:rPr>
          <w:lang w:val="en-GB"/>
        </w:rPr>
        <w:tab/>
        <w:t>The gases used for calibration and span may also be obtained by means of precision blending devices (gas dividers), diluting with purified N</w:t>
      </w:r>
      <w:r w:rsidRPr="00B04DC3">
        <w:rPr>
          <w:vertAlign w:val="subscript"/>
          <w:lang w:val="en-GB"/>
        </w:rPr>
        <w:t>2</w:t>
      </w:r>
      <w:r w:rsidRPr="00B04DC3">
        <w:rPr>
          <w:lang w:val="en-GB"/>
        </w:rPr>
        <w:t xml:space="preserve"> or with purified synthetic air. The accuracy of the mixing device shall be such that the concentration of the blended calibration gases is accurate to within </w:t>
      </w:r>
      <w:r w:rsidRPr="00B04DC3">
        <w:rPr>
          <w:lang w:val="en-GB"/>
        </w:rPr>
        <w:sym w:font="Symbol" w:char="F0B1"/>
      </w:r>
      <w:r w:rsidRPr="00B04DC3">
        <w:rPr>
          <w:lang w:val="en-GB"/>
        </w:rPr>
        <w:t xml:space="preserve">2 per cent. This accuracy implies that primary gases used for blending shall be known to an accuracy of at least </w:t>
      </w:r>
      <w:r w:rsidRPr="00B04DC3">
        <w:rPr>
          <w:lang w:val="en-GB"/>
        </w:rPr>
        <w:sym w:font="Symbol" w:char="F0B1"/>
      </w:r>
      <w:r w:rsidRPr="00B04DC3">
        <w:rPr>
          <w:lang w:val="en-GB"/>
        </w:rPr>
        <w:t>1 per cent, traceable to national or international gas standards. The verification shall be performed at between 15 and 50 per cent of full scale for each calibration incorporating a blending device.</w:t>
      </w:r>
    </w:p>
    <w:p w:rsidR="00D75405" w:rsidRPr="00B04DC3" w:rsidRDefault="00D75405" w:rsidP="00D75405">
      <w:pPr>
        <w:pStyle w:val="para"/>
        <w:rPr>
          <w:lang w:val="en-GB"/>
        </w:rPr>
      </w:pPr>
      <w:r w:rsidRPr="00B04DC3">
        <w:rPr>
          <w:lang w:val="en-GB"/>
        </w:rPr>
        <w:tab/>
        <w:t>Optionally, the blending device may be checked with an instrument which by nature is linear, e.g. using NO gas with a CLD. The span value of the instrument shall be adjusted with the span gas directly connected to the instrument. The blending device shall be checked at the used settings and the nominal value shall be compared to the measured concentration of the instrument. This difference shall in each point be within </w:t>
      </w:r>
      <w:r w:rsidRPr="00B04DC3">
        <w:rPr>
          <w:lang w:val="en-GB"/>
        </w:rPr>
        <w:sym w:font="Symbol" w:char="F0B1"/>
      </w:r>
      <w:r w:rsidRPr="00B04DC3">
        <w:rPr>
          <w:lang w:val="en-GB"/>
        </w:rPr>
        <w:t>1 per cent of the nominal value.</w:t>
      </w:r>
    </w:p>
    <w:p w:rsidR="00D75405" w:rsidRPr="00B04DC3" w:rsidRDefault="00D75405" w:rsidP="00D75405">
      <w:pPr>
        <w:pStyle w:val="para"/>
        <w:rPr>
          <w:lang w:val="en-GB"/>
        </w:rPr>
      </w:pPr>
      <w:r w:rsidRPr="00B04DC3">
        <w:rPr>
          <w:lang w:val="en-GB"/>
        </w:rPr>
        <w:t>1.3.</w:t>
      </w:r>
      <w:r w:rsidRPr="00B04DC3">
        <w:rPr>
          <w:lang w:val="en-GB"/>
        </w:rPr>
        <w:tab/>
        <w:t xml:space="preserve">Operating </w:t>
      </w:r>
      <w:r w:rsidR="00EC0816" w:rsidRPr="00B04DC3">
        <w:rPr>
          <w:lang w:val="en-GB"/>
        </w:rPr>
        <w:t>procedure for analyzers and sampling s</w:t>
      </w:r>
      <w:r w:rsidRPr="00B04DC3">
        <w:rPr>
          <w:lang w:val="en-GB"/>
        </w:rPr>
        <w:t>ystem</w:t>
      </w:r>
    </w:p>
    <w:p w:rsidR="00D75405" w:rsidRPr="00B04DC3" w:rsidRDefault="00D75405" w:rsidP="00D75405">
      <w:pPr>
        <w:pStyle w:val="para"/>
        <w:rPr>
          <w:lang w:val="en-GB"/>
        </w:rPr>
      </w:pPr>
      <w:r w:rsidRPr="00B04DC3">
        <w:rPr>
          <w:lang w:val="en-GB"/>
        </w:rPr>
        <w:tab/>
        <w:t>The operating procedure for analyzers shall follow the start-up and operating instructions of the instrument manufacturer. The minimum requirements given in paragraphs 1.4 to 1.9</w:t>
      </w:r>
      <w:r w:rsidR="00EC0816">
        <w:rPr>
          <w:lang w:val="en-GB"/>
        </w:rPr>
        <w:t>. of this appendix</w:t>
      </w:r>
      <w:r w:rsidRPr="00B04DC3">
        <w:rPr>
          <w:lang w:val="en-GB"/>
        </w:rPr>
        <w:t xml:space="preserve"> shall be included.</w:t>
      </w:r>
    </w:p>
    <w:p w:rsidR="00D75405" w:rsidRPr="00B04DC3" w:rsidRDefault="00D75405" w:rsidP="00D75405">
      <w:pPr>
        <w:pStyle w:val="para"/>
        <w:rPr>
          <w:lang w:val="en-GB"/>
        </w:rPr>
      </w:pPr>
      <w:r w:rsidRPr="00B04DC3">
        <w:rPr>
          <w:lang w:val="en-GB"/>
        </w:rPr>
        <w:t>1.4.</w:t>
      </w:r>
      <w:r w:rsidRPr="00B04DC3">
        <w:rPr>
          <w:lang w:val="en-GB"/>
        </w:rPr>
        <w:tab/>
        <w:t>Leakage test</w:t>
      </w:r>
    </w:p>
    <w:p w:rsidR="00D75405" w:rsidRPr="00B04DC3" w:rsidRDefault="00D75405" w:rsidP="00D75405">
      <w:pPr>
        <w:pStyle w:val="para"/>
        <w:rPr>
          <w:lang w:val="en-GB"/>
        </w:rPr>
      </w:pPr>
      <w:r w:rsidRPr="00B04DC3">
        <w:rPr>
          <w:lang w:val="en-GB"/>
        </w:rPr>
        <w:tab/>
        <w:t>A system leakage test shall be performed. The probe shall be disconnected from the exhaust system and the end plugged. The analyzer pump shall be switched on. After an initial stabilisation period all flow meters should read zero. If not, the sampling lines shall be checked and the fault corrected.</w:t>
      </w:r>
    </w:p>
    <w:p w:rsidR="00D75405" w:rsidRPr="00B04DC3" w:rsidRDefault="00D75405" w:rsidP="00D75405">
      <w:pPr>
        <w:pStyle w:val="para"/>
        <w:rPr>
          <w:spacing w:val="-2"/>
          <w:lang w:val="en-GB"/>
        </w:rPr>
      </w:pPr>
      <w:r w:rsidRPr="00B04DC3">
        <w:rPr>
          <w:spacing w:val="-2"/>
          <w:lang w:val="en-GB"/>
        </w:rPr>
        <w:tab/>
        <w:t>The maximum allowable leakage rate on the vacuum side shall be 0.5 per cent of the in</w:t>
      </w:r>
      <w:r w:rsidRPr="00B04DC3">
        <w:rPr>
          <w:spacing w:val="-2"/>
          <w:lang w:val="en-GB"/>
        </w:rPr>
        <w:noBreakHyphen/>
        <w:t>use flow rate for the portion of the system being checked. The analyzer flows and bypass flows may be used to estimate the in-use flow rates.</w:t>
      </w:r>
    </w:p>
    <w:p w:rsidR="00D75405" w:rsidRPr="00B04DC3" w:rsidRDefault="00D75405" w:rsidP="00D75405">
      <w:pPr>
        <w:pStyle w:val="para"/>
        <w:rPr>
          <w:lang w:val="en-GB"/>
        </w:rPr>
      </w:pPr>
      <w:r w:rsidRPr="00B04DC3">
        <w:rPr>
          <w:lang w:val="en-GB"/>
        </w:rPr>
        <w:tab/>
        <w:t xml:space="preserve">Alternatively, the system may be evacuated to a pressure of at least 20 kPa vacuum (80 kPa absolute). After an initial stabilisation period the pressure increase </w:t>
      </w:r>
      <w:r w:rsidRPr="00B04DC3">
        <w:rPr>
          <w:lang w:val="en-GB"/>
        </w:rPr>
        <w:sym w:font="Symbol" w:char="F044"/>
      </w:r>
      <w:r w:rsidRPr="00B04DC3">
        <w:rPr>
          <w:lang w:val="en-GB"/>
        </w:rPr>
        <w:t>p (kPa/min) in the system should not exceed:</w:t>
      </w:r>
    </w:p>
    <w:p w:rsidR="00D75405" w:rsidRPr="00B04DC3" w:rsidRDefault="00D75405" w:rsidP="00D75405">
      <w:pPr>
        <w:pStyle w:val="para"/>
        <w:rPr>
          <w:lang w:val="en-GB"/>
        </w:rPr>
      </w:pPr>
      <w:r w:rsidRPr="00B04DC3">
        <w:rPr>
          <w:lang w:val="en-GB"/>
        </w:rPr>
        <w:tab/>
      </w:r>
      <w:r w:rsidRPr="00B04DC3">
        <w:rPr>
          <w:lang w:val="en-GB"/>
        </w:rPr>
        <w:tab/>
      </w:r>
      <w:r w:rsidRPr="00B04DC3">
        <w:rPr>
          <w:lang w:val="en-GB"/>
        </w:rPr>
        <w:sym w:font="Symbol" w:char="F044"/>
      </w:r>
      <w:r w:rsidRPr="00B04DC3">
        <w:rPr>
          <w:lang w:val="en-GB"/>
        </w:rPr>
        <w:t>p = p / V</w:t>
      </w:r>
      <w:r w:rsidRPr="00B04DC3">
        <w:rPr>
          <w:vertAlign w:val="subscript"/>
          <w:lang w:val="en-GB"/>
        </w:rPr>
        <w:t xml:space="preserve">s </w:t>
      </w:r>
      <w:r w:rsidRPr="00B04DC3">
        <w:rPr>
          <w:lang w:val="en-GB"/>
        </w:rPr>
        <w:t>× 0.005 × q</w:t>
      </w:r>
      <w:r w:rsidRPr="00B04DC3">
        <w:rPr>
          <w:vertAlign w:val="subscript"/>
          <w:lang w:val="en-GB"/>
        </w:rPr>
        <w:t>vs</w:t>
      </w:r>
    </w:p>
    <w:p w:rsidR="00D75405" w:rsidRPr="00B04DC3" w:rsidRDefault="00D75405" w:rsidP="00D75405">
      <w:pPr>
        <w:pStyle w:val="para"/>
        <w:rPr>
          <w:lang w:val="en-GB"/>
        </w:rPr>
      </w:pPr>
      <w:r w:rsidRPr="00B04DC3">
        <w:rPr>
          <w:lang w:val="en-GB"/>
        </w:rPr>
        <w:br w:type="page"/>
      </w:r>
      <w:r w:rsidRPr="00B04DC3">
        <w:rPr>
          <w:lang w:val="en-GB"/>
        </w:rPr>
        <w:tab/>
      </w:r>
      <w:r w:rsidR="00381748" w:rsidRPr="00B04DC3">
        <w:rPr>
          <w:lang w:val="en-GB"/>
        </w:rPr>
        <w:t>Where</w:t>
      </w:r>
      <w:r w:rsidRPr="00B04DC3">
        <w:rPr>
          <w:lang w:val="en-GB"/>
        </w:rPr>
        <w:t>:</w:t>
      </w:r>
    </w:p>
    <w:p w:rsidR="00D75405" w:rsidRPr="00B04DC3" w:rsidRDefault="00D75405" w:rsidP="00D75405">
      <w:pPr>
        <w:pStyle w:val="para"/>
        <w:rPr>
          <w:lang w:val="en-GB"/>
        </w:rPr>
      </w:pPr>
      <w:r w:rsidRPr="00B04DC3">
        <w:rPr>
          <w:lang w:val="en-GB"/>
        </w:rPr>
        <w:tab/>
      </w:r>
      <w:r w:rsidRPr="00B04DC3">
        <w:rPr>
          <w:lang w:val="en-GB"/>
        </w:rPr>
        <w:tab/>
        <w:t>V</w:t>
      </w:r>
      <w:r w:rsidRPr="00B04DC3">
        <w:rPr>
          <w:vertAlign w:val="subscript"/>
          <w:lang w:val="en-GB"/>
        </w:rPr>
        <w:t>s</w:t>
      </w:r>
      <w:r w:rsidRPr="00B04DC3">
        <w:rPr>
          <w:lang w:val="en-GB"/>
        </w:rPr>
        <w:tab/>
        <w:t>=</w:t>
      </w:r>
      <w:r w:rsidRPr="00B04DC3">
        <w:rPr>
          <w:lang w:val="en-GB"/>
        </w:rPr>
        <w:tab/>
        <w:t>system volume, l</w:t>
      </w:r>
    </w:p>
    <w:p w:rsidR="00D75405" w:rsidRPr="00B04DC3" w:rsidRDefault="00D75405" w:rsidP="00D75405">
      <w:pPr>
        <w:pStyle w:val="para"/>
        <w:rPr>
          <w:lang w:val="en-GB"/>
        </w:rPr>
      </w:pPr>
      <w:r w:rsidRPr="00B04DC3">
        <w:rPr>
          <w:lang w:val="en-GB"/>
        </w:rPr>
        <w:tab/>
      </w:r>
      <w:r w:rsidRPr="00B04DC3">
        <w:rPr>
          <w:lang w:val="en-GB"/>
        </w:rPr>
        <w:tab/>
        <w:t>q</w:t>
      </w:r>
      <w:r w:rsidRPr="00B04DC3">
        <w:rPr>
          <w:vertAlign w:val="subscript"/>
          <w:lang w:val="en-GB"/>
        </w:rPr>
        <w:t>vs</w:t>
      </w:r>
      <w:r w:rsidRPr="00B04DC3">
        <w:rPr>
          <w:lang w:val="en-GB"/>
        </w:rPr>
        <w:tab/>
        <w:t>=</w:t>
      </w:r>
      <w:r w:rsidRPr="00B04DC3">
        <w:rPr>
          <w:lang w:val="en-GB"/>
        </w:rPr>
        <w:tab/>
        <w:t>system flow rate, l/min</w:t>
      </w:r>
    </w:p>
    <w:p w:rsidR="00D75405" w:rsidRPr="00B04DC3" w:rsidRDefault="00D75405" w:rsidP="00D75405">
      <w:pPr>
        <w:pStyle w:val="para"/>
        <w:rPr>
          <w:lang w:val="en-GB"/>
        </w:rPr>
      </w:pPr>
      <w:r w:rsidRPr="00B04DC3">
        <w:rPr>
          <w:lang w:val="en-GB"/>
        </w:rPr>
        <w:tab/>
        <w:t>Another method is the introduction of a concentration step change at the beginning of the sampling line by switching from zero to span gas. If after an adequate period of time the reading is about 1 per cent low compared to the introduced concentration, these points to calibration or leakage problems.</w:t>
      </w:r>
    </w:p>
    <w:p w:rsidR="00D75405" w:rsidRPr="00B04DC3" w:rsidRDefault="00D75405" w:rsidP="00D75405">
      <w:pPr>
        <w:pStyle w:val="para"/>
        <w:rPr>
          <w:lang w:val="en-GB"/>
        </w:rPr>
      </w:pPr>
      <w:r w:rsidRPr="00B04DC3">
        <w:rPr>
          <w:lang w:val="en-GB"/>
        </w:rPr>
        <w:t>1.5.</w:t>
      </w:r>
      <w:r w:rsidRPr="00B04DC3">
        <w:rPr>
          <w:lang w:val="en-GB"/>
        </w:rPr>
        <w:tab/>
        <w:t>Response time check of analytical system</w:t>
      </w:r>
    </w:p>
    <w:p w:rsidR="00D75405" w:rsidRPr="00B04DC3" w:rsidRDefault="00D75405" w:rsidP="00D75405">
      <w:pPr>
        <w:pStyle w:val="para"/>
        <w:rPr>
          <w:lang w:val="en-GB"/>
        </w:rPr>
      </w:pPr>
      <w:r w:rsidRPr="00B04DC3">
        <w:rPr>
          <w:lang w:val="en-GB"/>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per cent FS.</w:t>
      </w:r>
    </w:p>
    <w:p w:rsidR="00D75405" w:rsidRPr="00B04DC3" w:rsidRDefault="00D75405" w:rsidP="00D75405">
      <w:pPr>
        <w:pStyle w:val="para"/>
        <w:rPr>
          <w:lang w:val="en-GB"/>
        </w:rPr>
      </w:pPr>
      <w:r w:rsidRPr="00B04DC3">
        <w:rPr>
          <w:lang w:val="en-GB"/>
        </w:rPr>
        <w:tab/>
        <w:t>The concentration trace of each single gas component shall be recorded. The response time is defined to be the difference in time between the gas switching and the appropriate change of the recorded concentration. The system response time (t</w:t>
      </w:r>
      <w:r w:rsidRPr="00B04DC3">
        <w:rPr>
          <w:vertAlign w:val="subscript"/>
          <w:lang w:val="en-GB"/>
        </w:rPr>
        <w:t>90</w:t>
      </w:r>
      <w:r w:rsidRPr="00B04DC3">
        <w:rPr>
          <w:lang w:val="en-GB"/>
        </w:rPr>
        <w:t>) consists of the delay time to the measuring detector and the rise time of the detector. The delay time is defined as the time from the change (t</w:t>
      </w:r>
      <w:r w:rsidRPr="00B04DC3">
        <w:rPr>
          <w:vertAlign w:val="subscript"/>
          <w:lang w:val="en-GB"/>
        </w:rPr>
        <w:t>0</w:t>
      </w:r>
      <w:r w:rsidRPr="00B04DC3">
        <w:rPr>
          <w:lang w:val="en-GB"/>
        </w:rPr>
        <w:t>) until the response is 10 per cent of the final reading (t</w:t>
      </w:r>
      <w:r w:rsidRPr="00B04DC3">
        <w:rPr>
          <w:vertAlign w:val="subscript"/>
          <w:lang w:val="en-GB"/>
        </w:rPr>
        <w:t>10</w:t>
      </w:r>
      <w:r w:rsidRPr="00B04DC3">
        <w:rPr>
          <w:lang w:val="en-GB"/>
        </w:rPr>
        <w:t>). The rise time is defined as the time between 10 per cent and 90 per cent response of the final reading (t</w:t>
      </w:r>
      <w:r w:rsidRPr="00B04DC3">
        <w:rPr>
          <w:vertAlign w:val="subscript"/>
          <w:lang w:val="en-GB"/>
        </w:rPr>
        <w:t>90</w:t>
      </w:r>
      <w:r w:rsidRPr="00B04DC3">
        <w:rPr>
          <w:lang w:val="en-GB"/>
        </w:rPr>
        <w:t xml:space="preserve"> – t</w:t>
      </w:r>
      <w:r w:rsidRPr="00B04DC3">
        <w:rPr>
          <w:vertAlign w:val="subscript"/>
          <w:lang w:val="en-GB"/>
        </w:rPr>
        <w:t>10</w:t>
      </w:r>
      <w:r w:rsidRPr="00B04DC3">
        <w:rPr>
          <w:lang w:val="en-GB"/>
        </w:rPr>
        <w:t>).</w:t>
      </w:r>
    </w:p>
    <w:p w:rsidR="00D75405" w:rsidRPr="00B04DC3" w:rsidRDefault="00D75405" w:rsidP="00D75405">
      <w:pPr>
        <w:pStyle w:val="para"/>
        <w:rPr>
          <w:lang w:val="en-GB"/>
        </w:rPr>
      </w:pPr>
      <w:r w:rsidRPr="00B04DC3">
        <w:rPr>
          <w:lang w:val="en-GB"/>
        </w:rPr>
        <w:tab/>
        <w:t>For time alignment of the analyzer and exhaust flow signals in the case of raw measurement, the transformation time is defined as the time from the change (t</w:t>
      </w:r>
      <w:r w:rsidRPr="00B04DC3">
        <w:rPr>
          <w:vertAlign w:val="subscript"/>
          <w:lang w:val="en-GB"/>
        </w:rPr>
        <w:t>0</w:t>
      </w:r>
      <w:r w:rsidRPr="00B04DC3">
        <w:rPr>
          <w:lang w:val="en-GB"/>
        </w:rPr>
        <w:t>) until the response is 50 per cent of the final reading (t</w:t>
      </w:r>
      <w:r w:rsidRPr="00B04DC3">
        <w:rPr>
          <w:vertAlign w:val="subscript"/>
          <w:lang w:val="en-GB"/>
        </w:rPr>
        <w:t>50</w:t>
      </w:r>
      <w:r w:rsidRPr="00B04DC3">
        <w:rPr>
          <w:lang w:val="en-GB"/>
        </w:rPr>
        <w:t>).</w:t>
      </w:r>
    </w:p>
    <w:p w:rsidR="00D75405" w:rsidRPr="00B04DC3" w:rsidRDefault="00D75405" w:rsidP="00D75405">
      <w:pPr>
        <w:pStyle w:val="para"/>
        <w:rPr>
          <w:lang w:val="en-GB"/>
        </w:rPr>
      </w:pPr>
      <w:r w:rsidRPr="00B04DC3">
        <w:rPr>
          <w:lang w:val="en-GB"/>
        </w:rPr>
        <w:tab/>
        <w:t xml:space="preserve">The system response time shall be </w:t>
      </w:r>
      <w:r w:rsidRPr="00B04DC3">
        <w:rPr>
          <w:lang w:val="en-GB"/>
        </w:rPr>
        <w:sym w:font="Symbol" w:char="F0A3"/>
      </w:r>
      <w:r w:rsidRPr="00B04DC3">
        <w:rPr>
          <w:lang w:val="en-GB"/>
        </w:rPr>
        <w:t xml:space="preserve"> 10 seconds with a rise time</w:t>
      </w:r>
      <w:r w:rsidRPr="00B04DC3">
        <w:rPr>
          <w:lang w:val="en-GB"/>
        </w:rPr>
        <w:br/>
      </w:r>
      <w:r w:rsidRPr="00B04DC3">
        <w:rPr>
          <w:lang w:val="en-GB"/>
        </w:rPr>
        <w:sym w:font="Symbol" w:char="F0A3"/>
      </w:r>
      <w:r w:rsidRPr="00B04DC3">
        <w:rPr>
          <w:lang w:val="en-GB"/>
        </w:rPr>
        <w:t xml:space="preserve"> 3.5 seconds for all limited components (CO, NO</w:t>
      </w:r>
      <w:r w:rsidRPr="00B04DC3">
        <w:rPr>
          <w:vertAlign w:val="subscript"/>
          <w:lang w:val="en-GB"/>
        </w:rPr>
        <w:t>x</w:t>
      </w:r>
      <w:r w:rsidRPr="00B04DC3">
        <w:rPr>
          <w:lang w:val="en-GB"/>
        </w:rPr>
        <w:t>, HC or NMHC) and all ranges used.</w:t>
      </w:r>
    </w:p>
    <w:p w:rsidR="00D75405" w:rsidRPr="00B04DC3" w:rsidRDefault="00D75405" w:rsidP="00D75405">
      <w:pPr>
        <w:pStyle w:val="para"/>
        <w:rPr>
          <w:lang w:val="en-GB"/>
        </w:rPr>
      </w:pPr>
      <w:r w:rsidRPr="00B04DC3">
        <w:rPr>
          <w:lang w:val="en-GB"/>
        </w:rPr>
        <w:t>1.6.</w:t>
      </w:r>
      <w:r w:rsidRPr="00B04DC3">
        <w:rPr>
          <w:lang w:val="en-GB"/>
        </w:rPr>
        <w:tab/>
        <w:t>Calibration</w:t>
      </w:r>
    </w:p>
    <w:p w:rsidR="00D75405" w:rsidRPr="00B04DC3" w:rsidRDefault="00D75405" w:rsidP="00D75405">
      <w:pPr>
        <w:pStyle w:val="para"/>
        <w:rPr>
          <w:lang w:val="en-GB"/>
        </w:rPr>
      </w:pPr>
      <w:r w:rsidRPr="00B04DC3">
        <w:rPr>
          <w:lang w:val="en-GB"/>
        </w:rPr>
        <w:t>1.6.1.</w:t>
      </w:r>
      <w:r w:rsidRPr="00B04DC3">
        <w:rPr>
          <w:lang w:val="en-GB"/>
        </w:rPr>
        <w:tab/>
        <w:t>Instrument assembly</w:t>
      </w:r>
    </w:p>
    <w:p w:rsidR="00D75405" w:rsidRPr="00B04DC3" w:rsidRDefault="00D75405" w:rsidP="00D75405">
      <w:pPr>
        <w:pStyle w:val="para"/>
        <w:rPr>
          <w:lang w:val="en-GB"/>
        </w:rPr>
      </w:pPr>
      <w:r w:rsidRPr="00B04DC3">
        <w:rPr>
          <w:lang w:val="en-GB"/>
        </w:rPr>
        <w:tab/>
        <w:t>The instrument assembly shall be calibrated and calibration curves checked against standard gases. The same gas flow rates shall be used as when sampling exhaust.</w:t>
      </w:r>
    </w:p>
    <w:p w:rsidR="00D75405" w:rsidRPr="00B04DC3" w:rsidRDefault="00D75405" w:rsidP="00D75405">
      <w:pPr>
        <w:pStyle w:val="para"/>
        <w:rPr>
          <w:lang w:val="en-GB"/>
        </w:rPr>
      </w:pPr>
      <w:r w:rsidRPr="00B04DC3">
        <w:rPr>
          <w:lang w:val="en-GB"/>
        </w:rPr>
        <w:t>1.6.2.</w:t>
      </w:r>
      <w:r w:rsidRPr="00B04DC3">
        <w:rPr>
          <w:lang w:val="en-GB"/>
        </w:rPr>
        <w:tab/>
        <w:t>Warming-up time</w:t>
      </w:r>
    </w:p>
    <w:p w:rsidR="00D75405" w:rsidRPr="00B04DC3" w:rsidRDefault="00D75405" w:rsidP="00D75405">
      <w:pPr>
        <w:pStyle w:val="para"/>
        <w:rPr>
          <w:lang w:val="en-GB"/>
        </w:rPr>
      </w:pPr>
      <w:r w:rsidRPr="00B04DC3">
        <w:rPr>
          <w:lang w:val="en-GB"/>
        </w:rPr>
        <w:tab/>
        <w:t>The warming-up time should be according to the recommendations of the manufacturer. If not specified, a minimum of two hours is recommended for warming up the analyzers.</w:t>
      </w:r>
    </w:p>
    <w:p w:rsidR="00D75405" w:rsidRPr="00B04DC3" w:rsidRDefault="00D75405" w:rsidP="00D75405">
      <w:pPr>
        <w:pStyle w:val="para"/>
        <w:rPr>
          <w:lang w:val="en-GB"/>
        </w:rPr>
      </w:pPr>
      <w:r w:rsidRPr="00B04DC3">
        <w:rPr>
          <w:lang w:val="en-GB"/>
        </w:rPr>
        <w:t>1.6.3.</w:t>
      </w:r>
      <w:r w:rsidRPr="00B04DC3">
        <w:rPr>
          <w:lang w:val="en-GB"/>
        </w:rPr>
        <w:tab/>
        <w:t>NDIR and HFID analyzer</w:t>
      </w:r>
    </w:p>
    <w:p w:rsidR="00D75405" w:rsidRPr="00B04DC3" w:rsidRDefault="00D75405" w:rsidP="00D75405">
      <w:pPr>
        <w:pStyle w:val="para"/>
        <w:rPr>
          <w:lang w:val="en-GB"/>
        </w:rPr>
      </w:pPr>
      <w:r w:rsidRPr="00B04DC3">
        <w:rPr>
          <w:lang w:val="en-GB"/>
        </w:rPr>
        <w:tab/>
        <w:t>The NDIR analyzer shall be tuned, as necessary, and the combustion flame of the HFID analyzer shall be optimised (paragraph 1.8.1.</w:t>
      </w:r>
      <w:r w:rsidR="00FF0BC7">
        <w:rPr>
          <w:lang w:val="en-GB"/>
        </w:rPr>
        <w:t xml:space="preserve"> of this appendix</w:t>
      </w:r>
      <w:r w:rsidRPr="00B04DC3">
        <w:rPr>
          <w:lang w:val="en-GB"/>
        </w:rPr>
        <w:t>).</w:t>
      </w:r>
    </w:p>
    <w:p w:rsidR="00D75405" w:rsidRPr="00B04DC3" w:rsidRDefault="00D75405" w:rsidP="00D75405">
      <w:pPr>
        <w:pStyle w:val="para"/>
        <w:rPr>
          <w:lang w:val="en-GB"/>
        </w:rPr>
      </w:pPr>
      <w:r w:rsidRPr="00B04DC3">
        <w:rPr>
          <w:lang w:val="en-GB"/>
        </w:rPr>
        <w:br w:type="page"/>
        <w:t>1.6.4.</w:t>
      </w:r>
      <w:r w:rsidRPr="00B04DC3">
        <w:rPr>
          <w:lang w:val="en-GB"/>
        </w:rPr>
        <w:tab/>
        <w:t>Establishment of the calibration curve</w:t>
      </w:r>
    </w:p>
    <w:p w:rsidR="00D75405" w:rsidRPr="00B04DC3" w:rsidRDefault="00D75405" w:rsidP="00D75405">
      <w:pPr>
        <w:pStyle w:val="a"/>
        <w:rPr>
          <w:lang w:val="en-GB"/>
        </w:rPr>
      </w:pPr>
      <w:r w:rsidRPr="00B04DC3">
        <w:rPr>
          <w:lang w:val="en-GB"/>
        </w:rPr>
        <w:t>(a)</w:t>
      </w:r>
      <w:r w:rsidRPr="00B04DC3">
        <w:rPr>
          <w:lang w:val="en-GB"/>
        </w:rPr>
        <w:tab/>
        <w:t>Each normally used operating range shall be calibrated;</w:t>
      </w:r>
    </w:p>
    <w:p w:rsidR="00D75405" w:rsidRPr="00B04DC3" w:rsidRDefault="00D75405" w:rsidP="00D75405">
      <w:pPr>
        <w:pStyle w:val="a"/>
        <w:rPr>
          <w:lang w:val="en-GB"/>
        </w:rPr>
      </w:pPr>
      <w:r w:rsidRPr="00B04DC3">
        <w:rPr>
          <w:lang w:val="en-GB"/>
        </w:rPr>
        <w:t>(b)</w:t>
      </w:r>
      <w:r w:rsidRPr="00B04DC3">
        <w:rPr>
          <w:lang w:val="en-GB"/>
        </w:rPr>
        <w:tab/>
        <w:t>Using purified synthetic air (or nitrogen), the CO, CO</w:t>
      </w:r>
      <w:r w:rsidRPr="00B04DC3">
        <w:rPr>
          <w:vertAlign w:val="subscript"/>
          <w:lang w:val="en-GB"/>
        </w:rPr>
        <w:t>2</w:t>
      </w:r>
      <w:r w:rsidRPr="00B04DC3">
        <w:rPr>
          <w:lang w:val="en-GB"/>
        </w:rPr>
        <w:t>, NO</w:t>
      </w:r>
      <w:r w:rsidRPr="00B04DC3">
        <w:rPr>
          <w:vertAlign w:val="subscript"/>
          <w:lang w:val="en-GB"/>
        </w:rPr>
        <w:t>x</w:t>
      </w:r>
      <w:r w:rsidRPr="00B04DC3">
        <w:rPr>
          <w:lang w:val="en-GB"/>
        </w:rPr>
        <w:t xml:space="preserve"> and HC analyzers shall be set at zero;</w:t>
      </w:r>
    </w:p>
    <w:p w:rsidR="00D75405" w:rsidRPr="00B04DC3" w:rsidRDefault="00D75405" w:rsidP="00D75405">
      <w:pPr>
        <w:pStyle w:val="a"/>
        <w:rPr>
          <w:lang w:val="en-GB"/>
        </w:rPr>
      </w:pPr>
      <w:r w:rsidRPr="00B04DC3">
        <w:rPr>
          <w:lang w:val="en-GB"/>
        </w:rPr>
        <w:t>(c)</w:t>
      </w:r>
      <w:r w:rsidRPr="00B04DC3">
        <w:rPr>
          <w:lang w:val="en-GB"/>
        </w:rPr>
        <w:tab/>
        <w:t>The appropriate calibration gases shall be introduced to the analyzers, the values recorded, and the calibration curve established;</w:t>
      </w:r>
    </w:p>
    <w:p w:rsidR="00D75405" w:rsidRPr="00B04DC3" w:rsidRDefault="00D75405" w:rsidP="00D75405">
      <w:pPr>
        <w:pStyle w:val="a"/>
        <w:rPr>
          <w:lang w:val="en-GB"/>
        </w:rPr>
      </w:pPr>
      <w:r w:rsidRPr="00B04DC3">
        <w:rPr>
          <w:lang w:val="en-GB"/>
        </w:rPr>
        <w:t>(d)</w:t>
      </w:r>
      <w:r w:rsidRPr="00B04DC3">
        <w:rPr>
          <w:lang w:val="en-GB"/>
        </w:rPr>
        <w:tab/>
        <w:t>The calibration curve shall be established by at least six calibration points (excluding zero) approximately equally spaced over the operating range. The highest nominal concentration shall be equal to or higher than 90 per cent of full scale;</w:t>
      </w:r>
    </w:p>
    <w:p w:rsidR="00D75405" w:rsidRPr="00B04DC3" w:rsidRDefault="00D75405" w:rsidP="00D75405">
      <w:pPr>
        <w:pStyle w:val="a"/>
        <w:rPr>
          <w:lang w:val="en-GB"/>
        </w:rPr>
      </w:pPr>
      <w:r w:rsidRPr="00B04DC3">
        <w:rPr>
          <w:lang w:val="en-GB"/>
        </w:rPr>
        <w:t>(e)</w:t>
      </w:r>
      <w:r w:rsidRPr="00B04DC3">
        <w:rPr>
          <w:lang w:val="en-GB"/>
        </w:rPr>
        <w:tab/>
        <w:t>The calibration curve shall be calculated by the method of least-squares. A best-fit linear or non-linear equation may be used;</w:t>
      </w:r>
    </w:p>
    <w:p w:rsidR="00D75405" w:rsidRPr="00B04DC3" w:rsidRDefault="00D75405" w:rsidP="00D75405">
      <w:pPr>
        <w:pStyle w:val="a"/>
        <w:rPr>
          <w:lang w:val="en-GB"/>
        </w:rPr>
      </w:pPr>
      <w:r w:rsidRPr="00B04DC3">
        <w:rPr>
          <w:lang w:val="en-GB"/>
        </w:rPr>
        <w:t>(f)</w:t>
      </w:r>
      <w:r w:rsidRPr="00B04DC3">
        <w:rPr>
          <w:lang w:val="en-GB"/>
        </w:rPr>
        <w:tab/>
        <w:t>The calibration points shall not differ from the least-squares best-fit line by more than ±2 per cent of reading or ±0.3 per cent of full scale whichever is larger;</w:t>
      </w:r>
    </w:p>
    <w:p w:rsidR="00D75405" w:rsidRPr="00B04DC3" w:rsidRDefault="00D75405" w:rsidP="00D75405">
      <w:pPr>
        <w:pStyle w:val="a"/>
        <w:rPr>
          <w:lang w:val="en-GB"/>
        </w:rPr>
      </w:pPr>
      <w:r w:rsidRPr="00B04DC3">
        <w:rPr>
          <w:lang w:val="en-GB"/>
        </w:rPr>
        <w:t>(g)</w:t>
      </w:r>
      <w:r w:rsidRPr="00B04DC3">
        <w:rPr>
          <w:lang w:val="en-GB"/>
        </w:rPr>
        <w:tab/>
        <w:t>The zero setting shall be rechecked and the calibration procedure repeated, if necessary.</w:t>
      </w:r>
    </w:p>
    <w:p w:rsidR="00D75405" w:rsidRPr="00B04DC3" w:rsidRDefault="00D75405" w:rsidP="00D75405">
      <w:pPr>
        <w:pStyle w:val="para"/>
        <w:rPr>
          <w:lang w:val="en-GB"/>
        </w:rPr>
      </w:pPr>
      <w:r w:rsidRPr="00B04DC3">
        <w:rPr>
          <w:lang w:val="en-GB"/>
        </w:rPr>
        <w:t>1.6.5.</w:t>
      </w:r>
      <w:r w:rsidRPr="00B04DC3">
        <w:rPr>
          <w:lang w:val="en-GB"/>
        </w:rPr>
        <w:tab/>
        <w:t>Alternative methods</w:t>
      </w:r>
    </w:p>
    <w:p w:rsidR="00D75405" w:rsidRPr="00B04DC3" w:rsidRDefault="00D75405" w:rsidP="00D75405">
      <w:pPr>
        <w:pStyle w:val="para"/>
        <w:rPr>
          <w:lang w:val="en-GB"/>
        </w:rPr>
      </w:pPr>
      <w:r w:rsidRPr="00B04DC3">
        <w:rPr>
          <w:lang w:val="en-GB"/>
        </w:rPr>
        <w:tab/>
        <w:t>If it can be shown that alternative technology (e.g. computer, electronically controlled range switch, etc.) can give equivalent accuracy, then these alternatives may be used.</w:t>
      </w:r>
    </w:p>
    <w:p w:rsidR="00D75405" w:rsidRPr="00B04DC3" w:rsidRDefault="00D75405" w:rsidP="00D75405">
      <w:pPr>
        <w:pStyle w:val="para"/>
        <w:rPr>
          <w:lang w:val="en-GB"/>
        </w:rPr>
      </w:pPr>
      <w:r w:rsidRPr="00B04DC3">
        <w:rPr>
          <w:lang w:val="en-GB"/>
        </w:rPr>
        <w:t>1.6.6.</w:t>
      </w:r>
      <w:r w:rsidRPr="00B04DC3">
        <w:rPr>
          <w:lang w:val="en-GB"/>
        </w:rPr>
        <w:tab/>
        <w:t>Calibration of tracer gas analyzer for exhaust flow measurement</w:t>
      </w:r>
    </w:p>
    <w:p w:rsidR="00D75405" w:rsidRPr="00B04DC3" w:rsidRDefault="00D75405" w:rsidP="00D75405">
      <w:pPr>
        <w:pStyle w:val="para"/>
        <w:rPr>
          <w:lang w:val="en-GB"/>
        </w:rPr>
      </w:pPr>
      <w:r w:rsidRPr="00B04DC3">
        <w:rPr>
          <w:lang w:val="en-GB"/>
        </w:rPr>
        <w:tab/>
        <w:t>The calibration curve shall be established by at least six calibration points (excluding zero) approximately equally spaced over the operating range. The highest nominal concentration shall be equal to or higher than 90 per cent of full scale. The calibration curve is calculated by the method of least squares.</w:t>
      </w:r>
    </w:p>
    <w:p w:rsidR="00D75405" w:rsidRPr="00B04DC3" w:rsidRDefault="00D75405" w:rsidP="00D75405">
      <w:pPr>
        <w:pStyle w:val="para"/>
        <w:rPr>
          <w:lang w:val="en-GB"/>
        </w:rPr>
      </w:pPr>
      <w:r w:rsidRPr="00B04DC3">
        <w:rPr>
          <w:lang w:val="en-GB"/>
        </w:rPr>
        <w:tab/>
        <w:t>The calibration points shall not differ from the least-squares best-fit line by more than ±2 per cent of reading or ±0.3 per cent of full scale whichever is larger.</w:t>
      </w:r>
    </w:p>
    <w:p w:rsidR="00D75405" w:rsidRPr="00B04DC3" w:rsidRDefault="00D75405" w:rsidP="00D75405">
      <w:pPr>
        <w:pStyle w:val="para"/>
        <w:rPr>
          <w:lang w:val="en-GB"/>
        </w:rPr>
      </w:pPr>
      <w:r w:rsidRPr="00B04DC3">
        <w:rPr>
          <w:lang w:val="en-GB"/>
        </w:rPr>
        <w:tab/>
        <w:t>The analyzer shall be set at zero and spanned prior to the test run using a zero gas and a span gas whose nominal value is more than 80 per cent of the analyzer full scale.</w:t>
      </w:r>
    </w:p>
    <w:p w:rsidR="00D75405" w:rsidRPr="00B04DC3" w:rsidRDefault="00D75405" w:rsidP="00D75405">
      <w:pPr>
        <w:pStyle w:val="para"/>
        <w:rPr>
          <w:lang w:val="en-GB"/>
        </w:rPr>
      </w:pPr>
      <w:r w:rsidRPr="00B04DC3">
        <w:rPr>
          <w:lang w:val="en-GB"/>
        </w:rPr>
        <w:t>1.6.7.</w:t>
      </w:r>
      <w:r w:rsidRPr="00B04DC3">
        <w:rPr>
          <w:lang w:val="en-GB"/>
        </w:rPr>
        <w:tab/>
        <w:t>Verification of the calibration</w:t>
      </w:r>
    </w:p>
    <w:p w:rsidR="00D75405" w:rsidRPr="00B04DC3" w:rsidRDefault="00D75405" w:rsidP="00D75405">
      <w:pPr>
        <w:pStyle w:val="para"/>
        <w:rPr>
          <w:lang w:val="en-GB"/>
        </w:rPr>
      </w:pPr>
      <w:r w:rsidRPr="00B04DC3">
        <w:rPr>
          <w:lang w:val="en-GB"/>
        </w:rPr>
        <w:tab/>
        <w:t>Each normally used operating range shall be checked prior to each analysis in accordance with the following procedure.</w:t>
      </w:r>
    </w:p>
    <w:p w:rsidR="00D75405" w:rsidRPr="00B04DC3" w:rsidRDefault="00D75405" w:rsidP="00D75405">
      <w:pPr>
        <w:pStyle w:val="para"/>
        <w:rPr>
          <w:lang w:val="en-GB"/>
        </w:rPr>
      </w:pPr>
      <w:r w:rsidRPr="00B04DC3">
        <w:rPr>
          <w:lang w:val="en-GB"/>
        </w:rPr>
        <w:tab/>
        <w:t>The calibration shall be checked by using a zero gas and a span gas whose nominal value is more than 80 per cent of full scale of the measuring range.</w:t>
      </w:r>
    </w:p>
    <w:p w:rsidR="00D75405" w:rsidRPr="00B04DC3" w:rsidRDefault="00D75405" w:rsidP="00D75405">
      <w:pPr>
        <w:pStyle w:val="para"/>
        <w:rPr>
          <w:lang w:val="en-GB"/>
        </w:rPr>
      </w:pPr>
      <w:r w:rsidRPr="00B04DC3">
        <w:rPr>
          <w:lang w:val="en-GB"/>
        </w:rPr>
        <w:tab/>
        <w:t>If, for the two points considered, the value found does not differ by more than ±4 per cent of full scale from the declared reference value, the adjustment parameters may be modified. Should this not be the case, a new calibration curve shall be established in accordance with paragraph 1.5.5.</w:t>
      </w:r>
      <w:r w:rsidR="00AE528D" w:rsidRPr="00AE528D">
        <w:rPr>
          <w:lang w:val="en-GB"/>
        </w:rPr>
        <w:t xml:space="preserve"> </w:t>
      </w:r>
      <w:r w:rsidR="00AE528D">
        <w:rPr>
          <w:lang w:val="en-GB"/>
        </w:rPr>
        <w:t>of this appendix.</w:t>
      </w:r>
    </w:p>
    <w:p w:rsidR="00D75405" w:rsidRPr="00B04DC3" w:rsidRDefault="00D75405" w:rsidP="00D75405">
      <w:pPr>
        <w:pStyle w:val="para"/>
        <w:rPr>
          <w:lang w:val="en-GB"/>
        </w:rPr>
      </w:pPr>
      <w:r w:rsidRPr="00B04DC3">
        <w:rPr>
          <w:lang w:val="en-GB"/>
        </w:rPr>
        <w:br w:type="page"/>
        <w:t>1.7.</w:t>
      </w:r>
      <w:r w:rsidRPr="00B04DC3">
        <w:rPr>
          <w:lang w:val="en-GB"/>
        </w:rPr>
        <w:tab/>
        <w:t>Efficiency test of the NO</w:t>
      </w:r>
      <w:r w:rsidRPr="00B04DC3">
        <w:rPr>
          <w:vertAlign w:val="subscript"/>
          <w:lang w:val="en-GB"/>
        </w:rPr>
        <w:t>x</w:t>
      </w:r>
      <w:r w:rsidRPr="00B04DC3">
        <w:rPr>
          <w:lang w:val="en-GB"/>
        </w:rPr>
        <w:t xml:space="preserve"> converter</w:t>
      </w:r>
    </w:p>
    <w:p w:rsidR="00D75405" w:rsidRPr="00B04DC3" w:rsidRDefault="00D75405" w:rsidP="00D75405">
      <w:pPr>
        <w:pStyle w:val="para"/>
        <w:rPr>
          <w:lang w:val="en-GB"/>
        </w:rPr>
      </w:pPr>
      <w:r w:rsidRPr="00B04DC3">
        <w:rPr>
          <w:lang w:val="en-GB"/>
        </w:rPr>
        <w:tab/>
        <w:t>The efficiency of the converter used for the conversion of NO</w:t>
      </w:r>
      <w:r w:rsidRPr="00B04DC3">
        <w:rPr>
          <w:vertAlign w:val="subscript"/>
          <w:lang w:val="en-GB"/>
        </w:rPr>
        <w:t>2</w:t>
      </w:r>
      <w:r w:rsidRPr="00B04DC3">
        <w:rPr>
          <w:lang w:val="en-GB"/>
        </w:rPr>
        <w:t xml:space="preserve"> into NO shall be tested as given in paragraphs 1.7.1. to 1.7.8.</w:t>
      </w:r>
      <w:r w:rsidR="00AE528D">
        <w:rPr>
          <w:lang w:val="en-GB"/>
        </w:rPr>
        <w:t xml:space="preserve"> below</w:t>
      </w:r>
      <w:r w:rsidRPr="00B04DC3">
        <w:rPr>
          <w:lang w:val="en-GB"/>
        </w:rPr>
        <w:t xml:space="preserve"> (</w:t>
      </w:r>
      <w:r w:rsidR="00313D4E" w:rsidRPr="00B04DC3">
        <w:rPr>
          <w:lang w:val="en-GB"/>
        </w:rPr>
        <w:t>Figure</w:t>
      </w:r>
      <w:r w:rsidRPr="00B04DC3">
        <w:rPr>
          <w:lang w:val="en-GB"/>
        </w:rPr>
        <w:t xml:space="preserve"> 6).</w:t>
      </w:r>
    </w:p>
    <w:p w:rsidR="00D75405" w:rsidRPr="00B04DC3" w:rsidRDefault="00D75405" w:rsidP="00D75405">
      <w:pPr>
        <w:pStyle w:val="para"/>
        <w:rPr>
          <w:lang w:val="en-GB"/>
        </w:rPr>
      </w:pPr>
      <w:r w:rsidRPr="00B04DC3">
        <w:rPr>
          <w:lang w:val="en-GB"/>
        </w:rPr>
        <w:t>1.7.1.</w:t>
      </w:r>
      <w:r w:rsidRPr="00B04DC3">
        <w:rPr>
          <w:lang w:val="en-GB"/>
        </w:rPr>
        <w:tab/>
        <w:t>Test set-up</w:t>
      </w:r>
    </w:p>
    <w:p w:rsidR="00D75405" w:rsidRPr="00B04DC3" w:rsidRDefault="00D75405" w:rsidP="00D75405">
      <w:pPr>
        <w:pStyle w:val="para"/>
        <w:rPr>
          <w:lang w:val="en-GB"/>
        </w:rPr>
      </w:pPr>
      <w:r w:rsidRPr="00B04DC3">
        <w:rPr>
          <w:lang w:val="en-GB"/>
        </w:rPr>
        <w:tab/>
        <w:t xml:space="preserve">Using the test set-up as shown in </w:t>
      </w:r>
      <w:r w:rsidR="00313D4E" w:rsidRPr="00B04DC3">
        <w:rPr>
          <w:lang w:val="en-GB"/>
        </w:rPr>
        <w:t>Figure</w:t>
      </w:r>
      <w:r w:rsidRPr="00B04DC3">
        <w:rPr>
          <w:lang w:val="en-GB"/>
        </w:rPr>
        <w:t xml:space="preserve"> 6 (see also paragraph 3.3.5.</w:t>
      </w:r>
      <w:r w:rsidR="00AE528D">
        <w:rPr>
          <w:lang w:val="en-GB"/>
        </w:rPr>
        <w:t xml:space="preserve">, </w:t>
      </w:r>
      <w:r w:rsidR="00AE528D" w:rsidRPr="00B04DC3">
        <w:rPr>
          <w:lang w:val="en-GB"/>
        </w:rPr>
        <w:t>Appendix 4</w:t>
      </w:r>
      <w:r w:rsidRPr="00B04DC3">
        <w:rPr>
          <w:lang w:val="en-GB"/>
        </w:rPr>
        <w:t xml:space="preserve"> to this annex) and the procedure below, the efficiency of converters can be tested by means of an ozonator.</w:t>
      </w:r>
    </w:p>
    <w:p w:rsidR="00D75405" w:rsidRPr="00B04DC3" w:rsidRDefault="00D75405" w:rsidP="00D75405">
      <w:pPr>
        <w:pStyle w:val="para"/>
        <w:rPr>
          <w:lang w:val="en-GB"/>
        </w:rPr>
      </w:pPr>
      <w:r w:rsidRPr="00B04DC3">
        <w:rPr>
          <w:lang w:val="en-GB"/>
        </w:rPr>
        <w:t>1.7.2.</w:t>
      </w:r>
      <w:r w:rsidRPr="00B04DC3">
        <w:rPr>
          <w:lang w:val="en-GB"/>
        </w:rPr>
        <w:tab/>
        <w:t>Calibration</w:t>
      </w:r>
    </w:p>
    <w:p w:rsidR="00D75405" w:rsidRPr="00B04DC3" w:rsidRDefault="00D75405" w:rsidP="00D75405">
      <w:pPr>
        <w:pStyle w:val="para"/>
        <w:rPr>
          <w:lang w:val="en-GB"/>
        </w:rPr>
      </w:pPr>
      <w:r w:rsidRPr="00B04DC3">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B04DC3">
        <w:rPr>
          <w:vertAlign w:val="subscript"/>
          <w:lang w:val="en-GB"/>
        </w:rPr>
        <w:t>2</w:t>
      </w:r>
      <w:r w:rsidRPr="00B04DC3">
        <w:rPr>
          <w:lang w:val="en-GB"/>
        </w:rPr>
        <w:t xml:space="preserve"> concentration of the gas mixture to less than 5 per cent of the NO concentration). The NO</w:t>
      </w:r>
      <w:r w:rsidRPr="00B04DC3">
        <w:rPr>
          <w:vertAlign w:val="subscript"/>
          <w:lang w:val="en-GB"/>
        </w:rPr>
        <w:t>x</w:t>
      </w:r>
      <w:r w:rsidRPr="00B04DC3">
        <w:rPr>
          <w:lang w:val="en-GB"/>
        </w:rPr>
        <w:t xml:space="preserve"> analyzer shall be in the NO mode so that the span gas does not pass through the converter. The indicated concentration has to be recorded.</w:t>
      </w:r>
    </w:p>
    <w:p w:rsidR="00D75405" w:rsidRPr="00B04DC3" w:rsidRDefault="00D75405" w:rsidP="00D75405">
      <w:pPr>
        <w:pStyle w:val="para"/>
        <w:rPr>
          <w:lang w:val="en-GB"/>
        </w:rPr>
      </w:pPr>
      <w:r w:rsidRPr="00B04DC3">
        <w:rPr>
          <w:lang w:val="en-GB"/>
        </w:rPr>
        <w:t>1.7.3.</w:t>
      </w:r>
      <w:r w:rsidRPr="00B04DC3">
        <w:rPr>
          <w:lang w:val="en-GB"/>
        </w:rPr>
        <w:tab/>
        <w:t>Calculation</w:t>
      </w:r>
    </w:p>
    <w:p w:rsidR="00D75405" w:rsidRPr="00B04DC3" w:rsidRDefault="00D75405" w:rsidP="00D75405">
      <w:pPr>
        <w:pStyle w:val="para"/>
        <w:rPr>
          <w:lang w:val="en-GB"/>
        </w:rPr>
      </w:pPr>
      <w:r w:rsidRPr="00B04DC3">
        <w:rPr>
          <w:lang w:val="en-GB"/>
        </w:rPr>
        <w:tab/>
        <w:t>The efficiency of the NO</w:t>
      </w:r>
      <w:r w:rsidRPr="00B04DC3">
        <w:rPr>
          <w:vertAlign w:val="subscript"/>
          <w:lang w:val="en-GB"/>
        </w:rPr>
        <w:t>x</w:t>
      </w:r>
      <w:r w:rsidRPr="00B04DC3">
        <w:rPr>
          <w:lang w:val="en-GB"/>
        </w:rPr>
        <w:t xml:space="preserve"> converter is calculated as follows:</w:t>
      </w:r>
    </w:p>
    <w:p w:rsidR="00D75405" w:rsidRPr="00B04DC3" w:rsidRDefault="00D75405" w:rsidP="00D75405">
      <w:pPr>
        <w:pStyle w:val="para"/>
        <w:rPr>
          <w:lang w:val="en-GB"/>
        </w:rPr>
      </w:pPr>
      <w:r w:rsidRPr="00B04DC3">
        <w:rPr>
          <w:lang w:val="en-GB"/>
        </w:rPr>
        <w:tab/>
      </w:r>
      <w:r w:rsidRPr="00B04DC3">
        <w:rPr>
          <w:lang w:val="en-GB"/>
        </w:rPr>
        <w:tab/>
      </w:r>
      <w:r w:rsidR="00A905B7">
        <w:rPr>
          <w:lang w:val="en-GB"/>
        </w:rPr>
      </w:r>
      <w:r w:rsidR="00A905B7">
        <w:rPr>
          <w:lang w:val="en-GB"/>
        </w:rPr>
        <w:pict>
          <v:group id="_x0000_s3151" editas="canvas" style="width:164.4pt;height:37.65pt;mso-position-horizontal-relative:char;mso-position-vertical-relative:line" coordsize="3288,753">
            <o:lock v:ext="edit" aspectratio="t"/>
            <v:shape id="_x0000_s3152" type="#_x0000_t75" style="position:absolute;width:3288;height:753" o:preferrelative="f">
              <v:fill o:detectmouseclick="t"/>
              <v:path o:extrusionok="t" o:connecttype="none"/>
              <o:lock v:ext="edit" text="t"/>
            </v:shape>
            <v:line id="_x0000_s3153" style="position:absolute" from="2111,342" to="2602,342" strokeweight=".5pt"/>
            <v:rect id="_x0000_s3154" style="position:absolute;left:2898;top:187;width:301;height:240;mso-wrap-style:none" filled="f" stroked="f">
              <v:textbox style="mso-fit-shape-to-text:t" inset="0,0,0,0">
                <w:txbxContent>
                  <w:p w:rsidR="00A905B7" w:rsidRPr="0005611F" w:rsidRDefault="00A905B7">
                    <w:r w:rsidRPr="0005611F">
                      <w:rPr>
                        <w:color w:val="000000"/>
                      </w:rPr>
                      <w:t>100</w:t>
                    </w:r>
                  </w:p>
                </w:txbxContent>
              </v:textbox>
            </v:rect>
            <v:rect id="_x0000_s3155" style="position:absolute;left:2460;top:376;width:101;height:240;mso-wrap-style:none" filled="f" stroked="f">
              <v:textbox style="mso-fit-shape-to-text:t" inset="0,0,0,0">
                <w:txbxContent>
                  <w:p w:rsidR="00A905B7" w:rsidRPr="0005611F" w:rsidRDefault="00A905B7">
                    <w:r w:rsidRPr="0005611F">
                      <w:rPr>
                        <w:color w:val="000000"/>
                      </w:rPr>
                      <w:t>d</w:t>
                    </w:r>
                  </w:p>
                </w:txbxContent>
              </v:textbox>
            </v:rect>
            <v:rect id="_x0000_s3156" style="position:absolute;left:2129;top:376;width:89;height:240;mso-wrap-style:none" filled="f" stroked="f">
              <v:textbox style="mso-fit-shape-to-text:t" inset="0,0,0,0">
                <w:txbxContent>
                  <w:p w:rsidR="00A905B7" w:rsidRPr="0005611F" w:rsidRDefault="00A905B7">
                    <w:r w:rsidRPr="0005611F">
                      <w:rPr>
                        <w:color w:val="000000"/>
                      </w:rPr>
                      <w:t>c</w:t>
                    </w:r>
                  </w:p>
                </w:txbxContent>
              </v:textbox>
            </v:rect>
            <v:rect id="_x0000_s3157" style="position:absolute;left:2469;top:35;width:101;height:240;mso-wrap-style:none" filled="f" stroked="f">
              <v:textbox style="mso-fit-shape-to-text:t" inset="0,0,0,0">
                <w:txbxContent>
                  <w:p w:rsidR="00A905B7" w:rsidRPr="0005611F" w:rsidRDefault="00A905B7">
                    <w:r w:rsidRPr="0005611F">
                      <w:rPr>
                        <w:color w:val="000000"/>
                      </w:rPr>
                      <w:t>b</w:t>
                    </w:r>
                  </w:p>
                </w:txbxContent>
              </v:textbox>
            </v:rect>
            <v:rect id="_x0000_s3158" style="position:absolute;left:2124;top:35;width:89;height:240;mso-wrap-style:none" filled="f" stroked="f">
              <v:textbox style="mso-fit-shape-to-text:t" inset="0,0,0,0">
                <w:txbxContent>
                  <w:p w:rsidR="00A905B7" w:rsidRPr="0005611F" w:rsidRDefault="00A905B7">
                    <w:r w:rsidRPr="0005611F">
                      <w:rPr>
                        <w:color w:val="000000"/>
                      </w:rPr>
                      <w:t>a</w:t>
                    </w:r>
                  </w:p>
                </w:txbxContent>
              </v:textbox>
            </v:rect>
            <v:rect id="_x0000_s3159" style="position:absolute;left:1777;top:187;width:101;height:240;mso-wrap-style:none" filled="f" stroked="f">
              <v:textbox style="mso-fit-shape-to-text:t" inset="0,0,0,0">
                <w:txbxContent>
                  <w:p w:rsidR="00A905B7" w:rsidRPr="0005611F" w:rsidRDefault="00A905B7">
                    <w:r w:rsidRPr="0005611F">
                      <w:rPr>
                        <w:color w:val="000000"/>
                      </w:rPr>
                      <w:t>1</w:t>
                    </w:r>
                  </w:p>
                </w:txbxContent>
              </v:textbox>
            </v:rect>
            <v:rect id="_x0000_s3160" style="position:absolute;left:1076;top:187;width:300;height:240;mso-wrap-style:none" filled="f" stroked="f">
              <v:textbox style="mso-fit-shape-to-text:t" inset="0,0,0,0">
                <w:txbxContent>
                  <w:p w:rsidR="00A905B7" w:rsidRPr="0005611F" w:rsidRDefault="00A905B7">
                    <w:r w:rsidRPr="0005611F">
                      <w:rPr>
                        <w:color w:val="000000"/>
                      </w:rPr>
                      <w:t>(%)</w:t>
                    </w:r>
                  </w:p>
                </w:txbxContent>
              </v:textbox>
            </v:rect>
            <v:rect id="_x0000_s3161" style="position:absolute;left:1023;top:187;width:51;height:240;mso-wrap-style:none" filled="f" stroked="f">
              <v:textbox style="mso-fit-shape-to-text:t" inset="0,0,0,0">
                <w:txbxContent>
                  <w:p w:rsidR="00A905B7" w:rsidRPr="0005611F" w:rsidRDefault="00A905B7">
                    <w:r w:rsidRPr="0005611F">
                      <w:rPr>
                        <w:color w:val="000000"/>
                      </w:rPr>
                      <w:t xml:space="preserve"> </w:t>
                    </w:r>
                  </w:p>
                </w:txbxContent>
              </v:textbox>
            </v:rect>
            <v:rect id="_x0000_s3162" style="position:absolute;left:36;top:187;width:833;height:240;mso-wrap-style:none" filled="f" stroked="f">
              <v:textbox style="mso-fit-shape-to-text:t" inset="0,0,0,0">
                <w:txbxContent>
                  <w:p w:rsidR="00A905B7" w:rsidRPr="0005611F" w:rsidRDefault="00A905B7">
                    <w:r w:rsidRPr="0005611F">
                      <w:rPr>
                        <w:color w:val="000000"/>
                      </w:rPr>
                      <w:t>Efficiency</w:t>
                    </w:r>
                  </w:p>
                </w:txbxContent>
              </v:textbox>
            </v:rect>
            <v:rect id="_x0000_s3163" style="position:absolute;left:2752;top:159;width:110;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4" style="position:absolute;left:2628;top:179;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5" style="position:absolute;left:2628;top:377;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6" style="position:absolute;left:2628;top:25;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7" style="position:absolute;left:1684;top:179;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8" style="position:absolute;left:1684;top:377;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69" style="position:absolute;left:1684;top:25;width:77;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70" style="position:absolute;left:2283;top:348;width:110;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71" style="position:absolute;left:2289;top:7;width:110;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72" style="position:absolute;left:1924;top:159;width:110;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v:rect id="_x0000_s3173" style="position:absolute;left:1496;top:159;width:110;height:245;mso-wrap-style:none" filled="f" stroked="f">
              <v:textbox style="mso-fit-shape-to-text:t" inset="0,0,0,0">
                <w:txbxContent>
                  <w:p w:rsidR="00A905B7" w:rsidRPr="0005611F" w:rsidRDefault="00A905B7">
                    <w:r w:rsidRPr="0005611F">
                      <w:rPr>
                        <w:rFonts w:ascii="Symbol" w:hAnsi="Symbol" w:cs="Symbol"/>
                        <w:color w:val="000000"/>
                      </w:rPr>
                      <w:t></w:t>
                    </w:r>
                  </w:p>
                </w:txbxContent>
              </v:textbox>
            </v:rect>
            <w10:wrap type="none"/>
            <w10:anchorlock/>
          </v:group>
        </w:pict>
      </w:r>
    </w:p>
    <w:p w:rsidR="00D75405" w:rsidRPr="00B04DC3" w:rsidRDefault="00D75405" w:rsidP="00D75405">
      <w:pPr>
        <w:pStyle w:val="para"/>
        <w:rPr>
          <w:lang w:val="en-GB"/>
        </w:rPr>
      </w:pPr>
      <w:r w:rsidRPr="00B04DC3">
        <w:rPr>
          <w:lang w:val="en-GB"/>
        </w:rPr>
        <w:tab/>
      </w:r>
      <w:r w:rsidR="00381748" w:rsidRPr="00B04DC3">
        <w:rPr>
          <w:lang w:val="en-GB"/>
        </w:rPr>
        <w:t>Where</w:t>
      </w:r>
      <w:r w:rsidRPr="00B04DC3">
        <w:rPr>
          <w:lang w:val="en-GB"/>
        </w:rPr>
        <w:t>,</w:t>
      </w:r>
    </w:p>
    <w:tbl>
      <w:tblPr>
        <w:tblW w:w="0" w:type="auto"/>
        <w:tblInd w:w="2292" w:type="dxa"/>
        <w:tblLayout w:type="fixed"/>
        <w:tblLook w:val="0000" w:firstRow="0" w:lastRow="0" w:firstColumn="0" w:lastColumn="0" w:noHBand="0" w:noVBand="0"/>
      </w:tblPr>
      <w:tblGrid>
        <w:gridCol w:w="567"/>
        <w:gridCol w:w="6237"/>
      </w:tblGrid>
      <w:tr w:rsidR="00D75405" w:rsidRPr="00B04DC3">
        <w:tc>
          <w:tcPr>
            <w:tcW w:w="56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a</w:t>
            </w:r>
          </w:p>
        </w:tc>
        <w:tc>
          <w:tcPr>
            <w:tcW w:w="623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is the NO</w:t>
            </w:r>
            <w:r w:rsidRPr="00B04DC3">
              <w:rPr>
                <w:sz w:val="20"/>
                <w:vertAlign w:val="subscript"/>
              </w:rPr>
              <w:t>x</w:t>
            </w:r>
            <w:r w:rsidRPr="00B04DC3">
              <w:rPr>
                <w:sz w:val="20"/>
              </w:rPr>
              <w:t xml:space="preserve"> concentration according to paragraph 1.7.6.</w:t>
            </w:r>
          </w:p>
        </w:tc>
      </w:tr>
      <w:tr w:rsidR="00D75405" w:rsidRPr="00B04DC3">
        <w:tc>
          <w:tcPr>
            <w:tcW w:w="56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b</w:t>
            </w:r>
          </w:p>
        </w:tc>
        <w:tc>
          <w:tcPr>
            <w:tcW w:w="623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is the NO</w:t>
            </w:r>
            <w:r w:rsidRPr="00B04DC3">
              <w:rPr>
                <w:sz w:val="20"/>
                <w:vertAlign w:val="subscript"/>
              </w:rPr>
              <w:t>x</w:t>
            </w:r>
            <w:r w:rsidRPr="00B04DC3">
              <w:rPr>
                <w:sz w:val="20"/>
              </w:rPr>
              <w:t xml:space="preserve"> concentration according to paragraph 1.7.7.</w:t>
            </w:r>
          </w:p>
        </w:tc>
      </w:tr>
      <w:tr w:rsidR="00D75405" w:rsidRPr="00B04DC3">
        <w:tc>
          <w:tcPr>
            <w:tcW w:w="56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c</w:t>
            </w:r>
          </w:p>
        </w:tc>
        <w:tc>
          <w:tcPr>
            <w:tcW w:w="623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is the NO concentration according to paragraph 1.7.4.</w:t>
            </w:r>
          </w:p>
        </w:tc>
      </w:tr>
      <w:tr w:rsidR="00D75405" w:rsidRPr="00B04DC3">
        <w:tc>
          <w:tcPr>
            <w:tcW w:w="56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d</w:t>
            </w:r>
          </w:p>
        </w:tc>
        <w:tc>
          <w:tcPr>
            <w:tcW w:w="6237" w:type="dxa"/>
            <w:vAlign w:val="center"/>
          </w:tcPr>
          <w:p w:rsidR="00D75405" w:rsidRPr="00B04DC3" w:rsidRDefault="00D75405" w:rsidP="00D75405">
            <w:pPr>
              <w:pStyle w:val="Point0"/>
              <w:tabs>
                <w:tab w:val="left" w:pos="1134"/>
                <w:tab w:val="left" w:pos="1701"/>
                <w:tab w:val="left" w:pos="2268"/>
                <w:tab w:val="left" w:pos="2835"/>
              </w:tabs>
              <w:spacing w:before="0"/>
              <w:ind w:left="1134" w:hanging="1134"/>
              <w:jc w:val="left"/>
              <w:rPr>
                <w:sz w:val="20"/>
              </w:rPr>
            </w:pPr>
            <w:r w:rsidRPr="00B04DC3">
              <w:rPr>
                <w:sz w:val="20"/>
              </w:rPr>
              <w:t>is the NO concentration according to paragraph 1.7.5.</w:t>
            </w:r>
          </w:p>
        </w:tc>
      </w:tr>
    </w:tbl>
    <w:p w:rsidR="00D75405" w:rsidRPr="00B04DC3" w:rsidRDefault="00D75405" w:rsidP="00D75405">
      <w:pPr>
        <w:pStyle w:val="para"/>
        <w:rPr>
          <w:lang w:val="en-GB"/>
        </w:rPr>
      </w:pPr>
      <w:r w:rsidRPr="00B04DC3">
        <w:rPr>
          <w:lang w:val="en-GB"/>
        </w:rPr>
        <w:t>1.7.4.</w:t>
      </w:r>
      <w:r w:rsidRPr="00B04DC3">
        <w:rPr>
          <w:lang w:val="en-GB"/>
        </w:rPr>
        <w:tab/>
        <w:t>Adding of oxygen</w:t>
      </w:r>
    </w:p>
    <w:p w:rsidR="00D75405" w:rsidRPr="00B04DC3" w:rsidRDefault="00D75405" w:rsidP="00D75405">
      <w:pPr>
        <w:pStyle w:val="para"/>
        <w:rPr>
          <w:lang w:val="en-GB"/>
        </w:rPr>
      </w:pPr>
      <w:r w:rsidRPr="00B04DC3">
        <w:rPr>
          <w:lang w:val="en-GB"/>
        </w:rPr>
        <w:tab/>
        <w:t>Via a T-fitting, oxygen or zero air is added continuously to the gas flow until the concentration indicated is about 20 per cent less than the indicated calibration concentration given in paragraph 1.7.2. (the analyzer is in the NO mode). The indicated concentration "c" shall be recorded. The ozonator is kept deactivated throughout the process.</w:t>
      </w:r>
    </w:p>
    <w:p w:rsidR="00D75405" w:rsidRPr="00B04DC3" w:rsidRDefault="00D75405" w:rsidP="00D75405">
      <w:pPr>
        <w:pStyle w:val="para"/>
        <w:rPr>
          <w:lang w:val="en-GB"/>
        </w:rPr>
      </w:pPr>
      <w:r w:rsidRPr="00B04DC3">
        <w:rPr>
          <w:lang w:val="en-GB"/>
        </w:rPr>
        <w:t>1.7.5.</w:t>
      </w:r>
      <w:r w:rsidRPr="00B04DC3">
        <w:rPr>
          <w:lang w:val="en-GB"/>
        </w:rPr>
        <w:tab/>
        <w:t>Activation of the ozonator</w:t>
      </w:r>
    </w:p>
    <w:p w:rsidR="00D75405" w:rsidRPr="00B04DC3" w:rsidRDefault="00D75405" w:rsidP="00D75405">
      <w:pPr>
        <w:pStyle w:val="para"/>
        <w:rPr>
          <w:lang w:val="en-GB"/>
        </w:rPr>
      </w:pPr>
      <w:r w:rsidRPr="00B04DC3">
        <w:rPr>
          <w:lang w:val="en-GB"/>
        </w:rPr>
        <w:tab/>
        <w:t>The ozonator is now activated to generate enough ozone to bring the NO concentration down to about 20 per cent (minimum 10 per cent) of the calibration concentration given in paragraph 1.7.2.</w:t>
      </w:r>
      <w:r w:rsidR="00AE528D" w:rsidRPr="00AE528D">
        <w:rPr>
          <w:lang w:eastAsia="en-GB"/>
        </w:rPr>
        <w:t xml:space="preserve"> </w:t>
      </w:r>
      <w:r w:rsidR="00AE528D" w:rsidRPr="00AE528D">
        <w:t>of this appendix</w:t>
      </w:r>
      <w:r w:rsidR="00AE528D">
        <w:t>.</w:t>
      </w:r>
      <w:r w:rsidRPr="00B04DC3">
        <w:rPr>
          <w:lang w:val="en-GB"/>
        </w:rPr>
        <w:t xml:space="preserve"> The indicated concentration "d" shall be recorded (the analyzer is in the NO mode).</w:t>
      </w:r>
    </w:p>
    <w:p w:rsidR="00D75405" w:rsidRPr="00B04DC3" w:rsidRDefault="00D75405" w:rsidP="00D75405">
      <w:pPr>
        <w:pStyle w:val="para"/>
        <w:rPr>
          <w:lang w:val="en-GB"/>
        </w:rPr>
      </w:pPr>
      <w:r w:rsidRPr="00B04DC3">
        <w:rPr>
          <w:lang w:val="en-GB"/>
        </w:rPr>
        <w:t>1.7.6.</w:t>
      </w:r>
      <w:r w:rsidRPr="00B04DC3">
        <w:rPr>
          <w:lang w:val="en-GB"/>
        </w:rPr>
        <w:tab/>
        <w:t>NO</w:t>
      </w:r>
      <w:r w:rsidRPr="00B04DC3">
        <w:rPr>
          <w:vertAlign w:val="subscript"/>
          <w:lang w:val="en-GB"/>
        </w:rPr>
        <w:t>x</w:t>
      </w:r>
      <w:r w:rsidRPr="00B04DC3">
        <w:rPr>
          <w:lang w:val="en-GB"/>
        </w:rPr>
        <w:t xml:space="preserve"> mode</w:t>
      </w:r>
    </w:p>
    <w:p w:rsidR="00D75405" w:rsidRPr="00B04DC3" w:rsidRDefault="00D75405" w:rsidP="00D75405">
      <w:pPr>
        <w:pStyle w:val="para"/>
        <w:rPr>
          <w:lang w:val="en-GB"/>
        </w:rPr>
      </w:pPr>
      <w:r w:rsidRPr="00B04DC3">
        <w:rPr>
          <w:lang w:val="en-GB"/>
        </w:rPr>
        <w:tab/>
        <w:t>The NO analyzer is then switched to the NO</w:t>
      </w:r>
      <w:r w:rsidRPr="00B04DC3">
        <w:rPr>
          <w:vertAlign w:val="subscript"/>
          <w:lang w:val="en-GB"/>
        </w:rPr>
        <w:t>x</w:t>
      </w:r>
      <w:r w:rsidRPr="00B04DC3">
        <w:rPr>
          <w:lang w:val="en-GB"/>
        </w:rPr>
        <w:t xml:space="preserve"> mode so that the gas mixture (consisting of NO, NO</w:t>
      </w:r>
      <w:r w:rsidRPr="00B04DC3">
        <w:rPr>
          <w:vertAlign w:val="subscript"/>
          <w:lang w:val="en-GB"/>
        </w:rPr>
        <w:t>2</w:t>
      </w:r>
      <w:r w:rsidRPr="00B04DC3">
        <w:rPr>
          <w:lang w:val="en-GB"/>
        </w:rPr>
        <w:t>, O</w:t>
      </w:r>
      <w:r w:rsidRPr="00B04DC3">
        <w:rPr>
          <w:vertAlign w:val="subscript"/>
          <w:lang w:val="en-GB"/>
        </w:rPr>
        <w:t>2</w:t>
      </w:r>
      <w:r w:rsidRPr="00B04DC3">
        <w:rPr>
          <w:lang w:val="en-GB"/>
        </w:rPr>
        <w:t xml:space="preserve"> and N</w:t>
      </w:r>
      <w:r w:rsidRPr="00B04DC3">
        <w:rPr>
          <w:vertAlign w:val="subscript"/>
          <w:lang w:val="en-GB"/>
        </w:rPr>
        <w:t>2</w:t>
      </w:r>
      <w:r w:rsidRPr="00B04DC3">
        <w:rPr>
          <w:lang w:val="en-GB"/>
        </w:rPr>
        <w:t>) now passes through the converter. The indicated concentration "a" shall be recorded (the analyzer is in the NO</w:t>
      </w:r>
      <w:r w:rsidRPr="00B04DC3">
        <w:rPr>
          <w:vertAlign w:val="subscript"/>
          <w:lang w:val="en-GB"/>
        </w:rPr>
        <w:t>x</w:t>
      </w:r>
      <w:r w:rsidRPr="00B04DC3">
        <w:rPr>
          <w:lang w:val="en-GB"/>
        </w:rPr>
        <w:t xml:space="preserve"> mode).</w:t>
      </w:r>
    </w:p>
    <w:p w:rsidR="00D75405" w:rsidRPr="00B04DC3" w:rsidRDefault="00D75405" w:rsidP="00D75405">
      <w:pPr>
        <w:pStyle w:val="para"/>
        <w:rPr>
          <w:lang w:val="en-GB"/>
        </w:rPr>
      </w:pPr>
      <w:r w:rsidRPr="00B04DC3">
        <w:rPr>
          <w:lang w:val="en-GB"/>
        </w:rPr>
        <w:br w:type="page"/>
        <w:t>1.7.7.</w:t>
      </w:r>
      <w:r w:rsidRPr="00B04DC3">
        <w:rPr>
          <w:lang w:val="en-GB"/>
        </w:rPr>
        <w:tab/>
        <w:t>Deactivation of the ozonator</w:t>
      </w:r>
    </w:p>
    <w:p w:rsidR="00D75405" w:rsidRPr="00B04DC3" w:rsidRDefault="00D75405" w:rsidP="00D75405">
      <w:pPr>
        <w:pStyle w:val="para"/>
        <w:rPr>
          <w:lang w:val="en-GB"/>
        </w:rPr>
      </w:pPr>
      <w:r w:rsidRPr="00B04DC3">
        <w:rPr>
          <w:lang w:val="en-GB"/>
        </w:rPr>
        <w:tab/>
        <w:t xml:space="preserve">The ozonator is now deactivated. The mixture of gases described in paragraph 1.7.6. </w:t>
      </w:r>
      <w:r w:rsidR="00AE528D">
        <w:rPr>
          <w:lang w:val="en-GB"/>
        </w:rPr>
        <w:t xml:space="preserve">above </w:t>
      </w:r>
      <w:r w:rsidRPr="00B04DC3">
        <w:rPr>
          <w:lang w:val="en-GB"/>
        </w:rPr>
        <w:t>passes through the converter into the detector. The indicated concentration "b" shall be recorded (the analyzer is in the NO</w:t>
      </w:r>
      <w:r w:rsidRPr="00B04DC3">
        <w:rPr>
          <w:vertAlign w:val="subscript"/>
          <w:lang w:val="en-GB"/>
        </w:rPr>
        <w:t>x</w:t>
      </w:r>
      <w:r w:rsidRPr="00B04DC3">
        <w:rPr>
          <w:lang w:val="en-GB"/>
        </w:rPr>
        <w:t xml:space="preserve"> mode).</w:t>
      </w:r>
    </w:p>
    <w:p w:rsidR="00D75405" w:rsidRPr="00B04DC3" w:rsidRDefault="00D75405" w:rsidP="00D75405">
      <w:pPr>
        <w:pStyle w:val="para"/>
        <w:rPr>
          <w:lang w:val="en-GB"/>
        </w:rPr>
      </w:pPr>
      <w:r w:rsidRPr="00B04DC3">
        <w:rPr>
          <w:lang w:val="en-GB"/>
        </w:rPr>
        <w:t>1.7.8.</w:t>
      </w:r>
      <w:r w:rsidRPr="00B04DC3">
        <w:rPr>
          <w:lang w:val="en-GB"/>
        </w:rPr>
        <w:tab/>
        <w:t>NO mode</w:t>
      </w:r>
    </w:p>
    <w:p w:rsidR="00D75405" w:rsidRPr="00B04DC3" w:rsidRDefault="00D75405" w:rsidP="00AE528D">
      <w:pPr>
        <w:pStyle w:val="para"/>
      </w:pPr>
      <w:r w:rsidRPr="00B04DC3">
        <w:tab/>
        <w:t>Switched to NO mode with the ozonator deactivated, the flow of oxygen or synthetic air is also shut off. The NO</w:t>
      </w:r>
      <w:r w:rsidRPr="00B04DC3">
        <w:rPr>
          <w:vertAlign w:val="subscript"/>
        </w:rPr>
        <w:t>x</w:t>
      </w:r>
      <w:r w:rsidRPr="00B04DC3">
        <w:t xml:space="preserve"> reading of the analyzer shall not deviate by more than ±5 per cent from the value measured according to paragraph 1.7.2.</w:t>
      </w:r>
      <w:r w:rsidR="00AE528D" w:rsidRPr="00AE528D">
        <w:rPr>
          <w:lang w:eastAsia="en-GB"/>
        </w:rPr>
        <w:t xml:space="preserve"> </w:t>
      </w:r>
      <w:r w:rsidR="00AE528D">
        <w:rPr>
          <w:lang w:eastAsia="en-GB"/>
        </w:rPr>
        <w:t>of this appendix</w:t>
      </w:r>
      <w:r w:rsidRPr="00B04DC3">
        <w:t xml:space="preserve"> (the analyzer is in the NO mode).</w:t>
      </w:r>
    </w:p>
    <w:p w:rsidR="00D75405" w:rsidRPr="00B04DC3" w:rsidRDefault="00D75405" w:rsidP="00D75405">
      <w:pPr>
        <w:pStyle w:val="para"/>
        <w:rPr>
          <w:lang w:val="en-GB"/>
        </w:rPr>
      </w:pPr>
      <w:r w:rsidRPr="00B04DC3">
        <w:rPr>
          <w:lang w:val="en-GB"/>
        </w:rPr>
        <w:t>1.7.9.</w:t>
      </w:r>
      <w:r w:rsidRPr="00B04DC3">
        <w:rPr>
          <w:lang w:val="en-GB"/>
        </w:rPr>
        <w:tab/>
        <w:t>Test interval</w:t>
      </w:r>
    </w:p>
    <w:p w:rsidR="00D75405" w:rsidRPr="00B04DC3" w:rsidRDefault="00D75405" w:rsidP="00D75405">
      <w:pPr>
        <w:pStyle w:val="para"/>
        <w:rPr>
          <w:lang w:val="en-GB"/>
        </w:rPr>
      </w:pPr>
      <w:r w:rsidRPr="00B04DC3">
        <w:rPr>
          <w:lang w:val="en-GB"/>
        </w:rPr>
        <w:tab/>
        <w:t>The efficiency of the converter shall be tested prior to each calibration of the NO</w:t>
      </w:r>
      <w:r w:rsidRPr="00B04DC3">
        <w:rPr>
          <w:vertAlign w:val="subscript"/>
          <w:lang w:val="en-GB"/>
        </w:rPr>
        <w:t>x</w:t>
      </w:r>
      <w:r w:rsidRPr="00B04DC3">
        <w:rPr>
          <w:lang w:val="en-GB"/>
        </w:rPr>
        <w:t xml:space="preserve"> analyzer.</w:t>
      </w:r>
    </w:p>
    <w:p w:rsidR="00D75405" w:rsidRPr="00B04DC3" w:rsidRDefault="00D75405" w:rsidP="00D75405">
      <w:pPr>
        <w:pStyle w:val="para"/>
        <w:rPr>
          <w:lang w:val="en-GB"/>
        </w:rPr>
      </w:pPr>
      <w:r w:rsidRPr="00B04DC3">
        <w:rPr>
          <w:lang w:val="en-GB"/>
        </w:rPr>
        <w:t>1.7.10.</w:t>
      </w:r>
      <w:r w:rsidRPr="00B04DC3">
        <w:rPr>
          <w:lang w:val="en-GB"/>
        </w:rPr>
        <w:tab/>
        <w:t>Efficiency requirement</w:t>
      </w:r>
    </w:p>
    <w:p w:rsidR="00D75405" w:rsidRPr="00B04DC3" w:rsidRDefault="00D75405" w:rsidP="00D75405">
      <w:pPr>
        <w:pStyle w:val="para"/>
        <w:rPr>
          <w:lang w:val="en-GB"/>
        </w:rPr>
      </w:pPr>
      <w:r w:rsidRPr="00B04DC3">
        <w:rPr>
          <w:lang w:val="en-GB"/>
        </w:rPr>
        <w:tab/>
        <w:t>The efficiency of the converter shall not be less than 90 per cent, but a higher efficiency of 95 per cent is strongly recommended.</w:t>
      </w:r>
    </w:p>
    <w:p w:rsidR="00D75405" w:rsidRPr="00B04DC3" w:rsidRDefault="00D75405" w:rsidP="00D75405">
      <w:pPr>
        <w:pStyle w:val="para"/>
        <w:ind w:firstLine="0"/>
        <w:rPr>
          <w:lang w:val="en-GB"/>
        </w:rPr>
      </w:pPr>
      <w:r w:rsidRPr="00B04DC3">
        <w:rPr>
          <w:i/>
          <w:lang w:val="en-GB"/>
        </w:rPr>
        <w:t>Note:</w:t>
      </w:r>
      <w:r w:rsidRPr="00B04DC3">
        <w:rPr>
          <w:lang w:val="en-GB"/>
        </w:rPr>
        <w:t xml:space="preserve"> If, with the analyzer in the most common range, the ozonator cannot give a reduction from 80 per cent to 20 per cent according to paragraph 1.7.5.</w:t>
      </w:r>
      <w:r w:rsidR="00AE528D">
        <w:rPr>
          <w:lang w:val="en-GB"/>
        </w:rPr>
        <w:t xml:space="preserve"> above</w:t>
      </w:r>
      <w:r w:rsidRPr="00B04DC3">
        <w:rPr>
          <w:lang w:val="en-GB"/>
        </w:rPr>
        <w:t>, then the highest range which will give the reduction shall be used.</w:t>
      </w:r>
    </w:p>
    <w:p w:rsidR="00D75405" w:rsidRPr="00B04DC3" w:rsidRDefault="00D75405" w:rsidP="00D75405">
      <w:pPr>
        <w:pStyle w:val="Heading1"/>
      </w:pPr>
      <w:bookmarkStart w:id="261" w:name="_Toc399939944"/>
      <w:bookmarkStart w:id="262" w:name="_Toc423599531"/>
      <w:bookmarkStart w:id="263" w:name="_Toc423610939"/>
      <w:r w:rsidRPr="00B04DC3">
        <w:t>Figure 6</w:t>
      </w:r>
      <w:bookmarkEnd w:id="261"/>
      <w:bookmarkEnd w:id="262"/>
      <w:bookmarkEnd w:id="263"/>
    </w:p>
    <w:p w:rsidR="00D75405" w:rsidRPr="00B04DC3" w:rsidRDefault="00D75405" w:rsidP="00D75405">
      <w:pPr>
        <w:pStyle w:val="Heading1"/>
        <w:rPr>
          <w:b/>
          <w:bCs/>
        </w:rPr>
      </w:pPr>
      <w:bookmarkStart w:id="264" w:name="_Toc399939945"/>
      <w:bookmarkStart w:id="265" w:name="_Toc423599532"/>
      <w:bookmarkStart w:id="266" w:name="_Toc423610940"/>
      <w:r w:rsidRPr="00B04DC3">
        <w:rPr>
          <w:b/>
          <w:bCs/>
        </w:rPr>
        <w:t>Schematic of NO</w:t>
      </w:r>
      <w:r w:rsidRPr="00B04DC3">
        <w:rPr>
          <w:b/>
          <w:bCs/>
          <w:vertAlign w:val="subscript"/>
        </w:rPr>
        <w:t>x</w:t>
      </w:r>
      <w:r w:rsidRPr="00B04DC3">
        <w:rPr>
          <w:b/>
          <w:bCs/>
        </w:rPr>
        <w:t xml:space="preserve"> converter efficiency device</w:t>
      </w:r>
      <w:bookmarkEnd w:id="264"/>
      <w:bookmarkEnd w:id="265"/>
      <w:bookmarkEnd w:id="266"/>
    </w:p>
    <w:p w:rsidR="00D75405" w:rsidRPr="00B04DC3" w:rsidRDefault="00A905B7" w:rsidP="000F40CF">
      <w:pPr>
        <w:pStyle w:val="NormalCentered"/>
        <w:numPr>
          <w:ilvl w:val="0"/>
          <w:numId w:val="0"/>
        </w:numPr>
        <w:spacing w:before="0" w:after="0"/>
        <w:ind w:left="1100"/>
        <w:jc w:val="left"/>
        <w:rPr>
          <w:b/>
        </w:rPr>
      </w:pPr>
      <w:r>
        <w:rPr>
          <w:b/>
        </w:rPr>
        <w:pict>
          <v:shape id="_x0000_i1170" type="#_x0000_t75" style="width:380.4pt;height:221.4pt" fillcolor="window">
            <v:imagedata r:id="rId280" o:title=""/>
          </v:shape>
        </w:pict>
      </w:r>
    </w:p>
    <w:p w:rsidR="00D75405" w:rsidRPr="00B04DC3" w:rsidRDefault="00D75405" w:rsidP="00D75405">
      <w:pPr>
        <w:pStyle w:val="para"/>
        <w:spacing w:before="240"/>
        <w:rPr>
          <w:lang w:val="en-GB"/>
        </w:rPr>
      </w:pPr>
      <w:r w:rsidRPr="00B04DC3">
        <w:rPr>
          <w:lang w:val="en-GB"/>
        </w:rPr>
        <w:t>1.8.</w:t>
      </w:r>
      <w:r w:rsidRPr="00B04DC3">
        <w:rPr>
          <w:lang w:val="en-GB"/>
        </w:rPr>
        <w:tab/>
        <w:t>Adjustment of the FID</w:t>
      </w:r>
    </w:p>
    <w:p w:rsidR="00D75405" w:rsidRPr="00B04DC3" w:rsidRDefault="00D75405" w:rsidP="00D75405">
      <w:pPr>
        <w:pStyle w:val="para"/>
        <w:rPr>
          <w:lang w:val="en-GB"/>
        </w:rPr>
      </w:pPr>
      <w:r w:rsidRPr="00B04DC3">
        <w:rPr>
          <w:lang w:val="en-GB"/>
        </w:rPr>
        <w:t>1.8.1.</w:t>
      </w:r>
      <w:r w:rsidRPr="00B04DC3">
        <w:rPr>
          <w:lang w:val="en-GB"/>
        </w:rPr>
        <w:tab/>
        <w:t>Optimisation of the detector response</w:t>
      </w:r>
    </w:p>
    <w:p w:rsidR="00D75405" w:rsidRPr="00B04DC3" w:rsidRDefault="00D75405" w:rsidP="00D75405">
      <w:pPr>
        <w:pStyle w:val="para"/>
        <w:rPr>
          <w:lang w:val="en-GB"/>
        </w:rPr>
      </w:pPr>
      <w:r w:rsidRPr="00B04DC3">
        <w:rPr>
          <w:lang w:val="en-GB"/>
        </w:rPr>
        <w:tab/>
        <w:t>The FID shall be adjusted as specified by the instrument manufacturer. A propane in air span gas should be used to optimise the response on the most common operating range.</w:t>
      </w:r>
    </w:p>
    <w:p w:rsidR="00D75405" w:rsidRPr="00B04DC3" w:rsidRDefault="00D75405" w:rsidP="00D75405">
      <w:pPr>
        <w:pStyle w:val="para"/>
        <w:rPr>
          <w:lang w:val="en-GB"/>
        </w:rPr>
      </w:pPr>
      <w:r w:rsidRPr="00B04DC3">
        <w:rPr>
          <w:lang w:val="en-GB"/>
        </w:rPr>
        <w:tab/>
        <w:t>With the fuel and air 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w:t>
      </w:r>
    </w:p>
    <w:p w:rsidR="00D75405" w:rsidRPr="00B04DC3" w:rsidRDefault="00D75405" w:rsidP="00D75405">
      <w:pPr>
        <w:pStyle w:val="para"/>
        <w:rPr>
          <w:lang w:val="en-GB"/>
        </w:rPr>
      </w:pPr>
      <w:r w:rsidRPr="00B04DC3">
        <w:rPr>
          <w:lang w:val="en-GB"/>
        </w:rPr>
        <w:t>1.8.2.</w:t>
      </w:r>
      <w:r w:rsidRPr="00B04DC3">
        <w:rPr>
          <w:lang w:val="en-GB"/>
        </w:rPr>
        <w:tab/>
        <w:t>Hydrocarbon response factors</w:t>
      </w:r>
    </w:p>
    <w:p w:rsidR="00D75405" w:rsidRPr="00B04DC3" w:rsidRDefault="00D75405" w:rsidP="00D75405">
      <w:pPr>
        <w:pStyle w:val="para"/>
        <w:rPr>
          <w:lang w:val="en-GB"/>
        </w:rPr>
      </w:pPr>
      <w:r w:rsidRPr="00B04DC3">
        <w:rPr>
          <w:lang w:val="en-GB"/>
        </w:rPr>
        <w:tab/>
        <w:t>The analyzer shall be calibrated using propane in air and purified synthetic air, according to paragraph 1.5.</w:t>
      </w:r>
      <w:r w:rsidR="00AE528D" w:rsidRPr="00AE528D">
        <w:rPr>
          <w:lang w:eastAsia="en-GB"/>
        </w:rPr>
        <w:t xml:space="preserve"> </w:t>
      </w:r>
      <w:r w:rsidR="00AE528D">
        <w:rPr>
          <w:lang w:eastAsia="en-GB"/>
        </w:rPr>
        <w:t>of this appendix.</w:t>
      </w:r>
    </w:p>
    <w:p w:rsidR="00D75405" w:rsidRPr="00B04DC3" w:rsidRDefault="00D75405" w:rsidP="00D75405">
      <w:pPr>
        <w:pStyle w:val="para"/>
        <w:rPr>
          <w:lang w:val="en-GB"/>
        </w:rPr>
      </w:pPr>
      <w:r w:rsidRPr="00B04DC3">
        <w:rPr>
          <w:lang w:val="en-GB"/>
        </w:rPr>
        <w:tab/>
        <w:t>Response factors shall be determined when introducing an analyzer into service and after major service intervals. The response factor (R</w:t>
      </w:r>
      <w:r w:rsidRPr="00B04DC3">
        <w:rPr>
          <w:vertAlign w:val="subscript"/>
          <w:lang w:val="en-GB"/>
        </w:rPr>
        <w:t>f</w:t>
      </w:r>
      <w:r w:rsidRPr="00B04DC3">
        <w:rPr>
          <w:lang w:val="en-GB"/>
        </w:rPr>
        <w:t>) for a particular hydrocarbon species is the ratio of the FID C1 reading to the gas concentration in the cylinder expressed by ppm C1.</w:t>
      </w:r>
    </w:p>
    <w:p w:rsidR="00D75405" w:rsidRPr="00B04DC3" w:rsidRDefault="00D75405" w:rsidP="00D75405">
      <w:pPr>
        <w:pStyle w:val="para"/>
        <w:rPr>
          <w:lang w:val="en-GB"/>
        </w:rPr>
      </w:pPr>
      <w:r w:rsidRPr="00B04DC3">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rsidR="00D75405" w:rsidRPr="00B04DC3" w:rsidRDefault="00D75405" w:rsidP="00D75405">
      <w:pPr>
        <w:pStyle w:val="para"/>
        <w:rPr>
          <w:lang w:val="en-GB"/>
        </w:rPr>
      </w:pPr>
      <w:r w:rsidRPr="00B04DC3">
        <w:rPr>
          <w:lang w:val="en-GB"/>
        </w:rPr>
        <w:tab/>
        <w:t>The test gases to be used and the recommended relative response factor ranges are as follows:</w:t>
      </w:r>
    </w:p>
    <w:p w:rsidR="00D75405" w:rsidRPr="00B04DC3" w:rsidRDefault="00D75405" w:rsidP="00D75405">
      <w:pPr>
        <w:pStyle w:val="para"/>
        <w:rPr>
          <w:lang w:val="en-GB"/>
        </w:rPr>
      </w:pPr>
      <w:r w:rsidRPr="00B04DC3">
        <w:rPr>
          <w:lang w:val="en-GB"/>
        </w:rPr>
        <w:tab/>
      </w:r>
      <w:r w:rsidRPr="00B04DC3">
        <w:rPr>
          <w:lang w:val="en-GB"/>
        </w:rPr>
        <w:tab/>
        <w:t>Methane and purified synthetic air 1.00 ≤ R</w:t>
      </w:r>
      <w:r w:rsidRPr="00B04DC3">
        <w:rPr>
          <w:vertAlign w:val="subscript"/>
          <w:lang w:val="en-GB"/>
        </w:rPr>
        <w:t>f</w:t>
      </w:r>
      <w:r w:rsidRPr="00B04DC3">
        <w:rPr>
          <w:lang w:val="en-GB"/>
        </w:rPr>
        <w:t xml:space="preserve"> ≤ 1.15</w:t>
      </w:r>
    </w:p>
    <w:p w:rsidR="00D75405" w:rsidRPr="00B04DC3" w:rsidRDefault="00D75405" w:rsidP="00D75405">
      <w:pPr>
        <w:pStyle w:val="para"/>
        <w:rPr>
          <w:lang w:val="en-GB"/>
        </w:rPr>
      </w:pPr>
      <w:r w:rsidRPr="00B04DC3">
        <w:rPr>
          <w:lang w:val="en-GB"/>
        </w:rPr>
        <w:tab/>
      </w:r>
      <w:r w:rsidRPr="00B04DC3">
        <w:rPr>
          <w:lang w:val="en-GB"/>
        </w:rPr>
        <w:tab/>
        <w:t>Propylene and purified synthetic air 0.90 ≤ R</w:t>
      </w:r>
      <w:r w:rsidRPr="00B04DC3">
        <w:rPr>
          <w:vertAlign w:val="subscript"/>
          <w:lang w:val="en-GB"/>
        </w:rPr>
        <w:t>f</w:t>
      </w:r>
      <w:r w:rsidRPr="00B04DC3">
        <w:rPr>
          <w:lang w:val="en-GB"/>
        </w:rPr>
        <w:t xml:space="preserve"> ≤ 1.10</w:t>
      </w:r>
    </w:p>
    <w:p w:rsidR="00D75405" w:rsidRPr="00B04DC3" w:rsidRDefault="00D75405" w:rsidP="00D75405">
      <w:pPr>
        <w:pStyle w:val="para"/>
        <w:rPr>
          <w:lang w:val="en-GB"/>
        </w:rPr>
      </w:pPr>
      <w:r w:rsidRPr="00B04DC3">
        <w:rPr>
          <w:lang w:val="en-GB"/>
        </w:rPr>
        <w:tab/>
      </w:r>
      <w:r w:rsidRPr="00B04DC3">
        <w:rPr>
          <w:lang w:val="en-GB"/>
        </w:rPr>
        <w:tab/>
        <w:t>Toluene and purified synthetic air 0.90 ≤ R</w:t>
      </w:r>
      <w:r w:rsidRPr="00B04DC3">
        <w:rPr>
          <w:vertAlign w:val="subscript"/>
          <w:lang w:val="en-GB"/>
        </w:rPr>
        <w:t>f</w:t>
      </w:r>
      <w:r w:rsidRPr="00B04DC3">
        <w:rPr>
          <w:lang w:val="en-GB"/>
        </w:rPr>
        <w:t xml:space="preserve"> ≤ 1.10</w:t>
      </w:r>
    </w:p>
    <w:p w:rsidR="00D75405" w:rsidRPr="00B04DC3" w:rsidRDefault="00D75405" w:rsidP="00D75405">
      <w:pPr>
        <w:pStyle w:val="para"/>
        <w:rPr>
          <w:lang w:val="en-GB"/>
        </w:rPr>
      </w:pPr>
      <w:r w:rsidRPr="00B04DC3">
        <w:rPr>
          <w:lang w:val="en-GB"/>
        </w:rPr>
        <w:tab/>
        <w:t>These values are relative to the response factor (R</w:t>
      </w:r>
      <w:r w:rsidRPr="00B04DC3">
        <w:rPr>
          <w:vertAlign w:val="subscript"/>
          <w:lang w:val="en-GB"/>
        </w:rPr>
        <w:t>f</w:t>
      </w:r>
      <w:r w:rsidRPr="00B04DC3">
        <w:rPr>
          <w:lang w:val="en-GB"/>
        </w:rPr>
        <w:t>) of 1.00 for propane and purified synthetic air.</w:t>
      </w:r>
    </w:p>
    <w:p w:rsidR="00D75405" w:rsidRPr="00B04DC3" w:rsidRDefault="00D75405" w:rsidP="00D75405">
      <w:pPr>
        <w:pStyle w:val="para"/>
        <w:rPr>
          <w:lang w:val="en-GB"/>
        </w:rPr>
      </w:pPr>
      <w:r w:rsidRPr="00B04DC3">
        <w:rPr>
          <w:lang w:val="en-GB"/>
        </w:rPr>
        <w:t>1.8.3.</w:t>
      </w:r>
      <w:r w:rsidRPr="00B04DC3">
        <w:rPr>
          <w:lang w:val="en-GB"/>
        </w:rPr>
        <w:tab/>
        <w:t>Oxygen interference check</w:t>
      </w:r>
    </w:p>
    <w:p w:rsidR="00D75405" w:rsidRPr="00B04DC3" w:rsidRDefault="00D75405" w:rsidP="00D75405">
      <w:pPr>
        <w:pStyle w:val="para"/>
        <w:rPr>
          <w:lang w:val="en-GB"/>
        </w:rPr>
      </w:pPr>
      <w:r w:rsidRPr="00B04DC3">
        <w:rPr>
          <w:lang w:val="en-GB"/>
        </w:rPr>
        <w:tab/>
        <w:t>The oxygen interference check shall be determined when introducing an analyzer into service and after major service intervals.</w:t>
      </w:r>
    </w:p>
    <w:p w:rsidR="00D75405" w:rsidRPr="00B04DC3" w:rsidRDefault="00D75405" w:rsidP="00D75405">
      <w:pPr>
        <w:pStyle w:val="para"/>
        <w:rPr>
          <w:lang w:val="en-GB"/>
        </w:rPr>
      </w:pPr>
      <w:r w:rsidRPr="00B04DC3">
        <w:rPr>
          <w:lang w:val="en-GB"/>
        </w:rPr>
        <w:tab/>
        <w:t xml:space="preserve">The response factor is defined and shall be determined as described in paragraph 1.8.2. </w:t>
      </w:r>
      <w:r w:rsidR="00AE528D">
        <w:rPr>
          <w:lang w:val="en-GB"/>
        </w:rPr>
        <w:t xml:space="preserve">above. </w:t>
      </w:r>
      <w:r w:rsidRPr="00B04DC3">
        <w:rPr>
          <w:lang w:val="en-GB"/>
        </w:rPr>
        <w:t>The test gas to be used and the recommended relative response factor range are as follows:</w:t>
      </w:r>
    </w:p>
    <w:p w:rsidR="00D75405" w:rsidRPr="00B04DC3" w:rsidRDefault="00D75405" w:rsidP="00D75405">
      <w:pPr>
        <w:pStyle w:val="para"/>
        <w:ind w:firstLine="0"/>
        <w:rPr>
          <w:lang w:val="en-GB"/>
        </w:rPr>
      </w:pPr>
      <w:r w:rsidRPr="00B04DC3">
        <w:rPr>
          <w:lang w:val="en-GB"/>
        </w:rPr>
        <w:t>Propane and nitrogen 0.95 ≤ R</w:t>
      </w:r>
      <w:r w:rsidRPr="00B04DC3">
        <w:rPr>
          <w:vertAlign w:val="subscript"/>
          <w:lang w:val="en-GB"/>
        </w:rPr>
        <w:t>f</w:t>
      </w:r>
      <w:r w:rsidRPr="00B04DC3">
        <w:rPr>
          <w:lang w:val="en-GB"/>
        </w:rPr>
        <w:t xml:space="preserve"> ≤ 1.05</w:t>
      </w:r>
    </w:p>
    <w:p w:rsidR="00D75405" w:rsidRPr="00B04DC3" w:rsidRDefault="00D75405" w:rsidP="00D75405">
      <w:pPr>
        <w:pStyle w:val="para"/>
        <w:rPr>
          <w:lang w:val="en-GB"/>
        </w:rPr>
      </w:pPr>
      <w:r w:rsidRPr="00B04DC3">
        <w:rPr>
          <w:lang w:val="en-GB"/>
        </w:rPr>
        <w:tab/>
        <w:t>This value is relative to the response factor (R</w:t>
      </w:r>
      <w:r w:rsidRPr="00B04DC3">
        <w:rPr>
          <w:vertAlign w:val="subscript"/>
          <w:lang w:val="en-GB"/>
        </w:rPr>
        <w:t>f</w:t>
      </w:r>
      <w:r w:rsidRPr="00B04DC3">
        <w:rPr>
          <w:lang w:val="en-GB"/>
        </w:rPr>
        <w:t>) of 1.00 for propane and purified synthetic air.</w:t>
      </w:r>
    </w:p>
    <w:p w:rsidR="00D75405" w:rsidRPr="00B04DC3" w:rsidRDefault="00D75405" w:rsidP="00D75405">
      <w:pPr>
        <w:pStyle w:val="para"/>
        <w:rPr>
          <w:lang w:val="en-GB"/>
        </w:rPr>
      </w:pPr>
      <w:r w:rsidRPr="00B04DC3">
        <w:rPr>
          <w:lang w:val="en-GB"/>
        </w:rPr>
        <w:tab/>
        <w:t>The FID burner air oxygen concentration shall be within ±1 mole per cent of the oxygen concentration of the burner air used in the latest oxygen interference check. If the difference is greater, the oxygen interference shall be checked and the analyzer adjusted, if necessary.</w:t>
      </w:r>
    </w:p>
    <w:p w:rsidR="00D75405" w:rsidRPr="00B04DC3" w:rsidRDefault="00D75405" w:rsidP="008E2032">
      <w:pPr>
        <w:pStyle w:val="para"/>
        <w:keepNext/>
        <w:keepLines/>
        <w:rPr>
          <w:lang w:val="en-GB"/>
        </w:rPr>
      </w:pPr>
      <w:r w:rsidRPr="00B04DC3">
        <w:rPr>
          <w:lang w:val="en-GB"/>
        </w:rPr>
        <w:t>1.8.4.</w:t>
      </w:r>
      <w:r w:rsidRPr="00B04DC3">
        <w:rPr>
          <w:lang w:val="en-GB"/>
        </w:rPr>
        <w:tab/>
        <w:t>Efficiency of the non-methane cutter (NMC, for NG fuelled gas engines only)</w:t>
      </w:r>
    </w:p>
    <w:p w:rsidR="00D75405" w:rsidRPr="00B04DC3" w:rsidRDefault="00D75405" w:rsidP="00D75405">
      <w:pPr>
        <w:pStyle w:val="para"/>
        <w:rPr>
          <w:lang w:val="en-GB"/>
        </w:rPr>
      </w:pPr>
      <w:r w:rsidRPr="00B04DC3">
        <w:rPr>
          <w:lang w:val="en-GB"/>
        </w:rPr>
        <w:tab/>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Annex 4A, Appendix 2, paragraph 5.4.).</w:t>
      </w:r>
    </w:p>
    <w:p w:rsidR="00D75405" w:rsidRPr="00B04DC3" w:rsidRDefault="00D75405" w:rsidP="00D75405">
      <w:pPr>
        <w:pStyle w:val="para"/>
        <w:rPr>
          <w:lang w:val="en-GB"/>
        </w:rPr>
      </w:pPr>
      <w:r w:rsidRPr="00B04DC3">
        <w:rPr>
          <w:lang w:val="en-GB"/>
        </w:rPr>
        <w:t>1.8.4.1.</w:t>
      </w:r>
      <w:r w:rsidRPr="00B04DC3">
        <w:rPr>
          <w:lang w:val="en-GB"/>
        </w:rPr>
        <w:tab/>
        <w:t>Methane efficiency</w:t>
      </w:r>
    </w:p>
    <w:p w:rsidR="00D75405" w:rsidRPr="00B04DC3" w:rsidRDefault="00D75405" w:rsidP="00D75405">
      <w:pPr>
        <w:pStyle w:val="para"/>
        <w:rPr>
          <w:lang w:val="en-GB"/>
        </w:rPr>
      </w:pPr>
      <w:r w:rsidRPr="00B04DC3">
        <w:rPr>
          <w:lang w:val="en-GB"/>
        </w:rPr>
        <w:tab/>
        <w:t>Methane calibration gas shall be flown through the FID with and without bypassing the NMC and the two concentrations recorded. The efficiency shall be determined as follows:</w:t>
      </w:r>
    </w:p>
    <w:p w:rsidR="00D75405" w:rsidRPr="00B04DC3" w:rsidRDefault="00D75405" w:rsidP="00D75405">
      <w:pPr>
        <w:pStyle w:val="para"/>
        <w:ind w:firstLine="0"/>
        <w:rPr>
          <w:lang w:val="en-GB"/>
        </w:rPr>
      </w:pPr>
      <w:r w:rsidRPr="00B04DC3">
        <w:rPr>
          <w:position w:val="-30"/>
          <w:lang w:val="en-GB"/>
        </w:rPr>
        <w:object w:dxaOrig="1780" w:dyaOrig="700">
          <v:shape id="_x0000_i1171" type="#_x0000_t75" style="width:89.4pt;height:35.4pt" o:ole="" fillcolor="window">
            <v:imagedata r:id="rId281" o:title=""/>
          </v:shape>
          <o:OLEObject Type="Embed" ProgID="Equation.3" ShapeID="_x0000_i1171" DrawAspect="Content" ObjectID="_1498392313" r:id="rId282"/>
        </w:object>
      </w:r>
    </w:p>
    <w:p w:rsidR="00D75405" w:rsidRPr="00B04DC3" w:rsidRDefault="00D75405" w:rsidP="00D75405">
      <w:pPr>
        <w:pStyle w:val="para"/>
        <w:rPr>
          <w:lang w:val="en-GB"/>
        </w:rPr>
      </w:pPr>
      <w:r w:rsidRPr="00B04DC3">
        <w:rPr>
          <w:lang w:val="en-GB"/>
        </w:rPr>
        <w:tab/>
      </w:r>
      <w:r w:rsidR="007622A6" w:rsidRPr="00B04DC3">
        <w:rPr>
          <w:lang w:val="en-GB"/>
        </w:rPr>
        <w:t>Where</w:t>
      </w:r>
      <w:r w:rsidR="00AE528D">
        <w:rPr>
          <w:lang w:val="en-GB"/>
        </w:rPr>
        <w:t>:</w:t>
      </w:r>
    </w:p>
    <w:p w:rsidR="00D75405" w:rsidRPr="00B04DC3" w:rsidRDefault="00D75405" w:rsidP="00D75405">
      <w:pPr>
        <w:pStyle w:val="NormalLeft"/>
        <w:tabs>
          <w:tab w:val="left" w:pos="2694"/>
          <w:tab w:val="left" w:pos="3119"/>
        </w:tabs>
        <w:spacing w:before="0"/>
        <w:ind w:left="2278" w:hanging="1134"/>
        <w:rPr>
          <w:sz w:val="20"/>
        </w:rPr>
      </w:pPr>
      <w:r w:rsidRPr="00B04DC3">
        <w:rPr>
          <w:sz w:val="20"/>
        </w:rPr>
        <w:tab/>
      </w:r>
      <w:r w:rsidRPr="00B04DC3">
        <w:rPr>
          <w:position w:val="-14"/>
        </w:rPr>
        <w:object w:dxaOrig="900" w:dyaOrig="340">
          <v:shape id="_x0000_i1172" type="#_x0000_t75" style="width:45.6pt;height:17.4pt" o:ole="">
            <v:imagedata r:id="rId283" o:title=""/>
          </v:shape>
          <o:OLEObject Type="Embed" ProgID="Equation.3" ShapeID="_x0000_i1172" DrawAspect="Content" ObjectID="_1498392314" r:id="rId284"/>
        </w:object>
      </w:r>
      <w:r w:rsidRPr="00B04DC3">
        <w:rPr>
          <w:sz w:val="20"/>
        </w:rPr>
        <w:tab/>
        <w:t xml:space="preserve"> =</w:t>
      </w:r>
      <w:r w:rsidRPr="00B04DC3">
        <w:rPr>
          <w:sz w:val="20"/>
        </w:rPr>
        <w:tab/>
        <w:t>HC concentration with CH</w:t>
      </w:r>
      <w:r w:rsidRPr="00B04DC3">
        <w:rPr>
          <w:sz w:val="20"/>
          <w:vertAlign w:val="subscript"/>
        </w:rPr>
        <w:t>4</w:t>
      </w:r>
      <w:r w:rsidRPr="00B04DC3">
        <w:rPr>
          <w:sz w:val="20"/>
        </w:rPr>
        <w:t xml:space="preserve"> flowing through the NMC</w:t>
      </w:r>
    </w:p>
    <w:p w:rsidR="00D75405" w:rsidRPr="00B04DC3" w:rsidRDefault="00D75405" w:rsidP="00D75405">
      <w:pPr>
        <w:pStyle w:val="NormalLeft"/>
        <w:tabs>
          <w:tab w:val="left" w:pos="2694"/>
          <w:tab w:val="left" w:pos="3119"/>
        </w:tabs>
        <w:spacing w:before="0"/>
        <w:ind w:left="2279" w:hanging="1134"/>
        <w:rPr>
          <w:sz w:val="20"/>
        </w:rPr>
      </w:pPr>
      <w:r w:rsidRPr="00B04DC3">
        <w:rPr>
          <w:sz w:val="20"/>
        </w:rPr>
        <w:tab/>
      </w:r>
      <w:r w:rsidRPr="00B04DC3">
        <w:rPr>
          <w:position w:val="-14"/>
        </w:rPr>
        <w:object w:dxaOrig="980" w:dyaOrig="340">
          <v:shape id="_x0000_i1173" type="#_x0000_t75" style="width:48.6pt;height:17.4pt" o:ole="">
            <v:imagedata r:id="rId285" o:title=""/>
          </v:shape>
          <o:OLEObject Type="Embed" ProgID="Equation.3" ShapeID="_x0000_i1173" DrawAspect="Content" ObjectID="_1498392315" r:id="rId286"/>
        </w:object>
      </w:r>
      <w:r w:rsidRPr="00B04DC3">
        <w:rPr>
          <w:sz w:val="20"/>
        </w:rPr>
        <w:tab/>
        <w:t xml:space="preserve"> = </w:t>
      </w:r>
      <w:r w:rsidRPr="00B04DC3">
        <w:rPr>
          <w:sz w:val="20"/>
        </w:rPr>
        <w:tab/>
        <w:t>HC concentration with CH</w:t>
      </w:r>
      <w:r w:rsidRPr="00B04DC3">
        <w:rPr>
          <w:sz w:val="20"/>
          <w:vertAlign w:val="subscript"/>
        </w:rPr>
        <w:t>4</w:t>
      </w:r>
      <w:r w:rsidRPr="00B04DC3">
        <w:rPr>
          <w:sz w:val="20"/>
        </w:rPr>
        <w:t xml:space="preserve"> bypassing the NMC</w:t>
      </w:r>
    </w:p>
    <w:p w:rsidR="00D75405" w:rsidRPr="00B04DC3" w:rsidRDefault="00D75405" w:rsidP="00D75405">
      <w:pPr>
        <w:pStyle w:val="para"/>
        <w:rPr>
          <w:lang w:val="en-GB"/>
        </w:rPr>
      </w:pPr>
      <w:r w:rsidRPr="00B04DC3">
        <w:rPr>
          <w:lang w:val="en-GB"/>
        </w:rPr>
        <w:t>1.8.4.2.</w:t>
      </w:r>
      <w:r w:rsidRPr="00B04DC3">
        <w:rPr>
          <w:lang w:val="en-GB"/>
        </w:rPr>
        <w:tab/>
        <w:t>Ethane efficiency</w:t>
      </w:r>
    </w:p>
    <w:p w:rsidR="00D75405" w:rsidRPr="00B04DC3" w:rsidRDefault="00D75405" w:rsidP="00D75405">
      <w:pPr>
        <w:pStyle w:val="para"/>
        <w:rPr>
          <w:lang w:val="en-GB"/>
        </w:rPr>
      </w:pPr>
      <w:r w:rsidRPr="00B04DC3">
        <w:rPr>
          <w:lang w:val="en-GB"/>
        </w:rPr>
        <w:tab/>
        <w:t>Ethane calibration gas shall be flown through the FID with and without bypassing the NMC and the two concentrations recorded. The efficiency shall be determined as follows:</w:t>
      </w:r>
    </w:p>
    <w:p w:rsidR="00D75405" w:rsidRPr="00B04DC3" w:rsidRDefault="00D75405" w:rsidP="00D75405">
      <w:pPr>
        <w:pStyle w:val="para"/>
        <w:ind w:firstLine="0"/>
        <w:rPr>
          <w:lang w:val="en-GB"/>
        </w:rPr>
      </w:pPr>
      <w:r w:rsidRPr="00B04DC3">
        <w:rPr>
          <w:position w:val="-30"/>
          <w:lang w:val="en-GB"/>
        </w:rPr>
        <w:object w:dxaOrig="1740" w:dyaOrig="700">
          <v:shape id="_x0000_i1174" type="#_x0000_t75" style="width:87.6pt;height:35.4pt" o:ole="" fillcolor="window">
            <v:imagedata r:id="rId287" o:title=""/>
          </v:shape>
          <o:OLEObject Type="Embed" ProgID="Equation.3" ShapeID="_x0000_i1174" DrawAspect="Content" ObjectID="_1498392316" r:id="rId288"/>
        </w:object>
      </w:r>
    </w:p>
    <w:p w:rsidR="00D75405" w:rsidRPr="00B04DC3" w:rsidRDefault="00D75405" w:rsidP="00D75405">
      <w:pPr>
        <w:pStyle w:val="para"/>
        <w:rPr>
          <w:lang w:val="en-GB"/>
        </w:rPr>
      </w:pPr>
      <w:r w:rsidRPr="00B04DC3">
        <w:rPr>
          <w:lang w:val="en-GB"/>
        </w:rPr>
        <w:tab/>
      </w:r>
      <w:r w:rsidR="007622A6" w:rsidRPr="00B04DC3">
        <w:rPr>
          <w:lang w:val="en-GB"/>
        </w:rPr>
        <w:t>Where</w:t>
      </w:r>
      <w:r w:rsidR="00AE528D">
        <w:rPr>
          <w:lang w:val="en-GB"/>
        </w:rPr>
        <w:t>:</w:t>
      </w:r>
    </w:p>
    <w:p w:rsidR="00D75405" w:rsidRPr="00B04DC3" w:rsidRDefault="00D75405" w:rsidP="00D75405">
      <w:pPr>
        <w:pStyle w:val="para"/>
        <w:tabs>
          <w:tab w:val="left" w:pos="2694"/>
          <w:tab w:val="left" w:pos="2977"/>
        </w:tabs>
        <w:ind w:firstLine="0"/>
        <w:rPr>
          <w:lang w:val="en-GB"/>
        </w:rPr>
      </w:pPr>
      <w:r w:rsidRPr="00B04DC3">
        <w:rPr>
          <w:position w:val="-14"/>
          <w:lang w:val="en-GB"/>
        </w:rPr>
        <w:object w:dxaOrig="900" w:dyaOrig="340">
          <v:shape id="_x0000_i1175" type="#_x0000_t75" style="width:45.6pt;height:17.4pt" o:ole="">
            <v:imagedata r:id="rId289" o:title=""/>
          </v:shape>
          <o:OLEObject Type="Embed" ProgID="Equation.3" ShapeID="_x0000_i1175" DrawAspect="Content" ObjectID="_1498392317" r:id="rId290"/>
        </w:object>
      </w:r>
      <w:r w:rsidRPr="00B04DC3">
        <w:rPr>
          <w:lang w:val="en-GB"/>
        </w:rPr>
        <w:tab/>
        <w:t xml:space="preserve"> =</w:t>
      </w:r>
      <w:r w:rsidRPr="00B04DC3">
        <w:rPr>
          <w:lang w:val="en-GB"/>
        </w:rPr>
        <w:tab/>
        <w:t>HC concentration with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flowing through the NMC</w:t>
      </w:r>
    </w:p>
    <w:p w:rsidR="00D75405" w:rsidRPr="00B04DC3" w:rsidRDefault="00D75405" w:rsidP="00D75405">
      <w:pPr>
        <w:pStyle w:val="para"/>
        <w:tabs>
          <w:tab w:val="left" w:pos="2694"/>
          <w:tab w:val="left" w:pos="2977"/>
        </w:tabs>
        <w:ind w:firstLine="0"/>
        <w:rPr>
          <w:lang w:val="en-GB"/>
        </w:rPr>
      </w:pPr>
      <w:r w:rsidRPr="00B04DC3">
        <w:rPr>
          <w:position w:val="-14"/>
          <w:lang w:val="en-GB"/>
        </w:rPr>
        <w:object w:dxaOrig="980" w:dyaOrig="340">
          <v:shape id="_x0000_i1176" type="#_x0000_t75" style="width:48.6pt;height:17.4pt" o:ole="">
            <v:imagedata r:id="rId291" o:title=""/>
          </v:shape>
          <o:OLEObject Type="Embed" ProgID="Equation.3" ShapeID="_x0000_i1176" DrawAspect="Content" ObjectID="_1498392318" r:id="rId292"/>
        </w:object>
      </w:r>
      <w:r w:rsidRPr="00B04DC3">
        <w:rPr>
          <w:lang w:val="en-GB"/>
        </w:rPr>
        <w:tab/>
        <w:t xml:space="preserve"> = </w:t>
      </w:r>
      <w:r w:rsidRPr="00B04DC3">
        <w:rPr>
          <w:lang w:val="en-GB"/>
        </w:rPr>
        <w:tab/>
        <w:t>HC concentration with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bypassing the NMC</w:t>
      </w:r>
    </w:p>
    <w:p w:rsidR="00D75405" w:rsidRPr="00B04DC3" w:rsidRDefault="00D75405" w:rsidP="00D75405">
      <w:pPr>
        <w:pStyle w:val="para"/>
        <w:rPr>
          <w:lang w:val="en-GB"/>
        </w:rPr>
      </w:pPr>
      <w:r w:rsidRPr="00B04DC3">
        <w:rPr>
          <w:lang w:val="en-GB"/>
        </w:rPr>
        <w:t>1.9.</w:t>
      </w:r>
      <w:r w:rsidRPr="00B04DC3">
        <w:rPr>
          <w:lang w:val="en-GB"/>
        </w:rPr>
        <w:tab/>
        <w:t>Interference effects with CO, CO</w:t>
      </w:r>
      <w:r w:rsidRPr="00B04DC3">
        <w:rPr>
          <w:vertAlign w:val="subscript"/>
          <w:lang w:val="en-GB"/>
        </w:rPr>
        <w:t>2</w:t>
      </w:r>
      <w:r w:rsidRPr="00B04DC3">
        <w:rPr>
          <w:lang w:val="en-GB"/>
        </w:rPr>
        <w:t>, and NO</w:t>
      </w:r>
      <w:r w:rsidRPr="00B04DC3">
        <w:rPr>
          <w:vertAlign w:val="subscript"/>
          <w:lang w:val="en-GB"/>
        </w:rPr>
        <w:t>x</w:t>
      </w:r>
      <w:r w:rsidRPr="00B04DC3">
        <w:rPr>
          <w:lang w:val="en-GB"/>
        </w:rPr>
        <w:t xml:space="preserve"> analyzers</w:t>
      </w:r>
    </w:p>
    <w:p w:rsidR="00D75405" w:rsidRPr="008E2032" w:rsidRDefault="00D75405" w:rsidP="00D75405">
      <w:pPr>
        <w:pStyle w:val="para"/>
        <w:rPr>
          <w:spacing w:val="-2"/>
          <w:lang w:val="en-GB"/>
        </w:rPr>
      </w:pPr>
      <w:r w:rsidRPr="008E2032">
        <w:rPr>
          <w:spacing w:val="-2"/>
          <w:lang w:val="en-GB"/>
        </w:rPr>
        <w:tab/>
        <w:t>Gases present in the exhaust other than the one being analysed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radiation. The interference checks in paragraphs 1.9.1. and 1.9.2.</w:t>
      </w:r>
      <w:r w:rsidR="00AE528D" w:rsidRPr="008E2032">
        <w:rPr>
          <w:spacing w:val="-2"/>
          <w:lang w:val="en-GB"/>
        </w:rPr>
        <w:t>below</w:t>
      </w:r>
      <w:r w:rsidRPr="008E2032">
        <w:rPr>
          <w:spacing w:val="-2"/>
          <w:lang w:val="en-GB"/>
        </w:rPr>
        <w:t xml:space="preserve"> shall be performed prior to an analyzer's initial use and after major service intervals.</w:t>
      </w:r>
    </w:p>
    <w:p w:rsidR="00D75405" w:rsidRPr="00B04DC3" w:rsidRDefault="00D75405" w:rsidP="00D75405">
      <w:pPr>
        <w:pStyle w:val="para"/>
        <w:rPr>
          <w:lang w:val="en-GB"/>
        </w:rPr>
      </w:pPr>
      <w:r w:rsidRPr="00B04DC3">
        <w:rPr>
          <w:lang w:val="en-GB"/>
        </w:rPr>
        <w:t>1.9.1.</w:t>
      </w:r>
      <w:r w:rsidRPr="00B04DC3">
        <w:rPr>
          <w:lang w:val="en-GB"/>
        </w:rPr>
        <w:tab/>
        <w:t>CO analyzer interference check</w:t>
      </w:r>
    </w:p>
    <w:p w:rsidR="00D75405" w:rsidRPr="00B04DC3" w:rsidRDefault="00D75405" w:rsidP="00D75405">
      <w:pPr>
        <w:pStyle w:val="para"/>
        <w:rPr>
          <w:lang w:val="en-GB"/>
        </w:rPr>
      </w:pPr>
      <w:r w:rsidRPr="00B04DC3">
        <w:rPr>
          <w:lang w:val="en-GB"/>
        </w:rPr>
        <w:tab/>
        <w:t>Water and CO</w:t>
      </w:r>
      <w:r w:rsidRPr="00B04DC3">
        <w:rPr>
          <w:vertAlign w:val="subscript"/>
          <w:lang w:val="en-GB"/>
        </w:rPr>
        <w:t>2</w:t>
      </w:r>
      <w:r w:rsidRPr="00B04DC3">
        <w:rPr>
          <w:lang w:val="en-GB"/>
        </w:rPr>
        <w:t xml:space="preserve"> can interfere with the CO analyzer performance. Therefore, a CO</w:t>
      </w:r>
      <w:r w:rsidRPr="00B04DC3">
        <w:rPr>
          <w:vertAlign w:val="subscript"/>
          <w:lang w:val="en-GB"/>
        </w:rPr>
        <w:t>2</w:t>
      </w:r>
      <w:r w:rsidRPr="00B04DC3">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1 per cent of full scale for ranges equal to or above 300 ppm or more than 3 ppm for ranges below 300 ppm.</w:t>
      </w:r>
    </w:p>
    <w:p w:rsidR="00D75405" w:rsidRPr="00B04DC3" w:rsidRDefault="00D75405" w:rsidP="00D75405">
      <w:pPr>
        <w:pStyle w:val="para"/>
        <w:rPr>
          <w:lang w:val="en-GB"/>
        </w:rPr>
      </w:pPr>
      <w:r w:rsidRPr="00B04DC3">
        <w:rPr>
          <w:lang w:val="en-GB"/>
        </w:rPr>
        <w:t>1.9.2.</w:t>
      </w:r>
      <w:r w:rsidRPr="00B04DC3">
        <w:rPr>
          <w:lang w:val="en-GB"/>
        </w:rPr>
        <w:tab/>
        <w:t>NO</w:t>
      </w:r>
      <w:r w:rsidRPr="00B04DC3">
        <w:rPr>
          <w:vertAlign w:val="subscript"/>
          <w:lang w:val="en-GB"/>
        </w:rPr>
        <w:t>x</w:t>
      </w:r>
      <w:r w:rsidRPr="00B04DC3">
        <w:rPr>
          <w:lang w:val="en-GB"/>
        </w:rPr>
        <w:t xml:space="preserve"> analyzer quench checks</w:t>
      </w:r>
    </w:p>
    <w:p w:rsidR="00D75405" w:rsidRPr="00B04DC3" w:rsidRDefault="00D75405" w:rsidP="00D75405">
      <w:pPr>
        <w:pStyle w:val="para"/>
        <w:rPr>
          <w:lang w:val="en-GB"/>
        </w:rPr>
      </w:pPr>
      <w:r w:rsidRPr="00B04DC3">
        <w:rPr>
          <w:lang w:val="en-GB"/>
        </w:rPr>
        <w:tab/>
        <w:t>The two gases of concern for CLD (and HCLD) analyzers are CO</w:t>
      </w:r>
      <w:r w:rsidRPr="00B04DC3">
        <w:rPr>
          <w:vertAlign w:val="subscript"/>
          <w:lang w:val="en-GB"/>
        </w:rPr>
        <w:t>2</w:t>
      </w:r>
      <w:r w:rsidRPr="00B04DC3">
        <w:rPr>
          <w:lang w:val="en-GB"/>
        </w:rPr>
        <w:t xml:space="preserve"> and water vapour. Quench responses to these gases are proportional to their concentrations, and therefore require test techniques to determine the quench at the highest expected concentrations experienced during testing.</w:t>
      </w:r>
    </w:p>
    <w:p w:rsidR="00D75405" w:rsidRPr="00B04DC3" w:rsidRDefault="00D75405" w:rsidP="00D75405">
      <w:pPr>
        <w:pStyle w:val="para"/>
        <w:rPr>
          <w:lang w:val="en-GB"/>
        </w:rPr>
      </w:pPr>
      <w:r w:rsidRPr="00B04DC3">
        <w:rPr>
          <w:lang w:val="en-GB"/>
        </w:rPr>
        <w:t>1.9.2.1.</w:t>
      </w:r>
      <w:r w:rsidRPr="00B04DC3">
        <w:rPr>
          <w:lang w:val="en-GB"/>
        </w:rPr>
        <w:tab/>
        <w:t>CO</w:t>
      </w:r>
      <w:r w:rsidRPr="00B04DC3">
        <w:rPr>
          <w:vertAlign w:val="subscript"/>
          <w:lang w:val="en-GB"/>
        </w:rPr>
        <w:t>2</w:t>
      </w:r>
      <w:r w:rsidRPr="00B04DC3">
        <w:rPr>
          <w:lang w:val="en-GB"/>
        </w:rPr>
        <w:t xml:space="preserve"> quench check</w:t>
      </w:r>
    </w:p>
    <w:p w:rsidR="00D75405" w:rsidRPr="00B04DC3" w:rsidRDefault="00D75405" w:rsidP="00D75405">
      <w:pPr>
        <w:pStyle w:val="para"/>
        <w:rPr>
          <w:lang w:val="en-GB"/>
        </w:rPr>
      </w:pPr>
      <w:r w:rsidRPr="00B04DC3">
        <w:rPr>
          <w:lang w:val="en-GB"/>
        </w:rPr>
        <w:tab/>
        <w:t>A CO</w:t>
      </w:r>
      <w:r w:rsidRPr="00B04DC3">
        <w:rPr>
          <w:vertAlign w:val="subscript"/>
          <w:lang w:val="en-GB"/>
        </w:rPr>
        <w:t>2</w:t>
      </w:r>
      <w:r w:rsidRPr="00B04DC3">
        <w:rPr>
          <w:lang w:val="en-GB"/>
        </w:rPr>
        <w:t xml:space="preserve"> span gas having a concentration of 80 to 100 per cent of full scale of the maximum operating range shall be passed through the NDIR analyzer and the CO</w:t>
      </w:r>
      <w:r w:rsidRPr="00B04DC3">
        <w:rPr>
          <w:vertAlign w:val="subscript"/>
          <w:lang w:val="en-GB"/>
        </w:rPr>
        <w:t>2</w:t>
      </w:r>
      <w:r w:rsidRPr="00B04DC3">
        <w:rPr>
          <w:lang w:val="en-GB"/>
        </w:rPr>
        <w:t xml:space="preserve"> value recorded as A. It shall then be diluted approximately 50 per cent with NO span gas and passed through the NDIR and (H)CLD, with the CO</w:t>
      </w:r>
      <w:r w:rsidRPr="00B04DC3">
        <w:rPr>
          <w:vertAlign w:val="subscript"/>
          <w:lang w:val="en-GB"/>
        </w:rPr>
        <w:t>2</w:t>
      </w:r>
      <w:r w:rsidRPr="00B04DC3">
        <w:rPr>
          <w:lang w:val="en-GB"/>
        </w:rPr>
        <w:t xml:space="preserve"> and NO values recorded as B and C, respectively. The CO</w:t>
      </w:r>
      <w:r w:rsidRPr="00B04DC3">
        <w:rPr>
          <w:vertAlign w:val="subscript"/>
          <w:lang w:val="en-GB"/>
        </w:rPr>
        <w:t>2</w:t>
      </w:r>
      <w:r w:rsidRPr="00B04DC3">
        <w:rPr>
          <w:lang w:val="en-GB"/>
        </w:rPr>
        <w:t xml:space="preserve"> shall then be shut off and only the NO span gas be passed through the (H)CLD and the NO value recorded as D.</w:t>
      </w:r>
    </w:p>
    <w:p w:rsidR="00D75405" w:rsidRDefault="00D75405" w:rsidP="00D75405">
      <w:pPr>
        <w:pStyle w:val="para"/>
        <w:rPr>
          <w:lang w:val="en-GB"/>
        </w:rPr>
      </w:pPr>
      <w:r w:rsidRPr="00B04DC3">
        <w:rPr>
          <w:lang w:val="en-GB"/>
        </w:rPr>
        <w:tab/>
        <w:t>The quench, which shall not be greater than 3 per cent of full scale, shall be calculated as follows:</w:t>
      </w:r>
    </w:p>
    <w:p w:rsidR="00CF7EE0" w:rsidRPr="00B04DC3" w:rsidRDefault="00CF7EE0" w:rsidP="00D75405">
      <w:pPr>
        <w:pStyle w:val="para"/>
        <w:rPr>
          <w:lang w:val="en-GB"/>
        </w:rPr>
      </w:pPr>
      <w:r>
        <w:rPr>
          <w:lang w:val="en-GB"/>
        </w:rPr>
        <w:tab/>
      </w:r>
      <w:r w:rsidR="008E2032" w:rsidRPr="00CF7EE0">
        <w:rPr>
          <w:position w:val="-32"/>
          <w:lang w:val="en-GB"/>
        </w:rPr>
        <w:object w:dxaOrig="4300" w:dyaOrig="760">
          <v:shape id="_x0000_i1177" type="#_x0000_t75" style="width:176.4pt;height:30.6pt" o:ole="">
            <v:imagedata r:id="rId293" o:title=""/>
          </v:shape>
          <o:OLEObject Type="Embed" ProgID="Equation.3" ShapeID="_x0000_i1177" DrawAspect="Content" ObjectID="_1498392319" r:id="rId294"/>
        </w:object>
      </w:r>
    </w:p>
    <w:p w:rsidR="00D75405" w:rsidRPr="00B04DC3" w:rsidRDefault="00D75405" w:rsidP="00D75405">
      <w:pPr>
        <w:pStyle w:val="para"/>
        <w:rPr>
          <w:lang w:val="en-GB"/>
        </w:rPr>
      </w:pPr>
      <w:r w:rsidRPr="00B04DC3">
        <w:rPr>
          <w:lang w:val="en-GB"/>
        </w:rPr>
        <w:tab/>
      </w:r>
      <w:r w:rsidR="007622A6" w:rsidRPr="00B04DC3">
        <w:rPr>
          <w:lang w:val="en-GB"/>
        </w:rPr>
        <w:t>With</w:t>
      </w:r>
      <w:r w:rsidRPr="00B04DC3">
        <w:rPr>
          <w:lang w:val="en-GB"/>
        </w:rPr>
        <w:t>:</w:t>
      </w:r>
    </w:p>
    <w:p w:rsidR="00D75405" w:rsidRPr="00B04DC3" w:rsidRDefault="00D75405" w:rsidP="00D75405">
      <w:pPr>
        <w:pStyle w:val="a"/>
        <w:rPr>
          <w:lang w:val="en-GB"/>
        </w:rPr>
      </w:pPr>
      <w:r w:rsidRPr="00B04DC3">
        <w:rPr>
          <w:lang w:val="en-GB"/>
        </w:rPr>
        <w:t>A</w:t>
      </w:r>
      <w:r w:rsidRPr="00B04DC3">
        <w:rPr>
          <w:lang w:val="en-GB"/>
        </w:rPr>
        <w:tab/>
        <w:t>is the undiluted CO</w:t>
      </w:r>
      <w:r w:rsidRPr="00B04DC3">
        <w:rPr>
          <w:vertAlign w:val="subscript"/>
          <w:lang w:val="en-GB"/>
        </w:rPr>
        <w:t>2</w:t>
      </w:r>
      <w:r w:rsidRPr="00B04DC3">
        <w:rPr>
          <w:lang w:val="en-GB"/>
        </w:rPr>
        <w:t xml:space="preserve"> concentration measured with NDIR in per cent</w:t>
      </w:r>
    </w:p>
    <w:p w:rsidR="00D75405" w:rsidRPr="00B04DC3" w:rsidRDefault="00D75405" w:rsidP="00D75405">
      <w:pPr>
        <w:pStyle w:val="a"/>
        <w:rPr>
          <w:lang w:val="en-GB"/>
        </w:rPr>
      </w:pPr>
      <w:r w:rsidRPr="00B04DC3">
        <w:rPr>
          <w:lang w:val="en-GB"/>
        </w:rPr>
        <w:t>B</w:t>
      </w:r>
      <w:r w:rsidRPr="00B04DC3">
        <w:rPr>
          <w:lang w:val="en-GB"/>
        </w:rPr>
        <w:tab/>
        <w:t>is the diluted CO</w:t>
      </w:r>
      <w:r w:rsidRPr="00B04DC3">
        <w:rPr>
          <w:vertAlign w:val="subscript"/>
          <w:lang w:val="en-GB"/>
        </w:rPr>
        <w:t>2</w:t>
      </w:r>
      <w:r w:rsidRPr="00B04DC3">
        <w:rPr>
          <w:lang w:val="en-GB"/>
        </w:rPr>
        <w:t xml:space="preserve"> concentration measured with NDIR in per cent</w:t>
      </w:r>
    </w:p>
    <w:p w:rsidR="00D75405" w:rsidRPr="00B04DC3" w:rsidRDefault="00D75405" w:rsidP="00D75405">
      <w:pPr>
        <w:pStyle w:val="a"/>
        <w:rPr>
          <w:lang w:val="en-GB"/>
        </w:rPr>
      </w:pPr>
      <w:r w:rsidRPr="00B04DC3">
        <w:rPr>
          <w:lang w:val="en-GB"/>
        </w:rPr>
        <w:t>C</w:t>
      </w:r>
      <w:r w:rsidRPr="00B04DC3">
        <w:rPr>
          <w:lang w:val="en-GB"/>
        </w:rPr>
        <w:tab/>
        <w:t>is the diluted NO concentration measured with (H)CLD in ppm</w:t>
      </w:r>
    </w:p>
    <w:p w:rsidR="00D75405" w:rsidRPr="00B04DC3" w:rsidRDefault="00D75405" w:rsidP="00D75405">
      <w:pPr>
        <w:pStyle w:val="a"/>
        <w:rPr>
          <w:lang w:val="en-GB"/>
        </w:rPr>
      </w:pPr>
      <w:r w:rsidRPr="00B04DC3">
        <w:rPr>
          <w:lang w:val="en-GB"/>
        </w:rPr>
        <w:t>D</w:t>
      </w:r>
      <w:r w:rsidRPr="00B04DC3">
        <w:rPr>
          <w:lang w:val="en-GB"/>
        </w:rPr>
        <w:tab/>
        <w:t>is the undiluted NO concentration measured with (H)CLD in ppm.</w:t>
      </w:r>
    </w:p>
    <w:p w:rsidR="00D75405" w:rsidRPr="00B04DC3" w:rsidRDefault="00D75405" w:rsidP="00D75405">
      <w:pPr>
        <w:pStyle w:val="para"/>
        <w:rPr>
          <w:lang w:val="en-GB"/>
        </w:rPr>
      </w:pPr>
      <w:r w:rsidRPr="00B04DC3">
        <w:rPr>
          <w:lang w:val="en-GB"/>
        </w:rPr>
        <w:tab/>
        <w:t>Alternative methods of diluting and quantifying of CO</w:t>
      </w:r>
      <w:r w:rsidRPr="00B04DC3">
        <w:rPr>
          <w:vertAlign w:val="subscript"/>
          <w:lang w:val="en-GB"/>
        </w:rPr>
        <w:t>2</w:t>
      </w:r>
      <w:r w:rsidRPr="00B04DC3">
        <w:rPr>
          <w:lang w:val="en-GB"/>
        </w:rPr>
        <w:t xml:space="preserve"> and NO span gas values such as dynamic mixing/blending can be used.</w:t>
      </w:r>
    </w:p>
    <w:p w:rsidR="00D75405" w:rsidRPr="00B04DC3" w:rsidRDefault="00D75405" w:rsidP="00D75405">
      <w:pPr>
        <w:pStyle w:val="para"/>
        <w:rPr>
          <w:lang w:val="en-GB"/>
        </w:rPr>
      </w:pPr>
      <w:r w:rsidRPr="00B04DC3">
        <w:rPr>
          <w:lang w:val="en-GB"/>
        </w:rPr>
        <w:t>1.9.2.2.</w:t>
      </w:r>
      <w:r w:rsidRPr="00B04DC3">
        <w:rPr>
          <w:lang w:val="en-GB"/>
        </w:rPr>
        <w:tab/>
        <w:t>Water quench check</w:t>
      </w:r>
    </w:p>
    <w:p w:rsidR="00D75405" w:rsidRPr="00B04DC3" w:rsidRDefault="00D75405" w:rsidP="00D75405">
      <w:pPr>
        <w:pStyle w:val="para"/>
        <w:rPr>
          <w:lang w:val="en-GB"/>
        </w:rPr>
      </w:pPr>
      <w:r w:rsidRPr="00B04DC3">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rsidR="00D75405" w:rsidRPr="00B04DC3" w:rsidRDefault="00D75405" w:rsidP="00D75405">
      <w:pPr>
        <w:pStyle w:val="para"/>
        <w:rPr>
          <w:lang w:val="en-GB"/>
        </w:rPr>
      </w:pPr>
      <w:r w:rsidRPr="00B04DC3">
        <w:rPr>
          <w:lang w:val="en-GB"/>
        </w:rPr>
        <w:tab/>
        <w:t>A NO span gas having a concentration of 80 to 100 per cent of full scale of the normal operating range shall be passed through the (H)CLD and the NO value recorded as D. The NO span gas shall then be bubbled through water at room temperature and passed through the (H)CLD and the NO value recorded as C. The analyzer's absolute operating pressure and the water temperature shall be determined and recorded as E and F, respectively. The mixture's saturation vapour pressure that corresponds to the bubbler water temperature F shall be determined and recorded as G. The water vapour concentration (H, in per cent) of the mixture shall be calculated as follows:</w:t>
      </w:r>
    </w:p>
    <w:p w:rsidR="00D75405" w:rsidRPr="00B04DC3" w:rsidRDefault="00D75405" w:rsidP="00D75405">
      <w:pPr>
        <w:pStyle w:val="para"/>
        <w:rPr>
          <w:lang w:val="en-GB"/>
        </w:rPr>
      </w:pPr>
      <w:r w:rsidRPr="00B04DC3">
        <w:rPr>
          <w:lang w:val="en-GB"/>
        </w:rPr>
        <w:tab/>
      </w:r>
      <w:r w:rsidRPr="00B04DC3">
        <w:rPr>
          <w:lang w:val="en-GB"/>
        </w:rPr>
        <w:tab/>
        <w:t xml:space="preserve">H = 100 </w:t>
      </w:r>
      <w:r w:rsidRPr="00B04DC3">
        <w:rPr>
          <w:lang w:val="en-GB"/>
        </w:rPr>
        <w:sym w:font="Symbol" w:char="F0B4"/>
      </w:r>
      <w:r w:rsidRPr="00B04DC3">
        <w:rPr>
          <w:lang w:val="en-GB"/>
        </w:rPr>
        <w:t xml:space="preserve"> (G/E)</w:t>
      </w:r>
    </w:p>
    <w:p w:rsidR="00D75405" w:rsidRPr="00B04DC3" w:rsidRDefault="00D75405" w:rsidP="00D75405">
      <w:pPr>
        <w:pStyle w:val="para"/>
        <w:rPr>
          <w:lang w:val="en-GB"/>
        </w:rPr>
      </w:pPr>
      <w:r w:rsidRPr="00B04DC3">
        <w:rPr>
          <w:lang w:val="en-GB"/>
        </w:rPr>
        <w:tab/>
        <w:t>The expected diluted NO span gas (in water vapour) concentration (De) shall be calculated as follows:</w:t>
      </w:r>
    </w:p>
    <w:p w:rsidR="00D75405" w:rsidRPr="00B04DC3" w:rsidRDefault="00D75405" w:rsidP="00D75405">
      <w:pPr>
        <w:pStyle w:val="para"/>
        <w:rPr>
          <w:lang w:val="en-GB"/>
        </w:rPr>
      </w:pPr>
      <w:r w:rsidRPr="00B04DC3">
        <w:rPr>
          <w:lang w:val="en-GB"/>
        </w:rPr>
        <w:tab/>
      </w:r>
      <w:r w:rsidRPr="00B04DC3">
        <w:rPr>
          <w:lang w:val="en-GB"/>
        </w:rPr>
        <w:tab/>
        <w:t>D</w:t>
      </w:r>
      <w:r w:rsidRPr="00B04DC3">
        <w:rPr>
          <w:vertAlign w:val="subscript"/>
          <w:lang w:val="en-GB"/>
        </w:rPr>
        <w:t>e</w:t>
      </w:r>
      <w:r w:rsidRPr="00B04DC3">
        <w:rPr>
          <w:lang w:val="en-GB"/>
        </w:rPr>
        <w:t xml:space="preserve"> = D </w:t>
      </w:r>
      <w:r w:rsidRPr="00B04DC3">
        <w:rPr>
          <w:lang w:val="en-GB"/>
        </w:rPr>
        <w:sym w:font="Symbol" w:char="F0B4"/>
      </w:r>
      <w:r w:rsidRPr="00B04DC3">
        <w:rPr>
          <w:lang w:val="en-GB"/>
        </w:rPr>
        <w:t xml:space="preserve"> (1 − H/100)</w:t>
      </w:r>
    </w:p>
    <w:p w:rsidR="00D75405" w:rsidRPr="00B04DC3" w:rsidRDefault="00D75405" w:rsidP="00D75405">
      <w:pPr>
        <w:pStyle w:val="para"/>
        <w:rPr>
          <w:lang w:val="en-GB"/>
        </w:rPr>
      </w:pPr>
      <w:r w:rsidRPr="00B04DC3">
        <w:rPr>
          <w:lang w:val="en-GB"/>
        </w:rPr>
        <w:tab/>
        <w:t>For diesel exhaust, the maximum exhaust water vapour concentration (Hm, in per cent) expected during testing shall be estimated, under the assumption of a fuel atom H/C ratio of 1.8:1, from the undiluted CO</w:t>
      </w:r>
      <w:r w:rsidRPr="00B04DC3">
        <w:rPr>
          <w:vertAlign w:val="subscript"/>
          <w:lang w:val="en-GB"/>
        </w:rPr>
        <w:t>2</w:t>
      </w:r>
      <w:r w:rsidRPr="00B04DC3">
        <w:rPr>
          <w:lang w:val="en-GB"/>
        </w:rPr>
        <w:t xml:space="preserve"> span gas concentration (A, as measured in paragraph 1.9.2.1.</w:t>
      </w:r>
      <w:r w:rsidR="00AE528D" w:rsidRPr="00AE528D">
        <w:rPr>
          <w:lang w:eastAsia="en-GB"/>
        </w:rPr>
        <w:t xml:space="preserve"> </w:t>
      </w:r>
      <w:r w:rsidR="00AE528D">
        <w:rPr>
          <w:lang w:eastAsia="en-GB"/>
        </w:rPr>
        <w:t>of this appendix</w:t>
      </w:r>
      <w:r w:rsidRPr="00B04DC3">
        <w:rPr>
          <w:lang w:val="en-GB"/>
        </w:rPr>
        <w:t>) as follows:</w:t>
      </w:r>
    </w:p>
    <w:p w:rsidR="00D75405" w:rsidRPr="00B04DC3" w:rsidRDefault="00D75405" w:rsidP="00D75405">
      <w:pPr>
        <w:pStyle w:val="para"/>
        <w:rPr>
          <w:lang w:val="en-GB"/>
        </w:rPr>
      </w:pPr>
      <w:r w:rsidRPr="00B04DC3">
        <w:rPr>
          <w:lang w:val="en-GB"/>
        </w:rPr>
        <w:tab/>
      </w:r>
      <w:r w:rsidRPr="00B04DC3">
        <w:rPr>
          <w:lang w:val="en-GB"/>
        </w:rPr>
        <w:tab/>
        <w:t>H</w:t>
      </w:r>
      <w:r w:rsidRPr="00B04DC3">
        <w:rPr>
          <w:vertAlign w:val="subscript"/>
          <w:lang w:val="en-GB"/>
        </w:rPr>
        <w:t>m</w:t>
      </w:r>
      <w:r w:rsidRPr="00B04DC3">
        <w:rPr>
          <w:lang w:val="en-GB"/>
        </w:rPr>
        <w:t xml:space="preserve"> = 0.9 </w:t>
      </w:r>
      <w:r w:rsidRPr="00B04DC3">
        <w:rPr>
          <w:lang w:val="en-GB"/>
        </w:rPr>
        <w:sym w:font="Symbol" w:char="F0B4"/>
      </w:r>
      <w:r w:rsidRPr="00B04DC3">
        <w:rPr>
          <w:lang w:val="en-GB"/>
        </w:rPr>
        <w:t xml:space="preserve"> A</w:t>
      </w:r>
    </w:p>
    <w:p w:rsidR="00D75405" w:rsidRPr="00B04DC3" w:rsidRDefault="00D75405" w:rsidP="00D75405">
      <w:pPr>
        <w:pStyle w:val="para"/>
        <w:rPr>
          <w:lang w:val="en-GB"/>
        </w:rPr>
      </w:pPr>
      <w:r w:rsidRPr="00B04DC3">
        <w:rPr>
          <w:lang w:val="en-GB"/>
        </w:rPr>
        <w:tab/>
        <w:t>The water quench, which shall not be greater than 3 per cent, shall be calculated as follows:</w:t>
      </w:r>
    </w:p>
    <w:p w:rsidR="00D75405" w:rsidRPr="00B04DC3" w:rsidRDefault="00D75405" w:rsidP="00D75405">
      <w:pPr>
        <w:pStyle w:val="para"/>
        <w:rPr>
          <w:lang w:val="en-GB"/>
        </w:rPr>
      </w:pPr>
      <w:r w:rsidRPr="00B04DC3">
        <w:rPr>
          <w:lang w:val="en-GB"/>
        </w:rPr>
        <w:tab/>
      </w:r>
      <w:r w:rsidRPr="00B04DC3">
        <w:rPr>
          <w:lang w:val="en-GB"/>
        </w:rPr>
        <w:tab/>
        <w:t xml:space="preserve">per cent quench = 100 </w:t>
      </w:r>
      <w:r w:rsidRPr="00B04DC3">
        <w:rPr>
          <w:lang w:val="en-GB"/>
        </w:rPr>
        <w:sym w:font="Symbol" w:char="F0B4"/>
      </w:r>
      <w:r w:rsidRPr="00B04DC3">
        <w:rPr>
          <w:lang w:val="en-GB"/>
        </w:rPr>
        <w:t xml:space="preserve"> ((D</w:t>
      </w:r>
      <w:r w:rsidRPr="00B04DC3">
        <w:rPr>
          <w:vertAlign w:val="subscript"/>
          <w:lang w:val="en-GB"/>
        </w:rPr>
        <w:t>e</w:t>
      </w:r>
      <w:r w:rsidRPr="00B04DC3">
        <w:rPr>
          <w:lang w:val="en-GB"/>
        </w:rPr>
        <w:t xml:space="preserve"> − C)/D</w:t>
      </w:r>
      <w:r w:rsidRPr="00B04DC3">
        <w:rPr>
          <w:vertAlign w:val="subscript"/>
          <w:lang w:val="en-GB"/>
        </w:rPr>
        <w:t>e</w:t>
      </w:r>
      <w:r w:rsidRPr="00B04DC3">
        <w:rPr>
          <w:lang w:val="en-GB"/>
        </w:rPr>
        <w:t xml:space="preserve">) </w:t>
      </w:r>
      <w:r w:rsidRPr="00B04DC3">
        <w:rPr>
          <w:lang w:val="en-GB"/>
        </w:rPr>
        <w:sym w:font="Symbol" w:char="F0B4"/>
      </w:r>
      <w:r w:rsidRPr="00B04DC3">
        <w:rPr>
          <w:lang w:val="en-GB"/>
        </w:rPr>
        <w:t xml:space="preserve"> (H</w:t>
      </w:r>
      <w:r w:rsidRPr="00B04DC3">
        <w:rPr>
          <w:vertAlign w:val="subscript"/>
          <w:lang w:val="en-GB"/>
        </w:rPr>
        <w:t>m</w:t>
      </w:r>
      <w:r w:rsidRPr="00B04DC3">
        <w:rPr>
          <w:lang w:val="en-GB"/>
        </w:rPr>
        <w:t>/H)</w:t>
      </w:r>
    </w:p>
    <w:p w:rsidR="00D75405" w:rsidRPr="00B04DC3" w:rsidRDefault="00D75405" w:rsidP="00D75405">
      <w:pPr>
        <w:pStyle w:val="para"/>
        <w:rPr>
          <w:lang w:val="en-GB"/>
        </w:rPr>
      </w:pPr>
      <w:r w:rsidRPr="00B04DC3">
        <w:rPr>
          <w:lang w:val="en-GB"/>
        </w:rPr>
        <w:tab/>
      </w:r>
      <w:r w:rsidR="00EC0816" w:rsidRPr="00B04DC3">
        <w:rPr>
          <w:lang w:val="en-GB"/>
        </w:rPr>
        <w:t>Where</w:t>
      </w:r>
      <w:r w:rsidR="00AE528D">
        <w:rPr>
          <w:lang w:val="en-GB"/>
        </w:rPr>
        <w:t>:</w:t>
      </w:r>
      <w:r w:rsidRPr="00B04DC3">
        <w:rPr>
          <w:lang w:val="en-GB"/>
        </w:rPr>
        <w:t>,</w:t>
      </w:r>
    </w:p>
    <w:p w:rsidR="00D75405" w:rsidRPr="00B04DC3" w:rsidRDefault="00D75405" w:rsidP="00D75405">
      <w:pPr>
        <w:pStyle w:val="a"/>
        <w:rPr>
          <w:lang w:val="en-GB"/>
        </w:rPr>
      </w:pPr>
      <w:r w:rsidRPr="00B04DC3">
        <w:rPr>
          <w:lang w:val="en-GB"/>
        </w:rPr>
        <w:t>D</w:t>
      </w:r>
      <w:r w:rsidRPr="00B04DC3">
        <w:rPr>
          <w:vertAlign w:val="subscript"/>
          <w:lang w:val="en-GB"/>
        </w:rPr>
        <w:t>e</w:t>
      </w:r>
      <w:r w:rsidRPr="00B04DC3">
        <w:rPr>
          <w:lang w:val="en-GB"/>
        </w:rPr>
        <w:tab/>
        <w:t>=  is the expected diluted NO concentration in ppm</w:t>
      </w:r>
    </w:p>
    <w:p w:rsidR="00D75405" w:rsidRPr="00B04DC3" w:rsidRDefault="00D75405" w:rsidP="00D75405">
      <w:pPr>
        <w:pStyle w:val="a"/>
        <w:rPr>
          <w:lang w:val="en-GB"/>
        </w:rPr>
      </w:pPr>
      <w:r w:rsidRPr="00B04DC3">
        <w:rPr>
          <w:lang w:val="en-GB"/>
        </w:rPr>
        <w:t>C</w:t>
      </w:r>
      <w:r w:rsidRPr="00B04DC3">
        <w:rPr>
          <w:lang w:val="en-GB"/>
        </w:rPr>
        <w:tab/>
        <w:t>=  is the diluted NO concentration in ppm</w:t>
      </w:r>
    </w:p>
    <w:p w:rsidR="00D75405" w:rsidRPr="00B04DC3" w:rsidRDefault="00D75405" w:rsidP="00D75405">
      <w:pPr>
        <w:pStyle w:val="a"/>
        <w:rPr>
          <w:lang w:val="en-GB"/>
        </w:rPr>
      </w:pPr>
      <w:r w:rsidRPr="00B04DC3">
        <w:rPr>
          <w:lang w:val="en-GB"/>
        </w:rPr>
        <w:t>H</w:t>
      </w:r>
      <w:r w:rsidRPr="00B04DC3">
        <w:rPr>
          <w:vertAlign w:val="subscript"/>
          <w:lang w:val="en-GB"/>
        </w:rPr>
        <w:t>m</w:t>
      </w:r>
      <w:r w:rsidRPr="00B04DC3">
        <w:rPr>
          <w:lang w:val="en-GB"/>
        </w:rPr>
        <w:tab/>
        <w:t>=  is the maximum water vapour concentration in per cent</w:t>
      </w:r>
    </w:p>
    <w:p w:rsidR="00D75405" w:rsidRPr="00B04DC3" w:rsidRDefault="00D75405" w:rsidP="00D75405">
      <w:pPr>
        <w:pStyle w:val="a"/>
        <w:rPr>
          <w:lang w:val="en-GB"/>
        </w:rPr>
      </w:pPr>
      <w:r w:rsidRPr="00B04DC3">
        <w:rPr>
          <w:lang w:val="en-GB"/>
        </w:rPr>
        <w:t>H</w:t>
      </w:r>
      <w:r w:rsidRPr="00B04DC3">
        <w:rPr>
          <w:lang w:val="en-GB"/>
        </w:rPr>
        <w:tab/>
        <w:t>=  is the actual water vapour concentration in per cent.</w:t>
      </w:r>
    </w:p>
    <w:p w:rsidR="00D75405" w:rsidRPr="00B04DC3" w:rsidRDefault="00D75405" w:rsidP="00D75405">
      <w:pPr>
        <w:pStyle w:val="para"/>
        <w:ind w:firstLine="0"/>
        <w:rPr>
          <w:lang w:val="en-GB"/>
        </w:rPr>
      </w:pPr>
      <w:r w:rsidRPr="00B04DC3">
        <w:rPr>
          <w:i/>
          <w:lang w:val="en-GB"/>
        </w:rPr>
        <w:t>Note:</w:t>
      </w:r>
      <w:r w:rsidRPr="00B04DC3">
        <w:rPr>
          <w:lang w:val="en-GB"/>
        </w:rPr>
        <w:t xml:space="preserve"> It is important that the NO span gas contains minimal NO</w:t>
      </w:r>
      <w:r w:rsidRPr="00B04DC3">
        <w:rPr>
          <w:vertAlign w:val="subscript"/>
          <w:lang w:val="en-GB"/>
        </w:rPr>
        <w:t>2</w:t>
      </w:r>
      <w:r w:rsidRPr="00B04DC3">
        <w:rPr>
          <w:lang w:val="en-GB"/>
        </w:rPr>
        <w:t xml:space="preserve"> concentration for this check, since absorption of NO</w:t>
      </w:r>
      <w:r w:rsidRPr="00B04DC3">
        <w:rPr>
          <w:vertAlign w:val="subscript"/>
          <w:lang w:val="en-GB"/>
        </w:rPr>
        <w:t>2</w:t>
      </w:r>
      <w:r w:rsidRPr="00B04DC3">
        <w:rPr>
          <w:lang w:val="en-GB"/>
        </w:rPr>
        <w:t xml:space="preserve"> in water has not been accounted for in the quench calculations.</w:t>
      </w:r>
    </w:p>
    <w:p w:rsidR="00D75405" w:rsidRPr="00B04DC3" w:rsidRDefault="00D75405" w:rsidP="00D75405">
      <w:pPr>
        <w:pStyle w:val="para"/>
        <w:rPr>
          <w:lang w:val="en-GB"/>
        </w:rPr>
      </w:pPr>
      <w:r w:rsidRPr="00B04DC3">
        <w:rPr>
          <w:lang w:val="en-GB"/>
        </w:rPr>
        <w:t>1.10.</w:t>
      </w:r>
      <w:r w:rsidRPr="00B04DC3">
        <w:rPr>
          <w:lang w:val="en-GB"/>
        </w:rPr>
        <w:tab/>
        <w:t>Calibration intervals</w:t>
      </w:r>
    </w:p>
    <w:p w:rsidR="00D75405" w:rsidRPr="00B04DC3" w:rsidRDefault="00D75405" w:rsidP="00D75405">
      <w:pPr>
        <w:pStyle w:val="para"/>
        <w:rPr>
          <w:lang w:val="en-GB"/>
        </w:rPr>
      </w:pPr>
      <w:r w:rsidRPr="00B04DC3">
        <w:rPr>
          <w:lang w:val="en-GB"/>
        </w:rPr>
        <w:tab/>
        <w:t>The analyzers shall be calibrated according to paragraph 1.6.</w:t>
      </w:r>
      <w:r w:rsidR="00AE528D" w:rsidRPr="00AE528D">
        <w:rPr>
          <w:lang w:eastAsia="en-GB"/>
        </w:rPr>
        <w:t xml:space="preserve"> </w:t>
      </w:r>
      <w:r w:rsidR="00AE528D">
        <w:rPr>
          <w:lang w:eastAsia="en-GB"/>
        </w:rPr>
        <w:t>of this appendix</w:t>
      </w:r>
      <w:r w:rsidRPr="00B04DC3">
        <w:rPr>
          <w:lang w:val="en-GB"/>
        </w:rPr>
        <w:t xml:space="preserve"> at least every three months or whenever a system repair or change is made that could influence calibration.</w:t>
      </w:r>
    </w:p>
    <w:p w:rsidR="00D75405" w:rsidRPr="00B04DC3" w:rsidRDefault="00D75405" w:rsidP="00D75405">
      <w:pPr>
        <w:pStyle w:val="para"/>
        <w:rPr>
          <w:lang w:val="en-GB"/>
        </w:rPr>
      </w:pPr>
      <w:r w:rsidRPr="00B04DC3">
        <w:rPr>
          <w:lang w:val="en-GB"/>
        </w:rPr>
        <w:t>2.</w:t>
      </w:r>
      <w:r w:rsidRPr="00B04DC3">
        <w:rPr>
          <w:lang w:val="en-GB"/>
        </w:rPr>
        <w:tab/>
        <w:t>Calibration of the CVS-System</w:t>
      </w:r>
    </w:p>
    <w:p w:rsidR="00D75405" w:rsidRPr="00B04DC3" w:rsidRDefault="00D75405" w:rsidP="00D75405">
      <w:pPr>
        <w:pStyle w:val="para"/>
        <w:rPr>
          <w:lang w:val="en-GB"/>
        </w:rPr>
      </w:pPr>
      <w:r w:rsidRPr="00B04DC3">
        <w:rPr>
          <w:lang w:val="en-GB"/>
        </w:rPr>
        <w:t>2.1.</w:t>
      </w:r>
      <w:r w:rsidRPr="00B04DC3">
        <w:rPr>
          <w:lang w:val="en-GB"/>
        </w:rPr>
        <w:tab/>
        <w:t>General</w:t>
      </w:r>
    </w:p>
    <w:p w:rsidR="00D75405" w:rsidRPr="00B04DC3" w:rsidRDefault="00D75405" w:rsidP="00D75405">
      <w:pPr>
        <w:pStyle w:val="para"/>
        <w:rPr>
          <w:lang w:val="en-GB"/>
        </w:rPr>
      </w:pPr>
      <w:r w:rsidRPr="00B04DC3">
        <w:rPr>
          <w:lang w:val="en-GB"/>
        </w:rPr>
        <w:tab/>
        <w:t>The CVS system shall be calibrated by using an accurate flowmeter traceable to national or international standards and a restricting device. The flow through the system shall be measured at different restriction settings, and the control parameters of the system shall be measured and related to the flow.</w:t>
      </w:r>
    </w:p>
    <w:p w:rsidR="00D75405" w:rsidRPr="00B04DC3" w:rsidRDefault="00D75405" w:rsidP="00D75405">
      <w:pPr>
        <w:pStyle w:val="para"/>
        <w:rPr>
          <w:lang w:val="en-GB"/>
        </w:rPr>
      </w:pPr>
      <w:r w:rsidRPr="00B04DC3">
        <w:rPr>
          <w:lang w:val="en-GB"/>
        </w:rPr>
        <w:tab/>
        <w:t>Various types of flowmeters may be used, e.g. calibrated venturi, calibrated laminar flowmeter, calibrated turbinemeter.</w:t>
      </w:r>
    </w:p>
    <w:p w:rsidR="00D75405" w:rsidRPr="00B04DC3" w:rsidRDefault="00D75405" w:rsidP="00D75405">
      <w:pPr>
        <w:pStyle w:val="para"/>
        <w:rPr>
          <w:lang w:val="en-GB"/>
        </w:rPr>
      </w:pPr>
      <w:r w:rsidRPr="00B04DC3">
        <w:rPr>
          <w:lang w:val="en-GB"/>
        </w:rPr>
        <w:t>2.2.</w:t>
      </w:r>
      <w:r w:rsidRPr="00B04DC3">
        <w:rPr>
          <w:lang w:val="en-GB"/>
        </w:rPr>
        <w:tab/>
        <w:t xml:space="preserve">Calibration of the </w:t>
      </w:r>
      <w:r w:rsidR="00AE528D">
        <w:rPr>
          <w:lang w:val="en-GB"/>
        </w:rPr>
        <w:t>P</w:t>
      </w:r>
      <w:r w:rsidR="00AE528D" w:rsidRPr="00B04DC3">
        <w:rPr>
          <w:lang w:val="en-GB"/>
        </w:rPr>
        <w:t xml:space="preserve">ositive </w:t>
      </w:r>
      <w:r w:rsidR="00AE528D">
        <w:rPr>
          <w:lang w:val="en-GB"/>
        </w:rPr>
        <w:t>D</w:t>
      </w:r>
      <w:r w:rsidR="00AE528D" w:rsidRPr="00B04DC3">
        <w:rPr>
          <w:lang w:val="en-GB"/>
        </w:rPr>
        <w:t xml:space="preserve">isplacement </w:t>
      </w:r>
      <w:r w:rsidR="00AE528D">
        <w:rPr>
          <w:lang w:val="en-GB"/>
        </w:rPr>
        <w:t>P</w:t>
      </w:r>
      <w:r w:rsidR="00AE528D" w:rsidRPr="00B04DC3">
        <w:rPr>
          <w:lang w:val="en-GB"/>
        </w:rPr>
        <w:t xml:space="preserve">ump </w:t>
      </w:r>
      <w:r w:rsidRPr="00B04DC3">
        <w:rPr>
          <w:lang w:val="en-GB"/>
        </w:rPr>
        <w:t>(PDP)</w:t>
      </w:r>
    </w:p>
    <w:p w:rsidR="00D75405" w:rsidRPr="00B04DC3" w:rsidRDefault="00D75405" w:rsidP="00D75405">
      <w:pPr>
        <w:pStyle w:val="para"/>
        <w:rPr>
          <w:spacing w:val="-2"/>
          <w:lang w:val="en-GB"/>
        </w:rPr>
      </w:pPr>
      <w:r w:rsidRPr="00B04DC3">
        <w:rPr>
          <w:spacing w:val="-2"/>
          <w:lang w:val="en-GB"/>
        </w:rPr>
        <w:tab/>
        <w:t>All parameters related to the pump shall be simultaneously measured with the parameters related to the flowmeter which is connected in series with the pump. The calculated flow rate (in m</w:t>
      </w:r>
      <w:r w:rsidRPr="00B04DC3">
        <w:rPr>
          <w:spacing w:val="-2"/>
          <w:vertAlign w:val="superscript"/>
          <w:lang w:val="en-GB"/>
        </w:rPr>
        <w:t>3</w:t>
      </w:r>
      <w:r w:rsidRPr="00B04DC3">
        <w:rPr>
          <w:spacing w:val="-2"/>
          <w:lang w:val="en-GB"/>
        </w:rPr>
        <w:t xml:space="preserve">/min at pump inlet, absolute pressure and temperature) shall be plotted versus a correlation function which is the value of </w:t>
      </w:r>
      <w:r w:rsidRPr="00B04DC3">
        <w:rPr>
          <w:spacing w:val="-2"/>
          <w:lang w:val="en-GB"/>
        </w:rPr>
        <w:br/>
        <w:t>a specific combination of pump parameters. The linear equation which relates the pump flow and the correlation function shall then be determined. If a CVS has a multiple speed drive, the calibration shall be performed for each range used. Temperature stability shall be maintained during calibration.</w:t>
      </w:r>
    </w:p>
    <w:p w:rsidR="00D75405" w:rsidRPr="00B04DC3" w:rsidRDefault="00D75405" w:rsidP="008E2032">
      <w:pPr>
        <w:pStyle w:val="para"/>
        <w:keepNext/>
        <w:rPr>
          <w:lang w:val="en-GB"/>
        </w:rPr>
      </w:pPr>
      <w:r w:rsidRPr="00B04DC3">
        <w:rPr>
          <w:lang w:val="en-GB"/>
        </w:rPr>
        <w:t>2.2.1.</w:t>
      </w:r>
      <w:r w:rsidRPr="00B04DC3">
        <w:rPr>
          <w:lang w:val="en-GB"/>
        </w:rPr>
        <w:tab/>
        <w:t>Data analysis</w:t>
      </w:r>
    </w:p>
    <w:p w:rsidR="00D75405" w:rsidRPr="00B04DC3" w:rsidRDefault="00D75405" w:rsidP="00D75405">
      <w:pPr>
        <w:pStyle w:val="para"/>
        <w:rPr>
          <w:lang w:val="en-GB"/>
        </w:rPr>
      </w:pPr>
      <w:r w:rsidRPr="00B04DC3">
        <w:rPr>
          <w:lang w:val="en-GB"/>
        </w:rPr>
        <w:tab/>
        <w:t>The air flowrate (Q</w:t>
      </w:r>
      <w:r w:rsidRPr="00B04DC3">
        <w:rPr>
          <w:vertAlign w:val="subscript"/>
          <w:lang w:val="en-GB"/>
        </w:rPr>
        <w:t>s</w:t>
      </w:r>
      <w:r w:rsidRPr="00B04DC3">
        <w:rPr>
          <w:lang w:val="en-GB"/>
        </w:rPr>
        <w:t>) at each restriction setting (minimum 6 settings) shall be calculated in standard m</w:t>
      </w:r>
      <w:r w:rsidRPr="00B04DC3">
        <w:rPr>
          <w:vertAlign w:val="superscript"/>
          <w:lang w:val="en-GB"/>
        </w:rPr>
        <w:t>3</w:t>
      </w:r>
      <w:r w:rsidRPr="00B04DC3">
        <w:rPr>
          <w:lang w:val="en-GB"/>
        </w:rPr>
        <w:t>/min from the flowmeter data using the manufacturer's prescribed method. The air flow rate shall then be converted to pump flow (V</w:t>
      </w:r>
      <w:r w:rsidRPr="00B04DC3">
        <w:rPr>
          <w:vertAlign w:val="subscript"/>
          <w:lang w:val="en-GB"/>
        </w:rPr>
        <w:t>0</w:t>
      </w:r>
      <w:r w:rsidRPr="00B04DC3">
        <w:rPr>
          <w:lang w:val="en-GB"/>
        </w:rPr>
        <w:t>) in m</w:t>
      </w:r>
      <w:r w:rsidRPr="00B04DC3">
        <w:rPr>
          <w:vertAlign w:val="superscript"/>
          <w:lang w:val="en-GB"/>
        </w:rPr>
        <w:t>3</w:t>
      </w:r>
      <w:r w:rsidRPr="00B04DC3">
        <w:rPr>
          <w:lang w:val="en-GB"/>
        </w:rPr>
        <w:t>/rev at absolute pump inlet temperature and pressure as follows:</w:t>
      </w:r>
    </w:p>
    <w:p w:rsidR="00D75405" w:rsidRPr="00B04DC3" w:rsidRDefault="00D75405" w:rsidP="00D75405">
      <w:pPr>
        <w:pStyle w:val="para"/>
        <w:rPr>
          <w:lang w:val="en-GB"/>
        </w:rPr>
      </w:pPr>
      <w:r w:rsidRPr="00B04DC3">
        <w:rPr>
          <w:lang w:val="en-GB"/>
        </w:rPr>
        <w:tab/>
      </w:r>
      <w:r w:rsidRPr="00B04DC3">
        <w:rPr>
          <w:lang w:val="en-GB"/>
        </w:rPr>
        <w:tab/>
      </w:r>
      <w:r w:rsidR="00593305" w:rsidRPr="00593305">
        <w:rPr>
          <w:position w:val="-28"/>
          <w:lang w:val="en-GB"/>
        </w:rPr>
        <w:object w:dxaOrig="2120" w:dyaOrig="600">
          <v:shape id="_x0000_i1178" type="#_x0000_t75" style="width:96.6pt;height:27.6pt" o:ole="" fillcolor="window">
            <v:imagedata r:id="rId295" o:title=""/>
          </v:shape>
          <o:OLEObject Type="Embed" ProgID="Equation.3" ShapeID="_x0000_i1178" DrawAspect="Content" ObjectID="_1498392320" r:id="rId296"/>
        </w:object>
      </w:r>
    </w:p>
    <w:p w:rsidR="00D75405" w:rsidRPr="00B04DC3" w:rsidRDefault="00D75405" w:rsidP="00D75405">
      <w:pPr>
        <w:pStyle w:val="para"/>
        <w:rPr>
          <w:lang w:val="en-GB"/>
        </w:rPr>
      </w:pPr>
      <w:r w:rsidRPr="00B04DC3">
        <w:rPr>
          <w:lang w:val="en-GB"/>
        </w:rPr>
        <w:tab/>
      </w:r>
      <w:r w:rsidR="007622A6" w:rsidRPr="00B04DC3">
        <w:rPr>
          <w:lang w:val="en-GB"/>
        </w:rPr>
        <w:t>Where</w:t>
      </w:r>
      <w:r w:rsidR="00AE528D">
        <w:rPr>
          <w:lang w:val="en-GB"/>
        </w:rPr>
        <w:t>:</w:t>
      </w:r>
    </w:p>
    <w:p w:rsidR="00D75405" w:rsidRPr="00B04DC3" w:rsidRDefault="00D75405" w:rsidP="00D75405">
      <w:pPr>
        <w:pStyle w:val="a"/>
        <w:rPr>
          <w:lang w:val="en-GB"/>
        </w:rPr>
      </w:pPr>
      <w:r w:rsidRPr="00B04DC3">
        <w:rPr>
          <w:lang w:val="en-GB"/>
        </w:rPr>
        <w:t>q</w:t>
      </w:r>
      <w:r w:rsidRPr="00B04DC3">
        <w:rPr>
          <w:vertAlign w:val="subscript"/>
          <w:lang w:val="en-GB"/>
        </w:rPr>
        <w:t>vCVS</w:t>
      </w:r>
      <w:r w:rsidRPr="00B04DC3">
        <w:rPr>
          <w:vertAlign w:val="subscript"/>
          <w:lang w:val="en-GB"/>
        </w:rPr>
        <w:tab/>
      </w:r>
      <w:r w:rsidRPr="00B04DC3">
        <w:rPr>
          <w:lang w:val="en-GB"/>
        </w:rPr>
        <w:t>=  air flow rate at standard conditions (101.3 kPa, 273 K), m</w:t>
      </w:r>
      <w:r w:rsidRPr="00B04DC3">
        <w:rPr>
          <w:vertAlign w:val="superscript"/>
          <w:lang w:val="en-GB"/>
        </w:rPr>
        <w:t>3</w:t>
      </w:r>
      <w:r w:rsidRPr="00B04DC3">
        <w:rPr>
          <w:lang w:val="en-GB"/>
        </w:rPr>
        <w:t>/s</w:t>
      </w:r>
    </w:p>
    <w:p w:rsidR="00D75405" w:rsidRPr="00B04DC3" w:rsidRDefault="00D75405" w:rsidP="00D75405">
      <w:pPr>
        <w:pStyle w:val="a"/>
        <w:rPr>
          <w:lang w:val="en-GB"/>
        </w:rPr>
      </w:pPr>
      <w:r w:rsidRPr="00B04DC3">
        <w:rPr>
          <w:lang w:val="en-GB"/>
        </w:rPr>
        <w:t>T</w:t>
      </w:r>
      <w:r w:rsidRPr="00B04DC3">
        <w:rPr>
          <w:lang w:val="en-GB"/>
        </w:rPr>
        <w:tab/>
        <w:t>=  temperature at pump inlet, K</w:t>
      </w:r>
    </w:p>
    <w:p w:rsidR="00D75405" w:rsidRPr="00B04DC3" w:rsidRDefault="00D75405" w:rsidP="00D75405">
      <w:pPr>
        <w:pStyle w:val="a"/>
        <w:rPr>
          <w:lang w:val="en-GB"/>
        </w:rPr>
      </w:pPr>
      <w:r w:rsidRPr="00B04DC3">
        <w:rPr>
          <w:lang w:val="en-GB"/>
        </w:rPr>
        <w:t>p</w:t>
      </w:r>
      <w:r w:rsidRPr="00B04DC3">
        <w:rPr>
          <w:vertAlign w:val="subscript"/>
          <w:lang w:val="en-GB"/>
        </w:rPr>
        <w:t>p</w:t>
      </w:r>
      <w:r w:rsidRPr="00B04DC3">
        <w:rPr>
          <w:lang w:val="en-GB"/>
        </w:rPr>
        <w:tab/>
        <w:t>=  absolute pressure at pump inlet (p</w:t>
      </w:r>
      <w:r w:rsidRPr="00B04DC3">
        <w:rPr>
          <w:vertAlign w:val="subscript"/>
          <w:lang w:val="en-GB"/>
        </w:rPr>
        <w:t>B</w:t>
      </w:r>
      <w:r w:rsidRPr="00B04DC3">
        <w:rPr>
          <w:lang w:val="en-GB"/>
        </w:rPr>
        <w:t>-p</w:t>
      </w:r>
      <w:r w:rsidRPr="00B04DC3">
        <w:rPr>
          <w:vertAlign w:val="subscript"/>
          <w:lang w:val="en-GB"/>
        </w:rPr>
        <w:t>1</w:t>
      </w:r>
      <w:r w:rsidRPr="00B04DC3">
        <w:rPr>
          <w:lang w:val="en-GB"/>
        </w:rPr>
        <w:t>), kPa</w:t>
      </w:r>
    </w:p>
    <w:p w:rsidR="00D75405" w:rsidRPr="00B04DC3" w:rsidRDefault="00D75405" w:rsidP="00D75405">
      <w:pPr>
        <w:pStyle w:val="a"/>
        <w:rPr>
          <w:lang w:val="en-GB"/>
        </w:rPr>
      </w:pPr>
      <w:r w:rsidRPr="00B04DC3">
        <w:rPr>
          <w:lang w:val="en-GB"/>
        </w:rPr>
        <w:t>n</w:t>
      </w:r>
      <w:r w:rsidRPr="00B04DC3">
        <w:rPr>
          <w:lang w:val="en-GB"/>
        </w:rPr>
        <w:tab/>
        <w:t>=  pump speed, rev/s.</w:t>
      </w:r>
    </w:p>
    <w:p w:rsidR="00D75405" w:rsidRPr="00B04DC3" w:rsidRDefault="00D75405" w:rsidP="00D75405">
      <w:pPr>
        <w:pStyle w:val="para"/>
        <w:rPr>
          <w:lang w:val="en-GB"/>
        </w:rPr>
      </w:pPr>
      <w:r w:rsidRPr="00B04DC3">
        <w:rPr>
          <w:lang w:val="en-GB"/>
        </w:rPr>
        <w:tab/>
        <w:t>To account for the interaction of pressure variations at the pump and the pump slip rate, the correlation function (X</w:t>
      </w:r>
      <w:r w:rsidRPr="00B04DC3">
        <w:rPr>
          <w:vertAlign w:val="subscript"/>
          <w:lang w:val="en-GB"/>
        </w:rPr>
        <w:t>0</w:t>
      </w:r>
      <w:r w:rsidRPr="00B04DC3">
        <w:rPr>
          <w:lang w:val="en-GB"/>
        </w:rPr>
        <w:t>) between pump speed, pressure differential from pump inlet to pump outlet and absolute pump outlet pressure shall be calculated as follows:</w:t>
      </w:r>
    </w:p>
    <w:p w:rsidR="00D75405" w:rsidRPr="00B04DC3" w:rsidRDefault="00593305" w:rsidP="00D75405">
      <w:pPr>
        <w:pStyle w:val="para"/>
        <w:ind w:firstLine="0"/>
        <w:rPr>
          <w:lang w:val="en-GB"/>
        </w:rPr>
      </w:pPr>
      <w:r w:rsidRPr="00593305">
        <w:rPr>
          <w:position w:val="-30"/>
          <w:lang w:val="en-GB"/>
        </w:rPr>
        <w:object w:dxaOrig="1359" w:dyaOrig="700">
          <v:shape id="_x0000_i1179" type="#_x0000_t75" style="width:68.4pt;height:35.4pt" o:ole="" fillcolor="window">
            <v:imagedata r:id="rId297" o:title=""/>
          </v:shape>
          <o:OLEObject Type="Embed" ProgID="Equation.3" ShapeID="_x0000_i1179" DrawAspect="Content" ObjectID="_1498392321" r:id="rId298"/>
        </w:object>
      </w:r>
    </w:p>
    <w:p w:rsidR="00D75405" w:rsidRPr="00B04DC3" w:rsidRDefault="00D75405" w:rsidP="00D75405">
      <w:pPr>
        <w:pStyle w:val="para"/>
        <w:rPr>
          <w:lang w:val="en-GB"/>
        </w:rPr>
      </w:pPr>
      <w:r w:rsidRPr="00B04DC3">
        <w:rPr>
          <w:lang w:val="en-GB"/>
        </w:rPr>
        <w:tab/>
      </w:r>
      <w:r w:rsidR="007622A6" w:rsidRPr="00B04DC3">
        <w:rPr>
          <w:lang w:val="en-GB"/>
        </w:rPr>
        <w:t>Where</w:t>
      </w:r>
      <w:r w:rsidR="00AE528D">
        <w:rPr>
          <w:lang w:val="en-GB"/>
        </w:rPr>
        <w:t>:</w:t>
      </w:r>
    </w:p>
    <w:p w:rsidR="00D75405" w:rsidRPr="00B04DC3" w:rsidRDefault="00D75405" w:rsidP="00D75405">
      <w:pPr>
        <w:pStyle w:val="a"/>
        <w:rPr>
          <w:lang w:val="en-GB"/>
        </w:rPr>
      </w:pPr>
      <w:r w:rsidRPr="00B04DC3">
        <w:rPr>
          <w:lang w:val="en-GB"/>
        </w:rPr>
        <w:t>Δp</w:t>
      </w:r>
      <w:r w:rsidRPr="00B04DC3">
        <w:rPr>
          <w:vertAlign w:val="subscript"/>
          <w:lang w:val="en-GB"/>
        </w:rPr>
        <w:t>p</w:t>
      </w:r>
      <w:r w:rsidRPr="00B04DC3">
        <w:rPr>
          <w:lang w:val="en-GB"/>
        </w:rPr>
        <w:tab/>
        <w:t>pressure differential from pump inlet to pump outlet, kPa</w:t>
      </w:r>
    </w:p>
    <w:p w:rsidR="00D75405" w:rsidRPr="00B04DC3" w:rsidRDefault="00D75405" w:rsidP="00D75405">
      <w:pPr>
        <w:pStyle w:val="a"/>
        <w:rPr>
          <w:lang w:val="en-GB"/>
        </w:rPr>
      </w:pPr>
      <w:r w:rsidRPr="00B04DC3">
        <w:rPr>
          <w:lang w:val="en-GB"/>
        </w:rPr>
        <w:t>p</w:t>
      </w:r>
      <w:r w:rsidRPr="00B04DC3">
        <w:rPr>
          <w:vertAlign w:val="subscript"/>
          <w:lang w:val="en-GB"/>
        </w:rPr>
        <w:t>p</w:t>
      </w:r>
      <w:r w:rsidRPr="00B04DC3">
        <w:rPr>
          <w:lang w:val="en-GB"/>
        </w:rPr>
        <w:tab/>
        <w:t>absolute outlet pressure at pump outlet, kPa.</w:t>
      </w:r>
    </w:p>
    <w:p w:rsidR="00D75405" w:rsidRPr="00B04DC3" w:rsidRDefault="00D75405" w:rsidP="00D75405">
      <w:pPr>
        <w:pStyle w:val="para"/>
        <w:rPr>
          <w:lang w:val="en-GB"/>
        </w:rPr>
      </w:pPr>
      <w:r w:rsidRPr="00B04DC3">
        <w:rPr>
          <w:lang w:val="en-GB"/>
        </w:rPr>
        <w:tab/>
        <w:t>A linear least-square fit shall be performed to generate the calibration equation as follows:</w:t>
      </w:r>
    </w:p>
    <w:p w:rsidR="00D75405" w:rsidRPr="00B04DC3" w:rsidRDefault="00593305" w:rsidP="00D75405">
      <w:pPr>
        <w:pStyle w:val="para"/>
        <w:ind w:firstLine="0"/>
        <w:rPr>
          <w:lang w:val="en-GB"/>
        </w:rPr>
      </w:pPr>
      <w:r w:rsidRPr="00593305">
        <w:rPr>
          <w:position w:val="-10"/>
          <w:lang w:val="en-GB"/>
        </w:rPr>
        <w:object w:dxaOrig="1480" w:dyaOrig="300">
          <v:shape id="_x0000_i1180" type="#_x0000_t75" style="width:74.4pt;height:15.6pt" o:ole="" fillcolor="window">
            <v:imagedata r:id="rId299" o:title=""/>
          </v:shape>
          <o:OLEObject Type="Embed" ProgID="Equation.3" ShapeID="_x0000_i1180" DrawAspect="Content" ObjectID="_1498392322" r:id="rId300"/>
        </w:object>
      </w:r>
    </w:p>
    <w:p w:rsidR="00D75405" w:rsidRPr="00B04DC3" w:rsidRDefault="00D75405" w:rsidP="00D75405">
      <w:pPr>
        <w:pStyle w:val="para"/>
        <w:rPr>
          <w:lang w:val="en-GB"/>
        </w:rPr>
      </w:pPr>
      <w:r w:rsidRPr="00B04DC3">
        <w:rPr>
          <w:lang w:val="en-GB"/>
        </w:rPr>
        <w:tab/>
        <w:t>D</w:t>
      </w:r>
      <w:r w:rsidRPr="00B04DC3">
        <w:rPr>
          <w:vertAlign w:val="subscript"/>
          <w:lang w:val="en-GB"/>
        </w:rPr>
        <w:t>0</w:t>
      </w:r>
      <w:r w:rsidRPr="00B04DC3">
        <w:rPr>
          <w:lang w:val="en-GB"/>
        </w:rPr>
        <w:t xml:space="preserve"> and m are the intercept and slope constants, respectively, describing the regression lines.</w:t>
      </w:r>
    </w:p>
    <w:p w:rsidR="00D75405" w:rsidRPr="00B04DC3" w:rsidRDefault="00D75405" w:rsidP="00D75405">
      <w:pPr>
        <w:pStyle w:val="para"/>
        <w:rPr>
          <w:lang w:val="en-GB"/>
        </w:rPr>
      </w:pPr>
      <w:r w:rsidRPr="00B04DC3">
        <w:rPr>
          <w:lang w:val="en-GB"/>
        </w:rPr>
        <w:tab/>
        <w:t>For a CVS system with multiple speeds, the calibration curves generated for the different pump flow ranges shall be approximately parallel, and the intercept values (D</w:t>
      </w:r>
      <w:r w:rsidRPr="00B04DC3">
        <w:rPr>
          <w:vertAlign w:val="subscript"/>
          <w:lang w:val="en-GB"/>
        </w:rPr>
        <w:t>0</w:t>
      </w:r>
      <w:r w:rsidRPr="00B04DC3">
        <w:rPr>
          <w:lang w:val="en-GB"/>
        </w:rPr>
        <w:t>) shall increase as the pump flow range decreases.</w:t>
      </w:r>
    </w:p>
    <w:p w:rsidR="00D75405" w:rsidRPr="00B04DC3" w:rsidRDefault="00D75405" w:rsidP="00D75405">
      <w:pPr>
        <w:pStyle w:val="para"/>
        <w:rPr>
          <w:lang w:val="en-GB"/>
        </w:rPr>
      </w:pPr>
      <w:r w:rsidRPr="00B04DC3">
        <w:rPr>
          <w:lang w:val="en-GB"/>
        </w:rPr>
        <w:tab/>
        <w:t>The calculated values from the equation shall be within ±0.5 per cent of the measured value of V</w:t>
      </w:r>
      <w:r w:rsidRPr="00B04DC3">
        <w:rPr>
          <w:vertAlign w:val="subscript"/>
          <w:lang w:val="en-GB"/>
        </w:rPr>
        <w:t>0</w:t>
      </w:r>
      <w:r w:rsidRPr="00B04DC3">
        <w:rPr>
          <w:lang w:val="en-GB"/>
        </w:rPr>
        <w:t>. Values of m will vary from one pump to another. Particulate influx over time will cause the pump slip to decrease, as reflected by lower values for m. Therefore, calibration shall be performed at pump start-up, after major maintenance, and if the total system verification (paragraph 2.4.</w:t>
      </w:r>
      <w:r w:rsidR="00AE528D" w:rsidRPr="00AE528D">
        <w:rPr>
          <w:lang w:eastAsia="en-GB"/>
        </w:rPr>
        <w:t xml:space="preserve"> </w:t>
      </w:r>
      <w:r w:rsidR="00AE528D">
        <w:rPr>
          <w:lang w:eastAsia="en-GB"/>
        </w:rPr>
        <w:t>of this appendix</w:t>
      </w:r>
      <w:r w:rsidRPr="00B04DC3">
        <w:rPr>
          <w:lang w:val="en-GB"/>
        </w:rPr>
        <w:t>) indicates a change of the slip rate.</w:t>
      </w:r>
    </w:p>
    <w:p w:rsidR="00D75405" w:rsidRPr="00B04DC3" w:rsidRDefault="00D75405" w:rsidP="00D75405">
      <w:pPr>
        <w:pStyle w:val="para"/>
        <w:rPr>
          <w:lang w:val="en-GB"/>
        </w:rPr>
      </w:pPr>
      <w:r w:rsidRPr="00B04DC3">
        <w:rPr>
          <w:lang w:val="en-GB"/>
        </w:rPr>
        <w:t>2.3.</w:t>
      </w:r>
      <w:r w:rsidRPr="00B04DC3">
        <w:rPr>
          <w:lang w:val="en-GB"/>
        </w:rPr>
        <w:tab/>
        <w:t xml:space="preserve">Calibration of the </w:t>
      </w:r>
      <w:r w:rsidR="00AE528D">
        <w:rPr>
          <w:lang w:val="en-GB"/>
        </w:rPr>
        <w:t>C</w:t>
      </w:r>
      <w:r w:rsidR="00AE528D" w:rsidRPr="00B04DC3">
        <w:rPr>
          <w:lang w:val="en-GB"/>
        </w:rPr>
        <w:t xml:space="preserve">ritical </w:t>
      </w:r>
      <w:r w:rsidR="00AE528D">
        <w:rPr>
          <w:lang w:val="en-GB"/>
        </w:rPr>
        <w:t>F</w:t>
      </w:r>
      <w:r w:rsidR="00AE528D" w:rsidRPr="00B04DC3">
        <w:rPr>
          <w:lang w:val="en-GB"/>
        </w:rPr>
        <w:t xml:space="preserve">low </w:t>
      </w:r>
      <w:r w:rsidR="00AE528D">
        <w:rPr>
          <w:lang w:val="en-GB"/>
        </w:rPr>
        <w:t>V</w:t>
      </w:r>
      <w:r w:rsidR="00AE528D" w:rsidRPr="00B04DC3">
        <w:rPr>
          <w:lang w:val="en-GB"/>
        </w:rPr>
        <w:t xml:space="preserve">enturi </w:t>
      </w:r>
      <w:r w:rsidRPr="00B04DC3">
        <w:rPr>
          <w:lang w:val="en-GB"/>
        </w:rPr>
        <w:t>(CFV)</w:t>
      </w:r>
    </w:p>
    <w:p w:rsidR="00D75405" w:rsidRPr="00B04DC3" w:rsidRDefault="00D75405" w:rsidP="00D75405">
      <w:pPr>
        <w:pStyle w:val="para"/>
        <w:rPr>
          <w:lang w:val="en-GB"/>
        </w:rPr>
      </w:pPr>
      <w:r w:rsidRPr="00B04DC3">
        <w:rPr>
          <w:lang w:val="en-GB"/>
        </w:rPr>
        <w:tab/>
        <w:t>Calibration of the CFV is based upon the flow equation for a critical venturi. Gas flow is a function of inlet pressure and temperature.</w:t>
      </w:r>
    </w:p>
    <w:p w:rsidR="00D75405" w:rsidRPr="00B04DC3" w:rsidRDefault="00D75405" w:rsidP="00593305">
      <w:pPr>
        <w:pStyle w:val="para"/>
        <w:keepNext/>
        <w:rPr>
          <w:lang w:val="en-GB"/>
        </w:rPr>
      </w:pPr>
      <w:r w:rsidRPr="00B04DC3">
        <w:rPr>
          <w:lang w:val="en-GB"/>
        </w:rPr>
        <w:t>2.3.1.</w:t>
      </w:r>
      <w:r w:rsidRPr="00B04DC3">
        <w:rPr>
          <w:lang w:val="en-GB"/>
        </w:rPr>
        <w:tab/>
        <w:t>Data analysis</w:t>
      </w:r>
    </w:p>
    <w:p w:rsidR="00D75405" w:rsidRPr="00B04DC3" w:rsidRDefault="00D75405" w:rsidP="00D75405">
      <w:pPr>
        <w:pStyle w:val="para"/>
        <w:rPr>
          <w:lang w:val="en-GB"/>
        </w:rPr>
      </w:pPr>
      <w:r w:rsidRPr="00B04DC3">
        <w:rPr>
          <w:lang w:val="en-GB"/>
        </w:rPr>
        <w:tab/>
        <w:t>The air flowrate (Q</w:t>
      </w:r>
      <w:r w:rsidRPr="00B04DC3">
        <w:rPr>
          <w:vertAlign w:val="subscript"/>
          <w:lang w:val="en-GB"/>
        </w:rPr>
        <w:t>s</w:t>
      </w:r>
      <w:r w:rsidRPr="00B04DC3">
        <w:rPr>
          <w:lang w:val="en-GB"/>
        </w:rPr>
        <w:t>) at each restriction setting (minimum 8 settings) shall be calculated in standard m</w:t>
      </w:r>
      <w:r w:rsidRPr="00B04DC3">
        <w:rPr>
          <w:vertAlign w:val="superscript"/>
          <w:lang w:val="en-GB"/>
        </w:rPr>
        <w:t>3</w:t>
      </w:r>
      <w:r w:rsidRPr="00B04DC3">
        <w:rPr>
          <w:lang w:val="en-GB"/>
        </w:rPr>
        <w:t>/min from the flowmeter data using the manufacturer's prescribed method. The calibration coefficient shall be calculated from the calibration data for each setting as follows:</w:t>
      </w:r>
    </w:p>
    <w:p w:rsidR="00D75405" w:rsidRPr="00B04DC3" w:rsidRDefault="00593305" w:rsidP="00D75405">
      <w:pPr>
        <w:pStyle w:val="para"/>
        <w:ind w:firstLine="0"/>
        <w:rPr>
          <w:lang w:val="en-GB"/>
        </w:rPr>
      </w:pPr>
      <w:r w:rsidRPr="00593305">
        <w:rPr>
          <w:position w:val="-28"/>
          <w:lang w:val="en-GB"/>
        </w:rPr>
        <w:object w:dxaOrig="1500" w:dyaOrig="660">
          <v:shape id="_x0000_i1181" type="#_x0000_t75" style="width:75.6pt;height:33.6pt" o:ole="" fillcolor="window">
            <v:imagedata r:id="rId301" o:title=""/>
          </v:shape>
          <o:OLEObject Type="Embed" ProgID="Equation.3" ShapeID="_x0000_i1181" DrawAspect="Content" ObjectID="_1498392323" r:id="rId302"/>
        </w:object>
      </w:r>
    </w:p>
    <w:p w:rsidR="00D75405" w:rsidRPr="00B04DC3" w:rsidRDefault="00D75405" w:rsidP="00D75405">
      <w:pPr>
        <w:pStyle w:val="para"/>
        <w:rPr>
          <w:lang w:val="en-GB"/>
        </w:rPr>
      </w:pPr>
      <w:r w:rsidRPr="00B04DC3">
        <w:rPr>
          <w:lang w:val="en-GB"/>
        </w:rPr>
        <w:tab/>
      </w:r>
      <w:r w:rsidR="007622A6" w:rsidRPr="00B04DC3">
        <w:rPr>
          <w:lang w:val="en-GB"/>
        </w:rPr>
        <w:t>Where</w:t>
      </w:r>
      <w:r w:rsidR="00AE528D">
        <w:rPr>
          <w:lang w:val="en-GB"/>
        </w:rPr>
        <w:t>:</w:t>
      </w:r>
    </w:p>
    <w:p w:rsidR="00D75405" w:rsidRPr="00B04DC3" w:rsidRDefault="00D75405" w:rsidP="00D75405">
      <w:pPr>
        <w:pStyle w:val="a"/>
        <w:rPr>
          <w:lang w:val="en-GB"/>
        </w:rPr>
      </w:pPr>
      <w:r w:rsidRPr="00B04DC3">
        <w:rPr>
          <w:lang w:val="en-GB"/>
        </w:rPr>
        <w:t>q</w:t>
      </w:r>
      <w:r w:rsidRPr="00B04DC3">
        <w:rPr>
          <w:vertAlign w:val="subscript"/>
          <w:lang w:val="en-GB"/>
        </w:rPr>
        <w:t>vCVS</w:t>
      </w:r>
      <w:r w:rsidRPr="00B04DC3">
        <w:rPr>
          <w:lang w:val="en-GB"/>
        </w:rPr>
        <w:tab/>
        <w:t>=  air flow rate at standard conditions (101.3 kPa, 273 K), m</w:t>
      </w:r>
      <w:r w:rsidRPr="00B04DC3">
        <w:rPr>
          <w:vertAlign w:val="superscript"/>
          <w:lang w:val="en-GB"/>
        </w:rPr>
        <w:t>3</w:t>
      </w:r>
      <w:r w:rsidRPr="00B04DC3">
        <w:rPr>
          <w:lang w:val="en-GB"/>
        </w:rPr>
        <w:t>/s</w:t>
      </w:r>
    </w:p>
    <w:p w:rsidR="00D75405" w:rsidRPr="00B04DC3" w:rsidRDefault="00D75405" w:rsidP="00D75405">
      <w:pPr>
        <w:pStyle w:val="a"/>
        <w:rPr>
          <w:lang w:val="en-GB"/>
        </w:rPr>
      </w:pPr>
      <w:r w:rsidRPr="00B04DC3">
        <w:rPr>
          <w:lang w:val="en-GB"/>
        </w:rPr>
        <w:t>T</w:t>
      </w:r>
      <w:r w:rsidRPr="00B04DC3">
        <w:rPr>
          <w:lang w:val="en-GB"/>
        </w:rPr>
        <w:tab/>
        <w:t>=  temperature at the venturi inlet, K</w:t>
      </w:r>
    </w:p>
    <w:p w:rsidR="00D75405" w:rsidRPr="00B04DC3" w:rsidRDefault="00D75405" w:rsidP="00D75405">
      <w:pPr>
        <w:pStyle w:val="a"/>
        <w:rPr>
          <w:lang w:val="en-GB"/>
        </w:rPr>
      </w:pPr>
      <w:r w:rsidRPr="00B04DC3">
        <w:rPr>
          <w:lang w:val="en-GB"/>
        </w:rPr>
        <w:t>p</w:t>
      </w:r>
      <w:r w:rsidRPr="00B04DC3">
        <w:rPr>
          <w:vertAlign w:val="subscript"/>
          <w:lang w:val="en-GB"/>
        </w:rPr>
        <w:t>p</w:t>
      </w:r>
      <w:r w:rsidRPr="00B04DC3">
        <w:rPr>
          <w:lang w:val="en-GB"/>
        </w:rPr>
        <w:tab/>
        <w:t>=  absolute pressure at venturi inlet, kPa.</w:t>
      </w:r>
    </w:p>
    <w:p w:rsidR="00D75405" w:rsidRPr="00B04DC3" w:rsidRDefault="00D75405" w:rsidP="00D75405">
      <w:pPr>
        <w:pStyle w:val="para"/>
        <w:rPr>
          <w:lang w:val="en-GB"/>
        </w:rPr>
      </w:pPr>
      <w:r w:rsidRPr="00B04DC3">
        <w:rPr>
          <w:lang w:val="en-GB"/>
        </w:rPr>
        <w:tab/>
        <w:t>To determine the range of critical flow, K</w:t>
      </w:r>
      <w:r w:rsidRPr="00B04DC3">
        <w:rPr>
          <w:vertAlign w:val="subscript"/>
          <w:lang w:val="en-GB"/>
        </w:rPr>
        <w:t>v</w:t>
      </w:r>
      <w:r w:rsidRPr="00B04DC3">
        <w:rPr>
          <w:lang w:val="en-GB"/>
        </w:rPr>
        <w:t xml:space="preserve"> shall be plotted as a function of venturi inlet pressure. For critical (choked) flow, K</w:t>
      </w:r>
      <w:r w:rsidRPr="00B04DC3">
        <w:rPr>
          <w:vertAlign w:val="subscript"/>
          <w:lang w:val="en-GB"/>
        </w:rPr>
        <w:t>v</w:t>
      </w:r>
      <w:r w:rsidRPr="00B04DC3">
        <w:rPr>
          <w:lang w:val="en-GB"/>
        </w:rPr>
        <w:t xml:space="preserve"> will have a relatively constant value. As pressure decreases (vacuum increases), the venturi becomes unchoked and K</w:t>
      </w:r>
      <w:r w:rsidRPr="00B04DC3">
        <w:rPr>
          <w:vertAlign w:val="subscript"/>
          <w:lang w:val="en-GB"/>
        </w:rPr>
        <w:t>v</w:t>
      </w:r>
      <w:r w:rsidRPr="00B04DC3">
        <w:rPr>
          <w:lang w:val="en-GB"/>
        </w:rPr>
        <w:t xml:space="preserve"> decreases, which indicates that the CFV is operated outside the permissible range.</w:t>
      </w:r>
    </w:p>
    <w:p w:rsidR="00D75405" w:rsidRPr="00B04DC3" w:rsidRDefault="00D75405" w:rsidP="00D75405">
      <w:pPr>
        <w:pStyle w:val="para"/>
        <w:rPr>
          <w:lang w:val="en-GB"/>
        </w:rPr>
      </w:pPr>
      <w:r w:rsidRPr="00B04DC3">
        <w:rPr>
          <w:lang w:val="en-GB"/>
        </w:rPr>
        <w:tab/>
        <w:t>For a minimum of eight points in the region of critical flow, the average K</w:t>
      </w:r>
      <w:r w:rsidRPr="00B04DC3">
        <w:rPr>
          <w:vertAlign w:val="subscript"/>
          <w:lang w:val="en-GB"/>
        </w:rPr>
        <w:t>v</w:t>
      </w:r>
      <w:r w:rsidRPr="00B04DC3">
        <w:rPr>
          <w:lang w:val="en-GB"/>
        </w:rPr>
        <w:t xml:space="preserve"> and the standard deviation shall be calculated. The standard deviation shall not exceed ±0.3 per cent of the average K</w:t>
      </w:r>
      <w:r w:rsidRPr="00B04DC3">
        <w:rPr>
          <w:vertAlign w:val="subscript"/>
          <w:lang w:val="en-GB"/>
        </w:rPr>
        <w:t>V</w:t>
      </w:r>
      <w:r w:rsidRPr="00B04DC3">
        <w:rPr>
          <w:lang w:val="en-GB"/>
        </w:rPr>
        <w:t>.</w:t>
      </w:r>
    </w:p>
    <w:p w:rsidR="00D75405" w:rsidRPr="00B04DC3" w:rsidRDefault="00D75405" w:rsidP="00D75405">
      <w:pPr>
        <w:pStyle w:val="para"/>
        <w:rPr>
          <w:lang w:val="en-GB"/>
        </w:rPr>
      </w:pPr>
      <w:r w:rsidRPr="00B04DC3">
        <w:rPr>
          <w:lang w:val="en-GB"/>
        </w:rPr>
        <w:t>2.4.</w:t>
      </w:r>
      <w:r w:rsidRPr="00B04DC3">
        <w:rPr>
          <w:lang w:val="en-GB"/>
        </w:rPr>
        <w:tab/>
        <w:t>Calibration of the subsonic venturi (SSV)</w:t>
      </w:r>
    </w:p>
    <w:p w:rsidR="00D75405" w:rsidRPr="00B04DC3" w:rsidRDefault="00D75405" w:rsidP="00D75405">
      <w:pPr>
        <w:pStyle w:val="para"/>
        <w:rPr>
          <w:lang w:val="en-GB"/>
        </w:rPr>
      </w:pPr>
      <w:r w:rsidRPr="00B04DC3">
        <w:rPr>
          <w:lang w:val="en-GB"/>
        </w:rPr>
        <w:tab/>
        <w:t>Calibration of the SSV is based upon the flow equation for a subsonic venturi. Gas flow is a function of inlet pressure and temperature, pressure drop between the SSV inlet and throat.</w:t>
      </w:r>
    </w:p>
    <w:p w:rsidR="00D75405" w:rsidRPr="00B04DC3" w:rsidRDefault="00D75405" w:rsidP="00D75405">
      <w:pPr>
        <w:pStyle w:val="para"/>
        <w:rPr>
          <w:lang w:val="en-GB"/>
        </w:rPr>
      </w:pPr>
      <w:r w:rsidRPr="00B04DC3">
        <w:rPr>
          <w:lang w:val="en-GB"/>
        </w:rPr>
        <w:t>2.4.1.</w:t>
      </w:r>
      <w:r w:rsidRPr="00B04DC3">
        <w:rPr>
          <w:lang w:val="en-GB"/>
        </w:rPr>
        <w:tab/>
        <w:t>Data analysis</w:t>
      </w:r>
    </w:p>
    <w:p w:rsidR="00D75405" w:rsidRPr="00B04DC3" w:rsidRDefault="00D75405" w:rsidP="00D75405">
      <w:pPr>
        <w:pStyle w:val="para"/>
        <w:rPr>
          <w:lang w:val="en-GB"/>
        </w:rPr>
      </w:pPr>
      <w:r w:rsidRPr="00B04DC3">
        <w:rPr>
          <w:lang w:val="en-GB"/>
        </w:rPr>
        <w:tab/>
        <w:t>The air flowrate (Q</w:t>
      </w:r>
      <w:r w:rsidRPr="00B04DC3">
        <w:rPr>
          <w:vertAlign w:val="subscript"/>
          <w:lang w:val="en-GB"/>
        </w:rPr>
        <w:t>SSV</w:t>
      </w:r>
      <w:r w:rsidRPr="00B04DC3">
        <w:rPr>
          <w:lang w:val="en-GB"/>
        </w:rPr>
        <w:t>) at each restriction setting (minimum 16 settings) shall be calculated in standard m</w:t>
      </w:r>
      <w:r w:rsidRPr="00B04DC3">
        <w:rPr>
          <w:vertAlign w:val="superscript"/>
          <w:lang w:val="en-GB"/>
        </w:rPr>
        <w:t>3</w:t>
      </w:r>
      <w:r w:rsidRPr="00B04DC3">
        <w:rPr>
          <w:lang w:val="en-GB"/>
        </w:rPr>
        <w:t>/min from the flowmeter data using the manufacturer's prescribed method. The discharge coefficient shall be calculated from the calibration data for each setting as follows:</w:t>
      </w:r>
    </w:p>
    <w:p w:rsidR="00D75405" w:rsidRPr="00B04DC3" w:rsidRDefault="00D75405" w:rsidP="00D75405">
      <w:pPr>
        <w:pStyle w:val="para"/>
        <w:rPr>
          <w:lang w:val="en-GB"/>
        </w:rPr>
      </w:pPr>
      <w:r w:rsidRPr="00B04DC3">
        <w:rPr>
          <w:lang w:val="en-GB"/>
        </w:rPr>
        <w:tab/>
      </w:r>
      <w:r w:rsidRPr="00B04DC3">
        <w:rPr>
          <w:lang w:val="en-GB"/>
        </w:rPr>
        <w:tab/>
      </w:r>
      <w:r w:rsidR="00A905B7">
        <w:rPr>
          <w:lang w:val="en-GB"/>
        </w:rPr>
      </w:r>
      <w:r w:rsidR="00A905B7">
        <w:rPr>
          <w:lang w:val="en-GB"/>
        </w:rPr>
        <w:pict>
          <v:group id="_x0000_s3587" editas="canvas" style="width:260.2pt;height:47pt;mso-position-horizontal-relative:char;mso-position-vertical-relative:line" coordorigin="3402,11474" coordsize="5204,940">
            <o:lock v:ext="edit" aspectratio="t"/>
            <v:shape id="_x0000_s3588" type="#_x0000_t75" style="position:absolute;left:3402;top:11474;width:5204;height:940" o:preferrelative="f">
              <v:fill o:detectmouseclick="t"/>
              <v:path o:extrusionok="t" o:connecttype="none"/>
              <o:lock v:ext="edit" text="t"/>
            </v:shape>
            <v:line id="_x0000_s3589" style="position:absolute" from="5258,11940" to="5422,11940" strokeweight=".5pt"/>
            <v:rect id="_x0000_s3590" style="position:absolute;left:5459;top:11593;width:130;height:478;mso-wrap-style:none" filled="f" stroked="f">
              <v:textbox style="mso-fit-shape-to-text:t" inset="0,0,0,0">
                <w:txbxContent>
                  <w:p w:rsidR="00A905B7" w:rsidRPr="009C73CC" w:rsidRDefault="00A905B7">
                    <w:pPr>
                      <w:rPr>
                        <w:sz w:val="25"/>
                      </w:rPr>
                    </w:pPr>
                    <w:r w:rsidRPr="009C73CC">
                      <w:rPr>
                        <w:rFonts w:ascii="Symbol" w:hAnsi="Symbol" w:cs="Symbol"/>
                        <w:color w:val="000000"/>
                        <w:sz w:val="39"/>
                        <w:szCs w:val="38"/>
                      </w:rPr>
                      <w:t></w:t>
                    </w:r>
                  </w:p>
                </w:txbxContent>
              </v:textbox>
            </v:rect>
            <v:rect id="_x0000_s3591" style="position:absolute;left:6752;top:11593;width:130;height:478;mso-wrap-style:none" filled="f" stroked="f">
              <v:textbox style="mso-fit-shape-to-text:t" inset="0,0,0,0">
                <w:txbxContent>
                  <w:p w:rsidR="00A905B7" w:rsidRPr="009C73CC" w:rsidRDefault="00A905B7">
                    <w:pPr>
                      <w:rPr>
                        <w:sz w:val="25"/>
                      </w:rPr>
                    </w:pPr>
                    <w:r w:rsidRPr="009C73CC">
                      <w:rPr>
                        <w:rFonts w:ascii="Symbol" w:hAnsi="Symbol" w:cs="Symbol"/>
                        <w:color w:val="000000"/>
                        <w:sz w:val="39"/>
                        <w:szCs w:val="38"/>
                      </w:rPr>
                      <w:t></w:t>
                    </w:r>
                  </w:p>
                </w:txbxContent>
              </v:textbox>
            </v:rect>
            <v:line id="_x0000_s3592" style="position:absolute" from="7090,11940" to="8276,11940" strokeweight=".5pt"/>
            <v:line id="_x0000_s3593" style="position:absolute;flip:y" from="5035,12014" to="5063,12032" strokeweight=".5pt"/>
            <v:line id="_x0000_s3594" style="position:absolute" from="5063,12021" to="5097,12321" strokeweight=".95pt"/>
            <v:shape id="_x0000_s3595" style="position:absolute;left:5102;top:11524;width:3376;height:797" coordsize="1362,322" path="m,322l21,,1362,e" filled="f" strokeweight=".5pt">
              <v:path arrowok="t"/>
            </v:shape>
            <v:rect id="_x0000_s3596" style="position:absolute;left:8383;top:11955;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597" style="position:absolute;left:8383;top:1175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598" style="position:absolute;left:8383;top:1208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599" style="position:absolute;left:8383;top:1155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0" style="position:absolute;left:5171;top:11955;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1" style="position:absolute;left:5171;top:1175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2" style="position:absolute;left:5171;top:1208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3" style="position:absolute;left:5171;top:11557;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4" style="position:absolute;left:8299;top:11910;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5" style="position:absolute;left:8299;top:11713;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6" style="position:absolute;left:8299;top:12066;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7" style="position:absolute;left:8299;top:11576;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8" style="position:absolute;left:6983;top:11910;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09" style="position:absolute;left:6983;top:11713;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0" style="position:absolute;left:6983;top:12066;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1" style="position:absolute;left:6983;top:11576;width:96;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2" style="position:absolute;left:7239;top:11980;width:138;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3" style="position:absolute;left:6867;top:11784;width:113;height:532;mso-wrap-style:none" filled="f" stroked="f">
              <v:textbox style="mso-fit-shape-to-text:t" inset="0,0,0,0">
                <w:txbxContent>
                  <w:p w:rsidR="00A905B7" w:rsidRPr="009C73CC" w:rsidRDefault="00A905B7" w:rsidP="00D75405">
                    <w:pPr>
                      <w:autoSpaceDE w:val="0"/>
                      <w:autoSpaceDN w:val="0"/>
                      <w:adjustRightInd w:val="0"/>
                    </w:pPr>
                    <w:r w:rsidRPr="009C73CC">
                      <w:rPr>
                        <w:rFonts w:ascii="Symbol" w:hAnsi="Symbol" w:cs="Symbol"/>
                        <w:color w:val="000000"/>
                      </w:rPr>
                      <w:t></w:t>
                    </w:r>
                  </w:p>
                  <w:p w:rsidR="00A905B7" w:rsidRPr="009C73CC" w:rsidRDefault="00A905B7">
                    <w:pPr>
                      <w:rPr>
                        <w:sz w:val="25"/>
                      </w:rPr>
                    </w:pPr>
                  </w:p>
                </w:txbxContent>
              </v:textbox>
            </v:rect>
            <v:rect id="_x0000_s3614" style="position:absolute;left:6126;top:11784;width:138;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5" style="position:absolute;left:3923;top:11784;width:138;height:306;mso-wrap-style:none" filled="f" stroked="f">
              <v:textbox style="mso-fit-shape-to-text:t" inset="0,0,0,0">
                <w:txbxContent>
                  <w:p w:rsidR="00A905B7" w:rsidRPr="009C73CC" w:rsidRDefault="00A905B7">
                    <w:pPr>
                      <w:rPr>
                        <w:sz w:val="25"/>
                      </w:rPr>
                    </w:pPr>
                    <w:r w:rsidRPr="009C73CC">
                      <w:rPr>
                        <w:rFonts w:ascii="Symbol" w:hAnsi="Symbol" w:cs="Symbol"/>
                        <w:color w:val="000000"/>
                        <w:sz w:val="25"/>
                      </w:rPr>
                      <w:t></w:t>
                    </w:r>
                  </w:p>
                </w:txbxContent>
              </v:textbox>
            </v:rect>
            <v:rect id="_x0000_s3616" style="position:absolute;left:7838;top:11954;width:386;height:240;mso-wrap-style:none" filled="f" stroked="f">
              <v:textbox style="mso-fit-shape-to-text:t" inset="0,0,0,0">
                <w:txbxContent>
                  <w:p w:rsidR="00A905B7" w:rsidRPr="009C73CC" w:rsidRDefault="00A905B7">
                    <w:pPr>
                      <w:rPr>
                        <w:sz w:val="25"/>
                      </w:rPr>
                    </w:pPr>
                    <w:r>
                      <w:rPr>
                        <w:color w:val="000000"/>
                        <w:sz w:val="14"/>
                        <w:szCs w:val="14"/>
                      </w:rPr>
                      <w:t>1.4286</w:t>
                    </w:r>
                  </w:p>
                </w:txbxContent>
              </v:textbox>
            </v:rect>
            <v:rect id="_x0000_s3617" style="position:absolute;left:7759;top:12108;width:71;height:240;mso-wrap-style:none" filled="f" stroked="f">
              <v:textbox style="mso-fit-shape-to-text:t" inset="0,0,0,0">
                <w:txbxContent>
                  <w:p w:rsidR="00A905B7" w:rsidRPr="009C73CC" w:rsidRDefault="00A905B7">
                    <w:pPr>
                      <w:rPr>
                        <w:sz w:val="25"/>
                      </w:rPr>
                    </w:pPr>
                    <w:r>
                      <w:rPr>
                        <w:color w:val="000000"/>
                        <w:sz w:val="14"/>
                        <w:szCs w:val="14"/>
                      </w:rPr>
                      <w:t>p</w:t>
                    </w:r>
                  </w:p>
                </w:txbxContent>
              </v:textbox>
            </v:rect>
            <v:rect id="_x0000_s3618" style="position:absolute;left:7595;top:11954;width:71;height:240;mso-wrap-style:none" filled="f" stroked="f">
              <v:textbox style="mso-fit-shape-to-text:t" inset="0,0,0,0">
                <w:txbxContent>
                  <w:p w:rsidR="00A905B7" w:rsidRPr="009C73CC" w:rsidRDefault="00A905B7">
                    <w:pPr>
                      <w:rPr>
                        <w:sz w:val="25"/>
                      </w:rPr>
                    </w:pPr>
                    <w:r>
                      <w:rPr>
                        <w:color w:val="000000"/>
                        <w:sz w:val="14"/>
                        <w:szCs w:val="14"/>
                      </w:rPr>
                      <w:t>4</w:t>
                    </w:r>
                  </w:p>
                </w:txbxContent>
              </v:textbox>
            </v:rect>
            <v:rect id="_x0000_s3619" style="position:absolute;left:7471;top:12108;width:102;height:240;mso-wrap-style:none" filled="f" stroked="f">
              <v:textbox style="mso-fit-shape-to-text:t" inset="0,0,0,0">
                <w:txbxContent>
                  <w:p w:rsidR="00A905B7" w:rsidRPr="009C73CC" w:rsidRDefault="00A905B7">
                    <w:pPr>
                      <w:rPr>
                        <w:sz w:val="25"/>
                      </w:rPr>
                    </w:pPr>
                    <w:r>
                      <w:rPr>
                        <w:color w:val="000000"/>
                        <w:sz w:val="14"/>
                        <w:szCs w:val="14"/>
                      </w:rPr>
                      <w:t>D</w:t>
                    </w:r>
                  </w:p>
                </w:txbxContent>
              </v:textbox>
            </v:rect>
            <v:rect id="_x0000_s3620" style="position:absolute;left:6396;top:11759;width:386;height:240;mso-wrap-style:none" filled="f" stroked="f">
              <v:textbox style="mso-fit-shape-to-text:t" inset="0,0,0,0">
                <w:txbxContent>
                  <w:p w:rsidR="00A905B7" w:rsidRPr="009C73CC" w:rsidRDefault="00A905B7">
                    <w:pPr>
                      <w:rPr>
                        <w:sz w:val="25"/>
                      </w:rPr>
                    </w:pPr>
                    <w:r>
                      <w:rPr>
                        <w:color w:val="000000"/>
                        <w:sz w:val="14"/>
                        <w:szCs w:val="14"/>
                      </w:rPr>
                      <w:t>1.7143</w:t>
                    </w:r>
                  </w:p>
                </w:txbxContent>
              </v:textbox>
            </v:rect>
            <v:rect id="_x0000_s3621" style="position:absolute;left:6316;top:11912;width:71;height:240;mso-wrap-style:none" filled="f" stroked="f">
              <v:textbox style="mso-fit-shape-to-text:t" inset="0,0,0,0">
                <w:txbxContent>
                  <w:p w:rsidR="00A905B7" w:rsidRPr="009C73CC" w:rsidRDefault="00A905B7">
                    <w:pPr>
                      <w:rPr>
                        <w:sz w:val="25"/>
                      </w:rPr>
                    </w:pPr>
                    <w:r>
                      <w:rPr>
                        <w:color w:val="000000"/>
                        <w:sz w:val="14"/>
                        <w:szCs w:val="14"/>
                      </w:rPr>
                      <w:t>p</w:t>
                    </w:r>
                  </w:p>
                </w:txbxContent>
              </v:textbox>
            </v:rect>
            <v:rect id="_x0000_s3622" style="position:absolute;left:5692;top:11759;width:386;height:240;mso-wrap-style:none" filled="f" stroked="f">
              <v:textbox style="mso-fit-shape-to-text:t" inset="0,0,0,0">
                <w:txbxContent>
                  <w:p w:rsidR="00A905B7" w:rsidRPr="009C73CC" w:rsidRDefault="00A905B7">
                    <w:pPr>
                      <w:rPr>
                        <w:sz w:val="25"/>
                      </w:rPr>
                    </w:pPr>
                    <w:r>
                      <w:rPr>
                        <w:color w:val="000000"/>
                        <w:sz w:val="14"/>
                        <w:szCs w:val="14"/>
                      </w:rPr>
                      <w:t>1.4286</w:t>
                    </w:r>
                  </w:p>
                </w:txbxContent>
              </v:textbox>
            </v:rect>
            <v:rect id="_x0000_s3623" style="position:absolute;left:5612;top:11876;width:71;height:240;mso-wrap-style:none" filled="f" stroked="f">
              <v:textbox style="mso-fit-shape-to-text:t" inset="0,0,0,0">
                <w:txbxContent>
                  <w:p w:rsidR="00A905B7" w:rsidRPr="009C73CC" w:rsidRDefault="00A905B7">
                    <w:pPr>
                      <w:rPr>
                        <w:sz w:val="25"/>
                      </w:rPr>
                    </w:pPr>
                    <w:r>
                      <w:rPr>
                        <w:color w:val="000000"/>
                        <w:sz w:val="14"/>
                        <w:szCs w:val="14"/>
                      </w:rPr>
                      <w:t>p</w:t>
                    </w:r>
                  </w:p>
                </w:txbxContent>
              </v:textbox>
            </v:rect>
            <v:rect id="_x0000_s3624" style="position:absolute;left:4919;top:11912;width:71;height:240;mso-wrap-style:none" filled="f" stroked="f">
              <v:textbox style="mso-fit-shape-to-text:t" inset="0,0,0,0">
                <w:txbxContent>
                  <w:p w:rsidR="00A905B7" w:rsidRPr="009C73CC" w:rsidRDefault="00A905B7">
                    <w:pPr>
                      <w:rPr>
                        <w:sz w:val="25"/>
                      </w:rPr>
                    </w:pPr>
                    <w:r>
                      <w:rPr>
                        <w:color w:val="000000"/>
                        <w:sz w:val="14"/>
                        <w:szCs w:val="14"/>
                      </w:rPr>
                      <w:t>p</w:t>
                    </w:r>
                  </w:p>
                </w:txbxContent>
              </v:textbox>
            </v:rect>
            <v:rect id="_x0000_s3625" style="position:absolute;left:4685;top:11912;width:71;height:240;mso-wrap-style:none" filled="f" stroked="f">
              <v:textbox style="mso-fit-shape-to-text:t" inset="0,0,0,0">
                <w:txbxContent>
                  <w:p w:rsidR="00A905B7" w:rsidRPr="009C73CC" w:rsidRDefault="00A905B7">
                    <w:pPr>
                      <w:rPr>
                        <w:sz w:val="25"/>
                      </w:rPr>
                    </w:pPr>
                    <w:r>
                      <w:rPr>
                        <w:color w:val="000000"/>
                        <w:sz w:val="14"/>
                        <w:szCs w:val="14"/>
                      </w:rPr>
                      <w:t>d</w:t>
                    </w:r>
                  </w:p>
                </w:txbxContent>
              </v:textbox>
            </v:rect>
            <v:rect id="_x0000_s3626" style="position:absolute;left:4453;top:11766;width:71;height:240;mso-wrap-style:none" filled="f" stroked="f">
              <v:textbox style="mso-fit-shape-to-text:t" inset="0,0,0,0">
                <w:txbxContent>
                  <w:p w:rsidR="00A905B7" w:rsidRPr="009C73CC" w:rsidRDefault="00A905B7">
                    <w:pPr>
                      <w:rPr>
                        <w:sz w:val="25"/>
                      </w:rPr>
                    </w:pPr>
                    <w:r>
                      <w:rPr>
                        <w:color w:val="000000"/>
                        <w:sz w:val="14"/>
                        <w:szCs w:val="14"/>
                      </w:rPr>
                      <w:t>2</w:t>
                    </w:r>
                  </w:p>
                </w:txbxContent>
              </v:textbox>
            </v:rect>
            <v:rect id="_x0000_s3627" style="position:absolute;left:7633;top:11674;width:126;height:287;mso-wrap-style:none" filled="f" stroked="f">
              <v:textbox style="mso-fit-shape-to-text:t" inset="0,0,0,0">
                <w:txbxContent>
                  <w:p w:rsidR="00A905B7" w:rsidRPr="009C73CC" w:rsidRDefault="00A905B7">
                    <w:pPr>
                      <w:rPr>
                        <w:sz w:val="25"/>
                      </w:rPr>
                    </w:pPr>
                    <w:r w:rsidRPr="009C73CC">
                      <w:rPr>
                        <w:color w:val="000000"/>
                        <w:sz w:val="25"/>
                      </w:rPr>
                      <w:t>1</w:t>
                    </w:r>
                  </w:p>
                </w:txbxContent>
              </v:textbox>
            </v:rect>
            <v:rect id="_x0000_s3628" style="position:absolute;left:5288;top:11674;width:126;height:287;mso-wrap-style:none" filled="f" stroked="f">
              <v:textbox style="mso-fit-shape-to-text:t" inset="0,0,0,0">
                <w:txbxContent>
                  <w:p w:rsidR="00A905B7" w:rsidRPr="009C73CC" w:rsidRDefault="00A905B7">
                    <w:pPr>
                      <w:rPr>
                        <w:sz w:val="25"/>
                      </w:rPr>
                    </w:pPr>
                    <w:r w:rsidRPr="009C73CC">
                      <w:rPr>
                        <w:color w:val="000000"/>
                        <w:sz w:val="25"/>
                      </w:rPr>
                      <w:t>1</w:t>
                    </w:r>
                  </w:p>
                </w:txbxContent>
              </v:textbox>
            </v:rect>
            <v:rect id="_x0000_s3629" style="position:absolute;left:7689;top:12002;width:84;height:287;mso-wrap-style:none" filled="f" stroked="f">
              <v:textbox style="mso-fit-shape-to-text:t" inset="0,0,0,0">
                <w:txbxContent>
                  <w:p w:rsidR="00A905B7" w:rsidRPr="001A1975" w:rsidRDefault="00A905B7">
                    <w:pPr>
                      <w:rPr>
                        <w:sz w:val="25"/>
                      </w:rPr>
                    </w:pPr>
                    <w:r w:rsidRPr="001A1975">
                      <w:rPr>
                        <w:iCs/>
                        <w:color w:val="000000"/>
                        <w:sz w:val="25"/>
                      </w:rPr>
                      <w:t>r</w:t>
                    </w:r>
                  </w:p>
                </w:txbxContent>
              </v:textbox>
            </v:rect>
            <v:rect id="_x0000_s3630" style="position:absolute;left:7402;top:12002;width:84;height:287;mso-wrap-style:none" filled="f" stroked="f">
              <v:textbox style="mso-fit-shape-to-text:t" inset="0,0,0,0">
                <w:txbxContent>
                  <w:p w:rsidR="00A905B7" w:rsidRPr="001A1975" w:rsidRDefault="00A905B7">
                    <w:pPr>
                      <w:rPr>
                        <w:sz w:val="25"/>
                      </w:rPr>
                    </w:pPr>
                    <w:r w:rsidRPr="001A1975">
                      <w:rPr>
                        <w:iCs/>
                        <w:color w:val="000000"/>
                        <w:sz w:val="25"/>
                      </w:rPr>
                      <w:t>r</w:t>
                    </w:r>
                  </w:p>
                </w:txbxContent>
              </v:textbox>
            </v:rect>
            <v:rect id="_x0000_s3631" style="position:absolute;left:6247;top:11806;width:84;height:287;mso-wrap-style:none" filled="f" stroked="f">
              <v:textbox style="mso-fit-shape-to-text:t" inset="0,0,0,0">
                <w:txbxContent>
                  <w:p w:rsidR="00A905B7" w:rsidRPr="001A1975" w:rsidRDefault="00A905B7">
                    <w:pPr>
                      <w:rPr>
                        <w:sz w:val="25"/>
                      </w:rPr>
                    </w:pPr>
                    <w:r w:rsidRPr="001A1975">
                      <w:rPr>
                        <w:iCs/>
                        <w:color w:val="000000"/>
                        <w:sz w:val="25"/>
                      </w:rPr>
                      <w:t>r</w:t>
                    </w:r>
                  </w:p>
                </w:txbxContent>
              </v:textbox>
            </v:rect>
            <v:rect id="_x0000_s3632" style="position:absolute;left:5536;top:11806;width:84;height:287;mso-wrap-style:none" filled="f" stroked="f">
              <v:textbox style="mso-fit-shape-to-text:t" inset="0,0,0,0">
                <w:txbxContent>
                  <w:p w:rsidR="00A905B7" w:rsidRPr="001A1975" w:rsidRDefault="00A905B7">
                    <w:pPr>
                      <w:rPr>
                        <w:sz w:val="25"/>
                      </w:rPr>
                    </w:pPr>
                    <w:r w:rsidRPr="001A1975">
                      <w:rPr>
                        <w:iCs/>
                        <w:color w:val="000000"/>
                        <w:sz w:val="25"/>
                      </w:rPr>
                      <w:t>r</w:t>
                    </w:r>
                  </w:p>
                </w:txbxContent>
              </v:textbox>
            </v:rect>
            <v:rect id="_x0000_s3633" style="position:absolute;left:5265;top:11969;width:153;height:287;mso-wrap-style:none" filled="f" stroked="f">
              <v:textbox style="mso-fit-shape-to-text:t" inset="0,0,0,0">
                <w:txbxContent>
                  <w:p w:rsidR="00A905B7" w:rsidRPr="001A1975" w:rsidRDefault="00A905B7">
                    <w:pPr>
                      <w:rPr>
                        <w:sz w:val="25"/>
                      </w:rPr>
                    </w:pPr>
                    <w:r w:rsidRPr="001A1975">
                      <w:rPr>
                        <w:iCs/>
                        <w:color w:val="000000"/>
                        <w:sz w:val="25"/>
                      </w:rPr>
                      <w:t>T</w:t>
                    </w:r>
                  </w:p>
                </w:txbxContent>
              </v:textbox>
            </v:rect>
            <v:rect id="_x0000_s3634" style="position:absolute;left:4802;top:11806;width:126;height:287;mso-wrap-style:none" filled="f" stroked="f">
              <v:textbox style="mso-fit-shape-to-text:t" inset="0,0,0,0">
                <w:txbxContent>
                  <w:p w:rsidR="00A905B7" w:rsidRPr="001A1975" w:rsidRDefault="00A905B7">
                    <w:pPr>
                      <w:rPr>
                        <w:sz w:val="25"/>
                      </w:rPr>
                    </w:pPr>
                    <w:r w:rsidRPr="001A1975">
                      <w:rPr>
                        <w:iCs/>
                        <w:color w:val="000000"/>
                        <w:sz w:val="25"/>
                      </w:rPr>
                      <w:t>p</w:t>
                    </w:r>
                  </w:p>
                </w:txbxContent>
              </v:textbox>
            </v:rect>
            <v:rect id="_x0000_s3635" style="position:absolute;left:4537;top:11806;width:167;height:287;mso-wrap-style:none" filled="f" stroked="f">
              <v:textbox style="mso-fit-shape-to-text:t" inset="0,0,0,0">
                <w:txbxContent>
                  <w:p w:rsidR="00A905B7" w:rsidRPr="001A1975" w:rsidRDefault="00A905B7">
                    <w:pPr>
                      <w:rPr>
                        <w:sz w:val="25"/>
                      </w:rPr>
                    </w:pPr>
                    <w:r w:rsidRPr="001A1975">
                      <w:rPr>
                        <w:iCs/>
                        <w:color w:val="000000"/>
                        <w:sz w:val="25"/>
                      </w:rPr>
                      <w:t>C</w:t>
                    </w:r>
                  </w:p>
                </w:txbxContent>
              </v:textbox>
            </v:rect>
            <v:rect id="_x0000_s3636" style="position:absolute;left:4309;top:11806;width:126;height:287;mso-wrap-style:none" filled="f" stroked="f">
              <v:textbox style="mso-fit-shape-to-text:t" inset="0,0,0,0">
                <w:txbxContent>
                  <w:p w:rsidR="00A905B7" w:rsidRPr="001A1975" w:rsidRDefault="00A905B7">
                    <w:pPr>
                      <w:rPr>
                        <w:sz w:val="25"/>
                      </w:rPr>
                    </w:pPr>
                    <w:r w:rsidRPr="001A1975">
                      <w:rPr>
                        <w:iCs/>
                        <w:color w:val="000000"/>
                        <w:sz w:val="25"/>
                      </w:rPr>
                      <w:t>d</w:t>
                    </w:r>
                  </w:p>
                </w:txbxContent>
              </v:textbox>
            </v:rect>
            <v:rect id="_x0000_s3637" style="position:absolute;left:4101;top:11806;width:181;height:287;mso-wrap-style:none" filled="f" stroked="f">
              <v:textbox style="mso-fit-shape-to-text:t" inset="0,0,0,0">
                <w:txbxContent>
                  <w:p w:rsidR="00A905B7" w:rsidRPr="001A1975" w:rsidRDefault="00A905B7">
                    <w:pPr>
                      <w:rPr>
                        <w:sz w:val="25"/>
                      </w:rPr>
                    </w:pPr>
                    <w:r w:rsidRPr="001A1975">
                      <w:rPr>
                        <w:iCs/>
                        <w:color w:val="000000"/>
                        <w:sz w:val="25"/>
                      </w:rPr>
                      <w:t>A</w:t>
                    </w:r>
                  </w:p>
                </w:txbxContent>
              </v:textbox>
            </v:rect>
            <v:rect id="_x0000_s3638" style="position:absolute;left:3429;top:11806;width:181;height:287;mso-wrap-style:none" filled="f" stroked="f">
              <v:textbox style="mso-fit-shape-to-text:t" inset="0,0,0,0">
                <w:txbxContent>
                  <w:p w:rsidR="00A905B7" w:rsidRPr="001A1975" w:rsidRDefault="00A905B7">
                    <w:pPr>
                      <w:rPr>
                        <w:sz w:val="25"/>
                      </w:rPr>
                    </w:pPr>
                    <w:r w:rsidRPr="001A1975">
                      <w:rPr>
                        <w:iCs/>
                        <w:color w:val="000000"/>
                        <w:sz w:val="25"/>
                      </w:rPr>
                      <w:t>Q</w:t>
                    </w:r>
                  </w:p>
                </w:txbxContent>
              </v:textbox>
            </v:rect>
            <v:rect id="_x0000_s3639" style="position:absolute;left:3590;top:11912;width:257;height:240;mso-wrap-style:none" filled="f" stroked="f">
              <v:textbox style="mso-fit-shape-to-text:t" inset="0,0,0,0">
                <w:txbxContent>
                  <w:p w:rsidR="00A905B7" w:rsidRPr="001A1975" w:rsidRDefault="00A905B7">
                    <w:pPr>
                      <w:rPr>
                        <w:sz w:val="25"/>
                      </w:rPr>
                    </w:pPr>
                    <w:r w:rsidRPr="001A1975">
                      <w:rPr>
                        <w:iCs/>
                        <w:color w:val="000000"/>
                        <w:sz w:val="14"/>
                        <w:szCs w:val="14"/>
                      </w:rPr>
                      <w:t>SSV</w:t>
                    </w:r>
                  </w:p>
                </w:txbxContent>
              </v:textbox>
            </v:rect>
            <v:rect id="_x0000_s3640" style="position:absolute;left:7094;top:11997;width:126;height:287;mso-wrap-style:none" filled="f" stroked="f">
              <v:textbox style="mso-fit-shape-to-text:t" inset="0,0,0,0">
                <w:txbxContent>
                  <w:p w:rsidR="00A905B7" w:rsidRPr="00C10398" w:rsidRDefault="00A905B7">
                    <w:pPr>
                      <w:rPr>
                        <w:sz w:val="25"/>
                      </w:rPr>
                    </w:pPr>
                    <w:r w:rsidRPr="00C10398">
                      <w:rPr>
                        <w:bCs/>
                        <w:color w:val="000000"/>
                        <w:sz w:val="25"/>
                      </w:rPr>
                      <w:t>1</w:t>
                    </w:r>
                  </w:p>
                </w:txbxContent>
              </v:textbox>
            </v:rect>
            <v:rect id="_x0000_s3641" style="position:absolute;left:4217;top:11910;width:71;height:240;mso-wrap-style:none" filled="f" stroked="f">
              <v:textbox style="mso-fit-shape-to-text:t" inset="0,0,0,0">
                <w:txbxContent>
                  <w:p w:rsidR="00A905B7" w:rsidRPr="009C73CC" w:rsidRDefault="00A905B7">
                    <w:pPr>
                      <w:rPr>
                        <w:sz w:val="25"/>
                      </w:rPr>
                    </w:pPr>
                    <w:r>
                      <w:rPr>
                        <w:b/>
                        <w:bCs/>
                        <w:color w:val="000000"/>
                        <w:sz w:val="14"/>
                        <w:szCs w:val="14"/>
                      </w:rPr>
                      <w:t>0</w:t>
                    </w:r>
                  </w:p>
                </w:txbxContent>
              </v:textbox>
            </v:rect>
            <w10:wrap type="none"/>
            <w10:anchorlock/>
          </v:group>
        </w:pict>
      </w:r>
    </w:p>
    <w:p w:rsidR="00D75405" w:rsidRPr="00B04DC3" w:rsidRDefault="00D75405" w:rsidP="00D75405">
      <w:pPr>
        <w:pStyle w:val="para"/>
        <w:rPr>
          <w:lang w:val="en-GB"/>
        </w:rPr>
      </w:pPr>
      <w:r w:rsidRPr="00B04DC3">
        <w:rPr>
          <w:lang w:val="en-GB"/>
        </w:rPr>
        <w:tab/>
      </w:r>
      <w:r w:rsidR="007622A6" w:rsidRPr="00B04DC3">
        <w:rPr>
          <w:lang w:val="en-GB"/>
        </w:rPr>
        <w:t>Where</w:t>
      </w:r>
      <w:r w:rsidRPr="00B04DC3">
        <w:rPr>
          <w:lang w:val="en-GB"/>
        </w:rPr>
        <w:t>:</w:t>
      </w:r>
    </w:p>
    <w:p w:rsidR="00D75405" w:rsidRPr="00B04DC3" w:rsidRDefault="00D75405" w:rsidP="00D75405">
      <w:pPr>
        <w:pStyle w:val="para"/>
        <w:tabs>
          <w:tab w:val="left" w:pos="2835"/>
          <w:tab w:val="left" w:pos="3119"/>
        </w:tabs>
        <w:rPr>
          <w:lang w:val="en-GB"/>
        </w:rPr>
      </w:pPr>
      <w:r w:rsidRPr="00B04DC3">
        <w:rPr>
          <w:lang w:val="en-GB"/>
        </w:rPr>
        <w:tab/>
        <w:t>Q</w:t>
      </w:r>
      <w:r w:rsidRPr="00B04DC3">
        <w:rPr>
          <w:vertAlign w:val="subscript"/>
          <w:lang w:val="en-GB"/>
        </w:rPr>
        <w:t>SSV</w:t>
      </w:r>
      <w:r w:rsidRPr="00B04DC3">
        <w:rPr>
          <w:lang w:val="en-GB"/>
        </w:rPr>
        <w:tab/>
        <w:t>=</w:t>
      </w:r>
      <w:r w:rsidRPr="00B04DC3">
        <w:rPr>
          <w:lang w:val="en-GB"/>
        </w:rPr>
        <w:tab/>
        <w:t>air flow rate at standard conditions (101.3 kPa, 273 K), m</w:t>
      </w:r>
      <w:r w:rsidRPr="00B04DC3">
        <w:rPr>
          <w:vertAlign w:val="superscript"/>
          <w:lang w:val="en-GB"/>
        </w:rPr>
        <w:t>3</w:t>
      </w:r>
      <w:r w:rsidRPr="00B04DC3">
        <w:rPr>
          <w:lang w:val="en-GB"/>
        </w:rPr>
        <w:t>/s</w:t>
      </w:r>
    </w:p>
    <w:p w:rsidR="00D75405" w:rsidRPr="00B04DC3" w:rsidRDefault="00D75405" w:rsidP="00D75405">
      <w:pPr>
        <w:pStyle w:val="para"/>
        <w:tabs>
          <w:tab w:val="left" w:pos="2835"/>
          <w:tab w:val="left" w:pos="3119"/>
        </w:tabs>
        <w:rPr>
          <w:lang w:val="en-GB"/>
        </w:rPr>
      </w:pPr>
      <w:r w:rsidRPr="00B04DC3">
        <w:rPr>
          <w:lang w:val="en-GB"/>
        </w:rPr>
        <w:tab/>
        <w:t>T</w:t>
      </w:r>
      <w:r w:rsidRPr="00B04DC3">
        <w:rPr>
          <w:lang w:val="en-GB"/>
        </w:rPr>
        <w:tab/>
        <w:t>=</w:t>
      </w:r>
      <w:r w:rsidRPr="00B04DC3">
        <w:rPr>
          <w:lang w:val="en-GB"/>
        </w:rPr>
        <w:tab/>
        <w:t>temperature at the venturi inlet, K</w:t>
      </w:r>
    </w:p>
    <w:p w:rsidR="00D75405" w:rsidRPr="00B04DC3" w:rsidRDefault="00D75405" w:rsidP="00D75405">
      <w:pPr>
        <w:pStyle w:val="para"/>
        <w:tabs>
          <w:tab w:val="left" w:pos="2835"/>
          <w:tab w:val="left" w:pos="3119"/>
        </w:tabs>
        <w:rPr>
          <w:lang w:val="en-GB"/>
        </w:rPr>
      </w:pPr>
      <w:r w:rsidRPr="00B04DC3">
        <w:rPr>
          <w:lang w:val="en-GB"/>
        </w:rPr>
        <w:tab/>
        <w:t>d</w:t>
      </w:r>
      <w:r w:rsidRPr="00B04DC3">
        <w:rPr>
          <w:lang w:val="en-GB"/>
        </w:rPr>
        <w:tab/>
        <w:t>=</w:t>
      </w:r>
      <w:r w:rsidRPr="00B04DC3">
        <w:rPr>
          <w:lang w:val="en-GB"/>
        </w:rPr>
        <w:tab/>
        <w:t>diameter of the SSV throat, m</w:t>
      </w:r>
    </w:p>
    <w:p w:rsidR="00D75405" w:rsidRPr="00B04DC3" w:rsidRDefault="00D75405" w:rsidP="00D75405">
      <w:pPr>
        <w:pStyle w:val="para"/>
        <w:tabs>
          <w:tab w:val="left" w:pos="2835"/>
          <w:tab w:val="left" w:pos="3119"/>
        </w:tabs>
        <w:rPr>
          <w:lang w:val="en-GB"/>
        </w:rPr>
      </w:pPr>
      <w:r w:rsidRPr="00B04DC3">
        <w:rPr>
          <w:lang w:val="en-GB"/>
        </w:rPr>
        <w:tab/>
        <w:t>r</w:t>
      </w:r>
      <w:r w:rsidRPr="00B04DC3">
        <w:rPr>
          <w:vertAlign w:val="subscript"/>
          <w:lang w:val="en-GB"/>
        </w:rPr>
        <w:t>p</w:t>
      </w:r>
      <w:r w:rsidRPr="00B04DC3">
        <w:rPr>
          <w:lang w:val="en-GB"/>
        </w:rPr>
        <w:tab/>
        <w:t>=</w:t>
      </w:r>
      <w:r w:rsidRPr="00B04DC3">
        <w:rPr>
          <w:lang w:val="en-GB"/>
        </w:rPr>
        <w:tab/>
        <w:t xml:space="preserve">ratio of the SSV throat to inlet absolute, static pressure = </w:t>
      </w:r>
      <w:r w:rsidR="00C10398" w:rsidRPr="00B04DC3">
        <w:rPr>
          <w:position w:val="-32"/>
          <w:lang w:val="en-GB"/>
        </w:rPr>
        <w:object w:dxaOrig="680" w:dyaOrig="700">
          <v:shape id="_x0000_i1183" type="#_x0000_t75" style="width:33.6pt;height:35.4pt" o:ole="">
            <v:imagedata r:id="rId303" o:title=""/>
          </v:shape>
          <o:OLEObject Type="Embed" ProgID="Equation.3" ShapeID="_x0000_i1183" DrawAspect="Content" ObjectID="_1498392324" r:id="rId304"/>
        </w:object>
      </w:r>
    </w:p>
    <w:p w:rsidR="00D75405" w:rsidRPr="00B04DC3" w:rsidRDefault="00D75405" w:rsidP="00D75405">
      <w:pPr>
        <w:pStyle w:val="para"/>
        <w:tabs>
          <w:tab w:val="left" w:pos="2835"/>
          <w:tab w:val="left" w:pos="3119"/>
        </w:tabs>
        <w:rPr>
          <w:spacing w:val="-4"/>
          <w:lang w:val="en-GB"/>
        </w:rPr>
      </w:pPr>
      <w:r w:rsidRPr="00B04DC3">
        <w:rPr>
          <w:lang w:val="en-GB"/>
        </w:rPr>
        <w:tab/>
        <w:t>r</w:t>
      </w:r>
      <w:r w:rsidRPr="00B04DC3">
        <w:rPr>
          <w:vertAlign w:val="subscript"/>
          <w:lang w:val="en-GB"/>
        </w:rPr>
        <w:t>D</w:t>
      </w:r>
      <w:r w:rsidRPr="00B04DC3">
        <w:rPr>
          <w:lang w:val="en-GB"/>
        </w:rPr>
        <w:tab/>
        <w:t>=</w:t>
      </w:r>
      <w:r w:rsidRPr="00B04DC3">
        <w:rPr>
          <w:lang w:val="en-GB"/>
        </w:rPr>
        <w:tab/>
      </w:r>
      <w:r w:rsidRPr="00B04DC3">
        <w:rPr>
          <w:spacing w:val="-4"/>
          <w:lang w:val="en-GB"/>
        </w:rPr>
        <w:t>ratio of the SSV throat diameter, d, to the inlet pipe inner diameter D.</w:t>
      </w:r>
    </w:p>
    <w:p w:rsidR="00D75405" w:rsidRPr="00B04DC3" w:rsidRDefault="00D75405" w:rsidP="00D75405">
      <w:pPr>
        <w:pStyle w:val="para"/>
        <w:rPr>
          <w:lang w:val="en-GB"/>
        </w:rPr>
      </w:pPr>
      <w:r w:rsidRPr="00B04DC3">
        <w:rPr>
          <w:lang w:val="en-GB"/>
        </w:rPr>
        <w:tab/>
        <w:t>To determine the range of subsonic flow, C</w:t>
      </w:r>
      <w:r w:rsidRPr="00B04DC3">
        <w:rPr>
          <w:vertAlign w:val="subscript"/>
          <w:lang w:val="en-GB"/>
        </w:rPr>
        <w:t>d</w:t>
      </w:r>
      <w:r w:rsidRPr="00B04DC3">
        <w:rPr>
          <w:lang w:val="en-GB"/>
        </w:rPr>
        <w:t xml:space="preserve"> shall be plotted as a function of Reynolds number at the SSV throat. The Re at the SSV throat is calculated with the following formula:</w:t>
      </w:r>
    </w:p>
    <w:p w:rsidR="00D75405" w:rsidRPr="00B04DC3" w:rsidRDefault="00D75405" w:rsidP="00D75405">
      <w:pPr>
        <w:pStyle w:val="para"/>
        <w:rPr>
          <w:lang w:val="en-GB"/>
        </w:rPr>
      </w:pPr>
      <w:r w:rsidRPr="00B04DC3">
        <w:rPr>
          <w:lang w:val="en-GB"/>
        </w:rPr>
        <w:tab/>
      </w:r>
      <w:r w:rsidRPr="00B04DC3">
        <w:rPr>
          <w:lang w:val="en-GB"/>
        </w:rPr>
        <w:tab/>
      </w:r>
      <w:r w:rsidR="00A905B7">
        <w:rPr>
          <w:lang w:val="en-GB"/>
        </w:rPr>
      </w:r>
      <w:r w:rsidR="00A905B7">
        <w:rPr>
          <w:lang w:val="en-GB"/>
        </w:rPr>
        <w:pict>
          <v:group id="_x0000_s3213" editas="canvas" style="width:77.4pt;height:40.8pt;mso-position-horizontal-relative:char;mso-position-vertical-relative:line" coordsize="1548,816">
            <o:lock v:ext="edit" aspectratio="t"/>
            <v:shape id="_x0000_s3214" type="#_x0000_t75" style="position:absolute;width:1548;height:816" o:preferrelative="f">
              <v:fill o:detectmouseclick="t"/>
              <v:path o:extrusionok="t" o:connecttype="none"/>
              <o:lock v:ext="edit" text="t"/>
            </v:shape>
            <v:line id="_x0000_s3215" style="position:absolute" from="857,420" to="1505,420" strokeweight=".5pt"/>
            <v:rect id="_x0000_s3216" style="position:absolute;left:1164;top:427;width:116;height:245;mso-wrap-style:none" filled="f" stroked="f">
              <v:textbox style="mso-fit-shape-to-text:t" inset="0,0,0,0">
                <w:txbxContent>
                  <w:p w:rsidR="00A905B7" w:rsidRPr="00DD22B8" w:rsidRDefault="00A905B7">
                    <w:r w:rsidRPr="00DD22B8">
                      <w:rPr>
                        <w:rFonts w:ascii="Symbol" w:hAnsi="Symbol" w:cs="Symbol"/>
                        <w:iCs/>
                        <w:color w:val="000000"/>
                      </w:rPr>
                      <w:t></w:t>
                    </w:r>
                  </w:p>
                </w:txbxContent>
              </v:textbox>
            </v:rect>
            <v:rect id="_x0000_s3217" style="position:absolute;left:1044;top:450;width:101;height:240;mso-wrap-style:none" filled="f" stroked="f">
              <v:textbox style="mso-fit-shape-to-text:t" inset="0,0,0,0">
                <w:txbxContent>
                  <w:p w:rsidR="00A905B7" w:rsidRPr="00C10398" w:rsidRDefault="00A905B7">
                    <w:r w:rsidRPr="00C10398">
                      <w:rPr>
                        <w:iCs/>
                        <w:color w:val="000000"/>
                      </w:rPr>
                      <w:t>d</w:t>
                    </w:r>
                  </w:p>
                </w:txbxContent>
              </v:textbox>
            </v:rect>
            <v:rect id="_x0000_s3218" style="position:absolute;left:1042;top:162;width:367;height:198;mso-wrap-style:none" filled="f" stroked="f">
              <v:textbox inset="0,0,0,0">
                <w:txbxContent>
                  <w:p w:rsidR="00A905B7" w:rsidRPr="00DD22B8" w:rsidRDefault="00A905B7">
                    <w:r w:rsidRPr="00C10398">
                      <w:rPr>
                        <w:iCs/>
                        <w:color w:val="000000"/>
                      </w:rPr>
                      <w:t>S</w:t>
                    </w:r>
                    <w:r w:rsidRPr="00DD22B8">
                      <w:rPr>
                        <w:iCs/>
                        <w:color w:val="000000"/>
                      </w:rPr>
                      <w:t>SV</w:t>
                    </w:r>
                  </w:p>
                </w:txbxContent>
              </v:textbox>
            </v:rect>
            <v:rect id="_x0000_s3219" style="position:absolute;left:864;top:26;width:145;height:240;mso-wrap-style:none" filled="f" stroked="f">
              <v:textbox style="mso-fit-shape-to-text:t" inset="0,0,0,0">
                <w:txbxContent>
                  <w:p w:rsidR="00A905B7" w:rsidRPr="00DD22B8" w:rsidRDefault="00A905B7">
                    <w:r w:rsidRPr="00DD22B8">
                      <w:rPr>
                        <w:iCs/>
                        <w:color w:val="000000"/>
                      </w:rPr>
                      <w:t>Q</w:t>
                    </w:r>
                  </w:p>
                </w:txbxContent>
              </v:textbox>
            </v:rect>
            <v:rect id="_x0000_s3220" style="position:absolute;left:581;top:264;width:145;height:240;mso-wrap-style:none" filled="f" stroked="f">
              <v:textbox style="mso-fit-shape-to-text:t" inset="0,0,0,0">
                <w:txbxContent>
                  <w:p w:rsidR="00A905B7" w:rsidRPr="001A1975" w:rsidRDefault="00A905B7">
                    <w:r w:rsidRPr="001A1975">
                      <w:rPr>
                        <w:iCs/>
                        <w:color w:val="000000"/>
                      </w:rPr>
                      <w:t>A</w:t>
                    </w:r>
                  </w:p>
                </w:txbxContent>
              </v:textbox>
            </v:rect>
            <v:rect id="_x0000_s3221" style="position:absolute;left:691;top:400;width:101;height:240;mso-wrap-style:none" filled="f" stroked="f">
              <v:textbox style="mso-fit-shape-to-text:t" inset="0,0,0,0">
                <w:txbxContent>
                  <w:p w:rsidR="00A905B7" w:rsidRPr="00490195" w:rsidRDefault="00A905B7">
                    <w:r w:rsidRPr="00490195">
                      <w:rPr>
                        <w:color w:val="000000"/>
                      </w:rPr>
                      <w:t>1</w:t>
                    </w:r>
                  </w:p>
                </w:txbxContent>
              </v:textbox>
            </v:rect>
            <v:rect id="_x0000_s3222" style="position:absolute;left:36;top:264;width:223;height:240;mso-wrap-style:none" filled="f" stroked="f">
              <v:textbox style="mso-fit-shape-to-text:t" inset="0,0,0,0">
                <w:txbxContent>
                  <w:p w:rsidR="00A905B7" w:rsidRPr="00490195" w:rsidRDefault="00A905B7">
                    <w:r w:rsidRPr="00490195">
                      <w:rPr>
                        <w:color w:val="000000"/>
                      </w:rPr>
                      <w:t>Re</w:t>
                    </w:r>
                  </w:p>
                </w:txbxContent>
              </v:textbox>
            </v:rect>
            <v:rect id="_x0000_s3223" style="position:absolute;left:367;top:241;width:110;height:245;mso-wrap-style:none" filled="f" stroked="f">
              <v:textbox style="mso-fit-shape-to-text:t" inset="0,0,0,0">
                <w:txbxContent>
                  <w:p w:rsidR="00A905B7" w:rsidRPr="00490195" w:rsidRDefault="00A905B7">
                    <w:r w:rsidRPr="00490195">
                      <w:rPr>
                        <w:rFonts w:ascii="Symbol" w:hAnsi="Symbol" w:cs="Symbol"/>
                        <w:color w:val="000000"/>
                      </w:rPr>
                      <w:t></w:t>
                    </w:r>
                  </w:p>
                </w:txbxContent>
              </v:textbox>
            </v:rect>
            <w10:wrap type="none"/>
            <w10:anchorlock/>
          </v:group>
        </w:pict>
      </w:r>
    </w:p>
    <w:p w:rsidR="00D75405" w:rsidRPr="00B04DC3" w:rsidRDefault="00D75405" w:rsidP="00D75405">
      <w:pPr>
        <w:pStyle w:val="para"/>
        <w:rPr>
          <w:lang w:val="en-GB"/>
        </w:rPr>
      </w:pPr>
      <w:r w:rsidRPr="00B04DC3">
        <w:rPr>
          <w:lang w:val="en-GB"/>
        </w:rPr>
        <w:tab/>
      </w:r>
      <w:r w:rsidR="007622A6" w:rsidRPr="00B04DC3">
        <w:rPr>
          <w:lang w:val="en-GB"/>
        </w:rPr>
        <w:t>Where</w:t>
      </w:r>
      <w:r w:rsidRPr="00B04DC3">
        <w:rPr>
          <w:lang w:val="en-GB"/>
        </w:rPr>
        <w:t>:</w:t>
      </w:r>
    </w:p>
    <w:p w:rsidR="00D75405" w:rsidRPr="00B04DC3" w:rsidRDefault="00D75405" w:rsidP="00D75405">
      <w:pPr>
        <w:pStyle w:val="para"/>
        <w:tabs>
          <w:tab w:val="left" w:pos="2835"/>
          <w:tab w:val="left" w:pos="3119"/>
        </w:tabs>
        <w:rPr>
          <w:lang w:val="en-GB"/>
        </w:rPr>
      </w:pPr>
      <w:r w:rsidRPr="00B04DC3">
        <w:rPr>
          <w:lang w:val="en-GB"/>
        </w:rPr>
        <w:tab/>
        <w:t>A</w:t>
      </w:r>
      <w:r w:rsidRPr="00B04DC3">
        <w:rPr>
          <w:vertAlign w:val="subscript"/>
          <w:lang w:val="en-GB"/>
        </w:rPr>
        <w:t>1</w:t>
      </w:r>
      <w:r w:rsidRPr="00B04DC3">
        <w:rPr>
          <w:lang w:val="en-GB"/>
        </w:rPr>
        <w:tab/>
        <w:t>=</w:t>
      </w:r>
      <w:r w:rsidRPr="00B04DC3">
        <w:rPr>
          <w:lang w:val="en-GB"/>
        </w:rPr>
        <w:tab/>
        <w:t>a collection of constants and units conversions</w:t>
      </w:r>
    </w:p>
    <w:p w:rsidR="00D75405" w:rsidRPr="00B04DC3" w:rsidRDefault="00D75405" w:rsidP="00D75405">
      <w:pPr>
        <w:pStyle w:val="para"/>
        <w:tabs>
          <w:tab w:val="left" w:pos="2835"/>
          <w:tab w:val="left" w:pos="3119"/>
        </w:tabs>
        <w:rPr>
          <w:lang w:val="en-GB"/>
        </w:rPr>
      </w:pPr>
      <w:r w:rsidRPr="00B04DC3">
        <w:rPr>
          <w:lang w:val="en-GB"/>
        </w:rPr>
        <w:tab/>
      </w:r>
      <w:r w:rsidRPr="00B04DC3">
        <w:rPr>
          <w:lang w:val="en-GB"/>
        </w:rPr>
        <w:tab/>
        <w:t>=</w:t>
      </w:r>
      <w:r w:rsidRPr="00B04DC3">
        <w:rPr>
          <w:lang w:val="en-GB"/>
        </w:rPr>
        <w:tab/>
        <w:t xml:space="preserve">25.55152 </w:t>
      </w:r>
      <w:r w:rsidRPr="00B04DC3">
        <w:rPr>
          <w:position w:val="-28"/>
          <w:lang w:val="en-GB"/>
        </w:rPr>
        <w:object w:dxaOrig="2060" w:dyaOrig="680">
          <v:shape id="_x0000_i1185" type="#_x0000_t75" style="width:86.4pt;height:28.2pt" o:ole="" fillcolor="window">
            <v:imagedata r:id="rId305" o:title=""/>
          </v:shape>
          <o:OLEObject Type="Embed" ProgID="Equation.3" ShapeID="_x0000_i1185" DrawAspect="Content" ObjectID="_1498392325" r:id="rId306"/>
        </w:object>
      </w:r>
    </w:p>
    <w:p w:rsidR="00D75405" w:rsidRPr="00B04DC3" w:rsidRDefault="00D75405" w:rsidP="00D75405">
      <w:pPr>
        <w:pStyle w:val="para"/>
        <w:tabs>
          <w:tab w:val="left" w:pos="2835"/>
          <w:tab w:val="left" w:pos="3119"/>
        </w:tabs>
        <w:rPr>
          <w:lang w:val="en-GB"/>
        </w:rPr>
      </w:pPr>
      <w:r w:rsidRPr="00B04DC3">
        <w:rPr>
          <w:lang w:val="en-GB"/>
        </w:rPr>
        <w:tab/>
        <w:t>Q</w:t>
      </w:r>
      <w:r w:rsidRPr="00B04DC3">
        <w:rPr>
          <w:vertAlign w:val="subscript"/>
          <w:lang w:val="en-GB"/>
        </w:rPr>
        <w:t>SSV</w:t>
      </w:r>
      <w:r w:rsidRPr="00B04DC3">
        <w:rPr>
          <w:lang w:val="en-GB"/>
        </w:rPr>
        <w:tab/>
        <w:t>=</w:t>
      </w:r>
      <w:r w:rsidRPr="00B04DC3">
        <w:rPr>
          <w:lang w:val="en-GB"/>
        </w:rPr>
        <w:tab/>
        <w:t>air flow rate at standard conditions (101.3 kPa, 273 K), m</w:t>
      </w:r>
      <w:r w:rsidRPr="00B04DC3">
        <w:rPr>
          <w:vertAlign w:val="superscript"/>
          <w:lang w:val="en-GB"/>
        </w:rPr>
        <w:t>3</w:t>
      </w:r>
      <w:r w:rsidRPr="00B04DC3">
        <w:rPr>
          <w:lang w:val="en-GB"/>
        </w:rPr>
        <w:t>/s</w:t>
      </w:r>
    </w:p>
    <w:p w:rsidR="00D75405" w:rsidRPr="00B04DC3" w:rsidRDefault="00D75405" w:rsidP="00D75405">
      <w:pPr>
        <w:pStyle w:val="para"/>
        <w:tabs>
          <w:tab w:val="left" w:pos="2835"/>
          <w:tab w:val="left" w:pos="3119"/>
        </w:tabs>
        <w:rPr>
          <w:lang w:val="en-GB"/>
        </w:rPr>
      </w:pPr>
      <w:r w:rsidRPr="00B04DC3">
        <w:rPr>
          <w:lang w:val="en-GB"/>
        </w:rPr>
        <w:tab/>
        <w:t>d</w:t>
      </w:r>
      <w:r w:rsidRPr="00B04DC3">
        <w:rPr>
          <w:lang w:val="en-GB"/>
        </w:rPr>
        <w:tab/>
        <w:t>=</w:t>
      </w:r>
      <w:r w:rsidRPr="00B04DC3">
        <w:rPr>
          <w:lang w:val="en-GB"/>
        </w:rPr>
        <w:tab/>
        <w:t>diameter of the SSV throat, m</w:t>
      </w:r>
    </w:p>
    <w:p w:rsidR="00D75405" w:rsidRPr="00B04DC3" w:rsidRDefault="00D75405" w:rsidP="00D75405">
      <w:pPr>
        <w:pStyle w:val="para"/>
        <w:tabs>
          <w:tab w:val="left" w:pos="2268"/>
          <w:tab w:val="left" w:pos="2835"/>
          <w:tab w:val="left" w:pos="3119"/>
        </w:tabs>
        <w:ind w:left="3122" w:hanging="1988"/>
        <w:rPr>
          <w:lang w:val="en-GB"/>
        </w:rPr>
      </w:pPr>
      <w:r w:rsidRPr="00B04DC3">
        <w:rPr>
          <w:lang w:val="en-GB"/>
        </w:rPr>
        <w:tab/>
        <w:t>μ</w:t>
      </w:r>
      <w:r w:rsidRPr="00B04DC3">
        <w:rPr>
          <w:lang w:val="en-GB"/>
        </w:rPr>
        <w:tab/>
        <w:t>=</w:t>
      </w:r>
      <w:r w:rsidRPr="00B04DC3">
        <w:rPr>
          <w:lang w:val="en-GB"/>
        </w:rPr>
        <w:tab/>
        <w:t>absolute or dynamic viscosity of the gas, calculated with the following formula:</w:t>
      </w:r>
    </w:p>
    <w:p w:rsidR="00D75405" w:rsidRPr="00B04DC3" w:rsidRDefault="00D75405" w:rsidP="00D75405">
      <w:pPr>
        <w:pStyle w:val="NormalCentered"/>
        <w:numPr>
          <w:ilvl w:val="0"/>
          <w:numId w:val="0"/>
        </w:numPr>
        <w:tabs>
          <w:tab w:val="left" w:pos="1134"/>
          <w:tab w:val="left" w:pos="1560"/>
          <w:tab w:val="left" w:pos="2268"/>
          <w:tab w:val="left" w:pos="2835"/>
          <w:tab w:val="left" w:pos="3119"/>
        </w:tabs>
        <w:spacing w:before="0" w:after="0"/>
        <w:jc w:val="both"/>
      </w:pPr>
      <w:r w:rsidRPr="00B04DC3">
        <w:tab/>
      </w:r>
      <w:r w:rsidRPr="00B04DC3">
        <w:tab/>
      </w:r>
      <w:r w:rsidRPr="00B04DC3">
        <w:tab/>
      </w:r>
      <w:r w:rsidRPr="00B04DC3">
        <w:tab/>
      </w:r>
      <w:r w:rsidRPr="00B04DC3">
        <w:tab/>
      </w:r>
      <w:r w:rsidR="00593305" w:rsidRPr="00593305">
        <w:rPr>
          <w:position w:val="-20"/>
        </w:rPr>
        <w:object w:dxaOrig="999" w:dyaOrig="580">
          <v:shape id="_x0000_i1186" type="#_x0000_t75" style="width:50.4pt;height:29.4pt" o:ole="" fillcolor="window">
            <v:imagedata r:id="rId307" o:title=""/>
          </v:shape>
          <o:OLEObject Type="Embed" ProgID="Equation.3" ShapeID="_x0000_i1186" DrawAspect="Content" ObjectID="_1498392326" r:id="rId308"/>
        </w:object>
      </w:r>
      <w:r w:rsidRPr="00B04DC3">
        <w:t xml:space="preserve"> </w:t>
      </w:r>
      <w:r w:rsidRPr="00B04DC3">
        <w:rPr>
          <w:sz w:val="20"/>
        </w:rPr>
        <w:t>kg/m-s</w:t>
      </w:r>
    </w:p>
    <w:p w:rsidR="00D75405" w:rsidRPr="00B04DC3" w:rsidRDefault="00D75405" w:rsidP="00D75405">
      <w:pPr>
        <w:pStyle w:val="para"/>
        <w:tabs>
          <w:tab w:val="left" w:pos="2268"/>
          <w:tab w:val="left" w:pos="2835"/>
          <w:tab w:val="left" w:pos="3119"/>
        </w:tabs>
        <w:spacing w:before="120"/>
        <w:ind w:left="3124" w:hanging="1990"/>
        <w:rPr>
          <w:lang w:val="en-GB"/>
        </w:rPr>
      </w:pPr>
      <w:r w:rsidRPr="00B04DC3">
        <w:rPr>
          <w:lang w:val="en-GB"/>
        </w:rPr>
        <w:tab/>
        <w:t>b</w:t>
      </w:r>
      <w:r w:rsidRPr="00B04DC3">
        <w:rPr>
          <w:lang w:val="en-GB"/>
        </w:rPr>
        <w:tab/>
        <w:t>=</w:t>
      </w:r>
      <w:r w:rsidRPr="00B04DC3">
        <w:rPr>
          <w:lang w:val="en-GB"/>
        </w:rPr>
        <w:tab/>
        <w:t>empirical constant</w:t>
      </w:r>
      <w:r w:rsidRPr="00B04DC3">
        <w:rPr>
          <w:lang w:val="en-GB"/>
        </w:rPr>
        <w:tab/>
        <w:t>= 1.458 x 10</w:t>
      </w:r>
      <w:r w:rsidRPr="00B04DC3">
        <w:rPr>
          <w:vertAlign w:val="superscript"/>
          <w:lang w:val="en-GB"/>
        </w:rPr>
        <w:t>6</w:t>
      </w:r>
      <w:r w:rsidRPr="00B04DC3">
        <w:rPr>
          <w:lang w:val="en-GB"/>
        </w:rPr>
        <w:t>, kg/ms K</w:t>
      </w:r>
      <w:r w:rsidRPr="00B04DC3">
        <w:rPr>
          <w:vertAlign w:val="superscript"/>
          <w:lang w:val="en-GB"/>
        </w:rPr>
        <w:t>0.5</w:t>
      </w:r>
    </w:p>
    <w:p w:rsidR="00D75405" w:rsidRPr="00B04DC3" w:rsidRDefault="00D75405" w:rsidP="00D75405">
      <w:pPr>
        <w:pStyle w:val="para"/>
        <w:tabs>
          <w:tab w:val="left" w:pos="2268"/>
          <w:tab w:val="left" w:pos="2835"/>
          <w:tab w:val="left" w:pos="3119"/>
        </w:tabs>
        <w:ind w:left="3122" w:hanging="1988"/>
        <w:rPr>
          <w:lang w:val="en-GB"/>
        </w:rPr>
      </w:pPr>
      <w:r w:rsidRPr="00B04DC3">
        <w:rPr>
          <w:lang w:val="en-GB"/>
        </w:rPr>
        <w:tab/>
        <w:t>S</w:t>
      </w:r>
      <w:r w:rsidRPr="00B04DC3">
        <w:rPr>
          <w:lang w:val="en-GB"/>
        </w:rPr>
        <w:tab/>
        <w:t>=</w:t>
      </w:r>
      <w:r w:rsidRPr="00B04DC3">
        <w:rPr>
          <w:lang w:val="en-GB"/>
        </w:rPr>
        <w:tab/>
        <w:t>empirical constant</w:t>
      </w:r>
      <w:r w:rsidRPr="00B04DC3">
        <w:rPr>
          <w:lang w:val="en-GB"/>
        </w:rPr>
        <w:tab/>
        <w:t>= 110.4 K.</w:t>
      </w:r>
    </w:p>
    <w:p w:rsidR="00D75405" w:rsidRPr="00B04DC3" w:rsidRDefault="00D75405" w:rsidP="00D75405">
      <w:pPr>
        <w:pStyle w:val="para"/>
        <w:rPr>
          <w:lang w:val="en-GB"/>
        </w:rPr>
      </w:pPr>
      <w:r w:rsidRPr="00B04DC3">
        <w:rPr>
          <w:lang w:val="en-GB"/>
        </w:rPr>
        <w:tab/>
        <w:t>Because Q</w:t>
      </w:r>
      <w:r w:rsidRPr="00B04DC3">
        <w:rPr>
          <w:vertAlign w:val="subscript"/>
          <w:lang w:val="en-GB"/>
        </w:rPr>
        <w:t>SSV</w:t>
      </w:r>
      <w:r w:rsidRPr="00B04DC3">
        <w:rPr>
          <w:lang w:val="en-GB"/>
        </w:rPr>
        <w:t xml:space="preserve"> is an input to the Re formula, the calculations shall be started with an initial guess for Q</w:t>
      </w:r>
      <w:r w:rsidRPr="00B04DC3">
        <w:rPr>
          <w:vertAlign w:val="subscript"/>
          <w:lang w:val="en-GB"/>
        </w:rPr>
        <w:t>SSV</w:t>
      </w:r>
      <w:r w:rsidRPr="00B04DC3">
        <w:rPr>
          <w:lang w:val="en-GB"/>
        </w:rPr>
        <w:t xml:space="preserve"> or C</w:t>
      </w:r>
      <w:r w:rsidRPr="00B04DC3">
        <w:rPr>
          <w:vertAlign w:val="subscript"/>
          <w:lang w:val="en-GB"/>
        </w:rPr>
        <w:t>d</w:t>
      </w:r>
      <w:r w:rsidRPr="00B04DC3">
        <w:rPr>
          <w:lang w:val="en-GB"/>
        </w:rPr>
        <w:t xml:space="preserve"> of the calibration venturi, and repeated until Q</w:t>
      </w:r>
      <w:r w:rsidRPr="00B04DC3">
        <w:rPr>
          <w:vertAlign w:val="subscript"/>
          <w:lang w:val="en-GB"/>
        </w:rPr>
        <w:t>SSV</w:t>
      </w:r>
      <w:r w:rsidRPr="00B04DC3">
        <w:rPr>
          <w:lang w:val="en-GB"/>
        </w:rPr>
        <w:t xml:space="preserve"> converges. The convergence method shall be accurate to 0.1 per cent of point or better.</w:t>
      </w:r>
    </w:p>
    <w:p w:rsidR="00D75405" w:rsidRPr="00B04DC3" w:rsidRDefault="00D75405" w:rsidP="00D75405">
      <w:pPr>
        <w:pStyle w:val="para"/>
        <w:rPr>
          <w:lang w:val="en-GB"/>
        </w:rPr>
      </w:pPr>
      <w:r w:rsidRPr="00B04DC3">
        <w:rPr>
          <w:lang w:val="en-GB"/>
        </w:rPr>
        <w:tab/>
        <w:t>For a minimum of sixteen points in the region of subsonic flow, the calculated values of C</w:t>
      </w:r>
      <w:r w:rsidRPr="00B04DC3">
        <w:rPr>
          <w:vertAlign w:val="subscript"/>
          <w:lang w:val="en-GB"/>
        </w:rPr>
        <w:t>d</w:t>
      </w:r>
      <w:r w:rsidRPr="00B04DC3">
        <w:rPr>
          <w:lang w:val="en-GB"/>
        </w:rPr>
        <w:t xml:space="preserve"> from the resulting calibration curve fit equation shall be within ±0.5 per cent of the measured C</w:t>
      </w:r>
      <w:r w:rsidRPr="00B04DC3">
        <w:rPr>
          <w:vertAlign w:val="subscript"/>
          <w:lang w:val="en-GB"/>
        </w:rPr>
        <w:t>d</w:t>
      </w:r>
      <w:r w:rsidRPr="00B04DC3">
        <w:rPr>
          <w:lang w:val="en-GB"/>
        </w:rPr>
        <w:t xml:space="preserve"> for each calibration point.</w:t>
      </w:r>
    </w:p>
    <w:p w:rsidR="00D75405" w:rsidRPr="00B04DC3" w:rsidRDefault="00D75405" w:rsidP="00D75405">
      <w:pPr>
        <w:pStyle w:val="para"/>
        <w:rPr>
          <w:lang w:val="en-GB"/>
        </w:rPr>
      </w:pPr>
      <w:r w:rsidRPr="00B04DC3">
        <w:rPr>
          <w:lang w:val="en-GB"/>
        </w:rPr>
        <w:t>2.5.</w:t>
      </w:r>
      <w:r w:rsidRPr="00B04DC3">
        <w:rPr>
          <w:lang w:val="en-GB"/>
        </w:rPr>
        <w:tab/>
        <w:t>Total system verification</w:t>
      </w:r>
    </w:p>
    <w:p w:rsidR="00D75405" w:rsidRPr="00B04DC3" w:rsidRDefault="00D75405" w:rsidP="00D75405">
      <w:pPr>
        <w:pStyle w:val="para"/>
        <w:rPr>
          <w:lang w:val="en-GB"/>
        </w:rPr>
      </w:pPr>
      <w:r w:rsidRPr="00B04DC3">
        <w:rPr>
          <w:lang w:val="en-GB"/>
        </w:rPr>
        <w:tab/>
        <w:t>The total accuracy of the CVS sampling system and analytical system shall be determined by introducing a known mass of a pollutant gas into the system while it is being operated in the normal manner. The pollutant is analysed, and the mass calculated according to Annex 4A, Appendix 2, paragraph 4.3. except in the case of propane where a factor of 0.000472 is used in place of 0.000479 for HC. Either of the following two techniques shall be used.</w:t>
      </w:r>
    </w:p>
    <w:p w:rsidR="00D75405" w:rsidRPr="00B04DC3" w:rsidRDefault="00D75405" w:rsidP="00D75405">
      <w:pPr>
        <w:pStyle w:val="para"/>
        <w:rPr>
          <w:lang w:val="en-GB"/>
        </w:rPr>
      </w:pPr>
      <w:r w:rsidRPr="00B04DC3">
        <w:rPr>
          <w:lang w:val="en-GB"/>
        </w:rPr>
        <w:t>2.5.1.</w:t>
      </w:r>
      <w:r w:rsidRPr="00B04DC3">
        <w:rPr>
          <w:lang w:val="en-GB"/>
        </w:rPr>
        <w:tab/>
        <w:t>Metering with a critical flow orifice</w:t>
      </w:r>
    </w:p>
    <w:p w:rsidR="00D75405" w:rsidRPr="00593305" w:rsidRDefault="00D75405" w:rsidP="00D75405">
      <w:pPr>
        <w:pStyle w:val="para"/>
        <w:rPr>
          <w:spacing w:val="-2"/>
          <w:lang w:val="en-GB"/>
        </w:rPr>
      </w:pPr>
      <w:r w:rsidRPr="00593305">
        <w:rPr>
          <w:spacing w:val="-2"/>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 critical flow). The CVS system shall be operated as in a normal exhaust emission test for about 5 to 10 minutes. A gas sample shall be analysed with the usual equipment (sampling bag or integrating method), and the mass of the gas calculated. The mass so determined shall be within ±3 per cent of the known mass of the gas injected.</w:t>
      </w:r>
    </w:p>
    <w:p w:rsidR="00D75405" w:rsidRPr="00B04DC3" w:rsidRDefault="00D75405" w:rsidP="00D75405">
      <w:pPr>
        <w:pStyle w:val="para"/>
        <w:rPr>
          <w:lang w:val="en-GB"/>
        </w:rPr>
      </w:pPr>
      <w:r w:rsidRPr="00B04DC3">
        <w:rPr>
          <w:lang w:val="en-GB"/>
        </w:rPr>
        <w:t>2.5.2.</w:t>
      </w:r>
      <w:r w:rsidRPr="00B04DC3">
        <w:rPr>
          <w:lang w:val="en-GB"/>
        </w:rPr>
        <w:tab/>
        <w:t>Metering by means of a gravimetric technique</w:t>
      </w:r>
    </w:p>
    <w:p w:rsidR="00D75405" w:rsidRPr="00B04DC3" w:rsidRDefault="00D75405" w:rsidP="00D75405">
      <w:pPr>
        <w:pStyle w:val="para"/>
        <w:rPr>
          <w:lang w:val="en-GB"/>
        </w:rPr>
      </w:pPr>
      <w:r w:rsidRPr="00B04DC3">
        <w:rPr>
          <w:lang w:val="en-GB"/>
        </w:rPr>
        <w:tab/>
        <w:t>The weight of a small cylinder filled with carbon monoxide or propane shall be determined with a precision of ±0.01 gram. For about 5 to 10 minutes, the CVS system shall be operated as in a normal exhaust emission test, while carbon monoxide or propane is injected into the system. The quantity of pure gas discharged shall be determined by means of differential weighing. A gas sample shall be analysed with the usual equipment (sampling bag or integrating method), and the mass of the gas calculated. The mass so determined shall be within ±3 per cent of the known mass of the gas injected.</w:t>
      </w:r>
    </w:p>
    <w:p w:rsidR="00D75405" w:rsidRPr="00B04DC3" w:rsidRDefault="00D75405" w:rsidP="00D75405">
      <w:pPr>
        <w:pStyle w:val="para"/>
        <w:rPr>
          <w:lang w:val="en-GB"/>
        </w:rPr>
      </w:pPr>
      <w:r w:rsidRPr="00B04DC3">
        <w:rPr>
          <w:lang w:val="en-GB"/>
        </w:rPr>
        <w:t>3.</w:t>
      </w:r>
      <w:r w:rsidRPr="00B04DC3">
        <w:rPr>
          <w:lang w:val="en-GB"/>
        </w:rPr>
        <w:tab/>
        <w:t>Calibration of the particulate measuring system</w:t>
      </w:r>
    </w:p>
    <w:p w:rsidR="00D75405" w:rsidRPr="00B04DC3" w:rsidRDefault="00D75405" w:rsidP="00D75405">
      <w:pPr>
        <w:pStyle w:val="para"/>
        <w:rPr>
          <w:lang w:val="en-GB"/>
        </w:rPr>
      </w:pPr>
      <w:r w:rsidRPr="00B04DC3">
        <w:rPr>
          <w:lang w:val="en-GB"/>
        </w:rPr>
        <w:t>3.1.</w:t>
      </w:r>
      <w:r w:rsidRPr="00B04DC3">
        <w:rPr>
          <w:lang w:val="en-GB"/>
        </w:rPr>
        <w:tab/>
        <w:t>Introduction</w:t>
      </w:r>
    </w:p>
    <w:p w:rsidR="00D75405" w:rsidRPr="00B04DC3" w:rsidRDefault="00D75405" w:rsidP="00D75405">
      <w:pPr>
        <w:pStyle w:val="para"/>
        <w:rPr>
          <w:lang w:val="en-GB"/>
        </w:rPr>
      </w:pPr>
      <w:r w:rsidRPr="00B04DC3">
        <w:rPr>
          <w:lang w:val="en-GB"/>
        </w:rPr>
        <w:tab/>
        <w:t>The calibration of the particulate measurement is limited to the flow meters used to determine sample flow and dilution ratio. Each flow meter shall be calibrated as often as necessary to fulfil the accuracy requirements of this Regulation. The calibration method that shall be used is described in paragraph 3.2.</w:t>
      </w:r>
    </w:p>
    <w:p w:rsidR="00D75405" w:rsidRPr="00B04DC3" w:rsidRDefault="00D75405" w:rsidP="00D75405">
      <w:pPr>
        <w:pStyle w:val="para"/>
        <w:rPr>
          <w:lang w:val="en-GB"/>
        </w:rPr>
      </w:pPr>
      <w:r w:rsidRPr="00B04DC3">
        <w:rPr>
          <w:lang w:val="en-GB"/>
        </w:rPr>
        <w:t>3.2.</w:t>
      </w:r>
      <w:r w:rsidRPr="00B04DC3">
        <w:rPr>
          <w:lang w:val="en-GB"/>
        </w:rPr>
        <w:tab/>
        <w:t>Flow measurement</w:t>
      </w:r>
    </w:p>
    <w:p w:rsidR="00D75405" w:rsidRPr="00B04DC3" w:rsidRDefault="00D75405" w:rsidP="00D75405">
      <w:pPr>
        <w:pStyle w:val="para"/>
        <w:rPr>
          <w:lang w:val="en-GB"/>
        </w:rPr>
      </w:pPr>
      <w:r w:rsidRPr="00B04DC3">
        <w:rPr>
          <w:lang w:val="en-GB"/>
        </w:rPr>
        <w:t>3.2.1.</w:t>
      </w:r>
      <w:r w:rsidRPr="00B04DC3">
        <w:rPr>
          <w:lang w:val="en-GB"/>
        </w:rPr>
        <w:tab/>
        <w:t>Periodical calibration</w:t>
      </w:r>
    </w:p>
    <w:p w:rsidR="00D75405" w:rsidRPr="00B04DC3" w:rsidRDefault="00D75405" w:rsidP="00D75405">
      <w:pPr>
        <w:pStyle w:val="a"/>
        <w:rPr>
          <w:lang w:val="en-GB"/>
        </w:rPr>
      </w:pPr>
      <w:r w:rsidRPr="00B04DC3">
        <w:rPr>
          <w:lang w:val="en-GB"/>
        </w:rPr>
        <w:t>(a)</w:t>
      </w:r>
      <w:r w:rsidRPr="00B04DC3">
        <w:rPr>
          <w:lang w:val="en-GB"/>
        </w:rPr>
        <w:tab/>
        <w:t>To fulfil the absolute accuracy of the flow measurements as specified in paragraph 2.2. of Appendix 4 to this annex, the flow meter or the flow measurement instrumentation shall be calibrated with an accurate flow meter traceable to international and/or national standards.</w:t>
      </w:r>
    </w:p>
    <w:p w:rsidR="00D75405" w:rsidRPr="00B04DC3" w:rsidRDefault="00D75405" w:rsidP="00D75405">
      <w:pPr>
        <w:pStyle w:val="a"/>
        <w:rPr>
          <w:lang w:val="en-GB"/>
        </w:rPr>
      </w:pPr>
      <w:r w:rsidRPr="00B04DC3">
        <w:rPr>
          <w:lang w:val="en-GB"/>
        </w:rPr>
        <w:t>(b)</w:t>
      </w:r>
      <w:r w:rsidRPr="00B04DC3">
        <w:rPr>
          <w:lang w:val="en-GB"/>
        </w:rPr>
        <w:tab/>
        <w:t>If the sample gas flow is determined by differential flow measurement the flow meter or the flow measurement instrumentation shall be calibrated in one of the following procedures, such that the probe flow q</w:t>
      </w:r>
      <w:r w:rsidRPr="00B04DC3">
        <w:rPr>
          <w:vertAlign w:val="subscript"/>
          <w:lang w:val="en-GB"/>
        </w:rPr>
        <w:t>mp</w:t>
      </w:r>
      <w:r w:rsidRPr="00B04DC3">
        <w:rPr>
          <w:lang w:val="en-GB"/>
        </w:rPr>
        <w:t xml:space="preserve"> into the tunnel shall fulfil the accuracy requirements of paragraph 4.2.5.2. of Appendix 4 to this annex:</w:t>
      </w:r>
    </w:p>
    <w:p w:rsidR="00D75405" w:rsidRPr="00B04DC3" w:rsidRDefault="00D75405" w:rsidP="00D75405">
      <w:pPr>
        <w:pStyle w:val="i"/>
        <w:rPr>
          <w:lang w:val="en-GB"/>
        </w:rPr>
      </w:pPr>
      <w:r w:rsidRPr="00B04DC3">
        <w:rPr>
          <w:lang w:val="en-GB"/>
        </w:rPr>
        <w:t>(i)</w:t>
      </w:r>
      <w:r w:rsidRPr="00B04DC3">
        <w:rPr>
          <w:lang w:val="en-GB"/>
        </w:rPr>
        <w:tab/>
        <w:t>The flow meter for q</w:t>
      </w:r>
      <w:r w:rsidRPr="00B04DC3">
        <w:rPr>
          <w:vertAlign w:val="subscript"/>
          <w:lang w:val="en-GB"/>
        </w:rPr>
        <w:t>mdw</w:t>
      </w:r>
      <w:r w:rsidRPr="00B04DC3">
        <w:rPr>
          <w:lang w:val="en-GB"/>
        </w:rPr>
        <w:t xml:space="preserve"> shall be connected in series to the flow meter for q</w:t>
      </w:r>
      <w:r w:rsidRPr="00B04DC3">
        <w:rPr>
          <w:vertAlign w:val="subscript"/>
          <w:lang w:val="en-GB"/>
        </w:rPr>
        <w:t>mdew</w:t>
      </w:r>
      <w:r w:rsidRPr="00B04DC3">
        <w:rPr>
          <w:lang w:val="en-GB"/>
        </w:rPr>
        <w:t>, the difference between the two flow meters shall be calibrated for at least five set points with flow values equally spaced between the lowest q</w:t>
      </w:r>
      <w:r w:rsidRPr="00B04DC3">
        <w:rPr>
          <w:vertAlign w:val="subscript"/>
          <w:lang w:val="en-GB"/>
        </w:rPr>
        <w:t>mdw</w:t>
      </w:r>
      <w:r w:rsidRPr="00B04DC3">
        <w:rPr>
          <w:lang w:val="en-GB"/>
        </w:rPr>
        <w:t xml:space="preserve"> value used during the test and the value of q</w:t>
      </w:r>
      <w:r w:rsidRPr="00B04DC3">
        <w:rPr>
          <w:vertAlign w:val="subscript"/>
          <w:lang w:val="en-GB"/>
        </w:rPr>
        <w:t>mdew</w:t>
      </w:r>
      <w:r w:rsidRPr="00B04DC3">
        <w:rPr>
          <w:lang w:val="en-GB"/>
        </w:rPr>
        <w:t xml:space="preserve"> used during the test. The dilution tunnel may be bypassed.</w:t>
      </w:r>
    </w:p>
    <w:p w:rsidR="00D75405" w:rsidRPr="00B04DC3" w:rsidRDefault="00D75405" w:rsidP="00D75405">
      <w:pPr>
        <w:pStyle w:val="i"/>
        <w:rPr>
          <w:lang w:val="en-GB"/>
        </w:rPr>
      </w:pPr>
      <w:r w:rsidRPr="00B04DC3">
        <w:rPr>
          <w:lang w:val="en-GB"/>
        </w:rPr>
        <w:t>(ii)</w:t>
      </w:r>
      <w:r w:rsidRPr="00B04DC3">
        <w:rPr>
          <w:lang w:val="en-GB"/>
        </w:rPr>
        <w:tab/>
        <w:t>A calibrated mass flow device shall be connected in series to the flowmeter for q</w:t>
      </w:r>
      <w:r w:rsidRPr="00B04DC3">
        <w:rPr>
          <w:vertAlign w:val="subscript"/>
          <w:lang w:val="en-GB"/>
        </w:rPr>
        <w:t>mdew</w:t>
      </w:r>
      <w:r w:rsidRPr="00B04DC3">
        <w:rPr>
          <w:lang w:val="en-GB"/>
        </w:rPr>
        <w:t xml:space="preserve"> and the accuracy shall be checked for the value used for the test. Then the calibrated mass flow device shall be connected in series to the flow meter for q</w:t>
      </w:r>
      <w:r w:rsidRPr="00B04DC3">
        <w:rPr>
          <w:vertAlign w:val="subscript"/>
          <w:lang w:val="en-GB"/>
        </w:rPr>
        <w:t>mdw</w:t>
      </w:r>
      <w:r w:rsidRPr="00B04DC3">
        <w:rPr>
          <w:lang w:val="en-GB"/>
        </w:rPr>
        <w:t>, and the accuracy shall be checked for at least five settings corresponding to dilution ratio between 3 and 50, relative to q</w:t>
      </w:r>
      <w:r w:rsidRPr="00B04DC3">
        <w:rPr>
          <w:vertAlign w:val="subscript"/>
          <w:lang w:val="en-GB"/>
        </w:rPr>
        <w:t>mdew</w:t>
      </w:r>
      <w:r w:rsidRPr="00B04DC3">
        <w:rPr>
          <w:lang w:val="en-GB"/>
        </w:rPr>
        <w:t xml:space="preserve"> used during the test.</w:t>
      </w:r>
    </w:p>
    <w:p w:rsidR="00D75405" w:rsidRPr="00B04DC3" w:rsidRDefault="00D75405" w:rsidP="00D75405">
      <w:pPr>
        <w:pStyle w:val="i"/>
        <w:rPr>
          <w:lang w:val="en-GB"/>
        </w:rPr>
      </w:pPr>
      <w:r w:rsidRPr="00B04DC3">
        <w:rPr>
          <w:lang w:val="en-GB"/>
        </w:rPr>
        <w:t>(iii)</w:t>
      </w:r>
      <w:r w:rsidRPr="00B04DC3">
        <w:rPr>
          <w:lang w:val="en-GB"/>
        </w:rPr>
        <w:tab/>
        <w:t xml:space="preserve">The </w:t>
      </w:r>
      <w:r w:rsidR="00F94276">
        <w:rPr>
          <w:lang w:val="en-GB"/>
        </w:rPr>
        <w:t>T</w:t>
      </w:r>
      <w:r w:rsidR="00F94276" w:rsidRPr="00B04DC3">
        <w:rPr>
          <w:lang w:val="en-GB"/>
        </w:rPr>
        <w:t xml:space="preserve">ransfer </w:t>
      </w:r>
      <w:r w:rsidR="00F94276">
        <w:rPr>
          <w:lang w:val="en-GB"/>
        </w:rPr>
        <w:t>T</w:t>
      </w:r>
      <w:r w:rsidR="00F94276" w:rsidRPr="00B04DC3">
        <w:rPr>
          <w:lang w:val="en-GB"/>
        </w:rPr>
        <w:t xml:space="preserve">ube </w:t>
      </w:r>
      <w:r w:rsidR="00F94276">
        <w:rPr>
          <w:lang w:val="en-GB"/>
        </w:rPr>
        <w:t>(</w:t>
      </w:r>
      <w:r w:rsidRPr="00B04DC3">
        <w:rPr>
          <w:lang w:val="en-GB"/>
        </w:rPr>
        <w:t>TT</w:t>
      </w:r>
      <w:r w:rsidR="00F94276">
        <w:rPr>
          <w:lang w:val="en-GB"/>
        </w:rPr>
        <w:t>)</w:t>
      </w:r>
      <w:r w:rsidRPr="00B04DC3">
        <w:rPr>
          <w:lang w:val="en-GB"/>
        </w:rPr>
        <w:t xml:space="preserve"> shall be disconnected from the exhaust, and a calibrated flow measuring device with a suitable range to measure q</w:t>
      </w:r>
      <w:r w:rsidRPr="00B04DC3">
        <w:rPr>
          <w:vertAlign w:val="subscript"/>
          <w:lang w:val="en-GB"/>
        </w:rPr>
        <w:t>mp</w:t>
      </w:r>
      <w:r w:rsidRPr="00B04DC3">
        <w:rPr>
          <w:lang w:val="en-GB"/>
        </w:rPr>
        <w:t xml:space="preserve"> shall be connected to the transfer tube. Then q</w:t>
      </w:r>
      <w:r w:rsidRPr="00B04DC3">
        <w:rPr>
          <w:vertAlign w:val="subscript"/>
          <w:lang w:val="en-GB"/>
        </w:rPr>
        <w:t>mdew</w:t>
      </w:r>
      <w:r w:rsidRPr="00B04DC3">
        <w:rPr>
          <w:lang w:val="en-GB"/>
        </w:rPr>
        <w:t xml:space="preserve"> shall be set to the value used during the test, and q</w:t>
      </w:r>
      <w:r w:rsidRPr="00B04DC3">
        <w:rPr>
          <w:vertAlign w:val="subscript"/>
          <w:lang w:val="en-GB"/>
        </w:rPr>
        <w:t>mdw</w:t>
      </w:r>
      <w:r w:rsidRPr="00B04DC3">
        <w:rPr>
          <w:lang w:val="en-GB"/>
        </w:rPr>
        <w:t xml:space="preserve"> shall be sequentially set to at least 5 values corresponding to dilution ratios q between 3 and 50. Alternatively, a special calibration flow path, may be provided, in which the tunnel is bypassed, but the total and diluent flow through the corresponding meters as in the actual test.</w:t>
      </w:r>
    </w:p>
    <w:p w:rsidR="00D75405" w:rsidRPr="00B04DC3" w:rsidRDefault="00D75405" w:rsidP="00D75405">
      <w:pPr>
        <w:pStyle w:val="i"/>
        <w:rPr>
          <w:lang w:val="en-GB"/>
        </w:rPr>
      </w:pPr>
      <w:r w:rsidRPr="00B04DC3">
        <w:rPr>
          <w:lang w:val="en-GB"/>
        </w:rPr>
        <w:t>(iv)</w:t>
      </w:r>
      <w:r w:rsidRPr="00B04DC3">
        <w:rPr>
          <w:lang w:val="en-GB"/>
        </w:rPr>
        <w:tab/>
        <w:t>A tracer gas, shall be fed into the exhaust transfer tube TT. This tracer gas may be a component of the exhaust gas, like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After dilution in the tunnel the tracer gas component shall be measured. This shall be carried out for 5 dilution ratios between 3 and 50. The accuracy of the sample flow shall be determined from the dilution ratio r</w:t>
      </w:r>
      <w:r w:rsidRPr="00B04DC3">
        <w:rPr>
          <w:vertAlign w:val="subscript"/>
          <w:lang w:val="en-GB"/>
        </w:rPr>
        <w:t>d</w:t>
      </w:r>
      <w:r w:rsidRPr="00B04DC3">
        <w:rPr>
          <w:lang w:val="en-GB"/>
        </w:rPr>
        <w:t>:</w:t>
      </w:r>
    </w:p>
    <w:p w:rsidR="00D75405" w:rsidRPr="00B04DC3" w:rsidRDefault="00D75405" w:rsidP="00D75405">
      <w:pPr>
        <w:pStyle w:val="para"/>
        <w:rPr>
          <w:lang w:val="en-GB"/>
        </w:rPr>
      </w:pPr>
      <w:r w:rsidRPr="00B04DC3">
        <w:rPr>
          <w:lang w:val="en-GB"/>
        </w:rPr>
        <w:tab/>
      </w:r>
      <w:r w:rsidRPr="00B04DC3">
        <w:rPr>
          <w:lang w:val="en-GB"/>
        </w:rPr>
        <w:tab/>
      </w:r>
      <w:r w:rsidRPr="00B04DC3">
        <w:rPr>
          <w:lang w:val="en-GB"/>
        </w:rPr>
        <w:tab/>
      </w:r>
      <w:r w:rsidRPr="00B04DC3">
        <w:rPr>
          <w:lang w:val="en-GB"/>
        </w:rPr>
        <w:tab/>
      </w:r>
      <w:r w:rsidR="00A905B7">
        <w:rPr>
          <w:lang w:val="en-GB"/>
        </w:rPr>
      </w:r>
      <w:r w:rsidR="00A905B7">
        <w:rPr>
          <w:lang w:val="en-GB"/>
        </w:rPr>
        <w:pict>
          <v:group id="_x0000_s3577" editas="canvas" style="width:61.8pt;height:40.8pt;mso-position-horizontal-relative:char;mso-position-vertical-relative:line" coordsize="1236,816">
            <o:lock v:ext="edit" aspectratio="t"/>
            <v:shape id="_x0000_s3578" type="#_x0000_t75" style="position:absolute;width:1236;height:816" o:preferrelative="f">
              <v:fill o:detectmouseclick="t"/>
              <v:path o:extrusionok="t" o:connecttype="none"/>
              <o:lock v:ext="edit" text="t"/>
            </v:shape>
            <v:line id="_x0000_s3579" style="position:absolute" from="647,340" to="1159,340" strokeweight=".5pt"/>
            <v:rect id="_x0000_s3580" style="position:absolute;left:889;top:423;width:71;height:240;mso-wrap-style:none" filled="f" stroked="f">
              <v:textbox style="mso-fit-shape-to-text:t" inset="0,0,0,0">
                <w:txbxContent>
                  <w:p w:rsidR="00A905B7" w:rsidRPr="0091154E" w:rsidRDefault="00A905B7">
                    <w:r w:rsidRPr="0091154E">
                      <w:rPr>
                        <w:iCs/>
                        <w:color w:val="000000"/>
                        <w:sz w:val="14"/>
                        <w:szCs w:val="14"/>
                      </w:rPr>
                      <w:t>d</w:t>
                    </w:r>
                  </w:p>
                </w:txbxContent>
              </v:textbox>
            </v:rect>
            <v:rect id="_x0000_s3581" style="position:absolute;left:795;top:75;width:343;height:240;mso-wrap-style:none" filled="f" stroked="f">
              <v:textbox style="mso-fit-shape-to-text:t" inset="0,0,0,0">
                <w:txbxContent>
                  <w:p w:rsidR="00A905B7" w:rsidRPr="0091154E" w:rsidRDefault="00A905B7">
                    <w:r w:rsidRPr="0091154E">
                      <w:rPr>
                        <w:iCs/>
                        <w:color w:val="000000"/>
                        <w:sz w:val="14"/>
                        <w:szCs w:val="14"/>
                      </w:rPr>
                      <w:t>mdew</w:t>
                    </w:r>
                  </w:p>
                </w:txbxContent>
              </v:textbox>
            </v:rect>
            <v:rect id="_x0000_s3582" style="position:absolute;left:807;top:374;width:67;height:240;mso-wrap-style:none" filled="f" stroked="f">
              <v:textbox style="mso-fit-shape-to-text:t" inset="0,0,0,0">
                <w:txbxContent>
                  <w:p w:rsidR="00A905B7" w:rsidRPr="0091154E" w:rsidRDefault="00A905B7">
                    <w:r w:rsidRPr="0091154E">
                      <w:rPr>
                        <w:iCs/>
                        <w:color w:val="000000"/>
                      </w:rPr>
                      <w:t>r</w:t>
                    </w:r>
                  </w:p>
                </w:txbxContent>
              </v:textbox>
            </v:rect>
            <v:rect id="_x0000_s3583" style="position:absolute;left:663;top:26;width:101;height:240;mso-wrap-style:none" filled="f" stroked="f">
              <v:textbox style="mso-fit-shape-to-text:t" inset="0,0,0,0">
                <w:txbxContent>
                  <w:p w:rsidR="00A905B7" w:rsidRPr="0091154E" w:rsidRDefault="00A905B7">
                    <w:r w:rsidRPr="0091154E">
                      <w:rPr>
                        <w:iCs/>
                        <w:color w:val="000000"/>
                      </w:rPr>
                      <w:t>q</w:t>
                    </w:r>
                  </w:p>
                </w:txbxContent>
              </v:textbox>
            </v:rect>
            <v:rect id="_x0000_s3584" style="position:absolute;left:450;top:160;width:110;height:245;mso-wrap-style:none" filled="f" stroked="f">
              <v:textbox style="mso-fit-shape-to-text:t" inset="0,0,0,0">
                <w:txbxContent>
                  <w:p w:rsidR="00A905B7" w:rsidRDefault="00A905B7">
                    <w:r>
                      <w:rPr>
                        <w:rFonts w:ascii="Symbol" w:hAnsi="Symbol" w:cs="Symbol"/>
                        <w:color w:val="000000"/>
                      </w:rPr>
                      <w:t></w:t>
                    </w:r>
                  </w:p>
                </w:txbxContent>
              </v:textbox>
            </v:rect>
            <v:rect id="_x0000_s3585" style="position:absolute;left:177;top:256;width:179;height:240;mso-wrap-style:none" filled="f" stroked="f">
              <v:textbox style="mso-fit-shape-to-text:t" inset="0,0,0,0">
                <w:txbxContent>
                  <w:p w:rsidR="00A905B7" w:rsidRDefault="00A905B7">
                    <w:r>
                      <w:rPr>
                        <w:color w:val="000000"/>
                        <w:sz w:val="14"/>
                        <w:szCs w:val="14"/>
                      </w:rPr>
                      <w:t>mp</w:t>
                    </w:r>
                  </w:p>
                </w:txbxContent>
              </v:textbox>
            </v:rect>
            <v:rect id="_x0000_s3586" style="position:absolute;left:34;top:184;width:101;height:240;mso-wrap-style:none" filled="f" stroked="f">
              <v:textbox style="mso-fit-shape-to-text:t" inset="0,0,0,0">
                <w:txbxContent>
                  <w:p w:rsidR="00A905B7" w:rsidRDefault="00A905B7">
                    <w:r>
                      <w:rPr>
                        <w:color w:val="000000"/>
                      </w:rPr>
                      <w:t>q</w:t>
                    </w:r>
                  </w:p>
                </w:txbxContent>
              </v:textbox>
            </v:rect>
            <w10:wrap type="none"/>
            <w10:anchorlock/>
          </v:group>
        </w:pict>
      </w:r>
    </w:p>
    <w:p w:rsidR="00D75405" w:rsidRPr="00B04DC3" w:rsidRDefault="00D75405" w:rsidP="00D75405">
      <w:pPr>
        <w:pStyle w:val="a"/>
        <w:rPr>
          <w:lang w:val="en-GB"/>
        </w:rPr>
      </w:pPr>
      <w:r w:rsidRPr="00B04DC3">
        <w:rPr>
          <w:lang w:val="en-GB"/>
        </w:rPr>
        <w:t>(c)</w:t>
      </w:r>
      <w:r w:rsidRPr="00B04DC3">
        <w:rPr>
          <w:lang w:val="en-GB"/>
        </w:rPr>
        <w:tab/>
        <w:t>The accuracies of the gas analyzers shall be taken into account to guarantee the accuracy of q</w:t>
      </w:r>
      <w:r w:rsidRPr="00B04DC3">
        <w:rPr>
          <w:vertAlign w:val="subscript"/>
          <w:lang w:val="en-GB"/>
        </w:rPr>
        <w:t>mp</w:t>
      </w:r>
      <w:r w:rsidRPr="00B04DC3">
        <w:rPr>
          <w:lang w:val="en-GB"/>
        </w:rPr>
        <w:t>.</w:t>
      </w:r>
    </w:p>
    <w:p w:rsidR="00D75405" w:rsidRPr="00B04DC3" w:rsidRDefault="00D75405" w:rsidP="00D75405">
      <w:pPr>
        <w:pStyle w:val="para"/>
        <w:rPr>
          <w:lang w:val="en-GB"/>
        </w:rPr>
      </w:pPr>
      <w:r w:rsidRPr="00B04DC3">
        <w:rPr>
          <w:lang w:val="en-GB"/>
        </w:rPr>
        <w:t>3.2.2.</w:t>
      </w:r>
      <w:r w:rsidRPr="00B04DC3">
        <w:rPr>
          <w:lang w:val="en-GB"/>
        </w:rPr>
        <w:tab/>
        <w:t>Carbon flow check</w:t>
      </w:r>
    </w:p>
    <w:p w:rsidR="00D75405" w:rsidRPr="00B04DC3" w:rsidRDefault="00D75405" w:rsidP="00D75405">
      <w:pPr>
        <w:pStyle w:val="a"/>
        <w:rPr>
          <w:lang w:val="en-GB"/>
        </w:rPr>
      </w:pPr>
      <w:r w:rsidRPr="00B04DC3">
        <w:rPr>
          <w:lang w:val="en-GB"/>
        </w:rPr>
        <w:t>(a)</w:t>
      </w:r>
      <w:r w:rsidRPr="00B04DC3">
        <w:rPr>
          <w:lang w:val="en-GB"/>
        </w:rPr>
        <w:tab/>
        <w:t>A carbon flow check using actual exhaust is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rsidR="00D75405" w:rsidRPr="00B04DC3" w:rsidRDefault="00D75405" w:rsidP="00D75405">
      <w:pPr>
        <w:pStyle w:val="a"/>
        <w:rPr>
          <w:lang w:val="en-GB"/>
        </w:rPr>
      </w:pPr>
      <w:r w:rsidRPr="00B04DC3">
        <w:rPr>
          <w:lang w:val="en-GB"/>
        </w:rPr>
        <w:t>(b)</w:t>
      </w:r>
      <w:r w:rsidRPr="00B04DC3">
        <w:rPr>
          <w:lang w:val="en-GB"/>
        </w:rPr>
        <w:tab/>
        <w:t>The engine shall be operated at peak torque load and speed or any other steady state mode that produces 5 per cent or more of CO</w:t>
      </w:r>
      <w:r w:rsidRPr="00B04DC3">
        <w:rPr>
          <w:vertAlign w:val="subscript"/>
          <w:lang w:val="en-GB"/>
        </w:rPr>
        <w:t>2</w:t>
      </w:r>
      <w:r w:rsidRPr="00B04DC3">
        <w:rPr>
          <w:lang w:val="en-GB"/>
        </w:rPr>
        <w:t>. The partial flow sampling system shall be operated with a dilution factor of about 15 to 1.</w:t>
      </w:r>
    </w:p>
    <w:p w:rsidR="00D75405" w:rsidRPr="00B04DC3" w:rsidRDefault="00D75405" w:rsidP="00D75405">
      <w:pPr>
        <w:pStyle w:val="a"/>
        <w:rPr>
          <w:lang w:val="en-GB"/>
        </w:rPr>
      </w:pPr>
      <w:r w:rsidRPr="00B04DC3">
        <w:rPr>
          <w:lang w:val="en-GB"/>
        </w:rPr>
        <w:t>(c)</w:t>
      </w:r>
      <w:r w:rsidRPr="00B04DC3">
        <w:rPr>
          <w:lang w:val="en-GB"/>
        </w:rPr>
        <w:tab/>
        <w:t>If a carbon flow check is conducted, the procedure given in Appendix 6 to this annex shall be applied. The carbon flow rates shall be calculated according to paragraphs 2.1. to 2.3. of Appendix 6 to this annex. All carbon flow rates should agree to within 6 per cent of each other.</w:t>
      </w:r>
    </w:p>
    <w:p w:rsidR="00D75405" w:rsidRPr="00B04DC3" w:rsidRDefault="00D75405" w:rsidP="00D75405">
      <w:pPr>
        <w:pStyle w:val="para"/>
        <w:rPr>
          <w:lang w:val="en-GB"/>
        </w:rPr>
      </w:pPr>
      <w:r w:rsidRPr="00B04DC3">
        <w:rPr>
          <w:lang w:val="en-GB"/>
        </w:rPr>
        <w:t>3.2.3.</w:t>
      </w:r>
      <w:r w:rsidRPr="00B04DC3">
        <w:rPr>
          <w:lang w:val="en-GB"/>
        </w:rPr>
        <w:tab/>
        <w:t>Pre-test check</w:t>
      </w:r>
    </w:p>
    <w:p w:rsidR="00D75405" w:rsidRPr="00B04DC3" w:rsidRDefault="00D75405" w:rsidP="00D75405">
      <w:pPr>
        <w:pStyle w:val="a"/>
        <w:rPr>
          <w:lang w:val="en-GB"/>
        </w:rPr>
      </w:pPr>
      <w:r w:rsidRPr="00B04DC3">
        <w:rPr>
          <w:lang w:val="en-GB"/>
        </w:rPr>
        <w:t>(a)</w:t>
      </w:r>
      <w:r w:rsidRPr="00B04DC3">
        <w:rPr>
          <w:lang w:val="en-GB"/>
        </w:rPr>
        <w:tab/>
        <w:t>A pre-test check shall be performed within 2 hours before the test run in the following way:</w:t>
      </w:r>
    </w:p>
    <w:p w:rsidR="00D75405" w:rsidRPr="00B04DC3" w:rsidRDefault="00D75405" w:rsidP="00D75405">
      <w:pPr>
        <w:pStyle w:val="a"/>
        <w:rPr>
          <w:lang w:val="en-GB"/>
        </w:rPr>
      </w:pPr>
      <w:r w:rsidRPr="00B04DC3">
        <w:rPr>
          <w:lang w:val="en-GB"/>
        </w:rPr>
        <w:t>(b)</w:t>
      </w:r>
      <w:r w:rsidRPr="00B04DC3">
        <w:rPr>
          <w:lang w:val="en-GB"/>
        </w:rPr>
        <w:tab/>
        <w:t>The accuracy of the flow meters shall be checked by the same method as used for calibration (see paragraph 3.2.1. of this appendix) for at least two points, including flow values of q</w:t>
      </w:r>
      <w:r w:rsidRPr="00B04DC3">
        <w:rPr>
          <w:vertAlign w:val="subscript"/>
          <w:lang w:val="en-GB"/>
        </w:rPr>
        <w:t>mdw</w:t>
      </w:r>
      <w:r w:rsidRPr="00B04DC3">
        <w:rPr>
          <w:lang w:val="en-GB"/>
        </w:rPr>
        <w:t xml:space="preserve"> that correspond to dilution ratios between 5 and 15 for the q</w:t>
      </w:r>
      <w:r w:rsidRPr="00B04DC3">
        <w:rPr>
          <w:vertAlign w:val="subscript"/>
          <w:lang w:val="en-GB"/>
        </w:rPr>
        <w:t>mdew</w:t>
      </w:r>
      <w:r w:rsidRPr="00B04DC3">
        <w:rPr>
          <w:lang w:val="en-GB"/>
        </w:rPr>
        <w:t xml:space="preserve"> value used during the test.</w:t>
      </w:r>
    </w:p>
    <w:p w:rsidR="00D75405" w:rsidRPr="00B04DC3" w:rsidRDefault="00D75405" w:rsidP="00D75405">
      <w:pPr>
        <w:pStyle w:val="a"/>
        <w:rPr>
          <w:lang w:val="en-GB"/>
        </w:rPr>
      </w:pPr>
      <w:r w:rsidRPr="00B04DC3">
        <w:rPr>
          <w:lang w:val="en-GB"/>
        </w:rPr>
        <w:t>(c)</w:t>
      </w:r>
      <w:r w:rsidRPr="00B04DC3">
        <w:rPr>
          <w:lang w:val="en-GB"/>
        </w:rPr>
        <w:tab/>
        <w:t xml:space="preserve">If it can be demonstrated by records of the calibration procedure under paragraph 3.2.1. </w:t>
      </w:r>
      <w:r w:rsidR="00F94276">
        <w:rPr>
          <w:lang w:eastAsia="en-GB"/>
        </w:rPr>
        <w:t xml:space="preserve">of this appendix </w:t>
      </w:r>
      <w:r w:rsidRPr="00B04DC3">
        <w:rPr>
          <w:lang w:val="en-GB"/>
        </w:rPr>
        <w:t>that the flow meter calibration is stable over a longer period of time, the pre-test check may be omitted.</w:t>
      </w:r>
    </w:p>
    <w:p w:rsidR="00D75405" w:rsidRPr="00B04DC3" w:rsidRDefault="00D75405" w:rsidP="00D75405">
      <w:pPr>
        <w:pStyle w:val="para"/>
        <w:rPr>
          <w:lang w:val="en-GB"/>
        </w:rPr>
      </w:pPr>
      <w:r w:rsidRPr="00B04DC3">
        <w:rPr>
          <w:lang w:val="en-GB"/>
        </w:rPr>
        <w:t>3.3.</w:t>
      </w:r>
      <w:r w:rsidRPr="00B04DC3">
        <w:rPr>
          <w:lang w:val="en-GB"/>
        </w:rPr>
        <w:tab/>
        <w:t>Determination of transformation time (for partial flow dilution systems on ETC only)</w:t>
      </w:r>
    </w:p>
    <w:p w:rsidR="00D75405" w:rsidRPr="00B04DC3" w:rsidRDefault="00D75405" w:rsidP="00D75405">
      <w:pPr>
        <w:pStyle w:val="para"/>
        <w:ind w:firstLine="0"/>
        <w:rPr>
          <w:lang w:val="en-GB"/>
        </w:rPr>
      </w:pPr>
      <w:r w:rsidRPr="00B04DC3">
        <w:rPr>
          <w:lang w:val="en-GB"/>
        </w:rPr>
        <w:t>The system settings for the transformation time evaluation shall be exactly the same as during measurement of the test run. The transformation time shall be determined by the following method:</w:t>
      </w:r>
    </w:p>
    <w:p w:rsidR="00D75405" w:rsidRPr="00B04DC3" w:rsidRDefault="00D75405" w:rsidP="00593305">
      <w:pPr>
        <w:pStyle w:val="a"/>
        <w:spacing w:after="80"/>
        <w:rPr>
          <w:lang w:val="en-GB"/>
        </w:rPr>
      </w:pPr>
      <w:r w:rsidRPr="00B04DC3">
        <w:rPr>
          <w:lang w:val="en-GB"/>
        </w:rPr>
        <w:t>(a)</w:t>
      </w:r>
      <w:r w:rsidRPr="00B04DC3">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rsidR="00D75405" w:rsidRPr="00B04DC3" w:rsidRDefault="00D75405" w:rsidP="00593305">
      <w:pPr>
        <w:pStyle w:val="a"/>
        <w:spacing w:after="80"/>
        <w:rPr>
          <w:spacing w:val="-2"/>
          <w:lang w:val="en-GB"/>
        </w:rPr>
      </w:pPr>
      <w:r w:rsidRPr="00B04DC3">
        <w:rPr>
          <w:spacing w:val="-2"/>
          <w:lang w:val="en-GB"/>
        </w:rPr>
        <w:t>(b)</w:t>
      </w:r>
      <w:r w:rsidRPr="00B04DC3">
        <w:rPr>
          <w:spacing w:val="-2"/>
          <w:lang w:val="en-GB"/>
        </w:rPr>
        <w:tab/>
        <w:t>A step change shall be introduced to the exhaust flow (or air flow if exhaust flow is calculated) input of the partial flow dilution system, from a low flow to at least 90 per cent of full scale. The trigger for the step change should be the same one used to start the look-ahead control in actual testing. The exhaust flow step stimulus and the flowmeter response shall be recorded at a sample rate of at least 10 Hz.</w:t>
      </w:r>
    </w:p>
    <w:p w:rsidR="00D75405" w:rsidRPr="00593305" w:rsidRDefault="00D75405" w:rsidP="00593305">
      <w:pPr>
        <w:pStyle w:val="a"/>
        <w:spacing w:after="80"/>
        <w:rPr>
          <w:spacing w:val="-4"/>
          <w:lang w:val="en-GB"/>
        </w:rPr>
      </w:pPr>
      <w:r w:rsidRPr="00593305">
        <w:rPr>
          <w:spacing w:val="-4"/>
          <w:lang w:val="en-GB"/>
        </w:rPr>
        <w:t>(c)</w:t>
      </w:r>
      <w:r w:rsidRPr="00593305">
        <w:rPr>
          <w:spacing w:val="-4"/>
          <w:lang w:val="en-GB"/>
        </w:rPr>
        <w:tab/>
        <w:t>From this data, the transformation time shall be determined for the partial flow dilution system, which is the time from the initiation of the step stimulus to the 50 per cent point of the flowmeter response. In a similar manner, the transformation times of the q</w:t>
      </w:r>
      <w:r w:rsidRPr="00593305">
        <w:rPr>
          <w:spacing w:val="-4"/>
          <w:vertAlign w:val="subscript"/>
          <w:lang w:val="en-GB"/>
        </w:rPr>
        <w:t>mp</w:t>
      </w:r>
      <w:r w:rsidRPr="00593305">
        <w:rPr>
          <w:spacing w:val="-4"/>
          <w:lang w:val="en-GB"/>
        </w:rPr>
        <w:t xml:space="preserve"> signal of the partial flow dilution system and of the q</w:t>
      </w:r>
      <w:r w:rsidRPr="00593305">
        <w:rPr>
          <w:spacing w:val="-4"/>
          <w:vertAlign w:val="subscript"/>
          <w:lang w:val="en-GB"/>
        </w:rPr>
        <w:t>mew,i</w:t>
      </w:r>
      <w:r w:rsidRPr="00593305">
        <w:rPr>
          <w:spacing w:val="-4"/>
          <w:lang w:val="en-GB"/>
        </w:rPr>
        <w:t xml:space="preserve"> signal of the exhaust flow meter shall be determined. These signals are used in the regression checks performed after each test (see paragraph 3.8.3.2. of Appendix 2 to this annex).</w:t>
      </w:r>
    </w:p>
    <w:p w:rsidR="00D75405" w:rsidRPr="00B04DC3" w:rsidRDefault="00D75405" w:rsidP="00593305">
      <w:pPr>
        <w:pStyle w:val="a"/>
        <w:spacing w:after="80"/>
        <w:rPr>
          <w:lang w:val="en-GB"/>
        </w:rPr>
      </w:pPr>
      <w:r w:rsidRPr="00B04DC3">
        <w:rPr>
          <w:lang w:val="en-GB"/>
        </w:rPr>
        <w:t>(d)</w:t>
      </w:r>
      <w:r w:rsidRPr="00B04DC3">
        <w:rPr>
          <w:lang w:val="en-GB"/>
        </w:rPr>
        <w:tab/>
        <w:t>The calculation shall be repeated for at least 5 rise and fall stimuli, and the results shall be averaged. The internal transformation time (&lt; 100 ms) of the reference flowmeter shall be subtracted from this value. This is the "look</w:t>
      </w:r>
      <w:r w:rsidRPr="00B04DC3">
        <w:rPr>
          <w:lang w:val="en-GB"/>
        </w:rPr>
        <w:noBreakHyphen/>
        <w:t>ahead" value of the partial flow dilution system, which shall be applied in accordance with paragraph 3.8.3.2. of Appendix 2 to this annex.</w:t>
      </w:r>
    </w:p>
    <w:p w:rsidR="00D75405" w:rsidRPr="00B04DC3" w:rsidRDefault="00D75405" w:rsidP="00593305">
      <w:pPr>
        <w:pStyle w:val="para"/>
        <w:spacing w:after="100"/>
        <w:rPr>
          <w:lang w:val="en-GB"/>
        </w:rPr>
      </w:pPr>
      <w:r w:rsidRPr="00B04DC3">
        <w:rPr>
          <w:lang w:val="en-GB"/>
        </w:rPr>
        <w:t>3.4.</w:t>
      </w:r>
      <w:r w:rsidRPr="00B04DC3">
        <w:rPr>
          <w:lang w:val="en-GB"/>
        </w:rPr>
        <w:tab/>
        <w:t>Checking the partial flow conditions</w:t>
      </w:r>
    </w:p>
    <w:p w:rsidR="00D75405" w:rsidRPr="00B04DC3" w:rsidRDefault="00D75405" w:rsidP="00593305">
      <w:pPr>
        <w:pStyle w:val="para"/>
        <w:spacing w:after="100"/>
        <w:rPr>
          <w:lang w:val="en-GB"/>
        </w:rPr>
      </w:pPr>
      <w:r w:rsidRPr="00B04DC3">
        <w:rPr>
          <w:lang w:val="en-GB"/>
        </w:rPr>
        <w:tab/>
        <w:t xml:space="preserve">The range of the exhaust gas velocity and the pressure oscillations shall be checked and adjusted according to the requirements of paragraph 2.2.1. of Appendix 7 </w:t>
      </w:r>
      <w:r w:rsidR="00926159">
        <w:rPr>
          <w:lang w:val="en-GB"/>
        </w:rPr>
        <w:t>regarding Exhaust Pipe (</w:t>
      </w:r>
      <w:r w:rsidRPr="00F94276">
        <w:rPr>
          <w:lang w:val="en-GB"/>
        </w:rPr>
        <w:t>EP)</w:t>
      </w:r>
      <w:r w:rsidRPr="00B04DC3">
        <w:rPr>
          <w:lang w:val="en-GB"/>
        </w:rPr>
        <w:t>, if applicable.</w:t>
      </w:r>
    </w:p>
    <w:p w:rsidR="00D75405" w:rsidRPr="00B04DC3" w:rsidRDefault="00D75405" w:rsidP="00593305">
      <w:pPr>
        <w:pStyle w:val="para"/>
        <w:spacing w:after="100"/>
        <w:rPr>
          <w:lang w:val="en-GB"/>
        </w:rPr>
      </w:pPr>
      <w:r w:rsidRPr="00B04DC3">
        <w:rPr>
          <w:lang w:val="en-GB"/>
        </w:rPr>
        <w:t>3.5.</w:t>
      </w:r>
      <w:r w:rsidRPr="00B04DC3">
        <w:rPr>
          <w:lang w:val="en-GB"/>
        </w:rPr>
        <w:tab/>
        <w:t>Calibration intervals</w:t>
      </w:r>
    </w:p>
    <w:p w:rsidR="00D75405" w:rsidRPr="00B04DC3" w:rsidRDefault="00D75405" w:rsidP="00593305">
      <w:pPr>
        <w:pStyle w:val="para"/>
        <w:spacing w:after="100"/>
        <w:rPr>
          <w:lang w:val="en-GB"/>
        </w:rPr>
      </w:pPr>
      <w:r w:rsidRPr="00B04DC3">
        <w:rPr>
          <w:lang w:val="en-GB"/>
        </w:rPr>
        <w:tab/>
        <w:t>The flow measurement instrumentation shall be calibrated at least every three months or whenever a system repair or change is made that could influence calibration.</w:t>
      </w:r>
    </w:p>
    <w:p w:rsidR="00D75405" w:rsidRPr="00B04DC3" w:rsidRDefault="00D75405" w:rsidP="00593305">
      <w:pPr>
        <w:pStyle w:val="para"/>
        <w:spacing w:after="100"/>
        <w:rPr>
          <w:lang w:val="en-GB"/>
        </w:rPr>
      </w:pPr>
      <w:r w:rsidRPr="00B04DC3">
        <w:rPr>
          <w:lang w:val="en-GB"/>
        </w:rPr>
        <w:t>4.</w:t>
      </w:r>
      <w:r w:rsidRPr="00B04DC3">
        <w:rPr>
          <w:lang w:val="en-GB"/>
        </w:rPr>
        <w:tab/>
        <w:t>Calibration of the smoke measurement equipment</w:t>
      </w:r>
    </w:p>
    <w:p w:rsidR="00D75405" w:rsidRPr="00B04DC3" w:rsidRDefault="00D75405" w:rsidP="00593305">
      <w:pPr>
        <w:pStyle w:val="para"/>
        <w:spacing w:after="100"/>
        <w:rPr>
          <w:lang w:val="en-GB"/>
        </w:rPr>
      </w:pPr>
      <w:r w:rsidRPr="00B04DC3">
        <w:rPr>
          <w:lang w:val="en-GB"/>
        </w:rPr>
        <w:t>4.1.</w:t>
      </w:r>
      <w:r w:rsidRPr="00B04DC3">
        <w:rPr>
          <w:lang w:val="en-GB"/>
        </w:rPr>
        <w:tab/>
        <w:t>Introduction</w:t>
      </w:r>
    </w:p>
    <w:p w:rsidR="00D75405" w:rsidRPr="00B04DC3" w:rsidRDefault="00D75405" w:rsidP="00593305">
      <w:pPr>
        <w:pStyle w:val="para"/>
        <w:spacing w:after="100"/>
        <w:rPr>
          <w:lang w:val="en-GB"/>
        </w:rPr>
      </w:pPr>
      <w:r w:rsidRPr="00B04DC3">
        <w:rPr>
          <w:lang w:val="en-GB"/>
        </w:rPr>
        <w:tab/>
        <w:t>The opacimeter shall be calibrated as often as necessary to fulfil the accuracy requirements of this Regulation. The calibration method to be used is described in this paragraph for the components indicated in Appendix 4, paragraph 5</w:t>
      </w:r>
      <w:r w:rsidR="008C3328">
        <w:rPr>
          <w:lang w:val="en-GB"/>
        </w:rPr>
        <w:t>.</w:t>
      </w:r>
      <w:r w:rsidR="00F94276">
        <w:rPr>
          <w:lang w:val="en-GB"/>
        </w:rPr>
        <w:t>,</w:t>
      </w:r>
      <w:r w:rsidRPr="00B04DC3">
        <w:rPr>
          <w:lang w:val="en-GB"/>
        </w:rPr>
        <w:t xml:space="preserve"> and Appendix 7, paragraph 3.</w:t>
      </w:r>
      <w:r w:rsidR="00F94276">
        <w:rPr>
          <w:lang w:val="en-GB"/>
        </w:rPr>
        <w:t>,</w:t>
      </w:r>
      <w:r w:rsidRPr="00B04DC3">
        <w:rPr>
          <w:lang w:val="en-GB"/>
        </w:rPr>
        <w:t xml:space="preserve"> to this annex.</w:t>
      </w:r>
    </w:p>
    <w:p w:rsidR="00D75405" w:rsidRPr="00B04DC3" w:rsidRDefault="00D75405" w:rsidP="00593305">
      <w:pPr>
        <w:pStyle w:val="para"/>
        <w:spacing w:after="100"/>
        <w:rPr>
          <w:lang w:val="en-GB"/>
        </w:rPr>
      </w:pPr>
      <w:r w:rsidRPr="00B04DC3">
        <w:rPr>
          <w:lang w:val="en-GB"/>
        </w:rPr>
        <w:t>4.2.</w:t>
      </w:r>
      <w:r w:rsidRPr="00B04DC3">
        <w:rPr>
          <w:lang w:val="en-GB"/>
        </w:rPr>
        <w:tab/>
        <w:t>Calibration procedure</w:t>
      </w:r>
    </w:p>
    <w:p w:rsidR="00D75405" w:rsidRPr="00B04DC3" w:rsidRDefault="00D75405" w:rsidP="00593305">
      <w:pPr>
        <w:pStyle w:val="para"/>
        <w:spacing w:after="100"/>
        <w:rPr>
          <w:lang w:val="en-GB"/>
        </w:rPr>
      </w:pPr>
      <w:r w:rsidRPr="00B04DC3">
        <w:rPr>
          <w:lang w:val="en-GB"/>
        </w:rPr>
        <w:t>4.2.1.</w:t>
      </w:r>
      <w:r w:rsidRPr="00B04DC3">
        <w:rPr>
          <w:lang w:val="en-GB"/>
        </w:rPr>
        <w:tab/>
        <w:t>Warming-up time</w:t>
      </w:r>
    </w:p>
    <w:p w:rsidR="00D75405" w:rsidRPr="00B04DC3" w:rsidRDefault="00D75405" w:rsidP="00593305">
      <w:pPr>
        <w:pStyle w:val="para"/>
        <w:spacing w:after="100"/>
        <w:rPr>
          <w:lang w:val="en-GB"/>
        </w:rPr>
      </w:pPr>
      <w:r w:rsidRPr="00B04DC3">
        <w:rPr>
          <w:lang w:val="en-GB"/>
        </w:rPr>
        <w:tab/>
        <w:t>The opacimeter shall be warmed up and stabilised according to the manufacturer's recommendations. If the opacimeter is equipped with a purge air system to prevent sooting of the instrument optics, this system should also be activated and adjusted according to the manufacturer's recommendations.</w:t>
      </w:r>
    </w:p>
    <w:p w:rsidR="00D75405" w:rsidRPr="00B04DC3" w:rsidRDefault="00D75405" w:rsidP="00D75405">
      <w:pPr>
        <w:pStyle w:val="para"/>
        <w:rPr>
          <w:lang w:val="en-GB"/>
        </w:rPr>
      </w:pPr>
      <w:r w:rsidRPr="00B04DC3">
        <w:rPr>
          <w:lang w:val="en-GB"/>
        </w:rPr>
        <w:t>4.2.2.</w:t>
      </w:r>
      <w:r w:rsidRPr="00B04DC3">
        <w:rPr>
          <w:lang w:val="en-GB"/>
        </w:rPr>
        <w:tab/>
        <w:t>Establishment of the linearity response</w:t>
      </w:r>
    </w:p>
    <w:p w:rsidR="00D75405" w:rsidRPr="00B04DC3" w:rsidRDefault="00D75405" w:rsidP="00D75405">
      <w:pPr>
        <w:pStyle w:val="para"/>
        <w:rPr>
          <w:lang w:val="en-GB"/>
        </w:rPr>
      </w:pPr>
      <w:r w:rsidRPr="00B04DC3">
        <w:rPr>
          <w:lang w:val="en-GB"/>
        </w:rPr>
        <w:tab/>
        <w:t>The linearity of the opacimeter shall be checked in the opacity readout mode as per the manufacturer's recommendations. Three neutral density filters of known transmittance, which shall meet the requirements of Appendix 4, paragraph 5.2.5.</w:t>
      </w:r>
      <w:r w:rsidR="00F94276">
        <w:rPr>
          <w:lang w:val="en-GB"/>
        </w:rPr>
        <w:t>,</w:t>
      </w:r>
      <w:r w:rsidRPr="00B04DC3">
        <w:rPr>
          <w:lang w:val="en-GB"/>
        </w:rPr>
        <w:t xml:space="preserve"> to this annex, shall be introduced to the opacimeter and the value recorded. The neutral density filters shall have nominal opacities of approximately 10 per cent, 20 per cent and 40 per cent.</w:t>
      </w:r>
    </w:p>
    <w:p w:rsidR="00D75405" w:rsidRPr="00B04DC3" w:rsidRDefault="00D75405" w:rsidP="00D75405">
      <w:pPr>
        <w:pStyle w:val="para"/>
        <w:rPr>
          <w:lang w:val="en-GB"/>
        </w:rPr>
      </w:pPr>
      <w:r w:rsidRPr="00B04DC3">
        <w:rPr>
          <w:lang w:val="en-GB"/>
        </w:rPr>
        <w:tab/>
        <w:t>The linearity shall not differ by more than ±2 per cent opacity from the nominal value of the neutral density filter. Any non-linearity exceeding the above value shall be corrected prior to the test.</w:t>
      </w:r>
    </w:p>
    <w:p w:rsidR="00D75405" w:rsidRPr="00B04DC3" w:rsidRDefault="00D75405" w:rsidP="00D75405">
      <w:pPr>
        <w:pStyle w:val="para"/>
        <w:rPr>
          <w:lang w:val="en-GB"/>
        </w:rPr>
      </w:pPr>
      <w:r w:rsidRPr="00B04DC3">
        <w:rPr>
          <w:lang w:val="en-GB"/>
        </w:rPr>
        <w:t>4.3.</w:t>
      </w:r>
      <w:r w:rsidRPr="00B04DC3">
        <w:rPr>
          <w:lang w:val="en-GB"/>
        </w:rPr>
        <w:tab/>
        <w:t>Calibration intervals</w:t>
      </w:r>
    </w:p>
    <w:p w:rsidR="00D75405" w:rsidRPr="00B04DC3" w:rsidRDefault="00D75405" w:rsidP="00D75405">
      <w:pPr>
        <w:pStyle w:val="para"/>
        <w:rPr>
          <w:lang w:val="en-GB"/>
        </w:rPr>
      </w:pPr>
      <w:r w:rsidRPr="00B04DC3">
        <w:rPr>
          <w:lang w:val="en-GB"/>
        </w:rPr>
        <w:tab/>
        <w:t xml:space="preserve">The opacimeter shall be calibrated according to paragraph 4.2.2. </w:t>
      </w:r>
      <w:r w:rsidR="00F94276">
        <w:rPr>
          <w:lang w:val="en-GB"/>
        </w:rPr>
        <w:t xml:space="preserve">above </w:t>
      </w:r>
      <w:r w:rsidRPr="00B04DC3">
        <w:rPr>
          <w:lang w:val="en-GB"/>
        </w:rPr>
        <w:t>at least every three months or whenever a system repair or change is made that could influence calibration.</w:t>
      </w:r>
    </w:p>
    <w:p w:rsidR="00D75405" w:rsidRPr="00B04DC3" w:rsidRDefault="00D75405" w:rsidP="00D75405">
      <w:pPr>
        <w:pStyle w:val="Point0"/>
        <w:tabs>
          <w:tab w:val="left" w:pos="1134"/>
          <w:tab w:val="left" w:pos="1701"/>
          <w:tab w:val="left" w:pos="2268"/>
          <w:tab w:val="left" w:pos="2835"/>
        </w:tabs>
        <w:spacing w:before="0" w:after="0"/>
        <w:ind w:left="1134" w:hanging="1134"/>
      </w:pPr>
    </w:p>
    <w:p w:rsidR="00D75405" w:rsidRPr="00B04DC3" w:rsidRDefault="00D75405" w:rsidP="00D75405">
      <w:pPr>
        <w:pStyle w:val="HChG"/>
        <w:sectPr w:rsidR="00D75405" w:rsidRPr="00B04DC3" w:rsidSect="00C04835">
          <w:headerReference w:type="even" r:id="rId309"/>
          <w:footnotePr>
            <w:numRestart w:val="eachSect"/>
          </w:footnotePr>
          <w:endnotePr>
            <w:numFmt w:val="decimal"/>
          </w:endnotePr>
          <w:pgSz w:w="11907" w:h="16840" w:code="9"/>
          <w:pgMar w:top="1954" w:right="1134" w:bottom="2268" w:left="1134" w:header="1134" w:footer="1701" w:gutter="0"/>
          <w:cols w:space="720"/>
        </w:sectPr>
      </w:pPr>
    </w:p>
    <w:p w:rsidR="00D75405" w:rsidRPr="00B04DC3" w:rsidRDefault="00D75405" w:rsidP="00593305">
      <w:pPr>
        <w:pStyle w:val="HChG"/>
        <w:spacing w:after="360"/>
      </w:pPr>
      <w:bookmarkStart w:id="267" w:name="_Toc423599533"/>
      <w:bookmarkStart w:id="268" w:name="_Toc423610941"/>
      <w:r w:rsidRPr="00B04DC3">
        <w:t>Annex 4A</w:t>
      </w:r>
      <w:r w:rsidR="00A552B9">
        <w:t xml:space="preserve"> - </w:t>
      </w:r>
      <w:r w:rsidRPr="00B04DC3">
        <w:t>Appendix 6</w:t>
      </w:r>
      <w:bookmarkEnd w:id="267"/>
      <w:bookmarkEnd w:id="268"/>
    </w:p>
    <w:p w:rsidR="00D75405" w:rsidRPr="00B04DC3" w:rsidRDefault="00D75405" w:rsidP="00593305">
      <w:pPr>
        <w:pStyle w:val="HChG"/>
        <w:spacing w:after="360"/>
        <w:rPr>
          <w:bCs/>
        </w:rPr>
      </w:pPr>
      <w:r w:rsidRPr="00B04DC3">
        <w:rPr>
          <w:bCs/>
        </w:rPr>
        <w:tab/>
      </w:r>
      <w:r w:rsidRPr="00B04DC3">
        <w:rPr>
          <w:bCs/>
        </w:rPr>
        <w:tab/>
      </w:r>
      <w:bookmarkStart w:id="269" w:name="_Toc423599534"/>
      <w:bookmarkStart w:id="270" w:name="_Toc423610942"/>
      <w:r w:rsidRPr="00B04DC3">
        <w:rPr>
          <w:bCs/>
        </w:rPr>
        <w:t>Carbon flow check</w:t>
      </w:r>
      <w:bookmarkEnd w:id="269"/>
      <w:bookmarkEnd w:id="270"/>
    </w:p>
    <w:p w:rsidR="00D75405" w:rsidRPr="00B04DC3" w:rsidRDefault="00D75405" w:rsidP="00D75405">
      <w:pPr>
        <w:pStyle w:val="para"/>
        <w:rPr>
          <w:lang w:val="en-GB"/>
        </w:rPr>
      </w:pPr>
      <w:r w:rsidRPr="00B04DC3">
        <w:rPr>
          <w:lang w:val="en-GB"/>
        </w:rPr>
        <w:t>1.</w:t>
      </w:r>
      <w:r w:rsidRPr="00B04DC3">
        <w:rPr>
          <w:lang w:val="en-GB"/>
        </w:rPr>
        <w:tab/>
        <w:t>Introduction</w:t>
      </w:r>
    </w:p>
    <w:p w:rsidR="00D75405" w:rsidRPr="00B04DC3" w:rsidRDefault="00D75405" w:rsidP="00D75405">
      <w:pPr>
        <w:pStyle w:val="para"/>
        <w:rPr>
          <w:lang w:val="en-GB"/>
        </w:rPr>
      </w:pPr>
      <w:r w:rsidRPr="00B04DC3">
        <w:rPr>
          <w:lang w:val="en-GB"/>
        </w:rPr>
        <w:tab/>
        <w:t>All but a tiny part of the carbon in the exhaust comes from the fuel, and all but a minimal part of this is manifest in the exhaust gas as CO</w:t>
      </w:r>
      <w:r w:rsidRPr="00B04DC3">
        <w:rPr>
          <w:vertAlign w:val="subscript"/>
          <w:lang w:val="en-GB"/>
        </w:rPr>
        <w:t>2</w:t>
      </w:r>
      <w:r w:rsidRPr="00B04DC3">
        <w:rPr>
          <w:lang w:val="en-GB"/>
        </w:rPr>
        <w:t>. This is the basis for a system verification check based on CO</w:t>
      </w:r>
      <w:r w:rsidRPr="00B04DC3">
        <w:rPr>
          <w:vertAlign w:val="subscript"/>
          <w:lang w:val="en-GB"/>
        </w:rPr>
        <w:t>2</w:t>
      </w:r>
      <w:r w:rsidRPr="00B04DC3">
        <w:rPr>
          <w:lang w:val="en-GB"/>
        </w:rPr>
        <w:t xml:space="preserve"> measurements.</w:t>
      </w:r>
    </w:p>
    <w:p w:rsidR="00D75405" w:rsidRPr="00B04DC3" w:rsidRDefault="00D75405" w:rsidP="00D75405">
      <w:pPr>
        <w:pStyle w:val="para"/>
        <w:rPr>
          <w:lang w:val="en-GB"/>
        </w:rPr>
      </w:pPr>
      <w:r w:rsidRPr="00B04DC3">
        <w:rPr>
          <w:lang w:val="en-GB"/>
        </w:rPr>
        <w:tab/>
        <w:t>The flow of carbon into the exhaust measurement systems is determined from the fuel flow rate. The flow of carbon at various sampling points in the emissions and particulate sampling systems is determined from the CO</w:t>
      </w:r>
      <w:r w:rsidRPr="00B04DC3">
        <w:rPr>
          <w:vertAlign w:val="subscript"/>
          <w:lang w:val="en-GB"/>
        </w:rPr>
        <w:t>2</w:t>
      </w:r>
      <w:r w:rsidRPr="00B04DC3">
        <w:rPr>
          <w:lang w:val="en-GB"/>
        </w:rPr>
        <w:t xml:space="preserve"> concentrations and gas flow rates at those points.</w:t>
      </w:r>
    </w:p>
    <w:p w:rsidR="00D75405" w:rsidRPr="00B04DC3" w:rsidRDefault="00D75405" w:rsidP="001A5519">
      <w:pPr>
        <w:pStyle w:val="para"/>
        <w:ind w:left="1701"/>
        <w:rPr>
          <w:lang w:val="en-GB"/>
        </w:rPr>
      </w:pPr>
      <w:r w:rsidRPr="00B04DC3">
        <w:rPr>
          <w:lang w:val="en-GB"/>
        </w:rPr>
        <w:tab/>
        <w:t xml:space="preserve">In this sense, the engine provides a known source of carbon flow, and observing the same carbon flow in the exhaust pipe and at the outlet of the partial flow </w:t>
      </w:r>
      <w:r w:rsidR="001A5519">
        <w:rPr>
          <w:lang w:val="en-GB"/>
        </w:rPr>
        <w:t>Particulate matter (</w:t>
      </w:r>
      <w:r w:rsidRPr="00B04DC3">
        <w:rPr>
          <w:lang w:val="en-GB"/>
        </w:rPr>
        <w:t>PM</w:t>
      </w:r>
      <w:r w:rsidR="001A5519">
        <w:rPr>
          <w:lang w:val="en-GB"/>
        </w:rPr>
        <w:t>)</w:t>
      </w:r>
      <w:r w:rsidRPr="00B04DC3">
        <w:rPr>
          <w:lang w:val="en-GB"/>
        </w:rPr>
        <w:t xml:space="preserve"> sampling system verifies leak integrity and flow measurement accuracy. This check has the advantage that the components are operating under actual engine test conditions of temperature and flow.</w:t>
      </w:r>
    </w:p>
    <w:p w:rsidR="00D75405" w:rsidRPr="00B04DC3" w:rsidRDefault="00D75405" w:rsidP="00D75405">
      <w:pPr>
        <w:pStyle w:val="para"/>
        <w:rPr>
          <w:lang w:val="en-GB"/>
        </w:rPr>
      </w:pPr>
      <w:r w:rsidRPr="00B04DC3">
        <w:rPr>
          <w:lang w:val="en-GB"/>
        </w:rPr>
        <w:tab/>
        <w:t>The following diagram shows the sampling points at which the carbon flows shall be checked. The specific equations for the carbon flows at each of the sample points are given below.</w:t>
      </w:r>
    </w:p>
    <w:p w:rsidR="00D75405" w:rsidRPr="00B04DC3" w:rsidRDefault="00D75405" w:rsidP="00D75405">
      <w:pPr>
        <w:pStyle w:val="Heading1"/>
      </w:pPr>
      <w:bookmarkStart w:id="271" w:name="_Toc399939948"/>
      <w:bookmarkStart w:id="272" w:name="_Toc423599535"/>
      <w:bookmarkStart w:id="273" w:name="_Toc423610943"/>
      <w:r w:rsidRPr="00B04DC3">
        <w:t>Figure 7</w:t>
      </w:r>
      <w:bookmarkEnd w:id="271"/>
      <w:bookmarkEnd w:id="272"/>
      <w:bookmarkEnd w:id="273"/>
    </w:p>
    <w:p w:rsidR="00D75405" w:rsidRPr="00B04DC3" w:rsidRDefault="00D75405" w:rsidP="00D75405">
      <w:pPr>
        <w:pStyle w:val="Heading1"/>
        <w:rPr>
          <w:b/>
          <w:bCs/>
        </w:rPr>
      </w:pPr>
      <w:bookmarkStart w:id="274" w:name="_Toc399939949"/>
      <w:bookmarkStart w:id="275" w:name="_Toc423599536"/>
      <w:bookmarkStart w:id="276" w:name="_Toc423610944"/>
      <w:r w:rsidRPr="00B04DC3">
        <w:rPr>
          <w:b/>
          <w:bCs/>
        </w:rPr>
        <w:t>Measuring points for carbon flow check</w:t>
      </w:r>
      <w:bookmarkEnd w:id="274"/>
      <w:bookmarkEnd w:id="275"/>
      <w:bookmarkEnd w:id="276"/>
    </w:p>
    <w:p w:rsidR="00D75405" w:rsidRPr="00B04DC3" w:rsidRDefault="00A905B7" w:rsidP="00D75405">
      <w:pPr>
        <w:pStyle w:val="SingleTxtG"/>
      </w:pPr>
      <w:r>
        <w:rPr>
          <w:noProof/>
        </w:rPr>
        <w:pict>
          <v:group id="_x0000_s3642" editas="canvas" style="position:absolute;left:0;text-align:left;margin-left:55.35pt;margin-top:.15pt;width:401.75pt;height:238.8pt;z-index:251577344" coordorigin="2317,2317" coordsize="6600,3923">
            <o:lock v:ext="edit" aspectratio="t"/>
            <v:shape id="_x0000_s3643" type="#_x0000_t75" style="position:absolute;left:2317;top:2317;width:6600;height:3923" o:preferrelative="f">
              <v:fill o:detectmouseclick="t"/>
              <v:path o:extrusionok="t" o:connecttype="none"/>
              <o:lock v:ext="edit" text="t"/>
            </v:shape>
            <v:rect id="_x0000_s3644" style="position:absolute;left:2670;top:2812;width:936;height:286" filled="f" stroked="f">
              <o:lock v:ext="edit" aspectratio="t"/>
            </v:rect>
            <v:rect id="_x0000_s3645" style="position:absolute;left:2747;top:2861;width:906;height:242" filled="f" stroked="f">
              <o:lock v:ext="edit" aspectratio="t"/>
            </v:rect>
            <v:rect id="_x0000_s3646" style="position:absolute;left:2747;top:2891;width:734;height:368" filled="f" stroked="f">
              <o:lock v:ext="edit" aspectratio="t"/>
              <v:textbox style="mso-next-textbox:#_x0000_s3646" inset="0,0,0,0">
                <w:txbxContent>
                  <w:p w:rsidR="00A905B7" w:rsidRDefault="00A905B7" w:rsidP="00D75405">
                    <w:r>
                      <w:rPr>
                        <w:b/>
                        <w:bCs/>
                        <w:color w:val="000000"/>
                        <w:sz w:val="16"/>
                        <w:szCs w:val="16"/>
                        <w:lang w:val="en-US"/>
                      </w:rPr>
                      <w:t>Air     Fuel</w:t>
                    </w:r>
                  </w:p>
                </w:txbxContent>
              </v:textbox>
            </v:rect>
            <v:line id="_x0000_s3647" style="position:absolute" from="2861,3067" to="2862,3241" strokeweight=".45pt">
              <o:lock v:ext="edit" aspectratio="t"/>
            </v:line>
            <v:shape id="_x0000_s3648" style="position:absolute;left:2817;top:3239;width:84;height:84" coordsize="84,84" path="m,l44,84,84,,,xe" fillcolor="black" stroked="f">
              <v:path arrowok="t"/>
              <o:lock v:ext="edit" aspectratio="t"/>
            </v:shape>
            <v:line id="_x0000_s3649" style="position:absolute" from="3370,3067" to="3371,3241" strokeweight=".45pt">
              <o:lock v:ext="edit" aspectratio="t"/>
            </v:line>
            <v:shape id="_x0000_s3650" style="position:absolute;left:3326;top:3239;width:84;height:84" coordsize="84,84" path="m,l44,84,84,,,xe" fillcolor="black" stroked="f">
              <v:path arrowok="t"/>
              <o:lock v:ext="edit" aspectratio="t"/>
            </v:shape>
            <v:rect id="_x0000_s3651" style="position:absolute;left:2542;top:3451;width:1214;height:651" filled="f" strokeweight=".45pt">
              <o:lock v:ext="edit" aspectratio="t"/>
            </v:rect>
            <v:rect id="_x0000_s3652" style="position:absolute;left:2643;top:3636;width:1122;height:350" filled="f" stroked="f">
              <o:lock v:ext="edit" aspectratio="t"/>
            </v:rect>
            <v:rect id="_x0000_s3653" style="position:absolute;left:2643;top:3685;width:1026;height:598" filled="f" stroked="f">
              <o:lock v:ext="edit" aspectratio="t"/>
              <v:textbox style="mso-next-textbox:#_x0000_s3653" inset="0,0,0,0">
                <w:txbxContent>
                  <w:p w:rsidR="00A905B7" w:rsidRDefault="00A905B7" w:rsidP="00D75405">
                    <w:r>
                      <w:rPr>
                        <w:b/>
                        <w:bCs/>
                        <w:color w:val="000000"/>
                        <w:sz w:val="26"/>
                        <w:szCs w:val="26"/>
                        <w:lang w:val="en-US"/>
                      </w:rPr>
                      <w:t>ENGINE</w:t>
                    </w:r>
                  </w:p>
                </w:txbxContent>
              </v:textbox>
            </v:rect>
            <v:rect id="_x0000_s3654" style="position:absolute;left:4784;top:2944;width:927;height:286" filled="f" stroked="f">
              <o:lock v:ext="edit" aspectratio="t"/>
            </v:rect>
            <v:rect id="_x0000_s3655" style="position:absolute;left:4861;top:2993;width:350;height:244" filled="f" stroked="f">
              <o:lock v:ext="edit" aspectratio="t"/>
            </v:rect>
            <v:rect id="_x0000_s3656" style="position:absolute;left:4861;top:3024;width:413;height:315" filled="f" stroked="f">
              <o:lock v:ext="edit" aspectratio="t"/>
              <v:textbox style="mso-next-textbox:#_x0000_s3656" inset="0,0,0,0">
                <w:txbxContent>
                  <w:p w:rsidR="00A905B7" w:rsidRDefault="00A905B7" w:rsidP="00D75405">
                    <w:r>
                      <w:rPr>
                        <w:b/>
                        <w:bCs/>
                        <w:color w:val="000000"/>
                        <w:sz w:val="16"/>
                        <w:szCs w:val="16"/>
                        <w:lang w:val="en-US"/>
                      </w:rPr>
                      <w:t>CO</w:t>
                    </w:r>
                    <w:r w:rsidRPr="004369AA">
                      <w:rPr>
                        <w:b/>
                        <w:bCs/>
                        <w:color w:val="000000"/>
                        <w:sz w:val="16"/>
                        <w:szCs w:val="16"/>
                        <w:vertAlign w:val="subscript"/>
                        <w:lang w:val="en-US"/>
                      </w:rPr>
                      <w:t>2</w:t>
                    </w:r>
                  </w:p>
                </w:txbxContent>
              </v:textbox>
            </v:rect>
            <v:rect id="_x0000_s3657" style="position:absolute;left:5115;top:3083;width:114;height:167" filled="f" stroked="f">
              <o:lock v:ext="edit" aspectratio="t"/>
            </v:rect>
            <v:rect id="_x0000_s3658" style="position:absolute;left:5115;top:3105;width:61;height:138" filled="f" stroked="f">
              <o:lock v:ext="edit" aspectratio="t"/>
              <v:textbox style="mso-next-textbox:#_x0000_s3658" inset="0,0,0,0">
                <w:txbxContent>
                  <w:p w:rsidR="00A905B7" w:rsidRDefault="00A905B7" w:rsidP="00D75405"/>
                </w:txbxContent>
              </v:textbox>
            </v:rect>
            <v:rect id="_x0000_s3659" style="position:absolute;left:5217;top:3051;width:349;height:167" filled="f" stroked="f">
              <o:lock v:ext="edit" aspectratio="t"/>
            </v:rect>
            <v:rect id="_x0000_s3660" style="position:absolute;left:5217;top:3071;width:245;height:230" filled="f" stroked="f">
              <o:lock v:ext="edit" aspectratio="t"/>
              <v:textbox style="mso-next-textbox:#_x0000_s3660" inset="0,0,0,0">
                <w:txbxContent>
                  <w:p w:rsidR="00A905B7" w:rsidRDefault="00A905B7" w:rsidP="00D75405">
                    <w:r>
                      <w:rPr>
                        <w:b/>
                        <w:bCs/>
                        <w:color w:val="000000"/>
                        <w:sz w:val="10"/>
                        <w:szCs w:val="10"/>
                        <w:lang w:val="en-US"/>
                      </w:rPr>
                      <w:t>RAW</w:t>
                    </w:r>
                  </w:p>
                </w:txbxContent>
              </v:textbox>
            </v:rect>
            <v:rect id="_x0000_s3661" style="position:absolute;left:6938;top:2812;width:827;height:286" filled="f" stroked="f">
              <o:lock v:ext="edit" aspectratio="t"/>
            </v:rect>
            <v:line id="_x0000_s3662" style="position:absolute" from="3752,3642" to="6047,3643" strokeweight=".45pt">
              <o:lock v:ext="edit" aspectratio="t"/>
            </v:line>
            <v:line id="_x0000_s3663" style="position:absolute" from="4646,3642" to="4647,5240" strokeweight=".45pt">
              <o:lock v:ext="edit" aspectratio="t"/>
            </v:line>
            <v:line id="_x0000_s3664" style="position:absolute" from="4135,5303" to="4581,5304" strokeweight=".45pt">
              <o:lock v:ext="edit" aspectratio="t"/>
            </v:line>
            <v:rect id="_x0000_s3665" style="position:absolute;left:4581;top:5240;width:641;height:130" filled="f" strokeweight=".45pt">
              <o:lock v:ext="edit" aspectratio="t"/>
            </v:rect>
            <v:rect id="_x0000_s3666" style="position:absolute;left:4129;top:4919;width:9;height:31" fillcolor="black" stroked="f">
              <o:lock v:ext="edit" aspectratio="t"/>
            </v:rect>
            <v:rect id="_x0000_s3667" style="position:absolute;left:4129;top:4975;width:9;height:31" fillcolor="black" stroked="f">
              <o:lock v:ext="edit" aspectratio="t"/>
            </v:rect>
            <v:rect id="_x0000_s3668" style="position:absolute;left:4129;top:5031;width:9;height:33" fillcolor="black" stroked="f">
              <o:lock v:ext="edit" aspectratio="t"/>
            </v:rect>
            <v:rect id="_x0000_s3669" style="position:absolute;left:4129;top:5086;width:9;height:32" fillcolor="black" stroked="f">
              <o:lock v:ext="edit" aspectratio="t"/>
            </v:rect>
            <v:rect id="_x0000_s3670" style="position:absolute;left:4129;top:5142;width:9;height:32" fillcolor="black" stroked="f">
              <o:lock v:ext="edit" aspectratio="t"/>
            </v:rect>
            <v:rect id="_x0000_s3671" style="position:absolute;left:4129;top:5198;width:9;height:33" fillcolor="black" stroked="f">
              <o:lock v:ext="edit" aspectratio="t"/>
            </v:rect>
            <v:rect id="_x0000_s3672" style="position:absolute;left:4129;top:5254;width:9;height:33" fillcolor="black" stroked="f">
              <o:lock v:ext="edit" aspectratio="t"/>
            </v:rect>
            <v:rect id="_x0000_s3673" style="position:absolute;left:4129;top:5310;width:9;height:33" fillcolor="black" stroked="f">
              <o:lock v:ext="edit" aspectratio="t"/>
            </v:rect>
            <v:rect id="_x0000_s3674" style="position:absolute;left:4129;top:5366;width:9;height:33" fillcolor="black" stroked="f">
              <o:lock v:ext="edit" aspectratio="t"/>
            </v:rect>
            <v:rect id="_x0000_s3675" style="position:absolute;left:4129;top:5421;width:9;height:32" fillcolor="black" stroked="f">
              <o:lock v:ext="edit" aspectratio="t"/>
            </v:rect>
            <v:rect id="_x0000_s3676" style="position:absolute;left:4129;top:5477;width:9;height:33" fillcolor="black" stroked="f">
              <o:lock v:ext="edit" aspectratio="t"/>
            </v:rect>
            <v:rect id="_x0000_s3677" style="position:absolute;left:4129;top:5533;width:9;height:33" fillcolor="black" stroked="f">
              <o:lock v:ext="edit" aspectratio="t"/>
            </v:rect>
            <v:rect id="_x0000_s3678" style="position:absolute;left:4129;top:5589;width:9;height:33" fillcolor="black" stroked="f">
              <o:lock v:ext="edit" aspectratio="t"/>
            </v:rect>
            <v:rect id="_x0000_s3679" style="position:absolute;left:4158;top:5618;width:31;height:8" fillcolor="black" stroked="f">
              <o:lock v:ext="edit" aspectratio="t"/>
            </v:rect>
            <v:rect id="_x0000_s3680" style="position:absolute;left:4214;top:5618;width:31;height:8" fillcolor="black" stroked="f">
              <o:lock v:ext="edit" aspectratio="t"/>
            </v:rect>
            <v:rect id="_x0000_s3681" style="position:absolute;left:4271;top:5618;width:30;height:8" fillcolor="black" stroked="f">
              <o:lock v:ext="edit" aspectratio="t"/>
            </v:rect>
            <v:rect id="_x0000_s3682" style="position:absolute;left:4325;top:5618;width:33;height:8" fillcolor="black" stroked="f">
              <o:lock v:ext="edit" aspectratio="t"/>
            </v:rect>
            <v:rect id="_x0000_s3683" style="position:absolute;left:4381;top:5618;width:33;height:8" fillcolor="black" stroked="f">
              <o:lock v:ext="edit" aspectratio="t"/>
            </v:rect>
            <v:rect id="_x0000_s3684" style="position:absolute;left:4437;top:5618;width:33;height:8" fillcolor="black" stroked="f">
              <o:lock v:ext="edit" aspectratio="t"/>
            </v:rect>
            <v:rect id="_x0000_s3685" style="position:absolute;left:4492;top:5618;width:32;height:8" fillcolor="black" stroked="f">
              <o:lock v:ext="edit" aspectratio="t"/>
            </v:rect>
            <v:rect id="_x0000_s3686" style="position:absolute;left:4548;top:5618;width:33;height:8" fillcolor="black" stroked="f">
              <o:lock v:ext="edit" aspectratio="t"/>
            </v:rect>
            <v:rect id="_x0000_s3687" style="position:absolute;left:4604;top:5618;width:33;height:8" fillcolor="black" stroked="f">
              <o:lock v:ext="edit" aspectratio="t"/>
            </v:rect>
            <v:rect id="_x0000_s3688" style="position:absolute;left:4660;top:5618;width:31;height:8" fillcolor="black" stroked="f">
              <o:lock v:ext="edit" aspectratio="t"/>
            </v:rect>
            <v:rect id="_x0000_s3689" style="position:absolute;left:4716;top:5618;width:31;height:8" fillcolor="black" stroked="f">
              <o:lock v:ext="edit" aspectratio="t"/>
            </v:rect>
            <v:rect id="_x0000_s3690" style="position:absolute;left:4771;top:5618;width:32;height:8" fillcolor="black" stroked="f">
              <o:lock v:ext="edit" aspectratio="t"/>
            </v:rect>
            <v:rect id="_x0000_s3691" style="position:absolute;left:4827;top:5618;width:33;height:8" fillcolor="black" stroked="f">
              <o:lock v:ext="edit" aspectratio="t"/>
            </v:rect>
            <v:rect id="_x0000_s3692" style="position:absolute;left:4883;top:5618;width:31;height:8" fillcolor="black" stroked="f">
              <o:lock v:ext="edit" aspectratio="t"/>
            </v:rect>
            <v:rect id="_x0000_s3693" style="position:absolute;left:4939;top:5618;width:31;height:8" fillcolor="black" stroked="f">
              <o:lock v:ext="edit" aspectratio="t"/>
            </v:rect>
            <v:rect id="_x0000_s3694" style="position:absolute;left:4996;top:5618;width:30;height:8" fillcolor="black" stroked="f">
              <o:lock v:ext="edit" aspectratio="t"/>
            </v:rect>
            <v:rect id="_x0000_s3695" style="position:absolute;left:5050;top:5618;width:33;height:8" fillcolor="black" stroked="f">
              <o:lock v:ext="edit" aspectratio="t"/>
            </v:rect>
            <v:rect id="_x0000_s3696" style="position:absolute;left:5106;top:5618;width:33;height:8" fillcolor="black" stroked="f">
              <o:lock v:ext="edit" aspectratio="t"/>
            </v:rect>
            <v:rect id="_x0000_s3697" style="position:absolute;left:5162;top:5618;width:33;height:8" fillcolor="black" stroked="f">
              <o:lock v:ext="edit" aspectratio="t"/>
            </v:rect>
            <v:rect id="_x0000_s3698" style="position:absolute;left:5213;top:5589;width:9;height:33" fillcolor="black" stroked="f">
              <o:lock v:ext="edit" aspectratio="t"/>
            </v:rect>
            <v:rect id="_x0000_s3699" style="position:absolute;left:5213;top:5533;width:9;height:33" fillcolor="black" stroked="f">
              <o:lock v:ext="edit" aspectratio="t"/>
            </v:rect>
            <v:rect id="_x0000_s3700" style="position:absolute;left:5213;top:5477;width:9;height:33" fillcolor="black" stroked="f">
              <o:lock v:ext="edit" aspectratio="t"/>
            </v:rect>
            <v:rect id="_x0000_s3701" style="position:absolute;left:5213;top:5421;width:9;height:32" fillcolor="black" stroked="f">
              <o:lock v:ext="edit" aspectratio="t"/>
            </v:rect>
            <v:rect id="_x0000_s3702" style="position:absolute;left:5213;top:5366;width:9;height:33" fillcolor="black" stroked="f">
              <o:lock v:ext="edit" aspectratio="t"/>
            </v:rect>
            <v:rect id="_x0000_s3703" style="position:absolute;left:5213;top:5310;width:9;height:33" fillcolor="black" stroked="f">
              <o:lock v:ext="edit" aspectratio="t"/>
            </v:rect>
            <v:rect id="_x0000_s3704" style="position:absolute;left:5213;top:5254;width:9;height:33" fillcolor="black" stroked="f">
              <o:lock v:ext="edit" aspectratio="t"/>
            </v:rect>
            <v:rect id="_x0000_s3705" style="position:absolute;left:5213;top:5198;width:9;height:33" fillcolor="black" stroked="f">
              <o:lock v:ext="edit" aspectratio="t"/>
            </v:rect>
            <v:rect id="_x0000_s3706" style="position:absolute;left:5213;top:5142;width:9;height:32" fillcolor="black" stroked="f">
              <o:lock v:ext="edit" aspectratio="t"/>
            </v:rect>
            <v:rect id="_x0000_s3707" style="position:absolute;left:5213;top:5086;width:9;height:32" fillcolor="black" stroked="f">
              <o:lock v:ext="edit" aspectratio="t"/>
            </v:rect>
            <v:rect id="_x0000_s3708" style="position:absolute;left:5213;top:5031;width:9;height:33" fillcolor="black" stroked="f">
              <o:lock v:ext="edit" aspectratio="t"/>
            </v:rect>
            <v:rect id="_x0000_s3709" style="position:absolute;left:5213;top:4975;width:9;height:31" fillcolor="black" stroked="f">
              <o:lock v:ext="edit" aspectratio="t"/>
            </v:rect>
            <v:rect id="_x0000_s3710" style="position:absolute;left:5213;top:4919;width:9;height:31" fillcolor="black" stroked="f">
              <o:lock v:ext="edit" aspectratio="t"/>
            </v:rect>
            <v:rect id="_x0000_s3711" style="position:absolute;left:5162;top:4915;width:33;height:8" fillcolor="black" stroked="f">
              <o:lock v:ext="edit" aspectratio="t"/>
            </v:rect>
            <v:rect id="_x0000_s3712" style="position:absolute;left:5106;top:4915;width:33;height:8" fillcolor="black" stroked="f">
              <o:lock v:ext="edit" aspectratio="t"/>
            </v:rect>
            <v:rect id="_x0000_s3713" style="position:absolute;left:5050;top:4915;width:33;height:8" fillcolor="black" stroked="f">
              <o:lock v:ext="edit" aspectratio="t"/>
            </v:rect>
            <v:rect id="_x0000_s3714" style="position:absolute;left:4996;top:4915;width:30;height:8" fillcolor="black" stroked="f">
              <o:lock v:ext="edit" aspectratio="t"/>
            </v:rect>
            <v:rect id="_x0000_s3715" style="position:absolute;left:4939;top:4915;width:31;height:8" fillcolor="black" stroked="f">
              <o:lock v:ext="edit" aspectratio="t"/>
            </v:rect>
            <v:rect id="_x0000_s3716" style="position:absolute;left:4883;top:4915;width:31;height:8" fillcolor="black" stroked="f">
              <o:lock v:ext="edit" aspectratio="t"/>
            </v:rect>
            <v:rect id="_x0000_s3717" style="position:absolute;left:4827;top:4915;width:33;height:8" fillcolor="black" stroked="f">
              <o:lock v:ext="edit" aspectratio="t"/>
            </v:rect>
            <v:rect id="_x0000_s3718" style="position:absolute;left:4771;top:4915;width:32;height:8" fillcolor="black" stroked="f">
              <o:lock v:ext="edit" aspectratio="t"/>
            </v:rect>
            <v:rect id="_x0000_s3719" style="position:absolute;left:4716;top:4915;width:31;height:8" fillcolor="black" stroked="f">
              <o:lock v:ext="edit" aspectratio="t"/>
            </v:rect>
            <v:rect id="_x0000_s3720" style="position:absolute;left:4660;top:4915;width:31;height:8" fillcolor="black" stroked="f">
              <o:lock v:ext="edit" aspectratio="t"/>
            </v:rect>
            <v:rect id="_x0000_s3721" style="position:absolute;left:4604;top:4915;width:33;height:8" fillcolor="black" stroked="f">
              <o:lock v:ext="edit" aspectratio="t"/>
            </v:rect>
            <v:rect id="_x0000_s3722" style="position:absolute;left:4548;top:4915;width:33;height:8" fillcolor="black" stroked="f">
              <o:lock v:ext="edit" aspectratio="t"/>
            </v:rect>
            <v:rect id="_x0000_s3723" style="position:absolute;left:4492;top:4915;width:32;height:8" fillcolor="black" stroked="f">
              <o:lock v:ext="edit" aspectratio="t"/>
            </v:rect>
            <v:rect id="_x0000_s3724" style="position:absolute;left:4437;top:4915;width:33;height:8" fillcolor="black" stroked="f">
              <o:lock v:ext="edit" aspectratio="t"/>
            </v:rect>
            <v:rect id="_x0000_s3725" style="position:absolute;left:4381;top:4915;width:33;height:8" fillcolor="black" stroked="f">
              <o:lock v:ext="edit" aspectratio="t"/>
            </v:rect>
            <v:rect id="_x0000_s3726" style="position:absolute;left:4325;top:4915;width:33;height:8" fillcolor="black" stroked="f">
              <o:lock v:ext="edit" aspectratio="t"/>
            </v:rect>
            <v:rect id="_x0000_s3727" style="position:absolute;left:4271;top:4915;width:30;height:8" fillcolor="black" stroked="f">
              <o:lock v:ext="edit" aspectratio="t"/>
            </v:rect>
            <v:rect id="_x0000_s3728" style="position:absolute;left:4214;top:4915;width:31;height:8" fillcolor="black" stroked="f">
              <o:lock v:ext="edit" aspectratio="t"/>
            </v:rect>
            <v:rect id="_x0000_s3729" style="position:absolute;left:4158;top:4915;width:31;height:8" fillcolor="black" stroked="f">
              <o:lock v:ext="edit" aspectratio="t"/>
            </v:rect>
            <v:shape id="_x0000_s3730" style="position:absolute;left:5213;top:5298;width:40;height:9" coordsize="40,9" path="m6,l4,r,1l2,3,,5r2,l4,7r,2l35,9r1,l38,9,40,7r,-2l40,5r,-2l38,1,36,,6,xe" fillcolor="black" strokeweight=".35pt">
              <v:path arrowok="t"/>
              <o:lock v:ext="edit" aspectratio="t"/>
            </v:shape>
            <v:shape id="_x0000_s3731" style="position:absolute;left:5269;top:5298;width:40;height:9" coordsize="40,9" path="m4,l2,r,1l,3,,5r,l,7,2,9r,l35,9r1,l38,9r,-2l40,5r,l38,3r,-2l36,,4,xe" fillcolor="black" strokeweight=".35pt">
              <v:path arrowok="t"/>
              <o:lock v:ext="edit" aspectratio="t"/>
            </v:shape>
            <v:shape id="_x0000_s3732" style="position:absolute;left:5325;top:5298;width:40;height:9" coordsize="40,9" path="m4,l2,,,1,,3,,5r,l,7,,9r2,l35,9r2,l37,9,38,7,40,5r,l38,3,37,1,37,,4,xe" fillcolor="black" strokeweight=".35pt">
              <v:path arrowok="t"/>
              <o:lock v:ext="edit" aspectratio="t"/>
            </v:shape>
            <v:shape id="_x0000_s3733" style="position:absolute;left:5380;top:5298;width:40;height:9" coordsize="40,9" path="m5,l3,,2,1,,3,,5r,l,7,2,9r1,l36,9r,l38,9,40,7r,-2l40,5r,-2l38,1,36,,5,xe" fillcolor="black" strokeweight=".35pt">
              <v:path arrowok="t"/>
              <o:lock v:ext="edit" aspectratio="t"/>
            </v:shape>
            <v:shape id="_x0000_s3734" style="position:absolute;left:5436;top:5298;width:40;height:9" coordsize="40,9" path="m5,l4,,2,1,,3,,5r,l,7,2,9r2,l34,9r2,l38,9r,-2l40,5r,l38,3r,-2l36,,5,xe" fillcolor="black" strokeweight=".35pt">
              <v:path arrowok="t"/>
              <o:lock v:ext="edit" aspectratio="t"/>
            </v:shape>
            <v:shape id="_x0000_s3735" style="position:absolute;left:5492;top:5298;width:40;height:9" coordsize="40,9" path="m4,r,l2,1,,3,,5r,l,7,2,9r2,l35,9r1,l36,9,38,7,40,5r,l38,3,36,1,36,,4,xe" fillcolor="black" strokeweight=".35pt">
              <v:path arrowok="t"/>
              <o:lock v:ext="edit" aspectratio="t"/>
            </v:shape>
            <v:shape id="_x0000_s3736" style="position:absolute;left:5548;top:5298;width:40;height:9" coordsize="40,9" path="m4,l2,r,1l,3,,5r,l,7,2,9r,l35,9r,l37,9,38,7,40,5r,l38,3,37,1,35,,4,xe" fillcolor="black" strokeweight=".35pt">
              <v:path arrowok="t"/>
              <o:lock v:ext="edit" aspectratio="t"/>
            </v:shape>
            <v:shape id="_x0000_s3737" style="position:absolute;left:5605;top:5298;width:39;height:9" coordsize="39,9" path="m3,l1,r,1l,3,,5r,l,7,1,9r,l34,9r,l36,9,38,7,39,5r,l38,3,36,1,34,,3,xe" fillcolor="black" strokeweight=".35pt">
              <v:path arrowok="t"/>
              <o:lock v:ext="edit" aspectratio="t"/>
            </v:shape>
            <v:rect id="_x0000_s3738" style="position:absolute;left:8049;top:4408;width:819;height:286" filled="f" stroked="f">
              <o:lock v:ext="edit" aspectratio="t"/>
            </v:rect>
            <v:rect id="_x0000_s3739" style="position:absolute;left:5983;top:4662;width:1702;height:208" filled="f" stroked="f">
              <o:lock v:ext="edit" aspectratio="t"/>
            </v:rect>
            <v:rect id="_x0000_s3740" style="position:absolute;left:5465;top:5377;width:701;height:287" filled="f" stroked="f">
              <o:lock v:ext="edit" aspectratio="t"/>
            </v:rect>
            <v:rect id="_x0000_s3741" style="position:absolute;left:6058;top:5385;width:349;height:244" filled="f" stroked="f">
              <o:lock v:ext="edit" aspectratio="t"/>
            </v:rect>
            <v:rect id="_x0000_s3742" style="position:absolute;left:6058;top:5415;width:399;height:304" filled="f" stroked="f">
              <o:lock v:ext="edit" aspectratio="t"/>
              <v:textbox style="mso-next-textbox:#_x0000_s3742" inset="0,0,0,0">
                <w:txbxContent>
                  <w:p w:rsidR="00A905B7" w:rsidRDefault="00A905B7" w:rsidP="00D75405">
                    <w:r>
                      <w:rPr>
                        <w:b/>
                        <w:bCs/>
                        <w:color w:val="000000"/>
                        <w:sz w:val="16"/>
                        <w:szCs w:val="16"/>
                        <w:lang w:val="en-US"/>
                      </w:rPr>
                      <w:t>CO</w:t>
                    </w:r>
                    <w:r w:rsidRPr="004369AA">
                      <w:rPr>
                        <w:b/>
                        <w:bCs/>
                        <w:color w:val="000000"/>
                        <w:sz w:val="16"/>
                        <w:szCs w:val="16"/>
                        <w:vertAlign w:val="subscript"/>
                        <w:lang w:val="en-US"/>
                      </w:rPr>
                      <w:t>2</w:t>
                    </w:r>
                  </w:p>
                </w:txbxContent>
              </v:textbox>
            </v:rect>
            <v:rect id="_x0000_s3743" style="position:absolute;left:6313;top:5477;width:114;height:165" filled="f" stroked="f">
              <o:lock v:ext="edit" aspectratio="t"/>
            </v:rect>
            <v:rect id="_x0000_s3744" style="position:absolute;left:6313;top:5499;width:61;height:138" filled="f" stroked="f">
              <o:lock v:ext="edit" aspectratio="t"/>
              <v:textbox style="mso-next-textbox:#_x0000_s3744" inset="0,0,0,0">
                <w:txbxContent>
                  <w:p w:rsidR="00A905B7" w:rsidRPr="004369AA" w:rsidRDefault="00A905B7" w:rsidP="00D75405"/>
                </w:txbxContent>
              </v:textbox>
            </v:rect>
            <v:rect id="_x0000_s3745" style="position:absolute;left:6371;top:5385;width:123;height:244" filled="f" stroked="f">
              <o:lock v:ext="edit" aspectratio="t"/>
            </v:rect>
            <v:rect id="_x0000_s3746" style="position:absolute;left:6413;top:5443;width:270;height:166" filled="f" stroked="f">
              <o:lock v:ext="edit" aspectratio="t"/>
            </v:rect>
            <v:rect id="_x0000_s3747" style="position:absolute;left:6413;top:5462;width:178;height:230" filled="f" stroked="f">
              <o:lock v:ext="edit" aspectratio="t"/>
              <v:textbox style="mso-next-textbox:#_x0000_s3747" inset="0,0,0,0">
                <w:txbxContent>
                  <w:p w:rsidR="00A905B7" w:rsidRDefault="00A905B7" w:rsidP="00D75405">
                    <w:r>
                      <w:rPr>
                        <w:b/>
                        <w:bCs/>
                        <w:color w:val="000000"/>
                        <w:sz w:val="10"/>
                        <w:szCs w:val="10"/>
                        <w:lang w:val="en-US"/>
                      </w:rPr>
                      <w:t>PFS</w:t>
                    </w:r>
                  </w:p>
                </w:txbxContent>
              </v:textbox>
            </v:rect>
            <v:rect id="_x0000_s3748" style="position:absolute;left:6875;top:5240;width:2042;height:284" filled="f" stroked="f">
              <o:lock v:ext="edit" aspectratio="t"/>
            </v:rect>
            <v:rect id="_x0000_s3749" style="position:absolute;left:3877;top:5737;width:1624;height:284" filled="f" stroked="f">
              <o:lock v:ext="edit" aspectratio="t"/>
            </v:rect>
            <v:rect id="_x0000_s3750" style="position:absolute;left:3930;top:5798;width:1633;height:244" filled="f" stroked="f">
              <o:lock v:ext="edit" aspectratio="t"/>
            </v:rect>
            <v:rect id="_x0000_s3751" style="position:absolute;left:3930;top:5828;width:1378;height:368" filled="f" stroked="f">
              <o:lock v:ext="edit" aspectratio="t"/>
              <v:textbox style="mso-next-textbox:#_x0000_s3751" inset="0,0,0,0">
                <w:txbxContent>
                  <w:p w:rsidR="00A905B7" w:rsidRDefault="00A905B7" w:rsidP="00D75405">
                    <w:r>
                      <w:rPr>
                        <w:b/>
                        <w:bCs/>
                        <w:color w:val="000000"/>
                        <w:sz w:val="16"/>
                        <w:szCs w:val="16"/>
                        <w:lang w:val="en-US"/>
                      </w:rPr>
                      <w:t>Partial flow system</w:t>
                    </w:r>
                  </w:p>
                </w:txbxContent>
              </v:textbox>
            </v:rect>
            <v:rect id="_x0000_s3752" style="position:absolute;left:2988;top:2556;width:242;height:285" filled="f" stroked="f">
              <o:lock v:ext="edit" aspectratio="t"/>
            </v:rect>
            <v:rect id="_x0000_s3753" style="position:absolute;left:3064;top:2607;width:165;height:252" filled="f" stroked="f">
              <o:lock v:ext="edit" aspectratio="t"/>
            </v:rect>
            <v:rect id="_x0000_s3754" style="position:absolute;left:3065;top:2638;width:81;height:184" filled="f" stroked="f">
              <o:lock v:ext="edit" aspectratio="t"/>
              <v:textbox style="mso-next-textbox:#_x0000_s3754" inset="0,0,0,0">
                <w:txbxContent>
                  <w:p w:rsidR="00A905B7" w:rsidRDefault="00A905B7" w:rsidP="00D75405">
                    <w:r>
                      <w:rPr>
                        <w:color w:val="000000"/>
                        <w:sz w:val="16"/>
                        <w:szCs w:val="16"/>
                        <w:lang w:val="en-US"/>
                      </w:rPr>
                      <w:t>1</w:t>
                    </w:r>
                  </w:p>
                </w:txbxContent>
              </v:textbox>
            </v:rect>
            <v:oval id="_x0000_s3755" style="position:absolute;left:2971;top:2556;width:259;height:257" filled="f" strokeweight=".45pt">
              <o:lock v:ext="edit" aspectratio="t"/>
            </v:oval>
            <v:rect id="_x0000_s3756" style="position:absolute;left:5117;top:2699;width:243;height:285" filled="f" stroked="f">
              <o:lock v:ext="edit" aspectratio="t"/>
            </v:rect>
            <v:rect id="_x0000_s3757" style="position:absolute;left:5195;top:2752;width:165;height:250" filled="f" stroked="f">
              <o:lock v:ext="edit" aspectratio="t"/>
            </v:rect>
            <v:rect id="_x0000_s3758" style="position:absolute;left:5195;top:2783;width:81;height:184" filled="f" stroked="f">
              <o:lock v:ext="edit" aspectratio="t"/>
              <v:textbox style="mso-next-textbox:#_x0000_s3758" inset="0,0,0,0">
                <w:txbxContent>
                  <w:p w:rsidR="00A905B7" w:rsidRDefault="00A905B7" w:rsidP="00D75405">
                    <w:r>
                      <w:rPr>
                        <w:color w:val="000000"/>
                        <w:sz w:val="16"/>
                        <w:szCs w:val="16"/>
                        <w:lang w:val="en-US"/>
                      </w:rPr>
                      <w:t>2</w:t>
                    </w:r>
                  </w:p>
                </w:txbxContent>
              </v:textbox>
            </v:rect>
            <v:oval id="_x0000_s3759" style="position:absolute;left:5103;top:2699;width:257;height:259" filled="f" strokeweight=".45pt">
              <o:lock v:ext="edit" aspectratio="t"/>
            </v:oval>
            <v:group id="_x0000_s3760" style="position:absolute;left:5157;top:3268;width:1292;height:2138" coordorigin="5157,3268" coordsize="1292,2138">
              <o:lock v:ext="edit" aspectratio="t"/>
              <v:rect id="_x0000_s3761" style="position:absolute;left:6206;top:5104;width:243;height:286" filled="f" stroked="f">
                <o:lock v:ext="edit" aspectratio="t"/>
              </v:rect>
              <v:rect id="_x0000_s3762" style="position:absolute;left:6284;top:5156;width:165;height:250" filled="f" stroked="f">
                <o:lock v:ext="edit" aspectratio="t"/>
              </v:rect>
              <v:rect id="_x0000_s3763" style="position:absolute;left:6284;top:5187;width:81;height:184" filled="f" stroked="f">
                <o:lock v:ext="edit" aspectratio="t"/>
                <v:textbox style="mso-next-textbox:#_x0000_s3763" inset="0,0,0,0">
                  <w:txbxContent>
                    <w:p w:rsidR="00A905B7" w:rsidRDefault="00A905B7" w:rsidP="00D75405">
                      <w:r>
                        <w:rPr>
                          <w:color w:val="000000"/>
                          <w:sz w:val="16"/>
                          <w:szCs w:val="16"/>
                          <w:lang w:val="en-US"/>
                        </w:rPr>
                        <w:t>3</w:t>
                      </w:r>
                    </w:p>
                  </w:txbxContent>
                </v:textbox>
              </v:rect>
              <v:oval id="_x0000_s3764" style="position:absolute;left:6192;top:5104;width:257;height:259" filled="f" strokeweight=".45pt">
                <o:lock v:ext="edit" aspectratio="t"/>
              </v:oval>
              <v:group id="_x0000_s3765" style="position:absolute;left:5157;top:3268;width:118;height:326" coordorigin="5157,3268" coordsize="118,326">
                <o:lock v:ext="edit" aspectratio="t"/>
                <v:line id="_x0000_s3766" style="position:absolute" from="5217,3268" to="5218,3480" strokeweight=".55pt">
                  <o:lock v:ext="edit" aspectratio="t"/>
                </v:line>
                <v:shape id="_x0000_s3767" style="position:absolute;left:5157;top:3477;width:118;height:117" coordsize="118,117" path="m,l60,117,118,,,xe" fillcolor="black" stroked="f">
                  <v:path arrowok="t"/>
                  <o:lock v:ext="edit" aspectratio="t"/>
                </v:shape>
              </v:group>
              <v:group id="_x0000_s3768" style="position:absolute;left:5760;top:5274;width:435;height:118" coordorigin="5760,5274" coordsize="435,118">
                <o:lock v:ext="edit" aspectratio="t"/>
                <v:line id="_x0000_s3769" style="position:absolute;flip:x" from="5875,5334" to="6195,5335" strokeweight=".55pt">
                  <o:lock v:ext="edit" aspectratio="t"/>
                </v:line>
                <v:shape id="_x0000_s3770" style="position:absolute;left:5760;top:5274;width:118;height:118" coordsize="118,118" path="m118,l,60r118,58l118,xe" fillcolor="black" stroked="f">
                  <v:path arrowok="t"/>
                  <o:lock v:ext="edit" aspectratio="t"/>
                </v:shape>
              </v:group>
            </v:group>
            <w10:wrap side="left"/>
          </v:group>
        </w:pict>
      </w: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SingleTxtG"/>
      </w:pPr>
    </w:p>
    <w:p w:rsidR="00D75405" w:rsidRPr="00B04DC3" w:rsidRDefault="00D75405" w:rsidP="00D75405">
      <w:pPr>
        <w:pStyle w:val="para"/>
        <w:spacing w:before="360"/>
        <w:rPr>
          <w:lang w:val="en-GB"/>
        </w:rPr>
      </w:pPr>
      <w:r w:rsidRPr="00B04DC3">
        <w:rPr>
          <w:lang w:val="en-GB"/>
        </w:rPr>
        <w:br w:type="page"/>
        <w:t>2.</w:t>
      </w:r>
      <w:r w:rsidRPr="00B04DC3">
        <w:rPr>
          <w:lang w:val="en-GB"/>
        </w:rPr>
        <w:tab/>
        <w:t>Calculations</w:t>
      </w:r>
    </w:p>
    <w:p w:rsidR="00D75405" w:rsidRPr="00B04DC3" w:rsidRDefault="00D75405" w:rsidP="00D75405">
      <w:pPr>
        <w:pStyle w:val="para"/>
        <w:rPr>
          <w:lang w:val="en-GB"/>
        </w:rPr>
      </w:pPr>
      <w:r w:rsidRPr="00B04DC3">
        <w:rPr>
          <w:lang w:val="en-GB"/>
        </w:rPr>
        <w:t>2.1.</w:t>
      </w:r>
      <w:r w:rsidRPr="00B04DC3">
        <w:rPr>
          <w:lang w:val="en-GB"/>
        </w:rPr>
        <w:tab/>
        <w:t>Carbon flow rate into the engine (location 1)</w:t>
      </w:r>
    </w:p>
    <w:p w:rsidR="00D75405" w:rsidRPr="00B04DC3" w:rsidRDefault="00D75405" w:rsidP="00D75405">
      <w:pPr>
        <w:pStyle w:val="para"/>
        <w:rPr>
          <w:lang w:val="en-GB"/>
        </w:rPr>
      </w:pPr>
      <w:r w:rsidRPr="00B04DC3">
        <w:rPr>
          <w:lang w:val="en-GB"/>
        </w:rPr>
        <w:tab/>
        <w:t>The carbon mass flow rate into the engine for a fuel CH</w:t>
      </w:r>
      <w:r w:rsidRPr="00B04DC3">
        <w:rPr>
          <w:vertAlign w:val="subscript"/>
          <w:lang w:val="en-GB"/>
        </w:rPr>
        <w:t>α</w:t>
      </w:r>
      <w:r w:rsidRPr="00B04DC3">
        <w:rPr>
          <w:lang w:val="en-GB"/>
        </w:rPr>
        <w:t>O</w:t>
      </w:r>
      <w:r w:rsidRPr="00B04DC3">
        <w:rPr>
          <w:vertAlign w:val="subscript"/>
          <w:lang w:val="en-GB"/>
        </w:rPr>
        <w:t>ε</w:t>
      </w:r>
      <w:r w:rsidRPr="00B04DC3">
        <w:rPr>
          <w:lang w:val="en-GB"/>
        </w:rPr>
        <w:t xml:space="preserve"> is given by:</w:t>
      </w:r>
    </w:p>
    <w:p w:rsidR="00D75405" w:rsidRPr="00B04DC3" w:rsidRDefault="00D75405" w:rsidP="00D75405">
      <w:pPr>
        <w:pStyle w:val="para"/>
        <w:rPr>
          <w:lang w:val="en-GB"/>
        </w:rPr>
      </w:pPr>
      <w:r w:rsidRPr="00B04DC3">
        <w:rPr>
          <w:lang w:val="en-GB"/>
        </w:rPr>
        <w:tab/>
      </w:r>
      <w:r w:rsidR="00BD29C3" w:rsidRPr="00BD29C3">
        <w:rPr>
          <w:position w:val="-26"/>
          <w:lang w:val="en-GB"/>
        </w:rPr>
        <w:object w:dxaOrig="3140" w:dyaOrig="580">
          <v:shape id="_x0000_i1188" type="#_x0000_t75" style="width:156.6pt;height:29.4pt" o:ole="">
            <v:imagedata r:id="rId310" o:title=""/>
          </v:shape>
          <o:OLEObject Type="Embed" ProgID="Equation.3" ShapeID="_x0000_i1188" DrawAspect="Content" ObjectID="_1498392327" r:id="rId311"/>
        </w:object>
      </w:r>
    </w:p>
    <w:p w:rsidR="00D75405" w:rsidRPr="00B04DC3" w:rsidRDefault="00D75405" w:rsidP="00D75405">
      <w:pPr>
        <w:pStyle w:val="para"/>
        <w:rPr>
          <w:lang w:val="en-GB"/>
        </w:rPr>
      </w:pPr>
      <w:r w:rsidRPr="00B04DC3">
        <w:rPr>
          <w:lang w:val="en-GB"/>
        </w:rPr>
        <w:tab/>
      </w:r>
      <w:r w:rsidR="00A552B9" w:rsidRPr="00B04DC3">
        <w:rPr>
          <w:lang w:val="en-GB"/>
        </w:rPr>
        <w:t>Where</w:t>
      </w:r>
      <w:r w:rsidRPr="00B04DC3">
        <w:rPr>
          <w:lang w:val="en-GB"/>
        </w:rPr>
        <w:t>:</w:t>
      </w:r>
    </w:p>
    <w:p w:rsidR="00D75405" w:rsidRPr="00B04DC3" w:rsidRDefault="00D75405" w:rsidP="00D75405">
      <w:pPr>
        <w:pStyle w:val="para"/>
        <w:tabs>
          <w:tab w:val="left" w:pos="2835"/>
          <w:tab w:val="left" w:pos="3119"/>
        </w:tabs>
        <w:ind w:left="3458"/>
        <w:rPr>
          <w:lang w:val="en-GB"/>
        </w:rPr>
      </w:pPr>
      <w:r w:rsidRPr="00B04DC3">
        <w:rPr>
          <w:lang w:val="en-GB"/>
        </w:rPr>
        <w:t>q</w:t>
      </w:r>
      <w:r w:rsidRPr="00B04DC3">
        <w:rPr>
          <w:vertAlign w:val="subscript"/>
          <w:lang w:val="en-GB"/>
        </w:rPr>
        <w:t>mf</w:t>
      </w:r>
      <w:r w:rsidRPr="00B04DC3">
        <w:rPr>
          <w:lang w:val="en-GB"/>
        </w:rPr>
        <w:tab/>
        <w:t>=</w:t>
      </w:r>
      <w:r w:rsidRPr="00B04DC3">
        <w:rPr>
          <w:lang w:val="en-GB"/>
        </w:rPr>
        <w:tab/>
        <w:t>fuel mass flow rate, kg/s.</w:t>
      </w:r>
    </w:p>
    <w:p w:rsidR="00D75405" w:rsidRPr="00B04DC3" w:rsidRDefault="00D75405" w:rsidP="00D75405">
      <w:pPr>
        <w:pStyle w:val="para"/>
        <w:rPr>
          <w:lang w:val="en-GB"/>
        </w:rPr>
      </w:pPr>
      <w:r w:rsidRPr="00B04DC3">
        <w:rPr>
          <w:lang w:val="en-GB"/>
        </w:rPr>
        <w:t>2.2.</w:t>
      </w:r>
      <w:r w:rsidRPr="00B04DC3">
        <w:rPr>
          <w:lang w:val="en-GB"/>
        </w:rPr>
        <w:tab/>
        <w:t>Carbon flow rate in the raw exhaust (location 2)</w:t>
      </w:r>
    </w:p>
    <w:p w:rsidR="00D75405" w:rsidRPr="00B04DC3" w:rsidRDefault="00D75405" w:rsidP="00D75405">
      <w:pPr>
        <w:pStyle w:val="para"/>
        <w:rPr>
          <w:lang w:val="en-GB"/>
        </w:rPr>
      </w:pPr>
      <w:r w:rsidRPr="00B04DC3">
        <w:rPr>
          <w:lang w:val="en-GB"/>
        </w:rPr>
        <w:tab/>
        <w:t>The carbon mass flow rate in the exhaust pipe of the engine shall be determined from the raw CO</w:t>
      </w:r>
      <w:r w:rsidRPr="00B04DC3">
        <w:rPr>
          <w:vertAlign w:val="subscript"/>
          <w:lang w:val="en-GB"/>
        </w:rPr>
        <w:t>2</w:t>
      </w:r>
      <w:r w:rsidRPr="00B04DC3">
        <w:rPr>
          <w:lang w:val="en-GB"/>
        </w:rPr>
        <w:t xml:space="preserve"> concentration and the exhaust gas mass flow rate:</w:t>
      </w:r>
    </w:p>
    <w:p w:rsidR="00D75405" w:rsidRPr="00B04DC3" w:rsidRDefault="00D75405" w:rsidP="00D75405">
      <w:pPr>
        <w:pStyle w:val="para"/>
        <w:rPr>
          <w:lang w:val="en-GB"/>
        </w:rPr>
      </w:pPr>
      <w:r w:rsidRPr="00B04DC3">
        <w:rPr>
          <w:lang w:val="en-GB"/>
        </w:rPr>
        <w:tab/>
      </w:r>
      <w:r w:rsidR="00BD29C3" w:rsidRPr="00BD29C3">
        <w:rPr>
          <w:position w:val="-28"/>
          <w:lang w:val="en-GB"/>
        </w:rPr>
        <w:object w:dxaOrig="3519" w:dyaOrig="620">
          <v:shape id="_x0000_i1189" type="#_x0000_t75" style="width:176.4pt;height:30.6pt" o:ole="">
            <v:imagedata r:id="rId312" o:title=""/>
          </v:shape>
          <o:OLEObject Type="Embed" ProgID="Equation.3" ShapeID="_x0000_i1189" DrawAspect="Content" ObjectID="_1498392328" r:id="rId313"/>
        </w:object>
      </w:r>
      <w:r w:rsidRPr="00B04DC3">
        <w:rPr>
          <w:position w:val="-10"/>
          <w:lang w:val="en-GB"/>
        </w:rPr>
        <w:object w:dxaOrig="160" w:dyaOrig="139">
          <v:shape id="_x0000_i1190" type="#_x0000_t75" style="width:8.4pt;height:6.6pt" o:ole="">
            <v:imagedata r:id="rId314" o:title=""/>
          </v:shape>
          <o:OLEObject Type="Embed" ProgID="Equation.3" ShapeID="_x0000_i1190" DrawAspect="Content" ObjectID="_1498392329" r:id="rId315"/>
        </w:object>
      </w:r>
    </w:p>
    <w:p w:rsidR="00D75405" w:rsidRPr="00B04DC3" w:rsidRDefault="00D75405" w:rsidP="00D75405">
      <w:pPr>
        <w:pStyle w:val="para"/>
        <w:rPr>
          <w:lang w:val="en-GB"/>
        </w:rPr>
      </w:pPr>
      <w:r w:rsidRPr="00B04DC3">
        <w:rPr>
          <w:lang w:val="en-GB"/>
        </w:rPr>
        <w:tab/>
      </w:r>
      <w:r w:rsidR="00A552B9" w:rsidRPr="00B04DC3">
        <w:rPr>
          <w:lang w:val="en-GB"/>
        </w:rPr>
        <w:t>Where</w:t>
      </w:r>
      <w:r w:rsidRPr="00B04DC3">
        <w:rPr>
          <w:lang w:val="en-GB"/>
        </w:rPr>
        <w:t>:</w:t>
      </w:r>
    </w:p>
    <w:p w:rsidR="00D75405" w:rsidRPr="00B04DC3" w:rsidRDefault="00D75405" w:rsidP="00D75405">
      <w:pPr>
        <w:pStyle w:val="para"/>
        <w:tabs>
          <w:tab w:val="left" w:pos="2835"/>
          <w:tab w:val="left" w:pos="3119"/>
        </w:tabs>
        <w:ind w:left="3458"/>
        <w:rPr>
          <w:lang w:val="en-GB"/>
        </w:rPr>
      </w:pPr>
      <w:r w:rsidRPr="00B04DC3">
        <w:rPr>
          <w:lang w:val="en-GB"/>
        </w:rPr>
        <w:t>c</w:t>
      </w:r>
      <w:r w:rsidRPr="00B04DC3">
        <w:rPr>
          <w:vertAlign w:val="subscript"/>
          <w:lang w:val="en-GB"/>
        </w:rPr>
        <w:t>CO2,r</w:t>
      </w:r>
      <w:r w:rsidRPr="00B04DC3">
        <w:rPr>
          <w:lang w:val="en-GB"/>
        </w:rPr>
        <w:tab/>
        <w:t>=</w:t>
      </w:r>
      <w:r w:rsidRPr="00B04DC3">
        <w:rPr>
          <w:lang w:val="en-GB"/>
        </w:rPr>
        <w:tab/>
        <w:t>wet CO</w:t>
      </w:r>
      <w:r w:rsidRPr="00B04DC3">
        <w:rPr>
          <w:vertAlign w:val="subscript"/>
          <w:lang w:val="en-GB"/>
        </w:rPr>
        <w:t>2</w:t>
      </w:r>
      <w:r w:rsidRPr="00B04DC3">
        <w:rPr>
          <w:lang w:val="en-GB"/>
        </w:rPr>
        <w:t xml:space="preserve"> concentration in the raw exhaust gas, per cent</w:t>
      </w:r>
    </w:p>
    <w:p w:rsidR="00D75405" w:rsidRPr="00B04DC3" w:rsidRDefault="00D75405" w:rsidP="00D75405">
      <w:pPr>
        <w:pStyle w:val="para"/>
        <w:tabs>
          <w:tab w:val="left" w:pos="2835"/>
          <w:tab w:val="left" w:pos="3119"/>
        </w:tabs>
        <w:ind w:left="3122" w:hanging="798"/>
        <w:rPr>
          <w:lang w:val="en-GB"/>
        </w:rPr>
      </w:pPr>
      <w:r w:rsidRPr="00B04DC3">
        <w:rPr>
          <w:lang w:val="en-GB"/>
        </w:rPr>
        <w:t>c</w:t>
      </w:r>
      <w:r w:rsidRPr="00B04DC3">
        <w:rPr>
          <w:vertAlign w:val="subscript"/>
          <w:lang w:val="en-GB"/>
        </w:rPr>
        <w:t>CO2,a</w:t>
      </w:r>
      <w:r w:rsidRPr="00B04DC3">
        <w:rPr>
          <w:lang w:val="en-GB"/>
        </w:rPr>
        <w:tab/>
        <w:t>=</w:t>
      </w:r>
      <w:r w:rsidRPr="00B04DC3">
        <w:rPr>
          <w:lang w:val="en-GB"/>
        </w:rPr>
        <w:tab/>
        <w:t>wet CO</w:t>
      </w:r>
      <w:r w:rsidRPr="00B04DC3">
        <w:rPr>
          <w:vertAlign w:val="subscript"/>
          <w:lang w:val="en-GB"/>
        </w:rPr>
        <w:t>2</w:t>
      </w:r>
      <w:r w:rsidRPr="00B04DC3">
        <w:rPr>
          <w:lang w:val="en-GB"/>
        </w:rPr>
        <w:t xml:space="preserve"> concentration in the ambient air, per cent (around 0.04 per cent)</w:t>
      </w:r>
    </w:p>
    <w:p w:rsidR="00D75405" w:rsidRPr="00B04DC3" w:rsidRDefault="00D75405" w:rsidP="00D75405">
      <w:pPr>
        <w:pStyle w:val="para"/>
        <w:tabs>
          <w:tab w:val="left" w:pos="2835"/>
          <w:tab w:val="left" w:pos="3119"/>
        </w:tabs>
        <w:ind w:left="3458"/>
        <w:rPr>
          <w:lang w:val="en-GB"/>
        </w:rPr>
      </w:pPr>
      <w:r w:rsidRPr="00B04DC3">
        <w:rPr>
          <w:lang w:val="en-GB"/>
        </w:rPr>
        <w:t>q</w:t>
      </w:r>
      <w:r w:rsidRPr="00B04DC3">
        <w:rPr>
          <w:vertAlign w:val="subscript"/>
          <w:lang w:val="en-GB"/>
        </w:rPr>
        <w:t>mew</w:t>
      </w:r>
      <w:r w:rsidRPr="00B04DC3">
        <w:rPr>
          <w:lang w:val="en-GB"/>
        </w:rPr>
        <w:tab/>
        <w:t>=</w:t>
      </w:r>
      <w:r w:rsidRPr="00B04DC3">
        <w:rPr>
          <w:lang w:val="en-GB"/>
        </w:rPr>
        <w:tab/>
        <w:t>exhaust gas mass flow rate on wet basis, kg/s</w:t>
      </w:r>
    </w:p>
    <w:p w:rsidR="00D75405" w:rsidRPr="00B04DC3" w:rsidRDefault="00D75405" w:rsidP="00D75405">
      <w:pPr>
        <w:pStyle w:val="para"/>
        <w:tabs>
          <w:tab w:val="left" w:pos="2835"/>
          <w:tab w:val="left" w:pos="3119"/>
        </w:tabs>
        <w:ind w:left="3458"/>
        <w:rPr>
          <w:lang w:val="en-GB"/>
        </w:rPr>
      </w:pPr>
      <w:r w:rsidRPr="00B04DC3">
        <w:rPr>
          <w:lang w:val="en-GB"/>
        </w:rPr>
        <w:t>M</w:t>
      </w:r>
      <w:r w:rsidRPr="00B04DC3">
        <w:rPr>
          <w:vertAlign w:val="subscript"/>
          <w:lang w:val="en-GB"/>
        </w:rPr>
        <w:t>re</w:t>
      </w:r>
      <w:r w:rsidRPr="00B04DC3">
        <w:rPr>
          <w:lang w:val="en-GB"/>
        </w:rPr>
        <w:tab/>
        <w:t>=</w:t>
      </w:r>
      <w:r w:rsidRPr="00B04DC3">
        <w:rPr>
          <w:lang w:val="en-GB"/>
        </w:rPr>
        <w:tab/>
        <w:t>molecular mass of exhaust gas.</w:t>
      </w:r>
    </w:p>
    <w:p w:rsidR="00D75405" w:rsidRPr="00B04DC3" w:rsidRDefault="00D75405" w:rsidP="00D75405">
      <w:pPr>
        <w:pStyle w:val="para"/>
        <w:rPr>
          <w:lang w:val="en-GB"/>
        </w:rPr>
      </w:pPr>
      <w:r w:rsidRPr="00B04DC3">
        <w:rPr>
          <w:lang w:val="en-GB"/>
        </w:rPr>
        <w:tab/>
        <w:t>If CO</w:t>
      </w:r>
      <w:r w:rsidRPr="00B04DC3">
        <w:rPr>
          <w:vertAlign w:val="subscript"/>
          <w:lang w:val="en-GB"/>
        </w:rPr>
        <w:t>2</w:t>
      </w:r>
      <w:r w:rsidRPr="00B04DC3">
        <w:rPr>
          <w:lang w:val="en-GB"/>
        </w:rPr>
        <w:t xml:space="preserve"> is measured on a dry basis it shall be converted to a wet basis according to paragraph 5.2. of Appendix 1 to this </w:t>
      </w:r>
      <w:r w:rsidR="00926159">
        <w:rPr>
          <w:lang w:val="en-GB"/>
        </w:rPr>
        <w:t>a</w:t>
      </w:r>
      <w:r w:rsidR="001A5519" w:rsidRPr="00B04DC3">
        <w:rPr>
          <w:lang w:val="en-GB"/>
        </w:rPr>
        <w:t>nnex</w:t>
      </w:r>
      <w:r w:rsidRPr="00B04DC3">
        <w:rPr>
          <w:lang w:val="en-GB"/>
        </w:rPr>
        <w:t>.</w:t>
      </w:r>
    </w:p>
    <w:p w:rsidR="00D75405" w:rsidRPr="00B04DC3" w:rsidRDefault="00D75405" w:rsidP="00D75405">
      <w:pPr>
        <w:pStyle w:val="para"/>
        <w:rPr>
          <w:lang w:val="en-GB"/>
        </w:rPr>
      </w:pPr>
      <w:r w:rsidRPr="00B04DC3">
        <w:rPr>
          <w:lang w:val="en-GB"/>
        </w:rPr>
        <w:t>2.3.</w:t>
      </w:r>
      <w:r w:rsidRPr="00B04DC3">
        <w:rPr>
          <w:lang w:val="en-GB"/>
        </w:rPr>
        <w:tab/>
        <w:t>Carbon flow rate in the dilution system (location 3)</w:t>
      </w:r>
    </w:p>
    <w:p w:rsidR="00D75405" w:rsidRPr="00B04DC3" w:rsidRDefault="00D75405" w:rsidP="00D75405">
      <w:pPr>
        <w:pStyle w:val="para"/>
        <w:rPr>
          <w:lang w:val="en-GB"/>
        </w:rPr>
      </w:pPr>
      <w:r w:rsidRPr="00B04DC3">
        <w:rPr>
          <w:lang w:val="en-GB"/>
        </w:rPr>
        <w:tab/>
        <w:t>The carbon flow rate shall be determined from the dilute CO</w:t>
      </w:r>
      <w:r w:rsidRPr="00B04DC3">
        <w:rPr>
          <w:vertAlign w:val="subscript"/>
          <w:lang w:val="en-GB"/>
        </w:rPr>
        <w:t>2</w:t>
      </w:r>
      <w:r w:rsidRPr="00B04DC3">
        <w:rPr>
          <w:lang w:val="en-GB"/>
        </w:rPr>
        <w:t xml:space="preserve"> concentration, the exhaust gas mass flow rate and the sample flow rate:</w:t>
      </w:r>
    </w:p>
    <w:p w:rsidR="00D75405" w:rsidRPr="00B04DC3" w:rsidRDefault="00D75405" w:rsidP="00D75405">
      <w:pPr>
        <w:pStyle w:val="para"/>
        <w:ind w:firstLine="0"/>
        <w:rPr>
          <w:lang w:val="en-GB"/>
        </w:rPr>
      </w:pPr>
      <w:r w:rsidRPr="00B04DC3">
        <w:rPr>
          <w:position w:val="-32"/>
          <w:lang w:val="en-GB"/>
        </w:rPr>
        <w:object w:dxaOrig="4640" w:dyaOrig="720">
          <v:shape id="_x0000_i1191" type="#_x0000_t75" style="width:212.4pt;height:33.6pt" o:ole="">
            <v:imagedata r:id="rId316" o:title=""/>
          </v:shape>
          <o:OLEObject Type="Embed" ProgID="Equation.3" ShapeID="_x0000_i1191" DrawAspect="Content" ObjectID="_1498392330" r:id="rId317"/>
        </w:object>
      </w:r>
    </w:p>
    <w:p w:rsidR="00D75405" w:rsidRPr="00B04DC3" w:rsidRDefault="00D75405" w:rsidP="00D75405">
      <w:pPr>
        <w:pStyle w:val="para"/>
        <w:rPr>
          <w:lang w:val="en-GB"/>
        </w:rPr>
      </w:pPr>
      <w:r w:rsidRPr="00B04DC3">
        <w:rPr>
          <w:lang w:val="en-GB"/>
        </w:rPr>
        <w:tab/>
      </w:r>
      <w:r w:rsidR="00A552B9" w:rsidRPr="00B04DC3">
        <w:rPr>
          <w:lang w:val="en-GB"/>
        </w:rPr>
        <w:t>Where</w:t>
      </w:r>
      <w:r w:rsidRPr="00B04DC3">
        <w:rPr>
          <w:lang w:val="en-GB"/>
        </w:rPr>
        <w:t>:</w:t>
      </w:r>
    </w:p>
    <w:p w:rsidR="00D75405" w:rsidRPr="00B04DC3" w:rsidRDefault="00D75405" w:rsidP="00D75405">
      <w:pPr>
        <w:pStyle w:val="para"/>
        <w:tabs>
          <w:tab w:val="left" w:pos="2835"/>
          <w:tab w:val="left" w:pos="3119"/>
        </w:tabs>
        <w:ind w:left="3122" w:hanging="798"/>
        <w:rPr>
          <w:lang w:val="en-GB"/>
        </w:rPr>
      </w:pPr>
      <w:r w:rsidRPr="00B04DC3">
        <w:rPr>
          <w:lang w:val="en-GB"/>
        </w:rPr>
        <w:t>c</w:t>
      </w:r>
      <w:r w:rsidRPr="00B04DC3">
        <w:rPr>
          <w:vertAlign w:val="subscript"/>
          <w:lang w:val="en-GB"/>
        </w:rPr>
        <w:t>CO2,d</w:t>
      </w:r>
      <w:r w:rsidRPr="00B04DC3">
        <w:rPr>
          <w:lang w:val="en-GB"/>
        </w:rPr>
        <w:tab/>
        <w:t>=</w:t>
      </w:r>
      <w:r w:rsidRPr="00B04DC3">
        <w:rPr>
          <w:lang w:val="en-GB"/>
        </w:rPr>
        <w:tab/>
        <w:t>wet CO</w:t>
      </w:r>
      <w:r w:rsidRPr="00B04DC3">
        <w:rPr>
          <w:vertAlign w:val="subscript"/>
          <w:lang w:val="en-GB"/>
        </w:rPr>
        <w:t>2</w:t>
      </w:r>
      <w:r w:rsidRPr="00B04DC3">
        <w:rPr>
          <w:lang w:val="en-GB"/>
        </w:rPr>
        <w:t xml:space="preserve"> concentration in the dilute exhaust gas at the outlet of the dilution tunnel, per cent</w:t>
      </w:r>
    </w:p>
    <w:p w:rsidR="00D75405" w:rsidRPr="00B04DC3" w:rsidRDefault="00D75405" w:rsidP="00D75405">
      <w:pPr>
        <w:pStyle w:val="para"/>
        <w:tabs>
          <w:tab w:val="left" w:pos="2835"/>
          <w:tab w:val="left" w:pos="3119"/>
        </w:tabs>
        <w:ind w:left="3122" w:hanging="798"/>
        <w:rPr>
          <w:lang w:val="en-GB"/>
        </w:rPr>
      </w:pPr>
      <w:r w:rsidRPr="00B04DC3">
        <w:rPr>
          <w:lang w:val="en-GB"/>
        </w:rPr>
        <w:t>c</w:t>
      </w:r>
      <w:r w:rsidRPr="00B04DC3">
        <w:rPr>
          <w:vertAlign w:val="subscript"/>
          <w:lang w:val="en-GB"/>
        </w:rPr>
        <w:t>CO2,a</w:t>
      </w:r>
      <w:r w:rsidRPr="00B04DC3">
        <w:rPr>
          <w:lang w:val="en-GB"/>
        </w:rPr>
        <w:tab/>
        <w:t>=</w:t>
      </w:r>
      <w:r w:rsidRPr="00B04DC3">
        <w:rPr>
          <w:lang w:val="en-GB"/>
        </w:rPr>
        <w:tab/>
        <w:t>wet CO</w:t>
      </w:r>
      <w:r w:rsidRPr="00B04DC3">
        <w:rPr>
          <w:vertAlign w:val="subscript"/>
          <w:lang w:val="en-GB"/>
        </w:rPr>
        <w:t>2</w:t>
      </w:r>
      <w:r w:rsidRPr="00B04DC3">
        <w:rPr>
          <w:lang w:val="en-GB"/>
        </w:rPr>
        <w:t xml:space="preserve"> concentration in the ambient air, per cent (around 0.04 per cent)</w:t>
      </w:r>
    </w:p>
    <w:p w:rsidR="00D75405" w:rsidRPr="00B04DC3" w:rsidRDefault="00D75405" w:rsidP="00D75405">
      <w:pPr>
        <w:pStyle w:val="para"/>
        <w:tabs>
          <w:tab w:val="left" w:pos="2835"/>
          <w:tab w:val="left" w:pos="3119"/>
        </w:tabs>
        <w:ind w:left="3122" w:hanging="798"/>
        <w:rPr>
          <w:lang w:val="en-GB"/>
        </w:rPr>
      </w:pPr>
      <w:r w:rsidRPr="00B04DC3">
        <w:rPr>
          <w:lang w:val="en-GB"/>
        </w:rPr>
        <w:t>q</w:t>
      </w:r>
      <w:r w:rsidRPr="00B04DC3">
        <w:rPr>
          <w:vertAlign w:val="subscript"/>
          <w:lang w:val="en-GB"/>
        </w:rPr>
        <w:t>mdew</w:t>
      </w:r>
      <w:r w:rsidRPr="00B04DC3">
        <w:rPr>
          <w:lang w:val="en-GB"/>
        </w:rPr>
        <w:tab/>
        <w:t>=</w:t>
      </w:r>
      <w:r w:rsidRPr="00B04DC3">
        <w:rPr>
          <w:lang w:val="en-GB"/>
        </w:rPr>
        <w:tab/>
        <w:t>diluted exhaust gas mass flow rate on wet basis, kg/s</w:t>
      </w:r>
    </w:p>
    <w:p w:rsidR="00D75405" w:rsidRPr="00B04DC3" w:rsidRDefault="00D75405" w:rsidP="00D75405">
      <w:pPr>
        <w:pStyle w:val="para"/>
        <w:tabs>
          <w:tab w:val="left" w:pos="2835"/>
          <w:tab w:val="left" w:pos="3119"/>
        </w:tabs>
        <w:ind w:left="3122" w:hanging="798"/>
        <w:rPr>
          <w:lang w:val="en-GB"/>
        </w:rPr>
      </w:pPr>
      <w:r w:rsidRPr="00B04DC3">
        <w:rPr>
          <w:lang w:val="en-GB"/>
        </w:rPr>
        <w:t>q</w:t>
      </w:r>
      <w:r w:rsidRPr="00B04DC3">
        <w:rPr>
          <w:vertAlign w:val="subscript"/>
          <w:lang w:val="en-GB"/>
        </w:rPr>
        <w:t>mew</w:t>
      </w:r>
      <w:r w:rsidRPr="00B04DC3">
        <w:rPr>
          <w:lang w:val="en-GB"/>
        </w:rPr>
        <w:tab/>
        <w:t>=</w:t>
      </w:r>
      <w:r w:rsidRPr="00B04DC3">
        <w:rPr>
          <w:lang w:val="en-GB"/>
        </w:rPr>
        <w:tab/>
        <w:t>exhaust gas mass flow rate on wet basis, kg/s (partial flow system only)</w:t>
      </w:r>
    </w:p>
    <w:p w:rsidR="00D75405" w:rsidRPr="00B04DC3" w:rsidRDefault="00D75405" w:rsidP="00D75405">
      <w:pPr>
        <w:pStyle w:val="para"/>
        <w:tabs>
          <w:tab w:val="left" w:pos="2835"/>
          <w:tab w:val="left" w:pos="3119"/>
        </w:tabs>
        <w:ind w:left="3122" w:hanging="798"/>
        <w:rPr>
          <w:lang w:val="en-GB"/>
        </w:rPr>
      </w:pPr>
      <w:r w:rsidRPr="00B04DC3">
        <w:rPr>
          <w:lang w:val="en-GB"/>
        </w:rPr>
        <w:t>q</w:t>
      </w:r>
      <w:r w:rsidRPr="00B04DC3">
        <w:rPr>
          <w:vertAlign w:val="subscript"/>
          <w:lang w:val="en-GB"/>
        </w:rPr>
        <w:t>mp</w:t>
      </w:r>
      <w:r w:rsidRPr="00B04DC3">
        <w:rPr>
          <w:lang w:val="en-GB"/>
        </w:rPr>
        <w:tab/>
        <w:t>=</w:t>
      </w:r>
      <w:r w:rsidRPr="00B04DC3">
        <w:rPr>
          <w:lang w:val="en-GB"/>
        </w:rPr>
        <w:tab/>
        <w:t>sample flow of exhaust gas into partial flow dilution system, kg/s (partial flow system only)</w:t>
      </w:r>
    </w:p>
    <w:p w:rsidR="00D75405" w:rsidRPr="00B04DC3" w:rsidRDefault="00D75405" w:rsidP="00D75405">
      <w:pPr>
        <w:pStyle w:val="para"/>
        <w:tabs>
          <w:tab w:val="left" w:pos="2835"/>
          <w:tab w:val="left" w:pos="3119"/>
        </w:tabs>
        <w:ind w:left="3122" w:hanging="798"/>
        <w:rPr>
          <w:lang w:val="en-GB"/>
        </w:rPr>
      </w:pPr>
      <w:r w:rsidRPr="00B04DC3">
        <w:rPr>
          <w:lang w:val="en-GB"/>
        </w:rPr>
        <w:t>M</w:t>
      </w:r>
      <w:r w:rsidRPr="00B04DC3">
        <w:rPr>
          <w:vertAlign w:val="subscript"/>
          <w:lang w:val="en-GB"/>
        </w:rPr>
        <w:t>re</w:t>
      </w:r>
      <w:r w:rsidRPr="00B04DC3">
        <w:rPr>
          <w:lang w:val="en-GB"/>
        </w:rPr>
        <w:tab/>
        <w:t>=</w:t>
      </w:r>
      <w:r w:rsidRPr="00B04DC3">
        <w:rPr>
          <w:lang w:val="en-GB"/>
        </w:rPr>
        <w:tab/>
        <w:t>molecular mass of exhaust gas.</w:t>
      </w:r>
    </w:p>
    <w:p w:rsidR="0037676B" w:rsidRDefault="00D75405" w:rsidP="00846CB1">
      <w:pPr>
        <w:pStyle w:val="para"/>
        <w:tabs>
          <w:tab w:val="left" w:pos="2835"/>
        </w:tabs>
        <w:ind w:left="2300" w:firstLine="24"/>
        <w:rPr>
          <w:lang w:val="en-GB"/>
        </w:rPr>
      </w:pPr>
      <w:r w:rsidRPr="00B04DC3">
        <w:rPr>
          <w:lang w:val="en-GB"/>
        </w:rPr>
        <w:br w:type="page"/>
      </w:r>
    </w:p>
    <w:p w:rsidR="00D75405" w:rsidRPr="00B04DC3" w:rsidRDefault="00D75405" w:rsidP="00846CB1">
      <w:pPr>
        <w:pStyle w:val="para"/>
        <w:tabs>
          <w:tab w:val="left" w:pos="2835"/>
        </w:tabs>
        <w:ind w:left="2300" w:firstLine="24"/>
        <w:rPr>
          <w:lang w:val="en-GB"/>
        </w:rPr>
      </w:pPr>
      <w:r w:rsidRPr="00B04DC3">
        <w:rPr>
          <w:lang w:val="en-GB"/>
        </w:rPr>
        <w:t>If CO</w:t>
      </w:r>
      <w:r w:rsidRPr="00B04DC3">
        <w:rPr>
          <w:vertAlign w:val="subscript"/>
          <w:lang w:val="en-GB"/>
        </w:rPr>
        <w:t>2</w:t>
      </w:r>
      <w:r w:rsidRPr="00B04DC3">
        <w:rPr>
          <w:lang w:val="en-GB"/>
        </w:rPr>
        <w:t xml:space="preserve"> is measured on a dry basis, it shall be converted to wet basis according to paragraph 5.2. of Appendix 1 to this annex.</w:t>
      </w:r>
    </w:p>
    <w:p w:rsidR="00D75405" w:rsidRPr="00B04DC3" w:rsidRDefault="00D75405" w:rsidP="00D75405">
      <w:pPr>
        <w:pStyle w:val="para"/>
        <w:rPr>
          <w:lang w:val="en-GB"/>
        </w:rPr>
      </w:pPr>
      <w:r w:rsidRPr="00B04DC3">
        <w:rPr>
          <w:lang w:val="en-GB"/>
        </w:rPr>
        <w:t>2.4.</w:t>
      </w:r>
      <w:r w:rsidRPr="00B04DC3">
        <w:rPr>
          <w:lang w:val="en-GB"/>
        </w:rPr>
        <w:tab/>
        <w:t>The molecular mass (M</w:t>
      </w:r>
      <w:r w:rsidRPr="00B04DC3">
        <w:rPr>
          <w:vertAlign w:val="subscript"/>
          <w:lang w:val="en-GB"/>
        </w:rPr>
        <w:t>re</w:t>
      </w:r>
      <w:r w:rsidRPr="00B04DC3">
        <w:rPr>
          <w:lang w:val="en-GB"/>
        </w:rPr>
        <w:t>) of the exhaust gas shall be calculated as follows:</w:t>
      </w:r>
    </w:p>
    <w:bookmarkStart w:id="277" w:name="_MON_1364035841"/>
    <w:bookmarkStart w:id="278" w:name="_MON_1364385199"/>
    <w:bookmarkStart w:id="279" w:name="_MON_1223473371"/>
    <w:bookmarkStart w:id="280" w:name="_MON_1351000952"/>
    <w:bookmarkStart w:id="281" w:name="_MON_1351000991"/>
    <w:bookmarkStart w:id="282" w:name="_MON_1364023183"/>
    <w:bookmarkStart w:id="283" w:name="_MON_1364035706"/>
    <w:bookmarkEnd w:id="277"/>
    <w:bookmarkEnd w:id="278"/>
    <w:bookmarkEnd w:id="279"/>
    <w:bookmarkEnd w:id="280"/>
    <w:bookmarkEnd w:id="281"/>
    <w:bookmarkEnd w:id="282"/>
    <w:bookmarkEnd w:id="283"/>
    <w:bookmarkStart w:id="284" w:name="_MON_1364035829"/>
    <w:bookmarkEnd w:id="284"/>
    <w:p w:rsidR="00D75405" w:rsidRPr="00B04DC3" w:rsidRDefault="00232B4E" w:rsidP="00D75405">
      <w:pPr>
        <w:pStyle w:val="para"/>
        <w:rPr>
          <w:lang w:val="en-GB"/>
        </w:rPr>
      </w:pPr>
      <w:r w:rsidRPr="00B04DC3">
        <w:rPr>
          <w:lang w:val="en-GB"/>
        </w:rPr>
        <w:object w:dxaOrig="8692" w:dyaOrig="1428">
          <v:shape id="_x0000_i1192" type="#_x0000_t75" style="width:368.4pt;height:62.4pt" o:ole="">
            <v:imagedata r:id="rId318" o:title=""/>
          </v:shape>
          <o:OLEObject Type="Embed" ProgID="Word.Picture.8" ShapeID="_x0000_i1192" DrawAspect="Content" ObjectID="_1498392331" r:id="rId319"/>
        </w:object>
      </w:r>
    </w:p>
    <w:p w:rsidR="00D75405" w:rsidRPr="00B04DC3" w:rsidRDefault="00D75405" w:rsidP="00D75405">
      <w:pPr>
        <w:pStyle w:val="para"/>
        <w:rPr>
          <w:lang w:val="en-GB"/>
        </w:rPr>
      </w:pPr>
      <w:r w:rsidRPr="00B04DC3">
        <w:rPr>
          <w:lang w:val="en-GB"/>
        </w:rPr>
        <w:tab/>
      </w:r>
      <w:r w:rsidR="00A552B9" w:rsidRPr="00B04DC3">
        <w:rPr>
          <w:lang w:val="en-GB"/>
        </w:rPr>
        <w:t>Where</w:t>
      </w:r>
      <w:r w:rsidRPr="00B04DC3">
        <w:rPr>
          <w:lang w:val="en-GB"/>
        </w:rPr>
        <w:t>:</w:t>
      </w:r>
    </w:p>
    <w:p w:rsidR="00D75405" w:rsidRPr="00B04DC3" w:rsidRDefault="00D75405" w:rsidP="00D75405">
      <w:pPr>
        <w:pStyle w:val="para"/>
        <w:tabs>
          <w:tab w:val="left" w:pos="2835"/>
          <w:tab w:val="left" w:pos="3119"/>
        </w:tabs>
        <w:ind w:left="3122" w:hanging="798"/>
        <w:rPr>
          <w:lang w:val="en-GB"/>
        </w:rPr>
      </w:pPr>
      <w:r w:rsidRPr="00B04DC3">
        <w:rPr>
          <w:lang w:val="en-GB"/>
        </w:rPr>
        <w:t>q</w:t>
      </w:r>
      <w:r w:rsidRPr="00B04DC3">
        <w:rPr>
          <w:vertAlign w:val="subscript"/>
          <w:lang w:val="en-GB"/>
        </w:rPr>
        <w:t>mf</w:t>
      </w:r>
      <w:r w:rsidRPr="00B04DC3">
        <w:rPr>
          <w:lang w:val="en-GB"/>
        </w:rPr>
        <w:tab/>
        <w:t>=</w:t>
      </w:r>
      <w:r w:rsidRPr="00B04DC3">
        <w:rPr>
          <w:lang w:val="en-GB"/>
        </w:rPr>
        <w:tab/>
        <w:t>fuel mass flow rate, kg/s</w:t>
      </w:r>
    </w:p>
    <w:p w:rsidR="00D75405" w:rsidRPr="00B04DC3" w:rsidRDefault="00D75405" w:rsidP="00D75405">
      <w:pPr>
        <w:pStyle w:val="para"/>
        <w:tabs>
          <w:tab w:val="left" w:pos="2835"/>
          <w:tab w:val="left" w:pos="3119"/>
        </w:tabs>
        <w:ind w:left="3122" w:hanging="798"/>
        <w:rPr>
          <w:lang w:val="en-GB"/>
        </w:rPr>
      </w:pPr>
      <w:r w:rsidRPr="00B04DC3">
        <w:rPr>
          <w:lang w:val="en-GB"/>
        </w:rPr>
        <w:t>q</w:t>
      </w:r>
      <w:r w:rsidRPr="00B04DC3">
        <w:rPr>
          <w:vertAlign w:val="subscript"/>
          <w:lang w:val="en-GB"/>
        </w:rPr>
        <w:t>maw</w:t>
      </w:r>
      <w:r w:rsidRPr="00B04DC3">
        <w:rPr>
          <w:lang w:val="en-GB"/>
        </w:rPr>
        <w:tab/>
        <w:t>=</w:t>
      </w:r>
      <w:r w:rsidRPr="00B04DC3">
        <w:rPr>
          <w:lang w:val="en-GB"/>
        </w:rPr>
        <w:tab/>
        <w:t>intake air mass flow rate on wet basis, kg/s</w:t>
      </w:r>
    </w:p>
    <w:p w:rsidR="00D75405" w:rsidRPr="00B04DC3" w:rsidRDefault="00D75405" w:rsidP="00D75405">
      <w:pPr>
        <w:pStyle w:val="para"/>
        <w:tabs>
          <w:tab w:val="left" w:pos="2835"/>
          <w:tab w:val="left" w:pos="3119"/>
        </w:tabs>
        <w:ind w:left="3122" w:hanging="798"/>
        <w:rPr>
          <w:lang w:val="en-GB"/>
        </w:rPr>
      </w:pPr>
      <w:r w:rsidRPr="00B04DC3">
        <w:rPr>
          <w:lang w:val="en-GB"/>
        </w:rPr>
        <w:t>H</w:t>
      </w:r>
      <w:r w:rsidRPr="00B04DC3">
        <w:rPr>
          <w:vertAlign w:val="subscript"/>
          <w:lang w:val="en-GB"/>
        </w:rPr>
        <w:t>a</w:t>
      </w:r>
      <w:r w:rsidRPr="00B04DC3">
        <w:rPr>
          <w:lang w:val="en-GB"/>
        </w:rPr>
        <w:tab/>
        <w:t>=</w:t>
      </w:r>
      <w:r w:rsidRPr="00B04DC3">
        <w:rPr>
          <w:lang w:val="en-GB"/>
        </w:rPr>
        <w:tab/>
        <w:t>humidity of intake air, g water per kg dry air</w:t>
      </w:r>
    </w:p>
    <w:p w:rsidR="00D75405" w:rsidRPr="00B04DC3" w:rsidRDefault="00D75405" w:rsidP="00D75405">
      <w:pPr>
        <w:pStyle w:val="para"/>
        <w:tabs>
          <w:tab w:val="left" w:pos="2835"/>
          <w:tab w:val="left" w:pos="3119"/>
        </w:tabs>
        <w:ind w:left="3122" w:hanging="798"/>
        <w:rPr>
          <w:lang w:val="en-GB"/>
        </w:rPr>
      </w:pPr>
      <w:r w:rsidRPr="00B04DC3">
        <w:rPr>
          <w:lang w:val="en-GB"/>
        </w:rPr>
        <w:t>M</w:t>
      </w:r>
      <w:r w:rsidRPr="00B04DC3">
        <w:rPr>
          <w:vertAlign w:val="subscript"/>
          <w:lang w:val="en-GB"/>
        </w:rPr>
        <w:t>ra</w:t>
      </w:r>
      <w:r w:rsidRPr="00B04DC3">
        <w:rPr>
          <w:lang w:val="en-GB"/>
        </w:rPr>
        <w:tab/>
        <w:t>=</w:t>
      </w:r>
      <w:r w:rsidRPr="00B04DC3">
        <w:rPr>
          <w:lang w:val="en-GB"/>
        </w:rPr>
        <w:tab/>
        <w:t>molecular mass of dry intake air (= 28.9 g/mol)</w:t>
      </w:r>
    </w:p>
    <w:p w:rsidR="00D75405" w:rsidRPr="00B04DC3" w:rsidRDefault="00D75405" w:rsidP="00D75405">
      <w:pPr>
        <w:pStyle w:val="para"/>
        <w:tabs>
          <w:tab w:val="left" w:pos="2835"/>
          <w:tab w:val="left" w:pos="3119"/>
        </w:tabs>
        <w:ind w:left="3122" w:hanging="798"/>
        <w:rPr>
          <w:lang w:val="en-GB"/>
        </w:rPr>
      </w:pPr>
      <w:r w:rsidRPr="00B04DC3">
        <w:rPr>
          <w:lang w:val="en-GB"/>
        </w:rPr>
        <w:sym w:font="Symbol" w:char="F061"/>
      </w:r>
      <w:r w:rsidRPr="00B04DC3">
        <w:rPr>
          <w:lang w:val="en-GB"/>
        </w:rPr>
        <w:t xml:space="preserve">, </w:t>
      </w:r>
      <w:r w:rsidRPr="00B04DC3">
        <w:rPr>
          <w:lang w:val="en-GB"/>
        </w:rPr>
        <w:sym w:font="Symbol" w:char="F064"/>
      </w:r>
      <w:r w:rsidRPr="00B04DC3">
        <w:rPr>
          <w:lang w:val="en-GB"/>
        </w:rPr>
        <w:t xml:space="preserve">, </w:t>
      </w:r>
      <w:r w:rsidRPr="00B04DC3">
        <w:rPr>
          <w:lang w:val="en-GB"/>
        </w:rPr>
        <w:sym w:font="Symbol" w:char="F065"/>
      </w:r>
      <w:r w:rsidRPr="00B04DC3">
        <w:rPr>
          <w:lang w:val="en-GB"/>
        </w:rPr>
        <w:t xml:space="preserve">, </w:t>
      </w:r>
      <w:r w:rsidRPr="00B04DC3">
        <w:rPr>
          <w:lang w:val="en-GB"/>
        </w:rPr>
        <w:sym w:font="Symbol" w:char="F067"/>
      </w:r>
      <w:r w:rsidRPr="00B04DC3">
        <w:rPr>
          <w:lang w:val="en-GB"/>
        </w:rPr>
        <w:tab/>
        <w:t>= molar ratios referring to a fuel C H</w:t>
      </w:r>
      <w:r w:rsidRPr="00B04DC3">
        <w:rPr>
          <w:vertAlign w:val="subscript"/>
          <w:lang w:val="en-GB"/>
        </w:rPr>
        <w:sym w:font="Symbol" w:char="F061"/>
      </w:r>
      <w:r w:rsidRPr="00B04DC3">
        <w:rPr>
          <w:lang w:val="en-GB"/>
        </w:rPr>
        <w:t xml:space="preserve"> O</w:t>
      </w:r>
      <w:r w:rsidRPr="00B04DC3">
        <w:rPr>
          <w:vertAlign w:val="subscript"/>
          <w:lang w:val="en-GB"/>
        </w:rPr>
        <w:sym w:font="Symbol" w:char="F064"/>
      </w:r>
      <w:r w:rsidRPr="00B04DC3">
        <w:rPr>
          <w:lang w:val="en-GB"/>
        </w:rPr>
        <w:t xml:space="preserve"> N</w:t>
      </w:r>
      <w:r w:rsidRPr="00B04DC3">
        <w:rPr>
          <w:vertAlign w:val="subscript"/>
          <w:lang w:val="en-GB"/>
        </w:rPr>
        <w:sym w:font="Symbol" w:char="F065"/>
      </w:r>
      <w:r w:rsidRPr="00B04DC3">
        <w:rPr>
          <w:lang w:val="en-GB"/>
        </w:rPr>
        <w:t xml:space="preserve"> S</w:t>
      </w:r>
      <w:r w:rsidRPr="00B04DC3">
        <w:rPr>
          <w:vertAlign w:val="subscript"/>
          <w:lang w:val="en-GB"/>
        </w:rPr>
        <w:sym w:font="Symbol" w:char="F067"/>
      </w:r>
      <w:r w:rsidRPr="00B04DC3">
        <w:rPr>
          <w:lang w:val="en-GB"/>
        </w:rPr>
        <w:t>.</w:t>
      </w:r>
    </w:p>
    <w:p w:rsidR="00D75405" w:rsidRPr="00B04DC3" w:rsidRDefault="00D75405" w:rsidP="00D75405">
      <w:pPr>
        <w:pStyle w:val="para"/>
        <w:rPr>
          <w:lang w:val="en-GB"/>
        </w:rPr>
      </w:pPr>
      <w:r w:rsidRPr="00B04DC3">
        <w:rPr>
          <w:lang w:val="en-GB"/>
        </w:rPr>
        <w:tab/>
        <w:t>Alternatively, the following molecular masses may be used:</w:t>
      </w:r>
    </w:p>
    <w:p w:rsidR="00D75405" w:rsidRPr="00B04DC3" w:rsidRDefault="00D75405" w:rsidP="00D75405">
      <w:pPr>
        <w:pStyle w:val="para"/>
        <w:tabs>
          <w:tab w:val="left" w:pos="2835"/>
          <w:tab w:val="left" w:pos="3119"/>
        </w:tabs>
        <w:ind w:left="3122" w:hanging="798"/>
        <w:rPr>
          <w:lang w:val="en-GB"/>
        </w:rPr>
      </w:pPr>
      <w:r w:rsidRPr="00B04DC3">
        <w:rPr>
          <w:lang w:val="en-GB"/>
        </w:rPr>
        <w:t>M</w:t>
      </w:r>
      <w:r w:rsidRPr="00B04DC3">
        <w:rPr>
          <w:vertAlign w:val="subscript"/>
          <w:lang w:val="en-GB"/>
        </w:rPr>
        <w:t>re</w:t>
      </w:r>
      <w:r w:rsidRPr="00B04DC3">
        <w:rPr>
          <w:lang w:val="en-GB"/>
        </w:rPr>
        <w:t xml:space="preserve"> (diesel)</w:t>
      </w:r>
      <w:r w:rsidRPr="00B04DC3">
        <w:rPr>
          <w:lang w:val="en-GB"/>
        </w:rPr>
        <w:tab/>
        <w:t>=</w:t>
      </w:r>
      <w:r w:rsidRPr="00B04DC3">
        <w:rPr>
          <w:lang w:val="en-GB"/>
        </w:rPr>
        <w:tab/>
        <w:t>28.9 g/mol</w:t>
      </w:r>
    </w:p>
    <w:p w:rsidR="00D75405" w:rsidRPr="00B04DC3" w:rsidRDefault="00D75405" w:rsidP="00D75405">
      <w:pPr>
        <w:pStyle w:val="para"/>
        <w:tabs>
          <w:tab w:val="left" w:pos="2835"/>
          <w:tab w:val="left" w:pos="3119"/>
        </w:tabs>
        <w:ind w:left="3122" w:hanging="798"/>
        <w:rPr>
          <w:lang w:val="en-GB"/>
        </w:rPr>
      </w:pPr>
      <w:r w:rsidRPr="00B04DC3">
        <w:rPr>
          <w:lang w:val="en-GB"/>
        </w:rPr>
        <w:t>M</w:t>
      </w:r>
      <w:r w:rsidRPr="00B04DC3">
        <w:rPr>
          <w:vertAlign w:val="subscript"/>
          <w:lang w:val="en-GB"/>
        </w:rPr>
        <w:t>re</w:t>
      </w:r>
      <w:r w:rsidRPr="00B04DC3">
        <w:rPr>
          <w:lang w:val="en-GB"/>
        </w:rPr>
        <w:t xml:space="preserve"> (LPG)</w:t>
      </w:r>
      <w:r w:rsidRPr="00B04DC3">
        <w:rPr>
          <w:lang w:val="en-GB"/>
        </w:rPr>
        <w:tab/>
        <w:t>=</w:t>
      </w:r>
      <w:r w:rsidRPr="00B04DC3">
        <w:rPr>
          <w:lang w:val="en-GB"/>
        </w:rPr>
        <w:tab/>
        <w:t>28.6 g/mol</w:t>
      </w:r>
    </w:p>
    <w:p w:rsidR="00D75405" w:rsidRPr="00B04DC3" w:rsidRDefault="00D75405" w:rsidP="00D75405">
      <w:pPr>
        <w:pStyle w:val="para"/>
        <w:tabs>
          <w:tab w:val="left" w:pos="2835"/>
          <w:tab w:val="left" w:pos="3119"/>
        </w:tabs>
        <w:ind w:left="3122" w:hanging="798"/>
        <w:jc w:val="left"/>
        <w:rPr>
          <w:lang w:val="en-GB"/>
        </w:rPr>
        <w:sectPr w:rsidR="00D75405" w:rsidRPr="00B04DC3" w:rsidSect="00D75405">
          <w:headerReference w:type="even" r:id="rId320"/>
          <w:headerReference w:type="default" r:id="rId321"/>
          <w:footerReference w:type="even" r:id="rId322"/>
          <w:footerReference w:type="default" r:id="rId323"/>
          <w:headerReference w:type="first" r:id="rId324"/>
          <w:footerReference w:type="first" r:id="rId325"/>
          <w:footnotePr>
            <w:numRestart w:val="eachSect"/>
          </w:footnotePr>
          <w:endnotePr>
            <w:numFmt w:val="decimal"/>
          </w:endnotePr>
          <w:pgSz w:w="11907" w:h="16840" w:code="9"/>
          <w:pgMar w:top="1701" w:right="1134" w:bottom="2268" w:left="1134" w:header="1134" w:footer="1701" w:gutter="0"/>
          <w:cols w:space="720"/>
          <w:titlePg/>
        </w:sectPr>
      </w:pPr>
      <w:r w:rsidRPr="00B04DC3">
        <w:rPr>
          <w:lang w:val="en-GB"/>
        </w:rPr>
        <w:t>M</w:t>
      </w:r>
      <w:r w:rsidRPr="00B04DC3">
        <w:rPr>
          <w:vertAlign w:val="subscript"/>
          <w:lang w:val="en-GB"/>
        </w:rPr>
        <w:t>re</w:t>
      </w:r>
      <w:r w:rsidRPr="00B04DC3">
        <w:rPr>
          <w:lang w:val="en-GB"/>
        </w:rPr>
        <w:t xml:space="preserve"> (NG)</w:t>
      </w:r>
      <w:r w:rsidRPr="00B04DC3">
        <w:rPr>
          <w:lang w:val="en-GB"/>
        </w:rPr>
        <w:tab/>
      </w:r>
      <w:r w:rsidRPr="00B04DC3">
        <w:rPr>
          <w:lang w:val="en-GB"/>
        </w:rPr>
        <w:tab/>
      </w:r>
      <w:r w:rsidRPr="00B04DC3">
        <w:rPr>
          <w:lang w:val="en-GB"/>
        </w:rPr>
        <w:tab/>
        <w:t>=</w:t>
      </w:r>
      <w:r w:rsidRPr="00B04DC3">
        <w:rPr>
          <w:lang w:val="en-GB"/>
        </w:rPr>
        <w:tab/>
        <w:t>28.3 g/mol.</w:t>
      </w:r>
    </w:p>
    <w:p w:rsidR="00D75405" w:rsidRPr="00B04DC3" w:rsidRDefault="00D75405" w:rsidP="00D75405">
      <w:pPr>
        <w:pStyle w:val="HChG"/>
      </w:pPr>
      <w:bookmarkStart w:id="285" w:name="_Toc423599537"/>
      <w:bookmarkStart w:id="286" w:name="_Toc423610945"/>
      <w:r w:rsidRPr="00B04DC3">
        <w:t>Annex 4A</w:t>
      </w:r>
      <w:r w:rsidR="00A552B9">
        <w:t xml:space="preserve"> - </w:t>
      </w:r>
      <w:r w:rsidRPr="00B04DC3">
        <w:t>Appendix 7</w:t>
      </w:r>
      <w:bookmarkEnd w:id="285"/>
      <w:bookmarkEnd w:id="286"/>
    </w:p>
    <w:p w:rsidR="00D75405" w:rsidRPr="00B04DC3" w:rsidRDefault="00D75405" w:rsidP="00D75405">
      <w:pPr>
        <w:pStyle w:val="HChG"/>
      </w:pPr>
      <w:r w:rsidRPr="00B04DC3">
        <w:tab/>
      </w:r>
      <w:r w:rsidRPr="00B04DC3">
        <w:tab/>
      </w:r>
      <w:bookmarkStart w:id="287" w:name="_Toc423599538"/>
      <w:bookmarkStart w:id="288" w:name="_Toc423610946"/>
      <w:r w:rsidRPr="00B04DC3">
        <w:t>Analytical and sampling systems</w:t>
      </w:r>
      <w:bookmarkEnd w:id="287"/>
      <w:bookmarkEnd w:id="288"/>
    </w:p>
    <w:p w:rsidR="00D75405" w:rsidRPr="00B04DC3" w:rsidRDefault="00D75405" w:rsidP="00D75405">
      <w:pPr>
        <w:pStyle w:val="para"/>
        <w:rPr>
          <w:lang w:val="en-GB"/>
        </w:rPr>
      </w:pPr>
      <w:r w:rsidRPr="00B04DC3">
        <w:rPr>
          <w:lang w:val="en-GB"/>
        </w:rPr>
        <w:t>1.</w:t>
      </w:r>
      <w:r w:rsidRPr="00B04DC3">
        <w:rPr>
          <w:lang w:val="en-GB"/>
        </w:rPr>
        <w:tab/>
        <w:t>Determination of the gaseous emissions</w:t>
      </w:r>
    </w:p>
    <w:p w:rsidR="00D75405" w:rsidRPr="00B04DC3" w:rsidRDefault="00D75405" w:rsidP="00D75405">
      <w:pPr>
        <w:pStyle w:val="para"/>
        <w:rPr>
          <w:lang w:val="en-GB"/>
        </w:rPr>
      </w:pPr>
      <w:r w:rsidRPr="00B04DC3">
        <w:rPr>
          <w:lang w:val="en-GB"/>
        </w:rPr>
        <w:t>1.1.</w:t>
      </w:r>
      <w:r w:rsidRPr="00B04DC3">
        <w:rPr>
          <w:lang w:val="en-GB"/>
        </w:rPr>
        <w:tab/>
        <w:t>Introduction</w:t>
      </w:r>
    </w:p>
    <w:p w:rsidR="00D75405" w:rsidRPr="001A5519" w:rsidRDefault="00D75405" w:rsidP="00D75405">
      <w:pPr>
        <w:pStyle w:val="para"/>
        <w:rPr>
          <w:lang w:val="en-GB"/>
        </w:rPr>
      </w:pPr>
      <w:r w:rsidRPr="00B04DC3">
        <w:rPr>
          <w:lang w:val="en-GB"/>
        </w:rPr>
        <w:tab/>
        <w:t xml:space="preserve">Paragraph 1.2. and </w:t>
      </w:r>
      <w:r w:rsidR="00846CB1" w:rsidRPr="00B04DC3">
        <w:rPr>
          <w:lang w:val="en-GB"/>
        </w:rPr>
        <w:t>F</w:t>
      </w:r>
      <w:r w:rsidRPr="00B04DC3">
        <w:rPr>
          <w:lang w:val="en-GB"/>
        </w:rPr>
        <w:t xml:space="preserve">igures </w:t>
      </w:r>
      <w:r w:rsidRPr="001A5519">
        <w:rPr>
          <w:lang w:val="en-GB"/>
        </w:rPr>
        <w:t xml:space="preserve">7 and 8 </w:t>
      </w:r>
      <w:r w:rsidR="008C3328" w:rsidRPr="001A5519">
        <w:rPr>
          <w:lang w:val="en-GB"/>
        </w:rPr>
        <w:t xml:space="preserve">of this appendix </w:t>
      </w:r>
      <w:r w:rsidRPr="001A5519">
        <w:rPr>
          <w:lang w:val="en-GB"/>
        </w:rPr>
        <w:t xml:space="preserve">contain detailed descriptions of the recommended sampling and analysing systems. Since various configurations can produce equivalent results, exact conformance with </w:t>
      </w:r>
      <w:r w:rsidR="00846CB1" w:rsidRPr="001A5519">
        <w:rPr>
          <w:lang w:val="en-GB"/>
        </w:rPr>
        <w:t>F</w:t>
      </w:r>
      <w:r w:rsidRPr="001A5519">
        <w:rPr>
          <w:lang w:val="en-GB"/>
        </w:rPr>
        <w:t>igures 7 and 8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rsidR="00D75405" w:rsidRPr="00B04DC3" w:rsidRDefault="00D75405" w:rsidP="00D75405">
      <w:pPr>
        <w:pStyle w:val="Heading1"/>
      </w:pPr>
      <w:bookmarkStart w:id="289" w:name="_Toc399939952"/>
      <w:bookmarkStart w:id="290" w:name="_Toc423599539"/>
      <w:bookmarkStart w:id="291" w:name="_Toc423610947"/>
      <w:r w:rsidRPr="001A5519">
        <w:t>Figure 7</w:t>
      </w:r>
      <w:bookmarkEnd w:id="289"/>
      <w:bookmarkEnd w:id="290"/>
      <w:bookmarkEnd w:id="291"/>
    </w:p>
    <w:p w:rsidR="00926159" w:rsidRDefault="00D75405" w:rsidP="00D75405">
      <w:pPr>
        <w:pStyle w:val="Heading1"/>
        <w:rPr>
          <w:b/>
          <w:bCs/>
        </w:rPr>
      </w:pPr>
      <w:bookmarkStart w:id="292" w:name="_Toc423599540"/>
      <w:bookmarkStart w:id="293" w:name="_Toc423610948"/>
      <w:bookmarkStart w:id="294" w:name="_Toc399939953"/>
      <w:r w:rsidRPr="00B04DC3">
        <w:rPr>
          <w:b/>
          <w:bCs/>
        </w:rPr>
        <w:t>Flow diagram of raw exhaust gas analysis system for CO, CO</w:t>
      </w:r>
      <w:r w:rsidRPr="00B04DC3">
        <w:rPr>
          <w:b/>
          <w:bCs/>
          <w:vertAlign w:val="subscript"/>
        </w:rPr>
        <w:t>2</w:t>
      </w:r>
      <w:r w:rsidRPr="00B04DC3">
        <w:rPr>
          <w:b/>
          <w:bCs/>
        </w:rPr>
        <w:t>, NO</w:t>
      </w:r>
      <w:r w:rsidRPr="00B04DC3">
        <w:rPr>
          <w:b/>
          <w:bCs/>
          <w:vertAlign w:val="subscript"/>
        </w:rPr>
        <w:t>x</w:t>
      </w:r>
      <w:r w:rsidRPr="00B04DC3">
        <w:rPr>
          <w:b/>
          <w:bCs/>
        </w:rPr>
        <w:t>, HC</w:t>
      </w:r>
      <w:r w:rsidR="00926159">
        <w:rPr>
          <w:b/>
          <w:bCs/>
        </w:rPr>
        <w:t>,</w:t>
      </w:r>
      <w:bookmarkEnd w:id="292"/>
      <w:bookmarkEnd w:id="293"/>
      <w:r w:rsidRPr="00B04DC3">
        <w:rPr>
          <w:b/>
          <w:bCs/>
        </w:rPr>
        <w:t xml:space="preserve"> </w:t>
      </w:r>
    </w:p>
    <w:p w:rsidR="00D75405" w:rsidRPr="00B04DC3" w:rsidRDefault="00D75405" w:rsidP="00D75405">
      <w:pPr>
        <w:pStyle w:val="Heading1"/>
        <w:rPr>
          <w:b/>
          <w:bCs/>
        </w:rPr>
      </w:pPr>
      <w:bookmarkStart w:id="295" w:name="_Toc423599541"/>
      <w:bookmarkStart w:id="296" w:name="_Toc423610949"/>
      <w:r w:rsidRPr="00B04DC3">
        <w:rPr>
          <w:b/>
          <w:bCs/>
        </w:rPr>
        <w:t>ESC only</w:t>
      </w:r>
      <w:bookmarkEnd w:id="294"/>
      <w:bookmarkEnd w:id="295"/>
      <w:bookmarkEnd w:id="296"/>
    </w:p>
    <w:p w:rsidR="00D75405" w:rsidRPr="00B04DC3" w:rsidRDefault="00A905B7" w:rsidP="00D75405">
      <w:pPr>
        <w:jc w:val="center"/>
      </w:pPr>
      <w:r>
        <w:pict>
          <v:shape id="_x0000_i1193" type="#_x0000_t75" style="width:5in;height:285.6pt" fillcolor="window">
            <v:imagedata r:id="rId326" o:title="" cropright="13403f"/>
          </v:shape>
        </w:pict>
      </w:r>
    </w:p>
    <w:p w:rsidR="00D75405" w:rsidRPr="00B04DC3" w:rsidRDefault="00D75405" w:rsidP="00D75405">
      <w:pPr>
        <w:pStyle w:val="para"/>
        <w:rPr>
          <w:lang w:val="en-GB"/>
        </w:rPr>
      </w:pPr>
      <w:r w:rsidRPr="00B04DC3">
        <w:rPr>
          <w:lang w:val="en-GB"/>
        </w:rPr>
        <w:t>1.2.</w:t>
      </w:r>
      <w:r w:rsidRPr="00B04DC3">
        <w:rPr>
          <w:lang w:val="en-GB"/>
        </w:rPr>
        <w:tab/>
        <w:t>Description of the analytical system</w:t>
      </w:r>
    </w:p>
    <w:p w:rsidR="00D75405" w:rsidRPr="00B04DC3" w:rsidRDefault="00D75405" w:rsidP="00D75405">
      <w:pPr>
        <w:pStyle w:val="para"/>
        <w:rPr>
          <w:lang w:val="en-GB"/>
        </w:rPr>
      </w:pPr>
      <w:r w:rsidRPr="00B04DC3">
        <w:rPr>
          <w:lang w:val="en-GB"/>
        </w:rPr>
        <w:tab/>
        <w:t>An analytical system for the determination of the gaseous emissions in the raw (</w:t>
      </w:r>
      <w:r w:rsidR="00846CB1" w:rsidRPr="00B04DC3">
        <w:rPr>
          <w:lang w:val="en-GB"/>
        </w:rPr>
        <w:t>F</w:t>
      </w:r>
      <w:r w:rsidRPr="00B04DC3">
        <w:rPr>
          <w:lang w:val="en-GB"/>
        </w:rPr>
        <w:t>igure 7, ESC only) or diluted (</w:t>
      </w:r>
      <w:r w:rsidR="00846CB1" w:rsidRPr="00B04DC3">
        <w:rPr>
          <w:lang w:val="en-GB"/>
        </w:rPr>
        <w:t>F</w:t>
      </w:r>
      <w:r w:rsidRPr="00B04DC3">
        <w:rPr>
          <w:lang w:val="en-GB"/>
        </w:rPr>
        <w:t>igure 8, ETC and ESC) exhaust gas is described based on the use of:</w:t>
      </w:r>
    </w:p>
    <w:p w:rsidR="00D75405" w:rsidRPr="00B04DC3" w:rsidRDefault="00D75405" w:rsidP="00D75405">
      <w:pPr>
        <w:pStyle w:val="para"/>
        <w:rPr>
          <w:lang w:val="en-GB"/>
        </w:rPr>
      </w:pPr>
      <w:r w:rsidRPr="00B04DC3">
        <w:rPr>
          <w:lang w:val="en-GB"/>
        </w:rPr>
        <w:tab/>
        <w:t>(a)</w:t>
      </w:r>
      <w:r w:rsidRPr="00B04DC3">
        <w:rPr>
          <w:lang w:val="en-GB"/>
        </w:rPr>
        <w:tab/>
        <w:t>HFID analyzer for the measurement of hydrocarbons;</w:t>
      </w:r>
    </w:p>
    <w:p w:rsidR="00D75405" w:rsidRPr="00B04DC3" w:rsidRDefault="00D75405" w:rsidP="00D75405">
      <w:pPr>
        <w:pStyle w:val="a"/>
        <w:rPr>
          <w:lang w:val="en-GB"/>
        </w:rPr>
      </w:pPr>
      <w:r w:rsidRPr="00B04DC3">
        <w:rPr>
          <w:lang w:val="en-GB"/>
        </w:rPr>
        <w:t>(b)</w:t>
      </w:r>
      <w:r w:rsidRPr="00B04DC3">
        <w:rPr>
          <w:lang w:val="en-GB"/>
        </w:rPr>
        <w:tab/>
        <w:t>NDIR analyzers for the measurement of carbon monoxide and carbon dioxide;</w:t>
      </w:r>
    </w:p>
    <w:p w:rsidR="00D75405" w:rsidRPr="00B04DC3" w:rsidRDefault="00D75405" w:rsidP="00D75405">
      <w:pPr>
        <w:pStyle w:val="a"/>
        <w:rPr>
          <w:lang w:val="en-GB"/>
        </w:rPr>
      </w:pPr>
      <w:r w:rsidRPr="00B04DC3">
        <w:rPr>
          <w:lang w:val="en-GB"/>
        </w:rPr>
        <w:t>(c)</w:t>
      </w:r>
      <w:r w:rsidRPr="00B04DC3">
        <w:rPr>
          <w:lang w:val="en-GB"/>
        </w:rPr>
        <w:tab/>
        <w:t>HCLD or equivalent analyzer for the measurement of the oxides of nitrogen.</w:t>
      </w:r>
    </w:p>
    <w:p w:rsidR="00D75405" w:rsidRPr="00B04DC3" w:rsidRDefault="00D75405" w:rsidP="00D75405">
      <w:pPr>
        <w:pStyle w:val="para"/>
        <w:ind w:firstLine="0"/>
        <w:rPr>
          <w:lang w:val="en-GB"/>
        </w:rPr>
      </w:pPr>
      <w:r w:rsidRPr="00B04DC3">
        <w:rPr>
          <w:lang w:val="en-GB"/>
        </w:rPr>
        <w:t>The sample for all components may be taken with one sampling probe or with two sampling probes located in close proximity and internally split to the different analyzers. Care shall be taken that no condensation of exhaust components (including water and sulphuric acid) occurs at any point of the analytical system.</w:t>
      </w:r>
    </w:p>
    <w:p w:rsidR="00D75405" w:rsidRPr="00B04DC3" w:rsidRDefault="00D75405" w:rsidP="00D75405">
      <w:pPr>
        <w:pStyle w:val="Heading1"/>
      </w:pPr>
      <w:bookmarkStart w:id="297" w:name="_Toc399939954"/>
      <w:bookmarkStart w:id="298" w:name="_Toc423599542"/>
      <w:bookmarkStart w:id="299" w:name="_Toc423610950"/>
      <w:r w:rsidRPr="00B04DC3">
        <w:t xml:space="preserve">Figure </w:t>
      </w:r>
      <w:r w:rsidRPr="001A5519">
        <w:t>8</w:t>
      </w:r>
      <w:bookmarkEnd w:id="297"/>
      <w:bookmarkEnd w:id="298"/>
      <w:bookmarkEnd w:id="299"/>
    </w:p>
    <w:p w:rsidR="00926159" w:rsidRDefault="00D75405" w:rsidP="00D75405">
      <w:pPr>
        <w:pStyle w:val="Heading1"/>
        <w:rPr>
          <w:b/>
        </w:rPr>
      </w:pPr>
      <w:bookmarkStart w:id="300" w:name="_Toc423599543"/>
      <w:bookmarkStart w:id="301" w:name="_Toc423610951"/>
      <w:bookmarkStart w:id="302" w:name="_Toc399939955"/>
      <w:r w:rsidRPr="00B04DC3">
        <w:rPr>
          <w:b/>
        </w:rPr>
        <w:t>Flow diagram of diluted exhaust gas analysis system for CO, CO</w:t>
      </w:r>
      <w:r w:rsidRPr="00B04DC3">
        <w:rPr>
          <w:b/>
          <w:vertAlign w:val="subscript"/>
        </w:rPr>
        <w:t>2</w:t>
      </w:r>
      <w:r w:rsidRPr="00B04DC3">
        <w:rPr>
          <w:b/>
        </w:rPr>
        <w:t>, NO</w:t>
      </w:r>
      <w:r w:rsidRPr="00B04DC3">
        <w:rPr>
          <w:b/>
          <w:vertAlign w:val="subscript"/>
        </w:rPr>
        <w:t>x</w:t>
      </w:r>
      <w:r w:rsidRPr="00B04DC3">
        <w:rPr>
          <w:b/>
        </w:rPr>
        <w:t>, HC</w:t>
      </w:r>
      <w:r w:rsidR="001A5519">
        <w:rPr>
          <w:b/>
        </w:rPr>
        <w:t>,</w:t>
      </w:r>
      <w:bookmarkEnd w:id="300"/>
      <w:bookmarkEnd w:id="301"/>
      <w:r w:rsidRPr="00B04DC3">
        <w:rPr>
          <w:b/>
        </w:rPr>
        <w:t xml:space="preserve"> </w:t>
      </w:r>
    </w:p>
    <w:p w:rsidR="00D75405" w:rsidRPr="00B04DC3" w:rsidRDefault="00D75405" w:rsidP="00D75405">
      <w:pPr>
        <w:pStyle w:val="Heading1"/>
        <w:rPr>
          <w:b/>
        </w:rPr>
      </w:pPr>
      <w:bookmarkStart w:id="303" w:name="_Toc423599544"/>
      <w:bookmarkStart w:id="304" w:name="_Toc423610952"/>
      <w:r w:rsidRPr="00B04DC3">
        <w:rPr>
          <w:b/>
        </w:rPr>
        <w:t>ETC, optional for ESC</w:t>
      </w:r>
      <w:bookmarkEnd w:id="302"/>
      <w:bookmarkEnd w:id="303"/>
      <w:bookmarkEnd w:id="304"/>
    </w:p>
    <w:p w:rsidR="00D75405" w:rsidRPr="00B04DC3" w:rsidRDefault="00A905B7" w:rsidP="00D75405">
      <w:pPr>
        <w:pStyle w:val="NormalCentered"/>
        <w:numPr>
          <w:ilvl w:val="0"/>
          <w:numId w:val="0"/>
        </w:numPr>
        <w:spacing w:before="0" w:after="0"/>
        <w:ind w:left="851"/>
        <w:jc w:val="left"/>
      </w:pPr>
      <w:r>
        <w:pict>
          <v:shape id="_x0000_i1194" type="#_x0000_t75" style="width:441.6pt;height:324.6pt" fillcolor="window">
            <v:imagedata r:id="rId327" o:title=""/>
          </v:shape>
        </w:pict>
      </w:r>
    </w:p>
    <w:p w:rsidR="00D75405" w:rsidRPr="00B04DC3" w:rsidRDefault="00D75405" w:rsidP="00D75405">
      <w:pPr>
        <w:pStyle w:val="para"/>
        <w:rPr>
          <w:lang w:val="en-GB"/>
        </w:rPr>
      </w:pPr>
      <w:r w:rsidRPr="00B04DC3">
        <w:rPr>
          <w:lang w:val="en-GB"/>
        </w:rPr>
        <w:t>1.2.1.</w:t>
      </w:r>
      <w:r w:rsidRPr="00B04DC3">
        <w:rPr>
          <w:lang w:val="en-GB"/>
        </w:rPr>
        <w:tab/>
        <w:t xml:space="preserve">Components of </w:t>
      </w:r>
      <w:r w:rsidR="00846CB1" w:rsidRPr="00B04DC3">
        <w:rPr>
          <w:lang w:val="en-GB"/>
        </w:rPr>
        <w:t>F</w:t>
      </w:r>
      <w:r w:rsidRPr="00B04DC3">
        <w:rPr>
          <w:lang w:val="en-GB"/>
        </w:rPr>
        <w:t>igures 7 and 8</w:t>
      </w:r>
    </w:p>
    <w:p w:rsidR="00D75405" w:rsidRPr="00B04DC3" w:rsidRDefault="00D75405" w:rsidP="00D75405">
      <w:pPr>
        <w:pStyle w:val="para"/>
        <w:rPr>
          <w:lang w:val="en-GB"/>
        </w:rPr>
      </w:pPr>
      <w:r w:rsidRPr="00B04DC3">
        <w:rPr>
          <w:lang w:val="en-GB"/>
        </w:rPr>
        <w:tab/>
      </w:r>
      <w:r w:rsidR="008C00FD">
        <w:rPr>
          <w:lang w:val="en-GB"/>
        </w:rPr>
        <w:t>E</w:t>
      </w:r>
      <w:r w:rsidR="008C00FD" w:rsidRPr="00B04DC3">
        <w:rPr>
          <w:lang w:val="en-GB"/>
        </w:rPr>
        <w:t xml:space="preserve">xhaust </w:t>
      </w:r>
      <w:r w:rsidR="008C00FD">
        <w:rPr>
          <w:lang w:val="en-GB"/>
        </w:rPr>
        <w:t>P</w:t>
      </w:r>
      <w:r w:rsidR="008C00FD" w:rsidRPr="00B04DC3">
        <w:rPr>
          <w:lang w:val="en-GB"/>
        </w:rPr>
        <w:t>ipe</w:t>
      </w:r>
      <w:r w:rsidR="008C00FD">
        <w:rPr>
          <w:lang w:val="en-GB"/>
        </w:rPr>
        <w:t xml:space="preserve"> (</w:t>
      </w:r>
      <w:r w:rsidR="0078001E">
        <w:rPr>
          <w:lang w:val="en-GB"/>
        </w:rPr>
        <w:t>EP</w:t>
      </w:r>
      <w:r w:rsidR="008C00FD">
        <w:rPr>
          <w:lang w:val="en-GB"/>
        </w:rPr>
        <w:t>)</w:t>
      </w:r>
    </w:p>
    <w:p w:rsidR="00D75405" w:rsidRPr="00B04DC3" w:rsidRDefault="00D75405" w:rsidP="00D75405">
      <w:pPr>
        <w:pStyle w:val="para"/>
        <w:rPr>
          <w:lang w:val="en-GB"/>
        </w:rPr>
      </w:pPr>
      <w:r w:rsidRPr="00B04DC3">
        <w:rPr>
          <w:lang w:val="en-GB"/>
        </w:rPr>
        <w:tab/>
        <w:t>Exhaust gas sampling probe (</w:t>
      </w:r>
      <w:r w:rsidR="00846CB1" w:rsidRPr="00B04DC3">
        <w:rPr>
          <w:lang w:val="en-GB"/>
        </w:rPr>
        <w:t>F</w:t>
      </w:r>
      <w:r w:rsidRPr="00B04DC3">
        <w:rPr>
          <w:lang w:val="en-GB"/>
        </w:rPr>
        <w:t>igure 7 only)</w:t>
      </w:r>
    </w:p>
    <w:p w:rsidR="00D75405" w:rsidRPr="00B04DC3" w:rsidRDefault="00D75405" w:rsidP="00D75405">
      <w:pPr>
        <w:pStyle w:val="para"/>
        <w:rPr>
          <w:lang w:val="en-GB"/>
        </w:rPr>
      </w:pPr>
      <w:r w:rsidRPr="00B04DC3">
        <w:rPr>
          <w:lang w:val="en-GB"/>
        </w:rPr>
        <w:tab/>
        <w:t>A stainless steel straight closed end multi-hole probe is recommended. The inside diameter shall not be greater than the inside diameter of the sampling line. The wall thickness of the probe shall not be greater than 1 mm. There shall be a minimum of three holes in three different radial planes sized to sample approximately the same flow. The probe shall extend across at least 80 per cent of the diameter of the exhaust pipe. One or two sampling probes may be used.</w:t>
      </w:r>
    </w:p>
    <w:p w:rsidR="00D75405" w:rsidRPr="00B04DC3" w:rsidRDefault="00D75405" w:rsidP="00D75405">
      <w:pPr>
        <w:pStyle w:val="para"/>
        <w:rPr>
          <w:lang w:val="en-GB"/>
        </w:rPr>
      </w:pPr>
      <w:r w:rsidRPr="00B04DC3">
        <w:rPr>
          <w:lang w:val="en-GB"/>
        </w:rPr>
        <w:br w:type="page"/>
      </w:r>
      <w:r w:rsidRPr="00B04DC3">
        <w:rPr>
          <w:lang w:val="en-GB"/>
        </w:rPr>
        <w:tab/>
        <w:t>SP2 diluted exhaust gas HC sampling probe (</w:t>
      </w:r>
      <w:r w:rsidR="00313D4E" w:rsidRPr="00B04DC3">
        <w:rPr>
          <w:lang w:val="en-GB"/>
        </w:rPr>
        <w:t>Figure</w:t>
      </w:r>
      <w:r w:rsidRPr="00B04DC3">
        <w:rPr>
          <w:lang w:val="en-GB"/>
        </w:rPr>
        <w:t xml:space="preserve"> 8 only)</w:t>
      </w:r>
    </w:p>
    <w:p w:rsidR="00D75405" w:rsidRPr="00B04DC3" w:rsidRDefault="00D75405" w:rsidP="00D75405">
      <w:pPr>
        <w:pStyle w:val="para"/>
        <w:rPr>
          <w:lang w:val="en-GB"/>
        </w:rPr>
      </w:pPr>
      <w:r w:rsidRPr="00B04DC3">
        <w:rPr>
          <w:lang w:val="en-GB"/>
        </w:rPr>
        <w:tab/>
        <w:t>The probe shall:</w:t>
      </w:r>
    </w:p>
    <w:p w:rsidR="00D75405" w:rsidRPr="00B04DC3" w:rsidRDefault="00D75405" w:rsidP="00D75405">
      <w:pPr>
        <w:pStyle w:val="a"/>
        <w:rPr>
          <w:lang w:val="en-GB"/>
        </w:rPr>
      </w:pPr>
      <w:r w:rsidRPr="00B04DC3">
        <w:rPr>
          <w:lang w:val="en-GB"/>
        </w:rPr>
        <w:t>(a)</w:t>
      </w:r>
      <w:r w:rsidRPr="00B04DC3">
        <w:rPr>
          <w:lang w:val="en-GB"/>
        </w:rPr>
        <w:tab/>
        <w:t>Be defined as the first 254 mm to 762 mm of the heated sampling line HSL1;</w:t>
      </w:r>
    </w:p>
    <w:p w:rsidR="00D75405" w:rsidRPr="00B04DC3" w:rsidRDefault="00D75405" w:rsidP="00D75405">
      <w:pPr>
        <w:pStyle w:val="a"/>
        <w:rPr>
          <w:lang w:val="en-GB"/>
        </w:rPr>
      </w:pPr>
      <w:r w:rsidRPr="00B04DC3">
        <w:rPr>
          <w:lang w:val="en-GB"/>
        </w:rPr>
        <w:t>(b)</w:t>
      </w:r>
      <w:r w:rsidRPr="00B04DC3">
        <w:rPr>
          <w:lang w:val="en-GB"/>
        </w:rPr>
        <w:tab/>
        <w:t>Have a 5 mm minimum inside diameter;</w:t>
      </w:r>
    </w:p>
    <w:p w:rsidR="00D75405" w:rsidRPr="00B04DC3" w:rsidRDefault="00D75405" w:rsidP="00D75405">
      <w:pPr>
        <w:pStyle w:val="a"/>
        <w:rPr>
          <w:lang w:val="en-GB"/>
        </w:rPr>
      </w:pPr>
      <w:r w:rsidRPr="00B04DC3">
        <w:rPr>
          <w:lang w:val="en-GB"/>
        </w:rPr>
        <w:t>(c)</w:t>
      </w:r>
      <w:r w:rsidRPr="00B04DC3">
        <w:rPr>
          <w:lang w:val="en-GB"/>
        </w:rPr>
        <w:tab/>
        <w:t xml:space="preserve">Be installed in the </w:t>
      </w:r>
      <w:r w:rsidR="00DB08BC">
        <w:rPr>
          <w:lang w:val="en-GB"/>
        </w:rPr>
        <w:t>D</w:t>
      </w:r>
      <w:r w:rsidR="00DB08BC" w:rsidRPr="00B04DC3">
        <w:rPr>
          <w:lang w:val="en-GB"/>
        </w:rPr>
        <w:t xml:space="preserve">ilution </w:t>
      </w:r>
      <w:r w:rsidR="00DB08BC">
        <w:rPr>
          <w:lang w:val="en-GB"/>
        </w:rPr>
        <w:t>T</w:t>
      </w:r>
      <w:r w:rsidR="00DB08BC" w:rsidRPr="00B04DC3">
        <w:rPr>
          <w:lang w:val="en-GB"/>
        </w:rPr>
        <w:t xml:space="preserve">unnel </w:t>
      </w:r>
      <w:r w:rsidR="00DB08BC">
        <w:rPr>
          <w:lang w:val="en-GB"/>
        </w:rPr>
        <w:t>(</w:t>
      </w:r>
      <w:r w:rsidRPr="00B04DC3">
        <w:rPr>
          <w:lang w:val="en-GB"/>
        </w:rPr>
        <w:t>DT</w:t>
      </w:r>
      <w:r w:rsidR="00DB08BC">
        <w:rPr>
          <w:lang w:val="en-GB"/>
        </w:rPr>
        <w:t>)</w:t>
      </w:r>
      <w:r w:rsidRPr="00B04DC3">
        <w:rPr>
          <w:lang w:val="en-GB"/>
        </w:rPr>
        <w:t xml:space="preserve"> (see paragraph 2.3.</w:t>
      </w:r>
      <w:r w:rsidR="00DB08BC" w:rsidRPr="00DB08BC">
        <w:rPr>
          <w:lang w:val="en-GB"/>
        </w:rPr>
        <w:t xml:space="preserve"> </w:t>
      </w:r>
      <w:r w:rsidR="00DB08BC">
        <w:rPr>
          <w:lang w:val="en-GB"/>
        </w:rPr>
        <w:t>of this appendix</w:t>
      </w:r>
      <w:r w:rsidRPr="00B04DC3">
        <w:rPr>
          <w:lang w:val="en-GB"/>
        </w:rPr>
        <w:t xml:space="preserve">, </w:t>
      </w:r>
      <w:r w:rsidR="00313D4E" w:rsidRPr="00B04DC3">
        <w:rPr>
          <w:lang w:val="en-GB"/>
        </w:rPr>
        <w:t>Figure</w:t>
      </w:r>
      <w:r w:rsidRPr="00B04DC3">
        <w:rPr>
          <w:lang w:val="en-GB"/>
        </w:rPr>
        <w:t xml:space="preserve"> 20) at a point where the diluent and exhaust gas are well mixed (i.e. approximately 10 tunnel diameters downstream of the point where the exhaust enters the dilution tunnel);</w:t>
      </w:r>
    </w:p>
    <w:p w:rsidR="00D75405" w:rsidRPr="00B04DC3" w:rsidRDefault="00D75405" w:rsidP="00D75405">
      <w:pPr>
        <w:pStyle w:val="a"/>
        <w:rPr>
          <w:lang w:val="en-GB"/>
        </w:rPr>
      </w:pPr>
      <w:r w:rsidRPr="00B04DC3">
        <w:rPr>
          <w:lang w:val="en-GB"/>
        </w:rPr>
        <w:t>(d)</w:t>
      </w:r>
      <w:r w:rsidRPr="00B04DC3">
        <w:rPr>
          <w:lang w:val="en-GB"/>
        </w:rPr>
        <w:tab/>
        <w:t>Be sufficiently distant (radially) from other probes and the tunnel wall so as to be free from the influence of any wakes or eddies;</w:t>
      </w:r>
    </w:p>
    <w:p w:rsidR="00D75405" w:rsidRPr="00B04DC3" w:rsidRDefault="00D75405" w:rsidP="00D75405">
      <w:pPr>
        <w:pStyle w:val="a"/>
        <w:rPr>
          <w:lang w:val="en-GB"/>
        </w:rPr>
      </w:pPr>
      <w:r w:rsidRPr="00B04DC3">
        <w:rPr>
          <w:lang w:val="en-GB"/>
        </w:rPr>
        <w:t>(e)</w:t>
      </w:r>
      <w:r w:rsidRPr="00B04DC3">
        <w:rPr>
          <w:lang w:val="en-GB"/>
        </w:rPr>
        <w:tab/>
        <w:t xml:space="preserve">Be heated so as to increase the gas stream temperature to </w:t>
      </w:r>
      <w:r w:rsidRPr="00B04DC3">
        <w:rPr>
          <w:lang w:val="en-GB"/>
        </w:rPr>
        <w:br/>
        <w:t>463 K ± 10 K (190 °C ± 10 °C) at the exit of the probe.</w:t>
      </w:r>
    </w:p>
    <w:p w:rsidR="00D75405" w:rsidRPr="00B04DC3" w:rsidRDefault="00D75405" w:rsidP="00D75405">
      <w:pPr>
        <w:pStyle w:val="para"/>
        <w:rPr>
          <w:lang w:val="en-GB"/>
        </w:rPr>
      </w:pPr>
      <w:r w:rsidRPr="00B04DC3">
        <w:rPr>
          <w:lang w:val="en-GB"/>
        </w:rPr>
        <w:tab/>
        <w:t>SP3 diluted exhaust gas CO, CO</w:t>
      </w:r>
      <w:r w:rsidRPr="00B04DC3">
        <w:rPr>
          <w:vertAlign w:val="subscript"/>
          <w:lang w:val="en-GB"/>
        </w:rPr>
        <w:t>2</w:t>
      </w:r>
      <w:r w:rsidRPr="00B04DC3">
        <w:rPr>
          <w:lang w:val="en-GB"/>
        </w:rPr>
        <w:t>, NO</w:t>
      </w:r>
      <w:r w:rsidRPr="00B04DC3">
        <w:rPr>
          <w:vertAlign w:val="subscript"/>
          <w:lang w:val="en-GB"/>
        </w:rPr>
        <w:t>x</w:t>
      </w:r>
      <w:r w:rsidRPr="00B04DC3">
        <w:rPr>
          <w:lang w:val="en-GB"/>
        </w:rPr>
        <w:t xml:space="preserve"> sampling probe (</w:t>
      </w:r>
      <w:r w:rsidR="00313D4E" w:rsidRPr="00B04DC3">
        <w:rPr>
          <w:lang w:val="en-GB"/>
        </w:rPr>
        <w:t>Figure</w:t>
      </w:r>
      <w:r w:rsidRPr="00B04DC3">
        <w:rPr>
          <w:lang w:val="en-GB"/>
        </w:rPr>
        <w:t xml:space="preserve"> 8 only)</w:t>
      </w:r>
    </w:p>
    <w:p w:rsidR="00D75405" w:rsidRPr="00B04DC3" w:rsidRDefault="00D75405" w:rsidP="00D75405">
      <w:pPr>
        <w:pStyle w:val="para"/>
        <w:rPr>
          <w:lang w:val="en-GB"/>
        </w:rPr>
      </w:pPr>
      <w:r w:rsidRPr="00B04DC3">
        <w:rPr>
          <w:lang w:val="en-GB"/>
        </w:rPr>
        <w:tab/>
        <w:t>The probe shall:</w:t>
      </w:r>
    </w:p>
    <w:p w:rsidR="00D75405" w:rsidRPr="00B04DC3" w:rsidRDefault="00D75405" w:rsidP="00D75405">
      <w:pPr>
        <w:pStyle w:val="a"/>
        <w:rPr>
          <w:lang w:val="en-GB"/>
        </w:rPr>
      </w:pPr>
      <w:r w:rsidRPr="00B04DC3">
        <w:rPr>
          <w:lang w:val="en-GB"/>
        </w:rPr>
        <w:t>(a)</w:t>
      </w:r>
      <w:r w:rsidRPr="00B04DC3">
        <w:rPr>
          <w:lang w:val="en-GB"/>
        </w:rPr>
        <w:tab/>
        <w:t>Be in the same plane as SP2;</w:t>
      </w:r>
    </w:p>
    <w:p w:rsidR="00D75405" w:rsidRPr="00B04DC3" w:rsidRDefault="00D75405" w:rsidP="00D75405">
      <w:pPr>
        <w:pStyle w:val="a"/>
        <w:rPr>
          <w:lang w:val="en-GB"/>
        </w:rPr>
      </w:pPr>
      <w:r w:rsidRPr="00B04DC3">
        <w:rPr>
          <w:lang w:val="en-GB"/>
        </w:rPr>
        <w:t>(b)</w:t>
      </w:r>
      <w:r w:rsidRPr="00B04DC3">
        <w:rPr>
          <w:lang w:val="en-GB"/>
        </w:rPr>
        <w:tab/>
        <w:t>Be sufficiently distant (radially) from other probes and the tunnel wall so as to be free from the influence of any wakes or eddies;</w:t>
      </w:r>
    </w:p>
    <w:p w:rsidR="00D75405" w:rsidRPr="00B04DC3" w:rsidRDefault="00D75405" w:rsidP="00D75405">
      <w:pPr>
        <w:pStyle w:val="a"/>
        <w:rPr>
          <w:lang w:val="en-GB"/>
        </w:rPr>
      </w:pPr>
      <w:r w:rsidRPr="00B04DC3">
        <w:rPr>
          <w:lang w:val="en-GB"/>
        </w:rPr>
        <w:t>(c)</w:t>
      </w:r>
      <w:r w:rsidRPr="00B04DC3">
        <w:rPr>
          <w:lang w:val="en-GB"/>
        </w:rPr>
        <w:tab/>
        <w:t>Be heated and insulated over its entire length to a minimum temperature of 328 K (55 °C) to prevent water condensation.</w:t>
      </w:r>
    </w:p>
    <w:p w:rsidR="00D75405" w:rsidRPr="00B04DC3" w:rsidRDefault="00D75405" w:rsidP="00D75405">
      <w:pPr>
        <w:pStyle w:val="para"/>
        <w:rPr>
          <w:lang w:val="en-GB"/>
        </w:rPr>
      </w:pPr>
      <w:r w:rsidRPr="00B04DC3">
        <w:rPr>
          <w:lang w:val="en-GB"/>
        </w:rPr>
        <w:tab/>
        <w:t>HSL1 heated sampling line</w:t>
      </w:r>
    </w:p>
    <w:p w:rsidR="00D75405" w:rsidRPr="00B04DC3" w:rsidRDefault="00D75405" w:rsidP="00D75405">
      <w:pPr>
        <w:pStyle w:val="para"/>
        <w:rPr>
          <w:lang w:val="en-GB"/>
        </w:rPr>
      </w:pPr>
      <w:r w:rsidRPr="00B04DC3">
        <w:rPr>
          <w:lang w:val="en-GB"/>
        </w:rPr>
        <w:tab/>
        <w:t>The sampling line provides a gas sample from a single probe to the split point(s) and the HC analyzer.</w:t>
      </w:r>
    </w:p>
    <w:p w:rsidR="00D75405" w:rsidRPr="00B04DC3" w:rsidRDefault="00D75405" w:rsidP="00D75405">
      <w:pPr>
        <w:pStyle w:val="para"/>
        <w:rPr>
          <w:lang w:val="en-GB"/>
        </w:rPr>
      </w:pPr>
      <w:r w:rsidRPr="00B04DC3">
        <w:rPr>
          <w:lang w:val="en-GB"/>
        </w:rPr>
        <w:tab/>
        <w:t>The sampling line shall:</w:t>
      </w:r>
    </w:p>
    <w:p w:rsidR="00D75405" w:rsidRPr="00B04DC3" w:rsidRDefault="00D75405" w:rsidP="00D75405">
      <w:pPr>
        <w:pStyle w:val="a"/>
        <w:rPr>
          <w:lang w:val="en-GB"/>
        </w:rPr>
      </w:pPr>
      <w:r w:rsidRPr="00B04DC3">
        <w:rPr>
          <w:lang w:val="en-GB"/>
        </w:rPr>
        <w:t>(a)</w:t>
      </w:r>
      <w:r w:rsidRPr="00B04DC3">
        <w:rPr>
          <w:lang w:val="en-GB"/>
        </w:rPr>
        <w:tab/>
        <w:t>Have a 5 mm minimum and a 13.5 mm maximum inside diameter;</w:t>
      </w:r>
    </w:p>
    <w:p w:rsidR="00D75405" w:rsidRPr="00B04DC3" w:rsidRDefault="00D75405" w:rsidP="00D75405">
      <w:pPr>
        <w:pStyle w:val="a"/>
        <w:rPr>
          <w:lang w:val="en-GB"/>
        </w:rPr>
      </w:pPr>
      <w:r w:rsidRPr="00B04DC3">
        <w:rPr>
          <w:lang w:val="en-GB"/>
        </w:rPr>
        <w:t>(b)</w:t>
      </w:r>
      <w:r w:rsidRPr="00B04DC3">
        <w:rPr>
          <w:lang w:val="en-GB"/>
        </w:rPr>
        <w:tab/>
        <w:t xml:space="preserve">Be made of stainless steel or </w:t>
      </w:r>
      <w:r w:rsidR="00DB08BC">
        <w:rPr>
          <w:lang w:val="en-GB"/>
        </w:rPr>
        <w:t>Polytetrafluoroethylene (</w:t>
      </w:r>
      <w:r w:rsidRPr="00B04DC3">
        <w:rPr>
          <w:lang w:val="en-GB"/>
        </w:rPr>
        <w:t>PTFE</w:t>
      </w:r>
      <w:r w:rsidR="00DB08BC">
        <w:rPr>
          <w:lang w:val="en-GB"/>
        </w:rPr>
        <w:t>)</w:t>
      </w:r>
      <w:r w:rsidRPr="00B04DC3">
        <w:rPr>
          <w:lang w:val="en-GB"/>
        </w:rPr>
        <w:t>;</w:t>
      </w:r>
    </w:p>
    <w:p w:rsidR="00D75405" w:rsidRPr="00B04DC3" w:rsidRDefault="00D75405" w:rsidP="00D75405">
      <w:pPr>
        <w:pStyle w:val="a"/>
        <w:rPr>
          <w:lang w:val="en-GB"/>
        </w:rPr>
      </w:pPr>
      <w:r w:rsidRPr="00B04DC3">
        <w:rPr>
          <w:lang w:val="en-GB"/>
        </w:rPr>
        <w:t>(c)</w:t>
      </w:r>
      <w:r w:rsidRPr="00B04DC3">
        <w:rPr>
          <w:lang w:val="en-GB"/>
        </w:rPr>
        <w:tab/>
        <w:t>Maintain a wall temperature of 463 K ± 10 K (190 °C ± 10 °C) as measured at every separately controlled heated section, if the temperature of the exhaust gas at the sampling probe is equal to or below 463 K (190 °C);</w:t>
      </w:r>
    </w:p>
    <w:p w:rsidR="00D75405" w:rsidRPr="00B04DC3" w:rsidRDefault="00D75405" w:rsidP="00D75405">
      <w:pPr>
        <w:pStyle w:val="a"/>
        <w:rPr>
          <w:lang w:val="en-GB"/>
        </w:rPr>
      </w:pPr>
      <w:r w:rsidRPr="00B04DC3">
        <w:rPr>
          <w:lang w:val="en-GB"/>
        </w:rPr>
        <w:t>(d)</w:t>
      </w:r>
      <w:r w:rsidRPr="00B04DC3">
        <w:rPr>
          <w:lang w:val="en-GB"/>
        </w:rPr>
        <w:tab/>
        <w:t>Maintain a wall temperature greater than 453 K (180 °C), if the temperature of the exhaust gas at the sampling probe is above 463 K (190 °C);</w:t>
      </w:r>
    </w:p>
    <w:p w:rsidR="00D75405" w:rsidRPr="00B04DC3" w:rsidRDefault="00D75405" w:rsidP="00D75405">
      <w:pPr>
        <w:pStyle w:val="a"/>
        <w:rPr>
          <w:lang w:val="en-GB"/>
        </w:rPr>
      </w:pPr>
      <w:r w:rsidRPr="00B04DC3">
        <w:rPr>
          <w:lang w:val="en-GB"/>
        </w:rPr>
        <w:t>(e)</w:t>
      </w:r>
      <w:r w:rsidRPr="00B04DC3">
        <w:rPr>
          <w:lang w:val="en-GB"/>
        </w:rPr>
        <w:tab/>
        <w:t>Maintain a gas temperature of 463 K ± 10 K (190 °C ± 10 °C) immediately before the heated filter F2 and the HFID.</w:t>
      </w:r>
    </w:p>
    <w:p w:rsidR="00D75405" w:rsidRPr="00B04DC3" w:rsidRDefault="00D75405" w:rsidP="00D75405">
      <w:pPr>
        <w:pStyle w:val="para"/>
        <w:rPr>
          <w:lang w:val="en-GB"/>
        </w:rPr>
      </w:pPr>
      <w:r w:rsidRPr="00B04DC3">
        <w:rPr>
          <w:lang w:val="en-GB"/>
        </w:rPr>
        <w:tab/>
        <w:t>HSL2 heated NO</w:t>
      </w:r>
      <w:r w:rsidRPr="00B04DC3">
        <w:rPr>
          <w:vertAlign w:val="subscript"/>
          <w:lang w:val="en-GB"/>
        </w:rPr>
        <w:t>x</w:t>
      </w:r>
      <w:r w:rsidRPr="00B04DC3">
        <w:rPr>
          <w:lang w:val="en-GB"/>
        </w:rPr>
        <w:t xml:space="preserve"> sampling line</w:t>
      </w:r>
    </w:p>
    <w:p w:rsidR="00D75405" w:rsidRPr="00B04DC3" w:rsidRDefault="00D75405" w:rsidP="00D75405">
      <w:pPr>
        <w:pStyle w:val="para"/>
        <w:rPr>
          <w:lang w:val="en-GB"/>
        </w:rPr>
      </w:pPr>
      <w:r w:rsidRPr="00B04DC3">
        <w:rPr>
          <w:lang w:val="en-GB"/>
        </w:rPr>
        <w:tab/>
        <w:t>The sampling line shall:</w:t>
      </w:r>
    </w:p>
    <w:p w:rsidR="00D75405" w:rsidRPr="00B04DC3" w:rsidRDefault="00D75405" w:rsidP="00D75405">
      <w:pPr>
        <w:pStyle w:val="a"/>
        <w:rPr>
          <w:lang w:val="en-GB"/>
        </w:rPr>
      </w:pPr>
      <w:r w:rsidRPr="00B04DC3">
        <w:rPr>
          <w:lang w:val="en-GB"/>
        </w:rPr>
        <w:t>(a)</w:t>
      </w:r>
      <w:r w:rsidRPr="00B04DC3">
        <w:rPr>
          <w:lang w:val="en-GB"/>
        </w:rPr>
        <w:tab/>
      </w:r>
      <w:r w:rsidRPr="00B04DC3">
        <w:rPr>
          <w:caps/>
          <w:lang w:val="en-GB"/>
        </w:rPr>
        <w:t>m</w:t>
      </w:r>
      <w:r w:rsidRPr="00B04DC3">
        <w:rPr>
          <w:lang w:val="en-GB"/>
        </w:rPr>
        <w:t>aintain a wall temperature of 328 K to 473 K (55 °C to 200 °C), up to the converter C when using a cooling bath B, and up to the analyzer when a cooling bath B is not used.</w:t>
      </w:r>
    </w:p>
    <w:p w:rsidR="00D75405" w:rsidRPr="00B04DC3" w:rsidRDefault="00D75405" w:rsidP="00D75405">
      <w:pPr>
        <w:pStyle w:val="a"/>
        <w:rPr>
          <w:lang w:val="en-GB"/>
        </w:rPr>
      </w:pPr>
      <w:r w:rsidRPr="00B04DC3">
        <w:rPr>
          <w:lang w:val="en-GB"/>
        </w:rPr>
        <w:t>(b)</w:t>
      </w:r>
      <w:r w:rsidRPr="00B04DC3">
        <w:rPr>
          <w:lang w:val="en-GB"/>
        </w:rPr>
        <w:tab/>
      </w:r>
      <w:r w:rsidRPr="00B04DC3">
        <w:rPr>
          <w:caps/>
          <w:lang w:val="en-GB"/>
        </w:rPr>
        <w:t>b</w:t>
      </w:r>
      <w:r w:rsidRPr="00B04DC3">
        <w:rPr>
          <w:lang w:val="en-GB"/>
        </w:rPr>
        <w:t>e made of stainless steel or PTFE.</w:t>
      </w:r>
    </w:p>
    <w:p w:rsidR="00D75405" w:rsidRPr="00B04DC3" w:rsidRDefault="00D75405" w:rsidP="00D75405">
      <w:pPr>
        <w:pStyle w:val="para"/>
        <w:rPr>
          <w:lang w:val="en-GB"/>
        </w:rPr>
      </w:pPr>
      <w:r w:rsidRPr="00B04DC3">
        <w:rPr>
          <w:lang w:val="en-GB"/>
        </w:rPr>
        <w:tab/>
        <w:t>SL sampling line for CO and CO</w:t>
      </w:r>
      <w:r w:rsidRPr="00B04DC3">
        <w:rPr>
          <w:vertAlign w:val="subscript"/>
          <w:lang w:val="en-GB"/>
        </w:rPr>
        <w:t>2</w:t>
      </w:r>
    </w:p>
    <w:p w:rsidR="00D75405" w:rsidRPr="00B04DC3" w:rsidRDefault="00D75405" w:rsidP="00D75405">
      <w:pPr>
        <w:pStyle w:val="para"/>
        <w:rPr>
          <w:lang w:val="en-GB"/>
        </w:rPr>
      </w:pPr>
      <w:r w:rsidRPr="00B04DC3">
        <w:rPr>
          <w:lang w:val="en-GB"/>
        </w:rPr>
        <w:tab/>
        <w:t>The line shall be made of PTFE or stainless steel. It may be heated or unheated.</w:t>
      </w:r>
    </w:p>
    <w:p w:rsidR="00D75405" w:rsidRPr="00B04DC3" w:rsidRDefault="00D75405" w:rsidP="00D75405">
      <w:pPr>
        <w:pStyle w:val="para"/>
        <w:rPr>
          <w:lang w:val="en-GB"/>
        </w:rPr>
      </w:pPr>
      <w:r w:rsidRPr="00B04DC3">
        <w:rPr>
          <w:lang w:val="en-GB"/>
        </w:rPr>
        <w:tab/>
        <w:t xml:space="preserve">BK background bag (optional; </w:t>
      </w:r>
      <w:r w:rsidR="00846CB1" w:rsidRPr="00B04DC3">
        <w:rPr>
          <w:lang w:val="en-GB"/>
        </w:rPr>
        <w:t>F</w:t>
      </w:r>
      <w:r w:rsidRPr="00B04DC3">
        <w:rPr>
          <w:lang w:val="en-GB"/>
        </w:rPr>
        <w:t>igure 8 only)</w:t>
      </w:r>
    </w:p>
    <w:p w:rsidR="00D75405" w:rsidRPr="00B04DC3" w:rsidRDefault="00D75405" w:rsidP="00D75405">
      <w:pPr>
        <w:pStyle w:val="para"/>
        <w:rPr>
          <w:lang w:val="en-GB"/>
        </w:rPr>
      </w:pPr>
      <w:r w:rsidRPr="00B04DC3">
        <w:rPr>
          <w:lang w:val="en-GB"/>
        </w:rPr>
        <w:tab/>
        <w:t>For the sampling of the background concentrations.</w:t>
      </w:r>
    </w:p>
    <w:p w:rsidR="00D75405" w:rsidRPr="00B04DC3" w:rsidRDefault="00D75405" w:rsidP="00D75405">
      <w:pPr>
        <w:pStyle w:val="para"/>
        <w:rPr>
          <w:lang w:val="en-GB"/>
        </w:rPr>
      </w:pPr>
      <w:r w:rsidRPr="00B04DC3">
        <w:rPr>
          <w:lang w:val="en-GB"/>
        </w:rPr>
        <w:tab/>
        <w:t xml:space="preserve">BG sample bag (optional; </w:t>
      </w:r>
      <w:r w:rsidR="00846CB1" w:rsidRPr="00B04DC3">
        <w:rPr>
          <w:lang w:val="en-GB"/>
        </w:rPr>
        <w:t>F</w:t>
      </w:r>
      <w:r w:rsidRPr="00B04DC3">
        <w:rPr>
          <w:lang w:val="en-GB"/>
        </w:rPr>
        <w:t>igure 8 CO and CO</w:t>
      </w:r>
      <w:r w:rsidRPr="00B04DC3">
        <w:rPr>
          <w:vertAlign w:val="subscript"/>
          <w:lang w:val="en-GB"/>
        </w:rPr>
        <w:t>2</w:t>
      </w:r>
      <w:r w:rsidRPr="00B04DC3">
        <w:rPr>
          <w:lang w:val="en-GB"/>
        </w:rPr>
        <w:t xml:space="preserve"> only)</w:t>
      </w:r>
    </w:p>
    <w:p w:rsidR="00D75405" w:rsidRPr="00B04DC3" w:rsidRDefault="00D75405" w:rsidP="00D75405">
      <w:pPr>
        <w:pStyle w:val="para"/>
        <w:rPr>
          <w:lang w:val="en-GB"/>
        </w:rPr>
      </w:pPr>
      <w:r w:rsidRPr="00B04DC3">
        <w:rPr>
          <w:lang w:val="en-GB"/>
        </w:rPr>
        <w:tab/>
        <w:t>For the sampling of the sample concentrations.</w:t>
      </w:r>
    </w:p>
    <w:p w:rsidR="00D75405" w:rsidRPr="00B04DC3" w:rsidRDefault="00D75405" w:rsidP="00D75405">
      <w:pPr>
        <w:pStyle w:val="para"/>
        <w:rPr>
          <w:lang w:val="en-GB"/>
        </w:rPr>
      </w:pPr>
      <w:r w:rsidRPr="00B04DC3">
        <w:rPr>
          <w:lang w:val="en-GB"/>
        </w:rPr>
        <w:tab/>
        <w:t>F1 heated pre-filter (optional)</w:t>
      </w:r>
    </w:p>
    <w:p w:rsidR="00D75405" w:rsidRPr="00B04DC3" w:rsidRDefault="00D75405" w:rsidP="00D75405">
      <w:pPr>
        <w:pStyle w:val="para"/>
        <w:rPr>
          <w:lang w:val="en-GB"/>
        </w:rPr>
      </w:pPr>
      <w:r w:rsidRPr="00B04DC3">
        <w:rPr>
          <w:lang w:val="en-GB"/>
        </w:rPr>
        <w:tab/>
        <w:t>The temperature shall be the same as HSL1.</w:t>
      </w:r>
    </w:p>
    <w:p w:rsidR="00D75405" w:rsidRPr="00B04DC3" w:rsidRDefault="00D75405" w:rsidP="00D75405">
      <w:pPr>
        <w:pStyle w:val="para"/>
        <w:rPr>
          <w:lang w:val="en-GB"/>
        </w:rPr>
      </w:pPr>
      <w:r w:rsidRPr="00B04DC3">
        <w:rPr>
          <w:lang w:val="en-GB"/>
        </w:rPr>
        <w:tab/>
        <w:t>F2 Heated filter</w:t>
      </w:r>
    </w:p>
    <w:p w:rsidR="00D75405" w:rsidRPr="00B04DC3" w:rsidRDefault="00D75405" w:rsidP="00D75405">
      <w:pPr>
        <w:pStyle w:val="para"/>
        <w:rPr>
          <w:lang w:val="en-GB"/>
        </w:rPr>
      </w:pPr>
      <w:r w:rsidRPr="00B04DC3">
        <w:rPr>
          <w:lang w:val="en-GB"/>
        </w:rPr>
        <w:tab/>
        <w:t xml:space="preserve">The filter shall extract any solid </w:t>
      </w:r>
      <w:r w:rsidR="002E6737">
        <w:rPr>
          <w:lang w:val="en-GB"/>
        </w:rPr>
        <w:t>particulate</w:t>
      </w:r>
      <w:r w:rsidRPr="00B04DC3">
        <w:rPr>
          <w:lang w:val="en-GB"/>
        </w:rPr>
        <w:t>s from the gas sample prior to the analyzer. The temperature shall be the same as HSL1. The filter shall be changed as needed.</w:t>
      </w:r>
    </w:p>
    <w:p w:rsidR="00D75405" w:rsidRPr="00B04DC3" w:rsidRDefault="00D75405" w:rsidP="00D75405">
      <w:pPr>
        <w:pStyle w:val="para"/>
        <w:rPr>
          <w:lang w:val="en-GB"/>
        </w:rPr>
      </w:pPr>
      <w:r w:rsidRPr="00B04DC3">
        <w:rPr>
          <w:lang w:val="en-GB"/>
        </w:rPr>
        <w:tab/>
        <w:t>P heated sampling pump</w:t>
      </w:r>
    </w:p>
    <w:p w:rsidR="00D75405" w:rsidRPr="00B04DC3" w:rsidRDefault="00D75405" w:rsidP="00D75405">
      <w:pPr>
        <w:pStyle w:val="para"/>
        <w:rPr>
          <w:lang w:val="en-GB"/>
        </w:rPr>
      </w:pPr>
      <w:r w:rsidRPr="00B04DC3">
        <w:rPr>
          <w:lang w:val="en-GB"/>
        </w:rPr>
        <w:tab/>
        <w:t>The pump shall be heated to the temperature of HSL1.</w:t>
      </w:r>
    </w:p>
    <w:p w:rsidR="00D75405" w:rsidRPr="00B04DC3" w:rsidRDefault="00D75405" w:rsidP="00A07B7A">
      <w:pPr>
        <w:pStyle w:val="para"/>
        <w:tabs>
          <w:tab w:val="left" w:pos="2268"/>
        </w:tabs>
        <w:ind w:left="3261" w:hanging="2127"/>
        <w:rPr>
          <w:lang w:val="en-GB"/>
        </w:rPr>
      </w:pPr>
      <w:r w:rsidRPr="00B04DC3">
        <w:rPr>
          <w:lang w:val="en-GB"/>
        </w:rPr>
        <w:tab/>
        <w:t>HC</w:t>
      </w:r>
      <w:r w:rsidRPr="00B04DC3">
        <w:rPr>
          <w:lang w:val="en-GB"/>
        </w:rPr>
        <w:tab/>
        <w:t>Heated flame ionisation detector (HFID) for the determination of the hydrocarbons. The temperature shall be kept at 453 K to 473 K (180 °C to 200 °C).</w:t>
      </w:r>
    </w:p>
    <w:p w:rsidR="00D75405" w:rsidRPr="00B04DC3" w:rsidRDefault="00D75405" w:rsidP="00A07B7A">
      <w:pPr>
        <w:pStyle w:val="para"/>
        <w:tabs>
          <w:tab w:val="left" w:pos="2268"/>
        </w:tabs>
        <w:ind w:left="3261" w:hanging="2127"/>
        <w:rPr>
          <w:lang w:val="en-GB"/>
        </w:rPr>
      </w:pPr>
      <w:r w:rsidRPr="00B04DC3">
        <w:rPr>
          <w:lang w:val="en-GB"/>
        </w:rPr>
        <w:tab/>
        <w:t xml:space="preserve">CO, </w:t>
      </w:r>
      <w:r w:rsidR="00A07B7A" w:rsidRPr="00B04DC3">
        <w:rPr>
          <w:lang w:val="en-GB"/>
        </w:rPr>
        <w:t>CO</w:t>
      </w:r>
      <w:r w:rsidR="00A07B7A" w:rsidRPr="00B04DC3">
        <w:rPr>
          <w:vertAlign w:val="subscript"/>
          <w:lang w:val="en-GB"/>
        </w:rPr>
        <w:t>2</w:t>
      </w:r>
      <w:r w:rsidR="00A07B7A" w:rsidRPr="00B04DC3">
        <w:rPr>
          <w:lang w:val="en-GB"/>
        </w:rPr>
        <w:t xml:space="preserve"> </w:t>
      </w:r>
      <w:r w:rsidR="00A07B7A">
        <w:rPr>
          <w:lang w:val="en-GB"/>
        </w:rPr>
        <w:tab/>
      </w:r>
      <w:r w:rsidRPr="00B04DC3">
        <w:rPr>
          <w:lang w:val="en-GB"/>
        </w:rPr>
        <w:t>NDIR analyzers for the determination of carbon monoxide and carbon dioxide (optional for the determination of the dilution ratio for PT measurement).</w:t>
      </w:r>
    </w:p>
    <w:p w:rsidR="00D75405" w:rsidRPr="00B04DC3" w:rsidRDefault="00D75405" w:rsidP="00A07B7A">
      <w:pPr>
        <w:pStyle w:val="para"/>
        <w:tabs>
          <w:tab w:val="left" w:pos="2268"/>
        </w:tabs>
        <w:ind w:left="3261" w:hanging="2127"/>
        <w:rPr>
          <w:lang w:val="en-GB"/>
        </w:rPr>
      </w:pPr>
      <w:r w:rsidRPr="00B04DC3">
        <w:rPr>
          <w:lang w:val="en-GB"/>
        </w:rPr>
        <w:tab/>
        <w:t xml:space="preserve">NO  </w:t>
      </w:r>
      <w:r w:rsidRPr="00B04DC3">
        <w:rPr>
          <w:lang w:val="en-GB"/>
        </w:rPr>
        <w:tab/>
        <w:t>CLD or HCLD analyzer for the determination of the oxides of nitrogen. If a HCLD is used it shall be kept at a temperature of 328 K to 473 K (55 °C to 200 °C).</w:t>
      </w:r>
    </w:p>
    <w:p w:rsidR="00D75405" w:rsidRPr="00B04DC3" w:rsidRDefault="00D75405" w:rsidP="00A07B7A">
      <w:pPr>
        <w:pStyle w:val="para"/>
        <w:tabs>
          <w:tab w:val="left" w:pos="2268"/>
        </w:tabs>
        <w:ind w:left="3261" w:hanging="2127"/>
        <w:rPr>
          <w:lang w:val="en-GB"/>
        </w:rPr>
      </w:pPr>
      <w:r w:rsidRPr="00B04DC3">
        <w:rPr>
          <w:lang w:val="en-GB"/>
        </w:rPr>
        <w:tab/>
        <w:t xml:space="preserve">C   </w:t>
      </w:r>
      <w:r w:rsidRPr="00B04DC3">
        <w:rPr>
          <w:lang w:val="en-GB"/>
        </w:rPr>
        <w:tab/>
        <w:t>Converter</w:t>
      </w:r>
    </w:p>
    <w:p w:rsidR="00D75405" w:rsidRPr="00B04DC3" w:rsidRDefault="00D75405" w:rsidP="00A07B7A">
      <w:pPr>
        <w:pStyle w:val="para"/>
        <w:tabs>
          <w:tab w:val="left" w:pos="2268"/>
        </w:tabs>
        <w:rPr>
          <w:lang w:val="en-GB"/>
        </w:rPr>
      </w:pPr>
      <w:r w:rsidRPr="00B04DC3">
        <w:rPr>
          <w:lang w:val="en-GB"/>
        </w:rPr>
        <w:tab/>
        <w:t>A converter shall be used for the catalytic reduction of NO</w:t>
      </w:r>
      <w:r w:rsidRPr="00B04DC3">
        <w:rPr>
          <w:vertAlign w:val="subscript"/>
          <w:lang w:val="en-GB"/>
        </w:rPr>
        <w:t>2</w:t>
      </w:r>
      <w:r w:rsidRPr="00B04DC3">
        <w:rPr>
          <w:lang w:val="en-GB"/>
        </w:rPr>
        <w:t xml:space="preserve"> to NO prior to analysis in the CLD or HCLD.</w:t>
      </w:r>
    </w:p>
    <w:p w:rsidR="00D75405" w:rsidRPr="00B04DC3" w:rsidRDefault="00D75405" w:rsidP="00A07B7A">
      <w:pPr>
        <w:pStyle w:val="para"/>
        <w:tabs>
          <w:tab w:val="left" w:pos="2268"/>
        </w:tabs>
        <w:ind w:left="3261" w:hanging="2127"/>
        <w:rPr>
          <w:lang w:val="en-GB"/>
        </w:rPr>
      </w:pPr>
      <w:r w:rsidRPr="00B04DC3">
        <w:rPr>
          <w:lang w:val="en-GB"/>
        </w:rPr>
        <w:tab/>
        <w:t xml:space="preserve">B </w:t>
      </w:r>
      <w:r w:rsidRPr="00B04DC3">
        <w:rPr>
          <w:lang w:val="en-GB"/>
        </w:rPr>
        <w:tab/>
        <w:t>Cooling bath (optional)</w:t>
      </w:r>
    </w:p>
    <w:p w:rsidR="00D75405" w:rsidRPr="00B04DC3" w:rsidRDefault="00D75405" w:rsidP="00D75405">
      <w:pPr>
        <w:pStyle w:val="para"/>
        <w:rPr>
          <w:lang w:val="en-GB"/>
        </w:rPr>
      </w:pPr>
      <w:r w:rsidRPr="00B04DC3">
        <w:rPr>
          <w:lang w:val="en-GB"/>
        </w:rPr>
        <w:tab/>
        <w:t>To cool and condense water from the exhaust sample. The bath shall be maintained at a temperature of 273 K to 277 K (0 °C to 4 °C) by ice or refrigeration. It is optional if the analyzer is free from water vapour interference as determined in paragraphs 1.9.1. and 1.9.2. of Appendix 5 to this annex. 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rsidR="00D75405" w:rsidRPr="00B04DC3" w:rsidRDefault="00D75405" w:rsidP="00D75405">
      <w:pPr>
        <w:pStyle w:val="para"/>
        <w:rPr>
          <w:lang w:val="en-GB"/>
        </w:rPr>
      </w:pPr>
      <w:r w:rsidRPr="00B04DC3">
        <w:rPr>
          <w:lang w:val="en-GB"/>
        </w:rPr>
        <w:tab/>
        <w:t>T1, T2, T3 temperature sensor</w:t>
      </w:r>
    </w:p>
    <w:p w:rsidR="00D75405" w:rsidRPr="00B04DC3" w:rsidRDefault="00D75405" w:rsidP="00D75405">
      <w:pPr>
        <w:pStyle w:val="para"/>
        <w:rPr>
          <w:lang w:val="en-GB"/>
        </w:rPr>
      </w:pPr>
      <w:r w:rsidRPr="00B04DC3">
        <w:rPr>
          <w:lang w:val="en-GB"/>
        </w:rPr>
        <w:tab/>
        <w:t>To monitor the temperature of the gas stream.</w:t>
      </w:r>
    </w:p>
    <w:p w:rsidR="00D75405" w:rsidRPr="00B04DC3" w:rsidRDefault="00D75405" w:rsidP="00D75405">
      <w:pPr>
        <w:pStyle w:val="para"/>
        <w:rPr>
          <w:lang w:val="en-GB"/>
        </w:rPr>
      </w:pPr>
      <w:r w:rsidRPr="00B04DC3">
        <w:rPr>
          <w:lang w:val="en-GB"/>
        </w:rPr>
        <w:tab/>
        <w:t>T4 temperature sensor</w:t>
      </w:r>
    </w:p>
    <w:p w:rsidR="00D75405" w:rsidRPr="00B04DC3" w:rsidRDefault="00D75405" w:rsidP="00D75405">
      <w:pPr>
        <w:pStyle w:val="para"/>
        <w:rPr>
          <w:lang w:val="en-GB"/>
        </w:rPr>
      </w:pPr>
      <w:r w:rsidRPr="00B04DC3">
        <w:rPr>
          <w:lang w:val="en-GB"/>
        </w:rPr>
        <w:tab/>
        <w:t>To monitor the temperature of the NO</w:t>
      </w:r>
      <w:r w:rsidRPr="00B04DC3">
        <w:rPr>
          <w:vertAlign w:val="subscript"/>
          <w:lang w:val="en-GB"/>
        </w:rPr>
        <w:t>2</w:t>
      </w:r>
      <w:r w:rsidRPr="00B04DC3">
        <w:rPr>
          <w:lang w:val="en-GB"/>
        </w:rPr>
        <w:t>-NO converter.</w:t>
      </w:r>
    </w:p>
    <w:p w:rsidR="00D75405" w:rsidRPr="00B04DC3" w:rsidRDefault="00D75405" w:rsidP="00D75405">
      <w:pPr>
        <w:pStyle w:val="para"/>
        <w:rPr>
          <w:lang w:val="en-GB"/>
        </w:rPr>
      </w:pPr>
      <w:r w:rsidRPr="00B04DC3">
        <w:rPr>
          <w:lang w:val="en-GB"/>
        </w:rPr>
        <w:tab/>
        <w:t>T5 temperature sensor</w:t>
      </w:r>
    </w:p>
    <w:p w:rsidR="00D75405" w:rsidRPr="00B04DC3" w:rsidRDefault="00D75405" w:rsidP="00D75405">
      <w:pPr>
        <w:pStyle w:val="para"/>
        <w:rPr>
          <w:lang w:val="en-GB"/>
        </w:rPr>
      </w:pPr>
      <w:r w:rsidRPr="00B04DC3">
        <w:rPr>
          <w:lang w:val="en-GB"/>
        </w:rPr>
        <w:tab/>
        <w:t>To monitor the temperature of the cooling bath.</w:t>
      </w:r>
    </w:p>
    <w:p w:rsidR="00D75405" w:rsidRPr="00B04DC3" w:rsidRDefault="00D75405" w:rsidP="00D75405">
      <w:pPr>
        <w:pStyle w:val="para"/>
        <w:rPr>
          <w:lang w:val="en-GB"/>
        </w:rPr>
      </w:pPr>
      <w:r w:rsidRPr="00B04DC3">
        <w:rPr>
          <w:lang w:val="en-GB"/>
        </w:rPr>
        <w:tab/>
        <w:t>G1, G2, G3 pressure gauge</w:t>
      </w:r>
      <w:r w:rsidR="007C105E">
        <w:rPr>
          <w:lang w:val="en-GB"/>
        </w:rPr>
        <w:t>s</w:t>
      </w:r>
    </w:p>
    <w:p w:rsidR="00D75405" w:rsidRPr="00B04DC3" w:rsidRDefault="00D75405" w:rsidP="00D75405">
      <w:pPr>
        <w:pStyle w:val="para"/>
        <w:rPr>
          <w:lang w:val="en-GB"/>
        </w:rPr>
      </w:pPr>
      <w:r w:rsidRPr="00B04DC3">
        <w:rPr>
          <w:lang w:val="en-GB"/>
        </w:rPr>
        <w:tab/>
        <w:t>To measure the pressure in the sampling lines.</w:t>
      </w:r>
    </w:p>
    <w:p w:rsidR="00D75405" w:rsidRPr="00B04DC3" w:rsidRDefault="00D75405" w:rsidP="00D75405">
      <w:pPr>
        <w:pStyle w:val="para"/>
        <w:rPr>
          <w:lang w:val="en-GB"/>
        </w:rPr>
      </w:pPr>
      <w:r w:rsidRPr="00B04DC3">
        <w:rPr>
          <w:lang w:val="en-GB"/>
        </w:rPr>
        <w:tab/>
        <w:t>R1, R2 pressure regulator</w:t>
      </w:r>
      <w:r w:rsidR="007C105E">
        <w:rPr>
          <w:lang w:val="en-GB"/>
        </w:rPr>
        <w:t>s</w:t>
      </w:r>
    </w:p>
    <w:p w:rsidR="00D75405" w:rsidRPr="00B04DC3" w:rsidRDefault="00D75405" w:rsidP="00D75405">
      <w:pPr>
        <w:pStyle w:val="para"/>
        <w:rPr>
          <w:lang w:val="en-GB"/>
        </w:rPr>
      </w:pPr>
      <w:r w:rsidRPr="00B04DC3">
        <w:rPr>
          <w:lang w:val="en-GB"/>
        </w:rPr>
        <w:tab/>
        <w:t>To control the pressure of the air and the fuel, respectively, for the HFID.</w:t>
      </w:r>
    </w:p>
    <w:p w:rsidR="00D75405" w:rsidRPr="00B04DC3" w:rsidRDefault="00D75405" w:rsidP="00D75405">
      <w:pPr>
        <w:pStyle w:val="para"/>
        <w:rPr>
          <w:lang w:val="en-GB"/>
        </w:rPr>
      </w:pPr>
      <w:r w:rsidRPr="00B04DC3">
        <w:rPr>
          <w:lang w:val="en-GB"/>
        </w:rPr>
        <w:tab/>
        <w:t>R3, R4, R5 pressure regulator</w:t>
      </w:r>
      <w:r w:rsidR="007C105E">
        <w:rPr>
          <w:lang w:val="en-GB"/>
        </w:rPr>
        <w:t>s</w:t>
      </w:r>
    </w:p>
    <w:p w:rsidR="00D75405" w:rsidRPr="00B04DC3" w:rsidRDefault="00D75405" w:rsidP="00D75405">
      <w:pPr>
        <w:pStyle w:val="para"/>
        <w:rPr>
          <w:lang w:val="en-GB"/>
        </w:rPr>
      </w:pPr>
      <w:r w:rsidRPr="00B04DC3">
        <w:rPr>
          <w:lang w:val="en-GB"/>
        </w:rPr>
        <w:tab/>
        <w:t>To control the pressure in the sampling lines and the flow to the analyzers.</w:t>
      </w:r>
    </w:p>
    <w:p w:rsidR="00D75405" w:rsidRPr="00B04DC3" w:rsidRDefault="00D75405" w:rsidP="00D75405">
      <w:pPr>
        <w:pStyle w:val="para"/>
        <w:rPr>
          <w:lang w:val="en-GB"/>
        </w:rPr>
      </w:pPr>
      <w:r w:rsidRPr="00B04DC3">
        <w:rPr>
          <w:lang w:val="en-GB"/>
        </w:rPr>
        <w:tab/>
        <w:t>FL1, FL2, FL3 flowmeter</w:t>
      </w:r>
      <w:r w:rsidR="007C105E">
        <w:rPr>
          <w:lang w:val="en-GB"/>
        </w:rPr>
        <w:t>s</w:t>
      </w:r>
    </w:p>
    <w:p w:rsidR="00D75405" w:rsidRPr="00B04DC3" w:rsidRDefault="00D75405" w:rsidP="00D75405">
      <w:pPr>
        <w:pStyle w:val="para"/>
        <w:rPr>
          <w:lang w:val="en-GB"/>
        </w:rPr>
      </w:pPr>
      <w:r w:rsidRPr="00B04DC3">
        <w:rPr>
          <w:lang w:val="en-GB"/>
        </w:rPr>
        <w:tab/>
        <w:t>To monitor the sample by-pass flow rate.</w:t>
      </w:r>
    </w:p>
    <w:p w:rsidR="00D75405" w:rsidRPr="00B04DC3" w:rsidRDefault="00D75405" w:rsidP="00D75405">
      <w:pPr>
        <w:pStyle w:val="para"/>
        <w:rPr>
          <w:lang w:val="en-GB"/>
        </w:rPr>
      </w:pPr>
      <w:r w:rsidRPr="00B04DC3">
        <w:rPr>
          <w:lang w:val="en-GB"/>
        </w:rPr>
        <w:tab/>
        <w:t>FL4 to FL6 flowmeter</w:t>
      </w:r>
      <w:r w:rsidR="007C105E">
        <w:rPr>
          <w:lang w:val="en-GB"/>
        </w:rPr>
        <w:t>s</w:t>
      </w:r>
      <w:r w:rsidRPr="00B04DC3">
        <w:rPr>
          <w:lang w:val="en-GB"/>
        </w:rPr>
        <w:t xml:space="preserve"> (optional)</w:t>
      </w:r>
    </w:p>
    <w:p w:rsidR="00D75405" w:rsidRPr="00B04DC3" w:rsidRDefault="00D75405" w:rsidP="00D75405">
      <w:pPr>
        <w:pStyle w:val="para"/>
        <w:rPr>
          <w:lang w:val="en-GB"/>
        </w:rPr>
      </w:pPr>
      <w:r w:rsidRPr="00B04DC3">
        <w:rPr>
          <w:lang w:val="en-GB"/>
        </w:rPr>
        <w:tab/>
        <w:t>To monitor the flow rate through the analyzers.</w:t>
      </w:r>
    </w:p>
    <w:p w:rsidR="00D75405" w:rsidRPr="00B04DC3" w:rsidRDefault="00D75405" w:rsidP="00D75405">
      <w:pPr>
        <w:pStyle w:val="para"/>
        <w:rPr>
          <w:lang w:val="en-GB"/>
        </w:rPr>
      </w:pPr>
      <w:r w:rsidRPr="00B04DC3">
        <w:rPr>
          <w:lang w:val="en-GB"/>
        </w:rPr>
        <w:tab/>
        <w:t>V1 to V5 selector valve</w:t>
      </w:r>
      <w:r w:rsidR="007C105E">
        <w:rPr>
          <w:lang w:val="en-GB"/>
        </w:rPr>
        <w:t>s</w:t>
      </w:r>
    </w:p>
    <w:p w:rsidR="00D75405" w:rsidRPr="00B04DC3" w:rsidRDefault="00D75405" w:rsidP="00D75405">
      <w:pPr>
        <w:pStyle w:val="para"/>
        <w:rPr>
          <w:lang w:val="en-GB"/>
        </w:rPr>
      </w:pPr>
      <w:r w:rsidRPr="00B04DC3">
        <w:rPr>
          <w:lang w:val="en-GB"/>
        </w:rPr>
        <w:tab/>
        <w:t>Suitable valving for selecting sample, span gas or zero gas flow to the analyzers.</w:t>
      </w:r>
    </w:p>
    <w:p w:rsidR="00D75405" w:rsidRPr="00B04DC3" w:rsidRDefault="00D75405" w:rsidP="00D75405">
      <w:pPr>
        <w:pStyle w:val="para"/>
        <w:rPr>
          <w:lang w:val="en-GB"/>
        </w:rPr>
      </w:pPr>
      <w:r w:rsidRPr="00B04DC3">
        <w:rPr>
          <w:lang w:val="en-GB"/>
        </w:rPr>
        <w:tab/>
        <w:t>V6, V7 solenoid valve</w:t>
      </w:r>
      <w:r w:rsidR="007C105E">
        <w:rPr>
          <w:lang w:val="en-GB"/>
        </w:rPr>
        <w:t>s</w:t>
      </w:r>
    </w:p>
    <w:p w:rsidR="00D75405" w:rsidRPr="00B04DC3" w:rsidRDefault="00D75405" w:rsidP="00D75405">
      <w:pPr>
        <w:pStyle w:val="para"/>
        <w:rPr>
          <w:lang w:val="en-GB"/>
        </w:rPr>
      </w:pPr>
      <w:r w:rsidRPr="00B04DC3">
        <w:rPr>
          <w:lang w:val="en-GB"/>
        </w:rPr>
        <w:tab/>
        <w:t>To by-pass the NO</w:t>
      </w:r>
      <w:r w:rsidRPr="00B04DC3">
        <w:rPr>
          <w:vertAlign w:val="subscript"/>
          <w:lang w:val="en-GB"/>
        </w:rPr>
        <w:t>2</w:t>
      </w:r>
      <w:r w:rsidRPr="00B04DC3">
        <w:rPr>
          <w:lang w:val="en-GB"/>
        </w:rPr>
        <w:t>-NO converter.</w:t>
      </w:r>
    </w:p>
    <w:p w:rsidR="00D75405" w:rsidRPr="00B04DC3" w:rsidRDefault="00D75405" w:rsidP="00D75405">
      <w:pPr>
        <w:pStyle w:val="para"/>
        <w:rPr>
          <w:lang w:val="en-GB"/>
        </w:rPr>
      </w:pPr>
      <w:r w:rsidRPr="00B04DC3">
        <w:rPr>
          <w:lang w:val="en-GB"/>
        </w:rPr>
        <w:tab/>
        <w:t>V8 needle valve</w:t>
      </w:r>
    </w:p>
    <w:p w:rsidR="00D75405" w:rsidRPr="00B04DC3" w:rsidRDefault="00D75405" w:rsidP="00D75405">
      <w:pPr>
        <w:pStyle w:val="para"/>
        <w:rPr>
          <w:lang w:val="en-GB"/>
        </w:rPr>
      </w:pPr>
      <w:r w:rsidRPr="00B04DC3">
        <w:rPr>
          <w:lang w:val="en-GB"/>
        </w:rPr>
        <w:tab/>
        <w:t>To balance the flow through the NO</w:t>
      </w:r>
      <w:r w:rsidRPr="00B04DC3">
        <w:rPr>
          <w:vertAlign w:val="subscript"/>
          <w:lang w:val="en-GB"/>
        </w:rPr>
        <w:t>2</w:t>
      </w:r>
      <w:r w:rsidRPr="00B04DC3">
        <w:rPr>
          <w:lang w:val="en-GB"/>
        </w:rPr>
        <w:t>-NO converter C and the by-pass.</w:t>
      </w:r>
    </w:p>
    <w:p w:rsidR="00D75405" w:rsidRPr="00B04DC3" w:rsidRDefault="00D75405" w:rsidP="00D75405">
      <w:pPr>
        <w:pStyle w:val="para"/>
        <w:rPr>
          <w:lang w:val="en-GB"/>
        </w:rPr>
      </w:pPr>
      <w:r w:rsidRPr="00B04DC3">
        <w:rPr>
          <w:lang w:val="en-GB"/>
        </w:rPr>
        <w:tab/>
        <w:t>V9, V10 needle valve</w:t>
      </w:r>
      <w:r w:rsidR="007C105E">
        <w:rPr>
          <w:lang w:val="en-GB"/>
        </w:rPr>
        <w:t>s</w:t>
      </w:r>
    </w:p>
    <w:p w:rsidR="00D75405" w:rsidRPr="00B04DC3" w:rsidRDefault="00D75405" w:rsidP="00D75405">
      <w:pPr>
        <w:pStyle w:val="para"/>
        <w:rPr>
          <w:lang w:val="en-GB"/>
        </w:rPr>
      </w:pPr>
      <w:r w:rsidRPr="00B04DC3">
        <w:rPr>
          <w:lang w:val="en-GB"/>
        </w:rPr>
        <w:tab/>
        <w:t>To regulate the flows to the analyzers.</w:t>
      </w:r>
    </w:p>
    <w:p w:rsidR="00D75405" w:rsidRPr="00B04DC3" w:rsidRDefault="00D75405" w:rsidP="00D75405">
      <w:pPr>
        <w:pStyle w:val="para"/>
        <w:rPr>
          <w:lang w:val="en-GB"/>
        </w:rPr>
      </w:pPr>
      <w:r w:rsidRPr="00B04DC3">
        <w:rPr>
          <w:lang w:val="en-GB"/>
        </w:rPr>
        <w:tab/>
        <w:t>V11, V12 Toggle valve</w:t>
      </w:r>
      <w:r w:rsidR="007C105E">
        <w:rPr>
          <w:lang w:val="en-GB"/>
        </w:rPr>
        <w:t>s</w:t>
      </w:r>
      <w:r w:rsidRPr="00B04DC3">
        <w:rPr>
          <w:lang w:val="en-GB"/>
        </w:rPr>
        <w:t xml:space="preserve"> (optional)</w:t>
      </w:r>
    </w:p>
    <w:p w:rsidR="00D75405" w:rsidRPr="00B04DC3" w:rsidRDefault="00D75405" w:rsidP="00D75405">
      <w:pPr>
        <w:pStyle w:val="para"/>
        <w:rPr>
          <w:lang w:val="en-GB"/>
        </w:rPr>
      </w:pPr>
      <w:r w:rsidRPr="00B04DC3">
        <w:rPr>
          <w:lang w:val="en-GB"/>
        </w:rPr>
        <w:tab/>
        <w:t>To drain the condensate from the bath B.</w:t>
      </w:r>
    </w:p>
    <w:p w:rsidR="00D75405" w:rsidRPr="00B04DC3" w:rsidRDefault="00D75405" w:rsidP="00D75405">
      <w:pPr>
        <w:pStyle w:val="para"/>
        <w:rPr>
          <w:lang w:val="en-GB"/>
        </w:rPr>
      </w:pPr>
      <w:r w:rsidRPr="00B04DC3">
        <w:rPr>
          <w:lang w:val="en-GB"/>
        </w:rPr>
        <w:t>1.3.</w:t>
      </w:r>
      <w:r w:rsidRPr="00B04DC3">
        <w:rPr>
          <w:lang w:val="en-GB"/>
        </w:rPr>
        <w:tab/>
        <w:t>NMHC analysis (NG fuelled gas engines only)</w:t>
      </w:r>
    </w:p>
    <w:p w:rsidR="00D75405" w:rsidRPr="00B04DC3" w:rsidRDefault="00D75405" w:rsidP="00D75405">
      <w:pPr>
        <w:pStyle w:val="para"/>
        <w:rPr>
          <w:lang w:val="en-GB"/>
        </w:rPr>
      </w:pPr>
      <w:r w:rsidRPr="00B04DC3">
        <w:rPr>
          <w:lang w:val="en-GB"/>
        </w:rPr>
        <w:t>1.3.1.</w:t>
      </w:r>
      <w:r w:rsidRPr="00B04DC3">
        <w:rPr>
          <w:lang w:val="en-GB"/>
        </w:rPr>
        <w:tab/>
        <w:t xml:space="preserve">Gas chromatographic method (GC, </w:t>
      </w:r>
      <w:r w:rsidR="00313D4E" w:rsidRPr="00B04DC3">
        <w:rPr>
          <w:lang w:val="en-GB"/>
        </w:rPr>
        <w:t>Figure</w:t>
      </w:r>
      <w:r w:rsidRPr="00B04DC3">
        <w:rPr>
          <w:lang w:val="en-GB"/>
        </w:rPr>
        <w:t xml:space="preserve"> 9)</w:t>
      </w:r>
    </w:p>
    <w:p w:rsidR="00D75405" w:rsidRPr="00B04DC3" w:rsidRDefault="00D75405" w:rsidP="00D75405">
      <w:pPr>
        <w:pStyle w:val="para"/>
        <w:rPr>
          <w:lang w:val="en-GB"/>
        </w:rPr>
      </w:pPr>
      <w:r w:rsidRPr="00B04DC3">
        <w:rPr>
          <w:lang w:val="en-GB"/>
        </w:rPr>
        <w:tab/>
        <w:t>When using the GC method, a small measured volume of a sample is injected onto an analytical column through which it is swept by an inert carrier gas. The column separates various components according to their boiling points so that they elute from the column at different times. They then pass through a detector which gives an electrical signal that depends on their concentration. Since it is not a continuous analysis technique, it can only be used in conjunction with the bag sampling method as described in paragraph 3.4.2. of Appendix 4 to this annex.</w:t>
      </w:r>
    </w:p>
    <w:p w:rsidR="00D75405" w:rsidRPr="00B04DC3" w:rsidRDefault="00D75405" w:rsidP="00D75405">
      <w:pPr>
        <w:pStyle w:val="para"/>
        <w:rPr>
          <w:lang w:val="en-GB"/>
        </w:rPr>
      </w:pPr>
      <w:r w:rsidRPr="00B04DC3">
        <w:rPr>
          <w:lang w:val="en-GB"/>
        </w:rPr>
        <w:tab/>
        <w:t>For NMHC an automated GC with a FID shall be used. The exhaust gas shall be sampled into a sampling bag from which a part shall be taken and injected into the GC. The sample is separated into two parts (CH</w:t>
      </w:r>
      <w:r w:rsidRPr="00B04DC3">
        <w:rPr>
          <w:vertAlign w:val="subscript"/>
          <w:lang w:val="en-GB"/>
        </w:rPr>
        <w:t>4</w:t>
      </w:r>
      <w:r w:rsidRPr="00B04DC3">
        <w:rPr>
          <w:lang w:val="en-GB"/>
        </w:rPr>
        <w:t>/Air/CO and NMHC/CO</w:t>
      </w:r>
      <w:r w:rsidRPr="00B04DC3">
        <w:rPr>
          <w:vertAlign w:val="subscript"/>
          <w:lang w:val="en-GB"/>
        </w:rPr>
        <w:t>2</w:t>
      </w:r>
      <w:r w:rsidRPr="00B04DC3">
        <w:rPr>
          <w:lang w:val="en-GB"/>
        </w:rPr>
        <w:t>/H</w:t>
      </w:r>
      <w:r w:rsidRPr="00B04DC3">
        <w:rPr>
          <w:vertAlign w:val="subscript"/>
          <w:lang w:val="en-GB"/>
        </w:rPr>
        <w:t>2</w:t>
      </w:r>
      <w:r w:rsidRPr="00B04DC3">
        <w:rPr>
          <w:lang w:val="en-GB"/>
        </w:rPr>
        <w:t>O) on the Porapak column. The molecular sieve column separates CH</w:t>
      </w:r>
      <w:r w:rsidRPr="00B04DC3">
        <w:rPr>
          <w:vertAlign w:val="subscript"/>
          <w:lang w:val="en-GB"/>
        </w:rPr>
        <w:t>4</w:t>
      </w:r>
      <w:r w:rsidRPr="00B04DC3">
        <w:rPr>
          <w:lang w:val="en-GB"/>
        </w:rPr>
        <w:t xml:space="preserve"> from the air and CO before passing it to the FID where its concentration is measured. A complete cycle from injection of one sample to injection of a second can be made in 30 seconds. To determine NMHC, the CH</w:t>
      </w:r>
      <w:r w:rsidRPr="00B04DC3">
        <w:rPr>
          <w:vertAlign w:val="subscript"/>
          <w:lang w:val="en-GB"/>
        </w:rPr>
        <w:t>4</w:t>
      </w:r>
      <w:r w:rsidRPr="00B04DC3">
        <w:rPr>
          <w:lang w:val="en-GB"/>
        </w:rPr>
        <w:t xml:space="preserve"> concentration shall be subtracted from the total HC concentration (see paragraph 4.3.1. of Appendix 2 to this annex).</w:t>
      </w:r>
    </w:p>
    <w:p w:rsidR="00D75405" w:rsidRPr="00B04DC3" w:rsidRDefault="00D75405" w:rsidP="00D75405">
      <w:pPr>
        <w:pStyle w:val="para"/>
        <w:rPr>
          <w:lang w:val="en-GB"/>
        </w:rPr>
      </w:pPr>
      <w:r w:rsidRPr="00B04DC3">
        <w:rPr>
          <w:lang w:val="en-GB"/>
        </w:rPr>
        <w:tab/>
        <w:t>Figure 9 shows a typical GC assembled to routinely determine CH</w:t>
      </w:r>
      <w:r w:rsidRPr="00B04DC3">
        <w:rPr>
          <w:vertAlign w:val="subscript"/>
          <w:lang w:val="en-GB"/>
        </w:rPr>
        <w:t>4</w:t>
      </w:r>
      <w:r w:rsidRPr="00B04DC3">
        <w:rPr>
          <w:lang w:val="en-GB"/>
        </w:rPr>
        <w:t>. Other GC methods can also be used based on good engineering judgement.</w:t>
      </w:r>
    </w:p>
    <w:p w:rsidR="00D75405" w:rsidRPr="00B04DC3" w:rsidRDefault="00D75405" w:rsidP="00D75405">
      <w:pPr>
        <w:pStyle w:val="Heading1"/>
      </w:pPr>
      <w:bookmarkStart w:id="305" w:name="_Toc399939956"/>
      <w:bookmarkStart w:id="306" w:name="_Toc423599545"/>
      <w:bookmarkStart w:id="307" w:name="_Toc423610953"/>
      <w:r w:rsidRPr="00B04DC3">
        <w:t xml:space="preserve">Figure </w:t>
      </w:r>
      <w:r w:rsidRPr="007C105E">
        <w:t>9</w:t>
      </w:r>
      <w:bookmarkEnd w:id="305"/>
      <w:bookmarkEnd w:id="306"/>
      <w:bookmarkEnd w:id="307"/>
    </w:p>
    <w:p w:rsidR="00D75405" w:rsidRPr="00B04DC3" w:rsidRDefault="00D75405" w:rsidP="00D75405">
      <w:pPr>
        <w:pStyle w:val="Heading1"/>
        <w:rPr>
          <w:b/>
        </w:rPr>
      </w:pPr>
      <w:bookmarkStart w:id="308" w:name="_Toc399939957"/>
      <w:bookmarkStart w:id="309" w:name="_Toc423599546"/>
      <w:bookmarkStart w:id="310" w:name="_Toc423610954"/>
      <w:r w:rsidRPr="00B04DC3">
        <w:rPr>
          <w:b/>
        </w:rPr>
        <w:t>Flow diagram for methane analysis (GC method)</w:t>
      </w:r>
      <w:bookmarkEnd w:id="308"/>
      <w:bookmarkEnd w:id="309"/>
      <w:bookmarkEnd w:id="310"/>
    </w:p>
    <w:p w:rsidR="00D75405" w:rsidRPr="00B04DC3" w:rsidRDefault="00A905B7" w:rsidP="00D75405">
      <w:pPr>
        <w:pStyle w:val="NormalCentered"/>
        <w:numPr>
          <w:ilvl w:val="0"/>
          <w:numId w:val="0"/>
        </w:numPr>
        <w:spacing w:before="0" w:after="0"/>
        <w:ind w:left="1134"/>
        <w:jc w:val="left"/>
      </w:pPr>
      <w:r>
        <w:pict>
          <v:group id="_x0000_s3224" editas="canvas" style="width:436.5pt;height:303.5pt;mso-position-horizontal-relative:char;mso-position-vertical-relative:line" coordorigin="-1,-2" coordsize="8730,6070">
            <o:lock v:ext="edit" aspectratio="t"/>
            <v:shape id="_x0000_s3225" type="#_x0000_t75" style="position:absolute;left:-1;top:-2;width:8730;height:6070" o:preferrelative="f">
              <v:fill o:detectmouseclick="t"/>
              <v:path o:extrusionok="t" o:connecttype="none"/>
              <o:lock v:ext="edit" text="t"/>
            </v:shape>
            <v:group id="_x0000_s3226" style="position:absolute;left:-1;top:-2;width:8487;height:5772" coordorigin="-1,-2" coordsize="8487,5772">
              <v:rect id="_x0000_s3227" style="position:absolute;left:-1;top:-2;width:8487;height:5772" stroked="f"/>
              <v:shape id="_x0000_s3228" style="position:absolute;left:5195;top:690;width:462;height:231" coordsize="923,461" path="m,l923,461,923,,,461,,e" filled="f" strokeweight="0">
                <v:path arrowok="t"/>
              </v:shape>
              <v:line id="_x0000_s3229" style="position:absolute" from="3233,4153" to="3233,4153" strokeweight="0"/>
              <v:rect id="_x0000_s3230" style="position:absolute;left:116;top:785;width:112;height:240;mso-wrap-style:none" filled="f" stroked="f">
                <v:textbox style="mso-fit-shape-to-text:t" inset="0,0,0,0">
                  <w:txbxContent>
                    <w:p w:rsidR="00A905B7" w:rsidRDefault="00A905B7" w:rsidP="00D75405">
                      <w:r>
                        <w:rPr>
                          <w:rFonts w:ascii="Arial" w:hAnsi="Arial" w:cs="Arial"/>
                          <w:b/>
                          <w:bCs/>
                          <w:color w:val="000000"/>
                        </w:rPr>
                        <w:t>1</w:t>
                      </w:r>
                    </w:p>
                  </w:txbxContent>
                </v:textbox>
              </v:rect>
              <v:rect id="_x0000_s3231" style="position:absolute;left:116;top:1132;width:112;height:240;mso-wrap-style:none" filled="f" stroked="f">
                <v:textbox style="mso-fit-shape-to-text:t" inset="0,0,0,0">
                  <w:txbxContent>
                    <w:p w:rsidR="00A905B7" w:rsidRDefault="00A905B7" w:rsidP="00D75405">
                      <w:r>
                        <w:rPr>
                          <w:rFonts w:ascii="Arial" w:hAnsi="Arial" w:cs="Arial"/>
                          <w:b/>
                          <w:bCs/>
                          <w:color w:val="000000"/>
                        </w:rPr>
                        <w:t>2</w:t>
                      </w:r>
                    </w:p>
                  </w:txbxContent>
                </v:textbox>
              </v:rect>
              <v:rect id="_x0000_s3232" style="position:absolute;left:116;top:1478;width:112;height:240;mso-wrap-style:none" filled="f" stroked="f">
                <v:textbox style="mso-fit-shape-to-text:t" inset="0,0,0,0">
                  <w:txbxContent>
                    <w:p w:rsidR="00A905B7" w:rsidRDefault="00A905B7" w:rsidP="00D75405">
                      <w:r>
                        <w:rPr>
                          <w:rFonts w:ascii="Arial" w:hAnsi="Arial" w:cs="Arial"/>
                          <w:b/>
                          <w:bCs/>
                          <w:color w:val="000000"/>
                        </w:rPr>
                        <w:t>3</w:t>
                      </w:r>
                    </w:p>
                  </w:txbxContent>
                </v:textbox>
              </v:rect>
              <v:rect id="_x0000_s3233" style="position:absolute;left:116;top:1824;width:112;height:240;mso-wrap-style:none" filled="f" stroked="f">
                <v:textbox style="mso-fit-shape-to-text:t" inset="0,0,0,0">
                  <w:txbxContent>
                    <w:p w:rsidR="00A905B7" w:rsidRDefault="00A905B7" w:rsidP="00D75405">
                      <w:r>
                        <w:rPr>
                          <w:rFonts w:ascii="Arial" w:hAnsi="Arial" w:cs="Arial"/>
                          <w:b/>
                          <w:bCs/>
                          <w:color w:val="000000"/>
                        </w:rPr>
                        <w:t>4</w:t>
                      </w:r>
                    </w:p>
                  </w:txbxContent>
                </v:textbox>
              </v:rect>
              <v:rect id="_x0000_s3234" style="position:absolute;left:116;top:2170;width:112;height:240;mso-wrap-style:none" filled="f" stroked="f">
                <v:textbox style="mso-fit-shape-to-text:t" inset="0,0,0,0">
                  <w:txbxContent>
                    <w:p w:rsidR="00A905B7" w:rsidRDefault="00A905B7" w:rsidP="00D75405">
                      <w:r>
                        <w:rPr>
                          <w:rFonts w:ascii="Arial" w:hAnsi="Arial" w:cs="Arial"/>
                          <w:b/>
                          <w:bCs/>
                          <w:color w:val="000000"/>
                        </w:rPr>
                        <w:t>5</w:t>
                      </w:r>
                    </w:p>
                  </w:txbxContent>
                </v:textbox>
              </v:rect>
              <v:rect id="_x0000_s3235" style="position:absolute;left:116;top:2517;width:112;height:240;mso-wrap-style:none" filled="f" stroked="f">
                <v:textbox style="mso-fit-shape-to-text:t" inset="0,0,0,0">
                  <w:txbxContent>
                    <w:p w:rsidR="00A905B7" w:rsidRDefault="00A905B7" w:rsidP="00D75405">
                      <w:r>
                        <w:rPr>
                          <w:rFonts w:ascii="Arial" w:hAnsi="Arial" w:cs="Arial"/>
                          <w:b/>
                          <w:bCs/>
                          <w:color w:val="000000"/>
                        </w:rPr>
                        <w:t>6</w:t>
                      </w:r>
                    </w:p>
                  </w:txbxContent>
                </v:textbox>
              </v:rect>
              <v:rect id="_x0000_s3236" style="position:absolute;left:116;top:2863;width:112;height:240;mso-wrap-style:none" filled="f" stroked="f">
                <v:textbox style="mso-fit-shape-to-text:t" inset="0,0,0,0">
                  <w:txbxContent>
                    <w:p w:rsidR="00A905B7" w:rsidRDefault="00A905B7" w:rsidP="00D75405">
                      <w:r>
                        <w:rPr>
                          <w:rFonts w:ascii="Arial" w:hAnsi="Arial" w:cs="Arial"/>
                          <w:b/>
                          <w:bCs/>
                          <w:color w:val="000000"/>
                        </w:rPr>
                        <w:t>7</w:t>
                      </w:r>
                    </w:p>
                  </w:txbxContent>
                </v:textbox>
              </v:rect>
              <v:rect id="_x0000_s3237" style="position:absolute;left:116;top:3210;width:112;height:240;mso-wrap-style:none" filled="f" stroked="f">
                <v:textbox style="mso-fit-shape-to-text:t" inset="0,0,0,0">
                  <w:txbxContent>
                    <w:p w:rsidR="00A905B7" w:rsidRDefault="00A905B7" w:rsidP="00D75405">
                      <w:r>
                        <w:rPr>
                          <w:rFonts w:ascii="Arial" w:hAnsi="Arial" w:cs="Arial"/>
                          <w:b/>
                          <w:bCs/>
                          <w:color w:val="000000"/>
                        </w:rPr>
                        <w:t>8</w:t>
                      </w:r>
                    </w:p>
                  </w:txbxContent>
                </v:textbox>
              </v:rect>
              <v:rect id="_x0000_s3238" style="position:absolute;left:116;top:3556;width:112;height:240;mso-wrap-style:none" filled="f" stroked="f">
                <v:textbox style="mso-fit-shape-to-text:t" inset="0,0,0,0">
                  <w:txbxContent>
                    <w:p w:rsidR="00A905B7" w:rsidRDefault="00A905B7" w:rsidP="00D75405">
                      <w:r>
                        <w:rPr>
                          <w:rFonts w:ascii="Arial" w:hAnsi="Arial" w:cs="Arial"/>
                          <w:b/>
                          <w:bCs/>
                          <w:color w:val="000000"/>
                        </w:rPr>
                        <w:t>9</w:t>
                      </w:r>
                    </w:p>
                  </w:txbxContent>
                </v:textbox>
              </v:rect>
              <v:rect id="_x0000_s3239" style="position:absolute;left:1;top:3873;width:223;height:240;mso-wrap-style:none" filled="f" stroked="f">
                <v:textbox style="mso-fit-shape-to-text:t" inset="0,0,0,0">
                  <w:txbxContent>
                    <w:p w:rsidR="00A905B7" w:rsidRDefault="00A905B7" w:rsidP="00D75405">
                      <w:r>
                        <w:rPr>
                          <w:rFonts w:ascii="Arial" w:hAnsi="Arial" w:cs="Arial"/>
                          <w:b/>
                          <w:bCs/>
                          <w:color w:val="000000"/>
                        </w:rPr>
                        <w:t>10</w:t>
                      </w:r>
                    </w:p>
                  </w:txbxContent>
                </v:textbox>
              </v:rect>
              <v:shape id="_x0000_s3240" style="position:absolute;left:2540;top:1152;width:231;height:461" coordsize="462,924" path="m,l462,,,924r462,l,e" filled="f" strokeweight="0">
                <v:path arrowok="t"/>
              </v:shape>
              <v:shape id="_x0000_s3241" style="position:absolute;left:2655;top:1267;width:231;height:231" coordsize="461,461" path="m,230r461,l461,r,461e" filled="f" strokeweight="0">
                <v:path arrowok="t"/>
              </v:shape>
              <v:shape id="_x0000_s3242" style="position:absolute;left:3810;top:921;width:230;height:461" coordsize="462,924" path="m,l462,,,924r462,l,e" filled="f" strokeweight="0">
                <v:path arrowok="t"/>
              </v:shape>
              <v:shape id="_x0000_s3243" style="position:absolute;left:3925;top:1036;width:231;height:231" coordsize="461,462" path="m,230r461,l461,r,462e" filled="f" strokeweight="0">
                <v:path arrowok="t"/>
              </v:shape>
              <v:line id="_x0000_s3244" style="position:absolute" from="2078,806" to="2771,806" strokeweight="1.8pt"/>
              <v:line id="_x0000_s3245" style="position:absolute" from="3117,806" to="3348,806" strokeweight="1.8pt"/>
              <v:line id="_x0000_s3246" style="position:absolute" from="3694,806" to="5195,806" strokeweight="1.8pt"/>
              <v:line id="_x0000_s3247" style="position:absolute" from="5657,806" to="5887,806" strokeweight="1.8pt"/>
              <v:line id="_x0000_s3248" style="position:absolute" from="6234,806" to="6696,806" strokeweight="1.8pt"/>
              <v:line id="_x0000_s3249" style="position:absolute" from="2655,806" to="2655,1152" strokeweight="1.8pt"/>
              <v:line id="_x0000_s3250" style="position:absolute" from="2655,1613" to="2655,1844" strokeweight="1.8pt"/>
              <v:line id="_x0000_s3251" style="position:absolute;flip:x" from="2078,1844" to="2655,1844" strokeweight="1.8pt"/>
              <v:line id="_x0000_s3252" style="position:absolute" from="3925,806" to="3925,921" strokeweight="1.8pt"/>
              <v:rect id="_x0000_s3253" style="position:absolute;left:2771;top:690;width:346;height:231" filled="f" strokeweight="0"/>
              <v:rect id="_x0000_s3254" style="position:absolute;left:3348;top:690;width:346;height:231" filled="f" strokeweight="0"/>
              <v:rect id="_x0000_s3255" style="position:absolute;left:5887;top:690;width:347;height:231" filled="f" strokeweight="0"/>
              <v:line id="_x0000_s3256" style="position:absolute" from="1039,806" to="2078,806" strokeweight="1.8pt"/>
              <v:line id="_x0000_s3257" style="position:absolute" from="1039,1844" to="2078,1844" strokeweight="1.8pt"/>
              <v:line id="_x0000_s3258" style="position:absolute" from="1039,1152" to="1386,1152" strokeweight="1.8pt"/>
              <v:line id="_x0000_s3259" style="position:absolute" from="1039,1498" to="1270,1498" strokeweight="1.8pt"/>
              <v:line id="_x0000_s3260" style="position:absolute" from="1270,1498" to="1270,2191" strokeweight="1.8pt"/>
              <v:line id="_x0000_s3261" style="position:absolute" from="1270,2191" to="2078,2191" strokeweight="1.8pt"/>
              <v:line id="_x0000_s3262" style="position:absolute" from="1039,2883" to="2655,2883" strokeweight="1.8pt"/>
              <v:line id="_x0000_s3263" style="position:absolute" from="924,3922" to="1386,3922" strokeweight="1.8pt"/>
              <v:line id="_x0000_s3264" style="position:absolute" from="924,2883" to="1039,2883" strokeweight="1.8pt"/>
              <v:line id="_x0000_s3265" style="position:absolute" from="924,2537" to="1039,2537" strokeweight="1.8pt"/>
              <v:line id="_x0000_s3266" style="position:absolute" from="924,1844" to="1039,1844" strokeweight="1.8pt"/>
              <v:line id="_x0000_s3267" style="position:absolute" from="924,1498" to="1039,1498" strokeweight="1.8pt"/>
              <v:line id="_x0000_s3268" style="position:absolute" from="924,1152" to="1039,1152" strokeweight="1.8pt"/>
              <v:line id="_x0000_s3269" style="position:absolute" from="924,806" to="1039,806" strokeweight="1.8pt"/>
              <v:line id="_x0000_s3270" style="position:absolute" from="1386,3922" to="1848,3922" strokeweight="1.8pt"/>
              <v:line id="_x0000_s3271" style="position:absolute" from="924,2191" to="1039,2191" strokeweight="1.8pt"/>
              <v:line id="_x0000_s3272" style="position:absolute;flip:x" from="1039,2191" to="1155,2191" strokeweight="1.8pt"/>
              <v:line id="_x0000_s3273" style="position:absolute" from="1155,2191" to="1155,4269" strokeweight="1.8pt"/>
              <v:line id="_x0000_s3274" style="position:absolute" from="1155,4730" to="1155,4961" strokeweight="1.8pt"/>
              <v:line id="_x0000_s3275" style="position:absolute" from="924,3229" to="1039,3229" strokeweight="1.8pt"/>
              <v:line id="_x0000_s3276" style="position:absolute;flip:x" from="924,3229" to="1039,3229" strokeweight="1.8pt"/>
              <v:line id="_x0000_s3277" style="position:absolute" from="1039,3229" to="1501,3229" strokeweight="1.8pt"/>
              <v:line id="_x0000_s3278" style="position:absolute" from="1501,3229" to="1501,4961" strokeweight="1.8pt"/>
              <v:shape id="_x0000_s3279" style="position:absolute;left:1848;top:1152;width:461;height:461" coordsize="924,924" path="m924,462l913,368,887,281,844,203,787,135,719,78,641,35,555,9,462,,368,9,281,35,203,78r-68,57l78,203,35,281,9,368,,462r9,93l35,641r43,78l135,788r68,56l281,887r87,26l462,924r93,-11l641,887r78,-43l787,788r57,-69l887,641r26,-86l924,462xe" filled="f" strokeweight="0">
                <v:path arrowok="t"/>
              </v:shape>
              <v:shape id="_x0000_s3280" style="position:absolute;left:1963;top:1152;width:461;height:461" coordsize="924,924" path="m924,462l914,368,888,281,844,203,788,135,720,78,641,35,555,9,462,,368,9,282,35,203,78r-68,57l79,203,36,281,9,368,,462r9,93l36,641r43,78l135,788r68,56l282,887r86,26l462,924r93,-11l641,887r79,-43l788,788r56,-69l888,641r26,-86l924,462xe" filled="f" strokeweight="0">
                <v:path arrowok="t"/>
              </v:shape>
              <v:shape id="_x0000_s3281" style="position:absolute;left:4156;top:2883;width:462;height:462" coordsize="924,923" path="m924,462l914,367,888,281,844,203,788,135,720,78,641,35,555,9,462,,368,9,282,35,203,78r-68,57l79,203,36,281,9,367,,462r9,93l36,641r43,78l135,787r68,57l282,887r86,26l462,923r93,-10l641,887r79,-43l788,787r56,-68l888,641r26,-86l924,462xe" filled="f" strokeweight="0">
                <v:path arrowok="t"/>
              </v:shape>
              <v:shape id="_x0000_s3282" style="position:absolute;left:4271;top:2883;width:462;height:462" coordsize="923,923" path="m923,462l913,367,887,281,844,203,787,135,719,78,641,35,554,9,461,,367,9,281,35,203,78r-68,57l78,203,35,281,9,367,,462r9,93l35,641r43,78l135,787r68,57l281,887r86,26l461,923r93,-10l641,887r78,-43l787,787r57,-68l887,641r26,-86l923,462xe" filled="f" strokeweight="0">
                <v:path arrowok="t"/>
              </v:shape>
              <v:line id="_x0000_s3283" style="position:absolute" from="1848,1152" to="2078,1152" strokeweight="0"/>
              <v:line id="_x0000_s3284" style="position:absolute" from="1848,1613" to="2078,1613" strokeweight="0"/>
              <v:line id="_x0000_s3285" style="position:absolute" from="4040,2883" to="4387,2883" strokeweight="0"/>
              <v:line id="_x0000_s3286" style="position:absolute" from="4040,3345" to="4387,3345" strokeweight="0"/>
              <v:line id="_x0000_s3287" style="position:absolute" from="1386,1152" to="1848,1152" strokeweight="1.8pt"/>
              <v:line id="_x0000_s3288" style="position:absolute;flip:x" from="1732,1613" to="1848,1613" strokeweight="1.8pt"/>
              <v:line id="_x0000_s3289" style="position:absolute" from="1732,1613" to="1732,2537" strokeweight="1.8pt"/>
              <v:line id="_x0000_s3290" style="position:absolute;flip:x" from="1039,2537" to="1732,2537" strokeweight="1.8pt"/>
              <v:line id="_x0000_s3291" style="position:absolute" from="2078,2191" to="2886,2191" strokeweight="1.8pt"/>
              <v:line id="_x0000_s3292" style="position:absolute" from="2655,2883" to="4040,2883" strokeweight="1.8pt"/>
              <v:line id="_x0000_s3293" style="position:absolute" from="1848,3345" to="4040,3345" strokeweight="1.8pt"/>
              <v:line id="_x0000_s3294" style="position:absolute" from="3579,2191" to="4387,2191" strokeweight="1.8pt"/>
              <v:shape id="_x0000_s3295" style="position:absolute;left:5080;top:2191;width:115;height:923" coordsize="231,1847" path="m,l,1847r231,e" filled="f" strokeweight="0">
                <v:path arrowok="t"/>
              </v:shape>
              <v:shape id="_x0000_s3296" style="position:absolute;left:5195;top:2999;width:462;height:230" coordsize="923,462" path="m,l923,462,923,,,462,,e" filled="f" strokeweight="0">
                <v:path arrowok="t"/>
              </v:shape>
              <v:rect id="_x0000_s3297" style="position:absolute;left:5887;top:2999;width:347;height:230" filled="f" strokeweight="0"/>
              <v:shape id="_x0000_s3298" style="position:absolute;left:2309;top:4268;width:1;height:1" coordsize="3,3" path="m3,1l2,,,,,1,2,3,2,1r1,xe" fillcolor="black" strokeweight="0">
                <v:path arrowok="t"/>
              </v:shape>
              <v:shape id="_x0000_s3299" style="position:absolute;left:3117;top:1267;width:462;height:462" coordsize="924,923" path="m924,461l913,367,887,281,844,203,787,135,719,78,641,35,555,9,462,,368,9,281,35,203,78r-68,57l78,203,35,281,9,367,,461r9,93l35,641r43,78l135,787r68,57l281,887r87,26l462,923r93,-10l641,887r78,-43l787,787r57,-68l887,641r26,-87l924,461xe" filled="f" strokeweight="0">
                <v:path arrowok="t"/>
              </v:shape>
              <v:shape id="_x0000_s3300" style="position:absolute;left:3117;top:1382;width:462;height:462" coordsize="924,923" path="m924,462l913,367,887,281,844,203,787,135,719,78,641,35,555,9,462,,368,9,281,35,203,78r-68,57l78,203,35,281,9,367,,462r9,93l35,641r43,78l135,787r68,57l281,887r87,26l462,923r93,-10l641,887r78,-43l787,787r57,-68l887,641r26,-86l924,462xe" filled="f" strokeweight="0">
                <v:path arrowok="t"/>
              </v:shape>
              <v:line id="_x0000_s3301" style="position:absolute" from="3117,1960" to="3117,2191" strokeweight="1.8pt"/>
              <v:line id="_x0000_s3302" style="position:absolute;flip:x" from="2886,2191" to="3117,2191" strokeweight="1.8pt"/>
              <v:line id="_x0000_s3303" style="position:absolute" from="3579,1960" to="3579,2191" strokeweight="1.8pt"/>
              <v:line id="_x0000_s3304" style="position:absolute" from="3925,1382" to="3925,2191" strokeweight="1.8pt"/>
              <v:line id="_x0000_s3305" style="position:absolute" from="5080,2999" to="5080,3114" strokeweight="1.8pt"/>
              <v:line id="_x0000_s3306" style="position:absolute" from="5080,3114" to="5195,3114" strokeweight="1.8pt"/>
              <v:line id="_x0000_s3307" style="position:absolute" from="5657,3114" to="5887,3114" strokeweight="1.8pt"/>
              <v:line id="_x0000_s3308" style="position:absolute" from="6234,3114" to="6696,3114" strokeweight="1.8pt"/>
              <v:line id="_x0000_s3309" style="position:absolute;flip:x" from="4964,2191" to="5080,2191" strokeweight="1.8pt"/>
              <v:shape id="_x0000_s3310" style="position:absolute;left:1039;top:4269;width:231;height:461" coordsize="462,924" path="m,l462,,,924r462,l,e" filled="f" strokeweight="0">
                <v:path arrowok="t"/>
              </v:shape>
              <v:shape id="_x0000_s3311" style="position:absolute;left:1155;top:4384;width:231;height:231" coordsize="462,462" path="m,231r462,l462,r,462e" filled="f" strokeweight="0">
                <v:path arrowok="t"/>
              </v:shape>
              <v:shape id="_x0000_s3312" style="position:absolute;left:5657;top:3807;width:230;height:462" coordsize="462,923" path="m,l462,,,923r462,l,e" filled="f" strokeweight="0">
                <v:path arrowok="t"/>
              </v:shape>
              <v:shape id="_x0000_s3313" style="position:absolute;left:5772;top:3922;width:231;height:231" coordsize="461,462" path="m,232r461,l461,r,462e" filled="f" strokeweight="0">
                <v:path arrowok="t"/>
              </v:shape>
              <v:line id="_x0000_s3314" style="position:absolute" from="1848,3345" to="1848,3922" strokeweight="1.8pt"/>
              <v:line id="_x0000_s3315" style="position:absolute" from="924,3576" to="3348,3576" strokeweight="1.8pt"/>
              <v:line id="_x0000_s3316" style="position:absolute" from="3348,3576" to="4387,3576" strokeweight="1.8pt"/>
              <v:line id="_x0000_s3317" style="position:absolute" from="2194,4730" to="2424,4730" strokeweight="1.8pt"/>
              <v:line id="_x0000_s3318" style="position:absolute" from="2886,4730" to="3117,4730" strokeweight="1.8pt"/>
              <v:line id="_x0000_s3319" style="position:absolute" from="3464,4730" to="3694,4730" strokeweight="1.8pt"/>
              <v:line id="_x0000_s3320" style="position:absolute" from="4156,4730" to="4502,4730" strokeweight="1.8pt"/>
              <v:line id="_x0000_s3321" style="position:absolute" from="4964,4730" to="5311,4730" strokeweight="1.8pt"/>
              <v:line id="_x0000_s3322" style="position:absolute" from="5657,4749" to="6003,4749" strokeweight="1.8pt"/>
              <v:shape id="_x0000_s3323" style="position:absolute;left:2424;top:4615;width:462;height:231" coordsize="923,461" path="m,l923,461,923,,,461,,e" filled="f" strokeweight="0">
                <v:path arrowok="t"/>
              </v:shape>
              <v:shape id="_x0000_s3324" style="position:absolute;left:4502;top:4615;width:462;height:231" coordsize="924,461" path="m,l924,461,924,,,461,,e" filled="f" strokeweight="0">
                <v:path arrowok="t"/>
              </v:shape>
              <v:shape id="_x0000_s3325" style="position:absolute;left:6003;top:4615;width:462;height:231" coordsize="924,461" path="m,l924,461,924,,,461,,e" filled="f" strokeweight="0">
                <v:path arrowok="t"/>
              </v:shape>
              <v:shape id="_x0000_s3326" style="position:absolute;left:4618;top:5077;width:231;height:461" coordsize="462,924" path="m,l462,,,924r462,l,e" filled="f" strokeweight="0">
                <v:path arrowok="t"/>
              </v:shape>
              <v:shape id="_x0000_s3327" style="position:absolute;left:4733;top:5192;width:231;height:231" coordsize="462,462" path="m,231r462,l462,r,462e" filled="f" strokeweight="0">
                <v:path arrowok="t"/>
              </v:shape>
              <v:rect id="_x0000_s3328" style="position:absolute;left:3117;top:4615;width:347;height:231" filled="f" strokeweight="0"/>
              <v:rect id="_x0000_s3329" style="position:absolute;left:5311;top:4615;width:346;height:231" filled="f" strokeweight="0"/>
              <v:shape id="_x0000_s3330" style="position:absolute;left:4618;top:4730;width:231;height:231" coordsize="462,462" path="m230,l462,462,,462,230,e" filled="f" strokeweight="0">
                <v:path arrowok="t"/>
              </v:shape>
              <v:shape id="_x0000_s3331" style="position:absolute;left:3694;top:4500;width:462;height:461" coordsize="923,924" path="m923,462l913,368,887,282,844,203,787,135,719,78,641,35,555,9,462,,368,9,281,35,203,78r-68,57l78,203,35,282,9,368,,462r9,93l35,641r43,79l135,788r68,56l281,887r87,27l462,924r93,-10l641,887r78,-43l787,788r57,-68l887,641r26,-86l923,462xe" filled="f" strokeweight="0">
                <v:path arrowok="t"/>
              </v:shape>
              <v:shape id="_x0000_s3332" style="position:absolute;left:3810;top:4615;width:230;height:231" coordsize="462,461" path="m,l462,231,,461,,e" filled="f" strokeweight="0">
                <v:path arrowok="t"/>
              </v:shape>
              <v:line id="_x0000_s3333" style="position:absolute" from="1155,5077" to="1155,5328" strokeweight="1.8pt"/>
              <v:shape id="_x0000_s3334" style="position:absolute;left:1083;top:5280;width:143;height:143" coordsize="286,286" path="m286,l143,286,,,143,96,286,xe" fillcolor="black" stroked="f">
                <v:path arrowok="t"/>
              </v:shape>
              <v:line id="_x0000_s3335" style="position:absolute" from="1501,5077" to="1501,5328" strokeweight="1.8pt"/>
              <v:shape id="_x0000_s3336" style="position:absolute;left:1429;top:5280;width:143;height:143" coordsize="286,286" path="m286,l143,286,,,143,96,286,xe" fillcolor="black" stroked="f">
                <v:path arrowok="t"/>
              </v:shape>
              <v:line id="_x0000_s3337" style="position:absolute;flip:x" from="6791,1036" to="7042,1036" strokeweight="1.8pt"/>
              <v:shape id="_x0000_s3338" style="position:absolute;left:6696;top:965;width:143;height:143" coordsize="285,286" path="m285,286l,143,285,,190,143r95,143xe" fillcolor="black" stroked="f">
                <v:path arrowok="t"/>
              </v:shape>
              <v:line id="_x0000_s3339" style="position:absolute;flip:x" from="6675,2883" to="7042,2883" strokeweight="1.8pt"/>
              <v:shape id="_x0000_s3340" style="position:absolute;left:6580;top:2812;width:143;height:143" coordsize="286,286" path="m286,286l,143,286,,191,143r95,143xe" fillcolor="black" stroked="f">
                <v:path arrowok="t"/>
              </v:shape>
              <v:line id="_x0000_s3341" style="position:absolute" from="2655,4500" to="2655,4730" strokeweight="0"/>
              <v:line id="_x0000_s3342" style="position:absolute" from="2540,4500" to="2771,4500" strokeweight="0"/>
              <v:shape id="_x0000_s3343" style="position:absolute;left:5080;top:459;width:346;height:347" coordsize="692,693" path="m,693l,231r692,l692,r,693l692,e" filled="f" strokeweight="0">
                <v:path arrowok="t"/>
              </v:shape>
              <v:line id="_x0000_s3344" style="position:absolute" from="5311,459" to="5541,459" strokeweight="0"/>
              <v:line id="_x0000_s3345" style="position:absolute" from="5080,2883" to="5426,2883" strokeweight="0"/>
              <v:line id="_x0000_s3346" style="position:absolute" from="5426,2768" to="5426,3114" strokeweight="0"/>
              <v:line id="_x0000_s3347" style="position:absolute" from="5311,2768" to="5541,2768" strokeweight="0"/>
              <v:shape id="_x0000_s3348" style="position:absolute;left:5887;top:4500;width:347;height:230" coordsize="693,462" path="m,462l,,693,r,462e" filled="f" strokeweight="0">
                <v:path arrowok="t"/>
              </v:shape>
              <v:shape id="_x0000_s3349" style="position:absolute;left:6118;top:4384;width:231;height:116" coordsize="461,231" path="m231,231l231,,,,461,e" filled="f" strokeweight="0">
                <v:path arrowok="t"/>
              </v:shape>
              <v:line id="_x0000_s3350" style="position:absolute" from="4733,4961" to="4733,5077" strokeweight="1.8pt"/>
              <v:line id="_x0000_s3351" style="position:absolute" from="4733,5538" to="4733,5654" strokeweight="1.8pt"/>
              <v:line id="_x0000_s3352" style="position:absolute;flip:x" from="3810,5654" to="4733,5654" strokeweight="1.8pt"/>
              <v:line id="_x0000_s3353" style="position:absolute" from="6465,4730" to="6696,4730" strokeweight="1.8pt"/>
              <v:line id="_x0000_s3354" style="position:absolute;flip:y" from="6696,4384" to="6696,4730" strokeweight="1.8pt"/>
              <v:shape id="_x0000_s3355" style="position:absolute;left:6580;top:3460;width:231;height:924" coordsize="462,1847" path="m,247l132,1847r198,l462,247,462,,,,,247e" filled="f" strokeweight="0">
                <v:path arrowok="t"/>
              </v:shape>
              <v:shape id="_x0000_s3356" style="position:absolute;left:6613;top:3707;width:165;height:308" coordsize="330,616" path="m,l330,r,124l264,124r,370l198,616r-65,l66,494r,-370l,124,,e" filled="f" strokeweight="0">
                <v:path arrowok="t"/>
              </v:shape>
              <v:line id="_x0000_s3357" style="position:absolute" from="6646,3953" to="6745,3953" strokeweight="0"/>
              <v:line id="_x0000_s3358" style="position:absolute" from="6646,3768" to="6745,3768" strokeweight="0"/>
              <v:line id="_x0000_s3359" style="position:absolute" from="6811,3630" to="7293,3630" strokeweight="1.8pt"/>
              <v:shape id="_x0000_s3360" style="position:absolute;left:7245;top:3559;width:143;height:142" coordsize="286,286" path="m,l286,143,,286,95,143,,xe" fillcolor="black" stroked="f">
                <v:path arrowok="t"/>
              </v:shape>
              <v:line id="_x0000_s3361" style="position:absolute" from="3579,5477" to="4061,5477" strokeweight="1.8pt"/>
              <v:shape id="_x0000_s3362" style="position:absolute;left:4013;top:5406;width:143;height:142" coordsize="285,286" path="m,l285,143,,286,95,143,,xe" fillcolor="black" stroked="f">
                <v:path arrowok="t"/>
              </v:shape>
              <v:line id="_x0000_s3363" style="position:absolute" from="3117,1613" to="3117,1960" strokeweight="0"/>
              <v:line id="_x0000_s3364" style="position:absolute" from="3579,1613" to="3579,1960" strokeweight="0"/>
              <v:shape id="_x0000_s3365" style="position:absolute;left:5138;top:2364;width:57;height:289" coordsize="115,577" path="m115,l,115,,461,115,577e" filled="f" strokeweight="0">
                <v:path arrowok="t"/>
              </v:shape>
              <v:shape id="_x0000_s3366" style="position:absolute;left:4965;top:2422;width:57;height:231" coordsize="115,462" path="m115,r,346l,462e" filled="f" strokeweight="0">
                <v:path arrowok="t"/>
              </v:shape>
              <v:line id="_x0000_s3367" style="position:absolute;flip:x y" from="4964,2364" to="5022,2422" strokeweight="0"/>
              <v:line id="_x0000_s3368" style="position:absolute" from="5080,2191" to="5080,2537" strokeweight="0"/>
              <v:line id="_x0000_s3369" style="position:absolute" from="5080,2191" to="5080,2422" strokeweight="1.8pt"/>
              <v:line id="_x0000_s3370" style="position:absolute" from="5080,2653" to="5080,2999" strokeweight="1.8pt"/>
              <v:shape id="_x0000_s3371" style="position:absolute;left:2655;top:3922;width:1;height:1" coordsize="3,2" path="m3,1l2,,,,,1,2,2,2,1r1,xe" fillcolor="black" strokeweight="0">
                <v:path arrowok="t"/>
              </v:shape>
              <v:shape id="_x0000_s3372" style="position:absolute;left:1782;top:1568;width:97;height:96" coordsize="192,193" path="m192,96l164,27,96,,27,27,,96r27,68l96,193r68,-29l192,96xe" fillcolor="black" strokeweight="0">
                <v:path arrowok="t"/>
              </v:shape>
              <v:shape id="_x0000_s3373" style="position:absolute;left:1791;top:1106;width:97;height:97" coordsize="193,193" path="m193,97l164,28,96,,27,28,,97r27,68l96,193r68,-28l193,97xe" fillcolor="black" strokeweight="0">
                <v:path arrowok="t"/>
              </v:shape>
              <v:shape id="_x0000_s3374" style="position:absolute;left:3075;top:1937;width:96;height:97" coordsize="193,193" path="m193,97l165,28,97,,27,28,,97r27,68l97,193r68,-28l193,97xe" fillcolor="black" strokeweight="0">
                <v:path arrowok="t"/>
              </v:shape>
              <v:shape id="_x0000_s3375" style="position:absolute;left:3537;top:1928;width:96;height:96" coordsize="192,193" path="m192,97l164,27,96,,27,27,,97r27,68l96,193r68,-28l192,97xe" fillcolor="black" strokeweight="0">
                <v:path arrowok="t"/>
              </v:shape>
              <v:shape id="_x0000_s3376" style="position:absolute;left:3989;top:3295;width:97;height:96" coordsize="193,193" path="m193,97l164,28,96,,27,28,,97r27,68l96,193r68,-28l193,97xe" fillcolor="black" strokeweight="0">
                <v:path arrowok="t"/>
              </v:shape>
              <v:shape id="_x0000_s3377" style="position:absolute;left:3989;top:2833;width:97;height:96" coordsize="193,193" path="m193,96l164,27,96,,27,27,,96r27,68l96,193r68,-29l193,96xe" fillcolor="black" strokeweight="0">
                <v:path arrowok="t"/>
              </v:shape>
              <v:shape id="_x0000_s3378" style="position:absolute;left:2632;top:764;width:96;height:97" coordsize="193,193" path="m193,97l165,27,96,,27,27,,97r27,68l96,193r69,-28l193,97xe" fillcolor="black" strokeweight="0">
                <v:path arrowok="t"/>
              </v:shape>
              <v:shape id="_x0000_s3379" style="position:absolute;left:3888;top:764;width:96;height:97" coordsize="193,193" path="m193,97l164,27,96,,27,27,,97r27,68l96,193r68,-28l193,97xe" fillcolor="black" strokeweight="0">
                <v:path arrowok="t"/>
              </v:shape>
              <v:shape id="_x0000_s3380" style="position:absolute;left:5051;top:773;width:97;height:97" coordsize="193,193" path="m193,97l164,28,96,,27,28,,97r27,68l96,193r68,-28l193,97xe" fillcolor="black" strokeweight="0">
                <v:path arrowok="t"/>
              </v:shape>
              <v:shape id="_x0000_s3381" style="position:absolute;left:3897;top:2158;width:96;height:97" coordsize="193,193" path="m193,96l164,27,96,,27,27,,96r27,68l96,193r68,-29l193,96xe" fillcolor="black" strokeweight="0">
                <v:path arrowok="t"/>
              </v:shape>
              <v:shape id="_x0000_s3382" style="position:absolute;left:5033;top:3082;width:97;height:96" coordsize="193,193" path="m193,96l165,27,97,,28,27,,96r28,68l97,193r68,-29l193,96xe" fillcolor="black" strokeweight="0">
                <v:path arrowok="t"/>
              </v:shape>
              <v:shape id="_x0000_s3383" style="position:absolute;left:5051;top:2851;width:97;height:97" coordsize="193,193" path="m193,97l164,27,96,,27,27,,97r27,68l96,193r68,-28l193,97xe" fillcolor="black" strokeweight="0">
                <v:path arrowok="t"/>
              </v:shape>
              <v:shape id="_x0000_s3384" style="position:absolute;left:5836;top:4717;width:97;height:96" coordsize="193,193" path="m193,96l164,27,96,,27,27,,96r27,68l96,193r68,-29l193,96xe" fillcolor="black" strokeweight="0">
                <v:path arrowok="t"/>
              </v:shape>
              <v:shape id="_x0000_s3385" style="position:absolute;left:5042;top:773;width:97;height:97" coordsize="193,193" path="m193,97l165,28,97,,28,28,,97r28,68l97,193r68,-28l193,97xe" fillcolor="black" strokeweight="0">
                <v:path arrowok="t"/>
              </v:shape>
              <v:shape id="_x0000_s3386" style="position:absolute;left:5845;top:4698;width:97;height:97" coordsize="193,193" path="m193,97l164,28,96,,27,28,,97r27,68l96,193r68,-28l193,97xe" fillcolor="black" strokeweight="0">
                <v:path arrowok="t"/>
              </v:shape>
              <v:shape id="_x0000_s3387" style="position:absolute;left:5726;top:4698;width:96;height:97" coordsize="192,193" path="m192,97l164,28,96,,27,28,,97r27,68l96,193r68,-28l192,97xe" fillcolor="black" strokeweight="0">
                <v:path arrowok="t"/>
              </v:shape>
              <v:line id="_x0000_s3388" style="position:absolute" from="4387,3576" to="5772,3576" strokeweight="1.8pt"/>
              <v:line id="_x0000_s3389" style="position:absolute" from="5772,3576" to="5772,3807" strokeweight="1.8pt"/>
              <v:line id="_x0000_s3390" style="position:absolute" from="5772,4269" to="5772,4730" strokeweight="1.8pt"/>
              <v:rect id="_x0000_s3391" style="position:absolute;left:3749;top:3019;width:389;height:240;mso-wrap-style:none" filled="f" stroked="f">
                <v:textbox style="mso-fit-shape-to-text:t" inset="0,0,0,0">
                  <w:txbxContent>
                    <w:p w:rsidR="00A905B7" w:rsidRDefault="00A905B7" w:rsidP="00D75405">
                      <w:r>
                        <w:rPr>
                          <w:rFonts w:ascii="Arial" w:hAnsi="Arial" w:cs="Arial"/>
                          <w:b/>
                          <w:bCs/>
                          <w:color w:val="000000"/>
                        </w:rPr>
                        <w:t>SLP</w:t>
                      </w:r>
                    </w:p>
                  </w:txbxContent>
                </v:textbox>
              </v:rect>
              <v:rect id="_x0000_s3392" style="position:absolute;left:3186;top:2280;width:445;height:240;mso-wrap-style:none" filled="f" stroked="f">
                <v:textbox style="mso-fit-shape-to-text:t" inset="0,0,0,0">
                  <w:txbxContent>
                    <w:p w:rsidR="00A905B7" w:rsidRDefault="00A905B7" w:rsidP="00D75405">
                      <w:r>
                        <w:rPr>
                          <w:rFonts w:ascii="Arial" w:hAnsi="Arial" w:cs="Arial"/>
                          <w:b/>
                          <w:bCs/>
                          <w:color w:val="000000"/>
                        </w:rPr>
                        <w:t>MSC</w:t>
                      </w:r>
                    </w:p>
                  </w:txbxContent>
                </v:textbox>
              </v:rect>
              <v:rect id="_x0000_s3393" style="position:absolute;left:3888;top:4248;width:134;height:240;mso-wrap-style:none" filled="f" stroked="f">
                <v:textbox style="mso-fit-shape-to-text:t" inset="0,0,0,0">
                  <w:txbxContent>
                    <w:p w:rsidR="00A905B7" w:rsidRDefault="00A905B7" w:rsidP="00D75405">
                      <w:r>
                        <w:rPr>
                          <w:rFonts w:ascii="Arial" w:hAnsi="Arial" w:cs="Arial"/>
                          <w:b/>
                          <w:bCs/>
                          <w:color w:val="000000"/>
                        </w:rPr>
                        <w:t>P</w:t>
                      </w:r>
                    </w:p>
                  </w:txbxContent>
                </v:textbox>
              </v:rect>
              <v:rect id="_x0000_s3394" style="position:absolute;left:3463;top:701;width:145;height:240;mso-wrap-style:none" filled="f" stroked="f">
                <v:textbox style="mso-fit-shape-to-text:t" inset="0,0,0,0">
                  <w:txbxContent>
                    <w:p w:rsidR="00A905B7" w:rsidRDefault="00A905B7" w:rsidP="00D75405">
                      <w:r>
                        <w:rPr>
                          <w:rFonts w:ascii="Arial" w:hAnsi="Arial" w:cs="Arial"/>
                          <w:b/>
                          <w:bCs/>
                          <w:color w:val="000000"/>
                        </w:rPr>
                        <w:t>D</w:t>
                      </w:r>
                    </w:p>
                  </w:txbxContent>
                </v:textbox>
              </v:rect>
              <v:rect id="_x0000_s3395" style="position:absolute;left:2863;top:701;width:234;height:240;mso-wrap-style:none" filled="f" stroked="f">
                <v:textbox style="mso-fit-shape-to-text:t" inset="0,0,0,0">
                  <w:txbxContent>
                    <w:p w:rsidR="00A905B7" w:rsidRDefault="00A905B7" w:rsidP="00D75405">
                      <w:r>
                        <w:rPr>
                          <w:rFonts w:ascii="Arial" w:hAnsi="Arial" w:cs="Arial"/>
                          <w:b/>
                          <w:bCs/>
                          <w:color w:val="000000"/>
                        </w:rPr>
                        <w:t>F4</w:t>
                      </w:r>
                    </w:p>
                  </w:txbxContent>
                </v:textbox>
              </v:rect>
              <v:rect id="_x0000_s3396" style="position:absolute;left:5994;top:692;width:234;height:240;mso-wrap-style:none" filled="f" stroked="f">
                <v:textbox style="mso-fit-shape-to-text:t" inset="0,0,0,0">
                  <w:txbxContent>
                    <w:p w:rsidR="00A905B7" w:rsidRDefault="00A905B7" w:rsidP="00D75405">
                      <w:r>
                        <w:rPr>
                          <w:rFonts w:ascii="Arial" w:hAnsi="Arial" w:cs="Arial"/>
                          <w:b/>
                          <w:bCs/>
                          <w:color w:val="000000"/>
                        </w:rPr>
                        <w:t>F1</w:t>
                      </w:r>
                    </w:p>
                  </w:txbxContent>
                </v:textbox>
              </v:rect>
              <v:rect id="_x0000_s3397" style="position:absolute;left:4645;top:4386;width:245;height:240;mso-wrap-style:none" filled="f" stroked="f">
                <v:textbox style="mso-fit-shape-to-text:t" inset="0,0,0,0">
                  <w:txbxContent>
                    <w:p w:rsidR="00A905B7" w:rsidRDefault="00A905B7" w:rsidP="00D75405">
                      <w:r>
                        <w:rPr>
                          <w:rFonts w:ascii="Arial" w:hAnsi="Arial" w:cs="Arial"/>
                          <w:b/>
                          <w:bCs/>
                          <w:color w:val="000000"/>
                        </w:rPr>
                        <w:t>V3</w:t>
                      </w:r>
                    </w:p>
                  </w:txbxContent>
                </v:textbox>
              </v:rect>
              <v:rect id="_x0000_s3398" style="position:absolute;left:3620;top:1052;width:245;height:240;mso-wrap-style:none" filled="f" stroked="f">
                <v:textbox style="mso-fit-shape-to-text:t" inset="0,0,0,0">
                  <w:txbxContent>
                    <w:p w:rsidR="00A905B7" w:rsidRDefault="00A905B7" w:rsidP="00D75405">
                      <w:r>
                        <w:rPr>
                          <w:rFonts w:ascii="Arial" w:hAnsi="Arial" w:cs="Arial"/>
                          <w:b/>
                          <w:bCs/>
                          <w:color w:val="000000"/>
                        </w:rPr>
                        <w:t>V2</w:t>
                      </w:r>
                    </w:p>
                  </w:txbxContent>
                </v:textbox>
              </v:rect>
              <v:rect id="_x0000_s3399" style="position:absolute;left:2761;top:1643;width:245;height:240;mso-wrap-style:none" filled="f" stroked="f">
                <v:textbox style="mso-fit-shape-to-text:t" inset="0,0,0,0">
                  <w:txbxContent>
                    <w:p w:rsidR="00A905B7" w:rsidRDefault="00A905B7" w:rsidP="00D75405">
                      <w:r>
                        <w:rPr>
                          <w:rFonts w:ascii="Arial" w:hAnsi="Arial" w:cs="Arial"/>
                          <w:b/>
                          <w:bCs/>
                          <w:color w:val="000000"/>
                        </w:rPr>
                        <w:t>V4</w:t>
                      </w:r>
                    </w:p>
                  </w:txbxContent>
                </v:textbox>
              </v:rect>
              <v:rect id="_x0000_s3400" style="position:absolute;left:5467;top:3943;width:245;height:240;mso-wrap-style:none" filled="f" stroked="f">
                <v:textbox style="mso-fit-shape-to-text:t" inset="0,0,0,0">
                  <w:txbxContent>
                    <w:p w:rsidR="00A905B7" w:rsidRDefault="00A905B7" w:rsidP="00D75405">
                      <w:r>
                        <w:rPr>
                          <w:rFonts w:ascii="Arial" w:hAnsi="Arial" w:cs="Arial"/>
                          <w:b/>
                          <w:bCs/>
                          <w:color w:val="000000"/>
                        </w:rPr>
                        <w:t>V6</w:t>
                      </w:r>
                    </w:p>
                  </w:txbxContent>
                </v:textbox>
              </v:rect>
              <v:rect id="_x0000_s3401" style="position:absolute;left:2567;top:4829;width:245;height:240;mso-wrap-style:none" filled="f" stroked="f">
                <v:textbox style="mso-fit-shape-to-text:t" inset="0,0,0,0">
                  <w:txbxContent>
                    <w:p w:rsidR="00A905B7" w:rsidRDefault="00A905B7" w:rsidP="00D75405">
                      <w:r>
                        <w:rPr>
                          <w:rFonts w:ascii="Arial" w:hAnsi="Arial" w:cs="Arial"/>
                          <w:b/>
                          <w:bCs/>
                          <w:color w:val="000000"/>
                        </w:rPr>
                        <w:t>V7</w:t>
                      </w:r>
                    </w:p>
                  </w:txbxContent>
                </v:textbox>
              </v:rect>
              <v:rect id="_x0000_s3402" style="position:absolute;left:4442;top:5198;width:245;height:240;mso-wrap-style:none" filled="f" stroked="f">
                <v:textbox style="mso-fit-shape-to-text:t" inset="0,0,0,0">
                  <w:txbxContent>
                    <w:p w:rsidR="00A905B7" w:rsidRDefault="00A905B7" w:rsidP="00D75405">
                      <w:r>
                        <w:rPr>
                          <w:rFonts w:ascii="Arial" w:hAnsi="Arial" w:cs="Arial"/>
                          <w:b/>
                          <w:bCs/>
                          <w:color w:val="000000"/>
                        </w:rPr>
                        <w:t>V8</w:t>
                      </w:r>
                    </w:p>
                  </w:txbxContent>
                </v:textbox>
              </v:rect>
              <v:rect id="_x0000_s3403" style="position:absolute;left:3223;top:4626;width:234;height:240;mso-wrap-style:none" filled="f" stroked="f">
                <v:textbox style="mso-fit-shape-to-text:t" inset="0,0,0,0">
                  <w:txbxContent>
                    <w:p w:rsidR="00A905B7" w:rsidRDefault="00A905B7" w:rsidP="00D75405">
                      <w:r>
                        <w:rPr>
                          <w:rFonts w:ascii="Arial" w:hAnsi="Arial" w:cs="Arial"/>
                          <w:b/>
                          <w:bCs/>
                          <w:color w:val="000000"/>
                        </w:rPr>
                        <w:t>F5</w:t>
                      </w:r>
                    </w:p>
                  </w:txbxContent>
                </v:textbox>
              </v:rect>
              <v:rect id="_x0000_s3404" style="position:absolute;left:5975;top:3019;width:234;height:240;mso-wrap-style:none" filled="f" stroked="f">
                <v:textbox style="mso-fit-shape-to-text:t" inset="0,0,0,0">
                  <w:txbxContent>
                    <w:p w:rsidR="00A905B7" w:rsidRDefault="00A905B7" w:rsidP="00D75405">
                      <w:r>
                        <w:rPr>
                          <w:rFonts w:ascii="Arial" w:hAnsi="Arial" w:cs="Arial"/>
                          <w:b/>
                          <w:bCs/>
                          <w:color w:val="000000"/>
                        </w:rPr>
                        <w:t>F3</w:t>
                      </w:r>
                    </w:p>
                  </w:txbxContent>
                </v:textbox>
              </v:rect>
              <v:rect id="_x0000_s3405" style="position:absolute;left:5347;top:923;width:256;height:240;mso-wrap-style:none" filled="f" stroked="f">
                <v:textbox style="mso-fit-shape-to-text:t" inset="0,0,0,0">
                  <w:txbxContent>
                    <w:p w:rsidR="00A905B7" w:rsidRDefault="00A905B7" w:rsidP="00D75405">
                      <w:r>
                        <w:rPr>
                          <w:rFonts w:ascii="Arial" w:hAnsi="Arial" w:cs="Arial"/>
                          <w:b/>
                          <w:bCs/>
                          <w:color w:val="000000"/>
                        </w:rPr>
                        <w:t>R1</w:t>
                      </w:r>
                    </w:p>
                  </w:txbxContent>
                </v:textbox>
              </v:rect>
              <v:rect id="_x0000_s3406" style="position:absolute;left:5356;top:3241;width:256;height:240;mso-wrap-style:none" filled="f" stroked="f">
                <v:textbox style="mso-fit-shape-to-text:t" inset="0,0,0,0">
                  <w:txbxContent>
                    <w:p w:rsidR="00A905B7" w:rsidRDefault="00A905B7" w:rsidP="00D75405">
                      <w:r>
                        <w:rPr>
                          <w:rFonts w:ascii="Arial" w:hAnsi="Arial" w:cs="Arial"/>
                          <w:b/>
                          <w:bCs/>
                          <w:color w:val="000000"/>
                        </w:rPr>
                        <w:t>R2</w:t>
                      </w:r>
                    </w:p>
                  </w:txbxContent>
                </v:textbox>
              </v:rect>
              <v:rect id="_x0000_s3407" style="position:absolute;left:6150;top:4866;width:256;height:240;mso-wrap-style:none" filled="f" stroked="f">
                <v:textbox style="mso-fit-shape-to-text:t" inset="0,0,0,0">
                  <w:txbxContent>
                    <w:p w:rsidR="00A905B7" w:rsidRDefault="00A905B7" w:rsidP="00D75405">
                      <w:r>
                        <w:rPr>
                          <w:rFonts w:ascii="Arial" w:hAnsi="Arial" w:cs="Arial"/>
                          <w:b/>
                          <w:bCs/>
                          <w:color w:val="000000"/>
                        </w:rPr>
                        <w:t>R3</w:t>
                      </w:r>
                    </w:p>
                  </w:txbxContent>
                </v:textbox>
              </v:rect>
              <v:rect id="_x0000_s3408" style="position:absolute;left:3579;top:3807;width:501;height:240;mso-wrap-style:none" filled="f" stroked="f">
                <v:textbox style="mso-fit-shape-to-text:t" inset="0,0,0,0">
                  <w:txbxContent>
                    <w:p w:rsidR="00A905B7" w:rsidRDefault="00A905B7" w:rsidP="00D75405">
                      <w:r>
                        <w:rPr>
                          <w:rFonts w:ascii="Arial" w:hAnsi="Arial" w:cs="Arial"/>
                          <w:b/>
                          <w:bCs/>
                          <w:color w:val="000000"/>
                        </w:rPr>
                        <w:t>Oven</w:t>
                      </w:r>
                    </w:p>
                  </w:txbxContent>
                </v:textbox>
              </v:rect>
              <v:rect id="_x0000_s3409" style="position:absolute;left:1173;top:5504;width:412;height:240;mso-wrap-style:none" filled="f" stroked="f">
                <v:textbox style="mso-fit-shape-to-text:t" inset="0,0,0,0">
                  <w:txbxContent>
                    <w:p w:rsidR="00A905B7" w:rsidRDefault="00A905B7" w:rsidP="00D75405">
                      <w:r>
                        <w:rPr>
                          <w:rFonts w:ascii="Arial" w:hAnsi="Arial" w:cs="Arial"/>
                          <w:b/>
                          <w:bCs/>
                          <w:color w:val="000000"/>
                        </w:rPr>
                        <w:t>vent</w:t>
                      </w:r>
                    </w:p>
                  </w:txbxContent>
                </v:textbox>
              </v:rect>
              <v:rect id="_x0000_s3410" style="position:absolute;left:5412;top:4626;width:234;height:240;mso-wrap-style:none" filled="f" stroked="f">
                <v:textbox style="mso-fit-shape-to-text:t" inset="0,0,0,0">
                  <w:txbxContent>
                    <w:p w:rsidR="00A905B7" w:rsidRDefault="00A905B7" w:rsidP="00D75405">
                      <w:r>
                        <w:rPr>
                          <w:rFonts w:ascii="Arial" w:hAnsi="Arial" w:cs="Arial"/>
                          <w:b/>
                          <w:bCs/>
                          <w:color w:val="000000"/>
                        </w:rPr>
                        <w:t>F2</w:t>
                      </w:r>
                    </w:p>
                  </w:txbxContent>
                </v:textbox>
              </v:rect>
              <v:rect id="_x0000_s3411" style="position:absolute;left:6861;top:3998;width:401;height:240;mso-wrap-style:none" filled="f" stroked="f">
                <v:textbox style="mso-fit-shape-to-text:t" inset="0,0,0,0">
                  <w:txbxContent>
                    <w:p w:rsidR="00A905B7" w:rsidRDefault="00A905B7" w:rsidP="00D75405">
                      <w:r>
                        <w:rPr>
                          <w:rFonts w:ascii="Arial" w:hAnsi="Arial" w:cs="Arial"/>
                          <w:b/>
                          <w:bCs/>
                          <w:color w:val="000000"/>
                        </w:rPr>
                        <w:t>FM1</w:t>
                      </w:r>
                    </w:p>
                  </w:txbxContent>
                </v:textbox>
              </v:rect>
              <v:rect id="_x0000_s3412" style="position:absolute;left:7101;top:3351;width:412;height:240;mso-wrap-style:none" filled="f" stroked="f">
                <v:textbox style="mso-fit-shape-to-text:t" inset="0,0,0,0">
                  <w:txbxContent>
                    <w:p w:rsidR="00A905B7" w:rsidRDefault="00A905B7" w:rsidP="00D75405">
                      <w:r>
                        <w:rPr>
                          <w:rFonts w:ascii="Arial" w:hAnsi="Arial" w:cs="Arial"/>
                          <w:b/>
                          <w:bCs/>
                          <w:color w:val="000000"/>
                        </w:rPr>
                        <w:t>vent</w:t>
                      </w:r>
                    </w:p>
                  </w:txbxContent>
                </v:textbox>
              </v:rect>
              <v:line id="_x0000_s3413" style="position:absolute" from="1848,3922" to="1963,3922" strokeweight="1.8pt"/>
              <v:rect id="_x0000_s3414" style="position:absolute;left:1963;top:294;width:356;height:240;mso-wrap-style:none" filled="f" stroked="f">
                <v:textbox style="mso-fit-shape-to-text:t" inset="0,0,0,0">
                  <w:txbxContent>
                    <w:p w:rsidR="00A905B7" w:rsidRDefault="00A905B7" w:rsidP="00D75405">
                      <w:r>
                        <w:rPr>
                          <w:rFonts w:ascii="Arial" w:hAnsi="Arial" w:cs="Arial"/>
                          <w:b/>
                          <w:bCs/>
                          <w:color w:val="000000"/>
                        </w:rPr>
                        <w:t>to x</w:t>
                      </w:r>
                    </w:p>
                  </w:txbxContent>
                </v:textbox>
              </v:rect>
              <v:rect id="_x0000_s3415" style="position:absolute;left:2771;top:3758;width:356;height:240;mso-wrap-style:none" filled="f" stroked="f">
                <v:textbox style="mso-fit-shape-to-text:t" inset="0,0,0,0">
                  <w:txbxContent>
                    <w:p w:rsidR="00A905B7" w:rsidRDefault="00A905B7" w:rsidP="00D75405">
                      <w:r>
                        <w:rPr>
                          <w:rFonts w:ascii="Arial" w:hAnsi="Arial" w:cs="Arial"/>
                          <w:b/>
                          <w:bCs/>
                          <w:color w:val="000000"/>
                        </w:rPr>
                        <w:t>to y</w:t>
                      </w:r>
                    </w:p>
                  </w:txbxContent>
                </v:textbox>
              </v:rect>
              <v:rect id="_x0000_s3416" style="position:absolute;left:2194;top:3758;width:112;height:240;mso-wrap-style:none" filled="f" stroked="f">
                <v:textbox style="mso-fit-shape-to-text:t" inset="0,0,0,0">
                  <w:txbxContent>
                    <w:p w:rsidR="00A905B7" w:rsidRDefault="00A905B7" w:rsidP="00D75405">
                      <w:r>
                        <w:rPr>
                          <w:rFonts w:ascii="Arial" w:hAnsi="Arial" w:cs="Arial"/>
                          <w:b/>
                          <w:bCs/>
                          <w:color w:val="000000"/>
                        </w:rPr>
                        <w:t>x</w:t>
                      </w:r>
                    </w:p>
                  </w:txbxContent>
                </v:textbox>
              </v:rect>
              <v:rect id="_x0000_s3417" style="position:absolute;left:1501;top:294;width:112;height:240;mso-wrap-style:none" filled="f" stroked="f">
                <v:textbox style="mso-fit-shape-to-text:t" inset="0,0,0,0">
                  <w:txbxContent>
                    <w:p w:rsidR="00A905B7" w:rsidRDefault="00A905B7" w:rsidP="00D75405">
                      <w:r>
                        <w:rPr>
                          <w:rFonts w:ascii="Arial" w:hAnsi="Arial" w:cs="Arial"/>
                          <w:b/>
                          <w:bCs/>
                          <w:color w:val="000000"/>
                        </w:rPr>
                        <w:t>y</w:t>
                      </w:r>
                    </w:p>
                  </w:txbxContent>
                </v:textbox>
              </v:rect>
              <v:shape id="_x0000_s3418" style="position:absolute;left:1976;top:3886;width:97;height:96" coordsize="192,193" path="m192,96l164,27,96,,27,27,,96r27,68l96,193r68,-29l192,96xe" fillcolor="black" strokeweight="0">
                <v:path arrowok="t"/>
              </v:shape>
              <v:shape id="_x0000_s3419" style="position:absolute;left:1339;top:414;width:97;height:96" coordsize="192,193" path="m192,97l164,27,96,,27,27,,97r27,68l96,193r68,-28l192,97xe" fillcolor="black" strokeweight="0">
                <v:path arrowok="t"/>
              </v:shape>
              <v:line id="_x0000_s3420" style="position:absolute" from="951,450" to="1321,450" strokeweight="1.8pt"/>
              <v:line id="_x0000_s3421" style="position:absolute" from="1617,459" to="1752,459" strokeweight="1.8pt"/>
              <v:shape id="_x0000_s3422" style="position:absolute;left:1705;top:387;width:143;height:143" coordsize="286,286" path="m,l286,143,,286,95,143,,xe" fillcolor="black" stroked="f">
                <v:path arrowok="t"/>
              </v:shape>
              <v:line id="_x0000_s3423" style="position:absolute" from="2309,3922" to="2560,3922" strokeweight="1.8pt"/>
              <v:shape id="_x0000_s3424" style="position:absolute;left:2512;top:3851;width:143;height:143" coordsize="286,286" path="m,l286,143,,286,95,143,,xe" fillcolor="black" stroked="f">
                <v:path arrowok="t"/>
              </v:shape>
              <v:rect id="_x0000_s3425" style="position:absolute;left:9;top:424;width:223;height:240;mso-wrap-style:none" filled="f" stroked="f">
                <v:textbox style="mso-fit-shape-to-text:t" inset="0,0,0,0">
                  <w:txbxContent>
                    <w:p w:rsidR="00A905B7" w:rsidRDefault="00A905B7" w:rsidP="00D75405">
                      <w:r>
                        <w:rPr>
                          <w:rFonts w:ascii="Arial" w:hAnsi="Arial" w:cs="Arial"/>
                          <w:b/>
                          <w:bCs/>
                          <w:color w:val="000000"/>
                        </w:rPr>
                        <w:t>10</w:t>
                      </w:r>
                    </w:p>
                  </w:txbxContent>
                </v:textbox>
              </v:rect>
              <v:line id="_x0000_s3426" style="position:absolute;flip:x" from="609,791" to="840,791" strokeweight="1.8pt"/>
            </v:group>
            <v:line id="_x0000_s3427" style="position:absolute" from="609,791" to="609,1138" strokeweight="1.8pt"/>
            <v:line id="_x0000_s3428" style="position:absolute" from="609,1138" to="840,1138" strokeweight="1.8pt"/>
            <v:line id="_x0000_s3429" style="position:absolute;flip:x" from="627,1502" to="858,1502" strokeweight="1.8pt"/>
            <v:line id="_x0000_s3430" style="position:absolute" from="627,1502" to="627,1848" strokeweight="1.8pt"/>
            <v:line id="_x0000_s3431" style="position:absolute" from="627,1848" to="858,1848" strokeweight="1.8pt"/>
            <v:line id="_x0000_s3432" style="position:absolute;flip:x" from="627,2195" to="858,2195" strokeweight="1.8pt"/>
            <v:line id="_x0000_s3433" style="position:absolute" from="627,2195" to="627,2541" strokeweight="1.8pt"/>
            <v:line id="_x0000_s3434" style="position:absolute" from="627,2541" to="858,2541" strokeweight="1.8pt"/>
            <v:line id="_x0000_s3435" style="position:absolute;flip:x" from="627,2887" to="858,2887" strokeweight="1.8pt"/>
            <v:line id="_x0000_s3436" style="position:absolute" from="627,2887" to="627,3233" strokeweight="1.8pt"/>
            <v:line id="_x0000_s3437" style="position:absolute" from="627,3233" to="858,3233" strokeweight="1.8pt"/>
            <v:line id="_x0000_s3438" style="position:absolute;flip:x" from="627,3580" to="858,3580" strokeweight="1.8pt"/>
            <v:line id="_x0000_s3439" style="position:absolute" from="627,3580" to="627,3926" strokeweight="1.8pt"/>
            <v:line id="_x0000_s3440" style="position:absolute" from="627,3926" to="858,3926" strokeweight="1.8pt"/>
            <v:line id="_x0000_s3441" style="position:absolute" from="2771,459" to="2771,575" strokeweight="0">
              <v:stroke dashstyle="3 1"/>
            </v:line>
            <v:shape id="_x0000_s3442" style="position:absolute;left:462;top:575;width:346;height:4386" coordsize="692,8774" path="m,l692,r,7619l461,7850r,924l230,8774r,-924l,7619,,e" filled="f" strokeweight="0">
              <v:path arrowok="t"/>
            </v:shape>
            <v:rect id="_x0000_s3443" style="position:absolute;left:571;top:5077;width:245;height:240;mso-wrap-style:none" filled="f" stroked="f">
              <v:textbox style="mso-fit-shape-to-text:t" inset="0,0,0,0">
                <w:txbxContent>
                  <w:p w:rsidR="00A905B7" w:rsidRDefault="00A905B7">
                    <w:r>
                      <w:rPr>
                        <w:rFonts w:ascii="Arial" w:hAnsi="Arial" w:cs="Arial"/>
                        <w:b/>
                        <w:bCs/>
                        <w:color w:val="000000"/>
                      </w:rPr>
                      <w:t>V1</w:t>
                    </w:r>
                  </w:p>
                </w:txbxContent>
              </v:textbox>
            </v:rect>
            <v:shape id="_x0000_s3444" style="position:absolute;left:347;top:344;width:692;height:4963" coordsize="1385,9927" path="m,l1385,r,7618l1155,7618r,2309l,9927,,e" filled="f" strokeweight="0">
              <v:stroke dashstyle="1 1"/>
              <v:path arrowok="t"/>
            </v:shape>
            <v:shape id="_x0000_s3445" style="position:absolute;left:231;top:228;width:2540;height:347" coordsize="5079,693" path="m,l5079,r,693e" filled="f" strokeweight="0">
              <v:stroke dashstyle="3 1"/>
              <v:path arrowok="t"/>
            </v:shape>
            <v:shape id="_x0000_s3446" style="position:absolute;left:231;top:228;width:4618;height:3925" coordsize="9235,7850" path="m5079,1617r1154,l6926,2309r,2309l9235,4618r,3232l,7850,,e" filled="f" strokeweight="0">
              <v:stroke dashstyle="3 1"/>
              <v:path arrowok="t"/>
            </v:shape>
            <v:shape id="_x0000_s3447" style="position:absolute;left:3464;top:3807;width:807;height:346" coordsize="1616,692" path="m,692l,,1616,r,692e" filled="f" strokeweight="0">
              <v:stroke dashstyle="3 1"/>
              <v:path arrowok="t"/>
            </v:shape>
            <v:rect id="_x0000_s3448" style="position:absolute;left:1479;top:1244;width:278;height:240;mso-wrap-style:none" filled="f" stroked="f">
              <v:textbox style="mso-fit-shape-to-text:t" inset="0,0,0,0">
                <w:txbxContent>
                  <w:p w:rsidR="00A905B7" w:rsidRDefault="00A905B7">
                    <w:r>
                      <w:rPr>
                        <w:rFonts w:ascii="Arial" w:hAnsi="Arial" w:cs="Arial"/>
                        <w:b/>
                        <w:bCs/>
                        <w:color w:val="000000"/>
                      </w:rPr>
                      <w:t>PC</w:t>
                    </w:r>
                  </w:p>
                </w:txbxContent>
              </v:textbox>
            </v:rect>
            <v:rect id="_x0000_s3449" style="position:absolute;left:128;top:5394;width:690;height:240;mso-wrap-style:none" filled="f" stroked="f">
              <v:textbox style="mso-fit-shape-to-text:t" inset="0,0,0,0">
                <w:txbxContent>
                  <w:p w:rsidR="00A905B7" w:rsidRDefault="00A905B7">
                    <w:r>
                      <w:rPr>
                        <w:rFonts w:ascii="Arial" w:hAnsi="Arial" w:cs="Arial"/>
                        <w:b/>
                        <w:bCs/>
                        <w:color w:val="000000"/>
                      </w:rPr>
                      <w:t>sample</w:t>
                    </w:r>
                  </w:p>
                </w:txbxContent>
              </v:textbox>
            </v:rect>
            <v:rect id="_x0000_s3450" style="position:absolute;left:2799;top:5516;width:867;height:240;mso-wrap-style:none" filled="f" stroked="f">
              <v:textbox style="mso-fit-shape-to-text:t" inset="0,0,0,0">
                <w:txbxContent>
                  <w:p w:rsidR="00A905B7" w:rsidRDefault="00A905B7">
                    <w:r>
                      <w:rPr>
                        <w:rFonts w:ascii="Arial" w:hAnsi="Arial" w:cs="Arial"/>
                        <w:b/>
                        <w:bCs/>
                        <w:color w:val="000000"/>
                      </w:rPr>
                      <w:t>span gas</w:t>
                    </w:r>
                  </w:p>
                </w:txbxContent>
              </v:textbox>
            </v:rect>
            <v:rect id="_x0000_s3451" style="position:absolute;left:6516;top:1129;width:823;height:240;mso-wrap-style:none" filled="f" stroked="f">
              <v:textbox style="mso-fit-shape-to-text:t" inset="0,0,0,0">
                <w:txbxContent>
                  <w:p w:rsidR="00A905B7" w:rsidRDefault="00A905B7">
                    <w:r>
                      <w:rPr>
                        <w:rFonts w:ascii="Arial" w:hAnsi="Arial" w:cs="Arial"/>
                        <w:b/>
                        <w:bCs/>
                        <w:color w:val="000000"/>
                      </w:rPr>
                      <w:t>fuel inlet</w:t>
                    </w:r>
                  </w:p>
                </w:txbxContent>
              </v:textbox>
            </v:rect>
            <v:rect id="_x0000_s3452" style="position:absolute;left:6572;top:2514;width:712;height:240;mso-wrap-style:none" filled="f" stroked="f">
              <v:textbox style="mso-fit-shape-to-text:t" inset="0,0,0,0">
                <w:txbxContent>
                  <w:p w:rsidR="00A905B7" w:rsidRDefault="00A905B7">
                    <w:r>
                      <w:rPr>
                        <w:rFonts w:ascii="Arial" w:hAnsi="Arial" w:cs="Arial"/>
                        <w:b/>
                        <w:bCs/>
                        <w:color w:val="000000"/>
                      </w:rPr>
                      <w:t>air inlet</w:t>
                    </w:r>
                  </w:p>
                </w:txbxContent>
              </v:textbox>
            </v:rect>
            <v:shape id="_x0000_s3453" style="position:absolute;left:1801;top:3877;width:96;height:96" coordsize="193,193" path="m193,97l165,28,96,,27,28,,97r27,68l96,193r69,-28l193,97xe" fillcolor="black" strokeweight="0">
              <v:path arrowok="t"/>
            </v:shape>
            <v:rect id="_x0000_s3454" style="position:absolute;left:4387;top:1382;width:577;height:924" filled="f" strokeweight="0"/>
            <v:rect id="_x0000_s3455" style="position:absolute;left:4532;top:1535;width:289;height:240;mso-wrap-style:none" filled="f" stroked="f">
              <v:textbox style="mso-fit-shape-to-text:t" inset="0,0,0,0">
                <w:txbxContent>
                  <w:p w:rsidR="00A905B7" w:rsidRDefault="00A905B7">
                    <w:r>
                      <w:rPr>
                        <w:rFonts w:ascii="Arial" w:hAnsi="Arial" w:cs="Arial"/>
                        <w:b/>
                        <w:bCs/>
                        <w:color w:val="000000"/>
                      </w:rPr>
                      <w:t>HC</w:t>
                    </w:r>
                  </w:p>
                </w:txbxContent>
              </v:textbox>
            </v:rect>
            <v:rect id="_x0000_s3456" style="position:absolute;left:5235;top:2398;width:267;height:240;mso-wrap-style:none" filled="f" stroked="f">
              <v:textbox style="mso-fit-shape-to-text:t" inset="0,0,0,0">
                <w:txbxContent>
                  <w:p w:rsidR="00A905B7" w:rsidRDefault="00A905B7">
                    <w:r>
                      <w:rPr>
                        <w:rFonts w:ascii="Arial" w:hAnsi="Arial" w:cs="Arial"/>
                        <w:b/>
                        <w:bCs/>
                        <w:color w:val="000000"/>
                      </w:rPr>
                      <w:t>FC</w:t>
                    </w:r>
                  </w:p>
                </w:txbxContent>
              </v:textbox>
            </v:rect>
            <v:line id="_x0000_s3457" style="position:absolute;flip:y" from="450,4800" to="450,5364" strokeweight="1.8pt"/>
            <v:shape id="_x0000_s3458" style="position:absolute;left:379;top:4705;width:143;height:143" coordsize="286,286" path="m,286l143,,286,286,143,191,,286xe" fillcolor="black" stroked="f">
              <v:path arrowok="t"/>
            </v:shape>
            <w10:wrap type="none"/>
            <w10:anchorlock/>
          </v:group>
        </w:pict>
      </w:r>
    </w:p>
    <w:p w:rsidR="00D75405" w:rsidRPr="00B04DC3" w:rsidRDefault="00D75405" w:rsidP="00D75405">
      <w:pPr>
        <w:pStyle w:val="para"/>
        <w:rPr>
          <w:lang w:val="en-GB"/>
        </w:rPr>
      </w:pPr>
      <w:r w:rsidRPr="00B04DC3">
        <w:rPr>
          <w:lang w:val="en-GB"/>
        </w:rPr>
        <w:tab/>
        <w:t xml:space="preserve">Components of </w:t>
      </w:r>
      <w:r w:rsidR="00313D4E" w:rsidRPr="00B04DC3">
        <w:rPr>
          <w:lang w:val="en-GB"/>
        </w:rPr>
        <w:t>Figure</w:t>
      </w:r>
      <w:r w:rsidRPr="00B04DC3">
        <w:rPr>
          <w:lang w:val="en-GB"/>
        </w:rPr>
        <w:t xml:space="preserve"> 9</w:t>
      </w:r>
    </w:p>
    <w:p w:rsidR="00D75405" w:rsidRPr="00B04DC3" w:rsidRDefault="00D75405" w:rsidP="00D75405">
      <w:pPr>
        <w:pStyle w:val="para"/>
        <w:rPr>
          <w:lang w:val="en-GB"/>
        </w:rPr>
      </w:pPr>
      <w:r w:rsidRPr="00B04DC3">
        <w:rPr>
          <w:lang w:val="en-GB"/>
        </w:rPr>
        <w:tab/>
        <w:t>PC Porapak column</w:t>
      </w:r>
    </w:p>
    <w:p w:rsidR="00D75405" w:rsidRPr="00B04DC3" w:rsidRDefault="00D75405" w:rsidP="00D75405">
      <w:pPr>
        <w:pStyle w:val="para"/>
        <w:rPr>
          <w:lang w:val="en-GB"/>
        </w:rPr>
      </w:pPr>
      <w:r w:rsidRPr="00B04DC3">
        <w:rPr>
          <w:lang w:val="en-GB"/>
        </w:rPr>
        <w:tab/>
        <w:t>Porapak N, 180/300 μm (50/80 mesh), 610 mm length × 2.16 mm ID shall be used and conditioned at least 12 h at 423 K (150 °C) with carrier gas prior to initial use.</w:t>
      </w:r>
    </w:p>
    <w:p w:rsidR="00D75405" w:rsidRPr="00B04DC3" w:rsidRDefault="00D75405" w:rsidP="00D75405">
      <w:pPr>
        <w:pStyle w:val="para"/>
        <w:rPr>
          <w:lang w:val="en-GB"/>
        </w:rPr>
      </w:pPr>
      <w:r w:rsidRPr="00B04DC3">
        <w:rPr>
          <w:lang w:val="en-GB"/>
        </w:rPr>
        <w:tab/>
        <w:t>MSC Molecular sieve column</w:t>
      </w:r>
    </w:p>
    <w:p w:rsidR="00D75405" w:rsidRPr="00B04DC3" w:rsidRDefault="00D75405" w:rsidP="00D75405">
      <w:pPr>
        <w:pStyle w:val="para"/>
        <w:rPr>
          <w:lang w:val="en-GB"/>
        </w:rPr>
      </w:pPr>
      <w:r w:rsidRPr="00B04DC3">
        <w:rPr>
          <w:lang w:val="en-GB"/>
        </w:rPr>
        <w:tab/>
        <w:t>Type 13X, 250/350 μm (45/60 mesh), 1,220 mm length × 2.16 mm ID shall be used and conditioned at least 12 h at 423 K (150 °C) with carrier gas prior to initial use.</w:t>
      </w:r>
    </w:p>
    <w:p w:rsidR="00D75405" w:rsidRPr="00B04DC3" w:rsidRDefault="00D75405" w:rsidP="00D75405">
      <w:pPr>
        <w:pStyle w:val="para"/>
        <w:rPr>
          <w:lang w:val="en-GB"/>
        </w:rPr>
      </w:pPr>
      <w:r w:rsidRPr="00B04DC3">
        <w:rPr>
          <w:lang w:val="en-GB"/>
        </w:rPr>
        <w:tab/>
        <w:t>OV Oven</w:t>
      </w:r>
    </w:p>
    <w:p w:rsidR="00D75405" w:rsidRPr="00B04DC3" w:rsidRDefault="00D75405" w:rsidP="00D75405">
      <w:pPr>
        <w:pStyle w:val="para"/>
        <w:rPr>
          <w:lang w:val="en-GB"/>
        </w:rPr>
      </w:pPr>
      <w:r w:rsidRPr="00B04DC3">
        <w:rPr>
          <w:lang w:val="en-GB"/>
        </w:rPr>
        <w:tab/>
        <w:t>To maintain columns and valves at stable temperature for analyzer operation, and to condition the columns at 423 K (150 °C).</w:t>
      </w:r>
    </w:p>
    <w:p w:rsidR="00D75405" w:rsidRPr="00B04DC3" w:rsidRDefault="00D75405" w:rsidP="00D75405">
      <w:pPr>
        <w:pStyle w:val="para"/>
        <w:rPr>
          <w:lang w:val="en-GB"/>
        </w:rPr>
      </w:pPr>
      <w:r w:rsidRPr="00B04DC3">
        <w:rPr>
          <w:lang w:val="en-GB"/>
        </w:rPr>
        <w:tab/>
      </w:r>
    </w:p>
    <w:p w:rsidR="00D75405" w:rsidRPr="00B04DC3" w:rsidRDefault="00D75405" w:rsidP="00D75405">
      <w:pPr>
        <w:pStyle w:val="para"/>
        <w:ind w:firstLine="0"/>
        <w:rPr>
          <w:lang w:val="en-GB"/>
        </w:rPr>
      </w:pPr>
      <w:r w:rsidRPr="00B04DC3">
        <w:rPr>
          <w:lang w:val="en-GB"/>
        </w:rPr>
        <w:br w:type="page"/>
        <w:t>SLP Sample loop</w:t>
      </w:r>
    </w:p>
    <w:p w:rsidR="00D75405" w:rsidRPr="00B04DC3" w:rsidRDefault="00D75405" w:rsidP="00D75405">
      <w:pPr>
        <w:pStyle w:val="para"/>
        <w:rPr>
          <w:lang w:val="en-GB"/>
        </w:rPr>
      </w:pPr>
      <w:r w:rsidRPr="00B04DC3">
        <w:rPr>
          <w:lang w:val="en-GB"/>
        </w:rPr>
        <w:tab/>
        <w:t>A sufficient length of stainless steel tubing to obtain approximately 1 cm</w:t>
      </w:r>
      <w:r w:rsidRPr="00B04DC3">
        <w:rPr>
          <w:vertAlign w:val="superscript"/>
          <w:lang w:val="en-GB"/>
        </w:rPr>
        <w:t>3</w:t>
      </w:r>
      <w:r w:rsidRPr="00B04DC3">
        <w:rPr>
          <w:lang w:val="en-GB"/>
        </w:rPr>
        <w:t xml:space="preserve"> volume.</w:t>
      </w:r>
    </w:p>
    <w:p w:rsidR="00D75405" w:rsidRPr="00B04DC3" w:rsidRDefault="00D75405" w:rsidP="00D75405">
      <w:pPr>
        <w:pStyle w:val="para"/>
        <w:rPr>
          <w:lang w:val="en-GB"/>
        </w:rPr>
      </w:pPr>
      <w:r w:rsidRPr="00B04DC3">
        <w:rPr>
          <w:lang w:val="en-GB"/>
        </w:rPr>
        <w:tab/>
        <w:t>P Pump</w:t>
      </w:r>
    </w:p>
    <w:p w:rsidR="00D75405" w:rsidRPr="00B04DC3" w:rsidRDefault="00D75405" w:rsidP="00D75405">
      <w:pPr>
        <w:pStyle w:val="para"/>
        <w:rPr>
          <w:lang w:val="en-GB"/>
        </w:rPr>
      </w:pPr>
      <w:r w:rsidRPr="00B04DC3">
        <w:rPr>
          <w:lang w:val="en-GB"/>
        </w:rPr>
        <w:tab/>
        <w:t>To bring the sample to the gas chromatograph.</w:t>
      </w:r>
    </w:p>
    <w:p w:rsidR="00D75405" w:rsidRPr="00B04DC3" w:rsidRDefault="00D75405" w:rsidP="00D75405">
      <w:pPr>
        <w:pStyle w:val="para"/>
        <w:rPr>
          <w:lang w:val="en-GB"/>
        </w:rPr>
      </w:pPr>
      <w:r w:rsidRPr="00B04DC3">
        <w:rPr>
          <w:lang w:val="en-GB"/>
        </w:rPr>
        <w:tab/>
        <w:t>D Dryer</w:t>
      </w:r>
    </w:p>
    <w:p w:rsidR="00D75405" w:rsidRPr="00B04DC3" w:rsidRDefault="00D75405" w:rsidP="00D75405">
      <w:pPr>
        <w:pStyle w:val="para"/>
        <w:rPr>
          <w:lang w:val="en-GB"/>
        </w:rPr>
      </w:pPr>
      <w:r w:rsidRPr="00B04DC3">
        <w:rPr>
          <w:lang w:val="en-GB"/>
        </w:rPr>
        <w:tab/>
        <w:t>A dryer containing a molecular sieve shall be used to remove water and other contaminants which might be present in the carrier gas.</w:t>
      </w:r>
    </w:p>
    <w:p w:rsidR="00D75405" w:rsidRPr="00B04DC3" w:rsidRDefault="00D75405" w:rsidP="00D75405">
      <w:pPr>
        <w:pStyle w:val="para"/>
        <w:rPr>
          <w:lang w:val="en-GB"/>
        </w:rPr>
      </w:pPr>
      <w:r w:rsidRPr="00B04DC3">
        <w:rPr>
          <w:lang w:val="en-GB"/>
        </w:rPr>
        <w:tab/>
        <w:t>HC Flame ionisation detector (FID) to measure the concentration of methane.</w:t>
      </w:r>
    </w:p>
    <w:p w:rsidR="00D75405" w:rsidRPr="00B04DC3" w:rsidRDefault="00D75405" w:rsidP="00D75405">
      <w:pPr>
        <w:pStyle w:val="para"/>
        <w:rPr>
          <w:lang w:val="en-GB"/>
        </w:rPr>
      </w:pPr>
      <w:r w:rsidRPr="00B04DC3">
        <w:rPr>
          <w:lang w:val="en-GB"/>
        </w:rPr>
        <w:tab/>
        <w:t>V1 Sample injection valve</w:t>
      </w:r>
    </w:p>
    <w:p w:rsidR="00D75405" w:rsidRPr="00B04DC3" w:rsidRDefault="00D75405" w:rsidP="00D75405">
      <w:pPr>
        <w:pStyle w:val="para"/>
        <w:rPr>
          <w:lang w:val="en-GB"/>
        </w:rPr>
      </w:pPr>
      <w:r w:rsidRPr="00B04DC3">
        <w:rPr>
          <w:lang w:val="en-GB"/>
        </w:rPr>
        <w:tab/>
        <w:t xml:space="preserve">To inject the sample taken from the sampling bag via SL of </w:t>
      </w:r>
      <w:r w:rsidR="00313D4E" w:rsidRPr="00B04DC3">
        <w:rPr>
          <w:lang w:val="en-GB"/>
        </w:rPr>
        <w:t>Figure</w:t>
      </w:r>
      <w:r w:rsidRPr="00B04DC3">
        <w:rPr>
          <w:lang w:val="en-GB"/>
        </w:rPr>
        <w:t xml:space="preserve"> 8. It shall be low dead volume, gas tight, and heatable to 423 K (150 °C).</w:t>
      </w:r>
    </w:p>
    <w:p w:rsidR="00D75405" w:rsidRPr="00B04DC3" w:rsidRDefault="00D75405" w:rsidP="00D75405">
      <w:pPr>
        <w:pStyle w:val="para"/>
        <w:rPr>
          <w:lang w:val="en-GB"/>
        </w:rPr>
      </w:pPr>
      <w:r w:rsidRPr="00B04DC3">
        <w:rPr>
          <w:lang w:val="en-GB"/>
        </w:rPr>
        <w:tab/>
        <w:t>V3 Selector valve</w:t>
      </w:r>
    </w:p>
    <w:p w:rsidR="00D75405" w:rsidRPr="00B04DC3" w:rsidRDefault="00D75405" w:rsidP="00D75405">
      <w:pPr>
        <w:pStyle w:val="para"/>
        <w:rPr>
          <w:lang w:val="en-GB"/>
        </w:rPr>
      </w:pPr>
      <w:r w:rsidRPr="00B04DC3">
        <w:rPr>
          <w:lang w:val="en-GB"/>
        </w:rPr>
        <w:tab/>
        <w:t>To select span gas, sample, or no flow.</w:t>
      </w:r>
    </w:p>
    <w:p w:rsidR="00D75405" w:rsidRPr="00B04DC3" w:rsidRDefault="00D75405" w:rsidP="00D75405">
      <w:pPr>
        <w:pStyle w:val="para"/>
        <w:rPr>
          <w:lang w:val="en-GB"/>
        </w:rPr>
      </w:pPr>
      <w:r w:rsidRPr="00B04DC3">
        <w:rPr>
          <w:lang w:val="en-GB"/>
        </w:rPr>
        <w:tab/>
        <w:t>V2, V4, V5, V6, V7, V8 Needle valve</w:t>
      </w:r>
      <w:r w:rsidR="007C105E">
        <w:rPr>
          <w:lang w:val="en-GB"/>
        </w:rPr>
        <w:t>s</w:t>
      </w:r>
    </w:p>
    <w:p w:rsidR="00D75405" w:rsidRPr="00B04DC3" w:rsidRDefault="00D75405" w:rsidP="00D75405">
      <w:pPr>
        <w:pStyle w:val="para"/>
        <w:rPr>
          <w:lang w:val="en-GB"/>
        </w:rPr>
      </w:pPr>
      <w:r w:rsidRPr="00B04DC3">
        <w:rPr>
          <w:lang w:val="en-GB"/>
        </w:rPr>
        <w:tab/>
        <w:t>To set the flows in the system.</w:t>
      </w:r>
    </w:p>
    <w:p w:rsidR="00D75405" w:rsidRPr="00B04DC3" w:rsidRDefault="00D75405" w:rsidP="00D75405">
      <w:pPr>
        <w:pStyle w:val="para"/>
        <w:rPr>
          <w:lang w:val="en-GB"/>
        </w:rPr>
      </w:pPr>
      <w:r w:rsidRPr="00B04DC3">
        <w:rPr>
          <w:lang w:val="en-GB"/>
        </w:rPr>
        <w:tab/>
        <w:t>R1, R2, R3 Pressure regulator</w:t>
      </w:r>
      <w:r w:rsidR="007C105E">
        <w:rPr>
          <w:lang w:val="en-GB"/>
        </w:rPr>
        <w:t>s</w:t>
      </w:r>
    </w:p>
    <w:p w:rsidR="00D75405" w:rsidRPr="00B04DC3" w:rsidRDefault="00D75405" w:rsidP="00D75405">
      <w:pPr>
        <w:pStyle w:val="para"/>
        <w:rPr>
          <w:lang w:val="en-GB"/>
        </w:rPr>
      </w:pPr>
      <w:r w:rsidRPr="00B04DC3">
        <w:rPr>
          <w:lang w:val="en-GB"/>
        </w:rPr>
        <w:tab/>
        <w:t>To control the flows of the fuel (= carrier gas), the sample, and the air, respectively.</w:t>
      </w:r>
    </w:p>
    <w:p w:rsidR="00D75405" w:rsidRPr="00B04DC3" w:rsidRDefault="00D75405" w:rsidP="00D75405">
      <w:pPr>
        <w:pStyle w:val="para"/>
        <w:rPr>
          <w:lang w:val="en-GB"/>
        </w:rPr>
      </w:pPr>
      <w:r w:rsidRPr="00B04DC3">
        <w:rPr>
          <w:lang w:val="en-GB"/>
        </w:rPr>
        <w:tab/>
        <w:t>FC Flow capillary</w:t>
      </w:r>
    </w:p>
    <w:p w:rsidR="00D75405" w:rsidRPr="00B04DC3" w:rsidRDefault="00D75405" w:rsidP="00D75405">
      <w:pPr>
        <w:pStyle w:val="para"/>
        <w:rPr>
          <w:lang w:val="en-GB"/>
        </w:rPr>
      </w:pPr>
      <w:r w:rsidRPr="00B04DC3">
        <w:rPr>
          <w:lang w:val="en-GB"/>
        </w:rPr>
        <w:tab/>
        <w:t>To control the rate of air flow to the FID</w:t>
      </w:r>
    </w:p>
    <w:p w:rsidR="00D75405" w:rsidRPr="00B04DC3" w:rsidRDefault="00D75405" w:rsidP="00D75405">
      <w:pPr>
        <w:pStyle w:val="para"/>
        <w:rPr>
          <w:lang w:val="en-GB"/>
        </w:rPr>
      </w:pPr>
      <w:r w:rsidRPr="00B04DC3">
        <w:rPr>
          <w:lang w:val="en-GB"/>
        </w:rPr>
        <w:tab/>
        <w:t>G1, G2, G3 Pressure gauge</w:t>
      </w:r>
      <w:r w:rsidR="007C105E">
        <w:rPr>
          <w:lang w:val="en-GB"/>
        </w:rPr>
        <w:t>s</w:t>
      </w:r>
    </w:p>
    <w:p w:rsidR="00D75405" w:rsidRPr="00B04DC3" w:rsidRDefault="00D75405" w:rsidP="00D75405">
      <w:pPr>
        <w:pStyle w:val="para"/>
        <w:rPr>
          <w:lang w:val="en-GB"/>
        </w:rPr>
      </w:pPr>
      <w:r w:rsidRPr="00B04DC3">
        <w:rPr>
          <w:lang w:val="en-GB"/>
        </w:rPr>
        <w:tab/>
        <w:t>To control the flows of the fuel (= carrier gas), the sample, and the air, respectively.</w:t>
      </w:r>
    </w:p>
    <w:p w:rsidR="00D75405" w:rsidRPr="00B04DC3" w:rsidRDefault="00D75405" w:rsidP="00D75405">
      <w:pPr>
        <w:pStyle w:val="para"/>
        <w:rPr>
          <w:lang w:val="en-GB"/>
        </w:rPr>
      </w:pPr>
      <w:r w:rsidRPr="00B04DC3">
        <w:rPr>
          <w:lang w:val="en-GB"/>
        </w:rPr>
        <w:tab/>
        <w:t>F1, F2, F3, F4, F5 Filter</w:t>
      </w:r>
      <w:r w:rsidR="007C105E">
        <w:rPr>
          <w:lang w:val="en-GB"/>
        </w:rPr>
        <w:t>s</w:t>
      </w:r>
    </w:p>
    <w:p w:rsidR="00D75405" w:rsidRPr="00B04DC3" w:rsidRDefault="00D75405" w:rsidP="00D75405">
      <w:pPr>
        <w:pStyle w:val="para"/>
        <w:rPr>
          <w:lang w:val="en-GB"/>
        </w:rPr>
      </w:pPr>
      <w:r w:rsidRPr="00B04DC3">
        <w:rPr>
          <w:lang w:val="en-GB"/>
        </w:rPr>
        <w:tab/>
        <w:t>Sintered metal filters to prevent grit from entering the pump or the instrument.</w:t>
      </w:r>
    </w:p>
    <w:p w:rsidR="00D75405" w:rsidRPr="00B04DC3" w:rsidRDefault="00D75405" w:rsidP="00D75405">
      <w:pPr>
        <w:pStyle w:val="para"/>
        <w:rPr>
          <w:lang w:val="en-GB"/>
        </w:rPr>
      </w:pPr>
      <w:r w:rsidRPr="00B04DC3">
        <w:rPr>
          <w:lang w:val="en-GB"/>
        </w:rPr>
        <w:tab/>
        <w:t>FL1 To measure the sample by-pass flow rate.</w:t>
      </w:r>
    </w:p>
    <w:p w:rsidR="00D75405" w:rsidRPr="00B04DC3" w:rsidRDefault="00D75405" w:rsidP="00D75405">
      <w:pPr>
        <w:pStyle w:val="para"/>
        <w:rPr>
          <w:lang w:val="en-GB"/>
        </w:rPr>
      </w:pPr>
      <w:r w:rsidRPr="00B04DC3">
        <w:rPr>
          <w:lang w:val="en-GB"/>
        </w:rPr>
        <w:t>1.3.2.</w:t>
      </w:r>
      <w:r w:rsidRPr="00B04DC3">
        <w:rPr>
          <w:lang w:val="en-GB"/>
        </w:rPr>
        <w:tab/>
        <w:t xml:space="preserve">Non-Methane Cutter </w:t>
      </w:r>
      <w:r w:rsidR="00A552B9">
        <w:rPr>
          <w:lang w:val="en-GB"/>
        </w:rPr>
        <w:t>m</w:t>
      </w:r>
      <w:r w:rsidR="00A552B9" w:rsidRPr="00B04DC3">
        <w:rPr>
          <w:lang w:val="en-GB"/>
        </w:rPr>
        <w:t xml:space="preserve">ethod </w:t>
      </w:r>
      <w:r w:rsidRPr="00B04DC3">
        <w:rPr>
          <w:lang w:val="en-GB"/>
        </w:rPr>
        <w:t xml:space="preserve">(NMC, </w:t>
      </w:r>
      <w:r w:rsidR="00313D4E" w:rsidRPr="00B04DC3">
        <w:rPr>
          <w:lang w:val="en-GB"/>
        </w:rPr>
        <w:t>Figure</w:t>
      </w:r>
      <w:r w:rsidRPr="00B04DC3">
        <w:rPr>
          <w:lang w:val="en-GB"/>
        </w:rPr>
        <w:t xml:space="preserve"> 10)</w:t>
      </w:r>
    </w:p>
    <w:p w:rsidR="00D75405" w:rsidRPr="00B04DC3" w:rsidRDefault="00D75405" w:rsidP="00D75405">
      <w:pPr>
        <w:pStyle w:val="para"/>
        <w:rPr>
          <w:lang w:val="en-GB"/>
        </w:rPr>
      </w:pPr>
      <w:r w:rsidRPr="00B04DC3">
        <w:rPr>
          <w:lang w:val="en-GB"/>
        </w:rPr>
        <w:tab/>
        <w:t>The cutter oxidizes all hydrocarbons except CH</w:t>
      </w:r>
      <w:r w:rsidRPr="00B04DC3">
        <w:rPr>
          <w:vertAlign w:val="subscript"/>
          <w:lang w:val="en-GB"/>
        </w:rPr>
        <w:t>4</w:t>
      </w:r>
      <w:r w:rsidRPr="00B04DC3">
        <w:rPr>
          <w:lang w:val="en-GB"/>
        </w:rPr>
        <w:t xml:space="preserve"> to CO</w:t>
      </w:r>
      <w:r w:rsidRPr="00B04DC3">
        <w:rPr>
          <w:vertAlign w:val="subscript"/>
          <w:lang w:val="en-GB"/>
        </w:rPr>
        <w:t>2</w:t>
      </w:r>
      <w:r w:rsidRPr="00B04DC3">
        <w:rPr>
          <w:lang w:val="en-GB"/>
        </w:rPr>
        <w:t xml:space="preserve"> and H</w:t>
      </w:r>
      <w:r w:rsidRPr="00B04DC3">
        <w:rPr>
          <w:vertAlign w:val="subscript"/>
          <w:lang w:val="en-GB"/>
        </w:rPr>
        <w:t>2</w:t>
      </w:r>
      <w:r w:rsidRPr="00B04DC3">
        <w:rPr>
          <w:lang w:val="en-GB"/>
        </w:rPr>
        <w:t>O, so that by passing the sample through the NMC only CH</w:t>
      </w:r>
      <w:r w:rsidRPr="00B04DC3">
        <w:rPr>
          <w:vertAlign w:val="subscript"/>
          <w:lang w:val="en-GB"/>
        </w:rPr>
        <w:t>4</w:t>
      </w:r>
      <w:r w:rsidRPr="00B04DC3">
        <w:rPr>
          <w:lang w:val="en-GB"/>
        </w:rPr>
        <w:t xml:space="preserve"> is detected by the FID. If bag sampling is used, a flow diverter system shall be installed at SL (see paragraph 1.2.</w:t>
      </w:r>
      <w:r w:rsidR="007C105E" w:rsidRPr="007C105E">
        <w:rPr>
          <w:lang w:eastAsia="en-GB"/>
        </w:rPr>
        <w:t xml:space="preserve"> </w:t>
      </w:r>
      <w:r w:rsidR="007C105E">
        <w:rPr>
          <w:lang w:eastAsia="en-GB"/>
        </w:rPr>
        <w:t>of this appendix</w:t>
      </w:r>
      <w:r w:rsidRPr="00B04DC3">
        <w:rPr>
          <w:lang w:val="en-GB"/>
        </w:rPr>
        <w:t xml:space="preserve">, </w:t>
      </w:r>
      <w:r w:rsidR="00313D4E" w:rsidRPr="00B04DC3">
        <w:rPr>
          <w:lang w:val="en-GB"/>
        </w:rPr>
        <w:t>Figure</w:t>
      </w:r>
      <w:r w:rsidRPr="00B04DC3">
        <w:rPr>
          <w:lang w:val="en-GB"/>
        </w:rPr>
        <w:t xml:space="preserve"> 8) with which the flow can be alternatively passed through or around the cutter according to the upper part of </w:t>
      </w:r>
      <w:r w:rsidR="00313D4E" w:rsidRPr="00B04DC3">
        <w:rPr>
          <w:lang w:val="en-GB"/>
        </w:rPr>
        <w:t>Figure</w:t>
      </w:r>
      <w:r w:rsidRPr="00B04DC3">
        <w:rPr>
          <w:lang w:val="en-GB"/>
        </w:rPr>
        <w:t xml:space="preserve"> 10. For NMHC measurement, both values (HC and CH</w:t>
      </w:r>
      <w:r w:rsidRPr="00B04DC3">
        <w:rPr>
          <w:vertAlign w:val="subscript"/>
          <w:lang w:val="en-GB"/>
        </w:rPr>
        <w:t>4</w:t>
      </w:r>
      <w:r w:rsidRPr="00B04DC3">
        <w:rPr>
          <w:lang w:val="en-GB"/>
        </w:rPr>
        <w:t>) shall be observed on the FID and recorded. If the integration method is used, an NMC in line with a second FID shall be installed parallel to the regular FID into HSL1 (see paragraph 1.2.</w:t>
      </w:r>
      <w:r w:rsidR="007C105E" w:rsidRPr="007C105E">
        <w:rPr>
          <w:lang w:eastAsia="en-GB"/>
        </w:rPr>
        <w:t xml:space="preserve"> </w:t>
      </w:r>
      <w:r w:rsidR="007C105E">
        <w:rPr>
          <w:lang w:eastAsia="en-GB"/>
        </w:rPr>
        <w:t>of this appendix</w:t>
      </w:r>
      <w:r w:rsidRPr="00B04DC3">
        <w:rPr>
          <w:lang w:val="en-GB"/>
        </w:rPr>
        <w:t xml:space="preserve">, </w:t>
      </w:r>
      <w:r w:rsidR="00313D4E" w:rsidRPr="00B04DC3">
        <w:rPr>
          <w:lang w:val="en-GB"/>
        </w:rPr>
        <w:t>Figure</w:t>
      </w:r>
      <w:r w:rsidRPr="00B04DC3">
        <w:rPr>
          <w:lang w:val="en-GB"/>
        </w:rPr>
        <w:t xml:space="preserve"> 8) according to the lower part of </w:t>
      </w:r>
      <w:r w:rsidR="00313D4E" w:rsidRPr="00B04DC3">
        <w:rPr>
          <w:lang w:val="en-GB"/>
        </w:rPr>
        <w:t>Figure</w:t>
      </w:r>
      <w:r w:rsidRPr="00B04DC3">
        <w:rPr>
          <w:lang w:val="en-GB"/>
        </w:rPr>
        <w:t xml:space="preserve"> 10. For NMHC measurement, the values of the two FID's (HC and CH</w:t>
      </w:r>
      <w:r w:rsidRPr="00B04DC3">
        <w:rPr>
          <w:vertAlign w:val="subscript"/>
          <w:lang w:val="en-GB"/>
        </w:rPr>
        <w:t>4</w:t>
      </w:r>
      <w:r w:rsidRPr="00B04DC3">
        <w:rPr>
          <w:lang w:val="en-GB"/>
        </w:rPr>
        <w:t>) shall be observed and recorded.</w:t>
      </w:r>
    </w:p>
    <w:p w:rsidR="00D75405" w:rsidRPr="00B04DC3" w:rsidRDefault="00D75405" w:rsidP="00D75405">
      <w:pPr>
        <w:pStyle w:val="para"/>
        <w:rPr>
          <w:lang w:val="en-GB"/>
        </w:rPr>
      </w:pPr>
      <w:r w:rsidRPr="00B04DC3">
        <w:rPr>
          <w:lang w:val="en-GB"/>
        </w:rPr>
        <w:tab/>
        <w:t>The cutter shall be characterized at or above 600 K (327 °C) prior to test work with respect to its catalytic effect on CH</w:t>
      </w:r>
      <w:r w:rsidRPr="00B04DC3">
        <w:rPr>
          <w:vertAlign w:val="subscript"/>
          <w:lang w:val="en-GB"/>
        </w:rPr>
        <w:t>4</w:t>
      </w:r>
      <w:r w:rsidRPr="00B04DC3">
        <w:rPr>
          <w:lang w:val="en-GB"/>
        </w:rPr>
        <w:t xml:space="preserve"> and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at H</w:t>
      </w:r>
      <w:r w:rsidRPr="00B04DC3">
        <w:rPr>
          <w:vertAlign w:val="subscript"/>
          <w:lang w:val="en-GB"/>
        </w:rPr>
        <w:t>2</w:t>
      </w:r>
      <w:r w:rsidRPr="00B04DC3">
        <w:rPr>
          <w:lang w:val="en-GB"/>
        </w:rPr>
        <w:t>O values representative of exhaust stream conditions. The dewpoint and O</w:t>
      </w:r>
      <w:r w:rsidRPr="00B04DC3">
        <w:rPr>
          <w:vertAlign w:val="subscript"/>
          <w:lang w:val="en-GB"/>
        </w:rPr>
        <w:t>2</w:t>
      </w:r>
      <w:r w:rsidRPr="00B04DC3">
        <w:rPr>
          <w:lang w:val="en-GB"/>
        </w:rPr>
        <w:t xml:space="preserve"> level of the sampled exhaust stream shall be known. The relative response of the FID to CH</w:t>
      </w:r>
      <w:r w:rsidRPr="00B04DC3">
        <w:rPr>
          <w:vertAlign w:val="subscript"/>
          <w:lang w:val="en-GB"/>
        </w:rPr>
        <w:t>4</w:t>
      </w:r>
      <w:r w:rsidRPr="00B04DC3">
        <w:rPr>
          <w:lang w:val="en-GB"/>
        </w:rPr>
        <w:t xml:space="preserve"> shall be recorded (see paragraph 1.8.2. of Appendix 5 to this annex).</w:t>
      </w:r>
    </w:p>
    <w:p w:rsidR="00D75405" w:rsidRPr="00B04DC3" w:rsidRDefault="00D75405" w:rsidP="00D75405">
      <w:pPr>
        <w:pStyle w:val="Heading1"/>
      </w:pPr>
      <w:bookmarkStart w:id="311" w:name="_Toc399939958"/>
      <w:bookmarkStart w:id="312" w:name="_Toc423599547"/>
      <w:bookmarkStart w:id="313" w:name="_Toc423610955"/>
      <w:r w:rsidRPr="00B04DC3">
        <w:t>Figure 10</w:t>
      </w:r>
      <w:bookmarkEnd w:id="311"/>
      <w:bookmarkEnd w:id="312"/>
      <w:bookmarkEnd w:id="313"/>
    </w:p>
    <w:p w:rsidR="00D75405" w:rsidRPr="00B04DC3" w:rsidRDefault="00D75405" w:rsidP="00D75405">
      <w:pPr>
        <w:pStyle w:val="Heading1"/>
        <w:rPr>
          <w:b/>
        </w:rPr>
      </w:pPr>
      <w:bookmarkStart w:id="314" w:name="_Toc399939959"/>
      <w:bookmarkStart w:id="315" w:name="_Toc423599548"/>
      <w:bookmarkStart w:id="316" w:name="_Toc423610956"/>
      <w:r w:rsidRPr="00B04DC3">
        <w:rPr>
          <w:b/>
        </w:rPr>
        <w:t xml:space="preserve">Flow diagram for methane analysis with the </w:t>
      </w:r>
      <w:r w:rsidR="007C105E">
        <w:rPr>
          <w:b/>
        </w:rPr>
        <w:t>N</w:t>
      </w:r>
      <w:r w:rsidR="007C105E" w:rsidRPr="00B04DC3">
        <w:rPr>
          <w:b/>
        </w:rPr>
        <w:t>on</w:t>
      </w:r>
      <w:r w:rsidRPr="00B04DC3">
        <w:rPr>
          <w:b/>
        </w:rPr>
        <w:t>-</w:t>
      </w:r>
      <w:r w:rsidR="007C105E">
        <w:rPr>
          <w:b/>
        </w:rPr>
        <w:t>M</w:t>
      </w:r>
      <w:r w:rsidR="007C105E" w:rsidRPr="00B04DC3">
        <w:rPr>
          <w:b/>
        </w:rPr>
        <w:t xml:space="preserve">ethane </w:t>
      </w:r>
      <w:r w:rsidR="007C105E">
        <w:rPr>
          <w:b/>
        </w:rPr>
        <w:t>C</w:t>
      </w:r>
      <w:r w:rsidR="007C105E" w:rsidRPr="00B04DC3">
        <w:rPr>
          <w:b/>
        </w:rPr>
        <w:t xml:space="preserve">utter </w:t>
      </w:r>
      <w:r w:rsidRPr="00B04DC3">
        <w:rPr>
          <w:b/>
        </w:rPr>
        <w:t>(NMC)</w:t>
      </w:r>
      <w:bookmarkEnd w:id="314"/>
      <w:bookmarkEnd w:id="315"/>
      <w:bookmarkEnd w:id="316"/>
    </w:p>
    <w:p w:rsidR="00D75405" w:rsidRPr="00B04DC3" w:rsidRDefault="00A905B7" w:rsidP="00D75405">
      <w:pPr>
        <w:pStyle w:val="NormalCentered"/>
        <w:keepNext/>
        <w:keepLines/>
        <w:numPr>
          <w:ilvl w:val="0"/>
          <w:numId w:val="0"/>
        </w:numPr>
        <w:spacing w:before="0" w:after="0"/>
        <w:ind w:left="1134"/>
        <w:jc w:val="left"/>
      </w:pPr>
      <w:r>
        <w:pict>
          <v:group id="_x0000_s3459" editas="canvas" style="width:310.5pt;height:285.15pt;mso-position-horizontal-relative:char;mso-position-vertical-relative:line" coordsize="6210,5703">
            <o:lock v:ext="edit" aspectratio="t"/>
            <v:shape id="_x0000_s3460" type="#_x0000_t75" style="position:absolute;width:6210;height:5703" o:preferrelative="f">
              <v:fill o:detectmouseclick="t"/>
              <v:path o:extrusionok="t" o:connecttype="none"/>
              <o:lock v:ext="edit" text="t"/>
            </v:shape>
            <v:shape id="_x0000_s3461" style="position:absolute;left:1225;top:1000;width:188;height:358" coordsize="188,358" path="m,l188,358,,358,188,,,xe" filled="f" strokeweight=".1pt">
              <v:path arrowok="t"/>
            </v:shape>
            <v:shape id="_x0000_s3462" style="position:absolute;left:1319;top:1089;width:187;height:180" coordsize="187,180" path="m,89l187,r,180l,89xe" filled="f" strokeweight=".1pt">
              <v:path arrowok="t"/>
            </v:shape>
            <v:shape id="_x0000_s3463" style="position:absolute;left:1134;top:1089;width:185;height:180" coordsize="185,180" path="m185,89l,,,180,185,89xe" filled="f" strokeweight=".1pt">
              <v:path arrowok="t"/>
            </v:shape>
            <v:shape id="_x0000_s3464" style="position:absolute;left:1879;top:1089;width:369;height:180" coordsize="369,180" path="m,l,180,369,r,180l,xe" filled="f" strokeweight=".1pt">
              <v:path arrowok="t"/>
            </v:shape>
            <v:shape id="_x0000_s3465" style="position:absolute;left:1970;top:1000;width:187;height:178" coordsize="187,178" path="m,l187,,94,178,,xe" filled="f" strokeweight=".1pt">
              <v:path arrowok="t"/>
            </v:shape>
            <v:shape id="_x0000_s3466" style="position:absolute;left:2433;top:2433;width:3;height:0" coordsize="3,0" path="m3,l,,,,,,,,,,3,xe" fillcolor="black" strokeweight=".1pt">
              <v:path arrowok="t"/>
            </v:shape>
            <v:line id="_x0000_s3467" style="position:absolute" from="392,461" to="1131,461" strokeweight="1.8pt"/>
            <v:line id="_x0000_s3468" style="position:absolute" from="392,1178" to="1131,1178" strokeweight="1.8pt"/>
            <v:line id="_x0000_s3469" style="position:absolute" from="392,1895" to="1131,1895" strokeweight="1.8pt"/>
            <v:line id="_x0000_s3470" style="position:absolute" from="1134,461" to="1319,461" strokeweight="1.8pt"/>
            <v:line id="_x0000_s3471" style="position:absolute" from="1134,1895" to="1319,1895" strokeweight="1.8pt"/>
            <v:line id="_x0000_s3472" style="position:absolute;flip:y" from="1319,1358" to="1319,1895" strokeweight="1.8pt"/>
            <v:line id="_x0000_s3473" style="position:absolute" from="1319,461" to="1319,998" strokeweight="1.8pt"/>
            <v:line id="_x0000_s3474" style="position:absolute" from="1506,1178" to="1876,1178" strokeweight="1.8pt"/>
            <v:line id="_x0000_s3475" style="position:absolute" from="2248,1178" to="2808,1178" strokeweight="1.8pt"/>
            <v:line id="_x0000_s3476" style="position:absolute" from="3550,1178" to="4110,1178" strokeweight="1.8pt"/>
            <v:line id="_x0000_s3477" style="position:absolute;flip:y" from="2061,641" to="2061,998" strokeweight="1.8pt"/>
            <v:line id="_x0000_s3478" style="position:absolute" from="2064,641" to="2621,641" strokeweight="1.8pt"/>
            <v:line id="_x0000_s3479" style="position:absolute" from="2993,641" to="4295,641" strokeweight="1.8pt"/>
            <v:line id="_x0000_s3480" style="position:absolute" from="4295,641" to="4295,998" strokeweight="1.8pt"/>
            <v:line id="_x0000_s3481" style="position:absolute" from="4480,1178" to="4852,1178" strokeweight="1.8pt"/>
            <v:line id="_x0000_s3482" style="position:absolute" from="4852,1178" to="5040,1178" strokeweight="1.8pt"/>
            <v:shape id="_x0000_s3483" style="position:absolute;left:4110;top:1089;width:373;height:180" coordsize="373,180" path="m,l,180,373,r,180l,xe" filled="f" strokeweight=".1pt">
              <v:path arrowok="t"/>
            </v:shape>
            <v:shape id="_x0000_s3484" style="position:absolute;left:4201;top:1000;width:188;height:178" coordsize="188,178" path="m,l188,,94,178,,xe" filled="f" strokeweight=".1pt">
              <v:path arrowok="t"/>
            </v:shape>
            <v:shape id="_x0000_s3485" style="position:absolute;left:5319;top:1000;width:369;height:358" coordsize="369,358" path="m369,178l355,108,314,51,257,12,185,,112,12,52,51,12,108,,178r12,69l52,305r60,38l185,358r72,-15l314,305r41,-58l369,178xe" filled="f" strokeweight=".1pt">
              <v:path arrowok="t"/>
            </v:shape>
            <v:rect id="_x0000_s3486" style="position:absolute;left:2806;top:1000;width:747;height:360" filled="f" strokeweight=".1pt"/>
            <v:shape id="_x0000_s3487" style="position:absolute;left:2621;top:549;width:372;height:180" coordsize="372,180" path="m,l372,180,372,,,180,,xe" filled="f" strokeweight=".1pt">
              <v:path arrowok="t"/>
            </v:shape>
            <v:line id="_x0000_s3488" style="position:absolute" from="5412,1089" to="5597,1267" strokeweight=".1pt"/>
            <v:line id="_x0000_s3489" style="position:absolute;flip:x" from="5412,1089" to="5597,1267" strokeweight=".1pt"/>
            <v:line id="_x0000_s3490" style="position:absolute" from="392,281" to="721,281" strokeweight="2.5pt"/>
            <v:shape id="_x0000_s3491" style="position:absolute;left:653;top:180;width:200;height:201" coordsize="200,201" path="m,l200,101,,201,68,101,,xe" fillcolor="black" stroked="f">
              <v:path arrowok="t"/>
            </v:shape>
            <v:line id="_x0000_s3492" style="position:absolute" from="392,998" to="721,998" strokeweight="2.5pt"/>
            <v:shape id="_x0000_s3493" style="position:absolute;left:653;top:897;width:200;height:202" coordsize="200,202" path="m,l200,101,,202,68,101,,xe" fillcolor="black" stroked="f">
              <v:path arrowok="t"/>
            </v:shape>
            <v:line id="_x0000_s3494" style="position:absolute" from="392,1715" to="721,1715" strokeweight="2.5pt"/>
            <v:shape id="_x0000_s3495" style="position:absolute;left:653;top:1614;width:200;height:202" coordsize="200,202" path="m,l200,101,,202,68,101,,xe" fillcolor="black" stroked="f">
              <v:path arrowok="t"/>
            </v:shape>
            <v:rect id="_x0000_s3496" style="position:absolute;left:389;top:17;width:329;height:240;mso-wrap-style:none" filled="f" stroked="f">
              <v:textbox style="mso-fit-shape-to-text:t" inset="0,0,0,0">
                <w:txbxContent>
                  <w:p w:rsidR="00A905B7" w:rsidRDefault="00A905B7">
                    <w:r>
                      <w:rPr>
                        <w:rFonts w:ascii="Arial" w:hAnsi="Arial" w:cs="Arial"/>
                        <w:b/>
                        <w:bCs/>
                        <w:color w:val="000000"/>
                        <w:sz w:val="16"/>
                        <w:szCs w:val="16"/>
                      </w:rPr>
                      <w:t>zero</w:t>
                    </w:r>
                  </w:p>
                </w:txbxContent>
              </v:textbox>
            </v:rect>
            <v:rect id="_x0000_s3497" style="position:absolute;left:389;top:734;width:374;height:240;mso-wrap-style:none" filled="f" stroked="f">
              <v:textbox style="mso-fit-shape-to-text:t" inset="0,0,0,0">
                <w:txbxContent>
                  <w:p w:rsidR="00A905B7" w:rsidRDefault="00A905B7">
                    <w:r>
                      <w:rPr>
                        <w:rFonts w:ascii="Arial" w:hAnsi="Arial" w:cs="Arial"/>
                        <w:b/>
                        <w:bCs/>
                        <w:color w:val="000000"/>
                        <w:sz w:val="16"/>
                        <w:szCs w:val="16"/>
                      </w:rPr>
                      <w:t>span</w:t>
                    </w:r>
                  </w:p>
                </w:txbxContent>
              </v:textbox>
            </v:rect>
            <v:rect id="_x0000_s3498" style="position:absolute;left:389;top:1451;width:552;height:240;mso-wrap-style:none" filled="f" stroked="f">
              <v:textbox style="mso-fit-shape-to-text:t" inset="0,0,0,0">
                <w:txbxContent>
                  <w:p w:rsidR="00A905B7" w:rsidRDefault="00A905B7">
                    <w:r>
                      <w:rPr>
                        <w:rFonts w:ascii="Arial" w:hAnsi="Arial" w:cs="Arial"/>
                        <w:b/>
                        <w:bCs/>
                        <w:color w:val="000000"/>
                        <w:sz w:val="16"/>
                        <w:szCs w:val="16"/>
                      </w:rPr>
                      <w:t>sample</w:t>
                    </w:r>
                  </w:p>
                </w:txbxContent>
              </v:textbox>
            </v:rect>
            <v:rect id="_x0000_s3499" style="position:absolute;left:1453;top:1363;width:196;height:240;mso-wrap-style:none" filled="f" stroked="f">
              <v:textbox style="mso-fit-shape-to-text:t" inset="0,0,0,0">
                <w:txbxContent>
                  <w:p w:rsidR="00A905B7" w:rsidRDefault="00A905B7">
                    <w:r>
                      <w:rPr>
                        <w:rFonts w:ascii="Arial" w:hAnsi="Arial" w:cs="Arial"/>
                        <w:b/>
                        <w:bCs/>
                        <w:color w:val="000000"/>
                        <w:sz w:val="16"/>
                        <w:szCs w:val="16"/>
                      </w:rPr>
                      <w:t>V1</w:t>
                    </w:r>
                  </w:p>
                </w:txbxContent>
              </v:textbox>
            </v:rect>
            <v:rect id="_x0000_s3500" style="position:absolute;left:1965;top:1274;width:196;height:240;mso-wrap-style:none" filled="f" stroked="f">
              <v:textbox style="mso-fit-shape-to-text:t" inset="0,0,0,0">
                <w:txbxContent>
                  <w:p w:rsidR="00A905B7" w:rsidRDefault="00A905B7">
                    <w:r>
                      <w:rPr>
                        <w:rFonts w:ascii="Arial" w:hAnsi="Arial" w:cs="Arial"/>
                        <w:b/>
                        <w:bCs/>
                        <w:color w:val="000000"/>
                        <w:sz w:val="16"/>
                        <w:szCs w:val="16"/>
                      </w:rPr>
                      <w:t>V2</w:t>
                    </w:r>
                  </w:p>
                </w:txbxContent>
              </v:textbox>
            </v:rect>
            <v:rect id="_x0000_s3501" style="position:absolute;left:4197;top:1274;width:196;height:240;mso-wrap-style:none" filled="f" stroked="f">
              <v:textbox style="mso-fit-shape-to-text:t" inset="0,0,0,0">
                <w:txbxContent>
                  <w:p w:rsidR="00A905B7" w:rsidRDefault="00A905B7">
                    <w:r>
                      <w:rPr>
                        <w:rFonts w:ascii="Arial" w:hAnsi="Arial" w:cs="Arial"/>
                        <w:b/>
                        <w:bCs/>
                        <w:color w:val="000000"/>
                        <w:sz w:val="16"/>
                        <w:szCs w:val="16"/>
                      </w:rPr>
                      <w:t>V3</w:t>
                    </w:r>
                  </w:p>
                </w:txbxContent>
              </v:textbox>
            </v:rect>
            <v:rect id="_x0000_s3502" style="position:absolute;left:2996;top:1094;width:365;height:240;mso-wrap-style:none" filled="f" stroked="f">
              <v:textbox style="mso-fit-shape-to-text:t" inset="0,0,0,0">
                <w:txbxContent>
                  <w:p w:rsidR="00A905B7" w:rsidRDefault="00A905B7">
                    <w:r>
                      <w:rPr>
                        <w:rFonts w:ascii="Arial" w:hAnsi="Arial" w:cs="Arial"/>
                        <w:b/>
                        <w:bCs/>
                        <w:color w:val="000000"/>
                        <w:sz w:val="16"/>
                        <w:szCs w:val="16"/>
                      </w:rPr>
                      <w:t>NMC</w:t>
                    </w:r>
                  </w:p>
                </w:txbxContent>
              </v:textbox>
            </v:rect>
            <v:line id="_x0000_s3503" style="position:absolute" from="2806,461" to="2806,641" strokeweight="1.8pt"/>
            <v:line id="_x0000_s3504" style="position:absolute" from="2715,461" to="2899,461" strokeweight="1.8pt"/>
            <v:line id="_x0000_s3505" style="position:absolute" from="5691,1178" to="5873,1178" strokeweight="1.8pt"/>
            <v:shape id="_x0000_s3506" style="position:absolute;left:5825;top:1106;width:145;height:144" coordsize="145,144" path="m,l145,72,,144,48,72,,xe" fillcolor="black" stroked="f">
              <v:path arrowok="t"/>
            </v:shape>
            <v:line id="_x0000_s3507" style="position:absolute" from="5040,1178" to="5316,1178" strokeweight="1.8pt"/>
            <v:rect id="_x0000_s3508" style="position:absolute;left:312;top:2018;width:1290;height:240;mso-wrap-style:none" filled="f" stroked="f">
              <v:textbox style="mso-fit-shape-to-text:t" inset="0,0,0,0">
                <w:txbxContent>
                  <w:p w:rsidR="00A905B7" w:rsidRDefault="00A905B7">
                    <w:r>
                      <w:rPr>
                        <w:rFonts w:ascii="Arial" w:hAnsi="Arial" w:cs="Arial"/>
                        <w:b/>
                        <w:bCs/>
                        <w:color w:val="000000"/>
                        <w:sz w:val="16"/>
                        <w:szCs w:val="16"/>
                      </w:rPr>
                      <w:t>SL (see Figure 8)</w:t>
                    </w:r>
                  </w:p>
                </w:txbxContent>
              </v:textbox>
            </v:rect>
            <v:rect id="_x0000_s3509" style="position:absolute;left:5712;top:940;width:329;height:240;mso-wrap-style:none" filled="f" stroked="f">
              <v:textbox style="mso-fit-shape-to-text:t" inset="0,0,0,0">
                <w:txbxContent>
                  <w:p w:rsidR="00A905B7" w:rsidRDefault="00A905B7">
                    <w:r>
                      <w:rPr>
                        <w:rFonts w:ascii="Arial" w:hAnsi="Arial" w:cs="Arial"/>
                        <w:b/>
                        <w:bCs/>
                        <w:color w:val="000000"/>
                        <w:sz w:val="16"/>
                        <w:szCs w:val="16"/>
                      </w:rPr>
                      <w:t>vent</w:t>
                    </w:r>
                  </w:p>
                </w:txbxContent>
              </v:textbox>
            </v:rect>
            <v:rect id="_x0000_s3510" style="position:absolute;left:5388;top:1437;width:232;height:240;mso-wrap-style:none" filled="f" stroked="f">
              <v:textbox style="mso-fit-shape-to-text:t" inset="0,0,0,0">
                <w:txbxContent>
                  <w:p w:rsidR="00A905B7" w:rsidRDefault="00A905B7">
                    <w:r>
                      <w:rPr>
                        <w:rFonts w:ascii="Arial" w:hAnsi="Arial" w:cs="Arial"/>
                        <w:b/>
                        <w:bCs/>
                        <w:color w:val="000000"/>
                        <w:sz w:val="16"/>
                        <w:szCs w:val="16"/>
                      </w:rPr>
                      <w:t>HC</w:t>
                    </w:r>
                  </w:p>
                </w:txbxContent>
              </v:textbox>
            </v:rect>
            <v:rect id="_x0000_s3511" style="position:absolute;left:2707;top:717;width:196;height:240;mso-wrap-style:none" filled="f" stroked="f">
              <v:textbox style="mso-fit-shape-to-text:t" inset="0,0,0,0">
                <w:txbxContent>
                  <w:p w:rsidR="00A905B7" w:rsidRDefault="00A905B7">
                    <w:r>
                      <w:rPr>
                        <w:rFonts w:ascii="Arial" w:hAnsi="Arial" w:cs="Arial"/>
                        <w:b/>
                        <w:bCs/>
                        <w:color w:val="000000"/>
                        <w:sz w:val="16"/>
                        <w:szCs w:val="16"/>
                      </w:rPr>
                      <w:t>V4</w:t>
                    </w:r>
                  </w:p>
                </w:txbxContent>
              </v:textbox>
            </v:rect>
            <v:shape id="_x0000_s3512" style="position:absolute;left:2433;top:4947;width:3;height:2" coordsize="3,2" path="m3,2l,,,,,2r,l,2r3,xe" fillcolor="black" strokeweight=".1pt">
              <v:path arrowok="t"/>
            </v:shape>
            <v:shape id="_x0000_s3513" style="position:absolute;left:1256;top:3819;width:188;height:358" coordsize="188,358" path="m,l188,358,,358,188,,,xe" filled="f" strokeweight=".1pt">
              <v:path arrowok="t"/>
            </v:shape>
            <v:shape id="_x0000_s3514" style="position:absolute;left:1350;top:3908;width:187;height:180" coordsize="187,180" path="m,89l187,r,180l,89xe" filled="f" strokeweight=".1pt">
              <v:path arrowok="t"/>
            </v:shape>
            <v:shape id="_x0000_s3515" style="position:absolute;left:1165;top:3908;width:187;height:180" coordsize="187,180" path="m187,89l,,,180,187,89xe" filled="f" strokeweight=".1pt">
              <v:path arrowok="t"/>
            </v:shape>
            <v:shape id="_x0000_s3516" style="position:absolute;left:1910;top:3908;width:372;height:180" coordsize="372,180" path="m,l,180,372,r,180l,xe" filled="f" strokeweight=".1pt">
              <v:path arrowok="t"/>
            </v:shape>
            <v:shape id="_x0000_s3517" style="position:absolute;left:2001;top:3819;width:187;height:178" coordsize="187,178" path="m,l187,,94,178,,xe" filled="f" strokeweight=".1pt">
              <v:path arrowok="t"/>
            </v:shape>
            <v:line id="_x0000_s3518" style="position:absolute" from="420,3279" to="1165,3279" strokeweight="1.8pt"/>
            <v:line id="_x0000_s3519" style="position:absolute" from="420,3997" to="1165,3997" strokeweight="1.8pt"/>
            <v:line id="_x0000_s3520" style="position:absolute" from="420,4714" to="1165,4714" strokeweight="1.8pt"/>
            <v:line id="_x0000_s3521" style="position:absolute" from="1165,3279" to="1350,3279" strokeweight="1.8pt"/>
            <v:line id="_x0000_s3522" style="position:absolute" from="1165,4714" to="1350,4714" strokeweight="1.8pt"/>
            <v:line id="_x0000_s3523" style="position:absolute;flip:y" from="1350,4177" to="1350,4714" strokeweight="1.8pt"/>
            <v:line id="_x0000_s3524" style="position:absolute" from="1350,3279" to="1350,3817" strokeweight="1.8pt"/>
            <v:line id="_x0000_s3525" style="position:absolute" from="1537,3997" to="1910,3997" strokeweight="1.8pt"/>
            <v:line id="_x0000_s3526" style="position:absolute" from="2282,3997" to="2837,3997" strokeweight="1.8pt"/>
            <v:line id="_x0000_s3527" style="position:absolute" from="3584,3997" to="4139,3997" strokeweight="1.8pt"/>
            <v:line id="_x0000_s3528" style="position:absolute;flip:y" from="2095,3459" to="2095,3817" strokeweight="1.8pt"/>
            <v:line id="_x0000_s3529" style="position:absolute" from="2097,3459" to="2652,3459" strokeweight="1.8pt"/>
            <v:line id="_x0000_s3530" style="position:absolute" from="2688,3459" to="3988,3459" strokeweight="1.8pt"/>
            <v:rect id="_x0000_s3531" style="position:absolute;left:2839;top:3819;width:748;height:360" filled="f" strokeweight=".1pt"/>
            <v:line id="_x0000_s3532" style="position:absolute" from="420,3099" to="752,3099" strokeweight="2.5pt"/>
            <v:shape id="_x0000_s3533" style="position:absolute;left:685;top:2999;width:201;height:201" coordsize="201,201" path="m,l201,100,,201,67,100,,xe" fillcolor="black" stroked="f">
              <v:path arrowok="t"/>
            </v:shape>
            <v:line id="_x0000_s3534" style="position:absolute" from="420,3817" to="752,3817" strokeweight="2.5pt"/>
            <v:shape id="_x0000_s3535" style="position:absolute;left:685;top:3716;width:201;height:201" coordsize="201,201" path="m,l201,101,,201,67,101,,xe" fillcolor="black" stroked="f">
              <v:path arrowok="t"/>
            </v:shape>
            <v:line id="_x0000_s3536" style="position:absolute" from="420,4534" to="752,4534" strokeweight="2.5pt"/>
            <v:shape id="_x0000_s3537" style="position:absolute;left:685;top:4433;width:201;height:202" coordsize="201,202" path="m,l201,101,,202,67,101,,xe" fillcolor="black" stroked="f">
              <v:path arrowok="t"/>
            </v:shape>
            <v:rect id="_x0000_s3538" style="position:absolute;left:420;top:2836;width:329;height:240;mso-wrap-style:none" filled="f" stroked="f">
              <v:textbox style="mso-fit-shape-to-text:t" inset="0,0,0,0">
                <w:txbxContent>
                  <w:p w:rsidR="00A905B7" w:rsidRDefault="00A905B7">
                    <w:r>
                      <w:rPr>
                        <w:rFonts w:ascii="Arial" w:hAnsi="Arial" w:cs="Arial"/>
                        <w:b/>
                        <w:bCs/>
                        <w:color w:val="000000"/>
                        <w:sz w:val="16"/>
                        <w:szCs w:val="16"/>
                      </w:rPr>
                      <w:t>zero</w:t>
                    </w:r>
                  </w:p>
                </w:txbxContent>
              </v:textbox>
            </v:rect>
            <v:rect id="_x0000_s3539" style="position:absolute;left:420;top:3553;width:374;height:240;mso-wrap-style:none" filled="f" stroked="f">
              <v:textbox style="mso-fit-shape-to-text:t" inset="0,0,0,0">
                <w:txbxContent>
                  <w:p w:rsidR="00A905B7" w:rsidRDefault="00A905B7">
                    <w:r>
                      <w:rPr>
                        <w:rFonts w:ascii="Arial" w:hAnsi="Arial" w:cs="Arial"/>
                        <w:b/>
                        <w:bCs/>
                        <w:color w:val="000000"/>
                        <w:sz w:val="16"/>
                        <w:szCs w:val="16"/>
                      </w:rPr>
                      <w:t>span</w:t>
                    </w:r>
                  </w:p>
                </w:txbxContent>
              </v:textbox>
            </v:rect>
            <v:rect id="_x0000_s3540" style="position:absolute;left:420;top:4270;width:552;height:240;mso-wrap-style:none" filled="f" stroked="f">
              <v:textbox style="mso-fit-shape-to-text:t" inset="0,0,0,0">
                <w:txbxContent>
                  <w:p w:rsidR="00A905B7" w:rsidRDefault="00A905B7">
                    <w:r>
                      <w:rPr>
                        <w:rFonts w:ascii="Arial" w:hAnsi="Arial" w:cs="Arial"/>
                        <w:b/>
                        <w:bCs/>
                        <w:color w:val="000000"/>
                        <w:sz w:val="16"/>
                        <w:szCs w:val="16"/>
                      </w:rPr>
                      <w:t>sample</w:t>
                    </w:r>
                  </w:p>
                </w:txbxContent>
              </v:textbox>
            </v:rect>
            <v:rect id="_x0000_s3541" style="position:absolute;left:1485;top:4181;width:196;height:240;mso-wrap-style:none" filled="f" stroked="f">
              <v:textbox style="mso-fit-shape-to-text:t" inset="0,0,0,0">
                <w:txbxContent>
                  <w:p w:rsidR="00A905B7" w:rsidRDefault="00A905B7">
                    <w:r>
                      <w:rPr>
                        <w:rFonts w:ascii="Arial" w:hAnsi="Arial" w:cs="Arial"/>
                        <w:b/>
                        <w:bCs/>
                        <w:color w:val="000000"/>
                        <w:sz w:val="16"/>
                        <w:szCs w:val="16"/>
                      </w:rPr>
                      <w:t>V1</w:t>
                    </w:r>
                  </w:p>
                </w:txbxContent>
              </v:textbox>
            </v:rect>
            <v:rect id="_x0000_s3542" style="position:absolute;left:1996;top:4093;width:196;height:240;mso-wrap-style:none" filled="f" stroked="f">
              <v:textbox style="mso-fit-shape-to-text:t" inset="0,0,0,0">
                <w:txbxContent>
                  <w:p w:rsidR="00A905B7" w:rsidRDefault="00A905B7">
                    <w:r>
                      <w:rPr>
                        <w:rFonts w:ascii="Arial" w:hAnsi="Arial" w:cs="Arial"/>
                        <w:b/>
                        <w:bCs/>
                        <w:color w:val="000000"/>
                        <w:sz w:val="16"/>
                        <w:szCs w:val="16"/>
                      </w:rPr>
                      <w:t>V2</w:t>
                    </w:r>
                  </w:p>
                </w:txbxContent>
              </v:textbox>
            </v:rect>
            <v:rect id="_x0000_s3543" style="position:absolute;left:3029;top:3913;width:365;height:240;mso-wrap-style:none" filled="f" stroked="f">
              <v:textbox style="mso-fit-shape-to-text:t" inset="0,0,0,0">
                <w:txbxContent>
                  <w:p w:rsidR="00A905B7" w:rsidRDefault="00A905B7">
                    <w:r>
                      <w:rPr>
                        <w:rFonts w:ascii="Arial" w:hAnsi="Arial" w:cs="Arial"/>
                        <w:b/>
                        <w:bCs/>
                        <w:color w:val="000000"/>
                        <w:sz w:val="16"/>
                        <w:szCs w:val="16"/>
                      </w:rPr>
                      <w:t>NMC</w:t>
                    </w:r>
                  </w:p>
                </w:txbxContent>
              </v:textbox>
            </v:rect>
            <v:rect id="_x0000_s3544" style="position:absolute;left:344;top:4836;width:1756;height:240" filled="f" stroked="f">
              <v:textbox style="mso-fit-shape-to-text:t" inset="0,0,0,0">
                <w:txbxContent>
                  <w:p w:rsidR="00A905B7" w:rsidRDefault="00A905B7">
                    <w:r>
                      <w:rPr>
                        <w:rFonts w:ascii="Arial" w:hAnsi="Arial" w:cs="Arial"/>
                        <w:b/>
                        <w:bCs/>
                        <w:color w:val="000000"/>
                        <w:sz w:val="16"/>
                        <w:szCs w:val="16"/>
                      </w:rPr>
                      <w:t>HSL1 (see Figure 8)</w:t>
                    </w:r>
                  </w:p>
                </w:txbxContent>
              </v:textbox>
            </v:rect>
            <v:line id="_x0000_s3545" style="position:absolute" from="4161,3997" to="4531,3997" strokeweight="1.8pt"/>
            <v:line id="_x0000_s3546" style="position:absolute" from="4533,3997" to="4718,3997" strokeweight="1.8pt"/>
            <v:shape id="_x0000_s3547" style="position:absolute;left:4997;top:3819;width:372;height:358" coordsize="372,358" path="m372,178l355,108,317,50,257,12,185,,113,12,55,50,14,108,,178r14,69l55,305r58,38l185,358r72,-15l317,305r38,-58l372,178xe" filled="f" strokeweight=".1pt">
              <v:path arrowok="t"/>
            </v:shape>
            <v:line id="_x0000_s3548" style="position:absolute" from="5090,3908" to="5275,4088" strokeweight=".1pt"/>
            <v:line id="_x0000_s3549" style="position:absolute;flip:x" from="5090,3908" to="5275,4088" strokeweight=".1pt"/>
            <v:line id="_x0000_s3550" style="position:absolute" from="5369,3997" to="5552,3997" strokeweight="1.8pt"/>
            <v:shape id="_x0000_s3551" style="position:absolute;left:5504;top:3925;width:144;height:144" coordsize="144,144" path="m,l144,72,,144,48,72,,xe" fillcolor="black" stroked="f">
              <v:path arrowok="t"/>
            </v:shape>
            <v:line id="_x0000_s3552" style="position:absolute" from="4718,3997" to="4994,3997" strokeweight="1.8pt"/>
            <v:rect id="_x0000_s3553" style="position:absolute;left:5391;top:3759;width:329;height:240;mso-wrap-style:none" filled="f" stroked="f">
              <v:textbox style="mso-fit-shape-to-text:t" inset="0,0,0,0">
                <w:txbxContent>
                  <w:p w:rsidR="00A905B7" w:rsidRDefault="00A905B7">
                    <w:r>
                      <w:rPr>
                        <w:rFonts w:ascii="Arial" w:hAnsi="Arial" w:cs="Arial"/>
                        <w:b/>
                        <w:bCs/>
                        <w:color w:val="000000"/>
                        <w:sz w:val="16"/>
                        <w:szCs w:val="16"/>
                      </w:rPr>
                      <w:t>vent</w:t>
                    </w:r>
                  </w:p>
                </w:txbxContent>
              </v:textbox>
            </v:rect>
            <v:rect id="_x0000_s3554" style="position:absolute;left:5069;top:4256;width:232;height:240;mso-wrap-style:none" filled="f" stroked="f">
              <v:textbox style="mso-fit-shape-to-text:t" inset="0,0,0,0">
                <w:txbxContent>
                  <w:p w:rsidR="00A905B7" w:rsidRDefault="00A905B7">
                    <w:r>
                      <w:rPr>
                        <w:rFonts w:ascii="Arial" w:hAnsi="Arial" w:cs="Arial"/>
                        <w:b/>
                        <w:bCs/>
                        <w:color w:val="000000"/>
                        <w:sz w:val="16"/>
                        <w:szCs w:val="16"/>
                      </w:rPr>
                      <w:t>HC</w:t>
                    </w:r>
                  </w:p>
                </w:txbxContent>
              </v:textbox>
            </v:rect>
            <v:line id="_x0000_s3555" style="position:absolute" from="4017,3452" to="4386,3452" strokeweight="1.8pt"/>
            <v:line id="_x0000_s3556" style="position:absolute" from="4389,3452" to="4574,3452" strokeweight="1.8pt"/>
            <v:shape id="_x0000_s3557" style="position:absolute;left:4852;top:3272;width:373;height:360" coordsize="373,360" path="m373,180l356,108,318,53,258,15,185,,113,15,56,53,15,108,,180r15,70l56,307r57,39l185,360r73,-14l318,307r38,-57l373,180xe" filled="f" strokeweight=".1pt">
              <v:path arrowok="t"/>
            </v:shape>
            <v:line id="_x0000_s3558" style="position:absolute" from="4946,3363" to="5131,3541" strokeweight=".1pt"/>
            <v:line id="_x0000_s3559" style="position:absolute;flip:x" from="4946,3363" to="5131,3541" strokeweight=".1pt"/>
            <v:line id="_x0000_s3560" style="position:absolute" from="5225,3452" to="5407,3452" strokeweight="1.8pt"/>
            <v:shape id="_x0000_s3561" style="position:absolute;left:5359;top:3380;width:145;height:142" coordsize="145,142" path="m,l145,72,,142,48,72,,xe" fillcolor="black" stroked="f">
              <v:path arrowok="t"/>
            </v:shape>
            <v:line id="_x0000_s3562" style="position:absolute" from="4574,3452" to="4850,3452" strokeweight="1.8pt"/>
            <v:rect id="_x0000_s3563" style="position:absolute;left:5246;top:3215;width:329;height:240;mso-wrap-style:none" filled="f" stroked="f">
              <v:textbox style="mso-fit-shape-to-text:t" inset="0,0,0,0">
                <w:txbxContent>
                  <w:p w:rsidR="00A905B7" w:rsidRDefault="00A905B7">
                    <w:r>
                      <w:rPr>
                        <w:rFonts w:ascii="Arial" w:hAnsi="Arial" w:cs="Arial"/>
                        <w:b/>
                        <w:bCs/>
                        <w:color w:val="000000"/>
                        <w:sz w:val="16"/>
                        <w:szCs w:val="16"/>
                      </w:rPr>
                      <w:t>vent</w:t>
                    </w:r>
                  </w:p>
                </w:txbxContent>
              </v:textbox>
            </v:rect>
            <v:rect id="_x0000_s3564" style="position:absolute;left:4953;top:3051;width:232;height:240;mso-wrap-style:none" filled="f" stroked="f">
              <v:textbox style="mso-fit-shape-to-text:t" inset="0,0,0,0">
                <w:txbxContent>
                  <w:p w:rsidR="00A905B7" w:rsidRDefault="00A905B7">
                    <w:r>
                      <w:rPr>
                        <w:rFonts w:ascii="Arial" w:hAnsi="Arial" w:cs="Arial"/>
                        <w:b/>
                        <w:bCs/>
                        <w:color w:val="000000"/>
                        <w:sz w:val="16"/>
                        <w:szCs w:val="16"/>
                      </w:rPr>
                      <w:t>HC</w:t>
                    </w:r>
                  </w:p>
                </w:txbxContent>
              </v:textbox>
            </v:rect>
            <v:rect id="_x0000_s3565" style="position:absolute;left:2071;top:2301;width:2090;height:240;mso-wrap-style:none" filled="f" stroked="f">
              <v:textbox style="mso-fit-shape-to-text:t" inset="0,0,0,0">
                <w:txbxContent>
                  <w:p w:rsidR="00A905B7" w:rsidRDefault="00A905B7">
                    <w:r>
                      <w:rPr>
                        <w:rFonts w:ascii="Arial" w:hAnsi="Arial" w:cs="Arial"/>
                        <w:b/>
                        <w:bCs/>
                        <w:color w:val="000000"/>
                      </w:rPr>
                      <w:t>Bag sampling method</w:t>
                    </w:r>
                  </w:p>
                </w:txbxContent>
              </v:textbox>
            </v:rect>
            <v:rect id="_x0000_s3566" style="position:absolute;left:2184;top:5151;width:1812;height:240;mso-wrap-style:none" filled="f" stroked="f">
              <v:textbox style="mso-fit-shape-to-text:t" inset="0,0,0,0">
                <w:txbxContent>
                  <w:p w:rsidR="00A905B7" w:rsidRDefault="00A905B7">
                    <w:r>
                      <w:rPr>
                        <w:rFonts w:ascii="Arial" w:hAnsi="Arial" w:cs="Arial"/>
                        <w:b/>
                        <w:bCs/>
                        <w:color w:val="000000"/>
                      </w:rPr>
                      <w:t>Integrating method</w:t>
                    </w:r>
                  </w:p>
                </w:txbxContent>
              </v:textbox>
            </v:rect>
            <w10:wrap type="none"/>
            <w10:anchorlock/>
          </v:group>
        </w:pict>
      </w:r>
    </w:p>
    <w:p w:rsidR="00D75405" w:rsidRPr="00B04DC3" w:rsidRDefault="00D75405" w:rsidP="00D75405">
      <w:pPr>
        <w:pStyle w:val="para"/>
        <w:rPr>
          <w:lang w:val="en-GB"/>
        </w:rPr>
      </w:pPr>
      <w:r w:rsidRPr="00B04DC3">
        <w:rPr>
          <w:lang w:val="en-GB"/>
        </w:rPr>
        <w:tab/>
        <w:t xml:space="preserve">Components of </w:t>
      </w:r>
      <w:r w:rsidR="00313D4E" w:rsidRPr="00B04DC3">
        <w:rPr>
          <w:lang w:val="en-GB"/>
        </w:rPr>
        <w:t>Figure</w:t>
      </w:r>
      <w:r w:rsidRPr="00B04DC3">
        <w:rPr>
          <w:lang w:val="en-GB"/>
        </w:rPr>
        <w:t xml:space="preserve"> 10</w:t>
      </w:r>
    </w:p>
    <w:p w:rsidR="00D75405" w:rsidRPr="00B04DC3" w:rsidRDefault="00D75405" w:rsidP="00D75405">
      <w:pPr>
        <w:pStyle w:val="para"/>
        <w:rPr>
          <w:lang w:val="en-GB"/>
        </w:rPr>
      </w:pPr>
      <w:r w:rsidRPr="00B04DC3">
        <w:rPr>
          <w:lang w:val="en-GB"/>
        </w:rPr>
        <w:tab/>
        <w:t>NMC Non-methane cutter</w:t>
      </w:r>
    </w:p>
    <w:p w:rsidR="00D75405" w:rsidRPr="00B04DC3" w:rsidRDefault="00D75405" w:rsidP="00D75405">
      <w:pPr>
        <w:pStyle w:val="para"/>
        <w:rPr>
          <w:lang w:val="en-GB"/>
        </w:rPr>
      </w:pPr>
      <w:r w:rsidRPr="00B04DC3">
        <w:rPr>
          <w:lang w:val="en-GB"/>
        </w:rPr>
        <w:tab/>
        <w:t>To oxidize all hydrocarbons except methane.</w:t>
      </w:r>
    </w:p>
    <w:p w:rsidR="00D75405" w:rsidRPr="00B04DC3" w:rsidRDefault="00D75405" w:rsidP="009C1A7C">
      <w:pPr>
        <w:pStyle w:val="para"/>
        <w:tabs>
          <w:tab w:val="left" w:pos="2268"/>
        </w:tabs>
        <w:ind w:left="2835" w:hanging="1701"/>
        <w:rPr>
          <w:lang w:val="en-GB"/>
        </w:rPr>
      </w:pPr>
      <w:r w:rsidRPr="00B04DC3">
        <w:rPr>
          <w:lang w:val="en-GB"/>
        </w:rPr>
        <w:tab/>
        <w:t>HC</w:t>
      </w:r>
      <w:r w:rsidR="009C1A7C">
        <w:rPr>
          <w:lang w:val="en-GB"/>
        </w:rPr>
        <w:tab/>
      </w:r>
      <w:r w:rsidRPr="00B04DC3">
        <w:rPr>
          <w:lang w:val="en-GB"/>
        </w:rPr>
        <w:t>Heated flame ionisation detector (HFID) to measure the HC and CH</w:t>
      </w:r>
      <w:r w:rsidRPr="00B04DC3">
        <w:rPr>
          <w:vertAlign w:val="subscript"/>
          <w:lang w:val="en-GB"/>
        </w:rPr>
        <w:t>4</w:t>
      </w:r>
      <w:r w:rsidRPr="00B04DC3">
        <w:rPr>
          <w:lang w:val="en-GB"/>
        </w:rPr>
        <w:t xml:space="preserve"> concentrations. The temperature shall be kept at 453 K to 473 K (180 °C to 200 °C).</w:t>
      </w:r>
    </w:p>
    <w:p w:rsidR="00D75405" w:rsidRPr="00B04DC3" w:rsidRDefault="00D75405" w:rsidP="00D75405">
      <w:pPr>
        <w:pStyle w:val="para"/>
        <w:rPr>
          <w:lang w:val="en-GB"/>
        </w:rPr>
      </w:pPr>
      <w:r w:rsidRPr="00B04DC3">
        <w:rPr>
          <w:lang w:val="en-GB"/>
        </w:rPr>
        <w:tab/>
        <w:t>V1 Selector valve</w:t>
      </w:r>
    </w:p>
    <w:p w:rsidR="00D75405" w:rsidRPr="00B04DC3" w:rsidRDefault="00D75405" w:rsidP="00D75405">
      <w:pPr>
        <w:pStyle w:val="para"/>
        <w:rPr>
          <w:lang w:val="en-GB"/>
        </w:rPr>
      </w:pPr>
      <w:r w:rsidRPr="00B04DC3">
        <w:rPr>
          <w:lang w:val="en-GB"/>
        </w:rPr>
        <w:tab/>
        <w:t xml:space="preserve">To select sample, zero and span gas. V1 is identical with V2 of </w:t>
      </w:r>
      <w:r w:rsidR="00313D4E" w:rsidRPr="00B04DC3">
        <w:rPr>
          <w:lang w:val="en-GB"/>
        </w:rPr>
        <w:t>Figure</w:t>
      </w:r>
      <w:r w:rsidRPr="00B04DC3">
        <w:rPr>
          <w:lang w:val="en-GB"/>
        </w:rPr>
        <w:t xml:space="preserve"> 8.</w:t>
      </w:r>
    </w:p>
    <w:p w:rsidR="00D75405" w:rsidRPr="00B04DC3" w:rsidRDefault="00D75405" w:rsidP="00D75405">
      <w:pPr>
        <w:pStyle w:val="para"/>
        <w:rPr>
          <w:lang w:val="en-GB"/>
        </w:rPr>
      </w:pPr>
      <w:r w:rsidRPr="00B04DC3">
        <w:rPr>
          <w:lang w:val="en-GB"/>
        </w:rPr>
        <w:tab/>
        <w:t>V2, V3 Solenoid valve</w:t>
      </w:r>
    </w:p>
    <w:p w:rsidR="00D75405" w:rsidRPr="00B04DC3" w:rsidRDefault="00D75405" w:rsidP="00D75405">
      <w:pPr>
        <w:pStyle w:val="para"/>
        <w:rPr>
          <w:lang w:val="en-GB"/>
        </w:rPr>
      </w:pPr>
      <w:r w:rsidRPr="00B04DC3">
        <w:rPr>
          <w:lang w:val="en-GB"/>
        </w:rPr>
        <w:tab/>
        <w:t>To by-pass the NMC.</w:t>
      </w:r>
    </w:p>
    <w:p w:rsidR="00D75405" w:rsidRPr="00B04DC3" w:rsidRDefault="00D75405" w:rsidP="00D75405">
      <w:pPr>
        <w:pStyle w:val="para"/>
        <w:rPr>
          <w:lang w:val="en-GB"/>
        </w:rPr>
      </w:pPr>
      <w:r w:rsidRPr="00B04DC3">
        <w:rPr>
          <w:lang w:val="en-GB"/>
        </w:rPr>
        <w:tab/>
        <w:t>V4 Needle valve</w:t>
      </w:r>
    </w:p>
    <w:p w:rsidR="00D75405" w:rsidRPr="00B04DC3" w:rsidRDefault="00D75405" w:rsidP="00D75405">
      <w:pPr>
        <w:pStyle w:val="para"/>
        <w:rPr>
          <w:lang w:val="en-GB"/>
        </w:rPr>
      </w:pPr>
      <w:r w:rsidRPr="00B04DC3">
        <w:rPr>
          <w:lang w:val="en-GB"/>
        </w:rPr>
        <w:tab/>
        <w:t>To balance the flow through the NMC and the by-pass.</w:t>
      </w:r>
    </w:p>
    <w:p w:rsidR="00D75405" w:rsidRPr="00B04DC3" w:rsidRDefault="00D75405" w:rsidP="00D75405">
      <w:pPr>
        <w:pStyle w:val="para"/>
        <w:rPr>
          <w:lang w:val="en-GB"/>
        </w:rPr>
      </w:pPr>
      <w:r w:rsidRPr="00B04DC3">
        <w:rPr>
          <w:lang w:val="en-GB"/>
        </w:rPr>
        <w:tab/>
        <w:t>R1 Pressure regulator</w:t>
      </w:r>
    </w:p>
    <w:p w:rsidR="00D75405" w:rsidRPr="00B04DC3" w:rsidRDefault="00D75405" w:rsidP="00D75405">
      <w:pPr>
        <w:pStyle w:val="para"/>
        <w:rPr>
          <w:lang w:val="en-GB"/>
        </w:rPr>
      </w:pPr>
      <w:r w:rsidRPr="00B04DC3">
        <w:rPr>
          <w:lang w:val="en-GB"/>
        </w:rPr>
        <w:tab/>
        <w:t xml:space="preserve">To control the pressure in the sampling line and the flow to the HFID. R1 is identical with R3 of </w:t>
      </w:r>
      <w:r w:rsidR="00313D4E" w:rsidRPr="00B04DC3">
        <w:rPr>
          <w:lang w:val="en-GB"/>
        </w:rPr>
        <w:t>Figure</w:t>
      </w:r>
      <w:r w:rsidRPr="00B04DC3">
        <w:rPr>
          <w:lang w:val="en-GB"/>
        </w:rPr>
        <w:t xml:space="preserve"> 8.</w:t>
      </w:r>
    </w:p>
    <w:p w:rsidR="00D75405" w:rsidRPr="00B04DC3" w:rsidRDefault="00D75405" w:rsidP="00D75405">
      <w:pPr>
        <w:pStyle w:val="para"/>
        <w:rPr>
          <w:lang w:val="en-GB"/>
        </w:rPr>
      </w:pPr>
      <w:r w:rsidRPr="00B04DC3">
        <w:rPr>
          <w:lang w:val="en-GB"/>
        </w:rPr>
        <w:tab/>
        <w:t>FL1 Flowmeter</w:t>
      </w:r>
    </w:p>
    <w:p w:rsidR="00D75405" w:rsidRPr="00B04DC3" w:rsidRDefault="00D75405" w:rsidP="00D75405">
      <w:pPr>
        <w:pStyle w:val="para"/>
        <w:rPr>
          <w:lang w:val="en-GB"/>
        </w:rPr>
      </w:pPr>
      <w:r w:rsidRPr="00B04DC3">
        <w:rPr>
          <w:lang w:val="en-GB"/>
        </w:rPr>
        <w:tab/>
        <w:t xml:space="preserve">To measure the sample by-pass flow rate. FL1 is identical with FL1 of </w:t>
      </w:r>
      <w:r w:rsidR="00313D4E" w:rsidRPr="00B04DC3">
        <w:rPr>
          <w:lang w:val="en-GB"/>
        </w:rPr>
        <w:t>Figure</w:t>
      </w:r>
      <w:r w:rsidRPr="00B04DC3">
        <w:rPr>
          <w:lang w:val="en-GB"/>
        </w:rPr>
        <w:t> 8.</w:t>
      </w:r>
    </w:p>
    <w:p w:rsidR="00D75405" w:rsidRPr="00B04DC3" w:rsidRDefault="00D75405" w:rsidP="00D75405">
      <w:pPr>
        <w:pStyle w:val="para"/>
        <w:rPr>
          <w:lang w:val="en-GB"/>
        </w:rPr>
      </w:pPr>
      <w:r w:rsidRPr="00B04DC3">
        <w:rPr>
          <w:lang w:val="en-GB"/>
        </w:rPr>
        <w:t>2.</w:t>
      </w:r>
      <w:r w:rsidRPr="00B04DC3">
        <w:rPr>
          <w:lang w:val="en-GB"/>
        </w:rPr>
        <w:tab/>
        <w:t>Exhaust gas dilution and determination of the particulates</w:t>
      </w:r>
    </w:p>
    <w:p w:rsidR="00D75405" w:rsidRPr="00B04DC3" w:rsidRDefault="00D75405" w:rsidP="00D75405">
      <w:pPr>
        <w:pStyle w:val="para"/>
        <w:rPr>
          <w:lang w:val="en-GB"/>
        </w:rPr>
      </w:pPr>
      <w:r w:rsidRPr="00B04DC3">
        <w:rPr>
          <w:lang w:val="en-GB"/>
        </w:rPr>
        <w:t>2.1.</w:t>
      </w:r>
      <w:r w:rsidRPr="00B04DC3">
        <w:rPr>
          <w:lang w:val="en-GB"/>
        </w:rPr>
        <w:tab/>
        <w:t>Introduction</w:t>
      </w:r>
    </w:p>
    <w:p w:rsidR="00D75405" w:rsidRPr="00B04DC3" w:rsidRDefault="00D75405" w:rsidP="00D75405">
      <w:pPr>
        <w:pStyle w:val="para"/>
        <w:rPr>
          <w:lang w:val="en-GB"/>
        </w:rPr>
      </w:pPr>
      <w:r w:rsidRPr="00B04DC3">
        <w:rPr>
          <w:lang w:val="en-GB"/>
        </w:rPr>
        <w:tab/>
        <w:t xml:space="preserve">Paragraphs 2.2., 2.3. and 2.4. and </w:t>
      </w:r>
      <w:r w:rsidR="00313D4E" w:rsidRPr="00B04DC3">
        <w:rPr>
          <w:lang w:val="en-GB"/>
        </w:rPr>
        <w:t>Figure</w:t>
      </w:r>
      <w:r w:rsidRPr="00B04DC3">
        <w:rPr>
          <w:lang w:val="en-GB"/>
        </w:rPr>
        <w:t>s 11 to 22</w:t>
      </w:r>
      <w:r w:rsidR="007C105E" w:rsidRPr="007C105E">
        <w:rPr>
          <w:lang w:eastAsia="en-GB"/>
        </w:rPr>
        <w:t xml:space="preserve"> </w:t>
      </w:r>
      <w:r w:rsidR="007C105E">
        <w:rPr>
          <w:lang w:eastAsia="en-GB"/>
        </w:rPr>
        <w:t>of this appendix</w:t>
      </w:r>
      <w:r w:rsidRPr="00B04DC3">
        <w:rPr>
          <w:lang w:val="en-GB"/>
        </w:rPr>
        <w:t xml:space="preserve"> contain detailed descriptions of the recommended dilution and sampling systems. Since various configurations can produce equivalent results, exact conformance with these figures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rsidR="00D75405" w:rsidRPr="00B04DC3" w:rsidRDefault="00D75405" w:rsidP="00D75405">
      <w:pPr>
        <w:pStyle w:val="para"/>
        <w:rPr>
          <w:lang w:val="en-GB"/>
        </w:rPr>
      </w:pPr>
      <w:r w:rsidRPr="00B04DC3">
        <w:rPr>
          <w:lang w:val="en-GB"/>
        </w:rPr>
        <w:t>2.2.</w:t>
      </w:r>
      <w:r w:rsidRPr="00B04DC3">
        <w:rPr>
          <w:lang w:val="en-GB"/>
        </w:rPr>
        <w:tab/>
        <w:t xml:space="preserve">Partial </w:t>
      </w:r>
      <w:r w:rsidR="00A552B9" w:rsidRPr="00B04DC3">
        <w:rPr>
          <w:lang w:val="en-GB"/>
        </w:rPr>
        <w:t>flow dilution s</w:t>
      </w:r>
      <w:r w:rsidRPr="00B04DC3">
        <w:rPr>
          <w:lang w:val="en-GB"/>
        </w:rPr>
        <w:t>ystem</w:t>
      </w:r>
    </w:p>
    <w:p w:rsidR="00D75405" w:rsidRPr="00B04DC3" w:rsidRDefault="00D75405" w:rsidP="00D75405">
      <w:pPr>
        <w:pStyle w:val="para"/>
        <w:rPr>
          <w:lang w:val="en-GB"/>
        </w:rPr>
      </w:pPr>
      <w:r w:rsidRPr="00B04DC3">
        <w:rPr>
          <w:lang w:val="en-GB"/>
        </w:rPr>
        <w:tab/>
        <w:t xml:space="preserve">A dilution system is described in </w:t>
      </w:r>
      <w:r w:rsidR="00313D4E" w:rsidRPr="00B04DC3">
        <w:rPr>
          <w:lang w:val="en-GB"/>
        </w:rPr>
        <w:t>Figure</w:t>
      </w:r>
      <w:r w:rsidRPr="00B04DC3">
        <w:rPr>
          <w:lang w:val="en-GB"/>
        </w:rPr>
        <w:t xml:space="preserve">s 11 to 19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(paragraph 2.4., </w:t>
      </w:r>
      <w:r w:rsidR="00313D4E" w:rsidRPr="00B04DC3">
        <w:rPr>
          <w:lang w:val="en-GB"/>
        </w:rPr>
        <w:t>Figure</w:t>
      </w:r>
      <w:r w:rsidRPr="00B04DC3">
        <w:rPr>
          <w:lang w:val="en-GB"/>
        </w:rPr>
        <w:t xml:space="preserve"> 21). The first method is referred to as total sampling type, the second method as fractional sampling type.</w:t>
      </w:r>
    </w:p>
    <w:p w:rsidR="00D75405" w:rsidRPr="00B04DC3" w:rsidRDefault="00D75405" w:rsidP="00D75405">
      <w:pPr>
        <w:pStyle w:val="para"/>
        <w:rPr>
          <w:lang w:val="en-GB"/>
        </w:rPr>
      </w:pPr>
      <w:r w:rsidRPr="00B04DC3">
        <w:rPr>
          <w:lang w:val="en-GB"/>
        </w:rPr>
        <w:tab/>
        <w:t>The calculation of the dilution ratio depends upon the type of system used. The following types are recommended:</w:t>
      </w:r>
    </w:p>
    <w:p w:rsidR="00D75405" w:rsidRPr="00B04DC3" w:rsidRDefault="00D75405" w:rsidP="00D75405">
      <w:pPr>
        <w:pStyle w:val="para"/>
        <w:rPr>
          <w:lang w:val="en-GB"/>
        </w:rPr>
      </w:pPr>
      <w:r w:rsidRPr="00B04DC3">
        <w:rPr>
          <w:lang w:val="en-GB"/>
        </w:rPr>
        <w:tab/>
        <w:t>Isokinetic systems (</w:t>
      </w:r>
      <w:r w:rsidR="00313D4E" w:rsidRPr="00B04DC3">
        <w:rPr>
          <w:lang w:val="en-GB"/>
        </w:rPr>
        <w:t>Figure</w:t>
      </w:r>
      <w:r w:rsidRPr="00B04DC3">
        <w:rPr>
          <w:lang w:val="en-GB"/>
        </w:rPr>
        <w:t>s 11, 12)</w:t>
      </w:r>
    </w:p>
    <w:p w:rsidR="00D75405" w:rsidRPr="00B04DC3" w:rsidRDefault="00D75405" w:rsidP="00D75405">
      <w:pPr>
        <w:pStyle w:val="para"/>
        <w:rPr>
          <w:lang w:val="en-GB"/>
        </w:rPr>
      </w:pPr>
      <w:r w:rsidRPr="00B04DC3">
        <w:rPr>
          <w:lang w:val="en-GB"/>
        </w:rPr>
        <w:tab/>
        <w:t xml:space="preserve">With these systems, the flow into the transfer tube is matched to the bulk exhaust flow in terms of gas velocity and/or pressure, thus requiring an undisturbed and uniform exhaust flow at the sampling probe. This is usually achieved by using a resonator and a straight approach tube upstream of the sampling point. The split ratio is then calculated from easily measurable values like tube diameters. It should be noted that isokinesis is only used for matching the flow conditions and not for matching the size distribution. The latter is typically not necessary, as the </w:t>
      </w:r>
      <w:r w:rsidR="002E6737">
        <w:rPr>
          <w:lang w:val="en-GB"/>
        </w:rPr>
        <w:t>particulateparticulate</w:t>
      </w:r>
      <w:r w:rsidRPr="00B04DC3">
        <w:rPr>
          <w:lang w:val="en-GB"/>
        </w:rPr>
        <w:t>s are sufficiently small as to follow the fluid streamlines.</w:t>
      </w:r>
    </w:p>
    <w:p w:rsidR="00D75405" w:rsidRPr="00B04DC3" w:rsidRDefault="00D75405" w:rsidP="00D75405">
      <w:pPr>
        <w:pStyle w:val="para"/>
        <w:rPr>
          <w:lang w:val="en-GB"/>
        </w:rPr>
      </w:pPr>
      <w:r w:rsidRPr="00B04DC3">
        <w:rPr>
          <w:lang w:val="en-GB"/>
        </w:rPr>
        <w:tab/>
        <w:t>Flow controlled systems with concentration measurement (</w:t>
      </w:r>
      <w:r w:rsidR="00313D4E" w:rsidRPr="00B04DC3">
        <w:rPr>
          <w:lang w:val="en-GB"/>
        </w:rPr>
        <w:t>Figure</w:t>
      </w:r>
      <w:r w:rsidRPr="00B04DC3">
        <w:rPr>
          <w:lang w:val="en-GB"/>
        </w:rPr>
        <w:t>s 13 to 17)</w:t>
      </w:r>
    </w:p>
    <w:p w:rsidR="00D75405" w:rsidRPr="00B04DC3" w:rsidRDefault="00D75405" w:rsidP="00D75405">
      <w:pPr>
        <w:pStyle w:val="para"/>
        <w:rPr>
          <w:lang w:val="en-GB"/>
        </w:rPr>
      </w:pPr>
      <w:r w:rsidRPr="00B04DC3">
        <w:rPr>
          <w:lang w:val="en-GB"/>
        </w:rPr>
        <w:tab/>
        <w:t>With these systems, a sample is taken from the bulk exhaust stream by adjusting the diluent flow and the total dilute exhaust flow. The dilution ratio is determined from the concentrations of tracer gases, such as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naturally occurring in the engine exhaust. The concentrations in the dilute exhaust gas and in the diluent are measured, whereas the concentration in the raw exhaust gas can be either measured directly or determined from fuel flow and the carbon balance equation, if the fuel composition is known. The systems may be controlled by the calculated dilution ratio (</w:t>
      </w:r>
      <w:r w:rsidR="00313D4E" w:rsidRPr="00B04DC3">
        <w:rPr>
          <w:lang w:val="en-GB"/>
        </w:rPr>
        <w:t>Figure</w:t>
      </w:r>
      <w:r w:rsidRPr="00B04DC3">
        <w:rPr>
          <w:lang w:val="en-GB"/>
        </w:rPr>
        <w:t>s 13 and 14) or by the flow into the transfer tube (</w:t>
      </w:r>
      <w:r w:rsidR="00313D4E" w:rsidRPr="00B04DC3">
        <w:rPr>
          <w:lang w:val="en-GB"/>
        </w:rPr>
        <w:t>Figure</w:t>
      </w:r>
      <w:r w:rsidRPr="00B04DC3">
        <w:rPr>
          <w:lang w:val="en-GB"/>
        </w:rPr>
        <w:t>s 12, 13 and 14).</w:t>
      </w:r>
    </w:p>
    <w:p w:rsidR="00D75405" w:rsidRPr="00B04DC3" w:rsidRDefault="00D75405" w:rsidP="00D75405">
      <w:pPr>
        <w:pStyle w:val="para"/>
        <w:ind w:firstLine="0"/>
        <w:rPr>
          <w:lang w:val="en-GB"/>
        </w:rPr>
      </w:pPr>
      <w:r w:rsidRPr="00B04DC3">
        <w:rPr>
          <w:lang w:val="en-GB"/>
        </w:rPr>
        <w:br w:type="page"/>
        <w:t>Flow controlled systems with flow measurement (</w:t>
      </w:r>
      <w:r w:rsidR="00313D4E" w:rsidRPr="00B04DC3">
        <w:rPr>
          <w:lang w:val="en-GB"/>
        </w:rPr>
        <w:t>Figure</w:t>
      </w:r>
      <w:r w:rsidRPr="00B04DC3">
        <w:rPr>
          <w:lang w:val="en-GB"/>
        </w:rPr>
        <w:t>s 18 and 19)</w:t>
      </w:r>
    </w:p>
    <w:p w:rsidR="00D75405" w:rsidRPr="00B04DC3" w:rsidRDefault="00D75405" w:rsidP="00D75405">
      <w:pPr>
        <w:pStyle w:val="para"/>
        <w:rPr>
          <w:lang w:val="en-GB"/>
        </w:rPr>
      </w:pPr>
      <w:r w:rsidRPr="00B04DC3">
        <w:rPr>
          <w:lang w:val="en-GB"/>
        </w:rPr>
        <w:tab/>
        <w:t>With these systems, a sample is taken from the bulk exhaust stream by setting the diluent flow and the total dilute exhaust flow. The dilution ratio is determined from the difference of the two flows rates. Accurate calibration of the flow meters relative to one another is required, since the relative magnitude of the two flow rates can lead to significant errors at higher dilution ratios (of 15 and above). Flow control is very straight forward by keeping the dilute exhaust flow rate constant and varying the diluent flow rate, if needed.</w:t>
      </w:r>
    </w:p>
    <w:p w:rsidR="00D75405" w:rsidRPr="00B04DC3" w:rsidRDefault="00D75405" w:rsidP="00D75405">
      <w:pPr>
        <w:pStyle w:val="para"/>
        <w:rPr>
          <w:lang w:val="en-GB"/>
        </w:rPr>
      </w:pPr>
      <w:r w:rsidRPr="00B04DC3">
        <w:rPr>
          <w:lang w:val="en-GB"/>
        </w:rPr>
        <w:tab/>
        <w:t>When using partial flow dilution systems, attention shall be paid to avoiding the potential problems of loss of particulates in the transfer tube, ensuring that a representative sample is taken from the engine exhaust, and determination of the split ratio. The systems described pay attention to these critical areas.</w:t>
      </w:r>
    </w:p>
    <w:p w:rsidR="00D75405" w:rsidRPr="00B04DC3" w:rsidRDefault="00D75405" w:rsidP="00D75405">
      <w:pPr>
        <w:pStyle w:val="Heading1"/>
      </w:pPr>
      <w:bookmarkStart w:id="317" w:name="_Toc399939960"/>
      <w:bookmarkStart w:id="318" w:name="_Toc423599549"/>
      <w:bookmarkStart w:id="319" w:name="_Toc423610957"/>
      <w:r w:rsidRPr="00B04DC3">
        <w:t>Figure 11</w:t>
      </w:r>
      <w:bookmarkEnd w:id="317"/>
      <w:bookmarkEnd w:id="318"/>
      <w:bookmarkEnd w:id="319"/>
    </w:p>
    <w:p w:rsidR="00D75405" w:rsidRPr="00B04DC3" w:rsidRDefault="00D75405" w:rsidP="00D75405">
      <w:pPr>
        <w:pStyle w:val="Heading1"/>
        <w:rPr>
          <w:b/>
        </w:rPr>
      </w:pPr>
      <w:bookmarkStart w:id="320" w:name="_Toc399939961"/>
      <w:bookmarkStart w:id="321" w:name="_Toc423599550"/>
      <w:bookmarkStart w:id="322" w:name="_Toc423610958"/>
      <w:r w:rsidRPr="00B04DC3">
        <w:rPr>
          <w:b/>
        </w:rPr>
        <w:t>Partial flow dilution system with isokinetic probe and fractional sampling (SB control)</w:t>
      </w:r>
      <w:bookmarkEnd w:id="320"/>
      <w:bookmarkEnd w:id="321"/>
      <w:bookmarkEnd w:id="322"/>
    </w:p>
    <w:p w:rsidR="00D75405" w:rsidRPr="00B04DC3" w:rsidRDefault="00A905B7" w:rsidP="00D75405">
      <w:pPr>
        <w:pStyle w:val="NormalCentered"/>
        <w:keepNext/>
        <w:keepLines/>
        <w:numPr>
          <w:ilvl w:val="0"/>
          <w:numId w:val="0"/>
        </w:numPr>
        <w:spacing w:before="0" w:after="0"/>
      </w:pPr>
      <w:r>
        <w:pict>
          <v:shape id="_x0000_i1197" type="#_x0000_t75" style="width:374.4pt;height:204pt" fillcolor="window">
            <v:imagedata r:id="rId328" o:title="" cropright="6546f"/>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transfer tube TT by the isokinetic sampling probe ISP. The differential pressure of the exhaust gas between exhaust pipe and inlet to the probe is measured with the pressure transducer DPT. This signal is transmitted to the flow controller FC1 that controls the suction blower SB to maintain a differential pressure of zero at the tip of the probe. Under these conditions, exhaust gas velocities in EP and ISP are identical, and the flow through ISP and TT is a constant fraction (split) of the exhaust gas flow. The split ratio is determined from the cross sectional areas of EP and ISP. The diluent flow rate is measured with the flow measurement device FM1. The dilution ratio is calculated from the diluent flow rate and the split ratio.</w:t>
      </w:r>
    </w:p>
    <w:p w:rsidR="00D75405" w:rsidRPr="00B04DC3" w:rsidRDefault="00933DA1" w:rsidP="00D75405">
      <w:pPr>
        <w:pStyle w:val="Heading1"/>
      </w:pPr>
      <w:r w:rsidRPr="00B04DC3">
        <w:br w:type="page"/>
      </w:r>
      <w:bookmarkStart w:id="323" w:name="_Toc399939962"/>
      <w:bookmarkStart w:id="324" w:name="_Toc423599551"/>
      <w:bookmarkStart w:id="325" w:name="_Toc423610959"/>
      <w:r w:rsidR="00D75405" w:rsidRPr="00B04DC3">
        <w:t>Figure 12</w:t>
      </w:r>
      <w:bookmarkEnd w:id="323"/>
      <w:bookmarkEnd w:id="324"/>
      <w:bookmarkEnd w:id="325"/>
    </w:p>
    <w:p w:rsidR="00D75405" w:rsidRPr="00B04DC3" w:rsidRDefault="00D75405" w:rsidP="00D75405">
      <w:pPr>
        <w:pStyle w:val="Heading1"/>
        <w:rPr>
          <w:b/>
        </w:rPr>
      </w:pPr>
      <w:bookmarkStart w:id="326" w:name="_Toc399939963"/>
      <w:bookmarkStart w:id="327" w:name="_Toc423599552"/>
      <w:bookmarkStart w:id="328" w:name="_Toc423610960"/>
      <w:r w:rsidRPr="00B04DC3">
        <w:rPr>
          <w:b/>
        </w:rPr>
        <w:t>Partial flow dilution system with isokinetic probe and fractional sampling (PB control)</w:t>
      </w:r>
      <w:bookmarkEnd w:id="326"/>
      <w:bookmarkEnd w:id="327"/>
      <w:bookmarkEnd w:id="328"/>
    </w:p>
    <w:p w:rsidR="00D75405" w:rsidRPr="00B04DC3" w:rsidRDefault="00A905B7" w:rsidP="00BD29C3">
      <w:pPr>
        <w:pStyle w:val="NormalCentered"/>
        <w:numPr>
          <w:ilvl w:val="0"/>
          <w:numId w:val="0"/>
        </w:numPr>
        <w:spacing w:before="0" w:after="240"/>
        <w:ind w:left="1134"/>
        <w:jc w:val="left"/>
      </w:pPr>
      <w:r>
        <w:pict>
          <v:shape id="_x0000_i1198" type="#_x0000_t75" style="width:407.4pt;height:189.6pt" fillcolor="window">
            <v:imagedata r:id="rId329"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transfer tube TT by the isokinetic sampling probe ISP. The differential pressure of the exhaust gas between exhaust pipe and inlet to the probe is measured with the pressure transducer DPT. This signal is transmitted to the flow controller FC1 that controls the pressure blower PB to maintain a differential pressure of zero at the tip of the probe. This is done by taking a small fraction of the diluent whose flow rate has already been measured with the flow measurement device FM1, and feeding it to TT by means of a pneumatic orifice. Under these conditions, exhaust gas velocities in EP and ISP are identical, and the flow through ISP and TT is a constant fraction (split) of the exhaust gas flow. The split ratio is determined from the cross sectional areas of EP and ISP. The diluent is sucked through DT by the suction blower SB, and the flow rate is measured with FM1 at the inlet to DT. The dilution ratio is calculated from the diluent flow rate and the split ratio.</w:t>
      </w:r>
    </w:p>
    <w:p w:rsidR="00D75405" w:rsidRPr="00B04DC3" w:rsidRDefault="00933DA1" w:rsidP="00D75405">
      <w:pPr>
        <w:pStyle w:val="Heading1"/>
      </w:pPr>
      <w:r w:rsidRPr="00B04DC3">
        <w:br w:type="page"/>
      </w:r>
      <w:bookmarkStart w:id="329" w:name="_Toc399939964"/>
      <w:bookmarkStart w:id="330" w:name="_Toc423599553"/>
      <w:bookmarkStart w:id="331" w:name="_Toc423610961"/>
      <w:r w:rsidR="00D75405" w:rsidRPr="00B04DC3">
        <w:t>Figure 13</w:t>
      </w:r>
      <w:bookmarkEnd w:id="329"/>
      <w:bookmarkEnd w:id="330"/>
      <w:bookmarkEnd w:id="331"/>
    </w:p>
    <w:p w:rsidR="00D75405" w:rsidRPr="00B04DC3" w:rsidRDefault="00D75405" w:rsidP="00D75405">
      <w:pPr>
        <w:pStyle w:val="Heading1"/>
        <w:rPr>
          <w:b/>
        </w:rPr>
      </w:pPr>
      <w:bookmarkStart w:id="332" w:name="_Toc399939965"/>
      <w:bookmarkStart w:id="333" w:name="_Toc423599554"/>
      <w:bookmarkStart w:id="334" w:name="_Toc423610962"/>
      <w:r w:rsidRPr="00B04DC3">
        <w:rPr>
          <w:b/>
        </w:rPr>
        <w:t>Partial flow dilution system with CO</w:t>
      </w:r>
      <w:r w:rsidRPr="00B04DC3">
        <w:rPr>
          <w:b/>
          <w:vertAlign w:val="subscript"/>
        </w:rPr>
        <w:t>2</w:t>
      </w:r>
      <w:r w:rsidRPr="00B04DC3">
        <w:rPr>
          <w:b/>
        </w:rPr>
        <w:t xml:space="preserve"> or NO</w:t>
      </w:r>
      <w:r w:rsidRPr="00B04DC3">
        <w:rPr>
          <w:b/>
          <w:vertAlign w:val="subscript"/>
        </w:rPr>
        <w:t>x</w:t>
      </w:r>
      <w:r w:rsidRPr="00B04DC3">
        <w:rPr>
          <w:b/>
        </w:rPr>
        <w:t xml:space="preserve"> concentration measurement and </w:t>
      </w:r>
      <w:r w:rsidRPr="00B04DC3">
        <w:rPr>
          <w:b/>
        </w:rPr>
        <w:br/>
        <w:t>fractional sampling</w:t>
      </w:r>
      <w:bookmarkEnd w:id="332"/>
      <w:bookmarkEnd w:id="333"/>
      <w:bookmarkEnd w:id="334"/>
    </w:p>
    <w:p w:rsidR="00D75405" w:rsidRPr="00B04DC3" w:rsidRDefault="00A905B7" w:rsidP="00D75405">
      <w:pPr>
        <w:pStyle w:val="NormalCentered"/>
        <w:numPr>
          <w:ilvl w:val="0"/>
          <w:numId w:val="0"/>
        </w:numPr>
        <w:spacing w:before="0" w:after="0"/>
      </w:pPr>
      <w:r>
        <w:pict>
          <v:shape id="_x0000_i1199" type="#_x0000_t75" style="width:361.8pt;height:3in" fillcolor="window">
            <v:imagedata r:id="rId330"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sampling probe SP and the transfer tube TT. The concentrations of a tracer gas (CO</w:t>
      </w:r>
      <w:r w:rsidRPr="00B04DC3">
        <w:rPr>
          <w:vertAlign w:val="subscript"/>
        </w:rPr>
        <w:t>2</w:t>
      </w:r>
      <w:r w:rsidRPr="00B04DC3">
        <w:t xml:space="preserve"> or NO</w:t>
      </w:r>
      <w:r w:rsidRPr="00B04DC3">
        <w:rPr>
          <w:vertAlign w:val="subscript"/>
        </w:rPr>
        <w:t>x</w:t>
      </w:r>
      <w:r w:rsidRPr="00B04DC3">
        <w:t>) are measured in the raw and diluted exhaust gas as well as in the diluent with the exhaust gas analyzer(s) EGA. These signals are transmitted to the flow controller FC2 that controls either the pressure blower PB or the suction blower SB to maintain the desired exhaust split and dilution ratio in DT. The dilution ratio is calculated from the tracer gas concentrations in the raw exhaust gas, the diluted exhaust gas, and the diluent.</w:t>
      </w:r>
    </w:p>
    <w:p w:rsidR="00D75405" w:rsidRPr="00B04DC3" w:rsidRDefault="00933DA1" w:rsidP="00D75405">
      <w:pPr>
        <w:pStyle w:val="Heading1"/>
      </w:pPr>
      <w:r w:rsidRPr="00B04DC3">
        <w:br w:type="page"/>
      </w:r>
      <w:bookmarkStart w:id="335" w:name="_Toc399939966"/>
      <w:bookmarkStart w:id="336" w:name="_Toc423599555"/>
      <w:bookmarkStart w:id="337" w:name="_Toc423610963"/>
      <w:r w:rsidR="00D75405" w:rsidRPr="00B04DC3">
        <w:t>Figure 14</w:t>
      </w:r>
      <w:bookmarkEnd w:id="335"/>
      <w:bookmarkEnd w:id="336"/>
      <w:bookmarkEnd w:id="337"/>
    </w:p>
    <w:p w:rsidR="00D75405" w:rsidRPr="00B04DC3" w:rsidRDefault="00D75405" w:rsidP="00BD29C3">
      <w:pPr>
        <w:pStyle w:val="Heading1"/>
        <w:spacing w:after="40"/>
        <w:rPr>
          <w:b/>
        </w:rPr>
      </w:pPr>
      <w:bookmarkStart w:id="338" w:name="_Toc399939967"/>
      <w:bookmarkStart w:id="339" w:name="_Toc423599556"/>
      <w:bookmarkStart w:id="340" w:name="_Toc423610964"/>
      <w:r w:rsidRPr="00B04DC3">
        <w:rPr>
          <w:b/>
        </w:rPr>
        <w:t>Partial flow dilution system with CO</w:t>
      </w:r>
      <w:r w:rsidRPr="00B04DC3">
        <w:rPr>
          <w:b/>
          <w:vertAlign w:val="subscript"/>
        </w:rPr>
        <w:t>2</w:t>
      </w:r>
      <w:r w:rsidRPr="00B04DC3">
        <w:rPr>
          <w:b/>
        </w:rPr>
        <w:t xml:space="preserve"> concentration measurement, </w:t>
      </w:r>
      <w:r w:rsidRPr="00B04DC3">
        <w:rPr>
          <w:b/>
        </w:rPr>
        <w:br/>
        <w:t>carbon balance and total sampling</w:t>
      </w:r>
      <w:bookmarkEnd w:id="338"/>
      <w:bookmarkEnd w:id="339"/>
      <w:bookmarkEnd w:id="340"/>
    </w:p>
    <w:p w:rsidR="00D75405" w:rsidRPr="00B04DC3" w:rsidRDefault="00A905B7" w:rsidP="00BD29C3">
      <w:pPr>
        <w:pStyle w:val="NormalCentered"/>
        <w:numPr>
          <w:ilvl w:val="0"/>
          <w:numId w:val="0"/>
        </w:numPr>
        <w:spacing w:before="0" w:after="0"/>
        <w:ind w:left="1134"/>
        <w:jc w:val="left"/>
      </w:pPr>
      <w:r>
        <w:pict>
          <v:shape id="_x0000_i1200" type="#_x0000_t75" style="width:387.6pt;height:228.6pt" fillcolor="window">
            <v:imagedata r:id="rId331"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sampling probe SP and the transfer tube TT. The CO</w:t>
      </w:r>
      <w:r w:rsidRPr="00B04DC3">
        <w:rPr>
          <w:vertAlign w:val="subscript"/>
        </w:rPr>
        <w:t>2</w:t>
      </w:r>
      <w:r w:rsidRPr="00B04DC3">
        <w:t xml:space="preserve"> concentrations are measured in the diluted exhaust gas and in the diluent with the exhaust gas analyzer(s) EGA. The CO</w:t>
      </w:r>
      <w:r w:rsidRPr="00B04DC3">
        <w:rPr>
          <w:vertAlign w:val="subscript"/>
        </w:rPr>
        <w:t>2</w:t>
      </w:r>
      <w:r w:rsidRPr="00B04DC3">
        <w:t xml:space="preserve"> and fuel flow G</w:t>
      </w:r>
      <w:r w:rsidRPr="00B04DC3">
        <w:rPr>
          <w:vertAlign w:val="subscript"/>
        </w:rPr>
        <w:t>FUEL</w:t>
      </w:r>
      <w:r w:rsidRPr="00B04DC3">
        <w:t xml:space="preserve"> signals are transmitted either to the flow controller FC2, or to the flow controller FC3 of the particulate sampling system (see </w:t>
      </w:r>
      <w:r w:rsidR="00313D4E" w:rsidRPr="00B04DC3">
        <w:t>Figure</w:t>
      </w:r>
      <w:r w:rsidRPr="00B04DC3">
        <w:t xml:space="preserve"> 21). FC2 controls the pressure blower PB, FC3 the sampling pump P (see </w:t>
      </w:r>
      <w:r w:rsidR="00313D4E" w:rsidRPr="00B04DC3">
        <w:t>Figure</w:t>
      </w:r>
      <w:r w:rsidRPr="00B04DC3">
        <w:t xml:space="preserve"> 21), thereby adjusting the flows into and out of the system so as to maintain the desired exhaust split and dilution ratio in DT. The dilution ratio is calculated from the CO</w:t>
      </w:r>
      <w:r w:rsidRPr="00B04DC3">
        <w:rPr>
          <w:vertAlign w:val="subscript"/>
        </w:rPr>
        <w:t>2</w:t>
      </w:r>
      <w:r w:rsidRPr="00B04DC3">
        <w:t xml:space="preserve"> concentrations and G</w:t>
      </w:r>
      <w:r w:rsidRPr="00B04DC3">
        <w:rPr>
          <w:vertAlign w:val="subscript"/>
        </w:rPr>
        <w:t>FUEL</w:t>
      </w:r>
      <w:r w:rsidRPr="00B04DC3">
        <w:t xml:space="preserve"> using the carbon balance assumption.</w:t>
      </w:r>
    </w:p>
    <w:p w:rsidR="00D75405" w:rsidRPr="00B04DC3" w:rsidRDefault="00933DA1" w:rsidP="00D75405">
      <w:pPr>
        <w:pStyle w:val="Heading1"/>
      </w:pPr>
      <w:r w:rsidRPr="00B04DC3">
        <w:br w:type="page"/>
      </w:r>
      <w:bookmarkStart w:id="341" w:name="_Toc399939968"/>
      <w:bookmarkStart w:id="342" w:name="_Toc423599557"/>
      <w:bookmarkStart w:id="343" w:name="_Toc423610965"/>
      <w:r w:rsidR="00D75405" w:rsidRPr="00B04DC3">
        <w:t>Figure 15</w:t>
      </w:r>
      <w:bookmarkEnd w:id="341"/>
      <w:bookmarkEnd w:id="342"/>
      <w:bookmarkEnd w:id="343"/>
    </w:p>
    <w:p w:rsidR="00D75405" w:rsidRPr="00B04DC3" w:rsidRDefault="00D75405" w:rsidP="00BD29C3">
      <w:pPr>
        <w:pStyle w:val="Heading1"/>
        <w:spacing w:after="40"/>
        <w:ind w:right="1134"/>
      </w:pPr>
      <w:bookmarkStart w:id="344" w:name="_Toc399939969"/>
      <w:bookmarkStart w:id="345" w:name="_Toc423599558"/>
      <w:bookmarkStart w:id="346" w:name="_Toc423610966"/>
      <w:r w:rsidRPr="00B04DC3">
        <w:rPr>
          <w:b/>
        </w:rPr>
        <w:t>Partial flow dilution system with single venturi,</w:t>
      </w:r>
      <w:bookmarkEnd w:id="344"/>
      <w:r w:rsidRPr="00B04DC3">
        <w:rPr>
          <w:b/>
        </w:rPr>
        <w:t xml:space="preserve"> </w:t>
      </w:r>
      <w:bookmarkStart w:id="347" w:name="_Toc399939970"/>
      <w:r w:rsidRPr="00B04DC3">
        <w:rPr>
          <w:b/>
        </w:rPr>
        <w:t>concentration measurement and fractional sampling</w:t>
      </w:r>
      <w:bookmarkEnd w:id="347"/>
      <w:bookmarkEnd w:id="345"/>
      <w:bookmarkEnd w:id="346"/>
    </w:p>
    <w:p w:rsidR="00D75405" w:rsidRPr="00B04DC3" w:rsidRDefault="00A905B7" w:rsidP="00BD29C3">
      <w:pPr>
        <w:pStyle w:val="NormalCentered"/>
        <w:numPr>
          <w:ilvl w:val="0"/>
          <w:numId w:val="0"/>
        </w:numPr>
        <w:spacing w:before="0" w:after="240"/>
        <w:ind w:left="1134"/>
        <w:jc w:val="left"/>
      </w:pPr>
      <w:r>
        <w:pict>
          <v:shape id="_x0000_i1201" type="#_x0000_t75" style="width:424.2pt;height:239.4pt" fillcolor="window">
            <v:imagedata r:id="rId332"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sampling probe SP and the transfer tube TT due to the negative pressure created by the venturi VN in DT. The gas flow rate through TT depends on the momentum exchange at the venturi zone, and is therefore affected by the absolute temperature of the gas at the exit of TT. Consequently, the exhaust split for a given tunnel flow rate is not constant, and the dilution ratio at low load is slightly lower than at high load. The tracer gas concentrations (CO</w:t>
      </w:r>
      <w:r w:rsidRPr="00B04DC3">
        <w:rPr>
          <w:vertAlign w:val="subscript"/>
        </w:rPr>
        <w:t>2</w:t>
      </w:r>
      <w:r w:rsidRPr="00B04DC3">
        <w:t xml:space="preserve"> or NO</w:t>
      </w:r>
      <w:r w:rsidRPr="00B04DC3">
        <w:rPr>
          <w:vertAlign w:val="subscript"/>
        </w:rPr>
        <w:t>x</w:t>
      </w:r>
      <w:r w:rsidRPr="00B04DC3">
        <w:t>) are measured in the raw exhaust gas, the diluted exhaust gas, and the diluent with the exhaust gas analyzer(s) EGA, and the dilution ratio is calculated from the values so measured.</w:t>
      </w:r>
    </w:p>
    <w:p w:rsidR="00D75405" w:rsidRPr="00B04DC3" w:rsidRDefault="00933DA1" w:rsidP="00D75405">
      <w:pPr>
        <w:pStyle w:val="Heading1"/>
      </w:pPr>
      <w:r w:rsidRPr="00B04DC3">
        <w:br w:type="page"/>
      </w:r>
      <w:bookmarkStart w:id="348" w:name="_Toc399939971"/>
      <w:bookmarkStart w:id="349" w:name="_Toc423599559"/>
      <w:bookmarkStart w:id="350" w:name="_Toc423610967"/>
      <w:r w:rsidR="00D75405" w:rsidRPr="00B04DC3">
        <w:t>Figure 16</w:t>
      </w:r>
      <w:bookmarkEnd w:id="348"/>
      <w:bookmarkEnd w:id="349"/>
      <w:bookmarkEnd w:id="350"/>
    </w:p>
    <w:p w:rsidR="00D75405" w:rsidRPr="00B04DC3" w:rsidRDefault="00D75405" w:rsidP="00BD29C3">
      <w:pPr>
        <w:pStyle w:val="Heading1"/>
        <w:spacing w:after="40"/>
        <w:ind w:right="1134"/>
      </w:pPr>
      <w:bookmarkStart w:id="351" w:name="_Toc399939972"/>
      <w:bookmarkStart w:id="352" w:name="_Toc423599560"/>
      <w:bookmarkStart w:id="353" w:name="_Toc423610968"/>
      <w:r w:rsidRPr="00B04DC3">
        <w:rPr>
          <w:b/>
        </w:rPr>
        <w:t>Partial flow dilution system with twin venturi or twin orifice,</w:t>
      </w:r>
      <w:bookmarkEnd w:id="351"/>
      <w:r w:rsidRPr="00B04DC3">
        <w:rPr>
          <w:b/>
        </w:rPr>
        <w:t xml:space="preserve"> </w:t>
      </w:r>
      <w:bookmarkStart w:id="354" w:name="_Toc399939973"/>
      <w:r w:rsidRPr="00B04DC3">
        <w:rPr>
          <w:b/>
        </w:rPr>
        <w:t>concentration measurement and fractional sampling</w:t>
      </w:r>
      <w:bookmarkEnd w:id="354"/>
      <w:bookmarkEnd w:id="352"/>
      <w:bookmarkEnd w:id="353"/>
    </w:p>
    <w:p w:rsidR="00D75405" w:rsidRPr="00B04DC3" w:rsidRDefault="00A905B7" w:rsidP="00BD29C3">
      <w:pPr>
        <w:pStyle w:val="NormalCentered"/>
        <w:numPr>
          <w:ilvl w:val="0"/>
          <w:numId w:val="0"/>
        </w:numPr>
        <w:spacing w:before="0" w:after="0"/>
        <w:ind w:left="1134"/>
        <w:jc w:val="left"/>
      </w:pPr>
      <w:r>
        <w:pict>
          <v:shape id="_x0000_i1202" type="#_x0000_t75" style="width:424.2pt;height:273.6pt" fillcolor="window">
            <v:imagedata r:id="rId333"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sampling probe SP and the transfer tube TT by a flow divider that contains a set of orifices or venturis. The first one (FD1) is located in EP, the second one (FD2) in TT. Additionally, two pressure control valves (PCV1 and PCV2) are necessary to maintain a constant exhaust split by controlling the backpressure in EP and the pressure in DT. PCV1 is located downstream of SP in EP, PCV2 between the pressure blower PB and DT. The tracer gas concentrations (CO</w:t>
      </w:r>
      <w:r w:rsidRPr="00B04DC3">
        <w:rPr>
          <w:vertAlign w:val="subscript"/>
        </w:rPr>
        <w:t>2</w:t>
      </w:r>
      <w:r w:rsidRPr="00B04DC3">
        <w:t xml:space="preserve"> or NO</w:t>
      </w:r>
      <w:r w:rsidRPr="00B04DC3">
        <w:rPr>
          <w:vertAlign w:val="subscript"/>
        </w:rPr>
        <w:t>x</w:t>
      </w:r>
      <w:r w:rsidRPr="00B04DC3">
        <w:t>) are measured in the raw exhaust gas, the diluted exhaust gas, and the diluent with the exhaust gas analyzer(s) EGA. They are necessary for checking the exhaust split, and may be used to adjust PCV1 and PCV2 for precise split control. The dilution ratio is calculated from the tracer gas concentrations.</w:t>
      </w:r>
    </w:p>
    <w:p w:rsidR="00D75405" w:rsidRPr="00B04DC3" w:rsidRDefault="00933DA1" w:rsidP="00D75405">
      <w:pPr>
        <w:pStyle w:val="Heading1"/>
      </w:pPr>
      <w:r w:rsidRPr="00B04DC3">
        <w:br w:type="page"/>
      </w:r>
      <w:bookmarkStart w:id="355" w:name="_Toc399939974"/>
      <w:bookmarkStart w:id="356" w:name="_Toc423599561"/>
      <w:bookmarkStart w:id="357" w:name="_Toc423610969"/>
      <w:r w:rsidR="00D75405" w:rsidRPr="00B04DC3">
        <w:t>Figure 17</w:t>
      </w:r>
      <w:bookmarkEnd w:id="355"/>
      <w:bookmarkEnd w:id="356"/>
      <w:bookmarkEnd w:id="357"/>
    </w:p>
    <w:p w:rsidR="00D75405" w:rsidRPr="00B04DC3" w:rsidRDefault="00D75405" w:rsidP="00BD29C3">
      <w:pPr>
        <w:pStyle w:val="Heading1"/>
        <w:spacing w:after="40"/>
        <w:ind w:right="1134"/>
        <w:rPr>
          <w:b/>
        </w:rPr>
      </w:pPr>
      <w:bookmarkStart w:id="358" w:name="_Toc399939975"/>
      <w:bookmarkStart w:id="359" w:name="_Toc423599562"/>
      <w:bookmarkStart w:id="360" w:name="_Toc423610970"/>
      <w:r w:rsidRPr="00B04DC3">
        <w:rPr>
          <w:b/>
        </w:rPr>
        <w:t>Partial flow dilution system with multiple tube splitting,</w:t>
      </w:r>
      <w:bookmarkEnd w:id="358"/>
      <w:r w:rsidRPr="00B04DC3">
        <w:rPr>
          <w:b/>
        </w:rPr>
        <w:t xml:space="preserve"> </w:t>
      </w:r>
      <w:bookmarkStart w:id="361" w:name="_Toc399939976"/>
      <w:r w:rsidRPr="00B04DC3">
        <w:rPr>
          <w:b/>
        </w:rPr>
        <w:t>concentration measurement and fractional sampling</w:t>
      </w:r>
      <w:bookmarkEnd w:id="361"/>
      <w:bookmarkEnd w:id="359"/>
      <w:bookmarkEnd w:id="360"/>
    </w:p>
    <w:p w:rsidR="00D75405" w:rsidRPr="00B04DC3" w:rsidRDefault="00A905B7" w:rsidP="00BD29C3">
      <w:pPr>
        <w:pStyle w:val="NormalCentered"/>
        <w:numPr>
          <w:ilvl w:val="0"/>
          <w:numId w:val="0"/>
        </w:numPr>
        <w:spacing w:before="0" w:after="0"/>
        <w:ind w:left="1134"/>
        <w:jc w:val="left"/>
      </w:pPr>
      <w:r>
        <w:pict>
          <v:shape id="_x0000_i1203" type="#_x0000_t75" style="width:424.2pt;height:243.6pt" fillcolor="window">
            <v:imagedata r:id="rId334"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transfer tube TT by the flow divider FD3 that consists of a number of tubes of the same dimensions (same diameter, length and bend radius) installed in EP. The exhaust gas through one of these tubes is lead to DT, and the exhaust gas through the rest of the tubes is passed through the damping chamber DC. Thus, the exhaust split is determined by the total number of tubes. A constant split control requires a differential pressure of zero between DC and the outlet of TT, which is measured with the differential pressure transducer DPT. A differential pressure of zero is achieved by injecting fresh air into DT at the outlet of TT. The tracer gas concentrations (CO</w:t>
      </w:r>
      <w:r w:rsidRPr="00B04DC3">
        <w:rPr>
          <w:vertAlign w:val="subscript"/>
        </w:rPr>
        <w:t>2</w:t>
      </w:r>
      <w:r w:rsidRPr="00B04DC3">
        <w:t xml:space="preserve"> or NO</w:t>
      </w:r>
      <w:r w:rsidRPr="00B04DC3">
        <w:rPr>
          <w:vertAlign w:val="subscript"/>
        </w:rPr>
        <w:t>x</w:t>
      </w:r>
      <w:r w:rsidRPr="00B04DC3">
        <w:t>) are measured in the raw exhaust gas, the diluted exhaust gas, and the diluent with the exhaust gas analyzer(s) EGA. They are necessary for checking the exhaust split and may be used to control the injection air flow rate for precise split control. The dilution ratio is calculated from the tracer gas concentrations.</w:t>
      </w:r>
    </w:p>
    <w:p w:rsidR="00D75405" w:rsidRPr="00B04DC3" w:rsidRDefault="00933DA1" w:rsidP="00D75405">
      <w:pPr>
        <w:pStyle w:val="Heading1"/>
      </w:pPr>
      <w:r w:rsidRPr="00B04DC3">
        <w:br w:type="page"/>
      </w:r>
      <w:bookmarkStart w:id="362" w:name="_Toc399939977"/>
      <w:bookmarkStart w:id="363" w:name="_Toc423599563"/>
      <w:bookmarkStart w:id="364" w:name="_Toc423610971"/>
      <w:r w:rsidR="00D75405" w:rsidRPr="00B04DC3">
        <w:t>Figure 18</w:t>
      </w:r>
      <w:bookmarkEnd w:id="362"/>
      <w:bookmarkEnd w:id="363"/>
      <w:bookmarkEnd w:id="364"/>
    </w:p>
    <w:p w:rsidR="00D75405" w:rsidRPr="00B04DC3" w:rsidRDefault="00D75405" w:rsidP="00BD29C3">
      <w:pPr>
        <w:pStyle w:val="Heading1"/>
        <w:spacing w:after="40"/>
        <w:rPr>
          <w:b/>
        </w:rPr>
      </w:pPr>
      <w:bookmarkStart w:id="365" w:name="_Toc399939978"/>
      <w:bookmarkStart w:id="366" w:name="_Toc423599564"/>
      <w:bookmarkStart w:id="367" w:name="_Toc423610972"/>
      <w:r w:rsidRPr="00B04DC3">
        <w:rPr>
          <w:b/>
        </w:rPr>
        <w:t>Partial flow dilution system with flow control and total sampling</w:t>
      </w:r>
      <w:bookmarkEnd w:id="365"/>
      <w:bookmarkEnd w:id="366"/>
      <w:bookmarkEnd w:id="367"/>
    </w:p>
    <w:p w:rsidR="00D75405" w:rsidRPr="00B04DC3" w:rsidRDefault="00A905B7" w:rsidP="00BD29C3">
      <w:pPr>
        <w:pStyle w:val="NormalCentered"/>
        <w:numPr>
          <w:ilvl w:val="0"/>
          <w:numId w:val="0"/>
        </w:numPr>
        <w:spacing w:before="0" w:after="0"/>
        <w:ind w:left="1134"/>
        <w:jc w:val="left"/>
      </w:pPr>
      <w:r>
        <w:pict>
          <v:shape id="_x0000_i1204" type="#_x0000_t75" style="width:424.2pt;height:240.6pt" fillcolor="window">
            <v:imagedata r:id="rId335" o:title=""/>
          </v:shape>
        </w:pict>
      </w:r>
    </w:p>
    <w:p w:rsidR="00D75405" w:rsidRPr="00B04DC3" w:rsidRDefault="00D75405" w:rsidP="00D75405">
      <w:pPr>
        <w:pStyle w:val="SingleTxtG"/>
        <w:spacing w:before="240"/>
        <w:ind w:left="2268"/>
      </w:pPr>
      <w:r w:rsidRPr="00B04DC3">
        <w:tab/>
      </w:r>
      <w:r w:rsidRPr="00B04DC3">
        <w:tab/>
        <w:t xml:space="preserve">Raw exhaust gas is transferred from the exhaust pipe EP to the dilution tunnel DT through the sampling probe SP and the transfer tube TT. The total flow through the tunnel is adjusted with the flow controller FC3 and the sampling pump P of the particulate sampling system (see </w:t>
      </w:r>
      <w:r w:rsidR="00313D4E" w:rsidRPr="00B04DC3">
        <w:t>Figure</w:t>
      </w:r>
      <w:r w:rsidRPr="00B04DC3">
        <w:t xml:space="preserve"> 18). The diluent flow is controlled by the flow controller FC2, which may use G</w:t>
      </w:r>
      <w:r w:rsidRPr="00B04DC3">
        <w:rPr>
          <w:vertAlign w:val="subscript"/>
        </w:rPr>
        <w:t>EXHW</w:t>
      </w:r>
      <w:r w:rsidRPr="00B04DC3">
        <w:t>, G</w:t>
      </w:r>
      <w:r w:rsidRPr="00B04DC3">
        <w:rPr>
          <w:vertAlign w:val="subscript"/>
        </w:rPr>
        <w:t>AIRW</w:t>
      </w:r>
      <w:r w:rsidRPr="00B04DC3">
        <w:t>, or G</w:t>
      </w:r>
      <w:r w:rsidRPr="00B04DC3">
        <w:rPr>
          <w:vertAlign w:val="subscript"/>
        </w:rPr>
        <w:t>FUEL</w:t>
      </w:r>
      <w:r w:rsidRPr="00B04DC3">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w:t>
      </w:r>
      <w:r w:rsidR="00313D4E" w:rsidRPr="00B04DC3">
        <w:t>Figure</w:t>
      </w:r>
      <w:r w:rsidRPr="00B04DC3">
        <w:t> 21). The dilution ratio is calculated from these two flow rates.</w:t>
      </w:r>
    </w:p>
    <w:p w:rsidR="00D75405" w:rsidRPr="00B04DC3" w:rsidRDefault="00933DA1" w:rsidP="00D75405">
      <w:pPr>
        <w:pStyle w:val="Heading1"/>
      </w:pPr>
      <w:r w:rsidRPr="00B04DC3">
        <w:br w:type="page"/>
      </w:r>
      <w:bookmarkStart w:id="368" w:name="_Toc399939979"/>
      <w:bookmarkStart w:id="369" w:name="_Toc423599565"/>
      <w:bookmarkStart w:id="370" w:name="_Toc423610973"/>
      <w:r w:rsidR="00D75405" w:rsidRPr="00B04DC3">
        <w:t>Figure 19</w:t>
      </w:r>
      <w:bookmarkEnd w:id="368"/>
      <w:bookmarkEnd w:id="369"/>
      <w:bookmarkEnd w:id="370"/>
    </w:p>
    <w:p w:rsidR="00D75405" w:rsidRPr="00B04DC3" w:rsidRDefault="00D75405" w:rsidP="00BD29C3">
      <w:pPr>
        <w:pStyle w:val="Heading1"/>
        <w:spacing w:after="40"/>
        <w:rPr>
          <w:b/>
        </w:rPr>
      </w:pPr>
      <w:bookmarkStart w:id="371" w:name="_Toc399939980"/>
      <w:bookmarkStart w:id="372" w:name="_Toc423599566"/>
      <w:bookmarkStart w:id="373" w:name="_Toc423610974"/>
      <w:r w:rsidRPr="00B04DC3">
        <w:rPr>
          <w:b/>
        </w:rPr>
        <w:t>Partial flow dilution system with flow control and fractional sampling</w:t>
      </w:r>
      <w:bookmarkEnd w:id="371"/>
      <w:bookmarkEnd w:id="372"/>
      <w:bookmarkEnd w:id="373"/>
    </w:p>
    <w:p w:rsidR="00D75405" w:rsidRPr="00B04DC3" w:rsidRDefault="00A905B7" w:rsidP="00BD29C3">
      <w:pPr>
        <w:pStyle w:val="NormalCentered"/>
        <w:numPr>
          <w:ilvl w:val="0"/>
          <w:numId w:val="0"/>
        </w:numPr>
        <w:spacing w:before="0" w:after="0"/>
        <w:ind w:left="1134"/>
        <w:jc w:val="left"/>
      </w:pPr>
      <w:r>
        <w:pict>
          <v:shape id="_x0000_i1205" type="#_x0000_t75" style="width:405.6pt;height:240.6pt" fillcolor="window">
            <v:imagedata r:id="rId336" o:title=""/>
          </v:shape>
        </w:pict>
      </w:r>
    </w:p>
    <w:p w:rsidR="00D75405" w:rsidRPr="00B04DC3" w:rsidRDefault="00D75405" w:rsidP="00D75405">
      <w:pPr>
        <w:pStyle w:val="SingleTxtG"/>
        <w:spacing w:before="240"/>
        <w:ind w:left="2268"/>
      </w:pPr>
      <w:r w:rsidRPr="00B04DC3">
        <w:tab/>
      </w:r>
      <w:r w:rsidRPr="00B04DC3">
        <w:tab/>
        <w:t>Raw exhaust gas is transferred from the exhaust pipe EP to the dilution tunnel DT through the sampling probe SP and the transfer tube TT. The exhaust split and the flow into DT is controlled by the flow controller FC2 that adjusts the flows (or speeds) of the pressure blower PB and the suction blower SB, accordingly. This is possible since the sample taken with the particulate sampling system is returned into DT. G</w:t>
      </w:r>
      <w:r w:rsidRPr="00B04DC3">
        <w:rPr>
          <w:vertAlign w:val="subscript"/>
        </w:rPr>
        <w:t>EXHW</w:t>
      </w:r>
      <w:r w:rsidRPr="00B04DC3">
        <w:t>, G</w:t>
      </w:r>
      <w:r w:rsidRPr="00B04DC3">
        <w:rPr>
          <w:vertAlign w:val="subscript"/>
        </w:rPr>
        <w:t>AIRW</w:t>
      </w:r>
      <w:r w:rsidRPr="00B04DC3">
        <w:t>, or G</w:t>
      </w:r>
      <w:r w:rsidRPr="00B04DC3">
        <w:rPr>
          <w:vertAlign w:val="subscript"/>
        </w:rPr>
        <w:t>FUEL</w:t>
      </w:r>
      <w:r w:rsidRPr="00B04DC3">
        <w:t xml:space="preserve"> may be used as command signals for FC2. The diluent flow rate is measured with the flow measurement device FM1, the total flow with the flow measurement device FM2. The dilution ratio is calculated from these two flow rates.</w:t>
      </w:r>
    </w:p>
    <w:p w:rsidR="00D75405" w:rsidRPr="00B04DC3" w:rsidRDefault="00D75405" w:rsidP="00D75405">
      <w:pPr>
        <w:pStyle w:val="para"/>
        <w:rPr>
          <w:lang w:val="en-GB"/>
        </w:rPr>
      </w:pPr>
      <w:r w:rsidRPr="00B04DC3">
        <w:rPr>
          <w:lang w:val="en-GB"/>
        </w:rPr>
        <w:t>2.2.1.</w:t>
      </w:r>
      <w:r w:rsidRPr="00B04DC3">
        <w:rPr>
          <w:lang w:val="en-GB"/>
        </w:rPr>
        <w:tab/>
        <w:t xml:space="preserve">Components of </w:t>
      </w:r>
      <w:r w:rsidR="00313D4E" w:rsidRPr="00B04DC3">
        <w:rPr>
          <w:lang w:val="en-GB"/>
        </w:rPr>
        <w:t>Figure</w:t>
      </w:r>
      <w:r w:rsidRPr="00B04DC3">
        <w:rPr>
          <w:lang w:val="en-GB"/>
        </w:rPr>
        <w:t>s 11 to 19</w:t>
      </w:r>
    </w:p>
    <w:p w:rsidR="00D75405" w:rsidRPr="00B04DC3" w:rsidRDefault="00D75405" w:rsidP="00D75405">
      <w:pPr>
        <w:pStyle w:val="para"/>
        <w:rPr>
          <w:lang w:val="en-GB"/>
        </w:rPr>
      </w:pPr>
      <w:r w:rsidRPr="00B04DC3">
        <w:rPr>
          <w:lang w:val="en-GB"/>
        </w:rPr>
        <w:tab/>
        <w:t>EP exhaust pipe</w:t>
      </w:r>
    </w:p>
    <w:p w:rsidR="00D75405" w:rsidRPr="00B04DC3" w:rsidRDefault="00D75405" w:rsidP="00D75405">
      <w:pPr>
        <w:pStyle w:val="para"/>
        <w:rPr>
          <w:lang w:val="en-GB"/>
        </w:rPr>
      </w:pPr>
      <w:r w:rsidRPr="00B04DC3">
        <w:rPr>
          <w:lang w:val="en-GB"/>
        </w:rPr>
        <w:tab/>
        <w:t>The exhaust pipe may be insulated. To reduce the thermal inertia of the exhaust pipe a thickness to diameter ratio of 0.015 or less is recommended. The use of flexible sections shall be limited to a length to diameter ratio of 12 or less. Bends shall be minimized to reduce inertial deposition. If the system includes a test bed silencer the silencer may also be insulated.</w:t>
      </w:r>
    </w:p>
    <w:p w:rsidR="00D75405" w:rsidRPr="00B04DC3" w:rsidRDefault="00D75405" w:rsidP="00D75405">
      <w:pPr>
        <w:pStyle w:val="para"/>
        <w:rPr>
          <w:lang w:val="en-GB"/>
        </w:rPr>
      </w:pPr>
      <w:r w:rsidRPr="00B04DC3">
        <w:rPr>
          <w:lang w:val="en-GB"/>
        </w:rPr>
        <w:tab/>
        <w:t xml:space="preserve">For an isokinetic system, the exhaust pipe shall be free of elbows, bends and sudden diameter changes for at least 6-pipe diameters upstream and 33-pipe diameters downstream of the tip of the probe. The gas velocity at the sampling zone shall be higher than 10 m/s except at idle mode. Pressure oscillations of the exhaust gas shall not exceed ±500 Pa on the average. Any steps to reduce pressure oscillations beyond using a chassis-type exhaust system (including silencer and </w:t>
      </w:r>
      <w:r w:rsidR="006A75A0">
        <w:rPr>
          <w:lang w:val="en-GB"/>
        </w:rPr>
        <w:t>after-treatment</w:t>
      </w:r>
      <w:r w:rsidRPr="00B04DC3">
        <w:rPr>
          <w:lang w:val="en-GB"/>
        </w:rPr>
        <w:t xml:space="preserve"> devices) shall not alter engine performance nor cause the deposition of particulates.</w:t>
      </w:r>
    </w:p>
    <w:p w:rsidR="00D75405" w:rsidRPr="00B04DC3" w:rsidRDefault="00D75405" w:rsidP="00D75405">
      <w:pPr>
        <w:pStyle w:val="para"/>
        <w:rPr>
          <w:lang w:val="en-GB"/>
        </w:rPr>
      </w:pPr>
      <w:r w:rsidRPr="00B04DC3">
        <w:rPr>
          <w:lang w:val="en-GB"/>
        </w:rPr>
        <w:tab/>
        <w:t>For systems without isokinetic probe, it is recommended to have a straight pipe of 6-pipe diameters upstream and 3-pipe diameters downstream of the tip of the probe.</w:t>
      </w:r>
    </w:p>
    <w:p w:rsidR="00D75405" w:rsidRPr="00B04DC3" w:rsidRDefault="00D75405" w:rsidP="00D75405">
      <w:pPr>
        <w:pStyle w:val="para"/>
        <w:rPr>
          <w:lang w:val="en-GB"/>
        </w:rPr>
      </w:pPr>
      <w:r w:rsidRPr="00B04DC3">
        <w:rPr>
          <w:lang w:val="en-GB"/>
        </w:rPr>
        <w:tab/>
        <w:t>SP sampling probe (</w:t>
      </w:r>
      <w:r w:rsidR="00313D4E" w:rsidRPr="00B04DC3">
        <w:rPr>
          <w:lang w:val="en-GB"/>
        </w:rPr>
        <w:t>Figure</w:t>
      </w:r>
      <w:r w:rsidRPr="00B04DC3">
        <w:rPr>
          <w:lang w:val="en-GB"/>
        </w:rPr>
        <w:t>s 10, 14, 15, 16, 18 and 19)</w:t>
      </w:r>
    </w:p>
    <w:p w:rsidR="00D75405" w:rsidRPr="00B04DC3" w:rsidRDefault="00D75405" w:rsidP="00D75405">
      <w:pPr>
        <w:pStyle w:val="para"/>
        <w:rPr>
          <w:lang w:val="en-GB"/>
        </w:rPr>
      </w:pPr>
      <w:r w:rsidRPr="00B04DC3">
        <w:rPr>
          <w:lang w:val="en-GB"/>
        </w:rPr>
        <w:tab/>
        <w:t xml:space="preserve">The minimum inside diameter shall be 4 mm. The minimum diameter ratio between exhaust pipe and probe shall be four. The probe shall be an open tube facing upstream on the exhaust pipe centreline, or a multiple hole probe as described under SP1 in paragraph 1.2.1., </w:t>
      </w:r>
      <w:r w:rsidR="00313D4E" w:rsidRPr="00B04DC3">
        <w:rPr>
          <w:lang w:val="en-GB"/>
        </w:rPr>
        <w:t>Figure</w:t>
      </w:r>
      <w:r w:rsidRPr="00B04DC3">
        <w:rPr>
          <w:lang w:val="en-GB"/>
        </w:rPr>
        <w:t xml:space="preserve"> </w:t>
      </w:r>
      <w:r w:rsidR="00A85EFF">
        <w:rPr>
          <w:lang w:val="en-GB"/>
        </w:rPr>
        <w:t>8</w:t>
      </w:r>
      <w:r w:rsidR="00405F93">
        <w:rPr>
          <w:lang w:val="en-GB"/>
        </w:rPr>
        <w:t xml:space="preserve"> of this appendix</w:t>
      </w:r>
      <w:r w:rsidRPr="00B04DC3">
        <w:rPr>
          <w:lang w:val="en-GB"/>
        </w:rPr>
        <w:t>.</w:t>
      </w:r>
    </w:p>
    <w:p w:rsidR="00D75405" w:rsidRPr="00B04DC3" w:rsidRDefault="00D75405" w:rsidP="00D75405">
      <w:pPr>
        <w:pStyle w:val="para"/>
        <w:rPr>
          <w:lang w:val="en-GB"/>
        </w:rPr>
      </w:pPr>
      <w:r w:rsidRPr="00B04DC3">
        <w:rPr>
          <w:lang w:val="en-GB"/>
        </w:rPr>
        <w:tab/>
        <w:t>ISP isokinetic sampling probe (</w:t>
      </w:r>
      <w:r w:rsidR="00313D4E" w:rsidRPr="00B04DC3">
        <w:rPr>
          <w:lang w:val="en-GB"/>
        </w:rPr>
        <w:t>Figure</w:t>
      </w:r>
      <w:r w:rsidRPr="00B04DC3">
        <w:rPr>
          <w:lang w:val="en-GB"/>
        </w:rPr>
        <w:t>s 11 and 12)</w:t>
      </w:r>
    </w:p>
    <w:p w:rsidR="00D75405" w:rsidRPr="00B04DC3" w:rsidRDefault="00D75405" w:rsidP="00D75405">
      <w:pPr>
        <w:pStyle w:val="para"/>
        <w:rPr>
          <w:lang w:val="en-GB"/>
        </w:rPr>
      </w:pPr>
      <w:r w:rsidRPr="00B04DC3">
        <w:rPr>
          <w:lang w:val="en-GB"/>
        </w:rPr>
        <w:tab/>
        <w:t xml:space="preserve">The isokinetic sampling probe shall be installed facing upstream on the exhaust pipe centreline where the flow conditions in </w:t>
      </w:r>
      <w:r w:rsidRPr="00A85EFF">
        <w:rPr>
          <w:lang w:val="en-GB"/>
        </w:rPr>
        <w:t xml:space="preserve">paragraph </w:t>
      </w:r>
      <w:r w:rsidR="00926159">
        <w:rPr>
          <w:lang w:val="en-GB"/>
        </w:rPr>
        <w:t>above</w:t>
      </w:r>
      <w:r w:rsidR="00926159" w:rsidRPr="00B04DC3">
        <w:rPr>
          <w:lang w:val="en-GB"/>
        </w:rPr>
        <w:t xml:space="preserve"> </w:t>
      </w:r>
      <w:r w:rsidRPr="00B04DC3">
        <w:rPr>
          <w:lang w:val="en-GB"/>
        </w:rPr>
        <w:t>are met, and designed to provide a proportional sample of the raw exhaust gas. The minimum inside diameter shall be 12 mm.</w:t>
      </w:r>
    </w:p>
    <w:p w:rsidR="00D75405" w:rsidRPr="00B04DC3" w:rsidRDefault="00D75405" w:rsidP="00D75405">
      <w:pPr>
        <w:pStyle w:val="para"/>
        <w:rPr>
          <w:lang w:val="en-GB"/>
        </w:rPr>
      </w:pPr>
      <w:r w:rsidRPr="00B04DC3">
        <w:rPr>
          <w:lang w:val="en-GB"/>
        </w:rPr>
        <w:tab/>
        <w:t>A control system is necessary for isokinetic exhaust splitting by maintaining a differential pressure of zero between EP and ISP. Under these conditions exhaust gas velocities in EP and ISP are identical and the mass flow through ISP is a constant fraction of the exhaust gas flow. ISP has to be connected to a differential pressure transducer DPT. The control to provide a differential pressure of zero between EP and ISP is done with the flow controller FC1.</w:t>
      </w:r>
    </w:p>
    <w:p w:rsidR="00D75405" w:rsidRPr="00B04DC3" w:rsidRDefault="00D75405" w:rsidP="00D75405">
      <w:pPr>
        <w:pStyle w:val="para"/>
        <w:rPr>
          <w:lang w:val="en-GB"/>
        </w:rPr>
      </w:pPr>
      <w:r w:rsidRPr="00B04DC3">
        <w:rPr>
          <w:lang w:val="en-GB"/>
        </w:rPr>
        <w:tab/>
        <w:t>FD1, FD2 flow divider (</w:t>
      </w:r>
      <w:r w:rsidR="00313D4E" w:rsidRPr="00B04DC3">
        <w:rPr>
          <w:lang w:val="en-GB"/>
        </w:rPr>
        <w:t>Figure</w:t>
      </w:r>
      <w:r w:rsidRPr="00B04DC3">
        <w:rPr>
          <w:lang w:val="en-GB"/>
        </w:rPr>
        <w:t xml:space="preserve"> 16)</w:t>
      </w:r>
    </w:p>
    <w:p w:rsidR="00D75405" w:rsidRPr="00B04DC3" w:rsidRDefault="00D75405" w:rsidP="00D75405">
      <w:pPr>
        <w:pStyle w:val="para"/>
        <w:rPr>
          <w:lang w:val="en-GB"/>
        </w:rPr>
      </w:pPr>
      <w:r w:rsidRPr="00B04DC3">
        <w:rPr>
          <w:lang w:val="en-GB"/>
        </w:rPr>
        <w:tab/>
        <w:t>A set of venturis or orifices is installed in the exhaust pipe EP and in the transfer tube TT, respectively, to provide a proportional sample of the raw exhaust gas. A control system consisting of two pressure control valves PCV1 and PCV2 is necessary for proportional splitting by controlling the pressures in EP and DT.</w:t>
      </w:r>
    </w:p>
    <w:p w:rsidR="00D75405" w:rsidRPr="00B04DC3" w:rsidRDefault="00D75405" w:rsidP="00D75405">
      <w:pPr>
        <w:pStyle w:val="para"/>
        <w:rPr>
          <w:lang w:val="en-GB"/>
        </w:rPr>
      </w:pPr>
      <w:r w:rsidRPr="00B04DC3">
        <w:rPr>
          <w:lang w:val="en-GB"/>
        </w:rPr>
        <w:tab/>
        <w:t>FD3 flow divider (</w:t>
      </w:r>
      <w:r w:rsidR="00313D4E" w:rsidRPr="00B04DC3">
        <w:rPr>
          <w:lang w:val="en-GB"/>
        </w:rPr>
        <w:t>Figure</w:t>
      </w:r>
      <w:r w:rsidRPr="00B04DC3">
        <w:rPr>
          <w:lang w:val="en-GB"/>
        </w:rPr>
        <w:t xml:space="preserve"> 17)</w:t>
      </w:r>
    </w:p>
    <w:p w:rsidR="00D75405" w:rsidRPr="00B04DC3" w:rsidRDefault="00D75405" w:rsidP="00D75405">
      <w:pPr>
        <w:pStyle w:val="para"/>
        <w:rPr>
          <w:lang w:val="en-GB"/>
        </w:rPr>
      </w:pPr>
      <w:r w:rsidRPr="00B04DC3">
        <w:rPr>
          <w:lang w:val="en-GB"/>
        </w:rPr>
        <w:tab/>
        <w:t>A set of tubes (multiple tube unit) is installed in the exhaust pipe EP to provide a proportional sample of the raw exhaust gas. One of the tubes feeds exhaust gas to the dilution tunnel DT, whereas the other tubes exit exhaust gas to a damping chamber DC. The tubes shall have the same dimensions (same diameter, length, bend radius), so that the exhaust split depends on the total number of tubes. A control system is necessary for proportional splitting by maintaining a differential pressure of zero between the exit of the multiple tube unit into DC and the exit of TT. Under these conditions, exhaust gas velocities in EP and FD3 are proportional, and the flow TT is a constant fraction of the exhaust gas flow. The two points have to be connected to a differential pressure transducer DPT. The control to provide a differential pressure of zero is done with the flow controller FC1.</w:t>
      </w:r>
    </w:p>
    <w:p w:rsidR="00D75405" w:rsidRPr="00B04DC3" w:rsidRDefault="00D75405" w:rsidP="00D75405">
      <w:pPr>
        <w:pStyle w:val="para"/>
        <w:rPr>
          <w:lang w:val="en-GB"/>
        </w:rPr>
      </w:pPr>
      <w:r w:rsidRPr="00B04DC3">
        <w:rPr>
          <w:lang w:val="en-GB"/>
        </w:rPr>
        <w:tab/>
        <w:t>EGA exhaust gas analyzer (</w:t>
      </w:r>
      <w:r w:rsidR="00313D4E" w:rsidRPr="00B04DC3">
        <w:rPr>
          <w:lang w:val="en-GB"/>
        </w:rPr>
        <w:t>Figure</w:t>
      </w:r>
      <w:r w:rsidRPr="00B04DC3">
        <w:rPr>
          <w:lang w:val="en-GB"/>
        </w:rPr>
        <w:t>s 13, 14, 15, 16 and 17)</w:t>
      </w:r>
    </w:p>
    <w:p w:rsidR="00D75405" w:rsidRPr="00B04DC3" w:rsidRDefault="00D75405" w:rsidP="00D75405">
      <w:pPr>
        <w:pStyle w:val="para"/>
        <w:rPr>
          <w:lang w:val="en-GB"/>
        </w:rPr>
      </w:pPr>
      <w:r w:rsidRPr="00B04DC3">
        <w:rPr>
          <w:lang w:val="en-GB"/>
        </w:rPr>
        <w:tab/>
        <w:t>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analyzers may be used (with carbon balance method CO</w:t>
      </w:r>
      <w:r w:rsidRPr="00B04DC3">
        <w:rPr>
          <w:vertAlign w:val="subscript"/>
          <w:lang w:val="en-GB"/>
        </w:rPr>
        <w:t>2</w:t>
      </w:r>
      <w:r w:rsidRPr="00B04DC3">
        <w:rPr>
          <w:lang w:val="en-GB"/>
        </w:rPr>
        <w:t xml:space="preserve"> only). The analyzers shall be calibrated like the analyzers for the measurement of the gaseous emissions. One or several analyzers may be used to determine the concentration differences. The accuracy of the measuring systems has to be such that the accuracy of G</w:t>
      </w:r>
      <w:r w:rsidRPr="00B04DC3">
        <w:rPr>
          <w:vertAlign w:val="subscript"/>
          <w:lang w:val="en-GB"/>
        </w:rPr>
        <w:t>EDFW,i</w:t>
      </w:r>
      <w:r w:rsidRPr="00B04DC3">
        <w:rPr>
          <w:lang w:val="en-GB"/>
        </w:rPr>
        <w:t xml:space="preserve"> is within ±4 per cent.</w:t>
      </w:r>
    </w:p>
    <w:p w:rsidR="00D75405" w:rsidRPr="00B04DC3" w:rsidRDefault="00D75405" w:rsidP="00D75405">
      <w:pPr>
        <w:pStyle w:val="para"/>
        <w:rPr>
          <w:lang w:val="en-GB"/>
        </w:rPr>
      </w:pPr>
      <w:r w:rsidRPr="00B04DC3">
        <w:rPr>
          <w:lang w:val="en-GB"/>
        </w:rPr>
        <w:tab/>
      </w:r>
    </w:p>
    <w:p w:rsidR="00D75405" w:rsidRPr="00B04DC3" w:rsidRDefault="00D75405" w:rsidP="00D75405">
      <w:pPr>
        <w:pStyle w:val="para"/>
        <w:ind w:firstLine="0"/>
        <w:rPr>
          <w:lang w:val="en-GB"/>
        </w:rPr>
      </w:pPr>
      <w:r w:rsidRPr="00B04DC3">
        <w:rPr>
          <w:lang w:val="en-GB"/>
        </w:rPr>
        <w:br w:type="page"/>
        <w:t>TT transfer tube (</w:t>
      </w:r>
      <w:r w:rsidR="00313D4E" w:rsidRPr="00B04DC3">
        <w:rPr>
          <w:lang w:val="en-GB"/>
        </w:rPr>
        <w:t>Figure</w:t>
      </w:r>
      <w:r w:rsidRPr="00B04DC3">
        <w:rPr>
          <w:lang w:val="en-GB"/>
        </w:rPr>
        <w:t>s 11 to 19)</w:t>
      </w:r>
    </w:p>
    <w:p w:rsidR="00D75405" w:rsidRPr="00B04DC3" w:rsidRDefault="00D75405" w:rsidP="00D75405">
      <w:pPr>
        <w:pStyle w:val="para"/>
        <w:rPr>
          <w:lang w:val="en-GB"/>
        </w:rPr>
      </w:pPr>
      <w:r w:rsidRPr="00B04DC3">
        <w:rPr>
          <w:lang w:val="en-GB"/>
        </w:rPr>
        <w:tab/>
        <w:t>The transfer tube shall be:</w:t>
      </w:r>
    </w:p>
    <w:p w:rsidR="00D75405" w:rsidRPr="00B04DC3" w:rsidRDefault="00D75405" w:rsidP="00D75405">
      <w:pPr>
        <w:pStyle w:val="a"/>
        <w:rPr>
          <w:lang w:val="en-GB"/>
        </w:rPr>
      </w:pPr>
      <w:r w:rsidRPr="00B04DC3">
        <w:rPr>
          <w:lang w:val="en-GB"/>
        </w:rPr>
        <w:t>(a)</w:t>
      </w:r>
      <w:r w:rsidRPr="00B04DC3">
        <w:rPr>
          <w:lang w:val="en-GB"/>
        </w:rPr>
        <w:tab/>
        <w:t>As short as possible, but not more than 5 m in length.</w:t>
      </w:r>
    </w:p>
    <w:p w:rsidR="00D75405" w:rsidRPr="00B04DC3" w:rsidRDefault="00D75405" w:rsidP="00D75405">
      <w:pPr>
        <w:pStyle w:val="a"/>
        <w:rPr>
          <w:lang w:val="en-GB"/>
        </w:rPr>
      </w:pPr>
      <w:r w:rsidRPr="00B04DC3">
        <w:rPr>
          <w:lang w:val="en-GB"/>
        </w:rPr>
        <w:t>(b)</w:t>
      </w:r>
      <w:r w:rsidRPr="00B04DC3">
        <w:rPr>
          <w:lang w:val="en-GB"/>
        </w:rPr>
        <w:tab/>
        <w:t>Equal to or greater than the probe diameter, but not more than 25 mm in diameter.</w:t>
      </w:r>
    </w:p>
    <w:p w:rsidR="00D75405" w:rsidRPr="00B04DC3" w:rsidRDefault="00D75405" w:rsidP="00D75405">
      <w:pPr>
        <w:pStyle w:val="a"/>
        <w:rPr>
          <w:lang w:val="en-GB"/>
        </w:rPr>
      </w:pPr>
      <w:r w:rsidRPr="00B04DC3">
        <w:rPr>
          <w:lang w:val="en-GB"/>
        </w:rPr>
        <w:t>(c)</w:t>
      </w:r>
      <w:r w:rsidRPr="00B04DC3">
        <w:rPr>
          <w:lang w:val="en-GB"/>
        </w:rPr>
        <w:tab/>
        <w:t>Exiting on the centreline of the dilution tunnel and pointing downstream.</w:t>
      </w:r>
    </w:p>
    <w:p w:rsidR="00D75405" w:rsidRPr="00B04DC3" w:rsidRDefault="00D75405" w:rsidP="00D75405">
      <w:pPr>
        <w:pStyle w:val="para"/>
        <w:rPr>
          <w:lang w:val="en-GB"/>
        </w:rPr>
      </w:pPr>
      <w:r w:rsidRPr="00B04DC3">
        <w:rPr>
          <w:lang w:val="en-GB"/>
        </w:rPr>
        <w:tab/>
        <w:t>If the tube is 1 meter or less in length, it shall be insulated with material with a maximum thermal conductivity of 0.05 W/mK with a radial insulation thickness corresponding to the diameter of the probe. If the tube is longer than 1 meter, it shall be insulated and heated to a minimum wall temperature of 523 K (250 °C).</w:t>
      </w:r>
    </w:p>
    <w:p w:rsidR="00D75405" w:rsidRPr="00B04DC3" w:rsidRDefault="00D75405" w:rsidP="00D75405">
      <w:pPr>
        <w:pStyle w:val="para"/>
        <w:rPr>
          <w:lang w:val="en-GB"/>
        </w:rPr>
      </w:pPr>
      <w:r w:rsidRPr="00B04DC3">
        <w:rPr>
          <w:lang w:val="en-GB"/>
        </w:rPr>
        <w:tab/>
        <w:t>DPT differential pressure transducer (</w:t>
      </w:r>
      <w:r w:rsidR="00313D4E" w:rsidRPr="00B04DC3">
        <w:rPr>
          <w:lang w:val="en-GB"/>
        </w:rPr>
        <w:t>Figure</w:t>
      </w:r>
      <w:r w:rsidRPr="00B04DC3">
        <w:rPr>
          <w:lang w:val="en-GB"/>
        </w:rPr>
        <w:t>s 11, 12 and 17)</w:t>
      </w:r>
    </w:p>
    <w:p w:rsidR="00D75405" w:rsidRPr="00B04DC3" w:rsidRDefault="00D75405" w:rsidP="00D75405">
      <w:pPr>
        <w:pStyle w:val="para"/>
        <w:rPr>
          <w:lang w:val="en-GB"/>
        </w:rPr>
      </w:pPr>
      <w:r w:rsidRPr="00B04DC3">
        <w:rPr>
          <w:lang w:val="en-GB"/>
        </w:rPr>
        <w:tab/>
        <w:t>The differential pressure transducer shall have a range of ±500 Pa or less.</w:t>
      </w:r>
    </w:p>
    <w:p w:rsidR="00D75405" w:rsidRPr="00B04DC3" w:rsidRDefault="00D75405" w:rsidP="00D75405">
      <w:pPr>
        <w:pStyle w:val="para"/>
        <w:rPr>
          <w:lang w:val="en-GB"/>
        </w:rPr>
      </w:pPr>
      <w:r w:rsidRPr="00B04DC3">
        <w:rPr>
          <w:lang w:val="en-GB"/>
        </w:rPr>
        <w:tab/>
        <w:t>FC1 flow controller (</w:t>
      </w:r>
      <w:r w:rsidR="00313D4E" w:rsidRPr="00B04DC3">
        <w:rPr>
          <w:lang w:val="en-GB"/>
        </w:rPr>
        <w:t>Figure</w:t>
      </w:r>
      <w:r w:rsidRPr="00B04DC3">
        <w:rPr>
          <w:lang w:val="en-GB"/>
        </w:rPr>
        <w:t>s 11, 12 and 17)</w:t>
      </w:r>
    </w:p>
    <w:p w:rsidR="00D75405" w:rsidRPr="00B04DC3" w:rsidRDefault="00D75405" w:rsidP="00D75405">
      <w:pPr>
        <w:pStyle w:val="para"/>
        <w:rPr>
          <w:lang w:val="en-GB"/>
        </w:rPr>
      </w:pPr>
      <w:r w:rsidRPr="00B04DC3">
        <w:rPr>
          <w:lang w:val="en-GB"/>
        </w:rPr>
        <w:tab/>
        <w:t>For isokinetic systems (</w:t>
      </w:r>
      <w:r w:rsidR="00313D4E" w:rsidRPr="00B04DC3">
        <w:rPr>
          <w:lang w:val="en-GB"/>
        </w:rPr>
        <w:t>Figure</w:t>
      </w:r>
      <w:r w:rsidRPr="00B04DC3">
        <w:rPr>
          <w:lang w:val="en-GB"/>
        </w:rPr>
        <w:t>s 11 and</w:t>
      </w:r>
      <w:r w:rsidR="00A85EFF">
        <w:rPr>
          <w:lang w:val="en-GB"/>
        </w:rPr>
        <w:t xml:space="preserve"> </w:t>
      </w:r>
      <w:r w:rsidRPr="00B04DC3">
        <w:rPr>
          <w:lang w:val="en-GB"/>
        </w:rPr>
        <w:t>12), a flow controller is necessary to maintain a differential pressure of zero between EP and ISP. The adjustment can be done by:</w:t>
      </w:r>
    </w:p>
    <w:p w:rsidR="00D75405" w:rsidRPr="00B04DC3" w:rsidRDefault="00D75405" w:rsidP="00D75405">
      <w:pPr>
        <w:pStyle w:val="a"/>
        <w:rPr>
          <w:lang w:val="en-GB"/>
        </w:rPr>
      </w:pPr>
      <w:r w:rsidRPr="00B04DC3">
        <w:rPr>
          <w:lang w:val="en-GB"/>
        </w:rPr>
        <w:t>(a)</w:t>
      </w:r>
      <w:r w:rsidRPr="00B04DC3">
        <w:rPr>
          <w:lang w:val="en-GB"/>
        </w:rPr>
        <w:tab/>
        <w:t>Controlling the speed or flow of the suction blower SB and keeping the speed or flow of the pressure blower PB constant during each mode (</w:t>
      </w:r>
      <w:r w:rsidR="00313D4E" w:rsidRPr="00B04DC3">
        <w:rPr>
          <w:lang w:val="en-GB"/>
        </w:rPr>
        <w:t>Figure</w:t>
      </w:r>
      <w:r w:rsidRPr="00B04DC3">
        <w:rPr>
          <w:lang w:val="en-GB"/>
        </w:rPr>
        <w:t xml:space="preserve"> 11) or;</w:t>
      </w:r>
    </w:p>
    <w:p w:rsidR="00D75405" w:rsidRPr="00B04DC3" w:rsidRDefault="00D75405" w:rsidP="00D75405">
      <w:pPr>
        <w:pStyle w:val="a"/>
        <w:rPr>
          <w:lang w:val="en-GB"/>
        </w:rPr>
      </w:pPr>
      <w:r w:rsidRPr="00B04DC3">
        <w:rPr>
          <w:lang w:val="en-GB"/>
        </w:rPr>
        <w:t>(b)</w:t>
      </w:r>
      <w:r w:rsidRPr="00B04DC3">
        <w:rPr>
          <w:lang w:val="en-GB"/>
        </w:rPr>
        <w:tab/>
        <w:t>Adjusting the suction blower SB to a constant mass flow of the diluted exhaust gas and controlling the flow of the pressure blower PB, and therefore the exhaust sample flow in a region at the end of the transfer tube TT (</w:t>
      </w:r>
      <w:r w:rsidR="00313D4E" w:rsidRPr="00B04DC3">
        <w:rPr>
          <w:lang w:val="en-GB"/>
        </w:rPr>
        <w:t>Figure</w:t>
      </w:r>
      <w:r w:rsidRPr="00B04DC3">
        <w:rPr>
          <w:lang w:val="en-GB"/>
        </w:rPr>
        <w:t xml:space="preserve"> 12).</w:t>
      </w:r>
    </w:p>
    <w:p w:rsidR="00D75405" w:rsidRPr="00B04DC3" w:rsidRDefault="00D75405" w:rsidP="00D75405">
      <w:pPr>
        <w:pStyle w:val="para"/>
        <w:rPr>
          <w:lang w:val="en-GB"/>
        </w:rPr>
      </w:pPr>
      <w:r w:rsidRPr="00B04DC3">
        <w:rPr>
          <w:lang w:val="en-GB"/>
        </w:rPr>
        <w:tab/>
        <w:t>In the case of a pressure controlled system the remaining error in the control loop shall not exceed ±3 Pa. The pressure oscillations in the dilution tunnel shall not exceed ±250 Pa on the average.</w:t>
      </w:r>
    </w:p>
    <w:p w:rsidR="00D75405" w:rsidRPr="00B04DC3" w:rsidRDefault="00D75405" w:rsidP="00D75405">
      <w:pPr>
        <w:pStyle w:val="para"/>
        <w:rPr>
          <w:lang w:val="en-GB"/>
        </w:rPr>
      </w:pPr>
      <w:r w:rsidRPr="00B04DC3">
        <w:rPr>
          <w:lang w:val="en-GB"/>
        </w:rPr>
        <w:tab/>
        <w:t>For a multi tube system (</w:t>
      </w:r>
      <w:r w:rsidR="00313D4E" w:rsidRPr="00B04DC3">
        <w:rPr>
          <w:lang w:val="en-GB"/>
        </w:rPr>
        <w:t>Figure</w:t>
      </w:r>
      <w:r w:rsidRPr="00B04DC3">
        <w:rPr>
          <w:lang w:val="en-GB"/>
        </w:rPr>
        <w:t xml:space="preserve"> 17), a flow controller is necessary for proportional exhaust splitting to maintain a differential pressure of zero between the exit of the multi tube unit and the exit of TT. The adjustment is done by controlling the injection air flow rate into DT at the exit of TT.</w:t>
      </w:r>
    </w:p>
    <w:p w:rsidR="00D75405" w:rsidRPr="00B04DC3" w:rsidRDefault="00D75405" w:rsidP="00D75405">
      <w:pPr>
        <w:pStyle w:val="para"/>
        <w:rPr>
          <w:lang w:val="en-GB"/>
        </w:rPr>
      </w:pPr>
      <w:r w:rsidRPr="00B04DC3">
        <w:rPr>
          <w:lang w:val="en-GB"/>
        </w:rPr>
        <w:tab/>
        <w:t>PCV1, PCV2 pressure control valve (</w:t>
      </w:r>
      <w:r w:rsidR="00313D4E" w:rsidRPr="00B04DC3">
        <w:rPr>
          <w:lang w:val="en-GB"/>
        </w:rPr>
        <w:t>Figure</w:t>
      </w:r>
      <w:r w:rsidRPr="00B04DC3">
        <w:rPr>
          <w:lang w:val="en-GB"/>
        </w:rPr>
        <w:t xml:space="preserve"> 16)</w:t>
      </w:r>
    </w:p>
    <w:p w:rsidR="00D75405" w:rsidRPr="00B04DC3" w:rsidRDefault="00D75405" w:rsidP="00D75405">
      <w:pPr>
        <w:pStyle w:val="para"/>
        <w:rPr>
          <w:lang w:val="en-GB"/>
        </w:rPr>
      </w:pPr>
      <w:r w:rsidRPr="00B04DC3">
        <w:rPr>
          <w:lang w:val="en-GB"/>
        </w:rPr>
        <w:tab/>
        <w:t>Two pressure control valves are necessary for the twin venturi/twin orifice system for proportional flow splitting by controlling the backpressure of EP and the pressure in DT. The valves shall be located downstream of SP in EP and between PB and DT.</w:t>
      </w:r>
    </w:p>
    <w:p w:rsidR="00D75405" w:rsidRPr="00B04DC3" w:rsidRDefault="00D75405" w:rsidP="00D75405">
      <w:pPr>
        <w:pStyle w:val="para"/>
        <w:rPr>
          <w:lang w:val="en-GB"/>
        </w:rPr>
      </w:pPr>
      <w:r w:rsidRPr="00B04DC3">
        <w:rPr>
          <w:lang w:val="en-GB"/>
        </w:rPr>
        <w:tab/>
        <w:t>DC damping chamber (</w:t>
      </w:r>
      <w:r w:rsidR="00313D4E" w:rsidRPr="00B04DC3">
        <w:rPr>
          <w:lang w:val="en-GB"/>
        </w:rPr>
        <w:t>Figure</w:t>
      </w:r>
      <w:r w:rsidRPr="00B04DC3">
        <w:rPr>
          <w:lang w:val="en-GB"/>
        </w:rPr>
        <w:t xml:space="preserve"> 17)</w:t>
      </w:r>
    </w:p>
    <w:p w:rsidR="00D75405" w:rsidRPr="00B04DC3" w:rsidRDefault="00D75405" w:rsidP="00D75405">
      <w:pPr>
        <w:pStyle w:val="para"/>
        <w:rPr>
          <w:lang w:val="en-GB"/>
        </w:rPr>
      </w:pPr>
      <w:r w:rsidRPr="00B04DC3">
        <w:rPr>
          <w:lang w:val="en-GB"/>
        </w:rPr>
        <w:tab/>
        <w:t>A damping chamber shall be installed at the exit of the multiple tube unit to minimize the pressure oscillations in the exhaust pipe EP.</w:t>
      </w:r>
    </w:p>
    <w:p w:rsidR="00D75405" w:rsidRPr="00B04DC3" w:rsidRDefault="00D75405" w:rsidP="00D75405">
      <w:pPr>
        <w:pStyle w:val="para"/>
        <w:rPr>
          <w:lang w:val="en-GB"/>
        </w:rPr>
      </w:pPr>
      <w:r w:rsidRPr="00B04DC3">
        <w:rPr>
          <w:lang w:val="en-GB"/>
        </w:rPr>
        <w:tab/>
      </w:r>
    </w:p>
    <w:p w:rsidR="00D75405" w:rsidRPr="00B04DC3" w:rsidRDefault="00D75405" w:rsidP="00933DA1">
      <w:pPr>
        <w:pStyle w:val="para"/>
        <w:ind w:firstLine="0"/>
        <w:rPr>
          <w:lang w:val="en-GB"/>
        </w:rPr>
      </w:pPr>
      <w:r w:rsidRPr="00B04DC3">
        <w:rPr>
          <w:lang w:val="en-GB"/>
        </w:rPr>
        <w:br w:type="page"/>
        <w:t>VN venturi (</w:t>
      </w:r>
      <w:r w:rsidR="00313D4E" w:rsidRPr="00B04DC3">
        <w:rPr>
          <w:lang w:val="en-GB"/>
        </w:rPr>
        <w:t>Figure</w:t>
      </w:r>
      <w:r w:rsidRPr="00B04DC3">
        <w:rPr>
          <w:lang w:val="en-GB"/>
        </w:rPr>
        <w:t xml:space="preserve"> 15)</w:t>
      </w:r>
    </w:p>
    <w:p w:rsidR="00D75405" w:rsidRPr="00B04DC3" w:rsidRDefault="00D75405" w:rsidP="00D75405">
      <w:pPr>
        <w:pStyle w:val="para"/>
        <w:rPr>
          <w:lang w:val="en-GB"/>
        </w:rPr>
      </w:pPr>
      <w:r w:rsidRPr="00B04DC3">
        <w:rPr>
          <w:lang w:val="en-GB"/>
        </w:rPr>
        <w:tab/>
        <w:t>A venturi is installed in the dilution tunnel DT to create a negative pressure in the region of the exit of the transfer tube TT. The gas flow rate through TT is determined by the momentum exchange at the venturi zone, and is basically proportional to the flow rate of the pressure blower PB leading to a constant dilution ratio. Since the momentum exchange is affected by the temperature at the exit of TT and the pressure difference between EP and DT, the actual dilution ratio is slightly lower at low load than at high load.</w:t>
      </w:r>
    </w:p>
    <w:p w:rsidR="00D75405" w:rsidRPr="00B04DC3" w:rsidRDefault="00D75405" w:rsidP="00D75405">
      <w:pPr>
        <w:pStyle w:val="para"/>
        <w:rPr>
          <w:lang w:val="en-GB"/>
        </w:rPr>
      </w:pPr>
      <w:r w:rsidRPr="00B04DC3">
        <w:rPr>
          <w:lang w:val="en-GB"/>
        </w:rPr>
        <w:tab/>
        <w:t>FC2 flow controller (</w:t>
      </w:r>
      <w:r w:rsidR="00313D4E" w:rsidRPr="00B04DC3">
        <w:rPr>
          <w:lang w:val="en-GB"/>
        </w:rPr>
        <w:t>Figure</w:t>
      </w:r>
      <w:r w:rsidRPr="00B04DC3">
        <w:rPr>
          <w:lang w:val="en-GB"/>
        </w:rPr>
        <w:t>s 13, 14, 18 and 19, optional)</w:t>
      </w:r>
    </w:p>
    <w:p w:rsidR="00D75405" w:rsidRPr="00B04DC3" w:rsidRDefault="00D75405" w:rsidP="00D75405">
      <w:pPr>
        <w:pStyle w:val="para"/>
        <w:rPr>
          <w:lang w:val="en-GB"/>
        </w:rPr>
      </w:pPr>
      <w:r w:rsidRPr="00B04DC3">
        <w:rPr>
          <w:lang w:val="en-GB"/>
        </w:rPr>
        <w:tab/>
        <w:t>A flow controller may be used to control the flow of the pressure blower PB and/or the suction blower SB. It may be connected to the exhaust, intake air, or fuel flow signals and/or to the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xml:space="preserve"> differential signals. When using a pressurised air supply (</w:t>
      </w:r>
      <w:r w:rsidR="00313D4E" w:rsidRPr="00B04DC3">
        <w:rPr>
          <w:lang w:val="en-GB"/>
        </w:rPr>
        <w:t>Figure</w:t>
      </w:r>
      <w:r w:rsidRPr="00B04DC3">
        <w:rPr>
          <w:lang w:val="en-GB"/>
        </w:rPr>
        <w:t> 18), FC2 directly controls the air flow.</w:t>
      </w:r>
    </w:p>
    <w:p w:rsidR="00D75405" w:rsidRPr="00B04DC3" w:rsidRDefault="00D75405" w:rsidP="00D75405">
      <w:pPr>
        <w:pStyle w:val="para"/>
        <w:rPr>
          <w:lang w:val="en-GB"/>
        </w:rPr>
      </w:pPr>
      <w:r w:rsidRPr="00B04DC3">
        <w:rPr>
          <w:lang w:val="en-GB"/>
        </w:rPr>
        <w:tab/>
        <w:t>FM1 flow measurement device (</w:t>
      </w:r>
      <w:r w:rsidR="00313D4E" w:rsidRPr="00B04DC3">
        <w:rPr>
          <w:lang w:val="en-GB"/>
        </w:rPr>
        <w:t>Figure</w:t>
      </w:r>
      <w:r w:rsidRPr="00B04DC3">
        <w:rPr>
          <w:lang w:val="en-GB"/>
        </w:rPr>
        <w:t>s 11, 12, 18 and 19)</w:t>
      </w:r>
    </w:p>
    <w:p w:rsidR="00D75405" w:rsidRPr="00B04DC3" w:rsidRDefault="00D75405" w:rsidP="00D75405">
      <w:pPr>
        <w:pStyle w:val="para"/>
        <w:rPr>
          <w:lang w:val="en-GB"/>
        </w:rPr>
      </w:pPr>
      <w:r w:rsidRPr="00B04DC3">
        <w:rPr>
          <w:lang w:val="en-GB"/>
        </w:rPr>
        <w:tab/>
        <w:t>Gas meter or other flow instrumentation to measure the diluent flow. FM1 is optional if the pressure blower PB is calibrated to measure the flow.</w:t>
      </w:r>
    </w:p>
    <w:p w:rsidR="00D75405" w:rsidRPr="00B04DC3" w:rsidRDefault="00D75405" w:rsidP="00D75405">
      <w:pPr>
        <w:pStyle w:val="para"/>
        <w:rPr>
          <w:lang w:val="en-GB"/>
        </w:rPr>
      </w:pPr>
      <w:r w:rsidRPr="00B04DC3">
        <w:rPr>
          <w:lang w:val="en-GB"/>
        </w:rPr>
        <w:tab/>
        <w:t>FM2 flow measurement device (</w:t>
      </w:r>
      <w:r w:rsidR="00313D4E" w:rsidRPr="00B04DC3">
        <w:rPr>
          <w:lang w:val="en-GB"/>
        </w:rPr>
        <w:t>Figure</w:t>
      </w:r>
      <w:r w:rsidRPr="00B04DC3">
        <w:rPr>
          <w:lang w:val="en-GB"/>
        </w:rPr>
        <w:t xml:space="preserve"> 19)</w:t>
      </w:r>
    </w:p>
    <w:p w:rsidR="00D75405" w:rsidRPr="00B04DC3" w:rsidRDefault="00D75405" w:rsidP="00D75405">
      <w:pPr>
        <w:pStyle w:val="para"/>
        <w:rPr>
          <w:lang w:val="en-GB"/>
        </w:rPr>
      </w:pPr>
      <w:r w:rsidRPr="00B04DC3">
        <w:rPr>
          <w:lang w:val="en-GB"/>
        </w:rPr>
        <w:tab/>
        <w:t>Gas meter or other flow instrumentation to measure the diluted exhaust gas flow. FM2 is optional if the suction blower SB is calibrated to measure the flow.</w:t>
      </w:r>
    </w:p>
    <w:p w:rsidR="00D75405" w:rsidRPr="00B04DC3" w:rsidRDefault="00D75405" w:rsidP="00D75405">
      <w:pPr>
        <w:pStyle w:val="para"/>
        <w:rPr>
          <w:lang w:val="en-GB"/>
        </w:rPr>
      </w:pPr>
      <w:r w:rsidRPr="00B04DC3">
        <w:rPr>
          <w:lang w:val="en-GB"/>
        </w:rPr>
        <w:tab/>
        <w:t>PB dressures blower (</w:t>
      </w:r>
      <w:r w:rsidR="00313D4E" w:rsidRPr="00B04DC3">
        <w:rPr>
          <w:lang w:val="en-GB"/>
        </w:rPr>
        <w:t>Figure</w:t>
      </w:r>
      <w:r w:rsidRPr="00B04DC3">
        <w:rPr>
          <w:lang w:val="en-GB"/>
        </w:rPr>
        <w:t>s 11, 12, 13, 14, 15, 16 and 19)</w:t>
      </w:r>
    </w:p>
    <w:p w:rsidR="00D75405" w:rsidRPr="00B04DC3" w:rsidRDefault="00D75405" w:rsidP="00D75405">
      <w:pPr>
        <w:pStyle w:val="para"/>
        <w:rPr>
          <w:lang w:val="en-GB"/>
        </w:rPr>
      </w:pPr>
      <w:r w:rsidRPr="00B04DC3">
        <w:rPr>
          <w:lang w:val="en-GB"/>
        </w:rPr>
        <w:tab/>
        <w:t>To control the diluent flow rate, PB may be connected to the flow controllers FC1 or FC2. PB is not required when using a butterfly valve. PB may be used to to measure the diluent flow, if calibrated.</w:t>
      </w:r>
    </w:p>
    <w:p w:rsidR="00D75405" w:rsidRPr="00B04DC3" w:rsidRDefault="00D75405" w:rsidP="00D75405">
      <w:pPr>
        <w:pStyle w:val="para"/>
        <w:rPr>
          <w:lang w:val="en-GB"/>
        </w:rPr>
      </w:pPr>
      <w:r w:rsidRPr="00B04DC3">
        <w:rPr>
          <w:lang w:val="en-GB"/>
        </w:rPr>
        <w:tab/>
        <w:t>SB suction blower (</w:t>
      </w:r>
      <w:r w:rsidR="00313D4E" w:rsidRPr="00B04DC3">
        <w:rPr>
          <w:lang w:val="en-GB"/>
        </w:rPr>
        <w:t>Figure</w:t>
      </w:r>
      <w:r w:rsidRPr="00B04DC3">
        <w:rPr>
          <w:lang w:val="en-GB"/>
        </w:rPr>
        <w:t>s 11, 12, 13, 16, 17, 19)</w:t>
      </w:r>
    </w:p>
    <w:p w:rsidR="00D75405" w:rsidRPr="00B04DC3" w:rsidRDefault="00D75405" w:rsidP="00D75405">
      <w:pPr>
        <w:pStyle w:val="para"/>
        <w:rPr>
          <w:lang w:val="en-GB"/>
        </w:rPr>
      </w:pPr>
      <w:r w:rsidRPr="00B04DC3">
        <w:rPr>
          <w:lang w:val="en-GB"/>
        </w:rPr>
        <w:tab/>
        <w:t>For fractional sampling systems only. SB may be used to measure the diluted exhaust gas flow, if calibrated.</w:t>
      </w:r>
    </w:p>
    <w:p w:rsidR="00D75405" w:rsidRPr="00B04DC3" w:rsidRDefault="00D75405" w:rsidP="00D75405">
      <w:pPr>
        <w:pStyle w:val="para"/>
        <w:rPr>
          <w:lang w:val="en-GB"/>
        </w:rPr>
      </w:pPr>
      <w:r w:rsidRPr="00B04DC3">
        <w:rPr>
          <w:lang w:val="en-GB"/>
        </w:rPr>
        <w:tab/>
        <w:t>DAF diluent filter (</w:t>
      </w:r>
      <w:r w:rsidR="00313D4E" w:rsidRPr="00B04DC3">
        <w:rPr>
          <w:lang w:val="en-GB"/>
        </w:rPr>
        <w:t>Figure</w:t>
      </w:r>
      <w:r w:rsidRPr="00B04DC3">
        <w:rPr>
          <w:lang w:val="en-GB"/>
        </w:rPr>
        <w:t>s 11 to 19)</w:t>
      </w:r>
    </w:p>
    <w:p w:rsidR="00D75405" w:rsidRPr="00B04DC3" w:rsidRDefault="00D75405" w:rsidP="00D75405">
      <w:pPr>
        <w:pStyle w:val="para"/>
        <w:rPr>
          <w:lang w:val="en-GB"/>
        </w:rPr>
      </w:pPr>
      <w:r w:rsidRPr="00B04DC3">
        <w:rPr>
          <w:lang w:val="en-GB"/>
        </w:rPr>
        <w:tab/>
        <w:t>It is recommended that the diluent be filtered and charcoal scrubbed to eliminate background hydrocarbons. At the engine manufacturers request the diluent shall be sampled according to good engineering practice to determine the background particulate levels, which can then be subtracted from the values measured in the diluted exhaust.</w:t>
      </w:r>
    </w:p>
    <w:p w:rsidR="00D75405" w:rsidRPr="00B04DC3" w:rsidRDefault="00D75405" w:rsidP="00D75405">
      <w:pPr>
        <w:pStyle w:val="para"/>
        <w:rPr>
          <w:lang w:val="en-GB"/>
        </w:rPr>
      </w:pPr>
      <w:r w:rsidRPr="00B04DC3">
        <w:rPr>
          <w:lang w:val="en-GB"/>
        </w:rPr>
        <w:tab/>
        <w:t>DT Dilution tunnel (</w:t>
      </w:r>
      <w:r w:rsidR="00313D4E" w:rsidRPr="00B04DC3">
        <w:rPr>
          <w:lang w:val="en-GB"/>
        </w:rPr>
        <w:t>Figure</w:t>
      </w:r>
      <w:r w:rsidRPr="00B04DC3">
        <w:rPr>
          <w:lang w:val="en-GB"/>
        </w:rPr>
        <w:t>s 11 to 19)</w:t>
      </w:r>
    </w:p>
    <w:p w:rsidR="00D75405" w:rsidRPr="00B04DC3" w:rsidRDefault="00D75405" w:rsidP="00D75405">
      <w:pPr>
        <w:pStyle w:val="para"/>
        <w:rPr>
          <w:lang w:val="en-GB"/>
        </w:rPr>
      </w:pPr>
      <w:r w:rsidRPr="00B04DC3">
        <w:rPr>
          <w:lang w:val="en-GB"/>
        </w:rPr>
        <w:tab/>
        <w:t>The dilution tunnel:</w:t>
      </w:r>
    </w:p>
    <w:p w:rsidR="00D75405" w:rsidRPr="00B04DC3" w:rsidRDefault="00D75405" w:rsidP="00D75405">
      <w:pPr>
        <w:pStyle w:val="a"/>
        <w:rPr>
          <w:lang w:val="en-GB"/>
        </w:rPr>
      </w:pPr>
      <w:r w:rsidRPr="00B04DC3">
        <w:rPr>
          <w:lang w:val="en-GB"/>
        </w:rPr>
        <w:t>(a)</w:t>
      </w:r>
      <w:r w:rsidRPr="00B04DC3">
        <w:rPr>
          <w:lang w:val="en-GB"/>
        </w:rPr>
        <w:tab/>
        <w:t>Shall be of a sufficient length to cause complete mixing of the exhaust and diluent under turbulent flow conditions;</w:t>
      </w:r>
    </w:p>
    <w:p w:rsidR="00D75405" w:rsidRPr="00B04DC3" w:rsidRDefault="00D75405" w:rsidP="00D75405">
      <w:pPr>
        <w:pStyle w:val="a"/>
        <w:rPr>
          <w:lang w:val="en-GB"/>
        </w:rPr>
      </w:pPr>
      <w:r w:rsidRPr="00B04DC3">
        <w:rPr>
          <w:lang w:val="en-GB"/>
        </w:rPr>
        <w:t>(b)</w:t>
      </w:r>
      <w:r w:rsidRPr="00B04DC3">
        <w:rPr>
          <w:lang w:val="en-GB"/>
        </w:rPr>
        <w:tab/>
        <w:t>Shall be constructed of stainless steel with:</w:t>
      </w:r>
    </w:p>
    <w:p w:rsidR="00D75405" w:rsidRPr="00B04DC3" w:rsidRDefault="00D75405" w:rsidP="00D75405">
      <w:pPr>
        <w:pStyle w:val="i"/>
        <w:rPr>
          <w:lang w:val="en-GB"/>
        </w:rPr>
      </w:pPr>
      <w:r w:rsidRPr="00B04DC3">
        <w:rPr>
          <w:lang w:val="en-GB"/>
        </w:rPr>
        <w:t>(i)</w:t>
      </w:r>
      <w:r w:rsidRPr="00B04DC3">
        <w:rPr>
          <w:lang w:val="en-GB"/>
        </w:rPr>
        <w:tab/>
        <w:t>Thickness/diameter ratio of 0.025 or less for dilution tunnels with inside diameters greater than 75 mm;</w:t>
      </w:r>
    </w:p>
    <w:p w:rsidR="00D75405" w:rsidRPr="00B04DC3" w:rsidRDefault="00D75405" w:rsidP="00D75405">
      <w:pPr>
        <w:pStyle w:val="i"/>
        <w:rPr>
          <w:lang w:val="en-GB"/>
        </w:rPr>
      </w:pPr>
      <w:r w:rsidRPr="00B04DC3">
        <w:rPr>
          <w:lang w:val="en-GB"/>
        </w:rPr>
        <w:t>(ii)</w:t>
      </w:r>
      <w:r w:rsidRPr="00B04DC3">
        <w:rPr>
          <w:lang w:val="en-GB"/>
        </w:rPr>
        <w:tab/>
        <w:t>A nominal thickness of no less then 1.5 mm for dilution tunnels with inside diameters of equal to or less than 75 mm;</w:t>
      </w:r>
    </w:p>
    <w:p w:rsidR="00D75405" w:rsidRPr="00B04DC3" w:rsidRDefault="00D75405" w:rsidP="00D75405">
      <w:pPr>
        <w:pStyle w:val="para"/>
        <w:rPr>
          <w:lang w:val="en-GB"/>
        </w:rPr>
      </w:pPr>
      <w:r w:rsidRPr="00B04DC3">
        <w:rPr>
          <w:lang w:val="en-GB"/>
        </w:rPr>
        <w:tab/>
        <w:t>(c)</w:t>
      </w:r>
      <w:r w:rsidRPr="00B04DC3">
        <w:rPr>
          <w:lang w:val="en-GB"/>
        </w:rPr>
        <w:tab/>
        <w:t>Shall be at least 75 mm in diameter for the fractional sampling type;</w:t>
      </w:r>
    </w:p>
    <w:p w:rsidR="00D75405" w:rsidRPr="00B04DC3" w:rsidRDefault="00D75405" w:rsidP="00D75405">
      <w:pPr>
        <w:pStyle w:val="a"/>
        <w:rPr>
          <w:lang w:val="en-GB"/>
        </w:rPr>
      </w:pPr>
      <w:r w:rsidRPr="00B04DC3">
        <w:rPr>
          <w:lang w:val="en-GB"/>
        </w:rPr>
        <w:t>(d)</w:t>
      </w:r>
      <w:r w:rsidRPr="00B04DC3">
        <w:rPr>
          <w:lang w:val="en-GB"/>
        </w:rPr>
        <w:tab/>
        <w:t>Is recommended to be at least 25 mm in diameter for the total sampling type;</w:t>
      </w:r>
    </w:p>
    <w:p w:rsidR="00D75405" w:rsidRPr="00B04DC3" w:rsidRDefault="00D75405" w:rsidP="00D75405">
      <w:pPr>
        <w:pStyle w:val="a"/>
        <w:rPr>
          <w:lang w:val="en-GB"/>
        </w:rPr>
      </w:pPr>
      <w:r w:rsidRPr="00B04DC3">
        <w:rPr>
          <w:lang w:val="en-GB"/>
        </w:rPr>
        <w:t>(e)</w:t>
      </w:r>
      <w:r w:rsidRPr="00B04DC3">
        <w:rPr>
          <w:lang w:val="en-GB"/>
        </w:rPr>
        <w:tab/>
        <w:t>May be heated to no greater than 325 K (52 °C) wall temperature by direct heating or by diluent pre-heating, provided the air temperature does not exceed 325 K (52 °C) prior to the introduction of the exhaust in the dilution tunnel;</w:t>
      </w:r>
    </w:p>
    <w:p w:rsidR="00D75405" w:rsidRPr="00B04DC3" w:rsidRDefault="00D75405" w:rsidP="00D75405">
      <w:pPr>
        <w:pStyle w:val="a"/>
        <w:rPr>
          <w:lang w:val="en-GB"/>
        </w:rPr>
      </w:pPr>
      <w:r w:rsidRPr="00B04DC3">
        <w:rPr>
          <w:lang w:val="en-GB"/>
        </w:rPr>
        <w:t>(f)</w:t>
      </w:r>
      <w:r w:rsidRPr="00B04DC3">
        <w:rPr>
          <w:lang w:val="en-GB"/>
        </w:rPr>
        <w:tab/>
        <w:t>May be insulated.</w:t>
      </w:r>
    </w:p>
    <w:p w:rsidR="00D75405" w:rsidRPr="00B04DC3" w:rsidRDefault="00D75405" w:rsidP="00D75405">
      <w:pPr>
        <w:pStyle w:val="para"/>
        <w:rPr>
          <w:lang w:val="en-GB"/>
        </w:rPr>
      </w:pPr>
      <w:r w:rsidRPr="00B04DC3">
        <w:rPr>
          <w:lang w:val="en-GB"/>
        </w:rPr>
        <w:tab/>
        <w:t>The engine exhaust shall be thoroughly mixed with the diluent. For fractional sampling systems, the mixing quality shall be checked after introduction into service by means of a CO</w:t>
      </w:r>
      <w:r w:rsidRPr="00B04DC3">
        <w:rPr>
          <w:vertAlign w:val="subscript"/>
          <w:lang w:val="en-GB"/>
        </w:rPr>
        <w:t>2</w:t>
      </w:r>
      <w:r w:rsidRPr="00B04DC3">
        <w:rPr>
          <w:lang w:val="en-GB"/>
        </w:rPr>
        <w:t xml:space="preserve"> -profile of the tunnel with the engine running (at least four equally spaced measuring points). If necessary, a mixing orifice may be used.</w:t>
      </w:r>
    </w:p>
    <w:p w:rsidR="00D75405" w:rsidRPr="00B04DC3" w:rsidRDefault="00D75405" w:rsidP="00D75405">
      <w:pPr>
        <w:pStyle w:val="para"/>
        <w:rPr>
          <w:lang w:val="en-GB"/>
        </w:rPr>
      </w:pPr>
      <w:r w:rsidRPr="00B04DC3">
        <w:rPr>
          <w:lang w:val="en-GB"/>
        </w:rPr>
        <w:tab/>
      </w:r>
      <w:r w:rsidRPr="00B04DC3">
        <w:rPr>
          <w:i/>
          <w:lang w:val="en-GB"/>
        </w:rPr>
        <w:t>Note:</w:t>
      </w:r>
      <w:r w:rsidRPr="00B04DC3">
        <w:rPr>
          <w:lang w:val="en-GB"/>
        </w:rPr>
        <w:t xml:space="preserve"> If the ambient temperature in the vicinity of the dilution tunnel (DT) is below 293 K (20 °C), precautions should be taken to avoid </w:t>
      </w:r>
      <w:r w:rsidR="002E6737">
        <w:rPr>
          <w:lang w:val="en-GB"/>
        </w:rPr>
        <w:t>particulateparticulate</w:t>
      </w:r>
      <w:r w:rsidRPr="00B04DC3">
        <w:rPr>
          <w:lang w:val="en-GB"/>
        </w:rPr>
        <w:t xml:space="preserve"> losses onto the cool walls of the dilution tunnel. Therefore, heating and/or insulating the tunnel within the limits given above is recommended.</w:t>
      </w:r>
    </w:p>
    <w:p w:rsidR="00D75405" w:rsidRPr="00B04DC3" w:rsidRDefault="00D75405" w:rsidP="00D75405">
      <w:pPr>
        <w:pStyle w:val="para"/>
        <w:rPr>
          <w:lang w:val="en-GB"/>
        </w:rPr>
      </w:pPr>
      <w:r w:rsidRPr="00B04DC3">
        <w:rPr>
          <w:lang w:val="en-GB"/>
        </w:rPr>
        <w:tab/>
      </w:r>
      <w:r w:rsidRPr="00B04DC3">
        <w:rPr>
          <w:lang w:val="en-GB"/>
        </w:rPr>
        <w:tab/>
        <w:t>At high engine loads, the tunnel may be cooled by a non-aggressive means such as a circulating fan, as long as the temperature of the cooling medium is not below 293 K (20 °C).</w:t>
      </w:r>
    </w:p>
    <w:p w:rsidR="00D75405" w:rsidRPr="00B04DC3" w:rsidRDefault="00D75405" w:rsidP="00D75405">
      <w:pPr>
        <w:pStyle w:val="para"/>
        <w:rPr>
          <w:lang w:val="en-GB"/>
        </w:rPr>
      </w:pPr>
      <w:r w:rsidRPr="00B04DC3">
        <w:rPr>
          <w:lang w:val="en-GB"/>
        </w:rPr>
        <w:tab/>
        <w:t>HE heat exchanger (</w:t>
      </w:r>
      <w:r w:rsidR="00313D4E" w:rsidRPr="00B04DC3">
        <w:rPr>
          <w:lang w:val="en-GB"/>
        </w:rPr>
        <w:t>Figure</w:t>
      </w:r>
      <w:r w:rsidRPr="00B04DC3">
        <w:rPr>
          <w:lang w:val="en-GB"/>
        </w:rPr>
        <w:t>s 16 and</w:t>
      </w:r>
      <w:r w:rsidR="00E44FAF">
        <w:rPr>
          <w:lang w:val="en-GB"/>
        </w:rPr>
        <w:t xml:space="preserve"> </w:t>
      </w:r>
      <w:r w:rsidRPr="00B04DC3">
        <w:rPr>
          <w:lang w:val="en-GB"/>
        </w:rPr>
        <w:t>17)</w:t>
      </w:r>
    </w:p>
    <w:p w:rsidR="00D75405" w:rsidRPr="00B04DC3" w:rsidRDefault="00D75405" w:rsidP="00D75405">
      <w:pPr>
        <w:pStyle w:val="para"/>
        <w:rPr>
          <w:lang w:val="en-GB"/>
        </w:rPr>
      </w:pPr>
      <w:r w:rsidRPr="00B04DC3">
        <w:rPr>
          <w:lang w:val="en-GB"/>
        </w:rPr>
        <w:tab/>
        <w:t>The heat exchanger shall be of sufficient capacity to maintain the temperature at the inlet to the suction blower SB within ±11 K of the average operating temperature observed during the test.</w:t>
      </w:r>
    </w:p>
    <w:p w:rsidR="00D75405" w:rsidRPr="00B04DC3" w:rsidRDefault="00D75405" w:rsidP="00D75405">
      <w:pPr>
        <w:pStyle w:val="para"/>
        <w:rPr>
          <w:lang w:val="en-GB"/>
        </w:rPr>
      </w:pPr>
      <w:r w:rsidRPr="00B04DC3">
        <w:rPr>
          <w:lang w:val="en-GB"/>
        </w:rPr>
        <w:t>2.3.</w:t>
      </w:r>
      <w:r w:rsidRPr="00B04DC3">
        <w:rPr>
          <w:lang w:val="en-GB"/>
        </w:rPr>
        <w:tab/>
        <w:t>Full flow dilution system</w:t>
      </w:r>
    </w:p>
    <w:p w:rsidR="00D75405" w:rsidRPr="00B04DC3" w:rsidRDefault="00D75405" w:rsidP="00D75405">
      <w:pPr>
        <w:pStyle w:val="para"/>
        <w:rPr>
          <w:lang w:val="en-GB"/>
        </w:rPr>
      </w:pPr>
      <w:r w:rsidRPr="00B04DC3">
        <w:rPr>
          <w:lang w:val="en-GB"/>
        </w:rPr>
        <w:tab/>
        <w:t xml:space="preserve">A dilution system is described in </w:t>
      </w:r>
      <w:r w:rsidR="00313D4E" w:rsidRPr="00B04DC3">
        <w:rPr>
          <w:lang w:val="en-GB"/>
        </w:rPr>
        <w:t>Figure</w:t>
      </w:r>
      <w:r w:rsidRPr="00B04DC3">
        <w:rPr>
          <w:lang w:val="en-GB"/>
        </w:rPr>
        <w:t xml:space="preserve"> 20 based upon the dilution of the total exhaust using the CVS (constant volume dampling) concept. The total volume of the mixture of exhaust and diluent shall be measured. Either a PDP or a CFV system may be used.</w:t>
      </w:r>
    </w:p>
    <w:p w:rsidR="00D75405" w:rsidRPr="00B04DC3" w:rsidRDefault="00D75405" w:rsidP="00D75405">
      <w:pPr>
        <w:pStyle w:val="para"/>
        <w:rPr>
          <w:lang w:val="en-GB"/>
        </w:rPr>
      </w:pPr>
      <w:r w:rsidRPr="00B04DC3">
        <w:rPr>
          <w:lang w:val="en-GB"/>
        </w:rPr>
        <w:tab/>
        <w:t>For subsequent collection of the particulates, a sample of the dilute exhaust gas is passed to the particulate sampling system (paragraph 2.4.</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s 21 and 22). If this is done directly, it is referred to as single dilution. If the sample is diluted once more in the secondary dilution tunnel, it is referred to as double dilution. This is useful, if the filter face temperature requirement cannot be met with single dilution. Although partly a dilution system, the double dilution system is described as a modification of a particulate sampling system in paragraph 2.4.</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 xml:space="preserve"> 22, since it shares most of the parts with a typical particulate sampling system.</w:t>
      </w:r>
    </w:p>
    <w:p w:rsidR="00D75405" w:rsidRPr="00B04DC3" w:rsidRDefault="00933DA1" w:rsidP="00D75405">
      <w:pPr>
        <w:pStyle w:val="Heading1"/>
      </w:pPr>
      <w:r w:rsidRPr="00B04DC3">
        <w:br w:type="page"/>
      </w:r>
      <w:bookmarkStart w:id="374" w:name="_Toc399939981"/>
      <w:bookmarkStart w:id="375" w:name="_Toc423599567"/>
      <w:bookmarkStart w:id="376" w:name="_Toc423610975"/>
      <w:r w:rsidR="00D75405" w:rsidRPr="00B04DC3">
        <w:t>Figure 20</w:t>
      </w:r>
      <w:bookmarkEnd w:id="374"/>
      <w:bookmarkEnd w:id="375"/>
      <w:bookmarkEnd w:id="376"/>
    </w:p>
    <w:p w:rsidR="00D75405" w:rsidRPr="00B04DC3" w:rsidRDefault="00D75405" w:rsidP="00D75405">
      <w:pPr>
        <w:pStyle w:val="Heading1"/>
        <w:rPr>
          <w:b/>
        </w:rPr>
      </w:pPr>
      <w:bookmarkStart w:id="377" w:name="_Toc399939982"/>
      <w:bookmarkStart w:id="378" w:name="_Toc423599568"/>
      <w:bookmarkStart w:id="379" w:name="_Toc423610976"/>
      <w:r w:rsidRPr="00B04DC3">
        <w:rPr>
          <w:b/>
        </w:rPr>
        <w:t>Full flow dilution system to background filter</w:t>
      </w:r>
      <w:bookmarkEnd w:id="377"/>
      <w:bookmarkEnd w:id="378"/>
      <w:bookmarkEnd w:id="379"/>
    </w:p>
    <w:p w:rsidR="00D75405" w:rsidRPr="00B04DC3" w:rsidRDefault="00D75405" w:rsidP="00D75405">
      <w:pPr>
        <w:pStyle w:val="NormalCentered"/>
        <w:keepNext/>
        <w:keepLines/>
        <w:numPr>
          <w:ilvl w:val="0"/>
          <w:numId w:val="0"/>
        </w:numPr>
        <w:spacing w:before="0" w:after="0"/>
      </w:pPr>
    </w:p>
    <w:p w:rsidR="00D75405" w:rsidRPr="00B04DC3" w:rsidRDefault="00A905B7" w:rsidP="00BD29C3">
      <w:pPr>
        <w:pStyle w:val="NormalCentered"/>
        <w:keepNext/>
        <w:keepLines/>
        <w:numPr>
          <w:ilvl w:val="0"/>
          <w:numId w:val="0"/>
        </w:numPr>
        <w:spacing w:before="0" w:after="0"/>
        <w:ind w:left="1134"/>
        <w:jc w:val="left"/>
      </w:pPr>
      <w:r>
        <w:pict>
          <v:shape id="_x0000_i1206" type="#_x0000_t75" style="width:424.2pt;height:246.6pt" fillcolor="window">
            <v:imagedata r:id="rId337" o:title=""/>
          </v:shape>
        </w:pict>
      </w:r>
    </w:p>
    <w:p w:rsidR="00D75405" w:rsidRPr="00B04DC3" w:rsidRDefault="00D75405" w:rsidP="00D75405">
      <w:pPr>
        <w:pStyle w:val="SingleTxtG"/>
        <w:spacing w:before="240"/>
        <w:ind w:left="2268"/>
      </w:pPr>
      <w:r w:rsidRPr="00B04DC3">
        <w:tab/>
      </w:r>
      <w:r w:rsidRPr="00B04DC3">
        <w:tab/>
        <w:t>The total amount of raw exhaust gas is mixed in the dilution tunnel DT with the diluent. The diluted exhaust gas flow rate is measured either with a positive displacement pump PDP or with a critical flow venturi CFV. A heat exchanger HE or electronic flow compensation EFC may be used for proportional particulate sampling and for flow determination. Since particulate mass determination is based on the total diluted exhaust gas flow, the dilution ratio is not required to be calculated.</w:t>
      </w:r>
    </w:p>
    <w:p w:rsidR="00D75405" w:rsidRPr="00B04DC3" w:rsidRDefault="00D75405" w:rsidP="00D75405">
      <w:pPr>
        <w:pStyle w:val="para"/>
        <w:rPr>
          <w:lang w:val="en-GB"/>
        </w:rPr>
      </w:pPr>
      <w:r w:rsidRPr="00B04DC3">
        <w:rPr>
          <w:lang w:val="en-GB"/>
        </w:rPr>
        <w:t>2.3.1.</w:t>
      </w:r>
      <w:r w:rsidRPr="00B04DC3">
        <w:rPr>
          <w:lang w:val="en-GB"/>
        </w:rPr>
        <w:tab/>
        <w:t xml:space="preserve">Components of </w:t>
      </w:r>
      <w:r w:rsidR="00313D4E" w:rsidRPr="00B04DC3">
        <w:rPr>
          <w:lang w:val="en-GB"/>
        </w:rPr>
        <w:t>Figure</w:t>
      </w:r>
      <w:r w:rsidRPr="00B04DC3">
        <w:rPr>
          <w:lang w:val="en-GB"/>
        </w:rPr>
        <w:t xml:space="preserve"> 20</w:t>
      </w:r>
    </w:p>
    <w:p w:rsidR="00D75405" w:rsidRPr="00B04DC3" w:rsidRDefault="00D75405" w:rsidP="00D75405">
      <w:pPr>
        <w:pStyle w:val="para"/>
        <w:rPr>
          <w:lang w:val="en-GB"/>
        </w:rPr>
      </w:pPr>
      <w:r w:rsidRPr="00B04DC3">
        <w:rPr>
          <w:lang w:val="en-GB"/>
        </w:rPr>
        <w:tab/>
        <w:t>EP exhaust pipe</w:t>
      </w:r>
    </w:p>
    <w:p w:rsidR="00D75405" w:rsidRPr="00B04DC3" w:rsidRDefault="00D75405" w:rsidP="00D75405">
      <w:pPr>
        <w:pStyle w:val="para"/>
        <w:rPr>
          <w:lang w:val="en-GB"/>
        </w:rPr>
      </w:pPr>
      <w:r w:rsidRPr="00B04DC3">
        <w:rPr>
          <w:lang w:val="en-GB"/>
        </w:rPr>
        <w:tab/>
        <w:t xml:space="preserve">The exhaust pipe length from the exit of the engine exhaust manifold, turbocharger outlet or </w:t>
      </w:r>
      <w:r w:rsidR="006A75A0">
        <w:rPr>
          <w:lang w:val="en-GB"/>
        </w:rPr>
        <w:t>after-treatment</w:t>
      </w:r>
      <w:r w:rsidRPr="00B04DC3">
        <w:rPr>
          <w:lang w:val="en-GB"/>
        </w:rPr>
        <w:t xml:space="preserve"> device to the dilution tunnel shall not exceed 10 m. If the exhaust pipe downstream of the engine exhaust manifold, turbocharger outlet or </w:t>
      </w:r>
      <w:r w:rsidR="006A75A0">
        <w:rPr>
          <w:lang w:val="en-GB"/>
        </w:rPr>
        <w:t>after-treatment</w:t>
      </w:r>
      <w:r w:rsidRPr="00B04DC3">
        <w:rPr>
          <w:lang w:val="en-GB"/>
        </w:rPr>
        <w:t xml:space="preserve"> device exceeds 4 m in length, then all tubing in excess of 4 m shall be insulated, except for an in-line smokemeter, if used. The radial thickness of the insulation shall be at least 25 mm. The thermal conductivity of the insulating material shall have a value no greater than 0.1 W/mK measured at 673 K. To reduce the thermal inertia of the exhaust pipe a thickness to diameter ratio of 0.015 or less is recommended. The use of flexible sections shall be limited to a length to diameter ratio of 12 or less.</w:t>
      </w:r>
    </w:p>
    <w:p w:rsidR="00D75405" w:rsidRPr="00B04DC3" w:rsidRDefault="00D75405" w:rsidP="00D75405">
      <w:pPr>
        <w:pStyle w:val="para"/>
        <w:rPr>
          <w:lang w:val="en-GB"/>
        </w:rPr>
      </w:pPr>
      <w:r w:rsidRPr="00B04DC3">
        <w:rPr>
          <w:lang w:val="en-GB"/>
        </w:rPr>
        <w:tab/>
        <w:t>PDP positive displacement pump</w:t>
      </w:r>
    </w:p>
    <w:p w:rsidR="00D75405" w:rsidRPr="00B04DC3" w:rsidRDefault="00D75405" w:rsidP="00D75405">
      <w:pPr>
        <w:pStyle w:val="para"/>
        <w:rPr>
          <w:lang w:val="en-GB"/>
        </w:rPr>
      </w:pPr>
      <w:r w:rsidRPr="00B04DC3">
        <w:rPr>
          <w:lang w:val="en-GB"/>
        </w:rPr>
        <w:tab/>
        <w:t>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±1.5 kPa of the static pressure measured without connection to the PDP at identical engine speed and load. The gas mixture temperature immediately ahead of the PDP shall be within ±6 K of the average operating temperature observed during the test, when no flow compensation is used. Flow compensation may only be used if the temperature at the inlet to the PDP does not exceed 323 K (50 °C).</w:t>
      </w:r>
    </w:p>
    <w:p w:rsidR="00D75405" w:rsidRPr="00B04DC3" w:rsidRDefault="00D75405" w:rsidP="00D75405">
      <w:pPr>
        <w:pStyle w:val="para"/>
        <w:rPr>
          <w:lang w:val="en-GB"/>
        </w:rPr>
      </w:pPr>
      <w:r w:rsidRPr="00B04DC3">
        <w:rPr>
          <w:lang w:val="en-GB"/>
        </w:rPr>
        <w:tab/>
        <w:t>CFV critical flow venturi</w:t>
      </w:r>
    </w:p>
    <w:p w:rsidR="00D75405" w:rsidRPr="00B04DC3" w:rsidRDefault="00D75405" w:rsidP="00D75405">
      <w:pPr>
        <w:pStyle w:val="para"/>
        <w:rPr>
          <w:lang w:val="en-GB"/>
        </w:rPr>
      </w:pPr>
      <w:r w:rsidRPr="00B04DC3">
        <w:rPr>
          <w:lang w:val="en-GB"/>
        </w:rPr>
        <w:tab/>
        <w:t>CFV measures total diluted exhaust flow by maintaining the flow at choked conditions (critical flow). Static exhaust backpressure measured with the CFV system operating shall remain within ±1.5 kPa of the static pressure measured without connection to the CFV at identical engine speed and load. The gas mixture temperature immediately ahead of the CFV shall be within ±11 K of the average operating temperature observed during the test, when no flow compensation is used.</w:t>
      </w:r>
    </w:p>
    <w:p w:rsidR="00D75405" w:rsidRPr="00B04DC3" w:rsidRDefault="00D75405" w:rsidP="00D75405">
      <w:pPr>
        <w:pStyle w:val="para"/>
        <w:rPr>
          <w:lang w:val="en-GB"/>
        </w:rPr>
      </w:pPr>
      <w:r w:rsidRPr="00B04DC3">
        <w:rPr>
          <w:lang w:val="en-GB"/>
        </w:rPr>
        <w:tab/>
        <w:t>HE heat exchanger (optional, if EFC is used)</w:t>
      </w:r>
    </w:p>
    <w:p w:rsidR="00D75405" w:rsidRPr="00B04DC3" w:rsidRDefault="00D75405" w:rsidP="00D75405">
      <w:pPr>
        <w:pStyle w:val="para"/>
        <w:rPr>
          <w:lang w:val="en-GB"/>
        </w:rPr>
      </w:pPr>
      <w:r w:rsidRPr="00B04DC3">
        <w:rPr>
          <w:lang w:val="en-GB"/>
        </w:rPr>
        <w:tab/>
        <w:t>The heat exchanger shall be of sufficient capacity to maintain the temperature within the limits required above.</w:t>
      </w:r>
    </w:p>
    <w:p w:rsidR="00D75405" w:rsidRPr="00B04DC3" w:rsidRDefault="00D75405" w:rsidP="00D75405">
      <w:pPr>
        <w:pStyle w:val="para"/>
        <w:rPr>
          <w:lang w:val="en-GB"/>
        </w:rPr>
      </w:pPr>
      <w:r w:rsidRPr="00B04DC3">
        <w:rPr>
          <w:lang w:val="en-GB"/>
        </w:rPr>
        <w:tab/>
        <w:t>EFC electronic flow compensation (optional, if HE is used)</w:t>
      </w:r>
    </w:p>
    <w:p w:rsidR="00D75405" w:rsidRPr="00B04DC3" w:rsidRDefault="00D75405" w:rsidP="00D75405">
      <w:pPr>
        <w:pStyle w:val="para"/>
        <w:rPr>
          <w:lang w:val="en-GB"/>
        </w:rPr>
      </w:pPr>
      <w:r w:rsidRPr="00B04DC3">
        <w:rPr>
          <w:lang w:val="en-GB"/>
        </w:rPr>
        <w:tab/>
        <w:t>If the temperature at the inlet to either the PDP or CFV is not kept within the limits stated above, a flow compensation system is required for continuous measurement of the flow rate and control of the proportional sampling in the particulate system. To that purpose, the continuously measured flow rate signals are used to correct the sample flow rate through the particulate filters of the particulate sampling system (see paragraph 2.4.</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s 21and 22), accordingly.</w:t>
      </w:r>
    </w:p>
    <w:p w:rsidR="00D75405" w:rsidRPr="00B04DC3" w:rsidRDefault="00D75405" w:rsidP="00D75405">
      <w:pPr>
        <w:pStyle w:val="para"/>
        <w:rPr>
          <w:lang w:val="en-GB"/>
        </w:rPr>
      </w:pPr>
      <w:r w:rsidRPr="00B04DC3">
        <w:rPr>
          <w:lang w:val="en-GB"/>
        </w:rPr>
        <w:tab/>
        <w:t>DT dilution tunnel</w:t>
      </w:r>
    </w:p>
    <w:p w:rsidR="00D75405" w:rsidRPr="00B04DC3" w:rsidRDefault="00D75405" w:rsidP="00D75405">
      <w:pPr>
        <w:pStyle w:val="para"/>
        <w:rPr>
          <w:lang w:val="en-GB"/>
        </w:rPr>
      </w:pPr>
      <w:r w:rsidRPr="00B04DC3">
        <w:rPr>
          <w:lang w:val="en-GB"/>
        </w:rPr>
        <w:tab/>
        <w:t>The dilution tunnel:</w:t>
      </w:r>
    </w:p>
    <w:p w:rsidR="00D75405" w:rsidRPr="00B04DC3" w:rsidRDefault="00D75405" w:rsidP="00D75405">
      <w:pPr>
        <w:pStyle w:val="a"/>
        <w:rPr>
          <w:lang w:val="en-GB"/>
        </w:rPr>
      </w:pPr>
      <w:r w:rsidRPr="00B04DC3">
        <w:rPr>
          <w:lang w:val="en-GB"/>
        </w:rPr>
        <w:t>(a)</w:t>
      </w:r>
      <w:r w:rsidRPr="00B04DC3">
        <w:rPr>
          <w:lang w:val="en-GB"/>
        </w:rPr>
        <w:tab/>
        <w:t>Shall be small enough in diameter to cause turbulent flow (Reynolds number greater than 4,000) and of sufficient length to cause complete mixing of the exhaust and diluent; a mixing orifice may be used;</w:t>
      </w:r>
    </w:p>
    <w:p w:rsidR="00D75405" w:rsidRPr="00B04DC3" w:rsidRDefault="00D75405" w:rsidP="00D75405">
      <w:pPr>
        <w:pStyle w:val="a"/>
        <w:rPr>
          <w:lang w:val="en-GB"/>
        </w:rPr>
      </w:pPr>
      <w:r w:rsidRPr="00B04DC3">
        <w:rPr>
          <w:lang w:val="en-GB"/>
        </w:rPr>
        <w:t>(b)</w:t>
      </w:r>
      <w:r w:rsidRPr="00B04DC3">
        <w:rPr>
          <w:lang w:val="en-GB"/>
        </w:rPr>
        <w:tab/>
        <w:t>Shall be at least 460 mm in diameter with a single dilution system;</w:t>
      </w:r>
    </w:p>
    <w:p w:rsidR="00D75405" w:rsidRPr="00B04DC3" w:rsidRDefault="00D75405" w:rsidP="00D75405">
      <w:pPr>
        <w:pStyle w:val="a"/>
        <w:rPr>
          <w:lang w:val="en-GB"/>
        </w:rPr>
      </w:pPr>
      <w:r w:rsidRPr="00B04DC3">
        <w:rPr>
          <w:lang w:val="en-GB"/>
        </w:rPr>
        <w:t>(c)</w:t>
      </w:r>
      <w:r w:rsidRPr="00B04DC3">
        <w:rPr>
          <w:lang w:val="en-GB"/>
        </w:rPr>
        <w:tab/>
        <w:t>Shall be at least 210 mm in diameter with a double dilution system;</w:t>
      </w:r>
    </w:p>
    <w:p w:rsidR="00D75405" w:rsidRPr="00B04DC3" w:rsidRDefault="00D75405" w:rsidP="00D75405">
      <w:pPr>
        <w:pStyle w:val="a"/>
        <w:rPr>
          <w:lang w:val="en-GB"/>
        </w:rPr>
      </w:pPr>
      <w:r w:rsidRPr="00B04DC3">
        <w:rPr>
          <w:lang w:val="en-GB"/>
        </w:rPr>
        <w:t>(d)</w:t>
      </w:r>
      <w:r w:rsidRPr="00B04DC3">
        <w:rPr>
          <w:lang w:val="en-GB"/>
        </w:rPr>
        <w:tab/>
        <w:t>May be insulated.</w:t>
      </w:r>
    </w:p>
    <w:p w:rsidR="00D75405" w:rsidRPr="00B04DC3" w:rsidRDefault="00D75405" w:rsidP="00D75405">
      <w:pPr>
        <w:pStyle w:val="para"/>
        <w:rPr>
          <w:lang w:val="en-GB"/>
        </w:rPr>
      </w:pPr>
      <w:r w:rsidRPr="00B04DC3">
        <w:rPr>
          <w:lang w:val="en-GB"/>
        </w:rPr>
        <w:tab/>
        <w:t>The engine exhaust shall be directed downstream at the point where it is introduced into the dilution tunnel, and thoroughly mixed.</w:t>
      </w:r>
    </w:p>
    <w:p w:rsidR="00D75405" w:rsidRPr="00B04DC3" w:rsidRDefault="00D75405" w:rsidP="00D75405">
      <w:pPr>
        <w:pStyle w:val="para"/>
        <w:rPr>
          <w:lang w:val="en-GB"/>
        </w:rPr>
      </w:pPr>
      <w:r w:rsidRPr="00B04DC3">
        <w:rPr>
          <w:lang w:val="en-GB"/>
        </w:rPr>
        <w:tab/>
        <w:t>When using single dilution, a sample from the dilution tunnel is transferred to the particulate sampling system (paragraph 2.4.</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 xml:space="preserve"> 21). The flow capacity of the PDP or CFV shall be sufficient to maintain the diluted exhaust at a temperature of less than or equal to 325 K (52</w:t>
      </w:r>
      <w:r w:rsidR="00E44FAF">
        <w:rPr>
          <w:lang w:val="en-GB"/>
        </w:rPr>
        <w:t xml:space="preserve"> </w:t>
      </w:r>
      <w:r w:rsidRPr="00B04DC3">
        <w:rPr>
          <w:lang w:val="en-GB"/>
        </w:rPr>
        <w:t>°C) immediately before the primary particulate filter.</w:t>
      </w:r>
    </w:p>
    <w:p w:rsidR="00D75405" w:rsidRPr="00B04DC3" w:rsidRDefault="00D75405" w:rsidP="00D75405">
      <w:pPr>
        <w:pStyle w:val="para"/>
        <w:rPr>
          <w:lang w:val="en-GB"/>
        </w:rPr>
      </w:pPr>
      <w:r w:rsidRPr="00B04DC3">
        <w:rPr>
          <w:lang w:val="en-GB"/>
        </w:rPr>
        <w:tab/>
        <w:t>When using double dilution, a sample from the dilution tunnel is transferred to the secondary dilution tunnel where it is further diluted, and then passed through the sampling filters (paragraph 2.4.</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 xml:space="preserve"> 22). The flow capacity of the PDP or CFV shall be sufficient to maintain the diluted exhaust stream in the DT at a temperature of less than or equal to 464 K (191 °C) at the sampling zone. The secondary dilution system shall provide sufficient secondary diluent to maintain the doubly-diluted exhaust stream at a temperature of less than or equal to 325 K (52 °C) immediately before the primary particulate filter.</w:t>
      </w:r>
    </w:p>
    <w:p w:rsidR="00D75405" w:rsidRPr="00B04DC3" w:rsidRDefault="00D75405" w:rsidP="00D75405">
      <w:pPr>
        <w:pStyle w:val="para"/>
        <w:rPr>
          <w:lang w:val="en-GB"/>
        </w:rPr>
      </w:pPr>
      <w:r w:rsidRPr="00B04DC3">
        <w:rPr>
          <w:lang w:val="en-GB"/>
        </w:rPr>
        <w:tab/>
        <w:t>DAF diluent filter</w:t>
      </w:r>
    </w:p>
    <w:p w:rsidR="00D75405" w:rsidRPr="00B04DC3" w:rsidRDefault="00D75405" w:rsidP="00D75405">
      <w:pPr>
        <w:pStyle w:val="para"/>
        <w:rPr>
          <w:lang w:val="en-GB"/>
        </w:rPr>
      </w:pPr>
      <w:r w:rsidRPr="00B04DC3">
        <w:rPr>
          <w:lang w:val="en-GB"/>
        </w:rPr>
        <w:tab/>
        <w:t>It is recommended that the diluent be filtered and charcoal scrubbed to eliminate background hydrocarbons. At the engine manufacturers request the diluent shall be sampled according to good engineering practice to determine the background particulate levels, which can then be subtracted from the values measured in the diluted exhaust.</w:t>
      </w:r>
    </w:p>
    <w:p w:rsidR="00D75405" w:rsidRPr="00B04DC3" w:rsidRDefault="00D75405" w:rsidP="00D75405">
      <w:pPr>
        <w:pStyle w:val="para"/>
        <w:rPr>
          <w:lang w:val="en-GB"/>
        </w:rPr>
      </w:pPr>
      <w:r w:rsidRPr="00B04DC3">
        <w:rPr>
          <w:lang w:val="en-GB"/>
        </w:rPr>
        <w:tab/>
        <w:t>PSP particulate sampling probe</w:t>
      </w:r>
    </w:p>
    <w:p w:rsidR="00D75405" w:rsidRPr="00B04DC3" w:rsidRDefault="00D75405" w:rsidP="00D75405">
      <w:pPr>
        <w:pStyle w:val="para"/>
        <w:rPr>
          <w:lang w:val="en-GB"/>
        </w:rPr>
      </w:pPr>
      <w:r w:rsidRPr="00B04DC3">
        <w:rPr>
          <w:lang w:val="en-GB"/>
        </w:rPr>
        <w:tab/>
        <w:t>The probe is the leading section of PTT and:</w:t>
      </w:r>
    </w:p>
    <w:p w:rsidR="00D75405" w:rsidRPr="00B04DC3" w:rsidRDefault="00D75405" w:rsidP="00D75405">
      <w:pPr>
        <w:pStyle w:val="a"/>
        <w:rPr>
          <w:lang w:val="en-GB"/>
        </w:rPr>
      </w:pPr>
      <w:r w:rsidRPr="00B04DC3">
        <w:rPr>
          <w:lang w:val="en-GB"/>
        </w:rPr>
        <w:t>(a)</w:t>
      </w:r>
      <w:r w:rsidRPr="00B04DC3">
        <w:rPr>
          <w:lang w:val="en-GB"/>
        </w:rPr>
        <w:tab/>
        <w:t>Shall be installed facing upstream at a point where the diluent and exhaust gas are well mixed, i.e. on the dilution tunnel (DT) centreline approximately 10 tunnel diameters downstream of the point where the exhaust enters the dilution tunnel;</w:t>
      </w:r>
    </w:p>
    <w:p w:rsidR="00D75405" w:rsidRPr="00B04DC3" w:rsidRDefault="00D75405" w:rsidP="00D75405">
      <w:pPr>
        <w:pStyle w:val="a"/>
        <w:rPr>
          <w:lang w:val="en-GB"/>
        </w:rPr>
      </w:pPr>
      <w:r w:rsidRPr="00B04DC3">
        <w:rPr>
          <w:lang w:val="en-GB"/>
        </w:rPr>
        <w:t>(b)</w:t>
      </w:r>
      <w:r w:rsidRPr="00B04DC3">
        <w:rPr>
          <w:lang w:val="en-GB"/>
        </w:rPr>
        <w:tab/>
        <w:t>Shall be of 12 mm minimum inside diameter;</w:t>
      </w:r>
    </w:p>
    <w:p w:rsidR="00D75405" w:rsidRPr="00B04DC3" w:rsidRDefault="00D75405" w:rsidP="00D75405">
      <w:pPr>
        <w:pStyle w:val="a"/>
        <w:rPr>
          <w:lang w:val="en-GB"/>
        </w:rPr>
      </w:pPr>
      <w:r w:rsidRPr="00B04DC3">
        <w:rPr>
          <w:lang w:val="en-GB"/>
        </w:rPr>
        <w:t>(c)</w:t>
      </w:r>
      <w:r w:rsidRPr="00B04DC3">
        <w:rPr>
          <w:lang w:val="en-GB"/>
        </w:rPr>
        <w:tab/>
        <w:t>May be heated to no greater than 325 K (52 °C) wall temperature by direct heating or by diluent pre-heating, provided the air temperature does not exceed 325 K (52 °C) prior to the introduction of the exhaust in the dilution tunnel;</w:t>
      </w:r>
    </w:p>
    <w:p w:rsidR="00D75405" w:rsidRPr="00B04DC3" w:rsidRDefault="00D75405" w:rsidP="00D75405">
      <w:pPr>
        <w:pStyle w:val="a"/>
        <w:rPr>
          <w:lang w:val="en-GB"/>
        </w:rPr>
      </w:pPr>
      <w:r w:rsidRPr="00B04DC3">
        <w:rPr>
          <w:lang w:val="en-GB"/>
        </w:rPr>
        <w:t>(d)</w:t>
      </w:r>
      <w:r w:rsidRPr="00B04DC3">
        <w:rPr>
          <w:lang w:val="en-GB"/>
        </w:rPr>
        <w:tab/>
        <w:t>May be insulated.</w:t>
      </w:r>
    </w:p>
    <w:p w:rsidR="00D75405" w:rsidRPr="00B04DC3" w:rsidRDefault="00D75405" w:rsidP="00D75405">
      <w:pPr>
        <w:pStyle w:val="para"/>
        <w:rPr>
          <w:lang w:val="en-GB"/>
        </w:rPr>
      </w:pPr>
      <w:r w:rsidRPr="00B04DC3">
        <w:rPr>
          <w:lang w:val="en-GB"/>
        </w:rPr>
        <w:t>2.4.</w:t>
      </w:r>
      <w:r w:rsidRPr="00B04DC3">
        <w:rPr>
          <w:lang w:val="en-GB"/>
        </w:rPr>
        <w:tab/>
        <w:t>Particulate sampling system</w:t>
      </w:r>
    </w:p>
    <w:p w:rsidR="00D75405" w:rsidRPr="00B04DC3" w:rsidRDefault="00D75405" w:rsidP="00D75405">
      <w:pPr>
        <w:pStyle w:val="para"/>
        <w:rPr>
          <w:lang w:val="en-GB"/>
        </w:rPr>
      </w:pPr>
      <w:r w:rsidRPr="00B04DC3">
        <w:rPr>
          <w:lang w:val="en-GB"/>
        </w:rPr>
        <w:tab/>
        <w:t>The particulate sampling system is required for collecting the particulates on the particulate filter. In the case of total sampling partial flow dilution, which consists of passing the entire diluted exhaust sample through the filters, dilution (paragraph 2.2.</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 xml:space="preserve">s 14 and 18) and sampling system usually form an integral unit. In the case of fractional sampling partial flow dilution or full flow dilution, which consists of passing through the filters only a portion of the diluted exhaust, the dilution (paragraph 2.2., </w:t>
      </w:r>
      <w:r w:rsidR="00313D4E" w:rsidRPr="00B04DC3">
        <w:rPr>
          <w:lang w:val="en-GB"/>
        </w:rPr>
        <w:t>Figure</w:t>
      </w:r>
      <w:r w:rsidRPr="00B04DC3">
        <w:rPr>
          <w:lang w:val="en-GB"/>
        </w:rPr>
        <w:t>s 11, 12, 13, 15, 16, 17, 19; paragraph 2.3.</w:t>
      </w:r>
      <w:r w:rsidR="00E44FAF" w:rsidRPr="00E44FAF">
        <w:rPr>
          <w:lang w:eastAsia="en-GB"/>
        </w:rPr>
        <w:t xml:space="preserve"> </w:t>
      </w:r>
      <w:r w:rsidR="00E44FAF">
        <w:rPr>
          <w:lang w:eastAsia="en-GB"/>
        </w:rPr>
        <w:t>of this appendix</w:t>
      </w:r>
      <w:r w:rsidRPr="00B04DC3">
        <w:rPr>
          <w:lang w:val="en-GB"/>
        </w:rPr>
        <w:t xml:space="preserve">, </w:t>
      </w:r>
      <w:r w:rsidR="00313D4E" w:rsidRPr="00B04DC3">
        <w:rPr>
          <w:lang w:val="en-GB"/>
        </w:rPr>
        <w:t>Figure</w:t>
      </w:r>
      <w:r w:rsidRPr="00B04DC3">
        <w:rPr>
          <w:lang w:val="en-GB"/>
        </w:rPr>
        <w:t xml:space="preserve"> 20) and sampling systems usually form different units.</w:t>
      </w:r>
    </w:p>
    <w:p w:rsidR="00D75405" w:rsidRPr="00B04DC3" w:rsidRDefault="00D75405" w:rsidP="00D75405">
      <w:pPr>
        <w:pStyle w:val="para"/>
        <w:rPr>
          <w:lang w:val="en-GB"/>
        </w:rPr>
      </w:pPr>
      <w:r w:rsidRPr="00B04DC3">
        <w:rPr>
          <w:lang w:val="en-GB"/>
        </w:rPr>
        <w:tab/>
        <w:t>In this Regulation, the double dilution system (</w:t>
      </w:r>
      <w:r w:rsidR="00313D4E" w:rsidRPr="00B04DC3">
        <w:rPr>
          <w:lang w:val="en-GB"/>
        </w:rPr>
        <w:t>Figure</w:t>
      </w:r>
      <w:r w:rsidRPr="00B04DC3">
        <w:rPr>
          <w:lang w:val="en-GB"/>
        </w:rPr>
        <w:t xml:space="preserve"> 22) of a full flow dilution system is considered as a specific modification of a typical particulate sampling system as shown in </w:t>
      </w:r>
      <w:r w:rsidR="00313D4E" w:rsidRPr="00B04DC3">
        <w:rPr>
          <w:lang w:val="en-GB"/>
        </w:rPr>
        <w:t>Figure</w:t>
      </w:r>
      <w:r w:rsidRPr="00B04DC3">
        <w:rPr>
          <w:lang w:val="en-GB"/>
        </w:rPr>
        <w:t> 21. The double dilution system includes all important parts of the particulate sampling system, like filter holders and sampling pump, and additionally some dilution features, like a diluent supply and a secondary dilution tunnel.</w:t>
      </w:r>
    </w:p>
    <w:p w:rsidR="00D75405" w:rsidRPr="00B04DC3" w:rsidRDefault="00D75405" w:rsidP="00D75405">
      <w:pPr>
        <w:pStyle w:val="para"/>
        <w:rPr>
          <w:lang w:val="en-GB"/>
        </w:rPr>
      </w:pPr>
      <w:r w:rsidRPr="00B04DC3">
        <w:rPr>
          <w:lang w:val="en-GB"/>
        </w:rPr>
        <w:tab/>
        <w:t>In order to avoid any impact on the control loops, it is recommended that the sample pump be running throughout the complete test procedure. For the single filter method, a bypass system shall be used for passing the sample through the sampling filters at the desired times. Interference of the switching procedure on the control loops shall be minimized.</w:t>
      </w:r>
    </w:p>
    <w:p w:rsidR="00D75405" w:rsidRPr="00B04DC3" w:rsidRDefault="00933DA1" w:rsidP="00D75405">
      <w:pPr>
        <w:pStyle w:val="Heading1"/>
      </w:pPr>
      <w:r w:rsidRPr="00B04DC3">
        <w:br w:type="page"/>
      </w:r>
      <w:bookmarkStart w:id="380" w:name="_Toc399939983"/>
      <w:bookmarkStart w:id="381" w:name="_Toc423599569"/>
      <w:bookmarkStart w:id="382" w:name="_Toc423610977"/>
      <w:r w:rsidR="00D75405" w:rsidRPr="00B04DC3">
        <w:t>Figure 21</w:t>
      </w:r>
      <w:bookmarkEnd w:id="380"/>
      <w:bookmarkEnd w:id="381"/>
      <w:bookmarkEnd w:id="382"/>
    </w:p>
    <w:p w:rsidR="00D75405" w:rsidRPr="00B04DC3" w:rsidRDefault="00D75405" w:rsidP="002E1CE4">
      <w:pPr>
        <w:pStyle w:val="Heading1"/>
        <w:spacing w:after="40"/>
        <w:rPr>
          <w:b/>
        </w:rPr>
      </w:pPr>
      <w:bookmarkStart w:id="383" w:name="_Toc399939984"/>
      <w:bookmarkStart w:id="384" w:name="_Toc423599570"/>
      <w:bookmarkStart w:id="385" w:name="_Toc423610978"/>
      <w:r w:rsidRPr="00B04DC3">
        <w:rPr>
          <w:b/>
        </w:rPr>
        <w:t>Particulate sampling system</w:t>
      </w:r>
      <w:bookmarkEnd w:id="383"/>
      <w:bookmarkEnd w:id="384"/>
      <w:bookmarkEnd w:id="385"/>
    </w:p>
    <w:p w:rsidR="00D75405" w:rsidRPr="00B04DC3" w:rsidRDefault="00A905B7" w:rsidP="00D75405">
      <w:pPr>
        <w:pStyle w:val="NormalCentered"/>
        <w:numPr>
          <w:ilvl w:val="0"/>
          <w:numId w:val="0"/>
        </w:numPr>
        <w:spacing w:before="0" w:after="0"/>
      </w:pPr>
      <w:r>
        <w:pict>
          <v:shape id="_x0000_i1207" type="#_x0000_t75" style="width:294pt;height:255.6pt" fillcolor="window">
            <v:imagedata r:id="rId338" o:title="" cropright="20157f"/>
          </v:shape>
        </w:pict>
      </w:r>
    </w:p>
    <w:p w:rsidR="00D75405" w:rsidRPr="00B04DC3" w:rsidRDefault="00D75405" w:rsidP="00D75405">
      <w:pPr>
        <w:pStyle w:val="SingleTxtG"/>
        <w:spacing w:before="240"/>
        <w:ind w:left="2268"/>
      </w:pPr>
      <w:r w:rsidRPr="00B04DC3">
        <w:tab/>
      </w:r>
      <w:r w:rsidRPr="00B04DC3">
        <w:tab/>
        <w:t xml:space="preserve">A sample of the diluted exhaust gas is taken from the dilution tunnel DT of a partial flow or full flow dilution system through the particulate sampling probe PSP and the particulate transfer tube PTT by means of the sampling pump P. The sample is passed through the filter holder(s) FH that contain the particulate sampling filters. The sample flow rate is controlled by the flow controller FC3. If electronic flow compensation EFC (see </w:t>
      </w:r>
      <w:r w:rsidR="00313D4E" w:rsidRPr="00B04DC3">
        <w:t>Figure</w:t>
      </w:r>
      <w:r w:rsidRPr="00B04DC3">
        <w:t> 20) is used, the diluted exhaust gas flow is used as command signal for FC3.</w:t>
      </w:r>
    </w:p>
    <w:p w:rsidR="00D75405" w:rsidRPr="00B04DC3" w:rsidRDefault="00D75405" w:rsidP="00D75405">
      <w:pPr>
        <w:pStyle w:val="Heading1"/>
      </w:pPr>
      <w:bookmarkStart w:id="386" w:name="_Toc399939985"/>
      <w:bookmarkStart w:id="387" w:name="_Toc423599571"/>
      <w:bookmarkStart w:id="388" w:name="_Toc423610979"/>
      <w:r w:rsidRPr="00B04DC3">
        <w:t>Figure 22</w:t>
      </w:r>
      <w:bookmarkEnd w:id="386"/>
      <w:bookmarkEnd w:id="387"/>
      <w:bookmarkEnd w:id="388"/>
    </w:p>
    <w:p w:rsidR="00D75405" w:rsidRPr="00B04DC3" w:rsidRDefault="00D75405" w:rsidP="002E1CE4">
      <w:pPr>
        <w:pStyle w:val="Heading1"/>
        <w:spacing w:after="40"/>
        <w:rPr>
          <w:b/>
        </w:rPr>
      </w:pPr>
      <w:bookmarkStart w:id="389" w:name="_Toc399939986"/>
      <w:bookmarkStart w:id="390" w:name="_Toc423599572"/>
      <w:bookmarkStart w:id="391" w:name="_Toc423610980"/>
      <w:r w:rsidRPr="00B04DC3">
        <w:rPr>
          <w:b/>
        </w:rPr>
        <w:t>Double dilution system (full flow system only)</w:t>
      </w:r>
      <w:bookmarkEnd w:id="389"/>
      <w:bookmarkEnd w:id="390"/>
      <w:bookmarkEnd w:id="391"/>
    </w:p>
    <w:p w:rsidR="00D75405" w:rsidRPr="00B04DC3" w:rsidRDefault="00A905B7" w:rsidP="002E1CE4">
      <w:pPr>
        <w:pStyle w:val="NormalCentered"/>
        <w:numPr>
          <w:ilvl w:val="0"/>
          <w:numId w:val="0"/>
        </w:numPr>
        <w:spacing w:before="0" w:after="0"/>
        <w:ind w:left="1134"/>
        <w:jc w:val="left"/>
      </w:pPr>
      <w:r>
        <w:pict>
          <v:shape id="_x0000_i1208" type="#_x0000_t75" style="width:309.6pt;height:100.2pt" fillcolor="window">
            <v:imagedata r:id="rId339" o:title=""/>
          </v:shape>
        </w:pict>
      </w:r>
    </w:p>
    <w:p w:rsidR="00D75405" w:rsidRPr="00B04DC3" w:rsidRDefault="00D75405" w:rsidP="00D75405">
      <w:pPr>
        <w:pStyle w:val="SingleTxtG"/>
        <w:spacing w:before="240"/>
        <w:ind w:left="2268"/>
      </w:pPr>
      <w:r w:rsidRPr="00B04DC3">
        <w:tab/>
      </w:r>
      <w:r w:rsidRPr="00B04DC3">
        <w:tab/>
        <w:t xml:space="preserve">A sample of the diluted exhaust gas is transferred from the dilution tunnel DT of a full flow dilution system through the particulate sampling probe PSP and the particulate transfer tube PTT to the secondary dilution tunnel SDT, where it is diluted once more. The sample is then passed through the filter holder(s) FH that contain the particulate sampling filters. The diluent flow rate is usually constant whereas the sample flow rate is controlled by the flow controller FC3. If electronic flow compensation EFC (see </w:t>
      </w:r>
      <w:r w:rsidR="00313D4E" w:rsidRPr="00B04DC3">
        <w:t>Figure</w:t>
      </w:r>
      <w:r w:rsidRPr="00B04DC3">
        <w:t xml:space="preserve"> 20) is used, the total diluted exhaust gas flow is used as command signal for FC3.</w:t>
      </w:r>
    </w:p>
    <w:p w:rsidR="00D75405" w:rsidRPr="00B04DC3" w:rsidRDefault="00D75405" w:rsidP="00D75405">
      <w:pPr>
        <w:pStyle w:val="para"/>
        <w:rPr>
          <w:lang w:val="en-GB"/>
        </w:rPr>
      </w:pPr>
      <w:r w:rsidRPr="00B04DC3">
        <w:rPr>
          <w:lang w:val="en-GB"/>
        </w:rPr>
        <w:t>2.4.1.</w:t>
      </w:r>
      <w:r w:rsidRPr="00B04DC3">
        <w:rPr>
          <w:lang w:val="en-GB"/>
        </w:rPr>
        <w:tab/>
        <w:t xml:space="preserve">Components of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PTT Particulate transfer tube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The particulate transfer tube shall not exceed 1,020 mm in length, and shall be minimized in length whenever possible. As indicated below (i.e. for partial flow dilution fractional sampling systems and for full flow dilution systems), the length of the sampling probes (SP, ISP, PS</w:t>
      </w:r>
      <w:r w:rsidR="00232B4E" w:rsidRPr="00B04DC3">
        <w:rPr>
          <w:lang w:val="en-GB"/>
        </w:rPr>
        <w:t>P, respectively, see paragraphs </w:t>
      </w:r>
      <w:r w:rsidRPr="00B04DC3">
        <w:rPr>
          <w:lang w:val="en-GB"/>
        </w:rPr>
        <w:t>2.2. and 2.3.</w:t>
      </w:r>
      <w:r w:rsidR="00E44FAF" w:rsidRPr="00E44FAF">
        <w:rPr>
          <w:lang w:eastAsia="en-GB"/>
        </w:rPr>
        <w:t xml:space="preserve"> </w:t>
      </w:r>
      <w:r w:rsidR="00E44FAF">
        <w:rPr>
          <w:lang w:eastAsia="en-GB"/>
        </w:rPr>
        <w:t>of this appendix</w:t>
      </w:r>
      <w:r w:rsidRPr="00B04DC3">
        <w:rPr>
          <w:lang w:val="en-GB"/>
        </w:rPr>
        <w:t>) shall be included.</w:t>
      </w:r>
    </w:p>
    <w:p w:rsidR="00D75405" w:rsidRPr="00B04DC3" w:rsidRDefault="00D75405" w:rsidP="00D75405">
      <w:pPr>
        <w:pStyle w:val="para"/>
        <w:rPr>
          <w:lang w:val="en-GB"/>
        </w:rPr>
      </w:pPr>
      <w:r w:rsidRPr="00B04DC3">
        <w:rPr>
          <w:lang w:val="en-GB"/>
        </w:rPr>
        <w:tab/>
        <w:t>The dimensions are valid for:</w:t>
      </w:r>
    </w:p>
    <w:p w:rsidR="00D75405" w:rsidRPr="00B04DC3" w:rsidRDefault="00D75405" w:rsidP="00D75405">
      <w:pPr>
        <w:pStyle w:val="a"/>
        <w:rPr>
          <w:lang w:val="en-GB"/>
        </w:rPr>
      </w:pPr>
      <w:r w:rsidRPr="00B04DC3">
        <w:rPr>
          <w:lang w:val="en-GB"/>
        </w:rPr>
        <w:t>(a)</w:t>
      </w:r>
      <w:r w:rsidRPr="00B04DC3">
        <w:rPr>
          <w:lang w:val="en-GB"/>
        </w:rPr>
        <w:tab/>
        <w:t>The partial flow dilution fractional sampling type and the full flow single dilution system from the tip of the probe (SP, ISP, PSP, respectively) to the filter holder;</w:t>
      </w:r>
    </w:p>
    <w:p w:rsidR="00D75405" w:rsidRPr="00B04DC3" w:rsidRDefault="00D75405" w:rsidP="00D75405">
      <w:pPr>
        <w:pStyle w:val="a"/>
        <w:rPr>
          <w:lang w:val="en-GB"/>
        </w:rPr>
      </w:pPr>
      <w:r w:rsidRPr="00B04DC3">
        <w:rPr>
          <w:lang w:val="en-GB"/>
        </w:rPr>
        <w:t>(b)</w:t>
      </w:r>
      <w:r w:rsidRPr="00B04DC3">
        <w:rPr>
          <w:lang w:val="en-GB"/>
        </w:rPr>
        <w:tab/>
        <w:t>The partial flow dilution total sampling type from the end of the dilution tunnel to the filter holder;</w:t>
      </w:r>
    </w:p>
    <w:p w:rsidR="00D75405" w:rsidRPr="00B04DC3" w:rsidRDefault="00D75405" w:rsidP="00D75405">
      <w:pPr>
        <w:pStyle w:val="a"/>
        <w:rPr>
          <w:lang w:val="en-GB"/>
        </w:rPr>
      </w:pPr>
      <w:r w:rsidRPr="00B04DC3">
        <w:rPr>
          <w:lang w:val="en-GB"/>
        </w:rPr>
        <w:t>(c)</w:t>
      </w:r>
      <w:r w:rsidRPr="00B04DC3">
        <w:rPr>
          <w:lang w:val="en-GB"/>
        </w:rPr>
        <w:tab/>
        <w:t>The full flow double dilution system from the tip of the probe (PSP) to the secondary dilution tunnel.</w:t>
      </w:r>
    </w:p>
    <w:p w:rsidR="00D75405" w:rsidRPr="00B04DC3" w:rsidRDefault="00D75405" w:rsidP="00D75405">
      <w:pPr>
        <w:pStyle w:val="para"/>
        <w:rPr>
          <w:lang w:val="en-GB"/>
        </w:rPr>
      </w:pPr>
      <w:r w:rsidRPr="00B04DC3">
        <w:rPr>
          <w:lang w:val="en-GB"/>
        </w:rPr>
        <w:tab/>
        <w:t>The transfer tube:</w:t>
      </w:r>
    </w:p>
    <w:p w:rsidR="00D75405" w:rsidRPr="00B04DC3" w:rsidRDefault="00D75405" w:rsidP="00D75405">
      <w:pPr>
        <w:pStyle w:val="a"/>
        <w:rPr>
          <w:lang w:val="en-GB"/>
        </w:rPr>
      </w:pPr>
      <w:r w:rsidRPr="00B04DC3">
        <w:rPr>
          <w:lang w:val="en-GB"/>
        </w:rPr>
        <w:t>(a)</w:t>
      </w:r>
      <w:r w:rsidRPr="00B04DC3">
        <w:rPr>
          <w:lang w:val="en-GB"/>
        </w:rPr>
        <w:tab/>
        <w:t>May be heated to no greater than 325K (52 °C) wall temperature by direct heating or by diluent pre-heating, provided the air temperature does not exceed 325 K (52 °C) prior to the introduction of the exhaust in the dilution tunnel;</w:t>
      </w:r>
    </w:p>
    <w:p w:rsidR="00D75405" w:rsidRPr="00B04DC3" w:rsidRDefault="00D75405" w:rsidP="00D75405">
      <w:pPr>
        <w:pStyle w:val="a"/>
        <w:rPr>
          <w:lang w:val="en-GB"/>
        </w:rPr>
      </w:pPr>
      <w:r w:rsidRPr="00B04DC3">
        <w:rPr>
          <w:lang w:val="en-GB"/>
        </w:rPr>
        <w:t>(b)</w:t>
      </w:r>
      <w:r w:rsidRPr="00B04DC3">
        <w:rPr>
          <w:lang w:val="en-GB"/>
        </w:rPr>
        <w:tab/>
        <w:t>May be insulated.</w:t>
      </w:r>
    </w:p>
    <w:p w:rsidR="00D75405" w:rsidRPr="00B04DC3" w:rsidRDefault="00D75405" w:rsidP="00D75405">
      <w:pPr>
        <w:pStyle w:val="para"/>
        <w:rPr>
          <w:lang w:val="en-GB"/>
        </w:rPr>
      </w:pPr>
      <w:r w:rsidRPr="00B04DC3">
        <w:rPr>
          <w:lang w:val="en-GB"/>
        </w:rPr>
        <w:tab/>
        <w:t>SDT secondary dilution tunnel (</w:t>
      </w:r>
      <w:r w:rsidR="00313D4E" w:rsidRPr="00B04DC3">
        <w:rPr>
          <w:lang w:val="en-GB"/>
        </w:rPr>
        <w:t>Figure</w:t>
      </w:r>
      <w:r w:rsidRPr="00B04DC3">
        <w:rPr>
          <w:lang w:val="en-GB"/>
        </w:rPr>
        <w:t xml:space="preserve"> 22)</w:t>
      </w:r>
    </w:p>
    <w:p w:rsidR="00D75405" w:rsidRPr="00B04DC3" w:rsidRDefault="00D75405" w:rsidP="00D75405">
      <w:pPr>
        <w:pStyle w:val="para"/>
        <w:rPr>
          <w:lang w:val="en-GB"/>
        </w:rPr>
      </w:pPr>
      <w:r w:rsidRPr="00B04DC3">
        <w:rPr>
          <w:lang w:val="en-GB"/>
        </w:rPr>
        <w:tab/>
        <w:t>The secondary dilution tunnel should have a minimum diameter of 75 mm, and should be of sufficient length so as to provide a residence time of at least</w:t>
      </w:r>
      <w:r w:rsidR="00933DA1" w:rsidRPr="00B04DC3">
        <w:rPr>
          <w:lang w:val="en-GB"/>
        </w:rPr>
        <w:t> </w:t>
      </w:r>
      <w:r w:rsidRPr="00B04DC3">
        <w:rPr>
          <w:lang w:val="en-GB"/>
        </w:rPr>
        <w:t>0.25 seconds for the doubly-diluted sample. The primary filter holder FH shall be located within 300 mm of the exit of the SDT.</w:t>
      </w:r>
    </w:p>
    <w:p w:rsidR="00D75405" w:rsidRPr="00B04DC3" w:rsidRDefault="00D75405" w:rsidP="00D75405">
      <w:pPr>
        <w:pStyle w:val="para"/>
        <w:rPr>
          <w:lang w:val="en-GB"/>
        </w:rPr>
      </w:pPr>
      <w:r w:rsidRPr="00B04DC3">
        <w:rPr>
          <w:lang w:val="en-GB"/>
        </w:rPr>
        <w:tab/>
        <w:t>The secondary dilution tunnel:</w:t>
      </w:r>
    </w:p>
    <w:p w:rsidR="00D75405" w:rsidRPr="00B04DC3" w:rsidRDefault="00D75405" w:rsidP="00D75405">
      <w:pPr>
        <w:pStyle w:val="a"/>
        <w:rPr>
          <w:lang w:val="en-GB"/>
        </w:rPr>
      </w:pPr>
      <w:r w:rsidRPr="00B04DC3">
        <w:rPr>
          <w:lang w:val="en-GB"/>
        </w:rPr>
        <w:t>(a)</w:t>
      </w:r>
      <w:r w:rsidRPr="00B04DC3">
        <w:rPr>
          <w:lang w:val="en-GB"/>
        </w:rPr>
        <w:tab/>
        <w:t>May be heated to no greater than 325 K (52 °C) wall temperature by direct heating or by diluent pre-heating, provided the air temperature does not exceed 325 K (52 °C) prior to the introduction of the exhaust in the dilution tunnel;</w:t>
      </w:r>
    </w:p>
    <w:p w:rsidR="00D75405" w:rsidRPr="00B04DC3" w:rsidRDefault="00D75405" w:rsidP="00D75405">
      <w:pPr>
        <w:pStyle w:val="a"/>
        <w:rPr>
          <w:lang w:val="en-GB"/>
        </w:rPr>
      </w:pPr>
      <w:r w:rsidRPr="00B04DC3">
        <w:rPr>
          <w:lang w:val="en-GB"/>
        </w:rPr>
        <w:t>(b)</w:t>
      </w:r>
      <w:r w:rsidRPr="00B04DC3">
        <w:rPr>
          <w:lang w:val="en-GB"/>
        </w:rPr>
        <w:tab/>
        <w:t>May be insulated.</w:t>
      </w:r>
    </w:p>
    <w:p w:rsidR="00D75405" w:rsidRPr="00B04DC3" w:rsidRDefault="00D75405" w:rsidP="00D75405">
      <w:pPr>
        <w:pStyle w:val="para"/>
        <w:rPr>
          <w:lang w:val="en-GB"/>
        </w:rPr>
      </w:pPr>
      <w:r w:rsidRPr="00B04DC3">
        <w:rPr>
          <w:lang w:val="en-GB"/>
        </w:rPr>
        <w:tab/>
        <w:t>FH Filter holder(s)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The filter holder shall meet the requirements of paragraph 4.1.3. of Appendix 4 to this annex.</w:t>
      </w:r>
    </w:p>
    <w:p w:rsidR="00D75405" w:rsidRPr="00B04DC3" w:rsidRDefault="00D75405" w:rsidP="00D75405">
      <w:pPr>
        <w:pStyle w:val="para"/>
        <w:rPr>
          <w:lang w:val="en-GB"/>
        </w:rPr>
      </w:pPr>
      <w:r w:rsidRPr="00B04DC3">
        <w:rPr>
          <w:lang w:val="en-GB"/>
        </w:rPr>
        <w:tab/>
        <w:t>The filter holder:</w:t>
      </w:r>
    </w:p>
    <w:p w:rsidR="00D75405" w:rsidRPr="00B04DC3" w:rsidRDefault="00D75405" w:rsidP="00D75405">
      <w:pPr>
        <w:pStyle w:val="a"/>
        <w:rPr>
          <w:lang w:val="en-GB"/>
        </w:rPr>
      </w:pPr>
      <w:r w:rsidRPr="00B04DC3">
        <w:rPr>
          <w:lang w:val="en-GB"/>
        </w:rPr>
        <w:t>(a)</w:t>
      </w:r>
      <w:r w:rsidRPr="00B04DC3">
        <w:rPr>
          <w:lang w:val="en-GB"/>
        </w:rPr>
        <w:tab/>
        <w:t>May be heated to no greater than 325 K (52 °C) wall temperature by direct heating or by diluent pre-heating, provided the air temperature does not exceed 325 K (52 °C) prior to the introduction of the exhaust in the dilution tunnel;</w:t>
      </w:r>
    </w:p>
    <w:p w:rsidR="00D75405" w:rsidRPr="00B04DC3" w:rsidRDefault="00D75405" w:rsidP="00D75405">
      <w:pPr>
        <w:pStyle w:val="a"/>
        <w:rPr>
          <w:lang w:val="en-GB"/>
        </w:rPr>
      </w:pPr>
      <w:r w:rsidRPr="00B04DC3">
        <w:rPr>
          <w:lang w:val="en-GB"/>
        </w:rPr>
        <w:t>(b)</w:t>
      </w:r>
      <w:r w:rsidRPr="00B04DC3">
        <w:rPr>
          <w:lang w:val="en-GB"/>
        </w:rPr>
        <w:tab/>
        <w:t>May be insulated.</w:t>
      </w:r>
    </w:p>
    <w:p w:rsidR="00D75405" w:rsidRPr="00B04DC3" w:rsidRDefault="00D75405" w:rsidP="00D75405">
      <w:pPr>
        <w:pStyle w:val="para"/>
        <w:rPr>
          <w:lang w:val="en-GB"/>
        </w:rPr>
      </w:pPr>
      <w:r w:rsidRPr="00B04DC3">
        <w:rPr>
          <w:lang w:val="en-GB"/>
        </w:rPr>
        <w:br w:type="page"/>
      </w:r>
      <w:r w:rsidRPr="00B04DC3">
        <w:rPr>
          <w:lang w:val="en-GB"/>
        </w:rPr>
        <w:tab/>
        <w:t>P sampling pump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The particulate sampling pump shall be located sufficiently distant from the tunnel so that the inlet gas temperature is maintained constant (±3 K), if flow correction by FC3 is not used.</w:t>
      </w:r>
    </w:p>
    <w:p w:rsidR="00D75405" w:rsidRPr="00B04DC3" w:rsidRDefault="00D75405" w:rsidP="00D75405">
      <w:pPr>
        <w:pStyle w:val="para"/>
        <w:rPr>
          <w:lang w:val="en-GB"/>
        </w:rPr>
      </w:pPr>
      <w:r w:rsidRPr="00B04DC3">
        <w:rPr>
          <w:lang w:val="en-GB"/>
        </w:rPr>
        <w:tab/>
        <w:t>DP diluent pump (</w:t>
      </w:r>
      <w:r w:rsidR="00313D4E" w:rsidRPr="00B04DC3">
        <w:rPr>
          <w:lang w:val="en-GB"/>
        </w:rPr>
        <w:t>Figure</w:t>
      </w:r>
      <w:r w:rsidRPr="00B04DC3">
        <w:rPr>
          <w:lang w:val="en-GB"/>
        </w:rPr>
        <w:t xml:space="preserve"> 22)</w:t>
      </w:r>
    </w:p>
    <w:p w:rsidR="00D75405" w:rsidRPr="00B04DC3" w:rsidRDefault="00D75405" w:rsidP="00D75405">
      <w:pPr>
        <w:pStyle w:val="para"/>
        <w:rPr>
          <w:lang w:val="en-GB"/>
        </w:rPr>
      </w:pPr>
      <w:r w:rsidRPr="00B04DC3">
        <w:rPr>
          <w:lang w:val="en-GB"/>
        </w:rPr>
        <w:tab/>
        <w:t>The diluent pump shall be located so that the secondary diluent is supplied at a temperature of 298 K ± 5 K (25 °C ± 5 °C), if the diluent is not preheated.</w:t>
      </w:r>
    </w:p>
    <w:p w:rsidR="00D75405" w:rsidRPr="00B04DC3" w:rsidRDefault="00D75405" w:rsidP="00D75405">
      <w:pPr>
        <w:pStyle w:val="para"/>
        <w:rPr>
          <w:lang w:val="en-GB"/>
        </w:rPr>
      </w:pPr>
      <w:r w:rsidRPr="00B04DC3">
        <w:rPr>
          <w:lang w:val="en-GB"/>
        </w:rPr>
        <w:tab/>
        <w:t>FC3 Flow controller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 xml:space="preserve">A flow controller shall be used to compensate the particulate sample flow rate for temperature and backpressure variations in the sample path, if no other means are available. The flow controller is required if electronic flow compensation EFC (see </w:t>
      </w:r>
      <w:r w:rsidR="00313D4E" w:rsidRPr="00B04DC3">
        <w:rPr>
          <w:lang w:val="en-GB"/>
        </w:rPr>
        <w:t>Figure</w:t>
      </w:r>
      <w:r w:rsidRPr="00B04DC3">
        <w:rPr>
          <w:lang w:val="en-GB"/>
        </w:rPr>
        <w:t xml:space="preserve"> 20) is used.</w:t>
      </w:r>
    </w:p>
    <w:p w:rsidR="00D75405" w:rsidRPr="00B04DC3" w:rsidRDefault="00D75405" w:rsidP="00D75405">
      <w:pPr>
        <w:pStyle w:val="para"/>
        <w:rPr>
          <w:lang w:val="en-GB"/>
        </w:rPr>
      </w:pPr>
      <w:r w:rsidRPr="00B04DC3">
        <w:rPr>
          <w:lang w:val="en-GB"/>
        </w:rPr>
        <w:tab/>
        <w:t>FM3 Flow measurement device (</w:t>
      </w:r>
      <w:r w:rsidR="00313D4E" w:rsidRPr="00B04DC3">
        <w:rPr>
          <w:lang w:val="en-GB"/>
        </w:rPr>
        <w:t>Figure</w:t>
      </w:r>
      <w:r w:rsidRPr="00B04DC3">
        <w:rPr>
          <w:lang w:val="en-GB"/>
        </w:rPr>
        <w:t>s 21 and 22)</w:t>
      </w:r>
    </w:p>
    <w:p w:rsidR="00D75405" w:rsidRPr="00B04DC3" w:rsidRDefault="00D75405" w:rsidP="00D75405">
      <w:pPr>
        <w:pStyle w:val="para"/>
        <w:rPr>
          <w:lang w:val="en-GB"/>
        </w:rPr>
      </w:pPr>
      <w:r w:rsidRPr="00B04DC3">
        <w:rPr>
          <w:lang w:val="en-GB"/>
        </w:rPr>
        <w:tab/>
        <w:t>The gas meter or flow instrumentation for the particulate sample flow shall be located sufficiently distant from the sampling pump P so that the inlet gas temperature remains constant (±3 K), if flow correction by FC3 is not used.</w:t>
      </w:r>
    </w:p>
    <w:p w:rsidR="00D75405" w:rsidRPr="00B04DC3" w:rsidRDefault="00D75405" w:rsidP="00D75405">
      <w:pPr>
        <w:pStyle w:val="para"/>
        <w:rPr>
          <w:lang w:val="en-GB"/>
        </w:rPr>
      </w:pPr>
      <w:r w:rsidRPr="00B04DC3">
        <w:rPr>
          <w:lang w:val="en-GB"/>
        </w:rPr>
        <w:tab/>
        <w:t>FM4 flow measurement device (</w:t>
      </w:r>
      <w:r w:rsidR="00313D4E" w:rsidRPr="00B04DC3">
        <w:rPr>
          <w:lang w:val="en-GB"/>
        </w:rPr>
        <w:t>Figure</w:t>
      </w:r>
      <w:r w:rsidRPr="00B04DC3">
        <w:rPr>
          <w:lang w:val="en-GB"/>
        </w:rPr>
        <w:t xml:space="preserve"> 22)</w:t>
      </w:r>
    </w:p>
    <w:p w:rsidR="00D75405" w:rsidRPr="00B04DC3" w:rsidRDefault="00D75405" w:rsidP="00D75405">
      <w:pPr>
        <w:pStyle w:val="para"/>
        <w:rPr>
          <w:lang w:val="en-GB"/>
        </w:rPr>
      </w:pPr>
      <w:r w:rsidRPr="00B04DC3">
        <w:rPr>
          <w:lang w:val="en-GB"/>
        </w:rPr>
        <w:tab/>
        <w:t xml:space="preserve">The gas meter or flow instrumentation for the diluent flow shall be located so that the inlet gas temperature remains at 298 K ± 5 K </w:t>
      </w:r>
      <w:r w:rsidRPr="00B04DC3">
        <w:rPr>
          <w:lang w:val="en-GB"/>
        </w:rPr>
        <w:br/>
        <w:t>(25 °C ± 5 °C).</w:t>
      </w:r>
    </w:p>
    <w:p w:rsidR="00D75405" w:rsidRPr="00B04DC3" w:rsidRDefault="00D75405" w:rsidP="00D75405">
      <w:pPr>
        <w:pStyle w:val="para"/>
        <w:rPr>
          <w:lang w:val="en-GB"/>
        </w:rPr>
      </w:pPr>
      <w:r w:rsidRPr="00B04DC3">
        <w:rPr>
          <w:lang w:val="en-GB"/>
        </w:rPr>
        <w:tab/>
        <w:t>BV ball valve (optional)</w:t>
      </w:r>
    </w:p>
    <w:p w:rsidR="00D75405" w:rsidRPr="00B04DC3" w:rsidRDefault="00D75405" w:rsidP="00D75405">
      <w:pPr>
        <w:pStyle w:val="para"/>
        <w:rPr>
          <w:lang w:val="en-GB"/>
        </w:rPr>
      </w:pPr>
      <w:r w:rsidRPr="00B04DC3">
        <w:rPr>
          <w:lang w:val="en-GB"/>
        </w:rPr>
        <w:tab/>
        <w:t>The ball valve shall have an inside diameter not less than the inside diameter of the particulate transfer tube PTT, and a switching time of less than 0.5 seconds.</w:t>
      </w:r>
    </w:p>
    <w:p w:rsidR="00D75405" w:rsidRPr="00B04DC3" w:rsidRDefault="00D75405" w:rsidP="00D75405">
      <w:pPr>
        <w:pStyle w:val="para"/>
        <w:rPr>
          <w:lang w:val="en-GB"/>
        </w:rPr>
      </w:pPr>
      <w:r w:rsidRPr="00B04DC3">
        <w:rPr>
          <w:lang w:val="en-GB"/>
        </w:rPr>
        <w:tab/>
      </w:r>
      <w:r w:rsidRPr="00B04DC3">
        <w:rPr>
          <w:i/>
          <w:lang w:val="en-GB"/>
        </w:rPr>
        <w:t>Note:</w:t>
      </w:r>
      <w:r w:rsidRPr="00B04DC3">
        <w:rPr>
          <w:lang w:val="en-GB"/>
        </w:rPr>
        <w:tab/>
        <w:t xml:space="preserve">If the ambient temperature in the vicinity of PSP, PTT, SDT, and FH is below 293 K (20 °C), precautions should be taken to avoid </w:t>
      </w:r>
      <w:r w:rsidR="002E6737">
        <w:rPr>
          <w:lang w:val="en-GB"/>
        </w:rPr>
        <w:t>particulateparticulate</w:t>
      </w:r>
      <w:r w:rsidRPr="00B04DC3">
        <w:rPr>
          <w:lang w:val="en-GB"/>
        </w:rPr>
        <w:t xml:space="preserve"> losses onto the cool wall of these parts. Therefore, heating and/or insulating these parts within the limits given in the respective descriptions is recommended. It is also recommended that the filter face temperature during sampling be not below 293 K (20 °C).</w:t>
      </w:r>
    </w:p>
    <w:p w:rsidR="00D75405" w:rsidRPr="00B04DC3" w:rsidRDefault="00D75405" w:rsidP="00D75405">
      <w:pPr>
        <w:pStyle w:val="para"/>
        <w:rPr>
          <w:lang w:val="en-GB"/>
        </w:rPr>
      </w:pPr>
      <w:r w:rsidRPr="00B04DC3">
        <w:rPr>
          <w:lang w:val="en-GB"/>
        </w:rPr>
        <w:tab/>
      </w:r>
      <w:r w:rsidRPr="00B04DC3">
        <w:rPr>
          <w:lang w:val="en-GB"/>
        </w:rPr>
        <w:tab/>
        <w:t>At high engine loads, the above parts may be cooled by a non-aggressive means such as a circulating fan, as long as the temperature of the cooling medium is not below 293 K (20 °C).</w:t>
      </w:r>
    </w:p>
    <w:p w:rsidR="00D75405" w:rsidRPr="00B04DC3" w:rsidRDefault="00D75405" w:rsidP="00D75405">
      <w:pPr>
        <w:pStyle w:val="para"/>
        <w:rPr>
          <w:lang w:val="en-GB"/>
        </w:rPr>
      </w:pPr>
      <w:r w:rsidRPr="00B04DC3">
        <w:rPr>
          <w:lang w:val="en-GB"/>
        </w:rPr>
        <w:t>3.</w:t>
      </w:r>
      <w:r w:rsidRPr="00B04DC3">
        <w:rPr>
          <w:lang w:val="en-GB"/>
        </w:rPr>
        <w:tab/>
        <w:t>Determination of smoke</w:t>
      </w:r>
    </w:p>
    <w:p w:rsidR="00D75405" w:rsidRPr="00B04DC3" w:rsidRDefault="00D75405" w:rsidP="00D75405">
      <w:pPr>
        <w:pStyle w:val="para"/>
        <w:rPr>
          <w:lang w:val="en-GB"/>
        </w:rPr>
      </w:pPr>
      <w:r w:rsidRPr="00B04DC3">
        <w:rPr>
          <w:lang w:val="en-GB"/>
        </w:rPr>
        <w:t>3.1.</w:t>
      </w:r>
      <w:r w:rsidRPr="00B04DC3">
        <w:rPr>
          <w:lang w:val="en-GB"/>
        </w:rPr>
        <w:tab/>
        <w:t>Introduction</w:t>
      </w:r>
    </w:p>
    <w:p w:rsidR="00D75405" w:rsidRPr="00B04DC3" w:rsidRDefault="00D75405" w:rsidP="00D75405">
      <w:pPr>
        <w:pStyle w:val="para"/>
        <w:rPr>
          <w:lang w:val="en-GB"/>
        </w:rPr>
      </w:pPr>
      <w:r w:rsidRPr="00B04DC3">
        <w:rPr>
          <w:lang w:val="en-GB"/>
        </w:rPr>
        <w:tab/>
        <w:t xml:space="preserve">Paragraphs 3.2. and 3.3. and </w:t>
      </w:r>
      <w:r w:rsidR="00313D4E" w:rsidRPr="00B04DC3">
        <w:rPr>
          <w:lang w:val="en-GB"/>
        </w:rPr>
        <w:t>Figure</w:t>
      </w:r>
      <w:r w:rsidRPr="00B04DC3">
        <w:rPr>
          <w:lang w:val="en-GB"/>
        </w:rPr>
        <w:t>s 23 and 24</w:t>
      </w:r>
      <w:r w:rsidR="00E44FAF" w:rsidRPr="00E44FAF">
        <w:rPr>
          <w:lang w:eastAsia="en-GB"/>
        </w:rPr>
        <w:t xml:space="preserve"> </w:t>
      </w:r>
      <w:r w:rsidR="00E44FAF">
        <w:rPr>
          <w:lang w:eastAsia="en-GB"/>
        </w:rPr>
        <w:t>of this appendix</w:t>
      </w:r>
      <w:r w:rsidRPr="00B04DC3">
        <w:rPr>
          <w:lang w:val="en-GB"/>
        </w:rPr>
        <w:t xml:space="preserve"> contain detailed descriptions of the recommended opacimeter systems. Since various configurations can produce equivalent results, exact conformance with </w:t>
      </w:r>
      <w:r w:rsidR="00313D4E" w:rsidRPr="00B04DC3">
        <w:rPr>
          <w:lang w:val="en-GB"/>
        </w:rPr>
        <w:t>Figure</w:t>
      </w:r>
      <w:r w:rsidRPr="00B04DC3">
        <w:rPr>
          <w:lang w:val="en-GB"/>
        </w:rPr>
        <w:t>s 23 and 24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rsidR="00D75405" w:rsidRPr="00B04DC3" w:rsidRDefault="00D75405" w:rsidP="00D75405">
      <w:pPr>
        <w:pStyle w:val="para"/>
        <w:rPr>
          <w:lang w:val="en-GB"/>
        </w:rPr>
      </w:pPr>
      <w:r w:rsidRPr="00B04DC3">
        <w:rPr>
          <w:lang w:val="en-GB"/>
        </w:rPr>
        <w:tab/>
        <w:t>The principle of measurement is that light is transmitted through a specific length of the smoke to be measured and that proportion of the incident light which reaches a receiver is used to assess the light obscuration properties of the medium. The smoke measurement depends upon the design of the apparatus, and may be done in the exhaust pipe (full flow in-line opacimeter), at the end of the exhaust pipe (full flow end-of-line opacimeter) or by taking a sample from the exhaust pipe (partial flow opacimeter). For the determination of the light absorption coefficient from the opacity signal, the optical path length of the instrument shall be supplied by the instrument manufacturer.</w:t>
      </w:r>
    </w:p>
    <w:p w:rsidR="00D75405" w:rsidRPr="00B04DC3" w:rsidRDefault="00D75405" w:rsidP="00D75405">
      <w:pPr>
        <w:pStyle w:val="para"/>
        <w:rPr>
          <w:lang w:val="en-GB"/>
        </w:rPr>
      </w:pPr>
      <w:r w:rsidRPr="00B04DC3">
        <w:rPr>
          <w:lang w:val="en-GB"/>
        </w:rPr>
        <w:t>3.2.</w:t>
      </w:r>
      <w:r w:rsidRPr="00B04DC3">
        <w:rPr>
          <w:lang w:val="en-GB"/>
        </w:rPr>
        <w:tab/>
        <w:t>Full flow opacimeter</w:t>
      </w:r>
    </w:p>
    <w:p w:rsidR="00D75405" w:rsidRPr="00B04DC3" w:rsidRDefault="00D75405" w:rsidP="00D75405">
      <w:pPr>
        <w:pStyle w:val="para"/>
        <w:rPr>
          <w:lang w:val="en-GB"/>
        </w:rPr>
      </w:pPr>
      <w:r w:rsidRPr="00B04DC3">
        <w:rPr>
          <w:lang w:val="en-GB"/>
        </w:rPr>
        <w:tab/>
        <w:t>Two general types of full flow opacimeters may be used (</w:t>
      </w:r>
      <w:r w:rsidR="00313D4E" w:rsidRPr="00B04DC3">
        <w:rPr>
          <w:lang w:val="en-GB"/>
        </w:rPr>
        <w:t>Figure</w:t>
      </w:r>
      <w:r w:rsidRPr="00B04DC3">
        <w:rPr>
          <w:lang w:val="en-GB"/>
        </w:rPr>
        <w:t xml:space="preserve"> 23). With the in-line opacimeter, the opacity of the full exhaust plume within the exhaust pipe is measured. With this type of opacimeter, the effective optical path length is a function of the opacimeter design.</w:t>
      </w:r>
    </w:p>
    <w:p w:rsidR="00D75405" w:rsidRPr="00B04DC3" w:rsidRDefault="00D75405" w:rsidP="00D75405">
      <w:pPr>
        <w:pStyle w:val="para"/>
        <w:rPr>
          <w:lang w:val="en-GB"/>
        </w:rPr>
      </w:pPr>
      <w:r w:rsidRPr="00B04DC3">
        <w:rPr>
          <w:lang w:val="en-GB"/>
        </w:rPr>
        <w:tab/>
        <w:t>With the end-of-line opacimeter, the opacity of the full exhaust plume is measured as it exits the exhaust pipe. With this type of opacimeter, the effective optical path length is a function of the exhaust pipe design and the distance between the end of the exhaust pipe and the opacimeter.</w:t>
      </w:r>
    </w:p>
    <w:p w:rsidR="00D75405" w:rsidRPr="00B04DC3" w:rsidRDefault="00D75405" w:rsidP="00D75405">
      <w:pPr>
        <w:pStyle w:val="Heading1"/>
      </w:pPr>
      <w:bookmarkStart w:id="392" w:name="_Toc399939987"/>
      <w:bookmarkStart w:id="393" w:name="_Toc423599573"/>
      <w:bookmarkStart w:id="394" w:name="_Toc423610981"/>
      <w:r w:rsidRPr="00B04DC3">
        <w:t>Figure 23</w:t>
      </w:r>
      <w:bookmarkEnd w:id="392"/>
      <w:bookmarkEnd w:id="393"/>
      <w:bookmarkEnd w:id="394"/>
    </w:p>
    <w:p w:rsidR="00D75405" w:rsidRPr="00B04DC3" w:rsidRDefault="00D75405" w:rsidP="00D75405">
      <w:pPr>
        <w:pStyle w:val="Heading1"/>
        <w:rPr>
          <w:b/>
        </w:rPr>
      </w:pPr>
      <w:bookmarkStart w:id="395" w:name="_Toc399939988"/>
      <w:bookmarkStart w:id="396" w:name="_Toc423599574"/>
      <w:bookmarkStart w:id="397" w:name="_Toc423610982"/>
      <w:r w:rsidRPr="00B04DC3">
        <w:rPr>
          <w:b/>
        </w:rPr>
        <w:t>Full flow opacimeter</w:t>
      </w:r>
      <w:bookmarkEnd w:id="395"/>
      <w:bookmarkEnd w:id="396"/>
      <w:bookmarkEnd w:id="397"/>
    </w:p>
    <w:p w:rsidR="00D75405" w:rsidRPr="00B04DC3" w:rsidRDefault="00A905B7" w:rsidP="002E1CE4">
      <w:pPr>
        <w:pStyle w:val="NormalCentered"/>
        <w:numPr>
          <w:ilvl w:val="0"/>
          <w:numId w:val="0"/>
        </w:numPr>
        <w:spacing w:before="0" w:after="240"/>
        <w:ind w:left="1134"/>
        <w:jc w:val="left"/>
      </w:pPr>
      <w:r>
        <w:pict>
          <v:shape id="_x0000_i1209" type="#_x0000_t75" style="width:311.4pt;height:197.4pt" fillcolor="window">
            <v:imagedata r:id="rId340" o:title="" cropright="14762f"/>
          </v:shape>
        </w:pict>
      </w:r>
    </w:p>
    <w:p w:rsidR="00D75405" w:rsidRPr="00B04DC3" w:rsidRDefault="00D75405" w:rsidP="00D75405">
      <w:pPr>
        <w:pStyle w:val="para"/>
        <w:rPr>
          <w:lang w:val="en-GB"/>
        </w:rPr>
      </w:pPr>
      <w:r w:rsidRPr="00B04DC3">
        <w:rPr>
          <w:lang w:val="en-GB"/>
        </w:rPr>
        <w:t>3.2.1.</w:t>
      </w:r>
      <w:r w:rsidRPr="00B04DC3">
        <w:rPr>
          <w:lang w:val="en-GB"/>
        </w:rPr>
        <w:tab/>
        <w:t xml:space="preserve">Components of </w:t>
      </w:r>
      <w:r w:rsidR="00313D4E" w:rsidRPr="00B04DC3">
        <w:rPr>
          <w:lang w:val="en-GB"/>
        </w:rPr>
        <w:t>Figure</w:t>
      </w:r>
      <w:r w:rsidRPr="00B04DC3">
        <w:rPr>
          <w:lang w:val="en-GB"/>
        </w:rPr>
        <w:t xml:space="preserve"> 23</w:t>
      </w:r>
    </w:p>
    <w:p w:rsidR="00D75405" w:rsidRPr="00B04DC3" w:rsidRDefault="00D75405" w:rsidP="00D75405">
      <w:pPr>
        <w:pStyle w:val="para"/>
        <w:rPr>
          <w:lang w:val="en-GB"/>
        </w:rPr>
      </w:pPr>
      <w:r w:rsidRPr="00B04DC3">
        <w:rPr>
          <w:lang w:val="en-GB"/>
        </w:rPr>
        <w:tab/>
        <w:t>EP exhaust pipe</w:t>
      </w:r>
    </w:p>
    <w:p w:rsidR="00D75405" w:rsidRPr="00B04DC3" w:rsidRDefault="00D75405" w:rsidP="00D75405">
      <w:pPr>
        <w:pStyle w:val="para"/>
        <w:rPr>
          <w:lang w:val="en-GB"/>
        </w:rPr>
      </w:pPr>
      <w:r w:rsidRPr="00B04DC3">
        <w:rPr>
          <w:lang w:val="en-GB"/>
        </w:rPr>
        <w:tab/>
        <w:t>With an in-line opacimeter, there shall be no change in the exhaust pipe diameter within 3 exhaust pipe diameters before or after the measuring zone. If the diameter of the measuring zone is greater than the diameter of the exhaust pipe, a pipe gradually convergent before the measuring zone is recommended.</w:t>
      </w:r>
    </w:p>
    <w:p w:rsidR="00D75405" w:rsidRPr="00B04DC3" w:rsidRDefault="00D75405" w:rsidP="002E1CE4">
      <w:pPr>
        <w:pStyle w:val="para"/>
        <w:keepNext/>
        <w:keepLines/>
        <w:rPr>
          <w:lang w:val="en-GB"/>
        </w:rPr>
      </w:pPr>
      <w:r w:rsidRPr="00B04DC3">
        <w:rPr>
          <w:lang w:val="en-GB"/>
        </w:rPr>
        <w:tab/>
        <w:t>With an end-of-line opacimeter, the terminal 0.6 m of the exhaust pipe shall be of circular cross section and be free from elbows and bends. The end of the exhaust pipe shall be cut off squarely. The opacimeter shall be mounted centrally to the plume within 25 ± 5 mm of the end of the exhaust pipe.</w:t>
      </w:r>
    </w:p>
    <w:p w:rsidR="00D75405" w:rsidRPr="00B04DC3" w:rsidRDefault="00D75405" w:rsidP="00D75405">
      <w:pPr>
        <w:pStyle w:val="para"/>
        <w:rPr>
          <w:lang w:val="en-GB"/>
        </w:rPr>
      </w:pPr>
      <w:r w:rsidRPr="00B04DC3">
        <w:rPr>
          <w:lang w:val="en-GB"/>
        </w:rPr>
        <w:tab/>
        <w:t>OPL optical path length</w:t>
      </w:r>
    </w:p>
    <w:p w:rsidR="00D75405" w:rsidRPr="00B04DC3" w:rsidRDefault="00D75405" w:rsidP="00D75405">
      <w:pPr>
        <w:pStyle w:val="para"/>
        <w:rPr>
          <w:lang w:val="en-GB"/>
        </w:rPr>
      </w:pPr>
      <w:r w:rsidRPr="00B04DC3">
        <w:rPr>
          <w:lang w:val="en-GB"/>
        </w:rPr>
        <w:tab/>
        <w:t>The length of the smoke obscured optical path between the opacimeter light source and the receiver, corrected as necessary for non-uniformity due to density gradients and fringe effect. The optical path length shall be submitted by the instrument manufacturer taking into account any measures against sooting (e.g. purge air). If the optical path length is not available, it shall be determined in accordance with ISO 11614, paragraph 11.6.5. For the correct determination of the optical path length, a minimum exhaust gas velocity of 20 m/s is required.</w:t>
      </w:r>
    </w:p>
    <w:p w:rsidR="00D75405" w:rsidRPr="00B04DC3" w:rsidRDefault="00D75405" w:rsidP="00D75405">
      <w:pPr>
        <w:pStyle w:val="para"/>
        <w:rPr>
          <w:lang w:val="en-GB"/>
        </w:rPr>
      </w:pPr>
      <w:r w:rsidRPr="00B04DC3">
        <w:rPr>
          <w:lang w:val="en-GB"/>
        </w:rPr>
        <w:tab/>
        <w:t>LS light source</w:t>
      </w:r>
    </w:p>
    <w:p w:rsidR="00D75405" w:rsidRPr="00B04DC3" w:rsidRDefault="00D75405" w:rsidP="00D75405">
      <w:pPr>
        <w:pStyle w:val="para"/>
        <w:rPr>
          <w:lang w:val="en-GB"/>
        </w:rPr>
      </w:pPr>
      <w:r w:rsidRPr="00B04DC3">
        <w:rPr>
          <w:lang w:val="en-GB"/>
        </w:rPr>
        <w:tab/>
        <w:t xml:space="preserve">The light source shall be an incandescent lamp with a colour temperature in the range of 2,800 to 3,250 K or a green light emitting diode (LED) with a spectral peak between 550 and 570 nm. The light source shall be protected against sooting by means that do not influence the optical path length beyond the </w:t>
      </w:r>
      <w:r w:rsidR="00A552B9" w:rsidRPr="00B04DC3">
        <w:rPr>
          <w:lang w:val="en-GB"/>
        </w:rPr>
        <w:t>manufacturer's</w:t>
      </w:r>
      <w:r w:rsidRPr="00B04DC3">
        <w:rPr>
          <w:lang w:val="en-GB"/>
        </w:rPr>
        <w:t xml:space="preserve"> specifications.</w:t>
      </w:r>
    </w:p>
    <w:p w:rsidR="00D75405" w:rsidRPr="00B04DC3" w:rsidRDefault="00D75405" w:rsidP="00D75405">
      <w:pPr>
        <w:pStyle w:val="para"/>
        <w:rPr>
          <w:lang w:val="en-GB"/>
        </w:rPr>
      </w:pPr>
      <w:r w:rsidRPr="00B04DC3">
        <w:rPr>
          <w:lang w:val="en-GB"/>
        </w:rPr>
        <w:tab/>
        <w:t>LD light detector</w:t>
      </w:r>
    </w:p>
    <w:p w:rsidR="00D75405" w:rsidRPr="00B04DC3" w:rsidRDefault="00D75405" w:rsidP="00D75405">
      <w:pPr>
        <w:pStyle w:val="para"/>
        <w:rPr>
          <w:lang w:val="en-GB"/>
        </w:rPr>
      </w:pPr>
      <w:r w:rsidRPr="00B04DC3">
        <w:rPr>
          <w:lang w:val="en-GB"/>
        </w:rPr>
        <w:tab/>
        <w:t xml:space="preserve">The detector shall be a photocell or a photodiode (with a filter, if necessary). In the case of an incandescent light source, the receiver shall have a peak spectral response similar to the phototopic curve of the human eye (maximum response) in the range of 550 to 570 nm, to less than 4 per cent of that maximum response below 430 nm and above 680 nm. The light detector shall be protected against sooting by means that do not influence the optical path length beyond the </w:t>
      </w:r>
      <w:r w:rsidR="003B4288" w:rsidRPr="00B04DC3">
        <w:rPr>
          <w:lang w:val="en-GB"/>
        </w:rPr>
        <w:t>manufacturer's</w:t>
      </w:r>
      <w:r w:rsidRPr="00B04DC3">
        <w:rPr>
          <w:lang w:val="en-GB"/>
        </w:rPr>
        <w:t xml:space="preserve"> specifications.</w:t>
      </w:r>
    </w:p>
    <w:p w:rsidR="00D75405" w:rsidRPr="00B04DC3" w:rsidRDefault="00D75405" w:rsidP="00D75405">
      <w:pPr>
        <w:pStyle w:val="para"/>
        <w:rPr>
          <w:lang w:val="en-GB"/>
        </w:rPr>
      </w:pPr>
      <w:r w:rsidRPr="00B04DC3">
        <w:rPr>
          <w:lang w:val="en-GB"/>
        </w:rPr>
        <w:tab/>
        <w:t>CL collimating lens</w:t>
      </w:r>
    </w:p>
    <w:p w:rsidR="00D75405" w:rsidRPr="00B04DC3" w:rsidRDefault="00D75405" w:rsidP="00D75405">
      <w:pPr>
        <w:pStyle w:val="para"/>
        <w:rPr>
          <w:lang w:val="en-GB"/>
        </w:rPr>
      </w:pPr>
      <w:r w:rsidRPr="00B04DC3">
        <w:rPr>
          <w:lang w:val="en-GB"/>
        </w:rPr>
        <w:tab/>
        <w:t xml:space="preserve">The light output shall be collimated to a </w:t>
      </w:r>
      <w:r w:rsidR="00933DA1" w:rsidRPr="00B04DC3">
        <w:rPr>
          <w:lang w:val="en-GB"/>
        </w:rPr>
        <w:t>beam with a maximum diameter of </w:t>
      </w:r>
      <w:r w:rsidRPr="00B04DC3">
        <w:rPr>
          <w:lang w:val="en-GB"/>
        </w:rPr>
        <w:t>30 mm. The rays of the light beam shall be</w:t>
      </w:r>
      <w:r w:rsidR="00933DA1" w:rsidRPr="00B04DC3">
        <w:rPr>
          <w:lang w:val="en-GB"/>
        </w:rPr>
        <w:t xml:space="preserve"> parallel within a tolerance of </w:t>
      </w:r>
      <w:r w:rsidR="00E44FAF">
        <w:rPr>
          <w:lang w:val="en-GB"/>
        </w:rPr>
        <w:t>±</w:t>
      </w:r>
      <w:r w:rsidRPr="00B04DC3">
        <w:rPr>
          <w:lang w:val="en-GB"/>
        </w:rPr>
        <w:t>3° of the optical axis.</w:t>
      </w:r>
    </w:p>
    <w:p w:rsidR="00D75405" w:rsidRPr="00B04DC3" w:rsidRDefault="00D75405" w:rsidP="00D75405">
      <w:pPr>
        <w:pStyle w:val="para"/>
        <w:rPr>
          <w:lang w:val="en-GB"/>
        </w:rPr>
      </w:pPr>
      <w:r w:rsidRPr="00B04DC3">
        <w:rPr>
          <w:lang w:val="en-GB"/>
        </w:rPr>
        <w:tab/>
        <w:t>T1 temperature sensor (optional)</w:t>
      </w:r>
    </w:p>
    <w:p w:rsidR="00D75405" w:rsidRPr="00B04DC3" w:rsidRDefault="00D75405" w:rsidP="00D75405">
      <w:pPr>
        <w:pStyle w:val="para"/>
        <w:rPr>
          <w:lang w:val="en-GB"/>
        </w:rPr>
      </w:pPr>
      <w:r w:rsidRPr="00B04DC3">
        <w:rPr>
          <w:lang w:val="en-GB"/>
        </w:rPr>
        <w:tab/>
        <w:t>The exhaust gas temperature may be monitored over the test.</w:t>
      </w:r>
    </w:p>
    <w:p w:rsidR="00D75405" w:rsidRPr="00B04DC3" w:rsidRDefault="00D75405" w:rsidP="00D75405">
      <w:pPr>
        <w:pStyle w:val="para"/>
        <w:rPr>
          <w:lang w:val="en-GB"/>
        </w:rPr>
      </w:pPr>
      <w:r w:rsidRPr="00B04DC3">
        <w:rPr>
          <w:lang w:val="en-GB"/>
        </w:rPr>
        <w:t>3.3.</w:t>
      </w:r>
      <w:r w:rsidRPr="00B04DC3">
        <w:rPr>
          <w:lang w:val="en-GB"/>
        </w:rPr>
        <w:tab/>
        <w:t>Partial flow opacimeter</w:t>
      </w:r>
    </w:p>
    <w:p w:rsidR="00D75405" w:rsidRPr="00B04DC3" w:rsidRDefault="00D75405" w:rsidP="00D75405">
      <w:pPr>
        <w:pStyle w:val="para"/>
        <w:rPr>
          <w:lang w:val="en-GB"/>
        </w:rPr>
      </w:pPr>
      <w:r w:rsidRPr="00B04DC3">
        <w:rPr>
          <w:lang w:val="en-GB"/>
        </w:rPr>
        <w:tab/>
        <w:t>With the partial flow opacimeter (</w:t>
      </w:r>
      <w:r w:rsidR="00313D4E" w:rsidRPr="00B04DC3">
        <w:rPr>
          <w:lang w:val="en-GB"/>
        </w:rPr>
        <w:t>Figure</w:t>
      </w:r>
      <w:r w:rsidRPr="00B04DC3">
        <w:rPr>
          <w:lang w:val="en-GB"/>
        </w:rPr>
        <w:t xml:space="preserve"> 24), a representative exhaust sample is taken from the exhaust pipe and passed through a transfer line to the measuring chamber. With this type of opacimeter, the effective optical path length is a function of the opacimeter design. The response times referred to in the following paragraph apply to the minimum flow rate of the opacimeter, as specified by the instrument manufacturer.</w:t>
      </w:r>
    </w:p>
    <w:p w:rsidR="00D75405" w:rsidRPr="00B04DC3" w:rsidRDefault="00933DA1" w:rsidP="00D75405">
      <w:pPr>
        <w:pStyle w:val="Heading1"/>
      </w:pPr>
      <w:r w:rsidRPr="00B04DC3">
        <w:br w:type="page"/>
      </w:r>
      <w:bookmarkStart w:id="398" w:name="_Toc399939989"/>
      <w:bookmarkStart w:id="399" w:name="_Toc423599575"/>
      <w:bookmarkStart w:id="400" w:name="_Toc423610983"/>
      <w:r w:rsidR="00D75405" w:rsidRPr="00B04DC3">
        <w:t>Figure 24</w:t>
      </w:r>
      <w:bookmarkEnd w:id="398"/>
      <w:bookmarkEnd w:id="399"/>
      <w:bookmarkEnd w:id="400"/>
    </w:p>
    <w:p w:rsidR="00D75405" w:rsidRPr="00B04DC3" w:rsidRDefault="00D75405" w:rsidP="00D75405">
      <w:pPr>
        <w:pStyle w:val="Heading1"/>
        <w:rPr>
          <w:b/>
        </w:rPr>
      </w:pPr>
      <w:bookmarkStart w:id="401" w:name="_Toc399939990"/>
      <w:bookmarkStart w:id="402" w:name="_Toc423599576"/>
      <w:bookmarkStart w:id="403" w:name="_Toc423610984"/>
      <w:r w:rsidRPr="00B04DC3">
        <w:rPr>
          <w:b/>
        </w:rPr>
        <w:t>Partial flow opacimeter</w:t>
      </w:r>
      <w:bookmarkEnd w:id="401"/>
      <w:bookmarkEnd w:id="402"/>
      <w:bookmarkEnd w:id="403"/>
    </w:p>
    <w:p w:rsidR="00D75405" w:rsidRPr="00B04DC3" w:rsidRDefault="00A905B7" w:rsidP="002E1CE4">
      <w:pPr>
        <w:pStyle w:val="NormalCentered"/>
        <w:numPr>
          <w:ilvl w:val="0"/>
          <w:numId w:val="0"/>
        </w:numPr>
        <w:spacing w:after="240"/>
        <w:ind w:left="1134"/>
        <w:jc w:val="left"/>
      </w:pPr>
      <w:r>
        <w:pict>
          <v:shape id="_x0000_i1210" type="#_x0000_t75" style="width:241.8pt;height:245.4pt" fillcolor="window">
            <v:imagedata r:id="rId341" o:title="" cropright="28869f"/>
          </v:shape>
        </w:pict>
      </w:r>
    </w:p>
    <w:p w:rsidR="00D75405" w:rsidRPr="00B04DC3" w:rsidRDefault="00D75405" w:rsidP="00D75405">
      <w:pPr>
        <w:pStyle w:val="para"/>
        <w:rPr>
          <w:lang w:val="en-GB"/>
        </w:rPr>
      </w:pPr>
      <w:r w:rsidRPr="00B04DC3">
        <w:rPr>
          <w:lang w:val="en-GB"/>
        </w:rPr>
        <w:t>3.3.1.</w:t>
      </w:r>
      <w:r w:rsidRPr="00B04DC3">
        <w:rPr>
          <w:lang w:val="en-GB"/>
        </w:rPr>
        <w:tab/>
        <w:t xml:space="preserve">Components of </w:t>
      </w:r>
      <w:r w:rsidR="00313D4E" w:rsidRPr="00B04DC3">
        <w:rPr>
          <w:lang w:val="en-GB"/>
        </w:rPr>
        <w:t>Figure</w:t>
      </w:r>
      <w:r w:rsidRPr="00B04DC3">
        <w:rPr>
          <w:lang w:val="en-GB"/>
        </w:rPr>
        <w:t xml:space="preserve"> 24</w:t>
      </w:r>
    </w:p>
    <w:p w:rsidR="00D75405" w:rsidRPr="00B04DC3" w:rsidRDefault="00D75405" w:rsidP="00D75405">
      <w:pPr>
        <w:pStyle w:val="para"/>
        <w:rPr>
          <w:lang w:val="en-GB"/>
        </w:rPr>
      </w:pPr>
      <w:r w:rsidRPr="00B04DC3">
        <w:rPr>
          <w:lang w:val="en-GB"/>
        </w:rPr>
        <w:tab/>
        <w:t>EP exhaust pipe</w:t>
      </w:r>
    </w:p>
    <w:p w:rsidR="00D75405" w:rsidRPr="00B04DC3" w:rsidRDefault="00D75405" w:rsidP="00D75405">
      <w:pPr>
        <w:pStyle w:val="para"/>
        <w:rPr>
          <w:lang w:val="en-GB"/>
        </w:rPr>
      </w:pPr>
      <w:r w:rsidRPr="00B04DC3">
        <w:rPr>
          <w:lang w:val="en-GB"/>
        </w:rPr>
        <w:tab/>
        <w:t>The exhaust pipe shall be a straight pipe of at least 6-pipe diameters upstream and 3-pipe diameters downstream of the tip of the probe.</w:t>
      </w:r>
    </w:p>
    <w:p w:rsidR="00D75405" w:rsidRPr="00B04DC3" w:rsidRDefault="00D75405" w:rsidP="00D75405">
      <w:pPr>
        <w:pStyle w:val="para"/>
        <w:rPr>
          <w:lang w:val="en-GB"/>
        </w:rPr>
      </w:pPr>
      <w:r w:rsidRPr="00B04DC3">
        <w:rPr>
          <w:lang w:val="en-GB"/>
        </w:rPr>
        <w:tab/>
        <w:t>SP sampling probe</w:t>
      </w:r>
    </w:p>
    <w:p w:rsidR="00D75405" w:rsidRPr="00B04DC3" w:rsidRDefault="00D75405" w:rsidP="00D75405">
      <w:pPr>
        <w:pStyle w:val="para"/>
        <w:rPr>
          <w:lang w:val="en-GB"/>
        </w:rPr>
      </w:pPr>
      <w:r w:rsidRPr="00B04DC3">
        <w:rPr>
          <w:lang w:val="en-GB"/>
        </w:rPr>
        <w:tab/>
        <w:t>The sampling probe shall be an open tube facing upstream on or about the exhaust pipe centreline. The clearance with the wall of the tailpipe shall be at least 5 mm. The probe diameter shall ensure a representative sampling and a sufficient flow through the opacimeter.</w:t>
      </w:r>
    </w:p>
    <w:p w:rsidR="00D75405" w:rsidRPr="00B04DC3" w:rsidRDefault="00D75405" w:rsidP="00D75405">
      <w:pPr>
        <w:pStyle w:val="para"/>
        <w:rPr>
          <w:lang w:val="en-GB"/>
        </w:rPr>
      </w:pPr>
      <w:r w:rsidRPr="00B04DC3">
        <w:rPr>
          <w:lang w:val="en-GB"/>
        </w:rPr>
        <w:tab/>
        <w:t>TT transfer tube</w:t>
      </w:r>
    </w:p>
    <w:p w:rsidR="00D75405" w:rsidRPr="00B04DC3" w:rsidRDefault="00D75405" w:rsidP="00D75405">
      <w:pPr>
        <w:pStyle w:val="para"/>
        <w:rPr>
          <w:lang w:val="en-GB"/>
        </w:rPr>
      </w:pPr>
      <w:r w:rsidRPr="00B04DC3">
        <w:rPr>
          <w:lang w:val="en-GB"/>
        </w:rPr>
        <w:tab/>
        <w:t>The transfer tube shall:</w:t>
      </w:r>
    </w:p>
    <w:p w:rsidR="00D75405" w:rsidRPr="00B04DC3" w:rsidRDefault="00D75405" w:rsidP="00D75405">
      <w:pPr>
        <w:pStyle w:val="a"/>
        <w:rPr>
          <w:lang w:val="en-GB"/>
        </w:rPr>
      </w:pPr>
      <w:r w:rsidRPr="00B04DC3">
        <w:rPr>
          <w:lang w:val="en-GB"/>
        </w:rPr>
        <w:t>(a)</w:t>
      </w:r>
      <w:r w:rsidRPr="00B04DC3">
        <w:rPr>
          <w:lang w:val="en-GB"/>
        </w:rPr>
        <w:tab/>
        <w:t>Be as short as possible and ensure an exhaust gas temperature of 373 ± 30 K (100 °C ± 30 °C) at the entrance to the measuring chamber.</w:t>
      </w:r>
    </w:p>
    <w:p w:rsidR="00D75405" w:rsidRPr="00B04DC3" w:rsidRDefault="00D75405" w:rsidP="00D75405">
      <w:pPr>
        <w:pStyle w:val="a"/>
        <w:rPr>
          <w:lang w:val="en-GB"/>
        </w:rPr>
      </w:pPr>
      <w:r w:rsidRPr="00B04DC3">
        <w:rPr>
          <w:lang w:val="en-GB"/>
        </w:rPr>
        <w:t>(b)</w:t>
      </w:r>
      <w:r w:rsidRPr="00B04DC3">
        <w:rPr>
          <w:lang w:val="en-GB"/>
        </w:rPr>
        <w:tab/>
        <w:t>Have a wall temperature sufficiently above the dew point of the exhaust gas to prevent condensation.</w:t>
      </w:r>
    </w:p>
    <w:p w:rsidR="00D75405" w:rsidRPr="00B04DC3" w:rsidRDefault="00D75405" w:rsidP="00D75405">
      <w:pPr>
        <w:pStyle w:val="a"/>
        <w:rPr>
          <w:lang w:val="en-GB"/>
        </w:rPr>
      </w:pPr>
      <w:r w:rsidRPr="00B04DC3">
        <w:rPr>
          <w:lang w:val="en-GB"/>
        </w:rPr>
        <w:t>(c)</w:t>
      </w:r>
      <w:r w:rsidRPr="00B04DC3">
        <w:rPr>
          <w:lang w:val="en-GB"/>
        </w:rPr>
        <w:tab/>
        <w:t>Be equal to the diameter of the sampling probe over the entire length.</w:t>
      </w:r>
    </w:p>
    <w:p w:rsidR="00D75405" w:rsidRPr="00B04DC3" w:rsidRDefault="00D75405" w:rsidP="00D75405">
      <w:pPr>
        <w:pStyle w:val="a"/>
        <w:rPr>
          <w:lang w:val="en-GB"/>
        </w:rPr>
      </w:pPr>
      <w:r w:rsidRPr="00B04DC3">
        <w:rPr>
          <w:lang w:val="en-GB"/>
        </w:rPr>
        <w:t>(d)</w:t>
      </w:r>
      <w:r w:rsidRPr="00B04DC3">
        <w:rPr>
          <w:lang w:val="en-GB"/>
        </w:rPr>
        <w:tab/>
        <w:t>Have a response time of less than 0.05 s at minimum instrument flow, as determined according to paragraph 5.2.4. of Appendix 4 to this annex.</w:t>
      </w:r>
    </w:p>
    <w:p w:rsidR="00D75405" w:rsidRPr="00B04DC3" w:rsidRDefault="00D75405" w:rsidP="00D75405">
      <w:pPr>
        <w:pStyle w:val="a"/>
        <w:rPr>
          <w:lang w:val="en-GB"/>
        </w:rPr>
      </w:pPr>
      <w:r w:rsidRPr="00B04DC3">
        <w:rPr>
          <w:lang w:val="en-GB"/>
        </w:rPr>
        <w:t>(e)</w:t>
      </w:r>
      <w:r w:rsidRPr="00B04DC3">
        <w:rPr>
          <w:lang w:val="en-GB"/>
        </w:rPr>
        <w:tab/>
        <w:t>Have no significant effect on the smoke peak.</w:t>
      </w:r>
    </w:p>
    <w:p w:rsidR="00D75405" w:rsidRPr="00B04DC3" w:rsidRDefault="00D75405" w:rsidP="00D75405">
      <w:pPr>
        <w:pStyle w:val="para"/>
        <w:rPr>
          <w:lang w:val="en-GB"/>
        </w:rPr>
      </w:pPr>
      <w:r w:rsidRPr="00B04DC3">
        <w:rPr>
          <w:lang w:val="en-GB"/>
        </w:rPr>
        <w:br w:type="page"/>
      </w:r>
      <w:r w:rsidRPr="00B04DC3">
        <w:rPr>
          <w:lang w:val="en-GB"/>
        </w:rPr>
        <w:tab/>
        <w:t>FM flow measurement device</w:t>
      </w:r>
    </w:p>
    <w:p w:rsidR="00D75405" w:rsidRPr="00B04DC3" w:rsidRDefault="00D75405" w:rsidP="00D75405">
      <w:pPr>
        <w:pStyle w:val="para"/>
        <w:rPr>
          <w:lang w:val="en-GB"/>
        </w:rPr>
      </w:pPr>
      <w:r w:rsidRPr="00B04DC3">
        <w:rPr>
          <w:lang w:val="en-GB"/>
        </w:rPr>
        <w:tab/>
        <w:t>Flow instrumentation to detect the correct flow into the measuring chamber. The minimum and maximum flow rates shall be specified by the instrument manufacturer, and shall be such that the response time requirement of TT and the optical path length specifications are met. The flow measurement device may be close to the sampling pump, P, if used.</w:t>
      </w:r>
    </w:p>
    <w:p w:rsidR="00D75405" w:rsidRPr="00B04DC3" w:rsidRDefault="00D75405" w:rsidP="00D75405">
      <w:pPr>
        <w:pStyle w:val="para"/>
        <w:rPr>
          <w:lang w:val="en-GB"/>
        </w:rPr>
      </w:pPr>
      <w:r w:rsidRPr="00B04DC3">
        <w:rPr>
          <w:lang w:val="en-GB"/>
        </w:rPr>
        <w:tab/>
        <w:t>MC measuring chamber</w:t>
      </w:r>
    </w:p>
    <w:p w:rsidR="00D75405" w:rsidRPr="00B04DC3" w:rsidRDefault="00D75405" w:rsidP="00D75405">
      <w:pPr>
        <w:pStyle w:val="para"/>
        <w:rPr>
          <w:lang w:val="en-GB"/>
        </w:rPr>
      </w:pPr>
      <w:r w:rsidRPr="00B04DC3">
        <w:rPr>
          <w:lang w:val="en-GB"/>
        </w:rPr>
        <w:tab/>
        <w:t>The measuring chamber shall have a non-reflective internal surface, or equivalent optical environment. The impingement of stray light on the detector due to internal reflections of diffusion effects shall be reduced to a minimum.</w:t>
      </w:r>
    </w:p>
    <w:p w:rsidR="00D75405" w:rsidRPr="00B04DC3" w:rsidRDefault="00D75405" w:rsidP="00D75405">
      <w:pPr>
        <w:pStyle w:val="para"/>
        <w:rPr>
          <w:lang w:val="en-GB"/>
        </w:rPr>
      </w:pPr>
      <w:r w:rsidRPr="00B04DC3">
        <w:rPr>
          <w:lang w:val="en-GB"/>
        </w:rPr>
        <w:tab/>
        <w:t>The pressure of the gas in the measuring chamber shall not differ from the atmospheric pressure by more than 0.75 kPa. Where this is not possible by design, the opacimeter reading shall be converted to atmospheric pressure.</w:t>
      </w:r>
    </w:p>
    <w:p w:rsidR="00D75405" w:rsidRPr="00B04DC3" w:rsidRDefault="00D75405" w:rsidP="00D75405">
      <w:pPr>
        <w:pStyle w:val="para"/>
        <w:rPr>
          <w:lang w:val="en-GB"/>
        </w:rPr>
      </w:pPr>
      <w:r w:rsidRPr="00B04DC3">
        <w:rPr>
          <w:lang w:val="en-GB"/>
        </w:rPr>
        <w:tab/>
        <w:t>The wall temperature of the measuring chamber shall be set to within ±5 K between 343 K (70 °C) and 373 K (100 °C), but in any case sufficiently above the dew point of the exhaust gas to prevent condensation. The measuring chamber shall be equipped with appropriate devices for measuring the temperature.</w:t>
      </w:r>
    </w:p>
    <w:p w:rsidR="00D75405" w:rsidRPr="00B04DC3" w:rsidRDefault="00D75405" w:rsidP="00D75405">
      <w:pPr>
        <w:pStyle w:val="para"/>
        <w:rPr>
          <w:lang w:val="en-GB"/>
        </w:rPr>
      </w:pPr>
      <w:r w:rsidRPr="00B04DC3">
        <w:rPr>
          <w:lang w:val="en-GB"/>
        </w:rPr>
        <w:tab/>
        <w:t>OPL optical path length</w:t>
      </w:r>
    </w:p>
    <w:p w:rsidR="00D75405" w:rsidRPr="00B04DC3" w:rsidRDefault="00D75405" w:rsidP="00D75405">
      <w:pPr>
        <w:pStyle w:val="para"/>
        <w:rPr>
          <w:lang w:val="en-GB"/>
        </w:rPr>
      </w:pPr>
      <w:r w:rsidRPr="00B04DC3">
        <w:rPr>
          <w:lang w:val="en-GB"/>
        </w:rPr>
        <w:tab/>
        <w:t>The length of the smoke obscured optical path between the opacimeter light source and the receiver, corrected as necessary for non-uniformity due to density gradients and fringe effect. The optical path length shall be submitted by the instrument manufacturer taking into account any measures against sooting (e.g. purge air). If the optical path length is not available, it shall be determined in accordance with ISO 11614, paragraph 11.6.5.</w:t>
      </w:r>
    </w:p>
    <w:p w:rsidR="00D75405" w:rsidRPr="00B04DC3" w:rsidRDefault="00D75405" w:rsidP="00D75405">
      <w:pPr>
        <w:pStyle w:val="para"/>
        <w:rPr>
          <w:lang w:val="en-GB"/>
        </w:rPr>
      </w:pPr>
      <w:r w:rsidRPr="00B04DC3">
        <w:rPr>
          <w:lang w:val="en-GB"/>
        </w:rPr>
        <w:tab/>
        <w:t>LS light source</w:t>
      </w:r>
    </w:p>
    <w:p w:rsidR="00D75405" w:rsidRPr="00B04DC3" w:rsidRDefault="00D75405" w:rsidP="00D75405">
      <w:pPr>
        <w:pStyle w:val="para"/>
        <w:rPr>
          <w:lang w:val="en-GB"/>
        </w:rPr>
      </w:pPr>
      <w:r w:rsidRPr="00B04DC3">
        <w:rPr>
          <w:lang w:val="en-GB"/>
        </w:rPr>
        <w:tab/>
        <w:t xml:space="preserve">The light source shall be an incandescent lamp with a colour temperature in the range of 2,800 to 3,250 K or a green </w:t>
      </w:r>
      <w:r w:rsidR="00E44FAF">
        <w:rPr>
          <w:lang w:val="en-GB"/>
        </w:rPr>
        <w:t>L</w:t>
      </w:r>
      <w:r w:rsidR="00E44FAF" w:rsidRPr="00B04DC3">
        <w:rPr>
          <w:lang w:val="en-GB"/>
        </w:rPr>
        <w:t xml:space="preserve">ight </w:t>
      </w:r>
      <w:r w:rsidR="00E44FAF">
        <w:rPr>
          <w:lang w:val="en-GB"/>
        </w:rPr>
        <w:t>E</w:t>
      </w:r>
      <w:r w:rsidR="00E44FAF" w:rsidRPr="00B04DC3">
        <w:rPr>
          <w:lang w:val="en-GB"/>
        </w:rPr>
        <w:t xml:space="preserve">mitting </w:t>
      </w:r>
      <w:r w:rsidR="00E44FAF">
        <w:rPr>
          <w:lang w:val="en-GB"/>
        </w:rPr>
        <w:t>D</w:t>
      </w:r>
      <w:r w:rsidR="00E44FAF" w:rsidRPr="00B04DC3">
        <w:rPr>
          <w:lang w:val="en-GB"/>
        </w:rPr>
        <w:t xml:space="preserve">iode </w:t>
      </w:r>
      <w:r w:rsidRPr="00B04DC3">
        <w:rPr>
          <w:lang w:val="en-GB"/>
        </w:rPr>
        <w:t>(LED) with a spectral peak between 550 and 570 nm. The light source shall be protected against sooting by means that do not influence the optical path length beyond the manufacturer's specifications.</w:t>
      </w:r>
    </w:p>
    <w:p w:rsidR="00D75405" w:rsidRPr="00B04DC3" w:rsidRDefault="00D75405" w:rsidP="00D75405">
      <w:pPr>
        <w:pStyle w:val="para"/>
        <w:rPr>
          <w:lang w:val="en-GB"/>
        </w:rPr>
      </w:pPr>
      <w:r w:rsidRPr="00B04DC3">
        <w:rPr>
          <w:lang w:val="en-GB"/>
        </w:rPr>
        <w:tab/>
        <w:t>LD light detector</w:t>
      </w:r>
    </w:p>
    <w:p w:rsidR="00D75405" w:rsidRPr="00B04DC3" w:rsidRDefault="00D75405" w:rsidP="00D75405">
      <w:pPr>
        <w:pStyle w:val="para"/>
        <w:rPr>
          <w:lang w:val="en-GB"/>
        </w:rPr>
      </w:pPr>
      <w:r w:rsidRPr="00B04DC3">
        <w:rPr>
          <w:lang w:val="en-GB"/>
        </w:rPr>
        <w:tab/>
        <w:t>The detector shall be a photocell or a photodiode (with a filter, if necessary). In the case of an incandescent light source, the receiver shall have a peak spectral response similar to the phototopic curve of the human eye (maximum response) in the range of 550 to 570 nm, to less than 4 per cent of that maximum response below 430 nm and above 680 nm. The light detector shall be protected against sooting by means that do not influence the optical path length beyond the manufacturer's specifications.</w:t>
      </w:r>
    </w:p>
    <w:p w:rsidR="00D75405" w:rsidRPr="00B04DC3" w:rsidRDefault="00D75405" w:rsidP="00D75405">
      <w:pPr>
        <w:pStyle w:val="para"/>
        <w:rPr>
          <w:lang w:val="en-GB"/>
        </w:rPr>
      </w:pPr>
      <w:r w:rsidRPr="00B04DC3">
        <w:rPr>
          <w:lang w:val="en-GB"/>
        </w:rPr>
        <w:tab/>
        <w:t>CL collimating lens</w:t>
      </w:r>
    </w:p>
    <w:p w:rsidR="00D75405" w:rsidRPr="00B04DC3" w:rsidRDefault="00D75405" w:rsidP="00D75405">
      <w:pPr>
        <w:pStyle w:val="para"/>
        <w:rPr>
          <w:lang w:val="en-GB"/>
        </w:rPr>
      </w:pPr>
      <w:r w:rsidRPr="00B04DC3">
        <w:rPr>
          <w:lang w:val="en-GB"/>
        </w:rPr>
        <w:tab/>
        <w:t xml:space="preserve">The light output shall be collimated to a beam with a maximum diameter of 30 mm. The rays of the light beam shall be parallel within a tolerance of </w:t>
      </w:r>
      <w:r w:rsidR="00E44FAF" w:rsidRPr="00E44FAF">
        <w:rPr>
          <w:lang w:val="en-GB"/>
        </w:rPr>
        <w:t>±</w:t>
      </w:r>
      <w:r w:rsidRPr="00B04DC3">
        <w:rPr>
          <w:lang w:val="en-GB"/>
        </w:rPr>
        <w:t>3° of the optical axis.</w:t>
      </w:r>
    </w:p>
    <w:p w:rsidR="00D75405" w:rsidRPr="00B04DC3" w:rsidRDefault="00D75405" w:rsidP="00D75405">
      <w:pPr>
        <w:pStyle w:val="para"/>
        <w:rPr>
          <w:lang w:val="en-GB"/>
        </w:rPr>
      </w:pPr>
      <w:r w:rsidRPr="00B04DC3">
        <w:rPr>
          <w:lang w:val="en-GB"/>
        </w:rPr>
        <w:br w:type="page"/>
      </w:r>
      <w:r w:rsidRPr="00B04DC3">
        <w:rPr>
          <w:lang w:val="en-GB"/>
        </w:rPr>
        <w:tab/>
        <w:t>T1 temperature sensor</w:t>
      </w:r>
    </w:p>
    <w:p w:rsidR="00D75405" w:rsidRPr="00B04DC3" w:rsidRDefault="00D75405" w:rsidP="00D75405">
      <w:pPr>
        <w:pStyle w:val="para"/>
        <w:rPr>
          <w:lang w:val="en-GB"/>
        </w:rPr>
      </w:pPr>
      <w:r w:rsidRPr="00B04DC3">
        <w:rPr>
          <w:lang w:val="en-GB"/>
        </w:rPr>
        <w:tab/>
        <w:t>To monitor the exhaust gas temperature at the entrance to the measuring chamber.</w:t>
      </w:r>
    </w:p>
    <w:p w:rsidR="00D75405" w:rsidRPr="00B04DC3" w:rsidRDefault="00D75405" w:rsidP="00D75405">
      <w:pPr>
        <w:pStyle w:val="para"/>
        <w:rPr>
          <w:lang w:val="en-GB"/>
        </w:rPr>
      </w:pPr>
      <w:r w:rsidRPr="00B04DC3">
        <w:rPr>
          <w:lang w:val="en-GB"/>
        </w:rPr>
        <w:tab/>
        <w:t>P sampling pump (optional)</w:t>
      </w:r>
    </w:p>
    <w:p w:rsidR="00D75405" w:rsidRPr="00B04DC3" w:rsidRDefault="00D75405" w:rsidP="00D75405">
      <w:pPr>
        <w:pStyle w:val="para"/>
        <w:rPr>
          <w:lang w:val="en-GB"/>
        </w:rPr>
      </w:pPr>
      <w:r w:rsidRPr="00B04DC3">
        <w:rPr>
          <w:lang w:val="en-GB"/>
        </w:rPr>
        <w:tab/>
        <w:t>A sampling pump downstream of the measuring chamber may be used to transfer the sample gas through the measuring chamber.</w:t>
      </w:r>
    </w:p>
    <w:p w:rsidR="00933DA1" w:rsidRPr="00B04DC3" w:rsidRDefault="00933DA1" w:rsidP="0080740F">
      <w:pPr>
        <w:pStyle w:val="SingleTxtG"/>
        <w:sectPr w:rsidR="00933DA1" w:rsidRPr="00B04DC3" w:rsidSect="00D75405">
          <w:headerReference w:type="even" r:id="rId342"/>
          <w:headerReference w:type="default" r:id="rId343"/>
          <w:headerReference w:type="first" r:id="rId344"/>
          <w:footerReference w:type="first" r:id="rId345"/>
          <w:footnotePr>
            <w:numRestart w:val="eachSect"/>
          </w:footnotePr>
          <w:endnotePr>
            <w:numFmt w:val="decimal"/>
          </w:endnotePr>
          <w:pgSz w:w="11907" w:h="16840" w:code="9"/>
          <w:pgMar w:top="1985" w:right="1134" w:bottom="2268" w:left="1134" w:header="1134" w:footer="1701" w:gutter="0"/>
          <w:cols w:space="720"/>
          <w:titlePg/>
        </w:sectPr>
      </w:pPr>
    </w:p>
    <w:p w:rsidR="00002BA6" w:rsidRPr="00B04DC3" w:rsidRDefault="00002BA6" w:rsidP="00002BA6">
      <w:pPr>
        <w:pStyle w:val="HChG"/>
      </w:pPr>
      <w:bookmarkStart w:id="404" w:name="_Toc423599577"/>
      <w:bookmarkStart w:id="405" w:name="_Toc423610985"/>
      <w:r w:rsidRPr="00B04DC3">
        <w:t>Annex 4B</w:t>
      </w:r>
      <w:bookmarkEnd w:id="404"/>
      <w:bookmarkEnd w:id="405"/>
    </w:p>
    <w:p w:rsidR="00002BA6" w:rsidRPr="00B04DC3" w:rsidRDefault="00002BA6" w:rsidP="00002BA6">
      <w:pPr>
        <w:pStyle w:val="HChG"/>
        <w:rPr>
          <w:lang w:eastAsia="en-GB"/>
        </w:rPr>
      </w:pPr>
      <w:r w:rsidRPr="00B04DC3">
        <w:tab/>
      </w:r>
      <w:r w:rsidRPr="00B04DC3">
        <w:tab/>
      </w:r>
      <w:bookmarkStart w:id="406" w:name="_Toc423599578"/>
      <w:bookmarkStart w:id="407" w:name="_Toc423610986"/>
      <w:r w:rsidRPr="00B04DC3">
        <w:rPr>
          <w:lang w:eastAsia="en-GB"/>
        </w:rPr>
        <w:t xml:space="preserve">Test procedure for </w:t>
      </w:r>
      <w:r w:rsidR="004E4A52" w:rsidRPr="00B04DC3">
        <w:rPr>
          <w:lang w:eastAsia="en-GB"/>
        </w:rPr>
        <w:t>C</w:t>
      </w:r>
      <w:r w:rsidRPr="00B04DC3">
        <w:rPr>
          <w:lang w:eastAsia="en-GB"/>
        </w:rPr>
        <w:t>ompression-</w:t>
      </w:r>
      <w:r w:rsidR="004E4A52" w:rsidRPr="00B04DC3">
        <w:rPr>
          <w:lang w:eastAsia="en-GB"/>
        </w:rPr>
        <w:t>I</w:t>
      </w:r>
      <w:r w:rsidRPr="00B04DC3">
        <w:rPr>
          <w:lang w:eastAsia="en-GB"/>
        </w:rPr>
        <w:t xml:space="preserve">gnition (C.I.) engines and </w:t>
      </w:r>
      <w:r w:rsidR="004E4A52" w:rsidRPr="00B04DC3">
        <w:rPr>
          <w:lang w:eastAsia="en-GB"/>
        </w:rPr>
        <w:t>P</w:t>
      </w:r>
      <w:r w:rsidRPr="00B04DC3">
        <w:rPr>
          <w:lang w:eastAsia="en-GB"/>
        </w:rPr>
        <w:t>ositive-</w:t>
      </w:r>
      <w:r w:rsidR="004E4A52" w:rsidRPr="00B04DC3">
        <w:rPr>
          <w:lang w:eastAsia="en-GB"/>
        </w:rPr>
        <w:t>I</w:t>
      </w:r>
      <w:r w:rsidRPr="00B04DC3">
        <w:rPr>
          <w:lang w:eastAsia="en-GB"/>
        </w:rPr>
        <w:t xml:space="preserve">gnition (P.I.) engines fuelled with </w:t>
      </w:r>
      <w:r w:rsidR="004E4A52" w:rsidRPr="00B04DC3">
        <w:rPr>
          <w:lang w:eastAsia="en-GB"/>
        </w:rPr>
        <w:t>N</w:t>
      </w:r>
      <w:r w:rsidRPr="00B04DC3">
        <w:rPr>
          <w:lang w:eastAsia="en-GB"/>
        </w:rPr>
        <w:t xml:space="preserve">atural </w:t>
      </w:r>
      <w:r w:rsidR="004E4A52" w:rsidRPr="00B04DC3">
        <w:rPr>
          <w:lang w:eastAsia="en-GB"/>
        </w:rPr>
        <w:t>G</w:t>
      </w:r>
      <w:r w:rsidRPr="00B04DC3">
        <w:rPr>
          <w:lang w:eastAsia="en-GB"/>
        </w:rPr>
        <w:t xml:space="preserve">as (NG) or </w:t>
      </w:r>
      <w:r w:rsidR="004E4A52" w:rsidRPr="00B04DC3">
        <w:rPr>
          <w:lang w:eastAsia="en-GB"/>
        </w:rPr>
        <w:t>L</w:t>
      </w:r>
      <w:r w:rsidRPr="00B04DC3">
        <w:rPr>
          <w:lang w:eastAsia="en-GB"/>
        </w:rPr>
        <w:t xml:space="preserve">iquefied </w:t>
      </w:r>
      <w:r w:rsidR="004E4A52" w:rsidRPr="00B04DC3">
        <w:rPr>
          <w:lang w:eastAsia="en-GB"/>
        </w:rPr>
        <w:t>P</w:t>
      </w:r>
      <w:r w:rsidRPr="00B04DC3">
        <w:rPr>
          <w:lang w:eastAsia="en-GB"/>
        </w:rPr>
        <w:t xml:space="preserve">etroleum </w:t>
      </w:r>
      <w:r w:rsidR="004E4A52" w:rsidRPr="00B04DC3">
        <w:rPr>
          <w:lang w:eastAsia="en-GB"/>
        </w:rPr>
        <w:t>G</w:t>
      </w:r>
      <w:r w:rsidRPr="00B04DC3">
        <w:rPr>
          <w:lang w:eastAsia="en-GB"/>
        </w:rPr>
        <w:t xml:space="preserve">as (LPG) incorporating the </w:t>
      </w:r>
      <w:r w:rsidR="004E4A52" w:rsidRPr="00B04DC3">
        <w:rPr>
          <w:lang w:eastAsia="en-GB"/>
        </w:rPr>
        <w:t>W</w:t>
      </w:r>
      <w:r w:rsidRPr="00B04DC3">
        <w:rPr>
          <w:lang w:eastAsia="en-GB"/>
        </w:rPr>
        <w:t xml:space="preserve">orld-wide </w:t>
      </w:r>
      <w:r w:rsidR="004E4A52" w:rsidRPr="00B04DC3">
        <w:rPr>
          <w:lang w:eastAsia="en-GB"/>
        </w:rPr>
        <w:t>H</w:t>
      </w:r>
      <w:r w:rsidRPr="00B04DC3">
        <w:rPr>
          <w:lang w:eastAsia="en-GB"/>
        </w:rPr>
        <w:t xml:space="preserve">armonized </w:t>
      </w:r>
      <w:r w:rsidR="004E4A52" w:rsidRPr="00B04DC3">
        <w:rPr>
          <w:lang w:eastAsia="en-GB"/>
        </w:rPr>
        <w:t>H</w:t>
      </w:r>
      <w:r w:rsidRPr="00B04DC3">
        <w:rPr>
          <w:lang w:eastAsia="en-GB"/>
        </w:rPr>
        <w:t xml:space="preserve">eavy </w:t>
      </w:r>
      <w:r w:rsidR="004E4A52" w:rsidRPr="00B04DC3">
        <w:rPr>
          <w:lang w:eastAsia="en-GB"/>
        </w:rPr>
        <w:t>D</w:t>
      </w:r>
      <w:r w:rsidRPr="00B04DC3">
        <w:rPr>
          <w:lang w:eastAsia="en-GB"/>
        </w:rPr>
        <w:t xml:space="preserve">uty </w:t>
      </w:r>
      <w:r w:rsidR="004E4A52" w:rsidRPr="00B04DC3">
        <w:rPr>
          <w:lang w:eastAsia="en-GB"/>
        </w:rPr>
        <w:t>C</w:t>
      </w:r>
      <w:r w:rsidRPr="00B04DC3">
        <w:rPr>
          <w:lang w:eastAsia="en-GB"/>
        </w:rPr>
        <w:t>ertification (WHDC, global technical regulation (gtr) No. 4)</w:t>
      </w:r>
      <w:bookmarkEnd w:id="406"/>
      <w:bookmarkEnd w:id="407"/>
    </w:p>
    <w:p w:rsidR="001448D0" w:rsidRPr="00B04DC3" w:rsidRDefault="001448D0" w:rsidP="001448D0">
      <w:pPr>
        <w:spacing w:after="120"/>
        <w:ind w:left="2268" w:right="1134" w:hanging="1134"/>
        <w:jc w:val="both"/>
      </w:pPr>
      <w:bookmarkStart w:id="408" w:name="_Toc66871718"/>
      <w:bookmarkStart w:id="409" w:name="_Toc66951775"/>
      <w:bookmarkStart w:id="410" w:name="_Toc66953199"/>
      <w:r w:rsidRPr="00B04DC3">
        <w:t>1.</w:t>
      </w:r>
      <w:r w:rsidRPr="00B04DC3">
        <w:tab/>
        <w:t>Applicability</w:t>
      </w:r>
    </w:p>
    <w:p w:rsidR="001448D0" w:rsidRPr="00B04DC3" w:rsidRDefault="001448D0" w:rsidP="001448D0">
      <w:pPr>
        <w:spacing w:after="120"/>
        <w:ind w:left="2268" w:right="1134" w:hanging="1134"/>
        <w:jc w:val="both"/>
      </w:pPr>
      <w:r w:rsidRPr="00B04DC3">
        <w:tab/>
        <w:t>This annex is not applicable for the purpose of type approval according to this Regulation for the time being. It will be made applicable in the future.</w:t>
      </w:r>
    </w:p>
    <w:p w:rsidR="001448D0" w:rsidRPr="00B04DC3" w:rsidRDefault="001448D0" w:rsidP="001448D0">
      <w:pPr>
        <w:pStyle w:val="para"/>
        <w:rPr>
          <w:lang w:val="en-GB"/>
        </w:rPr>
      </w:pPr>
      <w:r w:rsidRPr="00B04DC3">
        <w:rPr>
          <w:lang w:val="en-GB"/>
        </w:rPr>
        <w:tab/>
        <w:t>This Annex is applicable for dual-fuel engines when referenced from Annex 4A or Appendix 4 to Annex 11.</w:t>
      </w:r>
    </w:p>
    <w:p w:rsidR="00002BA6" w:rsidRPr="00B04DC3" w:rsidRDefault="00002BA6" w:rsidP="00002BA6">
      <w:pPr>
        <w:pStyle w:val="para"/>
        <w:rPr>
          <w:lang w:val="en-GB"/>
        </w:rPr>
      </w:pPr>
      <w:bookmarkStart w:id="411" w:name="_Toc66871719"/>
      <w:bookmarkStart w:id="412" w:name="_Toc66951776"/>
      <w:bookmarkStart w:id="413" w:name="_Toc66953200"/>
      <w:bookmarkEnd w:id="408"/>
      <w:bookmarkEnd w:id="409"/>
      <w:bookmarkEnd w:id="410"/>
      <w:r w:rsidRPr="00B04DC3">
        <w:rPr>
          <w:lang w:val="en-GB"/>
        </w:rPr>
        <w:t>2.</w:t>
      </w:r>
      <w:r w:rsidRPr="00B04DC3">
        <w:rPr>
          <w:lang w:val="en-GB"/>
        </w:rPr>
        <w:tab/>
      </w:r>
      <w:bookmarkEnd w:id="411"/>
      <w:bookmarkEnd w:id="412"/>
      <w:bookmarkEnd w:id="413"/>
      <w:r w:rsidRPr="00B04DC3">
        <w:rPr>
          <w:lang w:val="en-GB"/>
        </w:rPr>
        <w:t>Reserved</w:t>
      </w:r>
      <w:r w:rsidRPr="00B04DC3">
        <w:rPr>
          <w:vertAlign w:val="superscript"/>
          <w:lang w:val="en-GB"/>
        </w:rPr>
        <w:footnoteReference w:id="35"/>
      </w:r>
    </w:p>
    <w:p w:rsidR="00002BA6" w:rsidRPr="00B04DC3" w:rsidRDefault="00002BA6" w:rsidP="00002BA6">
      <w:pPr>
        <w:pStyle w:val="para"/>
        <w:rPr>
          <w:lang w:val="en-GB"/>
        </w:rPr>
      </w:pPr>
      <w:bookmarkStart w:id="414" w:name="_Toc66871720"/>
      <w:bookmarkStart w:id="415" w:name="_Toc66951777"/>
      <w:bookmarkStart w:id="416" w:name="_Toc66953201"/>
      <w:r w:rsidRPr="00B04DC3">
        <w:rPr>
          <w:lang w:val="en-GB"/>
        </w:rPr>
        <w:t>3.</w:t>
      </w:r>
      <w:r w:rsidRPr="00B04DC3">
        <w:rPr>
          <w:lang w:val="en-GB"/>
        </w:rPr>
        <w:tab/>
        <w:t>Definitions, symbols and abbreviations</w:t>
      </w:r>
      <w:bookmarkEnd w:id="414"/>
      <w:bookmarkEnd w:id="415"/>
      <w:bookmarkEnd w:id="416"/>
    </w:p>
    <w:p w:rsidR="00002BA6" w:rsidRPr="00B04DC3" w:rsidRDefault="00002BA6" w:rsidP="00002BA6">
      <w:pPr>
        <w:pStyle w:val="para"/>
        <w:rPr>
          <w:lang w:val="en-GB"/>
        </w:rPr>
      </w:pPr>
      <w:r w:rsidRPr="00B04DC3">
        <w:rPr>
          <w:lang w:val="en-GB"/>
        </w:rPr>
        <w:t>3.1.</w:t>
      </w:r>
      <w:r w:rsidRPr="00B04DC3">
        <w:rPr>
          <w:lang w:val="en-GB"/>
        </w:rPr>
        <w:tab/>
        <w:t>Definitions</w:t>
      </w:r>
    </w:p>
    <w:p w:rsidR="00002BA6" w:rsidRPr="00B04DC3" w:rsidRDefault="00002BA6" w:rsidP="00002BA6">
      <w:pPr>
        <w:pStyle w:val="para"/>
        <w:rPr>
          <w:lang w:val="en-GB"/>
        </w:rPr>
      </w:pPr>
      <w:r w:rsidRPr="00B04DC3">
        <w:rPr>
          <w:lang w:val="en-GB"/>
        </w:rPr>
        <w:tab/>
        <w:t>For the purpose of this Regulation,</w:t>
      </w:r>
    </w:p>
    <w:p w:rsidR="00002BA6" w:rsidRPr="00B04DC3" w:rsidRDefault="00002BA6" w:rsidP="00002BA6">
      <w:pPr>
        <w:pStyle w:val="para"/>
        <w:rPr>
          <w:lang w:val="en-GB"/>
        </w:rPr>
      </w:pPr>
      <w:r w:rsidRPr="00B04DC3">
        <w:rPr>
          <w:lang w:val="en-GB"/>
        </w:rPr>
        <w:t>3.1.1.</w:t>
      </w:r>
      <w:r w:rsidRPr="00B04DC3">
        <w:rPr>
          <w:lang w:val="en-GB"/>
        </w:rPr>
        <w:tab/>
        <w:t>"</w:t>
      </w:r>
      <w:r w:rsidRPr="00B04DC3">
        <w:rPr>
          <w:i/>
          <w:lang w:val="en-GB"/>
        </w:rPr>
        <w:t>Continuous regeneration</w:t>
      </w:r>
      <w:r w:rsidRPr="00B04DC3">
        <w:rPr>
          <w:lang w:val="en-GB"/>
        </w:rPr>
        <w:t xml:space="preserve">" means the regeneration process of an exhaust after-treatment system that occurs either permanently or at least once per </w:t>
      </w:r>
      <w:r w:rsidR="004E4A52">
        <w:rPr>
          <w:lang w:val="en-GB"/>
        </w:rPr>
        <w:t>World Harmonized Transient Cycle (</w:t>
      </w:r>
      <w:r w:rsidRPr="00B04DC3">
        <w:rPr>
          <w:lang w:val="en-GB"/>
        </w:rPr>
        <w:t>WHTC</w:t>
      </w:r>
      <w:r w:rsidR="004E4A52">
        <w:rPr>
          <w:lang w:val="en-GB"/>
        </w:rPr>
        <w:t>)</w:t>
      </w:r>
      <w:r w:rsidRPr="00B04DC3">
        <w:rPr>
          <w:lang w:val="en-GB"/>
        </w:rPr>
        <w:t xml:space="preserve"> hot start test. Such a regeneration process will not require a special test procedure.</w:t>
      </w:r>
    </w:p>
    <w:p w:rsidR="00002BA6" w:rsidRPr="00B04DC3" w:rsidRDefault="00002BA6" w:rsidP="00002BA6">
      <w:pPr>
        <w:pStyle w:val="para"/>
        <w:rPr>
          <w:lang w:val="en-GB"/>
        </w:rPr>
      </w:pPr>
      <w:r w:rsidRPr="00B04DC3">
        <w:rPr>
          <w:lang w:val="en-GB"/>
        </w:rPr>
        <w:t>3.1.2.</w:t>
      </w:r>
      <w:r w:rsidRPr="00B04DC3">
        <w:rPr>
          <w:lang w:val="en-GB"/>
        </w:rPr>
        <w:tab/>
        <w:t>"</w:t>
      </w:r>
      <w:r w:rsidRPr="00B04DC3">
        <w:rPr>
          <w:i/>
          <w:lang w:val="en-GB"/>
        </w:rPr>
        <w:t>Delay time</w:t>
      </w:r>
      <w:r w:rsidRPr="00B04DC3">
        <w:rPr>
          <w:lang w:val="en-GB"/>
        </w:rPr>
        <w:t>" means the difference in time between the change of the component to be measured at the reference point and a system response of 10 per cent of the final reading (t10) with the sampling probe being defined as the reference point. For the gaseous components, this is the transport time of the measured component from the sampling probe to the detector.</w:t>
      </w:r>
    </w:p>
    <w:p w:rsidR="00002BA6" w:rsidRPr="00B04DC3" w:rsidRDefault="00002BA6" w:rsidP="00002BA6">
      <w:pPr>
        <w:pStyle w:val="para"/>
        <w:rPr>
          <w:lang w:val="en-GB"/>
        </w:rPr>
      </w:pPr>
      <w:r w:rsidRPr="00B04DC3">
        <w:rPr>
          <w:lang w:val="en-GB"/>
        </w:rPr>
        <w:t>3.1.3.</w:t>
      </w:r>
      <w:r w:rsidRPr="00B04DC3">
        <w:rPr>
          <w:lang w:val="en-GB"/>
        </w:rPr>
        <w:tab/>
        <w:t>"</w:t>
      </w:r>
      <w:r w:rsidR="004E4A52" w:rsidRPr="00B04DC3">
        <w:rPr>
          <w:i/>
          <w:lang w:val="en-GB"/>
        </w:rPr>
        <w:t>DeNO</w:t>
      </w:r>
      <w:r w:rsidR="004E4A52" w:rsidRPr="001829E6">
        <w:rPr>
          <w:i/>
          <w:vertAlign w:val="subscript"/>
          <w:lang w:val="en-GB"/>
        </w:rPr>
        <w:t>x</w:t>
      </w:r>
      <w:r w:rsidRPr="00B04DC3">
        <w:rPr>
          <w:i/>
          <w:lang w:val="en-GB"/>
        </w:rPr>
        <w:t xml:space="preserve"> system</w:t>
      </w:r>
      <w:r w:rsidRPr="00B04DC3">
        <w:rPr>
          <w:lang w:val="en-GB"/>
        </w:rPr>
        <w:t>" means an exhaust after-treatment system designed to reduce emissions of oxides of nitrogen (NO</w:t>
      </w:r>
      <w:r w:rsidRPr="00B04DC3">
        <w:rPr>
          <w:vertAlign w:val="subscript"/>
          <w:lang w:val="en-GB"/>
        </w:rPr>
        <w:t>x</w:t>
      </w:r>
      <w:r w:rsidRPr="00B04DC3">
        <w:rPr>
          <w:lang w:val="en-GB"/>
        </w:rPr>
        <w:t>) (e.g. passive and active lean NO</w:t>
      </w:r>
      <w:r w:rsidRPr="00B04DC3">
        <w:rPr>
          <w:vertAlign w:val="subscript"/>
          <w:lang w:val="en-GB"/>
        </w:rPr>
        <w:t>x</w:t>
      </w:r>
      <w:r w:rsidRPr="00B04DC3">
        <w:rPr>
          <w:lang w:val="en-GB"/>
        </w:rPr>
        <w:t xml:space="preserve"> catalysts, NO</w:t>
      </w:r>
      <w:r w:rsidRPr="00B04DC3">
        <w:rPr>
          <w:vertAlign w:val="subscript"/>
          <w:lang w:val="en-GB"/>
        </w:rPr>
        <w:t>x</w:t>
      </w:r>
      <w:r w:rsidRPr="00B04DC3">
        <w:rPr>
          <w:lang w:val="en-GB"/>
        </w:rPr>
        <w:t xml:space="preserve"> adsorbers and selective catalytic reduction (SCR) systems).</w:t>
      </w:r>
    </w:p>
    <w:p w:rsidR="00002BA6" w:rsidRPr="00B04DC3" w:rsidRDefault="00002BA6" w:rsidP="00002BA6">
      <w:pPr>
        <w:pStyle w:val="para"/>
        <w:rPr>
          <w:lang w:val="en-GB"/>
        </w:rPr>
      </w:pPr>
      <w:r w:rsidRPr="00B04DC3">
        <w:rPr>
          <w:lang w:val="en-GB"/>
        </w:rPr>
        <w:t>3.1.4.</w:t>
      </w:r>
      <w:r w:rsidRPr="00B04DC3">
        <w:rPr>
          <w:lang w:val="en-GB"/>
        </w:rPr>
        <w:tab/>
        <w:t>"</w:t>
      </w:r>
      <w:r w:rsidRPr="00B04DC3">
        <w:rPr>
          <w:i/>
          <w:lang w:val="en-GB"/>
        </w:rPr>
        <w:t>Diesel engine</w:t>
      </w:r>
      <w:r w:rsidRPr="00B04DC3">
        <w:rPr>
          <w:lang w:val="en-GB"/>
        </w:rPr>
        <w:t>" means an engine which works on the compression-ignition principle.</w:t>
      </w:r>
    </w:p>
    <w:p w:rsidR="00002BA6" w:rsidRPr="00B04DC3" w:rsidRDefault="00002BA6" w:rsidP="00002BA6">
      <w:pPr>
        <w:pStyle w:val="para"/>
        <w:rPr>
          <w:lang w:val="en-GB"/>
        </w:rPr>
      </w:pPr>
      <w:r w:rsidRPr="00B04DC3">
        <w:rPr>
          <w:lang w:val="en-GB"/>
        </w:rPr>
        <w:t>3.1.5.</w:t>
      </w:r>
      <w:r w:rsidRPr="00B04DC3">
        <w:rPr>
          <w:lang w:val="en-GB"/>
        </w:rPr>
        <w:tab/>
        <w:t>"</w:t>
      </w:r>
      <w:r w:rsidRPr="00B04DC3">
        <w:rPr>
          <w:i/>
          <w:lang w:val="en-GB"/>
        </w:rPr>
        <w:t>Drift</w:t>
      </w:r>
      <w:r w:rsidRPr="00B04DC3">
        <w:rPr>
          <w:lang w:val="en-GB"/>
        </w:rPr>
        <w:t>" means the difference between the zero or span responses of the measurement instrument after and before an emissions test.</w:t>
      </w:r>
    </w:p>
    <w:p w:rsidR="00002BA6" w:rsidRPr="00B04DC3" w:rsidRDefault="00002BA6" w:rsidP="00002BA6">
      <w:pPr>
        <w:pStyle w:val="para"/>
        <w:rPr>
          <w:lang w:val="en-GB"/>
        </w:rPr>
      </w:pPr>
      <w:r w:rsidRPr="00B04DC3">
        <w:rPr>
          <w:lang w:val="en-GB"/>
        </w:rPr>
        <w:t>3.1.6.</w:t>
      </w:r>
      <w:r w:rsidRPr="00B04DC3">
        <w:rPr>
          <w:lang w:val="en-GB"/>
        </w:rPr>
        <w:tab/>
        <w:t>"</w:t>
      </w:r>
      <w:r w:rsidRPr="00B04DC3">
        <w:rPr>
          <w:i/>
          <w:lang w:val="en-GB"/>
        </w:rPr>
        <w:t>Engine family</w:t>
      </w:r>
      <w:r w:rsidRPr="00B04DC3">
        <w:rPr>
          <w:lang w:val="en-GB"/>
        </w:rPr>
        <w:t>" means a manufacturers grouping of engines which, through their design as defined in paragraph 5.2. of this annex, have similar exhaust emission characteristics; all members of the family shall comply with the applicable emission limit values.</w:t>
      </w:r>
    </w:p>
    <w:p w:rsidR="00002BA6" w:rsidRPr="00B04DC3" w:rsidRDefault="00002BA6" w:rsidP="00002BA6">
      <w:pPr>
        <w:pStyle w:val="para"/>
        <w:rPr>
          <w:lang w:val="en-GB"/>
        </w:rPr>
      </w:pPr>
      <w:r w:rsidRPr="00B04DC3">
        <w:rPr>
          <w:lang w:val="en-GB"/>
        </w:rPr>
        <w:t>3.1.7.</w:t>
      </w:r>
      <w:r w:rsidRPr="00B04DC3">
        <w:rPr>
          <w:lang w:val="en-GB"/>
        </w:rPr>
        <w:tab/>
        <w:t>"</w:t>
      </w:r>
      <w:r w:rsidRPr="00B04DC3">
        <w:rPr>
          <w:i/>
          <w:lang w:val="en-GB"/>
        </w:rPr>
        <w:t>Engine system</w:t>
      </w:r>
      <w:r w:rsidRPr="00B04DC3">
        <w:rPr>
          <w:lang w:val="en-GB"/>
        </w:rPr>
        <w:t xml:space="preserve">" means the engine, the emission control system and the communication interface (hardware and messages) between the engine system </w:t>
      </w:r>
      <w:r w:rsidR="004E4A52" w:rsidRPr="00B04DC3">
        <w:rPr>
          <w:lang w:val="en-GB"/>
        </w:rPr>
        <w:t>E</w:t>
      </w:r>
      <w:r w:rsidRPr="00B04DC3">
        <w:rPr>
          <w:lang w:val="en-GB"/>
        </w:rPr>
        <w:t xml:space="preserve">lectronic </w:t>
      </w:r>
      <w:r w:rsidR="004E4A52" w:rsidRPr="00B04DC3">
        <w:rPr>
          <w:lang w:val="en-GB"/>
        </w:rPr>
        <w:t>C</w:t>
      </w:r>
      <w:r w:rsidRPr="00B04DC3">
        <w:rPr>
          <w:lang w:val="en-GB"/>
        </w:rPr>
        <w:t xml:space="preserve">ontrol </w:t>
      </w:r>
      <w:r w:rsidR="004E4A52" w:rsidRPr="00B04DC3">
        <w:rPr>
          <w:lang w:val="en-GB"/>
        </w:rPr>
        <w:t>U</w:t>
      </w:r>
      <w:r w:rsidRPr="00B04DC3">
        <w:rPr>
          <w:lang w:val="en-GB"/>
        </w:rPr>
        <w:t>nit(s) (ECU) and any other powertrain or vehicle control unit.</w:t>
      </w:r>
    </w:p>
    <w:p w:rsidR="00002BA6" w:rsidRPr="00B04DC3" w:rsidRDefault="00002BA6" w:rsidP="00002BA6">
      <w:pPr>
        <w:pStyle w:val="para"/>
        <w:rPr>
          <w:lang w:val="en-GB"/>
        </w:rPr>
      </w:pPr>
      <w:r w:rsidRPr="00B04DC3">
        <w:rPr>
          <w:lang w:val="en-GB"/>
        </w:rPr>
        <w:t>3.1.8.</w:t>
      </w:r>
      <w:r w:rsidRPr="00B04DC3">
        <w:rPr>
          <w:lang w:val="en-GB"/>
        </w:rPr>
        <w:tab/>
        <w:t>"</w:t>
      </w:r>
      <w:r w:rsidRPr="00B04DC3">
        <w:rPr>
          <w:i/>
          <w:lang w:val="en-GB"/>
        </w:rPr>
        <w:t>Engine type</w:t>
      </w:r>
      <w:r w:rsidRPr="00B04DC3">
        <w:rPr>
          <w:lang w:val="en-GB"/>
        </w:rPr>
        <w:t>" means a category of engines which do not differ in essential engine characteristics.</w:t>
      </w:r>
    </w:p>
    <w:p w:rsidR="00002BA6" w:rsidRPr="00B04DC3" w:rsidRDefault="00002BA6" w:rsidP="00002BA6">
      <w:pPr>
        <w:pStyle w:val="para"/>
        <w:rPr>
          <w:lang w:val="en-GB"/>
        </w:rPr>
      </w:pPr>
      <w:r w:rsidRPr="00B04DC3">
        <w:rPr>
          <w:lang w:val="en-GB"/>
        </w:rPr>
        <w:t>3.1.9.</w:t>
      </w:r>
      <w:r w:rsidRPr="00B04DC3">
        <w:rPr>
          <w:lang w:val="en-GB"/>
        </w:rPr>
        <w:tab/>
        <w:t>"</w:t>
      </w:r>
      <w:r w:rsidRPr="00B04DC3">
        <w:rPr>
          <w:i/>
          <w:lang w:val="en-GB"/>
        </w:rPr>
        <w:t>Exhaust after-treatment system</w:t>
      </w:r>
      <w:r w:rsidRPr="00B04DC3">
        <w:rPr>
          <w:lang w:val="en-GB"/>
        </w:rPr>
        <w:t>" means a catalyst (oxidation or 3-way), particulate filter, deNO</w:t>
      </w:r>
      <w:r w:rsidRPr="00B04DC3">
        <w:rPr>
          <w:vertAlign w:val="subscript"/>
          <w:lang w:val="en-GB"/>
        </w:rPr>
        <w:t>x</w:t>
      </w:r>
      <w:r w:rsidRPr="00B04DC3">
        <w:rPr>
          <w:lang w:val="en-GB"/>
        </w:rPr>
        <w:t xml:space="preserve"> system, combined deNO</w:t>
      </w:r>
      <w:r w:rsidRPr="00B04DC3">
        <w:rPr>
          <w:vertAlign w:val="subscript"/>
          <w:lang w:val="en-GB"/>
        </w:rPr>
        <w:t>x</w:t>
      </w:r>
      <w:r w:rsidRPr="00B04DC3">
        <w:rPr>
          <w:lang w:val="en-GB"/>
        </w:rPr>
        <w:t xml:space="preserve"> particulate filter or any other emission-reducing device that is installed downstream of the engine. This definition excludes </w:t>
      </w:r>
      <w:r w:rsidR="004E4A52" w:rsidRPr="00B04DC3">
        <w:rPr>
          <w:lang w:val="en-GB"/>
        </w:rPr>
        <w:t>E</w:t>
      </w:r>
      <w:r w:rsidRPr="00B04DC3">
        <w:rPr>
          <w:lang w:val="en-GB"/>
        </w:rPr>
        <w:t xml:space="preserve">xhaust </w:t>
      </w:r>
      <w:r w:rsidR="004E4A52">
        <w:rPr>
          <w:lang w:val="en-GB"/>
        </w:rPr>
        <w:t>G</w:t>
      </w:r>
      <w:r w:rsidR="004E4A52" w:rsidRPr="00B04DC3">
        <w:rPr>
          <w:lang w:val="en-GB"/>
        </w:rPr>
        <w:t xml:space="preserve">as </w:t>
      </w:r>
      <w:r w:rsidR="004E4A52">
        <w:rPr>
          <w:lang w:val="en-GB"/>
        </w:rPr>
        <w:t>R</w:t>
      </w:r>
      <w:r w:rsidR="004E4A52" w:rsidRPr="00B04DC3">
        <w:rPr>
          <w:lang w:val="en-GB"/>
        </w:rPr>
        <w:t xml:space="preserve">ecirculation </w:t>
      </w:r>
      <w:r w:rsidRPr="00B04DC3">
        <w:rPr>
          <w:lang w:val="en-GB"/>
        </w:rPr>
        <w:t>(EGR), which is considered an integral part of the engine.</w:t>
      </w:r>
    </w:p>
    <w:p w:rsidR="00002BA6" w:rsidRPr="00B04DC3" w:rsidRDefault="00002BA6" w:rsidP="00002BA6">
      <w:pPr>
        <w:pStyle w:val="para"/>
        <w:rPr>
          <w:lang w:val="en-GB"/>
        </w:rPr>
      </w:pPr>
      <w:r w:rsidRPr="00B04DC3">
        <w:rPr>
          <w:lang w:val="en-GB"/>
        </w:rPr>
        <w:t>3.1.10.</w:t>
      </w:r>
      <w:r w:rsidRPr="00B04DC3">
        <w:rPr>
          <w:lang w:val="en-GB"/>
        </w:rPr>
        <w:tab/>
      </w:r>
      <w:bookmarkStart w:id="417" w:name="_Toc495721557"/>
      <w:r w:rsidRPr="00B04DC3">
        <w:rPr>
          <w:lang w:val="en-GB"/>
        </w:rPr>
        <w:t>"</w:t>
      </w:r>
      <w:r w:rsidRPr="00B04DC3">
        <w:rPr>
          <w:i/>
          <w:lang w:val="en-GB"/>
        </w:rPr>
        <w:t>Full flow dilution method</w:t>
      </w:r>
      <w:bookmarkEnd w:id="417"/>
      <w:r w:rsidRPr="00B04DC3">
        <w:rPr>
          <w:lang w:val="en-GB"/>
        </w:rPr>
        <w:t>" means the process of mixing the total exhaust flow with diluent prior to separating a fraction of the diluted exhaust stream for analysis.</w:t>
      </w:r>
    </w:p>
    <w:p w:rsidR="00002BA6" w:rsidRPr="00B04DC3" w:rsidRDefault="00002BA6" w:rsidP="00002BA6">
      <w:pPr>
        <w:pStyle w:val="para"/>
        <w:rPr>
          <w:lang w:val="en-GB"/>
        </w:rPr>
      </w:pPr>
      <w:r w:rsidRPr="00B04DC3">
        <w:rPr>
          <w:lang w:val="en-GB"/>
        </w:rPr>
        <w:t>3.1.11.</w:t>
      </w:r>
      <w:r w:rsidRPr="00B04DC3">
        <w:rPr>
          <w:lang w:val="en-GB"/>
        </w:rPr>
        <w:tab/>
      </w:r>
      <w:bookmarkStart w:id="418" w:name="_Toc495721555"/>
      <w:r w:rsidRPr="00B04DC3">
        <w:rPr>
          <w:lang w:val="en-GB"/>
        </w:rPr>
        <w:t>"</w:t>
      </w:r>
      <w:r w:rsidRPr="00B04DC3">
        <w:rPr>
          <w:i/>
          <w:lang w:val="en-GB"/>
        </w:rPr>
        <w:t>Gaseous pollutants</w:t>
      </w:r>
      <w:bookmarkEnd w:id="418"/>
      <w:r w:rsidRPr="00B04DC3">
        <w:rPr>
          <w:lang w:val="en-GB"/>
        </w:rPr>
        <w:t>" means carbon monoxide, hydrocarbons and/or non-methane hydrocarbons (assuming a ratio of CH</w:t>
      </w:r>
      <w:r w:rsidRPr="00B04DC3">
        <w:rPr>
          <w:vertAlign w:val="subscript"/>
          <w:lang w:val="en-GB"/>
        </w:rPr>
        <w:t xml:space="preserve">1.85 </w:t>
      </w:r>
      <w:r w:rsidRPr="00B04DC3">
        <w:rPr>
          <w:lang w:val="en-GB"/>
        </w:rPr>
        <w:t>for diesel, CH</w:t>
      </w:r>
      <w:r w:rsidRPr="00B04DC3">
        <w:rPr>
          <w:vertAlign w:val="subscript"/>
          <w:lang w:val="en-GB"/>
        </w:rPr>
        <w:t xml:space="preserve">2.525 </w:t>
      </w:r>
      <w:r w:rsidRPr="00B04DC3">
        <w:rPr>
          <w:lang w:val="en-GB"/>
        </w:rPr>
        <w:t>for LPG and CH</w:t>
      </w:r>
      <w:r w:rsidRPr="00B04DC3">
        <w:rPr>
          <w:vertAlign w:val="subscript"/>
          <w:lang w:val="en-GB"/>
        </w:rPr>
        <w:t xml:space="preserve">2.93 </w:t>
      </w:r>
      <w:r w:rsidRPr="00B04DC3">
        <w:rPr>
          <w:lang w:val="en-GB"/>
        </w:rPr>
        <w:t>for NG, and an assumed molecule CH</w:t>
      </w:r>
      <w:r w:rsidRPr="00B04DC3">
        <w:rPr>
          <w:vertAlign w:val="subscript"/>
          <w:lang w:val="en-GB"/>
        </w:rPr>
        <w:t>3</w:t>
      </w:r>
      <w:r w:rsidRPr="00B04DC3">
        <w:rPr>
          <w:lang w:val="en-GB"/>
        </w:rPr>
        <w:t>O</w:t>
      </w:r>
      <w:r w:rsidRPr="00B04DC3">
        <w:rPr>
          <w:vertAlign w:val="subscript"/>
          <w:lang w:val="en-GB"/>
        </w:rPr>
        <w:t xml:space="preserve">0.5 </w:t>
      </w:r>
      <w:r w:rsidRPr="00B04DC3">
        <w:rPr>
          <w:lang w:val="en-GB"/>
        </w:rPr>
        <w:t>for ethanol fuelled diesel engines), methane (assuming a ratio of CH</w:t>
      </w:r>
      <w:r w:rsidRPr="00B04DC3">
        <w:rPr>
          <w:vertAlign w:val="subscript"/>
          <w:lang w:val="en-GB"/>
        </w:rPr>
        <w:t>4</w:t>
      </w:r>
      <w:r w:rsidRPr="00B04DC3">
        <w:rPr>
          <w:lang w:val="en-GB"/>
        </w:rPr>
        <w:t xml:space="preserve"> for NG) and oxides of nitrogen (expressed in nitrogen dioxide (NO</w:t>
      </w:r>
      <w:r w:rsidRPr="00B04DC3">
        <w:rPr>
          <w:vertAlign w:val="subscript"/>
          <w:lang w:val="en-GB"/>
        </w:rPr>
        <w:t>2</w:t>
      </w:r>
      <w:r w:rsidRPr="00B04DC3">
        <w:rPr>
          <w:lang w:val="en-GB"/>
        </w:rPr>
        <w:t>) equivalent).</w:t>
      </w:r>
    </w:p>
    <w:p w:rsidR="00002BA6" w:rsidRPr="00B04DC3" w:rsidRDefault="00002BA6" w:rsidP="00002BA6">
      <w:pPr>
        <w:pStyle w:val="para"/>
        <w:rPr>
          <w:lang w:val="en-GB"/>
        </w:rPr>
      </w:pPr>
      <w:r w:rsidRPr="00B04DC3">
        <w:rPr>
          <w:lang w:val="en-GB"/>
        </w:rPr>
        <w:t>3.1.12.</w:t>
      </w:r>
      <w:r w:rsidRPr="00B04DC3">
        <w:rPr>
          <w:lang w:val="en-GB"/>
        </w:rPr>
        <w:tab/>
        <w:t>"</w:t>
      </w:r>
      <w:r w:rsidRPr="00B04DC3">
        <w:rPr>
          <w:i/>
          <w:lang w:val="en-GB"/>
        </w:rPr>
        <w:t>High speed (n</w:t>
      </w:r>
      <w:r w:rsidRPr="00B04DC3">
        <w:rPr>
          <w:i/>
          <w:vertAlign w:val="subscript"/>
          <w:lang w:val="en-GB"/>
        </w:rPr>
        <w:t>hi</w:t>
      </w:r>
      <w:r w:rsidRPr="00B04DC3">
        <w:rPr>
          <w:i/>
          <w:lang w:val="en-GB"/>
        </w:rPr>
        <w:t>)</w:t>
      </w:r>
      <w:r w:rsidRPr="00B04DC3">
        <w:rPr>
          <w:lang w:val="en-GB"/>
        </w:rPr>
        <w:t>" means the highest engine speed where 70 per cent of the declared maximum power occurs.</w:t>
      </w:r>
    </w:p>
    <w:p w:rsidR="00002BA6" w:rsidRPr="00B04DC3" w:rsidRDefault="00002BA6" w:rsidP="00002BA6">
      <w:pPr>
        <w:pStyle w:val="para"/>
        <w:rPr>
          <w:lang w:val="en-GB"/>
        </w:rPr>
      </w:pPr>
      <w:r w:rsidRPr="00B04DC3">
        <w:rPr>
          <w:lang w:val="en-GB"/>
        </w:rPr>
        <w:t>3.1.13.</w:t>
      </w:r>
      <w:r w:rsidRPr="00B04DC3">
        <w:rPr>
          <w:lang w:val="en-GB"/>
        </w:rPr>
        <w:tab/>
        <w:t>"</w:t>
      </w:r>
      <w:r w:rsidRPr="00B04DC3">
        <w:rPr>
          <w:i/>
          <w:lang w:val="en-GB"/>
        </w:rPr>
        <w:t>Low speed (n</w:t>
      </w:r>
      <w:r w:rsidRPr="00B04DC3">
        <w:rPr>
          <w:i/>
          <w:vertAlign w:val="subscript"/>
          <w:lang w:val="en-GB"/>
        </w:rPr>
        <w:t>lo</w:t>
      </w:r>
      <w:r w:rsidRPr="00B04DC3">
        <w:rPr>
          <w:i/>
          <w:lang w:val="en-GB"/>
        </w:rPr>
        <w:t>)</w:t>
      </w:r>
      <w:r w:rsidRPr="00B04DC3">
        <w:rPr>
          <w:lang w:val="en-GB"/>
        </w:rPr>
        <w:t>" means the lowest engine speed where 55 per cent of the declared maximum power occurs.</w:t>
      </w:r>
    </w:p>
    <w:p w:rsidR="00002BA6" w:rsidRPr="00B04DC3" w:rsidRDefault="00002BA6" w:rsidP="00002BA6">
      <w:pPr>
        <w:pStyle w:val="para"/>
        <w:rPr>
          <w:lang w:val="en-GB"/>
        </w:rPr>
      </w:pPr>
      <w:r w:rsidRPr="00B04DC3">
        <w:rPr>
          <w:lang w:val="en-GB"/>
        </w:rPr>
        <w:t>3.1.14.</w:t>
      </w:r>
      <w:r w:rsidRPr="00B04DC3">
        <w:rPr>
          <w:lang w:val="en-GB"/>
        </w:rPr>
        <w:tab/>
        <w:t>"</w:t>
      </w:r>
      <w:r w:rsidRPr="00B04DC3">
        <w:rPr>
          <w:i/>
          <w:lang w:val="en-GB"/>
        </w:rPr>
        <w:t>Maximum power (P</w:t>
      </w:r>
      <w:r w:rsidRPr="00B04DC3">
        <w:rPr>
          <w:i/>
          <w:vertAlign w:val="subscript"/>
          <w:lang w:val="en-GB"/>
        </w:rPr>
        <w:t>max</w:t>
      </w:r>
      <w:r w:rsidRPr="00B04DC3">
        <w:rPr>
          <w:i/>
          <w:lang w:val="en-GB"/>
        </w:rPr>
        <w:t>)</w:t>
      </w:r>
      <w:r w:rsidRPr="00B04DC3">
        <w:rPr>
          <w:lang w:val="en-GB"/>
        </w:rPr>
        <w:t>" means the maximum power in kW as specified by the manufacturer.</w:t>
      </w:r>
    </w:p>
    <w:p w:rsidR="00002BA6" w:rsidRPr="00B04DC3" w:rsidRDefault="00002BA6" w:rsidP="00002BA6">
      <w:pPr>
        <w:pStyle w:val="para"/>
        <w:rPr>
          <w:lang w:val="en-GB"/>
        </w:rPr>
      </w:pPr>
      <w:r w:rsidRPr="00B04DC3">
        <w:rPr>
          <w:lang w:val="en-GB"/>
        </w:rPr>
        <w:t>3.1.15.</w:t>
      </w:r>
      <w:r w:rsidRPr="00B04DC3">
        <w:rPr>
          <w:lang w:val="en-GB"/>
        </w:rPr>
        <w:tab/>
        <w:t>"</w:t>
      </w:r>
      <w:r w:rsidRPr="00B04DC3">
        <w:rPr>
          <w:i/>
          <w:lang w:val="en-GB"/>
        </w:rPr>
        <w:t>Maximum torque speed</w:t>
      </w:r>
      <w:r w:rsidRPr="00B04DC3">
        <w:rPr>
          <w:lang w:val="en-GB"/>
        </w:rPr>
        <w:t>" means the engine speed at which the maximum torque is obtained from the engine, as specified by the manufacturer.</w:t>
      </w:r>
    </w:p>
    <w:p w:rsidR="00002BA6" w:rsidRPr="00B04DC3" w:rsidRDefault="00002BA6" w:rsidP="00002BA6">
      <w:pPr>
        <w:pStyle w:val="para"/>
        <w:rPr>
          <w:lang w:val="en-GB"/>
        </w:rPr>
      </w:pPr>
      <w:r w:rsidRPr="00B04DC3">
        <w:rPr>
          <w:lang w:val="en-GB"/>
        </w:rPr>
        <w:t>3.1.16.</w:t>
      </w:r>
      <w:r w:rsidRPr="00B04DC3">
        <w:rPr>
          <w:lang w:val="en-GB"/>
        </w:rPr>
        <w:tab/>
        <w:t>"</w:t>
      </w:r>
      <w:r w:rsidRPr="00B04DC3">
        <w:rPr>
          <w:i/>
          <w:lang w:val="en-GB"/>
        </w:rPr>
        <w:t>Normalized torque</w:t>
      </w:r>
      <w:r w:rsidRPr="00B04DC3">
        <w:rPr>
          <w:lang w:val="en-GB"/>
        </w:rPr>
        <w:t>" means engine torque in per cent normalized to the maximum available torque at an engine speed.</w:t>
      </w:r>
    </w:p>
    <w:p w:rsidR="00002BA6" w:rsidRPr="00B04DC3" w:rsidRDefault="00002BA6" w:rsidP="00002BA6">
      <w:pPr>
        <w:pStyle w:val="para"/>
        <w:rPr>
          <w:lang w:val="en-GB"/>
        </w:rPr>
      </w:pPr>
      <w:r w:rsidRPr="00B04DC3">
        <w:rPr>
          <w:lang w:val="en-GB"/>
        </w:rPr>
        <w:t>3.1.17.</w:t>
      </w:r>
      <w:r w:rsidRPr="00B04DC3">
        <w:rPr>
          <w:lang w:val="en-GB"/>
        </w:rPr>
        <w:tab/>
        <w:t>"</w:t>
      </w:r>
      <w:r w:rsidRPr="00B04DC3">
        <w:rPr>
          <w:i/>
          <w:lang w:val="en-GB"/>
        </w:rPr>
        <w:t>Operator demand</w:t>
      </w:r>
      <w:r w:rsidRPr="00B04DC3">
        <w:rPr>
          <w:lang w:val="en-GB"/>
        </w:rPr>
        <w:t>" means an engine operator's input to control engine output. The operator may be a person (i.e., manual), or a governor (i.e., automatic) that mechanically or electronically signals an input that demands engine output. Input may be from an accelerator pedal or signal, a throttle-control lever or signal, a fuel lever or signal, a speed lever or signal, or a governor setpoint or signal.</w:t>
      </w:r>
    </w:p>
    <w:p w:rsidR="00002BA6" w:rsidRPr="00B04DC3" w:rsidRDefault="00002BA6" w:rsidP="00002BA6">
      <w:pPr>
        <w:pStyle w:val="para"/>
        <w:rPr>
          <w:lang w:val="en-GB"/>
        </w:rPr>
      </w:pPr>
      <w:r w:rsidRPr="00B04DC3">
        <w:rPr>
          <w:lang w:val="en-GB"/>
        </w:rPr>
        <w:t>3.1.18.</w:t>
      </w:r>
      <w:r w:rsidRPr="00B04DC3">
        <w:rPr>
          <w:lang w:val="en-GB"/>
        </w:rPr>
        <w:tab/>
        <w:t>"</w:t>
      </w:r>
      <w:r w:rsidRPr="00B04DC3">
        <w:rPr>
          <w:i/>
          <w:lang w:val="en-GB"/>
        </w:rPr>
        <w:t>Parent engine</w:t>
      </w:r>
      <w:r w:rsidRPr="00B04DC3">
        <w:rPr>
          <w:lang w:val="en-GB"/>
        </w:rPr>
        <w:t>" means an engine selected from an engine family in such a way that its emissions characteristics are representative for that engine family.</w:t>
      </w:r>
    </w:p>
    <w:p w:rsidR="00002BA6" w:rsidRPr="00B04DC3" w:rsidRDefault="00002BA6" w:rsidP="00002BA6">
      <w:pPr>
        <w:pStyle w:val="para"/>
        <w:rPr>
          <w:lang w:val="en-GB"/>
        </w:rPr>
      </w:pPr>
      <w:r w:rsidRPr="00B04DC3">
        <w:rPr>
          <w:lang w:val="en-GB"/>
        </w:rPr>
        <w:t>3.1.19.</w:t>
      </w:r>
      <w:r w:rsidRPr="00B04DC3">
        <w:rPr>
          <w:lang w:val="en-GB"/>
        </w:rPr>
        <w:tab/>
        <w:t>"</w:t>
      </w:r>
      <w:r w:rsidRPr="00B04DC3">
        <w:rPr>
          <w:i/>
          <w:lang w:val="en-GB"/>
        </w:rPr>
        <w:t>Particulate after-treatment device</w:t>
      </w:r>
      <w:r w:rsidRPr="00B04DC3">
        <w:rPr>
          <w:lang w:val="en-GB"/>
        </w:rPr>
        <w:t xml:space="preserve">" means an exhaust after-treatment system designed to reduce emissions of </w:t>
      </w:r>
      <w:r w:rsidR="004E4A52">
        <w:rPr>
          <w:lang w:val="en-GB"/>
        </w:rPr>
        <w:t>P</w:t>
      </w:r>
      <w:r w:rsidR="004E4A52" w:rsidRPr="00B04DC3">
        <w:rPr>
          <w:lang w:val="en-GB"/>
        </w:rPr>
        <w:t xml:space="preserve">articulate </w:t>
      </w:r>
      <w:r w:rsidR="004E4A52">
        <w:rPr>
          <w:lang w:val="en-GB"/>
        </w:rPr>
        <w:t>P</w:t>
      </w:r>
      <w:r w:rsidRPr="00B04DC3">
        <w:rPr>
          <w:lang w:val="en-GB"/>
        </w:rPr>
        <w:t>ollutants (PM) through a mechanical, aerodynamic, diffusional or inertial separation.</w:t>
      </w:r>
    </w:p>
    <w:p w:rsidR="00002BA6" w:rsidRPr="00B04DC3" w:rsidRDefault="00002BA6" w:rsidP="00002BA6">
      <w:pPr>
        <w:pStyle w:val="para"/>
        <w:rPr>
          <w:lang w:val="en-GB"/>
        </w:rPr>
      </w:pPr>
      <w:r w:rsidRPr="00B04DC3">
        <w:rPr>
          <w:lang w:val="en-GB"/>
        </w:rPr>
        <w:t>3.1.20.</w:t>
      </w:r>
      <w:r w:rsidRPr="00B04DC3">
        <w:rPr>
          <w:lang w:val="en-GB"/>
        </w:rPr>
        <w:tab/>
      </w:r>
      <w:bookmarkStart w:id="419" w:name="_Toc495721556"/>
      <w:r w:rsidRPr="00B04DC3">
        <w:rPr>
          <w:lang w:val="en-GB"/>
        </w:rPr>
        <w:t>"</w:t>
      </w:r>
      <w:r w:rsidRPr="00B04DC3">
        <w:rPr>
          <w:i/>
          <w:lang w:val="en-GB"/>
        </w:rPr>
        <w:t>Partial flow dilution method</w:t>
      </w:r>
      <w:bookmarkEnd w:id="419"/>
      <w:r w:rsidRPr="00B04DC3">
        <w:rPr>
          <w:lang w:val="en-GB"/>
        </w:rPr>
        <w:t>" means the process of separating a part from the total exhaust flow, then mixing it with an appropriate amount of diluent prior to the particulate sampling filter.</w:t>
      </w:r>
    </w:p>
    <w:p w:rsidR="00002BA6" w:rsidRPr="00B04DC3" w:rsidRDefault="00002BA6" w:rsidP="00002BA6">
      <w:pPr>
        <w:pStyle w:val="para"/>
        <w:rPr>
          <w:lang w:val="en-GB"/>
        </w:rPr>
      </w:pPr>
      <w:r w:rsidRPr="00B04DC3">
        <w:rPr>
          <w:lang w:val="en-GB"/>
        </w:rPr>
        <w:t>3.1.21.</w:t>
      </w:r>
      <w:r w:rsidRPr="00B04DC3">
        <w:rPr>
          <w:lang w:val="en-GB"/>
        </w:rPr>
        <w:tab/>
        <w:t>"</w:t>
      </w:r>
      <w:r w:rsidRPr="00B04DC3">
        <w:rPr>
          <w:i/>
          <w:lang w:val="en-GB"/>
        </w:rPr>
        <w:t>Particulate matter (PM)</w:t>
      </w:r>
      <w:r w:rsidRPr="00B04DC3">
        <w:rPr>
          <w:lang w:val="en-GB"/>
        </w:rPr>
        <w:t>" means any material collected on a specified filter medium after diluting exhaust with a clean filtered diluent to a temperature between 315 K (42 °C) and 325 K (52 °C); this is primarily carbon, condensed hydrocarbons, and sulphates with associated water.</w:t>
      </w:r>
    </w:p>
    <w:p w:rsidR="00002BA6" w:rsidRPr="00B04DC3" w:rsidRDefault="00002BA6" w:rsidP="00002BA6">
      <w:pPr>
        <w:pStyle w:val="para"/>
        <w:rPr>
          <w:lang w:val="en-GB"/>
        </w:rPr>
      </w:pPr>
      <w:r w:rsidRPr="00B04DC3">
        <w:rPr>
          <w:lang w:val="en-GB"/>
        </w:rPr>
        <w:t>3.1.22.</w:t>
      </w:r>
      <w:r w:rsidRPr="00B04DC3">
        <w:rPr>
          <w:lang w:val="en-GB"/>
        </w:rPr>
        <w:tab/>
        <w:t>"</w:t>
      </w:r>
      <w:r w:rsidRPr="00B04DC3">
        <w:rPr>
          <w:i/>
          <w:lang w:val="en-GB"/>
        </w:rPr>
        <w:t>Periodic regeneration</w:t>
      </w:r>
      <w:r w:rsidRPr="00B04DC3">
        <w:rPr>
          <w:lang w:val="en-GB"/>
        </w:rPr>
        <w:t>" means the regeneration process of an exhaust after-treatment system that occurs periodically in typically less than 100 hours of normal engine operation. During cycles where regeneration occurs, emission standards may be exceeded.</w:t>
      </w:r>
    </w:p>
    <w:p w:rsidR="00002BA6" w:rsidRPr="00B04DC3" w:rsidRDefault="00002BA6" w:rsidP="00002BA6">
      <w:pPr>
        <w:pStyle w:val="para"/>
        <w:rPr>
          <w:lang w:val="en-GB"/>
        </w:rPr>
      </w:pPr>
      <w:r w:rsidRPr="00B04DC3">
        <w:rPr>
          <w:lang w:val="en-GB"/>
        </w:rPr>
        <w:t>3.1.23.</w:t>
      </w:r>
      <w:r w:rsidRPr="00B04DC3">
        <w:rPr>
          <w:lang w:val="en-GB"/>
        </w:rPr>
        <w:tab/>
      </w:r>
      <w:bookmarkStart w:id="420" w:name="_Toc495721559"/>
      <w:r w:rsidRPr="00B04DC3">
        <w:rPr>
          <w:lang w:val="en-GB"/>
        </w:rPr>
        <w:t>"</w:t>
      </w:r>
      <w:r w:rsidRPr="00B04DC3">
        <w:rPr>
          <w:i/>
          <w:lang w:val="en-GB"/>
        </w:rPr>
        <w:t>Ramped steady state test cycle</w:t>
      </w:r>
      <w:bookmarkEnd w:id="420"/>
      <w:r w:rsidRPr="00B04DC3">
        <w:rPr>
          <w:lang w:val="en-GB"/>
        </w:rPr>
        <w:t xml:space="preserve">" means a test cycle with a sequence of steady state engine test modes with defined speed and torque criteria at each mode and defined ramps between these modes </w:t>
      </w:r>
      <w:r w:rsidR="00405F93">
        <w:rPr>
          <w:lang w:val="en-GB"/>
        </w:rPr>
        <w:t xml:space="preserve">World Harmonized Steady State Cycle </w:t>
      </w:r>
      <w:r w:rsidRPr="00B04DC3">
        <w:rPr>
          <w:lang w:val="en-GB"/>
        </w:rPr>
        <w:t>(WHSC).</w:t>
      </w:r>
    </w:p>
    <w:p w:rsidR="00002BA6" w:rsidRPr="00B04DC3" w:rsidRDefault="00002BA6" w:rsidP="00002BA6">
      <w:pPr>
        <w:pStyle w:val="para"/>
        <w:rPr>
          <w:lang w:val="en-GB"/>
        </w:rPr>
      </w:pPr>
      <w:r w:rsidRPr="00B04DC3">
        <w:rPr>
          <w:lang w:val="en-GB"/>
        </w:rPr>
        <w:t>3.1.24.</w:t>
      </w:r>
      <w:r w:rsidRPr="00B04DC3">
        <w:rPr>
          <w:lang w:val="en-GB"/>
        </w:rPr>
        <w:tab/>
        <w:t>"</w:t>
      </w:r>
      <w:r w:rsidRPr="00B04DC3">
        <w:rPr>
          <w:i/>
          <w:lang w:val="en-GB"/>
        </w:rPr>
        <w:t>Rated speed</w:t>
      </w:r>
      <w:r w:rsidRPr="00B04DC3">
        <w:rPr>
          <w:lang w:val="en-GB"/>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rsidR="00002BA6" w:rsidRPr="00B04DC3" w:rsidRDefault="00002BA6" w:rsidP="00002BA6">
      <w:pPr>
        <w:pStyle w:val="para"/>
        <w:rPr>
          <w:lang w:val="en-GB"/>
        </w:rPr>
      </w:pPr>
      <w:r w:rsidRPr="00B04DC3">
        <w:rPr>
          <w:lang w:val="en-GB"/>
        </w:rPr>
        <w:t>3.1.25.</w:t>
      </w:r>
      <w:r w:rsidRPr="00B04DC3">
        <w:rPr>
          <w:lang w:val="en-GB"/>
        </w:rPr>
        <w:tab/>
        <w:t>"</w:t>
      </w:r>
      <w:r w:rsidRPr="00B04DC3">
        <w:rPr>
          <w:i/>
          <w:lang w:val="en-GB"/>
        </w:rPr>
        <w:t>Response time</w:t>
      </w:r>
      <w:r w:rsidRPr="00B04DC3">
        <w:rPr>
          <w:lang w:val="en-GB"/>
        </w:rPr>
        <w:t>" means the difference in time between the change of the component to be measured at the reference point and a system response of 90per cent of the final reading (t</w:t>
      </w:r>
      <w:r w:rsidRPr="00B04DC3">
        <w:rPr>
          <w:vertAlign w:val="subscript"/>
          <w:lang w:val="en-GB"/>
        </w:rPr>
        <w:t>90</w:t>
      </w:r>
      <w:r w:rsidRPr="00B04DC3">
        <w:rPr>
          <w:lang w:val="en-GB"/>
        </w:rPr>
        <w:t xml:space="preserve">) with the sampling probe being defined as the reference point, whereby the change of the measured component is at least 60 per cent </w:t>
      </w:r>
      <w:r w:rsidR="004E4A52">
        <w:rPr>
          <w:lang w:val="en-GB"/>
        </w:rPr>
        <w:t>F</w:t>
      </w:r>
      <w:r w:rsidR="004E4A52" w:rsidRPr="00B04DC3">
        <w:rPr>
          <w:lang w:val="en-GB"/>
        </w:rPr>
        <w:t xml:space="preserve">ull </w:t>
      </w:r>
      <w:r w:rsidR="004E4A52">
        <w:rPr>
          <w:lang w:val="en-GB"/>
        </w:rPr>
        <w:t>S</w:t>
      </w:r>
      <w:r w:rsidR="004E4A52" w:rsidRPr="00B04DC3">
        <w:rPr>
          <w:lang w:val="en-GB"/>
        </w:rPr>
        <w:t xml:space="preserve">cale </w:t>
      </w:r>
      <w:r w:rsidRPr="00B04DC3">
        <w:rPr>
          <w:lang w:val="en-GB"/>
        </w:rPr>
        <w:t>(FS) and takes place in less than 0.1 second. The system response time consists of the delay time to the system and of the rise time of the system.</w:t>
      </w:r>
    </w:p>
    <w:p w:rsidR="00002BA6" w:rsidRPr="00B04DC3" w:rsidRDefault="00002BA6" w:rsidP="00002BA6">
      <w:pPr>
        <w:pStyle w:val="para"/>
        <w:rPr>
          <w:lang w:val="en-GB"/>
        </w:rPr>
      </w:pPr>
      <w:r w:rsidRPr="00B04DC3">
        <w:rPr>
          <w:lang w:val="en-GB"/>
        </w:rPr>
        <w:t>3.1.26.</w:t>
      </w:r>
      <w:r w:rsidRPr="00B04DC3">
        <w:rPr>
          <w:lang w:val="en-GB"/>
        </w:rPr>
        <w:tab/>
        <w:t>"</w:t>
      </w:r>
      <w:r w:rsidRPr="00B04DC3">
        <w:rPr>
          <w:i/>
          <w:lang w:val="en-GB"/>
        </w:rPr>
        <w:t>Rise time</w:t>
      </w:r>
      <w:r w:rsidRPr="00B04DC3">
        <w:rPr>
          <w:lang w:val="en-GB"/>
        </w:rPr>
        <w:t>" means the difference in time between the 10 per cent and 90 per cent response of the final reading (t</w:t>
      </w:r>
      <w:r w:rsidRPr="00B04DC3">
        <w:rPr>
          <w:vertAlign w:val="subscript"/>
          <w:lang w:val="en-GB"/>
        </w:rPr>
        <w:t>90</w:t>
      </w:r>
      <w:r w:rsidRPr="00B04DC3">
        <w:rPr>
          <w:lang w:val="en-GB"/>
        </w:rPr>
        <w:t xml:space="preserve"> – t</w:t>
      </w:r>
      <w:r w:rsidRPr="00B04DC3">
        <w:rPr>
          <w:vertAlign w:val="subscript"/>
          <w:lang w:val="en-GB"/>
        </w:rPr>
        <w:t>10</w:t>
      </w:r>
      <w:r w:rsidRPr="00B04DC3">
        <w:rPr>
          <w:lang w:val="en-GB"/>
        </w:rPr>
        <w:t>).</w:t>
      </w:r>
    </w:p>
    <w:p w:rsidR="00002BA6" w:rsidRPr="00B04DC3" w:rsidRDefault="00002BA6" w:rsidP="00002BA6">
      <w:pPr>
        <w:pStyle w:val="para"/>
        <w:rPr>
          <w:lang w:val="en-GB"/>
        </w:rPr>
      </w:pPr>
      <w:r w:rsidRPr="00B04DC3">
        <w:rPr>
          <w:lang w:val="en-GB"/>
        </w:rPr>
        <w:t>3.1.27.</w:t>
      </w:r>
      <w:r w:rsidRPr="00B04DC3">
        <w:rPr>
          <w:lang w:val="en-GB"/>
        </w:rPr>
        <w:tab/>
        <w:t>"</w:t>
      </w:r>
      <w:r w:rsidRPr="00B04DC3">
        <w:rPr>
          <w:i/>
          <w:lang w:val="en-GB"/>
        </w:rPr>
        <w:t>Span response</w:t>
      </w:r>
      <w:r w:rsidRPr="00B04DC3">
        <w:rPr>
          <w:lang w:val="en-GB"/>
        </w:rPr>
        <w:t>" means the mean response to a span gas during a 30 seconds time interval.</w:t>
      </w:r>
    </w:p>
    <w:p w:rsidR="00002BA6" w:rsidRPr="00B04DC3" w:rsidRDefault="00002BA6" w:rsidP="00002BA6">
      <w:pPr>
        <w:pStyle w:val="para"/>
        <w:rPr>
          <w:lang w:val="en-GB"/>
        </w:rPr>
      </w:pPr>
      <w:r w:rsidRPr="00B04DC3">
        <w:rPr>
          <w:lang w:val="en-GB"/>
        </w:rPr>
        <w:t>3.1.28.</w:t>
      </w:r>
      <w:r w:rsidRPr="00B04DC3">
        <w:rPr>
          <w:lang w:val="en-GB"/>
        </w:rPr>
        <w:tab/>
      </w:r>
      <w:bookmarkStart w:id="421" w:name="_Toc495721558"/>
      <w:r w:rsidRPr="00B04DC3">
        <w:rPr>
          <w:lang w:val="en-GB"/>
        </w:rPr>
        <w:t>"</w:t>
      </w:r>
      <w:r w:rsidRPr="00B04DC3">
        <w:rPr>
          <w:i/>
          <w:lang w:val="en-GB"/>
        </w:rPr>
        <w:t>Specific emissions</w:t>
      </w:r>
      <w:bookmarkEnd w:id="421"/>
      <w:r w:rsidRPr="00B04DC3">
        <w:rPr>
          <w:lang w:val="en-GB"/>
        </w:rPr>
        <w:t>" means the mass emissions expressed in g/kWh.</w:t>
      </w:r>
    </w:p>
    <w:p w:rsidR="00002BA6" w:rsidRPr="00B04DC3" w:rsidRDefault="00002BA6" w:rsidP="00002BA6">
      <w:pPr>
        <w:pStyle w:val="para"/>
        <w:rPr>
          <w:lang w:val="en-GB"/>
        </w:rPr>
      </w:pPr>
      <w:r w:rsidRPr="00B04DC3">
        <w:rPr>
          <w:lang w:val="en-GB"/>
        </w:rPr>
        <w:t>3.1.29.</w:t>
      </w:r>
      <w:r w:rsidRPr="00B04DC3">
        <w:rPr>
          <w:lang w:val="en-GB"/>
        </w:rPr>
        <w:tab/>
        <w:t>"</w:t>
      </w:r>
      <w:r w:rsidRPr="00B04DC3">
        <w:rPr>
          <w:i/>
          <w:lang w:val="en-GB"/>
        </w:rPr>
        <w:t>Test cycle</w:t>
      </w:r>
      <w:r w:rsidRPr="00B04DC3">
        <w:rPr>
          <w:lang w:val="en-GB"/>
        </w:rPr>
        <w:t>" means a sequence of test points each with a defined speed and torque to be followed by the engine under steady state (WHSC) or transient operating conditions (WHTC).</w:t>
      </w:r>
    </w:p>
    <w:p w:rsidR="00002BA6" w:rsidRPr="00B04DC3" w:rsidRDefault="00002BA6" w:rsidP="00002BA6">
      <w:pPr>
        <w:pStyle w:val="para"/>
        <w:rPr>
          <w:lang w:val="en-GB"/>
        </w:rPr>
      </w:pPr>
      <w:r w:rsidRPr="00B04DC3">
        <w:rPr>
          <w:lang w:val="en-GB"/>
        </w:rPr>
        <w:t>3.1.30.</w:t>
      </w:r>
      <w:r w:rsidRPr="00B04DC3">
        <w:rPr>
          <w:lang w:val="en-GB"/>
        </w:rPr>
        <w:tab/>
        <w:t>"</w:t>
      </w:r>
      <w:r w:rsidRPr="00B04DC3">
        <w:rPr>
          <w:i/>
          <w:lang w:val="en-GB"/>
        </w:rPr>
        <w:t>Transformation time</w:t>
      </w:r>
      <w:r w:rsidRPr="00B04DC3">
        <w:rPr>
          <w:lang w:val="en-GB"/>
        </w:rPr>
        <w:t>" means the difference in time between the change of the component to be measured at the reference point and a system response of 50 per cent of the final reading (t</w:t>
      </w:r>
      <w:r w:rsidRPr="00B04DC3">
        <w:rPr>
          <w:vertAlign w:val="subscript"/>
          <w:lang w:val="en-GB"/>
        </w:rPr>
        <w:t>50</w:t>
      </w:r>
      <w:r w:rsidRPr="00B04DC3">
        <w:rPr>
          <w:lang w:val="en-GB"/>
        </w:rPr>
        <w:t>) with the sampling probe being defined as the reference point. The transformation time is used for the signal alignment of different measurement instruments.</w:t>
      </w:r>
    </w:p>
    <w:p w:rsidR="00002BA6" w:rsidRPr="00B04DC3" w:rsidRDefault="00002BA6" w:rsidP="00002BA6">
      <w:pPr>
        <w:pStyle w:val="para"/>
        <w:rPr>
          <w:lang w:val="en-GB"/>
        </w:rPr>
      </w:pPr>
      <w:r w:rsidRPr="00B04DC3">
        <w:rPr>
          <w:lang w:val="en-GB"/>
        </w:rPr>
        <w:t>3.1.31.</w:t>
      </w:r>
      <w:r w:rsidRPr="00B04DC3">
        <w:rPr>
          <w:lang w:val="en-GB"/>
        </w:rPr>
        <w:tab/>
        <w:t>"</w:t>
      </w:r>
      <w:r w:rsidRPr="00B04DC3">
        <w:rPr>
          <w:i/>
          <w:lang w:val="en-GB"/>
        </w:rPr>
        <w:t>Transient test cycle</w:t>
      </w:r>
      <w:r w:rsidRPr="00B04DC3">
        <w:rPr>
          <w:lang w:val="en-GB"/>
        </w:rPr>
        <w:t>" means a test cycle with a sequence of normalized speed and torque values that vary relatively quickly with time (WHTC).</w:t>
      </w:r>
    </w:p>
    <w:p w:rsidR="00002BA6" w:rsidRPr="00B04DC3" w:rsidRDefault="00002BA6" w:rsidP="00002BA6">
      <w:pPr>
        <w:pStyle w:val="para"/>
        <w:rPr>
          <w:lang w:val="en-GB"/>
        </w:rPr>
      </w:pPr>
      <w:r w:rsidRPr="00B04DC3">
        <w:rPr>
          <w:lang w:val="en-GB"/>
        </w:rPr>
        <w:t>3.1.32.</w:t>
      </w:r>
      <w:r w:rsidRPr="00B04DC3">
        <w:rPr>
          <w:lang w:val="en-GB"/>
        </w:rPr>
        <w:tab/>
        <w:t>"</w:t>
      </w:r>
      <w:r w:rsidRPr="00B04DC3">
        <w:rPr>
          <w:i/>
          <w:lang w:val="en-GB"/>
        </w:rPr>
        <w:t>Useful life</w:t>
      </w:r>
      <w:r w:rsidRPr="00B04DC3">
        <w:rPr>
          <w:lang w:val="en-GB"/>
        </w:rPr>
        <w:t>" means the relevant period of distance and/or time over which compliance with the relevant gaseous and particulate emission limits has to be assured.</w:t>
      </w:r>
    </w:p>
    <w:p w:rsidR="00002BA6" w:rsidRPr="00B04DC3" w:rsidRDefault="00002BA6" w:rsidP="00002BA6">
      <w:pPr>
        <w:pStyle w:val="para"/>
        <w:rPr>
          <w:lang w:val="en-GB"/>
        </w:rPr>
      </w:pPr>
      <w:r w:rsidRPr="00B04DC3">
        <w:rPr>
          <w:lang w:val="en-GB"/>
        </w:rPr>
        <w:t>3.1.33.</w:t>
      </w:r>
      <w:r w:rsidRPr="00B04DC3">
        <w:rPr>
          <w:lang w:val="en-GB"/>
        </w:rPr>
        <w:tab/>
        <w:t>"</w:t>
      </w:r>
      <w:r w:rsidRPr="00B04DC3">
        <w:rPr>
          <w:i/>
          <w:lang w:val="en-GB"/>
        </w:rPr>
        <w:t>Zero response</w:t>
      </w:r>
      <w:r w:rsidRPr="00B04DC3">
        <w:rPr>
          <w:lang w:val="en-GB"/>
        </w:rPr>
        <w:t>" means the mean response to a zero gas during a 30 s time interval.</w:t>
      </w:r>
    </w:p>
    <w:p w:rsidR="00002BA6" w:rsidRPr="00B04DC3" w:rsidRDefault="00002BA6" w:rsidP="00002BA6">
      <w:pPr>
        <w:pStyle w:val="Heading1"/>
        <w:keepNext/>
      </w:pPr>
      <w:bookmarkStart w:id="422" w:name="_Toc399939993"/>
      <w:bookmarkStart w:id="423" w:name="_Toc423599579"/>
      <w:bookmarkStart w:id="424" w:name="_Toc423610987"/>
      <w:r w:rsidRPr="00B04DC3">
        <w:t>Figure 1</w:t>
      </w:r>
      <w:bookmarkEnd w:id="422"/>
      <w:bookmarkEnd w:id="423"/>
      <w:bookmarkEnd w:id="424"/>
    </w:p>
    <w:p w:rsidR="00002BA6" w:rsidRPr="00B04DC3" w:rsidRDefault="00002BA6" w:rsidP="00002BA6">
      <w:pPr>
        <w:pStyle w:val="Heading1"/>
        <w:keepNext/>
        <w:rPr>
          <w:b/>
        </w:rPr>
      </w:pPr>
      <w:bookmarkStart w:id="425" w:name="_Toc399939994"/>
      <w:bookmarkStart w:id="426" w:name="_Toc423599580"/>
      <w:bookmarkStart w:id="427" w:name="_Toc423610988"/>
      <w:r w:rsidRPr="00B04DC3">
        <w:rPr>
          <w:b/>
        </w:rPr>
        <w:t>Definitions of system response</w:t>
      </w:r>
      <w:bookmarkEnd w:id="425"/>
      <w:bookmarkEnd w:id="426"/>
      <w:bookmarkEnd w:id="427"/>
    </w:p>
    <w:p w:rsidR="00002BA6" w:rsidRPr="00B04DC3" w:rsidRDefault="00A905B7" w:rsidP="00002BA6">
      <w:pPr>
        <w:ind w:left="1134"/>
        <w:jc w:val="both"/>
      </w:pPr>
      <w:r>
        <w:pict>
          <v:shape id="_x0000_i1211" type="#_x0000_t75" style="width:260.4pt;height:162.6pt" o:bordertopcolor="this" o:borderleftcolor="this" o:borderbottomcolor="this" o:borderrightcolor="this">
            <v:imagedata r:id="rId346" o:title=""/>
            <w10:bordertop type="single" width="4"/>
            <w10:borderleft type="single" width="4"/>
            <w10:borderbottom type="single" width="4"/>
            <w10:borderright type="single" width="4"/>
          </v:shape>
        </w:pict>
      </w:r>
    </w:p>
    <w:p w:rsidR="00002BA6" w:rsidRPr="00B04DC3" w:rsidRDefault="00002BA6" w:rsidP="00002BA6">
      <w:pPr>
        <w:pStyle w:val="para"/>
        <w:spacing w:before="240"/>
        <w:rPr>
          <w:lang w:val="en-GB"/>
        </w:rPr>
      </w:pPr>
      <w:r w:rsidRPr="00B04DC3">
        <w:rPr>
          <w:lang w:val="en-GB"/>
        </w:rPr>
        <w:t>3.2.</w:t>
      </w:r>
      <w:r w:rsidRPr="00B04DC3">
        <w:rPr>
          <w:lang w:val="en-GB"/>
        </w:rPr>
        <w:tab/>
        <w:t>General symbols</w:t>
      </w:r>
    </w:p>
    <w:tbl>
      <w:tblPr>
        <w:tblW w:w="6520" w:type="dxa"/>
        <w:tblInd w:w="2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002BA6" w:rsidRPr="00DA09F5" w:rsidTr="00DA09F5">
        <w:trPr>
          <w:cantSplit/>
          <w:trHeight w:val="300"/>
          <w:tblHeader/>
        </w:trPr>
        <w:tc>
          <w:tcPr>
            <w:tcW w:w="898" w:type="dxa"/>
            <w:tcBorders>
              <w:bottom w:val="single" w:sz="12" w:space="0" w:color="auto"/>
            </w:tcBorders>
          </w:tcPr>
          <w:p w:rsidR="00002BA6" w:rsidRPr="00DA09F5" w:rsidRDefault="00002BA6" w:rsidP="00002BA6">
            <w:pPr>
              <w:spacing w:before="80" w:after="80"/>
              <w:rPr>
                <w:bCs/>
                <w:i/>
                <w:sz w:val="16"/>
                <w:szCs w:val="16"/>
              </w:rPr>
            </w:pPr>
            <w:r w:rsidRPr="00DA09F5">
              <w:rPr>
                <w:bCs/>
                <w:i/>
                <w:sz w:val="16"/>
                <w:szCs w:val="16"/>
              </w:rPr>
              <w:t>Symbol</w:t>
            </w:r>
          </w:p>
        </w:tc>
        <w:tc>
          <w:tcPr>
            <w:tcW w:w="1603" w:type="dxa"/>
            <w:gridSpan w:val="4"/>
            <w:tcBorders>
              <w:bottom w:val="single" w:sz="12" w:space="0" w:color="auto"/>
            </w:tcBorders>
          </w:tcPr>
          <w:p w:rsidR="00002BA6" w:rsidRPr="00DA09F5" w:rsidRDefault="00002BA6" w:rsidP="00002BA6">
            <w:pPr>
              <w:spacing w:before="80" w:after="80"/>
              <w:rPr>
                <w:bCs/>
                <w:i/>
                <w:sz w:val="16"/>
                <w:szCs w:val="16"/>
              </w:rPr>
            </w:pPr>
            <w:r w:rsidRPr="00DA09F5">
              <w:rPr>
                <w:bCs/>
                <w:i/>
                <w:sz w:val="16"/>
                <w:szCs w:val="16"/>
              </w:rPr>
              <w:t>Unit</w:t>
            </w:r>
          </w:p>
        </w:tc>
        <w:tc>
          <w:tcPr>
            <w:tcW w:w="4019" w:type="dxa"/>
            <w:tcBorders>
              <w:bottom w:val="single" w:sz="12" w:space="0" w:color="auto"/>
            </w:tcBorders>
          </w:tcPr>
          <w:p w:rsidR="00002BA6" w:rsidRPr="00DA09F5" w:rsidRDefault="00002BA6" w:rsidP="00DA09F5">
            <w:pPr>
              <w:spacing w:before="80" w:after="80"/>
              <w:rPr>
                <w:bCs/>
                <w:i/>
                <w:sz w:val="16"/>
                <w:szCs w:val="16"/>
              </w:rPr>
            </w:pPr>
            <w:r w:rsidRPr="00DA09F5">
              <w:rPr>
                <w:bCs/>
                <w:i/>
                <w:sz w:val="16"/>
                <w:szCs w:val="16"/>
              </w:rPr>
              <w:t>Term</w:t>
            </w:r>
          </w:p>
        </w:tc>
      </w:tr>
      <w:tr w:rsidR="00002BA6" w:rsidRPr="00B04DC3" w:rsidTr="00DA09F5">
        <w:trPr>
          <w:cantSplit/>
          <w:trHeight w:val="300"/>
        </w:trPr>
        <w:tc>
          <w:tcPr>
            <w:tcW w:w="898" w:type="dxa"/>
            <w:tcBorders>
              <w:top w:val="single" w:sz="12" w:space="0" w:color="auto"/>
            </w:tcBorders>
          </w:tcPr>
          <w:p w:rsidR="00002BA6" w:rsidRPr="00B04DC3" w:rsidRDefault="00002BA6" w:rsidP="00002BA6">
            <w:pPr>
              <w:rPr>
                <w:vertAlign w:val="subscript"/>
              </w:rPr>
            </w:pPr>
            <w:r w:rsidRPr="00B04DC3">
              <w:t>a</w:t>
            </w:r>
            <w:r w:rsidRPr="00B04DC3">
              <w:rPr>
                <w:vertAlign w:val="subscript"/>
              </w:rPr>
              <w:t>1</w:t>
            </w:r>
          </w:p>
        </w:tc>
        <w:tc>
          <w:tcPr>
            <w:tcW w:w="1603" w:type="dxa"/>
            <w:gridSpan w:val="4"/>
            <w:tcBorders>
              <w:top w:val="single" w:sz="12" w:space="0" w:color="auto"/>
            </w:tcBorders>
          </w:tcPr>
          <w:p w:rsidR="00002BA6" w:rsidRPr="00B04DC3" w:rsidRDefault="00002BA6" w:rsidP="00002BA6">
            <w:r w:rsidRPr="00B04DC3">
              <w:t>-</w:t>
            </w:r>
          </w:p>
        </w:tc>
        <w:tc>
          <w:tcPr>
            <w:tcW w:w="4019" w:type="dxa"/>
            <w:tcBorders>
              <w:top w:val="single" w:sz="12" w:space="0" w:color="auto"/>
            </w:tcBorders>
          </w:tcPr>
          <w:p w:rsidR="00002BA6" w:rsidRPr="00B04DC3" w:rsidRDefault="00002BA6" w:rsidP="00002BA6">
            <w:r w:rsidRPr="00B04DC3">
              <w:t>Slope of the regression</w:t>
            </w:r>
          </w:p>
        </w:tc>
      </w:tr>
      <w:tr w:rsidR="00002BA6" w:rsidRPr="00B04DC3" w:rsidTr="00DA09F5">
        <w:trPr>
          <w:cantSplit/>
          <w:trHeight w:val="300"/>
        </w:trPr>
        <w:tc>
          <w:tcPr>
            <w:tcW w:w="898" w:type="dxa"/>
          </w:tcPr>
          <w:p w:rsidR="00002BA6" w:rsidRPr="00B04DC3" w:rsidRDefault="00002BA6" w:rsidP="00002BA6">
            <w:pPr>
              <w:rPr>
                <w:vertAlign w:val="subscript"/>
              </w:rPr>
            </w:pPr>
            <w:r w:rsidRPr="00B04DC3">
              <w:t>a</w:t>
            </w:r>
            <w:r w:rsidRPr="00B04DC3">
              <w:rPr>
                <w:vertAlign w:val="subscript"/>
              </w:rPr>
              <w:t>0</w:t>
            </w:r>
          </w:p>
        </w:tc>
        <w:tc>
          <w:tcPr>
            <w:tcW w:w="1603" w:type="dxa"/>
            <w:gridSpan w:val="4"/>
          </w:tcPr>
          <w:p w:rsidR="00002BA6" w:rsidRPr="00B04DC3" w:rsidRDefault="00002BA6" w:rsidP="00002BA6">
            <w:r w:rsidRPr="00B04DC3">
              <w:t>-</w:t>
            </w:r>
          </w:p>
        </w:tc>
        <w:tc>
          <w:tcPr>
            <w:tcW w:w="4019" w:type="dxa"/>
          </w:tcPr>
          <w:p w:rsidR="00002BA6" w:rsidRPr="00B04DC3" w:rsidRDefault="00002BA6" w:rsidP="00002BA6">
            <w:r w:rsidRPr="00B04DC3">
              <w:t>y intercept of the regression</w:t>
            </w:r>
          </w:p>
        </w:tc>
      </w:tr>
      <w:tr w:rsidR="00002BA6" w:rsidRPr="00B04DC3" w:rsidTr="00DA09F5">
        <w:trPr>
          <w:cantSplit/>
          <w:trHeight w:val="300"/>
        </w:trPr>
        <w:tc>
          <w:tcPr>
            <w:tcW w:w="898" w:type="dxa"/>
          </w:tcPr>
          <w:p w:rsidR="00002BA6" w:rsidRPr="00B04DC3" w:rsidRDefault="00002BA6" w:rsidP="00002BA6">
            <w:pPr>
              <w:spacing w:after="120"/>
              <w:rPr>
                <w:vertAlign w:val="subscript"/>
              </w:rPr>
            </w:pPr>
            <w:r w:rsidRPr="00B04DC3">
              <w:t>A/F</w:t>
            </w:r>
            <w:r w:rsidRPr="00B04DC3">
              <w:rPr>
                <w:vertAlign w:val="subscript"/>
              </w:rPr>
              <w:t>st</w:t>
            </w:r>
          </w:p>
        </w:tc>
        <w:tc>
          <w:tcPr>
            <w:tcW w:w="1603" w:type="dxa"/>
            <w:gridSpan w:val="4"/>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Stoichiometric air to fuel ratio</w:t>
            </w:r>
          </w:p>
        </w:tc>
      </w:tr>
      <w:tr w:rsidR="00002BA6" w:rsidRPr="00B04DC3" w:rsidTr="00DA09F5">
        <w:trPr>
          <w:cantSplit/>
          <w:trHeight w:val="300"/>
        </w:trPr>
        <w:tc>
          <w:tcPr>
            <w:tcW w:w="898" w:type="dxa"/>
          </w:tcPr>
          <w:p w:rsidR="00002BA6" w:rsidRPr="00B04DC3" w:rsidRDefault="00002BA6" w:rsidP="00002BA6">
            <w:pPr>
              <w:spacing w:after="120"/>
            </w:pPr>
            <w:r w:rsidRPr="00B04DC3">
              <w:t>c</w:t>
            </w:r>
          </w:p>
        </w:tc>
        <w:tc>
          <w:tcPr>
            <w:tcW w:w="1603" w:type="dxa"/>
            <w:gridSpan w:val="4"/>
          </w:tcPr>
          <w:p w:rsidR="00002BA6" w:rsidRPr="00B04DC3" w:rsidRDefault="00002BA6" w:rsidP="00002BA6">
            <w:pPr>
              <w:spacing w:after="120"/>
            </w:pPr>
            <w:r w:rsidRPr="00B04DC3">
              <w:t>ppm/Vol per cent</w:t>
            </w:r>
          </w:p>
        </w:tc>
        <w:tc>
          <w:tcPr>
            <w:tcW w:w="4019" w:type="dxa"/>
          </w:tcPr>
          <w:p w:rsidR="00002BA6" w:rsidRPr="00B04DC3" w:rsidRDefault="00002BA6" w:rsidP="00002BA6">
            <w:pPr>
              <w:spacing w:after="120"/>
            </w:pPr>
            <w:r w:rsidRPr="00B04DC3">
              <w:t>Concentration</w:t>
            </w:r>
          </w:p>
        </w:tc>
      </w:tr>
      <w:tr w:rsidR="00002BA6" w:rsidRPr="00B04DC3" w:rsidTr="00DA09F5">
        <w:trPr>
          <w:cantSplit/>
          <w:trHeight w:val="300"/>
        </w:trPr>
        <w:tc>
          <w:tcPr>
            <w:tcW w:w="898" w:type="dxa"/>
          </w:tcPr>
          <w:p w:rsidR="00002BA6" w:rsidRPr="00B04DC3" w:rsidRDefault="00002BA6" w:rsidP="00002BA6">
            <w:pPr>
              <w:spacing w:after="120"/>
              <w:rPr>
                <w:vertAlign w:val="subscript"/>
              </w:rPr>
            </w:pPr>
            <w:r w:rsidRPr="00B04DC3">
              <w:t>c</w:t>
            </w:r>
            <w:r w:rsidRPr="00B04DC3">
              <w:rPr>
                <w:vertAlign w:val="subscript"/>
              </w:rPr>
              <w:t>b</w:t>
            </w:r>
          </w:p>
        </w:tc>
        <w:tc>
          <w:tcPr>
            <w:tcW w:w="1603" w:type="dxa"/>
            <w:gridSpan w:val="4"/>
          </w:tcPr>
          <w:p w:rsidR="00002BA6" w:rsidRPr="00B04DC3" w:rsidRDefault="00002BA6" w:rsidP="00002BA6">
            <w:pPr>
              <w:spacing w:after="120"/>
            </w:pPr>
            <w:r w:rsidRPr="00B04DC3">
              <w:t>ppm/Vol per cent</w:t>
            </w:r>
          </w:p>
        </w:tc>
        <w:tc>
          <w:tcPr>
            <w:tcW w:w="4019" w:type="dxa"/>
          </w:tcPr>
          <w:p w:rsidR="00002BA6" w:rsidRPr="00B04DC3" w:rsidRDefault="00002BA6" w:rsidP="00002BA6">
            <w:pPr>
              <w:spacing w:after="120"/>
            </w:pPr>
            <w:r w:rsidRPr="00B04DC3">
              <w:t>Background concentration</w:t>
            </w:r>
          </w:p>
        </w:tc>
      </w:tr>
      <w:tr w:rsidR="00002BA6" w:rsidRPr="00B04DC3" w:rsidTr="00DA09F5">
        <w:trPr>
          <w:cantSplit/>
          <w:trHeight w:val="300"/>
        </w:trPr>
        <w:tc>
          <w:tcPr>
            <w:tcW w:w="898" w:type="dxa"/>
          </w:tcPr>
          <w:p w:rsidR="00002BA6" w:rsidRPr="00B04DC3" w:rsidRDefault="00002BA6" w:rsidP="00002BA6">
            <w:pPr>
              <w:spacing w:after="120"/>
              <w:rPr>
                <w:vertAlign w:val="subscript"/>
              </w:rPr>
            </w:pPr>
            <w:r w:rsidRPr="00B04DC3">
              <w:t>c</w:t>
            </w:r>
            <w:r w:rsidRPr="00B04DC3">
              <w:rPr>
                <w:vertAlign w:val="subscript"/>
              </w:rPr>
              <w:t>d</w:t>
            </w:r>
          </w:p>
        </w:tc>
        <w:tc>
          <w:tcPr>
            <w:tcW w:w="1603" w:type="dxa"/>
            <w:gridSpan w:val="4"/>
          </w:tcPr>
          <w:p w:rsidR="00002BA6" w:rsidRPr="00B04DC3" w:rsidRDefault="00002BA6" w:rsidP="00002BA6">
            <w:pPr>
              <w:spacing w:after="120"/>
            </w:pPr>
            <w:r w:rsidRPr="00B04DC3">
              <w:t>ppm/Vol per cent</w:t>
            </w:r>
          </w:p>
        </w:tc>
        <w:tc>
          <w:tcPr>
            <w:tcW w:w="4019" w:type="dxa"/>
          </w:tcPr>
          <w:p w:rsidR="00002BA6" w:rsidRPr="00B04DC3" w:rsidRDefault="00002BA6" w:rsidP="00002BA6">
            <w:pPr>
              <w:spacing w:after="120"/>
            </w:pPr>
            <w:r w:rsidRPr="00B04DC3">
              <w:t>Concentration on dry basis</w:t>
            </w:r>
          </w:p>
        </w:tc>
      </w:tr>
      <w:tr w:rsidR="00002BA6" w:rsidRPr="00B04DC3" w:rsidTr="00DA09F5">
        <w:trPr>
          <w:cantSplit/>
          <w:trHeight w:val="300"/>
        </w:trPr>
        <w:tc>
          <w:tcPr>
            <w:tcW w:w="898" w:type="dxa"/>
          </w:tcPr>
          <w:p w:rsidR="00002BA6" w:rsidRPr="00B04DC3" w:rsidRDefault="00002BA6" w:rsidP="00002BA6">
            <w:pPr>
              <w:rPr>
                <w:vertAlign w:val="subscript"/>
              </w:rPr>
            </w:pPr>
            <w:r w:rsidRPr="00B04DC3">
              <w:t>c</w:t>
            </w:r>
            <w:r w:rsidRPr="00B04DC3">
              <w:rPr>
                <w:vertAlign w:val="subscript"/>
              </w:rPr>
              <w:t>gas</w:t>
            </w:r>
          </w:p>
        </w:tc>
        <w:tc>
          <w:tcPr>
            <w:tcW w:w="1603" w:type="dxa"/>
            <w:gridSpan w:val="4"/>
          </w:tcPr>
          <w:p w:rsidR="00002BA6" w:rsidRPr="00B04DC3" w:rsidRDefault="00002BA6" w:rsidP="00002BA6">
            <w:r w:rsidRPr="00B04DC3">
              <w:t>ppm/Vol per cent</w:t>
            </w:r>
          </w:p>
        </w:tc>
        <w:tc>
          <w:tcPr>
            <w:tcW w:w="4019" w:type="dxa"/>
          </w:tcPr>
          <w:p w:rsidR="00002BA6" w:rsidRPr="00B04DC3" w:rsidRDefault="00002BA6" w:rsidP="00002BA6">
            <w:r w:rsidRPr="00B04DC3">
              <w:t>Concentration on the gaseous components</w:t>
            </w:r>
          </w:p>
        </w:tc>
      </w:tr>
      <w:tr w:rsidR="00002BA6" w:rsidRPr="00B04DC3" w:rsidTr="00DA09F5">
        <w:trPr>
          <w:cantSplit/>
          <w:trHeight w:val="300"/>
        </w:trPr>
        <w:tc>
          <w:tcPr>
            <w:tcW w:w="898" w:type="dxa"/>
          </w:tcPr>
          <w:p w:rsidR="00002BA6" w:rsidRPr="00B04DC3" w:rsidRDefault="00002BA6" w:rsidP="00002BA6">
            <w:pPr>
              <w:spacing w:after="120"/>
              <w:rPr>
                <w:vertAlign w:val="subscript"/>
              </w:rPr>
            </w:pPr>
            <w:r w:rsidRPr="00B04DC3">
              <w:t>c</w:t>
            </w:r>
            <w:r w:rsidRPr="00B04DC3">
              <w:rPr>
                <w:vertAlign w:val="subscript"/>
              </w:rPr>
              <w:t>w</w:t>
            </w:r>
          </w:p>
        </w:tc>
        <w:tc>
          <w:tcPr>
            <w:tcW w:w="1603" w:type="dxa"/>
            <w:gridSpan w:val="4"/>
          </w:tcPr>
          <w:p w:rsidR="00002BA6" w:rsidRPr="00B04DC3" w:rsidRDefault="00002BA6" w:rsidP="00002BA6">
            <w:pPr>
              <w:spacing w:after="120"/>
            </w:pPr>
            <w:r w:rsidRPr="00B04DC3">
              <w:t>ppm/Vol per cent</w:t>
            </w:r>
          </w:p>
        </w:tc>
        <w:tc>
          <w:tcPr>
            <w:tcW w:w="4019" w:type="dxa"/>
          </w:tcPr>
          <w:p w:rsidR="00002BA6" w:rsidRPr="00B04DC3" w:rsidRDefault="00002BA6" w:rsidP="00002BA6">
            <w:pPr>
              <w:spacing w:after="120"/>
            </w:pPr>
            <w:r w:rsidRPr="00B04DC3">
              <w:t>Concentration on wet basis</w:t>
            </w:r>
          </w:p>
        </w:tc>
      </w:tr>
      <w:tr w:rsidR="00002BA6" w:rsidRPr="00B04DC3" w:rsidTr="00DA09F5">
        <w:trPr>
          <w:cantSplit/>
          <w:trHeight w:val="300"/>
        </w:trPr>
        <w:tc>
          <w:tcPr>
            <w:tcW w:w="898" w:type="dxa"/>
          </w:tcPr>
          <w:p w:rsidR="00002BA6" w:rsidRPr="00B04DC3" w:rsidRDefault="00002BA6" w:rsidP="00002BA6">
            <w:pPr>
              <w:pStyle w:val="NormalLeft"/>
              <w:spacing w:before="0"/>
              <w:rPr>
                <w:sz w:val="20"/>
              </w:rPr>
            </w:pPr>
            <w:r w:rsidRPr="00B04DC3">
              <w:rPr>
                <w:sz w:val="20"/>
              </w:rPr>
              <w:t>C</w:t>
            </w:r>
            <w:r w:rsidRPr="00B04DC3">
              <w:rPr>
                <w:sz w:val="20"/>
                <w:vertAlign w:val="subscript"/>
              </w:rPr>
              <w:t>d</w:t>
            </w:r>
          </w:p>
        </w:tc>
        <w:tc>
          <w:tcPr>
            <w:tcW w:w="1603" w:type="dxa"/>
            <w:gridSpan w:val="4"/>
          </w:tcPr>
          <w:p w:rsidR="00002BA6" w:rsidRPr="00B04DC3" w:rsidRDefault="00002BA6" w:rsidP="00002BA6">
            <w:pPr>
              <w:pStyle w:val="NormalLeft"/>
              <w:spacing w:before="0"/>
              <w:rPr>
                <w:sz w:val="20"/>
              </w:rPr>
            </w:pPr>
            <w:r w:rsidRPr="00B04DC3">
              <w:rPr>
                <w:sz w:val="20"/>
              </w:rPr>
              <w:t>-</w:t>
            </w:r>
          </w:p>
        </w:tc>
        <w:tc>
          <w:tcPr>
            <w:tcW w:w="4019" w:type="dxa"/>
          </w:tcPr>
          <w:p w:rsidR="00002BA6" w:rsidRPr="00B04DC3" w:rsidRDefault="00002BA6" w:rsidP="00002BA6">
            <w:pPr>
              <w:pStyle w:val="NormalLeft"/>
              <w:spacing w:before="0"/>
              <w:rPr>
                <w:sz w:val="20"/>
              </w:rPr>
            </w:pPr>
            <w:r w:rsidRPr="00B04DC3">
              <w:rPr>
                <w:sz w:val="20"/>
              </w:rPr>
              <w:t>Discharge coefficient of SSV</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d</w:t>
            </w:r>
          </w:p>
        </w:tc>
        <w:tc>
          <w:tcPr>
            <w:tcW w:w="1591" w:type="dxa"/>
            <w:gridSpan w:val="3"/>
          </w:tcPr>
          <w:p w:rsidR="00002BA6" w:rsidRPr="00B04DC3" w:rsidRDefault="00002BA6" w:rsidP="00002BA6">
            <w:pPr>
              <w:pStyle w:val="NormalLeft"/>
              <w:spacing w:before="0"/>
              <w:rPr>
                <w:sz w:val="20"/>
              </w:rPr>
            </w:pPr>
            <w:r w:rsidRPr="00B04DC3">
              <w:rPr>
                <w:sz w:val="20"/>
              </w:rPr>
              <w:t>m</w:t>
            </w:r>
          </w:p>
        </w:tc>
        <w:tc>
          <w:tcPr>
            <w:tcW w:w="4019" w:type="dxa"/>
          </w:tcPr>
          <w:p w:rsidR="00002BA6" w:rsidRPr="00B04DC3" w:rsidRDefault="00002BA6" w:rsidP="00002BA6">
            <w:pPr>
              <w:pStyle w:val="NormalLeft"/>
              <w:spacing w:before="0"/>
              <w:rPr>
                <w:sz w:val="20"/>
              </w:rPr>
            </w:pPr>
            <w:r w:rsidRPr="00B04DC3">
              <w:rPr>
                <w:sz w:val="20"/>
              </w:rPr>
              <w:t>Diameter</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vertAlign w:val="subscript"/>
              </w:rPr>
            </w:pPr>
            <w:r w:rsidRPr="00B04DC3">
              <w:rPr>
                <w:sz w:val="20"/>
              </w:rPr>
              <w:t>d</w:t>
            </w:r>
            <w:r w:rsidRPr="00B04DC3">
              <w:rPr>
                <w:sz w:val="20"/>
                <w:vertAlign w:val="subscript"/>
              </w:rPr>
              <w:t>V</w:t>
            </w:r>
          </w:p>
        </w:tc>
        <w:tc>
          <w:tcPr>
            <w:tcW w:w="1591" w:type="dxa"/>
            <w:gridSpan w:val="3"/>
          </w:tcPr>
          <w:p w:rsidR="00002BA6" w:rsidRPr="00B04DC3" w:rsidRDefault="00002BA6" w:rsidP="00002BA6">
            <w:pPr>
              <w:pStyle w:val="NormalLeft"/>
              <w:spacing w:before="0"/>
              <w:rPr>
                <w:sz w:val="20"/>
              </w:rPr>
            </w:pPr>
            <w:r w:rsidRPr="00B04DC3">
              <w:rPr>
                <w:sz w:val="20"/>
              </w:rPr>
              <w:t>m</w:t>
            </w:r>
          </w:p>
        </w:tc>
        <w:tc>
          <w:tcPr>
            <w:tcW w:w="4019" w:type="dxa"/>
          </w:tcPr>
          <w:p w:rsidR="00002BA6" w:rsidRPr="00B04DC3" w:rsidRDefault="00002BA6" w:rsidP="00002BA6">
            <w:pPr>
              <w:pStyle w:val="NormalLeft"/>
              <w:spacing w:before="0"/>
              <w:rPr>
                <w:sz w:val="20"/>
              </w:rPr>
            </w:pPr>
            <w:r w:rsidRPr="00B04DC3">
              <w:rPr>
                <w:sz w:val="20"/>
              </w:rPr>
              <w:t>Throat diameter of venturi</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D</w:t>
            </w:r>
            <w:r w:rsidRPr="00B04DC3">
              <w:rPr>
                <w:sz w:val="20"/>
                <w:vertAlign w:val="subscript"/>
              </w:rPr>
              <w:t>0</w:t>
            </w:r>
          </w:p>
        </w:tc>
        <w:tc>
          <w:tcPr>
            <w:tcW w:w="1591" w:type="dxa"/>
            <w:gridSpan w:val="3"/>
          </w:tcPr>
          <w:p w:rsidR="00002BA6" w:rsidRPr="00B04DC3" w:rsidRDefault="00002BA6" w:rsidP="00002BA6">
            <w:pPr>
              <w:pStyle w:val="NormalLeft"/>
              <w:spacing w:before="0"/>
              <w:rPr>
                <w:sz w:val="20"/>
              </w:rPr>
            </w:pPr>
            <w:r w:rsidRPr="00B04DC3">
              <w:rPr>
                <w:sz w:val="20"/>
              </w:rPr>
              <w:t>m</w:t>
            </w:r>
            <w:r w:rsidRPr="00B04DC3">
              <w:rPr>
                <w:sz w:val="20"/>
                <w:vertAlign w:val="superscript"/>
              </w:rPr>
              <w:t>3</w:t>
            </w:r>
            <w:r w:rsidRPr="00B04DC3">
              <w:rPr>
                <w:sz w:val="20"/>
              </w:rPr>
              <w:t>/s</w:t>
            </w:r>
          </w:p>
        </w:tc>
        <w:tc>
          <w:tcPr>
            <w:tcW w:w="4019" w:type="dxa"/>
          </w:tcPr>
          <w:p w:rsidR="00002BA6" w:rsidRPr="00B04DC3" w:rsidRDefault="00002BA6" w:rsidP="00002BA6">
            <w:pPr>
              <w:pStyle w:val="NormalLeft"/>
              <w:spacing w:before="0"/>
              <w:rPr>
                <w:sz w:val="20"/>
              </w:rPr>
            </w:pPr>
            <w:r w:rsidRPr="00B04DC3">
              <w:rPr>
                <w:sz w:val="20"/>
              </w:rPr>
              <w:t>PDP calibration intercept</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D</w:t>
            </w:r>
          </w:p>
        </w:tc>
        <w:tc>
          <w:tcPr>
            <w:tcW w:w="1591" w:type="dxa"/>
            <w:gridSpan w:val="3"/>
          </w:tcPr>
          <w:p w:rsidR="00002BA6" w:rsidRPr="00B04DC3" w:rsidRDefault="00002BA6" w:rsidP="00002BA6">
            <w:pPr>
              <w:pStyle w:val="NormalLeft"/>
              <w:spacing w:before="0"/>
              <w:rPr>
                <w:sz w:val="20"/>
              </w:rPr>
            </w:pPr>
            <w:r w:rsidRPr="00B04DC3">
              <w:rPr>
                <w:sz w:val="20"/>
              </w:rPr>
              <w:t>-</w:t>
            </w:r>
          </w:p>
        </w:tc>
        <w:tc>
          <w:tcPr>
            <w:tcW w:w="4019" w:type="dxa"/>
          </w:tcPr>
          <w:p w:rsidR="00002BA6" w:rsidRPr="00B04DC3" w:rsidRDefault="00002BA6" w:rsidP="00002BA6">
            <w:pPr>
              <w:pStyle w:val="NormalLeft"/>
              <w:spacing w:before="0"/>
              <w:rPr>
                <w:sz w:val="20"/>
              </w:rPr>
            </w:pPr>
            <w:r w:rsidRPr="00B04DC3">
              <w:rPr>
                <w:sz w:val="20"/>
              </w:rPr>
              <w:t>Dilution factor</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sym w:font="Symbol" w:char="F044"/>
            </w:r>
            <w:r w:rsidRPr="00B04DC3">
              <w:rPr>
                <w:rFonts w:ascii="Times New Roman" w:hAnsi="Times New Roman"/>
              </w:rPr>
              <w:t>t</w:t>
            </w:r>
          </w:p>
        </w:tc>
        <w:tc>
          <w:tcPr>
            <w:tcW w:w="1591" w:type="dxa"/>
            <w:gridSpan w:val="3"/>
          </w:tcPr>
          <w:p w:rsidR="00002BA6" w:rsidRPr="00B04DC3" w:rsidRDefault="00002BA6" w:rsidP="00002BA6">
            <w:pPr>
              <w:spacing w:after="120"/>
            </w:pPr>
            <w:r w:rsidRPr="00B04DC3">
              <w:t>s</w:t>
            </w:r>
          </w:p>
        </w:tc>
        <w:tc>
          <w:tcPr>
            <w:tcW w:w="4019" w:type="dxa"/>
          </w:tcPr>
          <w:p w:rsidR="00002BA6" w:rsidRPr="00B04DC3" w:rsidRDefault="00002BA6" w:rsidP="00002BA6">
            <w:pPr>
              <w:spacing w:after="120"/>
            </w:pPr>
            <w:r w:rsidRPr="00B04DC3">
              <w:t>Time interval</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vertAlign w:val="subscript"/>
              </w:rPr>
            </w:pPr>
            <w:r w:rsidRPr="00B04DC3">
              <w:rPr>
                <w:rFonts w:ascii="Times New Roman" w:hAnsi="Times New Roman"/>
              </w:rPr>
              <w:t>e</w:t>
            </w:r>
            <w:r w:rsidRPr="00B04DC3">
              <w:rPr>
                <w:rFonts w:ascii="Times New Roman" w:hAnsi="Times New Roman"/>
                <w:vertAlign w:val="subscript"/>
              </w:rPr>
              <w:t>gas</w:t>
            </w:r>
          </w:p>
        </w:tc>
        <w:tc>
          <w:tcPr>
            <w:tcW w:w="1591" w:type="dxa"/>
            <w:gridSpan w:val="3"/>
          </w:tcPr>
          <w:p w:rsidR="00002BA6" w:rsidRPr="00B04DC3" w:rsidRDefault="00002BA6" w:rsidP="00002BA6">
            <w:pPr>
              <w:spacing w:after="120"/>
            </w:pPr>
            <w:r w:rsidRPr="00B04DC3">
              <w:t>g/kWh</w:t>
            </w:r>
          </w:p>
        </w:tc>
        <w:tc>
          <w:tcPr>
            <w:tcW w:w="4019" w:type="dxa"/>
          </w:tcPr>
          <w:p w:rsidR="00002BA6" w:rsidRPr="00B04DC3" w:rsidRDefault="00002BA6" w:rsidP="00002BA6">
            <w:pPr>
              <w:spacing w:after="120"/>
            </w:pPr>
            <w:r w:rsidRPr="00B04DC3">
              <w:t>Specific emission of gaseous components</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e</w:t>
            </w:r>
            <w:r w:rsidRPr="00B04DC3">
              <w:rPr>
                <w:rFonts w:ascii="Times New Roman" w:hAnsi="Times New Roman"/>
                <w:vertAlign w:val="subscript"/>
              </w:rPr>
              <w:t>PM</w:t>
            </w:r>
          </w:p>
        </w:tc>
        <w:tc>
          <w:tcPr>
            <w:tcW w:w="1591" w:type="dxa"/>
            <w:gridSpan w:val="3"/>
          </w:tcPr>
          <w:p w:rsidR="00002BA6" w:rsidRPr="00B04DC3" w:rsidRDefault="00002BA6" w:rsidP="00002BA6">
            <w:pPr>
              <w:spacing w:after="120"/>
            </w:pPr>
            <w:r w:rsidRPr="00B04DC3">
              <w:t>g/kWh</w:t>
            </w:r>
          </w:p>
        </w:tc>
        <w:tc>
          <w:tcPr>
            <w:tcW w:w="4019" w:type="dxa"/>
          </w:tcPr>
          <w:p w:rsidR="00002BA6" w:rsidRPr="00B04DC3" w:rsidRDefault="00002BA6" w:rsidP="00002BA6">
            <w:pPr>
              <w:spacing w:after="120"/>
            </w:pPr>
            <w:r w:rsidRPr="00B04DC3">
              <w:t>Specific emission of particulates</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vertAlign w:val="subscript"/>
              </w:rPr>
            </w:pPr>
            <w:r w:rsidRPr="00B04DC3">
              <w:rPr>
                <w:rFonts w:ascii="Times New Roman" w:hAnsi="Times New Roman"/>
              </w:rPr>
              <w:t>e</w:t>
            </w:r>
            <w:r w:rsidRPr="00B04DC3">
              <w:rPr>
                <w:rFonts w:ascii="Times New Roman" w:hAnsi="Times New Roman"/>
                <w:vertAlign w:val="subscript"/>
              </w:rPr>
              <w:t>r</w:t>
            </w:r>
          </w:p>
        </w:tc>
        <w:tc>
          <w:tcPr>
            <w:tcW w:w="1591" w:type="dxa"/>
            <w:gridSpan w:val="3"/>
          </w:tcPr>
          <w:p w:rsidR="00002BA6" w:rsidRPr="00B04DC3" w:rsidRDefault="00002BA6" w:rsidP="00002BA6">
            <w:pPr>
              <w:spacing w:after="120"/>
            </w:pPr>
            <w:r w:rsidRPr="00B04DC3">
              <w:t>g/kWh</w:t>
            </w:r>
          </w:p>
        </w:tc>
        <w:tc>
          <w:tcPr>
            <w:tcW w:w="4019" w:type="dxa"/>
          </w:tcPr>
          <w:p w:rsidR="00002BA6" w:rsidRPr="00B04DC3" w:rsidRDefault="00002BA6" w:rsidP="00002BA6">
            <w:pPr>
              <w:spacing w:after="120"/>
            </w:pPr>
            <w:r w:rsidRPr="00B04DC3">
              <w:t>Specific emission during regeneration</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vertAlign w:val="subscript"/>
              </w:rPr>
            </w:pPr>
            <w:r w:rsidRPr="00B04DC3">
              <w:rPr>
                <w:rFonts w:ascii="Times New Roman" w:hAnsi="Times New Roman"/>
              </w:rPr>
              <w:t>e</w:t>
            </w:r>
            <w:r w:rsidRPr="00B04DC3">
              <w:rPr>
                <w:rFonts w:ascii="Times New Roman" w:hAnsi="Times New Roman"/>
                <w:vertAlign w:val="subscript"/>
              </w:rPr>
              <w:t>w</w:t>
            </w:r>
          </w:p>
        </w:tc>
        <w:tc>
          <w:tcPr>
            <w:tcW w:w="1591" w:type="dxa"/>
            <w:gridSpan w:val="3"/>
          </w:tcPr>
          <w:p w:rsidR="00002BA6" w:rsidRPr="00B04DC3" w:rsidRDefault="00002BA6" w:rsidP="00002BA6">
            <w:pPr>
              <w:spacing w:after="120"/>
            </w:pPr>
            <w:r w:rsidRPr="00B04DC3">
              <w:t>g/kWh</w:t>
            </w:r>
          </w:p>
        </w:tc>
        <w:tc>
          <w:tcPr>
            <w:tcW w:w="4019" w:type="dxa"/>
          </w:tcPr>
          <w:p w:rsidR="00002BA6" w:rsidRPr="00B04DC3" w:rsidRDefault="00002BA6" w:rsidP="00002BA6">
            <w:pPr>
              <w:spacing w:after="120"/>
            </w:pPr>
            <w:r w:rsidRPr="00B04DC3">
              <w:t xml:space="preserve">Weighted specific emission </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E</w:t>
            </w:r>
            <w:r w:rsidRPr="00B04DC3">
              <w:rPr>
                <w:vertAlign w:val="subscript"/>
              </w:rPr>
              <w:t>CO2</w:t>
            </w:r>
          </w:p>
        </w:tc>
        <w:tc>
          <w:tcPr>
            <w:tcW w:w="1591" w:type="dxa"/>
            <w:gridSpan w:val="3"/>
          </w:tcPr>
          <w:p w:rsidR="00002BA6" w:rsidRPr="00B04DC3" w:rsidRDefault="00002BA6" w:rsidP="00002BA6">
            <w:pPr>
              <w:spacing w:after="120"/>
            </w:pPr>
            <w:r w:rsidRPr="00B04DC3">
              <w:t>per cent</w:t>
            </w:r>
          </w:p>
        </w:tc>
        <w:tc>
          <w:tcPr>
            <w:tcW w:w="4019" w:type="dxa"/>
          </w:tcPr>
          <w:p w:rsidR="00002BA6" w:rsidRPr="00B04DC3" w:rsidRDefault="00002BA6" w:rsidP="00002BA6">
            <w:pPr>
              <w:spacing w:after="120"/>
            </w:pPr>
            <w:r w:rsidRPr="00B04DC3">
              <w:t>CO</w:t>
            </w:r>
            <w:r w:rsidRPr="00B04DC3">
              <w:rPr>
                <w:vertAlign w:val="subscript"/>
              </w:rPr>
              <w:t>2</w:t>
            </w:r>
            <w:r w:rsidRPr="00B04DC3">
              <w:t xml:space="preserve"> quench of NO</w:t>
            </w:r>
            <w:r w:rsidRPr="00B04DC3">
              <w:rPr>
                <w:vertAlign w:val="subscript"/>
              </w:rPr>
              <w:t>x</w:t>
            </w:r>
            <w:r w:rsidRPr="00B04DC3">
              <w:t xml:space="preserve"> analyzer</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vertAlign w:val="subscript"/>
              </w:rPr>
            </w:pPr>
            <w:r w:rsidRPr="00B04DC3">
              <w:rPr>
                <w:rFonts w:ascii="Times New Roman" w:hAnsi="Times New Roman"/>
              </w:rPr>
              <w:t>E</w:t>
            </w:r>
            <w:r w:rsidRPr="00B04DC3">
              <w:rPr>
                <w:vertAlign w:val="subscript"/>
              </w:rPr>
              <w:t>E</w:t>
            </w:r>
          </w:p>
        </w:tc>
        <w:tc>
          <w:tcPr>
            <w:tcW w:w="1591" w:type="dxa"/>
            <w:gridSpan w:val="3"/>
          </w:tcPr>
          <w:p w:rsidR="00002BA6" w:rsidRPr="00B04DC3" w:rsidRDefault="00002BA6" w:rsidP="00002BA6">
            <w:pPr>
              <w:spacing w:after="120"/>
            </w:pPr>
            <w:r w:rsidRPr="00B04DC3">
              <w:t>per cent</w:t>
            </w:r>
          </w:p>
        </w:tc>
        <w:tc>
          <w:tcPr>
            <w:tcW w:w="4019" w:type="dxa"/>
          </w:tcPr>
          <w:p w:rsidR="00002BA6" w:rsidRPr="00B04DC3" w:rsidRDefault="00002BA6" w:rsidP="00002BA6">
            <w:pPr>
              <w:spacing w:after="120"/>
            </w:pPr>
            <w:r w:rsidRPr="00B04DC3">
              <w:t>Ethane efficiency</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E</w:t>
            </w:r>
            <w:r w:rsidRPr="00B04DC3">
              <w:rPr>
                <w:vertAlign w:val="subscript"/>
              </w:rPr>
              <w:t>H2</w:t>
            </w:r>
            <w:r w:rsidRPr="00B04DC3">
              <w:t>O</w:t>
            </w:r>
          </w:p>
        </w:tc>
        <w:tc>
          <w:tcPr>
            <w:tcW w:w="1591" w:type="dxa"/>
            <w:gridSpan w:val="3"/>
          </w:tcPr>
          <w:p w:rsidR="00002BA6" w:rsidRPr="00B04DC3" w:rsidRDefault="00002BA6" w:rsidP="00002BA6">
            <w:pPr>
              <w:spacing w:after="120"/>
            </w:pPr>
            <w:r w:rsidRPr="00B04DC3">
              <w:t>per cent</w:t>
            </w:r>
          </w:p>
        </w:tc>
        <w:tc>
          <w:tcPr>
            <w:tcW w:w="4019" w:type="dxa"/>
          </w:tcPr>
          <w:p w:rsidR="00002BA6" w:rsidRPr="00B04DC3" w:rsidRDefault="00002BA6" w:rsidP="00002BA6">
            <w:pPr>
              <w:spacing w:after="120"/>
            </w:pPr>
            <w:r w:rsidRPr="00B04DC3">
              <w:t>Water quench of NO</w:t>
            </w:r>
            <w:r w:rsidRPr="00B04DC3">
              <w:rPr>
                <w:vertAlign w:val="subscript"/>
              </w:rPr>
              <w:t>x</w:t>
            </w:r>
            <w:r w:rsidRPr="00B04DC3">
              <w:t xml:space="preserve"> analyzer</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vertAlign w:val="subscript"/>
              </w:rPr>
            </w:pPr>
            <w:r w:rsidRPr="00B04DC3">
              <w:rPr>
                <w:rFonts w:ascii="Times New Roman" w:hAnsi="Times New Roman"/>
              </w:rPr>
              <w:t>E</w:t>
            </w:r>
            <w:r w:rsidRPr="00B04DC3">
              <w:rPr>
                <w:vertAlign w:val="subscript"/>
              </w:rPr>
              <w:t>M</w:t>
            </w:r>
          </w:p>
        </w:tc>
        <w:tc>
          <w:tcPr>
            <w:tcW w:w="1591" w:type="dxa"/>
            <w:gridSpan w:val="3"/>
          </w:tcPr>
          <w:p w:rsidR="00002BA6" w:rsidRPr="00B04DC3" w:rsidRDefault="00002BA6" w:rsidP="00002BA6">
            <w:pPr>
              <w:spacing w:after="120"/>
            </w:pPr>
            <w:r w:rsidRPr="00B04DC3">
              <w:t>per cent</w:t>
            </w:r>
          </w:p>
        </w:tc>
        <w:tc>
          <w:tcPr>
            <w:tcW w:w="4019" w:type="dxa"/>
          </w:tcPr>
          <w:p w:rsidR="00002BA6" w:rsidRPr="00B04DC3" w:rsidRDefault="00002BA6" w:rsidP="00002BA6">
            <w:pPr>
              <w:spacing w:after="120"/>
            </w:pPr>
            <w:r w:rsidRPr="00B04DC3">
              <w:t>Methane efficiency</w:t>
            </w:r>
          </w:p>
        </w:tc>
      </w:tr>
      <w:tr w:rsidR="00002BA6" w:rsidRPr="00B04DC3" w:rsidTr="00DA09F5">
        <w:trPr>
          <w:cantSplit/>
          <w:trHeight w:val="300"/>
        </w:trPr>
        <w:tc>
          <w:tcPr>
            <w:tcW w:w="910" w:type="dxa"/>
            <w:gridSpan w:val="2"/>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E</w:t>
            </w:r>
            <w:r w:rsidRPr="00B04DC3">
              <w:rPr>
                <w:vertAlign w:val="subscript"/>
              </w:rPr>
              <w:t>NOx</w:t>
            </w:r>
          </w:p>
        </w:tc>
        <w:tc>
          <w:tcPr>
            <w:tcW w:w="1591" w:type="dxa"/>
            <w:gridSpan w:val="3"/>
          </w:tcPr>
          <w:p w:rsidR="00002BA6" w:rsidRPr="00B04DC3" w:rsidRDefault="00002BA6" w:rsidP="00002BA6">
            <w:pPr>
              <w:spacing w:after="120"/>
            </w:pPr>
            <w:r w:rsidRPr="00B04DC3">
              <w:t>per cent</w:t>
            </w:r>
          </w:p>
        </w:tc>
        <w:tc>
          <w:tcPr>
            <w:tcW w:w="4019" w:type="dxa"/>
          </w:tcPr>
          <w:p w:rsidR="00002BA6" w:rsidRPr="00B04DC3" w:rsidRDefault="00002BA6" w:rsidP="00002BA6">
            <w:pPr>
              <w:spacing w:after="120"/>
            </w:pPr>
            <w:r w:rsidRPr="00B04DC3">
              <w:t>Efficiency of NO</w:t>
            </w:r>
            <w:r w:rsidRPr="00B04DC3">
              <w:rPr>
                <w:vertAlign w:val="subscript"/>
              </w:rPr>
              <w:t>x</w:t>
            </w:r>
            <w:r w:rsidRPr="00B04DC3">
              <w:t xml:space="preserve"> converter</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f</w:t>
            </w:r>
          </w:p>
        </w:tc>
        <w:tc>
          <w:tcPr>
            <w:tcW w:w="1591" w:type="dxa"/>
            <w:gridSpan w:val="3"/>
          </w:tcPr>
          <w:p w:rsidR="00002BA6" w:rsidRPr="00B04DC3" w:rsidRDefault="00002BA6" w:rsidP="00002BA6">
            <w:pPr>
              <w:spacing w:after="120"/>
            </w:pPr>
            <w:r w:rsidRPr="00B04DC3">
              <w:t>Hz</w:t>
            </w:r>
          </w:p>
        </w:tc>
        <w:tc>
          <w:tcPr>
            <w:tcW w:w="4019" w:type="dxa"/>
          </w:tcPr>
          <w:p w:rsidR="00002BA6" w:rsidRPr="00B04DC3" w:rsidRDefault="00002BA6" w:rsidP="00002BA6">
            <w:pPr>
              <w:spacing w:after="120"/>
            </w:pPr>
            <w:r w:rsidRPr="00B04DC3">
              <w:t>Data sampling rate</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vertAlign w:val="subscript"/>
              </w:rPr>
            </w:pPr>
            <w:r w:rsidRPr="00B04DC3">
              <w:t>f</w:t>
            </w:r>
            <w:r w:rsidRPr="00B04DC3">
              <w:rPr>
                <w:vertAlign w:val="subscript"/>
              </w:rPr>
              <w:t>a</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Laboratory atmospheric factor</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F</w:t>
            </w:r>
            <w:r w:rsidRPr="00B04DC3">
              <w:rPr>
                <w:sz w:val="20"/>
                <w:vertAlign w:val="subscript"/>
              </w:rPr>
              <w:t>s</w:t>
            </w:r>
          </w:p>
        </w:tc>
        <w:tc>
          <w:tcPr>
            <w:tcW w:w="1591" w:type="dxa"/>
            <w:gridSpan w:val="3"/>
          </w:tcPr>
          <w:p w:rsidR="00002BA6" w:rsidRPr="00B04DC3" w:rsidRDefault="00002BA6" w:rsidP="00002BA6">
            <w:pPr>
              <w:pStyle w:val="NormalLeft"/>
              <w:spacing w:before="0"/>
              <w:rPr>
                <w:sz w:val="20"/>
              </w:rPr>
            </w:pPr>
            <w:r w:rsidRPr="00B04DC3">
              <w:rPr>
                <w:sz w:val="20"/>
              </w:rPr>
              <w:t>-</w:t>
            </w:r>
          </w:p>
        </w:tc>
        <w:tc>
          <w:tcPr>
            <w:tcW w:w="4019" w:type="dxa"/>
          </w:tcPr>
          <w:p w:rsidR="00002BA6" w:rsidRPr="00B04DC3" w:rsidRDefault="00002BA6" w:rsidP="00002BA6">
            <w:pPr>
              <w:pStyle w:val="NormalLeft"/>
              <w:spacing w:before="0"/>
              <w:rPr>
                <w:sz w:val="20"/>
              </w:rPr>
            </w:pPr>
            <w:r w:rsidRPr="00B04DC3">
              <w:rPr>
                <w:sz w:val="20"/>
              </w:rPr>
              <w:t>Stoichiometric factor</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H</w:t>
            </w:r>
            <w:r w:rsidRPr="00B04DC3">
              <w:rPr>
                <w:vertAlign w:val="subscript"/>
              </w:rPr>
              <w:t>a</w:t>
            </w:r>
          </w:p>
        </w:tc>
        <w:tc>
          <w:tcPr>
            <w:tcW w:w="1591" w:type="dxa"/>
            <w:gridSpan w:val="3"/>
          </w:tcPr>
          <w:p w:rsidR="00002BA6" w:rsidRPr="00B04DC3" w:rsidRDefault="00002BA6" w:rsidP="00002BA6">
            <w:pPr>
              <w:spacing w:after="120"/>
            </w:pPr>
            <w:r w:rsidRPr="00B04DC3">
              <w:t>g/kg</w:t>
            </w:r>
          </w:p>
        </w:tc>
        <w:tc>
          <w:tcPr>
            <w:tcW w:w="4019" w:type="dxa"/>
          </w:tcPr>
          <w:p w:rsidR="00002BA6" w:rsidRPr="00B04DC3" w:rsidRDefault="00002BA6" w:rsidP="00002BA6">
            <w:pPr>
              <w:spacing w:after="120"/>
            </w:pPr>
            <w:r w:rsidRPr="00B04DC3">
              <w:t>Absolute humidity of the intake air</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H</w:t>
            </w:r>
            <w:r w:rsidRPr="00B04DC3">
              <w:rPr>
                <w:vertAlign w:val="subscript"/>
              </w:rPr>
              <w:t>d</w:t>
            </w:r>
          </w:p>
        </w:tc>
        <w:tc>
          <w:tcPr>
            <w:tcW w:w="1591" w:type="dxa"/>
            <w:gridSpan w:val="3"/>
          </w:tcPr>
          <w:p w:rsidR="00002BA6" w:rsidRPr="00B04DC3" w:rsidRDefault="00002BA6" w:rsidP="00002BA6">
            <w:pPr>
              <w:spacing w:after="120"/>
            </w:pPr>
            <w:r w:rsidRPr="00B04DC3">
              <w:t>g/kg</w:t>
            </w:r>
          </w:p>
        </w:tc>
        <w:tc>
          <w:tcPr>
            <w:tcW w:w="4019" w:type="dxa"/>
          </w:tcPr>
          <w:p w:rsidR="00002BA6" w:rsidRPr="00B04DC3" w:rsidRDefault="00002BA6" w:rsidP="00002BA6">
            <w:pPr>
              <w:spacing w:after="120"/>
            </w:pPr>
            <w:r w:rsidRPr="00B04DC3">
              <w:t>Absolute humidity of the diluent</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i</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Subscript denoting an instantaneous measurement (e.g. 1 Hz)</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c</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w:t>
            </w:r>
          </w:p>
        </w:tc>
        <w:tc>
          <w:tcPr>
            <w:tcW w:w="4019" w:type="dxa"/>
          </w:tcPr>
          <w:p w:rsidR="00002BA6" w:rsidRPr="00B04DC3" w:rsidRDefault="00002BA6" w:rsidP="00002BA6">
            <w:pPr>
              <w:spacing w:after="120"/>
            </w:pPr>
            <w:r w:rsidRPr="00B04DC3">
              <w:t>Carbon specific factor</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f,d</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m</w:t>
            </w:r>
            <w:r w:rsidRPr="00B04DC3">
              <w:rPr>
                <w:rFonts w:ascii="Times New Roman" w:hAnsi="Times New Roman"/>
                <w:vertAlign w:val="superscript"/>
              </w:rPr>
              <w:t>3</w:t>
            </w:r>
            <w:r w:rsidRPr="00B04DC3">
              <w:rPr>
                <w:rFonts w:ascii="Times New Roman" w:hAnsi="Times New Roman"/>
              </w:rPr>
              <w:t>/kg fuel</w:t>
            </w:r>
          </w:p>
        </w:tc>
        <w:tc>
          <w:tcPr>
            <w:tcW w:w="4019" w:type="dxa"/>
          </w:tcPr>
          <w:p w:rsidR="00002BA6" w:rsidRPr="00B04DC3" w:rsidRDefault="00002BA6" w:rsidP="00002BA6">
            <w:pPr>
              <w:spacing w:after="120"/>
            </w:pPr>
            <w:r w:rsidRPr="00B04DC3">
              <w:t>Combustion additional volume of dry exhaust</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f,w</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m</w:t>
            </w:r>
            <w:r w:rsidRPr="00B04DC3">
              <w:rPr>
                <w:rFonts w:ascii="Times New Roman" w:hAnsi="Times New Roman"/>
                <w:vertAlign w:val="superscript"/>
              </w:rPr>
              <w:t>3</w:t>
            </w:r>
            <w:r w:rsidRPr="00B04DC3">
              <w:rPr>
                <w:rFonts w:ascii="Times New Roman" w:hAnsi="Times New Roman"/>
              </w:rPr>
              <w:t>/kg fuel</w:t>
            </w:r>
          </w:p>
        </w:tc>
        <w:tc>
          <w:tcPr>
            <w:tcW w:w="4019" w:type="dxa"/>
          </w:tcPr>
          <w:p w:rsidR="00002BA6" w:rsidRPr="00B04DC3" w:rsidRDefault="00002BA6" w:rsidP="00002BA6">
            <w:pPr>
              <w:spacing w:after="120"/>
            </w:pPr>
            <w:r w:rsidRPr="00B04DC3">
              <w:t>Combustion additional volume of wet exhaust</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k</w:t>
            </w:r>
            <w:r w:rsidRPr="00B04DC3">
              <w:rPr>
                <w:vertAlign w:val="subscript"/>
              </w:rPr>
              <w:t>h,D</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w:t>
            </w:r>
          </w:p>
        </w:tc>
        <w:tc>
          <w:tcPr>
            <w:tcW w:w="4019" w:type="dxa"/>
          </w:tcPr>
          <w:p w:rsidR="00002BA6" w:rsidRPr="00B04DC3" w:rsidRDefault="00002BA6" w:rsidP="00002BA6">
            <w:pPr>
              <w:spacing w:after="120"/>
            </w:pPr>
            <w:r w:rsidRPr="00B04DC3">
              <w:t>Humidity correction factor for NO</w:t>
            </w:r>
            <w:r w:rsidRPr="00B04DC3">
              <w:rPr>
                <w:vertAlign w:val="subscript"/>
              </w:rPr>
              <w:t>x</w:t>
            </w:r>
            <w:r w:rsidRPr="00B04DC3">
              <w:t xml:space="preserve"> for CI engines</w:t>
            </w:r>
            <w:r w:rsidRPr="00B04DC3">
              <w:rPr>
                <w:position w:val="-6"/>
              </w:rPr>
              <w:t xml:space="preserve"> </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k</w:t>
            </w:r>
            <w:r w:rsidRPr="00B04DC3">
              <w:rPr>
                <w:vertAlign w:val="subscript"/>
              </w:rPr>
              <w:t>h,G</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w:t>
            </w:r>
          </w:p>
        </w:tc>
        <w:tc>
          <w:tcPr>
            <w:tcW w:w="4019" w:type="dxa"/>
          </w:tcPr>
          <w:p w:rsidR="00002BA6" w:rsidRPr="00B04DC3" w:rsidRDefault="00002BA6" w:rsidP="00002BA6">
            <w:pPr>
              <w:spacing w:after="120"/>
            </w:pPr>
            <w:r w:rsidRPr="00B04DC3">
              <w:t>Humidity correction factor for NO</w:t>
            </w:r>
            <w:r w:rsidRPr="00B04DC3">
              <w:rPr>
                <w:vertAlign w:val="subscript"/>
              </w:rPr>
              <w:t>x</w:t>
            </w:r>
            <w:r w:rsidRPr="00B04DC3">
              <w:t xml:space="preserve"> for PI engines</w:t>
            </w:r>
            <w:r w:rsidRPr="00B04DC3">
              <w:rPr>
                <w:position w:val="-6"/>
              </w:rPr>
              <w:t xml:space="preserve"> </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p>
        </w:tc>
        <w:tc>
          <w:tcPr>
            <w:tcW w:w="4019" w:type="dxa"/>
          </w:tcPr>
          <w:p w:rsidR="00002BA6" w:rsidRPr="00B04DC3" w:rsidRDefault="00002BA6" w:rsidP="00002BA6">
            <w:pPr>
              <w:spacing w:after="120"/>
            </w:pP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k</w:t>
            </w:r>
            <w:r w:rsidRPr="00B04DC3">
              <w:rPr>
                <w:vertAlign w:val="subscript"/>
              </w:rPr>
              <w:t>r,d</w:t>
            </w:r>
          </w:p>
        </w:tc>
        <w:tc>
          <w:tcPr>
            <w:tcW w:w="1591" w:type="dxa"/>
            <w:gridSpan w:val="3"/>
          </w:tcPr>
          <w:p w:rsidR="00002BA6" w:rsidRPr="00B04DC3" w:rsidRDefault="00002BA6" w:rsidP="00002BA6">
            <w:pPr>
              <w:pStyle w:val="Formatvorlage1"/>
              <w:tabs>
                <w:tab w:val="clear" w:pos="1140"/>
              </w:tabs>
              <w:ind w:left="0" w:firstLine="0"/>
              <w:rPr>
                <w:rFonts w:ascii="Times New Roman" w:hAnsi="Times New Roman"/>
              </w:rPr>
            </w:pPr>
            <w:r w:rsidRPr="00B04DC3">
              <w:rPr>
                <w:rFonts w:ascii="Times New Roman" w:hAnsi="Times New Roman"/>
              </w:rPr>
              <w:t>-</w:t>
            </w:r>
          </w:p>
        </w:tc>
        <w:tc>
          <w:tcPr>
            <w:tcW w:w="4019" w:type="dxa"/>
          </w:tcPr>
          <w:p w:rsidR="00002BA6" w:rsidRPr="00B04DC3" w:rsidRDefault="00002BA6" w:rsidP="00002BA6">
            <w:pPr>
              <w:spacing w:after="120"/>
            </w:pPr>
            <w:r w:rsidRPr="00B04DC3">
              <w:t>Downward regeneration adjustment factor</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k</w:t>
            </w:r>
            <w:r w:rsidRPr="00B04DC3">
              <w:rPr>
                <w:vertAlign w:val="subscript"/>
              </w:rPr>
              <w:t>r,u</w:t>
            </w:r>
          </w:p>
        </w:tc>
        <w:tc>
          <w:tcPr>
            <w:tcW w:w="1591" w:type="dxa"/>
            <w:gridSpan w:val="3"/>
          </w:tcPr>
          <w:p w:rsidR="00002BA6" w:rsidRPr="00B04DC3" w:rsidRDefault="00002BA6" w:rsidP="00002BA6">
            <w:pPr>
              <w:pStyle w:val="Formatvorlage1"/>
              <w:tabs>
                <w:tab w:val="clear" w:pos="1140"/>
              </w:tabs>
              <w:ind w:left="0" w:firstLine="0"/>
              <w:rPr>
                <w:rFonts w:ascii="Times New Roman" w:hAnsi="Times New Roman"/>
              </w:rPr>
            </w:pPr>
            <w:r w:rsidRPr="00B04DC3">
              <w:rPr>
                <w:rFonts w:ascii="Times New Roman" w:hAnsi="Times New Roman"/>
              </w:rPr>
              <w:t>-</w:t>
            </w:r>
          </w:p>
        </w:tc>
        <w:tc>
          <w:tcPr>
            <w:tcW w:w="4019" w:type="dxa"/>
          </w:tcPr>
          <w:p w:rsidR="00002BA6" w:rsidRPr="00B04DC3" w:rsidRDefault="00002BA6" w:rsidP="00002BA6">
            <w:pPr>
              <w:spacing w:after="120"/>
            </w:pPr>
            <w:r w:rsidRPr="00B04DC3">
              <w:t xml:space="preserve">Upward regeneration adjustment factor </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w,a</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Dry to wet correction factor for the intake air</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w,d</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Dry to wet correction factor for the  diluent</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w,e</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Dry to wet correction factor for the diluted exhaust gas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k</w:t>
            </w:r>
            <w:r w:rsidRPr="00B04DC3">
              <w:rPr>
                <w:vertAlign w:val="subscript"/>
              </w:rPr>
              <w:t>w,r</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Dry to wet correction factor for the raw exhaust gas</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K</w:t>
            </w:r>
            <w:r w:rsidRPr="00B04DC3">
              <w:rPr>
                <w:sz w:val="20"/>
                <w:vertAlign w:val="subscript"/>
              </w:rPr>
              <w:t>V</w:t>
            </w:r>
          </w:p>
        </w:tc>
        <w:tc>
          <w:tcPr>
            <w:tcW w:w="1591" w:type="dxa"/>
            <w:gridSpan w:val="3"/>
          </w:tcPr>
          <w:p w:rsidR="00002BA6" w:rsidRPr="00B04DC3" w:rsidRDefault="00002BA6" w:rsidP="00002BA6">
            <w:pPr>
              <w:pStyle w:val="NormalLeft"/>
              <w:spacing w:before="0"/>
              <w:rPr>
                <w:sz w:val="20"/>
              </w:rPr>
            </w:pPr>
            <w:r w:rsidRPr="00B04DC3">
              <w:rPr>
                <w:sz w:val="20"/>
              </w:rPr>
              <w:t>-</w:t>
            </w:r>
          </w:p>
        </w:tc>
        <w:tc>
          <w:tcPr>
            <w:tcW w:w="4019" w:type="dxa"/>
          </w:tcPr>
          <w:p w:rsidR="00002BA6" w:rsidRPr="00B04DC3" w:rsidRDefault="00002BA6" w:rsidP="00002BA6">
            <w:pPr>
              <w:pStyle w:val="NormalLeft"/>
              <w:spacing w:before="0"/>
              <w:rPr>
                <w:sz w:val="20"/>
              </w:rPr>
            </w:pPr>
            <w:r w:rsidRPr="00B04DC3">
              <w:rPr>
                <w:sz w:val="20"/>
              </w:rPr>
              <w:t>CFV calibration function</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rPr>
                <w:rFonts w:ascii="Symbol" w:hAnsi="Symbol"/>
              </w:rPr>
              <w:t></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Excess air ratio</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m</w:t>
            </w:r>
            <w:r w:rsidRPr="00B04DC3">
              <w:rPr>
                <w:sz w:val="20"/>
                <w:vertAlign w:val="subscript"/>
              </w:rPr>
              <w:t>b</w:t>
            </w:r>
          </w:p>
        </w:tc>
        <w:tc>
          <w:tcPr>
            <w:tcW w:w="1591" w:type="dxa"/>
            <w:gridSpan w:val="3"/>
          </w:tcPr>
          <w:p w:rsidR="00002BA6" w:rsidRPr="00B04DC3" w:rsidRDefault="00002BA6" w:rsidP="00002BA6">
            <w:pPr>
              <w:pStyle w:val="NormalLeft"/>
              <w:spacing w:before="0"/>
              <w:rPr>
                <w:sz w:val="20"/>
              </w:rPr>
            </w:pPr>
            <w:r w:rsidRPr="00B04DC3">
              <w:rPr>
                <w:sz w:val="20"/>
              </w:rPr>
              <w:t>mg</w:t>
            </w:r>
          </w:p>
        </w:tc>
        <w:tc>
          <w:tcPr>
            <w:tcW w:w="4019" w:type="dxa"/>
          </w:tcPr>
          <w:p w:rsidR="00002BA6" w:rsidRPr="00B04DC3" w:rsidRDefault="00002BA6" w:rsidP="00002BA6">
            <w:pPr>
              <w:pStyle w:val="NormalLeft"/>
              <w:spacing w:before="0"/>
              <w:rPr>
                <w:sz w:val="20"/>
              </w:rPr>
            </w:pPr>
            <w:r w:rsidRPr="00B04DC3">
              <w:rPr>
                <w:sz w:val="20"/>
              </w:rPr>
              <w:t>Particulate sample mass of the diluent collected</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m</w:t>
            </w:r>
            <w:r w:rsidRPr="00B04DC3">
              <w:rPr>
                <w:sz w:val="20"/>
                <w:vertAlign w:val="subscript"/>
              </w:rPr>
              <w:t>d</w:t>
            </w:r>
          </w:p>
        </w:tc>
        <w:tc>
          <w:tcPr>
            <w:tcW w:w="1591" w:type="dxa"/>
            <w:gridSpan w:val="3"/>
          </w:tcPr>
          <w:p w:rsidR="00002BA6" w:rsidRPr="00B04DC3" w:rsidRDefault="00002BA6" w:rsidP="00002BA6">
            <w:pPr>
              <w:pStyle w:val="NormalLeft"/>
              <w:spacing w:before="0"/>
              <w:rPr>
                <w:sz w:val="20"/>
              </w:rPr>
            </w:pPr>
            <w:r w:rsidRPr="00B04DC3">
              <w:rPr>
                <w:sz w:val="20"/>
              </w:rPr>
              <w:t>kg</w:t>
            </w:r>
          </w:p>
        </w:tc>
        <w:tc>
          <w:tcPr>
            <w:tcW w:w="4019" w:type="dxa"/>
          </w:tcPr>
          <w:p w:rsidR="00002BA6" w:rsidRPr="00B04DC3" w:rsidRDefault="00002BA6" w:rsidP="00002BA6">
            <w:pPr>
              <w:pStyle w:val="NormalLeft"/>
              <w:spacing w:before="0"/>
              <w:rPr>
                <w:sz w:val="20"/>
              </w:rPr>
            </w:pPr>
            <w:r w:rsidRPr="00B04DC3">
              <w:rPr>
                <w:sz w:val="20"/>
              </w:rPr>
              <w:t>Mass of the  diluent sample passed through the particulate sampling filters</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m</w:t>
            </w:r>
            <w:r w:rsidRPr="00B04DC3">
              <w:rPr>
                <w:sz w:val="20"/>
                <w:vertAlign w:val="subscript"/>
              </w:rPr>
              <w:t>ed</w:t>
            </w:r>
          </w:p>
        </w:tc>
        <w:tc>
          <w:tcPr>
            <w:tcW w:w="1591" w:type="dxa"/>
            <w:gridSpan w:val="3"/>
          </w:tcPr>
          <w:p w:rsidR="00002BA6" w:rsidRPr="00B04DC3" w:rsidRDefault="00002BA6" w:rsidP="00002BA6">
            <w:pPr>
              <w:pStyle w:val="NormalLeft"/>
              <w:spacing w:before="0"/>
              <w:rPr>
                <w:sz w:val="20"/>
              </w:rPr>
            </w:pPr>
            <w:r w:rsidRPr="00B04DC3">
              <w:rPr>
                <w:sz w:val="20"/>
              </w:rPr>
              <w:t>kg</w:t>
            </w:r>
          </w:p>
        </w:tc>
        <w:tc>
          <w:tcPr>
            <w:tcW w:w="4019" w:type="dxa"/>
          </w:tcPr>
          <w:p w:rsidR="00002BA6" w:rsidRPr="00B04DC3" w:rsidRDefault="00002BA6" w:rsidP="00002BA6">
            <w:pPr>
              <w:pStyle w:val="NormalLeft"/>
              <w:spacing w:before="0"/>
              <w:rPr>
                <w:sz w:val="20"/>
              </w:rPr>
            </w:pPr>
            <w:r w:rsidRPr="00B04DC3">
              <w:rPr>
                <w:sz w:val="20"/>
              </w:rPr>
              <w:t>Total diluted exhaust mass over the cycle</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m</w:t>
            </w:r>
            <w:r w:rsidRPr="00B04DC3">
              <w:rPr>
                <w:vertAlign w:val="subscript"/>
              </w:rPr>
              <w:t>edf</w:t>
            </w:r>
          </w:p>
        </w:tc>
        <w:tc>
          <w:tcPr>
            <w:tcW w:w="1591" w:type="dxa"/>
            <w:gridSpan w:val="3"/>
          </w:tcPr>
          <w:p w:rsidR="00002BA6" w:rsidRPr="00B04DC3" w:rsidRDefault="00002BA6" w:rsidP="00002BA6">
            <w:pPr>
              <w:spacing w:after="120"/>
            </w:pPr>
            <w:r w:rsidRPr="00B04DC3">
              <w:t>kg</w:t>
            </w:r>
          </w:p>
        </w:tc>
        <w:tc>
          <w:tcPr>
            <w:tcW w:w="4019" w:type="dxa"/>
          </w:tcPr>
          <w:p w:rsidR="00002BA6" w:rsidRPr="00B04DC3" w:rsidRDefault="00002BA6" w:rsidP="00002BA6">
            <w:pPr>
              <w:spacing w:after="120"/>
            </w:pPr>
            <w:r w:rsidRPr="00B04DC3">
              <w:t>Mass of equivalent diluted exhaust gas over the test cycle</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m</w:t>
            </w:r>
            <w:r w:rsidRPr="00B04DC3">
              <w:rPr>
                <w:sz w:val="20"/>
                <w:vertAlign w:val="subscript"/>
              </w:rPr>
              <w:t>ew</w:t>
            </w:r>
          </w:p>
        </w:tc>
        <w:tc>
          <w:tcPr>
            <w:tcW w:w="1591" w:type="dxa"/>
            <w:gridSpan w:val="3"/>
          </w:tcPr>
          <w:p w:rsidR="00002BA6" w:rsidRPr="00B04DC3" w:rsidRDefault="00002BA6" w:rsidP="00002BA6">
            <w:pPr>
              <w:pStyle w:val="NormalLeft"/>
              <w:spacing w:before="0"/>
              <w:rPr>
                <w:sz w:val="20"/>
              </w:rPr>
            </w:pPr>
            <w:r w:rsidRPr="00B04DC3">
              <w:rPr>
                <w:sz w:val="20"/>
              </w:rPr>
              <w:t>kg</w:t>
            </w:r>
          </w:p>
        </w:tc>
        <w:tc>
          <w:tcPr>
            <w:tcW w:w="4019" w:type="dxa"/>
          </w:tcPr>
          <w:p w:rsidR="00002BA6" w:rsidRPr="00B04DC3" w:rsidRDefault="00002BA6" w:rsidP="00002BA6">
            <w:pPr>
              <w:pStyle w:val="NormalLeft"/>
              <w:spacing w:before="0"/>
              <w:rPr>
                <w:sz w:val="20"/>
              </w:rPr>
            </w:pPr>
            <w:r w:rsidRPr="00B04DC3">
              <w:rPr>
                <w:sz w:val="20"/>
              </w:rPr>
              <w:t>Total exhaust mass over the cycle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f</w:t>
            </w:r>
          </w:p>
        </w:tc>
        <w:tc>
          <w:tcPr>
            <w:tcW w:w="1591" w:type="dxa"/>
            <w:gridSpan w:val="3"/>
          </w:tcPr>
          <w:p w:rsidR="00002BA6" w:rsidRPr="00B04DC3" w:rsidRDefault="00002BA6" w:rsidP="00002BA6">
            <w:pPr>
              <w:spacing w:after="120"/>
            </w:pPr>
            <w:r w:rsidRPr="00B04DC3">
              <w:t>mg</w:t>
            </w:r>
          </w:p>
        </w:tc>
        <w:tc>
          <w:tcPr>
            <w:tcW w:w="4019" w:type="dxa"/>
          </w:tcPr>
          <w:p w:rsidR="00002BA6" w:rsidRPr="00B04DC3" w:rsidRDefault="00002BA6" w:rsidP="00002BA6">
            <w:pPr>
              <w:spacing w:after="120"/>
            </w:pPr>
            <w:r w:rsidRPr="00B04DC3">
              <w:t>Particulate sampling filter mass</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m</w:t>
            </w:r>
            <w:r w:rsidRPr="00B04DC3">
              <w:rPr>
                <w:vertAlign w:val="subscript"/>
              </w:rPr>
              <w:t>gas</w:t>
            </w:r>
          </w:p>
        </w:tc>
        <w:tc>
          <w:tcPr>
            <w:tcW w:w="1591" w:type="dxa"/>
            <w:gridSpan w:val="3"/>
          </w:tcPr>
          <w:p w:rsidR="00002BA6" w:rsidRPr="00B04DC3" w:rsidRDefault="00002BA6" w:rsidP="00002BA6">
            <w:pPr>
              <w:spacing w:after="120"/>
            </w:pPr>
            <w:r w:rsidRPr="00B04DC3">
              <w:t>g</w:t>
            </w:r>
          </w:p>
        </w:tc>
        <w:tc>
          <w:tcPr>
            <w:tcW w:w="4019" w:type="dxa"/>
          </w:tcPr>
          <w:p w:rsidR="00002BA6" w:rsidRPr="00B04DC3" w:rsidRDefault="00002BA6" w:rsidP="00002BA6">
            <w:pPr>
              <w:spacing w:after="120"/>
            </w:pPr>
            <w:r w:rsidRPr="00B04DC3">
              <w:t>Mass of gaseous emissions over the test cycle</w:t>
            </w:r>
          </w:p>
        </w:tc>
      </w:tr>
      <w:tr w:rsidR="00002BA6" w:rsidRPr="00B04DC3" w:rsidTr="00DA09F5">
        <w:trPr>
          <w:cantSplit/>
          <w:trHeight w:val="300"/>
        </w:trPr>
        <w:tc>
          <w:tcPr>
            <w:tcW w:w="931" w:type="dxa"/>
            <w:gridSpan w:val="3"/>
          </w:tcPr>
          <w:p w:rsidR="00002BA6" w:rsidRPr="00B04DC3" w:rsidRDefault="00002BA6" w:rsidP="00002BA6">
            <w:pPr>
              <w:spacing w:after="120"/>
              <w:rPr>
                <w:position w:val="6"/>
              </w:rPr>
            </w:pPr>
            <w:r w:rsidRPr="00B04DC3">
              <w:t>m</w:t>
            </w:r>
            <w:r w:rsidRPr="00B04DC3">
              <w:rPr>
                <w:vertAlign w:val="subscript"/>
              </w:rPr>
              <w:t>p</w:t>
            </w:r>
          </w:p>
        </w:tc>
        <w:tc>
          <w:tcPr>
            <w:tcW w:w="1570" w:type="dxa"/>
            <w:gridSpan w:val="2"/>
          </w:tcPr>
          <w:p w:rsidR="00002BA6" w:rsidRPr="00B04DC3" w:rsidRDefault="00002BA6" w:rsidP="00002BA6">
            <w:pPr>
              <w:spacing w:after="120"/>
            </w:pPr>
            <w:r w:rsidRPr="00B04DC3">
              <w:t>mg</w:t>
            </w:r>
          </w:p>
        </w:tc>
        <w:tc>
          <w:tcPr>
            <w:tcW w:w="4019" w:type="dxa"/>
          </w:tcPr>
          <w:p w:rsidR="00002BA6" w:rsidRPr="00B04DC3" w:rsidRDefault="00002BA6" w:rsidP="00002BA6">
            <w:pPr>
              <w:spacing w:after="120"/>
            </w:pPr>
            <w:r w:rsidRPr="00B04DC3">
              <w:t>Particulate sample mass collected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m</w:t>
            </w:r>
            <w:r w:rsidRPr="00B04DC3">
              <w:rPr>
                <w:vertAlign w:val="subscript"/>
              </w:rPr>
              <w:t>PM</w:t>
            </w:r>
          </w:p>
        </w:tc>
        <w:tc>
          <w:tcPr>
            <w:tcW w:w="1591" w:type="dxa"/>
            <w:gridSpan w:val="3"/>
          </w:tcPr>
          <w:p w:rsidR="00002BA6" w:rsidRPr="00B04DC3" w:rsidRDefault="00002BA6" w:rsidP="00002BA6">
            <w:pPr>
              <w:spacing w:after="120"/>
            </w:pPr>
            <w:r w:rsidRPr="00B04DC3">
              <w:t>g</w:t>
            </w:r>
          </w:p>
        </w:tc>
        <w:tc>
          <w:tcPr>
            <w:tcW w:w="4019" w:type="dxa"/>
          </w:tcPr>
          <w:p w:rsidR="00002BA6" w:rsidRPr="00B04DC3" w:rsidRDefault="00002BA6" w:rsidP="00002BA6">
            <w:pPr>
              <w:spacing w:after="120"/>
            </w:pPr>
            <w:r w:rsidRPr="00B04DC3">
              <w:t>Mass of particulate emissions over the test cycle</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m</w:t>
            </w:r>
            <w:r w:rsidRPr="00B04DC3">
              <w:rPr>
                <w:vertAlign w:val="subscript"/>
              </w:rPr>
              <w:t>se</w:t>
            </w:r>
          </w:p>
        </w:tc>
        <w:tc>
          <w:tcPr>
            <w:tcW w:w="1591" w:type="dxa"/>
            <w:gridSpan w:val="3"/>
          </w:tcPr>
          <w:p w:rsidR="00002BA6" w:rsidRPr="00B04DC3" w:rsidRDefault="00002BA6" w:rsidP="00002BA6">
            <w:pPr>
              <w:spacing w:after="120"/>
            </w:pPr>
            <w:r w:rsidRPr="00B04DC3">
              <w:t>kg</w:t>
            </w:r>
          </w:p>
        </w:tc>
        <w:tc>
          <w:tcPr>
            <w:tcW w:w="4019" w:type="dxa"/>
          </w:tcPr>
          <w:p w:rsidR="00002BA6" w:rsidRPr="00B04DC3" w:rsidRDefault="00002BA6" w:rsidP="00002BA6">
            <w:pPr>
              <w:spacing w:after="120"/>
            </w:pPr>
            <w:r w:rsidRPr="00B04DC3">
              <w:t xml:space="preserve">Exhaust sample mass over the test cycle </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m</w:t>
            </w:r>
            <w:r w:rsidRPr="00B04DC3">
              <w:rPr>
                <w:vertAlign w:val="subscript"/>
              </w:rPr>
              <w:t>sed</w:t>
            </w:r>
          </w:p>
        </w:tc>
        <w:tc>
          <w:tcPr>
            <w:tcW w:w="1591" w:type="dxa"/>
            <w:gridSpan w:val="3"/>
          </w:tcPr>
          <w:p w:rsidR="00002BA6" w:rsidRPr="00B04DC3" w:rsidRDefault="00002BA6" w:rsidP="00002BA6">
            <w:pPr>
              <w:spacing w:after="120"/>
            </w:pPr>
            <w:r w:rsidRPr="00B04DC3">
              <w:t>kg</w:t>
            </w:r>
          </w:p>
        </w:tc>
        <w:tc>
          <w:tcPr>
            <w:tcW w:w="4019" w:type="dxa"/>
          </w:tcPr>
          <w:p w:rsidR="00002BA6" w:rsidRPr="00B04DC3" w:rsidRDefault="00002BA6" w:rsidP="00002BA6">
            <w:pPr>
              <w:spacing w:after="120"/>
            </w:pPr>
            <w:r w:rsidRPr="00B04DC3">
              <w:t>Mass of diluted exhaust gas passing the dilution tunnel</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m</w:t>
            </w:r>
            <w:r w:rsidRPr="00B04DC3">
              <w:rPr>
                <w:vertAlign w:val="subscript"/>
              </w:rPr>
              <w:t>sep</w:t>
            </w:r>
          </w:p>
        </w:tc>
        <w:tc>
          <w:tcPr>
            <w:tcW w:w="1591" w:type="dxa"/>
            <w:gridSpan w:val="3"/>
          </w:tcPr>
          <w:p w:rsidR="00002BA6" w:rsidRPr="00B04DC3" w:rsidRDefault="00002BA6" w:rsidP="00002BA6">
            <w:pPr>
              <w:spacing w:after="120"/>
            </w:pPr>
            <w:r w:rsidRPr="00B04DC3">
              <w:t>kg</w:t>
            </w:r>
          </w:p>
        </w:tc>
        <w:tc>
          <w:tcPr>
            <w:tcW w:w="4019" w:type="dxa"/>
          </w:tcPr>
          <w:p w:rsidR="00002BA6" w:rsidRPr="00B04DC3" w:rsidRDefault="00002BA6" w:rsidP="00002BA6">
            <w:pPr>
              <w:spacing w:after="120"/>
            </w:pPr>
            <w:r w:rsidRPr="00B04DC3">
              <w:t>Mass of diluted exhaust gas passing the particulate collection filters</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m</w:t>
            </w:r>
            <w:r w:rsidRPr="00B04DC3">
              <w:rPr>
                <w:sz w:val="20"/>
                <w:vertAlign w:val="subscript"/>
              </w:rPr>
              <w:t>ssd</w:t>
            </w:r>
          </w:p>
        </w:tc>
        <w:tc>
          <w:tcPr>
            <w:tcW w:w="1591" w:type="dxa"/>
            <w:gridSpan w:val="3"/>
          </w:tcPr>
          <w:p w:rsidR="00002BA6" w:rsidRPr="00B04DC3" w:rsidRDefault="00002BA6" w:rsidP="00002BA6">
            <w:pPr>
              <w:pStyle w:val="NormalLeft"/>
              <w:spacing w:before="0"/>
              <w:rPr>
                <w:sz w:val="20"/>
              </w:rPr>
            </w:pPr>
            <w:r w:rsidRPr="00B04DC3">
              <w:rPr>
                <w:sz w:val="20"/>
              </w:rPr>
              <w:t>kg</w:t>
            </w:r>
          </w:p>
        </w:tc>
        <w:tc>
          <w:tcPr>
            <w:tcW w:w="4019" w:type="dxa"/>
          </w:tcPr>
          <w:p w:rsidR="00002BA6" w:rsidRPr="00B04DC3" w:rsidRDefault="00002BA6" w:rsidP="00002BA6">
            <w:pPr>
              <w:pStyle w:val="NormalLeft"/>
              <w:spacing w:before="0"/>
              <w:rPr>
                <w:sz w:val="20"/>
              </w:rPr>
            </w:pPr>
            <w:r w:rsidRPr="00B04DC3">
              <w:rPr>
                <w:sz w:val="20"/>
              </w:rPr>
              <w:t>Mass of secondary diluent</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p>
        </w:tc>
        <w:tc>
          <w:tcPr>
            <w:tcW w:w="1591" w:type="dxa"/>
            <w:gridSpan w:val="3"/>
          </w:tcPr>
          <w:p w:rsidR="00002BA6" w:rsidRPr="00B04DC3" w:rsidRDefault="00002BA6" w:rsidP="00002BA6">
            <w:pPr>
              <w:spacing w:after="120"/>
            </w:pPr>
            <w:r w:rsidRPr="00B04DC3">
              <w:t>Nm</w:t>
            </w:r>
          </w:p>
        </w:tc>
        <w:tc>
          <w:tcPr>
            <w:tcW w:w="4019" w:type="dxa"/>
          </w:tcPr>
          <w:p w:rsidR="00002BA6" w:rsidRPr="00B04DC3" w:rsidRDefault="00002BA6" w:rsidP="00002BA6">
            <w:pPr>
              <w:spacing w:after="120"/>
            </w:pPr>
            <w:r w:rsidRPr="00B04DC3">
              <w:t>Torque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a</w:t>
            </w:r>
          </w:p>
        </w:tc>
        <w:tc>
          <w:tcPr>
            <w:tcW w:w="1591" w:type="dxa"/>
            <w:gridSpan w:val="3"/>
          </w:tcPr>
          <w:p w:rsidR="00002BA6" w:rsidRPr="00B04DC3" w:rsidRDefault="00002BA6" w:rsidP="00002BA6">
            <w:pPr>
              <w:spacing w:after="120"/>
            </w:pPr>
            <w:r w:rsidRPr="00B04DC3">
              <w:t>g/mol</w:t>
            </w:r>
          </w:p>
        </w:tc>
        <w:tc>
          <w:tcPr>
            <w:tcW w:w="4019" w:type="dxa"/>
          </w:tcPr>
          <w:p w:rsidR="00002BA6" w:rsidRPr="00B04DC3" w:rsidRDefault="00002BA6" w:rsidP="00002BA6">
            <w:pPr>
              <w:spacing w:after="120"/>
            </w:pPr>
            <w:r w:rsidRPr="00B04DC3">
              <w:t>Molar mass of the intake air</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d</w:t>
            </w:r>
          </w:p>
        </w:tc>
        <w:tc>
          <w:tcPr>
            <w:tcW w:w="1591" w:type="dxa"/>
            <w:gridSpan w:val="3"/>
          </w:tcPr>
          <w:p w:rsidR="00002BA6" w:rsidRPr="00B04DC3" w:rsidRDefault="00002BA6" w:rsidP="00002BA6">
            <w:pPr>
              <w:spacing w:after="120"/>
            </w:pPr>
            <w:r w:rsidRPr="00B04DC3">
              <w:t>g/mol</w:t>
            </w:r>
          </w:p>
        </w:tc>
        <w:tc>
          <w:tcPr>
            <w:tcW w:w="4019" w:type="dxa"/>
          </w:tcPr>
          <w:p w:rsidR="00002BA6" w:rsidRPr="00B04DC3" w:rsidRDefault="00002BA6" w:rsidP="00002BA6">
            <w:pPr>
              <w:spacing w:after="120"/>
            </w:pPr>
            <w:r w:rsidRPr="00B04DC3">
              <w:t>Molar mass of the diluent</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e</w:t>
            </w:r>
          </w:p>
        </w:tc>
        <w:tc>
          <w:tcPr>
            <w:tcW w:w="1581" w:type="dxa"/>
            <w:gridSpan w:val="2"/>
          </w:tcPr>
          <w:p w:rsidR="00002BA6" w:rsidRPr="00B04DC3" w:rsidRDefault="00002BA6" w:rsidP="00002BA6">
            <w:pPr>
              <w:spacing w:after="120"/>
            </w:pPr>
            <w:r w:rsidRPr="00B04DC3">
              <w:t>g/mol</w:t>
            </w:r>
          </w:p>
        </w:tc>
        <w:tc>
          <w:tcPr>
            <w:tcW w:w="4029" w:type="dxa"/>
            <w:gridSpan w:val="2"/>
          </w:tcPr>
          <w:p w:rsidR="00002BA6" w:rsidRPr="00B04DC3" w:rsidRDefault="00002BA6" w:rsidP="00002BA6">
            <w:pPr>
              <w:spacing w:after="120"/>
            </w:pPr>
            <w:r w:rsidRPr="00B04DC3">
              <w:t>Molar mass of the exhaust</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f</w:t>
            </w:r>
          </w:p>
        </w:tc>
        <w:tc>
          <w:tcPr>
            <w:tcW w:w="1591" w:type="dxa"/>
            <w:gridSpan w:val="3"/>
          </w:tcPr>
          <w:p w:rsidR="00002BA6" w:rsidRPr="00B04DC3" w:rsidRDefault="00002BA6" w:rsidP="00002BA6">
            <w:pPr>
              <w:spacing w:after="120"/>
            </w:pPr>
            <w:r w:rsidRPr="00B04DC3">
              <w:t>Nm</w:t>
            </w:r>
          </w:p>
        </w:tc>
        <w:tc>
          <w:tcPr>
            <w:tcW w:w="4019" w:type="dxa"/>
          </w:tcPr>
          <w:p w:rsidR="00002BA6" w:rsidRPr="00B04DC3" w:rsidRDefault="00002BA6" w:rsidP="00002BA6">
            <w:pPr>
              <w:spacing w:after="120"/>
            </w:pPr>
            <w:r w:rsidRPr="00B04DC3">
              <w:t>Torque absorbed by auxiliaries/equipment to be fitted</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gas</w:t>
            </w:r>
          </w:p>
        </w:tc>
        <w:tc>
          <w:tcPr>
            <w:tcW w:w="1591" w:type="dxa"/>
            <w:gridSpan w:val="3"/>
          </w:tcPr>
          <w:p w:rsidR="00002BA6" w:rsidRPr="00B04DC3" w:rsidRDefault="00002BA6" w:rsidP="00002BA6">
            <w:pPr>
              <w:spacing w:after="120"/>
            </w:pPr>
            <w:r w:rsidRPr="00B04DC3">
              <w:t>g/mol</w:t>
            </w:r>
          </w:p>
        </w:tc>
        <w:tc>
          <w:tcPr>
            <w:tcW w:w="4019" w:type="dxa"/>
          </w:tcPr>
          <w:p w:rsidR="00002BA6" w:rsidRPr="00B04DC3" w:rsidRDefault="00002BA6" w:rsidP="00002BA6">
            <w:pPr>
              <w:spacing w:after="120"/>
            </w:pPr>
            <w:r w:rsidRPr="00B04DC3">
              <w:t>Molar mass of gaseous components</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M</w:t>
            </w:r>
            <w:r w:rsidRPr="00B04DC3">
              <w:rPr>
                <w:vertAlign w:val="subscript"/>
              </w:rPr>
              <w:t>r</w:t>
            </w:r>
          </w:p>
        </w:tc>
        <w:tc>
          <w:tcPr>
            <w:tcW w:w="1591" w:type="dxa"/>
            <w:gridSpan w:val="3"/>
          </w:tcPr>
          <w:p w:rsidR="00002BA6" w:rsidRPr="00B04DC3" w:rsidRDefault="00002BA6" w:rsidP="00002BA6">
            <w:pPr>
              <w:spacing w:after="120"/>
            </w:pPr>
            <w:r w:rsidRPr="00B04DC3">
              <w:t>Nm</w:t>
            </w:r>
          </w:p>
        </w:tc>
        <w:tc>
          <w:tcPr>
            <w:tcW w:w="4019" w:type="dxa"/>
          </w:tcPr>
          <w:p w:rsidR="00002BA6" w:rsidRPr="00B04DC3" w:rsidRDefault="00002BA6" w:rsidP="00002BA6">
            <w:pPr>
              <w:spacing w:after="120"/>
            </w:pPr>
            <w:r w:rsidRPr="00B04DC3">
              <w:t>Torque absorbed by auxiliaries/equipment to be removed</w:t>
            </w:r>
          </w:p>
        </w:tc>
      </w:tr>
      <w:tr w:rsidR="00002BA6" w:rsidRPr="00B04DC3" w:rsidTr="00DA09F5">
        <w:trPr>
          <w:cantSplit/>
          <w:trHeight w:val="300"/>
        </w:trPr>
        <w:tc>
          <w:tcPr>
            <w:tcW w:w="910" w:type="dxa"/>
            <w:gridSpan w:val="2"/>
          </w:tcPr>
          <w:p w:rsidR="00002BA6" w:rsidRPr="00B04DC3" w:rsidRDefault="00002BA6" w:rsidP="00002BA6">
            <w:pPr>
              <w:spacing w:after="120"/>
              <w:rPr>
                <w:i/>
              </w:rPr>
            </w:pPr>
            <w:r w:rsidRPr="00B04DC3">
              <w:rPr>
                <w:i/>
              </w:rPr>
              <w:t>n</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Number of measurements</w:t>
            </w:r>
          </w:p>
        </w:tc>
      </w:tr>
      <w:tr w:rsidR="00002BA6" w:rsidRPr="00B04DC3" w:rsidTr="00DA09F5">
        <w:trPr>
          <w:cantSplit/>
          <w:trHeight w:val="300"/>
        </w:trPr>
        <w:tc>
          <w:tcPr>
            <w:tcW w:w="910" w:type="dxa"/>
            <w:gridSpan w:val="2"/>
          </w:tcPr>
          <w:p w:rsidR="00002BA6" w:rsidRPr="00B04DC3" w:rsidRDefault="00002BA6" w:rsidP="00002BA6">
            <w:pPr>
              <w:spacing w:after="120"/>
              <w:rPr>
                <w:i/>
                <w:vertAlign w:val="subscript"/>
              </w:rPr>
            </w:pPr>
            <w:r w:rsidRPr="00B04DC3">
              <w:rPr>
                <w:i/>
              </w:rPr>
              <w:t>n</w:t>
            </w:r>
            <w:r w:rsidRPr="00B04DC3">
              <w:rPr>
                <w:i/>
                <w:vertAlign w:val="subscript"/>
              </w:rPr>
              <w:t>r</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Number of measurements with regeneration</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n</w:t>
            </w:r>
          </w:p>
        </w:tc>
        <w:tc>
          <w:tcPr>
            <w:tcW w:w="1591" w:type="dxa"/>
            <w:gridSpan w:val="3"/>
          </w:tcPr>
          <w:p w:rsidR="00002BA6" w:rsidRPr="00B04DC3" w:rsidRDefault="00002BA6" w:rsidP="00002BA6">
            <w:pPr>
              <w:spacing w:after="120"/>
              <w:rPr>
                <w:vertAlign w:val="superscript"/>
              </w:rPr>
            </w:pPr>
            <w:r w:rsidRPr="00B04DC3">
              <w:t>min</w:t>
            </w:r>
            <w:r w:rsidRPr="00B04DC3">
              <w:rPr>
                <w:vertAlign w:val="superscript"/>
              </w:rPr>
              <w:t>-1</w:t>
            </w:r>
          </w:p>
        </w:tc>
        <w:tc>
          <w:tcPr>
            <w:tcW w:w="4019" w:type="dxa"/>
          </w:tcPr>
          <w:p w:rsidR="00002BA6" w:rsidRPr="00B04DC3" w:rsidRDefault="00002BA6" w:rsidP="00002BA6">
            <w:pPr>
              <w:pStyle w:val="FootnoteText"/>
              <w:spacing w:after="120"/>
              <w:rPr>
                <w:sz w:val="20"/>
              </w:rPr>
            </w:pPr>
            <w:r w:rsidRPr="00B04DC3">
              <w:rPr>
                <w:sz w:val="20"/>
              </w:rPr>
              <w:t>Engine rotational speed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n</w:t>
            </w:r>
            <w:r w:rsidRPr="00B04DC3">
              <w:rPr>
                <w:vertAlign w:val="subscript"/>
              </w:rPr>
              <w:t>hi</w:t>
            </w:r>
          </w:p>
        </w:tc>
        <w:tc>
          <w:tcPr>
            <w:tcW w:w="1591" w:type="dxa"/>
            <w:gridSpan w:val="3"/>
          </w:tcPr>
          <w:p w:rsidR="00002BA6" w:rsidRPr="00B04DC3" w:rsidRDefault="00002BA6" w:rsidP="00002BA6">
            <w:pPr>
              <w:spacing w:after="120"/>
              <w:rPr>
                <w:vertAlign w:val="superscript"/>
              </w:rPr>
            </w:pPr>
            <w:r w:rsidRPr="00B04DC3">
              <w:t>min</w:t>
            </w:r>
            <w:r w:rsidRPr="00B04DC3">
              <w:rPr>
                <w:vertAlign w:val="superscript"/>
              </w:rPr>
              <w:t>-1</w:t>
            </w:r>
          </w:p>
        </w:tc>
        <w:tc>
          <w:tcPr>
            <w:tcW w:w="4019" w:type="dxa"/>
          </w:tcPr>
          <w:p w:rsidR="00002BA6" w:rsidRPr="00B04DC3" w:rsidRDefault="00002BA6" w:rsidP="00002BA6">
            <w:pPr>
              <w:spacing w:after="120"/>
            </w:pPr>
            <w:r w:rsidRPr="00B04DC3">
              <w:t>High engine speed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n</w:t>
            </w:r>
            <w:r w:rsidRPr="00B04DC3">
              <w:rPr>
                <w:vertAlign w:val="subscript"/>
              </w:rPr>
              <w:t>lo</w:t>
            </w:r>
          </w:p>
        </w:tc>
        <w:tc>
          <w:tcPr>
            <w:tcW w:w="1591" w:type="dxa"/>
            <w:gridSpan w:val="3"/>
          </w:tcPr>
          <w:p w:rsidR="00002BA6" w:rsidRPr="00B04DC3" w:rsidRDefault="00002BA6" w:rsidP="00002BA6">
            <w:pPr>
              <w:spacing w:after="120"/>
              <w:rPr>
                <w:vertAlign w:val="superscript"/>
              </w:rPr>
            </w:pPr>
            <w:r w:rsidRPr="00B04DC3">
              <w:t>min</w:t>
            </w:r>
            <w:r w:rsidRPr="00B04DC3">
              <w:rPr>
                <w:vertAlign w:val="superscript"/>
              </w:rPr>
              <w:t>-1</w:t>
            </w:r>
          </w:p>
        </w:tc>
        <w:tc>
          <w:tcPr>
            <w:tcW w:w="4019" w:type="dxa"/>
          </w:tcPr>
          <w:p w:rsidR="00002BA6" w:rsidRPr="00B04DC3" w:rsidRDefault="00002BA6" w:rsidP="00002BA6">
            <w:pPr>
              <w:spacing w:after="120"/>
            </w:pPr>
            <w:r w:rsidRPr="00B04DC3">
              <w:t>Low engine speed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n</w:t>
            </w:r>
            <w:r w:rsidRPr="00B04DC3">
              <w:rPr>
                <w:vertAlign w:val="subscript"/>
              </w:rPr>
              <w:t>pref</w:t>
            </w:r>
          </w:p>
        </w:tc>
        <w:tc>
          <w:tcPr>
            <w:tcW w:w="1591" w:type="dxa"/>
            <w:gridSpan w:val="3"/>
          </w:tcPr>
          <w:p w:rsidR="00002BA6" w:rsidRPr="00B04DC3" w:rsidRDefault="00002BA6" w:rsidP="00002BA6">
            <w:pPr>
              <w:spacing w:after="120"/>
              <w:rPr>
                <w:vertAlign w:val="superscript"/>
              </w:rPr>
            </w:pPr>
            <w:r w:rsidRPr="00B04DC3">
              <w:t>min</w:t>
            </w:r>
            <w:r w:rsidRPr="00B04DC3">
              <w:rPr>
                <w:vertAlign w:val="superscript"/>
              </w:rPr>
              <w:t>-1</w:t>
            </w:r>
          </w:p>
        </w:tc>
        <w:tc>
          <w:tcPr>
            <w:tcW w:w="4019" w:type="dxa"/>
          </w:tcPr>
          <w:p w:rsidR="00002BA6" w:rsidRPr="00B04DC3" w:rsidRDefault="00002BA6" w:rsidP="00002BA6">
            <w:pPr>
              <w:spacing w:after="120"/>
            </w:pPr>
            <w:r w:rsidRPr="00B04DC3">
              <w:t>Preferred engine speed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n</w:t>
            </w:r>
            <w:r w:rsidRPr="00B04DC3">
              <w:rPr>
                <w:vertAlign w:val="subscript"/>
              </w:rPr>
              <w:t>p</w:t>
            </w:r>
          </w:p>
        </w:tc>
        <w:tc>
          <w:tcPr>
            <w:tcW w:w="1591" w:type="dxa"/>
            <w:gridSpan w:val="3"/>
          </w:tcPr>
          <w:p w:rsidR="00002BA6" w:rsidRPr="00B04DC3" w:rsidRDefault="00002BA6" w:rsidP="00002BA6">
            <w:pPr>
              <w:spacing w:after="120"/>
              <w:rPr>
                <w:vertAlign w:val="superscript"/>
              </w:rPr>
            </w:pPr>
            <w:r w:rsidRPr="00B04DC3">
              <w:t>r/s</w:t>
            </w:r>
          </w:p>
        </w:tc>
        <w:tc>
          <w:tcPr>
            <w:tcW w:w="4019" w:type="dxa"/>
          </w:tcPr>
          <w:p w:rsidR="00002BA6" w:rsidRPr="00B04DC3" w:rsidRDefault="00002BA6" w:rsidP="00002BA6">
            <w:pPr>
              <w:spacing w:after="120"/>
            </w:pPr>
            <w:r w:rsidRPr="00B04DC3">
              <w:t>PDP pump speed</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a</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Saturation vapour pressure of engine intake air</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b</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Total atmospheric pressure</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d</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Saturation vapour pressure of the diluent</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p</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Absolute pressure</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r</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Water vapour pressure after cooling bath</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t>p</w:t>
            </w:r>
            <w:r w:rsidRPr="00B04DC3">
              <w:rPr>
                <w:vertAlign w:val="subscript"/>
              </w:rPr>
              <w:t>s</w:t>
            </w:r>
          </w:p>
        </w:tc>
        <w:tc>
          <w:tcPr>
            <w:tcW w:w="1591" w:type="dxa"/>
            <w:gridSpan w:val="3"/>
          </w:tcPr>
          <w:p w:rsidR="00002BA6" w:rsidRPr="00B04DC3" w:rsidRDefault="00002BA6" w:rsidP="00002BA6">
            <w:pPr>
              <w:spacing w:after="120"/>
            </w:pPr>
            <w:r w:rsidRPr="00B04DC3">
              <w:t>kPa</w:t>
            </w:r>
          </w:p>
        </w:tc>
        <w:tc>
          <w:tcPr>
            <w:tcW w:w="4019" w:type="dxa"/>
          </w:tcPr>
          <w:p w:rsidR="00002BA6" w:rsidRPr="00B04DC3" w:rsidRDefault="00002BA6" w:rsidP="00002BA6">
            <w:pPr>
              <w:spacing w:after="120"/>
            </w:pPr>
            <w:r w:rsidRPr="00B04DC3">
              <w:t>Dry atmospheric pressure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P</w:t>
            </w:r>
          </w:p>
        </w:tc>
        <w:tc>
          <w:tcPr>
            <w:tcW w:w="1591" w:type="dxa"/>
            <w:gridSpan w:val="3"/>
          </w:tcPr>
          <w:p w:rsidR="00002BA6" w:rsidRPr="00B04DC3" w:rsidRDefault="00002BA6" w:rsidP="00002BA6">
            <w:pPr>
              <w:spacing w:after="120"/>
            </w:pPr>
            <w:r w:rsidRPr="00B04DC3">
              <w:t>kW</w:t>
            </w:r>
          </w:p>
        </w:tc>
        <w:tc>
          <w:tcPr>
            <w:tcW w:w="4019" w:type="dxa"/>
          </w:tcPr>
          <w:p w:rsidR="00002BA6" w:rsidRPr="00B04DC3" w:rsidRDefault="00002BA6" w:rsidP="00002BA6">
            <w:pPr>
              <w:spacing w:after="120"/>
            </w:pPr>
            <w:r w:rsidRPr="00B04DC3">
              <w:t>Power</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P</w:t>
            </w:r>
            <w:r w:rsidRPr="00B04DC3">
              <w:rPr>
                <w:vertAlign w:val="subscript"/>
              </w:rPr>
              <w:t>f</w:t>
            </w:r>
          </w:p>
        </w:tc>
        <w:tc>
          <w:tcPr>
            <w:tcW w:w="1591" w:type="dxa"/>
            <w:gridSpan w:val="3"/>
          </w:tcPr>
          <w:p w:rsidR="00002BA6" w:rsidRPr="00B04DC3" w:rsidRDefault="00002BA6" w:rsidP="00002BA6">
            <w:pPr>
              <w:spacing w:after="120"/>
            </w:pPr>
            <w:r w:rsidRPr="00B04DC3">
              <w:t>kW</w:t>
            </w:r>
          </w:p>
        </w:tc>
        <w:tc>
          <w:tcPr>
            <w:tcW w:w="4019" w:type="dxa"/>
          </w:tcPr>
          <w:p w:rsidR="00002BA6" w:rsidRPr="00B04DC3" w:rsidRDefault="00002BA6" w:rsidP="00002BA6">
            <w:pPr>
              <w:spacing w:after="120"/>
            </w:pPr>
            <w:r w:rsidRPr="00B04DC3">
              <w:t>Power absorbed by auxiliaries/equipment to be fitted</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P</w:t>
            </w:r>
            <w:r w:rsidRPr="00B04DC3">
              <w:rPr>
                <w:vertAlign w:val="subscript"/>
              </w:rPr>
              <w:t>r</w:t>
            </w:r>
          </w:p>
        </w:tc>
        <w:tc>
          <w:tcPr>
            <w:tcW w:w="1591" w:type="dxa"/>
            <w:gridSpan w:val="3"/>
          </w:tcPr>
          <w:p w:rsidR="00002BA6" w:rsidRPr="00B04DC3" w:rsidRDefault="00002BA6" w:rsidP="00002BA6">
            <w:pPr>
              <w:spacing w:after="120"/>
            </w:pPr>
            <w:r w:rsidRPr="00B04DC3">
              <w:t>kW</w:t>
            </w:r>
          </w:p>
        </w:tc>
        <w:tc>
          <w:tcPr>
            <w:tcW w:w="4019" w:type="dxa"/>
          </w:tcPr>
          <w:p w:rsidR="00002BA6" w:rsidRPr="00B04DC3" w:rsidRDefault="00002BA6" w:rsidP="00002BA6">
            <w:pPr>
              <w:spacing w:after="120"/>
            </w:pPr>
            <w:r w:rsidRPr="00B04DC3">
              <w:t>Power absorbed by auxiliaries/equipment to be removed</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mad</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Intake air mass flow rate on dry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maw</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Intake air mass flow rate on wet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mCe</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Carbon mass flow rate in the raw exhaust gas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mCf</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Carbon mass flow rate into the engine</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mCp</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Carbon mass flow rate in the partial flow dilution system</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mdew</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Diluted exhaust gas mass flow rate on wet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mdw</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Diluent mass flow rate on wet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medf</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Equivalent diluted exhaust gas mass flow rate on wet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mew</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Exhaust gas mass flow rate on wet basis</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mex</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Sample mass flow rate extracted from dilution tunnel</w:t>
            </w:r>
          </w:p>
        </w:tc>
      </w:tr>
      <w:tr w:rsidR="00002BA6" w:rsidRPr="00B04DC3" w:rsidTr="00DA09F5">
        <w:trPr>
          <w:cantSplit/>
          <w:trHeight w:val="300"/>
        </w:trPr>
        <w:tc>
          <w:tcPr>
            <w:tcW w:w="910" w:type="dxa"/>
            <w:gridSpan w:val="2"/>
          </w:tcPr>
          <w:p w:rsidR="00002BA6" w:rsidRPr="00B04DC3" w:rsidRDefault="00002BA6" w:rsidP="00002BA6">
            <w:pPr>
              <w:spacing w:after="120"/>
              <w:rPr>
                <w:position w:val="6"/>
              </w:rPr>
            </w:pPr>
            <w:r w:rsidRPr="00B04DC3">
              <w:rPr>
                <w:position w:val="6"/>
              </w:rPr>
              <w:t>q</w:t>
            </w:r>
            <w:r w:rsidRPr="00B04DC3">
              <w:rPr>
                <w:position w:val="6"/>
                <w:vertAlign w:val="subscript"/>
              </w:rPr>
              <w:t>mf</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Fuel mass flow rate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rPr>
                <w:position w:val="6"/>
              </w:rPr>
              <w:t>q</w:t>
            </w:r>
            <w:r w:rsidRPr="00B04DC3">
              <w:rPr>
                <w:position w:val="6"/>
                <w:vertAlign w:val="subscript"/>
              </w:rPr>
              <w:t>mp</w:t>
            </w:r>
          </w:p>
        </w:tc>
        <w:tc>
          <w:tcPr>
            <w:tcW w:w="1591" w:type="dxa"/>
            <w:gridSpan w:val="3"/>
          </w:tcPr>
          <w:p w:rsidR="00002BA6" w:rsidRPr="00B04DC3" w:rsidRDefault="00002BA6" w:rsidP="00002BA6">
            <w:pPr>
              <w:spacing w:after="120"/>
            </w:pPr>
            <w:r w:rsidRPr="00B04DC3">
              <w:t>kg/s</w:t>
            </w:r>
          </w:p>
        </w:tc>
        <w:tc>
          <w:tcPr>
            <w:tcW w:w="4019" w:type="dxa"/>
          </w:tcPr>
          <w:p w:rsidR="00002BA6" w:rsidRPr="00B04DC3" w:rsidRDefault="00002BA6" w:rsidP="00002BA6">
            <w:pPr>
              <w:spacing w:after="120"/>
            </w:pPr>
            <w:r w:rsidRPr="00B04DC3">
              <w:t>Sample flow of exhaust gas into partial flow dilution system</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q</w:t>
            </w:r>
            <w:r w:rsidRPr="00B04DC3">
              <w:rPr>
                <w:vertAlign w:val="subscript"/>
              </w:rPr>
              <w:t>vCVS</w:t>
            </w:r>
          </w:p>
        </w:tc>
        <w:tc>
          <w:tcPr>
            <w:tcW w:w="1591" w:type="dxa"/>
            <w:gridSpan w:val="3"/>
          </w:tcPr>
          <w:p w:rsidR="00002BA6" w:rsidRPr="00B04DC3" w:rsidRDefault="00002BA6" w:rsidP="00002BA6">
            <w:pPr>
              <w:spacing w:after="120"/>
            </w:pPr>
            <w:r w:rsidRPr="00B04DC3">
              <w:t>m³/s</w:t>
            </w:r>
          </w:p>
        </w:tc>
        <w:tc>
          <w:tcPr>
            <w:tcW w:w="4019" w:type="dxa"/>
          </w:tcPr>
          <w:p w:rsidR="00002BA6" w:rsidRPr="00B04DC3" w:rsidRDefault="00002BA6" w:rsidP="00002BA6">
            <w:pPr>
              <w:spacing w:after="120"/>
            </w:pPr>
            <w:r w:rsidRPr="00B04DC3">
              <w:t>CVS volume rate</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q</w:t>
            </w:r>
            <w:r w:rsidRPr="00B04DC3">
              <w:rPr>
                <w:vertAlign w:val="subscript"/>
              </w:rPr>
              <w:t>vs</w:t>
            </w:r>
          </w:p>
        </w:tc>
        <w:tc>
          <w:tcPr>
            <w:tcW w:w="1591" w:type="dxa"/>
            <w:gridSpan w:val="3"/>
          </w:tcPr>
          <w:p w:rsidR="00002BA6" w:rsidRPr="00B04DC3" w:rsidRDefault="00002BA6" w:rsidP="00002BA6">
            <w:pPr>
              <w:spacing w:after="120"/>
            </w:pPr>
            <w:r w:rsidRPr="00B04DC3">
              <w:t>dm³/min</w:t>
            </w:r>
          </w:p>
        </w:tc>
        <w:tc>
          <w:tcPr>
            <w:tcW w:w="4019" w:type="dxa"/>
          </w:tcPr>
          <w:p w:rsidR="00002BA6" w:rsidRPr="00B04DC3" w:rsidRDefault="00002BA6" w:rsidP="00002BA6">
            <w:pPr>
              <w:spacing w:after="120"/>
            </w:pPr>
            <w:r w:rsidRPr="00B04DC3">
              <w:t>System flow rate of exhaust analyzer system</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q</w:t>
            </w:r>
            <w:r w:rsidRPr="00B04DC3">
              <w:rPr>
                <w:vertAlign w:val="subscript"/>
              </w:rPr>
              <w:t>vt</w:t>
            </w:r>
          </w:p>
        </w:tc>
        <w:tc>
          <w:tcPr>
            <w:tcW w:w="1591" w:type="dxa"/>
            <w:gridSpan w:val="3"/>
          </w:tcPr>
          <w:p w:rsidR="00002BA6" w:rsidRPr="00B04DC3" w:rsidRDefault="00002BA6" w:rsidP="00002BA6">
            <w:pPr>
              <w:spacing w:after="120"/>
            </w:pPr>
            <w:r w:rsidRPr="00B04DC3">
              <w:t>cm³/min</w:t>
            </w:r>
          </w:p>
        </w:tc>
        <w:tc>
          <w:tcPr>
            <w:tcW w:w="4019" w:type="dxa"/>
          </w:tcPr>
          <w:p w:rsidR="00002BA6" w:rsidRPr="00B04DC3" w:rsidRDefault="00002BA6" w:rsidP="00002BA6">
            <w:pPr>
              <w:spacing w:after="120"/>
            </w:pPr>
            <w:r w:rsidRPr="00B04DC3">
              <w:t>Tracer gas flow rate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r</w:t>
            </w:r>
            <w:r w:rsidRPr="00B04DC3">
              <w:rPr>
                <w:vertAlign w:val="superscript"/>
              </w:rPr>
              <w:t>2</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Coefficient of determination</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d</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Dilution ratio</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D</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Diameter ratio of SSV</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h</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Hydrocarbon response factor of the FID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m</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Methanol response factor of the FID</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p</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Pressure ratio of SSV</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r</w:t>
            </w:r>
            <w:r w:rsidRPr="00B04DC3">
              <w:rPr>
                <w:vertAlign w:val="subscript"/>
              </w:rPr>
              <w:t>s</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Average sample ratio</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s</w:t>
            </w:r>
          </w:p>
        </w:tc>
        <w:tc>
          <w:tcPr>
            <w:tcW w:w="1591" w:type="dxa"/>
            <w:gridSpan w:val="3"/>
          </w:tcPr>
          <w:p w:rsidR="00002BA6" w:rsidRPr="00B04DC3" w:rsidRDefault="00002BA6" w:rsidP="00002BA6">
            <w:pPr>
              <w:spacing w:after="120"/>
            </w:pPr>
          </w:p>
        </w:tc>
        <w:tc>
          <w:tcPr>
            <w:tcW w:w="4019" w:type="dxa"/>
          </w:tcPr>
          <w:p w:rsidR="00002BA6" w:rsidRPr="00B04DC3" w:rsidRDefault="00002BA6" w:rsidP="00002BA6">
            <w:pPr>
              <w:spacing w:after="120"/>
            </w:pPr>
            <w:r w:rsidRPr="00B04DC3">
              <w:t>Standard deviation</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sym w:font="Symbol" w:char="F072"/>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kg/m³</w:t>
            </w:r>
          </w:p>
        </w:tc>
        <w:tc>
          <w:tcPr>
            <w:tcW w:w="4019" w:type="dxa"/>
          </w:tcPr>
          <w:p w:rsidR="00002BA6" w:rsidRPr="00B04DC3" w:rsidRDefault="00002BA6" w:rsidP="00002BA6">
            <w:pPr>
              <w:spacing w:after="120"/>
            </w:pPr>
            <w:r w:rsidRPr="00B04DC3">
              <w:t>Density</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sym w:font="Symbol" w:char="F072"/>
            </w:r>
            <w:r w:rsidRPr="00B04DC3">
              <w:rPr>
                <w:vertAlign w:val="subscript"/>
              </w:rPr>
              <w:t>e</w:t>
            </w:r>
          </w:p>
        </w:tc>
        <w:tc>
          <w:tcPr>
            <w:tcW w:w="1591" w:type="dxa"/>
            <w:gridSpan w:val="3"/>
          </w:tcPr>
          <w:p w:rsidR="00002BA6" w:rsidRPr="00B04DC3" w:rsidRDefault="00002BA6" w:rsidP="00002BA6">
            <w:pPr>
              <w:pStyle w:val="Definition"/>
              <w:spacing w:after="120" w:line="240" w:lineRule="auto"/>
              <w:jc w:val="left"/>
              <w:rPr>
                <w:rFonts w:ascii="Times New Roman" w:hAnsi="Times New Roman"/>
              </w:rPr>
            </w:pPr>
            <w:r w:rsidRPr="00B04DC3">
              <w:rPr>
                <w:rFonts w:ascii="Times New Roman" w:hAnsi="Times New Roman"/>
              </w:rPr>
              <w:t>kg/m³</w:t>
            </w:r>
          </w:p>
        </w:tc>
        <w:tc>
          <w:tcPr>
            <w:tcW w:w="4019" w:type="dxa"/>
          </w:tcPr>
          <w:p w:rsidR="00002BA6" w:rsidRPr="00B04DC3" w:rsidRDefault="00002BA6" w:rsidP="00002BA6">
            <w:pPr>
              <w:spacing w:after="120"/>
            </w:pPr>
            <w:r w:rsidRPr="00B04DC3">
              <w:t>Exhaust gas density</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sym w:font="Symbol" w:char="F073"/>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Standard deviation</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p>
        </w:tc>
        <w:tc>
          <w:tcPr>
            <w:tcW w:w="1591" w:type="dxa"/>
            <w:gridSpan w:val="3"/>
          </w:tcPr>
          <w:p w:rsidR="00002BA6" w:rsidRPr="00B04DC3" w:rsidRDefault="00002BA6" w:rsidP="00002BA6">
            <w:pPr>
              <w:spacing w:after="120"/>
            </w:pPr>
            <w:r w:rsidRPr="00B04DC3">
              <w:t>K</w:t>
            </w:r>
          </w:p>
        </w:tc>
        <w:tc>
          <w:tcPr>
            <w:tcW w:w="4019" w:type="dxa"/>
          </w:tcPr>
          <w:p w:rsidR="00002BA6" w:rsidRPr="00B04DC3" w:rsidRDefault="00002BA6" w:rsidP="00002BA6">
            <w:pPr>
              <w:spacing w:after="120"/>
            </w:pPr>
            <w:r w:rsidRPr="00B04DC3">
              <w:t>Absolute temperature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r w:rsidRPr="00B04DC3">
              <w:rPr>
                <w:vertAlign w:val="subscript"/>
              </w:rPr>
              <w:t>a</w:t>
            </w:r>
          </w:p>
        </w:tc>
        <w:tc>
          <w:tcPr>
            <w:tcW w:w="1591" w:type="dxa"/>
            <w:gridSpan w:val="3"/>
          </w:tcPr>
          <w:p w:rsidR="00002BA6" w:rsidRPr="00B04DC3" w:rsidRDefault="00002BA6" w:rsidP="00002BA6">
            <w:pPr>
              <w:spacing w:after="120"/>
            </w:pPr>
            <w:r w:rsidRPr="00B04DC3">
              <w:t>K</w:t>
            </w:r>
          </w:p>
        </w:tc>
        <w:tc>
          <w:tcPr>
            <w:tcW w:w="4019" w:type="dxa"/>
          </w:tcPr>
          <w:p w:rsidR="00002BA6" w:rsidRPr="00B04DC3" w:rsidRDefault="00002BA6" w:rsidP="00002BA6">
            <w:pPr>
              <w:spacing w:after="120"/>
            </w:pPr>
            <w:r w:rsidRPr="00B04DC3">
              <w:t>Absolute temperature of the intake air</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p>
        </w:tc>
        <w:tc>
          <w:tcPr>
            <w:tcW w:w="1591" w:type="dxa"/>
            <w:gridSpan w:val="3"/>
          </w:tcPr>
          <w:p w:rsidR="00002BA6" w:rsidRPr="00B04DC3" w:rsidRDefault="00002BA6" w:rsidP="00002BA6">
            <w:pPr>
              <w:spacing w:after="120"/>
            </w:pPr>
            <w:r w:rsidRPr="00B04DC3">
              <w:t>s</w:t>
            </w:r>
          </w:p>
        </w:tc>
        <w:tc>
          <w:tcPr>
            <w:tcW w:w="4019" w:type="dxa"/>
          </w:tcPr>
          <w:p w:rsidR="00002BA6" w:rsidRPr="00B04DC3" w:rsidRDefault="00002BA6" w:rsidP="00002BA6">
            <w:pPr>
              <w:spacing w:after="120"/>
            </w:pPr>
            <w:r w:rsidRPr="00B04DC3">
              <w:t>Time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r w:rsidRPr="00B04DC3">
              <w:rPr>
                <w:vertAlign w:val="subscript"/>
              </w:rPr>
              <w:t>10</w:t>
            </w:r>
          </w:p>
        </w:tc>
        <w:tc>
          <w:tcPr>
            <w:tcW w:w="1591" w:type="dxa"/>
            <w:gridSpan w:val="3"/>
          </w:tcPr>
          <w:p w:rsidR="00002BA6" w:rsidRPr="00B04DC3" w:rsidRDefault="00002BA6" w:rsidP="00002BA6">
            <w:pPr>
              <w:spacing w:after="120"/>
            </w:pPr>
            <w:r w:rsidRPr="00B04DC3">
              <w:t>s</w:t>
            </w:r>
          </w:p>
        </w:tc>
        <w:tc>
          <w:tcPr>
            <w:tcW w:w="4019" w:type="dxa"/>
          </w:tcPr>
          <w:p w:rsidR="00002BA6" w:rsidRPr="00B04DC3" w:rsidRDefault="00002BA6" w:rsidP="00002BA6">
            <w:pPr>
              <w:spacing w:after="120"/>
            </w:pPr>
            <w:r w:rsidRPr="00B04DC3">
              <w:t>Time between step input and 10 per cent of final reading</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r w:rsidRPr="00B04DC3">
              <w:rPr>
                <w:vertAlign w:val="subscript"/>
              </w:rPr>
              <w:t>50</w:t>
            </w:r>
          </w:p>
        </w:tc>
        <w:tc>
          <w:tcPr>
            <w:tcW w:w="1591" w:type="dxa"/>
            <w:gridSpan w:val="3"/>
          </w:tcPr>
          <w:p w:rsidR="00002BA6" w:rsidRPr="00B04DC3" w:rsidRDefault="00002BA6" w:rsidP="00002BA6">
            <w:pPr>
              <w:spacing w:after="120"/>
            </w:pPr>
            <w:r w:rsidRPr="00B04DC3">
              <w:t>s</w:t>
            </w:r>
          </w:p>
        </w:tc>
        <w:tc>
          <w:tcPr>
            <w:tcW w:w="4019" w:type="dxa"/>
          </w:tcPr>
          <w:p w:rsidR="00002BA6" w:rsidRPr="00B04DC3" w:rsidRDefault="00002BA6" w:rsidP="00002BA6">
            <w:pPr>
              <w:spacing w:after="120"/>
            </w:pPr>
            <w:r w:rsidRPr="00B04DC3">
              <w:t>Time between step input and 50 per cent of final reading</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t</w:t>
            </w:r>
            <w:r w:rsidRPr="00B04DC3">
              <w:rPr>
                <w:vertAlign w:val="subscript"/>
              </w:rPr>
              <w:t>90</w:t>
            </w:r>
          </w:p>
        </w:tc>
        <w:tc>
          <w:tcPr>
            <w:tcW w:w="1591" w:type="dxa"/>
            <w:gridSpan w:val="3"/>
          </w:tcPr>
          <w:p w:rsidR="00002BA6" w:rsidRPr="00B04DC3" w:rsidRDefault="00002BA6" w:rsidP="00002BA6">
            <w:pPr>
              <w:spacing w:after="120"/>
            </w:pPr>
            <w:r w:rsidRPr="00B04DC3">
              <w:t>s</w:t>
            </w:r>
          </w:p>
        </w:tc>
        <w:tc>
          <w:tcPr>
            <w:tcW w:w="4019" w:type="dxa"/>
          </w:tcPr>
          <w:p w:rsidR="00002BA6" w:rsidRPr="00B04DC3" w:rsidRDefault="00002BA6" w:rsidP="00002BA6">
            <w:pPr>
              <w:spacing w:after="120"/>
            </w:pPr>
            <w:r w:rsidRPr="00B04DC3">
              <w:t>Time between step input and 90 per cent of final reading</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u</w:t>
            </w:r>
          </w:p>
        </w:tc>
        <w:tc>
          <w:tcPr>
            <w:tcW w:w="1591" w:type="dxa"/>
            <w:gridSpan w:val="3"/>
          </w:tcPr>
          <w:p w:rsidR="00002BA6" w:rsidRPr="00B04DC3" w:rsidRDefault="00002BA6" w:rsidP="00002BA6">
            <w:pPr>
              <w:spacing w:after="120"/>
            </w:pPr>
            <w:r w:rsidRPr="00B04DC3">
              <w:t>-</w:t>
            </w:r>
          </w:p>
        </w:tc>
        <w:tc>
          <w:tcPr>
            <w:tcW w:w="4019" w:type="dxa"/>
          </w:tcPr>
          <w:p w:rsidR="00002BA6" w:rsidRPr="00B04DC3" w:rsidRDefault="00002BA6" w:rsidP="00002BA6">
            <w:pPr>
              <w:spacing w:after="120"/>
            </w:pPr>
            <w:r w:rsidRPr="00B04DC3">
              <w:t>Ratio between the densities (or molar masses) of the gas components and the exhaust gas divided by 1000</w:t>
            </w:r>
          </w:p>
        </w:tc>
      </w:tr>
      <w:tr w:rsidR="00002BA6" w:rsidRPr="00B04DC3" w:rsidTr="00DA09F5">
        <w:trPr>
          <w:cantSplit/>
          <w:trHeight w:val="300"/>
        </w:trPr>
        <w:tc>
          <w:tcPr>
            <w:tcW w:w="910" w:type="dxa"/>
            <w:gridSpan w:val="2"/>
          </w:tcPr>
          <w:p w:rsidR="00002BA6" w:rsidRPr="00B04DC3" w:rsidRDefault="00002BA6" w:rsidP="00002BA6">
            <w:pPr>
              <w:pStyle w:val="NormalLeft"/>
              <w:spacing w:before="0"/>
              <w:rPr>
                <w:sz w:val="20"/>
              </w:rPr>
            </w:pPr>
            <w:r w:rsidRPr="00B04DC3">
              <w:rPr>
                <w:sz w:val="20"/>
              </w:rPr>
              <w:t>V</w:t>
            </w:r>
            <w:r w:rsidRPr="00B04DC3">
              <w:rPr>
                <w:sz w:val="20"/>
                <w:vertAlign w:val="subscript"/>
              </w:rPr>
              <w:t>0</w:t>
            </w:r>
          </w:p>
        </w:tc>
        <w:tc>
          <w:tcPr>
            <w:tcW w:w="1591" w:type="dxa"/>
            <w:gridSpan w:val="3"/>
          </w:tcPr>
          <w:p w:rsidR="00002BA6" w:rsidRPr="00B04DC3" w:rsidRDefault="00002BA6" w:rsidP="00002BA6">
            <w:pPr>
              <w:pStyle w:val="NormalLeft"/>
              <w:spacing w:before="0"/>
              <w:rPr>
                <w:sz w:val="20"/>
              </w:rPr>
            </w:pPr>
            <w:r w:rsidRPr="00B04DC3">
              <w:rPr>
                <w:sz w:val="20"/>
              </w:rPr>
              <w:t>m</w:t>
            </w:r>
            <w:r w:rsidRPr="00B04DC3">
              <w:rPr>
                <w:sz w:val="20"/>
                <w:vertAlign w:val="superscript"/>
              </w:rPr>
              <w:t>3</w:t>
            </w:r>
            <w:r w:rsidRPr="00B04DC3">
              <w:rPr>
                <w:sz w:val="20"/>
              </w:rPr>
              <w:t>/r</w:t>
            </w:r>
          </w:p>
        </w:tc>
        <w:tc>
          <w:tcPr>
            <w:tcW w:w="4019" w:type="dxa"/>
          </w:tcPr>
          <w:p w:rsidR="00002BA6" w:rsidRPr="00B04DC3" w:rsidRDefault="00002BA6" w:rsidP="00002BA6">
            <w:pPr>
              <w:pStyle w:val="NormalLeft"/>
              <w:spacing w:before="0"/>
              <w:rPr>
                <w:sz w:val="20"/>
              </w:rPr>
            </w:pPr>
            <w:r w:rsidRPr="00B04DC3">
              <w:rPr>
                <w:sz w:val="20"/>
              </w:rPr>
              <w:t>PDP gas volume pumped per revolution</w:t>
            </w:r>
          </w:p>
        </w:tc>
      </w:tr>
      <w:tr w:rsidR="00002BA6" w:rsidRPr="00B04DC3" w:rsidTr="00DA09F5">
        <w:trPr>
          <w:cantSplit/>
          <w:trHeight w:val="300"/>
        </w:trPr>
        <w:tc>
          <w:tcPr>
            <w:tcW w:w="910" w:type="dxa"/>
            <w:gridSpan w:val="2"/>
          </w:tcPr>
          <w:p w:rsidR="00002BA6" w:rsidRPr="00B04DC3" w:rsidRDefault="00002BA6" w:rsidP="00002BA6">
            <w:pPr>
              <w:spacing w:after="120"/>
              <w:rPr>
                <w:vertAlign w:val="subscript"/>
              </w:rPr>
            </w:pPr>
            <w:r w:rsidRPr="00B04DC3">
              <w:t>V</w:t>
            </w:r>
            <w:r w:rsidRPr="00B04DC3">
              <w:rPr>
                <w:vertAlign w:val="subscript"/>
              </w:rPr>
              <w:t>s</w:t>
            </w:r>
          </w:p>
        </w:tc>
        <w:tc>
          <w:tcPr>
            <w:tcW w:w="1591" w:type="dxa"/>
            <w:gridSpan w:val="3"/>
          </w:tcPr>
          <w:p w:rsidR="00002BA6" w:rsidRPr="00B04DC3" w:rsidRDefault="00002BA6" w:rsidP="00002BA6">
            <w:pPr>
              <w:spacing w:after="120"/>
            </w:pPr>
            <w:r w:rsidRPr="00B04DC3">
              <w:t>dm³</w:t>
            </w:r>
          </w:p>
        </w:tc>
        <w:tc>
          <w:tcPr>
            <w:tcW w:w="4019" w:type="dxa"/>
          </w:tcPr>
          <w:p w:rsidR="00002BA6" w:rsidRPr="00B04DC3" w:rsidRDefault="00002BA6" w:rsidP="00002BA6">
            <w:pPr>
              <w:spacing w:after="120"/>
            </w:pPr>
            <w:r w:rsidRPr="00B04DC3">
              <w:t>System volume of exhaust analyzer bench</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W</w:t>
            </w:r>
            <w:r w:rsidRPr="00B04DC3">
              <w:rPr>
                <w:vertAlign w:val="subscript"/>
              </w:rPr>
              <w:t>act</w:t>
            </w:r>
          </w:p>
        </w:tc>
        <w:tc>
          <w:tcPr>
            <w:tcW w:w="1591" w:type="dxa"/>
            <w:gridSpan w:val="3"/>
          </w:tcPr>
          <w:p w:rsidR="00002BA6" w:rsidRPr="00B04DC3" w:rsidRDefault="00002BA6" w:rsidP="00002BA6">
            <w:pPr>
              <w:spacing w:after="120"/>
            </w:pPr>
            <w:r w:rsidRPr="00B04DC3">
              <w:t>kWh</w:t>
            </w:r>
          </w:p>
        </w:tc>
        <w:tc>
          <w:tcPr>
            <w:tcW w:w="4019" w:type="dxa"/>
          </w:tcPr>
          <w:p w:rsidR="00002BA6" w:rsidRPr="00B04DC3" w:rsidRDefault="00002BA6" w:rsidP="00002BA6">
            <w:pPr>
              <w:spacing w:after="120"/>
            </w:pPr>
            <w:r w:rsidRPr="00B04DC3">
              <w:t>Actual cycle work of the test cycle</w:t>
            </w:r>
          </w:p>
        </w:tc>
      </w:tr>
      <w:tr w:rsidR="00002BA6" w:rsidRPr="00B04DC3" w:rsidTr="00DA09F5">
        <w:trPr>
          <w:cantSplit/>
          <w:trHeight w:val="300"/>
        </w:trPr>
        <w:tc>
          <w:tcPr>
            <w:tcW w:w="910" w:type="dxa"/>
            <w:gridSpan w:val="2"/>
          </w:tcPr>
          <w:p w:rsidR="00002BA6" w:rsidRPr="00B04DC3" w:rsidRDefault="00002BA6" w:rsidP="00002BA6">
            <w:pPr>
              <w:spacing w:after="120"/>
            </w:pPr>
            <w:r w:rsidRPr="00B04DC3">
              <w:t>W</w:t>
            </w:r>
            <w:r w:rsidRPr="00B04DC3">
              <w:rPr>
                <w:vertAlign w:val="subscript"/>
              </w:rPr>
              <w:t>ref</w:t>
            </w:r>
          </w:p>
        </w:tc>
        <w:tc>
          <w:tcPr>
            <w:tcW w:w="1591" w:type="dxa"/>
            <w:gridSpan w:val="3"/>
          </w:tcPr>
          <w:p w:rsidR="00002BA6" w:rsidRPr="00B04DC3" w:rsidRDefault="00002BA6" w:rsidP="00002BA6">
            <w:pPr>
              <w:spacing w:after="120"/>
            </w:pPr>
            <w:r w:rsidRPr="00B04DC3">
              <w:t>kWh</w:t>
            </w:r>
          </w:p>
        </w:tc>
        <w:tc>
          <w:tcPr>
            <w:tcW w:w="4019" w:type="dxa"/>
          </w:tcPr>
          <w:p w:rsidR="00002BA6" w:rsidRPr="00B04DC3" w:rsidRDefault="00002BA6" w:rsidP="00002BA6">
            <w:pPr>
              <w:spacing w:after="120"/>
            </w:pPr>
            <w:r w:rsidRPr="00B04DC3">
              <w:t>Reference cycle work of the test cycle</w:t>
            </w:r>
          </w:p>
        </w:tc>
      </w:tr>
      <w:tr w:rsidR="00002BA6" w:rsidRPr="00B04DC3" w:rsidTr="00DA09F5">
        <w:trPr>
          <w:cantSplit/>
          <w:trHeight w:val="300"/>
        </w:trPr>
        <w:tc>
          <w:tcPr>
            <w:tcW w:w="910" w:type="dxa"/>
            <w:gridSpan w:val="2"/>
            <w:tcBorders>
              <w:bottom w:val="single" w:sz="12" w:space="0" w:color="auto"/>
            </w:tcBorders>
          </w:tcPr>
          <w:p w:rsidR="00002BA6" w:rsidRPr="00B04DC3" w:rsidRDefault="00002BA6" w:rsidP="00002BA6">
            <w:pPr>
              <w:pStyle w:val="NormalLeft"/>
              <w:spacing w:before="0"/>
              <w:rPr>
                <w:sz w:val="20"/>
              </w:rPr>
            </w:pPr>
            <w:r w:rsidRPr="00B04DC3">
              <w:rPr>
                <w:sz w:val="20"/>
              </w:rPr>
              <w:t>X</w:t>
            </w:r>
            <w:r w:rsidRPr="00B04DC3">
              <w:rPr>
                <w:sz w:val="20"/>
                <w:vertAlign w:val="subscript"/>
              </w:rPr>
              <w:t>0</w:t>
            </w:r>
          </w:p>
        </w:tc>
        <w:tc>
          <w:tcPr>
            <w:tcW w:w="1591" w:type="dxa"/>
            <w:gridSpan w:val="3"/>
            <w:tcBorders>
              <w:bottom w:val="single" w:sz="12" w:space="0" w:color="auto"/>
            </w:tcBorders>
          </w:tcPr>
          <w:p w:rsidR="00002BA6" w:rsidRPr="00B04DC3" w:rsidRDefault="00002BA6" w:rsidP="00002BA6">
            <w:pPr>
              <w:pStyle w:val="NormalLeft"/>
              <w:spacing w:before="0"/>
              <w:rPr>
                <w:sz w:val="20"/>
              </w:rPr>
            </w:pPr>
            <w:r w:rsidRPr="00B04DC3">
              <w:rPr>
                <w:sz w:val="20"/>
              </w:rPr>
              <w:t>m</w:t>
            </w:r>
            <w:r w:rsidRPr="00B04DC3">
              <w:rPr>
                <w:sz w:val="20"/>
                <w:vertAlign w:val="superscript"/>
              </w:rPr>
              <w:t>3</w:t>
            </w:r>
            <w:r w:rsidRPr="00B04DC3">
              <w:rPr>
                <w:sz w:val="20"/>
              </w:rPr>
              <w:t>/r</w:t>
            </w:r>
          </w:p>
        </w:tc>
        <w:tc>
          <w:tcPr>
            <w:tcW w:w="4019" w:type="dxa"/>
            <w:tcBorders>
              <w:bottom w:val="single" w:sz="12" w:space="0" w:color="auto"/>
            </w:tcBorders>
          </w:tcPr>
          <w:p w:rsidR="00002BA6" w:rsidRPr="00B04DC3" w:rsidRDefault="00002BA6" w:rsidP="00002BA6">
            <w:pPr>
              <w:pStyle w:val="NormalLeft"/>
              <w:spacing w:before="0"/>
              <w:rPr>
                <w:sz w:val="20"/>
              </w:rPr>
            </w:pPr>
            <w:r w:rsidRPr="00B04DC3">
              <w:rPr>
                <w:sz w:val="20"/>
              </w:rPr>
              <w:t xml:space="preserve">PDP calibration function </w:t>
            </w:r>
          </w:p>
        </w:tc>
      </w:tr>
    </w:tbl>
    <w:p w:rsidR="00002BA6" w:rsidRPr="00B04DC3" w:rsidRDefault="00002BA6" w:rsidP="00002BA6">
      <w:pPr>
        <w:pStyle w:val="para"/>
        <w:spacing w:before="240" w:after="240"/>
        <w:ind w:left="2127" w:hanging="993"/>
        <w:rPr>
          <w:lang w:val="en-GB"/>
        </w:rPr>
      </w:pPr>
      <w:r w:rsidRPr="00B04DC3">
        <w:rPr>
          <w:lang w:val="en-GB"/>
        </w:rPr>
        <w:t>3.3.</w:t>
      </w:r>
      <w:r w:rsidRPr="00B04DC3">
        <w:rPr>
          <w:lang w:val="en-GB"/>
        </w:rPr>
        <w:tab/>
      </w:r>
      <w:bookmarkStart w:id="428" w:name="_Toc111429254"/>
      <w:r w:rsidRPr="00B04DC3">
        <w:rPr>
          <w:lang w:val="en-GB"/>
        </w:rPr>
        <w:t>Symbols and abbreviations for the fuel composition</w:t>
      </w:r>
      <w:bookmarkEnd w:id="428"/>
    </w:p>
    <w:tbl>
      <w:tblPr>
        <w:tblW w:w="6520" w:type="dxa"/>
        <w:tblInd w:w="2197" w:type="dxa"/>
        <w:tblLayout w:type="fixed"/>
        <w:tblCellMar>
          <w:left w:w="70" w:type="dxa"/>
          <w:right w:w="70" w:type="dxa"/>
        </w:tblCellMar>
        <w:tblLook w:val="0000" w:firstRow="0" w:lastRow="0" w:firstColumn="0" w:lastColumn="0" w:noHBand="0" w:noVBand="0"/>
      </w:tblPr>
      <w:tblGrid>
        <w:gridCol w:w="1417"/>
        <w:gridCol w:w="5103"/>
      </w:tblGrid>
      <w:tr w:rsidR="00002BA6" w:rsidRPr="00B04DC3">
        <w:tc>
          <w:tcPr>
            <w:tcW w:w="1417" w:type="dxa"/>
          </w:tcPr>
          <w:p w:rsidR="00002BA6" w:rsidRPr="00B04DC3" w:rsidRDefault="00002BA6" w:rsidP="00002BA6">
            <w:pPr>
              <w:spacing w:after="120"/>
              <w:rPr>
                <w:vertAlign w:val="subscript"/>
              </w:rPr>
            </w:pPr>
            <w:r w:rsidRPr="00B04DC3">
              <w:rPr>
                <w:i/>
              </w:rPr>
              <w:t>w</w:t>
            </w:r>
            <w:r w:rsidRPr="00B04DC3">
              <w:rPr>
                <w:vertAlign w:val="subscript"/>
              </w:rPr>
              <w:t>ALF</w:t>
            </w:r>
          </w:p>
        </w:tc>
        <w:tc>
          <w:tcPr>
            <w:tcW w:w="5103" w:type="dxa"/>
          </w:tcPr>
          <w:p w:rsidR="00002BA6" w:rsidRPr="00B04DC3" w:rsidRDefault="00002BA6" w:rsidP="00002BA6">
            <w:pPr>
              <w:spacing w:after="120"/>
            </w:pPr>
            <w:r w:rsidRPr="00B04DC3">
              <w:rPr>
                <w:caps/>
              </w:rPr>
              <w:t>h</w:t>
            </w:r>
            <w:r w:rsidRPr="00B04DC3">
              <w:t>ydrogen content of fuel, per cent mass</w:t>
            </w:r>
          </w:p>
        </w:tc>
      </w:tr>
      <w:tr w:rsidR="00002BA6" w:rsidRPr="00B04DC3">
        <w:tc>
          <w:tcPr>
            <w:tcW w:w="1417" w:type="dxa"/>
          </w:tcPr>
          <w:p w:rsidR="00002BA6" w:rsidRPr="00B04DC3" w:rsidRDefault="00002BA6" w:rsidP="00002BA6">
            <w:pPr>
              <w:spacing w:after="120"/>
              <w:rPr>
                <w:vertAlign w:val="subscript"/>
              </w:rPr>
            </w:pPr>
            <w:r w:rsidRPr="00B04DC3">
              <w:rPr>
                <w:i/>
              </w:rPr>
              <w:t>w</w:t>
            </w:r>
            <w:r w:rsidRPr="00B04DC3">
              <w:rPr>
                <w:vertAlign w:val="subscript"/>
              </w:rPr>
              <w:t>BET</w:t>
            </w:r>
          </w:p>
        </w:tc>
        <w:tc>
          <w:tcPr>
            <w:tcW w:w="5103" w:type="dxa"/>
          </w:tcPr>
          <w:p w:rsidR="00002BA6" w:rsidRPr="00B04DC3" w:rsidRDefault="00002BA6" w:rsidP="00002BA6">
            <w:pPr>
              <w:spacing w:after="120"/>
            </w:pPr>
            <w:r w:rsidRPr="00B04DC3">
              <w:rPr>
                <w:caps/>
              </w:rPr>
              <w:t>c</w:t>
            </w:r>
            <w:r w:rsidRPr="00B04DC3">
              <w:t>arbon content of fuel, per cent mass</w:t>
            </w:r>
          </w:p>
        </w:tc>
      </w:tr>
      <w:tr w:rsidR="00002BA6" w:rsidRPr="00B04DC3">
        <w:tc>
          <w:tcPr>
            <w:tcW w:w="1417" w:type="dxa"/>
          </w:tcPr>
          <w:p w:rsidR="00002BA6" w:rsidRPr="00B04DC3" w:rsidRDefault="00002BA6" w:rsidP="00002BA6">
            <w:pPr>
              <w:spacing w:after="120"/>
              <w:rPr>
                <w:vertAlign w:val="subscript"/>
              </w:rPr>
            </w:pPr>
            <w:r w:rsidRPr="00B04DC3">
              <w:rPr>
                <w:i/>
              </w:rPr>
              <w:t>w</w:t>
            </w:r>
            <w:r w:rsidRPr="00B04DC3">
              <w:rPr>
                <w:vertAlign w:val="subscript"/>
              </w:rPr>
              <w:t>GAM</w:t>
            </w:r>
          </w:p>
        </w:tc>
        <w:tc>
          <w:tcPr>
            <w:tcW w:w="5103" w:type="dxa"/>
          </w:tcPr>
          <w:p w:rsidR="00002BA6" w:rsidRPr="00B04DC3" w:rsidRDefault="00002BA6" w:rsidP="00002BA6">
            <w:pPr>
              <w:spacing w:after="120"/>
            </w:pPr>
            <w:r w:rsidRPr="00B04DC3">
              <w:rPr>
                <w:caps/>
              </w:rPr>
              <w:t>s</w:t>
            </w:r>
            <w:r w:rsidRPr="00B04DC3">
              <w:t>ulphur content of fuel, per cent mass</w:t>
            </w:r>
          </w:p>
        </w:tc>
      </w:tr>
      <w:tr w:rsidR="00002BA6" w:rsidRPr="00B04DC3">
        <w:tc>
          <w:tcPr>
            <w:tcW w:w="1417" w:type="dxa"/>
          </w:tcPr>
          <w:p w:rsidR="00002BA6" w:rsidRPr="00B04DC3" w:rsidRDefault="00002BA6" w:rsidP="00002BA6">
            <w:pPr>
              <w:spacing w:after="120"/>
              <w:rPr>
                <w:vertAlign w:val="subscript"/>
              </w:rPr>
            </w:pPr>
            <w:r w:rsidRPr="00B04DC3">
              <w:rPr>
                <w:i/>
              </w:rPr>
              <w:t>w</w:t>
            </w:r>
            <w:r w:rsidRPr="00B04DC3">
              <w:rPr>
                <w:vertAlign w:val="subscript"/>
              </w:rPr>
              <w:t>DEL</w:t>
            </w:r>
          </w:p>
        </w:tc>
        <w:tc>
          <w:tcPr>
            <w:tcW w:w="5103" w:type="dxa"/>
          </w:tcPr>
          <w:p w:rsidR="00002BA6" w:rsidRPr="00B04DC3" w:rsidRDefault="00002BA6" w:rsidP="00002BA6">
            <w:pPr>
              <w:spacing w:after="120"/>
            </w:pPr>
            <w:r w:rsidRPr="00B04DC3">
              <w:rPr>
                <w:caps/>
              </w:rPr>
              <w:t>n</w:t>
            </w:r>
            <w:r w:rsidRPr="00B04DC3">
              <w:t>itrogen content of fuel, per cent mass</w:t>
            </w:r>
          </w:p>
        </w:tc>
      </w:tr>
      <w:tr w:rsidR="00002BA6" w:rsidRPr="00B04DC3">
        <w:tc>
          <w:tcPr>
            <w:tcW w:w="1417" w:type="dxa"/>
          </w:tcPr>
          <w:p w:rsidR="00002BA6" w:rsidRPr="00B04DC3" w:rsidRDefault="00002BA6" w:rsidP="00002BA6">
            <w:pPr>
              <w:spacing w:after="120"/>
              <w:rPr>
                <w:vertAlign w:val="subscript"/>
              </w:rPr>
            </w:pPr>
            <w:r w:rsidRPr="00B04DC3">
              <w:rPr>
                <w:i/>
              </w:rPr>
              <w:t>w</w:t>
            </w:r>
            <w:r w:rsidRPr="00B04DC3">
              <w:rPr>
                <w:vertAlign w:val="subscript"/>
              </w:rPr>
              <w:t>EPS</w:t>
            </w:r>
          </w:p>
        </w:tc>
        <w:tc>
          <w:tcPr>
            <w:tcW w:w="5103" w:type="dxa"/>
          </w:tcPr>
          <w:p w:rsidR="00002BA6" w:rsidRPr="00B04DC3" w:rsidRDefault="00002BA6" w:rsidP="00002BA6">
            <w:pPr>
              <w:spacing w:after="120"/>
            </w:pPr>
            <w:r w:rsidRPr="00B04DC3">
              <w:rPr>
                <w:caps/>
              </w:rPr>
              <w:t>o</w:t>
            </w:r>
            <w:r w:rsidRPr="00B04DC3">
              <w:t>xygen content of fuel, per cent mass</w:t>
            </w:r>
          </w:p>
        </w:tc>
      </w:tr>
      <w:tr w:rsidR="00002BA6" w:rsidRPr="00B04DC3">
        <w:tc>
          <w:tcPr>
            <w:tcW w:w="1417" w:type="dxa"/>
          </w:tcPr>
          <w:p w:rsidR="00002BA6" w:rsidRPr="00B04DC3" w:rsidRDefault="00002BA6" w:rsidP="00002BA6">
            <w:pPr>
              <w:spacing w:after="120"/>
            </w:pPr>
            <w:r w:rsidRPr="00B04DC3">
              <w:sym w:font="Symbol" w:char="F061"/>
            </w:r>
          </w:p>
        </w:tc>
        <w:tc>
          <w:tcPr>
            <w:tcW w:w="5103" w:type="dxa"/>
          </w:tcPr>
          <w:p w:rsidR="00002BA6" w:rsidRPr="00B04DC3" w:rsidRDefault="00002BA6" w:rsidP="00002BA6">
            <w:pPr>
              <w:spacing w:after="120"/>
            </w:pPr>
            <w:r w:rsidRPr="00B04DC3">
              <w:rPr>
                <w:caps/>
              </w:rPr>
              <w:t>m</w:t>
            </w:r>
            <w:r w:rsidRPr="00B04DC3">
              <w:t>olar hydrogen ratio (H/C)</w:t>
            </w:r>
          </w:p>
        </w:tc>
      </w:tr>
      <w:tr w:rsidR="00002BA6" w:rsidRPr="00B04DC3">
        <w:tc>
          <w:tcPr>
            <w:tcW w:w="1417" w:type="dxa"/>
          </w:tcPr>
          <w:p w:rsidR="00002BA6" w:rsidRPr="00B04DC3" w:rsidRDefault="00002BA6" w:rsidP="00002BA6">
            <w:pPr>
              <w:spacing w:after="120"/>
            </w:pPr>
            <w:r w:rsidRPr="00B04DC3">
              <w:sym w:font="Symbol" w:char="F067"/>
            </w:r>
          </w:p>
        </w:tc>
        <w:tc>
          <w:tcPr>
            <w:tcW w:w="5103" w:type="dxa"/>
          </w:tcPr>
          <w:p w:rsidR="00002BA6" w:rsidRPr="00B04DC3" w:rsidRDefault="00002BA6" w:rsidP="00002BA6">
            <w:pPr>
              <w:spacing w:after="120"/>
            </w:pPr>
            <w:r w:rsidRPr="00B04DC3">
              <w:rPr>
                <w:caps/>
              </w:rPr>
              <w:t>m</w:t>
            </w:r>
            <w:r w:rsidRPr="00B04DC3">
              <w:t>olar sulphur ratio (S/C)</w:t>
            </w:r>
          </w:p>
        </w:tc>
      </w:tr>
      <w:tr w:rsidR="00002BA6" w:rsidRPr="00B04DC3">
        <w:tc>
          <w:tcPr>
            <w:tcW w:w="1417" w:type="dxa"/>
          </w:tcPr>
          <w:p w:rsidR="00002BA6" w:rsidRPr="00B04DC3" w:rsidRDefault="00002BA6" w:rsidP="00002BA6">
            <w:pPr>
              <w:spacing w:after="120"/>
            </w:pPr>
            <w:r w:rsidRPr="00B04DC3">
              <w:sym w:font="Symbol" w:char="F064"/>
            </w:r>
          </w:p>
        </w:tc>
        <w:tc>
          <w:tcPr>
            <w:tcW w:w="5103" w:type="dxa"/>
          </w:tcPr>
          <w:p w:rsidR="00002BA6" w:rsidRPr="00B04DC3" w:rsidRDefault="00002BA6" w:rsidP="00002BA6">
            <w:pPr>
              <w:spacing w:after="120"/>
            </w:pPr>
            <w:r w:rsidRPr="00B04DC3">
              <w:rPr>
                <w:caps/>
              </w:rPr>
              <w:t>m</w:t>
            </w:r>
            <w:r w:rsidRPr="00B04DC3">
              <w:t>olar nitrogen ratio (N/C)</w:t>
            </w:r>
          </w:p>
        </w:tc>
      </w:tr>
      <w:tr w:rsidR="00002BA6" w:rsidRPr="00B04DC3">
        <w:tc>
          <w:tcPr>
            <w:tcW w:w="1417" w:type="dxa"/>
          </w:tcPr>
          <w:p w:rsidR="00002BA6" w:rsidRPr="00B04DC3" w:rsidRDefault="00002BA6" w:rsidP="00002BA6">
            <w:pPr>
              <w:spacing w:after="120"/>
            </w:pPr>
            <w:r w:rsidRPr="00B04DC3">
              <w:sym w:font="Symbol" w:char="F065"/>
            </w:r>
          </w:p>
        </w:tc>
        <w:tc>
          <w:tcPr>
            <w:tcW w:w="5103" w:type="dxa"/>
          </w:tcPr>
          <w:p w:rsidR="00002BA6" w:rsidRPr="00B04DC3" w:rsidRDefault="00002BA6" w:rsidP="00002BA6">
            <w:pPr>
              <w:spacing w:after="120"/>
            </w:pPr>
            <w:r w:rsidRPr="00B04DC3">
              <w:rPr>
                <w:caps/>
              </w:rPr>
              <w:t>m</w:t>
            </w:r>
            <w:r w:rsidRPr="00B04DC3">
              <w:t>olar oxygen ratio (O/C)</w:t>
            </w:r>
          </w:p>
        </w:tc>
      </w:tr>
      <w:tr w:rsidR="00002BA6" w:rsidRPr="00B04DC3">
        <w:tc>
          <w:tcPr>
            <w:tcW w:w="6520" w:type="dxa"/>
            <w:gridSpan w:val="2"/>
          </w:tcPr>
          <w:p w:rsidR="00002BA6" w:rsidRPr="00B04DC3" w:rsidRDefault="00002BA6" w:rsidP="00002BA6">
            <w:pPr>
              <w:spacing w:after="120"/>
            </w:pPr>
            <w:r w:rsidRPr="00B04DC3">
              <w:t>referring to a fuel CH</w:t>
            </w:r>
            <w:r w:rsidRPr="00B04DC3">
              <w:rPr>
                <w:rFonts w:ascii="Symbol" w:hAnsi="Symbol"/>
                <w:vertAlign w:val="subscript"/>
              </w:rPr>
              <w:t></w:t>
            </w:r>
            <w:r w:rsidRPr="00B04DC3">
              <w:t>O</w:t>
            </w:r>
            <w:r w:rsidRPr="00B04DC3">
              <w:rPr>
                <w:rFonts w:ascii="Symbol" w:hAnsi="Symbol"/>
                <w:vertAlign w:val="subscript"/>
              </w:rPr>
              <w:sym w:font="Symbol" w:char="F065"/>
            </w:r>
            <w:r w:rsidRPr="00B04DC3">
              <w:t>N</w:t>
            </w:r>
            <w:r w:rsidRPr="00B04DC3">
              <w:rPr>
                <w:rFonts w:ascii="Symbol" w:hAnsi="Symbol"/>
                <w:vertAlign w:val="subscript"/>
              </w:rPr>
              <w:sym w:font="Symbol" w:char="F064"/>
            </w:r>
            <w:r w:rsidRPr="00B04DC3">
              <w:t>S</w:t>
            </w:r>
            <w:r w:rsidRPr="00B04DC3">
              <w:rPr>
                <w:rFonts w:ascii="Symbol" w:hAnsi="Symbol"/>
                <w:vertAlign w:val="subscript"/>
              </w:rPr>
              <w:sym w:font="Symbol" w:char="F067"/>
            </w:r>
          </w:p>
        </w:tc>
      </w:tr>
    </w:tbl>
    <w:p w:rsidR="00002BA6" w:rsidRPr="00B04DC3" w:rsidRDefault="00002BA6" w:rsidP="00002BA6">
      <w:pPr>
        <w:pStyle w:val="para"/>
        <w:spacing w:before="240" w:after="240"/>
        <w:ind w:left="2127" w:hanging="993"/>
        <w:rPr>
          <w:lang w:val="en-GB"/>
        </w:rPr>
      </w:pPr>
      <w:bookmarkStart w:id="429" w:name="_Toc111429255"/>
      <w:r w:rsidRPr="00B04DC3">
        <w:rPr>
          <w:lang w:val="en-GB"/>
        </w:rPr>
        <w:t>3.4.</w:t>
      </w:r>
      <w:r w:rsidRPr="00B04DC3">
        <w:rPr>
          <w:lang w:val="en-GB"/>
        </w:rPr>
        <w:tab/>
        <w:t>Symbols and abbreviations for the chemical components</w:t>
      </w:r>
      <w:bookmarkEnd w:id="429"/>
    </w:p>
    <w:tbl>
      <w:tblPr>
        <w:tblW w:w="6520" w:type="dxa"/>
        <w:tblInd w:w="2197" w:type="dxa"/>
        <w:tblLayout w:type="fixed"/>
        <w:tblCellMar>
          <w:left w:w="70" w:type="dxa"/>
          <w:right w:w="70" w:type="dxa"/>
        </w:tblCellMar>
        <w:tblLook w:val="0000" w:firstRow="0" w:lastRow="0" w:firstColumn="0" w:lastColumn="0" w:noHBand="0" w:noVBand="0"/>
      </w:tblPr>
      <w:tblGrid>
        <w:gridCol w:w="1417"/>
        <w:gridCol w:w="5103"/>
      </w:tblGrid>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C1</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Carbon 1 equivalent hydrocarbon</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CH</w:t>
            </w:r>
            <w:r w:rsidRPr="00B04DC3">
              <w:rPr>
                <w:rFonts w:ascii="Times New Roman" w:hAnsi="Times New Roman"/>
                <w:vertAlign w:val="subscript"/>
              </w:rPr>
              <w:t>4</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Methane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w:t>
            </w:r>
            <w:r w:rsidRPr="00B04DC3">
              <w:rPr>
                <w:rFonts w:ascii="Times New Roman" w:hAnsi="Times New Roman"/>
                <w:vertAlign w:val="subscript"/>
              </w:rPr>
              <w:t>2</w:t>
            </w:r>
            <w:r w:rsidRPr="00B04DC3">
              <w:rPr>
                <w:rFonts w:ascii="Times New Roman" w:hAnsi="Times New Roman"/>
              </w:rPr>
              <w:t>H</w:t>
            </w:r>
            <w:r w:rsidRPr="00B04DC3">
              <w:rPr>
                <w:rFonts w:ascii="Times New Roman" w:hAnsi="Times New Roman"/>
                <w:vertAlign w:val="subscript"/>
              </w:rPr>
              <w:t>6</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Ethane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w:t>
            </w:r>
            <w:r w:rsidRPr="00B04DC3">
              <w:rPr>
                <w:rFonts w:ascii="Times New Roman" w:hAnsi="Times New Roman"/>
                <w:vertAlign w:val="subscript"/>
              </w:rPr>
              <w:t>3</w:t>
            </w:r>
            <w:r w:rsidRPr="00B04DC3">
              <w:rPr>
                <w:rFonts w:ascii="Times New Roman" w:hAnsi="Times New Roman"/>
              </w:rPr>
              <w:t>H</w:t>
            </w:r>
            <w:r w:rsidRPr="00B04DC3">
              <w:rPr>
                <w:rFonts w:ascii="Times New Roman" w:hAnsi="Times New Roman"/>
                <w:vertAlign w:val="subscript"/>
              </w:rPr>
              <w:t>8</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Propane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CO</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Carbon monoxide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CO</w:t>
            </w:r>
            <w:r w:rsidRPr="00B04DC3">
              <w:rPr>
                <w:rFonts w:ascii="Times New Roman" w:hAnsi="Times New Roman"/>
                <w:vertAlign w:val="subscript"/>
              </w:rPr>
              <w:t>2</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Carbon dioxide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DOP</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Di-octylphtalate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HC</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Hydrocarbons</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H</w:t>
            </w:r>
            <w:r w:rsidRPr="00B04DC3">
              <w:rPr>
                <w:rFonts w:ascii="Times New Roman" w:hAnsi="Times New Roman"/>
                <w:vertAlign w:val="subscript"/>
              </w:rPr>
              <w:t>2</w:t>
            </w:r>
            <w:r w:rsidRPr="00B04DC3">
              <w:rPr>
                <w:rFonts w:ascii="Times New Roman" w:hAnsi="Times New Roman"/>
              </w:rPr>
              <w:t>O</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Water</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NMHC</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Non-methane hydrocarbons</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NO</w:t>
            </w:r>
            <w:r w:rsidRPr="00B04DC3">
              <w:rPr>
                <w:rFonts w:ascii="Times New Roman" w:hAnsi="Times New Roman"/>
                <w:vertAlign w:val="subscript"/>
              </w:rPr>
              <w:t>x</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Oxides of nitrogen</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NO</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Nitric oxide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NO</w:t>
            </w:r>
            <w:r w:rsidRPr="00B04DC3">
              <w:rPr>
                <w:rFonts w:ascii="Times New Roman" w:hAnsi="Times New Roman"/>
                <w:vertAlign w:val="subscript"/>
              </w:rPr>
              <w:t>2</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Nitrogen dioxide</w:t>
            </w:r>
          </w:p>
        </w:tc>
      </w:tr>
      <w:tr w:rsidR="00002BA6" w:rsidRPr="00B04DC3">
        <w:tc>
          <w:tcPr>
            <w:tcW w:w="1417"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PM</w:t>
            </w:r>
          </w:p>
        </w:tc>
        <w:tc>
          <w:tcPr>
            <w:tcW w:w="5103" w:type="dxa"/>
          </w:tcPr>
          <w:p w:rsidR="00002BA6" w:rsidRPr="00B04DC3" w:rsidRDefault="00002BA6" w:rsidP="00002BA6">
            <w:pPr>
              <w:pStyle w:val="Definition"/>
              <w:spacing w:after="120" w:line="240" w:lineRule="auto"/>
              <w:rPr>
                <w:rFonts w:ascii="Times New Roman" w:hAnsi="Times New Roman"/>
              </w:rPr>
            </w:pPr>
            <w:r w:rsidRPr="00B04DC3">
              <w:rPr>
                <w:rFonts w:ascii="Times New Roman" w:hAnsi="Times New Roman"/>
              </w:rPr>
              <w:t>Particulate matter</w:t>
            </w:r>
          </w:p>
        </w:tc>
      </w:tr>
    </w:tbl>
    <w:p w:rsidR="00002BA6" w:rsidRPr="00B04DC3" w:rsidRDefault="00002BA6" w:rsidP="00B20576">
      <w:pPr>
        <w:pStyle w:val="para"/>
        <w:spacing w:before="120" w:after="240"/>
        <w:rPr>
          <w:lang w:val="en-GB"/>
        </w:rPr>
      </w:pPr>
      <w:r w:rsidRPr="00B04DC3">
        <w:rPr>
          <w:lang w:val="en-GB"/>
        </w:rPr>
        <w:t>3.5.</w:t>
      </w:r>
      <w:r w:rsidRPr="00B04DC3">
        <w:rPr>
          <w:lang w:val="en-GB"/>
        </w:rPr>
        <w:tab/>
      </w:r>
      <w:bookmarkStart w:id="430" w:name="_Toc111429256"/>
      <w:r w:rsidRPr="00B04DC3">
        <w:rPr>
          <w:lang w:val="en-GB"/>
        </w:rPr>
        <w:t>Abbreviations</w:t>
      </w:r>
      <w:bookmarkEnd w:id="430"/>
    </w:p>
    <w:tbl>
      <w:tblPr>
        <w:tblW w:w="6521" w:type="dxa"/>
        <w:tblInd w:w="2197" w:type="dxa"/>
        <w:tblLayout w:type="fixed"/>
        <w:tblCellMar>
          <w:left w:w="71" w:type="dxa"/>
          <w:right w:w="71" w:type="dxa"/>
        </w:tblCellMar>
        <w:tblLook w:val="0000" w:firstRow="0" w:lastRow="0" w:firstColumn="0" w:lastColumn="0" w:noHBand="0" w:noVBand="0"/>
      </w:tblPr>
      <w:tblGrid>
        <w:gridCol w:w="1418"/>
        <w:gridCol w:w="5103"/>
      </w:tblGrid>
      <w:tr w:rsidR="00002BA6" w:rsidRPr="00B04DC3">
        <w:tc>
          <w:tcPr>
            <w:tcW w:w="1418" w:type="dxa"/>
          </w:tcPr>
          <w:p w:rsidR="00002BA6" w:rsidRPr="00B04DC3" w:rsidRDefault="00002BA6" w:rsidP="00002BA6">
            <w:pPr>
              <w:keepNext/>
              <w:keepLines/>
              <w:spacing w:after="120"/>
            </w:pPr>
            <w:r w:rsidRPr="00B04DC3">
              <w:t>CFV</w:t>
            </w:r>
          </w:p>
        </w:tc>
        <w:tc>
          <w:tcPr>
            <w:tcW w:w="5103" w:type="dxa"/>
          </w:tcPr>
          <w:p w:rsidR="00002BA6" w:rsidRPr="00B04DC3" w:rsidRDefault="00002BA6" w:rsidP="00002BA6">
            <w:pPr>
              <w:pStyle w:val="Definition"/>
              <w:keepNext/>
              <w:keepLines/>
              <w:spacing w:after="120" w:line="240" w:lineRule="auto"/>
              <w:rPr>
                <w:rFonts w:ascii="Times New Roman" w:hAnsi="Times New Roman"/>
              </w:rPr>
            </w:pPr>
            <w:r w:rsidRPr="00B04DC3">
              <w:rPr>
                <w:rFonts w:ascii="Times New Roman" w:hAnsi="Times New Roman"/>
              </w:rPr>
              <w:t>Critical Flow Venturi</w:t>
            </w:r>
          </w:p>
        </w:tc>
      </w:tr>
      <w:tr w:rsidR="00002BA6" w:rsidRPr="00B04DC3">
        <w:tc>
          <w:tcPr>
            <w:tcW w:w="1418" w:type="dxa"/>
          </w:tcPr>
          <w:p w:rsidR="00002BA6" w:rsidRPr="00B04DC3" w:rsidRDefault="00002BA6" w:rsidP="00002BA6">
            <w:pPr>
              <w:keepNext/>
              <w:keepLines/>
              <w:spacing w:after="120"/>
            </w:pPr>
            <w:r w:rsidRPr="00B04DC3">
              <w:t>CLD</w:t>
            </w:r>
          </w:p>
        </w:tc>
        <w:tc>
          <w:tcPr>
            <w:tcW w:w="5103" w:type="dxa"/>
          </w:tcPr>
          <w:p w:rsidR="00002BA6" w:rsidRPr="00B04DC3" w:rsidRDefault="00002BA6" w:rsidP="00002BA6">
            <w:pPr>
              <w:pStyle w:val="Definition"/>
              <w:keepNext/>
              <w:keepLines/>
              <w:spacing w:after="120" w:line="240" w:lineRule="auto"/>
              <w:rPr>
                <w:rFonts w:ascii="Times New Roman" w:hAnsi="Times New Roman"/>
              </w:rPr>
            </w:pPr>
            <w:r w:rsidRPr="00B04DC3">
              <w:rPr>
                <w:rFonts w:ascii="Times New Roman" w:hAnsi="Times New Roman"/>
              </w:rPr>
              <w:t>Chemiluminescent Detector</w:t>
            </w:r>
          </w:p>
        </w:tc>
      </w:tr>
      <w:tr w:rsidR="00002BA6" w:rsidRPr="00B04DC3">
        <w:tc>
          <w:tcPr>
            <w:tcW w:w="1418" w:type="dxa"/>
          </w:tcPr>
          <w:p w:rsidR="00002BA6" w:rsidRPr="00B04DC3" w:rsidRDefault="00002BA6" w:rsidP="00002BA6">
            <w:pPr>
              <w:keepNext/>
              <w:keepLines/>
              <w:spacing w:after="120"/>
            </w:pPr>
            <w:r w:rsidRPr="00B04DC3">
              <w:t>CVS</w:t>
            </w:r>
          </w:p>
        </w:tc>
        <w:tc>
          <w:tcPr>
            <w:tcW w:w="5103" w:type="dxa"/>
          </w:tcPr>
          <w:p w:rsidR="00002BA6" w:rsidRPr="00B04DC3" w:rsidRDefault="00002BA6" w:rsidP="00002BA6">
            <w:pPr>
              <w:keepNext/>
              <w:keepLines/>
              <w:spacing w:after="120"/>
            </w:pPr>
            <w:r w:rsidRPr="00B04DC3">
              <w:t>Constant Volume Sampling</w:t>
            </w:r>
          </w:p>
        </w:tc>
      </w:tr>
      <w:tr w:rsidR="00002BA6" w:rsidRPr="00B04DC3">
        <w:tc>
          <w:tcPr>
            <w:tcW w:w="1418" w:type="dxa"/>
          </w:tcPr>
          <w:p w:rsidR="00002BA6" w:rsidRPr="00B04DC3" w:rsidRDefault="00002BA6" w:rsidP="00002BA6">
            <w:pPr>
              <w:spacing w:after="120"/>
            </w:pPr>
            <w:r w:rsidRPr="00B04DC3">
              <w:t>deNO</w:t>
            </w:r>
            <w:r w:rsidRPr="00B04DC3">
              <w:rPr>
                <w:vertAlign w:val="subscript"/>
              </w:rPr>
              <w:t>x</w:t>
            </w:r>
          </w:p>
        </w:tc>
        <w:tc>
          <w:tcPr>
            <w:tcW w:w="5103" w:type="dxa"/>
          </w:tcPr>
          <w:p w:rsidR="00002BA6" w:rsidRPr="00B04DC3" w:rsidRDefault="00002BA6" w:rsidP="00002BA6">
            <w:pPr>
              <w:spacing w:after="120"/>
            </w:pPr>
            <w:r w:rsidRPr="00B04DC3">
              <w:t>NO</w:t>
            </w:r>
            <w:r w:rsidRPr="00B04DC3">
              <w:rPr>
                <w:vertAlign w:val="subscript"/>
              </w:rPr>
              <w:t>x</w:t>
            </w:r>
            <w:r w:rsidRPr="00B04DC3">
              <w:t xml:space="preserve"> after-treatment system</w:t>
            </w:r>
          </w:p>
        </w:tc>
      </w:tr>
      <w:tr w:rsidR="00002BA6" w:rsidRPr="00B04DC3">
        <w:tc>
          <w:tcPr>
            <w:tcW w:w="1418" w:type="dxa"/>
          </w:tcPr>
          <w:p w:rsidR="00002BA6" w:rsidRPr="00B04DC3" w:rsidRDefault="00002BA6" w:rsidP="00002BA6">
            <w:pPr>
              <w:spacing w:after="120"/>
            </w:pPr>
            <w:r w:rsidRPr="00B04DC3">
              <w:t>EGR</w:t>
            </w:r>
          </w:p>
        </w:tc>
        <w:tc>
          <w:tcPr>
            <w:tcW w:w="5103" w:type="dxa"/>
          </w:tcPr>
          <w:p w:rsidR="00002BA6" w:rsidRPr="00B04DC3" w:rsidRDefault="00002BA6" w:rsidP="00002BA6">
            <w:pPr>
              <w:spacing w:after="120"/>
            </w:pPr>
            <w:r w:rsidRPr="00B04DC3">
              <w:t>Exhaust gas recirculation</w:t>
            </w:r>
          </w:p>
        </w:tc>
      </w:tr>
      <w:tr w:rsidR="00002BA6" w:rsidRPr="00B04DC3">
        <w:tc>
          <w:tcPr>
            <w:tcW w:w="1418" w:type="dxa"/>
          </w:tcPr>
          <w:p w:rsidR="00002BA6" w:rsidRPr="00B04DC3" w:rsidRDefault="00002BA6" w:rsidP="00002BA6">
            <w:pPr>
              <w:spacing w:after="120"/>
            </w:pPr>
            <w:r w:rsidRPr="00B04DC3">
              <w:t>FID</w:t>
            </w:r>
          </w:p>
        </w:tc>
        <w:tc>
          <w:tcPr>
            <w:tcW w:w="5103" w:type="dxa"/>
          </w:tcPr>
          <w:p w:rsidR="00002BA6" w:rsidRPr="00B04DC3" w:rsidRDefault="00002BA6" w:rsidP="00002BA6">
            <w:pPr>
              <w:spacing w:after="120"/>
            </w:pPr>
            <w:r w:rsidRPr="00B04DC3">
              <w:t>Flame Ionization Detector</w:t>
            </w:r>
          </w:p>
        </w:tc>
      </w:tr>
      <w:tr w:rsidR="00002BA6" w:rsidRPr="00B04DC3">
        <w:tc>
          <w:tcPr>
            <w:tcW w:w="1418" w:type="dxa"/>
          </w:tcPr>
          <w:p w:rsidR="00002BA6" w:rsidRPr="00B04DC3" w:rsidRDefault="00002BA6" w:rsidP="00002BA6">
            <w:pPr>
              <w:spacing w:after="120"/>
            </w:pPr>
            <w:r w:rsidRPr="00B04DC3">
              <w:t>GC</w:t>
            </w:r>
          </w:p>
        </w:tc>
        <w:tc>
          <w:tcPr>
            <w:tcW w:w="5103" w:type="dxa"/>
          </w:tcPr>
          <w:p w:rsidR="00002BA6" w:rsidRPr="00B04DC3" w:rsidRDefault="00002BA6" w:rsidP="00002BA6">
            <w:pPr>
              <w:spacing w:after="120"/>
            </w:pPr>
            <w:r w:rsidRPr="00B04DC3">
              <w:t>Gas Chromatograph</w:t>
            </w:r>
          </w:p>
        </w:tc>
      </w:tr>
      <w:tr w:rsidR="00002BA6" w:rsidRPr="00B04DC3">
        <w:tc>
          <w:tcPr>
            <w:tcW w:w="1418" w:type="dxa"/>
          </w:tcPr>
          <w:p w:rsidR="00002BA6" w:rsidRPr="00B04DC3" w:rsidRDefault="00002BA6" w:rsidP="00002BA6">
            <w:pPr>
              <w:spacing w:after="120"/>
            </w:pPr>
            <w:r w:rsidRPr="00B04DC3">
              <w:t>HCLD</w:t>
            </w:r>
          </w:p>
        </w:tc>
        <w:tc>
          <w:tcPr>
            <w:tcW w:w="5103" w:type="dxa"/>
          </w:tcPr>
          <w:p w:rsidR="00002BA6" w:rsidRPr="00B04DC3" w:rsidRDefault="00002BA6" w:rsidP="00002BA6">
            <w:pPr>
              <w:spacing w:after="120"/>
            </w:pPr>
            <w:r w:rsidRPr="00B04DC3">
              <w:t>Heated Chemiluminescent Detector</w:t>
            </w:r>
          </w:p>
        </w:tc>
      </w:tr>
      <w:tr w:rsidR="00002BA6" w:rsidRPr="00B04DC3">
        <w:tc>
          <w:tcPr>
            <w:tcW w:w="1418" w:type="dxa"/>
          </w:tcPr>
          <w:p w:rsidR="00002BA6" w:rsidRPr="00B04DC3" w:rsidRDefault="00002BA6" w:rsidP="00002BA6">
            <w:pPr>
              <w:spacing w:after="120"/>
            </w:pPr>
            <w:r w:rsidRPr="00B04DC3">
              <w:t>HFID</w:t>
            </w:r>
          </w:p>
        </w:tc>
        <w:tc>
          <w:tcPr>
            <w:tcW w:w="5103" w:type="dxa"/>
          </w:tcPr>
          <w:p w:rsidR="00002BA6" w:rsidRPr="00B04DC3" w:rsidRDefault="00002BA6" w:rsidP="00002BA6">
            <w:pPr>
              <w:spacing w:after="120"/>
            </w:pPr>
            <w:r w:rsidRPr="00B04DC3">
              <w:t>Heated Flame Ionization Detector</w:t>
            </w:r>
          </w:p>
        </w:tc>
      </w:tr>
      <w:tr w:rsidR="00002BA6" w:rsidRPr="00B04DC3">
        <w:tc>
          <w:tcPr>
            <w:tcW w:w="1418" w:type="dxa"/>
          </w:tcPr>
          <w:p w:rsidR="00002BA6" w:rsidRPr="00B04DC3" w:rsidRDefault="00002BA6" w:rsidP="00002BA6">
            <w:pPr>
              <w:spacing w:after="120"/>
            </w:pPr>
            <w:r w:rsidRPr="00B04DC3">
              <w:t>LPG</w:t>
            </w:r>
          </w:p>
        </w:tc>
        <w:tc>
          <w:tcPr>
            <w:tcW w:w="5103" w:type="dxa"/>
          </w:tcPr>
          <w:p w:rsidR="00002BA6" w:rsidRPr="00B04DC3" w:rsidRDefault="00002BA6" w:rsidP="00002BA6">
            <w:pPr>
              <w:spacing w:after="120"/>
            </w:pPr>
            <w:r w:rsidRPr="00B04DC3">
              <w:t>Liquefied Petroleum Gas</w:t>
            </w:r>
          </w:p>
        </w:tc>
      </w:tr>
      <w:tr w:rsidR="00002BA6" w:rsidRPr="00B04DC3">
        <w:tc>
          <w:tcPr>
            <w:tcW w:w="1418" w:type="dxa"/>
          </w:tcPr>
          <w:p w:rsidR="00002BA6" w:rsidRPr="00B04DC3" w:rsidRDefault="00002BA6" w:rsidP="00002BA6">
            <w:pPr>
              <w:spacing w:after="120"/>
            </w:pPr>
            <w:r w:rsidRPr="00B04DC3">
              <w:t>NDIR</w:t>
            </w:r>
          </w:p>
        </w:tc>
        <w:tc>
          <w:tcPr>
            <w:tcW w:w="5103" w:type="dxa"/>
          </w:tcPr>
          <w:p w:rsidR="00002BA6" w:rsidRPr="00B04DC3" w:rsidRDefault="00002BA6" w:rsidP="00002BA6">
            <w:pPr>
              <w:spacing w:after="120"/>
            </w:pPr>
            <w:r w:rsidRPr="00B04DC3">
              <w:t xml:space="preserve">Non-Dispersive Infrared (Analyzer) </w:t>
            </w:r>
          </w:p>
        </w:tc>
      </w:tr>
      <w:tr w:rsidR="00002BA6" w:rsidRPr="00B04DC3">
        <w:tc>
          <w:tcPr>
            <w:tcW w:w="1418" w:type="dxa"/>
          </w:tcPr>
          <w:p w:rsidR="00002BA6" w:rsidRPr="00B04DC3" w:rsidRDefault="00002BA6" w:rsidP="00002BA6">
            <w:pPr>
              <w:spacing w:after="120"/>
            </w:pPr>
            <w:r w:rsidRPr="00B04DC3">
              <w:t>NG</w:t>
            </w:r>
          </w:p>
        </w:tc>
        <w:tc>
          <w:tcPr>
            <w:tcW w:w="5103" w:type="dxa"/>
          </w:tcPr>
          <w:p w:rsidR="00002BA6" w:rsidRPr="00B04DC3" w:rsidRDefault="00002BA6" w:rsidP="00002BA6">
            <w:pPr>
              <w:spacing w:after="120"/>
            </w:pPr>
            <w:r w:rsidRPr="00B04DC3">
              <w:t>Natural Gas</w:t>
            </w:r>
          </w:p>
        </w:tc>
      </w:tr>
      <w:tr w:rsidR="00002BA6" w:rsidRPr="00B04DC3">
        <w:tc>
          <w:tcPr>
            <w:tcW w:w="1418" w:type="dxa"/>
          </w:tcPr>
          <w:p w:rsidR="00002BA6" w:rsidRPr="00B04DC3" w:rsidRDefault="00002BA6" w:rsidP="00002BA6">
            <w:pPr>
              <w:spacing w:after="120"/>
            </w:pPr>
            <w:r w:rsidRPr="00B04DC3">
              <w:t>NMC</w:t>
            </w:r>
          </w:p>
        </w:tc>
        <w:tc>
          <w:tcPr>
            <w:tcW w:w="5103" w:type="dxa"/>
          </w:tcPr>
          <w:p w:rsidR="00002BA6" w:rsidRPr="00B04DC3" w:rsidRDefault="00002BA6" w:rsidP="00002BA6">
            <w:pPr>
              <w:spacing w:after="120"/>
            </w:pPr>
            <w:r w:rsidRPr="00B04DC3">
              <w:t>Non-Methane Cutter</w:t>
            </w:r>
          </w:p>
        </w:tc>
      </w:tr>
      <w:tr w:rsidR="00002BA6" w:rsidRPr="00B04DC3">
        <w:tc>
          <w:tcPr>
            <w:tcW w:w="1418" w:type="dxa"/>
          </w:tcPr>
          <w:p w:rsidR="00002BA6" w:rsidRPr="00B04DC3" w:rsidRDefault="00002BA6" w:rsidP="00002BA6">
            <w:pPr>
              <w:spacing w:after="120"/>
            </w:pPr>
            <w:r w:rsidRPr="00B04DC3">
              <w:t>PDP</w:t>
            </w:r>
          </w:p>
        </w:tc>
        <w:tc>
          <w:tcPr>
            <w:tcW w:w="5103" w:type="dxa"/>
          </w:tcPr>
          <w:p w:rsidR="00002BA6" w:rsidRPr="00B04DC3" w:rsidRDefault="00002BA6" w:rsidP="00002BA6">
            <w:pPr>
              <w:spacing w:after="120"/>
            </w:pPr>
            <w:r w:rsidRPr="00B04DC3">
              <w:t>Positive Displacement Pump</w:t>
            </w:r>
          </w:p>
        </w:tc>
      </w:tr>
      <w:tr w:rsidR="00002BA6" w:rsidRPr="00B04DC3">
        <w:tc>
          <w:tcPr>
            <w:tcW w:w="1418" w:type="dxa"/>
          </w:tcPr>
          <w:p w:rsidR="00002BA6" w:rsidRPr="00B04DC3" w:rsidRDefault="00002BA6" w:rsidP="00002BA6">
            <w:pPr>
              <w:spacing w:after="120"/>
            </w:pPr>
            <w:r w:rsidRPr="00B04DC3">
              <w:t>Per cent FS</w:t>
            </w:r>
          </w:p>
        </w:tc>
        <w:tc>
          <w:tcPr>
            <w:tcW w:w="5103" w:type="dxa"/>
          </w:tcPr>
          <w:p w:rsidR="00002BA6" w:rsidRPr="00B04DC3" w:rsidRDefault="00002BA6" w:rsidP="00002BA6">
            <w:pPr>
              <w:spacing w:after="120"/>
            </w:pPr>
            <w:r w:rsidRPr="00B04DC3">
              <w:t>Per cent of full scale</w:t>
            </w:r>
          </w:p>
        </w:tc>
      </w:tr>
      <w:tr w:rsidR="00002BA6" w:rsidRPr="00B04DC3">
        <w:tc>
          <w:tcPr>
            <w:tcW w:w="1418" w:type="dxa"/>
          </w:tcPr>
          <w:p w:rsidR="00002BA6" w:rsidRPr="00B04DC3" w:rsidRDefault="00002BA6" w:rsidP="00002BA6">
            <w:pPr>
              <w:spacing w:after="120"/>
            </w:pPr>
            <w:r w:rsidRPr="00B04DC3">
              <w:t>PFS</w:t>
            </w:r>
          </w:p>
        </w:tc>
        <w:tc>
          <w:tcPr>
            <w:tcW w:w="5103" w:type="dxa"/>
          </w:tcPr>
          <w:p w:rsidR="00002BA6" w:rsidRPr="00B04DC3" w:rsidRDefault="00002BA6" w:rsidP="00002BA6">
            <w:pPr>
              <w:spacing w:after="120"/>
            </w:pPr>
            <w:r w:rsidRPr="00B04DC3">
              <w:t>Partial Flow System</w:t>
            </w:r>
          </w:p>
        </w:tc>
      </w:tr>
      <w:tr w:rsidR="00002BA6" w:rsidRPr="00B04DC3">
        <w:tc>
          <w:tcPr>
            <w:tcW w:w="1418" w:type="dxa"/>
          </w:tcPr>
          <w:p w:rsidR="00002BA6" w:rsidRPr="00B04DC3" w:rsidRDefault="00002BA6" w:rsidP="00002BA6">
            <w:pPr>
              <w:spacing w:after="120"/>
            </w:pPr>
            <w:r w:rsidRPr="00B04DC3">
              <w:t>SSV</w:t>
            </w:r>
          </w:p>
        </w:tc>
        <w:tc>
          <w:tcPr>
            <w:tcW w:w="5103" w:type="dxa"/>
          </w:tcPr>
          <w:p w:rsidR="00002BA6" w:rsidRPr="00B04DC3" w:rsidRDefault="00002BA6" w:rsidP="00002BA6">
            <w:pPr>
              <w:spacing w:after="120"/>
            </w:pPr>
            <w:r w:rsidRPr="00B04DC3">
              <w:t xml:space="preserve">Subsonic Venturi </w:t>
            </w:r>
          </w:p>
        </w:tc>
      </w:tr>
      <w:tr w:rsidR="00002BA6" w:rsidRPr="00B04DC3">
        <w:tc>
          <w:tcPr>
            <w:tcW w:w="1418" w:type="dxa"/>
          </w:tcPr>
          <w:p w:rsidR="00002BA6" w:rsidRPr="00B04DC3" w:rsidRDefault="00002BA6" w:rsidP="00002BA6">
            <w:pPr>
              <w:spacing w:after="120"/>
            </w:pPr>
            <w:r w:rsidRPr="00B04DC3">
              <w:t>VGT</w:t>
            </w:r>
          </w:p>
        </w:tc>
        <w:tc>
          <w:tcPr>
            <w:tcW w:w="5103" w:type="dxa"/>
          </w:tcPr>
          <w:p w:rsidR="00002BA6" w:rsidRPr="00B04DC3" w:rsidRDefault="00002BA6" w:rsidP="00002BA6">
            <w:pPr>
              <w:spacing w:after="120"/>
            </w:pPr>
            <w:r w:rsidRPr="00B04DC3">
              <w:t>Variable Geometry Turbine</w:t>
            </w:r>
          </w:p>
        </w:tc>
      </w:tr>
    </w:tbl>
    <w:p w:rsidR="00002BA6" w:rsidRPr="00B04DC3" w:rsidRDefault="00002BA6" w:rsidP="00B20576">
      <w:pPr>
        <w:pStyle w:val="para"/>
        <w:spacing w:before="120" w:after="240"/>
        <w:rPr>
          <w:lang w:val="en-GB"/>
        </w:rPr>
      </w:pPr>
      <w:bookmarkStart w:id="431" w:name="_Toc66871732"/>
      <w:bookmarkStart w:id="432" w:name="_Toc66951789"/>
      <w:bookmarkStart w:id="433" w:name="_Toc66953213"/>
      <w:r w:rsidRPr="00B04DC3">
        <w:rPr>
          <w:lang w:val="en-GB"/>
        </w:rPr>
        <w:t>4.</w:t>
      </w:r>
      <w:r w:rsidRPr="00B04DC3">
        <w:rPr>
          <w:lang w:val="en-GB"/>
        </w:rPr>
        <w:tab/>
        <w:t>General requirements</w:t>
      </w:r>
      <w:bookmarkEnd w:id="431"/>
      <w:bookmarkEnd w:id="432"/>
      <w:bookmarkEnd w:id="433"/>
    </w:p>
    <w:p w:rsidR="00002BA6" w:rsidRPr="00B04DC3" w:rsidRDefault="00002BA6" w:rsidP="00002BA6">
      <w:pPr>
        <w:pStyle w:val="para"/>
        <w:rPr>
          <w:lang w:val="en-GB"/>
        </w:rPr>
      </w:pPr>
      <w:r w:rsidRPr="00B04DC3">
        <w:rPr>
          <w:lang w:val="en-GB"/>
        </w:rPr>
        <w:tab/>
        <w:t>The engine system shall be so designed, constructed and assembled as to enable the engine in normal use to comply with the provisions of this annex during its useful life, as defined in this Regulation, including when installed in the vehicle.</w:t>
      </w:r>
      <w:bookmarkStart w:id="434" w:name="_Ref61239233"/>
      <w:bookmarkStart w:id="435" w:name="_Toc66871733"/>
      <w:bookmarkStart w:id="436" w:name="_Toc66951790"/>
      <w:bookmarkStart w:id="437" w:name="_Toc66953214"/>
    </w:p>
    <w:p w:rsidR="00002BA6" w:rsidRPr="00B04DC3" w:rsidRDefault="00002BA6" w:rsidP="00DA09F5">
      <w:pPr>
        <w:pStyle w:val="para"/>
        <w:keepNext/>
        <w:keepLines/>
        <w:rPr>
          <w:lang w:val="en-GB"/>
        </w:rPr>
      </w:pPr>
      <w:r w:rsidRPr="00B04DC3">
        <w:rPr>
          <w:lang w:val="en-GB"/>
        </w:rPr>
        <w:t>5.</w:t>
      </w:r>
      <w:r w:rsidRPr="00B04DC3">
        <w:rPr>
          <w:lang w:val="en-GB"/>
        </w:rPr>
        <w:tab/>
        <w:t>Performance requirements</w:t>
      </w:r>
      <w:bookmarkEnd w:id="434"/>
      <w:bookmarkEnd w:id="435"/>
      <w:bookmarkEnd w:id="436"/>
      <w:bookmarkEnd w:id="437"/>
    </w:p>
    <w:p w:rsidR="00002BA6" w:rsidRPr="00B04DC3" w:rsidRDefault="00002BA6" w:rsidP="00002BA6">
      <w:pPr>
        <w:pStyle w:val="para"/>
        <w:rPr>
          <w:lang w:val="en-GB"/>
        </w:rPr>
      </w:pPr>
      <w:r w:rsidRPr="00B04DC3">
        <w:rPr>
          <w:lang w:val="en-GB"/>
        </w:rPr>
        <w:t>5.1.</w:t>
      </w:r>
      <w:r w:rsidRPr="00B04DC3">
        <w:rPr>
          <w:lang w:val="en-GB"/>
        </w:rPr>
        <w:tab/>
        <w:t>Emission of gaseous and particulate pollutants</w:t>
      </w:r>
    </w:p>
    <w:p w:rsidR="00002BA6" w:rsidRPr="00B04DC3" w:rsidRDefault="00002BA6" w:rsidP="00002BA6">
      <w:pPr>
        <w:pStyle w:val="para"/>
        <w:rPr>
          <w:lang w:val="en-GB"/>
        </w:rPr>
      </w:pPr>
      <w:r w:rsidRPr="00B04DC3">
        <w:rPr>
          <w:lang w:val="en-GB"/>
        </w:rPr>
        <w:tab/>
        <w:t>The emissions of gaseous and particulate pollutants by the engine shall be determined on the WHTC and WHSC test cycles, as described in paragraph 7.</w:t>
      </w:r>
      <w:r w:rsidR="007F3073">
        <w:rPr>
          <w:lang w:val="en-GB"/>
        </w:rPr>
        <w:t xml:space="preserve"> of this annex.</w:t>
      </w:r>
      <w:r w:rsidRPr="00B04DC3">
        <w:rPr>
          <w:lang w:val="en-GB"/>
        </w:rPr>
        <w:t xml:space="preserve"> The measurement systems shall meet the linearity requirements in paragraph 9.2. and the specifications in paragraph 9.3. (gaseous emissions measurement), paragraph 9.4. (particulate measurement) and in Appendix 3.</w:t>
      </w:r>
    </w:p>
    <w:p w:rsidR="00002BA6" w:rsidRPr="00B04DC3" w:rsidRDefault="00002BA6" w:rsidP="00002BA6">
      <w:pPr>
        <w:pStyle w:val="para"/>
        <w:rPr>
          <w:lang w:val="en-GB"/>
        </w:rPr>
      </w:pPr>
      <w:r w:rsidRPr="00B04DC3">
        <w:rPr>
          <w:lang w:val="en-GB"/>
        </w:rPr>
        <w:tab/>
        <w:t xml:space="preserve">Other systems or analyzers may be approved by the </w:t>
      </w:r>
      <w:r w:rsidR="007F3073">
        <w:rPr>
          <w:lang w:val="en-GB"/>
        </w:rPr>
        <w:t>T</w:t>
      </w:r>
      <w:r w:rsidR="007F3073" w:rsidRPr="00B04DC3">
        <w:rPr>
          <w:lang w:val="en-GB"/>
        </w:rPr>
        <w:t xml:space="preserve">ype </w:t>
      </w:r>
      <w:r w:rsidR="007F3073">
        <w:rPr>
          <w:lang w:val="en-GB"/>
        </w:rPr>
        <w:t>A</w:t>
      </w:r>
      <w:r w:rsidR="007F3073" w:rsidRPr="00B04DC3">
        <w:rPr>
          <w:lang w:val="en-GB"/>
        </w:rPr>
        <w:t xml:space="preserve">pproval </w:t>
      </w:r>
      <w:r w:rsidR="007F3073">
        <w:rPr>
          <w:lang w:val="en-GB"/>
        </w:rPr>
        <w:t>A</w:t>
      </w:r>
      <w:r w:rsidR="007F3073" w:rsidRPr="00B04DC3">
        <w:rPr>
          <w:lang w:val="en-GB"/>
        </w:rPr>
        <w:t>uthority</w:t>
      </w:r>
      <w:r w:rsidRPr="00B04DC3">
        <w:rPr>
          <w:lang w:val="en-GB"/>
        </w:rPr>
        <w:t>, if it is found that they yield equivalent results in accordance with paragraph 5.1.1.</w:t>
      </w:r>
    </w:p>
    <w:p w:rsidR="00002BA6" w:rsidRPr="00B04DC3" w:rsidRDefault="00002BA6" w:rsidP="00002BA6">
      <w:pPr>
        <w:pStyle w:val="para"/>
        <w:rPr>
          <w:lang w:val="en-GB"/>
        </w:rPr>
      </w:pPr>
      <w:r w:rsidRPr="00B04DC3">
        <w:rPr>
          <w:lang w:val="en-GB"/>
        </w:rPr>
        <w:t>5.1.1.</w:t>
      </w:r>
      <w:r w:rsidRPr="00B04DC3">
        <w:rPr>
          <w:lang w:val="en-GB"/>
        </w:rPr>
        <w:tab/>
        <w:t>Equivalency</w:t>
      </w:r>
    </w:p>
    <w:p w:rsidR="00002BA6" w:rsidRPr="00B04DC3" w:rsidRDefault="00002BA6" w:rsidP="00002BA6">
      <w:pPr>
        <w:pStyle w:val="para"/>
        <w:rPr>
          <w:lang w:val="en-GB"/>
        </w:rPr>
      </w:pPr>
      <w:r w:rsidRPr="00B04DC3">
        <w:rPr>
          <w:lang w:val="en-GB"/>
        </w:rPr>
        <w:tab/>
        <w:t>The determination of system equivalency shall be based on a seven-sample pair (or larger) correlation study between the system under consideration and one of the systems of this annex.</w:t>
      </w:r>
    </w:p>
    <w:p w:rsidR="00002BA6" w:rsidRPr="00B04DC3" w:rsidRDefault="00002BA6" w:rsidP="00002BA6">
      <w:pPr>
        <w:pStyle w:val="para"/>
        <w:rPr>
          <w:lang w:val="en-GB"/>
        </w:rPr>
      </w:pPr>
      <w:r w:rsidRPr="00B04DC3">
        <w:rPr>
          <w:lang w:val="en-GB"/>
        </w:rPr>
        <w:tab/>
        <w:t xml:space="preserve">"Results"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 4, paragraph A.4.3., obtained under the laboratory test cell and the engine conditions described above. Outliers shall be determined in accordance with ISO 5725 and excluded from the database. The systems to be used for correlation testing shall be subject to the approval by the </w:t>
      </w:r>
      <w:r w:rsidR="00A70635">
        <w:rPr>
          <w:lang w:val="en-GB"/>
        </w:rPr>
        <w:t>T</w:t>
      </w:r>
      <w:r w:rsidR="00A70635" w:rsidRPr="00B04DC3">
        <w:rPr>
          <w:lang w:val="en-GB"/>
        </w:rPr>
        <w:t xml:space="preserve">ype </w:t>
      </w:r>
      <w:r w:rsidR="00A70635">
        <w:rPr>
          <w:lang w:val="en-GB"/>
        </w:rPr>
        <w:t>A</w:t>
      </w:r>
      <w:r w:rsidRPr="00B04DC3">
        <w:rPr>
          <w:lang w:val="en-GB"/>
        </w:rPr>
        <w:t xml:space="preserve">pproval </w:t>
      </w:r>
      <w:r w:rsidR="00A70635">
        <w:rPr>
          <w:lang w:val="en-GB"/>
        </w:rPr>
        <w:t>A</w:t>
      </w:r>
      <w:r w:rsidR="00A70635" w:rsidRPr="00B04DC3">
        <w:rPr>
          <w:lang w:val="en-GB"/>
        </w:rPr>
        <w:t>uthority</w:t>
      </w:r>
      <w:r w:rsidRPr="00B04DC3">
        <w:rPr>
          <w:lang w:val="en-GB"/>
        </w:rPr>
        <w:t>.</w:t>
      </w:r>
    </w:p>
    <w:p w:rsidR="00002BA6" w:rsidRPr="00B04DC3" w:rsidRDefault="00002BA6" w:rsidP="00002BA6">
      <w:pPr>
        <w:pStyle w:val="para"/>
        <w:rPr>
          <w:lang w:val="en-GB"/>
        </w:rPr>
      </w:pPr>
      <w:r w:rsidRPr="00B04DC3">
        <w:rPr>
          <w:lang w:val="en-GB"/>
        </w:rPr>
        <w:t>5.2.</w:t>
      </w:r>
      <w:r w:rsidRPr="00B04DC3">
        <w:rPr>
          <w:lang w:val="en-GB"/>
        </w:rPr>
        <w:tab/>
        <w:t>Engine family</w:t>
      </w:r>
    </w:p>
    <w:p w:rsidR="00002BA6" w:rsidRPr="00B04DC3" w:rsidRDefault="00002BA6" w:rsidP="00002BA6">
      <w:pPr>
        <w:pStyle w:val="para"/>
        <w:rPr>
          <w:lang w:val="en-GB"/>
        </w:rPr>
      </w:pPr>
      <w:r w:rsidRPr="00B04DC3">
        <w:rPr>
          <w:lang w:val="en-GB"/>
        </w:rPr>
        <w:t>5.2.1.</w:t>
      </w:r>
      <w:r w:rsidRPr="00B04DC3">
        <w:rPr>
          <w:lang w:val="en-GB"/>
        </w:rPr>
        <w:tab/>
        <w:t>General</w:t>
      </w:r>
    </w:p>
    <w:p w:rsidR="00002BA6" w:rsidRPr="00B04DC3" w:rsidRDefault="00002BA6" w:rsidP="00002BA6">
      <w:pPr>
        <w:pStyle w:val="para"/>
        <w:rPr>
          <w:lang w:val="en-GB"/>
        </w:rPr>
      </w:pPr>
      <w:r w:rsidRPr="00B04DC3">
        <w:rPr>
          <w:lang w:val="en-GB"/>
        </w:rPr>
        <w:tab/>
        <w:t xml:space="preserve">An engine family is characterized by design parameters. These shall be common to all engines within the family. The engine manufacturer may decide which engines belong to an engine family, as long as the membership criteria listed in paragraph 5.2.3. </w:t>
      </w:r>
      <w:r w:rsidR="007F3073">
        <w:rPr>
          <w:lang w:val="en-GB"/>
        </w:rPr>
        <w:t xml:space="preserve">of this annex </w:t>
      </w:r>
      <w:r w:rsidRPr="00B04DC3">
        <w:rPr>
          <w:lang w:val="en-GB"/>
        </w:rPr>
        <w:t xml:space="preserve">are respected. The engine family shall be approved by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xml:space="preserve">. The manufacturer shall provide to the </w:t>
      </w:r>
      <w:r w:rsidR="0055021A">
        <w:rPr>
          <w:lang w:val="en-GB"/>
        </w:rPr>
        <w:t>T</w:t>
      </w:r>
      <w:r w:rsidR="0055021A" w:rsidRPr="00B04DC3">
        <w:rPr>
          <w:lang w:val="en-GB"/>
        </w:rPr>
        <w:t xml:space="preserve">ype </w:t>
      </w:r>
      <w:r w:rsidR="0055021A">
        <w:rPr>
          <w:lang w:val="en-GB"/>
        </w:rPr>
        <w:t>A</w:t>
      </w:r>
      <w:r w:rsidR="0055021A" w:rsidRPr="00B04DC3">
        <w:rPr>
          <w:lang w:val="en-GB"/>
        </w:rPr>
        <w:t xml:space="preserve">pproval </w:t>
      </w:r>
      <w:r w:rsidR="0055021A">
        <w:rPr>
          <w:lang w:val="en-GB"/>
        </w:rPr>
        <w:t>A</w:t>
      </w:r>
      <w:r w:rsidR="0055021A" w:rsidRPr="00B04DC3">
        <w:rPr>
          <w:lang w:val="en-GB"/>
        </w:rPr>
        <w:t xml:space="preserve">uthority </w:t>
      </w:r>
      <w:r w:rsidRPr="00B04DC3">
        <w:rPr>
          <w:lang w:val="en-GB"/>
        </w:rPr>
        <w:t>the appropriate information relating to the emission levels of the members of the engine family.</w:t>
      </w:r>
    </w:p>
    <w:p w:rsidR="00002BA6" w:rsidRPr="00B04DC3" w:rsidRDefault="00002BA6" w:rsidP="00002BA6">
      <w:pPr>
        <w:pStyle w:val="para"/>
        <w:rPr>
          <w:lang w:val="en-GB"/>
        </w:rPr>
      </w:pPr>
      <w:r w:rsidRPr="00B04DC3">
        <w:rPr>
          <w:lang w:val="en-GB"/>
        </w:rPr>
        <w:t>5.2.2.</w:t>
      </w:r>
      <w:r w:rsidRPr="00B04DC3">
        <w:rPr>
          <w:lang w:val="en-GB"/>
        </w:rPr>
        <w:tab/>
        <w:t>Special cases</w:t>
      </w:r>
    </w:p>
    <w:p w:rsidR="00002BA6" w:rsidRPr="00B04DC3" w:rsidRDefault="00002BA6" w:rsidP="00002BA6">
      <w:pPr>
        <w:pStyle w:val="para"/>
        <w:rPr>
          <w:lang w:val="en-GB"/>
        </w:rPr>
      </w:pPr>
      <w:r w:rsidRPr="00B04DC3">
        <w:rPr>
          <w:lang w:val="en-GB"/>
        </w:rPr>
        <w:tab/>
        <w:t xml:space="preserve">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It shall then be taken into account as a criterion for creating a new engine family.</w:t>
      </w:r>
    </w:p>
    <w:p w:rsidR="00002BA6" w:rsidRPr="00B04DC3" w:rsidRDefault="00002BA6" w:rsidP="00002BA6">
      <w:pPr>
        <w:pStyle w:val="para"/>
        <w:rPr>
          <w:lang w:val="en-GB"/>
        </w:rPr>
      </w:pPr>
      <w:r w:rsidRPr="00B04DC3">
        <w:rPr>
          <w:lang w:val="en-GB"/>
        </w:rPr>
        <w:tab/>
        <w:t xml:space="preserve">In case of devices or features, which are not listed in paragraph 5.2.3. </w:t>
      </w:r>
      <w:r w:rsidR="007F3073">
        <w:rPr>
          <w:lang w:val="en-GB"/>
        </w:rPr>
        <w:t xml:space="preserve">below </w:t>
      </w:r>
      <w:r w:rsidRPr="00B04DC3">
        <w:rPr>
          <w:lang w:val="en-GB"/>
        </w:rPr>
        <w:t xml:space="preserve">and which have a strong influence on the level of emissions, this equipment shall be identified by the manufacturer on the basis of good engineering practice, and shall be notified to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It shall then be taken into account as a criterion for creating a new engine family.</w:t>
      </w:r>
    </w:p>
    <w:p w:rsidR="00002BA6" w:rsidRPr="00B04DC3" w:rsidRDefault="00002BA6" w:rsidP="00002BA6">
      <w:pPr>
        <w:pStyle w:val="para"/>
        <w:rPr>
          <w:lang w:val="en-GB"/>
        </w:rPr>
      </w:pPr>
      <w:r w:rsidRPr="00B04DC3">
        <w:rPr>
          <w:lang w:val="en-GB"/>
        </w:rPr>
        <w:tab/>
        <w:t>In addition to the parameters listed in paragraph 5.2.3.</w:t>
      </w:r>
      <w:r w:rsidR="007F3073">
        <w:rPr>
          <w:lang w:val="en-GB"/>
        </w:rPr>
        <w:t xml:space="preserve"> below</w:t>
      </w:r>
      <w:r w:rsidRPr="00B04DC3">
        <w:rPr>
          <w:lang w:val="en-GB"/>
        </w:rPr>
        <w:t>, the manufacturer may introduce additional criteria allowing the definition of families of more restricted size. These parameters are not necessarily parameters that have an influence on the level of emissions.</w:t>
      </w:r>
    </w:p>
    <w:p w:rsidR="00002BA6" w:rsidRPr="00B04DC3" w:rsidRDefault="00002BA6" w:rsidP="00002BA6">
      <w:pPr>
        <w:pStyle w:val="para"/>
        <w:rPr>
          <w:lang w:val="en-GB"/>
        </w:rPr>
      </w:pPr>
      <w:r w:rsidRPr="00B04DC3">
        <w:rPr>
          <w:lang w:val="en-GB"/>
        </w:rPr>
        <w:t>5.2.3.</w:t>
      </w:r>
      <w:r w:rsidRPr="00B04DC3">
        <w:rPr>
          <w:lang w:val="en-GB"/>
        </w:rPr>
        <w:tab/>
        <w:t>Parameters defining the engine family</w:t>
      </w:r>
    </w:p>
    <w:p w:rsidR="00002BA6" w:rsidRPr="00B04DC3" w:rsidRDefault="00002BA6" w:rsidP="00B20576">
      <w:pPr>
        <w:pStyle w:val="para"/>
        <w:spacing w:after="80"/>
        <w:rPr>
          <w:lang w:val="en-GB"/>
        </w:rPr>
      </w:pPr>
      <w:r w:rsidRPr="00B04DC3">
        <w:rPr>
          <w:lang w:val="en-GB"/>
        </w:rPr>
        <w:t>5.2.3.1.</w:t>
      </w:r>
      <w:r w:rsidRPr="00B04DC3">
        <w:rPr>
          <w:lang w:val="en-GB"/>
        </w:rPr>
        <w:tab/>
        <w:t>Combustion cycle</w:t>
      </w:r>
    </w:p>
    <w:p w:rsidR="00002BA6" w:rsidRPr="00B04DC3" w:rsidRDefault="00002BA6" w:rsidP="00002BA6">
      <w:pPr>
        <w:pStyle w:val="a"/>
        <w:rPr>
          <w:lang w:val="en-GB"/>
        </w:rPr>
      </w:pPr>
      <w:r w:rsidRPr="00B04DC3">
        <w:rPr>
          <w:lang w:val="en-GB"/>
        </w:rPr>
        <w:t>(a)</w:t>
      </w:r>
      <w:r w:rsidRPr="00B04DC3">
        <w:rPr>
          <w:lang w:val="en-GB"/>
        </w:rPr>
        <w:tab/>
        <w:t>2-stroke cycle;</w:t>
      </w:r>
    </w:p>
    <w:p w:rsidR="00002BA6" w:rsidRPr="00B04DC3" w:rsidRDefault="00002BA6" w:rsidP="00002BA6">
      <w:pPr>
        <w:pStyle w:val="a"/>
        <w:rPr>
          <w:lang w:val="en-GB"/>
        </w:rPr>
      </w:pPr>
      <w:r w:rsidRPr="00B04DC3">
        <w:rPr>
          <w:lang w:val="en-GB"/>
        </w:rPr>
        <w:t>(b)</w:t>
      </w:r>
      <w:r w:rsidRPr="00B04DC3">
        <w:rPr>
          <w:lang w:val="en-GB"/>
        </w:rPr>
        <w:tab/>
        <w:t>4-stroke cycle;</w:t>
      </w:r>
    </w:p>
    <w:p w:rsidR="00002BA6" w:rsidRPr="00B04DC3" w:rsidRDefault="00002BA6" w:rsidP="00002BA6">
      <w:pPr>
        <w:pStyle w:val="a"/>
        <w:rPr>
          <w:lang w:val="en-GB"/>
        </w:rPr>
      </w:pPr>
      <w:r w:rsidRPr="00B04DC3">
        <w:rPr>
          <w:lang w:val="en-GB"/>
        </w:rPr>
        <w:t>(c)</w:t>
      </w:r>
      <w:r w:rsidRPr="00B04DC3">
        <w:rPr>
          <w:lang w:val="en-GB"/>
        </w:rPr>
        <w:tab/>
        <w:t>Rotary engine;</w:t>
      </w:r>
    </w:p>
    <w:p w:rsidR="00002BA6" w:rsidRPr="00B04DC3" w:rsidRDefault="00002BA6" w:rsidP="00002BA6">
      <w:pPr>
        <w:pStyle w:val="a"/>
        <w:rPr>
          <w:lang w:val="en-GB"/>
        </w:rPr>
      </w:pPr>
      <w:r w:rsidRPr="00B04DC3">
        <w:rPr>
          <w:lang w:val="en-GB"/>
        </w:rPr>
        <w:t>(d)</w:t>
      </w:r>
      <w:r w:rsidRPr="00B04DC3">
        <w:rPr>
          <w:lang w:val="en-GB"/>
        </w:rPr>
        <w:tab/>
        <w:t>Others</w:t>
      </w:r>
      <w:bookmarkStart w:id="438" w:name="_Toc66871734"/>
      <w:bookmarkStart w:id="439" w:name="_Toc66951791"/>
      <w:bookmarkStart w:id="440" w:name="_Toc66953215"/>
      <w:r w:rsidRPr="00B04DC3">
        <w:rPr>
          <w:lang w:val="en-GB"/>
        </w:rPr>
        <w:t>.</w:t>
      </w:r>
    </w:p>
    <w:p w:rsidR="00002BA6" w:rsidRPr="00B04DC3" w:rsidRDefault="00002BA6" w:rsidP="00B20576">
      <w:pPr>
        <w:pStyle w:val="para"/>
        <w:spacing w:after="80"/>
        <w:rPr>
          <w:lang w:val="en-GB"/>
        </w:rPr>
      </w:pPr>
      <w:r w:rsidRPr="00B04DC3">
        <w:rPr>
          <w:lang w:val="en-GB"/>
        </w:rPr>
        <w:t>5.2.3.2.</w:t>
      </w:r>
      <w:r w:rsidRPr="00B04DC3">
        <w:rPr>
          <w:lang w:val="en-GB"/>
        </w:rPr>
        <w:tab/>
        <w:t>Configuration of the cylinders</w:t>
      </w:r>
    </w:p>
    <w:p w:rsidR="00002BA6" w:rsidRPr="00B04DC3" w:rsidRDefault="00002BA6" w:rsidP="00B20576">
      <w:pPr>
        <w:pStyle w:val="para"/>
        <w:spacing w:after="80"/>
        <w:rPr>
          <w:lang w:val="en-GB"/>
        </w:rPr>
      </w:pPr>
      <w:r w:rsidRPr="00B04DC3">
        <w:rPr>
          <w:lang w:val="en-GB"/>
        </w:rPr>
        <w:t>5.2.3.2.1.</w:t>
      </w:r>
      <w:r w:rsidRPr="00B04DC3">
        <w:rPr>
          <w:lang w:val="en-GB"/>
        </w:rPr>
        <w:tab/>
        <w:t>Position of the cylinders in the block</w:t>
      </w:r>
    </w:p>
    <w:p w:rsidR="00002BA6" w:rsidRPr="00B04DC3" w:rsidRDefault="00002BA6" w:rsidP="00002BA6">
      <w:pPr>
        <w:pStyle w:val="a"/>
        <w:rPr>
          <w:lang w:val="en-GB"/>
        </w:rPr>
      </w:pPr>
      <w:r w:rsidRPr="00B04DC3">
        <w:rPr>
          <w:lang w:val="en-GB"/>
        </w:rPr>
        <w:t>(a)</w:t>
      </w:r>
      <w:r w:rsidRPr="00B04DC3">
        <w:rPr>
          <w:lang w:val="en-GB"/>
        </w:rPr>
        <w:tab/>
        <w:t>V;</w:t>
      </w:r>
    </w:p>
    <w:p w:rsidR="00002BA6" w:rsidRPr="00B04DC3" w:rsidRDefault="00002BA6" w:rsidP="00002BA6">
      <w:pPr>
        <w:pStyle w:val="a"/>
        <w:rPr>
          <w:lang w:val="en-GB"/>
        </w:rPr>
      </w:pPr>
      <w:r w:rsidRPr="00B04DC3">
        <w:rPr>
          <w:lang w:val="en-GB"/>
        </w:rPr>
        <w:t>(b)</w:t>
      </w:r>
      <w:r w:rsidRPr="00B04DC3">
        <w:rPr>
          <w:lang w:val="en-GB"/>
        </w:rPr>
        <w:tab/>
        <w:t>In line;</w:t>
      </w:r>
    </w:p>
    <w:p w:rsidR="00002BA6" w:rsidRPr="00B04DC3" w:rsidRDefault="00002BA6" w:rsidP="00002BA6">
      <w:pPr>
        <w:pStyle w:val="a"/>
        <w:rPr>
          <w:lang w:val="en-GB"/>
        </w:rPr>
      </w:pPr>
      <w:r w:rsidRPr="00B04DC3">
        <w:rPr>
          <w:lang w:val="en-GB"/>
        </w:rPr>
        <w:t>(c)</w:t>
      </w:r>
      <w:r w:rsidRPr="00B04DC3">
        <w:rPr>
          <w:lang w:val="en-GB"/>
        </w:rPr>
        <w:tab/>
        <w:t>Radial;</w:t>
      </w:r>
    </w:p>
    <w:p w:rsidR="00002BA6" w:rsidRPr="00B04DC3" w:rsidRDefault="00002BA6" w:rsidP="00002BA6">
      <w:pPr>
        <w:pStyle w:val="a"/>
        <w:rPr>
          <w:lang w:val="en-GB"/>
        </w:rPr>
      </w:pPr>
      <w:r w:rsidRPr="00B04DC3">
        <w:rPr>
          <w:lang w:val="en-GB"/>
        </w:rPr>
        <w:t>(d)</w:t>
      </w:r>
      <w:r w:rsidRPr="00B04DC3">
        <w:rPr>
          <w:lang w:val="en-GB"/>
        </w:rPr>
        <w:tab/>
        <w:t>Others (F, W, etc.).</w:t>
      </w:r>
    </w:p>
    <w:p w:rsidR="00002BA6" w:rsidRPr="00B04DC3" w:rsidRDefault="00002BA6" w:rsidP="00002BA6">
      <w:pPr>
        <w:pStyle w:val="para"/>
        <w:rPr>
          <w:lang w:val="en-GB"/>
        </w:rPr>
      </w:pPr>
      <w:r w:rsidRPr="00B04DC3">
        <w:rPr>
          <w:lang w:val="en-GB"/>
        </w:rPr>
        <w:t>5.2.3.2.2.</w:t>
      </w:r>
      <w:r w:rsidRPr="00B04DC3">
        <w:rPr>
          <w:lang w:val="en-GB"/>
        </w:rPr>
        <w:tab/>
        <w:t>Relative position of the cylinders</w:t>
      </w:r>
    </w:p>
    <w:p w:rsidR="00002BA6" w:rsidRPr="00B04DC3" w:rsidRDefault="00002BA6" w:rsidP="00002BA6">
      <w:pPr>
        <w:pStyle w:val="para"/>
        <w:rPr>
          <w:lang w:val="en-GB"/>
        </w:rPr>
      </w:pPr>
      <w:r w:rsidRPr="00B04DC3">
        <w:rPr>
          <w:lang w:val="en-GB"/>
        </w:rPr>
        <w:tab/>
        <w:t>Engines with the same block may belong to the same family as long as their bore center-to-center dimensions are the same.</w:t>
      </w:r>
    </w:p>
    <w:p w:rsidR="00002BA6" w:rsidRPr="00B04DC3" w:rsidRDefault="00002BA6" w:rsidP="00B20576">
      <w:pPr>
        <w:pStyle w:val="para"/>
        <w:spacing w:after="80"/>
        <w:rPr>
          <w:lang w:val="en-GB"/>
        </w:rPr>
      </w:pPr>
      <w:r w:rsidRPr="00B04DC3">
        <w:rPr>
          <w:lang w:val="en-GB"/>
        </w:rPr>
        <w:t>5.2.3.3.</w:t>
      </w:r>
      <w:r w:rsidRPr="00B04DC3">
        <w:rPr>
          <w:lang w:val="en-GB"/>
        </w:rPr>
        <w:tab/>
        <w:t>Main cooling medium</w:t>
      </w:r>
    </w:p>
    <w:p w:rsidR="00002BA6" w:rsidRPr="00B04DC3" w:rsidRDefault="00002BA6" w:rsidP="00002BA6">
      <w:pPr>
        <w:pStyle w:val="a"/>
        <w:rPr>
          <w:lang w:val="en-GB"/>
        </w:rPr>
      </w:pPr>
      <w:r w:rsidRPr="00B04DC3">
        <w:rPr>
          <w:lang w:val="en-GB"/>
        </w:rPr>
        <w:t>(a)</w:t>
      </w:r>
      <w:r w:rsidRPr="00B04DC3">
        <w:rPr>
          <w:lang w:val="en-GB"/>
        </w:rPr>
        <w:tab/>
        <w:t>Air;</w:t>
      </w:r>
    </w:p>
    <w:p w:rsidR="00002BA6" w:rsidRPr="00B04DC3" w:rsidRDefault="00002BA6" w:rsidP="00002BA6">
      <w:pPr>
        <w:pStyle w:val="a"/>
        <w:rPr>
          <w:lang w:val="en-GB"/>
        </w:rPr>
      </w:pPr>
      <w:r w:rsidRPr="00B04DC3">
        <w:rPr>
          <w:lang w:val="en-GB"/>
        </w:rPr>
        <w:t>(b)</w:t>
      </w:r>
      <w:r w:rsidRPr="00B04DC3">
        <w:rPr>
          <w:lang w:val="en-GB"/>
        </w:rPr>
        <w:tab/>
        <w:t>Water;</w:t>
      </w:r>
    </w:p>
    <w:p w:rsidR="00002BA6" w:rsidRPr="00B04DC3" w:rsidRDefault="00002BA6" w:rsidP="00002BA6">
      <w:pPr>
        <w:pStyle w:val="a"/>
        <w:rPr>
          <w:lang w:val="en-GB"/>
        </w:rPr>
      </w:pPr>
      <w:r w:rsidRPr="00B04DC3">
        <w:rPr>
          <w:lang w:val="en-GB"/>
        </w:rPr>
        <w:t>(c)</w:t>
      </w:r>
      <w:r w:rsidRPr="00B04DC3">
        <w:rPr>
          <w:lang w:val="en-GB"/>
        </w:rPr>
        <w:tab/>
        <w:t>Oil.</w:t>
      </w:r>
    </w:p>
    <w:p w:rsidR="00002BA6" w:rsidRPr="00B04DC3" w:rsidRDefault="00002BA6" w:rsidP="00B20576">
      <w:pPr>
        <w:pStyle w:val="para"/>
        <w:spacing w:after="80"/>
        <w:rPr>
          <w:lang w:val="en-GB"/>
        </w:rPr>
      </w:pPr>
      <w:r w:rsidRPr="00B04DC3">
        <w:rPr>
          <w:lang w:val="en-GB"/>
        </w:rPr>
        <w:t>5.2.3.4.</w:t>
      </w:r>
      <w:r w:rsidRPr="00B04DC3">
        <w:rPr>
          <w:lang w:val="en-GB"/>
        </w:rPr>
        <w:tab/>
        <w:t>Individual cylinder displacement</w:t>
      </w:r>
    </w:p>
    <w:p w:rsidR="00002BA6" w:rsidRPr="00B04DC3" w:rsidRDefault="00002BA6" w:rsidP="00B20576">
      <w:pPr>
        <w:pStyle w:val="para"/>
        <w:spacing w:after="80"/>
        <w:rPr>
          <w:lang w:val="en-GB"/>
        </w:rPr>
      </w:pPr>
      <w:r w:rsidRPr="00B04DC3">
        <w:rPr>
          <w:lang w:val="en-GB"/>
        </w:rPr>
        <w:t>5.2.3.4.1.</w:t>
      </w:r>
      <w:r w:rsidRPr="00B04DC3">
        <w:rPr>
          <w:lang w:val="en-GB"/>
        </w:rPr>
        <w:tab/>
        <w:t>Engine with a unit cylinder displacement ≥  0.75 dm³</w:t>
      </w:r>
    </w:p>
    <w:p w:rsidR="00002BA6" w:rsidRPr="00B04DC3" w:rsidRDefault="00002BA6" w:rsidP="00002BA6">
      <w:pPr>
        <w:pStyle w:val="para"/>
        <w:rPr>
          <w:lang w:val="en-GB"/>
        </w:rPr>
      </w:pPr>
      <w:r w:rsidRPr="00B04DC3">
        <w:rPr>
          <w:lang w:val="en-GB"/>
        </w:rPr>
        <w:tab/>
        <w:t>In order for engines with a unit cylinder displacement of ≥  0.75 dm³ to be considered to belong to the same engine family, the spread of their individual cylinder displacements shall not exceed 15 per cent of the largest individual cylinder displacement within the family.</w:t>
      </w:r>
    </w:p>
    <w:p w:rsidR="00002BA6" w:rsidRPr="00B04DC3" w:rsidRDefault="00002BA6" w:rsidP="00B20576">
      <w:pPr>
        <w:pStyle w:val="para"/>
        <w:spacing w:after="80"/>
        <w:rPr>
          <w:lang w:val="en-GB"/>
        </w:rPr>
      </w:pPr>
      <w:r w:rsidRPr="00B04DC3">
        <w:rPr>
          <w:lang w:val="en-GB"/>
        </w:rPr>
        <w:t>5.2.3.4.2.</w:t>
      </w:r>
      <w:r w:rsidRPr="00B04DC3">
        <w:rPr>
          <w:lang w:val="en-GB"/>
        </w:rPr>
        <w:tab/>
        <w:t>Engine with a unit cylinder displacement &lt; 0.75 dm³</w:t>
      </w:r>
    </w:p>
    <w:p w:rsidR="00002BA6" w:rsidRPr="00B04DC3" w:rsidRDefault="00002BA6" w:rsidP="00002BA6">
      <w:pPr>
        <w:pStyle w:val="para"/>
        <w:rPr>
          <w:lang w:val="en-GB"/>
        </w:rPr>
      </w:pPr>
      <w:r w:rsidRPr="00B04DC3">
        <w:rPr>
          <w:lang w:val="en-GB"/>
        </w:rPr>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rsidR="00002BA6" w:rsidRPr="00B04DC3" w:rsidRDefault="00002BA6" w:rsidP="00A70635">
      <w:pPr>
        <w:pStyle w:val="para"/>
        <w:keepNext/>
        <w:keepLines/>
        <w:spacing w:after="80"/>
        <w:rPr>
          <w:lang w:val="en-GB"/>
        </w:rPr>
      </w:pPr>
      <w:r w:rsidRPr="00B04DC3">
        <w:rPr>
          <w:lang w:val="en-GB"/>
        </w:rPr>
        <w:t>5.2.3.4.3.</w:t>
      </w:r>
      <w:r w:rsidRPr="00B04DC3">
        <w:rPr>
          <w:lang w:val="en-GB"/>
        </w:rPr>
        <w:tab/>
        <w:t>Engine with other unit cylinder displacement limits</w:t>
      </w:r>
    </w:p>
    <w:p w:rsidR="00002BA6" w:rsidRPr="00B04DC3" w:rsidRDefault="00002BA6" w:rsidP="00002BA6">
      <w:pPr>
        <w:pStyle w:val="para"/>
        <w:rPr>
          <w:lang w:val="en-GB"/>
        </w:rPr>
      </w:pPr>
      <w:r w:rsidRPr="00B04DC3">
        <w:rPr>
          <w:lang w:val="en-GB"/>
        </w:rPr>
        <w:tab/>
        <w:t xml:space="preserve">Engines with an individual cylinder displacement that exceeds the limits defined in paragraphs 5.2.3.4.1. and 5.2.3.4.2. </w:t>
      </w:r>
      <w:r w:rsidR="007F3073">
        <w:rPr>
          <w:lang w:val="en-GB"/>
        </w:rPr>
        <w:t xml:space="preserve">of this annex </w:t>
      </w:r>
      <w:r w:rsidRPr="00B04DC3">
        <w:rPr>
          <w:lang w:val="en-GB"/>
        </w:rPr>
        <w:t xml:space="preserve">may be considered to belong to the same family with the approval of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The approval shall be based on technical elements (calculations, simulations, experimental results etc.) showing that exceeding the limits does not have a significant influence on the exhaust emissions.</w:t>
      </w:r>
    </w:p>
    <w:p w:rsidR="00002BA6" w:rsidRPr="00B04DC3" w:rsidRDefault="00002BA6" w:rsidP="00002BA6">
      <w:pPr>
        <w:pStyle w:val="para"/>
        <w:rPr>
          <w:lang w:val="en-GB"/>
        </w:rPr>
      </w:pPr>
      <w:r w:rsidRPr="00B04DC3">
        <w:rPr>
          <w:lang w:val="en-GB"/>
        </w:rPr>
        <w:t>5.2.3.5.</w:t>
      </w:r>
      <w:r w:rsidRPr="00B04DC3">
        <w:rPr>
          <w:lang w:val="en-GB"/>
        </w:rPr>
        <w:tab/>
        <w:t>Method of air aspiration</w:t>
      </w:r>
    </w:p>
    <w:p w:rsidR="00002BA6" w:rsidRPr="00B04DC3" w:rsidRDefault="00002BA6" w:rsidP="00002BA6">
      <w:pPr>
        <w:pStyle w:val="a"/>
        <w:rPr>
          <w:lang w:val="en-GB"/>
        </w:rPr>
      </w:pPr>
      <w:r w:rsidRPr="00B04DC3">
        <w:rPr>
          <w:lang w:val="en-GB"/>
        </w:rPr>
        <w:t>(a)</w:t>
      </w:r>
      <w:r w:rsidRPr="00B04DC3">
        <w:rPr>
          <w:lang w:val="en-GB"/>
        </w:rPr>
        <w:tab/>
        <w:t>Naturally aspirated;</w:t>
      </w:r>
    </w:p>
    <w:p w:rsidR="00002BA6" w:rsidRPr="00B04DC3" w:rsidRDefault="00002BA6" w:rsidP="00002BA6">
      <w:pPr>
        <w:pStyle w:val="a"/>
        <w:rPr>
          <w:lang w:val="en-GB"/>
        </w:rPr>
      </w:pPr>
      <w:r w:rsidRPr="00B04DC3">
        <w:rPr>
          <w:lang w:val="en-GB"/>
        </w:rPr>
        <w:t>(b)</w:t>
      </w:r>
      <w:r w:rsidRPr="00B04DC3">
        <w:rPr>
          <w:lang w:val="en-GB"/>
        </w:rPr>
        <w:tab/>
        <w:t>Pressure charged;</w:t>
      </w:r>
    </w:p>
    <w:p w:rsidR="00002BA6" w:rsidRPr="00B04DC3" w:rsidRDefault="00002BA6" w:rsidP="00002BA6">
      <w:pPr>
        <w:pStyle w:val="a"/>
        <w:rPr>
          <w:lang w:val="en-GB"/>
        </w:rPr>
      </w:pPr>
      <w:r w:rsidRPr="00B04DC3">
        <w:rPr>
          <w:lang w:val="en-GB"/>
        </w:rPr>
        <w:t>(c)</w:t>
      </w:r>
      <w:r w:rsidRPr="00B04DC3">
        <w:rPr>
          <w:lang w:val="en-GB"/>
        </w:rPr>
        <w:tab/>
        <w:t>Pressure charged with charge cooler.</w:t>
      </w:r>
    </w:p>
    <w:p w:rsidR="00002BA6" w:rsidRPr="00B04DC3" w:rsidRDefault="00002BA6" w:rsidP="00002BA6">
      <w:pPr>
        <w:pStyle w:val="para"/>
        <w:rPr>
          <w:lang w:val="en-GB"/>
        </w:rPr>
      </w:pPr>
      <w:r w:rsidRPr="00B04DC3">
        <w:rPr>
          <w:lang w:val="en-GB"/>
        </w:rPr>
        <w:t>5.2.3.6.</w:t>
      </w:r>
      <w:r w:rsidRPr="00B04DC3">
        <w:rPr>
          <w:lang w:val="en-GB"/>
        </w:rPr>
        <w:tab/>
        <w:t>Fuel type</w:t>
      </w:r>
    </w:p>
    <w:p w:rsidR="00002BA6" w:rsidRPr="00B04DC3" w:rsidRDefault="00002BA6" w:rsidP="00002BA6">
      <w:pPr>
        <w:pStyle w:val="a"/>
        <w:rPr>
          <w:lang w:val="en-GB"/>
        </w:rPr>
      </w:pPr>
      <w:r w:rsidRPr="00B04DC3">
        <w:rPr>
          <w:lang w:val="en-GB"/>
        </w:rPr>
        <w:t>(a)</w:t>
      </w:r>
      <w:r w:rsidRPr="00B04DC3">
        <w:rPr>
          <w:lang w:val="en-GB"/>
        </w:rPr>
        <w:tab/>
        <w:t>Diesel;</w:t>
      </w:r>
    </w:p>
    <w:p w:rsidR="00002BA6" w:rsidRPr="00B04DC3" w:rsidRDefault="00002BA6" w:rsidP="00002BA6">
      <w:pPr>
        <w:pStyle w:val="a"/>
        <w:rPr>
          <w:lang w:val="en-GB"/>
        </w:rPr>
      </w:pPr>
      <w:r w:rsidRPr="00B04DC3">
        <w:rPr>
          <w:lang w:val="en-GB"/>
        </w:rPr>
        <w:t>(b)</w:t>
      </w:r>
      <w:r w:rsidRPr="00B04DC3">
        <w:rPr>
          <w:lang w:val="en-GB"/>
        </w:rPr>
        <w:tab/>
        <w:t xml:space="preserve">Natural </w:t>
      </w:r>
      <w:r w:rsidR="007F3073">
        <w:rPr>
          <w:lang w:val="en-GB"/>
        </w:rPr>
        <w:t>G</w:t>
      </w:r>
      <w:r w:rsidR="007F3073" w:rsidRPr="00B04DC3">
        <w:rPr>
          <w:lang w:val="en-GB"/>
        </w:rPr>
        <w:t xml:space="preserve">as </w:t>
      </w:r>
      <w:r w:rsidRPr="00B04DC3">
        <w:rPr>
          <w:lang w:val="en-GB"/>
        </w:rPr>
        <w:t>(NG);</w:t>
      </w:r>
    </w:p>
    <w:p w:rsidR="00002BA6" w:rsidRPr="00B04DC3" w:rsidRDefault="00002BA6" w:rsidP="00002BA6">
      <w:pPr>
        <w:pStyle w:val="a"/>
        <w:rPr>
          <w:lang w:val="en-GB"/>
        </w:rPr>
      </w:pPr>
      <w:r w:rsidRPr="00B04DC3">
        <w:rPr>
          <w:lang w:val="en-GB"/>
        </w:rPr>
        <w:t>(c)</w:t>
      </w:r>
      <w:r w:rsidRPr="00B04DC3">
        <w:rPr>
          <w:lang w:val="en-GB"/>
        </w:rPr>
        <w:tab/>
        <w:t xml:space="preserve">Liquefied </w:t>
      </w:r>
      <w:r w:rsidR="007F3073">
        <w:rPr>
          <w:lang w:val="en-GB"/>
        </w:rPr>
        <w:t>P</w:t>
      </w:r>
      <w:r w:rsidR="007F3073" w:rsidRPr="00B04DC3">
        <w:rPr>
          <w:lang w:val="en-GB"/>
        </w:rPr>
        <w:t xml:space="preserve">etroleum </w:t>
      </w:r>
      <w:r w:rsidR="007F3073">
        <w:rPr>
          <w:lang w:val="en-GB"/>
        </w:rPr>
        <w:t>G</w:t>
      </w:r>
      <w:r w:rsidR="007F3073" w:rsidRPr="00B04DC3">
        <w:rPr>
          <w:lang w:val="en-GB"/>
        </w:rPr>
        <w:t xml:space="preserve">as </w:t>
      </w:r>
      <w:r w:rsidRPr="00B04DC3">
        <w:rPr>
          <w:lang w:val="en-GB"/>
        </w:rPr>
        <w:t>(LPG);</w:t>
      </w:r>
    </w:p>
    <w:p w:rsidR="00002BA6" w:rsidRPr="00B04DC3" w:rsidRDefault="00002BA6" w:rsidP="00002BA6">
      <w:pPr>
        <w:pStyle w:val="a"/>
        <w:rPr>
          <w:lang w:val="en-GB"/>
        </w:rPr>
      </w:pPr>
      <w:r w:rsidRPr="00B04DC3">
        <w:rPr>
          <w:lang w:val="en-GB"/>
        </w:rPr>
        <w:t>(d)</w:t>
      </w:r>
      <w:r w:rsidRPr="00B04DC3">
        <w:rPr>
          <w:lang w:val="en-GB"/>
        </w:rPr>
        <w:tab/>
        <w:t>Ethanol.</w:t>
      </w:r>
    </w:p>
    <w:p w:rsidR="00002BA6" w:rsidRPr="00B04DC3" w:rsidRDefault="00002BA6" w:rsidP="00002BA6">
      <w:pPr>
        <w:pStyle w:val="para"/>
        <w:rPr>
          <w:lang w:val="en-GB"/>
        </w:rPr>
      </w:pPr>
      <w:r w:rsidRPr="00B04DC3">
        <w:rPr>
          <w:lang w:val="en-GB"/>
        </w:rPr>
        <w:t>5.2.3.7.</w:t>
      </w:r>
      <w:r w:rsidRPr="00B04DC3">
        <w:rPr>
          <w:lang w:val="en-GB"/>
        </w:rPr>
        <w:tab/>
        <w:t>Combustion chamber type</w:t>
      </w:r>
    </w:p>
    <w:p w:rsidR="00002BA6" w:rsidRPr="00B04DC3" w:rsidRDefault="00002BA6" w:rsidP="00002BA6">
      <w:pPr>
        <w:pStyle w:val="a"/>
        <w:rPr>
          <w:lang w:val="en-GB"/>
        </w:rPr>
      </w:pPr>
      <w:r w:rsidRPr="00B04DC3">
        <w:rPr>
          <w:lang w:val="en-GB"/>
        </w:rPr>
        <w:t>(a)</w:t>
      </w:r>
      <w:r w:rsidRPr="00B04DC3">
        <w:rPr>
          <w:lang w:val="en-GB"/>
        </w:rPr>
        <w:tab/>
        <w:t>Open chamber;</w:t>
      </w:r>
    </w:p>
    <w:p w:rsidR="00002BA6" w:rsidRPr="00B04DC3" w:rsidRDefault="00002BA6" w:rsidP="00002BA6">
      <w:pPr>
        <w:pStyle w:val="a"/>
        <w:rPr>
          <w:lang w:val="en-GB"/>
        </w:rPr>
      </w:pPr>
      <w:r w:rsidRPr="00B04DC3">
        <w:rPr>
          <w:lang w:val="en-GB"/>
        </w:rPr>
        <w:t>(b)</w:t>
      </w:r>
      <w:r w:rsidRPr="00B04DC3">
        <w:rPr>
          <w:lang w:val="en-GB"/>
        </w:rPr>
        <w:tab/>
        <w:t>Divided chamber;</w:t>
      </w:r>
    </w:p>
    <w:p w:rsidR="00002BA6" w:rsidRPr="00B04DC3" w:rsidRDefault="00002BA6" w:rsidP="00002BA6">
      <w:pPr>
        <w:pStyle w:val="a"/>
        <w:rPr>
          <w:lang w:val="en-GB"/>
        </w:rPr>
      </w:pPr>
      <w:r w:rsidRPr="00B04DC3">
        <w:rPr>
          <w:lang w:val="en-GB"/>
        </w:rPr>
        <w:t>(c)</w:t>
      </w:r>
      <w:r w:rsidRPr="00B04DC3">
        <w:rPr>
          <w:lang w:val="en-GB"/>
        </w:rPr>
        <w:tab/>
        <w:t>Other types.</w:t>
      </w:r>
    </w:p>
    <w:p w:rsidR="00002BA6" w:rsidRPr="00B04DC3" w:rsidRDefault="00002BA6" w:rsidP="00002BA6">
      <w:pPr>
        <w:pStyle w:val="para"/>
        <w:rPr>
          <w:lang w:val="en-GB"/>
        </w:rPr>
      </w:pPr>
      <w:r w:rsidRPr="00B04DC3">
        <w:rPr>
          <w:lang w:val="en-GB"/>
        </w:rPr>
        <w:t>5.2.3.8.</w:t>
      </w:r>
      <w:r w:rsidRPr="00B04DC3">
        <w:rPr>
          <w:lang w:val="en-GB"/>
        </w:rPr>
        <w:tab/>
        <w:t>Ignition type</w:t>
      </w:r>
    </w:p>
    <w:p w:rsidR="00002BA6" w:rsidRPr="00B04DC3" w:rsidRDefault="00002BA6" w:rsidP="00002BA6">
      <w:pPr>
        <w:pStyle w:val="a"/>
        <w:rPr>
          <w:lang w:val="en-GB"/>
        </w:rPr>
      </w:pPr>
      <w:r w:rsidRPr="00B04DC3">
        <w:rPr>
          <w:lang w:val="en-GB"/>
        </w:rPr>
        <w:t>(a)</w:t>
      </w:r>
      <w:r w:rsidRPr="00B04DC3">
        <w:rPr>
          <w:lang w:val="en-GB"/>
        </w:rPr>
        <w:tab/>
        <w:t>Positive ignition;</w:t>
      </w:r>
    </w:p>
    <w:p w:rsidR="00002BA6" w:rsidRPr="00B04DC3" w:rsidRDefault="00002BA6" w:rsidP="00002BA6">
      <w:pPr>
        <w:pStyle w:val="a"/>
        <w:rPr>
          <w:lang w:val="en-GB"/>
        </w:rPr>
      </w:pPr>
      <w:r w:rsidRPr="00B04DC3">
        <w:rPr>
          <w:lang w:val="en-GB"/>
        </w:rPr>
        <w:t>(b)</w:t>
      </w:r>
      <w:r w:rsidRPr="00B04DC3">
        <w:rPr>
          <w:lang w:val="en-GB"/>
        </w:rPr>
        <w:tab/>
        <w:t>Compression ignition.</w:t>
      </w:r>
    </w:p>
    <w:p w:rsidR="00002BA6" w:rsidRPr="00B04DC3" w:rsidRDefault="00002BA6" w:rsidP="00002BA6">
      <w:pPr>
        <w:pStyle w:val="para"/>
        <w:rPr>
          <w:lang w:val="en-GB"/>
        </w:rPr>
      </w:pPr>
      <w:r w:rsidRPr="00B04DC3">
        <w:rPr>
          <w:lang w:val="en-GB"/>
        </w:rPr>
        <w:t>5.2.3.9.</w:t>
      </w:r>
      <w:r w:rsidRPr="00B04DC3">
        <w:rPr>
          <w:lang w:val="en-GB"/>
        </w:rPr>
        <w:tab/>
        <w:t>Valves and porting</w:t>
      </w:r>
    </w:p>
    <w:p w:rsidR="00002BA6" w:rsidRPr="00B04DC3" w:rsidRDefault="00002BA6" w:rsidP="00002BA6">
      <w:pPr>
        <w:pStyle w:val="a"/>
        <w:rPr>
          <w:lang w:val="en-GB"/>
        </w:rPr>
      </w:pPr>
      <w:r w:rsidRPr="00B04DC3">
        <w:rPr>
          <w:lang w:val="en-GB"/>
        </w:rPr>
        <w:t>(a)</w:t>
      </w:r>
      <w:r w:rsidRPr="00B04DC3">
        <w:rPr>
          <w:lang w:val="en-GB"/>
        </w:rPr>
        <w:tab/>
        <w:t>Configuration;</w:t>
      </w:r>
    </w:p>
    <w:p w:rsidR="00002BA6" w:rsidRPr="00B04DC3" w:rsidRDefault="00002BA6" w:rsidP="00002BA6">
      <w:pPr>
        <w:pStyle w:val="a"/>
        <w:rPr>
          <w:lang w:val="en-GB"/>
        </w:rPr>
      </w:pPr>
      <w:r w:rsidRPr="00B04DC3">
        <w:rPr>
          <w:lang w:val="en-GB"/>
        </w:rPr>
        <w:t>(b)</w:t>
      </w:r>
      <w:r w:rsidRPr="00B04DC3">
        <w:rPr>
          <w:lang w:val="en-GB"/>
        </w:rPr>
        <w:tab/>
        <w:t>Number of valves per cylinder.</w:t>
      </w:r>
    </w:p>
    <w:p w:rsidR="00002BA6" w:rsidRPr="00B04DC3" w:rsidRDefault="00002BA6" w:rsidP="00002BA6">
      <w:pPr>
        <w:pStyle w:val="para"/>
        <w:rPr>
          <w:lang w:val="en-GB"/>
        </w:rPr>
      </w:pPr>
      <w:r w:rsidRPr="00B04DC3">
        <w:rPr>
          <w:lang w:val="en-GB"/>
        </w:rPr>
        <w:t>5.2.3.10.</w:t>
      </w:r>
      <w:r w:rsidRPr="00B04DC3">
        <w:rPr>
          <w:lang w:val="en-GB"/>
        </w:rPr>
        <w:tab/>
        <w:t>Fuel supply type</w:t>
      </w:r>
    </w:p>
    <w:p w:rsidR="00002BA6" w:rsidRPr="00B04DC3" w:rsidRDefault="00002BA6" w:rsidP="00002BA6">
      <w:pPr>
        <w:pStyle w:val="a"/>
        <w:rPr>
          <w:lang w:val="en-GB"/>
        </w:rPr>
      </w:pPr>
      <w:r w:rsidRPr="00B04DC3">
        <w:rPr>
          <w:lang w:val="en-GB"/>
        </w:rPr>
        <w:t>(a)</w:t>
      </w:r>
      <w:r w:rsidRPr="00B04DC3">
        <w:rPr>
          <w:lang w:val="en-GB"/>
        </w:rPr>
        <w:tab/>
        <w:t>Liquid fuel supply type:</w:t>
      </w:r>
    </w:p>
    <w:p w:rsidR="00002BA6" w:rsidRPr="00B04DC3" w:rsidRDefault="00002BA6" w:rsidP="00002BA6">
      <w:pPr>
        <w:pStyle w:val="i"/>
        <w:rPr>
          <w:lang w:val="en-GB"/>
        </w:rPr>
      </w:pPr>
      <w:r w:rsidRPr="00B04DC3">
        <w:rPr>
          <w:lang w:val="en-GB"/>
        </w:rPr>
        <w:t>(i)</w:t>
      </w:r>
      <w:r w:rsidRPr="00B04DC3">
        <w:rPr>
          <w:lang w:val="en-GB"/>
        </w:rPr>
        <w:tab/>
        <w:t>Pump and (high pressure) line and injector;</w:t>
      </w:r>
    </w:p>
    <w:p w:rsidR="00002BA6" w:rsidRPr="00B04DC3" w:rsidRDefault="00002BA6" w:rsidP="00002BA6">
      <w:pPr>
        <w:pStyle w:val="i"/>
        <w:rPr>
          <w:lang w:val="en-GB"/>
        </w:rPr>
      </w:pPr>
      <w:r w:rsidRPr="00B04DC3">
        <w:rPr>
          <w:lang w:val="en-GB"/>
        </w:rPr>
        <w:t>(ii)</w:t>
      </w:r>
      <w:r w:rsidRPr="00B04DC3">
        <w:rPr>
          <w:lang w:val="en-GB"/>
        </w:rPr>
        <w:tab/>
        <w:t>In-line or distributor pump;</w:t>
      </w:r>
    </w:p>
    <w:p w:rsidR="00002BA6" w:rsidRPr="00B04DC3" w:rsidRDefault="00002BA6" w:rsidP="00002BA6">
      <w:pPr>
        <w:pStyle w:val="i"/>
        <w:rPr>
          <w:lang w:val="en-GB"/>
        </w:rPr>
      </w:pPr>
      <w:r w:rsidRPr="00B04DC3">
        <w:rPr>
          <w:lang w:val="en-GB"/>
        </w:rPr>
        <w:t>(iii)</w:t>
      </w:r>
      <w:r w:rsidRPr="00B04DC3">
        <w:rPr>
          <w:lang w:val="en-GB"/>
        </w:rPr>
        <w:tab/>
        <w:t>Unit pump or unit injector;</w:t>
      </w:r>
    </w:p>
    <w:p w:rsidR="00002BA6" w:rsidRPr="00B04DC3" w:rsidRDefault="00002BA6" w:rsidP="00002BA6">
      <w:pPr>
        <w:pStyle w:val="i"/>
        <w:rPr>
          <w:lang w:val="en-GB"/>
        </w:rPr>
      </w:pPr>
      <w:r w:rsidRPr="00B04DC3">
        <w:rPr>
          <w:lang w:val="en-GB"/>
        </w:rPr>
        <w:t>(iv)</w:t>
      </w:r>
      <w:r w:rsidRPr="00B04DC3">
        <w:rPr>
          <w:lang w:val="en-GB"/>
        </w:rPr>
        <w:tab/>
        <w:t>Common rail;</w:t>
      </w:r>
    </w:p>
    <w:p w:rsidR="00002BA6" w:rsidRPr="00B04DC3" w:rsidRDefault="00002BA6" w:rsidP="00002BA6">
      <w:pPr>
        <w:pStyle w:val="i"/>
        <w:rPr>
          <w:lang w:val="en-GB"/>
        </w:rPr>
      </w:pPr>
      <w:r w:rsidRPr="00B04DC3">
        <w:rPr>
          <w:lang w:val="en-GB"/>
        </w:rPr>
        <w:t>(v)</w:t>
      </w:r>
      <w:r w:rsidRPr="00B04DC3">
        <w:rPr>
          <w:lang w:val="en-GB"/>
        </w:rPr>
        <w:tab/>
        <w:t>Carburettor(s);</w:t>
      </w:r>
    </w:p>
    <w:p w:rsidR="00002BA6" w:rsidRPr="00B04DC3" w:rsidRDefault="00002BA6" w:rsidP="00002BA6">
      <w:pPr>
        <w:pStyle w:val="i"/>
        <w:rPr>
          <w:lang w:val="en-GB"/>
        </w:rPr>
      </w:pPr>
      <w:r w:rsidRPr="00B04DC3">
        <w:rPr>
          <w:lang w:val="en-GB"/>
        </w:rPr>
        <w:t>(vi)</w:t>
      </w:r>
      <w:r w:rsidRPr="00B04DC3">
        <w:rPr>
          <w:lang w:val="en-GB"/>
        </w:rPr>
        <w:tab/>
        <w:t>Others.</w:t>
      </w:r>
    </w:p>
    <w:p w:rsidR="00002BA6" w:rsidRPr="00B04DC3" w:rsidRDefault="00002BA6" w:rsidP="00002BA6">
      <w:pPr>
        <w:pStyle w:val="a"/>
        <w:rPr>
          <w:lang w:val="en-GB"/>
        </w:rPr>
      </w:pPr>
      <w:r w:rsidRPr="00B04DC3">
        <w:rPr>
          <w:lang w:val="en-GB"/>
        </w:rPr>
        <w:t>(b)</w:t>
      </w:r>
      <w:r w:rsidRPr="00B04DC3">
        <w:rPr>
          <w:lang w:val="en-GB"/>
        </w:rPr>
        <w:tab/>
        <w:t>Gas fuel supply type:</w:t>
      </w:r>
    </w:p>
    <w:p w:rsidR="00002BA6" w:rsidRPr="00B04DC3" w:rsidRDefault="00002BA6" w:rsidP="00002BA6">
      <w:pPr>
        <w:pStyle w:val="i"/>
        <w:rPr>
          <w:lang w:val="en-GB"/>
        </w:rPr>
      </w:pPr>
      <w:r w:rsidRPr="00B04DC3">
        <w:rPr>
          <w:lang w:val="en-GB"/>
        </w:rPr>
        <w:t>(i)</w:t>
      </w:r>
      <w:r w:rsidRPr="00B04DC3">
        <w:rPr>
          <w:lang w:val="en-GB"/>
        </w:rPr>
        <w:tab/>
        <w:t>Gaseous;</w:t>
      </w:r>
    </w:p>
    <w:p w:rsidR="00002BA6" w:rsidRPr="00B04DC3" w:rsidRDefault="00002BA6" w:rsidP="00002BA6">
      <w:pPr>
        <w:pStyle w:val="i"/>
        <w:rPr>
          <w:lang w:val="en-GB"/>
        </w:rPr>
      </w:pPr>
      <w:r w:rsidRPr="00B04DC3">
        <w:rPr>
          <w:lang w:val="en-GB"/>
        </w:rPr>
        <w:t>(ii)</w:t>
      </w:r>
      <w:r w:rsidRPr="00B04DC3">
        <w:rPr>
          <w:lang w:val="en-GB"/>
        </w:rPr>
        <w:tab/>
        <w:t>Liquid;</w:t>
      </w:r>
    </w:p>
    <w:p w:rsidR="00002BA6" w:rsidRPr="00B04DC3" w:rsidRDefault="00002BA6" w:rsidP="00002BA6">
      <w:pPr>
        <w:pStyle w:val="i"/>
        <w:rPr>
          <w:lang w:val="en-GB"/>
        </w:rPr>
      </w:pPr>
      <w:r w:rsidRPr="00B04DC3">
        <w:rPr>
          <w:lang w:val="en-GB"/>
        </w:rPr>
        <w:t>(iii)</w:t>
      </w:r>
      <w:r w:rsidRPr="00B04DC3">
        <w:rPr>
          <w:lang w:val="en-GB"/>
        </w:rPr>
        <w:tab/>
        <w:t>Mixing units;</w:t>
      </w:r>
    </w:p>
    <w:p w:rsidR="00002BA6" w:rsidRPr="00B04DC3" w:rsidRDefault="00002BA6" w:rsidP="00002BA6">
      <w:pPr>
        <w:pStyle w:val="i"/>
        <w:rPr>
          <w:lang w:val="en-GB"/>
        </w:rPr>
      </w:pPr>
      <w:r w:rsidRPr="00B04DC3">
        <w:rPr>
          <w:lang w:val="en-GB"/>
        </w:rPr>
        <w:t>(iv)</w:t>
      </w:r>
      <w:r w:rsidRPr="00B04DC3">
        <w:rPr>
          <w:lang w:val="en-GB"/>
        </w:rPr>
        <w:tab/>
        <w:t>Others;</w:t>
      </w:r>
    </w:p>
    <w:p w:rsidR="00002BA6" w:rsidRPr="00B04DC3" w:rsidRDefault="00002BA6" w:rsidP="00002BA6">
      <w:pPr>
        <w:pStyle w:val="a"/>
        <w:rPr>
          <w:lang w:val="en-GB"/>
        </w:rPr>
      </w:pPr>
      <w:r w:rsidRPr="00B04DC3">
        <w:rPr>
          <w:lang w:val="en-GB"/>
        </w:rPr>
        <w:t>(c)</w:t>
      </w:r>
      <w:r w:rsidRPr="00B04DC3">
        <w:rPr>
          <w:lang w:val="en-GB"/>
        </w:rPr>
        <w:tab/>
        <w:t>Other types.</w:t>
      </w:r>
    </w:p>
    <w:p w:rsidR="00002BA6" w:rsidRPr="00B04DC3" w:rsidRDefault="00002BA6" w:rsidP="00DA09F5">
      <w:pPr>
        <w:pStyle w:val="para"/>
        <w:keepNext/>
        <w:keepLines/>
        <w:rPr>
          <w:lang w:val="en-GB"/>
        </w:rPr>
      </w:pPr>
      <w:r w:rsidRPr="00B04DC3">
        <w:rPr>
          <w:lang w:val="en-GB"/>
        </w:rPr>
        <w:t>5.2.3.11.</w:t>
      </w:r>
      <w:r w:rsidRPr="00B04DC3">
        <w:rPr>
          <w:lang w:val="en-GB"/>
        </w:rPr>
        <w:tab/>
        <w:t>Miscellaneous devices</w:t>
      </w:r>
    </w:p>
    <w:p w:rsidR="00002BA6" w:rsidRPr="00B04DC3" w:rsidRDefault="00002BA6" w:rsidP="00DA09F5">
      <w:pPr>
        <w:pStyle w:val="a"/>
        <w:keepNext/>
        <w:keepLines/>
        <w:rPr>
          <w:lang w:val="en-GB"/>
        </w:rPr>
      </w:pPr>
      <w:r w:rsidRPr="00B04DC3">
        <w:rPr>
          <w:lang w:val="en-GB"/>
        </w:rPr>
        <w:t>(a)</w:t>
      </w:r>
      <w:r w:rsidRPr="00B04DC3">
        <w:rPr>
          <w:lang w:val="en-GB"/>
        </w:rPr>
        <w:tab/>
        <w:t>Exhaust gas recirculation (EGR);</w:t>
      </w:r>
    </w:p>
    <w:p w:rsidR="00002BA6" w:rsidRPr="00B04DC3" w:rsidRDefault="00002BA6" w:rsidP="00002BA6">
      <w:pPr>
        <w:pStyle w:val="a"/>
        <w:rPr>
          <w:lang w:val="en-GB"/>
        </w:rPr>
      </w:pPr>
      <w:r w:rsidRPr="00B04DC3">
        <w:rPr>
          <w:lang w:val="en-GB"/>
        </w:rPr>
        <w:t>(b)</w:t>
      </w:r>
      <w:r w:rsidRPr="00B04DC3">
        <w:rPr>
          <w:lang w:val="en-GB"/>
        </w:rPr>
        <w:tab/>
        <w:t>Water injection;</w:t>
      </w:r>
    </w:p>
    <w:p w:rsidR="00002BA6" w:rsidRPr="00B04DC3" w:rsidRDefault="00002BA6" w:rsidP="00002BA6">
      <w:pPr>
        <w:pStyle w:val="a"/>
        <w:rPr>
          <w:lang w:val="en-GB"/>
        </w:rPr>
      </w:pPr>
      <w:r w:rsidRPr="00B04DC3">
        <w:rPr>
          <w:lang w:val="en-GB"/>
        </w:rPr>
        <w:t>(c)</w:t>
      </w:r>
      <w:r w:rsidRPr="00B04DC3">
        <w:rPr>
          <w:lang w:val="en-GB"/>
        </w:rPr>
        <w:tab/>
        <w:t>Air injection;</w:t>
      </w:r>
    </w:p>
    <w:p w:rsidR="00002BA6" w:rsidRPr="00B04DC3" w:rsidRDefault="00002BA6" w:rsidP="00002BA6">
      <w:pPr>
        <w:pStyle w:val="a"/>
        <w:rPr>
          <w:lang w:val="en-GB"/>
        </w:rPr>
      </w:pPr>
      <w:r w:rsidRPr="00B04DC3">
        <w:rPr>
          <w:lang w:val="en-GB"/>
        </w:rPr>
        <w:t>(d)</w:t>
      </w:r>
      <w:r w:rsidRPr="00B04DC3">
        <w:rPr>
          <w:lang w:val="en-GB"/>
        </w:rPr>
        <w:tab/>
        <w:t>Others.</w:t>
      </w:r>
    </w:p>
    <w:p w:rsidR="00002BA6" w:rsidRPr="00B04DC3" w:rsidRDefault="00002BA6" w:rsidP="00002BA6">
      <w:pPr>
        <w:pStyle w:val="para"/>
        <w:rPr>
          <w:lang w:val="en-GB"/>
        </w:rPr>
      </w:pPr>
      <w:r w:rsidRPr="00B04DC3">
        <w:rPr>
          <w:lang w:val="en-GB"/>
        </w:rPr>
        <w:t>5.2.3.12.</w:t>
      </w:r>
      <w:r w:rsidRPr="00B04DC3">
        <w:rPr>
          <w:lang w:val="en-GB"/>
        </w:rPr>
        <w:tab/>
        <w:t>Electronic control strategy</w:t>
      </w:r>
    </w:p>
    <w:p w:rsidR="00002BA6" w:rsidRPr="00B04DC3" w:rsidRDefault="00002BA6" w:rsidP="00002BA6">
      <w:pPr>
        <w:pStyle w:val="para"/>
        <w:rPr>
          <w:lang w:val="en-GB"/>
        </w:rPr>
      </w:pPr>
      <w:r w:rsidRPr="00B04DC3">
        <w:rPr>
          <w:lang w:val="en-GB"/>
        </w:rPr>
        <w:tab/>
        <w:t>The presence or absence of an electronic control unit (ECU) on the engine is regarded as a basic parameter of the family.</w:t>
      </w:r>
    </w:p>
    <w:p w:rsidR="00002BA6" w:rsidRPr="00B04DC3" w:rsidRDefault="00002BA6" w:rsidP="00002BA6">
      <w:pPr>
        <w:pStyle w:val="para"/>
        <w:rPr>
          <w:lang w:val="en-GB"/>
        </w:rPr>
      </w:pPr>
      <w:r w:rsidRPr="00B04DC3">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rsidR="00002BA6" w:rsidRPr="00B04DC3" w:rsidRDefault="00002BA6" w:rsidP="00002BA6">
      <w:pPr>
        <w:pStyle w:val="para"/>
        <w:rPr>
          <w:lang w:val="en-GB"/>
        </w:rPr>
      </w:pPr>
      <w:r w:rsidRPr="00B04DC3">
        <w:rPr>
          <w:lang w:val="en-GB"/>
        </w:rPr>
        <w:tab/>
        <w:t>These elements can be calculations, simulations, estimations, description of injection parameters, experimental results, etc.</w:t>
      </w:r>
    </w:p>
    <w:p w:rsidR="00002BA6" w:rsidRPr="00B04DC3" w:rsidRDefault="00002BA6" w:rsidP="00002BA6">
      <w:pPr>
        <w:pStyle w:val="para"/>
        <w:rPr>
          <w:lang w:val="en-GB"/>
        </w:rPr>
      </w:pPr>
      <w:r w:rsidRPr="00B04DC3">
        <w:rPr>
          <w:lang w:val="en-GB"/>
        </w:rPr>
        <w:tab/>
        <w:t>Examples of controlled features are:</w:t>
      </w:r>
    </w:p>
    <w:p w:rsidR="00002BA6" w:rsidRPr="00B04DC3" w:rsidRDefault="00002BA6" w:rsidP="00002BA6">
      <w:pPr>
        <w:pStyle w:val="a"/>
        <w:rPr>
          <w:lang w:val="en-GB"/>
        </w:rPr>
      </w:pPr>
      <w:r w:rsidRPr="00B04DC3">
        <w:rPr>
          <w:lang w:val="en-GB"/>
        </w:rPr>
        <w:t>(a)</w:t>
      </w:r>
      <w:r w:rsidRPr="00B04DC3">
        <w:rPr>
          <w:lang w:val="en-GB"/>
        </w:rPr>
        <w:tab/>
        <w:t>Timing;</w:t>
      </w:r>
    </w:p>
    <w:p w:rsidR="00002BA6" w:rsidRPr="00B04DC3" w:rsidRDefault="00002BA6" w:rsidP="00002BA6">
      <w:pPr>
        <w:pStyle w:val="a"/>
        <w:rPr>
          <w:lang w:val="en-GB"/>
        </w:rPr>
      </w:pPr>
      <w:r w:rsidRPr="00B04DC3">
        <w:rPr>
          <w:lang w:val="en-GB"/>
        </w:rPr>
        <w:t>(b)</w:t>
      </w:r>
      <w:r w:rsidRPr="00B04DC3">
        <w:rPr>
          <w:lang w:val="en-GB"/>
        </w:rPr>
        <w:tab/>
        <w:t>Injection pressure;</w:t>
      </w:r>
    </w:p>
    <w:p w:rsidR="00002BA6" w:rsidRPr="00B04DC3" w:rsidRDefault="00002BA6" w:rsidP="00002BA6">
      <w:pPr>
        <w:pStyle w:val="a"/>
        <w:rPr>
          <w:lang w:val="en-GB"/>
        </w:rPr>
      </w:pPr>
      <w:r w:rsidRPr="00B04DC3">
        <w:rPr>
          <w:lang w:val="en-GB"/>
        </w:rPr>
        <w:t>(c)</w:t>
      </w:r>
      <w:r w:rsidRPr="00B04DC3">
        <w:rPr>
          <w:lang w:val="en-GB"/>
        </w:rPr>
        <w:tab/>
        <w:t>Multiple injections;</w:t>
      </w:r>
    </w:p>
    <w:p w:rsidR="00002BA6" w:rsidRPr="00B04DC3" w:rsidRDefault="00002BA6" w:rsidP="00002BA6">
      <w:pPr>
        <w:pStyle w:val="a"/>
        <w:rPr>
          <w:lang w:val="en-GB"/>
        </w:rPr>
      </w:pPr>
      <w:r w:rsidRPr="00B04DC3">
        <w:rPr>
          <w:lang w:val="en-GB"/>
        </w:rPr>
        <w:t>(d)</w:t>
      </w:r>
      <w:r w:rsidRPr="00B04DC3">
        <w:rPr>
          <w:lang w:val="en-GB"/>
        </w:rPr>
        <w:tab/>
        <w:t>Boost pressure;</w:t>
      </w:r>
    </w:p>
    <w:p w:rsidR="00002BA6" w:rsidRPr="00B04DC3" w:rsidRDefault="00002BA6" w:rsidP="00002BA6">
      <w:pPr>
        <w:pStyle w:val="a"/>
        <w:rPr>
          <w:lang w:val="en-GB"/>
        </w:rPr>
      </w:pPr>
      <w:r w:rsidRPr="00B04DC3">
        <w:rPr>
          <w:lang w:val="en-GB"/>
        </w:rPr>
        <w:t>(e)</w:t>
      </w:r>
      <w:r w:rsidRPr="00B04DC3">
        <w:rPr>
          <w:lang w:val="en-GB"/>
        </w:rPr>
        <w:tab/>
        <w:t>VGT;</w:t>
      </w:r>
    </w:p>
    <w:p w:rsidR="00002BA6" w:rsidRPr="00B04DC3" w:rsidRDefault="00002BA6" w:rsidP="00002BA6">
      <w:pPr>
        <w:pStyle w:val="a"/>
        <w:rPr>
          <w:lang w:val="en-GB"/>
        </w:rPr>
      </w:pPr>
      <w:r w:rsidRPr="00B04DC3">
        <w:rPr>
          <w:lang w:val="en-GB"/>
        </w:rPr>
        <w:t>(f)</w:t>
      </w:r>
      <w:r w:rsidRPr="00B04DC3">
        <w:rPr>
          <w:lang w:val="en-GB"/>
        </w:rPr>
        <w:tab/>
        <w:t>EGR.</w:t>
      </w:r>
    </w:p>
    <w:p w:rsidR="00002BA6" w:rsidRPr="00B04DC3" w:rsidRDefault="00002BA6" w:rsidP="00002BA6">
      <w:pPr>
        <w:pStyle w:val="para"/>
        <w:rPr>
          <w:lang w:val="en-GB"/>
        </w:rPr>
      </w:pPr>
      <w:r w:rsidRPr="00B04DC3">
        <w:rPr>
          <w:lang w:val="en-GB"/>
        </w:rPr>
        <w:t>5.2.3.13.</w:t>
      </w:r>
      <w:r w:rsidRPr="00B04DC3">
        <w:rPr>
          <w:lang w:val="en-GB"/>
        </w:rPr>
        <w:tab/>
        <w:t>Exhaust after-treatment systems</w:t>
      </w:r>
    </w:p>
    <w:p w:rsidR="00002BA6" w:rsidRPr="00B04DC3" w:rsidRDefault="00002BA6" w:rsidP="00002BA6">
      <w:pPr>
        <w:pStyle w:val="para"/>
        <w:rPr>
          <w:lang w:val="en-GB"/>
        </w:rPr>
      </w:pPr>
      <w:r w:rsidRPr="00B04DC3">
        <w:rPr>
          <w:lang w:val="en-GB"/>
        </w:rPr>
        <w:tab/>
        <w:t>The function and combination of the following devices are regarded as membership criteria for an engine family:</w:t>
      </w:r>
    </w:p>
    <w:p w:rsidR="00002BA6" w:rsidRPr="00B04DC3" w:rsidRDefault="00002BA6" w:rsidP="00002BA6">
      <w:pPr>
        <w:pStyle w:val="a"/>
        <w:rPr>
          <w:lang w:val="en-GB"/>
        </w:rPr>
      </w:pPr>
      <w:r w:rsidRPr="00B04DC3">
        <w:rPr>
          <w:lang w:val="en-GB"/>
        </w:rPr>
        <w:t>(a)</w:t>
      </w:r>
      <w:r w:rsidRPr="00B04DC3">
        <w:rPr>
          <w:lang w:val="en-GB"/>
        </w:rPr>
        <w:tab/>
        <w:t>Oxidation catalyst;</w:t>
      </w:r>
    </w:p>
    <w:p w:rsidR="00002BA6" w:rsidRPr="00B04DC3" w:rsidRDefault="00002BA6" w:rsidP="00002BA6">
      <w:pPr>
        <w:pStyle w:val="a"/>
        <w:rPr>
          <w:lang w:val="en-GB"/>
        </w:rPr>
      </w:pPr>
      <w:r w:rsidRPr="00B04DC3">
        <w:rPr>
          <w:lang w:val="en-GB"/>
        </w:rPr>
        <w:t>(b)</w:t>
      </w:r>
      <w:r w:rsidRPr="00B04DC3">
        <w:rPr>
          <w:lang w:val="en-GB"/>
        </w:rPr>
        <w:tab/>
        <w:t>Three-way catalyst;</w:t>
      </w:r>
    </w:p>
    <w:p w:rsidR="00002BA6" w:rsidRPr="00B04DC3" w:rsidRDefault="00002BA6" w:rsidP="00002BA6">
      <w:pPr>
        <w:pStyle w:val="a"/>
        <w:rPr>
          <w:lang w:val="en-GB"/>
        </w:rPr>
      </w:pPr>
      <w:r w:rsidRPr="00B04DC3">
        <w:rPr>
          <w:lang w:val="en-GB"/>
        </w:rPr>
        <w:t>(c)</w:t>
      </w:r>
      <w:r w:rsidRPr="00B04DC3">
        <w:rPr>
          <w:lang w:val="en-GB"/>
        </w:rPr>
        <w:tab/>
      </w:r>
      <w:r w:rsidR="007F3073" w:rsidRPr="00B04DC3">
        <w:rPr>
          <w:lang w:val="en-GB"/>
        </w:rPr>
        <w:t>DeNO</w:t>
      </w:r>
      <w:r w:rsidR="007F3073" w:rsidRPr="001829E6">
        <w:rPr>
          <w:vertAlign w:val="subscript"/>
          <w:lang w:val="en-GB"/>
        </w:rPr>
        <w:t>x</w:t>
      </w:r>
      <w:r w:rsidRPr="00B04DC3">
        <w:rPr>
          <w:lang w:val="en-GB"/>
        </w:rPr>
        <w:t xml:space="preserve"> system with selective reduction of NO</w:t>
      </w:r>
      <w:r w:rsidRPr="00B04DC3">
        <w:rPr>
          <w:vertAlign w:val="subscript"/>
          <w:lang w:val="en-GB"/>
        </w:rPr>
        <w:t>x</w:t>
      </w:r>
      <w:r w:rsidRPr="00B04DC3">
        <w:rPr>
          <w:lang w:val="en-GB"/>
        </w:rPr>
        <w:t xml:space="preserve"> (addition of reducing agent);</w:t>
      </w:r>
    </w:p>
    <w:p w:rsidR="00002BA6" w:rsidRPr="00B04DC3" w:rsidRDefault="00002BA6" w:rsidP="00002BA6">
      <w:pPr>
        <w:pStyle w:val="a"/>
        <w:rPr>
          <w:lang w:val="en-GB"/>
        </w:rPr>
      </w:pPr>
      <w:r w:rsidRPr="00B04DC3">
        <w:rPr>
          <w:lang w:val="en-GB"/>
        </w:rPr>
        <w:t>(d)</w:t>
      </w:r>
      <w:r w:rsidRPr="00B04DC3">
        <w:rPr>
          <w:lang w:val="en-GB"/>
        </w:rPr>
        <w:tab/>
        <w:t>Other deNO</w:t>
      </w:r>
      <w:r w:rsidRPr="00B04DC3">
        <w:rPr>
          <w:vertAlign w:val="subscript"/>
          <w:lang w:val="en-GB"/>
        </w:rPr>
        <w:t>x</w:t>
      </w:r>
      <w:r w:rsidRPr="00B04DC3">
        <w:rPr>
          <w:lang w:val="en-GB"/>
        </w:rPr>
        <w:t xml:space="preserve"> systems;</w:t>
      </w:r>
    </w:p>
    <w:p w:rsidR="00002BA6" w:rsidRPr="00B04DC3" w:rsidRDefault="00002BA6" w:rsidP="00002BA6">
      <w:pPr>
        <w:pStyle w:val="a"/>
        <w:rPr>
          <w:lang w:val="en-GB"/>
        </w:rPr>
      </w:pPr>
      <w:r w:rsidRPr="00B04DC3">
        <w:rPr>
          <w:lang w:val="en-GB"/>
        </w:rPr>
        <w:t>(e)</w:t>
      </w:r>
      <w:r w:rsidRPr="00B04DC3">
        <w:rPr>
          <w:lang w:val="en-GB"/>
        </w:rPr>
        <w:tab/>
        <w:t>Particulate trap with passive regeneration;</w:t>
      </w:r>
    </w:p>
    <w:p w:rsidR="00002BA6" w:rsidRPr="00B04DC3" w:rsidRDefault="00002BA6" w:rsidP="00002BA6">
      <w:pPr>
        <w:pStyle w:val="a"/>
        <w:rPr>
          <w:lang w:val="en-GB"/>
        </w:rPr>
      </w:pPr>
      <w:r w:rsidRPr="00B04DC3">
        <w:rPr>
          <w:lang w:val="en-GB"/>
        </w:rPr>
        <w:t>(f)</w:t>
      </w:r>
      <w:r w:rsidRPr="00B04DC3">
        <w:rPr>
          <w:lang w:val="en-GB"/>
        </w:rPr>
        <w:tab/>
        <w:t>Particulate trap with active regeneration ;</w:t>
      </w:r>
    </w:p>
    <w:p w:rsidR="00002BA6" w:rsidRPr="00B04DC3" w:rsidRDefault="00002BA6" w:rsidP="00002BA6">
      <w:pPr>
        <w:pStyle w:val="a"/>
        <w:rPr>
          <w:lang w:val="en-GB"/>
        </w:rPr>
      </w:pPr>
      <w:r w:rsidRPr="00B04DC3">
        <w:rPr>
          <w:lang w:val="en-GB"/>
        </w:rPr>
        <w:t>(g)</w:t>
      </w:r>
      <w:r w:rsidRPr="00B04DC3">
        <w:rPr>
          <w:lang w:val="en-GB"/>
        </w:rPr>
        <w:tab/>
        <w:t>Other particulate traps;</w:t>
      </w:r>
    </w:p>
    <w:p w:rsidR="00002BA6" w:rsidRPr="00B04DC3" w:rsidRDefault="00002BA6" w:rsidP="00002BA6">
      <w:pPr>
        <w:pStyle w:val="a"/>
        <w:rPr>
          <w:lang w:val="en-GB"/>
        </w:rPr>
      </w:pPr>
      <w:r w:rsidRPr="00B04DC3">
        <w:rPr>
          <w:lang w:val="en-GB"/>
        </w:rPr>
        <w:t>(h)</w:t>
      </w:r>
      <w:r w:rsidRPr="00B04DC3">
        <w:rPr>
          <w:lang w:val="en-GB"/>
        </w:rPr>
        <w:tab/>
        <w:t>Other devices.</w:t>
      </w:r>
    </w:p>
    <w:p w:rsidR="00002BA6" w:rsidRPr="00B04DC3" w:rsidRDefault="00002BA6" w:rsidP="00002BA6">
      <w:pPr>
        <w:pStyle w:val="para"/>
        <w:rPr>
          <w:lang w:val="en-GB"/>
        </w:rPr>
      </w:pPr>
      <w:r w:rsidRPr="00B04DC3">
        <w:rPr>
          <w:lang w:val="en-GB"/>
        </w:rPr>
        <w:tab/>
        <w:t>When an engine has been certified without after-treatment system, whether as parent engine or as member of the family, then this engine, when equipped with an oxidation catalyst, may be included in the same engine family, if it does not require different fuel characteristics.</w:t>
      </w:r>
    </w:p>
    <w:p w:rsidR="00002BA6" w:rsidRPr="00B04DC3" w:rsidRDefault="00002BA6" w:rsidP="00002BA6">
      <w:pPr>
        <w:pStyle w:val="para"/>
        <w:rPr>
          <w:lang w:val="en-GB"/>
        </w:rPr>
      </w:pPr>
      <w:r w:rsidRPr="00B04DC3">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rsidR="00002BA6" w:rsidRPr="00B04DC3" w:rsidRDefault="00002BA6" w:rsidP="00002BA6">
      <w:pPr>
        <w:pStyle w:val="para"/>
        <w:rPr>
          <w:lang w:val="en-GB"/>
        </w:rPr>
      </w:pPr>
      <w:r w:rsidRPr="00B04DC3">
        <w:rPr>
          <w:lang w:val="en-GB"/>
        </w:rPr>
        <w:tab/>
        <w:t>When an engine has been certified with after-treatment system, whether as parent engine or as member of a family, whose parent engine is equipped with the same after-treatment system, then this engine, when equipped without after-treatment system, shall not be added to the same engine family.</w:t>
      </w:r>
    </w:p>
    <w:p w:rsidR="00002BA6" w:rsidRPr="00B04DC3" w:rsidRDefault="00002BA6" w:rsidP="00002BA6">
      <w:pPr>
        <w:pStyle w:val="para"/>
        <w:rPr>
          <w:lang w:val="en-GB"/>
        </w:rPr>
      </w:pPr>
      <w:r w:rsidRPr="00B04DC3">
        <w:rPr>
          <w:lang w:val="en-GB"/>
        </w:rPr>
        <w:t>5.2.4.</w:t>
      </w:r>
      <w:r w:rsidRPr="00B04DC3">
        <w:rPr>
          <w:lang w:val="en-GB"/>
        </w:rPr>
        <w:tab/>
        <w:t>Choice of the parent engine</w:t>
      </w:r>
    </w:p>
    <w:p w:rsidR="00002BA6" w:rsidRPr="00B04DC3" w:rsidRDefault="00002BA6" w:rsidP="00002BA6">
      <w:pPr>
        <w:pStyle w:val="para"/>
        <w:rPr>
          <w:lang w:val="en-GB"/>
        </w:rPr>
      </w:pPr>
      <w:r w:rsidRPr="00B04DC3">
        <w:rPr>
          <w:lang w:val="en-GB"/>
        </w:rPr>
        <w:t>5.2.4.1.</w:t>
      </w:r>
      <w:r w:rsidRPr="00B04DC3">
        <w:rPr>
          <w:lang w:val="en-GB"/>
        </w:rPr>
        <w:tab/>
        <w:t>Compression ignition engines</w:t>
      </w:r>
    </w:p>
    <w:p w:rsidR="00002BA6" w:rsidRPr="00B04DC3" w:rsidRDefault="00002BA6" w:rsidP="00002BA6">
      <w:pPr>
        <w:pStyle w:val="para"/>
        <w:rPr>
          <w:lang w:val="en-GB"/>
        </w:rPr>
      </w:pPr>
      <w:r w:rsidRPr="00B04DC3">
        <w:rPr>
          <w:lang w:val="en-GB"/>
        </w:rPr>
        <w:tab/>
        <w:t xml:space="preserve">Once the engine family has been agreed by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rsidR="00002BA6" w:rsidRPr="00B04DC3" w:rsidRDefault="00002BA6" w:rsidP="00002BA6">
      <w:pPr>
        <w:pStyle w:val="para"/>
        <w:rPr>
          <w:lang w:val="en-GB"/>
        </w:rPr>
      </w:pPr>
      <w:r w:rsidRPr="00B04DC3">
        <w:rPr>
          <w:lang w:val="en-GB"/>
        </w:rPr>
        <w:t>5.2.4.2.</w:t>
      </w:r>
      <w:r w:rsidRPr="00B04DC3">
        <w:rPr>
          <w:lang w:val="en-GB"/>
        </w:rPr>
        <w:tab/>
        <w:t>Positive ignition engines</w:t>
      </w:r>
    </w:p>
    <w:p w:rsidR="00002BA6" w:rsidRPr="00B04DC3" w:rsidRDefault="00002BA6" w:rsidP="00002BA6">
      <w:pPr>
        <w:pStyle w:val="para"/>
        <w:rPr>
          <w:lang w:val="en-GB"/>
        </w:rPr>
      </w:pPr>
      <w:r w:rsidRPr="00B04DC3">
        <w:rPr>
          <w:lang w:val="en-GB"/>
        </w:rPr>
        <w:tab/>
        <w:t xml:space="preserve">Once the engine family has been agreed by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rsidR="00002BA6" w:rsidRPr="00B04DC3" w:rsidRDefault="00002BA6" w:rsidP="00002BA6">
      <w:pPr>
        <w:pStyle w:val="a"/>
        <w:rPr>
          <w:lang w:val="en-GB"/>
        </w:rPr>
      </w:pPr>
      <w:r w:rsidRPr="00B04DC3">
        <w:rPr>
          <w:lang w:val="en-GB"/>
        </w:rPr>
        <w:t>(a)</w:t>
      </w:r>
      <w:r w:rsidRPr="00B04DC3">
        <w:rPr>
          <w:lang w:val="en-GB"/>
        </w:rPr>
        <w:tab/>
        <w:t>The highest fuel delivery per stroke at the speed of declared rated power;</w:t>
      </w:r>
    </w:p>
    <w:p w:rsidR="00002BA6" w:rsidRPr="00B04DC3" w:rsidRDefault="00002BA6" w:rsidP="00002BA6">
      <w:pPr>
        <w:pStyle w:val="a"/>
        <w:rPr>
          <w:lang w:val="en-GB"/>
        </w:rPr>
      </w:pPr>
      <w:r w:rsidRPr="00B04DC3">
        <w:rPr>
          <w:lang w:val="en-GB"/>
        </w:rPr>
        <w:t>(b)</w:t>
      </w:r>
      <w:r w:rsidRPr="00B04DC3">
        <w:rPr>
          <w:lang w:val="en-GB"/>
        </w:rPr>
        <w:tab/>
        <w:t>The most advanced spark timing;</w:t>
      </w:r>
    </w:p>
    <w:p w:rsidR="00002BA6" w:rsidRPr="00B04DC3" w:rsidRDefault="00002BA6" w:rsidP="00002BA6">
      <w:pPr>
        <w:pStyle w:val="a"/>
        <w:rPr>
          <w:lang w:val="en-GB"/>
        </w:rPr>
      </w:pPr>
      <w:r w:rsidRPr="00B04DC3">
        <w:rPr>
          <w:lang w:val="en-GB"/>
        </w:rPr>
        <w:t>(c)</w:t>
      </w:r>
      <w:r w:rsidRPr="00B04DC3">
        <w:rPr>
          <w:lang w:val="en-GB"/>
        </w:rPr>
        <w:tab/>
        <w:t>The lowest EGR rate.</w:t>
      </w:r>
    </w:p>
    <w:p w:rsidR="00002BA6" w:rsidRPr="00B04DC3" w:rsidRDefault="00002BA6" w:rsidP="00002BA6">
      <w:pPr>
        <w:pStyle w:val="para"/>
        <w:rPr>
          <w:lang w:val="en-GB"/>
        </w:rPr>
      </w:pPr>
      <w:r w:rsidRPr="00B04DC3">
        <w:rPr>
          <w:lang w:val="en-GB"/>
        </w:rPr>
        <w:t>5.2.4.3.</w:t>
      </w:r>
      <w:r w:rsidRPr="00B04DC3">
        <w:rPr>
          <w:lang w:val="en-GB"/>
        </w:rPr>
        <w:tab/>
        <w:t>Remarks on the choice of the parent engine</w:t>
      </w:r>
    </w:p>
    <w:p w:rsidR="00002BA6" w:rsidRPr="00DA09F5" w:rsidRDefault="00002BA6" w:rsidP="00002BA6">
      <w:pPr>
        <w:pStyle w:val="para"/>
        <w:rPr>
          <w:spacing w:val="-2"/>
          <w:lang w:val="en-GB"/>
        </w:rPr>
      </w:pPr>
      <w:r w:rsidRPr="00DA09F5">
        <w:rPr>
          <w:spacing w:val="-2"/>
          <w:lang w:val="en-GB"/>
        </w:rPr>
        <w:tab/>
        <w:t xml:space="preserve">The </w:t>
      </w:r>
      <w:r w:rsidR="004B53F0" w:rsidRPr="00DA09F5">
        <w:rPr>
          <w:spacing w:val="-2"/>
          <w:lang w:val="en-GB"/>
        </w:rPr>
        <w:t xml:space="preserve">Type Approval Authority </w:t>
      </w:r>
      <w:r w:rsidRPr="00DA09F5">
        <w:rPr>
          <w:spacing w:val="-2"/>
          <w:lang w:val="en-GB"/>
        </w:rPr>
        <w:t>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rsidR="00002BA6" w:rsidRPr="00B04DC3" w:rsidRDefault="00002BA6" w:rsidP="00002BA6">
      <w:pPr>
        <w:pStyle w:val="para"/>
        <w:rPr>
          <w:lang w:val="en-GB"/>
        </w:rPr>
      </w:pPr>
      <w:r w:rsidRPr="00B04DC3">
        <w:rPr>
          <w:lang w:val="en-GB"/>
        </w:rPr>
        <w:tab/>
        <w:t>If engines within the family incorporate other features which may be considered to affect exhaust emissions, these features shall also be identified and taken into account in the selection of the parent engine.</w:t>
      </w:r>
    </w:p>
    <w:p w:rsidR="00002BA6" w:rsidRPr="00B04DC3" w:rsidRDefault="00002BA6" w:rsidP="00002BA6">
      <w:pPr>
        <w:pStyle w:val="para"/>
        <w:rPr>
          <w:lang w:val="en-GB"/>
        </w:rPr>
      </w:pPr>
      <w:r w:rsidRPr="00B04DC3">
        <w:rPr>
          <w:lang w:val="en-GB"/>
        </w:rPr>
        <w:tab/>
        <w:t>If engines within the family meet the same emission values over different useful life periods, this shall be taken into account in the selection of the parent engine.</w:t>
      </w:r>
    </w:p>
    <w:p w:rsidR="00002BA6" w:rsidRPr="00B04DC3" w:rsidRDefault="00002BA6" w:rsidP="00002BA6">
      <w:pPr>
        <w:pStyle w:val="para"/>
        <w:rPr>
          <w:lang w:val="en-GB"/>
        </w:rPr>
      </w:pPr>
      <w:r w:rsidRPr="00B04DC3">
        <w:rPr>
          <w:lang w:val="en-GB"/>
        </w:rPr>
        <w:t>6.</w:t>
      </w:r>
      <w:r w:rsidRPr="00B04DC3">
        <w:rPr>
          <w:lang w:val="en-GB"/>
        </w:rPr>
        <w:tab/>
        <w:t>Test conditions</w:t>
      </w:r>
      <w:bookmarkEnd w:id="438"/>
      <w:bookmarkEnd w:id="439"/>
      <w:bookmarkEnd w:id="440"/>
    </w:p>
    <w:p w:rsidR="00002BA6" w:rsidRPr="00B04DC3" w:rsidRDefault="00002BA6" w:rsidP="00002BA6">
      <w:pPr>
        <w:pStyle w:val="para"/>
        <w:rPr>
          <w:lang w:val="en-GB"/>
        </w:rPr>
      </w:pPr>
      <w:bookmarkStart w:id="441" w:name="_Ref37051329"/>
      <w:bookmarkStart w:id="442" w:name="_Toc66871735"/>
      <w:bookmarkStart w:id="443" w:name="_Toc66951792"/>
      <w:bookmarkStart w:id="444" w:name="_Toc66953216"/>
      <w:r w:rsidRPr="00B04DC3">
        <w:rPr>
          <w:lang w:val="en-GB"/>
        </w:rPr>
        <w:t>6.1.</w:t>
      </w:r>
      <w:r w:rsidRPr="00B04DC3">
        <w:rPr>
          <w:lang w:val="en-GB"/>
        </w:rPr>
        <w:tab/>
        <w:t>Laboratory test conditions</w:t>
      </w:r>
    </w:p>
    <w:p w:rsidR="00002BA6" w:rsidRPr="00B04DC3" w:rsidRDefault="00002BA6" w:rsidP="00002BA6">
      <w:pPr>
        <w:pStyle w:val="para"/>
        <w:rPr>
          <w:lang w:val="en-GB"/>
        </w:rPr>
      </w:pPr>
      <w:r w:rsidRPr="00B04DC3">
        <w:rPr>
          <w:lang w:val="en-GB"/>
        </w:rPr>
        <w:tab/>
        <w:t>The absolute temperature (T</w:t>
      </w:r>
      <w:r w:rsidRPr="00B04DC3">
        <w:rPr>
          <w:vertAlign w:val="subscript"/>
          <w:lang w:val="en-GB"/>
        </w:rPr>
        <w:t>a</w:t>
      </w:r>
      <w:r w:rsidRPr="00B04DC3">
        <w:rPr>
          <w:lang w:val="en-GB"/>
        </w:rPr>
        <w:t>) of the engine intake air expressed in Kelvin, and the dry atmospheric pressure (p</w:t>
      </w:r>
      <w:r w:rsidRPr="00B04DC3">
        <w:rPr>
          <w:vertAlign w:val="subscript"/>
          <w:lang w:val="en-GB"/>
        </w:rPr>
        <w:t>s</w:t>
      </w:r>
      <w:r w:rsidRPr="00B04DC3">
        <w:rPr>
          <w:lang w:val="en-GB"/>
        </w:rPr>
        <w:t>), expressed in kPa shall be measured and the parameter f</w:t>
      </w:r>
      <w:r w:rsidRPr="00B04DC3">
        <w:rPr>
          <w:vertAlign w:val="subscript"/>
          <w:lang w:val="en-GB"/>
        </w:rPr>
        <w:t>a</w:t>
      </w:r>
      <w:r w:rsidRPr="00B04DC3">
        <w:rPr>
          <w:lang w:val="en-GB"/>
        </w:rPr>
        <w:t xml:space="preserve"> shall be determined according to the following provisions. In multi-cylinder engines having distinct groups of intake manifolds, such as in a "Vee" engine configuration, the average temperature of the distinct groups shall be taken. The parameter f</w:t>
      </w:r>
      <w:r w:rsidRPr="00B04DC3">
        <w:rPr>
          <w:vertAlign w:val="subscript"/>
          <w:lang w:val="en-GB"/>
        </w:rPr>
        <w:t>a</w:t>
      </w:r>
      <w:r w:rsidRPr="00B04DC3">
        <w:rPr>
          <w:lang w:val="en-GB"/>
        </w:rPr>
        <w:t xml:space="preserve"> shall be reported with the test results. For better repeatability and reproducibility of the test results, it is recommended that the parameter f</w:t>
      </w:r>
      <w:r w:rsidRPr="00B04DC3">
        <w:rPr>
          <w:vertAlign w:val="subscript"/>
          <w:lang w:val="en-GB"/>
        </w:rPr>
        <w:t>a</w:t>
      </w:r>
      <w:r w:rsidRPr="00B04DC3">
        <w:rPr>
          <w:lang w:val="en-GB"/>
        </w:rPr>
        <w:t xml:space="preserve"> be such that: 0.93  </w:t>
      </w:r>
      <w:r w:rsidRPr="00B04DC3">
        <w:rPr>
          <w:lang w:val="en-GB"/>
        </w:rPr>
        <w:sym w:font="Symbol" w:char="F0A3"/>
      </w:r>
      <w:r w:rsidRPr="00B04DC3">
        <w:rPr>
          <w:lang w:val="en-GB"/>
        </w:rPr>
        <w:t xml:space="preserve">  f</w:t>
      </w:r>
      <w:r w:rsidRPr="00B04DC3">
        <w:rPr>
          <w:vertAlign w:val="subscript"/>
          <w:lang w:val="en-GB"/>
        </w:rPr>
        <w:t>a</w:t>
      </w:r>
      <w:r w:rsidRPr="00B04DC3">
        <w:rPr>
          <w:lang w:val="en-GB"/>
        </w:rPr>
        <w:t xml:space="preserve">  </w:t>
      </w:r>
      <w:r w:rsidRPr="00B04DC3">
        <w:rPr>
          <w:lang w:val="en-GB"/>
        </w:rPr>
        <w:sym w:font="Symbol" w:char="F0A3"/>
      </w:r>
      <w:r w:rsidRPr="00B04DC3">
        <w:rPr>
          <w:lang w:val="en-GB"/>
        </w:rPr>
        <w:t xml:space="preserve">  1.07.</w:t>
      </w:r>
    </w:p>
    <w:p w:rsidR="00002BA6" w:rsidRPr="00B04DC3" w:rsidRDefault="00002BA6" w:rsidP="00002BA6">
      <w:pPr>
        <w:pStyle w:val="a"/>
        <w:rPr>
          <w:lang w:val="en-GB"/>
        </w:rPr>
      </w:pPr>
      <w:r w:rsidRPr="00B04DC3">
        <w:rPr>
          <w:lang w:val="en-GB"/>
        </w:rPr>
        <w:t>(a)</w:t>
      </w:r>
      <w:r w:rsidRPr="00B04DC3">
        <w:rPr>
          <w:lang w:val="en-GB"/>
        </w:rPr>
        <w:tab/>
        <w:t>Compression-ignition engines:</w:t>
      </w:r>
    </w:p>
    <w:p w:rsidR="00002BA6" w:rsidRPr="00B04DC3" w:rsidRDefault="00002BA6" w:rsidP="00002BA6">
      <w:pPr>
        <w:pStyle w:val="para"/>
        <w:rPr>
          <w:lang w:val="en-GB"/>
        </w:rPr>
      </w:pPr>
      <w:r w:rsidRPr="00B04DC3">
        <w:rPr>
          <w:lang w:val="en-GB"/>
        </w:rPr>
        <w:tab/>
      </w:r>
      <w:r w:rsidRPr="00B04DC3">
        <w:rPr>
          <w:lang w:val="en-GB"/>
        </w:rPr>
        <w:tab/>
      </w:r>
      <w:r w:rsidRPr="00B04DC3">
        <w:rPr>
          <w:lang w:val="en-GB"/>
        </w:rPr>
        <w:tab/>
        <w:t>Naturally aspirated and mechanically supercharged engines:</w:t>
      </w:r>
    </w:p>
    <w:p w:rsidR="00002BA6" w:rsidRPr="00DA09F5" w:rsidRDefault="00002BA6" w:rsidP="00002BA6">
      <w:pPr>
        <w:pStyle w:val="a"/>
        <w:tabs>
          <w:tab w:val="right" w:pos="8505"/>
        </w:tabs>
        <w:rPr>
          <w:position w:val="40"/>
          <w:lang w:val="en-GB"/>
        </w:rPr>
      </w:pPr>
      <w:r w:rsidRPr="00B04DC3">
        <w:rPr>
          <w:lang w:val="en-GB"/>
        </w:rPr>
        <w:tab/>
      </w:r>
      <w:r w:rsidR="00A905B7">
        <w:rPr>
          <w:lang w:val="en-GB"/>
        </w:rPr>
      </w:r>
      <w:r w:rsidR="00A905B7">
        <w:rPr>
          <w:lang w:val="en-GB"/>
        </w:rPr>
        <w:pict>
          <v:group id="_x0000_s3771" editas="canvas" style="width:91pt;height:38.5pt;mso-position-horizontal-relative:char;mso-position-vertical-relative:line" coordsize="1820,770">
            <o:lock v:ext="edit" aspectratio="t"/>
            <v:shape id="_x0000_s3772" type="#_x0000_t75" style="position:absolute;width:1820;height:770" o:preferrelative="f">
              <v:fill o:detectmouseclick="t"/>
              <v:path o:extrusionok="t" o:connecttype="none"/>
              <o:lock v:ext="edit" text="t"/>
            </v:shape>
            <v:line id="_x0000_s3773" style="position:absolute" from="565,370" to="798,370" strokeweight=".5pt"/>
            <v:line id="_x0000_s3774" style="position:absolute" from="1148,370" to="1473,370" strokeweight=".5pt"/>
            <v:rect id="_x0000_s3775" style="position:absolute;left:1592;top:27;width:176;height:240;mso-wrap-style:none" filled="f" stroked="f">
              <v:textbox style="mso-fit-shape-to-text:t" inset="0,0,0,0">
                <w:txbxContent>
                  <w:p w:rsidR="00A905B7" w:rsidRDefault="00A905B7">
                    <w:r>
                      <w:rPr>
                        <w:color w:val="000000"/>
                        <w:sz w:val="14"/>
                        <w:szCs w:val="14"/>
                      </w:rPr>
                      <w:t>0.7</w:t>
                    </w:r>
                  </w:p>
                </w:txbxContent>
              </v:textbox>
            </v:rect>
            <v:rect id="_x0000_s3776" style="position:absolute;left:1340;top:135;width:63;height:240;mso-wrap-style:none" filled="f" stroked="f">
              <v:textbox style="mso-fit-shape-to-text:t" inset="0,0,0,0">
                <w:txbxContent>
                  <w:p w:rsidR="00A905B7" w:rsidRDefault="00A905B7">
                    <w:r>
                      <w:rPr>
                        <w:color w:val="000000"/>
                        <w:sz w:val="14"/>
                        <w:szCs w:val="14"/>
                      </w:rPr>
                      <w:t>a</w:t>
                    </w:r>
                  </w:p>
                </w:txbxContent>
              </v:textbox>
            </v:rect>
            <v:rect id="_x0000_s3777" style="position:absolute;left:728;top:530;width:55;height:240;mso-wrap-style:none" filled="f" stroked="f">
              <v:textbox style="mso-fit-shape-to-text:t" inset="0,0,0,0">
                <w:txbxContent>
                  <w:p w:rsidR="00A905B7" w:rsidRDefault="00A905B7">
                    <w:r>
                      <w:rPr>
                        <w:color w:val="000000"/>
                        <w:sz w:val="14"/>
                        <w:szCs w:val="14"/>
                      </w:rPr>
                      <w:t>s</w:t>
                    </w:r>
                  </w:p>
                </w:txbxContent>
              </v:textbox>
            </v:rect>
            <v:rect id="_x0000_s3778" style="position:absolute;left:1165;top:400;width:301;height:240;mso-wrap-style:none" filled="f" stroked="f">
              <v:textbox style="mso-fit-shape-to-text:t" inset="0,0,0,0">
                <w:txbxContent>
                  <w:p w:rsidR="00A905B7" w:rsidRDefault="00A905B7">
                    <w:r>
                      <w:rPr>
                        <w:color w:val="000000"/>
                      </w:rPr>
                      <w:t>298</w:t>
                    </w:r>
                  </w:p>
                </w:txbxContent>
              </v:textbox>
            </v:rect>
            <v:rect id="_x0000_s3779" style="position:absolute;left:581;top:95;width:201;height:240;mso-wrap-style:none" filled="f" stroked="f">
              <v:textbox style="mso-fit-shape-to-text:t" inset="0,0,0,0">
                <w:txbxContent>
                  <w:p w:rsidR="00A905B7" w:rsidRDefault="00A905B7">
                    <w:r>
                      <w:rPr>
                        <w:color w:val="000000"/>
                      </w:rPr>
                      <w:t>99</w:t>
                    </w:r>
                  </w:p>
                </w:txbxContent>
              </v:textbox>
            </v:rect>
            <v:rect id="_x0000_s3780" style="position:absolute;left:150;top:355;width:80;height:240;mso-wrap-style:none" filled="f" stroked="f">
              <v:textbox style="mso-fit-shape-to-text:t" inset="0,0,0,0">
                <w:txbxContent>
                  <w:p w:rsidR="00A905B7" w:rsidRDefault="00A905B7">
                    <w:r>
                      <w:rPr>
                        <w:color w:val="000000"/>
                        <w:sz w:val="18"/>
                        <w:szCs w:val="18"/>
                      </w:rPr>
                      <w:t>a</w:t>
                    </w:r>
                  </w:p>
                </w:txbxContent>
              </v:textbox>
            </v:rect>
            <v:rect id="_x0000_s3781" style="position:absolute;left:1498;top:295;width:77;height:245;mso-wrap-style:none" filled="f" stroked="f">
              <v:textbox style="mso-fit-shape-to-text:t" inset="0,0,0,0">
                <w:txbxContent>
                  <w:p w:rsidR="00A905B7" w:rsidRDefault="00A905B7">
                    <w:r>
                      <w:rPr>
                        <w:rFonts w:ascii="Symbol" w:hAnsi="Symbol" w:cs="Symbol"/>
                        <w:color w:val="000000"/>
                      </w:rPr>
                      <w:t></w:t>
                    </w:r>
                  </w:p>
                </w:txbxContent>
              </v:textbox>
            </v:rect>
            <v:rect id="_x0000_s3782" style="position:absolute;left:1498;top:212;width:77;height:245;mso-wrap-style:none" filled="f" stroked="f">
              <v:textbox style="mso-fit-shape-to-text:t" inset="0,0,0,0">
                <w:txbxContent>
                  <w:p w:rsidR="00A905B7" w:rsidRDefault="00A905B7">
                    <w:r>
                      <w:rPr>
                        <w:rFonts w:ascii="Symbol" w:hAnsi="Symbol" w:cs="Symbol"/>
                        <w:color w:val="000000"/>
                      </w:rPr>
                      <w:t></w:t>
                    </w:r>
                  </w:p>
                </w:txbxContent>
              </v:textbox>
            </v:rect>
            <v:rect id="_x0000_s3783" style="position:absolute;left:1498;top:423;width:77;height:245;mso-wrap-style:none" filled="f" stroked="f">
              <v:textbox style="mso-fit-shape-to-text:t" inset="0,0,0,0">
                <w:txbxContent>
                  <w:p w:rsidR="00A905B7" w:rsidRDefault="00A905B7">
                    <w:r>
                      <w:rPr>
                        <w:rFonts w:ascii="Symbol" w:hAnsi="Symbol" w:cs="Symbol"/>
                        <w:color w:val="000000"/>
                      </w:rPr>
                      <w:t></w:t>
                    </w:r>
                  </w:p>
                </w:txbxContent>
              </v:textbox>
            </v:rect>
            <v:rect id="_x0000_s3784" style="position:absolute;left:1498;top:84;width:77;height:245;mso-wrap-style:none" filled="f" stroked="f">
              <v:textbox style="mso-fit-shape-to-text:t" inset="0,0,0,0">
                <w:txbxContent>
                  <w:p w:rsidR="00A905B7" w:rsidRDefault="00A905B7">
                    <w:r>
                      <w:rPr>
                        <w:rFonts w:ascii="Symbol" w:hAnsi="Symbol" w:cs="Symbol"/>
                        <w:color w:val="000000"/>
                      </w:rPr>
                      <w:t></w:t>
                    </w:r>
                  </w:p>
                </w:txbxContent>
              </v:textbox>
            </v:rect>
            <v:rect id="_x0000_s3785" style="position:absolute;left:1045;top:295;width:77;height:245;mso-wrap-style:none" filled="f" stroked="f">
              <v:textbox style="mso-fit-shape-to-text:t" inset="0,0,0,0">
                <w:txbxContent>
                  <w:p w:rsidR="00A905B7" w:rsidRDefault="00A905B7">
                    <w:r>
                      <w:rPr>
                        <w:rFonts w:ascii="Symbol" w:hAnsi="Symbol" w:cs="Symbol"/>
                        <w:color w:val="000000"/>
                      </w:rPr>
                      <w:t></w:t>
                    </w:r>
                  </w:p>
                </w:txbxContent>
              </v:textbox>
            </v:rect>
            <v:rect id="_x0000_s3786" style="position:absolute;left:1045;top:212;width:77;height:245;mso-wrap-style:none" filled="f" stroked="f">
              <v:textbox style="mso-fit-shape-to-text:t" inset="0,0,0,0">
                <w:txbxContent>
                  <w:p w:rsidR="00A905B7" w:rsidRDefault="00A905B7">
                    <w:r>
                      <w:rPr>
                        <w:rFonts w:ascii="Symbol" w:hAnsi="Symbol" w:cs="Symbol"/>
                        <w:color w:val="000000"/>
                      </w:rPr>
                      <w:t></w:t>
                    </w:r>
                  </w:p>
                </w:txbxContent>
              </v:textbox>
            </v:rect>
            <v:rect id="_x0000_s3787" style="position:absolute;left:1045;top:423;width:77;height:245;mso-wrap-style:none" filled="f" stroked="f">
              <v:textbox style="mso-fit-shape-to-text:t" inset="0,0,0,0">
                <w:txbxContent>
                  <w:p w:rsidR="00A905B7" w:rsidRDefault="00A905B7">
                    <w:r>
                      <w:rPr>
                        <w:rFonts w:ascii="Symbol" w:hAnsi="Symbol" w:cs="Symbol"/>
                        <w:color w:val="000000"/>
                      </w:rPr>
                      <w:t></w:t>
                    </w:r>
                  </w:p>
                </w:txbxContent>
              </v:textbox>
            </v:rect>
            <v:rect id="_x0000_s3788" style="position:absolute;left:1045;top:84;width:77;height:245;mso-wrap-style:none" filled="f" stroked="f">
              <v:textbox style="mso-fit-shape-to-text:t" inset="0,0,0,0">
                <w:txbxContent>
                  <w:p w:rsidR="00A905B7" w:rsidRDefault="00A905B7">
                    <w:r>
                      <w:rPr>
                        <w:rFonts w:ascii="Symbol" w:hAnsi="Symbol" w:cs="Symbol"/>
                        <w:color w:val="000000"/>
                      </w:rPr>
                      <w:t></w:t>
                    </w:r>
                  </w:p>
                </w:txbxContent>
              </v:textbox>
            </v:rect>
            <v:rect id="_x0000_s3789" style="position:absolute;left:823;top:331;width:77;height:245;mso-wrap-style:none" filled="f" stroked="f">
              <v:textbox style="mso-fit-shape-to-text:t" inset="0,0,0,0">
                <w:txbxContent>
                  <w:p w:rsidR="00A905B7" w:rsidRDefault="00A905B7">
                    <w:r>
                      <w:rPr>
                        <w:rFonts w:ascii="Symbol" w:hAnsi="Symbol" w:cs="Symbol"/>
                        <w:color w:val="000000"/>
                      </w:rPr>
                      <w:t></w:t>
                    </w:r>
                  </w:p>
                </w:txbxContent>
              </v:textbox>
            </v:rect>
            <v:rect id="_x0000_s3790" style="position:absolute;left:823;top:176;width:77;height:245;mso-wrap-style:none" filled="f" stroked="f">
              <v:textbox style="mso-fit-shape-to-text:t" inset="0,0,0,0">
                <w:txbxContent>
                  <w:p w:rsidR="00A905B7" w:rsidRDefault="00A905B7">
                    <w:r>
                      <w:rPr>
                        <w:rFonts w:ascii="Symbol" w:hAnsi="Symbol" w:cs="Symbol"/>
                        <w:color w:val="000000"/>
                      </w:rPr>
                      <w:t></w:t>
                    </w:r>
                  </w:p>
                </w:txbxContent>
              </v:textbox>
            </v:rect>
            <v:rect id="_x0000_s3791" style="position:absolute;left:823;top:459;width:77;height:245;mso-wrap-style:none" filled="f" stroked="f">
              <v:textbox style="mso-fit-shape-to-text:t" inset="0,0,0,0">
                <w:txbxContent>
                  <w:p w:rsidR="00A905B7" w:rsidRDefault="00A905B7">
                    <w:r>
                      <w:rPr>
                        <w:rFonts w:ascii="Symbol" w:hAnsi="Symbol" w:cs="Symbol"/>
                        <w:color w:val="000000"/>
                      </w:rPr>
                      <w:t></w:t>
                    </w:r>
                  </w:p>
                </w:txbxContent>
              </v:textbox>
            </v:rect>
            <v:rect id="_x0000_s3792" style="position:absolute;left:823;top:48;width:77;height:245;mso-wrap-style:none" filled="f" stroked="f">
              <v:textbox style="mso-fit-shape-to-text:t" inset="0,0,0,0">
                <w:txbxContent>
                  <w:p w:rsidR="00A905B7" w:rsidRDefault="00A905B7">
                    <w:r>
                      <w:rPr>
                        <w:rFonts w:ascii="Symbol" w:hAnsi="Symbol" w:cs="Symbol"/>
                        <w:color w:val="000000"/>
                      </w:rPr>
                      <w:t></w:t>
                    </w:r>
                  </w:p>
                </w:txbxContent>
              </v:textbox>
            </v:rect>
            <v:rect id="_x0000_s3793" style="position:absolute;left:462;top:331;width:77;height:245;mso-wrap-style:none" filled="f" stroked="f">
              <v:textbox style="mso-fit-shape-to-text:t" inset="0,0,0,0">
                <w:txbxContent>
                  <w:p w:rsidR="00A905B7" w:rsidRDefault="00A905B7">
                    <w:r>
                      <w:rPr>
                        <w:rFonts w:ascii="Symbol" w:hAnsi="Symbol" w:cs="Symbol"/>
                        <w:color w:val="000000"/>
                      </w:rPr>
                      <w:t></w:t>
                    </w:r>
                  </w:p>
                </w:txbxContent>
              </v:textbox>
            </v:rect>
            <v:rect id="_x0000_s3794" style="position:absolute;left:462;top:176;width:77;height:245;mso-wrap-style:none" filled="f" stroked="f">
              <v:textbox style="mso-fit-shape-to-text:t" inset="0,0,0,0">
                <w:txbxContent>
                  <w:p w:rsidR="00A905B7" w:rsidRDefault="00A905B7">
                    <w:r>
                      <w:rPr>
                        <w:rFonts w:ascii="Symbol" w:hAnsi="Symbol" w:cs="Symbol"/>
                        <w:color w:val="000000"/>
                      </w:rPr>
                      <w:t></w:t>
                    </w:r>
                  </w:p>
                </w:txbxContent>
              </v:textbox>
            </v:rect>
            <v:rect id="_x0000_s3795" style="position:absolute;left:462;top:459;width:77;height:245;mso-wrap-style:none" filled="f" stroked="f">
              <v:textbox style="mso-fit-shape-to-text:t" inset="0,0,0,0">
                <w:txbxContent>
                  <w:p w:rsidR="00A905B7" w:rsidRDefault="00A905B7">
                    <w:r>
                      <w:rPr>
                        <w:rFonts w:ascii="Symbol" w:hAnsi="Symbol" w:cs="Symbol"/>
                        <w:color w:val="000000"/>
                      </w:rPr>
                      <w:t></w:t>
                    </w:r>
                  </w:p>
                </w:txbxContent>
              </v:textbox>
            </v:rect>
            <v:rect id="_x0000_s3796" style="position:absolute;left:462;top:48;width:77;height:245;mso-wrap-style:none" filled="f" stroked="f">
              <v:textbox style="mso-fit-shape-to-text:t" inset="0,0,0,0">
                <w:txbxContent>
                  <w:p w:rsidR="00A905B7" w:rsidRDefault="00A905B7">
                    <w:r>
                      <w:rPr>
                        <w:rFonts w:ascii="Symbol" w:hAnsi="Symbol" w:cs="Symbol"/>
                        <w:color w:val="000000"/>
                      </w:rPr>
                      <w:t></w:t>
                    </w:r>
                  </w:p>
                </w:txbxContent>
              </v:textbox>
            </v:rect>
            <v:rect id="_x0000_s3797" style="position:absolute;left:923;top:23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3798" style="position:absolute;left:319;top:23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3799" style="position:absolute;left:1201;top:100;width:123;height:240;mso-wrap-style:none" filled="f" stroked="f">
              <v:textbox style="mso-fit-shape-to-text:t" inset="0,0,0,0">
                <w:txbxContent>
                  <w:p w:rsidR="00A905B7" w:rsidRPr="001A4D7F" w:rsidRDefault="00A905B7">
                    <w:r w:rsidRPr="001A4D7F">
                      <w:rPr>
                        <w:iCs/>
                        <w:color w:val="000000"/>
                      </w:rPr>
                      <w:t>T</w:t>
                    </w:r>
                  </w:p>
                </w:txbxContent>
              </v:textbox>
            </v:rect>
            <v:rect id="_x0000_s3800" style="position:absolute;left:607;top:405;width:101;height:240;mso-wrap-style:none" filled="f" stroked="f">
              <v:textbox style="mso-fit-shape-to-text:t" inset="0,0,0,0">
                <w:txbxContent>
                  <w:p w:rsidR="00A905B7" w:rsidRPr="001A4D7F" w:rsidRDefault="00A905B7">
                    <w:r w:rsidRPr="001A4D7F">
                      <w:rPr>
                        <w:iCs/>
                        <w:color w:val="000000"/>
                      </w:rPr>
                      <w:t>p</w:t>
                    </w:r>
                  </w:p>
                </w:txbxContent>
              </v:textbox>
            </v:rect>
            <v:rect id="_x0000_s3801" style="position:absolute;left:74;top:242;width:67;height:240;mso-wrap-style:none" filled="f" stroked="f">
              <v:textbox style="mso-fit-shape-to-text:t" inset="0,0,0,0">
                <w:txbxContent>
                  <w:p w:rsidR="00A905B7" w:rsidRPr="001A4D7F" w:rsidRDefault="00A905B7">
                    <w:r w:rsidRPr="001A4D7F">
                      <w:rPr>
                        <w:iCs/>
                        <w:color w:val="000000"/>
                      </w:rPr>
                      <w:t>f</w:t>
                    </w:r>
                  </w:p>
                </w:txbxContent>
              </v:textbox>
            </v:rect>
            <w10:wrap type="none"/>
            <w10:anchorlock/>
          </v:group>
        </w:pict>
      </w:r>
      <w:r w:rsidRPr="00DA09F5">
        <w:rPr>
          <w:position w:val="40"/>
          <w:lang w:val="en-GB"/>
        </w:rPr>
        <w:tab/>
        <w:t>(1)</w:t>
      </w:r>
    </w:p>
    <w:p w:rsidR="00002BA6" w:rsidRPr="00B04DC3" w:rsidRDefault="00002BA6" w:rsidP="00002BA6">
      <w:pPr>
        <w:pStyle w:val="a"/>
        <w:tabs>
          <w:tab w:val="right" w:pos="8505"/>
        </w:tabs>
        <w:rPr>
          <w:szCs w:val="24"/>
          <w:lang w:val="en-GB"/>
        </w:rPr>
      </w:pPr>
      <w:r w:rsidRPr="00B04DC3">
        <w:rPr>
          <w:szCs w:val="24"/>
          <w:lang w:val="en-GB"/>
        </w:rPr>
        <w:tab/>
      </w:r>
      <w:r w:rsidRPr="00B04DC3">
        <w:rPr>
          <w:lang w:val="en-GB"/>
        </w:rPr>
        <w:t>Turbocharged</w:t>
      </w:r>
      <w:r w:rsidRPr="00B04DC3">
        <w:rPr>
          <w:szCs w:val="24"/>
          <w:lang w:val="en-GB"/>
        </w:rPr>
        <w:t xml:space="preserve"> engines with or without cooling of the intake air:</w:t>
      </w:r>
    </w:p>
    <w:p w:rsidR="00002BA6" w:rsidRPr="00DA09F5" w:rsidRDefault="00002BA6" w:rsidP="00002BA6">
      <w:pPr>
        <w:pStyle w:val="a"/>
        <w:tabs>
          <w:tab w:val="right" w:pos="8505"/>
        </w:tabs>
        <w:rPr>
          <w:position w:val="40"/>
          <w:lang w:val="en-GB"/>
        </w:rPr>
      </w:pPr>
      <w:r w:rsidRPr="00B04DC3">
        <w:rPr>
          <w:lang w:val="en-GB"/>
        </w:rPr>
        <w:tab/>
      </w:r>
      <w:r w:rsidR="00A905B7">
        <w:rPr>
          <w:lang w:val="en-GB"/>
        </w:rPr>
      </w:r>
      <w:r w:rsidR="00A905B7">
        <w:rPr>
          <w:lang w:val="en-GB"/>
        </w:rPr>
        <w:pict>
          <v:group id="_x0000_s3802" editas="canvas" style="width:101pt;height:40.5pt;mso-position-horizontal-relative:char;mso-position-vertical-relative:line" coordsize="2020,810">
            <o:lock v:ext="edit" aspectratio="t"/>
            <v:shape id="_x0000_s3803" type="#_x0000_t75" style="position:absolute;width:2020;height:810" o:preferrelative="f">
              <v:fill o:detectmouseclick="t"/>
              <v:path o:extrusionok="t" o:connecttype="none"/>
              <o:lock v:ext="edit" text="t"/>
            </v:shape>
            <v:line id="_x0000_s3804" style="position:absolute" from="565,410" to="798,410" strokeweight=".5pt"/>
            <v:line id="_x0000_s3805" style="position:absolute" from="1374,410" to="1699,410" strokeweight=".5pt"/>
            <v:rect id="_x0000_s3806" style="position:absolute;left:1805;top:67;width:176;height:240;mso-wrap-style:none" filled="f" stroked="f">
              <v:textbox style="mso-fit-shape-to-text:t" inset="0,0,0,0">
                <w:txbxContent>
                  <w:p w:rsidR="00A905B7" w:rsidRDefault="00A905B7">
                    <w:r>
                      <w:rPr>
                        <w:color w:val="000000"/>
                        <w:sz w:val="14"/>
                        <w:szCs w:val="14"/>
                      </w:rPr>
                      <w:t>1.5</w:t>
                    </w:r>
                  </w:p>
                </w:txbxContent>
              </v:textbox>
            </v:rect>
            <v:rect id="_x0000_s3807" style="position:absolute;left:1566;top:185;width:63;height:240;mso-wrap-style:none" filled="f" stroked="f">
              <v:textbox style="mso-fit-shape-to-text:t" inset="0,0,0,0">
                <w:txbxContent>
                  <w:p w:rsidR="00A905B7" w:rsidRDefault="00A905B7">
                    <w:r>
                      <w:rPr>
                        <w:color w:val="000000"/>
                        <w:sz w:val="14"/>
                        <w:szCs w:val="14"/>
                      </w:rPr>
                      <w:t>a</w:t>
                    </w:r>
                  </w:p>
                </w:txbxContent>
              </v:textbox>
            </v:rect>
            <v:rect id="_x0000_s3808" style="position:absolute;left:917;top:31;width:176;height:240;mso-wrap-style:none" filled="f" stroked="f">
              <v:textbox style="mso-fit-shape-to-text:t" inset="0,0,0,0">
                <w:txbxContent>
                  <w:p w:rsidR="00A905B7" w:rsidRDefault="00A905B7">
                    <w:r>
                      <w:rPr>
                        <w:color w:val="000000"/>
                        <w:sz w:val="14"/>
                        <w:szCs w:val="14"/>
                      </w:rPr>
                      <w:t>0.7</w:t>
                    </w:r>
                  </w:p>
                </w:txbxContent>
              </v:textbox>
            </v:rect>
            <v:rect id="_x0000_s3809" style="position:absolute;left:728;top:570;width:55;height:240;mso-wrap-style:none" filled="f" stroked="f">
              <v:textbox style="mso-fit-shape-to-text:t" inset="0,0,0,0">
                <w:txbxContent>
                  <w:p w:rsidR="00A905B7" w:rsidRDefault="00A905B7">
                    <w:r>
                      <w:rPr>
                        <w:color w:val="000000"/>
                        <w:sz w:val="14"/>
                        <w:szCs w:val="14"/>
                      </w:rPr>
                      <w:t>s</w:t>
                    </w:r>
                  </w:p>
                </w:txbxContent>
              </v:textbox>
            </v:rect>
            <v:rect id="_x0000_s3810" style="position:absolute;left:1391;top:440;width:301;height:240;mso-wrap-style:none" filled="f" stroked="f">
              <v:textbox style="mso-fit-shape-to-text:t" inset="0,0,0,0">
                <w:txbxContent>
                  <w:p w:rsidR="00A905B7" w:rsidRDefault="00A905B7">
                    <w:r>
                      <w:rPr>
                        <w:color w:val="000000"/>
                      </w:rPr>
                      <w:t>298</w:t>
                    </w:r>
                  </w:p>
                </w:txbxContent>
              </v:textbox>
            </v:rect>
            <v:rect id="_x0000_s3811" style="position:absolute;left:581;top:135;width:201;height:240;mso-wrap-style:none" filled="f" stroked="f">
              <v:textbox style="mso-fit-shape-to-text:t" inset="0,0,0,0">
                <w:txbxContent>
                  <w:p w:rsidR="00A905B7" w:rsidRDefault="00A905B7">
                    <w:r>
                      <w:rPr>
                        <w:color w:val="000000"/>
                      </w:rPr>
                      <w:t>99</w:t>
                    </w:r>
                  </w:p>
                </w:txbxContent>
              </v:textbox>
            </v:rect>
            <v:rect id="_x0000_s3812" style="position:absolute;left:150;top:395;width:80;height:240;mso-wrap-style:none" filled="f" stroked="f">
              <v:textbox style="mso-fit-shape-to-text:t" inset="0,0,0,0">
                <w:txbxContent>
                  <w:p w:rsidR="00A905B7" w:rsidRDefault="00A905B7">
                    <w:r>
                      <w:rPr>
                        <w:color w:val="000000"/>
                        <w:sz w:val="18"/>
                        <w:szCs w:val="18"/>
                      </w:rPr>
                      <w:t>a</w:t>
                    </w:r>
                  </w:p>
                </w:txbxContent>
              </v:textbox>
            </v:rect>
            <v:rect id="_x0000_s3813" style="position:absolute;left:1724;top:335;width:77;height:245;mso-wrap-style:none" filled="f" stroked="f">
              <v:textbox style="mso-fit-shape-to-text:t" inset="0,0,0,0">
                <w:txbxContent>
                  <w:p w:rsidR="00A905B7" w:rsidRDefault="00A905B7">
                    <w:r>
                      <w:rPr>
                        <w:rFonts w:ascii="Symbol" w:hAnsi="Symbol" w:cs="Symbol"/>
                        <w:color w:val="000000"/>
                      </w:rPr>
                      <w:t></w:t>
                    </w:r>
                  </w:p>
                </w:txbxContent>
              </v:textbox>
            </v:rect>
            <v:rect id="_x0000_s3814" style="position:absolute;left:1724;top:252;width:77;height:245;mso-wrap-style:none" filled="f" stroked="f">
              <v:textbox style="mso-fit-shape-to-text:t" inset="0,0,0,0">
                <w:txbxContent>
                  <w:p w:rsidR="00A905B7" w:rsidRDefault="00A905B7">
                    <w:r>
                      <w:rPr>
                        <w:rFonts w:ascii="Symbol" w:hAnsi="Symbol" w:cs="Symbol"/>
                        <w:color w:val="000000"/>
                      </w:rPr>
                      <w:t></w:t>
                    </w:r>
                  </w:p>
                </w:txbxContent>
              </v:textbox>
            </v:rect>
            <v:rect id="_x0000_s3815" style="position:absolute;left:1724;top:463;width:77;height:245;mso-wrap-style:none" filled="f" stroked="f">
              <v:textbox style="mso-fit-shape-to-text:t" inset="0,0,0,0">
                <w:txbxContent>
                  <w:p w:rsidR="00A905B7" w:rsidRDefault="00A905B7">
                    <w:r>
                      <w:rPr>
                        <w:rFonts w:ascii="Symbol" w:hAnsi="Symbol" w:cs="Symbol"/>
                        <w:color w:val="000000"/>
                      </w:rPr>
                      <w:t></w:t>
                    </w:r>
                  </w:p>
                </w:txbxContent>
              </v:textbox>
            </v:rect>
            <v:rect id="_x0000_s3816" style="position:absolute;left:1724;top:124;width:77;height:245;mso-wrap-style:none" filled="f" stroked="f">
              <v:textbox style="mso-fit-shape-to-text:t" inset="0,0,0,0">
                <w:txbxContent>
                  <w:p w:rsidR="00A905B7" w:rsidRDefault="00A905B7">
                    <w:r>
                      <w:rPr>
                        <w:rFonts w:ascii="Symbol" w:hAnsi="Symbol" w:cs="Symbol"/>
                        <w:color w:val="000000"/>
                      </w:rPr>
                      <w:t></w:t>
                    </w:r>
                  </w:p>
                </w:txbxContent>
              </v:textbox>
            </v:rect>
            <v:rect id="_x0000_s3817" style="position:absolute;left:1271;top:335;width:77;height:245;mso-wrap-style:none" filled="f" stroked="f">
              <v:textbox style="mso-fit-shape-to-text:t" inset="0,0,0,0">
                <w:txbxContent>
                  <w:p w:rsidR="00A905B7" w:rsidRDefault="00A905B7">
                    <w:r>
                      <w:rPr>
                        <w:rFonts w:ascii="Symbol" w:hAnsi="Symbol" w:cs="Symbol"/>
                        <w:color w:val="000000"/>
                      </w:rPr>
                      <w:t></w:t>
                    </w:r>
                  </w:p>
                </w:txbxContent>
              </v:textbox>
            </v:rect>
            <v:rect id="_x0000_s3818" style="position:absolute;left:1271;top:252;width:77;height:245;mso-wrap-style:none" filled="f" stroked="f">
              <v:textbox style="mso-fit-shape-to-text:t" inset="0,0,0,0">
                <w:txbxContent>
                  <w:p w:rsidR="00A905B7" w:rsidRDefault="00A905B7">
                    <w:r>
                      <w:rPr>
                        <w:rFonts w:ascii="Symbol" w:hAnsi="Symbol" w:cs="Symbol"/>
                        <w:color w:val="000000"/>
                      </w:rPr>
                      <w:t></w:t>
                    </w:r>
                  </w:p>
                </w:txbxContent>
              </v:textbox>
            </v:rect>
            <v:rect id="_x0000_s3819" style="position:absolute;left:1271;top:463;width:77;height:245;mso-wrap-style:none" filled="f" stroked="f">
              <v:textbox style="mso-fit-shape-to-text:t" inset="0,0,0,0">
                <w:txbxContent>
                  <w:p w:rsidR="00A905B7" w:rsidRDefault="00A905B7">
                    <w:r>
                      <w:rPr>
                        <w:rFonts w:ascii="Symbol" w:hAnsi="Symbol" w:cs="Symbol"/>
                        <w:color w:val="000000"/>
                      </w:rPr>
                      <w:t></w:t>
                    </w:r>
                  </w:p>
                </w:txbxContent>
              </v:textbox>
            </v:rect>
            <v:rect id="_x0000_s3820" style="position:absolute;left:1271;top:124;width:77;height:245;mso-wrap-style:none" filled="f" stroked="f">
              <v:textbox style="mso-fit-shape-to-text:t" inset="0,0,0,0">
                <w:txbxContent>
                  <w:p w:rsidR="00A905B7" w:rsidRDefault="00A905B7">
                    <w:r>
                      <w:rPr>
                        <w:rFonts w:ascii="Symbol" w:hAnsi="Symbol" w:cs="Symbol"/>
                        <w:color w:val="000000"/>
                      </w:rPr>
                      <w:t></w:t>
                    </w:r>
                  </w:p>
                </w:txbxContent>
              </v:textbox>
            </v:rect>
            <v:rect id="_x0000_s3821" style="position:absolute;left:823;top:371;width:77;height:245;mso-wrap-style:none" filled="f" stroked="f">
              <v:textbox style="mso-fit-shape-to-text:t" inset="0,0,0,0">
                <w:txbxContent>
                  <w:p w:rsidR="00A905B7" w:rsidRDefault="00A905B7">
                    <w:r>
                      <w:rPr>
                        <w:rFonts w:ascii="Symbol" w:hAnsi="Symbol" w:cs="Symbol"/>
                        <w:color w:val="000000"/>
                      </w:rPr>
                      <w:t></w:t>
                    </w:r>
                  </w:p>
                </w:txbxContent>
              </v:textbox>
            </v:rect>
            <v:rect id="_x0000_s3822" style="position:absolute;left:823;top:216;width:77;height:245;mso-wrap-style:none" filled="f" stroked="f">
              <v:textbox style="mso-fit-shape-to-text:t" inset="0,0,0,0">
                <w:txbxContent>
                  <w:p w:rsidR="00A905B7" w:rsidRDefault="00A905B7">
                    <w:r>
                      <w:rPr>
                        <w:rFonts w:ascii="Symbol" w:hAnsi="Symbol" w:cs="Symbol"/>
                        <w:color w:val="000000"/>
                      </w:rPr>
                      <w:t></w:t>
                    </w:r>
                  </w:p>
                </w:txbxContent>
              </v:textbox>
            </v:rect>
            <v:rect id="_x0000_s3823" style="position:absolute;left:823;top:499;width:77;height:245;mso-wrap-style:none" filled="f" stroked="f">
              <v:textbox style="mso-fit-shape-to-text:t" inset="0,0,0,0">
                <w:txbxContent>
                  <w:p w:rsidR="00A905B7" w:rsidRDefault="00A905B7">
                    <w:r>
                      <w:rPr>
                        <w:rFonts w:ascii="Symbol" w:hAnsi="Symbol" w:cs="Symbol"/>
                        <w:color w:val="000000"/>
                      </w:rPr>
                      <w:t></w:t>
                    </w:r>
                  </w:p>
                </w:txbxContent>
              </v:textbox>
            </v:rect>
            <v:rect id="_x0000_s3824" style="position:absolute;left:823;top:88;width:77;height:245;mso-wrap-style:none" filled="f" stroked="f">
              <v:textbox style="mso-fit-shape-to-text:t" inset="0,0,0,0">
                <w:txbxContent>
                  <w:p w:rsidR="00A905B7" w:rsidRDefault="00A905B7">
                    <w:r>
                      <w:rPr>
                        <w:rFonts w:ascii="Symbol" w:hAnsi="Symbol" w:cs="Symbol"/>
                        <w:color w:val="000000"/>
                      </w:rPr>
                      <w:t></w:t>
                    </w:r>
                  </w:p>
                </w:txbxContent>
              </v:textbox>
            </v:rect>
            <v:rect id="_x0000_s3825" style="position:absolute;left:462;top:371;width:77;height:245;mso-wrap-style:none" filled="f" stroked="f">
              <v:textbox style="mso-fit-shape-to-text:t" inset="0,0,0,0">
                <w:txbxContent>
                  <w:p w:rsidR="00A905B7" w:rsidRDefault="00A905B7">
                    <w:r>
                      <w:rPr>
                        <w:rFonts w:ascii="Symbol" w:hAnsi="Symbol" w:cs="Symbol"/>
                        <w:color w:val="000000"/>
                      </w:rPr>
                      <w:t></w:t>
                    </w:r>
                  </w:p>
                </w:txbxContent>
              </v:textbox>
            </v:rect>
            <v:rect id="_x0000_s3826" style="position:absolute;left:462;top:216;width:77;height:245;mso-wrap-style:none" filled="f" stroked="f">
              <v:textbox style="mso-fit-shape-to-text:t" inset="0,0,0,0">
                <w:txbxContent>
                  <w:p w:rsidR="00A905B7" w:rsidRDefault="00A905B7">
                    <w:r>
                      <w:rPr>
                        <w:rFonts w:ascii="Symbol" w:hAnsi="Symbol" w:cs="Symbol"/>
                        <w:color w:val="000000"/>
                      </w:rPr>
                      <w:t></w:t>
                    </w:r>
                  </w:p>
                </w:txbxContent>
              </v:textbox>
            </v:rect>
            <v:rect id="_x0000_s3827" style="position:absolute;left:462;top:499;width:77;height:245;mso-wrap-style:none" filled="f" stroked="f">
              <v:textbox style="mso-fit-shape-to-text:t" inset="0,0,0,0">
                <w:txbxContent>
                  <w:p w:rsidR="00A905B7" w:rsidRDefault="00A905B7">
                    <w:r>
                      <w:rPr>
                        <w:rFonts w:ascii="Symbol" w:hAnsi="Symbol" w:cs="Symbol"/>
                        <w:color w:val="000000"/>
                      </w:rPr>
                      <w:t></w:t>
                    </w:r>
                  </w:p>
                </w:txbxContent>
              </v:textbox>
            </v:rect>
            <v:rect id="_x0000_s3828" style="position:absolute;left:462;top:88;width:77;height:245;mso-wrap-style:none" filled="f" stroked="f">
              <v:textbox style="mso-fit-shape-to-text:t" inset="0,0,0,0">
                <w:txbxContent>
                  <w:p w:rsidR="00A905B7" w:rsidRDefault="00A905B7">
                    <w:r>
                      <w:rPr>
                        <w:rFonts w:ascii="Symbol" w:hAnsi="Symbol" w:cs="Symbol"/>
                        <w:color w:val="000000"/>
                      </w:rPr>
                      <w:t></w:t>
                    </w:r>
                  </w:p>
                </w:txbxContent>
              </v:textbox>
            </v:rect>
            <v:rect id="_x0000_s3829" style="position:absolute;left:1149;top:27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3830" style="position:absolute;left:319;top:27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3831" style="position:absolute;left:1428;top:140;width:123;height:240;mso-wrap-style:none" filled="f" stroked="f">
              <v:textbox style="mso-fit-shape-to-text:t" inset="0,0,0,0">
                <w:txbxContent>
                  <w:p w:rsidR="00A905B7" w:rsidRPr="001A4D7F" w:rsidRDefault="00A905B7">
                    <w:r w:rsidRPr="001A4D7F">
                      <w:rPr>
                        <w:iCs/>
                        <w:color w:val="000000"/>
                      </w:rPr>
                      <w:t>T</w:t>
                    </w:r>
                  </w:p>
                </w:txbxContent>
              </v:textbox>
            </v:rect>
            <v:rect id="_x0000_s3832" style="position:absolute;left:607;top:445;width:101;height:240;mso-wrap-style:none" filled="f" stroked="f">
              <v:textbox style="mso-fit-shape-to-text:t" inset="0,0,0,0">
                <w:txbxContent>
                  <w:p w:rsidR="00A905B7" w:rsidRPr="001A4D7F" w:rsidRDefault="00A905B7">
                    <w:r w:rsidRPr="001A4D7F">
                      <w:rPr>
                        <w:iCs/>
                        <w:color w:val="000000"/>
                      </w:rPr>
                      <w:t>p</w:t>
                    </w:r>
                  </w:p>
                </w:txbxContent>
              </v:textbox>
            </v:rect>
            <v:rect id="_x0000_s3833" style="position:absolute;left:74;top:282;width:67;height:240;mso-wrap-style:none" filled="f" stroked="f">
              <v:textbox style="mso-fit-shape-to-text:t" inset="0,0,0,0">
                <w:txbxContent>
                  <w:p w:rsidR="00A905B7" w:rsidRPr="001A4D7F" w:rsidRDefault="00A905B7">
                    <w:r w:rsidRPr="001A4D7F">
                      <w:rPr>
                        <w:iCs/>
                        <w:color w:val="000000"/>
                      </w:rPr>
                      <w:t>f</w:t>
                    </w:r>
                  </w:p>
                </w:txbxContent>
              </v:textbox>
            </v:rect>
            <w10:wrap type="none"/>
            <w10:anchorlock/>
          </v:group>
        </w:pict>
      </w:r>
      <w:r w:rsidRPr="00DA09F5">
        <w:rPr>
          <w:position w:val="40"/>
          <w:lang w:val="en-GB"/>
        </w:rPr>
        <w:tab/>
        <w:t>(2)</w:t>
      </w:r>
    </w:p>
    <w:p w:rsidR="00002BA6" w:rsidRPr="00B04DC3" w:rsidRDefault="00002BA6" w:rsidP="00002BA6">
      <w:pPr>
        <w:pStyle w:val="a"/>
        <w:rPr>
          <w:lang w:val="en-GB"/>
        </w:rPr>
      </w:pPr>
      <w:r w:rsidRPr="00B04DC3">
        <w:rPr>
          <w:lang w:val="en-GB"/>
        </w:rPr>
        <w:t>(b)</w:t>
      </w:r>
      <w:r w:rsidRPr="00B04DC3">
        <w:rPr>
          <w:lang w:val="en-GB"/>
        </w:rPr>
        <w:tab/>
        <w:t>Positive ignition engines:</w:t>
      </w:r>
    </w:p>
    <w:p w:rsidR="00002BA6" w:rsidRPr="00DA09F5" w:rsidRDefault="00002BA6" w:rsidP="00002BA6">
      <w:pPr>
        <w:pStyle w:val="a"/>
        <w:tabs>
          <w:tab w:val="right" w:pos="8505"/>
        </w:tabs>
        <w:rPr>
          <w:position w:val="40"/>
          <w:lang w:val="en-GB"/>
        </w:rPr>
      </w:pPr>
      <w:r w:rsidRPr="00B04DC3">
        <w:rPr>
          <w:lang w:val="en-GB"/>
        </w:rPr>
        <w:tab/>
      </w:r>
      <w:r w:rsidR="00A905B7">
        <w:rPr>
          <w:lang w:val="en-GB"/>
        </w:rPr>
      </w:r>
      <w:r w:rsidR="00A905B7">
        <w:rPr>
          <w:lang w:val="en-GB"/>
        </w:rPr>
        <w:pict>
          <v:group id="_x0000_s3834" editas="canvas" style="width:101pt;height:40.5pt;mso-position-horizontal-relative:char;mso-position-vertical-relative:line" coordsize="2020,810">
            <o:lock v:ext="edit" aspectratio="t"/>
            <v:shape id="_x0000_s3835" type="#_x0000_t75" style="position:absolute;width:2020;height:810" o:preferrelative="f">
              <v:fill o:detectmouseclick="t"/>
              <v:path o:extrusionok="t" o:connecttype="none"/>
              <o:lock v:ext="edit" text="t"/>
            </v:shape>
            <v:line id="_x0000_s3836" style="position:absolute" from="565,410" to="798,410" strokeweight=".5pt"/>
            <v:line id="_x0000_s3837" style="position:absolute" from="1359,410" to="1683,410" strokeweight=".5pt"/>
            <v:rect id="_x0000_s3838" style="position:absolute;left:1803;top:67;width:176;height:240;mso-wrap-style:none" filled="f" stroked="f">
              <v:textbox style="mso-next-textbox:#_x0000_s3838;mso-fit-shape-to-text:t" inset="0,0,0,0">
                <w:txbxContent>
                  <w:p w:rsidR="00A905B7" w:rsidRDefault="00A905B7">
                    <w:r>
                      <w:rPr>
                        <w:color w:val="000000"/>
                        <w:sz w:val="14"/>
                        <w:szCs w:val="14"/>
                      </w:rPr>
                      <w:t>0.6</w:t>
                    </w:r>
                  </w:p>
                </w:txbxContent>
              </v:textbox>
            </v:rect>
            <v:rect id="_x0000_s3839" style="position:absolute;left:1551;top:185;width:63;height:240;mso-wrap-style:none" filled="f" stroked="f">
              <v:textbox style="mso-next-textbox:#_x0000_s3839;mso-fit-shape-to-text:t" inset="0,0,0,0">
                <w:txbxContent>
                  <w:p w:rsidR="00A905B7" w:rsidRDefault="00A905B7">
                    <w:r>
                      <w:rPr>
                        <w:color w:val="000000"/>
                        <w:sz w:val="14"/>
                        <w:szCs w:val="14"/>
                      </w:rPr>
                      <w:t>a</w:t>
                    </w:r>
                  </w:p>
                </w:txbxContent>
              </v:textbox>
            </v:rect>
            <v:rect id="_x0000_s3840" style="position:absolute;left:904;top:31;width:176;height:240;mso-wrap-style:none" filled="f" stroked="f">
              <v:textbox style="mso-next-textbox:#_x0000_s3840;mso-fit-shape-to-text:t" inset="0,0,0,0">
                <w:txbxContent>
                  <w:p w:rsidR="00A905B7" w:rsidRDefault="00A905B7">
                    <w:r>
                      <w:rPr>
                        <w:color w:val="000000"/>
                        <w:sz w:val="14"/>
                        <w:szCs w:val="14"/>
                      </w:rPr>
                      <w:t>1.2</w:t>
                    </w:r>
                  </w:p>
                </w:txbxContent>
              </v:textbox>
            </v:rect>
            <v:rect id="_x0000_s3841" style="position:absolute;left:728;top:570;width:55;height:240;mso-wrap-style:none" filled="f" stroked="f">
              <v:textbox style="mso-next-textbox:#_x0000_s3841;mso-fit-shape-to-text:t" inset="0,0,0,0">
                <w:txbxContent>
                  <w:p w:rsidR="00A905B7" w:rsidRDefault="00A905B7">
                    <w:r>
                      <w:rPr>
                        <w:color w:val="000000"/>
                        <w:sz w:val="14"/>
                        <w:szCs w:val="14"/>
                      </w:rPr>
                      <w:t>s</w:t>
                    </w:r>
                  </w:p>
                </w:txbxContent>
              </v:textbox>
            </v:rect>
            <v:rect id="_x0000_s3842" style="position:absolute;left:1376;top:440;width:301;height:240;mso-wrap-style:none" filled="f" stroked="f">
              <v:textbox style="mso-next-textbox:#_x0000_s3842;mso-fit-shape-to-text:t" inset="0,0,0,0">
                <w:txbxContent>
                  <w:p w:rsidR="00A905B7" w:rsidRDefault="00A905B7">
                    <w:r>
                      <w:rPr>
                        <w:color w:val="000000"/>
                      </w:rPr>
                      <w:t>298</w:t>
                    </w:r>
                  </w:p>
                </w:txbxContent>
              </v:textbox>
            </v:rect>
            <v:rect id="_x0000_s3843" style="position:absolute;left:581;top:135;width:201;height:240;mso-wrap-style:none" filled="f" stroked="f">
              <v:textbox style="mso-next-textbox:#_x0000_s3843;mso-fit-shape-to-text:t" inset="0,0,0,0">
                <w:txbxContent>
                  <w:p w:rsidR="00A905B7" w:rsidRDefault="00A905B7">
                    <w:r>
                      <w:rPr>
                        <w:color w:val="000000"/>
                      </w:rPr>
                      <w:t>99</w:t>
                    </w:r>
                  </w:p>
                </w:txbxContent>
              </v:textbox>
            </v:rect>
            <v:rect id="_x0000_s3844" style="position:absolute;left:150;top:395;width:80;height:240;mso-wrap-style:none" filled="f" stroked="f">
              <v:textbox style="mso-next-textbox:#_x0000_s3844;mso-fit-shape-to-text:t" inset="0,0,0,0">
                <w:txbxContent>
                  <w:p w:rsidR="00A905B7" w:rsidRDefault="00A905B7">
                    <w:r>
                      <w:rPr>
                        <w:color w:val="000000"/>
                        <w:sz w:val="18"/>
                        <w:szCs w:val="18"/>
                      </w:rPr>
                      <w:t>a</w:t>
                    </w:r>
                  </w:p>
                </w:txbxContent>
              </v:textbox>
            </v:rect>
            <v:rect id="_x0000_s3845" style="position:absolute;left:1708;top:335;width:77;height:245;mso-wrap-style:none" filled="f" stroked="f">
              <v:textbox style="mso-next-textbox:#_x0000_s3845;mso-fit-shape-to-text:t" inset="0,0,0,0">
                <w:txbxContent>
                  <w:p w:rsidR="00A905B7" w:rsidRDefault="00A905B7">
                    <w:r>
                      <w:rPr>
                        <w:rFonts w:ascii="Symbol" w:hAnsi="Symbol" w:cs="Symbol"/>
                        <w:color w:val="000000"/>
                      </w:rPr>
                      <w:t></w:t>
                    </w:r>
                  </w:p>
                </w:txbxContent>
              </v:textbox>
            </v:rect>
            <v:rect id="_x0000_s3846" style="position:absolute;left:1708;top:252;width:77;height:245;mso-wrap-style:none" filled="f" stroked="f">
              <v:textbox style="mso-next-textbox:#_x0000_s3846;mso-fit-shape-to-text:t" inset="0,0,0,0">
                <w:txbxContent>
                  <w:p w:rsidR="00A905B7" w:rsidRDefault="00A905B7">
                    <w:r>
                      <w:rPr>
                        <w:rFonts w:ascii="Symbol" w:hAnsi="Symbol" w:cs="Symbol"/>
                        <w:color w:val="000000"/>
                      </w:rPr>
                      <w:t></w:t>
                    </w:r>
                  </w:p>
                </w:txbxContent>
              </v:textbox>
            </v:rect>
            <v:rect id="_x0000_s3847" style="position:absolute;left:1708;top:463;width:77;height:245;mso-wrap-style:none" filled="f" stroked="f">
              <v:textbox style="mso-next-textbox:#_x0000_s3847;mso-fit-shape-to-text:t" inset="0,0,0,0">
                <w:txbxContent>
                  <w:p w:rsidR="00A905B7" w:rsidRDefault="00A905B7">
                    <w:r>
                      <w:rPr>
                        <w:rFonts w:ascii="Symbol" w:hAnsi="Symbol" w:cs="Symbol"/>
                        <w:color w:val="000000"/>
                      </w:rPr>
                      <w:t></w:t>
                    </w:r>
                  </w:p>
                </w:txbxContent>
              </v:textbox>
            </v:rect>
            <v:rect id="_x0000_s3848" style="position:absolute;left:1708;top:124;width:77;height:245;mso-wrap-style:none" filled="f" stroked="f">
              <v:textbox style="mso-next-textbox:#_x0000_s3848;mso-fit-shape-to-text:t" inset="0,0,0,0">
                <w:txbxContent>
                  <w:p w:rsidR="00A905B7" w:rsidRDefault="00A905B7">
                    <w:r>
                      <w:rPr>
                        <w:rFonts w:ascii="Symbol" w:hAnsi="Symbol" w:cs="Symbol"/>
                        <w:color w:val="000000"/>
                      </w:rPr>
                      <w:t></w:t>
                    </w:r>
                  </w:p>
                </w:txbxContent>
              </v:textbox>
            </v:rect>
            <v:rect id="_x0000_s3849" style="position:absolute;left:1256;top:335;width:77;height:245;mso-wrap-style:none" filled="f" stroked="f">
              <v:textbox style="mso-next-textbox:#_x0000_s3849;mso-fit-shape-to-text:t" inset="0,0,0,0">
                <w:txbxContent>
                  <w:p w:rsidR="00A905B7" w:rsidRDefault="00A905B7">
                    <w:r>
                      <w:rPr>
                        <w:rFonts w:ascii="Symbol" w:hAnsi="Symbol" w:cs="Symbol"/>
                        <w:color w:val="000000"/>
                      </w:rPr>
                      <w:t></w:t>
                    </w:r>
                  </w:p>
                </w:txbxContent>
              </v:textbox>
            </v:rect>
            <v:rect id="_x0000_s3850" style="position:absolute;left:1256;top:252;width:77;height:245;mso-wrap-style:none" filled="f" stroked="f">
              <v:textbox style="mso-next-textbox:#_x0000_s3850;mso-fit-shape-to-text:t" inset="0,0,0,0">
                <w:txbxContent>
                  <w:p w:rsidR="00A905B7" w:rsidRDefault="00A905B7">
                    <w:r>
                      <w:rPr>
                        <w:rFonts w:ascii="Symbol" w:hAnsi="Symbol" w:cs="Symbol"/>
                        <w:color w:val="000000"/>
                      </w:rPr>
                      <w:t></w:t>
                    </w:r>
                  </w:p>
                </w:txbxContent>
              </v:textbox>
            </v:rect>
            <v:rect id="_x0000_s3851" style="position:absolute;left:1256;top:463;width:77;height:245;mso-wrap-style:none" filled="f" stroked="f">
              <v:textbox style="mso-next-textbox:#_x0000_s3851;mso-fit-shape-to-text:t" inset="0,0,0,0">
                <w:txbxContent>
                  <w:p w:rsidR="00A905B7" w:rsidRDefault="00A905B7">
                    <w:r>
                      <w:rPr>
                        <w:rFonts w:ascii="Symbol" w:hAnsi="Symbol" w:cs="Symbol"/>
                        <w:color w:val="000000"/>
                      </w:rPr>
                      <w:t></w:t>
                    </w:r>
                  </w:p>
                </w:txbxContent>
              </v:textbox>
            </v:rect>
            <v:rect id="_x0000_s3852" style="position:absolute;left:1256;top:124;width:77;height:245;mso-wrap-style:none" filled="f" stroked="f">
              <v:textbox style="mso-next-textbox:#_x0000_s3852;mso-fit-shape-to-text:t" inset="0,0,0,0">
                <w:txbxContent>
                  <w:p w:rsidR="00A905B7" w:rsidRDefault="00A905B7">
                    <w:r>
                      <w:rPr>
                        <w:rFonts w:ascii="Symbol" w:hAnsi="Symbol" w:cs="Symbol"/>
                        <w:color w:val="000000"/>
                      </w:rPr>
                      <w:t></w:t>
                    </w:r>
                  </w:p>
                </w:txbxContent>
              </v:textbox>
            </v:rect>
            <v:rect id="_x0000_s3853" style="position:absolute;left:823;top:371;width:77;height:245;mso-wrap-style:none" filled="f" stroked="f">
              <v:textbox style="mso-next-textbox:#_x0000_s3853;mso-fit-shape-to-text:t" inset="0,0,0,0">
                <w:txbxContent>
                  <w:p w:rsidR="00A905B7" w:rsidRDefault="00A905B7">
                    <w:r>
                      <w:rPr>
                        <w:rFonts w:ascii="Symbol" w:hAnsi="Symbol" w:cs="Symbol"/>
                        <w:color w:val="000000"/>
                      </w:rPr>
                      <w:t></w:t>
                    </w:r>
                  </w:p>
                </w:txbxContent>
              </v:textbox>
            </v:rect>
            <v:rect id="_x0000_s3854" style="position:absolute;left:823;top:216;width:77;height:245;mso-wrap-style:none" filled="f" stroked="f">
              <v:textbox style="mso-next-textbox:#_x0000_s3854;mso-fit-shape-to-text:t" inset="0,0,0,0">
                <w:txbxContent>
                  <w:p w:rsidR="00A905B7" w:rsidRDefault="00A905B7">
                    <w:r>
                      <w:rPr>
                        <w:rFonts w:ascii="Symbol" w:hAnsi="Symbol" w:cs="Symbol"/>
                        <w:color w:val="000000"/>
                      </w:rPr>
                      <w:t></w:t>
                    </w:r>
                  </w:p>
                </w:txbxContent>
              </v:textbox>
            </v:rect>
            <v:rect id="_x0000_s3855" style="position:absolute;left:823;top:499;width:77;height:245;mso-wrap-style:none" filled="f" stroked="f">
              <v:textbox style="mso-next-textbox:#_x0000_s3855;mso-fit-shape-to-text:t" inset="0,0,0,0">
                <w:txbxContent>
                  <w:p w:rsidR="00A905B7" w:rsidRDefault="00A905B7">
                    <w:r>
                      <w:rPr>
                        <w:rFonts w:ascii="Symbol" w:hAnsi="Symbol" w:cs="Symbol"/>
                        <w:color w:val="000000"/>
                      </w:rPr>
                      <w:t></w:t>
                    </w:r>
                  </w:p>
                </w:txbxContent>
              </v:textbox>
            </v:rect>
            <v:rect id="_x0000_s3856" style="position:absolute;left:823;top:88;width:77;height:245;mso-wrap-style:none" filled="f" stroked="f">
              <v:textbox style="mso-next-textbox:#_x0000_s3856;mso-fit-shape-to-text:t" inset="0,0,0,0">
                <w:txbxContent>
                  <w:p w:rsidR="00A905B7" w:rsidRDefault="00A905B7">
                    <w:r>
                      <w:rPr>
                        <w:rFonts w:ascii="Symbol" w:hAnsi="Symbol" w:cs="Symbol"/>
                        <w:color w:val="000000"/>
                      </w:rPr>
                      <w:t></w:t>
                    </w:r>
                  </w:p>
                </w:txbxContent>
              </v:textbox>
            </v:rect>
            <v:rect id="_x0000_s3857" style="position:absolute;left:462;top:371;width:77;height:245;mso-wrap-style:none" filled="f" stroked="f">
              <v:textbox style="mso-next-textbox:#_x0000_s3857;mso-fit-shape-to-text:t" inset="0,0,0,0">
                <w:txbxContent>
                  <w:p w:rsidR="00A905B7" w:rsidRDefault="00A905B7">
                    <w:r>
                      <w:rPr>
                        <w:rFonts w:ascii="Symbol" w:hAnsi="Symbol" w:cs="Symbol"/>
                        <w:color w:val="000000"/>
                      </w:rPr>
                      <w:t></w:t>
                    </w:r>
                  </w:p>
                </w:txbxContent>
              </v:textbox>
            </v:rect>
            <v:rect id="_x0000_s3858" style="position:absolute;left:462;top:216;width:77;height:245;mso-wrap-style:none" filled="f" stroked="f">
              <v:textbox style="mso-next-textbox:#_x0000_s3858;mso-fit-shape-to-text:t" inset="0,0,0,0">
                <w:txbxContent>
                  <w:p w:rsidR="00A905B7" w:rsidRDefault="00A905B7">
                    <w:r>
                      <w:rPr>
                        <w:rFonts w:ascii="Symbol" w:hAnsi="Symbol" w:cs="Symbol"/>
                        <w:color w:val="000000"/>
                      </w:rPr>
                      <w:t></w:t>
                    </w:r>
                  </w:p>
                </w:txbxContent>
              </v:textbox>
            </v:rect>
            <v:rect id="_x0000_s3859" style="position:absolute;left:462;top:499;width:77;height:245;mso-wrap-style:none" filled="f" stroked="f">
              <v:textbox style="mso-next-textbox:#_x0000_s3859;mso-fit-shape-to-text:t" inset="0,0,0,0">
                <w:txbxContent>
                  <w:p w:rsidR="00A905B7" w:rsidRDefault="00A905B7">
                    <w:r>
                      <w:rPr>
                        <w:rFonts w:ascii="Symbol" w:hAnsi="Symbol" w:cs="Symbol"/>
                        <w:color w:val="000000"/>
                      </w:rPr>
                      <w:t></w:t>
                    </w:r>
                  </w:p>
                </w:txbxContent>
              </v:textbox>
            </v:rect>
            <v:rect id="_x0000_s3860" style="position:absolute;left:462;top:88;width:77;height:245;mso-wrap-style:none" filled="f" stroked="f">
              <v:textbox style="mso-next-textbox:#_x0000_s3860;mso-fit-shape-to-text:t" inset="0,0,0,0">
                <w:txbxContent>
                  <w:p w:rsidR="00A905B7" w:rsidRDefault="00A905B7">
                    <w:r>
                      <w:rPr>
                        <w:rFonts w:ascii="Symbol" w:hAnsi="Symbol" w:cs="Symbol"/>
                        <w:color w:val="000000"/>
                      </w:rPr>
                      <w:t></w:t>
                    </w:r>
                  </w:p>
                </w:txbxContent>
              </v:textbox>
            </v:rect>
            <v:rect id="_x0000_s3861" style="position:absolute;left:1133;top:279;width:99;height:240;mso-wrap-style:none" filled="f" stroked="f">
              <v:textbox style="mso-next-textbox:#_x0000_s3861;mso-fit-shape-to-text:t" inset="0,0,0,0">
                <w:txbxContent>
                  <w:p w:rsidR="00A905B7" w:rsidRDefault="00A905B7">
                    <w:r>
                      <w:rPr>
                        <w:rFonts w:ascii="Symbol" w:hAnsi="Symbol" w:cs="Symbol"/>
                        <w:color w:val="000000"/>
                        <w:sz w:val="18"/>
                        <w:szCs w:val="18"/>
                      </w:rPr>
                      <w:t></w:t>
                    </w:r>
                  </w:p>
                </w:txbxContent>
              </v:textbox>
            </v:rect>
            <v:rect id="_x0000_s3862" style="position:absolute;left:319;top:279;width:99;height:240;mso-wrap-style:none" filled="f" stroked="f">
              <v:textbox style="mso-next-textbox:#_x0000_s3862;mso-fit-shape-to-text:t" inset="0,0,0,0">
                <w:txbxContent>
                  <w:p w:rsidR="00A905B7" w:rsidRDefault="00A905B7">
                    <w:r>
                      <w:rPr>
                        <w:rFonts w:ascii="Symbol" w:hAnsi="Symbol" w:cs="Symbol"/>
                        <w:color w:val="000000"/>
                        <w:sz w:val="18"/>
                        <w:szCs w:val="18"/>
                      </w:rPr>
                      <w:t></w:t>
                    </w:r>
                  </w:p>
                </w:txbxContent>
              </v:textbox>
            </v:rect>
            <v:rect id="_x0000_s3863" style="position:absolute;left:1412;top:140;width:123;height:240;mso-wrap-style:none" filled="f" stroked="f">
              <v:textbox style="mso-next-textbox:#_x0000_s3863;mso-fit-shape-to-text:t" inset="0,0,0,0">
                <w:txbxContent>
                  <w:p w:rsidR="00A905B7" w:rsidRPr="001A4D7F" w:rsidRDefault="00A905B7">
                    <w:r w:rsidRPr="001A4D7F">
                      <w:rPr>
                        <w:iCs/>
                        <w:color w:val="000000"/>
                      </w:rPr>
                      <w:t>T</w:t>
                    </w:r>
                  </w:p>
                </w:txbxContent>
              </v:textbox>
            </v:rect>
            <v:rect id="_x0000_s3864" style="position:absolute;left:607;top:445;width:101;height:240;mso-wrap-style:none" filled="f" stroked="f">
              <v:textbox style="mso-next-textbox:#_x0000_s3864;mso-fit-shape-to-text:t" inset="0,0,0,0">
                <w:txbxContent>
                  <w:p w:rsidR="00A905B7" w:rsidRPr="001A4D7F" w:rsidRDefault="00A905B7">
                    <w:r w:rsidRPr="001A4D7F">
                      <w:rPr>
                        <w:iCs/>
                        <w:color w:val="000000"/>
                      </w:rPr>
                      <w:t>p</w:t>
                    </w:r>
                  </w:p>
                </w:txbxContent>
              </v:textbox>
            </v:rect>
            <v:rect id="_x0000_s3865" style="position:absolute;left:74;top:282;width:67;height:240;mso-wrap-style:none" filled="f" stroked="f">
              <v:textbox style="mso-next-textbox:#_x0000_s3865;mso-fit-shape-to-text:t" inset="0,0,0,0">
                <w:txbxContent>
                  <w:p w:rsidR="00A905B7" w:rsidRPr="001A4D7F" w:rsidRDefault="00A905B7">
                    <w:r w:rsidRPr="001A4D7F">
                      <w:rPr>
                        <w:iCs/>
                        <w:color w:val="000000"/>
                      </w:rPr>
                      <w:t>f</w:t>
                    </w:r>
                  </w:p>
                </w:txbxContent>
              </v:textbox>
            </v:rect>
            <w10:wrap type="none"/>
            <w10:anchorlock/>
          </v:group>
        </w:pict>
      </w:r>
      <w:r w:rsidRPr="00DA09F5">
        <w:rPr>
          <w:position w:val="40"/>
          <w:lang w:val="en-GB"/>
        </w:rPr>
        <w:tab/>
        <w:t>(3)</w:t>
      </w:r>
    </w:p>
    <w:p w:rsidR="00002BA6" w:rsidRPr="00B04DC3" w:rsidRDefault="00002BA6" w:rsidP="00002BA6">
      <w:pPr>
        <w:pStyle w:val="para"/>
        <w:rPr>
          <w:lang w:val="en-GB"/>
        </w:rPr>
      </w:pPr>
      <w:r w:rsidRPr="00B04DC3">
        <w:rPr>
          <w:lang w:val="en-GB"/>
        </w:rPr>
        <w:t>6.2.</w:t>
      </w:r>
      <w:r w:rsidRPr="00B04DC3">
        <w:rPr>
          <w:lang w:val="en-GB"/>
        </w:rPr>
        <w:tab/>
        <w:t>Engines with charge air-cooling</w:t>
      </w:r>
    </w:p>
    <w:p w:rsidR="00002BA6" w:rsidRPr="00B04DC3" w:rsidRDefault="00002BA6" w:rsidP="00002BA6">
      <w:pPr>
        <w:pStyle w:val="para"/>
        <w:rPr>
          <w:lang w:val="en-GB"/>
        </w:rPr>
      </w:pPr>
      <w:r w:rsidRPr="00B04DC3">
        <w:rPr>
          <w:lang w:val="en-GB"/>
        </w:rPr>
        <w:tab/>
        <w:t>The charge air temperature shall be recorded and shall be, at the rated speed and full load, within </w:t>
      </w:r>
      <w:r w:rsidRPr="00B04DC3">
        <w:rPr>
          <w:lang w:val="en-GB"/>
        </w:rPr>
        <w:sym w:font="Symbol" w:char="F0B1"/>
      </w:r>
      <w:r w:rsidRPr="00B04DC3">
        <w:rPr>
          <w:lang w:val="en-GB"/>
        </w:rPr>
        <w:t>5 K of the maximum charge air temperature specified by the manufacturer. The temperature of the cooling medium shall be at least 293 K (20 °C).</w:t>
      </w:r>
    </w:p>
    <w:p w:rsidR="00002BA6" w:rsidRPr="00B04DC3" w:rsidRDefault="00002BA6" w:rsidP="00002BA6">
      <w:pPr>
        <w:pStyle w:val="para"/>
        <w:rPr>
          <w:lang w:val="en-GB"/>
        </w:rPr>
      </w:pPr>
      <w:r w:rsidRPr="00B04DC3">
        <w:rPr>
          <w:lang w:val="en-GB"/>
        </w:rPr>
        <w:tab/>
        <w:t>If a test laboratory system or external blower is used, the coolant flow rate shall be set to achieve a charge air temperature within </w:t>
      </w:r>
      <w:r w:rsidRPr="00B04DC3">
        <w:rPr>
          <w:lang w:val="en-GB"/>
        </w:rPr>
        <w:sym w:font="Symbol" w:char="F0B1"/>
      </w:r>
      <w:r w:rsidRPr="00B04DC3">
        <w:rPr>
          <w:lang w:val="en-GB"/>
        </w:rPr>
        <w:t>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rsidR="00002BA6" w:rsidRPr="00B04DC3" w:rsidRDefault="00002BA6" w:rsidP="00002BA6">
      <w:pPr>
        <w:pStyle w:val="para"/>
        <w:rPr>
          <w:lang w:val="en-GB"/>
        </w:rPr>
      </w:pPr>
      <w:r w:rsidRPr="00B04DC3">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41"/>
      <w:bookmarkEnd w:id="442"/>
      <w:bookmarkEnd w:id="443"/>
      <w:bookmarkEnd w:id="444"/>
    </w:p>
    <w:p w:rsidR="00002BA6" w:rsidRPr="00B04DC3" w:rsidRDefault="00002BA6" w:rsidP="00002BA6">
      <w:pPr>
        <w:pStyle w:val="para"/>
        <w:rPr>
          <w:lang w:val="en-GB"/>
        </w:rPr>
      </w:pPr>
      <w:r w:rsidRPr="00B04DC3">
        <w:rPr>
          <w:lang w:val="en-GB"/>
        </w:rPr>
        <w:t>6.3.</w:t>
      </w:r>
      <w:r w:rsidRPr="00B04DC3">
        <w:rPr>
          <w:lang w:val="en-GB"/>
        </w:rPr>
        <w:tab/>
        <w:t>Engine power</w:t>
      </w:r>
    </w:p>
    <w:p w:rsidR="00002BA6" w:rsidRPr="00B04DC3" w:rsidRDefault="00002BA6" w:rsidP="00002BA6">
      <w:pPr>
        <w:pStyle w:val="para"/>
        <w:rPr>
          <w:lang w:val="en-GB"/>
        </w:rPr>
      </w:pPr>
      <w:r w:rsidRPr="00B04DC3">
        <w:rPr>
          <w:lang w:val="en-GB"/>
        </w:rPr>
        <w:tab/>
        <w:t>The basis of specific emissions measurement is engine power and cycle work as determined in accordance with paragraphs 6.3.1. to 6.3.5.</w:t>
      </w:r>
      <w:r w:rsidR="007F3073">
        <w:rPr>
          <w:lang w:val="en-GB"/>
        </w:rPr>
        <w:t xml:space="preserve"> below.</w:t>
      </w:r>
    </w:p>
    <w:p w:rsidR="00002BA6" w:rsidRPr="00B04DC3" w:rsidRDefault="00002BA6" w:rsidP="00DA09F5">
      <w:pPr>
        <w:pStyle w:val="para"/>
        <w:keepNext/>
        <w:keepLines/>
        <w:rPr>
          <w:lang w:val="en-GB"/>
        </w:rPr>
      </w:pPr>
      <w:r w:rsidRPr="00B04DC3">
        <w:rPr>
          <w:lang w:val="en-GB"/>
        </w:rPr>
        <w:t>6.3.1.</w:t>
      </w:r>
      <w:r w:rsidRPr="00B04DC3">
        <w:rPr>
          <w:lang w:val="en-GB"/>
        </w:rPr>
        <w:tab/>
        <w:t>General engine installation</w:t>
      </w:r>
    </w:p>
    <w:p w:rsidR="00002BA6" w:rsidRPr="00B04DC3" w:rsidRDefault="00002BA6" w:rsidP="00002BA6">
      <w:pPr>
        <w:pStyle w:val="para"/>
        <w:rPr>
          <w:lang w:val="en-GB"/>
        </w:rPr>
      </w:pPr>
      <w:r w:rsidRPr="00B04DC3">
        <w:rPr>
          <w:lang w:val="en-GB"/>
        </w:rPr>
        <w:tab/>
        <w:t>The engine shall be tested with the auxiliaries/equipment listed in Appendix 7</w:t>
      </w:r>
      <w:r w:rsidR="007705C9">
        <w:rPr>
          <w:lang w:val="en-GB"/>
        </w:rPr>
        <w:t xml:space="preserve"> to this annex</w:t>
      </w:r>
      <w:r w:rsidRPr="00B04DC3">
        <w:rPr>
          <w:lang w:val="en-GB"/>
        </w:rPr>
        <w:t>.</w:t>
      </w:r>
    </w:p>
    <w:p w:rsidR="00002BA6" w:rsidRPr="00B04DC3" w:rsidRDefault="00002BA6" w:rsidP="00002BA6">
      <w:pPr>
        <w:pStyle w:val="para"/>
        <w:rPr>
          <w:lang w:val="en-GB"/>
        </w:rPr>
      </w:pPr>
      <w:r w:rsidRPr="00B04DC3">
        <w:rPr>
          <w:lang w:val="en-GB"/>
        </w:rPr>
        <w:tab/>
        <w:t>If auxiliaries/equipment are not installed as required, their power shall be taken into account in accordance with paragraphs 6.3.2. to 6.3.5.</w:t>
      </w:r>
      <w:r w:rsidR="007F3073">
        <w:rPr>
          <w:lang w:val="en-GB"/>
        </w:rPr>
        <w:t xml:space="preserve"> below.</w:t>
      </w:r>
    </w:p>
    <w:p w:rsidR="00002BA6" w:rsidRPr="00B04DC3" w:rsidRDefault="00002BA6" w:rsidP="00002BA6">
      <w:pPr>
        <w:pStyle w:val="para"/>
        <w:rPr>
          <w:lang w:val="en-GB"/>
        </w:rPr>
      </w:pPr>
      <w:r w:rsidRPr="00B04DC3">
        <w:rPr>
          <w:lang w:val="en-GB"/>
        </w:rPr>
        <w:t>6.3.2.</w:t>
      </w:r>
      <w:r w:rsidRPr="00B04DC3">
        <w:rPr>
          <w:lang w:val="en-GB"/>
        </w:rPr>
        <w:tab/>
        <w:t>Auxiliaries/equipment to be fitted for the emissions test</w:t>
      </w:r>
    </w:p>
    <w:p w:rsidR="00002BA6" w:rsidRPr="00B04DC3" w:rsidRDefault="00002BA6" w:rsidP="00002BA6">
      <w:pPr>
        <w:pStyle w:val="para"/>
        <w:rPr>
          <w:lang w:val="en-GB"/>
        </w:rPr>
      </w:pPr>
      <w:r w:rsidRPr="00B04DC3">
        <w:rPr>
          <w:lang w:val="en-GB"/>
        </w:rPr>
        <w:tab/>
        <w:t xml:space="preserve">If it is inappropriate to install the auxiliaries/equipment required according to Appendix 7 </w:t>
      </w:r>
      <w:r w:rsidR="007F3073">
        <w:rPr>
          <w:lang w:val="en-GB"/>
        </w:rPr>
        <w:t xml:space="preserve">to this annex </w:t>
      </w:r>
      <w:r w:rsidRPr="00B04DC3">
        <w:rPr>
          <w:lang w:val="en-GB"/>
        </w:rPr>
        <w:t>on the test bench, the power absorbed by them shall be determined and subtracted from the measured engine power (reference and actual) over the whole engine speed range of the WHTC and over the test speeds of the WHSC.</w:t>
      </w:r>
    </w:p>
    <w:p w:rsidR="00002BA6" w:rsidRPr="00B04DC3" w:rsidRDefault="00002BA6" w:rsidP="00002BA6">
      <w:pPr>
        <w:pStyle w:val="para"/>
        <w:rPr>
          <w:lang w:val="en-GB"/>
        </w:rPr>
      </w:pPr>
      <w:r w:rsidRPr="00B04DC3">
        <w:rPr>
          <w:lang w:val="en-GB"/>
        </w:rPr>
        <w:t>6.3.3.</w:t>
      </w:r>
      <w:r w:rsidRPr="00B04DC3">
        <w:rPr>
          <w:lang w:val="en-GB"/>
        </w:rPr>
        <w:tab/>
        <w:t>Auxiliaries/equipment to be removed for the test</w:t>
      </w:r>
    </w:p>
    <w:p w:rsidR="00002BA6" w:rsidRPr="00B04DC3" w:rsidRDefault="00002BA6" w:rsidP="00002BA6">
      <w:pPr>
        <w:pStyle w:val="para"/>
        <w:rPr>
          <w:lang w:val="en-GB"/>
        </w:rPr>
      </w:pPr>
      <w:r w:rsidRPr="00B04DC3">
        <w:rPr>
          <w:lang w:val="en-GB"/>
        </w:rPr>
        <w:tab/>
        <w:t xml:space="preserve">Where the auxiliaries/equipment not required according to Appendix 7 </w:t>
      </w:r>
      <w:r w:rsidR="007F3073">
        <w:rPr>
          <w:lang w:val="en-GB"/>
        </w:rPr>
        <w:t xml:space="preserve">to this annex </w:t>
      </w:r>
      <w:r w:rsidRPr="00B04DC3">
        <w:rPr>
          <w:lang w:val="en-GB"/>
        </w:rPr>
        <w:t xml:space="preserve">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w:t>
      </w:r>
    </w:p>
    <w:p w:rsidR="00002BA6" w:rsidRPr="00B04DC3" w:rsidRDefault="00002BA6" w:rsidP="00002BA6">
      <w:pPr>
        <w:pStyle w:val="para"/>
        <w:rPr>
          <w:lang w:val="en-GB"/>
        </w:rPr>
      </w:pPr>
      <w:r w:rsidRPr="00B04DC3">
        <w:rPr>
          <w:lang w:val="en-GB"/>
        </w:rPr>
        <w:t>6.3.4.</w:t>
      </w:r>
      <w:r w:rsidRPr="00B04DC3">
        <w:rPr>
          <w:lang w:val="en-GB"/>
        </w:rPr>
        <w:tab/>
        <w:t>Determination of auxiliary power</w:t>
      </w:r>
    </w:p>
    <w:p w:rsidR="00002BA6" w:rsidRPr="00B04DC3" w:rsidRDefault="00002BA6" w:rsidP="00002BA6">
      <w:pPr>
        <w:pStyle w:val="para"/>
        <w:rPr>
          <w:lang w:val="en-GB"/>
        </w:rPr>
      </w:pPr>
      <w:r w:rsidRPr="00B04DC3">
        <w:rPr>
          <w:lang w:val="en-GB"/>
        </w:rPr>
        <w:tab/>
        <w:t>The power absorbed by the auxiliaries/equipment needs only be determined, if:</w:t>
      </w:r>
    </w:p>
    <w:p w:rsidR="00002BA6" w:rsidRPr="00B04DC3" w:rsidRDefault="00002BA6" w:rsidP="00002BA6">
      <w:pPr>
        <w:pStyle w:val="a"/>
        <w:rPr>
          <w:lang w:val="en-GB"/>
        </w:rPr>
      </w:pPr>
      <w:r w:rsidRPr="00B04DC3">
        <w:rPr>
          <w:lang w:val="en-GB"/>
        </w:rPr>
        <w:t>(a)</w:t>
      </w:r>
      <w:r w:rsidRPr="00B04DC3">
        <w:rPr>
          <w:lang w:val="en-GB"/>
        </w:rPr>
        <w:tab/>
        <w:t>Auxiliaries/equipment required according to Appendix 7</w:t>
      </w:r>
      <w:r w:rsidR="007705C9">
        <w:rPr>
          <w:lang w:val="en-GB"/>
        </w:rPr>
        <w:t xml:space="preserve"> to this annex</w:t>
      </w:r>
      <w:r w:rsidRPr="00B04DC3">
        <w:rPr>
          <w:lang w:val="en-GB"/>
        </w:rPr>
        <w:t>, are not fitted to the engine;</w:t>
      </w:r>
    </w:p>
    <w:p w:rsidR="00002BA6" w:rsidRPr="00B04DC3" w:rsidRDefault="00002BA6" w:rsidP="00002BA6">
      <w:pPr>
        <w:pStyle w:val="a"/>
        <w:rPr>
          <w:lang w:val="en-GB"/>
        </w:rPr>
      </w:pPr>
      <w:r w:rsidRPr="00B04DC3">
        <w:rPr>
          <w:lang w:val="en-GB"/>
        </w:rPr>
        <w:tab/>
        <w:t>and/or</w:t>
      </w:r>
    </w:p>
    <w:p w:rsidR="00002BA6" w:rsidRPr="00B04DC3" w:rsidRDefault="00002BA6" w:rsidP="00002BA6">
      <w:pPr>
        <w:pStyle w:val="a"/>
        <w:rPr>
          <w:lang w:val="en-GB"/>
        </w:rPr>
      </w:pPr>
      <w:r w:rsidRPr="00B04DC3">
        <w:rPr>
          <w:lang w:val="en-GB"/>
        </w:rPr>
        <w:t>(b)</w:t>
      </w:r>
      <w:r w:rsidRPr="00B04DC3">
        <w:rPr>
          <w:lang w:val="en-GB"/>
        </w:rPr>
        <w:tab/>
        <w:t>Auxiliaries/equipment not required according to Appendix 7</w:t>
      </w:r>
      <w:r w:rsidR="007705C9" w:rsidRPr="007705C9">
        <w:rPr>
          <w:lang w:eastAsia="en-GB"/>
        </w:rPr>
        <w:t xml:space="preserve"> </w:t>
      </w:r>
      <w:r w:rsidR="007705C9">
        <w:rPr>
          <w:lang w:eastAsia="en-GB"/>
        </w:rPr>
        <w:t>to this annex</w:t>
      </w:r>
      <w:r w:rsidRPr="00B04DC3">
        <w:rPr>
          <w:lang w:val="en-GB"/>
        </w:rPr>
        <w:t>, are fitted to the engine.</w:t>
      </w:r>
    </w:p>
    <w:p w:rsidR="00002BA6" w:rsidRPr="00B04DC3" w:rsidRDefault="00002BA6" w:rsidP="00002BA6">
      <w:pPr>
        <w:pStyle w:val="para"/>
        <w:rPr>
          <w:lang w:val="en-GB"/>
        </w:rPr>
      </w:pPr>
      <w:r w:rsidRPr="00B04DC3">
        <w:rPr>
          <w:lang w:val="en-GB"/>
        </w:rPr>
        <w:tab/>
        <w:t xml:space="preserve">The values of auxiliary power and the measurement/calculation method for determining auxiliary power shall be submitted by the engine manufacturer for the whole operating area of the test cycles, and approved by the </w:t>
      </w:r>
      <w:r w:rsidR="004B53F0">
        <w:rPr>
          <w:lang w:val="en-GB"/>
        </w:rPr>
        <w:t>T</w:t>
      </w:r>
      <w:r w:rsidR="004B53F0" w:rsidRPr="00B04DC3">
        <w:rPr>
          <w:lang w:val="en-GB"/>
        </w:rPr>
        <w:t xml:space="preserve">ype </w:t>
      </w:r>
      <w:r w:rsidR="004B53F0">
        <w:rPr>
          <w:lang w:val="en-GB"/>
        </w:rPr>
        <w:t>A</w:t>
      </w:r>
      <w:r w:rsidR="004B53F0" w:rsidRPr="00B04DC3">
        <w:rPr>
          <w:lang w:val="en-GB"/>
        </w:rPr>
        <w:t xml:space="preserve">pproval </w:t>
      </w:r>
      <w:r w:rsidR="004B53F0">
        <w:rPr>
          <w:lang w:val="en-GB"/>
        </w:rPr>
        <w:t>A</w:t>
      </w:r>
      <w:r w:rsidR="004B53F0" w:rsidRPr="00B04DC3">
        <w:rPr>
          <w:lang w:val="en-GB"/>
        </w:rPr>
        <w:t>uthority</w:t>
      </w:r>
      <w:r w:rsidRPr="00B04DC3">
        <w:rPr>
          <w:lang w:val="en-GB"/>
        </w:rPr>
        <w:t>.</w:t>
      </w:r>
    </w:p>
    <w:p w:rsidR="00002BA6" w:rsidRPr="00B04DC3" w:rsidRDefault="00002BA6" w:rsidP="00002BA6">
      <w:pPr>
        <w:pStyle w:val="para"/>
        <w:rPr>
          <w:lang w:val="en-GB"/>
        </w:rPr>
      </w:pPr>
      <w:r w:rsidRPr="00B04DC3">
        <w:rPr>
          <w:lang w:val="en-GB"/>
        </w:rPr>
        <w:t>6.3.5.</w:t>
      </w:r>
      <w:r w:rsidRPr="00B04DC3">
        <w:rPr>
          <w:lang w:val="en-GB"/>
        </w:rPr>
        <w:tab/>
        <w:t>Engine cycle work</w:t>
      </w:r>
    </w:p>
    <w:p w:rsidR="00002BA6" w:rsidRPr="00B43FF2" w:rsidRDefault="00002BA6" w:rsidP="00002BA6">
      <w:pPr>
        <w:pStyle w:val="para"/>
        <w:ind w:firstLine="0"/>
        <w:rPr>
          <w:spacing w:val="-2"/>
          <w:lang w:val="en-GB"/>
        </w:rPr>
      </w:pPr>
      <w:r w:rsidRPr="00B43FF2">
        <w:rPr>
          <w:spacing w:val="-2"/>
          <w:lang w:val="en-GB"/>
        </w:rPr>
        <w:t>The calculation of reference and actual cycle work (see paragraphs 7.4.8. and 7.8.6.</w:t>
      </w:r>
      <w:r w:rsidR="007705C9" w:rsidRPr="00B43FF2">
        <w:rPr>
          <w:spacing w:val="-2"/>
          <w:lang w:val="en-GB"/>
        </w:rPr>
        <w:t xml:space="preserve"> of this annex</w:t>
      </w:r>
      <w:r w:rsidRPr="00B43FF2">
        <w:rPr>
          <w:spacing w:val="-2"/>
          <w:lang w:val="en-GB"/>
        </w:rPr>
        <w:t>) shall be based upon engine power according to paragraph 6.3.1. In this case, P</w:t>
      </w:r>
      <w:r w:rsidRPr="00B43FF2">
        <w:rPr>
          <w:spacing w:val="-2"/>
          <w:vertAlign w:val="subscript"/>
          <w:lang w:val="en-GB"/>
        </w:rPr>
        <w:t>f</w:t>
      </w:r>
      <w:r w:rsidRPr="00B43FF2">
        <w:rPr>
          <w:spacing w:val="-2"/>
          <w:lang w:val="en-GB"/>
        </w:rPr>
        <w:t xml:space="preserve"> and P</w:t>
      </w:r>
      <w:r w:rsidRPr="00B43FF2">
        <w:rPr>
          <w:spacing w:val="-2"/>
          <w:vertAlign w:val="subscript"/>
          <w:lang w:val="en-GB"/>
        </w:rPr>
        <w:t>r</w:t>
      </w:r>
      <w:r w:rsidRPr="00B43FF2">
        <w:rPr>
          <w:spacing w:val="-2"/>
          <w:lang w:val="en-GB"/>
        </w:rPr>
        <w:t xml:space="preserve"> of equation 4 are zero, and P equals P</w:t>
      </w:r>
      <w:r w:rsidRPr="00B43FF2">
        <w:rPr>
          <w:spacing w:val="-2"/>
          <w:vertAlign w:val="subscript"/>
          <w:lang w:val="en-GB"/>
        </w:rPr>
        <w:t>m</w:t>
      </w:r>
      <w:r w:rsidRPr="00B43FF2">
        <w:rPr>
          <w:spacing w:val="-2"/>
          <w:lang w:val="en-GB"/>
        </w:rPr>
        <w:t>.</w:t>
      </w:r>
    </w:p>
    <w:p w:rsidR="00002BA6" w:rsidRPr="00B04DC3" w:rsidRDefault="00002BA6" w:rsidP="00002BA6">
      <w:pPr>
        <w:pStyle w:val="para"/>
        <w:ind w:firstLine="0"/>
        <w:rPr>
          <w:lang w:val="en-GB"/>
        </w:rPr>
      </w:pPr>
      <w:r w:rsidRPr="00B04DC3">
        <w:rPr>
          <w:lang w:val="en-GB"/>
        </w:rPr>
        <w:t>If auxiliaries/equipment are installed according to paragraphs 6.3.2. and/or 6.3.3.</w:t>
      </w:r>
      <w:r w:rsidR="007705C9">
        <w:rPr>
          <w:lang w:val="en-GB"/>
        </w:rPr>
        <w:t xml:space="preserve"> of this annex</w:t>
      </w:r>
      <w:r w:rsidRPr="00B04DC3">
        <w:rPr>
          <w:lang w:val="en-GB"/>
        </w:rPr>
        <w:t>, the power absorbed by them shall be used to correct each instantaneous cycle power value P</w:t>
      </w:r>
      <w:r w:rsidRPr="00B04DC3">
        <w:rPr>
          <w:vertAlign w:val="subscript"/>
          <w:lang w:val="en-GB"/>
        </w:rPr>
        <w:t>m,i</w:t>
      </w:r>
      <w:r w:rsidRPr="00B04DC3">
        <w:rPr>
          <w:lang w:val="en-GB"/>
        </w:rPr>
        <w:t>, as follows:</w:t>
      </w:r>
    </w:p>
    <w:p w:rsidR="00002BA6" w:rsidRPr="00B04DC3" w:rsidRDefault="00002BA6" w:rsidP="00B43FF2">
      <w:pPr>
        <w:pStyle w:val="para"/>
        <w:tabs>
          <w:tab w:val="right" w:pos="8505"/>
        </w:tabs>
        <w:spacing w:after="60"/>
        <w:rPr>
          <w:lang w:val="en-GB"/>
        </w:rPr>
      </w:pPr>
      <w:r w:rsidRPr="00B04DC3">
        <w:rPr>
          <w:lang w:val="en-GB"/>
        </w:rPr>
        <w:tab/>
      </w:r>
      <w:r w:rsidR="00211E1D" w:rsidRPr="00B04DC3">
        <w:rPr>
          <w:position w:val="-14"/>
          <w:vertAlign w:val="subscript"/>
          <w:lang w:val="en-GB"/>
        </w:rPr>
        <w:object w:dxaOrig="1800" w:dyaOrig="380">
          <v:shape id="_x0000_i1215" type="#_x0000_t75" style="width:79.8pt;height:17.4pt" o:ole="" fillcolor="window">
            <v:imagedata r:id="rId347" o:title=""/>
          </v:shape>
          <o:OLEObject Type="Embed" ProgID="Equation.3" ShapeID="_x0000_i1215" DrawAspect="Content" ObjectID="_1498392332" r:id="rId348"/>
        </w:object>
      </w:r>
      <w:r w:rsidRPr="00B04DC3">
        <w:rPr>
          <w:vertAlign w:val="subscript"/>
          <w:lang w:val="en-GB"/>
        </w:rPr>
        <w:tab/>
      </w:r>
      <w:r w:rsidRPr="00B04DC3">
        <w:rPr>
          <w:lang w:val="en-GB"/>
        </w:rPr>
        <w:t>(4)</w:t>
      </w:r>
    </w:p>
    <w:p w:rsidR="00002BA6" w:rsidRPr="00B04DC3" w:rsidRDefault="004B53F0" w:rsidP="00002BA6">
      <w:pPr>
        <w:pStyle w:val="para"/>
        <w:ind w:firstLine="0"/>
        <w:rPr>
          <w:lang w:val="en-GB"/>
        </w:rPr>
      </w:pPr>
      <w:r w:rsidRPr="00B04DC3">
        <w:rPr>
          <w:lang w:val="en-GB"/>
        </w:rPr>
        <w:t>Where</w:t>
      </w:r>
      <w:r w:rsidR="00002BA6" w:rsidRPr="00B04DC3">
        <w:rPr>
          <w:lang w:val="en-GB"/>
        </w:rPr>
        <w:t>:</w:t>
      </w:r>
    </w:p>
    <w:p w:rsidR="00002BA6" w:rsidRPr="00B04DC3" w:rsidRDefault="00002BA6" w:rsidP="00B43FF2">
      <w:pPr>
        <w:pStyle w:val="para"/>
        <w:spacing w:after="60"/>
        <w:ind w:firstLine="0"/>
        <w:rPr>
          <w:lang w:val="en-GB"/>
        </w:rPr>
      </w:pPr>
      <w:r w:rsidRPr="00B04DC3">
        <w:rPr>
          <w:lang w:val="en-GB"/>
        </w:rPr>
        <w:t>P</w:t>
      </w:r>
      <w:r w:rsidRPr="00B04DC3">
        <w:rPr>
          <w:vertAlign w:val="subscript"/>
          <w:lang w:val="en-GB"/>
        </w:rPr>
        <w:t>m,i</w:t>
      </w:r>
      <w:r w:rsidRPr="00B04DC3">
        <w:rPr>
          <w:lang w:val="en-GB"/>
        </w:rPr>
        <w:tab/>
        <w:t>is the measured engine power, kW</w:t>
      </w:r>
    </w:p>
    <w:p w:rsidR="00002BA6" w:rsidRPr="00B04DC3" w:rsidRDefault="00002BA6" w:rsidP="00B43FF2">
      <w:pPr>
        <w:pStyle w:val="para"/>
        <w:spacing w:after="60"/>
        <w:ind w:firstLine="0"/>
        <w:rPr>
          <w:lang w:val="en-GB"/>
        </w:rPr>
      </w:pPr>
      <w:r w:rsidRPr="00B04DC3">
        <w:rPr>
          <w:lang w:val="en-GB"/>
        </w:rPr>
        <w:t>P</w:t>
      </w:r>
      <w:r w:rsidRPr="00B04DC3">
        <w:rPr>
          <w:vertAlign w:val="subscript"/>
          <w:lang w:val="en-GB"/>
        </w:rPr>
        <w:t>f,i</w:t>
      </w:r>
      <w:r w:rsidRPr="00B04DC3">
        <w:rPr>
          <w:lang w:val="en-GB"/>
        </w:rPr>
        <w:tab/>
        <w:t>is the power absorbed by auxiliaries/equipment to be fitted, kW</w:t>
      </w:r>
    </w:p>
    <w:p w:rsidR="00002BA6" w:rsidRPr="00B04DC3" w:rsidRDefault="00002BA6" w:rsidP="00002BA6">
      <w:pPr>
        <w:pStyle w:val="para"/>
        <w:ind w:firstLine="0"/>
        <w:rPr>
          <w:lang w:val="en-GB"/>
        </w:rPr>
      </w:pPr>
      <w:r w:rsidRPr="00B04DC3">
        <w:rPr>
          <w:lang w:val="en-GB"/>
        </w:rPr>
        <w:t>P</w:t>
      </w:r>
      <w:r w:rsidRPr="00B04DC3">
        <w:rPr>
          <w:vertAlign w:val="subscript"/>
          <w:lang w:val="en-GB"/>
        </w:rPr>
        <w:t>r,i</w:t>
      </w:r>
      <w:r w:rsidRPr="00B04DC3">
        <w:rPr>
          <w:lang w:val="en-GB"/>
        </w:rPr>
        <w:tab/>
        <w:t>is the power absorbed by auxiliaries/equipment to be removed, kW.</w:t>
      </w:r>
    </w:p>
    <w:p w:rsidR="00002BA6" w:rsidRPr="00B04DC3" w:rsidRDefault="00002BA6" w:rsidP="00002BA6">
      <w:pPr>
        <w:pStyle w:val="para"/>
        <w:rPr>
          <w:lang w:val="en-GB"/>
        </w:rPr>
      </w:pPr>
      <w:r w:rsidRPr="00B04DC3">
        <w:rPr>
          <w:lang w:val="en-GB"/>
        </w:rPr>
        <w:t>6.4.</w:t>
      </w:r>
      <w:r w:rsidRPr="00B04DC3">
        <w:rPr>
          <w:lang w:val="en-GB"/>
        </w:rPr>
        <w:tab/>
        <w:t>Engine air intake system</w:t>
      </w:r>
    </w:p>
    <w:p w:rsidR="00002BA6" w:rsidRPr="00B04DC3" w:rsidRDefault="00002BA6" w:rsidP="00002BA6">
      <w:pPr>
        <w:pStyle w:val="para"/>
        <w:rPr>
          <w:lang w:val="en-GB"/>
        </w:rPr>
      </w:pPr>
      <w:r w:rsidRPr="00B04DC3">
        <w:rPr>
          <w:lang w:val="en-GB"/>
        </w:rPr>
        <w:tab/>
        <w:t>An engine air intake system or a test laboratory system shall be used presenting an air intake restriction within </w:t>
      </w:r>
      <w:r w:rsidRPr="00B04DC3">
        <w:rPr>
          <w:lang w:val="en-GB"/>
        </w:rPr>
        <w:sym w:font="Symbol" w:char="F0B1"/>
      </w:r>
      <w:r w:rsidRPr="00B04DC3">
        <w:rPr>
          <w:lang w:val="en-GB"/>
        </w:rPr>
        <w:t>300 Pa of the maximum value specified by the manufacturer for a clean air cleaner at the rated speed and full load. The static differential pressure of the restriction shall be measured at the location specified by the manufacturer.</w:t>
      </w:r>
    </w:p>
    <w:p w:rsidR="00002BA6" w:rsidRPr="00B04DC3" w:rsidRDefault="00002BA6" w:rsidP="00002BA6">
      <w:pPr>
        <w:pStyle w:val="para"/>
        <w:rPr>
          <w:lang w:val="en-GB"/>
        </w:rPr>
      </w:pPr>
      <w:r w:rsidRPr="00B04DC3">
        <w:rPr>
          <w:lang w:val="en-GB"/>
        </w:rPr>
        <w:t>6.5.</w:t>
      </w:r>
      <w:r w:rsidRPr="00B04DC3">
        <w:rPr>
          <w:lang w:val="en-GB"/>
        </w:rPr>
        <w:tab/>
        <w:t>Engine exhaust system</w:t>
      </w:r>
    </w:p>
    <w:p w:rsidR="00002BA6" w:rsidRPr="00B04DC3" w:rsidRDefault="00002BA6" w:rsidP="00002BA6">
      <w:pPr>
        <w:pStyle w:val="para"/>
        <w:rPr>
          <w:lang w:val="en-GB"/>
        </w:rPr>
      </w:pPr>
      <w:r w:rsidRPr="00B04DC3">
        <w:rPr>
          <w:lang w:val="en-GB"/>
        </w:rPr>
        <w:tab/>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r w:rsidR="00405F93">
        <w:rPr>
          <w:lang w:val="en-GB"/>
        </w:rPr>
        <w:t xml:space="preserve"> of this annex.</w:t>
      </w:r>
    </w:p>
    <w:p w:rsidR="00002BA6" w:rsidRPr="00B04DC3" w:rsidRDefault="00002BA6" w:rsidP="00002BA6">
      <w:pPr>
        <w:pStyle w:val="para"/>
        <w:rPr>
          <w:lang w:val="en-GB"/>
        </w:rPr>
      </w:pPr>
      <w:r w:rsidRPr="00B04DC3">
        <w:rPr>
          <w:lang w:val="en-GB"/>
        </w:rPr>
        <w:t>6.6.</w:t>
      </w:r>
      <w:r w:rsidRPr="00B04DC3">
        <w:rPr>
          <w:lang w:val="en-GB"/>
        </w:rPr>
        <w:tab/>
        <w:t>Engine with exhaust after-treatment system</w:t>
      </w:r>
    </w:p>
    <w:p w:rsidR="00002BA6" w:rsidRPr="00B43FF2" w:rsidRDefault="00002BA6" w:rsidP="00002BA6">
      <w:pPr>
        <w:pStyle w:val="para"/>
        <w:rPr>
          <w:spacing w:val="-2"/>
          <w:lang w:val="en-GB"/>
        </w:rPr>
      </w:pPr>
      <w:r w:rsidRPr="00B43FF2">
        <w:rPr>
          <w:spacing w:val="-2"/>
          <w:lang w:val="en-GB"/>
        </w:rPr>
        <w:tab/>
        <w:t xml:space="preserve">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w:t>
      </w:r>
      <w:r w:rsidR="006A75A0" w:rsidRPr="00B43FF2">
        <w:rPr>
          <w:spacing w:val="-2"/>
          <w:lang w:val="en-GB"/>
        </w:rPr>
        <w:t>after-treatment</w:t>
      </w:r>
      <w:r w:rsidRPr="00B43FF2">
        <w:rPr>
          <w:spacing w:val="-2"/>
          <w:lang w:val="en-GB"/>
        </w:rPr>
        <w:t xml:space="preserve"> devices, the maximum exhaust restriction is defined at the </w:t>
      </w:r>
      <w:r w:rsidR="006A75A0" w:rsidRPr="00B43FF2">
        <w:rPr>
          <w:spacing w:val="-2"/>
          <w:lang w:val="en-GB"/>
        </w:rPr>
        <w:t>after-treatment</w:t>
      </w:r>
      <w:r w:rsidRPr="00B43FF2">
        <w:rPr>
          <w:spacing w:val="-2"/>
          <w:lang w:val="en-GB"/>
        </w:rPr>
        <w:t xml:space="preserve"> condition (degreening/aging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rsidR="00002BA6" w:rsidRPr="00B04DC3" w:rsidRDefault="00002BA6" w:rsidP="00002BA6">
      <w:pPr>
        <w:pStyle w:val="para"/>
        <w:rPr>
          <w:lang w:val="en-GB"/>
        </w:rPr>
      </w:pPr>
      <w:r w:rsidRPr="00B04DC3">
        <w:rPr>
          <w:lang w:val="en-GB"/>
        </w:rPr>
        <w:tab/>
        <w:t>The emissions measured on the test cycle shall be representative of the emissions in the field. In the case of an engine equipped with a exhaust after-treatment system that requires the consumption of a reagent, the reagent used for all tests shall be declared by the manufacturer.</w:t>
      </w:r>
    </w:p>
    <w:p w:rsidR="00002BA6" w:rsidRPr="00B04DC3" w:rsidRDefault="00002BA6" w:rsidP="00002BA6">
      <w:pPr>
        <w:pStyle w:val="para"/>
        <w:rPr>
          <w:lang w:val="en-GB"/>
        </w:rPr>
      </w:pPr>
      <w:r w:rsidRPr="00B04DC3">
        <w:rPr>
          <w:lang w:val="en-GB"/>
        </w:rPr>
        <w:tab/>
        <w:t>Engines equipped with exhaust after-treatment systems with continuous regeneration do not require a special test procedure, but the regeneration process needs to be demonstrated according to paragraph 6.6.1.</w:t>
      </w:r>
      <w:r w:rsidR="00405F93">
        <w:rPr>
          <w:lang w:val="en-GB"/>
        </w:rPr>
        <w:t xml:space="preserve"> below.</w:t>
      </w:r>
    </w:p>
    <w:p w:rsidR="00002BA6" w:rsidRPr="00B04DC3" w:rsidRDefault="00002BA6" w:rsidP="00002BA6">
      <w:pPr>
        <w:pStyle w:val="para"/>
        <w:rPr>
          <w:lang w:val="en-GB"/>
        </w:rPr>
      </w:pPr>
      <w:r w:rsidRPr="00B04DC3">
        <w:rPr>
          <w:lang w:val="en-GB"/>
        </w:rPr>
        <w:tab/>
        <w:t>For engines equipped with exhaust after-treatment systems that are regenerated on a periodic basis, as described in paragraph 6.6.2.</w:t>
      </w:r>
      <w:r w:rsidR="00405F93">
        <w:rPr>
          <w:lang w:val="en-GB"/>
        </w:rPr>
        <w:t xml:space="preserve"> below.</w:t>
      </w:r>
      <w:r w:rsidRPr="00B04DC3">
        <w:rPr>
          <w:lang w:val="en-GB"/>
        </w:rPr>
        <w:t>, emission results shall be adjusted to account for regeneration events. In this case, the average emission depends on the frequency of the regeneration event in terms of fraction of tests during which the regeneration occurs.</w:t>
      </w:r>
    </w:p>
    <w:p w:rsidR="00002BA6" w:rsidRPr="00B04DC3" w:rsidRDefault="00002BA6" w:rsidP="00002BA6">
      <w:pPr>
        <w:pStyle w:val="para"/>
        <w:rPr>
          <w:lang w:val="en-GB"/>
        </w:rPr>
      </w:pPr>
      <w:r w:rsidRPr="00B04DC3">
        <w:rPr>
          <w:lang w:val="en-GB"/>
        </w:rPr>
        <w:t>6.6.1.</w:t>
      </w:r>
      <w:r w:rsidRPr="00B04DC3">
        <w:rPr>
          <w:lang w:val="en-GB"/>
        </w:rPr>
        <w:tab/>
        <w:t>Continuous regeneration</w:t>
      </w:r>
    </w:p>
    <w:p w:rsidR="00002BA6" w:rsidRPr="00B04DC3" w:rsidRDefault="00002BA6" w:rsidP="00002BA6">
      <w:pPr>
        <w:pStyle w:val="para"/>
        <w:rPr>
          <w:lang w:val="en-GB"/>
        </w:rPr>
      </w:pPr>
      <w:r w:rsidRPr="00B04DC3">
        <w:rPr>
          <w:lang w:val="en-GB"/>
        </w:rPr>
        <w:tab/>
        <w:t>The emissions shall be measured on an after-treatment system that has been stabilized so as to result in repeatable emissions behaviour. The regeneration process shall occur at least once during the WHTC hot start test and the manufacturer shall declare the normal conditions under which regeneration occurs (soot load, temperature, exhaust back-pressure, etc.).</w:t>
      </w:r>
    </w:p>
    <w:p w:rsidR="00002BA6" w:rsidRPr="00B43FF2" w:rsidRDefault="00002BA6" w:rsidP="00B43FF2">
      <w:pPr>
        <w:pStyle w:val="para"/>
        <w:spacing w:after="100"/>
        <w:rPr>
          <w:spacing w:val="-4"/>
          <w:lang w:val="en-GB"/>
        </w:rPr>
      </w:pPr>
      <w:r w:rsidRPr="00B43FF2">
        <w:rPr>
          <w:spacing w:val="-4"/>
          <w:lang w:val="en-GB"/>
        </w:rPr>
        <w:tab/>
        <w:t xml:space="preserve">In order to demonstrate that the regeneration process is continuous, at least three WHTC hot start tests shall be conducted. For the purpose of this demonstration, the engine shall be warmed up in accordance with paragraph 7.4.1., the engine be soaked according to paragraph 7.6.3. </w:t>
      </w:r>
      <w:r w:rsidR="00A43208" w:rsidRPr="00B43FF2">
        <w:rPr>
          <w:spacing w:val="-4"/>
          <w:lang w:val="en-GB"/>
        </w:rPr>
        <w:t xml:space="preserve">of this annex </w:t>
      </w:r>
      <w:r w:rsidRPr="00B43FF2">
        <w:rPr>
          <w:spacing w:val="-4"/>
          <w:lang w:val="en-GB"/>
        </w:rPr>
        <w:t xml:space="preserve">and the first WHTC hot start test be run. The subsequent hot start tests shall be started after soaking according to paragraph 7.6.3. </w:t>
      </w:r>
      <w:r w:rsidR="00A43208" w:rsidRPr="00B43FF2">
        <w:rPr>
          <w:spacing w:val="-4"/>
          <w:lang w:val="en-GB"/>
        </w:rPr>
        <w:t xml:space="preserve">of this annex. </w:t>
      </w:r>
      <w:r w:rsidRPr="00B43FF2">
        <w:rPr>
          <w:spacing w:val="-4"/>
          <w:lang w:val="en-GB"/>
        </w:rPr>
        <w:t>During the tests, exhaust temperatures and pressures shall be recorded (temperature before and after the after-treatment system, exhaust back pressure, etc.).</w:t>
      </w:r>
    </w:p>
    <w:p w:rsidR="00002BA6" w:rsidRPr="00B04DC3" w:rsidRDefault="00002BA6" w:rsidP="00B43FF2">
      <w:pPr>
        <w:pStyle w:val="para"/>
        <w:spacing w:after="100"/>
        <w:rPr>
          <w:lang w:val="en-GB"/>
        </w:rPr>
      </w:pPr>
      <w:r w:rsidRPr="00B04DC3">
        <w:rPr>
          <w:lang w:val="en-GB"/>
        </w:rPr>
        <w:tab/>
        <w:t xml:space="preserve">If the conditions declared by the manufacturer occur during the tests and the results of the three (or more) WHTC hot start tests do not scatter by more than ±25 per cent or 0.005 g/kWh, whichever is greater, the after-treatment system is considered to be of the continuous regeneration type, and the general test provisions of paragraph 7.6. (WHTC) and paragraph 7.7. (WHSC) </w:t>
      </w:r>
      <w:r w:rsidR="00A43208">
        <w:rPr>
          <w:lang w:val="en-GB"/>
        </w:rPr>
        <w:t>of this annex</w:t>
      </w:r>
      <w:r w:rsidR="00A43208" w:rsidRPr="00B04DC3">
        <w:rPr>
          <w:lang w:val="en-GB"/>
        </w:rPr>
        <w:t xml:space="preserve"> </w:t>
      </w:r>
      <w:r w:rsidRPr="00B04DC3">
        <w:rPr>
          <w:lang w:val="en-GB"/>
        </w:rPr>
        <w:t>apply.</w:t>
      </w:r>
    </w:p>
    <w:p w:rsidR="00002BA6" w:rsidRPr="00B04DC3" w:rsidRDefault="00002BA6" w:rsidP="00B43FF2">
      <w:pPr>
        <w:pStyle w:val="para"/>
        <w:spacing w:after="100"/>
        <w:rPr>
          <w:lang w:val="en-GB"/>
        </w:rPr>
      </w:pPr>
      <w:r w:rsidRPr="00B04DC3">
        <w:rPr>
          <w:lang w:val="en-GB"/>
        </w:rPr>
        <w:tab/>
        <w:t xml:space="preserve">If the exhaust after-treatment system has a security mode that shifts to a periodic regeneration mode, it shall be checked according to paragraph 6.6.2. </w:t>
      </w:r>
      <w:r w:rsidR="00A43208">
        <w:rPr>
          <w:lang w:val="en-GB"/>
        </w:rPr>
        <w:t xml:space="preserve">of this annex. </w:t>
      </w:r>
      <w:r w:rsidRPr="00B04DC3">
        <w:rPr>
          <w:lang w:val="en-GB"/>
        </w:rPr>
        <w:t>For that specific case, the applicable emission limits may be exceeded and would not be weighted.</w:t>
      </w:r>
    </w:p>
    <w:p w:rsidR="00002BA6" w:rsidRPr="00B04DC3" w:rsidRDefault="00002BA6" w:rsidP="00B43FF2">
      <w:pPr>
        <w:pStyle w:val="para"/>
        <w:spacing w:after="100"/>
        <w:rPr>
          <w:lang w:val="en-GB"/>
        </w:rPr>
      </w:pPr>
      <w:r w:rsidRPr="00B04DC3">
        <w:rPr>
          <w:lang w:val="en-GB"/>
        </w:rPr>
        <w:t>6.6.2.</w:t>
      </w:r>
      <w:r w:rsidRPr="00B04DC3">
        <w:rPr>
          <w:lang w:val="en-GB"/>
        </w:rPr>
        <w:tab/>
        <w:t>Periodic regeneration</w:t>
      </w:r>
    </w:p>
    <w:p w:rsidR="00002BA6" w:rsidRPr="00B04DC3" w:rsidRDefault="00002BA6" w:rsidP="00B43FF2">
      <w:pPr>
        <w:pStyle w:val="para"/>
        <w:spacing w:after="100"/>
        <w:rPr>
          <w:lang w:val="en-GB"/>
        </w:rPr>
      </w:pPr>
      <w:r w:rsidRPr="00B04DC3">
        <w:rPr>
          <w:lang w:val="en-GB"/>
        </w:rPr>
        <w:tab/>
        <w:t>For an exhaust after-treatment based on a periodic regeneration process, the emissions shall be measured on at least three WHTC hot start tests, one with and two without a regeneration event on a stabilized after-treatment system, and the results be weighted in accordance with equation 5.</w:t>
      </w:r>
    </w:p>
    <w:p w:rsidR="00002BA6" w:rsidRPr="00B04DC3" w:rsidRDefault="00002BA6" w:rsidP="00B43FF2">
      <w:pPr>
        <w:pStyle w:val="para"/>
        <w:spacing w:after="100"/>
        <w:rPr>
          <w:lang w:val="en-GB"/>
        </w:rPr>
      </w:pPr>
      <w:r w:rsidRPr="00B04DC3">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rsidR="00002BA6" w:rsidRPr="00B04DC3" w:rsidRDefault="00002BA6" w:rsidP="00B43FF2">
      <w:pPr>
        <w:pStyle w:val="para"/>
        <w:spacing w:after="100"/>
        <w:rPr>
          <w:lang w:val="en-GB"/>
        </w:rPr>
      </w:pPr>
      <w:r w:rsidRPr="00B04DC3">
        <w:rPr>
          <w:lang w:val="en-GB"/>
        </w:rPr>
        <w:tab/>
        <w:t xml:space="preserve">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 use data using good engineering judgement, and shall be agreed by the </w:t>
      </w:r>
      <w:r w:rsidR="00B43FF2">
        <w:rPr>
          <w:lang w:val="en-GB"/>
        </w:rPr>
        <w:t>T</w:t>
      </w:r>
      <w:r w:rsidRPr="00B04DC3">
        <w:rPr>
          <w:lang w:val="en-GB"/>
        </w:rPr>
        <w:t xml:space="preserve">ype </w:t>
      </w:r>
      <w:r w:rsidR="00B43FF2">
        <w:rPr>
          <w:lang w:val="en-GB"/>
        </w:rPr>
        <w:t>A</w:t>
      </w:r>
      <w:r w:rsidRPr="00B04DC3">
        <w:rPr>
          <w:lang w:val="en-GB"/>
        </w:rPr>
        <w:t xml:space="preserve">pproval or certification </w:t>
      </w:r>
      <w:r w:rsidR="00B43FF2">
        <w:rPr>
          <w:lang w:val="en-GB"/>
        </w:rPr>
        <w:t>A</w:t>
      </w:r>
      <w:r w:rsidRPr="00B04DC3">
        <w:rPr>
          <w:lang w:val="en-GB"/>
        </w:rPr>
        <w:t>uthority.</w:t>
      </w:r>
    </w:p>
    <w:p w:rsidR="00002BA6" w:rsidRPr="00B04DC3" w:rsidRDefault="00002BA6" w:rsidP="00B43FF2">
      <w:pPr>
        <w:pStyle w:val="para"/>
        <w:spacing w:after="100"/>
        <w:rPr>
          <w:lang w:val="en-GB"/>
        </w:rPr>
      </w:pPr>
      <w:r w:rsidRPr="00B04DC3">
        <w:rPr>
          <w:lang w:val="en-GB"/>
        </w:rPr>
        <w:tab/>
        <w:t>The manufacturer shall provide an after-treatment system that has been loaded in order to achieve regeneration during a WHTC test. For the purpose of this testing, the engine shall be warmed up in accordance with paragraph 7.4.1.</w:t>
      </w:r>
      <w:r w:rsidR="00A43208" w:rsidRPr="00A43208">
        <w:rPr>
          <w:lang w:val="en-GB"/>
        </w:rPr>
        <w:t xml:space="preserve"> </w:t>
      </w:r>
      <w:r w:rsidR="00A43208">
        <w:rPr>
          <w:lang w:val="en-GB"/>
        </w:rPr>
        <w:t>of this annex</w:t>
      </w:r>
      <w:r w:rsidRPr="00B04DC3">
        <w:rPr>
          <w:lang w:val="en-GB"/>
        </w:rPr>
        <w:t xml:space="preserve">, the engine be soaked according to paragraph 7.6.3. </w:t>
      </w:r>
      <w:r w:rsidR="00A43208">
        <w:rPr>
          <w:lang w:val="en-GB"/>
        </w:rPr>
        <w:t>of this annex</w:t>
      </w:r>
      <w:r w:rsidR="00A43208" w:rsidRPr="00B04DC3">
        <w:rPr>
          <w:lang w:val="en-GB"/>
        </w:rPr>
        <w:t xml:space="preserve"> </w:t>
      </w:r>
      <w:r w:rsidRPr="00B04DC3">
        <w:rPr>
          <w:lang w:val="en-GB"/>
        </w:rPr>
        <w:t>and the WHTC hot start test be started. Regeneration shall not occur during the engine warm-up.</w:t>
      </w:r>
    </w:p>
    <w:p w:rsidR="00002BA6" w:rsidRPr="00B04DC3" w:rsidRDefault="00002BA6" w:rsidP="00B43FF2">
      <w:pPr>
        <w:pStyle w:val="para"/>
        <w:spacing w:after="100"/>
        <w:rPr>
          <w:spacing w:val="-4"/>
          <w:lang w:val="en-GB"/>
        </w:rPr>
      </w:pPr>
      <w:r w:rsidRPr="00B04DC3">
        <w:rPr>
          <w:spacing w:val="-4"/>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B04DC3">
        <w:rPr>
          <w:spacing w:val="-4"/>
          <w:lang w:val="en-GB"/>
        </w:rPr>
        <w:sym w:font="Symbol" w:char="F0B1"/>
      </w:r>
      <w:r w:rsidRPr="00B04DC3">
        <w:rPr>
          <w:spacing w:val="-4"/>
          <w:lang w:val="en-GB"/>
        </w:rPr>
        <w:t>25 per cent or 0.005 g/kWh, whichever is greater) between regeneration phases. In this case, the emissions of only one WHTC hot start test may be used.</w:t>
      </w:r>
    </w:p>
    <w:p w:rsidR="00002BA6" w:rsidRPr="00B04DC3" w:rsidRDefault="00002BA6" w:rsidP="00002BA6">
      <w:pPr>
        <w:pStyle w:val="para"/>
        <w:rPr>
          <w:lang w:val="en-GB"/>
        </w:rPr>
      </w:pPr>
      <w:r w:rsidRPr="00B04DC3">
        <w:rPr>
          <w:lang w:val="en-GB"/>
        </w:rPr>
        <w:tab/>
        <w:t>During the regeneration test, all the data needed to detect regeneration shall be recorded (CO or NO</w:t>
      </w:r>
      <w:r w:rsidRPr="00B04DC3">
        <w:rPr>
          <w:vertAlign w:val="subscript"/>
          <w:lang w:val="en-GB"/>
        </w:rPr>
        <w:t>x</w:t>
      </w:r>
      <w:r w:rsidRPr="00B04DC3">
        <w:rPr>
          <w:lang w:val="en-GB"/>
        </w:rPr>
        <w:t xml:space="preserve"> emissions, temperature before and after the after-treatment system, exhaust back pressure, etc.).</w:t>
      </w:r>
    </w:p>
    <w:p w:rsidR="00002BA6" w:rsidRPr="00B04DC3" w:rsidRDefault="00002BA6" w:rsidP="00002BA6">
      <w:pPr>
        <w:pStyle w:val="para"/>
        <w:rPr>
          <w:lang w:val="en-GB"/>
        </w:rPr>
      </w:pPr>
      <w:r w:rsidRPr="00B04DC3">
        <w:rPr>
          <w:lang w:val="en-GB"/>
        </w:rPr>
        <w:tab/>
      </w:r>
      <w:r w:rsidRPr="00B04DC3">
        <w:rPr>
          <w:lang w:val="en-GB"/>
        </w:rPr>
        <w:tab/>
        <w:t>During the regeneration test, the applicable emission limits may be exceeded.</w:t>
      </w:r>
    </w:p>
    <w:p w:rsidR="00002BA6" w:rsidRPr="00B04DC3" w:rsidRDefault="00002BA6" w:rsidP="00002BA6">
      <w:pPr>
        <w:pStyle w:val="para"/>
        <w:rPr>
          <w:lang w:val="en-GB"/>
        </w:rPr>
      </w:pPr>
      <w:r w:rsidRPr="00B04DC3">
        <w:rPr>
          <w:lang w:val="en-GB"/>
        </w:rPr>
        <w:tab/>
      </w:r>
      <w:r w:rsidRPr="00B04DC3">
        <w:rPr>
          <w:lang w:val="en-GB"/>
        </w:rPr>
        <w:tab/>
        <w:t>The test procedure is schematically shown in Figure 2.</w:t>
      </w:r>
    </w:p>
    <w:p w:rsidR="00002BA6" w:rsidRPr="00B04DC3" w:rsidRDefault="00002BA6" w:rsidP="00002BA6">
      <w:pPr>
        <w:pStyle w:val="Heading1"/>
      </w:pPr>
      <w:bookmarkStart w:id="445" w:name="_Toc399939995"/>
      <w:bookmarkStart w:id="446" w:name="_Toc423599581"/>
      <w:bookmarkStart w:id="447" w:name="_Toc423610989"/>
      <w:r w:rsidRPr="00B04DC3">
        <w:t>Figure 2</w:t>
      </w:r>
      <w:bookmarkEnd w:id="445"/>
      <w:bookmarkEnd w:id="446"/>
      <w:bookmarkEnd w:id="447"/>
    </w:p>
    <w:p w:rsidR="00002BA6" w:rsidRPr="00B04DC3" w:rsidRDefault="00002BA6" w:rsidP="00002BA6">
      <w:pPr>
        <w:pStyle w:val="Heading1"/>
        <w:rPr>
          <w:b/>
        </w:rPr>
      </w:pPr>
      <w:bookmarkStart w:id="448" w:name="_Toc399939996"/>
      <w:bookmarkStart w:id="449" w:name="_Toc423599582"/>
      <w:bookmarkStart w:id="450" w:name="_Toc423610990"/>
      <w:r w:rsidRPr="00B04DC3">
        <w:rPr>
          <w:b/>
        </w:rPr>
        <w:t>Scheme of periodic regeneration</w:t>
      </w:r>
      <w:bookmarkEnd w:id="448"/>
      <w:bookmarkEnd w:id="449"/>
      <w:bookmarkEnd w:id="450"/>
    </w:p>
    <w:p w:rsidR="00002BA6" w:rsidRPr="00B04DC3" w:rsidRDefault="00A905B7" w:rsidP="00002BA6">
      <w:pPr>
        <w:tabs>
          <w:tab w:val="left" w:pos="1134"/>
          <w:tab w:val="left" w:pos="1701"/>
        </w:tabs>
        <w:ind w:left="1134"/>
        <w:jc w:val="both"/>
      </w:pPr>
      <w:r>
        <w:pict>
          <v:shape id="_x0000_i1216" type="#_x0000_t75" style="width:378.6pt;height:252.6pt">
            <v:imagedata r:id="rId349" o:title="" croptop="5864f" cropbottom="1087f"/>
          </v:shape>
        </w:pict>
      </w:r>
    </w:p>
    <w:p w:rsidR="00002BA6" w:rsidRPr="00B04DC3" w:rsidRDefault="00002BA6" w:rsidP="00002BA6">
      <w:pPr>
        <w:pStyle w:val="para"/>
        <w:rPr>
          <w:lang w:val="en-GB"/>
        </w:rPr>
      </w:pPr>
      <w:r w:rsidRPr="00B04DC3">
        <w:rPr>
          <w:lang w:val="en-GB"/>
        </w:rPr>
        <w:tab/>
        <w:t>The WHTC hot start emissions shall be weighted as follows:</w:t>
      </w:r>
    </w:p>
    <w:p w:rsidR="00002BA6" w:rsidRPr="00B43FF2" w:rsidRDefault="00002BA6" w:rsidP="00002BA6">
      <w:pPr>
        <w:pStyle w:val="para"/>
        <w:tabs>
          <w:tab w:val="right" w:pos="8505"/>
        </w:tabs>
        <w:spacing w:after="0"/>
        <w:rPr>
          <w:position w:val="40"/>
          <w:lang w:val="en-GB"/>
        </w:rPr>
      </w:pPr>
      <w:r w:rsidRPr="00B04DC3">
        <w:rPr>
          <w:lang w:val="en-GB"/>
        </w:rPr>
        <w:tab/>
      </w:r>
      <w:r w:rsidR="00A905B7">
        <w:rPr>
          <w:lang w:val="en-GB"/>
        </w:rPr>
      </w:r>
      <w:r w:rsidR="00A905B7">
        <w:rPr>
          <w:lang w:val="en-GB"/>
        </w:rPr>
        <w:pict>
          <v:group id="_x0000_s3866" editas="canvas" style="width:83.6pt;height:32.25pt;mso-position-horizontal-relative:char;mso-position-vertical-relative:line" coordsize="1900,733">
            <o:lock v:ext="edit" aspectratio="t"/>
            <v:shape id="_x0000_s3867" type="#_x0000_t75" style="position:absolute;width:1900;height:733" o:preferrelative="f">
              <v:fill o:detectmouseclick="t"/>
              <v:path o:extrusionok="t" o:connecttype="none"/>
              <o:lock v:ext="edit" text="t"/>
            </v:shape>
            <v:line id="_x0000_s3868" style="position:absolute" from="897,48" to="987,48" strokeweight=".5pt"/>
            <v:line id="_x0000_s3869" style="position:absolute" from="1668,48" to="1838,48" strokeweight=".5pt"/>
            <v:line id="_x0000_s3870" style="position:absolute" from="538,360" to="1858,360" strokeweight=".5pt"/>
            <v:rect id="_x0000_s3871" style="position:absolute;left:1405;top:460;width:185;height:273" filled="f" stroked="f">
              <v:textbox style="mso-fit-shape-to-text:t" inset="0,0,0,0">
                <w:txbxContent>
                  <w:p w:rsidR="00A905B7" w:rsidRPr="00CC51C7" w:rsidRDefault="00A905B7">
                    <w:pPr>
                      <w:rPr>
                        <w:sz w:val="17"/>
                      </w:rPr>
                    </w:pPr>
                    <w:r w:rsidRPr="00CC51C7">
                      <w:rPr>
                        <w:color w:val="000000"/>
                        <w:sz w:val="12"/>
                        <w:szCs w:val="14"/>
                      </w:rPr>
                      <w:t>r</w:t>
                    </w:r>
                  </w:p>
                </w:txbxContent>
              </v:textbox>
            </v:rect>
            <v:rect id="_x0000_s3872" style="position:absolute;left:1768;top:113;width:42;height:272;mso-wrap-style:none" filled="f" stroked="f">
              <v:textbox style="mso-fit-shape-to-text:t" inset="0,0,0,0">
                <w:txbxContent>
                  <w:p w:rsidR="00A905B7" w:rsidRPr="00CC51C7" w:rsidRDefault="00A905B7">
                    <w:pPr>
                      <w:rPr>
                        <w:sz w:val="17"/>
                      </w:rPr>
                    </w:pPr>
                    <w:r w:rsidRPr="00CC51C7">
                      <w:rPr>
                        <w:color w:val="000000"/>
                        <w:sz w:val="12"/>
                        <w:szCs w:val="14"/>
                      </w:rPr>
                      <w:t>r</w:t>
                    </w:r>
                  </w:p>
                </w:txbxContent>
              </v:textbox>
            </v:rect>
            <v:rect id="_x0000_s3873" style="position:absolute;left:1366;top:123;width:204;height:272" filled="f" stroked="f">
              <v:textbox style="mso-fit-shape-to-text:t" inset="0,0,0,0">
                <w:txbxContent>
                  <w:p w:rsidR="00A905B7" w:rsidRPr="00CC51C7" w:rsidRDefault="00A905B7">
                    <w:pPr>
                      <w:rPr>
                        <w:sz w:val="17"/>
                      </w:rPr>
                    </w:pPr>
                    <w:r w:rsidRPr="00CC51C7">
                      <w:rPr>
                        <w:color w:val="000000"/>
                        <w:sz w:val="12"/>
                        <w:szCs w:val="14"/>
                      </w:rPr>
                      <w:t>r</w:t>
                    </w:r>
                  </w:p>
                </w:txbxContent>
              </v:textbox>
            </v:rect>
            <v:rect id="_x0000_s3874" style="position:absolute;left:141;top:353;width:91;height:273;mso-wrap-style:none" filled="f" stroked="f">
              <v:textbox style="mso-fit-shape-to-text:t" inset="0,0,0,0">
                <w:txbxContent>
                  <w:p w:rsidR="00A905B7" w:rsidRPr="00CC51C7" w:rsidRDefault="00A905B7">
                    <w:pPr>
                      <w:rPr>
                        <w:sz w:val="17"/>
                      </w:rPr>
                    </w:pPr>
                    <w:r w:rsidRPr="00CC51C7">
                      <w:rPr>
                        <w:color w:val="000000"/>
                        <w:sz w:val="12"/>
                        <w:szCs w:val="14"/>
                      </w:rPr>
                      <w:t>w</w:t>
                    </w:r>
                  </w:p>
                </w:txbxContent>
              </v:textbox>
            </v:rect>
            <v:rect id="_x0000_s3875" style="position:absolute;left:1272;top:392;width:97;height:273;mso-wrap-style:none" filled="f" stroked="f">
              <v:textbox style="mso-fit-shape-to-text:t" inset="0,0,0,0">
                <w:txbxContent>
                  <w:p w:rsidR="00A905B7" w:rsidRPr="00CC51C7" w:rsidRDefault="00A905B7">
                    <w:pPr>
                      <w:rPr>
                        <w:i/>
                        <w:sz w:val="17"/>
                      </w:rPr>
                    </w:pPr>
                    <w:r w:rsidRPr="00CC51C7">
                      <w:rPr>
                        <w:i/>
                        <w:color w:val="000000"/>
                        <w:sz w:val="17"/>
                        <w:szCs w:val="24"/>
                      </w:rPr>
                      <w:t>n</w:t>
                    </w:r>
                  </w:p>
                </w:txbxContent>
              </v:textbox>
            </v:rect>
            <v:rect id="_x0000_s3876" style="position:absolute;left:907;top:392;width:98;height:273;mso-wrap-style:none" filled="f" stroked="f">
              <v:textbox style="mso-fit-shape-to-text:t" inset="0,0,0,0">
                <w:txbxContent>
                  <w:p w:rsidR="00A905B7" w:rsidRPr="00CC51C7" w:rsidRDefault="00A905B7">
                    <w:pPr>
                      <w:rPr>
                        <w:i/>
                        <w:sz w:val="17"/>
                      </w:rPr>
                    </w:pPr>
                    <w:r w:rsidRPr="00CC51C7">
                      <w:rPr>
                        <w:i/>
                        <w:color w:val="000000"/>
                        <w:sz w:val="17"/>
                        <w:szCs w:val="24"/>
                      </w:rPr>
                      <w:t>n</w:t>
                    </w:r>
                  </w:p>
                </w:txbxContent>
              </v:textbox>
            </v:rect>
            <v:rect id="_x0000_s3877" style="position:absolute;left:1232;top:55;width:98;height:272;mso-wrap-style:none" filled="f" stroked="f">
              <v:textbox style="mso-fit-shape-to-text:t" inset="0,0,0,0">
                <w:txbxContent>
                  <w:p w:rsidR="00A905B7" w:rsidRPr="00CC51C7" w:rsidRDefault="00A905B7">
                    <w:pPr>
                      <w:rPr>
                        <w:i/>
                        <w:sz w:val="17"/>
                      </w:rPr>
                    </w:pPr>
                    <w:r w:rsidRPr="00CC51C7">
                      <w:rPr>
                        <w:i/>
                        <w:color w:val="000000"/>
                        <w:sz w:val="17"/>
                        <w:szCs w:val="24"/>
                      </w:rPr>
                      <w:t>n</w:t>
                    </w:r>
                  </w:p>
                </w:txbxContent>
              </v:textbox>
            </v:rect>
            <v:rect id="_x0000_s3878" style="position:absolute;left:555;top:55;width:97;height:272;mso-wrap-style:none" filled="f" stroked="f">
              <v:textbox style="mso-fit-shape-to-text:t" inset="0,0,0,0">
                <w:txbxContent>
                  <w:p w:rsidR="00A905B7" w:rsidRPr="00CC51C7" w:rsidRDefault="00A905B7">
                    <w:pPr>
                      <w:rPr>
                        <w:i/>
                        <w:sz w:val="17"/>
                      </w:rPr>
                    </w:pPr>
                    <w:r w:rsidRPr="00CC51C7">
                      <w:rPr>
                        <w:i/>
                        <w:color w:val="000000"/>
                        <w:sz w:val="17"/>
                        <w:szCs w:val="24"/>
                      </w:rPr>
                      <w:t>n</w:t>
                    </w:r>
                  </w:p>
                </w:txbxContent>
              </v:textbox>
            </v:rect>
            <v:rect id="_x0000_s3879" style="position:absolute;left:1086;top:364;width:100;height:272;mso-wrap-style:none" filled="f" stroked="f">
              <v:textbox style="mso-fit-shape-to-text:t" inset="0,0,0,0">
                <w:txbxContent>
                  <w:p w:rsidR="00A905B7" w:rsidRPr="00CC51C7" w:rsidRDefault="00A905B7">
                    <w:pPr>
                      <w:rPr>
                        <w:sz w:val="17"/>
                      </w:rPr>
                    </w:pPr>
                    <w:r w:rsidRPr="00CC51C7">
                      <w:rPr>
                        <w:rFonts w:ascii="Symbol" w:hAnsi="Symbol" w:cs="Symbol"/>
                        <w:color w:val="000000"/>
                        <w:sz w:val="17"/>
                        <w:szCs w:val="24"/>
                      </w:rPr>
                      <w:t></w:t>
                    </w:r>
                  </w:p>
                </w:txbxContent>
              </v:textbox>
            </v:rect>
            <v:rect id="_x0000_s3880" style="position:absolute;left:1489;top:28;width:100;height:273;mso-wrap-style:none" filled="f" stroked="f">
              <v:textbox style="mso-fit-shape-to-text:t" inset="0,0,0,0">
                <w:txbxContent>
                  <w:p w:rsidR="00A905B7" w:rsidRPr="00CC51C7" w:rsidRDefault="00A905B7">
                    <w:pPr>
                      <w:rPr>
                        <w:sz w:val="17"/>
                      </w:rPr>
                    </w:pPr>
                    <w:r w:rsidRPr="00CC51C7">
                      <w:rPr>
                        <w:rFonts w:ascii="Symbol" w:hAnsi="Symbol" w:cs="Symbol"/>
                        <w:color w:val="000000"/>
                        <w:sz w:val="17"/>
                        <w:szCs w:val="24"/>
                      </w:rPr>
                      <w:t></w:t>
                    </w:r>
                  </w:p>
                </w:txbxContent>
              </v:textbox>
            </v:rect>
            <v:rect id="_x0000_s3881" style="position:absolute;left:1045;top:28;width:100;height:273;mso-wrap-style:none" filled="f" stroked="f">
              <v:textbox style="mso-fit-shape-to-text:t" inset="0,0,0,0">
                <w:txbxContent>
                  <w:p w:rsidR="00A905B7" w:rsidRPr="00CC51C7" w:rsidRDefault="00A905B7">
                    <w:pPr>
                      <w:rPr>
                        <w:sz w:val="17"/>
                      </w:rPr>
                    </w:pPr>
                    <w:r w:rsidRPr="00CC51C7">
                      <w:rPr>
                        <w:rFonts w:ascii="Symbol" w:hAnsi="Symbol" w:cs="Symbol"/>
                        <w:color w:val="000000"/>
                        <w:sz w:val="17"/>
                        <w:szCs w:val="24"/>
                      </w:rPr>
                      <w:t></w:t>
                    </w:r>
                  </w:p>
                </w:txbxContent>
              </v:textbox>
            </v:rect>
            <v:rect id="_x0000_s3882" style="position:absolute;left:718;top:28;width:100;height:273;mso-wrap-style:none" filled="f" stroked="f">
              <v:textbox style="mso-fit-shape-to-text:t" inset="0,0,0,0">
                <w:txbxContent>
                  <w:p w:rsidR="00A905B7" w:rsidRPr="00CC51C7" w:rsidRDefault="00A905B7">
                    <w:pPr>
                      <w:rPr>
                        <w:sz w:val="17"/>
                      </w:rPr>
                    </w:pPr>
                    <w:r w:rsidRPr="00CC51C7">
                      <w:rPr>
                        <w:rFonts w:ascii="Symbol" w:hAnsi="Symbol" w:cs="Symbol"/>
                        <w:color w:val="000000"/>
                        <w:sz w:val="17"/>
                        <w:szCs w:val="24"/>
                      </w:rPr>
                      <w:t></w:t>
                    </w:r>
                  </w:p>
                </w:txbxContent>
              </v:textbox>
            </v:rect>
            <v:rect id="_x0000_s3883" style="position:absolute;left:340;top:180;width:100;height:272;mso-wrap-style:none" filled="f" stroked="f">
              <v:textbox style="mso-fit-shape-to-text:t" inset="0,0,0,0">
                <w:txbxContent>
                  <w:p w:rsidR="00A905B7" w:rsidRPr="00CC51C7" w:rsidRDefault="00A905B7">
                    <w:pPr>
                      <w:rPr>
                        <w:sz w:val="17"/>
                      </w:rPr>
                    </w:pPr>
                    <w:r w:rsidRPr="00CC51C7">
                      <w:rPr>
                        <w:rFonts w:ascii="Symbol" w:hAnsi="Symbol" w:cs="Symbol"/>
                        <w:color w:val="000000"/>
                        <w:sz w:val="17"/>
                        <w:szCs w:val="24"/>
                      </w:rPr>
                      <w:t></w:t>
                    </w:r>
                  </w:p>
                </w:txbxContent>
              </v:textbox>
            </v:rect>
            <v:rect id="_x0000_s3884" style="position:absolute;left:1661;top:55;width:82;height:272;mso-wrap-style:none" filled="f" stroked="f">
              <v:textbox style="mso-fit-shape-to-text:t" inset="0,0,0,0">
                <w:txbxContent>
                  <w:p w:rsidR="00A905B7" w:rsidRPr="00CC51C7" w:rsidRDefault="00A905B7">
                    <w:pPr>
                      <w:rPr>
                        <w:sz w:val="17"/>
                      </w:rPr>
                    </w:pPr>
                    <w:r w:rsidRPr="00CC51C7">
                      <w:rPr>
                        <w:iCs/>
                        <w:color w:val="000000"/>
                        <w:sz w:val="17"/>
                        <w:szCs w:val="24"/>
                      </w:rPr>
                      <w:t>e</w:t>
                    </w:r>
                  </w:p>
                </w:txbxContent>
              </v:textbox>
            </v:rect>
            <v:rect id="_x0000_s3885" style="position:absolute;left:888;top:55;width:81;height:272;mso-wrap-style:none" filled="f" stroked="f">
              <v:textbox style="mso-fit-shape-to-text:t" inset="0,0,0,0">
                <w:txbxContent>
                  <w:p w:rsidR="00A905B7" w:rsidRPr="00CC51C7" w:rsidRDefault="00A905B7">
                    <w:pPr>
                      <w:rPr>
                        <w:sz w:val="17"/>
                      </w:rPr>
                    </w:pPr>
                    <w:r w:rsidRPr="00CC51C7">
                      <w:rPr>
                        <w:iCs/>
                        <w:color w:val="000000"/>
                        <w:sz w:val="17"/>
                        <w:szCs w:val="24"/>
                      </w:rPr>
                      <w:t>e</w:t>
                    </w:r>
                  </w:p>
                </w:txbxContent>
              </v:textbox>
            </v:rect>
            <v:rect id="_x0000_s3886" style="position:absolute;left:33;top:206;width:82;height:272;mso-wrap-style:none" filled="f" stroked="f">
              <v:textbox style="mso-fit-shape-to-text:t" inset="0,0,0,0">
                <w:txbxContent>
                  <w:p w:rsidR="00A905B7" w:rsidRPr="00CC51C7" w:rsidRDefault="00A905B7">
                    <w:pPr>
                      <w:rPr>
                        <w:sz w:val="17"/>
                      </w:rPr>
                    </w:pPr>
                    <w:r w:rsidRPr="00CC51C7">
                      <w:rPr>
                        <w:iCs/>
                        <w:color w:val="000000"/>
                        <w:sz w:val="17"/>
                        <w:szCs w:val="24"/>
                      </w:rPr>
                      <w:t>e</w:t>
                    </w:r>
                  </w:p>
                </w:txbxContent>
              </v:textbox>
            </v:rect>
            <w10:wrap type="none"/>
            <w10:anchorlock/>
          </v:group>
        </w:pict>
      </w:r>
      <w:r w:rsidRPr="00B43FF2">
        <w:rPr>
          <w:position w:val="40"/>
          <w:lang w:val="en-GB"/>
        </w:rPr>
        <w:tab/>
        <w:t>(5)</w:t>
      </w:r>
    </w:p>
    <w:p w:rsidR="00002BA6" w:rsidRPr="00B04DC3" w:rsidRDefault="00002BA6" w:rsidP="00002BA6">
      <w:pPr>
        <w:pStyle w:val="para"/>
        <w:rPr>
          <w:lang w:val="en-GB"/>
        </w:rPr>
      </w:pPr>
      <w:r w:rsidRPr="00B04DC3">
        <w:rPr>
          <w:lang w:val="en-GB"/>
        </w:rPr>
        <w:tab/>
      </w:r>
      <w:r w:rsidR="00A43208" w:rsidRPr="00B04DC3">
        <w:rPr>
          <w:lang w:val="en-GB"/>
        </w:rPr>
        <w:t>Where</w:t>
      </w:r>
      <w:r w:rsidRPr="00B04DC3">
        <w:rPr>
          <w:lang w:val="en-GB"/>
        </w:rPr>
        <w:t>:</w:t>
      </w:r>
    </w:p>
    <w:p w:rsidR="00002BA6" w:rsidRPr="00B04DC3" w:rsidRDefault="00002BA6" w:rsidP="00002BA6">
      <w:pPr>
        <w:pStyle w:val="a"/>
        <w:rPr>
          <w:lang w:val="en-GB"/>
        </w:rPr>
      </w:pPr>
      <w:r w:rsidRPr="00B04DC3">
        <w:rPr>
          <w:i/>
          <w:lang w:val="en-GB"/>
        </w:rPr>
        <w:t>n</w:t>
      </w:r>
      <w:r w:rsidRPr="00B04DC3">
        <w:rPr>
          <w:lang w:val="en-GB"/>
        </w:rPr>
        <w:tab/>
        <w:t>is the number of  WHTC hot start tests without regeneration</w:t>
      </w:r>
    </w:p>
    <w:p w:rsidR="00002BA6" w:rsidRPr="00B04DC3" w:rsidRDefault="00002BA6" w:rsidP="00002BA6">
      <w:pPr>
        <w:pStyle w:val="a"/>
        <w:spacing w:after="0"/>
        <w:rPr>
          <w:lang w:val="en-GB"/>
        </w:rPr>
      </w:pPr>
      <w:r w:rsidRPr="00B04DC3">
        <w:rPr>
          <w:i/>
          <w:lang w:val="en-GB"/>
        </w:rPr>
        <w:t>n</w:t>
      </w:r>
      <w:r w:rsidRPr="00B04DC3">
        <w:rPr>
          <w:i/>
          <w:vertAlign w:val="subscript"/>
          <w:lang w:val="en-GB"/>
        </w:rPr>
        <w:t>r</w:t>
      </w:r>
      <w:r w:rsidRPr="00B04DC3">
        <w:rPr>
          <w:lang w:val="en-GB"/>
        </w:rPr>
        <w:tab/>
        <w:t>is the number of WHTC hot start tests with regeneration (minimum one test)</w:t>
      </w:r>
    </w:p>
    <w:p w:rsidR="00002BA6" w:rsidRPr="00B04DC3" w:rsidRDefault="00A905B7" w:rsidP="00002BA6">
      <w:pPr>
        <w:pStyle w:val="a"/>
        <w:spacing w:after="0" w:line="80" w:lineRule="atLeast"/>
        <w:rPr>
          <w:lang w:val="en-GB"/>
        </w:rPr>
      </w:pPr>
      <w:r>
        <w:rPr>
          <w:noProof/>
          <w:lang w:val="en-GB"/>
        </w:rPr>
        <w:pict>
          <v:rect id="_x0000_s5503" style="position:absolute;left:0;text-align:left;margin-left:115.05pt;margin-top:8.3pt;width:4.45pt;height:12pt;z-index:251585536;mso-wrap-style:none" filled="f" stroked="f">
            <v:textbox style="mso-next-textbox:#_x0000_s5503;mso-fit-shape-to-text:t" inset="0,0,0,0">
              <w:txbxContent>
                <w:p w:rsidR="00A905B7" w:rsidRPr="00791220" w:rsidRDefault="00A905B7">
                  <w:r w:rsidRPr="00791220">
                    <w:rPr>
                      <w:iCs/>
                      <w:color w:val="000000"/>
                      <w:szCs w:val="24"/>
                    </w:rPr>
                    <w:t>e</w:t>
                  </w:r>
                </w:p>
              </w:txbxContent>
            </v:textbox>
          </v:rect>
        </w:pict>
      </w:r>
      <w:r>
        <w:rPr>
          <w:lang w:val="en-GB"/>
        </w:rPr>
      </w:r>
      <w:r>
        <w:rPr>
          <w:lang w:val="en-GB"/>
        </w:rPr>
        <w:pict>
          <v:group id="_x0000_s3893" editas="canvas" style="width:18.1pt;height:19.55pt;mso-position-horizontal-relative:char;mso-position-vertical-relative:line" coordorigin="-2,329" coordsize="362,391">
            <o:lock v:ext="edit" aspectratio="t"/>
            <v:shape id="_x0000_s3894" type="#_x0000_t75" style="position:absolute;left:-2;top:329;width:362;height:391" o:preferrelative="f">
              <v:fill o:detectmouseclick="t"/>
              <v:path o:extrusionok="t" o:connecttype="none"/>
              <o:lock v:ext="edit" text="t"/>
            </v:shape>
            <v:line id="_x0000_s3895" style="position:absolute" from="22,519" to="197,520" strokeweight=".5pt"/>
            <w10:wrap type="none"/>
            <w10:anchorlock/>
          </v:group>
        </w:pict>
      </w:r>
      <w:r w:rsidR="00002BA6" w:rsidRPr="00B04DC3">
        <w:rPr>
          <w:lang w:val="en-GB"/>
        </w:rPr>
        <w:tab/>
        <w:t>is the average specific emission without regeneration, g/kWh</w:t>
      </w:r>
    </w:p>
    <w:p w:rsidR="00002BA6" w:rsidRPr="00B04DC3" w:rsidRDefault="00A905B7" w:rsidP="00002BA6">
      <w:pPr>
        <w:pStyle w:val="a"/>
        <w:spacing w:after="0" w:line="80" w:lineRule="atLeast"/>
        <w:rPr>
          <w:lang w:val="en-GB"/>
        </w:rPr>
      </w:pPr>
      <w:r>
        <w:rPr>
          <w:noProof/>
          <w:lang w:val="en-GB"/>
        </w:rPr>
        <w:pict>
          <v:rect id="_x0000_s5502" style="position:absolute;left:0;text-align:left;margin-left:120.5pt;margin-top:19.7pt;width:2.35pt;height:12pt;z-index:251584512;mso-wrap-style:none" filled="f" stroked="f">
            <v:textbox style="mso-fit-shape-to-text:t" inset="0,0,0,0">
              <w:txbxContent>
                <w:p w:rsidR="00A905B7" w:rsidRDefault="00A905B7">
                  <w:r>
                    <w:rPr>
                      <w:color w:val="000000"/>
                      <w:sz w:val="14"/>
                      <w:szCs w:val="14"/>
                    </w:rPr>
                    <w:t>r</w:t>
                  </w:r>
                </w:p>
              </w:txbxContent>
            </v:textbox>
          </v:rect>
        </w:pict>
      </w:r>
      <w:r>
        <w:rPr>
          <w:noProof/>
          <w:lang w:val="en-GB"/>
        </w:rPr>
        <w:pict>
          <v:rect id="_x0000_s5501" style="position:absolute;left:0;text-align:left;margin-left:115.05pt;margin-top:13.8pt;width:4.45pt;height:12pt;z-index:251583488;mso-wrap-style:none" filled="f" stroked="f">
            <v:textbox style="mso-next-textbox:#_x0000_s5501;mso-fit-shape-to-text:t" inset="0,0,0,0">
              <w:txbxContent>
                <w:p w:rsidR="00A905B7" w:rsidRPr="008C1775" w:rsidRDefault="00A905B7">
                  <w:r w:rsidRPr="008C1775">
                    <w:rPr>
                      <w:iCs/>
                      <w:color w:val="000000"/>
                      <w:szCs w:val="24"/>
                    </w:rPr>
                    <w:t>e</w:t>
                  </w:r>
                </w:p>
              </w:txbxContent>
            </v:textbox>
          </v:rect>
        </w:pict>
      </w:r>
      <w:r>
        <w:rPr>
          <w:lang w:val="en-GB"/>
        </w:rPr>
      </w:r>
      <w:r>
        <w:rPr>
          <w:lang w:val="en-GB"/>
        </w:rPr>
        <w:pict>
          <v:group id="_x0000_s3890" editas="canvas" style="width:12.6pt;height:25.05pt;mso-position-horizontal-relative:char;mso-position-vertical-relative:line" coordorigin="8,114" coordsize="252,501">
            <o:lock v:ext="edit" aspectratio="t"/>
            <v:shape id="_x0000_s3891" type="#_x0000_t75" style="position:absolute;left:8;top:114;width:252;height:501" o:preferrelative="f">
              <v:fill o:detectmouseclick="t"/>
              <v:path o:extrusionok="t" o:connecttype="none"/>
              <o:lock v:ext="edit" text="t"/>
            </v:shape>
            <v:line id="_x0000_s3892" style="position:absolute" from="8,434" to="183,435" strokeweight=".5pt"/>
            <w10:wrap type="none"/>
            <w10:anchorlock/>
          </v:group>
        </w:pict>
      </w:r>
      <w:r w:rsidR="00002BA6" w:rsidRPr="00B04DC3">
        <w:rPr>
          <w:lang w:val="en-GB"/>
        </w:rPr>
        <w:tab/>
        <w:t>is the average specific emission with regeneration, g/kWh</w:t>
      </w:r>
    </w:p>
    <w:p w:rsidR="00002BA6" w:rsidRPr="00B04DC3" w:rsidRDefault="00A905B7" w:rsidP="00002BA6">
      <w:pPr>
        <w:pStyle w:val="para"/>
        <w:spacing w:line="180" w:lineRule="atLeast"/>
        <w:rPr>
          <w:lang w:val="en-GB"/>
        </w:rPr>
      </w:pPr>
      <w:r>
        <w:rPr>
          <w:noProof/>
          <w:lang w:val="en-GB"/>
        </w:rPr>
        <w:pict>
          <v:rect id="_x0000_s5499" style="position:absolute;left:0;text-align:left;margin-left:216.55pt;margin-top:11.8pt;width:4.45pt;height:12pt;z-index:251581440;mso-wrap-style:none" filled="f" stroked="f">
            <v:textbox style="mso-next-textbox:#_x0000_s5499;mso-fit-shape-to-text:t" inset="0,0,0,0">
              <w:txbxContent>
                <w:p w:rsidR="00A905B7" w:rsidRPr="008C1775" w:rsidRDefault="00A905B7">
                  <w:r w:rsidRPr="008C1775">
                    <w:rPr>
                      <w:iCs/>
                      <w:color w:val="000000"/>
                      <w:szCs w:val="24"/>
                    </w:rPr>
                    <w:t>e</w:t>
                  </w:r>
                </w:p>
              </w:txbxContent>
            </v:textbox>
          </v:rect>
        </w:pict>
      </w:r>
      <w:r>
        <w:rPr>
          <w:noProof/>
          <w:lang w:val="en-GB"/>
        </w:rPr>
        <w:pict>
          <v:rect id="_x0000_s5500" style="position:absolute;left:0;text-align:left;margin-left:220.5pt;margin-top:26.2pt;width:2.35pt;height:12pt;z-index:251582464;mso-wrap-style:none" filled="f" stroked="f">
            <v:textbox style="mso-next-textbox:#_x0000_s5500;mso-fit-shape-to-text:t" inset="0,0,0,0">
              <w:txbxContent>
                <w:p w:rsidR="00A905B7" w:rsidRDefault="00A905B7">
                  <w:r>
                    <w:rPr>
                      <w:color w:val="000000"/>
                      <w:sz w:val="14"/>
                      <w:szCs w:val="14"/>
                    </w:rPr>
                    <w:t>r</w:t>
                  </w:r>
                </w:p>
              </w:txbxContent>
            </v:textbox>
          </v:rect>
        </w:pict>
      </w:r>
      <w:r w:rsidR="00002BA6" w:rsidRPr="00B04DC3">
        <w:rPr>
          <w:lang w:val="en-GB"/>
        </w:rPr>
        <w:tab/>
        <w:t xml:space="preserve">For the determination of </w:t>
      </w:r>
      <w:r>
        <w:rPr>
          <w:lang w:val="en-GB"/>
        </w:rPr>
      </w:r>
      <w:r>
        <w:rPr>
          <w:lang w:val="en-GB"/>
        </w:rPr>
        <w:pict>
          <v:group id="_x0000_s3887" editas="canvas" style="width:13pt;height:21.75pt;mso-position-horizontal-relative:char;mso-position-vertical-relative:line" coordorigin=",180" coordsize="260,435">
            <o:lock v:ext="edit" aspectratio="t"/>
            <v:shape id="_x0000_s3888" type="#_x0000_t75" style="position:absolute;top:180;width:260;height:435" o:preferrelative="f">
              <v:fill o:detectmouseclick="t"/>
              <v:path o:extrusionok="t" o:connecttype="none"/>
              <o:lock v:ext="edit" text="t"/>
            </v:shape>
            <v:line id="_x0000_s3889" style="position:absolute" from="40,428" to="215,429" strokeweight=".5pt"/>
            <w10:wrap type="none"/>
            <w10:anchorlock/>
          </v:group>
        </w:pict>
      </w:r>
      <w:r w:rsidR="00002BA6" w:rsidRPr="00B04DC3">
        <w:rPr>
          <w:lang w:val="en-GB"/>
        </w:rPr>
        <w:t>, the following provisions apply:</w:t>
      </w:r>
    </w:p>
    <w:p w:rsidR="00002BA6" w:rsidRPr="00B04DC3" w:rsidRDefault="00002BA6" w:rsidP="00002BA6">
      <w:pPr>
        <w:pStyle w:val="a"/>
        <w:rPr>
          <w:lang w:val="en-GB"/>
        </w:rPr>
      </w:pPr>
      <w:r w:rsidRPr="00B04DC3">
        <w:rPr>
          <w:lang w:val="en-GB"/>
        </w:rPr>
        <w:t>(a)</w:t>
      </w:r>
      <w:r w:rsidRPr="00B04DC3">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rsidR="00002BA6" w:rsidRPr="00B04DC3" w:rsidRDefault="00002BA6" w:rsidP="00002BA6">
      <w:pPr>
        <w:pStyle w:val="a"/>
        <w:rPr>
          <w:lang w:val="en-GB"/>
        </w:rPr>
      </w:pPr>
      <w:r w:rsidRPr="00B04DC3">
        <w:rPr>
          <w:lang w:val="en-GB"/>
        </w:rPr>
        <w:t>(b)</w:t>
      </w:r>
      <w:r w:rsidRPr="00B04DC3">
        <w:rPr>
          <w:lang w:val="en-GB"/>
        </w:rPr>
        <w:tab/>
        <w:t>If regeneration is completed during any hot start WHTC, the test shall be continued over its entire length.</w:t>
      </w:r>
    </w:p>
    <w:p w:rsidR="00002BA6" w:rsidRPr="00B04DC3" w:rsidRDefault="00002BA6" w:rsidP="00002BA6">
      <w:pPr>
        <w:pStyle w:val="para"/>
        <w:rPr>
          <w:lang w:val="en-GB"/>
        </w:rPr>
      </w:pPr>
      <w:r w:rsidRPr="00B04DC3">
        <w:rPr>
          <w:lang w:val="en-GB"/>
        </w:rPr>
        <w:tab/>
        <w:t xml:space="preserve">In agreement with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the regeneration adjustment factors may be applied either multiplicative (c) or additive (d) based upon good engineering analysis.</w:t>
      </w:r>
    </w:p>
    <w:p w:rsidR="00002BA6" w:rsidRPr="00B04DC3" w:rsidRDefault="00002BA6" w:rsidP="00002BA6">
      <w:pPr>
        <w:pStyle w:val="a"/>
        <w:rPr>
          <w:lang w:val="en-GB"/>
        </w:rPr>
      </w:pPr>
      <w:r w:rsidRPr="00B04DC3">
        <w:rPr>
          <w:lang w:val="en-GB"/>
        </w:rPr>
        <w:t>(c)</w:t>
      </w:r>
      <w:r w:rsidRPr="00B04DC3">
        <w:rPr>
          <w:lang w:val="en-GB"/>
        </w:rPr>
        <w:tab/>
        <w:t>The multiplicative adjustment factors shall be calculated as follows:</w:t>
      </w:r>
    </w:p>
    <w:p w:rsidR="00002BA6" w:rsidRPr="00B04DC3" w:rsidRDefault="00002BA6" w:rsidP="00002BA6">
      <w:pPr>
        <w:pStyle w:val="a"/>
        <w:tabs>
          <w:tab w:val="right" w:pos="8505"/>
        </w:tabs>
        <w:rPr>
          <w:lang w:val="en-GB"/>
        </w:rPr>
      </w:pPr>
      <w:r w:rsidRPr="00B04DC3">
        <w:rPr>
          <w:lang w:val="en-GB"/>
        </w:rPr>
        <w:tab/>
      </w:r>
      <w:r w:rsidR="00B43FF2" w:rsidRPr="00B04DC3">
        <w:rPr>
          <w:position w:val="-24"/>
          <w:lang w:val="en-GB"/>
        </w:rPr>
        <w:object w:dxaOrig="940" w:dyaOrig="620">
          <v:shape id="_x0000_i1221" type="#_x0000_t75" style="width:40.2pt;height:27.6pt" o:ole="">
            <v:imagedata r:id="rId350" o:title=""/>
          </v:shape>
          <o:OLEObject Type="Embed" ProgID="Equation.3" ShapeID="_x0000_i1221" DrawAspect="Content" ObjectID="_1498392333" r:id="rId351"/>
        </w:object>
      </w:r>
      <w:r w:rsidRPr="00B04DC3">
        <w:rPr>
          <w:lang w:val="en-GB"/>
        </w:rPr>
        <w:t xml:space="preserve"> (upward)</w:t>
      </w:r>
      <w:r w:rsidRPr="00B04DC3">
        <w:rPr>
          <w:lang w:val="en-GB"/>
        </w:rPr>
        <w:tab/>
        <w:t>(6)</w:t>
      </w:r>
    </w:p>
    <w:p w:rsidR="00002BA6" w:rsidRPr="00B04DC3" w:rsidRDefault="00002BA6" w:rsidP="00002BA6">
      <w:pPr>
        <w:pStyle w:val="a"/>
        <w:tabs>
          <w:tab w:val="right" w:pos="8505"/>
        </w:tabs>
        <w:rPr>
          <w:lang w:val="en-GB"/>
        </w:rPr>
      </w:pPr>
      <w:r w:rsidRPr="00B04DC3">
        <w:rPr>
          <w:lang w:val="en-GB"/>
        </w:rPr>
        <w:tab/>
      </w:r>
      <w:r w:rsidR="00B43FF2" w:rsidRPr="00B04DC3">
        <w:rPr>
          <w:position w:val="-30"/>
          <w:lang w:val="en-GB"/>
        </w:rPr>
        <w:object w:dxaOrig="940" w:dyaOrig="680">
          <v:shape id="_x0000_i1222" type="#_x0000_t75" style="width:41.4pt;height:30pt" o:ole="">
            <v:imagedata r:id="rId352" o:title=""/>
          </v:shape>
          <o:OLEObject Type="Embed" ProgID="Equation.3" ShapeID="_x0000_i1222" DrawAspect="Content" ObjectID="_1498392334" r:id="rId353"/>
        </w:object>
      </w:r>
      <w:r w:rsidRPr="00B04DC3">
        <w:rPr>
          <w:lang w:val="en-GB"/>
        </w:rPr>
        <w:t xml:space="preserve"> (downward)</w:t>
      </w:r>
      <w:r w:rsidRPr="00B04DC3">
        <w:rPr>
          <w:lang w:val="en-GB"/>
        </w:rPr>
        <w:tab/>
        <w:t>(6a)</w:t>
      </w:r>
    </w:p>
    <w:p w:rsidR="00002BA6" w:rsidRPr="00B04DC3" w:rsidRDefault="00002BA6" w:rsidP="00002BA6">
      <w:pPr>
        <w:pStyle w:val="a"/>
        <w:rPr>
          <w:lang w:val="en-GB"/>
        </w:rPr>
      </w:pPr>
      <w:r w:rsidRPr="00B04DC3">
        <w:rPr>
          <w:lang w:val="en-GB"/>
        </w:rPr>
        <w:t>(d)</w:t>
      </w:r>
      <w:r w:rsidRPr="00B04DC3">
        <w:rPr>
          <w:lang w:val="en-GB"/>
        </w:rPr>
        <w:tab/>
        <w:t>The additive adjustment factors shall be calculated as follows:</w:t>
      </w:r>
    </w:p>
    <w:p w:rsidR="00002BA6" w:rsidRPr="00B04DC3" w:rsidRDefault="00002BA6" w:rsidP="00002BA6">
      <w:pPr>
        <w:pStyle w:val="a"/>
        <w:tabs>
          <w:tab w:val="right" w:pos="8505"/>
        </w:tabs>
        <w:rPr>
          <w:lang w:val="en-GB"/>
        </w:rPr>
      </w:pPr>
      <w:r w:rsidRPr="00B04DC3">
        <w:rPr>
          <w:lang w:val="en-GB"/>
        </w:rPr>
        <w:tab/>
        <w:t>k</w:t>
      </w:r>
      <w:r w:rsidRPr="00B04DC3">
        <w:rPr>
          <w:vertAlign w:val="subscript"/>
          <w:lang w:val="en-GB"/>
        </w:rPr>
        <w:t>r,u</w:t>
      </w:r>
      <w:r w:rsidRPr="00B04DC3">
        <w:rPr>
          <w:lang w:val="en-GB"/>
        </w:rPr>
        <w:t xml:space="preserve"> = e</w:t>
      </w:r>
      <w:r w:rsidRPr="00B04DC3">
        <w:rPr>
          <w:vertAlign w:val="subscript"/>
          <w:lang w:val="en-GB"/>
        </w:rPr>
        <w:t>w</w:t>
      </w:r>
      <w:r w:rsidRPr="00B04DC3">
        <w:rPr>
          <w:lang w:val="en-GB"/>
        </w:rPr>
        <w:t xml:space="preserve"> - e (upward)</w:t>
      </w:r>
      <w:r w:rsidRPr="00B04DC3">
        <w:rPr>
          <w:lang w:val="en-GB"/>
        </w:rPr>
        <w:tab/>
        <w:t>(7)</w:t>
      </w:r>
    </w:p>
    <w:p w:rsidR="00002BA6" w:rsidRPr="00B04DC3" w:rsidRDefault="00002BA6" w:rsidP="00002BA6">
      <w:pPr>
        <w:pStyle w:val="a"/>
        <w:tabs>
          <w:tab w:val="right" w:pos="8505"/>
        </w:tabs>
        <w:rPr>
          <w:lang w:val="en-GB"/>
        </w:rPr>
      </w:pPr>
      <w:r w:rsidRPr="00B04DC3">
        <w:rPr>
          <w:lang w:val="en-GB"/>
        </w:rPr>
        <w:tab/>
        <w:t>k</w:t>
      </w:r>
      <w:r w:rsidRPr="00B04DC3">
        <w:rPr>
          <w:vertAlign w:val="subscript"/>
          <w:lang w:val="en-GB"/>
        </w:rPr>
        <w:t>r,d</w:t>
      </w:r>
      <w:r w:rsidRPr="00B04DC3">
        <w:rPr>
          <w:lang w:val="en-GB"/>
        </w:rPr>
        <w:t xml:space="preserve"> = e</w:t>
      </w:r>
      <w:r w:rsidRPr="00B04DC3">
        <w:rPr>
          <w:vertAlign w:val="subscript"/>
          <w:lang w:val="en-GB"/>
        </w:rPr>
        <w:t>w</w:t>
      </w:r>
      <w:r w:rsidRPr="00B04DC3">
        <w:rPr>
          <w:lang w:val="en-GB"/>
        </w:rPr>
        <w:t xml:space="preserve"> - e</w:t>
      </w:r>
      <w:r w:rsidRPr="00B04DC3">
        <w:rPr>
          <w:vertAlign w:val="subscript"/>
          <w:lang w:val="en-GB"/>
        </w:rPr>
        <w:t>r</w:t>
      </w:r>
      <w:r w:rsidRPr="00B04DC3">
        <w:rPr>
          <w:lang w:val="en-GB"/>
        </w:rPr>
        <w:t xml:space="preserve"> (downward)</w:t>
      </w:r>
      <w:r w:rsidRPr="00B04DC3">
        <w:rPr>
          <w:lang w:val="en-GB"/>
        </w:rPr>
        <w:tab/>
        <w:t>(8)</w:t>
      </w:r>
    </w:p>
    <w:p w:rsidR="00002BA6" w:rsidRPr="00B04DC3" w:rsidRDefault="00002BA6" w:rsidP="00002BA6">
      <w:pPr>
        <w:pStyle w:val="para"/>
        <w:rPr>
          <w:lang w:val="en-GB"/>
        </w:rPr>
      </w:pPr>
      <w:r w:rsidRPr="00B04DC3">
        <w:rPr>
          <w:lang w:val="en-GB"/>
        </w:rPr>
        <w:tab/>
        <w:t>With reference to the specific emission calculations in paragraph 8.6.3.</w:t>
      </w:r>
      <w:r w:rsidR="00A43208" w:rsidRPr="00A43208">
        <w:rPr>
          <w:lang w:val="en-GB"/>
        </w:rPr>
        <w:t xml:space="preserve"> </w:t>
      </w:r>
      <w:r w:rsidR="00A43208">
        <w:rPr>
          <w:lang w:val="en-GB"/>
        </w:rPr>
        <w:t>of this annex</w:t>
      </w:r>
      <w:r w:rsidRPr="00B04DC3">
        <w:rPr>
          <w:lang w:val="en-GB"/>
        </w:rPr>
        <w:t>, the regeneration adjustment factors shall be applied, as follows:</w:t>
      </w:r>
    </w:p>
    <w:p w:rsidR="00002BA6" w:rsidRPr="00B04DC3" w:rsidRDefault="00002BA6" w:rsidP="00002BA6">
      <w:pPr>
        <w:pStyle w:val="a"/>
        <w:rPr>
          <w:lang w:val="en-GB"/>
        </w:rPr>
      </w:pPr>
      <w:r w:rsidRPr="00B04DC3">
        <w:rPr>
          <w:lang w:val="en-GB"/>
        </w:rPr>
        <w:t>(e)</w:t>
      </w:r>
      <w:r w:rsidRPr="00B04DC3">
        <w:rPr>
          <w:lang w:val="en-GB"/>
        </w:rPr>
        <w:tab/>
        <w:t>For a test without regeneration, k</w:t>
      </w:r>
      <w:r w:rsidRPr="00B04DC3">
        <w:rPr>
          <w:vertAlign w:val="subscript"/>
          <w:lang w:val="en-GB"/>
        </w:rPr>
        <w:t xml:space="preserve">r,u </w:t>
      </w:r>
      <w:r w:rsidRPr="00B04DC3">
        <w:rPr>
          <w:lang w:val="en-GB"/>
        </w:rPr>
        <w:t>shall be multiplied with or be added to, respectively, the specific emission e in equations 69 or 70;</w:t>
      </w:r>
    </w:p>
    <w:p w:rsidR="00002BA6" w:rsidRPr="00B04DC3" w:rsidRDefault="00002BA6" w:rsidP="00002BA6">
      <w:pPr>
        <w:pStyle w:val="a"/>
        <w:rPr>
          <w:szCs w:val="24"/>
          <w:lang w:val="en-GB"/>
        </w:rPr>
      </w:pPr>
      <w:r w:rsidRPr="00B04DC3">
        <w:rPr>
          <w:szCs w:val="24"/>
          <w:lang w:val="en-GB"/>
        </w:rPr>
        <w:t>(f)</w:t>
      </w:r>
      <w:r w:rsidRPr="00B04DC3">
        <w:rPr>
          <w:szCs w:val="24"/>
          <w:lang w:val="en-GB"/>
        </w:rPr>
        <w:tab/>
        <w:t xml:space="preserve">For a test with </w:t>
      </w:r>
      <w:r w:rsidRPr="00B04DC3">
        <w:rPr>
          <w:lang w:val="en-GB"/>
        </w:rPr>
        <w:t>regeneration</w:t>
      </w:r>
      <w:r w:rsidRPr="00B04DC3">
        <w:rPr>
          <w:szCs w:val="24"/>
          <w:lang w:val="en-GB"/>
        </w:rPr>
        <w:t>, k</w:t>
      </w:r>
      <w:r w:rsidRPr="00B04DC3">
        <w:rPr>
          <w:szCs w:val="24"/>
          <w:vertAlign w:val="subscript"/>
          <w:lang w:val="en-GB"/>
        </w:rPr>
        <w:t>r,d</w:t>
      </w:r>
      <w:r w:rsidRPr="00B04DC3">
        <w:rPr>
          <w:szCs w:val="24"/>
          <w:lang w:val="en-GB"/>
        </w:rPr>
        <w:t xml:space="preserve"> shall be multiplied with or be added to, respectively, the specific emission </w:t>
      </w:r>
      <w:r w:rsidRPr="00B04DC3">
        <w:rPr>
          <w:i/>
          <w:szCs w:val="24"/>
          <w:lang w:val="en-GB"/>
        </w:rPr>
        <w:t>e</w:t>
      </w:r>
      <w:r w:rsidRPr="00B04DC3">
        <w:rPr>
          <w:szCs w:val="24"/>
          <w:lang w:val="en-GB"/>
        </w:rPr>
        <w:t xml:space="preserve"> in equations 69 or 70</w:t>
      </w:r>
      <w:r w:rsidRPr="00B04DC3">
        <w:rPr>
          <w:lang w:val="en-GB"/>
        </w:rPr>
        <w:t>.</w:t>
      </w:r>
    </w:p>
    <w:p w:rsidR="00002BA6" w:rsidRPr="00B04DC3" w:rsidRDefault="00002BA6" w:rsidP="00002BA6">
      <w:pPr>
        <w:pStyle w:val="para"/>
        <w:rPr>
          <w:lang w:val="en-GB"/>
        </w:rPr>
      </w:pPr>
      <w:r w:rsidRPr="00B04DC3">
        <w:rPr>
          <w:lang w:val="en-GB"/>
        </w:rPr>
        <w:tab/>
        <w:t>At the request of the manufacturer, the regeneration adjustment factors</w:t>
      </w:r>
    </w:p>
    <w:p w:rsidR="00002BA6" w:rsidRPr="00B04DC3" w:rsidRDefault="00002BA6" w:rsidP="00002BA6">
      <w:pPr>
        <w:pStyle w:val="a"/>
        <w:rPr>
          <w:szCs w:val="24"/>
          <w:lang w:val="en-GB"/>
        </w:rPr>
      </w:pPr>
      <w:r w:rsidRPr="00B04DC3">
        <w:rPr>
          <w:szCs w:val="24"/>
          <w:lang w:val="en-GB"/>
        </w:rPr>
        <w:t>(g)</w:t>
      </w:r>
      <w:r w:rsidRPr="00B04DC3">
        <w:rPr>
          <w:szCs w:val="24"/>
          <w:lang w:val="en-GB"/>
        </w:rPr>
        <w:tab/>
        <w:t>May be extended to other members of the same engine family;</w:t>
      </w:r>
    </w:p>
    <w:p w:rsidR="00002BA6" w:rsidRPr="00B04DC3" w:rsidRDefault="00002BA6" w:rsidP="00002BA6">
      <w:pPr>
        <w:pStyle w:val="a"/>
        <w:rPr>
          <w:szCs w:val="24"/>
          <w:lang w:val="en-GB"/>
        </w:rPr>
      </w:pPr>
      <w:r w:rsidRPr="00B04DC3">
        <w:rPr>
          <w:szCs w:val="24"/>
          <w:lang w:val="en-GB"/>
        </w:rPr>
        <w:t>(h)</w:t>
      </w:r>
      <w:r w:rsidRPr="00B04DC3">
        <w:rPr>
          <w:szCs w:val="24"/>
          <w:lang w:val="en-GB"/>
        </w:rPr>
        <w:tab/>
        <w:t xml:space="preserve">May be extended to other engine families using the same </w:t>
      </w:r>
      <w:r w:rsidR="006A75A0">
        <w:rPr>
          <w:szCs w:val="24"/>
          <w:lang w:val="en-GB"/>
        </w:rPr>
        <w:t>after-treatment</w:t>
      </w:r>
      <w:r w:rsidRPr="00B04DC3">
        <w:rPr>
          <w:szCs w:val="24"/>
          <w:lang w:val="en-GB"/>
        </w:rPr>
        <w:t xml:space="preserve"> system with the prior approval of the type approval or certification authority based on technical evidence to be supplied by the manufacturer, that the emissions are similar.</w:t>
      </w:r>
    </w:p>
    <w:p w:rsidR="00002BA6" w:rsidRPr="00B04DC3" w:rsidRDefault="00002BA6" w:rsidP="00002BA6">
      <w:pPr>
        <w:pStyle w:val="para"/>
        <w:rPr>
          <w:lang w:val="en-GB"/>
        </w:rPr>
      </w:pPr>
      <w:r w:rsidRPr="00B04DC3">
        <w:rPr>
          <w:lang w:val="en-GB"/>
        </w:rPr>
        <w:t>6.7.</w:t>
      </w:r>
      <w:r w:rsidRPr="00B04DC3">
        <w:rPr>
          <w:lang w:val="en-GB"/>
        </w:rPr>
        <w:tab/>
        <w:t>Cooling system</w:t>
      </w:r>
    </w:p>
    <w:p w:rsidR="00002BA6" w:rsidRPr="00B04DC3" w:rsidRDefault="00002BA6" w:rsidP="00002BA6">
      <w:pPr>
        <w:pStyle w:val="para"/>
        <w:rPr>
          <w:lang w:val="en-GB"/>
        </w:rPr>
      </w:pPr>
      <w:r w:rsidRPr="00B04DC3">
        <w:rPr>
          <w:lang w:val="en-GB"/>
        </w:rPr>
        <w:tab/>
        <w:t>An engine cooling system with sufficient capacity to maintain the engine at normal operating temperatures prescribed by the manufacturer shall be used.</w:t>
      </w:r>
    </w:p>
    <w:p w:rsidR="00002BA6" w:rsidRPr="00B04DC3" w:rsidRDefault="00002BA6" w:rsidP="00002BA6">
      <w:pPr>
        <w:pStyle w:val="para"/>
        <w:rPr>
          <w:lang w:val="en-GB"/>
        </w:rPr>
      </w:pPr>
      <w:r w:rsidRPr="00B04DC3">
        <w:rPr>
          <w:lang w:val="en-GB"/>
        </w:rPr>
        <w:t>6.8.</w:t>
      </w:r>
      <w:r w:rsidRPr="00B04DC3">
        <w:rPr>
          <w:lang w:val="en-GB"/>
        </w:rPr>
        <w:tab/>
        <w:t>Lubricating oil</w:t>
      </w:r>
    </w:p>
    <w:p w:rsidR="00002BA6" w:rsidRPr="00B04DC3" w:rsidRDefault="00002BA6" w:rsidP="00002BA6">
      <w:pPr>
        <w:pStyle w:val="para"/>
        <w:rPr>
          <w:lang w:val="en-GB"/>
        </w:rPr>
      </w:pPr>
      <w:r w:rsidRPr="00B04DC3">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rsidR="00002BA6" w:rsidRPr="00B04DC3" w:rsidRDefault="00002BA6" w:rsidP="00002BA6">
      <w:pPr>
        <w:pStyle w:val="para"/>
        <w:rPr>
          <w:lang w:val="en-GB"/>
        </w:rPr>
      </w:pPr>
      <w:r w:rsidRPr="00B04DC3">
        <w:rPr>
          <w:lang w:val="en-GB"/>
        </w:rPr>
        <w:t>6.9.</w:t>
      </w:r>
      <w:r w:rsidRPr="00B04DC3">
        <w:rPr>
          <w:lang w:val="en-GB"/>
        </w:rPr>
        <w:tab/>
        <w:t>Specification of the reference fuel</w:t>
      </w:r>
    </w:p>
    <w:p w:rsidR="00002BA6" w:rsidRPr="00B04DC3" w:rsidRDefault="00002BA6" w:rsidP="00002BA6">
      <w:pPr>
        <w:pStyle w:val="para"/>
        <w:rPr>
          <w:lang w:val="en-GB"/>
        </w:rPr>
      </w:pPr>
      <w:r w:rsidRPr="00B04DC3">
        <w:rPr>
          <w:lang w:val="en-GB"/>
        </w:rPr>
        <w:tab/>
        <w:t xml:space="preserve">The reference fuel is specified in Appendix 2 </w:t>
      </w:r>
      <w:r w:rsidR="00A43208">
        <w:rPr>
          <w:lang w:val="en-GB"/>
        </w:rPr>
        <w:t>to</w:t>
      </w:r>
      <w:r w:rsidR="00A43208" w:rsidRPr="00B04DC3">
        <w:rPr>
          <w:lang w:val="en-GB"/>
        </w:rPr>
        <w:t xml:space="preserve"> </w:t>
      </w:r>
      <w:r w:rsidRPr="00B04DC3">
        <w:rPr>
          <w:lang w:val="en-GB"/>
        </w:rPr>
        <w:t>this annex for C.I. engines and in Annexe</w:t>
      </w:r>
      <w:r w:rsidR="00E46661" w:rsidRPr="00B04DC3">
        <w:rPr>
          <w:lang w:val="en-GB"/>
        </w:rPr>
        <w:t>5</w:t>
      </w:r>
      <w:r w:rsidRPr="00B04DC3">
        <w:rPr>
          <w:lang w:val="en-GB"/>
        </w:rPr>
        <w:t xml:space="preserve"> for CNG and LPG fuelled engines.</w:t>
      </w:r>
    </w:p>
    <w:p w:rsidR="00002BA6" w:rsidRPr="00B04DC3" w:rsidRDefault="00002BA6" w:rsidP="00002BA6">
      <w:pPr>
        <w:pStyle w:val="para"/>
        <w:rPr>
          <w:lang w:val="en-GB"/>
        </w:rPr>
      </w:pPr>
      <w:r w:rsidRPr="00B04DC3">
        <w:rPr>
          <w:lang w:val="en-GB"/>
        </w:rPr>
        <w:tab/>
        <w:t>The fuel temperature shall be in accordance with the manufacturer's recommendations.</w:t>
      </w:r>
    </w:p>
    <w:p w:rsidR="00002BA6" w:rsidRPr="00B04DC3" w:rsidRDefault="00002BA6" w:rsidP="00B43FF2">
      <w:pPr>
        <w:pStyle w:val="para"/>
        <w:keepNext/>
        <w:keepLines/>
        <w:rPr>
          <w:lang w:val="en-GB"/>
        </w:rPr>
      </w:pPr>
      <w:r w:rsidRPr="00B04DC3">
        <w:rPr>
          <w:lang w:val="en-GB"/>
        </w:rPr>
        <w:t>6.10.</w:t>
      </w:r>
      <w:r w:rsidRPr="00B04DC3">
        <w:rPr>
          <w:lang w:val="en-GB"/>
        </w:rPr>
        <w:tab/>
        <w:t>Crankcase emissions</w:t>
      </w:r>
    </w:p>
    <w:p w:rsidR="00002BA6" w:rsidRPr="00B04DC3" w:rsidRDefault="00002BA6" w:rsidP="00002BA6">
      <w:pPr>
        <w:pStyle w:val="para"/>
        <w:rPr>
          <w:lang w:val="en-GB"/>
        </w:rPr>
      </w:pPr>
      <w:r w:rsidRPr="00B04DC3">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rsidR="00002BA6" w:rsidRPr="00B04DC3" w:rsidRDefault="00002BA6" w:rsidP="00002BA6">
      <w:pPr>
        <w:pStyle w:val="para"/>
        <w:rPr>
          <w:lang w:val="en-GB"/>
        </w:rPr>
      </w:pPr>
      <w:r w:rsidRPr="00B04DC3">
        <w:rPr>
          <w:lang w:val="en-GB"/>
        </w:rPr>
        <w:tab/>
        <w:t xml:space="preserve">For the purpose of this paragraph, crankcase emissions that are routed into the exhaust upstream of exhaust </w:t>
      </w:r>
      <w:r w:rsidR="006A75A0">
        <w:rPr>
          <w:lang w:val="en-GB"/>
        </w:rPr>
        <w:t>after-treatment</w:t>
      </w:r>
      <w:r w:rsidRPr="00B04DC3">
        <w:rPr>
          <w:lang w:val="en-GB"/>
        </w:rPr>
        <w:t xml:space="preserve"> during all operation are not considered to be discharged directly into the ambient atmosphere.</w:t>
      </w:r>
    </w:p>
    <w:p w:rsidR="00002BA6" w:rsidRPr="00B04DC3" w:rsidRDefault="00002BA6" w:rsidP="00002BA6">
      <w:pPr>
        <w:pStyle w:val="para"/>
        <w:rPr>
          <w:lang w:val="en-GB"/>
        </w:rPr>
      </w:pPr>
      <w:r w:rsidRPr="00B04DC3">
        <w:rPr>
          <w:lang w:val="en-GB"/>
        </w:rPr>
        <w:tab/>
        <w:t>Open crankcase emissions shall be routed into the exhaust system for emission measurement, as follows:</w:t>
      </w:r>
    </w:p>
    <w:p w:rsidR="00002BA6" w:rsidRPr="00B04DC3" w:rsidRDefault="00002BA6" w:rsidP="00002BA6">
      <w:pPr>
        <w:pStyle w:val="a"/>
        <w:rPr>
          <w:lang w:val="en-GB"/>
        </w:rPr>
      </w:pPr>
      <w:r w:rsidRPr="00B04DC3">
        <w:rPr>
          <w:lang w:val="en-GB"/>
        </w:rPr>
        <w:t>(a)</w:t>
      </w:r>
      <w:r w:rsidRPr="00B04DC3">
        <w:rPr>
          <w:lang w:val="en-GB"/>
        </w:rPr>
        <w:tab/>
        <w:t>The tubing materials shall be smooth-walled, electrically conductive, and not reactive with crankcase emissions. Tube lengths shall be minimized as far as possible;</w:t>
      </w:r>
    </w:p>
    <w:p w:rsidR="00002BA6" w:rsidRPr="00B04DC3" w:rsidRDefault="00002BA6" w:rsidP="00002BA6">
      <w:pPr>
        <w:pStyle w:val="a"/>
        <w:rPr>
          <w:lang w:val="en-GB"/>
        </w:rPr>
      </w:pPr>
      <w:r w:rsidRPr="00B04DC3">
        <w:rPr>
          <w:lang w:val="en-GB"/>
        </w:rPr>
        <w:t>(b)</w:t>
      </w:r>
      <w:r w:rsidRPr="00B04DC3">
        <w:rPr>
          <w:lang w:val="en-GB"/>
        </w:rPr>
        <w:tab/>
        <w:t xml:space="preserve">The </w:t>
      </w:r>
      <w:r w:rsidRPr="00B04DC3">
        <w:rPr>
          <w:szCs w:val="24"/>
          <w:lang w:val="en-GB"/>
        </w:rPr>
        <w:t>number</w:t>
      </w:r>
      <w:r w:rsidRPr="00B04DC3">
        <w:rPr>
          <w:lang w:val="en-GB"/>
        </w:rPr>
        <w:t xml:space="preserve"> of bends in the laboratory crankcase tubing shall be minimized, and the radius of any unavoidable bend shall be maximized;</w:t>
      </w:r>
    </w:p>
    <w:p w:rsidR="00002BA6" w:rsidRPr="00B04DC3" w:rsidRDefault="00002BA6" w:rsidP="00002BA6">
      <w:pPr>
        <w:pStyle w:val="a"/>
        <w:rPr>
          <w:lang w:val="en-GB"/>
        </w:rPr>
      </w:pPr>
      <w:r w:rsidRPr="00B04DC3">
        <w:rPr>
          <w:lang w:val="en-GB"/>
        </w:rPr>
        <w:t>(c)</w:t>
      </w:r>
      <w:r w:rsidRPr="00B04DC3">
        <w:rPr>
          <w:lang w:val="en-GB"/>
        </w:rPr>
        <w:tab/>
        <w:t xml:space="preserve">The </w:t>
      </w:r>
      <w:r w:rsidRPr="00B04DC3">
        <w:rPr>
          <w:szCs w:val="24"/>
          <w:lang w:val="en-GB"/>
        </w:rPr>
        <w:t>laboratory</w:t>
      </w:r>
      <w:r w:rsidRPr="00B04DC3">
        <w:rPr>
          <w:lang w:val="en-GB"/>
        </w:rPr>
        <w:t xml:space="preserve"> crankcase exhaust tubing shall be heated, thin-walled or insulated and shall meet the engine manufacturer's specifications for crankcase back pressure;</w:t>
      </w:r>
    </w:p>
    <w:p w:rsidR="00002BA6" w:rsidRPr="00B04DC3" w:rsidRDefault="00002BA6" w:rsidP="00002BA6">
      <w:pPr>
        <w:pStyle w:val="a"/>
        <w:rPr>
          <w:lang w:val="en-GB"/>
        </w:rPr>
      </w:pPr>
      <w:r w:rsidRPr="00B04DC3">
        <w:rPr>
          <w:lang w:val="en-GB"/>
        </w:rPr>
        <w:t>(d)</w:t>
      </w:r>
      <w:r w:rsidRPr="00B04DC3">
        <w:rPr>
          <w:lang w:val="en-GB"/>
        </w:rPr>
        <w:tab/>
        <w:t xml:space="preserve">The crankcase </w:t>
      </w:r>
      <w:r w:rsidRPr="00B04DC3">
        <w:rPr>
          <w:szCs w:val="24"/>
          <w:lang w:val="en-GB"/>
        </w:rPr>
        <w:t>exhaust</w:t>
      </w:r>
      <w:r w:rsidRPr="00B04DC3">
        <w:rPr>
          <w:lang w:val="en-GB"/>
        </w:rPr>
        <w:t xml:space="preserve"> tubing shall connect into the raw exhaust downstream of any </w:t>
      </w:r>
      <w:r w:rsidR="006A75A0">
        <w:rPr>
          <w:lang w:val="en-GB"/>
        </w:rPr>
        <w:t>after-treatment</w:t>
      </w:r>
      <w:r w:rsidRPr="00B04DC3">
        <w:rPr>
          <w:lang w:val="en-GB"/>
        </w:rPr>
        <w:t xml:space="preserve">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rsidR="00002BA6" w:rsidRPr="00B04DC3" w:rsidRDefault="00002BA6" w:rsidP="00002BA6">
      <w:pPr>
        <w:pStyle w:val="para"/>
        <w:rPr>
          <w:lang w:val="en-GB"/>
        </w:rPr>
      </w:pPr>
      <w:r w:rsidRPr="00B04DC3">
        <w:rPr>
          <w:lang w:val="en-GB"/>
        </w:rPr>
        <w:t>7.</w:t>
      </w:r>
      <w:r w:rsidRPr="00B04DC3">
        <w:rPr>
          <w:lang w:val="en-GB"/>
        </w:rPr>
        <w:tab/>
        <w:t>Test procedures</w:t>
      </w:r>
    </w:p>
    <w:p w:rsidR="00002BA6" w:rsidRPr="00B04DC3" w:rsidRDefault="00002BA6" w:rsidP="00002BA6">
      <w:pPr>
        <w:pStyle w:val="para"/>
        <w:rPr>
          <w:lang w:val="en-GB"/>
        </w:rPr>
      </w:pPr>
      <w:r w:rsidRPr="00B04DC3">
        <w:rPr>
          <w:lang w:val="en-GB"/>
        </w:rPr>
        <w:t>7.1.</w:t>
      </w:r>
      <w:r w:rsidRPr="00B04DC3">
        <w:rPr>
          <w:lang w:val="en-GB"/>
        </w:rPr>
        <w:tab/>
        <w:t>Principles of emissions measurement</w:t>
      </w:r>
    </w:p>
    <w:p w:rsidR="00002BA6" w:rsidRPr="00B04DC3" w:rsidRDefault="00002BA6" w:rsidP="00002BA6">
      <w:pPr>
        <w:pStyle w:val="para"/>
        <w:rPr>
          <w:spacing w:val="-2"/>
          <w:lang w:val="en-GB"/>
        </w:rPr>
      </w:pPr>
      <w:r w:rsidRPr="00B04DC3">
        <w:rPr>
          <w:spacing w:val="-2"/>
          <w:lang w:val="en-GB"/>
        </w:rPr>
        <w:tab/>
        <w:t>To measure the specific emissions, the engine shall be operated over the test cycles defined in paragraphs 7.2.1. and 7.2.2.</w:t>
      </w:r>
      <w:r w:rsidR="00A43208" w:rsidRPr="00A43208">
        <w:rPr>
          <w:lang w:val="en-GB"/>
        </w:rPr>
        <w:t xml:space="preserve"> </w:t>
      </w:r>
      <w:r w:rsidR="00A43208">
        <w:rPr>
          <w:lang w:val="en-GB"/>
        </w:rPr>
        <w:t>of this annex.</w:t>
      </w:r>
      <w:r w:rsidRPr="00B04DC3">
        <w:rPr>
          <w:spacing w:val="-2"/>
          <w:lang w:val="en-GB"/>
        </w:rPr>
        <w:t xml:space="preserve"> The measurement of specific emissions requires the determination of the mass of components in the exhaust and the corresponding engine cycle work. The components are determined by the sampling methods described in paragraphs 7.1.1. and 7.1.2.</w:t>
      </w:r>
      <w:r w:rsidR="00A43208" w:rsidRPr="00A43208">
        <w:rPr>
          <w:lang w:val="en-GB"/>
        </w:rPr>
        <w:t xml:space="preserve"> </w:t>
      </w:r>
      <w:r w:rsidR="00A43208">
        <w:rPr>
          <w:lang w:val="en-GB"/>
        </w:rPr>
        <w:t>of this annex.</w:t>
      </w:r>
    </w:p>
    <w:p w:rsidR="00002BA6" w:rsidRPr="00B04DC3" w:rsidRDefault="00002BA6" w:rsidP="00002BA6">
      <w:pPr>
        <w:pStyle w:val="para"/>
        <w:rPr>
          <w:lang w:val="en-GB"/>
        </w:rPr>
      </w:pPr>
      <w:r w:rsidRPr="00B04DC3">
        <w:rPr>
          <w:lang w:val="en-GB"/>
        </w:rPr>
        <w:t>7.1.1.</w:t>
      </w:r>
      <w:r w:rsidRPr="00B04DC3">
        <w:rPr>
          <w:lang w:val="en-GB"/>
        </w:rPr>
        <w:tab/>
        <w:t>Continuous sampling</w:t>
      </w:r>
    </w:p>
    <w:p w:rsidR="00002BA6" w:rsidRPr="00B04DC3" w:rsidRDefault="00002BA6" w:rsidP="00002BA6">
      <w:pPr>
        <w:pStyle w:val="para"/>
        <w:rPr>
          <w:lang w:val="en-GB"/>
        </w:rPr>
      </w:pPr>
      <w:r w:rsidRPr="00B04DC3">
        <w:rPr>
          <w:lang w:val="en-GB"/>
        </w:rPr>
        <w:tab/>
        <w:t>In continuous sampling, the component's concentration is measured continuously from raw or dilute exhaust. This concentration is multiplied by the continuous (raw or dilute) exhaust flow rate at the emission sampling location to determine the component's mass flow rate. The component's emission is continuously summed over the test cycle. This sum is the total mass of the emitted component.</w:t>
      </w:r>
    </w:p>
    <w:p w:rsidR="00002BA6" w:rsidRPr="00B04DC3" w:rsidRDefault="00002BA6" w:rsidP="00002BA6">
      <w:pPr>
        <w:pStyle w:val="para"/>
        <w:rPr>
          <w:lang w:val="en-GB"/>
        </w:rPr>
      </w:pPr>
      <w:r w:rsidRPr="00B04DC3">
        <w:rPr>
          <w:lang w:val="en-GB"/>
        </w:rPr>
        <w:t>7.1.2.</w:t>
      </w:r>
      <w:r w:rsidRPr="00B04DC3">
        <w:rPr>
          <w:lang w:val="en-GB"/>
        </w:rPr>
        <w:tab/>
        <w:t>Batch sampling</w:t>
      </w:r>
    </w:p>
    <w:p w:rsidR="00002BA6" w:rsidRPr="00B04DC3" w:rsidRDefault="00002BA6" w:rsidP="00002BA6">
      <w:pPr>
        <w:pStyle w:val="para"/>
        <w:rPr>
          <w:lang w:val="en-GB"/>
        </w:rPr>
      </w:pPr>
      <w:r w:rsidRPr="00B04DC3">
        <w:rPr>
          <w:lang w:val="en-GB"/>
        </w:rPr>
        <w:tab/>
        <w:t xml:space="preserve">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w:t>
      </w:r>
      <w:r w:rsidR="00A43208">
        <w:rPr>
          <w:lang w:val="en-GB"/>
        </w:rPr>
        <w:t>P</w:t>
      </w:r>
      <w:r w:rsidR="00A43208" w:rsidRPr="00B04DC3">
        <w:rPr>
          <w:lang w:val="en-GB"/>
        </w:rPr>
        <w:t xml:space="preserve">articulate </w:t>
      </w:r>
      <w:r w:rsidR="00A43208">
        <w:rPr>
          <w:lang w:val="en-GB"/>
        </w:rPr>
        <w:t>M</w:t>
      </w:r>
      <w:r w:rsidR="00A43208" w:rsidRPr="00B04DC3">
        <w:rPr>
          <w:lang w:val="en-GB"/>
        </w:rPr>
        <w:t xml:space="preserve">atter </w:t>
      </w:r>
      <w:r w:rsidRPr="00B04DC3">
        <w:rPr>
          <w:lang w:val="en-GB"/>
        </w:rPr>
        <w:t>(PM)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from proportionally extracted exhaust shall be divided by the amount of filtered exhaust.</w:t>
      </w:r>
    </w:p>
    <w:p w:rsidR="00002BA6" w:rsidRPr="00B04DC3" w:rsidRDefault="00002BA6" w:rsidP="00002BA6">
      <w:pPr>
        <w:pStyle w:val="para"/>
        <w:rPr>
          <w:lang w:val="en-GB"/>
        </w:rPr>
      </w:pPr>
      <w:r w:rsidRPr="00B04DC3">
        <w:rPr>
          <w:lang w:val="en-GB"/>
        </w:rPr>
        <w:t>7.1.3.</w:t>
      </w:r>
      <w:r w:rsidRPr="00B04DC3">
        <w:rPr>
          <w:lang w:val="en-GB"/>
        </w:rPr>
        <w:tab/>
        <w:t>Measurement procedures</w:t>
      </w:r>
    </w:p>
    <w:p w:rsidR="00002BA6" w:rsidRPr="00B04DC3" w:rsidRDefault="00002BA6" w:rsidP="00002BA6">
      <w:pPr>
        <w:pStyle w:val="para"/>
        <w:rPr>
          <w:lang w:val="en-GB"/>
        </w:rPr>
      </w:pPr>
      <w:r w:rsidRPr="00B04DC3">
        <w:rPr>
          <w:lang w:val="en-GB"/>
        </w:rPr>
        <w:tab/>
        <w:t>This annex applies two measurement procedures that are functionally equivalent. Both procedures may be used for both the WHTC and the WHSC test cycle:</w:t>
      </w:r>
    </w:p>
    <w:p w:rsidR="00002BA6" w:rsidRPr="00B04DC3" w:rsidRDefault="00002BA6" w:rsidP="00002BA6">
      <w:pPr>
        <w:pStyle w:val="a"/>
        <w:rPr>
          <w:lang w:val="en-GB"/>
        </w:rPr>
      </w:pPr>
      <w:r w:rsidRPr="00B04DC3">
        <w:rPr>
          <w:lang w:val="en-GB"/>
        </w:rPr>
        <w:t>(a)</w:t>
      </w:r>
      <w:r w:rsidRPr="00B04DC3">
        <w:rPr>
          <w:lang w:val="en-GB"/>
        </w:rPr>
        <w:tab/>
        <w:t>The gaseous components are sampled continuously in the raw exhaust gas, and the particulates are determined using a partial flow dilution system;</w:t>
      </w:r>
    </w:p>
    <w:p w:rsidR="00002BA6" w:rsidRPr="00B04DC3" w:rsidRDefault="00002BA6" w:rsidP="00002BA6">
      <w:pPr>
        <w:pStyle w:val="a"/>
        <w:rPr>
          <w:lang w:val="en-GB"/>
        </w:rPr>
      </w:pPr>
      <w:r w:rsidRPr="00B04DC3">
        <w:rPr>
          <w:lang w:val="en-GB"/>
        </w:rPr>
        <w:t>(b)</w:t>
      </w:r>
      <w:r w:rsidRPr="00B04DC3">
        <w:rPr>
          <w:lang w:val="en-GB"/>
        </w:rPr>
        <w:tab/>
        <w:t>The gaseous components and the particulates are determined using a full flow dilution system (CVS system).</w:t>
      </w:r>
    </w:p>
    <w:p w:rsidR="00002BA6" w:rsidRPr="00B04DC3" w:rsidRDefault="00002BA6" w:rsidP="00002BA6">
      <w:pPr>
        <w:pStyle w:val="para"/>
        <w:rPr>
          <w:lang w:val="en-GB"/>
        </w:rPr>
      </w:pPr>
      <w:r w:rsidRPr="00B04DC3">
        <w:rPr>
          <w:lang w:val="en-GB"/>
        </w:rPr>
        <w:tab/>
        <w:t>Any combination of the two principles (e.g. raw gaseous measurement and full flow particulate measurement) is permitted.</w:t>
      </w:r>
    </w:p>
    <w:p w:rsidR="00002BA6" w:rsidRPr="00B04DC3" w:rsidRDefault="00002BA6" w:rsidP="00002BA6">
      <w:pPr>
        <w:pStyle w:val="para"/>
        <w:rPr>
          <w:lang w:val="en-GB"/>
        </w:rPr>
      </w:pPr>
      <w:r w:rsidRPr="00B04DC3">
        <w:rPr>
          <w:lang w:val="en-GB"/>
        </w:rPr>
        <w:t>7.2.</w:t>
      </w:r>
      <w:r w:rsidRPr="00B04DC3">
        <w:rPr>
          <w:lang w:val="en-GB"/>
        </w:rPr>
        <w:tab/>
        <w:t>Test cycles</w:t>
      </w:r>
    </w:p>
    <w:p w:rsidR="00002BA6" w:rsidRPr="00B04DC3" w:rsidRDefault="00002BA6" w:rsidP="00002BA6">
      <w:pPr>
        <w:pStyle w:val="para"/>
        <w:rPr>
          <w:lang w:val="en-GB"/>
        </w:rPr>
      </w:pPr>
      <w:r w:rsidRPr="00B04DC3">
        <w:rPr>
          <w:lang w:val="en-GB"/>
        </w:rPr>
        <w:t>7.2.1.</w:t>
      </w:r>
      <w:r w:rsidRPr="00B04DC3">
        <w:rPr>
          <w:lang w:val="en-GB"/>
        </w:rPr>
        <w:tab/>
        <w:t xml:space="preserve">Transient test cycle WHTC </w:t>
      </w:r>
    </w:p>
    <w:p w:rsidR="00002BA6" w:rsidRPr="00B04DC3" w:rsidRDefault="00002BA6" w:rsidP="00002BA6">
      <w:pPr>
        <w:pStyle w:val="para"/>
        <w:rPr>
          <w:lang w:val="en-GB"/>
        </w:rPr>
      </w:pPr>
      <w:r w:rsidRPr="00B04DC3">
        <w:rPr>
          <w:lang w:val="en-GB"/>
        </w:rPr>
        <w:tab/>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rsidR="00002BA6" w:rsidRPr="00B04DC3" w:rsidRDefault="00002BA6" w:rsidP="00002BA6">
      <w:pPr>
        <w:pStyle w:val="para"/>
        <w:rPr>
          <w:lang w:val="en-GB"/>
        </w:rPr>
      </w:pPr>
      <w:r w:rsidRPr="00B04DC3">
        <w:rPr>
          <w:lang w:val="en-GB"/>
        </w:rPr>
        <w:tab/>
        <w:t>For calculation of the brake specific emissions, the actual cycle work shall be calculated by integrating actual engine power over the cycle. For cycle validation, the actual cycle work shall be within prescribed limits of the reference cycle work.</w:t>
      </w:r>
    </w:p>
    <w:p w:rsidR="00002BA6" w:rsidRPr="00B04DC3" w:rsidRDefault="00002BA6" w:rsidP="00002BA6">
      <w:pPr>
        <w:pStyle w:val="para"/>
        <w:rPr>
          <w:lang w:val="en-GB"/>
        </w:rPr>
      </w:pPr>
      <w:r w:rsidRPr="00B04DC3">
        <w:rPr>
          <w:lang w:val="en-GB"/>
        </w:rPr>
        <w:tab/>
        <w:t>For the gaseous pollutants, continuous sampling (raw or dilute exhaust gas) or batch sampling (dilute exhaust gas) may be used. The particulate sample shall be diluted with a conditioned diluent (such as ambient air), and collected on a single suitable filter. The WHTC is shown schematically in Figure 3.</w:t>
      </w:r>
    </w:p>
    <w:p w:rsidR="00002BA6" w:rsidRPr="00B04DC3" w:rsidRDefault="00002BA6" w:rsidP="00002BA6">
      <w:pPr>
        <w:pStyle w:val="Heading1"/>
        <w:keepNext/>
      </w:pPr>
      <w:bookmarkStart w:id="451" w:name="_Toc399939997"/>
      <w:bookmarkStart w:id="452" w:name="_Toc423599583"/>
      <w:bookmarkStart w:id="453" w:name="_Toc423610991"/>
      <w:r w:rsidRPr="00B04DC3">
        <w:t>Figure 3</w:t>
      </w:r>
      <w:bookmarkEnd w:id="451"/>
      <w:bookmarkEnd w:id="452"/>
      <w:bookmarkEnd w:id="453"/>
    </w:p>
    <w:p w:rsidR="00002BA6" w:rsidRPr="00B04DC3" w:rsidRDefault="00002BA6" w:rsidP="00002BA6">
      <w:pPr>
        <w:pStyle w:val="Heading1"/>
        <w:keepNext/>
        <w:rPr>
          <w:b/>
        </w:rPr>
      </w:pPr>
      <w:bookmarkStart w:id="454" w:name="_Toc399939998"/>
      <w:bookmarkStart w:id="455" w:name="_Toc423599584"/>
      <w:bookmarkStart w:id="456" w:name="_Toc423610992"/>
      <w:r w:rsidRPr="00B04DC3">
        <w:rPr>
          <w:b/>
        </w:rPr>
        <w:t>WHTC test cycle</w:t>
      </w:r>
      <w:bookmarkEnd w:id="454"/>
      <w:bookmarkEnd w:id="455"/>
      <w:bookmarkEnd w:id="456"/>
    </w:p>
    <w:p w:rsidR="00002BA6" w:rsidRPr="00B04DC3" w:rsidRDefault="00A905B7" w:rsidP="00002BA6">
      <w:pPr>
        <w:tabs>
          <w:tab w:val="left" w:pos="1985"/>
        </w:tabs>
        <w:ind w:left="1134" w:right="91"/>
        <w:jc w:val="both"/>
      </w:pPr>
      <w:r>
        <w:pict>
          <v:shape id="_x0000_i1223" type="#_x0000_t75" style="width:384pt;height:241.2pt">
            <v:imagedata r:id="rId354" o:title=""/>
          </v:shape>
        </w:pict>
      </w:r>
    </w:p>
    <w:p w:rsidR="00002BA6" w:rsidRPr="00B04DC3" w:rsidRDefault="00002BA6" w:rsidP="00002BA6">
      <w:pPr>
        <w:pStyle w:val="para"/>
        <w:rPr>
          <w:lang w:val="en-GB"/>
        </w:rPr>
      </w:pPr>
      <w:r w:rsidRPr="00B04DC3">
        <w:rPr>
          <w:lang w:val="en-GB"/>
        </w:rPr>
        <w:t>7.2.2.</w:t>
      </w:r>
      <w:r w:rsidRPr="00B04DC3">
        <w:rPr>
          <w:lang w:val="en-GB"/>
        </w:rPr>
        <w:tab/>
        <w:t>Ramped steady state test cycle WHSC</w:t>
      </w:r>
    </w:p>
    <w:p w:rsidR="00002BA6" w:rsidRPr="00B04DC3" w:rsidRDefault="00002BA6" w:rsidP="00002BA6">
      <w:pPr>
        <w:pStyle w:val="para"/>
        <w:rPr>
          <w:lang w:val="en-GB"/>
        </w:rPr>
      </w:pPr>
      <w:r w:rsidRPr="00B04DC3">
        <w:rPr>
          <w:lang w:val="en-GB"/>
        </w:rPr>
        <w:tab/>
        <w:t xml:space="preserve">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w:t>
      </w:r>
      <w:r w:rsidRPr="00B04DC3">
        <w:rPr>
          <w:lang w:val="en-GB"/>
        </w:rPr>
        <w:sym w:font="Symbol" w:char="F0B1"/>
      </w:r>
      <w:r w:rsidRPr="00B04DC3">
        <w:rPr>
          <w:lang w:val="en-GB"/>
        </w:rPr>
        <w:t xml:space="preserve"> 1 seconds. In order to validate the test run, a regression analysis between reference and actual speed, torque and power values shall be conducted upon completion of the test.</w:t>
      </w:r>
    </w:p>
    <w:p w:rsidR="00002BA6" w:rsidRPr="00B04DC3" w:rsidRDefault="00002BA6" w:rsidP="00002BA6">
      <w:pPr>
        <w:pStyle w:val="para"/>
        <w:rPr>
          <w:lang w:val="en-GB"/>
        </w:rPr>
      </w:pPr>
      <w:r w:rsidRPr="00B04DC3">
        <w:rPr>
          <w:lang w:val="en-GB"/>
        </w:rPr>
        <w:tab/>
        <w:t>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w:t>
      </w:r>
    </w:p>
    <w:p w:rsidR="00002BA6" w:rsidRPr="00B04DC3" w:rsidRDefault="00002BA6" w:rsidP="00002BA6">
      <w:pPr>
        <w:pStyle w:val="para"/>
        <w:rPr>
          <w:lang w:val="en-GB"/>
        </w:rPr>
      </w:pPr>
      <w:r w:rsidRPr="00B04DC3">
        <w:rPr>
          <w:lang w:val="en-GB"/>
        </w:rPr>
        <w:tab/>
        <w:t>For calculation of the brake specific emissions, the actual cycle work shall be calculated by integrating actual engine power over the cycle.</w:t>
      </w:r>
    </w:p>
    <w:p w:rsidR="00002BA6" w:rsidRPr="00B04DC3" w:rsidRDefault="00002BA6" w:rsidP="00002BA6">
      <w:pPr>
        <w:pStyle w:val="para"/>
        <w:rPr>
          <w:lang w:val="en-GB"/>
        </w:rPr>
      </w:pPr>
      <w:r w:rsidRPr="00B04DC3">
        <w:rPr>
          <w:lang w:val="en-GB"/>
        </w:rPr>
        <w:tab/>
        <w:t>The WHSC is shown in Table 1</w:t>
      </w:r>
      <w:r w:rsidR="00A43208">
        <w:rPr>
          <w:lang w:val="en-GB"/>
        </w:rPr>
        <w:t xml:space="preserve"> below</w:t>
      </w:r>
      <w:r w:rsidRPr="00B04DC3">
        <w:rPr>
          <w:lang w:val="en-GB"/>
        </w:rPr>
        <w:t>. Except for mode 1, the start of each mode is defined as the beginning of the ramp from the previous mode.</w:t>
      </w:r>
    </w:p>
    <w:p w:rsidR="00002BA6" w:rsidRPr="00B04DC3" w:rsidRDefault="00002BA6" w:rsidP="00002BA6">
      <w:pPr>
        <w:pStyle w:val="Heading1"/>
      </w:pPr>
      <w:r w:rsidRPr="00B04DC3">
        <w:br w:type="page"/>
      </w:r>
      <w:bookmarkStart w:id="457" w:name="_Toc399939999"/>
      <w:bookmarkStart w:id="458" w:name="_Toc423599585"/>
      <w:bookmarkStart w:id="459" w:name="_Toc423610993"/>
      <w:r w:rsidRPr="00B04DC3">
        <w:t>Table 1</w:t>
      </w:r>
      <w:bookmarkEnd w:id="457"/>
      <w:bookmarkEnd w:id="458"/>
      <w:bookmarkEnd w:id="459"/>
    </w:p>
    <w:p w:rsidR="00002BA6" w:rsidRPr="00B04DC3" w:rsidRDefault="00002BA6" w:rsidP="00002BA6">
      <w:pPr>
        <w:pStyle w:val="Heading1"/>
        <w:rPr>
          <w:b/>
        </w:rPr>
      </w:pPr>
      <w:bookmarkStart w:id="460" w:name="_Toc399940000"/>
      <w:bookmarkStart w:id="461" w:name="_Toc423599586"/>
      <w:bookmarkStart w:id="462" w:name="_Toc423610994"/>
      <w:r w:rsidRPr="00B04DC3">
        <w:rPr>
          <w:b/>
        </w:rPr>
        <w:t>WHSC test cycle</w:t>
      </w:r>
      <w:bookmarkEnd w:id="460"/>
      <w:bookmarkEnd w:id="461"/>
      <w:bookmarkEnd w:id="462"/>
    </w:p>
    <w:tbl>
      <w:tblPr>
        <w:tblW w:w="550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7"/>
        <w:gridCol w:w="1340"/>
        <w:gridCol w:w="1418"/>
        <w:gridCol w:w="2018"/>
      </w:tblGrid>
      <w:tr w:rsidR="00002BA6" w:rsidRPr="004B53F0" w:rsidTr="004B53F0">
        <w:trPr>
          <w:trHeight w:val="249"/>
        </w:trPr>
        <w:tc>
          <w:tcPr>
            <w:tcW w:w="727" w:type="dxa"/>
            <w:tcBorders>
              <w:bottom w:val="single" w:sz="12" w:space="0" w:color="auto"/>
            </w:tcBorders>
            <w:noWrap/>
            <w:vAlign w:val="bottom"/>
          </w:tcPr>
          <w:p w:rsidR="00002BA6" w:rsidRPr="004B53F0" w:rsidRDefault="00002BA6" w:rsidP="00002BA6">
            <w:pPr>
              <w:pStyle w:val="tableau"/>
              <w:spacing w:before="80" w:after="80" w:line="200" w:lineRule="exact"/>
              <w:ind w:left="4" w:right="4"/>
              <w:rPr>
                <w:rFonts w:ascii="Times New Roman" w:hAnsi="Times New Roman"/>
                <w:i/>
                <w:sz w:val="16"/>
                <w:szCs w:val="16"/>
                <w:lang w:val="en-GB"/>
              </w:rPr>
            </w:pPr>
            <w:r w:rsidRPr="004B53F0">
              <w:rPr>
                <w:rFonts w:ascii="Times New Roman" w:hAnsi="Times New Roman"/>
                <w:i/>
                <w:sz w:val="16"/>
                <w:szCs w:val="16"/>
                <w:lang w:val="en-GB"/>
              </w:rPr>
              <w:t>Mode</w:t>
            </w:r>
          </w:p>
        </w:tc>
        <w:tc>
          <w:tcPr>
            <w:tcW w:w="1340" w:type="dxa"/>
            <w:tcBorders>
              <w:bottom w:val="single" w:sz="12" w:space="0" w:color="auto"/>
            </w:tcBorders>
            <w:noWrap/>
            <w:vAlign w:val="bottom"/>
          </w:tcPr>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 xml:space="preserve">Normalized </w:t>
            </w:r>
            <w:r w:rsidR="00A43208">
              <w:rPr>
                <w:rFonts w:ascii="Times New Roman" w:hAnsi="Times New Roman"/>
                <w:i/>
                <w:sz w:val="16"/>
                <w:szCs w:val="16"/>
                <w:lang w:val="en-GB"/>
              </w:rPr>
              <w:t>s</w:t>
            </w:r>
            <w:r w:rsidR="00A43208" w:rsidRPr="004B53F0">
              <w:rPr>
                <w:rFonts w:ascii="Times New Roman" w:hAnsi="Times New Roman"/>
                <w:i/>
                <w:sz w:val="16"/>
                <w:szCs w:val="16"/>
                <w:lang w:val="en-GB"/>
              </w:rPr>
              <w:t xml:space="preserve">peed </w:t>
            </w:r>
          </w:p>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(per cent)</w:t>
            </w:r>
          </w:p>
        </w:tc>
        <w:tc>
          <w:tcPr>
            <w:tcW w:w="1418" w:type="dxa"/>
            <w:tcBorders>
              <w:bottom w:val="single" w:sz="12" w:space="0" w:color="auto"/>
            </w:tcBorders>
            <w:noWrap/>
            <w:vAlign w:val="bottom"/>
          </w:tcPr>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 xml:space="preserve">Normalized </w:t>
            </w:r>
            <w:r w:rsidR="00A43208">
              <w:rPr>
                <w:rFonts w:ascii="Times New Roman" w:hAnsi="Times New Roman"/>
                <w:i/>
                <w:sz w:val="16"/>
                <w:szCs w:val="16"/>
                <w:lang w:val="en-GB"/>
              </w:rPr>
              <w:t>t</w:t>
            </w:r>
            <w:r w:rsidR="00A43208" w:rsidRPr="004B53F0">
              <w:rPr>
                <w:rFonts w:ascii="Times New Roman" w:hAnsi="Times New Roman"/>
                <w:i/>
                <w:sz w:val="16"/>
                <w:szCs w:val="16"/>
                <w:lang w:val="en-GB"/>
              </w:rPr>
              <w:t xml:space="preserve">orque </w:t>
            </w:r>
          </w:p>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(per cent)</w:t>
            </w:r>
          </w:p>
        </w:tc>
        <w:tc>
          <w:tcPr>
            <w:tcW w:w="2018" w:type="dxa"/>
            <w:tcBorders>
              <w:bottom w:val="single" w:sz="12" w:space="0" w:color="auto"/>
            </w:tcBorders>
            <w:noWrap/>
            <w:vAlign w:val="bottom"/>
          </w:tcPr>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Mode length (s)</w:t>
            </w:r>
          </w:p>
          <w:p w:rsidR="00002BA6" w:rsidRPr="004B53F0" w:rsidRDefault="00002BA6" w:rsidP="00002BA6">
            <w:pPr>
              <w:pStyle w:val="tableau"/>
              <w:spacing w:before="80" w:after="80" w:line="200" w:lineRule="exact"/>
              <w:ind w:left="4" w:right="4"/>
              <w:jc w:val="right"/>
              <w:rPr>
                <w:rFonts w:ascii="Times New Roman" w:hAnsi="Times New Roman"/>
                <w:i/>
                <w:sz w:val="16"/>
                <w:szCs w:val="16"/>
                <w:lang w:val="en-GB"/>
              </w:rPr>
            </w:pPr>
            <w:r w:rsidRPr="004B53F0">
              <w:rPr>
                <w:rFonts w:ascii="Times New Roman" w:hAnsi="Times New Roman"/>
                <w:i/>
                <w:sz w:val="16"/>
                <w:szCs w:val="16"/>
                <w:lang w:val="en-GB"/>
              </w:rPr>
              <w:t>incl. 20 s ramp</w:t>
            </w:r>
          </w:p>
        </w:tc>
      </w:tr>
      <w:tr w:rsidR="00002BA6" w:rsidRPr="00B04DC3" w:rsidTr="004B53F0">
        <w:trPr>
          <w:trHeight w:val="249"/>
        </w:trPr>
        <w:tc>
          <w:tcPr>
            <w:tcW w:w="727" w:type="dxa"/>
            <w:tcBorders>
              <w:top w:val="single" w:sz="12" w:space="0" w:color="auto"/>
            </w:tcBorders>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1</w:t>
            </w:r>
          </w:p>
        </w:tc>
        <w:tc>
          <w:tcPr>
            <w:tcW w:w="1340" w:type="dxa"/>
            <w:tcBorders>
              <w:top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0</w:t>
            </w:r>
          </w:p>
        </w:tc>
        <w:tc>
          <w:tcPr>
            <w:tcW w:w="1418" w:type="dxa"/>
            <w:tcBorders>
              <w:top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0</w:t>
            </w:r>
          </w:p>
        </w:tc>
        <w:tc>
          <w:tcPr>
            <w:tcW w:w="2018" w:type="dxa"/>
            <w:tcBorders>
              <w:top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210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2</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100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3</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4</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70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75</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5</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35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100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6</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200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7</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45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70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75</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8</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45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150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9</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125</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10</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75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100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50</w:t>
            </w:r>
          </w:p>
        </w:tc>
      </w:tr>
      <w:tr w:rsidR="00002BA6" w:rsidRPr="00B04DC3">
        <w:trPr>
          <w:trHeight w:val="249"/>
        </w:trPr>
        <w:tc>
          <w:tcPr>
            <w:tcW w:w="727" w:type="dxa"/>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11</w:t>
            </w:r>
          </w:p>
        </w:tc>
        <w:tc>
          <w:tcPr>
            <w:tcW w:w="1340"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35</w:t>
            </w:r>
          </w:p>
        </w:tc>
        <w:tc>
          <w:tcPr>
            <w:tcW w:w="14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50</w:t>
            </w:r>
          </w:p>
        </w:tc>
        <w:tc>
          <w:tcPr>
            <w:tcW w:w="2018" w:type="dxa"/>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200</w:t>
            </w:r>
          </w:p>
        </w:tc>
      </w:tr>
      <w:tr w:rsidR="00002BA6" w:rsidRPr="00B04DC3" w:rsidTr="004B53F0">
        <w:trPr>
          <w:trHeight w:val="249"/>
        </w:trPr>
        <w:tc>
          <w:tcPr>
            <w:tcW w:w="727" w:type="dxa"/>
            <w:tcBorders>
              <w:bottom w:val="single" w:sz="4" w:space="0" w:color="auto"/>
            </w:tcBorders>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12</w:t>
            </w:r>
          </w:p>
        </w:tc>
        <w:tc>
          <w:tcPr>
            <w:tcW w:w="1340" w:type="dxa"/>
            <w:tcBorders>
              <w:bottom w:val="single" w:sz="4"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35</w:t>
            </w:r>
          </w:p>
        </w:tc>
        <w:tc>
          <w:tcPr>
            <w:tcW w:w="1418" w:type="dxa"/>
            <w:tcBorders>
              <w:bottom w:val="single" w:sz="4"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w:t>
            </w:r>
          </w:p>
        </w:tc>
        <w:tc>
          <w:tcPr>
            <w:tcW w:w="2018" w:type="dxa"/>
            <w:tcBorders>
              <w:bottom w:val="single" w:sz="4"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250</w:t>
            </w:r>
          </w:p>
        </w:tc>
      </w:tr>
      <w:tr w:rsidR="00002BA6" w:rsidRPr="00B04DC3" w:rsidTr="004B53F0">
        <w:trPr>
          <w:trHeight w:val="249"/>
        </w:trPr>
        <w:tc>
          <w:tcPr>
            <w:tcW w:w="727" w:type="dxa"/>
            <w:tcBorders>
              <w:bottom w:val="nil"/>
            </w:tcBorders>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13</w:t>
            </w:r>
          </w:p>
        </w:tc>
        <w:tc>
          <w:tcPr>
            <w:tcW w:w="1340" w:type="dxa"/>
            <w:tcBorders>
              <w:bottom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0</w:t>
            </w:r>
          </w:p>
        </w:tc>
        <w:tc>
          <w:tcPr>
            <w:tcW w:w="1418" w:type="dxa"/>
            <w:tcBorders>
              <w:bottom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0</w:t>
            </w:r>
          </w:p>
        </w:tc>
        <w:tc>
          <w:tcPr>
            <w:tcW w:w="2018" w:type="dxa"/>
            <w:tcBorders>
              <w:bottom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210</w:t>
            </w:r>
          </w:p>
        </w:tc>
      </w:tr>
      <w:tr w:rsidR="00002BA6" w:rsidRPr="00B04DC3" w:rsidTr="004B53F0">
        <w:trPr>
          <w:trHeight w:hRule="exact" w:val="57"/>
        </w:trPr>
        <w:tc>
          <w:tcPr>
            <w:tcW w:w="727" w:type="dxa"/>
            <w:tcBorders>
              <w:top w:val="nil"/>
            </w:tcBorders>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 </w:t>
            </w:r>
          </w:p>
        </w:tc>
        <w:tc>
          <w:tcPr>
            <w:tcW w:w="1340" w:type="dxa"/>
            <w:tcBorders>
              <w:top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 </w:t>
            </w:r>
          </w:p>
        </w:tc>
        <w:tc>
          <w:tcPr>
            <w:tcW w:w="1418" w:type="dxa"/>
            <w:tcBorders>
              <w:top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 </w:t>
            </w:r>
          </w:p>
        </w:tc>
        <w:tc>
          <w:tcPr>
            <w:tcW w:w="2018" w:type="dxa"/>
            <w:tcBorders>
              <w:top w:val="nil"/>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 </w:t>
            </w:r>
          </w:p>
        </w:tc>
      </w:tr>
      <w:tr w:rsidR="00002BA6" w:rsidRPr="00B04DC3" w:rsidTr="004B53F0">
        <w:trPr>
          <w:trHeight w:val="262"/>
        </w:trPr>
        <w:tc>
          <w:tcPr>
            <w:tcW w:w="727" w:type="dxa"/>
            <w:tcBorders>
              <w:bottom w:val="single" w:sz="12" w:space="0" w:color="auto"/>
            </w:tcBorders>
            <w:noWrap/>
            <w:vAlign w:val="bottom"/>
          </w:tcPr>
          <w:p w:rsidR="00002BA6" w:rsidRPr="00B04DC3" w:rsidRDefault="00002BA6" w:rsidP="00002BA6">
            <w:pPr>
              <w:spacing w:before="40" w:after="40"/>
              <w:ind w:left="4" w:right="4"/>
              <w:rPr>
                <w:rFonts w:cs="Arial"/>
                <w:sz w:val="18"/>
                <w:szCs w:val="18"/>
              </w:rPr>
            </w:pPr>
            <w:r w:rsidRPr="00B04DC3">
              <w:rPr>
                <w:rFonts w:cs="Arial"/>
                <w:sz w:val="18"/>
                <w:szCs w:val="18"/>
              </w:rPr>
              <w:t>Sum</w:t>
            </w:r>
          </w:p>
        </w:tc>
        <w:tc>
          <w:tcPr>
            <w:tcW w:w="1340" w:type="dxa"/>
            <w:tcBorders>
              <w:bottom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 </w:t>
            </w:r>
          </w:p>
        </w:tc>
        <w:tc>
          <w:tcPr>
            <w:tcW w:w="1418" w:type="dxa"/>
            <w:tcBorders>
              <w:bottom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 </w:t>
            </w:r>
          </w:p>
        </w:tc>
        <w:tc>
          <w:tcPr>
            <w:tcW w:w="2018" w:type="dxa"/>
            <w:tcBorders>
              <w:bottom w:val="single" w:sz="12" w:space="0" w:color="auto"/>
            </w:tcBorders>
            <w:noWrap/>
            <w:vAlign w:val="bottom"/>
          </w:tcPr>
          <w:p w:rsidR="00002BA6" w:rsidRPr="00B04DC3" w:rsidRDefault="00002BA6" w:rsidP="00002BA6">
            <w:pPr>
              <w:spacing w:before="40" w:after="40"/>
              <w:ind w:left="4" w:right="4"/>
              <w:jc w:val="right"/>
              <w:rPr>
                <w:rFonts w:cs="Arial"/>
                <w:sz w:val="18"/>
                <w:szCs w:val="18"/>
              </w:rPr>
            </w:pPr>
            <w:r w:rsidRPr="00B04DC3">
              <w:rPr>
                <w:rFonts w:cs="Arial"/>
                <w:sz w:val="18"/>
                <w:szCs w:val="18"/>
              </w:rPr>
              <w:t>1895</w:t>
            </w:r>
          </w:p>
        </w:tc>
      </w:tr>
    </w:tbl>
    <w:p w:rsidR="00002BA6" w:rsidRPr="00B04DC3" w:rsidRDefault="00002BA6" w:rsidP="00002BA6">
      <w:pPr>
        <w:pStyle w:val="para"/>
        <w:spacing w:before="120"/>
        <w:rPr>
          <w:lang w:val="en-GB"/>
        </w:rPr>
      </w:pPr>
      <w:r w:rsidRPr="00B04DC3">
        <w:rPr>
          <w:lang w:val="en-GB"/>
        </w:rPr>
        <w:t>7.3.</w:t>
      </w:r>
      <w:r w:rsidRPr="00B04DC3">
        <w:rPr>
          <w:lang w:val="en-GB"/>
        </w:rPr>
        <w:tab/>
        <w:t>General test sequence</w:t>
      </w:r>
    </w:p>
    <w:p w:rsidR="00002BA6" w:rsidRPr="00B04DC3" w:rsidRDefault="00002BA6" w:rsidP="00002BA6">
      <w:pPr>
        <w:pStyle w:val="para"/>
        <w:spacing w:before="120"/>
        <w:rPr>
          <w:lang w:val="en-GB"/>
        </w:rPr>
      </w:pPr>
      <w:r w:rsidRPr="00B04DC3">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rsidR="00002BA6" w:rsidRPr="00B04DC3" w:rsidRDefault="00002BA6" w:rsidP="00002BA6">
      <w:pPr>
        <w:pStyle w:val="para"/>
        <w:spacing w:before="120"/>
        <w:rPr>
          <w:lang w:val="en-GB"/>
        </w:rPr>
      </w:pPr>
      <w:r w:rsidRPr="00B04DC3">
        <w:rPr>
          <w:lang w:val="en-GB"/>
        </w:rPr>
        <w:tab/>
        <w:t>For the WHTC, the test procedure consists of a cold start test following either natural or forced cool-down of the engine, a hot soak period and a hot start test.</w:t>
      </w:r>
    </w:p>
    <w:p w:rsidR="00002BA6" w:rsidRPr="00B04DC3" w:rsidRDefault="00002BA6" w:rsidP="00002BA6">
      <w:pPr>
        <w:pStyle w:val="para"/>
        <w:spacing w:before="120"/>
        <w:rPr>
          <w:lang w:val="en-GB"/>
        </w:rPr>
      </w:pPr>
      <w:r w:rsidRPr="00B04DC3">
        <w:rPr>
          <w:lang w:val="en-GB"/>
        </w:rPr>
        <w:tab/>
        <w:t>For the WHSC, the test procedure consists of a hot start test following engine preconditioning at WHSC mode 9.</w:t>
      </w:r>
    </w:p>
    <w:p w:rsidR="00002BA6" w:rsidRPr="00B04DC3" w:rsidRDefault="00002BA6" w:rsidP="00B43FF2">
      <w:pPr>
        <w:keepNext/>
        <w:keepLines/>
        <w:tabs>
          <w:tab w:val="left" w:pos="0"/>
        </w:tabs>
        <w:jc w:val="center"/>
      </w:pPr>
      <w:r w:rsidRPr="00B04DC3">
        <w:br w:type="page"/>
      </w:r>
      <w:bookmarkStart w:id="463" w:name="_MON_1204444128"/>
      <w:bookmarkStart w:id="464" w:name="_MON_1225548741"/>
      <w:bookmarkStart w:id="465" w:name="_MON_1225549104"/>
      <w:bookmarkStart w:id="466" w:name="_MON_1225549176"/>
      <w:bookmarkStart w:id="467" w:name="_MON_1225549240"/>
      <w:bookmarkStart w:id="468" w:name="_MON_1225549286"/>
      <w:bookmarkStart w:id="469" w:name="_MON_1225549564"/>
      <w:bookmarkStart w:id="470" w:name="_MON_1225549647"/>
      <w:bookmarkStart w:id="471" w:name="_MON_1225549691"/>
      <w:bookmarkStart w:id="472" w:name="_MON_1225549718"/>
      <w:bookmarkStart w:id="473" w:name="_MON_1225549925"/>
      <w:bookmarkStart w:id="474" w:name="_MON_1225550008"/>
      <w:bookmarkStart w:id="475" w:name="_MON_1299064773"/>
      <w:bookmarkStart w:id="476" w:name="_MON_1351341693"/>
      <w:bookmarkStart w:id="477" w:name="_MON_1351342261"/>
      <w:bookmarkStart w:id="478" w:name="_MON_1351342504"/>
      <w:bookmarkStart w:id="479" w:name="_MON_1351343262"/>
      <w:bookmarkStart w:id="480" w:name="_MON_1351343279"/>
      <w:bookmarkStart w:id="481" w:name="_MON_1351343361"/>
      <w:bookmarkStart w:id="482" w:name="_MON_1351343388"/>
      <w:bookmarkStart w:id="483" w:name="_MON_1351343417"/>
      <w:bookmarkStart w:id="484" w:name="_MON_1351343421"/>
      <w:bookmarkStart w:id="485" w:name="_MON_1351343526"/>
      <w:bookmarkStart w:id="486" w:name="_MON_1351343532"/>
      <w:bookmarkStart w:id="487" w:name="_MON_1364041272"/>
      <w:bookmarkStart w:id="488" w:name="_MON_1364041694"/>
      <w:bookmarkStart w:id="489" w:name="_MON_1364043037"/>
      <w:bookmarkStart w:id="490" w:name="_MON_1365861902"/>
      <w:bookmarkStart w:id="491" w:name="_MON_1365861915"/>
      <w:bookmarkStart w:id="492" w:name="_MON_1194442655"/>
      <w:bookmarkStart w:id="493" w:name="_MON_1194442891"/>
      <w:bookmarkStart w:id="494" w:name="_MON_1194443956"/>
      <w:bookmarkStart w:id="495" w:name="_MON_1203876856"/>
      <w:bookmarkStart w:id="496" w:name="_MON_120387687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Start w:id="497" w:name="_MON_1203876932"/>
      <w:bookmarkEnd w:id="497"/>
      <w:r w:rsidR="00E17EB2" w:rsidRPr="00B04DC3">
        <w:object w:dxaOrig="8988" w:dyaOrig="13126">
          <v:shape id="_x0000_i1224" type="#_x0000_t75" style="width:450pt;height:638.4pt" o:ole="">
            <v:imagedata r:id="rId355" o:title=""/>
          </v:shape>
          <o:OLEObject Type="Embed" ProgID="Word.Picture.8" ShapeID="_x0000_i1224" DrawAspect="Content" ObjectID="_1498392335" r:id="rId356"/>
        </w:object>
      </w:r>
    </w:p>
    <w:p w:rsidR="00002BA6" w:rsidRPr="00B04DC3" w:rsidRDefault="00002BA6" w:rsidP="00002BA6">
      <w:pPr>
        <w:pStyle w:val="para"/>
        <w:spacing w:before="120"/>
        <w:rPr>
          <w:lang w:val="en-GB"/>
        </w:rPr>
      </w:pPr>
      <w:r w:rsidRPr="00B04DC3">
        <w:rPr>
          <w:lang w:val="en-GB"/>
        </w:rPr>
        <w:t>7.4.</w:t>
      </w:r>
      <w:r w:rsidRPr="00B04DC3">
        <w:rPr>
          <w:lang w:val="en-GB"/>
        </w:rPr>
        <w:tab/>
        <w:t>Engine mapping and reference cycle</w:t>
      </w:r>
    </w:p>
    <w:p w:rsidR="00002BA6" w:rsidRPr="00211E1D" w:rsidRDefault="00002BA6" w:rsidP="00002BA6">
      <w:pPr>
        <w:pStyle w:val="para"/>
        <w:spacing w:before="120"/>
        <w:rPr>
          <w:spacing w:val="2"/>
          <w:lang w:val="en-GB"/>
        </w:rPr>
      </w:pPr>
      <w:r w:rsidRPr="00211E1D">
        <w:rPr>
          <w:spacing w:val="2"/>
          <w:lang w:val="en-GB"/>
        </w:rPr>
        <w:tab/>
        <w:t>Pre-test engine measurements, pre-test engine performance checks and pre-test system calibrations shall be made prior to the engine mapping procedure in line with the general test sequence shown in paragraph 7.3.</w:t>
      </w:r>
      <w:r w:rsidR="00E17EB2" w:rsidRPr="00211E1D">
        <w:rPr>
          <w:spacing w:val="2"/>
          <w:lang w:val="en-GB"/>
        </w:rPr>
        <w:t xml:space="preserve"> of this annex.</w:t>
      </w:r>
    </w:p>
    <w:p w:rsidR="00002BA6" w:rsidRPr="00B04DC3" w:rsidRDefault="00002BA6" w:rsidP="00002BA6">
      <w:pPr>
        <w:pStyle w:val="para"/>
        <w:spacing w:before="120"/>
        <w:rPr>
          <w:lang w:val="en-GB"/>
        </w:rPr>
      </w:pPr>
      <w:r w:rsidRPr="00B04DC3">
        <w:rPr>
          <w:lang w:val="en-GB"/>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 7.4.7.).</w:t>
      </w:r>
    </w:p>
    <w:p w:rsidR="00002BA6" w:rsidRPr="00B04DC3" w:rsidRDefault="00002BA6" w:rsidP="00002BA6">
      <w:pPr>
        <w:pStyle w:val="para"/>
        <w:spacing w:before="120"/>
        <w:rPr>
          <w:lang w:val="en-GB"/>
        </w:rPr>
      </w:pPr>
      <w:r w:rsidRPr="00B04DC3">
        <w:rPr>
          <w:lang w:val="en-GB"/>
        </w:rPr>
        <w:t>7.4.1.</w:t>
      </w:r>
      <w:r w:rsidRPr="00B04DC3">
        <w:rPr>
          <w:lang w:val="en-GB"/>
        </w:rPr>
        <w:tab/>
        <w:t>Engine warm-up</w:t>
      </w:r>
    </w:p>
    <w:p w:rsidR="00002BA6" w:rsidRPr="00B04DC3" w:rsidRDefault="00002BA6" w:rsidP="00002BA6">
      <w:pPr>
        <w:pStyle w:val="para"/>
        <w:spacing w:before="120"/>
        <w:rPr>
          <w:lang w:val="en-GB"/>
        </w:rPr>
      </w:pPr>
      <w:r w:rsidRPr="00B04DC3">
        <w:rPr>
          <w:lang w:val="en-GB"/>
        </w:rPr>
        <w:tab/>
        <w:t xml:space="preserve">The engine shall be warmed up between 75 per cent and 100 per cent of its maximum power or according to the recommendation of the manufacturer and good engineering judgment. Towards the end of the warm up it shall be operated in order to stabilize the engine coolant and lube oil temperatures to within </w:t>
      </w:r>
      <w:r w:rsidRPr="00B04DC3">
        <w:rPr>
          <w:lang w:val="en-GB"/>
        </w:rPr>
        <w:sym w:font="Symbol" w:char="F0B1"/>
      </w:r>
      <w:r w:rsidRPr="00B04DC3">
        <w:rPr>
          <w:lang w:val="en-GB"/>
        </w:rPr>
        <w:t>2 per cent of its mean values for at least 2 minutes or until the engine thermostat controls engine temperature.</w:t>
      </w:r>
    </w:p>
    <w:p w:rsidR="00002BA6" w:rsidRPr="00B04DC3" w:rsidRDefault="00002BA6" w:rsidP="00002BA6">
      <w:pPr>
        <w:pStyle w:val="para"/>
        <w:spacing w:before="120"/>
        <w:rPr>
          <w:lang w:val="en-GB"/>
        </w:rPr>
      </w:pPr>
      <w:r w:rsidRPr="00B04DC3">
        <w:rPr>
          <w:lang w:val="en-GB"/>
        </w:rPr>
        <w:t>7.4.2.</w:t>
      </w:r>
      <w:r w:rsidRPr="00B04DC3">
        <w:rPr>
          <w:lang w:val="en-GB"/>
        </w:rPr>
        <w:tab/>
        <w:t>Determination of the mapping speed range</w:t>
      </w:r>
    </w:p>
    <w:p w:rsidR="00002BA6" w:rsidRPr="00B04DC3" w:rsidRDefault="00002BA6" w:rsidP="00002BA6">
      <w:pPr>
        <w:pStyle w:val="para"/>
        <w:spacing w:before="120"/>
        <w:rPr>
          <w:lang w:val="en-GB"/>
        </w:rPr>
      </w:pPr>
      <w:r w:rsidRPr="00B04DC3">
        <w:rPr>
          <w:lang w:val="en-GB"/>
        </w:rPr>
        <w:tab/>
        <w:t>The minimum and maximum mapping speeds are defined as follows:</w:t>
      </w:r>
    </w:p>
    <w:p w:rsidR="00002BA6" w:rsidRPr="00B04DC3" w:rsidRDefault="00002BA6" w:rsidP="00002BA6">
      <w:pPr>
        <w:pStyle w:val="para"/>
        <w:tabs>
          <w:tab w:val="left" w:pos="4536"/>
        </w:tabs>
        <w:ind w:left="4820" w:hanging="2552"/>
        <w:rPr>
          <w:lang w:val="en-GB"/>
        </w:rPr>
      </w:pPr>
      <w:r w:rsidRPr="00B04DC3">
        <w:rPr>
          <w:lang w:val="en-GB"/>
        </w:rPr>
        <w:t>Minimum mapping speed</w:t>
      </w:r>
      <w:r w:rsidRPr="00B04DC3">
        <w:rPr>
          <w:lang w:val="en-GB"/>
        </w:rPr>
        <w:tab/>
        <w:t>=</w:t>
      </w:r>
      <w:r w:rsidRPr="00B04DC3">
        <w:rPr>
          <w:lang w:val="en-GB"/>
        </w:rPr>
        <w:tab/>
        <w:t>idle speed</w:t>
      </w:r>
    </w:p>
    <w:p w:rsidR="00002BA6" w:rsidRPr="00B04DC3" w:rsidRDefault="00002BA6" w:rsidP="00002BA6">
      <w:pPr>
        <w:pStyle w:val="para"/>
        <w:tabs>
          <w:tab w:val="left" w:pos="4536"/>
        </w:tabs>
        <w:ind w:left="4820" w:hanging="2552"/>
        <w:rPr>
          <w:lang w:val="en-GB"/>
        </w:rPr>
      </w:pPr>
      <w:r w:rsidRPr="00B04DC3">
        <w:rPr>
          <w:lang w:val="en-GB"/>
        </w:rPr>
        <w:t>Maximum mapping speed</w:t>
      </w:r>
      <w:r w:rsidRPr="00B04DC3">
        <w:rPr>
          <w:lang w:val="en-GB"/>
        </w:rPr>
        <w:tab/>
        <w:t>=</w:t>
      </w:r>
      <w:r w:rsidRPr="00B04DC3">
        <w:rPr>
          <w:lang w:val="en-GB"/>
        </w:rPr>
        <w:tab/>
        <w:t>n</w:t>
      </w:r>
      <w:r w:rsidRPr="00B04DC3">
        <w:rPr>
          <w:vertAlign w:val="subscript"/>
          <w:lang w:val="en-GB"/>
        </w:rPr>
        <w:t>hi</w:t>
      </w:r>
      <w:r w:rsidRPr="00B04DC3">
        <w:rPr>
          <w:lang w:val="en-GB"/>
        </w:rPr>
        <w:t xml:space="preserve"> x 1.02 or speed where full load torque drops off to zero, whichever is smaller.</w:t>
      </w:r>
    </w:p>
    <w:p w:rsidR="00002BA6" w:rsidRPr="00B04DC3" w:rsidRDefault="00002BA6" w:rsidP="00002BA6">
      <w:pPr>
        <w:pStyle w:val="para"/>
        <w:spacing w:before="120"/>
        <w:rPr>
          <w:lang w:val="en-GB"/>
        </w:rPr>
      </w:pPr>
      <w:r w:rsidRPr="00B04DC3">
        <w:rPr>
          <w:lang w:val="en-GB"/>
        </w:rPr>
        <w:t>7.4.3.</w:t>
      </w:r>
      <w:r w:rsidRPr="00B04DC3">
        <w:rPr>
          <w:lang w:val="en-GB"/>
        </w:rPr>
        <w:tab/>
        <w:t>Engine mapping curve</w:t>
      </w:r>
    </w:p>
    <w:p w:rsidR="00002BA6" w:rsidRPr="00B04DC3" w:rsidRDefault="00002BA6" w:rsidP="00002BA6">
      <w:pPr>
        <w:pStyle w:val="para"/>
        <w:spacing w:before="120"/>
        <w:rPr>
          <w:lang w:val="en-GB"/>
        </w:rPr>
      </w:pPr>
      <w:r w:rsidRPr="00B04DC3">
        <w:rPr>
          <w:lang w:val="en-GB"/>
        </w:rPr>
        <w:tab/>
        <w:t>When the engine is stabilized according to paragraph 7.4.1.</w:t>
      </w:r>
      <w:r w:rsidR="00E17EB2">
        <w:rPr>
          <w:lang w:val="en-GB"/>
        </w:rPr>
        <w:t xml:space="preserve"> above</w:t>
      </w:r>
      <w:r w:rsidRPr="00B04DC3">
        <w:rPr>
          <w:lang w:val="en-GB"/>
        </w:rPr>
        <w:t>, the engine mapping shall be performed according to the following procedure.</w:t>
      </w:r>
    </w:p>
    <w:p w:rsidR="00002BA6" w:rsidRPr="00B04DC3" w:rsidRDefault="00002BA6" w:rsidP="00002BA6">
      <w:pPr>
        <w:pStyle w:val="a"/>
        <w:rPr>
          <w:lang w:val="en-GB"/>
        </w:rPr>
      </w:pPr>
      <w:r w:rsidRPr="00B04DC3">
        <w:rPr>
          <w:lang w:val="en-GB"/>
        </w:rPr>
        <w:t>(a)</w:t>
      </w:r>
      <w:r w:rsidRPr="00B04DC3">
        <w:rPr>
          <w:lang w:val="en-GB"/>
        </w:rPr>
        <w:tab/>
        <w:t>The engine shall be unloaded and operated at idle speed;</w:t>
      </w:r>
    </w:p>
    <w:p w:rsidR="00002BA6" w:rsidRPr="00B04DC3" w:rsidRDefault="00002BA6" w:rsidP="00002BA6">
      <w:pPr>
        <w:pStyle w:val="a"/>
        <w:rPr>
          <w:lang w:val="en-GB"/>
        </w:rPr>
      </w:pPr>
      <w:r w:rsidRPr="00B04DC3">
        <w:rPr>
          <w:lang w:val="en-GB"/>
        </w:rPr>
        <w:t>(b)</w:t>
      </w:r>
      <w:r w:rsidRPr="00B04DC3">
        <w:rPr>
          <w:lang w:val="en-GB"/>
        </w:rPr>
        <w:tab/>
        <w:t>The engine shall be operated with maximum operator demand at minimum mapping speed;</w:t>
      </w:r>
    </w:p>
    <w:p w:rsidR="00002BA6" w:rsidRPr="00B04DC3" w:rsidRDefault="00002BA6" w:rsidP="00002BA6">
      <w:pPr>
        <w:pStyle w:val="a"/>
        <w:rPr>
          <w:lang w:val="en-GB"/>
        </w:rPr>
      </w:pPr>
      <w:r w:rsidRPr="00B04DC3">
        <w:rPr>
          <w:lang w:val="en-GB"/>
        </w:rPr>
        <w:t>(c)</w:t>
      </w:r>
      <w:r w:rsidRPr="00B04DC3">
        <w:rPr>
          <w:lang w:val="en-GB"/>
        </w:rPr>
        <w:tab/>
        <w:t>The engine speed shall be increased at an average rate of 8 ± 1 min</w:t>
      </w:r>
      <w:r w:rsidRPr="00B04DC3">
        <w:rPr>
          <w:vertAlign w:val="superscript"/>
          <w:lang w:val="en-GB"/>
        </w:rPr>
        <w:t>-1</w:t>
      </w:r>
      <w:r w:rsidRPr="00B04DC3">
        <w:rPr>
          <w:lang w:val="en-GB"/>
        </w:rPr>
        <w:t>/s from minimum to maximum mapping speed, or at a constant rate such that it takes 4 to 6 min to sweep from minimum to maximum mapping speed. Engine speed and torque points shall be recorded at a sample rate of at least one point per second.</w:t>
      </w:r>
    </w:p>
    <w:p w:rsidR="00002BA6" w:rsidRPr="00211E1D" w:rsidRDefault="00002BA6" w:rsidP="00002BA6">
      <w:pPr>
        <w:pStyle w:val="para"/>
        <w:spacing w:before="120"/>
        <w:rPr>
          <w:spacing w:val="4"/>
          <w:lang w:val="en-GB"/>
        </w:rPr>
      </w:pPr>
      <w:r w:rsidRPr="00211E1D">
        <w:rPr>
          <w:spacing w:val="4"/>
          <w:lang w:val="en-GB"/>
        </w:rPr>
        <w:tab/>
        <w:t xml:space="preserve">When selecting option (b) in paragraph 7.4.7. </w:t>
      </w:r>
      <w:r w:rsidR="00E17EB2" w:rsidRPr="00211E1D">
        <w:rPr>
          <w:spacing w:val="4"/>
          <w:lang w:val="en-GB"/>
        </w:rPr>
        <w:t xml:space="preserve">of this annex </w:t>
      </w:r>
      <w:r w:rsidRPr="00211E1D">
        <w:rPr>
          <w:spacing w:val="4"/>
          <w:lang w:val="en-GB"/>
        </w:rPr>
        <w:t>for determining negative reference torque, the mapping curve may directly continue with minimum operator demand from maximum to minimum mapping speed.</w:t>
      </w:r>
    </w:p>
    <w:p w:rsidR="00002BA6" w:rsidRPr="00B04DC3" w:rsidRDefault="00002BA6" w:rsidP="00002BA6">
      <w:pPr>
        <w:pStyle w:val="para"/>
        <w:spacing w:before="120"/>
        <w:rPr>
          <w:lang w:val="en-GB"/>
        </w:rPr>
      </w:pPr>
      <w:r w:rsidRPr="00B04DC3">
        <w:rPr>
          <w:lang w:val="en-GB"/>
        </w:rPr>
        <w:t>7.4.4.</w:t>
      </w:r>
      <w:r w:rsidRPr="00B04DC3">
        <w:rPr>
          <w:lang w:val="en-GB"/>
        </w:rPr>
        <w:tab/>
        <w:t>Alternate mapping</w:t>
      </w:r>
    </w:p>
    <w:p w:rsidR="00002BA6" w:rsidRPr="00B04DC3" w:rsidRDefault="00002BA6" w:rsidP="00002BA6">
      <w:pPr>
        <w:pStyle w:val="para"/>
        <w:spacing w:before="120"/>
        <w:rPr>
          <w:lang w:val="en-GB"/>
        </w:rPr>
      </w:pPr>
      <w:r w:rsidRPr="00B04DC3">
        <w:rPr>
          <w:lang w:val="en-GB"/>
        </w:rPr>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rsidR="0055021A">
        <w:rPr>
          <w:lang w:val="en-GB"/>
        </w:rPr>
        <w:t>T</w:t>
      </w:r>
      <w:r w:rsidR="0055021A" w:rsidRPr="00B04DC3">
        <w:rPr>
          <w:lang w:val="en-GB"/>
        </w:rPr>
        <w:t xml:space="preserve">ype </w:t>
      </w:r>
      <w:r w:rsidR="0055021A">
        <w:rPr>
          <w:lang w:val="en-GB"/>
        </w:rPr>
        <w:t>A</w:t>
      </w:r>
      <w:r w:rsidR="0055021A" w:rsidRPr="00B04DC3">
        <w:rPr>
          <w:lang w:val="en-GB"/>
        </w:rPr>
        <w:t xml:space="preserve">pproval </w:t>
      </w:r>
      <w:r w:rsidR="0055021A">
        <w:rPr>
          <w:lang w:val="en-GB"/>
        </w:rPr>
        <w:t>A</w:t>
      </w:r>
      <w:r w:rsidR="0055021A" w:rsidRPr="00B04DC3">
        <w:rPr>
          <w:lang w:val="en-GB"/>
        </w:rPr>
        <w:t xml:space="preserve">uthority </w:t>
      </w:r>
      <w:r w:rsidRPr="00B04DC3">
        <w:rPr>
          <w:lang w:val="en-GB"/>
        </w:rPr>
        <w:t>along with the justification for their use. In no case, however, the torque curve shall be run by descending engine speeds for governed or turbocharged engines.</w:t>
      </w:r>
    </w:p>
    <w:p w:rsidR="00002BA6" w:rsidRPr="00B04DC3" w:rsidRDefault="00002BA6" w:rsidP="00002BA6">
      <w:pPr>
        <w:pStyle w:val="para"/>
        <w:spacing w:before="120"/>
        <w:rPr>
          <w:lang w:val="en-GB"/>
        </w:rPr>
      </w:pPr>
      <w:r w:rsidRPr="00B04DC3">
        <w:rPr>
          <w:lang w:val="en-GB"/>
        </w:rPr>
        <w:t>7.4.5.</w:t>
      </w:r>
      <w:r w:rsidRPr="00B04DC3">
        <w:rPr>
          <w:lang w:val="en-GB"/>
        </w:rPr>
        <w:tab/>
        <w:t>Replicate tests</w:t>
      </w:r>
    </w:p>
    <w:p w:rsidR="00002BA6" w:rsidRPr="00B04DC3" w:rsidRDefault="00002BA6" w:rsidP="00002BA6">
      <w:pPr>
        <w:pStyle w:val="para"/>
        <w:spacing w:before="120"/>
        <w:rPr>
          <w:lang w:val="en-GB"/>
        </w:rPr>
      </w:pPr>
      <w:r w:rsidRPr="00B04DC3">
        <w:rPr>
          <w:lang w:val="en-GB"/>
        </w:rPr>
        <w:tab/>
        <w:t>An engine need not be mapped before each and every test cycle. An engine shall be remapped prior to a test cycle if:</w:t>
      </w:r>
    </w:p>
    <w:p w:rsidR="00002BA6" w:rsidRPr="00B04DC3" w:rsidRDefault="00002BA6" w:rsidP="00002BA6">
      <w:pPr>
        <w:pStyle w:val="a"/>
        <w:rPr>
          <w:lang w:val="en-GB"/>
        </w:rPr>
      </w:pPr>
      <w:r w:rsidRPr="00B04DC3">
        <w:rPr>
          <w:lang w:val="en-GB"/>
        </w:rPr>
        <w:t>(a)</w:t>
      </w:r>
      <w:r w:rsidRPr="00B04DC3">
        <w:rPr>
          <w:lang w:val="en-GB"/>
        </w:rPr>
        <w:tab/>
        <w:t>An unreasonable amount of time has transpired since the last map, as determined by engineering judgement, or</w:t>
      </w:r>
    </w:p>
    <w:p w:rsidR="00002BA6" w:rsidRPr="00B04DC3" w:rsidRDefault="00002BA6" w:rsidP="00002BA6">
      <w:pPr>
        <w:pStyle w:val="a"/>
        <w:rPr>
          <w:lang w:val="en-GB"/>
        </w:rPr>
      </w:pPr>
      <w:r w:rsidRPr="00B04DC3">
        <w:rPr>
          <w:lang w:val="en-GB"/>
        </w:rPr>
        <w:t>(b)</w:t>
      </w:r>
      <w:r w:rsidRPr="00B04DC3">
        <w:rPr>
          <w:lang w:val="en-GB"/>
        </w:rPr>
        <w:tab/>
        <w:t>Physical changes or recalibrations have been made to the engine which potentially affect engine performance.</w:t>
      </w:r>
    </w:p>
    <w:p w:rsidR="00002BA6" w:rsidRPr="00B04DC3" w:rsidRDefault="00002BA6" w:rsidP="00002BA6">
      <w:pPr>
        <w:pStyle w:val="para"/>
        <w:spacing w:before="120"/>
        <w:rPr>
          <w:lang w:val="en-GB"/>
        </w:rPr>
      </w:pPr>
      <w:r w:rsidRPr="00B04DC3">
        <w:rPr>
          <w:lang w:val="en-GB"/>
        </w:rPr>
        <w:t>7.4.6.</w:t>
      </w:r>
      <w:r w:rsidRPr="00B04DC3">
        <w:rPr>
          <w:lang w:val="en-GB"/>
        </w:rPr>
        <w:tab/>
        <w:t>Denormalization of engine speed</w:t>
      </w:r>
    </w:p>
    <w:p w:rsidR="00002BA6" w:rsidRPr="00B04DC3" w:rsidRDefault="00002BA6" w:rsidP="00002BA6">
      <w:pPr>
        <w:pStyle w:val="para"/>
        <w:spacing w:before="120"/>
        <w:rPr>
          <w:lang w:val="en-GB"/>
        </w:rPr>
      </w:pPr>
      <w:r w:rsidRPr="00B04DC3">
        <w:rPr>
          <w:lang w:val="en-GB"/>
        </w:rPr>
        <w:tab/>
        <w:t xml:space="preserve">For generating the reference cycles, the normalized speeds of Appendix 1 </w:t>
      </w:r>
      <w:r w:rsidR="00E17EB2">
        <w:rPr>
          <w:lang w:val="en-GB"/>
        </w:rPr>
        <w:t xml:space="preserve">to this annex </w:t>
      </w:r>
      <w:r w:rsidRPr="00B04DC3">
        <w:rPr>
          <w:lang w:val="en-GB"/>
        </w:rPr>
        <w:t>(WHTC) and Table 1 (WHSC) shall be denormalized using the following equation:</w:t>
      </w:r>
    </w:p>
    <w:p w:rsidR="00002BA6" w:rsidRPr="00B04DC3" w:rsidRDefault="00002BA6" w:rsidP="00002BA6">
      <w:pPr>
        <w:pStyle w:val="para"/>
        <w:tabs>
          <w:tab w:val="right" w:pos="8500"/>
        </w:tabs>
        <w:rPr>
          <w:lang w:val="en-GB"/>
        </w:rPr>
      </w:pPr>
      <w:r w:rsidRPr="00B04DC3">
        <w:rPr>
          <w:i/>
          <w:lang w:val="en-GB"/>
        </w:rPr>
        <w:tab/>
      </w:r>
      <w:r w:rsidRPr="00B04DC3">
        <w:rPr>
          <w:lang w:val="en-GB"/>
        </w:rPr>
        <w:t>n</w:t>
      </w:r>
      <w:r w:rsidRPr="00B04DC3">
        <w:rPr>
          <w:vertAlign w:val="subscript"/>
          <w:lang w:val="en-GB"/>
        </w:rPr>
        <w:t>ref</w:t>
      </w:r>
      <w:r w:rsidRPr="00B04DC3">
        <w:rPr>
          <w:lang w:val="en-GB"/>
        </w:rPr>
        <w:t xml:space="preserve"> = </w:t>
      </w:r>
      <w:r w:rsidRPr="00B04DC3">
        <w:rPr>
          <w:iCs/>
          <w:lang w:val="en-GB"/>
        </w:rPr>
        <w:t>n</w:t>
      </w:r>
      <w:r w:rsidRPr="00B04DC3">
        <w:rPr>
          <w:vertAlign w:val="subscript"/>
          <w:lang w:val="en-GB"/>
        </w:rPr>
        <w:t>norm</w:t>
      </w:r>
      <w:r w:rsidRPr="00B04DC3">
        <w:rPr>
          <w:lang w:val="en-GB"/>
        </w:rPr>
        <w:t xml:space="preserve"> x (0,45 x </w:t>
      </w:r>
      <w:r w:rsidRPr="00B04DC3">
        <w:rPr>
          <w:iCs/>
          <w:lang w:val="en-GB"/>
        </w:rPr>
        <w:t>n</w:t>
      </w:r>
      <w:r w:rsidRPr="00B04DC3">
        <w:rPr>
          <w:vertAlign w:val="subscript"/>
          <w:lang w:val="en-GB"/>
        </w:rPr>
        <w:t>lo</w:t>
      </w:r>
      <w:r w:rsidRPr="00B04DC3">
        <w:rPr>
          <w:lang w:val="en-GB"/>
        </w:rPr>
        <w:t xml:space="preserve"> + 0,45 x </w:t>
      </w:r>
      <w:r w:rsidRPr="00B04DC3">
        <w:rPr>
          <w:iCs/>
          <w:lang w:val="en-GB"/>
        </w:rPr>
        <w:t>n</w:t>
      </w:r>
      <w:r w:rsidRPr="00B04DC3">
        <w:rPr>
          <w:vertAlign w:val="subscript"/>
          <w:lang w:val="en-GB"/>
        </w:rPr>
        <w:t>pref</w:t>
      </w:r>
      <w:r w:rsidRPr="00B04DC3">
        <w:rPr>
          <w:lang w:val="en-GB"/>
        </w:rPr>
        <w:t xml:space="preserve"> + 0,1 x </w:t>
      </w:r>
      <w:r w:rsidRPr="00B04DC3">
        <w:rPr>
          <w:iCs/>
          <w:lang w:val="en-GB"/>
        </w:rPr>
        <w:t>n</w:t>
      </w:r>
      <w:r w:rsidRPr="00B04DC3">
        <w:rPr>
          <w:vertAlign w:val="subscript"/>
          <w:lang w:val="en-GB"/>
        </w:rPr>
        <w:t>hi</w:t>
      </w:r>
      <w:r w:rsidRPr="00B04DC3">
        <w:rPr>
          <w:lang w:val="en-GB"/>
        </w:rPr>
        <w:t xml:space="preserve"> − </w:t>
      </w:r>
      <w:r w:rsidRPr="00B04DC3">
        <w:rPr>
          <w:iCs/>
          <w:lang w:val="en-GB"/>
        </w:rPr>
        <w:t>n</w:t>
      </w:r>
      <w:r w:rsidRPr="00B04DC3">
        <w:rPr>
          <w:vertAlign w:val="subscript"/>
          <w:lang w:val="en-GB"/>
        </w:rPr>
        <w:t>idle</w:t>
      </w:r>
      <w:r w:rsidRPr="00B04DC3">
        <w:rPr>
          <w:lang w:val="en-GB"/>
        </w:rPr>
        <w:t xml:space="preserve">) x 2,0327 + </w:t>
      </w:r>
      <w:r w:rsidRPr="00B04DC3">
        <w:rPr>
          <w:iCs/>
          <w:lang w:val="en-GB"/>
        </w:rPr>
        <w:t>n</w:t>
      </w:r>
      <w:r w:rsidRPr="00B04DC3">
        <w:rPr>
          <w:vertAlign w:val="subscript"/>
          <w:lang w:val="en-GB"/>
        </w:rPr>
        <w:t>idle</w:t>
      </w:r>
      <w:r w:rsidRPr="00B04DC3">
        <w:rPr>
          <w:lang w:val="en-GB"/>
        </w:rPr>
        <w:tab/>
        <w:t>(9)</w:t>
      </w:r>
    </w:p>
    <w:p w:rsidR="00002BA6" w:rsidRPr="00B04DC3" w:rsidRDefault="00002BA6" w:rsidP="00002BA6">
      <w:pPr>
        <w:pStyle w:val="para"/>
        <w:spacing w:before="120"/>
        <w:rPr>
          <w:lang w:val="en-GB"/>
        </w:rPr>
      </w:pPr>
      <w:r w:rsidRPr="00B04DC3">
        <w:rPr>
          <w:lang w:val="en-GB"/>
        </w:rPr>
        <w:tab/>
        <w:t>For determination of n</w:t>
      </w:r>
      <w:r w:rsidRPr="00B04DC3">
        <w:rPr>
          <w:vertAlign w:val="subscript"/>
          <w:lang w:val="en-GB"/>
        </w:rPr>
        <w:t>pref</w:t>
      </w:r>
      <w:r w:rsidRPr="00B04DC3">
        <w:rPr>
          <w:lang w:val="en-GB"/>
        </w:rPr>
        <w:t>, the integral of the maximum torque shall be calculated from n</w:t>
      </w:r>
      <w:r w:rsidRPr="00B04DC3">
        <w:rPr>
          <w:vertAlign w:val="subscript"/>
          <w:lang w:val="en-GB"/>
        </w:rPr>
        <w:t>idle</w:t>
      </w:r>
      <w:r w:rsidRPr="00B04DC3">
        <w:rPr>
          <w:lang w:val="en-GB"/>
        </w:rPr>
        <w:t xml:space="preserve"> to n</w:t>
      </w:r>
      <w:r w:rsidRPr="00B04DC3">
        <w:rPr>
          <w:vertAlign w:val="subscript"/>
          <w:lang w:val="en-GB"/>
        </w:rPr>
        <w:t>95h</w:t>
      </w:r>
      <w:r w:rsidRPr="00B04DC3">
        <w:rPr>
          <w:lang w:val="en-GB"/>
        </w:rPr>
        <w:t xml:space="preserve"> from the engine mapping curve, as determined in accordance with paragraph 7.4.3.</w:t>
      </w:r>
      <w:r w:rsidR="00E17EB2" w:rsidRPr="00E17EB2">
        <w:rPr>
          <w:lang w:val="en-GB"/>
        </w:rPr>
        <w:t xml:space="preserve"> </w:t>
      </w:r>
      <w:r w:rsidR="00E17EB2">
        <w:rPr>
          <w:lang w:val="en-GB"/>
        </w:rPr>
        <w:t>of this annex.</w:t>
      </w:r>
    </w:p>
    <w:p w:rsidR="00002BA6" w:rsidRPr="00B04DC3" w:rsidRDefault="00002BA6" w:rsidP="00002BA6">
      <w:pPr>
        <w:pStyle w:val="para"/>
        <w:spacing w:before="120"/>
        <w:rPr>
          <w:lang w:val="en-GB"/>
        </w:rPr>
      </w:pPr>
      <w:r w:rsidRPr="00B04DC3">
        <w:rPr>
          <w:lang w:val="en-GB"/>
        </w:rPr>
        <w:tab/>
        <w:t>The engine speeds in Figures 4 and 5 are defined, as follows:</w:t>
      </w:r>
    </w:p>
    <w:p w:rsidR="00002BA6" w:rsidRPr="00B04DC3" w:rsidRDefault="00002BA6" w:rsidP="00002BA6">
      <w:pPr>
        <w:pStyle w:val="para"/>
        <w:spacing w:before="120"/>
        <w:rPr>
          <w:lang w:val="en-GB"/>
        </w:rPr>
      </w:pPr>
      <w:r w:rsidRPr="00B04DC3">
        <w:rPr>
          <w:lang w:val="en-GB"/>
        </w:rPr>
        <w:tab/>
        <w:t>n</w:t>
      </w:r>
      <w:r w:rsidRPr="00B04DC3">
        <w:rPr>
          <w:vertAlign w:val="subscript"/>
          <w:lang w:val="en-GB"/>
        </w:rPr>
        <w:t>lo</w:t>
      </w:r>
      <w:r w:rsidRPr="00B04DC3">
        <w:rPr>
          <w:lang w:val="en-GB"/>
        </w:rPr>
        <w:tab/>
        <w:t>is the lowest speed where the power is 55 per cent of maximum power</w:t>
      </w:r>
    </w:p>
    <w:p w:rsidR="00002BA6" w:rsidRPr="00B04DC3" w:rsidRDefault="00002BA6" w:rsidP="00002BA6">
      <w:pPr>
        <w:pStyle w:val="para"/>
        <w:tabs>
          <w:tab w:val="left" w:pos="2268"/>
        </w:tabs>
        <w:spacing w:before="120"/>
        <w:ind w:left="2835" w:hanging="1701"/>
        <w:rPr>
          <w:lang w:val="en-GB"/>
        </w:rPr>
      </w:pPr>
      <w:r w:rsidRPr="00B04DC3">
        <w:rPr>
          <w:lang w:val="en-GB"/>
        </w:rPr>
        <w:tab/>
        <w:t>n</w:t>
      </w:r>
      <w:r w:rsidRPr="00B04DC3">
        <w:rPr>
          <w:vertAlign w:val="subscript"/>
          <w:lang w:val="en-GB"/>
        </w:rPr>
        <w:t>pref</w:t>
      </w:r>
      <w:r w:rsidRPr="00B04DC3">
        <w:rPr>
          <w:lang w:val="en-GB"/>
        </w:rPr>
        <w:tab/>
        <w:t>is the engine speed where the integral of max. mapped torque is 51 per cent of the whole integral between n</w:t>
      </w:r>
      <w:r w:rsidRPr="00B04DC3">
        <w:rPr>
          <w:vertAlign w:val="subscript"/>
          <w:lang w:val="en-GB"/>
        </w:rPr>
        <w:t>idle</w:t>
      </w:r>
      <w:r w:rsidRPr="00B04DC3">
        <w:rPr>
          <w:lang w:val="en-GB"/>
        </w:rPr>
        <w:t xml:space="preserve"> and n</w:t>
      </w:r>
      <w:r w:rsidRPr="00B04DC3">
        <w:rPr>
          <w:vertAlign w:val="subscript"/>
          <w:lang w:val="en-GB"/>
        </w:rPr>
        <w:t>95h</w:t>
      </w:r>
    </w:p>
    <w:p w:rsidR="00002BA6" w:rsidRPr="00B04DC3" w:rsidRDefault="00002BA6" w:rsidP="00002BA6">
      <w:pPr>
        <w:pStyle w:val="para"/>
        <w:tabs>
          <w:tab w:val="left" w:pos="2268"/>
        </w:tabs>
        <w:spacing w:before="120"/>
        <w:ind w:left="2835" w:hanging="1701"/>
        <w:rPr>
          <w:lang w:val="en-GB"/>
        </w:rPr>
      </w:pPr>
      <w:r w:rsidRPr="00B04DC3">
        <w:rPr>
          <w:lang w:val="en-GB"/>
        </w:rPr>
        <w:tab/>
        <w:t>n</w:t>
      </w:r>
      <w:r w:rsidRPr="00B04DC3">
        <w:rPr>
          <w:vertAlign w:val="subscript"/>
          <w:lang w:val="en-GB"/>
        </w:rPr>
        <w:t>hi</w:t>
      </w:r>
      <w:r w:rsidRPr="00B04DC3">
        <w:rPr>
          <w:lang w:val="en-GB"/>
        </w:rPr>
        <w:tab/>
        <w:t>is the highest speed where the power is 70 per cent of maximum power</w:t>
      </w:r>
    </w:p>
    <w:p w:rsidR="00002BA6" w:rsidRPr="00B04DC3" w:rsidRDefault="00002BA6" w:rsidP="00002BA6">
      <w:pPr>
        <w:pStyle w:val="para"/>
        <w:tabs>
          <w:tab w:val="left" w:pos="2268"/>
        </w:tabs>
        <w:spacing w:before="120"/>
        <w:ind w:left="2835" w:hanging="1701"/>
        <w:rPr>
          <w:lang w:val="en-GB"/>
        </w:rPr>
      </w:pPr>
      <w:r w:rsidRPr="00B04DC3">
        <w:rPr>
          <w:lang w:val="en-GB"/>
        </w:rPr>
        <w:tab/>
        <w:t>n</w:t>
      </w:r>
      <w:r w:rsidRPr="00B04DC3">
        <w:rPr>
          <w:vertAlign w:val="subscript"/>
          <w:lang w:val="en-GB"/>
        </w:rPr>
        <w:t>idle</w:t>
      </w:r>
      <w:r w:rsidRPr="00B04DC3">
        <w:rPr>
          <w:lang w:val="en-GB"/>
        </w:rPr>
        <w:tab/>
        <w:t>is the idle speed</w:t>
      </w:r>
    </w:p>
    <w:p w:rsidR="00002BA6" w:rsidRPr="00B04DC3" w:rsidRDefault="00002BA6" w:rsidP="00002BA6">
      <w:pPr>
        <w:pStyle w:val="para"/>
        <w:tabs>
          <w:tab w:val="left" w:pos="2268"/>
        </w:tabs>
        <w:spacing w:before="120"/>
        <w:ind w:left="2835" w:hanging="1701"/>
        <w:rPr>
          <w:lang w:val="en-GB"/>
        </w:rPr>
      </w:pPr>
      <w:r w:rsidRPr="00B04DC3">
        <w:rPr>
          <w:lang w:val="en-GB"/>
        </w:rPr>
        <w:tab/>
        <w:t>n</w:t>
      </w:r>
      <w:r w:rsidRPr="00B04DC3">
        <w:rPr>
          <w:vertAlign w:val="subscript"/>
          <w:lang w:val="en-GB"/>
        </w:rPr>
        <w:t>95h</w:t>
      </w:r>
      <w:r w:rsidRPr="00B04DC3">
        <w:rPr>
          <w:lang w:val="en-GB"/>
        </w:rPr>
        <w:tab/>
        <w:t>is the highest speed where the power is 95 per cent of maximum power</w:t>
      </w:r>
    </w:p>
    <w:p w:rsidR="00002BA6" w:rsidRPr="00B04DC3" w:rsidRDefault="00002BA6" w:rsidP="00002BA6">
      <w:pPr>
        <w:pStyle w:val="para"/>
        <w:spacing w:before="120"/>
        <w:rPr>
          <w:lang w:val="en-GB"/>
        </w:rPr>
      </w:pPr>
      <w:r w:rsidRPr="00B04DC3">
        <w:rPr>
          <w:lang w:val="en-GB"/>
        </w:rPr>
        <w:tab/>
        <w:t>For engines (mainly positive ignition engines) with a steep governor droop curve, where fuel cut off does not permit to operate the engine up to n</w:t>
      </w:r>
      <w:r w:rsidRPr="00B04DC3">
        <w:rPr>
          <w:vertAlign w:val="subscript"/>
          <w:lang w:val="en-GB"/>
        </w:rPr>
        <w:t>hi</w:t>
      </w:r>
      <w:r w:rsidRPr="00B04DC3">
        <w:rPr>
          <w:lang w:val="en-GB"/>
        </w:rPr>
        <w:t xml:space="preserve"> or n</w:t>
      </w:r>
      <w:r w:rsidRPr="00B04DC3">
        <w:rPr>
          <w:vertAlign w:val="subscript"/>
          <w:lang w:val="en-GB"/>
        </w:rPr>
        <w:t>95h</w:t>
      </w:r>
      <w:r w:rsidRPr="00B04DC3">
        <w:rPr>
          <w:lang w:val="en-GB"/>
        </w:rPr>
        <w:t>, the following provisions apply:</w:t>
      </w:r>
    </w:p>
    <w:p w:rsidR="00002BA6" w:rsidRPr="00B04DC3" w:rsidRDefault="00002BA6" w:rsidP="00002BA6">
      <w:pPr>
        <w:pStyle w:val="para"/>
        <w:tabs>
          <w:tab w:val="left" w:pos="2268"/>
        </w:tabs>
        <w:spacing w:before="120"/>
        <w:ind w:left="2835" w:hanging="1701"/>
        <w:rPr>
          <w:lang w:val="en-GB"/>
        </w:rPr>
      </w:pPr>
      <w:r w:rsidRPr="00B04DC3">
        <w:rPr>
          <w:lang w:val="en-GB"/>
        </w:rPr>
        <w:tab/>
        <w:t>n</w:t>
      </w:r>
      <w:r w:rsidRPr="00B04DC3">
        <w:rPr>
          <w:vertAlign w:val="subscript"/>
          <w:lang w:val="en-GB"/>
        </w:rPr>
        <w:t>hi</w:t>
      </w:r>
      <w:r w:rsidRPr="00B04DC3">
        <w:rPr>
          <w:lang w:val="en-GB"/>
        </w:rPr>
        <w:tab/>
        <w:t>in equation 9 is replaced with n</w:t>
      </w:r>
      <w:r w:rsidRPr="00B04DC3">
        <w:rPr>
          <w:vertAlign w:val="subscript"/>
          <w:lang w:val="en-GB"/>
        </w:rPr>
        <w:t>Pmax</w:t>
      </w:r>
      <w:r w:rsidRPr="00B04DC3">
        <w:rPr>
          <w:lang w:val="en-GB"/>
        </w:rPr>
        <w:t xml:space="preserve"> </w:t>
      </w:r>
      <w:r w:rsidRPr="00B04DC3">
        <w:rPr>
          <w:rFonts w:ascii="Symbol" w:hAnsi="Symbol" w:cs="Symbol"/>
          <w:color w:val="000000"/>
          <w:szCs w:val="24"/>
          <w:lang w:val="en-GB"/>
        </w:rPr>
        <w:t></w:t>
      </w:r>
      <w:r w:rsidRPr="00B04DC3">
        <w:rPr>
          <w:lang w:val="en-GB"/>
        </w:rPr>
        <w:t xml:space="preserve"> 1.02</w:t>
      </w:r>
    </w:p>
    <w:p w:rsidR="00002BA6" w:rsidRPr="00B04DC3" w:rsidRDefault="00002BA6" w:rsidP="00002BA6">
      <w:pPr>
        <w:pStyle w:val="para"/>
        <w:spacing w:before="120"/>
        <w:rPr>
          <w:lang w:val="en-GB"/>
        </w:rPr>
      </w:pPr>
      <w:r w:rsidRPr="00B04DC3">
        <w:rPr>
          <w:lang w:val="en-GB"/>
        </w:rPr>
        <w:tab/>
        <w:t>n</w:t>
      </w:r>
      <w:r w:rsidRPr="00B04DC3">
        <w:rPr>
          <w:vertAlign w:val="subscript"/>
          <w:lang w:val="en-GB"/>
        </w:rPr>
        <w:t>95h</w:t>
      </w:r>
      <w:r w:rsidRPr="00B04DC3">
        <w:rPr>
          <w:lang w:val="en-GB"/>
        </w:rPr>
        <w:tab/>
        <w:t>is replaced with n</w:t>
      </w:r>
      <w:r w:rsidRPr="00B04DC3">
        <w:rPr>
          <w:vertAlign w:val="subscript"/>
          <w:lang w:val="en-GB"/>
        </w:rPr>
        <w:t>Pmax</w:t>
      </w:r>
      <w:r w:rsidRPr="00B04DC3">
        <w:rPr>
          <w:lang w:val="en-GB"/>
        </w:rPr>
        <w:t xml:space="preserve"> </w:t>
      </w:r>
      <w:r w:rsidRPr="00B04DC3">
        <w:rPr>
          <w:rFonts w:ascii="Symbol" w:hAnsi="Symbol" w:cs="Symbol"/>
          <w:color w:val="000000"/>
          <w:szCs w:val="24"/>
          <w:lang w:val="en-GB"/>
        </w:rPr>
        <w:t></w:t>
      </w:r>
      <w:r w:rsidRPr="00B04DC3">
        <w:rPr>
          <w:lang w:val="en-GB"/>
        </w:rPr>
        <w:t xml:space="preserve"> 1.02</w:t>
      </w:r>
    </w:p>
    <w:p w:rsidR="00002BA6" w:rsidRPr="00B04DC3" w:rsidRDefault="00002BA6" w:rsidP="00002BA6">
      <w:pPr>
        <w:pStyle w:val="Heading1"/>
        <w:keepNext/>
        <w:keepLines/>
      </w:pPr>
      <w:bookmarkStart w:id="498" w:name="_Toc399940001"/>
      <w:bookmarkStart w:id="499" w:name="_Toc423599587"/>
      <w:bookmarkStart w:id="500" w:name="_Toc423610995"/>
      <w:r w:rsidRPr="00B04DC3">
        <w:t>Figure 4</w:t>
      </w:r>
      <w:bookmarkEnd w:id="498"/>
      <w:bookmarkEnd w:id="499"/>
      <w:bookmarkEnd w:id="500"/>
    </w:p>
    <w:p w:rsidR="00002BA6" w:rsidRPr="00B04DC3" w:rsidRDefault="00002BA6" w:rsidP="00002BA6">
      <w:pPr>
        <w:pStyle w:val="Heading1"/>
        <w:keepNext/>
        <w:keepLines/>
        <w:rPr>
          <w:b/>
        </w:rPr>
      </w:pPr>
      <w:bookmarkStart w:id="501" w:name="_Toc399940002"/>
      <w:bookmarkStart w:id="502" w:name="_Toc423599588"/>
      <w:bookmarkStart w:id="503" w:name="_Toc423610996"/>
      <w:r w:rsidRPr="00B04DC3">
        <w:rPr>
          <w:b/>
        </w:rPr>
        <w:t>Definition of test speeds</w:t>
      </w:r>
      <w:bookmarkEnd w:id="501"/>
      <w:bookmarkEnd w:id="502"/>
      <w:bookmarkEnd w:id="503"/>
    </w:p>
    <w:p w:rsidR="00002BA6" w:rsidRPr="00B04DC3" w:rsidRDefault="00A905B7" w:rsidP="00002BA6">
      <w:pPr>
        <w:ind w:left="567" w:firstLine="567"/>
      </w:pPr>
      <w:r>
        <w:pict>
          <v:group id="_x0000_s3896" editas="canvas" style="width:386.5pt;height:228.25pt;mso-position-horizontal-relative:char;mso-position-vertical-relative:line" coordorigin=",252" coordsize="7730,4565">
            <o:lock v:ext="edit" aspectratio="t"/>
            <v:shape id="_x0000_s3897" type="#_x0000_t75" style="position:absolute;top:252;width:7730;height:4565" o:preferrelative="f" stroked="t" strokeweight=".5pt">
              <v:fill o:detectmouseclick="t"/>
              <v:path o:extrusionok="t" o:connecttype="none"/>
              <o:lock v:ext="edit" text="t"/>
            </v:shape>
            <v:rect id="_x0000_s3898" style="position:absolute;left:898;top:252;width:6705;height:4100" filled="f" stroked="f"/>
            <v:line id="_x0000_s3899" style="position:absolute" from="898,3606" to="7603,3606" strokeweight="0"/>
            <v:line id="_x0000_s3900" style="position:absolute" from="898,2861" to="7603,2861" strokeweight="0"/>
            <v:line id="_x0000_s3901" style="position:absolute" from="898,2116" to="7603,2116" strokeweight="0"/>
            <v:line id="_x0000_s3902" style="position:absolute" from="898,1371" to="7603,1371" strokeweight="0"/>
            <v:line id="_x0000_s3903" style="position:absolute" from="898,625" to="7603,625" strokeweight="0"/>
            <v:rect id="_x0000_s3904" style="position:absolute;left:898;top:252;width:6705;height:4100" filled="f" strokeweight="0"/>
            <v:line id="_x0000_s3905" style="position:absolute" from="898,252" to="898,4352" strokeweight="0"/>
            <v:line id="_x0000_s3906" style="position:absolute" from="852,4352" to="898,4352" strokeweight="0"/>
            <v:line id="_x0000_s3907" style="position:absolute" from="852,3606" to="898,3606" strokeweight="0"/>
            <v:line id="_x0000_s3908" style="position:absolute" from="852,2861" to="898,2861" strokeweight="0"/>
            <v:line id="_x0000_s3909" style="position:absolute" from="852,2116" to="898,2116" strokeweight="0"/>
            <v:line id="_x0000_s3910" style="position:absolute" from="852,1371" to="898,1371" strokeweight="0"/>
            <v:line id="_x0000_s3911" style="position:absolute" from="852,625" to="898,625" strokeweight="0"/>
            <v:line id="_x0000_s3912" style="position:absolute" from="898,4352" to="7603,4352" strokeweight="0"/>
            <v:shape id="_x0000_s3913" style="position:absolute;left:1233;top:2987;width:336;height:333" coordsize="336,333" path="m,333l20,312,40,293,77,256r34,-36l147,182r19,-18l185,144r21,-21l229,101,252,78,278,54,305,28,336,e" filled="f" strokeweight="1.55pt">
              <v:path arrowok="t"/>
            </v:shape>
            <v:shape id="_x0000_s3914" style="position:absolute;left:1569;top:2390;width:671;height:597" coordsize="671,597" path="m,597l17,581,33,566,70,532r40,-34l152,460r45,-39l241,381r48,-41l336,298r46,-41l429,216r46,-40l519,136,561,99,601,64,638,31,654,16,671,e" filled="f" strokeweight="1.55pt">
              <v:path arrowok="t"/>
            </v:shape>
            <v:shape id="_x0000_s3915" style="position:absolute;left:2240;top:2057;width:335;height:333" coordsize="335,333" path="m,333l30,305,57,279,83,256r24,-23l129,212r20,-19l170,174r18,-18l223,120,259,84,277,64,295,44,314,23,335,e" filled="f" strokeweight="1.55pt">
              <v:path arrowok="t"/>
            </v:shape>
            <v:shape id="_x0000_s3916" style="position:absolute;left:2575;top:1639;width:334;height:418" coordsize="334,418" path="m,418l42,369,83,318r42,-53l167,210r42,-54l250,102,292,49,334,e" filled="f" strokeweight="1.55pt">
              <v:path arrowok="t"/>
            </v:shape>
            <v:shape id="_x0000_s3917" style="position:absolute;left:2909;top:1293;width:336;height:346" coordsize="336,346" path="m,346l21,323,40,301,77,259r34,-41l147,178r19,-19l186,138r20,-21l229,96,252,74,279,51,306,26,336,e" filled="f" strokeweight="1.55pt">
              <v:path arrowok="t"/>
            </v:shape>
            <v:shape id="_x0000_s3918" style="position:absolute;left:3245;top:795;width:671;height:498" coordsize="671,498" path="m,498l34,470,68,441r37,-31l145,376r41,-34l228,307r43,-36l315,236r44,-36l405,167r45,-34l496,102,541,73,585,46,629,21,671,e" filled="f" strokeweight="1.55pt">
              <v:path arrowok="t"/>
            </v:shape>
            <v:shape id="_x0000_s3919" style="position:absolute;left:3916;top:662;width:670;height:133" coordsize="670,133" path="m,133l42,115,84,98,125,84,167,71,210,61r42,-9l293,44r42,-7l418,27r84,-9l585,9,670,e" filled="f" strokeweight="1.55pt">
              <v:path arrowok="t"/>
            </v:shape>
            <v:shape id="_x0000_s3920" style="position:absolute;left:4586;top:620;width:670;height:42" coordsize="670,42" path="m,42l42,37,85,32,175,22r90,-8l356,7,400,5,443,2,485,1,526,r40,l603,1r34,1l670,5e" filled="f" strokeweight="1.55pt">
              <v:path arrowok="t"/>
            </v:shape>
            <v:shape id="_x0000_s3921" style="position:absolute;left:5256;top:625;width:336;height:131" coordsize="336,131" path="m,l31,4,58,8r27,5l108,18r23,6l151,32r19,8l189,49r36,18l260,87r37,21l316,119r20,12e" filled="f" strokeweight="1.55pt">
              <v:path arrowok="t"/>
            </v:shape>
            <v:shape id="_x0000_s3922" style="position:absolute;left:5592;top:756;width:335;height:237" coordsize="335,237" path="m,l36,19,73,39r37,21l129,72r21,12l170,98r21,14l213,129r22,16l258,166r25,20l308,211r27,26e" filled="f" strokeweight="1.55pt">
              <v:path arrowok="t"/>
            </v:shape>
            <v:shape id="_x0000_s3923" style="position:absolute;left:5927;top:993;width:671;height:767" coordsize="671,767" path="m,l17,15,33,32,70,65r40,35l152,136r44,38l242,214r47,43l335,302r47,47l429,399r46,53l519,509r42,59l601,631r37,67l654,731r17,36e" filled="f" strokeweight="1.55pt">
              <v:path arrowok="t"/>
            </v:shape>
            <v:shape id="_x0000_s3924" style="position:absolute;left:6598;top:1760;width:335;height:1537" coordsize="335,1537" path="m,l15,37,31,75r14,40l57,156r14,41l83,241r13,43l107,331r22,92l149,520r21,99l188,720r18,103l224,927r35,207l277,1237r18,103l314,1439r21,98e" filled="f" strokeweight="1.55pt">
              <v:path arrowok="t"/>
            </v:shape>
            <v:rect id="_x0000_s3925" style="position:absolute;left:569;top:4266;width:232;height:240;mso-wrap-style:none" filled="f" stroked="f">
              <v:textbox style="mso-next-textbox:#_x0000_s3925;mso-fit-shape-to-text:t" inset="0,0,0,0">
                <w:txbxContent>
                  <w:p w:rsidR="00A905B7" w:rsidRDefault="00A905B7">
                    <w:r>
                      <w:rPr>
                        <w:rFonts w:ascii="Arial" w:hAnsi="Arial" w:cs="Arial"/>
                        <w:color w:val="000000"/>
                        <w:sz w:val="16"/>
                        <w:szCs w:val="16"/>
                      </w:rPr>
                      <w:t>0%</w:t>
                    </w:r>
                  </w:p>
                </w:txbxContent>
              </v:textbox>
            </v:rect>
            <v:rect id="_x0000_s3926" style="position:absolute;left:486;top:3520;width:321;height:240;mso-wrap-style:none" filled="f" stroked="f">
              <v:textbox style="mso-next-textbox:#_x0000_s3926;mso-fit-shape-to-text:t" inset="0,0,0,0">
                <w:txbxContent>
                  <w:p w:rsidR="00A905B7" w:rsidRDefault="00A905B7">
                    <w:r>
                      <w:rPr>
                        <w:rFonts w:ascii="Arial" w:hAnsi="Arial" w:cs="Arial"/>
                        <w:color w:val="000000"/>
                        <w:sz w:val="16"/>
                        <w:szCs w:val="16"/>
                      </w:rPr>
                      <w:t>20%</w:t>
                    </w:r>
                  </w:p>
                </w:txbxContent>
              </v:textbox>
            </v:rect>
            <v:rect id="_x0000_s3927" style="position:absolute;left:486;top:2775;width:321;height:240;mso-wrap-style:none" filled="f" stroked="f">
              <v:textbox style="mso-next-textbox:#_x0000_s3927;mso-fit-shape-to-text:t" inset="0,0,0,0">
                <w:txbxContent>
                  <w:p w:rsidR="00A905B7" w:rsidRDefault="00A905B7">
                    <w:r>
                      <w:rPr>
                        <w:rFonts w:ascii="Arial" w:hAnsi="Arial" w:cs="Arial"/>
                        <w:color w:val="000000"/>
                        <w:sz w:val="16"/>
                        <w:szCs w:val="16"/>
                      </w:rPr>
                      <w:t>40%</w:t>
                    </w:r>
                  </w:p>
                </w:txbxContent>
              </v:textbox>
            </v:rect>
            <v:rect id="_x0000_s3928" style="position:absolute;left:486;top:2030;width:321;height:240;mso-wrap-style:none" filled="f" stroked="f">
              <v:textbox style="mso-next-textbox:#_x0000_s3928;mso-fit-shape-to-text:t" inset="0,0,0,0">
                <w:txbxContent>
                  <w:p w:rsidR="00A905B7" w:rsidRDefault="00A905B7">
                    <w:r>
                      <w:rPr>
                        <w:rFonts w:ascii="Arial" w:hAnsi="Arial" w:cs="Arial"/>
                        <w:color w:val="000000"/>
                        <w:sz w:val="16"/>
                        <w:szCs w:val="16"/>
                      </w:rPr>
                      <w:t>60%</w:t>
                    </w:r>
                  </w:p>
                </w:txbxContent>
              </v:textbox>
            </v:rect>
            <v:rect id="_x0000_s3929" style="position:absolute;left:486;top:1284;width:321;height:240;mso-wrap-style:none" filled="f" stroked="f">
              <v:textbox style="mso-next-textbox:#_x0000_s3929;mso-fit-shape-to-text:t" inset="0,0,0,0">
                <w:txbxContent>
                  <w:p w:rsidR="00A905B7" w:rsidRDefault="00A905B7">
                    <w:r>
                      <w:rPr>
                        <w:rFonts w:ascii="Arial" w:hAnsi="Arial" w:cs="Arial"/>
                        <w:color w:val="000000"/>
                        <w:sz w:val="16"/>
                        <w:szCs w:val="16"/>
                      </w:rPr>
                      <w:t>80%</w:t>
                    </w:r>
                  </w:p>
                </w:txbxContent>
              </v:textbox>
            </v:rect>
            <v:rect id="_x0000_s3930" style="position:absolute;left:402;top:539;width:410;height:240;mso-wrap-style:none" filled="f" stroked="f">
              <v:textbox style="mso-next-textbox:#_x0000_s3930;mso-fit-shape-to-text:t" inset="0,0,0,0">
                <w:txbxContent>
                  <w:p w:rsidR="00A905B7" w:rsidRDefault="00A905B7">
                    <w:r>
                      <w:rPr>
                        <w:rFonts w:ascii="Arial" w:hAnsi="Arial" w:cs="Arial"/>
                        <w:color w:val="000000"/>
                        <w:sz w:val="16"/>
                        <w:szCs w:val="16"/>
                      </w:rPr>
                      <w:t>100%</w:t>
                    </w:r>
                  </w:p>
                </w:txbxContent>
              </v:textbox>
            </v:rect>
            <v:rect id="_x0000_s3931" style="position:absolute;left:3758;top:4515;width:1058;height:240;mso-wrap-style:none" filled="f" stroked="f">
              <v:textbox style="mso-next-textbox:#_x0000_s3931;mso-fit-shape-to-text:t" inset="0,0,0,0">
                <w:txbxContent>
                  <w:p w:rsidR="00A905B7" w:rsidRDefault="00A905B7">
                    <w:r>
                      <w:rPr>
                        <w:rFonts w:ascii="Arial" w:hAnsi="Arial" w:cs="Arial"/>
                        <w:b/>
                        <w:bCs/>
                        <w:color w:val="000000"/>
                        <w:sz w:val="16"/>
                        <w:szCs w:val="16"/>
                      </w:rPr>
                      <w:t>Engine Speed</w:t>
                    </w:r>
                  </w:p>
                </w:txbxContent>
              </v:textbox>
            </v:rect>
            <v:shape id="_x0000_s3933" style="position:absolute;left:1219;top:3290;width:16;height:1069" coordsize="16,1069" path="m16,r,64l,64,,,16,xm16,112r,64l,176,,112r16,xm16,225r,64l,289,,225r16,xm16,337r,64l,401,,337r16,xm16,450r,64l,514,,450r16,xm16,562r,64l,626,,562r16,xm16,675r,64l,739,,675r16,xm16,787r,64l,851,,787r16,xm16,900r,64l,964,,900r16,xm16,1012r,57l,1069r,-57l16,1012xe" fillcolor="black" strokeweight=".05pt">
              <v:stroke joinstyle="bevel"/>
              <v:path arrowok="t"/>
              <o:lock v:ext="edit" verticies="t"/>
            </v:shape>
            <v:shape id="_x0000_s3934" style="position:absolute;left:2318;top:2297;width:16;height:2062" coordsize="16,2062" path="m16,r,64l,64,,,16,xm16,112r,65l,177,,112r16,xm16,225r,64l,289,,225r16,xm16,337r,65l,402,,337r16,xm16,450r,64l,514,,450r16,xm16,562r,65l,627,,562r16,xm16,675r,64l,739,,675r16,xm16,787r,65l,852,,787r16,xm16,900r,64l,964,,900r16,xm16,1012r,65l,1077r,-65l16,1012xm16,1125r,64l,1189r,-64l16,1125xm16,1237r,65l,1302r,-65l16,1237xm16,1350r,64l,1414r,-64l16,1350xm16,1462r,65l,1527r,-65l16,1462xm16,1575r,64l,1639r,-64l16,1575xm16,1687r,65l,1752r,-65l16,1687xm16,1800r,64l,1864r,-64l16,1800xm16,1912r,65l,1977r,-65l16,1912xm16,2025r,37l,2062r,-37l16,2025xe" fillcolor="black" strokeweight=".05pt">
              <v:stroke joinstyle="bevel"/>
              <v:path arrowok="t"/>
              <o:lock v:ext="edit" verticies="t"/>
            </v:shape>
            <v:shape id="_x0000_s3935" style="position:absolute;left:6569;top:1739;width:16;height:2620" coordsize="16,2620" path="m16,r,64l,64,,,16,xm16,112r,65l,177,,112r16,xm16,225r,64l,289,,225r16,xm16,337r,65l,402,,337r16,xm16,450r,64l,514,,450r16,xm16,562r,65l,627,,562r16,xm16,675r,64l,739,,675r16,xm16,787r,65l,852,,787r16,xm16,900r,64l,964,,900r16,xm16,1012r,65l,1077r,-65l16,1012xm16,1125r,64l,1189r,-64l16,1125xm16,1237r,65l,1302r,-65l16,1237xm16,1350r,64l,1414r,-64l16,1350xm16,1462r,65l,1527r,-65l16,1462xm16,1575r,64l,1639r,-64l16,1575xm16,1687r,65l,1752r,-65l16,1687xm16,1800r,64l,1864r,-64l16,1800xm16,1912r,65l,1977r,-65l16,1912xm16,2025r,64l,2089r,-64l16,2025xm16,2137r,65l,2202r,-65l16,2137xm16,2250r,64l,2314r,-64l16,2250xm16,2362r,65l,2427r,-65l16,2362xm16,2475r,64l,2539r,-64l16,2475xm16,2587r,33l,2620r,-33l16,2587xe" fillcolor="black" strokeweight=".05pt">
              <v:stroke joinstyle="bevel"/>
              <v:path arrowok="t"/>
              <o:lock v:ext="edit" verticies="t"/>
            </v:shape>
            <v:shape id="_x0000_s3936" style="position:absolute;left:5664;top:791;width:16;height:3552" coordsize="16,3552" path="m16,r,65l,65,,,16,xm16,113r,64l,177,,113r16,xm16,225r,65l,290,,225r16,xm16,338r,64l,402,,338r16,xm16,450r,65l,515,,450r16,xm16,563r,64l,627,,563r16,xm16,675r,65l,740,,675r16,xm16,788r,64l,852,,788r16,xm16,900r,65l,965,,900r16,xm16,1013r,64l,1077r,-64l16,1013xm16,1125r,65l,1190r,-65l16,1125xm16,1238r,64l,1302r,-64l16,1238xm16,1350r,65l,1415r,-65l16,1350xm16,1463r,64l,1527r,-64l16,1463xm16,1575r,65l,1640r,-65l16,1575xm16,1688r,64l,1752r,-64l16,1688xm16,1800r,65l,1865r,-65l16,1800xm16,1913r,64l,1977r,-64l16,1913xm16,2025r,65l,2090r,-65l16,2025xm16,2138r,64l,2202r,-64l16,2138xm16,2250r,65l,2315r,-65l16,2250xm16,2363r,64l,2427r,-64l16,2363xm16,2475r,65l,2540r,-65l16,2475xm16,2588r,64l,2652r,-64l16,2588xm16,2700r,65l,2765r,-65l16,2700xm16,2813r,64l,2877r,-64l16,2813xm16,2925r,65l,2990r,-65l16,2925xm16,3038r,64l,3102r,-64l16,3038xm16,3150r,65l,3215r,-65l16,3150xm16,3263r,64l,3327r,-64l16,3263xm16,3375r,65l,3440r,-65l16,3375xm16,3488r,64l,3552r,-64l16,3488xe" fillcolor="black" strokeweight=".05pt">
              <v:stroke joinstyle="bevel"/>
              <v:path arrowok="t"/>
              <o:lock v:ext="edit" verticies="t"/>
            </v:shape>
            <v:rect id="_x0000_s3937" style="position:absolute;left:4510;top:320;width:107;height:240;mso-wrap-style:none" filled="f" stroked="f">
              <v:textbox style="mso-next-textbox:#_x0000_s3937;mso-fit-shape-to-text:t" inset="0,0,0,0">
                <w:txbxContent>
                  <w:p w:rsidR="00A905B7" w:rsidRDefault="00A905B7">
                    <w:r>
                      <w:rPr>
                        <w:rFonts w:ascii="Arial" w:hAnsi="Arial" w:cs="Arial"/>
                        <w:color w:val="000000"/>
                        <w:sz w:val="16"/>
                        <w:szCs w:val="16"/>
                      </w:rPr>
                      <w:t>P</w:t>
                    </w:r>
                  </w:p>
                </w:txbxContent>
              </v:textbox>
            </v:rect>
            <v:rect id="_x0000_s3938" style="position:absolute;left:4610;top:395;width:189;height:240;mso-wrap-style:none" filled="f" stroked="f">
              <v:textbox style="mso-next-textbox:#_x0000_s3938;mso-fit-shape-to-text:t" inset="0,0,0,0">
                <w:txbxContent>
                  <w:p w:rsidR="00A905B7" w:rsidRDefault="00A905B7">
                    <w:r>
                      <w:rPr>
                        <w:rFonts w:ascii="Arial" w:hAnsi="Arial" w:cs="Arial"/>
                        <w:color w:val="000000"/>
                        <w:sz w:val="10"/>
                        <w:szCs w:val="10"/>
                      </w:rPr>
                      <w:t>max</w:t>
                    </w:r>
                  </w:p>
                </w:txbxContent>
              </v:textbox>
            </v:rect>
            <v:rect id="_x0000_s3939" style="position:absolute;left:1260;top:2165;width:650;height:240;mso-wrap-style:none" filled="f" stroked="f">
              <v:textbox style="mso-next-textbox:#_x0000_s3939;mso-fit-shape-to-text:t" inset="0,0,0,0">
                <w:txbxContent>
                  <w:p w:rsidR="00A905B7" w:rsidRDefault="00A905B7">
                    <w:r>
                      <w:rPr>
                        <w:rFonts w:ascii="Arial" w:hAnsi="Arial" w:cs="Arial"/>
                        <w:color w:val="000000"/>
                        <w:sz w:val="16"/>
                        <w:szCs w:val="16"/>
                      </w:rPr>
                      <w:t>55% of P</w:t>
                    </w:r>
                  </w:p>
                </w:txbxContent>
              </v:textbox>
            </v:rect>
            <v:rect id="_x0000_s3940" style="position:absolute;left:1868;top:2240;width:189;height:240;mso-wrap-style:none" filled="f" stroked="f">
              <v:textbox style="mso-next-textbox:#_x0000_s3940;mso-fit-shape-to-text:t" inset="0,0,0,0">
                <w:txbxContent>
                  <w:p w:rsidR="00A905B7" w:rsidRDefault="00A905B7">
                    <w:r>
                      <w:rPr>
                        <w:rFonts w:ascii="Arial" w:hAnsi="Arial" w:cs="Arial"/>
                        <w:color w:val="000000"/>
                        <w:sz w:val="10"/>
                        <w:szCs w:val="10"/>
                      </w:rPr>
                      <w:t>max</w:t>
                    </w:r>
                  </w:p>
                </w:txbxContent>
              </v:textbox>
            </v:rect>
            <v:rect id="_x0000_s3941" style="position:absolute;left:6101;top:665;width:650;height:240;mso-wrap-style:none" filled="f" stroked="f">
              <v:textbox style="mso-next-textbox:#_x0000_s3941;mso-fit-shape-to-text:t" inset="0,0,0,0">
                <w:txbxContent>
                  <w:p w:rsidR="00A905B7" w:rsidRDefault="00A905B7">
                    <w:r>
                      <w:rPr>
                        <w:rFonts w:ascii="Arial" w:hAnsi="Arial" w:cs="Arial"/>
                        <w:color w:val="000000"/>
                        <w:sz w:val="16"/>
                        <w:szCs w:val="16"/>
                      </w:rPr>
                      <w:t>95% of P</w:t>
                    </w:r>
                  </w:p>
                </w:txbxContent>
              </v:textbox>
            </v:rect>
            <v:rect id="_x0000_s3942" style="position:absolute;left:6709;top:739;width:189;height:240;mso-wrap-style:none" filled="f" stroked="f">
              <v:textbox style="mso-next-textbox:#_x0000_s3942;mso-fit-shape-to-text:t" inset="0,0,0,0">
                <w:txbxContent>
                  <w:p w:rsidR="00A905B7" w:rsidRDefault="00A905B7">
                    <w:r>
                      <w:rPr>
                        <w:rFonts w:ascii="Arial" w:hAnsi="Arial" w:cs="Arial"/>
                        <w:color w:val="000000"/>
                        <w:sz w:val="10"/>
                        <w:szCs w:val="10"/>
                      </w:rPr>
                      <w:t>max</w:t>
                    </w:r>
                  </w:p>
                </w:txbxContent>
              </v:textbox>
            </v:rect>
            <v:rect id="_x0000_s3943" style="position:absolute;left:6751;top:1378;width:650;height:240;mso-wrap-style:none" filled="f" stroked="f">
              <v:textbox style="mso-next-textbox:#_x0000_s3943;mso-fit-shape-to-text:t" inset="0,0,0,0">
                <w:txbxContent>
                  <w:p w:rsidR="00A905B7" w:rsidRDefault="00A905B7">
                    <w:r>
                      <w:rPr>
                        <w:rFonts w:ascii="Arial" w:hAnsi="Arial" w:cs="Arial"/>
                        <w:color w:val="000000"/>
                        <w:sz w:val="16"/>
                        <w:szCs w:val="16"/>
                      </w:rPr>
                      <w:t>70% of P</w:t>
                    </w:r>
                  </w:p>
                </w:txbxContent>
              </v:textbox>
            </v:rect>
            <v:rect id="_x0000_s3944" style="position:absolute;left:7359;top:1453;width:189;height:240;mso-wrap-style:none" filled="f" stroked="f">
              <v:textbox style="mso-next-textbox:#_x0000_s3944;mso-fit-shape-to-text:t" inset="0,0,0,0">
                <w:txbxContent>
                  <w:p w:rsidR="00A905B7" w:rsidRDefault="00A905B7">
                    <w:r>
                      <w:rPr>
                        <w:rFonts w:ascii="Arial" w:hAnsi="Arial" w:cs="Arial"/>
                        <w:color w:val="000000"/>
                        <w:sz w:val="10"/>
                        <w:szCs w:val="10"/>
                      </w:rPr>
                      <w:t>max</w:t>
                    </w:r>
                  </w:p>
                </w:txbxContent>
              </v:textbox>
            </v:rect>
            <v:shape id="_x0000_s3945" style="position:absolute;left:2066;top:2231;width:206;height:78" coordsize="2586,980" path="m94,11l1967,571hdc2002,582,2022,619,2012,654v-11,36,-48,56,-83,45hal55,138hdc20,128,,91,11,55,21,20,58,,94,11haxm1935,214r651,612l1705,980,1935,214xe" fillcolor="black" strokeweight=".05pt">
              <v:stroke joinstyle="bevel"/>
              <v:path arrowok="t"/>
              <o:lock v:ext="edit" verticies="t"/>
            </v:shape>
            <v:shape id="_x0000_s3946" style="position:absolute;left:4876;top:465;width:307;height:101" coordsize="962,312" path="m23,2l806,208hdc814,210,820,219,817,228v-2,9,-11,15,-20,12hal14,35hdc5,32,,23,2,14,5,5,14,,23,2haxm794,119l962,266,744,312,794,119xe" fillcolor="black" strokeweight=".05pt">
              <v:stroke joinstyle="bevel"/>
              <v:path arrowok="t"/>
              <o:lock v:ext="edit" verticies="t"/>
            </v:shape>
            <v:shape id="_x0000_s3947" style="position:absolute;left:5780;top:737;width:294;height:76" coordsize="922,235" path="m907,34l168,158hdc159,160,150,154,148,145v-1,-9,5,-18,14,-20hal902,1hdc911,,919,6,921,15v1,9,-5,17,-14,19haxm214,235l,169,181,38r33,197xe" fillcolor="black" strokeweight=".05pt">
              <v:stroke joinstyle="bevel"/>
              <v:path arrowok="t"/>
              <o:lock v:ext="edit" verticies="t"/>
            </v:shape>
            <v:shape id="_x0000_s3948" style="position:absolute;left:6638;top:1536;width:87;height:154" coordsize="272,479" path="m267,27l95,341hdc91,349,81,352,73,348,64,343,62,333,66,325hal238,11hdc242,3,252,,260,5v9,4,12,14,7,22haxm184,352l,479,9,256r175,96xe" fillcolor="black" strokeweight=".05pt">
              <v:stroke joinstyle="bevel"/>
              <v:path arrowok="t"/>
              <o:lock v:ext="edit" verticies="t"/>
            </v:shape>
            <v:rect id="_x0000_s3949" style="position:absolute;left:1085;top:4375;width:89;height:240;mso-wrap-style:none" filled="f" stroked="f">
              <v:textbox style="mso-next-textbox:#_x0000_s3949;mso-fit-shape-to-text:t" inset="0,0,0,0">
                <w:txbxContent>
                  <w:p w:rsidR="00A905B7" w:rsidRPr="0022722E" w:rsidRDefault="00A905B7">
                    <w:r w:rsidRPr="0022722E">
                      <w:rPr>
                        <w:rFonts w:ascii="Arial" w:hAnsi="Arial" w:cs="Arial"/>
                        <w:iCs/>
                        <w:color w:val="000000"/>
                        <w:sz w:val="16"/>
                        <w:szCs w:val="16"/>
                      </w:rPr>
                      <w:t>n</w:t>
                    </w:r>
                  </w:p>
                </w:txbxContent>
              </v:textbox>
            </v:rect>
            <v:rect id="_x0000_s3950" style="position:absolute;left:1195;top:4450;width:156;height:240;mso-wrap-style:none" filled="f" stroked="f">
              <v:textbox style="mso-next-textbox:#_x0000_s3950;mso-fit-shape-to-text:t" inset="0,0,0,0">
                <w:txbxContent>
                  <w:p w:rsidR="00A905B7" w:rsidRDefault="00A905B7">
                    <w:r>
                      <w:rPr>
                        <w:rFonts w:ascii="Arial" w:hAnsi="Arial" w:cs="Arial"/>
                        <w:color w:val="000000"/>
                        <w:sz w:val="10"/>
                        <w:szCs w:val="10"/>
                      </w:rPr>
                      <w:t>idle</w:t>
                    </w:r>
                  </w:p>
                </w:txbxContent>
              </v:textbox>
            </v:rect>
            <v:rect id="_x0000_s3951" style="position:absolute;left:2251;top:4386;width:89;height:240;mso-wrap-style:none" filled="f" stroked="f">
              <v:textbox style="mso-next-textbox:#_x0000_s3951;mso-fit-shape-to-text:t" inset="0,0,0,0">
                <w:txbxContent>
                  <w:p w:rsidR="00A905B7" w:rsidRPr="0022722E" w:rsidRDefault="00A905B7">
                    <w:r w:rsidRPr="0022722E">
                      <w:rPr>
                        <w:rFonts w:ascii="Arial" w:hAnsi="Arial" w:cs="Arial"/>
                        <w:iCs/>
                        <w:color w:val="000000"/>
                        <w:sz w:val="16"/>
                        <w:szCs w:val="16"/>
                      </w:rPr>
                      <w:t>n</w:t>
                    </w:r>
                  </w:p>
                </w:txbxContent>
              </v:textbox>
            </v:rect>
            <v:rect id="_x0000_s3952" style="position:absolute;left:2361;top:4460;width:78;height:240;mso-wrap-style:none" filled="f" stroked="f">
              <v:textbox style="mso-next-textbox:#_x0000_s3952;mso-fit-shape-to-text:t" inset="0,0,0,0">
                <w:txbxContent>
                  <w:p w:rsidR="00A905B7" w:rsidRDefault="00A905B7">
                    <w:r>
                      <w:rPr>
                        <w:rFonts w:ascii="Arial" w:hAnsi="Arial" w:cs="Arial"/>
                        <w:color w:val="000000"/>
                        <w:sz w:val="10"/>
                        <w:szCs w:val="10"/>
                      </w:rPr>
                      <w:t>lo</w:t>
                    </w:r>
                  </w:p>
                </w:txbxContent>
              </v:textbox>
            </v:rect>
            <v:rect id="_x0000_s3953" style="position:absolute;left:5537;top:4395;width:89;height:240;mso-wrap-style:none" filled="f" stroked="f">
              <v:textbox style="mso-next-textbox:#_x0000_s3953;mso-fit-shape-to-text:t" inset="0,0,0,0">
                <w:txbxContent>
                  <w:p w:rsidR="00A905B7" w:rsidRPr="0022722E" w:rsidRDefault="00A905B7">
                    <w:r w:rsidRPr="0022722E">
                      <w:rPr>
                        <w:rFonts w:ascii="Arial" w:hAnsi="Arial" w:cs="Arial"/>
                        <w:iCs/>
                        <w:color w:val="000000"/>
                        <w:sz w:val="16"/>
                        <w:szCs w:val="16"/>
                      </w:rPr>
                      <w:t>n</w:t>
                    </w:r>
                  </w:p>
                </w:txbxContent>
              </v:textbox>
            </v:rect>
            <v:rect id="_x0000_s3954" style="position:absolute;left:5647;top:4469;width:167;height:240;mso-wrap-style:none" filled="f" stroked="f">
              <v:textbox style="mso-next-textbox:#_x0000_s3954;mso-fit-shape-to-text:t" inset="0,0,0,0">
                <w:txbxContent>
                  <w:p w:rsidR="00A905B7" w:rsidRDefault="00A905B7">
                    <w:r>
                      <w:rPr>
                        <w:rFonts w:ascii="Arial" w:hAnsi="Arial" w:cs="Arial"/>
                        <w:color w:val="000000"/>
                        <w:sz w:val="10"/>
                        <w:szCs w:val="10"/>
                      </w:rPr>
                      <w:t>95h</w:t>
                    </w:r>
                  </w:p>
                </w:txbxContent>
              </v:textbox>
            </v:rect>
            <v:rect id="_x0000_s3955" style="position:absolute;left:6448;top:4395;width:89;height:240;mso-wrap-style:none" filled="f" stroked="f">
              <v:textbox style="mso-next-textbox:#_x0000_s3955;mso-fit-shape-to-text:t" inset="0,0,0,0">
                <w:txbxContent>
                  <w:p w:rsidR="00A905B7" w:rsidRPr="0022722E" w:rsidRDefault="00A905B7">
                    <w:r w:rsidRPr="0022722E">
                      <w:rPr>
                        <w:rFonts w:ascii="Arial" w:hAnsi="Arial" w:cs="Arial"/>
                        <w:iCs/>
                        <w:color w:val="000000"/>
                        <w:sz w:val="16"/>
                        <w:szCs w:val="16"/>
                      </w:rPr>
                      <w:t>n</w:t>
                    </w:r>
                  </w:p>
                </w:txbxContent>
              </v:textbox>
            </v:rect>
            <v:rect id="_x0000_s3956" style="position:absolute;left:6558;top:4469;width:78;height:240;mso-wrap-style:none" filled="f" stroked="f">
              <v:textbox style="mso-next-textbox:#_x0000_s3956;mso-fit-shape-to-text:t" inset="0,0,0,0">
                <w:txbxContent>
                  <w:p w:rsidR="00A905B7" w:rsidRDefault="00A905B7">
                    <w:r>
                      <w:rPr>
                        <w:rFonts w:ascii="Arial" w:hAnsi="Arial" w:cs="Arial"/>
                        <w:color w:val="000000"/>
                        <w:sz w:val="10"/>
                        <w:szCs w:val="10"/>
                      </w:rPr>
                      <w:t>hi</w:t>
                    </w:r>
                  </w:p>
                </w:txbxContent>
              </v:textbox>
            </v:rect>
            <v:rect id="_x0000_s3932" style="position:absolute;left:547;top:1226;width:337;height:1272;rotation:270" filled="f" stroked="f">
              <v:textbox style="mso-next-textbox:#_x0000_s3932" inset="0,0,0,0">
                <w:txbxContent>
                  <w:p w:rsidR="00A905B7" w:rsidRDefault="00A905B7">
                    <w:r>
                      <w:rPr>
                        <w:rFonts w:ascii="Arial" w:hAnsi="Arial" w:cs="Arial"/>
                        <w:b/>
                        <w:bCs/>
                        <w:color w:val="000000"/>
                        <w:sz w:val="16"/>
                        <w:szCs w:val="16"/>
                      </w:rPr>
                      <w:t>Engine Power</w:t>
                    </w:r>
                  </w:p>
                </w:txbxContent>
              </v:textbox>
            </v:rect>
            <w10:wrap type="none"/>
            <w10:anchorlock/>
          </v:group>
        </w:pict>
      </w:r>
    </w:p>
    <w:p w:rsidR="00002BA6" w:rsidRPr="00B04DC3" w:rsidRDefault="00002BA6" w:rsidP="00355693">
      <w:pPr>
        <w:pStyle w:val="Heading1"/>
        <w:keepNext/>
        <w:keepLines/>
        <w:spacing w:before="240"/>
      </w:pPr>
      <w:bookmarkStart w:id="504" w:name="_Toc399940003"/>
      <w:bookmarkStart w:id="505" w:name="_Toc423599589"/>
      <w:bookmarkStart w:id="506" w:name="_Toc423610997"/>
      <w:r w:rsidRPr="00B04DC3">
        <w:t>Figure 5</w:t>
      </w:r>
      <w:bookmarkEnd w:id="504"/>
      <w:bookmarkEnd w:id="505"/>
      <w:bookmarkEnd w:id="506"/>
    </w:p>
    <w:p w:rsidR="00002BA6" w:rsidRPr="00B04DC3" w:rsidRDefault="00002BA6" w:rsidP="00355693">
      <w:pPr>
        <w:pStyle w:val="Heading1"/>
        <w:keepNext/>
        <w:keepLines/>
        <w:rPr>
          <w:b/>
        </w:rPr>
      </w:pPr>
      <w:bookmarkStart w:id="507" w:name="_Toc399940004"/>
      <w:bookmarkStart w:id="508" w:name="_Toc423599590"/>
      <w:bookmarkStart w:id="509" w:name="_Toc423610998"/>
      <w:r w:rsidRPr="00B04DC3">
        <w:rPr>
          <w:b/>
        </w:rPr>
        <w:t>Definition of n</w:t>
      </w:r>
      <w:r w:rsidRPr="00B04DC3">
        <w:rPr>
          <w:b/>
          <w:vertAlign w:val="subscript"/>
        </w:rPr>
        <w:t>pref</w:t>
      </w:r>
      <w:bookmarkEnd w:id="507"/>
      <w:bookmarkEnd w:id="508"/>
      <w:bookmarkEnd w:id="509"/>
    </w:p>
    <w:p w:rsidR="00002BA6" w:rsidRPr="00B04DC3" w:rsidRDefault="00A905B7" w:rsidP="00355693">
      <w:pPr>
        <w:pStyle w:val="para"/>
        <w:keepLines/>
        <w:spacing w:before="120"/>
        <w:rPr>
          <w:lang w:val="en-GB"/>
        </w:rPr>
      </w:pPr>
      <w:r>
        <w:rPr>
          <w:lang w:val="en-GB"/>
        </w:rPr>
        <w:pict>
          <v:group id="_x0000_s3957" editas="canvas" style="position:absolute;left:0;text-align:left;margin-left:58.2pt;margin-top:7.75pt;width:392.55pt;height:242.6pt;z-index:-251658240" coordorigin=",-147" coordsize="7851,4852" wrapcoords="-83 -134 -83 21600 21641 21600 21641 -134 -83 -134">
            <o:lock v:ext="edit" aspectratio="t"/>
            <v:shape id="_x0000_s3958" type="#_x0000_t75" style="position:absolute;top:-147;width:7851;height:4852" o:preferrelative="f" stroked="t" strokeweight=".5pt">
              <v:fill o:detectmouseclick="t"/>
              <v:path o:extrusionok="t" o:connecttype="none"/>
              <o:lock v:ext="edit" text="t"/>
            </v:shape>
            <v:rect id="_x0000_s3959" style="position:absolute;left:1026;top:250;width:6446;height:3992" filled="f" stroked="f"/>
            <v:line id="_x0000_s3960" style="position:absolute" from="1026,2645" to="7472,2645" strokeweight="0"/>
            <v:line id="_x0000_s3961" style="position:absolute" from="1026,1048" to="7472,1048" strokeweight="0"/>
            <v:line id="_x0000_s3963" style="position:absolute" from="1026,250" to="1026,4242" strokeweight="0"/>
            <v:line id="_x0000_s3964" style="position:absolute" from="981,4242" to="1026,4242" strokeweight="0"/>
            <v:line id="_x0000_s3965" style="position:absolute" from="981,2645" to="1026,2645" strokeweight="0"/>
            <v:line id="_x0000_s3966" style="position:absolute" from="981,1048" to="1026,1048" strokeweight="0"/>
            <v:line id="_x0000_s3967" style="position:absolute" from="1026,4242" to="7472,4242" strokeweight="0"/>
            <v:shape id="_x0000_s3968" style="position:absolute;left:1406;top:2924;width:379;height:719" coordsize="379,719" path="m,719l22,674,45,630,85,539r40,-89l165,360r22,-46l209,269r23,-44l257,180r28,-45l314,89,345,45,379,e" filled="f" strokeweight="1.5pt">
              <v:path arrowok="t"/>
            </v:shape>
            <v:shape id="_x0000_s3969" style="position:absolute;left:1785;top:2205;width:758;height:719" coordsize="758,719" path="m,719l19,697,38,674,58,650,79,627r45,-47l172,531r49,-48l273,434r52,-49l378,337r54,-48l485,244r51,-45l585,155r48,-42l678,73,700,54,720,36,739,18,758,e" filled="f" strokeweight="1.5pt">
              <v:path arrowok="t"/>
            </v:shape>
            <v:shape id="_x0000_s3970" style="position:absolute;left:2543;top:1846;width:379;height:359" coordsize="379,359" path="m,359l33,328,65,299,94,273r27,-24l147,226r22,-20l192,187r21,-19l253,132r20,-19l293,94,314,73,334,52,356,26,379,e" filled="f" strokeweight="1.5pt">
              <v:path arrowok="t"/>
            </v:shape>
            <v:shape id="_x0000_s3971" style="position:absolute;left:2922;top:1307;width:379;height:539" coordsize="379,539" path="m,539l24,510,48,479,72,445,94,411r24,-37l142,338r48,-74l237,190r24,-37l285,119,308,87,332,55,355,26,379,e" filled="f" strokeweight="1.5pt">
              <v:path arrowok="t"/>
            </v:shape>
            <v:shape id="_x0000_s3972" style="position:absolute;left:3301;top:1048;width:380;height:259" coordsize="380,259" path="m,259l23,235,45,211,66,189,86,168r20,-20l126,128r20,-17l166,94,187,78,210,64,233,50,258,38,285,26,314,16,346,8,380,e" filled="f" strokeweight="1.5pt">
              <v:path arrowok="t"/>
            </v:shape>
            <v:shape id="_x0000_s3973" style="position:absolute;left:3681;top:998;width:757;height:75" coordsize="757,75" path="m,50l36,42,76,35r42,-8l163,20r45,-6l256,7,305,4,355,r50,l457,1r50,4l559,12r51,10l635,29r25,7l684,44r25,10l733,64r24,11e" filled="f" strokeweight="1.5pt">
              <v:path arrowok="t"/>
            </v:shape>
            <v:shape id="_x0000_s3974" style="position:absolute;left:4438;top:1073;width:759;height:738" coordsize="759,738" path="m,l24,13,48,27,72,42,94,58r24,18l142,94r24,21l190,135r48,44l284,225r48,49l379,324r48,53l474,430r95,107l617,590r46,51l711,690r48,48e" filled="f" strokeweight="1.5pt">
              <v:path arrowok="t"/>
            </v:shape>
            <v:shape id="_x0000_s3975" style="position:absolute;left:5197;top:1811;width:759;height:736" coordsize="759,736" path="m,l48,46,98,93r100,95l301,284r102,95l453,427r49,47l550,519r45,46l639,609r43,44l722,695r37,41e" filled="f" strokeweight="1.5pt">
              <v:path arrowok="t"/>
            </v:shape>
            <v:shape id="_x0000_s3976" style="position:absolute;left:5956;top:2547;width:379;height:557" coordsize="379,557" path="m,l34,39,65,78r29,37l121,150r26,34l169,218r23,32l213,283r40,65l294,414r20,34l334,483r22,36l379,557e" filled="f" strokeweight="1.5pt">
              <v:path arrowok="t"/>
            </v:shape>
            <v:shape id="_x0000_s3977" style="position:absolute;left:6335;top:3104;width:685;height:1106" coordsize="378,668" path="m,l21,35,43,68r40,68l104,170r20,33l146,239r21,37l190,315r22,40l236,399r27,47l289,495r14,26l317,549r15,28l347,607r15,30l378,668e" filled="f" strokeweight="1.5pt">
              <v:path arrowok="t"/>
            </v:shape>
            <v:shape id="_x0000_s3983" style="position:absolute;left:1378;top:3644;width:16;height:605" coordsize="16,605" path="m16,r,62l,62,,,16,xm16,110r,62l,172,,110r16,xm16,220r,62l,282,,220r16,xm16,329r,63l,392,,329r16,xm16,439r,63l,502,,439r16,xm16,549r,56l,605,,549r16,xe" fillcolor="black" strokeweight=".05pt">
              <v:stroke joinstyle="bevel"/>
              <v:path arrowok="t"/>
              <o:lock v:ext="edit" verticies="t"/>
            </v:shape>
            <v:shape id="_x0000_s3984" style="position:absolute;left:6330;top:3127;width:16;height:1122" coordsize="16,1122" path="m16,r,63l,63,,,16,xm16,110r,63l,173,,110r16,xm16,220r,63l,283,,220r16,xm16,330r,63l,393,,330r16,xm16,440r,63l,503,,440r16,xm16,550r,63l,613,,550r16,xm16,660r,63l,723,,660r16,xm16,770r,63l,833,,770r16,xm16,880r,63l,943,,880r16,xm16,990r,63l,1053,,990r16,xm16,1100r,22l,1122r,-22l16,1100xe" fillcolor="black" strokeweight=".05pt">
              <v:stroke joinstyle="bevel"/>
              <v:path arrowok="t"/>
              <o:lock v:ext="edit" verticies="t"/>
            </v:shape>
            <v:shape id="_x0000_s3989" style="position:absolute;left:4014;top:988;width:21;height:3252" coordsize="21,3252" path="m16,r,63l,63,,,16,xm16,110r,63l,173,,110r16,xm16,220r,63l,283,,220r16,xm16,330r,63l,393,,330r16,xm16,440r,63l1,503r,-63l16,440xm16,550r,63l1,613r,-63l16,550xm17,660r,63l1,723r,-63l17,660xm17,770r,63l1,833r,-63l17,770xm17,880r,63l1,943r,-63l17,880xm17,990r,63l2,1053,1,990r16,xm17,1100r,63l2,1163r,-63l17,1100xm17,1210r1,63l2,1273r,-63l17,1210xm18,1320r,63l2,1383r,-63l18,1320xm18,1430r,63l2,1493r,-63l18,1430xm18,1540r,63l2,1603r,-63l18,1540xm18,1650r,62l3,1713r,-63l18,1650xm18,1760r,62l3,1823r,-63l18,1760xm19,1870r,62l3,1933r,-63l19,1870xm19,1980r,62l3,2043r,-63l19,1980xm19,2089r,63l3,2152r,-62l19,2089xm19,2199r,63l3,2262r,-62l19,2199xm19,2309r,63l4,2372,3,2310r16,-1xm19,2419r,63l4,2482r,-62l19,2419xm19,2529r1,63l4,2592r,-63l19,2529xm20,2639r,63l4,2702r,-63l20,2639xm20,2749r,63l4,2812r,-63l20,2749xm20,2859r,63l4,2922r,-63l20,2859xm20,2969r,63l5,3032r,-63l20,2969xm20,3079r,63l5,3142r,-63l20,3079xm21,3189r,63l5,3252r,-63l21,3189xe" fillcolor="black" strokeweight=".05pt">
              <v:stroke joinstyle="bevel"/>
              <v:path arrowok="t"/>
              <o:lock v:ext="edit" verticies="t"/>
            </v:shape>
            <v:shape id="_x0000_s3994" style="position:absolute;left:5333;top:3836;width:1001;height:63" coordsize="3188,200" path="m16,84r3006,hdc3031,84,3038,91,3038,100v,10,-7,17,-16,17hal16,117hdc7,117,,110,,100,,91,7,84,16,84haxm2988,r200,100l2988,200,2988,xe" fillcolor="black" strokeweight=".05pt">
              <v:stroke joinstyle="bevel"/>
              <v:path arrowok="t"/>
              <o:lock v:ext="edit" verticies="t"/>
            </v:shape>
            <v:shape id="_x0000_s3995" style="position:absolute;left:1390;top:3836;width:2941;height:63" coordsize="18730,400" path="m18696,234l334,234hdc315,234,301,219,301,200v,-18,14,-33,33,-33hal18696,167hdc18715,167,18730,182,18730,200v,19,-15,34,-34,34haxm400,400l,200,400,r,400xe" fillcolor="black" strokeweight=".05pt">
              <v:stroke joinstyle="bevel"/>
              <v:path arrowok="t"/>
              <o:lock v:ext="edit" verticies="t"/>
            </v:shape>
            <v:shape id="_x0000_s3996" style="position:absolute;left:3086;top:3615;width:943;height:63" coordsize="6009,400" path="m33,167r5643,hdc5695,167,5709,182,5709,200v,19,-14,34,-33,34hal33,234hdc15,234,,219,,200,,182,15,167,33,167haxm5609,r400,200l5609,400,5609,xe" fillcolor="black" strokeweight=".05pt">
              <v:stroke joinstyle="bevel"/>
              <v:path arrowok="t"/>
              <o:lock v:ext="edit" verticies="t"/>
            </v:shape>
            <v:shape id="_x0000_s3997" style="position:absolute;left:1390;top:3615;width:836;height:63" coordsize="5322,400" path="m5288,234r-4954,hdc315,234,300,219,300,200v,-18,15,-33,34,-33hal5288,167hdc5307,167,5322,182,5322,200v,19,-15,34,-34,34haxm400,400l,200,400,r,400xe" fillcolor="black" strokeweight=".05pt">
              <v:stroke joinstyle="bevel"/>
              <v:path arrowok="t"/>
              <o:lock v:ext="edit" verticies="t"/>
            </v:shape>
            <v:group id="_x0000_s7227" style="position:absolute;left:178;top:250;width:7294;height:4455" coordorigin="178,250" coordsize="7294,4455">
              <v:rect id="_x0000_s3962" style="position:absolute;left:1026;top:250;width:6446;height:3992" filled="f" strokeweight="0"/>
              <v:rect id="_x0000_s3978" style="position:absolute;left:497;top:4158;width:397;height:240;mso-wrap-style:none" filled="f" stroked="f">
                <v:textbox style="mso-next-textbox:#_x0000_s3978;mso-fit-shape-to-text:t" inset="0,0,0,0">
                  <w:txbxContent>
                    <w:p w:rsidR="00A905B7" w:rsidRDefault="00A905B7">
                      <w:r>
                        <w:rPr>
                          <w:rFonts w:ascii="Arial" w:hAnsi="Arial" w:cs="Arial"/>
                          <w:color w:val="000000"/>
                          <w:sz w:val="14"/>
                          <w:szCs w:val="14"/>
                        </w:rPr>
                        <w:t>60,0%</w:t>
                      </w:r>
                    </w:p>
                  </w:txbxContent>
                </v:textbox>
              </v:rect>
              <v:rect id="_x0000_s3979" style="position:absolute;left:497;top:2561;width:397;height:240;mso-wrap-style:none" filled="f" stroked="f">
                <v:textbox style="mso-next-textbox:#_x0000_s3979;mso-fit-shape-to-text:t" inset="0,0,0,0">
                  <w:txbxContent>
                    <w:p w:rsidR="00A905B7" w:rsidRDefault="00A905B7">
                      <w:r>
                        <w:rPr>
                          <w:rFonts w:ascii="Arial" w:hAnsi="Arial" w:cs="Arial"/>
                          <w:color w:val="000000"/>
                          <w:sz w:val="14"/>
                          <w:szCs w:val="14"/>
                        </w:rPr>
                        <w:t>80,0%</w:t>
                      </w:r>
                    </w:p>
                  </w:txbxContent>
                </v:textbox>
              </v:rect>
              <v:rect id="_x0000_s3980" style="position:absolute;left:416;top:964;width:475;height:240;mso-wrap-style:none" filled="f" stroked="f">
                <v:textbox style="mso-next-textbox:#_x0000_s3980;mso-fit-shape-to-text:t" inset="0,0,0,0">
                  <w:txbxContent>
                    <w:p w:rsidR="00A905B7" w:rsidRDefault="00A905B7">
                      <w:r>
                        <w:rPr>
                          <w:rFonts w:ascii="Arial" w:hAnsi="Arial" w:cs="Arial"/>
                          <w:color w:val="000000"/>
                          <w:sz w:val="14"/>
                          <w:szCs w:val="14"/>
                        </w:rPr>
                        <w:t>100,0%</w:t>
                      </w:r>
                    </w:p>
                  </w:txbxContent>
                </v:textbox>
              </v:rect>
              <v:rect id="_x0000_s3981" style="position:absolute;left:4982;top:4364;width:926;height:240;mso-wrap-style:none" filled="f" stroked="f">
                <v:textbox style="mso-next-textbox:#_x0000_s3981;mso-fit-shape-to-text:t" inset="0,0,0,0">
                  <w:txbxContent>
                    <w:p w:rsidR="00A905B7" w:rsidRDefault="00A905B7">
                      <w:r>
                        <w:rPr>
                          <w:rFonts w:ascii="Arial" w:hAnsi="Arial" w:cs="Arial"/>
                          <w:b/>
                          <w:bCs/>
                          <w:color w:val="000000"/>
                          <w:sz w:val="14"/>
                          <w:szCs w:val="14"/>
                        </w:rPr>
                        <w:t>Engine Speed</w:t>
                      </w:r>
                    </w:p>
                  </w:txbxContent>
                </v:textbox>
              </v:rect>
              <v:rect id="_x0000_s3982" style="position:absolute;left:549;top:1188;width:240;height:981;rotation:270;mso-wrap-style:none" filled="f" stroked="f">
                <v:textbox style="mso-next-textbox:#_x0000_s3982;mso-fit-shape-to-text:t" inset="0,0,0,0">
                  <w:txbxContent>
                    <w:p w:rsidR="00A905B7" w:rsidRDefault="00A905B7">
                      <w:r>
                        <w:rPr>
                          <w:rFonts w:ascii="Arial" w:hAnsi="Arial" w:cs="Arial"/>
                          <w:b/>
                          <w:bCs/>
                          <w:color w:val="000000"/>
                          <w:sz w:val="14"/>
                          <w:szCs w:val="14"/>
                        </w:rPr>
                        <w:t>Engine Torque</w:t>
                      </w:r>
                    </w:p>
                  </w:txbxContent>
                </v:textbox>
              </v:rect>
              <v:rect id="_x0000_s3985" style="position:absolute;left:1244;top:4265;width:78;height:240;mso-wrap-style:none" filled="f" stroked="f">
                <v:textbox style="mso-next-textbox:#_x0000_s3985;mso-fit-shape-to-text:t" inset="0,0,0,0">
                  <w:txbxContent>
                    <w:p w:rsidR="00A905B7" w:rsidRPr="0022722E" w:rsidRDefault="00A905B7">
                      <w:r w:rsidRPr="0022722E">
                        <w:rPr>
                          <w:rFonts w:ascii="Arial" w:hAnsi="Arial" w:cs="Arial"/>
                          <w:iCs/>
                          <w:color w:val="000000"/>
                          <w:sz w:val="14"/>
                          <w:szCs w:val="14"/>
                        </w:rPr>
                        <w:t>n</w:t>
                      </w:r>
                    </w:p>
                  </w:txbxContent>
                </v:textbox>
              </v:rect>
              <v:rect id="_x0000_s3986" style="position:absolute;left:1352;top:4338;width:156;height:240;mso-wrap-style:none" filled="f" stroked="f">
                <v:textbox style="mso-next-textbox:#_x0000_s3986;mso-fit-shape-to-text:t" inset="0,0,0,0">
                  <w:txbxContent>
                    <w:p w:rsidR="00A905B7" w:rsidRDefault="00A905B7">
                      <w:r>
                        <w:rPr>
                          <w:rFonts w:ascii="Arial" w:hAnsi="Arial" w:cs="Arial"/>
                          <w:color w:val="000000"/>
                          <w:sz w:val="10"/>
                          <w:szCs w:val="10"/>
                        </w:rPr>
                        <w:t>idle</w:t>
                      </w:r>
                    </w:p>
                  </w:txbxContent>
                </v:textbox>
              </v:rect>
              <v:rect id="_x0000_s3987" style="position:absolute;left:6182;top:4465;width:78;height:240;mso-wrap-style:none" filled="f" stroked="f">
                <v:textbox style="mso-next-textbox:#_x0000_s3987;mso-fit-shape-to-text:t" inset="0,0,0,0">
                  <w:txbxContent>
                    <w:p w:rsidR="00A905B7" w:rsidRPr="0022722E" w:rsidRDefault="00A905B7">
                      <w:r w:rsidRPr="0022722E">
                        <w:rPr>
                          <w:rFonts w:ascii="Arial" w:hAnsi="Arial" w:cs="Arial"/>
                          <w:iCs/>
                          <w:color w:val="000000"/>
                          <w:sz w:val="14"/>
                          <w:szCs w:val="14"/>
                        </w:rPr>
                        <w:t>n</w:t>
                      </w:r>
                    </w:p>
                  </w:txbxContent>
                </v:textbox>
              </v:rect>
              <v:rect id="_x0000_s3988" style="position:absolute;left:6290;top:4338;width:167;height:240;mso-wrap-style:none" filled="f" stroked="f">
                <v:textbox style="mso-next-textbox:#_x0000_s3988;mso-fit-shape-to-text:t" inset="0,0,0,0">
                  <w:txbxContent>
                    <w:p w:rsidR="00A905B7" w:rsidRDefault="00A905B7">
                      <w:r>
                        <w:rPr>
                          <w:rFonts w:ascii="Arial" w:hAnsi="Arial" w:cs="Arial"/>
                          <w:color w:val="000000"/>
                          <w:sz w:val="10"/>
                          <w:szCs w:val="10"/>
                        </w:rPr>
                        <w:t>95h</w:t>
                      </w:r>
                    </w:p>
                  </w:txbxContent>
                </v:textbox>
              </v:rect>
              <v:rect id="_x0000_s3990" style="position:absolute;left:3897;top:4265;width:78;height:240;mso-wrap-style:none" filled="f" stroked="f">
                <v:textbox style="mso-next-textbox:#_x0000_s3990;mso-fit-shape-to-text:t" inset="0,0,0,0">
                  <w:txbxContent>
                    <w:p w:rsidR="00A905B7" w:rsidRPr="0022722E" w:rsidRDefault="00A905B7">
                      <w:r w:rsidRPr="0022722E">
                        <w:rPr>
                          <w:rFonts w:ascii="Arial" w:hAnsi="Arial" w:cs="Arial"/>
                          <w:iCs/>
                          <w:color w:val="000000"/>
                          <w:sz w:val="14"/>
                          <w:szCs w:val="14"/>
                        </w:rPr>
                        <w:t>n</w:t>
                      </w:r>
                    </w:p>
                  </w:txbxContent>
                </v:textbox>
              </v:rect>
              <v:rect id="_x0000_s3991" style="position:absolute;left:4005;top:4338;width:173;height:240;mso-wrap-style:none" filled="f" stroked="f">
                <v:textbox style="mso-next-textbox:#_x0000_s3991;mso-fit-shape-to-text:t" inset="0,0,0,0">
                  <w:txbxContent>
                    <w:p w:rsidR="00A905B7" w:rsidRDefault="00A905B7">
                      <w:r>
                        <w:rPr>
                          <w:rFonts w:ascii="Arial" w:hAnsi="Arial" w:cs="Arial"/>
                          <w:color w:val="000000"/>
                          <w:sz w:val="10"/>
                          <w:szCs w:val="10"/>
                        </w:rPr>
                        <w:t>pref</w:t>
                      </w:r>
                    </w:p>
                  </w:txbxContent>
                </v:textbox>
              </v:rect>
              <v:rect id="_x0000_s3992" style="position:absolute;left:4416;top:3776;width:853;height:240;mso-wrap-style:none" filled="f" stroked="f">
                <v:textbox style="mso-next-textbox:#_x0000_s3992;mso-fit-shape-to-text:t" inset="0,0,0,0">
                  <w:txbxContent>
                    <w:p w:rsidR="00A905B7" w:rsidRDefault="00A905B7">
                      <w:r>
                        <w:rPr>
                          <w:rFonts w:ascii="Arial" w:hAnsi="Arial" w:cs="Arial"/>
                          <w:color w:val="000000"/>
                          <w:sz w:val="14"/>
                          <w:szCs w:val="14"/>
                        </w:rPr>
                        <w:t>Area = 100 %</w:t>
                      </w:r>
                    </w:p>
                  </w:txbxContent>
                </v:textbox>
              </v:rect>
              <v:rect id="_x0000_s3993" style="position:absolute;left:2252;top:3547;width:775;height:240;mso-wrap-style:none" filled="f" stroked="f">
                <v:textbox style="mso-next-textbox:#_x0000_s3993;mso-fit-shape-to-text:t" inset="0,0,0,0">
                  <w:txbxContent>
                    <w:p w:rsidR="00A905B7" w:rsidRDefault="00A905B7">
                      <w:r>
                        <w:rPr>
                          <w:rFonts w:ascii="Arial" w:hAnsi="Arial" w:cs="Arial"/>
                          <w:color w:val="000000"/>
                          <w:sz w:val="14"/>
                          <w:szCs w:val="14"/>
                        </w:rPr>
                        <w:t>Area = 51 %</w:t>
                      </w:r>
                    </w:p>
                  </w:txbxContent>
                </v:textbox>
              </v:rect>
            </v:group>
            <w10:wrap type="tight"/>
          </v:group>
        </w:pict>
      </w:r>
    </w:p>
    <w:p w:rsidR="00355693" w:rsidRDefault="00355693" w:rsidP="00002BA6">
      <w:pPr>
        <w:pStyle w:val="para"/>
        <w:spacing w:before="240"/>
        <w:rPr>
          <w:lang w:val="en-GB"/>
        </w:rPr>
      </w:pPr>
    </w:p>
    <w:p w:rsidR="00002BA6" w:rsidRPr="00B04DC3" w:rsidRDefault="00002BA6" w:rsidP="00355693">
      <w:pPr>
        <w:pStyle w:val="para"/>
        <w:keepNext/>
        <w:keepLines/>
        <w:spacing w:before="240"/>
        <w:rPr>
          <w:lang w:val="en-GB"/>
        </w:rPr>
      </w:pPr>
      <w:r w:rsidRPr="00B04DC3">
        <w:rPr>
          <w:lang w:val="en-GB"/>
        </w:rPr>
        <w:t>7.4.7.</w:t>
      </w:r>
      <w:r w:rsidRPr="00B04DC3">
        <w:rPr>
          <w:lang w:val="en-GB"/>
        </w:rPr>
        <w:tab/>
        <w:t>Denormalization of engine torque</w:t>
      </w:r>
    </w:p>
    <w:p w:rsidR="00002BA6" w:rsidRPr="00B04DC3" w:rsidRDefault="00002BA6" w:rsidP="00355693">
      <w:pPr>
        <w:pStyle w:val="para"/>
        <w:keepNext/>
        <w:keepLines/>
        <w:spacing w:before="120"/>
        <w:rPr>
          <w:lang w:val="en-GB"/>
        </w:rPr>
      </w:pPr>
      <w:r w:rsidRPr="00B04DC3">
        <w:rPr>
          <w:lang w:val="en-GB"/>
        </w:rPr>
        <w:tab/>
        <w:t xml:space="preserve">The torque values in the engine dynamometer schedule of Appendix 1 </w:t>
      </w:r>
      <w:r w:rsidR="00E17EB2">
        <w:rPr>
          <w:lang w:val="en-GB"/>
        </w:rPr>
        <w:t xml:space="preserve">to this annex </w:t>
      </w:r>
      <w:r w:rsidRPr="00B04DC3">
        <w:rPr>
          <w:lang w:val="en-GB"/>
        </w:rPr>
        <w:t xml:space="preserve">(WHTC) and in Table 1 (WHSC) are normalized to the maximum torque at the respective speed. For generating the reference cycles, the torque values for each individual reference speed value as determined in paragraph 7.4.6. </w:t>
      </w:r>
      <w:r w:rsidR="00E17EB2">
        <w:rPr>
          <w:lang w:val="en-GB"/>
        </w:rPr>
        <w:t xml:space="preserve">above </w:t>
      </w:r>
      <w:r w:rsidRPr="00B04DC3">
        <w:rPr>
          <w:lang w:val="en-GB"/>
        </w:rPr>
        <w:t>shall be denormalized, using the mapping curve determined according to paragraph 7.4.3.</w:t>
      </w:r>
      <w:r w:rsidR="00E17EB2">
        <w:rPr>
          <w:lang w:val="en-GB"/>
        </w:rPr>
        <w:t>above</w:t>
      </w:r>
      <w:r w:rsidRPr="00B04DC3">
        <w:rPr>
          <w:lang w:val="en-GB"/>
        </w:rPr>
        <w:t>, as follows:</w:t>
      </w:r>
    </w:p>
    <w:p w:rsidR="00002BA6" w:rsidRPr="00B04DC3" w:rsidRDefault="00355693" w:rsidP="00002BA6">
      <w:pPr>
        <w:pStyle w:val="para"/>
        <w:tabs>
          <w:tab w:val="right" w:pos="8505"/>
        </w:tabs>
        <w:ind w:firstLine="0"/>
        <w:rPr>
          <w:szCs w:val="24"/>
          <w:lang w:val="en-GB"/>
        </w:rPr>
      </w:pPr>
      <w:r w:rsidRPr="00B04DC3">
        <w:rPr>
          <w:i/>
          <w:position w:val="-24"/>
          <w:szCs w:val="24"/>
          <w:vertAlign w:val="subscript"/>
          <w:lang w:val="en-GB"/>
        </w:rPr>
        <w:object w:dxaOrig="3440" w:dyaOrig="639">
          <v:shape id="_x0000_i1226" type="#_x0000_t75" style="width:143.4pt;height:26.4pt" o:ole="" fillcolor="window">
            <v:imagedata r:id="rId357" o:title=""/>
          </v:shape>
          <o:OLEObject Type="Embed" ProgID="Equation.3" ShapeID="_x0000_i1226" DrawAspect="Content" ObjectID="_1498392336" r:id="rId358"/>
        </w:object>
      </w:r>
      <w:r w:rsidR="00002BA6" w:rsidRPr="00B04DC3">
        <w:rPr>
          <w:szCs w:val="24"/>
          <w:lang w:val="en-GB"/>
        </w:rPr>
        <w:tab/>
        <w:t>(10)</w:t>
      </w:r>
    </w:p>
    <w:p w:rsidR="00002BA6" w:rsidRPr="00B04DC3" w:rsidRDefault="00002BA6" w:rsidP="00002BA6">
      <w:pPr>
        <w:pStyle w:val="para"/>
        <w:spacing w:before="120"/>
        <w:rPr>
          <w:szCs w:val="24"/>
          <w:lang w:val="en-GB"/>
        </w:rPr>
      </w:pPr>
      <w:r w:rsidRPr="00B04DC3">
        <w:rPr>
          <w:szCs w:val="24"/>
          <w:lang w:val="en-GB"/>
        </w:rPr>
        <w:tab/>
      </w:r>
      <w:r w:rsidR="00D06B9E" w:rsidRPr="00B04DC3">
        <w:rPr>
          <w:szCs w:val="24"/>
          <w:lang w:val="en-GB"/>
        </w:rPr>
        <w:t>Where</w:t>
      </w:r>
      <w:r w:rsidRPr="00B04DC3">
        <w:rPr>
          <w:szCs w:val="24"/>
          <w:lang w:val="en-GB"/>
        </w:rPr>
        <w:t>:</w:t>
      </w:r>
    </w:p>
    <w:p w:rsidR="00002BA6" w:rsidRPr="00B04DC3" w:rsidRDefault="00002BA6" w:rsidP="00002BA6">
      <w:pPr>
        <w:pStyle w:val="para"/>
        <w:spacing w:before="120"/>
        <w:rPr>
          <w:szCs w:val="24"/>
          <w:lang w:val="en-GB"/>
        </w:rPr>
      </w:pPr>
      <w:r w:rsidRPr="00B04DC3">
        <w:rPr>
          <w:i/>
          <w:szCs w:val="24"/>
          <w:lang w:val="en-GB"/>
        </w:rPr>
        <w:tab/>
      </w:r>
      <w:r w:rsidRPr="00B04DC3">
        <w:rPr>
          <w:szCs w:val="24"/>
          <w:lang w:val="en-GB"/>
        </w:rPr>
        <w:t>M</w:t>
      </w:r>
      <w:r w:rsidRPr="00B04DC3">
        <w:rPr>
          <w:szCs w:val="24"/>
          <w:vertAlign w:val="subscript"/>
          <w:lang w:val="en-GB"/>
        </w:rPr>
        <w:t>norm,i</w:t>
      </w:r>
      <w:r w:rsidRPr="00B04DC3">
        <w:rPr>
          <w:szCs w:val="24"/>
          <w:lang w:val="en-GB"/>
        </w:rPr>
        <w:tab/>
        <w:t>is the normalized torque, per cent</w:t>
      </w:r>
    </w:p>
    <w:p w:rsidR="00002BA6" w:rsidRPr="00B04DC3" w:rsidRDefault="00002BA6" w:rsidP="00002BA6">
      <w:pPr>
        <w:pStyle w:val="para"/>
        <w:spacing w:before="120"/>
        <w:rPr>
          <w:szCs w:val="24"/>
          <w:lang w:val="en-GB"/>
        </w:rPr>
      </w:pPr>
      <w:r w:rsidRPr="00B04DC3">
        <w:rPr>
          <w:szCs w:val="24"/>
          <w:lang w:val="en-GB"/>
        </w:rPr>
        <w:tab/>
        <w:t>M</w:t>
      </w:r>
      <w:r w:rsidRPr="00B04DC3">
        <w:rPr>
          <w:szCs w:val="24"/>
          <w:vertAlign w:val="subscript"/>
          <w:lang w:val="en-GB"/>
        </w:rPr>
        <w:t>max,i</w:t>
      </w:r>
      <w:r w:rsidRPr="00B04DC3">
        <w:rPr>
          <w:szCs w:val="24"/>
          <w:lang w:val="en-GB"/>
        </w:rPr>
        <w:tab/>
        <w:t>is the maximum torque from the mapping curve, Nm</w:t>
      </w:r>
    </w:p>
    <w:p w:rsidR="00002BA6" w:rsidRPr="00B04DC3" w:rsidRDefault="00002BA6" w:rsidP="00002BA6">
      <w:pPr>
        <w:pStyle w:val="para"/>
        <w:spacing w:before="120"/>
        <w:rPr>
          <w:szCs w:val="24"/>
          <w:lang w:val="en-GB"/>
        </w:rPr>
      </w:pPr>
      <w:r w:rsidRPr="00B04DC3">
        <w:rPr>
          <w:szCs w:val="24"/>
          <w:lang w:val="en-GB"/>
        </w:rPr>
        <w:tab/>
        <w:t>M</w:t>
      </w:r>
      <w:r w:rsidRPr="00B04DC3">
        <w:rPr>
          <w:szCs w:val="24"/>
          <w:vertAlign w:val="subscript"/>
          <w:lang w:val="en-GB"/>
        </w:rPr>
        <w:t>f,i</w:t>
      </w:r>
      <w:r w:rsidRPr="00B04DC3">
        <w:rPr>
          <w:szCs w:val="24"/>
          <w:lang w:val="en-GB"/>
        </w:rPr>
        <w:tab/>
        <w:t>is the torque absorbed by auxiliaries/equipment to be fitted, Nm</w:t>
      </w:r>
    </w:p>
    <w:p w:rsidR="00002BA6" w:rsidRPr="00B04DC3" w:rsidRDefault="00002BA6" w:rsidP="00002BA6">
      <w:pPr>
        <w:pStyle w:val="para"/>
        <w:spacing w:before="120"/>
        <w:rPr>
          <w:szCs w:val="24"/>
          <w:lang w:val="en-GB"/>
        </w:rPr>
      </w:pPr>
      <w:r w:rsidRPr="00B04DC3">
        <w:rPr>
          <w:szCs w:val="24"/>
          <w:lang w:val="en-GB"/>
        </w:rPr>
        <w:tab/>
        <w:t>M</w:t>
      </w:r>
      <w:r w:rsidRPr="00B04DC3">
        <w:rPr>
          <w:szCs w:val="24"/>
          <w:vertAlign w:val="subscript"/>
          <w:lang w:val="en-GB"/>
        </w:rPr>
        <w:t>r,i</w:t>
      </w:r>
      <w:r w:rsidRPr="00B04DC3">
        <w:rPr>
          <w:szCs w:val="24"/>
          <w:lang w:val="en-GB"/>
        </w:rPr>
        <w:tab/>
        <w:t>is the torque absorbed by auxiliaries/equipment to be removed, Nm</w:t>
      </w:r>
    </w:p>
    <w:p w:rsidR="00002BA6" w:rsidRPr="00B04DC3" w:rsidRDefault="00002BA6" w:rsidP="00002BA6">
      <w:pPr>
        <w:pStyle w:val="para"/>
        <w:spacing w:before="120"/>
        <w:ind w:firstLine="0"/>
        <w:rPr>
          <w:szCs w:val="24"/>
          <w:lang w:val="en-GB"/>
        </w:rPr>
      </w:pPr>
      <w:r w:rsidRPr="00B04DC3">
        <w:rPr>
          <w:szCs w:val="24"/>
          <w:lang w:val="en-GB"/>
        </w:rPr>
        <w:t xml:space="preserve">If auxiliaries/equipment are fitted in accordance with paragraph 6.3.1. and </w:t>
      </w:r>
      <w:r w:rsidR="00E46661" w:rsidRPr="00B04DC3">
        <w:rPr>
          <w:szCs w:val="24"/>
          <w:lang w:val="en-GB"/>
        </w:rPr>
        <w:t>Appendix </w:t>
      </w:r>
      <w:r w:rsidRPr="00B04DC3">
        <w:rPr>
          <w:szCs w:val="24"/>
          <w:lang w:val="en-GB"/>
        </w:rPr>
        <w:t>7</w:t>
      </w:r>
      <w:r w:rsidR="00E17EB2" w:rsidRPr="00E17EB2">
        <w:rPr>
          <w:lang w:val="en-GB"/>
        </w:rPr>
        <w:t xml:space="preserve"> </w:t>
      </w:r>
      <w:r w:rsidR="00E17EB2">
        <w:rPr>
          <w:lang w:val="en-GB"/>
        </w:rPr>
        <w:t>to this annex</w:t>
      </w:r>
      <w:r w:rsidRPr="00B04DC3">
        <w:rPr>
          <w:szCs w:val="24"/>
          <w:lang w:val="en-GB"/>
        </w:rPr>
        <w:t>, M</w:t>
      </w:r>
      <w:r w:rsidRPr="00B04DC3">
        <w:rPr>
          <w:szCs w:val="24"/>
          <w:vertAlign w:val="subscript"/>
          <w:lang w:val="en-GB"/>
        </w:rPr>
        <w:t>f</w:t>
      </w:r>
      <w:r w:rsidR="00211E1D">
        <w:rPr>
          <w:szCs w:val="24"/>
          <w:lang w:val="en-GB"/>
        </w:rPr>
        <w:t xml:space="preserve"> </w:t>
      </w:r>
      <w:r w:rsidRPr="00B04DC3">
        <w:rPr>
          <w:szCs w:val="24"/>
          <w:lang w:val="en-GB"/>
        </w:rPr>
        <w:t>and M</w:t>
      </w:r>
      <w:r w:rsidRPr="00B04DC3">
        <w:rPr>
          <w:szCs w:val="24"/>
          <w:vertAlign w:val="subscript"/>
          <w:lang w:val="en-GB"/>
        </w:rPr>
        <w:t>r</w:t>
      </w:r>
      <w:r w:rsidRPr="00B04DC3">
        <w:rPr>
          <w:szCs w:val="24"/>
          <w:lang w:val="en-GB"/>
        </w:rPr>
        <w:t xml:space="preserve"> are zero.</w:t>
      </w:r>
    </w:p>
    <w:p w:rsidR="00002BA6" w:rsidRPr="00B04DC3" w:rsidRDefault="00002BA6" w:rsidP="00002BA6">
      <w:pPr>
        <w:pStyle w:val="para"/>
        <w:spacing w:before="120"/>
        <w:ind w:firstLine="0"/>
        <w:rPr>
          <w:szCs w:val="24"/>
          <w:lang w:val="en-GB"/>
        </w:rPr>
      </w:pPr>
      <w:r w:rsidRPr="00B04DC3">
        <w:rPr>
          <w:szCs w:val="24"/>
          <w:lang w:val="en-GB"/>
        </w:rPr>
        <w:tab/>
        <w:t>The negative torque values of the motoring points (m in Appendix 1) shall take on, for purposes of reference cycle generation, reference values determined in either of the following ways:</w:t>
      </w:r>
    </w:p>
    <w:p w:rsidR="00002BA6" w:rsidRPr="00B04DC3" w:rsidRDefault="00002BA6" w:rsidP="00002BA6">
      <w:pPr>
        <w:pStyle w:val="a"/>
        <w:rPr>
          <w:lang w:val="en-GB"/>
        </w:rPr>
      </w:pPr>
      <w:r w:rsidRPr="00B04DC3">
        <w:rPr>
          <w:lang w:val="en-GB"/>
        </w:rPr>
        <w:t>(a)</w:t>
      </w:r>
      <w:r w:rsidRPr="00B04DC3">
        <w:rPr>
          <w:lang w:val="en-GB"/>
        </w:rPr>
        <w:tab/>
        <w:t>Negative 40 per cent of the positive torque available at the associated speed point;</w:t>
      </w:r>
    </w:p>
    <w:p w:rsidR="00002BA6" w:rsidRPr="00B04DC3" w:rsidRDefault="00002BA6" w:rsidP="00002BA6">
      <w:pPr>
        <w:pStyle w:val="a"/>
        <w:rPr>
          <w:lang w:val="en-GB"/>
        </w:rPr>
      </w:pPr>
      <w:r w:rsidRPr="00B04DC3">
        <w:rPr>
          <w:lang w:val="en-GB"/>
        </w:rPr>
        <w:t>(b)</w:t>
      </w:r>
      <w:r w:rsidRPr="00B04DC3">
        <w:rPr>
          <w:lang w:val="en-GB"/>
        </w:rPr>
        <w:tab/>
        <w:t>Mapping of the negative torque required to motor the engine from maximum to minimum mapping speed;</w:t>
      </w:r>
    </w:p>
    <w:p w:rsidR="00002BA6" w:rsidRPr="00B04DC3" w:rsidRDefault="00002BA6" w:rsidP="00002BA6">
      <w:pPr>
        <w:pStyle w:val="a"/>
        <w:rPr>
          <w:lang w:val="en-GB"/>
        </w:rPr>
      </w:pPr>
      <w:r w:rsidRPr="00B04DC3">
        <w:rPr>
          <w:lang w:val="en-GB"/>
        </w:rPr>
        <w:t>(c)</w:t>
      </w:r>
      <w:r w:rsidRPr="00B04DC3">
        <w:rPr>
          <w:lang w:val="en-GB"/>
        </w:rPr>
        <w:tab/>
        <w:t>Determination of the negative torque required to motor the engine at idle and at n</w:t>
      </w:r>
      <w:r w:rsidRPr="00B04DC3">
        <w:rPr>
          <w:vertAlign w:val="subscript"/>
          <w:lang w:val="en-GB"/>
        </w:rPr>
        <w:t>hi</w:t>
      </w:r>
      <w:r w:rsidRPr="00B04DC3">
        <w:rPr>
          <w:lang w:val="en-GB"/>
        </w:rPr>
        <w:t xml:space="preserve"> and linear interpolation between these two points.</w:t>
      </w:r>
    </w:p>
    <w:p w:rsidR="00002BA6" w:rsidRPr="00B04DC3" w:rsidRDefault="00002BA6" w:rsidP="00002BA6">
      <w:pPr>
        <w:pStyle w:val="para"/>
        <w:spacing w:before="120"/>
        <w:rPr>
          <w:lang w:val="en-GB"/>
        </w:rPr>
      </w:pPr>
      <w:r w:rsidRPr="00B04DC3">
        <w:rPr>
          <w:lang w:val="en-GB"/>
        </w:rPr>
        <w:t>7.4.8.</w:t>
      </w:r>
      <w:r w:rsidRPr="00B04DC3">
        <w:rPr>
          <w:lang w:val="en-GB"/>
        </w:rPr>
        <w:tab/>
        <w:t>Calculation of reference cycle work</w:t>
      </w:r>
    </w:p>
    <w:p w:rsidR="00002BA6" w:rsidRPr="00B04DC3" w:rsidRDefault="00002BA6" w:rsidP="00002BA6">
      <w:pPr>
        <w:pStyle w:val="para"/>
        <w:spacing w:before="120"/>
        <w:rPr>
          <w:lang w:val="en-GB"/>
        </w:rPr>
      </w:pPr>
      <w:r w:rsidRPr="00B04DC3">
        <w:rPr>
          <w:lang w:val="en-GB"/>
        </w:rPr>
        <w:tab/>
        <w:t xml:space="preserve">Reference cycle work shall be determined over the test cycle by synchronously calculating instantaneous values for engine power from reference speed and reference torque, as determined in paragraphs 7.4.6. and 7.4.7. </w:t>
      </w:r>
      <w:r w:rsidR="00E17EB2">
        <w:rPr>
          <w:lang w:val="en-GB"/>
        </w:rPr>
        <w:t xml:space="preserve">of this annex. </w:t>
      </w:r>
      <w:r w:rsidRPr="00B04DC3">
        <w:rPr>
          <w:lang w:val="en-GB"/>
        </w:rPr>
        <w:t>Instantaneous engine power values shall be integrated over the test cycle to calculate the reference cycle work W</w:t>
      </w:r>
      <w:r w:rsidRPr="00B04DC3">
        <w:rPr>
          <w:vertAlign w:val="subscript"/>
          <w:lang w:val="en-GB"/>
        </w:rPr>
        <w:t>ref</w:t>
      </w:r>
      <w:r w:rsidRPr="00B04DC3">
        <w:rPr>
          <w:lang w:val="en-GB"/>
        </w:rPr>
        <w:t xml:space="preserve"> (kWh). If auxiliaries are not fitted in accordance with paragraph 6.3.1.</w:t>
      </w:r>
      <w:r w:rsidR="00E17EB2" w:rsidRPr="00E17EB2">
        <w:rPr>
          <w:lang w:val="en-GB"/>
        </w:rPr>
        <w:t xml:space="preserve"> </w:t>
      </w:r>
      <w:r w:rsidR="00E17EB2">
        <w:rPr>
          <w:lang w:val="en-GB"/>
        </w:rPr>
        <w:t>of this annex</w:t>
      </w:r>
      <w:r w:rsidRPr="00B04DC3">
        <w:rPr>
          <w:lang w:val="en-GB"/>
        </w:rPr>
        <w:t>, the instantaneous power values shall be corrected using equation (4) in paragraph 6.3.5.</w:t>
      </w:r>
      <w:r w:rsidR="00E17EB2" w:rsidRPr="00E17EB2">
        <w:rPr>
          <w:lang w:val="en-GB"/>
        </w:rPr>
        <w:t xml:space="preserve"> </w:t>
      </w:r>
      <w:r w:rsidR="00E17EB2">
        <w:rPr>
          <w:lang w:val="en-GB"/>
        </w:rPr>
        <w:t>of this annex.</w:t>
      </w:r>
    </w:p>
    <w:p w:rsidR="00002BA6" w:rsidRPr="00B04DC3" w:rsidRDefault="00002BA6" w:rsidP="00002BA6">
      <w:pPr>
        <w:pStyle w:val="para"/>
        <w:spacing w:before="120"/>
        <w:rPr>
          <w:lang w:val="en-GB"/>
        </w:rPr>
      </w:pPr>
      <w:r w:rsidRPr="00B04DC3">
        <w:rPr>
          <w:lang w:val="en-GB"/>
        </w:rPr>
        <w:tab/>
        <w:t>The same methodology shall be used for integrating both reference and actual engine power. If values are to be determined between adjacent reference or</w:t>
      </w:r>
      <w:r w:rsidRPr="00B04DC3">
        <w:rPr>
          <w:szCs w:val="24"/>
          <w:lang w:val="en-GB"/>
        </w:rPr>
        <w:t xml:space="preserve"> adjacent measured</w:t>
      </w:r>
      <w:r w:rsidRPr="00B04DC3">
        <w:rPr>
          <w:lang w:val="en-GB"/>
        </w:rPr>
        <w:t xml:space="preserve">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rsidR="00002BA6" w:rsidRPr="00B04DC3" w:rsidRDefault="00002BA6" w:rsidP="00355693">
      <w:pPr>
        <w:pStyle w:val="para"/>
        <w:keepNext/>
        <w:keepLines/>
        <w:spacing w:before="120"/>
        <w:rPr>
          <w:lang w:val="en-GB"/>
        </w:rPr>
      </w:pPr>
      <w:r w:rsidRPr="00B04DC3">
        <w:rPr>
          <w:lang w:val="en-GB"/>
        </w:rPr>
        <w:t>7.5.</w:t>
      </w:r>
      <w:r w:rsidRPr="00B04DC3">
        <w:rPr>
          <w:lang w:val="en-GB"/>
        </w:rPr>
        <w:tab/>
        <w:t>Pre-test procedures</w:t>
      </w:r>
    </w:p>
    <w:p w:rsidR="00002BA6" w:rsidRPr="00B04DC3" w:rsidRDefault="00002BA6" w:rsidP="00002BA6">
      <w:pPr>
        <w:pStyle w:val="para"/>
        <w:spacing w:before="120"/>
        <w:rPr>
          <w:lang w:val="en-GB"/>
        </w:rPr>
      </w:pPr>
      <w:r w:rsidRPr="00B04DC3">
        <w:rPr>
          <w:lang w:val="en-GB"/>
        </w:rPr>
        <w:t>7.5.1.</w:t>
      </w:r>
      <w:r w:rsidRPr="00B04DC3">
        <w:rPr>
          <w:lang w:val="en-GB"/>
        </w:rPr>
        <w:tab/>
        <w:t>Installation of the measurement equipment</w:t>
      </w:r>
    </w:p>
    <w:p w:rsidR="00002BA6" w:rsidRPr="00B04DC3" w:rsidRDefault="00002BA6" w:rsidP="00002BA6">
      <w:pPr>
        <w:pStyle w:val="para"/>
        <w:spacing w:before="120"/>
        <w:rPr>
          <w:lang w:val="en-GB"/>
        </w:rPr>
      </w:pPr>
      <w:r w:rsidRPr="00B04DC3">
        <w:rPr>
          <w:lang w:val="en-GB"/>
        </w:rPr>
        <w:tab/>
        <w:t>The instrumentation and sample probes shall be installed as required. The tailpipe shall be connected to the full flow dilution system, if used.</w:t>
      </w:r>
    </w:p>
    <w:p w:rsidR="00002BA6" w:rsidRPr="00B04DC3" w:rsidRDefault="00002BA6" w:rsidP="00002BA6">
      <w:pPr>
        <w:pStyle w:val="para"/>
        <w:spacing w:before="120"/>
        <w:rPr>
          <w:lang w:val="en-GB"/>
        </w:rPr>
      </w:pPr>
      <w:r w:rsidRPr="00B04DC3">
        <w:rPr>
          <w:lang w:val="en-GB"/>
        </w:rPr>
        <w:t>7.5.2.</w:t>
      </w:r>
      <w:r w:rsidRPr="00B04DC3">
        <w:rPr>
          <w:lang w:val="en-GB"/>
        </w:rPr>
        <w:tab/>
        <w:t>Preparation of measurement equipment for sampling</w:t>
      </w:r>
    </w:p>
    <w:p w:rsidR="00002BA6" w:rsidRPr="00B04DC3" w:rsidRDefault="00002BA6" w:rsidP="00002BA6">
      <w:pPr>
        <w:pStyle w:val="para"/>
        <w:spacing w:before="120"/>
        <w:rPr>
          <w:lang w:val="en-GB"/>
        </w:rPr>
      </w:pPr>
      <w:r w:rsidRPr="00B04DC3">
        <w:rPr>
          <w:lang w:val="en-GB"/>
        </w:rPr>
        <w:tab/>
        <w:t>The following steps shall be taken before emission sampling begins:</w:t>
      </w:r>
    </w:p>
    <w:p w:rsidR="00002BA6" w:rsidRPr="00B04DC3" w:rsidRDefault="00002BA6" w:rsidP="00CC51C7">
      <w:pPr>
        <w:pStyle w:val="a"/>
        <w:spacing w:after="80"/>
        <w:rPr>
          <w:lang w:val="en-GB"/>
        </w:rPr>
      </w:pPr>
      <w:r w:rsidRPr="00B04DC3">
        <w:rPr>
          <w:lang w:val="en-GB"/>
        </w:rPr>
        <w:t>(a)</w:t>
      </w:r>
      <w:r w:rsidRPr="00B04DC3">
        <w:rPr>
          <w:lang w:val="en-GB"/>
        </w:rPr>
        <w:tab/>
        <w:t>Leak checks shall be performed within 8 hours prior to emission sampling according to paragraph 9.3.4</w:t>
      </w:r>
      <w:r w:rsidR="00E17EB2">
        <w:rPr>
          <w:lang w:val="en-GB"/>
        </w:rPr>
        <w:t>.</w:t>
      </w:r>
      <w:r w:rsidR="00E17EB2" w:rsidRPr="00E17EB2">
        <w:rPr>
          <w:lang w:val="en-GB"/>
        </w:rPr>
        <w:t xml:space="preserve"> </w:t>
      </w:r>
      <w:r w:rsidR="00E17EB2">
        <w:rPr>
          <w:lang w:val="en-GB"/>
        </w:rPr>
        <w:t>of this annex</w:t>
      </w:r>
      <w:r w:rsidRPr="00B04DC3">
        <w:rPr>
          <w:lang w:val="en-GB"/>
        </w:rPr>
        <w:t>;</w:t>
      </w:r>
    </w:p>
    <w:p w:rsidR="00002BA6" w:rsidRPr="00B04DC3" w:rsidRDefault="00002BA6" w:rsidP="00CC51C7">
      <w:pPr>
        <w:pStyle w:val="a"/>
        <w:spacing w:after="80"/>
        <w:rPr>
          <w:lang w:val="en-GB"/>
        </w:rPr>
      </w:pPr>
      <w:r w:rsidRPr="00B04DC3">
        <w:rPr>
          <w:lang w:val="en-GB"/>
        </w:rPr>
        <w:t>(b)</w:t>
      </w:r>
      <w:r w:rsidRPr="00B04DC3">
        <w:rPr>
          <w:lang w:val="en-GB"/>
        </w:rPr>
        <w:tab/>
        <w:t>For batch sampling, clean storage media shall be connected, such as evacuated bags;</w:t>
      </w:r>
    </w:p>
    <w:p w:rsidR="00002BA6" w:rsidRPr="00B04DC3" w:rsidRDefault="00002BA6" w:rsidP="00CC51C7">
      <w:pPr>
        <w:pStyle w:val="a"/>
        <w:spacing w:after="80"/>
        <w:rPr>
          <w:lang w:val="en-GB"/>
        </w:rPr>
      </w:pPr>
      <w:r w:rsidRPr="00B04DC3">
        <w:rPr>
          <w:lang w:val="en-GB"/>
        </w:rPr>
        <w:t>(c)</w:t>
      </w:r>
      <w:r w:rsidRPr="00B04DC3">
        <w:rPr>
          <w:lang w:val="en-GB"/>
        </w:rPr>
        <w:tab/>
        <w:t>All measurement instruments shall be started according to the instrument manufacturer's instructions and good engineering judgment;</w:t>
      </w:r>
    </w:p>
    <w:p w:rsidR="00002BA6" w:rsidRPr="00B04DC3" w:rsidRDefault="00002BA6" w:rsidP="00CC51C7">
      <w:pPr>
        <w:pStyle w:val="a"/>
        <w:spacing w:after="80"/>
        <w:rPr>
          <w:lang w:val="en-GB"/>
        </w:rPr>
      </w:pPr>
      <w:r w:rsidRPr="00B04DC3">
        <w:rPr>
          <w:lang w:val="en-GB"/>
        </w:rPr>
        <w:t>(d)</w:t>
      </w:r>
      <w:r w:rsidRPr="00B04DC3">
        <w:rPr>
          <w:lang w:val="en-GB"/>
        </w:rPr>
        <w:tab/>
        <w:t>Dilution systems, sample pumps, cooling fans, and the data-collection system shall be started;</w:t>
      </w:r>
    </w:p>
    <w:p w:rsidR="00002BA6" w:rsidRPr="00B04DC3" w:rsidRDefault="00002BA6" w:rsidP="00CC51C7">
      <w:pPr>
        <w:pStyle w:val="a"/>
        <w:spacing w:after="80"/>
        <w:rPr>
          <w:lang w:val="en-GB"/>
        </w:rPr>
      </w:pPr>
      <w:r w:rsidRPr="00B04DC3">
        <w:rPr>
          <w:lang w:val="en-GB"/>
        </w:rPr>
        <w:t>(e)</w:t>
      </w:r>
      <w:r w:rsidRPr="00B04DC3">
        <w:rPr>
          <w:lang w:val="en-GB"/>
        </w:rPr>
        <w:tab/>
        <w:t>The sample flow rates shall be adjusted to desired levels, using bypass flow, if desired;</w:t>
      </w:r>
    </w:p>
    <w:p w:rsidR="00002BA6" w:rsidRPr="00B04DC3" w:rsidRDefault="00002BA6" w:rsidP="00CC51C7">
      <w:pPr>
        <w:pStyle w:val="a"/>
        <w:spacing w:after="80"/>
        <w:rPr>
          <w:lang w:val="en-GB"/>
        </w:rPr>
      </w:pPr>
      <w:r w:rsidRPr="00B04DC3">
        <w:rPr>
          <w:lang w:val="en-GB"/>
        </w:rPr>
        <w:t>(f)</w:t>
      </w:r>
      <w:r w:rsidRPr="00B04DC3">
        <w:rPr>
          <w:lang w:val="en-GB"/>
        </w:rPr>
        <w:tab/>
        <w:t>Heat exchangers in the sampling system shall be pre-heated or pre-cooled to within their operating temperature ranges for a test;</w:t>
      </w:r>
    </w:p>
    <w:p w:rsidR="00002BA6" w:rsidRPr="00B04DC3" w:rsidRDefault="00002BA6" w:rsidP="00CC51C7">
      <w:pPr>
        <w:pStyle w:val="a"/>
        <w:spacing w:after="80"/>
        <w:rPr>
          <w:lang w:val="en-GB"/>
        </w:rPr>
      </w:pPr>
      <w:r w:rsidRPr="00B04DC3">
        <w:rPr>
          <w:lang w:val="en-GB"/>
        </w:rPr>
        <w:t>(g)</w:t>
      </w:r>
      <w:r w:rsidRPr="00B04DC3">
        <w:rPr>
          <w:lang w:val="en-GB"/>
        </w:rPr>
        <w:tab/>
        <w:t>Heated or cooled components such as sample lines, filters, coolers, and pumps shall be allowed to stabilize at their operating temperatures;</w:t>
      </w:r>
    </w:p>
    <w:p w:rsidR="00002BA6" w:rsidRPr="00B04DC3" w:rsidRDefault="00002BA6" w:rsidP="00CC51C7">
      <w:pPr>
        <w:pStyle w:val="a"/>
        <w:spacing w:after="80"/>
        <w:rPr>
          <w:lang w:val="en-GB"/>
        </w:rPr>
      </w:pPr>
      <w:r w:rsidRPr="00B04DC3">
        <w:rPr>
          <w:lang w:val="en-GB"/>
        </w:rPr>
        <w:t>(h)</w:t>
      </w:r>
      <w:r w:rsidRPr="00B04DC3">
        <w:rPr>
          <w:lang w:val="en-GB"/>
        </w:rPr>
        <w:tab/>
        <w:t>Exhaust dilution system flow shall be switched on at least 10 minutes before a test sequence;</w:t>
      </w:r>
    </w:p>
    <w:p w:rsidR="00002BA6" w:rsidRPr="00B04DC3" w:rsidRDefault="00002BA6" w:rsidP="00CC51C7">
      <w:pPr>
        <w:pStyle w:val="a"/>
        <w:spacing w:after="80"/>
        <w:rPr>
          <w:lang w:val="en-GB"/>
        </w:rPr>
      </w:pPr>
      <w:r w:rsidRPr="00B04DC3">
        <w:rPr>
          <w:lang w:val="en-GB"/>
        </w:rPr>
        <w:t>(i)</w:t>
      </w:r>
      <w:r w:rsidRPr="00B04DC3">
        <w:rPr>
          <w:lang w:val="en-GB"/>
        </w:rPr>
        <w:tab/>
        <w:t>Any electronic integrating devices shall be zeroed or re-zeroed, before the start of any test interval.</w:t>
      </w:r>
    </w:p>
    <w:p w:rsidR="00002BA6" w:rsidRPr="00B04DC3" w:rsidRDefault="00002BA6" w:rsidP="00002BA6">
      <w:pPr>
        <w:pStyle w:val="para"/>
        <w:spacing w:before="120"/>
        <w:rPr>
          <w:lang w:val="en-GB"/>
        </w:rPr>
      </w:pPr>
      <w:r w:rsidRPr="00B04DC3">
        <w:rPr>
          <w:lang w:val="en-GB"/>
        </w:rPr>
        <w:t>7.5.3.</w:t>
      </w:r>
      <w:r w:rsidRPr="00B04DC3">
        <w:rPr>
          <w:lang w:val="en-GB"/>
        </w:rPr>
        <w:tab/>
        <w:t>Checking the gas analyzers</w:t>
      </w:r>
    </w:p>
    <w:p w:rsidR="00002BA6" w:rsidRPr="00B04DC3" w:rsidRDefault="00002BA6" w:rsidP="00002BA6">
      <w:pPr>
        <w:pStyle w:val="para"/>
        <w:spacing w:before="120"/>
        <w:rPr>
          <w:spacing w:val="-4"/>
          <w:lang w:val="en-GB"/>
        </w:rPr>
      </w:pPr>
      <w:r w:rsidRPr="00B04DC3">
        <w:rPr>
          <w:spacing w:val="-4"/>
          <w:lang w:val="en-GB"/>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rsidR="00002BA6" w:rsidRPr="00B04DC3" w:rsidRDefault="00002BA6" w:rsidP="00002BA6">
      <w:pPr>
        <w:pStyle w:val="para"/>
        <w:spacing w:before="120"/>
        <w:rPr>
          <w:lang w:val="en-GB"/>
        </w:rPr>
      </w:pPr>
      <w:r w:rsidRPr="00B04DC3">
        <w:rPr>
          <w:lang w:val="en-GB"/>
        </w:rPr>
        <w:tab/>
        <w:t xml:space="preserve">Zero and span response shall be determined for all analyzers using internationally-traceable gases that meet the specifications of paragraph 9.3.3. </w:t>
      </w:r>
      <w:r w:rsidR="00E17EB2">
        <w:rPr>
          <w:lang w:val="en-GB"/>
        </w:rPr>
        <w:t>of this annex</w:t>
      </w:r>
      <w:r w:rsidR="00E17EB2" w:rsidRPr="00B04DC3">
        <w:rPr>
          <w:lang w:val="en-GB"/>
        </w:rPr>
        <w:t xml:space="preserve"> </w:t>
      </w:r>
      <w:r w:rsidRPr="00B04DC3">
        <w:rPr>
          <w:lang w:val="en-GB"/>
        </w:rPr>
        <w:t>FID analyzers shall be spanned on a carbon number basis of one (C1).</w:t>
      </w:r>
    </w:p>
    <w:p w:rsidR="00002BA6" w:rsidRPr="00B04DC3" w:rsidRDefault="00002BA6" w:rsidP="00002BA6">
      <w:pPr>
        <w:pStyle w:val="para"/>
        <w:spacing w:before="120"/>
        <w:rPr>
          <w:lang w:val="en-GB"/>
        </w:rPr>
      </w:pPr>
      <w:r w:rsidRPr="00B04DC3">
        <w:rPr>
          <w:lang w:val="en-GB"/>
        </w:rPr>
        <w:t>7.5.4.</w:t>
      </w:r>
      <w:r w:rsidRPr="00B04DC3">
        <w:rPr>
          <w:lang w:val="en-GB"/>
        </w:rPr>
        <w:tab/>
        <w:t>Preparation of the particulate sampling filter</w:t>
      </w:r>
    </w:p>
    <w:p w:rsidR="00002BA6" w:rsidRPr="00B04DC3" w:rsidRDefault="00002BA6" w:rsidP="00002BA6">
      <w:pPr>
        <w:pStyle w:val="para"/>
        <w:spacing w:before="120"/>
        <w:rPr>
          <w:lang w:val="en-GB"/>
        </w:rPr>
      </w:pPr>
      <w:r w:rsidRPr="00B04DC3">
        <w:rPr>
          <w:lang w:val="en-GB"/>
        </w:rPr>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rsidR="00002BA6" w:rsidRPr="00B04DC3" w:rsidRDefault="00002BA6" w:rsidP="00002BA6">
      <w:pPr>
        <w:pStyle w:val="para"/>
        <w:spacing w:before="120"/>
        <w:rPr>
          <w:lang w:val="en-GB"/>
        </w:rPr>
      </w:pPr>
      <w:r w:rsidRPr="00B04DC3">
        <w:rPr>
          <w:lang w:val="en-GB"/>
        </w:rPr>
        <w:t>7.5.5.</w:t>
      </w:r>
      <w:r w:rsidRPr="00B04DC3">
        <w:rPr>
          <w:lang w:val="en-GB"/>
        </w:rPr>
        <w:tab/>
        <w:t>Adjustment of the dilution system</w:t>
      </w:r>
    </w:p>
    <w:p w:rsidR="00002BA6" w:rsidRPr="00B04DC3" w:rsidRDefault="00002BA6" w:rsidP="00002BA6">
      <w:pPr>
        <w:pStyle w:val="para"/>
        <w:spacing w:before="120"/>
        <w:rPr>
          <w:lang w:val="en-GB"/>
        </w:rPr>
      </w:pPr>
      <w:r w:rsidRPr="00B04DC3">
        <w:rPr>
          <w:lang w:val="en-GB"/>
        </w:rPr>
        <w:tab/>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p w:rsidR="00002BA6" w:rsidRPr="00B04DC3" w:rsidRDefault="00002BA6" w:rsidP="00002BA6">
      <w:pPr>
        <w:pStyle w:val="para"/>
        <w:spacing w:before="120"/>
        <w:rPr>
          <w:lang w:val="en-GB"/>
        </w:rPr>
      </w:pPr>
      <w:r w:rsidRPr="00B04DC3">
        <w:rPr>
          <w:lang w:val="en-GB"/>
        </w:rPr>
        <w:t>7.5.6.</w:t>
      </w:r>
      <w:r w:rsidRPr="00B04DC3">
        <w:rPr>
          <w:lang w:val="en-GB"/>
        </w:rPr>
        <w:tab/>
        <w:t>Starting the particulate sampling system</w:t>
      </w:r>
    </w:p>
    <w:p w:rsidR="00002BA6" w:rsidRPr="003B133B" w:rsidRDefault="00002BA6" w:rsidP="00002BA6">
      <w:pPr>
        <w:pStyle w:val="para"/>
        <w:spacing w:before="120"/>
        <w:rPr>
          <w:spacing w:val="-2"/>
          <w:lang w:val="en-GB"/>
        </w:rPr>
      </w:pPr>
      <w:r w:rsidRPr="003B133B">
        <w:rPr>
          <w:spacing w:val="-2"/>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rsidR="00002BA6" w:rsidRPr="00B04DC3" w:rsidRDefault="00002BA6" w:rsidP="00002BA6">
      <w:pPr>
        <w:pStyle w:val="para"/>
        <w:spacing w:before="120"/>
        <w:rPr>
          <w:lang w:val="en-GB"/>
        </w:rPr>
      </w:pPr>
      <w:r w:rsidRPr="00B04DC3">
        <w:rPr>
          <w:lang w:val="en-GB"/>
        </w:rPr>
        <w:t>7.6.</w:t>
      </w:r>
      <w:r w:rsidRPr="00B04DC3">
        <w:rPr>
          <w:lang w:val="en-GB"/>
        </w:rPr>
        <w:tab/>
        <w:t>WHTC cycle run</w:t>
      </w:r>
    </w:p>
    <w:p w:rsidR="00002BA6" w:rsidRPr="00B04DC3" w:rsidRDefault="00002BA6" w:rsidP="00002BA6">
      <w:pPr>
        <w:pStyle w:val="para"/>
        <w:spacing w:before="120"/>
        <w:rPr>
          <w:lang w:val="en-GB"/>
        </w:rPr>
      </w:pPr>
      <w:r w:rsidRPr="00B04DC3">
        <w:rPr>
          <w:lang w:val="en-GB"/>
        </w:rPr>
        <w:t>7.6.1.</w:t>
      </w:r>
      <w:r w:rsidRPr="00B04DC3">
        <w:rPr>
          <w:lang w:val="en-GB"/>
        </w:rPr>
        <w:tab/>
        <w:t>Engine cool-down</w:t>
      </w:r>
    </w:p>
    <w:p w:rsidR="00002BA6" w:rsidRPr="003B133B" w:rsidRDefault="00002BA6" w:rsidP="00002BA6">
      <w:pPr>
        <w:pStyle w:val="para"/>
        <w:spacing w:before="120"/>
        <w:rPr>
          <w:spacing w:val="-4"/>
          <w:lang w:val="en-GB"/>
        </w:rPr>
      </w:pPr>
      <w:r w:rsidRPr="003B133B">
        <w:rPr>
          <w:spacing w:val="-4"/>
          <w:lang w:val="en-GB"/>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rsidR="00002BA6" w:rsidRPr="00B04DC3" w:rsidRDefault="00002BA6" w:rsidP="00002BA6">
      <w:pPr>
        <w:pStyle w:val="para"/>
        <w:spacing w:before="120"/>
        <w:rPr>
          <w:lang w:val="en-GB"/>
        </w:rPr>
      </w:pPr>
      <w:r w:rsidRPr="00B04DC3">
        <w:rPr>
          <w:lang w:val="en-GB"/>
        </w:rPr>
        <w:t>7.6.2.</w:t>
      </w:r>
      <w:r w:rsidRPr="00B04DC3">
        <w:rPr>
          <w:lang w:val="en-GB"/>
        </w:rPr>
        <w:tab/>
        <w:t>Cold start test</w:t>
      </w:r>
    </w:p>
    <w:p w:rsidR="00002BA6" w:rsidRPr="00B04DC3" w:rsidRDefault="00002BA6" w:rsidP="00002BA6">
      <w:pPr>
        <w:pStyle w:val="para"/>
        <w:spacing w:before="120"/>
        <w:rPr>
          <w:lang w:val="en-GB"/>
        </w:rPr>
      </w:pPr>
      <w:r w:rsidRPr="00B04DC3">
        <w:rPr>
          <w:lang w:val="en-GB"/>
        </w:rPr>
        <w:tab/>
        <w:t xml:space="preserve">The cold-start test shall be started when the temperatures of the engine's lubricant, coolant, and after-treatment systems are all between 293 and 303 K (20 </w:t>
      </w:r>
      <w:r w:rsidR="00E17EB2">
        <w:rPr>
          <w:lang w:val="en-GB"/>
        </w:rPr>
        <w:t xml:space="preserve">°C </w:t>
      </w:r>
      <w:r w:rsidRPr="00B04DC3">
        <w:rPr>
          <w:lang w:val="en-GB"/>
        </w:rPr>
        <w:t>and 30 °C). The engine shall be started using one of the following methods:</w:t>
      </w:r>
    </w:p>
    <w:p w:rsidR="00002BA6" w:rsidRPr="00B04DC3" w:rsidRDefault="00002BA6" w:rsidP="00002BA6">
      <w:pPr>
        <w:pStyle w:val="a"/>
        <w:rPr>
          <w:lang w:val="en-GB"/>
        </w:rPr>
      </w:pPr>
      <w:r w:rsidRPr="00B04DC3">
        <w:rPr>
          <w:lang w:val="en-GB"/>
        </w:rPr>
        <w:t>(a)</w:t>
      </w:r>
      <w:r w:rsidRPr="00B04DC3">
        <w:rPr>
          <w:lang w:val="en-GB"/>
        </w:rPr>
        <w:tab/>
        <w:t>The engine shall be started as recommended in the owners manual using a production starter motor and adequately charged battery or a suitable power supply, or</w:t>
      </w:r>
    </w:p>
    <w:p w:rsidR="00002BA6" w:rsidRPr="00B04DC3" w:rsidRDefault="00002BA6" w:rsidP="00002BA6">
      <w:pPr>
        <w:pStyle w:val="a"/>
        <w:rPr>
          <w:lang w:val="en-GB"/>
        </w:rPr>
      </w:pPr>
      <w:r w:rsidRPr="00B04DC3">
        <w:rPr>
          <w:lang w:val="en-GB"/>
        </w:rPr>
        <w:t>(b)</w:t>
      </w:r>
      <w:r w:rsidRPr="00B04DC3">
        <w:rPr>
          <w:lang w:val="en-GB"/>
        </w:rPr>
        <w:tab/>
        <w:t>The engine shall be started by using the dynamometer. The engine shall be motored within  </w:t>
      </w:r>
      <w:r w:rsidRPr="00B04DC3">
        <w:rPr>
          <w:lang w:val="en-GB"/>
        </w:rPr>
        <w:sym w:font="Symbol" w:char="F0B1"/>
      </w:r>
      <w:r w:rsidRPr="00B04DC3">
        <w:rPr>
          <w:lang w:val="en-GB"/>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rsidR="00002BA6" w:rsidRPr="00B04DC3" w:rsidRDefault="00002BA6" w:rsidP="00002BA6">
      <w:pPr>
        <w:pStyle w:val="para"/>
        <w:spacing w:before="120"/>
        <w:rPr>
          <w:lang w:val="en-GB"/>
        </w:rPr>
      </w:pPr>
      <w:r w:rsidRPr="00B04DC3">
        <w:rPr>
          <w:lang w:val="en-GB"/>
        </w:rPr>
        <w:t>7.6.3.</w:t>
      </w:r>
      <w:r w:rsidRPr="00B04DC3">
        <w:rPr>
          <w:lang w:val="en-GB"/>
        </w:rPr>
        <w:tab/>
        <w:t>Hot soak period</w:t>
      </w:r>
    </w:p>
    <w:p w:rsidR="00002BA6" w:rsidRPr="00B04DC3" w:rsidRDefault="00002BA6" w:rsidP="00002BA6">
      <w:pPr>
        <w:pStyle w:val="para"/>
        <w:spacing w:before="120"/>
        <w:rPr>
          <w:lang w:val="en-GB"/>
        </w:rPr>
      </w:pPr>
      <w:r w:rsidRPr="00B04DC3">
        <w:rPr>
          <w:lang w:val="en-GB"/>
        </w:rPr>
        <w:tab/>
        <w:t>Immediately upon completion of the cold start test, the engine shall be conditioned for the hot start test using a 10 ± 1 minute</w:t>
      </w:r>
      <w:r w:rsidR="00E17EB2">
        <w:rPr>
          <w:lang w:val="en-GB"/>
        </w:rPr>
        <w:t>s</w:t>
      </w:r>
      <w:r w:rsidRPr="00B04DC3">
        <w:rPr>
          <w:lang w:val="en-GB"/>
        </w:rPr>
        <w:t xml:space="preserve"> hot soaks period.</w:t>
      </w:r>
    </w:p>
    <w:p w:rsidR="00002BA6" w:rsidRPr="00B04DC3" w:rsidRDefault="00002BA6" w:rsidP="003B133B">
      <w:pPr>
        <w:pStyle w:val="para"/>
        <w:keepNext/>
        <w:keepLines/>
        <w:spacing w:before="120"/>
        <w:rPr>
          <w:lang w:val="en-GB"/>
        </w:rPr>
      </w:pPr>
      <w:r w:rsidRPr="00B04DC3">
        <w:rPr>
          <w:lang w:val="en-GB"/>
        </w:rPr>
        <w:t>7.6.4.</w:t>
      </w:r>
      <w:r w:rsidRPr="00B04DC3">
        <w:rPr>
          <w:lang w:val="en-GB"/>
        </w:rPr>
        <w:tab/>
        <w:t>Hot start test</w:t>
      </w:r>
    </w:p>
    <w:p w:rsidR="00002BA6" w:rsidRPr="00B04DC3" w:rsidRDefault="00002BA6" w:rsidP="00002BA6">
      <w:pPr>
        <w:pStyle w:val="para"/>
        <w:spacing w:before="120"/>
        <w:rPr>
          <w:lang w:val="en-GB"/>
        </w:rPr>
      </w:pPr>
      <w:r w:rsidRPr="00B04DC3">
        <w:rPr>
          <w:lang w:val="en-GB"/>
        </w:rPr>
        <w:tab/>
        <w:t>The engine shall be started at the end of the hot soak period as defined in paragraph 7.6.3. using the starting methods given in paragraph 7.6.2.</w:t>
      </w:r>
      <w:r w:rsidR="00E17EB2" w:rsidRPr="00E17EB2">
        <w:rPr>
          <w:lang w:val="en-GB"/>
        </w:rPr>
        <w:t xml:space="preserve"> </w:t>
      </w:r>
      <w:r w:rsidR="00E17EB2">
        <w:rPr>
          <w:lang w:val="en-GB"/>
        </w:rPr>
        <w:t>of this annex.</w:t>
      </w:r>
    </w:p>
    <w:p w:rsidR="00002BA6" w:rsidRPr="00B04DC3" w:rsidRDefault="00002BA6" w:rsidP="00002BA6">
      <w:pPr>
        <w:pStyle w:val="para"/>
        <w:spacing w:before="120"/>
        <w:rPr>
          <w:lang w:val="en-GB"/>
        </w:rPr>
      </w:pPr>
      <w:r w:rsidRPr="00B04DC3">
        <w:rPr>
          <w:lang w:val="en-GB"/>
        </w:rPr>
        <w:t>7.6.5.</w:t>
      </w:r>
      <w:r w:rsidRPr="00B04DC3">
        <w:rPr>
          <w:lang w:val="en-GB"/>
        </w:rPr>
        <w:tab/>
        <w:t>Test sequence</w:t>
      </w:r>
    </w:p>
    <w:p w:rsidR="00002BA6" w:rsidRPr="00B04DC3" w:rsidRDefault="00002BA6" w:rsidP="00002BA6">
      <w:pPr>
        <w:pStyle w:val="para"/>
        <w:spacing w:before="120"/>
        <w:rPr>
          <w:lang w:val="en-GB"/>
        </w:rPr>
      </w:pPr>
      <w:r w:rsidRPr="00B04DC3">
        <w:rPr>
          <w:lang w:val="en-GB"/>
        </w:rPr>
        <w:tab/>
        <w:t>The test sequence of both cold start and hot start test shall commence at the start of the engine. After the engine is running, cycle control shall be initiated so that engine operation matches the first set point of the cycle.</w:t>
      </w:r>
    </w:p>
    <w:p w:rsidR="00002BA6" w:rsidRPr="00B04DC3" w:rsidRDefault="00002BA6" w:rsidP="00002BA6">
      <w:pPr>
        <w:pStyle w:val="para"/>
        <w:spacing w:before="120"/>
        <w:rPr>
          <w:lang w:val="en-GB"/>
        </w:rPr>
      </w:pPr>
      <w:r w:rsidRPr="00B04DC3">
        <w:rPr>
          <w:lang w:val="en-GB"/>
        </w:rPr>
        <w:tab/>
        <w:t>The WHTC shall be performed according to the reference cycle as set out in paragraph 7.4.</w:t>
      </w:r>
      <w:r w:rsidR="00E17EB2" w:rsidRPr="00E17EB2">
        <w:rPr>
          <w:lang w:val="en-GB"/>
        </w:rPr>
        <w:t xml:space="preserve"> </w:t>
      </w:r>
      <w:r w:rsidR="00E17EB2">
        <w:rPr>
          <w:lang w:val="en-GB"/>
        </w:rPr>
        <w:t>of this annex.</w:t>
      </w:r>
      <w:r w:rsidRPr="00B04DC3">
        <w:rPr>
          <w:lang w:val="en-GB"/>
        </w:rPr>
        <w:t xml:space="preserve">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rsidR="00002BA6" w:rsidRPr="00B04DC3" w:rsidRDefault="00002BA6" w:rsidP="00002BA6">
      <w:pPr>
        <w:pStyle w:val="para"/>
        <w:spacing w:before="120"/>
        <w:rPr>
          <w:lang w:val="en-GB"/>
        </w:rPr>
      </w:pPr>
      <w:r w:rsidRPr="00B04DC3">
        <w:rPr>
          <w:lang w:val="en-GB"/>
        </w:rPr>
        <w:t>7.6.6.</w:t>
      </w:r>
      <w:r w:rsidRPr="00B04DC3">
        <w:rPr>
          <w:lang w:val="en-GB"/>
        </w:rPr>
        <w:tab/>
        <w:t>Collection of emission relevant data</w:t>
      </w:r>
    </w:p>
    <w:p w:rsidR="00002BA6" w:rsidRPr="00B04DC3" w:rsidRDefault="00002BA6" w:rsidP="00002BA6">
      <w:pPr>
        <w:pStyle w:val="para"/>
        <w:spacing w:before="120"/>
        <w:rPr>
          <w:lang w:val="en-GB"/>
        </w:rPr>
      </w:pPr>
      <w:r w:rsidRPr="00B04DC3">
        <w:rPr>
          <w:lang w:val="en-GB"/>
        </w:rPr>
        <w:tab/>
        <w:t>At the start of the test sequence, the measuring equipment shall be started, simultaneously:</w:t>
      </w:r>
    </w:p>
    <w:p w:rsidR="00002BA6" w:rsidRPr="00B04DC3" w:rsidRDefault="00002BA6" w:rsidP="00002BA6">
      <w:pPr>
        <w:pStyle w:val="a"/>
        <w:rPr>
          <w:lang w:val="en-GB"/>
        </w:rPr>
      </w:pPr>
      <w:r w:rsidRPr="00B04DC3">
        <w:rPr>
          <w:lang w:val="en-GB"/>
        </w:rPr>
        <w:t>(a)</w:t>
      </w:r>
      <w:r w:rsidRPr="00B04DC3">
        <w:rPr>
          <w:lang w:val="en-GB"/>
        </w:rPr>
        <w:tab/>
        <w:t>Start collecting or analyzing diluent, if a full flow dilution system is used;</w:t>
      </w:r>
    </w:p>
    <w:p w:rsidR="00002BA6" w:rsidRPr="00B04DC3" w:rsidRDefault="00002BA6" w:rsidP="00002BA6">
      <w:pPr>
        <w:pStyle w:val="a"/>
        <w:rPr>
          <w:lang w:val="en-GB"/>
        </w:rPr>
      </w:pPr>
      <w:r w:rsidRPr="00B04DC3">
        <w:rPr>
          <w:lang w:val="en-GB"/>
        </w:rPr>
        <w:t>(b)</w:t>
      </w:r>
      <w:r w:rsidRPr="00B04DC3">
        <w:rPr>
          <w:lang w:val="en-GB"/>
        </w:rPr>
        <w:tab/>
        <w:t>Start collecting or analyzing raw or diluted exhaust gas, depending on the method used;</w:t>
      </w:r>
    </w:p>
    <w:p w:rsidR="00002BA6" w:rsidRPr="00B04DC3" w:rsidRDefault="00002BA6" w:rsidP="00002BA6">
      <w:pPr>
        <w:pStyle w:val="a"/>
        <w:rPr>
          <w:lang w:val="en-GB"/>
        </w:rPr>
      </w:pPr>
      <w:r w:rsidRPr="00B04DC3">
        <w:rPr>
          <w:lang w:val="en-GB"/>
        </w:rPr>
        <w:t>(c)</w:t>
      </w:r>
      <w:r w:rsidRPr="00B04DC3">
        <w:rPr>
          <w:lang w:val="en-GB"/>
        </w:rPr>
        <w:tab/>
        <w:t>Start measuring the amount of diluted exhaust gas and the required temperatures and pressures;</w:t>
      </w:r>
    </w:p>
    <w:p w:rsidR="00002BA6" w:rsidRPr="00B04DC3" w:rsidRDefault="00002BA6" w:rsidP="00002BA6">
      <w:pPr>
        <w:pStyle w:val="a"/>
        <w:rPr>
          <w:lang w:val="en-GB"/>
        </w:rPr>
      </w:pPr>
      <w:r w:rsidRPr="00B04DC3">
        <w:rPr>
          <w:lang w:val="en-GB"/>
        </w:rPr>
        <w:t>(d)</w:t>
      </w:r>
      <w:r w:rsidRPr="00B04DC3">
        <w:rPr>
          <w:lang w:val="en-GB"/>
        </w:rPr>
        <w:tab/>
        <w:t>Start recording the exhaust gas mass flow rate, if raw exhaust gas analysis is used;</w:t>
      </w:r>
    </w:p>
    <w:p w:rsidR="00002BA6" w:rsidRPr="00B04DC3" w:rsidRDefault="00002BA6" w:rsidP="00002BA6">
      <w:pPr>
        <w:pStyle w:val="a"/>
        <w:rPr>
          <w:lang w:val="en-GB"/>
        </w:rPr>
      </w:pPr>
      <w:r w:rsidRPr="00B04DC3">
        <w:rPr>
          <w:lang w:val="en-GB"/>
        </w:rPr>
        <w:t>(e)</w:t>
      </w:r>
      <w:r w:rsidRPr="00B04DC3">
        <w:rPr>
          <w:lang w:val="en-GB"/>
        </w:rPr>
        <w:tab/>
        <w:t>Start recording the feedback data of speed and torque of the dynamometer.</w:t>
      </w:r>
    </w:p>
    <w:p w:rsidR="00002BA6" w:rsidRPr="00B04DC3" w:rsidRDefault="00002BA6" w:rsidP="00002BA6">
      <w:pPr>
        <w:pStyle w:val="para"/>
        <w:spacing w:before="120"/>
        <w:rPr>
          <w:lang w:val="en-GB"/>
        </w:rPr>
      </w:pPr>
      <w:r w:rsidRPr="00B04DC3">
        <w:rPr>
          <w:lang w:val="en-GB"/>
        </w:rPr>
        <w:tab/>
        <w:t>If raw exhaust measurement is used, the emission concentrations ((NM)HC, CO and NO</w:t>
      </w:r>
      <w:r w:rsidRPr="00B04DC3">
        <w:rPr>
          <w:vertAlign w:val="subscript"/>
          <w:lang w:val="en-GB"/>
        </w:rPr>
        <w:t>x</w:t>
      </w:r>
      <w:r w:rsidRPr="00B04DC3">
        <w:rPr>
          <w:lang w:val="en-GB"/>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rsidR="00002BA6" w:rsidRPr="00B04DC3" w:rsidRDefault="00002BA6" w:rsidP="00002BA6">
      <w:pPr>
        <w:pStyle w:val="para"/>
        <w:spacing w:before="120"/>
        <w:rPr>
          <w:lang w:val="en-GB"/>
        </w:rPr>
      </w:pPr>
      <w:r w:rsidRPr="00B04DC3">
        <w:rPr>
          <w:lang w:val="en-GB"/>
        </w:rPr>
        <w:tab/>
        <w:t>If a full flow dilution system is used, HC and NO</w:t>
      </w:r>
      <w:r w:rsidRPr="00B04DC3">
        <w:rPr>
          <w:vertAlign w:val="subscript"/>
          <w:lang w:val="en-GB"/>
        </w:rPr>
        <w:t>x</w:t>
      </w:r>
      <w:r w:rsidRPr="00B04DC3">
        <w:rPr>
          <w:lang w:val="en-GB"/>
        </w:rPr>
        <w:t xml:space="preserve">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B04DC3">
        <w:rPr>
          <w:vertAlign w:val="subscript"/>
          <w:lang w:val="en-GB"/>
        </w:rPr>
        <w:t>2</w:t>
      </w:r>
      <w:r w:rsidRPr="00B04DC3">
        <w:rPr>
          <w:lang w:val="en-GB"/>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rsidR="00002BA6" w:rsidRPr="00B04DC3" w:rsidRDefault="00002BA6" w:rsidP="003B133B">
      <w:pPr>
        <w:pStyle w:val="para"/>
        <w:keepNext/>
        <w:keepLines/>
        <w:spacing w:before="120"/>
        <w:rPr>
          <w:lang w:val="en-GB"/>
        </w:rPr>
      </w:pPr>
      <w:r w:rsidRPr="00B04DC3">
        <w:rPr>
          <w:lang w:val="en-GB"/>
        </w:rPr>
        <w:t>7.6.7.</w:t>
      </w:r>
      <w:r w:rsidRPr="00B04DC3">
        <w:rPr>
          <w:lang w:val="en-GB"/>
        </w:rPr>
        <w:tab/>
        <w:t>Particulate sampling</w:t>
      </w:r>
    </w:p>
    <w:p w:rsidR="00002BA6" w:rsidRPr="00B04DC3" w:rsidRDefault="00002BA6" w:rsidP="00002BA6">
      <w:pPr>
        <w:pStyle w:val="para"/>
        <w:spacing w:before="120"/>
        <w:rPr>
          <w:lang w:val="en-GB"/>
        </w:rPr>
      </w:pPr>
      <w:r w:rsidRPr="00B04DC3">
        <w:rPr>
          <w:lang w:val="en-GB"/>
        </w:rPr>
        <w:tab/>
        <w:t>At the start of the test sequence, the particulate sampling system shall be switched from by-pass to collecting particulates.</w:t>
      </w:r>
    </w:p>
    <w:p w:rsidR="00002BA6" w:rsidRPr="00B04DC3" w:rsidRDefault="00002BA6" w:rsidP="00002BA6">
      <w:pPr>
        <w:pStyle w:val="para"/>
        <w:spacing w:before="120"/>
        <w:rPr>
          <w:lang w:val="en-GB"/>
        </w:rPr>
      </w:pPr>
      <w:r w:rsidRPr="00B04DC3">
        <w:rPr>
          <w:lang w:val="en-GB"/>
        </w:rPr>
        <w:tab/>
        <w:t>If a partial flow dilution system is used, the sample pump(s) shall be controlled, so that the flow rate through the particulate sample probe or transfer tube is maintained proportional to the exhaust mass flow rate as determined in accordance with paragraph 9.4.6.1.</w:t>
      </w:r>
      <w:r w:rsidR="00E17EB2">
        <w:rPr>
          <w:lang w:val="en-GB"/>
        </w:rPr>
        <w:t xml:space="preserve"> of this annex.</w:t>
      </w:r>
    </w:p>
    <w:p w:rsidR="00002BA6" w:rsidRPr="00B04DC3" w:rsidRDefault="00002BA6" w:rsidP="00002BA6">
      <w:pPr>
        <w:pStyle w:val="para"/>
        <w:spacing w:before="120"/>
        <w:rPr>
          <w:lang w:val="en-GB"/>
        </w:rPr>
      </w:pPr>
      <w:r w:rsidRPr="00B04DC3">
        <w:rPr>
          <w:lang w:val="en-GB"/>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rsidR="00002BA6" w:rsidRPr="00B04DC3" w:rsidRDefault="00002BA6" w:rsidP="00002BA6">
      <w:pPr>
        <w:pStyle w:val="para"/>
        <w:spacing w:before="120"/>
        <w:rPr>
          <w:lang w:val="en-GB"/>
        </w:rPr>
      </w:pPr>
      <w:r w:rsidRPr="00B04DC3">
        <w:rPr>
          <w:lang w:val="en-GB"/>
        </w:rPr>
        <w:t>7.6.8.</w:t>
      </w:r>
      <w:r w:rsidRPr="00B04DC3">
        <w:rPr>
          <w:lang w:val="en-GB"/>
        </w:rPr>
        <w:tab/>
        <w:t>Engine stalling and equipment malfunction</w:t>
      </w:r>
    </w:p>
    <w:p w:rsidR="00002BA6" w:rsidRPr="00B04DC3" w:rsidRDefault="00002BA6" w:rsidP="00002BA6">
      <w:pPr>
        <w:pStyle w:val="para"/>
        <w:spacing w:before="120"/>
        <w:rPr>
          <w:lang w:val="en-GB"/>
        </w:rPr>
      </w:pPr>
      <w:r w:rsidRPr="00B04DC3">
        <w:rPr>
          <w:lang w:val="en-GB"/>
        </w:rPr>
        <w:tab/>
        <w:t>If the engine stalls anywhere during the cold start test, the test shall be voided. The engine shall be preconditioned and restarted according to the requirements of paragraph 7.6.2.</w:t>
      </w:r>
      <w:r w:rsidR="00E17EB2" w:rsidRPr="00E17EB2">
        <w:rPr>
          <w:lang w:val="en-GB"/>
        </w:rPr>
        <w:t xml:space="preserve"> </w:t>
      </w:r>
      <w:r w:rsidR="00E17EB2">
        <w:rPr>
          <w:lang w:val="en-GB"/>
        </w:rPr>
        <w:t>of this annex</w:t>
      </w:r>
      <w:r w:rsidRPr="00B04DC3">
        <w:rPr>
          <w:lang w:val="en-GB"/>
        </w:rPr>
        <w:t>, and the test repeated.</w:t>
      </w:r>
    </w:p>
    <w:p w:rsidR="00002BA6" w:rsidRPr="00B04DC3" w:rsidRDefault="00002BA6" w:rsidP="00002BA6">
      <w:pPr>
        <w:pStyle w:val="para"/>
        <w:spacing w:before="120"/>
        <w:rPr>
          <w:b/>
          <w:lang w:val="en-GB"/>
        </w:rPr>
      </w:pPr>
      <w:r w:rsidRPr="00B04DC3">
        <w:rPr>
          <w:lang w:val="en-GB"/>
        </w:rPr>
        <w:tab/>
        <w:t>If the engine stalls anywhere during the hot start test, the hot start test shall be voided. The engine shall be soaked according to paragraph 7.6.3.</w:t>
      </w:r>
      <w:r w:rsidR="00E17EB2" w:rsidRPr="00E17EB2">
        <w:rPr>
          <w:lang w:val="en-GB"/>
        </w:rPr>
        <w:t xml:space="preserve"> </w:t>
      </w:r>
      <w:r w:rsidR="00E17EB2">
        <w:rPr>
          <w:lang w:val="en-GB"/>
        </w:rPr>
        <w:t>of this annex</w:t>
      </w:r>
      <w:r w:rsidRPr="00B04DC3">
        <w:rPr>
          <w:lang w:val="en-GB"/>
        </w:rPr>
        <w:t>, and the hot start test repeated. In this case, the cold start test need not be repeated.</w:t>
      </w:r>
    </w:p>
    <w:p w:rsidR="00002BA6" w:rsidRPr="00B04DC3" w:rsidRDefault="00002BA6" w:rsidP="00002BA6">
      <w:pPr>
        <w:pStyle w:val="para"/>
        <w:spacing w:before="120"/>
        <w:rPr>
          <w:lang w:val="en-GB"/>
        </w:rPr>
      </w:pPr>
      <w:r w:rsidRPr="00B04DC3">
        <w:rPr>
          <w:lang w:val="en-GB"/>
        </w:rPr>
        <w:tab/>
        <w:t>If a malfunction occurs in any of the required test equipment during the test cycle, the test shall be voided and repeated in line with the above provisions.</w:t>
      </w:r>
    </w:p>
    <w:p w:rsidR="00002BA6" w:rsidRPr="00B04DC3" w:rsidRDefault="00002BA6" w:rsidP="00002BA6">
      <w:pPr>
        <w:pStyle w:val="para"/>
        <w:spacing w:before="120"/>
        <w:rPr>
          <w:lang w:val="en-GB"/>
        </w:rPr>
      </w:pPr>
      <w:r w:rsidRPr="00B04DC3">
        <w:rPr>
          <w:lang w:val="en-GB"/>
        </w:rPr>
        <w:t>7.7.</w:t>
      </w:r>
      <w:r w:rsidRPr="00B04DC3">
        <w:rPr>
          <w:lang w:val="en-GB"/>
        </w:rPr>
        <w:tab/>
        <w:t>WHSC cycle run</w:t>
      </w:r>
    </w:p>
    <w:p w:rsidR="00002BA6" w:rsidRPr="00B04DC3" w:rsidRDefault="00002BA6" w:rsidP="00002BA6">
      <w:pPr>
        <w:pStyle w:val="para"/>
        <w:spacing w:before="120"/>
        <w:rPr>
          <w:lang w:val="en-GB"/>
        </w:rPr>
      </w:pPr>
      <w:r w:rsidRPr="00B04DC3">
        <w:rPr>
          <w:lang w:val="en-GB"/>
        </w:rPr>
        <w:t>7.7.1.</w:t>
      </w:r>
      <w:r w:rsidRPr="00B04DC3">
        <w:rPr>
          <w:lang w:val="en-GB"/>
        </w:rPr>
        <w:tab/>
        <w:t>Preconditioning the dilution system and the engine</w:t>
      </w:r>
    </w:p>
    <w:p w:rsidR="00002BA6" w:rsidRPr="00B04DC3" w:rsidRDefault="00002BA6" w:rsidP="00002BA6">
      <w:pPr>
        <w:pStyle w:val="para"/>
        <w:spacing w:before="120"/>
        <w:rPr>
          <w:lang w:val="en-GB"/>
        </w:rPr>
      </w:pPr>
      <w:r w:rsidRPr="00B04DC3">
        <w:rPr>
          <w:lang w:val="en-GB"/>
        </w:rPr>
        <w:tab/>
        <w:t>The dilution system and the engine shall be started and warmed up in accordance with paragraph 7.4.1.</w:t>
      </w:r>
      <w:r w:rsidR="00E17EB2" w:rsidRPr="00E17EB2">
        <w:rPr>
          <w:lang w:val="en-GB"/>
        </w:rPr>
        <w:t xml:space="preserve"> </w:t>
      </w:r>
      <w:r w:rsidR="00E17EB2">
        <w:rPr>
          <w:lang w:val="en-GB"/>
        </w:rPr>
        <w:t>of this annex.</w:t>
      </w:r>
      <w:r w:rsidRPr="00B04DC3">
        <w:rPr>
          <w:lang w:val="en-GB"/>
        </w:rPr>
        <w:t xml:space="preserve"> After warm-up, the engine and sampling system shall be preconditioned by operating the engine at mode 9 (see paragraph 7.2.2.</w:t>
      </w:r>
      <w:r w:rsidR="00E17EB2" w:rsidRPr="00E17EB2">
        <w:rPr>
          <w:lang w:val="en-GB"/>
        </w:rPr>
        <w:t xml:space="preserve"> </w:t>
      </w:r>
      <w:r w:rsidR="00E17EB2">
        <w:rPr>
          <w:lang w:val="en-GB"/>
        </w:rPr>
        <w:t>of this annex</w:t>
      </w:r>
      <w:r w:rsidRPr="00B04DC3">
        <w:rPr>
          <w:lang w:val="en-GB"/>
        </w:rPr>
        <w:t>,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rsidR="00002BA6" w:rsidRPr="00B04DC3" w:rsidRDefault="00002BA6" w:rsidP="00002BA6">
      <w:pPr>
        <w:pStyle w:val="para"/>
        <w:spacing w:before="120"/>
        <w:rPr>
          <w:lang w:val="en-GB"/>
        </w:rPr>
      </w:pPr>
      <w:r w:rsidRPr="00B04DC3">
        <w:rPr>
          <w:lang w:val="en-GB"/>
        </w:rPr>
        <w:t>7.7.2.</w:t>
      </w:r>
      <w:r w:rsidRPr="00B04DC3">
        <w:rPr>
          <w:lang w:val="en-GB"/>
        </w:rPr>
        <w:tab/>
        <w:t>Engine starting</w:t>
      </w:r>
    </w:p>
    <w:p w:rsidR="00002BA6" w:rsidRPr="00B04DC3" w:rsidRDefault="00002BA6" w:rsidP="00002BA6">
      <w:pPr>
        <w:pStyle w:val="para"/>
        <w:spacing w:before="120"/>
        <w:rPr>
          <w:lang w:val="en-GB"/>
        </w:rPr>
      </w:pPr>
      <w:r w:rsidRPr="00B04DC3">
        <w:rPr>
          <w:lang w:val="en-GB"/>
        </w:rPr>
        <w:tab/>
        <w:t xml:space="preserve">5 </w:t>
      </w:r>
      <w:r w:rsidRPr="00B04DC3">
        <w:rPr>
          <w:lang w:val="en-GB"/>
        </w:rPr>
        <w:sym w:font="Symbol" w:char="F0B1"/>
      </w:r>
      <w:r w:rsidRPr="00B04DC3">
        <w:rPr>
          <w:lang w:val="en-GB"/>
        </w:rPr>
        <w:t xml:space="preserve"> 1 minutes after completion of preconditioning at mode 9 as described in paragraph 7.7.1.</w:t>
      </w:r>
      <w:r w:rsidR="00E17EB2">
        <w:rPr>
          <w:lang w:val="en-GB"/>
        </w:rPr>
        <w:t xml:space="preserve"> above</w:t>
      </w:r>
      <w:r w:rsidRPr="00B04DC3">
        <w:rPr>
          <w:lang w:val="en-GB"/>
        </w:rPr>
        <w:t>, the engine shall be started according to the manufacturer's recommended starting procedure in the owner's manual, using either a production starter motor or the dynamometer in accordance with paragraph 7.6.2.</w:t>
      </w:r>
      <w:r w:rsidR="00E17EB2" w:rsidRPr="00E17EB2">
        <w:rPr>
          <w:lang w:val="en-GB"/>
        </w:rPr>
        <w:t xml:space="preserve"> </w:t>
      </w:r>
      <w:r w:rsidR="00E17EB2">
        <w:rPr>
          <w:lang w:val="en-GB"/>
        </w:rPr>
        <w:t>of this annex.</w:t>
      </w:r>
    </w:p>
    <w:p w:rsidR="00002BA6" w:rsidRPr="00B04DC3" w:rsidRDefault="00002BA6" w:rsidP="00002BA6">
      <w:pPr>
        <w:pStyle w:val="para"/>
        <w:spacing w:before="120"/>
        <w:rPr>
          <w:lang w:val="en-GB"/>
        </w:rPr>
      </w:pPr>
      <w:r w:rsidRPr="00B04DC3">
        <w:rPr>
          <w:lang w:val="en-GB"/>
        </w:rPr>
        <w:t>7.7.3.</w:t>
      </w:r>
      <w:r w:rsidRPr="00B04DC3">
        <w:rPr>
          <w:lang w:val="en-GB"/>
        </w:rPr>
        <w:tab/>
        <w:t>Test sequence</w:t>
      </w:r>
    </w:p>
    <w:p w:rsidR="00002BA6" w:rsidRPr="00B04DC3" w:rsidRDefault="00002BA6" w:rsidP="00002BA6">
      <w:pPr>
        <w:pStyle w:val="para"/>
        <w:spacing w:before="120"/>
        <w:rPr>
          <w:lang w:val="en-GB"/>
        </w:rPr>
      </w:pPr>
      <w:r w:rsidRPr="00B04DC3">
        <w:rPr>
          <w:lang w:val="en-GB"/>
        </w:rPr>
        <w:tab/>
        <w:t>The test sequence shall commence after the engine is running and within one minute after engine operation is controlled to match the first mode of the cycle (idle).</w:t>
      </w:r>
    </w:p>
    <w:p w:rsidR="00002BA6" w:rsidRPr="00B04DC3" w:rsidRDefault="00002BA6" w:rsidP="00002BA6">
      <w:pPr>
        <w:pStyle w:val="para"/>
        <w:spacing w:before="120"/>
        <w:rPr>
          <w:lang w:val="en-GB"/>
        </w:rPr>
      </w:pPr>
      <w:r w:rsidRPr="00B04DC3">
        <w:rPr>
          <w:lang w:val="en-GB"/>
        </w:rPr>
        <w:tab/>
        <w:t>The WHSC shall be performed according to the order of test modes listed in Table 1 of paragraph 7.2.2.</w:t>
      </w:r>
      <w:r w:rsidR="00B90B16" w:rsidRPr="00B90B16">
        <w:rPr>
          <w:lang w:val="en-GB"/>
        </w:rPr>
        <w:t xml:space="preserve"> </w:t>
      </w:r>
      <w:r w:rsidR="00B90B16">
        <w:rPr>
          <w:lang w:val="en-GB"/>
        </w:rPr>
        <w:t>of this annex.</w:t>
      </w:r>
    </w:p>
    <w:p w:rsidR="00002BA6" w:rsidRPr="00B04DC3" w:rsidRDefault="00002BA6" w:rsidP="00002BA6">
      <w:pPr>
        <w:pStyle w:val="para"/>
        <w:spacing w:before="120"/>
        <w:rPr>
          <w:lang w:val="en-GB"/>
        </w:rPr>
      </w:pPr>
      <w:r w:rsidRPr="00B04DC3">
        <w:rPr>
          <w:lang w:val="en-GB"/>
        </w:rPr>
        <w:t>7.7.4.</w:t>
      </w:r>
      <w:r w:rsidRPr="00B04DC3">
        <w:rPr>
          <w:lang w:val="en-GB"/>
        </w:rPr>
        <w:tab/>
        <w:t>Collection of emission relevant data</w:t>
      </w:r>
    </w:p>
    <w:p w:rsidR="00002BA6" w:rsidRPr="00B04DC3" w:rsidRDefault="00002BA6" w:rsidP="00002BA6">
      <w:pPr>
        <w:pStyle w:val="para"/>
        <w:spacing w:before="120"/>
        <w:rPr>
          <w:lang w:val="en-GB"/>
        </w:rPr>
      </w:pPr>
      <w:r w:rsidRPr="00B04DC3">
        <w:rPr>
          <w:lang w:val="en-GB"/>
        </w:rPr>
        <w:tab/>
        <w:t>At the start of the test sequence, the measuring equipment shall be started, simultaneously:</w:t>
      </w:r>
    </w:p>
    <w:p w:rsidR="00002BA6" w:rsidRPr="00B04DC3" w:rsidRDefault="00002BA6" w:rsidP="00002BA6">
      <w:pPr>
        <w:pStyle w:val="a"/>
        <w:rPr>
          <w:lang w:val="en-GB"/>
        </w:rPr>
      </w:pPr>
      <w:r w:rsidRPr="00B04DC3">
        <w:rPr>
          <w:lang w:val="en-GB"/>
        </w:rPr>
        <w:t>(a)</w:t>
      </w:r>
      <w:r w:rsidRPr="00B04DC3">
        <w:rPr>
          <w:lang w:val="en-GB"/>
        </w:rPr>
        <w:tab/>
        <w:t>Start collecting or analyzing diluent, if a full flow dilution system is used;</w:t>
      </w:r>
    </w:p>
    <w:p w:rsidR="00002BA6" w:rsidRPr="00B04DC3" w:rsidRDefault="00002BA6" w:rsidP="00002BA6">
      <w:pPr>
        <w:pStyle w:val="a"/>
        <w:rPr>
          <w:lang w:val="en-GB"/>
        </w:rPr>
      </w:pPr>
      <w:r w:rsidRPr="00B04DC3">
        <w:rPr>
          <w:lang w:val="en-GB"/>
        </w:rPr>
        <w:t>(b)</w:t>
      </w:r>
      <w:r w:rsidRPr="00B04DC3">
        <w:rPr>
          <w:lang w:val="en-GB"/>
        </w:rPr>
        <w:tab/>
        <w:t>Start collecting or analyzing raw or diluted exhaust gas, depending on the method used;</w:t>
      </w:r>
    </w:p>
    <w:p w:rsidR="00002BA6" w:rsidRPr="00B04DC3" w:rsidRDefault="00002BA6" w:rsidP="00002BA6">
      <w:pPr>
        <w:pStyle w:val="a"/>
        <w:rPr>
          <w:lang w:val="en-GB"/>
        </w:rPr>
      </w:pPr>
      <w:r w:rsidRPr="00B04DC3">
        <w:rPr>
          <w:lang w:val="en-GB"/>
        </w:rPr>
        <w:t>(c)</w:t>
      </w:r>
      <w:r w:rsidRPr="00B04DC3">
        <w:rPr>
          <w:lang w:val="en-GB"/>
        </w:rPr>
        <w:tab/>
        <w:t>Start measuring the amount of diluted exhaust gas and the required temperatures and pressures;</w:t>
      </w:r>
    </w:p>
    <w:p w:rsidR="00002BA6" w:rsidRPr="00B04DC3" w:rsidRDefault="00002BA6" w:rsidP="00002BA6">
      <w:pPr>
        <w:pStyle w:val="a"/>
        <w:rPr>
          <w:lang w:val="en-GB"/>
        </w:rPr>
      </w:pPr>
      <w:r w:rsidRPr="00B04DC3">
        <w:rPr>
          <w:lang w:val="en-GB"/>
        </w:rPr>
        <w:t>(d)</w:t>
      </w:r>
      <w:r w:rsidRPr="00B04DC3">
        <w:rPr>
          <w:lang w:val="en-GB"/>
        </w:rPr>
        <w:tab/>
        <w:t>Start recording the exhaust gas mass flow rate, if raw exhaust gas analysis is used;</w:t>
      </w:r>
    </w:p>
    <w:p w:rsidR="00002BA6" w:rsidRPr="00B04DC3" w:rsidRDefault="00002BA6" w:rsidP="00002BA6">
      <w:pPr>
        <w:pStyle w:val="a"/>
        <w:rPr>
          <w:lang w:val="en-GB"/>
        </w:rPr>
      </w:pPr>
      <w:r w:rsidRPr="00B04DC3">
        <w:rPr>
          <w:lang w:val="en-GB"/>
        </w:rPr>
        <w:t>(e)</w:t>
      </w:r>
      <w:r w:rsidRPr="00B04DC3">
        <w:rPr>
          <w:lang w:val="en-GB"/>
        </w:rPr>
        <w:tab/>
        <w:t>Start recording the feedback data of speed and torque of the dynamometer.</w:t>
      </w:r>
    </w:p>
    <w:p w:rsidR="00002BA6" w:rsidRPr="00B04DC3" w:rsidRDefault="00002BA6" w:rsidP="00002BA6">
      <w:pPr>
        <w:pStyle w:val="para"/>
        <w:spacing w:before="120"/>
        <w:rPr>
          <w:lang w:val="en-GB"/>
        </w:rPr>
      </w:pPr>
      <w:r w:rsidRPr="00B04DC3">
        <w:rPr>
          <w:lang w:val="en-GB"/>
        </w:rPr>
        <w:tab/>
        <w:t>If raw exhaust measurement is used, the emission concentrations ((NM)HC, CO and NO</w:t>
      </w:r>
      <w:r w:rsidRPr="00B04DC3">
        <w:rPr>
          <w:vertAlign w:val="subscript"/>
          <w:lang w:val="en-GB"/>
        </w:rPr>
        <w:t>x</w:t>
      </w:r>
      <w:r w:rsidRPr="00B04DC3">
        <w:rPr>
          <w:lang w:val="en-GB"/>
        </w:rPr>
        <w:t>)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rsidR="00002BA6" w:rsidRPr="00B04DC3" w:rsidRDefault="00002BA6" w:rsidP="00002BA6">
      <w:pPr>
        <w:pStyle w:val="para"/>
        <w:spacing w:before="120"/>
        <w:rPr>
          <w:lang w:val="en-GB"/>
        </w:rPr>
      </w:pPr>
      <w:r w:rsidRPr="00B04DC3">
        <w:rPr>
          <w:lang w:val="en-GB"/>
        </w:rPr>
        <w:tab/>
        <w:t>If a full flow dilution system is used, HC and NO</w:t>
      </w:r>
      <w:r w:rsidRPr="00B04DC3">
        <w:rPr>
          <w:vertAlign w:val="subscript"/>
          <w:lang w:val="en-GB"/>
        </w:rPr>
        <w:t>x</w:t>
      </w:r>
      <w:r w:rsidRPr="00B04DC3">
        <w:rPr>
          <w:lang w:val="en-GB"/>
        </w:rPr>
        <w:t xml:space="preserve">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B04DC3">
        <w:rPr>
          <w:vertAlign w:val="subscript"/>
          <w:lang w:val="en-GB"/>
        </w:rPr>
        <w:t>2</w:t>
      </w:r>
      <w:r w:rsidRPr="00B04DC3">
        <w:rPr>
          <w:lang w:val="en-GB"/>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rsidR="00002BA6" w:rsidRPr="00B04DC3" w:rsidRDefault="00002BA6" w:rsidP="00002BA6">
      <w:pPr>
        <w:pStyle w:val="para"/>
        <w:spacing w:before="120"/>
        <w:rPr>
          <w:lang w:val="en-GB"/>
        </w:rPr>
      </w:pPr>
      <w:r w:rsidRPr="00B04DC3">
        <w:rPr>
          <w:lang w:val="en-GB"/>
        </w:rPr>
        <w:t>7.7.5.</w:t>
      </w:r>
      <w:r w:rsidRPr="00B04DC3">
        <w:rPr>
          <w:lang w:val="en-GB"/>
        </w:rPr>
        <w:tab/>
        <w:t>Particulate sampling</w:t>
      </w:r>
    </w:p>
    <w:p w:rsidR="00002BA6" w:rsidRPr="00B04DC3" w:rsidRDefault="00002BA6" w:rsidP="00002BA6">
      <w:pPr>
        <w:pStyle w:val="para"/>
        <w:spacing w:before="120"/>
        <w:rPr>
          <w:lang w:val="en-GB"/>
        </w:rPr>
      </w:pPr>
      <w:r w:rsidRPr="00B04DC3">
        <w:rPr>
          <w:lang w:val="en-GB"/>
        </w:rPr>
        <w:tab/>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r w:rsidR="00B90B16" w:rsidRPr="00B90B16">
        <w:rPr>
          <w:lang w:val="en-GB"/>
        </w:rPr>
        <w:t xml:space="preserve"> </w:t>
      </w:r>
      <w:r w:rsidR="00B90B16">
        <w:rPr>
          <w:lang w:val="en-GB"/>
        </w:rPr>
        <w:t>of this annex.</w:t>
      </w:r>
    </w:p>
    <w:p w:rsidR="00002BA6" w:rsidRPr="00B04DC3" w:rsidRDefault="00002BA6" w:rsidP="00002BA6">
      <w:pPr>
        <w:pStyle w:val="para"/>
        <w:spacing w:before="120"/>
        <w:rPr>
          <w:lang w:val="en-GB"/>
        </w:rPr>
      </w:pPr>
      <w:r w:rsidRPr="00B04DC3">
        <w:rPr>
          <w:lang w:val="en-GB"/>
        </w:rPr>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rsidR="00002BA6" w:rsidRPr="00B04DC3" w:rsidRDefault="00002BA6" w:rsidP="00002BA6">
      <w:pPr>
        <w:pStyle w:val="para"/>
        <w:spacing w:before="120"/>
        <w:rPr>
          <w:lang w:val="en-GB"/>
        </w:rPr>
      </w:pPr>
      <w:r w:rsidRPr="00B04DC3">
        <w:rPr>
          <w:lang w:val="en-GB"/>
        </w:rPr>
        <w:t>7.7.6.</w:t>
      </w:r>
      <w:r w:rsidRPr="00B04DC3">
        <w:rPr>
          <w:lang w:val="en-GB"/>
        </w:rPr>
        <w:tab/>
        <w:t>Engine stalling and equipment malfunction</w:t>
      </w:r>
    </w:p>
    <w:p w:rsidR="00002BA6" w:rsidRPr="00B04DC3" w:rsidRDefault="00002BA6" w:rsidP="00002BA6">
      <w:pPr>
        <w:pStyle w:val="para"/>
        <w:spacing w:before="120"/>
        <w:rPr>
          <w:lang w:val="en-GB"/>
        </w:rPr>
      </w:pPr>
      <w:r w:rsidRPr="00B04DC3">
        <w:rPr>
          <w:lang w:val="en-GB"/>
        </w:rPr>
        <w:tab/>
        <w:t>If the engine stalls anywhere during the cycle, the test shall be voided. The engine shall be preconditioned according to paragraph 7.7.1. and restarted according to paragraph 7.7.2.</w:t>
      </w:r>
      <w:r w:rsidR="00B90B16" w:rsidRPr="00B90B16">
        <w:rPr>
          <w:lang w:val="en-GB"/>
        </w:rPr>
        <w:t xml:space="preserve"> </w:t>
      </w:r>
      <w:r w:rsidR="00B90B16">
        <w:rPr>
          <w:lang w:val="en-GB"/>
        </w:rPr>
        <w:t>of this annex</w:t>
      </w:r>
      <w:r w:rsidRPr="00B04DC3">
        <w:rPr>
          <w:lang w:val="en-GB"/>
        </w:rPr>
        <w:t>, and the test repeated.</w:t>
      </w:r>
    </w:p>
    <w:p w:rsidR="00002BA6" w:rsidRPr="00B04DC3" w:rsidRDefault="00002BA6" w:rsidP="00002BA6">
      <w:pPr>
        <w:pStyle w:val="para"/>
        <w:spacing w:before="120"/>
        <w:rPr>
          <w:lang w:val="en-GB"/>
        </w:rPr>
      </w:pPr>
      <w:r w:rsidRPr="00B04DC3">
        <w:rPr>
          <w:lang w:val="en-GB"/>
        </w:rPr>
        <w:tab/>
        <w:t>If a malfunction occurs in any of the required test equipment during the test cycle, the test shall be voided and repeated in line with the above provisions.</w:t>
      </w:r>
    </w:p>
    <w:p w:rsidR="00002BA6" w:rsidRPr="00B04DC3" w:rsidRDefault="00002BA6" w:rsidP="00002BA6">
      <w:pPr>
        <w:pStyle w:val="para"/>
        <w:spacing w:before="120"/>
        <w:rPr>
          <w:lang w:val="en-GB"/>
        </w:rPr>
      </w:pPr>
      <w:r w:rsidRPr="00B04DC3">
        <w:rPr>
          <w:lang w:val="en-GB"/>
        </w:rPr>
        <w:t>7.8.</w:t>
      </w:r>
      <w:r w:rsidRPr="00B04DC3">
        <w:rPr>
          <w:lang w:val="en-GB"/>
        </w:rPr>
        <w:tab/>
        <w:t>Post-test procedures</w:t>
      </w:r>
    </w:p>
    <w:p w:rsidR="00002BA6" w:rsidRPr="00B04DC3" w:rsidRDefault="00002BA6" w:rsidP="00002BA6">
      <w:pPr>
        <w:pStyle w:val="para"/>
        <w:spacing w:before="120"/>
        <w:rPr>
          <w:lang w:val="en-GB"/>
        </w:rPr>
      </w:pPr>
      <w:r w:rsidRPr="00B04DC3">
        <w:rPr>
          <w:lang w:val="en-GB"/>
        </w:rPr>
        <w:t>7.8.1.</w:t>
      </w:r>
      <w:r w:rsidRPr="00B04DC3">
        <w:rPr>
          <w:lang w:val="en-GB"/>
        </w:rPr>
        <w:tab/>
        <w:t>Operations after test</w:t>
      </w:r>
    </w:p>
    <w:p w:rsidR="00002BA6" w:rsidRPr="00B04DC3" w:rsidRDefault="00002BA6" w:rsidP="00002BA6">
      <w:pPr>
        <w:pStyle w:val="para"/>
        <w:spacing w:before="120"/>
        <w:rPr>
          <w:lang w:val="en-GB"/>
        </w:rPr>
      </w:pPr>
      <w:r w:rsidRPr="00B04DC3">
        <w:rPr>
          <w:lang w:val="en-GB"/>
        </w:rPr>
        <w:tab/>
        <w:t>At the completion of the test, the measurement of the exhaust gas mass flow rate, the diluted exhaust gas volume, the gas flow into the collecting bags and the particulate sample pump shall be stopped. For an integrating analyzer system, sampling shall continue until system response times have elapsed.</w:t>
      </w:r>
    </w:p>
    <w:p w:rsidR="00002BA6" w:rsidRPr="00B04DC3" w:rsidRDefault="00002BA6" w:rsidP="00002BA6">
      <w:pPr>
        <w:pStyle w:val="para"/>
        <w:spacing w:before="120"/>
        <w:rPr>
          <w:lang w:val="en-GB"/>
        </w:rPr>
      </w:pPr>
      <w:r w:rsidRPr="00B04DC3">
        <w:rPr>
          <w:lang w:val="en-GB"/>
        </w:rPr>
        <w:t>7.8.2.</w:t>
      </w:r>
      <w:r w:rsidRPr="00B04DC3">
        <w:rPr>
          <w:lang w:val="en-GB"/>
        </w:rPr>
        <w:tab/>
        <w:t>Verification of proportional sampling</w:t>
      </w:r>
    </w:p>
    <w:p w:rsidR="00002BA6" w:rsidRPr="00B04DC3" w:rsidRDefault="00002BA6" w:rsidP="00002BA6">
      <w:pPr>
        <w:pStyle w:val="para"/>
        <w:spacing w:before="120"/>
        <w:rPr>
          <w:lang w:val="en-GB"/>
        </w:rPr>
      </w:pPr>
      <w:r w:rsidRPr="00B04DC3">
        <w:rPr>
          <w:lang w:val="en-GB"/>
        </w:rPr>
        <w:tab/>
        <w:t>For any proportional batch sample, such as a bag sample or PM sample, it shall be verified that proportional sampling was maintained according to paragraphs 7.6.7. and 7.7.5.</w:t>
      </w:r>
      <w:r w:rsidR="00B90B16" w:rsidRPr="00B90B16">
        <w:rPr>
          <w:lang w:val="en-GB"/>
        </w:rPr>
        <w:t xml:space="preserve"> </w:t>
      </w:r>
      <w:r w:rsidR="00B90B16">
        <w:rPr>
          <w:lang w:val="en-GB"/>
        </w:rPr>
        <w:t>of this annex.</w:t>
      </w:r>
      <w:r w:rsidRPr="00B04DC3">
        <w:rPr>
          <w:lang w:val="en-GB"/>
        </w:rPr>
        <w:t xml:space="preserve"> Any sample that does not fulfil the requirements shall be voided.</w:t>
      </w:r>
    </w:p>
    <w:p w:rsidR="00002BA6" w:rsidRPr="00B04DC3" w:rsidRDefault="00002BA6" w:rsidP="00002BA6">
      <w:pPr>
        <w:pStyle w:val="para"/>
        <w:spacing w:before="120"/>
        <w:rPr>
          <w:lang w:val="en-GB"/>
        </w:rPr>
      </w:pPr>
      <w:r w:rsidRPr="00B04DC3">
        <w:rPr>
          <w:lang w:val="en-GB"/>
        </w:rPr>
        <w:t>7.8.3.</w:t>
      </w:r>
      <w:r w:rsidRPr="00B04DC3">
        <w:rPr>
          <w:lang w:val="en-GB"/>
        </w:rPr>
        <w:tab/>
        <w:t>PM conditioning and weighing</w:t>
      </w:r>
    </w:p>
    <w:p w:rsidR="00002BA6" w:rsidRPr="00B04DC3" w:rsidRDefault="00002BA6" w:rsidP="00002BA6">
      <w:pPr>
        <w:pStyle w:val="para"/>
        <w:spacing w:before="120"/>
        <w:rPr>
          <w:lang w:val="en-GB"/>
        </w:rPr>
      </w:pPr>
      <w:r w:rsidRPr="00B04DC3">
        <w:rPr>
          <w:lang w:val="en-GB"/>
        </w:rPr>
        <w:tab/>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according to paragraph 9.4.5.</w:t>
      </w:r>
      <w:r w:rsidR="00B90B16" w:rsidRPr="00B90B16">
        <w:rPr>
          <w:lang w:val="en-GB"/>
        </w:rPr>
        <w:t xml:space="preserve"> </w:t>
      </w:r>
      <w:r w:rsidR="00B90B16">
        <w:rPr>
          <w:lang w:val="en-GB"/>
        </w:rPr>
        <w:t>of this annex.</w:t>
      </w:r>
      <w:r w:rsidRPr="00B04DC3">
        <w:rPr>
          <w:lang w:val="en-GB"/>
        </w:rPr>
        <w:t xml:space="preserve"> The gross weight of the filter shall be recorded.</w:t>
      </w:r>
    </w:p>
    <w:p w:rsidR="00002BA6" w:rsidRPr="00B04DC3" w:rsidRDefault="00002BA6" w:rsidP="00002BA6">
      <w:pPr>
        <w:pStyle w:val="para"/>
        <w:spacing w:before="120"/>
        <w:rPr>
          <w:lang w:val="en-GB"/>
        </w:rPr>
      </w:pPr>
      <w:r w:rsidRPr="00B04DC3">
        <w:rPr>
          <w:lang w:val="en-GB"/>
        </w:rPr>
        <w:t>7.8.4.</w:t>
      </w:r>
      <w:r w:rsidRPr="00B04DC3">
        <w:rPr>
          <w:lang w:val="en-GB"/>
        </w:rPr>
        <w:tab/>
        <w:t xml:space="preserve">Drift verification </w:t>
      </w:r>
    </w:p>
    <w:p w:rsidR="00002BA6" w:rsidRPr="00B04DC3" w:rsidRDefault="00002BA6" w:rsidP="00002BA6">
      <w:pPr>
        <w:pStyle w:val="para"/>
        <w:spacing w:before="120"/>
        <w:rPr>
          <w:lang w:val="en-GB"/>
        </w:rPr>
      </w:pPr>
      <w:r w:rsidRPr="00B04DC3">
        <w:rPr>
          <w:lang w:val="en-GB"/>
        </w:rPr>
        <w:tab/>
        <w:t>As soon as practical but no later than 30 minutes after the test cycle is complete or during the soak period, the zero and span responses of the gaseous analyzer ranges used shall be determined. For the purpose of this paragraph, test cycle is defined as follows:</w:t>
      </w:r>
    </w:p>
    <w:p w:rsidR="00002BA6" w:rsidRPr="00B04DC3" w:rsidRDefault="00002BA6" w:rsidP="00002BA6">
      <w:pPr>
        <w:pStyle w:val="a"/>
        <w:rPr>
          <w:lang w:val="en-GB"/>
        </w:rPr>
      </w:pPr>
      <w:r w:rsidRPr="00B04DC3">
        <w:rPr>
          <w:lang w:val="en-GB"/>
        </w:rPr>
        <w:t>(a)</w:t>
      </w:r>
      <w:r w:rsidRPr="00B04DC3">
        <w:rPr>
          <w:lang w:val="en-GB"/>
        </w:rPr>
        <w:tab/>
        <w:t>For the WHTC: the complete sequence cold – soak – hot,</w:t>
      </w:r>
    </w:p>
    <w:p w:rsidR="00002BA6" w:rsidRPr="00B04DC3" w:rsidRDefault="00002BA6" w:rsidP="00002BA6">
      <w:pPr>
        <w:pStyle w:val="a"/>
        <w:rPr>
          <w:lang w:val="en-GB"/>
        </w:rPr>
      </w:pPr>
      <w:r w:rsidRPr="00B04DC3">
        <w:rPr>
          <w:lang w:val="en-GB"/>
        </w:rPr>
        <w:t>(b)</w:t>
      </w:r>
      <w:r w:rsidRPr="00B04DC3">
        <w:rPr>
          <w:lang w:val="en-GB"/>
        </w:rPr>
        <w:tab/>
        <w:t>For the WHTC hot start test (paragraph 6.6.): the sequence soak – hot,</w:t>
      </w:r>
    </w:p>
    <w:p w:rsidR="00002BA6" w:rsidRPr="00B04DC3" w:rsidRDefault="00002BA6" w:rsidP="00002BA6">
      <w:pPr>
        <w:pStyle w:val="a"/>
        <w:rPr>
          <w:lang w:val="en-GB"/>
        </w:rPr>
      </w:pPr>
      <w:r w:rsidRPr="00B04DC3">
        <w:rPr>
          <w:lang w:val="en-GB"/>
        </w:rPr>
        <w:t>(c)</w:t>
      </w:r>
      <w:r w:rsidRPr="00B04DC3">
        <w:rPr>
          <w:lang w:val="en-GB"/>
        </w:rPr>
        <w:tab/>
        <w:t>For the multiple regeneration WHTC hot start test (paragraph 6.6.): the total number of hot start tests,</w:t>
      </w:r>
    </w:p>
    <w:p w:rsidR="00002BA6" w:rsidRPr="00B04DC3" w:rsidRDefault="00002BA6" w:rsidP="00002BA6">
      <w:pPr>
        <w:pStyle w:val="a"/>
        <w:rPr>
          <w:lang w:val="en-GB"/>
        </w:rPr>
      </w:pPr>
      <w:r w:rsidRPr="00B04DC3">
        <w:rPr>
          <w:lang w:val="en-GB"/>
        </w:rPr>
        <w:t>(d)</w:t>
      </w:r>
      <w:r w:rsidRPr="00B04DC3">
        <w:rPr>
          <w:lang w:val="en-GB"/>
        </w:rPr>
        <w:tab/>
        <w:t>For the WHSC: the test cycle.</w:t>
      </w:r>
    </w:p>
    <w:p w:rsidR="00002BA6" w:rsidRPr="00B04DC3" w:rsidRDefault="00002BA6" w:rsidP="00002BA6">
      <w:pPr>
        <w:pStyle w:val="para"/>
        <w:spacing w:before="120"/>
        <w:ind w:firstLine="0"/>
        <w:rPr>
          <w:szCs w:val="24"/>
          <w:lang w:val="en-GB"/>
        </w:rPr>
      </w:pPr>
      <w:r w:rsidRPr="00B04DC3">
        <w:rPr>
          <w:szCs w:val="24"/>
          <w:lang w:val="en-GB"/>
        </w:rPr>
        <w:t xml:space="preserve">The following provisions </w:t>
      </w:r>
      <w:r w:rsidRPr="00B04DC3">
        <w:rPr>
          <w:lang w:val="en-GB"/>
        </w:rPr>
        <w:t>apply</w:t>
      </w:r>
      <w:r w:rsidRPr="00B04DC3">
        <w:rPr>
          <w:szCs w:val="24"/>
          <w:lang w:val="en-GB"/>
        </w:rPr>
        <w:t xml:space="preserve"> for analyzer drift:</w:t>
      </w:r>
    </w:p>
    <w:p w:rsidR="00002BA6" w:rsidRPr="00B04DC3" w:rsidRDefault="00002BA6" w:rsidP="00002BA6">
      <w:pPr>
        <w:pStyle w:val="a"/>
        <w:rPr>
          <w:szCs w:val="24"/>
          <w:lang w:val="en-GB"/>
        </w:rPr>
      </w:pPr>
      <w:r w:rsidRPr="00B04DC3">
        <w:rPr>
          <w:szCs w:val="24"/>
          <w:lang w:val="en-GB"/>
        </w:rPr>
        <w:t>(a)</w:t>
      </w:r>
      <w:r w:rsidRPr="00B04DC3">
        <w:rPr>
          <w:szCs w:val="24"/>
          <w:lang w:val="en-GB"/>
        </w:rPr>
        <w:tab/>
        <w:t>The pre-test zero and span and post-test zero and span responses may be directly inserted into equation 66 of paragraph 8.6.1. without determining the drift;</w:t>
      </w:r>
    </w:p>
    <w:p w:rsidR="00002BA6" w:rsidRPr="00B04DC3" w:rsidRDefault="00002BA6" w:rsidP="00002BA6">
      <w:pPr>
        <w:pStyle w:val="a"/>
        <w:rPr>
          <w:szCs w:val="24"/>
          <w:lang w:val="en-GB"/>
        </w:rPr>
      </w:pPr>
      <w:r w:rsidRPr="00B04DC3">
        <w:rPr>
          <w:szCs w:val="24"/>
          <w:lang w:val="en-GB"/>
        </w:rPr>
        <w:t>(b)</w:t>
      </w:r>
      <w:r w:rsidRPr="00B04DC3">
        <w:rPr>
          <w:szCs w:val="24"/>
          <w:lang w:val="en-GB"/>
        </w:rPr>
        <w:tab/>
        <w:t>If the drift between the pre-test and post-test results is less than 1 per cent of full scale, the measured concentrations may be used uncorrected or may be corrected for drift according to paragraph 8.6.1.</w:t>
      </w:r>
      <w:r w:rsidR="00B90B16" w:rsidRPr="00B90B16">
        <w:rPr>
          <w:lang w:val="en-GB"/>
        </w:rPr>
        <w:t xml:space="preserve"> </w:t>
      </w:r>
      <w:r w:rsidR="00B90B16">
        <w:rPr>
          <w:lang w:val="en-GB"/>
        </w:rPr>
        <w:t>of this annex</w:t>
      </w:r>
      <w:r w:rsidRPr="00B04DC3">
        <w:rPr>
          <w:szCs w:val="24"/>
          <w:lang w:val="en-GB"/>
        </w:rPr>
        <w:t>;</w:t>
      </w:r>
    </w:p>
    <w:p w:rsidR="00002BA6" w:rsidRPr="00B04DC3" w:rsidRDefault="00002BA6" w:rsidP="00002BA6">
      <w:pPr>
        <w:pStyle w:val="a"/>
        <w:rPr>
          <w:lang w:val="en-GB"/>
        </w:rPr>
      </w:pPr>
      <w:r w:rsidRPr="00B04DC3">
        <w:rPr>
          <w:szCs w:val="24"/>
          <w:lang w:val="en-GB"/>
        </w:rPr>
        <w:t>(c)</w:t>
      </w:r>
      <w:r w:rsidRPr="00B04DC3">
        <w:rPr>
          <w:szCs w:val="24"/>
          <w:lang w:val="en-GB"/>
        </w:rPr>
        <w:tab/>
        <w:t>If the drift difference between the pre-test and post-test results is equal to or greater than 1 per cent of full scale, the test shall be voided or the measured concentrations shall be corrected for drift according to paragraph 8.6.1.</w:t>
      </w:r>
      <w:r w:rsidR="00B90B16" w:rsidRPr="00B90B16">
        <w:rPr>
          <w:lang w:val="en-GB"/>
        </w:rPr>
        <w:t xml:space="preserve"> </w:t>
      </w:r>
      <w:r w:rsidR="00B90B16">
        <w:rPr>
          <w:lang w:val="en-GB"/>
        </w:rPr>
        <w:t>of this annex.</w:t>
      </w:r>
    </w:p>
    <w:p w:rsidR="00002BA6" w:rsidRPr="00B04DC3" w:rsidRDefault="00002BA6" w:rsidP="00002BA6">
      <w:pPr>
        <w:pStyle w:val="para"/>
        <w:spacing w:before="120"/>
        <w:rPr>
          <w:lang w:val="en-GB"/>
        </w:rPr>
      </w:pPr>
      <w:r w:rsidRPr="00B04DC3">
        <w:rPr>
          <w:lang w:val="en-GB"/>
        </w:rPr>
        <w:t>7.8.5.</w:t>
      </w:r>
      <w:r w:rsidRPr="00B04DC3">
        <w:rPr>
          <w:lang w:val="en-GB"/>
        </w:rPr>
        <w:tab/>
        <w:t>Analysis of gaseous bag sampling</w:t>
      </w:r>
    </w:p>
    <w:p w:rsidR="00002BA6" w:rsidRPr="00B04DC3" w:rsidRDefault="00002BA6" w:rsidP="00002BA6">
      <w:pPr>
        <w:pStyle w:val="para"/>
        <w:spacing w:before="120"/>
        <w:rPr>
          <w:lang w:val="en-GB"/>
        </w:rPr>
      </w:pPr>
      <w:r w:rsidRPr="00B04DC3">
        <w:rPr>
          <w:lang w:val="en-GB"/>
        </w:rPr>
        <w:tab/>
        <w:t>As soon as practical, the following shall be performed:</w:t>
      </w:r>
    </w:p>
    <w:p w:rsidR="00002BA6" w:rsidRPr="00B04DC3" w:rsidRDefault="00002BA6" w:rsidP="00002BA6">
      <w:pPr>
        <w:pStyle w:val="a"/>
        <w:rPr>
          <w:lang w:val="en-GB"/>
        </w:rPr>
      </w:pPr>
      <w:r w:rsidRPr="00B04DC3">
        <w:rPr>
          <w:lang w:val="en-GB"/>
        </w:rPr>
        <w:t>(a)</w:t>
      </w:r>
      <w:r w:rsidRPr="00B04DC3">
        <w:rPr>
          <w:lang w:val="en-GB"/>
        </w:rPr>
        <w:tab/>
      </w:r>
      <w:r w:rsidRPr="00B04DC3">
        <w:rPr>
          <w:szCs w:val="24"/>
          <w:lang w:val="en-GB"/>
        </w:rPr>
        <w:t>Gaseous</w:t>
      </w:r>
      <w:r w:rsidRPr="00B04DC3">
        <w:rPr>
          <w:lang w:val="en-GB"/>
        </w:rPr>
        <w:t xml:space="preserve"> bag samples shall be analyzed no later than 30 minutes after the hot start test is complete or during the soak period for the cold start test;</w:t>
      </w:r>
    </w:p>
    <w:p w:rsidR="00002BA6" w:rsidRPr="00B04DC3" w:rsidRDefault="00002BA6" w:rsidP="00002BA6">
      <w:pPr>
        <w:pStyle w:val="a"/>
        <w:rPr>
          <w:lang w:val="en-GB"/>
        </w:rPr>
      </w:pPr>
      <w:r w:rsidRPr="00B04DC3">
        <w:rPr>
          <w:lang w:val="en-GB"/>
        </w:rPr>
        <w:t>(b)</w:t>
      </w:r>
      <w:r w:rsidRPr="00B04DC3">
        <w:rPr>
          <w:lang w:val="en-GB"/>
        </w:rPr>
        <w:tab/>
        <w:t>Background samples shall be analyzed no later than 60 minutes after the hot start test is complete.</w:t>
      </w:r>
    </w:p>
    <w:p w:rsidR="00002BA6" w:rsidRPr="00B04DC3" w:rsidRDefault="00002BA6" w:rsidP="00002BA6">
      <w:pPr>
        <w:pStyle w:val="para"/>
        <w:spacing w:before="120"/>
        <w:rPr>
          <w:lang w:val="en-GB"/>
        </w:rPr>
      </w:pPr>
      <w:r w:rsidRPr="00B04DC3">
        <w:rPr>
          <w:lang w:val="en-GB"/>
        </w:rPr>
        <w:t>7.8.6.</w:t>
      </w:r>
      <w:r w:rsidRPr="00B04DC3">
        <w:rPr>
          <w:lang w:val="en-GB"/>
        </w:rPr>
        <w:tab/>
        <w:t>Validation of cycle work</w:t>
      </w:r>
    </w:p>
    <w:p w:rsidR="00002BA6" w:rsidRPr="00B04DC3" w:rsidRDefault="00002BA6" w:rsidP="00002BA6">
      <w:pPr>
        <w:pStyle w:val="para"/>
        <w:spacing w:before="120"/>
        <w:rPr>
          <w:lang w:val="en-GB"/>
        </w:rPr>
      </w:pPr>
      <w:r w:rsidRPr="00B04DC3">
        <w:rPr>
          <w:lang w:val="en-GB"/>
        </w:rPr>
        <w:tab/>
        <w:t>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 work W</w:t>
      </w:r>
      <w:r w:rsidRPr="00B04DC3">
        <w:rPr>
          <w:vertAlign w:val="subscript"/>
          <w:lang w:val="en-GB"/>
        </w:rPr>
        <w:t>act</w:t>
      </w:r>
      <w:r w:rsidRPr="00B04DC3">
        <w:rPr>
          <w:lang w:val="en-GB"/>
        </w:rPr>
        <w:t xml:space="preserve"> (kWh). If auxiliaries/equipment are not fitted in accordance with paragraph 6.3.1.</w:t>
      </w:r>
      <w:r w:rsidR="00B90B16" w:rsidRPr="00B90B16">
        <w:rPr>
          <w:lang w:val="en-GB"/>
        </w:rPr>
        <w:t xml:space="preserve"> </w:t>
      </w:r>
      <w:r w:rsidR="00B90B16">
        <w:rPr>
          <w:lang w:val="en-GB"/>
        </w:rPr>
        <w:t>of this annex</w:t>
      </w:r>
      <w:r w:rsidRPr="00B04DC3">
        <w:rPr>
          <w:lang w:val="en-GB"/>
        </w:rPr>
        <w:t>, the instantaneous power values shall be corrected using equation (4) in paragraph 6.3.5.</w:t>
      </w:r>
      <w:r w:rsidR="00B90B16" w:rsidRPr="00B90B16">
        <w:rPr>
          <w:lang w:val="en-GB"/>
        </w:rPr>
        <w:t xml:space="preserve"> </w:t>
      </w:r>
      <w:r w:rsidR="00B90B16">
        <w:rPr>
          <w:lang w:val="en-GB"/>
        </w:rPr>
        <w:t>of this annex.</w:t>
      </w:r>
    </w:p>
    <w:p w:rsidR="00002BA6" w:rsidRPr="00B04DC3" w:rsidRDefault="00002BA6" w:rsidP="00002BA6">
      <w:pPr>
        <w:pStyle w:val="para"/>
        <w:spacing w:before="120"/>
        <w:rPr>
          <w:lang w:val="en-GB"/>
        </w:rPr>
      </w:pPr>
      <w:r w:rsidRPr="00B04DC3">
        <w:rPr>
          <w:lang w:val="en-GB"/>
        </w:rPr>
        <w:tab/>
        <w:t>The same methodology as described in paragraph 7.4.8.</w:t>
      </w:r>
      <w:r w:rsidR="00B90B16" w:rsidRPr="00B90B16">
        <w:rPr>
          <w:lang w:val="en-GB"/>
        </w:rPr>
        <w:t xml:space="preserve"> </w:t>
      </w:r>
      <w:r w:rsidR="00B90B16">
        <w:rPr>
          <w:lang w:val="en-GB"/>
        </w:rPr>
        <w:t>of this annex</w:t>
      </w:r>
      <w:r w:rsidRPr="00B04DC3">
        <w:rPr>
          <w:lang w:val="en-GB"/>
        </w:rPr>
        <w:t xml:space="preserve"> shall be used for integrating actual engine power.</w:t>
      </w:r>
    </w:p>
    <w:p w:rsidR="00002BA6" w:rsidRPr="00B04DC3" w:rsidRDefault="00002BA6" w:rsidP="00002BA6">
      <w:pPr>
        <w:pStyle w:val="para"/>
        <w:spacing w:before="120"/>
        <w:rPr>
          <w:lang w:val="en-GB"/>
        </w:rPr>
      </w:pPr>
      <w:r w:rsidRPr="00B04DC3">
        <w:rPr>
          <w:lang w:val="en-GB"/>
        </w:rPr>
        <w:tab/>
        <w:t>The actual cycle work W</w:t>
      </w:r>
      <w:r w:rsidRPr="00B04DC3">
        <w:rPr>
          <w:vertAlign w:val="subscript"/>
          <w:lang w:val="en-GB"/>
        </w:rPr>
        <w:t>act</w:t>
      </w:r>
      <w:r w:rsidRPr="00B04DC3">
        <w:rPr>
          <w:lang w:val="en-GB"/>
        </w:rPr>
        <w:t xml:space="preserve"> is used for comparison to the reference cycle work W</w:t>
      </w:r>
      <w:r w:rsidRPr="00B04DC3">
        <w:rPr>
          <w:vertAlign w:val="subscript"/>
          <w:lang w:val="en-GB"/>
        </w:rPr>
        <w:t>ref</w:t>
      </w:r>
      <w:r w:rsidRPr="00B04DC3">
        <w:rPr>
          <w:lang w:val="en-GB"/>
        </w:rPr>
        <w:t xml:space="preserve"> and for calculating the brake specific emissions (see paragraph 8.6.3.</w:t>
      </w:r>
      <w:r w:rsidR="00B90B16" w:rsidRPr="00B90B16">
        <w:rPr>
          <w:lang w:val="en-GB"/>
        </w:rPr>
        <w:t xml:space="preserve"> </w:t>
      </w:r>
      <w:r w:rsidR="00B90B16">
        <w:rPr>
          <w:lang w:val="en-GB"/>
        </w:rPr>
        <w:t>of this annex</w:t>
      </w:r>
      <w:r w:rsidRPr="00B04DC3">
        <w:rPr>
          <w:lang w:val="en-GB"/>
        </w:rPr>
        <w:t>).</w:t>
      </w:r>
    </w:p>
    <w:p w:rsidR="00002BA6" w:rsidRPr="00B04DC3" w:rsidRDefault="00002BA6" w:rsidP="00002BA6">
      <w:pPr>
        <w:pStyle w:val="para"/>
        <w:spacing w:before="120"/>
        <w:rPr>
          <w:lang w:val="en-GB"/>
        </w:rPr>
      </w:pPr>
      <w:r w:rsidRPr="00B04DC3">
        <w:rPr>
          <w:lang w:val="en-GB"/>
        </w:rPr>
        <w:tab/>
        <w:t>W</w:t>
      </w:r>
      <w:r w:rsidRPr="00B04DC3">
        <w:rPr>
          <w:vertAlign w:val="subscript"/>
          <w:lang w:val="en-GB"/>
        </w:rPr>
        <w:t xml:space="preserve">act </w:t>
      </w:r>
      <w:r w:rsidRPr="00B04DC3">
        <w:rPr>
          <w:lang w:val="en-GB"/>
        </w:rPr>
        <w:t>shall be between 85 per cent and 105 per cent of W</w:t>
      </w:r>
      <w:r w:rsidRPr="00B04DC3">
        <w:rPr>
          <w:vertAlign w:val="subscript"/>
          <w:lang w:val="en-GB"/>
        </w:rPr>
        <w:t>ref</w:t>
      </w:r>
      <w:r w:rsidRPr="00B04DC3">
        <w:rPr>
          <w:lang w:val="en-GB"/>
        </w:rPr>
        <w:t>.</w:t>
      </w:r>
    </w:p>
    <w:p w:rsidR="00002BA6" w:rsidRPr="00B04DC3" w:rsidRDefault="00002BA6" w:rsidP="00002BA6">
      <w:pPr>
        <w:pStyle w:val="para"/>
        <w:spacing w:before="120"/>
        <w:rPr>
          <w:szCs w:val="24"/>
          <w:lang w:val="en-GB"/>
        </w:rPr>
      </w:pPr>
      <w:r w:rsidRPr="00B04DC3">
        <w:rPr>
          <w:szCs w:val="24"/>
          <w:lang w:val="en-GB"/>
        </w:rPr>
        <w:t>7.8.7.</w:t>
      </w:r>
      <w:r w:rsidRPr="00B04DC3">
        <w:rPr>
          <w:szCs w:val="24"/>
          <w:lang w:val="en-GB"/>
        </w:rPr>
        <w:tab/>
        <w:t xml:space="preserve">Validation statistics </w:t>
      </w:r>
      <w:r w:rsidRPr="00B04DC3">
        <w:rPr>
          <w:lang w:val="en-GB"/>
        </w:rPr>
        <w:t>of</w:t>
      </w:r>
      <w:r w:rsidRPr="00B04DC3">
        <w:rPr>
          <w:szCs w:val="24"/>
          <w:lang w:val="en-GB"/>
        </w:rPr>
        <w:t xml:space="preserve"> the test cycle</w:t>
      </w:r>
    </w:p>
    <w:p w:rsidR="00002BA6" w:rsidRPr="00B04DC3" w:rsidRDefault="00002BA6" w:rsidP="00002BA6">
      <w:pPr>
        <w:pStyle w:val="para"/>
        <w:spacing w:before="120"/>
        <w:ind w:firstLine="0"/>
        <w:rPr>
          <w:szCs w:val="24"/>
          <w:lang w:val="en-GB"/>
        </w:rPr>
      </w:pPr>
      <w:r w:rsidRPr="00B04DC3">
        <w:rPr>
          <w:szCs w:val="24"/>
          <w:lang w:val="en-GB"/>
        </w:rPr>
        <w:t xml:space="preserve">Linear regressions of </w:t>
      </w:r>
      <w:r w:rsidRPr="00B04DC3">
        <w:rPr>
          <w:lang w:val="en-GB"/>
        </w:rPr>
        <w:t>the</w:t>
      </w:r>
      <w:r w:rsidRPr="00B04DC3">
        <w:rPr>
          <w:szCs w:val="24"/>
          <w:lang w:val="en-GB"/>
        </w:rPr>
        <w:t xml:space="preserve"> actual values (n</w:t>
      </w:r>
      <w:r w:rsidRPr="00B04DC3">
        <w:rPr>
          <w:szCs w:val="24"/>
          <w:vertAlign w:val="subscript"/>
          <w:lang w:val="en-GB"/>
        </w:rPr>
        <w:t>act</w:t>
      </w:r>
      <w:r w:rsidRPr="00B04DC3">
        <w:rPr>
          <w:szCs w:val="24"/>
          <w:lang w:val="en-GB"/>
        </w:rPr>
        <w:t>, M</w:t>
      </w:r>
      <w:r w:rsidRPr="00B04DC3">
        <w:rPr>
          <w:szCs w:val="24"/>
          <w:vertAlign w:val="subscript"/>
          <w:lang w:val="en-GB"/>
        </w:rPr>
        <w:t>act</w:t>
      </w:r>
      <w:r w:rsidRPr="00B04DC3">
        <w:rPr>
          <w:szCs w:val="24"/>
          <w:lang w:val="en-GB"/>
        </w:rPr>
        <w:t>, P</w:t>
      </w:r>
      <w:r w:rsidRPr="00B04DC3">
        <w:rPr>
          <w:szCs w:val="24"/>
          <w:vertAlign w:val="subscript"/>
          <w:lang w:val="en-GB"/>
        </w:rPr>
        <w:t>act</w:t>
      </w:r>
      <w:r w:rsidRPr="00B04DC3">
        <w:rPr>
          <w:szCs w:val="24"/>
          <w:lang w:val="en-GB"/>
        </w:rPr>
        <w:t>) on the reference values (n</w:t>
      </w:r>
      <w:r w:rsidRPr="00B04DC3">
        <w:rPr>
          <w:szCs w:val="24"/>
          <w:vertAlign w:val="subscript"/>
          <w:lang w:val="en-GB"/>
        </w:rPr>
        <w:t>ref</w:t>
      </w:r>
      <w:r w:rsidRPr="00B04DC3">
        <w:rPr>
          <w:szCs w:val="24"/>
          <w:lang w:val="en-GB"/>
        </w:rPr>
        <w:t>, M</w:t>
      </w:r>
      <w:r w:rsidRPr="00B04DC3">
        <w:rPr>
          <w:szCs w:val="24"/>
          <w:vertAlign w:val="subscript"/>
          <w:lang w:val="en-GB"/>
        </w:rPr>
        <w:t>ref</w:t>
      </w:r>
      <w:r w:rsidRPr="00B04DC3">
        <w:rPr>
          <w:szCs w:val="24"/>
          <w:lang w:val="en-GB"/>
        </w:rPr>
        <w:t>, P</w:t>
      </w:r>
      <w:r w:rsidRPr="00B04DC3">
        <w:rPr>
          <w:szCs w:val="24"/>
          <w:vertAlign w:val="subscript"/>
          <w:lang w:val="en-GB"/>
        </w:rPr>
        <w:t>ref</w:t>
      </w:r>
      <w:r w:rsidRPr="00B04DC3">
        <w:rPr>
          <w:szCs w:val="24"/>
          <w:lang w:val="en-GB"/>
        </w:rPr>
        <w:t>) shall be performed for both the WHTC and the WHSC.</w:t>
      </w:r>
    </w:p>
    <w:p w:rsidR="00002BA6" w:rsidRPr="00B04DC3" w:rsidRDefault="00002BA6" w:rsidP="00002BA6">
      <w:pPr>
        <w:pStyle w:val="para"/>
        <w:spacing w:before="120"/>
        <w:ind w:firstLine="0"/>
        <w:rPr>
          <w:szCs w:val="24"/>
          <w:lang w:val="en-GB"/>
        </w:rPr>
      </w:pPr>
      <w:r w:rsidRPr="00B04DC3">
        <w:rPr>
          <w:szCs w:val="24"/>
          <w:lang w:val="en-GB"/>
        </w:rPr>
        <w:t xml:space="preserve">To minimize the </w:t>
      </w:r>
      <w:r w:rsidRPr="00B04DC3">
        <w:rPr>
          <w:lang w:val="en-GB"/>
        </w:rPr>
        <w:t>biasing</w:t>
      </w:r>
      <w:r w:rsidRPr="00B04DC3">
        <w:rPr>
          <w:szCs w:val="24"/>
          <w:lang w:val="en-GB"/>
        </w:rPr>
        <w:t xml:space="preserve">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by the same amount in the same direction.</w:t>
      </w:r>
    </w:p>
    <w:p w:rsidR="00002BA6" w:rsidRPr="00B04DC3" w:rsidRDefault="00002BA6" w:rsidP="00002BA6">
      <w:pPr>
        <w:pStyle w:val="para"/>
        <w:spacing w:before="120"/>
        <w:ind w:firstLine="0"/>
        <w:rPr>
          <w:szCs w:val="24"/>
          <w:lang w:val="en-GB"/>
        </w:rPr>
      </w:pPr>
      <w:r w:rsidRPr="00B04DC3">
        <w:rPr>
          <w:szCs w:val="24"/>
          <w:lang w:val="en-GB"/>
        </w:rPr>
        <w:t xml:space="preserve">The method of </w:t>
      </w:r>
      <w:r w:rsidRPr="00B04DC3">
        <w:rPr>
          <w:lang w:val="en-GB"/>
        </w:rPr>
        <w:t>least</w:t>
      </w:r>
      <w:r w:rsidRPr="00B04DC3">
        <w:rPr>
          <w:szCs w:val="24"/>
          <w:lang w:val="en-GB"/>
        </w:rPr>
        <w:t xml:space="preserve"> squares shall be used, with the best-fit equation having the form:</w:t>
      </w:r>
    </w:p>
    <w:p w:rsidR="00002BA6" w:rsidRPr="00B04DC3" w:rsidRDefault="00002BA6" w:rsidP="00002BA6">
      <w:pPr>
        <w:pStyle w:val="para"/>
        <w:spacing w:before="120"/>
        <w:ind w:firstLine="0"/>
        <w:rPr>
          <w:szCs w:val="24"/>
          <w:lang w:val="en-GB"/>
        </w:rPr>
      </w:pPr>
      <w:r w:rsidRPr="00B04DC3">
        <w:rPr>
          <w:szCs w:val="24"/>
          <w:lang w:val="en-GB"/>
        </w:rPr>
        <w:t>y  =  a</w:t>
      </w:r>
      <w:r w:rsidRPr="00B04DC3">
        <w:rPr>
          <w:szCs w:val="24"/>
          <w:vertAlign w:val="subscript"/>
          <w:lang w:val="en-GB"/>
        </w:rPr>
        <w:t>1</w:t>
      </w:r>
      <w:r w:rsidRPr="00B04DC3">
        <w:rPr>
          <w:szCs w:val="24"/>
          <w:lang w:val="en-GB"/>
        </w:rPr>
        <w:t>x + a</w:t>
      </w:r>
      <w:r w:rsidRPr="00B04DC3">
        <w:rPr>
          <w:szCs w:val="24"/>
          <w:vertAlign w:val="subscript"/>
          <w:lang w:val="en-GB"/>
        </w:rPr>
        <w:t>0</w:t>
      </w:r>
      <w:r w:rsidRPr="00B04DC3">
        <w:rPr>
          <w:szCs w:val="24"/>
          <w:lang w:val="en-GB"/>
        </w:rPr>
        <w:tab/>
      </w:r>
      <w:r w:rsidRPr="00B04DC3">
        <w:rPr>
          <w:szCs w:val="24"/>
          <w:lang w:val="en-GB"/>
        </w:rPr>
        <w:tab/>
      </w:r>
      <w:r w:rsidRPr="00B04DC3">
        <w:rPr>
          <w:szCs w:val="24"/>
          <w:lang w:val="en-GB"/>
        </w:rPr>
        <w:tab/>
      </w:r>
      <w:r w:rsidRPr="00B04DC3">
        <w:rPr>
          <w:szCs w:val="24"/>
          <w:lang w:val="en-GB"/>
        </w:rPr>
        <w:tab/>
      </w:r>
      <w:r w:rsidRPr="00B04DC3">
        <w:rPr>
          <w:szCs w:val="24"/>
          <w:lang w:val="en-GB"/>
        </w:rPr>
        <w:tab/>
      </w:r>
      <w:r w:rsidRPr="00B04DC3">
        <w:rPr>
          <w:szCs w:val="24"/>
          <w:lang w:val="en-GB"/>
        </w:rPr>
        <w:tab/>
      </w:r>
      <w:r w:rsidRPr="00B04DC3">
        <w:rPr>
          <w:szCs w:val="24"/>
          <w:lang w:val="en-GB"/>
        </w:rPr>
        <w:tab/>
      </w:r>
      <w:r w:rsidRPr="00B04DC3">
        <w:rPr>
          <w:szCs w:val="24"/>
          <w:lang w:val="en-GB"/>
        </w:rPr>
        <w:tab/>
      </w:r>
      <w:r w:rsidRPr="00B04DC3">
        <w:rPr>
          <w:szCs w:val="24"/>
          <w:lang w:val="en-GB"/>
        </w:rPr>
        <w:tab/>
        <w:t xml:space="preserve">    (11)</w:t>
      </w:r>
    </w:p>
    <w:p w:rsidR="00002BA6" w:rsidRPr="00B04DC3" w:rsidRDefault="00D06B9E" w:rsidP="00002BA6">
      <w:pPr>
        <w:pStyle w:val="para"/>
        <w:spacing w:before="120"/>
        <w:ind w:firstLine="0"/>
        <w:rPr>
          <w:szCs w:val="24"/>
          <w:lang w:val="en-GB"/>
        </w:rPr>
      </w:pPr>
      <w:r w:rsidRPr="00B04DC3">
        <w:rPr>
          <w:szCs w:val="24"/>
          <w:lang w:val="en-GB"/>
        </w:rPr>
        <w:t>Where</w:t>
      </w:r>
      <w:r w:rsidR="00002BA6" w:rsidRPr="00B04DC3">
        <w:rPr>
          <w:szCs w:val="24"/>
          <w:lang w:val="en-GB"/>
        </w:rPr>
        <w:t>:</w:t>
      </w:r>
    </w:p>
    <w:p w:rsidR="00002BA6" w:rsidRPr="00B04DC3" w:rsidRDefault="00002BA6" w:rsidP="00002BA6">
      <w:pPr>
        <w:pStyle w:val="a"/>
        <w:rPr>
          <w:lang w:val="en-GB"/>
        </w:rPr>
      </w:pPr>
      <w:r w:rsidRPr="00B04DC3">
        <w:rPr>
          <w:lang w:val="en-GB"/>
        </w:rPr>
        <w:t xml:space="preserve">y </w:t>
      </w:r>
      <w:r w:rsidRPr="00B04DC3">
        <w:rPr>
          <w:lang w:val="en-GB"/>
        </w:rPr>
        <w:tab/>
      </w:r>
      <w:r w:rsidRPr="00B04DC3">
        <w:rPr>
          <w:lang w:val="en-GB"/>
        </w:rPr>
        <w:tab/>
        <w:t>is the actual value of speed (min</w:t>
      </w:r>
      <w:r w:rsidRPr="00B04DC3">
        <w:rPr>
          <w:vertAlign w:val="superscript"/>
          <w:lang w:val="en-GB"/>
        </w:rPr>
        <w:t>-1</w:t>
      </w:r>
      <w:r w:rsidRPr="00B04DC3">
        <w:rPr>
          <w:lang w:val="en-GB"/>
        </w:rPr>
        <w:t>), torque (Nm), or power (kW)</w:t>
      </w:r>
    </w:p>
    <w:p w:rsidR="00002BA6" w:rsidRPr="00B04DC3" w:rsidRDefault="00002BA6" w:rsidP="00002BA6">
      <w:pPr>
        <w:pStyle w:val="a"/>
        <w:rPr>
          <w:lang w:val="en-GB"/>
        </w:rPr>
      </w:pPr>
      <w:r w:rsidRPr="00B04DC3">
        <w:rPr>
          <w:lang w:val="en-GB"/>
        </w:rPr>
        <w:t>a</w:t>
      </w:r>
      <w:r w:rsidRPr="00B04DC3">
        <w:rPr>
          <w:vertAlign w:val="subscript"/>
          <w:lang w:val="en-GB"/>
        </w:rPr>
        <w:t>1</w:t>
      </w:r>
      <w:r w:rsidRPr="00B04DC3">
        <w:rPr>
          <w:lang w:val="en-GB"/>
        </w:rPr>
        <w:tab/>
      </w:r>
      <w:r w:rsidRPr="00B04DC3">
        <w:rPr>
          <w:lang w:val="en-GB"/>
        </w:rPr>
        <w:tab/>
        <w:t>is the slope of the regression line</w:t>
      </w:r>
    </w:p>
    <w:p w:rsidR="00002BA6" w:rsidRPr="00B04DC3" w:rsidRDefault="00002BA6" w:rsidP="00002BA6">
      <w:pPr>
        <w:pStyle w:val="a"/>
        <w:rPr>
          <w:lang w:val="en-GB"/>
        </w:rPr>
      </w:pPr>
      <w:r w:rsidRPr="00B04DC3">
        <w:rPr>
          <w:lang w:val="en-GB"/>
        </w:rPr>
        <w:t>x</w:t>
      </w:r>
      <w:r w:rsidRPr="00B04DC3">
        <w:rPr>
          <w:lang w:val="en-GB"/>
        </w:rPr>
        <w:tab/>
      </w:r>
      <w:r w:rsidRPr="00B04DC3">
        <w:rPr>
          <w:lang w:val="en-GB"/>
        </w:rPr>
        <w:tab/>
        <w:t>is the reference value of speed (min</w:t>
      </w:r>
      <w:r w:rsidRPr="00B04DC3">
        <w:rPr>
          <w:vertAlign w:val="superscript"/>
          <w:lang w:val="en-GB"/>
        </w:rPr>
        <w:t>-1</w:t>
      </w:r>
      <w:r w:rsidRPr="00B04DC3">
        <w:rPr>
          <w:lang w:val="en-GB"/>
        </w:rPr>
        <w:t>), torque (Nm), or power (kW)</w:t>
      </w:r>
    </w:p>
    <w:p w:rsidR="00002BA6" w:rsidRPr="00B04DC3" w:rsidRDefault="00002BA6" w:rsidP="00002BA6">
      <w:pPr>
        <w:pStyle w:val="a"/>
        <w:rPr>
          <w:lang w:val="en-GB"/>
        </w:rPr>
      </w:pPr>
      <w:r w:rsidRPr="00B04DC3">
        <w:rPr>
          <w:lang w:val="en-GB"/>
        </w:rPr>
        <w:t>a</w:t>
      </w:r>
      <w:r w:rsidRPr="00B04DC3">
        <w:rPr>
          <w:vertAlign w:val="subscript"/>
          <w:lang w:val="en-GB"/>
        </w:rPr>
        <w:t>0</w:t>
      </w:r>
      <w:r w:rsidRPr="00B04DC3">
        <w:rPr>
          <w:lang w:val="en-GB"/>
        </w:rPr>
        <w:tab/>
      </w:r>
      <w:r w:rsidRPr="00B04DC3">
        <w:rPr>
          <w:lang w:val="en-GB"/>
        </w:rPr>
        <w:tab/>
        <w:t>is the y intercept of the regression line</w:t>
      </w:r>
    </w:p>
    <w:p w:rsidR="00002BA6" w:rsidRPr="00B04DC3" w:rsidRDefault="00002BA6" w:rsidP="00002BA6">
      <w:pPr>
        <w:pStyle w:val="para"/>
        <w:spacing w:before="120"/>
        <w:rPr>
          <w:lang w:val="en-GB"/>
        </w:rPr>
      </w:pPr>
      <w:r w:rsidRPr="00B04DC3">
        <w:rPr>
          <w:lang w:val="en-GB"/>
        </w:rPr>
        <w:tab/>
        <w:t xml:space="preserve">The </w:t>
      </w:r>
      <w:r w:rsidR="00664E7D">
        <w:rPr>
          <w:lang w:val="en-GB"/>
        </w:rPr>
        <w:t>S</w:t>
      </w:r>
      <w:r w:rsidR="00664E7D" w:rsidRPr="00B04DC3">
        <w:rPr>
          <w:lang w:val="en-GB"/>
        </w:rPr>
        <w:t xml:space="preserve">tandard </w:t>
      </w:r>
      <w:r w:rsidR="00664E7D">
        <w:rPr>
          <w:lang w:val="en-GB"/>
        </w:rPr>
        <w:t>E</w:t>
      </w:r>
      <w:r w:rsidR="00664E7D" w:rsidRPr="00B04DC3">
        <w:rPr>
          <w:lang w:val="en-GB"/>
        </w:rPr>
        <w:t xml:space="preserve">rror </w:t>
      </w:r>
      <w:r w:rsidRPr="00B04DC3">
        <w:rPr>
          <w:lang w:val="en-GB"/>
        </w:rPr>
        <w:t xml:space="preserve">of </w:t>
      </w:r>
      <w:r w:rsidR="00664E7D">
        <w:rPr>
          <w:lang w:val="en-GB"/>
        </w:rPr>
        <w:t>E</w:t>
      </w:r>
      <w:r w:rsidR="00664E7D" w:rsidRPr="00B04DC3">
        <w:rPr>
          <w:lang w:val="en-GB"/>
        </w:rPr>
        <w:t xml:space="preserve">stimate </w:t>
      </w:r>
      <w:r w:rsidRPr="00B04DC3">
        <w:rPr>
          <w:lang w:val="en-GB"/>
        </w:rPr>
        <w:t>(SEE) of y on x and the coefficient of determination (r²) shall be calculated for each regression line.</w:t>
      </w:r>
    </w:p>
    <w:p w:rsidR="00002BA6" w:rsidRPr="003B133B" w:rsidRDefault="00002BA6" w:rsidP="00002BA6">
      <w:pPr>
        <w:pStyle w:val="para"/>
        <w:spacing w:before="120"/>
        <w:rPr>
          <w:spacing w:val="-2"/>
          <w:lang w:val="en-GB"/>
        </w:rPr>
      </w:pPr>
      <w:r w:rsidRPr="003B133B">
        <w:rPr>
          <w:spacing w:val="-2"/>
          <w:lang w:val="en-GB"/>
        </w:rPr>
        <w:tab/>
        <w:t>It is recommended that this analysis be performed at 1 Hz. For a test to be considered valid, the criteria of Table 2 (WHTC) or Table 3 (WHSC) shall be met.</w:t>
      </w:r>
    </w:p>
    <w:p w:rsidR="00002BA6" w:rsidRPr="00B04DC3" w:rsidRDefault="00002BA6" w:rsidP="00002BA6">
      <w:pPr>
        <w:pStyle w:val="Heading1"/>
      </w:pPr>
      <w:bookmarkStart w:id="510" w:name="_Toc399940005"/>
      <w:bookmarkStart w:id="511" w:name="_Toc423599591"/>
      <w:bookmarkStart w:id="512" w:name="_Toc423610999"/>
      <w:r w:rsidRPr="00B04DC3">
        <w:t>Table 2</w:t>
      </w:r>
      <w:bookmarkEnd w:id="510"/>
      <w:bookmarkEnd w:id="511"/>
      <w:bookmarkEnd w:id="512"/>
    </w:p>
    <w:p w:rsidR="00002BA6" w:rsidRPr="00B04DC3" w:rsidRDefault="00002BA6" w:rsidP="00002BA6">
      <w:pPr>
        <w:pStyle w:val="Heading1"/>
        <w:rPr>
          <w:b/>
        </w:rPr>
      </w:pPr>
      <w:bookmarkStart w:id="513" w:name="_Toc399940006"/>
      <w:bookmarkStart w:id="514" w:name="_Toc423599592"/>
      <w:bookmarkStart w:id="515" w:name="_Toc423611000"/>
      <w:r w:rsidRPr="00B04DC3">
        <w:rPr>
          <w:b/>
        </w:rPr>
        <w:t>Regression line tolerances for the WHTC</w:t>
      </w:r>
      <w:bookmarkEnd w:id="513"/>
      <w:bookmarkEnd w:id="514"/>
      <w:bookmarkEnd w:id="515"/>
    </w:p>
    <w:tbl>
      <w:tblPr>
        <w:tblW w:w="8505" w:type="dxa"/>
        <w:tblInd w:w="1204" w:type="dxa"/>
        <w:tblLayout w:type="fixed"/>
        <w:tblCellMar>
          <w:left w:w="70" w:type="dxa"/>
          <w:right w:w="70" w:type="dxa"/>
        </w:tblCellMar>
        <w:tblLook w:val="0000" w:firstRow="0" w:lastRow="0" w:firstColumn="0" w:lastColumn="0" w:noHBand="0" w:noVBand="0"/>
      </w:tblPr>
      <w:tblGrid>
        <w:gridCol w:w="2126"/>
        <w:gridCol w:w="2127"/>
        <w:gridCol w:w="2126"/>
        <w:gridCol w:w="2126"/>
      </w:tblGrid>
      <w:tr w:rsidR="00002BA6" w:rsidRPr="00B04DC3" w:rsidTr="003B133B">
        <w:trPr>
          <w:cantSplit/>
        </w:trPr>
        <w:tc>
          <w:tcPr>
            <w:tcW w:w="2126" w:type="dxa"/>
            <w:tcBorders>
              <w:top w:val="single" w:sz="4" w:space="0" w:color="auto"/>
              <w:left w:val="single" w:sz="4" w:space="0" w:color="auto"/>
              <w:bottom w:val="single" w:sz="6" w:space="0" w:color="auto"/>
              <w:right w:val="single" w:sz="6" w:space="0" w:color="auto"/>
            </w:tcBorders>
          </w:tcPr>
          <w:p w:rsidR="00002BA6" w:rsidRPr="00B04DC3" w:rsidRDefault="00002BA6" w:rsidP="00002BA6">
            <w:pPr>
              <w:keepNext/>
              <w:keepLines/>
              <w:spacing w:before="60" w:after="60"/>
              <w:jc w:val="center"/>
              <w:rPr>
                <w:i/>
                <w:sz w:val="16"/>
                <w:szCs w:val="16"/>
              </w:rPr>
            </w:pPr>
            <w:bookmarkStart w:id="516" w:name="_Toc392665845"/>
          </w:p>
        </w:tc>
        <w:tc>
          <w:tcPr>
            <w:tcW w:w="2127" w:type="dxa"/>
            <w:tcBorders>
              <w:top w:val="single" w:sz="4" w:space="0" w:color="auto"/>
              <w:left w:val="single" w:sz="6" w:space="0" w:color="auto"/>
              <w:bottom w:val="single" w:sz="6" w:space="0" w:color="auto"/>
              <w:right w:val="single" w:sz="6" w:space="0" w:color="auto"/>
            </w:tcBorders>
          </w:tcPr>
          <w:p w:rsidR="00002BA6" w:rsidRPr="00B04DC3" w:rsidRDefault="00002BA6" w:rsidP="00002BA6">
            <w:pPr>
              <w:keepNext/>
              <w:keepLines/>
              <w:spacing w:before="60" w:after="60"/>
              <w:jc w:val="center"/>
              <w:rPr>
                <w:i/>
                <w:sz w:val="16"/>
                <w:szCs w:val="16"/>
              </w:rPr>
            </w:pPr>
            <w:r w:rsidRPr="00B04DC3">
              <w:rPr>
                <w:i/>
                <w:sz w:val="16"/>
                <w:szCs w:val="16"/>
              </w:rPr>
              <w:t>Speed</w:t>
            </w:r>
          </w:p>
        </w:tc>
        <w:tc>
          <w:tcPr>
            <w:tcW w:w="2126" w:type="dxa"/>
            <w:tcBorders>
              <w:top w:val="single" w:sz="4" w:space="0" w:color="auto"/>
              <w:left w:val="single" w:sz="6" w:space="0" w:color="auto"/>
              <w:bottom w:val="single" w:sz="6" w:space="0" w:color="auto"/>
              <w:right w:val="single" w:sz="6" w:space="0" w:color="auto"/>
            </w:tcBorders>
          </w:tcPr>
          <w:p w:rsidR="00002BA6" w:rsidRPr="00B04DC3" w:rsidRDefault="00002BA6" w:rsidP="00002BA6">
            <w:pPr>
              <w:keepNext/>
              <w:keepLines/>
              <w:spacing w:before="60" w:after="60"/>
              <w:jc w:val="center"/>
              <w:rPr>
                <w:i/>
                <w:sz w:val="16"/>
                <w:szCs w:val="16"/>
              </w:rPr>
            </w:pPr>
            <w:r w:rsidRPr="00B04DC3">
              <w:rPr>
                <w:i/>
                <w:sz w:val="16"/>
                <w:szCs w:val="16"/>
              </w:rPr>
              <w:t>Torque</w:t>
            </w:r>
          </w:p>
        </w:tc>
        <w:tc>
          <w:tcPr>
            <w:tcW w:w="2126" w:type="dxa"/>
            <w:tcBorders>
              <w:top w:val="single" w:sz="4" w:space="0" w:color="auto"/>
              <w:left w:val="single" w:sz="6" w:space="0" w:color="auto"/>
              <w:bottom w:val="single" w:sz="6" w:space="0" w:color="auto"/>
              <w:right w:val="single" w:sz="4" w:space="0" w:color="auto"/>
            </w:tcBorders>
          </w:tcPr>
          <w:p w:rsidR="00002BA6" w:rsidRPr="00B04DC3" w:rsidRDefault="00002BA6" w:rsidP="00002BA6">
            <w:pPr>
              <w:keepNext/>
              <w:keepLines/>
              <w:spacing w:before="60" w:after="60"/>
              <w:jc w:val="center"/>
              <w:rPr>
                <w:i/>
                <w:sz w:val="16"/>
                <w:szCs w:val="16"/>
              </w:rPr>
            </w:pPr>
            <w:r w:rsidRPr="00B04DC3">
              <w:rPr>
                <w:i/>
                <w:sz w:val="16"/>
                <w:szCs w:val="16"/>
              </w:rPr>
              <w:t>Power</w:t>
            </w:r>
          </w:p>
        </w:tc>
      </w:tr>
      <w:tr w:rsidR="00002BA6" w:rsidRPr="00B04DC3" w:rsidTr="003B133B">
        <w:trPr>
          <w:cantSplit/>
        </w:trPr>
        <w:tc>
          <w:tcPr>
            <w:tcW w:w="2126" w:type="dxa"/>
            <w:tcBorders>
              <w:top w:val="single" w:sz="6" w:space="0" w:color="auto"/>
              <w:left w:val="single" w:sz="4" w:space="0" w:color="auto"/>
              <w:bottom w:val="single" w:sz="2" w:space="0" w:color="auto"/>
              <w:right w:val="single" w:sz="6" w:space="0" w:color="auto"/>
            </w:tcBorders>
          </w:tcPr>
          <w:p w:rsidR="00002BA6" w:rsidRPr="00B04DC3" w:rsidRDefault="00002BA6" w:rsidP="00664E7D">
            <w:pPr>
              <w:keepNext/>
              <w:keepLines/>
              <w:spacing w:before="40" w:after="120"/>
              <w:rPr>
                <w:spacing w:val="-2"/>
                <w:sz w:val="18"/>
                <w:szCs w:val="18"/>
              </w:rPr>
            </w:pPr>
            <w:r w:rsidRPr="00B04DC3">
              <w:rPr>
                <w:spacing w:val="-2"/>
                <w:sz w:val="18"/>
                <w:szCs w:val="18"/>
              </w:rPr>
              <w:t xml:space="preserve">Standard </w:t>
            </w:r>
            <w:r w:rsidR="00664E7D">
              <w:rPr>
                <w:spacing w:val="-2"/>
                <w:sz w:val="18"/>
                <w:szCs w:val="18"/>
              </w:rPr>
              <w:t>E</w:t>
            </w:r>
            <w:r w:rsidR="00664E7D" w:rsidRPr="00B04DC3">
              <w:rPr>
                <w:spacing w:val="-2"/>
                <w:sz w:val="18"/>
                <w:szCs w:val="18"/>
              </w:rPr>
              <w:t xml:space="preserve">rror </w:t>
            </w:r>
            <w:r w:rsidRPr="00B04DC3">
              <w:rPr>
                <w:spacing w:val="-2"/>
                <w:sz w:val="18"/>
                <w:szCs w:val="18"/>
              </w:rPr>
              <w:t xml:space="preserve">of </w:t>
            </w:r>
            <w:r w:rsidR="00664E7D">
              <w:rPr>
                <w:spacing w:val="-2"/>
                <w:sz w:val="18"/>
                <w:szCs w:val="18"/>
              </w:rPr>
              <w:t>E</w:t>
            </w:r>
            <w:r w:rsidR="00664E7D" w:rsidRPr="00B04DC3">
              <w:rPr>
                <w:spacing w:val="-2"/>
                <w:sz w:val="18"/>
                <w:szCs w:val="18"/>
              </w:rPr>
              <w:t xml:space="preserve">stimate </w:t>
            </w:r>
            <w:r w:rsidRPr="00B04DC3">
              <w:rPr>
                <w:spacing w:val="-2"/>
                <w:sz w:val="18"/>
                <w:szCs w:val="18"/>
              </w:rPr>
              <w:t>(SEE) of y on x</w:t>
            </w:r>
          </w:p>
        </w:tc>
        <w:tc>
          <w:tcPr>
            <w:tcW w:w="2127" w:type="dxa"/>
            <w:tcBorders>
              <w:top w:val="single" w:sz="6"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maximum 5 per cent of maximum test speed</w:t>
            </w:r>
          </w:p>
        </w:tc>
        <w:tc>
          <w:tcPr>
            <w:tcW w:w="2126" w:type="dxa"/>
            <w:tcBorders>
              <w:top w:val="single" w:sz="6"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maximum 10 per cent of maximum engine torque</w:t>
            </w:r>
          </w:p>
        </w:tc>
        <w:tc>
          <w:tcPr>
            <w:tcW w:w="2126" w:type="dxa"/>
            <w:tcBorders>
              <w:top w:val="single" w:sz="6" w:space="0" w:color="auto"/>
              <w:left w:val="single" w:sz="6" w:space="0" w:color="auto"/>
              <w:bottom w:val="single" w:sz="2" w:space="0" w:color="auto"/>
              <w:right w:val="single" w:sz="4"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 xml:space="preserve">maximum 10 per cent of maximum engine power </w:t>
            </w:r>
          </w:p>
        </w:tc>
      </w:tr>
      <w:tr w:rsidR="00002BA6" w:rsidRPr="00B04DC3" w:rsidTr="003B133B">
        <w:trPr>
          <w:cantSplit/>
        </w:trPr>
        <w:tc>
          <w:tcPr>
            <w:tcW w:w="2126" w:type="dxa"/>
            <w:tcBorders>
              <w:top w:val="single" w:sz="2" w:space="0" w:color="auto"/>
              <w:left w:val="single" w:sz="4"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Slope of the regression line, a</w:t>
            </w:r>
            <w:r w:rsidRPr="00B04DC3">
              <w:rPr>
                <w:spacing w:val="-2"/>
                <w:sz w:val="18"/>
                <w:szCs w:val="18"/>
                <w:vertAlign w:val="subscript"/>
              </w:rPr>
              <w:t>1</w:t>
            </w:r>
          </w:p>
        </w:tc>
        <w:tc>
          <w:tcPr>
            <w:tcW w:w="2127" w:type="dxa"/>
            <w:tcBorders>
              <w:top w:val="single" w:sz="2"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0.95 to 1.03</w:t>
            </w:r>
          </w:p>
        </w:tc>
        <w:tc>
          <w:tcPr>
            <w:tcW w:w="2126" w:type="dxa"/>
            <w:tcBorders>
              <w:top w:val="single" w:sz="2"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0.83 - 1.03</w:t>
            </w:r>
          </w:p>
        </w:tc>
        <w:tc>
          <w:tcPr>
            <w:tcW w:w="2126" w:type="dxa"/>
            <w:tcBorders>
              <w:top w:val="single" w:sz="2" w:space="0" w:color="auto"/>
              <w:left w:val="single" w:sz="6" w:space="0" w:color="auto"/>
              <w:bottom w:val="single" w:sz="2" w:space="0" w:color="auto"/>
              <w:right w:val="single" w:sz="4"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0.89 - 1.03</w:t>
            </w:r>
          </w:p>
        </w:tc>
      </w:tr>
      <w:tr w:rsidR="00002BA6" w:rsidRPr="00B04DC3" w:rsidTr="003B133B">
        <w:trPr>
          <w:cantSplit/>
        </w:trPr>
        <w:tc>
          <w:tcPr>
            <w:tcW w:w="2126" w:type="dxa"/>
            <w:tcBorders>
              <w:top w:val="single" w:sz="2" w:space="0" w:color="auto"/>
              <w:left w:val="single" w:sz="4"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Coefficient of determination, r²</w:t>
            </w:r>
          </w:p>
        </w:tc>
        <w:tc>
          <w:tcPr>
            <w:tcW w:w="2127" w:type="dxa"/>
            <w:tcBorders>
              <w:top w:val="single" w:sz="2"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minimum 0.970</w:t>
            </w:r>
          </w:p>
        </w:tc>
        <w:tc>
          <w:tcPr>
            <w:tcW w:w="2126" w:type="dxa"/>
            <w:tcBorders>
              <w:top w:val="single" w:sz="2" w:space="0" w:color="auto"/>
              <w:left w:val="single" w:sz="6" w:space="0" w:color="auto"/>
              <w:bottom w:val="single" w:sz="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minimum 0.850</w:t>
            </w:r>
          </w:p>
        </w:tc>
        <w:tc>
          <w:tcPr>
            <w:tcW w:w="2126" w:type="dxa"/>
            <w:tcBorders>
              <w:top w:val="single" w:sz="2" w:space="0" w:color="auto"/>
              <w:left w:val="single" w:sz="6" w:space="0" w:color="auto"/>
              <w:bottom w:val="single" w:sz="2" w:space="0" w:color="auto"/>
              <w:right w:val="single" w:sz="4"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minimum 0.910</w:t>
            </w:r>
          </w:p>
        </w:tc>
      </w:tr>
      <w:tr w:rsidR="00002BA6" w:rsidRPr="00B04DC3" w:rsidTr="003B133B">
        <w:trPr>
          <w:cantSplit/>
        </w:trPr>
        <w:tc>
          <w:tcPr>
            <w:tcW w:w="2126" w:type="dxa"/>
            <w:tcBorders>
              <w:top w:val="single" w:sz="2" w:space="0" w:color="auto"/>
              <w:left w:val="single" w:sz="4" w:space="0" w:color="auto"/>
              <w:bottom w:val="single" w:sz="1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y intercept of the regression line, a</w:t>
            </w:r>
            <w:r w:rsidRPr="00B04DC3">
              <w:rPr>
                <w:spacing w:val="-2"/>
                <w:sz w:val="18"/>
                <w:szCs w:val="18"/>
                <w:vertAlign w:val="subscript"/>
              </w:rPr>
              <w:t>0</w:t>
            </w:r>
          </w:p>
        </w:tc>
        <w:tc>
          <w:tcPr>
            <w:tcW w:w="2127" w:type="dxa"/>
            <w:tcBorders>
              <w:top w:val="single" w:sz="2" w:space="0" w:color="auto"/>
              <w:left w:val="single" w:sz="6" w:space="0" w:color="auto"/>
              <w:bottom w:val="single" w:sz="1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maximum 10 per cent of idle speed</w:t>
            </w:r>
          </w:p>
        </w:tc>
        <w:tc>
          <w:tcPr>
            <w:tcW w:w="2126" w:type="dxa"/>
            <w:tcBorders>
              <w:top w:val="single" w:sz="2" w:space="0" w:color="auto"/>
              <w:left w:val="single" w:sz="6" w:space="0" w:color="auto"/>
              <w:bottom w:val="single" w:sz="12" w:space="0" w:color="auto"/>
              <w:right w:val="single" w:sz="6"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 xml:space="preserve">±20 Nm or </w:t>
            </w:r>
            <w:r w:rsidRPr="00B04DC3">
              <w:rPr>
                <w:spacing w:val="-2"/>
                <w:sz w:val="18"/>
                <w:szCs w:val="18"/>
              </w:rPr>
              <w:sym w:font="Symbol" w:char="F0B1"/>
            </w:r>
            <w:r w:rsidRPr="00B04DC3">
              <w:rPr>
                <w:spacing w:val="-2"/>
                <w:sz w:val="18"/>
                <w:szCs w:val="18"/>
              </w:rPr>
              <w:t>2 per cent of maximum torque whichever is greater</w:t>
            </w:r>
          </w:p>
        </w:tc>
        <w:tc>
          <w:tcPr>
            <w:tcW w:w="2126" w:type="dxa"/>
            <w:tcBorders>
              <w:top w:val="single" w:sz="2" w:space="0" w:color="auto"/>
              <w:left w:val="single" w:sz="6" w:space="0" w:color="auto"/>
              <w:bottom w:val="single" w:sz="12" w:space="0" w:color="auto"/>
              <w:right w:val="single" w:sz="4" w:space="0" w:color="auto"/>
            </w:tcBorders>
          </w:tcPr>
          <w:p w:rsidR="00002BA6" w:rsidRPr="00B04DC3" w:rsidRDefault="00002BA6" w:rsidP="00002BA6">
            <w:pPr>
              <w:keepNext/>
              <w:keepLines/>
              <w:spacing w:before="40" w:after="120"/>
              <w:rPr>
                <w:spacing w:val="-2"/>
                <w:sz w:val="18"/>
                <w:szCs w:val="18"/>
              </w:rPr>
            </w:pPr>
            <w:r w:rsidRPr="00B04DC3">
              <w:rPr>
                <w:spacing w:val="-2"/>
                <w:sz w:val="18"/>
                <w:szCs w:val="18"/>
              </w:rPr>
              <w:t xml:space="preserve">±4  kW or </w:t>
            </w:r>
            <w:r w:rsidRPr="00B04DC3">
              <w:rPr>
                <w:spacing w:val="-2"/>
                <w:sz w:val="18"/>
                <w:szCs w:val="18"/>
              </w:rPr>
              <w:sym w:font="Symbol" w:char="F0B1"/>
            </w:r>
            <w:r w:rsidRPr="00B04DC3">
              <w:rPr>
                <w:spacing w:val="-2"/>
                <w:sz w:val="18"/>
                <w:szCs w:val="18"/>
              </w:rPr>
              <w:t>2 per cent of maximum power whichever is greater</w:t>
            </w:r>
          </w:p>
        </w:tc>
      </w:tr>
    </w:tbl>
    <w:p w:rsidR="00002BA6" w:rsidRPr="00B04DC3" w:rsidRDefault="00002BA6" w:rsidP="00002BA6">
      <w:pPr>
        <w:pStyle w:val="Heading1"/>
        <w:spacing w:before="240"/>
      </w:pPr>
      <w:bookmarkStart w:id="517" w:name="_Toc399940007"/>
      <w:bookmarkStart w:id="518" w:name="_Toc423599593"/>
      <w:bookmarkStart w:id="519" w:name="_Toc423611001"/>
      <w:bookmarkEnd w:id="516"/>
      <w:r w:rsidRPr="00B04DC3">
        <w:t>Table 3</w:t>
      </w:r>
      <w:bookmarkEnd w:id="517"/>
      <w:bookmarkEnd w:id="518"/>
      <w:bookmarkEnd w:id="519"/>
    </w:p>
    <w:p w:rsidR="00002BA6" w:rsidRPr="00B04DC3" w:rsidRDefault="00002BA6" w:rsidP="00002BA6">
      <w:pPr>
        <w:pStyle w:val="Heading1"/>
        <w:rPr>
          <w:b/>
        </w:rPr>
      </w:pPr>
      <w:bookmarkStart w:id="520" w:name="_Toc399940008"/>
      <w:bookmarkStart w:id="521" w:name="_Toc423599594"/>
      <w:bookmarkStart w:id="522" w:name="_Toc423611002"/>
      <w:r w:rsidRPr="00B04DC3">
        <w:rPr>
          <w:b/>
        </w:rPr>
        <w:t>Regression line tolerances for the WHSC</w:t>
      </w:r>
      <w:bookmarkEnd w:id="520"/>
      <w:bookmarkEnd w:id="521"/>
      <w:bookmarkEnd w:id="522"/>
    </w:p>
    <w:tbl>
      <w:tblPr>
        <w:tblW w:w="8505" w:type="dxa"/>
        <w:tblInd w:w="1204" w:type="dxa"/>
        <w:tblLayout w:type="fixed"/>
        <w:tblCellMar>
          <w:left w:w="70" w:type="dxa"/>
          <w:right w:w="70" w:type="dxa"/>
        </w:tblCellMar>
        <w:tblLook w:val="0000" w:firstRow="0" w:lastRow="0" w:firstColumn="0" w:lastColumn="0" w:noHBand="0" w:noVBand="0"/>
      </w:tblPr>
      <w:tblGrid>
        <w:gridCol w:w="2126"/>
        <w:gridCol w:w="2127"/>
        <w:gridCol w:w="2126"/>
        <w:gridCol w:w="2126"/>
      </w:tblGrid>
      <w:tr w:rsidR="00002BA6" w:rsidRPr="00B04DC3" w:rsidTr="003B133B">
        <w:trPr>
          <w:cantSplit/>
        </w:trPr>
        <w:tc>
          <w:tcPr>
            <w:tcW w:w="2126" w:type="dxa"/>
            <w:tcBorders>
              <w:top w:val="single" w:sz="2" w:space="0" w:color="auto"/>
              <w:left w:val="single" w:sz="2" w:space="0" w:color="auto"/>
              <w:bottom w:val="single" w:sz="12" w:space="0" w:color="auto"/>
              <w:right w:val="single" w:sz="6" w:space="0" w:color="auto"/>
            </w:tcBorders>
          </w:tcPr>
          <w:p w:rsidR="00002BA6" w:rsidRPr="00B04DC3" w:rsidRDefault="00002BA6" w:rsidP="003B133B">
            <w:pPr>
              <w:keepLines/>
              <w:spacing w:before="60" w:after="60"/>
              <w:jc w:val="center"/>
              <w:rPr>
                <w:i/>
                <w:sz w:val="16"/>
                <w:szCs w:val="16"/>
              </w:rPr>
            </w:pPr>
          </w:p>
        </w:tc>
        <w:tc>
          <w:tcPr>
            <w:tcW w:w="2127" w:type="dxa"/>
            <w:tcBorders>
              <w:top w:val="single" w:sz="2" w:space="0" w:color="auto"/>
              <w:left w:val="single" w:sz="6" w:space="0" w:color="auto"/>
              <w:bottom w:val="single" w:sz="12" w:space="0" w:color="auto"/>
              <w:right w:val="single" w:sz="6" w:space="0" w:color="auto"/>
            </w:tcBorders>
          </w:tcPr>
          <w:p w:rsidR="00002BA6" w:rsidRPr="00B04DC3" w:rsidRDefault="00002BA6" w:rsidP="003B133B">
            <w:pPr>
              <w:keepLines/>
              <w:spacing w:before="60" w:after="60"/>
              <w:jc w:val="center"/>
              <w:rPr>
                <w:i/>
                <w:sz w:val="16"/>
                <w:szCs w:val="16"/>
              </w:rPr>
            </w:pPr>
            <w:r w:rsidRPr="00B04DC3">
              <w:rPr>
                <w:i/>
                <w:sz w:val="16"/>
                <w:szCs w:val="16"/>
              </w:rPr>
              <w:t>Speed</w:t>
            </w:r>
          </w:p>
        </w:tc>
        <w:tc>
          <w:tcPr>
            <w:tcW w:w="2126" w:type="dxa"/>
            <w:tcBorders>
              <w:top w:val="single" w:sz="2" w:space="0" w:color="auto"/>
              <w:left w:val="single" w:sz="6" w:space="0" w:color="auto"/>
              <w:bottom w:val="single" w:sz="12" w:space="0" w:color="auto"/>
              <w:right w:val="single" w:sz="6" w:space="0" w:color="auto"/>
            </w:tcBorders>
          </w:tcPr>
          <w:p w:rsidR="00002BA6" w:rsidRPr="00B04DC3" w:rsidRDefault="00002BA6" w:rsidP="003B133B">
            <w:pPr>
              <w:keepLines/>
              <w:spacing w:before="60" w:after="60"/>
              <w:jc w:val="center"/>
              <w:rPr>
                <w:i/>
                <w:sz w:val="16"/>
                <w:szCs w:val="16"/>
              </w:rPr>
            </w:pPr>
            <w:r w:rsidRPr="00B04DC3">
              <w:rPr>
                <w:i/>
                <w:sz w:val="16"/>
                <w:szCs w:val="16"/>
              </w:rPr>
              <w:t>Torque</w:t>
            </w:r>
          </w:p>
        </w:tc>
        <w:tc>
          <w:tcPr>
            <w:tcW w:w="2126" w:type="dxa"/>
            <w:tcBorders>
              <w:top w:val="single" w:sz="2" w:space="0" w:color="auto"/>
              <w:left w:val="single" w:sz="6" w:space="0" w:color="auto"/>
              <w:bottom w:val="single" w:sz="12" w:space="0" w:color="auto"/>
              <w:right w:val="single" w:sz="2" w:space="0" w:color="auto"/>
            </w:tcBorders>
          </w:tcPr>
          <w:p w:rsidR="00002BA6" w:rsidRPr="00B04DC3" w:rsidRDefault="00002BA6" w:rsidP="003B133B">
            <w:pPr>
              <w:keepLines/>
              <w:spacing w:before="60" w:after="60"/>
              <w:jc w:val="center"/>
              <w:rPr>
                <w:i/>
                <w:sz w:val="16"/>
                <w:szCs w:val="16"/>
              </w:rPr>
            </w:pPr>
            <w:r w:rsidRPr="00B04DC3">
              <w:rPr>
                <w:i/>
                <w:sz w:val="16"/>
                <w:szCs w:val="16"/>
              </w:rPr>
              <w:t>Power</w:t>
            </w:r>
          </w:p>
        </w:tc>
      </w:tr>
      <w:tr w:rsidR="00002BA6" w:rsidRPr="00B04DC3" w:rsidTr="003B133B">
        <w:trPr>
          <w:cantSplit/>
        </w:trPr>
        <w:tc>
          <w:tcPr>
            <w:tcW w:w="2126" w:type="dxa"/>
            <w:tcBorders>
              <w:top w:val="single" w:sz="12" w:space="0" w:color="auto"/>
              <w:left w:val="single" w:sz="2"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 xml:space="preserve">Standard </w:t>
            </w:r>
            <w:r w:rsidR="00664E7D">
              <w:rPr>
                <w:spacing w:val="-2"/>
                <w:sz w:val="18"/>
                <w:szCs w:val="18"/>
              </w:rPr>
              <w:t>E</w:t>
            </w:r>
            <w:r w:rsidR="00664E7D" w:rsidRPr="00B04DC3">
              <w:rPr>
                <w:spacing w:val="-2"/>
                <w:sz w:val="18"/>
                <w:szCs w:val="18"/>
              </w:rPr>
              <w:t xml:space="preserve">rror </w:t>
            </w:r>
            <w:r w:rsidRPr="00B04DC3">
              <w:rPr>
                <w:spacing w:val="-2"/>
                <w:sz w:val="18"/>
                <w:szCs w:val="18"/>
              </w:rPr>
              <w:t xml:space="preserve">of </w:t>
            </w:r>
            <w:r w:rsidR="00664E7D">
              <w:rPr>
                <w:spacing w:val="-2"/>
                <w:sz w:val="18"/>
                <w:szCs w:val="18"/>
              </w:rPr>
              <w:t>E</w:t>
            </w:r>
            <w:r w:rsidR="00664E7D" w:rsidRPr="00B04DC3">
              <w:rPr>
                <w:spacing w:val="-2"/>
                <w:sz w:val="18"/>
                <w:szCs w:val="18"/>
              </w:rPr>
              <w:t xml:space="preserve">stimate </w:t>
            </w:r>
            <w:r w:rsidRPr="00B04DC3">
              <w:rPr>
                <w:spacing w:val="-2"/>
                <w:sz w:val="18"/>
                <w:szCs w:val="18"/>
              </w:rPr>
              <w:t>(SEE) of y on x</w:t>
            </w:r>
          </w:p>
        </w:tc>
        <w:tc>
          <w:tcPr>
            <w:tcW w:w="2127" w:type="dxa"/>
            <w:tcBorders>
              <w:top w:val="single" w:sz="1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maximum 1 per cent of maximum test speed</w:t>
            </w:r>
          </w:p>
        </w:tc>
        <w:tc>
          <w:tcPr>
            <w:tcW w:w="2126" w:type="dxa"/>
            <w:tcBorders>
              <w:top w:val="single" w:sz="1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maximum 2 per cent of maximum engine torque</w:t>
            </w:r>
          </w:p>
        </w:tc>
        <w:tc>
          <w:tcPr>
            <w:tcW w:w="2126" w:type="dxa"/>
            <w:tcBorders>
              <w:top w:val="single" w:sz="12" w:space="0" w:color="auto"/>
              <w:left w:val="single" w:sz="6" w:space="0" w:color="auto"/>
              <w:bottom w:val="single" w:sz="2" w:space="0" w:color="auto"/>
              <w:right w:val="single" w:sz="2" w:space="0" w:color="auto"/>
            </w:tcBorders>
          </w:tcPr>
          <w:p w:rsidR="00002BA6" w:rsidRPr="00B04DC3" w:rsidRDefault="00002BA6" w:rsidP="003B133B">
            <w:pPr>
              <w:keepLines/>
              <w:spacing w:before="40" w:after="120"/>
              <w:rPr>
                <w:spacing w:val="-2"/>
                <w:sz w:val="18"/>
                <w:szCs w:val="18"/>
              </w:rPr>
            </w:pPr>
            <w:r w:rsidRPr="00B04DC3">
              <w:rPr>
                <w:spacing w:val="-2"/>
                <w:sz w:val="18"/>
                <w:szCs w:val="18"/>
              </w:rPr>
              <w:t xml:space="preserve">maximum 2 per cent of maximum engine power </w:t>
            </w:r>
          </w:p>
        </w:tc>
      </w:tr>
      <w:tr w:rsidR="00002BA6" w:rsidRPr="00B04DC3" w:rsidTr="003B133B">
        <w:trPr>
          <w:cantSplit/>
        </w:trPr>
        <w:tc>
          <w:tcPr>
            <w:tcW w:w="2126" w:type="dxa"/>
            <w:tcBorders>
              <w:top w:val="single" w:sz="2" w:space="0" w:color="auto"/>
              <w:left w:val="single" w:sz="2"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Slope of the regression line, a</w:t>
            </w:r>
            <w:r w:rsidRPr="00B04DC3">
              <w:rPr>
                <w:spacing w:val="-2"/>
                <w:sz w:val="18"/>
                <w:szCs w:val="18"/>
                <w:vertAlign w:val="subscript"/>
              </w:rPr>
              <w:t>1</w:t>
            </w:r>
          </w:p>
        </w:tc>
        <w:tc>
          <w:tcPr>
            <w:tcW w:w="2127" w:type="dxa"/>
            <w:tcBorders>
              <w:top w:val="single" w:sz="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0.99 to 1.01</w:t>
            </w:r>
          </w:p>
        </w:tc>
        <w:tc>
          <w:tcPr>
            <w:tcW w:w="2126" w:type="dxa"/>
            <w:tcBorders>
              <w:top w:val="single" w:sz="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0.98 - 1.02</w:t>
            </w:r>
          </w:p>
        </w:tc>
        <w:tc>
          <w:tcPr>
            <w:tcW w:w="2126" w:type="dxa"/>
            <w:tcBorders>
              <w:top w:val="single" w:sz="2" w:space="0" w:color="auto"/>
              <w:left w:val="single" w:sz="6" w:space="0" w:color="auto"/>
              <w:bottom w:val="single" w:sz="2" w:space="0" w:color="auto"/>
              <w:right w:val="single" w:sz="2" w:space="0" w:color="auto"/>
            </w:tcBorders>
          </w:tcPr>
          <w:p w:rsidR="00002BA6" w:rsidRPr="00B04DC3" w:rsidRDefault="00002BA6" w:rsidP="003B133B">
            <w:pPr>
              <w:keepLines/>
              <w:spacing w:before="40" w:after="120"/>
              <w:rPr>
                <w:spacing w:val="-2"/>
                <w:sz w:val="18"/>
                <w:szCs w:val="18"/>
              </w:rPr>
            </w:pPr>
            <w:r w:rsidRPr="00B04DC3">
              <w:rPr>
                <w:spacing w:val="-2"/>
                <w:sz w:val="18"/>
                <w:szCs w:val="18"/>
              </w:rPr>
              <w:t>0.98 - 1.02</w:t>
            </w:r>
          </w:p>
        </w:tc>
      </w:tr>
      <w:tr w:rsidR="00002BA6" w:rsidRPr="00B04DC3" w:rsidTr="003B133B">
        <w:trPr>
          <w:cantSplit/>
        </w:trPr>
        <w:tc>
          <w:tcPr>
            <w:tcW w:w="2126" w:type="dxa"/>
            <w:tcBorders>
              <w:top w:val="single" w:sz="2" w:space="0" w:color="auto"/>
              <w:left w:val="single" w:sz="2"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Coefficient of determination, r²</w:t>
            </w:r>
          </w:p>
        </w:tc>
        <w:tc>
          <w:tcPr>
            <w:tcW w:w="2127" w:type="dxa"/>
            <w:tcBorders>
              <w:top w:val="single" w:sz="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minimum 0.990</w:t>
            </w:r>
          </w:p>
        </w:tc>
        <w:tc>
          <w:tcPr>
            <w:tcW w:w="2126" w:type="dxa"/>
            <w:tcBorders>
              <w:top w:val="single" w:sz="2" w:space="0" w:color="auto"/>
              <w:left w:val="single" w:sz="6" w:space="0" w:color="auto"/>
              <w:bottom w:val="single" w:sz="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minimum 0.950</w:t>
            </w:r>
          </w:p>
        </w:tc>
        <w:tc>
          <w:tcPr>
            <w:tcW w:w="2126" w:type="dxa"/>
            <w:tcBorders>
              <w:top w:val="single" w:sz="2" w:space="0" w:color="auto"/>
              <w:left w:val="single" w:sz="6" w:space="0" w:color="auto"/>
              <w:bottom w:val="single" w:sz="2" w:space="0" w:color="auto"/>
              <w:right w:val="single" w:sz="2"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minimum 0.950</w:t>
            </w:r>
          </w:p>
        </w:tc>
      </w:tr>
      <w:tr w:rsidR="00002BA6" w:rsidRPr="00B04DC3" w:rsidTr="003B133B">
        <w:trPr>
          <w:cantSplit/>
        </w:trPr>
        <w:tc>
          <w:tcPr>
            <w:tcW w:w="2126" w:type="dxa"/>
            <w:tcBorders>
              <w:top w:val="single" w:sz="2" w:space="0" w:color="auto"/>
              <w:left w:val="single" w:sz="2" w:space="0" w:color="auto"/>
              <w:bottom w:val="single" w:sz="1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y intercept of the regression line, a</w:t>
            </w:r>
            <w:r w:rsidRPr="00B04DC3">
              <w:rPr>
                <w:spacing w:val="-2"/>
                <w:sz w:val="18"/>
                <w:szCs w:val="18"/>
                <w:vertAlign w:val="subscript"/>
              </w:rPr>
              <w:t>0</w:t>
            </w:r>
          </w:p>
        </w:tc>
        <w:tc>
          <w:tcPr>
            <w:tcW w:w="2127" w:type="dxa"/>
            <w:tcBorders>
              <w:top w:val="single" w:sz="2" w:space="0" w:color="auto"/>
              <w:left w:val="single" w:sz="6" w:space="0" w:color="auto"/>
              <w:bottom w:val="single" w:sz="1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maximum 1 per cent of maximum test speed</w:t>
            </w:r>
          </w:p>
        </w:tc>
        <w:tc>
          <w:tcPr>
            <w:tcW w:w="2126" w:type="dxa"/>
            <w:tcBorders>
              <w:top w:val="single" w:sz="2" w:space="0" w:color="auto"/>
              <w:left w:val="single" w:sz="6" w:space="0" w:color="auto"/>
              <w:bottom w:val="single" w:sz="12" w:space="0" w:color="auto"/>
              <w:right w:val="single" w:sz="6" w:space="0" w:color="auto"/>
            </w:tcBorders>
          </w:tcPr>
          <w:p w:rsidR="00002BA6" w:rsidRPr="00B04DC3" w:rsidRDefault="00002BA6" w:rsidP="003B133B">
            <w:pPr>
              <w:keepLines/>
              <w:spacing w:before="40" w:after="120"/>
              <w:rPr>
                <w:spacing w:val="-2"/>
                <w:sz w:val="18"/>
                <w:szCs w:val="18"/>
              </w:rPr>
            </w:pPr>
            <w:r w:rsidRPr="00B04DC3">
              <w:rPr>
                <w:spacing w:val="-2"/>
                <w:sz w:val="18"/>
                <w:szCs w:val="18"/>
              </w:rPr>
              <w:t xml:space="preserve">±20 Nm or </w:t>
            </w:r>
            <w:r w:rsidRPr="00B04DC3">
              <w:rPr>
                <w:spacing w:val="-2"/>
                <w:sz w:val="18"/>
                <w:szCs w:val="18"/>
              </w:rPr>
              <w:sym w:font="Symbol" w:char="F0B1"/>
            </w:r>
            <w:r w:rsidRPr="00B04DC3">
              <w:rPr>
                <w:spacing w:val="-2"/>
                <w:sz w:val="18"/>
                <w:szCs w:val="18"/>
              </w:rPr>
              <w:t>2 per cent of maximum torque whichever is greater</w:t>
            </w:r>
          </w:p>
        </w:tc>
        <w:tc>
          <w:tcPr>
            <w:tcW w:w="2126" w:type="dxa"/>
            <w:tcBorders>
              <w:top w:val="single" w:sz="2" w:space="0" w:color="auto"/>
              <w:left w:val="single" w:sz="6" w:space="0" w:color="auto"/>
              <w:bottom w:val="single" w:sz="12" w:space="0" w:color="auto"/>
              <w:right w:val="single" w:sz="2" w:space="0" w:color="auto"/>
            </w:tcBorders>
          </w:tcPr>
          <w:p w:rsidR="00002BA6" w:rsidRPr="00B04DC3" w:rsidRDefault="003B133B" w:rsidP="003B133B">
            <w:pPr>
              <w:keepLines/>
              <w:spacing w:before="40" w:after="120"/>
              <w:rPr>
                <w:spacing w:val="-2"/>
                <w:sz w:val="18"/>
                <w:szCs w:val="18"/>
              </w:rPr>
            </w:pPr>
            <w:r>
              <w:rPr>
                <w:spacing w:val="-2"/>
                <w:sz w:val="18"/>
                <w:szCs w:val="18"/>
              </w:rPr>
              <w:t xml:space="preserve">±4 </w:t>
            </w:r>
            <w:r w:rsidR="00002BA6" w:rsidRPr="00B04DC3">
              <w:rPr>
                <w:spacing w:val="-2"/>
                <w:sz w:val="18"/>
                <w:szCs w:val="18"/>
              </w:rPr>
              <w:t xml:space="preserve">kW or </w:t>
            </w:r>
            <w:r w:rsidR="00002BA6" w:rsidRPr="00B04DC3">
              <w:rPr>
                <w:spacing w:val="-2"/>
                <w:sz w:val="18"/>
                <w:szCs w:val="18"/>
              </w:rPr>
              <w:sym w:font="Symbol" w:char="F0B1"/>
            </w:r>
            <w:r w:rsidR="00002BA6" w:rsidRPr="00B04DC3">
              <w:rPr>
                <w:spacing w:val="-2"/>
                <w:sz w:val="18"/>
                <w:szCs w:val="18"/>
              </w:rPr>
              <w:t>2 per cent of maximum power whichever is greater</w:t>
            </w:r>
          </w:p>
        </w:tc>
      </w:tr>
    </w:tbl>
    <w:p w:rsidR="00002BA6" w:rsidRPr="00B04DC3" w:rsidRDefault="00002BA6" w:rsidP="003B133B">
      <w:pPr>
        <w:pStyle w:val="para"/>
        <w:keepNext/>
        <w:keepLines/>
        <w:spacing w:before="240"/>
        <w:rPr>
          <w:lang w:val="en-GB"/>
        </w:rPr>
      </w:pPr>
      <w:r w:rsidRPr="00B04DC3">
        <w:rPr>
          <w:b/>
          <w:lang w:val="en-GB"/>
        </w:rPr>
        <w:tab/>
      </w:r>
      <w:r w:rsidRPr="00B04DC3">
        <w:rPr>
          <w:lang w:val="en-GB"/>
        </w:rPr>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rsidR="00002BA6" w:rsidRPr="00B04DC3" w:rsidRDefault="00002BA6" w:rsidP="00D06B9E">
      <w:pPr>
        <w:pStyle w:val="para"/>
        <w:spacing w:before="240" w:after="0"/>
        <w:rPr>
          <w:lang w:val="en-GB"/>
        </w:rPr>
      </w:pPr>
      <w:r w:rsidRPr="00B04DC3">
        <w:rPr>
          <w:lang w:val="en-GB"/>
        </w:rPr>
        <w:t>Table 4</w:t>
      </w:r>
    </w:p>
    <w:p w:rsidR="00002BA6" w:rsidRPr="00B04DC3" w:rsidRDefault="00002BA6" w:rsidP="006E3517">
      <w:pPr>
        <w:pStyle w:val="Heading1"/>
        <w:spacing w:after="40"/>
        <w:rPr>
          <w:b/>
        </w:rPr>
      </w:pPr>
      <w:bookmarkStart w:id="523" w:name="_Toc399940009"/>
      <w:bookmarkStart w:id="524" w:name="_Toc423599595"/>
      <w:bookmarkStart w:id="525" w:name="_Toc423611003"/>
      <w:r w:rsidRPr="00B04DC3">
        <w:rPr>
          <w:b/>
        </w:rPr>
        <w:t>Permitted point omissions from regression analysis</w:t>
      </w:r>
      <w:bookmarkEnd w:id="523"/>
      <w:bookmarkEnd w:id="524"/>
      <w:bookmarkEnd w:id="525"/>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24"/>
        <w:gridCol w:w="2221"/>
      </w:tblGrid>
      <w:tr w:rsidR="00002BA6" w:rsidRPr="00B04DC3" w:rsidTr="006E3517">
        <w:tc>
          <w:tcPr>
            <w:tcW w:w="2660" w:type="dxa"/>
            <w:tcBorders>
              <w:bottom w:val="single" w:sz="12" w:space="0" w:color="auto"/>
            </w:tcBorders>
          </w:tcPr>
          <w:p w:rsidR="00002BA6" w:rsidRPr="00B04DC3" w:rsidRDefault="00002BA6" w:rsidP="006E3517">
            <w:pPr>
              <w:keepNext/>
              <w:spacing w:beforeLines="40" w:before="96" w:afterLines="80" w:after="192"/>
              <w:ind w:left="56" w:right="34"/>
              <w:rPr>
                <w:i/>
                <w:spacing w:val="-2"/>
                <w:sz w:val="16"/>
                <w:szCs w:val="16"/>
              </w:rPr>
            </w:pPr>
            <w:r w:rsidRPr="00B04DC3">
              <w:rPr>
                <w:i/>
                <w:spacing w:val="-2"/>
                <w:sz w:val="16"/>
                <w:szCs w:val="16"/>
              </w:rPr>
              <w:t>Event</w:t>
            </w:r>
          </w:p>
        </w:tc>
        <w:tc>
          <w:tcPr>
            <w:tcW w:w="3624" w:type="dxa"/>
            <w:tcBorders>
              <w:bottom w:val="single" w:sz="12" w:space="0" w:color="auto"/>
            </w:tcBorders>
            <w:tcMar>
              <w:left w:w="28" w:type="dxa"/>
              <w:right w:w="28" w:type="dxa"/>
            </w:tcMar>
          </w:tcPr>
          <w:p w:rsidR="00002BA6" w:rsidRPr="00B04DC3" w:rsidRDefault="00002BA6" w:rsidP="00002BA6">
            <w:pPr>
              <w:keepNext/>
              <w:spacing w:beforeLines="40" w:before="96" w:afterLines="80" w:after="192"/>
              <w:ind w:left="113" w:right="113"/>
              <w:rPr>
                <w:i/>
                <w:spacing w:val="-2"/>
                <w:sz w:val="16"/>
                <w:szCs w:val="16"/>
              </w:rPr>
            </w:pPr>
            <w:r w:rsidRPr="00B04DC3">
              <w:rPr>
                <w:i/>
                <w:spacing w:val="-2"/>
                <w:sz w:val="16"/>
                <w:szCs w:val="16"/>
              </w:rPr>
              <w:t>Conditions</w:t>
            </w:r>
          </w:p>
        </w:tc>
        <w:tc>
          <w:tcPr>
            <w:tcW w:w="2221" w:type="dxa"/>
            <w:tcBorders>
              <w:bottom w:val="single" w:sz="12" w:space="0" w:color="auto"/>
            </w:tcBorders>
            <w:tcMar>
              <w:left w:w="28" w:type="dxa"/>
              <w:right w:w="28" w:type="dxa"/>
            </w:tcMar>
          </w:tcPr>
          <w:p w:rsidR="00002BA6" w:rsidRPr="00B04DC3" w:rsidRDefault="00002BA6" w:rsidP="00002BA6">
            <w:pPr>
              <w:keepNext/>
              <w:spacing w:beforeLines="40" w:before="96" w:afterLines="80" w:after="192"/>
              <w:ind w:left="113" w:right="113"/>
              <w:rPr>
                <w:i/>
                <w:spacing w:val="-2"/>
                <w:sz w:val="16"/>
                <w:szCs w:val="16"/>
              </w:rPr>
            </w:pPr>
            <w:r w:rsidRPr="00B04DC3">
              <w:rPr>
                <w:i/>
                <w:spacing w:val="-2"/>
                <w:sz w:val="16"/>
                <w:szCs w:val="16"/>
              </w:rPr>
              <w:t>Permitted point omissions</w:t>
            </w:r>
          </w:p>
        </w:tc>
      </w:tr>
      <w:tr w:rsidR="00002BA6" w:rsidRPr="00B04DC3" w:rsidTr="006E3517">
        <w:tc>
          <w:tcPr>
            <w:tcW w:w="2660" w:type="dxa"/>
            <w:tcBorders>
              <w:top w:val="single" w:sz="12" w:space="0" w:color="auto"/>
            </w:tcBorders>
          </w:tcPr>
          <w:p w:rsidR="00002BA6" w:rsidRPr="00B04DC3" w:rsidRDefault="00002BA6" w:rsidP="006E3517">
            <w:pPr>
              <w:keepLines/>
              <w:spacing w:before="40" w:after="80" w:line="240" w:lineRule="exact"/>
              <w:ind w:left="56" w:right="34"/>
            </w:pPr>
            <w:r w:rsidRPr="00B04DC3">
              <w:t>Minimum operator demand (idle point)</w:t>
            </w:r>
          </w:p>
        </w:tc>
        <w:tc>
          <w:tcPr>
            <w:tcW w:w="3624" w:type="dxa"/>
            <w:tcBorders>
              <w:top w:val="single" w:sz="12" w:space="0" w:color="auto"/>
            </w:tcBorders>
            <w:tcMar>
              <w:left w:w="28" w:type="dxa"/>
              <w:right w:w="28" w:type="dxa"/>
            </w:tcMar>
          </w:tcPr>
          <w:p w:rsidR="00002BA6" w:rsidRPr="00B04DC3" w:rsidRDefault="00002BA6" w:rsidP="00002BA6">
            <w:pPr>
              <w:keepLines/>
              <w:spacing w:before="40" w:after="80" w:line="240" w:lineRule="exact"/>
              <w:ind w:left="113" w:right="113"/>
            </w:pPr>
            <w:r w:rsidRPr="00B04DC3">
              <w:t>n</w:t>
            </w:r>
            <w:r w:rsidRPr="00B04DC3">
              <w:rPr>
                <w:vertAlign w:val="subscript"/>
              </w:rPr>
              <w:t>ref</w:t>
            </w:r>
            <w:r w:rsidRPr="00B04DC3">
              <w:t xml:space="preserve"> = 0 per cent </w:t>
            </w:r>
          </w:p>
          <w:p w:rsidR="00002BA6" w:rsidRPr="00B04DC3" w:rsidRDefault="00002BA6" w:rsidP="00002BA6">
            <w:pPr>
              <w:keepLines/>
              <w:spacing w:before="40" w:after="80" w:line="240" w:lineRule="exact"/>
              <w:ind w:left="113" w:right="113"/>
            </w:pPr>
            <w:r w:rsidRPr="00B04DC3">
              <w:t>and</w:t>
            </w:r>
          </w:p>
          <w:p w:rsidR="00002BA6" w:rsidRPr="00B04DC3" w:rsidRDefault="00002BA6" w:rsidP="00002BA6">
            <w:pPr>
              <w:keepLines/>
              <w:spacing w:before="40" w:after="80" w:line="240" w:lineRule="exact"/>
              <w:ind w:left="113" w:right="113"/>
            </w:pPr>
            <w:r w:rsidRPr="00B04DC3">
              <w:t>M</w:t>
            </w:r>
            <w:r w:rsidRPr="00B04DC3">
              <w:rPr>
                <w:vertAlign w:val="subscript"/>
              </w:rPr>
              <w:t>ref</w:t>
            </w:r>
            <w:r w:rsidRPr="00B04DC3">
              <w:t xml:space="preserve"> = 0 per cent </w:t>
            </w:r>
          </w:p>
          <w:p w:rsidR="00002BA6" w:rsidRPr="00B04DC3" w:rsidRDefault="00002BA6" w:rsidP="00002BA6">
            <w:pPr>
              <w:keepLines/>
              <w:spacing w:before="40" w:after="80" w:line="240" w:lineRule="exact"/>
              <w:ind w:left="113" w:right="113"/>
            </w:pPr>
            <w:r w:rsidRPr="00B04DC3">
              <w:t>and</w:t>
            </w:r>
          </w:p>
          <w:p w:rsidR="00002BA6" w:rsidRPr="00B04DC3" w:rsidRDefault="00002BA6" w:rsidP="00002BA6">
            <w:pPr>
              <w:keepLines/>
              <w:spacing w:before="40" w:after="80" w:line="240" w:lineRule="exact"/>
              <w:ind w:left="113" w:right="113"/>
            </w:pPr>
            <w:r w:rsidRPr="00B04DC3">
              <w:t>M</w:t>
            </w:r>
            <w:r w:rsidRPr="00B04DC3">
              <w:rPr>
                <w:vertAlign w:val="subscript"/>
              </w:rPr>
              <w:t>act</w:t>
            </w:r>
            <w:r w:rsidRPr="00B04DC3">
              <w:t xml:space="preserve"> &gt; (M</w:t>
            </w:r>
            <w:r w:rsidRPr="00B04DC3">
              <w:rPr>
                <w:vertAlign w:val="subscript"/>
              </w:rPr>
              <w:t>ref</w:t>
            </w:r>
            <w:r w:rsidRPr="00B04DC3">
              <w:t xml:space="preserve"> - 0.02 M</w:t>
            </w:r>
            <w:r w:rsidRPr="00B04DC3">
              <w:rPr>
                <w:vertAlign w:val="subscript"/>
              </w:rPr>
              <w:t>max. mapped torque</w:t>
            </w:r>
            <w:r w:rsidRPr="00B04DC3">
              <w:t>)</w:t>
            </w:r>
          </w:p>
          <w:p w:rsidR="00002BA6" w:rsidRPr="00B04DC3" w:rsidRDefault="00002BA6" w:rsidP="00002BA6">
            <w:pPr>
              <w:keepLines/>
              <w:spacing w:before="40" w:after="80" w:line="240" w:lineRule="exact"/>
              <w:ind w:left="113" w:right="113"/>
            </w:pPr>
            <w:r w:rsidRPr="00B04DC3">
              <w:t>and</w:t>
            </w:r>
          </w:p>
          <w:p w:rsidR="00002BA6" w:rsidRPr="00B04DC3" w:rsidRDefault="00002BA6" w:rsidP="00002BA6">
            <w:pPr>
              <w:keepLines/>
              <w:spacing w:before="40" w:after="80" w:line="240" w:lineRule="exact"/>
              <w:ind w:left="113" w:right="113"/>
            </w:pPr>
            <w:r w:rsidRPr="00B04DC3">
              <w:t>M</w:t>
            </w:r>
            <w:r w:rsidRPr="00B04DC3">
              <w:rPr>
                <w:vertAlign w:val="subscript"/>
              </w:rPr>
              <w:t>act</w:t>
            </w:r>
            <w:r w:rsidRPr="00B04DC3">
              <w:t xml:space="preserve"> &lt; (M</w:t>
            </w:r>
            <w:r w:rsidRPr="00B04DC3">
              <w:rPr>
                <w:vertAlign w:val="subscript"/>
              </w:rPr>
              <w:t>ref</w:t>
            </w:r>
            <w:r w:rsidRPr="00B04DC3">
              <w:t xml:space="preserve"> + 0.02 M</w:t>
            </w:r>
            <w:r w:rsidRPr="00B04DC3">
              <w:rPr>
                <w:vertAlign w:val="subscript"/>
              </w:rPr>
              <w:t>max. mapped torque</w:t>
            </w:r>
            <w:r w:rsidRPr="00B04DC3">
              <w:t>)</w:t>
            </w:r>
            <w:r w:rsidRPr="00B04DC3">
              <w:rPr>
                <w:vertAlign w:val="subscript"/>
              </w:rPr>
              <w:t xml:space="preserve"> </w:t>
            </w:r>
            <w:r w:rsidRPr="00B04DC3">
              <w:t xml:space="preserve"> </w:t>
            </w:r>
          </w:p>
        </w:tc>
        <w:tc>
          <w:tcPr>
            <w:tcW w:w="2221" w:type="dxa"/>
            <w:tcBorders>
              <w:top w:val="single" w:sz="12" w:space="0" w:color="auto"/>
            </w:tcBorders>
            <w:tcMar>
              <w:left w:w="28" w:type="dxa"/>
              <w:right w:w="28" w:type="dxa"/>
            </w:tcMar>
          </w:tcPr>
          <w:p w:rsidR="00002BA6" w:rsidRPr="00B04DC3" w:rsidRDefault="00002BA6" w:rsidP="00002BA6">
            <w:pPr>
              <w:keepLines/>
              <w:spacing w:before="40" w:after="80" w:line="240" w:lineRule="exact"/>
              <w:ind w:left="113" w:right="113"/>
            </w:pPr>
            <w:r w:rsidRPr="00B04DC3">
              <w:t>speed and power</w:t>
            </w:r>
          </w:p>
        </w:tc>
      </w:tr>
      <w:tr w:rsidR="00002BA6" w:rsidRPr="00B04DC3" w:rsidTr="006E3517">
        <w:tc>
          <w:tcPr>
            <w:tcW w:w="2660" w:type="dxa"/>
          </w:tcPr>
          <w:p w:rsidR="00002BA6" w:rsidRPr="00B04DC3" w:rsidRDefault="00002BA6" w:rsidP="006E3517">
            <w:pPr>
              <w:keepLines/>
              <w:spacing w:before="40" w:after="80" w:line="240" w:lineRule="exact"/>
              <w:ind w:left="56" w:right="34"/>
            </w:pPr>
            <w:r w:rsidRPr="00B04DC3">
              <w:t>Minimum operator demand (motoring point)</w:t>
            </w:r>
          </w:p>
        </w:tc>
        <w:tc>
          <w:tcPr>
            <w:tcW w:w="3624" w:type="dxa"/>
            <w:tcMar>
              <w:left w:w="28" w:type="dxa"/>
              <w:right w:w="28" w:type="dxa"/>
            </w:tcMar>
          </w:tcPr>
          <w:p w:rsidR="00002BA6" w:rsidRPr="00B04DC3" w:rsidRDefault="00002BA6" w:rsidP="00002BA6">
            <w:pPr>
              <w:keepLines/>
              <w:spacing w:before="40" w:after="80" w:line="240" w:lineRule="exact"/>
              <w:ind w:left="113" w:right="113"/>
            </w:pPr>
            <w:r w:rsidRPr="00B04DC3">
              <w:t>M</w:t>
            </w:r>
            <w:r w:rsidRPr="00B04DC3">
              <w:rPr>
                <w:vertAlign w:val="subscript"/>
              </w:rPr>
              <w:t>ref</w:t>
            </w:r>
            <w:r w:rsidRPr="00B04DC3">
              <w:t xml:space="preserve"> &lt; 0 per cent</w:t>
            </w:r>
          </w:p>
        </w:tc>
        <w:tc>
          <w:tcPr>
            <w:tcW w:w="2221" w:type="dxa"/>
            <w:tcMar>
              <w:left w:w="28" w:type="dxa"/>
              <w:right w:w="28" w:type="dxa"/>
            </w:tcMar>
          </w:tcPr>
          <w:p w:rsidR="00002BA6" w:rsidRPr="00B04DC3" w:rsidRDefault="00002BA6" w:rsidP="00002BA6">
            <w:pPr>
              <w:keepLines/>
              <w:spacing w:before="40" w:after="80" w:line="240" w:lineRule="exact"/>
              <w:ind w:left="113" w:right="113"/>
            </w:pPr>
            <w:r w:rsidRPr="00B04DC3">
              <w:t>power and torque</w:t>
            </w:r>
          </w:p>
        </w:tc>
      </w:tr>
      <w:tr w:rsidR="00002BA6" w:rsidRPr="00B04DC3" w:rsidTr="006E3517">
        <w:tc>
          <w:tcPr>
            <w:tcW w:w="2660" w:type="dxa"/>
          </w:tcPr>
          <w:p w:rsidR="00002BA6" w:rsidRPr="00B04DC3" w:rsidRDefault="00002BA6" w:rsidP="006E3517">
            <w:pPr>
              <w:keepLines/>
              <w:spacing w:before="40" w:after="80" w:line="240" w:lineRule="exact"/>
              <w:ind w:left="56" w:right="34"/>
            </w:pPr>
            <w:r w:rsidRPr="00B04DC3">
              <w:t xml:space="preserve">Minimum operator demand </w:t>
            </w:r>
          </w:p>
        </w:tc>
        <w:tc>
          <w:tcPr>
            <w:tcW w:w="3624" w:type="dxa"/>
            <w:tcMar>
              <w:left w:w="28" w:type="dxa"/>
              <w:right w:w="28" w:type="dxa"/>
            </w:tcMar>
          </w:tcPr>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 1.02 n</w:t>
            </w:r>
            <w:r w:rsidRPr="00B04DC3">
              <w:rPr>
                <w:vertAlign w:val="subscript"/>
              </w:rPr>
              <w:t>ref</w:t>
            </w:r>
            <w:r w:rsidRPr="00B04DC3">
              <w:t xml:space="preserve"> and M</w:t>
            </w:r>
            <w:r w:rsidRPr="00B04DC3">
              <w:rPr>
                <w:vertAlign w:val="subscript"/>
              </w:rPr>
              <w:t>act</w:t>
            </w:r>
            <w:r w:rsidRPr="00B04DC3">
              <w:t xml:space="preserve"> &gt; M</w:t>
            </w:r>
            <w:r w:rsidRPr="00B04DC3">
              <w:rPr>
                <w:vertAlign w:val="subscript"/>
              </w:rPr>
              <w:t>ref</w:t>
            </w:r>
          </w:p>
          <w:p w:rsidR="00002BA6" w:rsidRPr="00B04DC3" w:rsidRDefault="00002BA6" w:rsidP="00002BA6">
            <w:pPr>
              <w:keepLines/>
              <w:spacing w:before="40" w:after="80" w:line="240" w:lineRule="exact"/>
              <w:ind w:left="113" w:right="113"/>
            </w:pPr>
            <w:r w:rsidRPr="00B04DC3">
              <w:t>or</w:t>
            </w:r>
          </w:p>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&gt; n</w:t>
            </w:r>
            <w:r w:rsidRPr="00B04DC3">
              <w:rPr>
                <w:vertAlign w:val="subscript"/>
              </w:rPr>
              <w:t>ref</w:t>
            </w:r>
            <w:r w:rsidRPr="00B04DC3">
              <w:t xml:space="preserve"> and M</w:t>
            </w:r>
            <w:r w:rsidRPr="00B04DC3">
              <w:rPr>
                <w:vertAlign w:val="subscript"/>
              </w:rPr>
              <w:t>act</w:t>
            </w:r>
            <w:r w:rsidRPr="00B04DC3">
              <w:t xml:space="preserve"> ≤ M</w:t>
            </w:r>
            <w:r w:rsidRPr="00B04DC3">
              <w:rPr>
                <w:vertAlign w:val="subscript"/>
              </w:rPr>
              <w:t>ref'</w:t>
            </w:r>
          </w:p>
          <w:p w:rsidR="00002BA6" w:rsidRPr="00B04DC3" w:rsidRDefault="00002BA6" w:rsidP="00002BA6">
            <w:pPr>
              <w:keepLines/>
              <w:spacing w:before="40" w:after="80" w:line="240" w:lineRule="exact"/>
              <w:ind w:left="113" w:right="113"/>
            </w:pPr>
            <w:r w:rsidRPr="00B04DC3">
              <w:t>or</w:t>
            </w:r>
          </w:p>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&gt; 1.02 n</w:t>
            </w:r>
            <w:r w:rsidRPr="00B04DC3">
              <w:rPr>
                <w:vertAlign w:val="subscript"/>
              </w:rPr>
              <w:t>ref</w:t>
            </w:r>
            <w:r w:rsidRPr="00B04DC3">
              <w:t xml:space="preserve"> and M</w:t>
            </w:r>
            <w:r w:rsidRPr="00B04DC3">
              <w:rPr>
                <w:vertAlign w:val="subscript"/>
              </w:rPr>
              <w:t>ref</w:t>
            </w:r>
            <w:r w:rsidRPr="00B04DC3">
              <w:t xml:space="preserve"> &lt; M</w:t>
            </w:r>
            <w:r w:rsidRPr="00B04DC3">
              <w:rPr>
                <w:vertAlign w:val="subscript"/>
              </w:rPr>
              <w:t>act</w:t>
            </w:r>
            <w:r w:rsidRPr="00B04DC3">
              <w:t xml:space="preserve"> ≤ (M</w:t>
            </w:r>
            <w:r w:rsidRPr="00B04DC3">
              <w:rPr>
                <w:vertAlign w:val="subscript"/>
              </w:rPr>
              <w:t>ref</w:t>
            </w:r>
            <w:r w:rsidRPr="00B04DC3">
              <w:t xml:space="preserve"> + </w:t>
            </w:r>
          </w:p>
          <w:p w:rsidR="00002BA6" w:rsidRPr="00B04DC3" w:rsidRDefault="00002BA6" w:rsidP="00002BA6">
            <w:pPr>
              <w:keepLines/>
              <w:spacing w:before="40" w:after="80" w:line="240" w:lineRule="exact"/>
              <w:ind w:left="113" w:right="113"/>
            </w:pPr>
            <w:r w:rsidRPr="00B04DC3">
              <w:t>0.02 M</w:t>
            </w:r>
            <w:r w:rsidRPr="00B04DC3">
              <w:rPr>
                <w:vertAlign w:val="subscript"/>
              </w:rPr>
              <w:t>max. mapped torque</w:t>
            </w:r>
            <w:r w:rsidRPr="00B04DC3">
              <w:t>)</w:t>
            </w:r>
            <w:r w:rsidRPr="00B04DC3">
              <w:rPr>
                <w:vertAlign w:val="subscript"/>
              </w:rPr>
              <w:t xml:space="preserve"> </w:t>
            </w:r>
          </w:p>
        </w:tc>
        <w:tc>
          <w:tcPr>
            <w:tcW w:w="2221" w:type="dxa"/>
            <w:tcMar>
              <w:left w:w="28" w:type="dxa"/>
              <w:right w:w="28" w:type="dxa"/>
            </w:tcMar>
          </w:tcPr>
          <w:p w:rsidR="00002BA6" w:rsidRPr="00B04DC3" w:rsidRDefault="00002BA6" w:rsidP="00002BA6">
            <w:pPr>
              <w:keepLines/>
              <w:spacing w:before="40" w:after="80" w:line="240" w:lineRule="exact"/>
              <w:ind w:left="113" w:right="113"/>
            </w:pPr>
            <w:r w:rsidRPr="00B04DC3">
              <w:t xml:space="preserve">power and either torque or speed </w:t>
            </w:r>
          </w:p>
        </w:tc>
      </w:tr>
      <w:tr w:rsidR="00002BA6" w:rsidRPr="00B04DC3" w:rsidTr="006E3517">
        <w:tc>
          <w:tcPr>
            <w:tcW w:w="2660" w:type="dxa"/>
            <w:tcBorders>
              <w:bottom w:val="single" w:sz="12" w:space="0" w:color="auto"/>
            </w:tcBorders>
          </w:tcPr>
          <w:p w:rsidR="00002BA6" w:rsidRPr="00B04DC3" w:rsidRDefault="00002BA6" w:rsidP="006E3517">
            <w:pPr>
              <w:keepLines/>
              <w:spacing w:before="40" w:after="80" w:line="240" w:lineRule="exact"/>
              <w:ind w:left="56" w:right="34"/>
            </w:pPr>
            <w:r w:rsidRPr="00B04DC3">
              <w:t xml:space="preserve">Maximum operator demand </w:t>
            </w:r>
          </w:p>
        </w:tc>
        <w:tc>
          <w:tcPr>
            <w:tcW w:w="3624" w:type="dxa"/>
            <w:tcBorders>
              <w:bottom w:val="single" w:sz="12" w:space="0" w:color="auto"/>
            </w:tcBorders>
            <w:tcMar>
              <w:left w:w="28" w:type="dxa"/>
              <w:right w:w="28" w:type="dxa"/>
            </w:tcMar>
          </w:tcPr>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&lt; n</w:t>
            </w:r>
            <w:r w:rsidRPr="00B04DC3">
              <w:rPr>
                <w:vertAlign w:val="subscript"/>
              </w:rPr>
              <w:t>ref</w:t>
            </w:r>
            <w:r w:rsidRPr="00B04DC3">
              <w:t xml:space="preserve"> and M</w:t>
            </w:r>
            <w:r w:rsidRPr="00B04DC3">
              <w:rPr>
                <w:vertAlign w:val="subscript"/>
              </w:rPr>
              <w:t>act</w:t>
            </w:r>
            <w:r w:rsidRPr="00B04DC3">
              <w:t xml:space="preserve"> ≥ M</w:t>
            </w:r>
            <w:r w:rsidRPr="00B04DC3">
              <w:rPr>
                <w:vertAlign w:val="subscript"/>
              </w:rPr>
              <w:t>ref</w:t>
            </w:r>
          </w:p>
          <w:p w:rsidR="00002BA6" w:rsidRPr="00B04DC3" w:rsidRDefault="00002BA6" w:rsidP="00002BA6">
            <w:pPr>
              <w:keepLines/>
              <w:spacing w:before="40" w:after="80" w:line="240" w:lineRule="exact"/>
              <w:ind w:left="113" w:right="113"/>
            </w:pPr>
            <w:r w:rsidRPr="00B04DC3">
              <w:t>or</w:t>
            </w:r>
          </w:p>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 0.98 n</w:t>
            </w:r>
            <w:r w:rsidRPr="00B04DC3">
              <w:rPr>
                <w:vertAlign w:val="subscript"/>
              </w:rPr>
              <w:t>ref</w:t>
            </w:r>
            <w:r w:rsidRPr="00B04DC3">
              <w:t xml:space="preserve"> and M</w:t>
            </w:r>
            <w:r w:rsidRPr="00B04DC3">
              <w:rPr>
                <w:vertAlign w:val="subscript"/>
              </w:rPr>
              <w:t>act</w:t>
            </w:r>
            <w:r w:rsidRPr="00B04DC3">
              <w:t xml:space="preserve"> &lt; M</w:t>
            </w:r>
            <w:r w:rsidRPr="00B04DC3">
              <w:rPr>
                <w:vertAlign w:val="subscript"/>
              </w:rPr>
              <w:t>ref</w:t>
            </w:r>
          </w:p>
          <w:p w:rsidR="00002BA6" w:rsidRPr="00B04DC3" w:rsidRDefault="00002BA6" w:rsidP="00002BA6">
            <w:pPr>
              <w:keepLines/>
              <w:spacing w:before="40" w:after="80" w:line="240" w:lineRule="exact"/>
              <w:ind w:left="113" w:right="113"/>
            </w:pPr>
            <w:r w:rsidRPr="00B04DC3">
              <w:t>or</w:t>
            </w:r>
          </w:p>
          <w:p w:rsidR="00002BA6" w:rsidRPr="00B04DC3" w:rsidRDefault="00002BA6" w:rsidP="00002BA6">
            <w:pPr>
              <w:keepLines/>
              <w:spacing w:before="40" w:after="80" w:line="240" w:lineRule="exact"/>
              <w:ind w:left="113" w:right="113"/>
            </w:pPr>
            <w:r w:rsidRPr="00B04DC3">
              <w:t>n</w:t>
            </w:r>
            <w:r w:rsidRPr="00B04DC3">
              <w:rPr>
                <w:vertAlign w:val="subscript"/>
              </w:rPr>
              <w:t>act</w:t>
            </w:r>
            <w:r w:rsidRPr="00B04DC3">
              <w:t xml:space="preserve"> &lt; 0.98 n</w:t>
            </w:r>
            <w:r w:rsidRPr="00B04DC3">
              <w:rPr>
                <w:vertAlign w:val="subscript"/>
              </w:rPr>
              <w:t>ref</w:t>
            </w:r>
            <w:r w:rsidRPr="00B04DC3">
              <w:t xml:space="preserve"> and M</w:t>
            </w:r>
            <w:r w:rsidRPr="00B04DC3">
              <w:rPr>
                <w:vertAlign w:val="subscript"/>
              </w:rPr>
              <w:t>ref</w:t>
            </w:r>
            <w:r w:rsidRPr="00B04DC3">
              <w:t xml:space="preserve"> &gt; M</w:t>
            </w:r>
            <w:r w:rsidRPr="00B04DC3">
              <w:rPr>
                <w:vertAlign w:val="subscript"/>
              </w:rPr>
              <w:t>act</w:t>
            </w:r>
            <w:r w:rsidRPr="00B04DC3">
              <w:t xml:space="preserve"> ≥ (M</w:t>
            </w:r>
            <w:r w:rsidRPr="00B04DC3">
              <w:rPr>
                <w:vertAlign w:val="subscript"/>
              </w:rPr>
              <w:t>ref</w:t>
            </w:r>
            <w:r w:rsidRPr="00B04DC3">
              <w:t xml:space="preserve"> - </w:t>
            </w:r>
          </w:p>
          <w:p w:rsidR="00002BA6" w:rsidRPr="00B04DC3" w:rsidRDefault="00002BA6" w:rsidP="00002BA6">
            <w:pPr>
              <w:keepLines/>
              <w:spacing w:before="40" w:after="80" w:line="240" w:lineRule="exact"/>
              <w:ind w:left="113" w:right="113"/>
            </w:pPr>
            <w:r w:rsidRPr="00B04DC3">
              <w:t>0.02 M</w:t>
            </w:r>
            <w:r w:rsidRPr="00B04DC3">
              <w:rPr>
                <w:vertAlign w:val="subscript"/>
              </w:rPr>
              <w:t>max. mapped torque</w:t>
            </w:r>
            <w:r w:rsidRPr="00B04DC3">
              <w:t>)</w:t>
            </w:r>
          </w:p>
        </w:tc>
        <w:tc>
          <w:tcPr>
            <w:tcW w:w="2221" w:type="dxa"/>
            <w:tcBorders>
              <w:bottom w:val="single" w:sz="12" w:space="0" w:color="auto"/>
            </w:tcBorders>
            <w:tcMar>
              <w:left w:w="28" w:type="dxa"/>
              <w:right w:w="28" w:type="dxa"/>
            </w:tcMar>
          </w:tcPr>
          <w:p w:rsidR="00002BA6" w:rsidRPr="00B04DC3" w:rsidRDefault="00002BA6" w:rsidP="00002BA6">
            <w:pPr>
              <w:keepLines/>
              <w:spacing w:before="40" w:after="80" w:line="240" w:lineRule="exact"/>
              <w:ind w:left="113" w:right="113"/>
            </w:pPr>
            <w:r w:rsidRPr="00B04DC3">
              <w:t>power and either torque or speed</w:t>
            </w:r>
          </w:p>
        </w:tc>
      </w:tr>
    </w:tbl>
    <w:p w:rsidR="00002BA6" w:rsidRPr="00B04DC3" w:rsidRDefault="00002BA6" w:rsidP="006E3517">
      <w:pPr>
        <w:pStyle w:val="para"/>
        <w:spacing w:before="120" w:after="80"/>
        <w:rPr>
          <w:lang w:val="en-GB"/>
        </w:rPr>
      </w:pPr>
      <w:r w:rsidRPr="00B04DC3">
        <w:rPr>
          <w:lang w:val="en-GB"/>
        </w:rPr>
        <w:t>8.</w:t>
      </w:r>
      <w:r w:rsidRPr="00B04DC3">
        <w:rPr>
          <w:lang w:val="en-GB"/>
        </w:rPr>
        <w:tab/>
        <w:t>Emission calculation</w:t>
      </w:r>
    </w:p>
    <w:p w:rsidR="00002BA6" w:rsidRPr="00B04DC3" w:rsidRDefault="00002BA6" w:rsidP="006E3517">
      <w:pPr>
        <w:pStyle w:val="para"/>
        <w:spacing w:before="120" w:after="80"/>
        <w:rPr>
          <w:lang w:val="en-GB"/>
        </w:rPr>
      </w:pPr>
      <w:r w:rsidRPr="00B04DC3">
        <w:rPr>
          <w:lang w:val="en-GB"/>
        </w:rPr>
        <w:tab/>
        <w:t xml:space="preserve">The final test result shall be rounded in one step to the number of places to the right of the decimal point indicated by the applicable emission standard plus one additional significant </w:t>
      </w:r>
      <w:r w:rsidR="00313D4E" w:rsidRPr="00B04DC3">
        <w:rPr>
          <w:lang w:val="en-GB"/>
        </w:rPr>
        <w:t>Figure</w:t>
      </w:r>
      <w:r w:rsidRPr="00B04DC3">
        <w:rPr>
          <w:lang w:val="en-GB"/>
        </w:rPr>
        <w:t>, in accordance with ASTM E 29-06B. No rounding of intermediate values leading to the final break-specific emission result is permitted.</w:t>
      </w:r>
    </w:p>
    <w:p w:rsidR="00002BA6" w:rsidRPr="00B04DC3" w:rsidRDefault="00002BA6" w:rsidP="006E3517">
      <w:pPr>
        <w:pStyle w:val="para"/>
        <w:spacing w:before="120" w:after="80"/>
        <w:rPr>
          <w:lang w:val="en-GB"/>
        </w:rPr>
      </w:pPr>
      <w:r w:rsidRPr="00B04DC3">
        <w:rPr>
          <w:lang w:val="en-GB"/>
        </w:rPr>
        <w:tab/>
        <w:t>Examples of the calculation procedures are given in Appendix 6</w:t>
      </w:r>
      <w:r w:rsidR="00664E7D">
        <w:rPr>
          <w:lang w:val="en-GB"/>
        </w:rPr>
        <w:t xml:space="preserve"> to this annex</w:t>
      </w:r>
      <w:r w:rsidRPr="00B04DC3">
        <w:rPr>
          <w:lang w:val="en-GB"/>
        </w:rPr>
        <w:t>.</w:t>
      </w:r>
    </w:p>
    <w:p w:rsidR="00002BA6" w:rsidRPr="00B04DC3" w:rsidRDefault="00002BA6" w:rsidP="006E3517">
      <w:pPr>
        <w:pStyle w:val="para"/>
        <w:spacing w:before="120" w:after="80"/>
        <w:rPr>
          <w:lang w:val="en-GB"/>
        </w:rPr>
      </w:pPr>
      <w:r w:rsidRPr="00B04DC3">
        <w:rPr>
          <w:b/>
          <w:lang w:val="en-GB"/>
        </w:rPr>
        <w:tab/>
      </w:r>
      <w:r w:rsidRPr="00B04DC3">
        <w:rPr>
          <w:lang w:val="en-GB"/>
        </w:rPr>
        <w:t xml:space="preserve">Emissions calculation on a molar basis, in accordance with Annex 7 of gtr No. 11 concerning the exhaust emission test protocol for Non-Road Mobile Machinery (NRMM), is permitted with the prior agreement of the </w:t>
      </w:r>
      <w:r w:rsidR="00664E7D">
        <w:rPr>
          <w:lang w:val="en-GB"/>
        </w:rPr>
        <w:t>T</w:t>
      </w:r>
      <w:r w:rsidR="00664E7D" w:rsidRPr="00B04DC3">
        <w:rPr>
          <w:lang w:val="en-GB"/>
        </w:rPr>
        <w:t xml:space="preserve">ype </w:t>
      </w:r>
      <w:r w:rsidR="00664E7D">
        <w:rPr>
          <w:lang w:val="en-GB"/>
        </w:rPr>
        <w:t>A</w:t>
      </w:r>
      <w:r w:rsidR="00664E7D" w:rsidRPr="00B04DC3">
        <w:rPr>
          <w:lang w:val="en-GB"/>
        </w:rPr>
        <w:t xml:space="preserve">pproval </w:t>
      </w:r>
      <w:r w:rsidR="00664E7D">
        <w:rPr>
          <w:lang w:val="en-GB"/>
        </w:rPr>
        <w:t>A</w:t>
      </w:r>
      <w:r w:rsidR="00664E7D" w:rsidRPr="00B04DC3">
        <w:rPr>
          <w:lang w:val="en-GB"/>
        </w:rPr>
        <w:t>uthority</w:t>
      </w:r>
      <w:r w:rsidRPr="00B04DC3">
        <w:rPr>
          <w:lang w:val="en-GB"/>
        </w:rPr>
        <w:t>.</w:t>
      </w:r>
    </w:p>
    <w:p w:rsidR="00002BA6" w:rsidRPr="007548B0" w:rsidRDefault="00002BA6" w:rsidP="00002BA6">
      <w:pPr>
        <w:pStyle w:val="para"/>
        <w:spacing w:before="120"/>
        <w:rPr>
          <w:lang w:val="en-GB"/>
        </w:rPr>
      </w:pPr>
      <w:r w:rsidRPr="007548B0">
        <w:rPr>
          <w:lang w:val="en-GB"/>
        </w:rPr>
        <w:t>8.1.</w:t>
      </w:r>
      <w:r w:rsidRPr="007548B0">
        <w:rPr>
          <w:lang w:val="en-GB"/>
        </w:rPr>
        <w:tab/>
        <w:t>Dry/wet correction</w:t>
      </w:r>
    </w:p>
    <w:p w:rsidR="00002BA6" w:rsidRPr="00B04DC3" w:rsidRDefault="00002BA6" w:rsidP="00002BA6">
      <w:pPr>
        <w:pStyle w:val="para"/>
        <w:spacing w:before="120"/>
        <w:rPr>
          <w:lang w:val="en-GB"/>
        </w:rPr>
      </w:pPr>
      <w:r w:rsidRPr="007548B0">
        <w:rPr>
          <w:lang w:val="en-GB"/>
        </w:rPr>
        <w:tab/>
        <w:t>If the emissions are measured on a dry basis, the measured concentration shall be converted to a wet basis according to the following equation:</w:t>
      </w:r>
    </w:p>
    <w:p w:rsidR="00002BA6" w:rsidRPr="007548B0" w:rsidRDefault="00A905B7" w:rsidP="00002BA6">
      <w:pPr>
        <w:tabs>
          <w:tab w:val="right" w:pos="8505"/>
        </w:tabs>
        <w:ind w:left="2268" w:right="1134"/>
        <w:jc w:val="both"/>
        <w:rPr>
          <w:position w:val="40"/>
        </w:rPr>
      </w:pPr>
      <w:r>
        <w:pict>
          <v:group id="_x0000_s3998" editas="canvas" style="width:1in;height:30.1pt;mso-position-horizontal-relative:char;mso-position-vertical-relative:line" coordorigin="33,-1" coordsize="1440,602">
            <o:lock v:ext="edit" aspectratio="t"/>
            <v:shape id="_x0000_s3999" type="#_x0000_t75" style="position:absolute;left:33;top:-1;width:1440;height:602" o:preferrelative="f">
              <v:fill o:detectmouseclick="t"/>
              <v:path o:extrusionok="t" o:connecttype="none"/>
              <o:lock v:ext="edit" text="t"/>
            </v:shape>
            <v:rect id="_x0000_s4000" style="position:absolute;left:150;top:174;width:102;height:240;mso-wrap-style:none" filled="f" stroked="f">
              <v:textbox style="mso-fit-shape-to-text:t" inset="0,0,0,0">
                <w:txbxContent>
                  <w:p w:rsidR="00A905B7" w:rsidRDefault="00A905B7">
                    <w:r>
                      <w:rPr>
                        <w:color w:val="000000"/>
                        <w:sz w:val="14"/>
                        <w:szCs w:val="14"/>
                      </w:rPr>
                      <w:t>w</w:t>
                    </w:r>
                  </w:p>
                </w:txbxContent>
              </v:textbox>
            </v:rect>
            <v:rect id="_x0000_s4001" style="position:absolute;left:1181;top:29;width:292;height:330" filled="f" stroked="f">
              <v:textbox inset="0,0,0,0">
                <w:txbxContent>
                  <w:p w:rsidR="00A905B7" w:rsidRPr="00711B75" w:rsidRDefault="00A905B7">
                    <w:r w:rsidRPr="00711B75">
                      <w:rPr>
                        <w:iCs/>
                        <w:color w:val="000000"/>
                        <w:szCs w:val="24"/>
                      </w:rPr>
                      <w:t>c</w:t>
                    </w:r>
                    <w:r w:rsidRPr="00711B75">
                      <w:rPr>
                        <w:iCs/>
                        <w:color w:val="000000"/>
                        <w:szCs w:val="24"/>
                        <w:vertAlign w:val="subscript"/>
                      </w:rPr>
                      <w:t>d</w:t>
                    </w:r>
                  </w:p>
                </w:txbxContent>
              </v:textbox>
            </v:rect>
            <v:rect id="_x0000_s4002" style="position:absolute;left:699;top:26;width:101;height:240;mso-wrap-style:none" filled="f" stroked="f">
              <v:textbox style="mso-fit-shape-to-text:t" inset="0,0,0,0">
                <w:txbxContent>
                  <w:p w:rsidR="00A905B7" w:rsidRPr="00711B75" w:rsidRDefault="00A905B7">
                    <w:r w:rsidRPr="00711B75">
                      <w:rPr>
                        <w:iCs/>
                        <w:color w:val="000000"/>
                        <w:szCs w:val="24"/>
                      </w:rPr>
                      <w:t>k</w:t>
                    </w:r>
                  </w:p>
                </w:txbxContent>
              </v:textbox>
            </v:rect>
            <v:rect id="_x0000_s4003" style="position:absolute;left:33;top:26;width:89;height:240;mso-wrap-style:none" filled="f" stroked="f">
              <v:textbox style="mso-fit-shape-to-text:t" inset="0,0,0,0">
                <w:txbxContent>
                  <w:p w:rsidR="00A905B7" w:rsidRPr="00711B75" w:rsidRDefault="00A905B7">
                    <w:r w:rsidRPr="00711B75">
                      <w:rPr>
                        <w:iCs/>
                        <w:color w:val="000000"/>
                        <w:szCs w:val="24"/>
                      </w:rPr>
                      <w:t>c</w:t>
                    </w:r>
                  </w:p>
                </w:txbxContent>
              </v:textbox>
            </v:rect>
            <v:rect id="_x0000_s4004" style="position:absolute;left:824;top:175;width:102;height:240;mso-wrap-style:none" filled="f" stroked="f">
              <v:textbox style="mso-fit-shape-to-text:t" inset="0,0,0,0">
                <w:txbxContent>
                  <w:p w:rsidR="00A905B7" w:rsidRPr="00711B75" w:rsidRDefault="00A905B7">
                    <w:r w:rsidRPr="00711B75">
                      <w:rPr>
                        <w:iCs/>
                        <w:color w:val="000000"/>
                        <w:sz w:val="14"/>
                        <w:szCs w:val="14"/>
                      </w:rPr>
                      <w:t>w</w:t>
                    </w:r>
                  </w:p>
                </w:txbxContent>
              </v:textbox>
            </v:rect>
            <v:rect id="_x0000_s4005" style="position:absolute;left:1027;top:-1;width:179;height:360" filled="f" stroked="f">
              <v:textbox inset="0,0,0,0">
                <w:txbxContent>
                  <w:p w:rsidR="00A905B7" w:rsidRDefault="00A905B7" w:rsidP="00002BA6">
                    <w:pPr>
                      <w:autoSpaceDE w:val="0"/>
                      <w:autoSpaceDN w:val="0"/>
                      <w:adjustRightInd w:val="0"/>
                    </w:pPr>
                    <w:r>
                      <w:rPr>
                        <w:rFonts w:ascii="Symbol" w:hAnsi="Symbol" w:cs="Symbol"/>
                        <w:color w:val="000000"/>
                        <w:szCs w:val="24"/>
                      </w:rPr>
                      <w:t></w:t>
                    </w:r>
                  </w:p>
                  <w:p w:rsidR="00A905B7" w:rsidRDefault="00A905B7"/>
                </w:txbxContent>
              </v:textbox>
            </v:rect>
            <v:rect id="_x0000_s4006" style="position:absolute;left:429;top:-1;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00002BA6" w:rsidRPr="007548B0">
        <w:rPr>
          <w:position w:val="40"/>
        </w:rPr>
        <w:tab/>
        <w:t>(12)</w:t>
      </w:r>
    </w:p>
    <w:p w:rsidR="00002BA6" w:rsidRPr="00B04DC3" w:rsidRDefault="00002BA6" w:rsidP="00002BA6">
      <w:pPr>
        <w:pStyle w:val="para"/>
        <w:spacing w:before="120"/>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i/>
          <w:lang w:val="en-GB"/>
        </w:rPr>
        <w:tab/>
      </w:r>
      <w:r w:rsidRPr="00B04DC3">
        <w:rPr>
          <w:lang w:val="en-GB"/>
        </w:rPr>
        <w:t>c</w:t>
      </w:r>
      <w:r w:rsidRPr="00B04DC3">
        <w:rPr>
          <w:vertAlign w:val="subscript"/>
          <w:lang w:val="en-GB"/>
        </w:rPr>
        <w:t>d</w:t>
      </w:r>
      <w:r w:rsidRPr="00B04DC3">
        <w:rPr>
          <w:lang w:val="en-GB"/>
        </w:rPr>
        <w:tab/>
        <w:t>is the dry concentration in ppm or per cent volume</w:t>
      </w:r>
    </w:p>
    <w:p w:rsidR="00002BA6" w:rsidRPr="00B04DC3" w:rsidRDefault="00002BA6" w:rsidP="00002BA6">
      <w:pPr>
        <w:pStyle w:val="para"/>
        <w:tabs>
          <w:tab w:val="left" w:pos="2268"/>
        </w:tabs>
        <w:spacing w:before="120"/>
        <w:ind w:left="2835" w:hanging="1701"/>
        <w:rPr>
          <w:lang w:val="en-GB"/>
        </w:rPr>
      </w:pPr>
      <w:r w:rsidRPr="00B04DC3">
        <w:rPr>
          <w:lang w:val="en-GB"/>
        </w:rPr>
        <w:tab/>
        <w:t>k</w:t>
      </w:r>
      <w:r w:rsidRPr="00B04DC3">
        <w:rPr>
          <w:vertAlign w:val="subscript"/>
          <w:lang w:val="en-GB"/>
        </w:rPr>
        <w:t>w</w:t>
      </w:r>
      <w:r w:rsidRPr="00B04DC3">
        <w:rPr>
          <w:lang w:val="en-GB"/>
        </w:rPr>
        <w:tab/>
        <w:t>is the dry/wet correction factor (k</w:t>
      </w:r>
      <w:r w:rsidRPr="00B04DC3">
        <w:rPr>
          <w:vertAlign w:val="subscript"/>
          <w:lang w:val="en-GB"/>
        </w:rPr>
        <w:t>w,a</w:t>
      </w:r>
      <w:r w:rsidRPr="00B04DC3">
        <w:rPr>
          <w:lang w:val="en-GB"/>
        </w:rPr>
        <w:t>, k</w:t>
      </w:r>
      <w:r w:rsidRPr="00B04DC3">
        <w:rPr>
          <w:vertAlign w:val="subscript"/>
          <w:lang w:val="en-GB"/>
        </w:rPr>
        <w:t>w,e</w:t>
      </w:r>
      <w:r w:rsidRPr="00B04DC3">
        <w:rPr>
          <w:lang w:val="en-GB"/>
        </w:rPr>
        <w:t>, or k</w:t>
      </w:r>
      <w:r w:rsidRPr="00B04DC3">
        <w:rPr>
          <w:vertAlign w:val="subscript"/>
          <w:lang w:val="en-GB"/>
        </w:rPr>
        <w:t>w,d</w:t>
      </w:r>
      <w:r w:rsidRPr="00B04DC3">
        <w:rPr>
          <w:lang w:val="en-GB"/>
        </w:rPr>
        <w:t xml:space="preserve"> depending on respective equation used)</w:t>
      </w:r>
    </w:p>
    <w:p w:rsidR="00002BA6" w:rsidRPr="00B04DC3" w:rsidRDefault="00002BA6" w:rsidP="00002BA6">
      <w:pPr>
        <w:pStyle w:val="para"/>
        <w:spacing w:before="120"/>
        <w:rPr>
          <w:lang w:val="en-GB"/>
        </w:rPr>
      </w:pPr>
      <w:r w:rsidRPr="00B04DC3">
        <w:rPr>
          <w:lang w:val="en-GB"/>
        </w:rPr>
        <w:t>8.1.1.</w:t>
      </w:r>
      <w:r w:rsidRPr="00B04DC3">
        <w:rPr>
          <w:lang w:val="en-GB"/>
        </w:rPr>
        <w:tab/>
        <w:t>Raw exhaust gas</w:t>
      </w:r>
    </w:p>
    <w:p w:rsidR="00002BA6" w:rsidRPr="00B04DC3" w:rsidRDefault="00002BA6" w:rsidP="00002BA6">
      <w:pPr>
        <w:pStyle w:val="para"/>
        <w:tabs>
          <w:tab w:val="right" w:pos="8500"/>
        </w:tabs>
        <w:rPr>
          <w:lang w:val="en-GB"/>
        </w:rPr>
      </w:pPr>
      <w:r w:rsidRPr="00B04DC3">
        <w:rPr>
          <w:position w:val="-6"/>
          <w:lang w:val="en-GB"/>
        </w:rPr>
        <w:tab/>
      </w:r>
      <w:r w:rsidRPr="00B04DC3">
        <w:rPr>
          <w:position w:val="-70"/>
          <w:lang w:val="en-GB"/>
        </w:rPr>
        <w:object w:dxaOrig="5720" w:dyaOrig="1520">
          <v:shape id="_x0000_i1228" type="#_x0000_t75" style="width:242.4pt;height:63.6pt" o:ole="">
            <v:imagedata r:id="rId359" o:title=""/>
          </v:shape>
          <o:OLEObject Type="Embed" ProgID="Equation.3" ShapeID="_x0000_i1228" DrawAspect="Content" ObjectID="_1498392337" r:id="rId360"/>
        </w:object>
      </w:r>
      <w:r w:rsidRPr="00B04DC3">
        <w:rPr>
          <w:position w:val="-6"/>
          <w:lang w:val="en-GB"/>
        </w:rPr>
        <w:tab/>
      </w:r>
      <w:r w:rsidRPr="00B04DC3">
        <w:rPr>
          <w:lang w:val="en-GB"/>
        </w:rPr>
        <w:t>(13)</w:t>
      </w:r>
    </w:p>
    <w:p w:rsidR="00002BA6" w:rsidRPr="00B04DC3" w:rsidRDefault="00002BA6" w:rsidP="00002BA6">
      <w:pPr>
        <w:pStyle w:val="para"/>
        <w:tabs>
          <w:tab w:val="right" w:pos="8500"/>
        </w:tabs>
        <w:rPr>
          <w:position w:val="-6"/>
          <w:lang w:val="en-GB"/>
        </w:rPr>
      </w:pPr>
      <w:r w:rsidRPr="00B04DC3">
        <w:rPr>
          <w:position w:val="-6"/>
          <w:lang w:val="en-GB"/>
        </w:rPr>
        <w:tab/>
        <w:t xml:space="preserve">or </w:t>
      </w:r>
    </w:p>
    <w:p w:rsidR="00002BA6" w:rsidRPr="00B04DC3" w:rsidRDefault="00002BA6" w:rsidP="00002BA6">
      <w:pPr>
        <w:pStyle w:val="para"/>
        <w:tabs>
          <w:tab w:val="right" w:pos="8500"/>
        </w:tabs>
        <w:rPr>
          <w:i/>
          <w:lang w:val="en-GB"/>
        </w:rPr>
      </w:pPr>
      <w:r w:rsidRPr="00B04DC3">
        <w:rPr>
          <w:position w:val="-6"/>
          <w:lang w:val="en-GB"/>
        </w:rPr>
        <w:tab/>
      </w:r>
      <w:r w:rsidRPr="00B04DC3">
        <w:rPr>
          <w:position w:val="-70"/>
          <w:lang w:val="en-GB"/>
        </w:rPr>
        <w:object w:dxaOrig="6300" w:dyaOrig="1520">
          <v:shape id="_x0000_i1229" type="#_x0000_t75" style="width:253.8pt;height:66pt" o:ole="">
            <v:imagedata r:id="rId361" o:title=""/>
          </v:shape>
          <o:OLEObject Type="Embed" ProgID="Equation.3" ShapeID="_x0000_i1229" DrawAspect="Content" ObjectID="_1498392338" r:id="rId362"/>
        </w:object>
      </w:r>
      <w:r w:rsidRPr="00B04DC3">
        <w:rPr>
          <w:lang w:val="en-GB"/>
        </w:rPr>
        <w:tab/>
        <w:t>(14)</w:t>
      </w:r>
    </w:p>
    <w:p w:rsidR="00002BA6" w:rsidRPr="00B04DC3" w:rsidRDefault="00002BA6" w:rsidP="00002BA6">
      <w:pPr>
        <w:pStyle w:val="para"/>
        <w:tabs>
          <w:tab w:val="right" w:pos="8500"/>
        </w:tabs>
        <w:rPr>
          <w:lang w:val="en-GB"/>
        </w:rPr>
      </w:pPr>
      <w:r w:rsidRPr="00B04DC3">
        <w:rPr>
          <w:lang w:val="en-GB"/>
        </w:rPr>
        <w:tab/>
        <w:t>or</w:t>
      </w:r>
    </w:p>
    <w:p w:rsidR="00002BA6" w:rsidRPr="00B04DC3" w:rsidRDefault="00002BA6" w:rsidP="00002BA6">
      <w:pPr>
        <w:pStyle w:val="para"/>
        <w:tabs>
          <w:tab w:val="right" w:pos="8500"/>
        </w:tabs>
        <w:rPr>
          <w:lang w:val="en-GB"/>
        </w:rPr>
      </w:pPr>
      <w:r w:rsidRPr="00B04DC3">
        <w:rPr>
          <w:position w:val="-6"/>
          <w:lang w:val="en-GB"/>
        </w:rPr>
        <w:tab/>
      </w:r>
      <w:r w:rsidRPr="00B04DC3">
        <w:rPr>
          <w:position w:val="-32"/>
          <w:lang w:val="en-GB"/>
        </w:rPr>
        <w:object w:dxaOrig="4980" w:dyaOrig="760">
          <v:shape id="_x0000_i1230" type="#_x0000_t75" style="width:238.8pt;height:36.6pt" o:ole="">
            <v:imagedata r:id="rId363" o:title=""/>
          </v:shape>
          <o:OLEObject Type="Embed" ProgID="Equation.3" ShapeID="_x0000_i1230" DrawAspect="Content" ObjectID="_1498392339" r:id="rId364"/>
        </w:object>
      </w:r>
      <w:r w:rsidRPr="00B04DC3">
        <w:rPr>
          <w:lang w:val="en-GB"/>
        </w:rPr>
        <w:tab/>
        <w:t>(15)</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With</w:t>
      </w:r>
      <w:r w:rsidR="00664E7D">
        <w:rPr>
          <w:lang w:val="en-GB"/>
        </w:rPr>
        <w:t>:</w:t>
      </w:r>
    </w:p>
    <w:p w:rsidR="00002BA6" w:rsidRPr="00B04DC3" w:rsidRDefault="00002BA6" w:rsidP="00002BA6">
      <w:pPr>
        <w:pStyle w:val="para"/>
        <w:tabs>
          <w:tab w:val="right" w:pos="8500"/>
        </w:tabs>
        <w:rPr>
          <w:lang w:val="en-GB"/>
        </w:rPr>
      </w:pPr>
      <w:r w:rsidRPr="00B04DC3">
        <w:rPr>
          <w:position w:val="-6"/>
          <w:lang w:val="en-GB"/>
        </w:rPr>
        <w:tab/>
      </w:r>
      <w:r w:rsidRPr="00B04DC3">
        <w:rPr>
          <w:iCs/>
          <w:lang w:val="en-GB"/>
        </w:rPr>
        <w:t>k</w:t>
      </w:r>
      <w:r w:rsidRPr="00B04DC3">
        <w:rPr>
          <w:iCs/>
          <w:vertAlign w:val="subscript"/>
          <w:lang w:val="en-GB"/>
        </w:rPr>
        <w:t>f,w</w:t>
      </w:r>
      <w:r w:rsidRPr="00B04DC3">
        <w:rPr>
          <w:lang w:val="en-GB"/>
        </w:rPr>
        <w:t xml:space="preserve">     =   0.055594 </w:t>
      </w:r>
      <w:r w:rsidRPr="00B04DC3">
        <w:rPr>
          <w:rFonts w:cs="Arial"/>
          <w:lang w:val="en-GB"/>
        </w:rPr>
        <w:sym w:font="Wingdings 2" w:char="F0CD"/>
      </w:r>
      <w:r w:rsidRPr="00B04DC3">
        <w:rPr>
          <w:lang w:val="en-GB"/>
        </w:rPr>
        <w:t xml:space="preserve"> w</w:t>
      </w:r>
      <w:r w:rsidRPr="00B04DC3">
        <w:rPr>
          <w:vertAlign w:val="subscript"/>
          <w:lang w:val="en-GB"/>
        </w:rPr>
        <w:t>ALF</w:t>
      </w:r>
      <w:r w:rsidRPr="00B04DC3">
        <w:rPr>
          <w:lang w:val="en-GB"/>
        </w:rPr>
        <w:t xml:space="preserve"> + 0.0080021 </w:t>
      </w:r>
      <w:r w:rsidRPr="00B04DC3">
        <w:rPr>
          <w:rFonts w:cs="Arial"/>
          <w:lang w:val="en-GB"/>
        </w:rPr>
        <w:sym w:font="Wingdings 2" w:char="F0CD"/>
      </w:r>
      <w:r w:rsidRPr="00B04DC3">
        <w:rPr>
          <w:lang w:val="en-GB"/>
        </w:rPr>
        <w:t xml:space="preserve"> w</w:t>
      </w:r>
      <w:r w:rsidRPr="00B04DC3">
        <w:rPr>
          <w:vertAlign w:val="subscript"/>
          <w:lang w:val="en-GB"/>
        </w:rPr>
        <w:t>DEL</w:t>
      </w:r>
      <w:r w:rsidRPr="00B04DC3">
        <w:rPr>
          <w:lang w:val="en-GB"/>
        </w:rPr>
        <w:t xml:space="preserve"> + 0.0070046 </w:t>
      </w:r>
      <w:r w:rsidRPr="00B04DC3">
        <w:rPr>
          <w:rFonts w:cs="Arial"/>
          <w:lang w:val="en-GB"/>
        </w:rPr>
        <w:sym w:font="Wingdings 2" w:char="F0CD"/>
      </w:r>
      <w:r w:rsidRPr="00B04DC3">
        <w:rPr>
          <w:lang w:val="en-GB"/>
        </w:rPr>
        <w:t xml:space="preserve"> w</w:t>
      </w:r>
      <w:r w:rsidRPr="00B04DC3">
        <w:rPr>
          <w:vertAlign w:val="subscript"/>
          <w:lang w:val="en-GB"/>
        </w:rPr>
        <w:t>EPS</w:t>
      </w:r>
      <w:r w:rsidRPr="00B04DC3">
        <w:rPr>
          <w:lang w:val="en-GB"/>
        </w:rPr>
        <w:tab/>
        <w:t>(16)</w:t>
      </w:r>
    </w:p>
    <w:p w:rsidR="00002BA6" w:rsidRPr="00B04DC3" w:rsidRDefault="00002BA6" w:rsidP="00002BA6">
      <w:pPr>
        <w:tabs>
          <w:tab w:val="right" w:pos="8505"/>
        </w:tabs>
        <w:ind w:left="2268" w:right="1134"/>
        <w:jc w:val="both"/>
        <w:rPr>
          <w:position w:val="-6"/>
        </w:rPr>
      </w:pPr>
      <w:r w:rsidRPr="00B04DC3">
        <w:rPr>
          <w:position w:val="-6"/>
        </w:rPr>
        <w:t>and</w:t>
      </w:r>
    </w:p>
    <w:p w:rsidR="00002BA6" w:rsidRPr="007548B0" w:rsidRDefault="00A905B7" w:rsidP="00002BA6">
      <w:pPr>
        <w:pStyle w:val="para"/>
        <w:tabs>
          <w:tab w:val="right" w:pos="8500"/>
        </w:tabs>
        <w:spacing w:line="180" w:lineRule="atLeast"/>
        <w:ind w:left="2835" w:firstLine="0"/>
        <w:rPr>
          <w:position w:val="40"/>
          <w:lang w:val="en-GB"/>
        </w:rPr>
      </w:pPr>
      <w:r>
        <w:rPr>
          <w:i/>
          <w:noProof/>
          <w:lang w:val="en-GB"/>
        </w:rPr>
        <w:pict>
          <v:rect id="_x0000_s5510" style="position:absolute;left:0;text-align:left;margin-left:109.35pt;margin-top:18.35pt;width:26.1pt;height:18pt;z-index:251590656;mso-wrap-style:none" filled="f" stroked="f">
            <v:textbox style="mso-next-textbox:#_x0000_s5510" inset="0,0,0,0">
              <w:txbxContent>
                <w:p w:rsidR="00A905B7" w:rsidRPr="001C7DC1" w:rsidRDefault="00A905B7" w:rsidP="0025373F">
                  <w:pPr>
                    <w:ind w:left="-14"/>
                  </w:pPr>
                  <w:r>
                    <w:t xml:space="preserve">  </w:t>
                  </w:r>
                  <w:r w:rsidRPr="001C7DC1">
                    <w:t>k</w:t>
                  </w:r>
                  <w:r w:rsidRPr="001C7DC1">
                    <w:rPr>
                      <w:vertAlign w:val="subscript"/>
                    </w:rPr>
                    <w:t>w1</w:t>
                  </w:r>
                  <w:r w:rsidRPr="007B6120">
                    <w:t xml:space="preserve"> </w:t>
                  </w:r>
                  <w:r w:rsidRPr="001C7DC1">
                    <w:t>=</w:t>
                  </w:r>
                  <w:r>
                    <w:t xml:space="preserve">    </w:t>
                  </w:r>
                </w:p>
              </w:txbxContent>
            </v:textbox>
          </v:rect>
        </w:pict>
      </w:r>
      <w:r>
        <w:rPr>
          <w:i/>
          <w:noProof/>
          <w:lang w:val="en-GB"/>
        </w:rPr>
        <w:pict>
          <v:group id="_x0000_s4007" editas="canvas" style="position:absolute;margin-left:0;margin-top:0;width:98.65pt;height:45.75pt;z-index:251578368;mso-position-horizontal-relative:char;mso-position-vertical-relative:line" coordorigin="30,-14" coordsize="1973,915">
            <o:lock v:ext="edit" aspectratio="t"/>
            <v:shape id="_x0000_s4008" type="#_x0000_t75" style="position:absolute;left:30;top:-14;width:1973;height:915" o:preferrelative="f">
              <v:fill o:detectmouseclick="t"/>
              <v:path o:extrusionok="t" o:connecttype="none"/>
              <o:lock v:ext="edit" text="t"/>
            </v:shape>
            <v:rect id="_x0000_s4009" style="position:absolute;left:799;top:258;width:100;height:368;mso-wrap-style:none" filled="f" stroked="f">
              <v:textbox style="mso-next-textbox:#_x0000_s4009;mso-fit-shape-to-text:t" inset="0,0,0,0">
                <w:txbxContent>
                  <w:p w:rsidR="00A905B7" w:rsidRDefault="00A905B7">
                    <w:r>
                      <w:rPr>
                        <w:rFonts w:ascii="Symbol" w:hAnsi="Symbol" w:cs="Symbol"/>
                        <w:color w:val="000000"/>
                        <w:sz w:val="30"/>
                        <w:szCs w:val="30"/>
                      </w:rPr>
                      <w:t></w:t>
                    </w:r>
                  </w:p>
                </w:txbxContent>
              </v:textbox>
            </v:rect>
            <v:rect id="_x0000_s4010" style="position:absolute;left:1903;top:258;width:100;height:368;mso-wrap-style:none" filled="f" stroked="f">
              <v:textbox style="mso-next-textbox:#_x0000_s4010;mso-fit-shape-to-text:t" inset="0,0,0,0">
                <w:txbxContent>
                  <w:p w:rsidR="00A905B7" w:rsidRDefault="00A905B7">
                    <w:r>
                      <w:rPr>
                        <w:rFonts w:ascii="Symbol" w:hAnsi="Symbol" w:cs="Symbol"/>
                        <w:color w:val="000000"/>
                        <w:sz w:val="30"/>
                        <w:szCs w:val="30"/>
                      </w:rPr>
                      <w:t></w:t>
                    </w:r>
                  </w:p>
                </w:txbxContent>
              </v:textbox>
            </v:rect>
            <v:line id="_x0000_s4011" style="position:absolute" from="40,320" to="1976,320" strokeweight=".5pt"/>
            <v:rect id="_x0000_s4012" style="position:absolute;left:1796;top:430;width:63;height:240;mso-wrap-style:none" filled="f" stroked="f">
              <v:textbox style="mso-next-textbox:#_x0000_s4012;mso-fit-shape-to-text:t" inset="0,0,0,0">
                <w:txbxContent>
                  <w:p w:rsidR="00A905B7" w:rsidRDefault="00A905B7">
                    <w:r>
                      <w:rPr>
                        <w:color w:val="000000"/>
                        <w:sz w:val="14"/>
                        <w:szCs w:val="14"/>
                      </w:rPr>
                      <w:t>a</w:t>
                    </w:r>
                  </w:p>
                </w:txbxContent>
              </v:textbox>
            </v:rect>
            <v:rect id="_x0000_s4013" style="position:absolute;left:1422;top:111;width:63;height:240;mso-wrap-style:none" filled="f" stroked="f">
              <v:textbox style="mso-next-textbox:#_x0000_s4013;mso-fit-shape-to-text:t" inset="0,0,0,0">
                <w:txbxContent>
                  <w:p w:rsidR="00A905B7" w:rsidRDefault="00A905B7">
                    <w:r>
                      <w:rPr>
                        <w:color w:val="000000"/>
                        <w:sz w:val="14"/>
                        <w:szCs w:val="14"/>
                      </w:rPr>
                      <w:t>a</w:t>
                    </w:r>
                  </w:p>
                </w:txbxContent>
              </v:textbox>
            </v:rect>
            <v:rect id="_x0000_s4014" style="position:absolute;left:849;top:352;width:451;height:240;mso-wrap-style:none" filled="f" stroked="f">
              <v:textbox style="mso-next-textbox:#_x0000_s4014;mso-fit-shape-to-text:t" inset="0,0,0,0">
                <w:txbxContent>
                  <w:p w:rsidR="00A905B7" w:rsidRPr="001C7DC1" w:rsidRDefault="00A905B7">
                    <w:r w:rsidRPr="001C7DC1">
                      <w:rPr>
                        <w:color w:val="000000"/>
                      </w:rPr>
                      <w:t>1.608</w:t>
                    </w:r>
                  </w:p>
                </w:txbxContent>
              </v:textbox>
            </v:rect>
            <v:rect id="_x0000_s4015" style="position:absolute;left:30;top:352;width:451;height:240;mso-wrap-style:none" filled="f" stroked="f">
              <v:textbox style="mso-next-textbox:#_x0000_s4015;mso-fit-shape-to-text:t" inset="0,0,0,0">
                <w:txbxContent>
                  <w:p w:rsidR="00A905B7" w:rsidRPr="001C7DC1" w:rsidRDefault="00A905B7">
                    <w:r w:rsidRPr="001C7DC1">
                      <w:rPr>
                        <w:color w:val="000000"/>
                      </w:rPr>
                      <w:t>1,000</w:t>
                    </w:r>
                  </w:p>
                </w:txbxContent>
              </v:textbox>
            </v:rect>
            <v:rect id="_x0000_s4016" style="position:absolute;left:476;top:13;width:451;height:240;mso-wrap-style:none" filled="f" stroked="f">
              <v:textbox style="mso-next-textbox:#_x0000_s4016;mso-fit-shape-to-text:t" inset="0,0,0,0">
                <w:txbxContent>
                  <w:p w:rsidR="00A905B7" w:rsidRPr="001C7DC1" w:rsidRDefault="00A905B7">
                    <w:r w:rsidRPr="001C7DC1">
                      <w:rPr>
                        <w:color w:val="000000"/>
                      </w:rPr>
                      <w:t>1.608</w:t>
                    </w:r>
                  </w:p>
                </w:txbxContent>
              </v:textbox>
            </v:rect>
            <v:rect id="_x0000_s4017" style="position:absolute;left:1601;top:352;width:145;height:240;mso-wrap-style:none" filled="f" stroked="f">
              <v:textbox style="mso-next-textbox:#_x0000_s4017;mso-fit-shape-to-text:t" inset="0,0,0,0">
                <w:txbxContent>
                  <w:p w:rsidR="00A905B7" w:rsidRPr="001C7DC1" w:rsidRDefault="00A905B7">
                    <w:r w:rsidRPr="001C7DC1">
                      <w:rPr>
                        <w:iCs/>
                        <w:color w:val="000000"/>
                      </w:rPr>
                      <w:t>H</w:t>
                    </w:r>
                  </w:p>
                </w:txbxContent>
              </v:textbox>
            </v:rect>
            <v:rect id="_x0000_s4018" style="position:absolute;left:1227;top:13;width:145;height:240;mso-wrap-style:none" filled="f" stroked="f">
              <v:textbox style="mso-next-textbox:#_x0000_s4018;mso-fit-shape-to-text:t" inset="0,0,0,0">
                <w:txbxContent>
                  <w:p w:rsidR="00A905B7" w:rsidRPr="001C7DC1" w:rsidRDefault="00A905B7">
                    <w:r w:rsidRPr="001C7DC1">
                      <w:rPr>
                        <w:iCs/>
                        <w:color w:val="000000"/>
                      </w:rPr>
                      <w:t>H</w:t>
                    </w:r>
                  </w:p>
                </w:txbxContent>
              </v:textbox>
            </v:rect>
            <v:rect id="_x0000_s4019" style="position:absolute;left:1418;top:325;width:110;height:245;mso-wrap-style:none" filled="f" stroked="f">
              <v:textbox style="mso-next-textbox:#_x0000_s4019;mso-fit-shape-to-text:t" inset="0,0,0,0">
                <w:txbxContent>
                  <w:p w:rsidR="00A905B7" w:rsidRDefault="00A905B7">
                    <w:r>
                      <w:rPr>
                        <w:rFonts w:ascii="Symbol" w:hAnsi="Symbol" w:cs="Symbol"/>
                        <w:color w:val="000000"/>
                        <w:szCs w:val="24"/>
                      </w:rPr>
                      <w:t></w:t>
                    </w:r>
                  </w:p>
                </w:txbxContent>
              </v:textbox>
            </v:rect>
            <v:rect id="_x0000_s4020" style="position:absolute;left:618;top:325;width:110;height:245;mso-wrap-style:none" filled="f" stroked="f">
              <v:textbox style="mso-next-textbox:#_x0000_s4020;mso-fit-shape-to-text:t" inset="0,0,0,0">
                <w:txbxContent>
                  <w:p w:rsidR="00A905B7" w:rsidRDefault="00A905B7">
                    <w:r>
                      <w:rPr>
                        <w:rFonts w:ascii="Symbol" w:hAnsi="Symbol" w:cs="Symbol"/>
                        <w:color w:val="000000"/>
                        <w:szCs w:val="24"/>
                      </w:rPr>
                      <w:t></w:t>
                    </w:r>
                  </w:p>
                </w:txbxContent>
              </v:textbox>
            </v:rect>
            <v:rect id="_x0000_s4021" style="position:absolute;left:1044;top:-14;width:110;height:245;mso-wrap-style:none" filled="f" stroked="f">
              <v:textbox style="mso-next-textbox:#_x0000_s4021;mso-fit-shape-to-text:t" inset="0,0,0,0">
                <w:txbxContent>
                  <w:p w:rsidR="00A905B7" w:rsidRDefault="00A905B7">
                    <w:r>
                      <w:rPr>
                        <w:rFonts w:ascii="Symbol" w:hAnsi="Symbol" w:cs="Symbol"/>
                        <w:color w:val="000000"/>
                        <w:szCs w:val="24"/>
                      </w:rPr>
                      <w:t></w:t>
                    </w:r>
                  </w:p>
                </w:txbxContent>
              </v:textbox>
            </v:rect>
            <w10:anchorlock/>
          </v:group>
        </w:pict>
      </w:r>
      <w:r>
        <w:rPr>
          <w:lang w:val="en-GB"/>
        </w:rPr>
        <w:pict>
          <v:shape id="_x0000_i1231" type="#_x0000_t75" style="width:99.6pt;height:45.6pt">
            <v:imagedata croptop="-65520f" cropbottom="65520f"/>
          </v:shape>
        </w:pict>
      </w:r>
      <w:r w:rsidR="00002BA6" w:rsidRPr="007548B0">
        <w:rPr>
          <w:position w:val="40"/>
          <w:lang w:val="en-GB"/>
        </w:rPr>
        <w:tab/>
        <w:t>(17)</w:t>
      </w:r>
    </w:p>
    <w:p w:rsidR="00002BA6" w:rsidRPr="00B04DC3" w:rsidRDefault="00002BA6" w:rsidP="00002BA6">
      <w:pPr>
        <w:pStyle w:val="para"/>
        <w:spacing w:before="120"/>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lang w:val="en-GB"/>
        </w:rPr>
        <w:tab/>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spacing w:before="120"/>
        <w:rPr>
          <w:lang w:val="en-GB"/>
        </w:rPr>
      </w:pPr>
      <w:r w:rsidRPr="00B04DC3">
        <w:rPr>
          <w:lang w:val="en-GB"/>
        </w:rPr>
        <w:tab/>
        <w:t>w</w:t>
      </w:r>
      <w:r w:rsidRPr="00B04DC3">
        <w:rPr>
          <w:vertAlign w:val="subscript"/>
          <w:lang w:val="en-GB"/>
        </w:rPr>
        <w:t>ALF</w:t>
      </w:r>
      <w:r w:rsidRPr="00B04DC3">
        <w:rPr>
          <w:lang w:val="en-GB"/>
        </w:rPr>
        <w:tab/>
        <w:t>is the hydrogen content of the fuel, per cent mass</w:t>
      </w:r>
    </w:p>
    <w:p w:rsidR="00002BA6" w:rsidRPr="00B04DC3" w:rsidRDefault="00002BA6" w:rsidP="00002BA6">
      <w:pPr>
        <w:pStyle w:val="para"/>
        <w:spacing w:before="120"/>
        <w:rPr>
          <w:lang w:val="en-GB"/>
        </w:rPr>
      </w:pPr>
      <w:r w:rsidRPr="00B04DC3">
        <w:rPr>
          <w:lang w:val="en-GB"/>
        </w:rPr>
        <w:tab/>
        <w:t>q</w:t>
      </w:r>
      <w:r w:rsidRPr="00B04DC3">
        <w:rPr>
          <w:vertAlign w:val="subscript"/>
          <w:lang w:val="en-GB"/>
        </w:rPr>
        <w:t>mf,i</w:t>
      </w:r>
      <w:r w:rsidRPr="00B04DC3">
        <w:rPr>
          <w:lang w:val="en-GB"/>
        </w:rPr>
        <w:tab/>
        <w:t>is the instantaneous fuel mass flow rate, kg/s</w:t>
      </w:r>
    </w:p>
    <w:p w:rsidR="00002BA6" w:rsidRPr="00B04DC3" w:rsidRDefault="00002BA6" w:rsidP="00002BA6">
      <w:pPr>
        <w:pStyle w:val="para"/>
        <w:spacing w:before="120"/>
        <w:rPr>
          <w:lang w:val="en-GB"/>
        </w:rPr>
      </w:pPr>
      <w:r w:rsidRPr="00B04DC3">
        <w:rPr>
          <w:lang w:val="en-GB"/>
        </w:rPr>
        <w:tab/>
        <w:t>q</w:t>
      </w:r>
      <w:r w:rsidRPr="00B04DC3">
        <w:rPr>
          <w:vertAlign w:val="subscript"/>
          <w:lang w:val="en-GB"/>
        </w:rPr>
        <w:t>mad,I</w:t>
      </w:r>
      <w:r w:rsidRPr="00B04DC3">
        <w:rPr>
          <w:vertAlign w:val="subscript"/>
          <w:lang w:val="en-GB"/>
        </w:rPr>
        <w:tab/>
      </w:r>
      <w:r w:rsidRPr="00B04DC3">
        <w:rPr>
          <w:lang w:val="en-GB"/>
        </w:rPr>
        <w:t>is the instantaneous dry intake air mass flow rate, kg/s</w:t>
      </w:r>
    </w:p>
    <w:p w:rsidR="00002BA6" w:rsidRPr="00B04DC3" w:rsidRDefault="00002BA6" w:rsidP="00002BA6">
      <w:pPr>
        <w:pStyle w:val="para"/>
        <w:spacing w:before="120"/>
        <w:rPr>
          <w:lang w:val="en-GB"/>
        </w:rPr>
      </w:pPr>
      <w:r w:rsidRPr="00B04DC3">
        <w:rPr>
          <w:lang w:val="en-GB"/>
        </w:rPr>
        <w:tab/>
        <w:t>p</w:t>
      </w:r>
      <w:r w:rsidRPr="00B04DC3">
        <w:rPr>
          <w:vertAlign w:val="subscript"/>
          <w:lang w:val="en-GB"/>
        </w:rPr>
        <w:t>r</w:t>
      </w:r>
      <w:r w:rsidRPr="00B04DC3">
        <w:rPr>
          <w:lang w:val="en-GB"/>
        </w:rPr>
        <w:tab/>
        <w:t>is the water vapour pressure after cooling bath, kPa</w:t>
      </w:r>
    </w:p>
    <w:p w:rsidR="00002BA6" w:rsidRPr="00B04DC3" w:rsidRDefault="00002BA6" w:rsidP="00002BA6">
      <w:pPr>
        <w:pStyle w:val="para"/>
        <w:spacing w:before="120"/>
        <w:rPr>
          <w:lang w:val="en-GB"/>
        </w:rPr>
      </w:pPr>
      <w:r w:rsidRPr="00B04DC3">
        <w:rPr>
          <w:lang w:val="en-GB"/>
        </w:rPr>
        <w:tab/>
        <w:t>p</w:t>
      </w:r>
      <w:r w:rsidRPr="00B04DC3">
        <w:rPr>
          <w:vertAlign w:val="subscript"/>
          <w:lang w:val="en-GB"/>
        </w:rPr>
        <w:t>b</w:t>
      </w:r>
      <w:r w:rsidRPr="00B04DC3">
        <w:rPr>
          <w:lang w:val="en-GB"/>
        </w:rPr>
        <w:tab/>
        <w:t>is the total atmospheric pressure, kPa</w:t>
      </w:r>
    </w:p>
    <w:p w:rsidR="00002BA6" w:rsidRPr="00B04DC3" w:rsidRDefault="00002BA6" w:rsidP="00002BA6">
      <w:pPr>
        <w:pStyle w:val="para"/>
        <w:spacing w:before="120"/>
        <w:rPr>
          <w:lang w:val="en-GB"/>
        </w:rPr>
      </w:pPr>
      <w:r w:rsidRPr="00B04DC3">
        <w:rPr>
          <w:i/>
          <w:lang w:val="en-GB"/>
        </w:rPr>
        <w:tab/>
      </w:r>
      <w:r w:rsidRPr="00B04DC3">
        <w:rPr>
          <w:lang w:val="en-GB"/>
        </w:rPr>
        <w:t>w</w:t>
      </w:r>
      <w:r w:rsidRPr="00B04DC3">
        <w:rPr>
          <w:vertAlign w:val="subscript"/>
          <w:lang w:val="en-GB"/>
        </w:rPr>
        <w:t>DEL</w:t>
      </w:r>
      <w:r w:rsidRPr="00B04DC3">
        <w:rPr>
          <w:lang w:val="en-GB"/>
        </w:rPr>
        <w:tab/>
        <w:t>is the nitrogen content of the fuel, per cent mass</w:t>
      </w:r>
    </w:p>
    <w:p w:rsidR="00002BA6" w:rsidRPr="00B04DC3" w:rsidRDefault="00002BA6" w:rsidP="00002BA6">
      <w:pPr>
        <w:pStyle w:val="para"/>
        <w:spacing w:before="120"/>
        <w:rPr>
          <w:lang w:val="en-GB"/>
        </w:rPr>
      </w:pPr>
      <w:r w:rsidRPr="00B04DC3">
        <w:rPr>
          <w:lang w:val="en-GB"/>
        </w:rPr>
        <w:tab/>
        <w:t>w</w:t>
      </w:r>
      <w:r w:rsidRPr="00B04DC3">
        <w:rPr>
          <w:vertAlign w:val="subscript"/>
          <w:lang w:val="en-GB"/>
        </w:rPr>
        <w:t>EPS</w:t>
      </w:r>
      <w:r w:rsidRPr="00B04DC3">
        <w:rPr>
          <w:lang w:val="en-GB"/>
        </w:rPr>
        <w:tab/>
        <w:t>is the oxygen content of the fuel, per cent mass</w:t>
      </w:r>
    </w:p>
    <w:p w:rsidR="00002BA6" w:rsidRPr="00B04DC3" w:rsidRDefault="00002BA6" w:rsidP="00002BA6">
      <w:pPr>
        <w:pStyle w:val="para"/>
        <w:spacing w:before="120"/>
        <w:rPr>
          <w:lang w:val="en-GB"/>
        </w:rPr>
      </w:pPr>
      <w:r w:rsidRPr="00B04DC3">
        <w:rPr>
          <w:lang w:val="en-GB"/>
        </w:rPr>
        <w:tab/>
      </w:r>
      <w:r w:rsidRPr="00B04DC3">
        <w:rPr>
          <w:lang w:val="en-GB"/>
        </w:rPr>
        <w:sym w:font="Symbol" w:char="F061"/>
      </w:r>
      <w:r w:rsidRPr="00B04DC3">
        <w:rPr>
          <w:lang w:val="en-GB"/>
        </w:rPr>
        <w:tab/>
        <w:t>is the molar hydrogen ratio of the fuel</w:t>
      </w:r>
    </w:p>
    <w:p w:rsidR="00002BA6" w:rsidRPr="00B04DC3" w:rsidRDefault="00002BA6" w:rsidP="00002BA6">
      <w:pPr>
        <w:pStyle w:val="para"/>
        <w:spacing w:before="120"/>
        <w:rPr>
          <w:lang w:val="en-GB"/>
        </w:rPr>
      </w:pPr>
      <w:r w:rsidRPr="00B04DC3">
        <w:rPr>
          <w:lang w:val="en-GB"/>
        </w:rPr>
        <w:tab/>
        <w:t>c</w:t>
      </w:r>
      <w:r w:rsidRPr="00B04DC3">
        <w:rPr>
          <w:vertAlign w:val="subscript"/>
          <w:lang w:val="en-GB"/>
        </w:rPr>
        <w:t>CO2</w:t>
      </w:r>
      <w:r w:rsidRPr="00B04DC3">
        <w:rPr>
          <w:lang w:val="en-GB"/>
        </w:rPr>
        <w:tab/>
        <w:t>is the dry CO</w:t>
      </w:r>
      <w:r w:rsidRPr="00B04DC3">
        <w:rPr>
          <w:vertAlign w:val="subscript"/>
          <w:lang w:val="en-GB"/>
        </w:rPr>
        <w:t>2</w:t>
      </w:r>
      <w:r w:rsidRPr="00B04DC3">
        <w:rPr>
          <w:lang w:val="en-GB"/>
        </w:rPr>
        <w:t xml:space="preserve"> concentration, per cent</w:t>
      </w:r>
    </w:p>
    <w:p w:rsidR="00002BA6" w:rsidRPr="00B04DC3" w:rsidRDefault="00002BA6" w:rsidP="00002BA6">
      <w:pPr>
        <w:pStyle w:val="para"/>
        <w:spacing w:before="120"/>
        <w:rPr>
          <w:lang w:val="en-GB"/>
        </w:rPr>
      </w:pPr>
      <w:r w:rsidRPr="00B04DC3">
        <w:rPr>
          <w:lang w:val="en-GB"/>
        </w:rPr>
        <w:tab/>
        <w:t>c</w:t>
      </w:r>
      <w:r w:rsidRPr="00B04DC3">
        <w:rPr>
          <w:vertAlign w:val="subscript"/>
          <w:lang w:val="en-GB"/>
        </w:rPr>
        <w:t>CO</w:t>
      </w:r>
      <w:r w:rsidRPr="00B04DC3">
        <w:rPr>
          <w:lang w:val="en-GB"/>
        </w:rPr>
        <w:tab/>
        <w:t>is the dry CO concentration, per cent</w:t>
      </w:r>
    </w:p>
    <w:p w:rsidR="00002BA6" w:rsidRPr="00B04DC3" w:rsidRDefault="00002BA6" w:rsidP="00002BA6">
      <w:pPr>
        <w:pStyle w:val="para"/>
        <w:ind w:firstLine="0"/>
        <w:rPr>
          <w:lang w:val="en-GB"/>
        </w:rPr>
      </w:pPr>
      <w:r w:rsidRPr="00B04DC3">
        <w:rPr>
          <w:lang w:val="en-GB"/>
        </w:rPr>
        <w:tab/>
        <w:t>Equations (13) and (14) are principally identical with the factor 1.008 in equations (13) and (15) being an approximation for the more accurate denominator in equation (14).</w:t>
      </w:r>
    </w:p>
    <w:p w:rsidR="00002BA6" w:rsidRPr="00B04DC3" w:rsidRDefault="00002BA6" w:rsidP="00002BA6">
      <w:pPr>
        <w:pStyle w:val="para"/>
        <w:rPr>
          <w:lang w:val="en-GB"/>
        </w:rPr>
      </w:pPr>
      <w:r w:rsidRPr="00B04DC3">
        <w:rPr>
          <w:lang w:val="en-GB"/>
        </w:rPr>
        <w:t>8.1.2.</w:t>
      </w:r>
      <w:r w:rsidRPr="00B04DC3">
        <w:rPr>
          <w:lang w:val="en-GB"/>
        </w:rPr>
        <w:tab/>
        <w:t>Diluted exhaust gas</w:t>
      </w:r>
    </w:p>
    <w:p w:rsidR="00002BA6" w:rsidRPr="007548B0" w:rsidRDefault="00002BA6" w:rsidP="00002BA6">
      <w:pPr>
        <w:pStyle w:val="para"/>
        <w:tabs>
          <w:tab w:val="right" w:pos="8500"/>
        </w:tabs>
        <w:rPr>
          <w:position w:val="60"/>
          <w:lang w:val="en-GB"/>
        </w:rPr>
      </w:pPr>
      <w:r w:rsidRPr="00B04DC3">
        <w:rPr>
          <w:lang w:val="en-GB"/>
        </w:rPr>
        <w:tab/>
      </w:r>
      <w:r w:rsidR="00A905B7">
        <w:rPr>
          <w:lang w:val="en-GB"/>
        </w:rPr>
      </w:r>
      <w:r w:rsidR="00A905B7">
        <w:rPr>
          <w:lang w:val="en-GB"/>
        </w:rPr>
        <w:pict>
          <v:group id="_x0000_s4022" editas="canvas" style="width:193.5pt;height:46.7pt;mso-position-horizontal-relative:char;mso-position-vertical-relative:line" coordsize="3870,934">
            <o:lock v:ext="edit" aspectratio="t"/>
            <v:shape id="_x0000_s4023" type="#_x0000_t75" style="position:absolute;width:3870;height:934" o:preferrelative="f">
              <v:fill o:detectmouseclick="t"/>
              <v:path o:extrusionok="t" o:connecttype="none"/>
              <o:lock v:ext="edit" text="t"/>
            </v:shape>
            <v:line id="_x0000_s4024" style="position:absolute" from="1306,345" to="2344,345" strokeweight=".45pt"/>
            <v:rect id="_x0000_s4025" style="position:absolute;left:3321;top:198;width:451;height:240;mso-wrap-style:none" filled="f" stroked="f">
              <v:textbox style="mso-next-textbox:#_x0000_s4025;mso-fit-shape-to-text:t" inset="0,0,0,0">
                <w:txbxContent>
                  <w:p w:rsidR="00A905B7" w:rsidRDefault="00A905B7">
                    <w:r>
                      <w:rPr>
                        <w:color w:val="000000"/>
                        <w:szCs w:val="24"/>
                      </w:rPr>
                      <w:t>1.008</w:t>
                    </w:r>
                  </w:p>
                </w:txbxContent>
              </v:textbox>
            </v:rect>
            <v:rect id="_x0000_s4026" style="position:absolute;left:1659;top:376;width:301;height:240;mso-wrap-style:none" filled="f" stroked="f">
              <v:textbox style="mso-next-textbox:#_x0000_s4026;mso-fit-shape-to-text:t" inset="0,0,0,0">
                <w:txbxContent>
                  <w:p w:rsidR="00A905B7" w:rsidRDefault="00A905B7">
                    <w:r>
                      <w:rPr>
                        <w:color w:val="000000"/>
                        <w:szCs w:val="24"/>
                      </w:rPr>
                      <w:t>200</w:t>
                    </w:r>
                  </w:p>
                </w:txbxContent>
              </v:textbox>
            </v:rect>
            <v:rect id="_x0000_s4027" style="position:absolute;left:919;top:198;width:101;height:240;mso-wrap-style:none" filled="f" stroked="f">
              <v:textbox style="mso-next-textbox:#_x0000_s4027;mso-fit-shape-to-text:t" inset="0,0,0,0">
                <w:txbxContent>
                  <w:p w:rsidR="00A905B7" w:rsidRDefault="00A905B7">
                    <w:r>
                      <w:rPr>
                        <w:color w:val="000000"/>
                        <w:szCs w:val="24"/>
                      </w:rPr>
                      <w:t>1</w:t>
                    </w:r>
                  </w:p>
                </w:txbxContent>
              </v:textbox>
            </v:rect>
            <v:rect id="_x0000_s4028" style="position:absolute;left:2957;top:250;width:71;height:240;mso-wrap-style:none" filled="f" stroked="f">
              <v:textbox style="mso-next-textbox:#_x0000_s4028;mso-fit-shape-to-text:t" inset="0,0,0,0">
                <w:txbxContent>
                  <w:p w:rsidR="00A905B7" w:rsidRDefault="00A905B7">
                    <w:r>
                      <w:rPr>
                        <w:color w:val="000000"/>
                        <w:sz w:val="14"/>
                        <w:szCs w:val="14"/>
                      </w:rPr>
                      <w:t>2</w:t>
                    </w:r>
                  </w:p>
                </w:txbxContent>
              </v:textbox>
            </v:rect>
            <v:rect id="_x0000_s4029" style="position:absolute;left:1956;top:93;width:366;height:240;mso-wrap-style:none" filled="f" stroked="f">
              <v:textbox style="mso-next-textbox:#_x0000_s4029;mso-fit-shape-to-text:t" inset="0,0,0,0">
                <w:txbxContent>
                  <w:p w:rsidR="00A905B7" w:rsidRDefault="00A905B7">
                    <w:r>
                      <w:rPr>
                        <w:color w:val="000000"/>
                        <w:sz w:val="14"/>
                        <w:szCs w:val="14"/>
                      </w:rPr>
                      <w:t>CO2w</w:t>
                    </w:r>
                  </w:p>
                </w:txbxContent>
              </v:textbox>
            </v:rect>
            <v:rect id="_x0000_s4030" style="position:absolute;left:239;top:340;width:36;height:240;mso-wrap-style:none" filled="f" stroked="f">
              <v:textbox style="mso-next-textbox:#_x0000_s4030;mso-fit-shape-to-text:t" inset="0,0,0,0">
                <w:txbxContent>
                  <w:p w:rsidR="00A905B7" w:rsidRDefault="00A905B7">
                    <w:r>
                      <w:rPr>
                        <w:color w:val="000000"/>
                        <w:sz w:val="14"/>
                        <w:szCs w:val="14"/>
                      </w:rPr>
                      <w:t>,</w:t>
                    </w:r>
                  </w:p>
                </w:txbxContent>
              </v:textbox>
            </v:rect>
            <v:rect id="_x0000_s4031" style="position:absolute;left:3181;top:172;width:110;height:245;mso-wrap-style:none" filled="f" stroked="f">
              <v:textbox style="mso-next-textbox:#_x0000_s4031;mso-fit-shape-to-text:t" inset="0,0,0,0">
                <w:txbxContent>
                  <w:p w:rsidR="00A905B7" w:rsidRDefault="00A905B7">
                    <w:r>
                      <w:rPr>
                        <w:rFonts w:ascii="Symbol" w:hAnsi="Symbol" w:cs="Symbol"/>
                        <w:color w:val="000000"/>
                        <w:szCs w:val="24"/>
                      </w:rPr>
                      <w:t></w:t>
                    </w:r>
                  </w:p>
                </w:txbxContent>
              </v:textbox>
            </v:rect>
            <v:rect id="_x0000_s4032" style="position:absolute;left:3055;top:243;width:77;height:245;mso-wrap-style:none" filled="f" stroked="f">
              <v:textbox style="mso-next-textbox:#_x0000_s4032;mso-fit-shape-to-text:t" inset="0,0,0,0">
                <w:txbxContent>
                  <w:p w:rsidR="00A905B7" w:rsidRDefault="00A905B7">
                    <w:r>
                      <w:rPr>
                        <w:rFonts w:ascii="Symbol" w:hAnsi="Symbol" w:cs="Symbol"/>
                        <w:color w:val="000000"/>
                        <w:szCs w:val="24"/>
                      </w:rPr>
                      <w:t></w:t>
                    </w:r>
                  </w:p>
                </w:txbxContent>
              </v:textbox>
            </v:rect>
            <v:rect id="_x0000_s4033" style="position:absolute;left:3055;top:400;width:77;height:245;mso-wrap-style:none" filled="f" stroked="f">
              <v:textbox style="mso-next-textbox:#_x0000_s4033;mso-fit-shape-to-text:t" inset="0,0,0,0">
                <w:txbxContent>
                  <w:p w:rsidR="00A905B7" w:rsidRDefault="00A905B7">
                    <w:r>
                      <w:rPr>
                        <w:rFonts w:ascii="Symbol" w:hAnsi="Symbol" w:cs="Symbol"/>
                        <w:color w:val="000000"/>
                        <w:szCs w:val="24"/>
                      </w:rPr>
                      <w:t></w:t>
                    </w:r>
                  </w:p>
                </w:txbxContent>
              </v:textbox>
            </v:rect>
            <v:rect id="_x0000_s4034" style="position:absolute;left:3055;top:22;width:77;height:245;mso-wrap-style:none" filled="f" stroked="f">
              <v:textbox style="mso-next-textbox:#_x0000_s4034;mso-fit-shape-to-text:t" inset="0,0,0,0">
                <w:txbxContent>
                  <w:p w:rsidR="00A905B7" w:rsidRDefault="00A905B7">
                    <w:r>
                      <w:rPr>
                        <w:rFonts w:ascii="Symbol" w:hAnsi="Symbol" w:cs="Symbol"/>
                        <w:color w:val="000000"/>
                        <w:szCs w:val="24"/>
                      </w:rPr>
                      <w:t></w:t>
                    </w:r>
                  </w:p>
                </w:txbxContent>
              </v:textbox>
            </v:rect>
            <v:rect id="_x0000_s4035" style="position:absolute;left:747;top:243;width:77;height:245;mso-wrap-style:none" filled="f" stroked="f">
              <v:textbox style="mso-next-textbox:#_x0000_s4035;mso-fit-shape-to-text:t" inset="0,0,0,0">
                <w:txbxContent>
                  <w:p w:rsidR="00A905B7" w:rsidRDefault="00A905B7">
                    <w:r>
                      <w:rPr>
                        <w:rFonts w:ascii="Symbol" w:hAnsi="Symbol" w:cs="Symbol"/>
                        <w:color w:val="000000"/>
                        <w:szCs w:val="24"/>
                      </w:rPr>
                      <w:t></w:t>
                    </w:r>
                  </w:p>
                </w:txbxContent>
              </v:textbox>
            </v:rect>
            <v:rect id="_x0000_s4036" style="position:absolute;left:747;top:400;width:77;height:245;mso-wrap-style:none" filled="f" stroked="f">
              <v:textbox style="mso-next-textbox:#_x0000_s4036;mso-fit-shape-to-text:t" inset="0,0,0,0">
                <w:txbxContent>
                  <w:p w:rsidR="00A905B7" w:rsidRDefault="00A905B7">
                    <w:r>
                      <w:rPr>
                        <w:rFonts w:ascii="Symbol" w:hAnsi="Symbol" w:cs="Symbol"/>
                        <w:color w:val="000000"/>
                        <w:szCs w:val="24"/>
                      </w:rPr>
                      <w:t></w:t>
                    </w:r>
                  </w:p>
                </w:txbxContent>
              </v:textbox>
            </v:rect>
            <v:rect id="_x0000_s4037" style="position:absolute;left:747;top:22;width:77;height:245;mso-wrap-style:none" filled="f" stroked="f">
              <v:textbox style="mso-next-textbox:#_x0000_s4037;mso-fit-shape-to-text:t" inset="0,0,0,0">
                <w:txbxContent>
                  <w:p w:rsidR="00A905B7" w:rsidRDefault="00A905B7">
                    <w:r>
                      <w:rPr>
                        <w:rFonts w:ascii="Symbol" w:hAnsi="Symbol" w:cs="Symbol"/>
                        <w:color w:val="000000"/>
                        <w:szCs w:val="24"/>
                      </w:rPr>
                      <w:t></w:t>
                    </w:r>
                  </w:p>
                </w:txbxContent>
              </v:textbox>
            </v:rect>
            <v:rect id="_x0000_s4038" style="position:absolute;left:2541;top:172;width:110;height:245;mso-wrap-style:none" filled="f" stroked="f">
              <v:textbox style="mso-next-textbox:#_x0000_s4038;mso-fit-shape-to-text:t" inset="0,0,0,0">
                <w:txbxContent>
                  <w:p w:rsidR="00A905B7" w:rsidRDefault="00A905B7">
                    <w:r>
                      <w:rPr>
                        <w:rFonts w:ascii="Symbol" w:hAnsi="Symbol" w:cs="Symbol"/>
                        <w:color w:val="000000"/>
                        <w:szCs w:val="24"/>
                      </w:rPr>
                      <w:t></w:t>
                    </w:r>
                  </w:p>
                </w:txbxContent>
              </v:textbox>
            </v:rect>
            <v:rect id="_x0000_s4039" style="position:absolute;left:2373;top:189;width:77;height:245;mso-wrap-style:none" filled="f" stroked="f">
              <v:textbox style="mso-next-textbox:#_x0000_s4039;mso-fit-shape-to-text:t" inset="0,0,0,0">
                <w:txbxContent>
                  <w:p w:rsidR="00A905B7" w:rsidRDefault="00A905B7">
                    <w:r>
                      <w:rPr>
                        <w:rFonts w:ascii="Symbol" w:hAnsi="Symbol" w:cs="Symbol"/>
                        <w:color w:val="000000"/>
                        <w:szCs w:val="24"/>
                      </w:rPr>
                      <w:t></w:t>
                    </w:r>
                  </w:p>
                </w:txbxContent>
              </v:textbox>
            </v:rect>
            <v:rect id="_x0000_s4040" style="position:absolute;left:2373;top:381;width:77;height:245;mso-wrap-style:none" filled="f" stroked="f">
              <v:textbox style="mso-next-textbox:#_x0000_s4040;mso-fit-shape-to-text:t" inset="0,0,0,0">
                <w:txbxContent>
                  <w:p w:rsidR="00A905B7" w:rsidRDefault="00A905B7">
                    <w:r>
                      <w:rPr>
                        <w:rFonts w:ascii="Symbol" w:hAnsi="Symbol" w:cs="Symbol"/>
                        <w:color w:val="000000"/>
                        <w:szCs w:val="24"/>
                      </w:rPr>
                      <w:t></w:t>
                    </w:r>
                  </w:p>
                </w:txbxContent>
              </v:textbox>
            </v:rect>
            <v:rect id="_x0000_s4041" style="position:absolute;left:2373;top:42;width:77;height:245;mso-wrap-style:none" filled="f" stroked="f">
              <v:textbox style="mso-next-textbox:#_x0000_s4041;mso-fit-shape-to-text:t" inset="0,0,0,0">
                <w:txbxContent>
                  <w:p w:rsidR="00A905B7" w:rsidRDefault="00A905B7">
                    <w:r>
                      <w:rPr>
                        <w:rFonts w:ascii="Symbol" w:hAnsi="Symbol" w:cs="Symbol"/>
                        <w:color w:val="000000"/>
                        <w:szCs w:val="24"/>
                      </w:rPr>
                      <w:t></w:t>
                    </w:r>
                  </w:p>
                </w:txbxContent>
              </v:textbox>
            </v:rect>
            <v:rect id="_x0000_s4042" style="position:absolute;left:831;top:189;width:77;height:245;mso-wrap-style:none" filled="f" stroked="f">
              <v:textbox style="mso-next-textbox:#_x0000_s4042;mso-fit-shape-to-text:t" inset="0,0,0,0">
                <w:txbxContent>
                  <w:p w:rsidR="00A905B7" w:rsidRDefault="00A905B7">
                    <w:r>
                      <w:rPr>
                        <w:rFonts w:ascii="Symbol" w:hAnsi="Symbol" w:cs="Symbol"/>
                        <w:color w:val="000000"/>
                        <w:szCs w:val="24"/>
                      </w:rPr>
                      <w:t></w:t>
                    </w:r>
                  </w:p>
                </w:txbxContent>
              </v:textbox>
            </v:rect>
            <v:rect id="_x0000_s4043" style="position:absolute;left:831;top:381;width:77;height:245;mso-wrap-style:none" filled="f" stroked="f">
              <v:textbox style="mso-next-textbox:#_x0000_s4043;mso-fit-shape-to-text:t" inset="0,0,0,0">
                <w:txbxContent>
                  <w:p w:rsidR="00A905B7" w:rsidRDefault="00A905B7">
                    <w:r>
                      <w:rPr>
                        <w:rFonts w:ascii="Symbol" w:hAnsi="Symbol" w:cs="Symbol"/>
                        <w:color w:val="000000"/>
                        <w:szCs w:val="24"/>
                      </w:rPr>
                      <w:t></w:t>
                    </w:r>
                  </w:p>
                </w:txbxContent>
              </v:textbox>
            </v:rect>
            <v:rect id="_x0000_s4044" style="position:absolute;left:831;top:42;width:77;height:245;mso-wrap-style:none" filled="f" stroked="f">
              <v:textbox style="mso-next-textbox:#_x0000_s4044;mso-fit-shape-to-text:t" inset="0,0,0,0">
                <w:txbxContent>
                  <w:p w:rsidR="00A905B7" w:rsidRDefault="00A905B7">
                    <w:r>
                      <w:rPr>
                        <w:rFonts w:ascii="Symbol" w:hAnsi="Symbol" w:cs="Symbol"/>
                        <w:color w:val="000000"/>
                        <w:szCs w:val="24"/>
                      </w:rPr>
                      <w:t></w:t>
                    </w:r>
                  </w:p>
                </w:txbxContent>
              </v:textbox>
            </v:rect>
            <v:rect id="_x0000_s4045" style="position:absolute;left:1563;top:25;width:110;height:245;mso-wrap-style:none" filled="f" stroked="f">
              <v:textbox style="mso-next-textbox:#_x0000_s4045;mso-fit-shape-to-text:t" inset="0,0,0,0">
                <w:txbxContent>
                  <w:p w:rsidR="00A905B7" w:rsidRDefault="00A905B7">
                    <w:r>
                      <w:rPr>
                        <w:rFonts w:ascii="Symbol" w:hAnsi="Symbol" w:cs="Symbol"/>
                        <w:color w:val="000000"/>
                        <w:szCs w:val="24"/>
                      </w:rPr>
                      <w:t></w:t>
                    </w:r>
                  </w:p>
                </w:txbxContent>
              </v:textbox>
            </v:rect>
            <v:rect id="_x0000_s4046" style="position:absolute;left:1095;top:172;width:110;height:245;mso-wrap-style:none" filled="f" stroked="f">
              <v:textbox style="mso-next-textbox:#_x0000_s4046;mso-fit-shape-to-text:t" inset="0,0,0,0">
                <w:txbxContent>
                  <w:p w:rsidR="00A905B7" w:rsidRDefault="00A905B7">
                    <w:r>
                      <w:rPr>
                        <w:rFonts w:ascii="Symbol" w:hAnsi="Symbol" w:cs="Symbol"/>
                        <w:color w:val="000000"/>
                        <w:szCs w:val="24"/>
                      </w:rPr>
                      <w:t></w:t>
                    </w:r>
                  </w:p>
                </w:txbxContent>
              </v:textbox>
            </v:rect>
            <v:rect id="_x0000_s4047" style="position:absolute;left:488;top:172;width:110;height:245;mso-wrap-style:none" filled="f" stroked="f">
              <v:textbox style="mso-next-textbox:#_x0000_s4047;mso-fit-shape-to-text:t" inset="0,0,0,0">
                <w:txbxContent>
                  <w:p w:rsidR="00A905B7" w:rsidRDefault="00A905B7">
                    <w:r>
                      <w:rPr>
                        <w:rFonts w:ascii="Symbol" w:hAnsi="Symbol" w:cs="Symbol"/>
                        <w:color w:val="000000"/>
                        <w:szCs w:val="24"/>
                      </w:rPr>
                      <w:t></w:t>
                    </w:r>
                  </w:p>
                </w:txbxContent>
              </v:textbox>
            </v:rect>
            <v:rect id="_x0000_s4048" style="position:absolute;left:2861;top:260;width:94;height:240;mso-wrap-style:none" filled="f" stroked="f">
              <v:textbox style="mso-next-textbox:#_x0000_s4048;mso-fit-shape-to-text:t" inset="0,0,0,0">
                <w:txbxContent>
                  <w:p w:rsidR="00A905B7" w:rsidRDefault="00A905B7">
                    <w:r>
                      <w:rPr>
                        <w:i/>
                        <w:iCs/>
                        <w:color w:val="000000"/>
                        <w:sz w:val="14"/>
                        <w:szCs w:val="14"/>
                      </w:rPr>
                      <w:t>w</w:t>
                    </w:r>
                  </w:p>
                </w:txbxContent>
              </v:textbox>
            </v:rect>
            <v:rect id="_x0000_s4049" style="position:absolute;left:273;top:340;width:63;height:240;mso-wrap-style:none" filled="f" stroked="f">
              <v:textbox style="mso-next-textbox:#_x0000_s4049;mso-fit-shape-to-text:t" inset="0,0,0,0">
                <w:txbxContent>
                  <w:p w:rsidR="00A905B7" w:rsidRPr="004568C0" w:rsidRDefault="00A905B7">
                    <w:r w:rsidRPr="004568C0">
                      <w:rPr>
                        <w:iCs/>
                        <w:color w:val="000000"/>
                        <w:sz w:val="14"/>
                        <w:szCs w:val="14"/>
                      </w:rPr>
                      <w:t>e</w:t>
                    </w:r>
                  </w:p>
                </w:txbxContent>
              </v:textbox>
            </v:rect>
            <v:rect id="_x0000_s4050" style="position:absolute;left:147;top:340;width:102;height:240;mso-wrap-style:none" filled="f" stroked="f">
              <v:textbox style="mso-next-textbox:#_x0000_s4050;mso-fit-shape-to-text:t" inset="0,0,0,0">
                <w:txbxContent>
                  <w:p w:rsidR="00A905B7" w:rsidRPr="004568C0" w:rsidRDefault="00A905B7">
                    <w:r w:rsidRPr="004568C0">
                      <w:rPr>
                        <w:iCs/>
                        <w:color w:val="000000"/>
                        <w:sz w:val="14"/>
                        <w:szCs w:val="14"/>
                      </w:rPr>
                      <w:t>w</w:t>
                    </w:r>
                  </w:p>
                </w:txbxContent>
              </v:textbox>
            </v:rect>
            <v:rect id="_x0000_s4051" style="position:absolute;left:2749;top:198;width:101;height:240;mso-wrap-style:none" filled="f" stroked="f">
              <v:textbox style="mso-next-textbox:#_x0000_s4051;mso-fit-shape-to-text:t" inset="0,0,0,0">
                <w:txbxContent>
                  <w:p w:rsidR="00A905B7" w:rsidRPr="004568C0" w:rsidRDefault="00A905B7">
                    <w:r w:rsidRPr="004568C0">
                      <w:rPr>
                        <w:iCs/>
                        <w:color w:val="000000"/>
                        <w:szCs w:val="24"/>
                      </w:rPr>
                      <w:t>k</w:t>
                    </w:r>
                  </w:p>
                </w:txbxContent>
              </v:textbox>
            </v:rect>
            <v:rect id="_x0000_s4052" style="position:absolute;left:1854;top:51;width:89;height:240;mso-wrap-style:none" filled="f" stroked="f">
              <v:textbox style="mso-next-textbox:#_x0000_s4052;mso-fit-shape-to-text:t" inset="0,0,0,0">
                <w:txbxContent>
                  <w:p w:rsidR="00A905B7" w:rsidRPr="004568C0" w:rsidRDefault="00A905B7">
                    <w:r w:rsidRPr="004568C0">
                      <w:rPr>
                        <w:iCs/>
                        <w:color w:val="000000"/>
                        <w:szCs w:val="24"/>
                      </w:rPr>
                      <w:t>c</w:t>
                    </w:r>
                  </w:p>
                </w:txbxContent>
              </v:textbox>
            </v:rect>
            <v:rect id="_x0000_s4053" style="position:absolute;left:34;top:198;width:101;height:240;mso-wrap-style:none" filled="f" stroked="f">
              <v:textbox style="mso-next-textbox:#_x0000_s4053;mso-fit-shape-to-text:t" inset="0,0,0,0">
                <w:txbxContent>
                  <w:p w:rsidR="00A905B7" w:rsidRPr="004568C0" w:rsidRDefault="00A905B7">
                    <w:r w:rsidRPr="004568C0">
                      <w:rPr>
                        <w:iCs/>
                        <w:color w:val="000000"/>
                        <w:szCs w:val="24"/>
                      </w:rPr>
                      <w:t>k</w:t>
                    </w:r>
                  </w:p>
                </w:txbxContent>
              </v:textbox>
            </v:rect>
            <v:rect id="_x0000_s4054" style="position:absolute;left:1304;top:25;width:127;height:245;mso-wrap-style:none" filled="f" stroked="f">
              <v:textbox style="mso-next-textbox:#_x0000_s4054;mso-fit-shape-to-text:t" inset="0,0,0,0">
                <w:txbxContent>
                  <w:p w:rsidR="00A905B7" w:rsidRPr="004568C0" w:rsidRDefault="00A905B7">
                    <w:r w:rsidRPr="004568C0">
                      <w:rPr>
                        <w:rFonts w:ascii="Symbol" w:hAnsi="Symbol" w:cs="Symbol"/>
                        <w:iCs/>
                        <w:color w:val="000000"/>
                        <w:szCs w:val="24"/>
                      </w:rPr>
                      <w:t></w:t>
                    </w:r>
                  </w:p>
                </w:txbxContent>
              </v:textbox>
            </v:rect>
            <w10:wrap type="none"/>
            <w10:anchorlock/>
          </v:group>
        </w:pict>
      </w:r>
      <w:r w:rsidRPr="007548B0">
        <w:rPr>
          <w:position w:val="60"/>
          <w:lang w:val="en-GB"/>
        </w:rPr>
        <w:tab/>
        <w:t>(18)</w:t>
      </w:r>
    </w:p>
    <w:p w:rsidR="00002BA6" w:rsidRPr="00B04DC3" w:rsidRDefault="00002BA6" w:rsidP="00002BA6">
      <w:pPr>
        <w:pStyle w:val="para"/>
        <w:tabs>
          <w:tab w:val="right" w:pos="8500"/>
        </w:tabs>
        <w:rPr>
          <w:lang w:val="en-GB"/>
        </w:rPr>
      </w:pPr>
      <w:r w:rsidRPr="00B04DC3">
        <w:rPr>
          <w:lang w:val="en-GB"/>
        </w:rPr>
        <w:tab/>
        <w:t>or</w:t>
      </w:r>
    </w:p>
    <w:p w:rsidR="00002BA6" w:rsidRPr="007548B0" w:rsidRDefault="00002BA6" w:rsidP="00002BA6">
      <w:pPr>
        <w:pStyle w:val="para"/>
        <w:tabs>
          <w:tab w:val="right" w:pos="8500"/>
        </w:tabs>
        <w:rPr>
          <w:position w:val="70"/>
          <w:lang w:val="en-GB"/>
        </w:rPr>
      </w:pPr>
      <w:r w:rsidRPr="00B04DC3">
        <w:rPr>
          <w:lang w:val="en-GB"/>
        </w:rPr>
        <w:tab/>
      </w:r>
      <w:r w:rsidR="00A905B7">
        <w:rPr>
          <w:lang w:val="en-GB"/>
        </w:rPr>
      </w:r>
      <w:r w:rsidR="00A905B7">
        <w:rPr>
          <w:lang w:val="en-GB"/>
        </w:rPr>
        <w:pict>
          <v:group id="_x0000_s4055" editas="canvas" style="width:151.7pt;height:70.2pt;mso-position-horizontal-relative:char;mso-position-vertical-relative:line" coordsize="3034,1404">
            <o:lock v:ext="edit" aspectratio="t"/>
            <v:shape id="_x0000_s4056" type="#_x0000_t75" style="position:absolute;width:3034;height:1404" o:preferrelative="f">
              <v:fill o:detectmouseclick="t"/>
              <v:path o:extrusionok="t" o:connecttype="none"/>
              <o:lock v:ext="edit" text="t"/>
            </v:shape>
            <v:rect id="_x0000_s4057" style="position:absolute;left:1089;top:208;width:100;height:368;mso-wrap-style:none" filled="f" stroked="f">
              <v:textbox style="mso-next-textbox:#_x0000_s4057;mso-fit-shape-to-text:t" inset="0,0,0,0">
                <w:txbxContent>
                  <w:p w:rsidR="00A905B7" w:rsidRDefault="00A905B7">
                    <w:r>
                      <w:rPr>
                        <w:rFonts w:ascii="Symbol" w:hAnsi="Symbol" w:cs="Symbol"/>
                        <w:color w:val="000000"/>
                        <w:sz w:val="30"/>
                        <w:szCs w:val="30"/>
                      </w:rPr>
                      <w:t></w:t>
                    </w:r>
                  </w:p>
                </w:txbxContent>
              </v:textbox>
            </v:rect>
            <v:rect id="_x0000_s4058" style="position:absolute;left:1759;top:208;width:100;height:368;mso-wrap-style:none" filled="f" stroked="f">
              <v:textbox style="mso-next-textbox:#_x0000_s4058;mso-fit-shape-to-text:t" inset="0,0,0,0">
                <w:txbxContent>
                  <w:p w:rsidR="00A905B7" w:rsidRDefault="00A905B7">
                    <w:r>
                      <w:rPr>
                        <w:rFonts w:ascii="Symbol" w:hAnsi="Symbol" w:cs="Symbol"/>
                        <w:color w:val="000000"/>
                        <w:sz w:val="30"/>
                        <w:szCs w:val="30"/>
                      </w:rPr>
                      <w:t></w:t>
                    </w:r>
                  </w:p>
                </w:txbxContent>
              </v:textbox>
            </v:rect>
            <v:line id="_x0000_s4059" style="position:absolute" from="1196,867" to="2057,867" strokeweight=".25pt"/>
            <v:line id="_x0000_s4060" style="position:absolute" from="827,615" to="2075,616" strokeweight=".45pt"/>
            <v:rect id="_x0000_s4061" style="position:absolute;left:2450;top:445;width:496;height:253;mso-wrap-style:none" filled="f" stroked="f">
              <v:textbox style="mso-next-textbox:#_x0000_s4061;mso-fit-shape-to-text:t" inset="0,0,0,0">
                <w:txbxContent>
                  <w:p w:rsidR="00A905B7" w:rsidRDefault="00A905B7">
                    <w:r>
                      <w:rPr>
                        <w:color w:val="000000"/>
                        <w:sz w:val="22"/>
                        <w:szCs w:val="22"/>
                      </w:rPr>
                      <w:t>1.008</w:t>
                    </w:r>
                  </w:p>
                </w:txbxContent>
              </v:textbox>
            </v:rect>
            <v:rect id="_x0000_s4062" style="position:absolute;left:1465;top:897;width:331;height:253;mso-wrap-style:none" filled="f" stroked="f">
              <v:textbox style="mso-next-textbox:#_x0000_s4062;mso-fit-shape-to-text:t" inset="0,0,0,0">
                <w:txbxContent>
                  <w:p w:rsidR="00A905B7" w:rsidRDefault="00A905B7">
                    <w:r>
                      <w:rPr>
                        <w:color w:val="000000"/>
                        <w:sz w:val="22"/>
                        <w:szCs w:val="22"/>
                      </w:rPr>
                      <w:t>200</w:t>
                    </w:r>
                  </w:p>
                </w:txbxContent>
              </v:textbox>
            </v:rect>
            <v:rect id="_x0000_s4063" style="position:absolute;left:818;top:726;width:111;height:253;mso-wrap-style:none" filled="f" stroked="f">
              <v:textbox style="mso-next-textbox:#_x0000_s4063;mso-fit-shape-to-text:t" inset="0,0,0,0">
                <w:txbxContent>
                  <w:p w:rsidR="00A905B7" w:rsidRDefault="00A905B7">
                    <w:r>
                      <w:rPr>
                        <w:color w:val="000000"/>
                        <w:sz w:val="22"/>
                        <w:szCs w:val="22"/>
                      </w:rPr>
                      <w:t>1</w:t>
                    </w:r>
                  </w:p>
                </w:txbxContent>
              </v:textbox>
            </v:rect>
            <v:rect id="_x0000_s4064" style="position:absolute;left:1179;top:305;width:111;height:253;mso-wrap-style:none" filled="f" stroked="f">
              <v:textbox style="mso-next-textbox:#_x0000_s4064;mso-fit-shape-to-text:t" inset="0,0,0,0">
                <w:txbxContent>
                  <w:p w:rsidR="00A905B7" w:rsidRDefault="00A905B7">
                    <w:r>
                      <w:rPr>
                        <w:color w:val="000000"/>
                        <w:sz w:val="22"/>
                        <w:szCs w:val="22"/>
                      </w:rPr>
                      <w:t>1</w:t>
                    </w:r>
                  </w:p>
                </w:txbxContent>
              </v:textbox>
            </v:rect>
            <v:rect id="_x0000_s4065" style="position:absolute;left:1712;top:641;width:287;height:240;mso-wrap-style:none" filled="f" stroked="f">
              <v:textbox style="mso-next-textbox:#_x0000_s4065;mso-fit-shape-to-text:t" inset="0,0,0,0">
                <w:txbxContent>
                  <w:p w:rsidR="00A905B7" w:rsidRDefault="00A905B7">
                    <w:r>
                      <w:rPr>
                        <w:color w:val="000000"/>
                        <w:sz w:val="12"/>
                        <w:szCs w:val="12"/>
                      </w:rPr>
                      <w:t>CO2d</w:t>
                    </w:r>
                  </w:p>
                </w:txbxContent>
              </v:textbox>
            </v:rect>
            <v:rect id="_x0000_s4066" style="position:absolute;left:1560;top:380;width:368;height:240" filled="f" stroked="f">
              <v:textbox style="mso-next-textbox:#_x0000_s4066;mso-fit-shape-to-text:t" inset="0,0,0,0">
                <w:txbxContent>
                  <w:p w:rsidR="00A905B7" w:rsidRDefault="00A905B7">
                    <w:r>
                      <w:rPr>
                        <w:color w:val="000000"/>
                        <w:sz w:val="12"/>
                        <w:szCs w:val="12"/>
                      </w:rPr>
                      <w:t>w2</w:t>
                    </w:r>
                  </w:p>
                </w:txbxContent>
              </v:textbox>
            </v:rect>
            <v:rect id="_x0000_s4067" style="position:absolute;left:232;top:580;width:31;height:240;mso-wrap-style:none" filled="f" stroked="f">
              <v:textbox style="mso-next-textbox:#_x0000_s4067;mso-fit-shape-to-text:t" inset="0,0,0,0">
                <w:txbxContent>
                  <w:p w:rsidR="00A905B7" w:rsidRDefault="00A905B7">
                    <w:r>
                      <w:rPr>
                        <w:color w:val="000000"/>
                        <w:sz w:val="12"/>
                        <w:szCs w:val="12"/>
                      </w:rPr>
                      <w:t>,</w:t>
                    </w:r>
                  </w:p>
                </w:txbxContent>
              </v:textbox>
            </v:rect>
            <v:rect id="_x0000_s4068" style="position:absolute;left:2314;top:419;width:121;height:270;mso-wrap-style:none" filled="f" stroked="f">
              <v:textbox style="mso-next-textbox:#_x0000_s4068;mso-fit-shape-to-text:t" inset="0,0,0,0">
                <w:txbxContent>
                  <w:p w:rsidR="00A905B7" w:rsidRDefault="00A905B7">
                    <w:r>
                      <w:rPr>
                        <w:rFonts w:ascii="Symbol" w:hAnsi="Symbol" w:cs="Symbol"/>
                        <w:color w:val="000000"/>
                        <w:sz w:val="22"/>
                        <w:szCs w:val="22"/>
                      </w:rPr>
                      <w:t></w:t>
                    </w:r>
                  </w:p>
                </w:txbxContent>
              </v:textbox>
            </v:rect>
            <v:rect id="_x0000_s4069" style="position:absolute;left:2192;top:856;width:85;height:270;mso-wrap-style:none" filled="f" stroked="f">
              <v:textbox style="mso-next-textbox:#_x0000_s4069;mso-fit-shape-to-text:t" inset="0,0,0,0">
                <w:txbxContent>
                  <w:p w:rsidR="00A905B7" w:rsidRDefault="00A905B7">
                    <w:r>
                      <w:rPr>
                        <w:rFonts w:ascii="Symbol" w:hAnsi="Symbol" w:cs="Symbol"/>
                        <w:color w:val="000000"/>
                        <w:sz w:val="22"/>
                        <w:szCs w:val="22"/>
                      </w:rPr>
                      <w:t></w:t>
                    </w:r>
                  </w:p>
                </w:txbxContent>
              </v:textbox>
            </v:rect>
            <v:rect id="_x0000_s4070" style="position:absolute;left:2192;top:650;width:85;height:270;mso-wrap-style:none" filled="f" stroked="f">
              <v:textbox style="mso-next-textbox:#_x0000_s4070;mso-fit-shape-to-text:t" inset="0,0,0,0">
                <w:txbxContent>
                  <w:p w:rsidR="00A905B7" w:rsidRDefault="00A905B7">
                    <w:r>
                      <w:rPr>
                        <w:rFonts w:ascii="Symbol" w:hAnsi="Symbol" w:cs="Symbol"/>
                        <w:color w:val="000000"/>
                        <w:sz w:val="22"/>
                        <w:szCs w:val="22"/>
                      </w:rPr>
                      <w:t></w:t>
                    </w:r>
                  </w:p>
                </w:txbxContent>
              </v:textbox>
            </v:rect>
            <v:rect id="_x0000_s4071" style="position:absolute;left:2192;top:440;width:85;height:270;mso-wrap-style:none" filled="f" stroked="f">
              <v:textbox style="mso-next-textbox:#_x0000_s4071;mso-fit-shape-to-text:t" inset="0,0,0,0">
                <w:txbxContent>
                  <w:p w:rsidR="00A905B7" w:rsidRDefault="00A905B7">
                    <w:r>
                      <w:rPr>
                        <w:rFonts w:ascii="Symbol" w:hAnsi="Symbol" w:cs="Symbol"/>
                        <w:color w:val="000000"/>
                        <w:sz w:val="22"/>
                        <w:szCs w:val="22"/>
                      </w:rPr>
                      <w:t></w:t>
                    </w:r>
                  </w:p>
                </w:txbxContent>
              </v:textbox>
            </v:rect>
            <v:rect id="_x0000_s4072" style="position:absolute;left:2192;top:230;width:85;height:270;mso-wrap-style:none" filled="f" stroked="f">
              <v:textbox style="mso-next-textbox:#_x0000_s4072;mso-fit-shape-to-text:t" inset="0,0,0,0">
                <w:txbxContent>
                  <w:p w:rsidR="00A905B7" w:rsidRDefault="00A905B7">
                    <w:r>
                      <w:rPr>
                        <w:rFonts w:ascii="Symbol" w:hAnsi="Symbol" w:cs="Symbol"/>
                        <w:color w:val="000000"/>
                        <w:sz w:val="22"/>
                        <w:szCs w:val="22"/>
                      </w:rPr>
                      <w:t></w:t>
                    </w:r>
                  </w:p>
                </w:txbxContent>
              </v:textbox>
            </v:rect>
            <v:rect id="_x0000_s4073" style="position:absolute;left:2192;top:894;width:85;height:270;mso-wrap-style:none" filled="f" stroked="f">
              <v:textbox style="mso-next-textbox:#_x0000_s4073;mso-fit-shape-to-text:t" inset="0,0,0,0">
                <w:txbxContent>
                  <w:p w:rsidR="00A905B7" w:rsidRDefault="00A905B7">
                    <w:r>
                      <w:rPr>
                        <w:rFonts w:ascii="Symbol" w:hAnsi="Symbol" w:cs="Symbol"/>
                        <w:color w:val="000000"/>
                        <w:sz w:val="22"/>
                        <w:szCs w:val="22"/>
                      </w:rPr>
                      <w:t></w:t>
                    </w:r>
                  </w:p>
                </w:txbxContent>
              </v:textbox>
            </v:rect>
            <v:rect id="_x0000_s4074" style="position:absolute;left:2192;top:20;width:85;height:270;mso-wrap-style:none" filled="f" stroked="f">
              <v:textbox style="mso-next-textbox:#_x0000_s4074;mso-fit-shape-to-text:t" inset="0,0,0,0">
                <w:txbxContent>
                  <w:p w:rsidR="00A905B7" w:rsidRDefault="00A905B7">
                    <w:r>
                      <w:rPr>
                        <w:rFonts w:ascii="Symbol" w:hAnsi="Symbol" w:cs="Symbol"/>
                        <w:color w:val="000000"/>
                        <w:sz w:val="22"/>
                        <w:szCs w:val="22"/>
                      </w:rPr>
                      <w:t></w:t>
                    </w:r>
                  </w:p>
                </w:txbxContent>
              </v:textbox>
            </v:rect>
            <v:rect id="_x0000_s4075" style="position:absolute;left:586;top:856;width:85;height:270;mso-wrap-style:none" filled="f" stroked="f">
              <v:textbox style="mso-next-textbox:#_x0000_s4075;mso-fit-shape-to-text:t" inset="0,0,0,0">
                <w:txbxContent>
                  <w:p w:rsidR="00A905B7" w:rsidRDefault="00A905B7">
                    <w:r>
                      <w:rPr>
                        <w:rFonts w:ascii="Symbol" w:hAnsi="Symbol" w:cs="Symbol"/>
                        <w:color w:val="000000"/>
                        <w:sz w:val="22"/>
                        <w:szCs w:val="22"/>
                      </w:rPr>
                      <w:t></w:t>
                    </w:r>
                  </w:p>
                </w:txbxContent>
              </v:textbox>
            </v:rect>
            <v:rect id="_x0000_s4076" style="position:absolute;left:586;top:650;width:85;height:270;mso-wrap-style:none" filled="f" stroked="f">
              <v:textbox style="mso-next-textbox:#_x0000_s4076;mso-fit-shape-to-text:t" inset="0,0,0,0">
                <w:txbxContent>
                  <w:p w:rsidR="00A905B7" w:rsidRDefault="00A905B7">
                    <w:r>
                      <w:rPr>
                        <w:rFonts w:ascii="Symbol" w:hAnsi="Symbol" w:cs="Symbol"/>
                        <w:color w:val="000000"/>
                        <w:sz w:val="22"/>
                        <w:szCs w:val="22"/>
                      </w:rPr>
                      <w:t></w:t>
                    </w:r>
                  </w:p>
                </w:txbxContent>
              </v:textbox>
            </v:rect>
            <v:rect id="_x0000_s4077" style="position:absolute;left:586;top:440;width:85;height:270;mso-wrap-style:none" filled="f" stroked="f">
              <v:textbox style="mso-next-textbox:#_x0000_s4077;mso-fit-shape-to-text:t" inset="0,0,0,0">
                <w:txbxContent>
                  <w:p w:rsidR="00A905B7" w:rsidRDefault="00A905B7">
                    <w:r>
                      <w:rPr>
                        <w:rFonts w:ascii="Symbol" w:hAnsi="Symbol" w:cs="Symbol"/>
                        <w:color w:val="000000"/>
                        <w:sz w:val="22"/>
                        <w:szCs w:val="22"/>
                      </w:rPr>
                      <w:t></w:t>
                    </w:r>
                  </w:p>
                </w:txbxContent>
              </v:textbox>
            </v:rect>
            <v:rect id="_x0000_s4078" style="position:absolute;left:586;top:230;width:85;height:270;mso-wrap-style:none" filled="f" stroked="f">
              <v:textbox style="mso-next-textbox:#_x0000_s4078;mso-fit-shape-to-text:t" inset="0,0,0,0">
                <w:txbxContent>
                  <w:p w:rsidR="00A905B7" w:rsidRDefault="00A905B7">
                    <w:r>
                      <w:rPr>
                        <w:rFonts w:ascii="Symbol" w:hAnsi="Symbol" w:cs="Symbol"/>
                        <w:color w:val="000000"/>
                        <w:sz w:val="22"/>
                        <w:szCs w:val="22"/>
                      </w:rPr>
                      <w:t></w:t>
                    </w:r>
                  </w:p>
                </w:txbxContent>
              </v:textbox>
            </v:rect>
            <v:rect id="_x0000_s4079" style="position:absolute;left:586;top:894;width:85;height:270;mso-wrap-style:none" filled="f" stroked="f">
              <v:textbox style="mso-next-textbox:#_x0000_s4079;mso-fit-shape-to-text:t" inset="0,0,0,0">
                <w:txbxContent>
                  <w:p w:rsidR="00A905B7" w:rsidRDefault="00A905B7">
                    <w:r>
                      <w:rPr>
                        <w:rFonts w:ascii="Symbol" w:hAnsi="Symbol" w:cs="Symbol"/>
                        <w:color w:val="000000"/>
                        <w:sz w:val="22"/>
                        <w:szCs w:val="22"/>
                      </w:rPr>
                      <w:t></w:t>
                    </w:r>
                  </w:p>
                </w:txbxContent>
              </v:textbox>
            </v:rect>
            <v:rect id="_x0000_s4080" style="position:absolute;left:586;top:20;width:85;height:270;mso-wrap-style:none" filled="f" stroked="f">
              <v:textbox style="mso-next-textbox:#_x0000_s4080;mso-fit-shape-to-text:t" inset="0,0,0,0">
                <w:txbxContent>
                  <w:p w:rsidR="00A905B7" w:rsidRDefault="00A905B7">
                    <w:r>
                      <w:rPr>
                        <w:rFonts w:ascii="Symbol" w:hAnsi="Symbol" w:cs="Symbol"/>
                        <w:color w:val="000000"/>
                        <w:sz w:val="22"/>
                        <w:szCs w:val="22"/>
                      </w:rPr>
                      <w:t></w:t>
                    </w:r>
                  </w:p>
                </w:txbxContent>
              </v:textbox>
            </v:rect>
            <v:rect id="_x0000_s4081" style="position:absolute;left:2102;top:735;width:85;height:270;mso-wrap-style:none" filled="f" stroked="f">
              <v:textbox style="mso-next-textbox:#_x0000_s4081;mso-fit-shape-to-text:t" inset="0,0,0,0">
                <w:txbxContent>
                  <w:p w:rsidR="00A905B7" w:rsidRDefault="00A905B7">
                    <w:r>
                      <w:rPr>
                        <w:rFonts w:ascii="Symbol" w:hAnsi="Symbol" w:cs="Symbol"/>
                        <w:color w:val="000000"/>
                        <w:sz w:val="22"/>
                        <w:szCs w:val="22"/>
                      </w:rPr>
                      <w:t></w:t>
                    </w:r>
                  </w:p>
                </w:txbxContent>
              </v:textbox>
            </v:rect>
            <v:rect id="_x0000_s4082" style="position:absolute;left:2102;top:599;width:85;height:270;mso-wrap-style:none" filled="f" stroked="f">
              <v:textbox style="mso-next-textbox:#_x0000_s4082;mso-fit-shape-to-text:t" inset="0,0,0,0">
                <w:txbxContent>
                  <w:p w:rsidR="00A905B7" w:rsidRDefault="00A905B7">
                    <w:r>
                      <w:rPr>
                        <w:rFonts w:ascii="Symbol" w:hAnsi="Symbol" w:cs="Symbol"/>
                        <w:color w:val="000000"/>
                        <w:sz w:val="22"/>
                        <w:szCs w:val="22"/>
                      </w:rPr>
                      <w:t></w:t>
                    </w:r>
                  </w:p>
                </w:txbxContent>
              </v:textbox>
            </v:rect>
            <v:rect id="_x0000_s4083" style="position:absolute;left:2102;top:389;width:85;height:270;mso-wrap-style:none" filled="f" stroked="f">
              <v:textbox style="mso-next-textbox:#_x0000_s4083;mso-fit-shape-to-text:t" inset="0,0,0,0">
                <w:txbxContent>
                  <w:p w:rsidR="00A905B7" w:rsidRDefault="00A905B7">
                    <w:r>
                      <w:rPr>
                        <w:rFonts w:ascii="Symbol" w:hAnsi="Symbol" w:cs="Symbol"/>
                        <w:color w:val="000000"/>
                        <w:sz w:val="22"/>
                        <w:szCs w:val="22"/>
                      </w:rPr>
                      <w:t></w:t>
                    </w:r>
                  </w:p>
                </w:txbxContent>
              </v:textbox>
            </v:rect>
            <v:rect id="_x0000_s4084" style="position:absolute;left:2102;top:178;width:85;height:270;mso-wrap-style:none" filled="f" stroked="f">
              <v:textbox style="mso-next-textbox:#_x0000_s4084;mso-fit-shape-to-text:t" inset="0,0,0,0">
                <w:txbxContent>
                  <w:p w:rsidR="00A905B7" w:rsidRDefault="00A905B7">
                    <w:r>
                      <w:rPr>
                        <w:rFonts w:ascii="Symbol" w:hAnsi="Symbol" w:cs="Symbol"/>
                        <w:color w:val="000000"/>
                        <w:sz w:val="22"/>
                        <w:szCs w:val="22"/>
                      </w:rPr>
                      <w:t></w:t>
                    </w:r>
                  </w:p>
                </w:txbxContent>
              </v:textbox>
            </v:rect>
            <v:rect id="_x0000_s4085" style="position:absolute;left:2102;top:875;width:85;height:270;mso-wrap-style:none" filled="f" stroked="f">
              <v:textbox style="mso-next-textbox:#_x0000_s4085;mso-fit-shape-to-text:t" inset="0,0,0,0">
                <w:txbxContent>
                  <w:p w:rsidR="00A905B7" w:rsidRDefault="00A905B7">
                    <w:r>
                      <w:rPr>
                        <w:rFonts w:ascii="Symbol" w:hAnsi="Symbol" w:cs="Symbol"/>
                        <w:color w:val="000000"/>
                        <w:sz w:val="22"/>
                        <w:szCs w:val="22"/>
                      </w:rPr>
                      <w:t></w:t>
                    </w:r>
                  </w:p>
                </w:txbxContent>
              </v:textbox>
            </v:rect>
            <v:rect id="_x0000_s4086" style="position:absolute;left:2102;top:38;width:85;height:270;mso-wrap-style:none" filled="f" stroked="f">
              <v:textbox style="mso-next-textbox:#_x0000_s4086;mso-fit-shape-to-text:t" inset="0,0,0,0">
                <w:txbxContent>
                  <w:p w:rsidR="00A905B7" w:rsidRDefault="00A905B7">
                    <w:r>
                      <w:rPr>
                        <w:rFonts w:ascii="Symbol" w:hAnsi="Symbol" w:cs="Symbol"/>
                        <w:color w:val="000000"/>
                        <w:sz w:val="22"/>
                        <w:szCs w:val="22"/>
                      </w:rPr>
                      <w:t></w:t>
                    </w:r>
                  </w:p>
                </w:txbxContent>
              </v:textbox>
            </v:rect>
            <v:rect id="_x0000_s4087" style="position:absolute;left:714;top:735;width:85;height:270;mso-wrap-style:none" filled="f" stroked="f">
              <v:textbox style="mso-next-textbox:#_x0000_s4087;mso-fit-shape-to-text:t" inset="0,0,0,0">
                <w:txbxContent>
                  <w:p w:rsidR="00A905B7" w:rsidRDefault="00A905B7">
                    <w:r>
                      <w:rPr>
                        <w:rFonts w:ascii="Symbol" w:hAnsi="Symbol" w:cs="Symbol"/>
                        <w:color w:val="000000"/>
                        <w:sz w:val="22"/>
                        <w:szCs w:val="22"/>
                      </w:rPr>
                      <w:t></w:t>
                    </w:r>
                  </w:p>
                </w:txbxContent>
              </v:textbox>
            </v:rect>
            <v:rect id="_x0000_s4088" style="position:absolute;left:714;top:599;width:85;height:270;mso-wrap-style:none" filled="f" stroked="f">
              <v:textbox style="mso-next-textbox:#_x0000_s4088;mso-fit-shape-to-text:t" inset="0,0,0,0">
                <w:txbxContent>
                  <w:p w:rsidR="00A905B7" w:rsidRDefault="00A905B7">
                    <w:r>
                      <w:rPr>
                        <w:rFonts w:ascii="Symbol" w:hAnsi="Symbol" w:cs="Symbol"/>
                        <w:color w:val="000000"/>
                        <w:sz w:val="22"/>
                        <w:szCs w:val="22"/>
                      </w:rPr>
                      <w:t></w:t>
                    </w:r>
                  </w:p>
                </w:txbxContent>
              </v:textbox>
            </v:rect>
            <v:rect id="_x0000_s4089" style="position:absolute;left:714;top:389;width:85;height:270;mso-wrap-style:none" filled="f" stroked="f">
              <v:textbox style="mso-next-textbox:#_x0000_s4089;mso-fit-shape-to-text:t" inset="0,0,0,0">
                <w:txbxContent>
                  <w:p w:rsidR="00A905B7" w:rsidRDefault="00A905B7">
                    <w:r>
                      <w:rPr>
                        <w:rFonts w:ascii="Symbol" w:hAnsi="Symbol" w:cs="Symbol"/>
                        <w:color w:val="000000"/>
                        <w:sz w:val="22"/>
                        <w:szCs w:val="22"/>
                      </w:rPr>
                      <w:t></w:t>
                    </w:r>
                  </w:p>
                </w:txbxContent>
              </v:textbox>
            </v:rect>
            <v:rect id="_x0000_s4090" style="position:absolute;left:714;top:178;width:85;height:270;mso-wrap-style:none" filled="f" stroked="f">
              <v:textbox style="mso-next-textbox:#_x0000_s4090;mso-fit-shape-to-text:t" inset="0,0,0,0">
                <w:txbxContent>
                  <w:p w:rsidR="00A905B7" w:rsidRDefault="00A905B7">
                    <w:r>
                      <w:rPr>
                        <w:rFonts w:ascii="Symbol" w:hAnsi="Symbol" w:cs="Symbol"/>
                        <w:color w:val="000000"/>
                        <w:sz w:val="22"/>
                        <w:szCs w:val="22"/>
                      </w:rPr>
                      <w:t></w:t>
                    </w:r>
                  </w:p>
                </w:txbxContent>
              </v:textbox>
            </v:rect>
            <v:rect id="_x0000_s4091" style="position:absolute;left:714;top:875;width:85;height:270;mso-wrap-style:none" filled="f" stroked="f">
              <v:textbox style="mso-next-textbox:#_x0000_s4091;mso-fit-shape-to-text:t" inset="0,0,0,0">
                <w:txbxContent>
                  <w:p w:rsidR="00A905B7" w:rsidRDefault="00A905B7">
                    <w:r>
                      <w:rPr>
                        <w:rFonts w:ascii="Symbol" w:hAnsi="Symbol" w:cs="Symbol"/>
                        <w:color w:val="000000"/>
                        <w:sz w:val="22"/>
                        <w:szCs w:val="22"/>
                      </w:rPr>
                      <w:t></w:t>
                    </w:r>
                  </w:p>
                </w:txbxContent>
              </v:textbox>
            </v:rect>
            <v:rect id="_x0000_s4092" style="position:absolute;left:714;top:38;width:85;height:270;mso-wrap-style:none" filled="f" stroked="f">
              <v:textbox style="mso-next-textbox:#_x0000_s4092;mso-fit-shape-to-text:t" inset="0,0,0,0">
                <w:txbxContent>
                  <w:p w:rsidR="00A905B7" w:rsidRDefault="00A905B7">
                    <w:r>
                      <w:rPr>
                        <w:rFonts w:ascii="Symbol" w:hAnsi="Symbol" w:cs="Symbol"/>
                        <w:color w:val="000000"/>
                        <w:sz w:val="22"/>
                        <w:szCs w:val="22"/>
                      </w:rPr>
                      <w:t></w:t>
                    </w:r>
                  </w:p>
                </w:txbxContent>
              </v:textbox>
            </v:rect>
            <v:rect id="_x0000_s4093" style="position:absolute;left:1423;top:561;width:121;height:270;mso-wrap-style:none" filled="f" stroked="f">
              <v:textbox style="mso-next-textbox:#_x0000_s4093;mso-fit-shape-to-text:t" inset="0,0,0,0">
                <w:txbxContent>
                  <w:p w:rsidR="00A905B7" w:rsidRDefault="00A905B7">
                    <w:r>
                      <w:rPr>
                        <w:rFonts w:ascii="Symbol" w:hAnsi="Symbol" w:cs="Symbol"/>
                        <w:color w:val="000000"/>
                        <w:sz w:val="22"/>
                        <w:szCs w:val="22"/>
                      </w:rPr>
                      <w:t></w:t>
                    </w:r>
                  </w:p>
                </w:txbxContent>
              </v:textbox>
            </v:rect>
            <v:rect id="_x0000_s4094" style="position:absolute;left:988;top:700;width:121;height:270;mso-wrap-style:none" filled="f" stroked="f">
              <v:textbox style="mso-next-textbox:#_x0000_s4094;mso-fit-shape-to-text:t" inset="0,0,0,0">
                <w:txbxContent>
                  <w:p w:rsidR="00A905B7" w:rsidRDefault="00A905B7">
                    <w:r>
                      <w:rPr>
                        <w:rFonts w:ascii="Symbol" w:hAnsi="Symbol" w:cs="Symbol"/>
                        <w:color w:val="000000"/>
                        <w:sz w:val="22"/>
                        <w:szCs w:val="22"/>
                      </w:rPr>
                      <w:t></w:t>
                    </w:r>
                  </w:p>
                </w:txbxContent>
              </v:textbox>
            </v:rect>
            <v:rect id="_x0000_s4095" style="position:absolute;left:1304;top:279;width:121;height:270;mso-wrap-style:none" filled="f" stroked="f">
              <v:textbox style="mso-next-textbox:#_x0000_s4095;mso-fit-shape-to-text:t" inset="0,0,0,0">
                <w:txbxContent>
                  <w:p w:rsidR="00A905B7" w:rsidRDefault="00A905B7">
                    <w:r>
                      <w:rPr>
                        <w:rFonts w:ascii="Symbol" w:hAnsi="Symbol" w:cs="Symbol"/>
                        <w:color w:val="000000"/>
                        <w:sz w:val="22"/>
                        <w:szCs w:val="22"/>
                      </w:rPr>
                      <w:t></w:t>
                    </w:r>
                  </w:p>
                </w:txbxContent>
              </v:textbox>
            </v:rect>
            <v:rect id="_x0000_s4096" style="position:absolute;left:428;top:419;width:121;height:270;mso-wrap-style:none" filled="f" stroked="f">
              <v:textbox style="mso-next-textbox:#_x0000_s4096;mso-fit-shape-to-text:t" inset="0,0,0,0">
                <w:txbxContent>
                  <w:p w:rsidR="00A905B7" w:rsidRDefault="00A905B7">
                    <w:r>
                      <w:rPr>
                        <w:rFonts w:ascii="Symbol" w:hAnsi="Symbol" w:cs="Symbol"/>
                        <w:color w:val="000000"/>
                        <w:sz w:val="22"/>
                        <w:szCs w:val="22"/>
                      </w:rPr>
                      <w:t></w:t>
                    </w:r>
                  </w:p>
                </w:txbxContent>
              </v:textbox>
            </v:rect>
            <v:rect id="_x0000_s4097" style="position:absolute;left:1613;top:587;width:98;height:253;mso-wrap-style:none" filled="f" stroked="f">
              <v:textbox style="mso-next-textbox:#_x0000_s4097;mso-fit-shape-to-text:t" inset="0,0,0,0">
                <w:txbxContent>
                  <w:p w:rsidR="00A905B7" w:rsidRPr="004568C0" w:rsidRDefault="00A905B7">
                    <w:r w:rsidRPr="004568C0">
                      <w:rPr>
                        <w:iCs/>
                        <w:color w:val="000000"/>
                        <w:sz w:val="22"/>
                        <w:szCs w:val="22"/>
                      </w:rPr>
                      <w:t>c</w:t>
                    </w:r>
                  </w:p>
                </w:txbxContent>
              </v:textbox>
            </v:rect>
            <v:rect id="_x0000_s4098" style="position:absolute;left:1440;top:360;width:111;height:253;mso-wrap-style:none" filled="f" stroked="f">
              <v:textbox style="mso-next-textbox:#_x0000_s4098;mso-fit-shape-to-text:t" inset="0,0,0,0">
                <w:txbxContent>
                  <w:p w:rsidR="00A905B7" w:rsidRPr="004568C0" w:rsidRDefault="00A905B7">
                    <w:r w:rsidRPr="004568C0">
                      <w:rPr>
                        <w:iCs/>
                        <w:color w:val="000000"/>
                        <w:sz w:val="22"/>
                        <w:szCs w:val="22"/>
                      </w:rPr>
                      <w:t>k</w:t>
                    </w:r>
                  </w:p>
                </w:txbxContent>
              </v:textbox>
            </v:rect>
            <v:rect id="_x0000_s4099" style="position:absolute;left:33;top:445;width:111;height:253;mso-wrap-style:none" filled="f" stroked="f">
              <v:textbox style="mso-next-textbox:#_x0000_s4099;mso-fit-shape-to-text:t" inset="0,0,0,0">
                <w:txbxContent>
                  <w:p w:rsidR="00A905B7" w:rsidRPr="004568C0" w:rsidRDefault="00A905B7">
                    <w:r w:rsidRPr="004568C0">
                      <w:rPr>
                        <w:iCs/>
                        <w:color w:val="000000"/>
                        <w:sz w:val="22"/>
                        <w:szCs w:val="22"/>
                      </w:rPr>
                      <w:t>k</w:t>
                    </w:r>
                  </w:p>
                </w:txbxContent>
              </v:textbox>
            </v:rect>
            <v:rect id="_x0000_s4100" style="position:absolute;left:265;top:581;width:54;height:240;mso-wrap-style:none" filled="f" stroked="f">
              <v:textbox style="mso-next-textbox:#_x0000_s4100;mso-fit-shape-to-text:t" inset="0,0,0,0">
                <w:txbxContent>
                  <w:p w:rsidR="00A905B7" w:rsidRPr="004568C0" w:rsidRDefault="00A905B7">
                    <w:r w:rsidRPr="004568C0">
                      <w:rPr>
                        <w:iCs/>
                        <w:color w:val="000000"/>
                        <w:sz w:val="12"/>
                        <w:szCs w:val="12"/>
                      </w:rPr>
                      <w:t>e</w:t>
                    </w:r>
                  </w:p>
                </w:txbxContent>
              </v:textbox>
            </v:rect>
            <v:rect id="_x0000_s4101" style="position:absolute;left:143;top:581;width:87;height:240;mso-wrap-style:none" filled="f" stroked="f">
              <v:textbox style="mso-next-textbox:#_x0000_s4101;mso-fit-shape-to-text:t" inset="0,0,0,0">
                <w:txbxContent>
                  <w:p w:rsidR="00A905B7" w:rsidRPr="004568C0" w:rsidRDefault="00A905B7">
                    <w:r w:rsidRPr="004568C0">
                      <w:rPr>
                        <w:iCs/>
                        <w:color w:val="000000"/>
                        <w:sz w:val="12"/>
                        <w:szCs w:val="12"/>
                      </w:rPr>
                      <w:t>w</w:t>
                    </w:r>
                  </w:p>
                </w:txbxContent>
              </v:textbox>
            </v:rect>
            <v:rect id="_x0000_s4102" style="position:absolute;left:1194;top:561;width:139;height:270;mso-wrap-style:none" filled="f" stroked="f">
              <v:textbox style="mso-next-textbox:#_x0000_s4102;mso-fit-shape-to-text:t" inset="0,0,0,0">
                <w:txbxContent>
                  <w:p w:rsidR="00A905B7" w:rsidRPr="004568C0" w:rsidRDefault="00A905B7">
                    <w:r w:rsidRPr="004568C0">
                      <w:rPr>
                        <w:rFonts w:ascii="Symbol" w:hAnsi="Symbol" w:cs="Symbol"/>
                        <w:iCs/>
                        <w:color w:val="000000"/>
                        <w:sz w:val="22"/>
                        <w:szCs w:val="22"/>
                      </w:rPr>
                      <w:t></w:t>
                    </w:r>
                  </w:p>
                </w:txbxContent>
              </v:textbox>
            </v:rect>
            <w10:wrap type="none"/>
            <w10:anchorlock/>
          </v:group>
        </w:pict>
      </w:r>
      <w:r w:rsidRPr="007548B0">
        <w:rPr>
          <w:position w:val="70"/>
          <w:lang w:val="en-GB"/>
        </w:rPr>
        <w:tab/>
        <w:t>(19)</w:t>
      </w:r>
    </w:p>
    <w:p w:rsidR="00002BA6" w:rsidRPr="00B04DC3" w:rsidRDefault="00002BA6" w:rsidP="0025373F">
      <w:pPr>
        <w:pStyle w:val="para"/>
        <w:tabs>
          <w:tab w:val="right" w:pos="8500"/>
        </w:tabs>
        <w:spacing w:after="0"/>
        <w:rPr>
          <w:lang w:val="en-GB"/>
        </w:rPr>
      </w:pPr>
      <w:r w:rsidRPr="00B04DC3">
        <w:rPr>
          <w:lang w:val="en-GB"/>
        </w:rPr>
        <w:tab/>
        <w:t>with</w:t>
      </w:r>
    </w:p>
    <w:p w:rsidR="00002BA6" w:rsidRPr="007548B0" w:rsidRDefault="00002BA6" w:rsidP="00002BA6">
      <w:pPr>
        <w:pStyle w:val="para"/>
        <w:tabs>
          <w:tab w:val="right" w:pos="8500"/>
        </w:tabs>
        <w:rPr>
          <w:position w:val="70"/>
          <w:lang w:val="en-GB"/>
        </w:rPr>
      </w:pPr>
      <w:r w:rsidRPr="00B04DC3">
        <w:rPr>
          <w:lang w:val="en-GB"/>
        </w:rPr>
        <w:tab/>
      </w:r>
      <w:r w:rsidR="00A905B7">
        <w:rPr>
          <w:lang w:val="en-GB"/>
        </w:rPr>
      </w:r>
      <w:r w:rsidR="00A905B7">
        <w:rPr>
          <w:lang w:val="en-GB"/>
        </w:rPr>
        <w:pict>
          <v:group id="_x0000_s4103" editas="canvas" style="width:252.6pt;height:76.9pt;mso-position-horizontal-relative:char;mso-position-vertical-relative:line" coordsize="5052,1538">
            <o:lock v:ext="edit" aspectratio="t"/>
            <v:shape id="_x0000_s4104" type="#_x0000_t75" style="position:absolute;width:5052;height:1538" o:preferrelative="f">
              <v:fill o:detectmouseclick="t"/>
              <v:path o:extrusionok="t" o:connecttype="none"/>
              <o:lock v:ext="edit" text="t"/>
            </v:shape>
            <v:line id="_x0000_s4105" style="position:absolute" from="2832,320" to="3023,320" strokeweight=".25pt"/>
            <v:line id="_x0000_s4106" style="position:absolute" from="4094,320" to="4286,320" strokeweight=".25pt"/>
            <v:line id="_x0000_s4107" style="position:absolute" from="3147,961" to="3339,961" strokeweight=".25pt"/>
            <v:line id="_x0000_s4108" style="position:absolute" from="4410,961" to="4602,961" strokeweight=".25pt"/>
            <v:line id="_x0000_s4109" style="position:absolute" from="690,632" to="4923,632" strokeweight=".45pt"/>
            <v:rect id="_x0000_s4110" style="position:absolute;left:4811;top:1028;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1" style="position:absolute;left:4811;top:835;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2" style="position:absolute;left:4811;top:642;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3" style="position:absolute;left:1381;top:1028;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4" style="position:absolute;left:1381;top:835;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5" style="position:absolute;left:1381;top:642;width:109;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6" style="position:absolute;left:4716;top:86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7" style="position:absolute;left:4716;top:1010;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8" style="position:absolute;left:4716;top:660;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19" style="position:absolute;left:2160;top:86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0" style="position:absolute;left:2160;top:1010;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1" style="position:absolute;left:2160;top:660;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2" style="position:absolute;left:4629;top:81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3" style="position:absolute;left:4629;top:99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4" style="position:absolute;left:4629;top:67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5" style="position:absolute;left:4299;top:81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6" style="position:absolute;left:4299;top:99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7" style="position:absolute;left:4299;top:67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8" style="position:absolute;left:4137;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29" style="position:absolute;left:3572;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0" style="position:absolute;left:3366;top:81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1" style="position:absolute;left:3366;top:99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2" style="position:absolute;left:3366;top:67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3" style="position:absolute;left:2739;top:81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4" style="position:absolute;left:2739;top:99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5" style="position:absolute;left:2739;top:67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6" style="position:absolute;left:2968;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7" style="position:absolute;left:2577;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8" style="position:absolute;left:1989;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39" style="position:absolute;left:1202;top:79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0" style="position:absolute;left:4400;top:22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1" style="position:absolute;left:4400;top:369;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2" style="position:absolute;left:4400;top:19;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3" style="position:absolute;left:1845;top:22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4" style="position:absolute;left:1845;top:369;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5" style="position:absolute;left:1845;top:19;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6" style="position:absolute;left:4313;top:176;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7" style="position:absolute;left:4313;top:35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8" style="position:absolute;left:4313;top:3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49" style="position:absolute;left:3983;top:176;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0" style="position:absolute;left:3983;top:35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1" style="position:absolute;left:3983;top:3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2" style="position:absolute;left:3821;top:1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3" style="position:absolute;left:3256;top:1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4" style="position:absolute;left:3050;top:176;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5" style="position:absolute;left:3050;top:35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6" style="position:absolute;left:3050;top:3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7" style="position:absolute;left:2468;top:176;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8" style="position:absolute;left:2468;top:35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59" style="position:absolute;left:2468;top:3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60" style="position:absolute;left:2675;top:1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61" style="position:absolute;left:2284;top:1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62" style="position:absolute;left:1650;top:1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63" style="position:absolute;left:444;top:468;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164" style="position:absolute;left:4431;top:991;width:159;height:253;mso-wrap-style:none" filled="f" stroked="f">
              <v:textbox style="mso-fit-shape-to-text:t" inset="0,0,0,0">
                <w:txbxContent>
                  <w:p w:rsidR="00A905B7" w:rsidRPr="006F070A" w:rsidRDefault="00A905B7">
                    <w:r w:rsidRPr="006F070A">
                      <w:rPr>
                        <w:iCs/>
                        <w:color w:val="000000"/>
                        <w:sz w:val="22"/>
                        <w:szCs w:val="22"/>
                      </w:rPr>
                      <w:t>D</w:t>
                    </w:r>
                  </w:p>
                </w:txbxContent>
              </v:textbox>
            </v:rect>
            <v:rect id="_x0000_s4165" style="position:absolute;left:3825;top:823;width:159;height:253;mso-wrap-style:none" filled="f" stroked="f">
              <v:textbox style="mso-fit-shape-to-text:t" inset="0,0,0,0">
                <w:txbxContent>
                  <w:p w:rsidR="00A905B7" w:rsidRPr="006F070A" w:rsidRDefault="00A905B7">
                    <w:r w:rsidRPr="006F070A">
                      <w:rPr>
                        <w:iCs/>
                        <w:color w:val="000000"/>
                        <w:sz w:val="22"/>
                        <w:szCs w:val="22"/>
                      </w:rPr>
                      <w:t>H</w:t>
                    </w:r>
                  </w:p>
                </w:txbxContent>
              </v:textbox>
            </v:rect>
            <v:rect id="_x0000_s4166" style="position:absolute;left:3169;top:991;width:159;height:253;mso-wrap-style:none" filled="f" stroked="f">
              <v:textbox style="mso-fit-shape-to-text:t" inset="0,0,0,0">
                <w:txbxContent>
                  <w:p w:rsidR="00A905B7" w:rsidRPr="006F070A" w:rsidRDefault="00A905B7">
                    <w:r w:rsidRPr="006F070A">
                      <w:rPr>
                        <w:iCs/>
                        <w:color w:val="000000"/>
                        <w:sz w:val="22"/>
                        <w:szCs w:val="22"/>
                      </w:rPr>
                      <w:t>D</w:t>
                    </w:r>
                  </w:p>
                </w:txbxContent>
              </v:textbox>
            </v:rect>
            <v:rect id="_x0000_s4167" style="position:absolute;left:2255;top:823;width:159;height:253;mso-wrap-style:none" filled="f" stroked="f">
              <v:textbox style="mso-fit-shape-to-text:t" inset="0,0,0,0">
                <w:txbxContent>
                  <w:p w:rsidR="00A905B7" w:rsidRPr="006F070A" w:rsidRDefault="00A905B7">
                    <w:r w:rsidRPr="006F070A">
                      <w:rPr>
                        <w:iCs/>
                        <w:color w:val="000000"/>
                        <w:sz w:val="22"/>
                        <w:szCs w:val="22"/>
                      </w:rPr>
                      <w:t>H</w:t>
                    </w:r>
                  </w:p>
                </w:txbxContent>
              </v:textbox>
            </v:rect>
            <v:rect id="_x0000_s4168" style="position:absolute;left:4116;top:350;width:159;height:253;mso-wrap-style:none" filled="f" stroked="f">
              <v:textbox style="mso-fit-shape-to-text:t" inset="0,0,0,0">
                <w:txbxContent>
                  <w:p w:rsidR="00A905B7" w:rsidRPr="006F070A" w:rsidRDefault="00A905B7">
                    <w:r w:rsidRPr="006F070A">
                      <w:rPr>
                        <w:iCs/>
                        <w:color w:val="000000"/>
                        <w:sz w:val="22"/>
                        <w:szCs w:val="22"/>
                      </w:rPr>
                      <w:t>D</w:t>
                    </w:r>
                  </w:p>
                </w:txbxContent>
              </v:textbox>
            </v:rect>
            <v:rect id="_x0000_s4169" style="position:absolute;left:3509;top:182;width:159;height:253;mso-wrap-style:none" filled="f" stroked="f">
              <v:textbox style="mso-fit-shape-to-text:t" inset="0,0,0,0">
                <w:txbxContent>
                  <w:p w:rsidR="00A905B7" w:rsidRPr="006F070A" w:rsidRDefault="00A905B7">
                    <w:r w:rsidRPr="006F070A">
                      <w:rPr>
                        <w:iCs/>
                        <w:color w:val="000000"/>
                        <w:sz w:val="22"/>
                        <w:szCs w:val="22"/>
                      </w:rPr>
                      <w:t>H</w:t>
                    </w:r>
                  </w:p>
                </w:txbxContent>
              </v:textbox>
            </v:rect>
            <v:rect id="_x0000_s4170" style="position:absolute;left:2853;top:350;width:159;height:253;mso-wrap-style:none" filled="f" stroked="f">
              <v:textbox style="mso-fit-shape-to-text:t" inset="0,0,0,0">
                <w:txbxContent>
                  <w:p w:rsidR="00A905B7" w:rsidRPr="006F070A" w:rsidRDefault="00A905B7">
                    <w:r w:rsidRPr="006F070A">
                      <w:rPr>
                        <w:iCs/>
                        <w:color w:val="000000"/>
                        <w:sz w:val="22"/>
                        <w:szCs w:val="22"/>
                      </w:rPr>
                      <w:t>D</w:t>
                    </w:r>
                  </w:p>
                </w:txbxContent>
              </v:textbox>
            </v:rect>
            <v:rect id="_x0000_s4171" style="position:absolute;left:1939;top:182;width:159;height:253;mso-wrap-style:none" filled="f" stroked="f">
              <v:textbox style="mso-fit-shape-to-text:t" inset="0,0,0,0">
                <w:txbxContent>
                  <w:p w:rsidR="00A905B7" w:rsidRPr="006F070A" w:rsidRDefault="00A905B7">
                    <w:r w:rsidRPr="006F070A">
                      <w:rPr>
                        <w:iCs/>
                        <w:color w:val="000000"/>
                        <w:sz w:val="22"/>
                        <w:szCs w:val="22"/>
                      </w:rPr>
                      <w:t>H</w:t>
                    </w:r>
                  </w:p>
                </w:txbxContent>
              </v:textbox>
            </v:rect>
            <v:rect id="_x0000_s4172" style="position:absolute;left:33;top:493;width:111;height:253;mso-wrap-style:none" filled="f" stroked="f">
              <v:textbox style="mso-fit-shape-to-text:t" inset="0,0,0,0">
                <w:txbxContent>
                  <w:p w:rsidR="00A905B7" w:rsidRPr="006F070A" w:rsidRDefault="00A905B7">
                    <w:r w:rsidRPr="006F070A">
                      <w:rPr>
                        <w:iCs/>
                        <w:color w:val="000000"/>
                        <w:sz w:val="22"/>
                        <w:szCs w:val="22"/>
                      </w:rPr>
                      <w:t>k</w:t>
                    </w:r>
                  </w:p>
                </w:txbxContent>
              </v:textbox>
            </v:rect>
            <v:rect id="_x0000_s4173" style="position:absolute;left:4003;top:957;width:61;height:240;mso-wrap-style:none" filled="f" stroked="f">
              <v:textbox style="mso-fit-shape-to-text:t" inset="0,0,0,0">
                <w:txbxContent>
                  <w:p w:rsidR="00A905B7" w:rsidRDefault="00A905B7">
                    <w:r>
                      <w:rPr>
                        <w:i/>
                        <w:iCs/>
                        <w:color w:val="000000"/>
                        <w:sz w:val="12"/>
                        <w:szCs w:val="12"/>
                      </w:rPr>
                      <w:t>a</w:t>
                    </w:r>
                  </w:p>
                </w:txbxContent>
              </v:textbox>
            </v:rect>
            <v:rect id="_x0000_s4174" style="position:absolute;left:2433;top:957;width:65;height:240;mso-wrap-style:none" filled="f" stroked="f">
              <v:textbox style="mso-fit-shape-to-text:t" inset="0,0,0,0">
                <w:txbxContent>
                  <w:p w:rsidR="00A905B7" w:rsidRDefault="00A905B7">
                    <w:r>
                      <w:rPr>
                        <w:i/>
                        <w:iCs/>
                        <w:color w:val="000000"/>
                        <w:sz w:val="12"/>
                        <w:szCs w:val="12"/>
                      </w:rPr>
                      <w:t>d</w:t>
                    </w:r>
                  </w:p>
                </w:txbxContent>
              </v:textbox>
            </v:rect>
            <v:rect id="_x0000_s4175" style="position:absolute;left:3687;top:316;width:61;height:240;mso-wrap-style:none" filled="f" stroked="f">
              <v:textbox style="mso-fit-shape-to-text:t" inset="0,0,0,0">
                <w:txbxContent>
                  <w:p w:rsidR="00A905B7" w:rsidRDefault="00A905B7">
                    <w:r>
                      <w:rPr>
                        <w:i/>
                        <w:iCs/>
                        <w:color w:val="000000"/>
                        <w:sz w:val="12"/>
                        <w:szCs w:val="12"/>
                      </w:rPr>
                      <w:t>a</w:t>
                    </w:r>
                  </w:p>
                </w:txbxContent>
              </v:textbox>
            </v:rect>
            <v:rect id="_x0000_s4176" style="position:absolute;left:2117;top:316;width:65;height:240;mso-wrap-style:none" filled="f" stroked="f">
              <v:textbox style="mso-fit-shape-to-text:t" inset="0,0,0,0">
                <w:txbxContent>
                  <w:p w:rsidR="00A905B7" w:rsidRDefault="00A905B7">
                    <w:r>
                      <w:rPr>
                        <w:i/>
                        <w:iCs/>
                        <w:color w:val="000000"/>
                        <w:sz w:val="12"/>
                        <w:szCs w:val="12"/>
                      </w:rPr>
                      <w:t>d</w:t>
                    </w:r>
                  </w:p>
                </w:txbxContent>
              </v:textbox>
            </v:rect>
            <v:rect id="_x0000_s4177" style="position:absolute;left:140;top:627;width:87;height:240;mso-wrap-style:none" filled="f" stroked="f">
              <v:textbox style="mso-fit-shape-to-text:t" inset="0,0,0,0">
                <w:txbxContent>
                  <w:p w:rsidR="00A905B7" w:rsidRPr="006F070A" w:rsidRDefault="00A905B7">
                    <w:r w:rsidRPr="006F070A">
                      <w:rPr>
                        <w:iCs/>
                        <w:color w:val="000000"/>
                        <w:sz w:val="12"/>
                        <w:szCs w:val="12"/>
                      </w:rPr>
                      <w:t>w</w:t>
                    </w:r>
                  </w:p>
                </w:txbxContent>
              </v:textbox>
            </v:rect>
            <v:rect id="_x0000_s4178" style="position:absolute;left:4452;top:687;width:111;height:253;mso-wrap-style:none" filled="f" stroked="f">
              <v:textbox style="mso-fit-shape-to-text:t" inset="0,0,0,0">
                <w:txbxContent>
                  <w:p w:rsidR="00A905B7" w:rsidRPr="006F070A" w:rsidRDefault="00A905B7">
                    <w:r w:rsidRPr="006F070A">
                      <w:rPr>
                        <w:color w:val="000000"/>
                        <w:sz w:val="22"/>
                        <w:szCs w:val="22"/>
                      </w:rPr>
                      <w:t>1</w:t>
                    </w:r>
                  </w:p>
                </w:txbxContent>
              </v:textbox>
            </v:rect>
            <v:rect id="_x0000_s4179" style="position:absolute;left:3189;top:687;width:111;height:253;mso-wrap-style:none" filled="f" stroked="f">
              <v:textbox style="mso-fit-shape-to-text:t" inset="0,0,0,0">
                <w:txbxContent>
                  <w:p w:rsidR="00A905B7" w:rsidRDefault="00A905B7">
                    <w:r>
                      <w:rPr>
                        <w:color w:val="000000"/>
                        <w:sz w:val="22"/>
                        <w:szCs w:val="22"/>
                      </w:rPr>
                      <w:t>1</w:t>
                    </w:r>
                  </w:p>
                </w:txbxContent>
              </v:textbox>
            </v:rect>
            <v:rect id="_x0000_s4180" style="position:absolute;left:2823;top:823;width:111;height:253;mso-wrap-style:none" filled="f" stroked="f">
              <v:textbox style="mso-fit-shape-to-text:t" inset="0,0,0,0">
                <w:txbxContent>
                  <w:p w:rsidR="00A905B7" w:rsidRDefault="00A905B7">
                    <w:r>
                      <w:rPr>
                        <w:color w:val="000000"/>
                        <w:sz w:val="22"/>
                        <w:szCs w:val="22"/>
                      </w:rPr>
                      <w:t>1</w:t>
                    </w:r>
                  </w:p>
                </w:txbxContent>
              </v:textbox>
            </v:rect>
            <v:rect id="_x0000_s4181" style="position:absolute;left:1627;top:823;width:331;height:253;mso-wrap-style:none" filled="f" stroked="f">
              <v:textbox style="mso-fit-shape-to-text:t" inset="0,0,0,0">
                <w:txbxContent>
                  <w:p w:rsidR="00A905B7" w:rsidRDefault="00A905B7">
                    <w:r>
                      <w:rPr>
                        <w:color w:val="000000"/>
                        <w:sz w:val="22"/>
                        <w:szCs w:val="22"/>
                      </w:rPr>
                      <w:t>608</w:t>
                    </w:r>
                  </w:p>
                </w:txbxContent>
              </v:textbox>
            </v:rect>
            <v:rect id="_x0000_s4182" style="position:absolute;left:1573;top:823;width:56;height:253;mso-wrap-style:none" filled="f" stroked="f">
              <v:textbox style="mso-fit-shape-to-text:t" inset="0,0,0,0">
                <w:txbxContent>
                  <w:p w:rsidR="00A905B7" w:rsidRDefault="00A905B7">
                    <w:r>
                      <w:rPr>
                        <w:color w:val="000000"/>
                        <w:sz w:val="22"/>
                        <w:szCs w:val="22"/>
                      </w:rPr>
                      <w:t>.</w:t>
                    </w:r>
                  </w:p>
                </w:txbxContent>
              </v:textbox>
            </v:rect>
            <v:rect id="_x0000_s4183" style="position:absolute;left:1465;top:823;width:111;height:253;mso-wrap-style:none" filled="f" stroked="f">
              <v:textbox style="mso-fit-shape-to-text:t" inset="0,0,0,0">
                <w:txbxContent>
                  <w:p w:rsidR="00A905B7" w:rsidRDefault="00A905B7">
                    <w:r>
                      <w:rPr>
                        <w:color w:val="000000"/>
                        <w:sz w:val="22"/>
                        <w:szCs w:val="22"/>
                      </w:rPr>
                      <w:t>1</w:t>
                    </w:r>
                  </w:p>
                </w:txbxContent>
              </v:textbox>
            </v:rect>
            <v:rect id="_x0000_s4184" style="position:absolute;left:823;top:823;width:331;height:253;mso-wrap-style:none" filled="f" stroked="f">
              <v:textbox style="mso-fit-shape-to-text:t" inset="0,0,0,0">
                <w:txbxContent>
                  <w:p w:rsidR="00A905B7" w:rsidRDefault="00A905B7">
                    <w:r>
                      <w:rPr>
                        <w:color w:val="000000"/>
                        <w:sz w:val="22"/>
                        <w:szCs w:val="22"/>
                      </w:rPr>
                      <w:t>000</w:t>
                    </w:r>
                  </w:p>
                </w:txbxContent>
              </v:textbox>
            </v:rect>
            <v:rect id="_x0000_s4185" style="position:absolute;left:769;top:823;width:56;height:253;mso-wrap-style:none" filled="f" stroked="f">
              <v:textbox style="mso-fit-shape-to-text:t" inset="0,0,0,0">
                <w:txbxContent>
                  <w:p w:rsidR="00A905B7" w:rsidRDefault="00A905B7">
                    <w:r>
                      <w:rPr>
                        <w:color w:val="000000"/>
                        <w:sz w:val="22"/>
                        <w:szCs w:val="22"/>
                      </w:rPr>
                      <w:t>,</w:t>
                    </w:r>
                  </w:p>
                </w:txbxContent>
              </v:textbox>
            </v:rect>
            <v:rect id="_x0000_s4186" style="position:absolute;left:681;top:823;width:111;height:253;mso-wrap-style:none" filled="f" stroked="f">
              <v:textbox style="mso-fit-shape-to-text:t" inset="0,0,0,0">
                <w:txbxContent>
                  <w:p w:rsidR="00A905B7" w:rsidRDefault="00A905B7">
                    <w:r>
                      <w:rPr>
                        <w:color w:val="000000"/>
                        <w:sz w:val="22"/>
                        <w:szCs w:val="22"/>
                      </w:rPr>
                      <w:t>1</w:t>
                    </w:r>
                  </w:p>
                </w:txbxContent>
              </v:textbox>
            </v:rect>
            <v:rect id="_x0000_s4187" style="position:absolute;left:4140;width:111;height:253;mso-wrap-style:none" filled="f" stroked="f">
              <v:textbox style="mso-fit-shape-to-text:t" inset="0,0,0,0">
                <w:txbxContent>
                  <w:p w:rsidR="00A905B7" w:rsidRDefault="00A905B7">
                    <w:r>
                      <w:rPr>
                        <w:color w:val="000000"/>
                        <w:sz w:val="22"/>
                        <w:szCs w:val="22"/>
                      </w:rPr>
                      <w:t>1</w:t>
                    </w:r>
                  </w:p>
                </w:txbxContent>
              </v:textbox>
            </v:rect>
            <v:rect id="_x0000_s4188" style="position:absolute;left:2873;top:46;width:111;height:253;mso-wrap-style:none" filled="f" stroked="f">
              <v:textbox style="mso-fit-shape-to-text:t" inset="0,0,0,0">
                <w:txbxContent>
                  <w:p w:rsidR="00A905B7" w:rsidRPr="00AC44D8" w:rsidRDefault="00A905B7">
                    <w:r w:rsidRPr="00AC44D8">
                      <w:rPr>
                        <w:color w:val="000000"/>
                        <w:sz w:val="22"/>
                        <w:szCs w:val="22"/>
                      </w:rPr>
                      <w:t>1</w:t>
                    </w:r>
                  </w:p>
                </w:txbxContent>
              </v:textbox>
            </v:rect>
            <v:rect id="_x0000_s4189" style="position:absolute;left:2552;top:182;width:111;height:253;mso-wrap-style:none" filled="f" stroked="f">
              <v:textbox style="mso-fit-shape-to-text:t" inset="0,0,0,0">
                <w:txbxContent>
                  <w:p w:rsidR="00A905B7" w:rsidRDefault="00A905B7">
                    <w:r>
                      <w:rPr>
                        <w:color w:val="000000"/>
                        <w:sz w:val="22"/>
                        <w:szCs w:val="22"/>
                      </w:rPr>
                      <w:t>1</w:t>
                    </w:r>
                  </w:p>
                </w:txbxContent>
              </v:textbox>
            </v:rect>
            <v:rect id="_x0000_s4190" style="position:absolute;left:1266;top:182;width:331;height:253;mso-wrap-style:none" filled="f" stroked="f">
              <v:textbox style="mso-fit-shape-to-text:t" inset="0,0,0,0">
                <w:txbxContent>
                  <w:p w:rsidR="00A905B7" w:rsidRDefault="00A905B7">
                    <w:r>
                      <w:rPr>
                        <w:color w:val="000000"/>
                        <w:sz w:val="22"/>
                        <w:szCs w:val="22"/>
                      </w:rPr>
                      <w:t>608</w:t>
                    </w:r>
                  </w:p>
                </w:txbxContent>
              </v:textbox>
            </v:rect>
            <v:rect id="_x0000_s4191" style="position:absolute;left:1212;top:182;width:56;height:253;mso-wrap-style:none" filled="f" stroked="f">
              <v:textbox style="mso-fit-shape-to-text:t" inset="0,0,0,0">
                <w:txbxContent>
                  <w:p w:rsidR="00A905B7" w:rsidRDefault="00A905B7">
                    <w:r>
                      <w:rPr>
                        <w:color w:val="000000"/>
                        <w:sz w:val="22"/>
                        <w:szCs w:val="22"/>
                      </w:rPr>
                      <w:t>.</w:t>
                    </w:r>
                  </w:p>
                </w:txbxContent>
              </v:textbox>
            </v:rect>
            <v:rect id="_x0000_s4192" style="position:absolute;left:1104;top:182;width:111;height:253;mso-wrap-style:none" filled="f" stroked="f">
              <v:textbox style="mso-fit-shape-to-text:t" inset="0,0,0,0">
                <w:txbxContent>
                  <w:p w:rsidR="00A905B7" w:rsidRDefault="00A905B7">
                    <w:r>
                      <w:rPr>
                        <w:color w:val="000000"/>
                        <w:sz w:val="22"/>
                        <w:szCs w:val="22"/>
                      </w:rPr>
                      <w:t>1</w:t>
                    </w:r>
                  </w:p>
                </w:txbxContent>
              </v:textbox>
            </v:rect>
            <v:rect id="_x0000_s4193" style="position:absolute;left:232;top:627;width:61;height:240;mso-wrap-style:none" filled="f" stroked="f">
              <v:textbox style="mso-fit-shape-to-text:t" inset="0,0,0,0">
                <w:txbxContent>
                  <w:p w:rsidR="00A905B7" w:rsidRDefault="00A905B7">
                    <w:r>
                      <w:rPr>
                        <w:color w:val="000000"/>
                        <w:sz w:val="12"/>
                        <w:szCs w:val="12"/>
                      </w:rPr>
                      <w:t>2</w:t>
                    </w:r>
                  </w:p>
                </w:txbxContent>
              </v:textbox>
            </v:rect>
            <w10:wrap type="none"/>
            <w10:anchorlock/>
          </v:group>
        </w:pict>
      </w:r>
      <w:r w:rsidRPr="007548B0">
        <w:rPr>
          <w:position w:val="70"/>
          <w:lang w:val="en-GB"/>
        </w:rPr>
        <w:tab/>
        <w:t>(20)</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i/>
          <w:lang w:val="en-GB"/>
        </w:rPr>
        <w:tab/>
      </w:r>
      <w:r w:rsidRPr="00B04DC3">
        <w:rPr>
          <w:lang w:val="en-GB"/>
        </w:rPr>
        <w:sym w:font="Symbol" w:char="F061"/>
      </w:r>
      <w:r w:rsidRPr="00B04DC3">
        <w:rPr>
          <w:lang w:val="en-GB"/>
        </w:rPr>
        <w:tab/>
        <w:t>is the molar hydrogen ratio of the fuel</w:t>
      </w:r>
    </w:p>
    <w:p w:rsidR="00002BA6" w:rsidRPr="00B04DC3" w:rsidRDefault="00002BA6" w:rsidP="00002BA6">
      <w:pPr>
        <w:pStyle w:val="para"/>
        <w:spacing w:before="120"/>
        <w:rPr>
          <w:lang w:val="en-GB"/>
        </w:rPr>
      </w:pPr>
      <w:r w:rsidRPr="00B04DC3">
        <w:rPr>
          <w:lang w:val="en-GB"/>
        </w:rPr>
        <w:tab/>
        <w:t>c</w:t>
      </w:r>
      <w:r w:rsidRPr="00B04DC3">
        <w:rPr>
          <w:vertAlign w:val="subscript"/>
          <w:lang w:val="en-GB"/>
        </w:rPr>
        <w:t>CO2w</w:t>
      </w:r>
      <w:r w:rsidRPr="00B04DC3">
        <w:rPr>
          <w:lang w:val="en-GB"/>
        </w:rPr>
        <w:tab/>
        <w:t>is the wet CO</w:t>
      </w:r>
      <w:r w:rsidRPr="00B04DC3">
        <w:rPr>
          <w:vertAlign w:val="subscript"/>
          <w:lang w:val="en-GB"/>
        </w:rPr>
        <w:t>2</w:t>
      </w:r>
      <w:r w:rsidRPr="00B04DC3">
        <w:rPr>
          <w:lang w:val="en-GB"/>
        </w:rPr>
        <w:t xml:space="preserve"> concentration, per cent</w:t>
      </w:r>
    </w:p>
    <w:p w:rsidR="00002BA6" w:rsidRPr="00B04DC3" w:rsidRDefault="00002BA6" w:rsidP="00002BA6">
      <w:pPr>
        <w:pStyle w:val="para"/>
        <w:spacing w:before="120"/>
        <w:rPr>
          <w:lang w:val="en-GB"/>
        </w:rPr>
      </w:pPr>
      <w:r w:rsidRPr="00B04DC3">
        <w:rPr>
          <w:lang w:val="en-GB"/>
        </w:rPr>
        <w:tab/>
        <w:t>c</w:t>
      </w:r>
      <w:r w:rsidRPr="00B04DC3">
        <w:rPr>
          <w:vertAlign w:val="subscript"/>
          <w:lang w:val="en-GB"/>
        </w:rPr>
        <w:t>CO2d</w:t>
      </w:r>
      <w:r w:rsidRPr="00B04DC3">
        <w:rPr>
          <w:lang w:val="en-GB"/>
        </w:rPr>
        <w:tab/>
        <w:t>is the dry CO</w:t>
      </w:r>
      <w:r w:rsidRPr="00B04DC3">
        <w:rPr>
          <w:vertAlign w:val="subscript"/>
          <w:lang w:val="en-GB"/>
        </w:rPr>
        <w:t>2</w:t>
      </w:r>
      <w:r w:rsidRPr="00B04DC3">
        <w:rPr>
          <w:lang w:val="en-GB"/>
        </w:rPr>
        <w:t xml:space="preserve"> concentration, per cent</w:t>
      </w:r>
    </w:p>
    <w:p w:rsidR="00002BA6" w:rsidRPr="00B04DC3" w:rsidRDefault="00002BA6" w:rsidP="00002BA6">
      <w:pPr>
        <w:pStyle w:val="para"/>
        <w:spacing w:before="120"/>
        <w:rPr>
          <w:lang w:val="en-GB"/>
        </w:rPr>
      </w:pPr>
      <w:r w:rsidRPr="00B04DC3">
        <w:rPr>
          <w:lang w:val="en-GB"/>
        </w:rPr>
        <w:tab/>
        <w:t>H</w:t>
      </w:r>
      <w:r w:rsidRPr="00B04DC3">
        <w:rPr>
          <w:vertAlign w:val="subscript"/>
          <w:lang w:val="en-GB"/>
        </w:rPr>
        <w:t>d</w:t>
      </w:r>
      <w:r w:rsidRPr="00B04DC3">
        <w:rPr>
          <w:lang w:val="en-GB"/>
        </w:rPr>
        <w:tab/>
        <w:t>is the diluent humidity, g water per kg dry air</w:t>
      </w:r>
    </w:p>
    <w:p w:rsidR="00002BA6" w:rsidRPr="00B04DC3" w:rsidRDefault="00002BA6" w:rsidP="00002BA6">
      <w:pPr>
        <w:pStyle w:val="para"/>
        <w:spacing w:before="120"/>
        <w:rPr>
          <w:lang w:val="en-GB"/>
        </w:rPr>
      </w:pPr>
      <w:r w:rsidRPr="00B04DC3">
        <w:rPr>
          <w:lang w:val="en-GB"/>
        </w:rPr>
        <w:tab/>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spacing w:before="120"/>
        <w:rPr>
          <w:lang w:val="en-GB"/>
        </w:rPr>
      </w:pPr>
      <w:r w:rsidRPr="00B04DC3">
        <w:rPr>
          <w:lang w:val="en-GB"/>
        </w:rPr>
        <w:tab/>
        <w:t>D</w:t>
      </w:r>
      <w:r w:rsidRPr="00B04DC3">
        <w:rPr>
          <w:lang w:val="en-GB"/>
        </w:rPr>
        <w:tab/>
        <w:t>is the dilution factor (see paragraph 8.5.2.3.2.</w:t>
      </w:r>
      <w:r w:rsidR="00664E7D" w:rsidRPr="00664E7D">
        <w:rPr>
          <w:lang w:val="en-GB"/>
        </w:rPr>
        <w:t xml:space="preserve"> </w:t>
      </w:r>
      <w:r w:rsidR="00664E7D">
        <w:rPr>
          <w:lang w:val="en-GB"/>
        </w:rPr>
        <w:t>of this annex</w:t>
      </w:r>
      <w:r w:rsidRPr="00B04DC3">
        <w:rPr>
          <w:lang w:val="en-GB"/>
        </w:rPr>
        <w:t>)</w:t>
      </w:r>
    </w:p>
    <w:p w:rsidR="00002BA6" w:rsidRPr="00B04DC3" w:rsidRDefault="00002BA6" w:rsidP="00002BA6">
      <w:pPr>
        <w:pStyle w:val="para"/>
        <w:spacing w:before="120"/>
        <w:rPr>
          <w:lang w:val="en-GB"/>
        </w:rPr>
      </w:pPr>
      <w:r w:rsidRPr="00B04DC3">
        <w:rPr>
          <w:lang w:val="en-GB"/>
        </w:rPr>
        <w:t>8.1.3.</w:t>
      </w:r>
      <w:r w:rsidRPr="00B04DC3">
        <w:rPr>
          <w:lang w:val="en-GB"/>
        </w:rPr>
        <w:tab/>
        <w:t>Diluent</w:t>
      </w:r>
    </w:p>
    <w:p w:rsidR="00002BA6" w:rsidRPr="007548B0" w:rsidRDefault="00002BA6" w:rsidP="00002BA6">
      <w:pPr>
        <w:pStyle w:val="para"/>
        <w:tabs>
          <w:tab w:val="right" w:pos="8500"/>
        </w:tabs>
        <w:rPr>
          <w:position w:val="40"/>
          <w:lang w:val="en-GB"/>
        </w:rPr>
      </w:pPr>
      <w:r w:rsidRPr="00B04DC3">
        <w:rPr>
          <w:lang w:val="en-GB"/>
        </w:rPr>
        <w:tab/>
      </w:r>
      <w:r w:rsidR="00A905B7">
        <w:rPr>
          <w:lang w:val="en-GB"/>
        </w:rPr>
      </w:r>
      <w:r w:rsidR="00A905B7">
        <w:rPr>
          <w:lang w:val="en-GB"/>
        </w:rPr>
        <w:pict>
          <v:group id="_x0000_s4194" editas="canvas" style="width:123.05pt;height:32.85pt;mso-position-horizontal-relative:char;mso-position-vertical-relative:line" coordorigin=",-81" coordsize="2461,657">
            <o:lock v:ext="edit" aspectratio="t"/>
            <v:shape id="_x0000_s4195" type="#_x0000_t75" style="position:absolute;top:-81;width:2461;height:657" o:preferrelative="f">
              <v:fill o:detectmouseclick="t"/>
              <v:path o:extrusionok="t" o:connecttype="none"/>
              <o:lock v:ext="edit" text="t"/>
            </v:shape>
            <v:rect id="_x0000_s4196" style="position:absolute;left:808;top:-81;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4197" style="position:absolute;left:1582;top:-81;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4198" style="position:absolute;left:1825;top:26;width:451;height:240;mso-wrap-style:none" filled="f" stroked="f">
              <v:textbox style="mso-fit-shape-to-text:t" inset="0,0,0,0">
                <w:txbxContent>
                  <w:p w:rsidR="00A905B7" w:rsidRDefault="00A905B7">
                    <w:r>
                      <w:rPr>
                        <w:color w:val="000000"/>
                        <w:szCs w:val="24"/>
                      </w:rPr>
                      <w:t>1.008</w:t>
                    </w:r>
                  </w:p>
                </w:txbxContent>
              </v:textbox>
            </v:rect>
            <v:rect id="_x0000_s4199" style="position:absolute;left:856;top:26;width:101;height:240;mso-wrap-style:none" filled="f" stroked="f">
              <v:textbox style="mso-fit-shape-to-text:t" inset="0,0,0,0">
                <w:txbxContent>
                  <w:p w:rsidR="00A905B7" w:rsidRDefault="00A905B7">
                    <w:r>
                      <w:rPr>
                        <w:color w:val="000000"/>
                        <w:szCs w:val="24"/>
                      </w:rPr>
                      <w:t>1</w:t>
                    </w:r>
                  </w:p>
                </w:txbxContent>
              </v:textbox>
            </v:rect>
            <v:rect id="_x0000_s4200" style="position:absolute;left:1479;top:174;width:71;height:240;mso-wrap-style:none" filled="f" stroked="f">
              <v:textbox style="mso-fit-shape-to-text:t" inset="0,0,0,0">
                <w:txbxContent>
                  <w:p w:rsidR="00A905B7" w:rsidRDefault="00A905B7">
                    <w:r>
                      <w:rPr>
                        <w:color w:val="000000"/>
                        <w:sz w:val="14"/>
                        <w:szCs w:val="14"/>
                      </w:rPr>
                      <w:t>3</w:t>
                    </w:r>
                  </w:p>
                </w:txbxContent>
              </v:textbox>
            </v:rect>
            <v:rect id="_x0000_s4201" style="position:absolute;left:253;top:174;width:36;height:240;mso-wrap-style:none" filled="f" stroked="f">
              <v:textbox style="mso-fit-shape-to-text:t" inset="0,0,0,0">
                <w:txbxContent>
                  <w:p w:rsidR="00A905B7" w:rsidRDefault="00A905B7">
                    <w:r>
                      <w:rPr>
                        <w:color w:val="000000"/>
                        <w:sz w:val="14"/>
                        <w:szCs w:val="14"/>
                      </w:rPr>
                      <w:t>,</w:t>
                    </w:r>
                  </w:p>
                </w:txbxContent>
              </v:textbox>
            </v:rect>
            <v:rect id="_x0000_s4202" style="position:absolute;left:1677;top:-1;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03" style="position:absolute;left:1043;top:-1;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04" style="position:absolute;left:542;top:-1;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05" style="position:absolute;left:1382;top:175;width:102;height:240;mso-wrap-style:none" filled="f" stroked="f">
              <v:textbox style="mso-fit-shape-to-text:t" inset="0,0,0,0">
                <w:txbxContent>
                  <w:p w:rsidR="00A905B7" w:rsidRPr="006F070A" w:rsidRDefault="00A905B7">
                    <w:r w:rsidRPr="006F070A">
                      <w:rPr>
                        <w:iCs/>
                        <w:color w:val="000000"/>
                        <w:sz w:val="14"/>
                        <w:szCs w:val="14"/>
                      </w:rPr>
                      <w:t>w</w:t>
                    </w:r>
                  </w:p>
                </w:txbxContent>
              </v:textbox>
            </v:rect>
            <v:rect id="_x0000_s4206" style="position:absolute;left:292;top:175;width:71;height:240;mso-wrap-style:none" filled="f" stroked="f">
              <v:textbox style="mso-fit-shape-to-text:t" inset="0,0,0,0">
                <w:txbxContent>
                  <w:p w:rsidR="00A905B7" w:rsidRPr="006F070A" w:rsidRDefault="00A905B7">
                    <w:r w:rsidRPr="006F070A">
                      <w:rPr>
                        <w:iCs/>
                        <w:color w:val="000000"/>
                        <w:sz w:val="14"/>
                        <w:szCs w:val="14"/>
                      </w:rPr>
                      <w:t>d</w:t>
                    </w:r>
                  </w:p>
                </w:txbxContent>
              </v:textbox>
            </v:rect>
            <v:rect id="_x0000_s4207" style="position:absolute;left:156;top:175;width:102;height:240;mso-wrap-style:none" filled="f" stroked="f">
              <v:textbox style="mso-fit-shape-to-text:t" inset="0,0,0,0">
                <w:txbxContent>
                  <w:p w:rsidR="00A905B7" w:rsidRPr="006F070A" w:rsidRDefault="00A905B7">
                    <w:r w:rsidRPr="006F070A">
                      <w:rPr>
                        <w:iCs/>
                        <w:color w:val="000000"/>
                        <w:sz w:val="14"/>
                        <w:szCs w:val="14"/>
                      </w:rPr>
                      <w:t>w</w:t>
                    </w:r>
                  </w:p>
                </w:txbxContent>
              </v:textbox>
            </v:rect>
            <v:rect id="_x0000_s4208" style="position:absolute;left:1263;top:26;width:101;height:240;mso-wrap-style:none" filled="f" stroked="f">
              <v:textbox style="mso-fit-shape-to-text:t" inset="0,0,0,0">
                <w:txbxContent>
                  <w:p w:rsidR="00A905B7" w:rsidRPr="006F070A" w:rsidRDefault="00A905B7">
                    <w:r w:rsidRPr="006F070A">
                      <w:rPr>
                        <w:iCs/>
                        <w:color w:val="000000"/>
                        <w:szCs w:val="24"/>
                      </w:rPr>
                      <w:t>k</w:t>
                    </w:r>
                  </w:p>
                </w:txbxContent>
              </v:textbox>
            </v:rect>
            <v:rect id="_x0000_s4209" style="position:absolute;left:36;top:26;width:101;height:240;mso-wrap-style:none" filled="f" stroked="f">
              <v:textbox style="mso-fit-shape-to-text:t" inset="0,0,0,0">
                <w:txbxContent>
                  <w:p w:rsidR="00A905B7" w:rsidRPr="006F070A" w:rsidRDefault="00A905B7">
                    <w:r w:rsidRPr="006F070A">
                      <w:rPr>
                        <w:iCs/>
                        <w:color w:val="000000"/>
                        <w:szCs w:val="24"/>
                      </w:rPr>
                      <w:t>k</w:t>
                    </w:r>
                  </w:p>
                </w:txbxContent>
              </v:textbox>
            </v:rect>
            <w10:wrap type="none"/>
            <w10:anchorlock/>
          </v:group>
        </w:pict>
      </w:r>
      <w:r w:rsidRPr="007548B0">
        <w:rPr>
          <w:position w:val="40"/>
          <w:lang w:val="en-GB"/>
        </w:rPr>
        <w:tab/>
        <w:t>(21)</w:t>
      </w:r>
    </w:p>
    <w:p w:rsidR="00002BA6" w:rsidRPr="00B04DC3" w:rsidRDefault="00002BA6" w:rsidP="0025373F">
      <w:pPr>
        <w:pStyle w:val="para"/>
        <w:tabs>
          <w:tab w:val="right" w:pos="8500"/>
        </w:tabs>
        <w:spacing w:after="0"/>
        <w:rPr>
          <w:lang w:val="en-GB"/>
        </w:rPr>
      </w:pPr>
      <w:r w:rsidRPr="00B04DC3">
        <w:rPr>
          <w:lang w:val="en-GB"/>
        </w:rPr>
        <w:tab/>
      </w:r>
      <w:r w:rsidR="00D06B9E" w:rsidRPr="00B04DC3">
        <w:rPr>
          <w:lang w:val="en-GB"/>
        </w:rPr>
        <w:t>With</w:t>
      </w:r>
      <w:r w:rsidR="00664E7D">
        <w:rPr>
          <w:lang w:val="en-GB"/>
        </w:rPr>
        <w:t>:</w:t>
      </w:r>
    </w:p>
    <w:p w:rsidR="00002BA6" w:rsidRPr="007548B0" w:rsidRDefault="00002BA6" w:rsidP="0025373F">
      <w:pPr>
        <w:pStyle w:val="para"/>
        <w:tabs>
          <w:tab w:val="right" w:pos="8500"/>
        </w:tabs>
        <w:rPr>
          <w:position w:val="40"/>
          <w:lang w:val="en-GB"/>
        </w:rPr>
      </w:pPr>
      <w:r w:rsidRPr="00B04DC3">
        <w:rPr>
          <w:lang w:val="en-GB"/>
        </w:rPr>
        <w:tab/>
      </w:r>
      <w:r w:rsidR="00A905B7">
        <w:rPr>
          <w:lang w:val="en-GB"/>
        </w:rPr>
      </w:r>
      <w:r w:rsidR="00A905B7">
        <w:rPr>
          <w:lang w:val="en-GB"/>
        </w:rPr>
        <w:pict>
          <v:group id="_x0000_s4210" editas="canvas" style="width:142.2pt;height:45.75pt;mso-position-horizontal-relative:char;mso-position-vertical-relative:line" coordorigin=",-14" coordsize="2844,915">
            <o:lock v:ext="edit" aspectratio="t"/>
            <v:shape id="_x0000_s4211" type="#_x0000_t75" style="position:absolute;top:-14;width:2844;height:915" o:preferrelative="f">
              <v:fill o:detectmouseclick="t"/>
              <v:path o:extrusionok="t" o:connecttype="none"/>
              <o:lock v:ext="edit" text="t"/>
            </v:shape>
            <v:rect id="_x0000_s4212" style="position:absolute;left:1518;top:245;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4213" style="position:absolute;left:2623;top:245;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line id="_x0000_s4214" style="position:absolute" from="757,320" to="2694,320" strokeweight=".5pt"/>
            <v:rect id="_x0000_s4215" style="position:absolute;left:2472;top:400;width:71;height:240;mso-wrap-style:none" filled="f" stroked="f">
              <v:textbox style="mso-fit-shape-to-text:t" inset="0,0,0,0">
                <w:txbxContent>
                  <w:p w:rsidR="00A905B7" w:rsidRDefault="00A905B7">
                    <w:r>
                      <w:rPr>
                        <w:color w:val="000000"/>
                        <w:sz w:val="14"/>
                        <w:szCs w:val="14"/>
                      </w:rPr>
                      <w:t>d</w:t>
                    </w:r>
                  </w:p>
                </w:txbxContent>
              </v:textbox>
            </v:rect>
            <v:rect id="_x0000_s4216" style="position:absolute;left:2136;top:71;width:71;height:240;mso-wrap-style:none" filled="f" stroked="f">
              <v:textbox style="mso-fit-shape-to-text:t" inset="0,0,0,0">
                <w:txbxContent>
                  <w:p w:rsidR="00A905B7" w:rsidRDefault="00A905B7">
                    <w:r>
                      <w:rPr>
                        <w:color w:val="000000"/>
                        <w:sz w:val="14"/>
                        <w:szCs w:val="14"/>
                      </w:rPr>
                      <w:t>d</w:t>
                    </w:r>
                  </w:p>
                </w:txbxContent>
              </v:textbox>
            </v:rect>
            <v:rect id="_x0000_s4217" style="position:absolute;left:253;top:314;width:71;height:240;mso-wrap-style:none" filled="f" stroked="f">
              <v:textbox style="mso-fit-shape-to-text:t" inset="0,0,0,0">
                <w:txbxContent>
                  <w:p w:rsidR="00A905B7" w:rsidRDefault="00A905B7">
                    <w:r>
                      <w:rPr>
                        <w:color w:val="000000"/>
                        <w:sz w:val="14"/>
                        <w:szCs w:val="14"/>
                      </w:rPr>
                      <w:t>3</w:t>
                    </w:r>
                  </w:p>
                </w:txbxContent>
              </v:textbox>
            </v:rect>
            <v:rect id="_x0000_s4218" style="position:absolute;left:1747;top:352;width:301;height:240;mso-wrap-style:none" filled="f" stroked="f">
              <v:textbox style="mso-fit-shape-to-text:t" inset="0,0,0,0">
                <w:txbxContent>
                  <w:p w:rsidR="00A905B7" w:rsidRDefault="00A905B7">
                    <w:r>
                      <w:rPr>
                        <w:color w:val="000000"/>
                        <w:szCs w:val="24"/>
                      </w:rPr>
                      <w:t>608</w:t>
                    </w:r>
                  </w:p>
                </w:txbxContent>
              </v:textbox>
            </v:rect>
            <v:rect id="_x0000_s4219" style="position:absolute;left:1687;top:352;width:51;height:240;mso-wrap-style:none" filled="f" stroked="f">
              <v:textbox style="mso-fit-shape-to-text:t" inset="0,0,0,0">
                <w:txbxContent>
                  <w:p w:rsidR="00A905B7" w:rsidRDefault="00A905B7">
                    <w:r>
                      <w:rPr>
                        <w:color w:val="000000"/>
                        <w:szCs w:val="24"/>
                      </w:rPr>
                      <w:t>.</w:t>
                    </w:r>
                  </w:p>
                </w:txbxContent>
              </v:textbox>
            </v:rect>
            <v:rect id="_x0000_s4220" style="position:absolute;left:1567;top:352;width:101;height:240;mso-wrap-style:none" filled="f" stroked="f">
              <v:textbox style="mso-fit-shape-to-text:t" inset="0,0,0,0">
                <w:txbxContent>
                  <w:p w:rsidR="00A905B7" w:rsidRDefault="00A905B7">
                    <w:r>
                      <w:rPr>
                        <w:color w:val="000000"/>
                        <w:szCs w:val="24"/>
                      </w:rPr>
                      <w:t>1</w:t>
                    </w:r>
                  </w:p>
                </w:txbxContent>
              </v:textbox>
            </v:rect>
            <v:rect id="_x0000_s4221" style="position:absolute;left:904;top:352;width:301;height:240;mso-wrap-style:none" filled="f" stroked="f">
              <v:textbox style="mso-fit-shape-to-text:t" inset="0,0,0,0">
                <w:txbxContent>
                  <w:p w:rsidR="00A905B7" w:rsidRDefault="00A905B7">
                    <w:r>
                      <w:rPr>
                        <w:color w:val="000000"/>
                        <w:szCs w:val="24"/>
                      </w:rPr>
                      <w:t>000</w:t>
                    </w:r>
                  </w:p>
                </w:txbxContent>
              </v:textbox>
            </v:rect>
            <v:rect id="_x0000_s4222" style="position:absolute;left:844;top:352;width:51;height:240;mso-wrap-style:none" filled="f" stroked="f">
              <v:textbox style="mso-fit-shape-to-text:t" inset="0,0,0,0">
                <w:txbxContent>
                  <w:p w:rsidR="00A905B7" w:rsidRDefault="00A905B7">
                    <w:r>
                      <w:rPr>
                        <w:color w:val="000000"/>
                        <w:szCs w:val="24"/>
                      </w:rPr>
                      <w:t>,</w:t>
                    </w:r>
                  </w:p>
                </w:txbxContent>
              </v:textbox>
            </v:rect>
            <v:rect id="_x0000_s4223" style="position:absolute;left:747;top:352;width:101;height:240;mso-wrap-style:none" filled="f" stroked="f">
              <v:textbox style="mso-fit-shape-to-text:t" inset="0,0,0,0">
                <w:txbxContent>
                  <w:p w:rsidR="00A905B7" w:rsidRDefault="00A905B7">
                    <w:r>
                      <w:rPr>
                        <w:color w:val="000000"/>
                        <w:szCs w:val="24"/>
                      </w:rPr>
                      <w:t>1</w:t>
                    </w:r>
                  </w:p>
                </w:txbxContent>
              </v:textbox>
            </v:rect>
            <v:rect id="_x0000_s4224" style="position:absolute;left:1353;top:13;width:301;height:240;mso-wrap-style:none" filled="f" stroked="f">
              <v:textbox style="mso-fit-shape-to-text:t" inset="0,0,0,0">
                <w:txbxContent>
                  <w:p w:rsidR="00A905B7" w:rsidRDefault="00A905B7">
                    <w:r>
                      <w:rPr>
                        <w:color w:val="000000"/>
                        <w:szCs w:val="24"/>
                      </w:rPr>
                      <w:t>608</w:t>
                    </w:r>
                  </w:p>
                </w:txbxContent>
              </v:textbox>
            </v:rect>
            <v:rect id="_x0000_s4225" style="position:absolute;left:1293;top:13;width:51;height:240;mso-wrap-style:none" filled="f" stroked="f">
              <v:textbox style="mso-fit-shape-to-text:t" inset="0,0,0,0">
                <w:txbxContent>
                  <w:p w:rsidR="00A905B7" w:rsidRDefault="00A905B7">
                    <w:r>
                      <w:rPr>
                        <w:color w:val="000000"/>
                        <w:szCs w:val="24"/>
                      </w:rPr>
                      <w:t>.</w:t>
                    </w:r>
                  </w:p>
                </w:txbxContent>
              </v:textbox>
            </v:rect>
            <v:rect id="_x0000_s4226" style="position:absolute;left:1173;top:13;width:101;height:240;mso-wrap-style:none" filled="f" stroked="f">
              <v:textbox style="mso-fit-shape-to-text:t" inset="0,0,0,0">
                <w:txbxContent>
                  <w:p w:rsidR="00A905B7" w:rsidRDefault="00A905B7">
                    <w:r>
                      <w:rPr>
                        <w:color w:val="000000"/>
                        <w:szCs w:val="24"/>
                      </w:rPr>
                      <w:t>1</w:t>
                    </w:r>
                  </w:p>
                </w:txbxContent>
              </v:textbox>
            </v:rect>
            <v:rect id="_x0000_s4227" style="position:absolute;left:2317;top:352;width:145;height:240;mso-wrap-style:none" filled="f" stroked="f">
              <v:textbox style="mso-fit-shape-to-text:t" inset="0,0,0,0">
                <w:txbxContent>
                  <w:p w:rsidR="00A905B7" w:rsidRPr="006F070A" w:rsidRDefault="00A905B7">
                    <w:r w:rsidRPr="006F070A">
                      <w:rPr>
                        <w:iCs/>
                        <w:color w:val="000000"/>
                        <w:szCs w:val="24"/>
                      </w:rPr>
                      <w:t>H</w:t>
                    </w:r>
                  </w:p>
                </w:txbxContent>
              </v:textbox>
            </v:rect>
            <v:rect id="_x0000_s4228" style="position:absolute;left:1961;top:13;width:145;height:240;mso-wrap-style:none" filled="f" stroked="f">
              <v:textbox style="mso-fit-shape-to-text:t" inset="0,0,0,0">
                <w:txbxContent>
                  <w:p w:rsidR="00A905B7" w:rsidRPr="006F070A" w:rsidRDefault="00A905B7">
                    <w:r w:rsidRPr="006F070A">
                      <w:rPr>
                        <w:iCs/>
                        <w:color w:val="000000"/>
                        <w:szCs w:val="24"/>
                      </w:rPr>
                      <w:t>H</w:t>
                    </w:r>
                  </w:p>
                </w:txbxContent>
              </v:textbox>
            </v:rect>
            <v:rect id="_x0000_s4229" style="position:absolute;left:36;top:166;width:101;height:240;mso-wrap-style:none" filled="f" stroked="f">
              <v:textbox style="mso-fit-shape-to-text:t" inset="0,0,0,0">
                <w:txbxContent>
                  <w:p w:rsidR="00A905B7" w:rsidRPr="006F070A" w:rsidRDefault="00A905B7">
                    <w:r w:rsidRPr="006F070A">
                      <w:rPr>
                        <w:iCs/>
                        <w:color w:val="000000"/>
                        <w:szCs w:val="24"/>
                      </w:rPr>
                      <w:t>k</w:t>
                    </w:r>
                  </w:p>
                </w:txbxContent>
              </v:textbox>
            </v:rect>
            <v:rect id="_x0000_s4230" style="position:absolute;left:156;top:315;width:102;height:240;mso-wrap-style:none" filled="f" stroked="f">
              <v:textbox style="mso-fit-shape-to-text:t" inset="0,0,0,0">
                <w:txbxContent>
                  <w:p w:rsidR="00A905B7" w:rsidRPr="006F070A" w:rsidRDefault="00A905B7">
                    <w:r w:rsidRPr="006F070A">
                      <w:rPr>
                        <w:iCs/>
                        <w:color w:val="000000"/>
                        <w:sz w:val="14"/>
                        <w:szCs w:val="14"/>
                      </w:rPr>
                      <w:t>w</w:t>
                    </w:r>
                  </w:p>
                </w:txbxContent>
              </v:textbox>
            </v:rect>
            <v:rect id="_x0000_s4231" style="position:absolute;left:2135;top:325;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32" style="position:absolute;left:1324;top:325;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33" style="position:absolute;left:1779;top:-14;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34" style="position:absolute;left:483;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Pr="007548B0">
        <w:rPr>
          <w:position w:val="40"/>
          <w:lang w:val="en-GB"/>
        </w:rPr>
        <w:tab/>
        <w:t>(22)</w:t>
      </w:r>
    </w:p>
    <w:p w:rsidR="00002BA6" w:rsidRPr="00B04DC3" w:rsidRDefault="00002BA6" w:rsidP="0025373F">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i/>
          <w:lang w:val="en-GB"/>
        </w:rPr>
        <w:tab/>
      </w:r>
      <w:r w:rsidRPr="00B04DC3">
        <w:rPr>
          <w:lang w:val="en-GB"/>
        </w:rPr>
        <w:t>H</w:t>
      </w:r>
      <w:r w:rsidRPr="00B04DC3">
        <w:rPr>
          <w:vertAlign w:val="subscript"/>
          <w:lang w:val="en-GB"/>
        </w:rPr>
        <w:t>d</w:t>
      </w:r>
      <w:r w:rsidRPr="00B04DC3">
        <w:rPr>
          <w:vertAlign w:val="subscript"/>
          <w:lang w:val="en-GB"/>
        </w:rPr>
        <w:tab/>
      </w:r>
      <w:r w:rsidRPr="00B04DC3">
        <w:rPr>
          <w:lang w:val="en-GB"/>
        </w:rPr>
        <w:t>is the diluent humidity, g water per kg dry air</w:t>
      </w:r>
    </w:p>
    <w:p w:rsidR="00002BA6" w:rsidRPr="00B04DC3" w:rsidRDefault="00002BA6" w:rsidP="00002BA6">
      <w:pPr>
        <w:pStyle w:val="para"/>
        <w:spacing w:before="120"/>
        <w:rPr>
          <w:lang w:val="en-GB"/>
        </w:rPr>
      </w:pPr>
      <w:r w:rsidRPr="00B04DC3">
        <w:rPr>
          <w:lang w:val="en-GB"/>
        </w:rPr>
        <w:t>8.2.</w:t>
      </w:r>
      <w:r w:rsidRPr="00B04DC3">
        <w:rPr>
          <w:lang w:val="en-GB"/>
        </w:rPr>
        <w:tab/>
        <w:t>NO</w:t>
      </w:r>
      <w:r w:rsidRPr="00B04DC3">
        <w:rPr>
          <w:vertAlign w:val="subscript"/>
          <w:lang w:val="en-GB"/>
        </w:rPr>
        <w:t>x</w:t>
      </w:r>
      <w:r w:rsidRPr="00B04DC3">
        <w:rPr>
          <w:lang w:val="en-GB"/>
        </w:rPr>
        <w:t xml:space="preserve"> correction for humidity</w:t>
      </w:r>
    </w:p>
    <w:p w:rsidR="00002BA6" w:rsidRPr="00B04DC3" w:rsidRDefault="00002BA6" w:rsidP="00002BA6">
      <w:pPr>
        <w:pStyle w:val="para"/>
        <w:spacing w:before="120"/>
        <w:rPr>
          <w:spacing w:val="-2"/>
          <w:lang w:val="en-GB"/>
        </w:rPr>
      </w:pPr>
      <w:r w:rsidRPr="00B04DC3">
        <w:rPr>
          <w:spacing w:val="-2"/>
          <w:lang w:val="en-GB"/>
        </w:rPr>
        <w:tab/>
        <w:t>As the NO</w:t>
      </w:r>
      <w:r w:rsidRPr="00B04DC3">
        <w:rPr>
          <w:spacing w:val="-2"/>
          <w:vertAlign w:val="subscript"/>
          <w:lang w:val="en-GB"/>
        </w:rPr>
        <w:t>x</w:t>
      </w:r>
      <w:r w:rsidRPr="00B04DC3">
        <w:rPr>
          <w:spacing w:val="-2"/>
          <w:lang w:val="en-GB"/>
        </w:rPr>
        <w:t xml:space="preserve"> emission depends on ambient air conditions, the NO</w:t>
      </w:r>
      <w:r w:rsidRPr="00B04DC3">
        <w:rPr>
          <w:spacing w:val="-2"/>
          <w:vertAlign w:val="subscript"/>
          <w:lang w:val="en-GB"/>
        </w:rPr>
        <w:t>x</w:t>
      </w:r>
      <w:r w:rsidRPr="00B04DC3">
        <w:rPr>
          <w:spacing w:val="-2"/>
          <w:lang w:val="en-GB"/>
        </w:rPr>
        <w:t xml:space="preserve"> concentration shall be corrected for humidity with the factors given in paragraph 8.2.1. or 8.2.2. </w:t>
      </w:r>
      <w:r w:rsidR="00664E7D">
        <w:rPr>
          <w:spacing w:val="-2"/>
          <w:lang w:val="en-GB"/>
        </w:rPr>
        <w:t xml:space="preserve">below. </w:t>
      </w:r>
      <w:r w:rsidRPr="00B04DC3">
        <w:rPr>
          <w:spacing w:val="-2"/>
          <w:lang w:val="en-GB"/>
        </w:rPr>
        <w:t>The intake air humidity H</w:t>
      </w:r>
      <w:r w:rsidRPr="00B04DC3">
        <w:rPr>
          <w:spacing w:val="-2"/>
          <w:vertAlign w:val="subscript"/>
          <w:lang w:val="en-GB"/>
        </w:rPr>
        <w:t>a</w:t>
      </w:r>
      <w:r w:rsidRPr="00B04DC3">
        <w:rPr>
          <w:spacing w:val="-2"/>
          <w:lang w:val="en-GB"/>
        </w:rPr>
        <w:t xml:space="preserve"> may be derived from relative humidity measurement, dew point measurement, vapour pressure measurement or dry/wet bulb measurement using generally accepted equations.</w:t>
      </w:r>
    </w:p>
    <w:p w:rsidR="00002BA6" w:rsidRPr="00B04DC3" w:rsidRDefault="00002BA6" w:rsidP="00002BA6">
      <w:pPr>
        <w:pStyle w:val="para"/>
        <w:spacing w:before="120"/>
        <w:rPr>
          <w:lang w:val="en-GB"/>
        </w:rPr>
      </w:pPr>
      <w:r w:rsidRPr="00B04DC3">
        <w:rPr>
          <w:lang w:val="en-GB"/>
        </w:rPr>
        <w:t>8.2.1.</w:t>
      </w:r>
      <w:r w:rsidRPr="00B04DC3">
        <w:rPr>
          <w:lang w:val="en-GB"/>
        </w:rPr>
        <w:tab/>
        <w:t>Compression-ignition engines</w:t>
      </w:r>
    </w:p>
    <w:p w:rsidR="00002BA6" w:rsidRPr="00B04DC3" w:rsidRDefault="00002BA6" w:rsidP="00002BA6">
      <w:pPr>
        <w:pStyle w:val="para"/>
        <w:tabs>
          <w:tab w:val="right" w:pos="8500"/>
        </w:tabs>
        <w:rPr>
          <w:lang w:val="en-GB"/>
        </w:rPr>
      </w:pPr>
      <w:r w:rsidRPr="00B04DC3">
        <w:rPr>
          <w:lang w:val="en-GB"/>
        </w:rPr>
        <w:tab/>
      </w:r>
      <w:r w:rsidR="0025373F" w:rsidRPr="00B04DC3">
        <w:rPr>
          <w:position w:val="-28"/>
          <w:lang w:val="en-GB"/>
        </w:rPr>
        <w:object w:dxaOrig="2620" w:dyaOrig="660">
          <v:shape id="_x0000_i1237" type="#_x0000_t75" style="width:116.4pt;height:29.4pt" o:ole="">
            <v:imagedata r:id="rId365" o:title=""/>
          </v:shape>
          <o:OLEObject Type="Embed" ProgID="Equation.3" ShapeID="_x0000_i1237" DrawAspect="Content" ObjectID="_1498392340" r:id="rId366"/>
        </w:object>
      </w:r>
      <w:r w:rsidRPr="00B04DC3">
        <w:rPr>
          <w:lang w:val="en-GB"/>
        </w:rPr>
        <w:tab/>
        <w:t>(23)</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lang w:val="en-GB"/>
        </w:rPr>
        <w:tab/>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tabs>
          <w:tab w:val="right" w:pos="8500"/>
        </w:tabs>
        <w:rPr>
          <w:lang w:val="en-GB"/>
        </w:rPr>
      </w:pPr>
      <w:r w:rsidRPr="00B04DC3">
        <w:rPr>
          <w:lang w:val="en-GB"/>
        </w:rPr>
        <w:t>8.2.2.</w:t>
      </w:r>
      <w:r w:rsidRPr="00B04DC3">
        <w:rPr>
          <w:lang w:val="en-GB"/>
        </w:rPr>
        <w:tab/>
        <w:t>Positive ignition engines</w:t>
      </w:r>
    </w:p>
    <w:p w:rsidR="00002BA6" w:rsidRPr="00B04DC3" w:rsidRDefault="00002BA6" w:rsidP="00002BA6">
      <w:pPr>
        <w:pStyle w:val="para"/>
        <w:tabs>
          <w:tab w:val="right" w:pos="8500"/>
        </w:tabs>
        <w:rPr>
          <w:lang w:val="en-GB"/>
        </w:rPr>
      </w:pPr>
      <w:r w:rsidRPr="00B04DC3">
        <w:rPr>
          <w:lang w:val="en-GB"/>
        </w:rPr>
        <w:tab/>
      </w:r>
      <w:r w:rsidR="0025373F" w:rsidRPr="00B04DC3">
        <w:rPr>
          <w:position w:val="-12"/>
          <w:lang w:val="en-GB"/>
        </w:rPr>
        <w:object w:dxaOrig="5200" w:dyaOrig="400">
          <v:shape id="_x0000_i1238" type="#_x0000_t75" style="width:230.4pt;height:17.4pt" o:ole="">
            <v:imagedata r:id="rId367" o:title=""/>
          </v:shape>
          <o:OLEObject Type="Embed" ProgID="Equation.3" ShapeID="_x0000_i1238" DrawAspect="Content" ObjectID="_1498392341" r:id="rId368"/>
        </w:object>
      </w:r>
      <w:r w:rsidRPr="00B04DC3">
        <w:rPr>
          <w:lang w:val="en-GB"/>
        </w:rPr>
        <w:tab/>
        <w:t>(24)</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spacing w:before="120"/>
        <w:rPr>
          <w:lang w:val="en-GB"/>
        </w:rPr>
      </w:pPr>
      <w:r w:rsidRPr="00B04DC3">
        <w:rPr>
          <w:lang w:val="en-GB"/>
        </w:rPr>
        <w:tab/>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tabs>
          <w:tab w:val="right" w:pos="8500"/>
        </w:tabs>
        <w:rPr>
          <w:lang w:val="en-GB"/>
        </w:rPr>
      </w:pPr>
      <w:r w:rsidRPr="00B04DC3">
        <w:rPr>
          <w:lang w:val="en-GB"/>
        </w:rPr>
        <w:t>8.3.</w:t>
      </w:r>
      <w:r w:rsidRPr="00B04DC3">
        <w:rPr>
          <w:lang w:val="en-GB"/>
        </w:rPr>
        <w:tab/>
        <w:t>Particulate filter buoyancy correction</w:t>
      </w:r>
    </w:p>
    <w:p w:rsidR="00002BA6" w:rsidRPr="00B04DC3" w:rsidRDefault="00002BA6" w:rsidP="00002BA6">
      <w:pPr>
        <w:pStyle w:val="para"/>
        <w:tabs>
          <w:tab w:val="right" w:pos="8500"/>
        </w:tabs>
        <w:rPr>
          <w:lang w:val="en-GB"/>
        </w:rPr>
      </w:pPr>
      <w:r w:rsidRPr="00B04DC3">
        <w:rPr>
          <w:lang w:val="en-GB"/>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rsidR="00002BA6" w:rsidRPr="00B04DC3" w:rsidRDefault="00002BA6" w:rsidP="00002BA6">
      <w:pPr>
        <w:pStyle w:val="para"/>
        <w:tabs>
          <w:tab w:val="right" w:pos="8500"/>
        </w:tabs>
        <w:rPr>
          <w:lang w:val="en-GB"/>
        </w:rPr>
      </w:pPr>
      <w:r w:rsidRPr="00B04DC3">
        <w:rPr>
          <w:lang w:val="en-GB"/>
        </w:rPr>
        <w:tab/>
        <w:t>If the density of the filter material is not known, the following densities shall be used:</w:t>
      </w:r>
    </w:p>
    <w:p w:rsidR="00002BA6" w:rsidRPr="00B04DC3" w:rsidRDefault="00002BA6" w:rsidP="00002BA6">
      <w:pPr>
        <w:pStyle w:val="a"/>
        <w:rPr>
          <w:lang w:val="en-GB"/>
        </w:rPr>
      </w:pPr>
      <w:r w:rsidRPr="00B04DC3">
        <w:rPr>
          <w:lang w:val="en-GB"/>
        </w:rPr>
        <w:t>(a)</w:t>
      </w:r>
      <w:r w:rsidRPr="00B04DC3">
        <w:rPr>
          <w:lang w:val="en-GB"/>
        </w:rPr>
        <w:tab/>
        <w:t>Teflon coated glass fiber filter: 2,300 kg/m</w:t>
      </w:r>
      <w:r w:rsidRPr="00B04DC3">
        <w:rPr>
          <w:vertAlign w:val="superscript"/>
          <w:lang w:val="en-GB"/>
        </w:rPr>
        <w:t>3</w:t>
      </w:r>
      <w:r w:rsidRPr="00B04DC3">
        <w:rPr>
          <w:lang w:val="en-GB"/>
        </w:rPr>
        <w:t>;</w:t>
      </w:r>
    </w:p>
    <w:p w:rsidR="00002BA6" w:rsidRPr="00B04DC3" w:rsidRDefault="00002BA6" w:rsidP="00002BA6">
      <w:pPr>
        <w:pStyle w:val="a"/>
        <w:rPr>
          <w:lang w:val="en-GB"/>
        </w:rPr>
      </w:pPr>
      <w:r w:rsidRPr="00B04DC3">
        <w:rPr>
          <w:lang w:val="en-GB"/>
        </w:rPr>
        <w:t>(b)</w:t>
      </w:r>
      <w:r w:rsidRPr="00B04DC3">
        <w:rPr>
          <w:lang w:val="en-GB"/>
        </w:rPr>
        <w:tab/>
        <w:t>Teflon membrane filter: 2,144 kg/m</w:t>
      </w:r>
      <w:r w:rsidRPr="00B04DC3">
        <w:rPr>
          <w:vertAlign w:val="superscript"/>
          <w:lang w:val="en-GB"/>
        </w:rPr>
        <w:t>3</w:t>
      </w:r>
      <w:r w:rsidRPr="00B04DC3">
        <w:rPr>
          <w:lang w:val="en-GB"/>
        </w:rPr>
        <w:t>;</w:t>
      </w:r>
    </w:p>
    <w:p w:rsidR="00002BA6" w:rsidRPr="00B04DC3" w:rsidRDefault="00002BA6" w:rsidP="00002BA6">
      <w:pPr>
        <w:pStyle w:val="a"/>
        <w:rPr>
          <w:lang w:val="en-GB"/>
        </w:rPr>
      </w:pPr>
      <w:r w:rsidRPr="00B04DC3">
        <w:rPr>
          <w:lang w:val="en-GB"/>
        </w:rPr>
        <w:t>(c)</w:t>
      </w:r>
      <w:r w:rsidRPr="00B04DC3">
        <w:rPr>
          <w:lang w:val="en-GB"/>
        </w:rPr>
        <w:tab/>
        <w:t>Teflon membrane filter with polymethylpentene support ring: 920 kg/m</w:t>
      </w:r>
      <w:r w:rsidRPr="00B04DC3">
        <w:rPr>
          <w:vertAlign w:val="superscript"/>
          <w:lang w:val="en-GB"/>
        </w:rPr>
        <w:t>3</w:t>
      </w:r>
      <w:r w:rsidRPr="00B04DC3">
        <w:rPr>
          <w:lang w:val="en-GB"/>
        </w:rPr>
        <w:t>.</w:t>
      </w:r>
    </w:p>
    <w:p w:rsidR="00002BA6" w:rsidRPr="00B04DC3" w:rsidRDefault="00002BA6" w:rsidP="00002BA6">
      <w:pPr>
        <w:pStyle w:val="para"/>
        <w:tabs>
          <w:tab w:val="right" w:pos="8500"/>
        </w:tabs>
        <w:rPr>
          <w:spacing w:val="-2"/>
          <w:lang w:val="en-GB"/>
        </w:rPr>
      </w:pPr>
      <w:r w:rsidRPr="00B04DC3">
        <w:rPr>
          <w:spacing w:val="-2"/>
          <w:lang w:val="en-GB"/>
        </w:rPr>
        <w:tab/>
        <w:t>For stainless steel calibration weights, a density of 8,000 kg/m</w:t>
      </w:r>
      <w:r w:rsidRPr="00B04DC3">
        <w:rPr>
          <w:spacing w:val="-2"/>
          <w:vertAlign w:val="superscript"/>
          <w:lang w:val="en-GB"/>
        </w:rPr>
        <w:t>3</w:t>
      </w:r>
      <w:r w:rsidRPr="00B04DC3">
        <w:rPr>
          <w:spacing w:val="-2"/>
          <w:lang w:val="en-GB"/>
        </w:rPr>
        <w:t xml:space="preserve"> shall be used. If the material of the calibration weight is different, its density shall be known.</w:t>
      </w:r>
    </w:p>
    <w:p w:rsidR="00002BA6" w:rsidRPr="00B04DC3" w:rsidRDefault="00002BA6" w:rsidP="00002BA6">
      <w:pPr>
        <w:pStyle w:val="para"/>
        <w:tabs>
          <w:tab w:val="right" w:pos="8500"/>
        </w:tabs>
        <w:rPr>
          <w:lang w:val="en-GB"/>
        </w:rPr>
      </w:pPr>
      <w:r w:rsidRPr="00B04DC3">
        <w:rPr>
          <w:lang w:val="en-GB"/>
        </w:rPr>
        <w:tab/>
        <w:t>The following equation shall be used:</w:t>
      </w:r>
    </w:p>
    <w:p w:rsidR="00002BA6" w:rsidRPr="00B04DC3" w:rsidRDefault="00002BA6" w:rsidP="00002BA6">
      <w:pPr>
        <w:pStyle w:val="para"/>
        <w:tabs>
          <w:tab w:val="right" w:pos="8500"/>
        </w:tabs>
        <w:rPr>
          <w:lang w:val="en-GB"/>
        </w:rPr>
      </w:pPr>
      <w:r w:rsidRPr="00B04DC3">
        <w:rPr>
          <w:lang w:val="en-GB"/>
        </w:rPr>
        <w:tab/>
      </w:r>
      <w:r w:rsidRPr="00B04DC3">
        <w:rPr>
          <w:position w:val="-62"/>
          <w:lang w:val="en-GB"/>
        </w:rPr>
        <w:object w:dxaOrig="2220" w:dyaOrig="1359">
          <v:shape id="_x0000_i1239" type="#_x0000_t75" style="width:95.4pt;height:58.2pt" o:ole="">
            <v:imagedata r:id="rId369" o:title=""/>
          </v:shape>
          <o:OLEObject Type="Embed" ProgID="Equation.3" ShapeID="_x0000_i1239" DrawAspect="Content" ObjectID="_1498392342" r:id="rId370"/>
        </w:object>
      </w:r>
      <w:r w:rsidRPr="00B04DC3">
        <w:rPr>
          <w:lang w:val="en-GB"/>
        </w:rPr>
        <w:tab/>
        <w:t>(25)</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With</w:t>
      </w:r>
      <w:r w:rsidR="00664E7D">
        <w:rPr>
          <w:lang w:val="en-GB"/>
        </w:rPr>
        <w:t>:</w:t>
      </w:r>
    </w:p>
    <w:p w:rsidR="00002BA6" w:rsidRPr="00B04DC3" w:rsidRDefault="00002BA6" w:rsidP="00002BA6">
      <w:pPr>
        <w:pStyle w:val="para"/>
        <w:tabs>
          <w:tab w:val="right" w:pos="8500"/>
        </w:tabs>
        <w:rPr>
          <w:lang w:val="en-GB"/>
        </w:rPr>
      </w:pPr>
      <w:r w:rsidRPr="00B04DC3">
        <w:rPr>
          <w:b/>
          <w:lang w:val="en-GB"/>
        </w:rPr>
        <w:tab/>
      </w:r>
      <w:r w:rsidR="0025373F" w:rsidRPr="00B04DC3">
        <w:rPr>
          <w:position w:val="-30"/>
          <w:lang w:val="en-GB"/>
        </w:rPr>
        <w:object w:dxaOrig="1680" w:dyaOrig="680">
          <v:shape id="_x0000_i1240" type="#_x0000_t75" style="width:66.6pt;height:26.4pt" o:ole="">
            <v:imagedata r:id="rId371" o:title=""/>
          </v:shape>
          <o:OLEObject Type="Embed" ProgID="Equation.3" ShapeID="_x0000_i1240" DrawAspect="Content" ObjectID="_1498392343" r:id="rId372"/>
        </w:object>
      </w:r>
      <w:r w:rsidRPr="00B04DC3">
        <w:rPr>
          <w:lang w:val="en-GB"/>
        </w:rPr>
        <w:tab/>
        <w:t>(26)</w:t>
      </w:r>
    </w:p>
    <w:p w:rsidR="00002BA6" w:rsidRPr="00B04DC3" w:rsidRDefault="00002BA6" w:rsidP="00002BA6">
      <w:pPr>
        <w:pStyle w:val="para"/>
        <w:tabs>
          <w:tab w:val="right" w:pos="8500"/>
        </w:tabs>
        <w:rPr>
          <w:lang w:val="en-GB"/>
        </w:rPr>
      </w:pPr>
      <w:r w:rsidRPr="00B04DC3">
        <w:rPr>
          <w:b/>
          <w:lang w:val="en-GB"/>
        </w:rPr>
        <w:tab/>
      </w:r>
      <w:r w:rsidR="00D06B9E" w:rsidRPr="00B04DC3">
        <w:rPr>
          <w:lang w:val="en-GB"/>
        </w:rPr>
        <w:t>Where</w:t>
      </w:r>
      <w:r w:rsidRPr="00B04DC3">
        <w:rPr>
          <w:lang w:val="en-GB"/>
        </w:rPr>
        <w:t>:</w:t>
      </w:r>
    </w:p>
    <w:p w:rsidR="00002BA6" w:rsidRPr="00B04DC3" w:rsidRDefault="00002BA6" w:rsidP="00002BA6">
      <w:pPr>
        <w:pStyle w:val="a"/>
        <w:ind w:left="3119" w:hanging="851"/>
        <w:rPr>
          <w:lang w:val="en-GB"/>
        </w:rPr>
      </w:pPr>
      <w:r w:rsidRPr="00B04DC3">
        <w:rPr>
          <w:lang w:val="en-GB"/>
        </w:rPr>
        <w:t>m</w:t>
      </w:r>
      <w:r w:rsidRPr="00B04DC3">
        <w:rPr>
          <w:vertAlign w:val="subscript"/>
          <w:lang w:val="en-GB"/>
        </w:rPr>
        <w:t>uncor</w:t>
      </w:r>
      <w:r w:rsidRPr="00B04DC3">
        <w:rPr>
          <w:lang w:val="en-GB"/>
        </w:rPr>
        <w:tab/>
        <w:t>is the uncorrected particulate filter mass, mg</w:t>
      </w:r>
    </w:p>
    <w:p w:rsidR="00002BA6" w:rsidRPr="00B04DC3" w:rsidRDefault="00002BA6" w:rsidP="00002BA6">
      <w:pPr>
        <w:pStyle w:val="a"/>
        <w:ind w:left="3119" w:hanging="851"/>
        <w:rPr>
          <w:lang w:val="en-GB"/>
        </w:rPr>
      </w:pPr>
      <w:r w:rsidRPr="00B04DC3">
        <w:rPr>
          <w:lang w:val="en-GB"/>
        </w:rPr>
        <w:t>ρ</w:t>
      </w:r>
      <w:r w:rsidRPr="00B04DC3">
        <w:rPr>
          <w:vertAlign w:val="subscript"/>
          <w:lang w:val="en-GB"/>
        </w:rPr>
        <w:t>a</w:t>
      </w:r>
      <w:r w:rsidRPr="00B04DC3">
        <w:rPr>
          <w:lang w:val="en-GB"/>
        </w:rPr>
        <w:tab/>
        <w:t>is the density of the air, kg/m</w:t>
      </w:r>
      <w:r w:rsidRPr="00B04DC3">
        <w:rPr>
          <w:vertAlign w:val="superscript"/>
          <w:lang w:val="en-GB"/>
        </w:rPr>
        <w:t>3</w:t>
      </w:r>
    </w:p>
    <w:p w:rsidR="00002BA6" w:rsidRPr="00B04DC3" w:rsidRDefault="00002BA6" w:rsidP="00002BA6">
      <w:pPr>
        <w:pStyle w:val="a"/>
        <w:ind w:left="3119" w:hanging="851"/>
        <w:rPr>
          <w:lang w:val="en-GB"/>
        </w:rPr>
      </w:pPr>
      <w:r w:rsidRPr="00B04DC3">
        <w:rPr>
          <w:lang w:val="en-GB"/>
        </w:rPr>
        <w:t>ρ</w:t>
      </w:r>
      <w:r w:rsidRPr="00B04DC3">
        <w:rPr>
          <w:vertAlign w:val="subscript"/>
          <w:lang w:val="en-GB"/>
        </w:rPr>
        <w:t>w</w:t>
      </w:r>
      <w:r w:rsidRPr="00B04DC3">
        <w:rPr>
          <w:lang w:val="en-GB"/>
        </w:rPr>
        <w:tab/>
        <w:t>is the density of balance calibration weight, kg/m</w:t>
      </w:r>
      <w:r w:rsidRPr="00B04DC3">
        <w:rPr>
          <w:vertAlign w:val="superscript"/>
          <w:lang w:val="en-GB"/>
        </w:rPr>
        <w:t>3</w:t>
      </w:r>
    </w:p>
    <w:p w:rsidR="00002BA6" w:rsidRPr="00B04DC3" w:rsidRDefault="00002BA6" w:rsidP="00002BA6">
      <w:pPr>
        <w:pStyle w:val="a"/>
        <w:ind w:left="3119" w:hanging="851"/>
        <w:rPr>
          <w:lang w:val="en-GB"/>
        </w:rPr>
      </w:pPr>
      <w:r w:rsidRPr="00B04DC3">
        <w:rPr>
          <w:lang w:val="en-GB"/>
        </w:rPr>
        <w:t>ρ</w:t>
      </w:r>
      <w:r w:rsidRPr="00B04DC3">
        <w:rPr>
          <w:vertAlign w:val="subscript"/>
          <w:lang w:val="en-GB"/>
        </w:rPr>
        <w:t>f</w:t>
      </w:r>
      <w:r w:rsidRPr="00B04DC3">
        <w:rPr>
          <w:lang w:val="en-GB"/>
        </w:rPr>
        <w:tab/>
        <w:t>is the density of the particulate sampling filter, kg/m</w:t>
      </w:r>
      <w:r w:rsidRPr="00B04DC3">
        <w:rPr>
          <w:vertAlign w:val="superscript"/>
          <w:lang w:val="en-GB"/>
        </w:rPr>
        <w:t>3</w:t>
      </w:r>
    </w:p>
    <w:p w:rsidR="00002BA6" w:rsidRPr="00B04DC3" w:rsidRDefault="00002BA6" w:rsidP="00002BA6">
      <w:pPr>
        <w:pStyle w:val="a"/>
        <w:ind w:left="3119" w:hanging="851"/>
        <w:rPr>
          <w:lang w:val="en-GB"/>
        </w:rPr>
      </w:pPr>
      <w:r w:rsidRPr="00B04DC3">
        <w:rPr>
          <w:lang w:val="en-GB"/>
        </w:rPr>
        <w:t>p</w:t>
      </w:r>
      <w:r w:rsidRPr="00B04DC3">
        <w:rPr>
          <w:vertAlign w:val="subscript"/>
          <w:lang w:val="en-GB"/>
        </w:rPr>
        <w:t>b</w:t>
      </w:r>
      <w:r w:rsidRPr="00B04DC3">
        <w:rPr>
          <w:lang w:val="en-GB"/>
        </w:rPr>
        <w:tab/>
        <w:t>is the total atmospheric pressure, kPa</w:t>
      </w:r>
    </w:p>
    <w:p w:rsidR="00002BA6" w:rsidRPr="00B04DC3" w:rsidRDefault="00002BA6" w:rsidP="00002BA6">
      <w:pPr>
        <w:pStyle w:val="a"/>
        <w:ind w:left="3119" w:hanging="851"/>
        <w:rPr>
          <w:lang w:val="en-GB"/>
        </w:rPr>
      </w:pPr>
      <w:r w:rsidRPr="00B04DC3">
        <w:rPr>
          <w:lang w:val="en-GB"/>
        </w:rPr>
        <w:t>T</w:t>
      </w:r>
      <w:r w:rsidRPr="00B04DC3">
        <w:rPr>
          <w:vertAlign w:val="subscript"/>
          <w:lang w:val="en-GB"/>
        </w:rPr>
        <w:t>a</w:t>
      </w:r>
      <w:r w:rsidRPr="00B04DC3">
        <w:rPr>
          <w:lang w:val="en-GB"/>
        </w:rPr>
        <w:tab/>
        <w:t>is the air temperature in the balance environment, K</w:t>
      </w:r>
    </w:p>
    <w:p w:rsidR="00002BA6" w:rsidRPr="00B04DC3" w:rsidRDefault="00002BA6" w:rsidP="00002BA6">
      <w:pPr>
        <w:pStyle w:val="a"/>
        <w:ind w:left="3119" w:hanging="851"/>
        <w:rPr>
          <w:lang w:val="en-GB"/>
        </w:rPr>
      </w:pPr>
      <w:r w:rsidRPr="00B04DC3">
        <w:rPr>
          <w:lang w:val="en-GB"/>
        </w:rPr>
        <w:t>28.836</w:t>
      </w:r>
      <w:r w:rsidRPr="00B04DC3">
        <w:rPr>
          <w:lang w:val="en-GB"/>
        </w:rPr>
        <w:tab/>
        <w:t>is the molar mass of the air at reference humidity (282.5 K), g/mol</w:t>
      </w:r>
    </w:p>
    <w:p w:rsidR="00002BA6" w:rsidRPr="00B04DC3" w:rsidRDefault="00002BA6" w:rsidP="00002BA6">
      <w:pPr>
        <w:pStyle w:val="a"/>
        <w:ind w:left="3119" w:hanging="851"/>
        <w:rPr>
          <w:lang w:val="en-GB"/>
        </w:rPr>
      </w:pPr>
      <w:r w:rsidRPr="00B04DC3">
        <w:rPr>
          <w:lang w:val="en-GB"/>
        </w:rPr>
        <w:t xml:space="preserve">8.3144 </w:t>
      </w:r>
      <w:r w:rsidRPr="00B04DC3">
        <w:rPr>
          <w:lang w:val="en-GB"/>
        </w:rPr>
        <w:tab/>
        <w:t xml:space="preserve">is the molar gas constant </w:t>
      </w:r>
    </w:p>
    <w:p w:rsidR="00002BA6" w:rsidRPr="00B04DC3" w:rsidRDefault="00002BA6" w:rsidP="00002BA6">
      <w:pPr>
        <w:pStyle w:val="para"/>
        <w:tabs>
          <w:tab w:val="right" w:pos="8500"/>
        </w:tabs>
        <w:rPr>
          <w:lang w:val="en-GB"/>
        </w:rPr>
      </w:pPr>
      <w:r w:rsidRPr="00B04DC3">
        <w:rPr>
          <w:lang w:val="en-GB"/>
        </w:rPr>
        <w:tab/>
        <w:t>The particulate sample mass m</w:t>
      </w:r>
      <w:r w:rsidRPr="00B04DC3">
        <w:rPr>
          <w:vertAlign w:val="subscript"/>
          <w:lang w:val="en-GB"/>
        </w:rPr>
        <w:t>p</w:t>
      </w:r>
      <w:r w:rsidRPr="00B04DC3">
        <w:rPr>
          <w:lang w:val="en-GB"/>
        </w:rPr>
        <w:t xml:space="preserve"> used in paragraphs 8.4.3. and 8.5.3.</w:t>
      </w:r>
      <w:r w:rsidR="00664E7D" w:rsidRPr="00664E7D">
        <w:rPr>
          <w:lang w:val="en-GB"/>
        </w:rPr>
        <w:t xml:space="preserve"> </w:t>
      </w:r>
      <w:r w:rsidR="00664E7D">
        <w:rPr>
          <w:lang w:val="en-GB"/>
        </w:rPr>
        <w:t>of this annex</w:t>
      </w:r>
      <w:r w:rsidR="00664E7D" w:rsidRPr="00B04DC3" w:rsidDel="00664E7D">
        <w:rPr>
          <w:lang w:val="en-GB"/>
        </w:rPr>
        <w:t xml:space="preserve"> </w:t>
      </w:r>
      <w:r w:rsidRPr="00B04DC3">
        <w:rPr>
          <w:lang w:val="en-GB"/>
        </w:rPr>
        <w:t>shall be calculated as follows:</w:t>
      </w:r>
    </w:p>
    <w:p w:rsidR="00002BA6" w:rsidRPr="007548B0" w:rsidRDefault="00002BA6" w:rsidP="00002BA6">
      <w:pPr>
        <w:pStyle w:val="para"/>
        <w:tabs>
          <w:tab w:val="right" w:pos="8500"/>
        </w:tabs>
        <w:spacing w:line="160" w:lineRule="atLeast"/>
        <w:rPr>
          <w:position w:val="40"/>
          <w:lang w:val="en-GB"/>
        </w:rPr>
      </w:pPr>
      <w:r w:rsidRPr="00B04DC3">
        <w:rPr>
          <w:lang w:val="en-GB"/>
        </w:rPr>
        <w:tab/>
      </w:r>
      <w:r w:rsidR="00A905B7">
        <w:rPr>
          <w:lang w:val="en-GB"/>
        </w:rPr>
      </w:r>
      <w:r w:rsidR="00A905B7">
        <w:rPr>
          <w:lang w:val="en-GB"/>
        </w:rPr>
        <w:pict>
          <v:group id="_x0000_s4235" editas="canvas" style="width:73.9pt;height:27.15pt;mso-position-horizontal-relative:char;mso-position-vertical-relative:line" coordorigin="36,-1" coordsize="1478,543">
            <o:lock v:ext="edit" aspectratio="t"/>
            <v:shape id="_x0000_s4236" type="#_x0000_t75" style="position:absolute;left:36;top:-1;width:1478;height:543" o:preferrelative="f">
              <v:fill o:detectmouseclick="t"/>
              <v:path o:extrusionok="t" o:connecttype="none"/>
              <o:lock v:ext="edit" text="t"/>
            </v:shape>
            <v:rect id="_x0000_s4237" style="position:absolute;left:1428;top:174;width:86;height:240;mso-wrap-style:none" filled="f" stroked="f">
              <v:textbox style="mso-next-textbox:#_x0000_s4237;mso-fit-shape-to-text:t" inset="0,0,0,0">
                <w:txbxContent>
                  <w:p w:rsidR="00A905B7" w:rsidRDefault="00A905B7">
                    <w:r>
                      <w:rPr>
                        <w:color w:val="000000"/>
                        <w:sz w:val="14"/>
                        <w:szCs w:val="14"/>
                      </w:rPr>
                      <w:t>T</w:t>
                    </w:r>
                  </w:p>
                </w:txbxContent>
              </v:textbox>
            </v:rect>
            <v:rect id="_x0000_s4238" style="position:absolute;left:1344;top:174;width:82;height:240;mso-wrap-style:none" filled="f" stroked="f">
              <v:textbox style="mso-next-textbox:#_x0000_s4238;mso-fit-shape-to-text:t" inset="0,0,0,0">
                <w:txbxContent>
                  <w:p w:rsidR="00A905B7" w:rsidRDefault="00A905B7">
                    <w:r>
                      <w:rPr>
                        <w:color w:val="000000"/>
                        <w:sz w:val="14"/>
                        <w:szCs w:val="14"/>
                      </w:rPr>
                      <w:t>f,</w:t>
                    </w:r>
                  </w:p>
                </w:txbxContent>
              </v:textbox>
            </v:rect>
            <v:rect id="_x0000_s4239" style="position:absolute;left:817;top:174;width:102;height:240;mso-wrap-style:none" filled="f" stroked="f">
              <v:textbox style="mso-next-textbox:#_x0000_s4239;mso-fit-shape-to-text:t" inset="0,0,0,0">
                <w:txbxContent>
                  <w:p w:rsidR="00A905B7" w:rsidRDefault="00A905B7">
                    <w:r>
                      <w:rPr>
                        <w:color w:val="000000"/>
                        <w:sz w:val="14"/>
                        <w:szCs w:val="14"/>
                      </w:rPr>
                      <w:t>G</w:t>
                    </w:r>
                  </w:p>
                </w:txbxContent>
              </v:textbox>
            </v:rect>
            <v:rect id="_x0000_s4240" style="position:absolute;left:734;top:174;width:82;height:240;mso-wrap-style:none" filled="f" stroked="f">
              <v:textbox style="mso-next-textbox:#_x0000_s4240;mso-fit-shape-to-text:t" inset="0,0,0,0">
                <w:txbxContent>
                  <w:p w:rsidR="00A905B7" w:rsidRDefault="00A905B7">
                    <w:r>
                      <w:rPr>
                        <w:color w:val="000000"/>
                        <w:sz w:val="14"/>
                        <w:szCs w:val="14"/>
                      </w:rPr>
                      <w:t>f,</w:t>
                    </w:r>
                  </w:p>
                </w:txbxContent>
              </v:textbox>
            </v:rect>
            <v:rect id="_x0000_s4241" style="position:absolute;left:213;top:174;width:71;height:240;mso-wrap-style:none" filled="f" stroked="f">
              <v:textbox style="mso-next-textbox:#_x0000_s4241;mso-fit-shape-to-text:t" inset="0,0,0,0">
                <w:txbxContent>
                  <w:p w:rsidR="00A905B7" w:rsidRDefault="00A905B7">
                    <w:r>
                      <w:rPr>
                        <w:color w:val="000000"/>
                        <w:sz w:val="14"/>
                        <w:szCs w:val="14"/>
                      </w:rPr>
                      <w:t>p</w:t>
                    </w:r>
                  </w:p>
                </w:txbxContent>
              </v:textbox>
            </v:rect>
            <v:rect id="_x0000_s4242" style="position:absolute;left:1170;top:26;width:187;height:516" filled="f" stroked="f">
              <v:textbox style="mso-next-textbox:#_x0000_s4242" inset="0,0,0,0">
                <w:txbxContent>
                  <w:p w:rsidR="00A905B7" w:rsidRPr="005E0361" w:rsidRDefault="00A905B7">
                    <w:r w:rsidRPr="005E0361">
                      <w:rPr>
                        <w:iCs/>
                        <w:color w:val="000000"/>
                        <w:szCs w:val="24"/>
                      </w:rPr>
                      <w:t>m</w:t>
                    </w:r>
                  </w:p>
                </w:txbxContent>
              </v:textbox>
            </v:rect>
            <v:rect id="_x0000_s4243" style="position:absolute;left:559;top:26;width:156;height:240;mso-wrap-style:none" filled="f" stroked="f">
              <v:textbox style="mso-next-textbox:#_x0000_s4243;mso-fit-shape-to-text:t" inset="0,0,0,0">
                <w:txbxContent>
                  <w:p w:rsidR="00A905B7" w:rsidRPr="005E0361" w:rsidRDefault="00A905B7">
                    <w:r w:rsidRPr="005E0361">
                      <w:rPr>
                        <w:iCs/>
                        <w:color w:val="000000"/>
                        <w:szCs w:val="24"/>
                      </w:rPr>
                      <w:t>m</w:t>
                    </w:r>
                  </w:p>
                </w:txbxContent>
              </v:textbox>
            </v:rect>
            <v:rect id="_x0000_s4244" style="position:absolute;left:36;top:26;width:156;height:240;mso-wrap-style:none" filled="f" stroked="f">
              <v:textbox style="mso-next-textbox:#_x0000_s4244;mso-fit-shape-to-text:t" inset="0,0,0,0">
                <w:txbxContent>
                  <w:p w:rsidR="00A905B7" w:rsidRPr="005E0361" w:rsidRDefault="00A905B7">
                    <w:r w:rsidRPr="005E0361">
                      <w:rPr>
                        <w:iCs/>
                        <w:color w:val="000000"/>
                        <w:szCs w:val="24"/>
                      </w:rPr>
                      <w:t>m</w:t>
                    </w:r>
                  </w:p>
                </w:txbxContent>
              </v:textbox>
            </v:rect>
            <v:rect id="_x0000_s4245" style="position:absolute;left:996;top:-1;width:110;height:245;mso-wrap-style:none" filled="f" stroked="f">
              <v:textbox style="mso-next-textbox:#_x0000_s4245;mso-fit-shape-to-text:t" inset="0,0,0,0">
                <w:txbxContent>
                  <w:p w:rsidR="00A905B7" w:rsidRDefault="00A905B7">
                    <w:r>
                      <w:rPr>
                        <w:rFonts w:ascii="Symbol" w:hAnsi="Symbol" w:cs="Symbol"/>
                        <w:color w:val="000000"/>
                        <w:szCs w:val="24"/>
                      </w:rPr>
                      <w:t></w:t>
                    </w:r>
                  </w:p>
                </w:txbxContent>
              </v:textbox>
            </v:rect>
            <v:rect id="_x0000_s4246" style="position:absolute;left:371;top:-1;width:110;height:245;mso-wrap-style:none" filled="f" stroked="f">
              <v:textbox style="mso-next-textbox:#_x0000_s4246;mso-fit-shape-to-text:t" inset="0,0,0,0">
                <w:txbxContent>
                  <w:p w:rsidR="00A905B7" w:rsidRDefault="00A905B7">
                    <w:r>
                      <w:rPr>
                        <w:rFonts w:ascii="Symbol" w:hAnsi="Symbol" w:cs="Symbol"/>
                        <w:color w:val="000000"/>
                        <w:szCs w:val="24"/>
                      </w:rPr>
                      <w:t></w:t>
                    </w:r>
                  </w:p>
                </w:txbxContent>
              </v:textbox>
            </v:rect>
            <w10:wrap type="none"/>
            <w10:anchorlock/>
          </v:group>
        </w:pict>
      </w:r>
      <w:r w:rsidRPr="007548B0">
        <w:rPr>
          <w:position w:val="40"/>
          <w:lang w:val="en-GB"/>
        </w:rPr>
        <w:tab/>
        <w:t>(27)</w:t>
      </w:r>
    </w:p>
    <w:p w:rsidR="00002BA6" w:rsidRPr="00B04DC3" w:rsidRDefault="00002BA6" w:rsidP="00002BA6">
      <w:pPr>
        <w:pStyle w:val="para"/>
        <w:tabs>
          <w:tab w:val="right" w:pos="8500"/>
        </w:tabs>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m</w:t>
      </w:r>
      <w:r w:rsidRPr="00B04DC3">
        <w:rPr>
          <w:vertAlign w:val="subscript"/>
          <w:lang w:val="en-GB"/>
        </w:rPr>
        <w:t>f,G</w:t>
      </w:r>
      <w:r w:rsidRPr="00B04DC3">
        <w:rPr>
          <w:lang w:val="en-GB"/>
        </w:rPr>
        <w:tab/>
        <w:t>is the buoyancy corrected gross particulate filter mass, mg</w:t>
      </w:r>
    </w:p>
    <w:p w:rsidR="00002BA6" w:rsidRPr="00B04DC3" w:rsidRDefault="00002BA6" w:rsidP="00002BA6">
      <w:pPr>
        <w:pStyle w:val="a"/>
        <w:rPr>
          <w:lang w:val="en-GB"/>
        </w:rPr>
      </w:pPr>
      <w:r w:rsidRPr="00B04DC3">
        <w:rPr>
          <w:lang w:val="en-GB"/>
        </w:rPr>
        <w:t>m</w:t>
      </w:r>
      <w:r w:rsidRPr="00B04DC3">
        <w:rPr>
          <w:vertAlign w:val="subscript"/>
          <w:lang w:val="en-GB"/>
        </w:rPr>
        <w:t>f,T</w:t>
      </w:r>
      <w:r w:rsidRPr="00B04DC3">
        <w:rPr>
          <w:lang w:val="en-GB"/>
        </w:rPr>
        <w:tab/>
        <w:t>is the buoyancy corrected tare particulate filter mass, mg</w:t>
      </w:r>
    </w:p>
    <w:p w:rsidR="00002BA6" w:rsidRPr="00B04DC3" w:rsidRDefault="00002BA6" w:rsidP="00002BA6">
      <w:pPr>
        <w:pStyle w:val="para"/>
        <w:tabs>
          <w:tab w:val="right" w:pos="8500"/>
        </w:tabs>
        <w:rPr>
          <w:lang w:val="en-GB"/>
        </w:rPr>
      </w:pPr>
      <w:r w:rsidRPr="00B04DC3">
        <w:rPr>
          <w:lang w:val="en-GB"/>
        </w:rPr>
        <w:t>8.4.</w:t>
      </w:r>
      <w:r w:rsidRPr="00B04DC3">
        <w:rPr>
          <w:lang w:val="en-GB"/>
        </w:rPr>
        <w:tab/>
        <w:t xml:space="preserve">Partial </w:t>
      </w:r>
      <w:r w:rsidR="00664E7D">
        <w:rPr>
          <w:lang w:val="en-GB"/>
        </w:rPr>
        <w:t>F</w:t>
      </w:r>
      <w:r w:rsidR="00664E7D" w:rsidRPr="00B04DC3">
        <w:rPr>
          <w:lang w:val="en-GB"/>
        </w:rPr>
        <w:t xml:space="preserve">low </w:t>
      </w:r>
      <w:r w:rsidR="00664D8D">
        <w:rPr>
          <w:lang w:val="en-GB"/>
        </w:rPr>
        <w:t xml:space="preserve">dilution </w:t>
      </w:r>
      <w:r w:rsidR="00664E7D">
        <w:rPr>
          <w:lang w:val="en-GB"/>
        </w:rPr>
        <w:t>System</w:t>
      </w:r>
      <w:r w:rsidR="00664E7D" w:rsidRPr="00B04DC3">
        <w:rPr>
          <w:lang w:val="en-GB"/>
        </w:rPr>
        <w:t xml:space="preserve"> </w:t>
      </w:r>
      <w:r w:rsidRPr="00B04DC3">
        <w:rPr>
          <w:lang w:val="en-GB"/>
        </w:rPr>
        <w:t>(PFS) and raw gaseous measurement</w:t>
      </w:r>
    </w:p>
    <w:p w:rsidR="00002BA6" w:rsidRPr="00B04DC3" w:rsidRDefault="00002BA6" w:rsidP="00002BA6">
      <w:pPr>
        <w:pStyle w:val="para"/>
        <w:tabs>
          <w:tab w:val="right" w:pos="8500"/>
        </w:tabs>
        <w:rPr>
          <w:lang w:val="en-GB"/>
        </w:rPr>
      </w:pPr>
      <w:r w:rsidRPr="00B04DC3">
        <w:rPr>
          <w:lang w:val="en-GB"/>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w:t>
      </w:r>
      <w:r w:rsidR="00664E7D" w:rsidRPr="00664E7D">
        <w:rPr>
          <w:lang w:val="en-GB"/>
        </w:rPr>
        <w:t xml:space="preserve"> </w:t>
      </w:r>
      <w:r w:rsidR="00664E7D">
        <w:rPr>
          <w:lang w:val="en-GB"/>
        </w:rPr>
        <w:t>of this annex.</w:t>
      </w:r>
      <w:r w:rsidRPr="00B04DC3">
        <w:rPr>
          <w:lang w:val="en-GB"/>
        </w:rPr>
        <w:t xml:space="preserve"> The complete test set up is schematically shown in Figure 6.</w:t>
      </w:r>
    </w:p>
    <w:p w:rsidR="00002BA6" w:rsidRPr="00B04DC3" w:rsidRDefault="00002BA6" w:rsidP="00002BA6">
      <w:pPr>
        <w:pStyle w:val="Heading1"/>
        <w:keepNext/>
        <w:keepLines/>
      </w:pPr>
      <w:bookmarkStart w:id="526" w:name="_Toc399940010"/>
      <w:bookmarkStart w:id="527" w:name="_Toc423599596"/>
      <w:bookmarkStart w:id="528" w:name="_Toc423611004"/>
      <w:r w:rsidRPr="00B04DC3">
        <w:t>Figure 6</w:t>
      </w:r>
      <w:bookmarkEnd w:id="526"/>
      <w:bookmarkEnd w:id="527"/>
      <w:bookmarkEnd w:id="528"/>
    </w:p>
    <w:p w:rsidR="00002BA6" w:rsidRPr="00B04DC3" w:rsidRDefault="00002BA6" w:rsidP="00002BA6">
      <w:pPr>
        <w:pStyle w:val="Heading1"/>
        <w:keepNext/>
        <w:keepLines/>
        <w:rPr>
          <w:b/>
        </w:rPr>
      </w:pPr>
      <w:bookmarkStart w:id="529" w:name="_Toc399940011"/>
      <w:bookmarkStart w:id="530" w:name="_Toc423599597"/>
      <w:bookmarkStart w:id="531" w:name="_Toc423611005"/>
      <w:r w:rsidRPr="00B04DC3">
        <w:rPr>
          <w:b/>
        </w:rPr>
        <w:t>Scheme of raw/partial flow measurement system</w:t>
      </w:r>
      <w:bookmarkEnd w:id="529"/>
      <w:bookmarkEnd w:id="530"/>
      <w:bookmarkEnd w:id="531"/>
    </w:p>
    <w:p w:rsidR="00002BA6" w:rsidRPr="00B04DC3" w:rsidRDefault="00A905B7" w:rsidP="00002BA6">
      <w:pPr>
        <w:pStyle w:val="Heading1"/>
      </w:pPr>
      <w:bookmarkStart w:id="532" w:name="_Toc399940012"/>
      <w:bookmarkStart w:id="533" w:name="_Toc423599598"/>
      <w:bookmarkStart w:id="534" w:name="_Toc423611006"/>
      <w:r>
        <w:pict>
          <v:shape id="_x0000_i1242" type="#_x0000_t75" style="width:379.8pt;height:283.8pt">
            <v:imagedata r:id="rId373" o:title="abgasgrafik_1" croptop="4481f" cropleft="4955f" cropright="5776f"/>
          </v:shape>
        </w:pict>
      </w:r>
      <w:bookmarkEnd w:id="532"/>
      <w:bookmarkEnd w:id="533"/>
      <w:bookmarkEnd w:id="534"/>
    </w:p>
    <w:p w:rsidR="00002BA6" w:rsidRPr="00B04DC3" w:rsidRDefault="00002BA6" w:rsidP="00002BA6">
      <w:pPr>
        <w:pStyle w:val="para"/>
        <w:rPr>
          <w:lang w:val="en-GB"/>
        </w:rPr>
      </w:pPr>
      <w:r w:rsidRPr="00B04DC3">
        <w:rPr>
          <w:lang w:val="en-GB"/>
        </w:rPr>
        <w:t>8.4.1.</w:t>
      </w:r>
      <w:r w:rsidRPr="00B04DC3">
        <w:rPr>
          <w:lang w:val="en-GB"/>
        </w:rPr>
        <w:tab/>
        <w:t>Determination of exhaust gas mass flow</w:t>
      </w:r>
    </w:p>
    <w:p w:rsidR="00002BA6" w:rsidRPr="00B04DC3" w:rsidRDefault="00002BA6" w:rsidP="00002BA6">
      <w:pPr>
        <w:pStyle w:val="para"/>
        <w:rPr>
          <w:lang w:val="en-GB"/>
        </w:rPr>
      </w:pPr>
      <w:r w:rsidRPr="00B04DC3">
        <w:rPr>
          <w:lang w:val="en-GB"/>
        </w:rPr>
        <w:t>8.4.1.1.</w:t>
      </w:r>
      <w:r w:rsidRPr="00B04DC3">
        <w:rPr>
          <w:lang w:val="en-GB"/>
        </w:rPr>
        <w:tab/>
        <w:t>Introduction</w:t>
      </w:r>
    </w:p>
    <w:p w:rsidR="00002BA6" w:rsidRPr="00B04DC3" w:rsidRDefault="00002BA6" w:rsidP="00002BA6">
      <w:pPr>
        <w:pStyle w:val="para"/>
        <w:rPr>
          <w:lang w:val="en-GB"/>
        </w:rPr>
      </w:pPr>
      <w:r w:rsidRPr="00B04DC3">
        <w:rPr>
          <w:lang w:val="en-GB"/>
        </w:rPr>
        <w:tab/>
        <w:t xml:space="preserve">For calculation of the emissions in the raw exhaust gas and for controlling of a partial flow dilution system, it is necessary to know the exhaust gas mass flow rate. </w:t>
      </w:r>
      <w:r w:rsidR="00E46661" w:rsidRPr="00B04DC3">
        <w:rPr>
          <w:lang w:val="en-GB" w:eastAsia="en-GB"/>
        </w:rPr>
        <w:t>For the determination of the exhaust mass flow rate</w:t>
      </w:r>
      <w:r w:rsidR="00E46661" w:rsidRPr="00B04DC3">
        <w:rPr>
          <w:strike/>
          <w:lang w:val="en-GB" w:eastAsia="en-GB"/>
        </w:rPr>
        <w:t xml:space="preserve"> </w:t>
      </w:r>
      <w:r w:rsidR="00E46661" w:rsidRPr="00B04DC3">
        <w:rPr>
          <w:lang w:val="en-GB" w:eastAsia="en-GB"/>
        </w:rPr>
        <w:t xml:space="preserve">one of the methods described in paragraphs 8.4.1.3 to 8.4.1.7. </w:t>
      </w:r>
      <w:r w:rsidR="00664E7D">
        <w:rPr>
          <w:lang w:val="en-GB"/>
        </w:rPr>
        <w:t>of this annex</w:t>
      </w:r>
      <w:r w:rsidR="00664E7D" w:rsidRPr="00B04DC3">
        <w:rPr>
          <w:lang w:val="en-GB" w:eastAsia="en-GB"/>
        </w:rPr>
        <w:t xml:space="preserve"> </w:t>
      </w:r>
      <w:r w:rsidR="00E46661" w:rsidRPr="00B04DC3">
        <w:rPr>
          <w:lang w:val="en-GB" w:eastAsia="en-GB"/>
        </w:rPr>
        <w:t>may be used.</w:t>
      </w:r>
    </w:p>
    <w:p w:rsidR="00002BA6" w:rsidRPr="00B04DC3" w:rsidRDefault="00002BA6" w:rsidP="00002BA6">
      <w:pPr>
        <w:pStyle w:val="para"/>
        <w:rPr>
          <w:lang w:val="en-GB"/>
        </w:rPr>
      </w:pPr>
      <w:r w:rsidRPr="00B04DC3">
        <w:rPr>
          <w:lang w:val="en-GB"/>
        </w:rPr>
        <w:t>8.4.1.2.</w:t>
      </w:r>
      <w:r w:rsidRPr="00B04DC3">
        <w:rPr>
          <w:lang w:val="en-GB"/>
        </w:rPr>
        <w:tab/>
        <w:t>Response time</w:t>
      </w:r>
    </w:p>
    <w:p w:rsidR="00002BA6" w:rsidRPr="00B04DC3" w:rsidRDefault="00002BA6" w:rsidP="00002BA6">
      <w:pPr>
        <w:pStyle w:val="para"/>
        <w:rPr>
          <w:lang w:val="en-GB"/>
        </w:rPr>
      </w:pPr>
      <w:r w:rsidRPr="00B04DC3">
        <w:rPr>
          <w:lang w:val="en-GB"/>
        </w:rPr>
        <w:tab/>
        <w:t xml:space="preserve">For the purpose of emissions calculation, the response time of </w:t>
      </w:r>
      <w:r w:rsidR="002C2CEB" w:rsidRPr="00B04DC3">
        <w:rPr>
          <w:lang w:val="en-GB" w:eastAsia="en-GB"/>
        </w:rPr>
        <w:t>one of the methods</w:t>
      </w:r>
      <w:r w:rsidR="002C2CEB" w:rsidRPr="00B04DC3">
        <w:rPr>
          <w:b/>
          <w:lang w:val="en-GB" w:eastAsia="en-GB"/>
        </w:rPr>
        <w:t xml:space="preserve"> </w:t>
      </w:r>
      <w:r w:rsidR="002C2CEB" w:rsidRPr="00B04DC3">
        <w:rPr>
          <w:lang w:val="en-GB" w:eastAsia="en-GB"/>
        </w:rPr>
        <w:t>described</w:t>
      </w:r>
      <w:r w:rsidRPr="00B04DC3">
        <w:rPr>
          <w:lang w:val="en-GB"/>
        </w:rPr>
        <w:t xml:space="preserve"> in paragraphs 8.4.1.3 to 8.4.1.7. </w:t>
      </w:r>
      <w:r w:rsidR="00664E7D">
        <w:rPr>
          <w:lang w:val="en-GB"/>
        </w:rPr>
        <w:t>of this annex</w:t>
      </w:r>
      <w:r w:rsidR="00664E7D" w:rsidRPr="00B04DC3">
        <w:rPr>
          <w:lang w:val="en-GB"/>
        </w:rPr>
        <w:t xml:space="preserve"> </w:t>
      </w:r>
      <w:r w:rsidRPr="00B04DC3">
        <w:rPr>
          <w:lang w:val="en-GB"/>
        </w:rPr>
        <w:t>shall be equal to or less than</w:t>
      </w:r>
      <w:r w:rsidRPr="00B04DC3">
        <w:rPr>
          <w:bCs/>
          <w:lang w:val="en-GB"/>
        </w:rPr>
        <w:t xml:space="preserve"> </w:t>
      </w:r>
      <w:r w:rsidRPr="00B04DC3">
        <w:rPr>
          <w:lang w:val="en-GB"/>
        </w:rPr>
        <w:t>the analyzer response time of  ≤  10 seconds, as required in paragraph 9.3.5.</w:t>
      </w:r>
      <w:r w:rsidR="00664E7D" w:rsidRPr="00664E7D">
        <w:rPr>
          <w:lang w:val="en-GB"/>
        </w:rPr>
        <w:t xml:space="preserve"> </w:t>
      </w:r>
      <w:r w:rsidR="00664E7D">
        <w:rPr>
          <w:lang w:val="en-GB"/>
        </w:rPr>
        <w:t>of this annex.</w:t>
      </w:r>
    </w:p>
    <w:p w:rsidR="00002BA6" w:rsidRPr="00B04DC3" w:rsidRDefault="00002BA6" w:rsidP="00002BA6">
      <w:pPr>
        <w:pStyle w:val="para"/>
        <w:rPr>
          <w:lang w:val="en-GB"/>
        </w:rPr>
      </w:pPr>
      <w:r w:rsidRPr="00B04DC3">
        <w:rPr>
          <w:lang w:val="en-GB"/>
        </w:rPr>
        <w:tab/>
        <w:t>For the purpose of controlling of a partial flow dilution system, a faster response is required. For partial flow dilution systems with online control, the response time shall be ≤  0.3 second. For partial flow dilution systems with look ahead control based on a pre-recorded test run, the response time of the exhaust flow measurement system shall be ≤  5 seconds with a rise time of ≤  1 second. The system response time shall be specified by the instrument manufacturer. The combined response time requirements for the exhaust gas flow and partial flow dilution system are indicated in paragraph 9.4.6.1.</w:t>
      </w:r>
      <w:r w:rsidR="00664E7D" w:rsidRPr="00664E7D">
        <w:rPr>
          <w:lang w:val="en-GB"/>
        </w:rPr>
        <w:t xml:space="preserve"> </w:t>
      </w:r>
      <w:r w:rsidR="00664E7D">
        <w:rPr>
          <w:lang w:val="en-GB"/>
        </w:rPr>
        <w:t>of this annex.</w:t>
      </w:r>
    </w:p>
    <w:p w:rsidR="00002BA6" w:rsidRPr="00B04DC3" w:rsidRDefault="00002BA6" w:rsidP="007548B0">
      <w:pPr>
        <w:pStyle w:val="para"/>
        <w:keepNext/>
        <w:keepLines/>
        <w:rPr>
          <w:lang w:val="en-GB"/>
        </w:rPr>
      </w:pPr>
      <w:r w:rsidRPr="00B04DC3">
        <w:rPr>
          <w:lang w:val="en-GB"/>
        </w:rPr>
        <w:t>8.4.1.3.</w:t>
      </w:r>
      <w:r w:rsidRPr="00B04DC3">
        <w:rPr>
          <w:lang w:val="en-GB"/>
        </w:rPr>
        <w:tab/>
        <w:t>Direct measurement method</w:t>
      </w:r>
    </w:p>
    <w:p w:rsidR="00002BA6" w:rsidRPr="00B04DC3" w:rsidRDefault="00002BA6" w:rsidP="00002BA6">
      <w:pPr>
        <w:pStyle w:val="para"/>
        <w:rPr>
          <w:lang w:val="en-GB"/>
        </w:rPr>
      </w:pPr>
      <w:r w:rsidRPr="00B04DC3">
        <w:rPr>
          <w:lang w:val="en-GB"/>
        </w:rPr>
        <w:tab/>
        <w:t>Direct measurement of the instantaneous exhaust flow shall be done by systems, such as:</w:t>
      </w:r>
    </w:p>
    <w:p w:rsidR="00002BA6" w:rsidRPr="00B04DC3" w:rsidRDefault="00002BA6" w:rsidP="00002BA6">
      <w:pPr>
        <w:pStyle w:val="a"/>
        <w:rPr>
          <w:lang w:val="en-GB"/>
        </w:rPr>
      </w:pPr>
      <w:r w:rsidRPr="00B04DC3">
        <w:rPr>
          <w:lang w:val="en-GB"/>
        </w:rPr>
        <w:t>(a)</w:t>
      </w:r>
      <w:r w:rsidRPr="00B04DC3">
        <w:rPr>
          <w:lang w:val="en-GB"/>
        </w:rPr>
        <w:tab/>
        <w:t>Pressure differential devices, like flow nozzle, (details see ISO 5167);</w:t>
      </w:r>
    </w:p>
    <w:p w:rsidR="00002BA6" w:rsidRPr="00B04DC3" w:rsidRDefault="00002BA6" w:rsidP="00002BA6">
      <w:pPr>
        <w:pStyle w:val="a"/>
        <w:rPr>
          <w:lang w:val="en-GB"/>
        </w:rPr>
      </w:pPr>
      <w:r w:rsidRPr="00B04DC3">
        <w:rPr>
          <w:lang w:val="en-GB"/>
        </w:rPr>
        <w:t>(b)</w:t>
      </w:r>
      <w:r w:rsidRPr="00B04DC3">
        <w:rPr>
          <w:lang w:val="en-GB"/>
        </w:rPr>
        <w:tab/>
        <w:t>Ultrasonic flowmeter;</w:t>
      </w:r>
    </w:p>
    <w:p w:rsidR="00002BA6" w:rsidRPr="00B04DC3" w:rsidRDefault="00002BA6" w:rsidP="00002BA6">
      <w:pPr>
        <w:pStyle w:val="a"/>
        <w:rPr>
          <w:lang w:val="en-GB"/>
        </w:rPr>
      </w:pPr>
      <w:r w:rsidRPr="00B04DC3">
        <w:rPr>
          <w:lang w:val="en-GB"/>
        </w:rPr>
        <w:t>(c)</w:t>
      </w:r>
      <w:r w:rsidRPr="00B04DC3">
        <w:rPr>
          <w:lang w:val="en-GB"/>
        </w:rPr>
        <w:tab/>
        <w:t>Vortex flowmeter.</w:t>
      </w:r>
    </w:p>
    <w:p w:rsidR="00002BA6" w:rsidRPr="00B04DC3" w:rsidRDefault="00002BA6" w:rsidP="00002BA6">
      <w:pPr>
        <w:pStyle w:val="para"/>
        <w:rPr>
          <w:lang w:val="en-GB"/>
        </w:rPr>
      </w:pPr>
      <w:r w:rsidRPr="00B04DC3">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rsidR="00002BA6" w:rsidRPr="00B04DC3" w:rsidRDefault="00002BA6" w:rsidP="00002BA6">
      <w:pPr>
        <w:pStyle w:val="para"/>
        <w:rPr>
          <w:lang w:val="en-GB"/>
        </w:rPr>
      </w:pPr>
      <w:r w:rsidRPr="00B04DC3">
        <w:rPr>
          <w:lang w:val="en-GB"/>
        </w:rPr>
        <w:tab/>
        <w:t>The flowmeters shall meet the linearity requirements of paragraph 9.2.</w:t>
      </w:r>
      <w:r w:rsidR="00664E7D" w:rsidRPr="00664E7D">
        <w:rPr>
          <w:lang w:val="en-GB"/>
        </w:rPr>
        <w:t xml:space="preserve"> </w:t>
      </w:r>
      <w:r w:rsidR="00664E7D">
        <w:rPr>
          <w:lang w:val="en-GB"/>
        </w:rPr>
        <w:t>of this annex.</w:t>
      </w:r>
    </w:p>
    <w:p w:rsidR="00002BA6" w:rsidRPr="00B04DC3" w:rsidRDefault="00002BA6" w:rsidP="00002BA6">
      <w:pPr>
        <w:pStyle w:val="para"/>
        <w:rPr>
          <w:lang w:val="en-GB"/>
        </w:rPr>
      </w:pPr>
      <w:r w:rsidRPr="00B04DC3">
        <w:rPr>
          <w:lang w:val="en-GB"/>
        </w:rPr>
        <w:t>8.4.1.4.</w:t>
      </w:r>
      <w:r w:rsidRPr="00B04DC3">
        <w:rPr>
          <w:lang w:val="en-GB"/>
        </w:rPr>
        <w:tab/>
        <w:t>Air and fuel measurement method</w:t>
      </w:r>
    </w:p>
    <w:p w:rsidR="00002BA6" w:rsidRPr="00B04DC3" w:rsidRDefault="00002BA6" w:rsidP="00002BA6">
      <w:pPr>
        <w:pStyle w:val="para"/>
        <w:rPr>
          <w:lang w:val="en-GB"/>
        </w:rPr>
      </w:pPr>
      <w:r w:rsidRPr="00B04DC3">
        <w:rPr>
          <w:lang w:val="en-GB"/>
        </w:rPr>
        <w:tab/>
        <w:t>This involves measurement of the airflow and the fuel flow with suitable flowmeters. The calculation of the instantaneous exhaust gas flow shall be as follows:</w:t>
      </w:r>
    </w:p>
    <w:p w:rsidR="00002BA6" w:rsidRPr="00B04DC3" w:rsidRDefault="00002BA6" w:rsidP="00002BA6">
      <w:pPr>
        <w:pStyle w:val="para"/>
        <w:tabs>
          <w:tab w:val="right" w:pos="8500"/>
        </w:tabs>
        <w:rPr>
          <w:lang w:val="en-GB"/>
        </w:rPr>
      </w:pPr>
      <w:r w:rsidRPr="00B04DC3">
        <w:rPr>
          <w:i/>
          <w:position w:val="6"/>
          <w:lang w:val="en-GB"/>
        </w:rPr>
        <w:tab/>
      </w:r>
      <w:r w:rsidRPr="00B04DC3">
        <w:rPr>
          <w:position w:val="6"/>
          <w:lang w:val="en-GB"/>
        </w:rPr>
        <w:t>q</w:t>
      </w:r>
      <w:r w:rsidRPr="00B04DC3">
        <w:rPr>
          <w:position w:val="6"/>
          <w:vertAlign w:val="subscript"/>
          <w:lang w:val="en-GB"/>
        </w:rPr>
        <w:t>mew,i</w:t>
      </w:r>
      <w:r w:rsidRPr="00B04DC3">
        <w:rPr>
          <w:lang w:val="en-GB"/>
        </w:rPr>
        <w:t xml:space="preserve">  = </w:t>
      </w:r>
      <w:r w:rsidRPr="00B04DC3">
        <w:rPr>
          <w:position w:val="6"/>
          <w:lang w:val="en-GB"/>
        </w:rPr>
        <w:t>q</w:t>
      </w:r>
      <w:r w:rsidRPr="00B04DC3">
        <w:rPr>
          <w:position w:val="6"/>
          <w:vertAlign w:val="subscript"/>
          <w:lang w:val="en-GB"/>
        </w:rPr>
        <w:t>maw,i</w:t>
      </w:r>
      <w:r w:rsidRPr="00B04DC3">
        <w:rPr>
          <w:lang w:val="en-GB"/>
        </w:rPr>
        <w:t xml:space="preserve"> + </w:t>
      </w:r>
      <w:r w:rsidRPr="00B04DC3">
        <w:rPr>
          <w:position w:val="6"/>
          <w:lang w:val="en-GB"/>
        </w:rPr>
        <w:t>q</w:t>
      </w:r>
      <w:r w:rsidRPr="00B04DC3">
        <w:rPr>
          <w:position w:val="6"/>
          <w:vertAlign w:val="subscript"/>
          <w:lang w:val="en-GB"/>
        </w:rPr>
        <w:t>mf,i</w:t>
      </w:r>
      <w:r w:rsidRPr="00B04DC3">
        <w:rPr>
          <w:lang w:val="en-GB"/>
        </w:rPr>
        <w:tab/>
        <w:t>(28)</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35" w:hanging="567"/>
        <w:rPr>
          <w:position w:val="6"/>
          <w:lang w:val="en-GB"/>
        </w:rPr>
      </w:pPr>
      <w:r w:rsidRPr="00B04DC3">
        <w:rPr>
          <w:position w:val="6"/>
          <w:lang w:val="en-GB"/>
        </w:rPr>
        <w:t>q</w:t>
      </w:r>
      <w:r w:rsidRPr="00B04DC3">
        <w:rPr>
          <w:position w:val="6"/>
          <w:vertAlign w:val="subscript"/>
          <w:lang w:val="en-GB"/>
        </w:rPr>
        <w:t>mew,i</w:t>
      </w:r>
      <w:r w:rsidRPr="00B04DC3">
        <w:rPr>
          <w:position w:val="6"/>
          <w:lang w:val="en-GB"/>
        </w:rPr>
        <w:tab/>
      </w:r>
      <w:r w:rsidRPr="00B04DC3">
        <w:rPr>
          <w:lang w:val="en-GB"/>
        </w:rPr>
        <w:t>is the instantaneous exhaust mass flow rate, kg/s</w:t>
      </w:r>
    </w:p>
    <w:p w:rsidR="00002BA6" w:rsidRPr="00B04DC3" w:rsidRDefault="00002BA6" w:rsidP="00002BA6">
      <w:pPr>
        <w:pStyle w:val="para"/>
        <w:ind w:left="2835" w:hanging="567"/>
        <w:rPr>
          <w:position w:val="6"/>
          <w:lang w:val="en-GB"/>
        </w:rPr>
      </w:pPr>
      <w:r w:rsidRPr="00B04DC3">
        <w:rPr>
          <w:position w:val="6"/>
          <w:lang w:val="en-GB"/>
        </w:rPr>
        <w:t>q</w:t>
      </w:r>
      <w:r w:rsidRPr="00B04DC3">
        <w:rPr>
          <w:position w:val="6"/>
          <w:vertAlign w:val="subscript"/>
          <w:lang w:val="en-GB"/>
        </w:rPr>
        <w:t>maw,i</w:t>
      </w:r>
      <w:r w:rsidRPr="00B04DC3">
        <w:rPr>
          <w:position w:val="6"/>
          <w:lang w:val="en-GB"/>
        </w:rPr>
        <w:tab/>
      </w:r>
      <w:r w:rsidRPr="00B04DC3">
        <w:rPr>
          <w:lang w:val="en-GB"/>
        </w:rPr>
        <w:t>is the instantaneous intake air mass flow rate, kg/s</w:t>
      </w:r>
    </w:p>
    <w:p w:rsidR="00002BA6" w:rsidRPr="00B04DC3" w:rsidRDefault="00002BA6" w:rsidP="00002BA6">
      <w:pPr>
        <w:pStyle w:val="para"/>
        <w:ind w:left="2835" w:hanging="567"/>
        <w:rPr>
          <w:lang w:val="en-GB"/>
        </w:rPr>
      </w:pPr>
      <w:r w:rsidRPr="00B04DC3">
        <w:rPr>
          <w:position w:val="6"/>
          <w:lang w:val="en-GB"/>
        </w:rPr>
        <w:t>q</w:t>
      </w:r>
      <w:r w:rsidRPr="00B04DC3">
        <w:rPr>
          <w:position w:val="6"/>
          <w:vertAlign w:val="subscript"/>
          <w:lang w:val="en-GB"/>
        </w:rPr>
        <w:t>mf,i</w:t>
      </w:r>
      <w:r w:rsidRPr="00B04DC3">
        <w:rPr>
          <w:position w:val="6"/>
          <w:lang w:val="en-GB"/>
        </w:rPr>
        <w:tab/>
      </w:r>
      <w:r w:rsidRPr="00B04DC3">
        <w:rPr>
          <w:lang w:val="en-GB"/>
        </w:rPr>
        <w:t>is the instantaneous fuel mass flow rate, kg/s</w:t>
      </w:r>
    </w:p>
    <w:p w:rsidR="00002BA6" w:rsidRPr="00B04DC3" w:rsidRDefault="00002BA6" w:rsidP="00002BA6">
      <w:pPr>
        <w:pStyle w:val="para"/>
        <w:rPr>
          <w:lang w:val="en-GB"/>
        </w:rPr>
      </w:pPr>
      <w:r w:rsidRPr="00B04DC3">
        <w:rPr>
          <w:lang w:val="en-GB"/>
        </w:rPr>
        <w:tab/>
        <w:t>The flowmeters shall meet the linearity requirements of paragraph 9.2.</w:t>
      </w:r>
      <w:r w:rsidR="00664E7D" w:rsidRPr="00664E7D">
        <w:rPr>
          <w:lang w:val="en-GB"/>
        </w:rPr>
        <w:t xml:space="preserve"> </w:t>
      </w:r>
      <w:r w:rsidR="00664E7D">
        <w:rPr>
          <w:lang w:val="en-GB"/>
        </w:rPr>
        <w:t>of this annex</w:t>
      </w:r>
      <w:r w:rsidRPr="00B04DC3">
        <w:rPr>
          <w:lang w:val="en-GB"/>
        </w:rPr>
        <w:t>, but shall be accurate enough to also meet the linearity requirements for the exhaust gas flow.</w:t>
      </w:r>
    </w:p>
    <w:p w:rsidR="00002BA6" w:rsidRPr="00B04DC3" w:rsidRDefault="00002BA6" w:rsidP="00002BA6">
      <w:pPr>
        <w:pStyle w:val="para"/>
        <w:rPr>
          <w:lang w:val="en-GB"/>
        </w:rPr>
      </w:pPr>
      <w:r w:rsidRPr="00B04DC3">
        <w:rPr>
          <w:lang w:val="en-GB"/>
        </w:rPr>
        <w:t>8.4.1.5.</w:t>
      </w:r>
      <w:r w:rsidRPr="00B04DC3">
        <w:rPr>
          <w:lang w:val="en-GB"/>
        </w:rPr>
        <w:tab/>
        <w:t>Tracer measurement method</w:t>
      </w:r>
    </w:p>
    <w:p w:rsidR="00002BA6" w:rsidRPr="00B04DC3" w:rsidRDefault="00002BA6" w:rsidP="00002BA6">
      <w:pPr>
        <w:pStyle w:val="para"/>
        <w:rPr>
          <w:lang w:val="en-GB"/>
        </w:rPr>
      </w:pPr>
      <w:r w:rsidRPr="00B04DC3">
        <w:rPr>
          <w:lang w:val="en-GB"/>
        </w:rPr>
        <w:tab/>
        <w:t>This involves measurement of the concentration of a tracer gas in the exhaust.</w:t>
      </w:r>
    </w:p>
    <w:p w:rsidR="00002BA6" w:rsidRPr="00B04DC3" w:rsidRDefault="00002BA6" w:rsidP="00002BA6">
      <w:pPr>
        <w:pStyle w:val="para"/>
        <w:rPr>
          <w:lang w:val="en-GB"/>
        </w:rPr>
      </w:pPr>
      <w:r w:rsidRPr="00B04DC3">
        <w:rPr>
          <w:lang w:val="en-GB"/>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rsidR="00002BA6" w:rsidRPr="00B04DC3" w:rsidRDefault="00002BA6" w:rsidP="00002BA6">
      <w:pPr>
        <w:pStyle w:val="para"/>
        <w:rPr>
          <w:lang w:val="en-GB"/>
        </w:rPr>
      </w:pPr>
      <w:r w:rsidRPr="00B04DC3">
        <w:rPr>
          <w:lang w:val="en-GB"/>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rsidR="00002BA6" w:rsidRPr="00B04DC3" w:rsidRDefault="00002BA6" w:rsidP="00002BA6">
      <w:pPr>
        <w:pStyle w:val="para"/>
        <w:rPr>
          <w:lang w:val="en-GB"/>
        </w:rPr>
      </w:pPr>
      <w:r w:rsidRPr="00B04DC3">
        <w:rPr>
          <w:lang w:val="en-GB"/>
        </w:rPr>
        <w:tab/>
        <w:t>The tracer gas flow rate shall be set so that the tracer gas concentration at engine idle speed after mixing becomes lower than the full scale of the trace gas analyzer.</w:t>
      </w:r>
    </w:p>
    <w:p w:rsidR="00002BA6" w:rsidRPr="00B04DC3" w:rsidRDefault="00002BA6" w:rsidP="00002BA6">
      <w:pPr>
        <w:pStyle w:val="para"/>
        <w:rPr>
          <w:lang w:val="en-GB"/>
        </w:rPr>
      </w:pPr>
      <w:r w:rsidRPr="00B04DC3">
        <w:rPr>
          <w:lang w:val="en-GB"/>
        </w:rPr>
        <w:tab/>
        <w:t>The calculation of the exhaust gas flow shall be as follows:</w:t>
      </w:r>
    </w:p>
    <w:p w:rsidR="00002BA6" w:rsidRPr="007548B0" w:rsidRDefault="00002BA6" w:rsidP="00002BA6">
      <w:pPr>
        <w:pStyle w:val="para"/>
        <w:tabs>
          <w:tab w:val="right" w:pos="8500"/>
        </w:tabs>
        <w:rPr>
          <w:position w:val="60"/>
          <w:lang w:val="en-GB"/>
        </w:rPr>
      </w:pPr>
      <w:r w:rsidRPr="00B04DC3">
        <w:rPr>
          <w:lang w:val="en-GB"/>
        </w:rPr>
        <w:tab/>
      </w:r>
      <w:r w:rsidR="00A905B7">
        <w:rPr>
          <w:lang w:val="en-GB"/>
        </w:rPr>
      </w:r>
      <w:r w:rsidR="00A905B7">
        <w:rPr>
          <w:lang w:val="en-GB"/>
        </w:rPr>
        <w:pict>
          <v:group id="_x0000_s4247" editas="canvas" style="width:120.35pt;height:53.8pt;mso-position-horizontal-relative:char;mso-position-vertical-relative:line" coordorigin=",-14" coordsize="2407,1076">
            <o:lock v:ext="edit" aspectratio="t"/>
            <v:shape id="_x0000_s4248" type="#_x0000_t75" style="position:absolute;top:-14;width:2407;height:1076" o:preferrelative="f">
              <v:fill o:detectmouseclick="t"/>
              <v:path o:extrusionok="t" o:connecttype="none"/>
              <o:lock v:ext="edit" text="t"/>
            </v:shape>
            <v:rect id="_x0000_s4249" style="position:absolute;left:1244;top:202;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4250" style="position:absolute;left:2186;top:202;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line id="_x0000_s4251" style="position:absolute" from="788,320" to="2251,320" strokeweight=".5pt"/>
            <v:rect id="_x0000_s4252" style="position:absolute;left:2077;top:400;width:71;height:240;mso-wrap-style:none" filled="f" stroked="f">
              <v:textbox style="mso-fit-shape-to-text:t" inset="0,0,0,0">
                <w:txbxContent>
                  <w:p w:rsidR="00A905B7" w:rsidRDefault="00A905B7">
                    <w:r>
                      <w:rPr>
                        <w:color w:val="000000"/>
                        <w:sz w:val="14"/>
                        <w:szCs w:val="14"/>
                      </w:rPr>
                      <w:t>b</w:t>
                    </w:r>
                  </w:p>
                </w:txbxContent>
              </v:textbox>
            </v:rect>
            <v:rect id="_x0000_s4253" style="position:absolute;left:1669;top:500;width:39;height:240;mso-wrap-style:none" filled="f" stroked="f">
              <v:textbox style="mso-fit-shape-to-text:t" inset="0,0,0,0">
                <w:txbxContent>
                  <w:p w:rsidR="00A905B7" w:rsidRDefault="00A905B7">
                    <w:r>
                      <w:rPr>
                        <w:color w:val="000000"/>
                        <w:sz w:val="14"/>
                        <w:szCs w:val="14"/>
                      </w:rPr>
                      <w:t>i</w:t>
                    </w:r>
                  </w:p>
                </w:txbxContent>
              </v:textbox>
            </v:rect>
            <v:rect id="_x0000_s4254" style="position:absolute;left:1419;top:390;width:253;height:240;mso-wrap-style:none" filled="f" stroked="f">
              <v:textbox style="mso-fit-shape-to-text:t" inset="0,0,0,0">
                <w:txbxContent>
                  <w:p w:rsidR="00A905B7" w:rsidRDefault="00A905B7">
                    <w:r>
                      <w:rPr>
                        <w:color w:val="000000"/>
                        <w:sz w:val="14"/>
                        <w:szCs w:val="14"/>
                      </w:rPr>
                      <w:t>mix,</w:t>
                    </w:r>
                  </w:p>
                </w:txbxContent>
              </v:textbox>
            </v:rect>
            <v:rect id="_x0000_s4255" style="position:absolute;left:1786;top:61;width:63;height:240;mso-wrap-style:none" filled="f" stroked="f">
              <v:textbox style="mso-fit-shape-to-text:t" inset="0,0,0,0">
                <w:txbxContent>
                  <w:p w:rsidR="00A905B7" w:rsidRDefault="00A905B7">
                    <w:r>
                      <w:rPr>
                        <w:color w:val="000000"/>
                        <w:sz w:val="14"/>
                        <w:szCs w:val="14"/>
                      </w:rPr>
                      <w:t>e</w:t>
                    </w:r>
                  </w:p>
                </w:txbxContent>
              </v:textbox>
            </v:rect>
            <v:rect id="_x0000_s4256" style="position:absolute;left:1371;top:71;width:39;height:240;mso-wrap-style:none" filled="f" stroked="f">
              <v:textbox style="mso-fit-shape-to-text:t" inset="0,0,0,0">
                <w:txbxContent>
                  <w:p w:rsidR="00A905B7" w:rsidRDefault="00A905B7">
                    <w:r>
                      <w:rPr>
                        <w:color w:val="000000"/>
                        <w:sz w:val="14"/>
                        <w:szCs w:val="14"/>
                      </w:rPr>
                      <w:t>t</w:t>
                    </w:r>
                  </w:p>
                </w:txbxContent>
              </v:textbox>
            </v:rect>
            <v:rect id="_x0000_s4257" style="position:absolute;left:459;top:314;width:39;height:240;mso-wrap-style:none" filled="f" stroked="f">
              <v:textbox style="mso-fit-shape-to-text:t" inset="0,0,0,0">
                <w:txbxContent>
                  <w:p w:rsidR="00A905B7" w:rsidRDefault="00A905B7">
                    <w:r>
                      <w:rPr>
                        <w:color w:val="000000"/>
                        <w:sz w:val="14"/>
                        <w:szCs w:val="14"/>
                      </w:rPr>
                      <w:t>i</w:t>
                    </w:r>
                  </w:p>
                </w:txbxContent>
              </v:textbox>
            </v:rect>
            <v:rect id="_x0000_s4258" style="position:absolute;left:263;top:314;width:199;height:240;mso-wrap-style:none" filled="f" stroked="f">
              <v:textbox style="mso-fit-shape-to-text:t" inset="0,0,0,0">
                <w:txbxContent>
                  <w:p w:rsidR="00A905B7" w:rsidRDefault="00A905B7">
                    <w:r>
                      <w:rPr>
                        <w:color w:val="000000"/>
                        <w:sz w:val="14"/>
                        <w:szCs w:val="14"/>
                      </w:rPr>
                      <w:t>ew,</w:t>
                    </w:r>
                  </w:p>
                </w:txbxContent>
              </v:textbox>
            </v:rect>
            <v:rect id="_x0000_s4259" style="position:absolute;left:801;top:352;width:201;height:240;mso-wrap-style:none" filled="f" stroked="f">
              <v:textbox style="mso-fit-shape-to-text:t" inset="0,0,0,0">
                <w:txbxContent>
                  <w:p w:rsidR="00A905B7" w:rsidRDefault="00A905B7">
                    <w:r>
                      <w:rPr>
                        <w:color w:val="000000"/>
                        <w:szCs w:val="24"/>
                      </w:rPr>
                      <w:t>60</w:t>
                    </w:r>
                  </w:p>
                </w:txbxContent>
              </v:textbox>
            </v:rect>
            <v:rect id="_x0000_s4260" style="position:absolute;left:1966;top:352;width:89;height:240;mso-wrap-style:none" filled="f" stroked="f">
              <v:textbox style="mso-fit-shape-to-text:t" inset="0,0,0,0">
                <w:txbxContent>
                  <w:p w:rsidR="00A905B7" w:rsidRPr="00566C8F" w:rsidRDefault="00A905B7">
                    <w:r w:rsidRPr="00566C8F">
                      <w:rPr>
                        <w:iCs/>
                        <w:color w:val="000000"/>
                        <w:szCs w:val="24"/>
                      </w:rPr>
                      <w:t>c</w:t>
                    </w:r>
                  </w:p>
                </w:txbxContent>
              </v:textbox>
            </v:rect>
            <v:rect id="_x0000_s4261" style="position:absolute;left:1308;top:352;width:89;height:240" filled="f" stroked="f">
              <v:textbox inset="0,0,0,0">
                <w:txbxContent>
                  <w:p w:rsidR="00A905B7" w:rsidRPr="00566C8F" w:rsidRDefault="00A905B7">
                    <w:r w:rsidRPr="00566C8F">
                      <w:rPr>
                        <w:iCs/>
                        <w:color w:val="000000"/>
                        <w:szCs w:val="24"/>
                      </w:rPr>
                      <w:t>c</w:t>
                    </w:r>
                  </w:p>
                </w:txbxContent>
              </v:textbox>
            </v:rect>
            <v:rect id="_x0000_s4262" style="position:absolute;left:1167;top:13;width:101;height:240;mso-wrap-style:none" filled="f" stroked="f">
              <v:textbox style="mso-fit-shape-to-text:t" inset="0,0,0,0">
                <w:txbxContent>
                  <w:p w:rsidR="00A905B7" w:rsidRPr="00566C8F" w:rsidRDefault="00A905B7">
                    <w:r w:rsidRPr="00566C8F">
                      <w:rPr>
                        <w:iCs/>
                        <w:color w:val="000000"/>
                        <w:szCs w:val="24"/>
                      </w:rPr>
                      <w:t>q</w:t>
                    </w:r>
                  </w:p>
                </w:txbxContent>
              </v:textbox>
            </v:rect>
            <v:rect id="_x0000_s4263" style="position:absolute;left:36;top:166;width:101;height:240;mso-wrap-style:none" filled="f" stroked="f">
              <v:textbox style="mso-fit-shape-to-text:t" inset="0,0,0,0">
                <w:txbxContent>
                  <w:p w:rsidR="00A905B7" w:rsidRPr="00566C8F" w:rsidRDefault="00A905B7">
                    <w:r w:rsidRPr="00566C8F">
                      <w:rPr>
                        <w:iCs/>
                        <w:color w:val="000000"/>
                        <w:szCs w:val="24"/>
                      </w:rPr>
                      <w:t>q</w:t>
                    </w:r>
                  </w:p>
                </w:txbxContent>
              </v:textbox>
            </v:rect>
            <v:rect id="_x0000_s4264" style="position:absolute;left:1290;top:72;width:71;height:240;mso-wrap-style:none" filled="f" stroked="f">
              <v:textbox style="mso-fit-shape-to-text:t" inset="0,0,0,0">
                <w:txbxContent>
                  <w:p w:rsidR="00A905B7" w:rsidRPr="00566C8F" w:rsidRDefault="00A905B7">
                    <w:r w:rsidRPr="00566C8F">
                      <w:rPr>
                        <w:iCs/>
                        <w:color w:val="000000"/>
                        <w:sz w:val="14"/>
                        <w:szCs w:val="14"/>
                      </w:rPr>
                      <w:t>v</w:t>
                    </w:r>
                  </w:p>
                </w:txbxContent>
              </v:textbox>
            </v:rect>
            <v:rect id="_x0000_s4265" style="position:absolute;left:162;top:315;width:109;height:240;mso-wrap-style:none" filled="f" stroked="f">
              <v:textbox style="mso-fit-shape-to-text:t" inset="0,0,0,0">
                <w:txbxContent>
                  <w:p w:rsidR="00A905B7" w:rsidRPr="00566C8F" w:rsidRDefault="00A905B7">
                    <w:r w:rsidRPr="00566C8F">
                      <w:rPr>
                        <w:iCs/>
                        <w:color w:val="000000"/>
                        <w:sz w:val="14"/>
                        <w:szCs w:val="14"/>
                      </w:rPr>
                      <w:t>m</w:t>
                    </w:r>
                  </w:p>
                </w:txbxContent>
              </v:textbox>
            </v:rect>
            <v:rect id="_x0000_s4266" style="position:absolute;left:1788;top:365;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67" style="position:absolute;left:1073;top:325;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68" style="position:absolute;left:1459;top:-14;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69" style="position:absolute;left:590;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0" style="position:absolute;left:1642;top:-14;width:110;height:245;mso-wrap-style:none" filled="f" stroked="f">
              <v:textbox style="mso-fit-shape-to-text:t" inset="0,0,0,0">
                <w:txbxContent>
                  <w:p w:rsidR="00A905B7" w:rsidRPr="00566C8F" w:rsidRDefault="00A905B7">
                    <w:r w:rsidRPr="00566C8F">
                      <w:rPr>
                        <w:rFonts w:ascii="Symbol" w:hAnsi="Symbol" w:cs="Symbol"/>
                        <w:iCs/>
                        <w:color w:val="000000"/>
                        <w:szCs w:val="24"/>
                      </w:rPr>
                      <w:t></w:t>
                    </w:r>
                  </w:p>
                </w:txbxContent>
              </v:textbox>
            </v:rect>
            <w10:wrap type="none"/>
            <w10:anchorlock/>
          </v:group>
        </w:pict>
      </w:r>
      <w:r w:rsidRPr="007548B0">
        <w:rPr>
          <w:position w:val="60"/>
          <w:lang w:val="en-GB"/>
        </w:rPr>
        <w:tab/>
        <w:t>(29)</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35" w:hanging="567"/>
        <w:rPr>
          <w:lang w:val="en-GB"/>
        </w:rPr>
      </w:pPr>
      <w:r w:rsidRPr="00B04DC3">
        <w:rPr>
          <w:position w:val="6"/>
          <w:lang w:val="en-GB"/>
        </w:rPr>
        <w:t>q</w:t>
      </w:r>
      <w:r w:rsidRPr="00B04DC3">
        <w:rPr>
          <w:position w:val="6"/>
          <w:vertAlign w:val="subscript"/>
          <w:lang w:val="en-GB"/>
        </w:rPr>
        <w:t>mew,i</w:t>
      </w:r>
      <w:r w:rsidRPr="00B04DC3">
        <w:rPr>
          <w:lang w:val="en-GB"/>
        </w:rPr>
        <w:tab/>
        <w:t>is the instantaneous exhaust mass flow rate, kg/s</w:t>
      </w:r>
    </w:p>
    <w:p w:rsidR="00002BA6" w:rsidRPr="00B04DC3" w:rsidRDefault="00002BA6" w:rsidP="00002BA6">
      <w:pPr>
        <w:pStyle w:val="para"/>
        <w:ind w:left="2835" w:hanging="567"/>
        <w:rPr>
          <w:lang w:val="en-GB"/>
        </w:rPr>
      </w:pPr>
      <w:r w:rsidRPr="00B04DC3">
        <w:rPr>
          <w:lang w:val="en-GB"/>
        </w:rPr>
        <w:t>q</w:t>
      </w:r>
      <w:r w:rsidRPr="00B04DC3">
        <w:rPr>
          <w:vertAlign w:val="subscript"/>
          <w:lang w:val="en-GB"/>
        </w:rPr>
        <w:t>vt</w:t>
      </w:r>
      <w:r w:rsidRPr="00B04DC3">
        <w:rPr>
          <w:lang w:val="en-GB"/>
        </w:rPr>
        <w:tab/>
        <w:t>is tracer gas flow rate,  cm³/min</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mix,i</w:t>
      </w:r>
      <w:r w:rsidRPr="00B04DC3">
        <w:rPr>
          <w:lang w:val="en-GB"/>
        </w:rPr>
        <w:tab/>
        <w:t>is the instantaneous concentration of the tracer gas after mixing, ppm</w:t>
      </w:r>
    </w:p>
    <w:p w:rsidR="00002BA6" w:rsidRPr="00B04DC3" w:rsidRDefault="00002BA6" w:rsidP="00002BA6">
      <w:pPr>
        <w:pStyle w:val="para"/>
        <w:ind w:left="2835" w:hanging="567"/>
        <w:rPr>
          <w:lang w:val="en-GB"/>
        </w:rPr>
      </w:pPr>
      <w:r w:rsidRPr="00B04DC3">
        <w:rPr>
          <w:lang w:val="en-GB"/>
        </w:rPr>
        <w:sym w:font="Symbol" w:char="F072"/>
      </w:r>
      <w:r w:rsidRPr="00B04DC3">
        <w:rPr>
          <w:vertAlign w:val="subscript"/>
          <w:lang w:val="en-GB"/>
        </w:rPr>
        <w:t>e</w:t>
      </w:r>
      <w:r w:rsidRPr="00B04DC3">
        <w:rPr>
          <w:vertAlign w:val="subscript"/>
          <w:lang w:val="en-GB"/>
        </w:rPr>
        <w:tab/>
      </w:r>
      <w:r w:rsidR="002C2CEB" w:rsidRPr="00B04DC3">
        <w:rPr>
          <w:lang w:val="en-GB"/>
        </w:rPr>
        <w:t>is the density of the exhaust gas, kg/m³ (cf. Table 5</w:t>
      </w:r>
      <w:r w:rsidR="00664E7D">
        <w:rPr>
          <w:lang w:val="en-GB"/>
        </w:rPr>
        <w:t xml:space="preserve"> below</w:t>
      </w:r>
      <w:r w:rsidR="002C2CEB" w:rsidRPr="00B04DC3">
        <w:rPr>
          <w:lang w:val="en-GB"/>
        </w:rPr>
        <w:t>)</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b</w:t>
      </w:r>
      <w:r w:rsidRPr="00B04DC3">
        <w:rPr>
          <w:lang w:val="en-GB"/>
        </w:rPr>
        <w:tab/>
        <w:t>is the background concentration of the tracer gas in the intake air, ppm</w:t>
      </w:r>
    </w:p>
    <w:p w:rsidR="00002BA6" w:rsidRPr="00B04DC3" w:rsidRDefault="00002BA6" w:rsidP="00002BA6">
      <w:pPr>
        <w:pStyle w:val="para"/>
        <w:rPr>
          <w:lang w:val="en-GB"/>
        </w:rPr>
      </w:pPr>
      <w:r w:rsidRPr="00B04DC3">
        <w:rPr>
          <w:lang w:val="en-GB"/>
        </w:rPr>
        <w:tab/>
        <w:t>The background concentration of the tracer gas (c</w:t>
      </w:r>
      <w:r w:rsidRPr="00B04DC3">
        <w:rPr>
          <w:vertAlign w:val="subscript"/>
          <w:lang w:val="en-GB"/>
        </w:rPr>
        <w:t>b</w:t>
      </w:r>
      <w:r w:rsidRPr="00B04DC3">
        <w:rPr>
          <w:lang w:val="en-GB"/>
        </w:rPr>
        <w:t>) may be determined by averaging the background concentration measured immediately before the test run and after the test run.</w:t>
      </w:r>
    </w:p>
    <w:p w:rsidR="00002BA6" w:rsidRPr="00B04DC3" w:rsidRDefault="00002BA6" w:rsidP="00002BA6">
      <w:pPr>
        <w:pStyle w:val="para"/>
        <w:rPr>
          <w:lang w:val="en-GB"/>
        </w:rPr>
      </w:pPr>
      <w:r w:rsidRPr="00B04DC3">
        <w:rPr>
          <w:lang w:val="en-GB"/>
        </w:rPr>
        <w:tab/>
        <w:t>When the background concentration is less than 1 per cent of the concentration of the tracer gas after mixing (c</w:t>
      </w:r>
      <w:r w:rsidRPr="00B04DC3">
        <w:rPr>
          <w:vertAlign w:val="subscript"/>
          <w:lang w:val="en-GB"/>
        </w:rPr>
        <w:t>mix.i</w:t>
      </w:r>
      <w:r w:rsidRPr="00B04DC3">
        <w:rPr>
          <w:lang w:val="en-GB"/>
        </w:rPr>
        <w:t>) at maximum exhaust flow, the background concentration may be neglected.</w:t>
      </w:r>
    </w:p>
    <w:p w:rsidR="00002BA6" w:rsidRPr="00B04DC3" w:rsidRDefault="00002BA6" w:rsidP="00002BA6">
      <w:pPr>
        <w:pStyle w:val="para"/>
        <w:rPr>
          <w:lang w:val="en-GB"/>
        </w:rPr>
      </w:pPr>
      <w:r w:rsidRPr="00B04DC3">
        <w:rPr>
          <w:lang w:val="en-GB"/>
        </w:rPr>
        <w:tab/>
        <w:t>The total system shall meet the linearity requirements for the exhaust gas flow of paragraph 9.2.</w:t>
      </w:r>
      <w:r w:rsidR="00664E7D" w:rsidRPr="00664E7D">
        <w:rPr>
          <w:lang w:val="en-GB"/>
        </w:rPr>
        <w:t xml:space="preserve"> </w:t>
      </w:r>
      <w:r w:rsidR="00664E7D">
        <w:rPr>
          <w:lang w:val="en-GB"/>
        </w:rPr>
        <w:t>of this annex.</w:t>
      </w:r>
    </w:p>
    <w:p w:rsidR="00002BA6" w:rsidRPr="00B04DC3" w:rsidRDefault="00002BA6" w:rsidP="00002BA6">
      <w:pPr>
        <w:pStyle w:val="para"/>
        <w:rPr>
          <w:lang w:val="en-GB"/>
        </w:rPr>
      </w:pPr>
      <w:r w:rsidRPr="00B04DC3">
        <w:rPr>
          <w:lang w:val="en-GB"/>
        </w:rPr>
        <w:t>8.4.1.6.</w:t>
      </w:r>
      <w:r w:rsidRPr="00B04DC3">
        <w:rPr>
          <w:lang w:val="en-GB"/>
        </w:rPr>
        <w:tab/>
        <w:t>Airflow and air to fuel ratio measurement method</w:t>
      </w:r>
    </w:p>
    <w:p w:rsidR="00002BA6" w:rsidRPr="00B04DC3" w:rsidRDefault="00002BA6" w:rsidP="00002BA6">
      <w:pPr>
        <w:pStyle w:val="para"/>
        <w:rPr>
          <w:lang w:val="en-GB"/>
        </w:rPr>
      </w:pPr>
      <w:r w:rsidRPr="00B04DC3">
        <w:rPr>
          <w:lang w:val="en-GB"/>
        </w:rPr>
        <w:tab/>
        <w:t xml:space="preserve">This involves exhaust mass calculation from </w:t>
      </w:r>
      <w:r w:rsidRPr="00B04DC3">
        <w:rPr>
          <w:lang w:val="en-GB" w:eastAsia="ja-JP"/>
        </w:rPr>
        <w:t>the air flow and</w:t>
      </w:r>
      <w:r w:rsidRPr="00B04DC3">
        <w:rPr>
          <w:lang w:val="en-GB"/>
        </w:rPr>
        <w:t xml:space="preserve"> </w:t>
      </w:r>
      <w:r w:rsidRPr="00B04DC3">
        <w:rPr>
          <w:lang w:val="en-GB" w:eastAsia="ja-JP"/>
        </w:rPr>
        <w:t>the air to fuel ratio.</w:t>
      </w:r>
      <w:r w:rsidRPr="00B04DC3">
        <w:rPr>
          <w:lang w:val="en-GB"/>
        </w:rPr>
        <w:t xml:space="preserve"> The calculation of the instantaneous exhaust gas </w:t>
      </w:r>
      <w:r w:rsidRPr="00B04DC3">
        <w:rPr>
          <w:lang w:val="en-GB" w:eastAsia="ja-JP"/>
        </w:rPr>
        <w:t xml:space="preserve">mass </w:t>
      </w:r>
      <w:r w:rsidRPr="00B04DC3">
        <w:rPr>
          <w:lang w:val="en-GB"/>
        </w:rPr>
        <w:t>flow is as follows:</w:t>
      </w:r>
    </w:p>
    <w:p w:rsidR="00002BA6" w:rsidRPr="007548B0" w:rsidRDefault="00002BA6" w:rsidP="00002BA6">
      <w:pPr>
        <w:pStyle w:val="para"/>
        <w:tabs>
          <w:tab w:val="right" w:pos="8500"/>
        </w:tabs>
        <w:rPr>
          <w:position w:val="20"/>
          <w:lang w:val="en-GB"/>
        </w:rPr>
      </w:pPr>
      <w:r w:rsidRPr="00B04DC3">
        <w:rPr>
          <w:lang w:val="en-GB"/>
        </w:rPr>
        <w:tab/>
      </w:r>
      <w:r w:rsidR="00A905B7">
        <w:rPr>
          <w:lang w:val="en-GB"/>
        </w:rPr>
      </w:r>
      <w:r w:rsidR="00A905B7">
        <w:rPr>
          <w:lang w:val="en-GB"/>
        </w:rPr>
        <w:pict>
          <v:group id="_x0000_s4271" editas="canvas" style="width:154.45pt;height:35.15pt;mso-position-horizontal-relative:char;mso-position-vertical-relative:line" coordsize="3089,703">
            <o:lock v:ext="edit" aspectratio="t"/>
            <v:shape id="_x0000_s4272" type="#_x0000_t75" style="position:absolute;width:3089;height:703" o:preferrelative="f">
              <v:fill o:detectmouseclick="t"/>
              <v:path o:extrusionok="t" o:connecttype="none"/>
              <o:lock v:ext="edit" text="t"/>
            </v:shape>
            <v:line id="_x0000_s4273" style="position:absolute" from="1897,380" to="2823,380" strokeweight=".5pt"/>
            <v:rect id="_x0000_s4274" style="position:absolute;left:2853;top:29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5" style="position:absolute;left:2853;top:18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6" style="position:absolute;left:2853;top:450;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7" style="position:absolute;left:2853;top:31;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8" style="position:absolute;left:1476;top:29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79" style="position:absolute;left:1476;top:18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0" style="position:absolute;left:1476;top:450;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1" style="position:absolute;left:1476;top:31;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2" style="position:absolute;left:2440;top:38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3" style="position:absolute;left:1713;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4" style="position:absolute;left:1314;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5" style="position:absolute;left:594;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286" style="position:absolute;left:2739;top:441;width:39;height:240;mso-wrap-style:none" filled="f" stroked="f">
              <v:textbox style="mso-fit-shape-to-text:t" inset="0,0,0,0">
                <w:txbxContent>
                  <w:p w:rsidR="00A905B7" w:rsidRDefault="00A905B7">
                    <w:r>
                      <w:rPr>
                        <w:color w:val="000000"/>
                        <w:sz w:val="14"/>
                        <w:szCs w:val="14"/>
                      </w:rPr>
                      <w:t>i</w:t>
                    </w:r>
                  </w:p>
                </w:txbxContent>
              </v:textbox>
            </v:rect>
            <v:rect id="_x0000_s4287" style="position:absolute;left:2235;top:463;width:94;height:240;mso-wrap-style:none" filled="f" stroked="f">
              <v:textbox style="mso-fit-shape-to-text:t" inset="0,0,0,0">
                <w:txbxContent>
                  <w:p w:rsidR="00A905B7" w:rsidRDefault="00A905B7">
                    <w:r>
                      <w:rPr>
                        <w:color w:val="000000"/>
                        <w:sz w:val="14"/>
                        <w:szCs w:val="14"/>
                      </w:rPr>
                      <w:t>st</w:t>
                    </w:r>
                  </w:p>
                </w:txbxContent>
              </v:textbox>
            </v:rect>
            <v:rect id="_x0000_s4288" style="position:absolute;left:1211;top:374;width:39;height:240;mso-wrap-style:none" filled="f" stroked="f">
              <v:textbox style="mso-fit-shape-to-text:t" inset="0,0,0,0">
                <w:txbxContent>
                  <w:p w:rsidR="00A905B7" w:rsidRDefault="00A905B7">
                    <w:r>
                      <w:rPr>
                        <w:color w:val="000000"/>
                        <w:sz w:val="14"/>
                        <w:szCs w:val="14"/>
                      </w:rPr>
                      <w:t>i</w:t>
                    </w:r>
                  </w:p>
                </w:txbxContent>
              </v:textbox>
            </v:rect>
            <v:rect id="_x0000_s4289" style="position:absolute;left:1014;top:374;width:199;height:240;mso-wrap-style:none" filled="f" stroked="f">
              <v:textbox style="mso-fit-shape-to-text:t" inset="0,0,0,0">
                <w:txbxContent>
                  <w:p w:rsidR="00A905B7" w:rsidRDefault="00A905B7">
                    <w:r>
                      <w:rPr>
                        <w:color w:val="000000"/>
                        <w:sz w:val="14"/>
                        <w:szCs w:val="14"/>
                      </w:rPr>
                      <w:t>aw,</w:t>
                    </w:r>
                  </w:p>
                </w:txbxContent>
              </v:textbox>
            </v:rect>
            <v:rect id="_x0000_s4290" style="position:absolute;left:462;top:374;width:39;height:240;mso-wrap-style:none" filled="f" stroked="f">
              <v:textbox style="mso-fit-shape-to-text:t" inset="0,0,0,0">
                <w:txbxContent>
                  <w:p w:rsidR="00A905B7" w:rsidRDefault="00A905B7">
                    <w:r>
                      <w:rPr>
                        <w:color w:val="000000"/>
                        <w:sz w:val="14"/>
                        <w:szCs w:val="14"/>
                      </w:rPr>
                      <w:t>i</w:t>
                    </w:r>
                  </w:p>
                </w:txbxContent>
              </v:textbox>
            </v:rect>
            <v:rect id="_x0000_s4291" style="position:absolute;left:265;top:374;width:199;height:240;mso-wrap-style:none" filled="f" stroked="f">
              <v:textbox style="mso-fit-shape-to-text:t" inset="0,0,0,0">
                <w:txbxContent>
                  <w:p w:rsidR="00A905B7" w:rsidRDefault="00A905B7">
                    <w:r>
                      <w:rPr>
                        <w:color w:val="000000"/>
                        <w:sz w:val="14"/>
                        <w:szCs w:val="14"/>
                      </w:rPr>
                      <w:t>ew,</w:t>
                    </w:r>
                  </w:p>
                </w:txbxContent>
              </v:textbox>
            </v:rect>
            <v:rect id="_x0000_s4292" style="position:absolute;left:2299;top:75;width:101;height:240;mso-wrap-style:none" filled="f" stroked="f">
              <v:textbox style="mso-fit-shape-to-text:t" inset="0,0,0,0">
                <w:txbxContent>
                  <w:p w:rsidR="00A905B7" w:rsidRDefault="00A905B7">
                    <w:r>
                      <w:rPr>
                        <w:color w:val="000000"/>
                        <w:szCs w:val="24"/>
                      </w:rPr>
                      <w:t>1</w:t>
                    </w:r>
                  </w:p>
                </w:txbxContent>
              </v:textbox>
            </v:rect>
            <v:rect id="_x0000_s4293" style="position:absolute;left:1569;top:226;width:101;height:240;mso-wrap-style:none" filled="f" stroked="f">
              <v:textbox style="mso-fit-shape-to-text:t" inset="0,0,0,0">
                <w:txbxContent>
                  <w:p w:rsidR="00A905B7" w:rsidRDefault="00A905B7">
                    <w:r>
                      <w:rPr>
                        <w:color w:val="000000"/>
                        <w:szCs w:val="24"/>
                      </w:rPr>
                      <w:t>1</w:t>
                    </w:r>
                  </w:p>
                </w:txbxContent>
              </v:textbox>
            </v:rect>
            <v:rect id="_x0000_s4294" style="position:absolute;left:2606;top:387;width:110;height:245;mso-wrap-style:none" filled="f" stroked="f">
              <v:textbox style="mso-fit-shape-to-text:t" inset="0,0,0,0">
                <w:txbxContent>
                  <w:p w:rsidR="00A905B7" w:rsidRPr="00CE53DA" w:rsidRDefault="00A905B7">
                    <w:r w:rsidRPr="00CE53DA">
                      <w:rPr>
                        <w:rFonts w:ascii="Symbol" w:hAnsi="Symbol" w:cs="Symbol"/>
                        <w:iCs/>
                        <w:color w:val="000000"/>
                        <w:szCs w:val="24"/>
                      </w:rPr>
                      <w:t></w:t>
                    </w:r>
                  </w:p>
                </w:txbxContent>
              </v:textbox>
            </v:rect>
            <v:rect id="_x0000_s4295" style="position:absolute;left:1932;top:414;width:312;height:240;mso-wrap-style:none" filled="f" stroked="f">
              <v:textbox style="mso-fit-shape-to-text:t" inset="0,0,0,0">
                <w:txbxContent>
                  <w:p w:rsidR="00A905B7" w:rsidRPr="00CE53DA" w:rsidRDefault="00A905B7">
                    <w:r w:rsidRPr="00CE53DA">
                      <w:rPr>
                        <w:iCs/>
                        <w:color w:val="000000"/>
                        <w:szCs w:val="24"/>
                      </w:rPr>
                      <w:t>A/F</w:t>
                    </w:r>
                  </w:p>
                </w:txbxContent>
              </v:textbox>
            </v:rect>
            <v:rect id="_x0000_s4296" style="position:absolute;left:786;top:226;width:101;height:240;mso-wrap-style:none" filled="f" stroked="f">
              <v:textbox style="mso-fit-shape-to-text:t" inset="0,0,0,0">
                <w:txbxContent>
                  <w:p w:rsidR="00A905B7" w:rsidRPr="00CE53DA" w:rsidRDefault="00A905B7">
                    <w:r w:rsidRPr="00CE53DA">
                      <w:rPr>
                        <w:iCs/>
                        <w:color w:val="000000"/>
                        <w:szCs w:val="24"/>
                      </w:rPr>
                      <w:t>q</w:t>
                    </w:r>
                  </w:p>
                </w:txbxContent>
              </v:textbox>
            </v:rect>
            <v:rect id="_x0000_s4297" style="position:absolute;left:36;top:226;width:101;height:240;mso-wrap-style:none" filled="f" stroked="f">
              <v:textbox style="mso-fit-shape-to-text:t" inset="0,0,0,0">
                <w:txbxContent>
                  <w:p w:rsidR="00A905B7" w:rsidRPr="00CE53DA" w:rsidRDefault="00A905B7">
                    <w:r w:rsidRPr="00CE53DA">
                      <w:rPr>
                        <w:iCs/>
                        <w:color w:val="000000"/>
                        <w:szCs w:val="24"/>
                      </w:rPr>
                      <w:t>q</w:t>
                    </w:r>
                  </w:p>
                </w:txbxContent>
              </v:textbox>
            </v:rect>
            <v:rect id="_x0000_s4298" style="position:absolute;left:914;top:375;width:109;height:240;mso-wrap-style:none" filled="f" stroked="f">
              <v:textbox style="mso-fit-shape-to-text:t" inset="0,0,0,0">
                <w:txbxContent>
                  <w:p w:rsidR="00A905B7" w:rsidRPr="00CE53DA" w:rsidRDefault="00A905B7">
                    <w:r w:rsidRPr="00CE53DA">
                      <w:rPr>
                        <w:iCs/>
                        <w:color w:val="000000"/>
                        <w:sz w:val="14"/>
                        <w:szCs w:val="14"/>
                      </w:rPr>
                      <w:t>m</w:t>
                    </w:r>
                  </w:p>
                </w:txbxContent>
              </v:textbox>
            </v:rect>
            <v:rect id="_x0000_s4299" style="position:absolute;left:165;top:375;width:109;height:240;mso-wrap-style:none" filled="f" stroked="f">
              <v:textbox style="mso-fit-shape-to-text:t" inset="0,0,0,0">
                <w:txbxContent>
                  <w:p w:rsidR="00A905B7" w:rsidRPr="00CE53DA" w:rsidRDefault="00A905B7">
                    <w:r w:rsidRPr="00CE53DA">
                      <w:rPr>
                        <w:iCs/>
                        <w:color w:val="000000"/>
                        <w:sz w:val="14"/>
                        <w:szCs w:val="14"/>
                      </w:rPr>
                      <w:t>m</w:t>
                    </w:r>
                  </w:p>
                </w:txbxContent>
              </v:textbox>
            </v:rect>
            <w10:wrap type="none"/>
            <w10:anchorlock/>
          </v:group>
        </w:pict>
      </w:r>
      <w:r w:rsidRPr="007548B0">
        <w:rPr>
          <w:position w:val="20"/>
          <w:lang w:val="en-GB"/>
        </w:rPr>
        <w:tab/>
        <w:t>(30)</w:t>
      </w:r>
    </w:p>
    <w:p w:rsidR="00002BA6" w:rsidRPr="00B04DC3" w:rsidRDefault="00002BA6" w:rsidP="00002BA6">
      <w:pPr>
        <w:pStyle w:val="para"/>
        <w:rPr>
          <w:lang w:val="en-GB"/>
        </w:rPr>
      </w:pPr>
      <w:r w:rsidRPr="00B04DC3">
        <w:rPr>
          <w:lang w:val="en-GB"/>
        </w:rPr>
        <w:tab/>
      </w:r>
      <w:r w:rsidR="00D06B9E" w:rsidRPr="00B04DC3">
        <w:rPr>
          <w:lang w:val="en-GB"/>
        </w:rPr>
        <w:t>With</w:t>
      </w:r>
    </w:p>
    <w:p w:rsidR="00002BA6" w:rsidRPr="00B04DC3" w:rsidRDefault="00002BA6" w:rsidP="00FB5A71">
      <w:pPr>
        <w:pStyle w:val="para"/>
        <w:tabs>
          <w:tab w:val="right" w:pos="8500"/>
        </w:tabs>
        <w:spacing w:after="160"/>
        <w:ind w:right="1140" w:firstLine="0"/>
        <w:rPr>
          <w:lang w:val="en-GB"/>
        </w:rPr>
      </w:pPr>
      <w:r w:rsidRPr="00B04DC3">
        <w:rPr>
          <w:position w:val="-28"/>
          <w:lang w:val="en-GB"/>
        </w:rPr>
        <w:object w:dxaOrig="5740" w:dyaOrig="999">
          <v:shape id="_x0000_i1245" type="#_x0000_t75" style="width:269.4pt;height:50.4pt" o:ole="" fillcolor="window">
            <v:imagedata r:id="rId374" o:title=""/>
          </v:shape>
          <o:OLEObject Type="Embed" ProgID="Equation.3" ShapeID="_x0000_i1245" DrawAspect="Content" ObjectID="_1498392344" r:id="rId375"/>
        </w:object>
      </w:r>
      <w:r w:rsidRPr="00B04DC3">
        <w:rPr>
          <w:lang w:val="en-GB"/>
        </w:rPr>
        <w:tab/>
        <w:t>(31)</w:t>
      </w:r>
    </w:p>
    <w:p w:rsidR="00002BA6" w:rsidRPr="00B04DC3" w:rsidRDefault="00002BA6" w:rsidP="007548B0">
      <w:pPr>
        <w:pStyle w:val="para"/>
        <w:tabs>
          <w:tab w:val="right" w:pos="8500"/>
        </w:tabs>
        <w:ind w:left="1134" w:firstLine="0"/>
        <w:rPr>
          <w:lang w:val="en-GB" w:eastAsia="ja-JP"/>
        </w:rPr>
      </w:pPr>
      <w:r w:rsidRPr="00B04DC3">
        <w:rPr>
          <w:position w:val="-60"/>
          <w:lang w:val="en-GB" w:eastAsia="ja-JP"/>
        </w:rPr>
        <w:object w:dxaOrig="9139" w:dyaOrig="2280">
          <v:shape id="_x0000_i1246" type="#_x0000_t75" style="width:341.4pt;height:93.6pt" o:ole="" fillcolor="window">
            <v:imagedata r:id="rId376" o:title=""/>
          </v:shape>
          <o:OLEObject Type="Embed" ProgID="Equation.3" ShapeID="_x0000_i1246" DrawAspect="Content" ObjectID="_1498392345" r:id="rId377"/>
        </w:object>
      </w:r>
      <w:r w:rsidRPr="00B04DC3">
        <w:rPr>
          <w:lang w:val="en-GB" w:eastAsia="ja-JP"/>
        </w:rPr>
        <w:tab/>
        <w:t>(32)</w:t>
      </w:r>
    </w:p>
    <w:p w:rsidR="00002BA6" w:rsidRPr="00B04DC3" w:rsidRDefault="00002BA6" w:rsidP="00AF4FCB">
      <w:pPr>
        <w:pStyle w:val="para"/>
        <w:keepNext/>
        <w:keepLines/>
        <w:rPr>
          <w:lang w:val="en-GB" w:eastAsia="ja-JP"/>
        </w:rPr>
      </w:pPr>
      <w:r w:rsidRPr="00B04DC3">
        <w:rPr>
          <w:lang w:val="en-GB" w:eastAsia="ja-JP"/>
        </w:rPr>
        <w:tab/>
      </w:r>
      <w:r w:rsidR="00D06B9E" w:rsidRPr="00B04DC3">
        <w:rPr>
          <w:lang w:val="en-GB" w:eastAsia="ja-JP"/>
        </w:rPr>
        <w:t>Where</w:t>
      </w:r>
      <w:r w:rsidRPr="00B04DC3">
        <w:rPr>
          <w:lang w:val="en-GB" w:eastAsia="ja-JP"/>
        </w:rPr>
        <w:t>:</w:t>
      </w:r>
    </w:p>
    <w:p w:rsidR="00002BA6" w:rsidRPr="00B04DC3" w:rsidRDefault="00002BA6" w:rsidP="00AF4FCB">
      <w:pPr>
        <w:pStyle w:val="para"/>
        <w:keepNext/>
        <w:keepLines/>
        <w:ind w:left="2835" w:hanging="567"/>
        <w:rPr>
          <w:position w:val="6"/>
          <w:lang w:val="en-GB"/>
        </w:rPr>
      </w:pPr>
      <w:r w:rsidRPr="00B04DC3">
        <w:rPr>
          <w:position w:val="6"/>
          <w:lang w:val="en-GB"/>
        </w:rPr>
        <w:t>q</w:t>
      </w:r>
      <w:r w:rsidRPr="00B04DC3">
        <w:rPr>
          <w:position w:val="6"/>
          <w:vertAlign w:val="subscript"/>
          <w:lang w:val="en-GB"/>
        </w:rPr>
        <w:t>maw,i</w:t>
      </w:r>
      <w:r w:rsidRPr="00B04DC3">
        <w:rPr>
          <w:position w:val="6"/>
          <w:lang w:val="en-GB"/>
        </w:rPr>
        <w:tab/>
      </w:r>
      <w:r w:rsidRPr="00B04DC3">
        <w:rPr>
          <w:lang w:val="en-GB"/>
        </w:rPr>
        <w:t>is the instantaneous intake air mass flow rate, kg/s</w:t>
      </w:r>
    </w:p>
    <w:p w:rsidR="00002BA6" w:rsidRPr="00B04DC3" w:rsidRDefault="00002BA6" w:rsidP="00AF4FCB">
      <w:pPr>
        <w:pStyle w:val="para"/>
        <w:keepNext/>
        <w:keepLines/>
        <w:ind w:left="2835" w:hanging="567"/>
        <w:rPr>
          <w:lang w:val="en-GB"/>
        </w:rPr>
      </w:pPr>
      <w:r w:rsidRPr="00B04DC3">
        <w:rPr>
          <w:lang w:val="en-GB"/>
        </w:rPr>
        <w:t>A/F</w:t>
      </w:r>
      <w:r w:rsidRPr="00B04DC3">
        <w:rPr>
          <w:vertAlign w:val="subscript"/>
          <w:lang w:val="en-GB"/>
        </w:rPr>
        <w:t>st</w:t>
      </w:r>
      <w:r w:rsidRPr="00B04DC3">
        <w:rPr>
          <w:lang w:val="en-GB"/>
        </w:rPr>
        <w:tab/>
        <w:t>is the stoichiometric air to fuel ratio, kg/kg</w:t>
      </w:r>
    </w:p>
    <w:p w:rsidR="00002BA6" w:rsidRPr="00B04DC3" w:rsidRDefault="00002BA6" w:rsidP="00002BA6">
      <w:pPr>
        <w:pStyle w:val="para"/>
        <w:ind w:left="2835" w:hanging="567"/>
        <w:rPr>
          <w:lang w:val="en-GB"/>
        </w:rPr>
      </w:pPr>
      <w:r w:rsidRPr="00B04DC3">
        <w:rPr>
          <w:lang w:val="en-GB"/>
        </w:rPr>
        <w:sym w:font="Symbol" w:char="F06C"/>
      </w:r>
      <w:r w:rsidRPr="00B04DC3">
        <w:rPr>
          <w:vertAlign w:val="subscript"/>
          <w:lang w:val="en-GB"/>
        </w:rPr>
        <w:t>i</w:t>
      </w:r>
      <w:r w:rsidRPr="00B04DC3">
        <w:rPr>
          <w:lang w:val="en-GB"/>
        </w:rPr>
        <w:tab/>
        <w:t>is the instantaneous excess air ratio</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CO2d</w:t>
      </w:r>
      <w:r w:rsidRPr="00B04DC3">
        <w:rPr>
          <w:lang w:val="en-GB"/>
        </w:rPr>
        <w:tab/>
        <w:t>is the dry CO</w:t>
      </w:r>
      <w:r w:rsidRPr="00B04DC3">
        <w:rPr>
          <w:vertAlign w:val="subscript"/>
          <w:lang w:val="en-GB"/>
        </w:rPr>
        <w:t>2</w:t>
      </w:r>
      <w:r w:rsidRPr="00B04DC3">
        <w:rPr>
          <w:lang w:val="en-GB"/>
        </w:rPr>
        <w:t xml:space="preserve"> concentration, per cent</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COd</w:t>
      </w:r>
      <w:r w:rsidRPr="00B04DC3">
        <w:rPr>
          <w:lang w:val="en-GB"/>
        </w:rPr>
        <w:tab/>
        <w:t>is the dry CO concentration, ppm</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HCw</w:t>
      </w:r>
      <w:r w:rsidRPr="00B04DC3">
        <w:rPr>
          <w:lang w:val="en-GB"/>
        </w:rPr>
        <w:tab/>
        <w:t>is the wet HC concentration, ppm</w:t>
      </w:r>
    </w:p>
    <w:p w:rsidR="00002BA6" w:rsidRPr="00B04DC3" w:rsidRDefault="00002BA6" w:rsidP="00002BA6">
      <w:pPr>
        <w:pStyle w:val="para"/>
        <w:rPr>
          <w:lang w:val="en-GB"/>
        </w:rPr>
      </w:pPr>
      <w:r w:rsidRPr="00B04DC3">
        <w:rPr>
          <w:lang w:val="en-GB"/>
        </w:rPr>
        <w:tab/>
        <w:t>Airflowmeter and analyzers shall meet the linearity requirements of paragraph 9.2., and the total system shall meet the linearity requirements for the exhaust gas flow of paragraph 9.2.</w:t>
      </w:r>
      <w:r w:rsidR="00664E7D" w:rsidRPr="00664E7D">
        <w:rPr>
          <w:lang w:val="en-GB"/>
        </w:rPr>
        <w:t xml:space="preserve"> </w:t>
      </w:r>
      <w:r w:rsidR="00664E7D">
        <w:rPr>
          <w:lang w:val="en-GB"/>
        </w:rPr>
        <w:t>of this annex.</w:t>
      </w:r>
    </w:p>
    <w:p w:rsidR="00002BA6" w:rsidRPr="00B04DC3" w:rsidRDefault="00002BA6" w:rsidP="00002BA6">
      <w:pPr>
        <w:pStyle w:val="para"/>
        <w:rPr>
          <w:lang w:val="en-GB" w:eastAsia="ja-JP"/>
        </w:rPr>
      </w:pPr>
      <w:r w:rsidRPr="00B04DC3">
        <w:rPr>
          <w:lang w:val="en-GB" w:eastAsia="ja-JP"/>
        </w:rPr>
        <w:tab/>
        <w:t xml:space="preserve">If an air to fuel ratio measurement equipment such as a zirconia type sensor is used for the measurement of the excess air ratio, it shall meet the </w:t>
      </w:r>
      <w:r w:rsidRPr="00B04DC3">
        <w:rPr>
          <w:lang w:val="en-GB"/>
        </w:rPr>
        <w:t>specifications of paragraph 9.3.2.7</w:t>
      </w:r>
      <w:r w:rsidRPr="00B04DC3">
        <w:rPr>
          <w:lang w:val="en-GB" w:eastAsia="ja-JP"/>
        </w:rPr>
        <w:t>.</w:t>
      </w:r>
      <w:r w:rsidR="00664E7D" w:rsidRPr="00664E7D">
        <w:rPr>
          <w:lang w:val="en-GB"/>
        </w:rPr>
        <w:t xml:space="preserve"> </w:t>
      </w:r>
      <w:r w:rsidR="00664E7D">
        <w:rPr>
          <w:lang w:val="en-GB"/>
        </w:rPr>
        <w:t>of this annex.</w:t>
      </w:r>
    </w:p>
    <w:p w:rsidR="00002BA6" w:rsidRPr="00B04DC3" w:rsidRDefault="00002BA6" w:rsidP="00002BA6">
      <w:pPr>
        <w:pStyle w:val="para"/>
        <w:rPr>
          <w:lang w:val="en-GB" w:eastAsia="ja-JP"/>
        </w:rPr>
      </w:pPr>
      <w:r w:rsidRPr="00B04DC3">
        <w:rPr>
          <w:lang w:val="en-GB" w:eastAsia="ja-JP"/>
        </w:rPr>
        <w:t>8.4.1.7.</w:t>
      </w:r>
      <w:r w:rsidRPr="00B04DC3">
        <w:rPr>
          <w:lang w:val="en-GB" w:eastAsia="ja-JP"/>
        </w:rPr>
        <w:tab/>
        <w:t>Carbon balance method</w:t>
      </w:r>
    </w:p>
    <w:p w:rsidR="00002BA6" w:rsidRPr="00B04DC3" w:rsidRDefault="00A905B7" w:rsidP="00002BA6">
      <w:pPr>
        <w:pStyle w:val="para"/>
        <w:rPr>
          <w:lang w:val="en-GB"/>
        </w:rPr>
      </w:pPr>
      <w:r>
        <w:rPr>
          <w:b/>
          <w:noProof/>
          <w:lang w:val="en-GB"/>
        </w:rPr>
        <w:pict>
          <v:rect id="_x0000_s4343" style="position:absolute;left:0;text-align:left;margin-left:239.7pt;margin-top:40.7pt;width:3.55pt;height:12pt;z-index:251635712;mso-wrap-style:none" filled="f" stroked="f">
            <v:textbox style="mso-fit-shape-to-text:t" inset="0,0,0,0">
              <w:txbxContent>
                <w:p w:rsidR="00A905B7" w:rsidRDefault="00A905B7">
                  <w:r>
                    <w:rPr>
                      <w:color w:val="000000"/>
                      <w:sz w:val="14"/>
                      <w:szCs w:val="14"/>
                    </w:rPr>
                    <w:t>2</w:t>
                  </w:r>
                </w:p>
              </w:txbxContent>
            </v:textbox>
          </v:rect>
        </w:pict>
      </w:r>
      <w:r>
        <w:rPr>
          <w:b/>
          <w:noProof/>
          <w:lang w:val="en-GB"/>
        </w:rPr>
        <w:pict>
          <v:rect id="_x0000_s4352" style="position:absolute;left:0;text-align:left;margin-left:231.2pt;margin-top:41.7pt;width:7.25pt;height:12pt;z-index:251634688;mso-wrap-style:none" filled="f" stroked="f">
            <v:textbox style="mso-fit-shape-to-text:t" inset="0,0,0,0">
              <w:txbxContent>
                <w:p w:rsidR="00A905B7" w:rsidRPr="007C4925" w:rsidRDefault="00A905B7">
                  <w:r w:rsidRPr="007C4925">
                    <w:rPr>
                      <w:iCs/>
                      <w:color w:val="000000"/>
                      <w:szCs w:val="24"/>
                    </w:rPr>
                    <w:t>w</w:t>
                  </w:r>
                </w:p>
              </w:txbxContent>
            </v:textbox>
          </v:rect>
        </w:pict>
      </w:r>
      <w:r w:rsidR="00002BA6" w:rsidRPr="00B04DC3">
        <w:rPr>
          <w:lang w:val="en-GB" w:eastAsia="ja-JP"/>
        </w:rPr>
        <w:tab/>
      </w:r>
      <w:r w:rsidR="00002BA6" w:rsidRPr="00B04DC3">
        <w:rPr>
          <w:lang w:val="en-GB"/>
        </w:rPr>
        <w:t xml:space="preserve">This involves exhaust mass calculation from </w:t>
      </w:r>
      <w:r w:rsidR="00002BA6" w:rsidRPr="00B04DC3">
        <w:rPr>
          <w:lang w:val="en-GB" w:eastAsia="ja-JP"/>
        </w:rPr>
        <w:t>the fuel flow and</w:t>
      </w:r>
      <w:r w:rsidR="00002BA6" w:rsidRPr="00B04DC3">
        <w:rPr>
          <w:lang w:val="en-GB"/>
        </w:rPr>
        <w:t xml:space="preserve"> </w:t>
      </w:r>
      <w:r w:rsidR="00002BA6" w:rsidRPr="00B04DC3">
        <w:rPr>
          <w:lang w:val="en-GB" w:eastAsia="ja-JP"/>
        </w:rPr>
        <w:t xml:space="preserve">the gaseous exhaust components that include carbon. </w:t>
      </w:r>
      <w:r w:rsidR="00002BA6" w:rsidRPr="00B04DC3">
        <w:rPr>
          <w:lang w:val="en-GB"/>
        </w:rPr>
        <w:t xml:space="preserve">The calculation of the instantaneous exhaust gas </w:t>
      </w:r>
      <w:r w:rsidR="00002BA6" w:rsidRPr="00B04DC3">
        <w:rPr>
          <w:lang w:val="en-GB" w:eastAsia="ja-JP"/>
        </w:rPr>
        <w:t xml:space="preserve">mass </w:t>
      </w:r>
      <w:r w:rsidR="00002BA6" w:rsidRPr="00B04DC3">
        <w:rPr>
          <w:lang w:val="en-GB"/>
        </w:rPr>
        <w:t>flow is as follows:</w:t>
      </w:r>
    </w:p>
    <w:p w:rsidR="00002BA6" w:rsidRPr="007548B0" w:rsidRDefault="00002BA6" w:rsidP="00002BA6">
      <w:pPr>
        <w:pStyle w:val="para"/>
        <w:tabs>
          <w:tab w:val="right" w:pos="8500"/>
        </w:tabs>
        <w:rPr>
          <w:position w:val="40"/>
          <w:lang w:val="en-GB" w:eastAsia="ja-JP"/>
        </w:rPr>
      </w:pPr>
      <w:r w:rsidRPr="00B04DC3">
        <w:rPr>
          <w:b/>
          <w:lang w:val="en-GB"/>
        </w:rPr>
        <w:tab/>
      </w:r>
      <w:r w:rsidR="00A905B7">
        <w:rPr>
          <w:b/>
          <w:lang w:val="en-GB"/>
        </w:rPr>
      </w:r>
      <w:r w:rsidR="00A905B7">
        <w:rPr>
          <w:b/>
          <w:lang w:val="en-GB"/>
        </w:rPr>
        <w:pict>
          <v:group id="_x0000_s4300" editas="canvas" style="width:287.6pt;height:40.35pt;mso-position-horizontal-relative:char;mso-position-vertical-relative:line" coordsize="5752,807">
            <o:lock v:ext="edit" aspectratio="t"/>
            <v:shape id="_x0000_s4301" type="#_x0000_t75" style="position:absolute;width:5752;height:807" o:preferrelative="f">
              <v:fill o:detectmouseclick="t"/>
              <v:path o:extrusionok="t" o:connecttype="none"/>
              <o:lock v:ext="edit" text="t"/>
            </v:shape>
            <v:rect id="_x0000_s4302" style="position:absolute;left:1462;top:307;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rect id="_x0000_s4303" style="position:absolute;left:3697;top:307;width:107;height:392;mso-wrap-style:none" filled="f" stroked="f">
              <v:textbox style="mso-fit-shape-to-text:t" inset="0,0,0,0">
                <w:txbxContent>
                  <w:p w:rsidR="00A905B7" w:rsidRDefault="00A905B7">
                    <w:r>
                      <w:rPr>
                        <w:rFonts w:ascii="Symbol" w:hAnsi="Symbol" w:cs="Symbol"/>
                        <w:color w:val="000000"/>
                        <w:sz w:val="32"/>
                        <w:szCs w:val="32"/>
                      </w:rPr>
                      <w:t></w:t>
                    </w:r>
                  </w:p>
                </w:txbxContent>
              </v:textbox>
            </v:rect>
            <v:line id="_x0000_s4304" style="position:absolute" from="1450,380" to="4166,380" strokeweight=".5pt"/>
            <v:line id="_x0000_s4305" style="position:absolute" from="4606,380" to="5085,380" strokeweight=".5pt"/>
            <v:rect id="_x0000_s4306" style="position:absolute;left:5516;top:29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07" style="position:absolute;left:5516;top:18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08" style="position:absolute;left:5516;top:44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09" style="position:absolute;left:5516;top:3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0" style="position:absolute;left:1326;top:29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1" style="position:absolute;left:1326;top:18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2" style="position:absolute;left:1326;top:44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3" style="position:absolute;left:1326;top:3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4" style="position:absolute;left:5246;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5" style="position:absolute;left:5115;top:21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6" style="position:absolute;left:5115;top:41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7" style="position:absolute;left:5115;top:6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8" style="position:absolute;left:4194;top:21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19" style="position:absolute;left:4194;top:41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0" style="position:absolute;left:4194;top:6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1" style="position:absolute;left:4426;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2" style="position:absolute;left:3812;top:38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3" style="position:absolute;left:3314;top:38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4" style="position:absolute;left:2849;top:38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5" style="position:absolute;left:2189;top:38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6" style="position:absolute;left:2833;top: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7" style="position:absolute;left:1169;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8" style="position:absolute;left:582;top:1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29" style="position:absolute;left:5396;top:226;width:101;height:240;mso-wrap-style:none" filled="f" stroked="f">
              <v:textbox style="mso-fit-shape-to-text:t" inset="0,0,0,0">
                <w:txbxContent>
                  <w:p w:rsidR="00A905B7" w:rsidRDefault="00A905B7">
                    <w:r>
                      <w:rPr>
                        <w:color w:val="000000"/>
                        <w:szCs w:val="24"/>
                      </w:rPr>
                      <w:t>1</w:t>
                    </w:r>
                  </w:p>
                </w:txbxContent>
              </v:textbox>
            </v:rect>
            <v:rect id="_x0000_s4330" style="position:absolute;left:4596;top:413;width:451;height:240;mso-wrap-style:none" filled="f" stroked="f">
              <v:textbox style="mso-fit-shape-to-text:t" inset="0,0,0,0">
                <w:txbxContent>
                  <w:p w:rsidR="00A905B7" w:rsidRDefault="00A905B7">
                    <w:r>
                      <w:rPr>
                        <w:color w:val="000000"/>
                        <w:szCs w:val="24"/>
                      </w:rPr>
                      <w:t>1,000</w:t>
                    </w:r>
                  </w:p>
                </w:txbxContent>
              </v:textbox>
            </v:rect>
            <v:rect id="_x0000_s4331" style="position:absolute;left:4288;top:226;width:101;height:240;mso-wrap-style:none" filled="f" stroked="f">
              <v:textbox style="mso-fit-shape-to-text:t" inset="0,0,0,0">
                <w:txbxContent>
                  <w:p w:rsidR="00A905B7" w:rsidRDefault="00A905B7">
                    <w:r>
                      <w:rPr>
                        <w:color w:val="000000"/>
                        <w:szCs w:val="24"/>
                      </w:rPr>
                      <w:t>1</w:t>
                    </w:r>
                  </w:p>
                </w:txbxContent>
              </v:textbox>
            </v:rect>
            <v:rect id="_x0000_s4332" style="position:absolute;left:1691;top:413;width:401;height:240;mso-wrap-style:none" filled="f" stroked="f">
              <v:textbox style="mso-fit-shape-to-text:t" inset="0,0,0,0">
                <w:txbxContent>
                  <w:p w:rsidR="00A905B7" w:rsidRDefault="00A905B7">
                    <w:r>
                      <w:rPr>
                        <w:color w:val="000000"/>
                        <w:szCs w:val="24"/>
                      </w:rPr>
                      <w:t>0828</w:t>
                    </w:r>
                  </w:p>
                </w:txbxContent>
              </v:textbox>
            </v:rect>
            <v:rect id="_x0000_s4333" style="position:absolute;left:1631;top:413;width:51;height:240;mso-wrap-style:none" filled="f" stroked="f">
              <v:textbox style="mso-fit-shape-to-text:t" inset="0,0,0,0">
                <w:txbxContent>
                  <w:p w:rsidR="00A905B7" w:rsidRDefault="00A905B7">
                    <w:r>
                      <w:rPr>
                        <w:color w:val="000000"/>
                        <w:szCs w:val="24"/>
                      </w:rPr>
                      <w:t>.</w:t>
                    </w:r>
                  </w:p>
                </w:txbxContent>
              </v:textbox>
            </v:rect>
            <v:rect id="_x0000_s4334" style="position:absolute;left:1511;top:413;width:101;height:240;mso-wrap-style:none" filled="f" stroked="f">
              <v:textbox style="mso-fit-shape-to-text:t" inset="0,0,0,0">
                <w:txbxContent>
                  <w:p w:rsidR="00A905B7" w:rsidRDefault="00A905B7">
                    <w:r>
                      <w:rPr>
                        <w:color w:val="000000"/>
                        <w:szCs w:val="24"/>
                      </w:rPr>
                      <w:t>1</w:t>
                    </w:r>
                  </w:p>
                </w:txbxContent>
              </v:textbox>
            </v:rect>
            <v:rect id="_x0000_s4335" style="position:absolute;left:3151;top:74;width:101;height:240;mso-wrap-style:none" filled="f" stroked="f">
              <v:textbox style="mso-fit-shape-to-text:t" inset="0,0,0,0">
                <w:txbxContent>
                  <w:p w:rsidR="00A905B7" w:rsidRDefault="00A905B7">
                    <w:r>
                      <w:rPr>
                        <w:color w:val="000000"/>
                        <w:szCs w:val="24"/>
                      </w:rPr>
                      <w:t>4</w:t>
                    </w:r>
                  </w:p>
                </w:txbxContent>
              </v:textbox>
            </v:rect>
            <v:rect id="_x0000_s4336" style="position:absolute;left:3091;top:74;width:51;height:240;mso-wrap-style:none" filled="f" stroked="f">
              <v:textbox style="mso-fit-shape-to-text:t" inset="0,0,0,0">
                <w:txbxContent>
                  <w:p w:rsidR="00A905B7" w:rsidRDefault="00A905B7">
                    <w:r>
                      <w:rPr>
                        <w:color w:val="000000"/>
                        <w:szCs w:val="24"/>
                      </w:rPr>
                      <w:t>.</w:t>
                    </w:r>
                  </w:p>
                </w:txbxContent>
              </v:textbox>
            </v:rect>
            <v:rect id="_x0000_s4337" style="position:absolute;left:2971;top:74;width:101;height:240;mso-wrap-style:none" filled="f" stroked="f">
              <v:textbox style="mso-fit-shape-to-text:t" inset="0,0,0,0">
                <w:txbxContent>
                  <w:p w:rsidR="00A905B7" w:rsidRDefault="00A905B7">
                    <w:r>
                      <w:rPr>
                        <w:color w:val="000000"/>
                        <w:szCs w:val="24"/>
                      </w:rPr>
                      <w:t>1</w:t>
                    </w:r>
                  </w:p>
                </w:txbxContent>
              </v:textbox>
            </v:rect>
            <v:rect id="_x0000_s4338" style="position:absolute;left:4901;top:130;width:63;height:240;mso-wrap-style:none" filled="f" stroked="f">
              <v:textbox style="mso-fit-shape-to-text:t" inset="0,0,0,0">
                <w:txbxContent>
                  <w:p w:rsidR="00A905B7" w:rsidRDefault="00A905B7">
                    <w:r>
                      <w:rPr>
                        <w:color w:val="000000"/>
                        <w:sz w:val="14"/>
                        <w:szCs w:val="14"/>
                      </w:rPr>
                      <w:t>a</w:t>
                    </w:r>
                  </w:p>
                </w:txbxContent>
              </v:textbox>
            </v:rect>
            <v:rect id="_x0000_s4339" style="position:absolute;left:4063;top:506;width:63;height:240;mso-wrap-style:none" filled="f" stroked="f">
              <v:textbox style="mso-fit-shape-to-text:t" inset="0,0,0,0">
                <w:txbxContent>
                  <w:p w:rsidR="00A905B7" w:rsidRDefault="00A905B7">
                    <w:r>
                      <w:rPr>
                        <w:color w:val="000000"/>
                        <w:sz w:val="14"/>
                        <w:szCs w:val="14"/>
                      </w:rPr>
                      <w:t>c</w:t>
                    </w:r>
                  </w:p>
                </w:txbxContent>
              </v:textbox>
            </v:rect>
            <v:rect id="_x0000_s4340" style="position:absolute;left:3595;top:506;width:63;height:240;mso-wrap-style:none" filled="f" stroked="f">
              <v:textbox style="mso-fit-shape-to-text:t" inset="0,0,0,0">
                <w:txbxContent>
                  <w:p w:rsidR="00A905B7" w:rsidRDefault="00A905B7">
                    <w:r>
                      <w:rPr>
                        <w:color w:val="000000"/>
                        <w:sz w:val="14"/>
                        <w:szCs w:val="14"/>
                      </w:rPr>
                      <w:t>c</w:t>
                    </w:r>
                  </w:p>
                </w:txbxContent>
              </v:textbox>
            </v:rect>
            <v:rect id="_x0000_s4341" style="position:absolute;left:3141;top:506;width:117;height:240;mso-wrap-style:none" filled="f" stroked="f">
              <v:textbox style="mso-fit-shape-to-text:t" inset="0,0,0,0">
                <w:txbxContent>
                  <w:p w:rsidR="00A905B7" w:rsidRDefault="00A905B7">
                    <w:r>
                      <w:rPr>
                        <w:color w:val="000000"/>
                        <w:sz w:val="14"/>
                        <w:szCs w:val="14"/>
                      </w:rPr>
                      <w:t>fd</w:t>
                    </w:r>
                  </w:p>
                </w:txbxContent>
              </v:textbox>
            </v:rect>
            <v:rect id="_x0000_s4342" style="position:absolute;left:2514;top:484;width:265;height:240;mso-wrap-style:none" filled="f" stroked="f">
              <v:textbox style="mso-fit-shape-to-text:t" inset="0,0,0,0">
                <w:txbxContent>
                  <w:p w:rsidR="00A905B7" w:rsidRDefault="00A905B7">
                    <w:r>
                      <w:rPr>
                        <w:color w:val="000000"/>
                        <w:sz w:val="14"/>
                        <w:szCs w:val="14"/>
                      </w:rPr>
                      <w:t>BET</w:t>
                    </w:r>
                  </w:p>
                </w:txbxContent>
              </v:textbox>
            </v:rect>
            <v:rect id="_x0000_s4344" style="position:absolute;left:2513;top:142;width:265;height:240;mso-wrap-style:none" filled="f" stroked="f">
              <v:textbox style="mso-fit-shape-to-text:t" inset="0,0,0,0">
                <w:txbxContent>
                  <w:p w:rsidR="00A905B7" w:rsidRDefault="00A905B7">
                    <w:r>
                      <w:rPr>
                        <w:color w:val="000000"/>
                        <w:sz w:val="14"/>
                        <w:szCs w:val="14"/>
                      </w:rPr>
                      <w:t>BET</w:t>
                    </w:r>
                  </w:p>
                </w:txbxContent>
              </v:textbox>
            </v:rect>
            <v:rect id="_x0000_s4345" style="position:absolute;left:994;top:374;width:121;height:240;mso-wrap-style:none" filled="f" stroked="f">
              <v:textbox style="mso-fit-shape-to-text:t" inset="0,0,0,0">
                <w:txbxContent>
                  <w:p w:rsidR="00A905B7" w:rsidRDefault="00A905B7">
                    <w:r>
                      <w:rPr>
                        <w:color w:val="000000"/>
                        <w:sz w:val="14"/>
                        <w:szCs w:val="14"/>
                      </w:rPr>
                      <w:t>f,i</w:t>
                    </w:r>
                  </w:p>
                </w:txbxContent>
              </v:textbox>
            </v:rect>
            <v:rect id="_x0000_s4346" style="position:absolute;left:263;top:374;width:238;height:240;mso-wrap-style:none" filled="f" stroked="f">
              <v:textbox style="mso-fit-shape-to-text:t" inset="0,0,0,0">
                <w:txbxContent>
                  <w:p w:rsidR="00A905B7" w:rsidRDefault="00A905B7">
                    <w:r>
                      <w:rPr>
                        <w:color w:val="000000"/>
                        <w:sz w:val="14"/>
                        <w:szCs w:val="14"/>
                      </w:rPr>
                      <w:t>ew,i</w:t>
                    </w:r>
                  </w:p>
                </w:txbxContent>
              </v:textbox>
            </v:rect>
            <v:rect id="_x0000_s4347" style="position:absolute;left:4705;top:72;width:145;height:240;mso-wrap-style:none" filled="f" stroked="f">
              <v:textbox style="mso-fit-shape-to-text:t" inset="0,0,0,0">
                <w:txbxContent>
                  <w:p w:rsidR="00A905B7" w:rsidRPr="007C4925" w:rsidRDefault="00A905B7">
                    <w:r w:rsidRPr="007C4925">
                      <w:rPr>
                        <w:iCs/>
                        <w:color w:val="000000"/>
                        <w:szCs w:val="24"/>
                      </w:rPr>
                      <w:t>H</w:t>
                    </w:r>
                  </w:p>
                </w:txbxContent>
              </v:textbox>
            </v:rect>
            <v:rect id="_x0000_s4348" style="position:absolute;left:3946;top:413;width:101;height:240;mso-wrap-style:none" filled="f" stroked="f">
              <v:textbox style="mso-fit-shape-to-text:t" inset="0,0,0,0">
                <w:txbxContent>
                  <w:p w:rsidR="00A905B7" w:rsidRPr="007C4925" w:rsidRDefault="00A905B7">
                    <w:r w:rsidRPr="007C4925">
                      <w:rPr>
                        <w:iCs/>
                        <w:color w:val="000000"/>
                        <w:szCs w:val="24"/>
                      </w:rPr>
                      <w:t>k</w:t>
                    </w:r>
                  </w:p>
                </w:txbxContent>
              </v:textbox>
            </v:rect>
            <v:rect id="_x0000_s4349" style="position:absolute;left:3479;top:413;width:101;height:240;mso-wrap-style:none" filled="f" stroked="f">
              <v:textbox style="mso-fit-shape-to-text:t" inset="0,0,0,0">
                <w:txbxContent>
                  <w:p w:rsidR="00A905B7" w:rsidRPr="007C4925" w:rsidRDefault="00A905B7">
                    <w:r w:rsidRPr="007C4925">
                      <w:rPr>
                        <w:iCs/>
                        <w:color w:val="000000"/>
                        <w:szCs w:val="24"/>
                      </w:rPr>
                      <w:t>k</w:t>
                    </w:r>
                  </w:p>
                </w:txbxContent>
              </v:textbox>
            </v:rect>
            <v:rect id="_x0000_s4350" style="position:absolute;left:3025;top:413;width:101;height:240;mso-wrap-style:none" filled="f" stroked="f">
              <v:textbox style="mso-fit-shape-to-text:t" inset="0,0,0,0">
                <w:txbxContent>
                  <w:p w:rsidR="00A905B7" w:rsidRPr="007C4925" w:rsidRDefault="00A905B7">
                    <w:r w:rsidRPr="007C4925">
                      <w:rPr>
                        <w:iCs/>
                        <w:color w:val="000000"/>
                        <w:szCs w:val="24"/>
                      </w:rPr>
                      <w:t>k</w:t>
                    </w:r>
                  </w:p>
                </w:txbxContent>
              </v:textbox>
            </v:rect>
            <v:rect id="_x0000_s4351" style="position:absolute;left:2358;top:413;width:145;height:240;mso-wrap-style:none" filled="f" stroked="f">
              <v:textbox style="mso-fit-shape-to-text:t" inset="0,0,0,0">
                <w:txbxContent>
                  <w:p w:rsidR="00A905B7" w:rsidRPr="007C4925" w:rsidRDefault="00A905B7">
                    <w:r w:rsidRPr="007C4925">
                      <w:rPr>
                        <w:iCs/>
                        <w:color w:val="000000"/>
                        <w:szCs w:val="24"/>
                      </w:rPr>
                      <w:t>w</w:t>
                    </w:r>
                  </w:p>
                </w:txbxContent>
              </v:textbox>
            </v:rect>
            <v:rect id="_x0000_s4353" style="position:absolute;left:768;top:226;width:101;height:240;mso-wrap-style:none" filled="f" stroked="f">
              <v:textbox style="mso-fit-shape-to-text:t" inset="0,0,0,0">
                <w:txbxContent>
                  <w:p w:rsidR="00A905B7" w:rsidRPr="007C4925" w:rsidRDefault="00A905B7">
                    <w:r w:rsidRPr="007C4925">
                      <w:rPr>
                        <w:iCs/>
                        <w:color w:val="000000"/>
                        <w:szCs w:val="24"/>
                      </w:rPr>
                      <w:t>q</w:t>
                    </w:r>
                  </w:p>
                </w:txbxContent>
              </v:textbox>
            </v:rect>
            <v:rect id="_x0000_s4354" style="position:absolute;left:36;top:226;width:101;height:240;mso-wrap-style:none" filled="f" stroked="f">
              <v:textbox style="mso-fit-shape-to-text:t" inset="0,0,0,0">
                <w:txbxContent>
                  <w:p w:rsidR="00A905B7" w:rsidRPr="007C4925" w:rsidRDefault="00A905B7">
                    <w:r w:rsidRPr="007C4925">
                      <w:rPr>
                        <w:iCs/>
                        <w:color w:val="000000"/>
                        <w:szCs w:val="24"/>
                      </w:rPr>
                      <w:t>q</w:t>
                    </w:r>
                  </w:p>
                </w:txbxContent>
              </v:textbox>
            </v:rect>
            <v:rect id="_x0000_s4355" style="position:absolute;left:894;top:375;width:109;height:240;mso-wrap-style:none" filled="f" stroked="f">
              <v:textbox style="mso-fit-shape-to-text:t" inset="0,0,0,0">
                <w:txbxContent>
                  <w:p w:rsidR="00A905B7" w:rsidRPr="007C4925" w:rsidRDefault="00A905B7">
                    <w:r w:rsidRPr="007C4925">
                      <w:rPr>
                        <w:iCs/>
                        <w:color w:val="000000"/>
                        <w:sz w:val="14"/>
                        <w:szCs w:val="14"/>
                      </w:rPr>
                      <w:t>m</w:t>
                    </w:r>
                  </w:p>
                </w:txbxContent>
              </v:textbox>
            </v:rect>
            <v:rect id="_x0000_s4356" style="position:absolute;left:163;top:375;width:109;height:240;mso-wrap-style:none" filled="f" stroked="f">
              <v:textbox style="mso-fit-shape-to-text:t" inset="0,0,0,0">
                <w:txbxContent>
                  <w:p w:rsidR="00A905B7" w:rsidRPr="007C4925" w:rsidRDefault="00A905B7">
                    <w:r w:rsidRPr="007C4925">
                      <w:rPr>
                        <w:iCs/>
                        <w:color w:val="000000"/>
                        <w:sz w:val="14"/>
                        <w:szCs w:val="14"/>
                      </w:rPr>
                      <w:t>m</w:t>
                    </w:r>
                  </w:p>
                </w:txbxContent>
              </v:textbox>
            </v:rect>
            <w10:wrap type="none"/>
            <w10:anchorlock/>
          </v:group>
        </w:pict>
      </w:r>
      <w:r w:rsidRPr="007548B0">
        <w:rPr>
          <w:b/>
          <w:position w:val="40"/>
          <w:lang w:val="en-GB"/>
        </w:rPr>
        <w:tab/>
      </w:r>
      <w:r w:rsidRPr="007548B0">
        <w:rPr>
          <w:position w:val="40"/>
          <w:lang w:val="en-GB" w:eastAsia="ja-JP"/>
        </w:rPr>
        <w:t>(33)</w:t>
      </w:r>
    </w:p>
    <w:p w:rsidR="00002BA6" w:rsidRPr="00B04DC3" w:rsidRDefault="00002BA6" w:rsidP="00002BA6">
      <w:pPr>
        <w:pStyle w:val="para"/>
        <w:rPr>
          <w:lang w:val="en-GB"/>
        </w:rPr>
      </w:pPr>
      <w:r w:rsidRPr="00B04DC3">
        <w:rPr>
          <w:b/>
          <w:lang w:val="en-GB"/>
        </w:rPr>
        <w:tab/>
      </w:r>
      <w:r w:rsidR="00961115">
        <w:rPr>
          <w:lang w:val="en-GB"/>
        </w:rPr>
        <w:t>w</w:t>
      </w:r>
      <w:r w:rsidR="00D06B9E" w:rsidRPr="00B04DC3">
        <w:rPr>
          <w:lang w:val="en-GB"/>
        </w:rPr>
        <w:t>ith</w:t>
      </w:r>
      <w:r w:rsidR="00664E7D">
        <w:rPr>
          <w:lang w:val="en-GB"/>
        </w:rPr>
        <w:t>:</w:t>
      </w:r>
    </w:p>
    <w:p w:rsidR="00002BA6" w:rsidRPr="00961115" w:rsidRDefault="00002BA6" w:rsidP="00002BA6">
      <w:pPr>
        <w:pStyle w:val="para"/>
        <w:tabs>
          <w:tab w:val="right" w:pos="8500"/>
        </w:tabs>
        <w:rPr>
          <w:position w:val="40"/>
          <w:lang w:val="en-GB" w:eastAsia="ja-JP"/>
        </w:rPr>
      </w:pPr>
      <w:r w:rsidRPr="00B04DC3">
        <w:rPr>
          <w:b/>
          <w:lang w:val="en-GB"/>
        </w:rPr>
        <w:tab/>
      </w:r>
      <w:r w:rsidR="00A905B7">
        <w:rPr>
          <w:b/>
          <w:lang w:val="en-GB"/>
        </w:rPr>
      </w:r>
      <w:r w:rsidR="00A905B7">
        <w:rPr>
          <w:b/>
          <w:lang w:val="en-GB"/>
        </w:rPr>
        <w:pict>
          <v:group id="_x0000_s4357" editas="canvas" style="width:229.05pt;height:35.35pt;mso-position-horizontal-relative:char;mso-position-vertical-relative:line" coordsize="4581,707">
            <o:lock v:ext="edit" aspectratio="t"/>
            <v:shape id="_x0000_s4358" type="#_x0000_t75" style="position:absolute;width:4581;height:707" o:preferrelative="f">
              <v:fill o:detectmouseclick="t"/>
              <v:path o:extrusionok="t" o:connecttype="none"/>
              <o:lock v:ext="edit" text="t"/>
            </v:shape>
            <v:rect id="_x0000_s4359" style="position:absolute;left:488;top:1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4360" style="position:absolute;left:1836;top:1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line id="_x0000_s4361" style="position:absolute" from="2943,320" to="3602,320" strokeweight=".5pt"/>
            <v:line id="_x0000_s4362" style="position:absolute" from="3835,320" to="4490,320" strokeweight=".5pt"/>
            <v:rect id="_x0000_s4363" style="position:absolute;left:4125;top:353;width:301;height:240;mso-wrap-style:none" filled="f" stroked="f">
              <v:textbox style="mso-fit-shape-to-text:t" inset="0,0,0,0">
                <w:txbxContent>
                  <w:p w:rsidR="00A905B7" w:rsidRDefault="00A905B7">
                    <w:r>
                      <w:rPr>
                        <w:color w:val="000000"/>
                        <w:szCs w:val="24"/>
                      </w:rPr>
                      <w:t>355</w:t>
                    </w:r>
                  </w:p>
                </w:txbxContent>
              </v:textbox>
            </v:rect>
            <v:rect id="_x0000_s4364" style="position:absolute;left:4065;top:353;width:51;height:240;mso-wrap-style:none" filled="f" stroked="f">
              <v:textbox style="mso-fit-shape-to-text:t" inset="0,0,0,0">
                <w:txbxContent>
                  <w:p w:rsidR="00A905B7" w:rsidRDefault="00A905B7">
                    <w:r>
                      <w:rPr>
                        <w:color w:val="000000"/>
                        <w:szCs w:val="24"/>
                      </w:rPr>
                      <w:t>.</w:t>
                    </w:r>
                  </w:p>
                </w:txbxContent>
              </v:textbox>
            </v:rect>
            <v:rect id="_x0000_s4365" style="position:absolute;left:3825;top:353;width:201;height:240;mso-wrap-style:none" filled="f" stroked="f">
              <v:textbox style="mso-fit-shape-to-text:t" inset="0,0,0,0">
                <w:txbxContent>
                  <w:p w:rsidR="00A905B7" w:rsidRDefault="00A905B7">
                    <w:r>
                      <w:rPr>
                        <w:color w:val="000000"/>
                        <w:szCs w:val="24"/>
                      </w:rPr>
                      <w:t>17</w:t>
                    </w:r>
                  </w:p>
                </w:txbxContent>
              </v:textbox>
            </v:rect>
            <v:rect id="_x0000_s4366" style="position:absolute;left:3233;top:353;width:301;height:240;mso-wrap-style:none" filled="f" stroked="f">
              <v:textbox style="mso-fit-shape-to-text:t" inset="0,0,0,0">
                <w:txbxContent>
                  <w:p w:rsidR="00A905B7" w:rsidRDefault="00A905B7">
                    <w:r>
                      <w:rPr>
                        <w:color w:val="000000"/>
                        <w:szCs w:val="24"/>
                      </w:rPr>
                      <w:t>522</w:t>
                    </w:r>
                  </w:p>
                </w:txbxContent>
              </v:textbox>
            </v:rect>
            <v:rect id="_x0000_s4367" style="position:absolute;left:3173;top:353;width:51;height:240;mso-wrap-style:none" filled="f" stroked="f">
              <v:textbox style="mso-fit-shape-to-text:t" inset="0,0,0,0">
                <w:txbxContent>
                  <w:p w:rsidR="00A905B7" w:rsidRDefault="00A905B7">
                    <w:r>
                      <w:rPr>
                        <w:color w:val="000000"/>
                        <w:szCs w:val="24"/>
                      </w:rPr>
                      <w:t>.</w:t>
                    </w:r>
                  </w:p>
                </w:txbxContent>
              </v:textbox>
            </v:rect>
            <v:rect id="_x0000_s4368" style="position:absolute;left:2933;top:353;width:201;height:240;mso-wrap-style:none" filled="f" stroked="f">
              <v:textbox style="mso-fit-shape-to-text:t" inset="0,0,0,0">
                <w:txbxContent>
                  <w:p w:rsidR="00A905B7" w:rsidRDefault="00A905B7">
                    <w:r>
                      <w:rPr>
                        <w:color w:val="000000"/>
                        <w:szCs w:val="24"/>
                      </w:rPr>
                      <w:t>18</w:t>
                    </w:r>
                  </w:p>
                </w:txbxContent>
              </v:textbox>
            </v:rect>
            <v:rect id="_x0000_s4369" style="position:absolute;left:2260;top:166;width:401;height:240;mso-wrap-style:none" filled="f" stroked="f">
              <v:textbox style="mso-fit-shape-to-text:t" inset="0,0,0,0">
                <w:txbxContent>
                  <w:p w:rsidR="00A905B7" w:rsidRDefault="00A905B7">
                    <w:r>
                      <w:rPr>
                        <w:color w:val="000000"/>
                        <w:szCs w:val="24"/>
                      </w:rPr>
                      <w:t>5441</w:t>
                    </w:r>
                  </w:p>
                </w:txbxContent>
              </v:textbox>
            </v:rect>
            <v:rect id="_x0000_s4370" style="position:absolute;left:2200;top:166;width:51;height:240;mso-wrap-style:none" filled="f" stroked="f">
              <v:textbox style="mso-fit-shape-to-text:t" inset="0,0,0,0">
                <w:txbxContent>
                  <w:p w:rsidR="00A905B7" w:rsidRDefault="00A905B7">
                    <w:r>
                      <w:rPr>
                        <w:color w:val="000000"/>
                        <w:szCs w:val="24"/>
                      </w:rPr>
                      <w:t>.</w:t>
                    </w:r>
                  </w:p>
                </w:txbxContent>
              </v:textbox>
            </v:rect>
            <v:rect id="_x0000_s4371" style="position:absolute;left:2080;top:166;width:101;height:240;mso-wrap-style:none" filled="f" stroked="f">
              <v:textbox style="mso-fit-shape-to-text:t" inset="0,0,0,0">
                <w:txbxContent>
                  <w:p w:rsidR="00A905B7" w:rsidRDefault="00A905B7">
                    <w:r>
                      <w:rPr>
                        <w:color w:val="000000"/>
                        <w:szCs w:val="24"/>
                      </w:rPr>
                      <w:t>0</w:t>
                    </w:r>
                  </w:p>
                </w:txbxContent>
              </v:textbox>
            </v:rect>
            <v:rect id="_x0000_s4372" style="position:absolute;left:4053;top:88;width:296;height:240;mso-wrap-style:none" filled="f" stroked="f">
              <v:textbox style="mso-fit-shape-to-text:t" inset="0,0,0,0">
                <w:txbxContent>
                  <w:p w:rsidR="00A905B7" w:rsidRDefault="00A905B7">
                    <w:r>
                      <w:rPr>
                        <w:color w:val="000000"/>
                        <w:sz w:val="14"/>
                        <w:szCs w:val="14"/>
                      </w:rPr>
                      <w:t>HCw</w:t>
                    </w:r>
                  </w:p>
                </w:txbxContent>
              </v:textbox>
            </v:rect>
            <v:rect id="_x0000_s4373" style="position:absolute;left:3179;top:88;width:265;height:240;mso-wrap-style:none" filled="f" stroked="f">
              <v:textbox style="mso-fit-shape-to-text:t" inset="0,0,0,0">
                <w:txbxContent>
                  <w:p w:rsidR="00A905B7" w:rsidRDefault="00A905B7">
                    <w:r>
                      <w:rPr>
                        <w:color w:val="000000"/>
                        <w:sz w:val="14"/>
                        <w:szCs w:val="14"/>
                      </w:rPr>
                      <w:t>COd</w:t>
                    </w:r>
                  </w:p>
                </w:txbxContent>
              </v:textbox>
            </v:rect>
            <v:rect id="_x0000_s4374" style="position:absolute;left:1726;top:259;width:63;height:240;mso-wrap-style:none" filled="f" stroked="f">
              <v:textbox style="mso-fit-shape-to-text:t" inset="0,0,0,0">
                <w:txbxContent>
                  <w:p w:rsidR="00A905B7" w:rsidRDefault="00A905B7">
                    <w:r>
                      <w:rPr>
                        <w:color w:val="000000"/>
                        <w:sz w:val="14"/>
                        <w:szCs w:val="14"/>
                      </w:rPr>
                      <w:t>a</w:t>
                    </w:r>
                  </w:p>
                </w:txbxContent>
              </v:textbox>
            </v:rect>
            <v:rect id="_x0000_s4375" style="position:absolute;left:1354;top:259;width:370;height:240;mso-wrap-style:none" filled="f" stroked="f">
              <v:textbox style="mso-fit-shape-to-text:t" inset="0,0,0,0">
                <w:txbxContent>
                  <w:p w:rsidR="00A905B7" w:rsidRDefault="00A905B7">
                    <w:r>
                      <w:rPr>
                        <w:color w:val="000000"/>
                        <w:sz w:val="14"/>
                        <w:szCs w:val="14"/>
                      </w:rPr>
                      <w:t>CO2d,</w:t>
                    </w:r>
                  </w:p>
                </w:txbxContent>
              </v:textbox>
            </v:rect>
            <v:rect id="_x0000_s4376" style="position:absolute;left:663;top:259;width:335;height:240;mso-wrap-style:none" filled="f" stroked="f">
              <v:textbox style="mso-fit-shape-to-text:t" inset="0,0,0,0">
                <w:txbxContent>
                  <w:p w:rsidR="00A905B7" w:rsidRDefault="00A905B7">
                    <w:r>
                      <w:rPr>
                        <w:color w:val="000000"/>
                        <w:sz w:val="14"/>
                        <w:szCs w:val="14"/>
                      </w:rPr>
                      <w:t>CO2d</w:t>
                    </w:r>
                  </w:p>
                </w:txbxContent>
              </v:textbox>
            </v:rect>
            <v:rect id="_x0000_s4377" style="position:absolute;left:154;top:259;width:63;height:240;mso-wrap-style:none" filled="f" stroked="f">
              <v:textbox style="mso-fit-shape-to-text:t" inset="0,0,0,0">
                <w:txbxContent>
                  <w:p w:rsidR="00A905B7" w:rsidRDefault="00A905B7">
                    <w:r>
                      <w:rPr>
                        <w:color w:val="000000"/>
                        <w:sz w:val="14"/>
                        <w:szCs w:val="14"/>
                      </w:rPr>
                      <w:t>c</w:t>
                    </w:r>
                  </w:p>
                </w:txbxContent>
              </v:textbox>
            </v:rect>
            <v:rect id="_x0000_s4378" style="position:absolute;left:3940;top:10;width:89;height:240;mso-wrap-style:none" filled="f" stroked="f">
              <v:textbox style="mso-fit-shape-to-text:t" inset="0,0,0,0">
                <w:txbxContent>
                  <w:p w:rsidR="00A905B7" w:rsidRPr="007C4925" w:rsidRDefault="00A905B7">
                    <w:r w:rsidRPr="007C4925">
                      <w:rPr>
                        <w:iCs/>
                        <w:color w:val="000000"/>
                        <w:szCs w:val="24"/>
                      </w:rPr>
                      <w:t>c</w:t>
                    </w:r>
                  </w:p>
                </w:txbxContent>
              </v:textbox>
            </v:rect>
            <v:rect id="_x0000_s4379" style="position:absolute;left:3060;width:89;height:240;mso-wrap-style:none" filled="f" stroked="f">
              <v:textbox style="mso-fit-shape-to-text:t" inset="0,0,0,0">
                <w:txbxContent>
                  <w:p w:rsidR="00A905B7" w:rsidRPr="007C4925" w:rsidRDefault="00A905B7">
                    <w:r w:rsidRPr="007C4925">
                      <w:rPr>
                        <w:iCs/>
                        <w:color w:val="000000"/>
                        <w:szCs w:val="24"/>
                      </w:rPr>
                      <w:t>c</w:t>
                    </w:r>
                  </w:p>
                </w:txbxContent>
              </v:textbox>
            </v:rect>
            <v:rect id="_x0000_s4380" style="position:absolute;left:1244;top:166;width:89;height:240;mso-wrap-style:none" filled="f" stroked="f">
              <v:textbox style="mso-fit-shape-to-text:t" inset="0,0,0,0">
                <w:txbxContent>
                  <w:p w:rsidR="00A905B7" w:rsidRPr="007C4925" w:rsidRDefault="00A905B7">
                    <w:r w:rsidRPr="007C4925">
                      <w:rPr>
                        <w:iCs/>
                        <w:color w:val="000000"/>
                        <w:szCs w:val="24"/>
                      </w:rPr>
                      <w:t>c</w:t>
                    </w:r>
                  </w:p>
                </w:txbxContent>
              </v:textbox>
            </v:rect>
            <v:rect id="_x0000_s4381" style="position:absolute;left:552;top:166;width:139;height:240;mso-wrap-style:none" filled="f" stroked="f">
              <v:textbox style="mso-fit-shape-to-text:t" inset="0,0,0,0">
                <w:txbxContent>
                  <w:p w:rsidR="00A905B7" w:rsidRPr="007C4925" w:rsidRDefault="00A905B7">
                    <w:r>
                      <w:rPr>
                        <w:iCs/>
                        <w:color w:val="000000"/>
                        <w:szCs w:val="24"/>
                      </w:rPr>
                      <w:t xml:space="preserve"> </w:t>
                    </w:r>
                    <w:r w:rsidRPr="007C4925">
                      <w:rPr>
                        <w:iCs/>
                        <w:color w:val="000000"/>
                        <w:szCs w:val="24"/>
                      </w:rPr>
                      <w:t>c</w:t>
                    </w:r>
                  </w:p>
                </w:txbxContent>
              </v:textbox>
            </v:rect>
            <v:rect id="_x0000_s4382" style="position:absolute;left:36;top:166;width:101;height:240;mso-wrap-style:none" filled="f" stroked="f">
              <v:textbox style="mso-fit-shape-to-text:t" inset="0,0,0,0">
                <w:txbxContent>
                  <w:p w:rsidR="00A905B7" w:rsidRPr="007C4925" w:rsidRDefault="00A905B7">
                    <w:r w:rsidRPr="007C4925">
                      <w:rPr>
                        <w:iCs/>
                        <w:color w:val="000000"/>
                        <w:szCs w:val="24"/>
                      </w:rPr>
                      <w:t>k</w:t>
                    </w:r>
                  </w:p>
                </w:txbxContent>
              </v:textbox>
            </v:rect>
            <v:rect id="_x0000_s4383" style="position:absolute;left:3653;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84" style="position:absolute;left:2761;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85" style="position:absolute;left:1861;top:166;width:295;height:374" filled="f" stroked="f">
              <v:textbox inset="0,0,0,0">
                <w:txbxContent>
                  <w:p w:rsidR="00A905B7" w:rsidRDefault="00A905B7">
                    <w:r>
                      <w:rPr>
                        <w:rFonts w:ascii="Symbol" w:hAnsi="Symbol" w:cs="Symbol"/>
                        <w:color w:val="000000"/>
                        <w:szCs w:val="24"/>
                      </w:rPr>
                      <w:t></w:t>
                    </w:r>
                    <w:r>
                      <w:rPr>
                        <w:rFonts w:ascii="Symbol" w:hAnsi="Symbol" w:cs="Symbol"/>
                        <w:color w:val="000000"/>
                        <w:szCs w:val="24"/>
                      </w:rPr>
                      <w:t></w:t>
                    </w:r>
                    <w:r>
                      <w:rPr>
                        <w:rFonts w:ascii="Symbol" w:hAnsi="Symbol" w:cs="Symbol"/>
                        <w:color w:val="000000"/>
                        <w:szCs w:val="24"/>
                      </w:rPr>
                      <w:t></w:t>
                    </w:r>
                    <w:r>
                      <w:rPr>
                        <w:rFonts w:ascii="Symbol" w:hAnsi="Symbol" w:cs="Symbol"/>
                        <w:color w:val="000000"/>
                        <w:szCs w:val="24"/>
                      </w:rPr>
                      <w:t></w:t>
                    </w:r>
                    <w:r>
                      <w:rPr>
                        <w:rFonts w:ascii="Symbol" w:hAnsi="Symbol" w:cs="Symbol"/>
                        <w:color w:val="000000"/>
                        <w:szCs w:val="24"/>
                      </w:rPr>
                      <w:t></w:t>
                    </w:r>
                    <w:r>
                      <w:rPr>
                        <w:rFonts w:ascii="Symbol" w:hAnsi="Symbol" w:cs="Symbol"/>
                        <w:color w:val="000000"/>
                        <w:szCs w:val="24"/>
                      </w:rPr>
                      <w:t></w:t>
                    </w:r>
                  </w:p>
                </w:txbxContent>
              </v:textbox>
            </v:rect>
            <v:rect id="_x0000_s4386" style="position:absolute;left:1073;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387" style="position:absolute;left:304;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Pr="00961115">
        <w:rPr>
          <w:b/>
          <w:position w:val="40"/>
          <w:lang w:val="en-GB"/>
        </w:rPr>
        <w:tab/>
      </w:r>
      <w:r w:rsidRPr="00961115">
        <w:rPr>
          <w:position w:val="40"/>
          <w:lang w:val="en-GB" w:eastAsia="ja-JP"/>
        </w:rPr>
        <w:t>(34)</w:t>
      </w:r>
    </w:p>
    <w:p w:rsidR="00002BA6" w:rsidRPr="00B04DC3" w:rsidRDefault="00002BA6" w:rsidP="00002BA6">
      <w:pPr>
        <w:pStyle w:val="para"/>
        <w:rPr>
          <w:lang w:val="en-GB"/>
        </w:rPr>
      </w:pPr>
      <w:r w:rsidRPr="00B04DC3">
        <w:rPr>
          <w:b/>
          <w:lang w:val="en-GB"/>
        </w:rPr>
        <w:tab/>
      </w:r>
      <w:r w:rsidRPr="00B04DC3">
        <w:rPr>
          <w:lang w:val="en-GB"/>
        </w:rPr>
        <w:t>and</w:t>
      </w:r>
    </w:p>
    <w:p w:rsidR="00002BA6" w:rsidRPr="00B04DC3" w:rsidRDefault="00AC44D8" w:rsidP="00002BA6">
      <w:pPr>
        <w:pStyle w:val="para"/>
        <w:tabs>
          <w:tab w:val="right" w:pos="8500"/>
        </w:tabs>
        <w:ind w:firstLine="0"/>
        <w:rPr>
          <w:lang w:val="en-GB"/>
        </w:rPr>
      </w:pPr>
      <w:r w:rsidRPr="00B04DC3">
        <w:rPr>
          <w:position w:val="-12"/>
          <w:lang w:val="en-GB"/>
        </w:rPr>
        <w:object w:dxaOrig="6259" w:dyaOrig="360">
          <v:shape id="_x0000_i1249" type="#_x0000_t75" style="width:256.2pt;height:14.4pt" o:ole="">
            <v:imagedata r:id="rId378" o:title=""/>
          </v:shape>
          <o:OLEObject Type="Embed" ProgID="Equation.3" ShapeID="_x0000_i1249" DrawAspect="Content" ObjectID="_1498392346" r:id="rId379"/>
        </w:object>
      </w:r>
      <w:r w:rsidR="00002BA6" w:rsidRPr="00B04DC3">
        <w:rPr>
          <w:lang w:val="en-GB"/>
        </w:rPr>
        <w:tab/>
        <w:t>(35)</w:t>
      </w:r>
    </w:p>
    <w:p w:rsidR="00002BA6" w:rsidRPr="00B04DC3" w:rsidRDefault="00002BA6" w:rsidP="00002BA6">
      <w:pPr>
        <w:pStyle w:val="para"/>
        <w:rPr>
          <w:lang w:val="en-GB"/>
        </w:rPr>
      </w:pPr>
      <w:r w:rsidRPr="00B04DC3">
        <w:rPr>
          <w:b/>
          <w:lang w:val="en-GB" w:eastAsia="ja-JP"/>
        </w:rPr>
        <w:tab/>
      </w:r>
      <w:r w:rsidR="00D06B9E" w:rsidRPr="00B04DC3">
        <w:rPr>
          <w:lang w:val="en-GB"/>
        </w:rPr>
        <w:t>Where</w:t>
      </w:r>
      <w:r w:rsidRPr="00B04DC3">
        <w:rPr>
          <w:lang w:val="en-GB"/>
        </w:rPr>
        <w:t>:</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mf,i</w:t>
      </w:r>
      <w:r w:rsidRPr="00B04DC3">
        <w:rPr>
          <w:lang w:val="en-GB"/>
        </w:rPr>
        <w:tab/>
        <w:t xml:space="preserve">is the instantaneous fuel mass flow rate, kg/s </w:t>
      </w:r>
    </w:p>
    <w:p w:rsidR="00002BA6" w:rsidRPr="00B04DC3" w:rsidRDefault="00002BA6" w:rsidP="00002BA6">
      <w:pPr>
        <w:pStyle w:val="para"/>
        <w:ind w:left="2856" w:hanging="588"/>
        <w:rPr>
          <w:lang w:val="en-GB"/>
        </w:rPr>
      </w:pPr>
      <w:r w:rsidRPr="00B04DC3">
        <w:rPr>
          <w:lang w:val="en-GB"/>
        </w:rPr>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ind w:left="2856" w:hanging="588"/>
        <w:rPr>
          <w:lang w:val="en-GB"/>
        </w:rPr>
      </w:pPr>
      <w:r w:rsidRPr="00B04DC3">
        <w:rPr>
          <w:lang w:val="en-GB"/>
        </w:rPr>
        <w:t>w</w:t>
      </w:r>
      <w:r w:rsidRPr="00B04DC3">
        <w:rPr>
          <w:vertAlign w:val="subscript"/>
          <w:lang w:val="en-GB"/>
        </w:rPr>
        <w:t>BET</w:t>
      </w:r>
      <w:r w:rsidRPr="00B04DC3">
        <w:rPr>
          <w:lang w:val="en-GB"/>
        </w:rPr>
        <w:tab/>
        <w:t>is the carbon content of the fuel, per cent mass</w:t>
      </w:r>
    </w:p>
    <w:p w:rsidR="00002BA6" w:rsidRPr="00B04DC3" w:rsidRDefault="00002BA6" w:rsidP="00002BA6">
      <w:pPr>
        <w:pStyle w:val="para"/>
        <w:ind w:left="2856" w:hanging="588"/>
        <w:rPr>
          <w:lang w:val="en-GB"/>
        </w:rPr>
      </w:pPr>
      <w:r w:rsidRPr="00B04DC3">
        <w:rPr>
          <w:lang w:val="en-GB"/>
        </w:rPr>
        <w:t>w</w:t>
      </w:r>
      <w:r w:rsidRPr="00B04DC3">
        <w:rPr>
          <w:vertAlign w:val="subscript"/>
          <w:lang w:val="en-GB"/>
        </w:rPr>
        <w:t>ALF</w:t>
      </w:r>
      <w:r w:rsidRPr="00B04DC3">
        <w:rPr>
          <w:lang w:val="en-GB"/>
        </w:rPr>
        <w:tab/>
        <w:t>is the hydrogen content of the fuel, per cent mass</w:t>
      </w:r>
    </w:p>
    <w:p w:rsidR="00002BA6" w:rsidRPr="00B04DC3" w:rsidRDefault="00002BA6" w:rsidP="00002BA6">
      <w:pPr>
        <w:pStyle w:val="para"/>
        <w:ind w:left="2856" w:hanging="588"/>
        <w:rPr>
          <w:lang w:val="en-GB"/>
        </w:rPr>
      </w:pPr>
      <w:r w:rsidRPr="00B04DC3">
        <w:rPr>
          <w:lang w:val="en-GB"/>
        </w:rPr>
        <w:t>w</w:t>
      </w:r>
      <w:r w:rsidRPr="00B04DC3">
        <w:rPr>
          <w:vertAlign w:val="subscript"/>
          <w:lang w:val="en-GB"/>
        </w:rPr>
        <w:t>DEL</w:t>
      </w:r>
      <w:r w:rsidRPr="00B04DC3">
        <w:rPr>
          <w:lang w:val="en-GB"/>
        </w:rPr>
        <w:tab/>
        <w:t>is the nitrogen content of the fuel, per cent mass</w:t>
      </w:r>
    </w:p>
    <w:p w:rsidR="00002BA6" w:rsidRPr="00B04DC3" w:rsidRDefault="00002BA6" w:rsidP="00002BA6">
      <w:pPr>
        <w:pStyle w:val="para"/>
        <w:ind w:left="2856" w:hanging="588"/>
        <w:rPr>
          <w:lang w:val="en-GB"/>
        </w:rPr>
      </w:pPr>
      <w:r w:rsidRPr="00B04DC3">
        <w:rPr>
          <w:lang w:val="en-GB"/>
        </w:rPr>
        <w:t>w</w:t>
      </w:r>
      <w:r w:rsidRPr="00B04DC3">
        <w:rPr>
          <w:vertAlign w:val="subscript"/>
          <w:lang w:val="en-GB"/>
        </w:rPr>
        <w:t>EPS</w:t>
      </w:r>
      <w:r w:rsidRPr="00B04DC3">
        <w:rPr>
          <w:lang w:val="en-GB"/>
        </w:rPr>
        <w:tab/>
        <w:t>is the oxygen content of the fuel, per cent mass</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CO2d</w:t>
      </w:r>
      <w:r w:rsidRPr="00B04DC3">
        <w:rPr>
          <w:lang w:val="en-GB"/>
        </w:rPr>
        <w:tab/>
        <w:t>is the dry CO</w:t>
      </w:r>
      <w:r w:rsidRPr="00B04DC3">
        <w:rPr>
          <w:vertAlign w:val="subscript"/>
          <w:lang w:val="en-GB"/>
        </w:rPr>
        <w:t>2</w:t>
      </w:r>
      <w:r w:rsidRPr="00B04DC3">
        <w:rPr>
          <w:lang w:val="en-GB"/>
        </w:rPr>
        <w:t xml:space="preserve"> concentration, per cent</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CO2d,a</w:t>
      </w:r>
      <w:r w:rsidRPr="00B04DC3">
        <w:rPr>
          <w:lang w:val="en-GB"/>
        </w:rPr>
        <w:tab/>
        <w:t>is the dry CO</w:t>
      </w:r>
      <w:r w:rsidRPr="00B04DC3">
        <w:rPr>
          <w:vertAlign w:val="subscript"/>
          <w:lang w:val="en-GB"/>
        </w:rPr>
        <w:t>2</w:t>
      </w:r>
      <w:r w:rsidRPr="00B04DC3">
        <w:rPr>
          <w:lang w:val="en-GB"/>
        </w:rPr>
        <w:t xml:space="preserve"> concentration of the intake air, per cent</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CO</w:t>
      </w:r>
      <w:r w:rsidRPr="00B04DC3">
        <w:rPr>
          <w:lang w:val="en-GB"/>
        </w:rPr>
        <w:tab/>
        <w:t>is the dry CO concentration, ppm</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HCw</w:t>
      </w:r>
      <w:r w:rsidRPr="00B04DC3">
        <w:rPr>
          <w:lang w:val="en-GB"/>
        </w:rPr>
        <w:tab/>
        <w:t>is the wet HC concentration, ppm</w:t>
      </w:r>
    </w:p>
    <w:p w:rsidR="00002BA6" w:rsidRPr="00B04DC3" w:rsidRDefault="00002BA6" w:rsidP="00961115">
      <w:pPr>
        <w:pStyle w:val="para"/>
        <w:keepNext/>
        <w:keepLines/>
        <w:rPr>
          <w:lang w:val="en-GB" w:eastAsia="ja-JP"/>
        </w:rPr>
      </w:pPr>
      <w:r w:rsidRPr="00B04DC3">
        <w:rPr>
          <w:lang w:val="en-GB" w:eastAsia="ja-JP"/>
        </w:rPr>
        <w:t>8.4.2.</w:t>
      </w:r>
      <w:r w:rsidRPr="00B04DC3">
        <w:rPr>
          <w:lang w:val="en-GB" w:eastAsia="ja-JP"/>
        </w:rPr>
        <w:tab/>
        <w:t>Determination of the gaseous components</w:t>
      </w:r>
    </w:p>
    <w:p w:rsidR="00002BA6" w:rsidRPr="00B04DC3" w:rsidRDefault="00002BA6" w:rsidP="00961115">
      <w:pPr>
        <w:pStyle w:val="para"/>
        <w:keepNext/>
        <w:keepLines/>
        <w:rPr>
          <w:lang w:val="en-GB" w:eastAsia="ja-JP"/>
        </w:rPr>
      </w:pPr>
      <w:r w:rsidRPr="00B04DC3">
        <w:rPr>
          <w:lang w:val="en-GB" w:eastAsia="ja-JP"/>
        </w:rPr>
        <w:t>8.4.2.1.</w:t>
      </w:r>
      <w:r w:rsidRPr="00B04DC3">
        <w:rPr>
          <w:lang w:val="en-GB" w:eastAsia="ja-JP"/>
        </w:rPr>
        <w:tab/>
        <w:t>Introduction</w:t>
      </w:r>
    </w:p>
    <w:p w:rsidR="00AC44D8" w:rsidRPr="00B04DC3" w:rsidRDefault="00002BA6" w:rsidP="00961115">
      <w:pPr>
        <w:pStyle w:val="para"/>
        <w:keepNext/>
        <w:keepLines/>
        <w:rPr>
          <w:lang w:val="en-GB" w:eastAsia="ja-JP"/>
        </w:rPr>
      </w:pPr>
      <w:r w:rsidRPr="00B04DC3">
        <w:rPr>
          <w:lang w:val="en-GB" w:eastAsia="ja-JP"/>
        </w:rPr>
        <w:tab/>
        <w:t>The gaseous components in the raw exhaust gas emitted by the engine submitted for testing shall be measured with the measurement and sampling systems described in paragraph 9.3. and Appendix 3. The data evaluation is described in paragraph 8.4.2.2.</w:t>
      </w:r>
      <w:r w:rsidR="00664E7D">
        <w:rPr>
          <w:lang w:val="en-GB" w:eastAsia="ja-JP"/>
        </w:rPr>
        <w:t xml:space="preserve"> below.</w:t>
      </w:r>
    </w:p>
    <w:p w:rsidR="00002BA6" w:rsidRPr="00B04DC3" w:rsidRDefault="00AC44D8" w:rsidP="00AC44D8">
      <w:pPr>
        <w:pStyle w:val="para"/>
        <w:rPr>
          <w:lang w:val="en-GB" w:eastAsia="ja-JP"/>
        </w:rPr>
      </w:pPr>
      <w:r w:rsidRPr="00B04DC3">
        <w:rPr>
          <w:lang w:val="en-GB" w:eastAsia="ja-JP"/>
        </w:rPr>
        <w:tab/>
      </w:r>
      <w:r w:rsidR="00002BA6" w:rsidRPr="00B04DC3">
        <w:rPr>
          <w:lang w:val="en-GB" w:eastAsia="ja-JP"/>
        </w:rPr>
        <w:t>Two calculation procedures are described in paragraphs 8.4.2.3. and 8.4.2.4.</w:t>
      </w:r>
      <w:r w:rsidR="00664E7D" w:rsidRPr="00664E7D">
        <w:rPr>
          <w:lang w:val="en-GB"/>
        </w:rPr>
        <w:t xml:space="preserve"> </w:t>
      </w:r>
      <w:r w:rsidR="00664E7D">
        <w:rPr>
          <w:lang w:val="en-GB"/>
        </w:rPr>
        <w:t>below</w:t>
      </w:r>
      <w:r w:rsidR="00002BA6" w:rsidRPr="00B04DC3">
        <w:rPr>
          <w:lang w:val="en-GB" w:eastAsia="ja-JP"/>
        </w:rPr>
        <w:t xml:space="preserve">, which are equivalent for the reference fuel of Appendix 2. The procedure in paragraph 8.4.2.3. is more straightforward, since it uses tabulated </w:t>
      </w:r>
      <w:r w:rsidR="00002BA6" w:rsidRPr="00B04DC3">
        <w:rPr>
          <w:i/>
          <w:lang w:val="en-GB" w:eastAsia="ja-JP"/>
        </w:rPr>
        <w:t>u</w:t>
      </w:r>
      <w:r w:rsidR="00002BA6" w:rsidRPr="00B04DC3">
        <w:rPr>
          <w:lang w:val="en-GB" w:eastAsia="ja-JP"/>
        </w:rPr>
        <w:t xml:space="preserve"> values for the ratio between component and exhaust gas density. The procedure in paragraph 8.4.2.4. is more accurate for fuel qualities that deviate from the specifications in</w:t>
      </w:r>
      <w:r w:rsidR="00002BA6" w:rsidRPr="00B04DC3">
        <w:rPr>
          <w:bCs/>
          <w:lang w:val="en-GB" w:eastAsia="ja-JP"/>
        </w:rPr>
        <w:t xml:space="preserve"> </w:t>
      </w:r>
      <w:r w:rsidR="00002BA6" w:rsidRPr="00B04DC3">
        <w:rPr>
          <w:lang w:val="en-GB" w:eastAsia="ja-JP"/>
        </w:rPr>
        <w:t>Appendix 2</w:t>
      </w:r>
      <w:r w:rsidR="00664E7D">
        <w:rPr>
          <w:lang w:val="en-GB" w:eastAsia="ja-JP"/>
        </w:rPr>
        <w:t xml:space="preserve"> to this annex</w:t>
      </w:r>
      <w:r w:rsidR="00002BA6" w:rsidRPr="00B04DC3">
        <w:rPr>
          <w:lang w:val="en-GB" w:eastAsia="ja-JP"/>
        </w:rPr>
        <w:t>, but requires elementary analysis of the fuel composition.</w:t>
      </w:r>
    </w:p>
    <w:p w:rsidR="00002BA6" w:rsidRPr="00B04DC3" w:rsidRDefault="00002BA6" w:rsidP="00002BA6">
      <w:pPr>
        <w:pStyle w:val="para"/>
        <w:rPr>
          <w:lang w:val="en-GB"/>
        </w:rPr>
      </w:pPr>
      <w:r w:rsidRPr="00B04DC3">
        <w:rPr>
          <w:lang w:val="en-GB"/>
        </w:rPr>
        <w:t>8.4.2.2.</w:t>
      </w:r>
      <w:r w:rsidRPr="00B04DC3">
        <w:rPr>
          <w:lang w:val="en-GB"/>
        </w:rPr>
        <w:tab/>
        <w:t>Data evaluation</w:t>
      </w:r>
    </w:p>
    <w:p w:rsidR="00002BA6" w:rsidRPr="00B04DC3" w:rsidRDefault="00002BA6" w:rsidP="00002BA6">
      <w:pPr>
        <w:pStyle w:val="para"/>
        <w:rPr>
          <w:lang w:val="en-GB"/>
        </w:rPr>
      </w:pPr>
      <w:r w:rsidRPr="00B04DC3">
        <w:rPr>
          <w:lang w:val="en-GB"/>
        </w:rPr>
        <w:tab/>
        <w:t>The emission relevant data shall be recorded and stored in accordance with paragraph 7.6.6.</w:t>
      </w:r>
      <w:r w:rsidR="00664E7D" w:rsidRPr="00664E7D">
        <w:rPr>
          <w:lang w:val="en-GB"/>
        </w:rPr>
        <w:t xml:space="preserve"> </w:t>
      </w:r>
      <w:r w:rsidR="00664E7D">
        <w:rPr>
          <w:lang w:val="en-GB"/>
        </w:rPr>
        <w:t>of this annex.</w:t>
      </w:r>
    </w:p>
    <w:p w:rsidR="00002BA6" w:rsidRPr="00B04DC3" w:rsidRDefault="00002BA6" w:rsidP="00002BA6">
      <w:pPr>
        <w:pStyle w:val="para"/>
        <w:rPr>
          <w:lang w:val="en-GB"/>
        </w:rPr>
      </w:pPr>
      <w:r w:rsidRPr="00B04DC3">
        <w:rPr>
          <w:lang w:val="en-GB"/>
        </w:rPr>
        <w:tab/>
        <w:t>For calculation of the mass emission of the gaseous components, the traces of the recorded concentrations and the trace of the exhaust gas mass flow rate shall be time aligned by the transformation time as defined in paragraph 3.1.30.</w:t>
      </w:r>
      <w:r w:rsidR="00664E7D" w:rsidRPr="00664E7D">
        <w:rPr>
          <w:lang w:val="en-GB"/>
        </w:rPr>
        <w:t xml:space="preserve"> </w:t>
      </w:r>
      <w:r w:rsidR="00664E7D">
        <w:rPr>
          <w:lang w:val="en-GB"/>
        </w:rPr>
        <w:t>of this annex.</w:t>
      </w:r>
      <w:r w:rsidRPr="00B04DC3">
        <w:rPr>
          <w:lang w:val="en-GB"/>
        </w:rPr>
        <w:t xml:space="preserve"> Therefore, the response time of each gaseous emissions analyzer and of the exhaust gas mass flow system shall be determined according to paragraphs 8.4.1.2. and 9.3.5.</w:t>
      </w:r>
      <w:r w:rsidR="00664E7D" w:rsidRPr="00664E7D">
        <w:rPr>
          <w:lang w:val="en-GB"/>
        </w:rPr>
        <w:t xml:space="preserve"> </w:t>
      </w:r>
      <w:r w:rsidR="00664E7D">
        <w:rPr>
          <w:lang w:val="en-GB"/>
        </w:rPr>
        <w:t>of this annex</w:t>
      </w:r>
      <w:r w:rsidRPr="00B04DC3">
        <w:rPr>
          <w:lang w:val="en-GB"/>
        </w:rPr>
        <w:t>, respectively, and recorded.</w:t>
      </w:r>
    </w:p>
    <w:p w:rsidR="00002BA6" w:rsidRPr="00B04DC3" w:rsidRDefault="00002BA6" w:rsidP="00002BA6">
      <w:pPr>
        <w:pStyle w:val="para"/>
        <w:rPr>
          <w:lang w:val="en-GB"/>
        </w:rPr>
      </w:pPr>
      <w:r w:rsidRPr="00B04DC3">
        <w:rPr>
          <w:lang w:val="en-GB"/>
        </w:rPr>
        <w:t>8.4.2.3.</w:t>
      </w:r>
      <w:r w:rsidRPr="00B04DC3">
        <w:rPr>
          <w:lang w:val="en-GB"/>
        </w:rPr>
        <w:tab/>
        <w:t>Calculation of mass emission based on tabulated values</w:t>
      </w:r>
    </w:p>
    <w:p w:rsidR="00002BA6" w:rsidRPr="00FB5A71" w:rsidRDefault="00002BA6" w:rsidP="00002BA6">
      <w:pPr>
        <w:pStyle w:val="para"/>
        <w:rPr>
          <w:spacing w:val="2"/>
          <w:lang w:val="en-GB"/>
        </w:rPr>
      </w:pPr>
      <w:r w:rsidRPr="00FB5A71">
        <w:rPr>
          <w:spacing w:val="2"/>
          <w:lang w:val="en-GB"/>
        </w:rPr>
        <w:tab/>
        <w:t>The mass of the pollutants (g/test) shall be determined by calculating the instantaneous mass emissions from the raw concentrations of the pollutants and the exhaust gas mass flow, aligned for the transformation time as determined in accordance with paragraph 8.4.2.2.</w:t>
      </w:r>
      <w:r w:rsidR="003730F4" w:rsidRPr="00FB5A71">
        <w:rPr>
          <w:spacing w:val="2"/>
          <w:lang w:val="en-GB"/>
        </w:rPr>
        <w:t xml:space="preserve"> above</w:t>
      </w:r>
      <w:r w:rsidRPr="00FB5A71">
        <w:rPr>
          <w:spacing w:val="2"/>
          <w:lang w:val="en-GB"/>
        </w:rPr>
        <w:t>, integrating the instantaneous values over the cycle, and multiplying the integrated values with the u values from Table 5</w:t>
      </w:r>
      <w:r w:rsidR="003730F4" w:rsidRPr="00FB5A71">
        <w:rPr>
          <w:spacing w:val="2"/>
          <w:lang w:val="en-GB"/>
        </w:rPr>
        <w:t xml:space="preserve"> below</w:t>
      </w:r>
      <w:r w:rsidRPr="00FB5A71">
        <w:rPr>
          <w:spacing w:val="2"/>
          <w:lang w:val="en-GB"/>
        </w:rPr>
        <w:t>. If measured on a dry basis, the dry/wet correction according to paragraph 8.1.</w:t>
      </w:r>
      <w:r w:rsidR="003730F4" w:rsidRPr="00FB5A71">
        <w:rPr>
          <w:spacing w:val="2"/>
          <w:lang w:val="en-GB"/>
        </w:rPr>
        <w:t xml:space="preserve"> of this annex</w:t>
      </w:r>
      <w:r w:rsidRPr="00FB5A71">
        <w:rPr>
          <w:spacing w:val="2"/>
          <w:lang w:val="en-GB"/>
        </w:rPr>
        <w:t xml:space="preserve"> shall be applied to the instantaneous concentration values before any further calculation is done.</w:t>
      </w:r>
    </w:p>
    <w:p w:rsidR="00002BA6" w:rsidRPr="00B04DC3" w:rsidRDefault="00002BA6" w:rsidP="00002BA6">
      <w:pPr>
        <w:pStyle w:val="para"/>
        <w:rPr>
          <w:lang w:val="en-GB"/>
        </w:rPr>
      </w:pPr>
      <w:r w:rsidRPr="00B04DC3">
        <w:rPr>
          <w:lang w:val="en-GB"/>
        </w:rPr>
        <w:tab/>
        <w:t>For the calculation of NO</w:t>
      </w:r>
      <w:r w:rsidRPr="00B04DC3">
        <w:rPr>
          <w:vertAlign w:val="subscript"/>
          <w:lang w:val="en-GB"/>
        </w:rPr>
        <w:t>x</w:t>
      </w:r>
      <w:r w:rsidRPr="00B04DC3">
        <w:rPr>
          <w:lang w:val="en-GB"/>
        </w:rPr>
        <w:t>, the mass emission shall be multiplied, where applicable, with the humidity correction factor k</w:t>
      </w:r>
      <w:r w:rsidRPr="00B04DC3">
        <w:rPr>
          <w:vertAlign w:val="subscript"/>
          <w:lang w:val="en-GB"/>
        </w:rPr>
        <w:t>h,D</w:t>
      </w:r>
      <w:r w:rsidRPr="00B04DC3">
        <w:rPr>
          <w:lang w:val="en-GB"/>
        </w:rPr>
        <w:t>, or k</w:t>
      </w:r>
      <w:r w:rsidRPr="00B04DC3">
        <w:rPr>
          <w:vertAlign w:val="subscript"/>
          <w:lang w:val="en-GB"/>
        </w:rPr>
        <w:t>h,G</w:t>
      </w:r>
      <w:r w:rsidRPr="00B04DC3">
        <w:rPr>
          <w:lang w:val="en-GB"/>
        </w:rPr>
        <w:t>, as determined according to paragraph 8.2.</w:t>
      </w:r>
      <w:r w:rsidR="003730F4" w:rsidRPr="003730F4">
        <w:rPr>
          <w:lang w:val="en-GB"/>
        </w:rPr>
        <w:t xml:space="preserve"> </w:t>
      </w:r>
      <w:r w:rsidR="003730F4">
        <w:rPr>
          <w:lang w:val="en-GB"/>
        </w:rPr>
        <w:t>of this annex.</w:t>
      </w:r>
    </w:p>
    <w:p w:rsidR="00002BA6" w:rsidRPr="00B04DC3" w:rsidRDefault="00002BA6" w:rsidP="00002BA6">
      <w:pPr>
        <w:pStyle w:val="para"/>
        <w:rPr>
          <w:lang w:val="en-GB"/>
        </w:rPr>
      </w:pPr>
      <w:r w:rsidRPr="00B04DC3">
        <w:rPr>
          <w:lang w:val="en-GB"/>
        </w:rPr>
        <w:tab/>
        <w:t>The following equation shall be applied:</w:t>
      </w:r>
    </w:p>
    <w:p w:rsidR="00002BA6" w:rsidRPr="00961115" w:rsidRDefault="00A905B7" w:rsidP="00002BA6">
      <w:pPr>
        <w:pStyle w:val="para"/>
        <w:tabs>
          <w:tab w:val="right" w:pos="7000"/>
          <w:tab w:val="right" w:pos="8500"/>
        </w:tabs>
        <w:ind w:left="2835" w:firstLine="0"/>
        <w:rPr>
          <w:position w:val="40"/>
          <w:lang w:val="en-GB"/>
        </w:rPr>
      </w:pPr>
      <w:r>
        <w:rPr>
          <w:noProof/>
          <w:lang w:val="en-GB"/>
        </w:rPr>
        <w:pict>
          <v:shapetype id="_x0000_t202" coordsize="21600,21600" o:spt="202" path="m,l,21600r21600,l21600,xe">
            <v:stroke joinstyle="miter"/>
            <v:path gradientshapeok="t" o:connecttype="rect"/>
          </v:shapetype>
          <v:shape id="_x0000_s5504" type="#_x0000_t202" style="position:absolute;left:0;text-align:left;margin-left:113.5pt;margin-top:14.5pt;width:35.35pt;height:27pt;z-index:251586560" stroked="f">
            <v:textbox>
              <w:txbxContent>
                <w:p w:rsidR="00A905B7" w:rsidRPr="004900CD" w:rsidRDefault="00A905B7" w:rsidP="00002BA6">
                  <w:pPr>
                    <w:ind w:left="-142"/>
                    <w:rPr>
                      <w:lang w:val="fr-CH"/>
                    </w:rPr>
                  </w:pPr>
                  <w:r>
                    <w:rPr>
                      <w:lang w:val="fr-CH"/>
                    </w:rPr>
                    <w:t>m</w:t>
                  </w:r>
                  <w:r w:rsidRPr="004900CD">
                    <w:rPr>
                      <w:vertAlign w:val="subscript"/>
                      <w:lang w:val="fr-CH"/>
                    </w:rPr>
                    <w:t>gas</w:t>
                  </w:r>
                  <w:r w:rsidRPr="004900CD">
                    <w:rPr>
                      <w:lang w:val="fr-CH"/>
                    </w:rPr>
                    <w:t xml:space="preserve"> =</w:t>
                  </w:r>
                </w:p>
              </w:txbxContent>
            </v:textbox>
          </v:shape>
        </w:pict>
      </w:r>
      <w:r>
        <w:rPr>
          <w:lang w:val="en-GB"/>
        </w:rPr>
      </w:r>
      <w:r>
        <w:rPr>
          <w:lang w:val="en-GB"/>
        </w:rPr>
        <w:pict>
          <v:group id="_x0000_s4388" editas="canvas" style="width:131.1pt;height:53.5pt;mso-position-horizontal-relative:char;mso-position-vertical-relative:line" coordorigin="-73,-165" coordsize="2622,1070">
            <o:lock v:ext="edit" aspectratio="t"/>
            <v:shape id="_x0000_s4389" type="#_x0000_t75" style="position:absolute;left:-73;top:-165;width:2622;height:1070" o:preferrelative="f">
              <v:fill o:detectmouseclick="t"/>
              <v:path o:extrusionok="t" o:connecttype="none"/>
              <o:lock v:ext="edit" text="t"/>
            </v:shape>
            <v:line id="_x0000_s4390" style="position:absolute" from="2161,340" to="2354,340" strokeweight=".5pt"/>
            <v:rect id="_x0000_s4391" style="position:absolute;left:589;top:154;width:257;height:441;mso-wrap-style:none" filled="f" stroked="f">
              <v:textbox style="mso-next-textbox:#_x0000_s4391;mso-fit-shape-to-text:t" inset="0,0,0,0">
                <w:txbxContent>
                  <w:p w:rsidR="00A905B7" w:rsidRDefault="00A905B7">
                    <w:r>
                      <w:rPr>
                        <w:rFonts w:ascii="Symbol" w:hAnsi="Symbol" w:cs="Symbol"/>
                        <w:color w:val="000000"/>
                        <w:sz w:val="36"/>
                        <w:szCs w:val="36"/>
                      </w:rPr>
                      <w:t></w:t>
                    </w:r>
                  </w:p>
                </w:txbxContent>
              </v:textbox>
            </v:rect>
            <v:rect id="_x0000_s4392" style="position:absolute;left:662;top:15;width:77;height:240;mso-wrap-style:none" filled="f" stroked="f">
              <v:textbox style="mso-next-textbox:#_x0000_s4392;mso-fit-shape-to-text:t" inset="0,0,0,0">
                <w:txbxContent>
                  <w:p w:rsidR="00A905B7" w:rsidRDefault="00A905B7">
                    <w:r>
                      <w:rPr>
                        <w:rFonts w:ascii="Symbol" w:hAnsi="Symbol" w:cs="Symbol"/>
                        <w:color w:val="000000"/>
                        <w:sz w:val="14"/>
                        <w:szCs w:val="14"/>
                      </w:rPr>
                      <w:t></w:t>
                    </w:r>
                  </w:p>
                </w:txbxContent>
              </v:textbox>
            </v:rect>
            <v:rect id="_x0000_s4393" style="position:absolute;left:676;top:488;width:77;height:240;mso-wrap-style:none" filled="f" stroked="f">
              <v:textbox style="mso-next-textbox:#_x0000_s4393;mso-fit-shape-to-text:t" inset="0,0,0,0">
                <w:txbxContent>
                  <w:p w:rsidR="00A905B7" w:rsidRDefault="00A905B7">
                    <w:r>
                      <w:rPr>
                        <w:rFonts w:ascii="Symbol" w:hAnsi="Symbol" w:cs="Symbol"/>
                        <w:color w:val="000000"/>
                        <w:sz w:val="14"/>
                        <w:szCs w:val="14"/>
                      </w:rPr>
                      <w:t></w:t>
                    </w:r>
                  </w:p>
                </w:txbxContent>
              </v:textbox>
            </v:rect>
            <v:rect id="_x0000_s4394" style="position:absolute;left:1990;top:159;width:110;height:245;mso-wrap-style:none" filled="f" stroked="f">
              <v:textbox style="mso-next-textbox:#_x0000_s4394;mso-fit-shape-to-text:t" inset="0,0,0,0">
                <w:txbxContent>
                  <w:p w:rsidR="00A905B7" w:rsidRDefault="00A905B7">
                    <w:r>
                      <w:rPr>
                        <w:rFonts w:ascii="Symbol" w:hAnsi="Symbol" w:cs="Symbol"/>
                        <w:color w:val="000000"/>
                        <w:szCs w:val="24"/>
                      </w:rPr>
                      <w:t></w:t>
                    </w:r>
                  </w:p>
                </w:txbxContent>
              </v:textbox>
            </v:rect>
            <v:rect id="_x0000_s4395" style="position:absolute;left:1299;top:159;width:110;height:245;mso-wrap-style:none" filled="f" stroked="f">
              <v:textbox style="mso-next-textbox:#_x0000_s4395;mso-fit-shape-to-text:t" inset="0,0,0,0">
                <w:txbxContent>
                  <w:p w:rsidR="00A905B7" w:rsidRDefault="00A905B7">
                    <w:r>
                      <w:rPr>
                        <w:rFonts w:ascii="Symbol" w:hAnsi="Symbol" w:cs="Symbol"/>
                        <w:color w:val="000000"/>
                        <w:szCs w:val="24"/>
                      </w:rPr>
                      <w:t></w:t>
                    </w:r>
                  </w:p>
                </w:txbxContent>
              </v:textbox>
            </v:rect>
            <v:rect id="_x0000_s4396" style="position:absolute;left:423;top:159;width:110;height:245;mso-wrap-style:none" filled="f" stroked="f">
              <v:textbox style="mso-next-textbox:#_x0000_s4396;mso-fit-shape-to-text:t" inset="0,0,0,0">
                <w:txbxContent>
                  <w:p w:rsidR="00A905B7" w:rsidRDefault="00A905B7">
                    <w:r>
                      <w:rPr>
                        <w:rFonts w:ascii="Symbol" w:hAnsi="Symbol" w:cs="Symbol"/>
                        <w:color w:val="000000"/>
                        <w:szCs w:val="24"/>
                      </w:rPr>
                      <w:t></w:t>
                    </w:r>
                  </w:p>
                </w:txbxContent>
              </v:textbox>
            </v:rect>
            <v:rect id="_x0000_s4397" style="position:absolute;left:746;top:31;width:71;height:240;mso-wrap-style:none" filled="f" stroked="f">
              <v:textbox style="mso-next-textbox:#_x0000_s4397;mso-fit-shape-to-text:t" inset="0,0,0,0">
                <w:txbxContent>
                  <w:p w:rsidR="00A905B7" w:rsidRDefault="00A905B7">
                    <w:r>
                      <w:rPr>
                        <w:i/>
                        <w:iCs/>
                        <w:color w:val="000000"/>
                        <w:sz w:val="14"/>
                        <w:szCs w:val="14"/>
                      </w:rPr>
                      <w:t>n</w:t>
                    </w:r>
                  </w:p>
                </w:txbxContent>
              </v:textbox>
            </v:rect>
            <v:rect id="_x0000_s4398" style="position:absolute;left:613;top:31;width:39;height:240;mso-wrap-style:none" filled="f" stroked="f">
              <v:textbox style="mso-next-textbox:#_x0000_s4398;mso-fit-shape-to-text:t" inset="0,0,0,0">
                <w:txbxContent>
                  <w:p w:rsidR="00A905B7" w:rsidRPr="007C4925" w:rsidRDefault="00A905B7">
                    <w:r w:rsidRPr="007C4925">
                      <w:rPr>
                        <w:iCs/>
                        <w:color w:val="000000"/>
                        <w:sz w:val="14"/>
                        <w:szCs w:val="14"/>
                      </w:rPr>
                      <w:t>i</w:t>
                    </w:r>
                  </w:p>
                </w:txbxContent>
              </v:textbox>
            </v:rect>
            <v:rect id="_x0000_s4399" style="position:absolute;left:628;top:504;width:39;height:240;mso-wrap-style:none" filled="f" stroked="f">
              <v:textbox style="mso-next-textbox:#_x0000_s4399;mso-fit-shape-to-text:t" inset="0,0,0,0">
                <w:txbxContent>
                  <w:p w:rsidR="00A905B7" w:rsidRPr="007C4925" w:rsidRDefault="00A905B7">
                    <w:r w:rsidRPr="007C4925">
                      <w:rPr>
                        <w:iCs/>
                        <w:color w:val="000000"/>
                        <w:sz w:val="14"/>
                        <w:szCs w:val="14"/>
                      </w:rPr>
                      <w:t>i</w:t>
                    </w:r>
                  </w:p>
                </w:txbxContent>
              </v:textbox>
            </v:rect>
            <v:rect id="_x0000_s4400" style="position:absolute;left:1595;top:335;width:109;height:240;mso-wrap-style:none" filled="f" stroked="f">
              <v:textbox style="mso-next-textbox:#_x0000_s4400;mso-fit-shape-to-text:t" inset="0,0,0,0">
                <w:txbxContent>
                  <w:p w:rsidR="00A905B7" w:rsidRPr="007C4925" w:rsidRDefault="00A905B7">
                    <w:r w:rsidRPr="007C4925">
                      <w:rPr>
                        <w:iCs/>
                        <w:color w:val="000000"/>
                        <w:sz w:val="14"/>
                        <w:szCs w:val="14"/>
                      </w:rPr>
                      <w:t>m</w:t>
                    </w:r>
                  </w:p>
                </w:txbxContent>
              </v:textbox>
            </v:rect>
            <v:rect id="_x0000_s4401" style="position:absolute;left:167;top:335;width:187;height:480" filled="f" stroked="f">
              <v:textbox style="mso-next-textbox:#_x0000_s4401;mso-fit-shape-to-text:t" inset="0,0,0,0">
                <w:txbxContent>
                  <w:p w:rsidR="00A905B7" w:rsidRPr="007C4925" w:rsidRDefault="00A905B7">
                    <w:r w:rsidRPr="007C4925">
                      <w:rPr>
                        <w:iCs/>
                        <w:color w:val="000000"/>
                        <w:sz w:val="14"/>
                        <w:szCs w:val="14"/>
                      </w:rPr>
                      <w:t>gas</w:t>
                    </w:r>
                  </w:p>
                </w:txbxContent>
              </v:textbox>
            </v:rect>
            <v:rect id="_x0000_s4402" style="position:absolute;left:2223;top:373;width:67;height:240;mso-wrap-style:none" filled="f" stroked="f">
              <v:textbox style="mso-next-textbox:#_x0000_s4402;mso-fit-shape-to-text:t" inset="0,0,0,0">
                <w:txbxContent>
                  <w:p w:rsidR="00A905B7" w:rsidRPr="007C4925" w:rsidRDefault="00A905B7">
                    <w:r w:rsidRPr="007C4925">
                      <w:rPr>
                        <w:iCs/>
                        <w:color w:val="000000"/>
                        <w:szCs w:val="24"/>
                      </w:rPr>
                      <w:t>f</w:t>
                    </w:r>
                  </w:p>
                </w:txbxContent>
              </v:textbox>
            </v:rect>
            <v:rect id="_x0000_s4403" style="position:absolute;left:1467;top:186;width:101;height:240;mso-wrap-style:none" filled="f" stroked="f">
              <v:textbox style="mso-next-textbox:#_x0000_s4403;mso-fit-shape-to-text:t" inset="0,0,0,0">
                <w:txbxContent>
                  <w:p w:rsidR="00A905B7" w:rsidRPr="007C4925" w:rsidRDefault="00A905B7">
                    <w:r w:rsidRPr="007C4925">
                      <w:rPr>
                        <w:iCs/>
                        <w:color w:val="000000"/>
                        <w:szCs w:val="24"/>
                      </w:rPr>
                      <w:t>q</w:t>
                    </w:r>
                  </w:p>
                </w:txbxContent>
              </v:textbox>
            </v:rect>
            <v:rect id="_x0000_s4404" style="position:absolute;left:869;top:186;width:89;height:240;mso-wrap-style:none" filled="f" stroked="f">
              <v:textbox style="mso-next-textbox:#_x0000_s4404;mso-fit-shape-to-text:t" inset="0,0,0,0">
                <w:txbxContent>
                  <w:p w:rsidR="00A905B7" w:rsidRPr="007C4925" w:rsidRDefault="00A905B7">
                    <w:r w:rsidRPr="007C4925">
                      <w:rPr>
                        <w:iCs/>
                        <w:color w:val="000000"/>
                        <w:szCs w:val="24"/>
                      </w:rPr>
                      <w:t>c</w:t>
                    </w:r>
                  </w:p>
                </w:txbxContent>
              </v:textbox>
            </v:rect>
            <v:rect id="_x0000_s4405" style="position:absolute;left:79;top:186;width:121;height:240" filled="f" stroked="f">
              <v:textbox style="mso-next-textbox:#_x0000_s4405;mso-fit-shape-to-text:t" inset="0,0,0,0">
                <w:txbxContent>
                  <w:p w:rsidR="00A905B7" w:rsidRPr="004900CD" w:rsidRDefault="00A905B7">
                    <w:r w:rsidRPr="004900CD">
                      <w:rPr>
                        <w:iCs/>
                        <w:color w:val="000000"/>
                      </w:rPr>
                      <w:t>u</w:t>
                    </w:r>
                  </w:p>
                </w:txbxContent>
              </v:textbox>
            </v:rect>
            <v:rect id="_x0000_s4406" style="position:absolute;left:744;top:503;width:71;height:240;mso-wrap-style:none" filled="f" stroked="f">
              <v:textbox style="mso-next-textbox:#_x0000_s4406;mso-fit-shape-to-text:t" inset="0,0,0,0">
                <w:txbxContent>
                  <w:p w:rsidR="00A905B7" w:rsidRDefault="00A905B7">
                    <w:r>
                      <w:rPr>
                        <w:color w:val="000000"/>
                        <w:sz w:val="14"/>
                        <w:szCs w:val="14"/>
                      </w:rPr>
                      <w:t>1</w:t>
                    </w:r>
                  </w:p>
                </w:txbxContent>
              </v:textbox>
            </v:rect>
            <v:rect id="_x0000_s4407" style="position:absolute;left:1891;top:334;width:39;height:240;mso-wrap-style:none" filled="f" stroked="f">
              <v:textbox style="mso-next-textbox:#_x0000_s4407;mso-fit-shape-to-text:t" inset="0,0,0,0">
                <w:txbxContent>
                  <w:p w:rsidR="00A905B7" w:rsidRDefault="00A905B7">
                    <w:r>
                      <w:rPr>
                        <w:color w:val="000000"/>
                        <w:sz w:val="14"/>
                        <w:szCs w:val="14"/>
                      </w:rPr>
                      <w:t>i</w:t>
                    </w:r>
                  </w:p>
                </w:txbxContent>
              </v:textbox>
            </v:rect>
            <v:rect id="_x0000_s4408" style="position:absolute;left:1695;top:334;width:199;height:240;mso-wrap-style:none" filled="f" stroked="f">
              <v:textbox style="mso-next-textbox:#_x0000_s4408;mso-fit-shape-to-text:t" inset="0,0,0,0">
                <w:txbxContent>
                  <w:p w:rsidR="00A905B7" w:rsidRDefault="00A905B7">
                    <w:r>
                      <w:rPr>
                        <w:color w:val="000000"/>
                        <w:sz w:val="14"/>
                        <w:szCs w:val="14"/>
                      </w:rPr>
                      <w:t>ew,</w:t>
                    </w:r>
                  </w:p>
                </w:txbxContent>
              </v:textbox>
            </v:rect>
            <v:rect id="_x0000_s4409" style="position:absolute;left:1201;top:334;width:39;height:240;mso-wrap-style:none" filled="f" stroked="f">
              <v:textbox style="mso-next-textbox:#_x0000_s4409;mso-fit-shape-to-text:t" inset="0,0,0,0">
                <w:txbxContent>
                  <w:p w:rsidR="00A905B7" w:rsidRDefault="00A905B7">
                    <w:r>
                      <w:rPr>
                        <w:color w:val="000000"/>
                        <w:sz w:val="14"/>
                        <w:szCs w:val="14"/>
                      </w:rPr>
                      <w:t>i</w:t>
                    </w:r>
                  </w:p>
                </w:txbxContent>
              </v:textbox>
            </v:rect>
            <v:rect id="_x0000_s4410" style="position:absolute;left:990;top:334;width:222;height:240;mso-wrap-style:none" filled="f" stroked="f">
              <v:textbox style="mso-next-textbox:#_x0000_s4410;mso-fit-shape-to-text:t" inset="0,0,0,0">
                <w:txbxContent>
                  <w:p w:rsidR="00A905B7" w:rsidRDefault="00A905B7">
                    <w:r>
                      <w:rPr>
                        <w:color w:val="000000"/>
                        <w:sz w:val="14"/>
                        <w:szCs w:val="14"/>
                      </w:rPr>
                      <w:t>gas,</w:t>
                    </w:r>
                  </w:p>
                </w:txbxContent>
              </v:textbox>
            </v:rect>
            <v:rect id="_x0000_s4411" style="position:absolute;left:2198;top:35;width:101;height:240;mso-wrap-style:none" filled="f" stroked="f">
              <v:textbox style="mso-next-textbox:#_x0000_s4411;mso-fit-shape-to-text:t" inset="0,0,0,0">
                <w:txbxContent>
                  <w:p w:rsidR="00A905B7" w:rsidRDefault="00A905B7">
                    <w:r>
                      <w:rPr>
                        <w:color w:val="000000"/>
                        <w:szCs w:val="24"/>
                      </w:rPr>
                      <w:t>1</w:t>
                    </w:r>
                  </w:p>
                </w:txbxContent>
              </v:textbox>
            </v:rect>
            <w10:wrap type="none"/>
            <w10:anchorlock/>
          </v:group>
        </w:pict>
      </w:r>
      <w:r w:rsidR="00002BA6" w:rsidRPr="00961115">
        <w:rPr>
          <w:position w:val="40"/>
          <w:lang w:val="en-GB"/>
        </w:rPr>
        <w:tab/>
        <w:t>(in g/test)</w:t>
      </w:r>
      <w:r w:rsidR="00002BA6" w:rsidRPr="00961115">
        <w:rPr>
          <w:position w:val="40"/>
          <w:lang w:val="en-GB"/>
        </w:rPr>
        <w:tab/>
        <w:t>(36)</w:t>
      </w:r>
    </w:p>
    <w:p w:rsidR="00002BA6" w:rsidRPr="00B04DC3" w:rsidRDefault="00002BA6" w:rsidP="00FB5A71">
      <w:pPr>
        <w:pStyle w:val="para"/>
        <w:keepNext/>
        <w:keepLines/>
        <w:rPr>
          <w:lang w:val="en-GB"/>
        </w:rPr>
      </w:pPr>
      <w:r w:rsidRPr="00B04DC3">
        <w:rPr>
          <w:sz w:val="24"/>
          <w:lang w:val="en-GB"/>
        </w:rPr>
        <w:tab/>
      </w:r>
      <w:r w:rsidR="00D06B9E" w:rsidRPr="00B04DC3">
        <w:rPr>
          <w:lang w:val="en-GB"/>
        </w:rPr>
        <w:t>Where</w:t>
      </w:r>
      <w:r w:rsidRPr="00B04DC3">
        <w:rPr>
          <w:lang w:val="en-GB"/>
        </w:rPr>
        <w:t>:</w:t>
      </w:r>
    </w:p>
    <w:p w:rsidR="00002BA6" w:rsidRPr="00B04DC3" w:rsidRDefault="00002BA6" w:rsidP="00FB5A71">
      <w:pPr>
        <w:pStyle w:val="para"/>
        <w:keepNext/>
        <w:keepLines/>
        <w:ind w:left="2856" w:hanging="588"/>
        <w:rPr>
          <w:szCs w:val="24"/>
          <w:lang w:val="en-GB" w:eastAsia="de-DE"/>
        </w:rPr>
      </w:pPr>
      <w:r w:rsidRPr="00B04DC3">
        <w:rPr>
          <w:iCs/>
          <w:szCs w:val="24"/>
          <w:lang w:val="en-GB" w:eastAsia="de-DE"/>
        </w:rPr>
        <w:t>u</w:t>
      </w:r>
      <w:r w:rsidRPr="00B04DC3">
        <w:rPr>
          <w:szCs w:val="24"/>
          <w:vertAlign w:val="subscript"/>
          <w:lang w:val="en-GB" w:eastAsia="de-DE"/>
        </w:rPr>
        <w:t>gas</w:t>
      </w:r>
      <w:r w:rsidRPr="00B04DC3">
        <w:rPr>
          <w:szCs w:val="24"/>
          <w:lang w:val="en-GB" w:eastAsia="de-DE"/>
        </w:rPr>
        <w:t xml:space="preserve"> </w:t>
      </w:r>
      <w:r w:rsidRPr="00B04DC3">
        <w:rPr>
          <w:szCs w:val="24"/>
          <w:lang w:val="en-GB" w:eastAsia="de-DE"/>
        </w:rPr>
        <w:tab/>
        <w:t>is the respective value of the exhaust component from Table 5</w:t>
      </w:r>
      <w:r w:rsidR="003730F4">
        <w:rPr>
          <w:szCs w:val="24"/>
          <w:lang w:val="en-GB" w:eastAsia="de-DE"/>
        </w:rPr>
        <w:t xml:space="preserve"> below</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gas,i</w:t>
      </w:r>
      <w:r w:rsidRPr="00B04DC3">
        <w:rPr>
          <w:lang w:val="en-GB"/>
        </w:rPr>
        <w:tab/>
        <w:t>is the instantaneous concentration of the component in the exhaust gas, ppm</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mew,i</w:t>
      </w:r>
      <w:r w:rsidRPr="00B04DC3">
        <w:rPr>
          <w:lang w:val="en-GB"/>
        </w:rPr>
        <w:tab/>
        <w:t>is the instantaneous exhaust mass flow, kg/s</w:t>
      </w:r>
    </w:p>
    <w:p w:rsidR="00002BA6" w:rsidRPr="00B04DC3" w:rsidRDefault="00002BA6" w:rsidP="00002BA6">
      <w:pPr>
        <w:pStyle w:val="para"/>
        <w:ind w:left="2856" w:hanging="588"/>
        <w:rPr>
          <w:lang w:val="en-GB"/>
        </w:rPr>
      </w:pPr>
      <w:r w:rsidRPr="00B04DC3">
        <w:rPr>
          <w:lang w:val="en-GB"/>
        </w:rPr>
        <w:t>f</w:t>
      </w:r>
      <w:r w:rsidRPr="00B04DC3">
        <w:rPr>
          <w:lang w:val="en-GB"/>
        </w:rPr>
        <w:tab/>
        <w:t>is the data sampling rate, Hz</w:t>
      </w:r>
    </w:p>
    <w:p w:rsidR="00002BA6" w:rsidRPr="00B04DC3" w:rsidRDefault="00002BA6" w:rsidP="00002BA6">
      <w:pPr>
        <w:pStyle w:val="para"/>
        <w:ind w:left="2856" w:hanging="588"/>
        <w:rPr>
          <w:lang w:val="en-GB"/>
        </w:rPr>
      </w:pPr>
      <w:r w:rsidRPr="00B04DC3">
        <w:rPr>
          <w:i/>
          <w:lang w:val="en-GB"/>
        </w:rPr>
        <w:t>n</w:t>
      </w:r>
      <w:r w:rsidRPr="00B04DC3">
        <w:rPr>
          <w:lang w:val="en-GB"/>
        </w:rPr>
        <w:tab/>
        <w:t>is the number of measurements</w:t>
      </w:r>
    </w:p>
    <w:p w:rsidR="00002BA6" w:rsidRPr="00B04DC3" w:rsidRDefault="00002BA6" w:rsidP="00002BA6">
      <w:pPr>
        <w:pStyle w:val="Heading1"/>
        <w:keepNext/>
        <w:keepLines/>
      </w:pPr>
      <w:bookmarkStart w:id="535" w:name="_Toc399940013"/>
      <w:bookmarkStart w:id="536" w:name="_Toc423599599"/>
      <w:bookmarkStart w:id="537" w:name="_Toc423611007"/>
      <w:r w:rsidRPr="00B04DC3">
        <w:t>Table 5</w:t>
      </w:r>
      <w:bookmarkEnd w:id="535"/>
      <w:bookmarkEnd w:id="536"/>
      <w:bookmarkEnd w:id="537"/>
    </w:p>
    <w:p w:rsidR="00002BA6" w:rsidRPr="00B04DC3" w:rsidRDefault="00002BA6" w:rsidP="00002BA6">
      <w:pPr>
        <w:pStyle w:val="Heading1"/>
        <w:keepNext/>
        <w:keepLines/>
        <w:rPr>
          <w:b/>
        </w:rPr>
      </w:pPr>
      <w:bookmarkStart w:id="538" w:name="_Toc399940014"/>
      <w:bookmarkStart w:id="539" w:name="_Toc423599600"/>
      <w:bookmarkStart w:id="540" w:name="_Toc423611008"/>
      <w:r w:rsidRPr="00B04DC3">
        <w:rPr>
          <w:b/>
        </w:rPr>
        <w:t xml:space="preserve">Raw exhaust gas </w:t>
      </w:r>
      <w:r w:rsidRPr="00B04DC3">
        <w:rPr>
          <w:b/>
          <w:i/>
        </w:rPr>
        <w:t>u</w:t>
      </w:r>
      <w:r w:rsidRPr="00B04DC3">
        <w:rPr>
          <w:b/>
        </w:rPr>
        <w:t xml:space="preserve"> values and component densities</w:t>
      </w:r>
      <w:bookmarkEnd w:id="538"/>
      <w:bookmarkEnd w:id="539"/>
      <w:bookmarkEnd w:id="540"/>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009"/>
        <w:gridCol w:w="885"/>
        <w:gridCol w:w="1018"/>
        <w:gridCol w:w="1019"/>
        <w:gridCol w:w="1211"/>
        <w:gridCol w:w="1072"/>
        <w:gridCol w:w="1101"/>
        <w:gridCol w:w="1184"/>
      </w:tblGrid>
      <w:tr w:rsidR="00002BA6" w:rsidRPr="00D06B9E">
        <w:trPr>
          <w:gridBefore w:val="1"/>
          <w:wBefore w:w="6" w:type="dxa"/>
        </w:trPr>
        <w:tc>
          <w:tcPr>
            <w:tcW w:w="966" w:type="dxa"/>
            <w:vMerge w:val="restart"/>
            <w:vAlign w:val="center"/>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Fuel</w:t>
            </w:r>
          </w:p>
        </w:tc>
        <w:tc>
          <w:tcPr>
            <w:tcW w:w="847" w:type="dxa"/>
            <w:vMerge w:val="restart"/>
            <w:vAlign w:val="center"/>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sym w:font="Symbol" w:char="F072"/>
            </w:r>
            <w:r w:rsidRPr="00D06B9E">
              <w:rPr>
                <w:i/>
                <w:sz w:val="16"/>
                <w:szCs w:val="16"/>
                <w:vertAlign w:val="subscript"/>
              </w:rPr>
              <w:t>e</w:t>
            </w:r>
          </w:p>
        </w:tc>
        <w:tc>
          <w:tcPr>
            <w:tcW w:w="975" w:type="dxa"/>
            <w:tcBorders>
              <w:right w:val="nil"/>
            </w:tcBorders>
          </w:tcPr>
          <w:p w:rsidR="00002BA6" w:rsidRPr="00D06B9E" w:rsidRDefault="00002BA6" w:rsidP="00FB5A71">
            <w:pPr>
              <w:spacing w:beforeLines="20" w:before="48" w:afterLines="20" w:after="48" w:line="200" w:lineRule="exact"/>
              <w:jc w:val="center"/>
              <w:rPr>
                <w:i/>
                <w:sz w:val="16"/>
                <w:szCs w:val="16"/>
              </w:rPr>
            </w:pPr>
          </w:p>
        </w:tc>
        <w:tc>
          <w:tcPr>
            <w:tcW w:w="976"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159"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Gas</w:t>
            </w:r>
          </w:p>
        </w:tc>
        <w:tc>
          <w:tcPr>
            <w:tcW w:w="1026"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054"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134" w:type="dxa"/>
            <w:tcBorders>
              <w:left w:val="nil"/>
            </w:tcBorders>
          </w:tcPr>
          <w:p w:rsidR="00002BA6" w:rsidRPr="00D06B9E" w:rsidRDefault="00002BA6" w:rsidP="00FB5A71">
            <w:pPr>
              <w:spacing w:beforeLines="20" w:before="48" w:afterLines="20" w:after="48" w:line="200" w:lineRule="exact"/>
              <w:jc w:val="center"/>
              <w:rPr>
                <w:i/>
                <w:sz w:val="16"/>
                <w:szCs w:val="16"/>
              </w:rPr>
            </w:pPr>
          </w:p>
        </w:tc>
      </w:tr>
      <w:tr w:rsidR="00002BA6" w:rsidRPr="00D06B9E">
        <w:trPr>
          <w:gridBefore w:val="1"/>
          <w:wBefore w:w="6" w:type="dxa"/>
        </w:trPr>
        <w:tc>
          <w:tcPr>
            <w:tcW w:w="966" w:type="dxa"/>
            <w:vMerge/>
          </w:tcPr>
          <w:p w:rsidR="00002BA6" w:rsidRPr="00D06B9E" w:rsidRDefault="00002BA6" w:rsidP="00FB5A71">
            <w:pPr>
              <w:spacing w:beforeLines="20" w:before="48" w:afterLines="20" w:after="48" w:line="200" w:lineRule="exact"/>
              <w:jc w:val="center"/>
              <w:rPr>
                <w:i/>
                <w:sz w:val="16"/>
                <w:szCs w:val="16"/>
              </w:rPr>
            </w:pPr>
          </w:p>
        </w:tc>
        <w:tc>
          <w:tcPr>
            <w:tcW w:w="847" w:type="dxa"/>
            <w:vMerge/>
          </w:tcPr>
          <w:p w:rsidR="00002BA6" w:rsidRPr="00D06B9E" w:rsidRDefault="00002BA6" w:rsidP="00FB5A71">
            <w:pPr>
              <w:spacing w:beforeLines="20" w:before="48" w:afterLines="20" w:after="48" w:line="200" w:lineRule="exact"/>
              <w:jc w:val="center"/>
              <w:rPr>
                <w:i/>
                <w:sz w:val="16"/>
                <w:szCs w:val="16"/>
              </w:rPr>
            </w:pPr>
          </w:p>
        </w:tc>
        <w:tc>
          <w:tcPr>
            <w:tcW w:w="975"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vertAlign w:val="subscript"/>
              </w:rPr>
            </w:pPr>
            <w:r w:rsidRPr="00D06B9E">
              <w:rPr>
                <w:i/>
                <w:sz w:val="16"/>
                <w:szCs w:val="16"/>
              </w:rPr>
              <w:t>NO</w:t>
            </w:r>
            <w:r w:rsidRPr="00D06B9E">
              <w:rPr>
                <w:i/>
                <w:sz w:val="16"/>
                <w:szCs w:val="16"/>
                <w:vertAlign w:val="subscript"/>
              </w:rPr>
              <w:t>x</w:t>
            </w:r>
          </w:p>
        </w:tc>
        <w:tc>
          <w:tcPr>
            <w:tcW w:w="976"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CO</w:t>
            </w:r>
          </w:p>
        </w:tc>
        <w:tc>
          <w:tcPr>
            <w:tcW w:w="1159"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HC</w:t>
            </w:r>
          </w:p>
        </w:tc>
        <w:tc>
          <w:tcPr>
            <w:tcW w:w="1026"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CO</w:t>
            </w:r>
            <w:r w:rsidRPr="00D06B9E">
              <w:rPr>
                <w:i/>
                <w:sz w:val="16"/>
                <w:szCs w:val="16"/>
                <w:vertAlign w:val="subscript"/>
              </w:rPr>
              <w:t>2</w:t>
            </w:r>
          </w:p>
        </w:tc>
        <w:tc>
          <w:tcPr>
            <w:tcW w:w="1054"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vertAlign w:val="subscript"/>
              </w:rPr>
            </w:pPr>
            <w:r w:rsidRPr="00D06B9E">
              <w:rPr>
                <w:i/>
                <w:sz w:val="16"/>
                <w:szCs w:val="16"/>
              </w:rPr>
              <w:t>O</w:t>
            </w:r>
            <w:r w:rsidRPr="00D06B9E">
              <w:rPr>
                <w:i/>
                <w:sz w:val="16"/>
                <w:szCs w:val="16"/>
                <w:vertAlign w:val="subscript"/>
              </w:rPr>
              <w:t>2</w:t>
            </w:r>
          </w:p>
        </w:tc>
        <w:tc>
          <w:tcPr>
            <w:tcW w:w="1134" w:type="dxa"/>
          </w:tcPr>
          <w:p w:rsidR="00002BA6" w:rsidRPr="00D06B9E" w:rsidRDefault="00002BA6" w:rsidP="00FB5A71">
            <w:pPr>
              <w:spacing w:beforeLines="20" w:before="48" w:afterLines="20" w:after="48" w:line="200" w:lineRule="exact"/>
              <w:jc w:val="center"/>
              <w:rPr>
                <w:i/>
                <w:sz w:val="16"/>
                <w:szCs w:val="16"/>
                <w:vertAlign w:val="subscript"/>
              </w:rPr>
            </w:pPr>
            <w:r w:rsidRPr="00D06B9E">
              <w:rPr>
                <w:i/>
                <w:sz w:val="16"/>
                <w:szCs w:val="16"/>
              </w:rPr>
              <w:t>CH</w:t>
            </w:r>
            <w:r w:rsidRPr="00D06B9E">
              <w:rPr>
                <w:i/>
                <w:sz w:val="16"/>
                <w:szCs w:val="16"/>
                <w:vertAlign w:val="subscript"/>
              </w:rPr>
              <w:t>4</w:t>
            </w:r>
          </w:p>
        </w:tc>
      </w:tr>
      <w:tr w:rsidR="00002BA6" w:rsidRPr="00D06B9E">
        <w:trPr>
          <w:gridBefore w:val="1"/>
          <w:wBefore w:w="6" w:type="dxa"/>
        </w:trPr>
        <w:tc>
          <w:tcPr>
            <w:tcW w:w="966" w:type="dxa"/>
            <w:vMerge/>
          </w:tcPr>
          <w:p w:rsidR="00002BA6" w:rsidRPr="00D06B9E" w:rsidRDefault="00002BA6" w:rsidP="00FB5A71">
            <w:pPr>
              <w:spacing w:beforeLines="20" w:before="48" w:afterLines="20" w:after="48" w:line="200" w:lineRule="exact"/>
              <w:jc w:val="center"/>
              <w:rPr>
                <w:i/>
                <w:sz w:val="16"/>
                <w:szCs w:val="16"/>
              </w:rPr>
            </w:pPr>
          </w:p>
        </w:tc>
        <w:tc>
          <w:tcPr>
            <w:tcW w:w="847" w:type="dxa"/>
            <w:vMerge/>
          </w:tcPr>
          <w:p w:rsidR="00002BA6" w:rsidRPr="00D06B9E" w:rsidRDefault="00002BA6" w:rsidP="00FB5A71">
            <w:pPr>
              <w:spacing w:beforeLines="20" w:before="48" w:afterLines="20" w:after="48" w:line="200" w:lineRule="exact"/>
              <w:jc w:val="center"/>
              <w:rPr>
                <w:i/>
                <w:sz w:val="16"/>
                <w:szCs w:val="16"/>
              </w:rPr>
            </w:pPr>
          </w:p>
        </w:tc>
        <w:tc>
          <w:tcPr>
            <w:tcW w:w="975" w:type="dxa"/>
            <w:tcBorders>
              <w:right w:val="nil"/>
            </w:tcBorders>
          </w:tcPr>
          <w:p w:rsidR="00002BA6" w:rsidRPr="00D06B9E" w:rsidRDefault="00002BA6" w:rsidP="00FB5A71">
            <w:pPr>
              <w:spacing w:beforeLines="20" w:before="48" w:afterLines="20" w:after="48" w:line="200" w:lineRule="exact"/>
              <w:jc w:val="center"/>
              <w:rPr>
                <w:i/>
                <w:sz w:val="16"/>
                <w:szCs w:val="16"/>
              </w:rPr>
            </w:pPr>
          </w:p>
        </w:tc>
        <w:tc>
          <w:tcPr>
            <w:tcW w:w="976"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159"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sym w:font="Symbol" w:char="F072"/>
            </w:r>
            <w:r w:rsidRPr="00D06B9E">
              <w:rPr>
                <w:i/>
                <w:sz w:val="16"/>
                <w:szCs w:val="16"/>
                <w:vertAlign w:val="subscript"/>
              </w:rPr>
              <w:t>gas</w:t>
            </w:r>
            <w:r w:rsidRPr="00D06B9E">
              <w:rPr>
                <w:i/>
                <w:sz w:val="16"/>
                <w:szCs w:val="16"/>
              </w:rPr>
              <w:t> [kg/m</w:t>
            </w:r>
            <w:r w:rsidRPr="00D06B9E">
              <w:rPr>
                <w:i/>
                <w:sz w:val="16"/>
                <w:szCs w:val="16"/>
                <w:vertAlign w:val="superscript"/>
              </w:rPr>
              <w:t>3</w:t>
            </w:r>
            <w:r w:rsidRPr="00D06B9E">
              <w:rPr>
                <w:i/>
                <w:sz w:val="16"/>
                <w:szCs w:val="16"/>
              </w:rPr>
              <w:t>]</w:t>
            </w:r>
          </w:p>
        </w:tc>
        <w:tc>
          <w:tcPr>
            <w:tcW w:w="1026"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054" w:type="dxa"/>
            <w:tcBorders>
              <w:left w:val="nil"/>
              <w:right w:val="nil"/>
            </w:tcBorders>
          </w:tcPr>
          <w:p w:rsidR="00002BA6" w:rsidRPr="00D06B9E" w:rsidRDefault="00002BA6" w:rsidP="00FB5A71">
            <w:pPr>
              <w:spacing w:beforeLines="20" w:before="48" w:afterLines="20" w:after="48" w:line="200" w:lineRule="exact"/>
              <w:jc w:val="center"/>
              <w:rPr>
                <w:i/>
                <w:sz w:val="16"/>
                <w:szCs w:val="16"/>
              </w:rPr>
            </w:pPr>
          </w:p>
        </w:tc>
        <w:tc>
          <w:tcPr>
            <w:tcW w:w="1134" w:type="dxa"/>
            <w:tcBorders>
              <w:left w:val="nil"/>
            </w:tcBorders>
          </w:tcPr>
          <w:p w:rsidR="00002BA6" w:rsidRPr="00D06B9E" w:rsidRDefault="00002BA6" w:rsidP="00FB5A71">
            <w:pPr>
              <w:spacing w:beforeLines="20" w:before="48" w:afterLines="20" w:after="48" w:line="200" w:lineRule="exact"/>
              <w:jc w:val="center"/>
              <w:rPr>
                <w:i/>
                <w:sz w:val="16"/>
                <w:szCs w:val="16"/>
              </w:rPr>
            </w:pPr>
          </w:p>
        </w:tc>
      </w:tr>
      <w:tr w:rsidR="00002BA6" w:rsidRPr="00D06B9E">
        <w:trPr>
          <w:gridBefore w:val="1"/>
          <w:wBefore w:w="6" w:type="dxa"/>
        </w:trPr>
        <w:tc>
          <w:tcPr>
            <w:tcW w:w="966" w:type="dxa"/>
            <w:vMerge/>
          </w:tcPr>
          <w:p w:rsidR="00002BA6" w:rsidRPr="00D06B9E" w:rsidRDefault="00002BA6" w:rsidP="00FB5A71">
            <w:pPr>
              <w:spacing w:beforeLines="20" w:before="48" w:afterLines="20" w:after="48" w:line="200" w:lineRule="exact"/>
              <w:rPr>
                <w:i/>
                <w:sz w:val="16"/>
                <w:szCs w:val="16"/>
              </w:rPr>
            </w:pPr>
          </w:p>
        </w:tc>
        <w:tc>
          <w:tcPr>
            <w:tcW w:w="847" w:type="dxa"/>
            <w:vMerge/>
          </w:tcPr>
          <w:p w:rsidR="00002BA6" w:rsidRPr="00D06B9E" w:rsidRDefault="00002BA6" w:rsidP="00FB5A71">
            <w:pPr>
              <w:spacing w:beforeLines="20" w:before="48" w:afterLines="20" w:after="48" w:line="200" w:lineRule="exact"/>
              <w:rPr>
                <w:i/>
                <w:sz w:val="16"/>
                <w:szCs w:val="16"/>
              </w:rPr>
            </w:pPr>
          </w:p>
        </w:tc>
        <w:tc>
          <w:tcPr>
            <w:tcW w:w="975"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2.053</w:t>
            </w:r>
          </w:p>
        </w:tc>
        <w:tc>
          <w:tcPr>
            <w:tcW w:w="976"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1.250</w:t>
            </w:r>
          </w:p>
        </w:tc>
        <w:tc>
          <w:tcPr>
            <w:tcW w:w="1159"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vertAlign w:val="superscript"/>
              </w:rPr>
            </w:pPr>
            <w:r w:rsidRPr="00D06B9E">
              <w:rPr>
                <w:i/>
                <w:sz w:val="16"/>
                <w:szCs w:val="16"/>
                <w:vertAlign w:val="superscript"/>
              </w:rPr>
              <w:t>a</w:t>
            </w:r>
          </w:p>
        </w:tc>
        <w:tc>
          <w:tcPr>
            <w:tcW w:w="1026"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1.9636</w:t>
            </w:r>
          </w:p>
        </w:tc>
        <w:tc>
          <w:tcPr>
            <w:tcW w:w="1054" w:type="dxa"/>
            <w:tcBorders>
              <w:bottom w:val="single" w:sz="4" w:space="0" w:color="auto"/>
            </w:tcBorders>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1.4277</w:t>
            </w:r>
          </w:p>
        </w:tc>
        <w:tc>
          <w:tcPr>
            <w:tcW w:w="1134" w:type="dxa"/>
          </w:tcPr>
          <w:p w:rsidR="00002BA6" w:rsidRPr="00D06B9E" w:rsidRDefault="00002BA6" w:rsidP="00FB5A71">
            <w:pPr>
              <w:spacing w:beforeLines="20" w:before="48" w:afterLines="20" w:after="48" w:line="200" w:lineRule="exact"/>
              <w:jc w:val="center"/>
              <w:rPr>
                <w:i/>
                <w:sz w:val="16"/>
                <w:szCs w:val="16"/>
              </w:rPr>
            </w:pPr>
            <w:r w:rsidRPr="00D06B9E">
              <w:rPr>
                <w:i/>
                <w:sz w:val="16"/>
                <w:szCs w:val="16"/>
              </w:rPr>
              <w:t>0.716</w:t>
            </w:r>
          </w:p>
        </w:tc>
      </w:tr>
      <w:tr w:rsidR="00002BA6" w:rsidRPr="00D06B9E" w:rsidTr="00D06B9E">
        <w:trPr>
          <w:gridBefore w:val="1"/>
          <w:wBefore w:w="6" w:type="dxa"/>
        </w:trPr>
        <w:tc>
          <w:tcPr>
            <w:tcW w:w="966" w:type="dxa"/>
            <w:vMerge/>
            <w:tcBorders>
              <w:bottom w:val="single" w:sz="12" w:space="0" w:color="auto"/>
            </w:tcBorders>
          </w:tcPr>
          <w:p w:rsidR="00002BA6" w:rsidRPr="00D06B9E" w:rsidRDefault="00002BA6" w:rsidP="00FB5A71">
            <w:pPr>
              <w:spacing w:beforeLines="20" w:before="48" w:afterLines="20" w:after="48" w:line="200" w:lineRule="exact"/>
              <w:jc w:val="center"/>
              <w:rPr>
                <w:i/>
                <w:sz w:val="16"/>
                <w:szCs w:val="16"/>
              </w:rPr>
            </w:pPr>
          </w:p>
        </w:tc>
        <w:tc>
          <w:tcPr>
            <w:tcW w:w="847" w:type="dxa"/>
            <w:vMerge/>
            <w:tcBorders>
              <w:bottom w:val="single" w:sz="12" w:space="0" w:color="auto"/>
            </w:tcBorders>
          </w:tcPr>
          <w:p w:rsidR="00002BA6" w:rsidRPr="00D06B9E" w:rsidRDefault="00002BA6" w:rsidP="00FB5A71">
            <w:pPr>
              <w:spacing w:beforeLines="20" w:before="48" w:afterLines="20" w:after="48" w:line="200" w:lineRule="exact"/>
              <w:jc w:val="center"/>
              <w:rPr>
                <w:i/>
                <w:sz w:val="16"/>
                <w:szCs w:val="16"/>
              </w:rPr>
            </w:pPr>
          </w:p>
        </w:tc>
        <w:tc>
          <w:tcPr>
            <w:tcW w:w="975" w:type="dxa"/>
            <w:tcBorders>
              <w:bottom w:val="single" w:sz="12" w:space="0" w:color="auto"/>
              <w:right w:val="nil"/>
            </w:tcBorders>
          </w:tcPr>
          <w:p w:rsidR="00002BA6" w:rsidRPr="00D06B9E" w:rsidRDefault="00002BA6" w:rsidP="00FB5A71">
            <w:pPr>
              <w:spacing w:beforeLines="20" w:before="48" w:afterLines="20" w:after="48" w:line="200" w:lineRule="exact"/>
              <w:jc w:val="center"/>
              <w:rPr>
                <w:i/>
                <w:sz w:val="16"/>
                <w:szCs w:val="16"/>
              </w:rPr>
            </w:pPr>
          </w:p>
        </w:tc>
        <w:tc>
          <w:tcPr>
            <w:tcW w:w="976" w:type="dxa"/>
            <w:tcBorders>
              <w:left w:val="nil"/>
              <w:bottom w:val="single" w:sz="12" w:space="0" w:color="auto"/>
              <w:right w:val="nil"/>
            </w:tcBorders>
          </w:tcPr>
          <w:p w:rsidR="00002BA6" w:rsidRPr="00D06B9E" w:rsidRDefault="00002BA6" w:rsidP="00FB5A71">
            <w:pPr>
              <w:spacing w:beforeLines="20" w:before="48" w:afterLines="20" w:after="48" w:line="200" w:lineRule="exact"/>
              <w:jc w:val="center"/>
              <w:rPr>
                <w:i/>
                <w:sz w:val="16"/>
                <w:szCs w:val="16"/>
              </w:rPr>
            </w:pPr>
          </w:p>
        </w:tc>
        <w:tc>
          <w:tcPr>
            <w:tcW w:w="1159" w:type="dxa"/>
            <w:tcBorders>
              <w:left w:val="nil"/>
              <w:bottom w:val="single" w:sz="12" w:space="0" w:color="auto"/>
              <w:right w:val="nil"/>
            </w:tcBorders>
          </w:tcPr>
          <w:p w:rsidR="00002BA6" w:rsidRPr="00D06B9E" w:rsidRDefault="00002BA6" w:rsidP="00FB5A71">
            <w:pPr>
              <w:spacing w:beforeLines="20" w:before="48" w:afterLines="20" w:after="48" w:line="200" w:lineRule="exact"/>
              <w:jc w:val="center"/>
              <w:rPr>
                <w:i/>
                <w:sz w:val="16"/>
                <w:szCs w:val="16"/>
                <w:vertAlign w:val="superscript"/>
              </w:rPr>
            </w:pPr>
            <w:r w:rsidRPr="00D06B9E">
              <w:rPr>
                <w:i/>
                <w:sz w:val="16"/>
                <w:szCs w:val="16"/>
              </w:rPr>
              <w:t>u</w:t>
            </w:r>
            <w:r w:rsidRPr="00D06B9E">
              <w:rPr>
                <w:i/>
                <w:sz w:val="16"/>
                <w:szCs w:val="16"/>
                <w:vertAlign w:val="subscript"/>
              </w:rPr>
              <w:t>gas</w:t>
            </w:r>
            <w:r w:rsidRPr="00D06B9E">
              <w:rPr>
                <w:i/>
                <w:sz w:val="16"/>
                <w:szCs w:val="16"/>
                <w:vertAlign w:val="superscript"/>
              </w:rPr>
              <w:t>b</w:t>
            </w:r>
          </w:p>
        </w:tc>
        <w:tc>
          <w:tcPr>
            <w:tcW w:w="1026" w:type="dxa"/>
            <w:tcBorders>
              <w:left w:val="nil"/>
              <w:bottom w:val="single" w:sz="12" w:space="0" w:color="auto"/>
              <w:right w:val="nil"/>
            </w:tcBorders>
          </w:tcPr>
          <w:p w:rsidR="00002BA6" w:rsidRPr="00D06B9E" w:rsidRDefault="00002BA6" w:rsidP="00FB5A71">
            <w:pPr>
              <w:spacing w:beforeLines="20" w:before="48" w:afterLines="20" w:after="48" w:line="200" w:lineRule="exact"/>
              <w:jc w:val="center"/>
              <w:rPr>
                <w:i/>
                <w:sz w:val="16"/>
                <w:szCs w:val="16"/>
              </w:rPr>
            </w:pPr>
          </w:p>
        </w:tc>
        <w:tc>
          <w:tcPr>
            <w:tcW w:w="1054" w:type="dxa"/>
            <w:tcBorders>
              <w:left w:val="nil"/>
              <w:bottom w:val="single" w:sz="12" w:space="0" w:color="auto"/>
              <w:right w:val="nil"/>
            </w:tcBorders>
          </w:tcPr>
          <w:p w:rsidR="00002BA6" w:rsidRPr="00D06B9E" w:rsidRDefault="00002BA6" w:rsidP="00FB5A71">
            <w:pPr>
              <w:spacing w:beforeLines="20" w:before="48" w:afterLines="20" w:after="48" w:line="200" w:lineRule="exact"/>
              <w:jc w:val="center"/>
              <w:rPr>
                <w:i/>
                <w:sz w:val="16"/>
                <w:szCs w:val="16"/>
              </w:rPr>
            </w:pPr>
          </w:p>
        </w:tc>
        <w:tc>
          <w:tcPr>
            <w:tcW w:w="1134" w:type="dxa"/>
            <w:tcBorders>
              <w:left w:val="nil"/>
              <w:bottom w:val="single" w:sz="12" w:space="0" w:color="auto"/>
            </w:tcBorders>
          </w:tcPr>
          <w:p w:rsidR="00002BA6" w:rsidRPr="00D06B9E" w:rsidRDefault="00002BA6" w:rsidP="00FB5A71">
            <w:pPr>
              <w:spacing w:beforeLines="20" w:before="48" w:afterLines="20" w:after="48" w:line="200" w:lineRule="exact"/>
              <w:jc w:val="center"/>
              <w:rPr>
                <w:i/>
                <w:sz w:val="16"/>
                <w:szCs w:val="16"/>
              </w:rPr>
            </w:pPr>
          </w:p>
        </w:tc>
      </w:tr>
      <w:tr w:rsidR="00002BA6" w:rsidRPr="00B04DC3" w:rsidTr="00D06B9E">
        <w:trPr>
          <w:gridBefore w:val="1"/>
          <w:wBefore w:w="6" w:type="dxa"/>
        </w:trPr>
        <w:tc>
          <w:tcPr>
            <w:tcW w:w="966" w:type="dxa"/>
            <w:tcBorders>
              <w:top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Diesel</w:t>
            </w:r>
          </w:p>
        </w:tc>
        <w:tc>
          <w:tcPr>
            <w:tcW w:w="847"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1.2943</w:t>
            </w:r>
          </w:p>
        </w:tc>
        <w:tc>
          <w:tcPr>
            <w:tcW w:w="975"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0.001586</w:t>
            </w:r>
          </w:p>
        </w:tc>
        <w:tc>
          <w:tcPr>
            <w:tcW w:w="976"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0.000966</w:t>
            </w:r>
          </w:p>
        </w:tc>
        <w:tc>
          <w:tcPr>
            <w:tcW w:w="1159"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0.000479</w:t>
            </w:r>
          </w:p>
        </w:tc>
        <w:tc>
          <w:tcPr>
            <w:tcW w:w="1026"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0.001517</w:t>
            </w:r>
          </w:p>
        </w:tc>
        <w:tc>
          <w:tcPr>
            <w:tcW w:w="1054"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0.001103</w:t>
            </w:r>
          </w:p>
        </w:tc>
        <w:tc>
          <w:tcPr>
            <w:tcW w:w="1134" w:type="dxa"/>
            <w:tcBorders>
              <w:top w:val="single" w:sz="12" w:space="0" w:color="auto"/>
            </w:tcBorders>
            <w:vAlign w:val="center"/>
          </w:tcPr>
          <w:p w:rsidR="00002BA6" w:rsidRPr="00B04DC3" w:rsidRDefault="00002BA6" w:rsidP="00FB5A71">
            <w:pPr>
              <w:keepNext/>
              <w:spacing w:beforeLines="20" w:before="48" w:afterLines="20" w:after="48"/>
              <w:rPr>
                <w:sz w:val="18"/>
                <w:szCs w:val="18"/>
              </w:rPr>
            </w:pPr>
            <w:r w:rsidRPr="00B04DC3">
              <w:rPr>
                <w:sz w:val="18"/>
                <w:szCs w:val="18"/>
              </w:rPr>
              <w:t>0.000553</w:t>
            </w:r>
          </w:p>
        </w:tc>
      </w:tr>
      <w:tr w:rsidR="00002BA6" w:rsidRPr="00B04DC3">
        <w:trPr>
          <w:gridBefore w:val="1"/>
          <w:wBefore w:w="6" w:type="dxa"/>
        </w:trPr>
        <w:tc>
          <w:tcPr>
            <w:tcW w:w="966" w:type="dxa"/>
          </w:tcPr>
          <w:p w:rsidR="00002BA6" w:rsidRPr="00B04DC3" w:rsidRDefault="00002BA6" w:rsidP="00FB5A71">
            <w:pPr>
              <w:keepNext/>
              <w:spacing w:beforeLines="20" w:before="48" w:afterLines="20" w:after="48"/>
              <w:rPr>
                <w:sz w:val="18"/>
                <w:szCs w:val="18"/>
              </w:rPr>
            </w:pPr>
            <w:r w:rsidRPr="00B04DC3">
              <w:rPr>
                <w:sz w:val="18"/>
                <w:szCs w:val="18"/>
              </w:rPr>
              <w:t>Ethanol</w:t>
            </w:r>
          </w:p>
        </w:tc>
        <w:tc>
          <w:tcPr>
            <w:tcW w:w="847" w:type="dxa"/>
            <w:vAlign w:val="center"/>
          </w:tcPr>
          <w:p w:rsidR="00002BA6" w:rsidRPr="00B04DC3" w:rsidRDefault="00002BA6" w:rsidP="00FB5A71">
            <w:pPr>
              <w:keepNext/>
              <w:spacing w:beforeLines="20" w:before="48" w:afterLines="20" w:after="48"/>
              <w:rPr>
                <w:sz w:val="18"/>
                <w:szCs w:val="18"/>
              </w:rPr>
            </w:pPr>
            <w:r w:rsidRPr="00B04DC3">
              <w:rPr>
                <w:sz w:val="18"/>
                <w:szCs w:val="18"/>
              </w:rPr>
              <w:t>1.2757</w:t>
            </w:r>
          </w:p>
        </w:tc>
        <w:tc>
          <w:tcPr>
            <w:tcW w:w="975" w:type="dxa"/>
            <w:vAlign w:val="center"/>
          </w:tcPr>
          <w:p w:rsidR="00002BA6" w:rsidRPr="00B04DC3" w:rsidRDefault="00002BA6" w:rsidP="00FB5A71">
            <w:pPr>
              <w:keepNext/>
              <w:spacing w:beforeLines="20" w:before="48" w:afterLines="20" w:after="48"/>
              <w:rPr>
                <w:sz w:val="18"/>
                <w:szCs w:val="18"/>
              </w:rPr>
            </w:pPr>
            <w:r w:rsidRPr="00B04DC3">
              <w:rPr>
                <w:sz w:val="18"/>
                <w:szCs w:val="18"/>
              </w:rPr>
              <w:t>0.001609</w:t>
            </w:r>
          </w:p>
        </w:tc>
        <w:tc>
          <w:tcPr>
            <w:tcW w:w="976" w:type="dxa"/>
            <w:vAlign w:val="center"/>
          </w:tcPr>
          <w:p w:rsidR="00002BA6" w:rsidRPr="00B04DC3" w:rsidRDefault="00002BA6" w:rsidP="00FB5A71">
            <w:pPr>
              <w:keepNext/>
              <w:spacing w:beforeLines="20" w:before="48" w:afterLines="20" w:after="48"/>
              <w:rPr>
                <w:sz w:val="18"/>
                <w:szCs w:val="18"/>
              </w:rPr>
            </w:pPr>
            <w:r w:rsidRPr="00B04DC3">
              <w:rPr>
                <w:sz w:val="18"/>
                <w:szCs w:val="18"/>
              </w:rPr>
              <w:t>0.000980</w:t>
            </w:r>
          </w:p>
        </w:tc>
        <w:tc>
          <w:tcPr>
            <w:tcW w:w="1159" w:type="dxa"/>
            <w:vAlign w:val="center"/>
          </w:tcPr>
          <w:p w:rsidR="00002BA6" w:rsidRPr="00B04DC3" w:rsidRDefault="00002BA6" w:rsidP="00FB5A71">
            <w:pPr>
              <w:keepNext/>
              <w:spacing w:beforeLines="20" w:before="48" w:afterLines="20" w:after="48"/>
              <w:rPr>
                <w:sz w:val="18"/>
                <w:szCs w:val="18"/>
              </w:rPr>
            </w:pPr>
            <w:r w:rsidRPr="00B04DC3">
              <w:rPr>
                <w:sz w:val="18"/>
                <w:szCs w:val="18"/>
              </w:rPr>
              <w:t>0.000805</w:t>
            </w:r>
          </w:p>
        </w:tc>
        <w:tc>
          <w:tcPr>
            <w:tcW w:w="1026" w:type="dxa"/>
            <w:vAlign w:val="center"/>
          </w:tcPr>
          <w:p w:rsidR="00002BA6" w:rsidRPr="00B04DC3" w:rsidRDefault="00002BA6" w:rsidP="00FB5A71">
            <w:pPr>
              <w:keepNext/>
              <w:spacing w:beforeLines="20" w:before="48" w:afterLines="20" w:after="48"/>
              <w:rPr>
                <w:sz w:val="18"/>
                <w:szCs w:val="18"/>
              </w:rPr>
            </w:pPr>
            <w:r w:rsidRPr="00B04DC3">
              <w:rPr>
                <w:sz w:val="18"/>
                <w:szCs w:val="18"/>
              </w:rPr>
              <w:t>0.001539</w:t>
            </w:r>
          </w:p>
        </w:tc>
        <w:tc>
          <w:tcPr>
            <w:tcW w:w="1054" w:type="dxa"/>
            <w:vAlign w:val="center"/>
          </w:tcPr>
          <w:p w:rsidR="00002BA6" w:rsidRPr="00B04DC3" w:rsidRDefault="00002BA6" w:rsidP="00FB5A71">
            <w:pPr>
              <w:keepNext/>
              <w:spacing w:beforeLines="20" w:before="48" w:afterLines="20" w:after="48"/>
              <w:rPr>
                <w:sz w:val="18"/>
                <w:szCs w:val="18"/>
              </w:rPr>
            </w:pPr>
            <w:r w:rsidRPr="00B04DC3">
              <w:rPr>
                <w:sz w:val="18"/>
                <w:szCs w:val="18"/>
              </w:rPr>
              <w:t>0.001119</w:t>
            </w:r>
          </w:p>
        </w:tc>
        <w:tc>
          <w:tcPr>
            <w:tcW w:w="1134" w:type="dxa"/>
            <w:vAlign w:val="center"/>
          </w:tcPr>
          <w:p w:rsidR="00002BA6" w:rsidRPr="00B04DC3" w:rsidRDefault="00002BA6" w:rsidP="00FB5A71">
            <w:pPr>
              <w:keepNext/>
              <w:spacing w:beforeLines="20" w:before="48" w:afterLines="20" w:after="48"/>
              <w:rPr>
                <w:sz w:val="18"/>
                <w:szCs w:val="18"/>
              </w:rPr>
            </w:pPr>
            <w:r w:rsidRPr="00B04DC3">
              <w:rPr>
                <w:sz w:val="18"/>
                <w:szCs w:val="18"/>
              </w:rPr>
              <w:t>0.000561</w:t>
            </w:r>
          </w:p>
        </w:tc>
      </w:tr>
      <w:tr w:rsidR="00002BA6" w:rsidRPr="00B04DC3">
        <w:trPr>
          <w:gridBefore w:val="1"/>
          <w:wBefore w:w="6" w:type="dxa"/>
        </w:trPr>
        <w:tc>
          <w:tcPr>
            <w:tcW w:w="966" w:type="dxa"/>
          </w:tcPr>
          <w:p w:rsidR="00002BA6" w:rsidRPr="00B04DC3" w:rsidRDefault="00002BA6" w:rsidP="00FB5A71">
            <w:pPr>
              <w:keepNext/>
              <w:spacing w:beforeLines="20" w:before="48" w:afterLines="20" w:after="48"/>
              <w:rPr>
                <w:sz w:val="18"/>
                <w:szCs w:val="18"/>
              </w:rPr>
            </w:pPr>
            <w:r w:rsidRPr="00B04DC3">
              <w:rPr>
                <w:sz w:val="18"/>
                <w:szCs w:val="18"/>
              </w:rPr>
              <w:t>CNG</w:t>
            </w:r>
            <w:r w:rsidRPr="00B04DC3">
              <w:rPr>
                <w:sz w:val="18"/>
                <w:szCs w:val="18"/>
                <w:vertAlign w:val="superscript"/>
              </w:rPr>
              <w:t>c</w:t>
            </w:r>
          </w:p>
        </w:tc>
        <w:tc>
          <w:tcPr>
            <w:tcW w:w="847" w:type="dxa"/>
            <w:vAlign w:val="center"/>
          </w:tcPr>
          <w:p w:rsidR="00002BA6" w:rsidRPr="00B04DC3" w:rsidRDefault="00002BA6" w:rsidP="00FB5A71">
            <w:pPr>
              <w:keepNext/>
              <w:spacing w:beforeLines="20" w:before="48" w:afterLines="20" w:after="48"/>
              <w:rPr>
                <w:sz w:val="18"/>
                <w:szCs w:val="18"/>
              </w:rPr>
            </w:pPr>
            <w:r w:rsidRPr="00B04DC3">
              <w:rPr>
                <w:sz w:val="18"/>
                <w:szCs w:val="18"/>
              </w:rPr>
              <w:t>1.2661</w:t>
            </w:r>
          </w:p>
        </w:tc>
        <w:tc>
          <w:tcPr>
            <w:tcW w:w="975" w:type="dxa"/>
            <w:vAlign w:val="center"/>
          </w:tcPr>
          <w:p w:rsidR="00002BA6" w:rsidRPr="00B04DC3" w:rsidRDefault="00002BA6" w:rsidP="00FB5A71">
            <w:pPr>
              <w:keepNext/>
              <w:spacing w:beforeLines="20" w:before="48" w:afterLines="20" w:after="48"/>
              <w:rPr>
                <w:sz w:val="18"/>
                <w:szCs w:val="18"/>
              </w:rPr>
            </w:pPr>
            <w:r w:rsidRPr="00B04DC3">
              <w:rPr>
                <w:sz w:val="18"/>
                <w:szCs w:val="18"/>
              </w:rPr>
              <w:t>0.001621</w:t>
            </w:r>
          </w:p>
        </w:tc>
        <w:tc>
          <w:tcPr>
            <w:tcW w:w="976" w:type="dxa"/>
            <w:vAlign w:val="center"/>
          </w:tcPr>
          <w:p w:rsidR="00002BA6" w:rsidRPr="00B04DC3" w:rsidRDefault="00002BA6" w:rsidP="00FB5A71">
            <w:pPr>
              <w:keepNext/>
              <w:spacing w:beforeLines="20" w:before="48" w:afterLines="20" w:after="48"/>
              <w:rPr>
                <w:sz w:val="18"/>
                <w:szCs w:val="18"/>
              </w:rPr>
            </w:pPr>
            <w:r w:rsidRPr="00B04DC3">
              <w:rPr>
                <w:sz w:val="18"/>
                <w:szCs w:val="18"/>
              </w:rPr>
              <w:t>0.000987</w:t>
            </w:r>
          </w:p>
        </w:tc>
        <w:tc>
          <w:tcPr>
            <w:tcW w:w="1159" w:type="dxa"/>
            <w:vAlign w:val="center"/>
          </w:tcPr>
          <w:p w:rsidR="00002BA6" w:rsidRPr="00B04DC3" w:rsidRDefault="00002BA6" w:rsidP="00FB5A71">
            <w:pPr>
              <w:keepNext/>
              <w:spacing w:beforeLines="20" w:before="48" w:afterLines="20" w:after="48"/>
              <w:rPr>
                <w:sz w:val="18"/>
                <w:szCs w:val="18"/>
              </w:rPr>
            </w:pPr>
            <w:r w:rsidRPr="00B04DC3">
              <w:rPr>
                <w:sz w:val="18"/>
                <w:szCs w:val="18"/>
              </w:rPr>
              <w:t>0.000528</w:t>
            </w:r>
            <w:r w:rsidRPr="00B04DC3">
              <w:rPr>
                <w:sz w:val="18"/>
                <w:szCs w:val="18"/>
                <w:vertAlign w:val="superscript"/>
              </w:rPr>
              <w:t>d</w:t>
            </w:r>
          </w:p>
        </w:tc>
        <w:tc>
          <w:tcPr>
            <w:tcW w:w="1026" w:type="dxa"/>
            <w:vAlign w:val="center"/>
          </w:tcPr>
          <w:p w:rsidR="00002BA6" w:rsidRPr="00B04DC3" w:rsidRDefault="00002BA6" w:rsidP="00FB5A71">
            <w:pPr>
              <w:keepNext/>
              <w:spacing w:beforeLines="20" w:before="48" w:afterLines="20" w:after="48"/>
              <w:rPr>
                <w:sz w:val="18"/>
                <w:szCs w:val="18"/>
              </w:rPr>
            </w:pPr>
            <w:r w:rsidRPr="00B04DC3">
              <w:rPr>
                <w:sz w:val="18"/>
                <w:szCs w:val="18"/>
              </w:rPr>
              <w:t>0.001551</w:t>
            </w:r>
          </w:p>
        </w:tc>
        <w:tc>
          <w:tcPr>
            <w:tcW w:w="1054" w:type="dxa"/>
            <w:vAlign w:val="center"/>
          </w:tcPr>
          <w:p w:rsidR="00002BA6" w:rsidRPr="00B04DC3" w:rsidRDefault="00002BA6" w:rsidP="00FB5A71">
            <w:pPr>
              <w:keepNext/>
              <w:spacing w:beforeLines="20" w:before="48" w:afterLines="20" w:after="48"/>
              <w:rPr>
                <w:sz w:val="18"/>
                <w:szCs w:val="18"/>
              </w:rPr>
            </w:pPr>
            <w:r w:rsidRPr="00B04DC3">
              <w:rPr>
                <w:sz w:val="18"/>
                <w:szCs w:val="18"/>
              </w:rPr>
              <w:t>0.001128</w:t>
            </w:r>
          </w:p>
        </w:tc>
        <w:tc>
          <w:tcPr>
            <w:tcW w:w="1134" w:type="dxa"/>
            <w:vAlign w:val="center"/>
          </w:tcPr>
          <w:p w:rsidR="00002BA6" w:rsidRPr="00B04DC3" w:rsidRDefault="00002BA6" w:rsidP="00FB5A71">
            <w:pPr>
              <w:keepNext/>
              <w:spacing w:beforeLines="20" w:before="48" w:afterLines="20" w:after="48"/>
              <w:rPr>
                <w:sz w:val="18"/>
                <w:szCs w:val="18"/>
              </w:rPr>
            </w:pPr>
            <w:r w:rsidRPr="00B04DC3">
              <w:rPr>
                <w:sz w:val="18"/>
                <w:szCs w:val="18"/>
              </w:rPr>
              <w:t>0.000565</w:t>
            </w:r>
          </w:p>
        </w:tc>
      </w:tr>
      <w:tr w:rsidR="00002BA6" w:rsidRPr="00B04DC3">
        <w:trPr>
          <w:gridBefore w:val="1"/>
          <w:wBefore w:w="6" w:type="dxa"/>
        </w:trPr>
        <w:tc>
          <w:tcPr>
            <w:tcW w:w="966" w:type="dxa"/>
          </w:tcPr>
          <w:p w:rsidR="00002BA6" w:rsidRPr="00B04DC3" w:rsidRDefault="00002BA6" w:rsidP="00FB5A71">
            <w:pPr>
              <w:keepNext/>
              <w:spacing w:beforeLines="20" w:before="48" w:afterLines="20" w:after="48"/>
              <w:rPr>
                <w:sz w:val="18"/>
                <w:szCs w:val="18"/>
              </w:rPr>
            </w:pPr>
            <w:r w:rsidRPr="00B04DC3">
              <w:rPr>
                <w:sz w:val="18"/>
                <w:szCs w:val="18"/>
              </w:rPr>
              <w:t>Propane</w:t>
            </w:r>
          </w:p>
        </w:tc>
        <w:tc>
          <w:tcPr>
            <w:tcW w:w="847" w:type="dxa"/>
            <w:vAlign w:val="center"/>
          </w:tcPr>
          <w:p w:rsidR="00002BA6" w:rsidRPr="00B04DC3" w:rsidRDefault="00002BA6" w:rsidP="00FB5A71">
            <w:pPr>
              <w:keepNext/>
              <w:spacing w:beforeLines="20" w:before="48" w:afterLines="20" w:after="48"/>
              <w:rPr>
                <w:sz w:val="18"/>
                <w:szCs w:val="18"/>
              </w:rPr>
            </w:pPr>
            <w:r w:rsidRPr="00B04DC3">
              <w:rPr>
                <w:sz w:val="18"/>
                <w:szCs w:val="18"/>
              </w:rPr>
              <w:t>1.2805</w:t>
            </w:r>
          </w:p>
        </w:tc>
        <w:tc>
          <w:tcPr>
            <w:tcW w:w="975" w:type="dxa"/>
            <w:vAlign w:val="center"/>
          </w:tcPr>
          <w:p w:rsidR="00002BA6" w:rsidRPr="00B04DC3" w:rsidRDefault="00002BA6" w:rsidP="00FB5A71">
            <w:pPr>
              <w:keepNext/>
              <w:spacing w:beforeLines="20" w:before="48" w:afterLines="20" w:after="48"/>
              <w:rPr>
                <w:sz w:val="18"/>
                <w:szCs w:val="18"/>
              </w:rPr>
            </w:pPr>
            <w:r w:rsidRPr="00B04DC3">
              <w:rPr>
                <w:sz w:val="18"/>
                <w:szCs w:val="18"/>
              </w:rPr>
              <w:t>0.001603</w:t>
            </w:r>
          </w:p>
        </w:tc>
        <w:tc>
          <w:tcPr>
            <w:tcW w:w="976" w:type="dxa"/>
            <w:vAlign w:val="center"/>
          </w:tcPr>
          <w:p w:rsidR="00002BA6" w:rsidRPr="00B04DC3" w:rsidRDefault="00002BA6" w:rsidP="00FB5A71">
            <w:pPr>
              <w:keepNext/>
              <w:spacing w:beforeLines="20" w:before="48" w:afterLines="20" w:after="48"/>
              <w:rPr>
                <w:sz w:val="18"/>
                <w:szCs w:val="18"/>
              </w:rPr>
            </w:pPr>
            <w:r w:rsidRPr="00B04DC3">
              <w:rPr>
                <w:sz w:val="18"/>
                <w:szCs w:val="18"/>
              </w:rPr>
              <w:t>0.000976</w:t>
            </w:r>
          </w:p>
        </w:tc>
        <w:tc>
          <w:tcPr>
            <w:tcW w:w="1159" w:type="dxa"/>
            <w:vAlign w:val="center"/>
          </w:tcPr>
          <w:p w:rsidR="00002BA6" w:rsidRPr="00B04DC3" w:rsidRDefault="00002BA6" w:rsidP="00FB5A71">
            <w:pPr>
              <w:keepNext/>
              <w:spacing w:beforeLines="20" w:before="48" w:afterLines="20" w:after="48"/>
              <w:rPr>
                <w:sz w:val="18"/>
                <w:szCs w:val="18"/>
              </w:rPr>
            </w:pPr>
            <w:r w:rsidRPr="00B04DC3">
              <w:rPr>
                <w:sz w:val="18"/>
                <w:szCs w:val="18"/>
              </w:rPr>
              <w:t>0.000512</w:t>
            </w:r>
          </w:p>
        </w:tc>
        <w:tc>
          <w:tcPr>
            <w:tcW w:w="1026" w:type="dxa"/>
            <w:vAlign w:val="center"/>
          </w:tcPr>
          <w:p w:rsidR="00002BA6" w:rsidRPr="00B04DC3" w:rsidRDefault="00002BA6" w:rsidP="00FB5A71">
            <w:pPr>
              <w:keepNext/>
              <w:spacing w:beforeLines="20" w:before="48" w:afterLines="20" w:after="48"/>
              <w:rPr>
                <w:sz w:val="18"/>
                <w:szCs w:val="18"/>
              </w:rPr>
            </w:pPr>
            <w:r w:rsidRPr="00B04DC3">
              <w:rPr>
                <w:sz w:val="18"/>
                <w:szCs w:val="18"/>
              </w:rPr>
              <w:t>0.001533</w:t>
            </w:r>
          </w:p>
        </w:tc>
        <w:tc>
          <w:tcPr>
            <w:tcW w:w="1054" w:type="dxa"/>
            <w:vAlign w:val="center"/>
          </w:tcPr>
          <w:p w:rsidR="00002BA6" w:rsidRPr="00B04DC3" w:rsidRDefault="00002BA6" w:rsidP="00FB5A71">
            <w:pPr>
              <w:keepNext/>
              <w:spacing w:beforeLines="20" w:before="48" w:afterLines="20" w:after="48"/>
              <w:rPr>
                <w:sz w:val="18"/>
                <w:szCs w:val="18"/>
              </w:rPr>
            </w:pPr>
            <w:r w:rsidRPr="00B04DC3">
              <w:rPr>
                <w:sz w:val="18"/>
                <w:szCs w:val="18"/>
              </w:rPr>
              <w:t>0.001115</w:t>
            </w:r>
          </w:p>
        </w:tc>
        <w:tc>
          <w:tcPr>
            <w:tcW w:w="1134" w:type="dxa"/>
            <w:vAlign w:val="center"/>
          </w:tcPr>
          <w:p w:rsidR="00002BA6" w:rsidRPr="00B04DC3" w:rsidRDefault="00002BA6" w:rsidP="00FB5A71">
            <w:pPr>
              <w:keepNext/>
              <w:spacing w:beforeLines="20" w:before="48" w:afterLines="20" w:after="48"/>
              <w:rPr>
                <w:sz w:val="18"/>
                <w:szCs w:val="18"/>
              </w:rPr>
            </w:pPr>
            <w:r w:rsidRPr="00B04DC3">
              <w:rPr>
                <w:sz w:val="18"/>
                <w:szCs w:val="18"/>
              </w:rPr>
              <w:t>0.000559</w:t>
            </w:r>
          </w:p>
        </w:tc>
      </w:tr>
      <w:tr w:rsidR="00002BA6" w:rsidRPr="00B04DC3">
        <w:trPr>
          <w:gridBefore w:val="1"/>
          <w:wBefore w:w="6" w:type="dxa"/>
        </w:trPr>
        <w:tc>
          <w:tcPr>
            <w:tcW w:w="966" w:type="dxa"/>
          </w:tcPr>
          <w:p w:rsidR="00002BA6" w:rsidRPr="00B04DC3" w:rsidRDefault="00002BA6" w:rsidP="00FB5A71">
            <w:pPr>
              <w:keepNext/>
              <w:spacing w:beforeLines="20" w:before="48" w:afterLines="20" w:after="48"/>
              <w:rPr>
                <w:sz w:val="18"/>
                <w:szCs w:val="18"/>
              </w:rPr>
            </w:pPr>
            <w:r w:rsidRPr="00B04DC3">
              <w:rPr>
                <w:sz w:val="18"/>
                <w:szCs w:val="18"/>
              </w:rPr>
              <w:t>Butane</w:t>
            </w:r>
          </w:p>
        </w:tc>
        <w:tc>
          <w:tcPr>
            <w:tcW w:w="847" w:type="dxa"/>
            <w:vAlign w:val="center"/>
          </w:tcPr>
          <w:p w:rsidR="00002BA6" w:rsidRPr="00B04DC3" w:rsidRDefault="00002BA6" w:rsidP="00FB5A71">
            <w:pPr>
              <w:keepNext/>
              <w:spacing w:beforeLines="20" w:before="48" w:afterLines="20" w:after="48"/>
              <w:rPr>
                <w:sz w:val="18"/>
                <w:szCs w:val="18"/>
              </w:rPr>
            </w:pPr>
            <w:r w:rsidRPr="00B04DC3">
              <w:rPr>
                <w:sz w:val="18"/>
                <w:szCs w:val="18"/>
              </w:rPr>
              <w:t>1.2832</w:t>
            </w:r>
          </w:p>
        </w:tc>
        <w:tc>
          <w:tcPr>
            <w:tcW w:w="975" w:type="dxa"/>
            <w:vAlign w:val="center"/>
          </w:tcPr>
          <w:p w:rsidR="00002BA6" w:rsidRPr="00B04DC3" w:rsidRDefault="00002BA6" w:rsidP="00FB5A71">
            <w:pPr>
              <w:keepNext/>
              <w:spacing w:beforeLines="20" w:before="48" w:afterLines="20" w:after="48"/>
              <w:rPr>
                <w:sz w:val="18"/>
                <w:szCs w:val="18"/>
              </w:rPr>
            </w:pPr>
            <w:r w:rsidRPr="00B04DC3">
              <w:rPr>
                <w:sz w:val="18"/>
                <w:szCs w:val="18"/>
              </w:rPr>
              <w:t>0.001600</w:t>
            </w:r>
          </w:p>
        </w:tc>
        <w:tc>
          <w:tcPr>
            <w:tcW w:w="976" w:type="dxa"/>
            <w:vAlign w:val="center"/>
          </w:tcPr>
          <w:p w:rsidR="00002BA6" w:rsidRPr="00B04DC3" w:rsidRDefault="00002BA6" w:rsidP="00FB5A71">
            <w:pPr>
              <w:keepNext/>
              <w:spacing w:beforeLines="20" w:before="48" w:afterLines="20" w:after="48"/>
              <w:rPr>
                <w:sz w:val="18"/>
                <w:szCs w:val="18"/>
              </w:rPr>
            </w:pPr>
            <w:r w:rsidRPr="00B04DC3">
              <w:rPr>
                <w:sz w:val="18"/>
                <w:szCs w:val="18"/>
              </w:rPr>
              <w:t>0.000974</w:t>
            </w:r>
          </w:p>
        </w:tc>
        <w:tc>
          <w:tcPr>
            <w:tcW w:w="1159" w:type="dxa"/>
            <w:vAlign w:val="center"/>
          </w:tcPr>
          <w:p w:rsidR="00002BA6" w:rsidRPr="00B04DC3" w:rsidRDefault="00002BA6" w:rsidP="00FB5A71">
            <w:pPr>
              <w:keepNext/>
              <w:spacing w:beforeLines="20" w:before="48" w:afterLines="20" w:after="48"/>
              <w:rPr>
                <w:sz w:val="18"/>
                <w:szCs w:val="18"/>
              </w:rPr>
            </w:pPr>
            <w:r w:rsidRPr="00B04DC3">
              <w:rPr>
                <w:sz w:val="18"/>
                <w:szCs w:val="18"/>
              </w:rPr>
              <w:t>0.000505</w:t>
            </w:r>
          </w:p>
        </w:tc>
        <w:tc>
          <w:tcPr>
            <w:tcW w:w="1026" w:type="dxa"/>
            <w:vAlign w:val="center"/>
          </w:tcPr>
          <w:p w:rsidR="00002BA6" w:rsidRPr="00B04DC3" w:rsidRDefault="00002BA6" w:rsidP="00FB5A71">
            <w:pPr>
              <w:keepNext/>
              <w:spacing w:beforeLines="20" w:before="48" w:afterLines="20" w:after="48"/>
              <w:rPr>
                <w:sz w:val="18"/>
                <w:szCs w:val="18"/>
              </w:rPr>
            </w:pPr>
            <w:r w:rsidRPr="00B04DC3">
              <w:rPr>
                <w:sz w:val="18"/>
                <w:szCs w:val="18"/>
              </w:rPr>
              <w:t>0.001530</w:t>
            </w:r>
          </w:p>
        </w:tc>
        <w:tc>
          <w:tcPr>
            <w:tcW w:w="1054" w:type="dxa"/>
            <w:vAlign w:val="center"/>
          </w:tcPr>
          <w:p w:rsidR="00002BA6" w:rsidRPr="00B04DC3" w:rsidRDefault="00002BA6" w:rsidP="00FB5A71">
            <w:pPr>
              <w:keepNext/>
              <w:spacing w:beforeLines="20" w:before="48" w:afterLines="20" w:after="48"/>
              <w:rPr>
                <w:sz w:val="18"/>
                <w:szCs w:val="18"/>
              </w:rPr>
            </w:pPr>
            <w:r w:rsidRPr="00B04DC3">
              <w:rPr>
                <w:sz w:val="18"/>
                <w:szCs w:val="18"/>
              </w:rPr>
              <w:t>0.001113</w:t>
            </w:r>
          </w:p>
        </w:tc>
        <w:tc>
          <w:tcPr>
            <w:tcW w:w="1134" w:type="dxa"/>
            <w:vAlign w:val="center"/>
          </w:tcPr>
          <w:p w:rsidR="00002BA6" w:rsidRPr="00B04DC3" w:rsidRDefault="00002BA6" w:rsidP="00FB5A71">
            <w:pPr>
              <w:keepNext/>
              <w:spacing w:beforeLines="20" w:before="48" w:afterLines="20" w:after="48"/>
              <w:rPr>
                <w:sz w:val="18"/>
                <w:szCs w:val="18"/>
              </w:rPr>
            </w:pPr>
            <w:r w:rsidRPr="00B04DC3">
              <w:rPr>
                <w:sz w:val="18"/>
                <w:szCs w:val="18"/>
              </w:rPr>
              <w:t>0.000558</w:t>
            </w:r>
          </w:p>
        </w:tc>
      </w:tr>
      <w:tr w:rsidR="00002BA6" w:rsidRPr="00B04DC3" w:rsidTr="00D06B9E">
        <w:trPr>
          <w:gridBefore w:val="1"/>
          <w:wBefore w:w="6" w:type="dxa"/>
        </w:trPr>
        <w:tc>
          <w:tcPr>
            <w:tcW w:w="966"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LPG</w:t>
            </w:r>
            <w:r w:rsidRPr="00B04DC3">
              <w:rPr>
                <w:sz w:val="18"/>
                <w:szCs w:val="18"/>
                <w:vertAlign w:val="superscript"/>
              </w:rPr>
              <w:t>e</w:t>
            </w:r>
          </w:p>
        </w:tc>
        <w:tc>
          <w:tcPr>
            <w:tcW w:w="847"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1.2811</w:t>
            </w:r>
          </w:p>
        </w:tc>
        <w:tc>
          <w:tcPr>
            <w:tcW w:w="975"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0.001602</w:t>
            </w:r>
          </w:p>
        </w:tc>
        <w:tc>
          <w:tcPr>
            <w:tcW w:w="976"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0.000976</w:t>
            </w:r>
          </w:p>
        </w:tc>
        <w:tc>
          <w:tcPr>
            <w:tcW w:w="1159"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0.000510</w:t>
            </w:r>
          </w:p>
        </w:tc>
        <w:tc>
          <w:tcPr>
            <w:tcW w:w="1026"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0.001533</w:t>
            </w:r>
          </w:p>
        </w:tc>
        <w:tc>
          <w:tcPr>
            <w:tcW w:w="1054"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0.001115</w:t>
            </w:r>
          </w:p>
        </w:tc>
        <w:tc>
          <w:tcPr>
            <w:tcW w:w="1134" w:type="dxa"/>
            <w:tcBorders>
              <w:bottom w:val="single" w:sz="12" w:space="0" w:color="auto"/>
            </w:tcBorders>
          </w:tcPr>
          <w:p w:rsidR="00002BA6" w:rsidRPr="00B04DC3" w:rsidRDefault="00002BA6" w:rsidP="00FB5A71">
            <w:pPr>
              <w:keepNext/>
              <w:spacing w:beforeLines="20" w:before="48" w:afterLines="20" w:after="48"/>
              <w:rPr>
                <w:sz w:val="18"/>
                <w:szCs w:val="18"/>
              </w:rPr>
            </w:pPr>
            <w:r w:rsidRPr="00B04DC3">
              <w:rPr>
                <w:sz w:val="18"/>
                <w:szCs w:val="18"/>
              </w:rPr>
              <w:t>0.000559</w:t>
            </w:r>
          </w:p>
        </w:tc>
      </w:tr>
      <w:tr w:rsidR="00002BA6" w:rsidRPr="00B04DC3" w:rsidTr="00D06B9E">
        <w:tc>
          <w:tcPr>
            <w:tcW w:w="8143" w:type="dxa"/>
            <w:gridSpan w:val="9"/>
            <w:tcBorders>
              <w:left w:val="nil"/>
              <w:bottom w:val="nil"/>
              <w:right w:val="nil"/>
            </w:tcBorders>
          </w:tcPr>
          <w:p w:rsidR="00002BA6" w:rsidRPr="00B04DC3" w:rsidRDefault="00002BA6" w:rsidP="00FB5A71">
            <w:pPr>
              <w:tabs>
                <w:tab w:val="left" w:pos="142"/>
              </w:tabs>
              <w:rPr>
                <w:bCs/>
                <w:sz w:val="18"/>
                <w:szCs w:val="18"/>
              </w:rPr>
            </w:pPr>
            <w:r w:rsidRPr="00B04DC3">
              <w:rPr>
                <w:bCs/>
                <w:sz w:val="18"/>
                <w:szCs w:val="18"/>
                <w:vertAlign w:val="superscript"/>
              </w:rPr>
              <w:t>a</w:t>
            </w:r>
            <w:r w:rsidRPr="00B04DC3">
              <w:rPr>
                <w:bCs/>
                <w:sz w:val="18"/>
                <w:szCs w:val="18"/>
              </w:rPr>
              <w:tab/>
              <w:t>depending on fuel</w:t>
            </w:r>
          </w:p>
          <w:p w:rsidR="00002BA6" w:rsidRPr="00B04DC3" w:rsidRDefault="00002BA6" w:rsidP="00FB5A71">
            <w:pPr>
              <w:tabs>
                <w:tab w:val="left" w:pos="142"/>
              </w:tabs>
              <w:rPr>
                <w:sz w:val="18"/>
                <w:szCs w:val="18"/>
              </w:rPr>
            </w:pPr>
            <w:r w:rsidRPr="00B04DC3">
              <w:rPr>
                <w:sz w:val="18"/>
                <w:szCs w:val="18"/>
                <w:vertAlign w:val="superscript"/>
              </w:rPr>
              <w:t>b</w:t>
            </w:r>
            <w:r w:rsidRPr="00B04DC3">
              <w:rPr>
                <w:sz w:val="18"/>
                <w:szCs w:val="18"/>
              </w:rPr>
              <w:tab/>
              <w:t xml:space="preserve">at </w:t>
            </w:r>
            <w:r w:rsidRPr="00B04DC3">
              <w:rPr>
                <w:sz w:val="18"/>
                <w:szCs w:val="18"/>
              </w:rPr>
              <w:sym w:font="Symbol" w:char="F06C"/>
            </w:r>
            <w:r w:rsidRPr="00B04DC3">
              <w:rPr>
                <w:sz w:val="18"/>
                <w:szCs w:val="18"/>
              </w:rPr>
              <w:t xml:space="preserve"> = 2, dry air, 273 K, 101.3 kPa</w:t>
            </w:r>
          </w:p>
          <w:p w:rsidR="00002BA6" w:rsidRPr="00B04DC3" w:rsidRDefault="00002BA6" w:rsidP="00FB5A71">
            <w:pPr>
              <w:tabs>
                <w:tab w:val="left" w:pos="142"/>
              </w:tabs>
              <w:rPr>
                <w:sz w:val="18"/>
                <w:szCs w:val="18"/>
              </w:rPr>
            </w:pPr>
            <w:r w:rsidRPr="00B04DC3">
              <w:rPr>
                <w:sz w:val="18"/>
                <w:szCs w:val="18"/>
                <w:vertAlign w:val="superscript"/>
              </w:rPr>
              <w:t>c</w:t>
            </w:r>
            <w:r w:rsidRPr="00B04DC3">
              <w:rPr>
                <w:sz w:val="18"/>
                <w:szCs w:val="18"/>
              </w:rPr>
              <w:tab/>
              <w:t xml:space="preserve">u accurate within 0.2 % for mass composition of: C = 66 - 76 %; H = 22 - 25 %; N = 0 - 12 % </w:t>
            </w:r>
          </w:p>
          <w:p w:rsidR="00002BA6" w:rsidRPr="00B04DC3" w:rsidRDefault="00002BA6" w:rsidP="00FB5A71">
            <w:pPr>
              <w:tabs>
                <w:tab w:val="left" w:pos="142"/>
              </w:tabs>
              <w:rPr>
                <w:sz w:val="18"/>
                <w:szCs w:val="18"/>
              </w:rPr>
            </w:pPr>
            <w:r w:rsidRPr="00B04DC3">
              <w:rPr>
                <w:sz w:val="18"/>
                <w:szCs w:val="18"/>
                <w:vertAlign w:val="superscript"/>
              </w:rPr>
              <w:t>d</w:t>
            </w:r>
            <w:r w:rsidRPr="00B04DC3">
              <w:rPr>
                <w:sz w:val="18"/>
                <w:szCs w:val="18"/>
              </w:rPr>
              <w:tab/>
              <w:t>NMHC on the basis of CH</w:t>
            </w:r>
            <w:r w:rsidRPr="00B04DC3">
              <w:rPr>
                <w:sz w:val="18"/>
                <w:szCs w:val="18"/>
                <w:vertAlign w:val="subscript"/>
              </w:rPr>
              <w:t>2.93</w:t>
            </w:r>
            <w:r w:rsidRPr="00B04DC3">
              <w:rPr>
                <w:sz w:val="18"/>
                <w:szCs w:val="18"/>
              </w:rPr>
              <w:t xml:space="preserve"> (for total HC the u</w:t>
            </w:r>
            <w:r w:rsidRPr="00B04DC3">
              <w:rPr>
                <w:sz w:val="18"/>
                <w:szCs w:val="18"/>
                <w:vertAlign w:val="subscript"/>
              </w:rPr>
              <w:t>gas</w:t>
            </w:r>
            <w:r w:rsidRPr="00B04DC3">
              <w:rPr>
                <w:sz w:val="18"/>
                <w:szCs w:val="18"/>
              </w:rPr>
              <w:t xml:space="preserve"> coefficient of CH</w:t>
            </w:r>
            <w:r w:rsidRPr="00B04DC3">
              <w:rPr>
                <w:sz w:val="18"/>
                <w:szCs w:val="18"/>
                <w:vertAlign w:val="subscript"/>
              </w:rPr>
              <w:t>4</w:t>
            </w:r>
            <w:r w:rsidRPr="00B04DC3">
              <w:rPr>
                <w:sz w:val="18"/>
                <w:szCs w:val="18"/>
              </w:rPr>
              <w:t xml:space="preserve"> shall be used)</w:t>
            </w:r>
          </w:p>
          <w:p w:rsidR="00002BA6" w:rsidRPr="00B04DC3" w:rsidRDefault="00002BA6" w:rsidP="00FB5A71">
            <w:pPr>
              <w:tabs>
                <w:tab w:val="left" w:pos="142"/>
              </w:tabs>
            </w:pPr>
            <w:r w:rsidRPr="00B04DC3">
              <w:rPr>
                <w:sz w:val="18"/>
                <w:szCs w:val="18"/>
                <w:vertAlign w:val="superscript"/>
              </w:rPr>
              <w:t>e</w:t>
            </w:r>
            <w:r w:rsidRPr="00B04DC3">
              <w:rPr>
                <w:sz w:val="18"/>
                <w:szCs w:val="18"/>
              </w:rPr>
              <w:tab/>
              <w:t>u accurate within 0.2 % for mass composition of: C3 = 70 - 90 %; C4 = 10 - 30 %</w:t>
            </w:r>
          </w:p>
        </w:tc>
      </w:tr>
    </w:tbl>
    <w:p w:rsidR="00002BA6" w:rsidRPr="00B04DC3" w:rsidRDefault="00002BA6" w:rsidP="00002BA6">
      <w:pPr>
        <w:pStyle w:val="para"/>
        <w:spacing w:before="240"/>
        <w:rPr>
          <w:lang w:val="en-GB"/>
        </w:rPr>
      </w:pPr>
      <w:r w:rsidRPr="00B04DC3">
        <w:rPr>
          <w:lang w:val="en-GB"/>
        </w:rPr>
        <w:t>8.4.2.4.</w:t>
      </w:r>
      <w:r w:rsidRPr="00B04DC3">
        <w:rPr>
          <w:lang w:val="en-GB"/>
        </w:rPr>
        <w:tab/>
        <w:t>Calculation of mass emission based on exact equations</w:t>
      </w:r>
    </w:p>
    <w:p w:rsidR="00002BA6" w:rsidRPr="00B04DC3" w:rsidRDefault="00002BA6" w:rsidP="00002BA6">
      <w:pPr>
        <w:pStyle w:val="para"/>
        <w:rPr>
          <w:lang w:val="en-GB"/>
        </w:rPr>
      </w:pPr>
      <w:r w:rsidRPr="00B04DC3">
        <w:rPr>
          <w:lang w:val="en-GB"/>
        </w:rPr>
        <w:tab/>
        <w:t xml:space="preserve">The mass of the pollutants (g/test) shall be determined by calculating the instantaneous mass emissions from the raw concentrations of the pollutants, the </w:t>
      </w:r>
      <w:r w:rsidRPr="00B04DC3">
        <w:rPr>
          <w:i/>
          <w:lang w:val="en-GB"/>
        </w:rPr>
        <w:t>u</w:t>
      </w:r>
      <w:r w:rsidRPr="00B04DC3">
        <w:rPr>
          <w:lang w:val="en-GB"/>
        </w:rPr>
        <w:t xml:space="preserve"> values and the exhaust gas mass flow, aligned for the transformation time as determined in accordance with paragraph 8.4.2.2.</w:t>
      </w:r>
      <w:r w:rsidR="003730F4" w:rsidRPr="003730F4">
        <w:rPr>
          <w:lang w:val="en-GB"/>
        </w:rPr>
        <w:t xml:space="preserve"> </w:t>
      </w:r>
      <w:r w:rsidR="003730F4">
        <w:rPr>
          <w:lang w:val="en-GB"/>
        </w:rPr>
        <w:t>of this annex</w:t>
      </w:r>
      <w:r w:rsidRPr="00B04DC3">
        <w:rPr>
          <w:lang w:val="en-GB"/>
        </w:rPr>
        <w:t xml:space="preserve"> and integrating the instantaneous values over the cycle. If measured on a dry basis, the dry/wet correction according to paragraph 8.1.</w:t>
      </w:r>
      <w:r w:rsidR="003730F4" w:rsidRPr="003730F4">
        <w:rPr>
          <w:lang w:val="en-GB"/>
        </w:rPr>
        <w:t xml:space="preserve"> </w:t>
      </w:r>
      <w:r w:rsidR="003730F4">
        <w:rPr>
          <w:lang w:val="en-GB"/>
        </w:rPr>
        <w:t>of this annex</w:t>
      </w:r>
      <w:r w:rsidRPr="00B04DC3">
        <w:rPr>
          <w:lang w:val="en-GB"/>
        </w:rPr>
        <w:t xml:space="preserve"> shall be applied to the instantaneous concentration values before any further calculation is done.</w:t>
      </w:r>
    </w:p>
    <w:p w:rsidR="00002BA6" w:rsidRPr="00B04DC3" w:rsidRDefault="00002BA6" w:rsidP="00002BA6">
      <w:pPr>
        <w:pStyle w:val="para"/>
        <w:rPr>
          <w:lang w:val="en-GB"/>
        </w:rPr>
      </w:pPr>
      <w:r w:rsidRPr="00B04DC3">
        <w:rPr>
          <w:lang w:val="en-GB"/>
        </w:rPr>
        <w:tab/>
        <w:t>For the calculation of NO</w:t>
      </w:r>
      <w:r w:rsidRPr="00B04DC3">
        <w:rPr>
          <w:vertAlign w:val="subscript"/>
          <w:lang w:val="en-GB"/>
        </w:rPr>
        <w:t>x</w:t>
      </w:r>
      <w:r w:rsidRPr="00B04DC3">
        <w:rPr>
          <w:lang w:val="en-GB"/>
        </w:rPr>
        <w:t>, the mass emission shall be multiplied with the humidity correction factor k</w:t>
      </w:r>
      <w:r w:rsidRPr="00B04DC3">
        <w:rPr>
          <w:vertAlign w:val="subscript"/>
          <w:lang w:val="en-GB"/>
        </w:rPr>
        <w:t>h,D</w:t>
      </w:r>
      <w:r w:rsidRPr="00B04DC3">
        <w:rPr>
          <w:lang w:val="en-GB"/>
        </w:rPr>
        <w:t>, or k</w:t>
      </w:r>
      <w:r w:rsidRPr="00B04DC3">
        <w:rPr>
          <w:vertAlign w:val="subscript"/>
          <w:lang w:val="en-GB"/>
        </w:rPr>
        <w:t>h,G</w:t>
      </w:r>
      <w:r w:rsidRPr="00B04DC3">
        <w:rPr>
          <w:lang w:val="en-GB"/>
        </w:rPr>
        <w:t>, as determined according to paragraph 8.2.</w:t>
      </w:r>
      <w:r w:rsidR="003730F4" w:rsidRPr="003730F4">
        <w:rPr>
          <w:lang w:val="en-GB"/>
        </w:rPr>
        <w:t xml:space="preserve"> </w:t>
      </w:r>
      <w:r w:rsidR="003730F4">
        <w:rPr>
          <w:lang w:val="en-GB"/>
        </w:rPr>
        <w:t>of this annex.</w:t>
      </w:r>
    </w:p>
    <w:p w:rsidR="00002BA6" w:rsidRPr="00B04DC3" w:rsidRDefault="00002BA6" w:rsidP="00961115">
      <w:pPr>
        <w:pStyle w:val="para"/>
        <w:keepNext/>
        <w:keepLines/>
        <w:rPr>
          <w:lang w:val="en-GB"/>
        </w:rPr>
      </w:pPr>
      <w:r w:rsidRPr="00B04DC3">
        <w:rPr>
          <w:lang w:val="en-GB"/>
        </w:rPr>
        <w:tab/>
        <w:t>The following equation shall be applied:</w:t>
      </w:r>
    </w:p>
    <w:p w:rsidR="009E02A2" w:rsidRDefault="00AF4FCB" w:rsidP="00002BA6">
      <w:pPr>
        <w:pStyle w:val="para"/>
        <w:tabs>
          <w:tab w:val="right" w:pos="7000"/>
          <w:tab w:val="right" w:pos="8500"/>
        </w:tabs>
        <w:ind w:firstLine="0"/>
        <w:rPr>
          <w:lang w:val="en-GB"/>
        </w:rPr>
      </w:pPr>
      <w:r w:rsidRPr="009E02A2">
        <w:rPr>
          <w:position w:val="-28"/>
          <w:lang w:val="en-GB"/>
        </w:rPr>
        <w:object w:dxaOrig="3080" w:dyaOrig="680">
          <v:shape id="_x0000_i1251" type="#_x0000_t75" style="width:139.8pt;height:30.6pt" o:ole="">
            <v:imagedata r:id="rId380" o:title=""/>
          </v:shape>
          <o:OLEObject Type="Embed" ProgID="Equation.3" ShapeID="_x0000_i1251" DrawAspect="Content" ObjectID="_1498392347" r:id="rId381"/>
        </w:object>
      </w:r>
      <w:r w:rsidR="009E02A2">
        <w:rPr>
          <w:lang w:val="en-GB"/>
        </w:rPr>
        <w:tab/>
      </w:r>
      <w:r w:rsidR="009E02A2" w:rsidRPr="00B04DC3">
        <w:rPr>
          <w:lang w:val="en-GB"/>
        </w:rPr>
        <w:t>(in g/test)</w:t>
      </w:r>
      <w:r w:rsidR="009E02A2" w:rsidRPr="00B04DC3">
        <w:rPr>
          <w:lang w:val="en-GB"/>
        </w:rPr>
        <w:tab/>
        <w:t>(37)</w:t>
      </w:r>
    </w:p>
    <w:p w:rsidR="00002BA6" w:rsidRPr="00B04DC3" w:rsidRDefault="00002BA6" w:rsidP="00FB5A71">
      <w:pPr>
        <w:pStyle w:val="para"/>
        <w:keepNext/>
        <w:keepLines/>
        <w:rPr>
          <w:lang w:val="en-GB"/>
        </w:rPr>
      </w:pPr>
      <w:r w:rsidRPr="00B04DC3">
        <w:rPr>
          <w:sz w:val="24"/>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strike/>
          <w:lang w:val="en-GB" w:eastAsia="de-DE"/>
        </w:rPr>
      </w:pPr>
      <w:r w:rsidRPr="00B04DC3">
        <w:rPr>
          <w:iCs/>
          <w:lang w:val="en-GB" w:eastAsia="de-DE"/>
        </w:rPr>
        <w:t>u</w:t>
      </w:r>
      <w:r w:rsidRPr="00B04DC3">
        <w:rPr>
          <w:vertAlign w:val="subscript"/>
          <w:lang w:val="en-GB" w:eastAsia="de-DE"/>
        </w:rPr>
        <w:t>gas</w:t>
      </w:r>
      <w:r w:rsidR="007A6F4E" w:rsidRPr="00B04DC3">
        <w:rPr>
          <w:lang w:val="en-GB" w:eastAsia="de-DE"/>
        </w:rPr>
        <w:t xml:space="preserve"> </w:t>
      </w:r>
      <w:r w:rsidR="007A6F4E" w:rsidRPr="00B04DC3">
        <w:rPr>
          <w:lang w:val="en-GB" w:eastAsia="de-DE"/>
        </w:rPr>
        <w:tab/>
      </w:r>
      <w:r w:rsidRPr="00B04DC3">
        <w:rPr>
          <w:lang w:val="en-GB" w:eastAsia="de-DE"/>
        </w:rPr>
        <w:t xml:space="preserve">is calculated from equation 38 or 39 </w:t>
      </w:r>
    </w:p>
    <w:p w:rsidR="00002BA6" w:rsidRPr="00B04DC3" w:rsidRDefault="00002BA6" w:rsidP="00002BA6">
      <w:pPr>
        <w:pStyle w:val="para"/>
        <w:ind w:left="2856" w:hanging="588"/>
        <w:rPr>
          <w:lang w:val="en-GB"/>
        </w:rPr>
      </w:pPr>
      <w:r w:rsidRPr="00B04DC3">
        <w:rPr>
          <w:lang w:val="en-GB"/>
        </w:rPr>
        <w:t>c</w:t>
      </w:r>
      <w:r w:rsidRPr="00B04DC3">
        <w:rPr>
          <w:vertAlign w:val="subscript"/>
          <w:lang w:val="en-GB"/>
        </w:rPr>
        <w:t>gas,i</w:t>
      </w:r>
      <w:r w:rsidRPr="00B04DC3">
        <w:rPr>
          <w:lang w:val="en-GB"/>
        </w:rPr>
        <w:tab/>
        <w:t>is the instantaneous concentration of the component in the exhaust gas, ppm</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mew,i</w:t>
      </w:r>
      <w:r w:rsidRPr="00B04DC3">
        <w:rPr>
          <w:lang w:val="en-GB"/>
        </w:rPr>
        <w:tab/>
        <w:t>is the instantaneous exhaust mass flow, kg/s</w:t>
      </w:r>
    </w:p>
    <w:p w:rsidR="00002BA6" w:rsidRPr="00B04DC3" w:rsidRDefault="00002BA6" w:rsidP="00002BA6">
      <w:pPr>
        <w:pStyle w:val="para"/>
        <w:ind w:left="2856" w:hanging="588"/>
        <w:rPr>
          <w:lang w:val="en-GB"/>
        </w:rPr>
      </w:pPr>
      <w:r w:rsidRPr="00B04DC3">
        <w:rPr>
          <w:lang w:val="en-GB"/>
        </w:rPr>
        <w:t>f</w:t>
      </w:r>
      <w:r w:rsidRPr="00B04DC3">
        <w:rPr>
          <w:lang w:val="en-GB"/>
        </w:rPr>
        <w:tab/>
        <w:t>is the data sampling rate, Hz</w:t>
      </w:r>
    </w:p>
    <w:p w:rsidR="00002BA6" w:rsidRPr="00B04DC3" w:rsidRDefault="00002BA6" w:rsidP="00002BA6">
      <w:pPr>
        <w:pStyle w:val="para"/>
        <w:ind w:left="2856" w:hanging="588"/>
        <w:rPr>
          <w:lang w:val="en-GB"/>
        </w:rPr>
      </w:pPr>
      <w:r w:rsidRPr="00B04DC3">
        <w:rPr>
          <w:i/>
          <w:lang w:val="en-GB"/>
        </w:rPr>
        <w:t>n</w:t>
      </w:r>
      <w:r w:rsidRPr="00B04DC3">
        <w:rPr>
          <w:lang w:val="en-GB"/>
        </w:rPr>
        <w:tab/>
        <w:t>is the number of measurements</w:t>
      </w:r>
    </w:p>
    <w:p w:rsidR="00002BA6" w:rsidRPr="00B04DC3" w:rsidRDefault="00002BA6" w:rsidP="00002BA6">
      <w:pPr>
        <w:pStyle w:val="para"/>
        <w:rPr>
          <w:lang w:val="en-GB"/>
        </w:rPr>
      </w:pPr>
      <w:r w:rsidRPr="00B04DC3">
        <w:rPr>
          <w:lang w:val="en-GB"/>
        </w:rPr>
        <w:tab/>
        <w:t xml:space="preserve">The instantaneous </w:t>
      </w:r>
      <w:r w:rsidRPr="00B04DC3">
        <w:rPr>
          <w:i/>
          <w:lang w:val="en-GB"/>
        </w:rPr>
        <w:t>u</w:t>
      </w:r>
      <w:r w:rsidRPr="00B04DC3">
        <w:rPr>
          <w:lang w:val="en-GB"/>
        </w:rPr>
        <w:t xml:space="preserve"> values shall be calculated as follows:</w:t>
      </w:r>
    </w:p>
    <w:p w:rsidR="00002BA6" w:rsidRPr="00B04DC3" w:rsidRDefault="00002BA6" w:rsidP="00002BA6">
      <w:pPr>
        <w:pStyle w:val="para"/>
        <w:tabs>
          <w:tab w:val="right" w:pos="7000"/>
          <w:tab w:val="right" w:pos="8500"/>
        </w:tabs>
        <w:ind w:firstLine="0"/>
        <w:rPr>
          <w:lang w:val="en-GB"/>
        </w:rPr>
      </w:pPr>
      <w:r w:rsidRPr="00B04DC3">
        <w:rPr>
          <w:lang w:val="en-GB"/>
        </w:rPr>
        <w:t>u</w:t>
      </w:r>
      <w:r w:rsidRPr="00B04DC3">
        <w:rPr>
          <w:rStyle w:val="Subscript"/>
        </w:rPr>
        <w:t>gas,i</w:t>
      </w:r>
      <w:r w:rsidRPr="00B04DC3">
        <w:rPr>
          <w:lang w:val="en-GB"/>
        </w:rPr>
        <w:t>  = M</w:t>
      </w:r>
      <w:r w:rsidRPr="00B04DC3">
        <w:rPr>
          <w:vertAlign w:val="subscript"/>
          <w:lang w:val="en-GB"/>
        </w:rPr>
        <w:t xml:space="preserve">gas </w:t>
      </w:r>
      <w:r w:rsidRPr="00B04DC3">
        <w:rPr>
          <w:lang w:val="en-GB"/>
        </w:rPr>
        <w:t>/ (M</w:t>
      </w:r>
      <w:r w:rsidRPr="00B04DC3">
        <w:rPr>
          <w:rStyle w:val="Subscript"/>
        </w:rPr>
        <w:t>e,i</w:t>
      </w:r>
      <w:r w:rsidRPr="00B04DC3">
        <w:rPr>
          <w:lang w:val="en-GB"/>
        </w:rPr>
        <w:t> </w:t>
      </w:r>
      <w:r w:rsidRPr="00B04DC3">
        <w:rPr>
          <w:rFonts w:ascii="Arial" w:hAnsi="Arial" w:cs="Arial"/>
          <w:lang w:val="en-GB"/>
        </w:rPr>
        <w:t>x</w:t>
      </w:r>
      <w:r w:rsidRPr="00B04DC3">
        <w:rPr>
          <w:lang w:val="en-GB"/>
        </w:rPr>
        <w:t> 1,000)</w:t>
      </w:r>
      <w:r w:rsidRPr="00B04DC3">
        <w:rPr>
          <w:lang w:val="en-GB"/>
        </w:rPr>
        <w:tab/>
      </w:r>
      <w:r w:rsidRPr="00B04DC3">
        <w:rPr>
          <w:lang w:val="en-GB"/>
        </w:rPr>
        <w:tab/>
        <w:t>(38)</w:t>
      </w:r>
    </w:p>
    <w:p w:rsidR="00002BA6" w:rsidRPr="00B04DC3" w:rsidRDefault="00002BA6" w:rsidP="00002BA6">
      <w:pPr>
        <w:pStyle w:val="para"/>
        <w:rPr>
          <w:lang w:val="en-GB"/>
        </w:rPr>
      </w:pPr>
      <w:r w:rsidRPr="00B04DC3">
        <w:rPr>
          <w:lang w:val="en-GB"/>
        </w:rPr>
        <w:tab/>
        <w:t>or</w:t>
      </w:r>
    </w:p>
    <w:p w:rsidR="00002BA6" w:rsidRPr="00B04DC3" w:rsidRDefault="00002BA6" w:rsidP="00002BA6">
      <w:pPr>
        <w:pStyle w:val="para"/>
        <w:tabs>
          <w:tab w:val="right" w:pos="7000"/>
          <w:tab w:val="right" w:pos="8500"/>
        </w:tabs>
        <w:ind w:firstLine="0"/>
        <w:rPr>
          <w:lang w:val="en-GB"/>
        </w:rPr>
      </w:pPr>
      <w:r w:rsidRPr="00B04DC3">
        <w:rPr>
          <w:lang w:val="en-GB"/>
        </w:rPr>
        <w:t>u</w:t>
      </w:r>
      <w:r w:rsidRPr="00B04DC3">
        <w:rPr>
          <w:vertAlign w:val="subscript"/>
          <w:lang w:val="en-GB"/>
        </w:rPr>
        <w:t>gas,i</w:t>
      </w:r>
      <w:r w:rsidRPr="00B04DC3">
        <w:rPr>
          <w:lang w:val="en-GB"/>
        </w:rPr>
        <w:t xml:space="preserve"> =</w:t>
      </w:r>
      <w:r w:rsidRPr="00B04DC3">
        <w:rPr>
          <w:lang w:val="en-GB"/>
        </w:rPr>
        <w:sym w:font="Symbol" w:char="F072"/>
      </w:r>
      <w:r w:rsidRPr="00B04DC3">
        <w:rPr>
          <w:vertAlign w:val="subscript"/>
          <w:lang w:val="en-GB"/>
        </w:rPr>
        <w:t>gas</w:t>
      </w:r>
      <w:r w:rsidRPr="00B04DC3">
        <w:rPr>
          <w:lang w:val="en-GB"/>
        </w:rPr>
        <w:t xml:space="preserve"> / (</w:t>
      </w:r>
      <w:r w:rsidRPr="00B04DC3">
        <w:rPr>
          <w:lang w:val="en-GB"/>
        </w:rPr>
        <w:sym w:font="Symbol" w:char="F072"/>
      </w:r>
      <w:r w:rsidRPr="00B04DC3">
        <w:rPr>
          <w:vertAlign w:val="subscript"/>
          <w:lang w:val="en-GB"/>
        </w:rPr>
        <w:t>e,i</w:t>
      </w:r>
      <w:r w:rsidRPr="00B04DC3">
        <w:rPr>
          <w:lang w:val="en-GB"/>
        </w:rPr>
        <w:t xml:space="preserve"> </w:t>
      </w:r>
      <w:r w:rsidRPr="00B04DC3">
        <w:rPr>
          <w:rFonts w:ascii="Arial" w:hAnsi="Arial" w:cs="Arial"/>
          <w:lang w:val="en-GB"/>
        </w:rPr>
        <w:t>x</w:t>
      </w:r>
      <w:r w:rsidRPr="00B04DC3">
        <w:rPr>
          <w:lang w:val="en-GB"/>
        </w:rPr>
        <w:t xml:space="preserve"> 1,000)</w:t>
      </w:r>
      <w:r w:rsidRPr="00B04DC3">
        <w:rPr>
          <w:lang w:val="en-GB"/>
        </w:rPr>
        <w:tab/>
      </w:r>
      <w:r w:rsidRPr="00B04DC3">
        <w:rPr>
          <w:lang w:val="en-GB"/>
        </w:rPr>
        <w:tab/>
        <w:t>(39)</w:t>
      </w:r>
    </w:p>
    <w:p w:rsidR="00002BA6" w:rsidRPr="00B04DC3" w:rsidRDefault="00002BA6" w:rsidP="00002BA6">
      <w:pPr>
        <w:pStyle w:val="para"/>
        <w:rPr>
          <w:lang w:val="en-GB"/>
        </w:rPr>
      </w:pPr>
      <w:r w:rsidRPr="00B04DC3">
        <w:rPr>
          <w:lang w:val="en-GB"/>
        </w:rPr>
        <w:tab/>
      </w:r>
      <w:r w:rsidR="00961115">
        <w:rPr>
          <w:lang w:val="en-GB"/>
        </w:rPr>
        <w:t>w</w:t>
      </w:r>
      <w:r w:rsidR="00D06B9E" w:rsidRPr="00B04DC3">
        <w:rPr>
          <w:lang w:val="en-GB"/>
        </w:rPr>
        <w:t>ith</w:t>
      </w:r>
      <w:r w:rsidR="006D17BC">
        <w:rPr>
          <w:lang w:val="en-GB"/>
        </w:rPr>
        <w:t>:</w:t>
      </w:r>
    </w:p>
    <w:p w:rsidR="00002BA6" w:rsidRPr="00B04DC3" w:rsidRDefault="00002BA6" w:rsidP="00002BA6">
      <w:pPr>
        <w:pStyle w:val="para"/>
        <w:tabs>
          <w:tab w:val="right" w:pos="7000"/>
          <w:tab w:val="right" w:pos="8500"/>
        </w:tabs>
        <w:ind w:firstLine="0"/>
        <w:rPr>
          <w:lang w:val="en-GB"/>
        </w:rPr>
      </w:pPr>
      <w:r w:rsidRPr="00B04DC3">
        <w:rPr>
          <w:lang w:val="en-GB"/>
        </w:rPr>
        <w:sym w:font="Symbol" w:char="F072"/>
      </w:r>
      <w:r w:rsidRPr="00B04DC3">
        <w:rPr>
          <w:vertAlign w:val="subscript"/>
          <w:lang w:val="en-GB"/>
        </w:rPr>
        <w:t>gas</w:t>
      </w:r>
      <w:r w:rsidRPr="00B04DC3">
        <w:rPr>
          <w:lang w:val="en-GB"/>
        </w:rPr>
        <w:t xml:space="preserve"> = M</w:t>
      </w:r>
      <w:r w:rsidRPr="00B04DC3">
        <w:rPr>
          <w:rFonts w:cs="Arial"/>
          <w:vertAlign w:val="subscript"/>
          <w:lang w:val="en-GB"/>
        </w:rPr>
        <w:t>gas</w:t>
      </w:r>
      <w:r w:rsidRPr="00B04DC3">
        <w:rPr>
          <w:lang w:val="en-GB"/>
        </w:rPr>
        <w:t xml:space="preserve"> / 22.414 </w:t>
      </w:r>
      <w:r w:rsidRPr="00B04DC3">
        <w:rPr>
          <w:lang w:val="en-GB"/>
        </w:rPr>
        <w:tab/>
      </w:r>
      <w:r w:rsidRPr="00B04DC3">
        <w:rPr>
          <w:lang w:val="en-GB"/>
        </w:rPr>
        <w:tab/>
        <w:t>(40)</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lang w:val="en-GB"/>
        </w:rPr>
      </w:pPr>
      <w:r w:rsidRPr="00B04DC3">
        <w:rPr>
          <w:lang w:val="en-GB"/>
        </w:rPr>
        <w:t>M</w:t>
      </w:r>
      <w:r w:rsidRPr="00B04DC3">
        <w:rPr>
          <w:vertAlign w:val="subscript"/>
          <w:lang w:val="en-GB"/>
        </w:rPr>
        <w:t>gas</w:t>
      </w:r>
      <w:r w:rsidRPr="00B04DC3">
        <w:rPr>
          <w:lang w:val="en-GB"/>
        </w:rPr>
        <w:tab/>
        <w:t>is the molar mass of the gas component, g/mol (cf. Appendix 6</w:t>
      </w:r>
      <w:r w:rsidR="003730F4">
        <w:rPr>
          <w:lang w:val="en-GB"/>
        </w:rPr>
        <w:t xml:space="preserve"> to this annex</w:t>
      </w:r>
      <w:r w:rsidRPr="00B04DC3">
        <w:rPr>
          <w:lang w:val="en-GB"/>
        </w:rPr>
        <w:t>)</w:t>
      </w:r>
    </w:p>
    <w:p w:rsidR="00002BA6" w:rsidRPr="00B04DC3" w:rsidRDefault="00002BA6" w:rsidP="00002BA6">
      <w:pPr>
        <w:pStyle w:val="para"/>
        <w:ind w:left="2856" w:hanging="588"/>
        <w:rPr>
          <w:lang w:val="en-GB"/>
        </w:rPr>
      </w:pPr>
      <w:r w:rsidRPr="00B04DC3">
        <w:rPr>
          <w:lang w:val="en-GB"/>
        </w:rPr>
        <w:t>M</w:t>
      </w:r>
      <w:r w:rsidRPr="00B04DC3">
        <w:rPr>
          <w:rStyle w:val="Subscript"/>
        </w:rPr>
        <w:t>e,i</w:t>
      </w:r>
      <w:r w:rsidRPr="00B04DC3">
        <w:rPr>
          <w:rStyle w:val="Subscript"/>
        </w:rPr>
        <w:tab/>
      </w:r>
      <w:r w:rsidRPr="00B04DC3">
        <w:rPr>
          <w:lang w:val="en-GB"/>
        </w:rPr>
        <w:t>is the instantaneous molar mass of the exhaust gas, g/mol</w:t>
      </w:r>
    </w:p>
    <w:p w:rsidR="00002BA6" w:rsidRPr="00B04DC3" w:rsidRDefault="00002BA6" w:rsidP="00002BA6">
      <w:pPr>
        <w:pStyle w:val="para"/>
        <w:ind w:left="2856" w:hanging="588"/>
        <w:rPr>
          <w:lang w:val="en-GB"/>
        </w:rPr>
      </w:pPr>
      <w:r w:rsidRPr="00B04DC3">
        <w:rPr>
          <w:lang w:val="en-GB"/>
        </w:rPr>
        <w:sym w:font="Symbol" w:char="F072"/>
      </w:r>
      <w:r w:rsidRPr="00B04DC3">
        <w:rPr>
          <w:vertAlign w:val="subscript"/>
          <w:lang w:val="en-GB"/>
        </w:rPr>
        <w:t>gas</w:t>
      </w:r>
      <w:r w:rsidRPr="00B04DC3">
        <w:rPr>
          <w:vertAlign w:val="subscript"/>
          <w:lang w:val="en-GB"/>
        </w:rPr>
        <w:tab/>
      </w:r>
      <w:r w:rsidRPr="00B04DC3">
        <w:rPr>
          <w:lang w:val="en-GB"/>
        </w:rPr>
        <w:t>is the density of the gas component, kg/m</w:t>
      </w:r>
      <w:r w:rsidRPr="00B04DC3">
        <w:rPr>
          <w:vertAlign w:val="superscript"/>
          <w:lang w:val="en-GB"/>
        </w:rPr>
        <w:t>3</w:t>
      </w:r>
      <w:r w:rsidRPr="00B04DC3">
        <w:rPr>
          <w:lang w:val="en-GB"/>
        </w:rPr>
        <w:t xml:space="preserve"> </w:t>
      </w:r>
    </w:p>
    <w:p w:rsidR="00002BA6" w:rsidRPr="00B04DC3" w:rsidRDefault="00002BA6" w:rsidP="00002BA6">
      <w:pPr>
        <w:pStyle w:val="para"/>
        <w:ind w:left="2856" w:hanging="588"/>
        <w:rPr>
          <w:lang w:val="en-GB"/>
        </w:rPr>
      </w:pPr>
      <w:r w:rsidRPr="00B04DC3">
        <w:rPr>
          <w:lang w:val="en-GB"/>
        </w:rPr>
        <w:sym w:font="Symbol" w:char="F072"/>
      </w:r>
      <w:r w:rsidRPr="00B04DC3">
        <w:rPr>
          <w:vertAlign w:val="subscript"/>
          <w:lang w:val="en-GB"/>
        </w:rPr>
        <w:t>e,i</w:t>
      </w:r>
      <w:r w:rsidRPr="00B04DC3">
        <w:rPr>
          <w:lang w:val="en-GB"/>
        </w:rPr>
        <w:tab/>
        <w:t>is the instantaneous density of the exhaust gas, kg/m</w:t>
      </w:r>
      <w:r w:rsidRPr="00B04DC3">
        <w:rPr>
          <w:vertAlign w:val="superscript"/>
          <w:lang w:val="en-GB"/>
        </w:rPr>
        <w:t>3</w:t>
      </w:r>
    </w:p>
    <w:p w:rsidR="00002BA6" w:rsidRPr="00B04DC3" w:rsidRDefault="00002BA6" w:rsidP="00002BA6">
      <w:pPr>
        <w:pStyle w:val="para"/>
        <w:rPr>
          <w:lang w:val="en-GB"/>
        </w:rPr>
      </w:pPr>
      <w:r w:rsidRPr="00B04DC3">
        <w:rPr>
          <w:lang w:val="en-GB"/>
        </w:rPr>
        <w:tab/>
        <w:t>The molar mass of the exhaust, M</w:t>
      </w:r>
      <w:r w:rsidRPr="00B04DC3">
        <w:rPr>
          <w:vertAlign w:val="subscript"/>
          <w:lang w:val="en-GB"/>
        </w:rPr>
        <w:t>e</w:t>
      </w:r>
      <w:r w:rsidRPr="00B04DC3">
        <w:rPr>
          <w:lang w:val="en-GB"/>
        </w:rPr>
        <w:t>, shall be derived for a general fuel composition CH</w:t>
      </w:r>
      <w:r w:rsidRPr="00B04DC3">
        <w:rPr>
          <w:rFonts w:ascii="Symbol" w:hAnsi="Symbol"/>
          <w:vertAlign w:val="subscript"/>
          <w:lang w:val="en-GB"/>
        </w:rPr>
        <w:t></w:t>
      </w:r>
      <w:r w:rsidRPr="00B04DC3">
        <w:rPr>
          <w:lang w:val="en-GB"/>
        </w:rPr>
        <w:t>O</w:t>
      </w:r>
      <w:r w:rsidRPr="00B04DC3">
        <w:rPr>
          <w:rFonts w:ascii="Symbol" w:hAnsi="Symbol"/>
          <w:vertAlign w:val="subscript"/>
          <w:lang w:val="en-GB"/>
        </w:rPr>
        <w:sym w:font="Symbol" w:char="F065"/>
      </w:r>
      <w:r w:rsidRPr="00B04DC3">
        <w:rPr>
          <w:lang w:val="en-GB"/>
        </w:rPr>
        <w:t>N</w:t>
      </w:r>
      <w:r w:rsidRPr="00B04DC3">
        <w:rPr>
          <w:rFonts w:ascii="Symbol" w:hAnsi="Symbol"/>
          <w:vertAlign w:val="subscript"/>
          <w:lang w:val="en-GB"/>
        </w:rPr>
        <w:sym w:font="Symbol" w:char="F064"/>
      </w:r>
      <w:r w:rsidRPr="00B04DC3">
        <w:rPr>
          <w:lang w:val="en-GB"/>
        </w:rPr>
        <w:t>S</w:t>
      </w:r>
      <w:r w:rsidRPr="00B04DC3">
        <w:rPr>
          <w:rFonts w:ascii="Symbol" w:hAnsi="Symbol"/>
          <w:vertAlign w:val="subscript"/>
          <w:lang w:val="en-GB"/>
        </w:rPr>
        <w:sym w:font="Symbol" w:char="F067"/>
      </w:r>
      <w:r w:rsidRPr="00B04DC3">
        <w:rPr>
          <w:rFonts w:ascii="Symbol" w:hAnsi="Symbol"/>
          <w:vertAlign w:val="subscript"/>
          <w:lang w:val="en-GB"/>
        </w:rPr>
        <w:t></w:t>
      </w:r>
      <w:r w:rsidRPr="00B04DC3">
        <w:rPr>
          <w:rFonts w:ascii="Symbol" w:hAnsi="Symbol"/>
          <w:vertAlign w:val="subscript"/>
          <w:lang w:val="en-GB"/>
        </w:rPr>
        <w:t></w:t>
      </w:r>
      <w:r w:rsidRPr="00B04DC3">
        <w:rPr>
          <w:lang w:val="en-GB"/>
        </w:rPr>
        <w:t>under the assumption of complete combustion, as follows:</w:t>
      </w:r>
    </w:p>
    <w:p w:rsidR="00002BA6" w:rsidRPr="00961115" w:rsidRDefault="00002BA6" w:rsidP="00002BA6">
      <w:pPr>
        <w:pStyle w:val="para"/>
        <w:tabs>
          <w:tab w:val="right" w:pos="8500"/>
        </w:tabs>
        <w:ind w:left="1100" w:firstLine="0"/>
        <w:rPr>
          <w:b/>
          <w:position w:val="-20"/>
          <w:lang w:val="en-GB"/>
        </w:rPr>
      </w:pPr>
      <w:r w:rsidRPr="00B04DC3">
        <w:rPr>
          <w:position w:val="-102"/>
          <w:lang w:val="en-GB"/>
        </w:rPr>
        <w:object w:dxaOrig="10300" w:dyaOrig="1800">
          <v:shape id="_x0000_i1252" type="#_x0000_t75" style="width:349.8pt;height:66pt" o:ole="">
            <v:imagedata r:id="rId382" o:title=""/>
          </v:shape>
          <o:OLEObject Type="Embed" ProgID="Equation.3" ShapeID="_x0000_i1252" DrawAspect="Content" ObjectID="_1498392348" r:id="rId383"/>
        </w:object>
      </w:r>
      <w:r w:rsidRPr="00961115">
        <w:rPr>
          <w:position w:val="-20"/>
          <w:lang w:val="en-GB"/>
        </w:rPr>
        <w:tab/>
        <w:t>(41)</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position w:val="6"/>
          <w:lang w:val="en-GB"/>
        </w:rPr>
      </w:pPr>
      <w:r w:rsidRPr="00B04DC3">
        <w:rPr>
          <w:position w:val="6"/>
          <w:lang w:val="en-GB"/>
        </w:rPr>
        <w:t>q</w:t>
      </w:r>
      <w:r w:rsidRPr="00B04DC3">
        <w:rPr>
          <w:position w:val="6"/>
          <w:vertAlign w:val="subscript"/>
          <w:lang w:val="en-GB"/>
        </w:rPr>
        <w:t>maw,i</w:t>
      </w:r>
      <w:r w:rsidRPr="00B04DC3">
        <w:rPr>
          <w:position w:val="6"/>
          <w:lang w:val="en-GB"/>
        </w:rPr>
        <w:tab/>
      </w:r>
      <w:r w:rsidRPr="00B04DC3">
        <w:rPr>
          <w:lang w:val="en-GB"/>
        </w:rPr>
        <w:t>is the instantaneous intake air mass flow rate on wet basis, kg/s</w:t>
      </w:r>
    </w:p>
    <w:p w:rsidR="00002BA6" w:rsidRPr="00B04DC3" w:rsidRDefault="00002BA6" w:rsidP="00002BA6">
      <w:pPr>
        <w:pStyle w:val="para"/>
        <w:ind w:left="2856" w:hanging="588"/>
        <w:rPr>
          <w:lang w:val="en-GB"/>
        </w:rPr>
      </w:pPr>
      <w:r w:rsidRPr="00B04DC3">
        <w:rPr>
          <w:position w:val="6"/>
          <w:lang w:val="en-GB"/>
        </w:rPr>
        <w:t>q</w:t>
      </w:r>
      <w:r w:rsidRPr="00B04DC3">
        <w:rPr>
          <w:position w:val="6"/>
          <w:vertAlign w:val="subscript"/>
          <w:lang w:val="en-GB"/>
        </w:rPr>
        <w:t>mf,i</w:t>
      </w:r>
      <w:r w:rsidRPr="00B04DC3">
        <w:rPr>
          <w:position w:val="6"/>
          <w:lang w:val="en-GB"/>
        </w:rPr>
        <w:tab/>
      </w:r>
      <w:r w:rsidRPr="00B04DC3">
        <w:rPr>
          <w:lang w:val="en-GB"/>
        </w:rPr>
        <w:t>is the instantaneous fuel mass flow rate, kg/s</w:t>
      </w:r>
    </w:p>
    <w:p w:rsidR="00002BA6" w:rsidRPr="00B04DC3" w:rsidRDefault="00002BA6" w:rsidP="00002BA6">
      <w:pPr>
        <w:pStyle w:val="para"/>
        <w:ind w:left="2856" w:hanging="588"/>
        <w:rPr>
          <w:lang w:val="en-GB"/>
        </w:rPr>
      </w:pPr>
      <w:r w:rsidRPr="00B04DC3">
        <w:rPr>
          <w:lang w:val="en-GB"/>
        </w:rPr>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ind w:left="2856" w:hanging="588"/>
        <w:rPr>
          <w:lang w:val="en-GB"/>
        </w:rPr>
      </w:pPr>
      <w:r w:rsidRPr="00B04DC3">
        <w:rPr>
          <w:lang w:val="en-GB"/>
        </w:rPr>
        <w:t>M</w:t>
      </w:r>
      <w:r w:rsidRPr="00B04DC3">
        <w:rPr>
          <w:vertAlign w:val="subscript"/>
          <w:lang w:val="en-GB"/>
        </w:rPr>
        <w:t>a</w:t>
      </w:r>
      <w:r w:rsidRPr="00B04DC3">
        <w:rPr>
          <w:lang w:val="en-GB"/>
        </w:rPr>
        <w:tab/>
        <w:t>is the molar mass of the dry intake air = 28.965 g/mol</w:t>
      </w:r>
    </w:p>
    <w:p w:rsidR="00002BA6" w:rsidRPr="00B04DC3" w:rsidRDefault="00002BA6" w:rsidP="00961115">
      <w:pPr>
        <w:pStyle w:val="para"/>
        <w:keepNext/>
        <w:keepLines/>
        <w:rPr>
          <w:lang w:val="en-GB"/>
        </w:rPr>
      </w:pPr>
      <w:r w:rsidRPr="00B04DC3">
        <w:rPr>
          <w:lang w:val="en-GB"/>
        </w:rPr>
        <w:tab/>
        <w:t xml:space="preserve">The exhaust density </w:t>
      </w:r>
      <w:r w:rsidRPr="00B04DC3">
        <w:rPr>
          <w:lang w:val="en-GB"/>
        </w:rPr>
        <w:sym w:font="Symbol" w:char="F072"/>
      </w:r>
      <w:r w:rsidRPr="00B04DC3">
        <w:rPr>
          <w:vertAlign w:val="subscript"/>
          <w:lang w:val="en-GB"/>
        </w:rPr>
        <w:t>e</w:t>
      </w:r>
      <w:r w:rsidRPr="00B04DC3">
        <w:rPr>
          <w:lang w:val="en-GB"/>
        </w:rPr>
        <w:t xml:space="preserve"> shall be derived, as follows:</w:t>
      </w:r>
    </w:p>
    <w:p w:rsidR="00002BA6" w:rsidRPr="00961115" w:rsidRDefault="00002BA6" w:rsidP="00002BA6">
      <w:pPr>
        <w:pStyle w:val="para"/>
        <w:tabs>
          <w:tab w:val="right" w:pos="7000"/>
          <w:tab w:val="right" w:pos="8500"/>
        </w:tabs>
        <w:ind w:firstLine="0"/>
        <w:rPr>
          <w:position w:val="40"/>
          <w:lang w:val="en-GB"/>
        </w:rPr>
      </w:pPr>
      <w:r w:rsidRPr="00B04DC3">
        <w:rPr>
          <w:b/>
          <w:lang w:val="en-GB"/>
        </w:rPr>
        <w:tab/>
      </w:r>
      <w:r w:rsidR="00A905B7">
        <w:rPr>
          <w:b/>
          <w:lang w:val="en-GB"/>
        </w:rPr>
      </w:r>
      <w:r w:rsidR="00A905B7">
        <w:rPr>
          <w:b/>
          <w:lang w:val="en-GB"/>
        </w:rPr>
        <w:pict>
          <v:group id="_x0000_s4434" editas="canvas" style="width:260pt;height:41.25pt;mso-position-horizontal-relative:char;mso-position-vertical-relative:line" coordsize="5200,825">
            <o:lock v:ext="edit" aspectratio="t"/>
            <v:shape id="_x0000_s4435" type="#_x0000_t75" style="position:absolute;width:5200;height:825" o:preferrelative="f">
              <v:fill o:detectmouseclick="t"/>
              <v:path o:extrusionok="t" o:connecttype="none"/>
              <o:lock v:ext="edit" text="t"/>
            </v:shape>
            <v:line id="_x0000_s4436" style="position:absolute" from="579,360" to="5142,360" strokeweight=".5pt"/>
            <v:rect id="_x0000_s4437" style="position:absolute;left:5062;top:393;width:51;height:240;mso-wrap-style:none" filled="f" stroked="f">
              <v:textbox style="mso-fit-shape-to-text:t" inset="0,0,0,0">
                <w:txbxContent>
                  <w:p w:rsidR="00A905B7" w:rsidRDefault="00A905B7">
                    <w:r>
                      <w:rPr>
                        <w:color w:val="000000"/>
                        <w:szCs w:val="24"/>
                      </w:rPr>
                      <w:t xml:space="preserve"> </w:t>
                    </w:r>
                  </w:p>
                </w:txbxContent>
              </v:textbox>
            </v:rect>
            <v:rect id="_x0000_s4438" style="position:absolute;left:4991;top:393;width:67;height:240;mso-wrap-style:none" filled="f" stroked="f">
              <v:textbox style="mso-fit-shape-to-text:t" inset="0,0,0,0">
                <w:txbxContent>
                  <w:p w:rsidR="00A905B7" w:rsidRDefault="00A905B7">
                    <w:r>
                      <w:rPr>
                        <w:color w:val="000000"/>
                        <w:szCs w:val="24"/>
                      </w:rPr>
                      <w:t>)</w:t>
                    </w:r>
                  </w:p>
                </w:txbxContent>
              </v:textbox>
            </v:rect>
            <v:rect id="_x0000_s4439" style="position:absolute;left:4455;top:393;width:56;height:240;mso-wrap-style:none" filled="f" stroked="f">
              <v:textbox style="mso-fit-shape-to-text:t" inset="0,0,0,0">
                <w:txbxContent>
                  <w:p w:rsidR="00A905B7" w:rsidRDefault="00A905B7">
                    <w:r>
                      <w:rPr>
                        <w:color w:val="000000"/>
                        <w:szCs w:val="24"/>
                      </w:rPr>
                      <w:t>/</w:t>
                    </w:r>
                  </w:p>
                </w:txbxContent>
              </v:textbox>
            </v:rect>
            <v:rect id="_x0000_s4440" style="position:absolute;left:3997;top:393;width:67;height:240;mso-wrap-style:none" filled="f" stroked="f">
              <v:textbox style="mso-fit-shape-to-text:t" inset="0,0,0,0">
                <w:txbxContent>
                  <w:p w:rsidR="00A905B7" w:rsidRDefault="00A905B7">
                    <w:r>
                      <w:rPr>
                        <w:color w:val="000000"/>
                        <w:szCs w:val="24"/>
                      </w:rPr>
                      <w:t>(</w:t>
                    </w:r>
                  </w:p>
                </w:txbxContent>
              </v:textbox>
            </v:rect>
            <v:rect id="_x0000_s4441" style="position:absolute;left:3792;top:393;width:51;height:240;mso-wrap-style:none" filled="f" stroked="f">
              <v:textbox style="mso-fit-shape-to-text:t" inset="0,0,0,0">
                <w:txbxContent>
                  <w:p w:rsidR="00A905B7" w:rsidRDefault="00A905B7">
                    <w:r>
                      <w:rPr>
                        <w:color w:val="000000"/>
                        <w:szCs w:val="24"/>
                      </w:rPr>
                      <w:t xml:space="preserve"> </w:t>
                    </w:r>
                  </w:p>
                </w:txbxContent>
              </v:textbox>
            </v:rect>
            <v:rect id="_x0000_s4442" style="position:absolute;left:3263;top:393;width:451;height:240;mso-wrap-style:none" filled="f" stroked="f">
              <v:textbox style="mso-fit-shape-to-text:t" inset="0,0,0,0">
                <w:txbxContent>
                  <w:p w:rsidR="00A905B7" w:rsidRDefault="00A905B7">
                    <w:r>
                      <w:rPr>
                        <w:color w:val="000000"/>
                        <w:szCs w:val="24"/>
                      </w:rPr>
                      <w:t>1,000</w:t>
                    </w:r>
                  </w:p>
                </w:txbxContent>
              </v:textbox>
            </v:rect>
            <v:rect id="_x0000_s4443" style="position:absolute;left:3233;top:393;width:51;height:240;mso-wrap-style:none" filled="f" stroked="f">
              <v:textbox style="mso-fit-shape-to-text:t" inset="0,0,0,0">
                <w:txbxContent>
                  <w:p w:rsidR="00A905B7" w:rsidRDefault="00A905B7">
                    <w:r>
                      <w:rPr>
                        <w:color w:val="000000"/>
                        <w:szCs w:val="24"/>
                      </w:rPr>
                      <w:t xml:space="preserve"> </w:t>
                    </w:r>
                  </w:p>
                </w:txbxContent>
              </v:textbox>
            </v:rect>
            <v:rect id="_x0000_s4444" style="position:absolute;left:2731;top:393;width:51;height:240;mso-wrap-style:none" filled="f" stroked="f">
              <v:textbox style="mso-fit-shape-to-text:t" inset="0,0,0,0">
                <w:txbxContent>
                  <w:p w:rsidR="00A905B7" w:rsidRDefault="00A905B7">
                    <w:r>
                      <w:rPr>
                        <w:color w:val="000000"/>
                        <w:szCs w:val="24"/>
                      </w:rPr>
                      <w:t xml:space="preserve"> </w:t>
                    </w:r>
                  </w:p>
                </w:txbxContent>
              </v:textbox>
            </v:rect>
            <v:rect id="_x0000_s4445" style="position:absolute;left:2603;top:393;width:113;height:240;mso-wrap-style:none" filled="f" stroked="f">
              <v:textbox style="mso-fit-shape-to-text:t" inset="0,0,0,0">
                <w:txbxContent>
                  <w:p w:rsidR="00A905B7" w:rsidRDefault="00A905B7">
                    <w:r>
                      <w:rPr>
                        <w:color w:val="000000"/>
                        <w:szCs w:val="24"/>
                      </w:rPr>
                      <w:t>+</w:t>
                    </w:r>
                  </w:p>
                </w:txbxContent>
              </v:textbox>
            </v:rect>
            <v:rect id="_x0000_s4446" style="position:absolute;left:2547;top:393;width:51;height:240;mso-wrap-style:none" filled="f" stroked="f">
              <v:textbox style="mso-fit-shape-to-text:t" inset="0,0,0,0">
                <w:txbxContent>
                  <w:p w:rsidR="00A905B7" w:rsidRDefault="00A905B7">
                    <w:r>
                      <w:rPr>
                        <w:color w:val="000000"/>
                        <w:szCs w:val="24"/>
                      </w:rPr>
                      <w:t xml:space="preserve"> </w:t>
                    </w:r>
                  </w:p>
                </w:txbxContent>
              </v:textbox>
            </v:rect>
            <v:rect id="_x0000_s4447" style="position:absolute;left:2195;top:393;width:51;height:240;mso-wrap-style:none" filled="f" stroked="f">
              <v:textbox style="mso-fit-shape-to-text:t" inset="0,0,0,0">
                <w:txbxContent>
                  <w:p w:rsidR="00A905B7" w:rsidRDefault="00A905B7">
                    <w:r>
                      <w:rPr>
                        <w:color w:val="000000"/>
                        <w:szCs w:val="24"/>
                      </w:rPr>
                      <w:t xml:space="preserve"> </w:t>
                    </w:r>
                  </w:p>
                </w:txbxContent>
              </v:textbox>
            </v:rect>
            <v:rect id="_x0000_s4448" style="position:absolute;left:1394;top:393;width:551;height:240;mso-wrap-style:none" filled="f" stroked="f">
              <v:textbox style="mso-fit-shape-to-text:t" inset="0,0,0,0">
                <w:txbxContent>
                  <w:p w:rsidR="00A905B7" w:rsidRDefault="00A905B7">
                    <w:r>
                      <w:rPr>
                        <w:color w:val="000000"/>
                        <w:szCs w:val="24"/>
                      </w:rPr>
                      <w:t>1.2434</w:t>
                    </w:r>
                  </w:p>
                </w:txbxContent>
              </v:textbox>
            </v:rect>
            <v:rect id="_x0000_s4449" style="position:absolute;left:1364;top:393;width:51;height:240;mso-wrap-style:none" filled="f" stroked="f">
              <v:textbox style="mso-fit-shape-to-text:t" inset="0,0,0,0">
                <w:txbxContent>
                  <w:p w:rsidR="00A905B7" w:rsidRDefault="00A905B7">
                    <w:r>
                      <w:rPr>
                        <w:color w:val="000000"/>
                        <w:szCs w:val="24"/>
                      </w:rPr>
                      <w:t xml:space="preserve"> </w:t>
                    </w:r>
                  </w:p>
                </w:txbxContent>
              </v:textbox>
            </v:rect>
            <v:rect id="_x0000_s4450" style="position:absolute;left:1236;top:393;width:113;height:240;mso-wrap-style:none" filled="f" stroked="f">
              <v:textbox style="mso-fit-shape-to-text:t" inset="0,0,0,0">
                <w:txbxContent>
                  <w:p w:rsidR="00A905B7" w:rsidRDefault="00A905B7">
                    <w:r>
                      <w:rPr>
                        <w:color w:val="000000"/>
                        <w:szCs w:val="24"/>
                      </w:rPr>
                      <w:t>+</w:t>
                    </w:r>
                  </w:p>
                </w:txbxContent>
              </v:textbox>
            </v:rect>
            <v:rect id="_x0000_s4451" style="position:absolute;left:1180;top:393;width:51;height:240;mso-wrap-style:none" filled="f" stroked="f">
              <v:textbox style="mso-fit-shape-to-text:t" inset="0,0,0,0">
                <w:txbxContent>
                  <w:p w:rsidR="00A905B7" w:rsidRDefault="00A905B7">
                    <w:r>
                      <w:rPr>
                        <w:color w:val="000000"/>
                        <w:szCs w:val="24"/>
                      </w:rPr>
                      <w:t xml:space="preserve"> </w:t>
                    </w:r>
                  </w:p>
                </w:txbxContent>
              </v:textbox>
            </v:rect>
            <v:rect id="_x0000_s4452" style="position:absolute;left:651;top:393;width:451;height:240;mso-wrap-style:none" filled="f" stroked="f">
              <v:textbox style="mso-fit-shape-to-text:t" inset="0,0,0,0">
                <w:txbxContent>
                  <w:p w:rsidR="00A905B7" w:rsidRDefault="00A905B7">
                    <w:r>
                      <w:rPr>
                        <w:color w:val="000000"/>
                        <w:szCs w:val="24"/>
                      </w:rPr>
                      <w:t>773.4</w:t>
                    </w:r>
                  </w:p>
                </w:txbxContent>
              </v:textbox>
            </v:rect>
            <v:rect id="_x0000_s4453" style="position:absolute;left:599;top:393;width:51;height:240;mso-wrap-style:none" filled="f" stroked="f">
              <v:textbox style="mso-fit-shape-to-text:t" inset="0,0,0,0">
                <w:txbxContent>
                  <w:p w:rsidR="00A905B7" w:rsidRDefault="00A905B7">
                    <w:r>
                      <w:rPr>
                        <w:color w:val="000000"/>
                        <w:szCs w:val="24"/>
                      </w:rPr>
                      <w:t xml:space="preserve"> </w:t>
                    </w:r>
                  </w:p>
                </w:txbxContent>
              </v:textbox>
            </v:rect>
            <v:rect id="_x0000_s4454" style="position:absolute;left:4313;top:28;width:67;height:240;mso-wrap-style:none" filled="f" stroked="f">
              <v:textbox style="mso-fit-shape-to-text:t" inset="0,0,0,0">
                <w:txbxContent>
                  <w:p w:rsidR="00A905B7" w:rsidRDefault="00A905B7">
                    <w:r>
                      <w:rPr>
                        <w:color w:val="000000"/>
                        <w:szCs w:val="24"/>
                      </w:rPr>
                      <w:t>)</w:t>
                    </w:r>
                  </w:p>
                </w:txbxContent>
              </v:textbox>
            </v:rect>
            <v:rect id="_x0000_s4455" style="position:absolute;left:3777;top:28;width:56;height:240;mso-wrap-style:none" filled="f" stroked="f">
              <v:textbox style="mso-fit-shape-to-text:t" inset="0,0,0,0">
                <w:txbxContent>
                  <w:p w:rsidR="00A905B7" w:rsidRDefault="00A905B7">
                    <w:r>
                      <w:rPr>
                        <w:color w:val="000000"/>
                        <w:szCs w:val="24"/>
                      </w:rPr>
                      <w:t>/</w:t>
                    </w:r>
                  </w:p>
                </w:txbxContent>
              </v:textbox>
            </v:rect>
            <v:rect id="_x0000_s4456" style="position:absolute;left:3319;top:28;width:67;height:240;mso-wrap-style:none" filled="f" stroked="f">
              <v:textbox style="mso-fit-shape-to-text:t" inset="0,0,0,0">
                <w:txbxContent>
                  <w:p w:rsidR="00A905B7" w:rsidRDefault="00A905B7">
                    <w:r>
                      <w:rPr>
                        <w:color w:val="000000"/>
                        <w:szCs w:val="24"/>
                      </w:rPr>
                      <w:t>(</w:t>
                    </w:r>
                  </w:p>
                </w:txbxContent>
              </v:textbox>
            </v:rect>
            <v:rect id="_x0000_s4457" style="position:absolute;left:3266;top:28;width:51;height:240;mso-wrap-style:none" filled="f" stroked="f">
              <v:textbox style="mso-fit-shape-to-text:t" inset="0,0,0,0">
                <w:txbxContent>
                  <w:p w:rsidR="00A905B7" w:rsidRDefault="00A905B7">
                    <w:r>
                      <w:rPr>
                        <w:color w:val="000000"/>
                        <w:szCs w:val="24"/>
                      </w:rPr>
                      <w:t xml:space="preserve"> </w:t>
                    </w:r>
                  </w:p>
                </w:txbxContent>
              </v:textbox>
            </v:rect>
            <v:rect id="_x0000_s4458" style="position:absolute;left:2585;top:28;width:451;height:240;mso-wrap-style:none" filled="f" stroked="f">
              <v:textbox style="mso-fit-shape-to-text:t" inset="0,0,0,0">
                <w:txbxContent>
                  <w:p w:rsidR="00A905B7" w:rsidRDefault="00A905B7">
                    <w:r>
                      <w:rPr>
                        <w:color w:val="000000"/>
                        <w:szCs w:val="24"/>
                      </w:rPr>
                      <w:t>1,000</w:t>
                    </w:r>
                  </w:p>
                </w:txbxContent>
              </v:textbox>
            </v:rect>
            <v:rect id="_x0000_s4459" style="position:absolute;left:2555;top:28;width:51;height:240;mso-wrap-style:none" filled="f" stroked="f">
              <v:textbox style="mso-fit-shape-to-text:t" inset="0,0,0,0">
                <w:txbxContent>
                  <w:p w:rsidR="00A905B7" w:rsidRDefault="00A905B7">
                    <w:r>
                      <w:rPr>
                        <w:color w:val="000000"/>
                        <w:szCs w:val="24"/>
                      </w:rPr>
                      <w:t xml:space="preserve"> </w:t>
                    </w:r>
                  </w:p>
                </w:txbxContent>
              </v:textbox>
            </v:rect>
            <v:rect id="_x0000_s4460" style="position:absolute;left:2371;top:28;width:51;height:240;mso-wrap-style:none" filled="f" stroked="f">
              <v:textbox style="mso-fit-shape-to-text:t" inset="0,0,0,0">
                <w:txbxContent>
                  <w:p w:rsidR="00A905B7" w:rsidRDefault="00A905B7">
                    <w:r>
                      <w:rPr>
                        <w:color w:val="000000"/>
                        <w:szCs w:val="24"/>
                      </w:rPr>
                      <w:t xml:space="preserve"> </w:t>
                    </w:r>
                  </w:p>
                </w:txbxContent>
              </v:textbox>
            </v:rect>
            <v:rect id="_x0000_s4461" style="position:absolute;left:2019;top:28;width:51;height:240;mso-wrap-style:none" filled="f" stroked="f">
              <v:textbox style="mso-fit-shape-to-text:t" inset="0,0,0,0">
                <w:txbxContent>
                  <w:p w:rsidR="00A905B7" w:rsidRDefault="00A905B7">
                    <w:r>
                      <w:rPr>
                        <w:color w:val="000000"/>
                        <w:szCs w:val="24"/>
                      </w:rPr>
                      <w:t xml:space="preserve"> </w:t>
                    </w:r>
                  </w:p>
                </w:txbxContent>
              </v:textbox>
            </v:rect>
            <v:rect id="_x0000_s4462" style="position:absolute;left:1892;top:28;width:113;height:240;mso-wrap-style:none" filled="f" stroked="f">
              <v:textbox style="mso-fit-shape-to-text:t" inset="0,0,0,0">
                <w:txbxContent>
                  <w:p w:rsidR="00A905B7" w:rsidRDefault="00A905B7">
                    <w:r>
                      <w:rPr>
                        <w:color w:val="000000"/>
                        <w:szCs w:val="24"/>
                      </w:rPr>
                      <w:t>+</w:t>
                    </w:r>
                  </w:p>
                </w:txbxContent>
              </v:textbox>
            </v:rect>
            <v:rect id="_x0000_s4463" style="position:absolute;left:1836;top:28;width:51;height:240;mso-wrap-style:none" filled="f" stroked="f">
              <v:textbox style="mso-fit-shape-to-text:t" inset="0,0,0,0">
                <w:txbxContent>
                  <w:p w:rsidR="00A905B7" w:rsidRDefault="00A905B7">
                    <w:r>
                      <w:rPr>
                        <w:color w:val="000000"/>
                        <w:szCs w:val="24"/>
                      </w:rPr>
                      <w:t xml:space="preserve"> </w:t>
                    </w:r>
                  </w:p>
                </w:txbxContent>
              </v:textbox>
            </v:rect>
            <v:rect id="_x0000_s4464" style="position:absolute;left:1307;top:28;width:451;height:240;mso-wrap-style:none" filled="f" stroked="f">
              <v:textbox style="mso-fit-shape-to-text:t" inset="0,0,0,0">
                <w:txbxContent>
                  <w:p w:rsidR="00A905B7" w:rsidRDefault="00A905B7">
                    <w:r>
                      <w:rPr>
                        <w:color w:val="000000"/>
                        <w:szCs w:val="24"/>
                      </w:rPr>
                      <w:t>1,000</w:t>
                    </w:r>
                  </w:p>
                </w:txbxContent>
              </v:textbox>
            </v:rect>
            <v:rect id="_x0000_s4465" style="position:absolute;left:519;top:206;width:51;height:240;mso-wrap-style:none" filled="f" stroked="f">
              <v:textbox style="mso-fit-shape-to-text:t" inset="0,0,0,0">
                <w:txbxContent>
                  <w:p w:rsidR="00A905B7" w:rsidRDefault="00A905B7">
                    <w:r>
                      <w:rPr>
                        <w:color w:val="000000"/>
                        <w:szCs w:val="24"/>
                      </w:rPr>
                      <w:t xml:space="preserve"> </w:t>
                    </w:r>
                  </w:p>
                </w:txbxContent>
              </v:textbox>
            </v:rect>
            <v:rect id="_x0000_s4466" style="position:absolute;left:388;top:206;width:113;height:240;mso-wrap-style:none" filled="f" stroked="f">
              <v:textbox style="mso-fit-shape-to-text:t" inset="0,0,0,0">
                <w:txbxContent>
                  <w:p w:rsidR="00A905B7" w:rsidRDefault="00A905B7">
                    <w:r>
                      <w:rPr>
                        <w:color w:val="000000"/>
                        <w:szCs w:val="24"/>
                      </w:rPr>
                      <w:t>=</w:t>
                    </w:r>
                  </w:p>
                </w:txbxContent>
              </v:textbox>
            </v:rect>
            <v:rect id="_x0000_s4467" style="position:absolute;left:332;top:206;width:51;height:240;mso-wrap-style:none" filled="f" stroked="f">
              <v:textbox style="mso-fit-shape-to-text:t" inset="0,0,0,0">
                <w:txbxContent>
                  <w:p w:rsidR="00A905B7" w:rsidRDefault="00A905B7">
                    <w:r>
                      <w:rPr>
                        <w:color w:val="000000"/>
                        <w:szCs w:val="24"/>
                      </w:rPr>
                      <w:t xml:space="preserve"> </w:t>
                    </w:r>
                  </w:p>
                </w:txbxContent>
              </v:textbox>
            </v:rect>
            <v:rect id="_x0000_s4468" style="position:absolute;left:4917;top:481;width:39;height:240;mso-wrap-style:none" filled="f" stroked="f">
              <v:textbox style="mso-fit-shape-to-text:t" inset="0,0,0,0">
                <w:txbxContent>
                  <w:p w:rsidR="00A905B7" w:rsidRDefault="00A905B7">
                    <w:r>
                      <w:rPr>
                        <w:color w:val="000000"/>
                        <w:sz w:val="14"/>
                        <w:szCs w:val="14"/>
                      </w:rPr>
                      <w:t>i</w:t>
                    </w:r>
                  </w:p>
                </w:txbxContent>
              </v:textbox>
            </v:rect>
            <v:rect id="_x0000_s4469" style="position:absolute;left:4751;top:481;width:168;height:240;mso-wrap-style:none" filled="f" stroked="f">
              <v:textbox style="mso-fit-shape-to-text:t" inset="0,0,0,0">
                <w:txbxContent>
                  <w:p w:rsidR="00A905B7" w:rsidRDefault="00A905B7">
                    <w:r>
                      <w:rPr>
                        <w:color w:val="000000"/>
                        <w:sz w:val="14"/>
                        <w:szCs w:val="14"/>
                      </w:rPr>
                      <w:t>ad,</w:t>
                    </w:r>
                  </w:p>
                </w:txbxContent>
              </v:textbox>
            </v:rect>
            <v:rect id="_x0000_s4470" style="position:absolute;left:4393;top:471;width:107;height:240" filled="f" stroked="f">
              <v:textbox style="mso-fit-shape-to-text:t" inset="0,0,0,0">
                <w:txbxContent>
                  <w:p w:rsidR="00A905B7" w:rsidRDefault="00A905B7">
                    <w:r>
                      <w:rPr>
                        <w:color w:val="000000"/>
                        <w:sz w:val="14"/>
                        <w:szCs w:val="14"/>
                      </w:rPr>
                      <w:t>i</w:t>
                    </w:r>
                  </w:p>
                </w:txbxContent>
              </v:textbox>
            </v:rect>
            <v:rect id="_x0000_s4471" style="position:absolute;left:4311;top:471;width:82;height:240;mso-wrap-style:none" filled="f" stroked="f">
              <v:textbox style="mso-fit-shape-to-text:t" inset="0,0,0,0">
                <w:txbxContent>
                  <w:p w:rsidR="00A905B7" w:rsidRDefault="00A905B7">
                    <w:r>
                      <w:rPr>
                        <w:color w:val="000000"/>
                        <w:sz w:val="14"/>
                        <w:szCs w:val="14"/>
                      </w:rPr>
                      <w:t>f,</w:t>
                    </w:r>
                  </w:p>
                </w:txbxContent>
              </v:textbox>
            </v:rect>
            <v:rect id="_x0000_s4472" style="position:absolute;left:2905;top:451;width:148;height:240;mso-wrap-style:none" filled="f" stroked="f">
              <v:textbox style="mso-fit-shape-to-text:t" inset="0,0,0,0">
                <w:txbxContent>
                  <w:p w:rsidR="00A905B7" w:rsidRDefault="00A905B7">
                    <w:r>
                      <w:rPr>
                        <w:color w:val="000000"/>
                        <w:sz w:val="14"/>
                        <w:szCs w:val="14"/>
                      </w:rPr>
                      <w:t>fw</w:t>
                    </w:r>
                  </w:p>
                </w:txbxContent>
              </v:textbox>
            </v:rect>
            <v:rect id="_x0000_s4473" style="position:absolute;left:2426;top:441;width:63;height:240;mso-wrap-style:none" filled="f" stroked="f">
              <v:textbox style="mso-fit-shape-to-text:t" inset="0,0,0,0">
                <w:txbxContent>
                  <w:p w:rsidR="00A905B7" w:rsidRDefault="00A905B7">
                    <w:r>
                      <w:rPr>
                        <w:color w:val="000000"/>
                        <w:sz w:val="14"/>
                        <w:szCs w:val="14"/>
                      </w:rPr>
                      <w:t>a</w:t>
                    </w:r>
                  </w:p>
                </w:txbxContent>
              </v:textbox>
            </v:rect>
            <v:rect id="_x0000_s4474" style="position:absolute;left:4239;top:106;width:39;height:240;mso-wrap-style:none" filled="f" stroked="f">
              <v:textbox style="mso-fit-shape-to-text:t" inset="0,0,0,0">
                <w:txbxContent>
                  <w:p w:rsidR="00A905B7" w:rsidRDefault="00A905B7">
                    <w:r>
                      <w:rPr>
                        <w:color w:val="000000"/>
                        <w:sz w:val="14"/>
                        <w:szCs w:val="14"/>
                      </w:rPr>
                      <w:t>i</w:t>
                    </w:r>
                  </w:p>
                </w:txbxContent>
              </v:textbox>
            </v:rect>
            <v:rect id="_x0000_s4475" style="position:absolute;left:4073;top:96;width:168;height:240;mso-wrap-style:none" filled="f" stroked="f">
              <v:textbox style="mso-fit-shape-to-text:t" inset="0,0,0,0">
                <w:txbxContent>
                  <w:p w:rsidR="00A905B7" w:rsidRDefault="00A905B7">
                    <w:r>
                      <w:rPr>
                        <w:color w:val="000000"/>
                        <w:sz w:val="14"/>
                        <w:szCs w:val="14"/>
                      </w:rPr>
                      <w:t>ad,</w:t>
                    </w:r>
                  </w:p>
                </w:txbxContent>
              </v:textbox>
            </v:rect>
            <v:rect id="_x0000_s4476" style="position:absolute;left:3714;top:96;width:39;height:240;mso-wrap-style:none" filled="f" stroked="f">
              <v:textbox style="mso-fit-shape-to-text:t" inset="0,0,0,0">
                <w:txbxContent>
                  <w:p w:rsidR="00A905B7" w:rsidRDefault="00A905B7">
                    <w:r>
                      <w:rPr>
                        <w:color w:val="000000"/>
                        <w:sz w:val="14"/>
                        <w:szCs w:val="14"/>
                      </w:rPr>
                      <w:t>i</w:t>
                    </w:r>
                  </w:p>
                </w:txbxContent>
              </v:textbox>
            </v:rect>
            <v:rect id="_x0000_s4477" style="position:absolute;left:3633;top:106;width:82;height:240;mso-wrap-style:none" filled="f" stroked="f">
              <v:textbox style="mso-fit-shape-to-text:t" inset="0,0,0,0">
                <w:txbxContent>
                  <w:p w:rsidR="00A905B7" w:rsidRDefault="00A905B7">
                    <w:r>
                      <w:rPr>
                        <w:color w:val="000000"/>
                        <w:sz w:val="14"/>
                        <w:szCs w:val="14"/>
                      </w:rPr>
                      <w:t>f,</w:t>
                    </w:r>
                  </w:p>
                </w:txbxContent>
              </v:textbox>
            </v:rect>
            <v:rect id="_x0000_s4478" style="position:absolute;left:2281;top:116;width:63;height:240;mso-wrap-style:none" filled="f" stroked="f">
              <v:textbox style="mso-fit-shape-to-text:t" inset="0,0,0,0">
                <w:txbxContent>
                  <w:p w:rsidR="00A905B7" w:rsidRDefault="00A905B7">
                    <w:r>
                      <w:rPr>
                        <w:color w:val="000000"/>
                        <w:sz w:val="14"/>
                        <w:szCs w:val="14"/>
                      </w:rPr>
                      <w:t>a</w:t>
                    </w:r>
                  </w:p>
                </w:txbxContent>
              </v:textbox>
            </v:rect>
            <v:rect id="_x0000_s4479" style="position:absolute;left:269;top:354;width:39;height:240;mso-wrap-style:none" filled="f" stroked="f">
              <v:textbox style="mso-fit-shape-to-text:t" inset="0,0,0,0">
                <w:txbxContent>
                  <w:p w:rsidR="00A905B7" w:rsidRDefault="00A905B7">
                    <w:r>
                      <w:rPr>
                        <w:color w:val="000000"/>
                        <w:sz w:val="14"/>
                        <w:szCs w:val="14"/>
                      </w:rPr>
                      <w:t>i</w:t>
                    </w:r>
                  </w:p>
                </w:txbxContent>
              </v:textbox>
            </v:rect>
            <v:rect id="_x0000_s4480" style="position:absolute;left:173;top:354;width:98;height:240;mso-wrap-style:none" filled="f" stroked="f">
              <v:textbox style="mso-fit-shape-to-text:t" inset="0,0,0,0">
                <w:txbxContent>
                  <w:p w:rsidR="00A905B7" w:rsidRDefault="00A905B7">
                    <w:r>
                      <w:rPr>
                        <w:color w:val="000000"/>
                        <w:sz w:val="14"/>
                        <w:szCs w:val="14"/>
                      </w:rPr>
                      <w:t>e,</w:t>
                    </w:r>
                  </w:p>
                </w:txbxContent>
              </v:textbox>
            </v:rect>
            <v:rect id="_x0000_s4481" style="position:absolute;left:4651;top:482;width:109;height:240;mso-wrap-style:none" filled="f" stroked="f">
              <v:textbox style="mso-fit-shape-to-text:t" inset="0,0,0,0">
                <w:txbxContent>
                  <w:p w:rsidR="00A905B7" w:rsidRPr="0095794C" w:rsidRDefault="00A905B7">
                    <w:r w:rsidRPr="0095794C">
                      <w:rPr>
                        <w:iCs/>
                        <w:color w:val="000000"/>
                        <w:sz w:val="14"/>
                        <w:szCs w:val="14"/>
                      </w:rPr>
                      <w:t>m</w:t>
                    </w:r>
                  </w:p>
                </w:txbxContent>
              </v:textbox>
            </v:rect>
            <v:rect id="_x0000_s4482" style="position:absolute;left:4211;top:472;width:109;height:240;mso-wrap-style:none" filled="f" stroked="f">
              <v:textbox style="mso-fit-shape-to-text:t" inset="0,0,0,0">
                <w:txbxContent>
                  <w:p w:rsidR="00A905B7" w:rsidRPr="0095794C" w:rsidRDefault="00A905B7">
                    <w:r w:rsidRPr="0095794C">
                      <w:rPr>
                        <w:iCs/>
                        <w:color w:val="000000"/>
                        <w:sz w:val="14"/>
                        <w:szCs w:val="14"/>
                      </w:rPr>
                      <w:t>m</w:t>
                    </w:r>
                  </w:p>
                </w:txbxContent>
              </v:textbox>
            </v:rect>
            <v:rect id="_x0000_s4483" style="position:absolute;left:3973;top:97;width:109;height:240;mso-wrap-style:none" filled="f" stroked="f">
              <v:textbox style="mso-fit-shape-to-text:t" inset="0,0,0,0">
                <w:txbxContent>
                  <w:p w:rsidR="00A905B7" w:rsidRPr="0095794C" w:rsidRDefault="00A905B7">
                    <w:r w:rsidRPr="0095794C">
                      <w:rPr>
                        <w:iCs/>
                        <w:color w:val="000000"/>
                        <w:sz w:val="14"/>
                        <w:szCs w:val="14"/>
                      </w:rPr>
                      <w:t>m</w:t>
                    </w:r>
                  </w:p>
                </w:txbxContent>
              </v:textbox>
            </v:rect>
            <v:rect id="_x0000_s4484" style="position:absolute;left:3533;top:107;width:109;height:240;mso-wrap-style:none" filled="f" stroked="f">
              <v:textbox style="mso-fit-shape-to-text:t" inset="0,0,0,0">
                <w:txbxContent>
                  <w:p w:rsidR="00A905B7" w:rsidRPr="00AC44D8" w:rsidRDefault="00A905B7">
                    <w:r w:rsidRPr="00AC44D8">
                      <w:rPr>
                        <w:iCs/>
                        <w:color w:val="000000"/>
                        <w:sz w:val="14"/>
                        <w:szCs w:val="14"/>
                      </w:rPr>
                      <w:t>m</w:t>
                    </w:r>
                  </w:p>
                </w:txbxContent>
              </v:textbox>
            </v:rect>
            <v:rect id="_x0000_s4485" style="position:absolute;left:4523;top:393;width:101;height:240;mso-wrap-style:none" filled="f" stroked="f">
              <v:textbox style="mso-fit-shape-to-text:t" inset="0,0,0,0">
                <w:txbxContent>
                  <w:p w:rsidR="00A905B7" w:rsidRPr="0095794C" w:rsidRDefault="00A905B7">
                    <w:r w:rsidRPr="0095794C">
                      <w:rPr>
                        <w:iCs/>
                        <w:color w:val="000000"/>
                        <w:szCs w:val="24"/>
                      </w:rPr>
                      <w:t>q</w:t>
                    </w:r>
                  </w:p>
                </w:txbxContent>
              </v:textbox>
            </v:rect>
            <v:rect id="_x0000_s4486" style="position:absolute;left:4083;top:393;width:101;height:240;mso-wrap-style:none" filled="f" stroked="f">
              <v:textbox style="mso-fit-shape-to-text:t" inset="0,0,0,0">
                <w:txbxContent>
                  <w:p w:rsidR="00A905B7" w:rsidRPr="0095794C" w:rsidRDefault="00A905B7">
                    <w:r w:rsidRPr="0095794C">
                      <w:rPr>
                        <w:iCs/>
                        <w:color w:val="000000"/>
                        <w:szCs w:val="24"/>
                      </w:rPr>
                      <w:t>q</w:t>
                    </w:r>
                  </w:p>
                </w:txbxContent>
              </v:textbox>
            </v:rect>
            <v:rect id="_x0000_s4487" style="position:absolute;left:2787;top:393;width:101;height:240;mso-wrap-style:none" filled="f" stroked="f">
              <v:textbox style="mso-fit-shape-to-text:t" inset="0,0,0,0">
                <w:txbxContent>
                  <w:p w:rsidR="00A905B7" w:rsidRPr="0095794C" w:rsidRDefault="00A905B7">
                    <w:r w:rsidRPr="0095794C">
                      <w:rPr>
                        <w:iCs/>
                        <w:color w:val="000000"/>
                        <w:szCs w:val="24"/>
                      </w:rPr>
                      <w:t>k</w:t>
                    </w:r>
                  </w:p>
                </w:txbxContent>
              </v:textbox>
            </v:rect>
            <v:rect id="_x0000_s4488" style="position:absolute;left:2259;top:393;width:145;height:240;mso-wrap-style:none" filled="f" stroked="f">
              <v:textbox style="mso-fit-shape-to-text:t" inset="0,0,0,0">
                <w:txbxContent>
                  <w:p w:rsidR="00A905B7" w:rsidRPr="0095794C" w:rsidRDefault="00A905B7">
                    <w:r w:rsidRPr="0095794C">
                      <w:rPr>
                        <w:iCs/>
                        <w:color w:val="000000"/>
                        <w:szCs w:val="24"/>
                      </w:rPr>
                      <w:t>H</w:t>
                    </w:r>
                  </w:p>
                </w:txbxContent>
              </v:textbox>
            </v:rect>
            <v:rect id="_x0000_s4489" style="position:absolute;left:3844;top:28;width:101;height:240;mso-wrap-style:none" filled="f" stroked="f">
              <v:textbox style="mso-fit-shape-to-text:t" inset="0,0,0,0">
                <w:txbxContent>
                  <w:p w:rsidR="00A905B7" w:rsidRPr="0095794C" w:rsidRDefault="00A905B7">
                    <w:r w:rsidRPr="0095794C">
                      <w:rPr>
                        <w:iCs/>
                        <w:color w:val="000000"/>
                        <w:szCs w:val="24"/>
                      </w:rPr>
                      <w:t>q</w:t>
                    </w:r>
                  </w:p>
                </w:txbxContent>
              </v:textbox>
            </v:rect>
            <v:rect id="_x0000_s4490" style="position:absolute;left:3405;top:28;width:101;height:240;mso-wrap-style:none" filled="f" stroked="f">
              <v:textbox style="mso-fit-shape-to-text:t" inset="0,0,0,0">
                <w:txbxContent>
                  <w:p w:rsidR="00A905B7" w:rsidRPr="0095794C" w:rsidRDefault="00A905B7">
                    <w:r w:rsidRPr="0095794C">
                      <w:rPr>
                        <w:iCs/>
                        <w:color w:val="000000"/>
                        <w:szCs w:val="24"/>
                      </w:rPr>
                      <w:t>q</w:t>
                    </w:r>
                  </w:p>
                </w:txbxContent>
              </v:textbox>
            </v:rect>
            <v:rect id="_x0000_s4491" style="position:absolute;left:2083;top:28;width:145;height:240;mso-wrap-style:none" filled="f" stroked="f">
              <v:textbox style="mso-fit-shape-to-text:t" inset="0,0,0,0">
                <w:txbxContent>
                  <w:p w:rsidR="00A905B7" w:rsidRPr="0095794C" w:rsidRDefault="00A905B7">
                    <w:r w:rsidRPr="0095794C">
                      <w:rPr>
                        <w:iCs/>
                        <w:color w:val="000000"/>
                        <w:szCs w:val="24"/>
                      </w:rPr>
                      <w:t>H</w:t>
                    </w:r>
                  </w:p>
                </w:txbxContent>
              </v:textbox>
            </v:rect>
            <v:rect id="_x0000_s4492" style="position:absolute;left:55;top:206;width:100;height:240;mso-wrap-style:none" filled="f" stroked="f">
              <v:textbox style="mso-fit-shape-to-text:t" inset="0,0,0,0">
                <w:txbxContent>
                  <w:p w:rsidR="00A905B7" w:rsidRPr="0095794C" w:rsidRDefault="00A905B7">
                    <w:r w:rsidRPr="0095794C">
                      <w:rPr>
                        <w:iCs/>
                        <w:color w:val="000000"/>
                        <w:szCs w:val="24"/>
                      </w:rPr>
                      <w:t>ρ</w:t>
                    </w:r>
                  </w:p>
                </w:txbxContent>
              </v:textbox>
            </v:rect>
            <v:rect id="_x0000_s4493" style="position:absolute;left:3833;top:36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494" style="position:absolute;left:3117;top:36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495" style="position:absolute;left:2079;top:36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496" style="position:absolute;left:3150;top:1;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497" style="position:absolute;left:2428;top:1;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Pr="00961115">
        <w:rPr>
          <w:b/>
          <w:position w:val="40"/>
          <w:lang w:val="en-GB"/>
        </w:rPr>
        <w:tab/>
      </w:r>
      <w:r w:rsidRPr="00961115">
        <w:rPr>
          <w:position w:val="40"/>
          <w:lang w:val="en-GB"/>
        </w:rPr>
        <w:t>(42)</w:t>
      </w:r>
    </w:p>
    <w:p w:rsidR="00002BA6" w:rsidRPr="00B04DC3" w:rsidRDefault="00002BA6" w:rsidP="00141F44">
      <w:pPr>
        <w:pStyle w:val="para"/>
        <w:keepNext/>
        <w:keepLines/>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position w:val="6"/>
          <w:lang w:val="en-GB"/>
        </w:rPr>
      </w:pPr>
      <w:r w:rsidRPr="00B04DC3">
        <w:rPr>
          <w:position w:val="6"/>
          <w:lang w:val="en-GB"/>
        </w:rPr>
        <w:t>q</w:t>
      </w:r>
      <w:r w:rsidRPr="00B04DC3">
        <w:rPr>
          <w:position w:val="6"/>
          <w:vertAlign w:val="subscript"/>
          <w:lang w:val="en-GB"/>
        </w:rPr>
        <w:t>mad,i</w:t>
      </w:r>
      <w:r w:rsidRPr="00B04DC3">
        <w:rPr>
          <w:position w:val="6"/>
          <w:lang w:val="en-GB"/>
        </w:rPr>
        <w:tab/>
      </w:r>
      <w:r w:rsidRPr="00B04DC3">
        <w:rPr>
          <w:lang w:val="en-GB"/>
        </w:rPr>
        <w:t>is the instantaneous intake air mass flow rate on dry basis, kg/s</w:t>
      </w:r>
    </w:p>
    <w:p w:rsidR="00002BA6" w:rsidRPr="00B04DC3" w:rsidRDefault="00002BA6" w:rsidP="00002BA6">
      <w:pPr>
        <w:pStyle w:val="para"/>
        <w:ind w:left="2856" w:hanging="588"/>
        <w:rPr>
          <w:lang w:val="en-GB"/>
        </w:rPr>
      </w:pPr>
      <w:r w:rsidRPr="00B04DC3">
        <w:rPr>
          <w:position w:val="6"/>
          <w:lang w:val="en-GB"/>
        </w:rPr>
        <w:t>q</w:t>
      </w:r>
      <w:r w:rsidRPr="00B04DC3">
        <w:rPr>
          <w:position w:val="6"/>
          <w:vertAlign w:val="subscript"/>
          <w:lang w:val="en-GB"/>
        </w:rPr>
        <w:t>mf,i</w:t>
      </w:r>
      <w:r w:rsidRPr="00B04DC3">
        <w:rPr>
          <w:position w:val="6"/>
          <w:lang w:val="en-GB"/>
        </w:rPr>
        <w:tab/>
      </w:r>
      <w:r w:rsidRPr="00B04DC3">
        <w:rPr>
          <w:lang w:val="en-GB"/>
        </w:rPr>
        <w:t>is the instantaneous fuel mass flow rate, kg/s</w:t>
      </w:r>
    </w:p>
    <w:p w:rsidR="00002BA6" w:rsidRPr="00B04DC3" w:rsidRDefault="00002BA6" w:rsidP="00002BA6">
      <w:pPr>
        <w:pStyle w:val="para"/>
        <w:ind w:left="2856" w:hanging="588"/>
        <w:rPr>
          <w:lang w:val="en-GB"/>
        </w:rPr>
      </w:pPr>
      <w:r w:rsidRPr="00B04DC3">
        <w:rPr>
          <w:lang w:val="en-GB"/>
        </w:rPr>
        <w:t>H</w:t>
      </w:r>
      <w:r w:rsidRPr="00B04DC3">
        <w:rPr>
          <w:vertAlign w:val="subscript"/>
          <w:lang w:val="en-GB"/>
        </w:rPr>
        <w:t>a</w:t>
      </w:r>
      <w:r w:rsidRPr="00B04DC3">
        <w:rPr>
          <w:lang w:val="en-GB"/>
        </w:rPr>
        <w:tab/>
        <w:t>is the intake air humidity, g water per kg dry air</w:t>
      </w:r>
    </w:p>
    <w:p w:rsidR="00002BA6" w:rsidRPr="00B04DC3" w:rsidRDefault="00002BA6" w:rsidP="00002BA6">
      <w:pPr>
        <w:pStyle w:val="para"/>
        <w:ind w:left="2856" w:hanging="588"/>
        <w:rPr>
          <w:lang w:val="en-GB"/>
        </w:rPr>
      </w:pPr>
      <w:r w:rsidRPr="00B04DC3">
        <w:rPr>
          <w:lang w:val="en-GB"/>
        </w:rPr>
        <w:t>k</w:t>
      </w:r>
      <w:r w:rsidRPr="00B04DC3">
        <w:rPr>
          <w:vertAlign w:val="subscript"/>
          <w:lang w:val="en-GB"/>
        </w:rPr>
        <w:t>fw</w:t>
      </w:r>
      <w:r w:rsidRPr="00B04DC3">
        <w:rPr>
          <w:lang w:val="en-GB"/>
        </w:rPr>
        <w:tab/>
        <w:t>is the fuel specific factor of wet exhaust (equation 16) in paragraph 8.1.1.</w:t>
      </w:r>
      <w:r w:rsidR="003730F4" w:rsidRPr="003730F4">
        <w:rPr>
          <w:lang w:val="en-GB"/>
        </w:rPr>
        <w:t xml:space="preserve"> </w:t>
      </w:r>
      <w:r w:rsidR="003730F4">
        <w:rPr>
          <w:lang w:val="en-GB"/>
        </w:rPr>
        <w:t>of this annex.</w:t>
      </w:r>
    </w:p>
    <w:p w:rsidR="00002BA6" w:rsidRPr="00B04DC3" w:rsidRDefault="00002BA6" w:rsidP="00002BA6">
      <w:pPr>
        <w:pStyle w:val="para"/>
        <w:rPr>
          <w:lang w:val="en-GB"/>
        </w:rPr>
      </w:pPr>
      <w:r w:rsidRPr="00B04DC3">
        <w:rPr>
          <w:lang w:val="en-GB"/>
        </w:rPr>
        <w:t>8.4.3.</w:t>
      </w:r>
      <w:r w:rsidRPr="00B04DC3">
        <w:rPr>
          <w:lang w:val="en-GB"/>
        </w:rPr>
        <w:tab/>
        <w:t>Particulate determination</w:t>
      </w:r>
    </w:p>
    <w:p w:rsidR="00002BA6" w:rsidRPr="00B04DC3" w:rsidRDefault="00002BA6" w:rsidP="00002BA6">
      <w:pPr>
        <w:pStyle w:val="para"/>
        <w:rPr>
          <w:lang w:val="en-GB"/>
        </w:rPr>
      </w:pPr>
      <w:r w:rsidRPr="00B04DC3">
        <w:rPr>
          <w:lang w:val="en-GB"/>
        </w:rPr>
        <w:t>8.4.3.1.</w:t>
      </w:r>
      <w:r w:rsidRPr="00B04DC3">
        <w:rPr>
          <w:lang w:val="en-GB"/>
        </w:rPr>
        <w:tab/>
        <w:t>Data evaluation</w:t>
      </w:r>
    </w:p>
    <w:p w:rsidR="00002BA6" w:rsidRPr="00B04DC3" w:rsidRDefault="00002BA6" w:rsidP="00002BA6">
      <w:pPr>
        <w:pStyle w:val="para"/>
        <w:rPr>
          <w:lang w:val="en-GB"/>
        </w:rPr>
      </w:pPr>
      <w:r w:rsidRPr="00B04DC3">
        <w:rPr>
          <w:lang w:val="en-GB"/>
        </w:rPr>
        <w:tab/>
        <w:t xml:space="preserve">The particulate mass shall be calculated according to equation 27 of paragraph 8.3. </w:t>
      </w:r>
      <w:r w:rsidR="003730F4">
        <w:rPr>
          <w:lang w:val="en-GB"/>
        </w:rPr>
        <w:t xml:space="preserve">of this annex. </w:t>
      </w:r>
      <w:r w:rsidRPr="00B04DC3">
        <w:rPr>
          <w:lang w:val="en-GB"/>
        </w:rPr>
        <w:t>For the evaluation of the particulate concentration, the total sample mass (m</w:t>
      </w:r>
      <w:r w:rsidRPr="00B04DC3">
        <w:rPr>
          <w:vertAlign w:val="subscript"/>
          <w:lang w:val="en-GB"/>
        </w:rPr>
        <w:t>sep</w:t>
      </w:r>
      <w:r w:rsidRPr="00B04DC3">
        <w:rPr>
          <w:lang w:val="en-GB"/>
        </w:rPr>
        <w:t>) through the filter over the test cycle shall be recorded.</w:t>
      </w:r>
    </w:p>
    <w:p w:rsidR="00002BA6" w:rsidRPr="00B04DC3" w:rsidRDefault="00002BA6" w:rsidP="00002BA6">
      <w:pPr>
        <w:pStyle w:val="para"/>
        <w:rPr>
          <w:lang w:val="en-GB"/>
        </w:rPr>
      </w:pPr>
      <w:r w:rsidRPr="00B04DC3">
        <w:rPr>
          <w:lang w:val="en-GB"/>
        </w:rPr>
        <w:tab/>
        <w:t xml:space="preserve">With the prior approval of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lang w:val="en-GB"/>
        </w:rPr>
        <w:t>, the particulate mass may be corrected for the particulate level of the diluent, as determined in paragraph 7.5.6.</w:t>
      </w:r>
      <w:r w:rsidR="003730F4" w:rsidRPr="003730F4">
        <w:rPr>
          <w:lang w:val="en-GB"/>
        </w:rPr>
        <w:t xml:space="preserve"> </w:t>
      </w:r>
      <w:r w:rsidR="003730F4">
        <w:rPr>
          <w:lang w:val="en-GB"/>
        </w:rPr>
        <w:t>of this annex</w:t>
      </w:r>
      <w:r w:rsidRPr="00B04DC3">
        <w:rPr>
          <w:lang w:val="en-GB"/>
        </w:rPr>
        <w:t>, in line with good engineering practice and the specific design features of the particulate measurement system used.</w:t>
      </w:r>
    </w:p>
    <w:p w:rsidR="00002BA6" w:rsidRPr="00B04DC3" w:rsidRDefault="00002BA6" w:rsidP="00002BA6">
      <w:pPr>
        <w:pStyle w:val="para"/>
        <w:rPr>
          <w:lang w:val="en-GB"/>
        </w:rPr>
      </w:pPr>
      <w:r w:rsidRPr="00B04DC3">
        <w:rPr>
          <w:lang w:val="en-GB"/>
        </w:rPr>
        <w:t>8.4.3.2.</w:t>
      </w:r>
      <w:r w:rsidRPr="00B04DC3">
        <w:rPr>
          <w:lang w:val="en-GB"/>
        </w:rPr>
        <w:tab/>
        <w:t>Calculation of mass emission</w:t>
      </w:r>
    </w:p>
    <w:p w:rsidR="00002BA6" w:rsidRPr="00B04DC3" w:rsidRDefault="00002BA6" w:rsidP="00002BA6">
      <w:pPr>
        <w:pStyle w:val="para"/>
        <w:rPr>
          <w:lang w:val="en-GB"/>
        </w:rPr>
      </w:pPr>
      <w:r w:rsidRPr="00B04DC3">
        <w:rPr>
          <w:lang w:val="en-GB"/>
        </w:rPr>
        <w:tab/>
        <w:t>Depending on system design, the mass of particulates (g/test) shall be calculated by either of the methods in paragraphs 8.4.3.2.1. or 8.4.3.2.2 after buoyancy correction of the particulate sample filter according to paragraph 8.3.</w:t>
      </w:r>
      <w:r w:rsidR="003730F4" w:rsidRPr="003730F4">
        <w:rPr>
          <w:lang w:val="en-GB"/>
        </w:rPr>
        <w:t xml:space="preserve"> </w:t>
      </w:r>
      <w:r w:rsidR="003730F4">
        <w:rPr>
          <w:lang w:val="en-GB"/>
        </w:rPr>
        <w:t>of this annex.</w:t>
      </w:r>
    </w:p>
    <w:p w:rsidR="00002BA6" w:rsidRPr="00B04DC3" w:rsidRDefault="00002BA6" w:rsidP="00002BA6">
      <w:pPr>
        <w:pStyle w:val="para"/>
        <w:rPr>
          <w:lang w:val="en-GB"/>
        </w:rPr>
      </w:pPr>
      <w:r w:rsidRPr="00B04DC3">
        <w:rPr>
          <w:lang w:val="en-GB"/>
        </w:rPr>
        <w:t>8.4.3.2.1.</w:t>
      </w:r>
      <w:r w:rsidRPr="00B04DC3">
        <w:rPr>
          <w:lang w:val="en-GB"/>
        </w:rPr>
        <w:tab/>
        <w:t>Calculation based on sample ratio</w:t>
      </w:r>
    </w:p>
    <w:p w:rsidR="00002BA6" w:rsidRPr="00B04DC3" w:rsidRDefault="00002BA6" w:rsidP="00002BA6">
      <w:pPr>
        <w:pStyle w:val="para"/>
        <w:tabs>
          <w:tab w:val="right" w:pos="7000"/>
          <w:tab w:val="right" w:pos="8500"/>
        </w:tabs>
        <w:ind w:firstLine="0"/>
        <w:rPr>
          <w:szCs w:val="24"/>
          <w:lang w:val="en-GB"/>
        </w:rPr>
      </w:pPr>
      <w:r w:rsidRPr="00B04DC3">
        <w:rPr>
          <w:szCs w:val="24"/>
          <w:lang w:val="en-GB"/>
        </w:rPr>
        <w:t>m</w:t>
      </w:r>
      <w:r w:rsidRPr="00B04DC3">
        <w:rPr>
          <w:szCs w:val="24"/>
          <w:vertAlign w:val="subscript"/>
          <w:lang w:val="en-GB"/>
        </w:rPr>
        <w:t>PM</w:t>
      </w:r>
      <w:r w:rsidRPr="00B04DC3">
        <w:rPr>
          <w:szCs w:val="24"/>
          <w:lang w:val="en-GB"/>
        </w:rPr>
        <w:t xml:space="preserve"> = m</w:t>
      </w:r>
      <w:r w:rsidRPr="00B04DC3">
        <w:rPr>
          <w:szCs w:val="24"/>
          <w:vertAlign w:val="subscript"/>
          <w:lang w:val="en-GB"/>
        </w:rPr>
        <w:t>p</w:t>
      </w:r>
      <w:r w:rsidRPr="00B04DC3">
        <w:rPr>
          <w:szCs w:val="24"/>
          <w:lang w:val="en-GB"/>
        </w:rPr>
        <w:t xml:space="preserve"> / (r</w:t>
      </w:r>
      <w:r w:rsidRPr="00B04DC3">
        <w:rPr>
          <w:szCs w:val="24"/>
          <w:vertAlign w:val="subscript"/>
          <w:lang w:val="en-GB"/>
        </w:rPr>
        <w:t>s</w:t>
      </w:r>
      <w:r w:rsidRPr="00B04DC3">
        <w:rPr>
          <w:szCs w:val="24"/>
          <w:lang w:val="en-GB"/>
        </w:rPr>
        <w:t xml:space="preserve"> </w:t>
      </w:r>
      <w:r w:rsidRPr="00B04DC3">
        <w:rPr>
          <w:rFonts w:ascii="Arial" w:hAnsi="Arial" w:cs="Arial"/>
          <w:lang w:val="en-GB"/>
        </w:rPr>
        <w:t>x</w:t>
      </w:r>
      <w:r w:rsidRPr="00B04DC3">
        <w:rPr>
          <w:szCs w:val="24"/>
          <w:lang w:val="en-GB"/>
        </w:rPr>
        <w:t xml:space="preserve"> 1,000)</w:t>
      </w:r>
      <w:r w:rsidRPr="00B04DC3">
        <w:rPr>
          <w:szCs w:val="24"/>
          <w:lang w:val="en-GB"/>
        </w:rPr>
        <w:tab/>
      </w:r>
      <w:r w:rsidRPr="00B04DC3">
        <w:rPr>
          <w:szCs w:val="24"/>
          <w:lang w:val="en-GB"/>
        </w:rPr>
        <w:tab/>
        <w:t>(43)</w:t>
      </w:r>
    </w:p>
    <w:p w:rsidR="00002BA6" w:rsidRPr="00B04DC3" w:rsidRDefault="00002BA6" w:rsidP="00002BA6">
      <w:pPr>
        <w:pStyle w:val="para"/>
        <w:rPr>
          <w:lang w:val="en-GB"/>
        </w:rPr>
      </w:pPr>
      <w:r w:rsidRPr="00B04DC3">
        <w:rPr>
          <w:sz w:val="24"/>
          <w:szCs w:val="24"/>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szCs w:val="24"/>
          <w:lang w:val="en-GB"/>
        </w:rPr>
      </w:pPr>
      <w:r w:rsidRPr="00B04DC3">
        <w:rPr>
          <w:szCs w:val="24"/>
          <w:lang w:val="en-GB"/>
        </w:rPr>
        <w:t>m</w:t>
      </w:r>
      <w:r w:rsidRPr="00B04DC3">
        <w:rPr>
          <w:szCs w:val="24"/>
          <w:vertAlign w:val="subscript"/>
          <w:lang w:val="en-GB"/>
        </w:rPr>
        <w:t>p</w:t>
      </w:r>
      <w:r w:rsidRPr="00B04DC3">
        <w:rPr>
          <w:szCs w:val="24"/>
          <w:lang w:val="en-GB"/>
        </w:rPr>
        <w:tab/>
        <w:t>is the particulate mass sampled over the cycle, mg</w:t>
      </w:r>
    </w:p>
    <w:p w:rsidR="00002BA6" w:rsidRPr="00B04DC3" w:rsidRDefault="00002BA6" w:rsidP="00002BA6">
      <w:pPr>
        <w:pStyle w:val="para"/>
        <w:ind w:left="2856" w:hanging="588"/>
        <w:rPr>
          <w:szCs w:val="24"/>
          <w:lang w:val="en-GB"/>
        </w:rPr>
      </w:pPr>
      <w:r w:rsidRPr="00B04DC3">
        <w:rPr>
          <w:szCs w:val="24"/>
          <w:lang w:val="en-GB"/>
        </w:rPr>
        <w:t>r</w:t>
      </w:r>
      <w:r w:rsidRPr="00B04DC3">
        <w:rPr>
          <w:szCs w:val="24"/>
          <w:vertAlign w:val="subscript"/>
          <w:lang w:val="en-GB"/>
        </w:rPr>
        <w:t>s</w:t>
      </w:r>
      <w:r w:rsidRPr="00B04DC3">
        <w:rPr>
          <w:szCs w:val="24"/>
          <w:lang w:val="en-GB"/>
        </w:rPr>
        <w:tab/>
        <w:t>is the average sample ratio over the test cycle</w:t>
      </w:r>
    </w:p>
    <w:p w:rsidR="00002BA6" w:rsidRDefault="00002BA6" w:rsidP="00002BA6">
      <w:pPr>
        <w:pStyle w:val="para"/>
        <w:rPr>
          <w:lang w:val="en-GB"/>
        </w:rPr>
      </w:pPr>
      <w:r w:rsidRPr="00B04DC3">
        <w:rPr>
          <w:sz w:val="24"/>
          <w:szCs w:val="24"/>
          <w:lang w:val="en-GB"/>
        </w:rPr>
        <w:tab/>
      </w:r>
      <w:r w:rsidR="00961115">
        <w:rPr>
          <w:lang w:val="en-GB"/>
        </w:rPr>
        <w:t>w</w:t>
      </w:r>
      <w:r w:rsidR="00F465E1" w:rsidRPr="00B04DC3">
        <w:rPr>
          <w:lang w:val="en-GB"/>
        </w:rPr>
        <w:t>ith</w:t>
      </w:r>
      <w:r w:rsidR="003730F4">
        <w:rPr>
          <w:lang w:val="en-GB"/>
        </w:rPr>
        <w:t>:</w:t>
      </w:r>
    </w:p>
    <w:p w:rsidR="00002BA6" w:rsidRPr="00B04DC3" w:rsidRDefault="00961115" w:rsidP="00795E3A">
      <w:pPr>
        <w:pStyle w:val="para"/>
        <w:tabs>
          <w:tab w:val="right" w:pos="7000"/>
          <w:tab w:val="right" w:pos="8500"/>
        </w:tabs>
        <w:ind w:firstLine="0"/>
        <w:rPr>
          <w:lang w:val="en-GB"/>
        </w:rPr>
      </w:pPr>
      <w:r w:rsidRPr="00795E3A">
        <w:rPr>
          <w:position w:val="-30"/>
          <w:lang w:val="en-GB"/>
        </w:rPr>
        <w:object w:dxaOrig="1579" w:dyaOrig="700">
          <v:shape id="_x0000_i1254" type="#_x0000_t75" style="width:71.4pt;height:30.6pt" o:ole="">
            <v:imagedata r:id="rId384" o:title=""/>
          </v:shape>
          <o:OLEObject Type="Embed" ProgID="Equation.3" ShapeID="_x0000_i1254" DrawAspect="Content" ObjectID="_1498392349" r:id="rId385"/>
        </w:object>
      </w:r>
      <w:r w:rsidR="00795E3A">
        <w:rPr>
          <w:lang w:val="en-GB"/>
        </w:rPr>
        <w:tab/>
      </w:r>
      <w:r w:rsidR="00002BA6" w:rsidRPr="00B04DC3">
        <w:rPr>
          <w:b/>
          <w:lang w:val="en-GB"/>
        </w:rPr>
        <w:tab/>
      </w:r>
      <w:r w:rsidR="00002BA6" w:rsidRPr="00B04DC3">
        <w:rPr>
          <w:lang w:val="en-GB"/>
        </w:rPr>
        <w:t>(44)</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56" w:hanging="588"/>
        <w:rPr>
          <w:szCs w:val="24"/>
          <w:lang w:val="en-GB"/>
        </w:rPr>
      </w:pPr>
      <w:r w:rsidRPr="00B04DC3">
        <w:rPr>
          <w:szCs w:val="24"/>
          <w:lang w:val="en-GB"/>
        </w:rPr>
        <w:t>m</w:t>
      </w:r>
      <w:r w:rsidRPr="00B04DC3">
        <w:rPr>
          <w:szCs w:val="24"/>
          <w:vertAlign w:val="subscript"/>
          <w:lang w:val="en-GB"/>
        </w:rPr>
        <w:t>se</w:t>
      </w:r>
      <w:r w:rsidRPr="00B04DC3">
        <w:rPr>
          <w:szCs w:val="24"/>
          <w:lang w:val="en-GB"/>
        </w:rPr>
        <w:tab/>
        <w:t>is the sample mass over the cycle, kg</w:t>
      </w:r>
    </w:p>
    <w:p w:rsidR="00002BA6" w:rsidRPr="00B04DC3" w:rsidRDefault="00002BA6" w:rsidP="00002BA6">
      <w:pPr>
        <w:pStyle w:val="para"/>
        <w:ind w:left="2856" w:hanging="588"/>
        <w:rPr>
          <w:szCs w:val="24"/>
          <w:lang w:val="en-GB"/>
        </w:rPr>
      </w:pPr>
      <w:r w:rsidRPr="00B04DC3">
        <w:rPr>
          <w:szCs w:val="24"/>
          <w:lang w:val="en-GB"/>
        </w:rPr>
        <w:t>m</w:t>
      </w:r>
      <w:r w:rsidRPr="00B04DC3">
        <w:rPr>
          <w:szCs w:val="24"/>
          <w:vertAlign w:val="subscript"/>
          <w:lang w:val="en-GB"/>
        </w:rPr>
        <w:t>ew</w:t>
      </w:r>
      <w:r w:rsidRPr="00B04DC3">
        <w:rPr>
          <w:szCs w:val="24"/>
          <w:vertAlign w:val="subscript"/>
          <w:lang w:val="en-GB"/>
        </w:rPr>
        <w:tab/>
      </w:r>
      <w:r w:rsidRPr="00B04DC3">
        <w:rPr>
          <w:szCs w:val="24"/>
          <w:lang w:val="en-GB"/>
        </w:rPr>
        <w:t>is the total exhaust mass flow over the cycle, kg</w:t>
      </w:r>
    </w:p>
    <w:p w:rsidR="00002BA6" w:rsidRPr="00B04DC3" w:rsidRDefault="00002BA6" w:rsidP="00002BA6">
      <w:pPr>
        <w:pStyle w:val="para"/>
        <w:ind w:left="2856" w:hanging="588"/>
        <w:rPr>
          <w:szCs w:val="24"/>
          <w:lang w:val="en-GB"/>
        </w:rPr>
      </w:pPr>
      <w:r w:rsidRPr="00B04DC3">
        <w:rPr>
          <w:szCs w:val="24"/>
          <w:lang w:val="en-GB"/>
        </w:rPr>
        <w:t>m</w:t>
      </w:r>
      <w:r w:rsidRPr="00B04DC3">
        <w:rPr>
          <w:szCs w:val="24"/>
          <w:vertAlign w:val="subscript"/>
          <w:lang w:val="en-GB"/>
        </w:rPr>
        <w:t>sep</w:t>
      </w:r>
      <w:r w:rsidRPr="00B04DC3">
        <w:rPr>
          <w:szCs w:val="24"/>
          <w:vertAlign w:val="subscript"/>
          <w:lang w:val="en-GB"/>
        </w:rPr>
        <w:tab/>
      </w:r>
      <w:r w:rsidRPr="00B04DC3">
        <w:rPr>
          <w:szCs w:val="24"/>
          <w:lang w:val="en-GB"/>
        </w:rPr>
        <w:t>is the mass of diluted exhaust gas passing the particulate collection filters, kg</w:t>
      </w:r>
    </w:p>
    <w:p w:rsidR="00002BA6" w:rsidRPr="00B04DC3" w:rsidRDefault="00002BA6" w:rsidP="00002BA6">
      <w:pPr>
        <w:pStyle w:val="para"/>
        <w:ind w:left="2856" w:hanging="588"/>
        <w:rPr>
          <w:szCs w:val="24"/>
          <w:lang w:val="en-GB"/>
        </w:rPr>
      </w:pPr>
      <w:r w:rsidRPr="00B04DC3">
        <w:rPr>
          <w:szCs w:val="24"/>
          <w:lang w:val="en-GB"/>
        </w:rPr>
        <w:t>m</w:t>
      </w:r>
      <w:r w:rsidRPr="00B04DC3">
        <w:rPr>
          <w:szCs w:val="24"/>
          <w:vertAlign w:val="subscript"/>
          <w:lang w:val="en-GB"/>
        </w:rPr>
        <w:t>sed</w:t>
      </w:r>
      <w:r w:rsidRPr="00B04DC3">
        <w:rPr>
          <w:szCs w:val="24"/>
          <w:vertAlign w:val="subscript"/>
          <w:lang w:val="en-GB"/>
        </w:rPr>
        <w:tab/>
      </w:r>
      <w:r w:rsidRPr="00B04DC3">
        <w:rPr>
          <w:szCs w:val="24"/>
          <w:lang w:val="en-GB"/>
        </w:rPr>
        <w:t>is the mass of diluted exhaust gas passing the dilution tunnel, kg</w:t>
      </w:r>
    </w:p>
    <w:p w:rsidR="00002BA6" w:rsidRPr="00B04DC3" w:rsidRDefault="00002BA6" w:rsidP="00002BA6">
      <w:pPr>
        <w:pStyle w:val="para"/>
        <w:rPr>
          <w:szCs w:val="24"/>
          <w:lang w:val="en-GB"/>
        </w:rPr>
      </w:pPr>
      <w:r w:rsidRPr="00B04DC3">
        <w:rPr>
          <w:szCs w:val="24"/>
          <w:lang w:val="en-GB"/>
        </w:rPr>
        <w:tab/>
        <w:t>In case of the total sampling type system, m</w:t>
      </w:r>
      <w:r w:rsidRPr="00B04DC3">
        <w:rPr>
          <w:szCs w:val="24"/>
          <w:vertAlign w:val="subscript"/>
          <w:lang w:val="en-GB"/>
        </w:rPr>
        <w:t>sep</w:t>
      </w:r>
      <w:r w:rsidRPr="00B04DC3">
        <w:rPr>
          <w:szCs w:val="24"/>
          <w:lang w:val="en-GB"/>
        </w:rPr>
        <w:t xml:space="preserve"> and m</w:t>
      </w:r>
      <w:r w:rsidRPr="00B04DC3">
        <w:rPr>
          <w:szCs w:val="24"/>
          <w:vertAlign w:val="subscript"/>
          <w:lang w:val="en-GB"/>
        </w:rPr>
        <w:t>sed</w:t>
      </w:r>
      <w:r w:rsidRPr="00B04DC3">
        <w:rPr>
          <w:szCs w:val="24"/>
          <w:lang w:val="en-GB"/>
        </w:rPr>
        <w:t xml:space="preserve"> are identical.</w:t>
      </w:r>
    </w:p>
    <w:p w:rsidR="00002BA6" w:rsidRPr="00B04DC3" w:rsidRDefault="00002BA6" w:rsidP="00FB5A71">
      <w:pPr>
        <w:pStyle w:val="para"/>
        <w:keepNext/>
        <w:keepLines/>
        <w:rPr>
          <w:lang w:val="en-GB"/>
        </w:rPr>
      </w:pPr>
      <w:r w:rsidRPr="00B04DC3">
        <w:rPr>
          <w:lang w:val="en-GB"/>
        </w:rPr>
        <w:t>8.4.3.2.2.</w:t>
      </w:r>
      <w:r w:rsidRPr="00B04DC3">
        <w:rPr>
          <w:lang w:val="en-GB"/>
        </w:rPr>
        <w:tab/>
        <w:t>Calculation based on dilution ratio</w:t>
      </w:r>
    </w:p>
    <w:p w:rsidR="00002BA6" w:rsidRPr="00961115" w:rsidRDefault="00A905B7" w:rsidP="00002BA6">
      <w:pPr>
        <w:pStyle w:val="para"/>
        <w:tabs>
          <w:tab w:val="right" w:pos="7000"/>
          <w:tab w:val="right" w:pos="8500"/>
        </w:tabs>
        <w:ind w:left="2977" w:firstLine="0"/>
        <w:rPr>
          <w:position w:val="30"/>
          <w:lang w:val="en-GB"/>
        </w:rPr>
      </w:pPr>
      <w:r>
        <w:rPr>
          <w:noProof/>
          <w:lang w:val="en-GB"/>
        </w:rPr>
        <w:pict>
          <v:rect id="_x0000_s5511" style="position:absolute;left:0;text-align:left;margin-left:118.35pt;margin-top:10.75pt;width:27pt;height:12pt;z-index:251591680" filled="f" stroked="f">
            <v:textbox style="mso-fit-shape-to-text:t" inset="0,0,0,0">
              <w:txbxContent>
                <w:p w:rsidR="00A905B7" w:rsidRPr="00526DDF" w:rsidRDefault="00A905B7" w:rsidP="00002BA6">
                  <w:r w:rsidRPr="00526DDF">
                    <w:rPr>
                      <w:iCs/>
                      <w:color w:val="000000"/>
                    </w:rPr>
                    <w:t>m</w:t>
                  </w:r>
                  <w:r w:rsidRPr="00526DDF">
                    <w:rPr>
                      <w:iCs/>
                      <w:color w:val="000000"/>
                      <w:vertAlign w:val="subscript"/>
                    </w:rPr>
                    <w:t>PM</w:t>
                  </w:r>
                  <w:r w:rsidRPr="00526DDF">
                    <w:rPr>
                      <w:iCs/>
                      <w:color w:val="000000"/>
                    </w:rPr>
                    <w:t xml:space="preserve"> =</w:t>
                  </w:r>
                </w:p>
              </w:txbxContent>
            </v:textbox>
          </v:rect>
        </w:pict>
      </w:r>
      <w:r>
        <w:rPr>
          <w:lang w:val="en-GB"/>
        </w:rPr>
      </w:r>
      <w:r>
        <w:rPr>
          <w:lang w:val="en-GB"/>
        </w:rPr>
        <w:pict>
          <v:group id="_x0000_s4511" editas="canvas" style="width:52.25pt;height:37.9pt;mso-position-horizontal-relative:char;mso-position-vertical-relative:line" coordorigin="35,23" coordsize="1045,758">
            <o:lock v:ext="edit" aspectratio="t"/>
            <v:shape id="_x0000_s4512" type="#_x0000_t75" style="position:absolute;left:35;top:23;width:1045;height:758" o:preferrelative="f">
              <v:fill o:detectmouseclick="t"/>
              <v:path o:extrusionok="t" o:connecttype="none"/>
              <o:lock v:ext="edit" text="t"/>
            </v:shape>
            <v:line id="_x0000_s4513" style="position:absolute" from="40,410" to="469,411" strokeweight=".5pt"/>
            <v:line id="_x0000_s4514" style="position:absolute" from="647,410" to="1075,411" strokeweight=".5pt"/>
            <v:rect id="_x0000_s4515" style="position:absolute;left:651;top:416;width:406;height:240;mso-wrap-style:none" filled="f" stroked="f">
              <v:textbox style="mso-fit-shape-to-text:t" inset="0,0,0,0">
                <w:txbxContent>
                  <w:p w:rsidR="00A905B7" w:rsidRDefault="00A905B7">
                    <w:r>
                      <w:rPr>
                        <w:color w:val="000000"/>
                        <w:sz w:val="18"/>
                        <w:szCs w:val="18"/>
                      </w:rPr>
                      <w:t>1,000</w:t>
                    </w:r>
                  </w:p>
                </w:txbxContent>
              </v:textbox>
            </v:rect>
            <v:rect id="_x0000_s4516" style="position:absolute;left:836;top:170;width:244;height:340" filled="f" stroked="f">
              <v:textbox inset="0,0,0,0">
                <w:txbxContent>
                  <w:p w:rsidR="00A905B7" w:rsidRDefault="00A905B7">
                    <w:r>
                      <w:rPr>
                        <w:color w:val="000000"/>
                        <w:sz w:val="14"/>
                        <w:szCs w:val="14"/>
                      </w:rPr>
                      <w:t>edf</w:t>
                    </w:r>
                  </w:p>
                </w:txbxContent>
              </v:textbox>
            </v:rect>
            <v:rect id="_x0000_s4517" style="position:absolute;left:241;top:541;width:187;height:240;mso-wrap-style:none" filled="f" stroked="f">
              <v:textbox style="mso-fit-shape-to-text:t" inset="0,0,0,0">
                <w:txbxContent>
                  <w:p w:rsidR="00A905B7" w:rsidRDefault="00A905B7">
                    <w:r>
                      <w:rPr>
                        <w:color w:val="000000"/>
                        <w:sz w:val="14"/>
                        <w:szCs w:val="14"/>
                      </w:rPr>
                      <w:t>sep</w:t>
                    </w:r>
                  </w:p>
                </w:txbxContent>
              </v:textbox>
            </v:rect>
            <v:rect id="_x0000_s4518" style="position:absolute;left:301;top:151;width:71;height:240;mso-wrap-style:none" filled="f" stroked="f">
              <v:textbox style="mso-fit-shape-to-text:t" inset="0,0,0,0">
                <w:txbxContent>
                  <w:p w:rsidR="00A905B7" w:rsidRDefault="00A905B7">
                    <w:r>
                      <w:rPr>
                        <w:color w:val="000000"/>
                        <w:sz w:val="14"/>
                        <w:szCs w:val="14"/>
                      </w:rPr>
                      <w:t>p</w:t>
                    </w:r>
                  </w:p>
                </w:txbxContent>
              </v:textbox>
            </v:rect>
            <v:rect id="_x0000_s4519" style="position:absolute;left:663;top:67;width:156;height:240;mso-wrap-style:none" filled="f" stroked="f">
              <v:textbox style="mso-fit-shape-to-text:t" inset="0,0,0,0">
                <w:txbxContent>
                  <w:p w:rsidR="00A905B7" w:rsidRPr="00033FCD" w:rsidRDefault="00A905B7">
                    <w:r w:rsidRPr="00033FCD">
                      <w:rPr>
                        <w:iCs/>
                        <w:color w:val="000000"/>
                        <w:szCs w:val="24"/>
                      </w:rPr>
                      <w:t>m</w:t>
                    </w:r>
                  </w:p>
                </w:txbxContent>
              </v:textbox>
            </v:rect>
            <v:rect id="_x0000_s4520" style="position:absolute;left:56;top:393;width:179;height:327" filled="f" stroked="f">
              <v:textbox inset="0,0,0,0">
                <w:txbxContent>
                  <w:p w:rsidR="00A905B7" w:rsidRPr="00033FCD" w:rsidRDefault="00A905B7">
                    <w:r w:rsidRPr="00033FCD">
                      <w:rPr>
                        <w:iCs/>
                        <w:color w:val="000000"/>
                        <w:szCs w:val="24"/>
                      </w:rPr>
                      <w:t>m</w:t>
                    </w:r>
                  </w:p>
                </w:txbxContent>
              </v:textbox>
            </v:rect>
            <v:rect id="_x0000_s4521" style="position:absolute;left:112;top:23;width:156;height:240;mso-wrap-style:none" filled="f" stroked="f">
              <v:textbox style="mso-fit-shape-to-text:t" inset="0,0,0,0">
                <w:txbxContent>
                  <w:p w:rsidR="00A905B7" w:rsidRPr="00033FCD" w:rsidRDefault="00A905B7">
                    <w:r w:rsidRPr="00033FCD">
                      <w:rPr>
                        <w:iCs/>
                        <w:color w:val="000000"/>
                        <w:szCs w:val="24"/>
                      </w:rPr>
                      <w:t>m</w:t>
                    </w:r>
                  </w:p>
                </w:txbxContent>
              </v:textbox>
            </v:rect>
            <v:rect id="_x0000_s4522" style="position:absolute;left:508;top:239;width:247;height:232" filled="f" stroked="f">
              <v:textbox inset="0,0,0,0">
                <w:txbxContent>
                  <w:p w:rsidR="00A905B7" w:rsidRDefault="00A905B7">
                    <w:r>
                      <w:rPr>
                        <w:rFonts w:ascii="Symbol" w:hAnsi="Symbol" w:cs="Symbol"/>
                        <w:color w:val="000000"/>
                        <w:sz w:val="18"/>
                        <w:szCs w:val="18"/>
                      </w:rPr>
                      <w:t></w:t>
                    </w:r>
                  </w:p>
                </w:txbxContent>
              </v:textbox>
            </v:rect>
            <w10:wrap type="none"/>
            <w10:anchorlock/>
          </v:group>
        </w:pict>
      </w:r>
      <w:r w:rsidR="00002BA6" w:rsidRPr="00961115">
        <w:rPr>
          <w:position w:val="30"/>
          <w:lang w:val="en-GB"/>
        </w:rPr>
        <w:tab/>
      </w:r>
      <w:r w:rsidR="00002BA6" w:rsidRPr="00961115">
        <w:rPr>
          <w:position w:val="30"/>
          <w:lang w:val="en-GB"/>
        </w:rPr>
        <w:tab/>
        <w:t>(45)</w:t>
      </w:r>
    </w:p>
    <w:p w:rsidR="00002BA6" w:rsidRPr="00B04DC3" w:rsidRDefault="00002BA6" w:rsidP="00002BA6">
      <w:pPr>
        <w:pStyle w:val="para"/>
        <w:rPr>
          <w:szCs w:val="24"/>
          <w:lang w:val="en-GB"/>
        </w:rPr>
      </w:pPr>
      <w:r w:rsidRPr="00B04DC3">
        <w:rPr>
          <w:szCs w:val="24"/>
          <w:lang w:val="en-GB"/>
        </w:rPr>
        <w:tab/>
      </w:r>
      <w:r w:rsidR="00D06B9E" w:rsidRPr="00B04DC3">
        <w:rPr>
          <w:szCs w:val="24"/>
          <w:lang w:val="en-GB"/>
        </w:rPr>
        <w:t>Where</w:t>
      </w:r>
      <w:r w:rsidRPr="00B04DC3">
        <w:rPr>
          <w:szCs w:val="24"/>
          <w:lang w:val="en-GB"/>
        </w:rPr>
        <w:t>:</w:t>
      </w:r>
    </w:p>
    <w:p w:rsidR="00002BA6" w:rsidRPr="00B04DC3" w:rsidRDefault="00002BA6" w:rsidP="00002BA6">
      <w:pPr>
        <w:pStyle w:val="para"/>
        <w:ind w:left="2856" w:hanging="588"/>
        <w:rPr>
          <w:lang w:val="en-GB"/>
        </w:rPr>
      </w:pPr>
      <w:r w:rsidRPr="00B04DC3">
        <w:rPr>
          <w:lang w:val="en-GB"/>
        </w:rPr>
        <w:t>m</w:t>
      </w:r>
      <w:r w:rsidRPr="00B04DC3">
        <w:rPr>
          <w:vertAlign w:val="subscript"/>
          <w:lang w:val="en-GB"/>
        </w:rPr>
        <w:t>p</w:t>
      </w:r>
      <w:r w:rsidRPr="00B04DC3">
        <w:rPr>
          <w:lang w:val="en-GB"/>
        </w:rPr>
        <w:tab/>
        <w:t>is the particulate mass sampled over the cycle, mg</w:t>
      </w:r>
    </w:p>
    <w:p w:rsidR="00002BA6" w:rsidRPr="00B04DC3" w:rsidRDefault="00002BA6" w:rsidP="00002BA6">
      <w:pPr>
        <w:pStyle w:val="para"/>
        <w:ind w:left="2856" w:hanging="588"/>
        <w:rPr>
          <w:lang w:val="en-GB"/>
        </w:rPr>
      </w:pPr>
      <w:r w:rsidRPr="00B04DC3">
        <w:rPr>
          <w:lang w:val="en-GB"/>
        </w:rPr>
        <w:t>m</w:t>
      </w:r>
      <w:r w:rsidRPr="00B04DC3">
        <w:rPr>
          <w:vertAlign w:val="subscript"/>
          <w:lang w:val="en-GB"/>
        </w:rPr>
        <w:t>sep</w:t>
      </w:r>
      <w:r w:rsidRPr="00B04DC3">
        <w:rPr>
          <w:lang w:val="en-GB"/>
        </w:rPr>
        <w:tab/>
        <w:t>is the mass of diluted exhaust gas passing the particulate collection filters, kg</w:t>
      </w:r>
    </w:p>
    <w:p w:rsidR="00002BA6" w:rsidRPr="00B04DC3" w:rsidRDefault="00002BA6" w:rsidP="00002BA6">
      <w:pPr>
        <w:pStyle w:val="para"/>
        <w:ind w:left="2856" w:hanging="588"/>
        <w:rPr>
          <w:lang w:val="en-GB"/>
        </w:rPr>
      </w:pPr>
      <w:r w:rsidRPr="00B04DC3">
        <w:rPr>
          <w:lang w:val="en-GB"/>
        </w:rPr>
        <w:t>m</w:t>
      </w:r>
      <w:r w:rsidRPr="00B04DC3">
        <w:rPr>
          <w:vertAlign w:val="subscript"/>
          <w:lang w:val="en-GB"/>
        </w:rPr>
        <w:t>edf</w:t>
      </w:r>
      <w:r w:rsidRPr="00B04DC3">
        <w:rPr>
          <w:lang w:val="en-GB"/>
        </w:rPr>
        <w:tab/>
        <w:t>is the mass of equivalent diluted exhaust gas over the cycle, kg</w:t>
      </w:r>
    </w:p>
    <w:p w:rsidR="00002BA6" w:rsidRPr="00773615" w:rsidRDefault="00002BA6" w:rsidP="00002BA6">
      <w:pPr>
        <w:pStyle w:val="para"/>
        <w:rPr>
          <w:szCs w:val="24"/>
          <w:lang w:val="en-GB"/>
        </w:rPr>
      </w:pPr>
      <w:r w:rsidRPr="00B04DC3">
        <w:rPr>
          <w:szCs w:val="24"/>
          <w:lang w:val="en-GB"/>
        </w:rPr>
        <w:tab/>
        <w:t xml:space="preserve">The total mass of equivalent </w:t>
      </w:r>
      <w:r w:rsidRPr="00B04DC3">
        <w:rPr>
          <w:lang w:val="en-GB"/>
        </w:rPr>
        <w:t>diluted</w:t>
      </w:r>
      <w:r w:rsidRPr="00B04DC3">
        <w:rPr>
          <w:szCs w:val="24"/>
          <w:lang w:val="en-GB"/>
        </w:rPr>
        <w:t xml:space="preserve"> exhaust gas mass over the cycle shall be </w:t>
      </w:r>
      <w:r w:rsidRPr="00773615">
        <w:rPr>
          <w:szCs w:val="24"/>
          <w:lang w:val="en-GB"/>
        </w:rPr>
        <w:t>determined as follows:</w:t>
      </w:r>
    </w:p>
    <w:p w:rsidR="00002BA6" w:rsidRPr="00773615" w:rsidRDefault="00ED0E3F" w:rsidP="00141F44">
      <w:pPr>
        <w:pStyle w:val="para"/>
        <w:tabs>
          <w:tab w:val="left" w:pos="2835"/>
          <w:tab w:val="right" w:pos="8505"/>
        </w:tabs>
        <w:spacing w:after="240"/>
        <w:ind w:firstLine="0"/>
        <w:rPr>
          <w:lang w:val="en-GB"/>
        </w:rPr>
      </w:pPr>
      <w:r w:rsidRPr="00773615">
        <w:rPr>
          <w:position w:val="-28"/>
          <w:lang w:val="en-GB"/>
        </w:rPr>
        <w:object w:dxaOrig="1840" w:dyaOrig="680">
          <v:shape id="_x0000_i1256" type="#_x0000_t75" style="width:92.4pt;height:33.6pt" o:ole="">
            <v:imagedata r:id="rId386" o:title=""/>
          </v:shape>
          <o:OLEObject Type="Embed" ProgID="Equation.3" ShapeID="_x0000_i1256" DrawAspect="Content" ObjectID="_1498392350" r:id="rId387"/>
        </w:object>
      </w:r>
      <w:r w:rsidR="00002BA6" w:rsidRPr="00773615">
        <w:rPr>
          <w:lang w:val="en-GB"/>
        </w:rPr>
        <w:tab/>
        <w:t>(46)</w:t>
      </w:r>
    </w:p>
    <w:p w:rsidR="00002BA6" w:rsidRPr="00773615" w:rsidRDefault="00002BA6" w:rsidP="00002BA6">
      <w:pPr>
        <w:pStyle w:val="para"/>
        <w:tabs>
          <w:tab w:val="left" w:pos="2835"/>
          <w:tab w:val="right" w:pos="8505"/>
        </w:tabs>
        <w:ind w:firstLine="0"/>
        <w:rPr>
          <w:lang w:val="en-GB"/>
        </w:rPr>
      </w:pPr>
      <w:r w:rsidRPr="00773615">
        <w:rPr>
          <w:lang w:val="en-GB"/>
        </w:rPr>
        <w:t>q</w:t>
      </w:r>
      <w:r w:rsidRPr="00773615">
        <w:rPr>
          <w:vertAlign w:val="subscript"/>
          <w:lang w:val="en-GB"/>
        </w:rPr>
        <w:t>medf,i</w:t>
      </w:r>
      <w:r w:rsidRPr="00773615">
        <w:rPr>
          <w:lang w:val="en-GB"/>
        </w:rPr>
        <w:tab/>
        <w:t>= q</w:t>
      </w:r>
      <w:r w:rsidRPr="00773615">
        <w:rPr>
          <w:vertAlign w:val="subscript"/>
          <w:lang w:val="en-GB"/>
        </w:rPr>
        <w:t>mew,i</w:t>
      </w:r>
      <w:r w:rsidRPr="00773615">
        <w:rPr>
          <w:lang w:val="en-GB"/>
        </w:rPr>
        <w:t xml:space="preserve"> </w:t>
      </w:r>
      <w:r w:rsidRPr="00773615">
        <w:rPr>
          <w:rFonts w:ascii="Arial" w:hAnsi="Arial" w:cs="Arial"/>
          <w:lang w:val="en-GB"/>
        </w:rPr>
        <w:t>x</w:t>
      </w:r>
      <w:r w:rsidRPr="00773615">
        <w:rPr>
          <w:lang w:val="en-GB"/>
        </w:rPr>
        <w:t xml:space="preserve"> r</w:t>
      </w:r>
      <w:r w:rsidRPr="00773615">
        <w:rPr>
          <w:vertAlign w:val="subscript"/>
          <w:lang w:val="en-GB"/>
        </w:rPr>
        <w:t>d,i</w:t>
      </w:r>
      <w:r w:rsidRPr="00773615">
        <w:rPr>
          <w:lang w:val="en-GB"/>
        </w:rPr>
        <w:tab/>
        <w:t>(47)</w:t>
      </w:r>
    </w:p>
    <w:p w:rsidR="00002BA6" w:rsidRPr="00B04DC3" w:rsidRDefault="00B6131C" w:rsidP="00002BA6">
      <w:pPr>
        <w:pStyle w:val="para"/>
        <w:tabs>
          <w:tab w:val="left" w:pos="2835"/>
          <w:tab w:val="right" w:pos="8505"/>
        </w:tabs>
        <w:ind w:firstLine="0"/>
        <w:rPr>
          <w:lang w:val="en-GB"/>
        </w:rPr>
      </w:pPr>
      <w:r w:rsidRPr="00773615">
        <w:rPr>
          <w:position w:val="-32"/>
          <w:lang w:val="en-GB"/>
        </w:rPr>
        <w:object w:dxaOrig="2060" w:dyaOrig="720">
          <v:shape id="_x0000_i1257" type="#_x0000_t75" style="width:102.6pt;height:36pt" o:ole="">
            <v:imagedata r:id="rId388" o:title=""/>
          </v:shape>
          <o:OLEObject Type="Embed" ProgID="Equation.3" ShapeID="_x0000_i1257" DrawAspect="Content" ObjectID="_1498392351" r:id="rId389"/>
        </w:object>
      </w:r>
      <w:r w:rsidR="00002BA6" w:rsidRPr="00773615">
        <w:rPr>
          <w:lang w:val="en-GB"/>
        </w:rPr>
        <w:t xml:space="preserve">= </w:t>
      </w:r>
      <w:r w:rsidR="00002BA6" w:rsidRPr="00773615">
        <w:rPr>
          <w:lang w:val="en-GB"/>
        </w:rPr>
        <w:tab/>
        <w:t>(48)</w:t>
      </w:r>
    </w:p>
    <w:p w:rsidR="00002BA6" w:rsidRPr="00B04DC3" w:rsidRDefault="00002BA6" w:rsidP="00002BA6">
      <w:pPr>
        <w:pStyle w:val="para"/>
        <w:rPr>
          <w:szCs w:val="24"/>
          <w:lang w:val="en-GB" w:eastAsia="ja-JP"/>
        </w:rPr>
      </w:pPr>
      <w:r w:rsidRPr="00B04DC3">
        <w:rPr>
          <w:szCs w:val="24"/>
          <w:lang w:val="en-GB" w:eastAsia="ja-JP"/>
        </w:rPr>
        <w:tab/>
      </w:r>
      <w:r w:rsidR="00D06B9E" w:rsidRPr="00B04DC3">
        <w:rPr>
          <w:lang w:val="en-GB"/>
        </w:rPr>
        <w:t>Where</w:t>
      </w:r>
      <w:r w:rsidRPr="00B04DC3">
        <w:rPr>
          <w:szCs w:val="24"/>
          <w:lang w:val="en-GB" w:eastAsia="ja-JP"/>
        </w:rPr>
        <w:t>:</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medf,i</w:t>
      </w:r>
      <w:r w:rsidRPr="00B04DC3">
        <w:rPr>
          <w:lang w:val="en-GB"/>
        </w:rPr>
        <w:tab/>
        <w:t>is the instantaneous equivalent diluted exhaust mass flow rate, kg/s</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mew,i</w:t>
      </w:r>
      <w:r w:rsidRPr="00B04DC3">
        <w:rPr>
          <w:lang w:val="en-GB"/>
        </w:rPr>
        <w:tab/>
        <w:t>is the instantaneous exhaust mass flow rate, kg/s</w:t>
      </w:r>
    </w:p>
    <w:p w:rsidR="00002BA6" w:rsidRPr="00B04DC3" w:rsidRDefault="00002BA6" w:rsidP="00002BA6">
      <w:pPr>
        <w:pStyle w:val="para"/>
        <w:ind w:left="2856" w:hanging="588"/>
        <w:rPr>
          <w:lang w:val="en-GB"/>
        </w:rPr>
      </w:pPr>
      <w:r w:rsidRPr="00B04DC3">
        <w:rPr>
          <w:lang w:val="en-GB"/>
        </w:rPr>
        <w:t>r</w:t>
      </w:r>
      <w:r w:rsidRPr="00B04DC3">
        <w:rPr>
          <w:vertAlign w:val="subscript"/>
          <w:lang w:val="en-GB"/>
        </w:rPr>
        <w:t>d,i</w:t>
      </w:r>
      <w:r w:rsidRPr="00B04DC3">
        <w:rPr>
          <w:vertAlign w:val="subscript"/>
          <w:lang w:val="en-GB"/>
        </w:rPr>
        <w:tab/>
      </w:r>
      <w:r w:rsidRPr="00B04DC3">
        <w:rPr>
          <w:lang w:val="en-GB"/>
        </w:rPr>
        <w:t>is the instantaneous dilution ratio</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mdew,i</w:t>
      </w:r>
      <w:r w:rsidRPr="00B04DC3">
        <w:rPr>
          <w:vertAlign w:val="subscript"/>
          <w:lang w:val="en-GB"/>
        </w:rPr>
        <w:tab/>
      </w:r>
      <w:r w:rsidRPr="00B04DC3">
        <w:rPr>
          <w:lang w:val="en-GB"/>
        </w:rPr>
        <w:t>is the instantaneous diluted exhaust mass flow rate, kg/s</w:t>
      </w:r>
    </w:p>
    <w:p w:rsidR="00002BA6" w:rsidRPr="00B04DC3" w:rsidRDefault="00002BA6" w:rsidP="00002BA6">
      <w:pPr>
        <w:pStyle w:val="para"/>
        <w:ind w:left="2856" w:hanging="588"/>
        <w:rPr>
          <w:lang w:val="en-GB"/>
        </w:rPr>
      </w:pPr>
      <w:r w:rsidRPr="00B04DC3">
        <w:rPr>
          <w:lang w:val="en-GB"/>
        </w:rPr>
        <w:t>q</w:t>
      </w:r>
      <w:r w:rsidRPr="00B04DC3">
        <w:rPr>
          <w:vertAlign w:val="subscript"/>
          <w:lang w:val="en-GB"/>
        </w:rPr>
        <w:t>mdw,i</w:t>
      </w:r>
      <w:r w:rsidRPr="00B04DC3">
        <w:rPr>
          <w:lang w:val="en-GB"/>
        </w:rPr>
        <w:tab/>
        <w:t>is the instantaneous diluent mass flow rate, kg/s</w:t>
      </w:r>
    </w:p>
    <w:p w:rsidR="00002BA6" w:rsidRPr="00B04DC3" w:rsidRDefault="00002BA6" w:rsidP="00002BA6">
      <w:pPr>
        <w:pStyle w:val="para"/>
        <w:ind w:left="2856" w:hanging="588"/>
        <w:rPr>
          <w:lang w:val="en-GB"/>
        </w:rPr>
      </w:pPr>
      <w:r w:rsidRPr="00B04DC3">
        <w:rPr>
          <w:lang w:val="en-GB"/>
        </w:rPr>
        <w:t>f</w:t>
      </w:r>
      <w:r w:rsidRPr="00B04DC3">
        <w:rPr>
          <w:lang w:val="en-GB"/>
        </w:rPr>
        <w:tab/>
        <w:t>is the data sampling rate, Hz</w:t>
      </w:r>
    </w:p>
    <w:p w:rsidR="00002BA6" w:rsidRPr="00B04DC3" w:rsidRDefault="00002BA6" w:rsidP="00002BA6">
      <w:pPr>
        <w:pStyle w:val="para"/>
        <w:ind w:left="2856" w:hanging="588"/>
        <w:rPr>
          <w:lang w:val="en-GB"/>
        </w:rPr>
      </w:pPr>
      <w:r w:rsidRPr="00B04DC3">
        <w:rPr>
          <w:i/>
          <w:lang w:val="en-GB"/>
        </w:rPr>
        <w:t>n</w:t>
      </w:r>
      <w:r w:rsidRPr="00B04DC3">
        <w:rPr>
          <w:lang w:val="en-GB"/>
        </w:rPr>
        <w:tab/>
        <w:t>is the number of measurements</w:t>
      </w:r>
    </w:p>
    <w:p w:rsidR="00002BA6" w:rsidRPr="00B04DC3" w:rsidRDefault="00002BA6" w:rsidP="00002BA6">
      <w:pPr>
        <w:pStyle w:val="para"/>
        <w:rPr>
          <w:lang w:val="en-GB"/>
        </w:rPr>
      </w:pPr>
      <w:r w:rsidRPr="00B04DC3">
        <w:rPr>
          <w:lang w:val="en-GB"/>
        </w:rPr>
        <w:t>8.5.</w:t>
      </w:r>
      <w:r w:rsidRPr="00B04DC3">
        <w:rPr>
          <w:lang w:val="en-GB"/>
        </w:rPr>
        <w:tab/>
        <w:t>Full flow dilution measurement (CVS)</w:t>
      </w:r>
    </w:p>
    <w:p w:rsidR="00002BA6" w:rsidRPr="00B04DC3" w:rsidRDefault="00002BA6" w:rsidP="00002BA6">
      <w:pPr>
        <w:pStyle w:val="para"/>
        <w:rPr>
          <w:lang w:val="en-GB"/>
        </w:rPr>
      </w:pPr>
      <w:r w:rsidRPr="00B04DC3">
        <w:rPr>
          <w:lang w:val="en-GB"/>
        </w:rPr>
        <w:tab/>
        <w:t xml:space="preserve">The concentration signals, either by integration over the cycle or by bag sampling, of the gaseous components shall be used for the calculation of the mass emissions by multiplication with the diluted exhaust mass flow rate. The exhaust mass flow rate shall be measured with a </w:t>
      </w:r>
      <w:r w:rsidR="00416318">
        <w:rPr>
          <w:lang w:val="en-GB"/>
        </w:rPr>
        <w:t>C</w:t>
      </w:r>
      <w:r w:rsidR="00416318" w:rsidRPr="00B04DC3">
        <w:rPr>
          <w:lang w:val="en-GB"/>
        </w:rPr>
        <w:t xml:space="preserve">onstant </w:t>
      </w:r>
      <w:r w:rsidR="00416318">
        <w:rPr>
          <w:lang w:val="en-GB"/>
        </w:rPr>
        <w:t>V</w:t>
      </w:r>
      <w:r w:rsidR="00416318" w:rsidRPr="00B04DC3">
        <w:rPr>
          <w:lang w:val="en-GB"/>
        </w:rPr>
        <w:t xml:space="preserve">olume </w:t>
      </w:r>
      <w:r w:rsidR="00416318">
        <w:rPr>
          <w:lang w:val="en-GB"/>
        </w:rPr>
        <w:t>S</w:t>
      </w:r>
      <w:r w:rsidR="00416318" w:rsidRPr="00B04DC3">
        <w:rPr>
          <w:lang w:val="en-GB"/>
        </w:rPr>
        <w:t xml:space="preserve">ampling </w:t>
      </w:r>
      <w:r w:rsidRPr="00B04DC3">
        <w:rPr>
          <w:lang w:val="en-GB"/>
        </w:rPr>
        <w:t xml:space="preserve">(CVS) system, which may use a </w:t>
      </w:r>
      <w:r w:rsidR="00416318">
        <w:rPr>
          <w:lang w:val="en-GB"/>
        </w:rPr>
        <w:t>P</w:t>
      </w:r>
      <w:r w:rsidR="00416318" w:rsidRPr="00B04DC3">
        <w:rPr>
          <w:lang w:val="en-GB"/>
        </w:rPr>
        <w:t xml:space="preserve">ositive </w:t>
      </w:r>
      <w:r w:rsidR="00416318">
        <w:rPr>
          <w:lang w:val="en-GB"/>
        </w:rPr>
        <w:t>D</w:t>
      </w:r>
      <w:r w:rsidR="00416318" w:rsidRPr="00B04DC3">
        <w:rPr>
          <w:lang w:val="en-GB"/>
        </w:rPr>
        <w:t xml:space="preserve">isplacement </w:t>
      </w:r>
      <w:r w:rsidR="00416318">
        <w:rPr>
          <w:lang w:val="en-GB"/>
        </w:rPr>
        <w:t>P</w:t>
      </w:r>
      <w:r w:rsidR="00416318" w:rsidRPr="00B04DC3">
        <w:rPr>
          <w:lang w:val="en-GB"/>
        </w:rPr>
        <w:t xml:space="preserve">ump </w:t>
      </w:r>
      <w:r w:rsidRPr="00B04DC3">
        <w:rPr>
          <w:lang w:val="en-GB"/>
        </w:rPr>
        <w:t xml:space="preserve">(PDP), a </w:t>
      </w:r>
      <w:r w:rsidR="00416318">
        <w:rPr>
          <w:lang w:val="en-GB"/>
        </w:rPr>
        <w:t>C</w:t>
      </w:r>
      <w:r w:rsidR="00416318" w:rsidRPr="00B04DC3">
        <w:rPr>
          <w:lang w:val="en-GB"/>
        </w:rPr>
        <w:t xml:space="preserve">ritical </w:t>
      </w:r>
      <w:r w:rsidR="00416318">
        <w:rPr>
          <w:lang w:val="en-GB"/>
        </w:rPr>
        <w:t>F</w:t>
      </w:r>
      <w:r w:rsidR="00416318" w:rsidRPr="00B04DC3">
        <w:rPr>
          <w:lang w:val="en-GB"/>
        </w:rPr>
        <w:t xml:space="preserve">low </w:t>
      </w:r>
      <w:r w:rsidR="00416318">
        <w:rPr>
          <w:lang w:val="en-GB"/>
        </w:rPr>
        <w:t>V</w:t>
      </w:r>
      <w:r w:rsidR="00416318" w:rsidRPr="00B04DC3">
        <w:rPr>
          <w:lang w:val="en-GB"/>
        </w:rPr>
        <w:t xml:space="preserve">enturi </w:t>
      </w:r>
      <w:r w:rsidRPr="00B04DC3">
        <w:rPr>
          <w:lang w:val="en-GB"/>
        </w:rPr>
        <w:t xml:space="preserve">(CFV) or a </w:t>
      </w:r>
      <w:r w:rsidR="00416318">
        <w:rPr>
          <w:lang w:val="en-GB"/>
        </w:rPr>
        <w:t>S</w:t>
      </w:r>
      <w:r w:rsidR="00416318" w:rsidRPr="00B04DC3">
        <w:rPr>
          <w:lang w:val="en-GB"/>
        </w:rPr>
        <w:t xml:space="preserve">ubsonic </w:t>
      </w:r>
      <w:r w:rsidR="00416318">
        <w:rPr>
          <w:lang w:val="en-GB"/>
        </w:rPr>
        <w:t>V</w:t>
      </w:r>
      <w:r w:rsidR="00416318" w:rsidRPr="00B04DC3">
        <w:rPr>
          <w:lang w:val="en-GB"/>
        </w:rPr>
        <w:t xml:space="preserve">enturi </w:t>
      </w:r>
      <w:r w:rsidRPr="00B04DC3">
        <w:rPr>
          <w:lang w:val="en-GB"/>
        </w:rPr>
        <w:t>(SSV) with or without flow compensation.</w:t>
      </w:r>
    </w:p>
    <w:p w:rsidR="00002BA6" w:rsidRPr="00B04DC3" w:rsidRDefault="00002BA6" w:rsidP="00FB5A71">
      <w:pPr>
        <w:pStyle w:val="para"/>
        <w:rPr>
          <w:lang w:val="en-GB"/>
        </w:rPr>
      </w:pPr>
      <w:r w:rsidRPr="00B04DC3">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rsidR="00002BA6" w:rsidRPr="00B04DC3" w:rsidRDefault="00002BA6" w:rsidP="00002BA6">
      <w:pPr>
        <w:pStyle w:val="para"/>
        <w:rPr>
          <w:lang w:val="en-GB"/>
        </w:rPr>
      </w:pPr>
      <w:r w:rsidRPr="00B04DC3">
        <w:rPr>
          <w:lang w:val="en-GB"/>
        </w:rPr>
        <w:tab/>
        <w:t>The complete test set up is schematically shown in Figure 7</w:t>
      </w:r>
      <w:r w:rsidR="00DB1FE7">
        <w:rPr>
          <w:lang w:val="en-GB"/>
        </w:rPr>
        <w:t xml:space="preserve"> below</w:t>
      </w:r>
      <w:r w:rsidRPr="00B04DC3">
        <w:rPr>
          <w:lang w:val="en-GB"/>
        </w:rPr>
        <w:t>.</w:t>
      </w:r>
    </w:p>
    <w:p w:rsidR="00002BA6" w:rsidRPr="00B04DC3" w:rsidRDefault="00002BA6" w:rsidP="00002BA6">
      <w:pPr>
        <w:pStyle w:val="Heading1"/>
        <w:keepNext/>
        <w:keepLines/>
      </w:pPr>
      <w:bookmarkStart w:id="541" w:name="_Toc399940015"/>
      <w:bookmarkStart w:id="542" w:name="_Toc423599601"/>
      <w:bookmarkStart w:id="543" w:name="_Toc423611009"/>
      <w:r w:rsidRPr="00B04DC3">
        <w:t>Figure 7</w:t>
      </w:r>
      <w:bookmarkEnd w:id="541"/>
      <w:bookmarkEnd w:id="542"/>
      <w:bookmarkEnd w:id="543"/>
    </w:p>
    <w:p w:rsidR="00002BA6" w:rsidRPr="00B04DC3" w:rsidRDefault="00002BA6" w:rsidP="00002BA6">
      <w:pPr>
        <w:pStyle w:val="Heading1"/>
        <w:keepNext/>
        <w:keepLines/>
        <w:rPr>
          <w:b/>
        </w:rPr>
      </w:pPr>
      <w:bookmarkStart w:id="544" w:name="_Toc399940016"/>
      <w:bookmarkStart w:id="545" w:name="_Toc423599602"/>
      <w:bookmarkStart w:id="546" w:name="_Toc423611010"/>
      <w:r w:rsidRPr="00B04DC3">
        <w:rPr>
          <w:b/>
        </w:rPr>
        <w:t>Scheme of full flow measurement system</w:t>
      </w:r>
      <w:bookmarkEnd w:id="544"/>
      <w:bookmarkEnd w:id="545"/>
      <w:bookmarkEnd w:id="546"/>
    </w:p>
    <w:p w:rsidR="00002BA6" w:rsidRPr="00B04DC3" w:rsidRDefault="00A905B7" w:rsidP="00002BA6">
      <w:pPr>
        <w:keepNext/>
        <w:keepLines/>
        <w:ind w:left="567" w:firstLine="567"/>
        <w:jc w:val="both"/>
      </w:pPr>
      <w:r>
        <w:rPr>
          <w:noProof/>
          <w:lang w:eastAsia="de-DE"/>
        </w:rPr>
        <w:pict>
          <v:rect id="_x0000_s5498" style="position:absolute;left:0;text-align:left;margin-left:306.95pt;margin-top:4.85pt;width:112pt;height:19.35pt;z-index:251580416" o:allowincell="f" stroked="f"/>
        </w:pict>
      </w:r>
      <w:r>
        <w:rPr>
          <w:noProof/>
          <w:lang w:eastAsia="de-DE"/>
        </w:rPr>
        <w:pict>
          <v:rect id="_x0000_s5497" style="position:absolute;left:0;text-align:left;margin-left:54.9pt;margin-top:6.85pt;width:75.35pt;height:6.7pt;z-index:251579392" o:allowincell="f" stroked="f"/>
        </w:pict>
      </w:r>
    </w:p>
    <w:p w:rsidR="00002BA6" w:rsidRPr="00B04DC3" w:rsidRDefault="00A905B7" w:rsidP="00002BA6">
      <w:pPr>
        <w:pStyle w:val="para"/>
        <w:rPr>
          <w:lang w:val="en-GB"/>
        </w:rPr>
      </w:pPr>
      <w:r>
        <w:rPr>
          <w:lang w:val="en-GB"/>
        </w:rPr>
        <w:pict>
          <v:shape id="_x0000_i1258" type="#_x0000_t75" style="width:415.8pt;height:295.2pt">
            <v:imagedata r:id="rId390" o:title="" cropleft="2400f"/>
          </v:shape>
        </w:pict>
      </w:r>
    </w:p>
    <w:p w:rsidR="00002BA6" w:rsidRPr="00B04DC3" w:rsidRDefault="00002BA6" w:rsidP="00002BA6">
      <w:pPr>
        <w:pStyle w:val="para"/>
        <w:rPr>
          <w:lang w:val="en-GB"/>
        </w:rPr>
      </w:pPr>
      <w:r w:rsidRPr="00B04DC3">
        <w:rPr>
          <w:lang w:val="en-GB"/>
        </w:rPr>
        <w:t>8.5.1.</w:t>
      </w:r>
      <w:r w:rsidRPr="00B04DC3">
        <w:rPr>
          <w:lang w:val="en-GB"/>
        </w:rPr>
        <w:tab/>
        <w:t>Determination of the diluted exhaust gas flow</w:t>
      </w:r>
    </w:p>
    <w:p w:rsidR="00002BA6" w:rsidRPr="00B04DC3" w:rsidRDefault="00002BA6" w:rsidP="00002BA6">
      <w:pPr>
        <w:pStyle w:val="para"/>
        <w:rPr>
          <w:lang w:val="en-GB"/>
        </w:rPr>
      </w:pPr>
      <w:r w:rsidRPr="00B04DC3">
        <w:rPr>
          <w:lang w:val="en-GB"/>
        </w:rPr>
        <w:t>8.5.1.1.</w:t>
      </w:r>
      <w:r w:rsidRPr="00B04DC3">
        <w:rPr>
          <w:lang w:val="en-GB"/>
        </w:rPr>
        <w:tab/>
        <w:t>Introduction</w:t>
      </w:r>
    </w:p>
    <w:p w:rsidR="00002BA6" w:rsidRPr="00B04DC3" w:rsidRDefault="00002BA6" w:rsidP="00002BA6">
      <w:pPr>
        <w:pStyle w:val="para"/>
        <w:rPr>
          <w:lang w:val="en-GB"/>
        </w:rPr>
      </w:pPr>
      <w:r w:rsidRPr="00B04DC3">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(V</w:t>
      </w:r>
      <w:r w:rsidRPr="00B04DC3">
        <w:rPr>
          <w:vertAlign w:val="subscript"/>
          <w:lang w:val="en-GB"/>
        </w:rPr>
        <w:t>0</w:t>
      </w:r>
      <w:r w:rsidRPr="00B04DC3">
        <w:rPr>
          <w:lang w:val="en-GB"/>
        </w:rPr>
        <w:t xml:space="preserve"> for PDP, K</w:t>
      </w:r>
      <w:r w:rsidRPr="00B04DC3">
        <w:rPr>
          <w:vertAlign w:val="subscript"/>
          <w:lang w:val="en-GB"/>
        </w:rPr>
        <w:t>V</w:t>
      </w:r>
      <w:r w:rsidRPr="00B04DC3">
        <w:rPr>
          <w:lang w:val="en-GB"/>
        </w:rPr>
        <w:t xml:space="preserve"> for CFV, C</w:t>
      </w:r>
      <w:r w:rsidRPr="00B04DC3">
        <w:rPr>
          <w:vertAlign w:val="subscript"/>
          <w:lang w:val="en-GB"/>
        </w:rPr>
        <w:t>d</w:t>
      </w:r>
      <w:r w:rsidRPr="00B04DC3">
        <w:rPr>
          <w:lang w:val="en-GB"/>
        </w:rPr>
        <w:t xml:space="preserve"> for SSV) by either of the methods described in paragraphs 8.5.1.2. to 8.5.1.4.</w:t>
      </w:r>
      <w:r w:rsidR="00DB1FE7">
        <w:rPr>
          <w:lang w:val="en-GB"/>
        </w:rPr>
        <w:t xml:space="preserve"> of this annex.</w:t>
      </w:r>
      <w:r w:rsidRPr="00B04DC3">
        <w:rPr>
          <w:lang w:val="en-GB"/>
        </w:rPr>
        <w:t xml:space="preserve"> If the total sample flow of particulates (m</w:t>
      </w:r>
      <w:r w:rsidRPr="00B04DC3">
        <w:rPr>
          <w:vertAlign w:val="subscript"/>
          <w:lang w:val="en-GB"/>
        </w:rPr>
        <w:t>sep</w:t>
      </w:r>
      <w:r w:rsidRPr="00B04DC3">
        <w:rPr>
          <w:lang w:val="en-GB"/>
        </w:rPr>
        <w:t>) exceeds 0.5 per cent of the total CVS flow (m</w:t>
      </w:r>
      <w:r w:rsidRPr="00B04DC3">
        <w:rPr>
          <w:vertAlign w:val="subscript"/>
          <w:lang w:val="en-GB"/>
        </w:rPr>
        <w:t>ed</w:t>
      </w:r>
      <w:r w:rsidRPr="00B04DC3">
        <w:rPr>
          <w:lang w:val="en-GB"/>
        </w:rPr>
        <w:t>), the CVS flow shall be corrected for m</w:t>
      </w:r>
      <w:r w:rsidRPr="00B04DC3">
        <w:rPr>
          <w:vertAlign w:val="subscript"/>
          <w:lang w:val="en-GB"/>
        </w:rPr>
        <w:t>sep</w:t>
      </w:r>
      <w:r w:rsidRPr="00B04DC3">
        <w:rPr>
          <w:lang w:val="en-GB"/>
        </w:rPr>
        <w:t xml:space="preserve"> or the particulate sample flow shall be returned to the CVS prior to the flow measuring device.</w:t>
      </w:r>
    </w:p>
    <w:p w:rsidR="00002BA6" w:rsidRPr="00B04DC3" w:rsidRDefault="00002BA6" w:rsidP="00961115">
      <w:pPr>
        <w:pStyle w:val="para"/>
        <w:keepNext/>
        <w:keepLines/>
        <w:rPr>
          <w:lang w:val="en-GB"/>
        </w:rPr>
      </w:pPr>
      <w:r w:rsidRPr="00B04DC3">
        <w:rPr>
          <w:lang w:val="en-GB"/>
        </w:rPr>
        <w:t>8.5.1.2.</w:t>
      </w:r>
      <w:r w:rsidRPr="00B04DC3">
        <w:rPr>
          <w:lang w:val="en-GB"/>
        </w:rPr>
        <w:tab/>
        <w:t>PDP-CVS system</w:t>
      </w:r>
    </w:p>
    <w:p w:rsidR="00002BA6" w:rsidRPr="00B04DC3" w:rsidRDefault="00002BA6" w:rsidP="00002BA6">
      <w:pPr>
        <w:pStyle w:val="para"/>
        <w:rPr>
          <w:lang w:val="en-GB"/>
        </w:rPr>
      </w:pPr>
      <w:r w:rsidRPr="00B04DC3">
        <w:rPr>
          <w:lang w:val="en-GB"/>
        </w:rPr>
        <w:tab/>
        <w:t>The calculation of the mass flow over the cycle is as follows, if the temperature of the diluted exhaust is kept within ±6 K over the cycle by using a heat exchanger:</w:t>
      </w:r>
    </w:p>
    <w:p w:rsidR="00002BA6" w:rsidRPr="00B04DC3" w:rsidRDefault="00AC44D8" w:rsidP="00002BA6">
      <w:pPr>
        <w:pStyle w:val="para"/>
        <w:tabs>
          <w:tab w:val="right" w:pos="8500"/>
        </w:tabs>
        <w:ind w:firstLine="0"/>
        <w:rPr>
          <w:lang w:val="en-GB"/>
        </w:rPr>
      </w:pPr>
      <w:r w:rsidRPr="00B04DC3">
        <w:rPr>
          <w:position w:val="-14"/>
          <w:lang w:val="en-GB"/>
        </w:rPr>
        <w:object w:dxaOrig="4420" w:dyaOrig="380">
          <v:shape id="_x0000_i1259" type="#_x0000_t75" style="width:206.4pt;height:17.4pt" o:ole="">
            <v:imagedata r:id="rId391" o:title=""/>
          </v:shape>
          <o:OLEObject Type="Embed" ProgID="Equation.3" ShapeID="_x0000_i1259" DrawAspect="Content" ObjectID="_1498392352" r:id="rId392"/>
        </w:object>
      </w:r>
      <w:r w:rsidR="00002BA6" w:rsidRPr="00B04DC3">
        <w:rPr>
          <w:lang w:val="en-GB"/>
        </w:rPr>
        <w:tab/>
        <w:t>(49)</w:t>
      </w:r>
    </w:p>
    <w:p w:rsidR="00002BA6" w:rsidRPr="00B04DC3" w:rsidRDefault="00002BA6" w:rsidP="00FB5A71">
      <w:pPr>
        <w:pStyle w:val="para"/>
        <w:keepNext/>
        <w:keepLines/>
        <w:rPr>
          <w:lang w:val="en-GB"/>
        </w:rPr>
      </w:pPr>
      <w:r w:rsidRPr="00B04DC3">
        <w:rPr>
          <w:lang w:val="en-GB"/>
        </w:rPr>
        <w:tab/>
      </w:r>
      <w:r w:rsidR="00D06B9E" w:rsidRPr="00B04DC3">
        <w:rPr>
          <w:lang w:val="en-GB"/>
        </w:rPr>
        <w:t>Where</w:t>
      </w:r>
      <w:r w:rsidRPr="00B04DC3">
        <w:rPr>
          <w:lang w:val="en-GB"/>
        </w:rPr>
        <w:t>:</w:t>
      </w:r>
    </w:p>
    <w:p w:rsidR="00002BA6" w:rsidRPr="00B04DC3" w:rsidRDefault="00002BA6" w:rsidP="00FB5A71">
      <w:pPr>
        <w:pStyle w:val="para"/>
        <w:keepNext/>
        <w:keepLines/>
        <w:ind w:left="2842" w:hanging="574"/>
        <w:rPr>
          <w:lang w:val="en-GB"/>
        </w:rPr>
      </w:pPr>
      <w:r w:rsidRPr="00B04DC3">
        <w:rPr>
          <w:lang w:val="en-GB"/>
        </w:rPr>
        <w:t>V</w:t>
      </w:r>
      <w:r w:rsidRPr="00B04DC3">
        <w:rPr>
          <w:vertAlign w:val="subscript"/>
          <w:lang w:val="en-GB"/>
        </w:rPr>
        <w:t>0</w:t>
      </w:r>
      <w:r w:rsidRPr="00B04DC3">
        <w:rPr>
          <w:lang w:val="en-GB"/>
        </w:rPr>
        <w:tab/>
        <w:t>is the volume of gas pumped per revolution under test conditions, m³/rev</w:t>
      </w:r>
    </w:p>
    <w:p w:rsidR="00002BA6" w:rsidRPr="00B04DC3" w:rsidRDefault="00002BA6" w:rsidP="00002BA6">
      <w:pPr>
        <w:pStyle w:val="para"/>
        <w:ind w:left="2842" w:hanging="574"/>
        <w:rPr>
          <w:lang w:val="en-GB"/>
        </w:rPr>
      </w:pPr>
      <w:r w:rsidRPr="00B04DC3">
        <w:rPr>
          <w:lang w:val="en-GB"/>
        </w:rPr>
        <w:t>n</w:t>
      </w:r>
      <w:r w:rsidRPr="00B04DC3">
        <w:rPr>
          <w:vertAlign w:val="subscript"/>
          <w:lang w:val="en-GB"/>
        </w:rPr>
        <w:t>P</w:t>
      </w:r>
      <w:r w:rsidRPr="00B04DC3">
        <w:rPr>
          <w:lang w:val="en-GB"/>
        </w:rPr>
        <w:tab/>
        <w:t>is the total revolutions of pump per test</w:t>
      </w:r>
    </w:p>
    <w:p w:rsidR="00002BA6" w:rsidRPr="00B04DC3" w:rsidRDefault="00002BA6" w:rsidP="00002BA6">
      <w:pPr>
        <w:pStyle w:val="para"/>
        <w:ind w:left="2842" w:hanging="574"/>
        <w:rPr>
          <w:lang w:val="en-GB"/>
        </w:rPr>
      </w:pPr>
      <w:r w:rsidRPr="00B04DC3">
        <w:rPr>
          <w:lang w:val="en-GB"/>
        </w:rPr>
        <w:t>p</w:t>
      </w:r>
      <w:r w:rsidRPr="00B04DC3">
        <w:rPr>
          <w:vertAlign w:val="subscript"/>
          <w:lang w:val="en-GB"/>
        </w:rPr>
        <w:t>p</w:t>
      </w:r>
      <w:r w:rsidRPr="00B04DC3">
        <w:rPr>
          <w:lang w:val="en-GB"/>
        </w:rPr>
        <w:tab/>
        <w:t>is the absolute pressure at pump inlet, kPa</w:t>
      </w:r>
    </w:p>
    <w:p w:rsidR="00002BA6" w:rsidRPr="00B04DC3" w:rsidRDefault="00002BA6" w:rsidP="00002BA6">
      <w:pPr>
        <w:pStyle w:val="para"/>
        <w:ind w:left="2842" w:hanging="574"/>
        <w:rPr>
          <w:lang w:val="en-GB"/>
        </w:rPr>
      </w:pPr>
      <w:r w:rsidRPr="00B04DC3">
        <w:rPr>
          <w:lang w:val="en-GB"/>
        </w:rPr>
        <w:t>T</w:t>
      </w:r>
      <w:r w:rsidRPr="00B04DC3">
        <w:rPr>
          <w:lang w:val="en-GB"/>
        </w:rPr>
        <w:tab/>
        <w:t>is the average temperature of the diluted exhaust gas at pump inlet, K</w:t>
      </w:r>
    </w:p>
    <w:p w:rsidR="00002BA6" w:rsidRPr="00B04DC3" w:rsidRDefault="00002BA6" w:rsidP="00002BA6">
      <w:pPr>
        <w:pStyle w:val="para"/>
        <w:rPr>
          <w:lang w:val="en-GB"/>
        </w:rPr>
      </w:pPr>
      <w:r w:rsidRPr="00B04DC3">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 xml:space="preserve">ed,i </w:t>
      </w:r>
      <w:r w:rsidRPr="00B04DC3">
        <w:rPr>
          <w:lang w:val="en-GB"/>
        </w:rPr>
        <w:t xml:space="preserve">= 1.293 </w:t>
      </w:r>
      <w:r w:rsidRPr="00B04DC3">
        <w:rPr>
          <w:rFonts w:ascii="Arial" w:hAnsi="Arial" w:cs="Arial"/>
          <w:lang w:val="en-GB"/>
        </w:rPr>
        <w:t>x</w:t>
      </w:r>
      <w:r w:rsidRPr="00B04DC3">
        <w:rPr>
          <w:position w:val="6"/>
          <w:lang w:val="en-GB"/>
        </w:rPr>
        <w:t xml:space="preserve"> </w:t>
      </w:r>
      <w:r w:rsidRPr="00B04DC3">
        <w:rPr>
          <w:lang w:val="en-GB"/>
        </w:rPr>
        <w:t>V</w:t>
      </w:r>
      <w:r w:rsidRPr="00B04DC3">
        <w:rPr>
          <w:vertAlign w:val="subscript"/>
          <w:lang w:val="en-GB"/>
        </w:rPr>
        <w:t>0</w:t>
      </w:r>
      <w:r w:rsidRPr="00B04DC3">
        <w:rPr>
          <w:lang w:val="en-GB"/>
        </w:rPr>
        <w:t xml:space="preserve"> </w:t>
      </w:r>
      <w:r w:rsidRPr="00B04DC3">
        <w:rPr>
          <w:rFonts w:ascii="Arial" w:hAnsi="Arial" w:cs="Arial"/>
          <w:lang w:val="en-GB"/>
        </w:rPr>
        <w:t>x</w:t>
      </w:r>
      <w:r w:rsidRPr="00B04DC3">
        <w:rPr>
          <w:lang w:val="en-GB"/>
        </w:rPr>
        <w:t xml:space="preserve"> n</w:t>
      </w:r>
      <w:r w:rsidRPr="00B04DC3">
        <w:rPr>
          <w:vertAlign w:val="subscript"/>
          <w:lang w:val="en-GB"/>
        </w:rPr>
        <w:t>P,i</w:t>
      </w:r>
      <w:r w:rsidRPr="00B04DC3">
        <w:rPr>
          <w:lang w:val="en-GB"/>
        </w:rPr>
        <w:t xml:space="preserve"> </w:t>
      </w:r>
      <w:r w:rsidRPr="00B04DC3">
        <w:rPr>
          <w:rFonts w:ascii="Arial" w:hAnsi="Arial" w:cs="Arial"/>
          <w:lang w:val="en-GB"/>
        </w:rPr>
        <w:t>x</w:t>
      </w:r>
      <w:r w:rsidRPr="00B04DC3">
        <w:rPr>
          <w:lang w:val="en-GB"/>
        </w:rPr>
        <w:t xml:space="preserve"> p</w:t>
      </w:r>
      <w:r w:rsidRPr="00B04DC3">
        <w:rPr>
          <w:vertAlign w:val="subscript"/>
          <w:lang w:val="en-GB"/>
        </w:rPr>
        <w:t>p</w:t>
      </w:r>
      <w:r w:rsidRPr="00B04DC3">
        <w:rPr>
          <w:lang w:val="en-GB"/>
        </w:rPr>
        <w:t xml:space="preserve">  </w:t>
      </w:r>
      <w:r w:rsidRPr="00B04DC3">
        <w:rPr>
          <w:rFonts w:ascii="Arial" w:hAnsi="Arial" w:cs="Arial"/>
          <w:lang w:val="en-GB"/>
        </w:rPr>
        <w:t>x</w:t>
      </w:r>
      <w:r w:rsidRPr="00B04DC3">
        <w:rPr>
          <w:lang w:val="en-GB"/>
        </w:rPr>
        <w:t xml:space="preserve"> 273 / (101.3 </w:t>
      </w:r>
      <w:r w:rsidRPr="00B04DC3">
        <w:rPr>
          <w:rFonts w:ascii="Arial" w:hAnsi="Arial" w:cs="Arial"/>
          <w:lang w:val="en-GB"/>
        </w:rPr>
        <w:t>x</w:t>
      </w:r>
      <w:r w:rsidRPr="00B04DC3">
        <w:rPr>
          <w:lang w:val="en-GB"/>
        </w:rPr>
        <w:t xml:space="preserve"> T)</w:t>
      </w:r>
      <w:r w:rsidRPr="00B04DC3">
        <w:rPr>
          <w:lang w:val="en-GB"/>
        </w:rPr>
        <w:tab/>
        <w:t>(50)</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n</w:t>
      </w:r>
      <w:r w:rsidRPr="00B04DC3">
        <w:rPr>
          <w:vertAlign w:val="subscript"/>
          <w:lang w:val="en-GB"/>
        </w:rPr>
        <w:t>P,i</w:t>
      </w:r>
      <w:r w:rsidRPr="00B04DC3">
        <w:rPr>
          <w:lang w:val="en-GB"/>
        </w:rPr>
        <w:tab/>
        <w:t>is the total revolutions of pump per time interval</w:t>
      </w:r>
    </w:p>
    <w:p w:rsidR="00002BA6" w:rsidRPr="00B04DC3" w:rsidRDefault="00002BA6" w:rsidP="00002BA6">
      <w:pPr>
        <w:pStyle w:val="para"/>
        <w:rPr>
          <w:lang w:val="en-GB"/>
        </w:rPr>
      </w:pPr>
      <w:r w:rsidRPr="00B04DC3">
        <w:rPr>
          <w:lang w:val="en-GB"/>
        </w:rPr>
        <w:t>8.5.1.3.</w:t>
      </w:r>
      <w:r w:rsidRPr="00B04DC3">
        <w:rPr>
          <w:lang w:val="en-GB"/>
        </w:rPr>
        <w:tab/>
        <w:t>CFV-CVS system</w:t>
      </w:r>
    </w:p>
    <w:p w:rsidR="00002BA6" w:rsidRPr="00B04DC3" w:rsidRDefault="00002BA6" w:rsidP="00002BA6">
      <w:pPr>
        <w:pStyle w:val="para"/>
        <w:rPr>
          <w:lang w:val="en-GB"/>
        </w:rPr>
      </w:pPr>
      <w:r w:rsidRPr="00B04DC3">
        <w:rPr>
          <w:lang w:val="en-GB"/>
        </w:rPr>
        <w:tab/>
        <w:t>The calculation of the mass flow over the cycle is as follows, if the temperature of the diluted exhaust is kept within ±11 K over the cycle by using a heat exchanger:</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 xml:space="preserve">ed </w:t>
      </w:r>
      <w:r w:rsidRPr="00B04DC3">
        <w:rPr>
          <w:lang w:val="en-GB"/>
        </w:rPr>
        <w:t xml:space="preserve">= 1.293 </w:t>
      </w:r>
      <w:r w:rsidRPr="00B04DC3">
        <w:rPr>
          <w:rFonts w:ascii="Arial" w:hAnsi="Arial" w:cs="Arial"/>
          <w:lang w:val="en-GB"/>
        </w:rPr>
        <w:t>x</w:t>
      </w:r>
      <w:r w:rsidRPr="00B04DC3">
        <w:rPr>
          <w:lang w:val="en-GB"/>
        </w:rPr>
        <w:t xml:space="preserve"> t </w:t>
      </w:r>
      <w:r w:rsidRPr="00B04DC3">
        <w:rPr>
          <w:rFonts w:ascii="Arial" w:hAnsi="Arial" w:cs="Arial"/>
          <w:lang w:val="en-GB"/>
        </w:rPr>
        <w:t>x</w:t>
      </w:r>
      <w:r w:rsidRPr="00B04DC3">
        <w:rPr>
          <w:position w:val="6"/>
          <w:lang w:val="en-GB"/>
        </w:rPr>
        <w:t xml:space="preserve"> </w:t>
      </w:r>
      <w:r w:rsidRPr="00B04DC3">
        <w:rPr>
          <w:lang w:val="en-GB"/>
        </w:rPr>
        <w:t>K</w:t>
      </w:r>
      <w:r w:rsidRPr="00B04DC3">
        <w:rPr>
          <w:vertAlign w:val="subscript"/>
          <w:lang w:val="en-GB"/>
        </w:rPr>
        <w:t>v</w:t>
      </w:r>
      <w:r w:rsidRPr="00B04DC3">
        <w:rPr>
          <w:lang w:val="en-GB"/>
        </w:rPr>
        <w:t xml:space="preserve"> </w:t>
      </w:r>
      <w:r w:rsidRPr="00B04DC3">
        <w:rPr>
          <w:rFonts w:ascii="Arial" w:hAnsi="Arial" w:cs="Arial"/>
          <w:lang w:val="en-GB"/>
        </w:rPr>
        <w:t>x</w:t>
      </w:r>
      <w:r w:rsidRPr="00B04DC3">
        <w:rPr>
          <w:lang w:val="en-GB"/>
        </w:rPr>
        <w:t xml:space="preserve"> p</w:t>
      </w:r>
      <w:r w:rsidRPr="00B04DC3">
        <w:rPr>
          <w:vertAlign w:val="subscript"/>
          <w:lang w:val="en-GB"/>
        </w:rPr>
        <w:t>p</w:t>
      </w:r>
      <w:r w:rsidRPr="00B04DC3">
        <w:rPr>
          <w:lang w:val="en-GB"/>
        </w:rPr>
        <w:t xml:space="preserve"> / T </w:t>
      </w:r>
      <w:r w:rsidRPr="00B04DC3">
        <w:rPr>
          <w:vertAlign w:val="superscript"/>
          <w:lang w:val="en-GB"/>
        </w:rPr>
        <w:t>0.5</w:t>
      </w:r>
      <w:r w:rsidRPr="00B04DC3">
        <w:rPr>
          <w:lang w:val="en-GB"/>
        </w:rPr>
        <w:tab/>
        <w:t>(51)</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t</w:t>
      </w:r>
      <w:r w:rsidRPr="00B04DC3">
        <w:rPr>
          <w:lang w:val="en-GB"/>
        </w:rPr>
        <w:tab/>
        <w:t>is the cycle time, s</w:t>
      </w:r>
    </w:p>
    <w:p w:rsidR="00002BA6" w:rsidRPr="00B04DC3" w:rsidRDefault="00002BA6" w:rsidP="00002BA6">
      <w:pPr>
        <w:pStyle w:val="para"/>
        <w:ind w:left="2842" w:hanging="574"/>
        <w:rPr>
          <w:lang w:val="en-GB"/>
        </w:rPr>
      </w:pPr>
      <w:r w:rsidRPr="00B04DC3">
        <w:rPr>
          <w:lang w:val="en-GB"/>
        </w:rPr>
        <w:t>K</w:t>
      </w:r>
      <w:r w:rsidRPr="00B04DC3">
        <w:rPr>
          <w:vertAlign w:val="subscript"/>
          <w:lang w:val="en-GB"/>
        </w:rPr>
        <w:t>V</w:t>
      </w:r>
      <w:r w:rsidRPr="00B04DC3">
        <w:rPr>
          <w:lang w:val="en-GB"/>
        </w:rPr>
        <w:tab/>
        <w:t>is the calibration coefficient of the critical flow venturi for standard conditions,</w:t>
      </w:r>
    </w:p>
    <w:p w:rsidR="00002BA6" w:rsidRPr="00B04DC3" w:rsidRDefault="00002BA6" w:rsidP="00002BA6">
      <w:pPr>
        <w:pStyle w:val="para"/>
        <w:ind w:left="2842" w:hanging="574"/>
        <w:rPr>
          <w:lang w:val="en-GB"/>
        </w:rPr>
      </w:pPr>
      <w:r w:rsidRPr="00B04DC3">
        <w:rPr>
          <w:lang w:val="en-GB"/>
        </w:rPr>
        <w:t>p</w:t>
      </w:r>
      <w:r w:rsidRPr="00B04DC3">
        <w:rPr>
          <w:vertAlign w:val="subscript"/>
          <w:lang w:val="en-GB"/>
        </w:rPr>
        <w:t>p</w:t>
      </w:r>
      <w:r w:rsidRPr="00B04DC3">
        <w:rPr>
          <w:lang w:val="en-GB"/>
        </w:rPr>
        <w:tab/>
        <w:t>is the absolute pressure at venturi inlet, kPa</w:t>
      </w:r>
    </w:p>
    <w:p w:rsidR="00002BA6" w:rsidRPr="00B04DC3" w:rsidRDefault="00002BA6" w:rsidP="00002BA6">
      <w:pPr>
        <w:pStyle w:val="para"/>
        <w:ind w:left="2842" w:hanging="574"/>
        <w:rPr>
          <w:lang w:val="en-GB"/>
        </w:rPr>
      </w:pPr>
      <w:r w:rsidRPr="00B04DC3">
        <w:rPr>
          <w:sz w:val="24"/>
          <w:szCs w:val="24"/>
          <w:lang w:val="en-GB"/>
        </w:rPr>
        <w:t>T</w:t>
      </w:r>
      <w:r w:rsidRPr="00B04DC3">
        <w:rPr>
          <w:sz w:val="24"/>
          <w:szCs w:val="24"/>
          <w:lang w:val="en-GB"/>
        </w:rPr>
        <w:tab/>
      </w:r>
      <w:r w:rsidRPr="00B04DC3">
        <w:rPr>
          <w:lang w:val="en-GB"/>
        </w:rPr>
        <w:t>is the absolute temperature at venturi inlet, K</w:t>
      </w:r>
    </w:p>
    <w:p w:rsidR="00002BA6" w:rsidRPr="00B04DC3" w:rsidRDefault="00002BA6" w:rsidP="00002BA6">
      <w:pPr>
        <w:pStyle w:val="para"/>
        <w:rPr>
          <w:lang w:val="en-GB"/>
        </w:rPr>
      </w:pPr>
      <w:r w:rsidRPr="00B04DC3">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 xml:space="preserve">ed,i </w:t>
      </w:r>
      <w:r w:rsidRPr="00B04DC3">
        <w:rPr>
          <w:lang w:val="en-GB"/>
        </w:rPr>
        <w:t xml:space="preserve">= 1.293 </w:t>
      </w:r>
      <w:r w:rsidRPr="00B04DC3">
        <w:rPr>
          <w:rFonts w:ascii="Arial" w:hAnsi="Arial" w:cs="Arial"/>
          <w:lang w:val="en-GB"/>
        </w:rPr>
        <w:t>x</w:t>
      </w:r>
      <w:r w:rsidRPr="00B04DC3">
        <w:rPr>
          <w:lang w:val="en-GB"/>
        </w:rPr>
        <w:t xml:space="preserve"> </w:t>
      </w:r>
      <w:r w:rsidRPr="00B04DC3">
        <w:rPr>
          <w:lang w:val="en-GB"/>
        </w:rPr>
        <w:sym w:font="Symbol" w:char="F044"/>
      </w:r>
      <w:r w:rsidRPr="00B04DC3">
        <w:rPr>
          <w:lang w:val="en-GB"/>
        </w:rPr>
        <w:t>t</w:t>
      </w:r>
      <w:r w:rsidRPr="00B04DC3">
        <w:rPr>
          <w:vertAlign w:val="subscript"/>
          <w:lang w:val="en-GB"/>
        </w:rPr>
        <w:t>i</w:t>
      </w:r>
      <w:r w:rsidRPr="00B04DC3">
        <w:rPr>
          <w:lang w:val="en-GB"/>
        </w:rPr>
        <w:t xml:space="preserve"> </w:t>
      </w:r>
      <w:r w:rsidRPr="00B04DC3">
        <w:rPr>
          <w:rFonts w:ascii="Arial" w:hAnsi="Arial" w:cs="Arial"/>
          <w:lang w:val="en-GB"/>
        </w:rPr>
        <w:t>x</w:t>
      </w:r>
      <w:r w:rsidRPr="00B04DC3">
        <w:rPr>
          <w:lang w:val="en-GB"/>
        </w:rPr>
        <w:t xml:space="preserve"> K</w:t>
      </w:r>
      <w:r w:rsidRPr="00B04DC3">
        <w:rPr>
          <w:vertAlign w:val="subscript"/>
          <w:lang w:val="en-GB"/>
        </w:rPr>
        <w:t>V</w:t>
      </w:r>
      <w:r w:rsidRPr="00B04DC3">
        <w:rPr>
          <w:lang w:val="en-GB"/>
        </w:rPr>
        <w:t xml:space="preserve"> </w:t>
      </w:r>
      <w:r w:rsidRPr="00B04DC3">
        <w:rPr>
          <w:rFonts w:ascii="Arial" w:hAnsi="Arial" w:cs="Arial"/>
          <w:lang w:val="en-GB"/>
        </w:rPr>
        <w:t>x</w:t>
      </w:r>
      <w:r w:rsidRPr="00B04DC3">
        <w:rPr>
          <w:lang w:val="en-GB"/>
        </w:rPr>
        <w:t xml:space="preserve"> p</w:t>
      </w:r>
      <w:r w:rsidRPr="00B04DC3">
        <w:rPr>
          <w:vertAlign w:val="subscript"/>
          <w:lang w:val="en-GB"/>
        </w:rPr>
        <w:t>p</w:t>
      </w:r>
      <w:r w:rsidRPr="00B04DC3">
        <w:rPr>
          <w:lang w:val="en-GB"/>
        </w:rPr>
        <w:t xml:space="preserve"> / T</w:t>
      </w:r>
      <w:r w:rsidRPr="00B04DC3">
        <w:rPr>
          <w:vertAlign w:val="superscript"/>
          <w:lang w:val="en-GB"/>
        </w:rPr>
        <w:t xml:space="preserve"> 0.5</w:t>
      </w:r>
      <w:r w:rsidRPr="00B04DC3">
        <w:rPr>
          <w:lang w:val="en-GB"/>
        </w:rPr>
        <w:tab/>
        <w:t>(52)</w:t>
      </w:r>
    </w:p>
    <w:p w:rsidR="00002BA6" w:rsidRPr="00B04DC3" w:rsidRDefault="00002BA6" w:rsidP="00002BA6">
      <w:pPr>
        <w:pStyle w:val="para"/>
        <w:rPr>
          <w:lang w:val="en-GB"/>
        </w:rPr>
      </w:pPr>
      <w:r w:rsidRPr="00B04DC3">
        <w:rPr>
          <w:lang w:val="en-GB"/>
        </w:rPr>
        <w:tab/>
      </w:r>
      <w:r w:rsidR="00D06B9E"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sym w:font="Symbol" w:char="F044"/>
      </w:r>
      <w:r w:rsidRPr="00B04DC3">
        <w:rPr>
          <w:lang w:val="en-GB"/>
        </w:rPr>
        <w:t>t</w:t>
      </w:r>
      <w:r w:rsidRPr="00B04DC3">
        <w:rPr>
          <w:vertAlign w:val="subscript"/>
          <w:lang w:val="en-GB"/>
        </w:rPr>
        <w:t>i</w:t>
      </w:r>
      <w:r w:rsidRPr="00B04DC3">
        <w:rPr>
          <w:lang w:val="en-GB"/>
        </w:rPr>
        <w:tab/>
        <w:t>is the time interval, s</w:t>
      </w:r>
    </w:p>
    <w:p w:rsidR="00002BA6" w:rsidRPr="00B04DC3" w:rsidRDefault="00002BA6" w:rsidP="00961115">
      <w:pPr>
        <w:pStyle w:val="para"/>
        <w:keepNext/>
        <w:keepLines/>
        <w:rPr>
          <w:lang w:val="en-GB"/>
        </w:rPr>
      </w:pPr>
      <w:r w:rsidRPr="00B04DC3">
        <w:rPr>
          <w:lang w:val="en-GB"/>
        </w:rPr>
        <w:t>8.5.1.4.</w:t>
      </w:r>
      <w:r w:rsidRPr="00B04DC3">
        <w:rPr>
          <w:lang w:val="en-GB"/>
        </w:rPr>
        <w:tab/>
        <w:t>SSV-CVS system</w:t>
      </w:r>
    </w:p>
    <w:p w:rsidR="00002BA6" w:rsidRPr="00B04DC3" w:rsidRDefault="00002BA6" w:rsidP="00002BA6">
      <w:pPr>
        <w:pStyle w:val="para"/>
        <w:rPr>
          <w:lang w:val="en-GB"/>
        </w:rPr>
      </w:pPr>
      <w:r w:rsidRPr="00B04DC3">
        <w:rPr>
          <w:lang w:val="en-GB"/>
        </w:rPr>
        <w:tab/>
        <w:t>The calculation of the mass flow over the cycle shall be as follows, if the temperature of the diluted exhaust is kept within ±11 K over the cycle by using a heat exchanger:</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 xml:space="preserve">ed </w:t>
      </w:r>
      <w:r w:rsidRPr="00B04DC3">
        <w:rPr>
          <w:lang w:val="en-GB"/>
        </w:rPr>
        <w:t xml:space="preserve">= 1.293 </w:t>
      </w:r>
      <w:r w:rsidRPr="00B04DC3">
        <w:rPr>
          <w:rFonts w:ascii="Arial" w:hAnsi="Arial" w:cs="Arial"/>
          <w:lang w:val="en-GB"/>
        </w:rPr>
        <w:t>x</w:t>
      </w:r>
      <w:r w:rsidRPr="00B04DC3">
        <w:rPr>
          <w:lang w:val="en-GB"/>
        </w:rPr>
        <w:t xml:space="preserve"> Q</w:t>
      </w:r>
      <w:r w:rsidRPr="00B04DC3">
        <w:rPr>
          <w:vertAlign w:val="subscript"/>
          <w:lang w:val="en-GB"/>
        </w:rPr>
        <w:t>SSV</w:t>
      </w:r>
      <w:r w:rsidRPr="00B04DC3">
        <w:rPr>
          <w:lang w:val="en-GB"/>
        </w:rPr>
        <w:tab/>
        <w:t>(53)</w:t>
      </w:r>
    </w:p>
    <w:p w:rsidR="00002BA6" w:rsidRDefault="00002BA6" w:rsidP="00FB5A71">
      <w:pPr>
        <w:pStyle w:val="para"/>
        <w:keepNext/>
        <w:keepLines/>
        <w:rPr>
          <w:lang w:val="en-GB"/>
        </w:rPr>
      </w:pPr>
      <w:r w:rsidRPr="00B04DC3">
        <w:rPr>
          <w:lang w:val="en-GB"/>
        </w:rPr>
        <w:tab/>
      </w:r>
      <w:r w:rsidR="00961115">
        <w:rPr>
          <w:lang w:val="en-GB"/>
        </w:rPr>
        <w:t>w</w:t>
      </w:r>
      <w:r w:rsidR="00D06B9E" w:rsidRPr="00B04DC3">
        <w:rPr>
          <w:lang w:val="en-GB"/>
        </w:rPr>
        <w:t>ith</w:t>
      </w:r>
      <w:r w:rsidR="00DB1FE7">
        <w:rPr>
          <w:lang w:val="en-GB"/>
        </w:rPr>
        <w:t>:</w:t>
      </w:r>
    </w:p>
    <w:p w:rsidR="00002BA6" w:rsidRPr="00B04DC3" w:rsidRDefault="00E913E9" w:rsidP="00E913E9">
      <w:pPr>
        <w:pStyle w:val="para"/>
        <w:tabs>
          <w:tab w:val="left" w:pos="8161"/>
        </w:tabs>
        <w:rPr>
          <w:lang w:val="en-GB"/>
        </w:rPr>
      </w:pPr>
      <w:r>
        <w:rPr>
          <w:lang w:val="en-GB"/>
        </w:rPr>
        <w:tab/>
      </w:r>
      <w:r w:rsidRPr="00E913E9">
        <w:rPr>
          <w:position w:val="-38"/>
          <w:lang w:val="en-GB"/>
        </w:rPr>
        <w:object w:dxaOrig="6060" w:dyaOrig="920">
          <v:shape id="_x0000_i1260" type="#_x0000_t75" style="width:277.8pt;height:42pt" o:ole="">
            <v:imagedata r:id="rId393" o:title=""/>
          </v:shape>
          <o:OLEObject Type="Embed" ProgID="Equation.3" ShapeID="_x0000_i1260" DrawAspect="Content" ObjectID="_1498392353" r:id="rId394"/>
        </w:object>
      </w:r>
      <w:r>
        <w:rPr>
          <w:lang w:val="en-GB"/>
        </w:rPr>
        <w:tab/>
      </w:r>
      <w:r w:rsidR="00002BA6" w:rsidRPr="00B04DC3">
        <w:rPr>
          <w:lang w:val="en-GB"/>
        </w:rPr>
        <w:t>(54)</w:t>
      </w:r>
    </w:p>
    <w:p w:rsidR="00002BA6" w:rsidRPr="00141F44" w:rsidRDefault="00D06B9E" w:rsidP="00141F44">
      <w:pPr>
        <w:pStyle w:val="para"/>
        <w:keepNext/>
        <w:keepLines/>
        <w:spacing w:after="0"/>
        <w:ind w:firstLine="0"/>
        <w:rPr>
          <w:position w:val="-12"/>
          <w:lang w:val="en-GB"/>
        </w:rPr>
      </w:pPr>
      <w:r w:rsidRPr="00141F44">
        <w:rPr>
          <w:position w:val="-12"/>
          <w:lang w:val="en-GB"/>
        </w:rPr>
        <w:t>Where</w:t>
      </w:r>
      <w:r w:rsidR="00002BA6" w:rsidRPr="00141F44">
        <w:rPr>
          <w:position w:val="-12"/>
          <w:lang w:val="en-GB"/>
        </w:rPr>
        <w:t>:</w:t>
      </w:r>
    </w:p>
    <w:p w:rsidR="00002BA6" w:rsidRPr="00B04DC3" w:rsidRDefault="00002BA6" w:rsidP="000C0C96">
      <w:pPr>
        <w:pStyle w:val="para"/>
        <w:spacing w:after="0"/>
        <w:ind w:left="2841" w:hanging="573"/>
        <w:rPr>
          <w:lang w:val="en-GB"/>
        </w:rPr>
      </w:pPr>
      <w:r w:rsidRPr="00B04DC3">
        <w:rPr>
          <w:lang w:val="en-GB"/>
        </w:rPr>
        <w:t>A</w:t>
      </w:r>
      <w:r w:rsidRPr="00B04DC3">
        <w:rPr>
          <w:vertAlign w:val="subscript"/>
          <w:lang w:val="en-GB"/>
        </w:rPr>
        <w:t>0</w:t>
      </w:r>
      <w:r w:rsidRPr="00B04DC3">
        <w:rPr>
          <w:lang w:val="en-GB"/>
        </w:rPr>
        <w:tab/>
        <w:t xml:space="preserve">is 0.006111 in SI units of </w:t>
      </w:r>
      <w:r w:rsidR="000C0C96" w:rsidRPr="00B04DC3">
        <w:rPr>
          <w:position w:val="-50"/>
          <w:lang w:val="en-GB"/>
        </w:rPr>
        <w:object w:dxaOrig="2120" w:dyaOrig="1120">
          <v:shape id="_x0000_i1261" type="#_x0000_t75" style="width:81.6pt;height:43.8pt" o:ole="" fillcolor="window">
            <v:imagedata r:id="rId209" o:title=""/>
          </v:shape>
          <o:OLEObject Type="Embed" ProgID="Equation.3" ShapeID="_x0000_i1261" DrawAspect="Content" ObjectID="_1498392354" r:id="rId395"/>
        </w:object>
      </w:r>
    </w:p>
    <w:p w:rsidR="00002BA6" w:rsidRPr="00B04DC3" w:rsidRDefault="00002BA6" w:rsidP="00002BA6">
      <w:pPr>
        <w:pStyle w:val="para"/>
        <w:ind w:left="2842" w:hanging="574"/>
        <w:rPr>
          <w:lang w:val="en-GB"/>
        </w:rPr>
      </w:pPr>
      <w:r w:rsidRPr="00B04DC3">
        <w:rPr>
          <w:lang w:val="en-GB"/>
        </w:rPr>
        <w:t>d</w:t>
      </w:r>
      <w:r w:rsidRPr="00B04DC3">
        <w:rPr>
          <w:vertAlign w:val="subscript"/>
          <w:lang w:val="en-GB"/>
        </w:rPr>
        <w:t>V</w:t>
      </w:r>
      <w:r w:rsidRPr="00B04DC3">
        <w:rPr>
          <w:lang w:val="en-GB"/>
        </w:rPr>
        <w:tab/>
        <w:t>is the diameter of the SSV throat, 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d</w:t>
      </w:r>
      <w:r w:rsidRPr="00B04DC3">
        <w:rPr>
          <w:lang w:val="en-GB"/>
        </w:rPr>
        <w:tab/>
        <w:t>is the discharge coefficient of the SSV</w:t>
      </w:r>
    </w:p>
    <w:p w:rsidR="00002BA6" w:rsidRPr="00B04DC3" w:rsidRDefault="00002BA6" w:rsidP="00002BA6">
      <w:pPr>
        <w:pStyle w:val="para"/>
        <w:ind w:left="2842" w:hanging="574"/>
        <w:rPr>
          <w:lang w:val="en-GB"/>
        </w:rPr>
      </w:pPr>
      <w:r w:rsidRPr="00B04DC3">
        <w:rPr>
          <w:lang w:val="en-GB"/>
        </w:rPr>
        <w:t>p</w:t>
      </w:r>
      <w:r w:rsidRPr="00B04DC3">
        <w:rPr>
          <w:vertAlign w:val="subscript"/>
          <w:lang w:val="en-GB"/>
        </w:rPr>
        <w:t>p</w:t>
      </w:r>
      <w:r w:rsidRPr="00B04DC3">
        <w:rPr>
          <w:vertAlign w:val="subscript"/>
          <w:lang w:val="en-GB"/>
        </w:rPr>
        <w:tab/>
      </w:r>
      <w:r w:rsidRPr="00B04DC3">
        <w:rPr>
          <w:lang w:val="en-GB"/>
        </w:rPr>
        <w:t>is the absolute pressure at venturi inlet, kPa</w:t>
      </w:r>
    </w:p>
    <w:p w:rsidR="00002BA6" w:rsidRPr="00B04DC3" w:rsidRDefault="00002BA6" w:rsidP="00002BA6">
      <w:pPr>
        <w:pStyle w:val="para"/>
        <w:ind w:left="2842" w:hanging="574"/>
        <w:rPr>
          <w:lang w:val="en-GB"/>
        </w:rPr>
      </w:pPr>
      <w:r w:rsidRPr="00B04DC3">
        <w:rPr>
          <w:lang w:val="en-GB"/>
        </w:rPr>
        <w:t>T</w:t>
      </w:r>
      <w:r w:rsidRPr="00B04DC3">
        <w:rPr>
          <w:lang w:val="en-GB"/>
        </w:rPr>
        <w:tab/>
        <w:t>is the temperature at the venturi inlet, K</w:t>
      </w:r>
    </w:p>
    <w:p w:rsidR="00002BA6" w:rsidRPr="00B04DC3" w:rsidRDefault="00002BA6" w:rsidP="000C0C96">
      <w:pPr>
        <w:pStyle w:val="para"/>
        <w:spacing w:after="0"/>
        <w:ind w:left="2841" w:hanging="573"/>
        <w:rPr>
          <w:lang w:val="en-GB"/>
        </w:rPr>
      </w:pPr>
      <w:r w:rsidRPr="00B04DC3">
        <w:rPr>
          <w:lang w:val="en-GB"/>
        </w:rPr>
        <w:t>r</w:t>
      </w:r>
      <w:r w:rsidRPr="00B04DC3">
        <w:rPr>
          <w:vertAlign w:val="subscript"/>
          <w:lang w:val="en-GB"/>
        </w:rPr>
        <w:t>p</w:t>
      </w:r>
      <w:r w:rsidRPr="00B04DC3">
        <w:rPr>
          <w:lang w:val="en-GB"/>
        </w:rPr>
        <w:t xml:space="preserve"> </w:t>
      </w:r>
      <w:r w:rsidRPr="00B04DC3">
        <w:rPr>
          <w:lang w:val="en-GB"/>
        </w:rPr>
        <w:tab/>
        <w:t xml:space="preserve">is the ratio of the SSV throat to inlet absolute static pressure, </w:t>
      </w:r>
      <w:r w:rsidR="000C0C96" w:rsidRPr="000C0C96">
        <w:rPr>
          <w:position w:val="-26"/>
          <w:lang w:val="en-GB"/>
        </w:rPr>
        <w:object w:dxaOrig="580" w:dyaOrig="580">
          <v:shape id="_x0000_i1262" type="#_x0000_t75" style="width:25.8pt;height:25.8pt" o:ole="">
            <v:imagedata r:id="rId396" o:title=""/>
          </v:shape>
          <o:OLEObject Type="Embed" ProgID="Equation.3" ShapeID="_x0000_i1262" DrawAspect="Content" ObjectID="_1498392355" r:id="rId397"/>
        </w:object>
      </w:r>
    </w:p>
    <w:p w:rsidR="00002BA6" w:rsidRPr="00B04DC3" w:rsidRDefault="00002BA6" w:rsidP="000C0C96">
      <w:pPr>
        <w:pStyle w:val="para"/>
        <w:ind w:left="2841" w:hanging="573"/>
        <w:rPr>
          <w:lang w:val="en-GB"/>
        </w:rPr>
      </w:pPr>
      <w:r w:rsidRPr="00B04DC3">
        <w:rPr>
          <w:lang w:val="en-GB"/>
        </w:rPr>
        <w:t>r</w:t>
      </w:r>
      <w:r w:rsidRPr="00B04DC3">
        <w:rPr>
          <w:vertAlign w:val="subscript"/>
          <w:lang w:val="en-GB"/>
        </w:rPr>
        <w:t>D</w:t>
      </w:r>
      <w:r w:rsidRPr="00B04DC3">
        <w:rPr>
          <w:lang w:val="en-GB"/>
        </w:rPr>
        <w:tab/>
        <w:t>is the ratio of the SSV throat diameter, d, to the inlet pipe inner diameter D</w:t>
      </w:r>
    </w:p>
    <w:p w:rsidR="00002BA6" w:rsidRPr="00B04DC3" w:rsidRDefault="00002BA6" w:rsidP="00AF4FCB">
      <w:pPr>
        <w:pStyle w:val="para"/>
        <w:rPr>
          <w:lang w:val="en-GB"/>
        </w:rPr>
      </w:pPr>
      <w:r w:rsidRPr="00B04DC3">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ed</w:t>
      </w:r>
      <w:r w:rsidRPr="00B04DC3">
        <w:rPr>
          <w:lang w:val="en-GB"/>
        </w:rPr>
        <w:t xml:space="preserve">  =  1.293 </w:t>
      </w:r>
      <w:r w:rsidRPr="00B04DC3">
        <w:rPr>
          <w:rFonts w:ascii="Arial" w:hAnsi="Arial" w:cs="Arial"/>
          <w:lang w:val="en-GB"/>
        </w:rPr>
        <w:t>x</w:t>
      </w:r>
      <w:r w:rsidRPr="00B04DC3">
        <w:rPr>
          <w:lang w:val="en-GB"/>
        </w:rPr>
        <w:t xml:space="preserve"> Q</w:t>
      </w:r>
      <w:r w:rsidRPr="00B04DC3">
        <w:rPr>
          <w:vertAlign w:val="subscript"/>
          <w:lang w:val="en-GB"/>
        </w:rPr>
        <w:t>SSV</w:t>
      </w:r>
      <w:r w:rsidRPr="00B04DC3">
        <w:rPr>
          <w:lang w:val="en-GB"/>
        </w:rPr>
        <w:t xml:space="preserve"> </w:t>
      </w:r>
      <w:r w:rsidRPr="00B04DC3">
        <w:rPr>
          <w:rFonts w:ascii="Arial" w:hAnsi="Arial" w:cs="Arial"/>
          <w:lang w:val="en-GB"/>
        </w:rPr>
        <w:t>x</w:t>
      </w:r>
      <w:r w:rsidRPr="00B04DC3">
        <w:rPr>
          <w:lang w:val="en-GB"/>
        </w:rPr>
        <w:t xml:space="preserve"> </w:t>
      </w:r>
      <w:r w:rsidRPr="00B04DC3">
        <w:rPr>
          <w:lang w:val="en-GB"/>
        </w:rPr>
        <w:sym w:font="Symbol" w:char="F044"/>
      </w:r>
      <w:r w:rsidRPr="00B04DC3">
        <w:rPr>
          <w:lang w:val="en-GB"/>
        </w:rPr>
        <w:t>t</w:t>
      </w:r>
      <w:r w:rsidRPr="00B04DC3">
        <w:rPr>
          <w:vertAlign w:val="subscript"/>
          <w:lang w:val="en-GB"/>
        </w:rPr>
        <w:t>i</w:t>
      </w:r>
      <w:r w:rsidRPr="00B04DC3">
        <w:rPr>
          <w:lang w:val="en-GB"/>
        </w:rPr>
        <w:tab/>
        <w:t>(55)</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sym w:font="Symbol" w:char="F044"/>
      </w:r>
      <w:r w:rsidRPr="00B04DC3">
        <w:rPr>
          <w:lang w:val="en-GB"/>
        </w:rPr>
        <w:t>t</w:t>
      </w:r>
      <w:r w:rsidRPr="00B04DC3">
        <w:rPr>
          <w:vertAlign w:val="subscript"/>
          <w:lang w:val="en-GB"/>
        </w:rPr>
        <w:t>i</w:t>
      </w:r>
      <w:r w:rsidRPr="00B04DC3">
        <w:rPr>
          <w:lang w:val="en-GB"/>
        </w:rPr>
        <w:tab/>
        <w:t>is the time interval, s</w:t>
      </w:r>
    </w:p>
    <w:p w:rsidR="00002BA6" w:rsidRPr="001704CE" w:rsidRDefault="00002BA6" w:rsidP="00002BA6">
      <w:pPr>
        <w:pStyle w:val="para"/>
        <w:rPr>
          <w:spacing w:val="-4"/>
          <w:lang w:val="en-GB"/>
        </w:rPr>
      </w:pPr>
      <w:r w:rsidRPr="001704CE">
        <w:rPr>
          <w:spacing w:val="-4"/>
          <w:lang w:val="en-GB"/>
        </w:rPr>
        <w:tab/>
        <w:t>The real time calculation shall be initialized with either a reasonable value for C</w:t>
      </w:r>
      <w:r w:rsidRPr="001704CE">
        <w:rPr>
          <w:spacing w:val="-4"/>
          <w:vertAlign w:val="subscript"/>
          <w:lang w:val="en-GB"/>
        </w:rPr>
        <w:t>d</w:t>
      </w:r>
      <w:r w:rsidRPr="001704CE">
        <w:rPr>
          <w:spacing w:val="-4"/>
          <w:lang w:val="en-GB"/>
        </w:rPr>
        <w:t>, such as 0.98, or a reasonable value of Q</w:t>
      </w:r>
      <w:r w:rsidRPr="001704CE">
        <w:rPr>
          <w:spacing w:val="-4"/>
          <w:vertAlign w:val="subscript"/>
          <w:lang w:val="en-GB"/>
        </w:rPr>
        <w:t>ssv</w:t>
      </w:r>
      <w:r w:rsidRPr="001704CE">
        <w:rPr>
          <w:spacing w:val="-4"/>
          <w:lang w:val="en-GB"/>
        </w:rPr>
        <w:t>. If the calculation is initialized with Q</w:t>
      </w:r>
      <w:r w:rsidRPr="001704CE">
        <w:rPr>
          <w:spacing w:val="-4"/>
          <w:vertAlign w:val="subscript"/>
          <w:lang w:val="en-GB"/>
        </w:rPr>
        <w:t>ssv</w:t>
      </w:r>
      <w:r w:rsidRPr="001704CE">
        <w:rPr>
          <w:spacing w:val="-4"/>
          <w:lang w:val="en-GB"/>
        </w:rPr>
        <w:t>, the initial value of Q</w:t>
      </w:r>
      <w:r w:rsidRPr="001704CE">
        <w:rPr>
          <w:spacing w:val="-4"/>
          <w:vertAlign w:val="subscript"/>
          <w:lang w:val="en-GB"/>
        </w:rPr>
        <w:t>ssv</w:t>
      </w:r>
      <w:r w:rsidRPr="001704CE">
        <w:rPr>
          <w:spacing w:val="-4"/>
          <w:lang w:val="en-GB"/>
        </w:rPr>
        <w:t xml:space="preserve"> shall be used to evaluate the Reynolds number.</w:t>
      </w:r>
    </w:p>
    <w:p w:rsidR="00002BA6" w:rsidRPr="00B04DC3" w:rsidRDefault="00002BA6" w:rsidP="00002BA6">
      <w:pPr>
        <w:pStyle w:val="para"/>
        <w:rPr>
          <w:lang w:val="en-GB"/>
        </w:rPr>
      </w:pPr>
      <w:r w:rsidRPr="00B04DC3">
        <w:rPr>
          <w:lang w:val="en-GB"/>
        </w:rPr>
        <w:tab/>
        <w:t>During all emissions tests, the Reynolds number at the SSV throat shall be in the range of Reynolds numbers used to derive the calibration curve developed in paragraph 9.5.4.</w:t>
      </w:r>
      <w:r w:rsidR="006D17BC" w:rsidRPr="006D17BC">
        <w:rPr>
          <w:lang w:val="en-GB"/>
        </w:rPr>
        <w:t xml:space="preserve"> </w:t>
      </w:r>
      <w:r w:rsidR="006D17BC">
        <w:rPr>
          <w:lang w:val="en-GB"/>
        </w:rPr>
        <w:t>of this annex.</w:t>
      </w:r>
    </w:p>
    <w:p w:rsidR="00002BA6" w:rsidRPr="00B04DC3" w:rsidRDefault="00002BA6" w:rsidP="00002BA6">
      <w:pPr>
        <w:pStyle w:val="para"/>
        <w:rPr>
          <w:lang w:val="en-GB"/>
        </w:rPr>
      </w:pPr>
      <w:r w:rsidRPr="00B04DC3">
        <w:rPr>
          <w:lang w:val="en-GB"/>
        </w:rPr>
        <w:t>8.5.2.</w:t>
      </w:r>
      <w:r w:rsidRPr="00B04DC3">
        <w:rPr>
          <w:lang w:val="en-GB"/>
        </w:rPr>
        <w:tab/>
        <w:t>Determination of the gaseous components</w:t>
      </w:r>
    </w:p>
    <w:p w:rsidR="00002BA6" w:rsidRPr="00B04DC3" w:rsidRDefault="00002BA6" w:rsidP="00002BA6">
      <w:pPr>
        <w:pStyle w:val="para"/>
        <w:rPr>
          <w:lang w:val="en-GB"/>
        </w:rPr>
      </w:pPr>
      <w:r w:rsidRPr="00B04DC3">
        <w:rPr>
          <w:lang w:val="en-GB"/>
        </w:rPr>
        <w:t>8.5.2.1.</w:t>
      </w:r>
      <w:r w:rsidRPr="00B04DC3">
        <w:rPr>
          <w:lang w:val="en-GB"/>
        </w:rPr>
        <w:tab/>
        <w:t>Introduction</w:t>
      </w:r>
    </w:p>
    <w:p w:rsidR="00002BA6" w:rsidRPr="00B04DC3" w:rsidRDefault="00002BA6" w:rsidP="00002BA6">
      <w:pPr>
        <w:pStyle w:val="para"/>
        <w:rPr>
          <w:lang w:val="en-GB"/>
        </w:rPr>
      </w:pPr>
      <w:r w:rsidRPr="00B04DC3">
        <w:rPr>
          <w:lang w:val="en-GB"/>
        </w:rPr>
        <w:tab/>
        <w:t>The gaseous components in the diluted exhaust gas emitted by the engine submitted for testing shall be measured by the methods described in Appendix 3</w:t>
      </w:r>
      <w:r w:rsidR="006D17BC">
        <w:rPr>
          <w:lang w:val="en-GB"/>
        </w:rPr>
        <w:t xml:space="preserve"> to this annex</w:t>
      </w:r>
      <w:r w:rsidRPr="00B04DC3">
        <w:rPr>
          <w:lang w:val="en-GB"/>
        </w:rPr>
        <w:t>.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r w:rsidR="006D17BC">
        <w:rPr>
          <w:lang w:val="en-GB"/>
        </w:rPr>
        <w:t xml:space="preserve"> below.</w:t>
      </w:r>
    </w:p>
    <w:p w:rsidR="00002BA6" w:rsidRPr="00B04DC3" w:rsidRDefault="00002BA6" w:rsidP="00002BA6">
      <w:pPr>
        <w:pStyle w:val="para"/>
        <w:rPr>
          <w:lang w:val="en-GB"/>
        </w:rPr>
      </w:pPr>
      <w:r w:rsidRPr="00B04DC3">
        <w:rPr>
          <w:lang w:val="en-GB"/>
        </w:rPr>
        <w:t>8.5.2.2.</w:t>
      </w:r>
      <w:r w:rsidRPr="00B04DC3">
        <w:rPr>
          <w:lang w:val="en-GB"/>
        </w:rPr>
        <w:tab/>
        <w:t>Data evaluation</w:t>
      </w:r>
    </w:p>
    <w:p w:rsidR="00002BA6" w:rsidRPr="00B04DC3" w:rsidRDefault="00002BA6" w:rsidP="00002BA6">
      <w:pPr>
        <w:pStyle w:val="para"/>
        <w:rPr>
          <w:lang w:val="en-GB"/>
        </w:rPr>
      </w:pPr>
      <w:r w:rsidRPr="00B04DC3">
        <w:rPr>
          <w:lang w:val="en-GB"/>
        </w:rPr>
        <w:tab/>
        <w:t>The emission relevant data shall be recorded and stored in accordance with paragraph 7.6.6.</w:t>
      </w:r>
      <w:r w:rsidR="006D17BC" w:rsidRPr="006D17BC">
        <w:rPr>
          <w:lang w:val="en-GB"/>
        </w:rPr>
        <w:t xml:space="preserve"> </w:t>
      </w:r>
      <w:r w:rsidR="006D17BC">
        <w:rPr>
          <w:lang w:val="en-GB"/>
        </w:rPr>
        <w:t>of this annex.</w:t>
      </w:r>
    </w:p>
    <w:p w:rsidR="00002BA6" w:rsidRPr="00B04DC3" w:rsidRDefault="00002BA6" w:rsidP="00002BA6">
      <w:pPr>
        <w:pStyle w:val="para"/>
        <w:rPr>
          <w:lang w:val="en-GB"/>
        </w:rPr>
      </w:pPr>
      <w:r w:rsidRPr="00B04DC3">
        <w:rPr>
          <w:lang w:val="en-GB"/>
        </w:rPr>
        <w:t>8.5.2.3.</w:t>
      </w:r>
      <w:r w:rsidRPr="00B04DC3">
        <w:rPr>
          <w:lang w:val="en-GB"/>
        </w:rPr>
        <w:tab/>
        <w:t>Calculation of mass emission</w:t>
      </w:r>
    </w:p>
    <w:p w:rsidR="00002BA6" w:rsidRPr="00B04DC3" w:rsidRDefault="00002BA6" w:rsidP="00002BA6">
      <w:pPr>
        <w:pStyle w:val="para"/>
        <w:rPr>
          <w:lang w:val="en-GB"/>
        </w:rPr>
      </w:pPr>
      <w:r w:rsidRPr="00B04DC3">
        <w:rPr>
          <w:lang w:val="en-GB"/>
        </w:rPr>
        <w:t>8.5.2.3.1.</w:t>
      </w:r>
      <w:r w:rsidRPr="00B04DC3">
        <w:rPr>
          <w:lang w:val="en-GB"/>
        </w:rPr>
        <w:tab/>
        <w:t>Systems with constant mass flow</w:t>
      </w:r>
    </w:p>
    <w:p w:rsidR="00002BA6" w:rsidRPr="00B04DC3" w:rsidRDefault="00002BA6" w:rsidP="00002BA6">
      <w:pPr>
        <w:pStyle w:val="para"/>
        <w:rPr>
          <w:lang w:val="en-GB"/>
        </w:rPr>
      </w:pPr>
      <w:r w:rsidRPr="00B04DC3">
        <w:rPr>
          <w:lang w:val="en-GB"/>
        </w:rPr>
        <w:tab/>
        <w:t>For systems with heat exchanger, the mass of the pollutants shall be determined from the following equation:</w:t>
      </w:r>
    </w:p>
    <w:p w:rsidR="00002BA6" w:rsidRPr="00B04DC3" w:rsidRDefault="00002BA6" w:rsidP="00002BA6">
      <w:pPr>
        <w:pStyle w:val="para"/>
        <w:tabs>
          <w:tab w:val="left" w:pos="5245"/>
          <w:tab w:val="right" w:pos="8500"/>
        </w:tabs>
        <w:ind w:firstLine="0"/>
        <w:rPr>
          <w:lang w:val="en-GB"/>
        </w:rPr>
      </w:pPr>
      <w:r w:rsidRPr="00B04DC3">
        <w:rPr>
          <w:lang w:val="en-GB"/>
        </w:rPr>
        <w:t>m</w:t>
      </w:r>
      <w:r w:rsidRPr="00B04DC3">
        <w:rPr>
          <w:vertAlign w:val="subscript"/>
          <w:lang w:val="en-GB"/>
        </w:rPr>
        <w:t>gas</w:t>
      </w:r>
      <w:r w:rsidRPr="00B04DC3">
        <w:rPr>
          <w:lang w:val="en-GB"/>
        </w:rPr>
        <w:t xml:space="preserve">  =  u</w:t>
      </w:r>
      <w:r w:rsidRPr="00B04DC3">
        <w:rPr>
          <w:vertAlign w:val="subscript"/>
          <w:lang w:val="en-GB"/>
        </w:rPr>
        <w:t>gas</w:t>
      </w:r>
      <w:r w:rsidRPr="00B04DC3">
        <w:rPr>
          <w:lang w:val="en-GB"/>
        </w:rPr>
        <w:t xml:space="preserve"> </w:t>
      </w:r>
      <w:r w:rsidRPr="00B04DC3">
        <w:rPr>
          <w:rFonts w:ascii="Arial" w:hAnsi="Arial" w:cs="Arial"/>
          <w:sz w:val="16"/>
          <w:szCs w:val="16"/>
          <w:lang w:val="en-GB"/>
        </w:rPr>
        <w:t>x</w:t>
      </w:r>
      <w:r w:rsidRPr="00B04DC3">
        <w:rPr>
          <w:lang w:val="en-GB"/>
        </w:rPr>
        <w:t xml:space="preserve"> c</w:t>
      </w:r>
      <w:r w:rsidRPr="00B04DC3">
        <w:rPr>
          <w:vertAlign w:val="subscript"/>
          <w:lang w:val="en-GB"/>
        </w:rPr>
        <w:t>gas</w:t>
      </w:r>
      <w:r w:rsidRPr="00B04DC3">
        <w:rPr>
          <w:lang w:val="en-GB"/>
        </w:rPr>
        <w:t xml:space="preserve"> </w:t>
      </w:r>
      <w:r w:rsidRPr="00B04DC3">
        <w:rPr>
          <w:rFonts w:ascii="Arial" w:hAnsi="Arial" w:cs="Arial"/>
          <w:sz w:val="16"/>
          <w:szCs w:val="16"/>
          <w:lang w:val="en-GB"/>
        </w:rPr>
        <w:t>x</w:t>
      </w:r>
      <w:r w:rsidRPr="00B04DC3">
        <w:rPr>
          <w:lang w:val="en-GB"/>
        </w:rPr>
        <w:t xml:space="preserve"> m</w:t>
      </w:r>
      <w:r w:rsidRPr="00B04DC3">
        <w:rPr>
          <w:vertAlign w:val="subscript"/>
          <w:lang w:val="en-GB"/>
        </w:rPr>
        <w:t>ed</w:t>
      </w:r>
      <w:r w:rsidRPr="00B04DC3">
        <w:rPr>
          <w:lang w:val="en-GB"/>
        </w:rPr>
        <w:tab/>
        <w:t>(in g/test)</w:t>
      </w:r>
      <w:r w:rsidRPr="00B04DC3">
        <w:rPr>
          <w:lang w:val="en-GB"/>
        </w:rPr>
        <w:tab/>
        <w:t>(56)</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szCs w:val="24"/>
          <w:lang w:val="en-GB" w:eastAsia="de-DE"/>
        </w:rPr>
      </w:pPr>
      <w:r w:rsidRPr="00B04DC3">
        <w:rPr>
          <w:iCs/>
          <w:szCs w:val="24"/>
          <w:lang w:val="en-GB" w:eastAsia="de-DE"/>
        </w:rPr>
        <w:t>u</w:t>
      </w:r>
      <w:r w:rsidRPr="00B04DC3">
        <w:rPr>
          <w:szCs w:val="24"/>
          <w:vertAlign w:val="subscript"/>
          <w:lang w:val="en-GB" w:eastAsia="de-DE"/>
        </w:rPr>
        <w:t>gas</w:t>
      </w:r>
      <w:r w:rsidRPr="00B04DC3">
        <w:rPr>
          <w:szCs w:val="24"/>
          <w:lang w:val="en-GB" w:eastAsia="de-DE"/>
        </w:rPr>
        <w:t xml:space="preserve"> </w:t>
      </w:r>
      <w:r w:rsidRPr="00B04DC3">
        <w:rPr>
          <w:szCs w:val="24"/>
          <w:lang w:val="en-GB" w:eastAsia="de-DE"/>
        </w:rPr>
        <w:tab/>
        <w:t>is the respective value of the exhaust component from Table 6</w:t>
      </w:r>
      <w:r w:rsidR="006D17BC">
        <w:rPr>
          <w:szCs w:val="24"/>
          <w:lang w:val="en-GB" w:eastAsia="de-DE"/>
        </w:rPr>
        <w:t xml:space="preserve"> below</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gas</w:t>
      </w:r>
      <w:r w:rsidRPr="00B04DC3">
        <w:rPr>
          <w:lang w:val="en-GB"/>
        </w:rPr>
        <w:tab/>
        <w:t>is the average background corrected concentration of the component, ppm</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ed</w:t>
      </w:r>
      <w:r w:rsidRPr="00B04DC3">
        <w:rPr>
          <w:lang w:val="en-GB"/>
        </w:rPr>
        <w:tab/>
        <w:t>is the total diluted exhaust mass over the cycle, kg</w:t>
      </w:r>
    </w:p>
    <w:p w:rsidR="00002BA6" w:rsidRPr="00B04DC3" w:rsidRDefault="00002BA6" w:rsidP="00002BA6">
      <w:pPr>
        <w:pStyle w:val="para"/>
        <w:rPr>
          <w:lang w:val="en-GB"/>
        </w:rPr>
      </w:pPr>
      <w:r w:rsidRPr="00B04DC3">
        <w:rPr>
          <w:lang w:val="en-GB"/>
        </w:rPr>
        <w:tab/>
        <w:t xml:space="preserve">If measured on a dry basis, the dry/wet correction according to paragraph 8.1. </w:t>
      </w:r>
      <w:r w:rsidR="006D17BC">
        <w:rPr>
          <w:lang w:val="en-GB"/>
        </w:rPr>
        <w:t>of this annex</w:t>
      </w:r>
      <w:r w:rsidR="006D17BC" w:rsidRPr="00B04DC3">
        <w:rPr>
          <w:lang w:val="en-GB"/>
        </w:rPr>
        <w:t xml:space="preserve"> </w:t>
      </w:r>
      <w:r w:rsidRPr="00B04DC3">
        <w:rPr>
          <w:lang w:val="en-GB"/>
        </w:rPr>
        <w:t>shall be applied.</w:t>
      </w:r>
    </w:p>
    <w:p w:rsidR="00002BA6" w:rsidRPr="00B04DC3" w:rsidRDefault="00002BA6" w:rsidP="00002BA6">
      <w:pPr>
        <w:pStyle w:val="para"/>
        <w:rPr>
          <w:lang w:val="en-GB"/>
        </w:rPr>
      </w:pPr>
      <w:r w:rsidRPr="00B04DC3">
        <w:rPr>
          <w:lang w:val="en-GB"/>
        </w:rPr>
        <w:tab/>
        <w:t>For the calculation of NO</w:t>
      </w:r>
      <w:r w:rsidRPr="00B04DC3">
        <w:rPr>
          <w:vertAlign w:val="subscript"/>
          <w:lang w:val="en-GB"/>
        </w:rPr>
        <w:t>x</w:t>
      </w:r>
      <w:r w:rsidRPr="00B04DC3">
        <w:rPr>
          <w:lang w:val="en-GB"/>
        </w:rPr>
        <w:t>, the mass emission shall be multiplied, if applicable, with the humidity correction factor k</w:t>
      </w:r>
      <w:r w:rsidRPr="00B04DC3">
        <w:rPr>
          <w:vertAlign w:val="subscript"/>
          <w:lang w:val="en-GB"/>
        </w:rPr>
        <w:t>h,D</w:t>
      </w:r>
      <w:r w:rsidRPr="00B04DC3">
        <w:rPr>
          <w:lang w:val="en-GB"/>
        </w:rPr>
        <w:t>, or k</w:t>
      </w:r>
      <w:r w:rsidRPr="00B04DC3">
        <w:rPr>
          <w:vertAlign w:val="subscript"/>
          <w:lang w:val="en-GB"/>
        </w:rPr>
        <w:t>h,G</w:t>
      </w:r>
      <w:r w:rsidRPr="00B04DC3">
        <w:rPr>
          <w:lang w:val="en-GB"/>
        </w:rPr>
        <w:t>, as determined according to paragraph 8.2.</w:t>
      </w:r>
      <w:r w:rsidR="006D17BC" w:rsidRPr="006D17BC">
        <w:rPr>
          <w:lang w:val="en-GB"/>
        </w:rPr>
        <w:t xml:space="preserve"> </w:t>
      </w:r>
      <w:r w:rsidR="006D17BC">
        <w:rPr>
          <w:lang w:val="en-GB"/>
        </w:rPr>
        <w:t>of this annex.</w:t>
      </w:r>
    </w:p>
    <w:p w:rsidR="00002BA6" w:rsidRPr="00B04DC3" w:rsidRDefault="00002BA6" w:rsidP="00002BA6">
      <w:pPr>
        <w:pStyle w:val="para"/>
        <w:rPr>
          <w:lang w:val="en-GB"/>
        </w:rPr>
      </w:pPr>
      <w:r w:rsidRPr="00B04DC3">
        <w:rPr>
          <w:lang w:val="en-GB"/>
        </w:rPr>
        <w:tab/>
        <w:t>The u values are given in Table 6. For calculating the u</w:t>
      </w:r>
      <w:r w:rsidRPr="00B04DC3">
        <w:rPr>
          <w:vertAlign w:val="subscript"/>
          <w:lang w:val="en-GB"/>
        </w:rPr>
        <w:t>gas</w:t>
      </w:r>
      <w:r w:rsidRPr="00B04DC3">
        <w:rPr>
          <w:lang w:val="en-GB"/>
        </w:rPr>
        <w:t xml:space="preserve"> values, the density of the diluted exhaust gas has been assumed to be equal to air density. Therefore, the u</w:t>
      </w:r>
      <w:r w:rsidRPr="00B04DC3">
        <w:rPr>
          <w:vertAlign w:val="subscript"/>
          <w:lang w:val="en-GB"/>
        </w:rPr>
        <w:t>gas</w:t>
      </w:r>
      <w:r w:rsidRPr="00B04DC3">
        <w:rPr>
          <w:lang w:val="en-GB"/>
        </w:rPr>
        <w:t xml:space="preserve"> values are identical for single gas components, but different for HC.</w:t>
      </w:r>
    </w:p>
    <w:p w:rsidR="00002BA6" w:rsidRPr="00B04DC3" w:rsidRDefault="00002BA6" w:rsidP="00002BA6">
      <w:pPr>
        <w:pStyle w:val="Heading1"/>
        <w:keepNext/>
        <w:keepLines/>
      </w:pPr>
      <w:bookmarkStart w:id="547" w:name="_Toc399940017"/>
      <w:bookmarkStart w:id="548" w:name="_Toc423599603"/>
      <w:bookmarkStart w:id="549" w:name="_Toc423611011"/>
      <w:r w:rsidRPr="00B04DC3">
        <w:t>Table 6</w:t>
      </w:r>
      <w:bookmarkEnd w:id="547"/>
      <w:bookmarkEnd w:id="548"/>
      <w:bookmarkEnd w:id="549"/>
    </w:p>
    <w:p w:rsidR="00002BA6" w:rsidRPr="00B04DC3" w:rsidRDefault="00002BA6" w:rsidP="00002BA6">
      <w:pPr>
        <w:pStyle w:val="Heading1"/>
        <w:keepNext/>
        <w:keepLines/>
        <w:rPr>
          <w:b/>
        </w:rPr>
      </w:pPr>
      <w:bookmarkStart w:id="550" w:name="_Toc399940018"/>
      <w:bookmarkStart w:id="551" w:name="_Toc423599604"/>
      <w:bookmarkStart w:id="552" w:name="_Toc423611012"/>
      <w:r w:rsidRPr="00B04DC3">
        <w:rPr>
          <w:b/>
        </w:rPr>
        <w:t>Diluted exhaust gas u values and component densities</w:t>
      </w:r>
      <w:bookmarkEnd w:id="550"/>
      <w:bookmarkEnd w:id="551"/>
      <w:bookmarkEnd w:id="552"/>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847"/>
        <w:gridCol w:w="975"/>
        <w:gridCol w:w="976"/>
        <w:gridCol w:w="1096"/>
        <w:gridCol w:w="1026"/>
        <w:gridCol w:w="1054"/>
        <w:gridCol w:w="1140"/>
      </w:tblGrid>
      <w:tr w:rsidR="00002BA6" w:rsidRPr="00D71F62" w:rsidTr="00AF4FCB">
        <w:trPr>
          <w:cantSplit/>
          <w:trHeight w:val="238"/>
        </w:trPr>
        <w:tc>
          <w:tcPr>
            <w:tcW w:w="1139" w:type="dxa"/>
            <w:vMerge w:val="restart"/>
            <w:vAlign w:val="center"/>
          </w:tcPr>
          <w:p w:rsidR="00002BA6" w:rsidRPr="00D71F62" w:rsidRDefault="00002BA6" w:rsidP="001704CE">
            <w:pPr>
              <w:spacing w:before="20" w:after="20" w:line="200" w:lineRule="exact"/>
              <w:jc w:val="center"/>
              <w:rPr>
                <w:i/>
                <w:sz w:val="16"/>
                <w:szCs w:val="16"/>
              </w:rPr>
            </w:pPr>
            <w:r w:rsidRPr="00D71F62">
              <w:rPr>
                <w:i/>
                <w:sz w:val="16"/>
                <w:szCs w:val="16"/>
              </w:rPr>
              <w:t>Fuel</w:t>
            </w:r>
          </w:p>
        </w:tc>
        <w:tc>
          <w:tcPr>
            <w:tcW w:w="847" w:type="dxa"/>
            <w:vMerge w:val="restart"/>
            <w:vAlign w:val="center"/>
          </w:tcPr>
          <w:p w:rsidR="00002BA6" w:rsidRPr="00D71F62" w:rsidRDefault="00002BA6" w:rsidP="001704CE">
            <w:pPr>
              <w:spacing w:before="20" w:after="20" w:line="200" w:lineRule="exact"/>
              <w:jc w:val="center"/>
              <w:rPr>
                <w:i/>
                <w:sz w:val="16"/>
                <w:szCs w:val="16"/>
              </w:rPr>
            </w:pPr>
            <w:r w:rsidRPr="00D71F62">
              <w:rPr>
                <w:i/>
                <w:sz w:val="16"/>
                <w:szCs w:val="16"/>
              </w:rPr>
              <w:sym w:font="Symbol" w:char="F072"/>
            </w:r>
            <w:r w:rsidRPr="00D71F62">
              <w:rPr>
                <w:i/>
                <w:sz w:val="16"/>
                <w:szCs w:val="16"/>
                <w:vertAlign w:val="subscript"/>
              </w:rPr>
              <w:t>de</w:t>
            </w:r>
          </w:p>
        </w:tc>
        <w:tc>
          <w:tcPr>
            <w:tcW w:w="975" w:type="dxa"/>
            <w:tcBorders>
              <w:right w:val="nil"/>
            </w:tcBorders>
          </w:tcPr>
          <w:p w:rsidR="00002BA6" w:rsidRPr="00D71F62" w:rsidRDefault="00002BA6" w:rsidP="001704CE">
            <w:pPr>
              <w:spacing w:before="20" w:after="20" w:line="200" w:lineRule="exact"/>
              <w:jc w:val="center"/>
              <w:rPr>
                <w:i/>
                <w:sz w:val="16"/>
                <w:szCs w:val="16"/>
              </w:rPr>
            </w:pPr>
          </w:p>
        </w:tc>
        <w:tc>
          <w:tcPr>
            <w:tcW w:w="976" w:type="dxa"/>
            <w:tcBorders>
              <w:left w:val="nil"/>
              <w:right w:val="nil"/>
            </w:tcBorders>
          </w:tcPr>
          <w:p w:rsidR="00002BA6" w:rsidRPr="00D71F62" w:rsidRDefault="00002BA6" w:rsidP="001704CE">
            <w:pPr>
              <w:spacing w:before="20" w:after="20" w:line="200" w:lineRule="exact"/>
              <w:jc w:val="center"/>
              <w:rPr>
                <w:i/>
                <w:sz w:val="16"/>
                <w:szCs w:val="16"/>
              </w:rPr>
            </w:pPr>
          </w:p>
        </w:tc>
        <w:tc>
          <w:tcPr>
            <w:tcW w:w="1096" w:type="dxa"/>
            <w:tcBorders>
              <w:left w:val="nil"/>
              <w:right w:val="nil"/>
            </w:tcBorders>
          </w:tcPr>
          <w:p w:rsidR="00002BA6" w:rsidRPr="00D71F62" w:rsidRDefault="00002BA6" w:rsidP="001704CE">
            <w:pPr>
              <w:spacing w:before="20" w:after="20" w:line="200" w:lineRule="exact"/>
              <w:jc w:val="center"/>
              <w:rPr>
                <w:i/>
                <w:sz w:val="16"/>
                <w:szCs w:val="16"/>
              </w:rPr>
            </w:pPr>
            <w:r w:rsidRPr="00D71F62">
              <w:rPr>
                <w:i/>
                <w:sz w:val="16"/>
                <w:szCs w:val="16"/>
              </w:rPr>
              <w:t>Gas</w:t>
            </w:r>
          </w:p>
        </w:tc>
        <w:tc>
          <w:tcPr>
            <w:tcW w:w="1026" w:type="dxa"/>
            <w:tcBorders>
              <w:left w:val="nil"/>
              <w:right w:val="nil"/>
            </w:tcBorders>
          </w:tcPr>
          <w:p w:rsidR="00002BA6" w:rsidRPr="00D71F62" w:rsidRDefault="00002BA6" w:rsidP="001704CE">
            <w:pPr>
              <w:spacing w:before="20" w:after="20" w:line="200" w:lineRule="exact"/>
              <w:jc w:val="center"/>
              <w:rPr>
                <w:i/>
                <w:sz w:val="16"/>
                <w:szCs w:val="16"/>
              </w:rPr>
            </w:pPr>
          </w:p>
        </w:tc>
        <w:tc>
          <w:tcPr>
            <w:tcW w:w="1054" w:type="dxa"/>
            <w:tcBorders>
              <w:left w:val="nil"/>
              <w:right w:val="nil"/>
            </w:tcBorders>
          </w:tcPr>
          <w:p w:rsidR="00002BA6" w:rsidRPr="00D71F62" w:rsidRDefault="00002BA6" w:rsidP="001704CE">
            <w:pPr>
              <w:spacing w:before="20" w:after="20" w:line="200" w:lineRule="exact"/>
              <w:jc w:val="center"/>
              <w:rPr>
                <w:i/>
                <w:sz w:val="16"/>
                <w:szCs w:val="16"/>
              </w:rPr>
            </w:pPr>
          </w:p>
        </w:tc>
        <w:tc>
          <w:tcPr>
            <w:tcW w:w="1140" w:type="dxa"/>
            <w:tcBorders>
              <w:left w:val="nil"/>
            </w:tcBorders>
          </w:tcPr>
          <w:p w:rsidR="00002BA6" w:rsidRPr="00D71F62" w:rsidRDefault="00002BA6" w:rsidP="001704CE">
            <w:pPr>
              <w:spacing w:before="20" w:after="20" w:line="200" w:lineRule="exact"/>
              <w:jc w:val="center"/>
              <w:rPr>
                <w:i/>
                <w:sz w:val="16"/>
                <w:szCs w:val="16"/>
              </w:rPr>
            </w:pPr>
          </w:p>
        </w:tc>
      </w:tr>
      <w:tr w:rsidR="00002BA6" w:rsidRPr="00D71F62">
        <w:trPr>
          <w:cantSplit/>
        </w:trPr>
        <w:tc>
          <w:tcPr>
            <w:tcW w:w="1139" w:type="dxa"/>
            <w:vMerge/>
          </w:tcPr>
          <w:p w:rsidR="00002BA6" w:rsidRPr="00D71F62" w:rsidRDefault="00002BA6" w:rsidP="001704CE">
            <w:pPr>
              <w:spacing w:before="20" w:after="20" w:line="200" w:lineRule="exact"/>
              <w:jc w:val="center"/>
              <w:rPr>
                <w:i/>
                <w:sz w:val="16"/>
                <w:szCs w:val="16"/>
              </w:rPr>
            </w:pPr>
          </w:p>
        </w:tc>
        <w:tc>
          <w:tcPr>
            <w:tcW w:w="847" w:type="dxa"/>
            <w:vMerge/>
          </w:tcPr>
          <w:p w:rsidR="00002BA6" w:rsidRPr="00D71F62" w:rsidRDefault="00002BA6" w:rsidP="001704CE">
            <w:pPr>
              <w:spacing w:before="20" w:after="20" w:line="200" w:lineRule="exact"/>
              <w:jc w:val="center"/>
              <w:rPr>
                <w:i/>
                <w:sz w:val="16"/>
                <w:szCs w:val="16"/>
              </w:rPr>
            </w:pPr>
          </w:p>
        </w:tc>
        <w:tc>
          <w:tcPr>
            <w:tcW w:w="975" w:type="dxa"/>
            <w:tcBorders>
              <w:bottom w:val="single" w:sz="4" w:space="0" w:color="auto"/>
            </w:tcBorders>
          </w:tcPr>
          <w:p w:rsidR="00002BA6" w:rsidRPr="00D71F62" w:rsidRDefault="00002BA6" w:rsidP="001704CE">
            <w:pPr>
              <w:spacing w:before="20" w:after="20" w:line="200" w:lineRule="exact"/>
              <w:jc w:val="center"/>
              <w:rPr>
                <w:i/>
                <w:sz w:val="16"/>
                <w:szCs w:val="16"/>
                <w:vertAlign w:val="subscript"/>
              </w:rPr>
            </w:pPr>
            <w:r w:rsidRPr="00D71F62">
              <w:rPr>
                <w:i/>
                <w:sz w:val="16"/>
                <w:szCs w:val="16"/>
              </w:rPr>
              <w:t>NO</w:t>
            </w:r>
            <w:r w:rsidRPr="00D71F62">
              <w:rPr>
                <w:i/>
                <w:sz w:val="16"/>
                <w:szCs w:val="16"/>
                <w:vertAlign w:val="subscript"/>
              </w:rPr>
              <w:t>x</w:t>
            </w:r>
          </w:p>
        </w:tc>
        <w:tc>
          <w:tcPr>
            <w:tcW w:w="976"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CO</w:t>
            </w:r>
          </w:p>
        </w:tc>
        <w:tc>
          <w:tcPr>
            <w:tcW w:w="1096"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HC</w:t>
            </w:r>
          </w:p>
        </w:tc>
        <w:tc>
          <w:tcPr>
            <w:tcW w:w="1026"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CO</w:t>
            </w:r>
            <w:r w:rsidRPr="00D71F62">
              <w:rPr>
                <w:i/>
                <w:sz w:val="16"/>
                <w:szCs w:val="16"/>
                <w:vertAlign w:val="subscript"/>
              </w:rPr>
              <w:t>2</w:t>
            </w:r>
          </w:p>
        </w:tc>
        <w:tc>
          <w:tcPr>
            <w:tcW w:w="1054" w:type="dxa"/>
            <w:tcBorders>
              <w:bottom w:val="single" w:sz="4" w:space="0" w:color="auto"/>
            </w:tcBorders>
          </w:tcPr>
          <w:p w:rsidR="00002BA6" w:rsidRPr="00D71F62" w:rsidRDefault="00002BA6" w:rsidP="001704CE">
            <w:pPr>
              <w:spacing w:before="20" w:after="20" w:line="200" w:lineRule="exact"/>
              <w:jc w:val="center"/>
              <w:rPr>
                <w:i/>
                <w:sz w:val="16"/>
                <w:szCs w:val="16"/>
                <w:vertAlign w:val="subscript"/>
              </w:rPr>
            </w:pPr>
            <w:r w:rsidRPr="00D71F62">
              <w:rPr>
                <w:i/>
                <w:sz w:val="16"/>
                <w:szCs w:val="16"/>
              </w:rPr>
              <w:t>O</w:t>
            </w:r>
            <w:r w:rsidRPr="00D71F62">
              <w:rPr>
                <w:i/>
                <w:sz w:val="16"/>
                <w:szCs w:val="16"/>
                <w:vertAlign w:val="subscript"/>
              </w:rPr>
              <w:t>2</w:t>
            </w:r>
          </w:p>
        </w:tc>
        <w:tc>
          <w:tcPr>
            <w:tcW w:w="1140" w:type="dxa"/>
          </w:tcPr>
          <w:p w:rsidR="00002BA6" w:rsidRPr="00D71F62" w:rsidRDefault="00002BA6" w:rsidP="001704CE">
            <w:pPr>
              <w:spacing w:before="20" w:after="20" w:line="200" w:lineRule="exact"/>
              <w:jc w:val="center"/>
              <w:rPr>
                <w:i/>
                <w:sz w:val="16"/>
                <w:szCs w:val="16"/>
                <w:vertAlign w:val="subscript"/>
              </w:rPr>
            </w:pPr>
            <w:r w:rsidRPr="00D71F62">
              <w:rPr>
                <w:i/>
                <w:sz w:val="16"/>
                <w:szCs w:val="16"/>
              </w:rPr>
              <w:t>CH</w:t>
            </w:r>
            <w:r w:rsidRPr="00D71F62">
              <w:rPr>
                <w:i/>
                <w:sz w:val="16"/>
                <w:szCs w:val="16"/>
                <w:vertAlign w:val="subscript"/>
              </w:rPr>
              <w:t>4</w:t>
            </w:r>
          </w:p>
        </w:tc>
      </w:tr>
      <w:tr w:rsidR="00002BA6" w:rsidRPr="00D71F62">
        <w:trPr>
          <w:cantSplit/>
        </w:trPr>
        <w:tc>
          <w:tcPr>
            <w:tcW w:w="1139" w:type="dxa"/>
            <w:vMerge/>
          </w:tcPr>
          <w:p w:rsidR="00002BA6" w:rsidRPr="00D71F62" w:rsidRDefault="00002BA6" w:rsidP="001704CE">
            <w:pPr>
              <w:spacing w:before="20" w:after="20" w:line="200" w:lineRule="exact"/>
              <w:jc w:val="center"/>
              <w:rPr>
                <w:i/>
                <w:sz w:val="16"/>
                <w:szCs w:val="16"/>
              </w:rPr>
            </w:pPr>
          </w:p>
        </w:tc>
        <w:tc>
          <w:tcPr>
            <w:tcW w:w="847" w:type="dxa"/>
            <w:vMerge/>
          </w:tcPr>
          <w:p w:rsidR="00002BA6" w:rsidRPr="00D71F62" w:rsidRDefault="00002BA6" w:rsidP="001704CE">
            <w:pPr>
              <w:spacing w:before="20" w:after="20" w:line="200" w:lineRule="exact"/>
              <w:jc w:val="center"/>
              <w:rPr>
                <w:i/>
                <w:sz w:val="16"/>
                <w:szCs w:val="16"/>
              </w:rPr>
            </w:pPr>
          </w:p>
        </w:tc>
        <w:tc>
          <w:tcPr>
            <w:tcW w:w="975" w:type="dxa"/>
            <w:tcBorders>
              <w:right w:val="nil"/>
            </w:tcBorders>
          </w:tcPr>
          <w:p w:rsidR="00002BA6" w:rsidRPr="00D71F62" w:rsidRDefault="00002BA6" w:rsidP="001704CE">
            <w:pPr>
              <w:spacing w:before="20" w:after="20" w:line="200" w:lineRule="exact"/>
              <w:jc w:val="center"/>
              <w:rPr>
                <w:i/>
                <w:sz w:val="16"/>
                <w:szCs w:val="16"/>
              </w:rPr>
            </w:pPr>
          </w:p>
        </w:tc>
        <w:tc>
          <w:tcPr>
            <w:tcW w:w="976" w:type="dxa"/>
            <w:tcBorders>
              <w:left w:val="nil"/>
              <w:right w:val="nil"/>
            </w:tcBorders>
          </w:tcPr>
          <w:p w:rsidR="00002BA6" w:rsidRPr="00D71F62" w:rsidRDefault="00002BA6" w:rsidP="001704CE">
            <w:pPr>
              <w:spacing w:before="20" w:after="20" w:line="200" w:lineRule="exact"/>
              <w:jc w:val="center"/>
              <w:rPr>
                <w:i/>
                <w:sz w:val="16"/>
                <w:szCs w:val="16"/>
              </w:rPr>
            </w:pPr>
          </w:p>
        </w:tc>
        <w:tc>
          <w:tcPr>
            <w:tcW w:w="1096" w:type="dxa"/>
            <w:tcBorders>
              <w:left w:val="nil"/>
              <w:right w:val="nil"/>
            </w:tcBorders>
          </w:tcPr>
          <w:p w:rsidR="00002BA6" w:rsidRPr="00D71F62" w:rsidRDefault="00002BA6" w:rsidP="001704CE">
            <w:pPr>
              <w:spacing w:before="20" w:after="20" w:line="200" w:lineRule="exact"/>
              <w:jc w:val="center"/>
              <w:rPr>
                <w:i/>
                <w:sz w:val="16"/>
                <w:szCs w:val="16"/>
              </w:rPr>
            </w:pPr>
            <w:r w:rsidRPr="00D71F62">
              <w:rPr>
                <w:i/>
                <w:sz w:val="16"/>
                <w:szCs w:val="16"/>
              </w:rPr>
              <w:sym w:font="Symbol" w:char="F072"/>
            </w:r>
            <w:r w:rsidRPr="00D71F62">
              <w:rPr>
                <w:i/>
                <w:sz w:val="16"/>
                <w:szCs w:val="16"/>
                <w:vertAlign w:val="subscript"/>
              </w:rPr>
              <w:t>gas</w:t>
            </w:r>
            <w:r w:rsidRPr="00D71F62">
              <w:rPr>
                <w:i/>
                <w:sz w:val="16"/>
                <w:szCs w:val="16"/>
              </w:rPr>
              <w:t xml:space="preserve">  [kg/m</w:t>
            </w:r>
            <w:r w:rsidRPr="00D71F62">
              <w:rPr>
                <w:i/>
                <w:sz w:val="16"/>
                <w:szCs w:val="16"/>
                <w:vertAlign w:val="superscript"/>
              </w:rPr>
              <w:t>3</w:t>
            </w:r>
            <w:r w:rsidRPr="00D71F62">
              <w:rPr>
                <w:i/>
                <w:sz w:val="16"/>
                <w:szCs w:val="16"/>
              </w:rPr>
              <w:t>]</w:t>
            </w:r>
          </w:p>
        </w:tc>
        <w:tc>
          <w:tcPr>
            <w:tcW w:w="1026" w:type="dxa"/>
            <w:tcBorders>
              <w:left w:val="nil"/>
              <w:right w:val="nil"/>
            </w:tcBorders>
          </w:tcPr>
          <w:p w:rsidR="00002BA6" w:rsidRPr="00D71F62" w:rsidRDefault="00002BA6" w:rsidP="001704CE">
            <w:pPr>
              <w:spacing w:before="20" w:after="20" w:line="200" w:lineRule="exact"/>
              <w:jc w:val="center"/>
              <w:rPr>
                <w:i/>
                <w:sz w:val="16"/>
                <w:szCs w:val="16"/>
              </w:rPr>
            </w:pPr>
          </w:p>
        </w:tc>
        <w:tc>
          <w:tcPr>
            <w:tcW w:w="1054" w:type="dxa"/>
            <w:tcBorders>
              <w:left w:val="nil"/>
              <w:right w:val="nil"/>
            </w:tcBorders>
          </w:tcPr>
          <w:p w:rsidR="00002BA6" w:rsidRPr="00D71F62" w:rsidRDefault="00002BA6" w:rsidP="001704CE">
            <w:pPr>
              <w:spacing w:before="20" w:after="20" w:line="200" w:lineRule="exact"/>
              <w:jc w:val="center"/>
              <w:rPr>
                <w:i/>
                <w:sz w:val="16"/>
                <w:szCs w:val="16"/>
              </w:rPr>
            </w:pPr>
          </w:p>
        </w:tc>
        <w:tc>
          <w:tcPr>
            <w:tcW w:w="1140" w:type="dxa"/>
            <w:tcBorders>
              <w:left w:val="nil"/>
            </w:tcBorders>
          </w:tcPr>
          <w:p w:rsidR="00002BA6" w:rsidRPr="00D71F62" w:rsidRDefault="00002BA6" w:rsidP="001704CE">
            <w:pPr>
              <w:spacing w:before="20" w:after="20" w:line="200" w:lineRule="exact"/>
              <w:jc w:val="center"/>
              <w:rPr>
                <w:i/>
                <w:sz w:val="16"/>
                <w:szCs w:val="16"/>
              </w:rPr>
            </w:pPr>
          </w:p>
        </w:tc>
      </w:tr>
      <w:tr w:rsidR="00002BA6" w:rsidRPr="00D71F62">
        <w:trPr>
          <w:cantSplit/>
        </w:trPr>
        <w:tc>
          <w:tcPr>
            <w:tcW w:w="1139" w:type="dxa"/>
            <w:vMerge/>
          </w:tcPr>
          <w:p w:rsidR="00002BA6" w:rsidRPr="00D71F62" w:rsidRDefault="00002BA6" w:rsidP="001704CE">
            <w:pPr>
              <w:spacing w:before="20" w:after="20" w:line="200" w:lineRule="exact"/>
              <w:rPr>
                <w:i/>
                <w:sz w:val="16"/>
                <w:szCs w:val="16"/>
              </w:rPr>
            </w:pPr>
          </w:p>
        </w:tc>
        <w:tc>
          <w:tcPr>
            <w:tcW w:w="847" w:type="dxa"/>
            <w:vMerge/>
          </w:tcPr>
          <w:p w:rsidR="00002BA6" w:rsidRPr="00D71F62" w:rsidRDefault="00002BA6" w:rsidP="001704CE">
            <w:pPr>
              <w:spacing w:before="20" w:after="20" w:line="200" w:lineRule="exact"/>
              <w:rPr>
                <w:i/>
                <w:sz w:val="16"/>
                <w:szCs w:val="16"/>
              </w:rPr>
            </w:pPr>
          </w:p>
        </w:tc>
        <w:tc>
          <w:tcPr>
            <w:tcW w:w="975"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2.053</w:t>
            </w:r>
          </w:p>
        </w:tc>
        <w:tc>
          <w:tcPr>
            <w:tcW w:w="976"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1.250</w:t>
            </w:r>
          </w:p>
        </w:tc>
        <w:tc>
          <w:tcPr>
            <w:tcW w:w="1096" w:type="dxa"/>
            <w:tcBorders>
              <w:bottom w:val="single" w:sz="4" w:space="0" w:color="auto"/>
            </w:tcBorders>
          </w:tcPr>
          <w:p w:rsidR="00002BA6" w:rsidRPr="00D71F62" w:rsidRDefault="00002BA6" w:rsidP="001704CE">
            <w:pPr>
              <w:spacing w:before="20" w:after="20" w:line="200" w:lineRule="exact"/>
              <w:jc w:val="center"/>
              <w:rPr>
                <w:i/>
                <w:sz w:val="16"/>
                <w:szCs w:val="16"/>
                <w:vertAlign w:val="superscript"/>
              </w:rPr>
            </w:pPr>
            <w:r w:rsidRPr="00D71F62">
              <w:rPr>
                <w:i/>
                <w:sz w:val="16"/>
                <w:szCs w:val="16"/>
                <w:vertAlign w:val="superscript"/>
              </w:rPr>
              <w:t>a</w:t>
            </w:r>
          </w:p>
        </w:tc>
        <w:tc>
          <w:tcPr>
            <w:tcW w:w="1026"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1.9636</w:t>
            </w:r>
          </w:p>
        </w:tc>
        <w:tc>
          <w:tcPr>
            <w:tcW w:w="1054" w:type="dxa"/>
            <w:tcBorders>
              <w:bottom w:val="single" w:sz="4" w:space="0" w:color="auto"/>
            </w:tcBorders>
          </w:tcPr>
          <w:p w:rsidR="00002BA6" w:rsidRPr="00D71F62" w:rsidRDefault="00002BA6" w:rsidP="001704CE">
            <w:pPr>
              <w:spacing w:before="20" w:after="20" w:line="200" w:lineRule="exact"/>
              <w:jc w:val="center"/>
              <w:rPr>
                <w:i/>
                <w:sz w:val="16"/>
                <w:szCs w:val="16"/>
              </w:rPr>
            </w:pPr>
            <w:r w:rsidRPr="00D71F62">
              <w:rPr>
                <w:i/>
                <w:sz w:val="16"/>
                <w:szCs w:val="16"/>
              </w:rPr>
              <w:t>1.4277</w:t>
            </w:r>
          </w:p>
        </w:tc>
        <w:tc>
          <w:tcPr>
            <w:tcW w:w="1140" w:type="dxa"/>
          </w:tcPr>
          <w:p w:rsidR="00002BA6" w:rsidRPr="00D71F62" w:rsidRDefault="00002BA6" w:rsidP="001704CE">
            <w:pPr>
              <w:spacing w:before="20" w:after="20" w:line="200" w:lineRule="exact"/>
              <w:jc w:val="center"/>
              <w:rPr>
                <w:i/>
                <w:sz w:val="16"/>
                <w:szCs w:val="16"/>
              </w:rPr>
            </w:pPr>
            <w:r w:rsidRPr="00D71F62">
              <w:rPr>
                <w:i/>
                <w:sz w:val="16"/>
                <w:szCs w:val="16"/>
              </w:rPr>
              <w:t>0.716</w:t>
            </w:r>
          </w:p>
        </w:tc>
      </w:tr>
      <w:tr w:rsidR="00002BA6" w:rsidRPr="00D71F62" w:rsidTr="00D71F62">
        <w:trPr>
          <w:cantSplit/>
        </w:trPr>
        <w:tc>
          <w:tcPr>
            <w:tcW w:w="1139" w:type="dxa"/>
            <w:vMerge/>
            <w:tcBorders>
              <w:bottom w:val="single" w:sz="12" w:space="0" w:color="auto"/>
            </w:tcBorders>
          </w:tcPr>
          <w:p w:rsidR="00002BA6" w:rsidRPr="00D71F62" w:rsidRDefault="00002BA6" w:rsidP="001704CE">
            <w:pPr>
              <w:spacing w:before="20" w:after="20" w:line="200" w:lineRule="exact"/>
              <w:jc w:val="center"/>
              <w:rPr>
                <w:i/>
                <w:sz w:val="16"/>
                <w:szCs w:val="16"/>
              </w:rPr>
            </w:pPr>
          </w:p>
        </w:tc>
        <w:tc>
          <w:tcPr>
            <w:tcW w:w="847" w:type="dxa"/>
            <w:vMerge/>
            <w:tcBorders>
              <w:bottom w:val="single" w:sz="12" w:space="0" w:color="auto"/>
            </w:tcBorders>
          </w:tcPr>
          <w:p w:rsidR="00002BA6" w:rsidRPr="00D71F62" w:rsidRDefault="00002BA6" w:rsidP="001704CE">
            <w:pPr>
              <w:spacing w:before="20" w:after="20" w:line="200" w:lineRule="exact"/>
              <w:jc w:val="center"/>
              <w:rPr>
                <w:i/>
                <w:sz w:val="16"/>
                <w:szCs w:val="16"/>
              </w:rPr>
            </w:pPr>
          </w:p>
        </w:tc>
        <w:tc>
          <w:tcPr>
            <w:tcW w:w="975" w:type="dxa"/>
            <w:tcBorders>
              <w:bottom w:val="single" w:sz="12" w:space="0" w:color="auto"/>
              <w:right w:val="nil"/>
            </w:tcBorders>
          </w:tcPr>
          <w:p w:rsidR="00002BA6" w:rsidRPr="00D71F62" w:rsidRDefault="00002BA6" w:rsidP="001704CE">
            <w:pPr>
              <w:spacing w:before="20" w:after="20" w:line="200" w:lineRule="exact"/>
              <w:jc w:val="center"/>
              <w:rPr>
                <w:i/>
                <w:sz w:val="16"/>
                <w:szCs w:val="16"/>
              </w:rPr>
            </w:pPr>
          </w:p>
        </w:tc>
        <w:tc>
          <w:tcPr>
            <w:tcW w:w="976" w:type="dxa"/>
            <w:tcBorders>
              <w:left w:val="nil"/>
              <w:bottom w:val="single" w:sz="12" w:space="0" w:color="auto"/>
              <w:right w:val="nil"/>
            </w:tcBorders>
          </w:tcPr>
          <w:p w:rsidR="00002BA6" w:rsidRPr="00D71F62" w:rsidRDefault="00002BA6" w:rsidP="001704CE">
            <w:pPr>
              <w:spacing w:before="20" w:after="20" w:line="200" w:lineRule="exact"/>
              <w:jc w:val="center"/>
              <w:rPr>
                <w:i/>
                <w:sz w:val="16"/>
                <w:szCs w:val="16"/>
              </w:rPr>
            </w:pPr>
          </w:p>
        </w:tc>
        <w:tc>
          <w:tcPr>
            <w:tcW w:w="1096" w:type="dxa"/>
            <w:tcBorders>
              <w:left w:val="nil"/>
              <w:bottom w:val="single" w:sz="12" w:space="0" w:color="auto"/>
              <w:right w:val="nil"/>
            </w:tcBorders>
          </w:tcPr>
          <w:p w:rsidR="00002BA6" w:rsidRPr="00D71F62" w:rsidRDefault="00002BA6" w:rsidP="001704CE">
            <w:pPr>
              <w:spacing w:before="20" w:after="20" w:line="200" w:lineRule="exact"/>
              <w:jc w:val="center"/>
              <w:rPr>
                <w:i/>
                <w:sz w:val="16"/>
                <w:szCs w:val="16"/>
                <w:vertAlign w:val="superscript"/>
              </w:rPr>
            </w:pPr>
            <w:r w:rsidRPr="00D71F62">
              <w:rPr>
                <w:i/>
                <w:sz w:val="16"/>
                <w:szCs w:val="16"/>
              </w:rPr>
              <w:t>u</w:t>
            </w:r>
            <w:r w:rsidRPr="00D71F62">
              <w:rPr>
                <w:i/>
                <w:sz w:val="16"/>
                <w:szCs w:val="16"/>
                <w:vertAlign w:val="subscript"/>
              </w:rPr>
              <w:t>gas</w:t>
            </w:r>
            <w:r w:rsidRPr="00D71F62">
              <w:rPr>
                <w:i/>
                <w:sz w:val="16"/>
                <w:szCs w:val="16"/>
                <w:vertAlign w:val="superscript"/>
              </w:rPr>
              <w:t>b</w:t>
            </w:r>
          </w:p>
        </w:tc>
        <w:tc>
          <w:tcPr>
            <w:tcW w:w="1026" w:type="dxa"/>
            <w:tcBorders>
              <w:left w:val="nil"/>
              <w:bottom w:val="single" w:sz="12" w:space="0" w:color="auto"/>
              <w:right w:val="nil"/>
            </w:tcBorders>
          </w:tcPr>
          <w:p w:rsidR="00002BA6" w:rsidRPr="00D71F62" w:rsidRDefault="00002BA6" w:rsidP="001704CE">
            <w:pPr>
              <w:spacing w:before="20" w:after="20" w:line="200" w:lineRule="exact"/>
              <w:jc w:val="center"/>
              <w:rPr>
                <w:i/>
                <w:sz w:val="16"/>
                <w:szCs w:val="16"/>
              </w:rPr>
            </w:pPr>
          </w:p>
        </w:tc>
        <w:tc>
          <w:tcPr>
            <w:tcW w:w="1054" w:type="dxa"/>
            <w:tcBorders>
              <w:left w:val="nil"/>
              <w:bottom w:val="single" w:sz="12" w:space="0" w:color="auto"/>
              <w:right w:val="nil"/>
            </w:tcBorders>
          </w:tcPr>
          <w:p w:rsidR="00002BA6" w:rsidRPr="00D71F62" w:rsidRDefault="00002BA6" w:rsidP="001704CE">
            <w:pPr>
              <w:spacing w:before="20" w:after="20" w:line="200" w:lineRule="exact"/>
              <w:jc w:val="center"/>
              <w:rPr>
                <w:i/>
                <w:sz w:val="16"/>
                <w:szCs w:val="16"/>
              </w:rPr>
            </w:pPr>
          </w:p>
        </w:tc>
        <w:tc>
          <w:tcPr>
            <w:tcW w:w="1140" w:type="dxa"/>
            <w:tcBorders>
              <w:left w:val="nil"/>
              <w:bottom w:val="single" w:sz="12" w:space="0" w:color="auto"/>
            </w:tcBorders>
          </w:tcPr>
          <w:p w:rsidR="00002BA6" w:rsidRPr="00D71F62" w:rsidRDefault="00002BA6" w:rsidP="001704CE">
            <w:pPr>
              <w:spacing w:before="20" w:after="20" w:line="200" w:lineRule="exact"/>
              <w:jc w:val="center"/>
              <w:rPr>
                <w:i/>
                <w:sz w:val="16"/>
                <w:szCs w:val="16"/>
              </w:rPr>
            </w:pPr>
          </w:p>
        </w:tc>
      </w:tr>
      <w:tr w:rsidR="00002BA6" w:rsidRPr="00B04DC3" w:rsidTr="00AF4FCB">
        <w:trPr>
          <w:trHeight w:val="227"/>
        </w:trPr>
        <w:tc>
          <w:tcPr>
            <w:tcW w:w="1139" w:type="dxa"/>
            <w:tcBorders>
              <w:top w:val="single" w:sz="12" w:space="0" w:color="auto"/>
            </w:tcBorders>
          </w:tcPr>
          <w:p w:rsidR="00002BA6" w:rsidRPr="00B04DC3" w:rsidRDefault="00002BA6" w:rsidP="001704CE">
            <w:pPr>
              <w:spacing w:beforeLines="20" w:before="48" w:afterLines="20" w:after="48"/>
              <w:rPr>
                <w:sz w:val="18"/>
                <w:szCs w:val="18"/>
              </w:rPr>
            </w:pPr>
            <w:r w:rsidRPr="00B04DC3">
              <w:rPr>
                <w:sz w:val="18"/>
                <w:szCs w:val="18"/>
              </w:rPr>
              <w:t>Diesel</w:t>
            </w:r>
          </w:p>
        </w:tc>
        <w:tc>
          <w:tcPr>
            <w:tcW w:w="847"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0.000480</w:t>
            </w:r>
          </w:p>
        </w:tc>
        <w:tc>
          <w:tcPr>
            <w:tcW w:w="1026"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tcBorders>
              <w:top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AF4FCB">
        <w:trPr>
          <w:trHeight w:val="227"/>
        </w:trPr>
        <w:tc>
          <w:tcPr>
            <w:tcW w:w="1139" w:type="dxa"/>
          </w:tcPr>
          <w:p w:rsidR="00002BA6" w:rsidRPr="00B04DC3" w:rsidRDefault="00002BA6" w:rsidP="001704CE">
            <w:pPr>
              <w:spacing w:beforeLines="20" w:before="48" w:afterLines="20" w:after="48"/>
              <w:rPr>
                <w:sz w:val="18"/>
                <w:szCs w:val="18"/>
              </w:rPr>
            </w:pPr>
            <w:r w:rsidRPr="00B04DC3">
              <w:rPr>
                <w:sz w:val="18"/>
                <w:szCs w:val="18"/>
              </w:rPr>
              <w:t>Ethanol</w:t>
            </w:r>
          </w:p>
        </w:tc>
        <w:tc>
          <w:tcPr>
            <w:tcW w:w="847" w:type="dxa"/>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0.000795</w:t>
            </w:r>
          </w:p>
        </w:tc>
        <w:tc>
          <w:tcPr>
            <w:tcW w:w="102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AF4FCB">
        <w:trPr>
          <w:trHeight w:val="227"/>
        </w:trPr>
        <w:tc>
          <w:tcPr>
            <w:tcW w:w="1139" w:type="dxa"/>
          </w:tcPr>
          <w:p w:rsidR="00002BA6" w:rsidRPr="00B04DC3" w:rsidRDefault="00002BA6" w:rsidP="001704CE">
            <w:pPr>
              <w:spacing w:beforeLines="20" w:before="48" w:afterLines="20" w:after="48"/>
              <w:rPr>
                <w:sz w:val="18"/>
                <w:szCs w:val="18"/>
                <w:vertAlign w:val="superscript"/>
              </w:rPr>
            </w:pPr>
            <w:r w:rsidRPr="00B04DC3">
              <w:rPr>
                <w:sz w:val="18"/>
                <w:szCs w:val="18"/>
              </w:rPr>
              <w:t>CNG</w:t>
            </w:r>
            <w:r w:rsidRPr="00B04DC3">
              <w:rPr>
                <w:sz w:val="18"/>
                <w:szCs w:val="18"/>
                <w:vertAlign w:val="superscript"/>
              </w:rPr>
              <w:t>c</w:t>
            </w:r>
          </w:p>
        </w:tc>
        <w:tc>
          <w:tcPr>
            <w:tcW w:w="847" w:type="dxa"/>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vAlign w:val="center"/>
          </w:tcPr>
          <w:p w:rsidR="00002BA6" w:rsidRPr="00B04DC3" w:rsidRDefault="00002BA6" w:rsidP="001704CE">
            <w:pPr>
              <w:spacing w:beforeLines="20" w:before="48" w:afterLines="20" w:after="48"/>
              <w:jc w:val="center"/>
              <w:rPr>
                <w:sz w:val="18"/>
                <w:szCs w:val="18"/>
                <w:vertAlign w:val="superscript"/>
              </w:rPr>
            </w:pPr>
            <w:r w:rsidRPr="00B04DC3">
              <w:rPr>
                <w:sz w:val="18"/>
                <w:szCs w:val="18"/>
              </w:rPr>
              <w:t>0.000517</w:t>
            </w:r>
            <w:r w:rsidRPr="00B04DC3">
              <w:rPr>
                <w:sz w:val="18"/>
                <w:szCs w:val="18"/>
                <w:vertAlign w:val="superscript"/>
              </w:rPr>
              <w:t>d</w:t>
            </w:r>
          </w:p>
        </w:tc>
        <w:tc>
          <w:tcPr>
            <w:tcW w:w="102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AF4FCB">
        <w:trPr>
          <w:trHeight w:val="227"/>
        </w:trPr>
        <w:tc>
          <w:tcPr>
            <w:tcW w:w="1139" w:type="dxa"/>
          </w:tcPr>
          <w:p w:rsidR="00002BA6" w:rsidRPr="00B04DC3" w:rsidRDefault="00002BA6" w:rsidP="001704CE">
            <w:pPr>
              <w:spacing w:beforeLines="20" w:before="48" w:afterLines="20" w:after="48"/>
              <w:rPr>
                <w:sz w:val="18"/>
                <w:szCs w:val="18"/>
              </w:rPr>
            </w:pPr>
            <w:r w:rsidRPr="00B04DC3">
              <w:rPr>
                <w:sz w:val="18"/>
                <w:szCs w:val="18"/>
              </w:rPr>
              <w:t>Propane</w:t>
            </w:r>
          </w:p>
        </w:tc>
        <w:tc>
          <w:tcPr>
            <w:tcW w:w="847" w:type="dxa"/>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0.000507</w:t>
            </w:r>
          </w:p>
        </w:tc>
        <w:tc>
          <w:tcPr>
            <w:tcW w:w="102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AF4FCB">
        <w:trPr>
          <w:trHeight w:val="227"/>
        </w:trPr>
        <w:tc>
          <w:tcPr>
            <w:tcW w:w="1139" w:type="dxa"/>
          </w:tcPr>
          <w:p w:rsidR="00002BA6" w:rsidRPr="00B04DC3" w:rsidRDefault="00002BA6" w:rsidP="001704CE">
            <w:pPr>
              <w:spacing w:beforeLines="20" w:before="48" w:afterLines="20" w:after="48"/>
              <w:rPr>
                <w:sz w:val="18"/>
                <w:szCs w:val="18"/>
              </w:rPr>
            </w:pPr>
            <w:r w:rsidRPr="00B04DC3">
              <w:rPr>
                <w:sz w:val="18"/>
                <w:szCs w:val="18"/>
              </w:rPr>
              <w:t>Butane</w:t>
            </w:r>
          </w:p>
        </w:tc>
        <w:tc>
          <w:tcPr>
            <w:tcW w:w="847" w:type="dxa"/>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0.000501</w:t>
            </w:r>
          </w:p>
        </w:tc>
        <w:tc>
          <w:tcPr>
            <w:tcW w:w="1026"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AF4FCB">
        <w:trPr>
          <w:trHeight w:val="227"/>
        </w:trPr>
        <w:tc>
          <w:tcPr>
            <w:tcW w:w="1139" w:type="dxa"/>
            <w:tcBorders>
              <w:bottom w:val="single" w:sz="12" w:space="0" w:color="auto"/>
            </w:tcBorders>
          </w:tcPr>
          <w:p w:rsidR="00002BA6" w:rsidRPr="00B04DC3" w:rsidRDefault="00002BA6" w:rsidP="001704CE">
            <w:pPr>
              <w:spacing w:beforeLines="20" w:before="48" w:afterLines="20" w:after="48"/>
              <w:rPr>
                <w:sz w:val="18"/>
                <w:szCs w:val="18"/>
                <w:vertAlign w:val="superscript"/>
              </w:rPr>
            </w:pPr>
            <w:r w:rsidRPr="00B04DC3">
              <w:rPr>
                <w:sz w:val="18"/>
                <w:szCs w:val="18"/>
              </w:rPr>
              <w:t>LPG</w:t>
            </w:r>
            <w:r w:rsidRPr="00B04DC3">
              <w:rPr>
                <w:sz w:val="18"/>
                <w:szCs w:val="18"/>
                <w:vertAlign w:val="superscript"/>
              </w:rPr>
              <w:t>e</w:t>
            </w:r>
          </w:p>
        </w:tc>
        <w:tc>
          <w:tcPr>
            <w:tcW w:w="847"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1.293</w:t>
            </w:r>
          </w:p>
        </w:tc>
        <w:tc>
          <w:tcPr>
            <w:tcW w:w="975"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0.001588</w:t>
            </w:r>
          </w:p>
        </w:tc>
        <w:tc>
          <w:tcPr>
            <w:tcW w:w="976"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0.000967</w:t>
            </w:r>
          </w:p>
        </w:tc>
        <w:tc>
          <w:tcPr>
            <w:tcW w:w="1096" w:type="dxa"/>
            <w:tcBorders>
              <w:bottom w:val="single" w:sz="12" w:space="0" w:color="auto"/>
            </w:tcBorders>
          </w:tcPr>
          <w:p w:rsidR="00002BA6" w:rsidRPr="00B04DC3" w:rsidRDefault="00002BA6" w:rsidP="001704CE">
            <w:pPr>
              <w:spacing w:beforeLines="20" w:before="48" w:afterLines="20" w:after="48"/>
              <w:jc w:val="center"/>
              <w:rPr>
                <w:sz w:val="18"/>
                <w:szCs w:val="18"/>
              </w:rPr>
            </w:pPr>
            <w:r w:rsidRPr="00B04DC3">
              <w:rPr>
                <w:sz w:val="18"/>
                <w:szCs w:val="18"/>
              </w:rPr>
              <w:t>0.000505</w:t>
            </w:r>
          </w:p>
        </w:tc>
        <w:tc>
          <w:tcPr>
            <w:tcW w:w="1026"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0.001519</w:t>
            </w:r>
          </w:p>
        </w:tc>
        <w:tc>
          <w:tcPr>
            <w:tcW w:w="1054"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0.001104</w:t>
            </w:r>
          </w:p>
        </w:tc>
        <w:tc>
          <w:tcPr>
            <w:tcW w:w="1140" w:type="dxa"/>
            <w:tcBorders>
              <w:bottom w:val="single" w:sz="12" w:space="0" w:color="auto"/>
            </w:tcBorders>
            <w:vAlign w:val="center"/>
          </w:tcPr>
          <w:p w:rsidR="00002BA6" w:rsidRPr="00B04DC3" w:rsidRDefault="00002BA6" w:rsidP="001704CE">
            <w:pPr>
              <w:spacing w:beforeLines="20" w:before="48" w:afterLines="20" w:after="48"/>
              <w:jc w:val="center"/>
              <w:rPr>
                <w:sz w:val="18"/>
                <w:szCs w:val="18"/>
              </w:rPr>
            </w:pPr>
            <w:r w:rsidRPr="00B04DC3">
              <w:rPr>
                <w:sz w:val="18"/>
                <w:szCs w:val="18"/>
              </w:rPr>
              <w:t>0.000553</w:t>
            </w:r>
          </w:p>
        </w:tc>
      </w:tr>
      <w:tr w:rsidR="00002BA6" w:rsidRPr="00B04DC3" w:rsidTr="00D71F62">
        <w:tc>
          <w:tcPr>
            <w:tcW w:w="8253" w:type="dxa"/>
            <w:gridSpan w:val="8"/>
            <w:tcBorders>
              <w:top w:val="single" w:sz="12" w:space="0" w:color="auto"/>
              <w:left w:val="nil"/>
              <w:bottom w:val="nil"/>
              <w:right w:val="nil"/>
            </w:tcBorders>
          </w:tcPr>
          <w:p w:rsidR="00002BA6" w:rsidRPr="00B04DC3" w:rsidRDefault="00002BA6" w:rsidP="001704CE">
            <w:pPr>
              <w:tabs>
                <w:tab w:val="left" w:pos="228"/>
              </w:tabs>
              <w:rPr>
                <w:sz w:val="18"/>
                <w:szCs w:val="18"/>
              </w:rPr>
            </w:pPr>
            <w:r w:rsidRPr="00B04DC3">
              <w:rPr>
                <w:sz w:val="18"/>
                <w:szCs w:val="18"/>
                <w:vertAlign w:val="superscript"/>
              </w:rPr>
              <w:t>a</w:t>
            </w:r>
            <w:r w:rsidRPr="00B04DC3">
              <w:rPr>
                <w:sz w:val="18"/>
                <w:szCs w:val="18"/>
              </w:rPr>
              <w:tab/>
              <w:t>depending on fuel</w:t>
            </w:r>
          </w:p>
          <w:p w:rsidR="00002BA6" w:rsidRPr="00B04DC3" w:rsidRDefault="00002BA6" w:rsidP="001704CE">
            <w:pPr>
              <w:tabs>
                <w:tab w:val="left" w:pos="228"/>
              </w:tabs>
              <w:rPr>
                <w:sz w:val="18"/>
                <w:szCs w:val="18"/>
              </w:rPr>
            </w:pPr>
            <w:r w:rsidRPr="00B04DC3">
              <w:rPr>
                <w:sz w:val="18"/>
                <w:szCs w:val="18"/>
                <w:vertAlign w:val="superscript"/>
              </w:rPr>
              <w:t>b</w:t>
            </w:r>
            <w:r w:rsidRPr="00B04DC3">
              <w:rPr>
                <w:sz w:val="18"/>
                <w:szCs w:val="18"/>
              </w:rPr>
              <w:tab/>
              <w:t xml:space="preserve">at </w:t>
            </w:r>
            <w:r w:rsidRPr="00B04DC3">
              <w:rPr>
                <w:sz w:val="18"/>
                <w:szCs w:val="18"/>
              </w:rPr>
              <w:sym w:font="Symbol" w:char="F06C"/>
            </w:r>
            <w:r w:rsidRPr="00B04DC3">
              <w:rPr>
                <w:sz w:val="18"/>
                <w:szCs w:val="18"/>
              </w:rPr>
              <w:t xml:space="preserve"> = 2, dry air, 273 K, 101.3 kPa</w:t>
            </w:r>
          </w:p>
          <w:p w:rsidR="00002BA6" w:rsidRPr="00B04DC3" w:rsidRDefault="00002BA6" w:rsidP="001704CE">
            <w:pPr>
              <w:tabs>
                <w:tab w:val="left" w:pos="228"/>
              </w:tabs>
              <w:rPr>
                <w:sz w:val="18"/>
                <w:szCs w:val="18"/>
              </w:rPr>
            </w:pPr>
            <w:r w:rsidRPr="00B04DC3">
              <w:rPr>
                <w:sz w:val="18"/>
                <w:szCs w:val="18"/>
                <w:vertAlign w:val="superscript"/>
              </w:rPr>
              <w:t>c</w:t>
            </w:r>
            <w:r w:rsidRPr="00B04DC3">
              <w:rPr>
                <w:sz w:val="18"/>
                <w:szCs w:val="18"/>
              </w:rPr>
              <w:tab/>
              <w:t xml:space="preserve">u accurate within 0.2 % for mass composition of: C = 66 - 76 %; H = 22 - 25 %; N = 0 - 12 % </w:t>
            </w:r>
          </w:p>
          <w:p w:rsidR="00002BA6" w:rsidRPr="00B04DC3" w:rsidRDefault="00002BA6" w:rsidP="001704CE">
            <w:pPr>
              <w:tabs>
                <w:tab w:val="left" w:pos="228"/>
              </w:tabs>
              <w:rPr>
                <w:sz w:val="18"/>
                <w:szCs w:val="18"/>
              </w:rPr>
            </w:pPr>
            <w:r w:rsidRPr="00B04DC3">
              <w:rPr>
                <w:sz w:val="18"/>
                <w:szCs w:val="18"/>
                <w:vertAlign w:val="superscript"/>
              </w:rPr>
              <w:t>d</w:t>
            </w:r>
            <w:r w:rsidRPr="00B04DC3">
              <w:rPr>
                <w:sz w:val="18"/>
                <w:szCs w:val="18"/>
              </w:rPr>
              <w:tab/>
              <w:t>NMHC on the basis of CH</w:t>
            </w:r>
            <w:r w:rsidRPr="00B04DC3">
              <w:rPr>
                <w:sz w:val="18"/>
                <w:szCs w:val="18"/>
                <w:vertAlign w:val="subscript"/>
              </w:rPr>
              <w:t>2.93</w:t>
            </w:r>
            <w:r w:rsidRPr="00B04DC3">
              <w:rPr>
                <w:sz w:val="18"/>
                <w:szCs w:val="18"/>
              </w:rPr>
              <w:t xml:space="preserve"> (for total HC the u</w:t>
            </w:r>
            <w:r w:rsidRPr="00B04DC3">
              <w:rPr>
                <w:sz w:val="18"/>
                <w:szCs w:val="18"/>
                <w:vertAlign w:val="subscript"/>
              </w:rPr>
              <w:t>gas</w:t>
            </w:r>
            <w:r w:rsidRPr="00B04DC3">
              <w:rPr>
                <w:sz w:val="18"/>
                <w:szCs w:val="18"/>
              </w:rPr>
              <w:t xml:space="preserve"> coefficient of CH</w:t>
            </w:r>
            <w:r w:rsidRPr="00B04DC3">
              <w:rPr>
                <w:sz w:val="18"/>
                <w:szCs w:val="18"/>
                <w:vertAlign w:val="subscript"/>
              </w:rPr>
              <w:t>4</w:t>
            </w:r>
            <w:r w:rsidRPr="00B04DC3">
              <w:rPr>
                <w:sz w:val="18"/>
                <w:szCs w:val="18"/>
              </w:rPr>
              <w:t xml:space="preserve"> shall be used)</w:t>
            </w:r>
          </w:p>
          <w:p w:rsidR="00002BA6" w:rsidRPr="00B04DC3" w:rsidRDefault="00002BA6" w:rsidP="001704CE">
            <w:pPr>
              <w:tabs>
                <w:tab w:val="left" w:pos="228"/>
              </w:tabs>
            </w:pPr>
            <w:r w:rsidRPr="00B04DC3">
              <w:rPr>
                <w:sz w:val="18"/>
                <w:szCs w:val="18"/>
                <w:vertAlign w:val="superscript"/>
              </w:rPr>
              <w:t>e</w:t>
            </w:r>
            <w:r w:rsidRPr="00B04DC3">
              <w:rPr>
                <w:sz w:val="18"/>
                <w:szCs w:val="18"/>
              </w:rPr>
              <w:tab/>
              <w:t>u accurate within 0.2 % for mass composition of: C3 = 70 - 90 %; C4 = 10 - 30 %</w:t>
            </w:r>
          </w:p>
        </w:tc>
      </w:tr>
    </w:tbl>
    <w:p w:rsidR="001704CE" w:rsidRDefault="00002BA6" w:rsidP="00D012DF">
      <w:pPr>
        <w:pStyle w:val="para"/>
        <w:keepNext/>
        <w:keepLines/>
        <w:tabs>
          <w:tab w:val="right" w:pos="8505"/>
        </w:tabs>
        <w:spacing w:before="240" w:after="60"/>
        <w:rPr>
          <w:lang w:val="en-GB"/>
        </w:rPr>
      </w:pPr>
      <w:r w:rsidRPr="00B04DC3">
        <w:rPr>
          <w:lang w:val="en-GB"/>
        </w:rPr>
        <w:tab/>
        <w:t>Alternatively, the u values may be calculated using the exact calculation method generally described in paragraph 8.4.2.4.</w:t>
      </w:r>
      <w:r w:rsidR="006D17BC" w:rsidRPr="006D17BC">
        <w:rPr>
          <w:lang w:val="en-GB"/>
        </w:rPr>
        <w:t xml:space="preserve"> </w:t>
      </w:r>
      <w:r w:rsidR="006D17BC">
        <w:rPr>
          <w:lang w:val="en-GB"/>
        </w:rPr>
        <w:t>of this annex</w:t>
      </w:r>
      <w:r w:rsidRPr="00B04DC3">
        <w:rPr>
          <w:lang w:val="en-GB"/>
        </w:rPr>
        <w:t>, as follows:</w:t>
      </w:r>
    </w:p>
    <w:p w:rsidR="00002BA6" w:rsidRPr="001704CE" w:rsidRDefault="00002BA6" w:rsidP="001704CE">
      <w:pPr>
        <w:pStyle w:val="para"/>
        <w:keepNext/>
        <w:keepLines/>
        <w:tabs>
          <w:tab w:val="right" w:pos="8505"/>
        </w:tabs>
        <w:spacing w:before="240"/>
        <w:rPr>
          <w:position w:val="60"/>
          <w:lang w:val="en-GB"/>
        </w:rPr>
      </w:pPr>
      <w:r w:rsidRPr="00B04DC3">
        <w:rPr>
          <w:lang w:val="en-GB"/>
        </w:rPr>
        <w:tab/>
      </w:r>
      <w:r w:rsidR="00A905B7">
        <w:rPr>
          <w:b/>
          <w:lang w:val="en-GB"/>
        </w:rPr>
      </w:r>
      <w:r w:rsidR="00A905B7">
        <w:rPr>
          <w:b/>
          <w:lang w:val="en-GB"/>
        </w:rPr>
        <w:pict>
          <v:group id="_x0000_s4670" editas="canvas" style="width:135.25pt;height:42.4pt;mso-position-horizontal-relative:char;mso-position-vertical-relative:line" coordsize="2705,848">
            <o:lock v:ext="edit" aspectratio="t"/>
            <v:shape id="_x0000_s4671" type="#_x0000_t75" style="position:absolute;width:2705;height:848" o:preferrelative="f">
              <v:fill o:detectmouseclick="t"/>
              <v:path o:extrusionok="t" o:connecttype="none"/>
              <o:lock v:ext="edit" text="t"/>
            </v:shape>
            <v:line id="_x0000_s4672" style="position:absolute" from="1301,575" to="1478,575" strokeweight=".2pt"/>
            <v:line id="_x0000_s4673" style="position:absolute" from="2286,575" to="2464,575" strokeweight=".2pt"/>
            <v:line id="_x0000_s4674" style="position:absolute" from="514,301" to="2574,301" strokeweight=".4pt"/>
            <v:rect id="_x0000_s4675" style="position:absolute;left:2489;top:441;width:77;height:245;mso-wrap-style:none" filled="f" stroked="f">
              <v:textbox style="mso-fit-shape-to-text:t" inset="0,0,0,0">
                <w:txbxContent>
                  <w:p w:rsidR="00A905B7" w:rsidRDefault="00A905B7">
                    <w:r>
                      <w:rPr>
                        <w:rFonts w:ascii="Symbol" w:hAnsi="Symbol" w:cs="Symbol"/>
                        <w:color w:val="000000"/>
                      </w:rPr>
                      <w:t></w:t>
                    </w:r>
                  </w:p>
                </w:txbxContent>
              </v:textbox>
            </v:rect>
            <v:rect id="_x0000_s4676" style="position:absolute;left:2489;top:603;width:77;height:245;mso-wrap-style:none" filled="f" stroked="f">
              <v:textbox style="mso-fit-shape-to-text:t" inset="0,0,0,0">
                <w:txbxContent>
                  <w:p w:rsidR="00A905B7" w:rsidRDefault="00A905B7">
                    <w:r>
                      <w:rPr>
                        <w:rFonts w:ascii="Symbol" w:hAnsi="Symbol" w:cs="Symbol"/>
                        <w:color w:val="000000"/>
                      </w:rPr>
                      <w:t></w:t>
                    </w:r>
                  </w:p>
                </w:txbxContent>
              </v:textbox>
            </v:rect>
            <v:rect id="_x0000_s4677" style="position:absolute;left:2489;top:312;width:77;height:245;mso-wrap-style:none" filled="f" stroked="f">
              <v:textbox style="mso-fit-shape-to-text:t" inset="0,0,0,0">
                <w:txbxContent>
                  <w:p w:rsidR="00A905B7" w:rsidRDefault="00A905B7">
                    <w:r>
                      <w:rPr>
                        <w:rFonts w:ascii="Symbol" w:hAnsi="Symbol" w:cs="Symbol"/>
                        <w:color w:val="000000"/>
                      </w:rPr>
                      <w:t></w:t>
                    </w:r>
                  </w:p>
                </w:txbxContent>
              </v:textbox>
            </v:rect>
            <v:rect id="_x0000_s4678" style="position:absolute;left:2183;top:441;width:77;height:245;mso-wrap-style:none" filled="f" stroked="f">
              <v:textbox style="mso-fit-shape-to-text:t" inset="0,0,0,0">
                <w:txbxContent>
                  <w:p w:rsidR="00A905B7" w:rsidRDefault="00A905B7">
                    <w:r>
                      <w:rPr>
                        <w:rFonts w:ascii="Symbol" w:hAnsi="Symbol" w:cs="Symbol"/>
                        <w:color w:val="000000"/>
                      </w:rPr>
                      <w:t></w:t>
                    </w:r>
                  </w:p>
                </w:txbxContent>
              </v:textbox>
            </v:rect>
            <v:rect id="_x0000_s4679" style="position:absolute;left:2183;top:603;width:77;height:245;mso-wrap-style:none" filled="f" stroked="f">
              <v:textbox style="mso-fit-shape-to-text:t" inset="0,0,0,0">
                <w:txbxContent>
                  <w:p w:rsidR="00A905B7" w:rsidRDefault="00A905B7">
                    <w:r>
                      <w:rPr>
                        <w:rFonts w:ascii="Symbol" w:hAnsi="Symbol" w:cs="Symbol"/>
                        <w:color w:val="000000"/>
                      </w:rPr>
                      <w:t></w:t>
                    </w:r>
                  </w:p>
                </w:txbxContent>
              </v:textbox>
            </v:rect>
            <v:rect id="_x0000_s4680" style="position:absolute;left:2183;top:312;width:77;height:245;mso-wrap-style:none" filled="f" stroked="f">
              <v:textbox style="mso-fit-shape-to-text:t" inset="0,0,0,0">
                <w:txbxContent>
                  <w:p w:rsidR="00A905B7" w:rsidRDefault="00A905B7">
                    <w:r>
                      <w:rPr>
                        <w:rFonts w:ascii="Symbol" w:hAnsi="Symbol" w:cs="Symbol"/>
                        <w:color w:val="000000"/>
                      </w:rPr>
                      <w:t></w:t>
                    </w:r>
                  </w:p>
                </w:txbxContent>
              </v:textbox>
            </v:rect>
            <v:rect id="_x0000_s4681" style="position:absolute;left:2052;top:423;width:110;height:245;mso-wrap-style:none" filled="f" stroked="f">
              <v:textbox style="mso-fit-shape-to-text:t" inset="0,0,0,0">
                <w:txbxContent>
                  <w:p w:rsidR="00A905B7" w:rsidRDefault="00A905B7">
                    <w:r>
                      <w:rPr>
                        <w:rFonts w:ascii="Symbol" w:hAnsi="Symbol" w:cs="Symbol"/>
                        <w:color w:val="000000"/>
                      </w:rPr>
                      <w:t></w:t>
                    </w:r>
                  </w:p>
                </w:txbxContent>
              </v:textbox>
            </v:rect>
            <v:rect id="_x0000_s4682" style="position:absolute;left:1612;top:423;width:110;height:245;mso-wrap-style:none" filled="f" stroked="f">
              <v:textbox style="mso-fit-shape-to-text:t" inset="0,0,0,0">
                <w:txbxContent>
                  <w:p w:rsidR="00A905B7" w:rsidRDefault="00A905B7">
                    <w:r>
                      <w:rPr>
                        <w:rFonts w:ascii="Symbol" w:hAnsi="Symbol" w:cs="Symbol"/>
                        <w:color w:val="000000"/>
                      </w:rPr>
                      <w:t></w:t>
                    </w:r>
                  </w:p>
                </w:txbxContent>
              </v:textbox>
            </v:rect>
            <v:rect id="_x0000_s4683" style="position:absolute;left:1503;top:441;width:77;height:245;mso-wrap-style:none" filled="f" stroked="f">
              <v:textbox style="mso-fit-shape-to-text:t" inset="0,0,0,0">
                <w:txbxContent>
                  <w:p w:rsidR="00A905B7" w:rsidRDefault="00A905B7">
                    <w:r>
                      <w:rPr>
                        <w:rFonts w:ascii="Symbol" w:hAnsi="Symbol" w:cs="Symbol"/>
                        <w:color w:val="000000"/>
                      </w:rPr>
                      <w:t></w:t>
                    </w:r>
                  </w:p>
                </w:txbxContent>
              </v:textbox>
            </v:rect>
            <v:rect id="_x0000_s4684" style="position:absolute;left:1503;top:603;width:77;height:245;mso-wrap-style:none" filled="f" stroked="f">
              <v:textbox style="mso-fit-shape-to-text:t" inset="0,0,0,0">
                <w:txbxContent>
                  <w:p w:rsidR="00A905B7" w:rsidRDefault="00A905B7">
                    <w:r>
                      <w:rPr>
                        <w:rFonts w:ascii="Symbol" w:hAnsi="Symbol" w:cs="Symbol"/>
                        <w:color w:val="000000"/>
                      </w:rPr>
                      <w:t></w:t>
                    </w:r>
                  </w:p>
                </w:txbxContent>
              </v:textbox>
            </v:rect>
            <v:rect id="_x0000_s4685" style="position:absolute;left:1503;top:312;width:77;height:245;mso-wrap-style:none" filled="f" stroked="f">
              <v:textbox style="mso-fit-shape-to-text:t" inset="0,0,0,0">
                <w:txbxContent>
                  <w:p w:rsidR="00A905B7" w:rsidRDefault="00A905B7">
                    <w:r>
                      <w:rPr>
                        <w:rFonts w:ascii="Symbol" w:hAnsi="Symbol" w:cs="Symbol"/>
                        <w:color w:val="000000"/>
                      </w:rPr>
                      <w:t></w:t>
                    </w:r>
                  </w:p>
                </w:txbxContent>
              </v:textbox>
            </v:rect>
            <v:rect id="_x0000_s4686" style="position:absolute;left:960;top:441;width:77;height:245;mso-wrap-style:none" filled="f" stroked="f">
              <v:textbox style="mso-fit-shape-to-text:t" inset="0,0,0,0">
                <w:txbxContent>
                  <w:p w:rsidR="00A905B7" w:rsidRDefault="00A905B7">
                    <w:r>
                      <w:rPr>
                        <w:rFonts w:ascii="Symbol" w:hAnsi="Symbol" w:cs="Symbol"/>
                        <w:color w:val="000000"/>
                      </w:rPr>
                      <w:t></w:t>
                    </w:r>
                  </w:p>
                </w:txbxContent>
              </v:textbox>
            </v:rect>
            <v:rect id="_x0000_s4687" style="position:absolute;left:960;top:603;width:77;height:245;mso-wrap-style:none" filled="f" stroked="f">
              <v:textbox style="mso-fit-shape-to-text:t" inset="0,0,0,0">
                <w:txbxContent>
                  <w:p w:rsidR="00A905B7" w:rsidRDefault="00A905B7">
                    <w:r>
                      <w:rPr>
                        <w:rFonts w:ascii="Symbol" w:hAnsi="Symbol" w:cs="Symbol"/>
                        <w:color w:val="000000"/>
                      </w:rPr>
                      <w:t></w:t>
                    </w:r>
                  </w:p>
                </w:txbxContent>
              </v:textbox>
            </v:rect>
            <v:rect id="_x0000_s4688" style="position:absolute;left:960;top:312;width:77;height:245;mso-wrap-style:none" filled="f" stroked="f">
              <v:textbox style="mso-fit-shape-to-text:t" inset="0,0,0,0">
                <w:txbxContent>
                  <w:p w:rsidR="00A905B7" w:rsidRDefault="00A905B7">
                    <w:r>
                      <w:rPr>
                        <w:rFonts w:ascii="Symbol" w:hAnsi="Symbol" w:cs="Symbol"/>
                        <w:color w:val="000000"/>
                      </w:rPr>
                      <w:t></w:t>
                    </w:r>
                  </w:p>
                </w:txbxContent>
              </v:textbox>
            </v:rect>
            <v:rect id="_x0000_s4689" style="position:absolute;left:1154;top:423;width:110;height:245;mso-wrap-style:none" filled="f" stroked="f">
              <v:textbox style="mso-fit-shape-to-text:t" inset="0,0,0,0">
                <w:txbxContent>
                  <w:p w:rsidR="00A905B7" w:rsidRDefault="00A905B7">
                    <w:r>
                      <w:rPr>
                        <w:rFonts w:ascii="Symbol" w:hAnsi="Symbol" w:cs="Symbol"/>
                        <w:color w:val="000000"/>
                      </w:rPr>
                      <w:t></w:t>
                    </w:r>
                  </w:p>
                </w:txbxContent>
              </v:textbox>
            </v:rect>
            <v:rect id="_x0000_s4690" style="position:absolute;left:829;top:423;width:110;height:245;mso-wrap-style:none" filled="f" stroked="f">
              <v:textbox style="mso-fit-shape-to-text:t" inset="0,0,0,0">
                <w:txbxContent>
                  <w:p w:rsidR="00A905B7" w:rsidRDefault="00A905B7">
                    <w:r>
                      <w:rPr>
                        <w:rFonts w:ascii="Symbol" w:hAnsi="Symbol" w:cs="Symbol"/>
                        <w:color w:val="000000"/>
                      </w:rPr>
                      <w:t></w:t>
                    </w:r>
                  </w:p>
                </w:txbxContent>
              </v:textbox>
            </v:rect>
            <v:rect id="_x0000_s4691" style="position:absolute;left:356;top:149;width:110;height:245;mso-wrap-style:none" filled="f" stroked="f">
              <v:textbox style="mso-fit-shape-to-text:t" inset="0,0,0,0">
                <w:txbxContent>
                  <w:p w:rsidR="00A905B7" w:rsidRDefault="00A905B7">
                    <w:r>
                      <w:rPr>
                        <w:rFonts w:ascii="Symbol" w:hAnsi="Symbol" w:cs="Symbol"/>
                        <w:color w:val="000000"/>
                      </w:rPr>
                      <w:t></w:t>
                    </w:r>
                  </w:p>
                </w:txbxContent>
              </v:textbox>
            </v:rect>
            <v:rect id="_x0000_s4692" style="position:absolute;left:2306;top:602;width:145;height:240;mso-wrap-style:none" filled="f" stroked="f">
              <v:textbox style="mso-fit-shape-to-text:t" inset="0,0,0,0">
                <w:txbxContent>
                  <w:p w:rsidR="00A905B7" w:rsidRPr="006C4D9A" w:rsidRDefault="00A905B7">
                    <w:r w:rsidRPr="006C4D9A">
                      <w:rPr>
                        <w:iCs/>
                        <w:color w:val="000000"/>
                      </w:rPr>
                      <w:t>D</w:t>
                    </w:r>
                  </w:p>
                </w:txbxContent>
              </v:textbox>
            </v:rect>
            <v:rect id="_x0000_s4693" style="position:absolute;left:1763;top:446;width:178;height:240;mso-wrap-style:none" filled="f" stroked="f">
              <v:textbox style="mso-fit-shape-to-text:t" inset="0,0,0,0">
                <w:txbxContent>
                  <w:p w:rsidR="00A905B7" w:rsidRPr="006C4D9A" w:rsidRDefault="00A905B7">
                    <w:r w:rsidRPr="006C4D9A">
                      <w:rPr>
                        <w:iCs/>
                        <w:color w:val="000000"/>
                      </w:rPr>
                      <w:t>M</w:t>
                    </w:r>
                  </w:p>
                </w:txbxContent>
              </v:textbox>
            </v:rect>
            <v:rect id="_x0000_s4694" style="position:absolute;left:1320;top:602;width:145;height:240;mso-wrap-style:none" filled="f" stroked="f">
              <v:textbox style="mso-fit-shape-to-text:t" inset="0,0,0,0">
                <w:txbxContent>
                  <w:p w:rsidR="00A905B7" w:rsidRPr="006C4D9A" w:rsidRDefault="00A905B7">
                    <w:r w:rsidRPr="006C4D9A">
                      <w:rPr>
                        <w:iCs/>
                        <w:color w:val="000000"/>
                      </w:rPr>
                      <w:t>D</w:t>
                    </w:r>
                  </w:p>
                </w:txbxContent>
              </v:textbox>
            </v:rect>
            <v:rect id="_x0000_s4695" style="position:absolute;left:530;top:446;width:178;height:240;mso-wrap-style:none" filled="f" stroked="f">
              <v:textbox style="mso-fit-shape-to-text:t" inset="0,0,0,0">
                <w:txbxContent>
                  <w:p w:rsidR="00A905B7" w:rsidRPr="006C4D9A" w:rsidRDefault="00A905B7">
                    <w:r w:rsidRPr="006C4D9A">
                      <w:rPr>
                        <w:iCs/>
                        <w:color w:val="000000"/>
                      </w:rPr>
                      <w:t>M</w:t>
                    </w:r>
                  </w:p>
                </w:txbxContent>
              </v:textbox>
            </v:rect>
            <v:rect id="_x0000_s4696" style="position:absolute;left:1361;top:19;width:178;height:240;mso-wrap-style:none" filled="f" stroked="f">
              <v:textbox style="mso-fit-shape-to-text:t" inset="0,0,0,0">
                <w:txbxContent>
                  <w:p w:rsidR="00A905B7" w:rsidRPr="006C4D9A" w:rsidRDefault="00A905B7">
                    <w:r w:rsidRPr="006C4D9A">
                      <w:rPr>
                        <w:iCs/>
                        <w:color w:val="000000"/>
                      </w:rPr>
                      <w:t>M</w:t>
                    </w:r>
                  </w:p>
                </w:txbxContent>
              </v:textbox>
            </v:rect>
            <v:rect id="_x0000_s4697" style="position:absolute;left:24;top:172;width:101;height:240;mso-wrap-style:none" filled="f" stroked="f">
              <v:textbox style="mso-fit-shape-to-text:t" inset="0,0,0,0">
                <w:txbxContent>
                  <w:p w:rsidR="00A905B7" w:rsidRPr="006C4D9A" w:rsidRDefault="00A905B7">
                    <w:r w:rsidRPr="006C4D9A">
                      <w:rPr>
                        <w:iCs/>
                        <w:color w:val="000000"/>
                      </w:rPr>
                      <w:t>u</w:t>
                    </w:r>
                  </w:p>
                </w:txbxContent>
              </v:textbox>
            </v:rect>
            <v:rect id="_x0000_s4698" style="position:absolute;left:2325;top:320;width:101;height:240;mso-wrap-style:none" filled="f" stroked="f">
              <v:textbox style="mso-fit-shape-to-text:t" inset="0,0,0,0">
                <w:txbxContent>
                  <w:p w:rsidR="00A905B7" w:rsidRDefault="00A905B7">
                    <w:r>
                      <w:rPr>
                        <w:color w:val="000000"/>
                      </w:rPr>
                      <w:t>1</w:t>
                    </w:r>
                  </w:p>
                </w:txbxContent>
              </v:textbox>
            </v:rect>
            <v:rect id="_x0000_s4699" style="position:absolute;left:1339;top:320;width:101;height:240;mso-wrap-style:none" filled="f" stroked="f">
              <v:textbox style="mso-fit-shape-to-text:t" inset="0,0,0,0">
                <w:txbxContent>
                  <w:p w:rsidR="00A905B7" w:rsidRPr="006C4D9A" w:rsidRDefault="00A905B7">
                    <w:r w:rsidRPr="006C4D9A">
                      <w:rPr>
                        <w:color w:val="000000"/>
                      </w:rPr>
                      <w:t>1</w:t>
                    </w:r>
                  </w:p>
                </w:txbxContent>
              </v:textbox>
            </v:rect>
            <v:rect id="_x0000_s4700" style="position:absolute;left:1038;top:446;width:101;height:240;mso-wrap-style:none" filled="f" stroked="f">
              <v:textbox style="mso-fit-shape-to-text:t" inset="0,0,0,0">
                <w:txbxContent>
                  <w:p w:rsidR="00A905B7" w:rsidRDefault="00A905B7">
                    <w:r>
                      <w:rPr>
                        <w:color w:val="000000"/>
                      </w:rPr>
                      <w:t>1</w:t>
                    </w:r>
                  </w:p>
                </w:txbxContent>
              </v:textbox>
            </v:rect>
            <v:rect id="_x0000_s4701" style="position:absolute;left:1955;top:570;width:54;height:240;mso-wrap-style:none" filled="f" stroked="f">
              <v:textbox style="mso-fit-shape-to-text:t" inset="0,0,0,0">
                <w:txbxContent>
                  <w:p w:rsidR="00A905B7" w:rsidRDefault="00A905B7">
                    <w:r>
                      <w:rPr>
                        <w:color w:val="000000"/>
                        <w:sz w:val="12"/>
                        <w:szCs w:val="12"/>
                      </w:rPr>
                      <w:t>e</w:t>
                    </w:r>
                  </w:p>
                </w:txbxContent>
              </v:textbox>
            </v:rect>
            <v:rect id="_x0000_s4702" style="position:absolute;left:722;top:570;width:61;height:240;mso-wrap-style:none" filled="f" stroked="f">
              <v:textbox style="mso-fit-shape-to-text:t" inset="0,0,0,0">
                <w:txbxContent>
                  <w:p w:rsidR="00A905B7" w:rsidRDefault="00A905B7">
                    <w:r>
                      <w:rPr>
                        <w:color w:val="000000"/>
                        <w:sz w:val="12"/>
                        <w:szCs w:val="12"/>
                      </w:rPr>
                      <w:t>d</w:t>
                    </w:r>
                  </w:p>
                </w:txbxContent>
              </v:textbox>
            </v:rect>
            <v:rect id="_x0000_s4703" style="position:absolute;left:1553;top:53;width:160;height:240;mso-wrap-style:none" filled="f" stroked="f">
              <v:textbox style="mso-fit-shape-to-text:t" inset="0,0,0,0">
                <w:txbxContent>
                  <w:p w:rsidR="00A905B7" w:rsidRDefault="00A905B7">
                    <w:r>
                      <w:rPr>
                        <w:color w:val="000000"/>
                        <w:sz w:val="12"/>
                        <w:szCs w:val="12"/>
                      </w:rPr>
                      <w:t>gas</w:t>
                    </w:r>
                  </w:p>
                </w:txbxContent>
              </v:textbox>
            </v:rect>
            <v:rect id="_x0000_s4704" style="position:absolute;left:131;top:297;width:160;height:240;mso-wrap-style:none" filled="f" stroked="f">
              <v:textbox style="mso-fit-shape-to-text:t" inset="0,0,0,0">
                <w:txbxContent>
                  <w:p w:rsidR="00A905B7" w:rsidRDefault="00A905B7">
                    <w:r>
                      <w:rPr>
                        <w:color w:val="000000"/>
                        <w:sz w:val="12"/>
                        <w:szCs w:val="12"/>
                      </w:rPr>
                      <w:t>gas</w:t>
                    </w:r>
                  </w:p>
                </w:txbxContent>
              </v:textbox>
            </v:rect>
            <w10:wrap type="none"/>
            <w10:anchorlock/>
          </v:group>
        </w:pict>
      </w:r>
      <w:r w:rsidRPr="001704CE">
        <w:rPr>
          <w:b/>
          <w:position w:val="60"/>
          <w:lang w:val="en-GB"/>
        </w:rPr>
        <w:tab/>
      </w:r>
      <w:r w:rsidRPr="001704CE">
        <w:rPr>
          <w:position w:val="60"/>
          <w:lang w:val="en-GB"/>
        </w:rPr>
        <w:t>(57)</w:t>
      </w:r>
    </w:p>
    <w:p w:rsidR="00002BA6" w:rsidRPr="00B04DC3" w:rsidRDefault="00002BA6" w:rsidP="00002BA6">
      <w:pPr>
        <w:pStyle w:val="para"/>
        <w:spacing w:after="80"/>
        <w:rPr>
          <w:lang w:val="en-GB"/>
        </w:rPr>
      </w:pPr>
      <w:r w:rsidRPr="00B04DC3">
        <w:rPr>
          <w:b/>
          <w:lang w:val="en-GB"/>
        </w:rPr>
        <w:tab/>
      </w:r>
      <w:r w:rsidR="00D71F62" w:rsidRPr="00B04DC3">
        <w:rPr>
          <w:lang w:val="en-GB"/>
        </w:rPr>
        <w:t>Where</w:t>
      </w:r>
      <w:r w:rsidRPr="00B04DC3">
        <w:rPr>
          <w:lang w:val="en-GB"/>
        </w:rPr>
        <w:t>:</w:t>
      </w:r>
    </w:p>
    <w:p w:rsidR="00002BA6" w:rsidRPr="00B04DC3" w:rsidRDefault="00002BA6" w:rsidP="00002BA6">
      <w:pPr>
        <w:pStyle w:val="para"/>
        <w:spacing w:after="80"/>
        <w:ind w:left="2841" w:hanging="573"/>
        <w:rPr>
          <w:lang w:val="en-GB"/>
        </w:rPr>
      </w:pPr>
      <w:r w:rsidRPr="00B04DC3">
        <w:rPr>
          <w:lang w:val="en-GB"/>
        </w:rPr>
        <w:t>M</w:t>
      </w:r>
      <w:r w:rsidRPr="00B04DC3">
        <w:rPr>
          <w:vertAlign w:val="subscript"/>
          <w:lang w:val="en-GB"/>
        </w:rPr>
        <w:t>gas</w:t>
      </w:r>
      <w:r w:rsidRPr="00B04DC3">
        <w:rPr>
          <w:lang w:val="en-GB"/>
        </w:rPr>
        <w:tab/>
        <w:t>is the molar mass of the gas component, g/mol (cf. Appendix 6</w:t>
      </w:r>
      <w:r w:rsidR="006D17BC">
        <w:rPr>
          <w:lang w:val="en-GB"/>
        </w:rPr>
        <w:t xml:space="preserve"> to this annex</w:t>
      </w:r>
      <w:r w:rsidRPr="00B04DC3">
        <w:rPr>
          <w:lang w:val="en-GB"/>
        </w:rPr>
        <w:t>)</w:t>
      </w:r>
    </w:p>
    <w:p w:rsidR="00002BA6" w:rsidRPr="00B04DC3" w:rsidRDefault="00002BA6" w:rsidP="00002BA6">
      <w:pPr>
        <w:pStyle w:val="para"/>
        <w:spacing w:after="80"/>
        <w:ind w:left="2841" w:hanging="573"/>
        <w:rPr>
          <w:lang w:val="en-GB"/>
        </w:rPr>
      </w:pPr>
      <w:r w:rsidRPr="00B04DC3">
        <w:rPr>
          <w:lang w:val="en-GB"/>
        </w:rPr>
        <w:t>M</w:t>
      </w:r>
      <w:r w:rsidRPr="00B04DC3">
        <w:rPr>
          <w:vertAlign w:val="subscript"/>
          <w:lang w:val="en-GB"/>
        </w:rPr>
        <w:t>e</w:t>
      </w:r>
      <w:r w:rsidRPr="00B04DC3">
        <w:rPr>
          <w:lang w:val="en-GB"/>
        </w:rPr>
        <w:tab/>
        <w:t>is the molar mass of the exhaust gas, g/mol</w:t>
      </w:r>
    </w:p>
    <w:p w:rsidR="00002BA6" w:rsidRPr="00B04DC3" w:rsidRDefault="00002BA6" w:rsidP="00002BA6">
      <w:pPr>
        <w:pStyle w:val="para"/>
        <w:spacing w:after="80" w:line="220" w:lineRule="atLeast"/>
        <w:ind w:left="2841" w:hanging="573"/>
        <w:rPr>
          <w:lang w:val="en-GB"/>
        </w:rPr>
      </w:pPr>
      <w:r w:rsidRPr="00B04DC3">
        <w:rPr>
          <w:lang w:val="en-GB"/>
        </w:rPr>
        <w:t>M</w:t>
      </w:r>
      <w:r w:rsidRPr="00B04DC3">
        <w:rPr>
          <w:vertAlign w:val="subscript"/>
          <w:lang w:val="en-GB"/>
        </w:rPr>
        <w:t>d</w:t>
      </w:r>
      <w:r w:rsidRPr="00B04DC3">
        <w:rPr>
          <w:lang w:val="en-GB"/>
        </w:rPr>
        <w:tab/>
        <w:t>is the molar mass of the diluent = 28.965 g/mol</w:t>
      </w:r>
    </w:p>
    <w:p w:rsidR="00002BA6" w:rsidRPr="00B04DC3" w:rsidRDefault="00002BA6" w:rsidP="00002BA6">
      <w:pPr>
        <w:pStyle w:val="para"/>
        <w:ind w:left="2842" w:hanging="574"/>
        <w:rPr>
          <w:lang w:val="en-GB"/>
        </w:rPr>
      </w:pPr>
      <w:r w:rsidRPr="00B04DC3">
        <w:rPr>
          <w:lang w:val="en-GB"/>
        </w:rPr>
        <w:t>D</w:t>
      </w:r>
      <w:r w:rsidRPr="00B04DC3">
        <w:rPr>
          <w:lang w:val="en-GB"/>
        </w:rPr>
        <w:tab/>
        <w:t>is the dilution factor (see paragraph 8.5.2.3.2.</w:t>
      </w:r>
      <w:r w:rsidR="006D17BC">
        <w:rPr>
          <w:lang w:val="en-GB"/>
        </w:rPr>
        <w:t xml:space="preserve"> below</w:t>
      </w:r>
      <w:r w:rsidRPr="00B04DC3">
        <w:rPr>
          <w:lang w:val="en-GB"/>
        </w:rPr>
        <w:t>)</w:t>
      </w:r>
    </w:p>
    <w:p w:rsidR="00002BA6" w:rsidRPr="00B04DC3" w:rsidRDefault="00002BA6" w:rsidP="00002BA6">
      <w:pPr>
        <w:pStyle w:val="para"/>
        <w:rPr>
          <w:lang w:val="en-GB"/>
        </w:rPr>
      </w:pPr>
      <w:r w:rsidRPr="00B04DC3">
        <w:rPr>
          <w:lang w:val="en-GB"/>
        </w:rPr>
        <w:t>8.5.2.3.2.</w:t>
      </w:r>
      <w:r w:rsidRPr="00B04DC3">
        <w:rPr>
          <w:lang w:val="en-GB"/>
        </w:rPr>
        <w:tab/>
        <w:t>Determination of the background corrected concentrations</w:t>
      </w:r>
    </w:p>
    <w:p w:rsidR="00002BA6" w:rsidRPr="00B04DC3" w:rsidRDefault="00002BA6" w:rsidP="00002BA6">
      <w:pPr>
        <w:pStyle w:val="para"/>
        <w:rPr>
          <w:lang w:val="en-GB"/>
        </w:rPr>
      </w:pPr>
      <w:r w:rsidRPr="00B04DC3">
        <w:rPr>
          <w:lang w:val="en-GB"/>
        </w:rPr>
        <w:tab/>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rsidR="00002BA6" w:rsidRPr="00B04DC3" w:rsidRDefault="00002BA6" w:rsidP="00002BA6">
      <w:pPr>
        <w:pStyle w:val="para"/>
        <w:tabs>
          <w:tab w:val="right" w:pos="8500"/>
        </w:tabs>
        <w:ind w:firstLine="0"/>
        <w:rPr>
          <w:lang w:val="en-GB"/>
        </w:rPr>
      </w:pPr>
      <w:r w:rsidRPr="00B04DC3">
        <w:rPr>
          <w:lang w:val="en-GB"/>
        </w:rPr>
        <w:t>c</w:t>
      </w:r>
      <w:r w:rsidRPr="00B04DC3">
        <w:rPr>
          <w:vertAlign w:val="subscript"/>
          <w:lang w:val="en-GB"/>
        </w:rPr>
        <w:t>gas</w:t>
      </w:r>
      <w:r w:rsidRPr="00B04DC3">
        <w:rPr>
          <w:lang w:val="en-GB"/>
        </w:rPr>
        <w:t xml:space="preserve">  =  c</w:t>
      </w:r>
      <w:r w:rsidRPr="00B04DC3">
        <w:rPr>
          <w:vertAlign w:val="subscript"/>
          <w:lang w:val="en-GB"/>
        </w:rPr>
        <w:t>gas,e</w:t>
      </w:r>
      <w:r w:rsidRPr="00B04DC3">
        <w:rPr>
          <w:lang w:val="en-GB"/>
        </w:rPr>
        <w:t xml:space="preserve"> - c</w:t>
      </w:r>
      <w:r w:rsidRPr="00B04DC3">
        <w:rPr>
          <w:vertAlign w:val="subscript"/>
          <w:lang w:val="en-GB"/>
        </w:rPr>
        <w:t>d</w:t>
      </w:r>
      <w:r w:rsidRPr="00B04DC3">
        <w:rPr>
          <w:lang w:val="en-GB"/>
        </w:rPr>
        <w:t xml:space="preserve"> </w:t>
      </w:r>
      <w:r w:rsidRPr="00B04DC3">
        <w:rPr>
          <w:rFonts w:ascii="Arial" w:hAnsi="Arial" w:cs="Arial"/>
          <w:lang w:val="en-GB"/>
        </w:rPr>
        <w:t>x</w:t>
      </w:r>
      <w:r w:rsidRPr="00B04DC3">
        <w:rPr>
          <w:lang w:val="en-GB"/>
        </w:rPr>
        <w:t xml:space="preserve"> (1 - (1/D))</w:t>
      </w:r>
      <w:r w:rsidRPr="00B04DC3">
        <w:rPr>
          <w:lang w:val="en-GB"/>
        </w:rPr>
        <w:tab/>
        <w:t>(58)</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gas,e</w:t>
      </w:r>
      <w:r w:rsidRPr="00B04DC3">
        <w:rPr>
          <w:lang w:val="en-GB"/>
        </w:rPr>
        <w:tab/>
        <w:t>is the concentration of the component measured in the diluted exhaust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d</w:t>
      </w:r>
      <w:r w:rsidRPr="00B04DC3">
        <w:rPr>
          <w:lang w:val="en-GB"/>
        </w:rPr>
        <w:tab/>
        <w:t>is the concentration of the component measured in the diluent, ppm</w:t>
      </w:r>
    </w:p>
    <w:p w:rsidR="00002BA6" w:rsidRPr="00B04DC3" w:rsidRDefault="00002BA6" w:rsidP="00002BA6">
      <w:pPr>
        <w:pStyle w:val="para"/>
        <w:ind w:left="2842" w:hanging="574"/>
        <w:rPr>
          <w:lang w:val="en-GB"/>
        </w:rPr>
      </w:pPr>
      <w:r w:rsidRPr="00B04DC3">
        <w:rPr>
          <w:lang w:val="en-GB"/>
        </w:rPr>
        <w:t>D</w:t>
      </w:r>
      <w:r w:rsidRPr="00B04DC3">
        <w:rPr>
          <w:lang w:val="en-GB"/>
        </w:rPr>
        <w:tab/>
        <w:t>is the dilution factor</w:t>
      </w:r>
    </w:p>
    <w:p w:rsidR="00002BA6" w:rsidRPr="00B04DC3" w:rsidRDefault="00002BA6" w:rsidP="00002BA6">
      <w:pPr>
        <w:pStyle w:val="para"/>
        <w:rPr>
          <w:lang w:val="en-GB"/>
        </w:rPr>
      </w:pPr>
      <w:r w:rsidRPr="00B04DC3">
        <w:rPr>
          <w:lang w:val="en-GB"/>
        </w:rPr>
        <w:tab/>
        <w:t>The dilution factor shall be calculated as follows:</w:t>
      </w:r>
    </w:p>
    <w:p w:rsidR="00002BA6" w:rsidRPr="00B04DC3" w:rsidRDefault="00D012DF" w:rsidP="00002BA6">
      <w:pPr>
        <w:pStyle w:val="para"/>
        <w:ind w:left="2842" w:hanging="574"/>
        <w:rPr>
          <w:lang w:val="en-GB"/>
        </w:rPr>
      </w:pPr>
      <w:r>
        <w:rPr>
          <w:lang w:val="en-GB"/>
        </w:rPr>
        <w:t>(</w:t>
      </w:r>
      <w:r w:rsidR="00002BA6" w:rsidRPr="00B04DC3">
        <w:rPr>
          <w:lang w:val="en-GB"/>
        </w:rPr>
        <w:t>a)</w:t>
      </w:r>
      <w:r w:rsidR="00002BA6" w:rsidRPr="00B04DC3">
        <w:rPr>
          <w:lang w:val="en-GB"/>
        </w:rPr>
        <w:tab/>
        <w:t>For diesel and LPG fuelled gas engines</w:t>
      </w:r>
    </w:p>
    <w:p w:rsidR="00FF0BF4" w:rsidRDefault="00002BA6" w:rsidP="00002BA6">
      <w:pPr>
        <w:pStyle w:val="para"/>
        <w:tabs>
          <w:tab w:val="right" w:pos="8505"/>
        </w:tabs>
        <w:ind w:left="2842" w:hanging="574"/>
        <w:rPr>
          <w:i/>
          <w:lang w:val="en-GB"/>
        </w:rPr>
      </w:pPr>
      <w:r w:rsidRPr="00B04DC3">
        <w:rPr>
          <w:i/>
          <w:lang w:val="en-GB"/>
        </w:rPr>
        <w:tab/>
      </w:r>
      <w:r w:rsidR="001704CE" w:rsidRPr="007D40BD">
        <w:rPr>
          <w:i/>
          <w:position w:val="-30"/>
          <w:lang w:val="en-GB"/>
        </w:rPr>
        <w:object w:dxaOrig="3220" w:dyaOrig="620">
          <v:shape id="_x0000_i1264" type="#_x0000_t75" style="width:161.4pt;height:30.6pt" o:ole="">
            <v:imagedata r:id="rId398" o:title=""/>
          </v:shape>
          <o:OLEObject Type="Embed" ProgID="Equation.3" ShapeID="_x0000_i1264" DrawAspect="Content" ObjectID="_1498392356" r:id="rId399"/>
        </w:object>
      </w:r>
      <w:r w:rsidR="00FF0BF4">
        <w:rPr>
          <w:i/>
          <w:lang w:val="en-GB"/>
        </w:rPr>
        <w:tab/>
      </w:r>
      <w:r w:rsidR="00FF0BF4" w:rsidRPr="00B04DC3">
        <w:rPr>
          <w:lang w:val="en-GB"/>
        </w:rPr>
        <w:t>(59)</w:t>
      </w:r>
    </w:p>
    <w:p w:rsidR="00002BA6" w:rsidRPr="00B04DC3" w:rsidRDefault="00D012DF" w:rsidP="00002BA6">
      <w:pPr>
        <w:pStyle w:val="para"/>
        <w:ind w:left="2842" w:hanging="574"/>
        <w:rPr>
          <w:lang w:val="en-GB"/>
        </w:rPr>
      </w:pPr>
      <w:r>
        <w:rPr>
          <w:lang w:val="en-GB"/>
        </w:rPr>
        <w:t>(</w:t>
      </w:r>
      <w:r w:rsidR="00002BA6" w:rsidRPr="00B04DC3">
        <w:rPr>
          <w:lang w:val="en-GB"/>
        </w:rPr>
        <w:t>b)</w:t>
      </w:r>
      <w:r w:rsidR="00002BA6" w:rsidRPr="00B04DC3">
        <w:rPr>
          <w:lang w:val="en-GB"/>
        </w:rPr>
        <w:tab/>
        <w:t>For NG fuelled gas engines</w:t>
      </w:r>
    </w:p>
    <w:p w:rsidR="00002BA6" w:rsidRPr="00B04DC3" w:rsidRDefault="001704CE" w:rsidP="00D012DF">
      <w:pPr>
        <w:pStyle w:val="para"/>
        <w:tabs>
          <w:tab w:val="right" w:pos="8500"/>
        </w:tabs>
        <w:ind w:left="2842" w:hanging="7"/>
        <w:rPr>
          <w:lang w:val="en-GB"/>
        </w:rPr>
      </w:pPr>
      <w:r w:rsidRPr="007D40BD">
        <w:rPr>
          <w:i/>
          <w:position w:val="-30"/>
          <w:lang w:val="en-GB"/>
        </w:rPr>
        <w:object w:dxaOrig="3440" w:dyaOrig="620">
          <v:shape id="_x0000_i1265" type="#_x0000_t75" style="width:171.6pt;height:30.6pt" o:ole="">
            <v:imagedata r:id="rId400" o:title=""/>
          </v:shape>
          <o:OLEObject Type="Embed" ProgID="Equation.3" ShapeID="_x0000_i1265" DrawAspect="Content" ObjectID="_1498392357" r:id="rId401"/>
        </w:object>
      </w:r>
      <w:r w:rsidR="00002BA6" w:rsidRPr="00B04DC3">
        <w:rPr>
          <w:lang w:val="en-GB"/>
        </w:rPr>
        <w:tab/>
        <w:t>(60)</w:t>
      </w:r>
    </w:p>
    <w:p w:rsidR="00002BA6" w:rsidRPr="00B04DC3" w:rsidRDefault="00002BA6" w:rsidP="00002BA6">
      <w:pPr>
        <w:pStyle w:val="para"/>
        <w:rPr>
          <w:lang w:val="en-GB"/>
        </w:rPr>
      </w:pPr>
      <w:r w:rsidRPr="00B04DC3">
        <w:rPr>
          <w:lang w:val="en-GB"/>
        </w:rPr>
        <w:tab/>
      </w:r>
      <w:r w:rsidRPr="00B04DC3">
        <w:rPr>
          <w:lang w:val="en-GB"/>
        </w:rPr>
        <w:tab/>
      </w:r>
      <w:r w:rsidRPr="00B04DC3">
        <w:rPr>
          <w:lang w:val="en-GB"/>
        </w:rPr>
        <w:tab/>
      </w:r>
      <w:r w:rsidR="00D71F62" w:rsidRPr="00B04DC3">
        <w:rPr>
          <w:lang w:val="en-GB"/>
        </w:rPr>
        <w:t>Where</w:t>
      </w:r>
      <w:r w:rsidRPr="00B04DC3">
        <w:rPr>
          <w:lang w:val="en-GB"/>
        </w:rPr>
        <w:t>:</w:t>
      </w:r>
    </w:p>
    <w:p w:rsidR="00002BA6" w:rsidRPr="00B04DC3" w:rsidRDefault="00002BA6" w:rsidP="00002BA6">
      <w:pPr>
        <w:pStyle w:val="para"/>
        <w:spacing w:after="100"/>
        <w:ind w:left="3700" w:hanging="865"/>
        <w:rPr>
          <w:lang w:val="en-GB"/>
        </w:rPr>
      </w:pPr>
      <w:r w:rsidRPr="00B04DC3">
        <w:rPr>
          <w:lang w:val="en-GB"/>
        </w:rPr>
        <w:t>c</w:t>
      </w:r>
      <w:r w:rsidRPr="00B04DC3">
        <w:rPr>
          <w:vertAlign w:val="subscript"/>
          <w:lang w:val="en-GB"/>
        </w:rPr>
        <w:t>CO2,e</w:t>
      </w:r>
      <w:r w:rsidRPr="00B04DC3">
        <w:rPr>
          <w:lang w:val="en-GB"/>
        </w:rPr>
        <w:tab/>
        <w:t>is the wet concentration of CO</w:t>
      </w:r>
      <w:r w:rsidRPr="00B04DC3">
        <w:rPr>
          <w:vertAlign w:val="subscript"/>
          <w:lang w:val="en-GB"/>
        </w:rPr>
        <w:t>2</w:t>
      </w:r>
      <w:r w:rsidRPr="00B04DC3">
        <w:rPr>
          <w:lang w:val="en-GB"/>
        </w:rPr>
        <w:t xml:space="preserve"> in the diluted exhaust gas, per cent vol</w:t>
      </w:r>
    </w:p>
    <w:p w:rsidR="00002BA6" w:rsidRPr="00B04DC3" w:rsidRDefault="00002BA6" w:rsidP="00002BA6">
      <w:pPr>
        <w:pStyle w:val="para"/>
        <w:spacing w:after="100"/>
        <w:ind w:left="3700" w:hanging="865"/>
        <w:rPr>
          <w:lang w:val="en-GB"/>
        </w:rPr>
      </w:pPr>
      <w:r w:rsidRPr="00B04DC3">
        <w:rPr>
          <w:lang w:val="en-GB"/>
        </w:rPr>
        <w:t>c</w:t>
      </w:r>
      <w:r w:rsidRPr="00B04DC3">
        <w:rPr>
          <w:vertAlign w:val="subscript"/>
          <w:lang w:val="en-GB"/>
        </w:rPr>
        <w:t>HC,e</w:t>
      </w:r>
      <w:r w:rsidRPr="00B04DC3">
        <w:rPr>
          <w:lang w:val="en-GB"/>
        </w:rPr>
        <w:tab/>
        <w:t>is the wet concentration of HC in the diluted exhaust gas, ppm C1</w:t>
      </w:r>
    </w:p>
    <w:p w:rsidR="00002BA6" w:rsidRPr="00B04DC3" w:rsidRDefault="00002BA6" w:rsidP="00002BA6">
      <w:pPr>
        <w:pStyle w:val="para"/>
        <w:spacing w:after="100"/>
        <w:ind w:left="3700" w:hanging="865"/>
        <w:rPr>
          <w:lang w:val="en-GB"/>
        </w:rPr>
      </w:pPr>
      <w:r w:rsidRPr="00B04DC3">
        <w:rPr>
          <w:lang w:val="en-GB"/>
        </w:rPr>
        <w:t>c</w:t>
      </w:r>
      <w:r w:rsidRPr="00B04DC3">
        <w:rPr>
          <w:vertAlign w:val="subscript"/>
          <w:lang w:val="en-GB"/>
        </w:rPr>
        <w:t>NMHC,e</w:t>
      </w:r>
      <w:r w:rsidRPr="00B04DC3">
        <w:rPr>
          <w:lang w:val="en-GB"/>
        </w:rPr>
        <w:tab/>
        <w:t>is the wet concentration of NMHC in the diluted exhaust gas, ppm C1</w:t>
      </w:r>
    </w:p>
    <w:p w:rsidR="00002BA6" w:rsidRPr="00D012DF" w:rsidRDefault="00002BA6" w:rsidP="00002BA6">
      <w:pPr>
        <w:pStyle w:val="para"/>
        <w:spacing w:after="100"/>
        <w:ind w:left="3700" w:hanging="865"/>
        <w:rPr>
          <w:spacing w:val="-4"/>
          <w:lang w:val="en-GB"/>
        </w:rPr>
      </w:pPr>
      <w:r w:rsidRPr="00B04DC3">
        <w:rPr>
          <w:lang w:val="en-GB"/>
        </w:rPr>
        <w:t>c</w:t>
      </w:r>
      <w:r w:rsidRPr="00B04DC3">
        <w:rPr>
          <w:vertAlign w:val="subscript"/>
          <w:lang w:val="en-GB"/>
        </w:rPr>
        <w:t>CO,e</w:t>
      </w:r>
      <w:r w:rsidRPr="00B04DC3">
        <w:rPr>
          <w:lang w:val="en-GB"/>
        </w:rPr>
        <w:tab/>
      </w:r>
      <w:r w:rsidRPr="00D012DF">
        <w:rPr>
          <w:spacing w:val="-4"/>
          <w:lang w:val="en-GB"/>
        </w:rPr>
        <w:t>is the wet concentration of CO in the diluted exhaust gas, ppm</w:t>
      </w:r>
    </w:p>
    <w:p w:rsidR="00002BA6" w:rsidRPr="00B04DC3" w:rsidRDefault="00002BA6" w:rsidP="00002BA6">
      <w:pPr>
        <w:pStyle w:val="para"/>
        <w:spacing w:after="100"/>
        <w:ind w:left="3700" w:hanging="865"/>
        <w:rPr>
          <w:lang w:val="en-GB"/>
        </w:rPr>
      </w:pPr>
      <w:r w:rsidRPr="00B04DC3">
        <w:rPr>
          <w:lang w:val="en-GB"/>
        </w:rPr>
        <w:t>F</w:t>
      </w:r>
      <w:r w:rsidRPr="00B04DC3">
        <w:rPr>
          <w:vertAlign w:val="subscript"/>
          <w:lang w:val="en-GB"/>
        </w:rPr>
        <w:t>S</w:t>
      </w:r>
      <w:r w:rsidRPr="00B04DC3">
        <w:rPr>
          <w:lang w:val="en-GB"/>
        </w:rPr>
        <w:tab/>
        <w:t>is the stoichiometric factor</w:t>
      </w:r>
    </w:p>
    <w:p w:rsidR="00002BA6" w:rsidRPr="00B04DC3" w:rsidRDefault="00002BA6" w:rsidP="00002BA6">
      <w:pPr>
        <w:pStyle w:val="para"/>
        <w:rPr>
          <w:lang w:val="en-GB"/>
        </w:rPr>
      </w:pPr>
      <w:r w:rsidRPr="00B04DC3">
        <w:rPr>
          <w:lang w:val="en-GB"/>
        </w:rPr>
        <w:tab/>
      </w:r>
      <w:r w:rsidRPr="00B04DC3">
        <w:rPr>
          <w:lang w:val="en-GB"/>
        </w:rPr>
        <w:tab/>
      </w:r>
      <w:r w:rsidRPr="00B04DC3">
        <w:rPr>
          <w:lang w:val="en-GB"/>
        </w:rPr>
        <w:tab/>
        <w:t>The stoichiometric factor shall be calculated as follows:</w:t>
      </w:r>
    </w:p>
    <w:p w:rsidR="00002BA6" w:rsidRPr="00D012DF" w:rsidRDefault="00D012DF" w:rsidP="00002BA6">
      <w:pPr>
        <w:pStyle w:val="para"/>
        <w:tabs>
          <w:tab w:val="left" w:pos="2835"/>
          <w:tab w:val="left" w:pos="3402"/>
          <w:tab w:val="right" w:pos="8500"/>
        </w:tabs>
        <w:ind w:firstLine="0"/>
        <w:rPr>
          <w:position w:val="-30"/>
          <w:lang w:val="en-GB"/>
        </w:rPr>
      </w:pPr>
      <w:r>
        <w:rPr>
          <w:lang w:val="en-GB"/>
        </w:rPr>
        <w:tab/>
      </w:r>
      <w:r w:rsidRPr="00D012DF">
        <w:rPr>
          <w:position w:val="-52"/>
          <w:lang w:val="en-GB"/>
        </w:rPr>
        <w:object w:dxaOrig="2680" w:dyaOrig="840">
          <v:shape id="_x0000_i1266" type="#_x0000_t75" style="width:112.8pt;height:35.4pt" o:ole="">
            <v:imagedata r:id="rId402" o:title=""/>
          </v:shape>
          <o:OLEObject Type="Embed" ProgID="Equation.3" ShapeID="_x0000_i1266" DrawAspect="Content" ObjectID="_1498392358" r:id="rId403"/>
        </w:object>
      </w:r>
      <w:r w:rsidR="00002BA6" w:rsidRPr="00D012DF">
        <w:rPr>
          <w:position w:val="-30"/>
          <w:lang w:val="en-GB"/>
        </w:rPr>
        <w:tab/>
        <w:t>(61)</w:t>
      </w:r>
    </w:p>
    <w:p w:rsidR="00002BA6" w:rsidRPr="00B04DC3" w:rsidRDefault="00D71F62" w:rsidP="00002BA6">
      <w:pPr>
        <w:pStyle w:val="para"/>
        <w:spacing w:after="100"/>
        <w:ind w:left="3700" w:hanging="865"/>
        <w:rPr>
          <w:lang w:val="en-GB"/>
        </w:rPr>
      </w:pPr>
      <w:r w:rsidRPr="00B04DC3">
        <w:rPr>
          <w:lang w:val="en-GB"/>
        </w:rPr>
        <w:t>Where</w:t>
      </w:r>
      <w:r w:rsidR="00002BA6" w:rsidRPr="00B04DC3">
        <w:rPr>
          <w:lang w:val="en-GB"/>
        </w:rPr>
        <w:t>:</w:t>
      </w:r>
    </w:p>
    <w:p w:rsidR="00002BA6" w:rsidRPr="00B04DC3" w:rsidRDefault="00002BA6" w:rsidP="00002BA6">
      <w:pPr>
        <w:pStyle w:val="para"/>
        <w:spacing w:after="100"/>
        <w:ind w:left="3700" w:hanging="865"/>
        <w:rPr>
          <w:lang w:val="en-GB"/>
        </w:rPr>
      </w:pPr>
      <w:r w:rsidRPr="00B04DC3">
        <w:rPr>
          <w:lang w:val="en-GB"/>
        </w:rPr>
        <w:sym w:font="Symbol" w:char="F061"/>
      </w:r>
      <w:r w:rsidRPr="00B04DC3">
        <w:rPr>
          <w:lang w:val="en-GB"/>
        </w:rPr>
        <w:tab/>
        <w:t>is the molar hydrogen ratio of the fuel (H/C)</w:t>
      </w:r>
    </w:p>
    <w:p w:rsidR="00002BA6" w:rsidRPr="00B04DC3" w:rsidRDefault="00002BA6" w:rsidP="00002BA6">
      <w:pPr>
        <w:pStyle w:val="para"/>
        <w:ind w:left="2835" w:hanging="1701"/>
        <w:rPr>
          <w:lang w:val="en-GB"/>
        </w:rPr>
      </w:pPr>
      <w:r w:rsidRPr="00B04DC3">
        <w:rPr>
          <w:lang w:val="en-GB"/>
        </w:rPr>
        <w:tab/>
      </w:r>
      <w:r w:rsidRPr="00B04DC3">
        <w:rPr>
          <w:lang w:val="en-GB"/>
        </w:rPr>
        <w:tab/>
        <w:t>Alternatively, if the fuel composition is not known, the following stoichiometric factors may be used:</w:t>
      </w:r>
    </w:p>
    <w:p w:rsidR="00002BA6" w:rsidRPr="00B04DC3" w:rsidRDefault="00002BA6" w:rsidP="00002BA6">
      <w:pPr>
        <w:pStyle w:val="para"/>
        <w:ind w:left="2842" w:hanging="7"/>
        <w:rPr>
          <w:lang w:val="en-GB"/>
        </w:rPr>
      </w:pPr>
      <w:r w:rsidRPr="00B04DC3">
        <w:rPr>
          <w:lang w:val="en-GB"/>
        </w:rPr>
        <w:t>F</w:t>
      </w:r>
      <w:r w:rsidRPr="00B04DC3">
        <w:rPr>
          <w:vertAlign w:val="subscript"/>
          <w:lang w:val="en-GB"/>
        </w:rPr>
        <w:t>S</w:t>
      </w:r>
      <w:r w:rsidRPr="00B04DC3">
        <w:rPr>
          <w:lang w:val="en-GB"/>
        </w:rPr>
        <w:t xml:space="preserve"> (diesel)</w:t>
      </w:r>
      <w:r w:rsidRPr="00B04DC3">
        <w:rPr>
          <w:lang w:val="en-GB"/>
        </w:rPr>
        <w:tab/>
        <w:t>=</w:t>
      </w:r>
      <w:r w:rsidRPr="00B04DC3">
        <w:rPr>
          <w:lang w:val="en-GB"/>
        </w:rPr>
        <w:tab/>
        <w:t>13.4</w:t>
      </w:r>
    </w:p>
    <w:p w:rsidR="00002BA6" w:rsidRPr="00B04DC3" w:rsidRDefault="00002BA6" w:rsidP="00002BA6">
      <w:pPr>
        <w:pStyle w:val="para"/>
        <w:ind w:left="2842" w:hanging="7"/>
        <w:rPr>
          <w:lang w:val="en-GB"/>
        </w:rPr>
      </w:pPr>
      <w:r w:rsidRPr="00B04DC3">
        <w:rPr>
          <w:lang w:val="en-GB"/>
        </w:rPr>
        <w:t>F</w:t>
      </w:r>
      <w:r w:rsidRPr="00B04DC3">
        <w:rPr>
          <w:vertAlign w:val="subscript"/>
          <w:lang w:val="en-GB"/>
        </w:rPr>
        <w:t>S</w:t>
      </w:r>
      <w:r w:rsidRPr="00B04DC3">
        <w:rPr>
          <w:lang w:val="en-GB"/>
        </w:rPr>
        <w:t xml:space="preserve"> (LPG)</w:t>
      </w:r>
      <w:r w:rsidRPr="00B04DC3">
        <w:rPr>
          <w:lang w:val="en-GB"/>
        </w:rPr>
        <w:tab/>
        <w:t>=</w:t>
      </w:r>
      <w:r w:rsidRPr="00B04DC3">
        <w:rPr>
          <w:lang w:val="en-GB"/>
        </w:rPr>
        <w:tab/>
        <w:t>11.6</w:t>
      </w:r>
    </w:p>
    <w:p w:rsidR="00002BA6" w:rsidRPr="00B04DC3" w:rsidRDefault="00002BA6" w:rsidP="00002BA6">
      <w:pPr>
        <w:pStyle w:val="para"/>
        <w:ind w:left="2842" w:hanging="7"/>
        <w:rPr>
          <w:lang w:val="en-GB"/>
        </w:rPr>
      </w:pPr>
      <w:r w:rsidRPr="00B04DC3">
        <w:rPr>
          <w:lang w:val="en-GB"/>
        </w:rPr>
        <w:t>F</w:t>
      </w:r>
      <w:r w:rsidRPr="00B04DC3">
        <w:rPr>
          <w:vertAlign w:val="subscript"/>
          <w:lang w:val="en-GB"/>
        </w:rPr>
        <w:t>S</w:t>
      </w:r>
      <w:r w:rsidRPr="00B04DC3">
        <w:rPr>
          <w:lang w:val="en-GB"/>
        </w:rPr>
        <w:t xml:space="preserve"> (NG)</w:t>
      </w:r>
      <w:r w:rsidRPr="00B04DC3">
        <w:rPr>
          <w:lang w:val="en-GB"/>
        </w:rPr>
        <w:tab/>
        <w:t>=</w:t>
      </w:r>
      <w:r w:rsidRPr="00B04DC3">
        <w:rPr>
          <w:lang w:val="en-GB"/>
        </w:rPr>
        <w:tab/>
        <w:t xml:space="preserve">  9.5</w:t>
      </w:r>
    </w:p>
    <w:p w:rsidR="00002BA6" w:rsidRPr="00B04DC3" w:rsidRDefault="00002BA6" w:rsidP="00002BA6">
      <w:pPr>
        <w:pStyle w:val="para"/>
        <w:rPr>
          <w:lang w:val="en-GB"/>
        </w:rPr>
      </w:pPr>
      <w:r w:rsidRPr="00B04DC3">
        <w:rPr>
          <w:lang w:val="en-GB"/>
        </w:rPr>
        <w:t>8.5.2.3.3.</w:t>
      </w:r>
      <w:r w:rsidRPr="00B04DC3">
        <w:rPr>
          <w:lang w:val="en-GB"/>
        </w:rPr>
        <w:tab/>
        <w:t>Systems with flow compensation</w:t>
      </w:r>
    </w:p>
    <w:p w:rsidR="00002BA6" w:rsidRDefault="00002BA6" w:rsidP="00002BA6">
      <w:pPr>
        <w:pStyle w:val="para"/>
        <w:rPr>
          <w:lang w:val="en-GB"/>
        </w:rPr>
      </w:pPr>
      <w:r w:rsidRPr="00B04DC3">
        <w:rPr>
          <w:lang w:val="en-GB"/>
        </w:rPr>
        <w:tab/>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rsidR="00002BA6" w:rsidRPr="00B04DC3" w:rsidRDefault="00D012DF" w:rsidP="00D012DF">
      <w:pPr>
        <w:pStyle w:val="para"/>
        <w:tabs>
          <w:tab w:val="left" w:pos="2835"/>
          <w:tab w:val="left" w:pos="3402"/>
          <w:tab w:val="right" w:pos="8500"/>
        </w:tabs>
        <w:ind w:firstLine="0"/>
        <w:rPr>
          <w:lang w:val="en-GB"/>
        </w:rPr>
      </w:pPr>
      <w:r w:rsidRPr="00774E57">
        <w:rPr>
          <w:position w:val="-28"/>
          <w:lang w:val="en-GB"/>
        </w:rPr>
        <w:object w:dxaOrig="5640" w:dyaOrig="680">
          <v:shape id="_x0000_i1267" type="#_x0000_t75" style="width:266.4pt;height:31.8pt" o:ole="">
            <v:imagedata r:id="rId404" o:title=""/>
          </v:shape>
          <o:OLEObject Type="Embed" ProgID="Equation.3" ShapeID="_x0000_i1267" DrawAspect="Content" ObjectID="_1498392359" r:id="rId405"/>
        </w:object>
      </w:r>
      <w:r>
        <w:rPr>
          <w:lang w:val="en-GB"/>
        </w:rPr>
        <w:tab/>
      </w:r>
      <w:r w:rsidR="00002BA6" w:rsidRPr="00B04DC3">
        <w:rPr>
          <w:lang w:val="en-GB"/>
        </w:rPr>
        <w:t>(62)</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gas,e</w:t>
      </w:r>
      <w:r w:rsidRPr="00B04DC3">
        <w:rPr>
          <w:lang w:val="en-GB"/>
        </w:rPr>
        <w:tab/>
        <w:t>is the concentration of the component measured in the diluted exhaust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d</w:t>
      </w:r>
      <w:r w:rsidRPr="00B04DC3">
        <w:rPr>
          <w:lang w:val="en-GB"/>
        </w:rPr>
        <w:tab/>
        <w:t>is the concentration of the component measured in the diluent, ppm</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ed,i</w:t>
      </w:r>
      <w:r w:rsidRPr="00B04DC3">
        <w:rPr>
          <w:lang w:val="en-GB"/>
        </w:rPr>
        <w:tab/>
        <w:t>is the instantaneous mass of the diluted exhaust gas,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ed</w:t>
      </w:r>
      <w:r w:rsidRPr="00B04DC3">
        <w:rPr>
          <w:lang w:val="en-GB"/>
        </w:rPr>
        <w:tab/>
        <w:t>is the total mass of diluted exhaust gas over the cycle, kg</w:t>
      </w:r>
    </w:p>
    <w:p w:rsidR="00002BA6" w:rsidRPr="00B04DC3" w:rsidRDefault="00002BA6" w:rsidP="00002BA6">
      <w:pPr>
        <w:pStyle w:val="para"/>
        <w:ind w:left="2842" w:hanging="574"/>
        <w:rPr>
          <w:lang w:val="en-GB"/>
        </w:rPr>
      </w:pPr>
      <w:r w:rsidRPr="00B04DC3">
        <w:rPr>
          <w:lang w:val="en-GB"/>
        </w:rPr>
        <w:t>u</w:t>
      </w:r>
      <w:r w:rsidRPr="00B04DC3">
        <w:rPr>
          <w:vertAlign w:val="subscript"/>
          <w:lang w:val="en-GB"/>
        </w:rPr>
        <w:t>gas</w:t>
      </w:r>
      <w:r w:rsidRPr="00B04DC3">
        <w:rPr>
          <w:lang w:val="en-GB"/>
        </w:rPr>
        <w:tab/>
        <w:t>is the tabulated value from Table 6</w:t>
      </w:r>
      <w:r w:rsidR="00FF0BF4">
        <w:rPr>
          <w:lang w:val="en-GB"/>
        </w:rPr>
        <w:t xml:space="preserve"> above</w:t>
      </w:r>
    </w:p>
    <w:p w:rsidR="00002BA6" w:rsidRPr="00B04DC3" w:rsidRDefault="00002BA6" w:rsidP="00002BA6">
      <w:pPr>
        <w:pStyle w:val="para"/>
        <w:ind w:left="2842" w:hanging="574"/>
        <w:rPr>
          <w:lang w:val="en-GB"/>
        </w:rPr>
      </w:pPr>
      <w:r w:rsidRPr="00B04DC3">
        <w:rPr>
          <w:lang w:val="en-GB"/>
        </w:rPr>
        <w:t>D</w:t>
      </w:r>
      <w:r w:rsidRPr="00B04DC3">
        <w:rPr>
          <w:lang w:val="en-GB"/>
        </w:rPr>
        <w:tab/>
        <w:t>is the dilution factor</w:t>
      </w:r>
    </w:p>
    <w:p w:rsidR="00002BA6" w:rsidRPr="00B04DC3" w:rsidRDefault="00002BA6" w:rsidP="00002BA6">
      <w:pPr>
        <w:pStyle w:val="para"/>
        <w:rPr>
          <w:lang w:val="en-GB"/>
        </w:rPr>
      </w:pPr>
      <w:r w:rsidRPr="00B04DC3">
        <w:rPr>
          <w:lang w:val="en-GB"/>
        </w:rPr>
        <w:t>8.5.3.</w:t>
      </w:r>
      <w:r w:rsidRPr="00B04DC3">
        <w:rPr>
          <w:lang w:val="en-GB"/>
        </w:rPr>
        <w:tab/>
        <w:t>Particulate determination</w:t>
      </w:r>
    </w:p>
    <w:p w:rsidR="00002BA6" w:rsidRPr="00B04DC3" w:rsidRDefault="00002BA6" w:rsidP="00002BA6">
      <w:pPr>
        <w:pStyle w:val="para"/>
        <w:rPr>
          <w:lang w:val="en-GB"/>
        </w:rPr>
      </w:pPr>
      <w:r w:rsidRPr="00B04DC3">
        <w:rPr>
          <w:lang w:val="en-GB"/>
        </w:rPr>
        <w:t>8.5.3.1.</w:t>
      </w:r>
      <w:r w:rsidRPr="00B04DC3">
        <w:rPr>
          <w:lang w:val="en-GB"/>
        </w:rPr>
        <w:tab/>
        <w:t>Calculation of mass emission</w:t>
      </w:r>
    </w:p>
    <w:p w:rsidR="00002BA6" w:rsidRPr="00B04DC3" w:rsidRDefault="00002BA6" w:rsidP="00002BA6">
      <w:pPr>
        <w:pStyle w:val="para"/>
        <w:rPr>
          <w:lang w:val="en-GB"/>
        </w:rPr>
      </w:pPr>
      <w:r w:rsidRPr="00B04DC3">
        <w:rPr>
          <w:lang w:val="en-GB"/>
        </w:rPr>
        <w:tab/>
        <w:t>The particulate mass (g/test) shall be calculated after buoyancy correction of the particulate sample filter according to paragraph 8.3.</w:t>
      </w:r>
      <w:r w:rsidR="00FF0BF4">
        <w:rPr>
          <w:lang w:val="en-GB"/>
        </w:rPr>
        <w:t xml:space="preserve"> of this annex</w:t>
      </w:r>
      <w:r w:rsidRPr="00B04DC3">
        <w:rPr>
          <w:lang w:val="en-GB"/>
        </w:rPr>
        <w:t>, as follows:</w:t>
      </w:r>
    </w:p>
    <w:p w:rsidR="00002BA6" w:rsidRPr="00B04DC3" w:rsidRDefault="00A905B7" w:rsidP="00B2512B">
      <w:pPr>
        <w:pStyle w:val="para"/>
        <w:tabs>
          <w:tab w:val="right" w:pos="8500"/>
        </w:tabs>
        <w:ind w:left="2835" w:firstLine="0"/>
        <w:rPr>
          <w:lang w:val="en-GB"/>
        </w:rPr>
      </w:pPr>
      <w:r>
        <w:rPr>
          <w:noProof/>
          <w:lang w:val="en-GB"/>
        </w:rPr>
        <w:pict>
          <v:rect id="_x0000_s5516" style="position:absolute;left:0;text-align:left;margin-left:112.85pt;margin-top:11.4pt;width:36pt;height:12pt;z-index:251595776" filled="f" stroked="f">
            <v:textbox style="mso-next-textbox:#_x0000_s5516;mso-fit-shape-to-text:t" inset="0,0,0,0">
              <w:txbxContent>
                <w:p w:rsidR="00A905B7" w:rsidRPr="00103DCC" w:rsidRDefault="00A905B7" w:rsidP="00002BA6">
                  <w:r w:rsidRPr="00103DCC">
                    <w:t>m</w:t>
                  </w:r>
                  <w:r w:rsidRPr="00103DCC">
                    <w:rPr>
                      <w:vertAlign w:val="subscript"/>
                    </w:rPr>
                    <w:t xml:space="preserve">PM </w:t>
                  </w:r>
                  <w:r w:rsidRPr="00103DCC">
                    <w:t>=</w:t>
                  </w:r>
                  <w:r>
                    <w:t xml:space="preserve"> </w:t>
                  </w:r>
                </w:p>
              </w:txbxContent>
            </v:textbox>
          </v:rect>
        </w:pict>
      </w:r>
      <w:r>
        <w:rPr>
          <w:lang w:val="en-GB"/>
        </w:rPr>
      </w:r>
      <w:r>
        <w:rPr>
          <w:lang w:val="en-GB"/>
        </w:rPr>
        <w:pict>
          <v:group id="_x0000_s4791" editas="canvas" style="width:64pt;height:35.05pt;mso-position-horizontal-relative:char;mso-position-vertical-relative:line" coordsize="1280,701">
            <o:lock v:ext="edit" aspectratio="t"/>
            <v:shape id="_x0000_s4792" type="#_x0000_t75" style="position:absolute;width:1280;height:701" o:preferrelative="f">
              <v:fill o:detectmouseclick="t"/>
              <v:path o:extrusionok="t" o:connecttype="none"/>
              <o:lock v:ext="edit" text="t"/>
            </v:shape>
            <v:line id="_x0000_s4793" style="position:absolute" from="40,360" to="513,360" strokeweight=".5pt"/>
            <v:line id="_x0000_s4794" style="position:absolute" from="696,360" to="1234,360" strokeweight=".5pt"/>
            <v:rect id="_x0000_s4795" style="position:absolute;left:686;top:393;width:451;height:240;mso-wrap-style:none" filled="f" stroked="f">
              <v:textbox style="mso-next-textbox:#_x0000_s4795;mso-fit-shape-to-text:t" inset="0,0,0,0">
                <w:txbxContent>
                  <w:p w:rsidR="00A905B7" w:rsidRPr="00103DCC" w:rsidRDefault="00A905B7">
                    <w:r w:rsidRPr="00103DCC">
                      <w:rPr>
                        <w:color w:val="000000"/>
                      </w:rPr>
                      <w:t>1,000</w:t>
                    </w:r>
                  </w:p>
                </w:txbxContent>
              </v:textbox>
            </v:rect>
            <v:rect id="_x0000_s4796" style="position:absolute;left:963;top:100;width:156;height:240;mso-wrap-style:none" filled="f" stroked="f">
              <v:textbox style="mso-next-textbox:#_x0000_s4796;mso-fit-shape-to-text:t" inset="0,0,0,0">
                <w:txbxContent>
                  <w:p w:rsidR="00A905B7" w:rsidRDefault="00A905B7">
                    <w:r>
                      <w:rPr>
                        <w:rFonts w:ascii="Arial" w:hAnsi="Arial" w:cs="Arial"/>
                        <w:color w:val="000000"/>
                        <w:sz w:val="14"/>
                        <w:szCs w:val="14"/>
                      </w:rPr>
                      <w:t>ed</w:t>
                    </w:r>
                  </w:p>
                </w:txbxContent>
              </v:textbox>
            </v:rect>
            <v:rect id="_x0000_s4797" style="position:absolute;left:204;top:461;width:226;height:240;mso-wrap-style:none" filled="f" stroked="f">
              <v:textbox style="mso-next-textbox:#_x0000_s4797;mso-fit-shape-to-text:t" inset="0,0,0,0">
                <w:txbxContent>
                  <w:p w:rsidR="00A905B7" w:rsidRDefault="00A905B7">
                    <w:r>
                      <w:rPr>
                        <w:rFonts w:ascii="Arial" w:hAnsi="Arial" w:cs="Arial"/>
                        <w:color w:val="000000"/>
                        <w:sz w:val="14"/>
                        <w:szCs w:val="14"/>
                      </w:rPr>
                      <w:t>sep</w:t>
                    </w:r>
                  </w:p>
                </w:txbxContent>
              </v:textbox>
            </v:rect>
            <v:rect id="_x0000_s4798" style="position:absolute;left:297;top:92;width:78;height:240;mso-wrap-style:none" filled="f" stroked="f">
              <v:textbox style="mso-next-textbox:#_x0000_s4798;mso-fit-shape-to-text:t" inset="0,0,0,0">
                <w:txbxContent>
                  <w:p w:rsidR="00A905B7" w:rsidRPr="00103DCC" w:rsidRDefault="00A905B7" w:rsidP="00B2512B">
                    <w:pPr>
                      <w:ind w:right="-65"/>
                      <w:rPr>
                        <w:sz w:val="14"/>
                        <w:szCs w:val="14"/>
                      </w:rPr>
                    </w:pPr>
                    <w:r w:rsidRPr="00103DCC">
                      <w:rPr>
                        <w:rFonts w:ascii="Arial" w:hAnsi="Arial" w:cs="Arial"/>
                        <w:color w:val="000000"/>
                        <w:sz w:val="14"/>
                        <w:szCs w:val="14"/>
                      </w:rPr>
                      <w:t>p</w:t>
                    </w:r>
                  </w:p>
                </w:txbxContent>
              </v:textbox>
            </v:rect>
            <v:rect id="_x0000_s4799" style="position:absolute;left:803;top:77;width:156;height:240;mso-wrap-style:none" filled="f" stroked="f">
              <v:textbox style="mso-next-textbox:#_x0000_s4799;mso-fit-shape-to-text:t" inset="0,0,0,0">
                <w:txbxContent>
                  <w:p w:rsidR="00A905B7" w:rsidRPr="00103DCC" w:rsidRDefault="00A905B7">
                    <w:r w:rsidRPr="00103DCC">
                      <w:rPr>
                        <w:iCs/>
                        <w:color w:val="000000"/>
                      </w:rPr>
                      <w:t>m</w:t>
                    </w:r>
                  </w:p>
                </w:txbxContent>
              </v:textbox>
            </v:rect>
            <v:rect id="_x0000_s4800" style="position:absolute;left:56;top:393;width:156;height:240;mso-wrap-style:none" filled="f" stroked="f">
              <v:textbox style="mso-next-textbox:#_x0000_s4800;mso-fit-shape-to-text:t" inset="0,0,0,0">
                <w:txbxContent>
                  <w:p w:rsidR="00A905B7" w:rsidRPr="00103DCC" w:rsidRDefault="00A905B7">
                    <w:r w:rsidRPr="00103DCC">
                      <w:rPr>
                        <w:iCs/>
                        <w:color w:val="000000"/>
                      </w:rPr>
                      <w:t>m</w:t>
                    </w:r>
                  </w:p>
                </w:txbxContent>
              </v:textbox>
            </v:rect>
            <v:rect id="_x0000_s4801" style="position:absolute;left:133;top:64;width:156;height:240;mso-wrap-style:none" filled="f" stroked="f">
              <v:textbox style="mso-next-textbox:#_x0000_s4801;mso-fit-shape-to-text:t" inset="0,0,0,0">
                <w:txbxContent>
                  <w:p w:rsidR="00A905B7" w:rsidRPr="00103DCC" w:rsidRDefault="00A905B7">
                    <w:r w:rsidRPr="00103DCC">
                      <w:rPr>
                        <w:iCs/>
                        <w:color w:val="000000"/>
                      </w:rPr>
                      <w:t>m</w:t>
                    </w:r>
                  </w:p>
                </w:txbxContent>
              </v:textbox>
            </v:rect>
            <v:rect id="_x0000_s4802" style="position:absolute;left:554;top:239;width:99;height:240;mso-wrap-style:none" filled="f" stroked="f">
              <v:textbox style="mso-next-textbox:#_x0000_s4802;mso-fit-shape-to-text:t" inset="0,0,0,0">
                <w:txbxContent>
                  <w:p w:rsidR="00A905B7" w:rsidRDefault="00A905B7">
                    <w:r>
                      <w:rPr>
                        <w:rFonts w:ascii="Symbol" w:hAnsi="Symbol" w:cs="Symbol"/>
                        <w:color w:val="000000"/>
                        <w:sz w:val="18"/>
                        <w:szCs w:val="18"/>
                      </w:rPr>
                      <w:t></w:t>
                    </w:r>
                  </w:p>
                </w:txbxContent>
              </v:textbox>
            </v:rect>
            <w10:wrap type="none"/>
            <w10:anchorlock/>
          </v:group>
        </w:pict>
      </w:r>
      <w:r w:rsidR="00002BA6" w:rsidRPr="00B04DC3">
        <w:rPr>
          <w:lang w:val="en-GB"/>
        </w:rPr>
        <w:tab/>
        <w:t>(63)</w:t>
      </w:r>
    </w:p>
    <w:p w:rsidR="00002BA6" w:rsidRPr="00B04DC3" w:rsidRDefault="00D71F62" w:rsidP="00002BA6">
      <w:pPr>
        <w:pStyle w:val="para"/>
        <w:ind w:firstLine="0"/>
        <w:rPr>
          <w:lang w:val="en-GB"/>
        </w:rPr>
      </w:pPr>
      <w:r w:rsidRPr="00B04DC3">
        <w:rPr>
          <w:lang w:val="en-GB"/>
        </w:rPr>
        <w:t>Where</w:t>
      </w:r>
      <w:r w:rsidR="00002BA6" w:rsidRPr="00B04DC3">
        <w:rPr>
          <w:lang w:val="en-GB"/>
        </w:rPr>
        <w:t>:</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p</w:t>
      </w:r>
      <w:r w:rsidRPr="00B04DC3">
        <w:rPr>
          <w:lang w:val="en-GB"/>
        </w:rPr>
        <w:tab/>
        <w:t>is the particulate mass sampled over the cycle, mg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sep</w:t>
      </w:r>
      <w:r w:rsidRPr="00B04DC3">
        <w:rPr>
          <w:lang w:val="en-GB"/>
        </w:rPr>
        <w:t xml:space="preserve"> </w:t>
      </w:r>
      <w:r w:rsidRPr="00B04DC3">
        <w:rPr>
          <w:lang w:val="en-GB"/>
        </w:rPr>
        <w:tab/>
        <w:t>is the mass of diluted exhaust gas passing the particulate collection filters,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ed</w:t>
      </w:r>
      <w:r w:rsidRPr="00B04DC3">
        <w:rPr>
          <w:lang w:val="en-GB"/>
        </w:rPr>
        <w:tab/>
        <w:t>is the mass of diluted exhaust gas over the cycle, kg</w:t>
      </w:r>
    </w:p>
    <w:p w:rsidR="00002BA6" w:rsidRPr="00B04DC3" w:rsidRDefault="00002BA6" w:rsidP="00002BA6">
      <w:pPr>
        <w:pStyle w:val="para"/>
        <w:ind w:left="2842" w:hanging="574"/>
        <w:rPr>
          <w:lang w:val="en-GB"/>
        </w:rPr>
      </w:pPr>
      <w:r w:rsidRPr="00B04DC3">
        <w:rPr>
          <w:lang w:val="en-GB"/>
        </w:rPr>
        <w:t>with</w:t>
      </w:r>
      <w:r w:rsidR="00E31D0F">
        <w:rPr>
          <w:lang w:val="en-GB"/>
        </w:rPr>
        <w:t>:</w:t>
      </w:r>
    </w:p>
    <w:p w:rsidR="00002BA6" w:rsidRPr="00B04DC3" w:rsidRDefault="00002BA6" w:rsidP="00002BA6">
      <w:pPr>
        <w:pStyle w:val="para"/>
        <w:tabs>
          <w:tab w:val="right" w:pos="8500"/>
        </w:tabs>
        <w:ind w:firstLine="0"/>
        <w:rPr>
          <w:lang w:val="en-GB"/>
        </w:rPr>
      </w:pPr>
      <w:r w:rsidRPr="00B04DC3">
        <w:rPr>
          <w:lang w:val="en-GB"/>
        </w:rPr>
        <w:t>m</w:t>
      </w:r>
      <w:r w:rsidRPr="00B04DC3">
        <w:rPr>
          <w:vertAlign w:val="subscript"/>
          <w:lang w:val="en-GB"/>
        </w:rPr>
        <w:t>sep</w:t>
      </w:r>
      <w:r w:rsidRPr="00B04DC3">
        <w:rPr>
          <w:lang w:val="en-GB"/>
        </w:rPr>
        <w:t xml:space="preserve"> = m</w:t>
      </w:r>
      <w:r w:rsidRPr="00B04DC3">
        <w:rPr>
          <w:vertAlign w:val="subscript"/>
          <w:lang w:val="en-GB"/>
        </w:rPr>
        <w:t>set</w:t>
      </w:r>
      <w:r w:rsidRPr="00B04DC3">
        <w:rPr>
          <w:lang w:val="en-GB"/>
        </w:rPr>
        <w:t xml:space="preserve"> - m</w:t>
      </w:r>
      <w:r w:rsidRPr="00B04DC3">
        <w:rPr>
          <w:vertAlign w:val="subscript"/>
          <w:lang w:val="en-GB"/>
        </w:rPr>
        <w:t>ssd</w:t>
      </w:r>
      <w:r w:rsidRPr="00B04DC3">
        <w:rPr>
          <w:lang w:val="en-GB"/>
        </w:rPr>
        <w:tab/>
        <w:t>(64)</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set</w:t>
      </w:r>
      <w:r w:rsidRPr="00B04DC3">
        <w:rPr>
          <w:lang w:val="en-GB"/>
        </w:rPr>
        <w:t xml:space="preserve"> </w:t>
      </w:r>
      <w:r w:rsidRPr="00B04DC3">
        <w:rPr>
          <w:lang w:val="en-GB"/>
        </w:rPr>
        <w:tab/>
        <w:t>is the mass of double diluted exhaust gas through particulate filter,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ssd</w:t>
      </w:r>
      <w:r w:rsidRPr="00B04DC3">
        <w:rPr>
          <w:lang w:val="en-GB"/>
        </w:rPr>
        <w:tab/>
        <w:t xml:space="preserve">is the mass of secondary diluent, kg </w:t>
      </w:r>
    </w:p>
    <w:p w:rsidR="00002BA6" w:rsidRPr="00B04DC3" w:rsidRDefault="00002BA6" w:rsidP="000C0C96">
      <w:pPr>
        <w:pStyle w:val="para"/>
        <w:keepNext/>
        <w:keepLines/>
        <w:rPr>
          <w:lang w:val="en-GB"/>
        </w:rPr>
      </w:pPr>
      <w:r w:rsidRPr="00B04DC3">
        <w:rPr>
          <w:lang w:val="en-GB"/>
        </w:rPr>
        <w:tab/>
        <w:t>If the particulate background level of the diluent is determined in accordance with paragraph 7.5.6.</w:t>
      </w:r>
      <w:r w:rsidR="00FF0BF4">
        <w:rPr>
          <w:lang w:val="en-GB"/>
        </w:rPr>
        <w:t xml:space="preserve"> of this annex</w:t>
      </w:r>
      <w:r w:rsidRPr="00B04DC3">
        <w:rPr>
          <w:lang w:val="en-GB"/>
        </w:rPr>
        <w:t>, the particulate mass may be background corrected. In this case, the particulate mass (g/test) shall be calculated as follows:</w:t>
      </w:r>
    </w:p>
    <w:p w:rsidR="00002BA6" w:rsidRPr="00E31D0F" w:rsidRDefault="00A905B7" w:rsidP="00002BA6">
      <w:pPr>
        <w:pStyle w:val="para"/>
        <w:tabs>
          <w:tab w:val="right" w:pos="8500"/>
        </w:tabs>
        <w:ind w:left="3119" w:firstLine="0"/>
        <w:rPr>
          <w:rFonts w:ascii="TimesNewRoman" w:hAnsi="TimesNewRoman" w:cs="TimesNewRoman"/>
          <w:position w:val="40"/>
          <w:lang w:val="en-GB"/>
        </w:rPr>
      </w:pPr>
      <w:r>
        <w:rPr>
          <w:noProof/>
          <w:lang w:val="en-GB"/>
        </w:rPr>
        <w:pict>
          <v:shape id="_x0000_s5507" type="#_x0000_t202" style="position:absolute;left:0;text-align:left;margin-left:113.65pt;margin-top:5.2pt;width:36.1pt;height:27.2pt;z-index:251589632" stroked="f">
            <v:textbox>
              <w:txbxContent>
                <w:p w:rsidR="00A905B7" w:rsidRDefault="00A905B7" w:rsidP="00002BA6">
                  <w:pPr>
                    <w:ind w:left="-142" w:right="-231"/>
                  </w:pPr>
                  <w:r w:rsidRPr="00D5328B">
                    <w:t>m</w:t>
                  </w:r>
                  <w:r w:rsidRPr="00383465">
                    <w:rPr>
                      <w:vertAlign w:val="subscript"/>
                    </w:rPr>
                    <w:t>PM</w:t>
                  </w:r>
                  <w:r w:rsidRPr="007B6120">
                    <w:t xml:space="preserve"> </w:t>
                  </w:r>
                  <w:r>
                    <w:t>=</w:t>
                  </w:r>
                </w:p>
              </w:txbxContent>
            </v:textbox>
          </v:shape>
        </w:pict>
      </w:r>
      <w:r>
        <w:rPr>
          <w:noProof/>
          <w:lang w:val="en-GB"/>
        </w:rPr>
        <w:pict>
          <v:shape id="_x0000_s5506" type="#_x0000_t202" style="position:absolute;left:0;text-align:left;margin-left:-3.6pt;margin-top:1in;width:27pt;height:27pt;z-index:251588608" stroked="f">
            <v:textbox style="mso-next-textbox:#_x0000_s5506">
              <w:txbxContent>
                <w:p w:rsidR="00A905B7" w:rsidRDefault="00A905B7"/>
              </w:txbxContent>
            </v:textbox>
          </v:shape>
        </w:pict>
      </w:r>
      <w:r>
        <w:rPr>
          <w:lang w:val="en-GB"/>
        </w:rPr>
      </w:r>
      <w:r>
        <w:rPr>
          <w:lang w:val="en-GB"/>
        </w:rPr>
        <w:pict>
          <v:group id="_x0000_s4803" editas="canvas" style="width:153pt;height:33.25pt;mso-position-horizontal-relative:char;mso-position-vertical-relative:line" coordsize="3060,665">
            <o:lock v:ext="edit" aspectratio="t"/>
            <v:shape id="_x0000_s4804" type="#_x0000_t75" style="position:absolute;width:3060;height:665" o:preferrelative="f">
              <v:fill o:detectmouseclick="t"/>
              <v:path o:extrusionok="t" o:connecttype="none"/>
              <o:lock v:ext="edit" text="t"/>
            </v:shape>
            <v:line id="_x0000_s4805" style="position:absolute" from="141,360" to="562,360" strokeweight=".5pt"/>
            <v:line id="_x0000_s4806" style="position:absolute" from="874,360" to="1213,360" strokeweight=".5pt"/>
            <v:line id="_x0000_s4807" style="position:absolute" from="1738,360" to="1950,360" strokeweight=".5pt"/>
            <v:line id="_x0000_s4808" style="position:absolute" from="2463,360" to="3002,360" strokeweight=".5pt"/>
            <v:rect id="_x0000_s4809" style="position:absolute;left:2453;top:393;width:451;height:240;mso-wrap-style:none" filled="f" stroked="f">
              <v:textbox style="mso-next-textbox:#_x0000_s4809;mso-fit-shape-to-text:t" inset="0,0,0,0">
                <w:txbxContent>
                  <w:p w:rsidR="00A905B7" w:rsidRDefault="00A905B7">
                    <w:r>
                      <w:rPr>
                        <w:color w:val="000000"/>
                        <w:szCs w:val="24"/>
                      </w:rPr>
                      <w:t>1,000</w:t>
                    </w:r>
                  </w:p>
                </w:txbxContent>
              </v:textbox>
            </v:rect>
            <v:rect id="_x0000_s4810" style="position:absolute;left:1784;top:55;width:101;height:240;mso-wrap-style:none" filled="f" stroked="f">
              <v:textbox style="mso-next-textbox:#_x0000_s4810;mso-fit-shape-to-text:t" inset="0,0,0,0">
                <w:txbxContent>
                  <w:p w:rsidR="00A905B7" w:rsidRDefault="00A905B7">
                    <w:r>
                      <w:rPr>
                        <w:color w:val="000000"/>
                        <w:szCs w:val="24"/>
                      </w:rPr>
                      <w:t>1</w:t>
                    </w:r>
                  </w:p>
                </w:txbxContent>
              </v:textbox>
            </v:rect>
            <v:rect id="_x0000_s4811" style="position:absolute;left:1616;top:206;width:67;height:240;mso-wrap-style:none" filled="f" stroked="f">
              <v:textbox style="mso-next-textbox:#_x0000_s4811;mso-fit-shape-to-text:t" inset="0,0,0,0">
                <w:txbxContent>
                  <w:p w:rsidR="00A905B7" w:rsidRDefault="00A905B7">
                    <w:r>
                      <w:rPr>
                        <w:color w:val="000000"/>
                        <w:szCs w:val="24"/>
                      </w:rPr>
                      <w:t>-</w:t>
                    </w:r>
                  </w:p>
                </w:txbxContent>
              </v:textbox>
            </v:rect>
            <v:rect id="_x0000_s4812" style="position:absolute;left:1478;top:206;width:101;height:240;mso-wrap-style:none" filled="f" stroked="f">
              <v:textbox style="mso-next-textbox:#_x0000_s4812;mso-fit-shape-to-text:t" inset="0,0,0,0">
                <w:txbxContent>
                  <w:p w:rsidR="00A905B7" w:rsidRDefault="00A905B7">
                    <w:r>
                      <w:rPr>
                        <w:color w:val="000000"/>
                        <w:szCs w:val="24"/>
                      </w:rPr>
                      <w:t>1</w:t>
                    </w:r>
                  </w:p>
                </w:txbxContent>
              </v:textbox>
            </v:rect>
            <v:rect id="_x0000_s4813" style="position:absolute;left:2731;top:130;width:156;height:240;mso-wrap-style:none" filled="f" stroked="f">
              <v:textbox style="mso-next-textbox:#_x0000_s4813;mso-fit-shape-to-text:t" inset="0,0,0,0">
                <w:txbxContent>
                  <w:p w:rsidR="00A905B7" w:rsidRDefault="00A905B7">
                    <w:r>
                      <w:rPr>
                        <w:rFonts w:ascii="Arial" w:hAnsi="Arial" w:cs="Arial"/>
                        <w:color w:val="000000"/>
                        <w:sz w:val="14"/>
                        <w:szCs w:val="14"/>
                      </w:rPr>
                      <w:t>ed</w:t>
                    </w:r>
                  </w:p>
                </w:txbxContent>
              </v:textbox>
            </v:rect>
            <v:rect id="_x0000_s4814" style="position:absolute;left:1046;top:413;width:148;height:240;mso-wrap-style:none" filled="f" stroked="f">
              <v:textbox style="mso-next-textbox:#_x0000_s4814;mso-fit-shape-to-text:t" inset="0,0,0,0">
                <w:txbxContent>
                  <w:p w:rsidR="00A905B7" w:rsidRDefault="00A905B7">
                    <w:r>
                      <w:rPr>
                        <w:rFonts w:ascii="Arial" w:hAnsi="Arial" w:cs="Arial"/>
                        <w:color w:val="000000"/>
                        <w:sz w:val="14"/>
                        <w:szCs w:val="14"/>
                      </w:rPr>
                      <w:t>sd</w:t>
                    </w:r>
                  </w:p>
                </w:txbxContent>
              </v:textbox>
            </v:rect>
            <v:rect id="_x0000_s4815" style="position:absolute;left:1077;top:130;width:78;height:240;mso-wrap-style:none" filled="f" stroked="f">
              <v:textbox style="mso-next-textbox:#_x0000_s4815;mso-fit-shape-to-text:t" inset="0,0,0,0">
                <w:txbxContent>
                  <w:p w:rsidR="00A905B7" w:rsidRDefault="00A905B7">
                    <w:r>
                      <w:rPr>
                        <w:rFonts w:ascii="Arial" w:hAnsi="Arial" w:cs="Arial"/>
                        <w:color w:val="000000"/>
                        <w:sz w:val="14"/>
                        <w:szCs w:val="14"/>
                      </w:rPr>
                      <w:t>b</w:t>
                    </w:r>
                  </w:p>
                </w:txbxContent>
              </v:textbox>
            </v:rect>
            <v:rect id="_x0000_s4816" style="position:absolute;left:313;top:403;width:301;height:247" filled="f" stroked="f">
              <v:textbox style="mso-next-textbox:#_x0000_s4816" inset="0,0,0,0">
                <w:txbxContent>
                  <w:p w:rsidR="00A905B7" w:rsidRDefault="00A905B7">
                    <w:r>
                      <w:rPr>
                        <w:rFonts w:ascii="Arial" w:hAnsi="Arial" w:cs="Arial"/>
                        <w:color w:val="000000"/>
                        <w:sz w:val="14"/>
                        <w:szCs w:val="14"/>
                      </w:rPr>
                      <w:t>sep</w:t>
                    </w:r>
                  </w:p>
                </w:txbxContent>
              </v:textbox>
            </v:rect>
            <v:rect id="_x0000_s4817" style="position:absolute;left:385;top:125;width:78;height:240;mso-wrap-style:none" filled="f" stroked="f">
              <v:textbox style="mso-next-textbox:#_x0000_s4817;mso-fit-shape-to-text:t" inset="0,0,0,0">
                <w:txbxContent>
                  <w:p w:rsidR="00A905B7" w:rsidRDefault="00A905B7">
                    <w:r>
                      <w:rPr>
                        <w:rFonts w:ascii="Arial" w:hAnsi="Arial" w:cs="Arial"/>
                        <w:color w:val="000000"/>
                        <w:sz w:val="14"/>
                        <w:szCs w:val="14"/>
                      </w:rPr>
                      <w:t>p</w:t>
                    </w:r>
                  </w:p>
                </w:txbxContent>
              </v:textbox>
            </v:rect>
            <v:rect id="_x0000_s4818" style="position:absolute;left:2571;top:77;width:156;height:240;mso-wrap-style:none" filled="f" stroked="f">
              <v:textbox style="mso-next-textbox:#_x0000_s4818;mso-fit-shape-to-text:t" inset="0,0,0,0">
                <w:txbxContent>
                  <w:p w:rsidR="00A905B7" w:rsidRPr="00D5328B" w:rsidRDefault="00A905B7">
                    <w:r w:rsidRPr="00D5328B">
                      <w:rPr>
                        <w:iCs/>
                        <w:color w:val="000000"/>
                        <w:szCs w:val="24"/>
                      </w:rPr>
                      <w:t>m</w:t>
                    </w:r>
                  </w:p>
                </w:txbxContent>
              </v:textbox>
            </v:rect>
            <v:rect id="_x0000_s4819" style="position:absolute;left:1761;top:393;width:145;height:240;mso-wrap-style:none" filled="f" stroked="f">
              <v:textbox style="mso-next-textbox:#_x0000_s4819;mso-fit-shape-to-text:t" inset="0,0,0,0">
                <w:txbxContent>
                  <w:p w:rsidR="00A905B7" w:rsidRPr="00D5328B" w:rsidRDefault="00A905B7">
                    <w:r w:rsidRPr="00D5328B">
                      <w:rPr>
                        <w:iCs/>
                        <w:color w:val="000000"/>
                        <w:szCs w:val="24"/>
                      </w:rPr>
                      <w:t>D</w:t>
                    </w:r>
                  </w:p>
                </w:txbxContent>
              </v:textbox>
            </v:rect>
            <v:rect id="_x0000_s4820" style="position:absolute;left:886;top:350;width:156;height:240;mso-wrap-style:none" filled="f" stroked="f">
              <v:textbox style="mso-next-textbox:#_x0000_s4820;mso-fit-shape-to-text:t" inset="0,0,0,0">
                <w:txbxContent>
                  <w:p w:rsidR="00A905B7" w:rsidRPr="00237262" w:rsidRDefault="00A905B7">
                    <w:r w:rsidRPr="00237262">
                      <w:rPr>
                        <w:iCs/>
                        <w:color w:val="000000"/>
                        <w:szCs w:val="24"/>
                      </w:rPr>
                      <w:t>m</w:t>
                    </w:r>
                  </w:p>
                </w:txbxContent>
              </v:textbox>
            </v:rect>
            <v:rect id="_x0000_s4821" style="position:absolute;left:921;top:77;width:156;height:240;mso-wrap-style:none" filled="f" stroked="f">
              <v:textbox style="mso-next-textbox:#_x0000_s4821;mso-fit-shape-to-text:t" inset="0,0,0,0">
                <w:txbxContent>
                  <w:p w:rsidR="00A905B7" w:rsidRPr="00237262" w:rsidRDefault="00A905B7">
                    <w:r w:rsidRPr="00237262">
                      <w:rPr>
                        <w:iCs/>
                        <w:color w:val="000000"/>
                        <w:szCs w:val="24"/>
                      </w:rPr>
                      <w:t>m</w:t>
                    </w:r>
                  </w:p>
                </w:txbxContent>
              </v:textbox>
            </v:rect>
            <v:rect id="_x0000_s4822" style="position:absolute;left:153;top:350;width:156;height:240;mso-wrap-style:none" filled="f" stroked="f">
              <v:textbox style="mso-next-textbox:#_x0000_s4822;mso-fit-shape-to-text:t" inset="0,0,0,0">
                <w:txbxContent>
                  <w:p w:rsidR="00A905B7" w:rsidRPr="00D5328B" w:rsidRDefault="00A905B7">
                    <w:r w:rsidRPr="00D5328B">
                      <w:rPr>
                        <w:iCs/>
                        <w:color w:val="000000"/>
                        <w:szCs w:val="24"/>
                      </w:rPr>
                      <w:t>m</w:t>
                    </w:r>
                  </w:p>
                </w:txbxContent>
              </v:textbox>
            </v:rect>
            <v:rect id="_x0000_s4823" style="position:absolute;left:229;top:52;width:156;height:240;mso-wrap-style:none" filled="f" stroked="f">
              <v:textbox style="mso-next-textbox:#_x0000_s4823;mso-fit-shape-to-text:t" inset="0,0,0,0">
                <w:txbxContent>
                  <w:p w:rsidR="00A905B7" w:rsidRPr="00D5328B" w:rsidRDefault="00A905B7">
                    <w:r w:rsidRPr="00D5328B">
                      <w:rPr>
                        <w:iCs/>
                        <w:color w:val="000000"/>
                        <w:szCs w:val="24"/>
                      </w:rPr>
                      <w:t>m</w:t>
                    </w:r>
                  </w:p>
                </w:txbxContent>
              </v:textbox>
            </v:rect>
            <v:rect id="_x0000_s4824" style="position:absolute;left:2321;top:239;width:99;height:240;mso-wrap-style:none" filled="f" stroked="f">
              <v:textbox style="mso-next-textbox:#_x0000_s4824;mso-fit-shape-to-text:t" inset="0,0,0,0">
                <w:txbxContent>
                  <w:p w:rsidR="00A905B7" w:rsidRDefault="00A905B7">
                    <w:r>
                      <w:rPr>
                        <w:rFonts w:ascii="Symbol" w:hAnsi="Symbol" w:cs="Symbol"/>
                        <w:color w:val="000000"/>
                        <w:sz w:val="18"/>
                        <w:szCs w:val="18"/>
                      </w:rPr>
                      <w:t></w:t>
                    </w:r>
                  </w:p>
                </w:txbxContent>
              </v:textbox>
            </v:rect>
            <v:rect id="_x0000_s4825" style="position:absolute;left:1254;top:239;width:99;height:240;mso-wrap-style:none" filled="f" stroked="f">
              <v:textbox style="mso-next-textbox:#_x0000_s4825;mso-fit-shape-to-text:t" inset="0,0,0,0">
                <w:txbxContent>
                  <w:p w:rsidR="00A905B7" w:rsidRDefault="00A905B7">
                    <w:r>
                      <w:rPr>
                        <w:rFonts w:ascii="Symbol" w:hAnsi="Symbol" w:cs="Symbol"/>
                        <w:color w:val="000000"/>
                        <w:sz w:val="18"/>
                        <w:szCs w:val="18"/>
                      </w:rPr>
                      <w:t></w:t>
                    </w:r>
                  </w:p>
                </w:txbxContent>
              </v:textbox>
            </v:rect>
            <v:rect id="_x0000_s4826" style="position:absolute;left:614;top:239;width:99;height:240;mso-wrap-style:none" filled="f" stroked="f">
              <v:textbox style="mso-next-textbox:#_x0000_s4826;mso-fit-shape-to-text:t" inset="0,0,0,0">
                <w:txbxContent>
                  <w:p w:rsidR="00A905B7" w:rsidRDefault="00A905B7">
                    <w:r>
                      <w:rPr>
                        <w:rFonts w:ascii="Symbol" w:hAnsi="Symbol" w:cs="Symbol"/>
                        <w:color w:val="000000"/>
                        <w:sz w:val="18"/>
                        <w:szCs w:val="18"/>
                      </w:rPr>
                      <w:t></w:t>
                    </w:r>
                  </w:p>
                </w:txbxContent>
              </v:textbox>
            </v:rect>
            <v:rect id="_x0000_s4827" style="position:absolute;left:2190;top:251;width:77;height:245;mso-wrap-style:none" filled="f" stroked="f">
              <v:textbox style="mso-next-textbox:#_x0000_s4827;mso-fit-shape-to-text:t" inset="0,0,0,0">
                <w:txbxContent>
                  <w:p w:rsidR="00A905B7" w:rsidRDefault="00A905B7">
                    <w:r>
                      <w:rPr>
                        <w:rFonts w:ascii="Symbol" w:hAnsi="Symbol" w:cs="Symbol"/>
                        <w:color w:val="000000"/>
                        <w:szCs w:val="24"/>
                      </w:rPr>
                      <w:t></w:t>
                    </w:r>
                  </w:p>
                </w:txbxContent>
              </v:textbox>
            </v:rect>
            <v:rect id="_x0000_s4828" style="position:absolute;left:2190;top:420;width:77;height:245;mso-wrap-style:none" filled="f" stroked="f">
              <v:textbox style="mso-next-textbox:#_x0000_s4828;mso-fit-shape-to-text:t" inset="0,0,0,0">
                <w:txbxContent>
                  <w:p w:rsidR="00A905B7" w:rsidRDefault="00A905B7">
                    <w:r>
                      <w:rPr>
                        <w:rFonts w:ascii="Symbol" w:hAnsi="Symbol" w:cs="Symbol"/>
                        <w:color w:val="000000"/>
                        <w:szCs w:val="24"/>
                      </w:rPr>
                      <w:t></w:t>
                    </w:r>
                  </w:p>
                </w:txbxContent>
              </v:textbox>
            </v:rect>
            <v:rect id="_x0000_s4829" style="position:absolute;left:2190;top:21;width:77;height:245;mso-wrap-style:none" filled="f" stroked="f">
              <v:textbox style="mso-next-textbox:#_x0000_s4829;mso-fit-shape-to-text:t" inset="0,0,0,0">
                <w:txbxContent>
                  <w:p w:rsidR="00A905B7" w:rsidRDefault="00A905B7">
                    <w:r>
                      <w:rPr>
                        <w:rFonts w:ascii="Symbol" w:hAnsi="Symbol" w:cs="Symbol"/>
                        <w:color w:val="000000"/>
                        <w:szCs w:val="24"/>
                      </w:rPr>
                      <w:t></w:t>
                    </w:r>
                  </w:p>
                </w:txbxContent>
              </v:textbox>
            </v:rect>
            <v:rect id="_x0000_s4830" style="position:absolute;left:40;top:251;width:77;height:245;mso-wrap-style:none" filled="f" stroked="f">
              <v:textbox style="mso-next-textbox:#_x0000_s4830;mso-fit-shape-to-text:t" inset="0,0,0,0">
                <w:txbxContent>
                  <w:p w:rsidR="00A905B7" w:rsidRDefault="00A905B7">
                    <w:r>
                      <w:rPr>
                        <w:rFonts w:ascii="Symbol" w:hAnsi="Symbol" w:cs="Symbol"/>
                        <w:color w:val="000000"/>
                        <w:szCs w:val="24"/>
                      </w:rPr>
                      <w:t></w:t>
                    </w:r>
                  </w:p>
                </w:txbxContent>
              </v:textbox>
            </v:rect>
            <v:rect id="_x0000_s4831" style="position:absolute;left:40;top:420;width:77;height:245;mso-wrap-style:none" filled="f" stroked="f">
              <v:textbox style="mso-next-textbox:#_x0000_s4831;mso-fit-shape-to-text:t" inset="0,0,0,0">
                <w:txbxContent>
                  <w:p w:rsidR="00A905B7" w:rsidRDefault="00A905B7">
                    <w:r>
                      <w:rPr>
                        <w:rFonts w:ascii="Symbol" w:hAnsi="Symbol" w:cs="Symbol"/>
                        <w:color w:val="000000"/>
                        <w:szCs w:val="24"/>
                      </w:rPr>
                      <w:t></w:t>
                    </w:r>
                  </w:p>
                </w:txbxContent>
              </v:textbox>
            </v:rect>
            <v:rect id="_x0000_s4832" style="position:absolute;left:40;top:21;width:77;height:245;mso-wrap-style:none" filled="f" stroked="f">
              <v:textbox style="mso-next-textbox:#_x0000_s4832;mso-fit-shape-to-text:t" inset="0,0,0,0">
                <w:txbxContent>
                  <w:p w:rsidR="00A905B7" w:rsidRDefault="00A905B7">
                    <w:r>
                      <w:rPr>
                        <w:rFonts w:ascii="Symbol" w:hAnsi="Symbol" w:cs="Symbol"/>
                        <w:color w:val="000000"/>
                        <w:szCs w:val="24"/>
                      </w:rPr>
                      <w:t></w:t>
                    </w:r>
                  </w:p>
                </w:txbxContent>
              </v:textbox>
            </v:rect>
            <v:rect id="_x0000_s4833" style="position:absolute;left:2093;top:190;width:77;height:245;mso-wrap-style:none" filled="f" stroked="f">
              <v:textbox style="mso-next-textbox:#_x0000_s4833;mso-fit-shape-to-text:t" inset="0,0,0,0">
                <w:txbxContent>
                  <w:p w:rsidR="00A905B7" w:rsidRDefault="00A905B7">
                    <w:r>
                      <w:rPr>
                        <w:rFonts w:ascii="Symbol" w:hAnsi="Symbol" w:cs="Symbol"/>
                        <w:color w:val="000000"/>
                        <w:szCs w:val="24"/>
                      </w:rPr>
                      <w:t></w:t>
                    </w:r>
                  </w:p>
                </w:txbxContent>
              </v:textbox>
            </v:rect>
            <v:rect id="_x0000_s4834" style="position:absolute;left:2093;top:405;width:77;height:245;mso-wrap-style:none" filled="f" stroked="f">
              <v:textbox style="mso-next-textbox:#_x0000_s4834;mso-fit-shape-to-text:t" inset="0,0,0,0">
                <w:txbxContent>
                  <w:p w:rsidR="00A905B7" w:rsidRDefault="00A905B7">
                    <w:r>
                      <w:rPr>
                        <w:rFonts w:ascii="Symbol" w:hAnsi="Symbol" w:cs="Symbol"/>
                        <w:color w:val="000000"/>
                        <w:szCs w:val="24"/>
                      </w:rPr>
                      <w:t></w:t>
                    </w:r>
                  </w:p>
                </w:txbxContent>
              </v:textbox>
            </v:rect>
            <v:rect id="_x0000_s4835" style="position:absolute;left:2093;top:36;width:77;height:245;mso-wrap-style:none" filled="f" stroked="f">
              <v:textbox style="mso-next-textbox:#_x0000_s4835;mso-fit-shape-to-text:t" inset="0,0,0,0">
                <w:txbxContent>
                  <w:p w:rsidR="00A905B7" w:rsidRDefault="00A905B7">
                    <w:r>
                      <w:rPr>
                        <w:rFonts w:ascii="Symbol" w:hAnsi="Symbol" w:cs="Symbol"/>
                        <w:color w:val="000000"/>
                        <w:szCs w:val="24"/>
                      </w:rPr>
                      <w:t></w:t>
                    </w:r>
                  </w:p>
                </w:txbxContent>
              </v:textbox>
            </v:rect>
            <v:rect id="_x0000_s4836" style="position:absolute;left:751;top:190;width:77;height:245;mso-wrap-style:none" filled="f" stroked="f">
              <v:textbox style="mso-next-textbox:#_x0000_s4836;mso-fit-shape-to-text:t" inset="0,0,0,0">
                <w:txbxContent>
                  <w:p w:rsidR="00A905B7" w:rsidRDefault="00A905B7">
                    <w:r>
                      <w:rPr>
                        <w:rFonts w:ascii="Symbol" w:hAnsi="Symbol" w:cs="Symbol"/>
                        <w:color w:val="000000"/>
                        <w:szCs w:val="24"/>
                      </w:rPr>
                      <w:t></w:t>
                    </w:r>
                  </w:p>
                </w:txbxContent>
              </v:textbox>
            </v:rect>
            <v:rect id="_x0000_s4837" style="position:absolute;left:751;top:405;width:77;height:245;mso-wrap-style:none" filled="f" stroked="f">
              <v:textbox style="mso-next-textbox:#_x0000_s4837;mso-fit-shape-to-text:t" inset="0,0,0,0">
                <w:txbxContent>
                  <w:p w:rsidR="00A905B7" w:rsidRDefault="00A905B7">
                    <w:r>
                      <w:rPr>
                        <w:rFonts w:ascii="Symbol" w:hAnsi="Symbol" w:cs="Symbol"/>
                        <w:color w:val="000000"/>
                        <w:szCs w:val="24"/>
                      </w:rPr>
                      <w:t></w:t>
                    </w:r>
                  </w:p>
                </w:txbxContent>
              </v:textbox>
            </v:rect>
            <v:rect id="_x0000_s4838" style="position:absolute;left:751;top:36;width:77;height:245;mso-wrap-style:none" filled="f" stroked="f">
              <v:textbox style="mso-next-textbox:#_x0000_s4838;mso-fit-shape-to-text:t" inset="0,0,0,0">
                <w:txbxContent>
                  <w:p w:rsidR="00A905B7" w:rsidRDefault="00A905B7">
                    <w:r>
                      <w:rPr>
                        <w:rFonts w:ascii="Symbol" w:hAnsi="Symbol" w:cs="Symbol"/>
                        <w:color w:val="000000"/>
                        <w:szCs w:val="24"/>
                      </w:rPr>
                      <w:t></w:t>
                    </w:r>
                  </w:p>
                </w:txbxContent>
              </v:textbox>
            </v:rect>
            <v:rect id="_x0000_s4839" style="position:absolute;left:1980;top:205;width:77;height:245;mso-wrap-style:none" filled="f" stroked="f">
              <v:textbox style="mso-next-textbox:#_x0000_s4839;mso-fit-shape-to-text:t" inset="0,0,0,0">
                <w:txbxContent>
                  <w:p w:rsidR="00A905B7" w:rsidRDefault="00A905B7">
                    <w:r>
                      <w:rPr>
                        <w:rFonts w:ascii="Symbol" w:hAnsi="Symbol" w:cs="Symbol"/>
                        <w:color w:val="000000"/>
                        <w:szCs w:val="24"/>
                      </w:rPr>
                      <w:t></w:t>
                    </w:r>
                  </w:p>
                </w:txbxContent>
              </v:textbox>
            </v:rect>
            <v:rect id="_x0000_s4840" style="position:absolute;left:1980;top:390;width:77;height:245;mso-wrap-style:none" filled="f" stroked="f">
              <v:textbox style="mso-next-textbox:#_x0000_s4840;mso-fit-shape-to-text:t" inset="0,0,0,0">
                <w:txbxContent>
                  <w:p w:rsidR="00A905B7" w:rsidRDefault="00A905B7">
                    <w:r>
                      <w:rPr>
                        <w:rFonts w:ascii="Symbol" w:hAnsi="Symbol" w:cs="Symbol"/>
                        <w:color w:val="000000"/>
                        <w:szCs w:val="24"/>
                      </w:rPr>
                      <w:t></w:t>
                    </w:r>
                  </w:p>
                </w:txbxContent>
              </v:textbox>
            </v:rect>
            <v:rect id="_x0000_s4841" style="position:absolute;left:1980;top:51;width:77;height:245;mso-wrap-style:none" filled="f" stroked="f">
              <v:textbox style="mso-next-textbox:#_x0000_s4841;mso-fit-shape-to-text:t" inset="0,0,0,0">
                <w:txbxContent>
                  <w:p w:rsidR="00A905B7" w:rsidRDefault="00A905B7">
                    <w:r>
                      <w:rPr>
                        <w:rFonts w:ascii="Symbol" w:hAnsi="Symbol" w:cs="Symbol"/>
                        <w:color w:val="000000"/>
                        <w:szCs w:val="24"/>
                      </w:rPr>
                      <w:t></w:t>
                    </w:r>
                  </w:p>
                </w:txbxContent>
              </v:textbox>
            </v:rect>
            <v:rect id="_x0000_s4842" style="position:absolute;left:1384;top:205;width:77;height:245;mso-wrap-style:none" filled="f" stroked="f">
              <v:textbox style="mso-next-textbox:#_x0000_s4842;mso-fit-shape-to-text:t" inset="0,0,0,0">
                <w:txbxContent>
                  <w:p w:rsidR="00A905B7" w:rsidRDefault="00A905B7">
                    <w:r>
                      <w:rPr>
                        <w:rFonts w:ascii="Symbol" w:hAnsi="Symbol" w:cs="Symbol"/>
                        <w:color w:val="000000"/>
                        <w:szCs w:val="24"/>
                      </w:rPr>
                      <w:t></w:t>
                    </w:r>
                  </w:p>
                </w:txbxContent>
              </v:textbox>
            </v:rect>
            <v:rect id="_x0000_s4843" style="position:absolute;left:1384;top:390;width:77;height:245;mso-wrap-style:none" filled="f" stroked="f">
              <v:textbox style="mso-next-textbox:#_x0000_s4843;mso-fit-shape-to-text:t" inset="0,0,0,0">
                <w:txbxContent>
                  <w:p w:rsidR="00A905B7" w:rsidRDefault="00A905B7">
                    <w:r>
                      <w:rPr>
                        <w:rFonts w:ascii="Symbol" w:hAnsi="Symbol" w:cs="Symbol"/>
                        <w:color w:val="000000"/>
                        <w:szCs w:val="24"/>
                      </w:rPr>
                      <w:t></w:t>
                    </w:r>
                  </w:p>
                </w:txbxContent>
              </v:textbox>
            </v:rect>
            <v:rect id="_x0000_s4844" style="position:absolute;left:1384;top:51;width:77;height:245;mso-wrap-style:none" filled="f" stroked="f">
              <v:textbox style="mso-next-textbox:#_x0000_s4844;mso-fit-shape-to-text:t" inset="0,0,0,0">
                <w:txbxContent>
                  <w:p w:rsidR="00A905B7" w:rsidRDefault="00A905B7">
                    <w:r>
                      <w:rPr>
                        <w:rFonts w:ascii="Symbol" w:hAnsi="Symbol" w:cs="Symbol"/>
                        <w:color w:val="000000"/>
                        <w:szCs w:val="24"/>
                      </w:rPr>
                      <w:t></w:t>
                    </w:r>
                  </w:p>
                </w:txbxContent>
              </v:textbox>
            </v:rect>
            <w10:wrap type="none"/>
            <w10:anchorlock/>
          </v:group>
        </w:pict>
      </w:r>
      <w:r w:rsidR="00002BA6" w:rsidRPr="00E31D0F">
        <w:rPr>
          <w:rFonts w:ascii="TimesNewRoman" w:hAnsi="TimesNewRoman" w:cs="TimesNewRoman"/>
          <w:position w:val="40"/>
          <w:lang w:val="en-GB"/>
        </w:rPr>
        <w:tab/>
        <w:t>(65)</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sep</w:t>
      </w:r>
      <w:r w:rsidRPr="00B04DC3">
        <w:rPr>
          <w:lang w:val="en-GB"/>
        </w:rPr>
        <w:tab/>
        <w:t>is the mass of diluted exhaust gas passing the particulate collection filters,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ed</w:t>
      </w:r>
      <w:r w:rsidRPr="00B04DC3">
        <w:rPr>
          <w:lang w:val="en-GB"/>
        </w:rPr>
        <w:tab/>
        <w:t>is the mass of diluted exhaust gas over the cycle,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sd</w:t>
      </w:r>
      <w:r w:rsidRPr="00B04DC3">
        <w:rPr>
          <w:lang w:val="en-GB"/>
        </w:rPr>
        <w:tab/>
        <w:t>is the mass of diluent sampled by background particulate sampler, kg</w:t>
      </w:r>
    </w:p>
    <w:p w:rsidR="00002BA6" w:rsidRPr="00B04DC3" w:rsidRDefault="00002BA6" w:rsidP="00002BA6">
      <w:pPr>
        <w:pStyle w:val="para"/>
        <w:ind w:left="2842" w:hanging="574"/>
        <w:rPr>
          <w:lang w:val="en-GB"/>
        </w:rPr>
      </w:pPr>
      <w:r w:rsidRPr="00B04DC3">
        <w:rPr>
          <w:lang w:val="en-GB"/>
        </w:rPr>
        <w:t>m</w:t>
      </w:r>
      <w:r w:rsidRPr="00B04DC3">
        <w:rPr>
          <w:vertAlign w:val="subscript"/>
          <w:lang w:val="en-GB"/>
        </w:rPr>
        <w:t>b</w:t>
      </w:r>
      <w:r w:rsidRPr="00B04DC3">
        <w:rPr>
          <w:lang w:val="en-GB"/>
        </w:rPr>
        <w:tab/>
        <w:t>is the mass of the collected background particulates of the diluent, mg</w:t>
      </w:r>
    </w:p>
    <w:p w:rsidR="00002BA6" w:rsidRPr="00B04DC3" w:rsidRDefault="00002BA6" w:rsidP="00002BA6">
      <w:pPr>
        <w:pStyle w:val="para"/>
        <w:ind w:left="2842" w:hanging="574"/>
        <w:rPr>
          <w:sz w:val="24"/>
          <w:szCs w:val="24"/>
          <w:lang w:val="en-GB"/>
        </w:rPr>
      </w:pPr>
      <w:r w:rsidRPr="00B04DC3">
        <w:rPr>
          <w:sz w:val="24"/>
          <w:szCs w:val="24"/>
          <w:lang w:val="en-GB"/>
        </w:rPr>
        <w:t>D</w:t>
      </w:r>
      <w:r w:rsidRPr="00B04DC3">
        <w:rPr>
          <w:sz w:val="24"/>
          <w:szCs w:val="24"/>
          <w:lang w:val="en-GB"/>
        </w:rPr>
        <w:tab/>
      </w:r>
      <w:r w:rsidRPr="00B04DC3">
        <w:rPr>
          <w:lang w:val="en-GB"/>
        </w:rPr>
        <w:t>is the dilution factor as determined in paragraph 8.5.2.3.2.</w:t>
      </w:r>
      <w:r w:rsidR="00FF0BF4" w:rsidRPr="00FF0BF4">
        <w:rPr>
          <w:lang w:val="en-GB"/>
        </w:rPr>
        <w:t xml:space="preserve"> </w:t>
      </w:r>
      <w:r w:rsidR="00FF0BF4">
        <w:rPr>
          <w:lang w:val="en-GB"/>
        </w:rPr>
        <w:t>of this annex</w:t>
      </w:r>
    </w:p>
    <w:p w:rsidR="00002BA6" w:rsidRPr="00B04DC3" w:rsidRDefault="00002BA6" w:rsidP="00002BA6">
      <w:pPr>
        <w:pStyle w:val="para"/>
        <w:rPr>
          <w:lang w:val="en-GB"/>
        </w:rPr>
      </w:pPr>
      <w:r w:rsidRPr="00B04DC3">
        <w:rPr>
          <w:lang w:val="en-GB"/>
        </w:rPr>
        <w:t>8.6.</w:t>
      </w:r>
      <w:r w:rsidRPr="00B04DC3">
        <w:rPr>
          <w:lang w:val="en-GB"/>
        </w:rPr>
        <w:tab/>
        <w:t>General calculations</w:t>
      </w:r>
    </w:p>
    <w:p w:rsidR="00002BA6" w:rsidRPr="00B04DC3" w:rsidRDefault="00002BA6" w:rsidP="00002BA6">
      <w:pPr>
        <w:pStyle w:val="para"/>
        <w:rPr>
          <w:lang w:val="en-GB"/>
        </w:rPr>
      </w:pPr>
      <w:r w:rsidRPr="00B04DC3">
        <w:rPr>
          <w:lang w:val="en-GB"/>
        </w:rPr>
        <w:t>8.6.1.</w:t>
      </w:r>
      <w:r w:rsidRPr="00B04DC3">
        <w:rPr>
          <w:lang w:val="en-GB"/>
        </w:rPr>
        <w:tab/>
        <w:t>Drift correction</w:t>
      </w:r>
    </w:p>
    <w:p w:rsidR="00002BA6" w:rsidRPr="00B04DC3" w:rsidRDefault="00002BA6" w:rsidP="00002BA6">
      <w:pPr>
        <w:pStyle w:val="para"/>
        <w:rPr>
          <w:lang w:val="en-GB"/>
        </w:rPr>
      </w:pPr>
      <w:r w:rsidRPr="00B04DC3">
        <w:rPr>
          <w:lang w:val="en-GB"/>
        </w:rPr>
        <w:tab/>
        <w:t>With respect to drift verification in paragraph 7.8.4., the corrected concentration value shall be calculated as follows:</w:t>
      </w:r>
    </w:p>
    <w:p w:rsidR="00002BA6" w:rsidRPr="00E31D0F" w:rsidRDefault="00A905B7" w:rsidP="00002BA6">
      <w:pPr>
        <w:pStyle w:val="para"/>
        <w:tabs>
          <w:tab w:val="right" w:pos="8500"/>
        </w:tabs>
        <w:ind w:firstLine="0"/>
        <w:rPr>
          <w:rFonts w:ascii="TimesNewRoman" w:hAnsi="TimesNewRoman" w:cs="TimesNewRoman"/>
          <w:position w:val="40"/>
          <w:lang w:val="en-GB"/>
        </w:rPr>
      </w:pPr>
      <w:r>
        <w:rPr>
          <w:rFonts w:ascii="TimesNewRoman" w:hAnsi="TimesNewRoman" w:cs="TimesNewRoman"/>
          <w:b/>
          <w:lang w:val="en-GB"/>
        </w:rPr>
      </w:r>
      <w:r>
        <w:rPr>
          <w:rFonts w:ascii="TimesNewRoman" w:hAnsi="TimesNewRoman" w:cs="TimesNewRoman"/>
          <w:b/>
          <w:lang w:val="en-GB"/>
        </w:rPr>
        <w:pict>
          <v:group id="_x0000_s4845" editas="canvas" style="width:269.25pt;height:54.45pt;mso-position-horizontal-relative:char;mso-position-vertical-relative:line" coordorigin=",-105" coordsize="5385,1089">
            <o:lock v:ext="edit" aspectratio="t"/>
            <v:shape id="_x0000_s4846" type="#_x0000_t75" style="position:absolute;top:-105;width:5385;height:1089" o:preferrelative="f">
              <v:fill o:detectmouseclick="t"/>
              <v:path o:extrusionok="t" o:connecttype="none"/>
              <o:lock v:ext="edit" text="t"/>
            </v:shape>
            <v:rect id="_x0000_s4847" style="position:absolute;left:1199;top:9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4848" style="position:absolute;left:2223;top:9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4849" style="position:absolute;left:3548;top:-10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rect id="_x0000_s4850" style="position:absolute;left:4732;top:-10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rect id="_x0000_s4851" style="position:absolute;left:2453;top:35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rect id="_x0000_s4852" style="position:absolute;left:3611;top:34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rect id="_x0000_s4853" style="position:absolute;left:3872;top:35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rect id="_x0000_s4854" style="position:absolute;left:5016;top:355;width:127;height:466;mso-wrap-style:none" filled="f" stroked="f">
              <v:textbox style="mso-fit-shape-to-text:t" inset="0,0,0,0">
                <w:txbxContent>
                  <w:p w:rsidR="00A905B7" w:rsidRDefault="00A905B7">
                    <w:r>
                      <w:rPr>
                        <w:rFonts w:ascii="Symbol" w:hAnsi="Symbol" w:cs="Symbol"/>
                        <w:color w:val="000000"/>
                        <w:sz w:val="38"/>
                        <w:szCs w:val="38"/>
                      </w:rPr>
                      <w:t></w:t>
                    </w:r>
                  </w:p>
                </w:txbxContent>
              </v:textbox>
            </v:rect>
            <v:line id="_x0000_s4855" style="position:absolute" from="2439,430" to="5119,431" strokeweight=".5pt"/>
            <v:rect id="_x0000_s4856" style="position:absolute;left:5149;top:344;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57" style="position:absolute;left:5149;top:177;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58" style="position:absolute;left:5149;top:49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59" style="position:absolute;left:5149;top:23;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0" style="position:absolute;left:2316;top:344;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1" style="position:absolute;left:2316;top:177;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2" style="position:absolute;left:2316;top:49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3" style="position:absolute;left:2316;top:23;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4" style="position:absolute;left:4395;top:47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5" style="position:absolute;left:3743;top:49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6" style="position:absolute;left:2963;top:47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7" style="position:absolute;left:4071;top:3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8" style="position:absolute;left:3378;top:3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69" style="position:absolute;left:2856;top:146;width:179;height:240;mso-wrap-style:none" filled="f" stroked="f">
              <v:textbox style="mso-fit-shape-to-text:t" inset="0,0,0,0">
                <w:txbxContent>
                  <w:p w:rsidR="00A905B7" w:rsidRPr="00D32CB7" w:rsidRDefault="00A905B7">
                    <w:r w:rsidRPr="00D32CB7">
                      <w:sym w:font="Wingdings 2" w:char="F0CD"/>
                    </w:r>
                  </w:p>
                </w:txbxContent>
              </v:textbox>
            </v:rect>
            <v:rect id="_x0000_s4870" style="position:absolute;left:1687;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71" style="position:absolute;left:1026;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72" style="position:absolute;left:407;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873" style="position:absolute;left:4953;top:526;width:63;height:240;mso-wrap-style:none" filled="f" stroked="f">
              <v:textbox style="mso-fit-shape-to-text:t" inset="0,0,0,0">
                <w:txbxContent>
                  <w:p w:rsidR="00A905B7" w:rsidRDefault="00A905B7">
                    <w:r>
                      <w:rPr>
                        <w:color w:val="000000"/>
                        <w:sz w:val="14"/>
                        <w:szCs w:val="14"/>
                      </w:rPr>
                      <w:t>z</w:t>
                    </w:r>
                  </w:p>
                </w:txbxContent>
              </v:textbox>
            </v:rect>
            <v:rect id="_x0000_s4874" style="position:absolute;left:4679;top:526;width:269;height:240;mso-wrap-style:none" filled="f" stroked="f">
              <v:textbox style="mso-fit-shape-to-text:t" inset="0,0,0,0">
                <w:txbxContent>
                  <w:p w:rsidR="00A905B7" w:rsidRDefault="00A905B7">
                    <w:r>
                      <w:rPr>
                        <w:color w:val="000000"/>
                        <w:sz w:val="14"/>
                        <w:szCs w:val="14"/>
                      </w:rPr>
                      <w:t>post,</w:t>
                    </w:r>
                  </w:p>
                </w:txbxContent>
              </v:textbox>
            </v:rect>
            <v:rect id="_x0000_s4875" style="position:absolute;left:4261;top:537;width:63;height:240;mso-wrap-style:none" filled="f" stroked="f">
              <v:textbox style="mso-fit-shape-to-text:t" inset="0,0,0,0">
                <w:txbxContent>
                  <w:p w:rsidR="00A905B7" w:rsidRDefault="00A905B7">
                    <w:r>
                      <w:rPr>
                        <w:color w:val="000000"/>
                        <w:sz w:val="14"/>
                        <w:szCs w:val="14"/>
                      </w:rPr>
                      <w:t>z</w:t>
                    </w:r>
                  </w:p>
                </w:txbxContent>
              </v:textbox>
            </v:rect>
            <v:rect id="_x0000_s4876" style="position:absolute;left:4045;top:526;width:214;height:240;mso-wrap-style:none" filled="f" stroked="f">
              <v:textbox style="mso-fit-shape-to-text:t" inset="0,0,0,0">
                <w:txbxContent>
                  <w:p w:rsidR="00A905B7" w:rsidRDefault="00A905B7">
                    <w:r>
                      <w:rPr>
                        <w:color w:val="000000"/>
                        <w:sz w:val="14"/>
                        <w:szCs w:val="14"/>
                      </w:rPr>
                      <w:t>pre,</w:t>
                    </w:r>
                  </w:p>
                </w:txbxContent>
              </v:textbox>
            </v:rect>
            <v:rect id="_x0000_s4877" style="position:absolute;left:3247;top:526;width:323;height:240;mso-wrap-style:none" filled="f" stroked="f">
              <v:textbox style="mso-fit-shape-to-text:t" inset="0,0,0,0">
                <w:txbxContent>
                  <w:p w:rsidR="00A905B7" w:rsidRDefault="00A905B7">
                    <w:r>
                      <w:rPr>
                        <w:color w:val="000000"/>
                        <w:sz w:val="14"/>
                        <w:szCs w:val="14"/>
                      </w:rPr>
                      <w:t>post,s</w:t>
                    </w:r>
                  </w:p>
                </w:txbxContent>
              </v:textbox>
            </v:rect>
            <v:rect id="_x0000_s4878" style="position:absolute;left:2626;top:526;width:269;height:240;mso-wrap-style:none" filled="f" stroked="f">
              <v:textbox style="mso-fit-shape-to-text:t" inset="0,0,0,0">
                <w:txbxContent>
                  <w:p w:rsidR="00A905B7" w:rsidRDefault="00A905B7">
                    <w:r>
                      <w:rPr>
                        <w:color w:val="000000"/>
                        <w:sz w:val="14"/>
                        <w:szCs w:val="14"/>
                      </w:rPr>
                      <w:t>pre,s</w:t>
                    </w:r>
                  </w:p>
                </w:txbxContent>
              </v:textbox>
            </v:rect>
            <v:rect id="_x0000_s4879" style="position:absolute;left:4628;top:108;width:63;height:240;mso-wrap-style:none" filled="f" stroked="f">
              <v:textbox style="mso-fit-shape-to-text:t" inset="0,0,0,0">
                <w:txbxContent>
                  <w:p w:rsidR="00A905B7" w:rsidRDefault="00A905B7">
                    <w:r>
                      <w:rPr>
                        <w:color w:val="000000"/>
                        <w:sz w:val="14"/>
                        <w:szCs w:val="14"/>
                      </w:rPr>
                      <w:t>z</w:t>
                    </w:r>
                  </w:p>
                </w:txbxContent>
              </v:textbox>
            </v:rect>
            <v:rect id="_x0000_s4880" style="position:absolute;left:4355;top:97;width:269;height:474" filled="f" stroked="f">
              <v:textbox inset="0,0,0,0">
                <w:txbxContent>
                  <w:p w:rsidR="00A905B7" w:rsidRDefault="00A905B7">
                    <w:r>
                      <w:rPr>
                        <w:color w:val="000000"/>
                        <w:sz w:val="14"/>
                        <w:szCs w:val="14"/>
                      </w:rPr>
                      <w:t>post,</w:t>
                    </w:r>
                  </w:p>
                </w:txbxContent>
              </v:textbox>
            </v:rect>
            <v:rect id="_x0000_s4881" style="position:absolute;left:3937;top:97;width:63;height:240;mso-wrap-style:none" filled="f" stroked="f">
              <v:textbox style="mso-fit-shape-to-text:t" inset="0,0,0,0">
                <w:txbxContent>
                  <w:p w:rsidR="00A905B7" w:rsidRDefault="00A905B7">
                    <w:r>
                      <w:rPr>
                        <w:color w:val="000000"/>
                        <w:sz w:val="14"/>
                        <w:szCs w:val="14"/>
                      </w:rPr>
                      <w:t>z</w:t>
                    </w:r>
                  </w:p>
                </w:txbxContent>
              </v:textbox>
            </v:rect>
            <v:rect id="_x0000_s4882" style="position:absolute;left:3721;top:97;width:214;height:294;mso-wrap-style:none" filled="f" stroked="f">
              <v:textbox inset="0,0,0,0">
                <w:txbxContent>
                  <w:p w:rsidR="00A905B7" w:rsidRDefault="00A905B7">
                    <w:r>
                      <w:rPr>
                        <w:color w:val="000000"/>
                        <w:sz w:val="14"/>
                        <w:szCs w:val="14"/>
                      </w:rPr>
                      <w:t>pre,</w:t>
                    </w:r>
                  </w:p>
                </w:txbxContent>
              </v:textbox>
            </v:rect>
            <v:rect id="_x0000_s4883" style="position:absolute;left:3122;top:97;width:187;height:240;mso-wrap-style:none" filled="f" stroked="f">
              <v:textbox style="mso-fit-shape-to-text:t" inset="0,0,0,0">
                <w:txbxContent>
                  <w:p w:rsidR="00A905B7" w:rsidRDefault="00A905B7">
                    <w:r>
                      <w:rPr>
                        <w:color w:val="000000"/>
                        <w:sz w:val="14"/>
                        <w:szCs w:val="14"/>
                      </w:rPr>
                      <w:t>gas</w:t>
                    </w:r>
                  </w:p>
                </w:txbxContent>
              </v:textbox>
            </v:rect>
            <v:rect id="_x0000_s4884" style="position:absolute;left:2159;top:317;width:63;height:240;mso-wrap-style:none" filled="f" stroked="f">
              <v:textbox style="mso-fit-shape-to-text:t" inset="0,0,0,0">
                <w:txbxContent>
                  <w:p w:rsidR="00A905B7" w:rsidRDefault="00A905B7">
                    <w:r>
                      <w:rPr>
                        <w:color w:val="000000"/>
                        <w:sz w:val="14"/>
                        <w:szCs w:val="14"/>
                      </w:rPr>
                      <w:t>z</w:t>
                    </w:r>
                  </w:p>
                </w:txbxContent>
              </v:textbox>
            </v:rect>
            <v:rect id="_x0000_s4885" style="position:absolute;left:1968;top:317;width:191;height:240;mso-wrap-style:none" filled="f" stroked="f">
              <v:textbox style="mso-fit-shape-to-text:t" inset="0,0,0,0">
                <w:txbxContent>
                  <w:p w:rsidR="00A905B7" w:rsidRDefault="00A905B7">
                    <w:r>
                      <w:rPr>
                        <w:color w:val="000000"/>
                        <w:sz w:val="14"/>
                        <w:szCs w:val="14"/>
                      </w:rPr>
                      <w:t>ref,</w:t>
                    </w:r>
                  </w:p>
                </w:txbxContent>
              </v:textbox>
            </v:rect>
            <v:rect id="_x0000_s4886" style="position:absolute;left:1374;top:339;width:245;height:240;mso-wrap-style:none" filled="f" stroked="f">
              <v:textbox style="mso-fit-shape-to-text:t" inset="0,0,0,0">
                <w:txbxContent>
                  <w:p w:rsidR="00A905B7" w:rsidRDefault="00A905B7">
                    <w:r>
                      <w:rPr>
                        <w:color w:val="000000"/>
                        <w:sz w:val="14"/>
                        <w:szCs w:val="14"/>
                      </w:rPr>
                      <w:t>ref,s</w:t>
                    </w:r>
                  </w:p>
                </w:txbxContent>
              </v:textbox>
            </v:rect>
            <v:rect id="_x0000_s4887" style="position:absolute;left:893;top:339;width:63;height:240;mso-wrap-style:none" filled="f" stroked="f">
              <v:textbox style="mso-fit-shape-to-text:t" inset="0,0,0,0">
                <w:txbxContent>
                  <w:p w:rsidR="00A905B7" w:rsidRDefault="00A905B7">
                    <w:r>
                      <w:rPr>
                        <w:color w:val="000000"/>
                        <w:sz w:val="14"/>
                        <w:szCs w:val="14"/>
                      </w:rPr>
                      <w:t>z</w:t>
                    </w:r>
                  </w:p>
                </w:txbxContent>
              </v:textbox>
            </v:rect>
            <v:rect id="_x0000_s4888" style="position:absolute;left:701;top:339;width:191;height:240;mso-wrap-style:none" filled="f" stroked="f">
              <v:textbox style="mso-fit-shape-to-text:t" inset="0,0,0,0">
                <w:txbxContent>
                  <w:p w:rsidR="00A905B7" w:rsidRDefault="00A905B7">
                    <w:r>
                      <w:rPr>
                        <w:color w:val="000000"/>
                        <w:sz w:val="14"/>
                        <w:szCs w:val="14"/>
                      </w:rPr>
                      <w:t>ref,</w:t>
                    </w:r>
                  </w:p>
                </w:txbxContent>
              </v:textbox>
            </v:rect>
            <v:rect id="_x0000_s4889" style="position:absolute;left:142;top:317;width:179;height:240;mso-wrap-style:none" filled="f" stroked="f">
              <v:textbox style="mso-fit-shape-to-text:t" inset="0,0,0,0">
                <w:txbxContent>
                  <w:p w:rsidR="00A905B7" w:rsidRDefault="00A905B7">
                    <w:r>
                      <w:rPr>
                        <w:color w:val="000000"/>
                        <w:sz w:val="14"/>
                        <w:szCs w:val="14"/>
                      </w:rPr>
                      <w:t>cor</w:t>
                    </w:r>
                  </w:p>
                </w:txbxContent>
              </v:textbox>
            </v:rect>
            <v:rect id="_x0000_s4890" style="position:absolute;left:2730;top:63;width:101;height:240;mso-wrap-style:none" filled="f" stroked="f">
              <v:textbox style="mso-fit-shape-to-text:t" inset="0,0,0,0">
                <w:txbxContent>
                  <w:p w:rsidR="00A905B7" w:rsidRDefault="00A905B7">
                    <w:r>
                      <w:rPr>
                        <w:color w:val="000000"/>
                        <w:szCs w:val="24"/>
                      </w:rPr>
                      <w:t>2</w:t>
                    </w:r>
                  </w:p>
                </w:txbxContent>
              </v:textbox>
            </v:rect>
            <v:rect id="_x0000_s4891" style="position:absolute;left:4568;top:46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2" style="position:absolute;left:3933;top:47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3" style="position:absolute;left:3135;top:47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4" style="position:absolute;left:2514;top:48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5" style="position:absolute;left:4243;top:6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6" style="position:absolute;left:3609;top:6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7" style="position:absolute;left:3013;top:63;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8" style="position:absolute;left:1856;top:246;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899" style="position:absolute;left:1263;top:246;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900" style="position:absolute;left:589;top:246;width:89;height:240;mso-wrap-style:none" filled="f" stroked="f">
              <v:textbox style="mso-fit-shape-to-text:t" inset="0,0,0,0">
                <w:txbxContent>
                  <w:p w:rsidR="00A905B7" w:rsidRPr="00D32CB7" w:rsidRDefault="00A905B7">
                    <w:r w:rsidRPr="00D32CB7">
                      <w:rPr>
                        <w:iCs/>
                        <w:color w:val="000000"/>
                        <w:szCs w:val="24"/>
                      </w:rPr>
                      <w:t>c</w:t>
                    </w:r>
                  </w:p>
                </w:txbxContent>
              </v:textbox>
            </v:rect>
            <v:rect id="_x0000_s4901" style="position:absolute;left:33;top:246;width:89;height:240;mso-wrap-style:none" filled="f" stroked="f">
              <v:textbox style="mso-fit-shape-to-text:t" inset="0,0,0,0">
                <w:txbxContent>
                  <w:p w:rsidR="00A905B7" w:rsidRPr="00D32CB7" w:rsidRDefault="00A905B7">
                    <w:r w:rsidRPr="00D32CB7">
                      <w:rPr>
                        <w:iCs/>
                        <w:color w:val="000000"/>
                        <w:szCs w:val="24"/>
                      </w:rPr>
                      <w:t>c</w:t>
                    </w:r>
                  </w:p>
                </w:txbxContent>
              </v:textbox>
            </v:rect>
            <w10:wrap type="none"/>
            <w10:anchorlock/>
          </v:group>
        </w:pict>
      </w:r>
      <w:r w:rsidR="00002BA6" w:rsidRPr="00E31D0F">
        <w:rPr>
          <w:rFonts w:ascii="TimesNewRoman" w:hAnsi="TimesNewRoman" w:cs="TimesNewRoman"/>
          <w:b/>
          <w:position w:val="40"/>
          <w:lang w:val="en-GB"/>
        </w:rPr>
        <w:tab/>
      </w:r>
      <w:r w:rsidR="00002BA6" w:rsidRPr="00E31D0F">
        <w:rPr>
          <w:rFonts w:ascii="TimesNewRoman" w:hAnsi="TimesNewRoman" w:cs="TimesNewRoman"/>
          <w:position w:val="40"/>
          <w:lang w:val="en-GB"/>
        </w:rPr>
        <w:t>(66)</w:t>
      </w:r>
    </w:p>
    <w:p w:rsidR="00002BA6" w:rsidRPr="00B04DC3" w:rsidRDefault="00002BA6" w:rsidP="00002BA6">
      <w:pPr>
        <w:pStyle w:val="para"/>
        <w:rPr>
          <w:lang w:val="en-GB"/>
        </w:rPr>
      </w:pPr>
      <w:r w:rsidRPr="00B04DC3">
        <w:rPr>
          <w:rFonts w:ascii="TimesNewRoman" w:hAnsi="TimesNewRoman" w:cs="TimesNewRoman"/>
          <w:b/>
          <w:lang w:val="en-GB"/>
        </w:rPr>
        <w:tab/>
      </w:r>
      <w:r w:rsidR="00D71F62" w:rsidRPr="00B04DC3">
        <w:rPr>
          <w:lang w:val="en-GB"/>
        </w:rPr>
        <w:t>Where</w:t>
      </w:r>
      <w:r w:rsidRPr="00B04DC3">
        <w:rPr>
          <w:lang w:val="en-GB"/>
        </w:rPr>
        <w:t>:</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ref,z</w:t>
      </w:r>
      <w:r w:rsidRPr="00B04DC3">
        <w:rPr>
          <w:lang w:val="en-GB"/>
        </w:rPr>
        <w:tab/>
        <w:t>is the reference concentration of the zero gas (usually zero),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ref,s</w:t>
      </w:r>
      <w:r w:rsidRPr="00B04DC3">
        <w:rPr>
          <w:lang w:val="en-GB"/>
        </w:rPr>
        <w:tab/>
        <w:t>is the reference concentration of the span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pre,z</w:t>
      </w:r>
      <w:r w:rsidRPr="00B04DC3">
        <w:rPr>
          <w:lang w:val="en-GB"/>
        </w:rPr>
        <w:tab/>
        <w:t>is the pre-test analyzer concentration of the zero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pre,s</w:t>
      </w:r>
      <w:r w:rsidRPr="00B04DC3">
        <w:rPr>
          <w:lang w:val="en-GB"/>
        </w:rPr>
        <w:tab/>
        <w:t>is the pre-test analyzer concentration of the span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post,z</w:t>
      </w:r>
      <w:r w:rsidRPr="00B04DC3">
        <w:rPr>
          <w:lang w:val="en-GB"/>
        </w:rPr>
        <w:tab/>
        <w:t>is the post-test analyzer concentration of the zero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post,s</w:t>
      </w:r>
      <w:r w:rsidRPr="00B04DC3">
        <w:rPr>
          <w:lang w:val="en-GB"/>
        </w:rPr>
        <w:tab/>
        <w:t>is the post-test analyzer concentration of the span gas, ppm</w:t>
      </w:r>
    </w:p>
    <w:p w:rsidR="00002BA6" w:rsidRPr="00B04DC3" w:rsidRDefault="00002BA6" w:rsidP="00002BA6">
      <w:pPr>
        <w:pStyle w:val="para"/>
        <w:ind w:left="2842" w:hanging="574"/>
        <w:rPr>
          <w:lang w:val="en-GB"/>
        </w:rPr>
      </w:pPr>
      <w:r w:rsidRPr="00B04DC3">
        <w:rPr>
          <w:lang w:val="en-GB"/>
        </w:rPr>
        <w:t>c</w:t>
      </w:r>
      <w:r w:rsidRPr="00B04DC3">
        <w:rPr>
          <w:vertAlign w:val="subscript"/>
          <w:lang w:val="en-GB"/>
        </w:rPr>
        <w:t>gas</w:t>
      </w:r>
      <w:r w:rsidRPr="00B04DC3">
        <w:rPr>
          <w:lang w:val="en-GB"/>
        </w:rPr>
        <w:tab/>
        <w:t>is the sample gas concentration, ppm</w:t>
      </w:r>
    </w:p>
    <w:p w:rsidR="00002BA6" w:rsidRPr="00B04DC3" w:rsidRDefault="00002BA6" w:rsidP="00002BA6">
      <w:pPr>
        <w:pStyle w:val="para"/>
        <w:rPr>
          <w:lang w:val="en-GB"/>
        </w:rPr>
      </w:pPr>
      <w:r w:rsidRPr="00B04DC3">
        <w:rPr>
          <w:lang w:val="en-GB"/>
        </w:rPr>
        <w:tab/>
        <w:t>Two sets of specific emission results shall be calculated for each component in accordance with paragraph 8.6.3.</w:t>
      </w:r>
      <w:r w:rsidR="00FF0BF4" w:rsidRPr="00FF0BF4">
        <w:rPr>
          <w:lang w:val="en-GB"/>
        </w:rPr>
        <w:t xml:space="preserve"> </w:t>
      </w:r>
      <w:r w:rsidR="00FF0BF4">
        <w:rPr>
          <w:lang w:val="en-GB"/>
        </w:rPr>
        <w:t>of this annex</w:t>
      </w:r>
      <w:r w:rsidRPr="00B04DC3">
        <w:rPr>
          <w:lang w:val="en-GB"/>
        </w:rPr>
        <w:t>, after any other corrections have been applied. One set shall be calculated using uncorrected concentrations and another set shall be calculated using the concentrations corrected for drift according to equation 66.</w:t>
      </w:r>
    </w:p>
    <w:p w:rsidR="00002BA6" w:rsidRPr="00B04DC3" w:rsidRDefault="00002BA6" w:rsidP="00002BA6">
      <w:pPr>
        <w:pStyle w:val="para"/>
        <w:rPr>
          <w:lang w:val="en-GB"/>
        </w:rPr>
      </w:pPr>
      <w:r w:rsidRPr="00B04DC3">
        <w:rPr>
          <w:b/>
          <w:lang w:val="en-GB"/>
        </w:rPr>
        <w:tab/>
      </w:r>
      <w:r w:rsidRPr="00B04DC3">
        <w:rPr>
          <w:lang w:val="en-GB"/>
        </w:rPr>
        <w:t>Depending on the measurement system and calculation method used, the uncorrected emissions results shall be calculated with equations 36, 37 56, 57 or 62, respectively. For calculation of the corrected emissions, c</w:t>
      </w:r>
      <w:r w:rsidRPr="00B04DC3">
        <w:rPr>
          <w:vertAlign w:val="subscript"/>
          <w:lang w:val="en-GB"/>
        </w:rPr>
        <w:t>gas</w:t>
      </w:r>
      <w:r w:rsidRPr="00B04DC3">
        <w:rPr>
          <w:lang w:val="en-GB"/>
        </w:rPr>
        <w:t xml:space="preserve"> in equations 36, 37 56, 57 or 62, respectively, shall be replaced with c</w:t>
      </w:r>
      <w:r w:rsidRPr="00B04DC3">
        <w:rPr>
          <w:vertAlign w:val="subscript"/>
          <w:lang w:val="en-GB"/>
        </w:rPr>
        <w:t>cor</w:t>
      </w:r>
      <w:r w:rsidRPr="00B04DC3">
        <w:rPr>
          <w:lang w:val="en-GB"/>
        </w:rPr>
        <w:t xml:space="preserve"> of equation 66. If instantaneous concentration values c</w:t>
      </w:r>
      <w:r w:rsidRPr="00B04DC3">
        <w:rPr>
          <w:vertAlign w:val="subscript"/>
          <w:lang w:val="en-GB"/>
        </w:rPr>
        <w:t>gas,i</w:t>
      </w:r>
      <w:r w:rsidRPr="00B04DC3">
        <w:rPr>
          <w:lang w:val="en-GB"/>
        </w:rPr>
        <w:t xml:space="preserve"> are used in the respective equation, the corrected value shall also be applied as instantaneous value c</w:t>
      </w:r>
      <w:r w:rsidRPr="00B04DC3">
        <w:rPr>
          <w:vertAlign w:val="subscript"/>
          <w:lang w:val="en-GB"/>
        </w:rPr>
        <w:t>cor,i</w:t>
      </w:r>
      <w:r w:rsidRPr="00B04DC3">
        <w:rPr>
          <w:lang w:val="en-GB"/>
        </w:rPr>
        <w:t xml:space="preserve">. In equation 57, the correction shall be applied to both the measured and the background concentration. </w:t>
      </w:r>
    </w:p>
    <w:p w:rsidR="00002BA6" w:rsidRPr="00B04DC3" w:rsidRDefault="00002BA6" w:rsidP="00002BA6">
      <w:pPr>
        <w:pStyle w:val="para"/>
        <w:rPr>
          <w:lang w:val="en-GB"/>
        </w:rPr>
      </w:pPr>
      <w:r w:rsidRPr="00B04DC3">
        <w:rPr>
          <w:b/>
          <w:lang w:val="en-GB"/>
        </w:rPr>
        <w:tab/>
      </w:r>
      <w:r w:rsidRPr="00B04DC3">
        <w:rPr>
          <w:lang w:val="en-GB"/>
        </w:rPr>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rsidR="00002BA6" w:rsidRPr="00B04DC3" w:rsidRDefault="00002BA6" w:rsidP="00002BA6">
      <w:pPr>
        <w:pStyle w:val="para"/>
        <w:rPr>
          <w:lang w:val="en-GB"/>
        </w:rPr>
      </w:pPr>
      <w:r w:rsidRPr="00B04DC3">
        <w:rPr>
          <w:b/>
          <w:lang w:val="en-GB"/>
        </w:rPr>
        <w:tab/>
      </w:r>
      <w:r w:rsidRPr="00B04DC3">
        <w:rPr>
          <w:lang w:val="en-GB"/>
        </w:rPr>
        <w:t>If drift correction is applied, only the drift-corrected emission results shall be used when reporting emissions.</w:t>
      </w:r>
    </w:p>
    <w:p w:rsidR="00002BA6" w:rsidRPr="00B04DC3" w:rsidRDefault="00002BA6" w:rsidP="00002BA6">
      <w:pPr>
        <w:pStyle w:val="para"/>
        <w:rPr>
          <w:lang w:val="en-GB"/>
        </w:rPr>
      </w:pPr>
      <w:r w:rsidRPr="00B04DC3">
        <w:rPr>
          <w:lang w:val="en-GB"/>
        </w:rPr>
        <w:t>8.6.2.</w:t>
      </w:r>
      <w:r w:rsidRPr="00B04DC3">
        <w:rPr>
          <w:lang w:val="en-GB"/>
        </w:rPr>
        <w:tab/>
        <w:t>Calculation of NMHC and CH</w:t>
      </w:r>
      <w:r w:rsidRPr="00B04DC3">
        <w:rPr>
          <w:vertAlign w:val="subscript"/>
          <w:lang w:val="en-GB"/>
        </w:rPr>
        <w:t>4</w:t>
      </w:r>
    </w:p>
    <w:p w:rsidR="00002BA6" w:rsidRPr="00B04DC3" w:rsidRDefault="00002BA6" w:rsidP="00002BA6">
      <w:pPr>
        <w:pStyle w:val="para"/>
        <w:ind w:firstLine="0"/>
        <w:rPr>
          <w:lang w:val="en-GB"/>
        </w:rPr>
      </w:pPr>
      <w:r w:rsidRPr="00B04DC3">
        <w:rPr>
          <w:lang w:val="en-GB"/>
        </w:rPr>
        <w:t>The calculation of NMHC and CH</w:t>
      </w:r>
      <w:r w:rsidRPr="00B04DC3">
        <w:rPr>
          <w:vertAlign w:val="subscript"/>
          <w:lang w:val="en-GB"/>
        </w:rPr>
        <w:t>4</w:t>
      </w:r>
      <w:r w:rsidRPr="00B04DC3">
        <w:rPr>
          <w:lang w:val="en-GB"/>
        </w:rPr>
        <w:t xml:space="preserve"> depends on the calibration method used. The FID for the measurement without NMC (lower path of Appendix 3</w:t>
      </w:r>
      <w:r w:rsidR="00FF0BF4">
        <w:rPr>
          <w:lang w:val="en-GB"/>
        </w:rPr>
        <w:t xml:space="preserve"> to this annex</w:t>
      </w:r>
      <w:r w:rsidRPr="00B04DC3">
        <w:rPr>
          <w:lang w:val="en-GB"/>
        </w:rPr>
        <w:t>, Figure 11), shall be calibrated with propane. For the calibration of the FID in series with NMC (upper path of Appendix 3</w:t>
      </w:r>
      <w:r w:rsidR="00FF0BF4">
        <w:rPr>
          <w:lang w:val="en-GB"/>
        </w:rPr>
        <w:t xml:space="preserve"> to this annex</w:t>
      </w:r>
      <w:r w:rsidRPr="00B04DC3">
        <w:rPr>
          <w:lang w:val="en-GB"/>
        </w:rPr>
        <w:t>, Figure 11), the following methods are permitted.</w:t>
      </w:r>
    </w:p>
    <w:p w:rsidR="00002BA6" w:rsidRPr="00B04DC3" w:rsidRDefault="00002BA6" w:rsidP="00002BA6">
      <w:pPr>
        <w:pStyle w:val="a"/>
        <w:rPr>
          <w:lang w:val="en-GB"/>
        </w:rPr>
      </w:pPr>
      <w:r w:rsidRPr="00B04DC3">
        <w:rPr>
          <w:lang w:val="en-GB"/>
        </w:rPr>
        <w:t xml:space="preserve">(a) </w:t>
      </w:r>
      <w:r w:rsidRPr="00B04DC3">
        <w:rPr>
          <w:lang w:val="en-GB"/>
        </w:rPr>
        <w:tab/>
        <w:t>Calibration gas – propane; propane bypasses NMC;</w:t>
      </w:r>
    </w:p>
    <w:p w:rsidR="00002BA6" w:rsidRPr="00B04DC3" w:rsidRDefault="00002BA6" w:rsidP="00002BA6">
      <w:pPr>
        <w:pStyle w:val="a"/>
        <w:rPr>
          <w:lang w:val="en-GB"/>
        </w:rPr>
      </w:pPr>
      <w:r w:rsidRPr="00B04DC3">
        <w:rPr>
          <w:lang w:val="en-GB"/>
        </w:rPr>
        <w:t xml:space="preserve">(b) </w:t>
      </w:r>
      <w:r w:rsidRPr="00B04DC3">
        <w:rPr>
          <w:lang w:val="en-GB"/>
        </w:rPr>
        <w:tab/>
        <w:t>Calibration gas – methane; methane passes through NMC.</w:t>
      </w:r>
    </w:p>
    <w:p w:rsidR="00002BA6" w:rsidRPr="00B04DC3" w:rsidRDefault="00002BA6" w:rsidP="00002BA6">
      <w:pPr>
        <w:pStyle w:val="para"/>
        <w:rPr>
          <w:lang w:val="en-GB"/>
        </w:rPr>
      </w:pPr>
      <w:r w:rsidRPr="00B04DC3">
        <w:rPr>
          <w:lang w:val="en-GB"/>
        </w:rPr>
        <w:tab/>
        <w:t>The concentration of NMHC and CH</w:t>
      </w:r>
      <w:r w:rsidRPr="00B04DC3">
        <w:rPr>
          <w:vertAlign w:val="subscript"/>
          <w:lang w:val="en-GB"/>
        </w:rPr>
        <w:t>4</w:t>
      </w:r>
      <w:r w:rsidRPr="00B04DC3">
        <w:rPr>
          <w:lang w:val="en-GB"/>
        </w:rPr>
        <w:t xml:space="preserve"> shall be calculated as follows for (a):</w:t>
      </w:r>
    </w:p>
    <w:p w:rsidR="00002BA6" w:rsidRPr="00B04DC3" w:rsidRDefault="00002BA6" w:rsidP="00002BA6">
      <w:pPr>
        <w:pStyle w:val="para"/>
        <w:tabs>
          <w:tab w:val="right" w:pos="8500"/>
        </w:tabs>
        <w:ind w:firstLine="0"/>
        <w:rPr>
          <w:lang w:val="en-GB"/>
        </w:rPr>
      </w:pPr>
      <w:r w:rsidRPr="00B04DC3">
        <w:rPr>
          <w:position w:val="-12"/>
          <w:lang w:val="en-GB"/>
        </w:rPr>
        <w:object w:dxaOrig="620" w:dyaOrig="380">
          <v:shape id="_x0000_i1271" type="#_x0000_t75" style="width:30.6pt;height:18.6pt" o:ole="">
            <v:imagedata r:id="rId406" o:title=""/>
          </v:shape>
          <o:OLEObject Type="Embed" ProgID="Equation.3" ShapeID="_x0000_i1271" DrawAspect="Content" ObjectID="_1498392360" r:id="rId407"/>
        </w:object>
      </w:r>
      <w:r w:rsidRPr="00B04DC3">
        <w:rPr>
          <w:lang w:val="en-GB"/>
        </w:rPr>
        <w:t xml:space="preserve"> = </w:t>
      </w:r>
      <w:r w:rsidRPr="00B04DC3">
        <w:rPr>
          <w:position w:val="-30"/>
          <w:lang w:val="en-GB"/>
        </w:rPr>
        <w:object w:dxaOrig="3260" w:dyaOrig="740">
          <v:shape id="_x0000_i1272" type="#_x0000_t75" style="width:162.6pt;height:36.6pt" o:ole="">
            <v:imagedata r:id="rId408" o:title=""/>
          </v:shape>
          <o:OLEObject Type="Embed" ProgID="Equation.3" ShapeID="_x0000_i1272" DrawAspect="Content" ObjectID="_1498392361" r:id="rId409"/>
        </w:object>
      </w:r>
      <w:r w:rsidRPr="00B04DC3">
        <w:rPr>
          <w:lang w:val="en-GB"/>
        </w:rPr>
        <w:tab/>
        <w:t>(67)</w:t>
      </w:r>
    </w:p>
    <w:p w:rsidR="00002BA6" w:rsidRPr="00B04DC3" w:rsidRDefault="00002BA6" w:rsidP="00002BA6">
      <w:pPr>
        <w:pStyle w:val="para"/>
        <w:tabs>
          <w:tab w:val="right" w:pos="8500"/>
        </w:tabs>
        <w:ind w:firstLine="0"/>
        <w:rPr>
          <w:lang w:val="en-GB"/>
        </w:rPr>
      </w:pPr>
      <w:r w:rsidRPr="00B04DC3">
        <w:rPr>
          <w:position w:val="-12"/>
          <w:lang w:val="en-GB"/>
        </w:rPr>
        <w:object w:dxaOrig="460" w:dyaOrig="380">
          <v:shape id="_x0000_i1273" type="#_x0000_t75" style="width:23.4pt;height:20.4pt" o:ole="">
            <v:imagedata r:id="rId410" o:title=""/>
          </v:shape>
          <o:OLEObject Type="Embed" ProgID="Equation.3" ShapeID="_x0000_i1273" DrawAspect="Content" ObjectID="_1498392362" r:id="rId411"/>
        </w:object>
      </w:r>
      <w:r w:rsidRPr="00B04DC3">
        <w:rPr>
          <w:lang w:val="en-GB"/>
        </w:rPr>
        <w:t xml:space="preserve"> = </w:t>
      </w:r>
      <w:r w:rsidRPr="00B04DC3">
        <w:rPr>
          <w:position w:val="-30"/>
          <w:lang w:val="en-GB"/>
        </w:rPr>
        <w:object w:dxaOrig="3300" w:dyaOrig="740">
          <v:shape id="_x0000_i1274" type="#_x0000_t75" style="width:165.6pt;height:36.6pt" o:ole="">
            <v:imagedata r:id="rId412" o:title=""/>
          </v:shape>
          <o:OLEObject Type="Embed" ProgID="Equation.3" ShapeID="_x0000_i1274" DrawAspect="Content" ObjectID="_1498392363" r:id="rId413"/>
        </w:object>
      </w:r>
      <w:r w:rsidRPr="00B04DC3">
        <w:rPr>
          <w:lang w:val="en-GB"/>
        </w:rPr>
        <w:tab/>
        <w:t>(68)</w:t>
      </w:r>
    </w:p>
    <w:p w:rsidR="00002BA6" w:rsidRPr="00B04DC3" w:rsidRDefault="00002BA6" w:rsidP="00002BA6">
      <w:pPr>
        <w:pStyle w:val="para"/>
        <w:rPr>
          <w:lang w:val="en-GB"/>
        </w:rPr>
      </w:pPr>
      <w:r w:rsidRPr="00B04DC3">
        <w:rPr>
          <w:lang w:val="en-GB"/>
        </w:rPr>
        <w:tab/>
        <w:t>The concentration of NMHC and CH</w:t>
      </w:r>
      <w:r w:rsidRPr="00B04DC3">
        <w:rPr>
          <w:vertAlign w:val="subscript"/>
          <w:lang w:val="en-GB"/>
        </w:rPr>
        <w:t>4</w:t>
      </w:r>
      <w:r w:rsidRPr="00B04DC3">
        <w:rPr>
          <w:lang w:val="en-GB"/>
        </w:rPr>
        <w:t xml:space="preserve"> shall be calculated as follows for (b):</w:t>
      </w:r>
    </w:p>
    <w:p w:rsidR="00002BA6" w:rsidRPr="00B04DC3" w:rsidRDefault="00002BA6" w:rsidP="00002BA6">
      <w:pPr>
        <w:pStyle w:val="para"/>
        <w:tabs>
          <w:tab w:val="right" w:pos="8500"/>
        </w:tabs>
        <w:ind w:firstLine="0"/>
        <w:rPr>
          <w:lang w:val="en-GB"/>
        </w:rPr>
      </w:pPr>
      <w:r w:rsidRPr="00B04DC3">
        <w:rPr>
          <w:position w:val="-12"/>
          <w:lang w:val="en-GB"/>
        </w:rPr>
        <w:object w:dxaOrig="620" w:dyaOrig="380">
          <v:shape id="_x0000_i1275" type="#_x0000_t75" style="width:30.6pt;height:18.6pt" o:ole="">
            <v:imagedata r:id="rId414" o:title=""/>
          </v:shape>
          <o:OLEObject Type="Embed" ProgID="Equation.3" ShapeID="_x0000_i1275" DrawAspect="Content" ObjectID="_1498392364" r:id="rId415"/>
        </w:object>
      </w:r>
      <w:r w:rsidRPr="00B04DC3">
        <w:rPr>
          <w:lang w:val="en-GB"/>
        </w:rPr>
        <w:t xml:space="preserve"> = </w:t>
      </w:r>
      <w:r w:rsidRPr="00B04DC3">
        <w:rPr>
          <w:position w:val="-30"/>
          <w:lang w:val="en-GB"/>
        </w:rPr>
        <w:object w:dxaOrig="4660" w:dyaOrig="740">
          <v:shape id="_x0000_i1276" type="#_x0000_t75" style="width:233.4pt;height:36.6pt" o:ole="">
            <v:imagedata r:id="rId416" o:title=""/>
          </v:shape>
          <o:OLEObject Type="Embed" ProgID="Equation.3" ShapeID="_x0000_i1276" DrawAspect="Content" ObjectID="_1498392365" r:id="rId417"/>
        </w:object>
      </w:r>
      <w:r w:rsidRPr="00B04DC3">
        <w:rPr>
          <w:lang w:val="en-GB"/>
        </w:rPr>
        <w:tab/>
        <w:t>(67a)</w:t>
      </w:r>
    </w:p>
    <w:p w:rsidR="00002BA6" w:rsidRPr="00B04DC3" w:rsidRDefault="00002BA6" w:rsidP="00002BA6">
      <w:pPr>
        <w:pStyle w:val="para"/>
        <w:tabs>
          <w:tab w:val="right" w:pos="8500"/>
        </w:tabs>
        <w:ind w:firstLine="0"/>
        <w:rPr>
          <w:lang w:val="en-GB"/>
        </w:rPr>
      </w:pPr>
      <w:r w:rsidRPr="00B04DC3">
        <w:rPr>
          <w:position w:val="-12"/>
          <w:lang w:val="en-GB"/>
        </w:rPr>
        <w:object w:dxaOrig="460" w:dyaOrig="380">
          <v:shape id="_x0000_i1277" type="#_x0000_t75" style="width:23.4pt;height:20.4pt" o:ole="">
            <v:imagedata r:id="rId418" o:title=""/>
          </v:shape>
          <o:OLEObject Type="Embed" ProgID="Equation.3" ShapeID="_x0000_i1277" DrawAspect="Content" ObjectID="_1498392366" r:id="rId419"/>
        </w:object>
      </w:r>
      <w:r w:rsidRPr="00B04DC3">
        <w:rPr>
          <w:lang w:val="en-GB"/>
        </w:rPr>
        <w:t xml:space="preserve"> = </w:t>
      </w:r>
      <w:r w:rsidRPr="00B04DC3">
        <w:rPr>
          <w:position w:val="-30"/>
          <w:lang w:val="en-GB"/>
        </w:rPr>
        <w:object w:dxaOrig="4620" w:dyaOrig="740">
          <v:shape id="_x0000_i1278" type="#_x0000_t75" style="width:229.2pt;height:36.6pt" o:ole="">
            <v:imagedata r:id="rId420" o:title=""/>
          </v:shape>
          <o:OLEObject Type="Embed" ProgID="Equation.3" ShapeID="_x0000_i1278" DrawAspect="Content" ObjectID="_1498392367" r:id="rId421"/>
        </w:object>
      </w:r>
      <w:r w:rsidRPr="00B04DC3">
        <w:rPr>
          <w:lang w:val="en-GB"/>
        </w:rPr>
        <w:tab/>
        <w:t>(68a)</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para"/>
        <w:ind w:left="3400" w:hanging="1132"/>
        <w:rPr>
          <w:lang w:val="en-GB"/>
        </w:rPr>
      </w:pPr>
      <w:r w:rsidRPr="00B04DC3">
        <w:rPr>
          <w:lang w:val="en-GB"/>
        </w:rPr>
        <w:t>c</w:t>
      </w:r>
      <w:r w:rsidRPr="00B04DC3">
        <w:rPr>
          <w:vertAlign w:val="subscript"/>
          <w:lang w:val="en-GB"/>
        </w:rPr>
        <w:t>HC(w/NMC)</w:t>
      </w:r>
      <w:r w:rsidRPr="00B04DC3">
        <w:rPr>
          <w:vertAlign w:val="subscript"/>
          <w:lang w:val="en-GB"/>
        </w:rPr>
        <w:tab/>
      </w:r>
      <w:r w:rsidRPr="00B04DC3">
        <w:rPr>
          <w:lang w:val="en-GB"/>
        </w:rPr>
        <w:t>is the HC concentration with sample gas flowing through the NMC, ppm</w:t>
      </w:r>
    </w:p>
    <w:p w:rsidR="00002BA6" w:rsidRPr="00B04DC3" w:rsidRDefault="00002BA6" w:rsidP="00002BA6">
      <w:pPr>
        <w:pStyle w:val="para"/>
        <w:ind w:left="3400" w:hanging="1132"/>
        <w:rPr>
          <w:spacing w:val="-4"/>
          <w:lang w:val="en-GB"/>
        </w:rPr>
      </w:pPr>
      <w:r w:rsidRPr="00B04DC3">
        <w:rPr>
          <w:spacing w:val="-4"/>
          <w:lang w:val="en-GB"/>
        </w:rPr>
        <w:t>c</w:t>
      </w:r>
      <w:r w:rsidRPr="00B04DC3">
        <w:rPr>
          <w:spacing w:val="-4"/>
          <w:vertAlign w:val="subscript"/>
          <w:lang w:val="en-GB"/>
        </w:rPr>
        <w:t>HC(w/oNMC)</w:t>
      </w:r>
      <w:r w:rsidRPr="00B04DC3">
        <w:rPr>
          <w:spacing w:val="-4"/>
          <w:vertAlign w:val="subscript"/>
          <w:lang w:val="en-GB"/>
        </w:rPr>
        <w:tab/>
      </w:r>
      <w:r w:rsidRPr="00B04DC3">
        <w:rPr>
          <w:spacing w:val="-4"/>
          <w:lang w:val="en-GB"/>
        </w:rPr>
        <w:t>is the HC concentration with sample gas bypassing the NMC, ppm</w:t>
      </w:r>
    </w:p>
    <w:p w:rsidR="00002BA6" w:rsidRPr="00B04DC3" w:rsidRDefault="00002BA6" w:rsidP="00002BA6">
      <w:pPr>
        <w:pStyle w:val="para"/>
        <w:ind w:left="3400" w:hanging="1132"/>
        <w:rPr>
          <w:lang w:val="en-GB"/>
        </w:rPr>
      </w:pPr>
      <w:r w:rsidRPr="00B04DC3">
        <w:rPr>
          <w:szCs w:val="24"/>
          <w:lang w:val="en-GB"/>
        </w:rPr>
        <w:t>r</w:t>
      </w:r>
      <w:r w:rsidRPr="00B04DC3">
        <w:rPr>
          <w:szCs w:val="24"/>
          <w:vertAlign w:val="subscript"/>
          <w:lang w:val="en-GB"/>
        </w:rPr>
        <w:t>h</w:t>
      </w:r>
      <w:r w:rsidRPr="00B04DC3">
        <w:rPr>
          <w:lang w:val="en-GB"/>
        </w:rPr>
        <w:tab/>
        <w:t>is the methane response factor as determined per paragraph 9.3.7.2.</w:t>
      </w:r>
      <w:r w:rsidR="00FF0BF4" w:rsidRPr="00FF0BF4">
        <w:rPr>
          <w:lang w:val="en-GB"/>
        </w:rPr>
        <w:t xml:space="preserve"> </w:t>
      </w:r>
      <w:r w:rsidR="00FF0BF4">
        <w:rPr>
          <w:lang w:val="en-GB"/>
        </w:rPr>
        <w:t>of this annex</w:t>
      </w:r>
    </w:p>
    <w:p w:rsidR="00002BA6" w:rsidRPr="00B04DC3" w:rsidRDefault="00002BA6" w:rsidP="00002BA6">
      <w:pPr>
        <w:pStyle w:val="para"/>
        <w:ind w:left="3400" w:hanging="1132"/>
        <w:rPr>
          <w:lang w:val="en-GB"/>
        </w:rPr>
      </w:pPr>
      <w:r w:rsidRPr="00B04DC3">
        <w:rPr>
          <w:lang w:val="en-GB"/>
        </w:rPr>
        <w:t>E</w:t>
      </w:r>
      <w:r w:rsidRPr="00B04DC3">
        <w:rPr>
          <w:vertAlign w:val="subscript"/>
          <w:lang w:val="en-GB"/>
        </w:rPr>
        <w:t>M</w:t>
      </w:r>
      <w:r w:rsidRPr="00B04DC3">
        <w:rPr>
          <w:lang w:val="en-GB"/>
        </w:rPr>
        <w:tab/>
        <w:t>is the methane efficiency as determined per paragraph 9.3.8.1.</w:t>
      </w:r>
      <w:r w:rsidR="00FF0BF4" w:rsidRPr="00FF0BF4">
        <w:rPr>
          <w:lang w:val="en-GB"/>
        </w:rPr>
        <w:t xml:space="preserve"> </w:t>
      </w:r>
      <w:r w:rsidR="00FF0BF4">
        <w:rPr>
          <w:lang w:val="en-GB"/>
        </w:rPr>
        <w:t>of this annex</w:t>
      </w:r>
    </w:p>
    <w:p w:rsidR="00002BA6" w:rsidRPr="00B04DC3" w:rsidRDefault="00002BA6" w:rsidP="00002BA6">
      <w:pPr>
        <w:pStyle w:val="para"/>
        <w:ind w:left="3400" w:hanging="1132"/>
        <w:rPr>
          <w:lang w:val="en-GB"/>
        </w:rPr>
      </w:pPr>
      <w:r w:rsidRPr="00B04DC3">
        <w:rPr>
          <w:lang w:val="en-GB"/>
        </w:rPr>
        <w:t>E</w:t>
      </w:r>
      <w:r w:rsidRPr="00B04DC3">
        <w:rPr>
          <w:vertAlign w:val="subscript"/>
          <w:lang w:val="en-GB"/>
        </w:rPr>
        <w:t>E</w:t>
      </w:r>
      <w:r w:rsidRPr="00B04DC3">
        <w:rPr>
          <w:lang w:val="en-GB"/>
        </w:rPr>
        <w:tab/>
        <w:t>is the ethane efficiency as determined per paragraph 9.3.8.2.</w:t>
      </w:r>
      <w:r w:rsidR="00FF0BF4" w:rsidRPr="00FF0BF4">
        <w:rPr>
          <w:lang w:val="en-GB"/>
        </w:rPr>
        <w:t xml:space="preserve"> </w:t>
      </w:r>
      <w:r w:rsidR="00FF0BF4">
        <w:rPr>
          <w:lang w:val="en-GB"/>
        </w:rPr>
        <w:t>of this annex</w:t>
      </w:r>
    </w:p>
    <w:p w:rsidR="00002BA6" w:rsidRPr="00B04DC3" w:rsidRDefault="00002BA6" w:rsidP="00002BA6">
      <w:pPr>
        <w:pStyle w:val="para"/>
        <w:rPr>
          <w:lang w:val="en-GB"/>
        </w:rPr>
      </w:pPr>
      <w:r w:rsidRPr="00B04DC3">
        <w:rPr>
          <w:lang w:val="en-GB"/>
        </w:rPr>
        <w:tab/>
        <w:t xml:space="preserve">If </w:t>
      </w:r>
      <w:r w:rsidRPr="00B04DC3">
        <w:rPr>
          <w:szCs w:val="24"/>
          <w:lang w:val="en-GB"/>
        </w:rPr>
        <w:t>r</w:t>
      </w:r>
      <w:r w:rsidRPr="00B04DC3">
        <w:rPr>
          <w:szCs w:val="24"/>
          <w:vertAlign w:val="subscript"/>
          <w:lang w:val="en-GB"/>
        </w:rPr>
        <w:t>h</w:t>
      </w:r>
      <w:r w:rsidRPr="00B04DC3">
        <w:rPr>
          <w:szCs w:val="24"/>
          <w:lang w:val="en-GB"/>
        </w:rPr>
        <w:t xml:space="preserve"> &lt; 1.05, it may be omitted in equations 67, 67a and 68a.</w:t>
      </w:r>
    </w:p>
    <w:p w:rsidR="00002BA6" w:rsidRPr="00B04DC3" w:rsidRDefault="00002BA6" w:rsidP="00002BA6">
      <w:pPr>
        <w:pStyle w:val="para"/>
        <w:rPr>
          <w:szCs w:val="24"/>
          <w:lang w:val="en-GB"/>
        </w:rPr>
      </w:pPr>
      <w:r w:rsidRPr="00B04DC3">
        <w:rPr>
          <w:szCs w:val="24"/>
          <w:lang w:val="en-GB"/>
        </w:rPr>
        <w:t>8.6.3.</w:t>
      </w:r>
      <w:r w:rsidRPr="00B04DC3">
        <w:rPr>
          <w:szCs w:val="24"/>
          <w:lang w:val="en-GB"/>
        </w:rPr>
        <w:tab/>
        <w:t>Calculation of the specific emissions</w:t>
      </w:r>
    </w:p>
    <w:p w:rsidR="00002BA6" w:rsidRPr="00B04DC3" w:rsidRDefault="00002BA6" w:rsidP="00002BA6">
      <w:pPr>
        <w:pStyle w:val="para"/>
        <w:ind w:firstLine="0"/>
        <w:rPr>
          <w:szCs w:val="24"/>
          <w:lang w:val="en-GB"/>
        </w:rPr>
      </w:pPr>
      <w:r w:rsidRPr="00B04DC3">
        <w:rPr>
          <w:szCs w:val="24"/>
          <w:lang w:val="en-GB"/>
        </w:rPr>
        <w:t>The specific emissions e</w:t>
      </w:r>
      <w:r w:rsidRPr="00B04DC3">
        <w:rPr>
          <w:szCs w:val="24"/>
          <w:vertAlign w:val="subscript"/>
          <w:lang w:val="en-GB"/>
        </w:rPr>
        <w:t>gas</w:t>
      </w:r>
      <w:r w:rsidRPr="00B04DC3">
        <w:rPr>
          <w:szCs w:val="24"/>
          <w:lang w:val="en-GB"/>
        </w:rPr>
        <w:t xml:space="preserve"> or e</w:t>
      </w:r>
      <w:r w:rsidRPr="00B04DC3">
        <w:rPr>
          <w:szCs w:val="24"/>
          <w:vertAlign w:val="subscript"/>
          <w:lang w:val="en-GB"/>
        </w:rPr>
        <w:t>PM</w:t>
      </w:r>
      <w:r w:rsidRPr="00B04DC3">
        <w:rPr>
          <w:szCs w:val="24"/>
          <w:lang w:val="en-GB"/>
        </w:rPr>
        <w:t xml:space="preserve"> (g/kWh) shall be calculated for each individual component in the following ways depending on the type of test cycle.</w:t>
      </w:r>
    </w:p>
    <w:p w:rsidR="00002BA6" w:rsidRPr="00B04DC3" w:rsidRDefault="00002BA6" w:rsidP="00002BA6">
      <w:pPr>
        <w:pStyle w:val="para"/>
        <w:ind w:firstLine="0"/>
        <w:rPr>
          <w:szCs w:val="24"/>
          <w:lang w:val="en-GB"/>
        </w:rPr>
      </w:pPr>
      <w:r w:rsidRPr="00B04DC3">
        <w:rPr>
          <w:szCs w:val="24"/>
          <w:lang w:val="en-GB"/>
        </w:rPr>
        <w:t>For the WHSC, hot WHTC, or cold WHTC, the following equation shall be applied:</w:t>
      </w:r>
    </w:p>
    <w:p w:rsidR="00002BA6" w:rsidRPr="00E31D0F" w:rsidRDefault="00A905B7" w:rsidP="00002BA6">
      <w:pPr>
        <w:pStyle w:val="para"/>
        <w:tabs>
          <w:tab w:val="right" w:pos="8500"/>
        </w:tabs>
        <w:ind w:firstLine="0"/>
        <w:rPr>
          <w:position w:val="40"/>
          <w:szCs w:val="24"/>
          <w:lang w:val="en-GB"/>
        </w:rPr>
      </w:pPr>
      <w:r>
        <w:rPr>
          <w:szCs w:val="24"/>
          <w:lang w:val="en-GB"/>
        </w:rPr>
      </w:r>
      <w:r>
        <w:rPr>
          <w:szCs w:val="24"/>
          <w:lang w:val="en-GB"/>
        </w:rPr>
        <w:pict>
          <v:group id="_x0000_s4902" editas="canvas" style="width:45pt;height:36pt;mso-position-horizontal-relative:char;mso-position-vertical-relative:line" coordorigin="33" coordsize="900,720">
            <o:lock v:ext="edit" aspectratio="t"/>
            <v:shape id="_x0000_s4903" type="#_x0000_t75" style="position:absolute;left:33;width:900;height:720" o:preferrelative="f">
              <v:fill o:detectmouseclick="t"/>
              <v:path o:extrusionok="t" o:connecttype="none"/>
              <o:lock v:ext="edit" text="t"/>
            </v:shape>
            <v:line id="_x0000_s4904" style="position:absolute" from="388,320" to="787,320" strokeweight=".5pt"/>
            <v:rect id="_x0000_s4905" style="position:absolute;left:562;top:386;width:198;height:219" filled="f" stroked="f">
              <v:textbox style="mso-next-textbox:#_x0000_s4905" inset="0,0,0,0">
                <w:txbxContent>
                  <w:p w:rsidR="00A905B7" w:rsidRDefault="00A905B7">
                    <w:r>
                      <w:rPr>
                        <w:color w:val="000000"/>
                        <w:sz w:val="14"/>
                        <w:szCs w:val="14"/>
                      </w:rPr>
                      <w:t>act</w:t>
                    </w:r>
                  </w:p>
                </w:txbxContent>
              </v:textbox>
            </v:rect>
            <v:rect id="_x0000_s4906" style="position:absolute;left:382;top:353;width:189;height:187;mso-wrap-style:none" filled="f" stroked="f">
              <v:textbox style="mso-next-textbox:#_x0000_s4906" inset="0,0,0,0">
                <w:txbxContent>
                  <w:p w:rsidR="00A905B7" w:rsidRPr="00383465" w:rsidRDefault="00A905B7">
                    <w:r w:rsidRPr="00383465">
                      <w:rPr>
                        <w:iCs/>
                        <w:color w:val="000000"/>
                        <w:szCs w:val="24"/>
                      </w:rPr>
                      <w:t>W</w:t>
                    </w:r>
                  </w:p>
                </w:txbxContent>
              </v:textbox>
            </v:rect>
            <v:rect id="_x0000_s4907" style="position:absolute;left:503;top:15;width:156;height:240;mso-wrap-style:none" filled="f" stroked="f">
              <v:textbox style="mso-next-textbox:#_x0000_s4907;mso-fit-shape-to-text:t" inset="0,0,0,0">
                <w:txbxContent>
                  <w:p w:rsidR="00A905B7" w:rsidRPr="00383465" w:rsidRDefault="00A905B7">
                    <w:r w:rsidRPr="00383465">
                      <w:rPr>
                        <w:iCs/>
                        <w:color w:val="000000"/>
                        <w:szCs w:val="24"/>
                      </w:rPr>
                      <w:t>m</w:t>
                    </w:r>
                  </w:p>
                </w:txbxContent>
              </v:textbox>
            </v:rect>
            <v:rect id="_x0000_s4908" style="position:absolute;left:33;top:166;width:89;height:240;mso-wrap-style:none" filled="f" stroked="f">
              <v:textbox style="mso-next-textbox:#_x0000_s4908;mso-fit-shape-to-text:t" inset="0,0,0,0">
                <w:txbxContent>
                  <w:p w:rsidR="00A905B7" w:rsidRPr="00383465" w:rsidRDefault="00A905B7">
                    <w:r w:rsidRPr="00383465">
                      <w:rPr>
                        <w:iCs/>
                        <w:color w:val="000000"/>
                        <w:szCs w:val="24"/>
                      </w:rPr>
                      <w:t>e</w:t>
                    </w:r>
                  </w:p>
                </w:txbxContent>
              </v:textbox>
            </v:rect>
            <v:rect id="_x0000_s4909" style="position:absolute;left:195;top:139;width:110;height:245;mso-wrap-style:none" filled="f" stroked="f">
              <v:textbox style="mso-next-textbox:#_x0000_s4909;mso-fit-shape-to-text:t" inset="0,0,0,0">
                <w:txbxContent>
                  <w:p w:rsidR="00A905B7" w:rsidRDefault="00A905B7">
                    <w:r>
                      <w:rPr>
                        <w:rFonts w:ascii="Symbol" w:hAnsi="Symbol" w:cs="Symbol"/>
                        <w:color w:val="000000"/>
                        <w:szCs w:val="24"/>
                      </w:rPr>
                      <w:t></w:t>
                    </w:r>
                  </w:p>
                </w:txbxContent>
              </v:textbox>
            </v:rect>
            <w10:wrap type="none"/>
            <w10:anchorlock/>
          </v:group>
        </w:pict>
      </w:r>
      <w:r w:rsidR="00002BA6" w:rsidRPr="00E31D0F">
        <w:rPr>
          <w:position w:val="40"/>
          <w:szCs w:val="24"/>
          <w:lang w:val="en-GB"/>
        </w:rPr>
        <w:tab/>
        <w:t>(69)</w:t>
      </w:r>
    </w:p>
    <w:p w:rsidR="00002BA6" w:rsidRPr="00B04DC3" w:rsidRDefault="00D71F62" w:rsidP="00002BA6">
      <w:pPr>
        <w:pStyle w:val="para"/>
        <w:ind w:firstLine="0"/>
        <w:rPr>
          <w:szCs w:val="24"/>
          <w:lang w:val="en-GB"/>
        </w:rPr>
      </w:pPr>
      <w:r w:rsidRPr="00B04DC3">
        <w:rPr>
          <w:szCs w:val="24"/>
          <w:lang w:val="en-GB"/>
        </w:rPr>
        <w:t>Where</w:t>
      </w:r>
      <w:r w:rsidR="00002BA6" w:rsidRPr="00B04DC3">
        <w:rPr>
          <w:szCs w:val="24"/>
          <w:lang w:val="en-GB"/>
        </w:rPr>
        <w:t>:</w:t>
      </w:r>
    </w:p>
    <w:p w:rsidR="00002BA6" w:rsidRPr="00B04DC3" w:rsidRDefault="00002BA6" w:rsidP="00002BA6">
      <w:pPr>
        <w:pStyle w:val="a"/>
        <w:ind w:left="3119" w:hanging="851"/>
        <w:rPr>
          <w:szCs w:val="24"/>
          <w:lang w:val="en-GB"/>
        </w:rPr>
      </w:pPr>
      <w:r w:rsidRPr="00B04DC3">
        <w:rPr>
          <w:szCs w:val="24"/>
          <w:lang w:val="en-GB"/>
        </w:rPr>
        <w:t>m</w:t>
      </w:r>
      <w:r w:rsidRPr="00B04DC3">
        <w:rPr>
          <w:szCs w:val="24"/>
          <w:lang w:val="en-GB"/>
        </w:rPr>
        <w:tab/>
        <w:t>is the mass emission of the component, g/test</w:t>
      </w:r>
    </w:p>
    <w:p w:rsidR="00002BA6" w:rsidRPr="00B04DC3" w:rsidRDefault="00002BA6" w:rsidP="00002BA6">
      <w:pPr>
        <w:pStyle w:val="a"/>
        <w:ind w:left="3119" w:hanging="851"/>
        <w:rPr>
          <w:szCs w:val="24"/>
          <w:lang w:val="en-GB"/>
        </w:rPr>
      </w:pPr>
      <w:r w:rsidRPr="00B04DC3">
        <w:rPr>
          <w:szCs w:val="24"/>
          <w:lang w:val="en-GB"/>
        </w:rPr>
        <w:t>W</w:t>
      </w:r>
      <w:r w:rsidRPr="00B04DC3">
        <w:rPr>
          <w:szCs w:val="24"/>
          <w:vertAlign w:val="subscript"/>
          <w:lang w:val="en-GB"/>
        </w:rPr>
        <w:t>act</w:t>
      </w:r>
      <w:r w:rsidRPr="00B04DC3">
        <w:rPr>
          <w:szCs w:val="24"/>
          <w:lang w:val="en-GB"/>
        </w:rPr>
        <w:tab/>
        <w:t>is the actual cycle work as determined according to paragraph 7.8.6.</w:t>
      </w:r>
      <w:r w:rsidR="00FF0BF4" w:rsidRPr="00FF0BF4">
        <w:rPr>
          <w:lang w:val="en-GB"/>
        </w:rPr>
        <w:t xml:space="preserve"> </w:t>
      </w:r>
      <w:r w:rsidR="00FF0BF4">
        <w:rPr>
          <w:lang w:val="en-GB"/>
        </w:rPr>
        <w:t>of this annex</w:t>
      </w:r>
      <w:r w:rsidRPr="00B04DC3">
        <w:rPr>
          <w:szCs w:val="24"/>
          <w:lang w:val="en-GB"/>
        </w:rPr>
        <w:t>, kWh</w:t>
      </w:r>
    </w:p>
    <w:p w:rsidR="00002BA6" w:rsidRPr="00B04DC3" w:rsidRDefault="00002BA6" w:rsidP="00002BA6">
      <w:pPr>
        <w:pStyle w:val="para"/>
        <w:ind w:firstLine="0"/>
        <w:rPr>
          <w:szCs w:val="24"/>
          <w:lang w:val="en-GB"/>
        </w:rPr>
      </w:pPr>
      <w:r w:rsidRPr="00B04DC3">
        <w:rPr>
          <w:szCs w:val="24"/>
          <w:lang w:val="en-GB"/>
        </w:rPr>
        <w:tab/>
        <w:t>For the WHTC, the final test result shall be a weighted average from cold start test and hot start test according to the following equation:</w:t>
      </w:r>
    </w:p>
    <w:p w:rsidR="00002BA6" w:rsidRPr="00B04DC3" w:rsidRDefault="00D71F62" w:rsidP="00002BA6">
      <w:pPr>
        <w:pStyle w:val="para"/>
        <w:ind w:firstLine="0"/>
        <w:rPr>
          <w:szCs w:val="24"/>
          <w:lang w:val="en-GB"/>
        </w:rPr>
      </w:pPr>
      <w:r w:rsidRPr="00B04DC3">
        <w:rPr>
          <w:szCs w:val="24"/>
          <w:lang w:val="en-GB"/>
        </w:rPr>
        <w:t>Where</w:t>
      </w:r>
      <w:r w:rsidR="00002BA6" w:rsidRPr="00B04DC3">
        <w:rPr>
          <w:szCs w:val="24"/>
          <w:lang w:val="en-GB"/>
        </w:rPr>
        <w:t>:</w:t>
      </w:r>
    </w:p>
    <w:p w:rsidR="00002BA6" w:rsidRPr="00B04DC3" w:rsidRDefault="007A6F4E" w:rsidP="00002BA6">
      <w:pPr>
        <w:pStyle w:val="SingleTxtG"/>
        <w:tabs>
          <w:tab w:val="right" w:pos="8505"/>
        </w:tabs>
        <w:ind w:left="2268"/>
        <w:jc w:val="left"/>
      </w:pPr>
      <w:r w:rsidRPr="00B04DC3">
        <w:rPr>
          <w:b/>
          <w:position w:val="-28"/>
        </w:rPr>
        <w:object w:dxaOrig="3120" w:dyaOrig="620">
          <v:shape id="_x0000_i1280" type="#_x0000_t75" style="width:138pt;height:27.6pt" o:ole="">
            <v:imagedata r:id="rId422" o:title=""/>
          </v:shape>
          <o:OLEObject Type="Embed" ProgID="Equation.3" ShapeID="_x0000_i1280" DrawAspect="Content" ObjectID="_1498392368" r:id="rId423"/>
        </w:object>
      </w:r>
      <w:r w:rsidR="00002BA6" w:rsidRPr="00B04DC3">
        <w:tab/>
        <w:t>(70)</w:t>
      </w:r>
    </w:p>
    <w:p w:rsidR="00002BA6" w:rsidRPr="00B04DC3" w:rsidRDefault="00002BA6" w:rsidP="00002BA6">
      <w:pPr>
        <w:pStyle w:val="a"/>
        <w:ind w:left="3119" w:hanging="851"/>
        <w:rPr>
          <w:szCs w:val="24"/>
          <w:lang w:val="en-GB"/>
        </w:rPr>
      </w:pPr>
      <w:r w:rsidRPr="00B04DC3">
        <w:rPr>
          <w:szCs w:val="24"/>
          <w:lang w:val="en-GB"/>
        </w:rPr>
        <w:t>m</w:t>
      </w:r>
      <w:r w:rsidRPr="00B04DC3">
        <w:rPr>
          <w:szCs w:val="24"/>
          <w:vertAlign w:val="subscript"/>
          <w:lang w:val="en-GB"/>
        </w:rPr>
        <w:t>cold</w:t>
      </w:r>
      <w:r w:rsidRPr="00B04DC3">
        <w:rPr>
          <w:szCs w:val="24"/>
          <w:lang w:val="en-GB"/>
        </w:rPr>
        <w:tab/>
        <w:t>is the mass emission of the component on the cold start test, g/test</w:t>
      </w:r>
    </w:p>
    <w:p w:rsidR="00002BA6" w:rsidRPr="00B04DC3" w:rsidRDefault="00002BA6" w:rsidP="00002BA6">
      <w:pPr>
        <w:pStyle w:val="a"/>
        <w:ind w:left="3119" w:hanging="851"/>
        <w:rPr>
          <w:szCs w:val="24"/>
          <w:lang w:val="en-GB"/>
        </w:rPr>
      </w:pPr>
      <w:r w:rsidRPr="00B04DC3">
        <w:rPr>
          <w:szCs w:val="24"/>
          <w:lang w:val="en-GB"/>
        </w:rPr>
        <w:t>m</w:t>
      </w:r>
      <w:r w:rsidRPr="00B04DC3">
        <w:rPr>
          <w:szCs w:val="24"/>
          <w:vertAlign w:val="subscript"/>
          <w:lang w:val="en-GB"/>
        </w:rPr>
        <w:t>hot</w:t>
      </w:r>
      <w:r w:rsidRPr="00B04DC3">
        <w:rPr>
          <w:szCs w:val="24"/>
          <w:lang w:val="en-GB"/>
        </w:rPr>
        <w:tab/>
        <w:t>is the mass emission of the component on the hot start test, g/test</w:t>
      </w:r>
    </w:p>
    <w:p w:rsidR="00002BA6" w:rsidRPr="00B04DC3" w:rsidRDefault="00002BA6" w:rsidP="00002BA6">
      <w:pPr>
        <w:pStyle w:val="a"/>
        <w:ind w:left="3119" w:hanging="851"/>
        <w:rPr>
          <w:szCs w:val="24"/>
          <w:lang w:val="en-GB"/>
        </w:rPr>
      </w:pPr>
      <w:r w:rsidRPr="00B04DC3">
        <w:rPr>
          <w:szCs w:val="24"/>
          <w:lang w:val="en-GB"/>
        </w:rPr>
        <w:t>W</w:t>
      </w:r>
      <w:r w:rsidRPr="00B04DC3">
        <w:rPr>
          <w:szCs w:val="24"/>
          <w:vertAlign w:val="subscript"/>
          <w:lang w:val="en-GB"/>
        </w:rPr>
        <w:t>act,cold</w:t>
      </w:r>
      <w:r w:rsidRPr="00B04DC3">
        <w:rPr>
          <w:szCs w:val="24"/>
          <w:vertAlign w:val="subscript"/>
          <w:lang w:val="en-GB"/>
        </w:rPr>
        <w:tab/>
      </w:r>
      <w:r w:rsidRPr="00B04DC3">
        <w:rPr>
          <w:szCs w:val="24"/>
          <w:lang w:val="en-GB"/>
        </w:rPr>
        <w:t>is the actual cycle work on the cold start test, kWh</w:t>
      </w:r>
    </w:p>
    <w:p w:rsidR="00002BA6" w:rsidRPr="00B04DC3" w:rsidRDefault="00002BA6" w:rsidP="00002BA6">
      <w:pPr>
        <w:pStyle w:val="a"/>
        <w:ind w:left="3119" w:hanging="851"/>
        <w:rPr>
          <w:strike/>
          <w:szCs w:val="24"/>
          <w:lang w:val="en-GB"/>
        </w:rPr>
      </w:pPr>
      <w:r w:rsidRPr="00B04DC3">
        <w:rPr>
          <w:szCs w:val="24"/>
          <w:lang w:val="en-GB"/>
        </w:rPr>
        <w:t>W</w:t>
      </w:r>
      <w:r w:rsidRPr="00B04DC3">
        <w:rPr>
          <w:szCs w:val="24"/>
          <w:vertAlign w:val="subscript"/>
          <w:lang w:val="en-GB"/>
        </w:rPr>
        <w:t>act,hot</w:t>
      </w:r>
      <w:r w:rsidRPr="00B04DC3">
        <w:rPr>
          <w:szCs w:val="24"/>
          <w:vertAlign w:val="subscript"/>
          <w:lang w:val="en-GB"/>
        </w:rPr>
        <w:tab/>
      </w:r>
      <w:r w:rsidRPr="00B04DC3">
        <w:rPr>
          <w:szCs w:val="24"/>
          <w:lang w:val="en-GB"/>
        </w:rPr>
        <w:t>is the actual cycle work on the hot start test, kWh</w:t>
      </w:r>
    </w:p>
    <w:p w:rsidR="00002BA6" w:rsidRPr="00B04DC3" w:rsidRDefault="00002BA6" w:rsidP="00002BA6">
      <w:pPr>
        <w:pStyle w:val="para"/>
        <w:ind w:firstLine="0"/>
        <w:rPr>
          <w:szCs w:val="24"/>
          <w:lang w:val="en-GB"/>
        </w:rPr>
      </w:pPr>
      <w:r w:rsidRPr="00B04DC3">
        <w:rPr>
          <w:szCs w:val="24"/>
          <w:lang w:val="en-GB"/>
        </w:rPr>
        <w:t xml:space="preserve">If periodic regeneration in accordance with paragraph 6.6.2 </w:t>
      </w:r>
      <w:r w:rsidR="00FF0BF4">
        <w:rPr>
          <w:lang w:val="en-GB"/>
        </w:rPr>
        <w:t>of this annex</w:t>
      </w:r>
      <w:r w:rsidR="00FF0BF4" w:rsidRPr="00B04DC3">
        <w:rPr>
          <w:szCs w:val="24"/>
          <w:lang w:val="en-GB"/>
        </w:rPr>
        <w:t xml:space="preserve"> </w:t>
      </w:r>
      <w:r w:rsidRPr="00B04DC3">
        <w:rPr>
          <w:szCs w:val="24"/>
          <w:lang w:val="en-GB"/>
        </w:rPr>
        <w:t>applies, the regeneration adjustment factors k</w:t>
      </w:r>
      <w:r w:rsidRPr="00B04DC3">
        <w:rPr>
          <w:szCs w:val="24"/>
          <w:vertAlign w:val="subscript"/>
          <w:lang w:val="en-GB"/>
        </w:rPr>
        <w:t>r,u</w:t>
      </w:r>
      <w:r w:rsidRPr="00B04DC3">
        <w:rPr>
          <w:szCs w:val="24"/>
          <w:lang w:val="en-GB"/>
        </w:rPr>
        <w:t xml:space="preserve"> or k</w:t>
      </w:r>
      <w:r w:rsidRPr="00B04DC3">
        <w:rPr>
          <w:szCs w:val="24"/>
          <w:vertAlign w:val="subscript"/>
          <w:lang w:val="en-GB"/>
        </w:rPr>
        <w:t>r,d</w:t>
      </w:r>
      <w:r w:rsidRPr="00B04DC3">
        <w:rPr>
          <w:szCs w:val="24"/>
          <w:lang w:val="en-GB"/>
        </w:rPr>
        <w:t xml:space="preserve"> shall be multiplied with or be added to, respectively, the specific emissions result e as determined in equations 69 and 70.</w:t>
      </w:r>
    </w:p>
    <w:p w:rsidR="00002BA6" w:rsidRPr="00B04DC3" w:rsidRDefault="00002BA6" w:rsidP="00002BA6">
      <w:pPr>
        <w:pStyle w:val="para"/>
        <w:rPr>
          <w:lang w:val="en-GB" w:eastAsia="ja-JP"/>
        </w:rPr>
      </w:pPr>
      <w:r w:rsidRPr="00B04DC3">
        <w:rPr>
          <w:lang w:val="en-GB" w:eastAsia="ja-JP"/>
        </w:rPr>
        <w:t>9.</w:t>
      </w:r>
      <w:r w:rsidRPr="00B04DC3">
        <w:rPr>
          <w:lang w:val="en-GB" w:eastAsia="ja-JP"/>
        </w:rPr>
        <w:tab/>
      </w:r>
      <w:r w:rsidRPr="00B04DC3">
        <w:rPr>
          <w:szCs w:val="24"/>
          <w:lang w:val="en-GB" w:eastAsia="ja-JP"/>
        </w:rPr>
        <w:t>Equipment specification and verification</w:t>
      </w:r>
    </w:p>
    <w:p w:rsidR="00002BA6" w:rsidRPr="00B04DC3" w:rsidRDefault="00002BA6" w:rsidP="00002BA6">
      <w:pPr>
        <w:pStyle w:val="para"/>
        <w:rPr>
          <w:lang w:val="en-GB"/>
        </w:rPr>
      </w:pPr>
      <w:r w:rsidRPr="00B04DC3">
        <w:rPr>
          <w:lang w:val="en-GB"/>
        </w:rPr>
        <w:tab/>
        <w:t>This annex does not contain details of flow, pressure, and temperature measuring equipment or systems. Instead, only the linearity requirements of such equipment or systems necessary for conducting an emissions test are given in paragraph 9.2.</w:t>
      </w:r>
      <w:r w:rsidR="00FF461B">
        <w:rPr>
          <w:lang w:val="en-GB"/>
        </w:rPr>
        <w:t xml:space="preserve"> below.</w:t>
      </w:r>
    </w:p>
    <w:p w:rsidR="00002BA6" w:rsidRPr="00B04DC3" w:rsidRDefault="00002BA6" w:rsidP="00002BA6">
      <w:pPr>
        <w:pStyle w:val="para"/>
        <w:rPr>
          <w:lang w:val="en-GB"/>
        </w:rPr>
      </w:pPr>
      <w:r w:rsidRPr="00B04DC3">
        <w:rPr>
          <w:lang w:val="en-GB"/>
        </w:rPr>
        <w:t>9.1.</w:t>
      </w:r>
      <w:r w:rsidRPr="00B04DC3">
        <w:rPr>
          <w:lang w:val="en-GB"/>
        </w:rPr>
        <w:tab/>
        <w:t>Dynamometer specification</w:t>
      </w:r>
    </w:p>
    <w:p w:rsidR="00002BA6" w:rsidRPr="00B04DC3" w:rsidRDefault="00002BA6" w:rsidP="00002BA6">
      <w:pPr>
        <w:pStyle w:val="para"/>
        <w:rPr>
          <w:lang w:val="en-GB"/>
        </w:rPr>
      </w:pPr>
      <w:r w:rsidRPr="00B04DC3">
        <w:rPr>
          <w:lang w:val="en-GB"/>
        </w:rPr>
        <w:tab/>
        <w:t>An engine dynamometer with adequate characteristics to perform the appropriate test cycle described in paragraphs 7.2.1. and 7.2.2.</w:t>
      </w:r>
      <w:r w:rsidR="00FF0BF4" w:rsidRPr="00FF0BF4">
        <w:rPr>
          <w:lang w:val="en-GB"/>
        </w:rPr>
        <w:t xml:space="preserve"> </w:t>
      </w:r>
      <w:r w:rsidR="00FF0BF4">
        <w:rPr>
          <w:lang w:val="en-GB"/>
        </w:rPr>
        <w:t>of this annex</w:t>
      </w:r>
      <w:r w:rsidRPr="00B04DC3">
        <w:rPr>
          <w:lang w:val="en-GB"/>
        </w:rPr>
        <w:t xml:space="preserve"> shall be used.</w:t>
      </w:r>
    </w:p>
    <w:p w:rsidR="00002BA6" w:rsidRPr="00B04DC3" w:rsidRDefault="00002BA6" w:rsidP="00002BA6">
      <w:pPr>
        <w:pStyle w:val="para"/>
        <w:rPr>
          <w:lang w:val="en-GB"/>
        </w:rPr>
      </w:pPr>
      <w:r w:rsidRPr="00B04DC3">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w:t>
      </w:r>
      <w:r w:rsidR="00FF461B">
        <w:rPr>
          <w:lang w:val="en-GB"/>
        </w:rPr>
        <w:t xml:space="preserve"> below</w:t>
      </w:r>
      <w:r w:rsidRPr="00B04DC3">
        <w:rPr>
          <w:lang w:val="en-GB"/>
        </w:rPr>
        <w:t>, Table 7 are not exceeded.</w:t>
      </w:r>
    </w:p>
    <w:p w:rsidR="00002BA6" w:rsidRPr="00B04DC3" w:rsidRDefault="00002BA6" w:rsidP="00002BA6">
      <w:pPr>
        <w:pStyle w:val="para"/>
        <w:rPr>
          <w:lang w:val="en-GB"/>
        </w:rPr>
      </w:pPr>
      <w:r w:rsidRPr="00B04DC3">
        <w:rPr>
          <w:lang w:val="en-GB"/>
        </w:rPr>
        <w:t>9.2.</w:t>
      </w:r>
      <w:r w:rsidRPr="00B04DC3">
        <w:rPr>
          <w:lang w:val="en-GB"/>
        </w:rPr>
        <w:tab/>
        <w:t>Linearity requirements</w:t>
      </w:r>
    </w:p>
    <w:p w:rsidR="00002BA6" w:rsidRPr="00B04DC3" w:rsidRDefault="00002BA6" w:rsidP="00002BA6">
      <w:pPr>
        <w:pStyle w:val="para"/>
        <w:rPr>
          <w:lang w:val="en-GB"/>
        </w:rPr>
      </w:pPr>
      <w:r w:rsidRPr="00B04DC3">
        <w:rPr>
          <w:lang w:val="en-GB"/>
        </w:rPr>
        <w:tab/>
        <w:t>The calibration of all measuring instruments and systems shall be traceable to national (international) standards. The measuring instruments and systems shall comply with the linearity requirements given in Table 7</w:t>
      </w:r>
      <w:r w:rsidR="00FF461B">
        <w:rPr>
          <w:lang w:val="en-GB"/>
        </w:rPr>
        <w:t xml:space="preserve"> below</w:t>
      </w:r>
      <w:r w:rsidRPr="00B04DC3">
        <w:rPr>
          <w:lang w:val="en-GB"/>
        </w:rPr>
        <w:t>. The linearity verification according to paragraph 9.2.1.</w:t>
      </w:r>
      <w:r w:rsidR="00FF461B">
        <w:rPr>
          <w:lang w:val="en-GB"/>
        </w:rPr>
        <w:t xml:space="preserve"> below</w:t>
      </w:r>
      <w:r w:rsidRPr="00B04DC3">
        <w:rPr>
          <w:lang w:val="en-GB"/>
        </w:rPr>
        <w:t xml:space="preserve">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rsidR="00002BA6" w:rsidRPr="00B04DC3" w:rsidRDefault="00002BA6" w:rsidP="00002BA6">
      <w:pPr>
        <w:pStyle w:val="Heading1"/>
        <w:keepNext/>
        <w:keepLines/>
      </w:pPr>
      <w:bookmarkStart w:id="553" w:name="_Toc399940019"/>
      <w:bookmarkStart w:id="554" w:name="_Toc423599605"/>
      <w:bookmarkStart w:id="555" w:name="_Toc423611013"/>
      <w:r w:rsidRPr="00B04DC3">
        <w:t>Table 7</w:t>
      </w:r>
      <w:bookmarkEnd w:id="553"/>
      <w:bookmarkEnd w:id="554"/>
      <w:bookmarkEnd w:id="555"/>
    </w:p>
    <w:p w:rsidR="00002BA6" w:rsidRPr="00B04DC3" w:rsidRDefault="00002BA6" w:rsidP="00002BA6">
      <w:pPr>
        <w:pStyle w:val="Heading1"/>
        <w:keepNext/>
        <w:keepLines/>
        <w:rPr>
          <w:b/>
        </w:rPr>
      </w:pPr>
      <w:bookmarkStart w:id="556" w:name="_Toc399940020"/>
      <w:bookmarkStart w:id="557" w:name="_Toc423599606"/>
      <w:bookmarkStart w:id="558" w:name="_Toc423611014"/>
      <w:r w:rsidRPr="00B04DC3">
        <w:rPr>
          <w:b/>
        </w:rPr>
        <w:t>Linearity requirements of instruments and measurement systems</w:t>
      </w:r>
      <w:bookmarkEnd w:id="556"/>
      <w:bookmarkEnd w:id="557"/>
      <w:bookmarkEnd w:id="558"/>
    </w:p>
    <w:tbl>
      <w:tblPr>
        <w:tblW w:w="7938" w:type="dxa"/>
        <w:tblInd w:w="1134" w:type="dxa"/>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68"/>
        <w:gridCol w:w="1600"/>
        <w:gridCol w:w="1217"/>
        <w:gridCol w:w="1217"/>
        <w:gridCol w:w="1736"/>
      </w:tblGrid>
      <w:tr w:rsidR="00002BA6" w:rsidRPr="00B04DC3" w:rsidTr="00D71F62">
        <w:tc>
          <w:tcPr>
            <w:tcW w:w="2168" w:type="dxa"/>
            <w:tcBorders>
              <w:top w:val="single" w:sz="2" w:space="0" w:color="auto"/>
              <w:left w:val="single" w:sz="2" w:space="0" w:color="auto"/>
              <w:bottom w:val="single" w:sz="12" w:space="0" w:color="auto"/>
            </w:tcBorders>
            <w:vAlign w:val="center"/>
          </w:tcPr>
          <w:p w:rsidR="00002BA6" w:rsidRPr="00B04DC3" w:rsidRDefault="00002BA6" w:rsidP="00002BA6">
            <w:pPr>
              <w:keepNext/>
              <w:keepLines/>
              <w:spacing w:before="80" w:after="80" w:line="200" w:lineRule="exact"/>
              <w:jc w:val="center"/>
              <w:rPr>
                <w:i/>
                <w:sz w:val="16"/>
                <w:szCs w:val="16"/>
              </w:rPr>
            </w:pPr>
            <w:r w:rsidRPr="00B04DC3">
              <w:rPr>
                <w:i/>
                <w:sz w:val="16"/>
                <w:szCs w:val="16"/>
              </w:rPr>
              <w:t>Measurement system</w:t>
            </w:r>
          </w:p>
        </w:tc>
        <w:tc>
          <w:tcPr>
            <w:tcW w:w="1600" w:type="dxa"/>
            <w:tcBorders>
              <w:top w:val="single" w:sz="2" w:space="0" w:color="auto"/>
              <w:bottom w:val="single" w:sz="12" w:space="0" w:color="auto"/>
            </w:tcBorders>
            <w:vAlign w:val="center"/>
          </w:tcPr>
          <w:p w:rsidR="00002BA6" w:rsidRPr="00B04DC3" w:rsidRDefault="007A6F4E" w:rsidP="00002BA6">
            <w:pPr>
              <w:keepNext/>
              <w:keepLines/>
              <w:spacing w:before="80" w:after="80" w:line="200" w:lineRule="exact"/>
              <w:jc w:val="center"/>
              <w:rPr>
                <w:i/>
                <w:sz w:val="16"/>
                <w:szCs w:val="16"/>
              </w:rPr>
            </w:pPr>
            <w:r w:rsidRPr="00B04DC3">
              <w:rPr>
                <w:i/>
                <w:sz w:val="16"/>
                <w:szCs w:val="16"/>
              </w:rPr>
              <w:sym w:font="Symbol" w:char="F07C"/>
            </w:r>
            <w:r w:rsidR="00002BA6" w:rsidRPr="00B04DC3">
              <w:rPr>
                <w:i/>
                <w:sz w:val="16"/>
                <w:szCs w:val="16"/>
              </w:rPr>
              <w:sym w:font="Symbol" w:char="F063"/>
            </w:r>
            <w:r w:rsidR="00002BA6" w:rsidRPr="00B04DC3">
              <w:rPr>
                <w:i/>
                <w:sz w:val="16"/>
                <w:szCs w:val="16"/>
                <w:vertAlign w:val="subscript"/>
              </w:rPr>
              <w:t>min</w:t>
            </w:r>
            <w:r w:rsidR="00002BA6" w:rsidRPr="00B04DC3">
              <w:rPr>
                <w:i/>
                <w:sz w:val="16"/>
                <w:szCs w:val="16"/>
              </w:rPr>
              <w:t xml:space="preserve"> </w:t>
            </w:r>
            <w:r w:rsidR="00002BA6" w:rsidRPr="00B04DC3">
              <w:rPr>
                <w:i/>
                <w:sz w:val="16"/>
                <w:szCs w:val="16"/>
              </w:rPr>
              <w:sym w:font="Wingdings 2" w:char="F0CD"/>
            </w:r>
            <w:r w:rsidR="00002BA6" w:rsidRPr="00B04DC3">
              <w:rPr>
                <w:i/>
                <w:sz w:val="16"/>
                <w:szCs w:val="16"/>
              </w:rPr>
              <w:t xml:space="preserve"> </w:t>
            </w:r>
            <w:r w:rsidR="00002BA6" w:rsidRPr="00B04DC3">
              <w:rPr>
                <w:rFonts w:ascii="Tahoma" w:hAnsi="Tahoma" w:cs="Tahoma"/>
                <w:i/>
                <w:sz w:val="16"/>
                <w:szCs w:val="16"/>
              </w:rPr>
              <w:t>(</w:t>
            </w:r>
            <w:r w:rsidR="00002BA6" w:rsidRPr="00B04DC3">
              <w:rPr>
                <w:i/>
                <w:sz w:val="16"/>
                <w:szCs w:val="16"/>
              </w:rPr>
              <w:t>a</w:t>
            </w:r>
            <w:r w:rsidR="00002BA6" w:rsidRPr="00B04DC3">
              <w:rPr>
                <w:i/>
                <w:sz w:val="16"/>
                <w:szCs w:val="16"/>
                <w:vertAlign w:val="subscript"/>
              </w:rPr>
              <w:t>1</w:t>
            </w:r>
            <w:r w:rsidR="00002BA6" w:rsidRPr="00B04DC3">
              <w:rPr>
                <w:rFonts w:ascii="SimSun" w:eastAsia="SimSun" w:hAnsi="SimSun"/>
                <w:i/>
                <w:sz w:val="16"/>
                <w:szCs w:val="16"/>
              </w:rPr>
              <w:t xml:space="preserve"> - 1</w:t>
            </w:r>
            <w:r w:rsidR="00002BA6" w:rsidRPr="00B04DC3">
              <w:rPr>
                <w:rFonts w:ascii="Verdana" w:hAnsi="Verdana"/>
                <w:i/>
                <w:sz w:val="16"/>
                <w:szCs w:val="16"/>
              </w:rPr>
              <w:t>)</w:t>
            </w:r>
            <w:r w:rsidR="00002BA6" w:rsidRPr="00B04DC3">
              <w:rPr>
                <w:i/>
                <w:sz w:val="16"/>
                <w:szCs w:val="16"/>
              </w:rPr>
              <w:t>+ a</w:t>
            </w:r>
            <w:r w:rsidR="00002BA6" w:rsidRPr="00B04DC3">
              <w:rPr>
                <w:i/>
                <w:sz w:val="16"/>
                <w:szCs w:val="16"/>
                <w:vertAlign w:val="subscript"/>
              </w:rPr>
              <w:t>0</w:t>
            </w:r>
            <w:r w:rsidRPr="00B04DC3">
              <w:rPr>
                <w:i/>
                <w:sz w:val="16"/>
                <w:szCs w:val="16"/>
              </w:rPr>
              <w:sym w:font="Symbol" w:char="F07C"/>
            </w:r>
          </w:p>
        </w:tc>
        <w:tc>
          <w:tcPr>
            <w:tcW w:w="1217" w:type="dxa"/>
            <w:tcBorders>
              <w:top w:val="single" w:sz="2" w:space="0" w:color="auto"/>
              <w:bottom w:val="single" w:sz="12" w:space="0" w:color="auto"/>
            </w:tcBorders>
            <w:vAlign w:val="center"/>
          </w:tcPr>
          <w:p w:rsidR="00002BA6" w:rsidRPr="00B04DC3" w:rsidRDefault="00002BA6" w:rsidP="00002BA6">
            <w:pPr>
              <w:keepNext/>
              <w:keepLines/>
              <w:spacing w:before="80" w:after="80" w:line="200" w:lineRule="exact"/>
              <w:jc w:val="right"/>
              <w:rPr>
                <w:i/>
                <w:sz w:val="16"/>
                <w:szCs w:val="16"/>
                <w:vertAlign w:val="subscript"/>
              </w:rPr>
            </w:pPr>
            <w:r w:rsidRPr="00B04DC3">
              <w:rPr>
                <w:i/>
                <w:sz w:val="16"/>
                <w:szCs w:val="16"/>
              </w:rPr>
              <w:t>Slope</w:t>
            </w:r>
            <w:r w:rsidRPr="00B04DC3">
              <w:rPr>
                <w:i/>
                <w:sz w:val="16"/>
                <w:szCs w:val="16"/>
              </w:rPr>
              <w:br/>
              <w:t>a</w:t>
            </w:r>
            <w:r w:rsidRPr="00B04DC3">
              <w:rPr>
                <w:i/>
                <w:sz w:val="16"/>
                <w:szCs w:val="16"/>
                <w:vertAlign w:val="subscript"/>
              </w:rPr>
              <w:t>1</w:t>
            </w:r>
          </w:p>
        </w:tc>
        <w:tc>
          <w:tcPr>
            <w:tcW w:w="1217" w:type="dxa"/>
            <w:tcBorders>
              <w:top w:val="single" w:sz="2" w:space="0" w:color="auto"/>
              <w:bottom w:val="single" w:sz="12" w:space="0" w:color="auto"/>
            </w:tcBorders>
            <w:vAlign w:val="center"/>
          </w:tcPr>
          <w:p w:rsidR="00002BA6" w:rsidRPr="00B04DC3" w:rsidRDefault="00002BA6" w:rsidP="00002BA6">
            <w:pPr>
              <w:keepNext/>
              <w:keepLines/>
              <w:spacing w:before="80" w:after="80" w:line="200" w:lineRule="exact"/>
              <w:jc w:val="right"/>
              <w:rPr>
                <w:i/>
                <w:sz w:val="16"/>
                <w:szCs w:val="16"/>
              </w:rPr>
            </w:pPr>
            <w:r w:rsidRPr="00B04DC3">
              <w:rPr>
                <w:i/>
                <w:sz w:val="16"/>
                <w:szCs w:val="16"/>
              </w:rPr>
              <w:t>Standard error</w:t>
            </w:r>
            <w:r w:rsidRPr="00B04DC3">
              <w:rPr>
                <w:i/>
                <w:sz w:val="16"/>
                <w:szCs w:val="16"/>
              </w:rPr>
              <w:br/>
              <w:t>SEE</w:t>
            </w:r>
          </w:p>
        </w:tc>
        <w:tc>
          <w:tcPr>
            <w:tcW w:w="1736" w:type="dxa"/>
            <w:tcBorders>
              <w:top w:val="single" w:sz="2" w:space="0" w:color="auto"/>
              <w:bottom w:val="single" w:sz="12" w:space="0" w:color="auto"/>
              <w:right w:val="single" w:sz="2" w:space="0" w:color="auto"/>
            </w:tcBorders>
            <w:vAlign w:val="center"/>
          </w:tcPr>
          <w:p w:rsidR="00002BA6" w:rsidRPr="00B04DC3" w:rsidRDefault="00002BA6" w:rsidP="00002BA6">
            <w:pPr>
              <w:keepNext/>
              <w:keepLines/>
              <w:spacing w:before="80" w:after="80" w:line="200" w:lineRule="exact"/>
              <w:jc w:val="right"/>
              <w:rPr>
                <w:i/>
                <w:sz w:val="16"/>
                <w:szCs w:val="16"/>
              </w:rPr>
            </w:pPr>
            <w:r w:rsidRPr="00B04DC3">
              <w:rPr>
                <w:i/>
                <w:sz w:val="16"/>
                <w:szCs w:val="16"/>
              </w:rPr>
              <w:t>Coefficient of determination</w:t>
            </w:r>
            <w:r w:rsidRPr="00B04DC3">
              <w:rPr>
                <w:i/>
                <w:sz w:val="16"/>
                <w:szCs w:val="16"/>
              </w:rPr>
              <w:br/>
              <w:t>r</w:t>
            </w:r>
            <w:r w:rsidRPr="00B04DC3">
              <w:rPr>
                <w:i/>
                <w:sz w:val="16"/>
                <w:szCs w:val="16"/>
                <w:vertAlign w:val="superscript"/>
              </w:rPr>
              <w:t>2</w:t>
            </w:r>
          </w:p>
        </w:tc>
      </w:tr>
      <w:tr w:rsidR="00002BA6" w:rsidRPr="00B04DC3" w:rsidTr="00D71F62">
        <w:tc>
          <w:tcPr>
            <w:tcW w:w="2168" w:type="dxa"/>
            <w:tcBorders>
              <w:top w:val="single" w:sz="12" w:space="0" w:color="auto"/>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Engine speed</w:t>
            </w:r>
          </w:p>
        </w:tc>
        <w:tc>
          <w:tcPr>
            <w:tcW w:w="1600" w:type="dxa"/>
            <w:tcBorders>
              <w:top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0.05 % max</w:t>
            </w:r>
          </w:p>
        </w:tc>
        <w:tc>
          <w:tcPr>
            <w:tcW w:w="1217" w:type="dxa"/>
            <w:tcBorders>
              <w:top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Borders>
              <w:top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top w:val="single" w:sz="12" w:space="0" w:color="auto"/>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Engine torque</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 xml:space="preserve">Fuel flow </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 xml:space="preserve">Airflow </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Exhaust gas flow</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Diluent flow</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Diluted exhaust gas flow</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Sample flow</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Gas analyzers</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0.5 %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0.99 - 1.01</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0.998</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Gas dividers</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0.5 %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0.98 - 1.02</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2 %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0.990</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 xml:space="preserve">Temperatures </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0.99 - 1.01</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0.998</w:t>
            </w:r>
          </w:p>
        </w:tc>
      </w:tr>
      <w:tr w:rsidR="00002BA6" w:rsidRPr="00B04DC3" w:rsidTr="00D71F62">
        <w:tc>
          <w:tcPr>
            <w:tcW w:w="2168" w:type="dxa"/>
            <w:tcBorders>
              <w:left w:val="single" w:sz="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Pressures</w:t>
            </w:r>
          </w:p>
        </w:tc>
        <w:tc>
          <w:tcPr>
            <w:tcW w:w="1600"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0.99 - 1.01</w:t>
            </w:r>
          </w:p>
        </w:tc>
        <w:tc>
          <w:tcPr>
            <w:tcW w:w="1217" w:type="dxa"/>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736" w:type="dxa"/>
            <w:tcBorders>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0.998</w:t>
            </w:r>
          </w:p>
        </w:tc>
      </w:tr>
      <w:tr w:rsidR="00002BA6" w:rsidRPr="00B04DC3" w:rsidTr="00D71F62">
        <w:tc>
          <w:tcPr>
            <w:tcW w:w="2168" w:type="dxa"/>
            <w:tcBorders>
              <w:left w:val="single" w:sz="2" w:space="0" w:color="auto"/>
              <w:bottom w:val="single" w:sz="12" w:space="0" w:color="auto"/>
            </w:tcBorders>
          </w:tcPr>
          <w:p w:rsidR="00002BA6" w:rsidRPr="00B04DC3" w:rsidRDefault="00002BA6" w:rsidP="00002BA6">
            <w:pPr>
              <w:keepNext/>
              <w:keepLines/>
              <w:spacing w:beforeLines="40" w:before="96" w:afterLines="40" w:after="96" w:line="200" w:lineRule="exact"/>
              <w:ind w:left="113" w:right="113"/>
              <w:rPr>
                <w:position w:val="6"/>
                <w:sz w:val="18"/>
                <w:szCs w:val="18"/>
              </w:rPr>
            </w:pPr>
            <w:r w:rsidRPr="00B04DC3">
              <w:rPr>
                <w:position w:val="6"/>
                <w:sz w:val="18"/>
                <w:szCs w:val="18"/>
              </w:rPr>
              <w:t>PM balance</w:t>
            </w:r>
          </w:p>
        </w:tc>
        <w:tc>
          <w:tcPr>
            <w:tcW w:w="1600" w:type="dxa"/>
            <w:tcBorders>
              <w:bottom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217" w:type="dxa"/>
            <w:tcBorders>
              <w:bottom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0.99 - 1.01</w:t>
            </w:r>
          </w:p>
        </w:tc>
        <w:tc>
          <w:tcPr>
            <w:tcW w:w="1217" w:type="dxa"/>
            <w:tcBorders>
              <w:bottom w:val="single" w:sz="1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1 % max</w:t>
            </w:r>
          </w:p>
        </w:tc>
        <w:tc>
          <w:tcPr>
            <w:tcW w:w="1736" w:type="dxa"/>
            <w:tcBorders>
              <w:bottom w:val="single" w:sz="12" w:space="0" w:color="auto"/>
              <w:right w:val="single" w:sz="2" w:space="0" w:color="auto"/>
            </w:tcBorders>
          </w:tcPr>
          <w:p w:rsidR="00002BA6" w:rsidRPr="00B04DC3" w:rsidRDefault="00002BA6" w:rsidP="00002BA6">
            <w:pPr>
              <w:keepNext/>
              <w:keepLines/>
              <w:spacing w:beforeLines="40" w:before="96" w:afterLines="40" w:after="96" w:line="200" w:lineRule="exact"/>
              <w:ind w:left="113" w:right="113"/>
              <w:jc w:val="right"/>
              <w:rPr>
                <w:position w:val="6"/>
                <w:sz w:val="18"/>
                <w:szCs w:val="18"/>
              </w:rPr>
            </w:pPr>
            <w:r w:rsidRPr="00B04DC3">
              <w:rPr>
                <w:sz w:val="18"/>
                <w:szCs w:val="18"/>
              </w:rPr>
              <w:t>≥  0.998</w:t>
            </w:r>
          </w:p>
        </w:tc>
      </w:tr>
    </w:tbl>
    <w:p w:rsidR="00002BA6" w:rsidRPr="00B04DC3" w:rsidRDefault="00002BA6" w:rsidP="00002BA6">
      <w:pPr>
        <w:pStyle w:val="para"/>
        <w:spacing w:before="240"/>
        <w:rPr>
          <w:lang w:val="en-GB"/>
        </w:rPr>
      </w:pPr>
      <w:r w:rsidRPr="00B04DC3">
        <w:rPr>
          <w:lang w:val="en-GB"/>
        </w:rPr>
        <w:t>9.2.1.</w:t>
      </w:r>
      <w:r w:rsidRPr="00B04DC3">
        <w:rPr>
          <w:lang w:val="en-GB"/>
        </w:rPr>
        <w:tab/>
        <w:t>Linearity verification</w:t>
      </w:r>
    </w:p>
    <w:p w:rsidR="00002BA6" w:rsidRPr="00B04DC3" w:rsidRDefault="00002BA6" w:rsidP="00002BA6">
      <w:pPr>
        <w:pStyle w:val="para"/>
        <w:rPr>
          <w:lang w:val="en-GB"/>
        </w:rPr>
      </w:pPr>
      <w:r w:rsidRPr="00B04DC3">
        <w:rPr>
          <w:lang w:val="en-GB"/>
        </w:rPr>
        <w:t>9.2.1.1.</w:t>
      </w:r>
      <w:r w:rsidRPr="00B04DC3">
        <w:rPr>
          <w:lang w:val="en-GB"/>
        </w:rPr>
        <w:tab/>
        <w:t>Introduction</w:t>
      </w:r>
    </w:p>
    <w:p w:rsidR="00002BA6" w:rsidRPr="00B04DC3" w:rsidRDefault="00002BA6" w:rsidP="00002BA6">
      <w:pPr>
        <w:pStyle w:val="para"/>
        <w:rPr>
          <w:lang w:val="en-GB"/>
        </w:rPr>
      </w:pPr>
      <w:r w:rsidRPr="00B04DC3">
        <w:rPr>
          <w:lang w:val="en-GB"/>
        </w:rPr>
        <w:tab/>
        <w:t xml:space="preserve">A linearity verification shall be performed for each measurement system listed in Table 7. At least 10 reference values, or as specified otherwise, shall be introduced to the measurement system, and the measured values shall be compared to the reference values by using a least squares linear regression in accordance with equation 11. The maximum limits in </w:t>
      </w:r>
      <w:r w:rsidR="00901017" w:rsidRPr="00B04DC3">
        <w:rPr>
          <w:lang w:val="en-GB"/>
        </w:rPr>
        <w:t>Table 7 refers to the maximum</w:t>
      </w:r>
      <w:r w:rsidRPr="00B04DC3">
        <w:rPr>
          <w:lang w:val="en-GB"/>
        </w:rPr>
        <w:t xml:space="preserve"> values expected during testing.</w:t>
      </w:r>
    </w:p>
    <w:p w:rsidR="00002BA6" w:rsidRPr="00B04DC3" w:rsidRDefault="00002BA6" w:rsidP="00E31D0F">
      <w:pPr>
        <w:pStyle w:val="para"/>
        <w:keepNext/>
        <w:keepLines/>
        <w:rPr>
          <w:lang w:val="en-GB"/>
        </w:rPr>
      </w:pPr>
      <w:r w:rsidRPr="00B04DC3">
        <w:rPr>
          <w:lang w:val="en-GB"/>
        </w:rPr>
        <w:t>9.2.1.2.</w:t>
      </w:r>
      <w:r w:rsidRPr="00B04DC3">
        <w:rPr>
          <w:lang w:val="en-GB"/>
        </w:rPr>
        <w:tab/>
        <w:t>General requirements</w:t>
      </w:r>
    </w:p>
    <w:p w:rsidR="00002BA6" w:rsidRPr="00B04DC3" w:rsidRDefault="00002BA6" w:rsidP="00002BA6">
      <w:pPr>
        <w:pStyle w:val="para"/>
        <w:rPr>
          <w:lang w:val="en-GB"/>
        </w:rPr>
      </w:pPr>
      <w:r w:rsidRPr="00B04DC3">
        <w:rPr>
          <w:lang w:val="en-GB"/>
        </w:rPr>
        <w:tab/>
        <w:t>The measurement systems shall be warmed up according to the recommendations of the instrument manufacturer. The measurement systems shall be operated at their specified temperatures, pressures and flows.</w:t>
      </w:r>
    </w:p>
    <w:p w:rsidR="00002BA6" w:rsidRPr="00B04DC3" w:rsidRDefault="00002BA6" w:rsidP="00002BA6">
      <w:pPr>
        <w:pStyle w:val="para"/>
        <w:rPr>
          <w:lang w:val="en-GB"/>
        </w:rPr>
      </w:pPr>
      <w:r w:rsidRPr="00B04DC3">
        <w:rPr>
          <w:lang w:val="en-GB"/>
        </w:rPr>
        <w:t>9.2.1.3.</w:t>
      </w:r>
      <w:r w:rsidRPr="00B04DC3">
        <w:rPr>
          <w:lang w:val="en-GB"/>
        </w:rPr>
        <w:tab/>
        <w:t>Procedure</w:t>
      </w:r>
    </w:p>
    <w:p w:rsidR="00002BA6" w:rsidRPr="00B04DC3" w:rsidRDefault="00002BA6" w:rsidP="00002BA6">
      <w:pPr>
        <w:pStyle w:val="para"/>
        <w:rPr>
          <w:lang w:val="en-GB"/>
        </w:rPr>
      </w:pPr>
      <w:r w:rsidRPr="00B04DC3">
        <w:rPr>
          <w:lang w:val="en-GB"/>
        </w:rPr>
        <w:tab/>
        <w:t>The linearity verification shall be run for each normally used operating range with the following steps:</w:t>
      </w:r>
    </w:p>
    <w:p w:rsidR="00002BA6" w:rsidRPr="00B04DC3" w:rsidRDefault="00002BA6" w:rsidP="00002BA6">
      <w:pPr>
        <w:pStyle w:val="a"/>
        <w:rPr>
          <w:lang w:val="en-GB"/>
        </w:rPr>
      </w:pPr>
      <w:r w:rsidRPr="00B04DC3">
        <w:rPr>
          <w:lang w:val="en-GB"/>
        </w:rPr>
        <w:t>(a)</w:t>
      </w:r>
      <w:r w:rsidRPr="00B04DC3">
        <w:rPr>
          <w:lang w:val="en-GB"/>
        </w:rPr>
        <w:tab/>
        <w:t>The instrument shall be set at zero by introducing a zero signal. For gas analyzers, purified synthetic air (or nitrogen) shall be introduced directly to the analyzer port;</w:t>
      </w:r>
    </w:p>
    <w:p w:rsidR="00002BA6" w:rsidRPr="00B04DC3" w:rsidRDefault="00002BA6" w:rsidP="00002BA6">
      <w:pPr>
        <w:pStyle w:val="a"/>
        <w:rPr>
          <w:lang w:val="en-GB"/>
        </w:rPr>
      </w:pPr>
      <w:r w:rsidRPr="00B04DC3">
        <w:rPr>
          <w:lang w:val="en-GB"/>
        </w:rPr>
        <w:t>(b)</w:t>
      </w:r>
      <w:r w:rsidRPr="00B04DC3">
        <w:rPr>
          <w:lang w:val="en-GB"/>
        </w:rPr>
        <w:tab/>
        <w:t>The instrument shall be spanned by introducing a span signal. For gas analyzers, an appropriate span gas shall be introduced directly to the analyzer port;</w:t>
      </w:r>
    </w:p>
    <w:p w:rsidR="00002BA6" w:rsidRPr="00B04DC3" w:rsidRDefault="00002BA6" w:rsidP="00002BA6">
      <w:pPr>
        <w:pStyle w:val="a"/>
        <w:rPr>
          <w:lang w:val="en-GB"/>
        </w:rPr>
      </w:pPr>
      <w:r w:rsidRPr="00B04DC3">
        <w:rPr>
          <w:lang w:val="en-GB"/>
        </w:rPr>
        <w:t>(c)</w:t>
      </w:r>
      <w:r w:rsidRPr="00B04DC3">
        <w:rPr>
          <w:lang w:val="en-GB"/>
        </w:rPr>
        <w:tab/>
        <w:t>The zero procedure of (a) shall be repeated;</w:t>
      </w:r>
    </w:p>
    <w:p w:rsidR="00002BA6" w:rsidRPr="00B04DC3" w:rsidRDefault="00002BA6" w:rsidP="00002BA6">
      <w:pPr>
        <w:pStyle w:val="a"/>
        <w:rPr>
          <w:lang w:val="en-GB"/>
        </w:rPr>
      </w:pPr>
      <w:r w:rsidRPr="00B04DC3">
        <w:rPr>
          <w:lang w:val="en-GB"/>
        </w:rPr>
        <w:t>(d)</w:t>
      </w:r>
      <w:r w:rsidRPr="00B04DC3">
        <w:rPr>
          <w:lang w:val="en-GB"/>
        </w:rPr>
        <w:tab/>
        <w:t xml:space="preserve">The verification shall be established by introducing at least 10 reference values (including zero) that are within the range from zero to the highest values expected during emission testing. For gas analyzers, known gas concentrations in accordance with paragraph 9.3.3.2. </w:t>
      </w:r>
      <w:r w:rsidR="00FF461B">
        <w:rPr>
          <w:lang w:val="en-GB"/>
        </w:rPr>
        <w:t xml:space="preserve">of this annex </w:t>
      </w:r>
      <w:r w:rsidRPr="00B04DC3">
        <w:rPr>
          <w:lang w:val="en-GB"/>
        </w:rPr>
        <w:t>shall be introduced directly to the analyzer port;</w:t>
      </w:r>
    </w:p>
    <w:p w:rsidR="00002BA6" w:rsidRPr="00B04DC3" w:rsidRDefault="00002BA6" w:rsidP="00002BA6">
      <w:pPr>
        <w:pStyle w:val="a"/>
        <w:rPr>
          <w:lang w:val="en-GB"/>
        </w:rPr>
      </w:pPr>
      <w:r w:rsidRPr="00B04DC3">
        <w:rPr>
          <w:lang w:val="en-GB"/>
        </w:rPr>
        <w:t>(e)</w:t>
      </w:r>
      <w:r w:rsidRPr="00B04DC3">
        <w:rPr>
          <w:lang w:val="en-GB"/>
        </w:rPr>
        <w:tab/>
        <w:t>At a recording frequency of at least 1 Hz, the reference values shall be measured and the measured values recorded for 30 seconds;</w:t>
      </w:r>
    </w:p>
    <w:p w:rsidR="00002BA6" w:rsidRPr="00B04DC3" w:rsidRDefault="00002BA6" w:rsidP="00002BA6">
      <w:pPr>
        <w:pStyle w:val="a"/>
        <w:rPr>
          <w:lang w:val="en-GB"/>
        </w:rPr>
      </w:pPr>
      <w:r w:rsidRPr="00B04DC3">
        <w:rPr>
          <w:lang w:val="en-GB"/>
        </w:rPr>
        <w:t>(f)</w:t>
      </w:r>
      <w:r w:rsidRPr="00B04DC3">
        <w:rPr>
          <w:lang w:val="en-GB"/>
        </w:rPr>
        <w:tab/>
        <w:t>The arithmetic mean values over the 30 seconds period shall be used to calculate the least squares linear regression parameters according to equation 11 in paragraph 7.8.7.</w:t>
      </w:r>
      <w:r w:rsidR="00FF461B" w:rsidRPr="00FF461B">
        <w:rPr>
          <w:lang w:val="en-GB"/>
        </w:rPr>
        <w:t xml:space="preserve"> </w:t>
      </w:r>
      <w:r w:rsidR="00FF461B">
        <w:rPr>
          <w:lang w:val="en-GB"/>
        </w:rPr>
        <w:t>of this annex</w:t>
      </w:r>
      <w:r w:rsidRPr="00B04DC3">
        <w:rPr>
          <w:lang w:val="en-GB"/>
        </w:rPr>
        <w:t>;</w:t>
      </w:r>
    </w:p>
    <w:p w:rsidR="00002BA6" w:rsidRPr="00B04DC3" w:rsidRDefault="00002BA6" w:rsidP="00002BA6">
      <w:pPr>
        <w:pStyle w:val="a"/>
        <w:rPr>
          <w:lang w:val="en-GB"/>
        </w:rPr>
      </w:pPr>
      <w:r w:rsidRPr="00B04DC3">
        <w:rPr>
          <w:lang w:val="en-GB"/>
        </w:rPr>
        <w:t>(g)</w:t>
      </w:r>
      <w:r w:rsidRPr="00B04DC3">
        <w:rPr>
          <w:lang w:val="en-GB"/>
        </w:rPr>
        <w:tab/>
        <w:t>The linear regression parameters shall meet the requirements of paragraph 9.2.</w:t>
      </w:r>
      <w:r w:rsidR="00FF461B" w:rsidRPr="00FF461B">
        <w:rPr>
          <w:lang w:val="en-GB"/>
        </w:rPr>
        <w:t xml:space="preserve"> </w:t>
      </w:r>
      <w:r w:rsidR="00FF461B">
        <w:rPr>
          <w:lang w:val="en-GB"/>
        </w:rPr>
        <w:t>of this annex</w:t>
      </w:r>
      <w:r w:rsidRPr="00B04DC3">
        <w:rPr>
          <w:lang w:val="en-GB"/>
        </w:rPr>
        <w:t>, Table 7;</w:t>
      </w:r>
    </w:p>
    <w:p w:rsidR="00002BA6" w:rsidRPr="00B04DC3" w:rsidRDefault="00002BA6" w:rsidP="00002BA6">
      <w:pPr>
        <w:pStyle w:val="a"/>
        <w:rPr>
          <w:lang w:val="en-GB"/>
        </w:rPr>
      </w:pPr>
      <w:r w:rsidRPr="00B04DC3">
        <w:rPr>
          <w:lang w:val="en-GB"/>
        </w:rPr>
        <w:t>(h)</w:t>
      </w:r>
      <w:r w:rsidRPr="00B04DC3">
        <w:rPr>
          <w:lang w:val="en-GB"/>
        </w:rPr>
        <w:tab/>
        <w:t>The zero setting shall be rechecked and the verification procedure repeated, if necessary.</w:t>
      </w:r>
    </w:p>
    <w:p w:rsidR="00002BA6" w:rsidRPr="00B04DC3" w:rsidRDefault="00002BA6" w:rsidP="00002BA6">
      <w:pPr>
        <w:pStyle w:val="para"/>
        <w:rPr>
          <w:lang w:val="en-GB"/>
        </w:rPr>
      </w:pPr>
      <w:r w:rsidRPr="00B04DC3">
        <w:rPr>
          <w:lang w:val="en-GB"/>
        </w:rPr>
        <w:t>9.3.</w:t>
      </w:r>
      <w:r w:rsidRPr="00B04DC3">
        <w:rPr>
          <w:lang w:val="en-GB"/>
        </w:rPr>
        <w:tab/>
        <w:t>Gaseous emissions measurement and sampling system</w:t>
      </w:r>
    </w:p>
    <w:p w:rsidR="00002BA6" w:rsidRPr="00B04DC3" w:rsidRDefault="00002BA6" w:rsidP="00002BA6">
      <w:pPr>
        <w:pStyle w:val="para"/>
        <w:rPr>
          <w:lang w:val="en-GB"/>
        </w:rPr>
      </w:pPr>
      <w:r w:rsidRPr="00B04DC3">
        <w:rPr>
          <w:lang w:val="en-GB"/>
        </w:rPr>
        <w:t>9.3.1.</w:t>
      </w:r>
      <w:r w:rsidRPr="00B04DC3">
        <w:rPr>
          <w:lang w:val="en-GB"/>
        </w:rPr>
        <w:tab/>
        <w:t>Analyzer specifications</w:t>
      </w:r>
    </w:p>
    <w:p w:rsidR="00002BA6" w:rsidRPr="00B04DC3" w:rsidRDefault="00002BA6" w:rsidP="00002BA6">
      <w:pPr>
        <w:pStyle w:val="para"/>
        <w:rPr>
          <w:lang w:val="en-GB"/>
        </w:rPr>
      </w:pPr>
      <w:r w:rsidRPr="00B04DC3">
        <w:rPr>
          <w:lang w:val="en-GB"/>
        </w:rPr>
        <w:t>9.3.1.1.</w:t>
      </w:r>
      <w:r w:rsidRPr="00B04DC3">
        <w:rPr>
          <w:lang w:val="en-GB"/>
        </w:rPr>
        <w:tab/>
        <w:t>General</w:t>
      </w:r>
    </w:p>
    <w:p w:rsidR="00002BA6" w:rsidRPr="00B04DC3" w:rsidRDefault="00002BA6" w:rsidP="00002BA6">
      <w:pPr>
        <w:pStyle w:val="para"/>
        <w:rPr>
          <w:lang w:val="en-GB"/>
        </w:rPr>
      </w:pPr>
      <w:r w:rsidRPr="00B04DC3">
        <w:rPr>
          <w:lang w:val="en-GB"/>
        </w:rPr>
        <w:tab/>
        <w:t>The analyzers shall have a measuring range and response time appropriate for the accuracy required to measure the concentrations of the exhaust gas components under transient and steady state conditions.</w:t>
      </w:r>
    </w:p>
    <w:p w:rsidR="00002BA6" w:rsidRPr="00B04DC3" w:rsidRDefault="00002BA6" w:rsidP="00002BA6">
      <w:pPr>
        <w:pStyle w:val="para"/>
        <w:rPr>
          <w:lang w:val="en-GB"/>
        </w:rPr>
      </w:pPr>
      <w:r w:rsidRPr="00B04DC3">
        <w:rPr>
          <w:lang w:val="en-GB"/>
        </w:rPr>
        <w:tab/>
        <w:t xml:space="preserve">The </w:t>
      </w:r>
      <w:r w:rsidR="00FF461B">
        <w:rPr>
          <w:lang w:val="en-GB"/>
        </w:rPr>
        <w:t>E</w:t>
      </w:r>
      <w:r w:rsidR="00FF461B" w:rsidRPr="00B04DC3">
        <w:rPr>
          <w:lang w:val="en-GB"/>
        </w:rPr>
        <w:t xml:space="preserve">lectromagnetic </w:t>
      </w:r>
      <w:r w:rsidR="00FF461B">
        <w:rPr>
          <w:lang w:val="en-GB"/>
        </w:rPr>
        <w:t>C</w:t>
      </w:r>
      <w:r w:rsidR="00FF461B" w:rsidRPr="00B04DC3">
        <w:rPr>
          <w:lang w:val="en-GB"/>
        </w:rPr>
        <w:t xml:space="preserve">ompatibility </w:t>
      </w:r>
      <w:r w:rsidRPr="00B04DC3">
        <w:rPr>
          <w:lang w:val="en-GB"/>
        </w:rPr>
        <w:t>(EMC) of the equipment shall be on a level as to minimize additional errors.</w:t>
      </w:r>
    </w:p>
    <w:p w:rsidR="00002BA6" w:rsidRPr="00B04DC3" w:rsidRDefault="00002BA6" w:rsidP="00002BA6">
      <w:pPr>
        <w:pStyle w:val="para"/>
        <w:rPr>
          <w:lang w:val="en-GB"/>
        </w:rPr>
      </w:pPr>
      <w:r w:rsidRPr="00B04DC3">
        <w:rPr>
          <w:lang w:val="en-GB"/>
        </w:rPr>
        <w:t>9.3.1.2.</w:t>
      </w:r>
      <w:r w:rsidRPr="00B04DC3">
        <w:rPr>
          <w:lang w:val="en-GB"/>
        </w:rPr>
        <w:tab/>
        <w:t>Accuracy</w:t>
      </w:r>
    </w:p>
    <w:p w:rsidR="00002BA6" w:rsidRPr="00B04DC3" w:rsidRDefault="00002BA6" w:rsidP="00002BA6">
      <w:pPr>
        <w:pStyle w:val="para"/>
        <w:rPr>
          <w:lang w:val="en-GB"/>
        </w:rPr>
      </w:pPr>
      <w:r w:rsidRPr="00B04DC3">
        <w:rPr>
          <w:lang w:val="en-GB"/>
        </w:rPr>
        <w:tab/>
        <w:t>The accuracy, defined as the deviation of the analyzer reading from the reference value, shall not exceed ±2 per cent of the reading or ±0.3 per cent of full scale whichever is larger.</w:t>
      </w:r>
    </w:p>
    <w:p w:rsidR="00002BA6" w:rsidRPr="00B04DC3" w:rsidRDefault="00002BA6" w:rsidP="00B824C8">
      <w:pPr>
        <w:pStyle w:val="para"/>
        <w:keepNext/>
        <w:keepLines/>
        <w:spacing w:after="80"/>
        <w:rPr>
          <w:lang w:val="en-GB"/>
        </w:rPr>
      </w:pPr>
      <w:r w:rsidRPr="00B04DC3">
        <w:rPr>
          <w:lang w:val="en-GB"/>
        </w:rPr>
        <w:t>9.3.1.3.</w:t>
      </w:r>
      <w:r w:rsidRPr="00B04DC3">
        <w:rPr>
          <w:lang w:val="en-GB"/>
        </w:rPr>
        <w:tab/>
        <w:t>Precision</w:t>
      </w:r>
    </w:p>
    <w:p w:rsidR="00002BA6" w:rsidRPr="00B04DC3" w:rsidRDefault="00002BA6" w:rsidP="00002BA6">
      <w:pPr>
        <w:pStyle w:val="para"/>
        <w:rPr>
          <w:lang w:val="en-GB"/>
        </w:rPr>
      </w:pPr>
      <w:r w:rsidRPr="00B04DC3">
        <w:rPr>
          <w:lang w:val="en-GB"/>
        </w:rPr>
        <w:tab/>
        <w: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t>
      </w:r>
    </w:p>
    <w:p w:rsidR="00002BA6" w:rsidRPr="00B04DC3" w:rsidRDefault="00002BA6" w:rsidP="00B824C8">
      <w:pPr>
        <w:pStyle w:val="para"/>
        <w:keepNext/>
        <w:keepLines/>
        <w:spacing w:after="80"/>
        <w:rPr>
          <w:lang w:val="en-GB"/>
        </w:rPr>
      </w:pPr>
      <w:r w:rsidRPr="00B04DC3">
        <w:rPr>
          <w:lang w:val="en-GB"/>
        </w:rPr>
        <w:t>9.3.1.4.</w:t>
      </w:r>
      <w:r w:rsidRPr="00B04DC3">
        <w:rPr>
          <w:lang w:val="en-GB"/>
        </w:rPr>
        <w:tab/>
        <w:t>Noise</w:t>
      </w:r>
    </w:p>
    <w:p w:rsidR="00002BA6" w:rsidRPr="00B04DC3" w:rsidRDefault="00002BA6" w:rsidP="00002BA6">
      <w:pPr>
        <w:pStyle w:val="para"/>
        <w:rPr>
          <w:lang w:val="en-GB"/>
        </w:rPr>
      </w:pPr>
      <w:r w:rsidRPr="00B04DC3">
        <w:rPr>
          <w:lang w:val="en-GB"/>
        </w:rPr>
        <w:tab/>
        <w:t>The analyzer peak-to-peak response to zero and calibration or span gases over any 10 seconds period shall not exceed 2 per cent of full scale on all ranges used.</w:t>
      </w:r>
    </w:p>
    <w:p w:rsidR="00002BA6" w:rsidRPr="00B04DC3" w:rsidRDefault="00002BA6" w:rsidP="00B824C8">
      <w:pPr>
        <w:pStyle w:val="para"/>
        <w:keepNext/>
        <w:keepLines/>
        <w:spacing w:after="80"/>
        <w:rPr>
          <w:lang w:val="en-GB"/>
        </w:rPr>
      </w:pPr>
      <w:r w:rsidRPr="00B04DC3">
        <w:rPr>
          <w:lang w:val="en-GB"/>
        </w:rPr>
        <w:t>9.3.1.5.</w:t>
      </w:r>
      <w:r w:rsidRPr="00B04DC3">
        <w:rPr>
          <w:lang w:val="en-GB"/>
        </w:rPr>
        <w:tab/>
        <w:t>Zero drift</w:t>
      </w:r>
    </w:p>
    <w:p w:rsidR="00002BA6" w:rsidRPr="00B04DC3" w:rsidRDefault="00002BA6" w:rsidP="00002BA6">
      <w:pPr>
        <w:pStyle w:val="para"/>
        <w:rPr>
          <w:lang w:val="en-GB"/>
        </w:rPr>
      </w:pPr>
      <w:r w:rsidRPr="00B04DC3">
        <w:rPr>
          <w:lang w:val="en-GB"/>
        </w:rPr>
        <w:tab/>
        <w:t>The drift of the zero response shall be specified by the instrument manufacturer.</w:t>
      </w:r>
    </w:p>
    <w:p w:rsidR="00002BA6" w:rsidRPr="00B04DC3" w:rsidRDefault="00002BA6" w:rsidP="00B824C8">
      <w:pPr>
        <w:pStyle w:val="para"/>
        <w:keepNext/>
        <w:keepLines/>
        <w:spacing w:after="80"/>
        <w:rPr>
          <w:lang w:val="en-GB"/>
        </w:rPr>
      </w:pPr>
      <w:r w:rsidRPr="00B04DC3">
        <w:rPr>
          <w:lang w:val="en-GB"/>
        </w:rPr>
        <w:t>9.3.1.6.</w:t>
      </w:r>
      <w:r w:rsidRPr="00B04DC3">
        <w:rPr>
          <w:lang w:val="en-GB"/>
        </w:rPr>
        <w:tab/>
        <w:t>Span drift</w:t>
      </w:r>
    </w:p>
    <w:p w:rsidR="00002BA6" w:rsidRPr="00B04DC3" w:rsidRDefault="00002BA6" w:rsidP="00002BA6">
      <w:pPr>
        <w:pStyle w:val="para"/>
        <w:rPr>
          <w:lang w:val="en-GB"/>
        </w:rPr>
      </w:pPr>
      <w:r w:rsidRPr="00B04DC3">
        <w:rPr>
          <w:lang w:val="en-GB"/>
        </w:rPr>
        <w:tab/>
        <w:t>The drift of the span response shall be specified by the instrument manufacturer.</w:t>
      </w:r>
    </w:p>
    <w:p w:rsidR="00002BA6" w:rsidRPr="00B04DC3" w:rsidRDefault="00002BA6" w:rsidP="00B824C8">
      <w:pPr>
        <w:pStyle w:val="para"/>
        <w:keepNext/>
        <w:keepLines/>
        <w:spacing w:after="80"/>
        <w:rPr>
          <w:lang w:val="en-GB"/>
        </w:rPr>
      </w:pPr>
      <w:r w:rsidRPr="00B04DC3">
        <w:rPr>
          <w:lang w:val="en-GB"/>
        </w:rPr>
        <w:t>9.3.1.7.</w:t>
      </w:r>
      <w:r w:rsidRPr="00B04DC3">
        <w:rPr>
          <w:lang w:val="en-GB"/>
        </w:rPr>
        <w:tab/>
        <w:t>Rise time</w:t>
      </w:r>
    </w:p>
    <w:p w:rsidR="00002BA6" w:rsidRPr="00B04DC3" w:rsidRDefault="00002BA6" w:rsidP="00002BA6">
      <w:pPr>
        <w:pStyle w:val="para"/>
        <w:rPr>
          <w:lang w:val="en-GB"/>
        </w:rPr>
      </w:pPr>
      <w:r w:rsidRPr="00B04DC3">
        <w:rPr>
          <w:lang w:val="en-GB"/>
        </w:rPr>
        <w:tab/>
        <w:t>The rise time of the analyzer installed in the measurement system shall not exceed 2.5 seconds.</w:t>
      </w:r>
    </w:p>
    <w:p w:rsidR="00002BA6" w:rsidRPr="00B04DC3" w:rsidRDefault="00002BA6" w:rsidP="00B824C8">
      <w:pPr>
        <w:pStyle w:val="para"/>
        <w:keepNext/>
        <w:keepLines/>
        <w:spacing w:after="80"/>
        <w:rPr>
          <w:lang w:val="en-GB"/>
        </w:rPr>
      </w:pPr>
      <w:r w:rsidRPr="00B04DC3">
        <w:rPr>
          <w:lang w:val="en-GB"/>
        </w:rPr>
        <w:t>9.3.1.8.</w:t>
      </w:r>
      <w:r w:rsidRPr="00B04DC3">
        <w:rPr>
          <w:lang w:val="en-GB"/>
        </w:rPr>
        <w:tab/>
        <w:t>Gas drying</w:t>
      </w:r>
    </w:p>
    <w:p w:rsidR="00002BA6" w:rsidRPr="00B04DC3" w:rsidRDefault="00002BA6" w:rsidP="00002BA6">
      <w:pPr>
        <w:pStyle w:val="para"/>
        <w:rPr>
          <w:lang w:val="en-GB"/>
        </w:rPr>
      </w:pPr>
      <w:r w:rsidRPr="00B04DC3">
        <w:rPr>
          <w:lang w:val="en-GB"/>
        </w:rPr>
        <w:tab/>
        <w:t>Exhaust gases may be measured wet or dry. A gas-drying device, if used, shall have a minimal effect on the composition of the measured gases. Chemical dryers are not an acceptable method of removing water from the sample.</w:t>
      </w:r>
    </w:p>
    <w:p w:rsidR="00002BA6" w:rsidRPr="00B04DC3" w:rsidRDefault="00002BA6" w:rsidP="00B824C8">
      <w:pPr>
        <w:pStyle w:val="para"/>
        <w:keepNext/>
        <w:keepLines/>
        <w:spacing w:after="80"/>
        <w:rPr>
          <w:lang w:val="en-GB"/>
        </w:rPr>
      </w:pPr>
      <w:r w:rsidRPr="00B04DC3">
        <w:rPr>
          <w:lang w:val="en-GB"/>
        </w:rPr>
        <w:t>9.3.2.</w:t>
      </w:r>
      <w:r w:rsidRPr="00B04DC3">
        <w:rPr>
          <w:lang w:val="en-GB"/>
        </w:rPr>
        <w:tab/>
        <w:t>Gas analyzers</w:t>
      </w:r>
    </w:p>
    <w:p w:rsidR="00002BA6" w:rsidRPr="00B04DC3" w:rsidRDefault="00002BA6" w:rsidP="00B824C8">
      <w:pPr>
        <w:pStyle w:val="para"/>
        <w:keepNext/>
        <w:keepLines/>
        <w:spacing w:after="80"/>
        <w:rPr>
          <w:lang w:val="en-GB"/>
        </w:rPr>
      </w:pPr>
      <w:r w:rsidRPr="00B04DC3">
        <w:rPr>
          <w:lang w:val="en-GB"/>
        </w:rPr>
        <w:t>9.3.2.1.</w:t>
      </w:r>
      <w:r w:rsidRPr="00B04DC3">
        <w:rPr>
          <w:lang w:val="en-GB"/>
        </w:rPr>
        <w:tab/>
        <w:t>Introduction</w:t>
      </w:r>
    </w:p>
    <w:p w:rsidR="00002BA6" w:rsidRPr="00B04DC3" w:rsidRDefault="00002BA6" w:rsidP="00002BA6">
      <w:pPr>
        <w:pStyle w:val="para"/>
        <w:rPr>
          <w:lang w:val="en-GB"/>
        </w:rPr>
      </w:pPr>
      <w:r w:rsidRPr="00B04DC3">
        <w:rPr>
          <w:lang w:val="en-GB"/>
        </w:rPr>
        <w:tab/>
        <w:t xml:space="preserve">Paragraphs 9.3.2.2 to 9.2.3.7 </w:t>
      </w:r>
      <w:r w:rsidR="00FF461B">
        <w:rPr>
          <w:lang w:val="en-GB"/>
        </w:rPr>
        <w:t>of this annex</w:t>
      </w:r>
      <w:r w:rsidR="00FF461B" w:rsidRPr="00B04DC3">
        <w:rPr>
          <w:lang w:val="en-GB"/>
        </w:rPr>
        <w:t xml:space="preserve"> </w:t>
      </w:r>
      <w:r w:rsidRPr="00B04DC3">
        <w:rPr>
          <w:lang w:val="en-GB"/>
        </w:rPr>
        <w:t>describe the measurement principles to be used. A detailed description of the measurement systems is given in Appendix 3</w:t>
      </w:r>
      <w:r w:rsidR="00FF461B">
        <w:rPr>
          <w:lang w:val="en-GB"/>
        </w:rPr>
        <w:t xml:space="preserve"> to this annex</w:t>
      </w:r>
      <w:r w:rsidRPr="00B04DC3">
        <w:rPr>
          <w:lang w:val="en-GB"/>
        </w:rPr>
        <w:t>. The gases to be measured shall be analyzed with the following instruments. For non-linear analyzers, the use of linearizing circuits is permitted.</w:t>
      </w:r>
    </w:p>
    <w:p w:rsidR="00002BA6" w:rsidRPr="00B04DC3" w:rsidRDefault="00002BA6" w:rsidP="00B824C8">
      <w:pPr>
        <w:pStyle w:val="para"/>
        <w:keepNext/>
        <w:keepLines/>
        <w:spacing w:after="80"/>
        <w:rPr>
          <w:lang w:val="en-GB"/>
        </w:rPr>
      </w:pPr>
      <w:r w:rsidRPr="00B04DC3">
        <w:rPr>
          <w:lang w:val="en-GB"/>
        </w:rPr>
        <w:t>9.3.2.2.</w:t>
      </w:r>
      <w:r w:rsidRPr="00B04DC3">
        <w:rPr>
          <w:lang w:val="en-GB"/>
        </w:rPr>
        <w:tab/>
        <w:t>Carbon monoxide (CO) analysis</w:t>
      </w:r>
    </w:p>
    <w:p w:rsidR="00002BA6" w:rsidRPr="00B04DC3" w:rsidRDefault="00002BA6" w:rsidP="00002BA6">
      <w:pPr>
        <w:pStyle w:val="para"/>
        <w:rPr>
          <w:lang w:val="en-GB"/>
        </w:rPr>
      </w:pPr>
      <w:r w:rsidRPr="00B04DC3">
        <w:rPr>
          <w:lang w:val="en-GB"/>
        </w:rPr>
        <w:tab/>
        <w:t>The carbon monoxide analyzer shall be of the non-dispersive infrared (NDIR) absorption type.</w:t>
      </w:r>
    </w:p>
    <w:p w:rsidR="00002BA6" w:rsidRPr="00B04DC3" w:rsidRDefault="00002BA6" w:rsidP="00B824C8">
      <w:pPr>
        <w:pStyle w:val="para"/>
        <w:keepNext/>
        <w:keepLines/>
        <w:spacing w:after="80"/>
        <w:rPr>
          <w:lang w:val="en-GB"/>
        </w:rPr>
      </w:pPr>
      <w:r w:rsidRPr="00B04DC3">
        <w:rPr>
          <w:lang w:val="en-GB"/>
        </w:rPr>
        <w:t>9.3.2.3.</w:t>
      </w:r>
      <w:r w:rsidRPr="00B04DC3">
        <w:rPr>
          <w:lang w:val="en-GB"/>
        </w:rPr>
        <w:tab/>
        <w:t>Carbon dioxide (CO</w:t>
      </w:r>
      <w:r w:rsidRPr="00B04DC3">
        <w:rPr>
          <w:vertAlign w:val="subscript"/>
          <w:lang w:val="en-GB"/>
        </w:rPr>
        <w:t>2</w:t>
      </w:r>
      <w:r w:rsidRPr="00B04DC3">
        <w:rPr>
          <w:lang w:val="en-GB"/>
        </w:rPr>
        <w:t>) analysis</w:t>
      </w:r>
    </w:p>
    <w:p w:rsidR="00002BA6" w:rsidRPr="00B04DC3" w:rsidRDefault="00002BA6" w:rsidP="00002BA6">
      <w:pPr>
        <w:pStyle w:val="para"/>
        <w:rPr>
          <w:lang w:val="en-GB"/>
        </w:rPr>
      </w:pPr>
      <w:r w:rsidRPr="00B04DC3">
        <w:rPr>
          <w:lang w:val="en-GB"/>
        </w:rPr>
        <w:tab/>
        <w:t>The carbon dioxide analyzer shall be of the non-dispersive infrared (NDIR) absorption type.</w:t>
      </w:r>
    </w:p>
    <w:p w:rsidR="00002BA6" w:rsidRPr="00B04DC3" w:rsidRDefault="00002BA6" w:rsidP="00B824C8">
      <w:pPr>
        <w:pStyle w:val="para"/>
        <w:keepNext/>
        <w:keepLines/>
        <w:spacing w:after="80"/>
        <w:rPr>
          <w:lang w:val="en-GB"/>
        </w:rPr>
      </w:pPr>
      <w:r w:rsidRPr="00B04DC3">
        <w:rPr>
          <w:lang w:val="en-GB"/>
        </w:rPr>
        <w:t>9.3.2.4.</w:t>
      </w:r>
      <w:r w:rsidRPr="00B04DC3">
        <w:rPr>
          <w:lang w:val="en-GB"/>
        </w:rPr>
        <w:tab/>
        <w:t>Hydrocarbon (HC) analysis</w:t>
      </w:r>
    </w:p>
    <w:p w:rsidR="00002BA6" w:rsidRPr="00E31D0F" w:rsidRDefault="00002BA6" w:rsidP="00002BA6">
      <w:pPr>
        <w:pStyle w:val="para"/>
        <w:rPr>
          <w:spacing w:val="-4"/>
          <w:lang w:val="en-GB"/>
        </w:rPr>
      </w:pPr>
      <w:r w:rsidRPr="00E31D0F">
        <w:rPr>
          <w:spacing w:val="-4"/>
          <w:lang w:val="en-GB"/>
        </w:rPr>
        <w:tab/>
        <w:t xml:space="preserve">The hydrocarbon analyzer shall be of the heated flame ionization detector (HFID) type with detector, valves, pipework, etc. heated so as to maintain a gas temperature of 463 K ± 10 K (190 </w:t>
      </w:r>
      <w:r w:rsidR="00FF461B" w:rsidRPr="00E31D0F">
        <w:rPr>
          <w:spacing w:val="-4"/>
          <w:lang w:val="en-GB"/>
        </w:rPr>
        <w:t>°C</w:t>
      </w:r>
      <w:r w:rsidR="00B2512B" w:rsidRPr="00E31D0F">
        <w:rPr>
          <w:spacing w:val="-4"/>
          <w:lang w:val="en-GB"/>
        </w:rPr>
        <w:t xml:space="preserve"> </w:t>
      </w:r>
      <w:r w:rsidRPr="00E31D0F">
        <w:rPr>
          <w:spacing w:val="-4"/>
          <w:lang w:val="en-GB"/>
        </w:rPr>
        <w:t>± 10 °C). Optionally, for NG fuelled and P</w:t>
      </w:r>
      <w:r w:rsidR="00FF461B" w:rsidRPr="00E31D0F">
        <w:rPr>
          <w:spacing w:val="-4"/>
          <w:lang w:val="en-GB"/>
        </w:rPr>
        <w:t>.</w:t>
      </w:r>
      <w:r w:rsidRPr="00E31D0F">
        <w:rPr>
          <w:spacing w:val="-4"/>
          <w:lang w:val="en-GB"/>
        </w:rPr>
        <w:t>I</w:t>
      </w:r>
      <w:r w:rsidR="00FF461B" w:rsidRPr="00E31D0F">
        <w:rPr>
          <w:spacing w:val="-4"/>
          <w:lang w:val="en-GB"/>
        </w:rPr>
        <w:t>.</w:t>
      </w:r>
      <w:r w:rsidRPr="00E31D0F">
        <w:rPr>
          <w:spacing w:val="-4"/>
          <w:lang w:val="en-GB"/>
        </w:rPr>
        <w:t xml:space="preserve"> engines, the hydrocarbon analyzer may be of the non-heated flame ionization detector (FID) type depending upon the method used (see Appendix 3</w:t>
      </w:r>
      <w:r w:rsidR="00FF461B" w:rsidRPr="00E31D0F">
        <w:rPr>
          <w:spacing w:val="-4"/>
          <w:lang w:val="en-GB"/>
        </w:rPr>
        <w:t xml:space="preserve"> to this annex</w:t>
      </w:r>
      <w:r w:rsidRPr="00E31D0F">
        <w:rPr>
          <w:spacing w:val="-4"/>
          <w:lang w:val="en-GB"/>
        </w:rPr>
        <w:t>, paragraph A.3.1.3.).</w:t>
      </w:r>
    </w:p>
    <w:p w:rsidR="00002BA6" w:rsidRPr="00B04DC3" w:rsidRDefault="00002BA6" w:rsidP="00002BA6">
      <w:pPr>
        <w:pStyle w:val="para"/>
        <w:rPr>
          <w:lang w:val="en-GB"/>
        </w:rPr>
      </w:pPr>
      <w:r w:rsidRPr="00B04DC3">
        <w:rPr>
          <w:lang w:val="en-GB"/>
        </w:rPr>
        <w:t>9.3.2.5.</w:t>
      </w:r>
      <w:r w:rsidRPr="00B04DC3">
        <w:rPr>
          <w:lang w:val="en-GB"/>
        </w:rPr>
        <w:tab/>
        <w:t>Methane (CH</w:t>
      </w:r>
      <w:r w:rsidRPr="00B04DC3">
        <w:rPr>
          <w:vertAlign w:val="subscript"/>
          <w:lang w:val="en-GB"/>
        </w:rPr>
        <w:t>4</w:t>
      </w:r>
      <w:r w:rsidRPr="00B04DC3">
        <w:rPr>
          <w:lang w:val="en-GB"/>
        </w:rPr>
        <w:t>) and non-methane hydrocarbon (NMHC) analysis</w:t>
      </w:r>
    </w:p>
    <w:p w:rsidR="00002BA6" w:rsidRPr="00B04DC3" w:rsidRDefault="00002BA6" w:rsidP="00002BA6">
      <w:pPr>
        <w:pStyle w:val="para"/>
        <w:rPr>
          <w:lang w:val="en-GB"/>
        </w:rPr>
      </w:pPr>
      <w:r w:rsidRPr="00B04DC3">
        <w:rPr>
          <w:lang w:val="en-GB"/>
        </w:rPr>
        <w:tab/>
        <w:t>The determination of the methane and non-methane hydrocarbon fraction shall be performed with a heated non-methane cutter (NMC) and two FID's as per Appendix 3, paragraph A.3.1.4. and paragraph A.3.1.5. The concentration of the components shall be determined as per paragraph 8.6.2.</w:t>
      </w:r>
      <w:r w:rsidR="00FF461B" w:rsidRPr="00FF461B">
        <w:rPr>
          <w:lang w:val="en-GB"/>
        </w:rPr>
        <w:t xml:space="preserve"> </w:t>
      </w:r>
      <w:r w:rsidR="00FF461B">
        <w:rPr>
          <w:lang w:val="en-GB"/>
        </w:rPr>
        <w:t>of this annex.</w:t>
      </w:r>
    </w:p>
    <w:p w:rsidR="00002BA6" w:rsidRPr="00B04DC3" w:rsidRDefault="00002BA6" w:rsidP="00002BA6">
      <w:pPr>
        <w:pStyle w:val="para"/>
        <w:rPr>
          <w:lang w:val="en-GB"/>
        </w:rPr>
      </w:pPr>
      <w:r w:rsidRPr="00B04DC3">
        <w:rPr>
          <w:lang w:val="en-GB"/>
        </w:rPr>
        <w:t>9.3.2.6.</w:t>
      </w:r>
      <w:r w:rsidRPr="00B04DC3">
        <w:rPr>
          <w:lang w:val="en-GB"/>
        </w:rPr>
        <w:tab/>
        <w:t>Oxides of nitrogen (NO</w:t>
      </w:r>
      <w:r w:rsidRPr="00B04DC3">
        <w:rPr>
          <w:vertAlign w:val="subscript"/>
          <w:lang w:val="en-GB"/>
        </w:rPr>
        <w:t>x</w:t>
      </w:r>
      <w:r w:rsidRPr="00B04DC3">
        <w:rPr>
          <w:lang w:val="en-GB"/>
        </w:rPr>
        <w:t>) analysis</w:t>
      </w:r>
    </w:p>
    <w:p w:rsidR="00002BA6" w:rsidRPr="00B04DC3" w:rsidRDefault="00002BA6" w:rsidP="00002BA6">
      <w:pPr>
        <w:pStyle w:val="para"/>
        <w:rPr>
          <w:lang w:val="en-GB"/>
        </w:rPr>
      </w:pPr>
      <w:r w:rsidRPr="00B04DC3">
        <w:rPr>
          <w:lang w:val="en-GB"/>
        </w:rPr>
        <w:tab/>
        <w:t>Two measurement instruments are specified for NO</w:t>
      </w:r>
      <w:r w:rsidRPr="00B04DC3">
        <w:rPr>
          <w:vertAlign w:val="subscript"/>
          <w:lang w:val="en-GB"/>
        </w:rPr>
        <w:t>x</w:t>
      </w:r>
      <w:r w:rsidRPr="00B04DC3">
        <w:rPr>
          <w:lang w:val="en-GB"/>
        </w:rPr>
        <w:t xml:space="preserve"> measurement and either instrument may be used provided it meets the criteria specified in paragraphs 9.3.2.6.1. or 9.3.2.6.2.</w:t>
      </w:r>
      <w:r w:rsidR="00FF461B">
        <w:rPr>
          <w:lang w:val="en-GB"/>
        </w:rPr>
        <w:t xml:space="preserve"> below</w:t>
      </w:r>
      <w:r w:rsidRPr="00B04DC3">
        <w:rPr>
          <w:lang w:val="en-GB"/>
        </w:rPr>
        <w:t>, respectively. For the determination of system equivalency of an alternate measurement procedure in accordance with paragraph 5.1.1.</w:t>
      </w:r>
      <w:r w:rsidR="00FF461B" w:rsidRPr="00FF461B">
        <w:rPr>
          <w:lang w:val="en-GB"/>
        </w:rPr>
        <w:t xml:space="preserve"> </w:t>
      </w:r>
      <w:r w:rsidR="00FF461B">
        <w:rPr>
          <w:lang w:val="en-GB"/>
        </w:rPr>
        <w:t>of this annex</w:t>
      </w:r>
      <w:r w:rsidRPr="00B04DC3">
        <w:rPr>
          <w:lang w:val="en-GB"/>
        </w:rPr>
        <w:t>, only the CLD is permitted.</w:t>
      </w:r>
    </w:p>
    <w:p w:rsidR="00002BA6" w:rsidRPr="00B04DC3" w:rsidRDefault="00002BA6" w:rsidP="00002BA6">
      <w:pPr>
        <w:pStyle w:val="para"/>
        <w:rPr>
          <w:lang w:val="en-GB"/>
        </w:rPr>
      </w:pPr>
      <w:r w:rsidRPr="00B04DC3">
        <w:rPr>
          <w:lang w:val="en-GB"/>
        </w:rPr>
        <w:t>9.3.2.6.1.</w:t>
      </w:r>
      <w:r w:rsidRPr="00B04DC3">
        <w:rPr>
          <w:lang w:val="en-GB"/>
        </w:rPr>
        <w:tab/>
        <w:t xml:space="preserve">Chemiluminescent </w:t>
      </w:r>
      <w:r w:rsidR="00FF461B">
        <w:rPr>
          <w:lang w:val="en-GB"/>
        </w:rPr>
        <w:t>D</w:t>
      </w:r>
      <w:r w:rsidR="00FF461B" w:rsidRPr="00B04DC3">
        <w:rPr>
          <w:lang w:val="en-GB"/>
        </w:rPr>
        <w:t xml:space="preserve">etector </w:t>
      </w:r>
      <w:r w:rsidRPr="00B04DC3">
        <w:rPr>
          <w:lang w:val="en-GB"/>
        </w:rPr>
        <w:t>(CLD)</w:t>
      </w:r>
    </w:p>
    <w:p w:rsidR="00002BA6" w:rsidRPr="00B04DC3" w:rsidRDefault="00002BA6" w:rsidP="00002BA6">
      <w:pPr>
        <w:pStyle w:val="para"/>
        <w:rPr>
          <w:lang w:val="en-GB"/>
        </w:rPr>
      </w:pPr>
      <w:r w:rsidRPr="00B04DC3">
        <w:rPr>
          <w:lang w:val="en-GB"/>
        </w:rPr>
        <w:tab/>
        <w:t>If measured on a dry basis, the oxides of nitrogen analyzer shall be of the chemiluminescent detector (CLD) or heated chemiluminescent detector (HCLD) type with a NO</w:t>
      </w:r>
      <w:r w:rsidRPr="00B04DC3">
        <w:rPr>
          <w:vertAlign w:val="subscript"/>
          <w:lang w:val="en-GB"/>
        </w:rPr>
        <w:t>2</w:t>
      </w:r>
      <w:r w:rsidRPr="00B04DC3">
        <w:rPr>
          <w:lang w:val="en-GB"/>
        </w:rPr>
        <w:t>/NO converter. If measured on a wet basis, a HCLD with converter maintained above 328 K (55 °C) shall be used, provided the water quench check (see paragraph 9.3.9.2.2.</w:t>
      </w:r>
      <w:r w:rsidR="00FF461B" w:rsidRPr="00FF461B">
        <w:rPr>
          <w:lang w:val="en-GB"/>
        </w:rPr>
        <w:t xml:space="preserve"> </w:t>
      </w:r>
      <w:r w:rsidR="00FF461B">
        <w:rPr>
          <w:lang w:val="en-GB"/>
        </w:rPr>
        <w:t>of this annex</w:t>
      </w:r>
      <w:r w:rsidRPr="00B04DC3">
        <w:rPr>
          <w:lang w:val="en-GB"/>
        </w:rPr>
        <w:t>) is satisfied. For both CLD and HCLD, the sampling path shall be maintained at a wall temperature of 328 K to 473 K (55 °C to 200 °C) up to the converter for dry measurement, and up to the analyzer for wet measurement.</w:t>
      </w:r>
    </w:p>
    <w:p w:rsidR="00002BA6" w:rsidRPr="00B04DC3" w:rsidRDefault="00002BA6" w:rsidP="00002BA6">
      <w:pPr>
        <w:pStyle w:val="para"/>
        <w:rPr>
          <w:lang w:val="en-GB"/>
        </w:rPr>
      </w:pPr>
      <w:r w:rsidRPr="00B04DC3">
        <w:rPr>
          <w:lang w:val="en-GB"/>
        </w:rPr>
        <w:t>9.3.2.6.2.</w:t>
      </w:r>
      <w:r w:rsidRPr="00B04DC3">
        <w:rPr>
          <w:lang w:val="en-GB"/>
        </w:rPr>
        <w:tab/>
        <w:t>Non-</w:t>
      </w:r>
      <w:r w:rsidR="00FF461B">
        <w:rPr>
          <w:lang w:val="en-GB"/>
        </w:rPr>
        <w:t>D</w:t>
      </w:r>
      <w:r w:rsidR="00FF461B" w:rsidRPr="00B04DC3">
        <w:rPr>
          <w:lang w:val="en-GB"/>
        </w:rPr>
        <w:t xml:space="preserve">ispersive </w:t>
      </w:r>
      <w:r w:rsidR="00B2512B">
        <w:rPr>
          <w:lang w:val="en-GB"/>
        </w:rPr>
        <w:t>U</w:t>
      </w:r>
      <w:r w:rsidR="00FF461B" w:rsidRPr="00B04DC3">
        <w:rPr>
          <w:lang w:val="en-GB"/>
        </w:rPr>
        <w:t xml:space="preserve">ltraviolet </w:t>
      </w:r>
      <w:r w:rsidRPr="00B04DC3">
        <w:rPr>
          <w:lang w:val="en-GB"/>
        </w:rPr>
        <w:t>detector (NDUV)</w:t>
      </w:r>
    </w:p>
    <w:p w:rsidR="00002BA6" w:rsidRPr="00B04DC3" w:rsidRDefault="00002BA6" w:rsidP="00002BA6">
      <w:pPr>
        <w:pStyle w:val="para"/>
        <w:rPr>
          <w:lang w:val="en-GB"/>
        </w:rPr>
      </w:pPr>
      <w:r w:rsidRPr="00B04DC3">
        <w:rPr>
          <w:lang w:val="en-GB"/>
        </w:rPr>
        <w:tab/>
        <w:t xml:space="preserve">A </w:t>
      </w:r>
      <w:r w:rsidR="00FF461B">
        <w:rPr>
          <w:lang w:val="en-GB"/>
        </w:rPr>
        <w:t>N</w:t>
      </w:r>
      <w:r w:rsidR="00FF461B" w:rsidRPr="00B04DC3">
        <w:rPr>
          <w:lang w:val="en-GB"/>
        </w:rPr>
        <w:t>on</w:t>
      </w:r>
      <w:r w:rsidRPr="00B04DC3">
        <w:rPr>
          <w:lang w:val="en-GB"/>
        </w:rPr>
        <w:t>-</w:t>
      </w:r>
      <w:r w:rsidR="00FF461B">
        <w:rPr>
          <w:lang w:val="en-GB"/>
        </w:rPr>
        <w:t>D</w:t>
      </w:r>
      <w:r w:rsidR="00FF461B" w:rsidRPr="00B04DC3">
        <w:rPr>
          <w:lang w:val="en-GB"/>
        </w:rPr>
        <w:t xml:space="preserve">ispersive </w:t>
      </w:r>
      <w:r w:rsidR="00FF461B">
        <w:rPr>
          <w:lang w:val="en-GB"/>
        </w:rPr>
        <w:t>U</w:t>
      </w:r>
      <w:r w:rsidR="00FF461B" w:rsidRPr="00B04DC3">
        <w:rPr>
          <w:lang w:val="en-GB"/>
        </w:rPr>
        <w:t xml:space="preserve">ltraviolet </w:t>
      </w:r>
      <w:r w:rsidRPr="00B04DC3">
        <w:rPr>
          <w:lang w:val="en-GB"/>
        </w:rPr>
        <w:t>(NDUV) analyzer shall be used to measure NO</w:t>
      </w:r>
      <w:r w:rsidRPr="00B04DC3">
        <w:rPr>
          <w:vertAlign w:val="subscript"/>
          <w:lang w:val="en-GB"/>
        </w:rPr>
        <w:t>x</w:t>
      </w:r>
      <w:r w:rsidRPr="00B04DC3">
        <w:rPr>
          <w:lang w:val="en-GB"/>
        </w:rPr>
        <w:t xml:space="preserve"> concentration. If the NDUV analyzer measures only NO, a NO</w:t>
      </w:r>
      <w:r w:rsidRPr="00B04DC3">
        <w:rPr>
          <w:vertAlign w:val="subscript"/>
          <w:lang w:val="en-GB"/>
        </w:rPr>
        <w:t>2</w:t>
      </w:r>
      <w:r w:rsidRPr="00B04DC3">
        <w:rPr>
          <w:lang w:val="en-GB"/>
        </w:rPr>
        <w:t>/NO converter shall be placed upstream of the NDUV analyzer. The NDUV temperature shall be maintained to prevent aqueous condensation, unless a sample dryer is installed upstream of the NO</w:t>
      </w:r>
      <w:r w:rsidRPr="00B04DC3">
        <w:rPr>
          <w:vertAlign w:val="subscript"/>
          <w:lang w:val="en-GB"/>
        </w:rPr>
        <w:t>2</w:t>
      </w:r>
      <w:r w:rsidRPr="00B04DC3">
        <w:rPr>
          <w:lang w:val="en-GB"/>
        </w:rPr>
        <w:t>/NO converter, if used, or upstream of the analyzer.</w:t>
      </w:r>
    </w:p>
    <w:p w:rsidR="00002BA6" w:rsidRPr="00B04DC3" w:rsidRDefault="00002BA6" w:rsidP="00002BA6">
      <w:pPr>
        <w:pStyle w:val="para"/>
        <w:rPr>
          <w:lang w:val="en-GB"/>
        </w:rPr>
      </w:pPr>
      <w:r w:rsidRPr="00B04DC3">
        <w:rPr>
          <w:lang w:val="en-GB"/>
        </w:rPr>
        <w:t>9.3.2.7.</w:t>
      </w:r>
      <w:r w:rsidRPr="00B04DC3">
        <w:rPr>
          <w:lang w:val="en-GB"/>
        </w:rPr>
        <w:tab/>
        <w:t>Air to fuel measurement</w:t>
      </w:r>
    </w:p>
    <w:p w:rsidR="00002BA6" w:rsidRPr="00B04DC3" w:rsidRDefault="00002BA6" w:rsidP="00002BA6">
      <w:pPr>
        <w:pStyle w:val="para"/>
        <w:rPr>
          <w:lang w:val="en-GB"/>
        </w:rPr>
      </w:pPr>
      <w:r w:rsidRPr="00B04DC3">
        <w:rPr>
          <w:lang w:val="en-GB"/>
        </w:rPr>
        <w:tab/>
        <w:t>The air to fuel measurement equipment used to determine the exhaust gas flow as specified in paragraph 8.</w:t>
      </w:r>
      <w:r w:rsidR="00901017" w:rsidRPr="00B04DC3">
        <w:rPr>
          <w:lang w:val="en-GB"/>
        </w:rPr>
        <w:t>4</w:t>
      </w:r>
      <w:r w:rsidRPr="00B04DC3">
        <w:rPr>
          <w:lang w:val="en-GB"/>
        </w:rPr>
        <w:t>.1.6.</w:t>
      </w:r>
      <w:r w:rsidR="000A32EC" w:rsidRPr="000A32EC">
        <w:rPr>
          <w:lang w:val="en-GB"/>
        </w:rPr>
        <w:t xml:space="preserve"> </w:t>
      </w:r>
      <w:r w:rsidR="000A32EC">
        <w:rPr>
          <w:lang w:val="en-GB"/>
        </w:rPr>
        <w:t>of this annex</w:t>
      </w:r>
      <w:r w:rsidRPr="00B04DC3">
        <w:rPr>
          <w:lang w:val="en-GB"/>
        </w:rPr>
        <w:t xml:space="preserve"> shall be a wide range air to fuel ratio sensor or lambda sensor of Zirconia type. The sensor shall be mounted directly on the exhaust pipe where the exhaust gas temperature is high enough to eliminate water condensation.</w:t>
      </w:r>
    </w:p>
    <w:p w:rsidR="00002BA6" w:rsidRPr="00B04DC3" w:rsidRDefault="00002BA6" w:rsidP="00002BA6">
      <w:pPr>
        <w:pStyle w:val="para"/>
        <w:rPr>
          <w:lang w:val="en-GB" w:eastAsia="ja-JP"/>
        </w:rPr>
      </w:pPr>
      <w:r w:rsidRPr="00B04DC3">
        <w:rPr>
          <w:lang w:val="en-GB" w:eastAsia="ja-JP"/>
        </w:rPr>
        <w:tab/>
        <w:t>The accuracy of the sensor with incorporated electronics shall be within:</w:t>
      </w:r>
    </w:p>
    <w:p w:rsidR="00002BA6" w:rsidRPr="00B04DC3" w:rsidRDefault="00002BA6" w:rsidP="00002BA6">
      <w:pPr>
        <w:pStyle w:val="para"/>
        <w:rPr>
          <w:kern w:val="18"/>
          <w:szCs w:val="24"/>
          <w:lang w:val="en-GB" w:eastAsia="ja-JP"/>
        </w:rPr>
      </w:pPr>
      <w:r w:rsidRPr="00B04DC3">
        <w:rPr>
          <w:noProof/>
          <w:szCs w:val="24"/>
          <w:lang w:val="en-GB" w:eastAsia="ja-JP"/>
        </w:rPr>
        <w:tab/>
      </w:r>
      <w:r w:rsidRPr="00B04DC3">
        <w:rPr>
          <w:noProof/>
          <w:szCs w:val="24"/>
          <w:lang w:val="en-GB" w:eastAsia="ja-JP"/>
        </w:rPr>
        <w:sym w:font="Symbol" w:char="F0B1"/>
      </w:r>
      <w:r w:rsidRPr="00B04DC3">
        <w:rPr>
          <w:noProof/>
          <w:szCs w:val="24"/>
          <w:lang w:val="en-GB" w:eastAsia="ja-JP"/>
        </w:rPr>
        <w:t>3 per cent of reading</w:t>
      </w:r>
      <w:r w:rsidRPr="00B04DC3">
        <w:rPr>
          <w:noProof/>
          <w:szCs w:val="24"/>
          <w:lang w:val="en-GB" w:eastAsia="ja-JP"/>
        </w:rPr>
        <w:tab/>
        <w:t xml:space="preserve">for </w:t>
      </w:r>
      <w:r w:rsidRPr="00B04DC3">
        <w:rPr>
          <w:noProof/>
          <w:szCs w:val="24"/>
          <w:lang w:val="en-GB" w:eastAsia="ja-JP"/>
        </w:rPr>
        <w:tab/>
      </w:r>
      <w:r w:rsidRPr="00B04DC3">
        <w:rPr>
          <w:noProof/>
          <w:szCs w:val="24"/>
          <w:lang w:val="en-GB" w:eastAsia="ja-JP"/>
        </w:rPr>
        <w:sym w:font="Symbol" w:char="F06C"/>
      </w:r>
      <w:r w:rsidRPr="00B04DC3">
        <w:rPr>
          <w:noProof/>
          <w:szCs w:val="24"/>
          <w:lang w:val="en-GB" w:eastAsia="ja-JP"/>
        </w:rPr>
        <w:t xml:space="preserve"> </w:t>
      </w:r>
      <w:r w:rsidRPr="00B04DC3">
        <w:rPr>
          <w:kern w:val="18"/>
          <w:szCs w:val="24"/>
          <w:lang w:val="en-GB" w:eastAsia="ja-JP"/>
        </w:rPr>
        <w:t>&lt; 2</w:t>
      </w:r>
    </w:p>
    <w:p w:rsidR="00002BA6" w:rsidRPr="00B04DC3" w:rsidRDefault="00002BA6" w:rsidP="00002BA6">
      <w:pPr>
        <w:pStyle w:val="para"/>
        <w:rPr>
          <w:kern w:val="18"/>
          <w:szCs w:val="24"/>
          <w:lang w:val="en-GB" w:eastAsia="ja-JP"/>
        </w:rPr>
      </w:pPr>
      <w:r w:rsidRPr="00B04DC3">
        <w:rPr>
          <w:noProof/>
          <w:szCs w:val="24"/>
          <w:lang w:val="en-GB" w:eastAsia="ja-JP"/>
        </w:rPr>
        <w:tab/>
      </w:r>
      <w:r w:rsidRPr="00B04DC3">
        <w:rPr>
          <w:noProof/>
          <w:szCs w:val="24"/>
          <w:lang w:val="en-GB" w:eastAsia="ja-JP"/>
        </w:rPr>
        <w:sym w:font="Symbol" w:char="F0B1"/>
      </w:r>
      <w:r w:rsidRPr="00B04DC3">
        <w:rPr>
          <w:noProof/>
          <w:szCs w:val="24"/>
          <w:lang w:val="en-GB" w:eastAsia="ja-JP"/>
        </w:rPr>
        <w:t>5 per cent of reading</w:t>
      </w:r>
      <w:r w:rsidRPr="00B04DC3">
        <w:rPr>
          <w:noProof/>
          <w:szCs w:val="24"/>
          <w:lang w:val="en-GB" w:eastAsia="ja-JP"/>
        </w:rPr>
        <w:tab/>
        <w:t>for</w:t>
      </w:r>
      <w:r w:rsidRPr="00B04DC3">
        <w:rPr>
          <w:noProof/>
          <w:szCs w:val="24"/>
          <w:lang w:val="en-GB" w:eastAsia="ja-JP"/>
        </w:rPr>
        <w:tab/>
        <w:t xml:space="preserve">2 </w:t>
      </w:r>
      <w:r w:rsidRPr="00B04DC3">
        <w:rPr>
          <w:noProof/>
          <w:szCs w:val="24"/>
          <w:lang w:val="en-GB" w:eastAsia="ja-JP"/>
        </w:rPr>
        <w:sym w:font="Symbol" w:char="F0A3"/>
      </w:r>
      <w:r w:rsidRPr="00B04DC3">
        <w:rPr>
          <w:noProof/>
          <w:szCs w:val="24"/>
          <w:lang w:val="en-GB" w:eastAsia="ja-JP"/>
        </w:rPr>
        <w:t xml:space="preserve"> </w:t>
      </w:r>
      <w:r w:rsidRPr="00B04DC3">
        <w:rPr>
          <w:noProof/>
          <w:szCs w:val="24"/>
          <w:lang w:val="en-GB" w:eastAsia="ja-JP"/>
        </w:rPr>
        <w:sym w:font="Symbol" w:char="F06C"/>
      </w:r>
      <w:r w:rsidRPr="00B04DC3">
        <w:rPr>
          <w:noProof/>
          <w:szCs w:val="24"/>
          <w:lang w:val="en-GB" w:eastAsia="ja-JP"/>
        </w:rPr>
        <w:t xml:space="preserve"> </w:t>
      </w:r>
      <w:r w:rsidRPr="00B04DC3">
        <w:rPr>
          <w:kern w:val="18"/>
          <w:szCs w:val="24"/>
          <w:lang w:val="en-GB" w:eastAsia="ja-JP"/>
        </w:rPr>
        <w:t>&lt; 5</w:t>
      </w:r>
    </w:p>
    <w:p w:rsidR="00002BA6" w:rsidRPr="00B04DC3" w:rsidRDefault="00002BA6" w:rsidP="00002BA6">
      <w:pPr>
        <w:pStyle w:val="para"/>
        <w:rPr>
          <w:kern w:val="18"/>
          <w:szCs w:val="24"/>
          <w:lang w:val="en-GB" w:eastAsia="ja-JP"/>
        </w:rPr>
      </w:pPr>
      <w:r w:rsidRPr="00B04DC3">
        <w:rPr>
          <w:noProof/>
          <w:szCs w:val="24"/>
          <w:lang w:val="en-GB" w:eastAsia="ja-JP"/>
        </w:rPr>
        <w:tab/>
      </w:r>
      <w:r w:rsidRPr="00B04DC3">
        <w:rPr>
          <w:noProof/>
          <w:szCs w:val="24"/>
          <w:lang w:val="en-GB" w:eastAsia="ja-JP"/>
        </w:rPr>
        <w:sym w:font="Symbol" w:char="F0B1"/>
      </w:r>
      <w:r w:rsidRPr="00B04DC3">
        <w:rPr>
          <w:noProof/>
          <w:szCs w:val="24"/>
          <w:lang w:val="en-GB" w:eastAsia="ja-JP"/>
        </w:rPr>
        <w:t>10 per cent of reading</w:t>
      </w:r>
      <w:r w:rsidRPr="00B04DC3">
        <w:rPr>
          <w:noProof/>
          <w:szCs w:val="24"/>
          <w:lang w:val="en-GB" w:eastAsia="ja-JP"/>
        </w:rPr>
        <w:tab/>
        <w:t>for</w:t>
      </w:r>
      <w:r w:rsidRPr="00B04DC3">
        <w:rPr>
          <w:noProof/>
          <w:szCs w:val="24"/>
          <w:lang w:val="en-GB" w:eastAsia="ja-JP"/>
        </w:rPr>
        <w:tab/>
        <w:t xml:space="preserve">5 </w:t>
      </w:r>
      <w:r w:rsidRPr="00B04DC3">
        <w:rPr>
          <w:noProof/>
          <w:szCs w:val="24"/>
          <w:lang w:val="en-GB" w:eastAsia="ja-JP"/>
        </w:rPr>
        <w:sym w:font="Symbol" w:char="F0A3"/>
      </w:r>
      <w:r w:rsidRPr="00B04DC3">
        <w:rPr>
          <w:noProof/>
          <w:szCs w:val="24"/>
          <w:lang w:val="en-GB" w:eastAsia="ja-JP"/>
        </w:rPr>
        <w:t xml:space="preserve"> </w:t>
      </w:r>
      <w:r w:rsidRPr="00B04DC3">
        <w:rPr>
          <w:noProof/>
          <w:szCs w:val="24"/>
          <w:lang w:val="en-GB" w:eastAsia="ja-JP"/>
        </w:rPr>
        <w:sym w:font="Symbol" w:char="F06C"/>
      </w:r>
    </w:p>
    <w:p w:rsidR="00002BA6" w:rsidRPr="00B04DC3" w:rsidRDefault="00002BA6" w:rsidP="00002BA6">
      <w:pPr>
        <w:pStyle w:val="para"/>
        <w:rPr>
          <w:szCs w:val="24"/>
          <w:lang w:val="en-GB" w:eastAsia="ja-JP"/>
        </w:rPr>
      </w:pPr>
      <w:r w:rsidRPr="00B04DC3">
        <w:rPr>
          <w:szCs w:val="24"/>
          <w:lang w:val="en-GB" w:eastAsia="ja-JP"/>
        </w:rPr>
        <w:tab/>
        <w:t xml:space="preserve">To </w:t>
      </w:r>
      <w:r w:rsidRPr="00B04DC3">
        <w:rPr>
          <w:szCs w:val="24"/>
          <w:lang w:val="en-GB"/>
        </w:rPr>
        <w:t xml:space="preserve">fulfil </w:t>
      </w:r>
      <w:r w:rsidRPr="00B04DC3">
        <w:rPr>
          <w:szCs w:val="24"/>
          <w:lang w:val="en-GB" w:eastAsia="ja-JP"/>
        </w:rPr>
        <w:t>the accuracy specified above, t</w:t>
      </w:r>
      <w:r w:rsidRPr="00B04DC3">
        <w:rPr>
          <w:szCs w:val="24"/>
          <w:lang w:val="en-GB"/>
        </w:rPr>
        <w:t xml:space="preserve">he </w:t>
      </w:r>
      <w:r w:rsidRPr="00B04DC3">
        <w:rPr>
          <w:szCs w:val="24"/>
          <w:lang w:val="en-GB" w:eastAsia="ja-JP"/>
        </w:rPr>
        <w:t>sensor shall be calibrated as specified by the instrument manufacturer.</w:t>
      </w:r>
    </w:p>
    <w:p w:rsidR="00002BA6" w:rsidRPr="00B04DC3" w:rsidRDefault="00002BA6" w:rsidP="00002BA6">
      <w:pPr>
        <w:pStyle w:val="para"/>
        <w:rPr>
          <w:szCs w:val="24"/>
          <w:lang w:val="en-GB"/>
        </w:rPr>
      </w:pPr>
      <w:r w:rsidRPr="00B04DC3">
        <w:rPr>
          <w:szCs w:val="24"/>
          <w:lang w:val="en-GB"/>
        </w:rPr>
        <w:t>9.3.3.</w:t>
      </w:r>
      <w:r w:rsidRPr="00B04DC3">
        <w:rPr>
          <w:szCs w:val="24"/>
          <w:lang w:val="en-GB"/>
        </w:rPr>
        <w:tab/>
        <w:t>Gases</w:t>
      </w:r>
    </w:p>
    <w:p w:rsidR="00002BA6" w:rsidRPr="00B04DC3" w:rsidRDefault="00002BA6" w:rsidP="00002BA6">
      <w:pPr>
        <w:pStyle w:val="para"/>
        <w:rPr>
          <w:lang w:val="en-GB"/>
        </w:rPr>
      </w:pPr>
      <w:r w:rsidRPr="00B04DC3">
        <w:rPr>
          <w:lang w:val="en-GB"/>
        </w:rPr>
        <w:tab/>
        <w:t>The shelf life of all gases shall be respected.</w:t>
      </w:r>
    </w:p>
    <w:p w:rsidR="00002BA6" w:rsidRPr="00B04DC3" w:rsidRDefault="00002BA6" w:rsidP="00B824C8">
      <w:pPr>
        <w:pStyle w:val="para"/>
        <w:keepNext/>
        <w:keepLines/>
        <w:rPr>
          <w:lang w:val="en-GB"/>
        </w:rPr>
      </w:pPr>
      <w:r w:rsidRPr="00B04DC3">
        <w:rPr>
          <w:lang w:val="en-GB"/>
        </w:rPr>
        <w:t>9.3.3.1.</w:t>
      </w:r>
      <w:r w:rsidRPr="00B04DC3">
        <w:rPr>
          <w:lang w:val="en-GB"/>
        </w:rPr>
        <w:tab/>
        <w:t>Pure gases</w:t>
      </w:r>
    </w:p>
    <w:p w:rsidR="00002BA6" w:rsidRPr="00B04DC3" w:rsidRDefault="00002BA6" w:rsidP="00002BA6">
      <w:pPr>
        <w:pStyle w:val="para"/>
        <w:rPr>
          <w:lang w:val="en-GB"/>
        </w:rPr>
      </w:pPr>
      <w:r w:rsidRPr="00B04DC3">
        <w:rPr>
          <w:lang w:val="en-GB"/>
        </w:rPr>
        <w:tab/>
        <w:t>The required purity of the gases is defined by the contamination limits given below. The following gases shall be available for operation:</w:t>
      </w:r>
    </w:p>
    <w:p w:rsidR="00002BA6" w:rsidRPr="00B04DC3" w:rsidRDefault="00002BA6" w:rsidP="00002BA6">
      <w:pPr>
        <w:pStyle w:val="a"/>
        <w:rPr>
          <w:lang w:val="en-GB"/>
        </w:rPr>
      </w:pPr>
      <w:r w:rsidRPr="00B04DC3">
        <w:rPr>
          <w:lang w:val="en-GB"/>
        </w:rPr>
        <w:t>a)</w:t>
      </w:r>
      <w:r w:rsidRPr="00B04DC3">
        <w:rPr>
          <w:lang w:val="en-GB"/>
        </w:rPr>
        <w:tab/>
        <w:t>For raw exhaust gas</w:t>
      </w:r>
    </w:p>
    <w:p w:rsidR="00002BA6" w:rsidRPr="00B04DC3" w:rsidRDefault="00002BA6" w:rsidP="00002BA6">
      <w:pPr>
        <w:pStyle w:val="a"/>
        <w:spacing w:after="0"/>
        <w:ind w:left="2829" w:hanging="561"/>
        <w:jc w:val="left"/>
        <w:rPr>
          <w:lang w:val="en-GB"/>
        </w:rPr>
      </w:pPr>
      <w:r w:rsidRPr="00B04DC3">
        <w:rPr>
          <w:lang w:val="en-GB"/>
        </w:rPr>
        <w:tab/>
        <w:t>Purified nitrogen</w:t>
      </w:r>
    </w:p>
    <w:p w:rsidR="00002BA6" w:rsidRPr="00B04DC3" w:rsidRDefault="00002BA6" w:rsidP="00002BA6">
      <w:pPr>
        <w:pStyle w:val="a"/>
        <w:rPr>
          <w:lang w:val="en-GB"/>
        </w:rPr>
      </w:pPr>
      <w:r w:rsidRPr="00B04DC3">
        <w:rPr>
          <w:lang w:val="en-GB"/>
        </w:rPr>
        <w:tab/>
        <w:t xml:space="preserve">(Contamination </w:t>
      </w:r>
      <w:r w:rsidRPr="00B04DC3">
        <w:rPr>
          <w:lang w:val="en-GB"/>
        </w:rPr>
        <w:sym w:font="Symbol" w:char="F0A3"/>
      </w:r>
      <w:r w:rsidRPr="00B04DC3">
        <w:rPr>
          <w:lang w:val="en-GB"/>
        </w:rPr>
        <w:t xml:space="preserve"> 1 ppm C1, </w:t>
      </w:r>
      <w:r w:rsidRPr="00B04DC3">
        <w:rPr>
          <w:lang w:val="en-GB"/>
        </w:rPr>
        <w:sym w:font="Symbol" w:char="F0A3"/>
      </w:r>
      <w:r w:rsidRPr="00B04DC3">
        <w:rPr>
          <w:lang w:val="en-GB"/>
        </w:rPr>
        <w:t xml:space="preserve"> 1 ppm CO,  </w:t>
      </w:r>
      <w:r w:rsidRPr="00B04DC3">
        <w:rPr>
          <w:lang w:val="en-GB"/>
        </w:rPr>
        <w:sym w:font="Symbol" w:char="F0A3"/>
      </w:r>
      <w:r w:rsidRPr="00B04DC3">
        <w:rPr>
          <w:lang w:val="en-GB"/>
        </w:rPr>
        <w:t xml:space="preserve"> 400 ppm CO</w:t>
      </w:r>
      <w:r w:rsidRPr="00B04DC3">
        <w:rPr>
          <w:vertAlign w:val="subscript"/>
          <w:lang w:val="en-GB"/>
        </w:rPr>
        <w:t>2</w:t>
      </w:r>
      <w:r w:rsidRPr="00B04DC3">
        <w:rPr>
          <w:lang w:val="en-GB"/>
        </w:rPr>
        <w:t xml:space="preserve">, </w:t>
      </w:r>
      <w:r w:rsidRPr="00B04DC3">
        <w:rPr>
          <w:lang w:val="en-GB"/>
        </w:rPr>
        <w:br/>
      </w:r>
      <w:r w:rsidRPr="00B04DC3">
        <w:rPr>
          <w:lang w:val="en-GB"/>
        </w:rPr>
        <w:sym w:font="Symbol" w:char="F0A3"/>
      </w:r>
      <w:r w:rsidRPr="00B04DC3">
        <w:rPr>
          <w:lang w:val="en-GB"/>
        </w:rPr>
        <w:t xml:space="preserve"> 0.1 ppm NO)</w:t>
      </w:r>
    </w:p>
    <w:p w:rsidR="00002BA6" w:rsidRPr="00B04DC3" w:rsidRDefault="00002BA6" w:rsidP="00002BA6">
      <w:pPr>
        <w:pStyle w:val="a"/>
        <w:spacing w:after="0"/>
        <w:ind w:left="2829" w:hanging="561"/>
        <w:jc w:val="left"/>
        <w:rPr>
          <w:lang w:val="en-GB"/>
        </w:rPr>
      </w:pPr>
      <w:r w:rsidRPr="00B04DC3">
        <w:rPr>
          <w:lang w:val="en-GB"/>
        </w:rPr>
        <w:tab/>
        <w:t>Purified oxygen</w:t>
      </w:r>
      <w:r w:rsidRPr="00B04DC3">
        <w:rPr>
          <w:lang w:val="en-GB"/>
        </w:rPr>
        <w:br/>
      </w:r>
      <w:r w:rsidRPr="00B04DC3">
        <w:rPr>
          <w:lang w:val="en-GB"/>
        </w:rPr>
        <w:tab/>
        <w:t xml:space="preserve">(Purity </w:t>
      </w:r>
      <w:r w:rsidRPr="00B04DC3">
        <w:rPr>
          <w:lang w:val="en-GB"/>
        </w:rPr>
        <w:sym w:font="Symbol" w:char="F03E"/>
      </w:r>
      <w:r w:rsidRPr="00B04DC3">
        <w:rPr>
          <w:lang w:val="en-GB"/>
        </w:rPr>
        <w:t xml:space="preserve"> 99.5 per cent vol O</w:t>
      </w:r>
      <w:r w:rsidRPr="00B04DC3">
        <w:rPr>
          <w:vertAlign w:val="subscript"/>
          <w:lang w:val="en-GB"/>
        </w:rPr>
        <w:t>2</w:t>
      </w:r>
      <w:r w:rsidRPr="00B04DC3">
        <w:rPr>
          <w:lang w:val="en-GB"/>
        </w:rPr>
        <w:t>)</w:t>
      </w:r>
    </w:p>
    <w:p w:rsidR="00002BA6" w:rsidRPr="00B04DC3" w:rsidRDefault="00002BA6" w:rsidP="00002BA6">
      <w:pPr>
        <w:pStyle w:val="a"/>
        <w:spacing w:before="120" w:after="0"/>
        <w:ind w:left="2829" w:hanging="561"/>
        <w:jc w:val="left"/>
        <w:rPr>
          <w:lang w:val="en-GB"/>
        </w:rPr>
      </w:pPr>
      <w:r w:rsidRPr="00B04DC3">
        <w:rPr>
          <w:lang w:val="en-GB"/>
        </w:rPr>
        <w:tab/>
        <w:t>Hydrogen-helium mixture (FID burner fuel)</w:t>
      </w:r>
    </w:p>
    <w:p w:rsidR="00002BA6" w:rsidRPr="00B04DC3" w:rsidRDefault="00002BA6" w:rsidP="00002BA6">
      <w:pPr>
        <w:pStyle w:val="a"/>
        <w:spacing w:after="0"/>
        <w:ind w:left="2829" w:hanging="561"/>
        <w:jc w:val="left"/>
        <w:rPr>
          <w:lang w:val="en-GB"/>
        </w:rPr>
      </w:pPr>
      <w:r w:rsidRPr="00B04DC3">
        <w:rPr>
          <w:lang w:val="en-GB"/>
        </w:rPr>
        <w:tab/>
      </w:r>
      <w:r w:rsidRPr="00B04DC3">
        <w:rPr>
          <w:lang w:val="en-GB"/>
        </w:rPr>
        <w:tab/>
        <w:t>(40 ± 1 per cent hydrogen, balance helium)</w:t>
      </w:r>
    </w:p>
    <w:p w:rsidR="00002BA6" w:rsidRPr="00B04DC3" w:rsidRDefault="00002BA6" w:rsidP="00002BA6">
      <w:pPr>
        <w:pStyle w:val="a"/>
        <w:spacing w:after="0"/>
        <w:ind w:left="2829" w:hanging="561"/>
        <w:jc w:val="left"/>
        <w:rPr>
          <w:lang w:val="en-GB"/>
        </w:rPr>
      </w:pPr>
      <w:r w:rsidRPr="00B04DC3">
        <w:rPr>
          <w:lang w:val="en-GB"/>
        </w:rPr>
        <w:tab/>
      </w:r>
      <w:r w:rsidRPr="00B04DC3">
        <w:rPr>
          <w:lang w:val="en-GB"/>
        </w:rPr>
        <w:tab/>
        <w:t xml:space="preserve">(Contamination </w:t>
      </w:r>
      <w:r w:rsidRPr="00B04DC3">
        <w:rPr>
          <w:lang w:val="en-GB"/>
        </w:rPr>
        <w:sym w:font="Symbol" w:char="F0A3"/>
      </w:r>
      <w:r w:rsidRPr="00B04DC3">
        <w:rPr>
          <w:lang w:val="en-GB"/>
        </w:rPr>
        <w:t xml:space="preserve"> 1 ppm C1, </w:t>
      </w:r>
      <w:r w:rsidRPr="00B04DC3">
        <w:rPr>
          <w:lang w:val="en-GB"/>
        </w:rPr>
        <w:sym w:font="Symbol" w:char="F0A3"/>
      </w:r>
      <w:r w:rsidRPr="00B04DC3">
        <w:rPr>
          <w:lang w:val="en-GB"/>
        </w:rPr>
        <w:t xml:space="preserve"> 400 ppm CO</w:t>
      </w:r>
      <w:r w:rsidRPr="00B04DC3">
        <w:rPr>
          <w:vertAlign w:val="subscript"/>
          <w:lang w:val="en-GB"/>
        </w:rPr>
        <w:t>2</w:t>
      </w:r>
      <w:r w:rsidRPr="00B04DC3">
        <w:rPr>
          <w:lang w:val="en-GB"/>
        </w:rPr>
        <w:t>)</w:t>
      </w:r>
    </w:p>
    <w:p w:rsidR="00002BA6" w:rsidRPr="00B04DC3" w:rsidRDefault="00002BA6" w:rsidP="00002BA6">
      <w:pPr>
        <w:pStyle w:val="a"/>
        <w:spacing w:before="120" w:after="0"/>
        <w:ind w:left="2829" w:hanging="561"/>
        <w:jc w:val="left"/>
        <w:rPr>
          <w:lang w:val="en-GB"/>
        </w:rPr>
      </w:pPr>
      <w:r w:rsidRPr="00B04DC3">
        <w:rPr>
          <w:lang w:val="en-GB"/>
        </w:rPr>
        <w:tab/>
        <w:t>Purified synthetic air</w:t>
      </w:r>
    </w:p>
    <w:p w:rsidR="00002BA6" w:rsidRPr="00B04DC3" w:rsidRDefault="00002BA6" w:rsidP="00002BA6">
      <w:pPr>
        <w:pStyle w:val="a"/>
        <w:spacing w:after="0"/>
        <w:ind w:left="2829" w:hanging="561"/>
        <w:jc w:val="left"/>
        <w:rPr>
          <w:lang w:val="en-GB"/>
        </w:rPr>
      </w:pPr>
      <w:r w:rsidRPr="00B04DC3">
        <w:rPr>
          <w:lang w:val="en-GB"/>
        </w:rPr>
        <w:tab/>
      </w:r>
      <w:r w:rsidRPr="00B04DC3">
        <w:rPr>
          <w:lang w:val="en-GB"/>
        </w:rPr>
        <w:tab/>
        <w:t xml:space="preserve">(Contamination </w:t>
      </w:r>
      <w:r w:rsidRPr="00B04DC3">
        <w:rPr>
          <w:lang w:val="en-GB"/>
        </w:rPr>
        <w:sym w:font="Symbol" w:char="F0A3"/>
      </w:r>
      <w:r w:rsidRPr="00B04DC3">
        <w:rPr>
          <w:lang w:val="en-GB"/>
        </w:rPr>
        <w:t xml:space="preserve"> 1 ppm C1, </w:t>
      </w:r>
      <w:r w:rsidRPr="00B04DC3">
        <w:rPr>
          <w:lang w:val="en-GB"/>
        </w:rPr>
        <w:sym w:font="Symbol" w:char="F0A3"/>
      </w:r>
      <w:r w:rsidRPr="00B04DC3">
        <w:rPr>
          <w:lang w:val="en-GB"/>
        </w:rPr>
        <w:t xml:space="preserve"> 1 ppm CO, </w:t>
      </w:r>
      <w:r w:rsidRPr="00B04DC3">
        <w:rPr>
          <w:lang w:val="en-GB"/>
        </w:rPr>
        <w:sym w:font="Symbol" w:char="F0A3"/>
      </w:r>
      <w:r w:rsidRPr="00B04DC3">
        <w:rPr>
          <w:lang w:val="en-GB"/>
        </w:rPr>
        <w:t xml:space="preserve"> 400 ppm CO</w:t>
      </w:r>
      <w:r w:rsidRPr="00B04DC3">
        <w:rPr>
          <w:vertAlign w:val="subscript"/>
          <w:lang w:val="en-GB"/>
        </w:rPr>
        <w:t>2</w:t>
      </w:r>
      <w:r w:rsidRPr="00B04DC3">
        <w:rPr>
          <w:lang w:val="en-GB"/>
        </w:rPr>
        <w:t xml:space="preserve">, </w:t>
      </w:r>
      <w:r w:rsidRPr="00B04DC3">
        <w:rPr>
          <w:lang w:val="en-GB"/>
        </w:rPr>
        <w:br/>
      </w:r>
      <w:r w:rsidRPr="00B04DC3">
        <w:rPr>
          <w:lang w:val="en-GB"/>
        </w:rPr>
        <w:sym w:font="Symbol" w:char="F0A3"/>
      </w:r>
      <w:r w:rsidRPr="00B04DC3">
        <w:rPr>
          <w:lang w:val="en-GB"/>
        </w:rPr>
        <w:t xml:space="preserve"> 0.1 ppm NO)</w:t>
      </w:r>
    </w:p>
    <w:p w:rsidR="00002BA6" w:rsidRPr="00B04DC3" w:rsidRDefault="00002BA6" w:rsidP="00002BA6">
      <w:pPr>
        <w:pStyle w:val="a"/>
        <w:spacing w:after="0"/>
        <w:ind w:left="2829" w:hanging="561"/>
        <w:jc w:val="left"/>
        <w:rPr>
          <w:lang w:val="en-GB"/>
        </w:rPr>
      </w:pPr>
      <w:r w:rsidRPr="00B04DC3">
        <w:rPr>
          <w:lang w:val="en-GB"/>
        </w:rPr>
        <w:tab/>
      </w:r>
      <w:r w:rsidRPr="00B04DC3">
        <w:rPr>
          <w:lang w:val="en-GB"/>
        </w:rPr>
        <w:tab/>
        <w:t>(Oxygen content between 18-21 per cent vol.)</w:t>
      </w:r>
    </w:p>
    <w:p w:rsidR="00002BA6" w:rsidRPr="00B04DC3" w:rsidRDefault="00002BA6" w:rsidP="00002BA6">
      <w:pPr>
        <w:pStyle w:val="a"/>
        <w:spacing w:before="120" w:after="0"/>
        <w:ind w:left="2829" w:hanging="561"/>
        <w:jc w:val="left"/>
        <w:rPr>
          <w:lang w:val="en-GB"/>
        </w:rPr>
      </w:pPr>
      <w:r w:rsidRPr="00B04DC3">
        <w:rPr>
          <w:lang w:val="en-GB"/>
        </w:rPr>
        <w:t>b)</w:t>
      </w:r>
      <w:r w:rsidRPr="00B04DC3">
        <w:rPr>
          <w:lang w:val="en-GB"/>
        </w:rPr>
        <w:tab/>
        <w:t>For dilute exhaust gas (optionally for raw exhaust gas)</w:t>
      </w:r>
    </w:p>
    <w:p w:rsidR="00002BA6" w:rsidRPr="00B04DC3" w:rsidRDefault="00002BA6" w:rsidP="00002BA6">
      <w:pPr>
        <w:pStyle w:val="a"/>
        <w:spacing w:before="120" w:after="0"/>
        <w:ind w:left="2829" w:hanging="561"/>
        <w:jc w:val="left"/>
        <w:rPr>
          <w:lang w:val="en-GB"/>
        </w:rPr>
      </w:pPr>
      <w:r w:rsidRPr="00B04DC3">
        <w:rPr>
          <w:lang w:val="en-GB"/>
        </w:rPr>
        <w:tab/>
        <w:t>Purified nitrogen</w:t>
      </w:r>
    </w:p>
    <w:p w:rsidR="00002BA6" w:rsidRPr="00B04DC3" w:rsidRDefault="00002BA6" w:rsidP="00002BA6">
      <w:pPr>
        <w:pStyle w:val="a"/>
        <w:spacing w:after="0"/>
        <w:ind w:left="2829" w:hanging="561"/>
        <w:jc w:val="left"/>
        <w:rPr>
          <w:lang w:val="en-GB"/>
        </w:rPr>
      </w:pPr>
      <w:r w:rsidRPr="00B04DC3">
        <w:rPr>
          <w:lang w:val="en-GB"/>
        </w:rPr>
        <w:tab/>
        <w:t xml:space="preserve">(Contamination </w:t>
      </w:r>
      <w:r w:rsidRPr="00B04DC3">
        <w:rPr>
          <w:lang w:val="en-GB"/>
        </w:rPr>
        <w:sym w:font="Symbol" w:char="F0A3"/>
      </w:r>
      <w:r w:rsidRPr="00B04DC3">
        <w:rPr>
          <w:lang w:val="en-GB"/>
        </w:rPr>
        <w:t xml:space="preserve"> 0.05 ppm C1,  </w:t>
      </w:r>
      <w:r w:rsidRPr="00B04DC3">
        <w:rPr>
          <w:lang w:val="en-GB"/>
        </w:rPr>
        <w:sym w:font="Symbol" w:char="F0A3"/>
      </w:r>
      <w:r w:rsidRPr="00B04DC3">
        <w:rPr>
          <w:lang w:val="en-GB"/>
        </w:rPr>
        <w:t xml:space="preserve"> 1 ppm CO,  </w:t>
      </w:r>
      <w:r w:rsidRPr="00B04DC3">
        <w:rPr>
          <w:lang w:val="en-GB"/>
        </w:rPr>
        <w:sym w:font="Symbol" w:char="F0A3"/>
      </w:r>
      <w:r w:rsidRPr="00B04DC3">
        <w:rPr>
          <w:lang w:val="en-GB"/>
        </w:rPr>
        <w:t xml:space="preserve"> 10 ppm CO</w:t>
      </w:r>
      <w:r w:rsidRPr="00B04DC3">
        <w:rPr>
          <w:vertAlign w:val="subscript"/>
          <w:lang w:val="en-GB"/>
        </w:rPr>
        <w:t>2</w:t>
      </w:r>
      <w:r w:rsidRPr="00B04DC3">
        <w:rPr>
          <w:lang w:val="en-GB"/>
        </w:rPr>
        <w:t xml:space="preserve">, </w:t>
      </w:r>
      <w:r w:rsidRPr="00B04DC3">
        <w:rPr>
          <w:lang w:val="en-GB"/>
        </w:rPr>
        <w:br/>
      </w:r>
      <w:r w:rsidRPr="00B04DC3">
        <w:rPr>
          <w:lang w:val="en-GB"/>
        </w:rPr>
        <w:sym w:font="Symbol" w:char="F0A3"/>
      </w:r>
      <w:r w:rsidRPr="00B04DC3">
        <w:rPr>
          <w:lang w:val="en-GB"/>
        </w:rPr>
        <w:t xml:space="preserve"> 0.02 ppm NO)</w:t>
      </w:r>
    </w:p>
    <w:p w:rsidR="00002BA6" w:rsidRPr="00B04DC3" w:rsidRDefault="00002BA6" w:rsidP="00002BA6">
      <w:pPr>
        <w:pStyle w:val="a"/>
        <w:spacing w:before="120" w:after="0"/>
        <w:ind w:left="2829" w:hanging="561"/>
        <w:jc w:val="left"/>
        <w:rPr>
          <w:lang w:val="en-GB"/>
        </w:rPr>
      </w:pPr>
      <w:r w:rsidRPr="00B04DC3">
        <w:rPr>
          <w:lang w:val="en-GB"/>
        </w:rPr>
        <w:tab/>
        <w:t>Purified oxygen</w:t>
      </w:r>
    </w:p>
    <w:p w:rsidR="00002BA6" w:rsidRPr="00B04DC3" w:rsidRDefault="00002BA6" w:rsidP="00002BA6">
      <w:pPr>
        <w:pStyle w:val="a"/>
        <w:spacing w:after="0"/>
        <w:ind w:left="2829" w:hanging="561"/>
        <w:jc w:val="left"/>
        <w:rPr>
          <w:lang w:val="en-GB"/>
        </w:rPr>
      </w:pPr>
      <w:r w:rsidRPr="00B04DC3">
        <w:rPr>
          <w:lang w:val="en-GB"/>
        </w:rPr>
        <w:tab/>
        <w:t xml:space="preserve">(Purity </w:t>
      </w:r>
      <w:r w:rsidRPr="00B04DC3">
        <w:rPr>
          <w:lang w:val="en-GB"/>
        </w:rPr>
        <w:sym w:font="Symbol" w:char="F03E"/>
      </w:r>
      <w:r w:rsidRPr="00B04DC3">
        <w:rPr>
          <w:lang w:val="en-GB"/>
        </w:rPr>
        <w:t xml:space="preserve"> 99.5 per cent vol O</w:t>
      </w:r>
      <w:r w:rsidRPr="00B04DC3">
        <w:rPr>
          <w:vertAlign w:val="subscript"/>
          <w:lang w:val="en-GB"/>
        </w:rPr>
        <w:t>2</w:t>
      </w:r>
      <w:r w:rsidRPr="00B04DC3">
        <w:rPr>
          <w:lang w:val="en-GB"/>
        </w:rPr>
        <w:t>)</w:t>
      </w:r>
    </w:p>
    <w:p w:rsidR="00002BA6" w:rsidRPr="00B04DC3" w:rsidRDefault="00002BA6" w:rsidP="00002BA6">
      <w:pPr>
        <w:pStyle w:val="a"/>
        <w:spacing w:before="120" w:after="0"/>
        <w:ind w:left="2829" w:hanging="561"/>
        <w:jc w:val="left"/>
        <w:rPr>
          <w:lang w:val="en-GB"/>
        </w:rPr>
      </w:pPr>
      <w:r w:rsidRPr="00B04DC3">
        <w:rPr>
          <w:lang w:val="en-GB"/>
        </w:rPr>
        <w:tab/>
        <w:t>Hydrogen-helium mixture (FID burner fuel)</w:t>
      </w:r>
    </w:p>
    <w:p w:rsidR="00002BA6" w:rsidRPr="00B04DC3" w:rsidRDefault="00002BA6" w:rsidP="00002BA6">
      <w:pPr>
        <w:pStyle w:val="a"/>
        <w:spacing w:after="0"/>
        <w:ind w:left="2829" w:hanging="561"/>
        <w:jc w:val="left"/>
        <w:rPr>
          <w:lang w:val="en-GB"/>
        </w:rPr>
      </w:pPr>
      <w:r w:rsidRPr="00B04DC3">
        <w:rPr>
          <w:lang w:val="en-GB"/>
        </w:rPr>
        <w:tab/>
        <w:t>(40 ± 1 per cent hydrogen, balance helium)</w:t>
      </w:r>
    </w:p>
    <w:p w:rsidR="00002BA6" w:rsidRPr="00B04DC3" w:rsidRDefault="00002BA6" w:rsidP="00002BA6">
      <w:pPr>
        <w:pStyle w:val="a"/>
        <w:spacing w:after="0"/>
        <w:ind w:left="2829" w:hanging="561"/>
        <w:jc w:val="left"/>
        <w:rPr>
          <w:lang w:val="en-GB"/>
        </w:rPr>
      </w:pPr>
      <w:r w:rsidRPr="00B04DC3">
        <w:rPr>
          <w:lang w:val="en-GB"/>
        </w:rPr>
        <w:tab/>
        <w:t xml:space="preserve">(Contamination </w:t>
      </w:r>
      <w:r w:rsidRPr="00B04DC3">
        <w:rPr>
          <w:lang w:val="en-GB"/>
        </w:rPr>
        <w:sym w:font="Symbol" w:char="F0A3"/>
      </w:r>
      <w:r w:rsidRPr="00B04DC3">
        <w:rPr>
          <w:lang w:val="en-GB"/>
        </w:rPr>
        <w:t xml:space="preserve"> 0.05 ppm C1, </w:t>
      </w:r>
      <w:r w:rsidRPr="00B04DC3">
        <w:rPr>
          <w:lang w:val="en-GB"/>
        </w:rPr>
        <w:sym w:font="Symbol" w:char="F0A3"/>
      </w:r>
      <w:r w:rsidRPr="00B04DC3">
        <w:rPr>
          <w:lang w:val="en-GB"/>
        </w:rPr>
        <w:t xml:space="preserve"> 10 ppm CO</w:t>
      </w:r>
      <w:r w:rsidRPr="00B04DC3">
        <w:rPr>
          <w:vertAlign w:val="subscript"/>
          <w:lang w:val="en-GB"/>
        </w:rPr>
        <w:t>2</w:t>
      </w:r>
      <w:r w:rsidRPr="00B04DC3">
        <w:rPr>
          <w:lang w:val="en-GB"/>
        </w:rPr>
        <w:t>)</w:t>
      </w:r>
    </w:p>
    <w:p w:rsidR="00002BA6" w:rsidRPr="00B04DC3" w:rsidRDefault="00002BA6" w:rsidP="00002BA6">
      <w:pPr>
        <w:pStyle w:val="a"/>
        <w:spacing w:before="120" w:after="0"/>
        <w:ind w:left="2829" w:hanging="561"/>
        <w:jc w:val="left"/>
        <w:rPr>
          <w:lang w:val="en-GB"/>
        </w:rPr>
      </w:pPr>
      <w:r w:rsidRPr="00B04DC3">
        <w:rPr>
          <w:lang w:val="en-GB"/>
        </w:rPr>
        <w:tab/>
        <w:t>Purified synthetic air</w:t>
      </w:r>
    </w:p>
    <w:p w:rsidR="00002BA6" w:rsidRPr="00B04DC3" w:rsidRDefault="00002BA6" w:rsidP="00002BA6">
      <w:pPr>
        <w:pStyle w:val="a"/>
        <w:spacing w:after="0"/>
        <w:ind w:left="2829" w:hanging="561"/>
        <w:jc w:val="left"/>
        <w:rPr>
          <w:lang w:val="en-GB"/>
        </w:rPr>
      </w:pPr>
      <w:r w:rsidRPr="00B04DC3">
        <w:rPr>
          <w:lang w:val="en-GB"/>
        </w:rPr>
        <w:tab/>
        <w:t xml:space="preserve">(Contamination </w:t>
      </w:r>
      <w:r w:rsidRPr="00B04DC3">
        <w:rPr>
          <w:lang w:val="en-GB"/>
        </w:rPr>
        <w:sym w:font="Symbol" w:char="F0A3"/>
      </w:r>
      <w:r w:rsidRPr="00B04DC3">
        <w:rPr>
          <w:lang w:val="en-GB"/>
        </w:rPr>
        <w:t xml:space="preserve"> 0.05 ppm C1,  </w:t>
      </w:r>
      <w:r w:rsidRPr="00B04DC3">
        <w:rPr>
          <w:lang w:val="en-GB"/>
        </w:rPr>
        <w:sym w:font="Symbol" w:char="F0A3"/>
      </w:r>
      <w:r w:rsidRPr="00B04DC3">
        <w:rPr>
          <w:lang w:val="en-GB"/>
        </w:rPr>
        <w:t xml:space="preserve"> 1 ppm CO,  </w:t>
      </w:r>
      <w:r w:rsidRPr="00B04DC3">
        <w:rPr>
          <w:lang w:val="en-GB"/>
        </w:rPr>
        <w:sym w:font="Symbol" w:char="F0A3"/>
      </w:r>
      <w:r w:rsidRPr="00B04DC3">
        <w:rPr>
          <w:lang w:val="en-GB"/>
        </w:rPr>
        <w:t xml:space="preserve"> 10 ppm CO</w:t>
      </w:r>
      <w:r w:rsidRPr="00B04DC3">
        <w:rPr>
          <w:vertAlign w:val="subscript"/>
          <w:lang w:val="en-GB"/>
        </w:rPr>
        <w:t>2</w:t>
      </w:r>
      <w:r w:rsidRPr="00B04DC3">
        <w:rPr>
          <w:lang w:val="en-GB"/>
        </w:rPr>
        <w:t xml:space="preserve">, </w:t>
      </w:r>
      <w:r w:rsidRPr="00B04DC3">
        <w:rPr>
          <w:lang w:val="en-GB"/>
        </w:rPr>
        <w:br/>
      </w:r>
      <w:r w:rsidRPr="00B04DC3">
        <w:rPr>
          <w:lang w:val="en-GB"/>
        </w:rPr>
        <w:sym w:font="Symbol" w:char="F0A3"/>
      </w:r>
      <w:r w:rsidRPr="00B04DC3">
        <w:rPr>
          <w:lang w:val="en-GB"/>
        </w:rPr>
        <w:t xml:space="preserve"> 0.02 ppm NO)</w:t>
      </w:r>
    </w:p>
    <w:p w:rsidR="00002BA6" w:rsidRPr="00B04DC3" w:rsidRDefault="00002BA6" w:rsidP="00002BA6">
      <w:pPr>
        <w:pStyle w:val="a"/>
        <w:ind w:left="2829" w:hanging="561"/>
        <w:jc w:val="left"/>
        <w:rPr>
          <w:lang w:val="en-GB"/>
        </w:rPr>
      </w:pPr>
      <w:r w:rsidRPr="00B04DC3">
        <w:rPr>
          <w:lang w:val="en-GB"/>
        </w:rPr>
        <w:tab/>
        <w:t>(Oxygen content between 20.5 - 21.5 per cent vol.)</w:t>
      </w:r>
    </w:p>
    <w:p w:rsidR="00002BA6" w:rsidRPr="00B04DC3" w:rsidRDefault="00002BA6" w:rsidP="00002BA6">
      <w:pPr>
        <w:pStyle w:val="para"/>
        <w:rPr>
          <w:lang w:val="en-GB"/>
        </w:rPr>
      </w:pPr>
      <w:r w:rsidRPr="00B04DC3">
        <w:rPr>
          <w:lang w:val="en-GB"/>
        </w:rPr>
        <w:tab/>
        <w:t>If gas bottles are not available, a gas purifier may be used, if contamination levels can be demonstrated.</w:t>
      </w:r>
    </w:p>
    <w:p w:rsidR="00002BA6" w:rsidRPr="00B04DC3" w:rsidRDefault="00002BA6" w:rsidP="00002BA6">
      <w:pPr>
        <w:pStyle w:val="para"/>
        <w:rPr>
          <w:lang w:val="en-GB"/>
        </w:rPr>
      </w:pPr>
      <w:r w:rsidRPr="00B04DC3">
        <w:rPr>
          <w:lang w:val="en-GB"/>
        </w:rPr>
        <w:t>9.3.3.2.</w:t>
      </w:r>
      <w:r w:rsidRPr="00B04DC3">
        <w:rPr>
          <w:lang w:val="en-GB"/>
        </w:rPr>
        <w:tab/>
        <w:t>Calibration and span gases</w:t>
      </w:r>
    </w:p>
    <w:p w:rsidR="00002BA6" w:rsidRPr="00B04DC3" w:rsidRDefault="00002BA6" w:rsidP="00002BA6">
      <w:pPr>
        <w:pStyle w:val="para"/>
        <w:rPr>
          <w:lang w:val="en-GB"/>
        </w:rPr>
      </w:pPr>
      <w:r w:rsidRPr="00B04DC3">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rsidR="00002BA6" w:rsidRPr="00B04DC3" w:rsidRDefault="00002BA6" w:rsidP="00002BA6">
      <w:pPr>
        <w:pStyle w:val="para"/>
        <w:rPr>
          <w:lang w:val="en-GB"/>
        </w:rPr>
      </w:pPr>
      <w:r w:rsidRPr="00B04DC3">
        <w:rPr>
          <w:lang w:val="en-GB"/>
        </w:rPr>
        <w:tab/>
        <w:t>C</w:t>
      </w:r>
      <w:r w:rsidRPr="00B04DC3">
        <w:rPr>
          <w:vertAlign w:val="subscript"/>
          <w:lang w:val="en-GB"/>
        </w:rPr>
        <w:t>3</w:t>
      </w:r>
      <w:r w:rsidRPr="00B04DC3">
        <w:rPr>
          <w:lang w:val="en-GB"/>
        </w:rPr>
        <w:t>H</w:t>
      </w:r>
      <w:r w:rsidRPr="00B04DC3">
        <w:rPr>
          <w:vertAlign w:val="subscript"/>
          <w:lang w:val="en-GB"/>
        </w:rPr>
        <w:t>8</w:t>
      </w:r>
      <w:r w:rsidRPr="00B04DC3">
        <w:rPr>
          <w:lang w:val="en-GB"/>
        </w:rPr>
        <w:t xml:space="preserve"> and purified synthetic air (see paragraph 9.3.3.1.</w:t>
      </w:r>
      <w:r w:rsidR="000A32EC" w:rsidRPr="000A32EC">
        <w:rPr>
          <w:lang w:val="en-GB"/>
        </w:rPr>
        <w:t xml:space="preserve"> </w:t>
      </w:r>
      <w:r w:rsidR="000A32EC">
        <w:rPr>
          <w:lang w:val="en-GB"/>
        </w:rPr>
        <w:t>of this annex</w:t>
      </w:r>
      <w:r w:rsidRPr="00B04DC3">
        <w:rPr>
          <w:lang w:val="en-GB"/>
        </w:rPr>
        <w:t>);</w:t>
      </w:r>
    </w:p>
    <w:p w:rsidR="00002BA6" w:rsidRPr="00B04DC3" w:rsidRDefault="00002BA6" w:rsidP="00002BA6">
      <w:pPr>
        <w:pStyle w:val="para"/>
        <w:rPr>
          <w:lang w:val="en-GB"/>
        </w:rPr>
      </w:pPr>
      <w:r w:rsidRPr="00B04DC3">
        <w:rPr>
          <w:lang w:val="en-GB"/>
        </w:rPr>
        <w:tab/>
        <w:t>CO and purified nitrogen;</w:t>
      </w:r>
    </w:p>
    <w:p w:rsidR="00002BA6" w:rsidRPr="00B04DC3" w:rsidRDefault="00002BA6" w:rsidP="00002BA6">
      <w:pPr>
        <w:pStyle w:val="para"/>
        <w:rPr>
          <w:lang w:val="en-GB"/>
        </w:rPr>
      </w:pPr>
      <w:r w:rsidRPr="00B04DC3">
        <w:rPr>
          <w:lang w:val="en-GB"/>
        </w:rPr>
        <w:tab/>
        <w:t>NO and purified nitrogen;</w:t>
      </w:r>
    </w:p>
    <w:p w:rsidR="00002BA6" w:rsidRPr="00B04DC3" w:rsidRDefault="00002BA6" w:rsidP="00002BA6">
      <w:pPr>
        <w:pStyle w:val="para"/>
        <w:rPr>
          <w:lang w:val="en-GB"/>
        </w:rPr>
      </w:pPr>
      <w:r w:rsidRPr="00B04DC3">
        <w:rPr>
          <w:lang w:val="en-GB"/>
        </w:rPr>
        <w:tab/>
        <w:t>NO</w:t>
      </w:r>
      <w:r w:rsidRPr="00B04DC3">
        <w:rPr>
          <w:vertAlign w:val="subscript"/>
          <w:lang w:val="en-GB"/>
        </w:rPr>
        <w:t>2</w:t>
      </w:r>
      <w:r w:rsidRPr="00B04DC3">
        <w:rPr>
          <w:lang w:val="en-GB"/>
        </w:rPr>
        <w:t xml:space="preserve"> and purified synthetic air;</w:t>
      </w:r>
    </w:p>
    <w:p w:rsidR="00002BA6" w:rsidRPr="00B04DC3" w:rsidRDefault="00002BA6" w:rsidP="00002BA6">
      <w:pPr>
        <w:pStyle w:val="para"/>
        <w:rPr>
          <w:lang w:val="en-GB"/>
        </w:rPr>
      </w:pPr>
      <w:r w:rsidRPr="00B04DC3">
        <w:rPr>
          <w:lang w:val="en-GB"/>
        </w:rPr>
        <w:tab/>
        <w:t>CO</w:t>
      </w:r>
      <w:r w:rsidRPr="00B04DC3">
        <w:rPr>
          <w:vertAlign w:val="subscript"/>
          <w:lang w:val="en-GB"/>
        </w:rPr>
        <w:t>2</w:t>
      </w:r>
      <w:r w:rsidRPr="00B04DC3">
        <w:rPr>
          <w:lang w:val="en-GB"/>
        </w:rPr>
        <w:t xml:space="preserve"> and purified nitrogen;</w:t>
      </w:r>
    </w:p>
    <w:p w:rsidR="00002BA6" w:rsidRPr="00B04DC3" w:rsidRDefault="00002BA6" w:rsidP="00B824C8">
      <w:pPr>
        <w:pStyle w:val="para"/>
        <w:keepNext/>
        <w:keepLines/>
        <w:rPr>
          <w:lang w:val="en-GB"/>
        </w:rPr>
      </w:pPr>
      <w:r w:rsidRPr="00B04DC3">
        <w:rPr>
          <w:lang w:val="en-GB"/>
        </w:rPr>
        <w:tab/>
        <w:t>CH</w:t>
      </w:r>
      <w:r w:rsidRPr="00B04DC3">
        <w:rPr>
          <w:vertAlign w:val="subscript"/>
          <w:lang w:val="en-GB"/>
        </w:rPr>
        <w:t>4</w:t>
      </w:r>
      <w:r w:rsidRPr="00B04DC3">
        <w:rPr>
          <w:lang w:val="en-GB"/>
        </w:rPr>
        <w:t xml:space="preserve"> and purified synthetic air;</w:t>
      </w:r>
    </w:p>
    <w:p w:rsidR="00002BA6" w:rsidRPr="00B04DC3" w:rsidRDefault="00002BA6" w:rsidP="00002BA6">
      <w:pPr>
        <w:pStyle w:val="para"/>
        <w:rPr>
          <w:lang w:val="en-GB"/>
        </w:rPr>
      </w:pPr>
      <w:r w:rsidRPr="00B04DC3">
        <w:rPr>
          <w:lang w:val="en-GB"/>
        </w:rPr>
        <w:tab/>
        <w:t>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and purified synthetic air</w:t>
      </w:r>
      <w:r w:rsidR="000A32EC">
        <w:rPr>
          <w:lang w:val="en-GB"/>
        </w:rPr>
        <w:t>.</w:t>
      </w:r>
    </w:p>
    <w:p w:rsidR="00002BA6" w:rsidRPr="00B04DC3" w:rsidRDefault="00002BA6" w:rsidP="00002BA6">
      <w:pPr>
        <w:pStyle w:val="para"/>
        <w:rPr>
          <w:lang w:val="en-GB"/>
        </w:rPr>
      </w:pPr>
      <w:r w:rsidRPr="00B04DC3">
        <w:rPr>
          <w:lang w:val="en-GB"/>
        </w:rPr>
        <w:tab/>
        <w:t>The true concentration of a calibration and span gas shall be within ±1 per cent of the nominal value, and shall be traceable to national or international standards. All concentrations of calibration gas shall be given on a volume basis (volume percent or volume ppm).</w:t>
      </w:r>
    </w:p>
    <w:p w:rsidR="00002BA6" w:rsidRPr="00B04DC3" w:rsidRDefault="00002BA6" w:rsidP="00002BA6">
      <w:pPr>
        <w:pStyle w:val="para"/>
        <w:rPr>
          <w:lang w:val="en-GB"/>
        </w:rPr>
      </w:pPr>
      <w:r w:rsidRPr="00B04DC3">
        <w:rPr>
          <w:lang w:val="en-GB"/>
        </w:rPr>
        <w:t>9.3.3.3.</w:t>
      </w:r>
      <w:r w:rsidRPr="00B04DC3">
        <w:rPr>
          <w:lang w:val="en-GB"/>
        </w:rPr>
        <w:tab/>
        <w:t>Gas dividers</w:t>
      </w:r>
    </w:p>
    <w:p w:rsidR="00002BA6" w:rsidRPr="00B04DC3" w:rsidRDefault="00002BA6" w:rsidP="00002BA6">
      <w:pPr>
        <w:pStyle w:val="para"/>
        <w:rPr>
          <w:lang w:val="en-GB"/>
        </w:rPr>
      </w:pPr>
      <w:r w:rsidRPr="00B04DC3">
        <w:rPr>
          <w:lang w:val="en-GB"/>
        </w:rPr>
        <w:tab/>
        <w:t>The gases used for calibration and span may also be obtained by means of gas dividers (precision blending devices), diluting with purified N</w:t>
      </w:r>
      <w:r w:rsidRPr="00B04DC3">
        <w:rPr>
          <w:vertAlign w:val="subscript"/>
          <w:lang w:val="en-GB"/>
        </w:rPr>
        <w:t>2</w:t>
      </w:r>
      <w:r w:rsidRPr="00B04DC3">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B04DC3">
        <w:rPr>
          <w:lang w:val="en-GB"/>
        </w:rPr>
        <w:sym w:font="Symbol" w:char="F0B1"/>
      </w:r>
      <w:r w:rsidRPr="00B04DC3">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rsidR="00002BA6" w:rsidRPr="00B04DC3" w:rsidRDefault="00002BA6" w:rsidP="00002BA6">
      <w:pPr>
        <w:pStyle w:val="para"/>
        <w:rPr>
          <w:spacing w:val="-4"/>
          <w:lang w:val="en-GB"/>
        </w:rPr>
      </w:pPr>
      <w:r w:rsidRPr="00B04DC3">
        <w:rPr>
          <w:spacing w:val="-4"/>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rsidR="00002BA6" w:rsidRPr="00B04DC3" w:rsidRDefault="00002BA6" w:rsidP="00002BA6">
      <w:pPr>
        <w:pStyle w:val="para"/>
        <w:rPr>
          <w:szCs w:val="24"/>
          <w:lang w:val="en-GB"/>
        </w:rPr>
      </w:pPr>
      <w:r w:rsidRPr="00B04DC3">
        <w:rPr>
          <w:lang w:val="en-GB"/>
        </w:rPr>
        <w:tab/>
        <w:t>For conducting the linearity verification according to paragraph 9.2.1.</w:t>
      </w:r>
      <w:r w:rsidR="000A32EC" w:rsidRPr="000A32EC">
        <w:rPr>
          <w:lang w:val="en-GB"/>
        </w:rPr>
        <w:t xml:space="preserve"> </w:t>
      </w:r>
      <w:r w:rsidR="000A32EC">
        <w:rPr>
          <w:lang w:val="en-GB"/>
        </w:rPr>
        <w:t>of this annex</w:t>
      </w:r>
      <w:r w:rsidRPr="00B04DC3">
        <w:rPr>
          <w:lang w:val="en-GB"/>
        </w:rPr>
        <w:t xml:space="preserve">, </w:t>
      </w:r>
      <w:r w:rsidRPr="00B04DC3">
        <w:rPr>
          <w:rFonts w:eastAsia="MS Mincho"/>
          <w:szCs w:val="24"/>
          <w:lang w:val="en-GB"/>
        </w:rPr>
        <w:t xml:space="preserve">the gas divider shall be accurate to within </w:t>
      </w:r>
      <w:r w:rsidRPr="00B04DC3">
        <w:rPr>
          <w:szCs w:val="24"/>
          <w:lang w:val="en-GB"/>
        </w:rPr>
        <w:sym w:font="Symbol" w:char="F0B1"/>
      </w:r>
      <w:r w:rsidRPr="00B04DC3">
        <w:rPr>
          <w:szCs w:val="24"/>
          <w:lang w:val="en-GB"/>
        </w:rPr>
        <w:t>1 per cent.</w:t>
      </w:r>
    </w:p>
    <w:p w:rsidR="00002BA6" w:rsidRPr="00B04DC3" w:rsidRDefault="00002BA6" w:rsidP="00002BA6">
      <w:pPr>
        <w:pStyle w:val="para"/>
        <w:rPr>
          <w:lang w:val="en-GB"/>
        </w:rPr>
      </w:pPr>
      <w:r w:rsidRPr="00B04DC3">
        <w:rPr>
          <w:lang w:val="en-GB"/>
        </w:rPr>
        <w:t>9.3.3.4.</w:t>
      </w:r>
      <w:r w:rsidRPr="00B04DC3">
        <w:rPr>
          <w:lang w:val="en-GB"/>
        </w:rPr>
        <w:tab/>
        <w:t>Oxygen interference check gases</w:t>
      </w:r>
    </w:p>
    <w:p w:rsidR="00002BA6" w:rsidRPr="00B04DC3" w:rsidRDefault="00002BA6" w:rsidP="00002BA6">
      <w:pPr>
        <w:pStyle w:val="para"/>
        <w:rPr>
          <w:lang w:val="en-GB"/>
        </w:rPr>
      </w:pPr>
      <w:r w:rsidRPr="00B04DC3">
        <w:rPr>
          <w:lang w:val="en-GB"/>
        </w:rPr>
        <w:tab/>
        <w:t xml:space="preserve">Oxygen interference check gases are a blend of propane, oxygen and nitrogen. They shall contain propane with 350 ppm C </w:t>
      </w:r>
      <w:r w:rsidRPr="00B04DC3">
        <w:rPr>
          <w:lang w:val="en-GB"/>
        </w:rPr>
        <w:sym w:font="Technic" w:char="F0B1"/>
      </w:r>
      <w:r w:rsidRPr="00B04DC3">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w:t>
      </w:r>
      <w:r w:rsidR="000A32EC">
        <w:rPr>
          <w:lang w:val="en-GB"/>
        </w:rPr>
        <w:t xml:space="preserve"> below</w:t>
      </w:r>
      <w:r w:rsidRPr="00B04DC3">
        <w:rPr>
          <w:lang w:val="en-GB"/>
        </w:rPr>
        <w:t xml:space="preserve"> with the remainder being purified nitrogen.</w:t>
      </w:r>
    </w:p>
    <w:p w:rsidR="00002BA6" w:rsidRPr="00B04DC3" w:rsidRDefault="00002BA6" w:rsidP="00B824C8">
      <w:pPr>
        <w:pStyle w:val="Heading1"/>
        <w:keepLines/>
      </w:pPr>
      <w:bookmarkStart w:id="559" w:name="_Toc399940021"/>
      <w:bookmarkStart w:id="560" w:name="_Toc423599607"/>
      <w:bookmarkStart w:id="561" w:name="_Toc423611015"/>
      <w:r w:rsidRPr="00B04DC3">
        <w:t>Table 8</w:t>
      </w:r>
      <w:bookmarkEnd w:id="559"/>
      <w:bookmarkEnd w:id="560"/>
      <w:bookmarkEnd w:id="561"/>
    </w:p>
    <w:p w:rsidR="00002BA6" w:rsidRPr="00B04DC3" w:rsidRDefault="00002BA6" w:rsidP="00B824C8">
      <w:pPr>
        <w:pStyle w:val="Heading1"/>
        <w:keepLines/>
        <w:rPr>
          <w:b/>
        </w:rPr>
      </w:pPr>
      <w:bookmarkStart w:id="562" w:name="_Toc399940022"/>
      <w:bookmarkStart w:id="563" w:name="_Toc423599608"/>
      <w:bookmarkStart w:id="564" w:name="_Toc423611016"/>
      <w:r w:rsidRPr="00B04DC3">
        <w:rPr>
          <w:b/>
        </w:rPr>
        <w:t>Oxygen interference check gases</w:t>
      </w:r>
      <w:bookmarkEnd w:id="562"/>
      <w:bookmarkEnd w:id="563"/>
      <w:bookmarkEnd w:id="564"/>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3"/>
        <w:gridCol w:w="2694"/>
      </w:tblGrid>
      <w:tr w:rsidR="00002BA6" w:rsidRPr="00B04DC3" w:rsidTr="00D71F62">
        <w:tc>
          <w:tcPr>
            <w:tcW w:w="4111" w:type="dxa"/>
            <w:tcBorders>
              <w:bottom w:val="single" w:sz="12" w:space="0" w:color="auto"/>
            </w:tcBorders>
          </w:tcPr>
          <w:p w:rsidR="00002BA6" w:rsidRPr="00B04DC3" w:rsidRDefault="00002BA6" w:rsidP="00B824C8">
            <w:pPr>
              <w:spacing w:before="60" w:after="60"/>
              <w:ind w:left="56" w:right="62"/>
              <w:rPr>
                <w:i/>
                <w:sz w:val="16"/>
                <w:szCs w:val="16"/>
              </w:rPr>
            </w:pPr>
            <w:r w:rsidRPr="00B04DC3">
              <w:rPr>
                <w:i/>
                <w:sz w:val="16"/>
                <w:szCs w:val="16"/>
              </w:rPr>
              <w:t>Type of engine</w:t>
            </w:r>
          </w:p>
        </w:tc>
        <w:tc>
          <w:tcPr>
            <w:tcW w:w="3119" w:type="dxa"/>
            <w:tcBorders>
              <w:bottom w:val="single" w:sz="12" w:space="0" w:color="auto"/>
            </w:tcBorders>
          </w:tcPr>
          <w:p w:rsidR="00002BA6" w:rsidRPr="00B04DC3" w:rsidRDefault="00002BA6" w:rsidP="00B824C8">
            <w:pPr>
              <w:spacing w:before="60" w:after="60"/>
              <w:ind w:left="56" w:right="62"/>
              <w:jc w:val="right"/>
              <w:rPr>
                <w:i/>
                <w:sz w:val="16"/>
                <w:szCs w:val="16"/>
              </w:rPr>
            </w:pPr>
            <w:r w:rsidRPr="00B04DC3">
              <w:rPr>
                <w:i/>
                <w:sz w:val="16"/>
                <w:szCs w:val="16"/>
              </w:rPr>
              <w:t>O</w:t>
            </w:r>
            <w:r w:rsidRPr="00B04DC3">
              <w:rPr>
                <w:i/>
                <w:sz w:val="16"/>
                <w:szCs w:val="16"/>
                <w:vertAlign w:val="subscript"/>
              </w:rPr>
              <w:t>2</w:t>
            </w:r>
            <w:r w:rsidRPr="00B04DC3">
              <w:rPr>
                <w:i/>
                <w:sz w:val="16"/>
                <w:szCs w:val="16"/>
              </w:rPr>
              <w:t xml:space="preserve"> concentration (per cent)</w:t>
            </w:r>
          </w:p>
        </w:tc>
      </w:tr>
      <w:tr w:rsidR="00002BA6" w:rsidRPr="00B04DC3" w:rsidTr="00D71F62">
        <w:tc>
          <w:tcPr>
            <w:tcW w:w="4111" w:type="dxa"/>
            <w:tcBorders>
              <w:top w:val="single" w:sz="12" w:space="0" w:color="auto"/>
            </w:tcBorders>
          </w:tcPr>
          <w:p w:rsidR="00002BA6" w:rsidRPr="00B04DC3" w:rsidRDefault="00002BA6" w:rsidP="00B824C8">
            <w:pPr>
              <w:spacing w:before="40" w:after="60" w:line="220" w:lineRule="atLeast"/>
              <w:ind w:left="57" w:right="62"/>
              <w:rPr>
                <w:sz w:val="18"/>
                <w:szCs w:val="18"/>
              </w:rPr>
            </w:pPr>
            <w:r w:rsidRPr="00B04DC3">
              <w:rPr>
                <w:sz w:val="18"/>
                <w:szCs w:val="18"/>
              </w:rPr>
              <w:t>Compression ignition</w:t>
            </w:r>
          </w:p>
        </w:tc>
        <w:tc>
          <w:tcPr>
            <w:tcW w:w="3119" w:type="dxa"/>
            <w:tcBorders>
              <w:top w:val="single" w:sz="12" w:space="0" w:color="auto"/>
            </w:tcBorders>
          </w:tcPr>
          <w:p w:rsidR="00002BA6" w:rsidRPr="00B04DC3" w:rsidRDefault="00002BA6" w:rsidP="00B824C8">
            <w:pPr>
              <w:spacing w:before="40" w:after="60" w:line="220" w:lineRule="atLeast"/>
              <w:ind w:left="57" w:right="62"/>
              <w:jc w:val="right"/>
              <w:rPr>
                <w:sz w:val="18"/>
                <w:szCs w:val="18"/>
              </w:rPr>
            </w:pPr>
            <w:r w:rsidRPr="00B04DC3">
              <w:rPr>
                <w:sz w:val="18"/>
                <w:szCs w:val="18"/>
              </w:rPr>
              <w:t>21 (20 to 22)</w:t>
            </w:r>
          </w:p>
        </w:tc>
      </w:tr>
      <w:tr w:rsidR="00002BA6" w:rsidRPr="00B04DC3">
        <w:tc>
          <w:tcPr>
            <w:tcW w:w="4111" w:type="dxa"/>
          </w:tcPr>
          <w:p w:rsidR="00002BA6" w:rsidRPr="00B04DC3" w:rsidRDefault="00002BA6" w:rsidP="00B824C8">
            <w:pPr>
              <w:spacing w:before="40" w:after="60" w:line="220" w:lineRule="atLeast"/>
              <w:ind w:left="57" w:right="62"/>
              <w:rPr>
                <w:sz w:val="18"/>
                <w:szCs w:val="18"/>
              </w:rPr>
            </w:pPr>
            <w:r w:rsidRPr="00B04DC3">
              <w:rPr>
                <w:sz w:val="18"/>
                <w:szCs w:val="18"/>
              </w:rPr>
              <w:t>Compression and positive ignition</w:t>
            </w:r>
          </w:p>
        </w:tc>
        <w:tc>
          <w:tcPr>
            <w:tcW w:w="3119" w:type="dxa"/>
          </w:tcPr>
          <w:p w:rsidR="00002BA6" w:rsidRPr="00B04DC3" w:rsidRDefault="00002BA6" w:rsidP="00B824C8">
            <w:pPr>
              <w:spacing w:before="40" w:after="60" w:line="220" w:lineRule="atLeast"/>
              <w:ind w:left="57" w:right="62"/>
              <w:jc w:val="right"/>
              <w:rPr>
                <w:sz w:val="18"/>
                <w:szCs w:val="18"/>
              </w:rPr>
            </w:pPr>
            <w:r w:rsidRPr="00B04DC3">
              <w:rPr>
                <w:sz w:val="18"/>
                <w:szCs w:val="18"/>
              </w:rPr>
              <w:t>10 (9 to 11)</w:t>
            </w:r>
          </w:p>
        </w:tc>
      </w:tr>
      <w:tr w:rsidR="00002BA6" w:rsidRPr="00B04DC3">
        <w:tc>
          <w:tcPr>
            <w:tcW w:w="4111" w:type="dxa"/>
          </w:tcPr>
          <w:p w:rsidR="00002BA6" w:rsidRPr="00B04DC3" w:rsidRDefault="00002BA6" w:rsidP="00B824C8">
            <w:pPr>
              <w:spacing w:before="40" w:after="60" w:line="220" w:lineRule="atLeast"/>
              <w:ind w:left="57" w:right="62"/>
              <w:rPr>
                <w:sz w:val="18"/>
                <w:szCs w:val="18"/>
              </w:rPr>
            </w:pPr>
            <w:r w:rsidRPr="00B04DC3">
              <w:rPr>
                <w:sz w:val="18"/>
                <w:szCs w:val="18"/>
              </w:rPr>
              <w:t>Compression and positive ignition</w:t>
            </w:r>
          </w:p>
        </w:tc>
        <w:tc>
          <w:tcPr>
            <w:tcW w:w="3119" w:type="dxa"/>
          </w:tcPr>
          <w:p w:rsidR="00002BA6" w:rsidRPr="00B04DC3" w:rsidRDefault="00002BA6" w:rsidP="00B824C8">
            <w:pPr>
              <w:spacing w:before="40" w:after="60" w:line="220" w:lineRule="atLeast"/>
              <w:ind w:left="57" w:right="62"/>
              <w:jc w:val="right"/>
              <w:rPr>
                <w:sz w:val="18"/>
                <w:szCs w:val="18"/>
              </w:rPr>
            </w:pPr>
            <w:r w:rsidRPr="00B04DC3">
              <w:rPr>
                <w:sz w:val="18"/>
                <w:szCs w:val="18"/>
              </w:rPr>
              <w:t>5 (4 to 6)</w:t>
            </w:r>
          </w:p>
        </w:tc>
      </w:tr>
      <w:tr w:rsidR="00002BA6" w:rsidRPr="00B04DC3" w:rsidTr="00D71F62">
        <w:tc>
          <w:tcPr>
            <w:tcW w:w="4111" w:type="dxa"/>
            <w:tcBorders>
              <w:bottom w:val="single" w:sz="12" w:space="0" w:color="auto"/>
            </w:tcBorders>
          </w:tcPr>
          <w:p w:rsidR="00002BA6" w:rsidRPr="00B04DC3" w:rsidRDefault="00002BA6" w:rsidP="00B824C8">
            <w:pPr>
              <w:spacing w:before="40" w:after="60" w:line="220" w:lineRule="atLeast"/>
              <w:ind w:left="57" w:right="62"/>
              <w:rPr>
                <w:sz w:val="18"/>
                <w:szCs w:val="18"/>
              </w:rPr>
            </w:pPr>
            <w:r w:rsidRPr="00B04DC3">
              <w:rPr>
                <w:sz w:val="18"/>
                <w:szCs w:val="18"/>
              </w:rPr>
              <w:t>Positive ignition</w:t>
            </w:r>
          </w:p>
        </w:tc>
        <w:tc>
          <w:tcPr>
            <w:tcW w:w="3119" w:type="dxa"/>
            <w:tcBorders>
              <w:bottom w:val="single" w:sz="12" w:space="0" w:color="auto"/>
            </w:tcBorders>
          </w:tcPr>
          <w:p w:rsidR="00002BA6" w:rsidRPr="00B04DC3" w:rsidRDefault="00002BA6" w:rsidP="00B824C8">
            <w:pPr>
              <w:spacing w:before="40" w:after="60" w:line="220" w:lineRule="atLeast"/>
              <w:ind w:left="57" w:right="62"/>
              <w:jc w:val="right"/>
              <w:rPr>
                <w:sz w:val="18"/>
                <w:szCs w:val="18"/>
              </w:rPr>
            </w:pPr>
            <w:r w:rsidRPr="00B04DC3">
              <w:rPr>
                <w:sz w:val="18"/>
                <w:szCs w:val="18"/>
              </w:rPr>
              <w:t>0 (0 to 1)</w:t>
            </w:r>
          </w:p>
        </w:tc>
      </w:tr>
    </w:tbl>
    <w:p w:rsidR="00002BA6" w:rsidRPr="00B04DC3" w:rsidRDefault="00002BA6" w:rsidP="00B824C8">
      <w:pPr>
        <w:pStyle w:val="para"/>
        <w:keepNext/>
        <w:keepLines/>
        <w:spacing w:before="240"/>
        <w:ind w:left="1134" w:firstLine="0"/>
        <w:rPr>
          <w:lang w:val="en-GB"/>
        </w:rPr>
      </w:pPr>
      <w:r w:rsidRPr="00B04DC3">
        <w:rPr>
          <w:lang w:val="en-GB"/>
        </w:rPr>
        <w:t>9.3.4.</w:t>
      </w:r>
      <w:r w:rsidRPr="00B04DC3">
        <w:rPr>
          <w:lang w:val="en-GB"/>
        </w:rPr>
        <w:tab/>
      </w:r>
      <w:r w:rsidRPr="00B04DC3">
        <w:rPr>
          <w:lang w:val="en-GB"/>
        </w:rPr>
        <w:tab/>
        <w:t>Leak check</w:t>
      </w:r>
    </w:p>
    <w:p w:rsidR="00002BA6" w:rsidRPr="00B04DC3" w:rsidRDefault="00002BA6" w:rsidP="00B824C8">
      <w:pPr>
        <w:pStyle w:val="para"/>
        <w:keepNext/>
        <w:keepLines/>
        <w:rPr>
          <w:lang w:val="en-GB"/>
        </w:rPr>
      </w:pPr>
      <w:r w:rsidRPr="00B04DC3">
        <w:rPr>
          <w:lang w:val="en-GB"/>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rsidR="00002BA6" w:rsidRPr="00B04DC3" w:rsidRDefault="00002BA6" w:rsidP="00002BA6">
      <w:pPr>
        <w:pStyle w:val="para"/>
        <w:rPr>
          <w:lang w:val="en-GB"/>
        </w:rPr>
      </w:pPr>
      <w:r w:rsidRPr="00B04DC3">
        <w:rPr>
          <w:lang w:val="en-GB"/>
        </w:rPr>
        <w:tab/>
        <w:t>The maximum allowable leakage rate on the vacuum side shall be 0.5 per cent of the in-use flow rate for the portion of the system being checked. The analyzer flows and bypass flows may be used to estimate the in-use flow rates.</w:t>
      </w:r>
    </w:p>
    <w:p w:rsidR="00002BA6" w:rsidRPr="00B04DC3" w:rsidRDefault="00002BA6" w:rsidP="00002BA6">
      <w:pPr>
        <w:pStyle w:val="para"/>
        <w:rPr>
          <w:lang w:val="en-GB"/>
        </w:rPr>
      </w:pPr>
      <w:r w:rsidRPr="00B04DC3">
        <w:rPr>
          <w:lang w:val="en-GB"/>
        </w:rPr>
        <w:tab/>
        <w:t xml:space="preserve">Alternatively, the system may be evacuated to a pressure of at least 20 kPa vacuum (80 kPa absolute). After an initial stabilization period the pressure increase </w:t>
      </w:r>
      <w:r w:rsidRPr="00B04DC3">
        <w:rPr>
          <w:i/>
          <w:lang w:val="en-GB"/>
        </w:rPr>
        <w:sym w:font="Symbol" w:char="F044"/>
      </w:r>
      <w:r w:rsidRPr="00B2512B">
        <w:rPr>
          <w:lang w:val="en-GB"/>
        </w:rPr>
        <w:t>p</w:t>
      </w:r>
      <w:r w:rsidRPr="00B04DC3">
        <w:rPr>
          <w:lang w:val="en-GB"/>
        </w:rPr>
        <w:t xml:space="preserve"> (kPa/min) in the system shall not exceed:</w:t>
      </w:r>
    </w:p>
    <w:p w:rsidR="00002BA6" w:rsidRPr="00B04DC3" w:rsidRDefault="00002BA6" w:rsidP="00002BA6">
      <w:pPr>
        <w:pStyle w:val="para"/>
        <w:tabs>
          <w:tab w:val="right" w:pos="8505"/>
        </w:tabs>
        <w:spacing w:before="240"/>
        <w:rPr>
          <w:lang w:val="en-GB"/>
        </w:rPr>
      </w:pPr>
      <w:r w:rsidRPr="00B04DC3">
        <w:rPr>
          <w:lang w:val="en-GB"/>
        </w:rPr>
        <w:tab/>
      </w:r>
      <w:r w:rsidRPr="00B04DC3">
        <w:rPr>
          <w:lang w:val="en-GB"/>
        </w:rPr>
        <w:sym w:font="Symbol" w:char="F044"/>
      </w:r>
      <w:r w:rsidRPr="00B04DC3">
        <w:rPr>
          <w:lang w:val="en-GB"/>
        </w:rPr>
        <w:t>p = p / V</w:t>
      </w:r>
      <w:r w:rsidRPr="00B04DC3">
        <w:rPr>
          <w:vertAlign w:val="subscript"/>
          <w:lang w:val="en-GB"/>
        </w:rPr>
        <w:t>s</w:t>
      </w:r>
      <w:r w:rsidRPr="00B04DC3">
        <w:rPr>
          <w:lang w:val="en-GB"/>
        </w:rPr>
        <w:t xml:space="preserve">  </w:t>
      </w:r>
      <w:r w:rsidRPr="00B04DC3">
        <w:rPr>
          <w:lang w:val="en-GB"/>
        </w:rPr>
        <w:sym w:font="Wingdings 2" w:char="F0CD"/>
      </w:r>
      <w:r w:rsidRPr="00B04DC3">
        <w:rPr>
          <w:lang w:val="en-GB"/>
        </w:rPr>
        <w:t xml:space="preserve"> 0.005 </w:t>
      </w:r>
      <w:r w:rsidRPr="00B04DC3">
        <w:rPr>
          <w:lang w:val="en-GB"/>
        </w:rPr>
        <w:sym w:font="Wingdings 2" w:char="F0CD"/>
      </w:r>
      <w:r w:rsidRPr="00B04DC3">
        <w:rPr>
          <w:lang w:val="en-GB"/>
        </w:rPr>
        <w:t xml:space="preserve"> q</w:t>
      </w:r>
      <w:r w:rsidRPr="00B04DC3">
        <w:rPr>
          <w:vertAlign w:val="subscript"/>
          <w:lang w:val="en-GB"/>
        </w:rPr>
        <w:t>vs</w:t>
      </w:r>
      <w:r w:rsidRPr="00B04DC3">
        <w:rPr>
          <w:lang w:val="en-GB"/>
        </w:rPr>
        <w:tab/>
        <w:t>(71)</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V</w:t>
      </w:r>
      <w:r w:rsidRPr="00B04DC3">
        <w:rPr>
          <w:vertAlign w:val="subscript"/>
          <w:lang w:val="en-GB"/>
        </w:rPr>
        <w:t>s</w:t>
      </w:r>
      <w:r w:rsidRPr="00B04DC3">
        <w:rPr>
          <w:lang w:val="en-GB"/>
        </w:rPr>
        <w:tab/>
        <w:t>is the system volume, l</w:t>
      </w:r>
    </w:p>
    <w:p w:rsidR="00002BA6" w:rsidRPr="00B04DC3" w:rsidRDefault="00002BA6" w:rsidP="00002BA6">
      <w:pPr>
        <w:pStyle w:val="a"/>
        <w:rPr>
          <w:lang w:val="en-GB"/>
        </w:rPr>
      </w:pPr>
      <w:r w:rsidRPr="00B04DC3">
        <w:rPr>
          <w:lang w:val="en-GB"/>
        </w:rPr>
        <w:t>q</w:t>
      </w:r>
      <w:r w:rsidRPr="00B04DC3">
        <w:rPr>
          <w:vertAlign w:val="subscript"/>
          <w:lang w:val="en-GB"/>
        </w:rPr>
        <w:t>vs</w:t>
      </w:r>
      <w:r w:rsidRPr="00B04DC3">
        <w:rPr>
          <w:lang w:val="en-GB"/>
        </w:rPr>
        <w:tab/>
        <w:t>is the system flow rate, l/min</w:t>
      </w:r>
    </w:p>
    <w:p w:rsidR="00002BA6" w:rsidRPr="00B04DC3" w:rsidRDefault="00002BA6" w:rsidP="00002BA6">
      <w:pPr>
        <w:pStyle w:val="para"/>
        <w:rPr>
          <w:lang w:val="en-GB"/>
        </w:rPr>
      </w:pPr>
      <w:r w:rsidRPr="00B04DC3">
        <w:rPr>
          <w:lang w:val="en-GB"/>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rsidR="00002BA6" w:rsidRPr="00B04DC3" w:rsidRDefault="00002BA6" w:rsidP="00002BA6">
      <w:pPr>
        <w:pStyle w:val="para"/>
        <w:rPr>
          <w:lang w:val="en-GB"/>
        </w:rPr>
      </w:pPr>
      <w:r w:rsidRPr="00B04DC3">
        <w:rPr>
          <w:lang w:val="en-GB"/>
        </w:rPr>
        <w:t>9.3.5.</w:t>
      </w:r>
      <w:r w:rsidRPr="00B04DC3">
        <w:rPr>
          <w:lang w:val="en-GB"/>
        </w:rPr>
        <w:tab/>
        <w:t>Response time check of the analytical system</w:t>
      </w:r>
    </w:p>
    <w:p w:rsidR="00002BA6" w:rsidRPr="00B04DC3" w:rsidRDefault="00002BA6" w:rsidP="00002BA6">
      <w:pPr>
        <w:pStyle w:val="para"/>
        <w:rPr>
          <w:lang w:val="en-GB"/>
        </w:rPr>
      </w:pPr>
      <w:r w:rsidRPr="00B04DC3">
        <w:rPr>
          <w:lang w:val="en-GB"/>
        </w:rPr>
        <w:tab/>
        <w:t xml:space="preserve">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per cent </w:t>
      </w:r>
      <w:r w:rsidR="000A32EC">
        <w:rPr>
          <w:lang w:val="en-GB"/>
        </w:rPr>
        <w:t>F</w:t>
      </w:r>
      <w:r w:rsidR="000A32EC" w:rsidRPr="00B04DC3">
        <w:rPr>
          <w:lang w:val="en-GB"/>
        </w:rPr>
        <w:t xml:space="preserve">ull </w:t>
      </w:r>
      <w:r w:rsidR="000A32EC">
        <w:rPr>
          <w:lang w:val="en-GB"/>
        </w:rPr>
        <w:t>S</w:t>
      </w:r>
      <w:r w:rsidR="000A32EC" w:rsidRPr="00B04DC3">
        <w:rPr>
          <w:lang w:val="en-GB"/>
        </w:rPr>
        <w:t xml:space="preserve">cale </w:t>
      </w:r>
      <w:r w:rsidRPr="00B04DC3">
        <w:rPr>
          <w:lang w:val="en-GB"/>
        </w:rPr>
        <w:t>(FS).</w:t>
      </w:r>
    </w:p>
    <w:p w:rsidR="00002BA6" w:rsidRPr="00B04DC3" w:rsidRDefault="00002BA6" w:rsidP="00002BA6">
      <w:pPr>
        <w:pStyle w:val="para"/>
        <w:rPr>
          <w:lang w:val="en-GB"/>
        </w:rPr>
      </w:pPr>
      <w:r w:rsidRPr="00B04DC3">
        <w:rPr>
          <w:lang w:val="en-GB"/>
        </w:rPr>
        <w:tab/>
        <w:t>The concentration trace of each single gas component shall be recorded. The response time is defined to be the difference in time between the gas switching and the appropriate change of the recorded concentration. The system response time (t</w:t>
      </w:r>
      <w:r w:rsidRPr="00B04DC3">
        <w:rPr>
          <w:vertAlign w:val="subscript"/>
          <w:lang w:val="en-GB"/>
        </w:rPr>
        <w:t>90</w:t>
      </w:r>
      <w:r w:rsidRPr="00B04DC3">
        <w:rPr>
          <w:lang w:val="en-GB"/>
        </w:rPr>
        <w:t>) consists of the delay time to the measuring detector and the rise time of the detector. The delay time is defined as the time from the change (t</w:t>
      </w:r>
      <w:r w:rsidRPr="00B04DC3">
        <w:rPr>
          <w:vertAlign w:val="subscript"/>
          <w:lang w:val="en-GB"/>
        </w:rPr>
        <w:t>0</w:t>
      </w:r>
      <w:r w:rsidRPr="00B04DC3">
        <w:rPr>
          <w:lang w:val="en-GB"/>
        </w:rPr>
        <w:t>) until the response is 10 per cent of the final reading (t</w:t>
      </w:r>
      <w:r w:rsidRPr="00B04DC3">
        <w:rPr>
          <w:vertAlign w:val="subscript"/>
          <w:lang w:val="en-GB"/>
        </w:rPr>
        <w:t>10</w:t>
      </w:r>
      <w:r w:rsidRPr="00B04DC3">
        <w:rPr>
          <w:lang w:val="en-GB"/>
        </w:rPr>
        <w:t>). The rise time is defined as the time between 10 per cent and 90 per cent response of the final reading (t</w:t>
      </w:r>
      <w:r w:rsidRPr="00B04DC3">
        <w:rPr>
          <w:vertAlign w:val="subscript"/>
          <w:lang w:val="en-GB"/>
        </w:rPr>
        <w:t>90</w:t>
      </w:r>
      <w:r w:rsidRPr="00B04DC3">
        <w:rPr>
          <w:lang w:val="en-GB"/>
        </w:rPr>
        <w:t xml:space="preserve"> – t</w:t>
      </w:r>
      <w:r w:rsidRPr="00B04DC3">
        <w:rPr>
          <w:vertAlign w:val="subscript"/>
          <w:lang w:val="en-GB"/>
        </w:rPr>
        <w:t>10</w:t>
      </w:r>
      <w:r w:rsidRPr="00B04DC3">
        <w:rPr>
          <w:lang w:val="en-GB"/>
        </w:rPr>
        <w:t>).</w:t>
      </w:r>
    </w:p>
    <w:p w:rsidR="00002BA6" w:rsidRPr="00B04DC3" w:rsidRDefault="00002BA6" w:rsidP="00002BA6">
      <w:pPr>
        <w:pStyle w:val="para"/>
        <w:rPr>
          <w:lang w:val="en-GB"/>
        </w:rPr>
      </w:pPr>
      <w:r w:rsidRPr="00B04DC3">
        <w:rPr>
          <w:lang w:val="en-GB"/>
        </w:rPr>
        <w:tab/>
        <w:t>For time alignment of the analyzer and exhaust flow signals, the transformation time is defined as the time from the change (t</w:t>
      </w:r>
      <w:r w:rsidRPr="00B04DC3">
        <w:rPr>
          <w:vertAlign w:val="subscript"/>
          <w:lang w:val="en-GB"/>
        </w:rPr>
        <w:t>0</w:t>
      </w:r>
      <w:r w:rsidRPr="00B04DC3">
        <w:rPr>
          <w:lang w:val="en-GB"/>
        </w:rPr>
        <w:t>) until the response is 50 per cent of the final reading (t</w:t>
      </w:r>
      <w:r w:rsidRPr="00B04DC3">
        <w:rPr>
          <w:vertAlign w:val="subscript"/>
          <w:lang w:val="en-GB"/>
        </w:rPr>
        <w:t>50</w:t>
      </w:r>
      <w:r w:rsidRPr="00B04DC3">
        <w:rPr>
          <w:lang w:val="en-GB"/>
        </w:rPr>
        <w:t>).</w:t>
      </w:r>
    </w:p>
    <w:p w:rsidR="00002BA6" w:rsidRPr="00B04DC3" w:rsidRDefault="00002BA6" w:rsidP="00002BA6">
      <w:pPr>
        <w:pStyle w:val="para"/>
        <w:rPr>
          <w:lang w:val="en-GB"/>
        </w:rPr>
      </w:pPr>
      <w:r w:rsidRPr="00B04DC3">
        <w:rPr>
          <w:lang w:val="en-GB"/>
        </w:rPr>
        <w:tab/>
        <w:t xml:space="preserve">The system response time shall be </w:t>
      </w:r>
      <w:r w:rsidRPr="00B04DC3">
        <w:rPr>
          <w:lang w:val="en-GB"/>
        </w:rPr>
        <w:sym w:font="Symbol" w:char="F0A3"/>
      </w:r>
      <w:r w:rsidRPr="00B04DC3">
        <w:rPr>
          <w:lang w:val="en-GB"/>
        </w:rPr>
        <w:t xml:space="preserve"> 10 s with a rise time of  </w:t>
      </w:r>
      <w:r w:rsidRPr="00B04DC3">
        <w:rPr>
          <w:lang w:val="en-GB"/>
        </w:rPr>
        <w:sym w:font="Symbol" w:char="F0A3"/>
      </w:r>
      <w:r w:rsidRPr="00B04DC3">
        <w:rPr>
          <w:lang w:val="en-GB"/>
        </w:rPr>
        <w:t xml:space="preserve"> 2.5 seconds in accordance with paragraph 9.3.1.7.</w:t>
      </w:r>
      <w:r w:rsidR="000A32EC" w:rsidRPr="000A32EC">
        <w:rPr>
          <w:lang w:val="en-GB"/>
        </w:rPr>
        <w:t xml:space="preserve"> </w:t>
      </w:r>
      <w:r w:rsidR="000A32EC">
        <w:rPr>
          <w:lang w:val="en-GB"/>
        </w:rPr>
        <w:t>of this annex</w:t>
      </w:r>
      <w:r w:rsidRPr="00B04DC3">
        <w:rPr>
          <w:lang w:val="en-GB"/>
        </w:rPr>
        <w:t xml:space="preserve"> for all limited components (CO, NO</w:t>
      </w:r>
      <w:r w:rsidRPr="00B04DC3">
        <w:rPr>
          <w:vertAlign w:val="subscript"/>
          <w:lang w:val="en-GB"/>
        </w:rPr>
        <w:t>x</w:t>
      </w:r>
      <w:r w:rsidRPr="00B04DC3">
        <w:rPr>
          <w:lang w:val="en-GB"/>
        </w:rPr>
        <w:t xml:space="preserve">, HC or NMHC) and all ranges used. When using a NMC for the measurement of NMHC, the </w:t>
      </w:r>
      <w:r w:rsidRPr="00B04DC3">
        <w:rPr>
          <w:szCs w:val="24"/>
          <w:lang w:val="en-GB"/>
        </w:rPr>
        <w:t>system response time may exceed 10 seconds.</w:t>
      </w:r>
    </w:p>
    <w:p w:rsidR="00002BA6" w:rsidRPr="00B04DC3" w:rsidRDefault="00002BA6" w:rsidP="00002BA6">
      <w:pPr>
        <w:pStyle w:val="para"/>
        <w:rPr>
          <w:lang w:val="en-GB"/>
        </w:rPr>
      </w:pPr>
      <w:r w:rsidRPr="00B04DC3">
        <w:rPr>
          <w:lang w:val="en-GB"/>
        </w:rPr>
        <w:t>9.3.6.</w:t>
      </w:r>
      <w:r w:rsidRPr="00B04DC3">
        <w:rPr>
          <w:lang w:val="en-GB"/>
        </w:rPr>
        <w:tab/>
        <w:t>Efficiency test of NO</w:t>
      </w:r>
      <w:r w:rsidRPr="00B04DC3">
        <w:rPr>
          <w:vertAlign w:val="subscript"/>
          <w:lang w:val="en-GB"/>
        </w:rPr>
        <w:t>x</w:t>
      </w:r>
      <w:r w:rsidRPr="00B04DC3">
        <w:rPr>
          <w:lang w:val="en-GB"/>
        </w:rPr>
        <w:t xml:space="preserve"> converter</w:t>
      </w:r>
    </w:p>
    <w:p w:rsidR="00002BA6" w:rsidRPr="00B04DC3" w:rsidRDefault="00002BA6" w:rsidP="00002BA6">
      <w:pPr>
        <w:pStyle w:val="para"/>
        <w:rPr>
          <w:lang w:val="en-GB"/>
        </w:rPr>
      </w:pPr>
      <w:r w:rsidRPr="00B04DC3">
        <w:rPr>
          <w:lang w:val="en-GB"/>
        </w:rPr>
        <w:tab/>
        <w:t>The efficiency of the converter used for the conversion of NO</w:t>
      </w:r>
      <w:r w:rsidRPr="00B04DC3">
        <w:rPr>
          <w:vertAlign w:val="subscript"/>
          <w:lang w:val="en-GB"/>
        </w:rPr>
        <w:t>2</w:t>
      </w:r>
      <w:r w:rsidRPr="00B04DC3">
        <w:rPr>
          <w:lang w:val="en-GB"/>
        </w:rPr>
        <w:t xml:space="preserve"> into NO is tested as given in paragraphs 9.3.6.1</w:t>
      </w:r>
      <w:r w:rsidR="000A32EC">
        <w:rPr>
          <w:lang w:val="en-GB"/>
        </w:rPr>
        <w:t>.</w:t>
      </w:r>
      <w:r w:rsidRPr="00B04DC3">
        <w:rPr>
          <w:lang w:val="en-GB"/>
        </w:rPr>
        <w:t xml:space="preserve"> to 9.3.6.8</w:t>
      </w:r>
      <w:r w:rsidR="000A32EC">
        <w:rPr>
          <w:lang w:val="en-GB"/>
        </w:rPr>
        <w:t>.</w:t>
      </w:r>
      <w:r w:rsidR="000A32EC" w:rsidRPr="000A32EC">
        <w:rPr>
          <w:lang w:val="en-GB"/>
        </w:rPr>
        <w:t xml:space="preserve"> </w:t>
      </w:r>
      <w:r w:rsidR="000A32EC">
        <w:rPr>
          <w:lang w:val="en-GB"/>
        </w:rPr>
        <w:t>of this annex</w:t>
      </w:r>
      <w:r w:rsidRPr="00B04DC3">
        <w:rPr>
          <w:lang w:val="en-GB"/>
        </w:rPr>
        <w:t xml:space="preserve"> (see Figure 8).</w:t>
      </w:r>
    </w:p>
    <w:p w:rsidR="00002BA6" w:rsidRPr="00B04DC3" w:rsidRDefault="00002BA6" w:rsidP="00002BA6">
      <w:pPr>
        <w:pStyle w:val="Heading1"/>
        <w:keepNext/>
        <w:keepLines/>
      </w:pPr>
      <w:bookmarkStart w:id="565" w:name="_Toc399940023"/>
      <w:bookmarkStart w:id="566" w:name="_Toc423599609"/>
      <w:bookmarkStart w:id="567" w:name="_Toc423611017"/>
      <w:r w:rsidRPr="00B04DC3">
        <w:t>Figure 8</w:t>
      </w:r>
      <w:bookmarkEnd w:id="565"/>
      <w:bookmarkEnd w:id="566"/>
      <w:bookmarkEnd w:id="567"/>
    </w:p>
    <w:p w:rsidR="00002BA6" w:rsidRPr="00B04DC3" w:rsidRDefault="00002BA6" w:rsidP="00002BA6">
      <w:pPr>
        <w:pStyle w:val="Heading1"/>
        <w:keepNext/>
        <w:keepLines/>
        <w:rPr>
          <w:b/>
        </w:rPr>
      </w:pPr>
      <w:bookmarkStart w:id="568" w:name="_Toc399940024"/>
      <w:bookmarkStart w:id="569" w:name="_Toc423599610"/>
      <w:bookmarkStart w:id="570" w:name="_Toc423611018"/>
      <w:r w:rsidRPr="00B04DC3">
        <w:rPr>
          <w:b/>
        </w:rPr>
        <w:t>Scheme of NO</w:t>
      </w:r>
      <w:r w:rsidRPr="00B04DC3">
        <w:rPr>
          <w:b/>
          <w:vertAlign w:val="subscript"/>
        </w:rPr>
        <w:t>2</w:t>
      </w:r>
      <w:r w:rsidRPr="00B04DC3">
        <w:rPr>
          <w:b/>
        </w:rPr>
        <w:t xml:space="preserve"> converter efficiency device</w:t>
      </w:r>
      <w:bookmarkEnd w:id="568"/>
      <w:bookmarkEnd w:id="569"/>
      <w:bookmarkEnd w:id="570"/>
    </w:p>
    <w:p w:rsidR="00002BA6" w:rsidRPr="00B04DC3" w:rsidRDefault="00A905B7" w:rsidP="00002BA6">
      <w:pPr>
        <w:tabs>
          <w:tab w:val="left" w:pos="1134"/>
          <w:tab w:val="left" w:pos="1701"/>
          <w:tab w:val="left" w:pos="2268"/>
          <w:tab w:val="left" w:pos="8789"/>
        </w:tabs>
        <w:ind w:left="1134" w:hanging="1134"/>
        <w:jc w:val="center"/>
      </w:pPr>
      <w:r>
        <w:pict>
          <v:shape id="_x0000_i1281" type="#_x0000_t75" style="width:336.6pt;height:160.2pt" fillcolor="window">
            <v:imagedata r:id="rId424" o:title=""/>
          </v:shape>
        </w:pict>
      </w:r>
    </w:p>
    <w:p w:rsidR="00002BA6" w:rsidRPr="00B04DC3" w:rsidRDefault="00002BA6" w:rsidP="00002BA6">
      <w:pPr>
        <w:pStyle w:val="para"/>
        <w:spacing w:before="240"/>
        <w:rPr>
          <w:lang w:val="en-GB"/>
        </w:rPr>
      </w:pPr>
      <w:r w:rsidRPr="00B04DC3">
        <w:rPr>
          <w:lang w:val="en-GB"/>
        </w:rPr>
        <w:t>9.3.6.1.</w:t>
      </w:r>
      <w:r w:rsidRPr="00B04DC3">
        <w:rPr>
          <w:lang w:val="en-GB"/>
        </w:rPr>
        <w:tab/>
        <w:t>Test setup</w:t>
      </w:r>
    </w:p>
    <w:p w:rsidR="00002BA6" w:rsidRPr="00B04DC3" w:rsidRDefault="00002BA6" w:rsidP="00002BA6">
      <w:pPr>
        <w:pStyle w:val="para"/>
        <w:rPr>
          <w:lang w:val="en-GB"/>
        </w:rPr>
      </w:pPr>
      <w:r w:rsidRPr="00B04DC3">
        <w:rPr>
          <w:lang w:val="en-GB"/>
        </w:rPr>
        <w:tab/>
        <w:t>Using the test setup as schematically shown in Figure 8 and the procedure below, the efficiency of the converter shall be tested by means of an ozonator.</w:t>
      </w:r>
    </w:p>
    <w:p w:rsidR="00002BA6" w:rsidRPr="00B04DC3" w:rsidRDefault="00002BA6" w:rsidP="00002BA6">
      <w:pPr>
        <w:pStyle w:val="para"/>
        <w:rPr>
          <w:lang w:val="en-GB"/>
        </w:rPr>
      </w:pPr>
      <w:r w:rsidRPr="00B04DC3">
        <w:rPr>
          <w:lang w:val="en-GB"/>
        </w:rPr>
        <w:t>9.3.6.2.</w:t>
      </w:r>
      <w:r w:rsidRPr="00B04DC3">
        <w:rPr>
          <w:lang w:val="en-GB"/>
        </w:rPr>
        <w:tab/>
        <w:t>Calibration</w:t>
      </w:r>
    </w:p>
    <w:p w:rsidR="00002BA6" w:rsidRPr="00B04DC3" w:rsidRDefault="00002BA6" w:rsidP="00002BA6">
      <w:pPr>
        <w:pStyle w:val="para"/>
        <w:rPr>
          <w:lang w:val="en-GB"/>
        </w:rPr>
      </w:pPr>
      <w:r w:rsidRPr="00B04DC3">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B04DC3">
        <w:rPr>
          <w:vertAlign w:val="subscript"/>
          <w:lang w:val="en-GB"/>
        </w:rPr>
        <w:t>2</w:t>
      </w:r>
      <w:r w:rsidRPr="00B04DC3">
        <w:rPr>
          <w:lang w:val="en-GB"/>
        </w:rPr>
        <w:t xml:space="preserve"> concentration of the gas mixture to less than 5 per cent of the NO concentration). The NO</w:t>
      </w:r>
      <w:r w:rsidRPr="00B04DC3">
        <w:rPr>
          <w:vertAlign w:val="subscript"/>
          <w:lang w:val="en-GB"/>
        </w:rPr>
        <w:t>x</w:t>
      </w:r>
      <w:r w:rsidRPr="00B04DC3">
        <w:rPr>
          <w:lang w:val="en-GB"/>
        </w:rPr>
        <w:t xml:space="preserve"> analyzer shall be in the NO mode so that the span gas does not pass through the converter. The indicated concentration has to be recorded.</w:t>
      </w:r>
    </w:p>
    <w:p w:rsidR="00002BA6" w:rsidRPr="00B04DC3" w:rsidRDefault="00002BA6" w:rsidP="00002BA6">
      <w:pPr>
        <w:pStyle w:val="para"/>
        <w:rPr>
          <w:lang w:val="en-GB"/>
        </w:rPr>
      </w:pPr>
      <w:r w:rsidRPr="00B04DC3">
        <w:rPr>
          <w:lang w:val="en-GB"/>
        </w:rPr>
        <w:t>9.3.6.3.</w:t>
      </w:r>
      <w:r w:rsidRPr="00B04DC3">
        <w:rPr>
          <w:lang w:val="en-GB"/>
        </w:rPr>
        <w:tab/>
        <w:t>Calculation</w:t>
      </w:r>
    </w:p>
    <w:p w:rsidR="00002BA6" w:rsidRPr="00B04DC3" w:rsidRDefault="00002BA6" w:rsidP="00002BA6">
      <w:pPr>
        <w:pStyle w:val="para"/>
        <w:rPr>
          <w:lang w:val="en-GB"/>
        </w:rPr>
      </w:pPr>
      <w:r w:rsidRPr="00B04DC3">
        <w:rPr>
          <w:lang w:val="en-GB"/>
        </w:rPr>
        <w:tab/>
        <w:t>The per cent efficiency of the converter shall be calculated as follows:</w:t>
      </w:r>
    </w:p>
    <w:p w:rsidR="00002BA6" w:rsidRPr="00B824C8" w:rsidRDefault="00002BA6" w:rsidP="00002BA6">
      <w:pPr>
        <w:pStyle w:val="para"/>
        <w:tabs>
          <w:tab w:val="right" w:pos="8505"/>
        </w:tabs>
        <w:spacing w:before="240"/>
        <w:rPr>
          <w:position w:val="30"/>
          <w:lang w:val="en-GB"/>
        </w:rPr>
      </w:pPr>
      <w:r w:rsidRPr="00B04DC3">
        <w:rPr>
          <w:lang w:val="en-GB"/>
        </w:rPr>
        <w:tab/>
      </w:r>
      <w:r w:rsidR="00A905B7">
        <w:rPr>
          <w:lang w:val="en-GB"/>
        </w:rPr>
      </w:r>
      <w:r w:rsidR="00A905B7">
        <w:rPr>
          <w:lang w:val="en-GB"/>
        </w:rPr>
        <w:pict>
          <v:group id="_x0000_s4910" editas="canvas" style="width:139pt;height:35.7pt;mso-position-horizontal-relative:char;mso-position-vertical-relative:line" coordsize="2780,714">
            <o:lock v:ext="edit" aspectratio="t"/>
            <v:shape id="_x0000_s4911" type="#_x0000_t75" style="position:absolute;width:2780;height:714" o:preferrelative="f">
              <v:fill o:detectmouseclick="t"/>
              <v:path o:extrusionok="t" o:connecttype="none"/>
              <o:lock v:ext="edit" text="t"/>
            </v:shape>
            <v:line id="_x0000_s4912" style="position:absolute" from="1436,340" to="1956,340" strokeweight=".5pt"/>
            <v:rect id="_x0000_s4913" style="position:absolute;left:2389;top:186;width:301;height:240;mso-wrap-style:none" filled="f" stroked="f">
              <v:textbox style="mso-fit-shape-to-text:t" inset="0,0,0,0">
                <w:txbxContent>
                  <w:p w:rsidR="00A905B7" w:rsidRDefault="00A905B7">
                    <w:r>
                      <w:rPr>
                        <w:color w:val="000000"/>
                        <w:szCs w:val="24"/>
                      </w:rPr>
                      <w:t>100</w:t>
                    </w:r>
                  </w:p>
                </w:txbxContent>
              </v:textbox>
            </v:rect>
            <v:rect id="_x0000_s4914" style="position:absolute;left:1020;top:186;width:101;height:240;mso-wrap-style:none" filled="f" stroked="f">
              <v:textbox style="mso-fit-shape-to-text:t" inset="0,0,0,0">
                <w:txbxContent>
                  <w:p w:rsidR="00A905B7" w:rsidRDefault="00A905B7">
                    <w:r>
                      <w:rPr>
                        <w:color w:val="000000"/>
                        <w:szCs w:val="24"/>
                      </w:rPr>
                      <w:t>1</w:t>
                    </w:r>
                  </w:p>
                </w:txbxContent>
              </v:textbox>
            </v:rect>
            <v:rect id="_x0000_s4915" style="position:absolute;left:209;top:334;width:248;height:240;mso-wrap-style:none" filled="f" stroked="f">
              <v:textbox style="mso-fit-shape-to-text:t" inset="0,0,0,0">
                <w:txbxContent>
                  <w:p w:rsidR="00A905B7" w:rsidRDefault="00A905B7">
                    <w:r>
                      <w:rPr>
                        <w:color w:val="000000"/>
                        <w:sz w:val="14"/>
                        <w:szCs w:val="14"/>
                      </w:rPr>
                      <w:t>NO</w:t>
                    </w:r>
                    <w:r w:rsidRPr="00BA529C">
                      <w:rPr>
                        <w:color w:val="000000"/>
                        <w:sz w:val="14"/>
                        <w:szCs w:val="14"/>
                        <w:vertAlign w:val="subscript"/>
                      </w:rPr>
                      <w:t>x</w:t>
                    </w:r>
                  </w:p>
                </w:txbxContent>
              </v:textbox>
            </v:rect>
            <v:rect id="_x0000_s4916" style="position:absolute;left:2151;top:15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17" style="position:absolute;left:1986;top:17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18" style="position:absolute;left:1986;top:37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19" style="position:absolute;left:1986;top:2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0" style="position:absolute;left:926;top:17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1" style="position:absolute;left:926;top:376;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2" style="position:absolute;left:926;top:2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3" style="position:absolute;left:1614;top:348;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4" style="position:absolute;left:1638;top: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5" style="position:absolute;left:1208;top:15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6" style="position:absolute;left:662;top:15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4927" style="position:absolute;left:1801;top:375;width:101;height:240;mso-wrap-style:none" filled="f" stroked="f">
              <v:textbox style="mso-fit-shape-to-text:t" inset="0,0,0,0">
                <w:txbxContent>
                  <w:p w:rsidR="00A905B7" w:rsidRPr="009C6EAF" w:rsidRDefault="00A905B7">
                    <w:r w:rsidRPr="009C6EAF">
                      <w:rPr>
                        <w:iCs/>
                        <w:color w:val="000000"/>
                        <w:szCs w:val="24"/>
                      </w:rPr>
                      <w:t>d</w:t>
                    </w:r>
                  </w:p>
                </w:txbxContent>
              </v:textbox>
            </v:rect>
            <v:rect id="_x0000_s4928" style="position:absolute;left:1449;top:375;width:89;height:240;mso-wrap-style:none" filled="f" stroked="f">
              <v:textbox style="mso-fit-shape-to-text:t" inset="0,0,0,0">
                <w:txbxContent>
                  <w:p w:rsidR="00A905B7" w:rsidRPr="009C6EAF" w:rsidRDefault="00A905B7">
                    <w:r w:rsidRPr="009C6EAF">
                      <w:rPr>
                        <w:iCs/>
                        <w:color w:val="000000"/>
                        <w:szCs w:val="24"/>
                      </w:rPr>
                      <w:t>c</w:t>
                    </w:r>
                  </w:p>
                </w:txbxContent>
              </v:textbox>
            </v:rect>
            <v:rect id="_x0000_s4929" style="position:absolute;left:1818;top:34;width:101;height:240;mso-wrap-style:none" filled="f" stroked="f">
              <v:textbox style="mso-fit-shape-to-text:t" inset="0,0,0,0">
                <w:txbxContent>
                  <w:p w:rsidR="00A905B7" w:rsidRPr="009C6EAF" w:rsidRDefault="00A905B7">
                    <w:r w:rsidRPr="009C6EAF">
                      <w:rPr>
                        <w:iCs/>
                        <w:color w:val="000000"/>
                        <w:szCs w:val="24"/>
                      </w:rPr>
                      <w:t>b</w:t>
                    </w:r>
                  </w:p>
                </w:txbxContent>
              </v:textbox>
            </v:rect>
            <v:rect id="_x0000_s4930" style="position:absolute;left:1458;top:34;width:89;height:240;mso-wrap-style:none" filled="f" stroked="f">
              <v:textbox style="mso-fit-shape-to-text:t" inset="0,0,0,0">
                <w:txbxContent>
                  <w:p w:rsidR="00A905B7" w:rsidRPr="009C6EAF" w:rsidRDefault="00A905B7">
                    <w:r w:rsidRPr="009C6EAF">
                      <w:rPr>
                        <w:iCs/>
                        <w:color w:val="000000"/>
                        <w:szCs w:val="24"/>
                      </w:rPr>
                      <w:t>a</w:t>
                    </w:r>
                  </w:p>
                </w:txbxContent>
              </v:textbox>
            </v:rect>
            <v:rect id="_x0000_s4931" style="position:absolute;left:44;top:186;width:123;height:240;mso-wrap-style:none" filled="f" stroked="f">
              <v:textbox style="mso-fit-shape-to-text:t" inset="0,0,0,0">
                <w:txbxContent>
                  <w:p w:rsidR="00A905B7" w:rsidRPr="009C6EAF" w:rsidRDefault="00A905B7">
                    <w:r w:rsidRPr="009C6EAF">
                      <w:rPr>
                        <w:iCs/>
                        <w:color w:val="000000"/>
                        <w:szCs w:val="24"/>
                      </w:rPr>
                      <w:t>E</w:t>
                    </w:r>
                  </w:p>
                </w:txbxContent>
              </v:textbox>
            </v:rect>
            <w10:wrap type="none"/>
            <w10:anchorlock/>
          </v:group>
        </w:pict>
      </w:r>
      <w:r w:rsidRPr="00B824C8">
        <w:rPr>
          <w:position w:val="30"/>
          <w:lang w:val="en-GB"/>
        </w:rPr>
        <w:tab/>
        <w:t>(72)</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a</w:t>
      </w:r>
      <w:r w:rsidRPr="00B04DC3">
        <w:rPr>
          <w:lang w:val="en-GB"/>
        </w:rPr>
        <w:tab/>
        <w:t>is the NO</w:t>
      </w:r>
      <w:r w:rsidRPr="00B04DC3">
        <w:rPr>
          <w:vertAlign w:val="subscript"/>
          <w:lang w:val="en-GB"/>
        </w:rPr>
        <w:t>x</w:t>
      </w:r>
      <w:r w:rsidRPr="00B04DC3">
        <w:rPr>
          <w:lang w:val="en-GB"/>
        </w:rPr>
        <w:t xml:space="preserve"> concentration according to paragraph 9.3.6.6.</w:t>
      </w:r>
      <w:r w:rsidR="000A32EC" w:rsidRPr="000A32EC">
        <w:rPr>
          <w:lang w:val="en-GB"/>
        </w:rPr>
        <w:t xml:space="preserve"> </w:t>
      </w:r>
      <w:r w:rsidR="000A32EC">
        <w:rPr>
          <w:lang w:val="en-GB"/>
        </w:rPr>
        <w:t>of this annex</w:t>
      </w:r>
    </w:p>
    <w:p w:rsidR="00002BA6" w:rsidRPr="00B04DC3" w:rsidRDefault="00002BA6" w:rsidP="00002BA6">
      <w:pPr>
        <w:pStyle w:val="a"/>
        <w:rPr>
          <w:lang w:val="en-GB"/>
        </w:rPr>
      </w:pPr>
      <w:r w:rsidRPr="00B04DC3">
        <w:rPr>
          <w:lang w:val="en-GB"/>
        </w:rPr>
        <w:t>b</w:t>
      </w:r>
      <w:r w:rsidRPr="00B04DC3">
        <w:rPr>
          <w:lang w:val="en-GB"/>
        </w:rPr>
        <w:tab/>
        <w:t>is the NO</w:t>
      </w:r>
      <w:r w:rsidRPr="00B04DC3">
        <w:rPr>
          <w:vertAlign w:val="subscript"/>
          <w:lang w:val="en-GB"/>
        </w:rPr>
        <w:t>x</w:t>
      </w:r>
      <w:r w:rsidRPr="00B04DC3">
        <w:rPr>
          <w:lang w:val="en-GB"/>
        </w:rPr>
        <w:t xml:space="preserve"> concentration according to paragraph 9.3.6.7.</w:t>
      </w:r>
      <w:r w:rsidR="000A32EC" w:rsidRPr="000A32EC">
        <w:rPr>
          <w:lang w:val="en-GB"/>
        </w:rPr>
        <w:t xml:space="preserve"> </w:t>
      </w:r>
      <w:r w:rsidR="000A32EC">
        <w:rPr>
          <w:lang w:val="en-GB"/>
        </w:rPr>
        <w:t>of this annex</w:t>
      </w:r>
    </w:p>
    <w:p w:rsidR="00002BA6" w:rsidRPr="00B04DC3" w:rsidRDefault="00002BA6" w:rsidP="00002BA6">
      <w:pPr>
        <w:pStyle w:val="a"/>
        <w:rPr>
          <w:lang w:val="en-GB"/>
        </w:rPr>
      </w:pPr>
      <w:r w:rsidRPr="00B04DC3">
        <w:rPr>
          <w:lang w:val="en-GB"/>
        </w:rPr>
        <w:t>c</w:t>
      </w:r>
      <w:r w:rsidRPr="00B04DC3">
        <w:rPr>
          <w:lang w:val="en-GB"/>
        </w:rPr>
        <w:tab/>
        <w:t>is the NO concentration according to paragraph 9.3.6.4.</w:t>
      </w:r>
      <w:r w:rsidR="000A32EC" w:rsidRPr="000A32EC">
        <w:rPr>
          <w:lang w:val="en-GB"/>
        </w:rPr>
        <w:t xml:space="preserve"> </w:t>
      </w:r>
      <w:r w:rsidR="000A32EC">
        <w:rPr>
          <w:lang w:val="en-GB"/>
        </w:rPr>
        <w:t>of this annex</w:t>
      </w:r>
    </w:p>
    <w:p w:rsidR="00002BA6" w:rsidRPr="00B04DC3" w:rsidRDefault="00002BA6" w:rsidP="00002BA6">
      <w:pPr>
        <w:pStyle w:val="a"/>
        <w:rPr>
          <w:lang w:val="en-GB"/>
        </w:rPr>
      </w:pPr>
      <w:r w:rsidRPr="00B04DC3">
        <w:rPr>
          <w:lang w:val="en-GB"/>
        </w:rPr>
        <w:t>d</w:t>
      </w:r>
      <w:r w:rsidRPr="00B04DC3">
        <w:rPr>
          <w:lang w:val="en-GB"/>
        </w:rPr>
        <w:tab/>
        <w:t>is the NO concentration according to paragraph 9.3.6.5.</w:t>
      </w:r>
      <w:r w:rsidR="000A32EC" w:rsidRPr="000A32EC">
        <w:rPr>
          <w:lang w:val="en-GB"/>
        </w:rPr>
        <w:t xml:space="preserve"> </w:t>
      </w:r>
      <w:r w:rsidR="000A32EC">
        <w:rPr>
          <w:lang w:val="en-GB"/>
        </w:rPr>
        <w:t>of this annex</w:t>
      </w:r>
    </w:p>
    <w:p w:rsidR="00002BA6" w:rsidRPr="00B04DC3" w:rsidRDefault="00002BA6" w:rsidP="00002BA6">
      <w:pPr>
        <w:pStyle w:val="para"/>
        <w:rPr>
          <w:lang w:val="en-GB"/>
        </w:rPr>
      </w:pPr>
      <w:r w:rsidRPr="00B04DC3">
        <w:rPr>
          <w:lang w:val="en-GB"/>
        </w:rPr>
        <w:br w:type="page"/>
        <w:t>9.3.6.4.</w:t>
      </w:r>
      <w:r w:rsidRPr="00B04DC3">
        <w:rPr>
          <w:lang w:val="en-GB"/>
        </w:rPr>
        <w:tab/>
        <w:t>Adding of oxygen</w:t>
      </w:r>
    </w:p>
    <w:p w:rsidR="00002BA6" w:rsidRPr="00B04DC3" w:rsidRDefault="00002BA6" w:rsidP="00002BA6">
      <w:pPr>
        <w:pStyle w:val="para"/>
        <w:rPr>
          <w:lang w:val="en-GB"/>
        </w:rPr>
      </w:pPr>
      <w:r w:rsidRPr="00B04DC3">
        <w:rPr>
          <w:lang w:val="en-GB"/>
        </w:rPr>
        <w:tab/>
        <w:t>Via a T-fitting, oxygen or zero air shall be added continuously to the gas flow until the concentration indicated is about 20 per cent less than the indicated calibration concentration given in paragraph 9.3.6.2.</w:t>
      </w:r>
      <w:r w:rsidR="000A32EC" w:rsidRPr="000A32EC">
        <w:rPr>
          <w:lang w:val="en-GB"/>
        </w:rPr>
        <w:t xml:space="preserve"> </w:t>
      </w:r>
      <w:r w:rsidR="000A32EC">
        <w:rPr>
          <w:lang w:val="en-GB"/>
        </w:rPr>
        <w:t>of this annex</w:t>
      </w:r>
      <w:r w:rsidRPr="00B04DC3">
        <w:rPr>
          <w:lang w:val="en-GB"/>
        </w:rPr>
        <w:t xml:space="preserve"> (the analyzer is in the NO mode).</w:t>
      </w:r>
    </w:p>
    <w:p w:rsidR="00002BA6" w:rsidRPr="00B04DC3" w:rsidRDefault="00002BA6" w:rsidP="00002BA6">
      <w:pPr>
        <w:pStyle w:val="para"/>
        <w:rPr>
          <w:lang w:val="en-GB"/>
        </w:rPr>
      </w:pPr>
      <w:r w:rsidRPr="00B04DC3">
        <w:rPr>
          <w:lang w:val="en-GB"/>
        </w:rPr>
        <w:tab/>
        <w:t>The indicated concentration (c) shall be recorded. The ozonator is kept deactivated throughout the process.</w:t>
      </w:r>
    </w:p>
    <w:p w:rsidR="00002BA6" w:rsidRPr="00B04DC3" w:rsidRDefault="00002BA6" w:rsidP="00002BA6">
      <w:pPr>
        <w:pStyle w:val="para"/>
        <w:rPr>
          <w:lang w:val="en-GB"/>
        </w:rPr>
      </w:pPr>
      <w:r w:rsidRPr="00B04DC3">
        <w:rPr>
          <w:lang w:val="en-GB"/>
        </w:rPr>
        <w:t>9.3.6.5.</w:t>
      </w:r>
      <w:r w:rsidRPr="00B04DC3">
        <w:rPr>
          <w:lang w:val="en-GB"/>
        </w:rPr>
        <w:tab/>
        <w:t>Activation of the ozonator</w:t>
      </w:r>
    </w:p>
    <w:p w:rsidR="00002BA6" w:rsidRPr="00B04DC3" w:rsidRDefault="00002BA6" w:rsidP="00002BA6">
      <w:pPr>
        <w:pStyle w:val="para"/>
        <w:rPr>
          <w:lang w:val="en-GB"/>
        </w:rPr>
      </w:pPr>
      <w:r w:rsidRPr="00B04DC3">
        <w:rPr>
          <w:lang w:val="en-GB"/>
        </w:rPr>
        <w:tab/>
        <w:t>The ozonator shall be activated to generate enough ozone to bring the NO concentration down to about 20 per cent (minimum 10 per cent) of the calibration concentration given in paragraph 9.3.6.2.</w:t>
      </w:r>
      <w:r w:rsidR="000A32EC" w:rsidRPr="000A32EC">
        <w:rPr>
          <w:lang w:val="en-GB"/>
        </w:rPr>
        <w:t xml:space="preserve"> </w:t>
      </w:r>
      <w:r w:rsidR="000A32EC">
        <w:rPr>
          <w:lang w:val="en-GB"/>
        </w:rPr>
        <w:t>of this annex.</w:t>
      </w:r>
      <w:r w:rsidRPr="00B04DC3">
        <w:rPr>
          <w:lang w:val="en-GB"/>
        </w:rPr>
        <w:t xml:space="preserve"> The indicated concentration (</w:t>
      </w:r>
      <w:r w:rsidRPr="00A5311B">
        <w:rPr>
          <w:lang w:val="en-GB"/>
        </w:rPr>
        <w:t>d</w:t>
      </w:r>
      <w:r w:rsidRPr="00B04DC3">
        <w:rPr>
          <w:lang w:val="en-GB"/>
        </w:rPr>
        <w:t>) shall be recorded (the analyzer is in the NO mode).</w:t>
      </w:r>
    </w:p>
    <w:p w:rsidR="00002BA6" w:rsidRPr="00B04DC3" w:rsidRDefault="00002BA6" w:rsidP="00002BA6">
      <w:pPr>
        <w:pStyle w:val="para"/>
        <w:rPr>
          <w:lang w:val="en-GB"/>
        </w:rPr>
      </w:pPr>
      <w:r w:rsidRPr="00B04DC3">
        <w:rPr>
          <w:lang w:val="en-GB"/>
        </w:rPr>
        <w:t>9.3.6.6.</w:t>
      </w:r>
      <w:r w:rsidRPr="00B04DC3">
        <w:rPr>
          <w:lang w:val="en-GB"/>
        </w:rPr>
        <w:tab/>
        <w:t>NO</w:t>
      </w:r>
      <w:r w:rsidRPr="00B04DC3">
        <w:rPr>
          <w:vertAlign w:val="subscript"/>
          <w:lang w:val="en-GB"/>
        </w:rPr>
        <w:t>x</w:t>
      </w:r>
      <w:r w:rsidRPr="00B04DC3">
        <w:rPr>
          <w:lang w:val="en-GB"/>
        </w:rPr>
        <w:t xml:space="preserve"> mode</w:t>
      </w:r>
    </w:p>
    <w:p w:rsidR="00002BA6" w:rsidRPr="00B04DC3" w:rsidRDefault="00002BA6" w:rsidP="00002BA6">
      <w:pPr>
        <w:pStyle w:val="para"/>
        <w:rPr>
          <w:lang w:val="en-GB"/>
        </w:rPr>
      </w:pPr>
      <w:r w:rsidRPr="00B04DC3">
        <w:rPr>
          <w:lang w:val="en-GB"/>
        </w:rPr>
        <w:tab/>
        <w:t>The NO analyzer shall be switched to the NO</w:t>
      </w:r>
      <w:r w:rsidRPr="00B04DC3">
        <w:rPr>
          <w:vertAlign w:val="subscript"/>
          <w:lang w:val="en-GB"/>
        </w:rPr>
        <w:t>x</w:t>
      </w:r>
      <w:r w:rsidRPr="00B04DC3">
        <w:rPr>
          <w:lang w:val="en-GB"/>
        </w:rPr>
        <w:t xml:space="preserve"> mode so that the gas mixture (consisting of NO, NO</w:t>
      </w:r>
      <w:r w:rsidRPr="00B04DC3">
        <w:rPr>
          <w:vertAlign w:val="subscript"/>
          <w:lang w:val="en-GB"/>
        </w:rPr>
        <w:t>2</w:t>
      </w:r>
      <w:r w:rsidRPr="00B04DC3">
        <w:rPr>
          <w:lang w:val="en-GB"/>
        </w:rPr>
        <w:t>, O</w:t>
      </w:r>
      <w:r w:rsidRPr="00B04DC3">
        <w:rPr>
          <w:vertAlign w:val="subscript"/>
          <w:lang w:val="en-GB"/>
        </w:rPr>
        <w:t>2</w:t>
      </w:r>
      <w:r w:rsidRPr="00B04DC3">
        <w:rPr>
          <w:lang w:val="en-GB"/>
        </w:rPr>
        <w:t xml:space="preserve"> and N</w:t>
      </w:r>
      <w:r w:rsidRPr="00B04DC3">
        <w:rPr>
          <w:vertAlign w:val="subscript"/>
          <w:lang w:val="en-GB"/>
        </w:rPr>
        <w:t>2</w:t>
      </w:r>
      <w:r w:rsidRPr="00B04DC3">
        <w:rPr>
          <w:lang w:val="en-GB"/>
        </w:rPr>
        <w:t>) now passes through the converter. The indicated concentration (</w:t>
      </w:r>
      <w:r w:rsidRPr="00A5311B">
        <w:rPr>
          <w:lang w:val="en-GB"/>
        </w:rPr>
        <w:t>a</w:t>
      </w:r>
      <w:r w:rsidRPr="00B04DC3">
        <w:rPr>
          <w:lang w:val="en-GB"/>
        </w:rPr>
        <w:t>) shall be recorded (the analyzer is in the NO</w:t>
      </w:r>
      <w:r w:rsidRPr="00B04DC3">
        <w:rPr>
          <w:vertAlign w:val="subscript"/>
          <w:lang w:val="en-GB"/>
        </w:rPr>
        <w:t>x</w:t>
      </w:r>
      <w:r w:rsidRPr="00B04DC3">
        <w:rPr>
          <w:lang w:val="en-GB"/>
        </w:rPr>
        <w:t xml:space="preserve"> mode).</w:t>
      </w:r>
    </w:p>
    <w:p w:rsidR="00002BA6" w:rsidRPr="00B04DC3" w:rsidRDefault="00002BA6" w:rsidP="00002BA6">
      <w:pPr>
        <w:pStyle w:val="para"/>
        <w:rPr>
          <w:lang w:val="en-GB"/>
        </w:rPr>
      </w:pPr>
      <w:r w:rsidRPr="00B04DC3">
        <w:rPr>
          <w:lang w:val="en-GB"/>
        </w:rPr>
        <w:t>9.3.6.7.</w:t>
      </w:r>
      <w:r w:rsidRPr="00B04DC3">
        <w:rPr>
          <w:lang w:val="en-GB"/>
        </w:rPr>
        <w:tab/>
        <w:t>Deactivation of the ozonator</w:t>
      </w:r>
    </w:p>
    <w:p w:rsidR="00002BA6" w:rsidRPr="00B04DC3" w:rsidRDefault="00002BA6" w:rsidP="00002BA6">
      <w:pPr>
        <w:pStyle w:val="para"/>
        <w:rPr>
          <w:lang w:val="en-GB"/>
        </w:rPr>
      </w:pPr>
      <w:r w:rsidRPr="00B04DC3">
        <w:rPr>
          <w:lang w:val="en-GB"/>
        </w:rPr>
        <w:tab/>
        <w:t xml:space="preserve">The ozonator is now deactivated. The mixture of gases described in paragraph 9.3.6.6. </w:t>
      </w:r>
      <w:r w:rsidR="000A32EC">
        <w:rPr>
          <w:lang w:val="en-GB"/>
        </w:rPr>
        <w:t xml:space="preserve">above </w:t>
      </w:r>
      <w:r w:rsidRPr="00B04DC3">
        <w:rPr>
          <w:lang w:val="en-GB"/>
        </w:rPr>
        <w:t>passes through the converter into the detector. The indicated concentration (</w:t>
      </w:r>
      <w:r w:rsidRPr="00B2512B">
        <w:rPr>
          <w:lang w:val="en-GB"/>
        </w:rPr>
        <w:t>b</w:t>
      </w:r>
      <w:r w:rsidRPr="00B04DC3">
        <w:rPr>
          <w:lang w:val="en-GB"/>
        </w:rPr>
        <w:t>) shall be recorded (the analyzer is in the NO</w:t>
      </w:r>
      <w:r w:rsidRPr="00B04DC3">
        <w:rPr>
          <w:vertAlign w:val="subscript"/>
          <w:lang w:val="en-GB"/>
        </w:rPr>
        <w:t>x</w:t>
      </w:r>
      <w:r w:rsidRPr="00B04DC3">
        <w:rPr>
          <w:lang w:val="en-GB"/>
        </w:rPr>
        <w:t xml:space="preserve"> mode).</w:t>
      </w:r>
    </w:p>
    <w:p w:rsidR="00002BA6" w:rsidRPr="00B04DC3" w:rsidRDefault="00002BA6" w:rsidP="00002BA6">
      <w:pPr>
        <w:pStyle w:val="para"/>
        <w:rPr>
          <w:lang w:val="en-GB"/>
        </w:rPr>
      </w:pPr>
      <w:r w:rsidRPr="00B04DC3">
        <w:rPr>
          <w:lang w:val="en-GB"/>
        </w:rPr>
        <w:t>9.3.6.8.</w:t>
      </w:r>
      <w:r w:rsidRPr="00B04DC3">
        <w:rPr>
          <w:lang w:val="en-GB"/>
        </w:rPr>
        <w:tab/>
        <w:t>NO mode</w:t>
      </w:r>
    </w:p>
    <w:p w:rsidR="00002BA6" w:rsidRPr="00B04DC3" w:rsidRDefault="00002BA6" w:rsidP="00002BA6">
      <w:pPr>
        <w:pStyle w:val="para"/>
        <w:rPr>
          <w:lang w:val="en-GB"/>
        </w:rPr>
      </w:pPr>
      <w:r w:rsidRPr="00B04DC3">
        <w:rPr>
          <w:lang w:val="en-GB"/>
        </w:rPr>
        <w:tab/>
        <w:t>Switched to NO mode with the ozonator deactivated, the flow of oxygen or synthetic air shall be shut off. The NO</w:t>
      </w:r>
      <w:r w:rsidRPr="00B04DC3">
        <w:rPr>
          <w:vertAlign w:val="subscript"/>
          <w:lang w:val="en-GB"/>
        </w:rPr>
        <w:t>x</w:t>
      </w:r>
      <w:r w:rsidRPr="00B04DC3">
        <w:rPr>
          <w:lang w:val="en-GB"/>
        </w:rPr>
        <w:t xml:space="preserve"> reading of the analyzer shall not deviate by more than ±5 per cent from the value measured according to paragraph 9.3.6.2. </w:t>
      </w:r>
      <w:r w:rsidR="000A32EC">
        <w:rPr>
          <w:lang w:val="en-GB"/>
        </w:rPr>
        <w:t xml:space="preserve">above </w:t>
      </w:r>
      <w:r w:rsidRPr="00B04DC3">
        <w:rPr>
          <w:lang w:val="en-GB"/>
        </w:rPr>
        <w:t>(the analyzer is in the NO mode).</w:t>
      </w:r>
    </w:p>
    <w:p w:rsidR="00002BA6" w:rsidRPr="00B04DC3" w:rsidRDefault="00002BA6" w:rsidP="00002BA6">
      <w:pPr>
        <w:pStyle w:val="para"/>
        <w:rPr>
          <w:lang w:val="en-GB"/>
        </w:rPr>
      </w:pPr>
      <w:r w:rsidRPr="00B04DC3">
        <w:rPr>
          <w:lang w:val="en-GB"/>
        </w:rPr>
        <w:t>9.3.6.9.</w:t>
      </w:r>
      <w:r w:rsidRPr="00B04DC3">
        <w:rPr>
          <w:lang w:val="en-GB"/>
        </w:rPr>
        <w:tab/>
        <w:t>Test interval</w:t>
      </w:r>
    </w:p>
    <w:p w:rsidR="00002BA6" w:rsidRPr="00B04DC3" w:rsidRDefault="00002BA6" w:rsidP="00002BA6">
      <w:pPr>
        <w:pStyle w:val="para"/>
        <w:rPr>
          <w:lang w:val="en-GB"/>
        </w:rPr>
      </w:pPr>
      <w:r w:rsidRPr="00B04DC3">
        <w:rPr>
          <w:lang w:val="en-GB"/>
        </w:rPr>
        <w:tab/>
        <w:t>The efficiency of the converter shall be tested at least once per month.</w:t>
      </w:r>
    </w:p>
    <w:p w:rsidR="00002BA6" w:rsidRPr="00B04DC3" w:rsidRDefault="00002BA6" w:rsidP="00002BA6">
      <w:pPr>
        <w:pStyle w:val="para"/>
        <w:rPr>
          <w:lang w:val="en-GB"/>
        </w:rPr>
      </w:pPr>
      <w:r w:rsidRPr="00B04DC3">
        <w:rPr>
          <w:lang w:val="en-GB"/>
        </w:rPr>
        <w:t>9.3.6.10.</w:t>
      </w:r>
      <w:r w:rsidRPr="00B04DC3">
        <w:rPr>
          <w:lang w:val="en-GB"/>
        </w:rPr>
        <w:tab/>
        <w:t>Efficiency requirement</w:t>
      </w:r>
    </w:p>
    <w:p w:rsidR="00002BA6" w:rsidRPr="00B04DC3" w:rsidRDefault="00002BA6" w:rsidP="00002BA6">
      <w:pPr>
        <w:pStyle w:val="para"/>
        <w:rPr>
          <w:lang w:val="en-GB"/>
        </w:rPr>
      </w:pPr>
      <w:r w:rsidRPr="00B04DC3">
        <w:rPr>
          <w:lang w:val="en-GB"/>
        </w:rPr>
        <w:tab/>
        <w:t xml:space="preserve">The efficiency of the converter </w:t>
      </w:r>
      <w:r w:rsidRPr="00B04DC3">
        <w:rPr>
          <w:i/>
          <w:lang w:val="en-GB"/>
        </w:rPr>
        <w:t>E</w:t>
      </w:r>
      <w:r w:rsidRPr="00B04DC3">
        <w:rPr>
          <w:vertAlign w:val="subscript"/>
          <w:lang w:val="en-GB"/>
        </w:rPr>
        <w:t>NOx</w:t>
      </w:r>
      <w:r w:rsidRPr="00B04DC3">
        <w:rPr>
          <w:lang w:val="en-GB"/>
        </w:rPr>
        <w:t xml:space="preserve"> shall not be less than 95 per cent.</w:t>
      </w:r>
    </w:p>
    <w:p w:rsidR="00002BA6" w:rsidRPr="00B04DC3" w:rsidRDefault="00002BA6" w:rsidP="00002BA6">
      <w:pPr>
        <w:pStyle w:val="para"/>
        <w:rPr>
          <w:lang w:val="en-GB"/>
        </w:rPr>
      </w:pPr>
      <w:r w:rsidRPr="00B04DC3">
        <w:rPr>
          <w:lang w:val="en-GB"/>
        </w:rPr>
        <w:tab/>
        <w:t>If, with the analyzer in the most common range, the ozonator cannot give a reduction from 80 per cent to 20 per cent according to paragraph 9.3.6.5.</w:t>
      </w:r>
      <w:r w:rsidR="000A32EC">
        <w:rPr>
          <w:lang w:val="en-GB"/>
        </w:rPr>
        <w:t xml:space="preserve"> above</w:t>
      </w:r>
      <w:r w:rsidRPr="00B04DC3">
        <w:rPr>
          <w:lang w:val="en-GB"/>
        </w:rPr>
        <w:t>, the highest range which will give the reduction shall be used.</w:t>
      </w:r>
    </w:p>
    <w:p w:rsidR="00002BA6" w:rsidRPr="00B04DC3" w:rsidRDefault="00002BA6" w:rsidP="00002BA6">
      <w:pPr>
        <w:pStyle w:val="para"/>
        <w:rPr>
          <w:lang w:val="en-GB"/>
        </w:rPr>
      </w:pPr>
      <w:r w:rsidRPr="00B04DC3">
        <w:rPr>
          <w:lang w:val="en-GB"/>
        </w:rPr>
        <w:t>9.3.7.</w:t>
      </w:r>
      <w:r w:rsidRPr="00B04DC3">
        <w:rPr>
          <w:lang w:val="en-GB"/>
        </w:rPr>
        <w:tab/>
        <w:t>Adjustment of the FID</w:t>
      </w:r>
    </w:p>
    <w:p w:rsidR="00002BA6" w:rsidRPr="00B04DC3" w:rsidRDefault="00002BA6" w:rsidP="00002BA6">
      <w:pPr>
        <w:pStyle w:val="para"/>
        <w:rPr>
          <w:lang w:val="en-GB"/>
        </w:rPr>
      </w:pPr>
      <w:r w:rsidRPr="00B04DC3">
        <w:rPr>
          <w:lang w:val="en-GB"/>
        </w:rPr>
        <w:t>9.3.7.1.</w:t>
      </w:r>
      <w:r w:rsidRPr="00B04DC3">
        <w:rPr>
          <w:lang w:val="en-GB"/>
        </w:rPr>
        <w:tab/>
        <w:t>Optimization of the detector response</w:t>
      </w:r>
    </w:p>
    <w:p w:rsidR="00002BA6" w:rsidRPr="00B04DC3" w:rsidRDefault="00002BA6" w:rsidP="00002BA6">
      <w:pPr>
        <w:pStyle w:val="para"/>
        <w:rPr>
          <w:lang w:val="en-GB"/>
        </w:rPr>
      </w:pPr>
      <w:r w:rsidRPr="00B04DC3">
        <w:rPr>
          <w:lang w:val="en-GB"/>
        </w:rPr>
        <w:tab/>
        <w:t>The FID shall be adjusted as specified by the instrument manufacturer. A propane in air span gas shall be used to optimize the response on the most common operating range.</w:t>
      </w:r>
    </w:p>
    <w:p w:rsidR="00002BA6" w:rsidRPr="00B04DC3" w:rsidRDefault="00002BA6" w:rsidP="00B824C8">
      <w:pPr>
        <w:pStyle w:val="para"/>
        <w:keepNext/>
        <w:keepLines/>
        <w:rPr>
          <w:lang w:val="en-GB"/>
        </w:rPr>
      </w:pPr>
      <w:r w:rsidRPr="00B04DC3">
        <w:rPr>
          <w:lang w:val="en-GB"/>
        </w:rPr>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w:t>
      </w:r>
      <w:r w:rsidR="000A32EC" w:rsidRPr="000A32EC">
        <w:rPr>
          <w:lang w:val="en-GB"/>
        </w:rPr>
        <w:t xml:space="preserve"> </w:t>
      </w:r>
      <w:r w:rsidR="000A32EC">
        <w:rPr>
          <w:lang w:val="en-GB"/>
        </w:rPr>
        <w:t>of this annex.</w:t>
      </w:r>
      <w:r w:rsidRPr="00B04DC3">
        <w:rPr>
          <w:lang w:val="en-GB"/>
        </w:rPr>
        <w:t xml:space="preserve"> If the oxygen interference or the hydrocarbon response factors do not meet the following specifications, the airflow shall be incrementally adjusted above and below the manufacturer's specifications, repeating paragraphs 9.3.7.2. and 9.3.7.3. for each flow.</w:t>
      </w:r>
    </w:p>
    <w:p w:rsidR="00002BA6" w:rsidRPr="00B04DC3" w:rsidRDefault="00002BA6" w:rsidP="00002BA6">
      <w:pPr>
        <w:pStyle w:val="para"/>
        <w:rPr>
          <w:lang w:val="en-GB"/>
        </w:rPr>
      </w:pPr>
      <w:r w:rsidRPr="00B04DC3">
        <w:rPr>
          <w:lang w:val="en-GB"/>
        </w:rPr>
        <w:tab/>
        <w:t>The optimization may optionally be conducted using the procedures outlined in SAE paper No. 770141.</w:t>
      </w:r>
    </w:p>
    <w:p w:rsidR="00002BA6" w:rsidRPr="00B04DC3" w:rsidRDefault="00002BA6" w:rsidP="00002BA6">
      <w:pPr>
        <w:pStyle w:val="para"/>
        <w:rPr>
          <w:lang w:val="en-GB"/>
        </w:rPr>
      </w:pPr>
      <w:r w:rsidRPr="00B04DC3">
        <w:rPr>
          <w:lang w:val="en-GB"/>
        </w:rPr>
        <w:t>9.3.7.2.</w:t>
      </w:r>
      <w:r w:rsidRPr="00B04DC3">
        <w:rPr>
          <w:lang w:val="en-GB"/>
        </w:rPr>
        <w:tab/>
        <w:t>Hydrocarbon response factors</w:t>
      </w:r>
    </w:p>
    <w:p w:rsidR="00002BA6" w:rsidRPr="00B04DC3" w:rsidRDefault="00002BA6" w:rsidP="00002BA6">
      <w:pPr>
        <w:pStyle w:val="para"/>
        <w:rPr>
          <w:lang w:val="en-GB"/>
        </w:rPr>
      </w:pPr>
      <w:r w:rsidRPr="00B04DC3">
        <w:rPr>
          <w:lang w:val="en-GB"/>
        </w:rPr>
        <w:tab/>
        <w:t>A linearity verification of the analyzer shall be performed using propane in air and purified synthetic air according to paragraph 9.2.1.3.</w:t>
      </w:r>
      <w:r w:rsidR="000A32EC" w:rsidRPr="000A32EC">
        <w:rPr>
          <w:lang w:val="en-GB"/>
        </w:rPr>
        <w:t xml:space="preserve"> </w:t>
      </w:r>
      <w:r w:rsidR="000A32EC">
        <w:rPr>
          <w:lang w:val="en-GB"/>
        </w:rPr>
        <w:t>of this annex.</w:t>
      </w:r>
    </w:p>
    <w:p w:rsidR="00002BA6" w:rsidRPr="00B04DC3" w:rsidRDefault="00002BA6" w:rsidP="00002BA6">
      <w:pPr>
        <w:pStyle w:val="para"/>
        <w:rPr>
          <w:lang w:val="en-GB"/>
        </w:rPr>
      </w:pPr>
      <w:r w:rsidRPr="00B04DC3">
        <w:rPr>
          <w:lang w:val="en-GB"/>
        </w:rPr>
        <w:tab/>
        <w:t>Response factors shall be determined when introducing an analyzer into service and after major service intervals. The response factor (</w:t>
      </w:r>
      <w:r w:rsidRPr="00A5311B">
        <w:rPr>
          <w:lang w:val="en-GB"/>
        </w:rPr>
        <w:t>r</w:t>
      </w:r>
      <w:r w:rsidRPr="00B04DC3">
        <w:rPr>
          <w:vertAlign w:val="subscript"/>
          <w:lang w:val="en-GB"/>
        </w:rPr>
        <w:t>h</w:t>
      </w:r>
      <w:r w:rsidRPr="00B04DC3">
        <w:rPr>
          <w:lang w:val="en-GB"/>
        </w:rPr>
        <w:t>) for a particular hydrocarbon species is the ratio of the FID C1 reading to the gas concentration in the cylinder expressed by ppm C1.</w:t>
      </w:r>
    </w:p>
    <w:p w:rsidR="00002BA6" w:rsidRPr="00B04DC3" w:rsidRDefault="00002BA6" w:rsidP="00002BA6">
      <w:pPr>
        <w:pStyle w:val="para"/>
        <w:rPr>
          <w:lang w:val="en-GB"/>
        </w:rPr>
      </w:pPr>
      <w:r w:rsidRPr="00B04DC3">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rsidR="00002BA6" w:rsidRPr="00B04DC3" w:rsidRDefault="00002BA6" w:rsidP="00002BA6">
      <w:pPr>
        <w:pStyle w:val="para"/>
        <w:rPr>
          <w:lang w:val="en-GB"/>
        </w:rPr>
      </w:pPr>
      <w:r w:rsidRPr="00B04DC3">
        <w:rPr>
          <w:lang w:val="en-GB"/>
        </w:rPr>
        <w:tab/>
        <w:t>The test gases to be used and the relative response factor ranges are as follows:</w:t>
      </w:r>
    </w:p>
    <w:p w:rsidR="00002BA6" w:rsidRPr="00B04DC3" w:rsidRDefault="00002BA6" w:rsidP="00002BA6">
      <w:pPr>
        <w:pStyle w:val="a"/>
        <w:tabs>
          <w:tab w:val="left" w:pos="6200"/>
        </w:tabs>
        <w:rPr>
          <w:lang w:val="en-GB"/>
        </w:rPr>
      </w:pPr>
      <w:r w:rsidRPr="00B04DC3">
        <w:rPr>
          <w:lang w:val="en-GB"/>
        </w:rPr>
        <w:t>(a)</w:t>
      </w:r>
      <w:r w:rsidRPr="00B04DC3">
        <w:rPr>
          <w:lang w:val="en-GB"/>
        </w:rPr>
        <w:tab/>
        <w:t>Methane and purified synthetic air</w:t>
      </w:r>
      <w:r w:rsidRPr="00B04DC3">
        <w:rPr>
          <w:lang w:val="en-GB"/>
        </w:rPr>
        <w:tab/>
        <w:t xml:space="preserve">1.00 </w:t>
      </w:r>
      <w:r w:rsidRPr="00B04DC3">
        <w:rPr>
          <w:lang w:val="en-GB"/>
        </w:rPr>
        <w:sym w:font="Symbol" w:char="F0A3"/>
      </w:r>
      <w:r w:rsidRPr="00B04DC3">
        <w:rPr>
          <w:lang w:val="en-GB"/>
        </w:rPr>
        <w:t xml:space="preserve"> r</w:t>
      </w:r>
      <w:r w:rsidRPr="00B04DC3">
        <w:rPr>
          <w:vertAlign w:val="subscript"/>
          <w:lang w:val="en-GB"/>
        </w:rPr>
        <w:t>h</w:t>
      </w:r>
      <w:r w:rsidRPr="00B04DC3">
        <w:rPr>
          <w:lang w:val="en-GB"/>
        </w:rPr>
        <w:t xml:space="preserve"> </w:t>
      </w:r>
      <w:r w:rsidRPr="00B04DC3">
        <w:rPr>
          <w:lang w:val="en-GB"/>
        </w:rPr>
        <w:sym w:font="Symbol" w:char="F0A3"/>
      </w:r>
      <w:r w:rsidRPr="00B04DC3">
        <w:rPr>
          <w:lang w:val="en-GB"/>
        </w:rPr>
        <w:t xml:space="preserve"> 1.15;</w:t>
      </w:r>
    </w:p>
    <w:p w:rsidR="00002BA6" w:rsidRPr="00B04DC3" w:rsidRDefault="00002BA6" w:rsidP="00002BA6">
      <w:pPr>
        <w:pStyle w:val="a"/>
        <w:tabs>
          <w:tab w:val="left" w:pos="6200"/>
        </w:tabs>
        <w:rPr>
          <w:lang w:val="en-GB"/>
        </w:rPr>
      </w:pPr>
      <w:r w:rsidRPr="00B04DC3">
        <w:rPr>
          <w:lang w:val="en-GB"/>
        </w:rPr>
        <w:t>(b)</w:t>
      </w:r>
      <w:r w:rsidRPr="00B04DC3">
        <w:rPr>
          <w:lang w:val="en-GB"/>
        </w:rPr>
        <w:tab/>
        <w:t>Propylene and purified synthetic air</w:t>
      </w:r>
      <w:r w:rsidRPr="00B04DC3">
        <w:rPr>
          <w:lang w:val="en-GB"/>
        </w:rPr>
        <w:tab/>
        <w:t xml:space="preserve">0.90 </w:t>
      </w:r>
      <w:r w:rsidRPr="00B04DC3">
        <w:rPr>
          <w:lang w:val="en-GB"/>
        </w:rPr>
        <w:sym w:font="Symbol" w:char="F0A3"/>
      </w:r>
      <w:r w:rsidRPr="00B04DC3">
        <w:rPr>
          <w:lang w:val="en-GB"/>
        </w:rPr>
        <w:t xml:space="preserve"> r</w:t>
      </w:r>
      <w:r w:rsidRPr="00B04DC3">
        <w:rPr>
          <w:vertAlign w:val="subscript"/>
          <w:lang w:val="en-GB"/>
        </w:rPr>
        <w:t>h</w:t>
      </w:r>
      <w:r w:rsidRPr="00B04DC3">
        <w:rPr>
          <w:lang w:val="en-GB"/>
        </w:rPr>
        <w:t xml:space="preserve"> </w:t>
      </w:r>
      <w:r w:rsidRPr="00B04DC3">
        <w:rPr>
          <w:lang w:val="en-GB"/>
        </w:rPr>
        <w:sym w:font="Symbol" w:char="F0A3"/>
      </w:r>
      <w:r w:rsidRPr="00B04DC3">
        <w:rPr>
          <w:lang w:val="en-GB"/>
        </w:rPr>
        <w:t xml:space="preserve"> 1.1;</w:t>
      </w:r>
    </w:p>
    <w:p w:rsidR="00002BA6" w:rsidRPr="00B04DC3" w:rsidRDefault="00002BA6" w:rsidP="00002BA6">
      <w:pPr>
        <w:pStyle w:val="a"/>
        <w:tabs>
          <w:tab w:val="left" w:pos="6200"/>
        </w:tabs>
        <w:rPr>
          <w:lang w:val="en-GB"/>
        </w:rPr>
      </w:pPr>
      <w:r w:rsidRPr="00B04DC3">
        <w:rPr>
          <w:lang w:val="en-GB"/>
        </w:rPr>
        <w:t>(c)</w:t>
      </w:r>
      <w:r w:rsidRPr="00B04DC3">
        <w:rPr>
          <w:lang w:val="en-GB"/>
        </w:rPr>
        <w:tab/>
        <w:t>Toluene and purified synthetic air</w:t>
      </w:r>
      <w:r w:rsidRPr="00B04DC3">
        <w:rPr>
          <w:lang w:val="en-GB"/>
        </w:rPr>
        <w:tab/>
        <w:t xml:space="preserve">0.90 </w:t>
      </w:r>
      <w:r w:rsidRPr="00B04DC3">
        <w:rPr>
          <w:lang w:val="en-GB"/>
        </w:rPr>
        <w:sym w:font="Symbol" w:char="F0A3"/>
      </w:r>
      <w:r w:rsidRPr="00B04DC3">
        <w:rPr>
          <w:lang w:val="en-GB"/>
        </w:rPr>
        <w:t xml:space="preserve"> r</w:t>
      </w:r>
      <w:r w:rsidRPr="00B04DC3">
        <w:rPr>
          <w:vertAlign w:val="subscript"/>
          <w:lang w:val="en-GB"/>
        </w:rPr>
        <w:t>h</w:t>
      </w:r>
      <w:r w:rsidRPr="00B04DC3">
        <w:rPr>
          <w:lang w:val="en-GB"/>
        </w:rPr>
        <w:t xml:space="preserve"> </w:t>
      </w:r>
      <w:r w:rsidRPr="00B04DC3">
        <w:rPr>
          <w:lang w:val="en-GB"/>
        </w:rPr>
        <w:sym w:font="Symbol" w:char="F0A3"/>
      </w:r>
      <w:r w:rsidRPr="00B04DC3">
        <w:rPr>
          <w:lang w:val="en-GB"/>
        </w:rPr>
        <w:t xml:space="preserve"> 1.1.</w:t>
      </w:r>
    </w:p>
    <w:p w:rsidR="00002BA6" w:rsidRPr="00B04DC3" w:rsidRDefault="00002BA6" w:rsidP="00002BA6">
      <w:pPr>
        <w:pStyle w:val="para"/>
        <w:rPr>
          <w:lang w:val="en-GB"/>
        </w:rPr>
      </w:pPr>
      <w:r w:rsidRPr="00B04DC3">
        <w:rPr>
          <w:lang w:val="en-GB"/>
        </w:rPr>
        <w:tab/>
        <w:t>These values are relative to a r</w:t>
      </w:r>
      <w:r w:rsidRPr="00B04DC3">
        <w:rPr>
          <w:vertAlign w:val="subscript"/>
          <w:lang w:val="en-GB"/>
        </w:rPr>
        <w:t>h</w:t>
      </w:r>
      <w:r w:rsidRPr="00B04DC3">
        <w:rPr>
          <w:lang w:val="en-GB"/>
        </w:rPr>
        <w:t xml:space="preserve"> of 1 for propane and purified synthetic air.</w:t>
      </w:r>
    </w:p>
    <w:p w:rsidR="00002BA6" w:rsidRPr="00B04DC3" w:rsidRDefault="00002BA6" w:rsidP="00002BA6">
      <w:pPr>
        <w:pStyle w:val="para"/>
        <w:rPr>
          <w:lang w:val="en-GB"/>
        </w:rPr>
      </w:pPr>
      <w:r w:rsidRPr="00B04DC3">
        <w:rPr>
          <w:lang w:val="en-GB"/>
        </w:rPr>
        <w:t>9.3.7.3.</w:t>
      </w:r>
      <w:r w:rsidRPr="00B04DC3">
        <w:rPr>
          <w:lang w:val="en-GB"/>
        </w:rPr>
        <w:tab/>
        <w:t>Oxygen interference check</w:t>
      </w:r>
    </w:p>
    <w:p w:rsidR="00002BA6" w:rsidRPr="00B04DC3" w:rsidRDefault="00002BA6" w:rsidP="00002BA6">
      <w:pPr>
        <w:pStyle w:val="para"/>
        <w:rPr>
          <w:lang w:val="en-GB"/>
        </w:rPr>
      </w:pPr>
      <w:r w:rsidRPr="00B04DC3">
        <w:rPr>
          <w:lang w:val="en-GB"/>
        </w:rPr>
        <w:tab/>
        <w:t>For raw exhaust gas analyzers only, the oxygen interference check shall be performed when introducing an analyzer into service and after major service intervals.</w:t>
      </w:r>
    </w:p>
    <w:p w:rsidR="00002BA6" w:rsidRPr="00B04DC3" w:rsidRDefault="00002BA6" w:rsidP="00002BA6">
      <w:pPr>
        <w:pStyle w:val="para"/>
        <w:rPr>
          <w:lang w:val="en-GB"/>
        </w:rPr>
      </w:pPr>
      <w:r w:rsidRPr="00B04DC3">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r w:rsidR="000A32EC" w:rsidRPr="000A32EC">
        <w:rPr>
          <w:lang w:val="en-GB"/>
        </w:rPr>
        <w:t xml:space="preserve"> </w:t>
      </w:r>
      <w:r w:rsidR="000A32EC">
        <w:rPr>
          <w:lang w:val="en-GB"/>
        </w:rPr>
        <w:t>of this annex.</w:t>
      </w:r>
    </w:p>
    <w:p w:rsidR="00002BA6" w:rsidRPr="00B04DC3" w:rsidRDefault="00002BA6" w:rsidP="00002BA6">
      <w:pPr>
        <w:pStyle w:val="a"/>
        <w:tabs>
          <w:tab w:val="left" w:pos="6200"/>
        </w:tabs>
        <w:rPr>
          <w:lang w:val="en-GB"/>
        </w:rPr>
      </w:pPr>
      <w:r w:rsidRPr="00B04DC3">
        <w:rPr>
          <w:lang w:val="en-GB"/>
        </w:rPr>
        <w:t>(a)</w:t>
      </w:r>
      <w:r w:rsidRPr="00B04DC3">
        <w:rPr>
          <w:lang w:val="en-GB"/>
        </w:rPr>
        <w:tab/>
        <w:t>The analyzer shall be set at zero;</w:t>
      </w:r>
    </w:p>
    <w:p w:rsidR="00002BA6" w:rsidRPr="00B04DC3" w:rsidRDefault="00002BA6" w:rsidP="00002BA6">
      <w:pPr>
        <w:pStyle w:val="a"/>
        <w:tabs>
          <w:tab w:val="left" w:pos="6200"/>
        </w:tabs>
        <w:rPr>
          <w:lang w:val="en-GB"/>
        </w:rPr>
      </w:pPr>
      <w:r w:rsidRPr="00B04DC3">
        <w:rPr>
          <w:lang w:val="en-GB"/>
        </w:rPr>
        <w:t>(b)</w:t>
      </w:r>
      <w:r w:rsidRPr="00B04DC3">
        <w:rPr>
          <w:lang w:val="en-GB"/>
        </w:rPr>
        <w:tab/>
        <w:t>The analyzer shall be spanned with the 0 per cent oxygen blend for positive ignition engines. Compression ignition engine instruments shall be spanned with the 21 per cent oxygen blend;</w:t>
      </w:r>
    </w:p>
    <w:p w:rsidR="00002BA6" w:rsidRPr="00B04DC3" w:rsidRDefault="00002BA6" w:rsidP="00002BA6">
      <w:pPr>
        <w:pStyle w:val="a"/>
        <w:tabs>
          <w:tab w:val="left" w:pos="6200"/>
        </w:tabs>
        <w:rPr>
          <w:lang w:val="en-GB"/>
        </w:rPr>
      </w:pPr>
      <w:r w:rsidRPr="00B04DC3">
        <w:rPr>
          <w:lang w:val="en-GB"/>
        </w:rPr>
        <w:t>(c)</w:t>
      </w:r>
      <w:r w:rsidRPr="00B04DC3">
        <w:rPr>
          <w:lang w:val="en-GB"/>
        </w:rPr>
        <w:tab/>
        <w:t>The zero response shall be rechecked. If it has changed by more than 0.5 per cent of full scale, steps (a) and (b) of this paragraph shall be repeated;</w:t>
      </w:r>
    </w:p>
    <w:p w:rsidR="00002BA6" w:rsidRPr="00B04DC3" w:rsidRDefault="00002BA6" w:rsidP="00002BA6">
      <w:pPr>
        <w:pStyle w:val="a"/>
        <w:tabs>
          <w:tab w:val="left" w:pos="6200"/>
        </w:tabs>
        <w:rPr>
          <w:lang w:val="en-GB"/>
        </w:rPr>
      </w:pPr>
      <w:r w:rsidRPr="00B04DC3">
        <w:rPr>
          <w:lang w:val="en-GB"/>
        </w:rPr>
        <w:t>(d)</w:t>
      </w:r>
      <w:r w:rsidRPr="00B04DC3">
        <w:rPr>
          <w:lang w:val="en-GB"/>
        </w:rPr>
        <w:tab/>
        <w:t>The 5 per cent and 10 per cent oxygen interference check gases shall be introduced;</w:t>
      </w:r>
    </w:p>
    <w:p w:rsidR="00002BA6" w:rsidRPr="00B04DC3" w:rsidRDefault="00002BA6" w:rsidP="00002BA6">
      <w:pPr>
        <w:pStyle w:val="a"/>
        <w:tabs>
          <w:tab w:val="left" w:pos="6200"/>
        </w:tabs>
        <w:rPr>
          <w:lang w:val="en-GB"/>
        </w:rPr>
      </w:pPr>
      <w:r w:rsidRPr="00B04DC3">
        <w:rPr>
          <w:lang w:val="en-GB"/>
        </w:rPr>
        <w:t>(e)</w:t>
      </w:r>
      <w:r w:rsidRPr="00B04DC3">
        <w:rPr>
          <w:lang w:val="en-GB"/>
        </w:rPr>
        <w:tab/>
        <w:t xml:space="preserve">The zero response shall be rechecked. If it has changed by more than </w:t>
      </w:r>
      <w:r w:rsidRPr="00B04DC3">
        <w:rPr>
          <w:lang w:val="en-GB"/>
        </w:rPr>
        <w:sym w:font="Technic" w:char="F0B1"/>
      </w:r>
      <w:r w:rsidRPr="00B04DC3">
        <w:rPr>
          <w:lang w:val="en-GB"/>
        </w:rPr>
        <w:t>1 per cent of full scale, the test shall be repeated;</w:t>
      </w:r>
    </w:p>
    <w:p w:rsidR="00002BA6" w:rsidRPr="00B04DC3" w:rsidRDefault="00002BA6" w:rsidP="00002BA6">
      <w:pPr>
        <w:pStyle w:val="a"/>
        <w:tabs>
          <w:tab w:val="left" w:pos="6200"/>
        </w:tabs>
        <w:rPr>
          <w:lang w:val="en-GB"/>
        </w:rPr>
      </w:pPr>
      <w:r w:rsidRPr="00B04DC3">
        <w:rPr>
          <w:lang w:val="en-GB"/>
        </w:rPr>
        <w:t>(f)</w:t>
      </w:r>
      <w:r w:rsidRPr="00B04DC3">
        <w:rPr>
          <w:lang w:val="en-GB"/>
        </w:rPr>
        <w:tab/>
        <w:t>The oxygen interference</w:t>
      </w:r>
      <w:r w:rsidRPr="00B04DC3">
        <w:rPr>
          <w:i/>
          <w:lang w:val="en-GB"/>
        </w:rPr>
        <w:t xml:space="preserve"> </w:t>
      </w:r>
      <w:r w:rsidRPr="00B04DC3">
        <w:rPr>
          <w:lang w:val="en-GB"/>
        </w:rPr>
        <w:t>E</w:t>
      </w:r>
      <w:r w:rsidRPr="00B04DC3">
        <w:rPr>
          <w:vertAlign w:val="subscript"/>
          <w:lang w:val="en-GB"/>
        </w:rPr>
        <w:t>O2</w:t>
      </w:r>
      <w:r w:rsidRPr="00B04DC3">
        <w:rPr>
          <w:lang w:val="en-GB"/>
        </w:rPr>
        <w:t xml:space="preserve"> shall be calculated for each mixture in step (d) as follows:</w:t>
      </w:r>
    </w:p>
    <w:p w:rsidR="00002BA6" w:rsidRPr="00B04DC3" w:rsidRDefault="00002BA6" w:rsidP="00002BA6">
      <w:pPr>
        <w:pStyle w:val="para"/>
        <w:tabs>
          <w:tab w:val="right" w:pos="8505"/>
        </w:tabs>
        <w:spacing w:before="240"/>
        <w:ind w:left="3402" w:hanging="567"/>
        <w:rPr>
          <w:lang w:val="en-GB"/>
        </w:rPr>
      </w:pPr>
      <w:r w:rsidRPr="00B04DC3">
        <w:rPr>
          <w:lang w:val="en-GB"/>
        </w:rPr>
        <w:t>E</w:t>
      </w:r>
      <w:r w:rsidRPr="00B04DC3">
        <w:rPr>
          <w:vertAlign w:val="subscript"/>
          <w:lang w:val="en-GB"/>
        </w:rPr>
        <w:t>O2</w:t>
      </w:r>
      <w:r w:rsidRPr="00B04DC3">
        <w:rPr>
          <w:lang w:val="en-GB"/>
        </w:rPr>
        <w:t xml:space="preserve"> = (c</w:t>
      </w:r>
      <w:r w:rsidRPr="00B04DC3">
        <w:rPr>
          <w:vertAlign w:val="subscript"/>
          <w:lang w:val="en-GB"/>
        </w:rPr>
        <w:t xml:space="preserve">ref,d </w:t>
      </w:r>
      <w:r w:rsidRPr="00B04DC3">
        <w:rPr>
          <w:lang w:val="en-GB"/>
        </w:rPr>
        <w:noBreakHyphen/>
        <w:t xml:space="preserve"> c) </w:t>
      </w:r>
      <w:r w:rsidRPr="00B04DC3">
        <w:rPr>
          <w:lang w:val="en-GB"/>
        </w:rPr>
        <w:sym w:font="Wingdings 2" w:char="F0CD"/>
      </w:r>
      <w:r w:rsidRPr="00B04DC3">
        <w:rPr>
          <w:lang w:val="en-GB"/>
        </w:rPr>
        <w:t xml:space="preserve"> 100 / c</w:t>
      </w:r>
      <w:r w:rsidRPr="00B04DC3">
        <w:rPr>
          <w:vertAlign w:val="subscript"/>
          <w:lang w:val="en-GB"/>
        </w:rPr>
        <w:t>ref,d</w:t>
      </w:r>
      <w:r w:rsidRPr="00B04DC3">
        <w:rPr>
          <w:lang w:val="en-GB"/>
        </w:rPr>
        <w:tab/>
        <w:t>(73)</w:t>
      </w:r>
    </w:p>
    <w:p w:rsidR="00002BA6" w:rsidRPr="00B04DC3" w:rsidRDefault="00D71F62" w:rsidP="00002BA6">
      <w:pPr>
        <w:pStyle w:val="para"/>
        <w:tabs>
          <w:tab w:val="right" w:pos="8505"/>
        </w:tabs>
        <w:spacing w:before="240"/>
        <w:ind w:left="3402" w:hanging="567"/>
        <w:rPr>
          <w:lang w:val="en-GB"/>
        </w:rPr>
      </w:pPr>
      <w:r w:rsidRPr="00B04DC3">
        <w:rPr>
          <w:lang w:val="en-GB"/>
        </w:rPr>
        <w:t>With</w:t>
      </w:r>
      <w:r w:rsidR="00002BA6" w:rsidRPr="00B04DC3">
        <w:rPr>
          <w:lang w:val="en-GB"/>
        </w:rPr>
        <w:t xml:space="preserve"> the analyzer response being</w:t>
      </w:r>
    </w:p>
    <w:p w:rsidR="00002BA6" w:rsidRPr="00B04DC3" w:rsidRDefault="00002BA6" w:rsidP="00002BA6">
      <w:pPr>
        <w:tabs>
          <w:tab w:val="right" w:pos="8511"/>
        </w:tabs>
        <w:ind w:left="3402" w:hanging="567"/>
      </w:pPr>
      <w:r w:rsidRPr="00B04DC3">
        <w:t>c</w:t>
      </w:r>
      <w:r w:rsidRPr="00B04DC3">
        <w:rPr>
          <w:i/>
        </w:rPr>
        <w:t xml:space="preserve"> </w:t>
      </w:r>
      <w:r w:rsidRPr="00B04DC3">
        <w:t xml:space="preserve">= </w:t>
      </w:r>
      <w:r w:rsidRPr="00B04DC3">
        <w:rPr>
          <w:position w:val="-32"/>
        </w:rPr>
        <w:object w:dxaOrig="1780" w:dyaOrig="720">
          <v:shape id="_x0000_i1283" type="#_x0000_t75" style="width:89.4pt;height:36pt" o:ole="">
            <v:imagedata r:id="rId425" o:title=""/>
          </v:shape>
          <o:OLEObject Type="Embed" ProgID="Equation.3" ShapeID="_x0000_i1283" DrawAspect="Content" ObjectID="_1498392369" r:id="rId426"/>
        </w:object>
      </w:r>
      <w:r w:rsidRPr="00B04DC3">
        <w:tab/>
        <w:t>(74)</w:t>
      </w:r>
    </w:p>
    <w:p w:rsidR="00002BA6" w:rsidRPr="00B04DC3" w:rsidRDefault="00D71F62" w:rsidP="00002BA6">
      <w:pPr>
        <w:pStyle w:val="para"/>
        <w:ind w:left="3402" w:hanging="567"/>
        <w:rPr>
          <w:lang w:val="en-GB"/>
        </w:rPr>
      </w:pPr>
      <w:r w:rsidRPr="00B04DC3">
        <w:rPr>
          <w:lang w:val="en-GB"/>
        </w:rPr>
        <w:t>Where</w:t>
      </w:r>
      <w:r w:rsidR="00002BA6" w:rsidRPr="00B04DC3">
        <w:rPr>
          <w:lang w:val="en-GB"/>
        </w:rPr>
        <w:t>:</w:t>
      </w:r>
    </w:p>
    <w:p w:rsidR="00002BA6" w:rsidRPr="00B04DC3" w:rsidRDefault="00002BA6" w:rsidP="00002BA6">
      <w:pPr>
        <w:pStyle w:val="a"/>
        <w:ind w:left="3402"/>
        <w:rPr>
          <w:lang w:val="en-GB"/>
        </w:rPr>
      </w:pPr>
      <w:r w:rsidRPr="00B04DC3">
        <w:rPr>
          <w:lang w:val="en-GB"/>
        </w:rPr>
        <w:t>c</w:t>
      </w:r>
      <w:r w:rsidRPr="00B04DC3">
        <w:rPr>
          <w:vertAlign w:val="subscript"/>
          <w:lang w:val="en-GB"/>
        </w:rPr>
        <w:t>ref,b</w:t>
      </w:r>
      <w:r w:rsidRPr="00B04DC3">
        <w:rPr>
          <w:lang w:val="en-GB"/>
        </w:rPr>
        <w:t xml:space="preserve"> </w:t>
      </w:r>
      <w:r w:rsidRPr="00B04DC3">
        <w:rPr>
          <w:lang w:val="en-GB"/>
        </w:rPr>
        <w:tab/>
        <w:t>is the reference HC concentration in step (b), ppm C</w:t>
      </w:r>
    </w:p>
    <w:p w:rsidR="00002BA6" w:rsidRPr="00B04DC3" w:rsidRDefault="00002BA6" w:rsidP="00002BA6">
      <w:pPr>
        <w:pStyle w:val="a"/>
        <w:ind w:left="3402"/>
        <w:rPr>
          <w:lang w:val="en-GB"/>
        </w:rPr>
      </w:pPr>
      <w:r w:rsidRPr="00B04DC3">
        <w:rPr>
          <w:lang w:val="en-GB"/>
        </w:rPr>
        <w:t>c</w:t>
      </w:r>
      <w:r w:rsidRPr="00B04DC3">
        <w:rPr>
          <w:vertAlign w:val="subscript"/>
          <w:lang w:val="en-GB"/>
        </w:rPr>
        <w:t>ref,d</w:t>
      </w:r>
      <w:r w:rsidRPr="00B04DC3">
        <w:rPr>
          <w:lang w:val="en-GB"/>
        </w:rPr>
        <w:t xml:space="preserve"> </w:t>
      </w:r>
      <w:r w:rsidRPr="00B04DC3">
        <w:rPr>
          <w:lang w:val="en-GB"/>
        </w:rPr>
        <w:tab/>
        <w:t>is the reference HC concentration in step (d), ppm C</w:t>
      </w:r>
    </w:p>
    <w:p w:rsidR="00002BA6" w:rsidRPr="00B04DC3" w:rsidRDefault="00002BA6" w:rsidP="00002BA6">
      <w:pPr>
        <w:pStyle w:val="a"/>
        <w:ind w:left="3402"/>
        <w:rPr>
          <w:lang w:val="en-GB"/>
        </w:rPr>
      </w:pPr>
      <w:r w:rsidRPr="00B04DC3">
        <w:rPr>
          <w:lang w:val="en-GB"/>
        </w:rPr>
        <w:t>c</w:t>
      </w:r>
      <w:r w:rsidRPr="00B04DC3">
        <w:rPr>
          <w:vertAlign w:val="subscript"/>
          <w:lang w:val="en-GB"/>
        </w:rPr>
        <w:t>FS,b</w:t>
      </w:r>
      <w:r w:rsidRPr="00B04DC3">
        <w:rPr>
          <w:lang w:val="en-GB"/>
        </w:rPr>
        <w:t xml:space="preserve"> </w:t>
      </w:r>
      <w:r w:rsidRPr="00B04DC3">
        <w:rPr>
          <w:lang w:val="en-GB"/>
        </w:rPr>
        <w:tab/>
        <w:t>is the full scale HC concentration in step (b), ppm C</w:t>
      </w:r>
    </w:p>
    <w:p w:rsidR="00002BA6" w:rsidRPr="00B04DC3" w:rsidRDefault="00002BA6" w:rsidP="00002BA6">
      <w:pPr>
        <w:pStyle w:val="a"/>
        <w:ind w:left="3402"/>
        <w:rPr>
          <w:lang w:val="en-GB"/>
        </w:rPr>
      </w:pPr>
      <w:r w:rsidRPr="00B04DC3">
        <w:rPr>
          <w:lang w:val="en-GB"/>
        </w:rPr>
        <w:t>c</w:t>
      </w:r>
      <w:r w:rsidRPr="00B04DC3">
        <w:rPr>
          <w:vertAlign w:val="subscript"/>
          <w:lang w:val="en-GB"/>
        </w:rPr>
        <w:t>FS,d</w:t>
      </w:r>
      <w:r w:rsidRPr="00B04DC3">
        <w:rPr>
          <w:lang w:val="en-GB"/>
        </w:rPr>
        <w:t xml:space="preserve"> </w:t>
      </w:r>
      <w:r w:rsidRPr="00B04DC3">
        <w:rPr>
          <w:lang w:val="en-GB"/>
        </w:rPr>
        <w:tab/>
        <w:t>is the full scale HC concentration in step (d), ppm C</w:t>
      </w:r>
    </w:p>
    <w:p w:rsidR="00002BA6" w:rsidRPr="00B04DC3" w:rsidRDefault="00002BA6" w:rsidP="00002BA6">
      <w:pPr>
        <w:pStyle w:val="a"/>
        <w:ind w:left="3402"/>
        <w:rPr>
          <w:lang w:val="en-GB"/>
        </w:rPr>
      </w:pPr>
      <w:r w:rsidRPr="00B04DC3">
        <w:rPr>
          <w:lang w:val="en-GB"/>
        </w:rPr>
        <w:t>c</w:t>
      </w:r>
      <w:r w:rsidRPr="00B04DC3">
        <w:rPr>
          <w:vertAlign w:val="subscript"/>
          <w:lang w:val="en-GB"/>
        </w:rPr>
        <w:t>m,b</w:t>
      </w:r>
      <w:r w:rsidRPr="00B04DC3">
        <w:rPr>
          <w:vertAlign w:val="subscript"/>
          <w:lang w:val="en-GB"/>
        </w:rPr>
        <w:tab/>
      </w:r>
      <w:r w:rsidRPr="00B04DC3">
        <w:rPr>
          <w:lang w:val="en-GB"/>
        </w:rPr>
        <w:t>is the measured HC concentration in step (b), ppm C</w:t>
      </w:r>
    </w:p>
    <w:p w:rsidR="00002BA6" w:rsidRPr="00B04DC3" w:rsidRDefault="00002BA6" w:rsidP="00002BA6">
      <w:pPr>
        <w:pStyle w:val="a"/>
        <w:ind w:left="3402"/>
        <w:rPr>
          <w:lang w:val="en-GB"/>
        </w:rPr>
      </w:pPr>
      <w:r w:rsidRPr="00B04DC3">
        <w:rPr>
          <w:lang w:val="en-GB"/>
        </w:rPr>
        <w:t>c</w:t>
      </w:r>
      <w:r w:rsidRPr="00B04DC3">
        <w:rPr>
          <w:vertAlign w:val="subscript"/>
          <w:lang w:val="en-GB"/>
        </w:rPr>
        <w:t>m,d</w:t>
      </w:r>
      <w:r w:rsidRPr="00B04DC3">
        <w:rPr>
          <w:vertAlign w:val="subscript"/>
          <w:lang w:val="en-GB"/>
        </w:rPr>
        <w:tab/>
      </w:r>
      <w:r w:rsidRPr="00B04DC3">
        <w:rPr>
          <w:lang w:val="en-GB"/>
        </w:rPr>
        <w:t>is the measured HC concentration in step (d), ppm C</w:t>
      </w:r>
    </w:p>
    <w:p w:rsidR="00002BA6" w:rsidRPr="00B04DC3" w:rsidRDefault="00002BA6" w:rsidP="00002BA6">
      <w:pPr>
        <w:pStyle w:val="a"/>
        <w:tabs>
          <w:tab w:val="left" w:pos="6200"/>
        </w:tabs>
        <w:rPr>
          <w:lang w:val="en-GB"/>
        </w:rPr>
      </w:pPr>
      <w:r w:rsidRPr="00B04DC3">
        <w:rPr>
          <w:lang w:val="en-GB"/>
        </w:rPr>
        <w:t>(g)</w:t>
      </w:r>
      <w:r w:rsidRPr="00B04DC3">
        <w:rPr>
          <w:lang w:val="en-GB"/>
        </w:rPr>
        <w:tab/>
        <w:t xml:space="preserve">The oxygen interference </w:t>
      </w:r>
      <w:r w:rsidRPr="00A5311B">
        <w:rPr>
          <w:lang w:val="en-GB"/>
        </w:rPr>
        <w:t>E</w:t>
      </w:r>
      <w:r w:rsidRPr="00B04DC3">
        <w:rPr>
          <w:vertAlign w:val="subscript"/>
          <w:lang w:val="en-GB"/>
        </w:rPr>
        <w:t>O2</w:t>
      </w:r>
      <w:r w:rsidRPr="00B04DC3">
        <w:rPr>
          <w:lang w:val="en-GB"/>
        </w:rPr>
        <w:t xml:space="preserve"> shall be less than </w:t>
      </w:r>
      <w:r w:rsidRPr="00B04DC3">
        <w:rPr>
          <w:lang w:val="en-GB"/>
        </w:rPr>
        <w:sym w:font="Technic" w:char="F0B1"/>
      </w:r>
      <w:r w:rsidRPr="00B04DC3">
        <w:rPr>
          <w:lang w:val="en-GB"/>
        </w:rPr>
        <w:t>1.5 per cent for all required oxygen interference check gases prior to testing.</w:t>
      </w:r>
    </w:p>
    <w:p w:rsidR="00002BA6" w:rsidRPr="00B04DC3" w:rsidRDefault="00002BA6" w:rsidP="00002BA6">
      <w:pPr>
        <w:pStyle w:val="a"/>
        <w:tabs>
          <w:tab w:val="left" w:pos="6200"/>
        </w:tabs>
        <w:rPr>
          <w:lang w:val="en-GB"/>
        </w:rPr>
      </w:pPr>
      <w:r w:rsidRPr="00B04DC3">
        <w:rPr>
          <w:lang w:val="en-GB"/>
        </w:rPr>
        <w:t>(h)</w:t>
      </w:r>
      <w:r w:rsidRPr="00B04DC3">
        <w:rPr>
          <w:lang w:val="en-GB"/>
        </w:rPr>
        <w:tab/>
        <w:t xml:space="preserve">If the oxygen interference </w:t>
      </w:r>
      <w:r w:rsidRPr="00A5311B">
        <w:rPr>
          <w:lang w:val="en-GB"/>
        </w:rPr>
        <w:t>E</w:t>
      </w:r>
      <w:r w:rsidRPr="00B04DC3">
        <w:rPr>
          <w:vertAlign w:val="subscript"/>
          <w:lang w:val="en-GB"/>
        </w:rPr>
        <w:t xml:space="preserve">O2 </w:t>
      </w:r>
      <w:r w:rsidRPr="00B04DC3">
        <w:rPr>
          <w:lang w:val="en-GB"/>
        </w:rPr>
        <w:t xml:space="preserve">is greater than </w:t>
      </w:r>
      <w:r w:rsidRPr="00B04DC3">
        <w:rPr>
          <w:lang w:val="en-GB"/>
        </w:rPr>
        <w:sym w:font="Technic" w:char="F0B1"/>
      </w:r>
      <w:r w:rsidRPr="00B04DC3">
        <w:rPr>
          <w:lang w:val="en-GB"/>
        </w:rPr>
        <w:t>1.5 per cent, corrective action may be taken by incrementally adjusting the airflow above and below the manufacturer's specifications, the fuel flow and the sample flow.</w:t>
      </w:r>
    </w:p>
    <w:p w:rsidR="00002BA6" w:rsidRPr="00B04DC3" w:rsidRDefault="00002BA6" w:rsidP="00002BA6">
      <w:pPr>
        <w:pStyle w:val="a"/>
        <w:tabs>
          <w:tab w:val="left" w:pos="6200"/>
        </w:tabs>
        <w:rPr>
          <w:lang w:val="en-GB"/>
        </w:rPr>
      </w:pPr>
      <w:r w:rsidRPr="00B04DC3">
        <w:rPr>
          <w:lang w:val="en-GB"/>
        </w:rPr>
        <w:t>(i)</w:t>
      </w:r>
      <w:r w:rsidRPr="00B04DC3">
        <w:rPr>
          <w:lang w:val="en-GB"/>
        </w:rPr>
        <w:tab/>
        <w:t>The oxygen interference shall be repeated for each new setting.</w:t>
      </w:r>
    </w:p>
    <w:p w:rsidR="00002BA6" w:rsidRPr="00B04DC3" w:rsidRDefault="00002BA6" w:rsidP="00002BA6">
      <w:pPr>
        <w:pStyle w:val="para"/>
        <w:rPr>
          <w:lang w:val="en-GB" w:eastAsia="ja-JP"/>
        </w:rPr>
      </w:pPr>
      <w:r w:rsidRPr="00B04DC3">
        <w:rPr>
          <w:lang w:val="en-GB" w:eastAsia="ja-JP"/>
        </w:rPr>
        <w:t>9.3.8.</w:t>
      </w:r>
      <w:r w:rsidRPr="00B04DC3">
        <w:rPr>
          <w:lang w:val="en-GB" w:eastAsia="ja-JP"/>
        </w:rPr>
        <w:tab/>
      </w:r>
      <w:r w:rsidRPr="00B04DC3">
        <w:rPr>
          <w:lang w:val="en-GB"/>
        </w:rPr>
        <w:t>Efficiency</w:t>
      </w:r>
      <w:r w:rsidRPr="00B04DC3">
        <w:rPr>
          <w:lang w:val="en-GB" w:eastAsia="ja-JP"/>
        </w:rPr>
        <w:t xml:space="preserve"> of the </w:t>
      </w:r>
      <w:r w:rsidR="000A32EC">
        <w:rPr>
          <w:lang w:val="en-GB" w:eastAsia="ja-JP"/>
        </w:rPr>
        <w:t>N</w:t>
      </w:r>
      <w:r w:rsidR="000A32EC" w:rsidRPr="00B04DC3">
        <w:rPr>
          <w:lang w:val="en-GB" w:eastAsia="ja-JP"/>
        </w:rPr>
        <w:t>on</w:t>
      </w:r>
      <w:r w:rsidRPr="00B04DC3">
        <w:rPr>
          <w:lang w:val="en-GB" w:eastAsia="ja-JP"/>
        </w:rPr>
        <w:t>-</w:t>
      </w:r>
      <w:r w:rsidR="000A32EC">
        <w:rPr>
          <w:lang w:val="en-GB" w:eastAsia="ja-JP"/>
        </w:rPr>
        <w:t>M</w:t>
      </w:r>
      <w:r w:rsidR="000A32EC" w:rsidRPr="00B04DC3">
        <w:rPr>
          <w:lang w:val="en-GB" w:eastAsia="ja-JP"/>
        </w:rPr>
        <w:t xml:space="preserve">ethane </w:t>
      </w:r>
      <w:r w:rsidR="000A32EC">
        <w:rPr>
          <w:lang w:val="en-GB" w:eastAsia="ja-JP"/>
        </w:rPr>
        <w:t>C</w:t>
      </w:r>
      <w:r w:rsidR="000A32EC" w:rsidRPr="00B04DC3">
        <w:rPr>
          <w:lang w:val="en-GB" w:eastAsia="ja-JP"/>
        </w:rPr>
        <w:t xml:space="preserve">utter </w:t>
      </w:r>
      <w:r w:rsidRPr="00B04DC3">
        <w:rPr>
          <w:lang w:val="en-GB" w:eastAsia="ja-JP"/>
        </w:rPr>
        <w:t>(NMC)</w:t>
      </w:r>
    </w:p>
    <w:p w:rsidR="00002BA6" w:rsidRPr="00B04DC3" w:rsidRDefault="00002BA6" w:rsidP="00002BA6">
      <w:pPr>
        <w:pStyle w:val="para"/>
        <w:rPr>
          <w:lang w:val="en-GB" w:eastAsia="ja-JP"/>
        </w:rPr>
      </w:pPr>
      <w:r w:rsidRPr="00B04DC3">
        <w:rPr>
          <w:lang w:val="en-GB" w:eastAsia="ja-JP"/>
        </w:rPr>
        <w:tab/>
        <w:t xml:space="preserve">The </w:t>
      </w:r>
      <w:r w:rsidRPr="00B04DC3">
        <w:rPr>
          <w:lang w:val="en-GB"/>
        </w:rPr>
        <w:t>NMC</w:t>
      </w:r>
      <w:r w:rsidRPr="00B04DC3">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w:t>
      </w:r>
      <w:r w:rsidR="00901017" w:rsidRPr="00B04DC3">
        <w:rPr>
          <w:lang w:val="en-GB" w:eastAsia="ja-JP"/>
        </w:rPr>
        <w:t>of the NMHC emission mass flow rate (see paragraph 8.6.2.</w:t>
      </w:r>
      <w:r w:rsidR="000A32EC" w:rsidRPr="000A32EC">
        <w:rPr>
          <w:lang w:val="en-GB"/>
        </w:rPr>
        <w:t xml:space="preserve"> </w:t>
      </w:r>
      <w:r w:rsidR="000A32EC">
        <w:rPr>
          <w:lang w:val="en-GB"/>
        </w:rPr>
        <w:t>of this annex</w:t>
      </w:r>
      <w:r w:rsidR="00901017" w:rsidRPr="00B04DC3">
        <w:rPr>
          <w:lang w:val="en-GB" w:eastAsia="ja-JP"/>
        </w:rPr>
        <w:t>).</w:t>
      </w:r>
    </w:p>
    <w:p w:rsidR="00002BA6" w:rsidRPr="00B04DC3" w:rsidRDefault="00002BA6" w:rsidP="00B824C8">
      <w:pPr>
        <w:pStyle w:val="para"/>
        <w:keepNext/>
        <w:keepLines/>
        <w:rPr>
          <w:lang w:val="en-GB" w:eastAsia="ja-JP"/>
        </w:rPr>
      </w:pPr>
      <w:r w:rsidRPr="00B04DC3">
        <w:rPr>
          <w:lang w:val="en-GB" w:eastAsia="ja-JP"/>
        </w:rPr>
        <w:t>9.3.8.1.</w:t>
      </w:r>
      <w:r w:rsidRPr="00B04DC3">
        <w:rPr>
          <w:lang w:val="en-GB" w:eastAsia="ja-JP"/>
        </w:rPr>
        <w:tab/>
      </w:r>
      <w:r w:rsidRPr="00B04DC3">
        <w:rPr>
          <w:lang w:val="en-GB"/>
        </w:rPr>
        <w:t>Methane</w:t>
      </w:r>
      <w:r w:rsidRPr="00B04DC3">
        <w:rPr>
          <w:lang w:val="en-GB" w:eastAsia="ja-JP"/>
        </w:rPr>
        <w:t xml:space="preserve"> </w:t>
      </w:r>
      <w:r w:rsidR="000A32EC">
        <w:rPr>
          <w:lang w:val="en-GB" w:eastAsia="ja-JP"/>
        </w:rPr>
        <w:t>e</w:t>
      </w:r>
      <w:r w:rsidR="000A32EC" w:rsidRPr="00B04DC3">
        <w:rPr>
          <w:lang w:val="en-GB" w:eastAsia="ja-JP"/>
        </w:rPr>
        <w:t>fficiency</w:t>
      </w:r>
    </w:p>
    <w:p w:rsidR="00002BA6" w:rsidRPr="00B04DC3" w:rsidRDefault="00002BA6" w:rsidP="00002BA6">
      <w:pPr>
        <w:pStyle w:val="para"/>
        <w:rPr>
          <w:lang w:val="en-GB"/>
        </w:rPr>
      </w:pPr>
      <w:r w:rsidRPr="00B04DC3">
        <w:rPr>
          <w:lang w:val="en-GB"/>
        </w:rPr>
        <w:tab/>
        <w:t>Methane calibration gas shall be flown through the FID with and without bypassing the NMC and the two concentrations recorded. The efficiency shall be determined as follows:</w:t>
      </w:r>
    </w:p>
    <w:p w:rsidR="00002BA6" w:rsidRPr="00B824C8" w:rsidRDefault="00A905B7" w:rsidP="00002BA6">
      <w:pPr>
        <w:tabs>
          <w:tab w:val="right" w:pos="8511"/>
        </w:tabs>
        <w:ind w:left="3470" w:hanging="1202"/>
        <w:rPr>
          <w:position w:val="30"/>
        </w:rPr>
      </w:pPr>
      <w:r>
        <w:rPr>
          <w:noProof/>
        </w:rPr>
        <w:pict>
          <v:rect id="_x0000_s4936" style="position:absolute;left:0;text-align:left;margin-left:154.55pt;margin-top:-1.7pt;width:4pt;height:12pt;z-index:251636736;mso-wrap-style:none" filled="f" stroked="f">
            <v:textbox style="mso-fit-shape-to-text:t" inset="0,0,0,0">
              <w:txbxContent>
                <w:p w:rsidR="00A905B7" w:rsidRPr="00380227" w:rsidRDefault="00A905B7">
                  <w:r w:rsidRPr="00380227">
                    <w:rPr>
                      <w:iCs/>
                      <w:color w:val="000000"/>
                      <w:sz w:val="18"/>
                      <w:szCs w:val="18"/>
                    </w:rPr>
                    <w:t>c</w:t>
                  </w:r>
                </w:p>
              </w:txbxContent>
            </v:textbox>
          </v:rect>
        </w:pict>
      </w:r>
      <w:r>
        <w:pict>
          <v:group id="_x0000_s4932" editas="canvas" style="width:89pt;height:37.35pt;mso-position-horizontal-relative:char;mso-position-vertical-relative:line" coordsize="1780,747">
            <o:lock v:ext="edit" aspectratio="t"/>
            <v:shape id="_x0000_s4933" type="#_x0000_t75" style="position:absolute;width:1780;height:747" o:preferrelative="f">
              <v:fill o:detectmouseclick="t"/>
              <v:path o:extrusionok="t" o:connecttype="none"/>
              <o:lock v:ext="edit" text="t"/>
            </v:shape>
            <v:line id="_x0000_s4934" style="position:absolute" from="750,340" to="1725,340" strokeweight=".5pt"/>
            <v:rect id="_x0000_s4935" style="position:absolute;left:814;top:287;width:80;height:240;mso-wrap-style:none" filled="f" stroked="f">
              <v:textbox style="mso-fit-shape-to-text:t" inset="0,0,0,0">
                <w:txbxContent>
                  <w:p w:rsidR="00A905B7" w:rsidRPr="00380227" w:rsidRDefault="00A905B7">
                    <w:r w:rsidRPr="00380227">
                      <w:rPr>
                        <w:iCs/>
                        <w:color w:val="000000"/>
                        <w:sz w:val="18"/>
                        <w:szCs w:val="18"/>
                      </w:rPr>
                      <w:t>c</w:t>
                    </w:r>
                  </w:p>
                </w:txbxContent>
              </v:textbox>
            </v:rect>
            <v:rect id="_x0000_s4937" style="position:absolute;left:43;top:271;width:110;height:240;mso-wrap-style:none" filled="f" stroked="f">
              <v:textbox style="mso-fit-shape-to-text:t" inset="0,0,0,0">
                <w:txbxContent>
                  <w:p w:rsidR="00A905B7" w:rsidRPr="00380227" w:rsidRDefault="00A905B7">
                    <w:r w:rsidRPr="00380227">
                      <w:rPr>
                        <w:iCs/>
                        <w:color w:val="000000"/>
                        <w:sz w:val="18"/>
                        <w:szCs w:val="18"/>
                      </w:rPr>
                      <w:t>E</w:t>
                    </w:r>
                  </w:p>
                </w:txbxContent>
              </v:textbox>
            </v:rect>
            <v:rect id="_x0000_s4938" style="position:absolute;left:1396;top:377;width:366;height:240;mso-wrap-style:none" filled="f" stroked="f">
              <v:textbox style="mso-fit-shape-to-text:t" inset="0,0,0,0">
                <w:txbxContent>
                  <w:p w:rsidR="00A905B7" w:rsidRDefault="00A905B7">
                    <w:r>
                      <w:rPr>
                        <w:color w:val="000000"/>
                        <w:sz w:val="14"/>
                        <w:szCs w:val="14"/>
                      </w:rPr>
                      <w:t>NMC)</w:t>
                    </w:r>
                  </w:p>
                </w:txbxContent>
              </v:textbox>
            </v:rect>
            <v:rect id="_x0000_s4939" style="position:absolute;left:1309;top:507;width:36;height:240;mso-wrap-style:none" filled="f" stroked="f">
              <v:textbox style="mso-fit-shape-to-text:t" inset="0,0,0,0">
                <w:txbxContent>
                  <w:p w:rsidR="00A905B7" w:rsidRDefault="00A905B7">
                    <w:r>
                      <w:rPr>
                        <w:color w:val="000000"/>
                        <w:sz w:val="14"/>
                        <w:szCs w:val="14"/>
                      </w:rPr>
                      <w:t xml:space="preserve"> </w:t>
                    </w:r>
                  </w:p>
                </w:txbxContent>
              </v:textbox>
            </v:rect>
            <v:rect id="_x0000_s4940" style="position:absolute;left:909;top:31;width:747;height:240;mso-wrap-style:none" filled="f" stroked="f">
              <v:textbox style="mso-fit-shape-to-text:t" inset="0,0,0,0">
                <w:txbxContent>
                  <w:p w:rsidR="00A905B7" w:rsidRDefault="00A905B7">
                    <w:r>
                      <w:rPr>
                        <w:color w:val="000000"/>
                        <w:sz w:val="14"/>
                        <w:szCs w:val="14"/>
                      </w:rPr>
                      <w:t>HC(w/NMC)</w:t>
                    </w:r>
                  </w:p>
                </w:txbxContent>
              </v:textbox>
            </v:rect>
            <v:rect id="_x0000_s4941" style="position:absolute;left:166;top:323;width:125;height:240;mso-wrap-style:none" filled="f" stroked="f">
              <v:textbox style="mso-fit-shape-to-text:t" inset="0,0,0,0">
                <w:txbxContent>
                  <w:p w:rsidR="00A905B7" w:rsidRDefault="00A905B7">
                    <w:r>
                      <w:rPr>
                        <w:color w:val="000000"/>
                        <w:sz w:val="14"/>
                        <w:szCs w:val="14"/>
                      </w:rPr>
                      <w:t>M</w:t>
                    </w:r>
                  </w:p>
                </w:txbxContent>
              </v:textbox>
            </v:rect>
            <v:rect id="_x0000_s4942" style="position:absolute;left:488;top:239;width:91;height:240;mso-wrap-style:none" filled="f" stroked="f">
              <v:textbox style="mso-fit-shape-to-text:t" inset="0,0,0,0">
                <w:txbxContent>
                  <w:p w:rsidR="00A905B7" w:rsidRDefault="00A905B7">
                    <w:r>
                      <w:rPr>
                        <w:color w:val="000000"/>
                        <w:sz w:val="18"/>
                        <w:szCs w:val="18"/>
                      </w:rPr>
                      <w:t>1</w:t>
                    </w:r>
                  </w:p>
                </w:txbxContent>
              </v:textbox>
            </v:rect>
            <v:rect id="_x0000_s4943" style="position:absolute;left:605;top:21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4944" style="position:absolute;left:352;top:21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5509" style="position:absolute;left:900;top:380;width:459;height:242" filled="f" stroked="f">
              <v:textbox inset="0,0,0,0">
                <w:txbxContent>
                  <w:p w:rsidR="00A905B7" w:rsidRDefault="00A905B7">
                    <w:r>
                      <w:rPr>
                        <w:color w:val="000000"/>
                        <w:sz w:val="14"/>
                        <w:szCs w:val="14"/>
                      </w:rPr>
                      <w:t>HC(w/o</w:t>
                    </w:r>
                  </w:p>
                </w:txbxContent>
              </v:textbox>
            </v:rect>
            <w10:wrap type="none"/>
            <w10:anchorlock/>
          </v:group>
        </w:pict>
      </w:r>
      <w:r w:rsidR="00002BA6" w:rsidRPr="00B824C8">
        <w:rPr>
          <w:position w:val="30"/>
        </w:rPr>
        <w:tab/>
        <w:t>(75)</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a"/>
        <w:ind w:left="3402" w:hanging="1134"/>
        <w:rPr>
          <w:lang w:val="en-GB"/>
        </w:rPr>
      </w:pPr>
      <w:r w:rsidRPr="00B04DC3">
        <w:rPr>
          <w:lang w:val="en-GB"/>
        </w:rPr>
        <w:t>c</w:t>
      </w:r>
      <w:r w:rsidRPr="00B04DC3">
        <w:rPr>
          <w:vertAlign w:val="subscript"/>
          <w:lang w:val="en-GB"/>
        </w:rPr>
        <w:t>HC(w/NMC)</w:t>
      </w:r>
      <w:r w:rsidRPr="00B04DC3">
        <w:rPr>
          <w:lang w:val="en-GB"/>
        </w:rPr>
        <w:tab/>
        <w:t>is the HC concentration with CH</w:t>
      </w:r>
      <w:r w:rsidRPr="00B04DC3">
        <w:rPr>
          <w:vertAlign w:val="subscript"/>
          <w:lang w:val="en-GB"/>
        </w:rPr>
        <w:t>4</w:t>
      </w:r>
      <w:r w:rsidRPr="00B04DC3">
        <w:rPr>
          <w:lang w:val="en-GB"/>
        </w:rPr>
        <w:t xml:space="preserve"> flowing through the NMC, ppm C</w:t>
      </w:r>
    </w:p>
    <w:p w:rsidR="00002BA6" w:rsidRPr="00B04DC3" w:rsidRDefault="00002BA6" w:rsidP="00002BA6">
      <w:pPr>
        <w:pStyle w:val="a"/>
        <w:ind w:left="3402" w:hanging="1134"/>
        <w:rPr>
          <w:lang w:val="en-GB"/>
        </w:rPr>
      </w:pPr>
      <w:r w:rsidRPr="00B04DC3">
        <w:rPr>
          <w:lang w:val="en-GB"/>
        </w:rPr>
        <w:t>c</w:t>
      </w:r>
      <w:r w:rsidRPr="00B04DC3">
        <w:rPr>
          <w:vertAlign w:val="subscript"/>
          <w:lang w:val="en-GB"/>
        </w:rPr>
        <w:t>HC(w/o NMC)</w:t>
      </w:r>
      <w:r w:rsidRPr="00B04DC3">
        <w:rPr>
          <w:lang w:val="en-GB"/>
        </w:rPr>
        <w:tab/>
        <w:t>is the HC concentration with CH</w:t>
      </w:r>
      <w:r w:rsidRPr="00B04DC3">
        <w:rPr>
          <w:vertAlign w:val="subscript"/>
          <w:lang w:val="en-GB"/>
        </w:rPr>
        <w:t>4</w:t>
      </w:r>
      <w:r w:rsidRPr="00B04DC3">
        <w:rPr>
          <w:lang w:val="en-GB"/>
        </w:rPr>
        <w:t xml:space="preserve"> bypassing the NMC, ppm C</w:t>
      </w:r>
    </w:p>
    <w:p w:rsidR="00002BA6" w:rsidRPr="00B04DC3" w:rsidRDefault="00002BA6" w:rsidP="00002BA6">
      <w:pPr>
        <w:pStyle w:val="para"/>
        <w:rPr>
          <w:lang w:val="en-GB"/>
        </w:rPr>
      </w:pPr>
      <w:r w:rsidRPr="00B04DC3">
        <w:rPr>
          <w:lang w:val="en-GB"/>
        </w:rPr>
        <w:t>9.3.8.2.</w:t>
      </w:r>
      <w:r w:rsidRPr="00B04DC3">
        <w:rPr>
          <w:lang w:val="en-GB"/>
        </w:rPr>
        <w:tab/>
        <w:t xml:space="preserve">Ethane </w:t>
      </w:r>
      <w:r w:rsidR="000A32EC">
        <w:rPr>
          <w:lang w:val="en-GB"/>
        </w:rPr>
        <w:t>e</w:t>
      </w:r>
      <w:r w:rsidR="000A32EC" w:rsidRPr="00B04DC3">
        <w:rPr>
          <w:lang w:val="en-GB"/>
        </w:rPr>
        <w:t>fficiency</w:t>
      </w:r>
    </w:p>
    <w:p w:rsidR="00002BA6" w:rsidRPr="00B04DC3" w:rsidRDefault="00002BA6" w:rsidP="00002BA6">
      <w:pPr>
        <w:pStyle w:val="para"/>
        <w:rPr>
          <w:lang w:val="en-GB"/>
        </w:rPr>
      </w:pPr>
      <w:r w:rsidRPr="00B04DC3">
        <w:rPr>
          <w:lang w:val="en-GB"/>
        </w:rPr>
        <w:tab/>
        <w:t>Ethane calibration gas shall be flown through the FID with and without bypassing the NMC and the two concentrations recorded. The efficiency shall be determined as follows:</w:t>
      </w:r>
    </w:p>
    <w:p w:rsidR="00002BA6" w:rsidRPr="00B824C8" w:rsidRDefault="00A905B7" w:rsidP="00002BA6">
      <w:pPr>
        <w:tabs>
          <w:tab w:val="right" w:pos="8511"/>
        </w:tabs>
        <w:ind w:left="3470" w:hanging="1202"/>
        <w:rPr>
          <w:i/>
          <w:position w:val="-10"/>
        </w:rPr>
      </w:pPr>
      <w:r>
        <w:rPr>
          <w:i/>
          <w:position w:val="-32"/>
        </w:rPr>
      </w:r>
      <w:r>
        <w:rPr>
          <w:i/>
          <w:position w:val="-32"/>
        </w:rPr>
        <w:pict>
          <v:group id="_x0000_s4945" editas="canvas" style="width:84.85pt;height:36.65pt;mso-position-horizontal-relative:char;mso-position-vertical-relative:line" coordorigin="43,96" coordsize="1697,733">
            <o:lock v:ext="edit" aspectratio="t"/>
            <v:shape id="_x0000_s4946" type="#_x0000_t75" style="position:absolute;left:43;top:96;width:1697;height:733" o:preferrelative="f">
              <v:fill o:detectmouseclick="t"/>
              <v:path o:extrusionok="t" o:connecttype="none"/>
              <o:lock v:ext="edit" text="t"/>
            </v:shape>
            <v:line id="_x0000_s4947" style="position:absolute" from="711,410" to="1686,411" strokeweight=".5pt"/>
            <v:rect id="_x0000_s4948" style="position:absolute;left:725;top:427;width:179;height:293" filled="f" stroked="f">
              <v:textbox inset="0,0,0,0">
                <w:txbxContent>
                  <w:p w:rsidR="00A905B7" w:rsidRPr="00380227" w:rsidRDefault="00A905B7">
                    <w:r w:rsidRPr="00380227">
                      <w:rPr>
                        <w:iCs/>
                        <w:color w:val="000000"/>
                        <w:sz w:val="18"/>
                        <w:szCs w:val="18"/>
                      </w:rPr>
                      <w:t>c</w:t>
                    </w:r>
                  </w:p>
                </w:txbxContent>
              </v:textbox>
            </v:rect>
            <v:rect id="_x0000_s4949" style="position:absolute;left:783;top:96;width:80;height:240;mso-wrap-style:none" filled="f" stroked="f">
              <v:textbox style="mso-fit-shape-to-text:t" inset="0,0,0,0">
                <w:txbxContent>
                  <w:p w:rsidR="00A905B7" w:rsidRPr="00380227" w:rsidRDefault="00A905B7">
                    <w:r w:rsidRPr="00380227">
                      <w:rPr>
                        <w:iCs/>
                        <w:color w:val="000000"/>
                        <w:sz w:val="18"/>
                        <w:szCs w:val="18"/>
                      </w:rPr>
                      <w:t>c</w:t>
                    </w:r>
                  </w:p>
                </w:txbxContent>
              </v:textbox>
            </v:rect>
            <v:rect id="_x0000_s4950" style="position:absolute;left:43;top:271;width:110;height:240;mso-wrap-style:none" filled="f" stroked="f">
              <v:textbox style="mso-fit-shape-to-text:t" inset="0,0,0,0">
                <w:txbxContent>
                  <w:p w:rsidR="00A905B7" w:rsidRPr="00380227" w:rsidRDefault="00A905B7">
                    <w:r w:rsidRPr="00380227">
                      <w:rPr>
                        <w:iCs/>
                        <w:color w:val="000000"/>
                        <w:sz w:val="18"/>
                        <w:szCs w:val="18"/>
                      </w:rPr>
                      <w:t>E</w:t>
                    </w:r>
                  </w:p>
                </w:txbxContent>
              </v:textbox>
            </v:rect>
            <v:rect id="_x0000_s4951" style="position:absolute;left:1306;top:507;width:366;height:213;mso-wrap-style:none" filled="f" stroked="f">
              <v:textbox inset="0,0,0,0">
                <w:txbxContent>
                  <w:p w:rsidR="00A905B7" w:rsidRDefault="00A905B7">
                    <w:r>
                      <w:rPr>
                        <w:color w:val="000000"/>
                        <w:sz w:val="14"/>
                        <w:szCs w:val="14"/>
                      </w:rPr>
                      <w:t>NMC)</w:t>
                    </w:r>
                  </w:p>
                </w:txbxContent>
              </v:textbox>
            </v:rect>
            <v:rect id="_x0000_s4952" style="position:absolute;left:1269;top:507;width:36;height:240;mso-wrap-style:none" filled="f" stroked="f">
              <v:textbox style="mso-fit-shape-to-text:t" inset="0,0,0,0">
                <w:txbxContent>
                  <w:p w:rsidR="00A905B7" w:rsidRDefault="00A905B7">
                    <w:r>
                      <w:rPr>
                        <w:color w:val="000000"/>
                        <w:sz w:val="14"/>
                        <w:szCs w:val="14"/>
                      </w:rPr>
                      <w:t xml:space="preserve"> </w:t>
                    </w:r>
                  </w:p>
                </w:txbxContent>
              </v:textbox>
            </v:rect>
            <v:rect id="_x0000_s4953" style="position:absolute;left:825;top:507;width:452;height:213;mso-wrap-style:none" filled="f" stroked="f">
              <v:textbox inset="0,0,0,0">
                <w:txbxContent>
                  <w:p w:rsidR="00A905B7" w:rsidRDefault="00A905B7">
                    <w:r>
                      <w:rPr>
                        <w:color w:val="000000"/>
                        <w:sz w:val="14"/>
                        <w:szCs w:val="14"/>
                      </w:rPr>
                      <w:t>HC(w/</w:t>
                    </w:r>
                    <w:r w:rsidRPr="00B824C8">
                      <w:rPr>
                        <w:b/>
                        <w:color w:val="000000"/>
                        <w:sz w:val="14"/>
                        <w:szCs w:val="14"/>
                      </w:rPr>
                      <w:t>o</w:t>
                    </w:r>
                  </w:p>
                </w:txbxContent>
              </v:textbox>
            </v:rect>
            <v:rect id="_x0000_s4954" style="position:absolute;left:870;top:151;width:747;height:240;mso-wrap-style:none" filled="f" stroked="f">
              <v:textbox style="mso-fit-shape-to-text:t" inset="0,0,0,0">
                <w:txbxContent>
                  <w:p w:rsidR="00A905B7" w:rsidRDefault="00A905B7">
                    <w:r>
                      <w:rPr>
                        <w:color w:val="000000"/>
                        <w:sz w:val="14"/>
                        <w:szCs w:val="14"/>
                      </w:rPr>
                      <w:t>HC(w/NMC)</w:t>
                    </w:r>
                  </w:p>
                </w:txbxContent>
              </v:textbox>
            </v:rect>
            <v:rect id="_x0000_s4955" style="position:absolute;left:166;top:323;width:86;height:240;mso-wrap-style:none" filled="f" stroked="f">
              <v:textbox style="mso-fit-shape-to-text:t" inset="0,0,0,0">
                <w:txbxContent>
                  <w:p w:rsidR="00A905B7" w:rsidRDefault="00A905B7">
                    <w:r>
                      <w:rPr>
                        <w:color w:val="000000"/>
                        <w:sz w:val="14"/>
                        <w:szCs w:val="14"/>
                      </w:rPr>
                      <w:t>E</w:t>
                    </w:r>
                  </w:p>
                </w:txbxContent>
              </v:textbox>
            </v:rect>
            <v:rect id="_x0000_s4956" style="position:absolute;left:448;top:239;width:91;height:240;mso-wrap-style:none" filled="f" stroked="f">
              <v:textbox style="mso-fit-shape-to-text:t" inset="0,0,0,0">
                <w:txbxContent>
                  <w:p w:rsidR="00A905B7" w:rsidRDefault="00A905B7">
                    <w:r>
                      <w:rPr>
                        <w:color w:val="000000"/>
                        <w:sz w:val="18"/>
                        <w:szCs w:val="18"/>
                      </w:rPr>
                      <w:t>1</w:t>
                    </w:r>
                  </w:p>
                </w:txbxContent>
              </v:textbox>
            </v:rect>
            <v:rect id="_x0000_s4957" style="position:absolute;left:566;top:21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v:rect id="_x0000_s4958" style="position:absolute;left:313;top:219;width:99;height:240;mso-wrap-style:none" filled="f" stroked="f">
              <v:textbox style="mso-fit-shape-to-text:t" inset="0,0,0,0">
                <w:txbxContent>
                  <w:p w:rsidR="00A905B7" w:rsidRDefault="00A905B7">
                    <w:r>
                      <w:rPr>
                        <w:rFonts w:ascii="Symbol" w:hAnsi="Symbol" w:cs="Symbol"/>
                        <w:color w:val="000000"/>
                        <w:sz w:val="18"/>
                        <w:szCs w:val="18"/>
                      </w:rPr>
                      <w:t></w:t>
                    </w:r>
                  </w:p>
                </w:txbxContent>
              </v:textbox>
            </v:rect>
            <w10:wrap type="none"/>
            <w10:anchorlock/>
          </v:group>
        </w:pict>
      </w:r>
      <w:r w:rsidR="00002BA6" w:rsidRPr="00B824C8">
        <w:rPr>
          <w:i/>
          <w:position w:val="-10"/>
        </w:rPr>
        <w:tab/>
      </w:r>
      <w:r w:rsidR="00002BA6" w:rsidRPr="00B824C8">
        <w:rPr>
          <w:position w:val="-10"/>
        </w:rPr>
        <w:t>(76)</w:t>
      </w:r>
    </w:p>
    <w:p w:rsidR="00002BA6" w:rsidRPr="00B04DC3" w:rsidRDefault="00002BA6" w:rsidP="00002BA6">
      <w:pPr>
        <w:pStyle w:val="para"/>
        <w:rPr>
          <w:lang w:val="en-GB"/>
        </w:rPr>
      </w:pPr>
      <w:r w:rsidRPr="00B04DC3">
        <w:rPr>
          <w:lang w:val="en-GB"/>
        </w:rPr>
        <w:tab/>
      </w:r>
      <w:r w:rsidR="00D71F62" w:rsidRPr="00B04DC3">
        <w:rPr>
          <w:lang w:val="en-GB"/>
        </w:rPr>
        <w:t>Where</w:t>
      </w:r>
      <w:r w:rsidRPr="00B04DC3">
        <w:rPr>
          <w:lang w:val="en-GB"/>
        </w:rPr>
        <w:t>:</w:t>
      </w:r>
    </w:p>
    <w:p w:rsidR="00002BA6" w:rsidRPr="00B04DC3" w:rsidRDefault="00002BA6" w:rsidP="00002BA6">
      <w:pPr>
        <w:pStyle w:val="a"/>
        <w:ind w:left="3402" w:hanging="1134"/>
        <w:rPr>
          <w:lang w:val="en-GB"/>
        </w:rPr>
      </w:pPr>
      <w:r w:rsidRPr="00B04DC3">
        <w:rPr>
          <w:lang w:val="en-GB"/>
        </w:rPr>
        <w:t>c</w:t>
      </w:r>
      <w:r w:rsidRPr="00B04DC3">
        <w:rPr>
          <w:vertAlign w:val="subscript"/>
          <w:lang w:val="en-GB"/>
        </w:rPr>
        <w:t>HC(w/NMC)</w:t>
      </w:r>
      <w:r w:rsidRPr="00B04DC3">
        <w:rPr>
          <w:lang w:val="en-GB"/>
        </w:rPr>
        <w:tab/>
        <w:t>is the HC concentration with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flowing through the NMC, ppm C</w:t>
      </w:r>
    </w:p>
    <w:p w:rsidR="00002BA6" w:rsidRPr="00B04DC3" w:rsidRDefault="00002BA6" w:rsidP="00002BA6">
      <w:pPr>
        <w:pStyle w:val="a"/>
        <w:ind w:left="3402" w:hanging="1134"/>
        <w:rPr>
          <w:lang w:val="en-GB"/>
        </w:rPr>
      </w:pPr>
      <w:r w:rsidRPr="00B04DC3">
        <w:rPr>
          <w:lang w:val="en-GB"/>
        </w:rPr>
        <w:t>c</w:t>
      </w:r>
      <w:r w:rsidRPr="00B04DC3">
        <w:rPr>
          <w:vertAlign w:val="subscript"/>
          <w:lang w:val="en-GB"/>
        </w:rPr>
        <w:t>HC(w/o NMC)</w:t>
      </w:r>
      <w:r w:rsidRPr="00B04DC3">
        <w:rPr>
          <w:lang w:val="en-GB"/>
        </w:rPr>
        <w:tab/>
        <w:t>is the HC concentration with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bypassing the NMC, ppm C</w:t>
      </w:r>
    </w:p>
    <w:p w:rsidR="00002BA6" w:rsidRPr="00B04DC3" w:rsidRDefault="00002BA6" w:rsidP="00002BA6">
      <w:pPr>
        <w:pStyle w:val="para"/>
        <w:rPr>
          <w:lang w:val="en-GB" w:eastAsia="ja-JP"/>
        </w:rPr>
      </w:pPr>
      <w:r w:rsidRPr="00B04DC3">
        <w:rPr>
          <w:lang w:val="en-GB" w:eastAsia="ja-JP"/>
        </w:rPr>
        <w:t>9.3.9.</w:t>
      </w:r>
      <w:r w:rsidRPr="00B04DC3">
        <w:rPr>
          <w:lang w:val="en-GB" w:eastAsia="ja-JP"/>
        </w:rPr>
        <w:tab/>
      </w:r>
      <w:r w:rsidRPr="00B04DC3">
        <w:rPr>
          <w:lang w:val="en-GB"/>
        </w:rPr>
        <w:t>Interference</w:t>
      </w:r>
      <w:r w:rsidRPr="00B04DC3">
        <w:rPr>
          <w:lang w:val="en-GB" w:eastAsia="ja-JP"/>
        </w:rPr>
        <w:t xml:space="preserve"> effects</w:t>
      </w:r>
    </w:p>
    <w:p w:rsidR="00002BA6" w:rsidRPr="00B04DC3" w:rsidRDefault="00002BA6" w:rsidP="00002BA6">
      <w:pPr>
        <w:pStyle w:val="para"/>
        <w:rPr>
          <w:lang w:val="en-GB"/>
        </w:rPr>
      </w:pPr>
      <w:r w:rsidRPr="00B04DC3">
        <w:rPr>
          <w:lang w:val="en-GB"/>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w:t>
      </w:r>
      <w:r w:rsidR="000A32EC" w:rsidRPr="000A32EC">
        <w:rPr>
          <w:lang w:val="en-GB"/>
        </w:rPr>
        <w:t xml:space="preserve"> </w:t>
      </w:r>
      <w:r w:rsidR="000A32EC">
        <w:rPr>
          <w:lang w:val="en-GB"/>
        </w:rPr>
        <w:t>of this annex</w:t>
      </w:r>
      <w:r w:rsidRPr="00B04DC3">
        <w:rPr>
          <w:lang w:val="en-GB"/>
        </w:rPr>
        <w:t xml:space="preserve"> shall be performed prior to an analyzer's initial use and after major service intervals.</w:t>
      </w:r>
    </w:p>
    <w:p w:rsidR="00002BA6" w:rsidRPr="00B04DC3" w:rsidRDefault="00002BA6" w:rsidP="00002BA6">
      <w:pPr>
        <w:pStyle w:val="para"/>
        <w:rPr>
          <w:lang w:val="en-GB"/>
        </w:rPr>
      </w:pPr>
      <w:r w:rsidRPr="00B04DC3">
        <w:rPr>
          <w:lang w:val="en-GB"/>
        </w:rPr>
        <w:t>9.3.9.1.</w:t>
      </w:r>
      <w:r w:rsidRPr="00B04DC3">
        <w:rPr>
          <w:lang w:val="en-GB"/>
        </w:rPr>
        <w:tab/>
        <w:t>CO analyzer interference check</w:t>
      </w:r>
    </w:p>
    <w:p w:rsidR="00002BA6" w:rsidRPr="00B04DC3" w:rsidRDefault="00002BA6" w:rsidP="00002BA6">
      <w:pPr>
        <w:pStyle w:val="para"/>
        <w:rPr>
          <w:lang w:val="en-GB"/>
        </w:rPr>
      </w:pPr>
      <w:r w:rsidRPr="00B04DC3">
        <w:rPr>
          <w:lang w:val="en-GB"/>
        </w:rPr>
        <w:tab/>
        <w:t>Water and CO</w:t>
      </w:r>
      <w:r w:rsidRPr="00B04DC3">
        <w:rPr>
          <w:vertAlign w:val="subscript"/>
          <w:lang w:val="en-GB"/>
        </w:rPr>
        <w:t>2</w:t>
      </w:r>
      <w:r w:rsidRPr="00B04DC3">
        <w:rPr>
          <w:lang w:val="en-GB"/>
        </w:rPr>
        <w:t xml:space="preserve"> can interfere with the CO analyzer performance. Therefore, a CO</w:t>
      </w:r>
      <w:r w:rsidRPr="00B04DC3">
        <w:rPr>
          <w:vertAlign w:val="subscript"/>
          <w:lang w:val="en-GB"/>
        </w:rPr>
        <w:t>2</w:t>
      </w:r>
      <w:r w:rsidRPr="00B04DC3">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rsidR="00002BA6" w:rsidRPr="00B04DC3" w:rsidRDefault="00002BA6" w:rsidP="00002BA6">
      <w:pPr>
        <w:pStyle w:val="para"/>
        <w:rPr>
          <w:lang w:val="en-GB"/>
        </w:rPr>
      </w:pPr>
      <w:r w:rsidRPr="00B04DC3">
        <w:rPr>
          <w:lang w:val="en-GB"/>
        </w:rPr>
        <w:tab/>
        <w:t>Interference procedures for CO</w:t>
      </w:r>
      <w:r w:rsidRPr="00B04DC3">
        <w:rPr>
          <w:vertAlign w:val="subscript"/>
          <w:lang w:val="en-GB"/>
        </w:rPr>
        <w:t>2</w:t>
      </w:r>
      <w:r w:rsidRPr="00B04DC3">
        <w:rPr>
          <w:lang w:val="en-GB"/>
        </w:rPr>
        <w:t xml:space="preserve"> and H</w:t>
      </w:r>
      <w:r w:rsidRPr="00B04DC3">
        <w:rPr>
          <w:vertAlign w:val="subscript"/>
          <w:lang w:val="en-GB"/>
        </w:rPr>
        <w:t>2</w:t>
      </w:r>
      <w:r w:rsidRPr="00B04DC3">
        <w:rPr>
          <w:lang w:val="en-GB"/>
        </w:rPr>
        <w:t>O may also be run separately. If the CO</w:t>
      </w:r>
      <w:r w:rsidRPr="00B04DC3">
        <w:rPr>
          <w:vertAlign w:val="subscript"/>
          <w:lang w:val="en-GB"/>
        </w:rPr>
        <w:t>2</w:t>
      </w:r>
      <w:r w:rsidRPr="00B04DC3">
        <w:rPr>
          <w:lang w:val="en-GB"/>
        </w:rPr>
        <w:t xml:space="preserve"> and H</w:t>
      </w:r>
      <w:r w:rsidRPr="00B04DC3">
        <w:rPr>
          <w:vertAlign w:val="subscript"/>
          <w:lang w:val="en-GB"/>
        </w:rPr>
        <w:t>2</w:t>
      </w:r>
      <w:r w:rsidRPr="00B04DC3">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B04DC3">
        <w:rPr>
          <w:vertAlign w:val="subscript"/>
          <w:lang w:val="en-GB"/>
        </w:rPr>
        <w:t>2</w:t>
      </w:r>
      <w:r w:rsidRPr="00B04DC3">
        <w:rPr>
          <w:lang w:val="en-GB"/>
        </w:rPr>
        <w:t>O that are lower than the maximum levels expected during testing may be run, but the observed H</w:t>
      </w:r>
      <w:r w:rsidRPr="00B04DC3">
        <w:rPr>
          <w:vertAlign w:val="subscript"/>
          <w:lang w:val="en-GB"/>
        </w:rPr>
        <w:t>2</w:t>
      </w:r>
      <w:r w:rsidRPr="00B04DC3">
        <w:rPr>
          <w:lang w:val="en-GB"/>
        </w:rPr>
        <w:t>O interference shall be scaled up by multiplying the observed interference by the ratio of the maximum expected H</w:t>
      </w:r>
      <w:r w:rsidRPr="00B04DC3">
        <w:rPr>
          <w:vertAlign w:val="subscript"/>
          <w:lang w:val="en-GB"/>
        </w:rPr>
        <w:t>2</w:t>
      </w:r>
      <w:r w:rsidRPr="00B04DC3">
        <w:rPr>
          <w:lang w:val="en-GB"/>
        </w:rPr>
        <w:t>O concentration value to the actual value used during this procedure. The sum of the two scaled interference values shall meet the tolerance specified in this paragraph.</w:t>
      </w:r>
    </w:p>
    <w:p w:rsidR="00002BA6" w:rsidRPr="00B04DC3" w:rsidRDefault="00002BA6" w:rsidP="00002BA6">
      <w:pPr>
        <w:pStyle w:val="para"/>
        <w:rPr>
          <w:lang w:val="en-GB"/>
        </w:rPr>
      </w:pPr>
      <w:r w:rsidRPr="00B04DC3">
        <w:rPr>
          <w:lang w:val="en-GB"/>
        </w:rPr>
        <w:t>9.3.9.2.</w:t>
      </w:r>
      <w:r w:rsidRPr="00B04DC3">
        <w:rPr>
          <w:lang w:val="en-GB"/>
        </w:rPr>
        <w:tab/>
        <w:t>NO</w:t>
      </w:r>
      <w:r w:rsidRPr="00B04DC3">
        <w:rPr>
          <w:vertAlign w:val="subscript"/>
          <w:lang w:val="en-GB"/>
        </w:rPr>
        <w:t>x</w:t>
      </w:r>
      <w:r w:rsidRPr="00B04DC3">
        <w:rPr>
          <w:lang w:val="en-GB"/>
        </w:rPr>
        <w:t xml:space="preserve"> analyzer quench checks for CLD analyzer</w:t>
      </w:r>
    </w:p>
    <w:p w:rsidR="00002BA6" w:rsidRPr="00B04DC3" w:rsidRDefault="00002BA6" w:rsidP="00002BA6">
      <w:pPr>
        <w:pStyle w:val="para"/>
        <w:rPr>
          <w:lang w:val="en-GB"/>
        </w:rPr>
      </w:pPr>
      <w:r w:rsidRPr="00B04DC3">
        <w:rPr>
          <w:lang w:val="en-GB"/>
        </w:rPr>
        <w:tab/>
        <w:t>The two gases of concern for CLD (and HCLD) analyzers are CO</w:t>
      </w:r>
      <w:r w:rsidRPr="00B04DC3">
        <w:rPr>
          <w:vertAlign w:val="subscript"/>
          <w:lang w:val="en-GB"/>
        </w:rPr>
        <w:t>2</w:t>
      </w:r>
      <w:r w:rsidRPr="00B04DC3">
        <w:rPr>
          <w:lang w:val="en-GB"/>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B04DC3">
        <w:rPr>
          <w:vertAlign w:val="subscript"/>
          <w:lang w:val="en-GB"/>
        </w:rPr>
        <w:t>2</w:t>
      </w:r>
      <w:r w:rsidRPr="00B04DC3">
        <w:rPr>
          <w:lang w:val="en-GB"/>
        </w:rPr>
        <w:t>O and/or CO</w:t>
      </w:r>
      <w:r w:rsidRPr="00B04DC3">
        <w:rPr>
          <w:vertAlign w:val="subscript"/>
          <w:lang w:val="en-GB"/>
        </w:rPr>
        <w:t>2</w:t>
      </w:r>
      <w:r w:rsidRPr="00B04DC3">
        <w:rPr>
          <w:lang w:val="en-GB"/>
        </w:rPr>
        <w:t xml:space="preserve"> measurement instruments, quench shall be evaluated with these instruments active and with the compensation algorithms applied.</w:t>
      </w:r>
    </w:p>
    <w:p w:rsidR="00002BA6" w:rsidRPr="00B04DC3" w:rsidRDefault="00002BA6" w:rsidP="00002BA6">
      <w:pPr>
        <w:pStyle w:val="para"/>
        <w:rPr>
          <w:lang w:val="en-GB"/>
        </w:rPr>
      </w:pPr>
      <w:r w:rsidRPr="00B04DC3">
        <w:rPr>
          <w:lang w:val="en-GB"/>
        </w:rPr>
        <w:t>9.3.9.2.1.</w:t>
      </w:r>
      <w:r w:rsidRPr="00B04DC3">
        <w:rPr>
          <w:lang w:val="en-GB"/>
        </w:rPr>
        <w:tab/>
        <w:t>CO</w:t>
      </w:r>
      <w:r w:rsidRPr="00B04DC3">
        <w:rPr>
          <w:vertAlign w:val="subscript"/>
          <w:lang w:val="en-GB"/>
        </w:rPr>
        <w:t>2</w:t>
      </w:r>
      <w:r w:rsidRPr="00B04DC3">
        <w:rPr>
          <w:lang w:val="en-GB"/>
        </w:rPr>
        <w:t xml:space="preserve"> quench check</w:t>
      </w:r>
    </w:p>
    <w:p w:rsidR="00002BA6" w:rsidRPr="00B04DC3" w:rsidRDefault="00002BA6" w:rsidP="00002BA6">
      <w:pPr>
        <w:pStyle w:val="para"/>
        <w:rPr>
          <w:lang w:val="en-GB"/>
        </w:rPr>
      </w:pPr>
      <w:r w:rsidRPr="00B04DC3">
        <w:rPr>
          <w:lang w:val="en-GB"/>
        </w:rPr>
        <w:tab/>
        <w:t>A CO</w:t>
      </w:r>
      <w:r w:rsidRPr="00B04DC3">
        <w:rPr>
          <w:vertAlign w:val="subscript"/>
          <w:lang w:val="en-GB"/>
        </w:rPr>
        <w:t>2</w:t>
      </w:r>
      <w:r w:rsidRPr="00B04DC3">
        <w:rPr>
          <w:lang w:val="en-GB"/>
        </w:rPr>
        <w:t xml:space="preserve"> span gas having a concentration of 80 to 100 per cent of full scale of the maximum operating range shall be passed through the NDIR analyzer and the CO</w:t>
      </w:r>
      <w:r w:rsidRPr="00B04DC3">
        <w:rPr>
          <w:vertAlign w:val="subscript"/>
          <w:lang w:val="en-GB"/>
        </w:rPr>
        <w:t>2</w:t>
      </w:r>
      <w:r w:rsidRPr="00B04DC3">
        <w:rPr>
          <w:lang w:val="en-GB"/>
        </w:rPr>
        <w:t xml:space="preserve"> value recorded as A. It shall then be diluted approximately 50 per cent with NO span gas and passed through the NDIR and CLD, with the CO</w:t>
      </w:r>
      <w:r w:rsidRPr="00B04DC3">
        <w:rPr>
          <w:vertAlign w:val="subscript"/>
          <w:lang w:val="en-GB"/>
        </w:rPr>
        <w:t>2</w:t>
      </w:r>
      <w:r w:rsidRPr="00B04DC3">
        <w:rPr>
          <w:lang w:val="en-GB"/>
        </w:rPr>
        <w:t xml:space="preserve"> and NO values recorded as B and C, respectively. The CO</w:t>
      </w:r>
      <w:r w:rsidRPr="00B04DC3">
        <w:rPr>
          <w:vertAlign w:val="subscript"/>
          <w:lang w:val="en-GB"/>
        </w:rPr>
        <w:t>2</w:t>
      </w:r>
      <w:r w:rsidRPr="00B04DC3">
        <w:rPr>
          <w:lang w:val="en-GB"/>
        </w:rPr>
        <w:t xml:space="preserve"> shall then be shut off and only the NO span gas be passed through the (H)CLD and the NO value recorded as D.</w:t>
      </w:r>
    </w:p>
    <w:p w:rsidR="00002BA6" w:rsidRPr="00B04DC3" w:rsidRDefault="00002BA6" w:rsidP="00002BA6">
      <w:pPr>
        <w:pStyle w:val="para"/>
        <w:rPr>
          <w:lang w:val="en-GB"/>
        </w:rPr>
      </w:pPr>
      <w:r w:rsidRPr="00B04DC3">
        <w:rPr>
          <w:lang w:val="en-GB"/>
        </w:rPr>
        <w:tab/>
        <w:t>The per cent quench shall be calculated as follows:</w:t>
      </w:r>
    </w:p>
    <w:p w:rsidR="00002BA6" w:rsidRPr="00B824C8" w:rsidRDefault="00A905B7" w:rsidP="00002BA6">
      <w:pPr>
        <w:tabs>
          <w:tab w:val="right" w:pos="8511"/>
        </w:tabs>
        <w:ind w:left="3472" w:hanging="1204"/>
        <w:rPr>
          <w:i/>
        </w:rPr>
      </w:pPr>
      <w:r>
        <w:rPr>
          <w:i/>
          <w:position w:val="-32"/>
        </w:rPr>
      </w:r>
      <w:r>
        <w:rPr>
          <w:i/>
          <w:position w:val="-32"/>
        </w:rPr>
        <w:pict>
          <v:group id="_x0000_s4959" editas="canvas" style="width:169.95pt;height:35.5pt;mso-position-horizontal-relative:char;mso-position-vertical-relative:line" coordorigin=",-16" coordsize="3399,710">
            <o:lock v:ext="edit" aspectratio="t"/>
            <v:shape id="_x0000_s4960" type="#_x0000_t75" style="position:absolute;top:-16;width:3399;height:710" o:preferrelative="f">
              <v:fill o:detectmouseclick="t"/>
              <v:path o:extrusionok="t" o:connecttype="none"/>
              <o:lock v:ext="edit" text="t"/>
            </v:shape>
            <v:rect id="_x0000_s4961" style="position:absolute;left:1631;top:-16;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rect id="_x0000_s4962" style="position:absolute;left:2151;top:-16;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rect id="_x0000_s4963" style="position:absolute;left:1241;top:288;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rect id="_x0000_s4964" style="position:absolute;left:1776;top:288;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rect id="_x0000_s4965" style="position:absolute;left:2006;top:288;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rect id="_x0000_s4966" style="position:absolute;left:2542;top:288;width:94;height:343;mso-wrap-style:none" filled="f" stroked="f">
              <v:textbox style="mso-fit-shape-to-text:t" inset="0,0,0,0">
                <w:txbxContent>
                  <w:p w:rsidR="00A905B7" w:rsidRDefault="00A905B7">
                    <w:r>
                      <w:rPr>
                        <w:rFonts w:ascii="Symbol" w:hAnsi="Symbol" w:cs="Symbol"/>
                        <w:color w:val="000000"/>
                        <w:sz w:val="28"/>
                        <w:szCs w:val="28"/>
                      </w:rPr>
                      <w:t></w:t>
                    </w:r>
                  </w:p>
                </w:txbxContent>
              </v:textbox>
            </v:rect>
            <v:line id="_x0000_s4967" style="position:absolute" from="1230,350" to="2604,350" strokeweight=".45pt"/>
            <v:rect id="_x0000_s4968" style="position:absolute;left:2983;top:216;width:301;height:240;mso-wrap-style:none" filled="f" stroked="f">
              <v:textbox style="mso-fit-shape-to-text:t" inset="0,0,0,0">
                <w:txbxContent>
                  <w:p w:rsidR="00A905B7" w:rsidRPr="00B824C8" w:rsidRDefault="00A905B7">
                    <w:r w:rsidRPr="00B824C8">
                      <w:rPr>
                        <w:color w:val="000000"/>
                      </w:rPr>
                      <w:t>100</w:t>
                    </w:r>
                  </w:p>
                </w:txbxContent>
              </v:textbox>
            </v:rect>
            <v:rect id="_x0000_s4969" style="position:absolute;left:773;top:216;width:101;height:240;mso-wrap-style:none" filled="f" stroked="f">
              <v:textbox style="mso-fit-shape-to-text:t" inset="0,0,0,0">
                <w:txbxContent>
                  <w:p w:rsidR="00A905B7" w:rsidRPr="00B824C8" w:rsidRDefault="00A905B7">
                    <w:r w:rsidRPr="00B824C8">
                      <w:rPr>
                        <w:color w:val="000000"/>
                      </w:rPr>
                      <w:t>1</w:t>
                    </w:r>
                  </w:p>
                </w:txbxContent>
              </v:textbox>
            </v:rect>
            <v:rect id="_x0000_s4970" style="position:absolute;left:177;top:268;width:227;height:240;mso-wrap-style:none" filled="f" stroked="f">
              <v:textbox style="mso-fit-shape-to-text:t" inset="0,0,0,0">
                <w:txbxContent>
                  <w:p w:rsidR="00A905B7" w:rsidRDefault="00A905B7">
                    <w:r>
                      <w:rPr>
                        <w:color w:val="000000"/>
                        <w:sz w:val="12"/>
                        <w:szCs w:val="12"/>
                      </w:rPr>
                      <w:t>CO2</w:t>
                    </w:r>
                  </w:p>
                </w:txbxContent>
              </v:textbox>
            </v:rect>
            <v:rect id="_x0000_s4971" style="position:absolute;left:2820;top:192;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2" style="position:absolute;left:2714;top:23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3" style="position:absolute;left:2714;top:424;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4" style="position:absolute;left:2714;top:3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5" style="position:absolute;left:711;top:23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6" style="position:absolute;left:711;top:424;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7" style="position:absolute;left:711;top:31;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8" style="position:absolute;left:2629;top:27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79" style="position:absolute;left:2629;top:183;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0" style="position:absolute;left:2629;top:40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1" style="position:absolute;left:2629;top:4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2" style="position:absolute;left:1122;top:272;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3" style="position:absolute;left:1122;top:183;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4" style="position:absolute;left:1122;top:407;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5" style="position:absolute;left:1122;top:48;width:85;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6" style="position:absolute;left:2252;top:3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7" style="position:absolute;left:1862;top:3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8" style="position:absolute;left:1487;top:357;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89" style="position:absolute;left:1862;top:53;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90" style="position:absolute;left:936;top:192;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91" style="position:absolute;left:515;top:192;width:121;height:270;mso-wrap-style:none" filled="f" stroked="f">
              <v:textbox style="mso-fit-shape-to-text:t" inset="0,0,0,0">
                <w:txbxContent>
                  <w:p w:rsidR="00A905B7" w:rsidRDefault="00A905B7">
                    <w:r>
                      <w:rPr>
                        <w:rFonts w:ascii="Symbol" w:hAnsi="Symbol" w:cs="Symbol"/>
                        <w:color w:val="000000"/>
                        <w:sz w:val="22"/>
                        <w:szCs w:val="22"/>
                      </w:rPr>
                      <w:t></w:t>
                    </w:r>
                  </w:p>
                </w:txbxContent>
              </v:textbox>
            </v:rect>
            <v:rect id="_x0000_s4992" style="position:absolute;left:2401;top:381;width:134;height:240;mso-wrap-style:none" filled="f" stroked="f">
              <v:textbox style="mso-fit-shape-to-text:t" inset="0,0,0,0">
                <w:txbxContent>
                  <w:p w:rsidR="00A905B7" w:rsidRPr="00B824C8" w:rsidRDefault="00A905B7">
                    <w:r w:rsidRPr="00B824C8">
                      <w:rPr>
                        <w:iCs/>
                        <w:color w:val="000000"/>
                      </w:rPr>
                      <w:t>B</w:t>
                    </w:r>
                  </w:p>
                </w:txbxContent>
              </v:textbox>
            </v:rect>
            <v:rect id="_x0000_s4993" style="position:absolute;left:2078;top:381;width:145;height:240;mso-wrap-style:none" filled="f" stroked="f">
              <v:textbox style="mso-fit-shape-to-text:t" inset="0,0,0,0">
                <w:txbxContent>
                  <w:p w:rsidR="00A905B7" w:rsidRPr="00B824C8" w:rsidRDefault="00A905B7">
                    <w:r w:rsidRPr="00B824C8">
                      <w:rPr>
                        <w:iCs/>
                        <w:color w:val="000000"/>
                      </w:rPr>
                      <w:t>D</w:t>
                    </w:r>
                  </w:p>
                </w:txbxContent>
              </v:textbox>
            </v:rect>
            <v:rect id="_x0000_s4994" style="position:absolute;left:1645;top:381;width:145;height:240;mso-wrap-style:none" filled="f" stroked="f">
              <v:textbox style="mso-fit-shape-to-text:t" inset="0,0,0,0">
                <w:txbxContent>
                  <w:p w:rsidR="00A905B7" w:rsidRPr="00B824C8" w:rsidRDefault="00A905B7">
                    <w:r w:rsidRPr="00B824C8">
                      <w:rPr>
                        <w:iCs/>
                        <w:color w:val="000000"/>
                      </w:rPr>
                      <w:t>A</w:t>
                    </w:r>
                  </w:p>
                </w:txbxContent>
              </v:textbox>
            </v:rect>
            <v:rect id="_x0000_s4995" style="position:absolute;left:1312;top:381;width:145;height:240;mso-wrap-style:none" filled="f" stroked="f">
              <v:textbox style="mso-fit-shape-to-text:t" inset="0,0,0,0">
                <w:txbxContent>
                  <w:p w:rsidR="00A905B7" w:rsidRPr="00B824C8" w:rsidRDefault="00A905B7">
                    <w:r w:rsidRPr="00B824C8">
                      <w:rPr>
                        <w:iCs/>
                        <w:color w:val="000000"/>
                      </w:rPr>
                      <w:t>D</w:t>
                    </w:r>
                  </w:p>
                </w:txbxContent>
              </v:textbox>
            </v:rect>
            <v:rect id="_x0000_s4996" style="position:absolute;left:2020;top:77;width:145;height:240;mso-wrap-style:none" filled="f" stroked="f">
              <v:textbox style="mso-fit-shape-to-text:t" inset="0,0,0,0">
                <w:txbxContent>
                  <w:p w:rsidR="00A905B7" w:rsidRPr="00B824C8" w:rsidRDefault="00A905B7">
                    <w:r w:rsidRPr="00B824C8">
                      <w:rPr>
                        <w:iCs/>
                        <w:color w:val="000000"/>
                      </w:rPr>
                      <w:t>A</w:t>
                    </w:r>
                  </w:p>
                </w:txbxContent>
              </v:textbox>
            </v:rect>
            <v:rect id="_x0000_s4997" style="position:absolute;left:1690;top:77;width:134;height:240;mso-wrap-style:none" filled="f" stroked="f">
              <v:textbox style="mso-fit-shape-to-text:t" inset="0,0,0,0">
                <w:txbxContent>
                  <w:p w:rsidR="00A905B7" w:rsidRPr="00B824C8" w:rsidRDefault="00A905B7">
                    <w:r w:rsidRPr="00B824C8">
                      <w:rPr>
                        <w:iCs/>
                        <w:color w:val="000000"/>
                      </w:rPr>
                      <w:t>C</w:t>
                    </w:r>
                  </w:p>
                </w:txbxContent>
              </v:textbox>
            </v:rect>
            <v:rect id="_x0000_s4998" style="position:absolute;left:38;top:216;width:123;height:240;mso-wrap-style:none" filled="f" stroked="f">
              <v:textbox style="mso-fit-shape-to-text:t" inset="0,0,0,0">
                <w:txbxContent>
                  <w:p w:rsidR="00A905B7" w:rsidRPr="00B824C8" w:rsidRDefault="00A905B7">
                    <w:r w:rsidRPr="00B824C8">
                      <w:rPr>
                        <w:iCs/>
                        <w:color w:val="000000"/>
                      </w:rPr>
                      <w:t>E</w:t>
                    </w:r>
                  </w:p>
                </w:txbxContent>
              </v:textbox>
            </v:rect>
            <w10:wrap type="none"/>
            <w10:anchorlock/>
          </v:group>
        </w:pict>
      </w:r>
      <w:r w:rsidR="00002BA6" w:rsidRPr="00B824C8">
        <w:rPr>
          <w:i/>
        </w:rPr>
        <w:tab/>
      </w:r>
      <w:r w:rsidR="00002BA6" w:rsidRPr="00B824C8">
        <w:t>(77)</w:t>
      </w:r>
    </w:p>
    <w:p w:rsidR="00002BA6" w:rsidRPr="00B04DC3" w:rsidRDefault="00002BA6" w:rsidP="00002BA6">
      <w:pPr>
        <w:pStyle w:val="para"/>
        <w:rPr>
          <w:szCs w:val="24"/>
          <w:lang w:val="en-GB"/>
        </w:rPr>
      </w:pPr>
      <w:r w:rsidRPr="00B04DC3">
        <w:rPr>
          <w:szCs w:val="24"/>
          <w:lang w:val="en-GB"/>
        </w:rPr>
        <w:tab/>
      </w:r>
      <w:r w:rsidR="00D71F62" w:rsidRPr="00B04DC3">
        <w:rPr>
          <w:lang w:val="en-GB"/>
        </w:rPr>
        <w:t>Where</w:t>
      </w:r>
      <w:r w:rsidRPr="00B04DC3">
        <w:rPr>
          <w:szCs w:val="24"/>
          <w:lang w:val="en-GB"/>
        </w:rPr>
        <w:t>:</w:t>
      </w:r>
    </w:p>
    <w:p w:rsidR="00002BA6" w:rsidRPr="00B04DC3" w:rsidRDefault="00002BA6" w:rsidP="00002BA6">
      <w:pPr>
        <w:pStyle w:val="a"/>
        <w:rPr>
          <w:lang w:val="en-GB"/>
        </w:rPr>
      </w:pPr>
      <w:r w:rsidRPr="00B04DC3">
        <w:rPr>
          <w:sz w:val="24"/>
          <w:szCs w:val="24"/>
          <w:lang w:val="en-GB"/>
        </w:rPr>
        <w:t>A</w:t>
      </w:r>
      <w:r w:rsidRPr="00B04DC3">
        <w:rPr>
          <w:sz w:val="24"/>
          <w:szCs w:val="24"/>
          <w:lang w:val="en-GB"/>
        </w:rPr>
        <w:tab/>
      </w:r>
      <w:r w:rsidRPr="00B04DC3">
        <w:rPr>
          <w:lang w:val="en-GB"/>
        </w:rPr>
        <w:t>is the undiluted CO</w:t>
      </w:r>
      <w:r w:rsidRPr="000A32EC">
        <w:rPr>
          <w:vertAlign w:val="subscript"/>
          <w:lang w:val="en-GB"/>
        </w:rPr>
        <w:t>2</w:t>
      </w:r>
      <w:r w:rsidRPr="00B04DC3">
        <w:rPr>
          <w:lang w:val="en-GB"/>
        </w:rPr>
        <w:t xml:space="preserve"> concentration measured with NDIR, per cent</w:t>
      </w:r>
    </w:p>
    <w:p w:rsidR="00002BA6" w:rsidRPr="00B04DC3" w:rsidRDefault="00002BA6" w:rsidP="00002BA6">
      <w:pPr>
        <w:pStyle w:val="a"/>
        <w:rPr>
          <w:lang w:val="en-GB"/>
        </w:rPr>
      </w:pPr>
      <w:r w:rsidRPr="00B04DC3">
        <w:rPr>
          <w:sz w:val="24"/>
          <w:szCs w:val="24"/>
          <w:lang w:val="en-GB"/>
        </w:rPr>
        <w:t>B</w:t>
      </w:r>
      <w:r w:rsidRPr="00B04DC3">
        <w:rPr>
          <w:sz w:val="24"/>
          <w:szCs w:val="24"/>
          <w:lang w:val="en-GB"/>
        </w:rPr>
        <w:tab/>
      </w:r>
      <w:r w:rsidRPr="00B04DC3">
        <w:rPr>
          <w:lang w:val="en-GB"/>
        </w:rPr>
        <w:t>is the diluted CO</w:t>
      </w:r>
      <w:r w:rsidRPr="000A32EC">
        <w:rPr>
          <w:vertAlign w:val="subscript"/>
          <w:lang w:val="en-GB"/>
        </w:rPr>
        <w:t>2</w:t>
      </w:r>
      <w:r w:rsidRPr="00B04DC3">
        <w:rPr>
          <w:lang w:val="en-GB"/>
        </w:rPr>
        <w:t xml:space="preserve"> concentration measured with NDIR, per cent</w:t>
      </w:r>
    </w:p>
    <w:p w:rsidR="00002BA6" w:rsidRPr="00B04DC3" w:rsidRDefault="00002BA6" w:rsidP="00002BA6">
      <w:pPr>
        <w:pStyle w:val="a"/>
        <w:rPr>
          <w:lang w:val="en-GB"/>
        </w:rPr>
      </w:pPr>
      <w:r w:rsidRPr="00B04DC3">
        <w:rPr>
          <w:sz w:val="24"/>
          <w:szCs w:val="24"/>
          <w:lang w:val="en-GB"/>
        </w:rPr>
        <w:t>C</w:t>
      </w:r>
      <w:r w:rsidRPr="00B04DC3">
        <w:rPr>
          <w:sz w:val="24"/>
          <w:szCs w:val="24"/>
          <w:lang w:val="en-GB"/>
        </w:rPr>
        <w:tab/>
      </w:r>
      <w:r w:rsidRPr="00B04DC3">
        <w:rPr>
          <w:lang w:val="en-GB"/>
        </w:rPr>
        <w:t>is the diluted NO concentration measured with (H)CLD, ppm</w:t>
      </w:r>
    </w:p>
    <w:p w:rsidR="00002BA6" w:rsidRPr="00B04DC3" w:rsidRDefault="00002BA6" w:rsidP="00002BA6">
      <w:pPr>
        <w:pStyle w:val="a"/>
        <w:rPr>
          <w:lang w:val="en-GB"/>
        </w:rPr>
      </w:pPr>
      <w:r w:rsidRPr="00B04DC3">
        <w:rPr>
          <w:sz w:val="24"/>
          <w:szCs w:val="24"/>
          <w:lang w:val="en-GB"/>
        </w:rPr>
        <w:t>D</w:t>
      </w:r>
      <w:r w:rsidRPr="00B04DC3">
        <w:rPr>
          <w:sz w:val="24"/>
          <w:szCs w:val="24"/>
          <w:lang w:val="en-GB"/>
        </w:rPr>
        <w:tab/>
      </w:r>
      <w:r w:rsidRPr="00B04DC3">
        <w:rPr>
          <w:lang w:val="en-GB"/>
        </w:rPr>
        <w:t>is the undiluted NO concentration measured with (H)CLD, ppm</w:t>
      </w:r>
    </w:p>
    <w:p w:rsidR="00002BA6" w:rsidRPr="00B04DC3" w:rsidRDefault="00002BA6" w:rsidP="00002BA6">
      <w:pPr>
        <w:pStyle w:val="para"/>
        <w:rPr>
          <w:szCs w:val="24"/>
          <w:lang w:val="en-GB"/>
        </w:rPr>
      </w:pPr>
      <w:r w:rsidRPr="00B04DC3">
        <w:rPr>
          <w:szCs w:val="24"/>
          <w:lang w:val="en-GB"/>
        </w:rPr>
        <w:tab/>
        <w:t>Alternative methods of diluting and quantifying of CO</w:t>
      </w:r>
      <w:r w:rsidRPr="00B04DC3">
        <w:rPr>
          <w:szCs w:val="24"/>
          <w:vertAlign w:val="subscript"/>
          <w:lang w:val="en-GB"/>
        </w:rPr>
        <w:t>2</w:t>
      </w:r>
      <w:r w:rsidRPr="00B04DC3">
        <w:rPr>
          <w:szCs w:val="24"/>
          <w:lang w:val="en-GB"/>
        </w:rPr>
        <w:t xml:space="preserve"> and NO span gas values such as </w:t>
      </w:r>
      <w:r w:rsidRPr="00B04DC3">
        <w:rPr>
          <w:lang w:val="en-GB"/>
        </w:rPr>
        <w:t>dynamic</w:t>
      </w:r>
      <w:r w:rsidRPr="00B04DC3">
        <w:rPr>
          <w:szCs w:val="24"/>
          <w:lang w:val="en-GB"/>
        </w:rPr>
        <w:t xml:space="preserve"> mixing/blending are permitted with the approval of the </w:t>
      </w:r>
      <w:r w:rsidR="00925298">
        <w:rPr>
          <w:lang w:val="en-GB"/>
        </w:rPr>
        <w:t>T</w:t>
      </w:r>
      <w:r w:rsidR="00925298" w:rsidRPr="00B04DC3">
        <w:rPr>
          <w:lang w:val="en-GB"/>
        </w:rPr>
        <w:t xml:space="preserve">ype </w:t>
      </w:r>
      <w:r w:rsidR="00925298">
        <w:rPr>
          <w:lang w:val="en-GB"/>
        </w:rPr>
        <w:t>A</w:t>
      </w:r>
      <w:r w:rsidR="00925298" w:rsidRPr="00B04DC3">
        <w:rPr>
          <w:lang w:val="en-GB"/>
        </w:rPr>
        <w:t xml:space="preserve">pproval </w:t>
      </w:r>
      <w:r w:rsidR="00925298">
        <w:rPr>
          <w:lang w:val="en-GB"/>
        </w:rPr>
        <w:t>A</w:t>
      </w:r>
      <w:r w:rsidR="00925298" w:rsidRPr="00B04DC3">
        <w:rPr>
          <w:lang w:val="en-GB"/>
        </w:rPr>
        <w:t>uthority</w:t>
      </w:r>
      <w:r w:rsidRPr="00B04DC3">
        <w:rPr>
          <w:szCs w:val="24"/>
          <w:lang w:val="en-GB"/>
        </w:rPr>
        <w:t>.</w:t>
      </w:r>
    </w:p>
    <w:p w:rsidR="00002BA6" w:rsidRPr="00B04DC3" w:rsidRDefault="00002BA6" w:rsidP="00002BA6">
      <w:pPr>
        <w:pStyle w:val="para"/>
        <w:rPr>
          <w:szCs w:val="24"/>
          <w:lang w:val="en-GB"/>
        </w:rPr>
      </w:pPr>
      <w:r w:rsidRPr="00B04DC3">
        <w:rPr>
          <w:szCs w:val="24"/>
          <w:lang w:val="en-GB"/>
        </w:rPr>
        <w:t>9.3.9.2.2.</w:t>
      </w:r>
      <w:r w:rsidRPr="00B04DC3">
        <w:rPr>
          <w:szCs w:val="24"/>
          <w:lang w:val="en-GB"/>
        </w:rPr>
        <w:tab/>
        <w:t xml:space="preserve">Water </w:t>
      </w:r>
      <w:r w:rsidRPr="00B04DC3">
        <w:rPr>
          <w:lang w:val="en-GB"/>
        </w:rPr>
        <w:t>quench</w:t>
      </w:r>
      <w:r w:rsidRPr="00B04DC3">
        <w:rPr>
          <w:szCs w:val="24"/>
          <w:lang w:val="en-GB"/>
        </w:rPr>
        <w:t xml:space="preserve"> check</w:t>
      </w:r>
    </w:p>
    <w:p w:rsidR="00002BA6" w:rsidRPr="00B04DC3" w:rsidRDefault="00002BA6" w:rsidP="00002BA6">
      <w:pPr>
        <w:pStyle w:val="para"/>
        <w:rPr>
          <w:lang w:val="en-GB"/>
        </w:rPr>
      </w:pPr>
      <w:r w:rsidRPr="00B04DC3">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rsidR="00002BA6" w:rsidRPr="00B04DC3" w:rsidRDefault="00002BA6" w:rsidP="00002BA6">
      <w:pPr>
        <w:pStyle w:val="para"/>
        <w:rPr>
          <w:lang w:val="en-GB"/>
        </w:rPr>
      </w:pPr>
      <w:r w:rsidRPr="00B04DC3">
        <w:rPr>
          <w:lang w:val="en-GB"/>
        </w:rPr>
        <w:tab/>
        <w:t>A NO span gas having a concentration of 80 per cent to 100 per cent of full scale of the normal operating range shall be passed through the (H)CLD and the NO value recorded as D. The NO span gas shall then be bubbled through water at room temperature and passed through the (H)CLD and the NO value recorded as C. The water temperature shall be determined and recorded as F. The mixture's saturation vapour pressure that corresponds to the bubbler water temperature (F) shall be determined and recorded as G.</w:t>
      </w:r>
    </w:p>
    <w:p w:rsidR="00002BA6" w:rsidRPr="00B04DC3" w:rsidRDefault="00002BA6" w:rsidP="00002BA6">
      <w:pPr>
        <w:pStyle w:val="para"/>
        <w:rPr>
          <w:lang w:val="en-GB"/>
        </w:rPr>
      </w:pPr>
      <w:r w:rsidRPr="00B04DC3">
        <w:rPr>
          <w:lang w:val="en-GB"/>
        </w:rPr>
        <w:tab/>
        <w:t>The water vapour concentration (in per cent) of the mixture shall be calculated as follows:</w:t>
      </w:r>
    </w:p>
    <w:p w:rsidR="00002BA6" w:rsidRPr="00B04DC3" w:rsidRDefault="00002BA6" w:rsidP="000A32EC">
      <w:pPr>
        <w:tabs>
          <w:tab w:val="right" w:pos="8511"/>
        </w:tabs>
        <w:spacing w:after="120"/>
        <w:ind w:left="3470" w:hanging="1202"/>
        <w:rPr>
          <w:position w:val="-32"/>
        </w:rPr>
      </w:pPr>
      <w:r w:rsidRPr="00B04DC3">
        <w:rPr>
          <w:position w:val="-32"/>
        </w:rPr>
        <w:t>H = 100 x (G / pb)</w:t>
      </w:r>
      <w:r w:rsidRPr="00B04DC3">
        <w:rPr>
          <w:position w:val="-32"/>
        </w:rPr>
        <w:tab/>
        <w:t>(78)</w:t>
      </w:r>
    </w:p>
    <w:p w:rsidR="00002BA6" w:rsidRPr="00B04DC3" w:rsidRDefault="00002BA6" w:rsidP="00661039">
      <w:pPr>
        <w:pStyle w:val="para"/>
        <w:spacing w:after="0"/>
        <w:rPr>
          <w:lang w:val="en-GB"/>
        </w:rPr>
      </w:pPr>
      <w:r w:rsidRPr="00B04DC3">
        <w:rPr>
          <w:lang w:val="en-GB"/>
        </w:rPr>
        <w:tab/>
        <w:t>and recorded as H. The expected diluted NO span gas (in water vapour) concentration shall be calculated as follows:</w:t>
      </w:r>
    </w:p>
    <w:p w:rsidR="00002BA6" w:rsidRPr="00B04DC3" w:rsidRDefault="00661039" w:rsidP="00661039">
      <w:pPr>
        <w:tabs>
          <w:tab w:val="right" w:pos="8511"/>
        </w:tabs>
        <w:spacing w:after="80"/>
        <w:ind w:left="2268" w:right="1134" w:hanging="1134"/>
        <w:jc w:val="both"/>
        <w:rPr>
          <w:position w:val="-32"/>
        </w:rPr>
      </w:pPr>
      <w:r>
        <w:rPr>
          <w:position w:val="-32"/>
        </w:rPr>
        <w:tab/>
      </w:r>
      <w:r w:rsidR="00002BA6" w:rsidRPr="00B04DC3">
        <w:rPr>
          <w:position w:val="-32"/>
        </w:rPr>
        <w:t>De = D x ( 1- H / 100 )</w:t>
      </w:r>
      <w:r w:rsidR="00002BA6" w:rsidRPr="00B04DC3">
        <w:rPr>
          <w:position w:val="-32"/>
        </w:rPr>
        <w:tab/>
        <w:t>(79)</w:t>
      </w:r>
    </w:p>
    <w:p w:rsidR="00002BA6" w:rsidRPr="00B04DC3" w:rsidRDefault="00002BA6" w:rsidP="00002BA6">
      <w:pPr>
        <w:pStyle w:val="para"/>
        <w:rPr>
          <w:lang w:val="en-GB"/>
        </w:rPr>
      </w:pPr>
      <w:r w:rsidRPr="00B04DC3">
        <w:rPr>
          <w:lang w:val="en-GB"/>
        </w:rPr>
        <w:tab/>
        <w:t>and recorded as D</w:t>
      </w:r>
      <w:r w:rsidRPr="00B04DC3">
        <w:rPr>
          <w:vertAlign w:val="subscript"/>
          <w:lang w:val="en-GB"/>
        </w:rPr>
        <w:t>e</w:t>
      </w:r>
      <w:r w:rsidRPr="00B04DC3">
        <w:rPr>
          <w:lang w:val="en-GB"/>
        </w:rPr>
        <w:t>. For diesel exhaust, the maximum exhaust water vapour concentration (in per cent) expected during testing shall be estimated, under the assumption of a fuel H/C ratio of 1.8/1, from the maximum CO</w:t>
      </w:r>
      <w:r w:rsidRPr="00B04DC3">
        <w:rPr>
          <w:vertAlign w:val="subscript"/>
          <w:lang w:val="en-GB"/>
        </w:rPr>
        <w:t>2</w:t>
      </w:r>
      <w:r w:rsidRPr="00B04DC3">
        <w:rPr>
          <w:lang w:val="en-GB"/>
        </w:rPr>
        <w:t xml:space="preserve"> concentration in the exhaust gas A as follows:</w:t>
      </w:r>
    </w:p>
    <w:p w:rsidR="00002BA6" w:rsidRPr="00B04DC3" w:rsidRDefault="00002BA6" w:rsidP="00661039">
      <w:pPr>
        <w:tabs>
          <w:tab w:val="right" w:pos="8511"/>
        </w:tabs>
        <w:spacing w:after="80"/>
        <w:ind w:left="3470" w:hanging="1202"/>
      </w:pPr>
      <w:r w:rsidRPr="00B04DC3">
        <w:t>H</w:t>
      </w:r>
      <w:r w:rsidRPr="00B04DC3">
        <w:rPr>
          <w:vertAlign w:val="subscript"/>
        </w:rPr>
        <w:t>m</w:t>
      </w:r>
      <w:r w:rsidRPr="00B04DC3">
        <w:t xml:space="preserve"> = 0.9 </w:t>
      </w:r>
      <w:r w:rsidRPr="00B04DC3">
        <w:rPr>
          <w:rFonts w:ascii="Arial" w:hAnsi="Arial" w:cs="Arial"/>
        </w:rPr>
        <w:t>x</w:t>
      </w:r>
      <w:r w:rsidRPr="00B04DC3">
        <w:t xml:space="preserve"> A</w:t>
      </w:r>
      <w:r w:rsidRPr="00B04DC3">
        <w:tab/>
      </w:r>
      <w:r w:rsidRPr="00B04DC3">
        <w:tab/>
        <w:t>(80)</w:t>
      </w:r>
    </w:p>
    <w:p w:rsidR="00002BA6" w:rsidRPr="00B04DC3" w:rsidRDefault="00002BA6" w:rsidP="00002BA6">
      <w:pPr>
        <w:pStyle w:val="para"/>
        <w:rPr>
          <w:lang w:val="en-GB"/>
        </w:rPr>
      </w:pPr>
      <w:r w:rsidRPr="00B04DC3">
        <w:rPr>
          <w:lang w:val="en-GB"/>
        </w:rPr>
        <w:tab/>
        <w:t>and recorded as H</w:t>
      </w:r>
      <w:r w:rsidRPr="00B04DC3">
        <w:rPr>
          <w:vertAlign w:val="subscript"/>
          <w:lang w:val="en-GB"/>
        </w:rPr>
        <w:t>m</w:t>
      </w:r>
    </w:p>
    <w:p w:rsidR="00002BA6" w:rsidRPr="00B04DC3" w:rsidRDefault="00002BA6" w:rsidP="00002BA6">
      <w:pPr>
        <w:pStyle w:val="para"/>
        <w:rPr>
          <w:lang w:val="en-GB"/>
        </w:rPr>
      </w:pPr>
      <w:r w:rsidRPr="00B04DC3">
        <w:rPr>
          <w:lang w:val="en-GB"/>
        </w:rPr>
        <w:tab/>
        <w:t>The per cent water quench shall be calculated as follows:</w:t>
      </w:r>
    </w:p>
    <w:p w:rsidR="00002BA6" w:rsidRDefault="00002BA6" w:rsidP="00661039">
      <w:pPr>
        <w:tabs>
          <w:tab w:val="right" w:pos="8511"/>
        </w:tabs>
        <w:spacing w:after="120"/>
        <w:ind w:left="3470" w:hanging="1202"/>
      </w:pPr>
      <w:r w:rsidRPr="00B04DC3">
        <w:t>E</w:t>
      </w:r>
      <w:r w:rsidRPr="00B04DC3">
        <w:rPr>
          <w:vertAlign w:val="subscript"/>
        </w:rPr>
        <w:t>H2O</w:t>
      </w:r>
      <w:r w:rsidRPr="00B04DC3">
        <w:t xml:space="preserve"> = 100 </w:t>
      </w:r>
      <w:r w:rsidRPr="00B04DC3">
        <w:rPr>
          <w:rFonts w:ascii="Arial" w:hAnsi="Arial" w:cs="Arial"/>
        </w:rPr>
        <w:t>x</w:t>
      </w:r>
      <w:r w:rsidRPr="00B04DC3">
        <w:t xml:space="preserve"> ( ( D</w:t>
      </w:r>
      <w:r w:rsidRPr="00B04DC3">
        <w:rPr>
          <w:vertAlign w:val="subscript"/>
        </w:rPr>
        <w:t>e</w:t>
      </w:r>
      <w:r w:rsidRPr="00B04DC3">
        <w:t xml:space="preserve"> - C ) / D</w:t>
      </w:r>
      <w:r w:rsidRPr="00B04DC3">
        <w:rPr>
          <w:vertAlign w:val="subscript"/>
        </w:rPr>
        <w:t>e</w:t>
      </w:r>
      <w:r w:rsidRPr="00B04DC3">
        <w:t xml:space="preserve">) </w:t>
      </w:r>
      <w:r w:rsidRPr="00B04DC3">
        <w:rPr>
          <w:rFonts w:ascii="Arial" w:hAnsi="Arial" w:cs="Arial"/>
        </w:rPr>
        <w:t>x</w:t>
      </w:r>
      <w:r w:rsidRPr="00B04DC3">
        <w:t xml:space="preserve"> (H</w:t>
      </w:r>
      <w:r w:rsidRPr="00B04DC3">
        <w:rPr>
          <w:vertAlign w:val="subscript"/>
        </w:rPr>
        <w:t>m</w:t>
      </w:r>
      <w:r w:rsidRPr="00B04DC3">
        <w:t xml:space="preserve"> / H)</w:t>
      </w:r>
      <w:r w:rsidRPr="00B04DC3">
        <w:tab/>
        <w:t>(81)</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002BA6" w:rsidP="00661039">
      <w:pPr>
        <w:pStyle w:val="para"/>
        <w:spacing w:after="80"/>
        <w:rPr>
          <w:lang w:val="en-GB"/>
        </w:rPr>
      </w:pPr>
      <w:r w:rsidRPr="00B04DC3">
        <w:rPr>
          <w:lang w:val="en-GB"/>
        </w:rPr>
        <w:tab/>
        <w:t>D</w:t>
      </w:r>
      <w:r w:rsidRPr="00B04DC3">
        <w:rPr>
          <w:vertAlign w:val="subscript"/>
          <w:lang w:val="en-GB"/>
        </w:rPr>
        <w:t>e</w:t>
      </w:r>
      <w:r w:rsidRPr="00B04DC3">
        <w:rPr>
          <w:lang w:val="en-GB"/>
        </w:rPr>
        <w:tab/>
        <w:t>is the expected diluted NO concentration, ppm</w:t>
      </w:r>
    </w:p>
    <w:p w:rsidR="00002BA6" w:rsidRPr="00B04DC3" w:rsidRDefault="00002BA6" w:rsidP="00661039">
      <w:pPr>
        <w:pStyle w:val="para"/>
        <w:spacing w:after="80"/>
        <w:rPr>
          <w:lang w:val="en-GB"/>
        </w:rPr>
      </w:pPr>
      <w:r w:rsidRPr="00B04DC3">
        <w:rPr>
          <w:lang w:val="en-GB"/>
        </w:rPr>
        <w:tab/>
        <w:t>C</w:t>
      </w:r>
      <w:r w:rsidRPr="00B04DC3">
        <w:rPr>
          <w:lang w:val="en-GB"/>
        </w:rPr>
        <w:tab/>
        <w:t>is the measured diluted NO concentration, ppm</w:t>
      </w:r>
    </w:p>
    <w:p w:rsidR="00002BA6" w:rsidRPr="00B04DC3" w:rsidRDefault="00002BA6" w:rsidP="00661039">
      <w:pPr>
        <w:pStyle w:val="para"/>
        <w:spacing w:after="80"/>
        <w:rPr>
          <w:lang w:val="en-GB"/>
        </w:rPr>
      </w:pPr>
      <w:r w:rsidRPr="00B04DC3">
        <w:rPr>
          <w:lang w:val="en-GB"/>
        </w:rPr>
        <w:tab/>
        <w:t>H</w:t>
      </w:r>
      <w:r w:rsidRPr="00B04DC3">
        <w:rPr>
          <w:vertAlign w:val="subscript"/>
          <w:lang w:val="en-GB"/>
        </w:rPr>
        <w:t>m</w:t>
      </w:r>
      <w:r w:rsidRPr="00B04DC3">
        <w:rPr>
          <w:lang w:val="en-GB"/>
        </w:rPr>
        <w:tab/>
        <w:t>is the maximum water vapour concentration, per cent</w:t>
      </w:r>
    </w:p>
    <w:p w:rsidR="00002BA6" w:rsidRPr="00B04DC3" w:rsidRDefault="00002BA6" w:rsidP="00002BA6">
      <w:pPr>
        <w:pStyle w:val="para"/>
        <w:rPr>
          <w:lang w:val="en-GB"/>
        </w:rPr>
      </w:pPr>
      <w:r w:rsidRPr="00B04DC3">
        <w:rPr>
          <w:lang w:val="en-GB"/>
        </w:rPr>
        <w:tab/>
        <w:t>H</w:t>
      </w:r>
      <w:r w:rsidRPr="00B04DC3">
        <w:rPr>
          <w:lang w:val="en-GB"/>
        </w:rPr>
        <w:tab/>
        <w:t>is the actual water vapour concentration, per cent</w:t>
      </w:r>
    </w:p>
    <w:p w:rsidR="00002BA6" w:rsidRPr="00B04DC3" w:rsidRDefault="00002BA6" w:rsidP="00002BA6">
      <w:pPr>
        <w:pStyle w:val="para"/>
        <w:rPr>
          <w:lang w:val="en-GB"/>
        </w:rPr>
      </w:pPr>
      <w:r w:rsidRPr="00B04DC3">
        <w:rPr>
          <w:lang w:val="en-GB"/>
        </w:rPr>
        <w:t>9.3.9.2.3.</w:t>
      </w:r>
      <w:r w:rsidRPr="00B04DC3">
        <w:rPr>
          <w:lang w:val="en-GB"/>
        </w:rPr>
        <w:tab/>
        <w:t>Maximum allowable quench</w:t>
      </w:r>
    </w:p>
    <w:p w:rsidR="00002BA6" w:rsidRPr="00B04DC3" w:rsidRDefault="00002BA6" w:rsidP="00002BA6">
      <w:pPr>
        <w:pStyle w:val="para"/>
        <w:rPr>
          <w:lang w:val="en-GB"/>
        </w:rPr>
      </w:pPr>
      <w:r w:rsidRPr="00B04DC3">
        <w:rPr>
          <w:b/>
          <w:lang w:val="en-GB"/>
        </w:rPr>
        <w:tab/>
      </w:r>
      <w:r w:rsidRPr="00B04DC3">
        <w:rPr>
          <w:lang w:val="en-GB"/>
        </w:rPr>
        <w:t>The combined CO</w:t>
      </w:r>
      <w:r w:rsidRPr="00B04DC3">
        <w:rPr>
          <w:vertAlign w:val="subscript"/>
          <w:lang w:val="en-GB"/>
        </w:rPr>
        <w:t>2</w:t>
      </w:r>
      <w:r w:rsidRPr="00B04DC3">
        <w:rPr>
          <w:lang w:val="en-GB"/>
        </w:rPr>
        <w:t xml:space="preserve"> and water quench shall not exceed 2 per cent of full scale.</w:t>
      </w:r>
    </w:p>
    <w:p w:rsidR="00002BA6" w:rsidRPr="00B04DC3" w:rsidRDefault="00002BA6" w:rsidP="00002BA6">
      <w:pPr>
        <w:pStyle w:val="para"/>
        <w:rPr>
          <w:lang w:val="en-GB"/>
        </w:rPr>
      </w:pPr>
      <w:r w:rsidRPr="00B04DC3">
        <w:rPr>
          <w:lang w:val="en-GB"/>
        </w:rPr>
        <w:t>9.3.9.3.</w:t>
      </w:r>
      <w:r w:rsidRPr="00B04DC3">
        <w:rPr>
          <w:lang w:val="en-GB"/>
        </w:rPr>
        <w:tab/>
        <w:t>NO</w:t>
      </w:r>
      <w:r w:rsidRPr="00B04DC3">
        <w:rPr>
          <w:vertAlign w:val="subscript"/>
          <w:lang w:val="en-GB"/>
        </w:rPr>
        <w:t>x</w:t>
      </w:r>
      <w:r w:rsidRPr="00B04DC3">
        <w:rPr>
          <w:lang w:val="en-GB"/>
        </w:rPr>
        <w:t xml:space="preserve"> analyzer quench check for NDUV analyzer</w:t>
      </w:r>
    </w:p>
    <w:p w:rsidR="00002BA6" w:rsidRPr="00B04DC3" w:rsidRDefault="00002BA6" w:rsidP="00002BA6">
      <w:pPr>
        <w:pStyle w:val="para"/>
        <w:rPr>
          <w:lang w:val="en-GB"/>
        </w:rPr>
      </w:pPr>
      <w:r w:rsidRPr="00B04DC3">
        <w:rPr>
          <w:lang w:val="en-GB"/>
        </w:rPr>
        <w:tab/>
        <w:t>Hydrocarbons and H</w:t>
      </w:r>
      <w:r w:rsidRPr="00B04DC3">
        <w:rPr>
          <w:vertAlign w:val="subscript"/>
          <w:lang w:val="en-GB"/>
        </w:rPr>
        <w:t>2</w:t>
      </w:r>
      <w:r w:rsidRPr="00B04DC3">
        <w:rPr>
          <w:lang w:val="en-GB"/>
        </w:rPr>
        <w:t>O can positively interfere with a NDUV analyzer by causing a response similar to NO</w:t>
      </w:r>
      <w:r w:rsidRPr="00B04DC3">
        <w:rPr>
          <w:vertAlign w:val="subscript"/>
          <w:lang w:val="en-GB"/>
        </w:rPr>
        <w:t>x</w:t>
      </w:r>
      <w:r w:rsidRPr="00B04DC3">
        <w:rPr>
          <w:lang w:val="en-GB"/>
        </w:rPr>
        <w:t>. If the NDUV analyzer uses compensation algorithms that utilize measurements of other gases to meet this interference verification, simultaneously such measurements shall be conducted to test the algorithms during the analyzer interference verification.</w:t>
      </w:r>
    </w:p>
    <w:p w:rsidR="00002BA6" w:rsidRPr="00B04DC3" w:rsidRDefault="00002BA6" w:rsidP="00002BA6">
      <w:pPr>
        <w:pStyle w:val="para"/>
        <w:rPr>
          <w:lang w:val="en-GB"/>
        </w:rPr>
      </w:pPr>
      <w:r w:rsidRPr="00B04DC3">
        <w:rPr>
          <w:lang w:val="en-GB"/>
        </w:rPr>
        <w:t>9.3.9.3.1.</w:t>
      </w:r>
      <w:r w:rsidRPr="00B04DC3">
        <w:rPr>
          <w:lang w:val="en-GB"/>
        </w:rPr>
        <w:tab/>
        <w:t>Procedure</w:t>
      </w:r>
    </w:p>
    <w:p w:rsidR="00002BA6" w:rsidRPr="00B04DC3" w:rsidRDefault="00002BA6" w:rsidP="00002BA6">
      <w:pPr>
        <w:pStyle w:val="para"/>
        <w:rPr>
          <w:lang w:val="en-GB"/>
        </w:rPr>
      </w:pPr>
      <w:r w:rsidRPr="00B04DC3">
        <w:rPr>
          <w:lang w:val="en-GB"/>
        </w:rPr>
        <w:tab/>
        <w:t>The NDUV analyzer shall be started, operated, zeroed, and spanned according to the instrument manufacturer's instructions. It is recommended to extract engine exhaust to perform this verification. A CLD shall be used to quantify NO</w:t>
      </w:r>
      <w:r w:rsidRPr="00B04DC3">
        <w:rPr>
          <w:vertAlign w:val="subscript"/>
          <w:lang w:val="en-GB"/>
        </w:rPr>
        <w:t>x</w:t>
      </w:r>
      <w:r w:rsidRPr="00B04DC3">
        <w:rPr>
          <w:lang w:val="en-GB"/>
        </w:rPr>
        <w:t xml:space="preserve"> in the exhaust. The CLD response shall be used as the reference value. Also HC shall be measured in the exhaust with a FID analyzer. The FID response shall be used as the reference hydrocarbon value.</w:t>
      </w:r>
    </w:p>
    <w:p w:rsidR="00002BA6" w:rsidRPr="00B04DC3" w:rsidRDefault="00002BA6" w:rsidP="00002BA6">
      <w:pPr>
        <w:pStyle w:val="para"/>
        <w:rPr>
          <w:lang w:val="en-GB"/>
        </w:rPr>
      </w:pPr>
      <w:r w:rsidRPr="00B04DC3">
        <w:rPr>
          <w:lang w:val="en-GB"/>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B04DC3">
        <w:rPr>
          <w:szCs w:val="24"/>
          <w:lang w:val="en-GB"/>
        </w:rPr>
        <w:t>response</w:t>
      </w:r>
      <w:r w:rsidRPr="00B04DC3">
        <w:rPr>
          <w:lang w:val="en-GB"/>
        </w:rPr>
        <w:t>. While all analyzers measure the sample's concentration, 30 seconds of sampled data shall be recorded, and the arithmetic means for the three analyzers calculated.</w:t>
      </w:r>
    </w:p>
    <w:p w:rsidR="00002BA6" w:rsidRPr="00B04DC3" w:rsidRDefault="00002BA6" w:rsidP="00002BA6">
      <w:pPr>
        <w:pStyle w:val="para"/>
        <w:rPr>
          <w:lang w:val="en-GB"/>
        </w:rPr>
      </w:pPr>
      <w:r w:rsidRPr="00B04DC3">
        <w:rPr>
          <w:lang w:val="en-GB"/>
        </w:rPr>
        <w:tab/>
        <w:t>The CLD mean value shall be subtracted from the NDUV mean value. This difference shall be multiplied by the ratio of the expected mean HC concentration to the HC concentration measured during the verification, as follows:</w:t>
      </w:r>
    </w:p>
    <w:p w:rsidR="00002BA6" w:rsidRPr="00661039" w:rsidRDefault="00A905B7" w:rsidP="00002BA6">
      <w:pPr>
        <w:tabs>
          <w:tab w:val="right" w:pos="8511"/>
        </w:tabs>
        <w:ind w:left="3472" w:hanging="1204"/>
        <w:rPr>
          <w:position w:val="40"/>
        </w:rPr>
      </w:pPr>
      <w:r>
        <w:pict>
          <v:group id="_x0000_s4999" editas="canvas" style="width:201.55pt;height:42.45pt;mso-position-horizontal-relative:char;mso-position-vertical-relative:line" coordsize="4031,849">
            <o:lock v:ext="edit" aspectratio="t"/>
            <v:shape id="_x0000_s5000" type="#_x0000_t75" style="position:absolute;width:4031;height:849" o:preferrelative="f">
              <v:fill o:detectmouseclick="t"/>
              <v:path o:extrusionok="t" o:connecttype="none"/>
              <o:lock v:ext="edit" text="t"/>
            </v:shape>
            <v:rect id="_x0000_s5001" style="position:absolute;left:1003;top:14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5002" style="position:absolute;left:2878;top:156;width:120;height:441;mso-wrap-style:none" filled="f" stroked="f">
              <v:textbox style="mso-fit-shape-to-text:t" inset="0,0,0,0">
                <w:txbxContent>
                  <w:p w:rsidR="00A905B7" w:rsidRDefault="00A905B7">
                    <w:r>
                      <w:rPr>
                        <w:rFonts w:ascii="Symbol" w:hAnsi="Symbol" w:cs="Symbol"/>
                        <w:color w:val="000000"/>
                        <w:sz w:val="36"/>
                        <w:szCs w:val="36"/>
                      </w:rPr>
                      <w:t></w:t>
                    </w:r>
                  </w:p>
                </w:txbxContent>
              </v:textbox>
            </v:rect>
            <v:line id="_x0000_s5003" style="position:absolute" from="3253,460" to="3765,461" strokeweight=".5pt"/>
            <v:rect id="_x0000_s5004" style="position:absolute;left:3795;top:337;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05" style="position:absolute;left:3795;top:183;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06" style="position:absolute;left:3795;top:491;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07" style="position:absolute;left:3795;top:30;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08" style="position:absolute;left:3129;top:337;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09" style="position:absolute;left:3129;top:183;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0" style="position:absolute;left:3129;top:491;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1" style="position:absolute;left:3129;top:30;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2" style="position:absolute;left:2989;top:2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3" style="position:absolute;left:1843;top:2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4" style="position:absolute;left:804;top:26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15" style="position:absolute;left:3613;top:526;width:109;height:240;mso-wrap-style:none" filled="f" stroked="f">
              <v:textbox style="mso-fit-shape-to-text:t" inset="0,0,0,0">
                <w:txbxContent>
                  <w:p w:rsidR="00A905B7" w:rsidRDefault="00A905B7">
                    <w:r>
                      <w:rPr>
                        <w:color w:val="000000"/>
                        <w:sz w:val="14"/>
                        <w:szCs w:val="14"/>
                      </w:rPr>
                      <w:t>m</w:t>
                    </w:r>
                  </w:p>
                </w:txbxContent>
              </v:textbox>
            </v:rect>
            <v:rect id="_x0000_s5016" style="position:absolute;left:3379;top:526;width:230;height:240;mso-wrap-style:none" filled="f" stroked="f">
              <v:textbox style="mso-fit-shape-to-text:t" inset="0,0,0,0">
                <w:txbxContent>
                  <w:p w:rsidR="00A905B7" w:rsidRDefault="00A905B7">
                    <w:r>
                      <w:rPr>
                        <w:color w:val="000000"/>
                        <w:sz w:val="14"/>
                        <w:szCs w:val="14"/>
                      </w:rPr>
                      <w:t>HC,</w:t>
                    </w:r>
                  </w:p>
                </w:txbxContent>
              </v:textbox>
            </v:rect>
            <v:rect id="_x0000_s5017" style="position:absolute;left:3635;top:161;width:63;height:240;mso-wrap-style:none" filled="f" stroked="f">
              <v:textbox style="mso-fit-shape-to-text:t" inset="0,0,0,0">
                <w:txbxContent>
                  <w:p w:rsidR="00A905B7" w:rsidRDefault="00A905B7">
                    <w:r>
                      <w:rPr>
                        <w:color w:val="000000"/>
                        <w:sz w:val="14"/>
                        <w:szCs w:val="14"/>
                      </w:rPr>
                      <w:t>e</w:t>
                    </w:r>
                  </w:p>
                </w:txbxContent>
              </v:textbox>
            </v:rect>
            <v:rect id="_x0000_s5018" style="position:absolute;left:3404;top:161;width:230;height:240;mso-wrap-style:none" filled="f" stroked="f">
              <v:textbox style="mso-fit-shape-to-text:t" inset="0,0,0,0">
                <w:txbxContent>
                  <w:p w:rsidR="00A905B7" w:rsidRDefault="00A905B7">
                    <w:r>
                      <w:rPr>
                        <w:color w:val="000000"/>
                        <w:sz w:val="14"/>
                        <w:szCs w:val="14"/>
                      </w:rPr>
                      <w:t>HC,</w:t>
                    </w:r>
                  </w:p>
                </w:txbxContent>
              </v:textbox>
            </v:rect>
            <v:rect id="_x0000_s5019" style="position:absolute;left:2444;top:339;width:405;height:240;mso-wrap-style:none" filled="f" stroked="f">
              <v:textbox style="mso-fit-shape-to-text:t" inset="0,0,0,0">
                <w:txbxContent>
                  <w:p w:rsidR="00A905B7" w:rsidRDefault="00A905B7">
                    <w:r>
                      <w:rPr>
                        <w:color w:val="000000"/>
                        <w:sz w:val="14"/>
                        <w:szCs w:val="14"/>
                      </w:rPr>
                      <w:t>NDUV</w:t>
                    </w:r>
                  </w:p>
                </w:txbxContent>
              </v:textbox>
            </v:rect>
            <v:rect id="_x0000_s5020" style="position:absolute;left:2130;top:339;width:283;height:397;mso-wrap-style:none" filled="f" stroked="f">
              <v:textbox inset="0,0,0,0">
                <w:txbxContent>
                  <w:p w:rsidR="00A905B7" w:rsidRDefault="00A905B7">
                    <w:r>
                      <w:rPr>
                        <w:color w:val="000000"/>
                        <w:sz w:val="14"/>
                        <w:szCs w:val="14"/>
                      </w:rPr>
                      <w:t>NO</w:t>
                    </w:r>
                    <w:r w:rsidRPr="00661039">
                      <w:rPr>
                        <w:color w:val="000000"/>
                        <w:sz w:val="14"/>
                        <w:szCs w:val="14"/>
                        <w:vertAlign w:val="subscript"/>
                      </w:rPr>
                      <w:t>x</w:t>
                    </w:r>
                    <w:r>
                      <w:rPr>
                        <w:color w:val="000000"/>
                        <w:sz w:val="14"/>
                        <w:szCs w:val="14"/>
                      </w:rPr>
                      <w:t>,</w:t>
                    </w:r>
                  </w:p>
                </w:txbxContent>
              </v:textbox>
            </v:rect>
            <v:rect id="_x0000_s5021" style="position:absolute;left:1491;top:339;width:281;height:240;mso-wrap-style:none" filled="f" stroked="f">
              <v:textbox style="mso-fit-shape-to-text:t" inset="0,0,0,0">
                <w:txbxContent>
                  <w:p w:rsidR="00A905B7" w:rsidRDefault="00A905B7">
                    <w:r>
                      <w:rPr>
                        <w:color w:val="000000"/>
                        <w:sz w:val="14"/>
                        <w:szCs w:val="14"/>
                      </w:rPr>
                      <w:t>CLD</w:t>
                    </w:r>
                  </w:p>
                </w:txbxContent>
              </v:textbox>
            </v:rect>
            <v:rect id="_x0000_s5022" style="position:absolute;left:1183;top:339;width:283;height:240;mso-wrap-style:none" filled="f" stroked="f">
              <v:textbox style="mso-fit-shape-to-text:t" inset="0,0,0,0">
                <w:txbxContent>
                  <w:p w:rsidR="00A905B7" w:rsidRDefault="00A905B7">
                    <w:r>
                      <w:rPr>
                        <w:color w:val="000000"/>
                        <w:sz w:val="14"/>
                        <w:szCs w:val="14"/>
                      </w:rPr>
                      <w:t>NO</w:t>
                    </w:r>
                    <w:r w:rsidRPr="00661039">
                      <w:rPr>
                        <w:color w:val="000000"/>
                        <w:sz w:val="14"/>
                        <w:szCs w:val="14"/>
                        <w:vertAlign w:val="subscript"/>
                      </w:rPr>
                      <w:t>x</w:t>
                    </w:r>
                    <w:r>
                      <w:rPr>
                        <w:color w:val="000000"/>
                        <w:sz w:val="14"/>
                        <w:szCs w:val="14"/>
                      </w:rPr>
                      <w:t>,</w:t>
                    </w:r>
                  </w:p>
                </w:txbxContent>
              </v:textbox>
            </v:rect>
            <v:rect id="_x0000_s5023" style="position:absolute;left:199;top:339;width:506;height:240;mso-wrap-style:none" filled="f" stroked="f">
              <v:textbox style="mso-fit-shape-to-text:t" inset="0,0,0,0">
                <w:txbxContent>
                  <w:p w:rsidR="00A905B7" w:rsidRDefault="00A905B7">
                    <w:r>
                      <w:rPr>
                        <w:color w:val="000000"/>
                        <w:sz w:val="14"/>
                        <w:szCs w:val="14"/>
                      </w:rPr>
                      <w:t>HC/H2O</w:t>
                    </w:r>
                  </w:p>
                </w:txbxContent>
              </v:textbox>
            </v:rect>
            <v:rect id="_x0000_s5024" style="position:absolute;left:3266;top:433;width:89;height:240;mso-wrap-style:none" filled="f" stroked="f">
              <v:textbox style="mso-fit-shape-to-text:t" inset="0,0,0,0">
                <w:txbxContent>
                  <w:p w:rsidR="00A905B7" w:rsidRPr="00B178E3" w:rsidRDefault="00A905B7">
                    <w:r w:rsidRPr="00B178E3">
                      <w:rPr>
                        <w:iCs/>
                        <w:color w:val="000000"/>
                        <w:szCs w:val="24"/>
                      </w:rPr>
                      <w:t>c</w:t>
                    </w:r>
                  </w:p>
                </w:txbxContent>
              </v:textbox>
            </v:rect>
            <v:rect id="_x0000_s5025" style="position:absolute;left:3291;top:68;width:89;height:240;mso-wrap-style:none" filled="f" stroked="f">
              <v:textbox style="mso-fit-shape-to-text:t" inset="0,0,0,0">
                <w:txbxContent>
                  <w:p w:rsidR="00A905B7" w:rsidRPr="00B178E3" w:rsidRDefault="00A905B7">
                    <w:r w:rsidRPr="00B178E3">
                      <w:rPr>
                        <w:iCs/>
                        <w:color w:val="000000"/>
                        <w:szCs w:val="24"/>
                      </w:rPr>
                      <w:t>c</w:t>
                    </w:r>
                  </w:p>
                </w:txbxContent>
              </v:textbox>
            </v:rect>
            <v:rect id="_x0000_s5026" style="position:absolute;left:2013;top:246;width:89;height:240;mso-wrap-style:none" filled="f" stroked="f">
              <v:textbox style="mso-fit-shape-to-text:t" inset="0,0,0,0">
                <w:txbxContent>
                  <w:p w:rsidR="00A905B7" w:rsidRPr="00B178E3" w:rsidRDefault="00A905B7">
                    <w:r w:rsidRPr="00B178E3">
                      <w:rPr>
                        <w:iCs/>
                        <w:color w:val="000000"/>
                        <w:szCs w:val="24"/>
                      </w:rPr>
                      <w:t>c</w:t>
                    </w:r>
                  </w:p>
                </w:txbxContent>
              </v:textbox>
            </v:rect>
            <v:rect id="_x0000_s5027" style="position:absolute;left:1066;top:246;width:89;height:240;mso-wrap-style:none" filled="f" stroked="f">
              <v:textbox style="mso-fit-shape-to-text:t" inset="0,0,0,0">
                <w:txbxContent>
                  <w:p w:rsidR="00A905B7" w:rsidRPr="00B178E3" w:rsidRDefault="00A905B7">
                    <w:r w:rsidRPr="00B178E3">
                      <w:rPr>
                        <w:iCs/>
                        <w:color w:val="000000"/>
                        <w:szCs w:val="24"/>
                      </w:rPr>
                      <w:t>c</w:t>
                    </w:r>
                  </w:p>
                </w:txbxContent>
              </v:textbox>
            </v:rect>
            <v:rect id="_x0000_s5028" style="position:absolute;left:44;top:246;width:123;height:240;mso-wrap-style:none" filled="f" stroked="f">
              <v:textbox style="mso-fit-shape-to-text:t" inset="0,0,0,0">
                <w:txbxContent>
                  <w:p w:rsidR="00A905B7" w:rsidRPr="00B178E3" w:rsidRDefault="00A905B7">
                    <w:r w:rsidRPr="00B178E3">
                      <w:rPr>
                        <w:iCs/>
                        <w:color w:val="000000"/>
                        <w:szCs w:val="24"/>
                      </w:rPr>
                      <w:t>E</w:t>
                    </w:r>
                  </w:p>
                </w:txbxContent>
              </v:textbox>
            </v:rect>
            <w10:wrap type="none"/>
            <w10:anchorlock/>
          </v:group>
        </w:pict>
      </w:r>
      <w:r w:rsidR="00002BA6" w:rsidRPr="00661039">
        <w:rPr>
          <w:position w:val="40"/>
        </w:rPr>
        <w:tab/>
        <w:t>(82)</w:t>
      </w:r>
    </w:p>
    <w:p w:rsidR="00002BA6" w:rsidRPr="00B04DC3" w:rsidRDefault="00002BA6" w:rsidP="00002BA6">
      <w:pPr>
        <w:pStyle w:val="para"/>
        <w:rPr>
          <w:lang w:val="en-GB"/>
        </w:rPr>
      </w:pPr>
      <w:r w:rsidRPr="00B04DC3">
        <w:rPr>
          <w:lang w:val="en-GB"/>
        </w:rPr>
        <w:tab/>
      </w:r>
      <w:r w:rsidR="00ED6381" w:rsidRPr="00B04DC3">
        <w:rPr>
          <w:szCs w:val="24"/>
          <w:lang w:val="en-GB"/>
        </w:rPr>
        <w:t>Where</w:t>
      </w:r>
      <w:r w:rsidRPr="00B04DC3">
        <w:rPr>
          <w:szCs w:val="24"/>
          <w:lang w:val="en-GB"/>
        </w:rPr>
        <w:t>:</w:t>
      </w:r>
    </w:p>
    <w:p w:rsidR="00002BA6" w:rsidRPr="00B04DC3" w:rsidRDefault="00002BA6" w:rsidP="00002BA6">
      <w:pPr>
        <w:pStyle w:val="para"/>
        <w:tabs>
          <w:tab w:val="right" w:pos="8500"/>
        </w:tabs>
        <w:ind w:left="3400" w:hanging="1132"/>
        <w:rPr>
          <w:lang w:val="en-GB"/>
        </w:rPr>
      </w:pPr>
      <w:r w:rsidRPr="00B04DC3">
        <w:rPr>
          <w:lang w:val="en-GB"/>
        </w:rPr>
        <w:t>c</w:t>
      </w:r>
      <w:r w:rsidRPr="00B04DC3">
        <w:rPr>
          <w:vertAlign w:val="subscript"/>
          <w:lang w:val="en-GB"/>
        </w:rPr>
        <w:t>NOx,CLD</w:t>
      </w:r>
      <w:r w:rsidRPr="00B04DC3">
        <w:rPr>
          <w:lang w:val="en-GB"/>
        </w:rPr>
        <w:tab/>
        <w:t>is the measured NO</w:t>
      </w:r>
      <w:r w:rsidRPr="00B04DC3">
        <w:rPr>
          <w:vertAlign w:val="subscript"/>
          <w:lang w:val="en-GB"/>
        </w:rPr>
        <w:t>x</w:t>
      </w:r>
      <w:r w:rsidRPr="00B04DC3">
        <w:rPr>
          <w:lang w:val="en-GB"/>
        </w:rPr>
        <w:t xml:space="preserve"> concentration with CLD, ppm</w:t>
      </w:r>
    </w:p>
    <w:p w:rsidR="00002BA6" w:rsidRPr="00B04DC3" w:rsidRDefault="00002BA6" w:rsidP="00002BA6">
      <w:pPr>
        <w:pStyle w:val="para"/>
        <w:tabs>
          <w:tab w:val="right" w:pos="8500"/>
        </w:tabs>
        <w:ind w:left="3400" w:hanging="1132"/>
        <w:rPr>
          <w:lang w:val="en-GB"/>
        </w:rPr>
      </w:pPr>
      <w:r w:rsidRPr="00B04DC3">
        <w:rPr>
          <w:lang w:val="en-GB"/>
        </w:rPr>
        <w:t>c</w:t>
      </w:r>
      <w:r w:rsidRPr="00B04DC3">
        <w:rPr>
          <w:vertAlign w:val="subscript"/>
          <w:lang w:val="en-GB"/>
        </w:rPr>
        <w:t>NOx,NDUV</w:t>
      </w:r>
      <w:r w:rsidRPr="00B04DC3">
        <w:rPr>
          <w:lang w:val="en-GB"/>
        </w:rPr>
        <w:tab/>
        <w:t>is the measured NO</w:t>
      </w:r>
      <w:r w:rsidRPr="00B04DC3">
        <w:rPr>
          <w:vertAlign w:val="subscript"/>
          <w:lang w:val="en-GB"/>
        </w:rPr>
        <w:t>x</w:t>
      </w:r>
      <w:r w:rsidRPr="00B04DC3">
        <w:rPr>
          <w:lang w:val="en-GB"/>
        </w:rPr>
        <w:t xml:space="preserve"> concentration with NDUV, ppm</w:t>
      </w:r>
    </w:p>
    <w:p w:rsidR="00002BA6" w:rsidRPr="00B04DC3" w:rsidRDefault="00002BA6" w:rsidP="00002BA6">
      <w:pPr>
        <w:pStyle w:val="para"/>
        <w:tabs>
          <w:tab w:val="right" w:pos="8500"/>
        </w:tabs>
        <w:ind w:left="3400" w:hanging="1132"/>
        <w:rPr>
          <w:lang w:val="en-GB"/>
        </w:rPr>
      </w:pPr>
      <w:r w:rsidRPr="00B04DC3">
        <w:rPr>
          <w:lang w:val="en-GB"/>
        </w:rPr>
        <w:t>c</w:t>
      </w:r>
      <w:r w:rsidRPr="00B04DC3">
        <w:rPr>
          <w:vertAlign w:val="subscript"/>
          <w:lang w:val="en-GB"/>
        </w:rPr>
        <w:t>HC,e</w:t>
      </w:r>
      <w:r w:rsidRPr="00B04DC3">
        <w:rPr>
          <w:vertAlign w:val="subscript"/>
          <w:lang w:val="en-GB"/>
        </w:rPr>
        <w:tab/>
      </w:r>
      <w:r w:rsidRPr="00B04DC3">
        <w:rPr>
          <w:lang w:val="en-GB"/>
        </w:rPr>
        <w:t>is the expected max. HC concentration, ppm</w:t>
      </w:r>
    </w:p>
    <w:p w:rsidR="00002BA6" w:rsidRPr="00B04DC3" w:rsidRDefault="00002BA6" w:rsidP="00002BA6">
      <w:pPr>
        <w:pStyle w:val="para"/>
        <w:tabs>
          <w:tab w:val="right" w:pos="8500"/>
        </w:tabs>
        <w:ind w:left="3400" w:hanging="1132"/>
        <w:rPr>
          <w:lang w:val="en-GB"/>
        </w:rPr>
      </w:pPr>
      <w:r w:rsidRPr="00B04DC3">
        <w:rPr>
          <w:lang w:val="en-GB"/>
        </w:rPr>
        <w:t>c</w:t>
      </w:r>
      <w:r w:rsidRPr="00B04DC3">
        <w:rPr>
          <w:vertAlign w:val="subscript"/>
          <w:lang w:val="en-GB"/>
        </w:rPr>
        <w:t>HC,m</w:t>
      </w:r>
      <w:r w:rsidRPr="00B04DC3">
        <w:rPr>
          <w:vertAlign w:val="subscript"/>
          <w:lang w:val="en-GB"/>
        </w:rPr>
        <w:tab/>
      </w:r>
      <w:r w:rsidRPr="00B04DC3">
        <w:rPr>
          <w:lang w:val="en-GB"/>
        </w:rPr>
        <w:t>is the measured HC concentration, ppm.</w:t>
      </w:r>
    </w:p>
    <w:p w:rsidR="00002BA6" w:rsidRPr="00B04DC3" w:rsidRDefault="00002BA6" w:rsidP="00002BA6">
      <w:pPr>
        <w:pStyle w:val="para"/>
        <w:rPr>
          <w:lang w:val="en-GB"/>
        </w:rPr>
      </w:pPr>
      <w:r w:rsidRPr="00B04DC3">
        <w:rPr>
          <w:lang w:val="en-GB"/>
        </w:rPr>
        <w:t>9.3.9.3.2.</w:t>
      </w:r>
      <w:r w:rsidRPr="00B04DC3">
        <w:rPr>
          <w:lang w:val="en-GB"/>
        </w:rPr>
        <w:tab/>
        <w:t>Maximum allowable quench</w:t>
      </w:r>
    </w:p>
    <w:p w:rsidR="00002BA6" w:rsidRPr="00B04DC3" w:rsidRDefault="00002BA6" w:rsidP="00002BA6">
      <w:pPr>
        <w:pStyle w:val="para"/>
        <w:rPr>
          <w:lang w:val="en-GB"/>
        </w:rPr>
      </w:pPr>
      <w:r w:rsidRPr="00B04DC3">
        <w:rPr>
          <w:lang w:val="en-GB"/>
        </w:rPr>
        <w:tab/>
        <w:t xml:space="preserve">The </w:t>
      </w:r>
      <w:r w:rsidRPr="00B04DC3">
        <w:rPr>
          <w:szCs w:val="24"/>
          <w:lang w:val="en-GB"/>
        </w:rPr>
        <w:t>combined</w:t>
      </w:r>
      <w:r w:rsidRPr="00B04DC3">
        <w:rPr>
          <w:lang w:val="en-GB"/>
        </w:rPr>
        <w:t xml:space="preserve"> HC and water quench shall not exceed 2 per cent of the NO</w:t>
      </w:r>
      <w:r w:rsidRPr="00B04DC3">
        <w:rPr>
          <w:vertAlign w:val="subscript"/>
          <w:lang w:val="en-GB"/>
        </w:rPr>
        <w:t>x</w:t>
      </w:r>
      <w:r w:rsidRPr="00B04DC3">
        <w:rPr>
          <w:lang w:val="en-GB"/>
        </w:rPr>
        <w:t xml:space="preserve"> concentration expected during testing.</w:t>
      </w:r>
    </w:p>
    <w:p w:rsidR="00002BA6" w:rsidRPr="00B04DC3" w:rsidRDefault="00002BA6" w:rsidP="00002BA6">
      <w:pPr>
        <w:pStyle w:val="para"/>
        <w:rPr>
          <w:lang w:val="en-GB"/>
        </w:rPr>
      </w:pPr>
      <w:r w:rsidRPr="00B04DC3">
        <w:rPr>
          <w:lang w:val="en-GB"/>
        </w:rPr>
        <w:t>9.3.9.4.</w:t>
      </w:r>
      <w:r w:rsidRPr="00B04DC3">
        <w:rPr>
          <w:lang w:val="en-GB"/>
        </w:rPr>
        <w:tab/>
        <w:t xml:space="preserve">Sample </w:t>
      </w:r>
      <w:r w:rsidRPr="00B04DC3">
        <w:rPr>
          <w:szCs w:val="24"/>
          <w:lang w:val="en-GB"/>
        </w:rPr>
        <w:t>dryer</w:t>
      </w:r>
    </w:p>
    <w:p w:rsidR="00002BA6" w:rsidRPr="00B04DC3" w:rsidRDefault="00002BA6" w:rsidP="00002BA6">
      <w:pPr>
        <w:pStyle w:val="para"/>
        <w:rPr>
          <w:lang w:val="en-GB"/>
        </w:rPr>
      </w:pPr>
      <w:r w:rsidRPr="00B04DC3">
        <w:rPr>
          <w:lang w:val="en-GB"/>
        </w:rPr>
        <w:tab/>
        <w:t>A sample dryer removes water, which can otherwise interfere with a NO</w:t>
      </w:r>
      <w:r w:rsidRPr="00B04DC3">
        <w:rPr>
          <w:vertAlign w:val="subscript"/>
          <w:lang w:val="en-GB"/>
        </w:rPr>
        <w:t>x</w:t>
      </w:r>
      <w:r w:rsidRPr="00B04DC3">
        <w:rPr>
          <w:lang w:val="en-GB"/>
        </w:rPr>
        <w:t xml:space="preserve"> </w:t>
      </w:r>
      <w:r w:rsidRPr="00B04DC3">
        <w:rPr>
          <w:szCs w:val="24"/>
          <w:lang w:val="en-GB"/>
        </w:rPr>
        <w:t>measurement</w:t>
      </w:r>
      <w:r w:rsidRPr="00B04DC3">
        <w:rPr>
          <w:lang w:val="en-GB"/>
        </w:rPr>
        <w:t>.</w:t>
      </w:r>
    </w:p>
    <w:p w:rsidR="00002BA6" w:rsidRPr="00B04DC3" w:rsidRDefault="00002BA6" w:rsidP="00002BA6">
      <w:pPr>
        <w:pStyle w:val="para"/>
        <w:rPr>
          <w:lang w:val="en-GB"/>
        </w:rPr>
      </w:pPr>
      <w:r w:rsidRPr="00B04DC3">
        <w:rPr>
          <w:lang w:val="en-GB"/>
        </w:rPr>
        <w:t>9.3.9.4.1.</w:t>
      </w:r>
      <w:r w:rsidRPr="00B04DC3">
        <w:rPr>
          <w:lang w:val="en-GB"/>
        </w:rPr>
        <w:tab/>
        <w:t xml:space="preserve">Sample </w:t>
      </w:r>
      <w:r w:rsidRPr="00B04DC3">
        <w:rPr>
          <w:szCs w:val="24"/>
          <w:lang w:val="en-GB"/>
        </w:rPr>
        <w:t>dryer</w:t>
      </w:r>
      <w:r w:rsidRPr="00B04DC3">
        <w:rPr>
          <w:lang w:val="en-GB"/>
        </w:rPr>
        <w:t xml:space="preserve"> efficiency</w:t>
      </w:r>
    </w:p>
    <w:p w:rsidR="00002BA6" w:rsidRPr="00B04DC3" w:rsidRDefault="00002BA6" w:rsidP="00002BA6">
      <w:pPr>
        <w:pStyle w:val="para"/>
        <w:rPr>
          <w:lang w:val="en-GB"/>
        </w:rPr>
      </w:pPr>
      <w:r w:rsidRPr="00B04DC3">
        <w:rPr>
          <w:lang w:val="en-GB"/>
        </w:rPr>
        <w:tab/>
        <w:t>For dry CLD analyzers, it shall be demonstrated that for the highest expected water vapour concentration H</w:t>
      </w:r>
      <w:r w:rsidRPr="00B04DC3">
        <w:rPr>
          <w:vertAlign w:val="subscript"/>
          <w:lang w:val="en-GB"/>
        </w:rPr>
        <w:t>m</w:t>
      </w:r>
      <w:r w:rsidRPr="00B04DC3">
        <w:rPr>
          <w:lang w:val="en-GB"/>
        </w:rPr>
        <w:t xml:space="preserve"> (see paragraph 9.3.9.2.2.</w:t>
      </w:r>
      <w:r w:rsidR="001433E2" w:rsidRPr="001433E2">
        <w:rPr>
          <w:lang w:val="en-GB"/>
        </w:rPr>
        <w:t xml:space="preserve"> </w:t>
      </w:r>
      <w:r w:rsidR="001433E2">
        <w:rPr>
          <w:lang w:val="en-GB"/>
        </w:rPr>
        <w:t>of this annex</w:t>
      </w:r>
      <w:r w:rsidRPr="00B04DC3">
        <w:rPr>
          <w:lang w:val="en-GB"/>
        </w:rPr>
        <w:t>), the sample dryer maintains CLD humidity at ≤ 5 g water/kg dry air (or about 0.008 per cent H</w:t>
      </w:r>
      <w:r w:rsidRPr="00B04DC3">
        <w:rPr>
          <w:vertAlign w:val="subscript"/>
          <w:lang w:val="en-GB"/>
        </w:rPr>
        <w:t>2</w:t>
      </w:r>
      <w:r w:rsidRPr="00B04DC3">
        <w:rPr>
          <w:lang w:val="en-GB"/>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rsidR="00002BA6" w:rsidRPr="00B04DC3" w:rsidRDefault="00002BA6" w:rsidP="00002BA6">
      <w:pPr>
        <w:pStyle w:val="para"/>
        <w:rPr>
          <w:lang w:val="en-GB"/>
        </w:rPr>
      </w:pPr>
      <w:r w:rsidRPr="00B04DC3">
        <w:rPr>
          <w:lang w:val="en-GB"/>
        </w:rPr>
        <w:t>9.3.9.4.2.</w:t>
      </w:r>
      <w:r w:rsidRPr="00B04DC3">
        <w:rPr>
          <w:lang w:val="en-GB"/>
        </w:rPr>
        <w:tab/>
        <w:t xml:space="preserve">Sample </w:t>
      </w:r>
      <w:r w:rsidRPr="00B04DC3">
        <w:rPr>
          <w:szCs w:val="24"/>
          <w:lang w:val="en-GB"/>
        </w:rPr>
        <w:t>dryer</w:t>
      </w:r>
      <w:r w:rsidRPr="00B04DC3">
        <w:rPr>
          <w:lang w:val="en-GB"/>
        </w:rPr>
        <w:t xml:space="preserve"> NO</w:t>
      </w:r>
      <w:r w:rsidRPr="00B04DC3">
        <w:rPr>
          <w:vertAlign w:val="subscript"/>
          <w:lang w:val="en-GB"/>
        </w:rPr>
        <w:t>2</w:t>
      </w:r>
      <w:r w:rsidRPr="00B04DC3">
        <w:rPr>
          <w:lang w:val="en-GB"/>
        </w:rPr>
        <w:t xml:space="preserve"> penetration</w:t>
      </w:r>
    </w:p>
    <w:p w:rsidR="00002BA6" w:rsidRPr="00B04DC3" w:rsidRDefault="00002BA6" w:rsidP="00002BA6">
      <w:pPr>
        <w:pStyle w:val="para"/>
        <w:rPr>
          <w:lang w:val="en-GB"/>
        </w:rPr>
      </w:pPr>
      <w:r w:rsidRPr="00B04DC3">
        <w:rPr>
          <w:lang w:val="en-GB"/>
        </w:rPr>
        <w:tab/>
        <w:t xml:space="preserve">Liquid </w:t>
      </w:r>
      <w:r w:rsidRPr="00B04DC3">
        <w:rPr>
          <w:szCs w:val="24"/>
          <w:lang w:val="en-GB"/>
        </w:rPr>
        <w:t>water</w:t>
      </w:r>
      <w:r w:rsidRPr="00B04DC3">
        <w:rPr>
          <w:lang w:val="en-GB"/>
        </w:rPr>
        <w:t xml:space="preserve"> remaining in an improperly designed sample dryer can remove NO</w:t>
      </w:r>
      <w:r w:rsidRPr="00B04DC3">
        <w:rPr>
          <w:vertAlign w:val="subscript"/>
          <w:lang w:val="en-GB"/>
        </w:rPr>
        <w:t>2</w:t>
      </w:r>
      <w:r w:rsidRPr="00B04DC3">
        <w:rPr>
          <w:lang w:val="en-GB"/>
        </w:rPr>
        <w:t xml:space="preserve"> from the sample. If a sample dryer is used in combination with an NDUV analyzer without an NO</w:t>
      </w:r>
      <w:r w:rsidRPr="00B04DC3">
        <w:rPr>
          <w:vertAlign w:val="subscript"/>
          <w:lang w:val="en-GB"/>
        </w:rPr>
        <w:t>2</w:t>
      </w:r>
      <w:r w:rsidRPr="00B04DC3">
        <w:rPr>
          <w:lang w:val="en-GB"/>
        </w:rPr>
        <w:t>/NO converter upstream, it could therefore remove NO</w:t>
      </w:r>
      <w:r w:rsidRPr="00B04DC3">
        <w:rPr>
          <w:vertAlign w:val="subscript"/>
          <w:lang w:val="en-GB"/>
        </w:rPr>
        <w:t>2</w:t>
      </w:r>
      <w:r w:rsidRPr="00B04DC3">
        <w:rPr>
          <w:lang w:val="en-GB"/>
        </w:rPr>
        <w:t xml:space="preserve"> from the sample prior NO</w:t>
      </w:r>
      <w:r w:rsidRPr="00B04DC3">
        <w:rPr>
          <w:vertAlign w:val="subscript"/>
          <w:lang w:val="en-GB"/>
        </w:rPr>
        <w:t>x</w:t>
      </w:r>
      <w:r w:rsidRPr="00B04DC3">
        <w:rPr>
          <w:lang w:val="en-GB"/>
        </w:rPr>
        <w:t xml:space="preserve"> measurement.</w:t>
      </w:r>
    </w:p>
    <w:p w:rsidR="00002BA6" w:rsidRPr="00B04DC3" w:rsidRDefault="00002BA6" w:rsidP="00002BA6">
      <w:pPr>
        <w:pStyle w:val="para"/>
        <w:rPr>
          <w:lang w:val="en-GB"/>
        </w:rPr>
      </w:pPr>
      <w:r w:rsidRPr="00B04DC3">
        <w:rPr>
          <w:lang w:val="en-GB"/>
        </w:rPr>
        <w:tab/>
        <w:t xml:space="preserve">The </w:t>
      </w:r>
      <w:r w:rsidRPr="00B04DC3">
        <w:rPr>
          <w:szCs w:val="24"/>
          <w:lang w:val="en-GB"/>
        </w:rPr>
        <w:t>sample</w:t>
      </w:r>
      <w:r w:rsidRPr="00B04DC3">
        <w:rPr>
          <w:lang w:val="en-GB"/>
        </w:rPr>
        <w:t xml:space="preserve"> dryer shall allow for measuring at least 95 per cent of the total NO</w:t>
      </w:r>
      <w:r w:rsidRPr="00B04DC3">
        <w:rPr>
          <w:vertAlign w:val="subscript"/>
          <w:lang w:val="en-GB"/>
        </w:rPr>
        <w:t>2</w:t>
      </w:r>
      <w:r w:rsidRPr="00B04DC3">
        <w:rPr>
          <w:lang w:val="en-GB"/>
        </w:rPr>
        <w:t xml:space="preserve"> at the maximum expected concentration of NO</w:t>
      </w:r>
      <w:r w:rsidRPr="00B04DC3">
        <w:rPr>
          <w:vertAlign w:val="subscript"/>
          <w:lang w:val="en-GB"/>
        </w:rPr>
        <w:t>2</w:t>
      </w:r>
      <w:r w:rsidRPr="00B04DC3">
        <w:rPr>
          <w:lang w:val="en-GB"/>
        </w:rPr>
        <w:t>.</w:t>
      </w:r>
    </w:p>
    <w:p w:rsidR="00002BA6" w:rsidRPr="00B04DC3" w:rsidRDefault="00002BA6" w:rsidP="00002BA6">
      <w:pPr>
        <w:pStyle w:val="para"/>
        <w:rPr>
          <w:lang w:val="en-GB" w:eastAsia="ja-JP"/>
        </w:rPr>
      </w:pPr>
      <w:r w:rsidRPr="00B04DC3">
        <w:rPr>
          <w:lang w:val="en-GB"/>
        </w:rPr>
        <w:t>9.3.10.</w:t>
      </w:r>
      <w:r w:rsidRPr="00B04DC3">
        <w:rPr>
          <w:lang w:val="en-GB"/>
        </w:rPr>
        <w:tab/>
      </w:r>
      <w:r w:rsidRPr="00B04DC3">
        <w:rPr>
          <w:lang w:val="en-GB" w:eastAsia="ja-JP"/>
        </w:rPr>
        <w:t>Sampling for raw gaseous emissions, if applicable</w:t>
      </w:r>
    </w:p>
    <w:p w:rsidR="00002BA6" w:rsidRPr="00B04DC3" w:rsidRDefault="00002BA6" w:rsidP="00002BA6">
      <w:pPr>
        <w:pStyle w:val="para"/>
        <w:rPr>
          <w:lang w:val="en-GB"/>
        </w:rPr>
      </w:pPr>
      <w:r w:rsidRPr="00B04DC3">
        <w:rPr>
          <w:lang w:val="en-GB"/>
        </w:rPr>
        <w:tab/>
        <w:t xml:space="preserve">The gaseous </w:t>
      </w:r>
      <w:r w:rsidRPr="00B04DC3">
        <w:rPr>
          <w:szCs w:val="24"/>
          <w:lang w:val="en-GB"/>
        </w:rPr>
        <w:t>emissions</w:t>
      </w:r>
      <w:r w:rsidRPr="00B04DC3">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rsidR="00002BA6" w:rsidRPr="00B04DC3" w:rsidRDefault="00002BA6" w:rsidP="00661039">
      <w:pPr>
        <w:pStyle w:val="para"/>
        <w:keepNext/>
        <w:keepLines/>
        <w:rPr>
          <w:lang w:val="en-GB"/>
        </w:rPr>
      </w:pPr>
      <w:r w:rsidRPr="00B04DC3">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w:t>
      </w:r>
      <w:r w:rsidRPr="00B04DC3">
        <w:rPr>
          <w:szCs w:val="24"/>
          <w:lang w:val="en-GB"/>
        </w:rPr>
        <w:t>engines</w:t>
      </w:r>
      <w:r w:rsidRPr="00B04DC3">
        <w:rPr>
          <w:lang w:val="en-GB"/>
        </w:rPr>
        <w:t xml:space="preserve"> having distinct groups of manifolds, such as in a "Vee" engine configuration, it is recommended to combine the manifolds upstream of the sampling probe. If this is not practical, it is permissible to acquire a sample from the group with the highest CO</w:t>
      </w:r>
      <w:r w:rsidRPr="00B04DC3">
        <w:rPr>
          <w:vertAlign w:val="subscript"/>
          <w:lang w:val="en-GB"/>
        </w:rPr>
        <w:t>2</w:t>
      </w:r>
      <w:r w:rsidRPr="00B04DC3">
        <w:rPr>
          <w:lang w:val="en-GB"/>
        </w:rPr>
        <w:t xml:space="preserve"> emission. For exhaust emission calculation the total exhaust mass flow shall be used.</w:t>
      </w:r>
    </w:p>
    <w:p w:rsidR="00002BA6" w:rsidRPr="00B04DC3" w:rsidRDefault="00002BA6" w:rsidP="00002BA6">
      <w:pPr>
        <w:pStyle w:val="para"/>
        <w:rPr>
          <w:lang w:val="en-GB"/>
        </w:rPr>
      </w:pPr>
      <w:r w:rsidRPr="00B04DC3">
        <w:rPr>
          <w:lang w:val="en-GB"/>
        </w:rPr>
        <w:tab/>
        <w:t xml:space="preserve">If the engine is equipped with an exhaust after-treatment system, the exhaust sample shall be </w:t>
      </w:r>
      <w:r w:rsidRPr="00B04DC3">
        <w:rPr>
          <w:szCs w:val="24"/>
          <w:lang w:val="en-GB"/>
        </w:rPr>
        <w:t>taken</w:t>
      </w:r>
      <w:r w:rsidRPr="00B04DC3">
        <w:rPr>
          <w:lang w:val="en-GB"/>
        </w:rPr>
        <w:t xml:space="preserve"> downstream of the exhaust after-treatment system.</w:t>
      </w:r>
    </w:p>
    <w:p w:rsidR="00002BA6" w:rsidRPr="00B04DC3" w:rsidRDefault="00002BA6" w:rsidP="00002BA6">
      <w:pPr>
        <w:pStyle w:val="para"/>
        <w:rPr>
          <w:lang w:val="en-GB"/>
        </w:rPr>
      </w:pPr>
      <w:r w:rsidRPr="00B04DC3">
        <w:rPr>
          <w:lang w:val="en-GB"/>
        </w:rPr>
        <w:t>9.3.11.</w:t>
      </w:r>
      <w:r w:rsidRPr="00B04DC3">
        <w:rPr>
          <w:lang w:val="en-GB"/>
        </w:rPr>
        <w:tab/>
        <w:t>Sampling for dilute gaseous emissions, if applicable</w:t>
      </w:r>
    </w:p>
    <w:p w:rsidR="00002BA6" w:rsidRPr="00B04DC3" w:rsidRDefault="00002BA6" w:rsidP="00002BA6">
      <w:pPr>
        <w:pStyle w:val="para"/>
        <w:rPr>
          <w:lang w:val="en-GB"/>
        </w:rPr>
      </w:pPr>
      <w:r w:rsidRPr="00B04DC3">
        <w:rPr>
          <w:lang w:val="en-GB"/>
        </w:rPr>
        <w:tab/>
        <w:t xml:space="preserve">The exhaust pipe between the engine and the full flow dilution system shall conform to </w:t>
      </w:r>
      <w:r w:rsidRPr="00B04DC3">
        <w:rPr>
          <w:szCs w:val="24"/>
          <w:lang w:val="en-GB"/>
        </w:rPr>
        <w:t>the</w:t>
      </w:r>
      <w:r w:rsidRPr="00B04DC3">
        <w:rPr>
          <w:lang w:val="en-GB"/>
        </w:rPr>
        <w:t xml:space="preserve"> requirements laid down in Appendix 3</w:t>
      </w:r>
      <w:r w:rsidR="001433E2">
        <w:rPr>
          <w:lang w:val="en-GB"/>
        </w:rPr>
        <w:t xml:space="preserve"> to this annex</w:t>
      </w:r>
      <w:r w:rsidRPr="00B04DC3">
        <w:rPr>
          <w:lang w:val="en-GB"/>
        </w:rPr>
        <w:t>. The gaseous emissions sample probe(s) shall be installed in the dilution tunnel at a point where the diluent and exhaust gas are well mixed, and in close proximity to the particulates sampling probe.</w:t>
      </w:r>
    </w:p>
    <w:p w:rsidR="00002BA6" w:rsidRPr="00B04DC3" w:rsidRDefault="00002BA6" w:rsidP="00002BA6">
      <w:pPr>
        <w:pStyle w:val="para"/>
        <w:rPr>
          <w:lang w:val="en-GB"/>
        </w:rPr>
      </w:pPr>
      <w:r w:rsidRPr="00B04DC3">
        <w:rPr>
          <w:lang w:val="en-GB"/>
        </w:rPr>
        <w:tab/>
        <w:t>Sampling can generally be done in two ways:</w:t>
      </w:r>
    </w:p>
    <w:p w:rsidR="00002BA6" w:rsidRPr="00B04DC3" w:rsidRDefault="00002BA6" w:rsidP="00002BA6">
      <w:pPr>
        <w:pStyle w:val="a"/>
        <w:rPr>
          <w:lang w:val="en-GB"/>
        </w:rPr>
      </w:pPr>
      <w:r w:rsidRPr="00B04DC3">
        <w:rPr>
          <w:lang w:val="en-GB"/>
        </w:rPr>
        <w:t>(a)</w:t>
      </w:r>
      <w:r w:rsidRPr="00B04DC3">
        <w:rPr>
          <w:lang w:val="en-GB"/>
        </w:rPr>
        <w:tab/>
        <w:t>The emissions are sampled into a sampling bag over the cycle and measured after completion of the test; for HC, the sample bag shall be heated to 464 </w:t>
      </w:r>
      <w:r w:rsidR="001433E2">
        <w:rPr>
          <w:lang w:val="en-GB"/>
        </w:rPr>
        <w:t xml:space="preserve">K </w:t>
      </w:r>
      <w:r w:rsidRPr="00B04DC3">
        <w:rPr>
          <w:lang w:val="en-GB"/>
        </w:rPr>
        <w:sym w:font="Symbol" w:char="F0B1"/>
      </w:r>
      <w:r w:rsidRPr="00B04DC3">
        <w:rPr>
          <w:lang w:val="en-GB"/>
        </w:rPr>
        <w:t> 11 K (191 </w:t>
      </w:r>
      <w:r w:rsidR="001433E2">
        <w:rPr>
          <w:lang w:val="en-GB"/>
        </w:rPr>
        <w:t xml:space="preserve">°C </w:t>
      </w:r>
      <w:r w:rsidRPr="00B04DC3">
        <w:rPr>
          <w:lang w:val="en-GB"/>
        </w:rPr>
        <w:sym w:font="Symbol" w:char="F0B1"/>
      </w:r>
      <w:r w:rsidRPr="00B04DC3">
        <w:rPr>
          <w:lang w:val="en-GB"/>
        </w:rPr>
        <w:t> 11</w:t>
      </w:r>
      <w:r w:rsidR="00A76413">
        <w:rPr>
          <w:lang w:val="en-GB"/>
        </w:rPr>
        <w:t xml:space="preserve"> </w:t>
      </w:r>
      <w:r w:rsidRPr="00B04DC3">
        <w:rPr>
          <w:lang w:val="en-GB"/>
        </w:rPr>
        <w:t>°C), for NO</w:t>
      </w:r>
      <w:r w:rsidRPr="00B04DC3">
        <w:rPr>
          <w:vertAlign w:val="subscript"/>
          <w:lang w:val="en-GB"/>
        </w:rPr>
        <w:t>x</w:t>
      </w:r>
      <w:r w:rsidRPr="00B04DC3">
        <w:rPr>
          <w:lang w:val="en-GB"/>
        </w:rPr>
        <w:t>, the sample bag temperature shall be above the dew point temperature;</w:t>
      </w:r>
    </w:p>
    <w:p w:rsidR="00002BA6" w:rsidRPr="00B04DC3" w:rsidRDefault="00002BA6" w:rsidP="00002BA6">
      <w:pPr>
        <w:pStyle w:val="a"/>
        <w:rPr>
          <w:lang w:val="en-GB"/>
        </w:rPr>
      </w:pPr>
      <w:r w:rsidRPr="00B04DC3">
        <w:rPr>
          <w:lang w:val="en-GB"/>
        </w:rPr>
        <w:t>(b)</w:t>
      </w:r>
      <w:r w:rsidRPr="00B04DC3">
        <w:rPr>
          <w:lang w:val="en-GB"/>
        </w:rPr>
        <w:tab/>
        <w:t>The emissions are sampled continuously and integrated over the cycle.</w:t>
      </w:r>
    </w:p>
    <w:p w:rsidR="00002BA6" w:rsidRPr="00B04DC3" w:rsidRDefault="00002BA6" w:rsidP="00002BA6">
      <w:pPr>
        <w:pStyle w:val="para"/>
        <w:rPr>
          <w:lang w:val="en-GB"/>
        </w:rPr>
      </w:pPr>
      <w:r w:rsidRPr="00B04DC3">
        <w:rPr>
          <w:lang w:val="en-GB"/>
        </w:rPr>
        <w:tab/>
        <w:t xml:space="preserve">The </w:t>
      </w:r>
      <w:r w:rsidRPr="00B04DC3">
        <w:rPr>
          <w:szCs w:val="24"/>
          <w:lang w:val="en-GB"/>
        </w:rPr>
        <w:t>background</w:t>
      </w:r>
      <w:r w:rsidRPr="00B04DC3">
        <w:rPr>
          <w:lang w:val="en-GB"/>
        </w:rPr>
        <w:t xml:space="preserve"> concentration shall be determined upstream of the dilution tunnel according to (a) or (b), and shall be subtracted from the emissions concentration according to paragraph 8.5.2.3.2.</w:t>
      </w:r>
      <w:r w:rsidR="001433E2">
        <w:rPr>
          <w:lang w:val="en-GB"/>
        </w:rPr>
        <w:t xml:space="preserve"> of this annex.</w:t>
      </w:r>
    </w:p>
    <w:p w:rsidR="00002BA6" w:rsidRPr="00B04DC3" w:rsidRDefault="00002BA6" w:rsidP="00002BA6">
      <w:pPr>
        <w:pStyle w:val="para"/>
        <w:rPr>
          <w:lang w:val="en-GB"/>
        </w:rPr>
      </w:pPr>
      <w:r w:rsidRPr="00B04DC3">
        <w:rPr>
          <w:lang w:val="en-GB"/>
        </w:rPr>
        <w:t>9.4.</w:t>
      </w:r>
      <w:r w:rsidRPr="00B04DC3">
        <w:rPr>
          <w:lang w:val="en-GB"/>
        </w:rPr>
        <w:tab/>
      </w:r>
      <w:r w:rsidRPr="00B04DC3">
        <w:rPr>
          <w:szCs w:val="24"/>
          <w:lang w:val="en-GB"/>
        </w:rPr>
        <w:t>Particulate</w:t>
      </w:r>
      <w:r w:rsidRPr="00B04DC3">
        <w:rPr>
          <w:lang w:val="en-GB"/>
        </w:rPr>
        <w:t xml:space="preserve"> measurement and sampling system</w:t>
      </w:r>
    </w:p>
    <w:p w:rsidR="00002BA6" w:rsidRPr="00B04DC3" w:rsidRDefault="00002BA6" w:rsidP="00002BA6">
      <w:pPr>
        <w:pStyle w:val="para"/>
        <w:rPr>
          <w:lang w:val="en-GB"/>
        </w:rPr>
      </w:pPr>
      <w:r w:rsidRPr="00B04DC3">
        <w:rPr>
          <w:lang w:val="en-GB"/>
        </w:rPr>
        <w:t>9.4.1.</w:t>
      </w:r>
      <w:r w:rsidRPr="00B04DC3">
        <w:rPr>
          <w:lang w:val="en-GB"/>
        </w:rPr>
        <w:tab/>
      </w:r>
      <w:r w:rsidRPr="00B04DC3">
        <w:rPr>
          <w:szCs w:val="24"/>
          <w:lang w:val="en-GB"/>
        </w:rPr>
        <w:t>General</w:t>
      </w:r>
      <w:r w:rsidRPr="00B04DC3">
        <w:rPr>
          <w:lang w:val="en-GB"/>
        </w:rPr>
        <w:t xml:space="preserve"> specifications</w:t>
      </w:r>
    </w:p>
    <w:p w:rsidR="00002BA6" w:rsidRPr="00B04DC3" w:rsidRDefault="00002BA6" w:rsidP="00002BA6">
      <w:pPr>
        <w:pStyle w:val="para"/>
        <w:rPr>
          <w:lang w:val="en-GB"/>
        </w:rPr>
      </w:pPr>
      <w:r w:rsidRPr="00B04DC3">
        <w:rPr>
          <w:lang w:val="en-GB"/>
        </w:rPr>
        <w:tab/>
        <w:t>To determine the mass of the particulates, a particulate dilution and sampling system, a</w:t>
      </w:r>
      <w:r w:rsidRPr="00B04DC3">
        <w:rPr>
          <w:bCs/>
          <w:lang w:val="en-GB"/>
        </w:rPr>
        <w:t xml:space="preserve"> </w:t>
      </w:r>
      <w:r w:rsidRPr="00B04DC3">
        <w:rPr>
          <w:szCs w:val="24"/>
          <w:lang w:val="en-GB"/>
        </w:rPr>
        <w:t>particulate</w:t>
      </w:r>
      <w:r w:rsidRPr="00B04DC3">
        <w:rPr>
          <w:lang w:val="en-GB"/>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rsidR="00002BA6" w:rsidRPr="00B04DC3" w:rsidRDefault="00002BA6" w:rsidP="00002BA6">
      <w:pPr>
        <w:pStyle w:val="para"/>
        <w:rPr>
          <w:lang w:val="en-GB"/>
        </w:rPr>
      </w:pPr>
      <w:r w:rsidRPr="00B04DC3">
        <w:rPr>
          <w:lang w:val="en-GB"/>
        </w:rPr>
        <w:t>9.4.2.</w:t>
      </w:r>
      <w:r w:rsidRPr="00B04DC3">
        <w:rPr>
          <w:lang w:val="en-GB"/>
        </w:rPr>
        <w:tab/>
        <w:t xml:space="preserve">General </w:t>
      </w:r>
      <w:r w:rsidRPr="00B04DC3">
        <w:rPr>
          <w:szCs w:val="24"/>
          <w:lang w:val="en-GB"/>
        </w:rPr>
        <w:t>requirements</w:t>
      </w:r>
      <w:r w:rsidRPr="00B04DC3">
        <w:rPr>
          <w:lang w:val="en-GB"/>
        </w:rPr>
        <w:t xml:space="preserve"> of the dilution system</w:t>
      </w:r>
    </w:p>
    <w:p w:rsidR="00002BA6" w:rsidRPr="00B04DC3" w:rsidRDefault="00002BA6" w:rsidP="00002BA6">
      <w:pPr>
        <w:pStyle w:val="para"/>
        <w:rPr>
          <w:lang w:val="en-GB"/>
        </w:rPr>
      </w:pPr>
      <w:r w:rsidRPr="00B04DC3">
        <w:rPr>
          <w:lang w:val="en-GB"/>
        </w:rPr>
        <w:tab/>
        <w:t xml:space="preserve">The </w:t>
      </w:r>
      <w:r w:rsidRPr="00B04DC3">
        <w:rPr>
          <w:szCs w:val="24"/>
          <w:lang w:val="en-GB"/>
        </w:rPr>
        <w:t>determination</w:t>
      </w:r>
      <w:r w:rsidRPr="00B04DC3">
        <w:rPr>
          <w:lang w:val="en-GB"/>
        </w:rPr>
        <w:t xml:space="preserve"> of the particulates requires dilution of the sample with filtered ambient air, synthetic air or nitrogen (the diluent). The dilution system shall be set as follows:</w:t>
      </w:r>
    </w:p>
    <w:p w:rsidR="00002BA6" w:rsidRPr="00B04DC3" w:rsidRDefault="00002BA6" w:rsidP="00002BA6">
      <w:pPr>
        <w:pStyle w:val="a"/>
        <w:rPr>
          <w:lang w:val="en-GB"/>
        </w:rPr>
      </w:pPr>
      <w:r w:rsidRPr="00B04DC3">
        <w:rPr>
          <w:lang w:val="en-GB"/>
        </w:rPr>
        <w:t>(a)</w:t>
      </w:r>
      <w:r w:rsidRPr="00B04DC3">
        <w:rPr>
          <w:lang w:val="en-GB"/>
        </w:rPr>
        <w:tab/>
        <w:t>Completely eliminate water condensation in the dilution and sampling systems;</w:t>
      </w:r>
    </w:p>
    <w:p w:rsidR="00002BA6" w:rsidRPr="00B04DC3" w:rsidRDefault="00002BA6" w:rsidP="00002BA6">
      <w:pPr>
        <w:pStyle w:val="a"/>
        <w:rPr>
          <w:lang w:val="en-GB"/>
        </w:rPr>
      </w:pPr>
      <w:r w:rsidRPr="00B04DC3">
        <w:rPr>
          <w:lang w:val="en-GB"/>
        </w:rPr>
        <w:t>(b)</w:t>
      </w:r>
      <w:r w:rsidRPr="00B04DC3">
        <w:rPr>
          <w:lang w:val="en-GB"/>
        </w:rPr>
        <w:tab/>
        <w:t>Maintain the temperature of the diluted exhaust gas between 315 K (42 °C) and 325 K (52 °C) within 20 cm upstream or downstream of the filter holder(s);</w:t>
      </w:r>
    </w:p>
    <w:p w:rsidR="00002BA6" w:rsidRPr="00B04DC3" w:rsidRDefault="00002BA6" w:rsidP="00002BA6">
      <w:pPr>
        <w:pStyle w:val="a"/>
        <w:rPr>
          <w:lang w:val="en-GB"/>
        </w:rPr>
      </w:pPr>
      <w:r w:rsidRPr="00B04DC3">
        <w:rPr>
          <w:lang w:val="en-GB"/>
        </w:rPr>
        <w:t>(c)</w:t>
      </w:r>
      <w:r w:rsidRPr="00B04DC3">
        <w:rPr>
          <w:lang w:val="en-GB"/>
        </w:rPr>
        <w:tab/>
        <w:t>The diluent temperature shall be between 293 K and 325 K (20 °C to 42 °C) in close proximity to the entrance into the dilution tunnel;</w:t>
      </w:r>
    </w:p>
    <w:p w:rsidR="00002BA6" w:rsidRPr="00B04DC3" w:rsidRDefault="00002BA6" w:rsidP="00002BA6">
      <w:pPr>
        <w:pStyle w:val="a"/>
        <w:rPr>
          <w:lang w:val="en-GB"/>
        </w:rPr>
      </w:pPr>
      <w:r w:rsidRPr="00B04DC3">
        <w:rPr>
          <w:lang w:val="en-GB"/>
        </w:rPr>
        <w:t>(d)</w:t>
      </w:r>
      <w:r w:rsidRPr="00B04DC3">
        <w:rPr>
          <w:lang w:val="en-GB"/>
        </w:rPr>
        <w:tab/>
        <w:t>The minimum dilution ratio shall be within the range of 5:1 to 7:1 and at least 2:1 for the primary dilution stage based on the maximum engine exhaust flow rate;</w:t>
      </w:r>
    </w:p>
    <w:p w:rsidR="00002BA6" w:rsidRPr="00B04DC3" w:rsidRDefault="00002BA6" w:rsidP="00002BA6">
      <w:pPr>
        <w:pStyle w:val="a"/>
        <w:rPr>
          <w:lang w:val="en-GB"/>
        </w:rPr>
      </w:pPr>
      <w:r w:rsidRPr="00B04DC3">
        <w:rPr>
          <w:lang w:val="en-GB"/>
        </w:rPr>
        <w:t>(e)</w:t>
      </w:r>
      <w:r w:rsidRPr="00B04DC3">
        <w:rPr>
          <w:lang w:val="en-GB"/>
        </w:rPr>
        <w:tab/>
        <w:t>For a partial flow dilution system, the residence time in the system from the point of diluent introduction to the filter holder(s) shall be between 0.5 and 5 seconds;</w:t>
      </w:r>
    </w:p>
    <w:p w:rsidR="00002BA6" w:rsidRPr="00B04DC3" w:rsidRDefault="00002BA6" w:rsidP="00002BA6">
      <w:pPr>
        <w:pStyle w:val="a"/>
        <w:rPr>
          <w:lang w:val="en-GB"/>
        </w:rPr>
      </w:pPr>
      <w:r w:rsidRPr="00B04DC3">
        <w:rPr>
          <w:lang w:val="en-GB"/>
        </w:rPr>
        <w:t>(f)</w:t>
      </w:r>
      <w:r w:rsidRPr="00B04DC3">
        <w:rPr>
          <w:lang w:val="en-GB"/>
        </w:rPr>
        <w:tab/>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rsidR="00002BA6" w:rsidRPr="00B04DC3" w:rsidRDefault="00002BA6" w:rsidP="00002BA6">
      <w:pPr>
        <w:pStyle w:val="para"/>
        <w:rPr>
          <w:lang w:val="en-GB"/>
        </w:rPr>
      </w:pPr>
      <w:r w:rsidRPr="00B04DC3">
        <w:rPr>
          <w:lang w:val="en-GB"/>
        </w:rPr>
        <w:tab/>
        <w:t>Dehumidifying the diluent before entering the dilution system is permitted, and especially useful if diluent humidity is high.</w:t>
      </w:r>
    </w:p>
    <w:p w:rsidR="00002BA6" w:rsidRPr="00B04DC3" w:rsidRDefault="00002BA6" w:rsidP="00002BA6">
      <w:pPr>
        <w:pStyle w:val="para"/>
        <w:rPr>
          <w:lang w:val="en-GB"/>
        </w:rPr>
      </w:pPr>
      <w:r w:rsidRPr="00B04DC3">
        <w:rPr>
          <w:lang w:val="en-GB"/>
        </w:rPr>
        <w:t>9.4.3.</w:t>
      </w:r>
      <w:r w:rsidRPr="00B04DC3">
        <w:rPr>
          <w:lang w:val="en-GB"/>
        </w:rPr>
        <w:tab/>
      </w:r>
      <w:r w:rsidRPr="00B04DC3">
        <w:rPr>
          <w:szCs w:val="24"/>
          <w:lang w:val="en-GB"/>
        </w:rPr>
        <w:t>Particulate</w:t>
      </w:r>
      <w:r w:rsidRPr="00B04DC3">
        <w:rPr>
          <w:lang w:val="en-GB"/>
        </w:rPr>
        <w:t xml:space="preserve"> sampling</w:t>
      </w:r>
    </w:p>
    <w:p w:rsidR="00002BA6" w:rsidRPr="00B04DC3" w:rsidRDefault="00002BA6" w:rsidP="00002BA6">
      <w:pPr>
        <w:pStyle w:val="para"/>
        <w:rPr>
          <w:lang w:val="en-GB"/>
        </w:rPr>
      </w:pPr>
      <w:r w:rsidRPr="00B04DC3">
        <w:rPr>
          <w:lang w:val="en-GB"/>
        </w:rPr>
        <w:t>9.4.3.1.</w:t>
      </w:r>
      <w:r w:rsidRPr="00B04DC3">
        <w:rPr>
          <w:lang w:val="en-GB"/>
        </w:rPr>
        <w:tab/>
        <w:t xml:space="preserve">Partial flow </w:t>
      </w:r>
      <w:r w:rsidRPr="00B04DC3">
        <w:rPr>
          <w:szCs w:val="24"/>
          <w:lang w:val="en-GB"/>
        </w:rPr>
        <w:t>dilution</w:t>
      </w:r>
      <w:r w:rsidRPr="00B04DC3">
        <w:rPr>
          <w:lang w:val="en-GB"/>
        </w:rPr>
        <w:t xml:space="preserve"> system </w:t>
      </w:r>
    </w:p>
    <w:p w:rsidR="00002BA6" w:rsidRPr="00B04DC3" w:rsidRDefault="00002BA6" w:rsidP="00002BA6">
      <w:pPr>
        <w:pStyle w:val="para"/>
        <w:rPr>
          <w:lang w:val="en-GB"/>
        </w:rPr>
      </w:pPr>
      <w:r w:rsidRPr="00B04DC3">
        <w:rPr>
          <w:lang w:val="en-GB"/>
        </w:rPr>
        <w:tab/>
        <w:t>The particulate sampling probe shall be installed in close proximity to the gaseous emissions sampling probe, but sufficiently distant as to not cause interference. Therefore, the installation provisions of paragraph 9.3.10.</w:t>
      </w:r>
      <w:r w:rsidR="001433E2" w:rsidRPr="001433E2">
        <w:rPr>
          <w:lang w:val="en-GB"/>
        </w:rPr>
        <w:t xml:space="preserve"> </w:t>
      </w:r>
      <w:r w:rsidR="001433E2">
        <w:rPr>
          <w:lang w:val="en-GB"/>
        </w:rPr>
        <w:t>of this annex</w:t>
      </w:r>
      <w:r w:rsidRPr="00B04DC3">
        <w:rPr>
          <w:lang w:val="en-GB"/>
        </w:rPr>
        <w:t xml:space="preserve"> also apply to particulate sampling. The sampling line shall conform to the requirements laid down in Appendix 3</w:t>
      </w:r>
      <w:r w:rsidR="001433E2">
        <w:rPr>
          <w:lang w:val="en-GB"/>
        </w:rPr>
        <w:t xml:space="preserve"> to this annex</w:t>
      </w:r>
      <w:r w:rsidRPr="00B04DC3">
        <w:rPr>
          <w:lang w:val="en-GB"/>
        </w:rPr>
        <w:t>.</w:t>
      </w:r>
    </w:p>
    <w:p w:rsidR="00002BA6" w:rsidRPr="00B04DC3" w:rsidRDefault="00002BA6" w:rsidP="00002BA6">
      <w:pPr>
        <w:pStyle w:val="para"/>
        <w:rPr>
          <w:lang w:val="en-GB"/>
        </w:rPr>
      </w:pPr>
      <w:r w:rsidRPr="00B04DC3">
        <w:rPr>
          <w:lang w:val="en-GB"/>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rsidR="00002BA6" w:rsidRPr="00B04DC3" w:rsidRDefault="00002BA6" w:rsidP="00002BA6">
      <w:pPr>
        <w:pStyle w:val="para"/>
        <w:rPr>
          <w:lang w:val="en-GB"/>
        </w:rPr>
      </w:pPr>
      <w:r w:rsidRPr="00B04DC3">
        <w:rPr>
          <w:lang w:val="en-GB"/>
        </w:rPr>
        <w:t>9.4.3.2.</w:t>
      </w:r>
      <w:r w:rsidRPr="00B04DC3">
        <w:rPr>
          <w:lang w:val="en-GB"/>
        </w:rPr>
        <w:tab/>
        <w:t xml:space="preserve">Full flow </w:t>
      </w:r>
      <w:r w:rsidRPr="00B04DC3">
        <w:rPr>
          <w:szCs w:val="24"/>
          <w:lang w:val="en-GB"/>
        </w:rPr>
        <w:t>dilution</w:t>
      </w:r>
      <w:r w:rsidRPr="00B04DC3">
        <w:rPr>
          <w:lang w:val="en-GB"/>
        </w:rPr>
        <w:t xml:space="preserve"> system</w:t>
      </w:r>
    </w:p>
    <w:p w:rsidR="00002BA6" w:rsidRPr="00B04DC3" w:rsidRDefault="00002BA6" w:rsidP="00002BA6">
      <w:pPr>
        <w:pStyle w:val="para"/>
        <w:rPr>
          <w:lang w:val="en-GB"/>
        </w:rPr>
      </w:pPr>
      <w:r w:rsidRPr="00B04DC3">
        <w:rPr>
          <w:lang w:val="en-GB"/>
        </w:rPr>
        <w:tab/>
        <w:t xml:space="preserve">The particulate sampling probe shall be installed in close proximity to the gaseous emissions </w:t>
      </w:r>
      <w:r w:rsidRPr="00B04DC3">
        <w:rPr>
          <w:szCs w:val="24"/>
          <w:lang w:val="en-GB"/>
        </w:rPr>
        <w:t>sampling</w:t>
      </w:r>
      <w:r w:rsidRPr="00B04DC3">
        <w:rPr>
          <w:lang w:val="en-GB"/>
        </w:rPr>
        <w:t xml:space="preserve"> probe, but sufficiently distant as to not cause interference, in the dilution tunnel. Therefore, the installation provisions of paragraph 9.3.11. </w:t>
      </w:r>
      <w:r w:rsidR="001433E2">
        <w:rPr>
          <w:lang w:val="en-GB"/>
        </w:rPr>
        <w:t>of this annex</w:t>
      </w:r>
      <w:r w:rsidR="001433E2" w:rsidRPr="00B04DC3">
        <w:rPr>
          <w:lang w:val="en-GB"/>
        </w:rPr>
        <w:t xml:space="preserve"> </w:t>
      </w:r>
      <w:r w:rsidRPr="00B04DC3">
        <w:rPr>
          <w:lang w:val="en-GB"/>
        </w:rPr>
        <w:t>also apply to particulate sampling. The sampling line shall conform to the requirements laid down in Appendix 3</w:t>
      </w:r>
      <w:r w:rsidR="001433E2">
        <w:rPr>
          <w:lang w:val="en-GB"/>
        </w:rPr>
        <w:t xml:space="preserve"> of this annex</w:t>
      </w:r>
      <w:r w:rsidRPr="00B04DC3">
        <w:rPr>
          <w:lang w:val="en-GB"/>
        </w:rPr>
        <w:t>.</w:t>
      </w:r>
    </w:p>
    <w:p w:rsidR="00002BA6" w:rsidRPr="00B04DC3" w:rsidRDefault="00002BA6" w:rsidP="00002BA6">
      <w:pPr>
        <w:pStyle w:val="para"/>
        <w:rPr>
          <w:lang w:val="en-GB"/>
        </w:rPr>
      </w:pPr>
      <w:r w:rsidRPr="00B04DC3">
        <w:rPr>
          <w:lang w:val="en-GB"/>
        </w:rPr>
        <w:t>9.4.4.</w:t>
      </w:r>
      <w:r w:rsidRPr="00B04DC3">
        <w:rPr>
          <w:lang w:val="en-GB"/>
        </w:rPr>
        <w:tab/>
      </w:r>
      <w:r w:rsidRPr="00B04DC3">
        <w:rPr>
          <w:szCs w:val="24"/>
          <w:lang w:val="en-GB"/>
        </w:rPr>
        <w:t>Particulate</w:t>
      </w:r>
      <w:r w:rsidRPr="00B04DC3">
        <w:rPr>
          <w:lang w:val="en-GB"/>
        </w:rPr>
        <w:t xml:space="preserve"> sampling filters</w:t>
      </w:r>
    </w:p>
    <w:p w:rsidR="00002BA6" w:rsidRPr="00B04DC3" w:rsidRDefault="00002BA6" w:rsidP="00002BA6">
      <w:pPr>
        <w:pStyle w:val="para"/>
        <w:rPr>
          <w:lang w:val="en-GB"/>
        </w:rPr>
      </w:pPr>
      <w:r w:rsidRPr="00B04DC3">
        <w:rPr>
          <w:lang w:val="en-GB"/>
        </w:rPr>
        <w:tab/>
      </w:r>
      <w:r w:rsidRPr="00B04DC3">
        <w:rPr>
          <w:szCs w:val="24"/>
          <w:lang w:val="en-GB"/>
        </w:rPr>
        <w:t>The</w:t>
      </w:r>
      <w:r w:rsidRPr="00B04DC3">
        <w:rPr>
          <w:lang w:val="en-GB"/>
        </w:rPr>
        <w:t xml:space="preserve"> diluted exhaust shall be sampled by a filter that meets the requirements of paragraphs 9.4.4.1. to 9.4.4.3. </w:t>
      </w:r>
      <w:r w:rsidR="001433E2">
        <w:rPr>
          <w:lang w:val="en-GB"/>
        </w:rPr>
        <w:t>of this annex</w:t>
      </w:r>
      <w:r w:rsidR="001433E2" w:rsidRPr="00B04DC3">
        <w:rPr>
          <w:lang w:val="en-GB"/>
        </w:rPr>
        <w:t xml:space="preserve"> </w:t>
      </w:r>
      <w:r w:rsidRPr="00B04DC3">
        <w:rPr>
          <w:lang w:val="en-GB"/>
        </w:rPr>
        <w:t>during the test sequence.</w:t>
      </w:r>
    </w:p>
    <w:p w:rsidR="00002BA6" w:rsidRPr="00B04DC3" w:rsidRDefault="00002BA6" w:rsidP="00002BA6">
      <w:pPr>
        <w:pStyle w:val="para"/>
        <w:rPr>
          <w:lang w:val="en-GB"/>
        </w:rPr>
      </w:pPr>
      <w:r w:rsidRPr="00B04DC3">
        <w:rPr>
          <w:lang w:val="en-GB"/>
        </w:rPr>
        <w:t>9.4.4.1.</w:t>
      </w:r>
      <w:r w:rsidRPr="00B04DC3">
        <w:rPr>
          <w:lang w:val="en-GB"/>
        </w:rPr>
        <w:tab/>
        <w:t xml:space="preserve">Filter </w:t>
      </w:r>
      <w:r w:rsidRPr="00B04DC3">
        <w:rPr>
          <w:szCs w:val="24"/>
          <w:lang w:val="en-GB"/>
        </w:rPr>
        <w:t>specification</w:t>
      </w:r>
    </w:p>
    <w:p w:rsidR="00002BA6" w:rsidRPr="00B04DC3" w:rsidRDefault="00002BA6" w:rsidP="00002BA6">
      <w:pPr>
        <w:pStyle w:val="para"/>
        <w:rPr>
          <w:lang w:val="en-GB"/>
        </w:rPr>
      </w:pPr>
      <w:r w:rsidRPr="00B04DC3">
        <w:rPr>
          <w:lang w:val="en-GB"/>
        </w:rPr>
        <w:tab/>
        <w:t xml:space="preserve">All </w:t>
      </w:r>
      <w:r w:rsidRPr="00B04DC3">
        <w:rPr>
          <w:szCs w:val="24"/>
          <w:lang w:val="en-GB"/>
        </w:rPr>
        <w:t>filter</w:t>
      </w:r>
      <w:r w:rsidRPr="00B04DC3">
        <w:rPr>
          <w:lang w:val="en-GB"/>
        </w:rPr>
        <w:t xml:space="preserve"> types shall have a 0.3 µm DOP (di-octylphthalate) collection efficiency of at least 99 per cent. The filter material shall be either:</w:t>
      </w:r>
    </w:p>
    <w:p w:rsidR="00002BA6" w:rsidRPr="00B04DC3" w:rsidRDefault="00002BA6" w:rsidP="00002BA6">
      <w:pPr>
        <w:pStyle w:val="a"/>
        <w:rPr>
          <w:lang w:val="en-GB"/>
        </w:rPr>
      </w:pPr>
      <w:r w:rsidRPr="00B04DC3">
        <w:rPr>
          <w:lang w:val="en-GB"/>
        </w:rPr>
        <w:t>(a)</w:t>
      </w:r>
      <w:r w:rsidRPr="00B04DC3">
        <w:rPr>
          <w:lang w:val="en-GB"/>
        </w:rPr>
        <w:tab/>
        <w:t xml:space="preserve">Fluorocarbon (PTFE) coated glass fiber, or </w:t>
      </w:r>
    </w:p>
    <w:p w:rsidR="00002BA6" w:rsidRPr="00B04DC3" w:rsidRDefault="00002BA6" w:rsidP="00002BA6">
      <w:pPr>
        <w:pStyle w:val="a"/>
        <w:rPr>
          <w:lang w:val="en-GB"/>
        </w:rPr>
      </w:pPr>
      <w:r w:rsidRPr="00B04DC3">
        <w:rPr>
          <w:lang w:val="en-GB"/>
        </w:rPr>
        <w:t>(b)</w:t>
      </w:r>
      <w:r w:rsidRPr="00B04DC3">
        <w:rPr>
          <w:lang w:val="en-GB"/>
        </w:rPr>
        <w:tab/>
        <w:t>Fluorocarbon (PTFE) membrane.</w:t>
      </w:r>
    </w:p>
    <w:p w:rsidR="00002BA6" w:rsidRPr="00B04DC3" w:rsidRDefault="00A85DE8" w:rsidP="00002BA6">
      <w:pPr>
        <w:pStyle w:val="para"/>
        <w:rPr>
          <w:lang w:val="en-GB"/>
        </w:rPr>
      </w:pPr>
      <w:r w:rsidRPr="00B04DC3">
        <w:rPr>
          <w:lang w:val="en-GB"/>
        </w:rPr>
        <w:br w:type="page"/>
      </w:r>
      <w:r w:rsidR="00002BA6" w:rsidRPr="00B04DC3">
        <w:rPr>
          <w:lang w:val="en-GB"/>
        </w:rPr>
        <w:t>9.4.4.2.</w:t>
      </w:r>
      <w:r w:rsidR="00002BA6" w:rsidRPr="00B04DC3">
        <w:rPr>
          <w:lang w:val="en-GB"/>
        </w:rPr>
        <w:tab/>
      </w:r>
      <w:r w:rsidR="00002BA6" w:rsidRPr="00B04DC3">
        <w:rPr>
          <w:szCs w:val="24"/>
          <w:lang w:val="en-GB"/>
        </w:rPr>
        <w:t>Filter</w:t>
      </w:r>
      <w:r w:rsidR="00002BA6" w:rsidRPr="00B04DC3">
        <w:rPr>
          <w:lang w:val="en-GB"/>
        </w:rPr>
        <w:t xml:space="preserve"> size</w:t>
      </w:r>
    </w:p>
    <w:p w:rsidR="00002BA6" w:rsidRPr="00B04DC3" w:rsidRDefault="00002BA6" w:rsidP="00002BA6">
      <w:pPr>
        <w:pStyle w:val="para"/>
        <w:rPr>
          <w:lang w:val="en-GB"/>
        </w:rPr>
      </w:pPr>
      <w:r w:rsidRPr="00B04DC3">
        <w:rPr>
          <w:lang w:val="en-GB"/>
        </w:rPr>
        <w:tab/>
        <w:t xml:space="preserve">The </w:t>
      </w:r>
      <w:r w:rsidRPr="00B04DC3">
        <w:rPr>
          <w:szCs w:val="24"/>
          <w:lang w:val="en-GB"/>
        </w:rPr>
        <w:t>filter</w:t>
      </w:r>
      <w:r w:rsidRPr="00B04DC3">
        <w:rPr>
          <w:lang w:val="en-GB"/>
        </w:rPr>
        <w:t xml:space="preserve"> shall be circular with a nominal diameter of 47 mm (tolerance of 46.50 </w:t>
      </w:r>
      <w:r w:rsidRPr="00B04DC3">
        <w:rPr>
          <w:lang w:val="en-GB"/>
        </w:rPr>
        <w:sym w:font="Symbol" w:char="F0B1"/>
      </w:r>
      <w:r w:rsidRPr="00B04DC3">
        <w:rPr>
          <w:lang w:val="en-GB"/>
        </w:rPr>
        <w:t> 0.6 mm) and an exposed diameter (filter stain diameter) of at least 38 mm.</w:t>
      </w:r>
    </w:p>
    <w:p w:rsidR="00002BA6" w:rsidRPr="00B04DC3" w:rsidRDefault="00002BA6" w:rsidP="00002BA6">
      <w:pPr>
        <w:pStyle w:val="para"/>
        <w:rPr>
          <w:lang w:val="en-GB"/>
        </w:rPr>
      </w:pPr>
      <w:r w:rsidRPr="00B04DC3">
        <w:rPr>
          <w:lang w:val="en-GB"/>
        </w:rPr>
        <w:t>9.4.4.3.</w:t>
      </w:r>
      <w:r w:rsidRPr="00B04DC3">
        <w:rPr>
          <w:lang w:val="en-GB"/>
        </w:rPr>
        <w:tab/>
      </w:r>
      <w:r w:rsidRPr="00B04DC3">
        <w:rPr>
          <w:szCs w:val="24"/>
          <w:lang w:val="en-GB"/>
        </w:rPr>
        <w:t>Filter</w:t>
      </w:r>
      <w:r w:rsidRPr="00B04DC3">
        <w:rPr>
          <w:lang w:val="en-GB"/>
        </w:rPr>
        <w:t xml:space="preserve"> face velocity</w:t>
      </w:r>
    </w:p>
    <w:p w:rsidR="00002BA6" w:rsidRPr="00B04DC3" w:rsidRDefault="00002BA6" w:rsidP="00002BA6">
      <w:pPr>
        <w:pStyle w:val="para"/>
        <w:rPr>
          <w:lang w:val="en-GB"/>
        </w:rPr>
      </w:pPr>
      <w:r w:rsidRPr="00B04DC3">
        <w:rPr>
          <w:lang w:val="en-GB"/>
        </w:rPr>
        <w:tab/>
        <w:t xml:space="preserve">The </w:t>
      </w:r>
      <w:r w:rsidRPr="00B04DC3">
        <w:rPr>
          <w:szCs w:val="24"/>
          <w:lang w:val="en-GB"/>
        </w:rPr>
        <w:t>face</w:t>
      </w:r>
      <w:r w:rsidRPr="00B04DC3">
        <w:rPr>
          <w:lang w:val="en-GB"/>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rsidR="00002BA6" w:rsidRPr="00B04DC3" w:rsidRDefault="00002BA6" w:rsidP="00002BA6">
      <w:pPr>
        <w:pStyle w:val="para"/>
        <w:rPr>
          <w:lang w:val="en-GB"/>
        </w:rPr>
      </w:pPr>
      <w:r w:rsidRPr="00B04DC3">
        <w:rPr>
          <w:lang w:val="en-GB"/>
        </w:rPr>
        <w:t>9.4.5.</w:t>
      </w:r>
      <w:r w:rsidRPr="00B04DC3">
        <w:rPr>
          <w:lang w:val="en-GB"/>
        </w:rPr>
        <w:tab/>
        <w:t>Weighing chamber and analytical balance specifications</w:t>
      </w:r>
    </w:p>
    <w:p w:rsidR="00002BA6" w:rsidRPr="00B04DC3" w:rsidRDefault="00002BA6" w:rsidP="00002BA6">
      <w:pPr>
        <w:pStyle w:val="para"/>
        <w:rPr>
          <w:lang w:val="en-GB"/>
        </w:rPr>
      </w:pPr>
      <w:r w:rsidRPr="00B04DC3">
        <w:rPr>
          <w:lang w:val="en-GB"/>
        </w:rPr>
        <w:tab/>
        <w:t xml:space="preserve">The </w:t>
      </w:r>
      <w:r w:rsidRPr="00B04DC3">
        <w:rPr>
          <w:szCs w:val="24"/>
          <w:lang w:val="en-GB"/>
        </w:rPr>
        <w:t>chamber</w:t>
      </w:r>
      <w:r w:rsidRPr="00B04DC3">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rsidR="00002BA6" w:rsidRPr="00B04DC3" w:rsidRDefault="00002BA6" w:rsidP="00002BA6">
      <w:pPr>
        <w:pStyle w:val="para"/>
        <w:rPr>
          <w:lang w:val="en-GB"/>
        </w:rPr>
      </w:pPr>
      <w:r w:rsidRPr="00B04DC3">
        <w:rPr>
          <w:lang w:val="en-GB"/>
        </w:rPr>
        <w:t>9.4.5.1.</w:t>
      </w:r>
      <w:r w:rsidRPr="00B04DC3">
        <w:rPr>
          <w:lang w:val="en-GB"/>
        </w:rPr>
        <w:tab/>
        <w:t>Weighing chamber conditions</w:t>
      </w:r>
    </w:p>
    <w:p w:rsidR="00002BA6" w:rsidRPr="00B04DC3" w:rsidRDefault="00002BA6" w:rsidP="00002BA6">
      <w:pPr>
        <w:pStyle w:val="para"/>
        <w:rPr>
          <w:lang w:val="en-GB"/>
        </w:rPr>
      </w:pPr>
      <w:r w:rsidRPr="00B04DC3">
        <w:rPr>
          <w:lang w:val="en-GB"/>
        </w:rPr>
        <w:tab/>
        <w:t xml:space="preserve">The temperature of the chamber (or room) in which the particulate filters are conditioned and weighed shall be maintained to within 295 K ± 1 K </w:t>
      </w:r>
      <w:r w:rsidRPr="00B04DC3">
        <w:rPr>
          <w:lang w:val="en-GB"/>
        </w:rPr>
        <w:br/>
        <w:t>(22 °C ± 1 °C) during all filter conditioning and weighing. The humidity shall be maintained to a dew point of 282.5 K ± 1 K  (9.5 °C ± 1 °C).</w:t>
      </w:r>
    </w:p>
    <w:p w:rsidR="00002BA6" w:rsidRPr="00B04DC3" w:rsidRDefault="00002BA6" w:rsidP="00002BA6">
      <w:pPr>
        <w:pStyle w:val="para"/>
        <w:rPr>
          <w:lang w:val="en-GB"/>
        </w:rPr>
      </w:pPr>
      <w:r w:rsidRPr="00B04DC3">
        <w:rPr>
          <w:lang w:val="en-GB"/>
        </w:rPr>
        <w:tab/>
        <w:t>If the stabilization and weighing environments are separate, the temperature of the stabilization environment shall be maintained at a tolerance of 295 K ± 3 K (22 °C ± 3 °C), but the dew point requirement remains at 282.5 K ± 1 K  (9.5 °C ± 1 °C).</w:t>
      </w:r>
    </w:p>
    <w:p w:rsidR="00002BA6" w:rsidRPr="00B04DC3" w:rsidRDefault="00002BA6" w:rsidP="00002BA6">
      <w:pPr>
        <w:pStyle w:val="para"/>
        <w:rPr>
          <w:lang w:val="en-GB"/>
        </w:rPr>
      </w:pPr>
      <w:r w:rsidRPr="00B04DC3">
        <w:rPr>
          <w:lang w:val="en-GB"/>
        </w:rPr>
        <w:tab/>
        <w:t>Humidity and ambient temperature shall be recorded.</w:t>
      </w:r>
    </w:p>
    <w:p w:rsidR="00002BA6" w:rsidRPr="00B04DC3" w:rsidRDefault="00002BA6" w:rsidP="00002BA6">
      <w:pPr>
        <w:pStyle w:val="para"/>
        <w:rPr>
          <w:lang w:val="en-GB"/>
        </w:rPr>
      </w:pPr>
      <w:r w:rsidRPr="00B04DC3">
        <w:rPr>
          <w:lang w:val="en-GB"/>
        </w:rPr>
        <w:t>9.4.5.2.</w:t>
      </w:r>
      <w:r w:rsidRPr="00B04DC3">
        <w:rPr>
          <w:lang w:val="en-GB"/>
        </w:rPr>
        <w:tab/>
        <w:t>Reference filter weighing</w:t>
      </w:r>
    </w:p>
    <w:p w:rsidR="00002BA6" w:rsidRPr="00B04DC3" w:rsidRDefault="00002BA6" w:rsidP="00002BA6">
      <w:pPr>
        <w:pStyle w:val="para"/>
        <w:rPr>
          <w:lang w:val="en-GB"/>
        </w:rPr>
      </w:pPr>
      <w:r w:rsidRPr="00B04DC3">
        <w:rPr>
          <w:lang w:val="en-GB"/>
        </w:rPr>
        <w:tab/>
        <w:t>At least two unused reference filters shall be weighed within 12 hours of, but preferably at the same time as the sample filter weighing. They shall be the same material as the sample filters. Buoyancy correction shall be applied to the weighings.</w:t>
      </w:r>
    </w:p>
    <w:p w:rsidR="00002BA6" w:rsidRPr="00B04DC3" w:rsidRDefault="00002BA6" w:rsidP="00002BA6">
      <w:pPr>
        <w:pStyle w:val="para"/>
        <w:rPr>
          <w:lang w:val="en-GB"/>
        </w:rPr>
      </w:pPr>
      <w:r w:rsidRPr="00B04DC3">
        <w:rPr>
          <w:lang w:val="en-GB"/>
        </w:rPr>
        <w:tab/>
        <w:t>If the weight of any of the reference filters changes between sample filter weighings by more than 10 µg, all sample filters shall be discarded and the emissions test repeated.</w:t>
      </w:r>
    </w:p>
    <w:p w:rsidR="00002BA6" w:rsidRPr="00B04DC3" w:rsidRDefault="00002BA6" w:rsidP="00002BA6">
      <w:pPr>
        <w:pStyle w:val="para"/>
        <w:rPr>
          <w:lang w:val="en-GB"/>
        </w:rPr>
      </w:pPr>
      <w:r w:rsidRPr="00B04DC3">
        <w:rPr>
          <w:lang w:val="en-GB"/>
        </w:rPr>
        <w:tab/>
        <w:t>The reference filters shall be periodically replaced based on good engineering judgement, but at least once per year.</w:t>
      </w:r>
    </w:p>
    <w:p w:rsidR="00002BA6" w:rsidRPr="00B04DC3" w:rsidRDefault="00002BA6" w:rsidP="00002BA6">
      <w:pPr>
        <w:pStyle w:val="para"/>
        <w:rPr>
          <w:lang w:val="en-GB"/>
        </w:rPr>
      </w:pPr>
      <w:r w:rsidRPr="00B04DC3">
        <w:rPr>
          <w:lang w:val="en-GB"/>
        </w:rPr>
        <w:t>9.4.5.3.</w:t>
      </w:r>
      <w:r w:rsidRPr="00B04DC3">
        <w:rPr>
          <w:lang w:val="en-GB"/>
        </w:rPr>
        <w:tab/>
        <w:t>Analytical balance</w:t>
      </w:r>
    </w:p>
    <w:p w:rsidR="00002BA6" w:rsidRPr="00B04DC3" w:rsidRDefault="00002BA6" w:rsidP="00002BA6">
      <w:pPr>
        <w:pStyle w:val="para"/>
        <w:rPr>
          <w:lang w:val="en-GB"/>
        </w:rPr>
      </w:pPr>
      <w:r w:rsidRPr="00B04DC3">
        <w:rPr>
          <w:lang w:val="en-GB"/>
        </w:rPr>
        <w:tab/>
        <w:t>The analytical balance used to determine the filter weight shall meet the linearity verification criterion of paragraph 9.2.</w:t>
      </w:r>
      <w:r w:rsidR="001433E2" w:rsidRPr="001433E2">
        <w:rPr>
          <w:lang w:val="en-GB"/>
        </w:rPr>
        <w:t xml:space="preserve"> </w:t>
      </w:r>
      <w:r w:rsidR="001433E2">
        <w:rPr>
          <w:lang w:val="en-GB"/>
        </w:rPr>
        <w:t>of this annex</w:t>
      </w:r>
      <w:r w:rsidRPr="00B04DC3">
        <w:rPr>
          <w:lang w:val="en-GB"/>
        </w:rPr>
        <w:t>, Table 7. This implies a precision (standard deviation) of at least 2 µg and a resolution of at least 1 µg (1 digit = 1 µg).</w:t>
      </w:r>
    </w:p>
    <w:p w:rsidR="00002BA6" w:rsidRPr="00B04DC3" w:rsidRDefault="00A85DE8" w:rsidP="00002BA6">
      <w:pPr>
        <w:pStyle w:val="para"/>
        <w:rPr>
          <w:lang w:val="en-GB"/>
        </w:rPr>
      </w:pPr>
      <w:r w:rsidRPr="00B04DC3">
        <w:rPr>
          <w:lang w:val="en-GB"/>
        </w:rPr>
        <w:br w:type="page"/>
      </w:r>
      <w:r w:rsidR="00002BA6" w:rsidRPr="00B04DC3">
        <w:rPr>
          <w:lang w:val="en-GB"/>
        </w:rPr>
        <w:tab/>
        <w:t>In order to ensure accurate filter weighing, it is recommended that the balance be installed as follows:</w:t>
      </w:r>
    </w:p>
    <w:p w:rsidR="00002BA6" w:rsidRPr="00B04DC3" w:rsidRDefault="00002BA6" w:rsidP="00002BA6">
      <w:pPr>
        <w:pStyle w:val="a"/>
        <w:rPr>
          <w:lang w:val="en-GB"/>
        </w:rPr>
      </w:pPr>
      <w:r w:rsidRPr="00B04DC3">
        <w:rPr>
          <w:lang w:val="en-GB"/>
        </w:rPr>
        <w:t>(a)</w:t>
      </w:r>
      <w:r w:rsidRPr="00B04DC3">
        <w:rPr>
          <w:lang w:val="en-GB"/>
        </w:rPr>
        <w:tab/>
        <w:t>Installed on a vibration-isolation platform to isolate it from external noise and vibration;</w:t>
      </w:r>
    </w:p>
    <w:p w:rsidR="00002BA6" w:rsidRPr="00B04DC3" w:rsidRDefault="00002BA6" w:rsidP="00002BA6">
      <w:pPr>
        <w:pStyle w:val="a"/>
        <w:rPr>
          <w:lang w:val="en-GB"/>
        </w:rPr>
      </w:pPr>
      <w:r w:rsidRPr="00B04DC3">
        <w:rPr>
          <w:lang w:val="en-GB"/>
        </w:rPr>
        <w:t>(b)</w:t>
      </w:r>
      <w:r w:rsidRPr="00B04DC3">
        <w:rPr>
          <w:lang w:val="en-GB"/>
        </w:rPr>
        <w:tab/>
        <w:t>Shielded from convective airflow with a static-dissipating draft shield that is electrically grounded.</w:t>
      </w:r>
    </w:p>
    <w:p w:rsidR="00002BA6" w:rsidRPr="00B04DC3" w:rsidRDefault="00002BA6" w:rsidP="00002BA6">
      <w:pPr>
        <w:pStyle w:val="para"/>
        <w:rPr>
          <w:lang w:val="en-GB"/>
        </w:rPr>
      </w:pPr>
      <w:r w:rsidRPr="00B04DC3">
        <w:rPr>
          <w:lang w:val="en-GB"/>
        </w:rPr>
        <w:t>9.4.5.4.</w:t>
      </w:r>
      <w:r w:rsidRPr="00B04DC3">
        <w:rPr>
          <w:lang w:val="en-GB"/>
        </w:rPr>
        <w:tab/>
        <w:t>Elimination of static electricity effects</w:t>
      </w:r>
    </w:p>
    <w:p w:rsidR="00002BA6" w:rsidRPr="00B04DC3" w:rsidRDefault="00002BA6" w:rsidP="00002BA6">
      <w:pPr>
        <w:pStyle w:val="para"/>
        <w:rPr>
          <w:spacing w:val="-2"/>
          <w:lang w:val="en-GB"/>
        </w:rPr>
      </w:pPr>
      <w:r w:rsidRPr="00B04DC3">
        <w:rPr>
          <w:spacing w:val="-2"/>
          <w:lang w:val="en-GB"/>
        </w:rPr>
        <w:tab/>
        <w:t xml:space="preserve">The filter shall be neutralized prior to weighing, e.g. by a Polonium neutralizer or a device of similar effect. If a PTFE membrane filter is used, the static electricity shall be measured and is recommended to be within </w:t>
      </w:r>
      <w:r w:rsidRPr="00B04DC3">
        <w:rPr>
          <w:spacing w:val="-2"/>
          <w:lang w:val="en-GB"/>
        </w:rPr>
        <w:sym w:font="Symbol" w:char="F0B1"/>
      </w:r>
      <w:r w:rsidRPr="00B04DC3">
        <w:rPr>
          <w:spacing w:val="-2"/>
          <w:lang w:val="en-GB"/>
        </w:rPr>
        <w:t>2.0 V of neutral.</w:t>
      </w:r>
    </w:p>
    <w:p w:rsidR="00002BA6" w:rsidRPr="00B04DC3" w:rsidRDefault="00002BA6" w:rsidP="00002BA6">
      <w:pPr>
        <w:pStyle w:val="para"/>
        <w:rPr>
          <w:lang w:val="en-GB"/>
        </w:rPr>
      </w:pPr>
      <w:r w:rsidRPr="00B04DC3">
        <w:rPr>
          <w:lang w:val="en-GB"/>
        </w:rPr>
        <w:tab/>
        <w:t>Static electric charge shall be minimized in the balance environment. Possible methods are as follows:</w:t>
      </w:r>
    </w:p>
    <w:p w:rsidR="00002BA6" w:rsidRPr="00B04DC3" w:rsidRDefault="00002BA6" w:rsidP="00002BA6">
      <w:pPr>
        <w:pStyle w:val="a"/>
        <w:rPr>
          <w:lang w:val="en-GB"/>
        </w:rPr>
      </w:pPr>
      <w:r w:rsidRPr="00B04DC3">
        <w:rPr>
          <w:lang w:val="en-GB"/>
        </w:rPr>
        <w:t>(a)</w:t>
      </w:r>
      <w:r w:rsidRPr="00B04DC3">
        <w:rPr>
          <w:lang w:val="en-GB"/>
        </w:rPr>
        <w:tab/>
        <w:t>The balance shall be electrically grounded;</w:t>
      </w:r>
    </w:p>
    <w:p w:rsidR="00002BA6" w:rsidRPr="00B04DC3" w:rsidRDefault="00002BA6" w:rsidP="00002BA6">
      <w:pPr>
        <w:pStyle w:val="a"/>
        <w:rPr>
          <w:lang w:val="en-GB"/>
        </w:rPr>
      </w:pPr>
      <w:r w:rsidRPr="00B04DC3">
        <w:rPr>
          <w:lang w:val="en-GB"/>
        </w:rPr>
        <w:t>(b)</w:t>
      </w:r>
      <w:r w:rsidRPr="00B04DC3">
        <w:rPr>
          <w:lang w:val="en-GB"/>
        </w:rPr>
        <w:tab/>
        <w:t>Stainless steel tweezers shall be used if PM samples are handled manually;</w:t>
      </w:r>
    </w:p>
    <w:p w:rsidR="00002BA6" w:rsidRPr="00B04DC3" w:rsidRDefault="00002BA6" w:rsidP="00002BA6">
      <w:pPr>
        <w:pStyle w:val="a"/>
        <w:rPr>
          <w:lang w:val="en-GB"/>
        </w:rPr>
      </w:pPr>
      <w:r w:rsidRPr="00B04DC3">
        <w:rPr>
          <w:lang w:val="en-GB"/>
        </w:rPr>
        <w:t>(c)</w:t>
      </w:r>
      <w:r w:rsidRPr="00B04DC3">
        <w:rPr>
          <w:lang w:val="en-GB"/>
        </w:rPr>
        <w:tab/>
        <w:t>Tweezers shall be grounded with a grounding strap, or a grounding strap shall be provided for the operator such that the grounding strap shares a common ground with the balance. Grounding straps shall</w:t>
      </w:r>
      <w:r w:rsidRPr="00B04DC3">
        <w:rPr>
          <w:b/>
          <w:lang w:val="en-GB"/>
        </w:rPr>
        <w:t xml:space="preserve"> </w:t>
      </w:r>
      <w:r w:rsidRPr="00B04DC3">
        <w:rPr>
          <w:lang w:val="en-GB"/>
        </w:rPr>
        <w:t>have an appropriate resistor to protect operators from accidental shock.</w:t>
      </w:r>
    </w:p>
    <w:p w:rsidR="00002BA6" w:rsidRPr="00B04DC3" w:rsidRDefault="00002BA6" w:rsidP="00002BA6">
      <w:pPr>
        <w:pStyle w:val="para"/>
        <w:rPr>
          <w:lang w:val="en-GB"/>
        </w:rPr>
      </w:pPr>
      <w:r w:rsidRPr="00B04DC3">
        <w:rPr>
          <w:lang w:val="en-GB"/>
        </w:rPr>
        <w:t>9.4.5.5.</w:t>
      </w:r>
      <w:r w:rsidRPr="00B04DC3">
        <w:rPr>
          <w:lang w:val="en-GB"/>
        </w:rPr>
        <w:tab/>
        <w:t xml:space="preserve">Additional specifications </w:t>
      </w:r>
    </w:p>
    <w:p w:rsidR="00002BA6" w:rsidRPr="00B04DC3" w:rsidRDefault="00002BA6" w:rsidP="00002BA6">
      <w:pPr>
        <w:pStyle w:val="para"/>
        <w:rPr>
          <w:lang w:val="en-GB"/>
        </w:rPr>
      </w:pPr>
      <w:r w:rsidRPr="00B04DC3">
        <w:rPr>
          <w:lang w:val="en-GB"/>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rsidR="00002BA6" w:rsidRPr="00B04DC3" w:rsidRDefault="00002BA6" w:rsidP="00002BA6">
      <w:pPr>
        <w:pStyle w:val="para"/>
        <w:rPr>
          <w:lang w:val="en-GB"/>
        </w:rPr>
      </w:pPr>
      <w:r w:rsidRPr="00B04DC3">
        <w:rPr>
          <w:lang w:val="en-GB"/>
        </w:rPr>
        <w:t>9.4.5.6.</w:t>
      </w:r>
      <w:r w:rsidRPr="00B04DC3">
        <w:rPr>
          <w:lang w:val="en-GB"/>
        </w:rPr>
        <w:tab/>
        <w:t>Calibration of the flow measurement instrumentation</w:t>
      </w:r>
    </w:p>
    <w:p w:rsidR="00002BA6" w:rsidRPr="00B04DC3" w:rsidRDefault="00002BA6" w:rsidP="00002BA6">
      <w:pPr>
        <w:pStyle w:val="para"/>
        <w:rPr>
          <w:lang w:val="en-GB"/>
        </w:rPr>
      </w:pPr>
      <w:r w:rsidRPr="00B04DC3">
        <w:rPr>
          <w:lang w:val="en-GB"/>
        </w:rPr>
        <w:tab/>
        <w:t>Each flowmeter used in a  particulate sampling and partial flow dilution system shall be subjected to the linearity verification, as described in paragraph 9.2.1.</w:t>
      </w:r>
      <w:r w:rsidR="001433E2" w:rsidRPr="001433E2">
        <w:rPr>
          <w:lang w:val="en-GB"/>
        </w:rPr>
        <w:t xml:space="preserve"> </w:t>
      </w:r>
      <w:r w:rsidR="001433E2">
        <w:rPr>
          <w:lang w:val="en-GB"/>
        </w:rPr>
        <w:t>of this annex</w:t>
      </w:r>
      <w:r w:rsidRPr="00B04DC3">
        <w:rPr>
          <w:lang w:val="en-GB"/>
        </w:rPr>
        <w:t xml:space="preserve">, as often as necessary to fulfil the accuracy </w:t>
      </w:r>
      <w:r w:rsidR="00901017" w:rsidRPr="00B04DC3">
        <w:rPr>
          <w:lang w:val="en-GB"/>
        </w:rPr>
        <w:t>requirements of this Regulation. For the flow reference values</w:t>
      </w:r>
      <w:r w:rsidRPr="00B04DC3">
        <w:rPr>
          <w:lang w:val="en-GB"/>
        </w:rPr>
        <w:t>, an accurate flowmeter traceable to international and/or national standards shall be used. For differential flow measurement calibration see paragraph 9.4.6.2.</w:t>
      </w:r>
      <w:r w:rsidR="001433E2" w:rsidRPr="001433E2">
        <w:rPr>
          <w:lang w:val="en-GB"/>
        </w:rPr>
        <w:t xml:space="preserve"> </w:t>
      </w:r>
      <w:r w:rsidR="001433E2">
        <w:rPr>
          <w:lang w:val="en-GB"/>
        </w:rPr>
        <w:t>of this annex.</w:t>
      </w:r>
    </w:p>
    <w:p w:rsidR="00002BA6" w:rsidRPr="00B04DC3" w:rsidRDefault="00002BA6" w:rsidP="00002BA6">
      <w:pPr>
        <w:pStyle w:val="para"/>
        <w:rPr>
          <w:lang w:val="en-GB"/>
        </w:rPr>
      </w:pPr>
      <w:r w:rsidRPr="00B04DC3">
        <w:rPr>
          <w:lang w:val="en-GB"/>
        </w:rPr>
        <w:t>9.4.6.</w:t>
      </w:r>
      <w:r w:rsidRPr="00B04DC3">
        <w:rPr>
          <w:lang w:val="en-GB"/>
        </w:rPr>
        <w:tab/>
        <w:t>Special requirements for the partial flow dilution system</w:t>
      </w:r>
    </w:p>
    <w:p w:rsidR="00002BA6" w:rsidRPr="00B04DC3" w:rsidRDefault="00002BA6" w:rsidP="00002BA6">
      <w:pPr>
        <w:pStyle w:val="para"/>
        <w:rPr>
          <w:lang w:val="en-GB"/>
        </w:rPr>
      </w:pPr>
      <w:r w:rsidRPr="00B04DC3">
        <w:rPr>
          <w:lang w:val="en-GB"/>
        </w:rPr>
        <w:tab/>
        <w:t>The partial flow dilution system has to be designed to extract a proportional raw exhaust sample from the engine exhaust stream, thus responding to excursions in the exhaust stream flow rate. For this it is essential that the dilution ratio or the sampling ratio r</w:t>
      </w:r>
      <w:r w:rsidRPr="00B04DC3">
        <w:rPr>
          <w:vertAlign w:val="subscript"/>
          <w:lang w:val="en-GB"/>
        </w:rPr>
        <w:t>d</w:t>
      </w:r>
      <w:r w:rsidRPr="00B04DC3">
        <w:rPr>
          <w:lang w:val="en-GB"/>
        </w:rPr>
        <w:t xml:space="preserve"> or r</w:t>
      </w:r>
      <w:r w:rsidRPr="00B04DC3">
        <w:rPr>
          <w:vertAlign w:val="subscript"/>
          <w:lang w:val="en-GB"/>
        </w:rPr>
        <w:t>s</w:t>
      </w:r>
      <w:r w:rsidRPr="00B04DC3">
        <w:rPr>
          <w:lang w:val="en-GB"/>
        </w:rPr>
        <w:t xml:space="preserve"> be determined such that the accuracy requirements of paragraph 9.4.6.2. </w:t>
      </w:r>
      <w:r w:rsidR="001433E2">
        <w:rPr>
          <w:lang w:val="en-GB"/>
        </w:rPr>
        <w:t>of this annex</w:t>
      </w:r>
      <w:r w:rsidR="001433E2" w:rsidRPr="00B04DC3">
        <w:rPr>
          <w:lang w:val="en-GB"/>
        </w:rPr>
        <w:t xml:space="preserve"> </w:t>
      </w:r>
      <w:r w:rsidRPr="00B04DC3">
        <w:rPr>
          <w:lang w:val="en-GB"/>
        </w:rPr>
        <w:t>are fulfilled.</w:t>
      </w:r>
    </w:p>
    <w:p w:rsidR="00002BA6" w:rsidRPr="00B04DC3" w:rsidRDefault="00A85DE8" w:rsidP="00002BA6">
      <w:pPr>
        <w:pStyle w:val="para"/>
        <w:rPr>
          <w:lang w:val="en-GB"/>
        </w:rPr>
      </w:pPr>
      <w:r w:rsidRPr="00B04DC3">
        <w:rPr>
          <w:lang w:val="en-GB"/>
        </w:rPr>
        <w:br w:type="page"/>
      </w:r>
      <w:r w:rsidR="00002BA6" w:rsidRPr="00B04DC3">
        <w:rPr>
          <w:lang w:val="en-GB"/>
        </w:rPr>
        <w:t>9.4.6.1.</w:t>
      </w:r>
      <w:r w:rsidR="00002BA6" w:rsidRPr="00B04DC3">
        <w:rPr>
          <w:lang w:val="en-GB"/>
        </w:rPr>
        <w:tab/>
        <w:t>System response time</w:t>
      </w:r>
    </w:p>
    <w:p w:rsidR="00002BA6" w:rsidRPr="00B04DC3" w:rsidRDefault="00002BA6" w:rsidP="00002BA6">
      <w:pPr>
        <w:pStyle w:val="para"/>
        <w:rPr>
          <w:lang w:val="en-GB"/>
        </w:rPr>
      </w:pPr>
      <w:r w:rsidRPr="00B04DC3">
        <w:rPr>
          <w:lang w:val="en-GB"/>
        </w:rPr>
        <w:tab/>
        <w:t>For the control of a partial flow dilution system, a fast system response is required. The transformation time for the system shall be determined by the procedure in paragraph 9.4.6.6.</w:t>
      </w:r>
      <w:r w:rsidR="001433E2" w:rsidRPr="001433E2">
        <w:rPr>
          <w:lang w:val="en-GB"/>
        </w:rPr>
        <w:t xml:space="preserve"> </w:t>
      </w:r>
      <w:r w:rsidR="001433E2">
        <w:rPr>
          <w:lang w:val="en-GB"/>
        </w:rPr>
        <w:t>of this annex.</w:t>
      </w:r>
      <w:r w:rsidRPr="00B04DC3">
        <w:rPr>
          <w:lang w:val="en-GB"/>
        </w:rPr>
        <w:t xml:space="preserve"> If the combined transformation time of the exhaust flow measurement (see paragraph 8.</w:t>
      </w:r>
      <w:r w:rsidR="008239EC" w:rsidRPr="00B04DC3">
        <w:rPr>
          <w:lang w:val="en-GB"/>
        </w:rPr>
        <w:t>4</w:t>
      </w:r>
      <w:r w:rsidRPr="00B04DC3">
        <w:rPr>
          <w:lang w:val="en-GB"/>
        </w:rPr>
        <w:t>.1.2.</w:t>
      </w:r>
      <w:r w:rsidR="001433E2" w:rsidRPr="001433E2">
        <w:rPr>
          <w:lang w:val="en-GB"/>
        </w:rPr>
        <w:t xml:space="preserve"> </w:t>
      </w:r>
      <w:r w:rsidR="001433E2">
        <w:rPr>
          <w:lang w:val="en-GB"/>
        </w:rPr>
        <w:t>of this annex</w:t>
      </w:r>
      <w:r w:rsidRPr="00B04DC3">
        <w:rPr>
          <w:lang w:val="en-GB"/>
        </w:rPr>
        <w:t>) and the partial flow system is  ≤  0.3 second, online control shall be used. If the transformation time exceeds 0.3 second, look ahead control based on a pre-recorded test run shall be used. In this case, the combined rise time shall be  </w:t>
      </w:r>
      <w:r w:rsidRPr="00B04DC3">
        <w:rPr>
          <w:lang w:val="en-GB"/>
        </w:rPr>
        <w:sym w:font="Symbol" w:char="F0A3"/>
      </w:r>
      <w:r w:rsidRPr="00B04DC3">
        <w:rPr>
          <w:lang w:val="en-GB"/>
        </w:rPr>
        <w:t>  1 second and the combined delay time  </w:t>
      </w:r>
      <w:r w:rsidRPr="00B04DC3">
        <w:rPr>
          <w:lang w:val="en-GB"/>
        </w:rPr>
        <w:sym w:font="Symbol" w:char="F0A3"/>
      </w:r>
      <w:r w:rsidRPr="00B04DC3">
        <w:rPr>
          <w:lang w:val="en-GB"/>
        </w:rPr>
        <w:t>  10 seconds.</w:t>
      </w:r>
    </w:p>
    <w:p w:rsidR="00002BA6" w:rsidRPr="00B04DC3" w:rsidRDefault="00002BA6" w:rsidP="00002BA6">
      <w:pPr>
        <w:pStyle w:val="para"/>
        <w:rPr>
          <w:lang w:val="en-GB"/>
        </w:rPr>
      </w:pPr>
      <w:r w:rsidRPr="00B04DC3">
        <w:rPr>
          <w:lang w:val="en-GB"/>
        </w:rPr>
        <w:tab/>
        <w:t>The total system response shall be designed as to ensure a representative sample of the particulates, q</w:t>
      </w:r>
      <w:r w:rsidRPr="00B04DC3">
        <w:rPr>
          <w:vertAlign w:val="subscript"/>
          <w:lang w:val="en-GB"/>
        </w:rPr>
        <w:t>mp,i</w:t>
      </w:r>
      <w:r w:rsidRPr="00B04DC3">
        <w:rPr>
          <w:lang w:val="en-GB"/>
        </w:rPr>
        <w:t>, proportional to the exhaust mass flow. To determine the proportionality, a regression analysis of q</w:t>
      </w:r>
      <w:r w:rsidRPr="00B04DC3">
        <w:rPr>
          <w:vertAlign w:val="subscript"/>
          <w:lang w:val="en-GB"/>
        </w:rPr>
        <w:t>mp,i</w:t>
      </w:r>
      <w:r w:rsidRPr="00B04DC3">
        <w:rPr>
          <w:lang w:val="en-GB"/>
        </w:rPr>
        <w:t xml:space="preserve"> versus q</w:t>
      </w:r>
      <w:r w:rsidRPr="00B04DC3">
        <w:rPr>
          <w:vertAlign w:val="subscript"/>
          <w:lang w:val="en-GB"/>
        </w:rPr>
        <w:t>mew,i</w:t>
      </w:r>
      <w:r w:rsidRPr="00B04DC3">
        <w:rPr>
          <w:lang w:val="en-GB"/>
        </w:rPr>
        <w:t xml:space="preserve"> shall be conducted on a minimum 5 Hz data acquisition rate, and the following criteria shall be met:</w:t>
      </w:r>
    </w:p>
    <w:p w:rsidR="00002BA6" w:rsidRPr="00B04DC3" w:rsidRDefault="00002BA6" w:rsidP="00002BA6">
      <w:pPr>
        <w:pStyle w:val="a"/>
        <w:rPr>
          <w:lang w:val="en-GB"/>
        </w:rPr>
      </w:pPr>
      <w:r w:rsidRPr="00B04DC3">
        <w:rPr>
          <w:lang w:val="en-GB"/>
        </w:rPr>
        <w:t>(a)</w:t>
      </w:r>
      <w:r w:rsidRPr="00B04DC3">
        <w:rPr>
          <w:lang w:val="en-GB"/>
        </w:rPr>
        <w:tab/>
        <w:t>The coefficient of determination r</w:t>
      </w:r>
      <w:r w:rsidRPr="00B04DC3">
        <w:rPr>
          <w:vertAlign w:val="superscript"/>
          <w:lang w:val="en-GB"/>
        </w:rPr>
        <w:t>2</w:t>
      </w:r>
      <w:r w:rsidRPr="00B04DC3">
        <w:rPr>
          <w:lang w:val="en-GB"/>
        </w:rPr>
        <w:t xml:space="preserve"> of the linear regression between q</w:t>
      </w:r>
      <w:r w:rsidRPr="00B04DC3">
        <w:rPr>
          <w:vertAlign w:val="subscript"/>
          <w:lang w:val="en-GB"/>
        </w:rPr>
        <w:t>mp,i</w:t>
      </w:r>
      <w:r w:rsidRPr="00B04DC3">
        <w:rPr>
          <w:lang w:val="en-GB"/>
        </w:rPr>
        <w:t xml:space="preserve"> and q</w:t>
      </w:r>
      <w:r w:rsidRPr="00B04DC3">
        <w:rPr>
          <w:vertAlign w:val="subscript"/>
          <w:lang w:val="en-GB"/>
        </w:rPr>
        <w:t>mew,i</w:t>
      </w:r>
      <w:r w:rsidRPr="00B04DC3">
        <w:rPr>
          <w:lang w:val="en-GB"/>
        </w:rPr>
        <w:t xml:space="preserve"> shall not be less than 0.95;</w:t>
      </w:r>
    </w:p>
    <w:p w:rsidR="00002BA6" w:rsidRPr="00B04DC3" w:rsidRDefault="00002BA6" w:rsidP="00002BA6">
      <w:pPr>
        <w:pStyle w:val="a"/>
        <w:rPr>
          <w:lang w:val="en-GB"/>
        </w:rPr>
      </w:pPr>
      <w:r w:rsidRPr="00B04DC3">
        <w:rPr>
          <w:lang w:val="en-GB"/>
        </w:rPr>
        <w:t>(b)</w:t>
      </w:r>
      <w:r w:rsidRPr="00B04DC3">
        <w:rPr>
          <w:lang w:val="en-GB"/>
        </w:rPr>
        <w:tab/>
        <w:t>The standard error of estimate of q</w:t>
      </w:r>
      <w:r w:rsidRPr="00B04DC3">
        <w:rPr>
          <w:vertAlign w:val="subscript"/>
          <w:lang w:val="en-GB"/>
        </w:rPr>
        <w:t>mp,i</w:t>
      </w:r>
      <w:r w:rsidRPr="00B04DC3">
        <w:rPr>
          <w:lang w:val="en-GB"/>
        </w:rPr>
        <w:t xml:space="preserve"> on q</w:t>
      </w:r>
      <w:r w:rsidRPr="00B04DC3">
        <w:rPr>
          <w:vertAlign w:val="subscript"/>
          <w:lang w:val="en-GB"/>
        </w:rPr>
        <w:t>mew,i</w:t>
      </w:r>
      <w:r w:rsidRPr="00B04DC3">
        <w:rPr>
          <w:lang w:val="en-GB"/>
        </w:rPr>
        <w:t xml:space="preserve"> shall not exceed 5 per cent of q</w:t>
      </w:r>
      <w:r w:rsidRPr="00B04DC3">
        <w:rPr>
          <w:vertAlign w:val="subscript"/>
          <w:lang w:val="en-GB"/>
        </w:rPr>
        <w:t>mp</w:t>
      </w:r>
      <w:r w:rsidRPr="00B04DC3">
        <w:rPr>
          <w:lang w:val="en-GB"/>
        </w:rPr>
        <w:t xml:space="preserve"> maximum;</w:t>
      </w:r>
    </w:p>
    <w:p w:rsidR="00002BA6" w:rsidRPr="00B04DC3" w:rsidRDefault="00002BA6" w:rsidP="00002BA6">
      <w:pPr>
        <w:pStyle w:val="a"/>
        <w:rPr>
          <w:lang w:val="en-GB"/>
        </w:rPr>
      </w:pPr>
      <w:r w:rsidRPr="00B04DC3">
        <w:rPr>
          <w:lang w:val="en-GB"/>
        </w:rPr>
        <w:t>(c)</w:t>
      </w:r>
      <w:r w:rsidRPr="00B04DC3">
        <w:rPr>
          <w:lang w:val="en-GB"/>
        </w:rPr>
        <w:tab/>
        <w:t>q</w:t>
      </w:r>
      <w:r w:rsidRPr="00B04DC3">
        <w:rPr>
          <w:vertAlign w:val="subscript"/>
          <w:lang w:val="en-GB"/>
        </w:rPr>
        <w:t>mp</w:t>
      </w:r>
      <w:r w:rsidRPr="00B04DC3">
        <w:rPr>
          <w:lang w:val="en-GB"/>
        </w:rPr>
        <w:t xml:space="preserve"> intercept of the regression line shall not exceed </w:t>
      </w:r>
      <w:r w:rsidRPr="00B04DC3">
        <w:rPr>
          <w:lang w:val="en-GB"/>
        </w:rPr>
        <w:sym w:font="Symbol" w:char="F0B1"/>
      </w:r>
      <w:r w:rsidRPr="00B04DC3">
        <w:rPr>
          <w:lang w:val="en-GB"/>
        </w:rPr>
        <w:t>2 per cent of q</w:t>
      </w:r>
      <w:r w:rsidRPr="00B04DC3">
        <w:rPr>
          <w:vertAlign w:val="subscript"/>
          <w:lang w:val="en-GB"/>
        </w:rPr>
        <w:t>mp</w:t>
      </w:r>
      <w:r w:rsidRPr="00B04DC3">
        <w:rPr>
          <w:lang w:val="en-GB"/>
        </w:rPr>
        <w:t xml:space="preserve"> maximum.</w:t>
      </w:r>
    </w:p>
    <w:p w:rsidR="00002BA6" w:rsidRPr="00B04DC3" w:rsidRDefault="00002BA6" w:rsidP="00002BA6">
      <w:pPr>
        <w:pStyle w:val="para"/>
        <w:rPr>
          <w:lang w:val="en-GB"/>
        </w:rPr>
      </w:pPr>
      <w:r w:rsidRPr="00B04DC3">
        <w:rPr>
          <w:lang w:val="en-GB"/>
        </w:rPr>
        <w:tab/>
        <w:t>Look-ahead control is required if the combined transformation times of the particulate system, t</w:t>
      </w:r>
      <w:r w:rsidRPr="00B04DC3">
        <w:rPr>
          <w:vertAlign w:val="subscript"/>
          <w:lang w:val="en-GB"/>
        </w:rPr>
        <w:t>50,P</w:t>
      </w:r>
      <w:r w:rsidRPr="00B04DC3">
        <w:rPr>
          <w:lang w:val="en-GB"/>
        </w:rPr>
        <w:t xml:space="preserve"> and of the exhaust mass flow signal, t</w:t>
      </w:r>
      <w:r w:rsidRPr="00B04DC3">
        <w:rPr>
          <w:vertAlign w:val="subscript"/>
          <w:lang w:val="en-GB"/>
        </w:rPr>
        <w:t>50,F</w:t>
      </w:r>
      <w:r w:rsidRPr="00B04DC3">
        <w:rPr>
          <w:lang w:val="en-GB"/>
        </w:rPr>
        <w:t xml:space="preserve"> are  &gt;  0.3 second. In this case, a pre-test shall be run, and the exhaust mass flow signal of the pre-test be used for controlling the sample flow into the</w:t>
      </w:r>
      <w:r w:rsidRPr="00B04DC3">
        <w:rPr>
          <w:b/>
          <w:lang w:val="en-GB"/>
        </w:rPr>
        <w:t xml:space="preserve"> </w:t>
      </w:r>
      <w:r w:rsidRPr="00B04DC3">
        <w:rPr>
          <w:lang w:val="en-GB"/>
        </w:rPr>
        <w:t>particulate system. A correct control of the partial dilution system is obtained, if the time trace of q</w:t>
      </w:r>
      <w:r w:rsidRPr="00B04DC3">
        <w:rPr>
          <w:vertAlign w:val="subscript"/>
          <w:lang w:val="en-GB"/>
        </w:rPr>
        <w:t>mew,pre</w:t>
      </w:r>
      <w:r w:rsidRPr="00B04DC3">
        <w:rPr>
          <w:lang w:val="en-GB"/>
        </w:rPr>
        <w:t xml:space="preserve"> of the pre-test, which controls q</w:t>
      </w:r>
      <w:r w:rsidRPr="00B04DC3">
        <w:rPr>
          <w:vertAlign w:val="subscript"/>
          <w:lang w:val="en-GB"/>
        </w:rPr>
        <w:t>mp</w:t>
      </w:r>
      <w:r w:rsidRPr="00B04DC3">
        <w:rPr>
          <w:lang w:val="en-GB"/>
        </w:rPr>
        <w:t>, is shifted by a "look-ahead" time of t</w:t>
      </w:r>
      <w:r w:rsidRPr="00B04DC3">
        <w:rPr>
          <w:vertAlign w:val="subscript"/>
          <w:lang w:val="en-GB"/>
        </w:rPr>
        <w:t>50,P</w:t>
      </w:r>
      <w:r w:rsidRPr="00B04DC3">
        <w:rPr>
          <w:lang w:val="en-GB"/>
        </w:rPr>
        <w:t xml:space="preserve"> + t</w:t>
      </w:r>
      <w:r w:rsidRPr="00B04DC3">
        <w:rPr>
          <w:vertAlign w:val="subscript"/>
          <w:lang w:val="en-GB"/>
        </w:rPr>
        <w:t>50,F</w:t>
      </w:r>
      <w:r w:rsidRPr="00B04DC3">
        <w:rPr>
          <w:lang w:val="en-GB"/>
        </w:rPr>
        <w:t>.</w:t>
      </w:r>
    </w:p>
    <w:p w:rsidR="00002BA6" w:rsidRPr="00B04DC3" w:rsidRDefault="00002BA6" w:rsidP="00002BA6">
      <w:pPr>
        <w:pStyle w:val="para"/>
        <w:rPr>
          <w:lang w:val="en-GB"/>
        </w:rPr>
      </w:pPr>
      <w:r w:rsidRPr="00B04DC3">
        <w:rPr>
          <w:lang w:val="en-GB"/>
        </w:rPr>
        <w:tab/>
        <w:t>For establishing the correlation between q</w:t>
      </w:r>
      <w:r w:rsidRPr="00B04DC3">
        <w:rPr>
          <w:vertAlign w:val="subscript"/>
          <w:lang w:val="en-GB"/>
        </w:rPr>
        <w:t>mp,i</w:t>
      </w:r>
      <w:r w:rsidRPr="00B04DC3">
        <w:rPr>
          <w:lang w:val="en-GB"/>
        </w:rPr>
        <w:t xml:space="preserve"> and q</w:t>
      </w:r>
      <w:r w:rsidRPr="00B04DC3">
        <w:rPr>
          <w:vertAlign w:val="subscript"/>
          <w:lang w:val="en-GB"/>
        </w:rPr>
        <w:t>mew,i</w:t>
      </w:r>
      <w:r w:rsidRPr="00B04DC3">
        <w:rPr>
          <w:lang w:val="en-GB"/>
        </w:rPr>
        <w:t xml:space="preserve"> the data taken during the actual test shall be used, with q</w:t>
      </w:r>
      <w:r w:rsidRPr="00B04DC3">
        <w:rPr>
          <w:vertAlign w:val="subscript"/>
          <w:lang w:val="en-GB"/>
        </w:rPr>
        <w:t>mew,i</w:t>
      </w:r>
      <w:r w:rsidRPr="00B04DC3">
        <w:rPr>
          <w:lang w:val="en-GB"/>
        </w:rPr>
        <w:t xml:space="preserve"> time aligned by t</w:t>
      </w:r>
      <w:r w:rsidRPr="00B04DC3">
        <w:rPr>
          <w:vertAlign w:val="subscript"/>
          <w:lang w:val="en-GB"/>
        </w:rPr>
        <w:t>50,F</w:t>
      </w:r>
      <w:r w:rsidRPr="00B04DC3">
        <w:rPr>
          <w:lang w:val="en-GB"/>
        </w:rPr>
        <w:t xml:space="preserve"> relative to q</w:t>
      </w:r>
      <w:r w:rsidRPr="00B04DC3">
        <w:rPr>
          <w:vertAlign w:val="subscript"/>
          <w:lang w:val="en-GB"/>
        </w:rPr>
        <w:t>mp,i</w:t>
      </w:r>
      <w:r w:rsidRPr="00B04DC3">
        <w:rPr>
          <w:lang w:val="en-GB"/>
        </w:rPr>
        <w:t xml:space="preserve"> (no contribution from t</w:t>
      </w:r>
      <w:r w:rsidRPr="00B04DC3">
        <w:rPr>
          <w:vertAlign w:val="subscript"/>
          <w:lang w:val="en-GB"/>
        </w:rPr>
        <w:t>50,P</w:t>
      </w:r>
      <w:r w:rsidRPr="00B04DC3">
        <w:rPr>
          <w:lang w:val="en-GB"/>
        </w:rPr>
        <w:t xml:space="preserve"> to the time alignment). That is, the time shift between q</w:t>
      </w:r>
      <w:r w:rsidRPr="00B04DC3">
        <w:rPr>
          <w:vertAlign w:val="subscript"/>
          <w:lang w:val="en-GB"/>
        </w:rPr>
        <w:t>mew</w:t>
      </w:r>
      <w:r w:rsidRPr="00B04DC3">
        <w:rPr>
          <w:lang w:val="en-GB"/>
        </w:rPr>
        <w:t xml:space="preserve"> and q</w:t>
      </w:r>
      <w:r w:rsidRPr="00B04DC3">
        <w:rPr>
          <w:vertAlign w:val="subscript"/>
          <w:lang w:val="en-GB"/>
        </w:rPr>
        <w:t>mp</w:t>
      </w:r>
      <w:r w:rsidRPr="00B04DC3">
        <w:rPr>
          <w:rFonts w:ascii="Helvetica" w:hAnsi="Helvetica"/>
          <w:vertAlign w:val="subscript"/>
          <w:lang w:val="en-GB"/>
        </w:rPr>
        <w:t xml:space="preserve"> </w:t>
      </w:r>
      <w:r w:rsidRPr="00B04DC3">
        <w:rPr>
          <w:lang w:val="en-GB"/>
        </w:rPr>
        <w:t>is the difference in their transformation times that were determined in paragraph 9.4.6.6.</w:t>
      </w:r>
      <w:r w:rsidR="001433E2" w:rsidRPr="001433E2">
        <w:rPr>
          <w:lang w:val="en-GB"/>
        </w:rPr>
        <w:t xml:space="preserve"> </w:t>
      </w:r>
      <w:r w:rsidR="001433E2">
        <w:rPr>
          <w:lang w:val="en-GB"/>
        </w:rPr>
        <w:t>of this annex.</w:t>
      </w:r>
    </w:p>
    <w:p w:rsidR="00002BA6" w:rsidRPr="00B04DC3" w:rsidRDefault="00002BA6" w:rsidP="00002BA6">
      <w:pPr>
        <w:pStyle w:val="para"/>
        <w:rPr>
          <w:lang w:val="en-GB"/>
        </w:rPr>
      </w:pPr>
      <w:r w:rsidRPr="00B04DC3">
        <w:rPr>
          <w:lang w:val="en-GB"/>
        </w:rPr>
        <w:t>9.4.6.2.</w:t>
      </w:r>
      <w:r w:rsidRPr="00B04DC3">
        <w:rPr>
          <w:lang w:val="en-GB"/>
        </w:rPr>
        <w:tab/>
        <w:t>Specifications for differential flow measurement</w:t>
      </w:r>
    </w:p>
    <w:p w:rsidR="00002BA6" w:rsidRPr="00B04DC3" w:rsidRDefault="00002BA6" w:rsidP="00002BA6">
      <w:pPr>
        <w:pStyle w:val="para"/>
        <w:rPr>
          <w:lang w:val="en-GB"/>
        </w:rPr>
      </w:pPr>
      <w:r w:rsidRPr="00B04DC3">
        <w:rPr>
          <w:lang w:val="en-GB"/>
        </w:rPr>
        <w:tab/>
        <w:t>For partial flow dilution systems, the accuracy of the sample flow q</w:t>
      </w:r>
      <w:r w:rsidRPr="00B04DC3">
        <w:rPr>
          <w:vertAlign w:val="subscript"/>
          <w:lang w:val="en-GB"/>
        </w:rPr>
        <w:t>mp</w:t>
      </w:r>
      <w:r w:rsidRPr="00B04DC3">
        <w:rPr>
          <w:lang w:val="en-GB"/>
        </w:rPr>
        <w:t xml:space="preserve"> is of special concern, if not measured directly, but determined by differential flow measurement:</w:t>
      </w:r>
    </w:p>
    <w:p w:rsidR="00002BA6" w:rsidRPr="00B04DC3" w:rsidRDefault="00002BA6" w:rsidP="00002BA6">
      <w:pPr>
        <w:pStyle w:val="para"/>
        <w:tabs>
          <w:tab w:val="right" w:pos="8505"/>
        </w:tabs>
        <w:rPr>
          <w:lang w:val="en-GB"/>
        </w:rPr>
      </w:pPr>
      <w:r w:rsidRPr="00B04DC3">
        <w:rPr>
          <w:lang w:val="en-GB"/>
        </w:rPr>
        <w:tab/>
        <w:t>q</w:t>
      </w:r>
      <w:r w:rsidRPr="00B04DC3">
        <w:rPr>
          <w:vertAlign w:val="subscript"/>
          <w:lang w:val="en-GB"/>
        </w:rPr>
        <w:t>mp</w:t>
      </w:r>
      <w:r w:rsidRPr="00B04DC3">
        <w:rPr>
          <w:lang w:val="en-GB"/>
        </w:rPr>
        <w:t xml:space="preserve"> = q</w:t>
      </w:r>
      <w:r w:rsidRPr="00B04DC3">
        <w:rPr>
          <w:vertAlign w:val="subscript"/>
          <w:lang w:val="en-GB"/>
        </w:rPr>
        <w:t>mdew</w:t>
      </w:r>
      <w:r w:rsidRPr="00B04DC3">
        <w:rPr>
          <w:lang w:val="en-GB"/>
        </w:rPr>
        <w:t xml:space="preserve"> – q</w:t>
      </w:r>
      <w:r w:rsidRPr="00B04DC3">
        <w:rPr>
          <w:vertAlign w:val="subscript"/>
          <w:lang w:val="en-GB"/>
        </w:rPr>
        <w:t>mdw</w:t>
      </w:r>
      <w:r w:rsidRPr="00B04DC3">
        <w:rPr>
          <w:lang w:val="en-GB"/>
        </w:rPr>
        <w:tab/>
        <w:t>(83)</w:t>
      </w:r>
    </w:p>
    <w:p w:rsidR="00002BA6" w:rsidRPr="00B04DC3" w:rsidRDefault="00002BA6" w:rsidP="00002BA6">
      <w:pPr>
        <w:pStyle w:val="para"/>
        <w:rPr>
          <w:lang w:val="en-GB"/>
        </w:rPr>
      </w:pPr>
      <w:r w:rsidRPr="00B04DC3">
        <w:rPr>
          <w:lang w:val="en-GB"/>
        </w:rPr>
        <w:tab/>
        <w:t>In this case, the maximum error of the difference shall be such that the accuracy of q</w:t>
      </w:r>
      <w:r w:rsidRPr="00B04DC3">
        <w:rPr>
          <w:vertAlign w:val="subscript"/>
          <w:lang w:val="en-GB"/>
        </w:rPr>
        <w:t>mp</w:t>
      </w:r>
      <w:r w:rsidRPr="00B04DC3">
        <w:rPr>
          <w:lang w:val="en-GB"/>
        </w:rPr>
        <w:t xml:space="preserve"> is within </w:t>
      </w:r>
      <w:r w:rsidRPr="00B04DC3">
        <w:rPr>
          <w:lang w:val="en-GB"/>
        </w:rPr>
        <w:sym w:font="Symbol" w:char="F0B1"/>
      </w:r>
      <w:r w:rsidRPr="00B04DC3">
        <w:rPr>
          <w:lang w:val="en-GB"/>
        </w:rPr>
        <w:t>5 per cent when the dilution ratio is less than 15. It can be calculated by taking root-mean-square of the errors of each instrument.</w:t>
      </w:r>
    </w:p>
    <w:p w:rsidR="00002BA6" w:rsidRPr="00B04DC3" w:rsidRDefault="00002BA6" w:rsidP="00002BA6">
      <w:pPr>
        <w:pStyle w:val="para"/>
        <w:rPr>
          <w:lang w:val="en-GB"/>
        </w:rPr>
      </w:pPr>
      <w:r w:rsidRPr="00B04DC3">
        <w:rPr>
          <w:lang w:val="en-GB"/>
        </w:rPr>
        <w:tab/>
        <w:t>Acceptable accuracies of q</w:t>
      </w:r>
      <w:r w:rsidRPr="00B04DC3">
        <w:rPr>
          <w:vertAlign w:val="subscript"/>
          <w:lang w:val="en-GB"/>
        </w:rPr>
        <w:t>mp</w:t>
      </w:r>
      <w:r w:rsidRPr="00B04DC3">
        <w:rPr>
          <w:lang w:val="en-GB"/>
        </w:rPr>
        <w:t xml:space="preserve"> can be obtained by either of the following methods:</w:t>
      </w:r>
    </w:p>
    <w:p w:rsidR="00002BA6" w:rsidRPr="00B04DC3" w:rsidRDefault="00002BA6" w:rsidP="00002BA6">
      <w:pPr>
        <w:pStyle w:val="a"/>
        <w:rPr>
          <w:lang w:val="en-GB"/>
        </w:rPr>
      </w:pPr>
      <w:r w:rsidRPr="00B04DC3">
        <w:rPr>
          <w:lang w:val="en-GB"/>
        </w:rPr>
        <w:t>(a)</w:t>
      </w:r>
      <w:r w:rsidRPr="00B04DC3">
        <w:rPr>
          <w:lang w:val="en-GB"/>
        </w:rPr>
        <w:tab/>
        <w:t>The absolute accuracies of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are </w:t>
      </w:r>
      <w:r w:rsidRPr="00B04DC3">
        <w:rPr>
          <w:lang w:val="en-GB"/>
        </w:rPr>
        <w:sym w:font="Symbol" w:char="F0B1"/>
      </w:r>
      <w:r w:rsidRPr="00B04DC3">
        <w:rPr>
          <w:lang w:val="en-GB"/>
        </w:rPr>
        <w:t>0.2 per cent which guarantees an accuracy of q</w:t>
      </w:r>
      <w:r w:rsidRPr="00B04DC3">
        <w:rPr>
          <w:vertAlign w:val="subscript"/>
          <w:lang w:val="en-GB"/>
        </w:rPr>
        <w:t>mp</w:t>
      </w:r>
      <w:r w:rsidRPr="00B04DC3">
        <w:rPr>
          <w:lang w:val="en-GB"/>
        </w:rPr>
        <w:t xml:space="preserve"> of </w:t>
      </w:r>
      <w:r w:rsidRPr="00B04DC3">
        <w:rPr>
          <w:lang w:val="en-GB"/>
        </w:rPr>
        <w:sym w:font="Symbol" w:char="F0A3"/>
      </w:r>
      <w:r w:rsidRPr="00B04DC3">
        <w:rPr>
          <w:lang w:val="en-GB"/>
        </w:rPr>
        <w:t xml:space="preserve"> 5 per cent at a dilution ratio of 15. However, greater errors will occur at higher dilution ratios.</w:t>
      </w:r>
    </w:p>
    <w:p w:rsidR="00002BA6" w:rsidRPr="00B04DC3" w:rsidRDefault="00002BA6" w:rsidP="00002BA6">
      <w:pPr>
        <w:pStyle w:val="a"/>
        <w:rPr>
          <w:lang w:val="en-GB"/>
        </w:rPr>
      </w:pPr>
      <w:r w:rsidRPr="00B04DC3">
        <w:rPr>
          <w:lang w:val="en-GB"/>
        </w:rPr>
        <w:t>(b)</w:t>
      </w:r>
      <w:r w:rsidRPr="00B04DC3">
        <w:rPr>
          <w:lang w:val="en-GB"/>
        </w:rPr>
        <w:tab/>
        <w:t>Calibration of q</w:t>
      </w:r>
      <w:r w:rsidRPr="00B04DC3">
        <w:rPr>
          <w:vertAlign w:val="subscript"/>
          <w:lang w:val="en-GB"/>
        </w:rPr>
        <w:t>mdw</w:t>
      </w:r>
      <w:r w:rsidRPr="00B04DC3">
        <w:rPr>
          <w:lang w:val="en-GB"/>
        </w:rPr>
        <w:t xml:space="preserve"> relative to q</w:t>
      </w:r>
      <w:r w:rsidRPr="00B04DC3">
        <w:rPr>
          <w:vertAlign w:val="subscript"/>
          <w:lang w:val="en-GB"/>
        </w:rPr>
        <w:t>mdew</w:t>
      </w:r>
      <w:r w:rsidRPr="00B04DC3">
        <w:rPr>
          <w:lang w:val="en-GB"/>
        </w:rPr>
        <w:t xml:space="preserve"> is carried out such that the same accuracies for q</w:t>
      </w:r>
      <w:r w:rsidRPr="00B04DC3">
        <w:rPr>
          <w:vertAlign w:val="subscript"/>
          <w:lang w:val="en-GB"/>
        </w:rPr>
        <w:t>mp</w:t>
      </w:r>
      <w:r w:rsidRPr="00B04DC3">
        <w:rPr>
          <w:lang w:val="en-GB"/>
        </w:rPr>
        <w:t xml:space="preserve"> as in (a) are obtained. For details see paragraph 9.4.6.</w:t>
      </w:r>
      <w:r w:rsidR="008239EC" w:rsidRPr="00B04DC3">
        <w:rPr>
          <w:lang w:val="en-GB"/>
        </w:rPr>
        <w:t>3</w:t>
      </w:r>
      <w:r w:rsidRPr="00B04DC3">
        <w:rPr>
          <w:lang w:val="en-GB"/>
        </w:rPr>
        <w:t>.</w:t>
      </w:r>
      <w:r w:rsidR="001433E2" w:rsidRPr="001433E2">
        <w:rPr>
          <w:lang w:val="en-GB"/>
        </w:rPr>
        <w:t xml:space="preserve"> </w:t>
      </w:r>
      <w:r w:rsidR="001433E2">
        <w:rPr>
          <w:lang w:val="en-GB"/>
        </w:rPr>
        <w:t>of this annex.</w:t>
      </w:r>
    </w:p>
    <w:p w:rsidR="00002BA6" w:rsidRPr="00B04DC3" w:rsidRDefault="00002BA6" w:rsidP="00002BA6">
      <w:pPr>
        <w:pStyle w:val="a"/>
        <w:rPr>
          <w:lang w:val="en-GB"/>
        </w:rPr>
      </w:pPr>
      <w:r w:rsidRPr="00B04DC3">
        <w:rPr>
          <w:lang w:val="en-GB"/>
        </w:rPr>
        <w:t>(c)</w:t>
      </w:r>
      <w:r w:rsidRPr="00B04DC3">
        <w:rPr>
          <w:lang w:val="en-GB"/>
        </w:rPr>
        <w:tab/>
        <w:t>The accuracy of q</w:t>
      </w:r>
      <w:r w:rsidRPr="00B04DC3">
        <w:rPr>
          <w:vertAlign w:val="subscript"/>
          <w:lang w:val="en-GB"/>
        </w:rPr>
        <w:t>mp</w:t>
      </w:r>
      <w:r w:rsidRPr="00B04DC3">
        <w:rPr>
          <w:lang w:val="en-GB"/>
        </w:rPr>
        <w:t xml:space="preserve"> is determined indirectly from the accuracy of the dilution ratio as determined by a tracer gas, e.g. CO</w:t>
      </w:r>
      <w:r w:rsidRPr="00B04DC3">
        <w:rPr>
          <w:vertAlign w:val="subscript"/>
          <w:lang w:val="en-GB"/>
        </w:rPr>
        <w:t>2</w:t>
      </w:r>
      <w:r w:rsidRPr="00B04DC3">
        <w:rPr>
          <w:lang w:val="en-GB"/>
        </w:rPr>
        <w:t>. Accuracies equivalent to method (a) for q</w:t>
      </w:r>
      <w:r w:rsidRPr="00B04DC3">
        <w:rPr>
          <w:vertAlign w:val="subscript"/>
          <w:lang w:val="en-GB"/>
        </w:rPr>
        <w:t>mp</w:t>
      </w:r>
      <w:r w:rsidRPr="00B04DC3">
        <w:rPr>
          <w:lang w:val="en-GB"/>
        </w:rPr>
        <w:t xml:space="preserve"> are required.</w:t>
      </w:r>
    </w:p>
    <w:p w:rsidR="00002BA6" w:rsidRPr="00B04DC3" w:rsidRDefault="00002BA6" w:rsidP="00002BA6">
      <w:pPr>
        <w:pStyle w:val="a"/>
        <w:rPr>
          <w:lang w:val="en-GB"/>
        </w:rPr>
      </w:pPr>
      <w:r w:rsidRPr="00B04DC3">
        <w:rPr>
          <w:lang w:val="en-GB"/>
        </w:rPr>
        <w:t>(d)</w:t>
      </w:r>
      <w:r w:rsidRPr="00B04DC3">
        <w:rPr>
          <w:lang w:val="en-GB"/>
        </w:rPr>
        <w:tab/>
        <w:t>The absolute accuracy of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is within </w:t>
      </w:r>
      <w:r w:rsidRPr="00B04DC3">
        <w:rPr>
          <w:lang w:val="en-GB"/>
        </w:rPr>
        <w:sym w:font="Symbol" w:char="F0B1"/>
      </w:r>
      <w:r w:rsidRPr="00B04DC3">
        <w:rPr>
          <w:lang w:val="en-GB"/>
        </w:rPr>
        <w:t>2 per cent of full scale, the maximum error of the difference between q</w:t>
      </w:r>
      <w:r w:rsidRPr="00B04DC3">
        <w:rPr>
          <w:vertAlign w:val="subscript"/>
          <w:lang w:val="en-GB"/>
        </w:rPr>
        <w:t>mdew</w:t>
      </w:r>
      <w:r w:rsidRPr="00B04DC3">
        <w:rPr>
          <w:lang w:val="en-GB"/>
        </w:rPr>
        <w:t xml:space="preserve"> and q</w:t>
      </w:r>
      <w:r w:rsidRPr="00B04DC3">
        <w:rPr>
          <w:vertAlign w:val="subscript"/>
          <w:lang w:val="en-GB"/>
        </w:rPr>
        <w:t>mdw</w:t>
      </w:r>
      <w:r w:rsidRPr="00B04DC3">
        <w:rPr>
          <w:lang w:val="en-GB"/>
        </w:rPr>
        <w:t xml:space="preserve"> is within 0.2 per cent, and the linearity error is within </w:t>
      </w:r>
      <w:r w:rsidRPr="00B04DC3">
        <w:rPr>
          <w:lang w:val="en-GB"/>
        </w:rPr>
        <w:sym w:font="Symbol" w:char="F0B1"/>
      </w:r>
      <w:r w:rsidRPr="00B04DC3">
        <w:rPr>
          <w:lang w:val="en-GB"/>
        </w:rPr>
        <w:t>0.2 per cent of the highest q</w:t>
      </w:r>
      <w:r w:rsidRPr="00B04DC3">
        <w:rPr>
          <w:vertAlign w:val="subscript"/>
          <w:lang w:val="en-GB"/>
        </w:rPr>
        <w:t>mdew</w:t>
      </w:r>
      <w:r w:rsidRPr="00B04DC3">
        <w:rPr>
          <w:lang w:val="en-GB"/>
        </w:rPr>
        <w:t xml:space="preserve"> observed during the test.</w:t>
      </w:r>
    </w:p>
    <w:p w:rsidR="00002BA6" w:rsidRPr="00B04DC3" w:rsidRDefault="00002BA6" w:rsidP="00002BA6">
      <w:pPr>
        <w:pStyle w:val="para"/>
        <w:rPr>
          <w:lang w:val="en-GB"/>
        </w:rPr>
      </w:pPr>
      <w:r w:rsidRPr="00B04DC3">
        <w:rPr>
          <w:lang w:val="en-GB"/>
        </w:rPr>
        <w:t>9.4.6.3.</w:t>
      </w:r>
      <w:r w:rsidRPr="00B04DC3">
        <w:rPr>
          <w:lang w:val="en-GB"/>
        </w:rPr>
        <w:tab/>
        <w:t>Calibration of differential flow measurement</w:t>
      </w:r>
    </w:p>
    <w:p w:rsidR="00002BA6" w:rsidRPr="00B04DC3" w:rsidRDefault="00002BA6" w:rsidP="00002BA6">
      <w:pPr>
        <w:pStyle w:val="para"/>
        <w:rPr>
          <w:lang w:val="en-GB"/>
        </w:rPr>
      </w:pPr>
      <w:r w:rsidRPr="00B04DC3">
        <w:rPr>
          <w:lang w:val="en-GB"/>
        </w:rPr>
        <w:tab/>
        <w:t>The flowmeter or the flow measurement instrumentation shall be calibrated in one of the following procedures, such that the probe flow q</w:t>
      </w:r>
      <w:r w:rsidRPr="00B04DC3">
        <w:rPr>
          <w:vertAlign w:val="subscript"/>
          <w:lang w:val="en-GB"/>
        </w:rPr>
        <w:t>mp</w:t>
      </w:r>
      <w:r w:rsidRPr="00B04DC3">
        <w:rPr>
          <w:lang w:val="en-GB"/>
        </w:rPr>
        <w:t xml:space="preserve"> into the tunnel shall fulfil the accuracy requirements of paragraph 9.4.6.2.</w:t>
      </w:r>
      <w:r w:rsidR="001433E2" w:rsidRPr="001433E2">
        <w:rPr>
          <w:lang w:val="en-GB"/>
        </w:rPr>
        <w:t xml:space="preserve"> </w:t>
      </w:r>
      <w:r w:rsidR="001433E2">
        <w:rPr>
          <w:lang w:val="en-GB"/>
        </w:rPr>
        <w:t>of this annex</w:t>
      </w:r>
      <w:r w:rsidRPr="00B04DC3">
        <w:rPr>
          <w:lang w:val="en-GB"/>
        </w:rPr>
        <w:t>:</w:t>
      </w:r>
    </w:p>
    <w:p w:rsidR="00002BA6" w:rsidRPr="00B04DC3" w:rsidRDefault="00002BA6" w:rsidP="00002BA6">
      <w:pPr>
        <w:pStyle w:val="a"/>
        <w:rPr>
          <w:lang w:val="en-GB"/>
        </w:rPr>
      </w:pPr>
      <w:r w:rsidRPr="00B04DC3">
        <w:rPr>
          <w:lang w:val="en-GB"/>
        </w:rPr>
        <w:t>(a)</w:t>
      </w:r>
      <w:r w:rsidRPr="00B04DC3">
        <w:rPr>
          <w:lang w:val="en-GB"/>
        </w:rPr>
        <w:tab/>
        <w:t>The flowmeter for q</w:t>
      </w:r>
      <w:r w:rsidRPr="00B04DC3">
        <w:rPr>
          <w:vertAlign w:val="subscript"/>
          <w:lang w:val="en-GB"/>
        </w:rPr>
        <w:t>mdw</w:t>
      </w:r>
      <w:r w:rsidRPr="00B04DC3">
        <w:rPr>
          <w:lang w:val="en-GB"/>
        </w:rPr>
        <w:t xml:space="preserve"> shall be connected in series to the flowmeter for q</w:t>
      </w:r>
      <w:r w:rsidRPr="00B04DC3">
        <w:rPr>
          <w:vertAlign w:val="subscript"/>
          <w:lang w:val="en-GB"/>
        </w:rPr>
        <w:t>mdew</w:t>
      </w:r>
      <w:r w:rsidRPr="00B04DC3">
        <w:rPr>
          <w:lang w:val="en-GB"/>
        </w:rPr>
        <w:t>, the difference between the two flowmeters shall be calibrated for at least five set points with flow values equally spaced between the lowest q</w:t>
      </w:r>
      <w:r w:rsidRPr="00B04DC3">
        <w:rPr>
          <w:vertAlign w:val="subscript"/>
          <w:lang w:val="en-GB"/>
        </w:rPr>
        <w:t>mdw</w:t>
      </w:r>
      <w:r w:rsidRPr="00B04DC3">
        <w:rPr>
          <w:lang w:val="en-GB"/>
        </w:rPr>
        <w:t xml:space="preserve"> value used during the test and the value of q</w:t>
      </w:r>
      <w:r w:rsidRPr="00B04DC3">
        <w:rPr>
          <w:vertAlign w:val="subscript"/>
          <w:lang w:val="en-GB"/>
        </w:rPr>
        <w:t>mdew</w:t>
      </w:r>
      <w:r w:rsidRPr="00B04DC3">
        <w:rPr>
          <w:lang w:val="en-GB"/>
        </w:rPr>
        <w:t xml:space="preserve"> used during the test. The dilution tunnel may be bypassed;</w:t>
      </w:r>
    </w:p>
    <w:p w:rsidR="00002BA6" w:rsidRPr="00B04DC3" w:rsidRDefault="00002BA6" w:rsidP="00002BA6">
      <w:pPr>
        <w:pStyle w:val="a"/>
        <w:rPr>
          <w:lang w:val="en-GB"/>
        </w:rPr>
      </w:pPr>
      <w:r w:rsidRPr="00B04DC3">
        <w:rPr>
          <w:lang w:val="en-GB"/>
        </w:rPr>
        <w:t>(b)</w:t>
      </w:r>
      <w:r w:rsidRPr="00B04DC3">
        <w:rPr>
          <w:lang w:val="en-GB"/>
        </w:rPr>
        <w:tab/>
        <w:t>A calibrated flow device shall be connected in series to the flowmeter for q</w:t>
      </w:r>
      <w:r w:rsidRPr="00B04DC3">
        <w:rPr>
          <w:vertAlign w:val="subscript"/>
          <w:lang w:val="en-GB"/>
        </w:rPr>
        <w:t>mdew</w:t>
      </w:r>
      <w:r w:rsidRPr="00B04DC3">
        <w:rPr>
          <w:lang w:val="en-GB"/>
        </w:rPr>
        <w:t xml:space="preserve"> and the accuracy shall be checked for the value used for the test. The calibrated flow device shall be connected in series to the flowmeter for q</w:t>
      </w:r>
      <w:r w:rsidRPr="00B04DC3">
        <w:rPr>
          <w:vertAlign w:val="subscript"/>
          <w:lang w:val="en-GB"/>
        </w:rPr>
        <w:t>mdw</w:t>
      </w:r>
      <w:r w:rsidRPr="00B04DC3">
        <w:rPr>
          <w:lang w:val="en-GB"/>
        </w:rPr>
        <w:t>, and the accuracy shall be checked for at least five settings corresponding to dilution ratio between 3 and 50, relative to q</w:t>
      </w:r>
      <w:r w:rsidRPr="00B04DC3">
        <w:rPr>
          <w:vertAlign w:val="subscript"/>
          <w:lang w:val="en-GB"/>
        </w:rPr>
        <w:t>mdew</w:t>
      </w:r>
      <w:r w:rsidRPr="00B04DC3">
        <w:rPr>
          <w:lang w:val="en-GB"/>
        </w:rPr>
        <w:t xml:space="preserve"> used during the test;</w:t>
      </w:r>
    </w:p>
    <w:p w:rsidR="00002BA6" w:rsidRPr="00B04DC3" w:rsidRDefault="00002BA6" w:rsidP="00002BA6">
      <w:pPr>
        <w:pStyle w:val="a"/>
        <w:rPr>
          <w:lang w:val="en-GB"/>
        </w:rPr>
      </w:pPr>
      <w:r w:rsidRPr="00B04DC3">
        <w:rPr>
          <w:lang w:val="en-GB"/>
        </w:rPr>
        <w:t>(c)</w:t>
      </w:r>
      <w:r w:rsidRPr="00B04DC3">
        <w:rPr>
          <w:lang w:val="en-GB"/>
        </w:rPr>
        <w:tab/>
        <w:t xml:space="preserve">The </w:t>
      </w:r>
      <w:r w:rsidR="001433E2">
        <w:rPr>
          <w:lang w:val="en-GB"/>
        </w:rPr>
        <w:t>T</w:t>
      </w:r>
      <w:r w:rsidR="001433E2" w:rsidRPr="00B04DC3">
        <w:rPr>
          <w:lang w:val="en-GB"/>
        </w:rPr>
        <w:t xml:space="preserve">ransfer </w:t>
      </w:r>
      <w:r w:rsidR="001433E2">
        <w:rPr>
          <w:lang w:val="en-GB"/>
        </w:rPr>
        <w:t>T</w:t>
      </w:r>
      <w:r w:rsidR="001433E2" w:rsidRPr="00B04DC3">
        <w:rPr>
          <w:lang w:val="en-GB"/>
        </w:rPr>
        <w:t xml:space="preserve">ube </w:t>
      </w:r>
      <w:r w:rsidRPr="00B04DC3">
        <w:rPr>
          <w:lang w:val="en-GB"/>
        </w:rPr>
        <w:t>(TT) shall be disconnected from the exhaust, and a calibrated flow-measuring device with a suitable range to measure q</w:t>
      </w:r>
      <w:r w:rsidRPr="00B04DC3">
        <w:rPr>
          <w:vertAlign w:val="subscript"/>
          <w:lang w:val="en-GB"/>
        </w:rPr>
        <w:t>mp</w:t>
      </w:r>
      <w:r w:rsidRPr="00B04DC3">
        <w:rPr>
          <w:lang w:val="en-GB"/>
        </w:rPr>
        <w:t xml:space="preserve"> shall be connected to the transfer tube. q</w:t>
      </w:r>
      <w:r w:rsidRPr="00B04DC3">
        <w:rPr>
          <w:vertAlign w:val="subscript"/>
          <w:lang w:val="en-GB"/>
        </w:rPr>
        <w:t>mdew</w:t>
      </w:r>
      <w:r w:rsidRPr="00B04DC3">
        <w:rPr>
          <w:lang w:val="en-GB"/>
        </w:rPr>
        <w:t xml:space="preserve"> shall be set to the value used during the test, and q</w:t>
      </w:r>
      <w:r w:rsidRPr="00B04DC3">
        <w:rPr>
          <w:vertAlign w:val="subscript"/>
          <w:lang w:val="en-GB"/>
        </w:rPr>
        <w:t>mdw</w:t>
      </w:r>
      <w:r w:rsidRPr="00B04DC3">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rsidR="00002BA6" w:rsidRPr="00B04DC3" w:rsidRDefault="00002BA6" w:rsidP="00002BA6">
      <w:pPr>
        <w:pStyle w:val="a"/>
        <w:rPr>
          <w:lang w:val="en-GB"/>
        </w:rPr>
      </w:pPr>
      <w:r w:rsidRPr="00B04DC3">
        <w:rPr>
          <w:lang w:val="en-GB"/>
        </w:rPr>
        <w:t>(d)</w:t>
      </w:r>
      <w:r w:rsidRPr="00B04DC3">
        <w:rPr>
          <w:lang w:val="en-GB"/>
        </w:rPr>
        <w:tab/>
        <w:t>A tracer gas shall be fed into the exhaust TT. This tracer gas may be a component of the exhaust gas, like CO</w:t>
      </w:r>
      <w:r w:rsidRPr="00B04DC3">
        <w:rPr>
          <w:vertAlign w:val="subscript"/>
          <w:lang w:val="en-GB"/>
        </w:rPr>
        <w:t>2</w:t>
      </w:r>
      <w:r w:rsidRPr="00B04DC3">
        <w:rPr>
          <w:lang w:val="en-GB"/>
        </w:rPr>
        <w:t xml:space="preserve"> or NO</w:t>
      </w:r>
      <w:r w:rsidRPr="00B04DC3">
        <w:rPr>
          <w:vertAlign w:val="subscript"/>
          <w:lang w:val="en-GB"/>
        </w:rPr>
        <w:t>x</w:t>
      </w:r>
      <w:r w:rsidRPr="00B04DC3">
        <w:rPr>
          <w:lang w:val="en-GB"/>
        </w:rPr>
        <w:t>. After dilution in the tunnel the tracer gas component shall be measured. This shall be carried out for five dilution ratios between 3 and 50. The accuracy of the sample flow shall be determined from the dilution ratio r</w:t>
      </w:r>
      <w:r w:rsidRPr="00B04DC3">
        <w:rPr>
          <w:vertAlign w:val="subscript"/>
          <w:lang w:val="en-GB"/>
        </w:rPr>
        <w:t>d</w:t>
      </w:r>
      <w:r w:rsidRPr="00B04DC3">
        <w:rPr>
          <w:lang w:val="en-GB"/>
        </w:rPr>
        <w:t>:</w:t>
      </w:r>
    </w:p>
    <w:p w:rsidR="00002BA6" w:rsidRPr="00B04DC3" w:rsidRDefault="00002BA6" w:rsidP="00002BA6">
      <w:pPr>
        <w:pStyle w:val="para"/>
        <w:tabs>
          <w:tab w:val="left" w:pos="2835"/>
          <w:tab w:val="right" w:pos="8505"/>
        </w:tabs>
        <w:rPr>
          <w:lang w:val="en-GB"/>
        </w:rPr>
      </w:pPr>
      <w:r w:rsidRPr="00B04DC3">
        <w:rPr>
          <w:lang w:val="en-GB"/>
        </w:rPr>
        <w:tab/>
      </w:r>
      <w:r w:rsidRPr="00B04DC3">
        <w:rPr>
          <w:lang w:val="en-GB"/>
        </w:rPr>
        <w:tab/>
        <w:t>q</w:t>
      </w:r>
      <w:r w:rsidRPr="00B04DC3">
        <w:rPr>
          <w:vertAlign w:val="subscript"/>
          <w:lang w:val="en-GB"/>
        </w:rPr>
        <w:t>mp</w:t>
      </w:r>
      <w:r w:rsidRPr="00B04DC3">
        <w:rPr>
          <w:lang w:val="en-GB"/>
        </w:rPr>
        <w:t xml:space="preserve"> = q</w:t>
      </w:r>
      <w:r w:rsidRPr="00B04DC3">
        <w:rPr>
          <w:vertAlign w:val="subscript"/>
          <w:lang w:val="en-GB"/>
        </w:rPr>
        <w:t>mdew</w:t>
      </w:r>
      <w:r w:rsidRPr="00B04DC3">
        <w:rPr>
          <w:lang w:val="en-GB"/>
        </w:rPr>
        <w:t xml:space="preserve"> /r</w:t>
      </w:r>
      <w:r w:rsidRPr="00B04DC3">
        <w:rPr>
          <w:vertAlign w:val="subscript"/>
          <w:lang w:val="en-GB"/>
        </w:rPr>
        <w:t>d</w:t>
      </w:r>
      <w:r w:rsidRPr="00B04DC3">
        <w:rPr>
          <w:lang w:val="en-GB"/>
        </w:rPr>
        <w:tab/>
        <w:t>(84)</w:t>
      </w:r>
    </w:p>
    <w:p w:rsidR="00002BA6" w:rsidRPr="00B04DC3" w:rsidRDefault="00002BA6" w:rsidP="00002BA6">
      <w:pPr>
        <w:pStyle w:val="para"/>
        <w:ind w:firstLine="0"/>
        <w:rPr>
          <w:lang w:val="en-GB"/>
        </w:rPr>
      </w:pPr>
      <w:r w:rsidRPr="00B04DC3">
        <w:rPr>
          <w:lang w:val="en-GB"/>
        </w:rPr>
        <w:t>The accuracies of the gas analyzers shall be taken into account to guarantee the accuracy of q</w:t>
      </w:r>
      <w:r w:rsidRPr="00B04DC3">
        <w:rPr>
          <w:vertAlign w:val="subscript"/>
          <w:lang w:val="en-GB"/>
        </w:rPr>
        <w:t>mp</w:t>
      </w:r>
      <w:r w:rsidRPr="00B04DC3">
        <w:rPr>
          <w:lang w:val="en-GB"/>
        </w:rPr>
        <w:t>.</w:t>
      </w:r>
    </w:p>
    <w:p w:rsidR="00002BA6" w:rsidRPr="00B04DC3" w:rsidRDefault="00A85DE8" w:rsidP="00002BA6">
      <w:pPr>
        <w:pStyle w:val="para"/>
        <w:rPr>
          <w:lang w:val="en-GB"/>
        </w:rPr>
      </w:pPr>
      <w:r w:rsidRPr="00B04DC3">
        <w:rPr>
          <w:lang w:val="en-GB"/>
        </w:rPr>
        <w:br w:type="page"/>
      </w:r>
      <w:r w:rsidR="00002BA6" w:rsidRPr="00B04DC3">
        <w:rPr>
          <w:lang w:val="en-GB"/>
        </w:rPr>
        <w:t>9.4.6.4.</w:t>
      </w:r>
      <w:r w:rsidR="00002BA6" w:rsidRPr="00B04DC3">
        <w:rPr>
          <w:lang w:val="en-GB"/>
        </w:rPr>
        <w:tab/>
        <w:t>Carbon flow check</w:t>
      </w:r>
    </w:p>
    <w:p w:rsidR="00002BA6" w:rsidRPr="00B04DC3" w:rsidRDefault="00002BA6" w:rsidP="00002BA6">
      <w:pPr>
        <w:pStyle w:val="para"/>
        <w:rPr>
          <w:lang w:val="en-GB"/>
        </w:rPr>
      </w:pPr>
      <w:r w:rsidRPr="00B04DC3">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rsidR="00002BA6" w:rsidRPr="00B04DC3" w:rsidRDefault="00002BA6" w:rsidP="00002BA6">
      <w:pPr>
        <w:pStyle w:val="para"/>
        <w:rPr>
          <w:lang w:val="en-GB"/>
        </w:rPr>
      </w:pPr>
      <w:r w:rsidRPr="00B04DC3">
        <w:rPr>
          <w:lang w:val="en-GB"/>
        </w:rPr>
        <w:tab/>
        <w:t>The engine shall be operated at peak torque load and speed or any other steady state mode that produces 5 per cent or more of CO</w:t>
      </w:r>
      <w:r w:rsidRPr="00B04DC3">
        <w:rPr>
          <w:vertAlign w:val="subscript"/>
          <w:lang w:val="en-GB"/>
        </w:rPr>
        <w:t>2</w:t>
      </w:r>
      <w:r w:rsidRPr="00B04DC3">
        <w:rPr>
          <w:lang w:val="en-GB"/>
        </w:rPr>
        <w:t>. The partial flow sampling system shall be operated with a dilution factor of about 15 to 1.</w:t>
      </w:r>
    </w:p>
    <w:p w:rsidR="00002BA6" w:rsidRPr="00B04DC3" w:rsidRDefault="00002BA6" w:rsidP="00002BA6">
      <w:pPr>
        <w:pStyle w:val="para"/>
        <w:rPr>
          <w:lang w:val="en-GB"/>
        </w:rPr>
      </w:pPr>
      <w:r w:rsidRPr="00B04DC3">
        <w:rPr>
          <w:lang w:val="en-GB"/>
        </w:rPr>
        <w:tab/>
        <w:t>If a carbon flow check is conducted, the procedure given in Appendix 5 shall be applied. The carbon flow rates shall be calculated according to equations 102 to 104 in Appendix 5</w:t>
      </w:r>
      <w:r w:rsidR="001433E2">
        <w:rPr>
          <w:lang w:val="en-GB"/>
        </w:rPr>
        <w:t xml:space="preserve"> to this annex</w:t>
      </w:r>
      <w:r w:rsidRPr="00B04DC3">
        <w:rPr>
          <w:lang w:val="en-GB"/>
        </w:rPr>
        <w:t>. All carbon flow rates should agree to within 3 per cent.</w:t>
      </w:r>
    </w:p>
    <w:p w:rsidR="00002BA6" w:rsidRPr="00B04DC3" w:rsidRDefault="00002BA6" w:rsidP="00002BA6">
      <w:pPr>
        <w:pStyle w:val="para"/>
        <w:rPr>
          <w:lang w:val="en-GB"/>
        </w:rPr>
      </w:pPr>
      <w:r w:rsidRPr="00B04DC3">
        <w:rPr>
          <w:lang w:val="en-GB"/>
        </w:rPr>
        <w:t>9.4.6.5.</w:t>
      </w:r>
      <w:r w:rsidRPr="00B04DC3">
        <w:rPr>
          <w:lang w:val="en-GB"/>
        </w:rPr>
        <w:tab/>
        <w:t>Pre-test check</w:t>
      </w:r>
    </w:p>
    <w:p w:rsidR="00002BA6" w:rsidRPr="00B04DC3" w:rsidRDefault="00002BA6" w:rsidP="00002BA6">
      <w:pPr>
        <w:pStyle w:val="para"/>
        <w:rPr>
          <w:lang w:val="en-GB"/>
        </w:rPr>
      </w:pPr>
      <w:r w:rsidRPr="00B04DC3">
        <w:rPr>
          <w:lang w:val="en-GB"/>
        </w:rPr>
        <w:tab/>
        <w:t>A pre-test check shall be performed within 2 hours before the test run in the following way.</w:t>
      </w:r>
    </w:p>
    <w:p w:rsidR="00002BA6" w:rsidRPr="00B04DC3" w:rsidRDefault="00002BA6" w:rsidP="00002BA6">
      <w:pPr>
        <w:pStyle w:val="para"/>
        <w:rPr>
          <w:lang w:val="en-GB"/>
        </w:rPr>
      </w:pPr>
      <w:r w:rsidRPr="00B04DC3">
        <w:rPr>
          <w:lang w:val="en-GB"/>
        </w:rPr>
        <w:tab/>
        <w:t>The accuracy of the flowmeters shall be checked by the same method as used for calibration (see paragraph 9.4.6.2.</w:t>
      </w:r>
      <w:r w:rsidR="001433E2" w:rsidRPr="001433E2">
        <w:rPr>
          <w:lang w:val="en-GB"/>
        </w:rPr>
        <w:t xml:space="preserve"> </w:t>
      </w:r>
      <w:r w:rsidR="001433E2">
        <w:rPr>
          <w:lang w:val="en-GB"/>
        </w:rPr>
        <w:t>of this annex</w:t>
      </w:r>
      <w:r w:rsidRPr="00B04DC3">
        <w:rPr>
          <w:lang w:val="en-GB"/>
        </w:rPr>
        <w:t>) for at least two points, including flow values of q</w:t>
      </w:r>
      <w:r w:rsidRPr="00B04DC3">
        <w:rPr>
          <w:vertAlign w:val="subscript"/>
          <w:lang w:val="en-GB"/>
        </w:rPr>
        <w:t>mdw</w:t>
      </w:r>
      <w:r w:rsidRPr="00B04DC3">
        <w:rPr>
          <w:lang w:val="en-GB"/>
        </w:rPr>
        <w:t xml:space="preserve"> that correspond to dilution ratios between 5 and 15 for the q</w:t>
      </w:r>
      <w:r w:rsidRPr="00B04DC3">
        <w:rPr>
          <w:vertAlign w:val="subscript"/>
          <w:lang w:val="en-GB"/>
        </w:rPr>
        <w:t>mdew</w:t>
      </w:r>
      <w:r w:rsidRPr="00B04DC3">
        <w:rPr>
          <w:lang w:val="en-GB"/>
        </w:rPr>
        <w:t xml:space="preserve"> value used during the test.</w:t>
      </w:r>
    </w:p>
    <w:p w:rsidR="00002BA6" w:rsidRPr="00B04DC3" w:rsidRDefault="00002BA6" w:rsidP="00002BA6">
      <w:pPr>
        <w:pStyle w:val="para"/>
        <w:rPr>
          <w:lang w:val="en-GB"/>
        </w:rPr>
      </w:pPr>
      <w:r w:rsidRPr="00B04DC3">
        <w:rPr>
          <w:lang w:val="en-GB"/>
        </w:rPr>
        <w:tab/>
        <w:t>If it can be demonstrated by records of the calibration procedure under paragraph 9.4.6.2.</w:t>
      </w:r>
      <w:r w:rsidR="001433E2" w:rsidRPr="001433E2">
        <w:rPr>
          <w:lang w:val="en-GB"/>
        </w:rPr>
        <w:t xml:space="preserve"> </w:t>
      </w:r>
      <w:r w:rsidR="001433E2">
        <w:rPr>
          <w:lang w:val="en-GB"/>
        </w:rPr>
        <w:t>of this annex</w:t>
      </w:r>
      <w:r w:rsidRPr="00B04DC3">
        <w:rPr>
          <w:lang w:val="en-GB"/>
        </w:rPr>
        <w:t xml:space="preserve"> that the flowmeter calibration is stable over a longer period of time, the pre-test check may be omitted.</w:t>
      </w:r>
    </w:p>
    <w:p w:rsidR="00002BA6" w:rsidRPr="00B04DC3" w:rsidRDefault="00002BA6" w:rsidP="00002BA6">
      <w:pPr>
        <w:pStyle w:val="para"/>
        <w:rPr>
          <w:lang w:val="en-GB"/>
        </w:rPr>
      </w:pPr>
      <w:r w:rsidRPr="00B04DC3">
        <w:rPr>
          <w:lang w:val="en-GB"/>
        </w:rPr>
        <w:t>9.4.6.6.</w:t>
      </w:r>
      <w:r w:rsidRPr="00B04DC3">
        <w:rPr>
          <w:lang w:val="en-GB"/>
        </w:rPr>
        <w:tab/>
        <w:t>Determination of the transformation time</w:t>
      </w:r>
    </w:p>
    <w:p w:rsidR="00002BA6" w:rsidRPr="00B04DC3" w:rsidRDefault="00002BA6" w:rsidP="00002BA6">
      <w:pPr>
        <w:pStyle w:val="para"/>
        <w:rPr>
          <w:lang w:val="en-GB"/>
        </w:rPr>
      </w:pPr>
      <w:r w:rsidRPr="00B04DC3">
        <w:rPr>
          <w:lang w:val="en-GB"/>
        </w:rPr>
        <w:tab/>
        <w:t>The system settings for the transformation time evaluation shall be exactly the same as during measurement of the test run. The transformation time shall be determined by the following method.</w:t>
      </w:r>
    </w:p>
    <w:p w:rsidR="00002BA6" w:rsidRPr="00B04DC3" w:rsidRDefault="00002BA6" w:rsidP="00002BA6">
      <w:pPr>
        <w:pStyle w:val="para"/>
        <w:rPr>
          <w:lang w:val="en-GB"/>
        </w:rPr>
      </w:pPr>
      <w:r w:rsidRPr="00B04DC3">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rsidR="00002BA6" w:rsidRPr="00B04DC3" w:rsidRDefault="00002BA6" w:rsidP="00002BA6">
      <w:pPr>
        <w:pStyle w:val="para"/>
        <w:rPr>
          <w:lang w:val="en-GB"/>
        </w:rPr>
      </w:pPr>
      <w:r w:rsidRPr="00B04DC3">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rsidR="00002BA6" w:rsidRPr="00B04DC3" w:rsidRDefault="00002BA6" w:rsidP="00002BA6">
      <w:pPr>
        <w:pStyle w:val="para"/>
        <w:rPr>
          <w:lang w:val="en-GB"/>
        </w:rPr>
      </w:pPr>
      <w:r w:rsidRPr="00B04DC3">
        <w:rPr>
          <w:lang w:val="en-GB"/>
        </w:rPr>
        <w:tab/>
        <w:t>From this data, the transformation time shall be determined for the partial flow dilution system, which is the time from the initiation of the step stimulus to the 50 per cent point of the flowmeter response. In a similar manner, the transformation times of the q</w:t>
      </w:r>
      <w:r w:rsidRPr="00B04DC3">
        <w:rPr>
          <w:vertAlign w:val="subscript"/>
          <w:lang w:val="en-GB"/>
        </w:rPr>
        <w:t>mp</w:t>
      </w:r>
      <w:r w:rsidRPr="00B04DC3">
        <w:rPr>
          <w:lang w:val="en-GB"/>
        </w:rPr>
        <w:t xml:space="preserve"> signal of the partial flow dilution system and of the q</w:t>
      </w:r>
      <w:r w:rsidRPr="00B04DC3">
        <w:rPr>
          <w:vertAlign w:val="subscript"/>
          <w:lang w:val="en-GB"/>
        </w:rPr>
        <w:t>mew,i</w:t>
      </w:r>
      <w:r w:rsidRPr="00B04DC3">
        <w:rPr>
          <w:lang w:val="en-GB"/>
        </w:rPr>
        <w:t xml:space="preserve"> signal of the exhaust flowmeter shall be determined. These signals are used in the regression checks performed after each test (see paragraph 9.4.6.1.</w:t>
      </w:r>
      <w:r w:rsidR="001433E2" w:rsidRPr="001433E2">
        <w:rPr>
          <w:lang w:val="en-GB"/>
        </w:rPr>
        <w:t xml:space="preserve"> </w:t>
      </w:r>
      <w:r w:rsidR="001433E2">
        <w:rPr>
          <w:lang w:val="en-GB"/>
        </w:rPr>
        <w:t>of this annex</w:t>
      </w:r>
      <w:r w:rsidRPr="00B04DC3">
        <w:rPr>
          <w:lang w:val="en-GB"/>
        </w:rPr>
        <w:t>)</w:t>
      </w:r>
      <w:r w:rsidR="00ED6381">
        <w:rPr>
          <w:lang w:val="en-GB"/>
        </w:rPr>
        <w:t>.</w:t>
      </w:r>
    </w:p>
    <w:p w:rsidR="00002BA6" w:rsidRPr="00B04DC3" w:rsidRDefault="00002BA6" w:rsidP="00002BA6">
      <w:pPr>
        <w:pStyle w:val="para"/>
        <w:rPr>
          <w:lang w:val="en-GB"/>
        </w:rPr>
      </w:pPr>
      <w:r w:rsidRPr="00B04DC3">
        <w:rPr>
          <w:lang w:val="en-GB"/>
        </w:rPr>
        <w:tab/>
        <w:t>The calculation shall be repeated for at least 5 rise and fall stimuli, and the results shall be averaged. The internal transformation time (&lt; 100 ms) of the reference flowmeter shall be subtracted from this value. This is the "look-ahead" value of the partial flow dilution system, which shall be applied in accordance with paragraph 9.4.6.1.</w:t>
      </w:r>
      <w:r w:rsidR="00251F29" w:rsidRPr="00251F29">
        <w:rPr>
          <w:lang w:val="en-GB"/>
        </w:rPr>
        <w:t xml:space="preserve"> </w:t>
      </w:r>
      <w:r w:rsidR="00251F29">
        <w:rPr>
          <w:lang w:val="en-GB"/>
        </w:rPr>
        <w:t>of this annex.</w:t>
      </w:r>
    </w:p>
    <w:p w:rsidR="00002BA6" w:rsidRPr="00B04DC3" w:rsidRDefault="00002BA6" w:rsidP="00002BA6">
      <w:pPr>
        <w:pStyle w:val="para"/>
        <w:rPr>
          <w:lang w:val="en-GB"/>
        </w:rPr>
      </w:pPr>
      <w:r w:rsidRPr="00B04DC3">
        <w:rPr>
          <w:lang w:val="en-GB"/>
        </w:rPr>
        <w:t>9.5.</w:t>
      </w:r>
      <w:r w:rsidRPr="00B04DC3">
        <w:rPr>
          <w:lang w:val="en-GB"/>
        </w:rPr>
        <w:tab/>
        <w:t>Calibration of the CVS system</w:t>
      </w:r>
    </w:p>
    <w:p w:rsidR="00002BA6" w:rsidRPr="00B04DC3" w:rsidRDefault="00002BA6" w:rsidP="00002BA6">
      <w:pPr>
        <w:pStyle w:val="para"/>
        <w:rPr>
          <w:lang w:val="en-GB"/>
        </w:rPr>
      </w:pPr>
      <w:r w:rsidRPr="00B04DC3">
        <w:rPr>
          <w:lang w:val="en-GB"/>
        </w:rPr>
        <w:t>9.5.1.</w:t>
      </w:r>
      <w:r w:rsidRPr="00B04DC3">
        <w:rPr>
          <w:lang w:val="en-GB"/>
        </w:rPr>
        <w:tab/>
        <w:t>General</w:t>
      </w:r>
    </w:p>
    <w:p w:rsidR="00002BA6" w:rsidRPr="00B04DC3" w:rsidRDefault="00002BA6" w:rsidP="00002BA6">
      <w:pPr>
        <w:pStyle w:val="para"/>
        <w:rPr>
          <w:lang w:val="en-GB"/>
        </w:rPr>
      </w:pPr>
      <w:r w:rsidRPr="00B04DC3">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rsidR="00002BA6" w:rsidRPr="00B04DC3" w:rsidRDefault="00002BA6" w:rsidP="00002BA6">
      <w:pPr>
        <w:pStyle w:val="para"/>
        <w:rPr>
          <w:lang w:val="en-GB"/>
        </w:rPr>
      </w:pPr>
      <w:r w:rsidRPr="00B04DC3">
        <w:rPr>
          <w:lang w:val="en-GB"/>
        </w:rPr>
        <w:tab/>
        <w:t>Various types of flowmeters may be used, e.g. calibrated venturi, calibrated laminar flowmeter, calibrated turbine meter.</w:t>
      </w:r>
    </w:p>
    <w:p w:rsidR="00002BA6" w:rsidRPr="00B04DC3" w:rsidRDefault="00002BA6" w:rsidP="00002BA6">
      <w:pPr>
        <w:pStyle w:val="para"/>
        <w:rPr>
          <w:lang w:val="en-GB"/>
        </w:rPr>
      </w:pPr>
      <w:r w:rsidRPr="00B04DC3">
        <w:rPr>
          <w:lang w:val="en-GB"/>
        </w:rPr>
        <w:t>9.5.2.</w:t>
      </w:r>
      <w:r w:rsidRPr="00B04DC3">
        <w:rPr>
          <w:lang w:val="en-GB"/>
        </w:rPr>
        <w:tab/>
        <w:t xml:space="preserve">Calibration of the </w:t>
      </w:r>
      <w:r w:rsidR="00251F29">
        <w:rPr>
          <w:lang w:val="en-GB"/>
        </w:rPr>
        <w:t>P</w:t>
      </w:r>
      <w:r w:rsidR="00251F29" w:rsidRPr="00B04DC3">
        <w:rPr>
          <w:lang w:val="en-GB"/>
        </w:rPr>
        <w:t xml:space="preserve">ositive </w:t>
      </w:r>
      <w:r w:rsidR="00251F29">
        <w:rPr>
          <w:lang w:val="en-GB"/>
        </w:rPr>
        <w:t>D</w:t>
      </w:r>
      <w:r w:rsidR="00251F29" w:rsidRPr="00B04DC3">
        <w:rPr>
          <w:lang w:val="en-GB"/>
        </w:rPr>
        <w:t xml:space="preserve">isplacement </w:t>
      </w:r>
      <w:r w:rsidR="00251F29">
        <w:rPr>
          <w:lang w:val="en-GB"/>
        </w:rPr>
        <w:t>P</w:t>
      </w:r>
      <w:r w:rsidR="00251F29" w:rsidRPr="00B04DC3">
        <w:rPr>
          <w:lang w:val="en-GB"/>
        </w:rPr>
        <w:t xml:space="preserve">ump </w:t>
      </w:r>
      <w:r w:rsidRPr="00B04DC3">
        <w:rPr>
          <w:lang w:val="en-GB"/>
        </w:rPr>
        <w:t>(PDP)</w:t>
      </w:r>
    </w:p>
    <w:p w:rsidR="00002BA6" w:rsidRPr="00B04DC3" w:rsidRDefault="00002BA6" w:rsidP="00002BA6">
      <w:pPr>
        <w:pStyle w:val="para"/>
        <w:rPr>
          <w:lang w:val="en-GB"/>
        </w:rPr>
      </w:pPr>
      <w:r w:rsidRPr="00B04DC3">
        <w:rPr>
          <w:lang w:val="en-GB"/>
        </w:rPr>
        <w:tab/>
        <w:t>All the parameters related to the pump shall be simultaneously measured along with the parameters related to a calibration venturi which is connected in series with the pump. The calculated flow rate (in m</w:t>
      </w:r>
      <w:r w:rsidRPr="00B04DC3">
        <w:rPr>
          <w:vertAlign w:val="superscript"/>
          <w:lang w:val="en-GB"/>
        </w:rPr>
        <w:t>3</w:t>
      </w:r>
      <w:r w:rsidRPr="00B04DC3">
        <w:rPr>
          <w:lang w:val="en-GB"/>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rsidR="00002BA6" w:rsidRPr="00B04DC3" w:rsidRDefault="00002BA6" w:rsidP="00002BA6">
      <w:pPr>
        <w:pStyle w:val="para"/>
        <w:rPr>
          <w:lang w:val="en-GB"/>
        </w:rPr>
      </w:pPr>
      <w:r w:rsidRPr="00B04DC3">
        <w:rPr>
          <w:lang w:val="en-GB"/>
        </w:rPr>
        <w:tab/>
        <w:t>Temperature stability shall be maintained during calibration.</w:t>
      </w:r>
    </w:p>
    <w:p w:rsidR="00002BA6" w:rsidRPr="00B04DC3" w:rsidRDefault="00002BA6" w:rsidP="00002BA6">
      <w:pPr>
        <w:pStyle w:val="para"/>
        <w:rPr>
          <w:lang w:val="en-GB"/>
        </w:rPr>
      </w:pPr>
      <w:r w:rsidRPr="00B04DC3">
        <w:rPr>
          <w:lang w:val="en-GB"/>
        </w:rPr>
        <w:tab/>
        <w:t>Leaks in all the connections and ducting between the calibration venturi and the CVS pump shall be maintained lower than 0.3 per cent of the lowest flow point (highest restriction and lowest PDP speed point).</w:t>
      </w:r>
    </w:p>
    <w:p w:rsidR="00002BA6" w:rsidRPr="00B04DC3" w:rsidRDefault="00002BA6" w:rsidP="00002BA6">
      <w:pPr>
        <w:pStyle w:val="para"/>
        <w:rPr>
          <w:lang w:val="en-GB"/>
        </w:rPr>
      </w:pPr>
      <w:r w:rsidRPr="00B04DC3">
        <w:rPr>
          <w:lang w:val="en-GB"/>
        </w:rPr>
        <w:t>9.5.2.1.</w:t>
      </w:r>
      <w:r w:rsidRPr="00B04DC3">
        <w:rPr>
          <w:lang w:val="en-GB"/>
        </w:rPr>
        <w:tab/>
        <w:t>Data analysis</w:t>
      </w:r>
    </w:p>
    <w:p w:rsidR="00002BA6" w:rsidRPr="00B04DC3" w:rsidRDefault="00002BA6" w:rsidP="00002BA6">
      <w:pPr>
        <w:pStyle w:val="para"/>
        <w:rPr>
          <w:lang w:val="en-GB"/>
        </w:rPr>
      </w:pPr>
      <w:r w:rsidRPr="00B04DC3">
        <w:rPr>
          <w:lang w:val="en-GB"/>
        </w:rPr>
        <w:tab/>
        <w:t>The airflow rate (q</w:t>
      </w:r>
      <w:r w:rsidRPr="00B04DC3">
        <w:rPr>
          <w:vertAlign w:val="subscript"/>
          <w:lang w:val="en-GB"/>
        </w:rPr>
        <w:t>vCVS</w:t>
      </w:r>
      <w:r w:rsidRPr="00B04DC3">
        <w:rPr>
          <w:lang w:val="en-GB"/>
        </w:rPr>
        <w:t>) at each restriction setting (minimum six settings) shall be calculated in standard m</w:t>
      </w:r>
      <w:r w:rsidRPr="00B04DC3">
        <w:rPr>
          <w:vertAlign w:val="superscript"/>
          <w:lang w:val="en-GB"/>
        </w:rPr>
        <w:t>3</w:t>
      </w:r>
      <w:r w:rsidRPr="00B04DC3">
        <w:rPr>
          <w:lang w:val="en-GB"/>
        </w:rPr>
        <w:t>/s from the flowmeter data using the manufacturer's prescribed method. The airflow rate shall then be converted to pump flow (V</w:t>
      </w:r>
      <w:r w:rsidRPr="00B04DC3">
        <w:rPr>
          <w:vertAlign w:val="subscript"/>
          <w:lang w:val="en-GB"/>
        </w:rPr>
        <w:t>0</w:t>
      </w:r>
      <w:r w:rsidRPr="00B04DC3">
        <w:rPr>
          <w:lang w:val="en-GB"/>
        </w:rPr>
        <w:t>) in m</w:t>
      </w:r>
      <w:r w:rsidRPr="00B04DC3">
        <w:rPr>
          <w:vertAlign w:val="superscript"/>
          <w:lang w:val="en-GB"/>
        </w:rPr>
        <w:t>3</w:t>
      </w:r>
      <w:r w:rsidRPr="00B04DC3">
        <w:rPr>
          <w:lang w:val="en-GB"/>
        </w:rPr>
        <w:t>/rev at absolute pump inlet temperature and pressure as follows:</w:t>
      </w:r>
    </w:p>
    <w:p w:rsidR="00002BA6" w:rsidRPr="00B04DC3" w:rsidRDefault="00002BA6" w:rsidP="00002BA6">
      <w:pPr>
        <w:pStyle w:val="para"/>
        <w:tabs>
          <w:tab w:val="right" w:pos="8500"/>
        </w:tabs>
        <w:rPr>
          <w:lang w:val="en-GB"/>
        </w:rPr>
      </w:pPr>
      <w:r w:rsidRPr="00B04DC3">
        <w:rPr>
          <w:iCs/>
          <w:lang w:val="en-GB"/>
        </w:rPr>
        <w:tab/>
        <w:t>V</w:t>
      </w:r>
      <w:r w:rsidRPr="00B04DC3">
        <w:rPr>
          <w:vertAlign w:val="subscript"/>
          <w:lang w:val="en-GB"/>
        </w:rPr>
        <w:t>0</w:t>
      </w:r>
      <w:r w:rsidRPr="00B04DC3">
        <w:rPr>
          <w:lang w:val="en-GB"/>
        </w:rPr>
        <w:t xml:space="preserve"> = </w:t>
      </w:r>
      <w:r w:rsidR="00661039" w:rsidRPr="00B04DC3">
        <w:rPr>
          <w:position w:val="-32"/>
          <w:lang w:val="en-GB"/>
        </w:rPr>
        <w:object w:dxaOrig="1960" w:dyaOrig="700">
          <v:shape id="_x0000_i1288" type="#_x0000_t75" style="width:78pt;height:27.6pt" o:ole="" fillcolor="window">
            <v:imagedata r:id="rId427" o:title=""/>
          </v:shape>
          <o:OLEObject Type="Embed" ProgID="Equation.3" ShapeID="_x0000_i1288" DrawAspect="Content" ObjectID="_1498392370" r:id="rId428"/>
        </w:object>
      </w:r>
      <w:r w:rsidRPr="00B04DC3">
        <w:rPr>
          <w:lang w:val="en-GB"/>
        </w:rPr>
        <w:tab/>
        <w:t>(85)</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q</w:t>
      </w:r>
      <w:r w:rsidRPr="00B04DC3">
        <w:rPr>
          <w:vertAlign w:val="subscript"/>
          <w:lang w:val="en-GB"/>
        </w:rPr>
        <w:t>vCVS</w:t>
      </w:r>
      <w:r w:rsidRPr="00B04DC3">
        <w:rPr>
          <w:lang w:val="en-GB"/>
        </w:rPr>
        <w:t xml:space="preserve"> </w:t>
      </w:r>
      <w:r w:rsidRPr="00B04DC3">
        <w:rPr>
          <w:lang w:val="en-GB"/>
        </w:rPr>
        <w:tab/>
        <w:t>is the airflow rate at standard conditions (101.3 kPa, 273 K), m</w:t>
      </w:r>
      <w:r w:rsidRPr="00B04DC3">
        <w:rPr>
          <w:vertAlign w:val="superscript"/>
          <w:lang w:val="en-GB"/>
        </w:rPr>
        <w:t>3</w:t>
      </w:r>
      <w:r w:rsidRPr="00B04DC3">
        <w:rPr>
          <w:lang w:val="en-GB"/>
        </w:rPr>
        <w:t>/s</w:t>
      </w:r>
    </w:p>
    <w:p w:rsidR="00002BA6" w:rsidRPr="00B04DC3" w:rsidRDefault="00002BA6" w:rsidP="00002BA6">
      <w:pPr>
        <w:pStyle w:val="a"/>
        <w:rPr>
          <w:lang w:val="en-GB"/>
        </w:rPr>
      </w:pPr>
      <w:r w:rsidRPr="00B04DC3">
        <w:rPr>
          <w:lang w:val="en-GB"/>
        </w:rPr>
        <w:t>T</w:t>
      </w:r>
      <w:r w:rsidRPr="00B04DC3">
        <w:rPr>
          <w:lang w:val="en-GB"/>
        </w:rPr>
        <w:tab/>
        <w:t>is the temperature at pump inlet, K</w:t>
      </w:r>
    </w:p>
    <w:p w:rsidR="00002BA6" w:rsidRPr="00B04DC3" w:rsidRDefault="00002BA6" w:rsidP="00002BA6">
      <w:pPr>
        <w:pStyle w:val="a"/>
        <w:rPr>
          <w:lang w:val="en-GB"/>
        </w:rPr>
      </w:pPr>
      <w:r w:rsidRPr="00B04DC3">
        <w:rPr>
          <w:lang w:val="en-GB"/>
        </w:rPr>
        <w:t>p</w:t>
      </w:r>
      <w:r w:rsidRPr="00B04DC3">
        <w:rPr>
          <w:vertAlign w:val="subscript"/>
          <w:lang w:val="en-GB"/>
        </w:rPr>
        <w:t>p</w:t>
      </w:r>
      <w:r w:rsidRPr="00B04DC3">
        <w:rPr>
          <w:lang w:val="en-GB"/>
        </w:rPr>
        <w:tab/>
        <w:t>is the absolute pressure at pump inlet, kPa</w:t>
      </w:r>
    </w:p>
    <w:p w:rsidR="00002BA6" w:rsidRPr="00B04DC3" w:rsidRDefault="00002BA6" w:rsidP="00002BA6">
      <w:pPr>
        <w:pStyle w:val="a"/>
        <w:rPr>
          <w:lang w:val="en-GB"/>
        </w:rPr>
      </w:pPr>
      <w:r w:rsidRPr="00B04DC3">
        <w:rPr>
          <w:lang w:val="en-GB"/>
        </w:rPr>
        <w:t>n</w:t>
      </w:r>
      <w:r w:rsidRPr="00B04DC3">
        <w:rPr>
          <w:lang w:val="en-GB"/>
        </w:rPr>
        <w:tab/>
        <w:t>is the pump speed, rev/s</w:t>
      </w:r>
    </w:p>
    <w:p w:rsidR="00002BA6" w:rsidRPr="00B04DC3" w:rsidRDefault="00002BA6" w:rsidP="00002BA6">
      <w:pPr>
        <w:pStyle w:val="para"/>
        <w:rPr>
          <w:lang w:val="en-GB"/>
        </w:rPr>
      </w:pPr>
      <w:r w:rsidRPr="00B04DC3">
        <w:rPr>
          <w:lang w:val="en-GB"/>
        </w:rPr>
        <w:tab/>
        <w:t>To account for the interaction of pressure variations at the pump and the pump slip rate, the correlation function (</w:t>
      </w:r>
      <w:r w:rsidRPr="00B04DC3">
        <w:rPr>
          <w:i/>
          <w:lang w:val="en-GB"/>
        </w:rPr>
        <w:t>X</w:t>
      </w:r>
      <w:r w:rsidRPr="00B04DC3">
        <w:rPr>
          <w:vertAlign w:val="subscript"/>
          <w:lang w:val="en-GB"/>
        </w:rPr>
        <w:t>0</w:t>
      </w:r>
      <w:r w:rsidRPr="00B04DC3">
        <w:rPr>
          <w:lang w:val="en-GB"/>
        </w:rPr>
        <w:t>) between pump speed, pressure differential from pump inlet to pump outlet and absolute pump outlet pressure shall be calculated as follows:</w:t>
      </w:r>
    </w:p>
    <w:p w:rsidR="00002BA6" w:rsidRPr="00661039" w:rsidRDefault="00002BA6" w:rsidP="00602B9A">
      <w:pPr>
        <w:pStyle w:val="para"/>
        <w:tabs>
          <w:tab w:val="right" w:pos="8500"/>
        </w:tabs>
        <w:spacing w:after="0"/>
        <w:rPr>
          <w:position w:val="30"/>
          <w:lang w:val="en-GB"/>
        </w:rPr>
      </w:pPr>
      <w:r w:rsidRPr="00B04DC3">
        <w:rPr>
          <w:lang w:val="en-GB"/>
        </w:rPr>
        <w:tab/>
      </w:r>
      <w:r w:rsidR="00A905B7">
        <w:rPr>
          <w:lang w:val="en-GB"/>
        </w:rPr>
      </w:r>
      <w:r w:rsidR="00A905B7">
        <w:rPr>
          <w:lang w:val="en-GB"/>
        </w:rPr>
        <w:pict>
          <v:group id="_x0000_s5029" editas="canvas" style="width:79pt;height:38.5pt;mso-position-horizontal-relative:char;mso-position-vertical-relative:line" coordsize="1580,770">
            <o:lock v:ext="edit" aspectratio="t"/>
            <v:shape id="_x0000_s5030" type="#_x0000_t75" style="position:absolute;width:1580;height:770" o:preferrelative="f">
              <v:fill o:detectmouseclick="t"/>
              <v:path o:extrusionok="t" o:connecttype="none"/>
              <o:lock v:ext="edit" text="t"/>
            </v:shape>
            <v:line id="_x0000_s5031" style="position:absolute" from="589,400" to="738,400" strokeweight=".5pt"/>
            <v:line id="_x0000_s5032" style="position:absolute" from="1123,400" to="1520,400" strokeweight=".5pt"/>
            <v:line id="_x0000_s5033" style="position:absolute;flip:y" from="965,481" to="996,498" strokeweight=".5pt"/>
            <v:line id="_x0000_s5034" style="position:absolute" from="996,486" to="1040,746" strokeweight="1pt"/>
            <v:line id="_x0000_s5035" style="position:absolute;flip:y" from="1045,50" to="1104,746" strokeweight=".5pt"/>
            <v:line id="_x0000_s5036" style="position:absolute" from="1104,50" to="1540,50" strokeweight=".5pt"/>
            <v:rect id="_x0000_s5037" style="position:absolute;left:1352;top:530;width:71;height:240;mso-wrap-style:none" filled="f" stroked="f">
              <v:textbox style="mso-fit-shape-to-text:t" inset="0,0,0,0">
                <w:txbxContent>
                  <w:p w:rsidR="00A905B7" w:rsidRDefault="00A905B7">
                    <w:r>
                      <w:rPr>
                        <w:color w:val="000000"/>
                        <w:sz w:val="14"/>
                        <w:szCs w:val="14"/>
                      </w:rPr>
                      <w:t>p</w:t>
                    </w:r>
                  </w:p>
                </w:txbxContent>
              </v:textbox>
            </v:rect>
            <v:rect id="_x0000_s5038" style="position:absolute;left:1409;top:153;width:71;height:240;mso-wrap-style:none" filled="f" stroked="f">
              <v:textbox style="mso-fit-shape-to-text:t" inset="0,0,0,0">
                <w:txbxContent>
                  <w:p w:rsidR="00A905B7" w:rsidRDefault="00A905B7">
                    <w:r>
                      <w:rPr>
                        <w:color w:val="000000"/>
                        <w:sz w:val="14"/>
                        <w:szCs w:val="14"/>
                      </w:rPr>
                      <w:t>p</w:t>
                    </w:r>
                  </w:p>
                </w:txbxContent>
              </v:textbox>
            </v:rect>
            <v:rect id="_x0000_s5039" style="position:absolute;left:231;top:394;width:71;height:240;mso-wrap-style:none" filled="f" stroked="f">
              <v:textbox style="mso-fit-shape-to-text:t" inset="0,0,0,0">
                <w:txbxContent>
                  <w:p w:rsidR="00A905B7" w:rsidRDefault="00A905B7">
                    <w:r>
                      <w:rPr>
                        <w:color w:val="000000"/>
                        <w:sz w:val="14"/>
                        <w:szCs w:val="14"/>
                      </w:rPr>
                      <w:t>0</w:t>
                    </w:r>
                  </w:p>
                </w:txbxContent>
              </v:textbox>
            </v:rect>
            <v:rect id="_x0000_s5040" style="position:absolute;left:604;top:96;width:101;height:240;mso-wrap-style:none" filled="f" stroked="f">
              <v:textbox style="mso-fit-shape-to-text:t" inset="0,0,0,0">
                <w:txbxContent>
                  <w:p w:rsidR="00A905B7" w:rsidRDefault="00A905B7">
                    <w:r>
                      <w:rPr>
                        <w:color w:val="000000"/>
                        <w:szCs w:val="24"/>
                      </w:rPr>
                      <w:t>1</w:t>
                    </w:r>
                  </w:p>
                </w:txbxContent>
              </v:textbox>
            </v:rect>
            <v:rect id="_x0000_s5041" style="position:absolute;left:1227;top:432;width:101;height:240;mso-wrap-style:none" filled="f" stroked="f">
              <v:textbox style="mso-fit-shape-to-text:t" inset="0,0,0,0">
                <w:txbxContent>
                  <w:p w:rsidR="00A905B7" w:rsidRPr="00C03E8C" w:rsidRDefault="00A905B7">
                    <w:r w:rsidRPr="00C03E8C">
                      <w:rPr>
                        <w:iCs/>
                        <w:color w:val="000000"/>
                        <w:szCs w:val="24"/>
                      </w:rPr>
                      <w:t>p</w:t>
                    </w:r>
                  </w:p>
                </w:txbxContent>
              </v:textbox>
            </v:rect>
            <v:rect id="_x0000_s5042" style="position:absolute;left:1284;top:65;width:101;height:240;mso-wrap-style:none" filled="f" stroked="f">
              <v:textbox style="mso-fit-shape-to-text:t" inset="0,0,0,0">
                <w:txbxContent>
                  <w:p w:rsidR="00A905B7" w:rsidRPr="00C03E8C" w:rsidRDefault="00A905B7">
                    <w:r w:rsidRPr="00C03E8C">
                      <w:rPr>
                        <w:iCs/>
                        <w:color w:val="000000"/>
                        <w:szCs w:val="24"/>
                      </w:rPr>
                      <w:t>p</w:t>
                    </w:r>
                  </w:p>
                </w:txbxContent>
              </v:textbox>
            </v:rect>
            <v:rect id="_x0000_s5043" style="position:absolute;left:606;top:432;width:101;height:240;mso-wrap-style:none" filled="f" stroked="f">
              <v:textbox style="mso-fit-shape-to-text:t" inset="0,0,0,0">
                <w:txbxContent>
                  <w:p w:rsidR="00A905B7" w:rsidRPr="00C03E8C" w:rsidRDefault="00A905B7">
                    <w:r w:rsidRPr="00C03E8C">
                      <w:rPr>
                        <w:iCs/>
                        <w:color w:val="000000"/>
                        <w:szCs w:val="24"/>
                      </w:rPr>
                      <w:t>n</w:t>
                    </w:r>
                  </w:p>
                </w:txbxContent>
              </v:textbox>
            </v:rect>
            <v:rect id="_x0000_s5044" style="position:absolute;left:55;top:246;width:145;height:240;mso-wrap-style:none" filled="f" stroked="f">
              <v:textbox style="mso-fit-shape-to-text:t" inset="0,0,0,0">
                <w:txbxContent>
                  <w:p w:rsidR="00A905B7" w:rsidRPr="00C03E8C" w:rsidRDefault="00A905B7">
                    <w:r w:rsidRPr="00C03E8C">
                      <w:rPr>
                        <w:iCs/>
                        <w:color w:val="000000"/>
                        <w:szCs w:val="24"/>
                      </w:rPr>
                      <w:t>X</w:t>
                    </w:r>
                  </w:p>
                </w:txbxContent>
              </v:textbox>
            </v:rect>
            <v:rect id="_x0000_s5045" style="position:absolute;left:1139;top:38;width:123;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46" style="position:absolute;left:782;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47" style="position:absolute;left:391;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Pr="00661039">
        <w:rPr>
          <w:position w:val="30"/>
          <w:lang w:val="en-GB"/>
        </w:rPr>
        <w:tab/>
        <w:t>(86)</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002BA6" w:rsidP="00002BA6">
      <w:pPr>
        <w:pStyle w:val="a"/>
        <w:rPr>
          <w:lang w:val="en-GB"/>
        </w:rPr>
      </w:pPr>
      <w:r w:rsidRPr="00B04DC3">
        <w:rPr>
          <w:lang w:val="en-GB"/>
        </w:rPr>
        <w:sym w:font="Symbol" w:char="F044"/>
      </w:r>
      <w:r w:rsidRPr="00B04DC3">
        <w:rPr>
          <w:lang w:val="en-GB"/>
        </w:rPr>
        <w:t>p</w:t>
      </w:r>
      <w:r w:rsidRPr="00B04DC3">
        <w:rPr>
          <w:vertAlign w:val="subscript"/>
          <w:lang w:val="en-GB"/>
        </w:rPr>
        <w:t>p</w:t>
      </w:r>
      <w:r w:rsidRPr="00B04DC3">
        <w:rPr>
          <w:lang w:val="en-GB"/>
        </w:rPr>
        <w:tab/>
        <w:t>is the pressure differential from pump inlet to pump outlet, kPa</w:t>
      </w:r>
    </w:p>
    <w:p w:rsidR="00002BA6" w:rsidRPr="00B04DC3" w:rsidRDefault="00002BA6" w:rsidP="00002BA6">
      <w:pPr>
        <w:pStyle w:val="a"/>
        <w:rPr>
          <w:lang w:val="en-GB"/>
        </w:rPr>
      </w:pPr>
      <w:r w:rsidRPr="00B04DC3">
        <w:rPr>
          <w:lang w:val="en-GB"/>
        </w:rPr>
        <w:t>p</w:t>
      </w:r>
      <w:r w:rsidRPr="00B04DC3">
        <w:rPr>
          <w:vertAlign w:val="subscript"/>
          <w:lang w:val="en-GB"/>
        </w:rPr>
        <w:t>p</w:t>
      </w:r>
      <w:r w:rsidRPr="00B04DC3">
        <w:rPr>
          <w:lang w:val="en-GB"/>
        </w:rPr>
        <w:tab/>
        <w:t>is the absolute outlet pressure at pump outlet, kPa</w:t>
      </w:r>
    </w:p>
    <w:p w:rsidR="00002BA6" w:rsidRPr="00B04DC3" w:rsidRDefault="00002BA6" w:rsidP="00002BA6">
      <w:pPr>
        <w:pStyle w:val="para"/>
        <w:rPr>
          <w:lang w:val="en-GB"/>
        </w:rPr>
      </w:pPr>
      <w:r w:rsidRPr="00B04DC3">
        <w:rPr>
          <w:lang w:val="en-GB"/>
        </w:rPr>
        <w:tab/>
        <w:t>A linear least-square fit shall be performed to generate the calibration equation as follows:</w:t>
      </w:r>
    </w:p>
    <w:p w:rsidR="00002BA6" w:rsidRPr="00B04DC3" w:rsidRDefault="00002BA6" w:rsidP="00002BA6">
      <w:pPr>
        <w:pStyle w:val="para"/>
        <w:tabs>
          <w:tab w:val="right" w:pos="8500"/>
        </w:tabs>
        <w:rPr>
          <w:lang w:val="en-GB"/>
        </w:rPr>
      </w:pPr>
      <w:r w:rsidRPr="00B04DC3">
        <w:rPr>
          <w:lang w:val="en-GB"/>
        </w:rPr>
        <w:tab/>
      </w:r>
      <w:r w:rsidR="00661039" w:rsidRPr="000B1788">
        <w:rPr>
          <w:position w:val="-12"/>
          <w:lang w:val="en-GB"/>
        </w:rPr>
        <w:object w:dxaOrig="1719" w:dyaOrig="360">
          <v:shape id="_x0000_i1290" type="#_x0000_t75" style="width:74.4pt;height:14.4pt" o:ole="">
            <v:imagedata r:id="rId429" o:title=""/>
          </v:shape>
          <o:OLEObject Type="Embed" ProgID="Equation.3" ShapeID="_x0000_i1290" DrawAspect="Content" ObjectID="_1498392371" r:id="rId430"/>
        </w:object>
      </w:r>
      <w:r w:rsidRPr="00B04DC3">
        <w:rPr>
          <w:lang w:val="en-GB"/>
        </w:rPr>
        <w:tab/>
        <w:t>(87)</w:t>
      </w:r>
    </w:p>
    <w:p w:rsidR="00002BA6" w:rsidRPr="00B04DC3" w:rsidRDefault="00002BA6" w:rsidP="00002BA6">
      <w:pPr>
        <w:pStyle w:val="a"/>
        <w:ind w:left="2268" w:firstLine="0"/>
        <w:rPr>
          <w:lang w:val="en-GB"/>
        </w:rPr>
      </w:pPr>
      <w:r w:rsidRPr="00B04DC3">
        <w:rPr>
          <w:lang w:val="en-GB"/>
        </w:rPr>
        <w:t>D</w:t>
      </w:r>
      <w:r w:rsidRPr="00B04DC3">
        <w:rPr>
          <w:vertAlign w:val="subscript"/>
          <w:lang w:val="en-GB"/>
        </w:rPr>
        <w:t>0</w:t>
      </w:r>
      <w:r w:rsidRPr="00B04DC3">
        <w:rPr>
          <w:lang w:val="en-GB"/>
        </w:rPr>
        <w:t xml:space="preserve"> and m are the intercept and slope, respectively, describing the regression lines.</w:t>
      </w:r>
    </w:p>
    <w:p w:rsidR="00002BA6" w:rsidRPr="00B04DC3" w:rsidRDefault="00002BA6" w:rsidP="00002BA6">
      <w:pPr>
        <w:pStyle w:val="para"/>
        <w:rPr>
          <w:lang w:val="en-GB"/>
        </w:rPr>
      </w:pPr>
      <w:r w:rsidRPr="00B04DC3">
        <w:rPr>
          <w:lang w:val="en-GB"/>
        </w:rPr>
        <w:tab/>
        <w:t>For a CVS system with multiple speeds, the calibration curves generated for the different pump flow ranges shall be approximately parallel, and the intercept values (D</w:t>
      </w:r>
      <w:r w:rsidRPr="00B04DC3">
        <w:rPr>
          <w:vertAlign w:val="subscript"/>
          <w:lang w:val="en-GB"/>
        </w:rPr>
        <w:t>0</w:t>
      </w:r>
      <w:r w:rsidRPr="00B04DC3">
        <w:rPr>
          <w:lang w:val="en-GB"/>
        </w:rPr>
        <w:t>) shall increase as the pump flow range decreases.</w:t>
      </w:r>
    </w:p>
    <w:p w:rsidR="00002BA6" w:rsidRPr="00B04DC3" w:rsidRDefault="00002BA6" w:rsidP="00002BA6">
      <w:pPr>
        <w:pStyle w:val="para"/>
        <w:rPr>
          <w:lang w:val="en-GB"/>
        </w:rPr>
      </w:pPr>
      <w:r w:rsidRPr="00B04DC3">
        <w:rPr>
          <w:lang w:val="en-GB"/>
        </w:rPr>
        <w:tab/>
        <w:t>The calculated values from the equation shall be within ±0.5 per cent of the measured value of V</w:t>
      </w:r>
      <w:r w:rsidRPr="00B04DC3">
        <w:rPr>
          <w:vertAlign w:val="subscript"/>
          <w:lang w:val="en-GB"/>
        </w:rPr>
        <w:t>0</w:t>
      </w:r>
      <w:r w:rsidRPr="00B04DC3">
        <w:rPr>
          <w:lang w:val="en-GB"/>
        </w:rPr>
        <w:t>. Values of m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rsidR="00002BA6" w:rsidRPr="00B04DC3" w:rsidRDefault="00002BA6" w:rsidP="00002BA6">
      <w:pPr>
        <w:pStyle w:val="para"/>
        <w:rPr>
          <w:lang w:val="en-GB"/>
        </w:rPr>
      </w:pPr>
      <w:r w:rsidRPr="00B04DC3">
        <w:rPr>
          <w:lang w:val="en-GB"/>
        </w:rPr>
        <w:t>9.5.3.</w:t>
      </w:r>
      <w:r w:rsidRPr="00B04DC3">
        <w:rPr>
          <w:lang w:val="en-GB"/>
        </w:rPr>
        <w:tab/>
        <w:t xml:space="preserve">Calibration of the </w:t>
      </w:r>
      <w:r w:rsidR="00251F29">
        <w:rPr>
          <w:lang w:val="en-GB"/>
        </w:rPr>
        <w:t>C</w:t>
      </w:r>
      <w:r w:rsidR="00251F29" w:rsidRPr="00B04DC3">
        <w:rPr>
          <w:lang w:val="en-GB"/>
        </w:rPr>
        <w:t xml:space="preserve">ritical </w:t>
      </w:r>
      <w:r w:rsidR="00251F29">
        <w:rPr>
          <w:lang w:val="en-GB"/>
        </w:rPr>
        <w:t>F</w:t>
      </w:r>
      <w:r w:rsidR="00251F29" w:rsidRPr="00B04DC3">
        <w:rPr>
          <w:lang w:val="en-GB"/>
        </w:rPr>
        <w:t xml:space="preserve">low </w:t>
      </w:r>
      <w:r w:rsidR="00251F29">
        <w:rPr>
          <w:lang w:val="en-GB"/>
        </w:rPr>
        <w:t>V</w:t>
      </w:r>
      <w:r w:rsidR="00251F29" w:rsidRPr="00B04DC3">
        <w:rPr>
          <w:lang w:val="en-GB"/>
        </w:rPr>
        <w:t xml:space="preserve">enturi </w:t>
      </w:r>
      <w:r w:rsidRPr="00B04DC3">
        <w:rPr>
          <w:lang w:val="en-GB"/>
        </w:rPr>
        <w:t>(CFV)</w:t>
      </w:r>
    </w:p>
    <w:p w:rsidR="00002BA6" w:rsidRPr="00B04DC3" w:rsidRDefault="00002BA6" w:rsidP="00002BA6">
      <w:pPr>
        <w:pStyle w:val="para"/>
        <w:rPr>
          <w:lang w:val="en-GB"/>
        </w:rPr>
      </w:pPr>
      <w:r w:rsidRPr="00B04DC3">
        <w:rPr>
          <w:lang w:val="en-GB"/>
        </w:rPr>
        <w:tab/>
        <w:t>Calibration of the CFV is based upon the flow equation for a critical venturi. Gas flow is a function of venturi inlet pressure and temperature.</w:t>
      </w:r>
    </w:p>
    <w:p w:rsidR="00002BA6" w:rsidRPr="00B04DC3" w:rsidRDefault="00002BA6" w:rsidP="00002BA6">
      <w:pPr>
        <w:pStyle w:val="para"/>
        <w:rPr>
          <w:lang w:val="en-GB"/>
        </w:rPr>
      </w:pPr>
      <w:r w:rsidRPr="00B04DC3">
        <w:rPr>
          <w:lang w:val="en-GB"/>
        </w:rPr>
        <w:tab/>
        <w:t>To determine the range of critical flow, K</w:t>
      </w:r>
      <w:r w:rsidRPr="00B04DC3">
        <w:rPr>
          <w:vertAlign w:val="subscript"/>
          <w:lang w:val="en-GB"/>
        </w:rPr>
        <w:t xml:space="preserve">v </w:t>
      </w:r>
      <w:r w:rsidRPr="00B04DC3">
        <w:rPr>
          <w:lang w:val="en-GB"/>
        </w:rPr>
        <w:t xml:space="preserve"> shall be plotted as a function of venturi inlet pressure. For critical (choked) flow, K</w:t>
      </w:r>
      <w:r w:rsidRPr="00B04DC3">
        <w:rPr>
          <w:vertAlign w:val="subscript"/>
          <w:lang w:val="en-GB"/>
        </w:rPr>
        <w:t>v</w:t>
      </w:r>
      <w:r w:rsidRPr="00B04DC3">
        <w:rPr>
          <w:lang w:val="en-GB"/>
        </w:rPr>
        <w:t xml:space="preserve"> will have a relatively constant value. As pressure decreases (vacuum increases), the venturi becomes unchoked and K</w:t>
      </w:r>
      <w:r w:rsidRPr="00B04DC3">
        <w:rPr>
          <w:vertAlign w:val="subscript"/>
          <w:lang w:val="en-GB"/>
        </w:rPr>
        <w:t>v</w:t>
      </w:r>
      <w:r w:rsidRPr="00B04DC3">
        <w:rPr>
          <w:lang w:val="en-GB"/>
        </w:rPr>
        <w:t xml:space="preserve"> decreases, which indicates that the CFV is operated outside the permissible range.</w:t>
      </w:r>
    </w:p>
    <w:p w:rsidR="00002BA6" w:rsidRPr="00B04DC3" w:rsidRDefault="00002BA6" w:rsidP="00002BA6">
      <w:pPr>
        <w:pStyle w:val="para"/>
        <w:rPr>
          <w:lang w:val="en-GB"/>
        </w:rPr>
      </w:pPr>
      <w:r w:rsidRPr="00B04DC3">
        <w:rPr>
          <w:lang w:val="en-GB"/>
        </w:rPr>
        <w:t>9.5.3.1.</w:t>
      </w:r>
      <w:r w:rsidRPr="00B04DC3">
        <w:rPr>
          <w:lang w:val="en-GB"/>
        </w:rPr>
        <w:tab/>
        <w:t>Data analysis</w:t>
      </w:r>
    </w:p>
    <w:p w:rsidR="00002BA6" w:rsidRPr="00B04DC3" w:rsidRDefault="00002BA6" w:rsidP="00002BA6">
      <w:pPr>
        <w:pStyle w:val="para"/>
        <w:rPr>
          <w:lang w:val="en-GB"/>
        </w:rPr>
      </w:pPr>
      <w:r w:rsidRPr="00B04DC3">
        <w:rPr>
          <w:lang w:val="en-GB"/>
        </w:rPr>
        <w:tab/>
        <w:t>The airflow rate (q</w:t>
      </w:r>
      <w:r w:rsidRPr="00B04DC3">
        <w:rPr>
          <w:vertAlign w:val="subscript"/>
          <w:lang w:val="en-GB"/>
        </w:rPr>
        <w:t>vCVS</w:t>
      </w:r>
      <w:r w:rsidRPr="00B04DC3">
        <w:rPr>
          <w:lang w:val="en-GB"/>
        </w:rPr>
        <w:t>) at each restriction setting (minimum 8 settings) shall be calculated in standard m</w:t>
      </w:r>
      <w:r w:rsidRPr="00B04DC3">
        <w:rPr>
          <w:vertAlign w:val="superscript"/>
          <w:lang w:val="en-GB"/>
        </w:rPr>
        <w:t>3</w:t>
      </w:r>
      <w:r w:rsidRPr="00B04DC3">
        <w:rPr>
          <w:lang w:val="en-GB"/>
        </w:rPr>
        <w:t>/s from the flowmeter data using the manufacturer's prescribed method. The calibration coefficient shall be calculated from the calibration data for each setting as follows:</w:t>
      </w:r>
    </w:p>
    <w:p w:rsidR="00002BA6" w:rsidRPr="00B04DC3" w:rsidRDefault="00002BA6" w:rsidP="00602B9A">
      <w:pPr>
        <w:pStyle w:val="para"/>
        <w:tabs>
          <w:tab w:val="right" w:pos="8500"/>
        </w:tabs>
        <w:spacing w:after="0"/>
        <w:rPr>
          <w:lang w:val="en-GB"/>
        </w:rPr>
      </w:pPr>
      <w:r w:rsidRPr="00B04DC3">
        <w:rPr>
          <w:lang w:val="en-GB"/>
        </w:rPr>
        <w:tab/>
      </w:r>
      <w:r w:rsidR="00661039" w:rsidRPr="00B04DC3">
        <w:rPr>
          <w:position w:val="-32"/>
          <w:lang w:val="en-GB"/>
        </w:rPr>
        <w:object w:dxaOrig="1680" w:dyaOrig="760">
          <v:shape id="_x0000_i1291" type="#_x0000_t75" style="width:74.4pt;height:33.6pt" o:ole="" fillcolor="window">
            <v:imagedata r:id="rId431" o:title=""/>
          </v:shape>
          <o:OLEObject Type="Embed" ProgID="Equation.3" ShapeID="_x0000_i1291" DrawAspect="Content" ObjectID="_1498392372" r:id="rId432"/>
        </w:object>
      </w:r>
      <w:r w:rsidRPr="00B04DC3">
        <w:rPr>
          <w:lang w:val="en-GB"/>
        </w:rPr>
        <w:tab/>
        <w:t>(88)</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q</w:t>
      </w:r>
      <w:r w:rsidRPr="00B04DC3">
        <w:rPr>
          <w:vertAlign w:val="subscript"/>
          <w:lang w:val="en-GB"/>
        </w:rPr>
        <w:t>vCVS</w:t>
      </w:r>
      <w:r w:rsidRPr="00B04DC3">
        <w:rPr>
          <w:lang w:val="en-GB"/>
        </w:rPr>
        <w:tab/>
        <w:t>is the airflow rate at standard conditions (101.3 kPa, 273 K), m</w:t>
      </w:r>
      <w:r w:rsidRPr="00B04DC3">
        <w:rPr>
          <w:vertAlign w:val="superscript"/>
          <w:lang w:val="en-GB"/>
        </w:rPr>
        <w:t>3</w:t>
      </w:r>
      <w:r w:rsidRPr="00B04DC3">
        <w:rPr>
          <w:lang w:val="en-GB"/>
        </w:rPr>
        <w:t>/s</w:t>
      </w:r>
    </w:p>
    <w:p w:rsidR="00002BA6" w:rsidRPr="00B04DC3" w:rsidRDefault="00002BA6" w:rsidP="00002BA6">
      <w:pPr>
        <w:pStyle w:val="a"/>
        <w:rPr>
          <w:lang w:val="en-GB"/>
        </w:rPr>
      </w:pPr>
      <w:r w:rsidRPr="00B04DC3">
        <w:rPr>
          <w:lang w:val="en-GB"/>
        </w:rPr>
        <w:t>T</w:t>
      </w:r>
      <w:r w:rsidRPr="00B04DC3">
        <w:rPr>
          <w:lang w:val="en-GB"/>
        </w:rPr>
        <w:tab/>
        <w:t>is the temperature at the venturi inlet, K</w:t>
      </w:r>
    </w:p>
    <w:p w:rsidR="00002BA6" w:rsidRPr="00B04DC3" w:rsidRDefault="00002BA6" w:rsidP="00002BA6">
      <w:pPr>
        <w:pStyle w:val="a"/>
        <w:rPr>
          <w:lang w:val="en-GB"/>
        </w:rPr>
      </w:pPr>
      <w:r w:rsidRPr="00B04DC3">
        <w:rPr>
          <w:lang w:val="en-GB"/>
        </w:rPr>
        <w:t>p</w:t>
      </w:r>
      <w:r w:rsidRPr="00B04DC3">
        <w:rPr>
          <w:vertAlign w:val="subscript"/>
          <w:lang w:val="en-GB"/>
        </w:rPr>
        <w:t>p</w:t>
      </w:r>
      <w:r w:rsidRPr="00B04DC3">
        <w:rPr>
          <w:lang w:val="en-GB"/>
        </w:rPr>
        <w:tab/>
        <w:t>is the absolute pressure at venturi inlet, kPa</w:t>
      </w:r>
    </w:p>
    <w:p w:rsidR="00002BA6" w:rsidRPr="00B04DC3" w:rsidRDefault="00002BA6" w:rsidP="00002BA6">
      <w:pPr>
        <w:pStyle w:val="para"/>
        <w:rPr>
          <w:lang w:val="en-GB"/>
        </w:rPr>
      </w:pPr>
      <w:r w:rsidRPr="00B04DC3">
        <w:rPr>
          <w:lang w:val="en-GB"/>
        </w:rPr>
        <w:tab/>
        <w:t>The average K</w:t>
      </w:r>
      <w:r w:rsidRPr="00B04DC3">
        <w:rPr>
          <w:vertAlign w:val="subscript"/>
          <w:lang w:val="en-GB"/>
        </w:rPr>
        <w:t>V</w:t>
      </w:r>
      <w:r w:rsidRPr="00B04DC3">
        <w:rPr>
          <w:lang w:val="en-GB"/>
        </w:rPr>
        <w:t xml:space="preserve"> and the standard deviation shall be calculated. The standard deviation shall not exceed ±0.3 per cent of the average K</w:t>
      </w:r>
      <w:r w:rsidRPr="00B04DC3">
        <w:rPr>
          <w:vertAlign w:val="subscript"/>
          <w:lang w:val="en-GB"/>
        </w:rPr>
        <w:t>V</w:t>
      </w:r>
      <w:r w:rsidRPr="00B04DC3">
        <w:rPr>
          <w:lang w:val="en-GB"/>
        </w:rPr>
        <w:t>.</w:t>
      </w:r>
    </w:p>
    <w:p w:rsidR="00002BA6" w:rsidRPr="00B04DC3" w:rsidRDefault="00002BA6" w:rsidP="00661039">
      <w:pPr>
        <w:pStyle w:val="para"/>
        <w:keepNext/>
        <w:keepLines/>
        <w:rPr>
          <w:lang w:val="en-GB"/>
        </w:rPr>
      </w:pPr>
      <w:r w:rsidRPr="00B04DC3">
        <w:rPr>
          <w:lang w:val="en-GB"/>
        </w:rPr>
        <w:t>9.5.4.</w:t>
      </w:r>
      <w:r w:rsidRPr="00B04DC3">
        <w:rPr>
          <w:lang w:val="en-GB"/>
        </w:rPr>
        <w:tab/>
        <w:t xml:space="preserve">Calibration of the </w:t>
      </w:r>
      <w:r w:rsidR="00251F29">
        <w:rPr>
          <w:lang w:val="en-GB"/>
        </w:rPr>
        <w:t>S</w:t>
      </w:r>
      <w:r w:rsidR="00251F29" w:rsidRPr="00B04DC3">
        <w:rPr>
          <w:lang w:val="en-GB"/>
        </w:rPr>
        <w:t xml:space="preserve">ubsonic </w:t>
      </w:r>
      <w:r w:rsidR="00251F29">
        <w:rPr>
          <w:lang w:val="en-GB"/>
        </w:rPr>
        <w:t>V</w:t>
      </w:r>
      <w:r w:rsidR="00251F29" w:rsidRPr="00B04DC3">
        <w:rPr>
          <w:lang w:val="en-GB"/>
        </w:rPr>
        <w:t xml:space="preserve">enturi </w:t>
      </w:r>
      <w:r w:rsidRPr="00B04DC3">
        <w:rPr>
          <w:lang w:val="en-GB"/>
        </w:rPr>
        <w:t xml:space="preserve">(SSV) </w:t>
      </w:r>
    </w:p>
    <w:p w:rsidR="00002BA6" w:rsidRPr="00B04DC3" w:rsidRDefault="00002BA6" w:rsidP="00002BA6">
      <w:pPr>
        <w:pStyle w:val="para"/>
        <w:rPr>
          <w:lang w:val="en-GB"/>
        </w:rPr>
      </w:pPr>
      <w:r w:rsidRPr="00B04DC3">
        <w:rPr>
          <w:lang w:val="en-GB"/>
        </w:rPr>
        <w:tab/>
        <w:t xml:space="preserve">Calibration of the SSV is based upon the flow equation for a subsonic venturi. Gas flow is a function of inlet pressure and temperature, pressure drop between the SSV inlet and throat, as shown in equation </w:t>
      </w:r>
      <w:r w:rsidR="008239EC" w:rsidRPr="00B04DC3">
        <w:rPr>
          <w:lang w:val="en-GB"/>
        </w:rPr>
        <w:t xml:space="preserve">53 </w:t>
      </w:r>
      <w:r w:rsidRPr="00B04DC3">
        <w:rPr>
          <w:lang w:val="en-GB"/>
        </w:rPr>
        <w:t>(see paragraph 8.5.1.4.</w:t>
      </w:r>
      <w:r w:rsidR="00251F29">
        <w:rPr>
          <w:lang w:val="en-GB"/>
        </w:rPr>
        <w:t xml:space="preserve"> of this annex</w:t>
      </w:r>
      <w:r w:rsidRPr="00B04DC3">
        <w:rPr>
          <w:lang w:val="en-GB"/>
        </w:rPr>
        <w:t>).</w:t>
      </w:r>
    </w:p>
    <w:p w:rsidR="00002BA6" w:rsidRPr="00B04DC3" w:rsidRDefault="00002BA6" w:rsidP="00002BA6">
      <w:pPr>
        <w:pStyle w:val="para"/>
        <w:rPr>
          <w:lang w:val="en-GB"/>
        </w:rPr>
      </w:pPr>
      <w:r w:rsidRPr="00B04DC3">
        <w:rPr>
          <w:lang w:val="en-GB"/>
        </w:rPr>
        <w:t>9.5.4.1.</w:t>
      </w:r>
      <w:r w:rsidRPr="00B04DC3">
        <w:rPr>
          <w:lang w:val="en-GB"/>
        </w:rPr>
        <w:tab/>
        <w:t>Data analysis</w:t>
      </w:r>
    </w:p>
    <w:p w:rsidR="00002BA6" w:rsidRPr="00B04DC3" w:rsidRDefault="00A905B7" w:rsidP="00002BA6">
      <w:pPr>
        <w:pStyle w:val="para"/>
        <w:rPr>
          <w:lang w:val="en-GB"/>
        </w:rPr>
      </w:pPr>
      <w:r>
        <w:rPr>
          <w:noProof/>
          <w:lang w:val="en-GB"/>
        </w:rPr>
        <w:pict>
          <v:rect id="_x0000_s5123" style="position:absolute;left:0;text-align:left;margin-left:257.1pt;margin-top:53.35pt;width:7.25pt;height:12pt;z-index:251615232;mso-wrap-style:none" filled="f" stroked="f">
            <v:textbox style="mso-fit-shape-to-text:t" inset="0,0,0,0">
              <w:txbxContent>
                <w:p w:rsidR="00A905B7" w:rsidRPr="00C03E8C" w:rsidRDefault="00A905B7">
                  <w:r w:rsidRPr="00C03E8C">
                    <w:rPr>
                      <w:iCs/>
                      <w:color w:val="000000"/>
                      <w:szCs w:val="24"/>
                    </w:rPr>
                    <w:t>Q</w:t>
                  </w:r>
                </w:p>
              </w:txbxContent>
            </v:textbox>
          </v:rect>
        </w:pict>
      </w:r>
      <w:r w:rsidR="00002BA6" w:rsidRPr="00B04DC3">
        <w:rPr>
          <w:lang w:val="en-GB"/>
        </w:rPr>
        <w:tab/>
        <w:t>The airflow rate (Q</w:t>
      </w:r>
      <w:r w:rsidR="00002BA6" w:rsidRPr="00B04DC3">
        <w:rPr>
          <w:vertAlign w:val="subscript"/>
          <w:lang w:val="en-GB"/>
        </w:rPr>
        <w:t>SSV</w:t>
      </w:r>
      <w:r w:rsidR="00002BA6" w:rsidRPr="00B04DC3">
        <w:rPr>
          <w:lang w:val="en-GB"/>
        </w:rPr>
        <w:t>) at each restriction setting (minimum 16 settings) shall be calculated in standard m</w:t>
      </w:r>
      <w:r w:rsidR="00002BA6" w:rsidRPr="00B04DC3">
        <w:rPr>
          <w:vertAlign w:val="superscript"/>
          <w:lang w:val="en-GB"/>
        </w:rPr>
        <w:t>3</w:t>
      </w:r>
      <w:r w:rsidR="00002BA6" w:rsidRPr="00B04DC3">
        <w:rPr>
          <w:lang w:val="en-GB"/>
        </w:rPr>
        <w:t>/s from the flowmeter data using the manufacturer's prescribed method. The discharge coefficient shall be calculated from the calibration data for each setting as follows:</w:t>
      </w:r>
    </w:p>
    <w:p w:rsidR="00002BA6" w:rsidRPr="007A0831" w:rsidRDefault="00002BA6" w:rsidP="00002BA6">
      <w:pPr>
        <w:pStyle w:val="para"/>
        <w:tabs>
          <w:tab w:val="right" w:pos="8500"/>
        </w:tabs>
        <w:rPr>
          <w:position w:val="60"/>
          <w:lang w:val="en-GB"/>
        </w:rPr>
      </w:pPr>
      <w:r w:rsidRPr="00B04DC3">
        <w:rPr>
          <w:lang w:val="en-GB"/>
        </w:rPr>
        <w:tab/>
      </w:r>
      <w:r w:rsidR="00A905B7">
        <w:rPr>
          <w:lang w:val="en-GB"/>
        </w:rPr>
      </w:r>
      <w:r w:rsidR="00A905B7">
        <w:rPr>
          <w:lang w:val="en-GB"/>
        </w:rPr>
        <w:pict>
          <v:group id="_x0000_s5065" editas="canvas" style="width:281.7pt;height:61.9pt;mso-position-horizontal-relative:char;mso-position-vertical-relative:line" coordsize="5634,1238">
            <o:lock v:ext="edit" aspectratio="t"/>
            <v:shape id="_x0000_s5066" type="#_x0000_t75" style="position:absolute;width:5634;height:1238" o:preferrelative="f">
              <v:fill o:detectmouseclick="t"/>
              <v:path o:extrusionok="t" o:connecttype="none"/>
              <o:lock v:ext="edit" text="t"/>
            </v:shape>
            <v:line id="_x0000_s5067" style="position:absolute" from="1823,828" to="1989,828" strokeweight=".25pt"/>
            <v:rect id="_x0000_s5068" style="position:absolute;left:2190;top:460;width:140;height:515;mso-wrap-style:none" filled="f" stroked="f">
              <v:textbox style="mso-fit-shape-to-text:t" inset="0,0,0,0">
                <w:txbxContent>
                  <w:p w:rsidR="00A905B7" w:rsidRDefault="00A905B7">
                    <w:r>
                      <w:rPr>
                        <w:rFonts w:ascii="Symbol" w:hAnsi="Symbol" w:cs="Symbol"/>
                        <w:color w:val="000000"/>
                        <w:sz w:val="42"/>
                        <w:szCs w:val="42"/>
                      </w:rPr>
                      <w:t></w:t>
                    </w:r>
                  </w:p>
                </w:txbxContent>
              </v:textbox>
            </v:rect>
            <v:rect id="_x0000_s5069" style="position:absolute;left:3631;top:460;width:140;height:515;mso-wrap-style:none" filled="f" stroked="f">
              <v:textbox style="mso-fit-shape-to-text:t" inset="0,0,0,0">
                <w:txbxContent>
                  <w:p w:rsidR="00A905B7" w:rsidRDefault="00A905B7">
                    <w:r>
                      <w:rPr>
                        <w:rFonts w:ascii="Symbol" w:hAnsi="Symbol" w:cs="Symbol"/>
                        <w:color w:val="000000"/>
                        <w:sz w:val="42"/>
                        <w:szCs w:val="42"/>
                      </w:rPr>
                      <w:t></w:t>
                    </w:r>
                  </w:p>
                </w:txbxContent>
              </v:textbox>
            </v:rect>
            <v:line id="_x0000_s5070" style="position:absolute" from="3981,828" to="5393,828" strokeweight=".25pt"/>
            <v:line id="_x0000_s5071" style="position:absolute;flip:y" from="1577,909" to="1606,927" strokeweight=".45pt"/>
            <v:line id="_x0000_s5072" style="position:absolute" from="1606,914" to="1649,1238" strokeweight=".95pt"/>
            <v:line id="_x0000_s5073" style="position:absolute;flip:y" from="1653,360" to="1700,1238" strokeweight=".45pt"/>
            <v:line id="_x0000_s5074" style="position:absolute" from="1709,373" to="5615,374" strokeweight=".45pt"/>
            <v:line id="_x0000_s5075" style="position:absolute" from="551,310" to="5634,311" strokeweight=".45pt"/>
            <v:rect id="_x0000_s5076" style="position:absolute;left:5510;top:86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77" style="position:absolute;left:5510;top:63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78" style="position:absolute;left:5510;top:96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79" style="position:absolute;left:5510;top:40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0" style="position:absolute;left:1727;top:86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1" style="position:absolute;left:1727;top:63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2" style="position:absolute;left:1727;top:96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3" style="position:absolute;left:1727;top:40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4" style="position:absolute;left:5418;top:794;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5" style="position:absolute;left:5418;top:58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6" style="position:absolute;left:5418;top:94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7" style="position:absolute;left:5418;top:42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8" style="position:absolute;left:3863;top:794;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89" style="position:absolute;left:3863;top:58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0" style="position:absolute;left:3863;top:94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1" style="position:absolute;left:3863;top:428;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2" style="position:absolute;left:4633;top:85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3" style="position:absolute;left:4132;top:85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4" style="position:absolute;left:3707;top:6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5" style="position:absolute;left:2877;top:6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6" style="position:absolute;left:2028;top:6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7" style="position:absolute;left:1405;top:6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8" style="position:absolute;left:941;top:64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099" style="position:absolute;left:362;top:15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100" style="position:absolute;left:4975;top:847;width:386;height:240;mso-wrap-style:none" filled="f" stroked="f">
              <v:textbox style="mso-fit-shape-to-text:t" inset="0,0,0,0">
                <w:txbxContent>
                  <w:p w:rsidR="00A905B7" w:rsidRPr="00C03E8C" w:rsidRDefault="00A905B7">
                    <w:r w:rsidRPr="00C03E8C">
                      <w:rPr>
                        <w:iCs/>
                        <w:color w:val="000000"/>
                        <w:sz w:val="14"/>
                        <w:szCs w:val="14"/>
                      </w:rPr>
                      <w:t>1.4286</w:t>
                    </w:r>
                  </w:p>
                </w:txbxContent>
              </v:textbox>
            </v:rect>
            <v:rect id="_x0000_s5101" style="position:absolute;left:4891;top:928;width:71;height:240;mso-wrap-style:none" filled="f" stroked="f">
              <v:textbox style="mso-fit-shape-to-text:t" inset="0,0,0,0">
                <w:txbxContent>
                  <w:p w:rsidR="00A905B7" w:rsidRPr="00C03E8C" w:rsidRDefault="00A905B7">
                    <w:r w:rsidRPr="00C03E8C">
                      <w:rPr>
                        <w:iCs/>
                        <w:color w:val="000000"/>
                        <w:sz w:val="14"/>
                        <w:szCs w:val="14"/>
                      </w:rPr>
                      <w:t>p</w:t>
                    </w:r>
                  </w:p>
                </w:txbxContent>
              </v:textbox>
            </v:rect>
            <v:rect id="_x0000_s5102" style="position:absolute;left:4502;top:847;width:71;height:240;mso-wrap-style:none" filled="f" stroked="f">
              <v:textbox style="mso-fit-shape-to-text:t" inset="0,0,0,0">
                <w:txbxContent>
                  <w:p w:rsidR="00A905B7" w:rsidRPr="00C03E8C" w:rsidRDefault="00A905B7">
                    <w:r w:rsidRPr="00C03E8C">
                      <w:rPr>
                        <w:iCs/>
                        <w:color w:val="000000"/>
                        <w:sz w:val="14"/>
                        <w:szCs w:val="14"/>
                      </w:rPr>
                      <w:t>4</w:t>
                    </w:r>
                  </w:p>
                </w:txbxContent>
              </v:textbox>
            </v:rect>
            <v:rect id="_x0000_s5103" style="position:absolute;left:4384;top:948;width:102;height:240;mso-wrap-style:none" filled="f" stroked="f">
              <v:textbox style="mso-fit-shape-to-text:t" inset="0,0,0,0">
                <w:txbxContent>
                  <w:p w:rsidR="00A905B7" w:rsidRPr="00C03E8C" w:rsidRDefault="00A905B7">
                    <w:r w:rsidRPr="00C03E8C">
                      <w:rPr>
                        <w:iCs/>
                        <w:color w:val="000000"/>
                        <w:sz w:val="14"/>
                        <w:szCs w:val="14"/>
                      </w:rPr>
                      <w:t>D</w:t>
                    </w:r>
                  </w:p>
                </w:txbxContent>
              </v:textbox>
            </v:rect>
            <v:rect id="_x0000_s5104" style="position:absolute;left:3226;top:638;width:386;height:240;mso-wrap-style:none" filled="f" stroked="f">
              <v:textbox style="mso-fit-shape-to-text:t" inset="0,0,0,0">
                <w:txbxContent>
                  <w:p w:rsidR="00A905B7" w:rsidRPr="00C03E8C" w:rsidRDefault="00A905B7">
                    <w:r w:rsidRPr="00C03E8C">
                      <w:rPr>
                        <w:iCs/>
                        <w:color w:val="000000"/>
                        <w:sz w:val="14"/>
                        <w:szCs w:val="14"/>
                      </w:rPr>
                      <w:t>1.7143</w:t>
                    </w:r>
                  </w:p>
                </w:txbxContent>
              </v:textbox>
            </v:rect>
            <v:rect id="_x0000_s5105" style="position:absolute;left:3142;top:708;width:71;height:240;mso-wrap-style:none" filled="f" stroked="f">
              <v:textbox style="mso-fit-shape-to-text:t" inset="0,0,0,0">
                <w:txbxContent>
                  <w:p w:rsidR="00A905B7" w:rsidRPr="00C03E8C" w:rsidRDefault="00A905B7">
                    <w:r w:rsidRPr="00C03E8C">
                      <w:rPr>
                        <w:iCs/>
                        <w:color w:val="000000"/>
                        <w:sz w:val="14"/>
                        <w:szCs w:val="14"/>
                      </w:rPr>
                      <w:t>p</w:t>
                    </w:r>
                  </w:p>
                </w:txbxContent>
              </v:textbox>
            </v:rect>
            <v:rect id="_x0000_s5106" style="position:absolute;left:2425;top:638;width:386;height:240;mso-wrap-style:none" filled="f" stroked="f">
              <v:textbox style="mso-fit-shape-to-text:t" inset="0,0,0,0">
                <w:txbxContent>
                  <w:p w:rsidR="00A905B7" w:rsidRPr="00C03E8C" w:rsidRDefault="00A905B7">
                    <w:r w:rsidRPr="00C03E8C">
                      <w:rPr>
                        <w:iCs/>
                        <w:color w:val="000000"/>
                        <w:sz w:val="14"/>
                        <w:szCs w:val="14"/>
                      </w:rPr>
                      <w:t>1.4286</w:t>
                    </w:r>
                  </w:p>
                </w:txbxContent>
              </v:textbox>
            </v:rect>
            <v:rect id="_x0000_s5107" style="position:absolute;left:2341;top:718;width:71;height:240;mso-wrap-style:none" filled="f" stroked="f">
              <v:textbox style="mso-fit-shape-to-text:t" inset="0,0,0,0">
                <w:txbxContent>
                  <w:p w:rsidR="00A905B7" w:rsidRPr="00C03E8C" w:rsidRDefault="00A905B7">
                    <w:r w:rsidRPr="00C03E8C">
                      <w:rPr>
                        <w:iCs/>
                        <w:color w:val="000000"/>
                        <w:sz w:val="14"/>
                        <w:szCs w:val="14"/>
                      </w:rPr>
                      <w:t>p</w:t>
                    </w:r>
                  </w:p>
                </w:txbxContent>
              </v:textbox>
            </v:rect>
            <v:rect id="_x0000_s5108" style="position:absolute;left:1273;top:717;width:71;height:240;mso-wrap-style:none" filled="f" stroked="f">
              <v:textbox style="mso-fit-shape-to-text:t" inset="0,0,0,0">
                <w:txbxContent>
                  <w:p w:rsidR="00A905B7" w:rsidRPr="00C03E8C" w:rsidRDefault="00A905B7">
                    <w:r w:rsidRPr="00C03E8C">
                      <w:rPr>
                        <w:iCs/>
                        <w:color w:val="000000"/>
                        <w:sz w:val="14"/>
                        <w:szCs w:val="14"/>
                      </w:rPr>
                      <w:t>p</w:t>
                    </w:r>
                  </w:p>
                </w:txbxContent>
              </v:textbox>
            </v:rect>
            <v:rect id="_x0000_s5109" style="position:absolute;left:811;top:638;width:73;height:240;mso-wrap-style:none" filled="f" stroked="f">
              <v:textbox style="mso-fit-shape-to-text:t" inset="0,0,0,0">
                <w:txbxContent>
                  <w:p w:rsidR="00A905B7" w:rsidRPr="00602B9A" w:rsidRDefault="00A905B7">
                    <w:r w:rsidRPr="00602B9A">
                      <w:rPr>
                        <w:iCs/>
                        <w:color w:val="000000"/>
                        <w:sz w:val="14"/>
                        <w:szCs w:val="14"/>
                      </w:rPr>
                      <w:t>2</w:t>
                    </w:r>
                  </w:p>
                </w:txbxContent>
              </v:textbox>
            </v:rect>
            <v:rect id="_x0000_s5110" style="position:absolute;left:689;top:757;width:102;height:240;mso-wrap-style:none" filled="f" stroked="f">
              <v:textbox style="mso-fit-shape-to-text:t" inset="0,0,0,0">
                <w:txbxContent>
                  <w:p w:rsidR="00A905B7" w:rsidRPr="00C03E8C" w:rsidRDefault="00A905B7">
                    <w:r w:rsidRPr="00C03E8C">
                      <w:rPr>
                        <w:iCs/>
                        <w:color w:val="000000"/>
                        <w:sz w:val="14"/>
                        <w:szCs w:val="14"/>
                      </w:rPr>
                      <w:t>V</w:t>
                    </w:r>
                  </w:p>
                </w:txbxContent>
              </v:textbox>
            </v:rect>
            <v:rect id="_x0000_s5111" style="position:absolute;left:3043;top:66;width:257;height:240;mso-wrap-style:none" filled="f" stroked="f">
              <v:textbox style="mso-fit-shape-to-text:t" inset="0,0,0,0">
                <w:txbxContent>
                  <w:p w:rsidR="00A905B7" w:rsidRPr="00C03E8C" w:rsidRDefault="00A905B7">
                    <w:r w:rsidRPr="00C03E8C">
                      <w:rPr>
                        <w:iCs/>
                        <w:color w:val="000000"/>
                        <w:sz w:val="14"/>
                        <w:szCs w:val="14"/>
                      </w:rPr>
                      <w:t>SSV</w:t>
                    </w:r>
                  </w:p>
                </w:txbxContent>
              </v:textbox>
            </v:rect>
            <v:rect id="_x0000_s5112" style="position:absolute;left:169;top:258;width:71;height:240;mso-wrap-style:none" filled="f" stroked="f">
              <v:textbox style="mso-fit-shape-to-text:t" inset="0,0,0,0">
                <w:txbxContent>
                  <w:p w:rsidR="00A905B7" w:rsidRPr="006C35FE" w:rsidRDefault="00A905B7">
                    <w:r w:rsidRPr="006C35FE">
                      <w:rPr>
                        <w:iCs/>
                        <w:color w:val="000000"/>
                        <w:sz w:val="14"/>
                        <w:szCs w:val="14"/>
                      </w:rPr>
                      <w:t>d</w:t>
                    </w:r>
                  </w:p>
                </w:txbxContent>
              </v:textbox>
            </v:rect>
            <v:rect id="_x0000_s5113" style="position:absolute;left:4797;top:883;width:67;height:240;mso-wrap-style:none" filled="f" stroked="f">
              <v:textbox style="mso-fit-shape-to-text:t" inset="0,0,0,0">
                <w:txbxContent>
                  <w:p w:rsidR="00A905B7" w:rsidRPr="00C03E8C" w:rsidRDefault="00A905B7">
                    <w:r w:rsidRPr="00C03E8C">
                      <w:rPr>
                        <w:iCs/>
                        <w:color w:val="000000"/>
                        <w:szCs w:val="24"/>
                      </w:rPr>
                      <w:t>r</w:t>
                    </w:r>
                  </w:p>
                </w:txbxContent>
              </v:textbox>
            </v:rect>
            <v:rect id="_x0000_s5114" style="position:absolute;left:4303;top:883;width:67;height:240;mso-wrap-style:none" filled="f" stroked="f">
              <v:textbox style="mso-fit-shape-to-text:t" inset="0,0,0,0">
                <w:txbxContent>
                  <w:p w:rsidR="00A905B7" w:rsidRPr="00C03E8C" w:rsidRDefault="00A905B7">
                    <w:r w:rsidRPr="00C03E8C">
                      <w:rPr>
                        <w:iCs/>
                        <w:color w:val="000000"/>
                        <w:szCs w:val="24"/>
                      </w:rPr>
                      <w:t>r</w:t>
                    </w:r>
                  </w:p>
                </w:txbxContent>
              </v:textbox>
            </v:rect>
            <v:rect id="_x0000_s5115" style="position:absolute;left:3986;top:883;width:101;height:240;mso-wrap-style:none" filled="f" stroked="f">
              <v:textbox style="mso-fit-shape-to-text:t" inset="0,0,0,0">
                <w:txbxContent>
                  <w:p w:rsidR="00A905B7" w:rsidRPr="00C03E8C" w:rsidRDefault="00A905B7">
                    <w:r w:rsidRPr="00C03E8C">
                      <w:rPr>
                        <w:iCs/>
                        <w:color w:val="000000"/>
                        <w:szCs w:val="24"/>
                      </w:rPr>
                      <w:t>1</w:t>
                    </w:r>
                  </w:p>
                </w:txbxContent>
              </v:textbox>
            </v:rect>
            <v:rect id="_x0000_s5116" style="position:absolute;left:4633;top:522;width:101;height:240;mso-wrap-style:none" filled="f" stroked="f">
              <v:textbox style="mso-fit-shape-to-text:t" inset="0,0,0,0">
                <w:txbxContent>
                  <w:p w:rsidR="00A905B7" w:rsidRPr="00C03E8C" w:rsidRDefault="00A905B7">
                    <w:r w:rsidRPr="00C03E8C">
                      <w:rPr>
                        <w:iCs/>
                        <w:color w:val="000000"/>
                        <w:szCs w:val="24"/>
                      </w:rPr>
                      <w:t>1</w:t>
                    </w:r>
                  </w:p>
                </w:txbxContent>
              </v:textbox>
            </v:rect>
            <v:rect id="_x0000_s5117" style="position:absolute;left:3048;top:674;width:67;height:240;mso-wrap-style:none" filled="f" stroked="f">
              <v:textbox style="mso-fit-shape-to-text:t" inset="0,0,0,0">
                <w:txbxContent>
                  <w:p w:rsidR="00A905B7" w:rsidRPr="00C03E8C" w:rsidRDefault="00A905B7">
                    <w:pPr>
                      <w:rPr>
                        <w:i/>
                      </w:rPr>
                    </w:pPr>
                    <w:r w:rsidRPr="00C03E8C">
                      <w:rPr>
                        <w:iCs/>
                        <w:color w:val="000000"/>
                        <w:szCs w:val="24"/>
                      </w:rPr>
                      <w:t>r</w:t>
                    </w:r>
                  </w:p>
                </w:txbxContent>
              </v:textbox>
            </v:rect>
            <v:rect id="_x0000_s5118" style="position:absolute;left:2247;top:674;width:67;height:240;mso-wrap-style:none" filled="f" stroked="f">
              <v:textbox style="mso-fit-shape-to-text:t" inset="0,0,0,0">
                <w:txbxContent>
                  <w:p w:rsidR="00A905B7" w:rsidRPr="00C03E8C" w:rsidRDefault="00A905B7">
                    <w:r w:rsidRPr="00C03E8C">
                      <w:rPr>
                        <w:iCs/>
                        <w:color w:val="000000"/>
                        <w:szCs w:val="24"/>
                      </w:rPr>
                      <w:t>r</w:t>
                    </w:r>
                  </w:p>
                </w:txbxContent>
              </v:textbox>
            </v:rect>
            <v:rect id="_x0000_s5119" style="position:absolute;left:1824;top:861;width:123;height:240;mso-wrap-style:none" filled="f" stroked="f">
              <v:textbox style="mso-fit-shape-to-text:t" inset="0,0,0,0">
                <w:txbxContent>
                  <w:p w:rsidR="00A905B7" w:rsidRPr="00C03E8C" w:rsidRDefault="00A905B7">
                    <w:r w:rsidRPr="00C03E8C">
                      <w:rPr>
                        <w:iCs/>
                        <w:color w:val="000000"/>
                        <w:szCs w:val="24"/>
                      </w:rPr>
                      <w:t>T</w:t>
                    </w:r>
                  </w:p>
                </w:txbxContent>
              </v:textbox>
            </v:rect>
            <v:rect id="_x0000_s5120" style="position:absolute;left:1853;top:522;width:101;height:240;mso-wrap-style:none" filled="f" stroked="f">
              <v:textbox style="mso-fit-shape-to-text:t" inset="0,0,0,0">
                <w:txbxContent>
                  <w:p w:rsidR="00A905B7" w:rsidRPr="00C03E8C" w:rsidRDefault="00A905B7">
                    <w:r w:rsidRPr="00C03E8C">
                      <w:rPr>
                        <w:iCs/>
                        <w:color w:val="000000"/>
                        <w:szCs w:val="24"/>
                      </w:rPr>
                      <w:t>1</w:t>
                    </w:r>
                  </w:p>
                </w:txbxContent>
              </v:textbox>
            </v:rect>
            <v:rect id="_x0000_s5121" style="position:absolute;left:1133;top:674;width:101;height:240;mso-wrap-style:none" filled="f" stroked="f">
              <v:textbox style="mso-fit-shape-to-text:t" inset="0,0,0,0">
                <w:txbxContent>
                  <w:p w:rsidR="00A905B7" w:rsidRPr="00C03E8C" w:rsidRDefault="00A905B7">
                    <w:r w:rsidRPr="00C03E8C">
                      <w:rPr>
                        <w:iCs/>
                        <w:color w:val="000000"/>
                        <w:szCs w:val="24"/>
                      </w:rPr>
                      <w:t>p</w:t>
                    </w:r>
                  </w:p>
                </w:txbxContent>
              </v:textbox>
            </v:rect>
            <v:rect id="_x0000_s5122" style="position:absolute;left:566;top:674;width:101;height:240;mso-wrap-style:none" filled="f" stroked="f">
              <v:textbox style="mso-fit-shape-to-text:t" inset="0,0,0,0">
                <w:txbxContent>
                  <w:p w:rsidR="00A905B7" w:rsidRPr="00C03E8C" w:rsidRDefault="00A905B7">
                    <w:r w:rsidRPr="00C03E8C">
                      <w:rPr>
                        <w:iCs/>
                        <w:color w:val="000000"/>
                        <w:szCs w:val="24"/>
                      </w:rPr>
                      <w:t>d</w:t>
                    </w:r>
                  </w:p>
                </w:txbxContent>
              </v:textbox>
            </v:rect>
            <v:rect id="_x0000_s5124" style="position:absolute;left:27;top:186;width:134;height:240;mso-wrap-style:none" filled="f" stroked="f">
              <v:textbox style="mso-fit-shape-to-text:t" inset="0,0,0,0">
                <w:txbxContent>
                  <w:p w:rsidR="00A905B7" w:rsidRPr="00C03E8C" w:rsidRDefault="00A905B7">
                    <w:r w:rsidRPr="00C03E8C">
                      <w:rPr>
                        <w:iCs/>
                        <w:color w:val="000000"/>
                        <w:szCs w:val="24"/>
                      </w:rPr>
                      <w:t>C</w:t>
                    </w:r>
                  </w:p>
                </w:txbxContent>
              </v:textbox>
            </v:rect>
            <w10:wrap type="none"/>
            <w10:anchorlock/>
          </v:group>
        </w:pict>
      </w:r>
      <w:r w:rsidRPr="007A0831">
        <w:rPr>
          <w:position w:val="60"/>
          <w:lang w:val="en-GB"/>
        </w:rPr>
        <w:tab/>
        <w:t>(89)</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002BA6" w:rsidP="00002BA6">
      <w:pPr>
        <w:pStyle w:val="a"/>
        <w:rPr>
          <w:lang w:val="en-GB"/>
        </w:rPr>
      </w:pPr>
      <w:r w:rsidRPr="00B04DC3">
        <w:rPr>
          <w:lang w:val="en-GB"/>
        </w:rPr>
        <w:t>Q</w:t>
      </w:r>
      <w:r w:rsidRPr="00B04DC3">
        <w:rPr>
          <w:vertAlign w:val="subscript"/>
          <w:lang w:val="en-GB"/>
        </w:rPr>
        <w:t>SSV</w:t>
      </w:r>
      <w:r w:rsidRPr="00B04DC3">
        <w:rPr>
          <w:lang w:val="en-GB"/>
        </w:rPr>
        <w:tab/>
        <w:t>is the airflow rate at standard conditions (101.3 kPa, 273 K), m</w:t>
      </w:r>
      <w:r w:rsidRPr="00B04DC3">
        <w:rPr>
          <w:vertAlign w:val="superscript"/>
          <w:lang w:val="en-GB"/>
        </w:rPr>
        <w:t>3</w:t>
      </w:r>
      <w:r w:rsidRPr="00B04DC3">
        <w:rPr>
          <w:lang w:val="en-GB"/>
        </w:rPr>
        <w:t>/s</w:t>
      </w:r>
    </w:p>
    <w:p w:rsidR="00002BA6" w:rsidRPr="00B04DC3" w:rsidRDefault="00002BA6" w:rsidP="00002BA6">
      <w:pPr>
        <w:pStyle w:val="a"/>
        <w:rPr>
          <w:lang w:val="en-GB"/>
        </w:rPr>
      </w:pPr>
      <w:r w:rsidRPr="00B04DC3">
        <w:rPr>
          <w:lang w:val="en-GB"/>
        </w:rPr>
        <w:t>T</w:t>
      </w:r>
      <w:r w:rsidRPr="00B04DC3">
        <w:rPr>
          <w:lang w:val="en-GB"/>
        </w:rPr>
        <w:tab/>
        <w:t>is the temperature at the venturi inlet, K</w:t>
      </w:r>
    </w:p>
    <w:p w:rsidR="00002BA6" w:rsidRPr="00B04DC3" w:rsidRDefault="00002BA6" w:rsidP="00002BA6">
      <w:pPr>
        <w:pStyle w:val="a"/>
        <w:rPr>
          <w:lang w:val="en-GB"/>
        </w:rPr>
      </w:pPr>
      <w:r w:rsidRPr="00B04DC3">
        <w:rPr>
          <w:lang w:val="en-GB"/>
        </w:rPr>
        <w:t>d</w:t>
      </w:r>
      <w:r w:rsidRPr="00B04DC3">
        <w:rPr>
          <w:vertAlign w:val="subscript"/>
          <w:lang w:val="en-GB"/>
        </w:rPr>
        <w:t>V</w:t>
      </w:r>
      <w:r w:rsidRPr="00B04DC3">
        <w:rPr>
          <w:lang w:val="en-GB"/>
        </w:rPr>
        <w:tab/>
        <w:t>is the diameter of the SSV throat, m</w:t>
      </w:r>
    </w:p>
    <w:p w:rsidR="00002BA6" w:rsidRPr="00B04DC3" w:rsidRDefault="00002BA6" w:rsidP="00002BA6">
      <w:pPr>
        <w:pStyle w:val="a"/>
        <w:rPr>
          <w:lang w:val="en-GB"/>
        </w:rPr>
      </w:pPr>
      <w:r w:rsidRPr="00B04DC3">
        <w:rPr>
          <w:lang w:val="en-GB"/>
        </w:rPr>
        <w:t>r</w:t>
      </w:r>
      <w:r w:rsidRPr="00B04DC3">
        <w:rPr>
          <w:vertAlign w:val="subscript"/>
          <w:lang w:val="en-GB"/>
        </w:rPr>
        <w:t>p</w:t>
      </w:r>
      <w:r w:rsidRPr="00B04DC3">
        <w:rPr>
          <w:lang w:val="en-GB"/>
        </w:rPr>
        <w:tab/>
        <w:t xml:space="preserve">is the ratio of the SSV throat to inlet absolute static pressure = </w:t>
      </w:r>
      <w:r w:rsidR="00A905B7">
        <w:rPr>
          <w:lang w:val="en-GB"/>
        </w:rPr>
      </w:r>
      <w:r w:rsidR="00A905B7">
        <w:rPr>
          <w:lang w:val="en-GB"/>
        </w:rPr>
        <w:pict>
          <v:group id="_x0000_s5125" editas="canvas" style="width:35.3pt;height:38.15pt;mso-position-horizontal-relative:char;mso-position-vertical-relative:line" coordorigin=",-12" coordsize="706,763">
            <o:lock v:ext="edit" aspectratio="t"/>
            <v:shape id="_x0000_s5126" type="#_x0000_t75" style="position:absolute;top:-12;width:706;height:763" o:preferrelative="f">
              <v:fill o:detectmouseclick="t"/>
              <v:path o:extrusionok="t" o:connecttype="none"/>
              <o:lock v:ext="edit" text="t"/>
            </v:shape>
            <v:line id="_x0000_s5127" style="position:absolute" from="340,320" to="639,320" strokeweight=".5pt"/>
            <v:rect id="_x0000_s5128" style="position:absolute;left:487;top:425;width:71;height:240;mso-wrap-style:none" filled="f" stroked="f">
              <v:textbox style="mso-fit-shape-to-text:t" inset="0,0,0,0">
                <w:txbxContent>
                  <w:p w:rsidR="00A905B7" w:rsidRDefault="00A905B7">
                    <w:r>
                      <w:rPr>
                        <w:color w:val="000000"/>
                        <w:sz w:val="14"/>
                        <w:szCs w:val="14"/>
                      </w:rPr>
                      <w:t>p</w:t>
                    </w:r>
                  </w:p>
                </w:txbxContent>
              </v:textbox>
            </v:rect>
            <v:rect id="_x0000_s5129" style="position:absolute;left:10;top:166;width:101;height:240;mso-wrap-style:none" filled="f" stroked="f">
              <v:textbox style="mso-fit-shape-to-text:t" inset="0,0,0,0">
                <w:txbxContent>
                  <w:p w:rsidR="00A905B7" w:rsidRDefault="00A905B7">
                    <w:r>
                      <w:rPr>
                        <w:color w:val="000000"/>
                        <w:szCs w:val="24"/>
                      </w:rPr>
                      <w:t>1</w:t>
                    </w:r>
                  </w:p>
                </w:txbxContent>
              </v:textbox>
            </v:rect>
            <v:rect id="_x0000_s5130" style="position:absolute;left:389;top:354;width:101;height:240;mso-wrap-style:none" filled="f" stroked="f">
              <v:textbox style="mso-fit-shape-to-text:t" inset="0,0,0,0">
                <w:txbxContent>
                  <w:p w:rsidR="00A905B7" w:rsidRPr="009C4EC4" w:rsidRDefault="00A905B7">
                    <w:r w:rsidRPr="009C4EC4">
                      <w:rPr>
                        <w:iCs/>
                        <w:color w:val="000000"/>
                        <w:szCs w:val="24"/>
                      </w:rPr>
                      <w:t>p</w:t>
                    </w:r>
                  </w:p>
                </w:txbxContent>
              </v:textbox>
            </v:rect>
            <v:rect id="_x0000_s5131" style="position:absolute;left:503;top:15;width:101;height:240;mso-wrap-style:none" filled="f" stroked="f">
              <v:textbox style="mso-fit-shape-to-text:t" inset="0,0,0,0">
                <w:txbxContent>
                  <w:p w:rsidR="00A905B7" w:rsidRPr="009C4EC4" w:rsidRDefault="00A905B7">
                    <w:r w:rsidRPr="009C4EC4">
                      <w:rPr>
                        <w:iCs/>
                        <w:color w:val="000000"/>
                        <w:szCs w:val="24"/>
                      </w:rPr>
                      <w:t>p</w:t>
                    </w:r>
                  </w:p>
                </w:txbxContent>
              </v:textbox>
            </v:rect>
            <v:rect id="_x0000_s5132" style="position:absolute;left:356;top:-12;width:123;height:245;mso-wrap-style:none" filled="f" stroked="f">
              <v:textbox style="mso-fit-shape-to-text:t" inset="0,0,0,0">
                <w:txbxContent>
                  <w:p w:rsidR="00A905B7" w:rsidRPr="009C4EC4" w:rsidRDefault="00A905B7">
                    <w:r w:rsidRPr="009C4EC4">
                      <w:rPr>
                        <w:rFonts w:ascii="Symbol" w:hAnsi="Symbol" w:cs="Symbol"/>
                        <w:color w:val="000000"/>
                        <w:szCs w:val="24"/>
                      </w:rPr>
                      <w:t></w:t>
                    </w:r>
                  </w:p>
                </w:txbxContent>
              </v:textbox>
            </v:rect>
            <v:rect id="_x0000_s5133" style="position:absolute;left:156;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p>
    <w:p w:rsidR="00002BA6" w:rsidRPr="00B04DC3" w:rsidRDefault="00002BA6" w:rsidP="00002BA6">
      <w:pPr>
        <w:pStyle w:val="a"/>
        <w:rPr>
          <w:lang w:val="en-GB"/>
        </w:rPr>
      </w:pPr>
      <w:r w:rsidRPr="00B04DC3">
        <w:rPr>
          <w:lang w:val="en-GB"/>
        </w:rPr>
        <w:t>r</w:t>
      </w:r>
      <w:r w:rsidRPr="00B04DC3">
        <w:rPr>
          <w:vertAlign w:val="subscript"/>
          <w:lang w:val="en-GB"/>
        </w:rPr>
        <w:t>D</w:t>
      </w:r>
      <w:r w:rsidRPr="00B04DC3">
        <w:rPr>
          <w:lang w:val="en-GB"/>
        </w:rPr>
        <w:tab/>
        <w:t>is the ratio of the SSV throat diameter, d</w:t>
      </w:r>
      <w:r w:rsidRPr="00B04DC3">
        <w:rPr>
          <w:vertAlign w:val="subscript"/>
          <w:lang w:val="en-GB"/>
        </w:rPr>
        <w:t>V</w:t>
      </w:r>
      <w:r w:rsidRPr="00B04DC3">
        <w:rPr>
          <w:lang w:val="en-GB"/>
        </w:rPr>
        <w:t>, to the inlet pipe inner diameter D</w:t>
      </w:r>
    </w:p>
    <w:p w:rsidR="00002BA6" w:rsidRDefault="00002BA6" w:rsidP="00002BA6">
      <w:pPr>
        <w:pStyle w:val="para"/>
        <w:rPr>
          <w:lang w:val="en-GB"/>
        </w:rPr>
      </w:pPr>
      <w:r w:rsidRPr="00B04DC3">
        <w:rPr>
          <w:lang w:val="en-GB"/>
        </w:rPr>
        <w:tab/>
        <w:t>To determine the range of subsonic flow, C</w:t>
      </w:r>
      <w:r w:rsidRPr="00B04DC3">
        <w:rPr>
          <w:vertAlign w:val="subscript"/>
          <w:lang w:val="en-GB"/>
        </w:rPr>
        <w:t>d</w:t>
      </w:r>
      <w:r w:rsidRPr="00B04DC3">
        <w:rPr>
          <w:lang w:val="en-GB"/>
        </w:rPr>
        <w:t xml:space="preserve"> shall be plotted as a function of Reynolds number Re, at the SSV throat. The Re at the SSV throat shall be calculated with the following equation:</w:t>
      </w:r>
    </w:p>
    <w:p w:rsidR="00002BA6" w:rsidRPr="00B04DC3" w:rsidRDefault="00977ED8" w:rsidP="004D739A">
      <w:pPr>
        <w:pStyle w:val="para"/>
        <w:tabs>
          <w:tab w:val="right" w:pos="8500"/>
        </w:tabs>
        <w:spacing w:after="0"/>
        <w:rPr>
          <w:lang w:val="en-GB"/>
        </w:rPr>
      </w:pPr>
      <w:r>
        <w:rPr>
          <w:lang w:val="en-GB"/>
        </w:rPr>
        <w:tab/>
      </w:r>
      <w:r w:rsidR="007A0831" w:rsidRPr="00977ED8">
        <w:rPr>
          <w:position w:val="-30"/>
          <w:lang w:val="en-GB"/>
        </w:rPr>
        <w:object w:dxaOrig="1660" w:dyaOrig="680">
          <v:shape id="_x0000_i1294" type="#_x0000_t75" style="width:69.6pt;height:28.2pt" o:ole="">
            <v:imagedata r:id="rId433" o:title=""/>
          </v:shape>
          <o:OLEObject Type="Embed" ProgID="Equation.3" ShapeID="_x0000_i1294" DrawAspect="Content" ObjectID="_1498392373" r:id="rId434"/>
        </w:object>
      </w:r>
      <w:r w:rsidR="00002BA6" w:rsidRPr="00B04DC3">
        <w:rPr>
          <w:lang w:val="en-GB"/>
        </w:rPr>
        <w:tab/>
      </w:r>
      <w:r w:rsidR="004D739A">
        <w:rPr>
          <w:lang w:val="en-GB"/>
        </w:rPr>
        <w:t xml:space="preserve"> </w:t>
      </w:r>
      <w:r w:rsidR="00002BA6" w:rsidRPr="00B04DC3">
        <w:rPr>
          <w:lang w:val="en-GB"/>
        </w:rPr>
        <w:t>(90)</w:t>
      </w:r>
    </w:p>
    <w:p w:rsidR="00002BA6" w:rsidRPr="00B04DC3" w:rsidRDefault="00002BA6" w:rsidP="00002BA6">
      <w:pPr>
        <w:pStyle w:val="para"/>
        <w:rPr>
          <w:lang w:val="en-GB"/>
        </w:rPr>
      </w:pPr>
      <w:r w:rsidRPr="00B04DC3">
        <w:rPr>
          <w:lang w:val="en-GB"/>
        </w:rPr>
        <w:tab/>
      </w:r>
      <w:r w:rsidR="007A0831">
        <w:rPr>
          <w:lang w:val="en-GB"/>
        </w:rPr>
        <w:t>w</w:t>
      </w:r>
      <w:r w:rsidR="00ED6381" w:rsidRPr="00B04DC3">
        <w:rPr>
          <w:lang w:val="en-GB"/>
        </w:rPr>
        <w:t>ith</w:t>
      </w:r>
      <w:r w:rsidR="00251F29">
        <w:rPr>
          <w:lang w:val="en-GB"/>
        </w:rPr>
        <w:t>:</w:t>
      </w:r>
    </w:p>
    <w:p w:rsidR="00002BA6" w:rsidRPr="00B04DC3" w:rsidRDefault="00A905B7" w:rsidP="00A85DE8">
      <w:pPr>
        <w:pStyle w:val="para"/>
        <w:tabs>
          <w:tab w:val="right" w:pos="8500"/>
        </w:tabs>
        <w:spacing w:after="0"/>
        <w:rPr>
          <w:lang w:val="en-GB"/>
        </w:rPr>
      </w:pPr>
      <w:r>
        <w:rPr>
          <w:noProof/>
          <w:lang w:val="en-GB" w:eastAsia="en-GB"/>
        </w:rPr>
        <w:pict>
          <v:rect id="_x0000_s5160" style="position:absolute;left:0;text-align:left;margin-left:157.6pt;margin-top:-3.75pt;width:8.8pt;height:12pt;z-index:251646976;mso-wrap-style:none" filled="f" stroked="f">
            <v:textbox style="mso-fit-shape-to-text:t" inset="0,0,0,0">
              <w:txbxContent>
                <w:p w:rsidR="00A905B7" w:rsidRDefault="00A905B7">
                  <w:r>
                    <w:rPr>
                      <w:color w:val="000000"/>
                      <w:sz w:val="14"/>
                      <w:szCs w:val="14"/>
                    </w:rPr>
                    <w:t>1.5</w:t>
                  </w:r>
                </w:p>
              </w:txbxContent>
            </v:textbox>
          </v:rect>
        </w:pict>
      </w:r>
      <w:r w:rsidR="00002BA6" w:rsidRPr="00B04DC3">
        <w:rPr>
          <w:lang w:val="en-GB"/>
        </w:rPr>
        <w:tab/>
      </w:r>
      <w:r>
        <w:rPr>
          <w:lang w:val="en-GB"/>
        </w:rPr>
      </w:r>
      <w:r>
        <w:rPr>
          <w:lang w:val="en-GB"/>
        </w:rPr>
        <w:pict>
          <v:group id="_x0000_s5148" editas="canvas" style="width:61pt;height:31.7pt;mso-position-horizontal-relative:char;mso-position-vertical-relative:line" coordsize="1220,634">
            <o:lock v:ext="edit" aspectratio="t"/>
            <v:shape id="_x0000_s5149" type="#_x0000_t75" style="position:absolute;width:1220;height:634" o:preferrelative="f">
              <v:fill o:detectmouseclick="t"/>
              <v:path o:extrusionok="t" o:connecttype="none"/>
              <o:lock v:ext="edit" text="t"/>
            </v:shape>
            <v:line id="_x0000_s5150" style="position:absolute" from="456,360" to="1166,360" strokeweight=".5pt"/>
            <v:rect id="_x0000_s5151" style="position:absolute;left:898;top:394;width:123;height:240;mso-wrap-style:none" filled="f" stroked="f">
              <v:textbox style="mso-fit-shape-to-text:t" inset="0,0,0,0">
                <w:txbxContent>
                  <w:p w:rsidR="00A905B7" w:rsidRPr="009C4EC4" w:rsidRDefault="00A905B7">
                    <w:r w:rsidRPr="009C4EC4">
                      <w:rPr>
                        <w:iCs/>
                        <w:color w:val="000000"/>
                        <w:szCs w:val="24"/>
                      </w:rPr>
                      <w:t>T</w:t>
                    </w:r>
                  </w:p>
                </w:txbxContent>
              </v:textbox>
            </v:rect>
            <v:rect id="_x0000_s5152" style="position:absolute;left:784;top:55;width:123;height:240;mso-wrap-style:none" filled="f" stroked="f">
              <v:textbox style="mso-fit-shape-to-text:t" inset="0,0,0,0">
                <w:txbxContent>
                  <w:p w:rsidR="00A905B7" w:rsidRPr="009C4EC4" w:rsidRDefault="00A905B7">
                    <w:r w:rsidRPr="009C4EC4">
                      <w:rPr>
                        <w:iCs/>
                        <w:color w:val="000000"/>
                        <w:szCs w:val="24"/>
                      </w:rPr>
                      <w:t>T</w:t>
                    </w:r>
                  </w:p>
                </w:txbxContent>
              </v:textbox>
            </v:rect>
            <v:rect id="_x0000_s5153" style="position:absolute;left:729;top:36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154" style="position:absolute;left:626;top:28;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155" style="position:absolute;left:258;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156" style="position:absolute;left:557;top:394;width:112;height:240;mso-wrap-style:none" filled="f" stroked="f">
              <v:textbox style="mso-fit-shape-to-text:t" inset="0,0,0,0">
                <w:txbxContent>
                  <w:p w:rsidR="00A905B7" w:rsidRDefault="00A905B7">
                    <w:r>
                      <w:rPr>
                        <w:color w:val="000000"/>
                        <w:szCs w:val="24"/>
                      </w:rPr>
                      <w:t>S</w:t>
                    </w:r>
                  </w:p>
                </w:txbxContent>
              </v:textbox>
            </v:rect>
            <v:rect id="_x0000_s5157" style="position:absolute;left:473;top:55;width:101;height:240;mso-wrap-style:none" filled="f" stroked="f">
              <v:textbox style="mso-fit-shape-to-text:t" inset="0,0,0,0">
                <w:txbxContent>
                  <w:p w:rsidR="00A905B7" w:rsidRDefault="00A905B7">
                    <w:r>
                      <w:rPr>
                        <w:color w:val="000000"/>
                        <w:szCs w:val="24"/>
                      </w:rPr>
                      <w:t>b</w:t>
                    </w:r>
                  </w:p>
                </w:txbxContent>
              </v:textbox>
            </v:rect>
            <v:rect id="_x0000_s5161" style="position:absolute;left:40;top:179;width:116;height:245;mso-wrap-style:none" filled="f" stroked="f">
              <v:textbox style="mso-fit-shape-to-text:t" inset="0,0,0,0">
                <w:txbxContent>
                  <w:p w:rsidR="00A905B7" w:rsidRPr="009C4EC4" w:rsidRDefault="00A905B7">
                    <w:r w:rsidRPr="009C4EC4">
                      <w:rPr>
                        <w:rFonts w:ascii="Symbol" w:hAnsi="Symbol" w:cs="Symbol"/>
                        <w:iCs/>
                        <w:color w:val="000000"/>
                        <w:szCs w:val="24"/>
                      </w:rPr>
                      <w:t></w:t>
                    </w:r>
                  </w:p>
                </w:txbxContent>
              </v:textbox>
            </v:rect>
            <w10:wrap type="none"/>
            <w10:anchorlock/>
          </v:group>
        </w:pict>
      </w:r>
      <w:r w:rsidR="00002BA6" w:rsidRPr="00B04DC3">
        <w:rPr>
          <w:lang w:val="en-GB"/>
        </w:rPr>
        <w:tab/>
        <w:t>(91)</w:t>
      </w:r>
    </w:p>
    <w:p w:rsidR="00002BA6" w:rsidRPr="00B04DC3" w:rsidRDefault="00002BA6" w:rsidP="00002BA6">
      <w:pPr>
        <w:pStyle w:val="para"/>
        <w:rPr>
          <w:lang w:val="en-GB"/>
        </w:rPr>
      </w:pPr>
      <w:r w:rsidRPr="00B04DC3">
        <w:rPr>
          <w:lang w:val="en-GB"/>
        </w:rPr>
        <w:tab/>
      </w:r>
      <w:r w:rsidR="00ED6381" w:rsidRPr="00B04DC3">
        <w:rPr>
          <w:lang w:val="en-GB"/>
        </w:rPr>
        <w:t>Where</w:t>
      </w:r>
      <w:r w:rsidRPr="00B04DC3">
        <w:rPr>
          <w:lang w:val="en-GB"/>
        </w:rPr>
        <w:t>:</w:t>
      </w:r>
    </w:p>
    <w:p w:rsidR="00002BA6" w:rsidRPr="00B04DC3" w:rsidRDefault="00A905B7" w:rsidP="00002BA6">
      <w:pPr>
        <w:pStyle w:val="a"/>
        <w:rPr>
          <w:lang w:val="en-GB"/>
        </w:rPr>
      </w:pPr>
      <w:r>
        <w:rPr>
          <w:noProof/>
          <w:lang w:val="en-GB"/>
        </w:rPr>
        <w:pict>
          <v:group id="_x0000_s5940" editas="canvas" style="position:absolute;left:0;text-align:left;margin-left:249.55pt;margin-top:-5.55pt;width:81.05pt;height:32.75pt;z-index:251645952" coordorigin="70,20" coordsize="1621,655">
            <o:lock v:ext="edit" aspectratio="t"/>
            <v:shape id="_x0000_s5941" type="#_x0000_t75" style="position:absolute;left:70;top:20;width:1621;height:655" o:preferrelative="f">
              <v:fill o:detectmouseclick="t"/>
              <v:path o:extrusionok="t" o:connecttype="none"/>
              <o:lock v:ext="edit" text="t"/>
            </v:shape>
            <v:line id="_x0000_s5942" style="position:absolute" from="173,285" to="446,285" strokeweight=".4pt"/>
            <v:line id="_x0000_s5943" style="position:absolute" from="677,285" to="1018,285" strokeweight=".4pt"/>
            <v:line id="_x0000_s5944" style="position:absolute" from="1264,285" to="1576,285" strokeweight=".4pt"/>
            <v:rect id="_x0000_s5945" style="position:absolute;left:1598;top:149;width:77;height:245;mso-wrap-style:none" filled="f" stroked="f">
              <v:textbox style="mso-next-textbox:#_x0000_s5945;mso-fit-shape-to-text:t" inset="0,0,0,0">
                <w:txbxContent>
                  <w:p w:rsidR="00A905B7" w:rsidRDefault="00A905B7" w:rsidP="00251F29">
                    <w:r>
                      <w:rPr>
                        <w:rFonts w:ascii="Symbol" w:hAnsi="Symbol" w:cs="Symbol"/>
                        <w:color w:val="000000"/>
                      </w:rPr>
                      <w:t></w:t>
                    </w:r>
                  </w:p>
                </w:txbxContent>
              </v:textbox>
            </v:rect>
            <v:rect id="_x0000_s5946" style="position:absolute;left:1598;top:316;width:77;height:245;mso-wrap-style:none" filled="f" stroked="f">
              <v:textbox style="mso-next-textbox:#_x0000_s5946;mso-fit-shape-to-text:t" inset="0,0,0,0">
                <w:txbxContent>
                  <w:p w:rsidR="00A905B7" w:rsidRDefault="00A905B7" w:rsidP="00251F29">
                    <w:r>
                      <w:rPr>
                        <w:rFonts w:ascii="Symbol" w:hAnsi="Symbol" w:cs="Symbol"/>
                        <w:color w:val="000000"/>
                      </w:rPr>
                      <w:t></w:t>
                    </w:r>
                  </w:p>
                </w:txbxContent>
              </v:textbox>
            </v:rect>
            <v:rect id="_x0000_s5947" style="position:absolute;left:1598;top:20;width:77;height:245;mso-wrap-style:none" filled="f" stroked="f">
              <v:textbox style="mso-next-textbox:#_x0000_s5947;mso-fit-shape-to-text:t" inset="0,0,0,0">
                <w:txbxContent>
                  <w:p w:rsidR="00A905B7" w:rsidRDefault="00A905B7" w:rsidP="00251F29">
                    <w:r>
                      <w:rPr>
                        <w:rFonts w:ascii="Symbol" w:hAnsi="Symbol" w:cs="Symbol"/>
                        <w:color w:val="000000"/>
                      </w:rPr>
                      <w:t></w:t>
                    </w:r>
                  </w:p>
                </w:txbxContent>
              </v:textbox>
            </v:rect>
            <v:rect id="_x0000_s5948" style="position:absolute;left:1160;top:149;width:77;height:245;mso-wrap-style:none" filled="f" stroked="f">
              <v:textbox style="mso-next-textbox:#_x0000_s5948;mso-fit-shape-to-text:t" inset="0,0,0,0">
                <w:txbxContent>
                  <w:p w:rsidR="00A905B7" w:rsidRDefault="00A905B7" w:rsidP="00251F29">
                    <w:r>
                      <w:rPr>
                        <w:rFonts w:ascii="Symbol" w:hAnsi="Symbol" w:cs="Symbol"/>
                        <w:color w:val="000000"/>
                      </w:rPr>
                      <w:t></w:t>
                    </w:r>
                  </w:p>
                </w:txbxContent>
              </v:textbox>
            </v:rect>
            <v:rect id="_x0000_s5949" style="position:absolute;left:1160;top:316;width:77;height:245;mso-wrap-style:none" filled="f" stroked="f">
              <v:textbox style="mso-next-textbox:#_x0000_s5949;mso-fit-shape-to-text:t" inset="0,0,0,0">
                <w:txbxContent>
                  <w:p w:rsidR="00A905B7" w:rsidRDefault="00A905B7" w:rsidP="00251F29">
                    <w:r>
                      <w:rPr>
                        <w:rFonts w:ascii="Symbol" w:hAnsi="Symbol" w:cs="Symbol"/>
                        <w:color w:val="000000"/>
                      </w:rPr>
                      <w:t></w:t>
                    </w:r>
                  </w:p>
                </w:txbxContent>
              </v:textbox>
            </v:rect>
            <v:rect id="_x0000_s5950" style="position:absolute;left:1160;top:20;width:77;height:245;mso-wrap-style:none" filled="f" stroked="f">
              <v:textbox style="mso-next-textbox:#_x0000_s5950;mso-fit-shape-to-text:t" inset="0,0,0,0">
                <w:txbxContent>
                  <w:p w:rsidR="00A905B7" w:rsidRDefault="00A905B7" w:rsidP="00251F29">
                    <w:r>
                      <w:rPr>
                        <w:rFonts w:ascii="Symbol" w:hAnsi="Symbol" w:cs="Symbol"/>
                        <w:color w:val="000000"/>
                      </w:rPr>
                      <w:t></w:t>
                    </w:r>
                  </w:p>
                </w:txbxContent>
              </v:textbox>
            </v:rect>
            <v:rect id="_x0000_s5951" style="position:absolute;left:1086;top:149;width:77;height:245;mso-wrap-style:none" filled="f" stroked="f">
              <v:textbox style="mso-next-textbox:#_x0000_s5951;mso-fit-shape-to-text:t" inset="0,0,0,0">
                <w:txbxContent>
                  <w:p w:rsidR="00A905B7" w:rsidRDefault="00A905B7" w:rsidP="00251F29">
                    <w:r>
                      <w:rPr>
                        <w:rFonts w:ascii="Symbol" w:hAnsi="Symbol" w:cs="Symbol"/>
                        <w:color w:val="000000"/>
                      </w:rPr>
                      <w:t></w:t>
                    </w:r>
                  </w:p>
                </w:txbxContent>
              </v:textbox>
            </v:rect>
            <v:rect id="_x0000_s5952" style="position:absolute;left:1086;top:316;width:77;height:245;mso-wrap-style:none" filled="f" stroked="f">
              <v:textbox style="mso-next-textbox:#_x0000_s5952;mso-fit-shape-to-text:t" inset="0,0,0,0">
                <w:txbxContent>
                  <w:p w:rsidR="00A905B7" w:rsidRDefault="00A905B7" w:rsidP="00251F29">
                    <w:r>
                      <w:rPr>
                        <w:rFonts w:ascii="Symbol" w:hAnsi="Symbol" w:cs="Symbol"/>
                        <w:color w:val="000000"/>
                      </w:rPr>
                      <w:t></w:t>
                    </w:r>
                  </w:p>
                </w:txbxContent>
              </v:textbox>
            </v:rect>
            <v:rect id="_x0000_s5953" style="position:absolute;left:1086;top:20;width:77;height:245;mso-wrap-style:none" filled="f" stroked="f">
              <v:textbox style="mso-next-textbox:#_x0000_s5953;mso-fit-shape-to-text:t" inset="0,0,0,0">
                <w:txbxContent>
                  <w:p w:rsidR="00A905B7" w:rsidRDefault="00A905B7" w:rsidP="00251F29">
                    <w:r>
                      <w:rPr>
                        <w:rFonts w:ascii="Symbol" w:hAnsi="Symbol" w:cs="Symbol"/>
                        <w:color w:val="000000"/>
                      </w:rPr>
                      <w:t></w:t>
                    </w:r>
                  </w:p>
                </w:txbxContent>
              </v:textbox>
            </v:rect>
            <v:rect id="_x0000_s5954" style="position:absolute;left:573;top:149;width:77;height:245;mso-wrap-style:none" filled="f" stroked="f">
              <v:textbox style="mso-next-textbox:#_x0000_s5954;mso-fit-shape-to-text:t" inset="0,0,0,0">
                <w:txbxContent>
                  <w:p w:rsidR="00A905B7" w:rsidRDefault="00A905B7" w:rsidP="00251F29">
                    <w:r>
                      <w:rPr>
                        <w:rFonts w:ascii="Symbol" w:hAnsi="Symbol" w:cs="Symbol"/>
                        <w:color w:val="000000"/>
                      </w:rPr>
                      <w:t></w:t>
                    </w:r>
                  </w:p>
                </w:txbxContent>
              </v:textbox>
            </v:rect>
            <v:rect id="_x0000_s5955" style="position:absolute;left:573;top:316;width:77;height:245;mso-wrap-style:none" filled="f" stroked="f">
              <v:textbox style="mso-next-textbox:#_x0000_s5955;mso-fit-shape-to-text:t" inset="0,0,0,0">
                <w:txbxContent>
                  <w:p w:rsidR="00A905B7" w:rsidRDefault="00A905B7" w:rsidP="00251F29">
                    <w:r>
                      <w:rPr>
                        <w:rFonts w:ascii="Symbol" w:hAnsi="Symbol" w:cs="Symbol"/>
                        <w:color w:val="000000"/>
                      </w:rPr>
                      <w:t></w:t>
                    </w:r>
                  </w:p>
                </w:txbxContent>
              </v:textbox>
            </v:rect>
            <v:rect id="_x0000_s5956" style="position:absolute;left:573;top:20;width:77;height:245;mso-wrap-style:none" filled="f" stroked="f">
              <v:textbox style="mso-next-textbox:#_x0000_s5956;mso-fit-shape-to-text:t" inset="0,0,0,0">
                <w:txbxContent>
                  <w:p w:rsidR="00A905B7" w:rsidRDefault="00A905B7" w:rsidP="00251F29">
                    <w:r>
                      <w:rPr>
                        <w:rFonts w:ascii="Symbol" w:hAnsi="Symbol" w:cs="Symbol"/>
                        <w:color w:val="000000"/>
                      </w:rPr>
                      <w:t></w:t>
                    </w:r>
                  </w:p>
                </w:txbxContent>
              </v:textbox>
            </v:rect>
            <v:rect id="_x0000_s5957" style="position:absolute;left:468;top:149;width:77;height:245;mso-wrap-style:none" filled="f" stroked="f">
              <v:textbox style="mso-next-textbox:#_x0000_s5957;mso-fit-shape-to-text:t" inset="0,0,0,0">
                <w:txbxContent>
                  <w:p w:rsidR="00A905B7" w:rsidRDefault="00A905B7" w:rsidP="00251F29">
                    <w:r>
                      <w:rPr>
                        <w:rFonts w:ascii="Symbol" w:hAnsi="Symbol" w:cs="Symbol"/>
                        <w:color w:val="000000"/>
                      </w:rPr>
                      <w:t></w:t>
                    </w:r>
                  </w:p>
                </w:txbxContent>
              </v:textbox>
            </v:rect>
            <v:rect id="_x0000_s5958" style="position:absolute;left:468;top:316;width:77;height:245;mso-wrap-style:none" filled="f" stroked="f">
              <v:textbox style="mso-next-textbox:#_x0000_s5958;mso-fit-shape-to-text:t" inset="0,0,0,0">
                <w:txbxContent>
                  <w:p w:rsidR="00A905B7" w:rsidRDefault="00A905B7" w:rsidP="00251F29">
                    <w:r>
                      <w:rPr>
                        <w:rFonts w:ascii="Symbol" w:hAnsi="Symbol" w:cs="Symbol"/>
                        <w:color w:val="000000"/>
                      </w:rPr>
                      <w:t></w:t>
                    </w:r>
                  </w:p>
                </w:txbxContent>
              </v:textbox>
            </v:rect>
            <v:rect id="_x0000_s5959" style="position:absolute;left:468;top:20;width:77;height:245;mso-wrap-style:none" filled="f" stroked="f">
              <v:textbox style="mso-next-textbox:#_x0000_s5959;mso-fit-shape-to-text:t" inset="0,0,0,0">
                <w:txbxContent>
                  <w:p w:rsidR="00A905B7" w:rsidRDefault="00A905B7" w:rsidP="00251F29">
                    <w:r>
                      <w:rPr>
                        <w:rFonts w:ascii="Symbol" w:hAnsi="Symbol" w:cs="Symbol"/>
                        <w:color w:val="000000"/>
                      </w:rPr>
                      <w:t></w:t>
                    </w:r>
                  </w:p>
                </w:txbxContent>
              </v:textbox>
            </v:rect>
            <v:rect id="_x0000_s5960" style="position:absolute;left:70;top:149;width:77;height:245;mso-wrap-style:none" filled="f" stroked="f">
              <v:textbox style="mso-next-textbox:#_x0000_s5960;mso-fit-shape-to-text:t" inset="0,0,0,0">
                <w:txbxContent>
                  <w:p w:rsidR="00A905B7" w:rsidRDefault="00A905B7" w:rsidP="00251F29">
                    <w:r>
                      <w:rPr>
                        <w:rFonts w:ascii="Symbol" w:hAnsi="Symbol" w:cs="Symbol"/>
                        <w:color w:val="000000"/>
                      </w:rPr>
                      <w:t></w:t>
                    </w:r>
                  </w:p>
                </w:txbxContent>
              </v:textbox>
            </v:rect>
            <v:rect id="_x0000_s5961" style="position:absolute;left:70;top:316;width:77;height:245;mso-wrap-style:none" filled="f" stroked="f">
              <v:textbox style="mso-next-textbox:#_x0000_s5961;mso-fit-shape-to-text:t" inset="0,0,0,0">
                <w:txbxContent>
                  <w:p w:rsidR="00A905B7" w:rsidRDefault="00A905B7" w:rsidP="00251F29">
                    <w:r>
                      <w:rPr>
                        <w:rFonts w:ascii="Symbol" w:hAnsi="Symbol" w:cs="Symbol"/>
                        <w:color w:val="000000"/>
                      </w:rPr>
                      <w:t></w:t>
                    </w:r>
                  </w:p>
                </w:txbxContent>
              </v:textbox>
            </v:rect>
            <v:rect id="_x0000_s5962" style="position:absolute;left:70;top:20;width:77;height:245;mso-wrap-style:none" filled="f" stroked="f">
              <v:textbox style="mso-next-textbox:#_x0000_s5962;mso-fit-shape-to-text:t" inset="0,0,0,0">
                <w:txbxContent>
                  <w:p w:rsidR="00A905B7" w:rsidRDefault="00A905B7" w:rsidP="00251F29">
                    <w:r>
                      <w:rPr>
                        <w:rFonts w:ascii="Symbol" w:hAnsi="Symbol" w:cs="Symbol"/>
                        <w:color w:val="000000"/>
                      </w:rPr>
                      <w:t></w:t>
                    </w:r>
                  </w:p>
                </w:txbxContent>
              </v:textbox>
            </v:rect>
            <v:rect id="_x0000_s5963" style="position:absolute;left:1350;top:315;width:156;height:240;mso-wrap-style:none" filled="f" stroked="f">
              <v:textbox style="mso-next-textbox:#_x0000_s5963;mso-fit-shape-to-text:t" inset="0,0,0,0">
                <w:txbxContent>
                  <w:p w:rsidR="00A905B7" w:rsidRPr="00C67041" w:rsidRDefault="00A905B7" w:rsidP="00251F29">
                    <w:r w:rsidRPr="00C67041">
                      <w:rPr>
                        <w:iCs/>
                        <w:color w:val="000000"/>
                      </w:rPr>
                      <w:t>m</w:t>
                    </w:r>
                  </w:p>
                </w:txbxContent>
              </v:textbox>
            </v:rect>
            <v:rect id="_x0000_s5964" style="position:absolute;left:810;top:315;width:78;height:240;mso-wrap-style:none" filled="f" stroked="f">
              <v:textbox style="mso-next-textbox:#_x0000_s5964;mso-fit-shape-to-text:t" inset="0,0,0,0">
                <w:txbxContent>
                  <w:p w:rsidR="00A905B7" w:rsidRPr="00C67041" w:rsidRDefault="00A905B7" w:rsidP="00251F29">
                    <w:r w:rsidRPr="00C67041">
                      <w:rPr>
                        <w:iCs/>
                        <w:color w:val="000000"/>
                      </w:rPr>
                      <w:t>s</w:t>
                    </w:r>
                  </w:p>
                </w:txbxContent>
              </v:textbox>
            </v:rect>
            <v:rect id="_x0000_s5965" style="position:absolute;left:187;top:324;width:156;height:240;mso-wrap-style:none" filled="f" stroked="f">
              <v:textbox style="mso-next-textbox:#_x0000_s5965;mso-fit-shape-to-text:t" inset="0,0,0,0">
                <w:txbxContent>
                  <w:p w:rsidR="00A905B7" w:rsidRPr="009C4EC4" w:rsidRDefault="00A905B7" w:rsidP="00251F29">
                    <w:r w:rsidRPr="009C4EC4">
                      <w:rPr>
                        <w:iCs/>
                        <w:color w:val="000000"/>
                      </w:rPr>
                      <w:t>m</w:t>
                    </w:r>
                  </w:p>
                </w:txbxContent>
              </v:textbox>
            </v:rect>
            <v:rect id="_x0000_s5966" style="position:absolute;left:260;top:28;width:101;height:240;mso-wrap-style:none" filled="f" stroked="f">
              <v:textbox style="mso-next-textbox:#_x0000_s5966;mso-fit-shape-to-text:t" inset="0,0,0,0">
                <w:txbxContent>
                  <w:p w:rsidR="00A905B7" w:rsidRDefault="00A905B7" w:rsidP="00251F29">
                    <w:r>
                      <w:rPr>
                        <w:color w:val="000000"/>
                      </w:rPr>
                      <w:t>1</w:t>
                    </w:r>
                  </w:p>
                </w:txbxContent>
              </v:textbox>
            </v:rect>
            <v:rect id="_x0000_s5967" style="position:absolute;left:350;top:308;width:61;height:240;mso-wrap-style:none" filled="f" stroked="f">
              <v:textbox style="mso-next-textbox:#_x0000_s5967;mso-fit-shape-to-text:t" inset="0,0,0,0">
                <w:txbxContent>
                  <w:p w:rsidR="00A905B7" w:rsidRDefault="00A905B7" w:rsidP="00251F29">
                    <w:r>
                      <w:rPr>
                        <w:color w:val="000000"/>
                        <w:sz w:val="12"/>
                        <w:szCs w:val="12"/>
                      </w:rPr>
                      <w:t>3</w:t>
                    </w:r>
                  </w:p>
                </w:txbxContent>
              </v:textbox>
            </v:rect>
            <v:rect id="_x0000_s5968" style="position:absolute;left:610;top:380;width:91;height:237;mso-wrap-style:none" filled="f" stroked="f">
              <v:textbox style="mso-next-textbox:#_x0000_s5968" inset="0,0,0,0">
                <w:txbxContent>
                  <w:p w:rsidR="00A905B7" w:rsidRPr="00C67041" w:rsidRDefault="00A905B7" w:rsidP="00251F29">
                    <w:pPr>
                      <w:rPr>
                        <w:lang w:val="fr-CH"/>
                      </w:rPr>
                    </w:pPr>
                  </w:p>
                </w:txbxContent>
              </v:textbox>
            </v:rect>
            <v:rect id="_x0000_s5969" style="position:absolute;left:1228;top:23;width:312;height:332;mso-wrap-style:none" filled="f" stroked="f">
              <v:textbox style="mso-next-textbox:#_x0000_s5969" inset="0,0,0,0">
                <w:txbxContent>
                  <w:p w:rsidR="00A905B7" w:rsidRPr="009C4EC4" w:rsidRDefault="00A905B7" w:rsidP="00251F29">
                    <w:pPr>
                      <w:rPr>
                        <w:i/>
                      </w:rPr>
                    </w:pPr>
                    <w:r w:rsidRPr="009C4EC4">
                      <w:rPr>
                        <w:iCs/>
                        <w:color w:val="000000"/>
                      </w:rPr>
                      <w:t>mm</w:t>
                    </w:r>
                  </w:p>
                </w:txbxContent>
              </v:textbox>
            </v:rect>
            <v:rect id="_x0000_s5970" style="position:absolute;left:680;top:23;width:312;height:237;mso-wrap-style:none" filled="f" stroked="f">
              <v:textbox style="mso-next-textbox:#_x0000_s5970" inset="0,0,0,0">
                <w:txbxContent>
                  <w:p w:rsidR="00A905B7" w:rsidRDefault="00A905B7" w:rsidP="00251F29">
                    <w:r>
                      <w:rPr>
                        <w:color w:val="000000"/>
                      </w:rPr>
                      <w:t>min</w:t>
                    </w:r>
                  </w:p>
                </w:txbxContent>
              </v:textbox>
            </v:rect>
          </v:group>
        </w:pict>
      </w:r>
      <w:r w:rsidR="00002BA6" w:rsidRPr="00B04DC3">
        <w:rPr>
          <w:lang w:val="en-GB"/>
        </w:rPr>
        <w:t>A</w:t>
      </w:r>
      <w:r w:rsidR="00002BA6" w:rsidRPr="00B04DC3">
        <w:rPr>
          <w:vertAlign w:val="subscript"/>
          <w:lang w:val="en-GB"/>
        </w:rPr>
        <w:t>1</w:t>
      </w:r>
      <w:r w:rsidR="00002BA6" w:rsidRPr="00B04DC3">
        <w:rPr>
          <w:lang w:val="en-GB"/>
        </w:rPr>
        <w:tab/>
        <w:t>is 25.55152 in SI units of</w:t>
      </w:r>
      <w:r w:rsidR="00251F29">
        <w:rPr>
          <w:lang w:val="en-GB"/>
        </w:rPr>
        <w:t xml:space="preserve">  </w:t>
      </w:r>
      <w:r w:rsidR="00251F29">
        <w:rPr>
          <w:rFonts w:ascii="Symbol" w:hAnsi="Symbol" w:cs="Symbol"/>
          <w:color w:val="000000"/>
          <w:lang w:val="en-GB"/>
        </w:rPr>
        <w:t></w:t>
      </w:r>
    </w:p>
    <w:p w:rsidR="00C243AA" w:rsidRDefault="00C243AA" w:rsidP="007A0831">
      <w:pPr>
        <w:pStyle w:val="a"/>
        <w:spacing w:after="0"/>
        <w:rPr>
          <w:lang w:val="en-GB"/>
        </w:rPr>
      </w:pPr>
    </w:p>
    <w:p w:rsidR="00002BA6" w:rsidRPr="00B04DC3" w:rsidRDefault="00002BA6" w:rsidP="00002BA6">
      <w:pPr>
        <w:pStyle w:val="a"/>
        <w:rPr>
          <w:lang w:val="en-GB"/>
        </w:rPr>
      </w:pPr>
      <w:r w:rsidRPr="00B04DC3">
        <w:rPr>
          <w:lang w:val="en-GB"/>
        </w:rPr>
        <w:t>Q</w:t>
      </w:r>
      <w:r w:rsidRPr="00B04DC3">
        <w:rPr>
          <w:vertAlign w:val="subscript"/>
          <w:lang w:val="en-GB"/>
        </w:rPr>
        <w:t>SSV</w:t>
      </w:r>
      <w:r w:rsidRPr="00B04DC3">
        <w:rPr>
          <w:lang w:val="en-GB"/>
        </w:rPr>
        <w:tab/>
        <w:t>is the airflow rate at standard conditions (101.3 kPa, 273 K), m</w:t>
      </w:r>
      <w:r w:rsidRPr="00B04DC3">
        <w:rPr>
          <w:vertAlign w:val="superscript"/>
          <w:lang w:val="en-GB"/>
        </w:rPr>
        <w:t>3</w:t>
      </w:r>
      <w:r w:rsidRPr="00B04DC3">
        <w:rPr>
          <w:lang w:val="en-GB"/>
        </w:rPr>
        <w:t>/s</w:t>
      </w:r>
    </w:p>
    <w:p w:rsidR="00002BA6" w:rsidRPr="00B04DC3" w:rsidRDefault="00002BA6" w:rsidP="00002BA6">
      <w:pPr>
        <w:pStyle w:val="a"/>
        <w:rPr>
          <w:lang w:val="en-GB"/>
        </w:rPr>
      </w:pPr>
      <w:r w:rsidRPr="00B04DC3">
        <w:rPr>
          <w:lang w:val="en-GB"/>
        </w:rPr>
        <w:t>d</w:t>
      </w:r>
      <w:r w:rsidRPr="00B04DC3">
        <w:rPr>
          <w:vertAlign w:val="subscript"/>
          <w:lang w:val="en-GB"/>
        </w:rPr>
        <w:t>V</w:t>
      </w:r>
      <w:r w:rsidRPr="00B04DC3">
        <w:rPr>
          <w:lang w:val="en-GB"/>
        </w:rPr>
        <w:tab/>
        <w:t>is the diameter of the SSV throat, m</w:t>
      </w:r>
    </w:p>
    <w:p w:rsidR="00002BA6" w:rsidRPr="00B04DC3" w:rsidRDefault="00002BA6" w:rsidP="00002BA6">
      <w:pPr>
        <w:pStyle w:val="a"/>
        <w:rPr>
          <w:lang w:val="en-GB"/>
        </w:rPr>
      </w:pPr>
      <w:r w:rsidRPr="00B04DC3">
        <w:rPr>
          <w:lang w:val="en-GB"/>
        </w:rPr>
        <w:t>μ</w:t>
      </w:r>
      <w:r w:rsidRPr="00B04DC3">
        <w:rPr>
          <w:lang w:val="en-GB"/>
        </w:rPr>
        <w:tab/>
        <w:t>is the absolute or dynamic viscosity of the gas, kg/ms</w:t>
      </w:r>
    </w:p>
    <w:p w:rsidR="00002BA6" w:rsidRPr="00B04DC3" w:rsidRDefault="00002BA6" w:rsidP="00002BA6">
      <w:pPr>
        <w:pStyle w:val="a"/>
        <w:rPr>
          <w:vertAlign w:val="superscript"/>
          <w:lang w:val="en-GB"/>
        </w:rPr>
      </w:pPr>
      <w:r w:rsidRPr="00B04DC3">
        <w:rPr>
          <w:lang w:val="en-GB"/>
        </w:rPr>
        <w:t>b</w:t>
      </w:r>
      <w:r w:rsidRPr="00B04DC3">
        <w:rPr>
          <w:lang w:val="en-GB"/>
        </w:rPr>
        <w:tab/>
        <w:t>is 1.458 x 10</w:t>
      </w:r>
      <w:r w:rsidRPr="00B04DC3">
        <w:rPr>
          <w:vertAlign w:val="superscript"/>
          <w:lang w:val="en-GB"/>
        </w:rPr>
        <w:t>6</w:t>
      </w:r>
      <w:r w:rsidRPr="00B04DC3">
        <w:rPr>
          <w:lang w:val="en-GB"/>
        </w:rPr>
        <w:t xml:space="preserve"> (empirical constant), kg/ms K</w:t>
      </w:r>
      <w:r w:rsidRPr="00B04DC3">
        <w:rPr>
          <w:vertAlign w:val="superscript"/>
          <w:lang w:val="en-GB"/>
        </w:rPr>
        <w:t>0.5</w:t>
      </w:r>
    </w:p>
    <w:p w:rsidR="00002BA6" w:rsidRPr="00B04DC3" w:rsidRDefault="00002BA6" w:rsidP="00002BA6">
      <w:pPr>
        <w:pStyle w:val="a"/>
        <w:rPr>
          <w:lang w:val="en-GB"/>
        </w:rPr>
      </w:pPr>
      <w:r w:rsidRPr="00B04DC3">
        <w:rPr>
          <w:lang w:val="en-GB"/>
        </w:rPr>
        <w:t>S</w:t>
      </w:r>
      <w:r w:rsidRPr="00B04DC3">
        <w:rPr>
          <w:lang w:val="en-GB"/>
        </w:rPr>
        <w:tab/>
        <w:t>is 110.4 (empirical constant), K</w:t>
      </w:r>
    </w:p>
    <w:p w:rsidR="00002BA6" w:rsidRPr="00B04DC3" w:rsidRDefault="00002BA6" w:rsidP="00002BA6">
      <w:pPr>
        <w:pStyle w:val="para"/>
        <w:rPr>
          <w:lang w:val="en-GB"/>
        </w:rPr>
      </w:pPr>
      <w:r w:rsidRPr="00B04DC3">
        <w:rPr>
          <w:lang w:val="en-GB"/>
        </w:rPr>
        <w:tab/>
        <w:t>Because Q</w:t>
      </w:r>
      <w:r w:rsidRPr="00B04DC3">
        <w:rPr>
          <w:vertAlign w:val="subscript"/>
          <w:lang w:val="en-GB"/>
        </w:rPr>
        <w:t>SSV</w:t>
      </w:r>
      <w:r w:rsidRPr="00B04DC3">
        <w:rPr>
          <w:lang w:val="en-GB"/>
        </w:rPr>
        <w:t xml:space="preserve"> is an input to the Re equation, the calculations shall be started with an initial guess for Q</w:t>
      </w:r>
      <w:r w:rsidRPr="00B04DC3">
        <w:rPr>
          <w:vertAlign w:val="subscript"/>
          <w:lang w:val="en-GB"/>
        </w:rPr>
        <w:t>SSV</w:t>
      </w:r>
      <w:r w:rsidRPr="00B04DC3">
        <w:rPr>
          <w:lang w:val="en-GB"/>
        </w:rPr>
        <w:t xml:space="preserve"> or C</w:t>
      </w:r>
      <w:r w:rsidRPr="00B04DC3">
        <w:rPr>
          <w:vertAlign w:val="subscript"/>
          <w:lang w:val="en-GB"/>
        </w:rPr>
        <w:t>d</w:t>
      </w:r>
      <w:r w:rsidRPr="00B04DC3">
        <w:rPr>
          <w:lang w:val="en-GB"/>
        </w:rPr>
        <w:t xml:space="preserve"> of the calibration venturi, and repeated until Q</w:t>
      </w:r>
      <w:r w:rsidRPr="00B04DC3">
        <w:rPr>
          <w:vertAlign w:val="subscript"/>
          <w:lang w:val="en-GB"/>
        </w:rPr>
        <w:t>SSV</w:t>
      </w:r>
      <w:r w:rsidRPr="00B04DC3">
        <w:rPr>
          <w:lang w:val="en-GB"/>
        </w:rPr>
        <w:t xml:space="preserve"> converges. The convergence method shall be accurate to 0.1 per cent of point or better.</w:t>
      </w:r>
    </w:p>
    <w:p w:rsidR="00002BA6" w:rsidRPr="00B04DC3" w:rsidRDefault="00002BA6" w:rsidP="00002BA6">
      <w:pPr>
        <w:pStyle w:val="para"/>
        <w:rPr>
          <w:lang w:val="en-GB"/>
        </w:rPr>
      </w:pPr>
      <w:r w:rsidRPr="00B04DC3">
        <w:rPr>
          <w:lang w:val="en-GB"/>
        </w:rPr>
        <w:tab/>
        <w:t>For a minimum of sixteen points in the region of subsonic flow, the calculated values of C</w:t>
      </w:r>
      <w:r w:rsidRPr="00B04DC3">
        <w:rPr>
          <w:vertAlign w:val="subscript"/>
          <w:lang w:val="en-GB"/>
        </w:rPr>
        <w:t>d</w:t>
      </w:r>
      <w:r w:rsidRPr="00B04DC3">
        <w:rPr>
          <w:lang w:val="en-GB"/>
        </w:rPr>
        <w:t xml:space="preserve"> from the resulting calibration curve fit equation shall be within ±0.5 per cent of the measured C</w:t>
      </w:r>
      <w:r w:rsidRPr="00B04DC3">
        <w:rPr>
          <w:vertAlign w:val="subscript"/>
          <w:lang w:val="en-GB"/>
        </w:rPr>
        <w:t>d</w:t>
      </w:r>
      <w:r w:rsidRPr="00B04DC3">
        <w:rPr>
          <w:lang w:val="en-GB"/>
        </w:rPr>
        <w:t xml:space="preserve"> for each calibration point.</w:t>
      </w:r>
    </w:p>
    <w:p w:rsidR="00002BA6" w:rsidRPr="00B04DC3" w:rsidRDefault="00002BA6" w:rsidP="00002BA6">
      <w:pPr>
        <w:pStyle w:val="para"/>
        <w:rPr>
          <w:lang w:val="en-GB"/>
        </w:rPr>
      </w:pPr>
      <w:r w:rsidRPr="00B04DC3">
        <w:rPr>
          <w:lang w:val="en-GB"/>
        </w:rPr>
        <w:t>9.5.5.</w:t>
      </w:r>
      <w:r w:rsidRPr="00B04DC3">
        <w:rPr>
          <w:lang w:val="en-GB"/>
        </w:rPr>
        <w:tab/>
        <w:t>Total system verification</w:t>
      </w:r>
    </w:p>
    <w:p w:rsidR="00002BA6" w:rsidRPr="00B04DC3" w:rsidRDefault="00002BA6" w:rsidP="00002BA6">
      <w:pPr>
        <w:pStyle w:val="para"/>
        <w:rPr>
          <w:lang w:val="en-GB"/>
        </w:rPr>
      </w:pPr>
      <w:r w:rsidRPr="00B04DC3">
        <w:rPr>
          <w:lang w:val="en-GB"/>
        </w:rPr>
        <w:tab/>
        <w:t>The total accuracy of the CVS sampling system and analytical system shall be determined by introducing a known mass of a pollutant gas into the system while it is being operated in the normal manner. The pollutant is analyzed, and the mass calculated according to paragraph 8.5.2.</w:t>
      </w:r>
      <w:r w:rsidR="008239EC" w:rsidRPr="00B04DC3">
        <w:rPr>
          <w:lang w:val="en-GB"/>
        </w:rPr>
        <w:t>3</w:t>
      </w:r>
      <w:r w:rsidRPr="00B04DC3">
        <w:rPr>
          <w:lang w:val="en-GB"/>
        </w:rPr>
        <w:t xml:space="preserve">. </w:t>
      </w:r>
      <w:r w:rsidR="00C243AA">
        <w:rPr>
          <w:lang w:val="en-GB"/>
        </w:rPr>
        <w:t xml:space="preserve">of this annex </w:t>
      </w:r>
      <w:r w:rsidRPr="00B04DC3">
        <w:rPr>
          <w:lang w:val="en-GB"/>
        </w:rPr>
        <w:t xml:space="preserve">except in the case of propane where a </w:t>
      </w:r>
      <w:r w:rsidRPr="00B04DC3">
        <w:rPr>
          <w:i/>
          <w:lang w:val="en-GB"/>
        </w:rPr>
        <w:t>u</w:t>
      </w:r>
      <w:r w:rsidRPr="00B04DC3">
        <w:rPr>
          <w:lang w:val="en-GB"/>
        </w:rPr>
        <w:t xml:space="preserve"> factor of 0.000472 is used in place of 0.000480 for HC. Either of the following two techniques shall be used.</w:t>
      </w:r>
    </w:p>
    <w:p w:rsidR="00002BA6" w:rsidRPr="00B04DC3" w:rsidRDefault="00002BA6" w:rsidP="00002BA6">
      <w:pPr>
        <w:pStyle w:val="para"/>
        <w:rPr>
          <w:lang w:val="en-GB"/>
        </w:rPr>
      </w:pPr>
      <w:r w:rsidRPr="00B04DC3">
        <w:rPr>
          <w:lang w:val="en-GB"/>
        </w:rPr>
        <w:t>9.5.5.1.</w:t>
      </w:r>
      <w:r w:rsidRPr="00B04DC3">
        <w:rPr>
          <w:lang w:val="en-GB"/>
        </w:rPr>
        <w:tab/>
        <w:t>Metering with a critical flow orifice</w:t>
      </w:r>
    </w:p>
    <w:p w:rsidR="00002BA6" w:rsidRPr="00B04DC3" w:rsidRDefault="00002BA6" w:rsidP="00002BA6">
      <w:pPr>
        <w:pStyle w:val="para"/>
        <w:rPr>
          <w:lang w:val="en-GB"/>
        </w:rPr>
      </w:pPr>
      <w:r w:rsidRPr="00B04DC3">
        <w:rPr>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rsidR="00002BA6" w:rsidRPr="00B04DC3" w:rsidRDefault="00002BA6" w:rsidP="00002BA6">
      <w:pPr>
        <w:pStyle w:val="para"/>
        <w:rPr>
          <w:lang w:val="en-GB"/>
        </w:rPr>
      </w:pPr>
      <w:r w:rsidRPr="00B04DC3">
        <w:rPr>
          <w:lang w:val="en-GB"/>
        </w:rPr>
        <w:tab/>
        <w:t>The mass so determined shall be within ±3 per cent of the known mass of the gas injected.</w:t>
      </w:r>
    </w:p>
    <w:p w:rsidR="00002BA6" w:rsidRPr="00B04DC3" w:rsidRDefault="00002BA6" w:rsidP="00002BA6">
      <w:pPr>
        <w:pStyle w:val="para"/>
        <w:rPr>
          <w:lang w:val="en-GB"/>
        </w:rPr>
      </w:pPr>
      <w:r w:rsidRPr="00B04DC3">
        <w:rPr>
          <w:lang w:val="en-GB"/>
        </w:rPr>
        <w:t>9.5.5.2.</w:t>
      </w:r>
      <w:r w:rsidRPr="00B04DC3">
        <w:rPr>
          <w:lang w:val="en-GB"/>
        </w:rPr>
        <w:tab/>
        <w:t>Metering by means of a gravimetric technique</w:t>
      </w:r>
    </w:p>
    <w:p w:rsidR="00002BA6" w:rsidRPr="00B04DC3" w:rsidRDefault="00002BA6" w:rsidP="00002BA6">
      <w:pPr>
        <w:pStyle w:val="para"/>
        <w:rPr>
          <w:lang w:val="en-GB"/>
        </w:rPr>
      </w:pPr>
      <w:r w:rsidRPr="00B04DC3">
        <w:rPr>
          <w:lang w:val="en-GB"/>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rsidR="00002BA6" w:rsidRPr="00B04DC3" w:rsidRDefault="00002BA6" w:rsidP="00002BA6">
      <w:pPr>
        <w:pStyle w:val="para"/>
        <w:rPr>
          <w:lang w:val="en-GB"/>
        </w:rPr>
      </w:pPr>
      <w:r w:rsidRPr="00B04DC3">
        <w:rPr>
          <w:lang w:val="en-GB"/>
        </w:rPr>
        <w:tab/>
        <w:t>The mass so determined shall be within ±3 per cent of the known mass of the gas injected.</w:t>
      </w:r>
    </w:p>
    <w:p w:rsidR="00002BA6" w:rsidRPr="00B04DC3" w:rsidRDefault="00002BA6" w:rsidP="00002BA6">
      <w:pPr>
        <w:tabs>
          <w:tab w:val="left" w:pos="1134"/>
          <w:tab w:val="left" w:pos="1701"/>
          <w:tab w:val="left" w:pos="2268"/>
          <w:tab w:val="left" w:pos="8789"/>
        </w:tabs>
        <w:ind w:left="1134" w:right="37" w:hanging="1134"/>
        <w:jc w:val="both"/>
        <w:sectPr w:rsidR="00002BA6" w:rsidRPr="00B04DC3" w:rsidSect="00002BA6">
          <w:headerReference w:type="even" r:id="rId435"/>
          <w:headerReference w:type="default" r:id="rId436"/>
          <w:footerReference w:type="even" r:id="rId437"/>
          <w:footerReference w:type="default" r:id="rId438"/>
          <w:headerReference w:type="first" r:id="rId439"/>
          <w:footerReference w:type="first" r:id="rId440"/>
          <w:footnotePr>
            <w:numRestart w:val="eachSect"/>
          </w:footnotePr>
          <w:endnotePr>
            <w:numFmt w:val="decimal"/>
          </w:endnotePr>
          <w:pgSz w:w="11907" w:h="16840" w:code="9"/>
          <w:pgMar w:top="1985" w:right="1134" w:bottom="2268" w:left="1134" w:header="1134" w:footer="1701" w:gutter="0"/>
          <w:cols w:space="720"/>
          <w:titlePg/>
        </w:sectPr>
      </w:pPr>
    </w:p>
    <w:p w:rsidR="00002BA6" w:rsidRPr="00B04DC3" w:rsidRDefault="00002BA6" w:rsidP="007A0831">
      <w:pPr>
        <w:pStyle w:val="HChG"/>
        <w:spacing w:after="360" w:line="260" w:lineRule="exact"/>
      </w:pPr>
      <w:bookmarkStart w:id="571" w:name="_Toc66951837"/>
      <w:bookmarkStart w:id="572" w:name="_Toc66953261"/>
      <w:bookmarkStart w:id="573" w:name="_Toc423599611"/>
      <w:bookmarkStart w:id="574" w:name="_Toc423611019"/>
      <w:r w:rsidRPr="00B04DC3">
        <w:t>Annex 4B</w:t>
      </w:r>
      <w:r w:rsidR="00ED6381">
        <w:t xml:space="preserve"> - </w:t>
      </w:r>
      <w:r w:rsidRPr="00B04DC3">
        <w:t xml:space="preserve">Appendix </w:t>
      </w:r>
      <w:bookmarkEnd w:id="571"/>
      <w:bookmarkEnd w:id="572"/>
      <w:r w:rsidRPr="00B04DC3">
        <w:t>1</w:t>
      </w:r>
      <w:bookmarkEnd w:id="573"/>
      <w:bookmarkEnd w:id="574"/>
    </w:p>
    <w:p w:rsidR="00002BA6" w:rsidRPr="00B04DC3" w:rsidRDefault="00002BA6" w:rsidP="007A0831">
      <w:pPr>
        <w:pStyle w:val="HChG"/>
        <w:spacing w:after="360"/>
      </w:pPr>
      <w:bookmarkStart w:id="575" w:name="_Ref37394533"/>
      <w:r w:rsidRPr="00B04DC3">
        <w:tab/>
      </w:r>
      <w:r w:rsidRPr="00B04DC3">
        <w:tab/>
      </w:r>
      <w:bookmarkStart w:id="576" w:name="_Toc423599612"/>
      <w:bookmarkStart w:id="577" w:name="_Toc423611020"/>
      <w:r w:rsidRPr="00B04DC3">
        <w:t>WHTC engine dynamometer schedule</w:t>
      </w:r>
      <w:bookmarkEnd w:id="576"/>
      <w:bookmarkEnd w:id="577"/>
    </w:p>
    <w:tbl>
      <w:tblPr>
        <w:tblW w:w="8505" w:type="dxa"/>
        <w:tblInd w:w="1134" w:type="dxa"/>
        <w:tblLayout w:type="fixed"/>
        <w:tblCellMar>
          <w:left w:w="30" w:type="dxa"/>
          <w:right w:w="30" w:type="dxa"/>
        </w:tblCellMar>
        <w:tblLook w:val="0000" w:firstRow="0" w:lastRow="0" w:firstColumn="0" w:lastColumn="0" w:noHBand="0" w:noVBand="0"/>
      </w:tblPr>
      <w:tblGrid>
        <w:gridCol w:w="556"/>
        <w:gridCol w:w="903"/>
        <w:gridCol w:w="999"/>
        <w:gridCol w:w="801"/>
        <w:gridCol w:w="556"/>
        <w:gridCol w:w="928"/>
        <w:gridCol w:w="857"/>
        <w:gridCol w:w="713"/>
        <w:gridCol w:w="571"/>
        <w:gridCol w:w="714"/>
        <w:gridCol w:w="907"/>
      </w:tblGrid>
      <w:tr w:rsidR="00002BA6" w:rsidRPr="00B04DC3">
        <w:trPr>
          <w:trHeight w:hRule="exact" w:val="238"/>
          <w:tblHeader/>
        </w:trPr>
        <w:tc>
          <w:tcPr>
            <w:tcW w:w="556" w:type="dxa"/>
            <w:vMerge w:val="restart"/>
          </w:tcPr>
          <w:p w:rsidR="00002BA6" w:rsidRPr="00B04DC3" w:rsidRDefault="00002BA6" w:rsidP="00002BA6">
            <w:pPr>
              <w:spacing w:before="20" w:after="20" w:line="120" w:lineRule="atLeast"/>
              <w:jc w:val="center"/>
              <w:rPr>
                <w:i/>
                <w:sz w:val="16"/>
                <w:szCs w:val="16"/>
              </w:rPr>
            </w:pPr>
            <w:r w:rsidRPr="00B04DC3">
              <w:rPr>
                <w:i/>
                <w:sz w:val="16"/>
                <w:szCs w:val="16"/>
              </w:rPr>
              <w:t>Time</w:t>
            </w:r>
          </w:p>
        </w:tc>
        <w:tc>
          <w:tcPr>
            <w:tcW w:w="903"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t xml:space="preserve"> </w:t>
            </w:r>
            <w:r w:rsidR="00C243AA">
              <w:rPr>
                <w:i/>
                <w:sz w:val="16"/>
                <w:szCs w:val="16"/>
              </w:rPr>
              <w:t>s</w:t>
            </w:r>
            <w:r w:rsidR="00C243AA" w:rsidRPr="00B04DC3">
              <w:rPr>
                <w:i/>
                <w:sz w:val="16"/>
                <w:szCs w:val="16"/>
              </w:rPr>
              <w:t>peed</w:t>
            </w:r>
          </w:p>
        </w:tc>
        <w:tc>
          <w:tcPr>
            <w:tcW w:w="999"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r>
            <w:r w:rsidR="00C243AA">
              <w:rPr>
                <w:i/>
                <w:sz w:val="16"/>
                <w:szCs w:val="16"/>
              </w:rPr>
              <w:t>t</w:t>
            </w:r>
            <w:r w:rsidR="00C243AA" w:rsidRPr="00B04DC3">
              <w:rPr>
                <w:i/>
                <w:sz w:val="16"/>
                <w:szCs w:val="16"/>
              </w:rPr>
              <w:t>orque</w:t>
            </w:r>
          </w:p>
        </w:tc>
        <w:tc>
          <w:tcPr>
            <w:tcW w:w="801" w:type="dxa"/>
          </w:tcPr>
          <w:p w:rsidR="00002BA6" w:rsidRPr="00B04DC3" w:rsidRDefault="00002BA6" w:rsidP="00002BA6">
            <w:pPr>
              <w:spacing w:before="20" w:after="20" w:line="120" w:lineRule="atLeast"/>
              <w:jc w:val="center"/>
              <w:rPr>
                <w:i/>
                <w:sz w:val="16"/>
                <w:szCs w:val="16"/>
              </w:rPr>
            </w:pPr>
          </w:p>
        </w:tc>
        <w:tc>
          <w:tcPr>
            <w:tcW w:w="556" w:type="dxa"/>
            <w:vMerge w:val="restart"/>
          </w:tcPr>
          <w:p w:rsidR="00002BA6" w:rsidRPr="00B04DC3" w:rsidRDefault="00002BA6" w:rsidP="00002BA6">
            <w:pPr>
              <w:spacing w:before="20" w:after="20" w:line="120" w:lineRule="atLeast"/>
              <w:jc w:val="center"/>
              <w:rPr>
                <w:i/>
                <w:sz w:val="16"/>
                <w:szCs w:val="16"/>
              </w:rPr>
            </w:pPr>
            <w:r w:rsidRPr="00B04DC3">
              <w:rPr>
                <w:i/>
                <w:sz w:val="16"/>
                <w:szCs w:val="16"/>
              </w:rPr>
              <w:t>Time</w:t>
            </w:r>
          </w:p>
        </w:tc>
        <w:tc>
          <w:tcPr>
            <w:tcW w:w="928"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r>
            <w:r w:rsidR="00C243AA">
              <w:rPr>
                <w:i/>
                <w:sz w:val="16"/>
                <w:szCs w:val="16"/>
              </w:rPr>
              <w:t>s</w:t>
            </w:r>
            <w:r w:rsidR="00C243AA" w:rsidRPr="00B04DC3">
              <w:rPr>
                <w:i/>
                <w:sz w:val="16"/>
                <w:szCs w:val="16"/>
              </w:rPr>
              <w:t>peed</w:t>
            </w:r>
          </w:p>
        </w:tc>
        <w:tc>
          <w:tcPr>
            <w:tcW w:w="857"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r>
            <w:r w:rsidR="00C243AA">
              <w:rPr>
                <w:i/>
                <w:sz w:val="16"/>
                <w:szCs w:val="16"/>
              </w:rPr>
              <w:t>t</w:t>
            </w:r>
            <w:r w:rsidR="00C243AA" w:rsidRPr="00B04DC3">
              <w:rPr>
                <w:i/>
                <w:sz w:val="16"/>
                <w:szCs w:val="16"/>
              </w:rPr>
              <w:t>orque</w:t>
            </w:r>
          </w:p>
        </w:tc>
        <w:tc>
          <w:tcPr>
            <w:tcW w:w="713" w:type="dxa"/>
          </w:tcPr>
          <w:p w:rsidR="00002BA6" w:rsidRPr="00B04DC3" w:rsidRDefault="00002BA6" w:rsidP="00002BA6">
            <w:pPr>
              <w:spacing w:before="20" w:after="20" w:line="120" w:lineRule="atLeast"/>
              <w:jc w:val="center"/>
              <w:rPr>
                <w:i/>
                <w:sz w:val="16"/>
                <w:szCs w:val="16"/>
              </w:rPr>
            </w:pPr>
          </w:p>
        </w:tc>
        <w:tc>
          <w:tcPr>
            <w:tcW w:w="571" w:type="dxa"/>
            <w:vMerge w:val="restart"/>
          </w:tcPr>
          <w:p w:rsidR="00002BA6" w:rsidRPr="00B04DC3" w:rsidRDefault="00002BA6" w:rsidP="00002BA6">
            <w:pPr>
              <w:spacing w:before="20" w:after="20" w:line="120" w:lineRule="atLeast"/>
              <w:jc w:val="center"/>
              <w:rPr>
                <w:i/>
                <w:sz w:val="16"/>
                <w:szCs w:val="16"/>
              </w:rPr>
            </w:pPr>
            <w:r w:rsidRPr="00B04DC3">
              <w:rPr>
                <w:i/>
                <w:sz w:val="16"/>
                <w:szCs w:val="16"/>
              </w:rPr>
              <w:t>Time</w:t>
            </w:r>
          </w:p>
        </w:tc>
        <w:tc>
          <w:tcPr>
            <w:tcW w:w="714"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r>
            <w:r w:rsidR="00C243AA">
              <w:rPr>
                <w:i/>
                <w:sz w:val="16"/>
                <w:szCs w:val="16"/>
              </w:rPr>
              <w:t>s</w:t>
            </w:r>
            <w:r w:rsidR="00C243AA" w:rsidRPr="00B04DC3">
              <w:rPr>
                <w:i/>
                <w:sz w:val="16"/>
                <w:szCs w:val="16"/>
              </w:rPr>
              <w:t>peed</w:t>
            </w:r>
          </w:p>
        </w:tc>
        <w:tc>
          <w:tcPr>
            <w:tcW w:w="907" w:type="dxa"/>
            <w:vMerge w:val="restart"/>
          </w:tcPr>
          <w:p w:rsidR="00002BA6" w:rsidRPr="00B04DC3" w:rsidRDefault="00002BA6" w:rsidP="00C243AA">
            <w:pPr>
              <w:spacing w:before="20" w:after="20" w:line="120" w:lineRule="atLeast"/>
              <w:jc w:val="center"/>
              <w:rPr>
                <w:i/>
                <w:sz w:val="16"/>
                <w:szCs w:val="16"/>
              </w:rPr>
            </w:pPr>
            <w:r w:rsidRPr="00B04DC3">
              <w:rPr>
                <w:i/>
                <w:sz w:val="16"/>
                <w:szCs w:val="16"/>
              </w:rPr>
              <w:t>Norm.</w:t>
            </w:r>
            <w:r w:rsidRPr="00B04DC3">
              <w:rPr>
                <w:i/>
                <w:sz w:val="16"/>
                <w:szCs w:val="16"/>
              </w:rPr>
              <w:br/>
            </w:r>
            <w:r w:rsidR="00C243AA">
              <w:rPr>
                <w:i/>
                <w:sz w:val="16"/>
                <w:szCs w:val="16"/>
              </w:rPr>
              <w:t>t</w:t>
            </w:r>
            <w:r w:rsidR="00C243AA" w:rsidRPr="00B04DC3">
              <w:rPr>
                <w:i/>
                <w:sz w:val="16"/>
                <w:szCs w:val="16"/>
              </w:rPr>
              <w:t>orque</w:t>
            </w:r>
          </w:p>
        </w:tc>
      </w:tr>
      <w:tr w:rsidR="00002BA6" w:rsidRPr="00B04DC3">
        <w:trPr>
          <w:trHeight w:hRule="exact" w:val="140"/>
          <w:tblHeader/>
        </w:trPr>
        <w:tc>
          <w:tcPr>
            <w:tcW w:w="556" w:type="dxa"/>
            <w:vMerge/>
          </w:tcPr>
          <w:p w:rsidR="00002BA6" w:rsidRPr="00B04DC3" w:rsidRDefault="00002BA6" w:rsidP="00002BA6">
            <w:pPr>
              <w:spacing w:before="20" w:after="20" w:line="120" w:lineRule="atLeast"/>
              <w:jc w:val="center"/>
              <w:rPr>
                <w:i/>
                <w:sz w:val="16"/>
                <w:szCs w:val="16"/>
              </w:rPr>
            </w:pPr>
          </w:p>
        </w:tc>
        <w:tc>
          <w:tcPr>
            <w:tcW w:w="903" w:type="dxa"/>
            <w:vMerge/>
          </w:tcPr>
          <w:p w:rsidR="00002BA6" w:rsidRPr="00B04DC3" w:rsidRDefault="00002BA6" w:rsidP="00002BA6">
            <w:pPr>
              <w:spacing w:before="20" w:after="20" w:line="120" w:lineRule="atLeast"/>
              <w:jc w:val="center"/>
              <w:rPr>
                <w:i/>
                <w:sz w:val="16"/>
                <w:szCs w:val="16"/>
              </w:rPr>
            </w:pPr>
          </w:p>
        </w:tc>
        <w:tc>
          <w:tcPr>
            <w:tcW w:w="999" w:type="dxa"/>
            <w:vMerge/>
          </w:tcPr>
          <w:p w:rsidR="00002BA6" w:rsidRPr="00B04DC3" w:rsidRDefault="00002BA6" w:rsidP="00002BA6">
            <w:pPr>
              <w:spacing w:before="20" w:after="20" w:line="120" w:lineRule="atLeast"/>
              <w:jc w:val="center"/>
              <w:rPr>
                <w:i/>
                <w:sz w:val="16"/>
                <w:szCs w:val="16"/>
              </w:rPr>
            </w:pPr>
          </w:p>
        </w:tc>
        <w:tc>
          <w:tcPr>
            <w:tcW w:w="801" w:type="dxa"/>
          </w:tcPr>
          <w:p w:rsidR="00002BA6" w:rsidRPr="00B04DC3" w:rsidRDefault="00002BA6" w:rsidP="00002BA6">
            <w:pPr>
              <w:spacing w:before="20" w:after="20" w:line="120" w:lineRule="atLeast"/>
              <w:jc w:val="center"/>
              <w:rPr>
                <w:i/>
                <w:sz w:val="16"/>
                <w:szCs w:val="16"/>
              </w:rPr>
            </w:pPr>
          </w:p>
        </w:tc>
        <w:tc>
          <w:tcPr>
            <w:tcW w:w="556" w:type="dxa"/>
            <w:vMerge/>
          </w:tcPr>
          <w:p w:rsidR="00002BA6" w:rsidRPr="00B04DC3" w:rsidRDefault="00002BA6" w:rsidP="00002BA6">
            <w:pPr>
              <w:spacing w:before="20" w:after="20" w:line="120" w:lineRule="atLeast"/>
              <w:jc w:val="center"/>
              <w:rPr>
                <w:i/>
                <w:sz w:val="16"/>
                <w:szCs w:val="16"/>
              </w:rPr>
            </w:pPr>
          </w:p>
        </w:tc>
        <w:tc>
          <w:tcPr>
            <w:tcW w:w="928" w:type="dxa"/>
            <w:vMerge/>
          </w:tcPr>
          <w:p w:rsidR="00002BA6" w:rsidRPr="00B04DC3" w:rsidRDefault="00002BA6" w:rsidP="00002BA6">
            <w:pPr>
              <w:spacing w:before="20" w:after="20" w:line="120" w:lineRule="atLeast"/>
              <w:jc w:val="center"/>
              <w:rPr>
                <w:i/>
                <w:sz w:val="16"/>
                <w:szCs w:val="16"/>
              </w:rPr>
            </w:pPr>
          </w:p>
        </w:tc>
        <w:tc>
          <w:tcPr>
            <w:tcW w:w="857" w:type="dxa"/>
            <w:vMerge/>
          </w:tcPr>
          <w:p w:rsidR="00002BA6" w:rsidRPr="00B04DC3" w:rsidRDefault="00002BA6" w:rsidP="00002BA6">
            <w:pPr>
              <w:spacing w:before="20" w:after="20" w:line="120" w:lineRule="atLeast"/>
              <w:jc w:val="center"/>
              <w:rPr>
                <w:i/>
                <w:sz w:val="16"/>
                <w:szCs w:val="16"/>
              </w:rPr>
            </w:pPr>
          </w:p>
        </w:tc>
        <w:tc>
          <w:tcPr>
            <w:tcW w:w="713" w:type="dxa"/>
          </w:tcPr>
          <w:p w:rsidR="00002BA6" w:rsidRPr="00B04DC3" w:rsidRDefault="00002BA6" w:rsidP="00002BA6">
            <w:pPr>
              <w:spacing w:before="20" w:after="20" w:line="120" w:lineRule="atLeast"/>
              <w:jc w:val="center"/>
              <w:rPr>
                <w:i/>
                <w:sz w:val="16"/>
                <w:szCs w:val="16"/>
              </w:rPr>
            </w:pPr>
          </w:p>
        </w:tc>
        <w:tc>
          <w:tcPr>
            <w:tcW w:w="571" w:type="dxa"/>
            <w:vMerge/>
          </w:tcPr>
          <w:p w:rsidR="00002BA6" w:rsidRPr="00B04DC3" w:rsidRDefault="00002BA6" w:rsidP="00002BA6">
            <w:pPr>
              <w:spacing w:before="20" w:after="20" w:line="120" w:lineRule="atLeast"/>
              <w:jc w:val="center"/>
              <w:rPr>
                <w:i/>
                <w:sz w:val="16"/>
                <w:szCs w:val="16"/>
              </w:rPr>
            </w:pPr>
          </w:p>
        </w:tc>
        <w:tc>
          <w:tcPr>
            <w:tcW w:w="714" w:type="dxa"/>
            <w:vMerge/>
          </w:tcPr>
          <w:p w:rsidR="00002BA6" w:rsidRPr="00B04DC3" w:rsidRDefault="00002BA6" w:rsidP="00002BA6">
            <w:pPr>
              <w:spacing w:before="20" w:after="20" w:line="120" w:lineRule="atLeast"/>
              <w:jc w:val="center"/>
              <w:rPr>
                <w:i/>
                <w:sz w:val="16"/>
                <w:szCs w:val="16"/>
              </w:rPr>
            </w:pPr>
          </w:p>
        </w:tc>
        <w:tc>
          <w:tcPr>
            <w:tcW w:w="907" w:type="dxa"/>
            <w:vMerge/>
          </w:tcPr>
          <w:p w:rsidR="00002BA6" w:rsidRPr="00B04DC3" w:rsidRDefault="00002BA6" w:rsidP="00002BA6">
            <w:pPr>
              <w:spacing w:before="20" w:after="20" w:line="120" w:lineRule="atLeast"/>
              <w:jc w:val="center"/>
              <w:rPr>
                <w:i/>
                <w:sz w:val="16"/>
                <w:szCs w:val="16"/>
              </w:rPr>
            </w:pPr>
          </w:p>
        </w:tc>
      </w:tr>
      <w:tr w:rsidR="00002BA6" w:rsidRPr="00B04DC3">
        <w:trPr>
          <w:trHeight w:hRule="exact" w:val="171"/>
          <w:tblHeader/>
        </w:trPr>
        <w:tc>
          <w:tcPr>
            <w:tcW w:w="556" w:type="dxa"/>
          </w:tcPr>
          <w:p w:rsidR="00002BA6" w:rsidRPr="00B04DC3" w:rsidRDefault="00002BA6" w:rsidP="00002BA6">
            <w:pPr>
              <w:spacing w:after="20" w:line="120" w:lineRule="atLeast"/>
              <w:jc w:val="center"/>
              <w:rPr>
                <w:i/>
                <w:sz w:val="16"/>
                <w:szCs w:val="16"/>
              </w:rPr>
            </w:pPr>
            <w:r w:rsidRPr="00B04DC3">
              <w:rPr>
                <w:i/>
                <w:sz w:val="16"/>
                <w:szCs w:val="16"/>
              </w:rPr>
              <w:t>s</w:t>
            </w:r>
          </w:p>
        </w:tc>
        <w:tc>
          <w:tcPr>
            <w:tcW w:w="903" w:type="dxa"/>
          </w:tcPr>
          <w:p w:rsidR="00002BA6" w:rsidRPr="00B04DC3" w:rsidRDefault="00002BA6" w:rsidP="00002BA6">
            <w:pPr>
              <w:spacing w:after="20" w:line="120" w:lineRule="atLeast"/>
              <w:jc w:val="center"/>
              <w:rPr>
                <w:i/>
                <w:sz w:val="16"/>
                <w:szCs w:val="16"/>
              </w:rPr>
            </w:pPr>
            <w:r w:rsidRPr="00B04DC3">
              <w:rPr>
                <w:i/>
                <w:sz w:val="16"/>
                <w:szCs w:val="16"/>
              </w:rPr>
              <w:t>per cent</w:t>
            </w:r>
          </w:p>
        </w:tc>
        <w:tc>
          <w:tcPr>
            <w:tcW w:w="999" w:type="dxa"/>
          </w:tcPr>
          <w:p w:rsidR="00002BA6" w:rsidRPr="00B04DC3" w:rsidRDefault="00002BA6" w:rsidP="00002BA6">
            <w:pPr>
              <w:spacing w:after="20" w:line="120" w:lineRule="atLeast"/>
              <w:jc w:val="center"/>
              <w:rPr>
                <w:i/>
                <w:sz w:val="16"/>
                <w:szCs w:val="16"/>
              </w:rPr>
            </w:pPr>
            <w:r w:rsidRPr="00B04DC3">
              <w:rPr>
                <w:i/>
                <w:sz w:val="16"/>
                <w:szCs w:val="16"/>
              </w:rPr>
              <w:t>per cent</w:t>
            </w:r>
          </w:p>
        </w:tc>
        <w:tc>
          <w:tcPr>
            <w:tcW w:w="801" w:type="dxa"/>
          </w:tcPr>
          <w:p w:rsidR="00002BA6" w:rsidRPr="00B04DC3" w:rsidRDefault="00002BA6" w:rsidP="00002BA6">
            <w:pPr>
              <w:spacing w:after="20" w:line="120" w:lineRule="atLeast"/>
              <w:jc w:val="center"/>
              <w:rPr>
                <w:i/>
                <w:sz w:val="16"/>
                <w:szCs w:val="16"/>
              </w:rPr>
            </w:pPr>
          </w:p>
        </w:tc>
        <w:tc>
          <w:tcPr>
            <w:tcW w:w="556" w:type="dxa"/>
          </w:tcPr>
          <w:p w:rsidR="00002BA6" w:rsidRPr="00B04DC3" w:rsidRDefault="00002BA6" w:rsidP="00002BA6">
            <w:pPr>
              <w:spacing w:after="20" w:line="120" w:lineRule="atLeast"/>
              <w:jc w:val="center"/>
              <w:rPr>
                <w:i/>
                <w:sz w:val="16"/>
                <w:szCs w:val="16"/>
              </w:rPr>
            </w:pPr>
            <w:r w:rsidRPr="00B04DC3">
              <w:rPr>
                <w:i/>
                <w:sz w:val="16"/>
                <w:szCs w:val="16"/>
              </w:rPr>
              <w:t>s</w:t>
            </w:r>
          </w:p>
        </w:tc>
        <w:tc>
          <w:tcPr>
            <w:tcW w:w="928" w:type="dxa"/>
          </w:tcPr>
          <w:p w:rsidR="00002BA6" w:rsidRPr="00B04DC3" w:rsidRDefault="00002BA6" w:rsidP="00002BA6">
            <w:pPr>
              <w:spacing w:after="20" w:line="120" w:lineRule="atLeast"/>
              <w:jc w:val="center"/>
              <w:rPr>
                <w:i/>
                <w:sz w:val="16"/>
                <w:szCs w:val="16"/>
              </w:rPr>
            </w:pPr>
            <w:r w:rsidRPr="00B04DC3">
              <w:rPr>
                <w:i/>
                <w:sz w:val="16"/>
                <w:szCs w:val="16"/>
              </w:rPr>
              <w:t>per cent</w:t>
            </w:r>
          </w:p>
        </w:tc>
        <w:tc>
          <w:tcPr>
            <w:tcW w:w="857" w:type="dxa"/>
          </w:tcPr>
          <w:p w:rsidR="00002BA6" w:rsidRPr="00B04DC3" w:rsidRDefault="00002BA6" w:rsidP="00002BA6">
            <w:pPr>
              <w:spacing w:after="20" w:line="120" w:lineRule="atLeast"/>
              <w:jc w:val="center"/>
              <w:rPr>
                <w:i/>
                <w:sz w:val="16"/>
                <w:szCs w:val="16"/>
              </w:rPr>
            </w:pPr>
            <w:r w:rsidRPr="00B04DC3">
              <w:rPr>
                <w:i/>
                <w:sz w:val="16"/>
                <w:szCs w:val="16"/>
              </w:rPr>
              <w:t>per cent</w:t>
            </w:r>
          </w:p>
        </w:tc>
        <w:tc>
          <w:tcPr>
            <w:tcW w:w="713" w:type="dxa"/>
          </w:tcPr>
          <w:p w:rsidR="00002BA6" w:rsidRPr="00B04DC3" w:rsidRDefault="00002BA6" w:rsidP="00002BA6">
            <w:pPr>
              <w:spacing w:after="20" w:line="120" w:lineRule="atLeast"/>
              <w:jc w:val="center"/>
              <w:rPr>
                <w:i/>
                <w:sz w:val="16"/>
                <w:szCs w:val="16"/>
              </w:rPr>
            </w:pPr>
          </w:p>
        </w:tc>
        <w:tc>
          <w:tcPr>
            <w:tcW w:w="571" w:type="dxa"/>
          </w:tcPr>
          <w:p w:rsidR="00002BA6" w:rsidRPr="00B04DC3" w:rsidRDefault="00002BA6" w:rsidP="00002BA6">
            <w:pPr>
              <w:spacing w:after="20" w:line="120" w:lineRule="atLeast"/>
              <w:jc w:val="center"/>
              <w:rPr>
                <w:i/>
                <w:sz w:val="16"/>
                <w:szCs w:val="16"/>
              </w:rPr>
            </w:pPr>
            <w:r w:rsidRPr="00B04DC3">
              <w:rPr>
                <w:i/>
                <w:sz w:val="16"/>
                <w:szCs w:val="16"/>
              </w:rPr>
              <w:t>s</w:t>
            </w:r>
          </w:p>
        </w:tc>
        <w:tc>
          <w:tcPr>
            <w:tcW w:w="714" w:type="dxa"/>
          </w:tcPr>
          <w:p w:rsidR="00002BA6" w:rsidRPr="00B04DC3" w:rsidRDefault="00002BA6" w:rsidP="00002BA6">
            <w:pPr>
              <w:spacing w:after="20" w:line="120" w:lineRule="atLeast"/>
              <w:jc w:val="center"/>
              <w:rPr>
                <w:i/>
                <w:sz w:val="16"/>
                <w:szCs w:val="16"/>
              </w:rPr>
            </w:pPr>
            <w:r w:rsidRPr="00B04DC3">
              <w:rPr>
                <w:i/>
                <w:sz w:val="16"/>
                <w:szCs w:val="16"/>
              </w:rPr>
              <w:t>per cent</w:t>
            </w:r>
          </w:p>
        </w:tc>
        <w:tc>
          <w:tcPr>
            <w:tcW w:w="907" w:type="dxa"/>
          </w:tcPr>
          <w:p w:rsidR="00002BA6" w:rsidRPr="00B04DC3" w:rsidRDefault="00002BA6" w:rsidP="00002BA6">
            <w:pPr>
              <w:spacing w:after="20" w:line="120" w:lineRule="atLeast"/>
              <w:jc w:val="center"/>
              <w:rPr>
                <w:i/>
                <w:sz w:val="16"/>
                <w:szCs w:val="16"/>
              </w:rPr>
            </w:pPr>
            <w:r w:rsidRPr="00B04DC3">
              <w:rPr>
                <w:i/>
                <w:sz w:val="16"/>
                <w:szCs w:val="16"/>
              </w:rPr>
              <w:t>per cent</w:t>
            </w:r>
          </w:p>
        </w:tc>
      </w:tr>
      <w:tr w:rsidR="00002BA6" w:rsidRPr="00B04DC3">
        <w:trPr>
          <w:trHeight w:hRule="exact" w:val="238"/>
        </w:trPr>
        <w:tc>
          <w:tcPr>
            <w:tcW w:w="556"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1</w:t>
            </w:r>
          </w:p>
        </w:tc>
        <w:tc>
          <w:tcPr>
            <w:tcW w:w="903"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160" w:lineRule="atLeast"/>
              <w:jc w:val="right"/>
              <w:rPr>
                <w:sz w:val="18"/>
                <w:szCs w:val="18"/>
              </w:rPr>
            </w:pPr>
          </w:p>
        </w:tc>
        <w:tc>
          <w:tcPr>
            <w:tcW w:w="556"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47</w:t>
            </w:r>
          </w:p>
        </w:tc>
        <w:tc>
          <w:tcPr>
            <w:tcW w:w="928"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857"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160" w:lineRule="atLeast"/>
              <w:jc w:val="right"/>
              <w:rPr>
                <w:sz w:val="18"/>
                <w:szCs w:val="18"/>
              </w:rPr>
            </w:pPr>
          </w:p>
        </w:tc>
        <w:tc>
          <w:tcPr>
            <w:tcW w:w="571"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93</w:t>
            </w:r>
          </w:p>
        </w:tc>
        <w:tc>
          <w:tcPr>
            <w:tcW w:w="714"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32.8</w:t>
            </w:r>
          </w:p>
        </w:tc>
        <w:tc>
          <w:tcPr>
            <w:tcW w:w="907"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32.7</w:t>
            </w:r>
          </w:p>
        </w:tc>
      </w:tr>
      <w:tr w:rsidR="00002BA6" w:rsidRPr="00B04DC3">
        <w:trPr>
          <w:trHeight w:hRule="exact" w:val="238"/>
        </w:trPr>
        <w:tc>
          <w:tcPr>
            <w:tcW w:w="556"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2</w:t>
            </w:r>
          </w:p>
        </w:tc>
        <w:tc>
          <w:tcPr>
            <w:tcW w:w="903"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160" w:lineRule="atLeast"/>
              <w:jc w:val="right"/>
              <w:rPr>
                <w:sz w:val="18"/>
                <w:szCs w:val="18"/>
              </w:rPr>
            </w:pPr>
          </w:p>
        </w:tc>
        <w:tc>
          <w:tcPr>
            <w:tcW w:w="556"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48</w:t>
            </w:r>
          </w:p>
        </w:tc>
        <w:tc>
          <w:tcPr>
            <w:tcW w:w="928"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857"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160" w:lineRule="atLeast"/>
              <w:jc w:val="right"/>
              <w:rPr>
                <w:sz w:val="18"/>
                <w:szCs w:val="18"/>
              </w:rPr>
            </w:pPr>
          </w:p>
        </w:tc>
        <w:tc>
          <w:tcPr>
            <w:tcW w:w="571" w:type="dxa"/>
          </w:tcPr>
          <w:p w:rsidR="00002BA6" w:rsidRPr="00B04DC3" w:rsidRDefault="00002BA6" w:rsidP="00002BA6">
            <w:pPr>
              <w:spacing w:beforeLines="10" w:before="24" w:afterLines="10" w:after="24" w:line="160" w:lineRule="atLeast"/>
              <w:jc w:val="center"/>
              <w:rPr>
                <w:sz w:val="18"/>
                <w:szCs w:val="18"/>
              </w:rPr>
            </w:pPr>
            <w:r w:rsidRPr="00B04DC3">
              <w:rPr>
                <w:sz w:val="18"/>
                <w:szCs w:val="18"/>
              </w:rPr>
              <w:t>94</w:t>
            </w:r>
          </w:p>
        </w:tc>
        <w:tc>
          <w:tcPr>
            <w:tcW w:w="714"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33.7</w:t>
            </w:r>
          </w:p>
        </w:tc>
        <w:tc>
          <w:tcPr>
            <w:tcW w:w="907" w:type="dxa"/>
          </w:tcPr>
          <w:p w:rsidR="00002BA6" w:rsidRPr="00B04DC3" w:rsidRDefault="00002BA6" w:rsidP="00002BA6">
            <w:pPr>
              <w:spacing w:beforeLines="10" w:before="24" w:afterLines="10" w:after="24" w:line="160" w:lineRule="atLeast"/>
              <w:jc w:val="center"/>
              <w:rPr>
                <w:snapToGrid w:val="0"/>
                <w:sz w:val="18"/>
                <w:szCs w:val="18"/>
                <w:lang w:eastAsia="de-DE"/>
              </w:rPr>
            </w:pPr>
            <w:r w:rsidRPr="00B04DC3">
              <w:rPr>
                <w:snapToGrid w:val="0"/>
                <w:sz w:val="18"/>
                <w:szCs w:val="18"/>
                <w:lang w:eastAsia="de-DE"/>
              </w:rPr>
              <w:t>32.5</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49</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95</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34.4</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29.5</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50</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13.1</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96</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26.5</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51</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13.1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30.1</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97</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34.4</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24.7</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52</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26.3</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25.5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98</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24.9</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1.5</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8.9</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53</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32.2</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99</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35.6</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25.2</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15.8</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30.9</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54</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41.7</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14.3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100</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36.1</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24.8</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27.4</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1.3</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55</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42.2</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101</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24.0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32.6</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0.7</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56</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42.8</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11.6</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102</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23.6</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34.8</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1.2</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57</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51.0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20.9</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103</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23.5</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36.2</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7.4</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58</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60.0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9.6</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104</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36.8</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22.7</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37.1</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6.2</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59</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49.4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105</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37.2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20.9</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14</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37.9</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10.2</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60</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38.9</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16.6</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106</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37.0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19.2</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15</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39.6</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12.3</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61</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43.4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30.8</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107</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18.4</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16</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42.3</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12.5</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62</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49.4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14.2</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108</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35.4</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17.6</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17</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45.3</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12.6</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63</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40.5</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109</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14.9</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18</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48.6</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64</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31.5</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43.5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110</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35.4</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9.9</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19</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40.8</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65</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36.6</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78.2</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111</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35.5</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4.3</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20</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33.0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16.3</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66</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40.8</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67.6</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112</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6.6</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21</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42.5</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27.4</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67</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44.7</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59.1</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113</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34.9</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22</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49.3</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26.7</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68</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48.3</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52.0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114</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34.7</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25.1</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23</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18.0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69</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51.9</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63.8</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115</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34.4</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29.3</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24</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57.1</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12.9</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70</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54.7</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27.9</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116</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34.5</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20.7</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25</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58.9</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8.6</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71</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55.3</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18.3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117</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16.6</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26</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59.3</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6.0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72</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55.1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118</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35.8</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16.2</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27</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59.0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4.9</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73</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54.8</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11.1</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119</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35.6</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20.3</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28</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57.9</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74</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54.7</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11.5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120</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22.5</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29</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55.7</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75</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54.8</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17.5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121</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35.3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23.4</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30</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52.1</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76</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55.6</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18.0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122</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34.7</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11.9</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31</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46.4</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77</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57.0</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14.1</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123</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45.5</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32</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38.6</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78</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58.1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7.0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124</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56.3</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33</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29.0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79</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43.3</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125</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46.2</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34</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20.8</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80</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28.5</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25.0</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126</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50.1</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35</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16.9</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81</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30.4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47.8</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127</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54.0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36</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16.9</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42.5</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82</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39.2</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128</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40.5</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37</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18.8</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38.4</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83</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32.7</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39.3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129</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27.0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38</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20.7</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32.9</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84</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17.3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130</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13.5</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39</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21.0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85</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31.6</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11.4</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131</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40</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19.1</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86</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10.2</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132</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41</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13.7</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87</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31.1</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19.5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133</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42</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2.2</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88</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22.5</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134</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43</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89</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31.6</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22.9</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135</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44</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90</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31.6</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24.3</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136</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45</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91</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31.9</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26.9</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137</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46</w:t>
            </w:r>
          </w:p>
        </w:tc>
        <w:tc>
          <w:tcPr>
            <w:tcW w:w="903"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99"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801" w:type="dxa"/>
          </w:tcPr>
          <w:p w:rsidR="00002BA6" w:rsidRPr="00B04DC3" w:rsidRDefault="00002BA6" w:rsidP="00002BA6">
            <w:pPr>
              <w:spacing w:beforeLines="10" w:before="24" w:afterLines="10" w:after="24" w:line="200" w:lineRule="atLeast"/>
              <w:jc w:val="right"/>
              <w:rPr>
                <w:sz w:val="18"/>
                <w:szCs w:val="18"/>
              </w:rPr>
            </w:pPr>
          </w:p>
        </w:tc>
        <w:tc>
          <w:tcPr>
            <w:tcW w:w="556"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92</w:t>
            </w:r>
          </w:p>
        </w:tc>
        <w:tc>
          <w:tcPr>
            <w:tcW w:w="928"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32.4</w:t>
            </w:r>
          </w:p>
        </w:tc>
        <w:tc>
          <w:tcPr>
            <w:tcW w:w="85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30.6</w:t>
            </w:r>
          </w:p>
        </w:tc>
        <w:tc>
          <w:tcPr>
            <w:tcW w:w="713" w:type="dxa"/>
          </w:tcPr>
          <w:p w:rsidR="00002BA6" w:rsidRPr="00B04DC3" w:rsidRDefault="00002BA6" w:rsidP="00002BA6">
            <w:pPr>
              <w:spacing w:beforeLines="10" w:before="24" w:afterLines="10" w:after="24" w:line="200" w:lineRule="atLeast"/>
              <w:jc w:val="right"/>
              <w:rPr>
                <w:sz w:val="18"/>
                <w:szCs w:val="18"/>
              </w:rPr>
            </w:pPr>
          </w:p>
        </w:tc>
        <w:tc>
          <w:tcPr>
            <w:tcW w:w="571" w:type="dxa"/>
          </w:tcPr>
          <w:p w:rsidR="00002BA6" w:rsidRPr="00B04DC3" w:rsidRDefault="00002BA6" w:rsidP="00002BA6">
            <w:pPr>
              <w:spacing w:beforeLines="10" w:before="24" w:afterLines="10" w:after="24" w:line="200" w:lineRule="atLeast"/>
              <w:jc w:val="center"/>
              <w:rPr>
                <w:sz w:val="18"/>
                <w:szCs w:val="18"/>
              </w:rPr>
            </w:pPr>
            <w:r w:rsidRPr="00B04DC3">
              <w:rPr>
                <w:sz w:val="18"/>
                <w:szCs w:val="18"/>
              </w:rPr>
              <w:t>138</w:t>
            </w:r>
          </w:p>
        </w:tc>
        <w:tc>
          <w:tcPr>
            <w:tcW w:w="714"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c>
          <w:tcPr>
            <w:tcW w:w="907" w:type="dxa"/>
          </w:tcPr>
          <w:p w:rsidR="00002BA6" w:rsidRPr="00B04DC3" w:rsidRDefault="00002BA6" w:rsidP="00002BA6">
            <w:pPr>
              <w:spacing w:beforeLines="10" w:before="24" w:afterLines="10" w:after="24" w:line="200" w:lineRule="atLeast"/>
              <w:jc w:val="center"/>
              <w:rPr>
                <w:snapToGrid w:val="0"/>
                <w:sz w:val="18"/>
                <w:szCs w:val="18"/>
                <w:lang w:eastAsia="de-DE"/>
              </w:rPr>
            </w:pPr>
            <w:r w:rsidRPr="00B04DC3">
              <w:rPr>
                <w:snapToGrid w:val="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289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14.7</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290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28.4</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291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299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349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399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93.9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309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359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409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319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369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419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329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379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429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338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388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438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439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440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441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488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589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590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591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599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649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699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609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659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709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95.2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619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669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719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629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679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729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92.7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638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688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738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739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740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741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788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889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890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891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899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949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999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909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959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1009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919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969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1019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929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979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1029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938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988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1038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1039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1040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1041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1042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11.7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1088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1189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76.1</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1190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73.7</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1191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79.3</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1192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95.3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1199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1249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1299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1209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1259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1309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82.7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1219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1269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1319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63.7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85.6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1229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1279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1329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87.4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1238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1288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1338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1339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98.8</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1340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1341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99.5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98.7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91.7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95.1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79.7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77.3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28.7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76.3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93.8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94.9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83.7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74.9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90.4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88.5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97.2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1388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84.2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99.7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43.2</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1492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17.4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1499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1549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1599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24.0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1509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1559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1609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41.8</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40.7</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1519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1569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1619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35.0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23.0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38.0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44.4</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45.1</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1529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1579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1629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75.8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45.5</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73.9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72.2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1538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1588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1638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50.3</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1639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1640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45.8</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1641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46.0</w:t>
            </w: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1642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45.9</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44.6</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57.2</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46.2</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62.8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1649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1699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1749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53.3</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52.6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50.7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1659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1709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1759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45.7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70.5</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10.0</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36.7</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69.3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14.5</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1669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70.8</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1719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1769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18.1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71.0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56.7</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43.1</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56.3</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25.8</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68.0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56.4</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27.7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65.1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29.7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33.6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56.9</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60.9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56.1</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32.6</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30.5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54.3</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1679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48.6</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1729</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56.0</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39.2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1779</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1730</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41.4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1780</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44.0</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40.2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1731</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55.5</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44.2</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1781</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37.6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36.9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1732</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1782</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47.2</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34.2</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1733</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48.3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1783</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56.8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57.4</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31.1</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1734</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55.6</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49.1</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1784</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47.5</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25.9</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1735</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49.3</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1785</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42.9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57.5</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20.7</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1736</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47.7</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1786</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31.6</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16.4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1737</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55.9</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47.4</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1787</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25.8</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1688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57.6</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12.4</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1738</w:t>
            </w: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55.8</w:t>
            </w: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46.9</w:t>
            </w: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1788</w:t>
            </w: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19.9</w:t>
            </w: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1789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14.0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1790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8.1</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1791</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2.2</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m</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keepNext/>
              <w:keepLines/>
              <w:spacing w:beforeLines="20" w:before="48" w:afterLines="20" w:after="48" w:line="200" w:lineRule="atLeast"/>
              <w:jc w:val="center"/>
              <w:rPr>
                <w:color w:val="000000"/>
                <w:sz w:val="18"/>
                <w:szCs w:val="18"/>
              </w:rPr>
            </w:pPr>
            <w:r w:rsidRPr="00B04DC3">
              <w:rPr>
                <w:color w:val="000000"/>
                <w:sz w:val="18"/>
                <w:szCs w:val="18"/>
              </w:rPr>
              <w:t>1792</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1793</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1794</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1795</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1796</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1797</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1798</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1799</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r w:rsidRPr="00B04DC3">
              <w:rPr>
                <w:color w:val="000000"/>
                <w:sz w:val="18"/>
                <w:szCs w:val="18"/>
              </w:rPr>
              <w:t>1800</w:t>
            </w: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r w:rsidRPr="00B04DC3">
              <w:rPr>
                <w:snapToGrid w:val="0"/>
                <w:color w:val="000000"/>
                <w:sz w:val="18"/>
                <w:szCs w:val="18"/>
                <w:lang w:eastAsia="de-DE"/>
              </w:rPr>
              <w:t>0.0</w:t>
            </w: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r w:rsidR="00002BA6" w:rsidRPr="00B04DC3">
        <w:trPr>
          <w:trHeight w:hRule="exact" w:val="238"/>
        </w:trPr>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03"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99"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01" w:type="dxa"/>
          </w:tcPr>
          <w:p w:rsidR="00002BA6" w:rsidRPr="00B04DC3" w:rsidRDefault="00002BA6" w:rsidP="00002BA6">
            <w:pPr>
              <w:spacing w:beforeLines="20" w:before="48" w:afterLines="20" w:after="48" w:line="200" w:lineRule="atLeast"/>
              <w:jc w:val="right"/>
              <w:rPr>
                <w:color w:val="000000"/>
                <w:sz w:val="18"/>
                <w:szCs w:val="18"/>
              </w:rPr>
            </w:pPr>
          </w:p>
        </w:tc>
        <w:tc>
          <w:tcPr>
            <w:tcW w:w="556" w:type="dxa"/>
          </w:tcPr>
          <w:p w:rsidR="00002BA6" w:rsidRPr="00B04DC3" w:rsidRDefault="00002BA6" w:rsidP="00002BA6">
            <w:pPr>
              <w:spacing w:beforeLines="20" w:before="48" w:afterLines="20" w:after="48" w:line="200" w:lineRule="atLeast"/>
              <w:jc w:val="center"/>
              <w:rPr>
                <w:color w:val="000000"/>
                <w:sz w:val="18"/>
                <w:szCs w:val="18"/>
              </w:rPr>
            </w:pPr>
          </w:p>
        </w:tc>
        <w:tc>
          <w:tcPr>
            <w:tcW w:w="928"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85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713" w:type="dxa"/>
          </w:tcPr>
          <w:p w:rsidR="00002BA6" w:rsidRPr="00B04DC3" w:rsidRDefault="00002BA6" w:rsidP="00002BA6">
            <w:pPr>
              <w:spacing w:beforeLines="20" w:before="48" w:afterLines="20" w:after="48" w:line="200" w:lineRule="atLeast"/>
              <w:jc w:val="right"/>
              <w:rPr>
                <w:color w:val="000000"/>
                <w:sz w:val="18"/>
                <w:szCs w:val="18"/>
              </w:rPr>
            </w:pPr>
          </w:p>
        </w:tc>
        <w:tc>
          <w:tcPr>
            <w:tcW w:w="571" w:type="dxa"/>
          </w:tcPr>
          <w:p w:rsidR="00002BA6" w:rsidRPr="00B04DC3" w:rsidRDefault="00002BA6" w:rsidP="00002BA6">
            <w:pPr>
              <w:spacing w:beforeLines="20" w:before="48" w:afterLines="20" w:after="48" w:line="200" w:lineRule="atLeast"/>
              <w:jc w:val="center"/>
              <w:rPr>
                <w:color w:val="000000"/>
                <w:sz w:val="18"/>
                <w:szCs w:val="18"/>
              </w:rPr>
            </w:pPr>
          </w:p>
        </w:tc>
        <w:tc>
          <w:tcPr>
            <w:tcW w:w="714"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c>
          <w:tcPr>
            <w:tcW w:w="907" w:type="dxa"/>
          </w:tcPr>
          <w:p w:rsidR="00002BA6" w:rsidRPr="00B04DC3" w:rsidRDefault="00002BA6" w:rsidP="00002BA6">
            <w:pPr>
              <w:spacing w:beforeLines="20" w:before="48" w:afterLines="20" w:after="48" w:line="200" w:lineRule="atLeast"/>
              <w:jc w:val="center"/>
              <w:rPr>
                <w:snapToGrid w:val="0"/>
                <w:color w:val="000000"/>
                <w:sz w:val="18"/>
                <w:szCs w:val="18"/>
                <w:lang w:eastAsia="de-DE"/>
              </w:rPr>
            </w:pPr>
          </w:p>
        </w:tc>
      </w:tr>
    </w:tbl>
    <w:p w:rsidR="00002BA6" w:rsidRPr="00B04DC3" w:rsidRDefault="00002BA6" w:rsidP="00002BA6">
      <w:pPr>
        <w:spacing w:after="200"/>
      </w:pPr>
      <w:r w:rsidRPr="00B04DC3">
        <w:tab/>
      </w:r>
      <w:r w:rsidRPr="00B04DC3">
        <w:tab/>
        <w:t>m = motoring</w:t>
      </w:r>
    </w:p>
    <w:p w:rsidR="00002BA6" w:rsidRPr="00B04DC3" w:rsidRDefault="00002BA6" w:rsidP="00002BA6">
      <w:pPr>
        <w:pStyle w:val="BodyText"/>
        <w:tabs>
          <w:tab w:val="left" w:pos="567"/>
          <w:tab w:val="left" w:pos="1134"/>
          <w:tab w:val="left" w:pos="1701"/>
        </w:tabs>
        <w:jc w:val="both"/>
        <w:rPr>
          <w:b/>
          <w:sz w:val="24"/>
        </w:rPr>
      </w:pPr>
    </w:p>
    <w:p w:rsidR="00002BA6" w:rsidRPr="00B04DC3" w:rsidRDefault="00002BA6" w:rsidP="00002BA6">
      <w:pPr>
        <w:pStyle w:val="ANNEX"/>
        <w:tabs>
          <w:tab w:val="left" w:pos="1134"/>
          <w:tab w:val="left" w:pos="1701"/>
        </w:tabs>
        <w:spacing w:after="0"/>
        <w:rPr>
          <w:rFonts w:ascii="Times New Roman" w:hAnsi="Times New Roman"/>
          <w:b w:val="0"/>
          <w:bCs/>
          <w:sz w:val="24"/>
          <w:u w:val="single"/>
        </w:rPr>
        <w:sectPr w:rsidR="00002BA6" w:rsidRPr="00B04DC3" w:rsidSect="00002BA6">
          <w:headerReference w:type="even" r:id="rId441"/>
          <w:headerReference w:type="default" r:id="rId442"/>
          <w:footnotePr>
            <w:numRestart w:val="eachSect"/>
          </w:footnotePr>
          <w:endnotePr>
            <w:numFmt w:val="decimal"/>
          </w:endnotePr>
          <w:pgSz w:w="11907" w:h="16840" w:code="9"/>
          <w:pgMar w:top="1701" w:right="1134" w:bottom="2127" w:left="1134" w:header="851" w:footer="1701" w:gutter="0"/>
          <w:cols w:space="720"/>
          <w:docGrid w:linePitch="360"/>
        </w:sectPr>
      </w:pPr>
      <w:bookmarkStart w:id="578" w:name="_Toc66951838"/>
      <w:bookmarkStart w:id="579" w:name="_Toc66953262"/>
    </w:p>
    <w:p w:rsidR="00002BA6" w:rsidRPr="00B04DC3" w:rsidRDefault="00002BA6" w:rsidP="007A0831">
      <w:pPr>
        <w:pStyle w:val="HChG"/>
        <w:spacing w:after="360"/>
      </w:pPr>
      <w:bookmarkStart w:id="580" w:name="_Toc423599613"/>
      <w:bookmarkStart w:id="581" w:name="_Toc423611021"/>
      <w:r w:rsidRPr="00B04DC3">
        <w:t>Annex 4B</w:t>
      </w:r>
      <w:r w:rsidR="0045663E">
        <w:t xml:space="preserve"> - </w:t>
      </w:r>
      <w:r w:rsidRPr="00B04DC3">
        <w:t>Appendix 2</w:t>
      </w:r>
      <w:bookmarkEnd w:id="578"/>
      <w:bookmarkEnd w:id="579"/>
      <w:bookmarkEnd w:id="580"/>
      <w:bookmarkEnd w:id="581"/>
    </w:p>
    <w:p w:rsidR="00002BA6" w:rsidRPr="00B04DC3" w:rsidRDefault="00002BA6" w:rsidP="007A0831">
      <w:pPr>
        <w:pStyle w:val="HChG"/>
        <w:spacing w:after="360"/>
      </w:pPr>
      <w:r w:rsidRPr="00B04DC3">
        <w:tab/>
      </w:r>
      <w:r w:rsidRPr="00B04DC3">
        <w:tab/>
      </w:r>
      <w:bookmarkStart w:id="582" w:name="_Toc423599614"/>
      <w:bookmarkStart w:id="583" w:name="_Toc423611022"/>
      <w:r w:rsidRPr="00B04DC3">
        <w:t>Diesel reference fuel</w:t>
      </w:r>
      <w:bookmarkEnd w:id="582"/>
      <w:bookmarkEnd w:id="583"/>
    </w:p>
    <w:tbl>
      <w:tblPr>
        <w:tblW w:w="8505" w:type="dxa"/>
        <w:tblInd w:w="1134" w:type="dxa"/>
        <w:tblLayout w:type="fixed"/>
        <w:tblCellMar>
          <w:left w:w="103" w:type="dxa"/>
          <w:right w:w="103" w:type="dxa"/>
        </w:tblCellMar>
        <w:tblLook w:val="0000" w:firstRow="0" w:lastRow="0" w:firstColumn="0" w:lastColumn="0" w:noHBand="0" w:noVBand="0"/>
      </w:tblPr>
      <w:tblGrid>
        <w:gridCol w:w="2613"/>
        <w:gridCol w:w="1334"/>
        <w:gridCol w:w="1016"/>
        <w:gridCol w:w="1007"/>
        <w:gridCol w:w="1677"/>
        <w:gridCol w:w="858"/>
      </w:tblGrid>
      <w:tr w:rsidR="0045663E" w:rsidRPr="00B04DC3" w:rsidTr="0045663E">
        <w:tc>
          <w:tcPr>
            <w:tcW w:w="2613" w:type="dxa"/>
            <w:vMerge w:val="restart"/>
            <w:tcBorders>
              <w:top w:val="single" w:sz="6" w:space="0" w:color="000000"/>
              <w:left w:val="single" w:sz="7" w:space="0" w:color="000000"/>
              <w:right w:val="single" w:sz="6" w:space="0" w:color="000000"/>
            </w:tcBorders>
            <w:vAlign w:val="center"/>
          </w:tcPr>
          <w:p w:rsidR="0045663E" w:rsidRPr="00B04DC3" w:rsidRDefault="0045663E" w:rsidP="0045663E">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rPr>
                <w:bCs/>
                <w:i/>
                <w:snapToGrid w:val="0"/>
                <w:sz w:val="16"/>
                <w:szCs w:val="16"/>
              </w:rPr>
            </w:pPr>
            <w:r w:rsidRPr="00B04DC3">
              <w:rPr>
                <w:bCs/>
                <w:i/>
                <w:snapToGrid w:val="0"/>
                <w:sz w:val="16"/>
                <w:szCs w:val="16"/>
              </w:rPr>
              <w:fldChar w:fldCharType="begin"/>
            </w:r>
            <w:r w:rsidRPr="00B04DC3">
              <w:rPr>
                <w:bCs/>
                <w:i/>
                <w:snapToGrid w:val="0"/>
                <w:sz w:val="16"/>
                <w:szCs w:val="16"/>
              </w:rPr>
              <w:instrText>ADVANCE \d1</w:instrText>
            </w:r>
            <w:r w:rsidRPr="00B04DC3">
              <w:rPr>
                <w:bCs/>
                <w:i/>
                <w:snapToGrid w:val="0"/>
                <w:sz w:val="16"/>
                <w:szCs w:val="16"/>
              </w:rPr>
              <w:fldChar w:fldCharType="end"/>
            </w:r>
            <w:r w:rsidRPr="00B04DC3">
              <w:rPr>
                <w:bCs/>
                <w:i/>
                <w:snapToGrid w:val="0"/>
                <w:sz w:val="16"/>
                <w:szCs w:val="16"/>
              </w:rPr>
              <w:fldChar w:fldCharType="begin"/>
            </w:r>
            <w:r w:rsidRPr="00B04DC3">
              <w:rPr>
                <w:bCs/>
                <w:i/>
                <w:snapToGrid w:val="0"/>
                <w:sz w:val="16"/>
                <w:szCs w:val="16"/>
              </w:rPr>
              <w:instrText>ADVANCE \d6</w:instrText>
            </w:r>
            <w:r w:rsidRPr="00B04DC3">
              <w:rPr>
                <w:bCs/>
                <w:i/>
                <w:snapToGrid w:val="0"/>
                <w:sz w:val="16"/>
                <w:szCs w:val="16"/>
              </w:rPr>
              <w:fldChar w:fldCharType="end"/>
            </w:r>
          </w:p>
          <w:p w:rsidR="0045663E" w:rsidRPr="00B04DC3" w:rsidRDefault="0045663E" w:rsidP="0045663E">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rPr>
                <w:bCs/>
                <w:i/>
                <w:snapToGrid w:val="0"/>
                <w:sz w:val="16"/>
                <w:szCs w:val="16"/>
              </w:rPr>
            </w:pPr>
            <w:r>
              <w:rPr>
                <w:bCs/>
                <w:i/>
                <w:snapToGrid w:val="0"/>
                <w:sz w:val="16"/>
                <w:szCs w:val="16"/>
              </w:rPr>
              <w:t>Parameter</w:t>
            </w:r>
          </w:p>
        </w:tc>
        <w:tc>
          <w:tcPr>
            <w:tcW w:w="1334" w:type="dxa"/>
            <w:vMerge w:val="restart"/>
            <w:tcBorders>
              <w:top w:val="single" w:sz="6" w:space="0" w:color="000000"/>
              <w:left w:val="single" w:sz="6" w:space="0" w:color="FFFFFF"/>
              <w:right w:val="single" w:sz="6" w:space="0" w:color="000000"/>
            </w:tcBorders>
            <w:vAlign w:val="center"/>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Cs/>
                <w:i/>
                <w:snapToGrid w:val="0"/>
                <w:sz w:val="16"/>
                <w:szCs w:val="16"/>
              </w:rPr>
            </w:pPr>
            <w:r w:rsidRPr="00B04DC3">
              <w:rPr>
                <w:bCs/>
                <w:i/>
                <w:snapToGrid w:val="0"/>
                <w:sz w:val="16"/>
                <w:szCs w:val="16"/>
              </w:rPr>
              <w:fldChar w:fldCharType="begin"/>
            </w:r>
            <w:r w:rsidRPr="00B04DC3">
              <w:rPr>
                <w:bCs/>
                <w:i/>
                <w:snapToGrid w:val="0"/>
                <w:sz w:val="16"/>
                <w:szCs w:val="16"/>
              </w:rPr>
              <w:instrText>ADVANCE \d1</w:instrText>
            </w:r>
            <w:r w:rsidRPr="00B04DC3">
              <w:rPr>
                <w:bCs/>
                <w:i/>
                <w:snapToGrid w:val="0"/>
                <w:sz w:val="16"/>
                <w:szCs w:val="16"/>
              </w:rPr>
              <w:fldChar w:fldCharType="end"/>
            </w:r>
            <w:r w:rsidRPr="00B04DC3">
              <w:rPr>
                <w:bCs/>
                <w:i/>
                <w:snapToGrid w:val="0"/>
                <w:sz w:val="16"/>
                <w:szCs w:val="16"/>
              </w:rPr>
              <w:fldChar w:fldCharType="begin"/>
            </w:r>
            <w:r w:rsidRPr="00B04DC3">
              <w:rPr>
                <w:bCs/>
                <w:i/>
                <w:snapToGrid w:val="0"/>
                <w:sz w:val="16"/>
                <w:szCs w:val="16"/>
              </w:rPr>
              <w:instrText>ADVANCE \u6</w:instrText>
            </w:r>
            <w:r w:rsidRPr="00B04DC3">
              <w:rPr>
                <w:bCs/>
                <w:i/>
                <w:snapToGrid w:val="0"/>
                <w:sz w:val="16"/>
                <w:szCs w:val="16"/>
              </w:rPr>
              <w:fldChar w:fldCharType="end"/>
            </w:r>
            <w:r w:rsidRPr="00B04DC3">
              <w:rPr>
                <w:bCs/>
                <w:i/>
                <w:snapToGrid w:val="0"/>
                <w:sz w:val="16"/>
                <w:szCs w:val="16"/>
              </w:rPr>
              <w:fldChar w:fldCharType="begin"/>
            </w:r>
            <w:r w:rsidRPr="00B04DC3">
              <w:rPr>
                <w:bCs/>
                <w:i/>
                <w:snapToGrid w:val="0"/>
                <w:sz w:val="16"/>
                <w:szCs w:val="16"/>
              </w:rPr>
              <w:instrText>ADVANCE \d6</w:instrText>
            </w:r>
            <w:r w:rsidRPr="00B04DC3">
              <w:rPr>
                <w:bCs/>
                <w:i/>
                <w:snapToGrid w:val="0"/>
                <w:sz w:val="16"/>
                <w:szCs w:val="16"/>
              </w:rPr>
              <w:fldChar w:fldCharType="end"/>
            </w:r>
            <w:r w:rsidRPr="00B04DC3">
              <w:rPr>
                <w:bCs/>
                <w:i/>
                <w:snapToGrid w:val="0"/>
                <w:sz w:val="16"/>
                <w:szCs w:val="16"/>
              </w:rPr>
              <w:t>Unit</w:t>
            </w:r>
          </w:p>
        </w:tc>
        <w:tc>
          <w:tcPr>
            <w:tcW w:w="2023" w:type="dxa"/>
            <w:gridSpan w:val="2"/>
            <w:tcBorders>
              <w:top w:val="single" w:sz="7" w:space="0" w:color="000000"/>
              <w:left w:val="single" w:sz="6" w:space="0" w:color="FFFFFF"/>
              <w:bottom w:val="single" w:sz="7" w:space="0" w:color="000000"/>
              <w:right w:val="single" w:sz="6" w:space="0" w:color="000000"/>
            </w:tcBorders>
            <w:vAlign w:val="center"/>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center"/>
              <w:rPr>
                <w:bCs/>
                <w:i/>
                <w:snapToGrid w:val="0"/>
                <w:sz w:val="16"/>
                <w:szCs w:val="16"/>
              </w:rPr>
            </w:pPr>
            <w:r w:rsidRPr="00B04DC3">
              <w:rPr>
                <w:bCs/>
                <w:i/>
                <w:snapToGrid w:val="0"/>
                <w:sz w:val="16"/>
                <w:szCs w:val="16"/>
              </w:rPr>
              <w:t>Limits</w:t>
            </w:r>
            <w:r w:rsidRPr="00B04DC3">
              <w:rPr>
                <w:bCs/>
                <w:i/>
                <w:snapToGrid w:val="0"/>
                <w:sz w:val="16"/>
                <w:szCs w:val="16"/>
                <w:vertAlign w:val="superscript"/>
              </w:rPr>
              <w:t>1</w:t>
            </w:r>
          </w:p>
        </w:tc>
        <w:tc>
          <w:tcPr>
            <w:tcW w:w="1677" w:type="dxa"/>
            <w:vMerge w:val="restart"/>
            <w:tcBorders>
              <w:top w:val="single" w:sz="6" w:space="0" w:color="000000"/>
              <w:left w:val="single" w:sz="6" w:space="0" w:color="FFFFFF"/>
              <w:right w:val="single" w:sz="6" w:space="0" w:color="FFFFFF"/>
            </w:tcBorders>
            <w:vAlign w:val="center"/>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Cs/>
                <w:i/>
                <w:snapToGrid w:val="0"/>
                <w:sz w:val="16"/>
                <w:szCs w:val="16"/>
              </w:rPr>
            </w:pPr>
            <w:r w:rsidRPr="00B04DC3">
              <w:rPr>
                <w:bCs/>
                <w:i/>
                <w:snapToGrid w:val="0"/>
                <w:sz w:val="16"/>
                <w:szCs w:val="16"/>
              </w:rPr>
              <w:fldChar w:fldCharType="begin"/>
            </w:r>
            <w:r w:rsidRPr="00B04DC3">
              <w:rPr>
                <w:bCs/>
                <w:i/>
                <w:snapToGrid w:val="0"/>
                <w:sz w:val="16"/>
                <w:szCs w:val="16"/>
              </w:rPr>
              <w:instrText>ADVANCE \d1</w:instrText>
            </w:r>
            <w:r w:rsidRPr="00B04DC3">
              <w:rPr>
                <w:bCs/>
                <w:i/>
                <w:snapToGrid w:val="0"/>
                <w:sz w:val="16"/>
                <w:szCs w:val="16"/>
              </w:rPr>
              <w:fldChar w:fldCharType="end"/>
            </w:r>
            <w:r w:rsidRPr="00B04DC3">
              <w:rPr>
                <w:bCs/>
                <w:i/>
                <w:snapToGrid w:val="0"/>
                <w:sz w:val="16"/>
                <w:szCs w:val="16"/>
              </w:rPr>
              <w:t>Test method</w:t>
            </w:r>
            <w:r w:rsidRPr="00B04DC3">
              <w:rPr>
                <w:bCs/>
                <w:i/>
                <w:snapToGrid w:val="0"/>
                <w:sz w:val="16"/>
                <w:szCs w:val="16"/>
                <w:vertAlign w:val="superscript"/>
              </w:rPr>
              <w:t>5</w:t>
            </w:r>
          </w:p>
        </w:tc>
        <w:tc>
          <w:tcPr>
            <w:tcW w:w="858" w:type="dxa"/>
            <w:vMerge w:val="restart"/>
            <w:tcBorders>
              <w:top w:val="single" w:sz="6" w:space="0" w:color="000000"/>
              <w:left w:val="single" w:sz="6" w:space="0" w:color="000000"/>
              <w:right w:val="single" w:sz="7" w:space="0" w:color="000000"/>
            </w:tcBorders>
            <w:vAlign w:val="center"/>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Cs/>
                <w:i/>
                <w:snapToGrid w:val="0"/>
                <w:sz w:val="16"/>
                <w:szCs w:val="16"/>
                <w:highlight w:val="green"/>
              </w:rPr>
            </w:pPr>
          </w:p>
        </w:tc>
      </w:tr>
      <w:tr w:rsidR="0045663E" w:rsidRPr="00B04DC3" w:rsidTr="0045663E">
        <w:trPr>
          <w:trHeight w:val="44"/>
        </w:trPr>
        <w:tc>
          <w:tcPr>
            <w:tcW w:w="2613" w:type="dxa"/>
            <w:vMerge/>
            <w:tcBorders>
              <w:left w:val="single" w:sz="7" w:space="0" w:color="000000"/>
              <w:bottom w:val="single" w:sz="12" w:space="0" w:color="auto"/>
              <w:right w:val="single" w:sz="6" w:space="0" w:color="000000"/>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both"/>
              <w:rPr>
                <w:b/>
                <w:i/>
                <w:snapToGrid w:val="0"/>
                <w:sz w:val="16"/>
                <w:szCs w:val="16"/>
                <w:lang w:eastAsia="ja-JP"/>
              </w:rPr>
            </w:pPr>
          </w:p>
        </w:tc>
        <w:tc>
          <w:tcPr>
            <w:tcW w:w="1334" w:type="dxa"/>
            <w:vMerge/>
            <w:tcBorders>
              <w:left w:val="single" w:sz="6" w:space="0" w:color="FFFFFF"/>
              <w:bottom w:val="single" w:sz="12" w:space="0" w:color="auto"/>
              <w:right w:val="single" w:sz="6" w:space="0" w:color="000000"/>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
                <w:i/>
                <w:snapToGrid w:val="0"/>
                <w:sz w:val="16"/>
                <w:szCs w:val="16"/>
              </w:rPr>
            </w:pPr>
          </w:p>
        </w:tc>
        <w:tc>
          <w:tcPr>
            <w:tcW w:w="1016" w:type="dxa"/>
            <w:tcBorders>
              <w:top w:val="single" w:sz="6" w:space="0" w:color="FFFFFF"/>
              <w:left w:val="single" w:sz="6" w:space="0" w:color="FFFFFF"/>
              <w:bottom w:val="single" w:sz="12" w:space="0" w:color="auto"/>
              <w:right w:val="single" w:sz="6" w:space="0" w:color="000000"/>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Cs/>
                <w:i/>
                <w:snapToGrid w:val="0"/>
                <w:sz w:val="16"/>
                <w:szCs w:val="16"/>
              </w:rPr>
            </w:pPr>
            <w:r w:rsidRPr="00B04DC3">
              <w:rPr>
                <w:bCs/>
                <w:i/>
                <w:snapToGrid w:val="0"/>
                <w:sz w:val="16"/>
                <w:szCs w:val="16"/>
              </w:rPr>
              <w:t>Minimum</w:t>
            </w:r>
          </w:p>
        </w:tc>
        <w:tc>
          <w:tcPr>
            <w:tcW w:w="1007" w:type="dxa"/>
            <w:tcBorders>
              <w:top w:val="single" w:sz="6" w:space="0" w:color="FFFFFF"/>
              <w:left w:val="single" w:sz="6" w:space="0" w:color="FFFFFF"/>
              <w:bottom w:val="single" w:sz="12" w:space="0" w:color="auto"/>
              <w:right w:val="single" w:sz="6" w:space="0" w:color="000000"/>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Cs/>
                <w:i/>
                <w:snapToGrid w:val="0"/>
                <w:sz w:val="16"/>
                <w:szCs w:val="16"/>
              </w:rPr>
            </w:pPr>
            <w:r w:rsidRPr="00B04DC3">
              <w:rPr>
                <w:bCs/>
                <w:i/>
                <w:snapToGrid w:val="0"/>
                <w:sz w:val="16"/>
                <w:szCs w:val="16"/>
              </w:rPr>
              <w:t>Maximum</w:t>
            </w:r>
          </w:p>
        </w:tc>
        <w:tc>
          <w:tcPr>
            <w:tcW w:w="1677" w:type="dxa"/>
            <w:vMerge/>
            <w:tcBorders>
              <w:left w:val="single" w:sz="6" w:space="0" w:color="FFFFFF"/>
              <w:bottom w:val="single" w:sz="12" w:space="0" w:color="auto"/>
              <w:right w:val="single" w:sz="6" w:space="0" w:color="FFFFFF"/>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
                <w:i/>
                <w:snapToGrid w:val="0"/>
                <w:sz w:val="16"/>
                <w:szCs w:val="16"/>
              </w:rPr>
            </w:pPr>
          </w:p>
        </w:tc>
        <w:tc>
          <w:tcPr>
            <w:tcW w:w="858" w:type="dxa"/>
            <w:vMerge/>
            <w:tcBorders>
              <w:left w:val="single" w:sz="6" w:space="0" w:color="000000"/>
              <w:bottom w:val="single" w:sz="12" w:space="0" w:color="auto"/>
              <w:right w:val="single" w:sz="7" w:space="0" w:color="000000"/>
            </w:tcBorders>
          </w:tcPr>
          <w:p w:rsidR="0045663E" w:rsidRPr="00B04DC3" w:rsidRDefault="0045663E" w:rsidP="00002BA6">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pacing w:before="40" w:after="40" w:line="200" w:lineRule="exact"/>
              <w:jc w:val="right"/>
              <w:rPr>
                <w:b/>
                <w:i/>
                <w:snapToGrid w:val="0"/>
                <w:sz w:val="16"/>
                <w:szCs w:val="16"/>
                <w:highlight w:val="green"/>
              </w:rPr>
            </w:pPr>
          </w:p>
        </w:tc>
      </w:tr>
      <w:tr w:rsidR="00002BA6" w:rsidRPr="00B04DC3" w:rsidTr="0045663E">
        <w:tc>
          <w:tcPr>
            <w:tcW w:w="2613" w:type="dxa"/>
            <w:tcBorders>
              <w:top w:val="single" w:sz="12" w:space="0" w:color="auto"/>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Cetene number</w:t>
            </w:r>
          </w:p>
        </w:tc>
        <w:tc>
          <w:tcPr>
            <w:tcW w:w="1334" w:type="dxa"/>
            <w:tcBorders>
              <w:top w:val="single" w:sz="12" w:space="0" w:color="auto"/>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16" w:type="dxa"/>
            <w:tcBorders>
              <w:top w:val="single" w:sz="12" w:space="0" w:color="auto"/>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52</w:t>
            </w:r>
          </w:p>
        </w:tc>
        <w:tc>
          <w:tcPr>
            <w:tcW w:w="1007" w:type="dxa"/>
            <w:tcBorders>
              <w:top w:val="single" w:sz="12" w:space="0" w:color="auto"/>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54</w:t>
            </w:r>
          </w:p>
        </w:tc>
        <w:tc>
          <w:tcPr>
            <w:tcW w:w="1677" w:type="dxa"/>
            <w:tcBorders>
              <w:top w:val="single" w:sz="12" w:space="0" w:color="auto"/>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ISO 5165</w:t>
            </w:r>
          </w:p>
        </w:tc>
        <w:tc>
          <w:tcPr>
            <w:tcW w:w="858" w:type="dxa"/>
            <w:tcBorders>
              <w:top w:val="single" w:sz="12" w:space="0" w:color="auto"/>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rPr>
          <w:trHeight w:val="311"/>
        </w:trPr>
        <w:tc>
          <w:tcPr>
            <w:tcW w:w="2613" w:type="dxa"/>
            <w:tcBorders>
              <w:top w:val="single" w:sz="6" w:space="0" w:color="FFFFFF"/>
              <w:left w:val="single" w:sz="8" w:space="0" w:color="000000"/>
              <w:bottom w:val="single" w:sz="6"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Density at 15 °C</w:t>
            </w:r>
          </w:p>
        </w:tc>
        <w:tc>
          <w:tcPr>
            <w:tcW w:w="1334" w:type="dxa"/>
            <w:tcBorders>
              <w:top w:val="single" w:sz="6" w:space="0" w:color="FFFFFF"/>
              <w:left w:val="single" w:sz="6" w:space="0" w:color="FFFFFF"/>
              <w:bottom w:val="single" w:sz="6"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kg/m</w:t>
            </w:r>
            <w:r w:rsidRPr="00B04DC3">
              <w:rPr>
                <w:snapToGrid w:val="0"/>
                <w:sz w:val="18"/>
                <w:szCs w:val="18"/>
                <w:vertAlign w:val="superscript"/>
              </w:rPr>
              <w:t>3</w:t>
            </w:r>
          </w:p>
        </w:tc>
        <w:tc>
          <w:tcPr>
            <w:tcW w:w="1016" w:type="dxa"/>
            <w:tcBorders>
              <w:top w:val="single" w:sz="6" w:space="0" w:color="FFFFFF"/>
              <w:left w:val="single" w:sz="6" w:space="0" w:color="FFFFFF"/>
              <w:bottom w:val="single" w:sz="6"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833</w:t>
            </w:r>
          </w:p>
        </w:tc>
        <w:tc>
          <w:tcPr>
            <w:tcW w:w="1007" w:type="dxa"/>
            <w:tcBorders>
              <w:top w:val="single" w:sz="6" w:space="0" w:color="FFFFFF"/>
              <w:left w:val="single" w:sz="6" w:space="0" w:color="FFFFFF"/>
              <w:bottom w:val="single" w:sz="6"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837</w:t>
            </w:r>
          </w:p>
        </w:tc>
        <w:tc>
          <w:tcPr>
            <w:tcW w:w="1677" w:type="dxa"/>
            <w:tcBorders>
              <w:top w:val="single" w:sz="6" w:space="0" w:color="FFFFFF"/>
              <w:left w:val="single" w:sz="6" w:space="0" w:color="FFFFFF"/>
              <w:bottom w:val="single" w:sz="6" w:space="0" w:color="000000"/>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ISO 3675</w:t>
            </w:r>
          </w:p>
        </w:tc>
        <w:tc>
          <w:tcPr>
            <w:tcW w:w="858" w:type="dxa"/>
            <w:tcBorders>
              <w:top w:val="single" w:sz="6" w:space="0" w:color="FFFFFF"/>
              <w:left w:val="single" w:sz="6" w:space="0" w:color="000000"/>
              <w:bottom w:val="single" w:sz="6" w:space="0" w:color="000000"/>
              <w:right w:val="single" w:sz="8"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Distillation:</w:t>
            </w:r>
          </w:p>
        </w:tc>
        <w:tc>
          <w:tcPr>
            <w:tcW w:w="1334"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16"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677" w:type="dxa"/>
            <w:tcBorders>
              <w:top w:val="single" w:sz="6"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858" w:type="dxa"/>
            <w:tcBorders>
              <w:top w:val="single" w:sz="6"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- 50 per cent vol.</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°C</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245</w:t>
            </w: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ISO 3405</w:t>
            </w: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rPr>
                <w:snapToGrid w:val="0"/>
                <w:sz w:val="18"/>
                <w:szCs w:val="18"/>
              </w:rPr>
            </w:pPr>
            <w:r w:rsidRPr="00B04DC3">
              <w:rPr>
                <w:snapToGrid w:val="0"/>
                <w:sz w:val="18"/>
                <w:szCs w:val="18"/>
              </w:rPr>
              <w:t>- 95 per cent vol</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°C</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345</w:t>
            </w: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350</w:t>
            </w: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 final boiling point</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sym w:font="Symbol" w:char="F0B0"/>
            </w:r>
            <w:r w:rsidRPr="00B04DC3">
              <w:rPr>
                <w:snapToGrid w:val="0"/>
                <w:sz w:val="18"/>
                <w:szCs w:val="18"/>
              </w:rPr>
              <w:t>C</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r w:rsidRPr="00B04DC3">
              <w:rPr>
                <w:snapToGrid w:val="0"/>
                <w:sz w:val="18"/>
                <w:szCs w:val="18"/>
              </w:rPr>
              <w:t>370</w:t>
            </w: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line="20" w:lineRule="atLeast"/>
              <w:jc w:val="right"/>
              <w:rPr>
                <w:snapToGrid w:val="0"/>
                <w:sz w:val="18"/>
                <w:szCs w:val="18"/>
              </w:rPr>
            </w:pP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Flash point</w:t>
            </w:r>
          </w:p>
        </w:tc>
        <w:tc>
          <w:tcPr>
            <w:tcW w:w="1334"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°C</w:t>
            </w:r>
          </w:p>
        </w:tc>
        <w:tc>
          <w:tcPr>
            <w:tcW w:w="1016"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55</w:t>
            </w:r>
          </w:p>
        </w:tc>
        <w:tc>
          <w:tcPr>
            <w:tcW w:w="1007" w:type="dxa"/>
            <w:tcBorders>
              <w:top w:val="single" w:sz="6"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1677" w:type="dxa"/>
            <w:tcBorders>
              <w:top w:val="single" w:sz="6"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ISO 2719</w:t>
            </w:r>
          </w:p>
        </w:tc>
        <w:tc>
          <w:tcPr>
            <w:tcW w:w="858" w:type="dxa"/>
            <w:tcBorders>
              <w:top w:val="single" w:sz="6"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Cold filter plugging point</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°C</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-5</w:t>
            </w: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EN 116</w:t>
            </w: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Kinematic viscosity at 40 °C</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mm</w:t>
            </w:r>
            <w:r w:rsidRPr="00B04DC3">
              <w:rPr>
                <w:snapToGrid w:val="0"/>
                <w:sz w:val="18"/>
                <w:szCs w:val="18"/>
                <w:vertAlign w:val="superscript"/>
              </w:rPr>
              <w:t>2</w:t>
            </w:r>
            <w:r w:rsidRPr="00B04DC3">
              <w:rPr>
                <w:snapToGrid w:val="0"/>
                <w:sz w:val="18"/>
                <w:szCs w:val="18"/>
              </w:rPr>
              <w:t>/s</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2.3</w:t>
            </w: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3.3</w:t>
            </w: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ISO 3104</w:t>
            </w: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rPr>
          <w:trHeight w:val="226"/>
        </w:trPr>
        <w:tc>
          <w:tcPr>
            <w:tcW w:w="2613" w:type="dxa"/>
            <w:tcBorders>
              <w:top w:val="single" w:sz="6" w:space="0" w:color="FFFFFF"/>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Polycylic aromatic hydrocarbons</w:t>
            </w:r>
          </w:p>
        </w:tc>
        <w:tc>
          <w:tcPr>
            <w:tcW w:w="1334"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per cent m/m</w:t>
            </w:r>
          </w:p>
        </w:tc>
        <w:tc>
          <w:tcPr>
            <w:tcW w:w="1016"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2.0</w:t>
            </w:r>
          </w:p>
        </w:tc>
        <w:tc>
          <w:tcPr>
            <w:tcW w:w="1007" w:type="dxa"/>
            <w:tcBorders>
              <w:top w:val="single" w:sz="6" w:space="0" w:color="FFFFFF"/>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6.0</w:t>
            </w:r>
          </w:p>
        </w:tc>
        <w:tc>
          <w:tcPr>
            <w:tcW w:w="1677" w:type="dxa"/>
            <w:tcBorders>
              <w:top w:val="single" w:sz="6" w:space="0" w:color="FFFFFF"/>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EN 12916</w:t>
            </w:r>
          </w:p>
        </w:tc>
        <w:tc>
          <w:tcPr>
            <w:tcW w:w="858" w:type="dxa"/>
            <w:tcBorders>
              <w:top w:val="single" w:sz="6" w:space="0" w:color="FFFFFF"/>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rPr>
          <w:trHeight w:val="427"/>
        </w:trPr>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Conradson carbon residue (10 per cent DR)</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per cent m/m</w:t>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0.2</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ISO 10370</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 xml:space="preserve">Ash content </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per cent m/m</w:t>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0.01</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EN-ISO 6245</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Water content</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per cent m/m</w:t>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0.02</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EN-ISO 12937</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 xml:space="preserve">Sulfur content </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mg/kg</w:t>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10</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EN-ISO 14596</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Copper corrosion at 50 °C</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1</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EN-ISO 2160</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Lubricity (HFRR at 60 °C)</w:t>
            </w:r>
          </w:p>
        </w:tc>
        <w:tc>
          <w:tcPr>
            <w:tcW w:w="1334"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µm</w:t>
            </w:r>
          </w:p>
        </w:tc>
        <w:tc>
          <w:tcPr>
            <w:tcW w:w="1016"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p>
        </w:tc>
        <w:tc>
          <w:tcPr>
            <w:tcW w:w="1007" w:type="dxa"/>
            <w:tcBorders>
              <w:top w:val="single" w:sz="7" w:space="0" w:color="000000"/>
              <w:left w:val="single" w:sz="6" w:space="0" w:color="FFFFFF"/>
              <w:bottom w:val="single" w:sz="6" w:space="0" w:color="FFFFFF"/>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400</w:t>
            </w:r>
          </w:p>
        </w:tc>
        <w:tc>
          <w:tcPr>
            <w:tcW w:w="1677" w:type="dxa"/>
            <w:tcBorders>
              <w:top w:val="single" w:sz="7" w:space="0" w:color="000000"/>
              <w:left w:val="single" w:sz="6" w:space="0" w:color="FFFFFF"/>
              <w:bottom w:val="single" w:sz="6" w:space="0" w:color="FFFFFF"/>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CEC F-06-A-96</w:t>
            </w:r>
          </w:p>
        </w:tc>
        <w:tc>
          <w:tcPr>
            <w:tcW w:w="858" w:type="dxa"/>
            <w:tcBorders>
              <w:top w:val="single" w:sz="7" w:space="0" w:color="000000"/>
              <w:left w:val="single" w:sz="6" w:space="0" w:color="000000"/>
              <w:bottom w:val="single" w:sz="6" w:space="0" w:color="FFFFFF"/>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Neutralisation number</w:t>
            </w:r>
          </w:p>
        </w:tc>
        <w:tc>
          <w:tcPr>
            <w:tcW w:w="1334"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mg KOH/g</w:t>
            </w:r>
          </w:p>
        </w:tc>
        <w:tc>
          <w:tcPr>
            <w:tcW w:w="1016"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1007"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0.02</w:t>
            </w:r>
          </w:p>
        </w:tc>
        <w:tc>
          <w:tcPr>
            <w:tcW w:w="1677" w:type="dxa"/>
            <w:tcBorders>
              <w:top w:val="single" w:sz="7" w:space="0" w:color="000000"/>
              <w:left w:val="single" w:sz="6" w:space="0" w:color="FFFFFF"/>
              <w:bottom w:val="single" w:sz="7" w:space="0" w:color="000000"/>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858" w:type="dxa"/>
            <w:tcBorders>
              <w:top w:val="single" w:sz="7" w:space="0" w:color="000000"/>
              <w:left w:val="single" w:sz="6" w:space="0" w:color="000000"/>
              <w:bottom w:val="single" w:sz="7" w:space="0" w:color="000000"/>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Oxidation stability @ 110 °C</w:t>
            </w:r>
            <w:r w:rsidRPr="00B04DC3">
              <w:rPr>
                <w:snapToGrid w:val="0"/>
                <w:sz w:val="18"/>
                <w:szCs w:val="18"/>
                <w:vertAlign w:val="superscript"/>
              </w:rPr>
              <w:t>2,3</w:t>
            </w:r>
          </w:p>
        </w:tc>
        <w:tc>
          <w:tcPr>
            <w:tcW w:w="1334"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fldChar w:fldCharType="begin"/>
            </w:r>
            <w:r w:rsidRPr="00B04DC3">
              <w:rPr>
                <w:snapToGrid w:val="0"/>
                <w:sz w:val="18"/>
                <w:szCs w:val="18"/>
              </w:rPr>
              <w:instrText>ADVANCE \d1</w:instrText>
            </w:r>
            <w:r w:rsidRPr="00B04DC3">
              <w:rPr>
                <w:snapToGrid w:val="0"/>
                <w:sz w:val="18"/>
                <w:szCs w:val="18"/>
              </w:rPr>
              <w:fldChar w:fldCharType="end"/>
            </w:r>
            <w:r w:rsidRPr="00B04DC3">
              <w:rPr>
                <w:snapToGrid w:val="0"/>
                <w:sz w:val="18"/>
                <w:szCs w:val="18"/>
              </w:rPr>
              <w:t>h</w:t>
            </w:r>
          </w:p>
        </w:tc>
        <w:tc>
          <w:tcPr>
            <w:tcW w:w="1016"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20</w:t>
            </w:r>
          </w:p>
        </w:tc>
        <w:tc>
          <w:tcPr>
            <w:tcW w:w="1007" w:type="dxa"/>
            <w:tcBorders>
              <w:top w:val="single" w:sz="7" w:space="0" w:color="000000"/>
              <w:left w:val="single" w:sz="6" w:space="0" w:color="FFFFFF"/>
              <w:bottom w:val="single" w:sz="7" w:space="0" w:color="000000"/>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p>
        </w:tc>
        <w:tc>
          <w:tcPr>
            <w:tcW w:w="1677" w:type="dxa"/>
            <w:tcBorders>
              <w:top w:val="single" w:sz="7" w:space="0" w:color="000000"/>
              <w:left w:val="single" w:sz="6" w:space="0" w:color="FFFFFF"/>
              <w:bottom w:val="single" w:sz="7" w:space="0" w:color="000000"/>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EN 14112</w:t>
            </w:r>
          </w:p>
        </w:tc>
        <w:tc>
          <w:tcPr>
            <w:tcW w:w="858" w:type="dxa"/>
            <w:tcBorders>
              <w:top w:val="single" w:sz="7" w:space="0" w:color="000000"/>
              <w:left w:val="single" w:sz="6" w:space="0" w:color="000000"/>
              <w:bottom w:val="single" w:sz="7" w:space="0" w:color="000000"/>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r w:rsidR="00002BA6" w:rsidRPr="00B04DC3" w:rsidTr="0045663E">
        <w:tc>
          <w:tcPr>
            <w:tcW w:w="2613" w:type="dxa"/>
            <w:tcBorders>
              <w:top w:val="single" w:sz="7" w:space="0" w:color="000000"/>
              <w:left w:val="single" w:sz="7" w:space="0" w:color="000000"/>
              <w:bottom w:val="single" w:sz="12" w:space="0" w:color="auto"/>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rPr>
                <w:snapToGrid w:val="0"/>
                <w:sz w:val="18"/>
                <w:szCs w:val="18"/>
              </w:rPr>
            </w:pPr>
            <w:r w:rsidRPr="00B04DC3">
              <w:rPr>
                <w:snapToGrid w:val="0"/>
                <w:sz w:val="18"/>
                <w:szCs w:val="18"/>
              </w:rPr>
              <w:t>FAME</w:t>
            </w:r>
            <w:r w:rsidRPr="00B04DC3">
              <w:rPr>
                <w:snapToGrid w:val="0"/>
                <w:sz w:val="18"/>
                <w:szCs w:val="18"/>
                <w:vertAlign w:val="superscript"/>
              </w:rPr>
              <w:t>4</w:t>
            </w:r>
          </w:p>
        </w:tc>
        <w:tc>
          <w:tcPr>
            <w:tcW w:w="1334" w:type="dxa"/>
            <w:tcBorders>
              <w:top w:val="single" w:sz="7" w:space="0" w:color="000000"/>
              <w:left w:val="single" w:sz="6" w:space="0" w:color="FFFFFF"/>
              <w:bottom w:val="single" w:sz="12" w:space="0" w:color="auto"/>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per cent v/v</w:t>
            </w:r>
          </w:p>
        </w:tc>
        <w:tc>
          <w:tcPr>
            <w:tcW w:w="1016" w:type="dxa"/>
            <w:tcBorders>
              <w:top w:val="single" w:sz="7" w:space="0" w:color="000000"/>
              <w:left w:val="single" w:sz="6" w:space="0" w:color="FFFFFF"/>
              <w:bottom w:val="single" w:sz="12" w:space="0" w:color="auto"/>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4.5</w:t>
            </w:r>
          </w:p>
        </w:tc>
        <w:tc>
          <w:tcPr>
            <w:tcW w:w="1007" w:type="dxa"/>
            <w:tcBorders>
              <w:top w:val="single" w:sz="7" w:space="0" w:color="000000"/>
              <w:left w:val="single" w:sz="6" w:space="0" w:color="FFFFFF"/>
              <w:bottom w:val="single" w:sz="12" w:space="0" w:color="auto"/>
              <w:right w:val="single" w:sz="6"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5.5</w:t>
            </w:r>
          </w:p>
        </w:tc>
        <w:tc>
          <w:tcPr>
            <w:tcW w:w="1677" w:type="dxa"/>
            <w:tcBorders>
              <w:top w:val="single" w:sz="7" w:space="0" w:color="000000"/>
              <w:left w:val="single" w:sz="6" w:space="0" w:color="FFFFFF"/>
              <w:bottom w:val="single" w:sz="12" w:space="0" w:color="auto"/>
              <w:right w:val="single" w:sz="6" w:space="0" w:color="FFFFFF"/>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rPr>
            </w:pPr>
            <w:r w:rsidRPr="00B04DC3">
              <w:rPr>
                <w:snapToGrid w:val="0"/>
                <w:sz w:val="18"/>
                <w:szCs w:val="18"/>
              </w:rPr>
              <w:t>EN 14078</w:t>
            </w:r>
          </w:p>
        </w:tc>
        <w:tc>
          <w:tcPr>
            <w:tcW w:w="858" w:type="dxa"/>
            <w:tcBorders>
              <w:top w:val="single" w:sz="7" w:space="0" w:color="000000"/>
              <w:left w:val="single" w:sz="6" w:space="0" w:color="000000"/>
              <w:bottom w:val="single" w:sz="12" w:space="0" w:color="auto"/>
              <w:right w:val="single" w:sz="7" w:space="0" w:color="000000"/>
            </w:tcBorders>
          </w:tcPr>
          <w:p w:rsidR="00002BA6" w:rsidRPr="00B04DC3" w:rsidRDefault="00002BA6" w:rsidP="00002BA6">
            <w:pPr>
              <w:pBdr>
                <w:top w:val="single" w:sz="6" w:space="0" w:color="FFFFFF"/>
                <w:left w:val="single" w:sz="6" w:space="0" w:color="FFFFFF"/>
                <w:bottom w:val="single" w:sz="6" w:space="0" w:color="FFFFFF"/>
                <w:right w:val="single" w:sz="6" w:space="0" w:color="FFFFFF"/>
              </w:pBdr>
              <w:spacing w:beforeLines="20" w:before="48" w:afterLines="20" w:after="48" w:line="220" w:lineRule="atLeast"/>
              <w:jc w:val="right"/>
              <w:rPr>
                <w:snapToGrid w:val="0"/>
                <w:sz w:val="18"/>
                <w:szCs w:val="18"/>
                <w:highlight w:val="green"/>
              </w:rPr>
            </w:pPr>
          </w:p>
        </w:tc>
      </w:tr>
    </w:tbl>
    <w:p w:rsidR="00002BA6" w:rsidRPr="00B04DC3" w:rsidRDefault="00002BA6" w:rsidP="00C704C2">
      <w:pPr>
        <w:pStyle w:val="Default"/>
        <w:tabs>
          <w:tab w:val="left" w:pos="709"/>
          <w:tab w:val="left" w:pos="1418"/>
        </w:tabs>
        <w:ind w:left="993"/>
        <w:rPr>
          <w:color w:val="auto"/>
          <w:sz w:val="16"/>
          <w:szCs w:val="16"/>
          <w:lang w:val="en-GB" w:eastAsia="en-US"/>
        </w:rPr>
      </w:pPr>
      <w:r w:rsidRPr="00B04DC3">
        <w:rPr>
          <w:color w:val="auto"/>
          <w:sz w:val="16"/>
          <w:szCs w:val="16"/>
          <w:vertAlign w:val="superscript"/>
          <w:lang w:val="en-GB" w:eastAsia="en-US"/>
        </w:rPr>
        <w:t>1</w:t>
      </w:r>
      <w:r w:rsidRPr="00B04DC3">
        <w:rPr>
          <w:color w:val="auto"/>
          <w:sz w:val="16"/>
          <w:szCs w:val="16"/>
          <w:lang w:val="en-GB" w:eastAsia="en-US"/>
        </w:rPr>
        <w:t xml:space="preserve">  The values quoted in the specification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002BA6" w:rsidRPr="00B04DC3" w:rsidRDefault="00002BA6" w:rsidP="00C704C2">
      <w:pPr>
        <w:pStyle w:val="Default"/>
        <w:tabs>
          <w:tab w:val="left" w:pos="709"/>
          <w:tab w:val="left" w:pos="1418"/>
        </w:tabs>
        <w:ind w:left="993"/>
        <w:rPr>
          <w:color w:val="auto"/>
          <w:sz w:val="16"/>
          <w:szCs w:val="16"/>
          <w:lang w:val="en-GB" w:eastAsia="en-US"/>
        </w:rPr>
      </w:pPr>
      <w:r w:rsidRPr="00B04DC3">
        <w:rPr>
          <w:color w:val="auto"/>
          <w:sz w:val="16"/>
          <w:szCs w:val="16"/>
          <w:lang w:val="en-GB" w:eastAsia="en-US"/>
        </w:rPr>
        <w:t xml:space="preserve">    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rsidR="00002BA6" w:rsidRPr="00B04DC3" w:rsidRDefault="00002BA6" w:rsidP="00002BA6">
      <w:pPr>
        <w:pStyle w:val="Default"/>
        <w:tabs>
          <w:tab w:val="left" w:pos="709"/>
          <w:tab w:val="left" w:pos="1418"/>
        </w:tabs>
        <w:ind w:left="993"/>
        <w:rPr>
          <w:color w:val="auto"/>
          <w:sz w:val="16"/>
          <w:szCs w:val="16"/>
          <w:lang w:val="en-GB" w:eastAsia="en-US"/>
        </w:rPr>
      </w:pPr>
      <w:r w:rsidRPr="00B04DC3">
        <w:rPr>
          <w:color w:val="auto"/>
          <w:sz w:val="16"/>
          <w:szCs w:val="16"/>
          <w:vertAlign w:val="superscript"/>
          <w:lang w:val="en-GB" w:eastAsia="en-US"/>
        </w:rPr>
        <w:t>2</w:t>
      </w:r>
      <w:r w:rsidRPr="00B04DC3">
        <w:rPr>
          <w:color w:val="auto"/>
          <w:sz w:val="16"/>
          <w:szCs w:val="16"/>
          <w:lang w:val="en-GB" w:eastAsia="en-US"/>
        </w:rPr>
        <w:t xml:space="preserve">   Even though oxidation stability is controlled, it is likely that shelf life will be limited. Advice shall be sought from the supplier as to storage conditions and life.</w:t>
      </w:r>
    </w:p>
    <w:p w:rsidR="00002BA6" w:rsidRPr="00B04DC3" w:rsidRDefault="00002BA6" w:rsidP="00002BA6">
      <w:pPr>
        <w:pStyle w:val="Default"/>
        <w:tabs>
          <w:tab w:val="left" w:pos="709"/>
          <w:tab w:val="left" w:pos="1418"/>
        </w:tabs>
        <w:ind w:left="993"/>
        <w:rPr>
          <w:color w:val="auto"/>
          <w:sz w:val="16"/>
          <w:szCs w:val="16"/>
          <w:lang w:val="en-GB" w:eastAsia="en-US"/>
        </w:rPr>
      </w:pPr>
      <w:r w:rsidRPr="00B04DC3">
        <w:rPr>
          <w:color w:val="auto"/>
          <w:sz w:val="16"/>
          <w:szCs w:val="16"/>
          <w:vertAlign w:val="superscript"/>
          <w:lang w:val="en-GB" w:eastAsia="en-US"/>
        </w:rPr>
        <w:t>3</w:t>
      </w:r>
      <w:r w:rsidRPr="00B04DC3">
        <w:rPr>
          <w:color w:val="auto"/>
          <w:sz w:val="16"/>
          <w:szCs w:val="16"/>
          <w:lang w:val="en-GB" w:eastAsia="en-US"/>
        </w:rPr>
        <w:t xml:space="preserve">   Oxidation stability can be demonstrated by EN-ISO 12205 or by EN 14112. This requirement shall be revised based on CEN/TC19 evaluations of oxidative stability performance and test limits.</w:t>
      </w:r>
    </w:p>
    <w:p w:rsidR="00002BA6" w:rsidRPr="00B04DC3" w:rsidRDefault="00002BA6" w:rsidP="00002BA6">
      <w:pPr>
        <w:pStyle w:val="Default"/>
        <w:tabs>
          <w:tab w:val="left" w:pos="709"/>
          <w:tab w:val="left" w:pos="1418"/>
        </w:tabs>
        <w:ind w:left="993"/>
        <w:rPr>
          <w:color w:val="auto"/>
          <w:sz w:val="16"/>
          <w:szCs w:val="16"/>
          <w:lang w:val="en-GB" w:eastAsia="en-US"/>
        </w:rPr>
      </w:pPr>
      <w:r w:rsidRPr="00B04DC3">
        <w:rPr>
          <w:color w:val="auto"/>
          <w:sz w:val="16"/>
          <w:szCs w:val="16"/>
          <w:vertAlign w:val="superscript"/>
          <w:lang w:val="en-GB" w:eastAsia="en-US"/>
        </w:rPr>
        <w:t>4</w:t>
      </w:r>
      <w:r w:rsidRPr="00B04DC3">
        <w:rPr>
          <w:color w:val="auto"/>
          <w:sz w:val="16"/>
          <w:szCs w:val="16"/>
          <w:lang w:val="en-GB" w:eastAsia="en-US"/>
        </w:rPr>
        <w:t xml:space="preserve">   FAME quality according EN 14214 (ASTM D 6751).</w:t>
      </w:r>
    </w:p>
    <w:p w:rsidR="00002BA6" w:rsidRPr="00B04DC3" w:rsidRDefault="00002BA6" w:rsidP="00002BA6">
      <w:pPr>
        <w:pStyle w:val="Default"/>
        <w:tabs>
          <w:tab w:val="left" w:pos="709"/>
          <w:tab w:val="left" w:pos="1418"/>
        </w:tabs>
        <w:ind w:left="993"/>
        <w:rPr>
          <w:color w:val="auto"/>
          <w:sz w:val="16"/>
          <w:szCs w:val="16"/>
          <w:lang w:val="en-GB" w:eastAsia="en-US"/>
        </w:rPr>
        <w:sectPr w:rsidR="00002BA6" w:rsidRPr="00B04DC3" w:rsidSect="00002BA6">
          <w:headerReference w:type="even" r:id="rId443"/>
          <w:headerReference w:type="default" r:id="rId444"/>
          <w:footnotePr>
            <w:numRestart w:val="eachSect"/>
          </w:footnotePr>
          <w:endnotePr>
            <w:numFmt w:val="decimal"/>
          </w:endnotePr>
          <w:pgSz w:w="11907" w:h="16840" w:code="9"/>
          <w:pgMar w:top="1668" w:right="1134" w:bottom="2268" w:left="1134" w:header="851" w:footer="1701" w:gutter="0"/>
          <w:cols w:space="720"/>
          <w:docGrid w:linePitch="360"/>
        </w:sectPr>
      </w:pPr>
      <w:r w:rsidRPr="00B04DC3">
        <w:rPr>
          <w:color w:val="auto"/>
          <w:sz w:val="16"/>
          <w:szCs w:val="16"/>
          <w:vertAlign w:val="superscript"/>
          <w:lang w:val="en-GB" w:eastAsia="en-US"/>
        </w:rPr>
        <w:t>5</w:t>
      </w:r>
      <w:r w:rsidRPr="00B04DC3">
        <w:rPr>
          <w:color w:val="auto"/>
          <w:sz w:val="16"/>
          <w:szCs w:val="16"/>
          <w:lang w:val="en-GB" w:eastAsia="en-US"/>
        </w:rPr>
        <w:t xml:space="preserve">   The latest version of the respective test method applies.</w:t>
      </w:r>
    </w:p>
    <w:p w:rsidR="00002BA6" w:rsidRPr="007A0831" w:rsidRDefault="00002BA6" w:rsidP="007A0831">
      <w:pPr>
        <w:pStyle w:val="HChG"/>
      </w:pPr>
      <w:bookmarkStart w:id="584" w:name="_Toc66951839"/>
      <w:bookmarkStart w:id="585" w:name="_Toc423599615"/>
      <w:bookmarkStart w:id="586" w:name="_Toc423611023"/>
      <w:bookmarkStart w:id="587" w:name="_Toc66953263"/>
      <w:bookmarkStart w:id="588" w:name="_Ref61323815"/>
      <w:bookmarkStart w:id="589" w:name="_Ref61323824"/>
      <w:r w:rsidRPr="007A0831">
        <w:t>Annex 4B</w:t>
      </w:r>
      <w:r w:rsidR="0045663E" w:rsidRPr="007A0831">
        <w:t xml:space="preserve"> - </w:t>
      </w:r>
      <w:r w:rsidRPr="007A0831">
        <w:t>Appendix 3</w:t>
      </w:r>
      <w:bookmarkEnd w:id="584"/>
      <w:bookmarkEnd w:id="585"/>
      <w:bookmarkEnd w:id="586"/>
    </w:p>
    <w:bookmarkEnd w:id="587"/>
    <w:p w:rsidR="00002BA6" w:rsidRPr="007A0831" w:rsidRDefault="00002BA6" w:rsidP="007A0831">
      <w:pPr>
        <w:pStyle w:val="HChG"/>
      </w:pPr>
      <w:r w:rsidRPr="007A0831">
        <w:tab/>
      </w:r>
      <w:r w:rsidRPr="007A0831">
        <w:tab/>
      </w:r>
      <w:bookmarkStart w:id="590" w:name="_Toc423599616"/>
      <w:bookmarkStart w:id="591" w:name="_Toc423611024"/>
      <w:r w:rsidRPr="007A0831">
        <w:t>Measurement equipment</w:t>
      </w:r>
      <w:bookmarkEnd w:id="590"/>
      <w:bookmarkEnd w:id="591"/>
    </w:p>
    <w:p w:rsidR="00002BA6" w:rsidRPr="00B04DC3" w:rsidRDefault="00002BA6" w:rsidP="00002BA6">
      <w:pPr>
        <w:pStyle w:val="para"/>
        <w:spacing w:after="100"/>
        <w:rPr>
          <w:lang w:val="en-GB"/>
        </w:rPr>
      </w:pPr>
      <w:r w:rsidRPr="00B04DC3">
        <w:rPr>
          <w:lang w:val="en-GB"/>
        </w:rPr>
        <w:t>A.3.1.</w:t>
      </w:r>
      <w:r w:rsidRPr="00B04DC3">
        <w:rPr>
          <w:lang w:val="en-GB"/>
        </w:rPr>
        <w:tab/>
        <w:t xml:space="preserve">This </w:t>
      </w:r>
      <w:r w:rsidR="0045663E">
        <w:rPr>
          <w:lang w:val="en-GB"/>
        </w:rPr>
        <w:t>a</w:t>
      </w:r>
      <w:r w:rsidR="0045663E" w:rsidRPr="00B04DC3">
        <w:rPr>
          <w:lang w:val="en-GB"/>
        </w:rPr>
        <w:t xml:space="preserve">ppendix </w:t>
      </w:r>
      <w:r w:rsidRPr="00B04DC3">
        <w:rPr>
          <w:lang w:val="en-GB"/>
        </w:rPr>
        <w:t xml:space="preserve">contains the basic requirements and the general descriptions of the sampling and analyzing systems for gaseous and particulate emissions measurement. Since various configurations can produce equivalent results, exact conformance with the figures of this </w:t>
      </w:r>
      <w:r w:rsidR="00C243AA">
        <w:rPr>
          <w:lang w:val="en-GB"/>
        </w:rPr>
        <w:t>a</w:t>
      </w:r>
      <w:r w:rsidR="00C243AA" w:rsidRPr="00B04DC3">
        <w:rPr>
          <w:lang w:val="en-GB"/>
        </w:rPr>
        <w:t xml:space="preserve">ppendix </w:t>
      </w:r>
      <w:r w:rsidRPr="00B04DC3">
        <w:rPr>
          <w:lang w:val="en-GB"/>
        </w:rPr>
        <w:t xml:space="preserve">is not required. Components such as instruments, valves, solenoids, pumps, flow devices and switches may be used to provide additional information and coordinate the functions of the component systems. Other components which are not needed to maintain the accuracy on some </w:t>
      </w:r>
      <w:r w:rsidR="0045663E" w:rsidRPr="00B04DC3">
        <w:rPr>
          <w:lang w:val="en-GB"/>
        </w:rPr>
        <w:t>systems</w:t>
      </w:r>
      <w:r w:rsidRPr="00B04DC3">
        <w:rPr>
          <w:lang w:val="en-GB"/>
        </w:rPr>
        <w:t xml:space="preserve"> may be excluded if their exclusion is based upon good engineering judgement.</w:t>
      </w:r>
    </w:p>
    <w:p w:rsidR="00002BA6" w:rsidRPr="00B04DC3" w:rsidRDefault="00002BA6" w:rsidP="00002BA6">
      <w:pPr>
        <w:pStyle w:val="para"/>
        <w:rPr>
          <w:lang w:val="en-GB"/>
        </w:rPr>
      </w:pPr>
      <w:r w:rsidRPr="00B04DC3">
        <w:rPr>
          <w:lang w:val="en-GB"/>
        </w:rPr>
        <w:t>A.3.1.1.</w:t>
      </w:r>
      <w:r w:rsidRPr="00B04DC3">
        <w:rPr>
          <w:lang w:val="en-GB"/>
        </w:rPr>
        <w:tab/>
        <w:t>Analytical system</w:t>
      </w:r>
    </w:p>
    <w:p w:rsidR="00002BA6" w:rsidRPr="00B04DC3" w:rsidRDefault="00002BA6" w:rsidP="00002BA6">
      <w:pPr>
        <w:pStyle w:val="para"/>
        <w:rPr>
          <w:lang w:val="en-GB"/>
        </w:rPr>
      </w:pPr>
      <w:r w:rsidRPr="00B04DC3">
        <w:rPr>
          <w:lang w:val="en-GB"/>
        </w:rPr>
        <w:t>A.3.1.2.</w:t>
      </w:r>
      <w:r w:rsidRPr="00B04DC3">
        <w:rPr>
          <w:lang w:val="en-GB"/>
        </w:rPr>
        <w:tab/>
        <w:t>Description of the analytical system</w:t>
      </w:r>
    </w:p>
    <w:p w:rsidR="00002BA6" w:rsidRPr="00B04DC3" w:rsidRDefault="00002BA6" w:rsidP="00002BA6">
      <w:pPr>
        <w:pStyle w:val="para"/>
        <w:rPr>
          <w:lang w:val="en-GB"/>
        </w:rPr>
      </w:pPr>
      <w:r w:rsidRPr="00B04DC3">
        <w:rPr>
          <w:lang w:val="en-GB"/>
        </w:rPr>
        <w:tab/>
        <w:t>Analytical system for the determination of the gaseous emissions in the raw exhaust gas (Figure 9) or in the diluted exhaust gas (Figure 10) are described based on the use of:</w:t>
      </w:r>
    </w:p>
    <w:p w:rsidR="00002BA6" w:rsidRPr="00B04DC3" w:rsidRDefault="00002BA6" w:rsidP="00002BA6">
      <w:pPr>
        <w:pStyle w:val="a"/>
        <w:spacing w:after="100"/>
        <w:rPr>
          <w:lang w:val="en-GB"/>
        </w:rPr>
      </w:pPr>
      <w:r w:rsidRPr="00B04DC3">
        <w:rPr>
          <w:lang w:val="en-GB"/>
        </w:rPr>
        <w:t>(a)</w:t>
      </w:r>
      <w:r w:rsidRPr="00B04DC3">
        <w:rPr>
          <w:lang w:val="en-GB"/>
        </w:rPr>
        <w:tab/>
        <w:t>HFID or FID analyzer for the measurement of hydrocarbons;</w:t>
      </w:r>
    </w:p>
    <w:p w:rsidR="00002BA6" w:rsidRPr="00B04DC3" w:rsidRDefault="00002BA6" w:rsidP="00002BA6">
      <w:pPr>
        <w:pStyle w:val="a"/>
        <w:spacing w:after="100"/>
        <w:rPr>
          <w:lang w:val="en-GB"/>
        </w:rPr>
      </w:pPr>
      <w:r w:rsidRPr="00B04DC3">
        <w:rPr>
          <w:lang w:val="en-GB"/>
        </w:rPr>
        <w:t>(b)</w:t>
      </w:r>
      <w:r w:rsidRPr="00B04DC3">
        <w:rPr>
          <w:lang w:val="en-GB"/>
        </w:rPr>
        <w:tab/>
        <w:t>NDIR analyzers for the measurement of carbon monoxide and carbon dioxide;</w:t>
      </w:r>
    </w:p>
    <w:p w:rsidR="00002BA6" w:rsidRPr="00B04DC3" w:rsidRDefault="00002BA6" w:rsidP="00002BA6">
      <w:pPr>
        <w:pStyle w:val="a"/>
        <w:spacing w:after="100"/>
        <w:rPr>
          <w:lang w:val="en-GB"/>
        </w:rPr>
      </w:pPr>
      <w:r w:rsidRPr="00B04DC3">
        <w:rPr>
          <w:lang w:val="en-GB"/>
        </w:rPr>
        <w:t>(c)</w:t>
      </w:r>
      <w:r w:rsidRPr="00B04DC3">
        <w:rPr>
          <w:lang w:val="en-GB"/>
        </w:rPr>
        <w:tab/>
        <w:t>HCLD or CLD analyzer for the measurement of the oxides of nitrogen.</w:t>
      </w:r>
    </w:p>
    <w:p w:rsidR="00002BA6" w:rsidRPr="00B04DC3" w:rsidRDefault="00002BA6" w:rsidP="00002BA6">
      <w:pPr>
        <w:pStyle w:val="para"/>
        <w:spacing w:after="100"/>
        <w:rPr>
          <w:lang w:val="en-GB"/>
        </w:rPr>
      </w:pPr>
      <w:r w:rsidRPr="00B04DC3">
        <w:rPr>
          <w:lang w:val="en-GB"/>
        </w:rPr>
        <w:tab/>
        <w:t>The sample for all components should be taken with one sampling probe and internally split to the different analyzers. Optionally, two sampling probes located in close proximity may be used. Care shall be taken that no unintended condensation of exhaust components (including water and sulphuric acid) occurs at any point of the analytical system.</w:t>
      </w:r>
    </w:p>
    <w:p w:rsidR="00002BA6" w:rsidRPr="00B04DC3" w:rsidRDefault="00002BA6" w:rsidP="00002BA6">
      <w:pPr>
        <w:pStyle w:val="Heading1"/>
      </w:pPr>
      <w:bookmarkStart w:id="592" w:name="_Toc399940030"/>
      <w:bookmarkStart w:id="593" w:name="_Toc423599617"/>
      <w:bookmarkStart w:id="594" w:name="_Toc423611025"/>
      <w:r w:rsidRPr="00B04DC3">
        <w:t>Figure 9</w:t>
      </w:r>
      <w:bookmarkEnd w:id="592"/>
      <w:bookmarkEnd w:id="593"/>
      <w:bookmarkEnd w:id="594"/>
    </w:p>
    <w:p w:rsidR="00002BA6" w:rsidRPr="00B04DC3" w:rsidRDefault="00002BA6" w:rsidP="00002BA6">
      <w:pPr>
        <w:pStyle w:val="Heading1"/>
        <w:rPr>
          <w:b/>
        </w:rPr>
      </w:pPr>
      <w:bookmarkStart w:id="595" w:name="_Toc399940031"/>
      <w:bookmarkStart w:id="596" w:name="_Toc423599618"/>
      <w:bookmarkStart w:id="597" w:name="_Toc423611026"/>
      <w:r w:rsidRPr="00B04DC3">
        <w:rPr>
          <w:b/>
        </w:rPr>
        <w:t>Schematic flow diagram of raw exhaust gas analysis system for CO, CO</w:t>
      </w:r>
      <w:r w:rsidRPr="00B04DC3">
        <w:rPr>
          <w:b/>
          <w:vertAlign w:val="subscript"/>
        </w:rPr>
        <w:t>2</w:t>
      </w:r>
      <w:r w:rsidRPr="00B04DC3">
        <w:rPr>
          <w:b/>
        </w:rPr>
        <w:t>, NO</w:t>
      </w:r>
      <w:r w:rsidRPr="00B04DC3">
        <w:rPr>
          <w:b/>
          <w:vertAlign w:val="subscript"/>
        </w:rPr>
        <w:t>x</w:t>
      </w:r>
      <w:r w:rsidRPr="00B04DC3">
        <w:rPr>
          <w:b/>
        </w:rPr>
        <w:t>, HC</w:t>
      </w:r>
      <w:bookmarkEnd w:id="595"/>
      <w:bookmarkEnd w:id="596"/>
      <w:bookmarkEnd w:id="597"/>
    </w:p>
    <w:p w:rsidR="00002BA6" w:rsidRPr="00B04DC3" w:rsidRDefault="00A905B7" w:rsidP="00002BA6">
      <w:pPr>
        <w:ind w:left="1843" w:firstLine="3"/>
        <w:jc w:val="both"/>
      </w:pPr>
      <w:r>
        <w:pict>
          <v:shape id="_x0000_i1296" type="#_x0000_t75" style="width:322.2pt;height:157.8pt">
            <v:imagedata r:id="rId445" o:title="fig-003"/>
          </v:shape>
        </w:pict>
      </w:r>
    </w:p>
    <w:p w:rsidR="00002BA6" w:rsidRPr="00551C68" w:rsidRDefault="00002BA6" w:rsidP="00002BA6">
      <w:pPr>
        <w:spacing w:before="120"/>
        <w:ind w:left="1276" w:firstLine="567"/>
      </w:pPr>
      <w:r w:rsidRPr="00B04DC3">
        <w:tab/>
      </w:r>
      <w:r w:rsidRPr="00551C68">
        <w:t>a = vent</w:t>
      </w:r>
      <w:r w:rsidRPr="00551C68">
        <w:tab/>
        <w:t>b = zero, span gas</w:t>
      </w:r>
      <w:r w:rsidRPr="00551C68">
        <w:tab/>
        <w:t>c = exhaust pipe</w:t>
      </w:r>
      <w:r w:rsidRPr="00551C68">
        <w:tab/>
        <w:t>d = optional</w:t>
      </w:r>
    </w:p>
    <w:p w:rsidR="00002BA6" w:rsidRPr="00B04DC3" w:rsidRDefault="00002BA6" w:rsidP="0045663E">
      <w:pPr>
        <w:pStyle w:val="Heading1"/>
        <w:keepNext/>
        <w:keepLines/>
      </w:pPr>
      <w:bookmarkStart w:id="598" w:name="_Toc399940032"/>
      <w:bookmarkStart w:id="599" w:name="_Toc423599619"/>
      <w:bookmarkStart w:id="600" w:name="_Toc423611027"/>
      <w:r w:rsidRPr="00B04DC3">
        <w:t>Figure 10</w:t>
      </w:r>
      <w:bookmarkEnd w:id="598"/>
      <w:bookmarkEnd w:id="599"/>
      <w:bookmarkEnd w:id="600"/>
    </w:p>
    <w:p w:rsidR="00002BA6" w:rsidRPr="00B04DC3" w:rsidRDefault="00002BA6" w:rsidP="0045663E">
      <w:pPr>
        <w:pStyle w:val="Heading1"/>
        <w:keepNext/>
        <w:keepLines/>
        <w:spacing w:after="120"/>
        <w:rPr>
          <w:b/>
        </w:rPr>
      </w:pPr>
      <w:bookmarkStart w:id="601" w:name="_Toc399940033"/>
      <w:bookmarkStart w:id="602" w:name="_Toc423599620"/>
      <w:bookmarkStart w:id="603" w:name="_Toc423611028"/>
      <w:r w:rsidRPr="00B04DC3">
        <w:rPr>
          <w:b/>
        </w:rPr>
        <w:t>Schematic flow diagram of diluted exhaust gas analysis system for CO, CO</w:t>
      </w:r>
      <w:r w:rsidRPr="00B04DC3">
        <w:rPr>
          <w:b/>
          <w:vertAlign w:val="subscript"/>
        </w:rPr>
        <w:t>2</w:t>
      </w:r>
      <w:r w:rsidRPr="00B04DC3">
        <w:rPr>
          <w:b/>
        </w:rPr>
        <w:t>, NO</w:t>
      </w:r>
      <w:r w:rsidRPr="00B04DC3">
        <w:rPr>
          <w:b/>
          <w:vertAlign w:val="subscript"/>
        </w:rPr>
        <w:t>x</w:t>
      </w:r>
      <w:r w:rsidRPr="00B04DC3">
        <w:rPr>
          <w:b/>
        </w:rPr>
        <w:t>, HC</w:t>
      </w:r>
      <w:bookmarkEnd w:id="601"/>
      <w:bookmarkEnd w:id="602"/>
      <w:bookmarkEnd w:id="603"/>
    </w:p>
    <w:p w:rsidR="00002BA6" w:rsidRPr="00B04DC3" w:rsidRDefault="00A905B7" w:rsidP="00002BA6">
      <w:pPr>
        <w:ind w:left="567" w:firstLine="567"/>
        <w:jc w:val="both"/>
      </w:pPr>
      <w:r>
        <w:pict>
          <v:shape id="_x0000_i1297" type="#_x0000_t75" style="width:367.8pt;height:218.4pt">
            <v:imagedata r:id="rId446" o:title="fig-004"/>
          </v:shape>
        </w:pict>
      </w:r>
    </w:p>
    <w:p w:rsidR="00002BA6" w:rsidRPr="00551C68" w:rsidRDefault="00551C68" w:rsidP="00002BA6">
      <w:pPr>
        <w:spacing w:before="120"/>
        <w:ind w:left="1276" w:firstLine="567"/>
      </w:pPr>
      <w:r>
        <w:tab/>
      </w:r>
      <w:r w:rsidR="00002BA6" w:rsidRPr="00551C68">
        <w:t>a = vent</w:t>
      </w:r>
      <w:r w:rsidR="00002BA6" w:rsidRPr="00551C68">
        <w:tab/>
      </w:r>
      <w:r w:rsidR="00002BA6" w:rsidRPr="00551C68">
        <w:tab/>
        <w:t>b = zero, span gas</w:t>
      </w:r>
      <w:r w:rsidR="00002BA6" w:rsidRPr="00551C68">
        <w:tab/>
        <w:t>c = dilution tunnel</w:t>
      </w:r>
      <w:r w:rsidR="00002BA6" w:rsidRPr="00551C68">
        <w:tab/>
        <w:t>d = optional</w:t>
      </w:r>
    </w:p>
    <w:p w:rsidR="00002BA6" w:rsidRPr="00B04DC3" w:rsidRDefault="00002BA6" w:rsidP="00551C68">
      <w:pPr>
        <w:pStyle w:val="para"/>
        <w:spacing w:before="120"/>
        <w:rPr>
          <w:lang w:val="en-GB"/>
        </w:rPr>
      </w:pPr>
      <w:r w:rsidRPr="00B04DC3">
        <w:rPr>
          <w:lang w:val="en-GB"/>
        </w:rPr>
        <w:t>A.3.1.3.</w:t>
      </w:r>
      <w:r w:rsidRPr="00B04DC3">
        <w:rPr>
          <w:lang w:val="en-GB"/>
        </w:rPr>
        <w:tab/>
        <w:t>Components of Figures 9 and 10</w:t>
      </w:r>
    </w:p>
    <w:p w:rsidR="00002BA6" w:rsidRPr="00B04DC3" w:rsidRDefault="00002BA6" w:rsidP="00002BA6">
      <w:pPr>
        <w:pStyle w:val="para"/>
        <w:rPr>
          <w:lang w:val="en-GB"/>
        </w:rPr>
      </w:pPr>
      <w:r w:rsidRPr="00B04DC3">
        <w:rPr>
          <w:lang w:val="en-GB"/>
        </w:rPr>
        <w:tab/>
        <w:t>EP</w:t>
      </w:r>
      <w:r w:rsidRPr="00B04DC3">
        <w:rPr>
          <w:lang w:val="en-GB"/>
        </w:rPr>
        <w:tab/>
        <w:t>Exhaust pipe</w:t>
      </w:r>
    </w:p>
    <w:p w:rsidR="00002BA6" w:rsidRPr="00B04DC3" w:rsidRDefault="00002BA6" w:rsidP="00002BA6">
      <w:pPr>
        <w:pStyle w:val="para"/>
        <w:rPr>
          <w:lang w:val="en-GB"/>
        </w:rPr>
      </w:pPr>
      <w:r w:rsidRPr="00B04DC3">
        <w:rPr>
          <w:lang w:val="en-GB"/>
        </w:rPr>
        <w:tab/>
        <w:t>SP</w:t>
      </w:r>
      <w:r w:rsidRPr="00B04DC3">
        <w:rPr>
          <w:lang w:val="en-GB"/>
        </w:rPr>
        <w:tab/>
        <w:t>Raw exhaust gas sampling probe (Figure 9 only)</w:t>
      </w:r>
    </w:p>
    <w:p w:rsidR="00002BA6" w:rsidRPr="00B04DC3" w:rsidRDefault="00002BA6" w:rsidP="00002BA6">
      <w:pPr>
        <w:pStyle w:val="para"/>
        <w:rPr>
          <w:lang w:val="en-GB"/>
        </w:rPr>
      </w:pPr>
      <w:r w:rsidRPr="00B04DC3">
        <w:rPr>
          <w:lang w:val="en-GB"/>
        </w:rPr>
        <w:tab/>
        <w:t>A stainless steel straight closed end multi-hole probe is recommended. The inside diameter shall not be greater than the inside diameter of the sampling line. The wall thickness of the probe shall not be greater than 1 mm. There shall be a minimum of three holes in three different radial planes sized to sample approximately the same flow. The probe shall extend across at least 80 per cent of the diameter of the exhaust pipe. One or two sampling probes may be used.</w:t>
      </w:r>
    </w:p>
    <w:p w:rsidR="00002BA6" w:rsidRPr="00B04DC3" w:rsidRDefault="00002BA6" w:rsidP="00002BA6">
      <w:pPr>
        <w:pStyle w:val="para"/>
        <w:rPr>
          <w:lang w:val="en-GB"/>
        </w:rPr>
      </w:pPr>
      <w:r w:rsidRPr="00B04DC3">
        <w:rPr>
          <w:lang w:val="en-GB"/>
        </w:rPr>
        <w:tab/>
        <w:t>SP2</w:t>
      </w:r>
      <w:r w:rsidRPr="00B04DC3">
        <w:rPr>
          <w:lang w:val="en-GB"/>
        </w:rPr>
        <w:tab/>
        <w:t>Dilute exhaust gas HC sampling probe (Figure 10 only)</w:t>
      </w:r>
    </w:p>
    <w:p w:rsidR="00002BA6" w:rsidRPr="00B04DC3" w:rsidRDefault="00002BA6" w:rsidP="00002BA6">
      <w:pPr>
        <w:pStyle w:val="para"/>
        <w:rPr>
          <w:lang w:val="en-GB"/>
        </w:rPr>
      </w:pPr>
      <w:r w:rsidRPr="00B04DC3">
        <w:rPr>
          <w:lang w:val="en-GB"/>
        </w:rPr>
        <w:tab/>
        <w:t>The probe shall:</w:t>
      </w:r>
    </w:p>
    <w:p w:rsidR="00002BA6" w:rsidRPr="00B04DC3" w:rsidRDefault="00002BA6" w:rsidP="00002BA6">
      <w:pPr>
        <w:pStyle w:val="para"/>
        <w:ind w:left="2835" w:hanging="567"/>
        <w:rPr>
          <w:lang w:val="en-GB"/>
        </w:rPr>
      </w:pPr>
      <w:r w:rsidRPr="00B04DC3">
        <w:rPr>
          <w:lang w:val="en-GB"/>
        </w:rPr>
        <w:t>(a)</w:t>
      </w:r>
      <w:r w:rsidRPr="00B04DC3">
        <w:rPr>
          <w:lang w:val="en-GB"/>
        </w:rPr>
        <w:tab/>
        <w:t>Be defined as the first 254 mm to 762 mm of the heated sampling line HSL1;</w:t>
      </w:r>
    </w:p>
    <w:p w:rsidR="00002BA6" w:rsidRPr="00B04DC3" w:rsidRDefault="00002BA6" w:rsidP="00002BA6">
      <w:pPr>
        <w:pStyle w:val="para"/>
        <w:ind w:left="2835" w:hanging="567"/>
        <w:rPr>
          <w:lang w:val="en-GB"/>
        </w:rPr>
      </w:pPr>
      <w:r w:rsidRPr="00B04DC3">
        <w:rPr>
          <w:lang w:val="en-GB"/>
        </w:rPr>
        <w:t>(b)</w:t>
      </w:r>
      <w:r w:rsidRPr="00B04DC3">
        <w:rPr>
          <w:lang w:val="en-GB"/>
        </w:rPr>
        <w:tab/>
        <w:t>Have a 5 mm minimum inside diameter;</w:t>
      </w:r>
    </w:p>
    <w:p w:rsidR="00002BA6" w:rsidRPr="00B04DC3" w:rsidRDefault="00002BA6" w:rsidP="00002BA6">
      <w:pPr>
        <w:pStyle w:val="para"/>
        <w:ind w:left="2835" w:hanging="567"/>
        <w:rPr>
          <w:lang w:val="en-GB"/>
        </w:rPr>
      </w:pPr>
      <w:r w:rsidRPr="00B04DC3">
        <w:rPr>
          <w:lang w:val="en-GB"/>
        </w:rPr>
        <w:t>(c)</w:t>
      </w:r>
      <w:r w:rsidRPr="00B04DC3">
        <w:rPr>
          <w:lang w:val="en-GB"/>
        </w:rPr>
        <w:tab/>
        <w:t>Be installed in the dilution tunnel DT (Figure 15) at a point where the diluent and exhaust gas are well mixed (i.e. approximately 10 tunnel diameters downstream of the point where the exhaust enters the dilution tunnel);</w:t>
      </w:r>
    </w:p>
    <w:p w:rsidR="00002BA6" w:rsidRPr="00B04DC3" w:rsidRDefault="00002BA6" w:rsidP="00002BA6">
      <w:pPr>
        <w:pStyle w:val="para"/>
        <w:ind w:left="2835" w:hanging="567"/>
        <w:rPr>
          <w:lang w:val="en-GB"/>
        </w:rPr>
      </w:pPr>
      <w:r w:rsidRPr="00B04DC3">
        <w:rPr>
          <w:lang w:val="en-GB"/>
        </w:rPr>
        <w:t>(d)</w:t>
      </w:r>
      <w:r w:rsidRPr="00B04DC3">
        <w:rPr>
          <w:lang w:val="en-GB"/>
        </w:rPr>
        <w:tab/>
        <w:t>Be sufficiently distant (radially) from other probes and the tunnel wall so as to be free from the influence of any wakes or eddies;</w:t>
      </w:r>
    </w:p>
    <w:p w:rsidR="00002BA6" w:rsidRPr="00B04DC3" w:rsidRDefault="00002BA6" w:rsidP="00002BA6">
      <w:pPr>
        <w:pStyle w:val="para"/>
        <w:ind w:left="2835" w:hanging="567"/>
        <w:rPr>
          <w:lang w:val="en-GB"/>
        </w:rPr>
      </w:pPr>
      <w:r w:rsidRPr="00B04DC3">
        <w:rPr>
          <w:lang w:val="en-GB"/>
        </w:rPr>
        <w:t>(e)</w:t>
      </w:r>
      <w:r w:rsidRPr="00B04DC3">
        <w:rPr>
          <w:lang w:val="en-GB"/>
        </w:rPr>
        <w:tab/>
        <w:t>Be heated so as to increase the gas stream temperature to 463 K </w:t>
      </w:r>
      <w:r w:rsidRPr="00B04DC3">
        <w:rPr>
          <w:lang w:val="en-GB"/>
        </w:rPr>
        <w:sym w:font="Symbol" w:char="F0B1"/>
      </w:r>
      <w:r w:rsidRPr="00B04DC3">
        <w:rPr>
          <w:lang w:val="en-GB"/>
        </w:rPr>
        <w:t> 10 K (190 °C </w:t>
      </w:r>
      <w:r w:rsidRPr="00B04DC3">
        <w:rPr>
          <w:lang w:val="en-GB"/>
        </w:rPr>
        <w:sym w:font="Symbol" w:char="F0B1"/>
      </w:r>
      <w:r w:rsidRPr="00B04DC3">
        <w:rPr>
          <w:lang w:val="en-GB"/>
        </w:rPr>
        <w:t xml:space="preserve"> 10 °C) at the exit of the probe, or </w:t>
      </w:r>
      <w:r w:rsidRPr="00B04DC3">
        <w:rPr>
          <w:lang w:val="en-GB"/>
        </w:rPr>
        <w:br/>
        <w:t xml:space="preserve">to 385 K </w:t>
      </w:r>
      <w:r w:rsidRPr="00B04DC3">
        <w:rPr>
          <w:lang w:val="en-GB"/>
        </w:rPr>
        <w:sym w:font="Symbol" w:char="F0B1"/>
      </w:r>
      <w:r w:rsidRPr="00B04DC3">
        <w:rPr>
          <w:lang w:val="en-GB"/>
        </w:rPr>
        <w:t xml:space="preserve"> 10 K (112 °C </w:t>
      </w:r>
      <w:r w:rsidRPr="00B04DC3">
        <w:rPr>
          <w:lang w:val="en-GB"/>
        </w:rPr>
        <w:sym w:font="Symbol" w:char="F0B1"/>
      </w:r>
      <w:r w:rsidRPr="00B04DC3">
        <w:rPr>
          <w:lang w:val="en-GB"/>
        </w:rPr>
        <w:t xml:space="preserve"> 10 °C) for positive ignition engines;</w:t>
      </w:r>
    </w:p>
    <w:p w:rsidR="00002BA6" w:rsidRPr="00B04DC3" w:rsidRDefault="00002BA6" w:rsidP="00002BA6">
      <w:pPr>
        <w:pStyle w:val="para"/>
        <w:ind w:left="2835" w:hanging="567"/>
        <w:rPr>
          <w:lang w:val="en-GB"/>
        </w:rPr>
      </w:pPr>
      <w:r w:rsidRPr="00B04DC3">
        <w:rPr>
          <w:lang w:val="en-GB"/>
        </w:rPr>
        <w:t>(f)</w:t>
      </w:r>
      <w:r w:rsidRPr="00B04DC3">
        <w:rPr>
          <w:lang w:val="en-GB"/>
        </w:rPr>
        <w:tab/>
        <w:t>Non-heated in case of FID measurement (cold).</w:t>
      </w:r>
    </w:p>
    <w:p w:rsidR="00002BA6" w:rsidRPr="00B04DC3" w:rsidRDefault="00002BA6" w:rsidP="00002BA6">
      <w:pPr>
        <w:pStyle w:val="para"/>
        <w:rPr>
          <w:lang w:val="en-GB"/>
        </w:rPr>
      </w:pPr>
      <w:r w:rsidRPr="00B04DC3">
        <w:rPr>
          <w:lang w:val="en-GB"/>
        </w:rPr>
        <w:tab/>
        <w:t>SP3</w:t>
      </w:r>
      <w:r w:rsidRPr="00B04DC3">
        <w:rPr>
          <w:lang w:val="en-GB"/>
        </w:rPr>
        <w:tab/>
        <w:t>Dilute exhaust gas CO, CO</w:t>
      </w:r>
      <w:r w:rsidRPr="00B04DC3">
        <w:rPr>
          <w:vertAlign w:val="subscript"/>
          <w:lang w:val="en-GB"/>
        </w:rPr>
        <w:t>2</w:t>
      </w:r>
      <w:r w:rsidRPr="00B04DC3">
        <w:rPr>
          <w:lang w:val="en-GB"/>
        </w:rPr>
        <w:t>, NO</w:t>
      </w:r>
      <w:r w:rsidRPr="00B04DC3">
        <w:rPr>
          <w:vertAlign w:val="subscript"/>
          <w:lang w:val="en-GB"/>
        </w:rPr>
        <w:t>x</w:t>
      </w:r>
      <w:r w:rsidRPr="00B04DC3">
        <w:rPr>
          <w:lang w:val="en-GB"/>
        </w:rPr>
        <w:t xml:space="preserve"> sampling probe (Figure  10 only)</w:t>
      </w:r>
    </w:p>
    <w:p w:rsidR="00002BA6" w:rsidRPr="00B04DC3" w:rsidRDefault="00002BA6" w:rsidP="00002BA6">
      <w:pPr>
        <w:pStyle w:val="para"/>
        <w:rPr>
          <w:lang w:val="en-GB"/>
        </w:rPr>
      </w:pPr>
      <w:r w:rsidRPr="00B04DC3">
        <w:rPr>
          <w:lang w:val="en-GB"/>
        </w:rPr>
        <w:tab/>
        <w:t>The probe shall:</w:t>
      </w:r>
    </w:p>
    <w:p w:rsidR="00002BA6" w:rsidRPr="00B04DC3" w:rsidRDefault="00002BA6" w:rsidP="00002BA6">
      <w:pPr>
        <w:pStyle w:val="para"/>
        <w:ind w:left="2835" w:hanging="567"/>
        <w:rPr>
          <w:lang w:val="en-GB"/>
        </w:rPr>
      </w:pPr>
      <w:r w:rsidRPr="00B04DC3">
        <w:rPr>
          <w:lang w:val="en-GB"/>
        </w:rPr>
        <w:t>(a)</w:t>
      </w:r>
      <w:r w:rsidRPr="00B04DC3">
        <w:rPr>
          <w:lang w:val="en-GB"/>
        </w:rPr>
        <w:tab/>
        <w:t>Be in the same plane as SP2;</w:t>
      </w:r>
    </w:p>
    <w:p w:rsidR="00002BA6" w:rsidRPr="00B04DC3" w:rsidRDefault="00002BA6" w:rsidP="00002BA6">
      <w:pPr>
        <w:pStyle w:val="para"/>
        <w:ind w:left="2835" w:hanging="567"/>
        <w:rPr>
          <w:lang w:val="en-GB"/>
        </w:rPr>
      </w:pPr>
      <w:r w:rsidRPr="00B04DC3">
        <w:rPr>
          <w:lang w:val="en-GB"/>
        </w:rPr>
        <w:t>(b)</w:t>
      </w:r>
      <w:r w:rsidRPr="00B04DC3">
        <w:rPr>
          <w:lang w:val="en-GB"/>
        </w:rPr>
        <w:tab/>
        <w:t>Be sufficiently distant (radially) from other probes and the tunnel wall so as to be free from the influence of any wakes or eddies;</w:t>
      </w:r>
    </w:p>
    <w:p w:rsidR="00002BA6" w:rsidRPr="00B04DC3" w:rsidRDefault="00002BA6" w:rsidP="00002BA6">
      <w:pPr>
        <w:pStyle w:val="para"/>
        <w:ind w:left="2835" w:hanging="567"/>
        <w:rPr>
          <w:lang w:val="en-GB"/>
        </w:rPr>
      </w:pPr>
      <w:r w:rsidRPr="00B04DC3">
        <w:rPr>
          <w:lang w:val="en-GB"/>
        </w:rPr>
        <w:t>(c)</w:t>
      </w:r>
      <w:r w:rsidRPr="00B04DC3">
        <w:rPr>
          <w:lang w:val="en-GB"/>
        </w:rPr>
        <w:tab/>
        <w:t>Be heated and insulated over its entire length to a minimum temperature of 328 K (55 °C) to prevent water condensation.</w:t>
      </w:r>
    </w:p>
    <w:p w:rsidR="00002BA6" w:rsidRPr="00B04DC3" w:rsidRDefault="00002BA6" w:rsidP="00002BA6">
      <w:pPr>
        <w:pStyle w:val="para"/>
        <w:rPr>
          <w:lang w:val="en-GB"/>
        </w:rPr>
      </w:pPr>
      <w:r w:rsidRPr="00B04DC3">
        <w:rPr>
          <w:lang w:val="en-GB"/>
        </w:rPr>
        <w:tab/>
        <w:t>HF1</w:t>
      </w:r>
      <w:r w:rsidRPr="00B04DC3">
        <w:rPr>
          <w:lang w:val="en-GB"/>
        </w:rPr>
        <w:tab/>
        <w:t>Heated pre-filter (optional)</w:t>
      </w:r>
    </w:p>
    <w:p w:rsidR="00002BA6" w:rsidRPr="00B04DC3" w:rsidRDefault="00002BA6" w:rsidP="00002BA6">
      <w:pPr>
        <w:pStyle w:val="para"/>
        <w:rPr>
          <w:lang w:val="en-GB"/>
        </w:rPr>
      </w:pPr>
      <w:r w:rsidRPr="00B04DC3">
        <w:rPr>
          <w:lang w:val="en-GB"/>
        </w:rPr>
        <w:tab/>
        <w:t>The temperature shall be the same as HSL1.</w:t>
      </w:r>
    </w:p>
    <w:p w:rsidR="00002BA6" w:rsidRPr="00B04DC3" w:rsidRDefault="00002BA6" w:rsidP="00002BA6">
      <w:pPr>
        <w:pStyle w:val="para"/>
        <w:rPr>
          <w:lang w:val="en-GB"/>
        </w:rPr>
      </w:pPr>
      <w:r w:rsidRPr="00B04DC3">
        <w:rPr>
          <w:lang w:val="en-GB"/>
        </w:rPr>
        <w:tab/>
        <w:t>HF2</w:t>
      </w:r>
      <w:r w:rsidRPr="00B04DC3">
        <w:rPr>
          <w:lang w:val="en-GB"/>
        </w:rPr>
        <w:tab/>
        <w:t xml:space="preserve">Heated </w:t>
      </w:r>
      <w:r w:rsidR="0045663E">
        <w:rPr>
          <w:lang w:val="en-GB"/>
        </w:rPr>
        <w:t>F</w:t>
      </w:r>
      <w:r w:rsidR="0045663E" w:rsidRPr="00B04DC3">
        <w:rPr>
          <w:lang w:val="en-GB"/>
        </w:rPr>
        <w:t>ilter</w:t>
      </w:r>
    </w:p>
    <w:p w:rsidR="00002BA6" w:rsidRPr="00B04DC3" w:rsidRDefault="00002BA6" w:rsidP="00002BA6">
      <w:pPr>
        <w:pStyle w:val="para"/>
        <w:rPr>
          <w:lang w:val="en-GB"/>
        </w:rPr>
      </w:pPr>
      <w:r w:rsidRPr="00B04DC3">
        <w:rPr>
          <w:lang w:val="en-GB"/>
        </w:rPr>
        <w:tab/>
        <w:t xml:space="preserve">The filter shall extract any solid </w:t>
      </w:r>
      <w:r w:rsidR="002E6737">
        <w:rPr>
          <w:lang w:val="en-GB"/>
        </w:rPr>
        <w:t>particulateparticulate</w:t>
      </w:r>
      <w:r w:rsidRPr="00B04DC3">
        <w:rPr>
          <w:lang w:val="en-GB"/>
        </w:rPr>
        <w:t>s from the gas sample prior to the analyzer. The temperature shall be the same as HSL1. The filter shall be changed as needed.</w:t>
      </w:r>
    </w:p>
    <w:p w:rsidR="00002BA6" w:rsidRPr="00B04DC3" w:rsidRDefault="00002BA6" w:rsidP="00002BA6">
      <w:pPr>
        <w:pStyle w:val="para"/>
        <w:rPr>
          <w:lang w:val="en-GB"/>
        </w:rPr>
      </w:pPr>
      <w:r w:rsidRPr="00B04DC3">
        <w:rPr>
          <w:lang w:val="en-GB"/>
        </w:rPr>
        <w:tab/>
        <w:t>HSL1</w:t>
      </w:r>
      <w:r w:rsidRPr="00B04DC3">
        <w:rPr>
          <w:lang w:val="en-GB"/>
        </w:rPr>
        <w:tab/>
        <w:t xml:space="preserve">Heated </w:t>
      </w:r>
      <w:r w:rsidR="0045663E">
        <w:rPr>
          <w:lang w:val="en-GB"/>
        </w:rPr>
        <w:t>S</w:t>
      </w:r>
      <w:r w:rsidR="0045663E" w:rsidRPr="00B04DC3">
        <w:rPr>
          <w:lang w:val="en-GB"/>
        </w:rPr>
        <w:t xml:space="preserve">ampling </w:t>
      </w:r>
      <w:r w:rsidR="0045663E">
        <w:rPr>
          <w:lang w:val="en-GB"/>
        </w:rPr>
        <w:t>L</w:t>
      </w:r>
      <w:r w:rsidR="0045663E" w:rsidRPr="00B04DC3">
        <w:rPr>
          <w:lang w:val="en-GB"/>
        </w:rPr>
        <w:t>ine</w:t>
      </w:r>
    </w:p>
    <w:p w:rsidR="00002BA6" w:rsidRPr="00B04DC3" w:rsidRDefault="00002BA6" w:rsidP="00002BA6">
      <w:pPr>
        <w:pStyle w:val="para"/>
        <w:rPr>
          <w:lang w:val="en-GB"/>
        </w:rPr>
      </w:pPr>
      <w:r w:rsidRPr="00B04DC3">
        <w:rPr>
          <w:lang w:val="en-GB"/>
        </w:rPr>
        <w:tab/>
        <w:t>The sampling line provides a gas sample from a single probe to the split point(s) and the HC analyzer.</w:t>
      </w:r>
    </w:p>
    <w:p w:rsidR="00002BA6" w:rsidRPr="00B04DC3" w:rsidRDefault="00002BA6" w:rsidP="00002BA6">
      <w:pPr>
        <w:pStyle w:val="para"/>
        <w:rPr>
          <w:lang w:val="en-GB"/>
        </w:rPr>
      </w:pPr>
      <w:r w:rsidRPr="00B04DC3">
        <w:rPr>
          <w:lang w:val="en-GB"/>
        </w:rPr>
        <w:tab/>
        <w:t>The sampling line shall:</w:t>
      </w:r>
    </w:p>
    <w:p w:rsidR="00002BA6" w:rsidRPr="00B04DC3" w:rsidRDefault="00002BA6" w:rsidP="00002BA6">
      <w:pPr>
        <w:pStyle w:val="para"/>
        <w:ind w:left="2835" w:hanging="567"/>
        <w:rPr>
          <w:lang w:val="en-GB"/>
        </w:rPr>
      </w:pPr>
      <w:r w:rsidRPr="00B04DC3">
        <w:rPr>
          <w:lang w:val="en-GB"/>
        </w:rPr>
        <w:t>(a)</w:t>
      </w:r>
      <w:r w:rsidRPr="00B04DC3">
        <w:rPr>
          <w:lang w:val="en-GB"/>
        </w:rPr>
        <w:tab/>
        <w:t>Have a 4 mm minimum and a 13.5 mm maximum inside diameter;</w:t>
      </w:r>
    </w:p>
    <w:p w:rsidR="00002BA6" w:rsidRPr="00B04DC3" w:rsidRDefault="00002BA6" w:rsidP="00002BA6">
      <w:pPr>
        <w:pStyle w:val="para"/>
        <w:ind w:left="2835" w:hanging="567"/>
        <w:rPr>
          <w:lang w:val="en-GB"/>
        </w:rPr>
      </w:pPr>
      <w:r w:rsidRPr="00B04DC3">
        <w:rPr>
          <w:lang w:val="en-GB"/>
        </w:rPr>
        <w:t>(b)</w:t>
      </w:r>
      <w:r w:rsidRPr="00B04DC3">
        <w:rPr>
          <w:lang w:val="en-GB"/>
        </w:rPr>
        <w:tab/>
        <w:t>Be made of stainless steel or PTFE;</w:t>
      </w:r>
    </w:p>
    <w:p w:rsidR="00002BA6" w:rsidRPr="00B04DC3" w:rsidRDefault="00002BA6" w:rsidP="00002BA6">
      <w:pPr>
        <w:pStyle w:val="para"/>
        <w:ind w:left="2835" w:hanging="567"/>
        <w:rPr>
          <w:lang w:val="en-GB"/>
        </w:rPr>
      </w:pPr>
      <w:r w:rsidRPr="00B04DC3">
        <w:rPr>
          <w:lang w:val="en-GB"/>
        </w:rPr>
        <w:t>(c)</w:t>
      </w:r>
      <w:r w:rsidRPr="00B04DC3">
        <w:rPr>
          <w:lang w:val="en-GB"/>
        </w:rPr>
        <w:tab/>
        <w:t>Maintain a wall temperature of 463 K ± 10 K (190 °C ± 10 °C) as measured at every separately controlled heated section, if the temperature of the exhaust gas at the sampling probe is equal to or below 463 K (190 °C);</w:t>
      </w:r>
    </w:p>
    <w:p w:rsidR="00002BA6" w:rsidRPr="00B04DC3" w:rsidRDefault="00002BA6" w:rsidP="00002BA6">
      <w:pPr>
        <w:pStyle w:val="para"/>
        <w:ind w:left="2835" w:hanging="567"/>
        <w:rPr>
          <w:lang w:val="en-GB"/>
        </w:rPr>
      </w:pPr>
      <w:r w:rsidRPr="00B04DC3">
        <w:rPr>
          <w:lang w:val="en-GB"/>
        </w:rPr>
        <w:t>(d)</w:t>
      </w:r>
      <w:r w:rsidRPr="00B04DC3">
        <w:rPr>
          <w:lang w:val="en-GB"/>
        </w:rPr>
        <w:tab/>
        <w:t>Maintain a wall temperature greater than 453 K (180 °C), if the temperature of the exhaust gas at the sampling probe is above 463 K (190 °C);</w:t>
      </w:r>
    </w:p>
    <w:p w:rsidR="00002BA6" w:rsidRPr="00B04DC3" w:rsidRDefault="00002BA6" w:rsidP="00002BA6">
      <w:pPr>
        <w:pStyle w:val="para"/>
        <w:ind w:left="2835" w:hanging="567"/>
        <w:rPr>
          <w:lang w:val="en-GB"/>
        </w:rPr>
      </w:pPr>
      <w:r w:rsidRPr="00B04DC3">
        <w:rPr>
          <w:lang w:val="en-GB"/>
        </w:rPr>
        <w:t>(e)</w:t>
      </w:r>
      <w:r w:rsidRPr="00B04DC3">
        <w:rPr>
          <w:lang w:val="en-GB"/>
        </w:rPr>
        <w:tab/>
        <w:t>Maintain a gas temperature of 463 K ± 10 K (190 °C ± 10 °C) immediately before the heated filter HF2 and the HFID.</w:t>
      </w:r>
    </w:p>
    <w:p w:rsidR="00002BA6" w:rsidRPr="00B04DC3" w:rsidRDefault="00002BA6" w:rsidP="00002BA6">
      <w:pPr>
        <w:pStyle w:val="para"/>
        <w:rPr>
          <w:lang w:val="en-GB"/>
        </w:rPr>
      </w:pPr>
      <w:r w:rsidRPr="00B04DC3">
        <w:rPr>
          <w:lang w:val="en-GB"/>
        </w:rPr>
        <w:tab/>
        <w:t>HSL2</w:t>
      </w:r>
      <w:r w:rsidRPr="00B04DC3">
        <w:rPr>
          <w:lang w:val="en-GB"/>
        </w:rPr>
        <w:tab/>
        <w:t>Heated NO</w:t>
      </w:r>
      <w:r w:rsidRPr="00B04DC3">
        <w:rPr>
          <w:vertAlign w:val="subscript"/>
          <w:lang w:val="en-GB"/>
        </w:rPr>
        <w:t>x</w:t>
      </w:r>
      <w:r w:rsidRPr="00B04DC3">
        <w:rPr>
          <w:lang w:val="en-GB"/>
        </w:rPr>
        <w:t xml:space="preserve"> </w:t>
      </w:r>
      <w:r w:rsidR="000A2DD6">
        <w:rPr>
          <w:lang w:val="en-GB"/>
        </w:rPr>
        <w:t>S</w:t>
      </w:r>
      <w:r w:rsidR="000A2DD6" w:rsidRPr="00B04DC3">
        <w:rPr>
          <w:lang w:val="en-GB"/>
        </w:rPr>
        <w:t xml:space="preserve">ampling </w:t>
      </w:r>
      <w:r w:rsidR="000A2DD6">
        <w:rPr>
          <w:lang w:val="en-GB"/>
        </w:rPr>
        <w:t>L</w:t>
      </w:r>
      <w:r w:rsidR="000A2DD6" w:rsidRPr="00B04DC3">
        <w:rPr>
          <w:lang w:val="en-GB"/>
        </w:rPr>
        <w:t>ine</w:t>
      </w:r>
    </w:p>
    <w:p w:rsidR="00002BA6" w:rsidRPr="00B04DC3" w:rsidRDefault="00002BA6" w:rsidP="00002BA6">
      <w:pPr>
        <w:pStyle w:val="para"/>
        <w:rPr>
          <w:lang w:val="en-GB"/>
        </w:rPr>
      </w:pPr>
      <w:r w:rsidRPr="00B04DC3">
        <w:rPr>
          <w:lang w:val="en-GB"/>
        </w:rPr>
        <w:tab/>
        <w:t>The sampling line shall:</w:t>
      </w:r>
    </w:p>
    <w:p w:rsidR="00002BA6" w:rsidRPr="00B04DC3" w:rsidRDefault="00002BA6" w:rsidP="00002BA6">
      <w:pPr>
        <w:pStyle w:val="para"/>
        <w:ind w:left="2835" w:hanging="567"/>
        <w:rPr>
          <w:lang w:val="en-GB"/>
        </w:rPr>
      </w:pPr>
      <w:r w:rsidRPr="00B04DC3">
        <w:rPr>
          <w:lang w:val="en-GB"/>
        </w:rPr>
        <w:t>(a)</w:t>
      </w:r>
      <w:r w:rsidRPr="00B04DC3">
        <w:rPr>
          <w:lang w:val="en-GB"/>
        </w:rPr>
        <w:tab/>
        <w:t>Maintain a wall temperature of 328 K to 473 K (55 °C to 200 °C), up to the converter for dry measurement, and up to the analyzer for wet measurement;</w:t>
      </w:r>
    </w:p>
    <w:p w:rsidR="00002BA6" w:rsidRPr="00B04DC3" w:rsidRDefault="00002BA6" w:rsidP="00002BA6">
      <w:pPr>
        <w:pStyle w:val="para"/>
        <w:ind w:left="2835" w:hanging="567"/>
        <w:rPr>
          <w:lang w:val="en-GB"/>
        </w:rPr>
      </w:pPr>
      <w:r w:rsidRPr="00B04DC3">
        <w:rPr>
          <w:lang w:val="en-GB"/>
        </w:rPr>
        <w:t>(b)</w:t>
      </w:r>
      <w:r w:rsidRPr="00B04DC3">
        <w:rPr>
          <w:lang w:val="en-GB"/>
        </w:rPr>
        <w:tab/>
        <w:t>Be made of stainless steel or PTFE.</w:t>
      </w:r>
    </w:p>
    <w:p w:rsidR="00002BA6" w:rsidRPr="00B04DC3" w:rsidRDefault="00002BA6" w:rsidP="00002BA6">
      <w:pPr>
        <w:pStyle w:val="para"/>
        <w:rPr>
          <w:lang w:val="en-GB"/>
        </w:rPr>
      </w:pPr>
      <w:r w:rsidRPr="00B04DC3">
        <w:rPr>
          <w:lang w:val="en-GB"/>
        </w:rPr>
        <w:tab/>
        <w:t>HP</w:t>
      </w:r>
      <w:r w:rsidRPr="00B04DC3">
        <w:rPr>
          <w:lang w:val="en-GB"/>
        </w:rPr>
        <w:tab/>
        <w:t>Heated sampling pump</w:t>
      </w:r>
    </w:p>
    <w:p w:rsidR="00002BA6" w:rsidRPr="00B04DC3" w:rsidRDefault="00002BA6" w:rsidP="00002BA6">
      <w:pPr>
        <w:pStyle w:val="para"/>
        <w:rPr>
          <w:lang w:val="en-GB"/>
        </w:rPr>
      </w:pPr>
      <w:r w:rsidRPr="00B04DC3">
        <w:rPr>
          <w:lang w:val="en-GB"/>
        </w:rPr>
        <w:tab/>
        <w:t>The pump shall be heated to the temperature of HSL.</w:t>
      </w:r>
    </w:p>
    <w:p w:rsidR="00002BA6" w:rsidRPr="00B04DC3" w:rsidRDefault="00002BA6" w:rsidP="00002BA6">
      <w:pPr>
        <w:pStyle w:val="para"/>
        <w:rPr>
          <w:lang w:val="en-GB"/>
        </w:rPr>
      </w:pPr>
      <w:r w:rsidRPr="00B04DC3">
        <w:rPr>
          <w:lang w:val="en-GB"/>
        </w:rPr>
        <w:tab/>
        <w:t>SL</w:t>
      </w:r>
      <w:r w:rsidRPr="00B04DC3">
        <w:rPr>
          <w:lang w:val="en-GB"/>
        </w:rPr>
        <w:tab/>
        <w:t xml:space="preserve">Sampling </w:t>
      </w:r>
      <w:r w:rsidR="00C243AA">
        <w:rPr>
          <w:lang w:val="en-GB"/>
        </w:rPr>
        <w:t>L</w:t>
      </w:r>
      <w:r w:rsidR="00C243AA" w:rsidRPr="00B04DC3">
        <w:rPr>
          <w:lang w:val="en-GB"/>
        </w:rPr>
        <w:t xml:space="preserve">ine </w:t>
      </w:r>
      <w:r w:rsidRPr="00B04DC3">
        <w:rPr>
          <w:lang w:val="en-GB"/>
        </w:rPr>
        <w:t>for CO and CO</w:t>
      </w:r>
      <w:r w:rsidRPr="00B04DC3">
        <w:rPr>
          <w:vertAlign w:val="subscript"/>
          <w:lang w:val="en-GB"/>
        </w:rPr>
        <w:t>2</w:t>
      </w:r>
    </w:p>
    <w:p w:rsidR="00002BA6" w:rsidRPr="00B04DC3" w:rsidRDefault="00002BA6" w:rsidP="00002BA6">
      <w:pPr>
        <w:pStyle w:val="para"/>
        <w:rPr>
          <w:lang w:val="en-GB"/>
        </w:rPr>
      </w:pPr>
      <w:r w:rsidRPr="00B04DC3">
        <w:rPr>
          <w:lang w:val="en-GB"/>
        </w:rPr>
        <w:tab/>
        <w:t>The line shall be made of PTFE or stainless steel. It may be heated or unheated.</w:t>
      </w:r>
    </w:p>
    <w:p w:rsidR="00002BA6" w:rsidRPr="00B04DC3" w:rsidRDefault="00002BA6" w:rsidP="00002BA6">
      <w:pPr>
        <w:pStyle w:val="para"/>
        <w:rPr>
          <w:lang w:val="en-GB"/>
        </w:rPr>
      </w:pPr>
      <w:r w:rsidRPr="00B04DC3">
        <w:rPr>
          <w:lang w:val="en-GB"/>
        </w:rPr>
        <w:br w:type="page"/>
      </w:r>
      <w:r w:rsidRPr="00B04DC3">
        <w:rPr>
          <w:lang w:val="en-GB"/>
        </w:rPr>
        <w:tab/>
        <w:t>HC</w:t>
      </w:r>
      <w:r w:rsidRPr="00B04DC3">
        <w:rPr>
          <w:lang w:val="en-GB"/>
        </w:rPr>
        <w:tab/>
        <w:t>HFID analyzer</w:t>
      </w:r>
    </w:p>
    <w:p w:rsidR="00002BA6" w:rsidRPr="00B04DC3" w:rsidRDefault="00002BA6" w:rsidP="00002BA6">
      <w:pPr>
        <w:pStyle w:val="para"/>
        <w:rPr>
          <w:lang w:val="en-GB"/>
        </w:rPr>
      </w:pPr>
      <w:r w:rsidRPr="00B04DC3">
        <w:rPr>
          <w:lang w:val="en-GB"/>
        </w:rPr>
        <w:tab/>
        <w:t xml:space="preserve">Heated </w:t>
      </w:r>
      <w:r w:rsidR="000A2DD6">
        <w:rPr>
          <w:lang w:val="en-GB"/>
        </w:rPr>
        <w:t>F</w:t>
      </w:r>
      <w:r w:rsidR="000A2DD6" w:rsidRPr="00B04DC3">
        <w:rPr>
          <w:lang w:val="en-GB"/>
        </w:rPr>
        <w:t xml:space="preserve">lame </w:t>
      </w:r>
      <w:r w:rsidR="000A2DD6">
        <w:rPr>
          <w:lang w:val="en-GB"/>
        </w:rPr>
        <w:t>I</w:t>
      </w:r>
      <w:r w:rsidR="000A2DD6" w:rsidRPr="00B04DC3">
        <w:rPr>
          <w:lang w:val="en-GB"/>
        </w:rPr>
        <w:t xml:space="preserve">onization </w:t>
      </w:r>
      <w:r w:rsidR="000A2DD6">
        <w:rPr>
          <w:lang w:val="en-GB"/>
        </w:rPr>
        <w:t>D</w:t>
      </w:r>
      <w:r w:rsidR="000A2DD6" w:rsidRPr="00B04DC3">
        <w:rPr>
          <w:lang w:val="en-GB"/>
        </w:rPr>
        <w:t xml:space="preserve">etector </w:t>
      </w:r>
      <w:r w:rsidRPr="00B04DC3">
        <w:rPr>
          <w:lang w:val="en-GB"/>
        </w:rPr>
        <w:t xml:space="preserve">(HFID) or </w:t>
      </w:r>
      <w:r w:rsidR="000A2DD6">
        <w:rPr>
          <w:lang w:val="en-GB"/>
        </w:rPr>
        <w:t>F</w:t>
      </w:r>
      <w:r w:rsidR="000A2DD6" w:rsidRPr="00B04DC3">
        <w:rPr>
          <w:lang w:val="en-GB"/>
        </w:rPr>
        <w:t xml:space="preserve">lame </w:t>
      </w:r>
      <w:r w:rsidR="000A2DD6">
        <w:rPr>
          <w:lang w:val="en-GB"/>
        </w:rPr>
        <w:t>I</w:t>
      </w:r>
      <w:r w:rsidR="000A2DD6" w:rsidRPr="00B04DC3">
        <w:rPr>
          <w:lang w:val="en-GB"/>
        </w:rPr>
        <w:t xml:space="preserve">onization </w:t>
      </w:r>
      <w:r w:rsidR="000A2DD6">
        <w:rPr>
          <w:lang w:val="en-GB"/>
        </w:rPr>
        <w:t>D</w:t>
      </w:r>
      <w:r w:rsidR="000A2DD6" w:rsidRPr="00B04DC3">
        <w:rPr>
          <w:lang w:val="en-GB"/>
        </w:rPr>
        <w:t xml:space="preserve">etector </w:t>
      </w:r>
      <w:r w:rsidRPr="00B04DC3">
        <w:rPr>
          <w:lang w:val="en-GB"/>
        </w:rPr>
        <w:t>(FID) for the determination of the hydrocarbons. The temperature of the HFID shall be kept at 453 K to 473 K (180 °C to 200 °C).</w:t>
      </w:r>
    </w:p>
    <w:p w:rsidR="00002BA6" w:rsidRPr="00B04DC3" w:rsidRDefault="00002BA6" w:rsidP="00002BA6">
      <w:pPr>
        <w:pStyle w:val="para"/>
        <w:rPr>
          <w:lang w:val="en-GB"/>
        </w:rPr>
      </w:pPr>
      <w:r w:rsidRPr="00B04DC3">
        <w:rPr>
          <w:lang w:val="en-GB"/>
        </w:rPr>
        <w:tab/>
        <w:t>CO, CO</w:t>
      </w:r>
      <w:r w:rsidRPr="00B04DC3">
        <w:rPr>
          <w:vertAlign w:val="subscript"/>
          <w:lang w:val="en-GB"/>
        </w:rPr>
        <w:t>2</w:t>
      </w:r>
      <w:r w:rsidRPr="00B04DC3">
        <w:rPr>
          <w:lang w:val="en-GB"/>
        </w:rPr>
        <w:tab/>
        <w:t>NDIR analyzer</w:t>
      </w:r>
    </w:p>
    <w:p w:rsidR="00002BA6" w:rsidRPr="00B04DC3" w:rsidRDefault="00002BA6" w:rsidP="00002BA6">
      <w:pPr>
        <w:pStyle w:val="para"/>
        <w:rPr>
          <w:lang w:val="en-GB"/>
        </w:rPr>
      </w:pPr>
      <w:r w:rsidRPr="00B04DC3">
        <w:rPr>
          <w:lang w:val="en-GB"/>
        </w:rPr>
        <w:tab/>
        <w:t>NDIR analyzers for the determination of carbon monoxide and carbon dioxide (optional for the determination of the dilution ratio for PT measurement).</w:t>
      </w:r>
    </w:p>
    <w:p w:rsidR="00002BA6" w:rsidRPr="00B04DC3" w:rsidRDefault="00002BA6" w:rsidP="00002BA6">
      <w:pPr>
        <w:pStyle w:val="para"/>
        <w:rPr>
          <w:lang w:val="en-GB"/>
        </w:rPr>
      </w:pPr>
      <w:r w:rsidRPr="00B04DC3">
        <w:rPr>
          <w:lang w:val="en-GB"/>
        </w:rPr>
        <w:tab/>
        <w:t>NO</w:t>
      </w:r>
      <w:r w:rsidRPr="00B04DC3">
        <w:rPr>
          <w:vertAlign w:val="subscript"/>
          <w:lang w:val="en-GB"/>
        </w:rPr>
        <w:t>x</w:t>
      </w:r>
      <w:r w:rsidRPr="00B04DC3">
        <w:rPr>
          <w:lang w:val="en-GB"/>
        </w:rPr>
        <w:tab/>
        <w:t>CLD analyzer or NDUV analyzer</w:t>
      </w:r>
    </w:p>
    <w:p w:rsidR="00002BA6" w:rsidRPr="00B04DC3" w:rsidRDefault="00002BA6" w:rsidP="00002BA6">
      <w:pPr>
        <w:pStyle w:val="para"/>
        <w:rPr>
          <w:lang w:val="en-GB"/>
        </w:rPr>
      </w:pPr>
      <w:r w:rsidRPr="00B04DC3">
        <w:rPr>
          <w:lang w:val="en-GB"/>
        </w:rPr>
        <w:tab/>
        <w:t>CLD, HCLD or NDUV analyzer for the determination of the oxides of nitrogen. If a HCLD is used it shall be kept at a temperature of 328 K to 473 K (55 °C to 200 °C).</w:t>
      </w:r>
    </w:p>
    <w:p w:rsidR="00002BA6" w:rsidRPr="00B04DC3" w:rsidRDefault="00002BA6" w:rsidP="00002BA6">
      <w:pPr>
        <w:pStyle w:val="para"/>
        <w:rPr>
          <w:lang w:val="en-GB"/>
        </w:rPr>
      </w:pPr>
      <w:r w:rsidRPr="00B04DC3">
        <w:rPr>
          <w:lang w:val="en-GB"/>
        </w:rPr>
        <w:tab/>
        <w:t>B</w:t>
      </w:r>
      <w:r w:rsidRPr="00B04DC3">
        <w:rPr>
          <w:lang w:val="en-GB"/>
        </w:rPr>
        <w:tab/>
        <w:t>Sample dryer (optional for NO measurement)</w:t>
      </w:r>
    </w:p>
    <w:p w:rsidR="00002BA6" w:rsidRPr="00B04DC3" w:rsidRDefault="00002BA6" w:rsidP="00002BA6">
      <w:pPr>
        <w:pStyle w:val="para"/>
        <w:rPr>
          <w:lang w:val="en-GB"/>
        </w:rPr>
      </w:pPr>
      <w:r w:rsidRPr="00B04DC3">
        <w:rPr>
          <w:lang w:val="en-GB"/>
        </w:rPr>
        <w:tab/>
        <w:t xml:space="preserve">To cool and condense water from the exhaust sample. It is optional if the analyzer is free from water vapour interference as determined in paragraph 9.3.9.2.2. </w:t>
      </w:r>
      <w:r w:rsidR="00C243AA">
        <w:rPr>
          <w:lang w:val="en-GB"/>
        </w:rPr>
        <w:t>of this annex.</w:t>
      </w:r>
      <w:r w:rsidR="00C243AA" w:rsidRPr="00B04DC3">
        <w:rPr>
          <w:lang w:val="en-GB"/>
        </w:rPr>
        <w:t xml:space="preserve"> </w:t>
      </w:r>
      <w:r w:rsidRPr="00B04DC3">
        <w:rPr>
          <w:lang w:val="en-GB"/>
        </w:rPr>
        <w:t>If water is removed by condensation, the sample gas temperature or dew point shall be monitored either within the water trap or downstream. The sample gas temperature or dew point shall not exceed 280 K (7 °C). Chemical dryers are not allowed for removing water from the sample.</w:t>
      </w:r>
    </w:p>
    <w:p w:rsidR="00002BA6" w:rsidRPr="00B04DC3" w:rsidRDefault="00002BA6" w:rsidP="00002BA6">
      <w:pPr>
        <w:pStyle w:val="para"/>
        <w:rPr>
          <w:lang w:val="en-GB"/>
        </w:rPr>
      </w:pPr>
      <w:r w:rsidRPr="00B04DC3">
        <w:rPr>
          <w:lang w:val="en-GB"/>
        </w:rPr>
        <w:tab/>
        <w:t>BK</w:t>
      </w:r>
      <w:r w:rsidRPr="00B04DC3">
        <w:rPr>
          <w:lang w:val="en-GB"/>
        </w:rPr>
        <w:tab/>
        <w:t>Background bag (optional; Figure 10 only)</w:t>
      </w:r>
    </w:p>
    <w:p w:rsidR="00002BA6" w:rsidRPr="00B04DC3" w:rsidRDefault="00002BA6" w:rsidP="00002BA6">
      <w:pPr>
        <w:pStyle w:val="para"/>
        <w:rPr>
          <w:lang w:val="en-GB"/>
        </w:rPr>
      </w:pPr>
      <w:r w:rsidRPr="00B04DC3">
        <w:rPr>
          <w:lang w:val="en-GB"/>
        </w:rPr>
        <w:tab/>
        <w:t>For the measurement of the background concentrations.</w:t>
      </w:r>
    </w:p>
    <w:p w:rsidR="00002BA6" w:rsidRPr="00B04DC3" w:rsidRDefault="00002BA6" w:rsidP="00002BA6">
      <w:pPr>
        <w:pStyle w:val="para"/>
        <w:rPr>
          <w:lang w:val="en-GB"/>
        </w:rPr>
      </w:pPr>
      <w:r w:rsidRPr="00B04DC3">
        <w:rPr>
          <w:lang w:val="en-GB"/>
        </w:rPr>
        <w:tab/>
        <w:t>BG</w:t>
      </w:r>
      <w:r w:rsidRPr="00B04DC3">
        <w:rPr>
          <w:lang w:val="en-GB"/>
        </w:rPr>
        <w:tab/>
        <w:t xml:space="preserve">Sample </w:t>
      </w:r>
      <w:r w:rsidR="00C243AA">
        <w:rPr>
          <w:lang w:val="en-GB"/>
        </w:rPr>
        <w:t>B</w:t>
      </w:r>
      <w:r w:rsidR="00C243AA" w:rsidRPr="00B04DC3">
        <w:rPr>
          <w:lang w:val="en-GB"/>
        </w:rPr>
        <w:t xml:space="preserve">ag </w:t>
      </w:r>
      <w:r w:rsidRPr="00B04DC3">
        <w:rPr>
          <w:lang w:val="en-GB"/>
        </w:rPr>
        <w:t>(optional; Figure 10 only)</w:t>
      </w:r>
    </w:p>
    <w:p w:rsidR="00002BA6" w:rsidRPr="00B04DC3" w:rsidRDefault="00002BA6" w:rsidP="00002BA6">
      <w:pPr>
        <w:pStyle w:val="para"/>
        <w:rPr>
          <w:lang w:val="en-GB"/>
        </w:rPr>
      </w:pPr>
      <w:r w:rsidRPr="00B04DC3">
        <w:rPr>
          <w:lang w:val="en-GB"/>
        </w:rPr>
        <w:tab/>
        <w:t>For the measurement of the sample concentrations.</w:t>
      </w:r>
    </w:p>
    <w:p w:rsidR="00002BA6" w:rsidRPr="00B04DC3" w:rsidRDefault="00002BA6" w:rsidP="00002BA6">
      <w:pPr>
        <w:pStyle w:val="para"/>
        <w:rPr>
          <w:lang w:val="en-GB"/>
        </w:rPr>
      </w:pPr>
      <w:r w:rsidRPr="00B04DC3">
        <w:rPr>
          <w:lang w:val="en-GB"/>
        </w:rPr>
        <w:t>A.3.1.4.</w:t>
      </w:r>
      <w:r w:rsidRPr="00B04DC3">
        <w:rPr>
          <w:lang w:val="en-GB"/>
        </w:rPr>
        <w:tab/>
        <w:t>Non-</w:t>
      </w:r>
      <w:r w:rsidR="00C243AA">
        <w:rPr>
          <w:lang w:val="en-GB"/>
        </w:rPr>
        <w:t>M</w:t>
      </w:r>
      <w:r w:rsidR="00C243AA" w:rsidRPr="00B04DC3">
        <w:rPr>
          <w:lang w:val="en-GB"/>
        </w:rPr>
        <w:t xml:space="preserve">ethane </w:t>
      </w:r>
      <w:r w:rsidR="00C243AA">
        <w:rPr>
          <w:lang w:val="en-GB"/>
        </w:rPr>
        <w:t>C</w:t>
      </w:r>
      <w:r w:rsidR="00C243AA" w:rsidRPr="00B04DC3">
        <w:rPr>
          <w:lang w:val="en-GB"/>
        </w:rPr>
        <w:t xml:space="preserve">utter </w:t>
      </w:r>
      <w:r w:rsidRPr="00B04DC3">
        <w:rPr>
          <w:lang w:val="en-GB"/>
        </w:rPr>
        <w:t>method (NMC)</w:t>
      </w:r>
    </w:p>
    <w:p w:rsidR="00002BA6" w:rsidRPr="00B04DC3" w:rsidRDefault="00002BA6" w:rsidP="00002BA6">
      <w:pPr>
        <w:pStyle w:val="para"/>
        <w:rPr>
          <w:lang w:val="en-GB"/>
        </w:rPr>
      </w:pPr>
      <w:r w:rsidRPr="00B04DC3">
        <w:rPr>
          <w:lang w:val="en-GB"/>
        </w:rPr>
        <w:tab/>
        <w:t>The cutter oxidizes all hydrocarbons except CH</w:t>
      </w:r>
      <w:r w:rsidRPr="00B04DC3">
        <w:rPr>
          <w:vertAlign w:val="subscript"/>
          <w:lang w:val="en-GB"/>
        </w:rPr>
        <w:t>4</w:t>
      </w:r>
      <w:r w:rsidRPr="00B04DC3">
        <w:rPr>
          <w:lang w:val="en-GB"/>
        </w:rPr>
        <w:t xml:space="preserve"> to CO</w:t>
      </w:r>
      <w:r w:rsidRPr="00B04DC3">
        <w:rPr>
          <w:vertAlign w:val="subscript"/>
          <w:lang w:val="en-GB"/>
        </w:rPr>
        <w:t>2</w:t>
      </w:r>
      <w:r w:rsidRPr="00B04DC3">
        <w:rPr>
          <w:lang w:val="en-GB"/>
        </w:rPr>
        <w:t xml:space="preserve"> and H</w:t>
      </w:r>
      <w:r w:rsidRPr="00B04DC3">
        <w:rPr>
          <w:vertAlign w:val="subscript"/>
          <w:lang w:val="en-GB"/>
        </w:rPr>
        <w:t>2</w:t>
      </w:r>
      <w:r w:rsidRPr="00B04DC3">
        <w:rPr>
          <w:lang w:val="en-GB"/>
        </w:rPr>
        <w:t>O, so that by passing the sample through the NMC only CH</w:t>
      </w:r>
      <w:r w:rsidRPr="00B04DC3">
        <w:rPr>
          <w:vertAlign w:val="subscript"/>
          <w:lang w:val="en-GB"/>
        </w:rPr>
        <w:t>4</w:t>
      </w:r>
      <w:r w:rsidRPr="00B04DC3">
        <w:rPr>
          <w:lang w:val="en-GB"/>
        </w:rPr>
        <w:t xml:space="preserve"> is detected by the HFID. In addition to the usual HC sampling train (see Figures 9 and 10), a second HC sampling train shall be installed equipped with a cutter as laid out in Figure 11. This allows simultaneous measurement of total HC</w:t>
      </w:r>
      <w:r w:rsidRPr="00B04DC3">
        <w:rPr>
          <w:b/>
          <w:lang w:val="en-GB"/>
        </w:rPr>
        <w:t xml:space="preserve">, </w:t>
      </w:r>
      <w:r w:rsidRPr="00B04DC3">
        <w:rPr>
          <w:lang w:val="en-GB"/>
        </w:rPr>
        <w:t>CH</w:t>
      </w:r>
      <w:r w:rsidRPr="00B04DC3">
        <w:rPr>
          <w:vertAlign w:val="subscript"/>
          <w:lang w:val="en-GB"/>
        </w:rPr>
        <w:t>4</w:t>
      </w:r>
      <w:r w:rsidRPr="00B04DC3">
        <w:rPr>
          <w:lang w:val="en-GB"/>
        </w:rPr>
        <w:t xml:space="preserve"> and NMHC.</w:t>
      </w:r>
    </w:p>
    <w:p w:rsidR="00002BA6" w:rsidRPr="00B04DC3" w:rsidRDefault="00002BA6" w:rsidP="00002BA6">
      <w:pPr>
        <w:pStyle w:val="para"/>
        <w:rPr>
          <w:lang w:val="en-GB"/>
        </w:rPr>
      </w:pPr>
      <w:r w:rsidRPr="00B04DC3">
        <w:rPr>
          <w:lang w:val="en-GB"/>
        </w:rPr>
        <w:tab/>
        <w:t>The cutter shall be characterized at or above 600 K (327 °C) prior to test work with respect to its catalytic effect on CH</w:t>
      </w:r>
      <w:r w:rsidRPr="00B04DC3">
        <w:rPr>
          <w:vertAlign w:val="subscript"/>
          <w:lang w:val="en-GB"/>
        </w:rPr>
        <w:t>4</w:t>
      </w:r>
      <w:r w:rsidRPr="00B04DC3">
        <w:rPr>
          <w:lang w:val="en-GB"/>
        </w:rPr>
        <w:t xml:space="preserve"> and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at H</w:t>
      </w:r>
      <w:r w:rsidRPr="00B04DC3">
        <w:rPr>
          <w:vertAlign w:val="subscript"/>
          <w:lang w:val="en-GB"/>
        </w:rPr>
        <w:t>2</w:t>
      </w:r>
      <w:r w:rsidRPr="00B04DC3">
        <w:rPr>
          <w:lang w:val="en-GB"/>
        </w:rPr>
        <w:t>O values representative of exhaust stream conditions. The dew point and O</w:t>
      </w:r>
      <w:r w:rsidRPr="00B04DC3">
        <w:rPr>
          <w:vertAlign w:val="subscript"/>
          <w:lang w:val="en-GB"/>
        </w:rPr>
        <w:t>2</w:t>
      </w:r>
      <w:r w:rsidRPr="00B04DC3">
        <w:rPr>
          <w:lang w:val="en-GB"/>
        </w:rPr>
        <w:t xml:space="preserve"> level of the sampled exhaust stream shall be known. The relative response of the FID to CH</w:t>
      </w:r>
      <w:r w:rsidRPr="00B04DC3">
        <w:rPr>
          <w:vertAlign w:val="subscript"/>
          <w:lang w:val="en-GB"/>
        </w:rPr>
        <w:t>4</w:t>
      </w:r>
      <w:r w:rsidRPr="00B04DC3">
        <w:rPr>
          <w:lang w:val="en-GB"/>
        </w:rPr>
        <w:t xml:space="preserve"> and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shall be determined in accordance with paragraph 9.3.8.</w:t>
      </w:r>
      <w:r w:rsidR="00C243AA" w:rsidRPr="00C243AA">
        <w:rPr>
          <w:lang w:val="en-GB"/>
        </w:rPr>
        <w:t xml:space="preserve"> </w:t>
      </w:r>
      <w:r w:rsidR="00C243AA">
        <w:rPr>
          <w:lang w:val="en-GB"/>
        </w:rPr>
        <w:t>of this annex.</w:t>
      </w:r>
    </w:p>
    <w:p w:rsidR="00002BA6" w:rsidRPr="00B04DC3" w:rsidRDefault="00002BA6" w:rsidP="00002BA6">
      <w:pPr>
        <w:pStyle w:val="Heading1"/>
        <w:keepNext/>
      </w:pPr>
      <w:bookmarkStart w:id="604" w:name="_Toc399940034"/>
      <w:bookmarkStart w:id="605" w:name="_Toc423599621"/>
      <w:bookmarkStart w:id="606" w:name="_Toc423611029"/>
      <w:r w:rsidRPr="00B04DC3">
        <w:t>Figure 11</w:t>
      </w:r>
      <w:bookmarkEnd w:id="604"/>
      <w:bookmarkEnd w:id="605"/>
      <w:bookmarkEnd w:id="606"/>
    </w:p>
    <w:p w:rsidR="00002BA6" w:rsidRPr="00B04DC3" w:rsidRDefault="00002BA6" w:rsidP="00002BA6">
      <w:pPr>
        <w:pStyle w:val="Heading1"/>
        <w:keepNext/>
        <w:rPr>
          <w:b/>
        </w:rPr>
      </w:pPr>
      <w:bookmarkStart w:id="607" w:name="_Toc399940035"/>
      <w:bookmarkStart w:id="608" w:name="_Toc423599622"/>
      <w:bookmarkStart w:id="609" w:name="_Toc423611030"/>
      <w:r w:rsidRPr="00B04DC3">
        <w:rPr>
          <w:b/>
        </w:rPr>
        <w:t>Schematic flow diagram of methane analysis with the NMC</w:t>
      </w:r>
      <w:bookmarkEnd w:id="607"/>
      <w:bookmarkEnd w:id="608"/>
      <w:bookmarkEnd w:id="609"/>
    </w:p>
    <w:p w:rsidR="00002BA6" w:rsidRPr="00B04DC3" w:rsidRDefault="00A905B7" w:rsidP="00002BA6">
      <w:pPr>
        <w:keepNext/>
        <w:ind w:left="1701"/>
        <w:jc w:val="both"/>
      </w:pPr>
      <w:r>
        <w:pict>
          <v:shape id="_x0000_i1298" type="#_x0000_t75" style="width:312.6pt;height:203.4pt">
            <v:imagedata r:id="rId447" o:title=""/>
          </v:shape>
        </w:pict>
      </w:r>
    </w:p>
    <w:p w:rsidR="00002BA6" w:rsidRPr="00B04DC3" w:rsidRDefault="00002BA6" w:rsidP="00002BA6">
      <w:pPr>
        <w:pStyle w:val="para"/>
        <w:rPr>
          <w:lang w:val="en-GB"/>
        </w:rPr>
      </w:pPr>
      <w:r w:rsidRPr="00B04DC3">
        <w:rPr>
          <w:lang w:val="en-GB"/>
        </w:rPr>
        <w:t>A.3.1.5.</w:t>
      </w:r>
      <w:r w:rsidRPr="00B04DC3">
        <w:rPr>
          <w:lang w:val="en-GB"/>
        </w:rPr>
        <w:tab/>
        <w:t>Components of Figure 11</w:t>
      </w:r>
    </w:p>
    <w:p w:rsidR="00002BA6" w:rsidRPr="00B04DC3" w:rsidRDefault="00002BA6" w:rsidP="00002BA6">
      <w:pPr>
        <w:pStyle w:val="para"/>
        <w:rPr>
          <w:lang w:val="en-GB"/>
        </w:rPr>
      </w:pPr>
      <w:r w:rsidRPr="00B04DC3">
        <w:rPr>
          <w:lang w:val="en-GB"/>
        </w:rPr>
        <w:tab/>
        <w:t>NMC</w:t>
      </w:r>
      <w:r w:rsidRPr="00B04DC3">
        <w:rPr>
          <w:lang w:val="en-GB"/>
        </w:rPr>
        <w:tab/>
        <w:t>Non-</w:t>
      </w:r>
      <w:r w:rsidR="000A2DD6" w:rsidRPr="00B04DC3">
        <w:rPr>
          <w:lang w:val="en-GB"/>
        </w:rPr>
        <w:t>M</w:t>
      </w:r>
      <w:r w:rsidRPr="00B04DC3">
        <w:rPr>
          <w:lang w:val="en-GB"/>
        </w:rPr>
        <w:t xml:space="preserve">ethane </w:t>
      </w:r>
      <w:r w:rsidR="000A2DD6" w:rsidRPr="00B04DC3">
        <w:rPr>
          <w:lang w:val="en-GB"/>
        </w:rPr>
        <w:t>C</w:t>
      </w:r>
      <w:r w:rsidRPr="00B04DC3">
        <w:rPr>
          <w:lang w:val="en-GB"/>
        </w:rPr>
        <w:t>utter</w:t>
      </w:r>
    </w:p>
    <w:p w:rsidR="00002BA6" w:rsidRPr="00B04DC3" w:rsidRDefault="00002BA6" w:rsidP="00002BA6">
      <w:pPr>
        <w:pStyle w:val="para"/>
        <w:rPr>
          <w:lang w:val="en-GB"/>
        </w:rPr>
      </w:pPr>
      <w:r w:rsidRPr="00B04DC3">
        <w:rPr>
          <w:lang w:val="en-GB"/>
        </w:rPr>
        <w:tab/>
        <w:t>To oxidize all hydrocarbons except methane</w:t>
      </w:r>
    </w:p>
    <w:p w:rsidR="00002BA6" w:rsidRPr="00B04DC3" w:rsidRDefault="00002BA6" w:rsidP="00002BA6">
      <w:pPr>
        <w:pStyle w:val="para"/>
        <w:rPr>
          <w:lang w:val="en-GB"/>
        </w:rPr>
      </w:pPr>
      <w:r w:rsidRPr="00B04DC3">
        <w:rPr>
          <w:lang w:val="en-GB"/>
        </w:rPr>
        <w:tab/>
        <w:t>HC</w:t>
      </w:r>
    </w:p>
    <w:p w:rsidR="00002BA6" w:rsidRPr="00B04DC3" w:rsidRDefault="00002BA6" w:rsidP="00002BA6">
      <w:pPr>
        <w:pStyle w:val="para"/>
        <w:rPr>
          <w:lang w:val="en-GB"/>
        </w:rPr>
      </w:pPr>
      <w:r w:rsidRPr="00B04DC3">
        <w:rPr>
          <w:lang w:val="en-GB"/>
        </w:rPr>
        <w:tab/>
        <w:t xml:space="preserve">Heated </w:t>
      </w:r>
      <w:r w:rsidR="000A2DD6" w:rsidRPr="00B04DC3">
        <w:rPr>
          <w:lang w:val="en-GB"/>
        </w:rPr>
        <w:t>F</w:t>
      </w:r>
      <w:r w:rsidRPr="00B04DC3">
        <w:rPr>
          <w:lang w:val="en-GB"/>
        </w:rPr>
        <w:t xml:space="preserve">lame </w:t>
      </w:r>
      <w:r w:rsidR="000A2DD6" w:rsidRPr="00B04DC3">
        <w:rPr>
          <w:lang w:val="en-GB"/>
        </w:rPr>
        <w:t>I</w:t>
      </w:r>
      <w:r w:rsidRPr="00B04DC3">
        <w:rPr>
          <w:lang w:val="en-GB"/>
        </w:rPr>
        <w:t xml:space="preserve">onization </w:t>
      </w:r>
      <w:r w:rsidR="000A2DD6" w:rsidRPr="00B04DC3">
        <w:rPr>
          <w:lang w:val="en-GB"/>
        </w:rPr>
        <w:t>D</w:t>
      </w:r>
      <w:r w:rsidRPr="00B04DC3">
        <w:rPr>
          <w:lang w:val="en-GB"/>
        </w:rPr>
        <w:t xml:space="preserve">etector (HFID) or </w:t>
      </w:r>
      <w:r w:rsidR="000A2DD6" w:rsidRPr="00B04DC3">
        <w:rPr>
          <w:lang w:val="en-GB"/>
        </w:rPr>
        <w:t>F</w:t>
      </w:r>
      <w:r w:rsidRPr="00B04DC3">
        <w:rPr>
          <w:lang w:val="en-GB"/>
        </w:rPr>
        <w:t xml:space="preserve">lame </w:t>
      </w:r>
      <w:r w:rsidR="000A2DD6" w:rsidRPr="00B04DC3">
        <w:rPr>
          <w:lang w:val="en-GB"/>
        </w:rPr>
        <w:t>I</w:t>
      </w:r>
      <w:r w:rsidRPr="00B04DC3">
        <w:rPr>
          <w:lang w:val="en-GB"/>
        </w:rPr>
        <w:t xml:space="preserve">onization </w:t>
      </w:r>
      <w:r w:rsidR="000A2DD6" w:rsidRPr="00B04DC3">
        <w:rPr>
          <w:lang w:val="en-GB"/>
        </w:rPr>
        <w:t>D</w:t>
      </w:r>
      <w:r w:rsidRPr="00B04DC3">
        <w:rPr>
          <w:lang w:val="en-GB"/>
        </w:rPr>
        <w:t>etector (FID) to measure the HC and CH</w:t>
      </w:r>
      <w:r w:rsidRPr="00B04DC3">
        <w:rPr>
          <w:position w:val="-6"/>
          <w:vertAlign w:val="subscript"/>
          <w:lang w:val="en-GB"/>
        </w:rPr>
        <w:t>4</w:t>
      </w:r>
      <w:r w:rsidRPr="00B04DC3">
        <w:rPr>
          <w:lang w:val="en-GB"/>
        </w:rPr>
        <w:t xml:space="preserve"> concentrations. The temperature of the HFID shall be kept at 453 K to 473 K (180 °C to 200 °C).</w:t>
      </w:r>
    </w:p>
    <w:p w:rsidR="00002BA6" w:rsidRPr="00B04DC3" w:rsidRDefault="00002BA6" w:rsidP="00002BA6">
      <w:pPr>
        <w:pStyle w:val="para"/>
        <w:rPr>
          <w:lang w:val="en-GB"/>
        </w:rPr>
      </w:pPr>
      <w:r w:rsidRPr="00B04DC3">
        <w:rPr>
          <w:lang w:val="en-GB"/>
        </w:rPr>
        <w:tab/>
        <w:t>V1</w:t>
      </w:r>
      <w:r w:rsidRPr="00B04DC3">
        <w:rPr>
          <w:lang w:val="en-GB"/>
        </w:rPr>
        <w:tab/>
        <w:t>Selector valve</w:t>
      </w:r>
    </w:p>
    <w:p w:rsidR="00002BA6" w:rsidRPr="00B04DC3" w:rsidRDefault="00002BA6" w:rsidP="00002BA6">
      <w:pPr>
        <w:pStyle w:val="para"/>
        <w:rPr>
          <w:lang w:val="en-GB"/>
        </w:rPr>
      </w:pPr>
      <w:r w:rsidRPr="00B04DC3">
        <w:rPr>
          <w:lang w:val="en-GB"/>
        </w:rPr>
        <w:tab/>
        <w:t>To select zero and span gas</w:t>
      </w:r>
    </w:p>
    <w:p w:rsidR="00002BA6" w:rsidRPr="00B04DC3" w:rsidRDefault="00002BA6" w:rsidP="00002BA6">
      <w:pPr>
        <w:pStyle w:val="para"/>
        <w:rPr>
          <w:lang w:val="en-GB"/>
        </w:rPr>
      </w:pPr>
      <w:r w:rsidRPr="00B04DC3">
        <w:rPr>
          <w:lang w:val="en-GB"/>
        </w:rPr>
        <w:tab/>
        <w:t>R</w:t>
      </w:r>
      <w:r w:rsidRPr="00B04DC3">
        <w:rPr>
          <w:lang w:val="en-GB"/>
        </w:rPr>
        <w:tab/>
        <w:t>Pressure regulator</w:t>
      </w:r>
    </w:p>
    <w:p w:rsidR="00002BA6" w:rsidRPr="00B04DC3" w:rsidRDefault="00002BA6" w:rsidP="00002BA6">
      <w:pPr>
        <w:pStyle w:val="para"/>
        <w:rPr>
          <w:lang w:val="en-GB"/>
        </w:rPr>
      </w:pPr>
      <w:r w:rsidRPr="00B04DC3">
        <w:rPr>
          <w:lang w:val="en-GB"/>
        </w:rPr>
        <w:tab/>
        <w:t>To control the pressure in the sampling line and the flow to the HFID</w:t>
      </w:r>
    </w:p>
    <w:p w:rsidR="00002BA6" w:rsidRPr="00B04DC3" w:rsidRDefault="00002BA6" w:rsidP="00002BA6">
      <w:pPr>
        <w:pStyle w:val="para"/>
        <w:rPr>
          <w:lang w:val="en-GB"/>
        </w:rPr>
      </w:pPr>
      <w:r w:rsidRPr="00B04DC3">
        <w:rPr>
          <w:lang w:val="en-GB"/>
        </w:rPr>
        <w:t>A.3.2.</w:t>
      </w:r>
      <w:r w:rsidRPr="00B04DC3">
        <w:rPr>
          <w:lang w:val="en-GB"/>
        </w:rPr>
        <w:tab/>
        <w:t>Dilution and particulate sampling system</w:t>
      </w:r>
    </w:p>
    <w:p w:rsidR="00002BA6" w:rsidRPr="00B04DC3" w:rsidRDefault="00002BA6" w:rsidP="00002BA6">
      <w:pPr>
        <w:pStyle w:val="para"/>
        <w:rPr>
          <w:lang w:val="en-GB"/>
        </w:rPr>
      </w:pPr>
      <w:r w:rsidRPr="00B04DC3">
        <w:rPr>
          <w:lang w:val="en-GB"/>
        </w:rPr>
        <w:t>A.3.2.1.</w:t>
      </w:r>
      <w:r w:rsidRPr="00B04DC3">
        <w:rPr>
          <w:lang w:val="en-GB"/>
        </w:rPr>
        <w:tab/>
        <w:t>Description of partial flow system</w:t>
      </w:r>
    </w:p>
    <w:p w:rsidR="00002BA6" w:rsidRPr="00B04DC3" w:rsidRDefault="00002BA6" w:rsidP="00002BA6">
      <w:pPr>
        <w:pStyle w:val="para"/>
        <w:rPr>
          <w:lang w:val="en-GB"/>
        </w:rPr>
      </w:pPr>
      <w:r w:rsidRPr="00B04DC3">
        <w:rPr>
          <w:lang w:val="en-GB"/>
        </w:rPr>
        <w:tab/>
        <w:t>A dilution system is described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The first method is referred to as total sampling type, the second method as fractional sampling type. The calculation of the dilution ratio depends upon the type of system used.</w:t>
      </w:r>
    </w:p>
    <w:p w:rsidR="00002BA6" w:rsidRPr="00B04DC3" w:rsidRDefault="00002BA6" w:rsidP="00002BA6">
      <w:pPr>
        <w:pStyle w:val="para"/>
        <w:rPr>
          <w:lang w:val="en-GB"/>
        </w:rPr>
      </w:pPr>
      <w:r w:rsidRPr="00B04DC3">
        <w:rPr>
          <w:lang w:val="en-GB"/>
        </w:rPr>
        <w:tab/>
        <w:t xml:space="preserve">With the total sampling system as shown in Figure 12, raw exhaust gas is transferred from the </w:t>
      </w:r>
      <w:r w:rsidR="00C243AA" w:rsidRPr="00B04DC3">
        <w:rPr>
          <w:lang w:val="en-GB"/>
        </w:rPr>
        <w:t>E</w:t>
      </w:r>
      <w:r w:rsidRPr="00B04DC3">
        <w:rPr>
          <w:lang w:val="en-GB"/>
        </w:rPr>
        <w:t xml:space="preserve">xhaust </w:t>
      </w:r>
      <w:r w:rsidR="00C243AA" w:rsidRPr="00B04DC3">
        <w:rPr>
          <w:lang w:val="en-GB"/>
        </w:rPr>
        <w:t>P</w:t>
      </w:r>
      <w:r w:rsidRPr="00B04DC3">
        <w:rPr>
          <w:lang w:val="en-GB"/>
        </w:rPr>
        <w:t xml:space="preserve">ipe (EP) to the </w:t>
      </w:r>
      <w:r w:rsidR="00C243AA" w:rsidRPr="00B04DC3">
        <w:rPr>
          <w:lang w:val="en-GB"/>
        </w:rPr>
        <w:t>D</w:t>
      </w:r>
      <w:r w:rsidRPr="00B04DC3">
        <w:rPr>
          <w:lang w:val="en-GB"/>
        </w:rPr>
        <w:t xml:space="preserve">ilution </w:t>
      </w:r>
      <w:r w:rsidR="00C243AA" w:rsidRPr="00B04DC3">
        <w:rPr>
          <w:lang w:val="en-GB"/>
        </w:rPr>
        <w:t>T</w:t>
      </w:r>
      <w:r w:rsidRPr="00B04DC3">
        <w:rPr>
          <w:lang w:val="en-GB"/>
        </w:rPr>
        <w:t xml:space="preserve">unnel (DT) through the </w:t>
      </w:r>
      <w:r w:rsidR="00C243AA" w:rsidRPr="00B04DC3">
        <w:rPr>
          <w:lang w:val="en-GB"/>
        </w:rPr>
        <w:t>S</w:t>
      </w:r>
      <w:r w:rsidRPr="00B04DC3">
        <w:rPr>
          <w:lang w:val="en-GB"/>
        </w:rPr>
        <w:t xml:space="preserve">ampling </w:t>
      </w:r>
      <w:r w:rsidR="00C243AA" w:rsidRPr="00B04DC3">
        <w:rPr>
          <w:lang w:val="en-GB"/>
        </w:rPr>
        <w:t>P</w:t>
      </w:r>
      <w:r w:rsidRPr="00B04DC3">
        <w:rPr>
          <w:lang w:val="en-GB"/>
        </w:rPr>
        <w:t xml:space="preserve">robe (SP) and the </w:t>
      </w:r>
      <w:r w:rsidR="00C243AA" w:rsidRPr="00B04DC3">
        <w:rPr>
          <w:lang w:val="en-GB"/>
        </w:rPr>
        <w:t>T</w:t>
      </w:r>
      <w:r w:rsidRPr="00B04DC3">
        <w:rPr>
          <w:lang w:val="en-GB"/>
        </w:rPr>
        <w:t xml:space="preserve">ransfer </w:t>
      </w:r>
      <w:r w:rsidR="00C243AA">
        <w:rPr>
          <w:lang w:val="en-GB"/>
        </w:rPr>
        <w:t>T</w:t>
      </w:r>
      <w:r w:rsidR="00C243AA" w:rsidRPr="00B04DC3">
        <w:rPr>
          <w:lang w:val="en-GB"/>
        </w:rPr>
        <w:t xml:space="preserve">ube </w:t>
      </w:r>
      <w:r w:rsidRPr="00B04DC3">
        <w:rPr>
          <w:lang w:val="en-GB"/>
        </w:rPr>
        <w:t>(TT). The total flow through the tunnel is adjusted with the flow controller FC2 and the sampling pump (P) of the particulate sampling system (see Figure 16). The diluent flow is controlled by the flow controller FC1, which may use q</w:t>
      </w:r>
      <w:r w:rsidRPr="00B04DC3">
        <w:rPr>
          <w:vertAlign w:val="subscript"/>
          <w:lang w:val="en-GB"/>
        </w:rPr>
        <w:t>mew</w:t>
      </w:r>
      <w:r w:rsidRPr="00B04DC3">
        <w:rPr>
          <w:lang w:val="en-GB"/>
        </w:rPr>
        <w:t xml:space="preserve"> or q</w:t>
      </w:r>
      <w:r w:rsidRPr="00B04DC3">
        <w:rPr>
          <w:vertAlign w:val="subscript"/>
          <w:lang w:val="en-GB"/>
        </w:rPr>
        <w:t>maw</w:t>
      </w:r>
      <w:r w:rsidRPr="00B04DC3">
        <w:rPr>
          <w:lang w:val="en-GB"/>
        </w:rPr>
        <w:t xml:space="preserve"> and q</w:t>
      </w:r>
      <w:r w:rsidRPr="00B04DC3">
        <w:rPr>
          <w:vertAlign w:val="subscript"/>
          <w:lang w:val="en-GB"/>
        </w:rPr>
        <w:t>mf</w:t>
      </w:r>
      <w:r w:rsidRPr="00B04DC3">
        <w:rPr>
          <w:lang w:val="en-GB"/>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FM3 of the particulate sampling system (see Figure 16). The dilution ratio is calculated from these two flow rates.</w:t>
      </w:r>
    </w:p>
    <w:p w:rsidR="00002BA6" w:rsidRPr="00B04DC3" w:rsidRDefault="00002BA6" w:rsidP="00002BA6">
      <w:pPr>
        <w:pStyle w:val="SingleTxtG"/>
        <w:keepNext/>
        <w:spacing w:after="0"/>
      </w:pPr>
      <w:r w:rsidRPr="00B04DC3">
        <w:t>Figure 12</w:t>
      </w:r>
    </w:p>
    <w:p w:rsidR="00002BA6" w:rsidRPr="00B04DC3" w:rsidRDefault="00002BA6" w:rsidP="00002BA6">
      <w:pPr>
        <w:pStyle w:val="SingleTxtG"/>
        <w:rPr>
          <w:b/>
        </w:rPr>
      </w:pPr>
      <w:r w:rsidRPr="00B04DC3">
        <w:rPr>
          <w:b/>
        </w:rPr>
        <w:t>Scheme of partial flow dilution system (total sampling type)</w:t>
      </w:r>
    </w:p>
    <w:p w:rsidR="00002BA6" w:rsidRPr="00B04DC3" w:rsidRDefault="00A905B7" w:rsidP="00002BA6">
      <w:pPr>
        <w:ind w:left="1134" w:firstLine="567"/>
        <w:jc w:val="both"/>
      </w:pPr>
      <w:r>
        <w:pict>
          <v:shape id="_x0000_i1299" type="#_x0000_t75" style="width:300pt;height:228pt" fillcolor="window">
            <v:imagedata r:id="rId448" o:title=""/>
          </v:shape>
        </w:pict>
      </w:r>
    </w:p>
    <w:p w:rsidR="00002BA6" w:rsidRPr="00551C68" w:rsidRDefault="00002BA6" w:rsidP="00002BA6">
      <w:r w:rsidRPr="00B04DC3">
        <w:tab/>
      </w:r>
      <w:r w:rsidRPr="00B04DC3">
        <w:tab/>
      </w:r>
      <w:r w:rsidRPr="00B04DC3">
        <w:tab/>
      </w:r>
      <w:r w:rsidRPr="00551C68">
        <w:t>a = exhaust</w:t>
      </w:r>
      <w:r w:rsidRPr="00551C68">
        <w:tab/>
      </w:r>
      <w:r w:rsidRPr="00551C68">
        <w:tab/>
        <w:t>b = optional</w:t>
      </w:r>
      <w:r w:rsidRPr="00551C68">
        <w:tab/>
        <w:t>c = details see Figure 16</w:t>
      </w:r>
    </w:p>
    <w:p w:rsidR="00002BA6" w:rsidRPr="00B04DC3" w:rsidRDefault="00002BA6" w:rsidP="00002BA6">
      <w:pPr>
        <w:pStyle w:val="para"/>
        <w:spacing w:before="240"/>
        <w:rPr>
          <w:lang w:val="en-GB"/>
        </w:rPr>
      </w:pPr>
      <w:r w:rsidRPr="00B04DC3">
        <w:rPr>
          <w:lang w:val="en-GB"/>
        </w:rPr>
        <w:tab/>
      </w:r>
      <w:r w:rsidR="000A2DD6">
        <w:rPr>
          <w:lang w:val="en-GB"/>
        </w:rPr>
        <w:tab/>
      </w:r>
      <w:r w:rsidRPr="00B04DC3">
        <w:rPr>
          <w:lang w:val="en-GB"/>
        </w:rPr>
        <w:tab/>
        <w:t xml:space="preserve">With the fractional sampling system as shown in Figure 13, raw exhaust gas is transferred from the exhaust pipe EP to the </w:t>
      </w:r>
      <w:r w:rsidR="00C243AA">
        <w:rPr>
          <w:lang w:val="en-GB"/>
        </w:rPr>
        <w:t>D</w:t>
      </w:r>
      <w:r w:rsidR="00C243AA" w:rsidRPr="00B04DC3">
        <w:rPr>
          <w:lang w:val="en-GB"/>
        </w:rPr>
        <w:t xml:space="preserve">ilution </w:t>
      </w:r>
      <w:r w:rsidR="00C243AA">
        <w:rPr>
          <w:lang w:val="en-GB"/>
        </w:rPr>
        <w:t>T</w:t>
      </w:r>
      <w:r w:rsidR="00C243AA" w:rsidRPr="00B04DC3">
        <w:rPr>
          <w:lang w:val="en-GB"/>
        </w:rPr>
        <w:t xml:space="preserve">unnel </w:t>
      </w:r>
      <w:r w:rsidRPr="00B04DC3">
        <w:rPr>
          <w:lang w:val="en-GB"/>
        </w:rPr>
        <w:t>DT through the sampling probe SP and the transfer tube TT. The total flow through the tunnel is adjusted with the flow controller FC1 connected either to the diluent flow or to the suction blower for the total tunnel flow. The flow controller FC1 may use q</w:t>
      </w:r>
      <w:r w:rsidRPr="00B04DC3">
        <w:rPr>
          <w:vertAlign w:val="subscript"/>
          <w:lang w:val="en-GB"/>
        </w:rPr>
        <w:t>mew</w:t>
      </w:r>
      <w:r w:rsidRPr="00B04DC3">
        <w:rPr>
          <w:lang w:val="en-GB"/>
        </w:rPr>
        <w:t xml:space="preserve"> or q</w:t>
      </w:r>
      <w:r w:rsidRPr="00B04DC3">
        <w:rPr>
          <w:vertAlign w:val="subscript"/>
          <w:lang w:val="en-GB"/>
        </w:rPr>
        <w:t>maw</w:t>
      </w:r>
      <w:r w:rsidRPr="00B04DC3">
        <w:rPr>
          <w:lang w:val="en-GB"/>
        </w:rPr>
        <w:t xml:space="preserve"> and q</w:t>
      </w:r>
      <w:r w:rsidRPr="00B04DC3">
        <w:rPr>
          <w:vertAlign w:val="subscript"/>
          <w:lang w:val="en-GB"/>
        </w:rPr>
        <w:t>mf</w:t>
      </w:r>
      <w:r w:rsidRPr="00B04DC3">
        <w:rPr>
          <w:lang w:val="en-GB"/>
        </w:rPr>
        <w:t xml:space="preserve"> as command signals for the desired exhaust split. The sample flow into DT is the difference of the total flow and the diluent flow. The diluent flow rate is measured with the flow measurement device FM1, the total flow rate with the flow measurement device FM2. The dilution ratio is calculated from these two flow rates. From DT, a particulate sample is taken with the particulate sampling system (see Figure 16).</w:t>
      </w:r>
    </w:p>
    <w:p w:rsidR="00002BA6" w:rsidRPr="00B04DC3" w:rsidRDefault="00002BA6" w:rsidP="00002BA6">
      <w:pPr>
        <w:pStyle w:val="SingleTxtG"/>
        <w:keepNext/>
        <w:spacing w:after="0"/>
      </w:pPr>
      <w:r w:rsidRPr="00B04DC3">
        <w:t>Figure 13</w:t>
      </w:r>
    </w:p>
    <w:p w:rsidR="00002BA6" w:rsidRPr="00B04DC3" w:rsidRDefault="00002BA6" w:rsidP="00002BA6">
      <w:pPr>
        <w:pStyle w:val="SingleTxtG"/>
        <w:keepNext/>
        <w:spacing w:after="0"/>
        <w:rPr>
          <w:b/>
        </w:rPr>
      </w:pPr>
      <w:r w:rsidRPr="00B04DC3">
        <w:rPr>
          <w:b/>
        </w:rPr>
        <w:t>Scheme of partial flow dilution system (fractional sampling type)</w:t>
      </w:r>
    </w:p>
    <w:p w:rsidR="00002BA6" w:rsidRPr="00B04DC3" w:rsidRDefault="00A905B7" w:rsidP="00002BA6">
      <w:pPr>
        <w:ind w:left="1134"/>
        <w:jc w:val="both"/>
      </w:pPr>
      <w:r>
        <w:pict>
          <v:shape id="_x0000_i1300" type="#_x0000_t75" style="width:337.8pt;height:239.4pt">
            <v:imagedata r:id="rId449" o:title="fig-019-2"/>
          </v:shape>
        </w:pict>
      </w:r>
    </w:p>
    <w:p w:rsidR="00002BA6" w:rsidRPr="00551C68" w:rsidRDefault="00002BA6" w:rsidP="00002BA6">
      <w:r w:rsidRPr="00B04DC3">
        <w:tab/>
      </w:r>
      <w:r w:rsidRPr="00B04DC3">
        <w:tab/>
      </w:r>
      <w:r w:rsidRPr="00551C68">
        <w:t>a = exhaust  b = to PB or SB  c = details see Figure 16  d = to particulate sampling system  e = vent</w:t>
      </w:r>
    </w:p>
    <w:p w:rsidR="00002BA6" w:rsidRPr="00B04DC3" w:rsidRDefault="00002BA6" w:rsidP="00002BA6">
      <w:pPr>
        <w:pStyle w:val="para"/>
        <w:spacing w:before="240"/>
        <w:rPr>
          <w:lang w:val="en-GB"/>
        </w:rPr>
      </w:pPr>
      <w:r w:rsidRPr="00B04DC3">
        <w:rPr>
          <w:lang w:val="en-GB"/>
        </w:rPr>
        <w:t>A.3.2.2.</w:t>
      </w:r>
      <w:r w:rsidRPr="00B04DC3">
        <w:rPr>
          <w:lang w:val="en-GB"/>
        </w:rPr>
        <w:tab/>
        <w:t>Components of Figures 12 and 13</w:t>
      </w:r>
    </w:p>
    <w:p w:rsidR="00002BA6" w:rsidRPr="00B04DC3" w:rsidRDefault="00002BA6" w:rsidP="00002BA6">
      <w:pPr>
        <w:pStyle w:val="para"/>
        <w:rPr>
          <w:lang w:val="en-GB"/>
        </w:rPr>
      </w:pPr>
      <w:r w:rsidRPr="00B04DC3">
        <w:rPr>
          <w:lang w:val="en-GB"/>
        </w:rPr>
        <w:tab/>
        <w:t>EP</w:t>
      </w:r>
      <w:r w:rsidRPr="00B04DC3">
        <w:rPr>
          <w:lang w:val="en-GB"/>
        </w:rPr>
        <w:tab/>
        <w:t xml:space="preserve">Exhaust </w:t>
      </w:r>
      <w:r w:rsidR="00C243AA" w:rsidRPr="00B04DC3">
        <w:rPr>
          <w:lang w:val="en-GB"/>
        </w:rPr>
        <w:t>P</w:t>
      </w:r>
      <w:r w:rsidRPr="00B04DC3">
        <w:rPr>
          <w:lang w:val="en-GB"/>
        </w:rPr>
        <w:t>ipe</w:t>
      </w:r>
    </w:p>
    <w:p w:rsidR="00002BA6" w:rsidRPr="00B04DC3" w:rsidRDefault="00002BA6" w:rsidP="00002BA6">
      <w:pPr>
        <w:pStyle w:val="para"/>
        <w:rPr>
          <w:lang w:val="en-GB"/>
        </w:rPr>
      </w:pPr>
      <w:r w:rsidRPr="00B04DC3">
        <w:rPr>
          <w:lang w:val="en-GB"/>
        </w:rPr>
        <w:tab/>
        <w:t xml:space="preserve">The exhaust pipe may be insulated. To reduce the thermal inertia of the exhaust pipe a thickness to diameter ratio of 0.015 or less is recommended. The use of flexible sections shall be limited to a length to diameter ratio </w:t>
      </w:r>
      <w:r w:rsidRPr="00B04DC3">
        <w:rPr>
          <w:lang w:val="en-GB"/>
        </w:rPr>
        <w:br/>
        <w:t>of 12 or less. Bends shall be minimized to reduce inertial deposition. If the system includes a test bed silencer the silencer may also be insulated. It is recommended to have a straight pipe of six pipe diameters upstream and three pipe diameters downstream of the tip of the probe.</w:t>
      </w:r>
    </w:p>
    <w:p w:rsidR="00002BA6" w:rsidRPr="00B04DC3" w:rsidRDefault="00002BA6" w:rsidP="00002BA6">
      <w:pPr>
        <w:pStyle w:val="para"/>
        <w:rPr>
          <w:lang w:val="en-GB"/>
        </w:rPr>
      </w:pPr>
      <w:r w:rsidRPr="00B04DC3">
        <w:rPr>
          <w:lang w:val="en-GB"/>
        </w:rPr>
        <w:tab/>
        <w:t>SP</w:t>
      </w:r>
      <w:r w:rsidRPr="00B04DC3">
        <w:rPr>
          <w:lang w:val="en-GB"/>
        </w:rPr>
        <w:tab/>
        <w:t xml:space="preserve">Sampling </w:t>
      </w:r>
      <w:r w:rsidR="00C243AA" w:rsidRPr="00B04DC3">
        <w:rPr>
          <w:lang w:val="en-GB"/>
        </w:rPr>
        <w:t>P</w:t>
      </w:r>
      <w:r w:rsidRPr="00B04DC3">
        <w:rPr>
          <w:lang w:val="en-GB"/>
        </w:rPr>
        <w:t>robe</w:t>
      </w:r>
    </w:p>
    <w:p w:rsidR="00002BA6" w:rsidRPr="00B04DC3" w:rsidRDefault="00002BA6" w:rsidP="00002BA6">
      <w:pPr>
        <w:pStyle w:val="para"/>
        <w:rPr>
          <w:lang w:val="en-GB"/>
        </w:rPr>
      </w:pPr>
      <w:r w:rsidRPr="00B04DC3">
        <w:rPr>
          <w:lang w:val="en-GB"/>
        </w:rPr>
        <w:tab/>
        <w:t>The type of probe shall be either of the following:</w:t>
      </w:r>
    </w:p>
    <w:p w:rsidR="00002BA6" w:rsidRPr="00B04DC3" w:rsidRDefault="00002BA6" w:rsidP="00002BA6">
      <w:pPr>
        <w:pStyle w:val="a"/>
        <w:rPr>
          <w:lang w:val="en-GB"/>
        </w:rPr>
      </w:pPr>
      <w:r w:rsidRPr="00B04DC3">
        <w:rPr>
          <w:lang w:val="en-GB"/>
        </w:rPr>
        <w:t>(a)</w:t>
      </w:r>
      <w:r w:rsidRPr="00B04DC3">
        <w:rPr>
          <w:lang w:val="en-GB"/>
        </w:rPr>
        <w:tab/>
        <w:t>Open tube facing upstream on the exhaust pipe centreline;</w:t>
      </w:r>
    </w:p>
    <w:p w:rsidR="00002BA6" w:rsidRPr="00B04DC3" w:rsidRDefault="00002BA6" w:rsidP="00002BA6">
      <w:pPr>
        <w:pStyle w:val="a"/>
        <w:rPr>
          <w:lang w:val="en-GB"/>
        </w:rPr>
      </w:pPr>
      <w:r w:rsidRPr="00B04DC3">
        <w:rPr>
          <w:lang w:val="en-GB"/>
        </w:rPr>
        <w:t>(b)</w:t>
      </w:r>
      <w:r w:rsidRPr="00B04DC3">
        <w:rPr>
          <w:lang w:val="en-GB"/>
        </w:rPr>
        <w:tab/>
        <w:t>Open tube facing downstream on the exhaust pipe centreline;</w:t>
      </w:r>
    </w:p>
    <w:p w:rsidR="00002BA6" w:rsidRPr="00B04DC3" w:rsidRDefault="00002BA6" w:rsidP="00002BA6">
      <w:pPr>
        <w:pStyle w:val="a"/>
        <w:rPr>
          <w:lang w:val="en-GB"/>
        </w:rPr>
      </w:pPr>
      <w:r w:rsidRPr="00B04DC3">
        <w:rPr>
          <w:lang w:val="en-GB"/>
        </w:rPr>
        <w:t>(c)</w:t>
      </w:r>
      <w:r w:rsidRPr="00B04DC3">
        <w:rPr>
          <w:lang w:val="en-GB"/>
        </w:rPr>
        <w:tab/>
        <w:t>Multiple hole probe as described under SP in paragraph A.3.1.3.</w:t>
      </w:r>
      <w:r w:rsidR="00C243AA">
        <w:rPr>
          <w:lang w:val="en-GB"/>
        </w:rPr>
        <w:t xml:space="preserve"> of this appendix</w:t>
      </w:r>
      <w:r w:rsidRPr="00B04DC3">
        <w:rPr>
          <w:lang w:val="en-GB"/>
        </w:rPr>
        <w:t>;</w:t>
      </w:r>
    </w:p>
    <w:p w:rsidR="00002BA6" w:rsidRPr="00B04DC3" w:rsidRDefault="00002BA6" w:rsidP="00002BA6">
      <w:pPr>
        <w:pStyle w:val="a"/>
        <w:rPr>
          <w:lang w:val="en-GB"/>
        </w:rPr>
      </w:pPr>
      <w:r w:rsidRPr="00B04DC3">
        <w:rPr>
          <w:lang w:val="en-GB"/>
        </w:rPr>
        <w:t>(d)</w:t>
      </w:r>
      <w:r w:rsidRPr="00B04DC3">
        <w:rPr>
          <w:lang w:val="en-GB"/>
        </w:rPr>
        <w:tab/>
        <w:t>Hatted probe facing upstream on the exhaust pipe centreline as shown in Figure 14.</w:t>
      </w:r>
    </w:p>
    <w:p w:rsidR="00002BA6" w:rsidRPr="00B04DC3" w:rsidRDefault="00002BA6" w:rsidP="00002BA6">
      <w:pPr>
        <w:pStyle w:val="para"/>
        <w:rPr>
          <w:lang w:val="en-GB"/>
        </w:rPr>
      </w:pPr>
      <w:r w:rsidRPr="00B04DC3">
        <w:rPr>
          <w:lang w:val="en-GB"/>
        </w:rPr>
        <w:tab/>
        <w:t>The minimum inside diameter of the probe tip shall be 4 mm. The minimum diameter ratio between exhaust pipe and probe shall be four.</w:t>
      </w:r>
    </w:p>
    <w:p w:rsidR="00002BA6" w:rsidRPr="00B04DC3" w:rsidRDefault="00002BA6" w:rsidP="00002BA6">
      <w:pPr>
        <w:pStyle w:val="para"/>
        <w:rPr>
          <w:lang w:val="en-GB"/>
        </w:rPr>
      </w:pPr>
      <w:r w:rsidRPr="00B04DC3">
        <w:rPr>
          <w:lang w:val="en-GB"/>
        </w:rPr>
        <w:tab/>
        <w:t>When using probe type (a), an inertial pre-classifier (cyclone or impactor) with at 50 per cent cut point between 2.5 and 10 µm shall be installed immediately upstream of the filter holder.</w:t>
      </w:r>
    </w:p>
    <w:p w:rsidR="00002BA6" w:rsidRPr="00B04DC3" w:rsidRDefault="00002BA6" w:rsidP="00002BA6">
      <w:pPr>
        <w:pStyle w:val="SingleTxtG"/>
        <w:keepNext/>
        <w:spacing w:after="0"/>
      </w:pPr>
      <w:r w:rsidRPr="00B04DC3">
        <w:t>Figure 14</w:t>
      </w:r>
    </w:p>
    <w:p w:rsidR="00002BA6" w:rsidRPr="00B04DC3" w:rsidRDefault="00002BA6" w:rsidP="00002BA6">
      <w:pPr>
        <w:pStyle w:val="SingleTxtG"/>
        <w:keepNext/>
        <w:spacing w:after="0"/>
        <w:rPr>
          <w:b/>
        </w:rPr>
      </w:pPr>
      <w:r w:rsidRPr="00B04DC3">
        <w:rPr>
          <w:b/>
        </w:rPr>
        <w:t>Scheme of hatted probe</w:t>
      </w:r>
    </w:p>
    <w:p w:rsidR="00610370" w:rsidRPr="00B04DC3" w:rsidRDefault="00A905B7" w:rsidP="00002BA6">
      <w:pPr>
        <w:pStyle w:val="SingleTxtG"/>
        <w:keepNext/>
        <w:spacing w:after="0"/>
        <w:rPr>
          <w:b/>
        </w:rPr>
      </w:pPr>
      <w:r>
        <w:rPr>
          <w:noProof/>
          <w:lang w:eastAsia="en-GB"/>
        </w:rPr>
        <w:pict>
          <v:shape id="Picture 2" o:spid="_x0000_i1301" type="#_x0000_t75" style="width:376.2pt;height:166.2pt;visibility:visible">
            <v:imagedata r:id="rId450" o:title=""/>
          </v:shape>
        </w:pict>
      </w:r>
    </w:p>
    <w:p w:rsidR="00002BA6" w:rsidRPr="00B04DC3" w:rsidRDefault="00002BA6" w:rsidP="00002BA6">
      <w:pPr>
        <w:tabs>
          <w:tab w:val="left" w:pos="1134"/>
          <w:tab w:val="left" w:pos="1701"/>
          <w:tab w:val="left" w:pos="2268"/>
          <w:tab w:val="left" w:pos="8789"/>
        </w:tabs>
        <w:ind w:left="1134" w:hanging="1134"/>
        <w:jc w:val="center"/>
      </w:pPr>
    </w:p>
    <w:p w:rsidR="00002BA6" w:rsidRPr="00B04DC3" w:rsidRDefault="00002BA6" w:rsidP="00002BA6">
      <w:pPr>
        <w:pStyle w:val="para"/>
        <w:rPr>
          <w:lang w:val="en-GB"/>
        </w:rPr>
      </w:pPr>
      <w:r w:rsidRPr="00B04DC3">
        <w:rPr>
          <w:lang w:val="en-GB"/>
        </w:rPr>
        <w:tab/>
        <w:t>TT</w:t>
      </w:r>
      <w:r w:rsidRPr="00B04DC3">
        <w:rPr>
          <w:lang w:val="en-GB"/>
        </w:rPr>
        <w:tab/>
        <w:t xml:space="preserve">Exhaust </w:t>
      </w:r>
      <w:r w:rsidR="000A2DD6">
        <w:rPr>
          <w:lang w:val="en-GB"/>
        </w:rPr>
        <w:t>T</w:t>
      </w:r>
      <w:r w:rsidR="000A2DD6" w:rsidRPr="00B04DC3">
        <w:rPr>
          <w:lang w:val="en-GB"/>
        </w:rPr>
        <w:t xml:space="preserve">ransfer </w:t>
      </w:r>
      <w:r w:rsidR="000A2DD6">
        <w:rPr>
          <w:lang w:val="en-GB"/>
        </w:rPr>
        <w:t>T</w:t>
      </w:r>
      <w:r w:rsidR="000A2DD6" w:rsidRPr="00B04DC3">
        <w:rPr>
          <w:lang w:val="en-GB"/>
        </w:rPr>
        <w:t>ube</w:t>
      </w:r>
    </w:p>
    <w:p w:rsidR="00002BA6" w:rsidRPr="00B04DC3" w:rsidRDefault="00002BA6" w:rsidP="00002BA6">
      <w:pPr>
        <w:pStyle w:val="para"/>
        <w:rPr>
          <w:lang w:val="en-GB"/>
        </w:rPr>
      </w:pPr>
      <w:r w:rsidRPr="00B04DC3">
        <w:rPr>
          <w:lang w:val="en-GB"/>
        </w:rPr>
        <w:tab/>
        <w:t>The transfer tube shall be as short as possible, but:</w:t>
      </w:r>
    </w:p>
    <w:p w:rsidR="00002BA6" w:rsidRPr="00B04DC3" w:rsidRDefault="00002BA6" w:rsidP="00002BA6">
      <w:pPr>
        <w:pStyle w:val="a"/>
        <w:rPr>
          <w:lang w:val="en-GB"/>
        </w:rPr>
      </w:pPr>
      <w:r w:rsidRPr="00B04DC3">
        <w:rPr>
          <w:lang w:val="en-GB"/>
        </w:rPr>
        <w:t>(a)</w:t>
      </w:r>
      <w:r w:rsidRPr="00B04DC3">
        <w:rPr>
          <w:lang w:val="en-GB"/>
        </w:rPr>
        <w:tab/>
        <w:t>Not more than 0.26 m in length, if insulated for 80 per cent of the total length, as measured between the end of the probe and the dilution stage,</w:t>
      </w:r>
    </w:p>
    <w:p w:rsidR="00002BA6" w:rsidRPr="00B04DC3" w:rsidRDefault="00002BA6" w:rsidP="00002BA6">
      <w:pPr>
        <w:pStyle w:val="a"/>
        <w:rPr>
          <w:lang w:val="en-GB"/>
        </w:rPr>
      </w:pPr>
      <w:r w:rsidRPr="00B04DC3">
        <w:rPr>
          <w:lang w:val="en-GB"/>
        </w:rPr>
        <w:tab/>
        <w:t>or</w:t>
      </w:r>
    </w:p>
    <w:p w:rsidR="00002BA6" w:rsidRPr="00B04DC3" w:rsidRDefault="00002BA6" w:rsidP="00002BA6">
      <w:pPr>
        <w:pStyle w:val="a"/>
        <w:rPr>
          <w:lang w:val="en-GB"/>
        </w:rPr>
      </w:pPr>
      <w:r w:rsidRPr="00B04DC3">
        <w:rPr>
          <w:lang w:val="en-GB"/>
        </w:rPr>
        <w:t>(b)</w:t>
      </w:r>
      <w:r w:rsidRPr="00B04DC3">
        <w:rPr>
          <w:lang w:val="en-GB"/>
        </w:rPr>
        <w:tab/>
        <w:t>Not more than 1 m in length, if heated above 150 °C for 90 per cent of the total length, as measured between the end of the probe and the dilution stage.</w:t>
      </w:r>
    </w:p>
    <w:p w:rsidR="00002BA6" w:rsidRPr="00B04DC3" w:rsidRDefault="00002BA6" w:rsidP="00002BA6">
      <w:pPr>
        <w:pStyle w:val="para"/>
        <w:rPr>
          <w:lang w:val="en-GB"/>
        </w:rPr>
      </w:pPr>
      <w:r w:rsidRPr="00B04DC3">
        <w:rPr>
          <w:lang w:val="en-GB"/>
        </w:rPr>
        <w:tab/>
        <w:t>It shall be equal to or greater than the probe diameter, but not more than 25 mm in diameter, and exiting on the centreline of the dilution tunnel and pointing downstream.</w:t>
      </w:r>
    </w:p>
    <w:p w:rsidR="00002BA6" w:rsidRPr="00B04DC3" w:rsidRDefault="00002BA6" w:rsidP="00002BA6">
      <w:pPr>
        <w:pStyle w:val="para"/>
        <w:rPr>
          <w:lang w:val="en-GB"/>
        </w:rPr>
      </w:pPr>
      <w:r w:rsidRPr="00B04DC3">
        <w:rPr>
          <w:lang w:val="en-GB"/>
        </w:rPr>
        <w:tab/>
        <w:t>With respect to (a), insulation shall be done with material with a maximum thermal conductivity of 0.05 W/mK with a radial insulation thickness corresponding to the diameter of the probe.</w:t>
      </w:r>
    </w:p>
    <w:p w:rsidR="00002BA6" w:rsidRPr="00B04DC3" w:rsidRDefault="00002BA6" w:rsidP="00002BA6">
      <w:pPr>
        <w:pStyle w:val="para"/>
        <w:rPr>
          <w:lang w:val="en-GB"/>
        </w:rPr>
      </w:pPr>
      <w:r w:rsidRPr="00B04DC3">
        <w:rPr>
          <w:lang w:val="en-GB"/>
        </w:rPr>
        <w:tab/>
        <w:t>FC1</w:t>
      </w:r>
      <w:r w:rsidRPr="00B04DC3">
        <w:rPr>
          <w:lang w:val="en-GB"/>
        </w:rPr>
        <w:tab/>
        <w:t xml:space="preserve">Flow </w:t>
      </w:r>
      <w:r w:rsidR="008F2D10">
        <w:rPr>
          <w:lang w:val="en-GB"/>
        </w:rPr>
        <w:t>C</w:t>
      </w:r>
      <w:r w:rsidR="008F2D10" w:rsidRPr="00B04DC3">
        <w:rPr>
          <w:lang w:val="en-GB"/>
        </w:rPr>
        <w:t>ontroller</w:t>
      </w:r>
    </w:p>
    <w:p w:rsidR="00002BA6" w:rsidRPr="00B04DC3" w:rsidRDefault="00002BA6" w:rsidP="00002BA6">
      <w:pPr>
        <w:pStyle w:val="para"/>
        <w:rPr>
          <w:lang w:val="en-GB"/>
        </w:rPr>
      </w:pPr>
      <w:r w:rsidRPr="00B04DC3">
        <w:rPr>
          <w:lang w:val="en-GB"/>
        </w:rPr>
        <w:tab/>
        <w:t xml:space="preserve">A flow controller shall be used to control the diluent flow through the pressure blower PB and/or the suction blower SB. It may be connected to the exhaust flow sensor signals specified in paragraph 8.4.1. </w:t>
      </w:r>
      <w:r w:rsidR="008F2D10">
        <w:rPr>
          <w:lang w:val="en-GB"/>
        </w:rPr>
        <w:t xml:space="preserve">of this annex. </w:t>
      </w:r>
      <w:r w:rsidRPr="00B04DC3">
        <w:rPr>
          <w:lang w:val="en-GB"/>
        </w:rPr>
        <w:t>The flow controller may be installed upstream or downstream of the respective blower. When using a pressurized air supply, FC1 directly controls the airflow.</w:t>
      </w:r>
    </w:p>
    <w:p w:rsidR="00002BA6" w:rsidRPr="00B04DC3" w:rsidRDefault="00002BA6" w:rsidP="00002BA6">
      <w:pPr>
        <w:pStyle w:val="para"/>
        <w:rPr>
          <w:lang w:val="en-GB"/>
        </w:rPr>
      </w:pPr>
      <w:r w:rsidRPr="00B04DC3">
        <w:rPr>
          <w:lang w:val="en-GB"/>
        </w:rPr>
        <w:tab/>
        <w:t>FM1</w:t>
      </w:r>
      <w:r w:rsidRPr="00B04DC3">
        <w:rPr>
          <w:lang w:val="en-GB"/>
        </w:rPr>
        <w:tab/>
        <w:t>Flow measurement device</w:t>
      </w:r>
    </w:p>
    <w:p w:rsidR="00002BA6" w:rsidRPr="00B04DC3" w:rsidRDefault="00002BA6" w:rsidP="00002BA6">
      <w:pPr>
        <w:pStyle w:val="para"/>
        <w:rPr>
          <w:lang w:val="en-GB"/>
        </w:rPr>
      </w:pPr>
      <w:r w:rsidRPr="00B04DC3">
        <w:rPr>
          <w:lang w:val="en-GB"/>
        </w:rPr>
        <w:tab/>
        <w:t>Gas meter or other flow instrumentation to measure the diluent flow. FM1 is optional if the pressure blower PB is calibrated to measure the flow.</w:t>
      </w:r>
    </w:p>
    <w:p w:rsidR="00002BA6" w:rsidRPr="00B04DC3" w:rsidRDefault="00002BA6" w:rsidP="00002BA6">
      <w:pPr>
        <w:pStyle w:val="para"/>
        <w:ind w:firstLine="0"/>
        <w:rPr>
          <w:lang w:val="en-GB"/>
        </w:rPr>
      </w:pPr>
      <w:r w:rsidRPr="00B04DC3">
        <w:rPr>
          <w:lang w:val="en-GB"/>
        </w:rPr>
        <w:t>DAF</w:t>
      </w:r>
      <w:r w:rsidRPr="00B04DC3">
        <w:rPr>
          <w:lang w:val="en-GB"/>
        </w:rPr>
        <w:tab/>
        <w:t>Diluent filter</w:t>
      </w:r>
    </w:p>
    <w:p w:rsidR="00002BA6" w:rsidRPr="00B04DC3" w:rsidRDefault="00002BA6" w:rsidP="00002BA6">
      <w:pPr>
        <w:pStyle w:val="para"/>
        <w:rPr>
          <w:lang w:val="en-GB"/>
        </w:rPr>
      </w:pPr>
      <w:r w:rsidRPr="00B04DC3">
        <w:rPr>
          <w:lang w:val="en-GB"/>
        </w:rPr>
        <w:tab/>
        <w:t xml:space="preserve">The diluent (ambient air, synthetic air, or nitrogen) shall be filtered with a </w:t>
      </w:r>
      <w:r w:rsidR="002D4E2F" w:rsidRPr="00B04DC3">
        <w:rPr>
          <w:lang w:val="en-GB"/>
        </w:rPr>
        <w:t>H</w:t>
      </w:r>
      <w:r w:rsidRPr="00B04DC3">
        <w:rPr>
          <w:lang w:val="en-GB"/>
        </w:rPr>
        <w:t>igh-</w:t>
      </w:r>
      <w:r w:rsidR="002D4E2F" w:rsidRPr="00B04DC3">
        <w:rPr>
          <w:lang w:val="en-GB"/>
        </w:rPr>
        <w:t>E</w:t>
      </w:r>
      <w:r w:rsidRPr="00B04DC3">
        <w:rPr>
          <w:lang w:val="en-GB"/>
        </w:rPr>
        <w:t xml:space="preserve">fficiency </w:t>
      </w:r>
      <w:r w:rsidR="002D4E2F">
        <w:rPr>
          <w:lang w:val="en-GB"/>
        </w:rPr>
        <w:t xml:space="preserve">Particulate Air </w:t>
      </w:r>
      <w:r w:rsidR="008F2D10" w:rsidRPr="00B04DC3">
        <w:rPr>
          <w:lang w:val="en-GB"/>
        </w:rPr>
        <w:t xml:space="preserve">(HEPA) </w:t>
      </w:r>
      <w:r w:rsidR="002D4E2F" w:rsidRPr="00B04DC3">
        <w:rPr>
          <w:lang w:val="en-GB"/>
        </w:rPr>
        <w:t xml:space="preserve">filter </w:t>
      </w:r>
      <w:r w:rsidRPr="00B04DC3">
        <w:rPr>
          <w:lang w:val="en-GB"/>
        </w:rPr>
        <w:t>that has an initial minimum collection efficiency of 99.97 per cent according to EN 1822-1 (filter class H14 or better), ASTM F 1471</w:t>
      </w:r>
      <w:r w:rsidRPr="00B04DC3">
        <w:rPr>
          <w:lang w:val="en-GB"/>
        </w:rPr>
        <w:noBreakHyphen/>
        <w:t>93 or equivalent standard.</w:t>
      </w:r>
    </w:p>
    <w:p w:rsidR="00002BA6" w:rsidRPr="00B04DC3" w:rsidRDefault="00002BA6" w:rsidP="00002BA6">
      <w:pPr>
        <w:pStyle w:val="para"/>
        <w:rPr>
          <w:lang w:val="en-GB"/>
        </w:rPr>
      </w:pPr>
      <w:r w:rsidRPr="00B04DC3">
        <w:rPr>
          <w:lang w:val="en-GB"/>
        </w:rPr>
        <w:tab/>
        <w:t>FM2</w:t>
      </w:r>
      <w:r w:rsidRPr="00B04DC3">
        <w:rPr>
          <w:lang w:val="en-GB"/>
        </w:rPr>
        <w:tab/>
        <w:t>Flow measurement device (fractional sampling type, Figure 13 only)</w:t>
      </w:r>
    </w:p>
    <w:p w:rsidR="00002BA6" w:rsidRPr="00B04DC3" w:rsidRDefault="00002BA6" w:rsidP="00002BA6">
      <w:pPr>
        <w:pStyle w:val="para"/>
        <w:rPr>
          <w:lang w:val="en-GB"/>
        </w:rPr>
      </w:pPr>
      <w:r w:rsidRPr="00B04DC3">
        <w:rPr>
          <w:lang w:val="en-GB"/>
        </w:rPr>
        <w:tab/>
        <w:t>Gas meter or other flow instrumentation to measure the diluted exhaust gas flow. FM2 is optional if the suction blower SB is calibrated to measure the flow.</w:t>
      </w:r>
    </w:p>
    <w:p w:rsidR="00002BA6" w:rsidRPr="00B04DC3" w:rsidRDefault="00002BA6" w:rsidP="00002BA6">
      <w:pPr>
        <w:pStyle w:val="para"/>
        <w:rPr>
          <w:lang w:val="en-GB"/>
        </w:rPr>
      </w:pPr>
      <w:r w:rsidRPr="00B04DC3">
        <w:rPr>
          <w:lang w:val="en-GB"/>
        </w:rPr>
        <w:tab/>
        <w:t>PB</w:t>
      </w:r>
      <w:r w:rsidRPr="00B04DC3">
        <w:rPr>
          <w:lang w:val="en-GB"/>
        </w:rPr>
        <w:tab/>
        <w:t>Pressure blower (fractional sampling type, Figure 13 only)</w:t>
      </w:r>
    </w:p>
    <w:p w:rsidR="00002BA6" w:rsidRPr="00B04DC3" w:rsidRDefault="00002BA6" w:rsidP="00002BA6">
      <w:pPr>
        <w:pStyle w:val="para"/>
        <w:rPr>
          <w:lang w:val="en-GB"/>
        </w:rPr>
      </w:pPr>
      <w:r w:rsidRPr="00B04DC3">
        <w:rPr>
          <w:lang w:val="en-GB"/>
        </w:rPr>
        <w:tab/>
        <w:t>To control the diluent flow rate, PB may be connected to the flow controllers FC1 or FC2. PB is not required when using a butterfly valve. PB may be used to measure the diluent flow, if calibrated.</w:t>
      </w:r>
    </w:p>
    <w:p w:rsidR="00002BA6" w:rsidRPr="00B04DC3" w:rsidRDefault="00002BA6" w:rsidP="00002BA6">
      <w:pPr>
        <w:pStyle w:val="para"/>
        <w:rPr>
          <w:lang w:val="en-GB"/>
        </w:rPr>
      </w:pPr>
      <w:r w:rsidRPr="00B04DC3">
        <w:rPr>
          <w:lang w:val="en-GB"/>
        </w:rPr>
        <w:tab/>
        <w:t>SB</w:t>
      </w:r>
      <w:r w:rsidRPr="00B04DC3">
        <w:rPr>
          <w:lang w:val="en-GB"/>
        </w:rPr>
        <w:tab/>
        <w:t>Suction blower (fractional sampling type, Figure 13 only)</w:t>
      </w:r>
    </w:p>
    <w:p w:rsidR="00002BA6" w:rsidRPr="00B04DC3" w:rsidRDefault="00002BA6" w:rsidP="00002BA6">
      <w:pPr>
        <w:pStyle w:val="para"/>
        <w:rPr>
          <w:lang w:val="en-GB"/>
        </w:rPr>
      </w:pPr>
      <w:r w:rsidRPr="00B04DC3">
        <w:rPr>
          <w:lang w:val="en-GB"/>
        </w:rPr>
        <w:tab/>
        <w:t>SB may be used to measure the diluted exhaust gas flow, if calibrated.</w:t>
      </w:r>
    </w:p>
    <w:p w:rsidR="00002BA6" w:rsidRPr="00B04DC3" w:rsidRDefault="00002BA6" w:rsidP="00002BA6">
      <w:pPr>
        <w:pStyle w:val="para"/>
        <w:rPr>
          <w:lang w:val="en-GB"/>
        </w:rPr>
      </w:pPr>
      <w:r w:rsidRPr="00B04DC3">
        <w:rPr>
          <w:lang w:val="en-GB"/>
        </w:rPr>
        <w:tab/>
        <w:t>DT</w:t>
      </w:r>
      <w:r w:rsidRPr="00B04DC3">
        <w:rPr>
          <w:lang w:val="en-GB"/>
        </w:rPr>
        <w:tab/>
        <w:t xml:space="preserve">Dilution </w:t>
      </w:r>
      <w:r w:rsidR="008F2D10">
        <w:rPr>
          <w:lang w:val="en-GB"/>
        </w:rPr>
        <w:t>T</w:t>
      </w:r>
      <w:r w:rsidR="008F2D10" w:rsidRPr="00B04DC3">
        <w:rPr>
          <w:lang w:val="en-GB"/>
        </w:rPr>
        <w:t xml:space="preserve">unnel </w:t>
      </w:r>
      <w:r w:rsidRPr="00B04DC3">
        <w:rPr>
          <w:lang w:val="en-GB"/>
        </w:rPr>
        <w:t>(partial flow)</w:t>
      </w:r>
    </w:p>
    <w:p w:rsidR="00002BA6" w:rsidRPr="00B04DC3" w:rsidRDefault="00002BA6" w:rsidP="00002BA6">
      <w:pPr>
        <w:pStyle w:val="para"/>
        <w:rPr>
          <w:lang w:val="en-GB"/>
        </w:rPr>
      </w:pPr>
      <w:r w:rsidRPr="00B04DC3">
        <w:rPr>
          <w:lang w:val="en-GB"/>
        </w:rPr>
        <w:tab/>
        <w:t>The dilution tunnel:</w:t>
      </w:r>
    </w:p>
    <w:p w:rsidR="00002BA6" w:rsidRPr="00B04DC3" w:rsidRDefault="00002BA6" w:rsidP="00002BA6">
      <w:pPr>
        <w:pStyle w:val="a"/>
        <w:rPr>
          <w:lang w:val="en-GB"/>
        </w:rPr>
      </w:pPr>
      <w:r w:rsidRPr="00B04DC3">
        <w:rPr>
          <w:lang w:val="en-GB"/>
        </w:rPr>
        <w:t>(a)</w:t>
      </w:r>
      <w:r w:rsidRPr="00B04DC3">
        <w:rPr>
          <w:lang w:val="en-GB"/>
        </w:rPr>
        <w:tab/>
        <w:t>Shall be of a sufficient length to cause complete mixing of the exhaust and diluent under turbulent flow conditions (Reynolds number, Re, greater than 4,000, where Re is based on the inside diameter of the dilution tunnel) for a fractional sampling system, i.e. complete mixing is not required for a total sampling system;</w:t>
      </w:r>
    </w:p>
    <w:p w:rsidR="00002BA6" w:rsidRPr="00B04DC3" w:rsidRDefault="00002BA6" w:rsidP="00002BA6">
      <w:pPr>
        <w:pStyle w:val="a"/>
        <w:rPr>
          <w:lang w:val="en-GB"/>
        </w:rPr>
      </w:pPr>
      <w:r w:rsidRPr="00B04DC3">
        <w:rPr>
          <w:lang w:val="en-GB"/>
        </w:rPr>
        <w:t>(b)</w:t>
      </w:r>
      <w:r w:rsidRPr="00B04DC3">
        <w:rPr>
          <w:lang w:val="en-GB"/>
        </w:rPr>
        <w:tab/>
        <w:t>Shall be constructed of stainless steel;</w:t>
      </w:r>
    </w:p>
    <w:p w:rsidR="00002BA6" w:rsidRPr="00B04DC3" w:rsidRDefault="00002BA6" w:rsidP="00002BA6">
      <w:pPr>
        <w:pStyle w:val="a"/>
        <w:rPr>
          <w:lang w:val="en-GB"/>
        </w:rPr>
      </w:pPr>
      <w:r w:rsidRPr="00B04DC3">
        <w:rPr>
          <w:lang w:val="en-GB"/>
        </w:rPr>
        <w:t>(c)</w:t>
      </w:r>
      <w:r w:rsidRPr="00B04DC3">
        <w:rPr>
          <w:lang w:val="en-GB"/>
        </w:rPr>
        <w:tab/>
        <w:t>May be heated to no greater than 325 K (52 °C) wall temperature;</w:t>
      </w:r>
    </w:p>
    <w:p w:rsidR="00002BA6" w:rsidRPr="00B04DC3" w:rsidRDefault="00002BA6" w:rsidP="00002BA6">
      <w:pPr>
        <w:pStyle w:val="a"/>
        <w:rPr>
          <w:lang w:val="en-GB"/>
        </w:rPr>
      </w:pPr>
      <w:r w:rsidRPr="00B04DC3">
        <w:rPr>
          <w:lang w:val="en-GB"/>
        </w:rPr>
        <w:t>(d)</w:t>
      </w:r>
      <w:r w:rsidRPr="00B04DC3">
        <w:rPr>
          <w:lang w:val="en-GB"/>
        </w:rPr>
        <w:tab/>
        <w:t>May be insulated.</w:t>
      </w:r>
    </w:p>
    <w:p w:rsidR="00002BA6" w:rsidRPr="00B04DC3" w:rsidRDefault="00002BA6" w:rsidP="00002BA6">
      <w:pPr>
        <w:pStyle w:val="para"/>
        <w:rPr>
          <w:lang w:val="en-GB"/>
        </w:rPr>
      </w:pPr>
      <w:r w:rsidRPr="00B04DC3">
        <w:rPr>
          <w:lang w:val="en-GB"/>
        </w:rPr>
        <w:tab/>
        <w:t>PSP</w:t>
      </w:r>
      <w:r w:rsidRPr="00B04DC3">
        <w:rPr>
          <w:lang w:val="en-GB"/>
        </w:rPr>
        <w:tab/>
        <w:t>Particulate sampling probe (fractional sampling type, Figure 13 only)</w:t>
      </w:r>
    </w:p>
    <w:p w:rsidR="00002BA6" w:rsidRPr="00B04DC3" w:rsidRDefault="00002BA6" w:rsidP="00002BA6">
      <w:pPr>
        <w:pStyle w:val="para"/>
        <w:rPr>
          <w:lang w:val="en-GB"/>
        </w:rPr>
      </w:pPr>
      <w:r w:rsidRPr="00B04DC3">
        <w:rPr>
          <w:lang w:val="en-GB"/>
        </w:rPr>
        <w:tab/>
        <w:t xml:space="preserve">The particulate sampling probe is the leading section of the </w:t>
      </w:r>
      <w:r w:rsidR="008F2D10" w:rsidRPr="00B04DC3">
        <w:rPr>
          <w:lang w:val="en-GB"/>
        </w:rPr>
        <w:t>P</w:t>
      </w:r>
      <w:r w:rsidRPr="00B04DC3">
        <w:rPr>
          <w:lang w:val="en-GB"/>
        </w:rPr>
        <w:t xml:space="preserve">articulate </w:t>
      </w:r>
      <w:r w:rsidR="008F2D10" w:rsidRPr="00B04DC3">
        <w:rPr>
          <w:lang w:val="en-GB"/>
        </w:rPr>
        <w:t>T</w:t>
      </w:r>
      <w:r w:rsidRPr="00B04DC3">
        <w:rPr>
          <w:lang w:val="en-GB"/>
        </w:rPr>
        <w:t xml:space="preserve">ransfer </w:t>
      </w:r>
      <w:r w:rsidR="008F2D10" w:rsidRPr="00B04DC3">
        <w:rPr>
          <w:lang w:val="en-GB"/>
        </w:rPr>
        <w:t>T</w:t>
      </w:r>
      <w:r w:rsidRPr="00B04DC3">
        <w:rPr>
          <w:lang w:val="en-GB"/>
        </w:rPr>
        <w:t xml:space="preserve">ube </w:t>
      </w:r>
      <w:r w:rsidR="008F2D10">
        <w:rPr>
          <w:lang w:val="en-GB"/>
        </w:rPr>
        <w:t>(</w:t>
      </w:r>
      <w:r w:rsidRPr="00B04DC3">
        <w:rPr>
          <w:lang w:val="en-GB"/>
        </w:rPr>
        <w:t>PTT</w:t>
      </w:r>
      <w:r w:rsidR="008F2D10">
        <w:rPr>
          <w:lang w:val="en-GB"/>
        </w:rPr>
        <w:t>)</w:t>
      </w:r>
      <w:r w:rsidRPr="00B04DC3">
        <w:rPr>
          <w:lang w:val="en-GB"/>
        </w:rPr>
        <w:t xml:space="preserve"> (see paragraph A.3.2.6.) and:</w:t>
      </w:r>
    </w:p>
    <w:p w:rsidR="00002BA6" w:rsidRPr="00B04DC3" w:rsidRDefault="00002BA6" w:rsidP="00002BA6">
      <w:pPr>
        <w:pStyle w:val="a"/>
        <w:rPr>
          <w:lang w:val="en-GB"/>
        </w:rPr>
      </w:pPr>
      <w:r w:rsidRPr="00B04DC3">
        <w:rPr>
          <w:lang w:val="en-GB"/>
        </w:rPr>
        <w:t>(a)</w:t>
      </w:r>
      <w:r w:rsidRPr="00B04DC3">
        <w:rPr>
          <w:lang w:val="en-GB"/>
        </w:rPr>
        <w:tab/>
        <w:t xml:space="preserve">Shall be installed facing upstream at a point where the diluent and exhaust gas are well mixed, i.e. on the </w:t>
      </w:r>
      <w:r w:rsidR="008F2D10" w:rsidRPr="00B04DC3">
        <w:rPr>
          <w:lang w:val="en-GB"/>
        </w:rPr>
        <w:t>D</w:t>
      </w:r>
      <w:r w:rsidRPr="00B04DC3">
        <w:rPr>
          <w:lang w:val="en-GB"/>
        </w:rPr>
        <w:t xml:space="preserve">ilution </w:t>
      </w:r>
      <w:r w:rsidR="008F2D10" w:rsidRPr="00B04DC3">
        <w:rPr>
          <w:lang w:val="en-GB"/>
        </w:rPr>
        <w:t>T</w:t>
      </w:r>
      <w:r w:rsidRPr="00B04DC3">
        <w:rPr>
          <w:lang w:val="en-GB"/>
        </w:rPr>
        <w:t xml:space="preserve">unnel </w:t>
      </w:r>
      <w:r w:rsidR="008F2D10">
        <w:rPr>
          <w:lang w:val="en-GB"/>
        </w:rPr>
        <w:t>(</w:t>
      </w:r>
      <w:r w:rsidRPr="00B04DC3">
        <w:rPr>
          <w:lang w:val="en-GB"/>
        </w:rPr>
        <w:t>DT</w:t>
      </w:r>
      <w:r w:rsidR="008F2D10">
        <w:rPr>
          <w:lang w:val="en-GB"/>
        </w:rPr>
        <w:t>)</w:t>
      </w:r>
      <w:r w:rsidRPr="00B04DC3">
        <w:rPr>
          <w:lang w:val="en-GB"/>
        </w:rPr>
        <w:t xml:space="preserve"> centreline approximately 10 tunnel diameters downstream of the point where the exhaust enters the dilution tunnel;</w:t>
      </w:r>
    </w:p>
    <w:p w:rsidR="00002BA6" w:rsidRPr="00B04DC3" w:rsidRDefault="00002BA6" w:rsidP="00002BA6">
      <w:pPr>
        <w:pStyle w:val="a"/>
        <w:rPr>
          <w:lang w:val="en-GB"/>
        </w:rPr>
      </w:pPr>
      <w:r w:rsidRPr="00B04DC3">
        <w:rPr>
          <w:lang w:val="en-GB"/>
        </w:rPr>
        <w:t>(b)</w:t>
      </w:r>
      <w:r w:rsidRPr="00B04DC3">
        <w:rPr>
          <w:lang w:val="en-GB"/>
        </w:rPr>
        <w:tab/>
        <w:t>Shall be 8 mm in minimum inside diameter;</w:t>
      </w:r>
    </w:p>
    <w:p w:rsidR="00002BA6" w:rsidRPr="00B04DC3" w:rsidRDefault="00002BA6" w:rsidP="00002BA6">
      <w:pPr>
        <w:pStyle w:val="a"/>
        <w:rPr>
          <w:lang w:val="en-GB"/>
        </w:rPr>
      </w:pPr>
      <w:r w:rsidRPr="00B04DC3">
        <w:rPr>
          <w:lang w:val="en-GB"/>
        </w:rPr>
        <w:t>(c)</w:t>
      </w:r>
      <w:r w:rsidRPr="00B04DC3">
        <w:rPr>
          <w:lang w:val="en-GB"/>
        </w:rPr>
        <w:tab/>
        <w:t>May be heated to no greater than 325 K (52 °C) wall temperature by direct heating or by diluent pre</w:t>
      </w:r>
      <w:r w:rsidRPr="00B04DC3">
        <w:rPr>
          <w:lang w:val="en-GB"/>
        </w:rPr>
        <w:noBreakHyphen/>
        <w:t>heating, provided the diluent temperature does not exceed 325 K (52 °C) prior to the introduction of the exhaust into the dilution tunnel;</w:t>
      </w:r>
    </w:p>
    <w:p w:rsidR="00002BA6" w:rsidRPr="00B04DC3" w:rsidRDefault="00002BA6" w:rsidP="00002BA6">
      <w:pPr>
        <w:pStyle w:val="a"/>
        <w:rPr>
          <w:lang w:val="en-GB"/>
        </w:rPr>
      </w:pPr>
      <w:r w:rsidRPr="00B04DC3">
        <w:rPr>
          <w:lang w:val="en-GB"/>
        </w:rPr>
        <w:t>(d)</w:t>
      </w:r>
      <w:r w:rsidRPr="00B04DC3">
        <w:rPr>
          <w:lang w:val="en-GB"/>
        </w:rPr>
        <w:tab/>
        <w:t>May be insulated.</w:t>
      </w:r>
    </w:p>
    <w:p w:rsidR="00002BA6" w:rsidRPr="00B04DC3" w:rsidRDefault="00002BA6" w:rsidP="000A2DD6">
      <w:pPr>
        <w:pStyle w:val="para"/>
        <w:keepNext/>
        <w:keepLines/>
        <w:rPr>
          <w:lang w:val="en-GB"/>
        </w:rPr>
      </w:pPr>
      <w:r w:rsidRPr="00B04DC3">
        <w:rPr>
          <w:lang w:val="en-GB"/>
        </w:rPr>
        <w:t>A.3.2.3.</w:t>
      </w:r>
      <w:r w:rsidRPr="00B04DC3">
        <w:rPr>
          <w:lang w:val="en-GB"/>
        </w:rPr>
        <w:tab/>
        <w:t>Description of full flow dilution system</w:t>
      </w:r>
    </w:p>
    <w:p w:rsidR="00002BA6" w:rsidRPr="00B04DC3" w:rsidRDefault="00002BA6" w:rsidP="00002BA6">
      <w:pPr>
        <w:pStyle w:val="para"/>
        <w:rPr>
          <w:lang w:val="en-GB"/>
        </w:rPr>
      </w:pPr>
      <w:r w:rsidRPr="00B04DC3">
        <w:rPr>
          <w:lang w:val="en-GB"/>
        </w:rPr>
        <w:tab/>
        <w:t xml:space="preserve">A dilution system is described based upon the dilution of the total amount of raw exhaust gas in the </w:t>
      </w:r>
      <w:r w:rsidR="008F2D10">
        <w:rPr>
          <w:lang w:val="en-GB"/>
        </w:rPr>
        <w:t>D</w:t>
      </w:r>
      <w:r w:rsidR="008F2D10" w:rsidRPr="00B04DC3">
        <w:rPr>
          <w:lang w:val="en-GB"/>
        </w:rPr>
        <w:t xml:space="preserve">ilution </w:t>
      </w:r>
      <w:r w:rsidR="008F2D10">
        <w:rPr>
          <w:lang w:val="en-GB"/>
        </w:rPr>
        <w:t>T</w:t>
      </w:r>
      <w:r w:rsidR="008F2D10" w:rsidRPr="00B04DC3">
        <w:rPr>
          <w:lang w:val="en-GB"/>
        </w:rPr>
        <w:t xml:space="preserve">unnel </w:t>
      </w:r>
      <w:r w:rsidR="008F2D10">
        <w:rPr>
          <w:lang w:val="en-GB"/>
        </w:rPr>
        <w:t>(</w:t>
      </w:r>
      <w:r w:rsidRPr="00B04DC3">
        <w:rPr>
          <w:lang w:val="en-GB"/>
        </w:rPr>
        <w:t>DT</w:t>
      </w:r>
      <w:r w:rsidR="008F2D10">
        <w:rPr>
          <w:lang w:val="en-GB"/>
        </w:rPr>
        <w:t>)</w:t>
      </w:r>
      <w:r w:rsidRPr="00B04DC3">
        <w:rPr>
          <w:lang w:val="en-GB"/>
        </w:rPr>
        <w:t xml:space="preserve"> using the CVS (</w:t>
      </w:r>
      <w:r w:rsidR="008F2D10" w:rsidRPr="00B04DC3">
        <w:rPr>
          <w:lang w:val="en-GB"/>
        </w:rPr>
        <w:t>C</w:t>
      </w:r>
      <w:r w:rsidRPr="00B04DC3">
        <w:rPr>
          <w:lang w:val="en-GB"/>
        </w:rPr>
        <w:t xml:space="preserve">onstant </w:t>
      </w:r>
      <w:r w:rsidR="008F2D10" w:rsidRPr="00B04DC3">
        <w:rPr>
          <w:lang w:val="en-GB"/>
        </w:rPr>
        <w:t>V</w:t>
      </w:r>
      <w:r w:rsidRPr="00B04DC3">
        <w:rPr>
          <w:lang w:val="en-GB"/>
        </w:rPr>
        <w:t xml:space="preserve">olume </w:t>
      </w:r>
      <w:r w:rsidR="008F2D10" w:rsidRPr="00B04DC3">
        <w:rPr>
          <w:lang w:val="en-GB"/>
        </w:rPr>
        <w:t>S</w:t>
      </w:r>
      <w:r w:rsidRPr="00B04DC3">
        <w:rPr>
          <w:lang w:val="en-GB"/>
        </w:rPr>
        <w:t>ampling) concept, and is shown in Figure 15.</w:t>
      </w:r>
    </w:p>
    <w:p w:rsidR="00002BA6" w:rsidRPr="00551C68" w:rsidRDefault="00002BA6" w:rsidP="00002BA6">
      <w:pPr>
        <w:pStyle w:val="para"/>
        <w:rPr>
          <w:spacing w:val="-2"/>
          <w:lang w:val="en-GB"/>
        </w:rPr>
      </w:pPr>
      <w:r w:rsidRPr="00551C68">
        <w:rPr>
          <w:spacing w:val="-2"/>
          <w:lang w:val="en-GB"/>
        </w:rPr>
        <w:tab/>
        <w:t xml:space="preserve">The diluted exhaust gas flow rate shall be measured either with a </w:t>
      </w:r>
      <w:r w:rsidR="008F2D10" w:rsidRPr="00551C68">
        <w:rPr>
          <w:spacing w:val="-2"/>
          <w:lang w:val="en-GB"/>
        </w:rPr>
        <w:t>P</w:t>
      </w:r>
      <w:r w:rsidRPr="00551C68">
        <w:rPr>
          <w:spacing w:val="-2"/>
          <w:lang w:val="en-GB"/>
        </w:rPr>
        <w:t xml:space="preserve">ositive </w:t>
      </w:r>
      <w:r w:rsidR="008F2D10" w:rsidRPr="00551C68">
        <w:rPr>
          <w:spacing w:val="-2"/>
          <w:lang w:val="en-GB"/>
        </w:rPr>
        <w:t>D</w:t>
      </w:r>
      <w:r w:rsidRPr="00551C68">
        <w:rPr>
          <w:spacing w:val="-2"/>
          <w:lang w:val="en-GB"/>
        </w:rPr>
        <w:t xml:space="preserve">isplacement </w:t>
      </w:r>
      <w:r w:rsidR="008F2D10" w:rsidRPr="00551C68">
        <w:rPr>
          <w:spacing w:val="-2"/>
          <w:lang w:val="en-GB"/>
        </w:rPr>
        <w:t>P</w:t>
      </w:r>
      <w:r w:rsidRPr="00551C68">
        <w:rPr>
          <w:spacing w:val="-2"/>
          <w:lang w:val="en-GB"/>
        </w:rPr>
        <w:t xml:space="preserve">ump (PDP), with a </w:t>
      </w:r>
      <w:r w:rsidR="008F2D10" w:rsidRPr="00551C68">
        <w:rPr>
          <w:spacing w:val="-2"/>
          <w:lang w:val="en-GB"/>
        </w:rPr>
        <w:t>C</w:t>
      </w:r>
      <w:r w:rsidRPr="00551C68">
        <w:rPr>
          <w:spacing w:val="-2"/>
          <w:lang w:val="en-GB"/>
        </w:rPr>
        <w:t xml:space="preserve">ritical </w:t>
      </w:r>
      <w:r w:rsidR="008F2D10" w:rsidRPr="00551C68">
        <w:rPr>
          <w:spacing w:val="-2"/>
          <w:lang w:val="en-GB"/>
        </w:rPr>
        <w:t>F</w:t>
      </w:r>
      <w:r w:rsidRPr="00551C68">
        <w:rPr>
          <w:spacing w:val="-2"/>
          <w:lang w:val="en-GB"/>
        </w:rPr>
        <w:t xml:space="preserve">low </w:t>
      </w:r>
      <w:r w:rsidR="008F2D10" w:rsidRPr="00551C68">
        <w:rPr>
          <w:spacing w:val="-2"/>
          <w:lang w:val="en-GB"/>
        </w:rPr>
        <w:t>V</w:t>
      </w:r>
      <w:r w:rsidRPr="00551C68">
        <w:rPr>
          <w:spacing w:val="-2"/>
          <w:lang w:val="en-GB"/>
        </w:rPr>
        <w:t xml:space="preserve">enturi (CFV) or with a </w:t>
      </w:r>
      <w:r w:rsidR="008F2D10" w:rsidRPr="00551C68">
        <w:rPr>
          <w:spacing w:val="-2"/>
          <w:lang w:val="en-GB"/>
        </w:rPr>
        <w:t>S</w:t>
      </w:r>
      <w:r w:rsidRPr="00551C68">
        <w:rPr>
          <w:spacing w:val="-2"/>
          <w:lang w:val="en-GB"/>
        </w:rPr>
        <w:t xml:space="preserve">ubsonic </w:t>
      </w:r>
      <w:r w:rsidR="008F2D10" w:rsidRPr="00551C68">
        <w:rPr>
          <w:spacing w:val="-2"/>
          <w:lang w:val="en-GB"/>
        </w:rPr>
        <w:t>V</w:t>
      </w:r>
      <w:r w:rsidRPr="00551C68">
        <w:rPr>
          <w:spacing w:val="-2"/>
          <w:lang w:val="en-GB"/>
        </w:rPr>
        <w:t xml:space="preserve">enturi (SSV). A </w:t>
      </w:r>
      <w:r w:rsidR="008F2D10" w:rsidRPr="00551C68">
        <w:rPr>
          <w:spacing w:val="-2"/>
          <w:lang w:val="en-GB"/>
        </w:rPr>
        <w:t>H</w:t>
      </w:r>
      <w:r w:rsidRPr="00551C68">
        <w:rPr>
          <w:spacing w:val="-2"/>
          <w:lang w:val="en-GB"/>
        </w:rPr>
        <w:t xml:space="preserve">eat </w:t>
      </w:r>
      <w:r w:rsidR="008F2D10" w:rsidRPr="00551C68">
        <w:rPr>
          <w:spacing w:val="-2"/>
          <w:lang w:val="en-GB"/>
        </w:rPr>
        <w:t>E</w:t>
      </w:r>
      <w:r w:rsidRPr="00551C68">
        <w:rPr>
          <w:spacing w:val="-2"/>
          <w:lang w:val="en-GB"/>
        </w:rPr>
        <w:t xml:space="preserve">xchanger (HE) or </w:t>
      </w:r>
      <w:r w:rsidR="008F2D10" w:rsidRPr="00551C68">
        <w:rPr>
          <w:spacing w:val="-2"/>
          <w:lang w:val="en-GB"/>
        </w:rPr>
        <w:t>E</w:t>
      </w:r>
      <w:r w:rsidRPr="00551C68">
        <w:rPr>
          <w:spacing w:val="-2"/>
          <w:lang w:val="en-GB"/>
        </w:rPr>
        <w:t xml:space="preserve">lectronic </w:t>
      </w:r>
      <w:r w:rsidR="008F2D10" w:rsidRPr="00551C68">
        <w:rPr>
          <w:spacing w:val="-2"/>
          <w:lang w:val="en-GB"/>
        </w:rPr>
        <w:t>F</w:t>
      </w:r>
      <w:r w:rsidRPr="00551C68">
        <w:rPr>
          <w:spacing w:val="-2"/>
          <w:lang w:val="en-GB"/>
        </w:rPr>
        <w:t xml:space="preserve">low </w:t>
      </w:r>
      <w:r w:rsidR="008F2D10" w:rsidRPr="00551C68">
        <w:rPr>
          <w:spacing w:val="-2"/>
          <w:lang w:val="en-GB"/>
        </w:rPr>
        <w:t>C</w:t>
      </w:r>
      <w:r w:rsidRPr="00551C68">
        <w:rPr>
          <w:spacing w:val="-2"/>
          <w:lang w:val="en-GB"/>
        </w:rPr>
        <w:t>ompensation (EFC) may be used for proportional particulate sampling and for flow determination. Since particulate mass determination is based on the total diluted exhaust gas flow, it is not necessary to calculate the dilution ratio.</w:t>
      </w:r>
    </w:p>
    <w:p w:rsidR="00002BA6" w:rsidRPr="00B04DC3" w:rsidRDefault="00002BA6" w:rsidP="00002BA6">
      <w:pPr>
        <w:pStyle w:val="para"/>
        <w:rPr>
          <w:lang w:val="en-GB"/>
        </w:rPr>
      </w:pPr>
      <w:r w:rsidRPr="00B04DC3">
        <w:rPr>
          <w:lang w:val="en-GB"/>
        </w:rPr>
        <w:tab/>
        <w:t>For subsequent collection of the particulates, a sample of the dilute exhaust gas shall be passed to the double dilution particulate sampling system (see Figure 17). Although partly a dilution system, the double dilution system is described as a modification of a particulate sampling system, since it shares most of the parts with a typical particulate sampling system.</w:t>
      </w:r>
    </w:p>
    <w:p w:rsidR="00002BA6" w:rsidRPr="00B04DC3" w:rsidRDefault="00002BA6" w:rsidP="00002BA6">
      <w:pPr>
        <w:pStyle w:val="Heading1"/>
        <w:keepNext/>
      </w:pPr>
      <w:bookmarkStart w:id="610" w:name="_Toc399940036"/>
      <w:bookmarkStart w:id="611" w:name="_Toc423599623"/>
      <w:bookmarkStart w:id="612" w:name="_Toc423611031"/>
      <w:r w:rsidRPr="00B04DC3">
        <w:t>Figure 15</w:t>
      </w:r>
      <w:bookmarkEnd w:id="610"/>
      <w:bookmarkEnd w:id="611"/>
      <w:bookmarkEnd w:id="612"/>
    </w:p>
    <w:p w:rsidR="00002BA6" w:rsidRPr="00B04DC3" w:rsidRDefault="00002BA6" w:rsidP="00002BA6">
      <w:pPr>
        <w:pStyle w:val="Heading1"/>
        <w:keepNext/>
        <w:rPr>
          <w:b/>
        </w:rPr>
      </w:pPr>
      <w:bookmarkStart w:id="613" w:name="_Toc399940037"/>
      <w:bookmarkStart w:id="614" w:name="_Toc423599624"/>
      <w:bookmarkStart w:id="615" w:name="_Toc423611032"/>
      <w:r w:rsidRPr="00B04DC3">
        <w:rPr>
          <w:b/>
        </w:rPr>
        <w:t>Scheme of full flow dilution system (CVS)</w:t>
      </w:r>
      <w:bookmarkEnd w:id="613"/>
      <w:bookmarkEnd w:id="614"/>
      <w:bookmarkEnd w:id="615"/>
    </w:p>
    <w:p w:rsidR="00002BA6" w:rsidRPr="00B04DC3" w:rsidRDefault="00A905B7" w:rsidP="00002BA6">
      <w:pPr>
        <w:ind w:left="1134"/>
        <w:jc w:val="both"/>
      </w:pPr>
      <w:r>
        <w:pict>
          <v:shape id="_x0000_i1302" type="#_x0000_t75" style="width:337.8pt;height:253.8pt">
            <v:imagedata r:id="rId451" o:title="fig-020-2"/>
          </v:shape>
        </w:pict>
      </w:r>
    </w:p>
    <w:p w:rsidR="00002BA6" w:rsidRPr="00551C68" w:rsidRDefault="00002BA6" w:rsidP="00002BA6">
      <w:pPr>
        <w:ind w:left="2268"/>
      </w:pPr>
      <w:r w:rsidRPr="00551C68">
        <w:t xml:space="preserve">a = analyzer system  b = background air  c = exhaust  d = details see Figure 17  </w:t>
      </w:r>
    </w:p>
    <w:p w:rsidR="00002BA6" w:rsidRPr="00551C68" w:rsidRDefault="00002BA6" w:rsidP="00002BA6">
      <w:pPr>
        <w:ind w:left="2268"/>
      </w:pPr>
      <w:r w:rsidRPr="00551C68">
        <w:t>e = to double dilution system  f = if EFC is used  i = vent  g = optional  h = or</w:t>
      </w:r>
    </w:p>
    <w:p w:rsidR="00002BA6" w:rsidRPr="00B04DC3" w:rsidRDefault="00002BA6" w:rsidP="00002BA6">
      <w:pPr>
        <w:pStyle w:val="para"/>
        <w:spacing w:before="240"/>
        <w:rPr>
          <w:lang w:val="en-GB"/>
        </w:rPr>
      </w:pPr>
      <w:r w:rsidRPr="00B04DC3">
        <w:rPr>
          <w:lang w:val="en-GB"/>
        </w:rPr>
        <w:t>A.3.2.4.</w:t>
      </w:r>
      <w:r w:rsidRPr="00B04DC3">
        <w:rPr>
          <w:lang w:val="en-GB"/>
        </w:rPr>
        <w:tab/>
        <w:t>Components of Figure 15</w:t>
      </w:r>
    </w:p>
    <w:p w:rsidR="00002BA6" w:rsidRPr="00B04DC3" w:rsidRDefault="00002BA6" w:rsidP="00002BA6">
      <w:pPr>
        <w:pStyle w:val="para"/>
        <w:rPr>
          <w:lang w:val="en-GB"/>
        </w:rPr>
      </w:pPr>
      <w:r w:rsidRPr="00B04DC3">
        <w:rPr>
          <w:lang w:val="en-GB"/>
        </w:rPr>
        <w:tab/>
        <w:t>EP</w:t>
      </w:r>
      <w:r w:rsidRPr="00B04DC3">
        <w:rPr>
          <w:lang w:val="en-GB"/>
        </w:rPr>
        <w:tab/>
        <w:t xml:space="preserve">Exhaust </w:t>
      </w:r>
      <w:r w:rsidR="008F2D10" w:rsidRPr="00B04DC3">
        <w:rPr>
          <w:lang w:val="en-GB"/>
        </w:rPr>
        <w:t>P</w:t>
      </w:r>
      <w:r w:rsidRPr="00B04DC3">
        <w:rPr>
          <w:lang w:val="en-GB"/>
        </w:rPr>
        <w:t>ipe</w:t>
      </w:r>
    </w:p>
    <w:p w:rsidR="00002BA6" w:rsidRPr="00B04DC3" w:rsidRDefault="00002BA6" w:rsidP="00002BA6">
      <w:pPr>
        <w:pStyle w:val="para"/>
        <w:rPr>
          <w:lang w:val="en-GB"/>
        </w:rPr>
      </w:pPr>
      <w:r w:rsidRPr="00B04DC3">
        <w:rPr>
          <w:lang w:val="en-GB"/>
        </w:rPr>
        <w:tab/>
        <w:t>The exhaust pipe length from the exit of the engine exhaust manifold, turbocharger outlet or after-treatment device to the dilution tunnel shall be not more than 10 m. If the system exceeds 4 m in length, then all tubing in excess of 4 m shall be insulated, except for an in-line smoke meter, if used. The radial thickness of the insulation shall be at least 25 mm. The thermal conductivity of the insulating material shall have a value no greater than 0.1 W/mK measured at 673 K. To reduce the thermal inertia of the exhaust pipe a thickness-to-diameter ratio of 0.015 or less is recommended. The use of flexible sections shall be limited to a length-to-diameter ratio of 12 or less.</w:t>
      </w:r>
    </w:p>
    <w:p w:rsidR="00002BA6" w:rsidRPr="00B04DC3" w:rsidRDefault="00002BA6" w:rsidP="00002BA6">
      <w:pPr>
        <w:pStyle w:val="para"/>
        <w:rPr>
          <w:lang w:val="en-GB"/>
        </w:rPr>
      </w:pPr>
      <w:r w:rsidRPr="00B04DC3">
        <w:rPr>
          <w:lang w:val="en-GB"/>
        </w:rPr>
        <w:tab/>
        <w:t>PDP</w:t>
      </w:r>
      <w:r w:rsidRPr="00B04DC3">
        <w:rPr>
          <w:lang w:val="en-GB"/>
        </w:rPr>
        <w:tab/>
        <w:t xml:space="preserve">Positive </w:t>
      </w:r>
      <w:r w:rsidR="008F2D10" w:rsidRPr="00B04DC3">
        <w:rPr>
          <w:lang w:val="en-GB"/>
        </w:rPr>
        <w:t>D</w:t>
      </w:r>
      <w:r w:rsidRPr="00B04DC3">
        <w:rPr>
          <w:lang w:val="en-GB"/>
        </w:rPr>
        <w:t xml:space="preserve">isplacement </w:t>
      </w:r>
      <w:r w:rsidR="008F2D10" w:rsidRPr="00B04DC3">
        <w:rPr>
          <w:lang w:val="en-GB"/>
        </w:rPr>
        <w:t>P</w:t>
      </w:r>
      <w:r w:rsidRPr="00B04DC3">
        <w:rPr>
          <w:lang w:val="en-GB"/>
        </w:rPr>
        <w:t>ump</w:t>
      </w:r>
    </w:p>
    <w:p w:rsidR="00002BA6" w:rsidRPr="00B04DC3" w:rsidRDefault="00002BA6" w:rsidP="00002BA6">
      <w:pPr>
        <w:pStyle w:val="para"/>
        <w:rPr>
          <w:rFonts w:ascii="Batang" w:eastAsia="Batang" w:hAnsi="Batang" w:cs="Batang"/>
          <w:szCs w:val="24"/>
          <w:lang w:val="en-GB"/>
        </w:rPr>
      </w:pPr>
      <w:r w:rsidRPr="00B04DC3">
        <w:rPr>
          <w:lang w:val="en-GB"/>
        </w:rPr>
        <w:tab/>
        <w:t xml:space="preserve">The PDP meters total diluted exhaust flow from the number of the pump revolutions and the pump displacement. The exhaust system backpressure shall not be artificially lowered by the PDP or diluent inlet system. Static exhaust backpressure measured with the PDP system operating shall remain within </w:t>
      </w:r>
      <w:r w:rsidRPr="00B04DC3">
        <w:rPr>
          <w:lang w:val="en-GB"/>
        </w:rPr>
        <w:sym w:font="Symbol" w:char="F0B1"/>
      </w:r>
      <w:r w:rsidRPr="00B04DC3">
        <w:rPr>
          <w:lang w:val="en-GB"/>
        </w:rPr>
        <w:t xml:space="preserve">1.5 kPa of the static pressure measured without connection to the PDP at identical engine speed and load. The gas mixture temperature immediately ahead of the PDP shall be within </w:t>
      </w:r>
      <w:r w:rsidRPr="00B04DC3">
        <w:rPr>
          <w:lang w:val="en-GB"/>
        </w:rPr>
        <w:sym w:font="Symbol" w:char="F0B1"/>
      </w:r>
      <w:r w:rsidRPr="00B04DC3">
        <w:rPr>
          <w:lang w:val="en-GB"/>
        </w:rPr>
        <w:t>6 K of the average operating temperature observed during the test, when no flow compensation (EFC) is</w:t>
      </w:r>
      <w:r w:rsidRPr="00B04DC3">
        <w:rPr>
          <w:szCs w:val="24"/>
          <w:lang w:val="en-GB"/>
        </w:rPr>
        <w:t xml:space="preserve"> used. Flow compensation is only permitted, if the temperature at the inlet to the PDP does not exceed 323 K (50 °C).</w:t>
      </w:r>
    </w:p>
    <w:p w:rsidR="00002BA6" w:rsidRPr="00B04DC3" w:rsidRDefault="00002BA6" w:rsidP="00002BA6">
      <w:pPr>
        <w:pStyle w:val="para"/>
        <w:rPr>
          <w:lang w:val="en-GB"/>
        </w:rPr>
      </w:pPr>
      <w:r w:rsidRPr="00B04DC3">
        <w:rPr>
          <w:lang w:val="en-GB"/>
        </w:rPr>
        <w:tab/>
        <w:t>CFV</w:t>
      </w:r>
      <w:r w:rsidRPr="00B04DC3">
        <w:rPr>
          <w:lang w:val="en-GB"/>
        </w:rPr>
        <w:tab/>
        <w:t xml:space="preserve">Critical </w:t>
      </w:r>
      <w:r w:rsidR="000A2DD6" w:rsidRPr="00B04DC3">
        <w:rPr>
          <w:lang w:val="en-GB"/>
        </w:rPr>
        <w:t>F</w:t>
      </w:r>
      <w:r w:rsidRPr="00B04DC3">
        <w:rPr>
          <w:lang w:val="en-GB"/>
        </w:rPr>
        <w:t xml:space="preserve">low </w:t>
      </w:r>
      <w:r w:rsidR="000A2DD6" w:rsidRPr="00B04DC3">
        <w:rPr>
          <w:lang w:val="en-GB"/>
        </w:rPr>
        <w:t>V</w:t>
      </w:r>
      <w:r w:rsidRPr="00B04DC3">
        <w:rPr>
          <w:lang w:val="en-GB"/>
        </w:rPr>
        <w:t>enturi</w:t>
      </w:r>
    </w:p>
    <w:p w:rsidR="00002BA6" w:rsidRPr="00B04DC3" w:rsidRDefault="00002BA6" w:rsidP="00002BA6">
      <w:pPr>
        <w:pStyle w:val="para"/>
        <w:rPr>
          <w:lang w:val="en-GB"/>
        </w:rPr>
      </w:pPr>
      <w:r w:rsidRPr="00B04DC3">
        <w:rPr>
          <w:lang w:val="en-GB"/>
        </w:rPr>
        <w:tab/>
        <w:t xml:space="preserve">CFV measures total diluted exhaust flow by maintaining the flow at chocked conditions (critical flow). Static exhaust backpressure measured with the CFV system operating shall remain within </w:t>
      </w:r>
      <w:r w:rsidRPr="00B04DC3">
        <w:rPr>
          <w:lang w:val="en-GB"/>
        </w:rPr>
        <w:sym w:font="Symbol" w:char="F0B1"/>
      </w:r>
      <w:r w:rsidRPr="00B04DC3">
        <w:rPr>
          <w:lang w:val="en-GB"/>
        </w:rPr>
        <w:t xml:space="preserve">1.5 kPa of the static pressure measured without connection to the CFV at identical engine speed and load. The gas mixture temperature immediately ahead of the CFV shall be within </w:t>
      </w:r>
      <w:r w:rsidRPr="00B04DC3">
        <w:rPr>
          <w:lang w:val="en-GB"/>
        </w:rPr>
        <w:sym w:font="Symbol" w:char="F0B1"/>
      </w:r>
      <w:r w:rsidRPr="00B04DC3">
        <w:rPr>
          <w:lang w:val="en-GB"/>
        </w:rPr>
        <w:t>11 K of the average operating temperature observed during the test, when no flow compensation (EFC) is used.</w:t>
      </w:r>
    </w:p>
    <w:p w:rsidR="00002BA6" w:rsidRPr="00B04DC3" w:rsidRDefault="00002BA6" w:rsidP="00002BA6">
      <w:pPr>
        <w:pStyle w:val="para"/>
        <w:rPr>
          <w:lang w:val="en-GB"/>
        </w:rPr>
      </w:pPr>
      <w:r w:rsidRPr="00B04DC3">
        <w:rPr>
          <w:lang w:val="en-GB"/>
        </w:rPr>
        <w:tab/>
        <w:t>SSV</w:t>
      </w:r>
      <w:r w:rsidRPr="00B04DC3">
        <w:rPr>
          <w:lang w:val="en-GB"/>
        </w:rPr>
        <w:tab/>
        <w:t xml:space="preserve">Subsonic </w:t>
      </w:r>
      <w:r w:rsidR="000A2DD6" w:rsidRPr="00B04DC3">
        <w:rPr>
          <w:lang w:val="en-GB"/>
        </w:rPr>
        <w:t>V</w:t>
      </w:r>
      <w:r w:rsidRPr="00B04DC3">
        <w:rPr>
          <w:lang w:val="en-GB"/>
        </w:rPr>
        <w:t>enturi</w:t>
      </w:r>
    </w:p>
    <w:p w:rsidR="00002BA6" w:rsidRPr="00B04DC3" w:rsidRDefault="00002BA6" w:rsidP="00002BA6">
      <w:pPr>
        <w:pStyle w:val="para"/>
        <w:rPr>
          <w:lang w:val="en-GB"/>
        </w:rPr>
      </w:pPr>
      <w:r w:rsidRPr="00B04DC3">
        <w:rPr>
          <w:lang w:val="en-GB"/>
        </w:rPr>
        <w:tab/>
        <w:t xml:space="preserve">SSV measures total diluted exhaust flow by using the gas flow function of a subsonic venturi in dependence of inlet pressure and temperature and pressure drop between venturi inlet and throat. Static exhaust backpressure measured with the SSV system operating shall remain within </w:t>
      </w:r>
      <w:r w:rsidRPr="00B04DC3">
        <w:rPr>
          <w:lang w:val="en-GB"/>
        </w:rPr>
        <w:sym w:font="Symbol" w:char="F0B1"/>
      </w:r>
      <w:r w:rsidRPr="00B04DC3">
        <w:rPr>
          <w:lang w:val="en-GB"/>
        </w:rPr>
        <w:t xml:space="preserve">1.5 kPa of the static pressure measured without connection to the SSV at identical engine speed and load. The gas mixture temperature immediately ahead of the SSV shall be within </w:t>
      </w:r>
      <w:r w:rsidRPr="00B04DC3">
        <w:rPr>
          <w:lang w:val="en-GB"/>
        </w:rPr>
        <w:sym w:font="Symbol" w:char="F0B1"/>
      </w:r>
      <w:r w:rsidRPr="00B04DC3">
        <w:rPr>
          <w:lang w:val="en-GB"/>
        </w:rPr>
        <w:t>11 K of the average operating temperature observed during the test, when no flow compensation (EFC) is used.</w:t>
      </w:r>
    </w:p>
    <w:p w:rsidR="00002BA6" w:rsidRPr="00B04DC3" w:rsidRDefault="00002BA6" w:rsidP="00002BA6">
      <w:pPr>
        <w:pStyle w:val="para"/>
        <w:rPr>
          <w:lang w:val="en-GB"/>
        </w:rPr>
      </w:pPr>
      <w:r w:rsidRPr="00B04DC3">
        <w:rPr>
          <w:lang w:val="en-GB"/>
        </w:rPr>
        <w:tab/>
        <w:t>HE</w:t>
      </w:r>
      <w:r w:rsidRPr="00B04DC3">
        <w:rPr>
          <w:lang w:val="en-GB"/>
        </w:rPr>
        <w:tab/>
        <w:t xml:space="preserve">Heat </w:t>
      </w:r>
      <w:r w:rsidR="000A2DD6" w:rsidRPr="00B04DC3">
        <w:rPr>
          <w:lang w:val="en-GB"/>
        </w:rPr>
        <w:t>E</w:t>
      </w:r>
      <w:r w:rsidRPr="00B04DC3">
        <w:rPr>
          <w:lang w:val="en-GB"/>
        </w:rPr>
        <w:t>xchanger (optional)</w:t>
      </w:r>
    </w:p>
    <w:p w:rsidR="00002BA6" w:rsidRPr="00B04DC3" w:rsidRDefault="00002BA6" w:rsidP="00002BA6">
      <w:pPr>
        <w:pStyle w:val="para"/>
        <w:rPr>
          <w:lang w:val="en-GB"/>
        </w:rPr>
      </w:pPr>
      <w:r w:rsidRPr="00B04DC3">
        <w:rPr>
          <w:lang w:val="en-GB"/>
        </w:rPr>
        <w:tab/>
        <w:t>The heat exchanger shall be of sufficient capacity to maintain the temperature within the limits required above. If EFC is used, the heat exchanger is not required.</w:t>
      </w:r>
    </w:p>
    <w:p w:rsidR="00002BA6" w:rsidRPr="00B04DC3" w:rsidRDefault="00002BA6" w:rsidP="00002BA6">
      <w:pPr>
        <w:pStyle w:val="para"/>
        <w:rPr>
          <w:lang w:val="en-GB"/>
        </w:rPr>
      </w:pPr>
      <w:r w:rsidRPr="00B04DC3">
        <w:rPr>
          <w:lang w:val="en-GB"/>
        </w:rPr>
        <w:tab/>
        <w:t>EFC</w:t>
      </w:r>
      <w:r w:rsidRPr="00B04DC3">
        <w:rPr>
          <w:lang w:val="en-GB"/>
        </w:rPr>
        <w:tab/>
        <w:t xml:space="preserve">Electronic </w:t>
      </w:r>
      <w:r w:rsidR="000A2DD6" w:rsidRPr="00B04DC3">
        <w:rPr>
          <w:lang w:val="en-GB"/>
        </w:rPr>
        <w:t>F</w:t>
      </w:r>
      <w:r w:rsidRPr="00B04DC3">
        <w:rPr>
          <w:lang w:val="en-GB"/>
        </w:rPr>
        <w:t xml:space="preserve">low </w:t>
      </w:r>
      <w:r w:rsidR="000A2DD6" w:rsidRPr="00B04DC3">
        <w:rPr>
          <w:lang w:val="en-GB"/>
        </w:rPr>
        <w:t>C</w:t>
      </w:r>
      <w:r w:rsidRPr="00B04DC3">
        <w:rPr>
          <w:lang w:val="en-GB"/>
        </w:rPr>
        <w:t>ompensation (optional)</w:t>
      </w:r>
    </w:p>
    <w:p w:rsidR="00002BA6" w:rsidRPr="00B04DC3" w:rsidRDefault="00002BA6" w:rsidP="00002BA6">
      <w:pPr>
        <w:pStyle w:val="para"/>
        <w:rPr>
          <w:lang w:val="en-GB"/>
        </w:rPr>
      </w:pPr>
      <w:r w:rsidRPr="00B04DC3">
        <w:rPr>
          <w:lang w:val="en-GB"/>
        </w:rPr>
        <w:tab/>
        <w:t xml:space="preserve">If the temperature at the inlet to the PDP, CFV or SSV is not kept within the limits stated above, a flow compensation system is required for continuous measurement of the flow rate and control of the proportional sampling into the double dilution system. For that purpose, the continuously measured flow rate signals are used to maintain the proportionality of the sample flow rate through the particulate filters of the double dilution system (see Figure 17) within </w:t>
      </w:r>
      <w:r w:rsidRPr="00B04DC3">
        <w:rPr>
          <w:lang w:val="en-GB"/>
        </w:rPr>
        <w:sym w:font="Symbol" w:char="F0B1"/>
      </w:r>
      <w:r w:rsidRPr="00B04DC3">
        <w:rPr>
          <w:lang w:val="en-GB"/>
        </w:rPr>
        <w:t>2.5 per cent.</w:t>
      </w:r>
    </w:p>
    <w:p w:rsidR="00002BA6" w:rsidRPr="00B04DC3" w:rsidRDefault="00002BA6" w:rsidP="00002BA6">
      <w:pPr>
        <w:pStyle w:val="para"/>
        <w:rPr>
          <w:lang w:val="en-GB"/>
        </w:rPr>
      </w:pPr>
      <w:r w:rsidRPr="00B04DC3">
        <w:rPr>
          <w:lang w:val="en-GB"/>
        </w:rPr>
        <w:tab/>
        <w:t>DT</w:t>
      </w:r>
      <w:r w:rsidRPr="00B04DC3">
        <w:rPr>
          <w:lang w:val="en-GB"/>
        </w:rPr>
        <w:tab/>
        <w:t xml:space="preserve">Dilution </w:t>
      </w:r>
      <w:r w:rsidR="000A2DD6" w:rsidRPr="00B04DC3">
        <w:rPr>
          <w:lang w:val="en-GB"/>
        </w:rPr>
        <w:t>T</w:t>
      </w:r>
      <w:r w:rsidRPr="00B04DC3">
        <w:rPr>
          <w:lang w:val="en-GB"/>
        </w:rPr>
        <w:t>unnel (full flow)</w:t>
      </w:r>
    </w:p>
    <w:p w:rsidR="00002BA6" w:rsidRPr="00B04DC3" w:rsidRDefault="00002BA6" w:rsidP="00002BA6">
      <w:pPr>
        <w:pStyle w:val="para"/>
        <w:rPr>
          <w:szCs w:val="24"/>
          <w:lang w:val="en-GB"/>
        </w:rPr>
      </w:pPr>
      <w:r w:rsidRPr="00B04DC3">
        <w:rPr>
          <w:szCs w:val="24"/>
          <w:lang w:val="en-GB"/>
        </w:rPr>
        <w:tab/>
        <w:t>The dilution tunnel</w:t>
      </w:r>
      <w:r w:rsidR="008F2D10">
        <w:rPr>
          <w:szCs w:val="24"/>
          <w:lang w:val="en-GB"/>
        </w:rPr>
        <w:t>:</w:t>
      </w:r>
    </w:p>
    <w:p w:rsidR="00002BA6" w:rsidRPr="00B04DC3" w:rsidRDefault="00002BA6" w:rsidP="00002BA6">
      <w:pPr>
        <w:pStyle w:val="a"/>
        <w:rPr>
          <w:lang w:val="en-GB"/>
        </w:rPr>
      </w:pPr>
      <w:r w:rsidRPr="00B04DC3">
        <w:rPr>
          <w:lang w:val="en-GB"/>
        </w:rPr>
        <w:t>(a)</w:t>
      </w:r>
      <w:r w:rsidRPr="00B04DC3">
        <w:rPr>
          <w:lang w:val="en-GB"/>
        </w:rPr>
        <w:tab/>
        <w:t>Shall be small enough in diameter to cause turbulent flow (Reynolds number, Re, greater than 4,000, where Re is based on the inside diameter of the dilution tunnel) and of sufficient length to cause complete mixing of the exhaust and diluent;</w:t>
      </w:r>
    </w:p>
    <w:p w:rsidR="00002BA6" w:rsidRPr="00B04DC3" w:rsidRDefault="00002BA6" w:rsidP="00002BA6">
      <w:pPr>
        <w:pStyle w:val="a"/>
        <w:rPr>
          <w:lang w:val="en-GB"/>
        </w:rPr>
      </w:pPr>
      <w:r w:rsidRPr="00B04DC3">
        <w:rPr>
          <w:lang w:val="en-GB"/>
        </w:rPr>
        <w:t>(b)</w:t>
      </w:r>
      <w:r w:rsidRPr="00B04DC3">
        <w:rPr>
          <w:lang w:val="en-GB"/>
        </w:rPr>
        <w:tab/>
        <w:t>May be insulated;</w:t>
      </w:r>
    </w:p>
    <w:p w:rsidR="00002BA6" w:rsidRPr="00B04DC3" w:rsidRDefault="00002BA6" w:rsidP="00002BA6">
      <w:pPr>
        <w:pStyle w:val="a"/>
        <w:rPr>
          <w:lang w:val="en-GB"/>
        </w:rPr>
      </w:pPr>
      <w:r w:rsidRPr="00B04DC3">
        <w:rPr>
          <w:lang w:val="en-GB"/>
        </w:rPr>
        <w:t>(c)</w:t>
      </w:r>
      <w:r w:rsidRPr="00B04DC3">
        <w:rPr>
          <w:lang w:val="en-GB"/>
        </w:rPr>
        <w:tab/>
        <w:t>May be heated up to a wall temperature sufficient to eliminate aqueous condensation.</w:t>
      </w:r>
    </w:p>
    <w:p w:rsidR="00002BA6" w:rsidRPr="00B04DC3" w:rsidRDefault="00002BA6" w:rsidP="00002BA6">
      <w:pPr>
        <w:pStyle w:val="para"/>
        <w:rPr>
          <w:lang w:val="en-GB"/>
        </w:rPr>
      </w:pPr>
      <w:r w:rsidRPr="00B04DC3">
        <w:rPr>
          <w:lang w:val="en-GB"/>
        </w:rPr>
        <w:tab/>
        <w:t>The engine exhaust shall be directed downstream at the point where it is introduced into the dilution tunnel, and thoroughly mixed. A mixing orifice may be used.</w:t>
      </w:r>
    </w:p>
    <w:p w:rsidR="00002BA6" w:rsidRPr="00B04DC3" w:rsidRDefault="00002BA6" w:rsidP="00551C68">
      <w:pPr>
        <w:pStyle w:val="para"/>
        <w:keepNext/>
        <w:keepLines/>
        <w:rPr>
          <w:lang w:val="en-GB"/>
        </w:rPr>
      </w:pPr>
      <w:r w:rsidRPr="00B04DC3">
        <w:rPr>
          <w:lang w:val="en-GB"/>
        </w:rPr>
        <w:tab/>
        <w:t>For the double dilution system, a sample from the dilution tunnel is transferred to the secondary dilution tunnel where it is further diluted, and then passed through the sampling filters (Figure 17). The secondary dilution system shall provide sufficient secondary diluent to maintain the doubly diluted exhaust stream at a temperature between 315 K (42 °C) and 325 K (52 °C) immediately before the particulate filter.</w:t>
      </w:r>
    </w:p>
    <w:p w:rsidR="00002BA6" w:rsidRPr="00B04DC3" w:rsidRDefault="00002BA6" w:rsidP="00002BA6">
      <w:pPr>
        <w:pStyle w:val="para"/>
        <w:rPr>
          <w:lang w:val="en-GB"/>
        </w:rPr>
      </w:pPr>
      <w:r w:rsidRPr="00B04DC3">
        <w:rPr>
          <w:lang w:val="en-GB"/>
        </w:rPr>
        <w:tab/>
        <w:t>DAF</w:t>
      </w:r>
      <w:r w:rsidRPr="00B04DC3">
        <w:rPr>
          <w:lang w:val="en-GB"/>
        </w:rPr>
        <w:tab/>
        <w:t xml:space="preserve">Diluent </w:t>
      </w:r>
      <w:r w:rsidR="000A2DD6" w:rsidRPr="00B04DC3">
        <w:rPr>
          <w:lang w:val="en-GB"/>
        </w:rPr>
        <w:t>F</w:t>
      </w:r>
      <w:r w:rsidRPr="00B04DC3">
        <w:rPr>
          <w:lang w:val="en-GB"/>
        </w:rPr>
        <w:t>ilter</w:t>
      </w:r>
    </w:p>
    <w:p w:rsidR="00002BA6" w:rsidRPr="00B04DC3" w:rsidRDefault="00002BA6" w:rsidP="00002BA6">
      <w:pPr>
        <w:pStyle w:val="para"/>
        <w:rPr>
          <w:lang w:val="en-GB"/>
        </w:rPr>
      </w:pPr>
      <w:r w:rsidRPr="00B04DC3">
        <w:rPr>
          <w:lang w:val="en-GB"/>
        </w:rPr>
        <w:tab/>
        <w:t>The diluent (ambient air, synthetic air, or nitrogen) shall be filtered with a HEPA filter that has an initial minimum collection efficiency of 99.97 per cent according to EN 1822-1 (filter class H14 or better), ASTM F 1471</w:t>
      </w:r>
      <w:r w:rsidRPr="00B04DC3">
        <w:rPr>
          <w:lang w:val="en-GB"/>
        </w:rPr>
        <w:noBreakHyphen/>
        <w:t>93 or equivalent standard.</w:t>
      </w:r>
    </w:p>
    <w:p w:rsidR="00002BA6" w:rsidRPr="00B04DC3" w:rsidRDefault="00002BA6" w:rsidP="00002BA6">
      <w:pPr>
        <w:pStyle w:val="para"/>
        <w:rPr>
          <w:lang w:val="en-GB"/>
        </w:rPr>
      </w:pPr>
      <w:r w:rsidRPr="00B04DC3">
        <w:rPr>
          <w:lang w:val="en-GB"/>
        </w:rPr>
        <w:tab/>
        <w:t>PSP</w:t>
      </w:r>
      <w:r w:rsidRPr="00B04DC3">
        <w:rPr>
          <w:lang w:val="en-GB"/>
        </w:rPr>
        <w:tab/>
        <w:t xml:space="preserve">Particulate </w:t>
      </w:r>
      <w:r w:rsidR="00BB4DCD" w:rsidRPr="00B04DC3">
        <w:rPr>
          <w:lang w:val="en-GB"/>
        </w:rPr>
        <w:t>S</w:t>
      </w:r>
      <w:r w:rsidRPr="00B04DC3">
        <w:rPr>
          <w:lang w:val="en-GB"/>
        </w:rPr>
        <w:t xml:space="preserve">ampling </w:t>
      </w:r>
      <w:r w:rsidR="00BB4DCD" w:rsidRPr="00B04DC3">
        <w:rPr>
          <w:lang w:val="en-GB"/>
        </w:rPr>
        <w:t>P</w:t>
      </w:r>
      <w:r w:rsidRPr="00B04DC3">
        <w:rPr>
          <w:lang w:val="en-GB"/>
        </w:rPr>
        <w:t>robe</w:t>
      </w:r>
    </w:p>
    <w:p w:rsidR="00002BA6" w:rsidRPr="00B04DC3" w:rsidRDefault="00002BA6" w:rsidP="00002BA6">
      <w:pPr>
        <w:pStyle w:val="para"/>
        <w:rPr>
          <w:lang w:val="en-GB"/>
        </w:rPr>
      </w:pPr>
      <w:r w:rsidRPr="00B04DC3">
        <w:rPr>
          <w:lang w:val="en-GB"/>
        </w:rPr>
        <w:tab/>
        <w:t>The probe is the leading section of PTT and:</w:t>
      </w:r>
    </w:p>
    <w:p w:rsidR="00002BA6" w:rsidRPr="00B04DC3" w:rsidRDefault="00002BA6" w:rsidP="00002BA6">
      <w:pPr>
        <w:pStyle w:val="a"/>
        <w:rPr>
          <w:lang w:val="en-GB"/>
        </w:rPr>
      </w:pPr>
      <w:r w:rsidRPr="00B04DC3">
        <w:rPr>
          <w:lang w:val="en-GB"/>
        </w:rPr>
        <w:t>(a)</w:t>
      </w:r>
      <w:r w:rsidRPr="00B04DC3">
        <w:rPr>
          <w:lang w:val="en-GB"/>
        </w:rPr>
        <w:tab/>
        <w:t xml:space="preserve">Shall be installed facing upstream at a point where the diluent and exhaust gases are well mixed, i.e. on the </w:t>
      </w:r>
      <w:r w:rsidR="00BB4DCD" w:rsidRPr="00B04DC3">
        <w:rPr>
          <w:lang w:val="en-GB"/>
        </w:rPr>
        <w:t>D</w:t>
      </w:r>
      <w:r w:rsidRPr="00B04DC3">
        <w:rPr>
          <w:lang w:val="en-GB"/>
        </w:rPr>
        <w:t xml:space="preserve">ilution </w:t>
      </w:r>
      <w:r w:rsidR="00BB4DCD" w:rsidRPr="00B04DC3">
        <w:rPr>
          <w:lang w:val="en-GB"/>
        </w:rPr>
        <w:t>T</w:t>
      </w:r>
      <w:r w:rsidRPr="00B04DC3">
        <w:rPr>
          <w:lang w:val="en-GB"/>
        </w:rPr>
        <w:t xml:space="preserve">unnel </w:t>
      </w:r>
      <w:r w:rsidR="00BB4DCD">
        <w:rPr>
          <w:lang w:val="en-GB"/>
        </w:rPr>
        <w:t>(</w:t>
      </w:r>
      <w:r w:rsidRPr="00B04DC3">
        <w:rPr>
          <w:lang w:val="en-GB"/>
        </w:rPr>
        <w:t>DT</w:t>
      </w:r>
      <w:r w:rsidR="00BB4DCD">
        <w:rPr>
          <w:lang w:val="en-GB"/>
        </w:rPr>
        <w:t>)</w:t>
      </w:r>
      <w:r w:rsidRPr="00B04DC3">
        <w:rPr>
          <w:lang w:val="en-GB"/>
        </w:rPr>
        <w:t xml:space="preserve"> centreline of the dilution systems, approximately 10 tunnel diameters downstream of the point where the exhaust enters the dilution tunnel;</w:t>
      </w:r>
    </w:p>
    <w:p w:rsidR="00002BA6" w:rsidRPr="00B04DC3" w:rsidRDefault="00002BA6" w:rsidP="00002BA6">
      <w:pPr>
        <w:pStyle w:val="a"/>
        <w:rPr>
          <w:lang w:val="en-GB"/>
        </w:rPr>
      </w:pPr>
      <w:r w:rsidRPr="00B04DC3">
        <w:rPr>
          <w:lang w:val="en-GB"/>
        </w:rPr>
        <w:t>(b)</w:t>
      </w:r>
      <w:r w:rsidRPr="00B04DC3">
        <w:rPr>
          <w:lang w:val="en-GB"/>
        </w:rPr>
        <w:tab/>
        <w:t>Shall be of 8 mm minimum inside diameter;</w:t>
      </w:r>
    </w:p>
    <w:p w:rsidR="00002BA6" w:rsidRPr="00B04DC3" w:rsidRDefault="00002BA6" w:rsidP="00002BA6">
      <w:pPr>
        <w:pStyle w:val="a"/>
        <w:rPr>
          <w:lang w:val="en-GB"/>
        </w:rPr>
      </w:pPr>
      <w:r w:rsidRPr="00B04DC3">
        <w:rPr>
          <w:lang w:val="en-GB"/>
        </w:rPr>
        <w:t>(c)</w:t>
      </w:r>
      <w:r w:rsidRPr="00B04DC3">
        <w:rPr>
          <w:lang w:val="en-GB"/>
        </w:rPr>
        <w:tab/>
        <w:t>May be heated to no greater than 325 K (52 °C) wall temperature by direct heating or by diluent pre-heating, provided the air temperature does not exceed 325 K (52 °C) prior to the introduction of the exhaust in the dilution tunnel;</w:t>
      </w:r>
    </w:p>
    <w:p w:rsidR="00002BA6" w:rsidRPr="00B04DC3" w:rsidRDefault="00002BA6" w:rsidP="00002BA6">
      <w:pPr>
        <w:pStyle w:val="a"/>
        <w:rPr>
          <w:lang w:val="en-GB"/>
        </w:rPr>
      </w:pPr>
      <w:r w:rsidRPr="00B04DC3">
        <w:rPr>
          <w:lang w:val="en-GB"/>
        </w:rPr>
        <w:t>(d)</w:t>
      </w:r>
      <w:r w:rsidRPr="00B04DC3">
        <w:rPr>
          <w:lang w:val="en-GB"/>
        </w:rPr>
        <w:tab/>
        <w:t>May be insulated.</w:t>
      </w:r>
    </w:p>
    <w:p w:rsidR="00002BA6" w:rsidRPr="00B04DC3" w:rsidRDefault="00002BA6" w:rsidP="00002BA6">
      <w:pPr>
        <w:pStyle w:val="para"/>
        <w:rPr>
          <w:lang w:val="en-GB"/>
        </w:rPr>
      </w:pPr>
      <w:r w:rsidRPr="00B04DC3">
        <w:rPr>
          <w:lang w:val="en-GB"/>
        </w:rPr>
        <w:t>A.3.2.5.</w:t>
      </w:r>
      <w:r w:rsidRPr="00B04DC3">
        <w:rPr>
          <w:lang w:val="en-GB"/>
        </w:rPr>
        <w:tab/>
        <w:t>Description of particulate sampling system</w:t>
      </w:r>
    </w:p>
    <w:p w:rsidR="00002BA6" w:rsidRPr="00B04DC3" w:rsidRDefault="00002BA6" w:rsidP="00002BA6">
      <w:pPr>
        <w:pStyle w:val="para"/>
        <w:rPr>
          <w:lang w:val="en-GB"/>
        </w:rPr>
      </w:pPr>
      <w:r w:rsidRPr="00B04DC3">
        <w:rPr>
          <w:lang w:val="en-GB"/>
        </w:rPr>
        <w:tab/>
        <w:t>The particulate sampling system is required for collecting the particulates on the particulate filter and is shown in Figures 16 and 17. In the case of total sampling partial flow dilution, which consists of passing the entire diluted exhaust sample through the filters, the dilution and sampling systems usually form an integral unit (see Figure 12). In the case of fractional sampling partial flow dilution or full flow dilution, which consists of passing through the filters only a portion of the diluted exhaust, the dilution and sampling systems usually form different units.</w:t>
      </w:r>
    </w:p>
    <w:p w:rsidR="00002BA6" w:rsidRPr="00B04DC3" w:rsidRDefault="00002BA6" w:rsidP="00002BA6">
      <w:pPr>
        <w:pStyle w:val="para"/>
        <w:rPr>
          <w:lang w:val="en-GB"/>
        </w:rPr>
      </w:pPr>
      <w:r w:rsidRPr="00B04DC3">
        <w:rPr>
          <w:lang w:val="en-GB"/>
        </w:rPr>
        <w:tab/>
        <w:t>For a partial flow dilution system, a sample of the diluted exhaust gas is taken from the DT through the particulate sampling probe PSP and the PTT by means of the sampling pump P, as shown in Figure 16. The sample is passed through the filter holder(s) FH that contain the particulate sampling filters. The sample flow rate is controlled by the flow controller FC3.</w:t>
      </w:r>
    </w:p>
    <w:p w:rsidR="00002BA6" w:rsidRPr="00B04DC3" w:rsidRDefault="00002BA6" w:rsidP="00C704C2">
      <w:pPr>
        <w:pStyle w:val="para"/>
        <w:rPr>
          <w:lang w:val="en-GB"/>
        </w:rPr>
      </w:pPr>
      <w:r w:rsidRPr="00B04DC3">
        <w:rPr>
          <w:lang w:val="en-GB"/>
        </w:rPr>
        <w:tab/>
        <w:t>For of full flow dilution system, a double dilution particulate sampling system shall be used, as shown in Figure 17. A sample of the diluted exhaust gas is transferred from the DT through the particulate sampling probe PSP and the PTT to the secondary dilution tunnel SDT, where it is diluted once more. The sample is then passed through the filter holder(s) FH that contain the particulate sampling filters. The diluent flow rate is usually constant whereas the sample flow rate is controlled by the flow controller FC3. If electronic flow compensation EFC (see Figure 15) is used, the total diluted exhaust gas flow is used as command signal for FC3.</w:t>
      </w:r>
    </w:p>
    <w:p w:rsidR="00002BA6" w:rsidRPr="00B04DC3" w:rsidRDefault="00002BA6" w:rsidP="00002BA6">
      <w:pPr>
        <w:pStyle w:val="Heading1"/>
        <w:keepNext/>
      </w:pPr>
      <w:bookmarkStart w:id="616" w:name="_Toc399940038"/>
      <w:bookmarkStart w:id="617" w:name="_Toc423599625"/>
      <w:bookmarkStart w:id="618" w:name="_Toc423611033"/>
      <w:r w:rsidRPr="00B04DC3">
        <w:t>Figure 16</w:t>
      </w:r>
      <w:bookmarkEnd w:id="616"/>
      <w:bookmarkEnd w:id="617"/>
      <w:bookmarkEnd w:id="618"/>
    </w:p>
    <w:p w:rsidR="00002BA6" w:rsidRPr="00B04DC3" w:rsidRDefault="00002BA6" w:rsidP="00002BA6">
      <w:pPr>
        <w:pStyle w:val="Heading1"/>
        <w:keepNext/>
        <w:rPr>
          <w:b/>
        </w:rPr>
      </w:pPr>
      <w:bookmarkStart w:id="619" w:name="_Toc399940039"/>
      <w:bookmarkStart w:id="620" w:name="_Toc423599626"/>
      <w:bookmarkStart w:id="621" w:name="_Toc423611034"/>
      <w:r w:rsidRPr="00B04DC3">
        <w:rPr>
          <w:b/>
        </w:rPr>
        <w:t>Scheme of particulate sampling system</w:t>
      </w:r>
      <w:bookmarkEnd w:id="619"/>
      <w:bookmarkEnd w:id="620"/>
      <w:bookmarkEnd w:id="621"/>
    </w:p>
    <w:p w:rsidR="00002BA6" w:rsidRPr="00B04DC3" w:rsidRDefault="00A905B7" w:rsidP="00002BA6">
      <w:pPr>
        <w:tabs>
          <w:tab w:val="left" w:pos="1134"/>
          <w:tab w:val="left" w:pos="2268"/>
        </w:tabs>
        <w:ind w:left="1134" w:hanging="1134"/>
        <w:jc w:val="center"/>
        <w:rPr>
          <w:szCs w:val="24"/>
        </w:rPr>
      </w:pPr>
      <w:r>
        <w:rPr>
          <w:szCs w:val="24"/>
        </w:rPr>
        <w:pict>
          <v:shape id="_x0000_i1303" type="#_x0000_t75" style="width:60.6pt;height:175.2pt">
            <v:imagedata r:id="rId452" o:title="fig-021-2"/>
          </v:shape>
        </w:pict>
      </w:r>
    </w:p>
    <w:p w:rsidR="00002BA6" w:rsidRPr="00551C68" w:rsidRDefault="00002BA6" w:rsidP="00002BA6">
      <w:pPr>
        <w:jc w:val="center"/>
      </w:pPr>
      <w:r w:rsidRPr="00551C68">
        <w:t>a = from dilution tunnel</w:t>
      </w:r>
    </w:p>
    <w:p w:rsidR="00002BA6" w:rsidRPr="00B04DC3" w:rsidRDefault="00002BA6" w:rsidP="00002BA6">
      <w:pPr>
        <w:pStyle w:val="Heading1"/>
        <w:keepNext/>
      </w:pPr>
      <w:bookmarkStart w:id="622" w:name="_Toc399940040"/>
      <w:bookmarkStart w:id="623" w:name="_Toc423599627"/>
      <w:bookmarkStart w:id="624" w:name="_Toc423611035"/>
      <w:r w:rsidRPr="00B04DC3">
        <w:t>Figure 17</w:t>
      </w:r>
      <w:bookmarkEnd w:id="622"/>
      <w:bookmarkEnd w:id="623"/>
      <w:bookmarkEnd w:id="624"/>
    </w:p>
    <w:p w:rsidR="00002BA6" w:rsidRPr="00B04DC3" w:rsidRDefault="00002BA6" w:rsidP="00002BA6">
      <w:pPr>
        <w:pStyle w:val="Heading1"/>
        <w:keepNext/>
        <w:rPr>
          <w:b/>
        </w:rPr>
      </w:pPr>
      <w:bookmarkStart w:id="625" w:name="_Toc399940041"/>
      <w:bookmarkStart w:id="626" w:name="_Toc423599628"/>
      <w:bookmarkStart w:id="627" w:name="_Toc423611036"/>
      <w:r w:rsidRPr="00B04DC3">
        <w:rPr>
          <w:b/>
        </w:rPr>
        <w:t>Scheme of double dilution particulate sampling system</w:t>
      </w:r>
      <w:bookmarkEnd w:id="625"/>
      <w:bookmarkEnd w:id="626"/>
      <w:bookmarkEnd w:id="627"/>
    </w:p>
    <w:p w:rsidR="00002BA6" w:rsidRPr="00B04DC3" w:rsidRDefault="00A905B7" w:rsidP="00002BA6">
      <w:pPr>
        <w:keepNext/>
        <w:keepLines/>
        <w:jc w:val="center"/>
        <w:rPr>
          <w:szCs w:val="24"/>
        </w:rPr>
      </w:pPr>
      <w:r>
        <w:rPr>
          <w:szCs w:val="24"/>
        </w:rPr>
        <w:pict>
          <v:shape id="_x0000_i1304" type="#_x0000_t75" style="width:306pt;height:79.8pt">
            <v:imagedata r:id="rId453" o:title="fig-022-2"/>
          </v:shape>
        </w:pict>
      </w:r>
    </w:p>
    <w:p w:rsidR="00002BA6" w:rsidRPr="00B04DC3" w:rsidRDefault="00002BA6" w:rsidP="00002BA6">
      <w:pPr>
        <w:keepNext/>
        <w:keepLines/>
        <w:jc w:val="center"/>
        <w:rPr>
          <w:szCs w:val="24"/>
        </w:rPr>
      </w:pPr>
    </w:p>
    <w:p w:rsidR="00002BA6" w:rsidRPr="00551C68" w:rsidRDefault="00002BA6" w:rsidP="00002BA6">
      <w:pPr>
        <w:keepNext/>
        <w:keepLines/>
        <w:jc w:val="center"/>
      </w:pPr>
      <w:r w:rsidRPr="00551C68">
        <w:t>a =  diluted exhaust from DT  b = optional  c = vent  d = secondary diluent</w:t>
      </w:r>
    </w:p>
    <w:p w:rsidR="00002BA6" w:rsidRPr="00B04DC3" w:rsidRDefault="00002BA6" w:rsidP="00002BA6">
      <w:pPr>
        <w:pStyle w:val="para"/>
        <w:spacing w:before="240"/>
        <w:rPr>
          <w:lang w:val="en-GB"/>
        </w:rPr>
      </w:pPr>
      <w:r w:rsidRPr="00B04DC3">
        <w:rPr>
          <w:lang w:val="en-GB"/>
        </w:rPr>
        <w:t>A.3.2.6.</w:t>
      </w:r>
      <w:r w:rsidRPr="00B04DC3">
        <w:rPr>
          <w:lang w:val="en-GB"/>
        </w:rPr>
        <w:tab/>
        <w:t>Components of Figures 16 (partial flow system only) and 17 (full flow system only)</w:t>
      </w:r>
    </w:p>
    <w:p w:rsidR="00002BA6" w:rsidRPr="00B04DC3" w:rsidRDefault="00002BA6" w:rsidP="00002BA6">
      <w:pPr>
        <w:pStyle w:val="para"/>
        <w:rPr>
          <w:lang w:val="en-GB"/>
        </w:rPr>
      </w:pPr>
      <w:r w:rsidRPr="00B04DC3">
        <w:rPr>
          <w:lang w:val="en-GB"/>
        </w:rPr>
        <w:tab/>
        <w:t>PTT</w:t>
      </w:r>
      <w:r w:rsidRPr="00B04DC3">
        <w:rPr>
          <w:lang w:val="en-GB"/>
        </w:rPr>
        <w:tab/>
        <w:t xml:space="preserve">Particulate </w:t>
      </w:r>
      <w:r w:rsidR="000A2DD6">
        <w:rPr>
          <w:lang w:val="en-GB"/>
        </w:rPr>
        <w:t>T</w:t>
      </w:r>
      <w:r w:rsidR="000A2DD6" w:rsidRPr="00B04DC3">
        <w:rPr>
          <w:lang w:val="en-GB"/>
        </w:rPr>
        <w:t xml:space="preserve">ransfer </w:t>
      </w:r>
      <w:r w:rsidR="000A2DD6">
        <w:rPr>
          <w:lang w:val="en-GB"/>
        </w:rPr>
        <w:t>T</w:t>
      </w:r>
      <w:r w:rsidR="000A2DD6" w:rsidRPr="00B04DC3">
        <w:rPr>
          <w:lang w:val="en-GB"/>
        </w:rPr>
        <w:t>ube</w:t>
      </w:r>
    </w:p>
    <w:p w:rsidR="00002BA6" w:rsidRPr="00B04DC3" w:rsidRDefault="00002BA6" w:rsidP="00002BA6">
      <w:pPr>
        <w:pStyle w:val="para"/>
        <w:rPr>
          <w:lang w:val="en-GB"/>
        </w:rPr>
      </w:pPr>
      <w:r w:rsidRPr="00B04DC3">
        <w:rPr>
          <w:lang w:val="en-GB"/>
        </w:rPr>
        <w:tab/>
        <w:t>The transfer tube:</w:t>
      </w:r>
    </w:p>
    <w:p w:rsidR="00002BA6" w:rsidRPr="00B04DC3" w:rsidRDefault="00002BA6" w:rsidP="00002BA6">
      <w:pPr>
        <w:pStyle w:val="a"/>
        <w:rPr>
          <w:lang w:val="en-GB"/>
        </w:rPr>
      </w:pPr>
      <w:r w:rsidRPr="00B04DC3">
        <w:rPr>
          <w:lang w:val="en-GB"/>
        </w:rPr>
        <w:t>(a)</w:t>
      </w:r>
      <w:r w:rsidRPr="00B04DC3">
        <w:rPr>
          <w:lang w:val="en-GB"/>
        </w:rPr>
        <w:tab/>
        <w:t>Shall be inert with respect to PM;</w:t>
      </w:r>
    </w:p>
    <w:p w:rsidR="00002BA6" w:rsidRPr="00B04DC3" w:rsidRDefault="00002BA6" w:rsidP="00002BA6">
      <w:pPr>
        <w:pStyle w:val="a"/>
        <w:rPr>
          <w:lang w:val="en-GB"/>
        </w:rPr>
      </w:pPr>
      <w:r w:rsidRPr="00B04DC3">
        <w:rPr>
          <w:lang w:val="en-GB"/>
        </w:rPr>
        <w:t>(b)</w:t>
      </w:r>
      <w:r w:rsidRPr="00B04DC3">
        <w:rPr>
          <w:lang w:val="en-GB"/>
        </w:rPr>
        <w:tab/>
        <w:t>May be heated to no greater than 325 K (52 °C) wall temperature;</w:t>
      </w:r>
    </w:p>
    <w:p w:rsidR="00002BA6" w:rsidRPr="00B04DC3" w:rsidRDefault="00002BA6" w:rsidP="00002BA6">
      <w:pPr>
        <w:pStyle w:val="a"/>
        <w:rPr>
          <w:lang w:val="en-GB"/>
        </w:rPr>
      </w:pPr>
      <w:r w:rsidRPr="00B04DC3">
        <w:rPr>
          <w:lang w:val="en-GB"/>
        </w:rPr>
        <w:t>(c)</w:t>
      </w:r>
      <w:r w:rsidRPr="00B04DC3">
        <w:rPr>
          <w:lang w:val="en-GB"/>
        </w:rPr>
        <w:tab/>
        <w:t>May be insulated.</w:t>
      </w:r>
    </w:p>
    <w:p w:rsidR="00002BA6" w:rsidRPr="00B04DC3" w:rsidRDefault="00002BA6" w:rsidP="00002BA6">
      <w:pPr>
        <w:pStyle w:val="para"/>
        <w:rPr>
          <w:lang w:val="en-GB"/>
        </w:rPr>
      </w:pPr>
      <w:r w:rsidRPr="00B04DC3">
        <w:rPr>
          <w:lang w:val="en-GB"/>
        </w:rPr>
        <w:tab/>
        <w:t>SDT</w:t>
      </w:r>
      <w:r w:rsidRPr="00B04DC3">
        <w:rPr>
          <w:lang w:val="en-GB"/>
        </w:rPr>
        <w:tab/>
        <w:t xml:space="preserve">Secondary </w:t>
      </w:r>
      <w:r w:rsidR="00BB4DCD">
        <w:rPr>
          <w:lang w:val="en-GB"/>
        </w:rPr>
        <w:t>D</w:t>
      </w:r>
      <w:r w:rsidR="00BB4DCD" w:rsidRPr="00B04DC3">
        <w:rPr>
          <w:lang w:val="en-GB"/>
        </w:rPr>
        <w:t xml:space="preserve">ilution </w:t>
      </w:r>
      <w:r w:rsidR="00BB4DCD">
        <w:rPr>
          <w:lang w:val="en-GB"/>
        </w:rPr>
        <w:t>T</w:t>
      </w:r>
      <w:r w:rsidR="00BB4DCD" w:rsidRPr="00B04DC3">
        <w:rPr>
          <w:lang w:val="en-GB"/>
        </w:rPr>
        <w:t xml:space="preserve">unnel </w:t>
      </w:r>
      <w:r w:rsidRPr="00B04DC3">
        <w:rPr>
          <w:lang w:val="en-GB"/>
        </w:rPr>
        <w:t>(Figure 17 only)</w:t>
      </w:r>
    </w:p>
    <w:p w:rsidR="00002BA6" w:rsidRPr="00B04DC3" w:rsidRDefault="00002BA6" w:rsidP="00002BA6">
      <w:pPr>
        <w:pStyle w:val="para"/>
        <w:rPr>
          <w:lang w:val="en-GB"/>
        </w:rPr>
      </w:pPr>
      <w:r w:rsidRPr="00B04DC3">
        <w:rPr>
          <w:lang w:val="en-GB"/>
        </w:rPr>
        <w:tab/>
        <w:t>The secondary dilution tunnel:</w:t>
      </w:r>
    </w:p>
    <w:p w:rsidR="00002BA6" w:rsidRPr="00B04DC3" w:rsidRDefault="00002BA6" w:rsidP="00002BA6">
      <w:pPr>
        <w:pStyle w:val="a"/>
        <w:rPr>
          <w:lang w:val="en-GB"/>
        </w:rPr>
      </w:pPr>
      <w:r w:rsidRPr="00B04DC3">
        <w:rPr>
          <w:lang w:val="en-GB"/>
        </w:rPr>
        <w:t>(a)</w:t>
      </w:r>
      <w:r w:rsidRPr="00B04DC3">
        <w:rPr>
          <w:lang w:val="en-GB"/>
        </w:rPr>
        <w:tab/>
        <w:t>Shall be of sufficient length and diameter so as to comply with the residence time requirements of paragraph 9.4.2.</w:t>
      </w:r>
      <w:r w:rsidR="00BB4DCD">
        <w:rPr>
          <w:lang w:val="en-GB"/>
        </w:rPr>
        <w:t xml:space="preserve">, subparagraph </w:t>
      </w:r>
      <w:r w:rsidRPr="00B04DC3">
        <w:rPr>
          <w:lang w:val="en-GB"/>
        </w:rPr>
        <w:t>(f);</w:t>
      </w:r>
    </w:p>
    <w:p w:rsidR="00002BA6" w:rsidRPr="00B04DC3" w:rsidRDefault="00002BA6" w:rsidP="00002BA6">
      <w:pPr>
        <w:pStyle w:val="a"/>
        <w:rPr>
          <w:lang w:val="en-GB"/>
        </w:rPr>
      </w:pPr>
      <w:r w:rsidRPr="00B04DC3">
        <w:rPr>
          <w:lang w:val="en-GB"/>
        </w:rPr>
        <w:t>(b)</w:t>
      </w:r>
      <w:r w:rsidRPr="00B04DC3">
        <w:rPr>
          <w:lang w:val="en-GB"/>
        </w:rPr>
        <w:tab/>
        <w:t>May be heated to no greater than 325 K (52 °C) wall temperature;</w:t>
      </w:r>
    </w:p>
    <w:p w:rsidR="00002BA6" w:rsidRPr="00B04DC3" w:rsidRDefault="00002BA6" w:rsidP="00002BA6">
      <w:pPr>
        <w:pStyle w:val="a"/>
        <w:rPr>
          <w:lang w:val="en-GB"/>
        </w:rPr>
      </w:pPr>
      <w:r w:rsidRPr="00B04DC3">
        <w:rPr>
          <w:lang w:val="en-GB"/>
        </w:rPr>
        <w:t>(c)</w:t>
      </w:r>
      <w:r w:rsidRPr="00B04DC3">
        <w:rPr>
          <w:lang w:val="en-GB"/>
        </w:rPr>
        <w:tab/>
        <w:t>May be insulated.</w:t>
      </w:r>
    </w:p>
    <w:p w:rsidR="00002BA6" w:rsidRPr="00B04DC3" w:rsidRDefault="00002BA6" w:rsidP="00002BA6">
      <w:pPr>
        <w:pStyle w:val="para"/>
        <w:rPr>
          <w:lang w:val="en-GB"/>
        </w:rPr>
      </w:pPr>
      <w:r w:rsidRPr="00B04DC3">
        <w:rPr>
          <w:lang w:val="en-GB"/>
        </w:rPr>
        <w:tab/>
        <w:t>FH</w:t>
      </w:r>
      <w:r w:rsidRPr="00B04DC3">
        <w:rPr>
          <w:lang w:val="en-GB"/>
        </w:rPr>
        <w:tab/>
        <w:t xml:space="preserve">Filter </w:t>
      </w:r>
      <w:r w:rsidR="000A2DD6">
        <w:rPr>
          <w:lang w:val="en-GB"/>
        </w:rPr>
        <w:t>H</w:t>
      </w:r>
      <w:r w:rsidR="000A2DD6" w:rsidRPr="00B04DC3">
        <w:rPr>
          <w:lang w:val="en-GB"/>
        </w:rPr>
        <w:t>older</w:t>
      </w:r>
    </w:p>
    <w:p w:rsidR="00002BA6" w:rsidRPr="00B04DC3" w:rsidRDefault="00002BA6" w:rsidP="00002BA6">
      <w:pPr>
        <w:pStyle w:val="para"/>
        <w:rPr>
          <w:lang w:val="en-GB"/>
        </w:rPr>
      </w:pPr>
      <w:r w:rsidRPr="00B04DC3">
        <w:rPr>
          <w:lang w:val="en-GB"/>
        </w:rPr>
        <w:tab/>
        <w:t>The filter holder:</w:t>
      </w:r>
    </w:p>
    <w:p w:rsidR="00002BA6" w:rsidRPr="00B04DC3" w:rsidRDefault="00002BA6" w:rsidP="00002BA6">
      <w:pPr>
        <w:pStyle w:val="a"/>
        <w:rPr>
          <w:spacing w:val="-2"/>
          <w:lang w:val="en-GB"/>
        </w:rPr>
      </w:pPr>
      <w:r w:rsidRPr="00B04DC3">
        <w:rPr>
          <w:spacing w:val="-2"/>
          <w:lang w:val="en-GB"/>
        </w:rPr>
        <w:t>(a)</w:t>
      </w:r>
      <w:r w:rsidRPr="00B04DC3">
        <w:rPr>
          <w:spacing w:val="-2"/>
          <w:lang w:val="en-GB"/>
        </w:rPr>
        <w:tab/>
        <w:t>Shall have a 12.5° (from center) divergent cone angle to transition from the transfer line diameter to the exposed diameter of the filter face;</w:t>
      </w:r>
    </w:p>
    <w:p w:rsidR="00002BA6" w:rsidRPr="00B04DC3" w:rsidRDefault="00002BA6" w:rsidP="00002BA6">
      <w:pPr>
        <w:pStyle w:val="a"/>
        <w:rPr>
          <w:lang w:val="en-GB"/>
        </w:rPr>
      </w:pPr>
      <w:r w:rsidRPr="00B04DC3">
        <w:rPr>
          <w:lang w:val="en-GB"/>
        </w:rPr>
        <w:t>(b)</w:t>
      </w:r>
      <w:r w:rsidRPr="00B04DC3">
        <w:rPr>
          <w:lang w:val="en-GB"/>
        </w:rPr>
        <w:tab/>
        <w:t>May be heated to no greater than 325 K (52 °C) wall temperature;</w:t>
      </w:r>
    </w:p>
    <w:p w:rsidR="00002BA6" w:rsidRPr="00B04DC3" w:rsidRDefault="00002BA6" w:rsidP="00002BA6">
      <w:pPr>
        <w:pStyle w:val="a"/>
        <w:rPr>
          <w:lang w:val="en-GB"/>
        </w:rPr>
      </w:pPr>
      <w:r w:rsidRPr="00B04DC3">
        <w:rPr>
          <w:lang w:val="en-GB"/>
        </w:rPr>
        <w:t>(c)</w:t>
      </w:r>
      <w:r w:rsidRPr="00B04DC3">
        <w:rPr>
          <w:lang w:val="en-GB"/>
        </w:rPr>
        <w:tab/>
        <w:t>May be insulated.</w:t>
      </w:r>
    </w:p>
    <w:p w:rsidR="00002BA6" w:rsidRPr="00B04DC3" w:rsidRDefault="00002BA6" w:rsidP="00002BA6">
      <w:pPr>
        <w:pStyle w:val="para"/>
        <w:rPr>
          <w:lang w:val="en-GB"/>
        </w:rPr>
      </w:pPr>
      <w:r w:rsidRPr="00B04DC3">
        <w:rPr>
          <w:lang w:val="en-GB"/>
        </w:rPr>
        <w:tab/>
        <w:t>Multiple filter changers (auto changers) are acceptable, as long as there is no interaction between sampling filters.</w:t>
      </w:r>
    </w:p>
    <w:p w:rsidR="00002BA6" w:rsidRPr="00B04DC3" w:rsidRDefault="00002BA6" w:rsidP="00002BA6">
      <w:pPr>
        <w:pStyle w:val="para"/>
        <w:rPr>
          <w:lang w:val="en-GB"/>
        </w:rPr>
      </w:pPr>
      <w:r w:rsidRPr="00B04DC3">
        <w:rPr>
          <w:lang w:val="en-GB"/>
        </w:rPr>
        <w:tab/>
        <w:t>PTFE membrane filters shall be installed in a specific cassette within the filter holder.</w:t>
      </w:r>
    </w:p>
    <w:p w:rsidR="00002BA6" w:rsidRPr="00B04DC3" w:rsidRDefault="00002BA6" w:rsidP="00002BA6">
      <w:pPr>
        <w:pStyle w:val="para"/>
        <w:rPr>
          <w:lang w:val="en-GB"/>
        </w:rPr>
      </w:pPr>
      <w:r w:rsidRPr="00B04DC3">
        <w:rPr>
          <w:lang w:val="en-GB"/>
        </w:rPr>
        <w:tab/>
        <w:t xml:space="preserve">An inertial pre-classifier with a 50 per cent cut point between 2.5 µm and </w:t>
      </w:r>
      <w:r w:rsidRPr="00B04DC3">
        <w:rPr>
          <w:lang w:val="en-GB"/>
        </w:rPr>
        <w:br/>
        <w:t>10 µm shall be installed immediately upstream of the filter holder, if an open tube sampling probe facing upstream is used.</w:t>
      </w:r>
    </w:p>
    <w:p w:rsidR="00002BA6" w:rsidRPr="00B04DC3" w:rsidRDefault="00002BA6" w:rsidP="00002BA6">
      <w:pPr>
        <w:pStyle w:val="a"/>
        <w:rPr>
          <w:lang w:val="en-GB"/>
        </w:rPr>
      </w:pPr>
      <w:r w:rsidRPr="00B04DC3">
        <w:rPr>
          <w:lang w:val="en-GB"/>
        </w:rPr>
        <w:t>P</w:t>
      </w:r>
      <w:r w:rsidRPr="00B04DC3">
        <w:rPr>
          <w:lang w:val="en-GB"/>
        </w:rPr>
        <w:tab/>
        <w:t>Sampling pump</w:t>
      </w:r>
    </w:p>
    <w:p w:rsidR="00002BA6" w:rsidRPr="00B04DC3" w:rsidRDefault="00002BA6" w:rsidP="00002BA6">
      <w:pPr>
        <w:pStyle w:val="a"/>
        <w:rPr>
          <w:lang w:val="en-GB"/>
        </w:rPr>
      </w:pPr>
      <w:r w:rsidRPr="00B04DC3">
        <w:rPr>
          <w:lang w:val="en-GB"/>
        </w:rPr>
        <w:t>FC2</w:t>
      </w:r>
      <w:r w:rsidRPr="00B04DC3">
        <w:rPr>
          <w:lang w:val="en-GB"/>
        </w:rPr>
        <w:tab/>
        <w:t xml:space="preserve">Flow </w:t>
      </w:r>
      <w:r w:rsidR="00BB4DCD">
        <w:rPr>
          <w:lang w:val="en-GB"/>
        </w:rPr>
        <w:t>C</w:t>
      </w:r>
      <w:r w:rsidR="00BB4DCD" w:rsidRPr="00B04DC3">
        <w:rPr>
          <w:lang w:val="en-GB"/>
        </w:rPr>
        <w:t>ontroller</w:t>
      </w:r>
    </w:p>
    <w:p w:rsidR="00002BA6" w:rsidRPr="00B04DC3" w:rsidRDefault="00002BA6" w:rsidP="00002BA6">
      <w:pPr>
        <w:pStyle w:val="para"/>
        <w:rPr>
          <w:lang w:val="en-GB"/>
        </w:rPr>
      </w:pPr>
      <w:r w:rsidRPr="00B04DC3">
        <w:rPr>
          <w:lang w:val="en-GB"/>
        </w:rPr>
        <w:tab/>
        <w:t>A flow controller shall be used for controlling the particulate sample flow rate.</w:t>
      </w:r>
    </w:p>
    <w:p w:rsidR="00002BA6" w:rsidRPr="00B04DC3" w:rsidRDefault="00002BA6" w:rsidP="00002BA6">
      <w:pPr>
        <w:pStyle w:val="a"/>
        <w:rPr>
          <w:lang w:val="en-GB"/>
        </w:rPr>
      </w:pPr>
      <w:r w:rsidRPr="00B04DC3">
        <w:rPr>
          <w:lang w:val="en-GB"/>
        </w:rPr>
        <w:t>FM3</w:t>
      </w:r>
      <w:r w:rsidRPr="00B04DC3">
        <w:rPr>
          <w:lang w:val="en-GB"/>
        </w:rPr>
        <w:tab/>
        <w:t>Flow measurement device</w:t>
      </w:r>
    </w:p>
    <w:p w:rsidR="00002BA6" w:rsidRPr="00B04DC3" w:rsidRDefault="00002BA6" w:rsidP="00002BA6">
      <w:pPr>
        <w:pStyle w:val="para"/>
        <w:rPr>
          <w:lang w:val="en-GB"/>
        </w:rPr>
      </w:pPr>
      <w:r w:rsidRPr="00B04DC3">
        <w:rPr>
          <w:lang w:val="en-GB"/>
        </w:rPr>
        <w:tab/>
        <w:t>Gas meter or flow instrumentation to determine the particulate sample flow through the particulate filter. It may be installed upstream or downstream of the sampling pump P.</w:t>
      </w:r>
    </w:p>
    <w:p w:rsidR="00002BA6" w:rsidRPr="00B04DC3" w:rsidRDefault="00002BA6" w:rsidP="00002BA6">
      <w:pPr>
        <w:pStyle w:val="a"/>
        <w:rPr>
          <w:lang w:val="en-GB"/>
        </w:rPr>
      </w:pPr>
      <w:r w:rsidRPr="00B04DC3">
        <w:rPr>
          <w:lang w:val="en-GB"/>
        </w:rPr>
        <w:t>FM4</w:t>
      </w:r>
      <w:r w:rsidRPr="00B04DC3">
        <w:rPr>
          <w:lang w:val="en-GB"/>
        </w:rPr>
        <w:tab/>
        <w:t>Flow measurement device</w:t>
      </w:r>
    </w:p>
    <w:p w:rsidR="00002BA6" w:rsidRPr="00B04DC3" w:rsidRDefault="00002BA6" w:rsidP="00002BA6">
      <w:pPr>
        <w:pStyle w:val="para"/>
        <w:rPr>
          <w:lang w:val="en-GB"/>
        </w:rPr>
      </w:pPr>
      <w:r w:rsidRPr="00B04DC3">
        <w:rPr>
          <w:lang w:val="en-GB"/>
        </w:rPr>
        <w:tab/>
        <w:t>Gas meter or flow instrumentation to determine the secondary diluent</w:t>
      </w:r>
      <w:r w:rsidRPr="00B04DC3">
        <w:rPr>
          <w:color w:val="FF6600"/>
          <w:lang w:val="en-GB"/>
        </w:rPr>
        <w:t xml:space="preserve"> </w:t>
      </w:r>
      <w:r w:rsidRPr="00B04DC3">
        <w:rPr>
          <w:lang w:val="en-GB"/>
        </w:rPr>
        <w:t>flow through the particulate filter.</w:t>
      </w:r>
    </w:p>
    <w:p w:rsidR="00002BA6" w:rsidRPr="00B04DC3" w:rsidRDefault="00002BA6" w:rsidP="00002BA6">
      <w:pPr>
        <w:pStyle w:val="a"/>
        <w:rPr>
          <w:lang w:val="en-GB"/>
        </w:rPr>
      </w:pPr>
      <w:r w:rsidRPr="00B04DC3">
        <w:rPr>
          <w:lang w:val="en-GB"/>
        </w:rPr>
        <w:t>BV</w:t>
      </w:r>
      <w:r w:rsidRPr="00B04DC3">
        <w:rPr>
          <w:lang w:val="en-GB"/>
        </w:rPr>
        <w:tab/>
        <w:t>Ball valve (optional)</w:t>
      </w:r>
    </w:p>
    <w:p w:rsidR="00002BA6" w:rsidRPr="00B04DC3" w:rsidRDefault="00002BA6" w:rsidP="00002BA6">
      <w:pPr>
        <w:pStyle w:val="para"/>
        <w:rPr>
          <w:lang w:val="en-GB"/>
        </w:rPr>
      </w:pPr>
      <w:r w:rsidRPr="00B04DC3">
        <w:rPr>
          <w:lang w:val="en-GB"/>
        </w:rPr>
        <w:tab/>
        <w:t>The ball valve shall have an inside diameter not less than the inside diameter of the PTT, and a switching time of less than 0.5 second.</w:t>
      </w:r>
    </w:p>
    <w:p w:rsidR="00002BA6" w:rsidRPr="00B04DC3" w:rsidRDefault="00002BA6" w:rsidP="00002BA6">
      <w:pPr>
        <w:keepLines/>
        <w:rPr>
          <w:szCs w:val="24"/>
        </w:rPr>
      </w:pPr>
    </w:p>
    <w:p w:rsidR="00002BA6" w:rsidRPr="00B04DC3" w:rsidRDefault="00002BA6" w:rsidP="00002BA6">
      <w:pPr>
        <w:jc w:val="center"/>
        <w:rPr>
          <w:u w:val="single"/>
        </w:rPr>
        <w:sectPr w:rsidR="00002BA6" w:rsidRPr="00B04DC3" w:rsidSect="00002BA6">
          <w:headerReference w:type="even" r:id="rId454"/>
          <w:headerReference w:type="default" r:id="rId455"/>
          <w:footnotePr>
            <w:numRestart w:val="eachSect"/>
          </w:footnotePr>
          <w:endnotePr>
            <w:numFmt w:val="decimal"/>
          </w:endnotePr>
          <w:pgSz w:w="11907" w:h="16840" w:code="9"/>
          <w:pgMar w:top="1701" w:right="1134" w:bottom="2268" w:left="1134" w:header="851" w:footer="1701" w:gutter="0"/>
          <w:cols w:space="720"/>
          <w:docGrid w:linePitch="360"/>
        </w:sectPr>
      </w:pPr>
      <w:bookmarkStart w:id="628" w:name="_Toc66951840"/>
      <w:bookmarkStart w:id="629" w:name="_Toc66953264"/>
    </w:p>
    <w:p w:rsidR="00002BA6" w:rsidRPr="00B04DC3" w:rsidRDefault="00002BA6" w:rsidP="00551C68">
      <w:pPr>
        <w:pStyle w:val="HChG"/>
        <w:spacing w:after="360"/>
      </w:pPr>
      <w:bookmarkStart w:id="630" w:name="_Toc399940042"/>
      <w:bookmarkStart w:id="631" w:name="_Toc423599629"/>
      <w:bookmarkStart w:id="632" w:name="_Toc423611037"/>
      <w:r w:rsidRPr="00B04DC3">
        <w:t>Annex 4B</w:t>
      </w:r>
      <w:r w:rsidR="000A2DD6">
        <w:t xml:space="preserve"> - </w:t>
      </w:r>
      <w:r w:rsidRPr="00B04DC3">
        <w:t>Appendix 4</w:t>
      </w:r>
      <w:bookmarkEnd w:id="628"/>
      <w:bookmarkEnd w:id="630"/>
      <w:bookmarkEnd w:id="631"/>
      <w:bookmarkEnd w:id="632"/>
    </w:p>
    <w:p w:rsidR="00002BA6" w:rsidRPr="00B04DC3" w:rsidRDefault="00002BA6" w:rsidP="00551C68">
      <w:pPr>
        <w:pStyle w:val="HChG"/>
        <w:spacing w:after="360"/>
      </w:pPr>
      <w:bookmarkStart w:id="633" w:name="_Toc66951841"/>
      <w:bookmarkStart w:id="634" w:name="_Ref37039096"/>
      <w:bookmarkStart w:id="635" w:name="_Toc66953265"/>
      <w:bookmarkEnd w:id="575"/>
      <w:bookmarkEnd w:id="588"/>
      <w:bookmarkEnd w:id="589"/>
      <w:bookmarkEnd w:id="629"/>
      <w:r w:rsidRPr="00B04DC3">
        <w:tab/>
      </w:r>
      <w:r w:rsidRPr="00B04DC3">
        <w:tab/>
      </w:r>
      <w:bookmarkStart w:id="636" w:name="_Toc423599630"/>
      <w:bookmarkStart w:id="637" w:name="_Toc423611038"/>
      <w:r w:rsidRPr="00B04DC3">
        <w:t>Statistics</w:t>
      </w:r>
      <w:bookmarkEnd w:id="636"/>
      <w:bookmarkEnd w:id="637"/>
    </w:p>
    <w:p w:rsidR="00002BA6" w:rsidRPr="00B04DC3" w:rsidRDefault="00002BA6" w:rsidP="00002BA6">
      <w:pPr>
        <w:pStyle w:val="para"/>
        <w:rPr>
          <w:lang w:val="en-GB"/>
        </w:rPr>
      </w:pPr>
      <w:r w:rsidRPr="00B04DC3">
        <w:rPr>
          <w:lang w:val="en-GB"/>
        </w:rPr>
        <w:t>A.4.1.</w:t>
      </w:r>
      <w:r w:rsidRPr="00B04DC3">
        <w:rPr>
          <w:lang w:val="en-GB"/>
        </w:rPr>
        <w:tab/>
        <w:t>Mean value and standard deviation</w:t>
      </w:r>
    </w:p>
    <w:p w:rsidR="00002BA6" w:rsidRPr="00B04DC3" w:rsidRDefault="00002BA6" w:rsidP="00002BA6">
      <w:pPr>
        <w:pStyle w:val="para"/>
        <w:rPr>
          <w:lang w:val="en-GB"/>
        </w:rPr>
      </w:pPr>
      <w:r w:rsidRPr="00B04DC3">
        <w:rPr>
          <w:lang w:val="en-GB"/>
        </w:rPr>
        <w:tab/>
        <w:t>The arithmetic mean value shall be calculated as follows:</w:t>
      </w:r>
    </w:p>
    <w:p w:rsidR="00002BA6" w:rsidRPr="00551C68" w:rsidRDefault="00002BA6" w:rsidP="00002BA6">
      <w:pPr>
        <w:pStyle w:val="Text1"/>
        <w:tabs>
          <w:tab w:val="left" w:pos="2268"/>
          <w:tab w:val="right" w:pos="8505"/>
        </w:tabs>
        <w:spacing w:before="0" w:after="0"/>
        <w:ind w:left="2268" w:hanging="2268"/>
        <w:rPr>
          <w:position w:val="40"/>
          <w:sz w:val="20"/>
        </w:rPr>
      </w:pPr>
      <w:r w:rsidRPr="00B04DC3">
        <w:rPr>
          <w:sz w:val="20"/>
        </w:rPr>
        <w:tab/>
      </w:r>
      <w:r w:rsidR="00A905B7">
        <w:rPr>
          <w:sz w:val="20"/>
        </w:rPr>
      </w:r>
      <w:r w:rsidR="00A905B7">
        <w:rPr>
          <w:sz w:val="20"/>
        </w:rPr>
        <w:pict>
          <v:group id="_x0000_s5205" editas="canvas" style="width:48pt;height:46.65pt;mso-position-horizontal-relative:char;mso-position-vertical-relative:line" coordsize="960,933">
            <o:lock v:ext="edit" aspectratio="t"/>
            <v:shape id="_x0000_s5206" type="#_x0000_t75" style="position:absolute;width:960;height:933" o:preferrelative="f">
              <v:fill o:detectmouseclick="t"/>
              <v:path o:extrusionok="t" o:connecttype="none"/>
              <o:lock v:ext="edit" text="t"/>
            </v:shape>
            <v:line id="_x0000_s5207" style="position:absolute" from="40,498" to="149,498" strokeweight=".5pt"/>
            <v:line id="_x0000_s5208" style="position:absolute" from="406,660" to="909,660" strokeweight=".5pt"/>
            <v:rect id="_x0000_s5209" style="position:absolute;left:599;top:693;width:101;height:240;mso-wrap-style:none" filled="f" stroked="f">
              <v:textbox style="mso-fit-shape-to-text:t" inset="0,0,0,0">
                <w:txbxContent>
                  <w:p w:rsidR="00A905B7" w:rsidRDefault="00A905B7">
                    <w:r>
                      <w:rPr>
                        <w:i/>
                        <w:iCs/>
                        <w:color w:val="000000"/>
                        <w:szCs w:val="24"/>
                      </w:rPr>
                      <w:t>n</w:t>
                    </w:r>
                  </w:p>
                </w:txbxContent>
              </v:textbox>
            </v:rect>
            <v:rect id="_x0000_s5210" style="position:absolute;left:716;top:180;width:101;height:240;mso-wrap-style:none" filled="f" stroked="f">
              <v:textbox style="mso-fit-shape-to-text:t" inset="0,0,0,0">
                <w:txbxContent>
                  <w:p w:rsidR="00A905B7" w:rsidRPr="003123DC" w:rsidRDefault="00A905B7">
                    <w:r w:rsidRPr="003123DC">
                      <w:rPr>
                        <w:iCs/>
                        <w:color w:val="000000"/>
                        <w:szCs w:val="24"/>
                      </w:rPr>
                      <w:t>x</w:t>
                    </w:r>
                  </w:p>
                </w:txbxContent>
              </v:textbox>
            </v:rect>
            <v:rect id="_x0000_s5211" style="position:absolute;left:48;top:506;width:101;height:240;mso-wrap-style:none" filled="f" stroked="f">
              <v:textbox style="mso-fit-shape-to-text:t" inset="0,0,0,0">
                <w:txbxContent>
                  <w:p w:rsidR="00A905B7" w:rsidRPr="003123DC" w:rsidRDefault="00A905B7">
                    <w:r w:rsidRPr="003123DC">
                      <w:rPr>
                        <w:iCs/>
                        <w:color w:val="000000"/>
                        <w:szCs w:val="24"/>
                      </w:rPr>
                      <w:t>x</w:t>
                    </w:r>
                  </w:p>
                </w:txbxContent>
              </v:textbox>
            </v:rect>
            <v:rect id="_x0000_s5212" style="position:absolute;left:360;top:26;width:360;height:694" filled="f" stroked="f">
              <v:textbox inset="0,0,0,0">
                <w:txbxContent>
                  <w:p w:rsidR="00A905B7" w:rsidRDefault="00A905B7">
                    <w:r>
                      <w:rPr>
                        <w:i/>
                        <w:iCs/>
                        <w:color w:val="000000"/>
                        <w:sz w:val="14"/>
                        <w:szCs w:val="14"/>
                      </w:rPr>
                      <w:t>n</w:t>
                    </w:r>
                  </w:p>
                </w:txbxContent>
              </v:textbox>
            </v:rect>
            <v:rect id="_x0000_s5213" style="position:absolute;left:459;top:429;width:39;height:240;mso-wrap-style:none" filled="f" stroked="f">
              <v:textbox style="mso-fit-shape-to-text:t" inset="0,0,0,0">
                <w:txbxContent>
                  <w:p w:rsidR="00A905B7" w:rsidRPr="003123DC" w:rsidRDefault="00A905B7">
                    <w:r w:rsidRPr="003123DC">
                      <w:rPr>
                        <w:iCs/>
                        <w:color w:val="000000"/>
                        <w:sz w:val="14"/>
                        <w:szCs w:val="14"/>
                      </w:rPr>
                      <w:t>i</w:t>
                    </w:r>
                  </w:p>
                </w:txbxContent>
              </v:textbox>
            </v:rect>
            <v:rect id="_x0000_s5214" style="position:absolute;left:825;top:274;width:39;height:240;mso-wrap-style:none" filled="f" stroked="f">
              <v:textbox style="mso-fit-shape-to-text:t" inset="0,0,0,0">
                <w:txbxContent>
                  <w:p w:rsidR="00A905B7" w:rsidRPr="003123DC" w:rsidRDefault="00A905B7">
                    <w:r w:rsidRPr="003123DC">
                      <w:rPr>
                        <w:iCs/>
                        <w:color w:val="000000"/>
                        <w:sz w:val="14"/>
                        <w:szCs w:val="14"/>
                      </w:rPr>
                      <w:t>i</w:t>
                    </w:r>
                  </w:p>
                </w:txbxContent>
              </v:textbox>
            </v:rect>
            <v:rect id="_x0000_s5215" style="position:absolute;left:498;top:88;width:179;height:632" filled="f" stroked="f">
              <v:textbox inset="0,0,0,0">
                <w:txbxContent>
                  <w:p w:rsidR="00A905B7" w:rsidRDefault="00A905B7">
                    <w:r>
                      <w:rPr>
                        <w:rFonts w:ascii="Symbol" w:hAnsi="Symbol" w:cs="Symbol"/>
                        <w:color w:val="000000"/>
                        <w:sz w:val="36"/>
                        <w:szCs w:val="36"/>
                      </w:rPr>
                      <w:t></w:t>
                    </w:r>
                  </w:p>
                </w:txbxContent>
              </v:textbox>
            </v:rect>
            <v:rect id="_x0000_s5216" style="position:absolute;left:508;top:433;width:212;height:237" filled="f" stroked="f">
              <v:textbox inset="0,0,0,0">
                <w:txbxContent>
                  <w:p w:rsidR="00A905B7" w:rsidRDefault="00A905B7">
                    <w:r>
                      <w:rPr>
                        <w:rFonts w:ascii="Symbol" w:hAnsi="Symbol" w:cs="Symbol"/>
                        <w:color w:val="000000"/>
                        <w:sz w:val="14"/>
                        <w:szCs w:val="14"/>
                      </w:rPr>
                      <w:t></w:t>
                    </w:r>
                  </w:p>
                </w:txbxContent>
              </v:textbox>
            </v:rect>
            <v:rect id="_x0000_s5217" style="position:absolute;left:214;top:4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18" style="position:absolute;left:576;top:428;width:71;height:240;mso-wrap-style:none" filled="f" stroked="f">
              <v:textbox style="mso-fit-shape-to-text:t" inset="0,0,0,0">
                <w:txbxContent>
                  <w:p w:rsidR="00A905B7" w:rsidRDefault="00A905B7">
                    <w:r>
                      <w:rPr>
                        <w:color w:val="000000"/>
                        <w:sz w:val="14"/>
                        <w:szCs w:val="14"/>
                      </w:rPr>
                      <w:t>1</w:t>
                    </w:r>
                  </w:p>
                </w:txbxContent>
              </v:textbox>
            </v:rect>
            <w10:wrap type="none"/>
            <w10:anchorlock/>
          </v:group>
        </w:pict>
      </w:r>
      <w:r w:rsidRPr="00551C68">
        <w:rPr>
          <w:position w:val="40"/>
          <w:sz w:val="20"/>
        </w:rPr>
        <w:tab/>
        <w:t>(92)</w:t>
      </w:r>
    </w:p>
    <w:p w:rsidR="00002BA6" w:rsidRPr="00B04DC3" w:rsidRDefault="00002BA6" w:rsidP="00002BA6">
      <w:pPr>
        <w:pStyle w:val="para"/>
        <w:rPr>
          <w:lang w:val="en-GB"/>
        </w:rPr>
      </w:pPr>
      <w:r w:rsidRPr="00B04DC3">
        <w:rPr>
          <w:lang w:val="en-GB"/>
        </w:rPr>
        <w:tab/>
        <w:t>The standard deviation shall be calculated as follows:</w:t>
      </w:r>
    </w:p>
    <w:p w:rsidR="00002BA6" w:rsidRPr="00551C68" w:rsidRDefault="00A905B7" w:rsidP="00002BA6">
      <w:pPr>
        <w:pStyle w:val="Text1"/>
        <w:tabs>
          <w:tab w:val="left" w:pos="2268"/>
          <w:tab w:val="right" w:pos="8505"/>
        </w:tabs>
        <w:spacing w:before="0" w:after="0"/>
        <w:ind w:left="2268" w:hanging="2268"/>
        <w:rPr>
          <w:position w:val="40"/>
          <w:sz w:val="20"/>
        </w:rPr>
      </w:pPr>
      <w:r>
        <w:rPr>
          <w:noProof/>
          <w:sz w:val="20"/>
        </w:rPr>
        <w:pict>
          <v:rect id="_x0000_s5517" style="position:absolute;left:0;text-align:left;margin-left:192.15pt;margin-top:8pt;width:8.95pt;height:37pt;z-index:251596800" filled="f" stroked="f">
            <v:textbox inset="0,0,0,0">
              <w:txbxContent>
                <w:p w:rsidR="00A905B7" w:rsidRPr="004C1ED3" w:rsidRDefault="00A905B7">
                  <w:pPr>
                    <w:rPr>
                      <w:sz w:val="22"/>
                      <w:szCs w:val="22"/>
                    </w:rPr>
                  </w:pPr>
                  <w:r>
                    <w:rPr>
                      <w:color w:val="000000"/>
                      <w:sz w:val="14"/>
                      <w:szCs w:val="14"/>
                    </w:rPr>
                    <w:t>2</w:t>
                  </w:r>
                </w:p>
              </w:txbxContent>
            </v:textbox>
          </v:rect>
        </w:pict>
      </w:r>
      <w:r w:rsidR="00002BA6" w:rsidRPr="00B04DC3">
        <w:rPr>
          <w:sz w:val="20"/>
        </w:rPr>
        <w:tab/>
      </w:r>
      <w:r>
        <w:rPr>
          <w:sz w:val="20"/>
        </w:rPr>
      </w:r>
      <w:r>
        <w:rPr>
          <w:sz w:val="20"/>
        </w:rPr>
        <w:pict>
          <v:group id="_x0000_s5219" editas="canvas" style="width:85pt;height:53.1pt;mso-position-horizontal-relative:char;mso-position-vertical-relative:line" coordsize="1700,1062">
            <o:lock v:ext="edit" aspectratio="t"/>
            <v:shape id="_x0000_s5220" type="#_x0000_t75" style="position:absolute;width:1700;height:1062" o:preferrelative="f">
              <v:fill o:detectmouseclick="t"/>
              <v:path o:extrusionok="t" o:connecttype="none"/>
              <o:lock v:ext="edit" text="t"/>
            </v:shape>
            <v:line id="_x0000_s5221" style="position:absolute" from="1321,232" to="1429,232" strokeweight=".5pt"/>
            <v:rect id="_x0000_s5222" style="position:absolute;left:816;top:117;width:140;height:515;mso-wrap-style:none" filled="f" stroked="f">
              <v:textbox style="mso-fit-shape-to-text:t" inset="0,0,0,0">
                <w:txbxContent>
                  <w:p w:rsidR="00A905B7" w:rsidRPr="00570CD3" w:rsidRDefault="00A905B7" w:rsidP="00002BA6">
                    <w:r>
                      <w:rPr>
                        <w:rFonts w:ascii="Txt" w:hAnsi="Txt" w:cs="Txt"/>
                        <w:color w:val="000000"/>
                        <w:sz w:val="42"/>
                        <w:szCs w:val="42"/>
                      </w:rPr>
                      <w:sym w:font="TechnicLite" w:char="F028"/>
                    </w:r>
                  </w:p>
                </w:txbxContent>
              </v:textbox>
            </v:rect>
            <v:rect id="_x0000_s5223" style="position:absolute;left:1448;top:117;width:140;height:51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9"/>
                    </w:r>
                  </w:p>
                </w:txbxContent>
              </v:textbox>
            </v:rect>
            <v:line id="_x0000_s5224" style="position:absolute" from="549,780" to="1623,781" strokeweight=".5pt"/>
            <v:line id="_x0000_s5225" style="position:absolute;flip:y" from="392,626" to="423,643" strokeweight=".5pt"/>
            <v:line id="_x0000_s5226" style="position:absolute" from="423,631" to="467,981" strokeweight="1pt"/>
            <v:line id="_x0000_s5227" style="position:absolute;flip:y" from="472,59" to="531,981" strokeweight=".5pt"/>
            <v:line id="_x0000_s5228" style="position:absolute" from="531,59" to="1643,59" strokeweight=".5pt"/>
            <v:rect id="_x0000_s5229" style="position:absolute;left:1196;top:753;width:101;height:240;mso-wrap-style:none" filled="f" stroked="f">
              <v:textbox style="mso-fit-shape-to-text:t" inset="0,0,0,0">
                <w:txbxContent>
                  <w:p w:rsidR="00A905B7" w:rsidRDefault="00A905B7">
                    <w:r>
                      <w:rPr>
                        <w:color w:val="000000"/>
                        <w:szCs w:val="24"/>
                      </w:rPr>
                      <w:t>1</w:t>
                    </w:r>
                  </w:p>
                </w:txbxContent>
              </v:textbox>
            </v:rect>
            <v:rect id="_x0000_s5230" style="position:absolute;left:719;top:558;width:71;height:240;mso-wrap-style:none" filled="f" stroked="f">
              <v:textbox style="mso-fit-shape-to-text:t" inset="0,0,0,0">
                <w:txbxContent>
                  <w:p w:rsidR="00A905B7" w:rsidRDefault="00A905B7">
                    <w:r>
                      <w:rPr>
                        <w:color w:val="000000"/>
                        <w:sz w:val="14"/>
                        <w:szCs w:val="14"/>
                      </w:rPr>
                      <w:t>1</w:t>
                    </w:r>
                  </w:p>
                </w:txbxContent>
              </v:textbox>
            </v:rect>
            <v:rect id="_x0000_s5231" style="position:absolute;left:1048;top:72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32" style="position:absolute;left:1143;top:213;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33" style="position:absolute;left:195;top:5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34" style="position:absolute;left:564;top:218;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5235" style="position:absolute;left:651;top:543;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5236" style="position:absolute;left:884;top:753;width:101;height:240;mso-wrap-style:none" filled="f" stroked="f">
              <v:textbox style="mso-fit-shape-to-text:t" inset="0,0,0,0">
                <w:txbxContent>
                  <w:p w:rsidR="00A905B7" w:rsidRDefault="00A905B7">
                    <w:r>
                      <w:rPr>
                        <w:i/>
                        <w:iCs/>
                        <w:color w:val="000000"/>
                        <w:szCs w:val="24"/>
                      </w:rPr>
                      <w:t>n</w:t>
                    </w:r>
                  </w:p>
                </w:txbxContent>
              </v:textbox>
            </v:rect>
            <v:rect id="_x0000_s5237" style="position:absolute;left:1328;top:240;width:101;height:240;mso-wrap-style:none" filled="f" stroked="f">
              <v:textbox style="mso-fit-shape-to-text:t" inset="0,0,0,0">
                <w:txbxContent>
                  <w:p w:rsidR="00A905B7" w:rsidRPr="003123DC" w:rsidRDefault="00A905B7">
                    <w:r w:rsidRPr="003123DC">
                      <w:rPr>
                        <w:iCs/>
                        <w:color w:val="000000"/>
                        <w:szCs w:val="24"/>
                      </w:rPr>
                      <w:t>x</w:t>
                    </w:r>
                  </w:p>
                </w:txbxContent>
              </v:textbox>
            </v:rect>
            <v:rect id="_x0000_s5238" style="position:absolute;left:918;top:240;width:101;height:240;mso-wrap-style:none" filled="f" stroked="f">
              <v:textbox style="mso-fit-shape-to-text:t" inset="0,0,0,0">
                <w:txbxContent>
                  <w:p w:rsidR="00A905B7" w:rsidRPr="003123DC" w:rsidRDefault="00A905B7">
                    <w:r w:rsidRPr="003123DC">
                      <w:rPr>
                        <w:iCs/>
                        <w:color w:val="000000"/>
                        <w:szCs w:val="24"/>
                      </w:rPr>
                      <w:t>x</w:t>
                    </w:r>
                  </w:p>
                </w:txbxContent>
              </v:textbox>
            </v:rect>
            <v:rect id="_x0000_s5239" style="position:absolute;left:40;top:566;width:78;height:240;mso-wrap-style:none" filled="f" stroked="f">
              <v:textbox style="mso-fit-shape-to-text:t" inset="0,0,0,0">
                <w:txbxContent>
                  <w:p w:rsidR="00A905B7" w:rsidRPr="003123DC" w:rsidRDefault="00A905B7">
                    <w:r w:rsidRPr="003123DC">
                      <w:rPr>
                        <w:iCs/>
                        <w:color w:val="000000"/>
                        <w:szCs w:val="24"/>
                      </w:rPr>
                      <w:t>s</w:t>
                    </w:r>
                  </w:p>
                </w:txbxContent>
              </v:textbox>
            </v:rect>
            <v:rect id="_x0000_s5240" style="position:absolute;left:656;top:86;width:71;height:240;mso-wrap-style:none" filled="f" stroked="f">
              <v:textbox style="mso-fit-shape-to-text:t" inset="0,0,0,0">
                <w:txbxContent>
                  <w:p w:rsidR="00A905B7" w:rsidRDefault="00A905B7">
                    <w:r>
                      <w:rPr>
                        <w:i/>
                        <w:iCs/>
                        <w:color w:val="000000"/>
                        <w:sz w:val="14"/>
                        <w:szCs w:val="14"/>
                      </w:rPr>
                      <w:t>n</w:t>
                    </w:r>
                  </w:p>
                </w:txbxContent>
              </v:textbox>
            </v:rect>
            <v:rect id="_x0000_s5241" style="position:absolute;left:603;top:559;width:39;height:240;mso-wrap-style:none" filled="f" stroked="f">
              <v:textbox style="mso-fit-shape-to-text:t" inset="0,0,0,0">
                <w:txbxContent>
                  <w:p w:rsidR="00A905B7" w:rsidRPr="003123DC" w:rsidRDefault="00A905B7">
                    <w:r w:rsidRPr="003123DC">
                      <w:rPr>
                        <w:iCs/>
                        <w:color w:val="000000"/>
                        <w:sz w:val="14"/>
                        <w:szCs w:val="14"/>
                      </w:rPr>
                      <w:t>i</w:t>
                    </w:r>
                  </w:p>
                </w:txbxContent>
              </v:textbox>
            </v:rect>
            <v:rect id="_x0000_s5242" style="position:absolute;left:1027;top:334;width:39;height:240;mso-wrap-style:none" filled="f" stroked="f">
              <v:textbox style="mso-fit-shape-to-text:t" inset="0,0,0,0">
                <w:txbxContent>
                  <w:p w:rsidR="00A905B7" w:rsidRPr="003123DC" w:rsidRDefault="00A905B7">
                    <w:r w:rsidRPr="003123DC">
                      <w:rPr>
                        <w:iCs/>
                        <w:color w:val="000000"/>
                        <w:sz w:val="14"/>
                        <w:szCs w:val="14"/>
                      </w:rPr>
                      <w:t>i</w:t>
                    </w:r>
                  </w:p>
                </w:txbxContent>
              </v:textbox>
            </v:rect>
            <w10:wrap type="none"/>
            <w10:anchorlock/>
          </v:group>
        </w:pict>
      </w:r>
      <w:r w:rsidR="00002BA6" w:rsidRPr="00551C68">
        <w:rPr>
          <w:position w:val="40"/>
          <w:sz w:val="20"/>
        </w:rPr>
        <w:tab/>
        <w:t>(93)</w:t>
      </w:r>
    </w:p>
    <w:p w:rsidR="00002BA6" w:rsidRPr="00B04DC3" w:rsidRDefault="00002BA6" w:rsidP="00002BA6">
      <w:pPr>
        <w:pStyle w:val="para"/>
        <w:rPr>
          <w:lang w:val="en-GB"/>
        </w:rPr>
      </w:pPr>
      <w:r w:rsidRPr="00B04DC3">
        <w:rPr>
          <w:lang w:val="en-GB"/>
        </w:rPr>
        <w:t>A.4.2.</w:t>
      </w:r>
      <w:r w:rsidRPr="00B04DC3">
        <w:rPr>
          <w:lang w:val="en-GB"/>
        </w:rPr>
        <w:tab/>
        <w:t>Regression analysis</w:t>
      </w:r>
    </w:p>
    <w:p w:rsidR="00002BA6" w:rsidRPr="00B04DC3" w:rsidRDefault="00002BA6" w:rsidP="00002BA6">
      <w:pPr>
        <w:pStyle w:val="para"/>
        <w:rPr>
          <w:lang w:val="en-GB"/>
        </w:rPr>
      </w:pPr>
      <w:r w:rsidRPr="00B04DC3">
        <w:rPr>
          <w:lang w:val="en-GB"/>
        </w:rPr>
        <w:tab/>
        <w:t>The slope of the regression shall be calculated as follows:</w:t>
      </w:r>
    </w:p>
    <w:p w:rsidR="00002BA6" w:rsidRPr="00551C68" w:rsidRDefault="00002BA6" w:rsidP="00002BA6">
      <w:pPr>
        <w:pStyle w:val="Text1"/>
        <w:tabs>
          <w:tab w:val="left" w:pos="2268"/>
          <w:tab w:val="right" w:pos="8505"/>
        </w:tabs>
        <w:spacing w:before="0" w:after="0"/>
        <w:ind w:left="2268" w:hanging="2268"/>
        <w:rPr>
          <w:position w:val="60"/>
          <w:sz w:val="20"/>
        </w:rPr>
      </w:pPr>
      <w:r w:rsidRPr="00B04DC3">
        <w:rPr>
          <w:sz w:val="20"/>
        </w:rPr>
        <w:tab/>
      </w:r>
      <w:r w:rsidR="00A905B7">
        <w:rPr>
          <w:sz w:val="20"/>
        </w:rPr>
      </w:r>
      <w:r w:rsidR="00A905B7">
        <w:rPr>
          <w:sz w:val="20"/>
        </w:rPr>
        <w:pict>
          <v:group id="_x0000_s5243" editas="canvas" style="width:123.85pt;height:70.6pt;mso-position-horizontal-relative:char;mso-position-vertical-relative:line" coordorigin=",-23" coordsize="2477,1412">
            <o:lock v:ext="edit" aspectratio="t"/>
            <v:shape id="_x0000_s5244" type="#_x0000_t75" style="position:absolute;top:-23;width:2477;height:1412" o:preferrelative="f">
              <v:fill o:detectmouseclick="t"/>
              <v:path o:extrusionok="t" o:connecttype="none"/>
              <o:lock v:ext="edit" text="t"/>
            </v:shape>
            <v:line id="_x0000_s5245" style="position:absolute" from="1272,172" to="1396,172" strokeweight=".5pt"/>
            <v:rect id="_x0000_s5246" style="position:absolute;left:763;top:67;width:140;height:51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8"/>
                    </w:r>
                  </w:p>
                </w:txbxContent>
              </v:textbox>
            </v:rect>
            <v:rect id="_x0000_s5247" style="position:absolute;left:1440;top:67;width:140;height:51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9"/>
                    </w:r>
                  </w:p>
                </w:txbxContent>
              </v:textbox>
            </v:rect>
            <v:line id="_x0000_s5248" style="position:absolute" from="2129,172" to="2238,172" strokeweight=".5pt"/>
            <v:rect id="_x0000_s5249" style="position:absolute;left:1654;top:67;width:140;height:75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8"/>
                    </w:r>
                  </w:p>
                  <w:p w:rsidR="00A905B7" w:rsidRPr="00570CD3" w:rsidRDefault="00A905B7" w:rsidP="00002BA6"/>
                </w:txbxContent>
              </v:textbox>
            </v:rect>
            <v:rect id="_x0000_s5250" style="position:absolute;left:2256;top:47;width:140;height:515;mso-wrap-style:none" filled="f" stroked="f">
              <v:textbox style="mso-fit-shape-to-text:t" inset="0,0,0,0">
                <w:txbxContent>
                  <w:p w:rsidR="00A905B7" w:rsidRDefault="00A905B7">
                    <w:r>
                      <w:rPr>
                        <w:rFonts w:ascii="Symbol" w:hAnsi="Symbol" w:cs="Symbol"/>
                        <w:color w:val="000000"/>
                        <w:sz w:val="42"/>
                        <w:szCs w:val="42"/>
                      </w:rPr>
                      <w:sym w:font="TechnicLite" w:char="F029"/>
                    </w:r>
                  </w:p>
                </w:txbxContent>
              </v:textbox>
            </v:rect>
            <v:line id="_x0000_s5251" style="position:absolute" from="1634,823" to="1743,823" strokeweight=".5pt"/>
            <v:rect id="_x0000_s5252" style="position:absolute;left:1130;top:717;width:140;height:51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8"/>
                    </w:r>
                  </w:p>
                </w:txbxContent>
              </v:textbox>
            </v:rect>
            <v:rect id="_x0000_s5253" style="position:absolute;left:1762;top:717;width:140;height:515;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9"/>
                    </w:r>
                  </w:p>
                </w:txbxContent>
              </v:textbox>
            </v:rect>
            <v:line id="_x0000_s5254" style="position:absolute" from="486,720" to="2315,721" strokeweight=".5pt"/>
            <v:rect id="_x0000_s5255" style="position:absolute;left:878;top:809;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5256" style="position:absolute;left:500;top:138;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5257" style="position:absolute;left:965;top:1133;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5258" style="position:absolute;left:588;top:483;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5259" style="position:absolute;left:1456;top:884;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60" style="position:absolute;left:1951;top:153;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61" style="position:absolute;left:1559;top:153;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62" style="position:absolute;left:1094;top:153;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63" style="position:absolute;left:294;top:4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64" style="position:absolute;left:970;top:676;width:71;height:240;mso-wrap-style:none" filled="f" stroked="f">
              <v:textbox style="mso-fit-shape-to-text:t" inset="0,0,0,0">
                <w:txbxContent>
                  <w:p w:rsidR="00A905B7" w:rsidRDefault="00A905B7">
                    <w:r>
                      <w:rPr>
                        <w:i/>
                        <w:iCs/>
                        <w:color w:val="000000"/>
                        <w:sz w:val="14"/>
                        <w:szCs w:val="14"/>
                      </w:rPr>
                      <w:t>n</w:t>
                    </w:r>
                  </w:p>
                </w:txbxContent>
              </v:textbox>
            </v:rect>
            <v:rect id="_x0000_s5265" style="position:absolute;left:916;top:1149;width:39;height:240;mso-wrap-style:none" filled="f" stroked="f">
              <v:textbox style="mso-fit-shape-to-text:t" inset="0,0,0,0">
                <w:txbxContent>
                  <w:p w:rsidR="00A905B7" w:rsidRPr="003258AA" w:rsidRDefault="00A905B7">
                    <w:r w:rsidRPr="003258AA">
                      <w:rPr>
                        <w:iCs/>
                        <w:color w:val="000000"/>
                        <w:sz w:val="14"/>
                        <w:szCs w:val="14"/>
                      </w:rPr>
                      <w:t>i</w:t>
                    </w:r>
                  </w:p>
                </w:txbxContent>
              </v:textbox>
            </v:rect>
            <v:rect id="_x0000_s5266" style="position:absolute;left:1319;top:958;width:39;height:240;mso-wrap-style:none" filled="f" stroked="f">
              <v:textbox style="mso-fit-shape-to-text:t" inset="0,0,0,0">
                <w:txbxContent>
                  <w:p w:rsidR="00A905B7" w:rsidRPr="003258AA" w:rsidRDefault="00A905B7">
                    <w:r w:rsidRPr="003258AA">
                      <w:rPr>
                        <w:iCs/>
                        <w:color w:val="000000"/>
                        <w:sz w:val="14"/>
                        <w:szCs w:val="14"/>
                      </w:rPr>
                      <w:t>i</w:t>
                    </w:r>
                  </w:p>
                </w:txbxContent>
              </v:textbox>
            </v:rect>
            <v:rect id="_x0000_s5267" style="position:absolute;left:593;top:26;width:71;height:240;mso-wrap-style:none" filled="f" stroked="f">
              <v:textbox style="mso-fit-shape-to-text:t" inset="0,0,0,0">
                <w:txbxContent>
                  <w:p w:rsidR="00A905B7" w:rsidRDefault="00A905B7">
                    <w:r>
                      <w:rPr>
                        <w:i/>
                        <w:iCs/>
                        <w:color w:val="000000"/>
                        <w:sz w:val="14"/>
                        <w:szCs w:val="14"/>
                      </w:rPr>
                      <w:t>n</w:t>
                    </w:r>
                  </w:p>
                </w:txbxContent>
              </v:textbox>
            </v:rect>
            <v:rect id="_x0000_s5268" style="position:absolute;left:539;top:499;width:39;height:240;mso-wrap-style:none" filled="f" stroked="f">
              <v:textbox style="mso-fit-shape-to-text:t" inset="0,0,0,0">
                <w:txbxContent>
                  <w:p w:rsidR="00A905B7" w:rsidRDefault="00A905B7">
                    <w:r>
                      <w:rPr>
                        <w:i/>
                        <w:iCs/>
                        <w:color w:val="000000"/>
                        <w:sz w:val="14"/>
                        <w:szCs w:val="14"/>
                      </w:rPr>
                      <w:t>i</w:t>
                    </w:r>
                  </w:p>
                </w:txbxContent>
              </v:textbox>
            </v:rect>
            <v:rect id="_x0000_s5269" style="position:absolute;left:1835;top:274;width:39;height:240;mso-wrap-style:none" filled="f" stroked="f">
              <v:textbox style="mso-fit-shape-to-text:t" inset="0,0,0,0">
                <w:txbxContent>
                  <w:p w:rsidR="00A905B7" w:rsidRPr="003258AA" w:rsidRDefault="00A905B7">
                    <w:r w:rsidRPr="003258AA">
                      <w:rPr>
                        <w:iCs/>
                        <w:color w:val="000000"/>
                        <w:sz w:val="14"/>
                        <w:szCs w:val="14"/>
                      </w:rPr>
                      <w:t>i</w:t>
                    </w:r>
                  </w:p>
                </w:txbxContent>
              </v:textbox>
            </v:rect>
            <v:rect id="_x0000_s5270" style="position:absolute;left:967;top:274;width:39;height:240;mso-wrap-style:none" filled="f" stroked="f">
              <v:textbox style="mso-fit-shape-to-text:t" inset="0,0,0,0">
                <w:txbxContent>
                  <w:p w:rsidR="00A905B7" w:rsidRPr="003123DC" w:rsidRDefault="00A905B7">
                    <w:r w:rsidRPr="003123DC">
                      <w:rPr>
                        <w:iCs/>
                        <w:color w:val="000000"/>
                        <w:sz w:val="14"/>
                        <w:szCs w:val="14"/>
                      </w:rPr>
                      <w:t>i</w:t>
                    </w:r>
                  </w:p>
                </w:txbxContent>
              </v:textbox>
            </v:rect>
            <v:rect id="_x0000_s5271" style="position:absolute;left:1642;top:891;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272" style="position:absolute;left:1212;top:881;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273" style="position:absolute;left:2136;top:180;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274" style="position:absolute;left:1726;top:180;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275" style="position:absolute;left:1291;top:180;width:101;height:240;mso-wrap-style:none" filled="f" stroked="f">
              <v:textbox style="mso-fit-shape-to-text:t" inset="0,0,0,0">
                <w:txbxContent>
                  <w:p w:rsidR="00A905B7" w:rsidRPr="003123DC" w:rsidRDefault="00A905B7">
                    <w:r w:rsidRPr="003123DC">
                      <w:rPr>
                        <w:iCs/>
                        <w:color w:val="000000"/>
                        <w:szCs w:val="24"/>
                      </w:rPr>
                      <w:t>y</w:t>
                    </w:r>
                  </w:p>
                </w:txbxContent>
              </v:textbox>
            </v:rect>
            <v:rect id="_x0000_s5276" style="position:absolute;left:876;top:180;width:101;height:240;mso-wrap-style:none" filled="f" stroked="f">
              <v:textbox style="mso-fit-shape-to-text:t" inset="0,0,0,0">
                <w:txbxContent>
                  <w:p w:rsidR="00A905B7" w:rsidRPr="003123DC" w:rsidRDefault="00A905B7">
                    <w:r w:rsidRPr="003123DC">
                      <w:rPr>
                        <w:iCs/>
                        <w:color w:val="000000"/>
                        <w:szCs w:val="24"/>
                      </w:rPr>
                      <w:t>y</w:t>
                    </w:r>
                  </w:p>
                </w:txbxContent>
              </v:textbox>
            </v:rect>
            <v:rect id="_x0000_s5277" style="position:absolute;left:36;top:506;width:89;height:240;mso-wrap-style:none" filled="f" stroked="f">
              <v:textbox style="mso-fit-shape-to-text:t" inset="0,0,0,0">
                <w:txbxContent>
                  <w:p w:rsidR="00A905B7" w:rsidRPr="003123DC" w:rsidRDefault="00A905B7">
                    <w:r w:rsidRPr="003123DC">
                      <w:rPr>
                        <w:iCs/>
                        <w:color w:val="000000"/>
                        <w:szCs w:val="24"/>
                      </w:rPr>
                      <w:t>a</w:t>
                    </w:r>
                  </w:p>
                </w:txbxContent>
              </v:textbox>
            </v:rect>
            <v:rect id="_x0000_s5278" style="position:absolute;left:1033;top:1148;width:71;height:240;mso-wrap-style:none" filled="f" stroked="f">
              <v:textbox style="mso-fit-shape-to-text:t" inset="0,0,0,0">
                <w:txbxContent>
                  <w:p w:rsidR="00A905B7" w:rsidRDefault="00A905B7">
                    <w:r>
                      <w:rPr>
                        <w:color w:val="000000"/>
                        <w:sz w:val="14"/>
                        <w:szCs w:val="14"/>
                      </w:rPr>
                      <w:t>1</w:t>
                    </w:r>
                  </w:p>
                </w:txbxContent>
              </v:textbox>
            </v:rect>
            <v:rect id="_x0000_s5279" style="position:absolute;left:1906;top:750;width:71;height:240;mso-wrap-style:none" filled="f" stroked="f">
              <v:textbox style="mso-fit-shape-to-text:t" inset="0,0,0,0">
                <w:txbxContent>
                  <w:p w:rsidR="00A905B7" w:rsidRDefault="00A905B7">
                    <w:r>
                      <w:rPr>
                        <w:color w:val="000000"/>
                        <w:sz w:val="14"/>
                        <w:szCs w:val="14"/>
                      </w:rPr>
                      <w:t>2</w:t>
                    </w:r>
                  </w:p>
                </w:txbxContent>
              </v:textbox>
            </v:rect>
            <v:rect id="_x0000_s5280" style="position:absolute;left:656;top:498;width:71;height:240;mso-wrap-style:none" filled="f" stroked="f">
              <v:textbox style="mso-fit-shape-to-text:t" inset="0,0,0,0">
                <w:txbxContent>
                  <w:p w:rsidR="00A905B7" w:rsidRDefault="00A905B7">
                    <w:r>
                      <w:rPr>
                        <w:color w:val="000000"/>
                        <w:sz w:val="14"/>
                        <w:szCs w:val="14"/>
                      </w:rPr>
                      <w:t>1</w:t>
                    </w:r>
                  </w:p>
                </w:txbxContent>
              </v:textbox>
            </v:rect>
            <v:rect id="_x0000_s5281" style="position:absolute;left:149;top:654;width:71;height:240;mso-wrap-style:none" filled="f" stroked="f">
              <v:textbox style="mso-fit-shape-to-text:t" inset="0,0,0,0">
                <w:txbxContent>
                  <w:p w:rsidR="00A905B7" w:rsidRDefault="00A905B7">
                    <w:r>
                      <w:rPr>
                        <w:color w:val="000000"/>
                        <w:sz w:val="14"/>
                        <w:szCs w:val="14"/>
                      </w:rPr>
                      <w:t>1</w:t>
                    </w:r>
                  </w:p>
                </w:txbxContent>
              </v:textbox>
            </v:rect>
            <w10:wrap type="none"/>
            <w10:anchorlock/>
          </v:group>
        </w:pict>
      </w:r>
      <w:r w:rsidRPr="00551C68">
        <w:rPr>
          <w:position w:val="60"/>
          <w:sz w:val="20"/>
        </w:rPr>
        <w:tab/>
        <w:t>(94)</w:t>
      </w:r>
    </w:p>
    <w:p w:rsidR="00CC2FA9" w:rsidRPr="00B04DC3" w:rsidRDefault="00CC2FA9" w:rsidP="00002BA6">
      <w:pPr>
        <w:pStyle w:val="Text1"/>
        <w:tabs>
          <w:tab w:val="left" w:pos="2268"/>
          <w:tab w:val="right" w:pos="8505"/>
        </w:tabs>
        <w:spacing w:before="0" w:after="0"/>
        <w:ind w:left="2268" w:hanging="2268"/>
        <w:rPr>
          <w:sz w:val="20"/>
        </w:rPr>
      </w:pPr>
    </w:p>
    <w:p w:rsidR="00002BA6" w:rsidRPr="00B04DC3" w:rsidRDefault="00002BA6" w:rsidP="00002BA6">
      <w:pPr>
        <w:pStyle w:val="para"/>
        <w:rPr>
          <w:lang w:val="en-GB"/>
        </w:rPr>
      </w:pPr>
      <w:r w:rsidRPr="00B04DC3">
        <w:rPr>
          <w:lang w:val="en-GB"/>
        </w:rPr>
        <w:tab/>
        <w:t>The y intercept of the regression shall be calculated as follows:</w:t>
      </w:r>
    </w:p>
    <w:p w:rsidR="00002BA6" w:rsidRPr="00551C68" w:rsidRDefault="00A905B7" w:rsidP="00002BA6">
      <w:pPr>
        <w:pStyle w:val="Text1"/>
        <w:tabs>
          <w:tab w:val="left" w:pos="2268"/>
          <w:tab w:val="right" w:pos="8505"/>
        </w:tabs>
        <w:spacing w:before="0" w:after="0"/>
        <w:ind w:left="2268" w:hanging="2268"/>
        <w:rPr>
          <w:position w:val="30"/>
          <w:sz w:val="20"/>
        </w:rPr>
      </w:pPr>
      <w:r>
        <w:rPr>
          <w:noProof/>
          <w:sz w:val="20"/>
        </w:rPr>
        <w:pict>
          <v:rect id="_x0000_s5519" style="position:absolute;left:0;text-align:left;margin-left:185.6pt;margin-top:4pt;width:7pt;height:25.75pt;z-index:251598848;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9"/>
                  </w:r>
                </w:p>
              </w:txbxContent>
            </v:textbox>
          </v:rect>
        </w:pict>
      </w:r>
      <w:r>
        <w:rPr>
          <w:noProof/>
          <w:sz w:val="20"/>
        </w:rPr>
        <w:pict>
          <v:rect id="_x0000_s5518" style="position:absolute;left:0;text-align:left;margin-left:155.2pt;margin-top:4.5pt;width:7pt;height:25.75pt;z-index:251597824;mso-wrap-style:none" filled="f" stroked="f">
            <v:textbox style="mso-fit-shape-to-text:t" inset="0,0,0,0">
              <w:txbxContent>
                <w:p w:rsidR="00A905B7" w:rsidRPr="00570CD3" w:rsidRDefault="00A905B7" w:rsidP="00002BA6">
                  <w:r>
                    <w:rPr>
                      <w:rFonts w:ascii="Symbol" w:hAnsi="Symbol" w:cs="Symbol"/>
                      <w:color w:val="000000"/>
                      <w:sz w:val="42"/>
                      <w:szCs w:val="42"/>
                    </w:rPr>
                    <w:sym w:font="TechnicLite" w:char="F028"/>
                  </w:r>
                </w:p>
              </w:txbxContent>
            </v:textbox>
          </v:rect>
        </w:pict>
      </w:r>
      <w:r w:rsidR="00002BA6" w:rsidRPr="00B04DC3">
        <w:rPr>
          <w:sz w:val="20"/>
        </w:rPr>
        <w:tab/>
      </w:r>
      <w:r>
        <w:rPr>
          <w:sz w:val="20"/>
        </w:rPr>
      </w:r>
      <w:r>
        <w:rPr>
          <w:sz w:val="20"/>
        </w:rPr>
        <w:pict>
          <v:group id="_x0000_s5282" editas="canvas" style="width:83.25pt;height:37.75pt;mso-position-horizontal-relative:char;mso-position-vertical-relative:line" coordorigin=",-138" coordsize="1665,755">
            <o:lock v:ext="edit" aspectratio="t"/>
            <v:shape id="_x0000_s5283" type="#_x0000_t75" style="position:absolute;top:-138;width:1665;height:755" o:preferrelative="f">
              <v:fill o:detectmouseclick="t"/>
              <v:path o:extrusionok="t" o:connecttype="none"/>
              <o:lock v:ext="edit" text="t"/>
            </v:shape>
            <v:line id="_x0000_s5284" style="position:absolute" from="509,58" to="633,58" strokeweight=".5pt"/>
            <v:line id="_x0000_s5285" style="position:absolute" from="1317,58" to="1426,58" strokeweight=".5pt"/>
            <v:rect id="_x0000_s5286" style="position:absolute;left:1324;top:66;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287" style="position:absolute;left:917;top:66;width:89;height:240;mso-wrap-style:none" filled="f" stroked="f">
              <v:textbox style="mso-fit-shape-to-text:t" inset="0,0,0,0">
                <w:txbxContent>
                  <w:p w:rsidR="00A905B7" w:rsidRPr="003258AA" w:rsidRDefault="00A905B7">
                    <w:r w:rsidRPr="003258AA">
                      <w:rPr>
                        <w:iCs/>
                        <w:color w:val="000000"/>
                        <w:szCs w:val="24"/>
                      </w:rPr>
                      <w:t>a</w:t>
                    </w:r>
                  </w:p>
                </w:txbxContent>
              </v:textbox>
            </v:rect>
            <v:rect id="_x0000_s5288" style="position:absolute;left:528;top:66;width:101;height:240;mso-wrap-style:none" filled="f" stroked="f">
              <v:textbox style="mso-fit-shape-to-text:t" inset="0,0,0,0">
                <w:txbxContent>
                  <w:p w:rsidR="00A905B7" w:rsidRPr="003258AA" w:rsidRDefault="00A905B7">
                    <w:r w:rsidRPr="003258AA">
                      <w:rPr>
                        <w:iCs/>
                        <w:color w:val="000000"/>
                        <w:szCs w:val="24"/>
                      </w:rPr>
                      <w:t>y</w:t>
                    </w:r>
                  </w:p>
                </w:txbxContent>
              </v:textbox>
            </v:rect>
            <v:rect id="_x0000_s5289" style="position:absolute;left:36;top:66;width:89;height:240;mso-wrap-style:none" filled="f" stroked="f">
              <v:textbox style="mso-fit-shape-to-text:t" inset="0,0,0,0">
                <w:txbxContent>
                  <w:p w:rsidR="00A905B7" w:rsidRPr="003258AA" w:rsidRDefault="00A905B7">
                    <w:r w:rsidRPr="003258AA">
                      <w:rPr>
                        <w:iCs/>
                        <w:color w:val="000000"/>
                        <w:szCs w:val="24"/>
                      </w:rPr>
                      <w:t>a</w:t>
                    </w:r>
                  </w:p>
                </w:txbxContent>
              </v:textbox>
            </v:rect>
            <v:rect id="_x0000_s5290" style="position:absolute;left:1146;top: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91" style="position:absolute;left:684;top: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92" style="position:absolute;left:318;top: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293" style="position:absolute;left:1029;top:159;width:71;height:240;mso-wrap-style:none" filled="f" stroked="f">
              <v:textbox style="mso-fit-shape-to-text:t" inset="0,0,0,0">
                <w:txbxContent>
                  <w:p w:rsidR="00A905B7" w:rsidRDefault="00A905B7">
                    <w:r>
                      <w:rPr>
                        <w:color w:val="000000"/>
                        <w:sz w:val="14"/>
                        <w:szCs w:val="14"/>
                      </w:rPr>
                      <w:t>1</w:t>
                    </w:r>
                  </w:p>
                </w:txbxContent>
              </v:textbox>
            </v:rect>
            <v:rect id="_x0000_s5294" style="position:absolute;left:162;top:159;width:71;height:240;mso-wrap-style:none" filled="f" stroked="f">
              <v:textbox style="mso-fit-shape-to-text:t" inset="0,0,0,0">
                <w:txbxContent>
                  <w:p w:rsidR="00A905B7" w:rsidRDefault="00A905B7">
                    <w:r>
                      <w:rPr>
                        <w:color w:val="000000"/>
                        <w:sz w:val="14"/>
                        <w:szCs w:val="14"/>
                      </w:rPr>
                      <w:t>0</w:t>
                    </w:r>
                  </w:p>
                </w:txbxContent>
              </v:textbox>
            </v:rect>
            <w10:wrap type="none"/>
            <w10:anchorlock/>
          </v:group>
        </w:pict>
      </w:r>
      <w:r w:rsidR="00002BA6" w:rsidRPr="00551C68">
        <w:rPr>
          <w:position w:val="30"/>
          <w:sz w:val="20"/>
        </w:rPr>
        <w:tab/>
        <w:t>(95)</w:t>
      </w:r>
    </w:p>
    <w:p w:rsidR="00002BA6" w:rsidRPr="00B04DC3" w:rsidRDefault="00002BA6" w:rsidP="00002BA6">
      <w:pPr>
        <w:pStyle w:val="para"/>
        <w:rPr>
          <w:lang w:val="en-GB"/>
        </w:rPr>
      </w:pPr>
      <w:r w:rsidRPr="00B04DC3">
        <w:rPr>
          <w:lang w:val="en-GB"/>
        </w:rPr>
        <w:tab/>
        <w:t>The standard error of estimate (SEE) shall be calculated as follows:</w:t>
      </w:r>
    </w:p>
    <w:p w:rsidR="00002BA6" w:rsidRPr="00551C68" w:rsidRDefault="00002BA6" w:rsidP="00002BA6">
      <w:pPr>
        <w:pStyle w:val="Text1"/>
        <w:tabs>
          <w:tab w:val="left" w:pos="2268"/>
          <w:tab w:val="right" w:pos="8505"/>
        </w:tabs>
        <w:spacing w:before="0" w:after="0"/>
        <w:ind w:left="2268" w:hanging="2268"/>
        <w:rPr>
          <w:position w:val="60"/>
          <w:sz w:val="20"/>
        </w:rPr>
      </w:pPr>
      <w:r w:rsidRPr="00B04DC3">
        <w:rPr>
          <w:sz w:val="20"/>
        </w:rPr>
        <w:tab/>
      </w:r>
      <w:r w:rsidR="00A905B7">
        <w:rPr>
          <w:sz w:val="20"/>
        </w:rPr>
      </w:r>
      <w:r w:rsidR="00A905B7">
        <w:rPr>
          <w:sz w:val="20"/>
        </w:rPr>
        <w:pict>
          <v:group id="_x0000_s5295" editas="canvas" style="width:152pt;height:52.65pt;mso-position-horizontal-relative:char;mso-position-vertical-relative:line" coordsize="3040,1053">
            <o:lock v:ext="edit" aspectratio="t"/>
            <v:shape id="_x0000_s5296" type="#_x0000_t75" style="position:absolute;width:3040;height:1053" o:preferrelative="f">
              <v:fill o:detectmouseclick="t"/>
              <v:path o:extrusionok="t" o:connecttype="none"/>
              <o:lock v:ext="edit" text="t"/>
            </v:shape>
            <v:rect id="_x0000_s5297" style="position:absolute;left:2072;top:257;width:107;height:392;mso-wrap-style:none" filled="f" stroked="f">
              <v:textbox style="mso-fit-shape-to-text:t" inset="0,0,0,0">
                <w:txbxContent>
                  <w:p w:rsidR="00A905B7" w:rsidRPr="00570CD3" w:rsidRDefault="00A905B7" w:rsidP="00002BA6">
                    <w:r>
                      <w:rPr>
                        <w:rFonts w:ascii="Symbol" w:hAnsi="Symbol" w:cs="Symbol"/>
                        <w:color w:val="000000"/>
                        <w:sz w:val="32"/>
                        <w:szCs w:val="32"/>
                      </w:rPr>
                      <w:sym w:font="TechnicLite" w:char="F028"/>
                    </w:r>
                  </w:p>
                </w:txbxContent>
              </v:textbox>
            </v:rect>
            <v:rect id="_x0000_s5298" style="position:absolute;left:2735;top:177;width:91;height:240;mso-wrap-style:none" filled="f" stroked="f">
              <v:textbox style="mso-fit-shape-to-text:t" inset="0,0,0,0">
                <w:txbxContent>
                  <w:p w:rsidR="00A905B7" w:rsidRDefault="00A905B7"/>
                </w:txbxContent>
              </v:textbox>
            </v:rect>
            <v:rect id="_x0000_s5299" style="position:absolute;left:1157;top:256;width:107;height:392;mso-wrap-style:none" filled="f" stroked="f">
              <v:textbox style="mso-fit-shape-to-text:t" inset="0,0,0,0">
                <w:txbxContent>
                  <w:p w:rsidR="00A905B7" w:rsidRPr="00570CD3" w:rsidRDefault="00A905B7" w:rsidP="00002BA6">
                    <w:r>
                      <w:rPr>
                        <w:rFonts w:ascii="Symbol" w:hAnsi="Symbol" w:cs="Symbol"/>
                        <w:color w:val="000000"/>
                        <w:sz w:val="32"/>
                        <w:szCs w:val="32"/>
                      </w:rPr>
                      <w:sym w:font="TechnicLite" w:char="F05B"/>
                    </w:r>
                  </w:p>
                </w:txbxContent>
              </v:textbox>
            </v:rect>
            <v:rect id="_x0000_s5300" style="position:absolute;left:2690;top:246;width:214;height:392;mso-wrap-style:none" filled="f" stroked="f">
              <v:textbox style="mso-fit-shape-to-text:t" inset="0,0,0,0">
                <w:txbxContent>
                  <w:p w:rsidR="00A905B7" w:rsidRPr="00570CD3" w:rsidRDefault="00A905B7" w:rsidP="00002BA6">
                    <w:r>
                      <w:rPr>
                        <w:rFonts w:ascii="Symbol" w:hAnsi="Symbol" w:cs="Symbol"/>
                        <w:color w:val="000000"/>
                        <w:sz w:val="32"/>
                        <w:szCs w:val="32"/>
                      </w:rPr>
                      <w:sym w:font="TechnicLite" w:char="F029"/>
                    </w:r>
                    <w:r>
                      <w:rPr>
                        <w:rFonts w:ascii="Symbol" w:hAnsi="Symbol" w:cs="Symbol"/>
                        <w:color w:val="000000"/>
                        <w:sz w:val="32"/>
                        <w:szCs w:val="32"/>
                      </w:rPr>
                      <w:sym w:font="TechnicLite" w:char="F05D"/>
                    </w:r>
                  </w:p>
                </w:txbxContent>
              </v:textbox>
            </v:rect>
            <v:line id="_x0000_s5301" style="position:absolute;flip:y" from="732,476" to="763,494" strokeweight=".5pt"/>
            <v:line id="_x0000_s5302" style="position:absolute" from="763,481" to="807,738" strokeweight="1pt"/>
            <v:line id="_x0000_s5303" style="position:absolute;flip:y" from="812,53" to="871,738" strokeweight=".5pt"/>
            <v:line id="_x0000_s5304" style="position:absolute" from="871,53" to="2978,53" strokeweight=".5pt"/>
            <v:line id="_x0000_s5305" style="position:absolute" from="707,820" to="2998,821" strokeweight=".5pt"/>
            <v:rect id="_x0000_s5306" style="position:absolute;left:1963;top:813;width:101;height:240;mso-wrap-style:none" filled="f" stroked="f">
              <v:textbox style="mso-fit-shape-to-text:t" inset="0,0,0,0">
                <w:txbxContent>
                  <w:p w:rsidR="00A905B7" w:rsidRDefault="00A905B7">
                    <w:r>
                      <w:rPr>
                        <w:color w:val="000000"/>
                        <w:szCs w:val="24"/>
                      </w:rPr>
                      <w:t>2</w:t>
                    </w:r>
                  </w:p>
                </w:txbxContent>
              </v:textbox>
            </v:rect>
            <v:rect id="_x0000_s5307" style="position:absolute;left:2898;top:169;width:71;height:240;mso-wrap-style:none" filled="f" stroked="f">
              <v:textbox style="mso-fit-shape-to-text:t" inset="0,0,0,0">
                <w:txbxContent>
                  <w:p w:rsidR="00A905B7" w:rsidRDefault="00A905B7">
                    <w:r>
                      <w:rPr>
                        <w:color w:val="000000"/>
                        <w:sz w:val="14"/>
                        <w:szCs w:val="14"/>
                      </w:rPr>
                      <w:t>2</w:t>
                    </w:r>
                  </w:p>
                </w:txbxContent>
              </v:textbox>
            </v:rect>
            <v:rect id="_x0000_s5308" style="position:absolute;left:1039;top:600;width:71;height:240;mso-wrap-style:none" filled="f" stroked="f">
              <v:textbox style="mso-fit-shape-to-text:t" inset="0,0,0,0">
                <w:txbxContent>
                  <w:p w:rsidR="00A905B7" w:rsidRDefault="00A905B7">
                    <w:r>
                      <w:rPr>
                        <w:color w:val="000000"/>
                        <w:sz w:val="14"/>
                        <w:szCs w:val="14"/>
                      </w:rPr>
                      <w:t>1</w:t>
                    </w:r>
                  </w:p>
                </w:txbxContent>
              </v:textbox>
            </v:rect>
            <v:rect id="_x0000_s5309" style="position:absolute;left:2258;top:376;width:71;height:240;mso-wrap-style:none" filled="f" stroked="f">
              <v:textbox style="mso-fit-shape-to-text:t" inset="0,0,0,0">
                <w:txbxContent>
                  <w:p w:rsidR="00A905B7" w:rsidRDefault="00A905B7">
                    <w:r>
                      <w:rPr>
                        <w:color w:val="000000"/>
                        <w:sz w:val="14"/>
                        <w:szCs w:val="14"/>
                      </w:rPr>
                      <w:t>1</w:t>
                    </w:r>
                  </w:p>
                </w:txbxContent>
              </v:textbox>
            </v:rect>
            <v:rect id="_x0000_s5310" style="position:absolute;left:1766;top:376;width:71;height:240;mso-wrap-style:none" filled="f" stroked="f">
              <v:textbox style="mso-fit-shape-to-text:t" inset="0,0,0,0">
                <w:txbxContent>
                  <w:p w:rsidR="00A905B7" w:rsidRDefault="00A905B7">
                    <w:r>
                      <w:rPr>
                        <w:color w:val="000000"/>
                        <w:sz w:val="14"/>
                        <w:szCs w:val="14"/>
                      </w:rPr>
                      <w:t>0</w:t>
                    </w:r>
                  </w:p>
                </w:txbxContent>
              </v:textbox>
            </v:rect>
            <v:rect id="_x0000_s5311" style="position:absolute;left:1790;top:78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12" style="position:absolute;left:2370;top:25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13" style="position:absolute;left:1904;top:25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14" style="position:absolute;left:1469;top:256;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15" style="position:absolute;left:518;top:59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16" style="position:absolute;left:884;top:260;width:257;height:441;mso-wrap-style:none" filled="f" stroked="f">
              <v:textbox style="mso-fit-shape-to-text:t" inset="0,0,0,0">
                <w:txbxContent>
                  <w:p w:rsidR="00A905B7" w:rsidRDefault="00A905B7">
                    <w:r>
                      <w:rPr>
                        <w:rFonts w:ascii="Symbol" w:hAnsi="Symbol" w:cs="Symbol"/>
                        <w:color w:val="000000"/>
                        <w:sz w:val="36"/>
                        <w:szCs w:val="36"/>
                      </w:rPr>
                      <w:t></w:t>
                    </w:r>
                  </w:p>
                </w:txbxContent>
              </v:textbox>
            </v:rect>
            <v:rect id="_x0000_s5317" style="position:absolute;left:971;top:585;width:77;height:240;mso-wrap-style:none" filled="f" stroked="f">
              <v:textbox style="mso-fit-shape-to-text:t" inset="0,0,0,0">
                <w:txbxContent>
                  <w:p w:rsidR="00A905B7" w:rsidRDefault="00A905B7">
                    <w:r>
                      <w:rPr>
                        <w:rFonts w:ascii="Symbol" w:hAnsi="Symbol" w:cs="Symbol"/>
                        <w:color w:val="000000"/>
                        <w:sz w:val="14"/>
                        <w:szCs w:val="14"/>
                      </w:rPr>
                      <w:t></w:t>
                    </w:r>
                  </w:p>
                </w:txbxContent>
              </v:textbox>
            </v:rect>
            <v:rect id="_x0000_s5318" style="position:absolute;left:1629;top:813;width:101;height:240;mso-wrap-style:none" filled="f" stroked="f">
              <v:textbox style="mso-fit-shape-to-text:t" inset="0,0,0,0">
                <w:txbxContent>
                  <w:p w:rsidR="00A905B7" w:rsidRDefault="00A905B7">
                    <w:r>
                      <w:rPr>
                        <w:i/>
                        <w:iCs/>
                        <w:color w:val="000000"/>
                        <w:szCs w:val="24"/>
                      </w:rPr>
                      <w:t>n</w:t>
                    </w:r>
                  </w:p>
                </w:txbxContent>
              </v:textbox>
            </v:rect>
            <v:rect id="_x0000_s5319" style="position:absolute;left:2526;top:283;width:101;height:240;mso-wrap-style:none" filled="f" stroked="f">
              <v:textbox style="mso-fit-shape-to-text:t" inset="0,0,0,0">
                <w:txbxContent>
                  <w:p w:rsidR="00A905B7" w:rsidRPr="003258AA" w:rsidRDefault="00A905B7">
                    <w:r w:rsidRPr="003258AA">
                      <w:rPr>
                        <w:iCs/>
                        <w:color w:val="000000"/>
                        <w:szCs w:val="24"/>
                      </w:rPr>
                      <w:t>x</w:t>
                    </w:r>
                  </w:p>
                </w:txbxContent>
              </v:textbox>
            </v:rect>
            <v:rect id="_x0000_s5320" style="position:absolute;left:2147;top:283;width:89;height:240;mso-wrap-style:none" filled="f" stroked="f">
              <v:textbox style="mso-fit-shape-to-text:t" inset="0,0,0,0">
                <w:txbxContent>
                  <w:p w:rsidR="00A905B7" w:rsidRPr="003258AA" w:rsidRDefault="00A905B7">
                    <w:r w:rsidRPr="003258AA">
                      <w:rPr>
                        <w:iCs/>
                        <w:color w:val="000000"/>
                        <w:szCs w:val="24"/>
                      </w:rPr>
                      <w:t>a</w:t>
                    </w:r>
                  </w:p>
                </w:txbxContent>
              </v:textbox>
            </v:rect>
            <v:rect id="_x0000_s5321" style="position:absolute;left:1642;top:283;width:89;height:240;mso-wrap-style:none" filled="f" stroked="f">
              <v:textbox style="mso-fit-shape-to-text:t" inset="0,0,0,0">
                <w:txbxContent>
                  <w:p w:rsidR="00A905B7" w:rsidRPr="003258AA" w:rsidRDefault="00A905B7">
                    <w:r w:rsidRPr="003258AA">
                      <w:rPr>
                        <w:iCs/>
                        <w:color w:val="000000"/>
                        <w:szCs w:val="24"/>
                      </w:rPr>
                      <w:t>a</w:t>
                    </w:r>
                  </w:p>
                </w:txbxContent>
              </v:textbox>
            </v:rect>
            <v:rect id="_x0000_s5322" style="position:absolute;left:1246;top:283;width:101;height:240;mso-wrap-style:none" filled="f" stroked="f">
              <v:textbox style="mso-fit-shape-to-text:t" inset="0,0,0,0">
                <w:txbxContent>
                  <w:p w:rsidR="00A905B7" w:rsidRPr="003258AA" w:rsidRDefault="00A905B7">
                    <w:r w:rsidRPr="003258AA">
                      <w:rPr>
                        <w:iCs/>
                        <w:color w:val="000000"/>
                        <w:szCs w:val="24"/>
                      </w:rPr>
                      <w:t>y</w:t>
                    </w:r>
                  </w:p>
                </w:txbxContent>
              </v:textbox>
            </v:rect>
            <v:rect id="_x0000_s5323" style="position:absolute;left:40;top:626;width:356;height:240;mso-wrap-style:none" filled="f" stroked="f">
              <v:textbox style="mso-fit-shape-to-text:t" inset="0,0,0,0">
                <w:txbxContent>
                  <w:p w:rsidR="00A905B7" w:rsidRPr="003258AA" w:rsidRDefault="00A905B7">
                    <w:r w:rsidRPr="003258AA">
                      <w:rPr>
                        <w:iCs/>
                        <w:color w:val="000000"/>
                        <w:szCs w:val="24"/>
                      </w:rPr>
                      <w:t>SEE</w:t>
                    </w:r>
                  </w:p>
                </w:txbxContent>
              </v:textbox>
            </v:rect>
            <v:rect id="_x0000_s5324" style="position:absolute;left:976;top:128;width:71;height:240;mso-wrap-style:none" filled="f" stroked="f">
              <v:textbox style="mso-fit-shape-to-text:t" inset="0,0,0,0">
                <w:txbxContent>
                  <w:p w:rsidR="00A905B7" w:rsidRDefault="00A905B7">
                    <w:r>
                      <w:rPr>
                        <w:i/>
                        <w:iCs/>
                        <w:color w:val="000000"/>
                        <w:sz w:val="14"/>
                        <w:szCs w:val="14"/>
                      </w:rPr>
                      <w:t>n</w:t>
                    </w:r>
                  </w:p>
                </w:txbxContent>
              </v:textbox>
            </v:rect>
            <v:rect id="_x0000_s5325" style="position:absolute;left:923;top:601;width:39;height:240;mso-wrap-style:none" filled="f" stroked="f">
              <v:textbox style="mso-fit-shape-to-text:t" inset="0,0,0,0">
                <w:txbxContent>
                  <w:p w:rsidR="00A905B7" w:rsidRPr="009C5281" w:rsidRDefault="00A905B7">
                    <w:r w:rsidRPr="009C5281">
                      <w:rPr>
                        <w:iCs/>
                        <w:color w:val="000000"/>
                        <w:sz w:val="14"/>
                        <w:szCs w:val="14"/>
                      </w:rPr>
                      <w:t>i</w:t>
                    </w:r>
                  </w:p>
                </w:txbxContent>
              </v:textbox>
            </v:rect>
            <v:rect id="_x0000_s5326" style="position:absolute;left:2653;top:377;width:39;height:240;mso-wrap-style:none" filled="f" stroked="f">
              <v:textbox style="mso-fit-shape-to-text:t" inset="0,0,0,0">
                <w:txbxContent>
                  <w:p w:rsidR="00A905B7" w:rsidRPr="00570CD3" w:rsidRDefault="00A905B7">
                    <w:r w:rsidRPr="00570CD3">
                      <w:rPr>
                        <w:iCs/>
                        <w:color w:val="000000"/>
                        <w:sz w:val="14"/>
                        <w:szCs w:val="14"/>
                      </w:rPr>
                      <w:t>i</w:t>
                    </w:r>
                  </w:p>
                </w:txbxContent>
              </v:textbox>
            </v:rect>
            <v:rect id="_x0000_s5327" style="position:absolute;left:1358;top:377;width:39;height:240;mso-wrap-style:none" filled="f" stroked="f">
              <v:textbox style="mso-fit-shape-to-text:t" inset="0,0,0,0">
                <w:txbxContent>
                  <w:p w:rsidR="00A905B7" w:rsidRPr="00570CD3" w:rsidRDefault="00A905B7">
                    <w:r w:rsidRPr="00570CD3">
                      <w:rPr>
                        <w:iCs/>
                        <w:color w:val="000000"/>
                        <w:sz w:val="14"/>
                        <w:szCs w:val="14"/>
                      </w:rPr>
                      <w:t>i</w:t>
                    </w:r>
                  </w:p>
                </w:txbxContent>
              </v:textbox>
            </v:rect>
            <w10:wrap type="none"/>
            <w10:anchorlock/>
          </v:group>
        </w:pict>
      </w:r>
      <w:r w:rsidRPr="00551C68">
        <w:rPr>
          <w:position w:val="60"/>
          <w:sz w:val="20"/>
        </w:rPr>
        <w:tab/>
        <w:t>(96)</w:t>
      </w:r>
    </w:p>
    <w:p w:rsidR="00002BA6" w:rsidRPr="00B04DC3" w:rsidRDefault="00002BA6" w:rsidP="00002BA6">
      <w:pPr>
        <w:pStyle w:val="para"/>
        <w:rPr>
          <w:lang w:val="en-GB"/>
        </w:rPr>
      </w:pPr>
      <w:r w:rsidRPr="00B04DC3">
        <w:rPr>
          <w:lang w:val="en-GB"/>
        </w:rPr>
        <w:tab/>
        <w:t>The coefficient of determination shall be calculated as follows:</w:t>
      </w:r>
    </w:p>
    <w:p w:rsidR="00002BA6" w:rsidRPr="00551C68" w:rsidRDefault="00002BA6" w:rsidP="00002BA6">
      <w:pPr>
        <w:pStyle w:val="Text1"/>
        <w:tabs>
          <w:tab w:val="left" w:pos="2268"/>
          <w:tab w:val="right" w:pos="8505"/>
        </w:tabs>
        <w:spacing w:before="0" w:after="0"/>
        <w:ind w:left="2268" w:hanging="2268"/>
        <w:rPr>
          <w:position w:val="70"/>
          <w:sz w:val="20"/>
        </w:rPr>
      </w:pPr>
      <w:r w:rsidRPr="00B04DC3">
        <w:rPr>
          <w:sz w:val="20"/>
        </w:rPr>
        <w:tab/>
      </w:r>
      <w:r w:rsidR="00A905B7">
        <w:rPr>
          <w:sz w:val="20"/>
        </w:rPr>
      </w:r>
      <w:r w:rsidR="00A905B7">
        <w:rPr>
          <w:sz w:val="20"/>
        </w:rPr>
        <w:pict>
          <v:group id="_x0000_s5328" editas="canvas" style="width:149pt;height:76.2pt;mso-position-horizontal-relative:char;mso-position-vertical-relative:line" coordorigin=",86" coordsize="2980,1524">
            <o:lock v:ext="edit" aspectratio="t"/>
            <v:shape id="_x0000_s5329" type="#_x0000_t75" style="position:absolute;top:86;width:2980;height:1524" o:preferrelative="f">
              <v:fill o:detectmouseclick="t"/>
              <v:path o:extrusionok="t" o:connecttype="none"/>
              <o:lock v:ext="edit" text="t"/>
            </v:shape>
            <v:rect id="_x0000_s5330" style="position:absolute;left:2015;top:204;width:107;height:392;mso-wrap-style:none" filled="f" stroked="f">
              <v:textbox style="mso-next-textbox:#_x0000_s5330;mso-fit-shape-to-text:t" inset="0,0,0,0">
                <w:txbxContent>
                  <w:p w:rsidR="00A905B7" w:rsidRPr="003E6456" w:rsidRDefault="00A905B7" w:rsidP="00002BA6">
                    <w:r>
                      <w:rPr>
                        <w:rFonts w:ascii="Symbol" w:hAnsi="Symbol" w:cs="Symbol"/>
                        <w:color w:val="000000"/>
                        <w:sz w:val="32"/>
                        <w:szCs w:val="32"/>
                      </w:rPr>
                      <w:sym w:font="TechnicLite" w:char="F028"/>
                    </w:r>
                  </w:p>
                </w:txbxContent>
              </v:textbox>
            </v:rect>
            <v:rect id="_x0000_s5331" style="position:absolute;left:2689;top:204;width:107;height:392;mso-wrap-style:none" filled="f" stroked="f">
              <v:textbox style="mso-next-textbox:#_x0000_s5331;mso-fit-shape-to-text:t" inset="0,0,0,0">
                <w:txbxContent>
                  <w:p w:rsidR="00A905B7" w:rsidRPr="003E6456" w:rsidRDefault="00A905B7" w:rsidP="00002BA6">
                    <w:r>
                      <w:rPr>
                        <w:rFonts w:ascii="Symbol" w:hAnsi="Symbol" w:cs="Symbol"/>
                        <w:color w:val="000000"/>
                        <w:sz w:val="32"/>
                        <w:szCs w:val="32"/>
                      </w:rPr>
                      <w:sym w:font="TechnicLite" w:char="F029"/>
                    </w:r>
                  </w:p>
                </w:txbxContent>
              </v:textbox>
            </v:rect>
            <v:rect id="_x0000_s5332" style="position:absolute;left:1086;top:214;width:107;height:392;mso-wrap-style:none" filled="f" stroked="f">
              <v:textbox style="mso-next-textbox:#_x0000_s5332;mso-fit-shape-to-text:t" inset="0,0,0,0">
                <w:txbxContent>
                  <w:p w:rsidR="00A905B7" w:rsidRPr="003E6456" w:rsidRDefault="00A905B7" w:rsidP="00002BA6">
                    <w:r>
                      <w:rPr>
                        <w:rFonts w:ascii="Symbol" w:hAnsi="Symbol" w:cs="Symbol"/>
                        <w:color w:val="000000"/>
                        <w:sz w:val="32"/>
                        <w:szCs w:val="32"/>
                      </w:rPr>
                      <w:sym w:font="TechnicLite" w:char="F05B"/>
                    </w:r>
                  </w:p>
                </w:txbxContent>
              </v:textbox>
            </v:rect>
            <v:rect id="_x0000_s5333" style="position:absolute;left:2754;top:194;width:107;height:392;mso-wrap-style:none" filled="f" stroked="f">
              <v:textbox style="mso-next-textbox:#_x0000_s5333;mso-fit-shape-to-text:t" inset="0,0,0,0">
                <w:txbxContent>
                  <w:p w:rsidR="00A905B7" w:rsidRPr="003E6456" w:rsidRDefault="00A905B7" w:rsidP="00002BA6">
                    <w:r>
                      <w:rPr>
                        <w:rFonts w:ascii="Symbol" w:hAnsi="Symbol" w:cs="Symbol"/>
                        <w:color w:val="000000"/>
                        <w:sz w:val="32"/>
                        <w:szCs w:val="32"/>
                      </w:rPr>
                      <w:sym w:font="TechnicLite" w:char="F05D"/>
                    </w:r>
                  </w:p>
                </w:txbxContent>
              </v:textbox>
            </v:rect>
            <v:line id="_x0000_s5334" style="position:absolute" from="2099,883" to="2223,883" strokeweight=".5pt"/>
            <v:rect id="_x0000_s5335" style="position:absolute;left:1610;top:797;width:140;height:515;mso-wrap-style:none" filled="f" stroked="f">
              <v:textbox style="mso-next-textbox:#_x0000_s5335;mso-fit-shape-to-text:t" inset="0,0,0,0">
                <w:txbxContent>
                  <w:p w:rsidR="00A905B7" w:rsidRPr="003E6456" w:rsidRDefault="00A905B7" w:rsidP="00002BA6">
                    <w:r>
                      <w:rPr>
                        <w:rFonts w:ascii="Symbol" w:hAnsi="Symbol" w:cs="Symbol"/>
                        <w:color w:val="000000"/>
                        <w:sz w:val="42"/>
                        <w:szCs w:val="42"/>
                      </w:rPr>
                      <w:sym w:font="TechnicLite" w:char="F028"/>
                    </w:r>
                  </w:p>
                </w:txbxContent>
              </v:textbox>
            </v:rect>
            <v:rect id="_x0000_s5336" style="position:absolute;left:2242;top:787;width:140;height:515;mso-wrap-style:none" filled="f" stroked="f">
              <v:textbox style="mso-next-textbox:#_x0000_s5336;mso-fit-shape-to-text:t" inset="0,0,0,0">
                <w:txbxContent>
                  <w:p w:rsidR="00A905B7" w:rsidRPr="003E6456" w:rsidRDefault="00A905B7" w:rsidP="00002BA6">
                    <w:r>
                      <w:rPr>
                        <w:rFonts w:ascii="Symbol" w:hAnsi="Symbol" w:cs="Symbol"/>
                        <w:color w:val="000000"/>
                        <w:sz w:val="42"/>
                        <w:szCs w:val="42"/>
                      </w:rPr>
                      <w:sym w:font="TechnicLite" w:char="F029"/>
                    </w:r>
                  </w:p>
                </w:txbxContent>
              </v:textbox>
            </v:rect>
            <v:line id="_x0000_s5337" style="position:absolute" from="796,780" to="2934,781" strokeweight=".5pt"/>
            <v:rect id="_x0000_s5338" style="position:absolute;left:1328;top:849;width:257;height:441;mso-wrap-style:none" filled="f" stroked="f">
              <v:textbox style="mso-next-textbox:#_x0000_s5338;mso-fit-shape-to-text:t" inset="0,0,0,0">
                <w:txbxContent>
                  <w:p w:rsidR="00A905B7" w:rsidRDefault="00A905B7">
                    <w:r>
                      <w:rPr>
                        <w:rFonts w:ascii="Symbol" w:hAnsi="Symbol" w:cs="Symbol"/>
                        <w:color w:val="000000"/>
                        <w:sz w:val="36"/>
                        <w:szCs w:val="36"/>
                      </w:rPr>
                      <w:t></w:t>
                    </w:r>
                  </w:p>
                </w:txbxContent>
              </v:textbox>
            </v:rect>
            <v:rect id="_x0000_s5339" style="position:absolute;left:811;top:208;width:257;height:441;mso-wrap-style:none" filled="f" stroked="f">
              <v:textbox style="mso-next-textbox:#_x0000_s5339;mso-fit-shape-to-text:t" inset="0,0,0,0">
                <w:txbxContent>
                  <w:p w:rsidR="00A905B7" w:rsidRDefault="00A905B7">
                    <w:r>
                      <w:rPr>
                        <w:rFonts w:ascii="Symbol" w:hAnsi="Symbol" w:cs="Symbol"/>
                        <w:color w:val="000000"/>
                        <w:sz w:val="36"/>
                        <w:szCs w:val="36"/>
                      </w:rPr>
                      <w:t></w:t>
                    </w:r>
                  </w:p>
                </w:txbxContent>
              </v:textbox>
            </v:rect>
            <v:rect id="_x0000_s5340" style="position:absolute;left:1415;top:1193;width:77;height:240;mso-wrap-style:none" filled="f" stroked="f">
              <v:textbox style="mso-next-textbox:#_x0000_s5340;mso-fit-shape-to-text:t" inset="0,0,0,0">
                <w:txbxContent>
                  <w:p w:rsidR="00A905B7" w:rsidRDefault="00A905B7">
                    <w:r>
                      <w:rPr>
                        <w:rFonts w:ascii="Symbol" w:hAnsi="Symbol" w:cs="Symbol"/>
                        <w:color w:val="000000"/>
                        <w:sz w:val="14"/>
                        <w:szCs w:val="14"/>
                      </w:rPr>
                      <w:t></w:t>
                    </w:r>
                  </w:p>
                </w:txbxContent>
              </v:textbox>
            </v:rect>
            <v:rect id="_x0000_s5341" style="position:absolute;left:898;top:543;width:77;height:240;mso-wrap-style:none" filled="f" stroked="f">
              <v:textbox style="mso-next-textbox:#_x0000_s5341;mso-fit-shape-to-text:t" inset="0,0,0,0">
                <w:txbxContent>
                  <w:p w:rsidR="00A905B7" w:rsidRDefault="00A905B7">
                    <w:r>
                      <w:rPr>
                        <w:rFonts w:ascii="Symbol" w:hAnsi="Symbol" w:cs="Symbol"/>
                        <w:color w:val="000000"/>
                        <w:sz w:val="14"/>
                        <w:szCs w:val="14"/>
                      </w:rPr>
                      <w:t></w:t>
                    </w:r>
                  </w:p>
                </w:txbxContent>
              </v:textbox>
            </v:rect>
            <v:rect id="_x0000_s5342" style="position:absolute;left:1921;top:864;width:110;height:245;mso-wrap-style:none" filled="f" stroked="f">
              <v:textbox style="mso-next-textbox:#_x0000_s5342;mso-fit-shape-to-text:t" inset="0,0,0,0">
                <w:txbxContent>
                  <w:p w:rsidR="00A905B7" w:rsidRDefault="00A905B7">
                    <w:r>
                      <w:rPr>
                        <w:rFonts w:ascii="Symbol" w:hAnsi="Symbol" w:cs="Symbol"/>
                        <w:color w:val="000000"/>
                        <w:szCs w:val="24"/>
                      </w:rPr>
                      <w:t></w:t>
                    </w:r>
                  </w:p>
                </w:txbxContent>
              </v:textbox>
            </v:rect>
            <v:rect id="_x0000_s5343" style="position:absolute;left:2319;top:213;width:110;height:245;mso-wrap-style:none" filled="f" stroked="f">
              <v:textbox style="mso-next-textbox:#_x0000_s5343;mso-fit-shape-to-text:t" inset="0,0,0,0">
                <w:txbxContent>
                  <w:p w:rsidR="00A905B7" w:rsidRDefault="00A905B7">
                    <w:r>
                      <w:rPr>
                        <w:rFonts w:ascii="Symbol" w:hAnsi="Symbol" w:cs="Symbol"/>
                        <w:color w:val="000000"/>
                        <w:szCs w:val="24"/>
                      </w:rPr>
                      <w:t></w:t>
                    </w:r>
                  </w:p>
                </w:txbxContent>
              </v:textbox>
            </v:rect>
            <v:rect id="_x0000_s5344" style="position:absolute;left:1845;top:213;width:110;height:245;mso-wrap-style:none" filled="f" stroked="f">
              <v:textbox style="mso-next-textbox:#_x0000_s5344;mso-fit-shape-to-text:t" inset="0,0,0,0">
                <w:txbxContent>
                  <w:p w:rsidR="00A905B7" w:rsidRDefault="00A905B7">
                    <w:r>
                      <w:rPr>
                        <w:rFonts w:ascii="Symbol" w:hAnsi="Symbol" w:cs="Symbol"/>
                        <w:color w:val="000000"/>
                        <w:szCs w:val="24"/>
                      </w:rPr>
                      <w:t></w:t>
                    </w:r>
                  </w:p>
                </w:txbxContent>
              </v:textbox>
            </v:rect>
            <v:rect id="_x0000_s5345" style="position:absolute;left:1403;top:213;width:110;height:245;mso-wrap-style:none" filled="f" stroked="f">
              <v:textbox style="mso-next-textbox:#_x0000_s5345;mso-fit-shape-to-text:t" inset="0,0,0,0">
                <w:txbxContent>
                  <w:p w:rsidR="00A905B7" w:rsidRDefault="00A905B7">
                    <w:r>
                      <w:rPr>
                        <w:rFonts w:ascii="Symbol" w:hAnsi="Symbol" w:cs="Symbol"/>
                        <w:color w:val="000000"/>
                        <w:szCs w:val="24"/>
                      </w:rPr>
                      <w:t></w:t>
                    </w:r>
                  </w:p>
                </w:txbxContent>
              </v:textbox>
            </v:rect>
            <v:rect id="_x0000_s5346" style="position:absolute;left:618;top:539;width:110;height:245;mso-wrap-style:none" filled="f" stroked="f">
              <v:textbox style="mso-next-textbox:#_x0000_s5346;mso-fit-shape-to-text:t" inset="0,0,0,0">
                <w:txbxContent>
                  <w:p w:rsidR="00A905B7" w:rsidRDefault="00A905B7">
                    <w:r>
                      <w:rPr>
                        <w:rFonts w:ascii="Symbol" w:hAnsi="Symbol" w:cs="Symbol"/>
                        <w:color w:val="000000"/>
                        <w:szCs w:val="24"/>
                      </w:rPr>
                      <w:t></w:t>
                    </w:r>
                  </w:p>
                </w:txbxContent>
              </v:textbox>
            </v:rect>
            <v:rect id="_x0000_s5347" style="position:absolute;left:315;top:539;width:110;height:245;mso-wrap-style:none" filled="f" stroked="f">
              <v:textbox style="mso-next-textbox:#_x0000_s5347;mso-fit-shape-to-text:t" inset="0,0,0,0">
                <w:txbxContent>
                  <w:p w:rsidR="00A905B7" w:rsidRDefault="00A905B7">
                    <w:r>
                      <w:rPr>
                        <w:rFonts w:ascii="Symbol" w:hAnsi="Symbol" w:cs="Symbol"/>
                        <w:color w:val="000000"/>
                        <w:szCs w:val="24"/>
                      </w:rPr>
                      <w:t></w:t>
                    </w:r>
                  </w:p>
                </w:txbxContent>
              </v:textbox>
            </v:rect>
            <v:rect id="_x0000_s5348" style="position:absolute;left:1420;top:716;width:71;height:240;mso-wrap-style:none" filled="f" stroked="f">
              <v:textbox style="mso-next-textbox:#_x0000_s5348;mso-fit-shape-to-text:t" inset="0,0,0,0">
                <w:txbxContent>
                  <w:p w:rsidR="00A905B7" w:rsidRDefault="00A905B7">
                    <w:r>
                      <w:rPr>
                        <w:i/>
                        <w:iCs/>
                        <w:color w:val="000000"/>
                        <w:sz w:val="14"/>
                        <w:szCs w:val="14"/>
                      </w:rPr>
                      <w:t>n</w:t>
                    </w:r>
                  </w:p>
                </w:txbxContent>
              </v:textbox>
            </v:rect>
            <v:rect id="_x0000_s5349" style="position:absolute;left:1366;top:1209;width:39;height:240;mso-wrap-style:none" filled="f" stroked="f">
              <v:textbox style="mso-next-textbox:#_x0000_s5349;mso-fit-shape-to-text:t" inset="0,0,0,0">
                <w:txbxContent>
                  <w:p w:rsidR="00A905B7" w:rsidRPr="003258AA" w:rsidRDefault="00A905B7">
                    <w:r w:rsidRPr="003258AA">
                      <w:rPr>
                        <w:iCs/>
                        <w:color w:val="000000"/>
                        <w:sz w:val="14"/>
                        <w:szCs w:val="14"/>
                      </w:rPr>
                      <w:t>i</w:t>
                    </w:r>
                  </w:p>
                </w:txbxContent>
              </v:textbox>
            </v:rect>
            <v:rect id="_x0000_s5350" style="position:absolute;left:1806;top:996;width:39;height:240;mso-wrap-style:none" filled="f" stroked="f">
              <v:textbox style="mso-next-textbox:#_x0000_s5350;mso-fit-shape-to-text:t" inset="0,0,0,0">
                <w:txbxContent>
                  <w:p w:rsidR="00A905B7" w:rsidRPr="003258AA" w:rsidRDefault="00A905B7">
                    <w:r w:rsidRPr="003258AA">
                      <w:rPr>
                        <w:iCs/>
                        <w:color w:val="000000"/>
                        <w:sz w:val="14"/>
                        <w:szCs w:val="14"/>
                      </w:rPr>
                      <w:t>i</w:t>
                    </w:r>
                  </w:p>
                </w:txbxContent>
              </v:textbox>
            </v:rect>
            <v:rect id="_x0000_s5351" style="position:absolute;left:903;top:86;width:71;height:240;mso-wrap-style:none" filled="f" stroked="f">
              <v:textbox style="mso-next-textbox:#_x0000_s5351;mso-fit-shape-to-text:t" inset="0,0,0,0">
                <w:txbxContent>
                  <w:p w:rsidR="00A905B7" w:rsidRDefault="00A905B7">
                    <w:r>
                      <w:rPr>
                        <w:i/>
                        <w:iCs/>
                        <w:color w:val="000000"/>
                        <w:sz w:val="14"/>
                        <w:szCs w:val="14"/>
                      </w:rPr>
                      <w:t>n</w:t>
                    </w:r>
                  </w:p>
                </w:txbxContent>
              </v:textbox>
            </v:rect>
            <v:rect id="_x0000_s5352" style="position:absolute;left:849;top:559;width:39;height:240;mso-wrap-style:none" filled="f" stroked="f">
              <v:textbox style="mso-next-textbox:#_x0000_s5352;mso-fit-shape-to-text:t" inset="0,0,0,0">
                <w:txbxContent>
                  <w:p w:rsidR="00A905B7" w:rsidRPr="003258AA" w:rsidRDefault="00A905B7">
                    <w:r w:rsidRPr="003258AA">
                      <w:rPr>
                        <w:iCs/>
                        <w:color w:val="000000"/>
                        <w:sz w:val="14"/>
                        <w:szCs w:val="14"/>
                      </w:rPr>
                      <w:t>i</w:t>
                    </w:r>
                  </w:p>
                </w:txbxContent>
              </v:textbox>
            </v:rect>
            <v:rect id="_x0000_s5353" style="position:absolute;left:2595;top:334;width:39;height:240;mso-wrap-style:none" filled="f" stroked="f">
              <v:textbox style="mso-next-textbox:#_x0000_s5353;mso-fit-shape-to-text:t" inset="0,0,0,0">
                <w:txbxContent>
                  <w:p w:rsidR="00A905B7" w:rsidRPr="003258AA" w:rsidRDefault="00A905B7">
                    <w:r w:rsidRPr="003258AA">
                      <w:rPr>
                        <w:iCs/>
                        <w:color w:val="000000"/>
                        <w:sz w:val="14"/>
                        <w:szCs w:val="14"/>
                      </w:rPr>
                      <w:t>i</w:t>
                    </w:r>
                  </w:p>
                </w:txbxContent>
              </v:textbox>
            </v:rect>
            <v:rect id="_x0000_s5354" style="position:absolute;left:1288;top:334;width:39;height:240;mso-wrap-style:none" filled="f" stroked="f">
              <v:textbox style="mso-next-textbox:#_x0000_s5354;mso-fit-shape-to-text:t" inset="0,0,0,0">
                <w:txbxContent>
                  <w:p w:rsidR="00A905B7" w:rsidRPr="003258AA" w:rsidRDefault="00A905B7">
                    <w:r w:rsidRPr="003258AA">
                      <w:rPr>
                        <w:iCs/>
                        <w:color w:val="000000"/>
                        <w:sz w:val="14"/>
                        <w:szCs w:val="14"/>
                      </w:rPr>
                      <w:t>i</w:t>
                    </w:r>
                  </w:p>
                </w:txbxContent>
              </v:textbox>
            </v:rect>
            <v:rect id="_x0000_s5355" style="position:absolute;left:2118;top:891;width:101;height:240;mso-wrap-style:none" filled="f" stroked="f">
              <v:textbox style="mso-next-textbox:#_x0000_s5355;mso-fit-shape-to-text:t" inset="0,0,0,0">
                <w:txbxContent>
                  <w:p w:rsidR="00A905B7" w:rsidRPr="003258AA" w:rsidRDefault="00A905B7">
                    <w:r w:rsidRPr="003258AA">
                      <w:rPr>
                        <w:iCs/>
                        <w:color w:val="000000"/>
                        <w:szCs w:val="24"/>
                      </w:rPr>
                      <w:t>y</w:t>
                    </w:r>
                  </w:p>
                </w:txbxContent>
              </v:textbox>
            </v:rect>
            <v:rect id="_x0000_s5356" style="position:absolute;left:1703;top:891;width:101;height:240;mso-wrap-style:none" filled="f" stroked="f">
              <v:textbox style="mso-next-textbox:#_x0000_s5356;mso-fit-shape-to-text:t" inset="0,0,0,0">
                <w:txbxContent>
                  <w:p w:rsidR="00A905B7" w:rsidRPr="003258AA" w:rsidRDefault="00A905B7">
                    <w:r w:rsidRPr="003258AA">
                      <w:rPr>
                        <w:iCs/>
                        <w:color w:val="000000"/>
                        <w:szCs w:val="24"/>
                      </w:rPr>
                      <w:t>y</w:t>
                    </w:r>
                  </w:p>
                </w:txbxContent>
              </v:textbox>
            </v:rect>
            <v:rect id="_x0000_s5357" style="position:absolute;left:2468;top:240;width:101;height:240;mso-wrap-style:none" filled="f" stroked="f">
              <v:textbox style="mso-next-textbox:#_x0000_s5357;mso-fit-shape-to-text:t" inset="0,0,0,0">
                <w:txbxContent>
                  <w:p w:rsidR="00A905B7" w:rsidRPr="003258AA" w:rsidRDefault="00A905B7">
                    <w:r w:rsidRPr="003258AA">
                      <w:rPr>
                        <w:iCs/>
                        <w:color w:val="000000"/>
                        <w:szCs w:val="24"/>
                      </w:rPr>
                      <w:t>x</w:t>
                    </w:r>
                  </w:p>
                </w:txbxContent>
              </v:textbox>
            </v:rect>
            <v:rect id="_x0000_s5358" style="position:absolute;left:2090;top:240;width:89;height:240;mso-wrap-style:none" filled="f" stroked="f">
              <v:textbox style="mso-next-textbox:#_x0000_s5358;mso-fit-shape-to-text:t" inset="0,0,0,0">
                <w:txbxContent>
                  <w:p w:rsidR="00A905B7" w:rsidRPr="003258AA" w:rsidRDefault="00A905B7">
                    <w:r w:rsidRPr="003258AA">
                      <w:rPr>
                        <w:iCs/>
                        <w:color w:val="000000"/>
                        <w:szCs w:val="24"/>
                      </w:rPr>
                      <w:t>a</w:t>
                    </w:r>
                  </w:p>
                </w:txbxContent>
              </v:textbox>
            </v:rect>
            <v:rect id="_x0000_s5359" style="position:absolute;left:1578;top:240;width:89;height:240;mso-wrap-style:none" filled="f" stroked="f">
              <v:textbox style="mso-next-textbox:#_x0000_s5359;mso-fit-shape-to-text:t" inset="0,0,0,0">
                <w:txbxContent>
                  <w:p w:rsidR="00A905B7" w:rsidRPr="003258AA" w:rsidRDefault="00A905B7">
                    <w:r w:rsidRPr="003258AA">
                      <w:rPr>
                        <w:iCs/>
                        <w:color w:val="000000"/>
                        <w:szCs w:val="24"/>
                      </w:rPr>
                      <w:t>a</w:t>
                    </w:r>
                  </w:p>
                </w:txbxContent>
              </v:textbox>
            </v:rect>
            <v:rect id="_x0000_s5360" style="position:absolute;left:1175;top:240;width:101;height:240;mso-wrap-style:none" filled="f" stroked="f">
              <v:textbox style="mso-next-textbox:#_x0000_s5360;mso-fit-shape-to-text:t" inset="0,0,0,0">
                <w:txbxContent>
                  <w:p w:rsidR="00A905B7" w:rsidRPr="003258AA" w:rsidRDefault="00A905B7">
                    <w:r w:rsidRPr="003258AA">
                      <w:rPr>
                        <w:iCs/>
                        <w:color w:val="000000"/>
                        <w:szCs w:val="24"/>
                      </w:rPr>
                      <w:t>y</w:t>
                    </w:r>
                  </w:p>
                </w:txbxContent>
              </v:textbox>
            </v:rect>
            <v:rect id="_x0000_s5361" style="position:absolute;left:36;top:566;width:67;height:240;mso-wrap-style:none" filled="f" stroked="f">
              <v:textbox style="mso-next-textbox:#_x0000_s5361;mso-fit-shape-to-text:t" inset="0,0,0,0">
                <w:txbxContent>
                  <w:p w:rsidR="00A905B7" w:rsidRPr="003258AA" w:rsidRDefault="00A905B7">
                    <w:r w:rsidRPr="003258AA">
                      <w:rPr>
                        <w:iCs/>
                        <w:color w:val="000000"/>
                        <w:szCs w:val="24"/>
                      </w:rPr>
                      <w:t>r</w:t>
                    </w:r>
                  </w:p>
                </w:txbxContent>
              </v:textbox>
            </v:rect>
            <v:rect id="_x0000_s5362" style="position:absolute;left:1483;top:1208;width:71;height:240;mso-wrap-style:none" filled="f" stroked="f">
              <v:textbox style="mso-next-textbox:#_x0000_s5362;mso-fit-shape-to-text:t" inset="0,0,0,0">
                <w:txbxContent>
                  <w:p w:rsidR="00A905B7" w:rsidRDefault="00A905B7">
                    <w:r>
                      <w:rPr>
                        <w:color w:val="000000"/>
                        <w:sz w:val="14"/>
                        <w:szCs w:val="14"/>
                      </w:rPr>
                      <w:t>1</w:t>
                    </w:r>
                  </w:p>
                </w:txbxContent>
              </v:textbox>
            </v:rect>
            <v:rect id="_x0000_s5363" style="position:absolute;left:2386;top:790;width:71;height:240;mso-wrap-style:none" filled="f" stroked="f">
              <v:textbox style="mso-next-textbox:#_x0000_s5363;mso-fit-shape-to-text:t" inset="0,0,0,0">
                <w:txbxContent>
                  <w:p w:rsidR="00A905B7" w:rsidRDefault="00A905B7">
                    <w:r>
                      <w:rPr>
                        <w:color w:val="000000"/>
                        <w:sz w:val="14"/>
                        <w:szCs w:val="14"/>
                      </w:rPr>
                      <w:t>2</w:t>
                    </w:r>
                  </w:p>
                </w:txbxContent>
              </v:textbox>
            </v:rect>
            <v:rect id="_x0000_s5364" style="position:absolute;left:2844;top:107;width:71;height:240;mso-wrap-style:none" filled="f" stroked="f">
              <v:textbox style="mso-next-textbox:#_x0000_s5364;mso-fit-shape-to-text:t" inset="0,0,0,0">
                <w:txbxContent>
                  <w:p w:rsidR="00A905B7" w:rsidRDefault="00A905B7">
                    <w:r>
                      <w:rPr>
                        <w:color w:val="000000"/>
                        <w:sz w:val="14"/>
                        <w:szCs w:val="14"/>
                      </w:rPr>
                      <w:t>2</w:t>
                    </w:r>
                  </w:p>
                </w:txbxContent>
              </v:textbox>
            </v:rect>
            <v:rect id="_x0000_s5365" style="position:absolute;left:966;top:558;width:71;height:240;mso-wrap-style:none" filled="f" stroked="f">
              <v:textbox style="mso-next-textbox:#_x0000_s5365;mso-fit-shape-to-text:t" inset="0,0,0,0">
                <w:txbxContent>
                  <w:p w:rsidR="00A905B7" w:rsidRDefault="00A905B7">
                    <w:r>
                      <w:rPr>
                        <w:color w:val="000000"/>
                        <w:sz w:val="14"/>
                        <w:szCs w:val="14"/>
                      </w:rPr>
                      <w:t>1</w:t>
                    </w:r>
                  </w:p>
                </w:txbxContent>
              </v:textbox>
            </v:rect>
            <v:rect id="_x0000_s5366" style="position:absolute;left:2192;top:333;width:71;height:240;mso-wrap-style:none" filled="f" stroked="f">
              <v:textbox style="mso-next-textbox:#_x0000_s5366;mso-fit-shape-to-text:t" inset="0,0,0,0">
                <w:txbxContent>
                  <w:p w:rsidR="00A905B7" w:rsidRDefault="00A905B7">
                    <w:r>
                      <w:rPr>
                        <w:color w:val="000000"/>
                        <w:sz w:val="14"/>
                        <w:szCs w:val="14"/>
                      </w:rPr>
                      <w:t>1</w:t>
                    </w:r>
                  </w:p>
                </w:txbxContent>
              </v:textbox>
            </v:rect>
            <v:rect id="_x0000_s5367" style="position:absolute;left:1703;top:333;width:71;height:240;mso-wrap-style:none" filled="f" stroked="f">
              <v:textbox style="mso-next-textbox:#_x0000_s5367;mso-fit-shape-to-text:t" inset="0,0,0,0">
                <w:txbxContent>
                  <w:p w:rsidR="00A905B7" w:rsidRDefault="00A905B7">
                    <w:r>
                      <w:rPr>
                        <w:color w:val="000000"/>
                        <w:sz w:val="14"/>
                        <w:szCs w:val="14"/>
                      </w:rPr>
                      <w:t>0</w:t>
                    </w:r>
                  </w:p>
                </w:txbxContent>
              </v:textbox>
            </v:rect>
            <v:rect id="_x0000_s5368" style="position:absolute;left:159;top:547;width:71;height:240;mso-wrap-style:none" filled="f" stroked="f">
              <v:textbox style="mso-next-textbox:#_x0000_s5368;mso-fit-shape-to-text:t" inset="0,0,0,0">
                <w:txbxContent>
                  <w:p w:rsidR="00A905B7" w:rsidRDefault="00A905B7">
                    <w:r>
                      <w:rPr>
                        <w:color w:val="000000"/>
                        <w:sz w:val="14"/>
                        <w:szCs w:val="14"/>
                      </w:rPr>
                      <w:t>2</w:t>
                    </w:r>
                  </w:p>
                </w:txbxContent>
              </v:textbox>
            </v:rect>
            <v:rect id="_x0000_s5369" style="position:absolute;left:477;top:566;width:101;height:240;mso-wrap-style:none" filled="f" stroked="f">
              <v:textbox style="mso-next-textbox:#_x0000_s5369;mso-fit-shape-to-text:t" inset="0,0,0,0">
                <w:txbxContent>
                  <w:p w:rsidR="00A905B7" w:rsidRDefault="00A905B7">
                    <w:r>
                      <w:rPr>
                        <w:color w:val="000000"/>
                        <w:szCs w:val="24"/>
                      </w:rPr>
                      <w:t>1</w:t>
                    </w:r>
                  </w:p>
                </w:txbxContent>
              </v:textbox>
            </v:rect>
            <w10:wrap type="none"/>
            <w10:anchorlock/>
          </v:group>
        </w:pict>
      </w:r>
      <w:r w:rsidRPr="00551C68">
        <w:rPr>
          <w:position w:val="70"/>
          <w:sz w:val="20"/>
        </w:rPr>
        <w:tab/>
        <w:t>(97)</w:t>
      </w:r>
    </w:p>
    <w:p w:rsidR="00002BA6" w:rsidRPr="00B04DC3" w:rsidRDefault="00002BA6" w:rsidP="00551C68">
      <w:pPr>
        <w:pStyle w:val="para"/>
        <w:keepNext/>
        <w:keepLines/>
        <w:rPr>
          <w:lang w:val="en-GB"/>
        </w:rPr>
      </w:pPr>
      <w:r w:rsidRPr="00B04DC3">
        <w:rPr>
          <w:lang w:val="en-GB"/>
        </w:rPr>
        <w:t>A.4.3.</w:t>
      </w:r>
      <w:r w:rsidRPr="00B04DC3">
        <w:rPr>
          <w:lang w:val="en-GB"/>
        </w:rPr>
        <w:tab/>
        <w:t>Determination of system equivalency</w:t>
      </w:r>
    </w:p>
    <w:p w:rsidR="00002BA6" w:rsidRPr="00B04DC3" w:rsidRDefault="00002BA6" w:rsidP="00551C68">
      <w:pPr>
        <w:pStyle w:val="para"/>
        <w:keepNext/>
        <w:keepLines/>
        <w:rPr>
          <w:lang w:val="en-GB"/>
        </w:rPr>
      </w:pPr>
      <w:r w:rsidRPr="00B04DC3">
        <w:rPr>
          <w:lang w:val="en-GB"/>
        </w:rPr>
        <w:tab/>
        <w:t>The determination of system equivalency according to paragraph 5.1.1. shall be based on a seven sample pair (or larger) correlation study between the candidate system and one of the accepted reference systems of this annex using the appropriate test cycle(s). The equivalency criteria to be applied shall be the F-test and the two-sided Student t-test.</w:t>
      </w:r>
    </w:p>
    <w:p w:rsidR="00002BA6" w:rsidRPr="00B04DC3" w:rsidRDefault="00002BA6" w:rsidP="00002BA6">
      <w:pPr>
        <w:pStyle w:val="para"/>
        <w:rPr>
          <w:lang w:val="en-GB"/>
        </w:rPr>
      </w:pPr>
      <w:r w:rsidRPr="00B04DC3">
        <w:rPr>
          <w:lang w:val="en-GB"/>
        </w:rPr>
        <w:tab/>
        <w:t>This statistical method examines the hypothesis that the sample standard deviation and sample mean value for an emission measured with the candidate system do not differ from the sample standard deviation and sample mean value for that emission measured with the reference system. The hypothesis shall be tested on the basis of a 10 per cent significance level of the F and t values. The critical F and t values for seven to ten sample pairs are given in Table 9. If the F and t values calculated according to the equation below are greater than the critical F and t values, the candidate system is not equivalent.</w:t>
      </w:r>
    </w:p>
    <w:p w:rsidR="00002BA6" w:rsidRPr="00B04DC3" w:rsidRDefault="00002BA6" w:rsidP="00002BA6">
      <w:pPr>
        <w:pStyle w:val="para"/>
        <w:rPr>
          <w:lang w:val="en-GB"/>
        </w:rPr>
      </w:pPr>
      <w:r w:rsidRPr="00B04DC3">
        <w:rPr>
          <w:lang w:val="en-GB"/>
        </w:rPr>
        <w:tab/>
        <w:t>The following procedure shall be followed. The subscripts R and C refer to the reference and candidate system, respectively:</w:t>
      </w:r>
    </w:p>
    <w:p w:rsidR="00002BA6" w:rsidRPr="00B04DC3" w:rsidRDefault="00002BA6" w:rsidP="00002BA6">
      <w:pPr>
        <w:pStyle w:val="a"/>
        <w:rPr>
          <w:lang w:val="en-GB"/>
        </w:rPr>
      </w:pPr>
      <w:r w:rsidRPr="00B04DC3">
        <w:rPr>
          <w:lang w:val="en-GB"/>
        </w:rPr>
        <w:t>(a)</w:t>
      </w:r>
      <w:r w:rsidRPr="00B04DC3">
        <w:rPr>
          <w:lang w:val="en-GB"/>
        </w:rPr>
        <w:tab/>
        <w:t>Conduct at least seven tests with the candidate and reference systems operated in parallel. The number of tests is referred to as n</w:t>
      </w:r>
      <w:r w:rsidRPr="00B04DC3">
        <w:rPr>
          <w:vertAlign w:val="subscript"/>
          <w:lang w:val="en-GB"/>
        </w:rPr>
        <w:t>R</w:t>
      </w:r>
      <w:r w:rsidRPr="00B04DC3">
        <w:rPr>
          <w:lang w:val="en-GB"/>
        </w:rPr>
        <w:t xml:space="preserve"> and n</w:t>
      </w:r>
      <w:r w:rsidRPr="00B04DC3">
        <w:rPr>
          <w:vertAlign w:val="subscript"/>
          <w:lang w:val="en-GB"/>
        </w:rPr>
        <w:t>C</w:t>
      </w:r>
      <w:r w:rsidRPr="00B04DC3">
        <w:rPr>
          <w:lang w:val="en-GB"/>
        </w:rPr>
        <w:t>;</w:t>
      </w:r>
    </w:p>
    <w:p w:rsidR="00002BA6" w:rsidRPr="00B04DC3" w:rsidRDefault="00002BA6" w:rsidP="00002BA6">
      <w:pPr>
        <w:pStyle w:val="a"/>
        <w:rPr>
          <w:lang w:val="en-GB"/>
        </w:rPr>
      </w:pPr>
      <w:r w:rsidRPr="00B04DC3">
        <w:rPr>
          <w:lang w:val="en-GB"/>
        </w:rPr>
        <w:t>(b)</w:t>
      </w:r>
      <w:r w:rsidRPr="00B04DC3">
        <w:rPr>
          <w:lang w:val="en-GB"/>
        </w:rPr>
        <w:tab/>
        <w:t xml:space="preserve">Calculate the mean values </w:t>
      </w:r>
      <w:r w:rsidR="00A905B7">
        <w:rPr>
          <w:position w:val="-10"/>
          <w:lang w:val="en-GB"/>
        </w:rPr>
        <w:pict>
          <v:shape id="_x0000_i1311" type="#_x0000_t75" style="width:17.4pt;height:18.6pt">
            <v:imagedata r:id="rId456" o:title=""/>
          </v:shape>
        </w:pict>
      </w:r>
      <w:r w:rsidRPr="00B04DC3">
        <w:rPr>
          <w:lang w:val="en-GB"/>
        </w:rPr>
        <w:t xml:space="preserve"> and </w:t>
      </w:r>
      <w:r w:rsidR="00A905B7">
        <w:rPr>
          <w:position w:val="-12"/>
          <w:lang w:val="en-GB"/>
        </w:rPr>
        <w:pict>
          <v:shape id="_x0000_i1312" type="#_x0000_t75" style="width:15.6pt;height:20.4pt">
            <v:imagedata r:id="rId457" o:title=""/>
          </v:shape>
        </w:pict>
      </w:r>
      <w:r w:rsidRPr="00B04DC3">
        <w:rPr>
          <w:lang w:val="en-GB"/>
        </w:rPr>
        <w:t xml:space="preserve"> and the standard deviations s</w:t>
      </w:r>
      <w:r w:rsidRPr="00B04DC3">
        <w:rPr>
          <w:vertAlign w:val="subscript"/>
          <w:lang w:val="en-GB"/>
        </w:rPr>
        <w:t>R</w:t>
      </w:r>
      <w:r w:rsidRPr="00B04DC3">
        <w:rPr>
          <w:lang w:val="en-GB"/>
        </w:rPr>
        <w:t xml:space="preserve"> and s</w:t>
      </w:r>
      <w:r w:rsidRPr="00B04DC3">
        <w:rPr>
          <w:vertAlign w:val="subscript"/>
          <w:lang w:val="en-GB"/>
        </w:rPr>
        <w:t>C</w:t>
      </w:r>
      <w:r w:rsidRPr="00B04DC3">
        <w:rPr>
          <w:lang w:val="en-GB"/>
        </w:rPr>
        <w:t>;</w:t>
      </w:r>
    </w:p>
    <w:p w:rsidR="00002BA6" w:rsidRPr="00B04DC3" w:rsidRDefault="00A905B7" w:rsidP="00002BA6">
      <w:pPr>
        <w:pStyle w:val="a"/>
        <w:rPr>
          <w:lang w:val="en-GB"/>
        </w:rPr>
      </w:pPr>
      <w:r>
        <w:rPr>
          <w:noProof/>
          <w:lang w:val="en-GB" w:eastAsia="en-GB"/>
        </w:rPr>
        <w:pict>
          <v:rect id="_x0000_s5375" style="position:absolute;left:0;text-align:left;margin-left:172.1pt;margin-top:17.75pt;width:3.55pt;height:12pt;z-index:251648000;mso-wrap-style:none" filled="f" stroked="f">
            <v:textbox style="mso-fit-shape-to-text:t" inset="0,0,0,0">
              <w:txbxContent>
                <w:p w:rsidR="00A905B7" w:rsidRDefault="00A905B7">
                  <w:r>
                    <w:rPr>
                      <w:color w:val="000000"/>
                      <w:sz w:val="14"/>
                      <w:szCs w:val="14"/>
                    </w:rPr>
                    <w:t>2</w:t>
                  </w:r>
                </w:p>
              </w:txbxContent>
            </v:textbox>
          </v:rect>
        </w:pict>
      </w:r>
      <w:r w:rsidR="00002BA6" w:rsidRPr="00B04DC3">
        <w:rPr>
          <w:lang w:val="en-GB"/>
        </w:rPr>
        <w:t>(c)</w:t>
      </w:r>
      <w:r w:rsidR="00002BA6" w:rsidRPr="00B04DC3">
        <w:rPr>
          <w:lang w:val="en-GB"/>
        </w:rPr>
        <w:tab/>
        <w:t>Calculate the F value, as follows:</w:t>
      </w:r>
    </w:p>
    <w:p w:rsidR="00002BA6" w:rsidRPr="0088419A" w:rsidRDefault="00A905B7" w:rsidP="00002BA6">
      <w:pPr>
        <w:pStyle w:val="i"/>
        <w:tabs>
          <w:tab w:val="right" w:pos="8505"/>
        </w:tabs>
        <w:rPr>
          <w:position w:val="40"/>
          <w:lang w:val="en-GB"/>
        </w:rPr>
      </w:pPr>
      <w:r>
        <w:rPr>
          <w:lang w:val="en-GB"/>
        </w:rPr>
      </w:r>
      <w:r>
        <w:rPr>
          <w:lang w:val="en-GB"/>
        </w:rPr>
        <w:pict>
          <v:group id="_x0000_s5370" editas="canvas" style="width:52pt;height:38.8pt;mso-position-horizontal-relative:char;mso-position-vertical-relative:line" coordsize="1040,776">
            <o:lock v:ext="edit" aspectratio="t"/>
            <v:shape id="_x0000_s5371" type="#_x0000_t75" style="position:absolute;width:1040;height:776" o:preferrelative="f">
              <v:fill o:detectmouseclick="t"/>
              <v:path o:extrusionok="t" o:connecttype="none"/>
              <o:lock v:ext="edit" text="t"/>
            </v:shape>
            <v:line id="_x0000_s5372" style="position:absolute" from="475,400" to="981,400" strokeweight=".5pt"/>
            <v:rect id="_x0000_s5373" style="position:absolute;left:602;top:363;width:71;height:240;mso-wrap-style:none" filled="f" stroked="f">
              <v:textbox style="mso-fit-shape-to-text:t" inset="0,0,0,0">
                <w:txbxContent>
                  <w:p w:rsidR="00A905B7" w:rsidRDefault="00A905B7">
                    <w:r>
                      <w:rPr>
                        <w:color w:val="000000"/>
                        <w:sz w:val="14"/>
                        <w:szCs w:val="14"/>
                      </w:rPr>
                      <w:t>2</w:t>
                    </w:r>
                  </w:p>
                </w:txbxContent>
              </v:textbox>
            </v:rect>
            <v:rect id="_x0000_s5374" style="position:absolute;left:659;top:481;width:335;height:240;mso-wrap-style:none" filled="f" stroked="f">
              <v:textbox style="mso-fit-shape-to-text:t" inset="0,0,0,0">
                <w:txbxContent>
                  <w:p w:rsidR="00A905B7" w:rsidRDefault="00A905B7">
                    <w:r>
                      <w:rPr>
                        <w:color w:val="000000"/>
                        <w:sz w:val="14"/>
                        <w:szCs w:val="14"/>
                      </w:rPr>
                      <w:t>minor</w:t>
                    </w:r>
                  </w:p>
                </w:txbxContent>
              </v:textbox>
            </v:rect>
            <v:rect id="_x0000_s5376" style="position:absolute;left:664;top:111;width:327;height:240;mso-wrap-style:none" filled="f" stroked="f">
              <v:textbox style="mso-fit-shape-to-text:t" inset="0,0,0,0">
                <w:txbxContent>
                  <w:p w:rsidR="00A905B7" w:rsidRDefault="00A905B7">
                    <w:r>
                      <w:rPr>
                        <w:color w:val="000000"/>
                        <w:sz w:val="14"/>
                        <w:szCs w:val="14"/>
                      </w:rPr>
                      <w:t>major</w:t>
                    </w:r>
                  </w:p>
                </w:txbxContent>
              </v:textbox>
            </v:rect>
            <v:rect id="_x0000_s5377" style="position:absolute;left:495;top:438;width:78;height:240;mso-wrap-style:none" filled="f" stroked="f">
              <v:textbox style="mso-fit-shape-to-text:t" inset="0,0,0,0">
                <w:txbxContent>
                  <w:p w:rsidR="00A905B7" w:rsidRPr="003258AA" w:rsidRDefault="00A905B7">
                    <w:r w:rsidRPr="003258AA">
                      <w:rPr>
                        <w:iCs/>
                        <w:color w:val="000000"/>
                        <w:szCs w:val="24"/>
                      </w:rPr>
                      <w:t>s</w:t>
                    </w:r>
                  </w:p>
                </w:txbxContent>
              </v:textbox>
            </v:rect>
            <v:rect id="_x0000_s5378" style="position:absolute;left:499;top:58;width:78;height:240;mso-wrap-style:none" filled="f" stroked="f">
              <v:textbox style="mso-fit-shape-to-text:t" inset="0,0,0,0">
                <w:txbxContent>
                  <w:p w:rsidR="00A905B7" w:rsidRPr="003258AA" w:rsidRDefault="00A905B7">
                    <w:r w:rsidRPr="003258AA">
                      <w:rPr>
                        <w:iCs/>
                        <w:color w:val="000000"/>
                        <w:szCs w:val="24"/>
                      </w:rPr>
                      <w:t>s</w:t>
                    </w:r>
                  </w:p>
                </w:txbxContent>
              </v:textbox>
            </v:rect>
            <v:rect id="_x0000_s5379" style="position:absolute;left:44;top:246;width:112;height:240;mso-wrap-style:none" filled="f" stroked="f">
              <v:textbox style="mso-fit-shape-to-text:t" inset="0,0,0,0">
                <w:txbxContent>
                  <w:p w:rsidR="00A905B7" w:rsidRPr="003258AA" w:rsidRDefault="00A905B7">
                    <w:r w:rsidRPr="003258AA">
                      <w:rPr>
                        <w:iCs/>
                        <w:color w:val="000000"/>
                        <w:szCs w:val="24"/>
                      </w:rPr>
                      <w:t>F</w:t>
                    </w:r>
                  </w:p>
                </w:txbxContent>
              </v:textbox>
            </v:rect>
            <v:rect id="_x0000_s5380" style="position:absolute;left:276;top:219;width:110;height:245;mso-wrap-style:none" filled="f" stroked="f">
              <v:textbox style="mso-fit-shape-to-text:t" inset="0,0,0,0">
                <w:txbxContent>
                  <w:p w:rsidR="00A905B7" w:rsidRDefault="00A905B7">
                    <w:r>
                      <w:rPr>
                        <w:rFonts w:ascii="Symbol" w:hAnsi="Symbol" w:cs="Symbol"/>
                        <w:color w:val="000000"/>
                        <w:szCs w:val="24"/>
                      </w:rPr>
                      <w:t></w:t>
                    </w:r>
                  </w:p>
                </w:txbxContent>
              </v:textbox>
            </v:rect>
            <w10:wrap type="none"/>
            <w10:anchorlock/>
          </v:group>
        </w:pict>
      </w:r>
      <w:r w:rsidR="00002BA6" w:rsidRPr="0088419A">
        <w:rPr>
          <w:position w:val="40"/>
          <w:lang w:val="en-GB"/>
        </w:rPr>
        <w:tab/>
        <w:t>(98)</w:t>
      </w:r>
    </w:p>
    <w:p w:rsidR="00002BA6" w:rsidRPr="00B04DC3" w:rsidRDefault="00002BA6" w:rsidP="00002BA6">
      <w:pPr>
        <w:pStyle w:val="i"/>
        <w:ind w:left="2835" w:firstLine="0"/>
        <w:rPr>
          <w:lang w:val="en-GB"/>
        </w:rPr>
      </w:pPr>
      <w:r w:rsidRPr="00B04DC3">
        <w:rPr>
          <w:lang w:val="en-GB"/>
        </w:rPr>
        <w:t>(the greater of the two standard deviations s</w:t>
      </w:r>
      <w:r w:rsidRPr="00B04DC3">
        <w:rPr>
          <w:szCs w:val="24"/>
          <w:vertAlign w:val="subscript"/>
          <w:lang w:val="en-GB"/>
        </w:rPr>
        <w:t>R</w:t>
      </w:r>
      <w:r w:rsidRPr="00B04DC3">
        <w:rPr>
          <w:lang w:val="en-GB"/>
        </w:rPr>
        <w:t xml:space="preserve"> or s</w:t>
      </w:r>
      <w:r w:rsidRPr="00B04DC3">
        <w:rPr>
          <w:szCs w:val="24"/>
          <w:vertAlign w:val="subscript"/>
          <w:lang w:val="en-GB"/>
        </w:rPr>
        <w:t>C</w:t>
      </w:r>
      <w:r w:rsidRPr="00B04DC3">
        <w:rPr>
          <w:lang w:val="en-GB"/>
        </w:rPr>
        <w:t xml:space="preserve"> shall be in the numerator);</w:t>
      </w:r>
    </w:p>
    <w:p w:rsidR="00002BA6" w:rsidRPr="00B04DC3" w:rsidRDefault="00002BA6" w:rsidP="00002BA6">
      <w:pPr>
        <w:pStyle w:val="a"/>
        <w:rPr>
          <w:lang w:val="en-GB"/>
        </w:rPr>
      </w:pPr>
      <w:r w:rsidRPr="00B04DC3">
        <w:rPr>
          <w:lang w:val="en-GB"/>
        </w:rPr>
        <w:t>(d)</w:t>
      </w:r>
      <w:r w:rsidRPr="00B04DC3">
        <w:rPr>
          <w:lang w:val="en-GB"/>
        </w:rPr>
        <w:tab/>
        <w:t>Calculate the t value, as follows:</w:t>
      </w:r>
    </w:p>
    <w:p w:rsidR="00002BA6" w:rsidRPr="00B04DC3" w:rsidRDefault="00002BA6" w:rsidP="00002BA6">
      <w:pPr>
        <w:pStyle w:val="i"/>
        <w:tabs>
          <w:tab w:val="right" w:pos="8505"/>
        </w:tabs>
        <w:rPr>
          <w:lang w:val="en-GB"/>
        </w:rPr>
      </w:pPr>
      <w:r w:rsidRPr="00B04DC3">
        <w:rPr>
          <w:position w:val="-36"/>
          <w:lang w:val="en-GB"/>
        </w:rPr>
        <w:object w:dxaOrig="2020" w:dyaOrig="859">
          <v:shape id="_x0000_i1314" type="#_x0000_t75" style="width:101.4pt;height:42.6pt" o:ole="" fillcolor="window">
            <v:imagedata r:id="rId458" o:title=""/>
          </v:shape>
          <o:OLEObject Type="Embed" ProgID="Equation.3" ShapeID="_x0000_i1314" DrawAspect="Content" ObjectID="_1498392374" r:id="rId459"/>
        </w:object>
      </w:r>
      <w:r w:rsidRPr="00B04DC3">
        <w:rPr>
          <w:lang w:val="en-GB"/>
        </w:rPr>
        <w:tab/>
        <w:t>(99)</w:t>
      </w:r>
    </w:p>
    <w:p w:rsidR="00002BA6" w:rsidRPr="00B04DC3" w:rsidRDefault="00002BA6" w:rsidP="00002BA6">
      <w:pPr>
        <w:pStyle w:val="a"/>
        <w:rPr>
          <w:lang w:val="en-GB"/>
        </w:rPr>
      </w:pPr>
      <w:r w:rsidRPr="00B04DC3">
        <w:rPr>
          <w:lang w:val="en-GB"/>
        </w:rPr>
        <w:t>(e)</w:t>
      </w:r>
      <w:r w:rsidRPr="00B04DC3">
        <w:rPr>
          <w:lang w:val="en-GB"/>
        </w:rPr>
        <w:tab/>
        <w:t>Compare the calculated F and t values with the critical F and t values corresponding to the respective number of tests indicated in Table 9. If larger sample sizes are selected, consult statistical tables for 10 per cent significance (90 per cent confidence) level;</w:t>
      </w:r>
    </w:p>
    <w:p w:rsidR="00002BA6" w:rsidRPr="00B04DC3" w:rsidRDefault="00002BA6" w:rsidP="00002BA6">
      <w:pPr>
        <w:pStyle w:val="a"/>
        <w:rPr>
          <w:lang w:val="en-GB"/>
        </w:rPr>
      </w:pPr>
      <w:r w:rsidRPr="00B04DC3">
        <w:rPr>
          <w:lang w:val="en-GB"/>
        </w:rPr>
        <w:t>(f)</w:t>
      </w:r>
      <w:r w:rsidRPr="00B04DC3">
        <w:rPr>
          <w:lang w:val="en-GB"/>
        </w:rPr>
        <w:tab/>
        <w:t>Determine the degrees of freedom (df), as follows:</w:t>
      </w:r>
    </w:p>
    <w:p w:rsidR="00002BA6" w:rsidRPr="00B04DC3" w:rsidRDefault="00002BA6" w:rsidP="00002BA6">
      <w:pPr>
        <w:pStyle w:val="i"/>
        <w:rPr>
          <w:lang w:val="en-GB"/>
        </w:rPr>
      </w:pPr>
      <w:r w:rsidRPr="00B04DC3">
        <w:rPr>
          <w:lang w:val="en-GB"/>
        </w:rPr>
        <w:t>For the F-test:</w:t>
      </w:r>
      <w:r w:rsidRPr="00B04DC3">
        <w:rPr>
          <w:lang w:val="en-GB"/>
        </w:rPr>
        <w:tab/>
      </w:r>
      <w:r w:rsidRPr="00B04DC3">
        <w:rPr>
          <w:lang w:val="en-GB"/>
        </w:rPr>
        <w:tab/>
        <w:t>df</w:t>
      </w:r>
      <w:r w:rsidRPr="00CC2FA9">
        <w:rPr>
          <w:vertAlign w:val="subscript"/>
          <w:lang w:val="en-GB"/>
        </w:rPr>
        <w:t>1</w:t>
      </w:r>
      <w:r w:rsidRPr="00B04DC3">
        <w:rPr>
          <w:lang w:val="en-GB"/>
        </w:rPr>
        <w:t xml:space="preserve"> = n</w:t>
      </w:r>
      <w:r w:rsidRPr="00B04DC3">
        <w:rPr>
          <w:vertAlign w:val="subscript"/>
          <w:lang w:val="en-GB"/>
        </w:rPr>
        <w:t>R</w:t>
      </w:r>
      <w:r w:rsidRPr="00B04DC3">
        <w:rPr>
          <w:lang w:val="en-GB"/>
        </w:rPr>
        <w:t xml:space="preserve"> –1, df</w:t>
      </w:r>
      <w:r w:rsidRPr="00CC2FA9">
        <w:rPr>
          <w:vertAlign w:val="subscript"/>
          <w:lang w:val="en-GB"/>
        </w:rPr>
        <w:t>2</w:t>
      </w:r>
      <w:r w:rsidRPr="00B04DC3">
        <w:rPr>
          <w:lang w:val="en-GB"/>
        </w:rPr>
        <w:t xml:space="preserve"> = n</w:t>
      </w:r>
      <w:r w:rsidRPr="00B04DC3">
        <w:rPr>
          <w:vertAlign w:val="subscript"/>
          <w:lang w:val="en-GB"/>
        </w:rPr>
        <w:t>C</w:t>
      </w:r>
      <w:r w:rsidRPr="00B04DC3">
        <w:rPr>
          <w:lang w:val="en-GB"/>
        </w:rPr>
        <w:t xml:space="preserve"> –1</w:t>
      </w:r>
      <w:r w:rsidRPr="00B04DC3">
        <w:rPr>
          <w:lang w:val="en-GB"/>
        </w:rPr>
        <w:tab/>
      </w:r>
      <w:r w:rsidRPr="00B04DC3">
        <w:rPr>
          <w:lang w:val="en-GB"/>
        </w:rPr>
        <w:tab/>
      </w:r>
      <w:r w:rsidRPr="00B04DC3">
        <w:rPr>
          <w:lang w:val="en-GB"/>
        </w:rPr>
        <w:tab/>
        <w:t>(100)</w:t>
      </w:r>
    </w:p>
    <w:p w:rsidR="00002BA6" w:rsidRPr="00B04DC3" w:rsidRDefault="00002BA6" w:rsidP="00002BA6">
      <w:pPr>
        <w:pStyle w:val="i"/>
        <w:rPr>
          <w:lang w:val="en-GB"/>
        </w:rPr>
      </w:pPr>
      <w:r w:rsidRPr="00B04DC3">
        <w:rPr>
          <w:lang w:val="en-GB"/>
        </w:rPr>
        <w:t>For the t-test:</w:t>
      </w:r>
      <w:r w:rsidRPr="00B04DC3">
        <w:rPr>
          <w:lang w:val="en-GB"/>
        </w:rPr>
        <w:tab/>
      </w:r>
      <w:r w:rsidRPr="00B04DC3">
        <w:rPr>
          <w:lang w:val="en-GB"/>
        </w:rPr>
        <w:tab/>
        <w:t>df = (n</w:t>
      </w:r>
      <w:r w:rsidRPr="00B04DC3">
        <w:rPr>
          <w:vertAlign w:val="subscript"/>
          <w:lang w:val="en-GB"/>
        </w:rPr>
        <w:t>C</w:t>
      </w:r>
      <w:r w:rsidRPr="00B04DC3">
        <w:rPr>
          <w:lang w:val="en-GB"/>
        </w:rPr>
        <w:t xml:space="preserve"> + n</w:t>
      </w:r>
      <w:r w:rsidRPr="00B04DC3">
        <w:rPr>
          <w:vertAlign w:val="subscript"/>
          <w:lang w:val="en-GB"/>
        </w:rPr>
        <w:t>R</w:t>
      </w:r>
      <w:r w:rsidRPr="00B04DC3">
        <w:rPr>
          <w:lang w:val="en-GB"/>
        </w:rPr>
        <w:t xml:space="preserve"> –2)/2</w:t>
      </w:r>
      <w:r w:rsidRPr="00B04DC3">
        <w:rPr>
          <w:lang w:val="en-GB"/>
        </w:rPr>
        <w:tab/>
      </w:r>
      <w:r w:rsidRPr="00B04DC3">
        <w:rPr>
          <w:lang w:val="en-GB"/>
        </w:rPr>
        <w:tab/>
      </w:r>
      <w:r w:rsidRPr="00B04DC3">
        <w:rPr>
          <w:lang w:val="en-GB"/>
        </w:rPr>
        <w:tab/>
      </w:r>
      <w:r w:rsidRPr="00B04DC3">
        <w:rPr>
          <w:lang w:val="en-GB"/>
        </w:rPr>
        <w:tab/>
        <w:t>(101)</w:t>
      </w:r>
    </w:p>
    <w:p w:rsidR="00002BA6" w:rsidRPr="00B04DC3" w:rsidRDefault="00002BA6" w:rsidP="00002BA6">
      <w:pPr>
        <w:pStyle w:val="a"/>
        <w:rPr>
          <w:lang w:val="en-GB"/>
        </w:rPr>
      </w:pPr>
      <w:r w:rsidRPr="00B04DC3">
        <w:rPr>
          <w:lang w:val="en-GB"/>
        </w:rPr>
        <w:t>(g)</w:t>
      </w:r>
      <w:r w:rsidRPr="00B04DC3">
        <w:rPr>
          <w:lang w:val="en-GB"/>
        </w:rPr>
        <w:tab/>
        <w:t>Determine the equivalency, as follows:</w:t>
      </w:r>
    </w:p>
    <w:p w:rsidR="00002BA6" w:rsidRPr="00B04DC3" w:rsidRDefault="00002BA6" w:rsidP="00002BA6">
      <w:pPr>
        <w:pStyle w:val="i"/>
        <w:rPr>
          <w:lang w:val="en-GB"/>
        </w:rPr>
      </w:pPr>
      <w:r w:rsidRPr="00B04DC3">
        <w:rPr>
          <w:lang w:val="en-GB"/>
        </w:rPr>
        <w:t>(i)</w:t>
      </w:r>
      <w:r w:rsidRPr="00B04DC3">
        <w:rPr>
          <w:lang w:val="en-GB"/>
        </w:rPr>
        <w:tab/>
        <w:t>If F &lt; F</w:t>
      </w:r>
      <w:r w:rsidRPr="00B04DC3">
        <w:rPr>
          <w:vertAlign w:val="subscript"/>
          <w:lang w:val="en-GB"/>
        </w:rPr>
        <w:t>crit</w:t>
      </w:r>
      <w:r w:rsidRPr="00B04DC3">
        <w:rPr>
          <w:lang w:val="en-GB"/>
        </w:rPr>
        <w:t xml:space="preserve"> and t &lt; t</w:t>
      </w:r>
      <w:r w:rsidRPr="00B04DC3">
        <w:rPr>
          <w:vertAlign w:val="subscript"/>
          <w:lang w:val="en-GB"/>
        </w:rPr>
        <w:t>crit</w:t>
      </w:r>
      <w:r w:rsidRPr="00B04DC3">
        <w:rPr>
          <w:lang w:val="en-GB"/>
        </w:rPr>
        <w:t>, then the candidate system is equivalent to the reference system of this annex;</w:t>
      </w:r>
    </w:p>
    <w:p w:rsidR="00002BA6" w:rsidRPr="00B04DC3" w:rsidRDefault="00002BA6" w:rsidP="00002BA6">
      <w:pPr>
        <w:pStyle w:val="i"/>
        <w:rPr>
          <w:lang w:val="en-GB"/>
        </w:rPr>
      </w:pPr>
      <w:r w:rsidRPr="00B04DC3">
        <w:rPr>
          <w:lang w:val="en-GB"/>
        </w:rPr>
        <w:t>(ii)</w:t>
      </w:r>
      <w:r w:rsidRPr="00B04DC3">
        <w:rPr>
          <w:lang w:val="en-GB"/>
        </w:rPr>
        <w:tab/>
        <w:t xml:space="preserve">If F </w:t>
      </w:r>
      <w:r w:rsidRPr="00B04DC3">
        <w:rPr>
          <w:lang w:val="en-GB"/>
        </w:rPr>
        <w:sym w:font="Symbol" w:char="F0B3"/>
      </w:r>
      <w:r w:rsidRPr="00B04DC3">
        <w:rPr>
          <w:lang w:val="en-GB"/>
        </w:rPr>
        <w:t xml:space="preserve"> F</w:t>
      </w:r>
      <w:r w:rsidRPr="00B04DC3">
        <w:rPr>
          <w:vertAlign w:val="subscript"/>
          <w:lang w:val="en-GB"/>
        </w:rPr>
        <w:t>crit</w:t>
      </w:r>
      <w:r w:rsidRPr="00B04DC3">
        <w:rPr>
          <w:lang w:val="en-GB"/>
        </w:rPr>
        <w:t xml:space="preserve"> or t </w:t>
      </w:r>
      <w:r w:rsidRPr="00B04DC3">
        <w:rPr>
          <w:lang w:val="en-GB"/>
        </w:rPr>
        <w:sym w:font="Symbol" w:char="F0B3"/>
      </w:r>
      <w:r w:rsidRPr="00B04DC3">
        <w:rPr>
          <w:lang w:val="en-GB"/>
        </w:rPr>
        <w:t xml:space="preserve"> t</w:t>
      </w:r>
      <w:r w:rsidRPr="00B04DC3">
        <w:rPr>
          <w:vertAlign w:val="subscript"/>
          <w:lang w:val="en-GB"/>
        </w:rPr>
        <w:t>crit</w:t>
      </w:r>
      <w:r w:rsidRPr="00B04DC3">
        <w:rPr>
          <w:lang w:val="en-GB"/>
        </w:rPr>
        <w:t>, then the candidate system is different from the reference system of this annex.</w:t>
      </w:r>
    </w:p>
    <w:p w:rsidR="00002BA6" w:rsidRPr="00B04DC3" w:rsidRDefault="00002BA6" w:rsidP="00002BA6">
      <w:pPr>
        <w:pStyle w:val="Heading1"/>
        <w:keepNext/>
        <w:keepLines/>
      </w:pPr>
      <w:bookmarkStart w:id="638" w:name="_Toc399940044"/>
      <w:bookmarkStart w:id="639" w:name="_Toc423599631"/>
      <w:bookmarkStart w:id="640" w:name="_Toc423611039"/>
      <w:r w:rsidRPr="00B04DC3">
        <w:t>Table 9</w:t>
      </w:r>
      <w:bookmarkEnd w:id="638"/>
      <w:bookmarkEnd w:id="639"/>
      <w:bookmarkEnd w:id="640"/>
    </w:p>
    <w:p w:rsidR="00002BA6" w:rsidRPr="00B04DC3" w:rsidRDefault="00A37515" w:rsidP="00002BA6">
      <w:pPr>
        <w:pStyle w:val="Heading1"/>
        <w:keepNext/>
        <w:keepLines/>
        <w:rPr>
          <w:b/>
        </w:rPr>
      </w:pPr>
      <w:bookmarkStart w:id="641" w:name="_Toc399940045"/>
      <w:bookmarkStart w:id="642" w:name="_Toc423599632"/>
      <w:bookmarkStart w:id="643" w:name="_Toc423611040"/>
      <w:r w:rsidRPr="00BB4DCD">
        <w:rPr>
          <w:b/>
        </w:rPr>
        <w:t>F and t</w:t>
      </w:r>
      <w:r w:rsidR="00002BA6" w:rsidRPr="00B04DC3">
        <w:rPr>
          <w:b/>
        </w:rPr>
        <w:t xml:space="preserve"> values for selected sample sizes</w:t>
      </w:r>
      <w:bookmarkEnd w:id="641"/>
      <w:bookmarkEnd w:id="642"/>
      <w:bookmarkEnd w:id="643"/>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8"/>
        <w:gridCol w:w="1637"/>
        <w:gridCol w:w="1366"/>
        <w:gridCol w:w="1365"/>
        <w:gridCol w:w="1365"/>
      </w:tblGrid>
      <w:tr w:rsidR="00002BA6" w:rsidRPr="00B04DC3" w:rsidTr="00A37515">
        <w:tc>
          <w:tcPr>
            <w:tcW w:w="1701" w:type="dxa"/>
            <w:tcBorders>
              <w:bottom w:val="single" w:sz="12" w:space="0" w:color="auto"/>
            </w:tcBorders>
          </w:tcPr>
          <w:p w:rsidR="00002BA6" w:rsidRPr="00B04DC3" w:rsidRDefault="00002BA6" w:rsidP="00A37515">
            <w:pPr>
              <w:keepNext/>
              <w:tabs>
                <w:tab w:val="left" w:pos="8789"/>
              </w:tabs>
              <w:spacing w:before="80" w:after="80" w:line="200" w:lineRule="exact"/>
              <w:jc w:val="center"/>
              <w:rPr>
                <w:i/>
                <w:sz w:val="16"/>
                <w:szCs w:val="16"/>
              </w:rPr>
            </w:pPr>
            <w:r w:rsidRPr="00B04DC3">
              <w:rPr>
                <w:i/>
                <w:sz w:val="16"/>
                <w:szCs w:val="16"/>
              </w:rPr>
              <w:t xml:space="preserve">Sample </w:t>
            </w:r>
            <w:r w:rsidR="00A37515">
              <w:rPr>
                <w:i/>
                <w:sz w:val="16"/>
                <w:szCs w:val="16"/>
              </w:rPr>
              <w:t>s</w:t>
            </w:r>
            <w:r w:rsidR="00A37515" w:rsidRPr="00B04DC3">
              <w:rPr>
                <w:i/>
                <w:sz w:val="16"/>
                <w:szCs w:val="16"/>
              </w:rPr>
              <w:t>ize</w:t>
            </w:r>
          </w:p>
        </w:tc>
        <w:tc>
          <w:tcPr>
            <w:tcW w:w="1701" w:type="dxa"/>
            <w:tcBorders>
              <w:bottom w:val="single" w:sz="12" w:space="0" w:color="auto"/>
              <w:right w:val="nil"/>
            </w:tcBorders>
          </w:tcPr>
          <w:p w:rsidR="00002BA6" w:rsidRPr="00B04DC3" w:rsidRDefault="00002BA6" w:rsidP="00002BA6">
            <w:pPr>
              <w:keepNext/>
              <w:tabs>
                <w:tab w:val="left" w:pos="8789"/>
              </w:tabs>
              <w:spacing w:before="80" w:after="80" w:line="200" w:lineRule="exact"/>
              <w:jc w:val="center"/>
              <w:rPr>
                <w:i/>
                <w:sz w:val="16"/>
                <w:szCs w:val="16"/>
              </w:rPr>
            </w:pPr>
            <w:r w:rsidRPr="00B04DC3">
              <w:rPr>
                <w:i/>
                <w:sz w:val="16"/>
                <w:szCs w:val="16"/>
              </w:rPr>
              <w:t>F-test</w:t>
            </w:r>
          </w:p>
        </w:tc>
        <w:tc>
          <w:tcPr>
            <w:tcW w:w="1418" w:type="dxa"/>
            <w:tcBorders>
              <w:left w:val="nil"/>
              <w:bottom w:val="single" w:sz="12" w:space="0" w:color="auto"/>
            </w:tcBorders>
          </w:tcPr>
          <w:p w:rsidR="00002BA6" w:rsidRPr="00B04DC3" w:rsidRDefault="00002BA6" w:rsidP="00002BA6">
            <w:pPr>
              <w:keepNext/>
              <w:tabs>
                <w:tab w:val="left" w:pos="8789"/>
              </w:tabs>
              <w:spacing w:before="80" w:after="80" w:line="200" w:lineRule="exact"/>
              <w:jc w:val="center"/>
              <w:rPr>
                <w:i/>
                <w:sz w:val="16"/>
                <w:szCs w:val="16"/>
              </w:rPr>
            </w:pPr>
          </w:p>
        </w:tc>
        <w:tc>
          <w:tcPr>
            <w:tcW w:w="1417" w:type="dxa"/>
            <w:tcBorders>
              <w:bottom w:val="single" w:sz="12" w:space="0" w:color="auto"/>
              <w:right w:val="nil"/>
            </w:tcBorders>
          </w:tcPr>
          <w:p w:rsidR="00002BA6" w:rsidRPr="00B04DC3" w:rsidRDefault="00002BA6" w:rsidP="00002BA6">
            <w:pPr>
              <w:keepNext/>
              <w:tabs>
                <w:tab w:val="left" w:pos="8789"/>
              </w:tabs>
              <w:spacing w:before="80" w:after="80" w:line="200" w:lineRule="exact"/>
              <w:jc w:val="center"/>
              <w:rPr>
                <w:i/>
                <w:sz w:val="16"/>
                <w:szCs w:val="16"/>
              </w:rPr>
            </w:pPr>
            <w:r w:rsidRPr="00B04DC3">
              <w:rPr>
                <w:i/>
                <w:sz w:val="16"/>
                <w:szCs w:val="16"/>
              </w:rPr>
              <w:t>t-test</w:t>
            </w:r>
          </w:p>
        </w:tc>
        <w:tc>
          <w:tcPr>
            <w:tcW w:w="1417" w:type="dxa"/>
            <w:tcBorders>
              <w:left w:val="nil"/>
              <w:bottom w:val="single" w:sz="12" w:space="0" w:color="auto"/>
            </w:tcBorders>
          </w:tcPr>
          <w:p w:rsidR="00002BA6" w:rsidRPr="00B04DC3" w:rsidRDefault="00002BA6" w:rsidP="00002BA6">
            <w:pPr>
              <w:keepNext/>
              <w:tabs>
                <w:tab w:val="left" w:pos="8789"/>
              </w:tabs>
              <w:spacing w:before="80" w:after="80" w:line="200" w:lineRule="exact"/>
              <w:jc w:val="center"/>
              <w:rPr>
                <w:i/>
                <w:sz w:val="16"/>
                <w:szCs w:val="16"/>
              </w:rPr>
            </w:pPr>
          </w:p>
        </w:tc>
      </w:tr>
      <w:tr w:rsidR="00002BA6" w:rsidRPr="00B04DC3" w:rsidTr="00A37515">
        <w:tc>
          <w:tcPr>
            <w:tcW w:w="1701" w:type="dxa"/>
            <w:tcBorders>
              <w:top w:val="single" w:sz="12" w:space="0" w:color="auto"/>
            </w:tcBorders>
          </w:tcPr>
          <w:p w:rsidR="00002BA6" w:rsidRPr="00B04DC3" w:rsidRDefault="00002BA6" w:rsidP="00002BA6">
            <w:pPr>
              <w:keepNext/>
              <w:tabs>
                <w:tab w:val="left" w:pos="8789"/>
              </w:tabs>
              <w:spacing w:before="60" w:after="60"/>
              <w:jc w:val="center"/>
              <w:rPr>
                <w:sz w:val="18"/>
                <w:szCs w:val="18"/>
              </w:rPr>
            </w:pPr>
          </w:p>
        </w:tc>
        <w:tc>
          <w:tcPr>
            <w:tcW w:w="1701" w:type="dxa"/>
            <w:tcBorders>
              <w:top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df</w:t>
            </w:r>
          </w:p>
        </w:tc>
        <w:tc>
          <w:tcPr>
            <w:tcW w:w="1418" w:type="dxa"/>
            <w:tcBorders>
              <w:top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F</w:t>
            </w:r>
            <w:r w:rsidRPr="00B04DC3">
              <w:rPr>
                <w:sz w:val="18"/>
                <w:szCs w:val="18"/>
                <w:vertAlign w:val="subscript"/>
              </w:rPr>
              <w:t>crit</w:t>
            </w:r>
          </w:p>
        </w:tc>
        <w:tc>
          <w:tcPr>
            <w:tcW w:w="1417" w:type="dxa"/>
            <w:tcBorders>
              <w:top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df</w:t>
            </w:r>
          </w:p>
        </w:tc>
        <w:tc>
          <w:tcPr>
            <w:tcW w:w="1417" w:type="dxa"/>
            <w:tcBorders>
              <w:top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t</w:t>
            </w:r>
            <w:r w:rsidRPr="00B04DC3">
              <w:rPr>
                <w:sz w:val="18"/>
                <w:szCs w:val="18"/>
                <w:vertAlign w:val="subscript"/>
              </w:rPr>
              <w:t>crit</w:t>
            </w:r>
          </w:p>
        </w:tc>
      </w:tr>
      <w:tr w:rsidR="00002BA6" w:rsidRPr="00B04DC3">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7</w:t>
            </w:r>
          </w:p>
        </w:tc>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6, 6</w:t>
            </w:r>
          </w:p>
        </w:tc>
        <w:tc>
          <w:tcPr>
            <w:tcW w:w="1418" w:type="dxa"/>
          </w:tcPr>
          <w:p w:rsidR="00002BA6" w:rsidRPr="00B04DC3" w:rsidRDefault="00002BA6" w:rsidP="00002BA6">
            <w:pPr>
              <w:keepNext/>
              <w:tabs>
                <w:tab w:val="left" w:pos="8789"/>
              </w:tabs>
              <w:spacing w:before="60" w:after="60"/>
              <w:jc w:val="center"/>
              <w:rPr>
                <w:sz w:val="18"/>
                <w:szCs w:val="18"/>
              </w:rPr>
            </w:pPr>
            <w:r w:rsidRPr="00B04DC3">
              <w:rPr>
                <w:sz w:val="18"/>
                <w:szCs w:val="18"/>
              </w:rPr>
              <w:t>3.055</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6</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1.943</w:t>
            </w:r>
          </w:p>
        </w:tc>
      </w:tr>
      <w:tr w:rsidR="00002BA6" w:rsidRPr="00B04DC3">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8</w:t>
            </w:r>
          </w:p>
        </w:tc>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7, 7</w:t>
            </w:r>
          </w:p>
        </w:tc>
        <w:tc>
          <w:tcPr>
            <w:tcW w:w="1418" w:type="dxa"/>
          </w:tcPr>
          <w:p w:rsidR="00002BA6" w:rsidRPr="00B04DC3" w:rsidRDefault="00002BA6" w:rsidP="00002BA6">
            <w:pPr>
              <w:keepNext/>
              <w:tabs>
                <w:tab w:val="left" w:pos="8789"/>
              </w:tabs>
              <w:spacing w:before="60" w:after="60"/>
              <w:jc w:val="center"/>
              <w:rPr>
                <w:sz w:val="18"/>
                <w:szCs w:val="18"/>
              </w:rPr>
            </w:pPr>
            <w:r w:rsidRPr="00B04DC3">
              <w:rPr>
                <w:sz w:val="18"/>
                <w:szCs w:val="18"/>
              </w:rPr>
              <w:t>2.785</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7</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1.895</w:t>
            </w:r>
          </w:p>
        </w:tc>
      </w:tr>
      <w:tr w:rsidR="00002BA6" w:rsidRPr="00B04DC3">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9</w:t>
            </w:r>
          </w:p>
        </w:tc>
        <w:tc>
          <w:tcPr>
            <w:tcW w:w="1701" w:type="dxa"/>
          </w:tcPr>
          <w:p w:rsidR="00002BA6" w:rsidRPr="00B04DC3" w:rsidRDefault="00002BA6" w:rsidP="00002BA6">
            <w:pPr>
              <w:keepNext/>
              <w:tabs>
                <w:tab w:val="left" w:pos="8789"/>
              </w:tabs>
              <w:spacing w:before="60" w:after="60"/>
              <w:jc w:val="center"/>
              <w:rPr>
                <w:sz w:val="18"/>
                <w:szCs w:val="18"/>
              </w:rPr>
            </w:pPr>
            <w:r w:rsidRPr="00B04DC3">
              <w:rPr>
                <w:sz w:val="18"/>
                <w:szCs w:val="18"/>
              </w:rPr>
              <w:t>8, 8</w:t>
            </w:r>
          </w:p>
        </w:tc>
        <w:tc>
          <w:tcPr>
            <w:tcW w:w="1418" w:type="dxa"/>
          </w:tcPr>
          <w:p w:rsidR="00002BA6" w:rsidRPr="00B04DC3" w:rsidRDefault="00002BA6" w:rsidP="00002BA6">
            <w:pPr>
              <w:keepNext/>
              <w:tabs>
                <w:tab w:val="left" w:pos="8789"/>
              </w:tabs>
              <w:spacing w:before="60" w:after="60"/>
              <w:jc w:val="center"/>
              <w:rPr>
                <w:sz w:val="18"/>
                <w:szCs w:val="18"/>
              </w:rPr>
            </w:pPr>
            <w:r w:rsidRPr="00B04DC3">
              <w:rPr>
                <w:sz w:val="18"/>
                <w:szCs w:val="18"/>
              </w:rPr>
              <w:t>2.589</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8</w:t>
            </w:r>
          </w:p>
        </w:tc>
        <w:tc>
          <w:tcPr>
            <w:tcW w:w="1417" w:type="dxa"/>
          </w:tcPr>
          <w:p w:rsidR="00002BA6" w:rsidRPr="00B04DC3" w:rsidRDefault="00002BA6" w:rsidP="00002BA6">
            <w:pPr>
              <w:keepNext/>
              <w:tabs>
                <w:tab w:val="left" w:pos="8789"/>
              </w:tabs>
              <w:spacing w:before="60" w:after="60"/>
              <w:jc w:val="center"/>
              <w:rPr>
                <w:sz w:val="18"/>
                <w:szCs w:val="18"/>
              </w:rPr>
            </w:pPr>
            <w:r w:rsidRPr="00B04DC3">
              <w:rPr>
                <w:sz w:val="18"/>
                <w:szCs w:val="18"/>
              </w:rPr>
              <w:t>1.860</w:t>
            </w:r>
          </w:p>
        </w:tc>
      </w:tr>
      <w:tr w:rsidR="00002BA6" w:rsidRPr="00B04DC3" w:rsidTr="00A37515">
        <w:tc>
          <w:tcPr>
            <w:tcW w:w="1701" w:type="dxa"/>
            <w:tcBorders>
              <w:bottom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10</w:t>
            </w:r>
          </w:p>
        </w:tc>
        <w:tc>
          <w:tcPr>
            <w:tcW w:w="1701" w:type="dxa"/>
            <w:tcBorders>
              <w:bottom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9, 9</w:t>
            </w:r>
          </w:p>
        </w:tc>
        <w:tc>
          <w:tcPr>
            <w:tcW w:w="1418" w:type="dxa"/>
            <w:tcBorders>
              <w:bottom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2.440</w:t>
            </w:r>
          </w:p>
        </w:tc>
        <w:tc>
          <w:tcPr>
            <w:tcW w:w="1417" w:type="dxa"/>
            <w:tcBorders>
              <w:bottom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9</w:t>
            </w:r>
          </w:p>
        </w:tc>
        <w:tc>
          <w:tcPr>
            <w:tcW w:w="1417" w:type="dxa"/>
            <w:tcBorders>
              <w:bottom w:val="single" w:sz="12" w:space="0" w:color="auto"/>
            </w:tcBorders>
          </w:tcPr>
          <w:p w:rsidR="00002BA6" w:rsidRPr="00B04DC3" w:rsidRDefault="00002BA6" w:rsidP="00002BA6">
            <w:pPr>
              <w:keepNext/>
              <w:tabs>
                <w:tab w:val="left" w:pos="8789"/>
              </w:tabs>
              <w:spacing w:before="60" w:after="60"/>
              <w:jc w:val="center"/>
              <w:rPr>
                <w:sz w:val="18"/>
                <w:szCs w:val="18"/>
              </w:rPr>
            </w:pPr>
            <w:r w:rsidRPr="00B04DC3">
              <w:rPr>
                <w:sz w:val="18"/>
                <w:szCs w:val="18"/>
              </w:rPr>
              <w:t>1.833</w:t>
            </w:r>
          </w:p>
        </w:tc>
      </w:tr>
    </w:tbl>
    <w:p w:rsidR="00002BA6" w:rsidRPr="00B04DC3" w:rsidRDefault="00002BA6" w:rsidP="00002BA6">
      <w:pPr>
        <w:tabs>
          <w:tab w:val="left" w:pos="1134"/>
          <w:tab w:val="left" w:pos="1701"/>
          <w:tab w:val="left" w:pos="2268"/>
          <w:tab w:val="left" w:pos="8789"/>
        </w:tabs>
        <w:jc w:val="center"/>
        <w:rPr>
          <w:u w:val="single"/>
        </w:rPr>
        <w:sectPr w:rsidR="00002BA6" w:rsidRPr="00B04DC3" w:rsidSect="002B5947">
          <w:headerReference w:type="even" r:id="rId460"/>
          <w:headerReference w:type="default" r:id="rId461"/>
          <w:footnotePr>
            <w:numRestart w:val="eachSect"/>
          </w:footnotePr>
          <w:endnotePr>
            <w:numFmt w:val="decimal"/>
          </w:endnotePr>
          <w:pgSz w:w="11907" w:h="16840" w:code="9"/>
          <w:pgMar w:top="1701" w:right="1134" w:bottom="2268" w:left="1134" w:header="1134" w:footer="1701" w:gutter="0"/>
          <w:cols w:space="720"/>
          <w:docGrid w:linePitch="360"/>
        </w:sectPr>
      </w:pPr>
    </w:p>
    <w:p w:rsidR="00002BA6" w:rsidRPr="00B04DC3" w:rsidRDefault="00002BA6" w:rsidP="00002BA6">
      <w:pPr>
        <w:tabs>
          <w:tab w:val="left" w:pos="1134"/>
          <w:tab w:val="left" w:pos="1701"/>
          <w:tab w:val="left" w:pos="2268"/>
          <w:tab w:val="left" w:pos="8789"/>
        </w:tabs>
        <w:jc w:val="center"/>
        <w:rPr>
          <w:u w:val="single"/>
        </w:rPr>
      </w:pPr>
    </w:p>
    <w:p w:rsidR="007C2EE6" w:rsidRDefault="007C2EE6" w:rsidP="00002BA6">
      <w:pPr>
        <w:pStyle w:val="HChG"/>
        <w:sectPr w:rsidR="007C2EE6" w:rsidSect="00002BA6">
          <w:headerReference w:type="even" r:id="rId462"/>
          <w:headerReference w:type="default" r:id="rId463"/>
          <w:headerReference w:type="first" r:id="rId464"/>
          <w:footerReference w:type="first" r:id="rId465"/>
          <w:footnotePr>
            <w:numRestart w:val="eachSect"/>
          </w:footnotePr>
          <w:endnotePr>
            <w:numFmt w:val="decimal"/>
          </w:endnotePr>
          <w:type w:val="continuous"/>
          <w:pgSz w:w="11907" w:h="16840" w:code="9"/>
          <w:pgMar w:top="1954" w:right="1134" w:bottom="2268" w:left="1134" w:header="1134" w:footer="1701" w:gutter="0"/>
          <w:cols w:space="720"/>
          <w:titlePg/>
        </w:sectPr>
      </w:pPr>
    </w:p>
    <w:p w:rsidR="00002BA6" w:rsidRPr="00B04DC3" w:rsidRDefault="00002BA6" w:rsidP="0088419A">
      <w:pPr>
        <w:pStyle w:val="HChG"/>
        <w:spacing w:after="360"/>
      </w:pPr>
      <w:bookmarkStart w:id="644" w:name="_Toc423599633"/>
      <w:bookmarkStart w:id="645" w:name="_Toc423611041"/>
      <w:r w:rsidRPr="00B04DC3">
        <w:t>Annex 4B</w:t>
      </w:r>
      <w:r w:rsidR="007C2EE6">
        <w:t xml:space="preserve"> - </w:t>
      </w:r>
      <w:r w:rsidRPr="00B04DC3">
        <w:t>Appendix 5</w:t>
      </w:r>
      <w:bookmarkEnd w:id="633"/>
      <w:bookmarkEnd w:id="644"/>
      <w:bookmarkEnd w:id="645"/>
    </w:p>
    <w:bookmarkEnd w:id="634"/>
    <w:bookmarkEnd w:id="635"/>
    <w:p w:rsidR="00002BA6" w:rsidRPr="007C2EE6" w:rsidRDefault="00002BA6" w:rsidP="0088419A">
      <w:pPr>
        <w:pStyle w:val="HChG"/>
        <w:spacing w:after="360"/>
      </w:pPr>
      <w:r w:rsidRPr="007C2EE6">
        <w:tab/>
      </w:r>
      <w:r w:rsidRPr="007C2EE6">
        <w:tab/>
      </w:r>
      <w:bookmarkStart w:id="646" w:name="_Toc423599634"/>
      <w:bookmarkStart w:id="647" w:name="_Toc423611042"/>
      <w:r w:rsidRPr="007C2EE6">
        <w:t>Carbon flow check</w:t>
      </w:r>
      <w:bookmarkEnd w:id="646"/>
      <w:bookmarkEnd w:id="647"/>
    </w:p>
    <w:p w:rsidR="00002BA6" w:rsidRPr="00B04DC3" w:rsidRDefault="00002BA6" w:rsidP="00002BA6">
      <w:pPr>
        <w:pStyle w:val="para"/>
        <w:rPr>
          <w:lang w:val="en-GB"/>
        </w:rPr>
      </w:pPr>
      <w:bookmarkStart w:id="648" w:name="_Toc111429338"/>
      <w:r w:rsidRPr="00B04DC3">
        <w:rPr>
          <w:lang w:val="en-GB"/>
        </w:rPr>
        <w:t>A.5.1.</w:t>
      </w:r>
      <w:r w:rsidRPr="00B04DC3">
        <w:rPr>
          <w:lang w:val="en-GB"/>
        </w:rPr>
        <w:tab/>
        <w:t>Introduction</w:t>
      </w:r>
      <w:bookmarkEnd w:id="648"/>
    </w:p>
    <w:p w:rsidR="00002BA6" w:rsidRPr="00B04DC3" w:rsidRDefault="00002BA6" w:rsidP="00002BA6">
      <w:pPr>
        <w:pStyle w:val="para"/>
        <w:ind w:firstLine="0"/>
        <w:rPr>
          <w:lang w:val="en-GB"/>
        </w:rPr>
      </w:pPr>
      <w:r w:rsidRPr="00B04DC3">
        <w:rPr>
          <w:lang w:val="en-GB"/>
        </w:rPr>
        <w:tab/>
        <w:t>All but a tiny part of the carbon in the exhaust comes from the fuel, and all but a minimal part of this is manifest in the exhaust gas as CO</w:t>
      </w:r>
      <w:r w:rsidRPr="00B04DC3">
        <w:rPr>
          <w:vertAlign w:val="subscript"/>
          <w:lang w:val="en-GB"/>
        </w:rPr>
        <w:t>2</w:t>
      </w:r>
      <w:r w:rsidRPr="00B04DC3">
        <w:rPr>
          <w:lang w:val="en-GB"/>
        </w:rPr>
        <w:t>. This is the basis for a system verification check based on CO</w:t>
      </w:r>
      <w:r w:rsidRPr="00B04DC3">
        <w:rPr>
          <w:vertAlign w:val="subscript"/>
          <w:lang w:val="en-GB"/>
        </w:rPr>
        <w:t>2</w:t>
      </w:r>
      <w:r w:rsidRPr="00B04DC3">
        <w:rPr>
          <w:lang w:val="en-GB"/>
        </w:rPr>
        <w:t xml:space="preserve"> measurements.</w:t>
      </w:r>
    </w:p>
    <w:p w:rsidR="00002BA6" w:rsidRPr="00B04DC3" w:rsidRDefault="00002BA6" w:rsidP="00002BA6">
      <w:pPr>
        <w:pStyle w:val="para"/>
        <w:ind w:firstLine="0"/>
        <w:rPr>
          <w:lang w:val="en-GB"/>
        </w:rPr>
      </w:pPr>
      <w:r w:rsidRPr="00B04DC3">
        <w:rPr>
          <w:lang w:val="en-GB"/>
        </w:rPr>
        <w:tab/>
        <w:t>The flow of carbon into the exhaust measurement systems is determined from the fuel flow rate. The flow of carbon at various sampling points in the emissions and particulate sampling systems is determined from the CO</w:t>
      </w:r>
      <w:r w:rsidRPr="00B04DC3">
        <w:rPr>
          <w:vertAlign w:val="subscript"/>
          <w:lang w:val="en-GB"/>
        </w:rPr>
        <w:t>2</w:t>
      </w:r>
      <w:r w:rsidRPr="00B04DC3">
        <w:rPr>
          <w:lang w:val="en-GB"/>
        </w:rPr>
        <w:t xml:space="preserve"> concentrations and gas flow rates at those points.</w:t>
      </w:r>
    </w:p>
    <w:p w:rsidR="00002BA6" w:rsidRPr="00B04DC3" w:rsidRDefault="00002BA6" w:rsidP="00002BA6">
      <w:pPr>
        <w:pStyle w:val="para"/>
        <w:ind w:firstLine="0"/>
        <w:rPr>
          <w:lang w:val="en-GB"/>
        </w:rPr>
      </w:pPr>
      <w:r w:rsidRPr="00B04DC3">
        <w:rPr>
          <w:lang w:val="en-GB"/>
        </w:rPr>
        <w:tab/>
        <w:t>In this sense, the engine provides a known source of carbon flow, and observing the same carbon flow in the exhaust pipe and at the outlet of the partial flow PM sampling system verifies leak integrity and flow measurement accuracy. This check has the advantage that the components are operating under actual engine test conditions of temperature and flow.</w:t>
      </w:r>
    </w:p>
    <w:p w:rsidR="00002BA6" w:rsidRPr="00B04DC3" w:rsidRDefault="00002BA6" w:rsidP="00002BA6">
      <w:pPr>
        <w:pStyle w:val="para"/>
        <w:ind w:firstLine="0"/>
        <w:rPr>
          <w:lang w:val="en-GB"/>
        </w:rPr>
      </w:pPr>
      <w:r w:rsidRPr="00B04DC3">
        <w:rPr>
          <w:lang w:val="en-GB"/>
        </w:rPr>
        <w:tab/>
        <w:t>Figure 18 shows the sampling points at which the carbon flows shall be checked. The specific equations for the carbon flows at each of the sample points are given below.</w:t>
      </w:r>
    </w:p>
    <w:p w:rsidR="00002BA6" w:rsidRPr="00B04DC3" w:rsidRDefault="00002BA6" w:rsidP="00002BA6">
      <w:pPr>
        <w:pStyle w:val="Heading1"/>
        <w:keepNext/>
        <w:keepLines/>
      </w:pPr>
      <w:bookmarkStart w:id="649" w:name="_Toc399940048"/>
      <w:bookmarkStart w:id="650" w:name="_Toc423599635"/>
      <w:bookmarkStart w:id="651" w:name="_Toc423611043"/>
      <w:r w:rsidRPr="00B04DC3">
        <w:t>Figure 18</w:t>
      </w:r>
      <w:bookmarkEnd w:id="649"/>
      <w:bookmarkEnd w:id="650"/>
      <w:bookmarkEnd w:id="651"/>
    </w:p>
    <w:p w:rsidR="00002BA6" w:rsidRPr="00B04DC3" w:rsidRDefault="00002BA6" w:rsidP="00002BA6">
      <w:pPr>
        <w:pStyle w:val="Heading1"/>
        <w:keepNext/>
        <w:keepLines/>
        <w:rPr>
          <w:b/>
        </w:rPr>
      </w:pPr>
      <w:bookmarkStart w:id="652" w:name="_Toc399940049"/>
      <w:bookmarkStart w:id="653" w:name="_Toc423599636"/>
      <w:bookmarkStart w:id="654" w:name="_Toc423611044"/>
      <w:r w:rsidRPr="00B04DC3">
        <w:rPr>
          <w:b/>
        </w:rPr>
        <w:t>Measuring points for carbon flow check</w:t>
      </w:r>
      <w:bookmarkEnd w:id="652"/>
      <w:bookmarkEnd w:id="653"/>
      <w:bookmarkEnd w:id="654"/>
    </w:p>
    <w:p w:rsidR="00002BA6" w:rsidRPr="00B04DC3" w:rsidRDefault="00A905B7" w:rsidP="00002BA6">
      <w:pPr>
        <w:tabs>
          <w:tab w:val="left" w:pos="1134"/>
          <w:tab w:val="left" w:pos="1701"/>
          <w:tab w:val="left" w:pos="2268"/>
          <w:tab w:val="left" w:pos="2835"/>
          <w:tab w:val="left" w:pos="8789"/>
        </w:tabs>
        <w:ind w:left="1134" w:hanging="1134"/>
        <w:jc w:val="center"/>
      </w:pPr>
      <w:r>
        <w:pict>
          <v:shape id="_x0000_i1315" type="#_x0000_t75" style="width:234.6pt;height:221.4pt" fillcolor="window">
            <v:imagedata r:id="rId466" o:title="" croptop="-3805f" cropbottom="-2158f" cropleft="-2227f" cropright="20244f"/>
          </v:shape>
        </w:pict>
      </w:r>
    </w:p>
    <w:p w:rsidR="00002BA6" w:rsidRPr="00B04DC3" w:rsidRDefault="00002BA6" w:rsidP="00002BA6">
      <w:pPr>
        <w:pStyle w:val="para"/>
        <w:rPr>
          <w:lang w:val="en-GB" w:eastAsia="ja-JP"/>
        </w:rPr>
      </w:pPr>
      <w:r w:rsidRPr="00B04DC3">
        <w:rPr>
          <w:lang w:val="en-GB" w:eastAsia="ja-JP"/>
        </w:rPr>
        <w:t>A.5.2.</w:t>
      </w:r>
      <w:r w:rsidRPr="00B04DC3">
        <w:rPr>
          <w:lang w:val="en-GB" w:eastAsia="ja-JP"/>
        </w:rPr>
        <w:tab/>
        <w:t>Carbon flow rate into the engine (location 1)</w:t>
      </w:r>
    </w:p>
    <w:p w:rsidR="00002BA6" w:rsidRPr="00B04DC3" w:rsidRDefault="00002BA6" w:rsidP="00002BA6">
      <w:pPr>
        <w:pStyle w:val="para"/>
        <w:ind w:firstLine="0"/>
        <w:rPr>
          <w:lang w:val="en-GB"/>
        </w:rPr>
      </w:pPr>
      <w:r w:rsidRPr="00B04DC3">
        <w:rPr>
          <w:lang w:val="en-GB" w:eastAsia="ja-JP"/>
        </w:rPr>
        <w:tab/>
      </w:r>
      <w:r w:rsidRPr="00B04DC3">
        <w:rPr>
          <w:lang w:val="en-GB"/>
        </w:rPr>
        <w:t>The carbon mass flow rate into the engine for a fuel CH</w:t>
      </w:r>
      <w:r w:rsidRPr="00B04DC3">
        <w:rPr>
          <w:rFonts w:ascii="Symbol" w:hAnsi="Symbol"/>
          <w:vertAlign w:val="subscript"/>
          <w:lang w:val="en-GB"/>
        </w:rPr>
        <w:t></w:t>
      </w:r>
      <w:r w:rsidRPr="00B04DC3">
        <w:rPr>
          <w:lang w:val="en-GB"/>
        </w:rPr>
        <w:t>O</w:t>
      </w:r>
      <w:r w:rsidRPr="00B04DC3">
        <w:rPr>
          <w:rFonts w:ascii="Symbol" w:hAnsi="Symbol"/>
          <w:vertAlign w:val="subscript"/>
          <w:lang w:val="en-GB"/>
        </w:rPr>
        <w:t></w:t>
      </w:r>
      <w:r w:rsidRPr="00B04DC3">
        <w:rPr>
          <w:lang w:val="en-GB"/>
        </w:rPr>
        <w:t xml:space="preserve"> is given by:</w:t>
      </w:r>
    </w:p>
    <w:p w:rsidR="00002BA6" w:rsidRPr="0088419A" w:rsidRDefault="00A905B7" w:rsidP="00002BA6">
      <w:pPr>
        <w:pStyle w:val="i"/>
        <w:tabs>
          <w:tab w:val="right" w:pos="8505"/>
        </w:tabs>
        <w:ind w:hanging="1134"/>
        <w:rPr>
          <w:position w:val="40"/>
          <w:lang w:val="en-GB"/>
        </w:rPr>
      </w:pPr>
      <w:r>
        <w:rPr>
          <w:lang w:val="en-GB"/>
        </w:rPr>
      </w:r>
      <w:r>
        <w:rPr>
          <w:lang w:val="en-GB"/>
        </w:rPr>
        <w:pict>
          <v:group id="_x0000_s5381" editas="canvas" style="width:146.05pt;height:34.6pt;mso-position-horizontal-relative:char;mso-position-vertical-relative:line" coordsize="2921,692">
            <o:lock v:ext="edit" aspectratio="t"/>
            <v:shape id="_x0000_s5382" type="#_x0000_t75" style="position:absolute;width:2921;height:692" o:preferrelative="f">
              <v:fill o:detectmouseclick="t"/>
              <v:path o:extrusionok="t" o:connecttype="none"/>
              <o:lock v:ext="edit" text="t"/>
            </v:shape>
            <v:line id="_x0000_s5383" style="position:absolute" from="727,320" to="2034,320" strokeweight=".5pt"/>
            <v:rect id="_x0000_s5384" style="position:absolute;left:2357;top:260;width:192;height:240" filled="f" stroked="f">
              <v:textbox style="mso-fit-shape-to-text:t" inset="0,0,0,0">
                <w:txbxContent>
                  <w:p w:rsidR="00A905B7" w:rsidRPr="009C5281" w:rsidRDefault="00A905B7">
                    <w:r w:rsidRPr="009C5281">
                      <w:rPr>
                        <w:iCs/>
                        <w:color w:val="000000"/>
                        <w:sz w:val="14"/>
                        <w:szCs w:val="14"/>
                      </w:rPr>
                      <w:t>mf</w:t>
                    </w:r>
                  </w:p>
                </w:txbxContent>
              </v:textbox>
            </v:rect>
            <v:rect id="_x0000_s5385" style="position:absolute;left:145;top:249;width:352;height:240" filled="f" stroked="f">
              <v:textbox style="mso-fit-shape-to-text:t" inset="0,0,0,0">
                <w:txbxContent>
                  <w:p w:rsidR="00A905B7" w:rsidRPr="009C5281" w:rsidRDefault="00A905B7">
                    <w:r w:rsidRPr="009C5281">
                      <w:rPr>
                        <w:iCs/>
                        <w:color w:val="000000"/>
                        <w:sz w:val="14"/>
                        <w:szCs w:val="14"/>
                      </w:rPr>
                      <w:t>mCf</w:t>
                    </w:r>
                  </w:p>
                </w:txbxContent>
              </v:textbox>
            </v:rect>
            <v:rect id="_x0000_s5386" style="position:absolute;left:2248;top:166;width:101;height:240;mso-wrap-style:none" filled="f" stroked="f">
              <v:textbox style="mso-fit-shape-to-text:t" inset="0,0,0,0">
                <w:txbxContent>
                  <w:p w:rsidR="00A905B7" w:rsidRPr="009C5281" w:rsidRDefault="00A905B7">
                    <w:r w:rsidRPr="009C5281">
                      <w:rPr>
                        <w:iCs/>
                        <w:color w:val="000000"/>
                        <w:szCs w:val="24"/>
                      </w:rPr>
                      <w:t>q</w:t>
                    </w:r>
                  </w:p>
                </w:txbxContent>
              </v:textbox>
            </v:rect>
            <v:rect id="_x0000_s5387" style="position:absolute;left:1921;top:354;width:84;height:240;mso-wrap-style:none" filled="f" stroked="f">
              <v:textbox style="mso-fit-shape-to-text:t" inset="0,0,0,0">
                <w:txbxContent>
                  <w:p w:rsidR="00A905B7" w:rsidRPr="009C5281" w:rsidRDefault="00A905B7">
                    <w:r w:rsidRPr="009C5281">
                      <w:rPr>
                        <w:iCs/>
                        <w:color w:val="000000"/>
                        <w:szCs w:val="24"/>
                      </w:rPr>
                      <w:t>ε</w:t>
                    </w:r>
                  </w:p>
                </w:txbxContent>
              </v:textbox>
            </v:rect>
            <v:rect id="_x0000_s5388" style="position:absolute;left:1339;top:354;width:105;height:240;mso-wrap-style:none" filled="f" stroked="f">
              <v:textbox style="mso-fit-shape-to-text:t" inset="0,0,0,0">
                <w:txbxContent>
                  <w:p w:rsidR="00A905B7" w:rsidRPr="009C5281" w:rsidRDefault="00A905B7">
                    <w:r w:rsidRPr="009C5281">
                      <w:rPr>
                        <w:iCs/>
                        <w:color w:val="000000"/>
                        <w:szCs w:val="24"/>
                      </w:rPr>
                      <w:t>α</w:t>
                    </w:r>
                  </w:p>
                </w:txbxContent>
              </v:textbox>
            </v:rect>
            <v:rect id="_x0000_s5389" style="position:absolute;left:979;top:354;width:102;height:240;mso-wrap-style:none" filled="f" stroked="f">
              <v:textbox style="mso-fit-shape-to-text:t" inset="0,0,0,0">
                <w:txbxContent>
                  <w:p w:rsidR="00A905B7" w:rsidRPr="009C5281" w:rsidRDefault="00A905B7">
                    <w:r w:rsidRPr="009C5281">
                      <w:rPr>
                        <w:iCs/>
                        <w:color w:val="000000"/>
                        <w:szCs w:val="24"/>
                      </w:rPr>
                      <w:t>β</w:t>
                    </w:r>
                  </w:p>
                </w:txbxContent>
              </v:textbox>
            </v:rect>
            <v:rect id="_x0000_s5390" style="position:absolute;left:1435;top:15;width:102;height:240;mso-wrap-style:none" filled="f" stroked="f">
              <v:textbox style="mso-fit-shape-to-text:t" inset="0,0,0,0">
                <w:txbxContent>
                  <w:p w:rsidR="00A905B7" w:rsidRPr="009C5281" w:rsidRDefault="00A905B7">
                    <w:r w:rsidRPr="009C5281">
                      <w:rPr>
                        <w:iCs/>
                        <w:color w:val="000000"/>
                        <w:szCs w:val="24"/>
                      </w:rPr>
                      <w:t>β</w:t>
                    </w:r>
                  </w:p>
                </w:txbxContent>
              </v:textbox>
            </v:rect>
            <v:rect id="_x0000_s5391" style="position:absolute;left:36;top:166;width:101;height:240;mso-wrap-style:none" filled="f" stroked="f">
              <v:textbox style="mso-fit-shape-to-text:t" inset="0,0,0,0">
                <w:txbxContent>
                  <w:p w:rsidR="00A905B7" w:rsidRPr="009C5281" w:rsidRDefault="00A905B7">
                    <w:r w:rsidRPr="009C5281">
                      <w:rPr>
                        <w:iCs/>
                        <w:color w:val="000000"/>
                        <w:szCs w:val="24"/>
                      </w:rPr>
                      <w:t>q</w:t>
                    </w:r>
                  </w:p>
                </w:txbxContent>
              </v:textbox>
            </v:rect>
            <v:rect id="_x0000_s5392" style="position:absolute;left:2076;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93" style="position:absolute;left:1519;top:32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94" style="position:absolute;left:1159;top:327;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95" style="position:absolute;left:528;top:13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396" style="position:absolute;left:1677;top:354;width:201;height:240;mso-wrap-style:none" filled="f" stroked="f">
              <v:textbox style="mso-fit-shape-to-text:t" inset="0,0,0,0">
                <w:txbxContent>
                  <w:p w:rsidR="00A905B7" w:rsidRDefault="00A905B7">
                    <w:r>
                      <w:rPr>
                        <w:color w:val="000000"/>
                        <w:szCs w:val="24"/>
                      </w:rPr>
                      <w:t>16</w:t>
                    </w:r>
                  </w:p>
                </w:txbxContent>
              </v:textbox>
            </v:rect>
            <v:rect id="_x0000_s5397" style="position:absolute;left:717;top:354;width:201;height:240;mso-wrap-style:none" filled="f" stroked="f">
              <v:textbox style="mso-fit-shape-to-text:t" inset="0,0,0,0">
                <w:txbxContent>
                  <w:p w:rsidR="00A905B7" w:rsidRDefault="00A905B7">
                    <w:r>
                      <w:rPr>
                        <w:color w:val="000000"/>
                        <w:szCs w:val="24"/>
                      </w:rPr>
                      <w:t>12</w:t>
                    </w:r>
                  </w:p>
                </w:txbxContent>
              </v:textbox>
            </v:rect>
            <v:rect id="_x0000_s5398" style="position:absolute;left:1173;top:15;width:201;height:240;mso-wrap-style:none" filled="f" stroked="f">
              <v:textbox style="mso-fit-shape-to-text:t" inset="0,0,0,0">
                <w:txbxContent>
                  <w:p w:rsidR="00A905B7" w:rsidRDefault="00A905B7">
                    <w:r>
                      <w:rPr>
                        <w:color w:val="000000"/>
                        <w:szCs w:val="24"/>
                      </w:rPr>
                      <w:t>12</w:t>
                    </w:r>
                  </w:p>
                </w:txbxContent>
              </v:textbox>
            </v:rect>
            <w10:wrap type="none"/>
            <w10:anchorlock/>
          </v:group>
        </w:pict>
      </w:r>
      <w:r w:rsidR="00002BA6" w:rsidRPr="0088419A">
        <w:rPr>
          <w:position w:val="40"/>
          <w:lang w:val="en-GB"/>
        </w:rPr>
        <w:tab/>
        <w:t>(102)</w:t>
      </w:r>
    </w:p>
    <w:p w:rsidR="00002BA6" w:rsidRPr="00B04DC3" w:rsidRDefault="00002BA6" w:rsidP="0088419A">
      <w:pPr>
        <w:pStyle w:val="para"/>
        <w:keepNext/>
        <w:keepLines/>
        <w:ind w:firstLine="0"/>
        <w:rPr>
          <w:bCs/>
          <w:lang w:val="en-GB"/>
        </w:rPr>
      </w:pPr>
      <w:r w:rsidRPr="00B04DC3">
        <w:rPr>
          <w:lang w:val="en-GB"/>
        </w:rPr>
        <w:tab/>
      </w:r>
      <w:r w:rsidR="007C2EE6" w:rsidRPr="00B04DC3">
        <w:rPr>
          <w:bCs/>
          <w:lang w:val="en-GB"/>
        </w:rPr>
        <w:t>Where</w:t>
      </w:r>
      <w:r w:rsidRPr="00B04DC3">
        <w:rPr>
          <w:bCs/>
          <w:lang w:val="en-GB"/>
        </w:rPr>
        <w:t>:</w:t>
      </w:r>
    </w:p>
    <w:p w:rsidR="00002BA6" w:rsidRPr="00B04DC3" w:rsidRDefault="00002BA6" w:rsidP="00002BA6">
      <w:pPr>
        <w:pStyle w:val="para"/>
        <w:ind w:firstLine="0"/>
        <w:rPr>
          <w:bCs/>
          <w:lang w:val="en-GB"/>
        </w:rPr>
      </w:pPr>
      <w:r w:rsidRPr="00B04DC3">
        <w:rPr>
          <w:bCs/>
          <w:i/>
          <w:lang w:val="en-GB"/>
        </w:rPr>
        <w:tab/>
      </w:r>
      <w:r w:rsidRPr="00B04DC3">
        <w:rPr>
          <w:bCs/>
          <w:lang w:val="en-GB"/>
        </w:rPr>
        <w:t>q</w:t>
      </w:r>
      <w:r w:rsidRPr="00B04DC3">
        <w:rPr>
          <w:bCs/>
          <w:vertAlign w:val="subscript"/>
          <w:lang w:val="en-GB"/>
        </w:rPr>
        <w:t>mf</w:t>
      </w:r>
      <w:r w:rsidRPr="00B04DC3">
        <w:rPr>
          <w:bCs/>
          <w:lang w:val="en-GB"/>
        </w:rPr>
        <w:tab/>
        <w:t>is the fuel mass flow rate, kg/s</w:t>
      </w:r>
    </w:p>
    <w:p w:rsidR="00002BA6" w:rsidRPr="00B04DC3" w:rsidRDefault="00002BA6" w:rsidP="00002BA6">
      <w:pPr>
        <w:pStyle w:val="para"/>
        <w:rPr>
          <w:bCs/>
          <w:lang w:val="en-GB"/>
        </w:rPr>
      </w:pPr>
      <w:r w:rsidRPr="00B04DC3">
        <w:rPr>
          <w:bCs/>
          <w:lang w:val="en-GB"/>
        </w:rPr>
        <w:t>A.5.3.</w:t>
      </w:r>
      <w:r w:rsidRPr="00B04DC3">
        <w:rPr>
          <w:bCs/>
          <w:lang w:val="en-GB"/>
        </w:rPr>
        <w:tab/>
        <w:t>Carbon flow rate in the raw exhaust (location 2)</w:t>
      </w:r>
    </w:p>
    <w:p w:rsidR="00002BA6" w:rsidRPr="00B04DC3" w:rsidRDefault="00002BA6" w:rsidP="00002BA6">
      <w:pPr>
        <w:pStyle w:val="para"/>
        <w:ind w:firstLine="0"/>
        <w:rPr>
          <w:bCs/>
          <w:spacing w:val="-2"/>
          <w:lang w:val="en-GB"/>
        </w:rPr>
      </w:pPr>
      <w:r w:rsidRPr="00B04DC3">
        <w:rPr>
          <w:bCs/>
          <w:spacing w:val="-2"/>
          <w:lang w:val="en-GB"/>
        </w:rPr>
        <w:tab/>
        <w:t>The carbon mass flow rate in the exhaust pipe of the engine shall be determined from the raw CO</w:t>
      </w:r>
      <w:r w:rsidRPr="00B04DC3">
        <w:rPr>
          <w:bCs/>
          <w:spacing w:val="-2"/>
          <w:vertAlign w:val="subscript"/>
          <w:lang w:val="en-GB"/>
        </w:rPr>
        <w:t>2</w:t>
      </w:r>
      <w:r w:rsidRPr="00B04DC3">
        <w:rPr>
          <w:bCs/>
          <w:spacing w:val="-2"/>
          <w:lang w:val="en-GB"/>
        </w:rPr>
        <w:t xml:space="preserve"> concentration and the exhaust gas mass flow rate:</w:t>
      </w:r>
    </w:p>
    <w:p w:rsidR="00002BA6" w:rsidRPr="0088419A" w:rsidRDefault="00A905B7" w:rsidP="00002BA6">
      <w:pPr>
        <w:pStyle w:val="i"/>
        <w:tabs>
          <w:tab w:val="right" w:pos="8505"/>
        </w:tabs>
        <w:ind w:hanging="1134"/>
        <w:rPr>
          <w:b/>
          <w:bCs/>
          <w:position w:val="40"/>
          <w:lang w:val="en-GB"/>
        </w:rPr>
      </w:pPr>
      <w:r>
        <w:rPr>
          <w:b/>
          <w:bCs/>
          <w:sz w:val="24"/>
          <w:szCs w:val="24"/>
          <w:lang w:val="en-GB"/>
        </w:rPr>
      </w:r>
      <w:r>
        <w:rPr>
          <w:b/>
          <w:bCs/>
          <w:sz w:val="24"/>
          <w:szCs w:val="24"/>
          <w:lang w:val="en-GB"/>
        </w:rPr>
        <w:pict>
          <v:group id="_x0000_s5399" editas="canvas" style="width:189.3pt;height:35pt;mso-position-horizontal-relative:char;mso-position-vertical-relative:line" coordsize="3786,700">
            <o:lock v:ext="edit" aspectratio="t"/>
            <v:shape id="_x0000_s5400" type="#_x0000_t75" style="position:absolute;width:3786;height:700" o:preferrelative="f">
              <v:fill o:detectmouseclick="t"/>
              <v:path o:extrusionok="t" o:connecttype="none"/>
              <o:lock v:ext="edit" text="t"/>
            </v:shape>
            <v:line id="_x0000_s5401" style="position:absolute" from="831,360" to="2093,360" strokeweight=".5pt"/>
            <v:line id="_x0000_s5402" style="position:absolute" from="3040,360" to="3680,360" strokeweight=".5pt"/>
            <v:rect id="_x0000_s5403" style="position:absolute;left:3367;top:405;width:109;height:240;mso-wrap-style:none" filled="f" stroked="f">
              <v:textbox style="mso-fit-shape-to-text:t" inset="0,0,0,0">
                <w:txbxContent>
                  <w:p w:rsidR="00A905B7" w:rsidRPr="009C5281" w:rsidRDefault="00A905B7">
                    <w:r w:rsidRPr="009C5281">
                      <w:rPr>
                        <w:iCs/>
                        <w:color w:val="000000"/>
                        <w:sz w:val="14"/>
                        <w:szCs w:val="14"/>
                      </w:rPr>
                      <w:t>re</w:t>
                    </w:r>
                  </w:p>
                </w:txbxContent>
              </v:textbox>
            </v:rect>
            <v:rect id="_x0000_s5404" style="position:absolute;left:2535;top:262;width:318;height:240" filled="f" stroked="f">
              <v:textbox style="mso-fit-shape-to-text:t" inset="0,0,0,0">
                <w:txbxContent>
                  <w:p w:rsidR="00A905B7" w:rsidRPr="009C5281" w:rsidRDefault="00A905B7">
                    <w:r w:rsidRPr="009C5281">
                      <w:rPr>
                        <w:iCs/>
                        <w:color w:val="000000"/>
                        <w:sz w:val="14"/>
                        <w:szCs w:val="14"/>
                      </w:rPr>
                      <w:t>mew</w:t>
                    </w:r>
                  </w:p>
                </w:txbxContent>
              </v:textbox>
            </v:rect>
            <v:rect id="_x0000_s5405" style="position:absolute;left:1975;top:120;width:63;height:240;mso-wrap-style:none" filled="f" stroked="f">
              <v:textbox style="mso-fit-shape-to-text:t" inset="0,0,0,0">
                <w:txbxContent>
                  <w:p w:rsidR="00A905B7" w:rsidRPr="009C5281" w:rsidRDefault="00A905B7">
                    <w:r w:rsidRPr="009C5281">
                      <w:rPr>
                        <w:iCs/>
                        <w:color w:val="000000"/>
                        <w:sz w:val="14"/>
                        <w:szCs w:val="14"/>
                      </w:rPr>
                      <w:t>a</w:t>
                    </w:r>
                  </w:p>
                </w:txbxContent>
              </v:textbox>
            </v:rect>
            <v:rect id="_x0000_s5406" style="position:absolute;left:1680;top:120;width:300;height:240;mso-wrap-style:none" filled="f" stroked="f">
              <v:textbox style="mso-fit-shape-to-text:t" inset="0,0,0,0">
                <w:txbxContent>
                  <w:p w:rsidR="00A905B7" w:rsidRPr="009C5281" w:rsidRDefault="00A905B7">
                    <w:r w:rsidRPr="009C5281">
                      <w:rPr>
                        <w:iCs/>
                        <w:color w:val="000000"/>
                        <w:sz w:val="14"/>
                        <w:szCs w:val="14"/>
                      </w:rPr>
                      <w:t>CO2,</w:t>
                    </w:r>
                  </w:p>
                </w:txbxContent>
              </v:textbox>
            </v:rect>
            <v:rect id="_x0000_s5408" style="position:absolute;left:954;top:120;width:333;height:240;mso-wrap-style:none" filled="f" stroked="f">
              <v:textbox style="mso-fit-shape-to-text:t" inset="0,0,0,0">
                <w:txbxContent>
                  <w:p w:rsidR="00A905B7" w:rsidRDefault="00A905B7">
                    <w:r w:rsidRPr="009C5281">
                      <w:rPr>
                        <w:iCs/>
                        <w:color w:val="000000"/>
                        <w:sz w:val="14"/>
                        <w:szCs w:val="14"/>
                      </w:rPr>
                      <w:t>CO2</w:t>
                    </w:r>
                    <w:r>
                      <w:rPr>
                        <w:i/>
                        <w:iCs/>
                        <w:color w:val="000000"/>
                        <w:sz w:val="14"/>
                        <w:szCs w:val="14"/>
                      </w:rPr>
                      <w:t>,</w:t>
                    </w:r>
                  </w:p>
                </w:txbxContent>
              </v:textbox>
            </v:rect>
            <v:rect id="_x0000_s5409" style="position:absolute;left:145;top:278;width:265;height:240;mso-wrap-style:none" filled="f" stroked="f">
              <v:textbox style="mso-fit-shape-to-text:t" inset="0,0,0,0">
                <w:txbxContent>
                  <w:p w:rsidR="00A905B7" w:rsidRPr="009C5281" w:rsidRDefault="00A905B7">
                    <w:r w:rsidRPr="009C5281">
                      <w:rPr>
                        <w:iCs/>
                        <w:color w:val="000000"/>
                        <w:sz w:val="14"/>
                        <w:szCs w:val="14"/>
                      </w:rPr>
                      <w:t>mCe</w:t>
                    </w:r>
                  </w:p>
                </w:txbxContent>
              </v:textbox>
            </v:rect>
            <v:rect id="_x0000_s5410" style="position:absolute;left:3171;top:394;width:178;height:240;mso-wrap-style:none" filled="f" stroked="f">
              <v:textbox style="mso-fit-shape-to-text:t" inset="0,0,0,0">
                <w:txbxContent>
                  <w:p w:rsidR="00A905B7" w:rsidRPr="009C5281" w:rsidRDefault="00A905B7">
                    <w:r w:rsidRPr="009C5281">
                      <w:rPr>
                        <w:iCs/>
                        <w:color w:val="000000"/>
                        <w:szCs w:val="24"/>
                      </w:rPr>
                      <w:t>M</w:t>
                    </w:r>
                  </w:p>
                </w:txbxContent>
              </v:textbox>
            </v:rect>
            <v:rect id="_x0000_s5411" style="position:absolute;left:2415;top:206;width:101;height:240;mso-wrap-style:none" filled="f" stroked="f">
              <v:textbox style="mso-fit-shape-to-text:t" inset="0,0,0,0">
                <w:txbxContent>
                  <w:p w:rsidR="00A905B7" w:rsidRPr="009C5281" w:rsidRDefault="00A905B7">
                    <w:r w:rsidRPr="009C5281">
                      <w:rPr>
                        <w:iCs/>
                        <w:color w:val="000000"/>
                        <w:szCs w:val="24"/>
                      </w:rPr>
                      <w:t>q</w:t>
                    </w:r>
                  </w:p>
                </w:txbxContent>
              </v:textbox>
            </v:rect>
            <v:rect id="_x0000_s5412" style="position:absolute;left:1569;top:31;width:89;height:240;mso-wrap-style:none" filled="f" stroked="f">
              <v:textbox style="mso-fit-shape-to-text:t" inset="0,0,0,0">
                <w:txbxContent>
                  <w:p w:rsidR="00A905B7" w:rsidRPr="009C5281" w:rsidRDefault="00A905B7">
                    <w:r w:rsidRPr="009C5281">
                      <w:rPr>
                        <w:iCs/>
                        <w:color w:val="000000"/>
                        <w:szCs w:val="24"/>
                      </w:rPr>
                      <w:t>c</w:t>
                    </w:r>
                  </w:p>
                </w:txbxContent>
              </v:textbox>
            </v:rect>
            <v:rect id="_x0000_s5413" style="position:absolute;left:843;top:31;width:89;height:240;mso-wrap-style:none" filled="f" stroked="f">
              <v:textbox style="mso-fit-shape-to-text:t" inset="0,0,0,0">
                <w:txbxContent>
                  <w:p w:rsidR="00A905B7" w:rsidRPr="009C5281" w:rsidRDefault="00A905B7">
                    <w:r w:rsidRPr="009C5281">
                      <w:rPr>
                        <w:iCs/>
                        <w:color w:val="000000"/>
                        <w:szCs w:val="24"/>
                      </w:rPr>
                      <w:t>c</w:t>
                    </w:r>
                  </w:p>
                </w:txbxContent>
              </v:textbox>
            </v:rect>
            <v:rect id="_x0000_s5414" style="position:absolute;left:36;top:206;width:101;height:240;mso-wrap-style:none" filled="f" stroked="f">
              <v:textbox style="mso-fit-shape-to-text:t" inset="0,0,0,0">
                <w:txbxContent>
                  <w:p w:rsidR="00A905B7" w:rsidRPr="009C5281" w:rsidRDefault="00A905B7">
                    <w:r w:rsidRPr="009C5281">
                      <w:rPr>
                        <w:iCs/>
                        <w:color w:val="000000"/>
                        <w:szCs w:val="24"/>
                      </w:rPr>
                      <w:t>q</w:t>
                    </w:r>
                  </w:p>
                </w:txbxContent>
              </v:textbox>
            </v:rect>
            <v:rect id="_x0000_s5415" style="position:absolute;left:3030;top:55;width:551;height:240;mso-wrap-style:none" filled="f" stroked="f">
              <v:textbox style="mso-fit-shape-to-text:t" inset="0,0,0,0">
                <w:txbxContent>
                  <w:p w:rsidR="00A905B7" w:rsidRDefault="00A905B7">
                    <w:r>
                      <w:rPr>
                        <w:color w:val="000000"/>
                        <w:szCs w:val="24"/>
                      </w:rPr>
                      <w:t>12.011</w:t>
                    </w:r>
                  </w:p>
                </w:txbxContent>
              </v:textbox>
            </v:rect>
            <v:rect id="_x0000_s5416" style="position:absolute;left:1272;top:394;width:301;height:240;mso-wrap-style:none" filled="f" stroked="f">
              <v:textbox style="mso-fit-shape-to-text:t" inset="0,0,0,0">
                <w:txbxContent>
                  <w:p w:rsidR="00A905B7" w:rsidRDefault="00A905B7">
                    <w:r>
                      <w:rPr>
                        <w:color w:val="000000"/>
                        <w:szCs w:val="24"/>
                      </w:rPr>
                      <w:t>100</w:t>
                    </w:r>
                  </w:p>
                </w:txbxContent>
              </v:textbox>
            </v:rect>
            <v:rect id="_x0000_s5417" style="position:absolute;left:2864;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18" style="position:absolute;left:2243;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19" style="position:absolute;left:2119;top:26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0" style="position:absolute;left:2119;top:17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1" style="position:absolute;left:2119;top:41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2" style="position:absolute;left:2119;top:2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3" style="position:absolute;left:707;top:26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4" style="position:absolute;left:707;top:17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5" style="position:absolute;left:707;top:41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6" style="position:absolute;left:707;top:2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7" style="position:absolute;left:1393;top:4;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28" style="position:absolute;left:519;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07" style="position:absolute;left:1260;top:109;width:88;height:240;mso-wrap-style:none" filled="f" stroked="f">
              <v:textbox style="mso-fit-shape-to-text:t" inset="0,0,0,0">
                <w:txbxContent>
                  <w:p w:rsidR="00A905B7" w:rsidRDefault="00A905B7">
                    <w:r>
                      <w:rPr>
                        <w:i/>
                        <w:iCs/>
                        <w:color w:val="000000"/>
                        <w:sz w:val="14"/>
                        <w:szCs w:val="14"/>
                      </w:rPr>
                      <w:t>r</w:t>
                    </w:r>
                  </w:p>
                </w:txbxContent>
              </v:textbox>
            </v:rect>
            <w10:wrap type="none"/>
            <w10:anchorlock/>
          </v:group>
        </w:pict>
      </w:r>
      <w:r w:rsidR="00002BA6" w:rsidRPr="0088419A">
        <w:rPr>
          <w:b/>
          <w:bCs/>
          <w:position w:val="40"/>
          <w:sz w:val="24"/>
          <w:szCs w:val="24"/>
          <w:lang w:val="en-GB"/>
        </w:rPr>
        <w:tab/>
      </w:r>
      <w:r w:rsidR="00002BA6" w:rsidRPr="0088419A">
        <w:rPr>
          <w:bCs/>
          <w:position w:val="40"/>
          <w:lang w:val="en-GB"/>
        </w:rPr>
        <w:t>(103)</w:t>
      </w:r>
    </w:p>
    <w:p w:rsidR="00002BA6" w:rsidRPr="00B04DC3" w:rsidRDefault="00002BA6" w:rsidP="00002BA6">
      <w:pPr>
        <w:pStyle w:val="para"/>
        <w:ind w:firstLine="0"/>
        <w:rPr>
          <w:lang w:val="en-GB"/>
        </w:rPr>
      </w:pPr>
      <w:r w:rsidRPr="00B04DC3">
        <w:rPr>
          <w:lang w:val="en-GB"/>
        </w:rPr>
        <w:tab/>
      </w:r>
      <w:r w:rsidR="007C2EE6" w:rsidRPr="00B04DC3">
        <w:rPr>
          <w:lang w:val="en-GB"/>
        </w:rPr>
        <w:t>Where</w:t>
      </w:r>
      <w:r w:rsidRPr="00B04DC3">
        <w:rPr>
          <w:lang w:val="en-GB"/>
        </w:rPr>
        <w:t>:</w:t>
      </w:r>
    </w:p>
    <w:p w:rsidR="00002BA6" w:rsidRPr="00B04DC3" w:rsidRDefault="00002BA6" w:rsidP="00002BA6">
      <w:pPr>
        <w:pStyle w:val="para"/>
        <w:ind w:firstLine="0"/>
        <w:rPr>
          <w:lang w:val="en-GB"/>
        </w:rPr>
      </w:pPr>
      <w:r w:rsidRPr="00B04DC3">
        <w:rPr>
          <w:i/>
          <w:lang w:val="en-GB"/>
        </w:rPr>
        <w:tab/>
      </w:r>
      <w:r w:rsidRPr="00B04DC3">
        <w:rPr>
          <w:lang w:val="en-GB"/>
        </w:rPr>
        <w:t>c</w:t>
      </w:r>
      <w:r w:rsidRPr="00B04DC3">
        <w:rPr>
          <w:vertAlign w:val="subscript"/>
          <w:lang w:val="en-GB"/>
        </w:rPr>
        <w:t>CO2,r</w:t>
      </w:r>
      <w:r w:rsidRPr="00B04DC3">
        <w:rPr>
          <w:lang w:val="en-GB"/>
        </w:rPr>
        <w:tab/>
        <w:t>is the wet CO</w:t>
      </w:r>
      <w:r w:rsidRPr="00B04DC3">
        <w:rPr>
          <w:vertAlign w:val="subscript"/>
          <w:lang w:val="en-GB"/>
        </w:rPr>
        <w:t>2</w:t>
      </w:r>
      <w:r w:rsidRPr="00B04DC3">
        <w:rPr>
          <w:lang w:val="en-GB"/>
        </w:rPr>
        <w:t xml:space="preserve"> concentration in the raw exhaust gas, per cent</w:t>
      </w:r>
    </w:p>
    <w:p w:rsidR="00002BA6" w:rsidRPr="00B04DC3" w:rsidRDefault="00002BA6" w:rsidP="00002BA6">
      <w:pPr>
        <w:pStyle w:val="para"/>
        <w:ind w:firstLine="0"/>
        <w:rPr>
          <w:lang w:val="en-GB"/>
        </w:rPr>
      </w:pPr>
      <w:r w:rsidRPr="00B04DC3">
        <w:rPr>
          <w:lang w:val="en-GB"/>
        </w:rPr>
        <w:tab/>
        <w:t>c</w:t>
      </w:r>
      <w:r w:rsidRPr="00B04DC3">
        <w:rPr>
          <w:vertAlign w:val="subscript"/>
          <w:lang w:val="en-GB"/>
        </w:rPr>
        <w:t>CO2,a</w:t>
      </w:r>
      <w:r w:rsidRPr="00B04DC3">
        <w:rPr>
          <w:lang w:val="en-GB"/>
        </w:rPr>
        <w:tab/>
        <w:t>is the wet CO</w:t>
      </w:r>
      <w:r w:rsidRPr="00B04DC3">
        <w:rPr>
          <w:vertAlign w:val="subscript"/>
          <w:lang w:val="en-GB"/>
        </w:rPr>
        <w:t>2</w:t>
      </w:r>
      <w:r w:rsidRPr="00B04DC3">
        <w:rPr>
          <w:lang w:val="en-GB"/>
        </w:rPr>
        <w:t xml:space="preserve"> concentration in the ambient air, per cent </w:t>
      </w:r>
    </w:p>
    <w:p w:rsidR="00002BA6" w:rsidRPr="00B04DC3" w:rsidRDefault="00002BA6" w:rsidP="00002BA6">
      <w:pPr>
        <w:pStyle w:val="para"/>
        <w:ind w:firstLine="0"/>
        <w:rPr>
          <w:lang w:val="en-GB"/>
        </w:rPr>
      </w:pPr>
      <w:r w:rsidRPr="00B04DC3">
        <w:rPr>
          <w:lang w:val="en-GB"/>
        </w:rPr>
        <w:tab/>
        <w:t>q</w:t>
      </w:r>
      <w:r w:rsidRPr="00B04DC3">
        <w:rPr>
          <w:vertAlign w:val="subscript"/>
          <w:lang w:val="en-GB"/>
        </w:rPr>
        <w:t>mew</w:t>
      </w:r>
      <w:r w:rsidRPr="00B04DC3">
        <w:rPr>
          <w:lang w:val="en-GB"/>
        </w:rPr>
        <w:tab/>
        <w:t>is the exhaust gas mass flow rate on wet basis, kg/s</w:t>
      </w:r>
    </w:p>
    <w:p w:rsidR="00002BA6" w:rsidRPr="00B04DC3" w:rsidRDefault="00002BA6" w:rsidP="00002BA6">
      <w:pPr>
        <w:pStyle w:val="para"/>
        <w:ind w:firstLine="0"/>
        <w:rPr>
          <w:lang w:val="en-GB"/>
        </w:rPr>
      </w:pPr>
      <w:r w:rsidRPr="00B04DC3">
        <w:rPr>
          <w:lang w:val="en-GB"/>
        </w:rPr>
        <w:tab/>
        <w:t>M</w:t>
      </w:r>
      <w:r w:rsidRPr="00B04DC3">
        <w:rPr>
          <w:vertAlign w:val="subscript"/>
          <w:lang w:val="en-GB"/>
        </w:rPr>
        <w:t>e</w:t>
      </w:r>
      <w:r w:rsidRPr="00B04DC3">
        <w:rPr>
          <w:vertAlign w:val="subscript"/>
          <w:lang w:val="en-GB"/>
        </w:rPr>
        <w:tab/>
      </w:r>
      <w:r w:rsidRPr="00B04DC3">
        <w:rPr>
          <w:lang w:val="en-GB"/>
        </w:rPr>
        <w:t>is the molar mass of exhaust gas, g/mol</w:t>
      </w:r>
    </w:p>
    <w:p w:rsidR="00002BA6" w:rsidRPr="00B04DC3" w:rsidRDefault="00002BA6" w:rsidP="00002BA6">
      <w:pPr>
        <w:pStyle w:val="para"/>
        <w:ind w:firstLine="0"/>
        <w:rPr>
          <w:lang w:val="en-GB"/>
        </w:rPr>
      </w:pPr>
      <w:r w:rsidRPr="00B04DC3">
        <w:rPr>
          <w:lang w:val="en-GB"/>
        </w:rPr>
        <w:tab/>
        <w:t>If CO</w:t>
      </w:r>
      <w:r w:rsidRPr="00B04DC3">
        <w:rPr>
          <w:vertAlign w:val="subscript"/>
          <w:lang w:val="en-GB"/>
        </w:rPr>
        <w:t>2</w:t>
      </w:r>
      <w:r w:rsidRPr="00B04DC3">
        <w:rPr>
          <w:lang w:val="en-GB"/>
        </w:rPr>
        <w:t xml:space="preserve"> is measured on a dry basis it shall be converted to a wet basis according to paragraph 8.1.</w:t>
      </w:r>
      <w:r w:rsidR="003B31D3" w:rsidRPr="003B31D3">
        <w:rPr>
          <w:lang w:val="en-GB"/>
        </w:rPr>
        <w:t xml:space="preserve"> </w:t>
      </w:r>
      <w:r w:rsidR="003B31D3">
        <w:rPr>
          <w:lang w:val="en-GB"/>
        </w:rPr>
        <w:t>of this annex.</w:t>
      </w:r>
    </w:p>
    <w:p w:rsidR="00002BA6" w:rsidRPr="00B04DC3" w:rsidRDefault="00002BA6" w:rsidP="00002BA6">
      <w:pPr>
        <w:pStyle w:val="para"/>
        <w:rPr>
          <w:lang w:val="en-GB"/>
        </w:rPr>
      </w:pPr>
      <w:r w:rsidRPr="00B04DC3">
        <w:rPr>
          <w:lang w:val="en-GB"/>
        </w:rPr>
        <w:t>A.5.4.</w:t>
      </w:r>
      <w:r w:rsidRPr="00B04DC3">
        <w:rPr>
          <w:lang w:val="en-GB"/>
        </w:rPr>
        <w:tab/>
        <w:t>Carbon flow rate in the dilution system (location 3)</w:t>
      </w:r>
    </w:p>
    <w:p w:rsidR="00002BA6" w:rsidRPr="00B04DC3" w:rsidRDefault="00002BA6" w:rsidP="00002BA6">
      <w:pPr>
        <w:pStyle w:val="para"/>
        <w:ind w:firstLine="0"/>
        <w:rPr>
          <w:lang w:val="en-GB"/>
        </w:rPr>
      </w:pPr>
      <w:r w:rsidRPr="00B04DC3">
        <w:rPr>
          <w:lang w:val="en-GB"/>
        </w:rPr>
        <w:tab/>
        <w:t>For the partial flow dilution system, the splitting ratio also needs to be taken into account. The carbon flow rate shall be determined from the dilute CO</w:t>
      </w:r>
      <w:r w:rsidRPr="00B04DC3">
        <w:rPr>
          <w:vertAlign w:val="subscript"/>
          <w:lang w:val="en-GB"/>
        </w:rPr>
        <w:t>2</w:t>
      </w:r>
      <w:r w:rsidRPr="00B04DC3">
        <w:rPr>
          <w:lang w:val="en-GB"/>
        </w:rPr>
        <w:t xml:space="preserve"> concentration, the exhaust gas mass flow rate and the sample flow rate:</w:t>
      </w:r>
    </w:p>
    <w:p w:rsidR="00002BA6" w:rsidRPr="0088419A" w:rsidRDefault="00A905B7" w:rsidP="00002BA6">
      <w:pPr>
        <w:pStyle w:val="i"/>
        <w:tabs>
          <w:tab w:val="right" w:pos="8505"/>
        </w:tabs>
        <w:ind w:hanging="1134"/>
        <w:rPr>
          <w:bCs/>
          <w:position w:val="30"/>
          <w:lang w:val="en-GB"/>
        </w:rPr>
      </w:pPr>
      <w:r>
        <w:rPr>
          <w:lang w:val="en-GB"/>
        </w:rPr>
      </w:r>
      <w:r>
        <w:rPr>
          <w:lang w:val="en-GB"/>
        </w:rPr>
        <w:pict>
          <v:group id="_x0000_s5429" editas="canvas" style="width:225pt;height:34.85pt;mso-position-horizontal-relative:char;mso-position-vertical-relative:line" coordsize="4500,697">
            <o:lock v:ext="edit" aspectratio="t"/>
            <v:shape id="_x0000_s5430" type="#_x0000_t75" style="position:absolute;width:4500;height:697" o:preferrelative="f">
              <v:fill o:detectmouseclick="t"/>
              <v:path o:extrusionok="t" o:connecttype="none"/>
              <o:lock v:ext="edit" text="t"/>
            </v:shape>
            <v:line id="_x0000_s5431" style="position:absolute" from="841,420" to="2125,421" strokeweight=".5pt"/>
            <v:line id="_x0000_s5432" style="position:absolute" from="3143,390" to="3783,391" strokeweight=".5pt"/>
            <v:line id="_x0000_s5433" style="position:absolute" from="4000,390" to="4444,391" strokeweight=".5pt"/>
            <v:rect id="_x0000_s5434" style="position:absolute;left:4186;top:457;width:179;height:240;mso-wrap-style:none" filled="f" stroked="f">
              <v:textbox style="mso-fit-shape-to-text:t" inset="0,0,0,0">
                <w:txbxContent>
                  <w:p w:rsidR="00A905B7" w:rsidRPr="003E6456" w:rsidRDefault="00A905B7">
                    <w:r w:rsidRPr="003E6456">
                      <w:rPr>
                        <w:iCs/>
                        <w:color w:val="000000"/>
                        <w:sz w:val="14"/>
                        <w:szCs w:val="14"/>
                      </w:rPr>
                      <w:t>mp</w:t>
                    </w:r>
                  </w:p>
                </w:txbxContent>
              </v:textbox>
            </v:rect>
            <v:rect id="_x0000_s5435" style="position:absolute;left:4147;top:156;width:273;height:240;mso-wrap-style:none" filled="f" stroked="f">
              <v:textbox style="mso-fit-shape-to-text:t" inset="0,0,0,0">
                <w:txbxContent>
                  <w:p w:rsidR="00A905B7" w:rsidRPr="003138D9" w:rsidRDefault="00A905B7">
                    <w:r w:rsidRPr="003138D9">
                      <w:rPr>
                        <w:iCs/>
                        <w:color w:val="000000"/>
                        <w:sz w:val="14"/>
                        <w:szCs w:val="14"/>
                      </w:rPr>
                      <w:t>mew</w:t>
                    </w:r>
                  </w:p>
                </w:txbxContent>
              </v:textbox>
            </v:rect>
            <v:rect id="_x0000_s5436" style="position:absolute;left:3504;top:441;width:63;height:240;mso-wrap-style:none" filled="f" stroked="f">
              <v:textbox style="mso-fit-shape-to-text:t" inset="0,0,0,0">
                <w:txbxContent>
                  <w:p w:rsidR="00A905B7" w:rsidRPr="003138D9" w:rsidRDefault="00A905B7">
                    <w:r w:rsidRPr="003138D9">
                      <w:rPr>
                        <w:iCs/>
                        <w:color w:val="000000"/>
                        <w:sz w:val="14"/>
                        <w:szCs w:val="14"/>
                      </w:rPr>
                      <w:t>e</w:t>
                    </w:r>
                  </w:p>
                </w:txbxContent>
              </v:textbox>
            </v:rect>
            <v:rect id="_x0000_s5437" style="position:absolute;left:2578;top:355;width:343;height:240;mso-wrap-style:none" filled="f" stroked="f">
              <v:textbox style="mso-fit-shape-to-text:t" inset="0,0,0,0">
                <w:txbxContent>
                  <w:p w:rsidR="00A905B7" w:rsidRPr="003138D9" w:rsidRDefault="00A905B7">
                    <w:r w:rsidRPr="003138D9">
                      <w:rPr>
                        <w:iCs/>
                        <w:color w:val="000000"/>
                        <w:sz w:val="14"/>
                        <w:szCs w:val="14"/>
                      </w:rPr>
                      <w:t>mdew</w:t>
                    </w:r>
                  </w:p>
                </w:txbxContent>
              </v:textbox>
            </v:rect>
            <v:rect id="_x0000_s5438" style="position:absolute;left:2008;top:180;width:63;height:240;mso-wrap-style:none" filled="f" stroked="f">
              <v:textbox style="mso-fit-shape-to-text:t" inset="0,0,0,0">
                <w:txbxContent>
                  <w:p w:rsidR="00A905B7" w:rsidRPr="003138D9" w:rsidRDefault="00A905B7">
                    <w:r w:rsidRPr="003138D9">
                      <w:rPr>
                        <w:iCs/>
                        <w:color w:val="000000"/>
                        <w:sz w:val="14"/>
                        <w:szCs w:val="14"/>
                      </w:rPr>
                      <w:t>a</w:t>
                    </w:r>
                  </w:p>
                </w:txbxContent>
              </v:textbox>
            </v:rect>
            <v:rect id="_x0000_s5439" style="position:absolute;left:1713;top:180;width:300;height:240;mso-wrap-style:none" filled="f" stroked="f">
              <v:textbox style="mso-fit-shape-to-text:t" inset="0,0,0,0">
                <w:txbxContent>
                  <w:p w:rsidR="00A905B7" w:rsidRPr="003138D9" w:rsidRDefault="00A905B7">
                    <w:r w:rsidRPr="003138D9">
                      <w:rPr>
                        <w:iCs/>
                        <w:color w:val="000000"/>
                        <w:sz w:val="14"/>
                        <w:szCs w:val="14"/>
                      </w:rPr>
                      <w:t>CO2,</w:t>
                    </w:r>
                  </w:p>
                </w:txbxContent>
              </v:textbox>
            </v:rect>
            <v:rect id="_x0000_s5440" style="position:absolute;left:1260;top:180;width:71;height:240;mso-wrap-style:none" filled="f" stroked="f">
              <v:textbox style="mso-fit-shape-to-text:t" inset="0,0,0,0">
                <w:txbxContent>
                  <w:p w:rsidR="00A905B7" w:rsidRPr="003138D9" w:rsidRDefault="00A905B7">
                    <w:r w:rsidRPr="003138D9">
                      <w:rPr>
                        <w:iCs/>
                        <w:color w:val="000000"/>
                        <w:sz w:val="14"/>
                        <w:szCs w:val="14"/>
                      </w:rPr>
                      <w:t>d</w:t>
                    </w:r>
                  </w:p>
                </w:txbxContent>
              </v:textbox>
            </v:rect>
            <v:rect id="_x0000_s5441" style="position:absolute;left:965;top:180;width:300;height:240;mso-wrap-style:none" filled="f" stroked="f">
              <v:textbox style="mso-fit-shape-to-text:t" inset="0,0,0,0">
                <w:txbxContent>
                  <w:p w:rsidR="00A905B7" w:rsidRPr="003138D9" w:rsidRDefault="00A905B7">
                    <w:r w:rsidRPr="003138D9">
                      <w:rPr>
                        <w:iCs/>
                        <w:color w:val="000000"/>
                        <w:sz w:val="14"/>
                        <w:szCs w:val="14"/>
                      </w:rPr>
                      <w:t>CO2,</w:t>
                    </w:r>
                  </w:p>
                </w:txbxContent>
              </v:textbox>
            </v:rect>
            <v:rect id="_x0000_s5442" style="position:absolute;left:159;top:259;width:273;height:240;mso-wrap-style:none" filled="f" stroked="f">
              <v:textbox style="mso-fit-shape-to-text:t" inset="0,0,0,0">
                <w:txbxContent>
                  <w:p w:rsidR="00A905B7" w:rsidRPr="003138D9" w:rsidRDefault="00A905B7">
                    <w:r w:rsidRPr="003138D9">
                      <w:rPr>
                        <w:iCs/>
                        <w:color w:val="000000"/>
                        <w:sz w:val="14"/>
                        <w:szCs w:val="14"/>
                      </w:rPr>
                      <w:t>mCp</w:t>
                    </w:r>
                  </w:p>
                </w:txbxContent>
              </v:textbox>
            </v:rect>
            <v:rect id="_x0000_s5443" style="position:absolute;left:4056;top:394;width:101;height:240;mso-wrap-style:none" filled="f" stroked="f">
              <v:textbox style="mso-fit-shape-to-text:t" inset="0,0,0,0">
                <w:txbxContent>
                  <w:p w:rsidR="00A905B7" w:rsidRPr="003138D9" w:rsidRDefault="00A905B7">
                    <w:r w:rsidRPr="003138D9">
                      <w:rPr>
                        <w:iCs/>
                        <w:color w:val="000000"/>
                        <w:szCs w:val="24"/>
                      </w:rPr>
                      <w:t>q</w:t>
                    </w:r>
                  </w:p>
                </w:txbxContent>
              </v:textbox>
            </v:rect>
            <v:rect id="_x0000_s5444" style="position:absolute;left:4016;top:47;width:101;height:240;mso-wrap-style:none" filled="f" stroked="f">
              <v:textbox style="mso-fit-shape-to-text:t" inset="0,0,0,0">
                <w:txbxContent>
                  <w:p w:rsidR="00A905B7" w:rsidRPr="003138D9" w:rsidRDefault="00A905B7">
                    <w:r w:rsidRPr="003138D9">
                      <w:rPr>
                        <w:iCs/>
                        <w:color w:val="000000"/>
                        <w:szCs w:val="24"/>
                      </w:rPr>
                      <w:t>q</w:t>
                    </w:r>
                  </w:p>
                </w:txbxContent>
              </v:textbox>
            </v:rect>
            <v:rect id="_x0000_s5445" style="position:absolute;left:3303;top:394;width:178;height:240;mso-wrap-style:none" filled="f" stroked="f">
              <v:textbox style="mso-fit-shape-to-text:t" inset="0,0,0,0">
                <w:txbxContent>
                  <w:p w:rsidR="00A905B7" w:rsidRPr="003138D9" w:rsidRDefault="00A905B7">
                    <w:r w:rsidRPr="003138D9">
                      <w:rPr>
                        <w:iCs/>
                        <w:color w:val="000000"/>
                        <w:szCs w:val="24"/>
                      </w:rPr>
                      <w:t>M</w:t>
                    </w:r>
                  </w:p>
                </w:txbxContent>
              </v:textbox>
            </v:rect>
            <v:rect id="_x0000_s5446" style="position:absolute;left:2448;top:206;width:101;height:240;mso-wrap-style:none" filled="f" stroked="f">
              <v:textbox style="mso-fit-shape-to-text:t" inset="0,0,0,0">
                <w:txbxContent>
                  <w:p w:rsidR="00A905B7" w:rsidRPr="003138D9" w:rsidRDefault="00A905B7">
                    <w:r w:rsidRPr="003138D9">
                      <w:rPr>
                        <w:iCs/>
                        <w:color w:val="000000"/>
                        <w:szCs w:val="24"/>
                      </w:rPr>
                      <w:t>q</w:t>
                    </w:r>
                  </w:p>
                </w:txbxContent>
              </v:textbox>
            </v:rect>
            <v:rect id="_x0000_s5447" style="position:absolute;left:1601;top:31;width:89;height:240;mso-wrap-style:none" filled="f" stroked="f">
              <v:textbox style="mso-fit-shape-to-text:t" inset="0,0,0,0">
                <w:txbxContent>
                  <w:p w:rsidR="00A905B7" w:rsidRPr="003138D9" w:rsidRDefault="00A905B7">
                    <w:r w:rsidRPr="003138D9">
                      <w:rPr>
                        <w:iCs/>
                        <w:color w:val="000000"/>
                        <w:szCs w:val="24"/>
                      </w:rPr>
                      <w:t>c</w:t>
                    </w:r>
                  </w:p>
                </w:txbxContent>
              </v:textbox>
            </v:rect>
            <v:rect id="_x0000_s5448" style="position:absolute;left:854;top:31;width:89;height:240;mso-wrap-style:none" filled="f" stroked="f">
              <v:textbox style="mso-fit-shape-to-text:t" inset="0,0,0,0">
                <w:txbxContent>
                  <w:p w:rsidR="00A905B7" w:rsidRPr="003138D9" w:rsidRDefault="00A905B7">
                    <w:r w:rsidRPr="003138D9">
                      <w:rPr>
                        <w:iCs/>
                        <w:color w:val="000000"/>
                        <w:szCs w:val="24"/>
                      </w:rPr>
                      <w:t>c</w:t>
                    </w:r>
                  </w:p>
                </w:txbxContent>
              </v:textbox>
            </v:rect>
            <v:rect id="_x0000_s5449" style="position:absolute;left:36;top:206;width:101;height:240;mso-wrap-style:none" filled="f" stroked="f">
              <v:textbox style="mso-fit-shape-to-text:t" inset="0,0,0,0">
                <w:txbxContent>
                  <w:p w:rsidR="00A905B7" w:rsidRPr="003138D9" w:rsidRDefault="00A905B7">
                    <w:r w:rsidRPr="003138D9">
                      <w:rPr>
                        <w:iCs/>
                        <w:color w:val="000000"/>
                        <w:szCs w:val="24"/>
                      </w:rPr>
                      <w:t>q</w:t>
                    </w:r>
                  </w:p>
                </w:txbxContent>
              </v:textbox>
            </v:rect>
            <v:rect id="_x0000_s5450" style="position:absolute;left:3824;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1" style="position:absolute;left:2966;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2" style="position:absolute;left:2275;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3" style="position:absolute;left:2151;top:26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4" style="position:absolute;left:2151;top:17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5" style="position:absolute;left:2151;top:41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6" style="position:absolute;left:2151;top:2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7" style="position:absolute;left:718;top:26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8" style="position:absolute;left:718;top:175;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59" style="position:absolute;left:718;top:419;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60" style="position:absolute;left:718;top:22;width:77;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61" style="position:absolute;left:1425;top:4;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62" style="position:absolute;left:530;top:179;width:110;height:245;mso-wrap-style:none" filled="f" stroked="f">
              <v:textbox style="mso-fit-shape-to-text:t" inset="0,0,0,0">
                <w:txbxContent>
                  <w:p w:rsidR="00A905B7" w:rsidRDefault="00A905B7">
                    <w:r>
                      <w:rPr>
                        <w:rFonts w:ascii="Symbol" w:hAnsi="Symbol" w:cs="Symbol"/>
                        <w:color w:val="000000"/>
                        <w:szCs w:val="24"/>
                      </w:rPr>
                      <w:t></w:t>
                    </w:r>
                  </w:p>
                </w:txbxContent>
              </v:textbox>
            </v:rect>
            <v:rect id="_x0000_s5463" style="position:absolute;left:3133;top:55;width:551;height:240;mso-wrap-style:none" filled="f" stroked="f">
              <v:textbox style="mso-fit-shape-to-text:t" inset="0,0,0,0">
                <w:txbxContent>
                  <w:p w:rsidR="00A905B7" w:rsidRDefault="00A905B7">
                    <w:r>
                      <w:rPr>
                        <w:color w:val="000000"/>
                        <w:szCs w:val="24"/>
                      </w:rPr>
                      <w:t>12.011</w:t>
                    </w:r>
                  </w:p>
                </w:txbxContent>
              </v:textbox>
            </v:rect>
            <v:rect id="_x0000_s5464" style="position:absolute;left:1294;top:394;width:301;height:240;mso-wrap-style:none" filled="f" stroked="f">
              <v:textbox style="mso-fit-shape-to-text:t" inset="0,0,0,0">
                <w:txbxContent>
                  <w:p w:rsidR="00A905B7" w:rsidRDefault="00A905B7">
                    <w:r>
                      <w:rPr>
                        <w:color w:val="000000"/>
                        <w:szCs w:val="24"/>
                      </w:rPr>
                      <w:t>100</w:t>
                    </w:r>
                  </w:p>
                </w:txbxContent>
              </v:textbox>
            </v:rect>
            <w10:wrap type="none"/>
            <w10:anchorlock/>
          </v:group>
        </w:pict>
      </w:r>
      <w:r w:rsidR="00002BA6" w:rsidRPr="0088419A">
        <w:rPr>
          <w:bCs/>
          <w:position w:val="30"/>
          <w:lang w:val="en-GB"/>
        </w:rPr>
        <w:tab/>
        <w:t>(104)</w:t>
      </w:r>
    </w:p>
    <w:p w:rsidR="00002BA6" w:rsidRPr="00B04DC3" w:rsidRDefault="00002BA6" w:rsidP="00002BA6">
      <w:pPr>
        <w:pStyle w:val="para"/>
        <w:ind w:firstLine="0"/>
        <w:rPr>
          <w:lang w:val="en-GB"/>
        </w:rPr>
      </w:pPr>
      <w:r w:rsidRPr="00B04DC3">
        <w:rPr>
          <w:lang w:val="en-GB"/>
        </w:rPr>
        <w:tab/>
      </w:r>
      <w:r w:rsidR="007C2EE6" w:rsidRPr="00B04DC3">
        <w:rPr>
          <w:lang w:val="en-GB"/>
        </w:rPr>
        <w:t>Where</w:t>
      </w:r>
      <w:r w:rsidRPr="00B04DC3">
        <w:rPr>
          <w:lang w:val="en-GB"/>
        </w:rPr>
        <w:t>:</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CO2,d</w:t>
      </w:r>
      <w:r w:rsidRPr="00B04DC3">
        <w:rPr>
          <w:lang w:val="en-GB"/>
        </w:rPr>
        <w:tab/>
        <w:t>is the wet CO</w:t>
      </w:r>
      <w:r w:rsidRPr="00B04DC3">
        <w:rPr>
          <w:vertAlign w:val="subscript"/>
          <w:lang w:val="en-GB"/>
        </w:rPr>
        <w:t>2</w:t>
      </w:r>
      <w:r w:rsidRPr="00B04DC3">
        <w:rPr>
          <w:lang w:val="en-GB"/>
        </w:rPr>
        <w:t xml:space="preserve"> concentration in the dilute exhaust gas at the outlet of the dilution tunnel, per cent</w:t>
      </w:r>
    </w:p>
    <w:p w:rsidR="00002BA6" w:rsidRPr="00B04DC3" w:rsidRDefault="00002BA6" w:rsidP="00002BA6">
      <w:pPr>
        <w:pStyle w:val="para"/>
        <w:ind w:left="2835" w:hanging="567"/>
        <w:rPr>
          <w:lang w:val="en-GB"/>
        </w:rPr>
      </w:pPr>
      <w:r w:rsidRPr="00B04DC3">
        <w:rPr>
          <w:lang w:val="en-GB"/>
        </w:rPr>
        <w:t>c</w:t>
      </w:r>
      <w:r w:rsidRPr="00B04DC3">
        <w:rPr>
          <w:vertAlign w:val="subscript"/>
          <w:lang w:val="en-GB"/>
        </w:rPr>
        <w:t>CO2,a</w:t>
      </w:r>
      <w:r w:rsidRPr="00B04DC3">
        <w:rPr>
          <w:lang w:val="en-GB"/>
        </w:rPr>
        <w:tab/>
        <w:t>is the wet CO</w:t>
      </w:r>
      <w:r w:rsidRPr="00B04DC3">
        <w:rPr>
          <w:vertAlign w:val="subscript"/>
          <w:lang w:val="en-GB"/>
        </w:rPr>
        <w:t>2</w:t>
      </w:r>
      <w:r w:rsidRPr="00B04DC3">
        <w:rPr>
          <w:lang w:val="en-GB"/>
        </w:rPr>
        <w:t xml:space="preserve"> concentration in the ambient air, per cent</w:t>
      </w:r>
    </w:p>
    <w:p w:rsidR="00002BA6" w:rsidRPr="00B04DC3" w:rsidRDefault="00002BA6" w:rsidP="00002BA6">
      <w:pPr>
        <w:pStyle w:val="para"/>
        <w:ind w:left="2835" w:hanging="567"/>
        <w:rPr>
          <w:lang w:val="en-GB"/>
        </w:rPr>
      </w:pPr>
      <w:r w:rsidRPr="00B04DC3">
        <w:rPr>
          <w:lang w:val="en-GB"/>
        </w:rPr>
        <w:t>q</w:t>
      </w:r>
      <w:r w:rsidRPr="00B04DC3">
        <w:rPr>
          <w:vertAlign w:val="subscript"/>
          <w:lang w:val="en-GB"/>
        </w:rPr>
        <w:t>mew</w:t>
      </w:r>
      <w:r w:rsidRPr="00B04DC3">
        <w:rPr>
          <w:lang w:val="en-GB"/>
        </w:rPr>
        <w:tab/>
        <w:t>is the exhaust gas mass flow rate on wet basis, kg/s</w:t>
      </w:r>
    </w:p>
    <w:p w:rsidR="00002BA6" w:rsidRPr="00B04DC3" w:rsidRDefault="00002BA6" w:rsidP="00002BA6">
      <w:pPr>
        <w:pStyle w:val="para"/>
        <w:ind w:left="2835" w:hanging="567"/>
        <w:rPr>
          <w:lang w:val="en-GB"/>
        </w:rPr>
      </w:pPr>
      <w:r w:rsidRPr="00B04DC3">
        <w:rPr>
          <w:lang w:val="en-GB"/>
        </w:rPr>
        <w:t>q</w:t>
      </w:r>
      <w:r w:rsidRPr="00B04DC3">
        <w:rPr>
          <w:vertAlign w:val="subscript"/>
          <w:lang w:val="en-GB"/>
        </w:rPr>
        <w:t>mp</w:t>
      </w:r>
      <w:r w:rsidRPr="00B04DC3">
        <w:rPr>
          <w:lang w:val="en-GB"/>
        </w:rPr>
        <w:tab/>
      </w:r>
      <w:r w:rsidRPr="00B04DC3">
        <w:rPr>
          <w:spacing w:val="-4"/>
          <w:lang w:val="en-GB"/>
        </w:rPr>
        <w:t>is the sample flow of exhaust gas into partial flow dilution system, kg/s</w:t>
      </w:r>
    </w:p>
    <w:p w:rsidR="00002BA6" w:rsidRPr="00B04DC3" w:rsidRDefault="00002BA6" w:rsidP="00002BA6">
      <w:pPr>
        <w:pStyle w:val="para"/>
        <w:ind w:left="2835" w:hanging="567"/>
        <w:rPr>
          <w:lang w:val="en-GB"/>
        </w:rPr>
      </w:pPr>
      <w:r w:rsidRPr="00B04DC3">
        <w:rPr>
          <w:lang w:val="en-GB"/>
        </w:rPr>
        <w:t>M</w:t>
      </w:r>
      <w:r w:rsidRPr="00B04DC3">
        <w:rPr>
          <w:vertAlign w:val="subscript"/>
          <w:lang w:val="en-GB"/>
        </w:rPr>
        <w:t>e</w:t>
      </w:r>
      <w:r w:rsidRPr="00B04DC3">
        <w:rPr>
          <w:lang w:val="en-GB"/>
        </w:rPr>
        <w:tab/>
        <w:t>is the molar mass of exhaust gas, g/mol</w:t>
      </w:r>
    </w:p>
    <w:p w:rsidR="00002BA6" w:rsidRPr="00B04DC3" w:rsidRDefault="00002BA6" w:rsidP="00002BA6">
      <w:pPr>
        <w:pStyle w:val="para"/>
        <w:ind w:firstLine="0"/>
        <w:rPr>
          <w:lang w:val="en-GB"/>
        </w:rPr>
      </w:pPr>
      <w:r w:rsidRPr="00B04DC3">
        <w:rPr>
          <w:lang w:val="en-GB"/>
        </w:rPr>
        <w:tab/>
        <w:t>If CO</w:t>
      </w:r>
      <w:r w:rsidRPr="00B04DC3">
        <w:rPr>
          <w:vertAlign w:val="subscript"/>
          <w:lang w:val="en-GB"/>
        </w:rPr>
        <w:t>2</w:t>
      </w:r>
      <w:r w:rsidRPr="00B04DC3">
        <w:rPr>
          <w:lang w:val="en-GB"/>
        </w:rPr>
        <w:t xml:space="preserve"> is measured on a dry basis, it shall be converted to wet basis according to paragraph 8.1.</w:t>
      </w:r>
      <w:r w:rsidR="00BB4DCD" w:rsidRPr="00BB4DCD">
        <w:rPr>
          <w:lang w:val="en-GB"/>
        </w:rPr>
        <w:t xml:space="preserve"> </w:t>
      </w:r>
      <w:r w:rsidR="00BB4DCD">
        <w:rPr>
          <w:lang w:val="en-GB"/>
        </w:rPr>
        <w:t>of this annex.</w:t>
      </w:r>
    </w:p>
    <w:p w:rsidR="00002BA6" w:rsidRPr="00B04DC3" w:rsidRDefault="00002BA6" w:rsidP="00002BA6">
      <w:pPr>
        <w:pStyle w:val="para"/>
        <w:rPr>
          <w:lang w:val="en-GB"/>
        </w:rPr>
      </w:pPr>
      <w:r w:rsidRPr="00B04DC3">
        <w:rPr>
          <w:lang w:val="en-GB"/>
        </w:rPr>
        <w:t>A.5.5.</w:t>
      </w:r>
      <w:r w:rsidRPr="00B04DC3">
        <w:rPr>
          <w:lang w:val="en-GB"/>
        </w:rPr>
        <w:tab/>
        <w:t>Calculation of the molar mass of the exhaust gas</w:t>
      </w:r>
    </w:p>
    <w:p w:rsidR="00002BA6" w:rsidRPr="00B04DC3" w:rsidRDefault="00002BA6" w:rsidP="00002BA6">
      <w:pPr>
        <w:pStyle w:val="para"/>
        <w:ind w:firstLine="0"/>
        <w:rPr>
          <w:lang w:val="en-GB"/>
        </w:rPr>
      </w:pPr>
      <w:r w:rsidRPr="00B04DC3">
        <w:rPr>
          <w:lang w:val="en-GB"/>
        </w:rPr>
        <w:tab/>
        <w:t>The molar mass of the exhaust gas shall be calculated according to equation 41 (see paragraph 8.4.2.4.</w:t>
      </w:r>
      <w:r w:rsidR="003B31D3" w:rsidRPr="003B31D3">
        <w:rPr>
          <w:lang w:val="en-GB"/>
        </w:rPr>
        <w:t xml:space="preserve"> </w:t>
      </w:r>
      <w:r w:rsidR="003B31D3">
        <w:rPr>
          <w:lang w:val="en-GB"/>
        </w:rPr>
        <w:t>of this annex</w:t>
      </w:r>
      <w:r w:rsidRPr="00B04DC3">
        <w:rPr>
          <w:lang w:val="en-GB"/>
        </w:rPr>
        <w:t>)</w:t>
      </w:r>
      <w:r w:rsidR="003B31D3">
        <w:rPr>
          <w:lang w:val="en-GB"/>
        </w:rPr>
        <w:t>.</w:t>
      </w:r>
    </w:p>
    <w:p w:rsidR="00002BA6" w:rsidRPr="00B04DC3" w:rsidRDefault="00002BA6" w:rsidP="00002BA6">
      <w:pPr>
        <w:pStyle w:val="para"/>
        <w:ind w:firstLine="0"/>
        <w:rPr>
          <w:szCs w:val="24"/>
          <w:lang w:val="en-GB"/>
        </w:rPr>
      </w:pPr>
      <w:r w:rsidRPr="00B04DC3">
        <w:rPr>
          <w:szCs w:val="24"/>
          <w:lang w:val="en-GB"/>
        </w:rPr>
        <w:tab/>
        <w:t>Alternatively, the following exhaust gas molar masses may be used:</w:t>
      </w:r>
    </w:p>
    <w:p w:rsidR="00002BA6" w:rsidRPr="00B04DC3" w:rsidRDefault="00002BA6" w:rsidP="00002BA6">
      <w:pPr>
        <w:pStyle w:val="para"/>
        <w:ind w:firstLine="0"/>
        <w:rPr>
          <w:szCs w:val="24"/>
          <w:lang w:val="en-GB"/>
        </w:rPr>
      </w:pPr>
      <w:r w:rsidRPr="00B04DC3">
        <w:rPr>
          <w:i/>
          <w:szCs w:val="24"/>
          <w:lang w:val="en-GB"/>
        </w:rPr>
        <w:tab/>
      </w:r>
      <w:r w:rsidRPr="00B04DC3">
        <w:rPr>
          <w:szCs w:val="24"/>
          <w:lang w:val="en-GB"/>
        </w:rPr>
        <w:t>M</w:t>
      </w:r>
      <w:r w:rsidRPr="00B04DC3">
        <w:rPr>
          <w:szCs w:val="24"/>
          <w:vertAlign w:val="subscript"/>
          <w:lang w:val="en-GB"/>
        </w:rPr>
        <w:t>e</w:t>
      </w:r>
      <w:r w:rsidRPr="00B04DC3">
        <w:rPr>
          <w:szCs w:val="24"/>
          <w:lang w:val="en-GB"/>
        </w:rPr>
        <w:t xml:space="preserve"> (diesel)</w:t>
      </w:r>
      <w:r w:rsidRPr="00B04DC3">
        <w:rPr>
          <w:szCs w:val="24"/>
          <w:lang w:val="en-GB"/>
        </w:rPr>
        <w:tab/>
        <w:t>=</w:t>
      </w:r>
      <w:r w:rsidRPr="00B04DC3">
        <w:rPr>
          <w:szCs w:val="24"/>
          <w:lang w:val="en-GB"/>
        </w:rPr>
        <w:tab/>
        <w:t>28.9 g/mol</w:t>
      </w:r>
    </w:p>
    <w:p w:rsidR="00002BA6" w:rsidRPr="00B04DC3" w:rsidRDefault="00002BA6" w:rsidP="00002BA6">
      <w:pPr>
        <w:pStyle w:val="para"/>
        <w:ind w:firstLine="0"/>
        <w:rPr>
          <w:szCs w:val="24"/>
          <w:lang w:val="en-GB"/>
        </w:rPr>
      </w:pPr>
      <w:r w:rsidRPr="00B04DC3">
        <w:rPr>
          <w:szCs w:val="24"/>
          <w:lang w:val="en-GB"/>
        </w:rPr>
        <w:tab/>
        <w:t>M</w:t>
      </w:r>
      <w:r w:rsidRPr="00B04DC3">
        <w:rPr>
          <w:szCs w:val="24"/>
          <w:vertAlign w:val="subscript"/>
          <w:lang w:val="en-GB"/>
        </w:rPr>
        <w:t>e</w:t>
      </w:r>
      <w:r w:rsidRPr="00B04DC3">
        <w:rPr>
          <w:szCs w:val="24"/>
          <w:lang w:val="en-GB"/>
        </w:rPr>
        <w:t xml:space="preserve"> (LPG)</w:t>
      </w:r>
      <w:r w:rsidRPr="00B04DC3">
        <w:rPr>
          <w:szCs w:val="24"/>
          <w:lang w:val="en-GB"/>
        </w:rPr>
        <w:tab/>
        <w:t>=</w:t>
      </w:r>
      <w:r w:rsidRPr="00B04DC3">
        <w:rPr>
          <w:szCs w:val="24"/>
          <w:lang w:val="en-GB"/>
        </w:rPr>
        <w:tab/>
        <w:t>28.6 g/mol</w:t>
      </w:r>
    </w:p>
    <w:p w:rsidR="00002BA6" w:rsidRPr="00B04DC3" w:rsidRDefault="00002BA6" w:rsidP="00002BA6">
      <w:pPr>
        <w:pStyle w:val="para"/>
        <w:ind w:firstLine="0"/>
        <w:rPr>
          <w:szCs w:val="24"/>
          <w:lang w:val="en-GB"/>
        </w:rPr>
      </w:pPr>
      <w:r w:rsidRPr="00B04DC3">
        <w:rPr>
          <w:szCs w:val="24"/>
          <w:lang w:val="en-GB"/>
        </w:rPr>
        <w:tab/>
        <w:t>M</w:t>
      </w:r>
      <w:r w:rsidRPr="00B04DC3">
        <w:rPr>
          <w:szCs w:val="24"/>
          <w:vertAlign w:val="subscript"/>
          <w:lang w:val="en-GB"/>
        </w:rPr>
        <w:t>e</w:t>
      </w:r>
      <w:r w:rsidRPr="00B04DC3">
        <w:rPr>
          <w:szCs w:val="24"/>
          <w:lang w:val="en-GB"/>
        </w:rPr>
        <w:t xml:space="preserve"> (NG)</w:t>
      </w:r>
      <w:r w:rsidRPr="00B04DC3">
        <w:rPr>
          <w:szCs w:val="24"/>
          <w:lang w:val="en-GB"/>
        </w:rPr>
        <w:tab/>
        <w:t>=</w:t>
      </w:r>
      <w:r w:rsidRPr="00B04DC3">
        <w:rPr>
          <w:szCs w:val="24"/>
          <w:lang w:val="en-GB"/>
        </w:rPr>
        <w:tab/>
        <w:t>28.3 g/mol</w:t>
      </w:r>
    </w:p>
    <w:p w:rsidR="00002BA6" w:rsidRPr="00B04DC3" w:rsidRDefault="00002BA6" w:rsidP="00002BA6">
      <w:pPr>
        <w:pStyle w:val="HChG"/>
        <w:sectPr w:rsidR="00002BA6" w:rsidRPr="00B04DC3" w:rsidSect="007C2EE6">
          <w:headerReference w:type="even" r:id="rId467"/>
          <w:headerReference w:type="default" r:id="rId468"/>
          <w:headerReference w:type="first" r:id="rId469"/>
          <w:footerReference w:type="first" r:id="rId470"/>
          <w:footnotePr>
            <w:numRestart w:val="eachSect"/>
          </w:footnotePr>
          <w:endnotePr>
            <w:numFmt w:val="decimal"/>
          </w:endnotePr>
          <w:pgSz w:w="11907" w:h="16840" w:code="9"/>
          <w:pgMar w:top="1954" w:right="1134" w:bottom="2268" w:left="1134" w:header="1134" w:footer="1701" w:gutter="0"/>
          <w:cols w:space="720"/>
          <w:titlePg/>
        </w:sectPr>
      </w:pPr>
      <w:bookmarkStart w:id="655" w:name="_Toc66951842"/>
      <w:bookmarkStart w:id="656" w:name="_Toc66953266"/>
    </w:p>
    <w:p w:rsidR="00002BA6" w:rsidRPr="0088419A" w:rsidRDefault="00002BA6" w:rsidP="0088419A">
      <w:pPr>
        <w:pStyle w:val="HChG"/>
        <w:spacing w:after="360"/>
      </w:pPr>
      <w:bookmarkStart w:id="657" w:name="_Toc423599637"/>
      <w:bookmarkStart w:id="658" w:name="_Toc423611045"/>
      <w:r w:rsidRPr="0088419A">
        <w:t>Annex 4B</w:t>
      </w:r>
      <w:r w:rsidR="007C2EE6" w:rsidRPr="0088419A">
        <w:t xml:space="preserve"> - </w:t>
      </w:r>
      <w:r w:rsidRPr="0088419A">
        <w:t>Appendix 6</w:t>
      </w:r>
      <w:bookmarkEnd w:id="655"/>
      <w:bookmarkEnd w:id="657"/>
      <w:bookmarkEnd w:id="658"/>
    </w:p>
    <w:bookmarkEnd w:id="656"/>
    <w:p w:rsidR="00002BA6" w:rsidRPr="0088419A" w:rsidRDefault="00002BA6" w:rsidP="0088419A">
      <w:pPr>
        <w:pStyle w:val="HChG"/>
        <w:spacing w:after="360"/>
      </w:pPr>
      <w:r w:rsidRPr="0088419A">
        <w:tab/>
      </w:r>
      <w:r w:rsidRPr="0088419A">
        <w:tab/>
      </w:r>
      <w:bookmarkStart w:id="659" w:name="_Toc423599638"/>
      <w:bookmarkStart w:id="660" w:name="_Toc423611046"/>
      <w:r w:rsidRPr="0088419A">
        <w:t>Example of calculation procedure</w:t>
      </w:r>
      <w:bookmarkEnd w:id="659"/>
      <w:bookmarkEnd w:id="660"/>
    </w:p>
    <w:p w:rsidR="00002BA6" w:rsidRPr="00B04DC3" w:rsidRDefault="00002BA6" w:rsidP="00002BA6">
      <w:pPr>
        <w:pStyle w:val="para"/>
        <w:ind w:left="1134" w:firstLine="0"/>
        <w:rPr>
          <w:lang w:val="en-GB" w:eastAsia="ja-JP"/>
        </w:rPr>
      </w:pPr>
      <w:bookmarkStart w:id="661" w:name="_Toc66871780"/>
      <w:r w:rsidRPr="00B04DC3">
        <w:rPr>
          <w:lang w:val="en-GB"/>
        </w:rPr>
        <w:t>A.6.1.</w:t>
      </w:r>
      <w:r w:rsidRPr="00B04DC3">
        <w:rPr>
          <w:lang w:val="en-GB" w:eastAsia="ja-JP"/>
        </w:rPr>
        <w:tab/>
      </w:r>
      <w:r w:rsidRPr="00B04DC3">
        <w:rPr>
          <w:lang w:val="en-GB" w:eastAsia="ja-JP"/>
        </w:rPr>
        <w:tab/>
        <w:t>Speed and torque denormalization procedure</w:t>
      </w:r>
    </w:p>
    <w:p w:rsidR="00002BA6" w:rsidRPr="00B04DC3" w:rsidRDefault="00002BA6" w:rsidP="00002BA6">
      <w:pPr>
        <w:pStyle w:val="para"/>
        <w:ind w:firstLine="0"/>
        <w:rPr>
          <w:lang w:val="en-GB" w:eastAsia="ja-JP"/>
        </w:rPr>
      </w:pPr>
      <w:r w:rsidRPr="00B04DC3">
        <w:rPr>
          <w:lang w:val="en-GB" w:eastAsia="ja-JP"/>
        </w:rPr>
        <w:tab/>
        <w:t>As an example, the following test point shall be denormalized:</w:t>
      </w:r>
    </w:p>
    <w:p w:rsidR="00002BA6" w:rsidRPr="00B04DC3" w:rsidRDefault="00002BA6" w:rsidP="00002BA6">
      <w:pPr>
        <w:pStyle w:val="para"/>
        <w:tabs>
          <w:tab w:val="left" w:pos="3544"/>
        </w:tabs>
        <w:ind w:firstLine="0"/>
        <w:rPr>
          <w:lang w:val="en-GB"/>
        </w:rPr>
      </w:pPr>
      <w:r w:rsidRPr="00B04DC3">
        <w:rPr>
          <w:lang w:val="en-GB"/>
        </w:rPr>
        <w:t>per cent speed</w:t>
      </w:r>
      <w:r w:rsidRPr="00B04DC3">
        <w:rPr>
          <w:lang w:val="en-GB"/>
        </w:rPr>
        <w:tab/>
        <w:t>=</w:t>
      </w:r>
      <w:r w:rsidRPr="00B04DC3">
        <w:rPr>
          <w:lang w:val="en-GB"/>
        </w:rPr>
        <w:tab/>
        <w:t>43 per cent</w:t>
      </w:r>
    </w:p>
    <w:p w:rsidR="00002BA6" w:rsidRPr="00B04DC3" w:rsidRDefault="00002BA6" w:rsidP="00002BA6">
      <w:pPr>
        <w:pStyle w:val="para"/>
        <w:tabs>
          <w:tab w:val="left" w:pos="3544"/>
        </w:tabs>
        <w:ind w:firstLine="0"/>
        <w:rPr>
          <w:lang w:val="en-GB"/>
        </w:rPr>
      </w:pPr>
      <w:r w:rsidRPr="00B04DC3">
        <w:rPr>
          <w:lang w:val="en-GB"/>
        </w:rPr>
        <w:t>per cent torque</w:t>
      </w:r>
      <w:r w:rsidRPr="00B04DC3">
        <w:rPr>
          <w:lang w:val="en-GB"/>
        </w:rPr>
        <w:tab/>
        <w:t>=</w:t>
      </w:r>
      <w:r w:rsidRPr="00B04DC3">
        <w:rPr>
          <w:lang w:val="en-GB"/>
        </w:rPr>
        <w:tab/>
        <w:t>82 per cent</w:t>
      </w:r>
    </w:p>
    <w:p w:rsidR="00002BA6" w:rsidRPr="00B04DC3" w:rsidRDefault="00002BA6" w:rsidP="00002BA6">
      <w:pPr>
        <w:pStyle w:val="para"/>
        <w:ind w:left="1134" w:firstLine="0"/>
        <w:rPr>
          <w:lang w:val="en-GB"/>
        </w:rPr>
      </w:pPr>
      <w:r w:rsidRPr="00B04DC3">
        <w:rPr>
          <w:lang w:val="en-GB"/>
        </w:rPr>
        <w:tab/>
      </w:r>
      <w:r w:rsidRPr="00B04DC3">
        <w:rPr>
          <w:lang w:val="en-GB"/>
        </w:rPr>
        <w:tab/>
        <w:t>Given the following values:</w:t>
      </w:r>
    </w:p>
    <w:p w:rsidR="00002BA6" w:rsidRPr="00B04DC3" w:rsidRDefault="00002BA6" w:rsidP="00665E2D">
      <w:pPr>
        <w:pStyle w:val="para"/>
        <w:spacing w:after="80"/>
        <w:ind w:firstLine="0"/>
        <w:rPr>
          <w:lang w:val="en-GB" w:eastAsia="ja-JP"/>
        </w:rPr>
      </w:pPr>
      <w:r w:rsidRPr="00B04DC3">
        <w:rPr>
          <w:i/>
          <w:lang w:val="en-GB" w:eastAsia="ja-JP"/>
        </w:rPr>
        <w:tab/>
      </w:r>
      <w:r w:rsidRPr="00B04DC3">
        <w:rPr>
          <w:lang w:val="en-GB" w:eastAsia="ja-JP"/>
        </w:rPr>
        <w:t>n</w:t>
      </w:r>
      <w:r w:rsidRPr="00B04DC3">
        <w:rPr>
          <w:vertAlign w:val="subscript"/>
          <w:lang w:val="en-GB" w:eastAsia="ja-JP"/>
        </w:rPr>
        <w:t>lo</w:t>
      </w:r>
      <w:r w:rsidRPr="00B04DC3">
        <w:rPr>
          <w:lang w:val="en-GB" w:eastAsia="ja-JP"/>
        </w:rPr>
        <w:tab/>
        <w:t>=</w:t>
      </w:r>
      <w:r w:rsidRPr="00B04DC3">
        <w:rPr>
          <w:lang w:val="en-GB" w:eastAsia="ja-JP"/>
        </w:rPr>
        <w:tab/>
        <w:t xml:space="preserve">1,015 </w:t>
      </w:r>
      <w:r w:rsidRPr="00B04DC3">
        <w:rPr>
          <w:lang w:val="en-GB"/>
        </w:rPr>
        <w:t>min</w:t>
      </w:r>
      <w:r w:rsidRPr="00B04DC3">
        <w:rPr>
          <w:vertAlign w:val="superscript"/>
          <w:lang w:val="en-GB"/>
        </w:rPr>
        <w:t>-1</w:t>
      </w:r>
    </w:p>
    <w:p w:rsidR="00002BA6" w:rsidRPr="00B04DC3" w:rsidRDefault="00002BA6" w:rsidP="00665E2D">
      <w:pPr>
        <w:pStyle w:val="para"/>
        <w:spacing w:after="80"/>
        <w:ind w:firstLine="0"/>
        <w:rPr>
          <w:lang w:val="en-GB" w:eastAsia="ja-JP"/>
        </w:rPr>
      </w:pPr>
      <w:r w:rsidRPr="00B04DC3">
        <w:rPr>
          <w:lang w:val="en-GB" w:eastAsia="ja-JP"/>
        </w:rPr>
        <w:tab/>
        <w:t>n</w:t>
      </w:r>
      <w:r w:rsidRPr="00B04DC3">
        <w:rPr>
          <w:vertAlign w:val="subscript"/>
          <w:lang w:val="en-GB" w:eastAsia="ja-JP"/>
        </w:rPr>
        <w:t>hi</w:t>
      </w:r>
      <w:r w:rsidRPr="00B04DC3">
        <w:rPr>
          <w:lang w:val="en-GB" w:eastAsia="ja-JP"/>
        </w:rPr>
        <w:tab/>
        <w:t>=</w:t>
      </w:r>
      <w:r w:rsidRPr="00B04DC3">
        <w:rPr>
          <w:lang w:val="en-GB" w:eastAsia="ja-JP"/>
        </w:rPr>
        <w:tab/>
        <w:t xml:space="preserve">2,200 </w:t>
      </w:r>
      <w:r w:rsidRPr="00B04DC3">
        <w:rPr>
          <w:lang w:val="en-GB"/>
        </w:rPr>
        <w:t>min</w:t>
      </w:r>
      <w:r w:rsidRPr="00B04DC3">
        <w:rPr>
          <w:vertAlign w:val="superscript"/>
          <w:lang w:val="en-GB"/>
        </w:rPr>
        <w:t>-1</w:t>
      </w:r>
    </w:p>
    <w:p w:rsidR="00002BA6" w:rsidRPr="00B04DC3" w:rsidRDefault="00002BA6" w:rsidP="00665E2D">
      <w:pPr>
        <w:pStyle w:val="para"/>
        <w:spacing w:after="80"/>
        <w:ind w:firstLine="0"/>
        <w:rPr>
          <w:lang w:val="en-GB" w:eastAsia="ja-JP"/>
        </w:rPr>
      </w:pPr>
      <w:r w:rsidRPr="00B04DC3">
        <w:rPr>
          <w:lang w:val="en-GB" w:eastAsia="ja-JP"/>
        </w:rPr>
        <w:tab/>
        <w:t>n</w:t>
      </w:r>
      <w:r w:rsidRPr="00B04DC3">
        <w:rPr>
          <w:vertAlign w:val="subscript"/>
          <w:lang w:val="en-GB" w:eastAsia="ja-JP"/>
        </w:rPr>
        <w:t>pref</w:t>
      </w:r>
      <w:r w:rsidRPr="00B04DC3">
        <w:rPr>
          <w:lang w:val="en-GB" w:eastAsia="ja-JP"/>
        </w:rPr>
        <w:tab/>
        <w:t>=</w:t>
      </w:r>
      <w:r w:rsidRPr="00B04DC3">
        <w:rPr>
          <w:lang w:val="en-GB" w:eastAsia="ja-JP"/>
        </w:rPr>
        <w:tab/>
        <w:t xml:space="preserve">1,300 </w:t>
      </w:r>
      <w:r w:rsidRPr="00B04DC3">
        <w:rPr>
          <w:lang w:val="en-GB"/>
        </w:rPr>
        <w:t>min</w:t>
      </w:r>
      <w:r w:rsidRPr="00B04DC3">
        <w:rPr>
          <w:vertAlign w:val="superscript"/>
          <w:lang w:val="en-GB"/>
        </w:rPr>
        <w:t>-1</w:t>
      </w:r>
    </w:p>
    <w:p w:rsidR="00002BA6" w:rsidRPr="00B04DC3" w:rsidRDefault="00002BA6" w:rsidP="00002BA6">
      <w:pPr>
        <w:pStyle w:val="para"/>
        <w:ind w:firstLine="0"/>
        <w:rPr>
          <w:lang w:val="en-GB" w:eastAsia="ja-JP"/>
        </w:rPr>
      </w:pPr>
      <w:r w:rsidRPr="00B04DC3">
        <w:rPr>
          <w:lang w:val="en-GB" w:eastAsia="ja-JP"/>
        </w:rPr>
        <w:tab/>
        <w:t>n</w:t>
      </w:r>
      <w:r w:rsidRPr="00B04DC3">
        <w:rPr>
          <w:vertAlign w:val="subscript"/>
          <w:lang w:val="en-GB" w:eastAsia="ja-JP"/>
        </w:rPr>
        <w:t>idle</w:t>
      </w:r>
      <w:r w:rsidRPr="00B04DC3">
        <w:rPr>
          <w:lang w:val="en-GB" w:eastAsia="ja-JP"/>
        </w:rPr>
        <w:tab/>
        <w:t>=</w:t>
      </w:r>
      <w:r w:rsidRPr="00B04DC3">
        <w:rPr>
          <w:lang w:val="en-GB" w:eastAsia="ja-JP"/>
        </w:rPr>
        <w:tab/>
        <w:t xml:space="preserve">   600 </w:t>
      </w:r>
      <w:r w:rsidRPr="00B04DC3">
        <w:rPr>
          <w:lang w:val="en-GB"/>
        </w:rPr>
        <w:t>min</w:t>
      </w:r>
      <w:r w:rsidRPr="00B04DC3">
        <w:rPr>
          <w:vertAlign w:val="superscript"/>
          <w:lang w:val="en-GB"/>
        </w:rPr>
        <w:t>-1</w:t>
      </w:r>
    </w:p>
    <w:p w:rsidR="00002BA6" w:rsidRPr="00B04DC3" w:rsidRDefault="00002BA6" w:rsidP="00002BA6">
      <w:pPr>
        <w:pStyle w:val="para"/>
        <w:ind w:firstLine="0"/>
        <w:rPr>
          <w:lang w:val="en-GB" w:eastAsia="ja-JP"/>
        </w:rPr>
      </w:pPr>
      <w:r w:rsidRPr="00B04DC3">
        <w:rPr>
          <w:lang w:val="en-GB" w:eastAsia="ja-JP"/>
        </w:rPr>
        <w:tab/>
        <w:t>results in:</w:t>
      </w:r>
    </w:p>
    <w:p w:rsidR="00002BA6" w:rsidRPr="00B04DC3" w:rsidRDefault="00002BA6" w:rsidP="00002BA6">
      <w:pPr>
        <w:pStyle w:val="para"/>
        <w:rPr>
          <w:lang w:val="en-GB"/>
        </w:rPr>
      </w:pPr>
      <w:r w:rsidRPr="00B04DC3">
        <w:rPr>
          <w:lang w:val="en-GB"/>
        </w:rPr>
        <w:t xml:space="preserve">actual speed = </w:t>
      </w:r>
      <w:r w:rsidR="00955037" w:rsidRPr="00B04DC3">
        <w:rPr>
          <w:spacing w:val="-2"/>
          <w:position w:val="-24"/>
          <w:lang w:val="en-GB"/>
        </w:rPr>
        <w:object w:dxaOrig="6320" w:dyaOrig="620">
          <v:shape id="_x0000_i1319" type="#_x0000_t75" style="width:250.2pt;height:25.8pt" o:ole="" fillcolor="window">
            <v:imagedata r:id="rId471" o:title=""/>
          </v:shape>
          <o:OLEObject Type="Embed" ProgID="Equation.3" ShapeID="_x0000_i1319" DrawAspect="Content" ObjectID="_1498392375" r:id="rId472"/>
        </w:object>
      </w:r>
      <w:r w:rsidRPr="00B04DC3">
        <w:rPr>
          <w:spacing w:val="-2"/>
          <w:lang w:val="en-GB"/>
        </w:rPr>
        <w:t xml:space="preserve"> </w:t>
      </w:r>
      <w:r w:rsidRPr="00B04DC3">
        <w:rPr>
          <w:lang w:val="en-GB"/>
        </w:rPr>
        <w:t>= 1,178 min</w:t>
      </w:r>
      <w:r w:rsidRPr="00B04DC3">
        <w:rPr>
          <w:vertAlign w:val="superscript"/>
          <w:lang w:val="en-GB"/>
        </w:rPr>
        <w:t>-1</w:t>
      </w:r>
    </w:p>
    <w:p w:rsidR="00002BA6" w:rsidRPr="00B04DC3" w:rsidRDefault="00002BA6" w:rsidP="00002BA6">
      <w:pPr>
        <w:pStyle w:val="para"/>
        <w:ind w:firstLine="0"/>
        <w:rPr>
          <w:lang w:val="en-GB"/>
        </w:rPr>
      </w:pPr>
      <w:r w:rsidRPr="00B04DC3">
        <w:rPr>
          <w:lang w:val="en-GB"/>
        </w:rPr>
        <w:tab/>
        <w:t>With the maximum torque of 700 Nm observed from the mapping curve at 1,178 min</w:t>
      </w:r>
      <w:r w:rsidRPr="00B04DC3">
        <w:rPr>
          <w:vertAlign w:val="superscript"/>
          <w:lang w:val="en-GB"/>
        </w:rPr>
        <w:t>-1</w:t>
      </w:r>
    </w:p>
    <w:p w:rsidR="00002BA6" w:rsidRPr="00B04DC3" w:rsidRDefault="00002BA6" w:rsidP="00002BA6">
      <w:pPr>
        <w:pStyle w:val="para"/>
        <w:ind w:firstLine="0"/>
        <w:rPr>
          <w:lang w:val="en-GB"/>
        </w:rPr>
      </w:pPr>
      <w:r w:rsidRPr="00B04DC3">
        <w:rPr>
          <w:lang w:val="en-GB"/>
        </w:rPr>
        <w:tab/>
        <w:t xml:space="preserve">actual torque </w:t>
      </w:r>
      <w:r w:rsidRPr="00B04DC3">
        <w:rPr>
          <w:lang w:val="en-GB"/>
        </w:rPr>
        <w:tab/>
        <w:t>=</w:t>
      </w:r>
      <w:r w:rsidR="0088419A">
        <w:rPr>
          <w:lang w:val="en-GB"/>
        </w:rPr>
        <w:t xml:space="preserve"> </w:t>
      </w:r>
      <w:r w:rsidRPr="00B04DC3">
        <w:rPr>
          <w:lang w:val="en-GB"/>
        </w:rPr>
        <w:t xml:space="preserve"> </w:t>
      </w:r>
      <w:r w:rsidR="00A905B7">
        <w:rPr>
          <w:position w:val="-24"/>
          <w:lang w:val="en-GB"/>
        </w:rPr>
        <w:pict>
          <v:shape id="_x0000_i1320" type="#_x0000_t75" style="width:33.6pt;height:24pt" fillcolor="window">
            <v:imagedata r:id="rId473" o:title=""/>
          </v:shape>
        </w:pict>
      </w:r>
      <w:r w:rsidRPr="00B04DC3">
        <w:rPr>
          <w:lang w:val="en-GB"/>
        </w:rPr>
        <w:t xml:space="preserve"> </w:t>
      </w:r>
      <w:r w:rsidR="0088419A">
        <w:rPr>
          <w:lang w:val="en-GB"/>
        </w:rPr>
        <w:t xml:space="preserve"> </w:t>
      </w:r>
      <w:r w:rsidRPr="00B04DC3">
        <w:rPr>
          <w:lang w:val="en-GB"/>
        </w:rPr>
        <w:t>=</w:t>
      </w:r>
      <w:r w:rsidR="0088419A">
        <w:rPr>
          <w:lang w:val="en-GB"/>
        </w:rPr>
        <w:t xml:space="preserve"> </w:t>
      </w:r>
      <w:r w:rsidRPr="00B04DC3">
        <w:rPr>
          <w:lang w:val="en-GB"/>
        </w:rPr>
        <w:t xml:space="preserve"> 574 Nm</w:t>
      </w:r>
    </w:p>
    <w:p w:rsidR="00002BA6" w:rsidRPr="00B04DC3" w:rsidRDefault="00002BA6" w:rsidP="00002BA6">
      <w:pPr>
        <w:pStyle w:val="para"/>
        <w:rPr>
          <w:lang w:val="en-GB"/>
        </w:rPr>
      </w:pPr>
      <w:r w:rsidRPr="00B04DC3">
        <w:rPr>
          <w:lang w:val="en-GB"/>
        </w:rPr>
        <w:t>A.6.2.</w:t>
      </w:r>
      <w:r w:rsidRPr="00B04DC3">
        <w:rPr>
          <w:lang w:val="en-GB"/>
        </w:rPr>
        <w:tab/>
        <w:t>Basic data for stoichiometric calculations</w:t>
      </w:r>
    </w:p>
    <w:p w:rsidR="00002BA6" w:rsidRPr="00B04DC3" w:rsidRDefault="00002BA6" w:rsidP="00002BA6">
      <w:pPr>
        <w:tabs>
          <w:tab w:val="left" w:pos="5387"/>
          <w:tab w:val="left" w:pos="8789"/>
        </w:tabs>
        <w:spacing w:after="120"/>
        <w:ind w:left="2268" w:hanging="1134"/>
        <w:jc w:val="both"/>
      </w:pPr>
      <w:r w:rsidRPr="00B04DC3">
        <w:tab/>
        <w:t>Atomic mass of hydrogen</w:t>
      </w:r>
      <w:r w:rsidRPr="00B04DC3">
        <w:tab/>
        <w:t>1.00794 g/atom</w:t>
      </w:r>
    </w:p>
    <w:p w:rsidR="00002BA6" w:rsidRPr="00B04DC3" w:rsidRDefault="00002BA6" w:rsidP="00002BA6">
      <w:pPr>
        <w:tabs>
          <w:tab w:val="left" w:pos="5387"/>
          <w:tab w:val="left" w:pos="8789"/>
        </w:tabs>
        <w:spacing w:after="120"/>
        <w:ind w:left="2268" w:hanging="1134"/>
        <w:jc w:val="both"/>
      </w:pPr>
      <w:r w:rsidRPr="00B04DC3">
        <w:tab/>
        <w:t>Atomic mass of carbon</w:t>
      </w:r>
      <w:r w:rsidRPr="00B04DC3">
        <w:tab/>
        <w:t>12.011 g/atom</w:t>
      </w:r>
    </w:p>
    <w:p w:rsidR="00002BA6" w:rsidRPr="00B04DC3" w:rsidRDefault="00002BA6" w:rsidP="00002BA6">
      <w:pPr>
        <w:tabs>
          <w:tab w:val="left" w:pos="5387"/>
          <w:tab w:val="left" w:pos="8789"/>
        </w:tabs>
        <w:spacing w:after="120"/>
        <w:ind w:left="2268" w:hanging="1134"/>
        <w:jc w:val="both"/>
      </w:pPr>
      <w:r w:rsidRPr="00B04DC3">
        <w:tab/>
        <w:t>Atomic mass of sulphur</w:t>
      </w:r>
      <w:r w:rsidRPr="00B04DC3">
        <w:tab/>
        <w:t>32.065 g/atom</w:t>
      </w:r>
    </w:p>
    <w:p w:rsidR="00002BA6" w:rsidRPr="00B04DC3" w:rsidRDefault="00002BA6" w:rsidP="00002BA6">
      <w:pPr>
        <w:tabs>
          <w:tab w:val="left" w:pos="5387"/>
          <w:tab w:val="left" w:pos="8789"/>
        </w:tabs>
        <w:spacing w:after="120"/>
        <w:ind w:left="2268" w:hanging="1134"/>
        <w:jc w:val="both"/>
      </w:pPr>
      <w:r w:rsidRPr="00B04DC3">
        <w:tab/>
        <w:t>Atomic mass of nitrogen</w:t>
      </w:r>
      <w:r w:rsidRPr="00B04DC3">
        <w:tab/>
        <w:t>14.0067 g/atom</w:t>
      </w:r>
    </w:p>
    <w:p w:rsidR="00002BA6" w:rsidRPr="00B04DC3" w:rsidRDefault="00002BA6" w:rsidP="00002BA6">
      <w:pPr>
        <w:tabs>
          <w:tab w:val="left" w:pos="5387"/>
          <w:tab w:val="left" w:pos="8789"/>
        </w:tabs>
        <w:spacing w:after="120"/>
        <w:ind w:left="2268" w:hanging="1134"/>
        <w:jc w:val="both"/>
      </w:pPr>
      <w:r w:rsidRPr="00B04DC3">
        <w:tab/>
        <w:t>Atomic mass of oxygen</w:t>
      </w:r>
      <w:r w:rsidRPr="00B04DC3">
        <w:tab/>
        <w:t>15.9994 g/atom</w:t>
      </w:r>
    </w:p>
    <w:p w:rsidR="00002BA6" w:rsidRPr="00B04DC3" w:rsidRDefault="00002BA6" w:rsidP="00002BA6">
      <w:pPr>
        <w:tabs>
          <w:tab w:val="left" w:pos="5387"/>
          <w:tab w:val="left" w:pos="8789"/>
        </w:tabs>
        <w:spacing w:after="120"/>
        <w:ind w:left="2268" w:hanging="1134"/>
        <w:jc w:val="both"/>
      </w:pPr>
      <w:r w:rsidRPr="00B04DC3">
        <w:tab/>
        <w:t>Atomic mass of argon</w:t>
      </w:r>
      <w:r w:rsidRPr="00B04DC3">
        <w:tab/>
        <w:t>39.9 g/atom</w:t>
      </w:r>
    </w:p>
    <w:p w:rsidR="00002BA6" w:rsidRPr="00B04DC3" w:rsidRDefault="00002BA6" w:rsidP="00002BA6">
      <w:pPr>
        <w:tabs>
          <w:tab w:val="left" w:pos="5387"/>
          <w:tab w:val="left" w:pos="8789"/>
        </w:tabs>
        <w:spacing w:after="120"/>
        <w:ind w:left="2268" w:hanging="1134"/>
        <w:jc w:val="both"/>
      </w:pPr>
      <w:r w:rsidRPr="00B04DC3">
        <w:tab/>
        <w:t>Molar mass of water</w:t>
      </w:r>
      <w:r w:rsidRPr="00B04DC3">
        <w:tab/>
        <w:t>18.01534 g/mol</w:t>
      </w:r>
    </w:p>
    <w:p w:rsidR="00002BA6" w:rsidRPr="00B04DC3" w:rsidRDefault="00002BA6" w:rsidP="00002BA6">
      <w:pPr>
        <w:tabs>
          <w:tab w:val="left" w:pos="5387"/>
          <w:tab w:val="left" w:pos="8789"/>
        </w:tabs>
        <w:spacing w:after="120"/>
        <w:ind w:left="2268" w:hanging="1134"/>
        <w:jc w:val="both"/>
      </w:pPr>
      <w:r w:rsidRPr="00B04DC3">
        <w:tab/>
        <w:t>Molar mass of carbon dioxide</w:t>
      </w:r>
      <w:r w:rsidRPr="00B04DC3">
        <w:tab/>
        <w:t>44.01 g/mol</w:t>
      </w:r>
    </w:p>
    <w:p w:rsidR="00002BA6" w:rsidRPr="00B04DC3" w:rsidRDefault="00002BA6" w:rsidP="00002BA6">
      <w:pPr>
        <w:tabs>
          <w:tab w:val="left" w:pos="5387"/>
          <w:tab w:val="left" w:pos="8789"/>
        </w:tabs>
        <w:spacing w:after="120"/>
        <w:ind w:left="2268" w:hanging="1134"/>
        <w:jc w:val="both"/>
      </w:pPr>
      <w:r w:rsidRPr="00B04DC3">
        <w:tab/>
        <w:t>Molar mass of carbon monoxide</w:t>
      </w:r>
      <w:r w:rsidRPr="00B04DC3">
        <w:tab/>
        <w:t>28.011 g/mol</w:t>
      </w:r>
    </w:p>
    <w:p w:rsidR="00002BA6" w:rsidRPr="00B04DC3" w:rsidRDefault="00002BA6" w:rsidP="00002BA6">
      <w:pPr>
        <w:tabs>
          <w:tab w:val="left" w:pos="5387"/>
          <w:tab w:val="left" w:pos="8789"/>
        </w:tabs>
        <w:spacing w:after="120"/>
        <w:ind w:left="2268" w:hanging="1134"/>
        <w:jc w:val="both"/>
      </w:pPr>
      <w:r w:rsidRPr="00B04DC3">
        <w:tab/>
        <w:t>Molar mass of oxygen</w:t>
      </w:r>
      <w:r w:rsidRPr="00B04DC3">
        <w:tab/>
        <w:t>31.9988 g/mol</w:t>
      </w:r>
    </w:p>
    <w:p w:rsidR="00002BA6" w:rsidRPr="00B04DC3" w:rsidRDefault="00002BA6" w:rsidP="00002BA6">
      <w:pPr>
        <w:tabs>
          <w:tab w:val="left" w:pos="5387"/>
          <w:tab w:val="left" w:pos="8789"/>
        </w:tabs>
        <w:spacing w:after="120"/>
        <w:ind w:left="2268" w:hanging="1134"/>
        <w:jc w:val="both"/>
      </w:pPr>
      <w:r w:rsidRPr="00B04DC3">
        <w:tab/>
        <w:t>Molar mass of nitrogen</w:t>
      </w:r>
      <w:r w:rsidRPr="00B04DC3">
        <w:tab/>
        <w:t>28.011 g/mol</w:t>
      </w:r>
    </w:p>
    <w:p w:rsidR="00002BA6" w:rsidRPr="00B04DC3" w:rsidRDefault="00002BA6" w:rsidP="00002BA6">
      <w:pPr>
        <w:tabs>
          <w:tab w:val="left" w:pos="5387"/>
          <w:tab w:val="left" w:pos="8789"/>
        </w:tabs>
        <w:spacing w:after="120"/>
        <w:ind w:left="2268" w:hanging="1134"/>
        <w:jc w:val="both"/>
      </w:pPr>
      <w:r w:rsidRPr="00B04DC3">
        <w:tab/>
        <w:t>Molar mass of nitric oxide</w:t>
      </w:r>
      <w:r w:rsidRPr="00B04DC3">
        <w:tab/>
        <w:t>30.008 g/mol</w:t>
      </w:r>
    </w:p>
    <w:p w:rsidR="00002BA6" w:rsidRPr="00B04DC3" w:rsidRDefault="00002BA6" w:rsidP="00002BA6">
      <w:pPr>
        <w:tabs>
          <w:tab w:val="left" w:pos="5387"/>
          <w:tab w:val="left" w:pos="8789"/>
        </w:tabs>
        <w:spacing w:after="120"/>
        <w:ind w:left="2268" w:hanging="1134"/>
        <w:jc w:val="both"/>
      </w:pPr>
      <w:r w:rsidRPr="00B04DC3">
        <w:tab/>
        <w:t>Molar mass of nitrogen dioxide</w:t>
      </w:r>
      <w:r w:rsidRPr="00B04DC3">
        <w:tab/>
        <w:t>46.01 g/mol</w:t>
      </w:r>
    </w:p>
    <w:p w:rsidR="00002BA6" w:rsidRPr="00B04DC3" w:rsidRDefault="00002BA6" w:rsidP="00002BA6">
      <w:pPr>
        <w:tabs>
          <w:tab w:val="left" w:pos="5387"/>
          <w:tab w:val="left" w:pos="8789"/>
        </w:tabs>
        <w:spacing w:after="120"/>
        <w:ind w:left="2268" w:hanging="1134"/>
        <w:jc w:val="both"/>
      </w:pPr>
      <w:r w:rsidRPr="00B04DC3">
        <w:tab/>
        <w:t>Molar mass of sulphur dioxide</w:t>
      </w:r>
      <w:r w:rsidRPr="00B04DC3">
        <w:tab/>
        <w:t>64.066 g/mol</w:t>
      </w:r>
    </w:p>
    <w:p w:rsidR="00002BA6" w:rsidRPr="00B04DC3" w:rsidRDefault="00002BA6" w:rsidP="00002BA6">
      <w:pPr>
        <w:tabs>
          <w:tab w:val="left" w:pos="5387"/>
          <w:tab w:val="left" w:pos="8789"/>
        </w:tabs>
        <w:spacing w:after="120"/>
        <w:ind w:left="2268" w:hanging="1134"/>
        <w:jc w:val="both"/>
      </w:pPr>
      <w:r w:rsidRPr="00B04DC3">
        <w:tab/>
        <w:t>Molar mass of dry air</w:t>
      </w:r>
      <w:r w:rsidRPr="00B04DC3">
        <w:tab/>
        <w:t>28.965 g/mol</w:t>
      </w:r>
      <w:bookmarkEnd w:id="661"/>
    </w:p>
    <w:p w:rsidR="00002BA6" w:rsidRPr="00B04DC3" w:rsidRDefault="00002BA6" w:rsidP="00002BA6">
      <w:pPr>
        <w:pStyle w:val="para"/>
        <w:ind w:firstLine="0"/>
        <w:rPr>
          <w:lang w:val="en-GB"/>
        </w:rPr>
      </w:pPr>
      <w:r w:rsidRPr="00B04DC3">
        <w:rPr>
          <w:lang w:val="en-GB"/>
        </w:rPr>
        <w:t xml:space="preserve">Assuming no compressibility effects, all gases involved in the engine intake/combustion/exhaust process can be considered to be ideal and any volumetric calculations shall therefore be based on a molar volume </w:t>
      </w:r>
      <w:r w:rsidRPr="00B04DC3">
        <w:rPr>
          <w:lang w:val="en-GB"/>
        </w:rPr>
        <w:br/>
        <w:t>of 22.414 l/mol according to Avogadro's hypothesis.</w:t>
      </w:r>
    </w:p>
    <w:p w:rsidR="00002BA6" w:rsidRPr="00B04DC3" w:rsidRDefault="00002BA6" w:rsidP="00002BA6">
      <w:pPr>
        <w:pStyle w:val="para"/>
        <w:rPr>
          <w:lang w:val="en-GB"/>
        </w:rPr>
      </w:pPr>
      <w:r w:rsidRPr="00B04DC3">
        <w:rPr>
          <w:lang w:val="en-GB"/>
        </w:rPr>
        <w:t>A.6.3.</w:t>
      </w:r>
      <w:r w:rsidRPr="00B04DC3">
        <w:rPr>
          <w:lang w:val="en-GB"/>
        </w:rPr>
        <w:tab/>
        <w:t>Gaseous emissions (diesel fuel)</w:t>
      </w:r>
    </w:p>
    <w:p w:rsidR="00002BA6" w:rsidRPr="00B04DC3" w:rsidRDefault="00002BA6" w:rsidP="00002BA6">
      <w:pPr>
        <w:pStyle w:val="para"/>
        <w:ind w:firstLine="0"/>
        <w:rPr>
          <w:lang w:val="en-GB"/>
        </w:rPr>
      </w:pPr>
      <w:r w:rsidRPr="00B04DC3">
        <w:rPr>
          <w:lang w:val="en-GB"/>
        </w:rPr>
        <w:t>The measurement data of an individual point of the test cycle (data sampling rate of 1 Hz) for the calculation of the instantaneous mass emission are shown below. In this example, CO and NO</w:t>
      </w:r>
      <w:r w:rsidRPr="00B04DC3">
        <w:rPr>
          <w:vertAlign w:val="subscript"/>
          <w:lang w:val="en-GB"/>
        </w:rPr>
        <w:t>x</w:t>
      </w:r>
      <w:r w:rsidRPr="00B04DC3">
        <w:rPr>
          <w:lang w:val="en-GB"/>
        </w:rPr>
        <w:t xml:space="preserve"> are measured on a dry basis, HC on a wet basis. The HC concentration is given in propane equivalent (C3) and has to be multiplied by 3 to result in the C1 equivalent. The calculation procedure is identical for the other points of the cycle.</w:t>
      </w:r>
    </w:p>
    <w:p w:rsidR="00002BA6" w:rsidRPr="00B04DC3" w:rsidRDefault="00002BA6" w:rsidP="00002BA6">
      <w:pPr>
        <w:pStyle w:val="para"/>
        <w:ind w:firstLine="0"/>
        <w:rPr>
          <w:lang w:val="en-GB"/>
        </w:rPr>
      </w:pPr>
      <w:r w:rsidRPr="00B04DC3">
        <w:rPr>
          <w:lang w:val="en-GB"/>
        </w:rPr>
        <w:t>The calculation example shows the rounded intermediate results of the different steps for better illustration. It should be noted that for actual calculation, rounding of intermediate results is not permitted (see paragraph 8.</w:t>
      </w:r>
      <w:r w:rsidR="003B31D3" w:rsidRPr="003B31D3">
        <w:rPr>
          <w:lang w:val="en-GB"/>
        </w:rPr>
        <w:t xml:space="preserve"> </w:t>
      </w:r>
      <w:r w:rsidR="003B31D3">
        <w:rPr>
          <w:lang w:val="en-GB"/>
        </w:rPr>
        <w:t>of this annex</w:t>
      </w:r>
      <w:r w:rsidRPr="00B04DC3">
        <w:rPr>
          <w:lang w:val="en-GB"/>
        </w:rPr>
        <w:t>).</w:t>
      </w:r>
    </w:p>
    <w:tbl>
      <w:tblPr>
        <w:tblW w:w="6237" w:type="dxa"/>
        <w:tblInd w:w="2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3"/>
        <w:gridCol w:w="693"/>
        <w:gridCol w:w="693"/>
        <w:gridCol w:w="693"/>
        <w:gridCol w:w="693"/>
        <w:gridCol w:w="693"/>
        <w:gridCol w:w="693"/>
        <w:gridCol w:w="693"/>
        <w:gridCol w:w="693"/>
      </w:tblGrid>
      <w:tr w:rsidR="00002BA6" w:rsidRPr="00B04DC3" w:rsidTr="007C2EE6">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T</w:t>
            </w:r>
            <w:r w:rsidRPr="00B04DC3">
              <w:rPr>
                <w:sz w:val="16"/>
                <w:szCs w:val="16"/>
                <w:vertAlign w:val="subscript"/>
              </w:rPr>
              <w:t>a,i</w:t>
            </w:r>
            <w:r w:rsidRPr="00B04DC3">
              <w:rPr>
                <w:sz w:val="16"/>
                <w:szCs w:val="16"/>
                <w:vertAlign w:val="subscript"/>
              </w:rPr>
              <w:br/>
            </w:r>
            <w:r w:rsidRPr="00B04DC3">
              <w:rPr>
                <w:sz w:val="16"/>
                <w:szCs w:val="16"/>
              </w:rPr>
              <w:t>(K)</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H</w:t>
            </w:r>
            <w:r w:rsidRPr="00B04DC3">
              <w:rPr>
                <w:sz w:val="16"/>
                <w:szCs w:val="16"/>
                <w:vertAlign w:val="subscript"/>
              </w:rPr>
              <w:t>a,i</w:t>
            </w:r>
            <w:r w:rsidRPr="00B04DC3">
              <w:rPr>
                <w:sz w:val="16"/>
                <w:szCs w:val="16"/>
                <w:vertAlign w:val="subscript"/>
              </w:rPr>
              <w:br/>
            </w:r>
            <w:r w:rsidRPr="00B04DC3">
              <w:rPr>
                <w:sz w:val="16"/>
                <w:szCs w:val="16"/>
              </w:rPr>
              <w:t>(g/kg)</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W</w:t>
            </w:r>
            <w:r w:rsidRPr="00B04DC3">
              <w:rPr>
                <w:sz w:val="16"/>
                <w:szCs w:val="16"/>
                <w:vertAlign w:val="subscript"/>
              </w:rPr>
              <w:t>act</w:t>
            </w:r>
            <w:r w:rsidRPr="00B04DC3">
              <w:rPr>
                <w:sz w:val="16"/>
                <w:szCs w:val="16"/>
                <w:vertAlign w:val="subscript"/>
              </w:rPr>
              <w:br/>
            </w:r>
            <w:r w:rsidRPr="00B04DC3">
              <w:rPr>
                <w:sz w:val="16"/>
                <w:szCs w:val="16"/>
              </w:rPr>
              <w:t>(kWh)</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q</w:t>
            </w:r>
            <w:r w:rsidRPr="00B04DC3">
              <w:rPr>
                <w:sz w:val="16"/>
                <w:szCs w:val="16"/>
                <w:vertAlign w:val="subscript"/>
              </w:rPr>
              <w:t>mew,i</w:t>
            </w:r>
            <w:r w:rsidRPr="00B04DC3">
              <w:rPr>
                <w:sz w:val="16"/>
                <w:szCs w:val="16"/>
                <w:vertAlign w:val="subscript"/>
              </w:rPr>
              <w:br/>
            </w:r>
            <w:r w:rsidRPr="00B04DC3">
              <w:rPr>
                <w:sz w:val="16"/>
                <w:szCs w:val="16"/>
              </w:rPr>
              <w:t>(kg/s)</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q</w:t>
            </w:r>
            <w:r w:rsidRPr="00B04DC3">
              <w:rPr>
                <w:sz w:val="16"/>
                <w:szCs w:val="16"/>
                <w:vertAlign w:val="subscript"/>
              </w:rPr>
              <w:t>maw,i</w:t>
            </w:r>
            <w:r w:rsidRPr="00B04DC3">
              <w:rPr>
                <w:sz w:val="16"/>
                <w:szCs w:val="16"/>
                <w:vertAlign w:val="subscript"/>
              </w:rPr>
              <w:br/>
            </w:r>
            <w:r w:rsidRPr="00B04DC3">
              <w:rPr>
                <w:sz w:val="16"/>
                <w:szCs w:val="16"/>
              </w:rPr>
              <w:t>(kg/s)</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q</w:t>
            </w:r>
            <w:r w:rsidRPr="00B04DC3">
              <w:rPr>
                <w:sz w:val="16"/>
                <w:szCs w:val="16"/>
                <w:vertAlign w:val="subscript"/>
              </w:rPr>
              <w:t>mf,i</w:t>
            </w:r>
            <w:r w:rsidRPr="00B04DC3">
              <w:rPr>
                <w:sz w:val="16"/>
                <w:szCs w:val="16"/>
                <w:vertAlign w:val="subscript"/>
              </w:rPr>
              <w:br/>
            </w:r>
            <w:r w:rsidRPr="00B04DC3">
              <w:rPr>
                <w:sz w:val="16"/>
                <w:szCs w:val="16"/>
              </w:rPr>
              <w:t>(kg/s)</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c</w:t>
            </w:r>
            <w:r w:rsidRPr="00B04DC3">
              <w:rPr>
                <w:sz w:val="16"/>
                <w:szCs w:val="16"/>
                <w:vertAlign w:val="subscript"/>
              </w:rPr>
              <w:t>HC,i</w:t>
            </w:r>
            <w:r w:rsidRPr="00B04DC3">
              <w:rPr>
                <w:sz w:val="16"/>
                <w:szCs w:val="16"/>
                <w:vertAlign w:val="subscript"/>
              </w:rPr>
              <w:br/>
            </w:r>
            <w:r w:rsidRPr="00B04DC3">
              <w:rPr>
                <w:sz w:val="16"/>
                <w:szCs w:val="16"/>
              </w:rPr>
              <w:t>(ppm)</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c</w:t>
            </w:r>
            <w:r w:rsidRPr="00B04DC3">
              <w:rPr>
                <w:sz w:val="16"/>
                <w:szCs w:val="16"/>
                <w:vertAlign w:val="subscript"/>
              </w:rPr>
              <w:t>CO,i</w:t>
            </w:r>
            <w:r w:rsidRPr="00B04DC3">
              <w:rPr>
                <w:sz w:val="16"/>
                <w:szCs w:val="16"/>
                <w:vertAlign w:val="subscript"/>
              </w:rPr>
              <w:br/>
            </w:r>
            <w:r w:rsidRPr="00B04DC3">
              <w:rPr>
                <w:sz w:val="16"/>
                <w:szCs w:val="16"/>
              </w:rPr>
              <w:t>(ppm)</w:t>
            </w:r>
          </w:p>
        </w:tc>
        <w:tc>
          <w:tcPr>
            <w:tcW w:w="851" w:type="dxa"/>
            <w:tcBorders>
              <w:top w:val="single" w:sz="2" w:space="0" w:color="auto"/>
            </w:tcBorders>
          </w:tcPr>
          <w:p w:rsidR="00002BA6" w:rsidRPr="00B04DC3" w:rsidRDefault="00002BA6" w:rsidP="00002BA6">
            <w:pPr>
              <w:keepNext/>
              <w:autoSpaceDE w:val="0"/>
              <w:spacing w:before="60" w:after="60"/>
              <w:jc w:val="center"/>
              <w:rPr>
                <w:sz w:val="16"/>
                <w:szCs w:val="16"/>
              </w:rPr>
            </w:pPr>
            <w:r w:rsidRPr="00B04DC3">
              <w:rPr>
                <w:sz w:val="16"/>
                <w:szCs w:val="16"/>
              </w:rPr>
              <w:t>c</w:t>
            </w:r>
            <w:r w:rsidRPr="00B04DC3">
              <w:rPr>
                <w:sz w:val="16"/>
                <w:szCs w:val="16"/>
                <w:vertAlign w:val="subscript"/>
              </w:rPr>
              <w:t>NOx,i</w:t>
            </w:r>
            <w:r w:rsidRPr="00B04DC3">
              <w:rPr>
                <w:sz w:val="16"/>
                <w:szCs w:val="16"/>
                <w:vertAlign w:val="subscript"/>
              </w:rPr>
              <w:br/>
            </w:r>
            <w:r w:rsidRPr="00B04DC3">
              <w:rPr>
                <w:sz w:val="16"/>
                <w:szCs w:val="16"/>
              </w:rPr>
              <w:t>(ppm)</w:t>
            </w:r>
          </w:p>
        </w:tc>
      </w:tr>
      <w:tr w:rsidR="00002BA6" w:rsidRPr="00B04DC3" w:rsidTr="007C2EE6">
        <w:tc>
          <w:tcPr>
            <w:tcW w:w="851" w:type="dxa"/>
            <w:tcBorders>
              <w:bottom w:val="single" w:sz="12" w:space="0" w:color="auto"/>
            </w:tcBorders>
          </w:tcPr>
          <w:p w:rsidR="00002BA6" w:rsidRPr="00B04DC3" w:rsidRDefault="00002BA6" w:rsidP="00002BA6">
            <w:pPr>
              <w:spacing w:before="60" w:after="60"/>
              <w:jc w:val="center"/>
              <w:rPr>
                <w:sz w:val="18"/>
                <w:szCs w:val="18"/>
              </w:rPr>
            </w:pPr>
            <w:r w:rsidRPr="00B04DC3">
              <w:rPr>
                <w:sz w:val="18"/>
                <w:szCs w:val="18"/>
              </w:rPr>
              <w:t>295</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8.0</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40</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0.155</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0.150</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0.005</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10</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40</w:t>
            </w:r>
          </w:p>
        </w:tc>
        <w:tc>
          <w:tcPr>
            <w:tcW w:w="851" w:type="dxa"/>
            <w:tcBorders>
              <w:bottom w:val="single" w:sz="12" w:space="0" w:color="auto"/>
            </w:tcBorders>
          </w:tcPr>
          <w:p w:rsidR="00002BA6" w:rsidRPr="00B04DC3" w:rsidRDefault="00002BA6" w:rsidP="00002BA6">
            <w:pPr>
              <w:keepNext/>
              <w:spacing w:before="60" w:after="60"/>
              <w:jc w:val="center"/>
              <w:rPr>
                <w:sz w:val="18"/>
                <w:szCs w:val="18"/>
              </w:rPr>
            </w:pPr>
            <w:r w:rsidRPr="00B04DC3">
              <w:rPr>
                <w:sz w:val="18"/>
                <w:szCs w:val="18"/>
              </w:rPr>
              <w:t>500</w:t>
            </w:r>
          </w:p>
        </w:tc>
      </w:tr>
    </w:tbl>
    <w:p w:rsidR="00002BA6" w:rsidRPr="00B04DC3" w:rsidRDefault="00002BA6" w:rsidP="00002BA6">
      <w:pPr>
        <w:pStyle w:val="para"/>
        <w:spacing w:before="240"/>
        <w:ind w:firstLine="0"/>
        <w:rPr>
          <w:lang w:val="en-GB"/>
        </w:rPr>
      </w:pPr>
      <w:r w:rsidRPr="00B04DC3">
        <w:rPr>
          <w:lang w:val="en-GB"/>
        </w:rPr>
        <w:tab/>
        <w:t>The following fuel composition is considered:</w:t>
      </w:r>
    </w:p>
    <w:tbl>
      <w:tblPr>
        <w:tblW w:w="5670"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268"/>
      </w:tblGrid>
      <w:tr w:rsidR="00002BA6" w:rsidRPr="00B04DC3" w:rsidTr="007C2EE6">
        <w:tc>
          <w:tcPr>
            <w:tcW w:w="1418" w:type="dxa"/>
            <w:tcBorders>
              <w:bottom w:val="single" w:sz="12" w:space="0" w:color="auto"/>
            </w:tcBorders>
          </w:tcPr>
          <w:p w:rsidR="00002BA6" w:rsidRPr="00B04DC3" w:rsidRDefault="00002BA6" w:rsidP="00002BA6">
            <w:pPr>
              <w:keepNext/>
              <w:spacing w:before="80" w:after="80"/>
              <w:jc w:val="center"/>
              <w:rPr>
                <w:i/>
                <w:sz w:val="16"/>
                <w:szCs w:val="16"/>
              </w:rPr>
            </w:pPr>
            <w:r w:rsidRPr="00B04DC3">
              <w:rPr>
                <w:i/>
                <w:sz w:val="16"/>
                <w:szCs w:val="16"/>
              </w:rPr>
              <w:t>Component</w:t>
            </w:r>
          </w:p>
        </w:tc>
        <w:tc>
          <w:tcPr>
            <w:tcW w:w="1984" w:type="dxa"/>
            <w:tcBorders>
              <w:bottom w:val="single" w:sz="12" w:space="0" w:color="auto"/>
            </w:tcBorders>
          </w:tcPr>
          <w:p w:rsidR="00002BA6" w:rsidRPr="00B04DC3" w:rsidRDefault="00002BA6" w:rsidP="00002BA6">
            <w:pPr>
              <w:keepNext/>
              <w:spacing w:before="80" w:after="80"/>
              <w:jc w:val="center"/>
              <w:rPr>
                <w:i/>
                <w:sz w:val="16"/>
                <w:szCs w:val="16"/>
              </w:rPr>
            </w:pPr>
            <w:r w:rsidRPr="00B04DC3">
              <w:rPr>
                <w:i/>
                <w:sz w:val="16"/>
                <w:szCs w:val="16"/>
              </w:rPr>
              <w:t>Molar ratio</w:t>
            </w:r>
          </w:p>
        </w:tc>
        <w:tc>
          <w:tcPr>
            <w:tcW w:w="2268" w:type="dxa"/>
            <w:tcBorders>
              <w:bottom w:val="single" w:sz="12" w:space="0" w:color="auto"/>
            </w:tcBorders>
          </w:tcPr>
          <w:p w:rsidR="00002BA6" w:rsidRPr="00B04DC3" w:rsidRDefault="00002BA6" w:rsidP="00002BA6">
            <w:pPr>
              <w:keepNext/>
              <w:spacing w:before="80" w:after="80"/>
              <w:jc w:val="center"/>
              <w:rPr>
                <w:i/>
                <w:sz w:val="16"/>
                <w:szCs w:val="16"/>
              </w:rPr>
            </w:pPr>
            <w:r w:rsidRPr="00B04DC3">
              <w:rPr>
                <w:i/>
                <w:sz w:val="16"/>
                <w:szCs w:val="16"/>
              </w:rPr>
              <w:t>Per cent mass</w:t>
            </w:r>
          </w:p>
        </w:tc>
      </w:tr>
      <w:tr w:rsidR="00002BA6" w:rsidRPr="00B04DC3" w:rsidTr="007C2EE6">
        <w:tc>
          <w:tcPr>
            <w:tcW w:w="1418" w:type="dxa"/>
            <w:tcBorders>
              <w:top w:val="single" w:sz="12" w:space="0" w:color="auto"/>
            </w:tcBorders>
          </w:tcPr>
          <w:p w:rsidR="00002BA6" w:rsidRPr="00B04DC3" w:rsidRDefault="00002BA6" w:rsidP="00002BA6">
            <w:pPr>
              <w:keepNext/>
              <w:keepLines/>
              <w:spacing w:before="40" w:after="80"/>
              <w:jc w:val="center"/>
              <w:rPr>
                <w:sz w:val="18"/>
                <w:szCs w:val="18"/>
              </w:rPr>
            </w:pPr>
            <w:r w:rsidRPr="00B04DC3">
              <w:rPr>
                <w:sz w:val="18"/>
                <w:szCs w:val="18"/>
              </w:rPr>
              <w:t>H</w:t>
            </w:r>
          </w:p>
        </w:tc>
        <w:tc>
          <w:tcPr>
            <w:tcW w:w="1984" w:type="dxa"/>
            <w:tcBorders>
              <w:top w:val="single" w:sz="12" w:space="0" w:color="auto"/>
            </w:tcBorders>
          </w:tcPr>
          <w:p w:rsidR="00002BA6" w:rsidRPr="00B04DC3" w:rsidRDefault="00002BA6" w:rsidP="00002BA6">
            <w:pPr>
              <w:keepNext/>
              <w:keepLines/>
              <w:spacing w:before="40" w:after="80"/>
              <w:jc w:val="center"/>
              <w:rPr>
                <w:sz w:val="18"/>
                <w:szCs w:val="18"/>
              </w:rPr>
            </w:pPr>
            <w:r w:rsidRPr="00B04DC3">
              <w:rPr>
                <w:rFonts w:ascii="Symbol" w:hAnsi="Symbol"/>
                <w:sz w:val="18"/>
                <w:szCs w:val="18"/>
              </w:rPr>
              <w:t></w:t>
            </w:r>
            <w:r w:rsidRPr="00B04DC3">
              <w:rPr>
                <w:sz w:val="18"/>
                <w:szCs w:val="18"/>
              </w:rPr>
              <w:t xml:space="preserve"> = 1.8529</w:t>
            </w:r>
          </w:p>
        </w:tc>
        <w:tc>
          <w:tcPr>
            <w:tcW w:w="2268" w:type="dxa"/>
            <w:tcBorders>
              <w:top w:val="single" w:sz="12" w:space="0" w:color="auto"/>
            </w:tcBorders>
          </w:tcPr>
          <w:p w:rsidR="00002BA6" w:rsidRPr="00B04DC3" w:rsidRDefault="00002BA6" w:rsidP="00002BA6">
            <w:pPr>
              <w:keepNext/>
              <w:keepLines/>
              <w:spacing w:before="40" w:after="80"/>
              <w:jc w:val="center"/>
              <w:rPr>
                <w:sz w:val="18"/>
                <w:szCs w:val="18"/>
              </w:rPr>
            </w:pPr>
            <w:r w:rsidRPr="00B04DC3">
              <w:rPr>
                <w:sz w:val="18"/>
                <w:szCs w:val="18"/>
              </w:rPr>
              <w:t>w</w:t>
            </w:r>
            <w:r w:rsidRPr="00B04DC3">
              <w:rPr>
                <w:sz w:val="18"/>
                <w:szCs w:val="18"/>
                <w:vertAlign w:val="subscript"/>
              </w:rPr>
              <w:t>ALF</w:t>
            </w:r>
            <w:r w:rsidRPr="00B04DC3">
              <w:rPr>
                <w:sz w:val="18"/>
                <w:szCs w:val="18"/>
              </w:rPr>
              <w:t xml:space="preserve"> = 13.45</w:t>
            </w:r>
          </w:p>
        </w:tc>
      </w:tr>
      <w:tr w:rsidR="00002BA6" w:rsidRPr="00B04DC3">
        <w:tc>
          <w:tcPr>
            <w:tcW w:w="1418" w:type="dxa"/>
          </w:tcPr>
          <w:p w:rsidR="00002BA6" w:rsidRPr="00B04DC3" w:rsidRDefault="00002BA6" w:rsidP="00002BA6">
            <w:pPr>
              <w:keepNext/>
              <w:keepLines/>
              <w:spacing w:before="40" w:after="80"/>
              <w:jc w:val="center"/>
              <w:rPr>
                <w:sz w:val="18"/>
                <w:szCs w:val="18"/>
              </w:rPr>
            </w:pPr>
            <w:r w:rsidRPr="00B04DC3">
              <w:rPr>
                <w:sz w:val="18"/>
                <w:szCs w:val="18"/>
              </w:rPr>
              <w:t>C</w:t>
            </w:r>
          </w:p>
        </w:tc>
        <w:tc>
          <w:tcPr>
            <w:tcW w:w="1984" w:type="dxa"/>
          </w:tcPr>
          <w:p w:rsidR="00002BA6" w:rsidRPr="00B04DC3" w:rsidRDefault="00002BA6" w:rsidP="00002BA6">
            <w:pPr>
              <w:keepNext/>
              <w:keepLines/>
              <w:spacing w:before="40" w:after="80"/>
              <w:jc w:val="center"/>
              <w:rPr>
                <w:sz w:val="18"/>
                <w:szCs w:val="18"/>
              </w:rPr>
            </w:pPr>
            <w:r w:rsidRPr="00B04DC3">
              <w:rPr>
                <w:rFonts w:ascii="Symbol" w:hAnsi="Symbol"/>
                <w:sz w:val="18"/>
                <w:szCs w:val="18"/>
              </w:rPr>
              <w:t></w:t>
            </w:r>
            <w:r w:rsidRPr="00B04DC3">
              <w:rPr>
                <w:sz w:val="18"/>
                <w:szCs w:val="18"/>
              </w:rPr>
              <w:t xml:space="preserve"> = 1.0000</w:t>
            </w:r>
          </w:p>
        </w:tc>
        <w:tc>
          <w:tcPr>
            <w:tcW w:w="2268" w:type="dxa"/>
          </w:tcPr>
          <w:p w:rsidR="00002BA6" w:rsidRPr="00B04DC3" w:rsidRDefault="00002BA6" w:rsidP="00002BA6">
            <w:pPr>
              <w:keepNext/>
              <w:keepLines/>
              <w:spacing w:before="40" w:after="80"/>
              <w:jc w:val="center"/>
              <w:rPr>
                <w:sz w:val="18"/>
                <w:szCs w:val="18"/>
              </w:rPr>
            </w:pPr>
            <w:r w:rsidRPr="00B04DC3">
              <w:rPr>
                <w:sz w:val="18"/>
                <w:szCs w:val="18"/>
              </w:rPr>
              <w:t>w</w:t>
            </w:r>
            <w:r w:rsidRPr="00B04DC3">
              <w:rPr>
                <w:sz w:val="18"/>
                <w:szCs w:val="18"/>
                <w:vertAlign w:val="subscript"/>
              </w:rPr>
              <w:t>BET</w:t>
            </w:r>
            <w:r w:rsidRPr="00B04DC3">
              <w:rPr>
                <w:sz w:val="18"/>
                <w:szCs w:val="18"/>
              </w:rPr>
              <w:t xml:space="preserve"> = 86.50</w:t>
            </w:r>
          </w:p>
        </w:tc>
      </w:tr>
      <w:tr w:rsidR="00002BA6" w:rsidRPr="00B04DC3">
        <w:tc>
          <w:tcPr>
            <w:tcW w:w="1418" w:type="dxa"/>
          </w:tcPr>
          <w:p w:rsidR="00002BA6" w:rsidRPr="00B04DC3" w:rsidRDefault="00002BA6" w:rsidP="00002BA6">
            <w:pPr>
              <w:keepNext/>
              <w:keepLines/>
              <w:spacing w:before="40" w:after="80"/>
              <w:jc w:val="center"/>
              <w:rPr>
                <w:sz w:val="18"/>
                <w:szCs w:val="18"/>
              </w:rPr>
            </w:pPr>
            <w:r w:rsidRPr="00B04DC3">
              <w:rPr>
                <w:sz w:val="18"/>
                <w:szCs w:val="18"/>
              </w:rPr>
              <w:t>S</w:t>
            </w:r>
          </w:p>
        </w:tc>
        <w:tc>
          <w:tcPr>
            <w:tcW w:w="1984" w:type="dxa"/>
          </w:tcPr>
          <w:p w:rsidR="00002BA6" w:rsidRPr="00B04DC3" w:rsidRDefault="00002BA6" w:rsidP="00002BA6">
            <w:pPr>
              <w:keepNext/>
              <w:keepLines/>
              <w:spacing w:before="40" w:after="80"/>
              <w:jc w:val="center"/>
              <w:rPr>
                <w:sz w:val="18"/>
                <w:szCs w:val="18"/>
              </w:rPr>
            </w:pPr>
            <w:r w:rsidRPr="00B04DC3">
              <w:rPr>
                <w:rFonts w:ascii="Symbol" w:hAnsi="Symbol"/>
                <w:sz w:val="18"/>
                <w:szCs w:val="18"/>
              </w:rPr>
              <w:t></w:t>
            </w:r>
            <w:r w:rsidRPr="00B04DC3">
              <w:rPr>
                <w:sz w:val="18"/>
                <w:szCs w:val="18"/>
              </w:rPr>
              <w:t xml:space="preserve"> = 0.0002</w:t>
            </w:r>
          </w:p>
        </w:tc>
        <w:tc>
          <w:tcPr>
            <w:tcW w:w="2268" w:type="dxa"/>
          </w:tcPr>
          <w:p w:rsidR="00002BA6" w:rsidRPr="00B04DC3" w:rsidRDefault="00002BA6" w:rsidP="00002BA6">
            <w:pPr>
              <w:keepNext/>
              <w:keepLines/>
              <w:spacing w:before="40" w:after="80"/>
              <w:jc w:val="center"/>
              <w:rPr>
                <w:sz w:val="18"/>
                <w:szCs w:val="18"/>
              </w:rPr>
            </w:pPr>
            <w:r w:rsidRPr="00B04DC3">
              <w:rPr>
                <w:sz w:val="18"/>
                <w:szCs w:val="18"/>
              </w:rPr>
              <w:t>w</w:t>
            </w:r>
            <w:r w:rsidRPr="00B04DC3">
              <w:rPr>
                <w:sz w:val="18"/>
                <w:szCs w:val="18"/>
                <w:vertAlign w:val="subscript"/>
              </w:rPr>
              <w:t>GAM</w:t>
            </w:r>
            <w:r w:rsidRPr="00B04DC3">
              <w:rPr>
                <w:sz w:val="18"/>
                <w:szCs w:val="18"/>
              </w:rPr>
              <w:t xml:space="preserve"> = 0.050</w:t>
            </w:r>
          </w:p>
        </w:tc>
      </w:tr>
      <w:tr w:rsidR="00002BA6" w:rsidRPr="00B04DC3">
        <w:tc>
          <w:tcPr>
            <w:tcW w:w="1418" w:type="dxa"/>
          </w:tcPr>
          <w:p w:rsidR="00002BA6" w:rsidRPr="00B04DC3" w:rsidRDefault="00002BA6" w:rsidP="00002BA6">
            <w:pPr>
              <w:keepNext/>
              <w:keepLines/>
              <w:spacing w:before="40" w:after="80"/>
              <w:jc w:val="center"/>
              <w:rPr>
                <w:sz w:val="18"/>
                <w:szCs w:val="18"/>
              </w:rPr>
            </w:pPr>
            <w:r w:rsidRPr="00B04DC3">
              <w:rPr>
                <w:sz w:val="18"/>
                <w:szCs w:val="18"/>
              </w:rPr>
              <w:t>N</w:t>
            </w:r>
          </w:p>
        </w:tc>
        <w:tc>
          <w:tcPr>
            <w:tcW w:w="1984" w:type="dxa"/>
          </w:tcPr>
          <w:p w:rsidR="00002BA6" w:rsidRPr="00B04DC3" w:rsidRDefault="00002BA6" w:rsidP="00002BA6">
            <w:pPr>
              <w:keepNext/>
              <w:keepLines/>
              <w:spacing w:before="40" w:after="80"/>
              <w:jc w:val="center"/>
              <w:rPr>
                <w:sz w:val="18"/>
                <w:szCs w:val="18"/>
              </w:rPr>
            </w:pPr>
            <w:r w:rsidRPr="00B04DC3">
              <w:rPr>
                <w:rFonts w:ascii="Symbol" w:hAnsi="Symbol"/>
                <w:sz w:val="18"/>
                <w:szCs w:val="18"/>
              </w:rPr>
              <w:t></w:t>
            </w:r>
            <w:r w:rsidRPr="00B04DC3">
              <w:rPr>
                <w:sz w:val="18"/>
                <w:szCs w:val="18"/>
              </w:rPr>
              <w:t xml:space="preserve"> = 0.0000</w:t>
            </w:r>
          </w:p>
        </w:tc>
        <w:tc>
          <w:tcPr>
            <w:tcW w:w="2268" w:type="dxa"/>
          </w:tcPr>
          <w:p w:rsidR="00002BA6" w:rsidRPr="00B04DC3" w:rsidRDefault="00002BA6" w:rsidP="00002BA6">
            <w:pPr>
              <w:keepNext/>
              <w:keepLines/>
              <w:spacing w:before="40" w:after="80"/>
              <w:jc w:val="center"/>
              <w:rPr>
                <w:sz w:val="18"/>
                <w:szCs w:val="18"/>
              </w:rPr>
            </w:pPr>
            <w:r w:rsidRPr="00B04DC3">
              <w:rPr>
                <w:sz w:val="18"/>
                <w:szCs w:val="18"/>
              </w:rPr>
              <w:t>w</w:t>
            </w:r>
            <w:r w:rsidRPr="00B04DC3">
              <w:rPr>
                <w:sz w:val="18"/>
                <w:szCs w:val="18"/>
                <w:vertAlign w:val="subscript"/>
              </w:rPr>
              <w:t>DEL</w:t>
            </w:r>
            <w:r w:rsidRPr="00B04DC3">
              <w:rPr>
                <w:sz w:val="18"/>
                <w:szCs w:val="18"/>
              </w:rPr>
              <w:t xml:space="preserve"> = 0.000</w:t>
            </w:r>
          </w:p>
        </w:tc>
      </w:tr>
      <w:tr w:rsidR="00002BA6" w:rsidRPr="00B04DC3" w:rsidTr="007C2EE6">
        <w:tc>
          <w:tcPr>
            <w:tcW w:w="1418" w:type="dxa"/>
            <w:tcBorders>
              <w:bottom w:val="single" w:sz="12" w:space="0" w:color="auto"/>
            </w:tcBorders>
          </w:tcPr>
          <w:p w:rsidR="00002BA6" w:rsidRPr="00B04DC3" w:rsidRDefault="00002BA6" w:rsidP="00002BA6">
            <w:pPr>
              <w:spacing w:before="40" w:after="80"/>
              <w:jc w:val="center"/>
              <w:rPr>
                <w:sz w:val="18"/>
                <w:szCs w:val="18"/>
              </w:rPr>
            </w:pPr>
            <w:r w:rsidRPr="00B04DC3">
              <w:rPr>
                <w:sz w:val="18"/>
                <w:szCs w:val="18"/>
              </w:rPr>
              <w:t>O</w:t>
            </w:r>
          </w:p>
        </w:tc>
        <w:tc>
          <w:tcPr>
            <w:tcW w:w="1984" w:type="dxa"/>
            <w:tcBorders>
              <w:bottom w:val="single" w:sz="12" w:space="0" w:color="auto"/>
            </w:tcBorders>
          </w:tcPr>
          <w:p w:rsidR="00002BA6" w:rsidRPr="00B04DC3" w:rsidRDefault="00002BA6" w:rsidP="00002BA6">
            <w:pPr>
              <w:spacing w:before="40" w:after="80"/>
              <w:jc w:val="center"/>
              <w:rPr>
                <w:sz w:val="18"/>
                <w:szCs w:val="18"/>
              </w:rPr>
            </w:pPr>
            <w:r w:rsidRPr="00B04DC3">
              <w:rPr>
                <w:rFonts w:ascii="Symbol" w:hAnsi="Symbol"/>
                <w:sz w:val="18"/>
                <w:szCs w:val="18"/>
              </w:rPr>
              <w:t></w:t>
            </w:r>
            <w:r w:rsidRPr="00B04DC3">
              <w:rPr>
                <w:sz w:val="18"/>
                <w:szCs w:val="18"/>
              </w:rPr>
              <w:t xml:space="preserve"> = 0.0000</w:t>
            </w:r>
          </w:p>
        </w:tc>
        <w:tc>
          <w:tcPr>
            <w:tcW w:w="2268" w:type="dxa"/>
            <w:tcBorders>
              <w:bottom w:val="single" w:sz="12" w:space="0" w:color="auto"/>
            </w:tcBorders>
          </w:tcPr>
          <w:p w:rsidR="00002BA6" w:rsidRPr="00B04DC3" w:rsidRDefault="00002BA6" w:rsidP="00002BA6">
            <w:pPr>
              <w:spacing w:before="40" w:after="80"/>
              <w:jc w:val="center"/>
              <w:rPr>
                <w:sz w:val="18"/>
                <w:szCs w:val="18"/>
              </w:rPr>
            </w:pPr>
            <w:r w:rsidRPr="00B04DC3">
              <w:rPr>
                <w:sz w:val="18"/>
                <w:szCs w:val="18"/>
              </w:rPr>
              <w:t>w</w:t>
            </w:r>
            <w:r w:rsidRPr="00B04DC3">
              <w:rPr>
                <w:sz w:val="18"/>
                <w:szCs w:val="18"/>
                <w:vertAlign w:val="subscript"/>
              </w:rPr>
              <w:t>EPS</w:t>
            </w:r>
            <w:r w:rsidRPr="00B04DC3">
              <w:rPr>
                <w:sz w:val="18"/>
                <w:szCs w:val="18"/>
              </w:rPr>
              <w:t xml:space="preserve"> = 0.000</w:t>
            </w:r>
          </w:p>
        </w:tc>
      </w:tr>
    </w:tbl>
    <w:p w:rsidR="00002BA6" w:rsidRPr="00B04DC3" w:rsidRDefault="00002BA6" w:rsidP="00002BA6">
      <w:pPr>
        <w:pStyle w:val="para"/>
        <w:spacing w:before="240"/>
        <w:ind w:firstLine="0"/>
        <w:rPr>
          <w:lang w:val="en-GB"/>
        </w:rPr>
      </w:pPr>
      <w:r w:rsidRPr="00B04DC3">
        <w:rPr>
          <w:lang w:val="en-GB"/>
        </w:rPr>
        <w:t>Step 1: Dry/wet correction (paragraph 8.1.</w:t>
      </w:r>
      <w:r w:rsidR="003B31D3" w:rsidRPr="003B31D3">
        <w:rPr>
          <w:lang w:val="en-GB"/>
        </w:rPr>
        <w:t xml:space="preserve"> </w:t>
      </w:r>
      <w:r w:rsidR="003B31D3">
        <w:rPr>
          <w:lang w:val="en-GB"/>
        </w:rPr>
        <w:t>of this annex</w:t>
      </w:r>
      <w:r w:rsidRPr="00B04DC3">
        <w:rPr>
          <w:lang w:val="en-GB"/>
        </w:rPr>
        <w:t>):</w:t>
      </w:r>
    </w:p>
    <w:p w:rsidR="00002BA6" w:rsidRPr="00B04DC3" w:rsidRDefault="00002BA6" w:rsidP="00002BA6">
      <w:pPr>
        <w:pStyle w:val="para"/>
        <w:ind w:firstLine="0"/>
        <w:rPr>
          <w:szCs w:val="24"/>
          <w:lang w:val="en-GB"/>
        </w:rPr>
      </w:pPr>
      <w:r w:rsidRPr="00B04DC3">
        <w:rPr>
          <w:lang w:val="en-GB"/>
        </w:rPr>
        <w:t xml:space="preserve">Equation (16): </w:t>
      </w:r>
      <w:r w:rsidRPr="00B04DC3">
        <w:rPr>
          <w:spacing w:val="-2"/>
          <w:sz w:val="18"/>
          <w:szCs w:val="18"/>
          <w:lang w:val="en-GB"/>
        </w:rPr>
        <w:t>k</w:t>
      </w:r>
      <w:r w:rsidRPr="00B04DC3">
        <w:rPr>
          <w:spacing w:val="-2"/>
          <w:sz w:val="18"/>
          <w:szCs w:val="18"/>
          <w:vertAlign w:val="subscript"/>
          <w:lang w:val="en-GB"/>
        </w:rPr>
        <w:t>f</w:t>
      </w:r>
      <w:r w:rsidRPr="00B04DC3">
        <w:rPr>
          <w:spacing w:val="-2"/>
          <w:sz w:val="18"/>
          <w:szCs w:val="18"/>
          <w:lang w:val="en-GB"/>
        </w:rPr>
        <w:t xml:space="preserve"> = 0.055584 </w:t>
      </w:r>
      <w:r w:rsidRPr="00B04DC3">
        <w:rPr>
          <w:rFonts w:ascii="Arial" w:hAnsi="Arial" w:cs="Arial"/>
          <w:spacing w:val="-2"/>
          <w:sz w:val="18"/>
          <w:szCs w:val="18"/>
          <w:lang w:val="en-GB"/>
        </w:rPr>
        <w:t>x</w:t>
      </w:r>
      <w:r w:rsidRPr="00B04DC3">
        <w:rPr>
          <w:spacing w:val="-2"/>
          <w:sz w:val="18"/>
          <w:szCs w:val="18"/>
          <w:lang w:val="en-GB"/>
        </w:rPr>
        <w:t xml:space="preserve"> 13.45 - 0.0001083 </w:t>
      </w:r>
      <w:r w:rsidRPr="00B04DC3">
        <w:rPr>
          <w:rFonts w:ascii="Arial" w:hAnsi="Arial" w:cs="Arial"/>
          <w:spacing w:val="-2"/>
          <w:sz w:val="18"/>
          <w:szCs w:val="18"/>
          <w:lang w:val="en-GB"/>
        </w:rPr>
        <w:t>x</w:t>
      </w:r>
      <w:r w:rsidRPr="00B04DC3">
        <w:rPr>
          <w:spacing w:val="-2"/>
          <w:sz w:val="18"/>
          <w:szCs w:val="18"/>
          <w:lang w:val="en-GB"/>
        </w:rPr>
        <w:t xml:space="preserve"> 86.5 - 0.0001562 </w:t>
      </w:r>
      <w:r w:rsidRPr="00B04DC3">
        <w:rPr>
          <w:rFonts w:ascii="Arial" w:hAnsi="Arial" w:cs="Arial"/>
          <w:spacing w:val="-2"/>
          <w:sz w:val="18"/>
          <w:szCs w:val="18"/>
          <w:lang w:val="en-GB"/>
        </w:rPr>
        <w:t>x</w:t>
      </w:r>
      <w:r w:rsidRPr="00B04DC3">
        <w:rPr>
          <w:spacing w:val="-2"/>
          <w:sz w:val="18"/>
          <w:szCs w:val="18"/>
          <w:lang w:val="en-GB"/>
        </w:rPr>
        <w:t xml:space="preserve"> 0.05 = 0.7382</w:t>
      </w:r>
    </w:p>
    <w:p w:rsidR="00002BA6" w:rsidRPr="00B04DC3" w:rsidRDefault="00002BA6" w:rsidP="00002BA6">
      <w:pPr>
        <w:tabs>
          <w:tab w:val="left" w:pos="2552"/>
          <w:tab w:val="left" w:pos="5103"/>
          <w:tab w:val="left" w:pos="8789"/>
        </w:tabs>
        <w:ind w:left="2268" w:right="-143" w:hanging="2268"/>
        <w:rPr>
          <w:position w:val="-6"/>
        </w:rPr>
      </w:pPr>
      <w:r w:rsidRPr="00B04DC3">
        <w:tab/>
        <w:t>Equation (13):k</w:t>
      </w:r>
      <w:r w:rsidRPr="00B04DC3">
        <w:rPr>
          <w:vertAlign w:val="subscript"/>
        </w:rPr>
        <w:t>w,a</w:t>
      </w:r>
      <w:r w:rsidRPr="00B04DC3">
        <w:t xml:space="preserve">= </w:t>
      </w:r>
      <w:r w:rsidR="00A905B7">
        <w:rPr>
          <w:position w:val="-56"/>
        </w:rPr>
        <w:pict>
          <v:shape id="_x0000_i1321" type="#_x0000_t75" style="width:215.4pt;height:52.2pt" fillcolor="window">
            <v:imagedata r:id="rId474" o:title=""/>
          </v:shape>
        </w:pict>
      </w:r>
      <w:r w:rsidRPr="00B04DC3">
        <w:rPr>
          <w:position w:val="-6"/>
        </w:rPr>
        <w:t xml:space="preserve"> = 0.9331</w:t>
      </w:r>
    </w:p>
    <w:p w:rsidR="00002BA6" w:rsidRPr="00B04DC3" w:rsidRDefault="00002BA6" w:rsidP="00002BA6">
      <w:pPr>
        <w:tabs>
          <w:tab w:val="left" w:pos="2552"/>
          <w:tab w:val="left" w:pos="3969"/>
          <w:tab w:val="left" w:pos="4536"/>
          <w:tab w:val="left" w:pos="5103"/>
          <w:tab w:val="left" w:pos="5387"/>
          <w:tab w:val="left" w:pos="6521"/>
        </w:tabs>
        <w:spacing w:before="240" w:after="120"/>
        <w:ind w:left="2268" w:right="-142" w:hanging="2268"/>
      </w:pPr>
      <w:r w:rsidRPr="00B04DC3">
        <w:tab/>
        <w:t>Equation (12):</w:t>
      </w:r>
      <w:r w:rsidRPr="00B04DC3">
        <w:tab/>
        <w:t>c</w:t>
      </w:r>
      <w:r w:rsidRPr="00B04DC3">
        <w:rPr>
          <w:vertAlign w:val="subscript"/>
        </w:rPr>
        <w:t xml:space="preserve">CO,i </w:t>
      </w:r>
      <w:r w:rsidRPr="00B04DC3">
        <w:t xml:space="preserve">(wet) </w:t>
      </w:r>
      <w:r w:rsidRPr="00B04DC3">
        <w:tab/>
        <w:t>=</w:t>
      </w:r>
      <w:r w:rsidRPr="00B04DC3">
        <w:tab/>
        <w:t>40 x 0.9331</w:t>
      </w:r>
      <w:r w:rsidRPr="00B04DC3">
        <w:tab/>
        <w:t>= 37.3 ppm</w:t>
      </w:r>
    </w:p>
    <w:p w:rsidR="00002BA6" w:rsidRPr="00B04DC3" w:rsidRDefault="00002BA6" w:rsidP="00002BA6">
      <w:pPr>
        <w:tabs>
          <w:tab w:val="left" w:pos="2552"/>
          <w:tab w:val="left" w:pos="3969"/>
          <w:tab w:val="left" w:pos="4536"/>
          <w:tab w:val="left" w:pos="5103"/>
          <w:tab w:val="left" w:pos="5387"/>
          <w:tab w:val="left" w:pos="6521"/>
        </w:tabs>
        <w:spacing w:after="120"/>
        <w:ind w:left="2268" w:right="-142" w:hanging="2268"/>
      </w:pPr>
      <w:r w:rsidRPr="00B04DC3">
        <w:tab/>
      </w:r>
      <w:r w:rsidRPr="00B04DC3">
        <w:tab/>
      </w:r>
      <w:r w:rsidRPr="00B04DC3">
        <w:tab/>
        <w:t>c</w:t>
      </w:r>
      <w:r w:rsidRPr="00B04DC3">
        <w:rPr>
          <w:vertAlign w:val="subscript"/>
        </w:rPr>
        <w:t xml:space="preserve">NOx,i </w:t>
      </w:r>
      <w:r w:rsidRPr="00B04DC3">
        <w:t>(wet)</w:t>
      </w:r>
      <w:r w:rsidRPr="00B04DC3">
        <w:tab/>
        <w:t>=</w:t>
      </w:r>
      <w:r w:rsidRPr="00B04DC3">
        <w:tab/>
        <w:t>500 x 0.9331</w:t>
      </w:r>
      <w:r w:rsidRPr="00B04DC3">
        <w:tab/>
        <w:t>= 466.6 ppm</w:t>
      </w:r>
    </w:p>
    <w:p w:rsidR="00002BA6" w:rsidRPr="00B04DC3" w:rsidRDefault="00002BA6" w:rsidP="00002BA6">
      <w:pPr>
        <w:pStyle w:val="para"/>
        <w:ind w:firstLine="0"/>
        <w:rPr>
          <w:lang w:val="en-GB"/>
        </w:rPr>
      </w:pPr>
      <w:r w:rsidRPr="00B04DC3">
        <w:rPr>
          <w:lang w:val="en-GB"/>
        </w:rPr>
        <w:tab/>
        <w:t>Step 2: NO</w:t>
      </w:r>
      <w:r w:rsidRPr="00B04DC3">
        <w:rPr>
          <w:vertAlign w:val="subscript"/>
          <w:lang w:val="en-GB"/>
        </w:rPr>
        <w:t>x</w:t>
      </w:r>
      <w:r w:rsidRPr="00B04DC3">
        <w:rPr>
          <w:lang w:val="en-GB"/>
        </w:rPr>
        <w:t xml:space="preserve"> correction for temperature and humidity (paragraph 8.2.1.</w:t>
      </w:r>
      <w:r w:rsidR="003B31D3" w:rsidRPr="003B31D3">
        <w:rPr>
          <w:lang w:val="en-GB"/>
        </w:rPr>
        <w:t xml:space="preserve"> </w:t>
      </w:r>
      <w:r w:rsidR="003B31D3">
        <w:rPr>
          <w:lang w:val="en-GB"/>
        </w:rPr>
        <w:t>of this annex.</w:t>
      </w:r>
      <w:r w:rsidRPr="00B04DC3">
        <w:rPr>
          <w:lang w:val="en-GB"/>
        </w:rPr>
        <w:t>):</w:t>
      </w:r>
    </w:p>
    <w:p w:rsidR="00002BA6" w:rsidRPr="00B04DC3" w:rsidRDefault="00002BA6" w:rsidP="00002BA6">
      <w:pPr>
        <w:tabs>
          <w:tab w:val="left" w:pos="2552"/>
          <w:tab w:val="left" w:pos="3969"/>
          <w:tab w:val="left" w:pos="5103"/>
          <w:tab w:val="left" w:pos="8789"/>
        </w:tabs>
        <w:ind w:left="2268" w:right="-143" w:hanging="2268"/>
      </w:pPr>
      <w:r w:rsidRPr="00B04DC3">
        <w:tab/>
        <w:t>Equation (23):</w:t>
      </w:r>
      <w:r w:rsidRPr="00B04DC3">
        <w:tab/>
      </w:r>
      <w:r w:rsidRPr="00B04DC3">
        <w:rPr>
          <w:position w:val="-20"/>
        </w:rPr>
        <w:object w:dxaOrig="1939" w:dyaOrig="480">
          <v:shape id="_x0000_i1322" type="#_x0000_t75" style="width:107.4pt;height:27.6pt" o:ole="">
            <v:imagedata r:id="rId475" o:title=""/>
          </v:shape>
          <o:OLEObject Type="Embed" ProgID="Equation.3" ShapeID="_x0000_i1322" DrawAspect="Content" ObjectID="_1498392376" r:id="rId476"/>
        </w:object>
      </w:r>
      <w:r w:rsidRPr="00B04DC3">
        <w:t>= 0.9576</w:t>
      </w:r>
    </w:p>
    <w:p w:rsidR="00002BA6" w:rsidRPr="00B04DC3" w:rsidRDefault="00002BA6" w:rsidP="00002BA6">
      <w:pPr>
        <w:pStyle w:val="para"/>
        <w:ind w:firstLine="0"/>
        <w:rPr>
          <w:lang w:val="en-GB"/>
        </w:rPr>
      </w:pPr>
      <w:r w:rsidRPr="00B04DC3">
        <w:rPr>
          <w:lang w:val="en-GB"/>
        </w:rPr>
        <w:t>Step 3: Calculation of the instantaneous emission of each individual point of the cycle (paragraph 8.4.2.</w:t>
      </w:r>
      <w:r w:rsidR="008239EC" w:rsidRPr="00B04DC3">
        <w:rPr>
          <w:lang w:val="en-GB"/>
        </w:rPr>
        <w:t>3</w:t>
      </w:r>
      <w:r w:rsidRPr="00B04DC3">
        <w:rPr>
          <w:lang w:val="en-GB"/>
        </w:rPr>
        <w:t>.</w:t>
      </w:r>
      <w:r w:rsidR="008239EC" w:rsidRPr="00B04DC3">
        <w:rPr>
          <w:lang w:val="en-GB"/>
        </w:rPr>
        <w:t xml:space="preserve"> of this </w:t>
      </w:r>
      <w:r w:rsidR="003B31D3">
        <w:rPr>
          <w:lang w:val="en-GB"/>
        </w:rPr>
        <w:t>annex</w:t>
      </w:r>
      <w:r w:rsidRPr="00B04DC3">
        <w:rPr>
          <w:lang w:val="en-GB"/>
        </w:rPr>
        <w:t>:</w:t>
      </w:r>
    </w:p>
    <w:p w:rsidR="00002BA6" w:rsidRPr="00B04DC3" w:rsidRDefault="00002BA6" w:rsidP="00002BA6">
      <w:pPr>
        <w:tabs>
          <w:tab w:val="left" w:pos="2552"/>
          <w:tab w:val="left" w:pos="3969"/>
          <w:tab w:val="left" w:pos="4678"/>
          <w:tab w:val="left" w:pos="6946"/>
          <w:tab w:val="left" w:pos="7655"/>
        </w:tabs>
        <w:spacing w:after="120"/>
        <w:ind w:left="2268" w:right="-142" w:hanging="2268"/>
      </w:pPr>
      <w:r w:rsidRPr="00B04DC3">
        <w:tab/>
        <w:t>Equation (36):</w:t>
      </w:r>
      <w:r w:rsidRPr="00B04DC3">
        <w:tab/>
        <w:t>m</w:t>
      </w:r>
      <w:r w:rsidRPr="00B04DC3">
        <w:rPr>
          <w:vertAlign w:val="subscript"/>
        </w:rPr>
        <w:t>HC,i</w:t>
      </w:r>
      <w:r w:rsidRPr="00B04DC3">
        <w:tab/>
        <w:t xml:space="preserve">= 10 </w:t>
      </w:r>
      <w:r w:rsidRPr="00B04DC3">
        <w:rPr>
          <w:rFonts w:ascii="Arial" w:hAnsi="Arial" w:cs="Arial"/>
        </w:rPr>
        <w:t>x</w:t>
      </w:r>
      <w:r w:rsidRPr="00B04DC3">
        <w:t xml:space="preserve"> 3 </w:t>
      </w:r>
      <w:r w:rsidRPr="00B04DC3">
        <w:rPr>
          <w:rFonts w:ascii="Arial" w:hAnsi="Arial" w:cs="Arial"/>
        </w:rPr>
        <w:t>x</w:t>
      </w:r>
      <w:r w:rsidRPr="00B04DC3">
        <w:t xml:space="preserve"> 0.155</w:t>
      </w:r>
      <w:r w:rsidRPr="00B04DC3">
        <w:tab/>
        <w:t>= 4.650</w:t>
      </w:r>
    </w:p>
    <w:p w:rsidR="00002BA6" w:rsidRPr="00B04DC3" w:rsidRDefault="00002BA6" w:rsidP="00002BA6">
      <w:pPr>
        <w:tabs>
          <w:tab w:val="left" w:pos="2552"/>
          <w:tab w:val="left" w:pos="3969"/>
          <w:tab w:val="left" w:pos="4678"/>
          <w:tab w:val="left" w:pos="6946"/>
          <w:tab w:val="left" w:pos="7655"/>
        </w:tabs>
        <w:spacing w:after="120"/>
        <w:ind w:left="2268" w:right="-142" w:hanging="2268"/>
      </w:pPr>
      <w:r w:rsidRPr="00B04DC3">
        <w:tab/>
      </w:r>
      <w:r w:rsidRPr="00B04DC3">
        <w:tab/>
      </w:r>
      <w:r w:rsidRPr="00B04DC3">
        <w:tab/>
        <w:t>m</w:t>
      </w:r>
      <w:r w:rsidRPr="00B04DC3">
        <w:rPr>
          <w:vertAlign w:val="subscript"/>
        </w:rPr>
        <w:t>CO,i</w:t>
      </w:r>
      <w:r w:rsidRPr="00B04DC3">
        <w:tab/>
        <w:t xml:space="preserve">= 37.3 </w:t>
      </w:r>
      <w:r w:rsidRPr="00B04DC3">
        <w:rPr>
          <w:rFonts w:ascii="Arial" w:hAnsi="Arial" w:cs="Arial"/>
        </w:rPr>
        <w:t>x</w:t>
      </w:r>
      <w:r w:rsidRPr="00B04DC3">
        <w:t xml:space="preserve"> 0.155</w:t>
      </w:r>
      <w:r w:rsidRPr="00B04DC3">
        <w:tab/>
        <w:t>= 5.782</w:t>
      </w:r>
    </w:p>
    <w:p w:rsidR="00002BA6" w:rsidRPr="00B04DC3" w:rsidRDefault="00002BA6" w:rsidP="00665E2D">
      <w:pPr>
        <w:tabs>
          <w:tab w:val="left" w:pos="2552"/>
          <w:tab w:val="left" w:pos="3969"/>
          <w:tab w:val="left" w:pos="4678"/>
          <w:tab w:val="left" w:pos="6946"/>
          <w:tab w:val="left" w:pos="7655"/>
        </w:tabs>
        <w:spacing w:after="120"/>
        <w:ind w:left="2268" w:right="-142" w:hanging="2268"/>
      </w:pPr>
      <w:r w:rsidRPr="00B04DC3">
        <w:tab/>
      </w:r>
      <w:r w:rsidRPr="00B04DC3">
        <w:tab/>
      </w:r>
      <w:r w:rsidRPr="00B04DC3">
        <w:tab/>
        <w:t>m</w:t>
      </w:r>
      <w:r w:rsidRPr="00B04DC3">
        <w:rPr>
          <w:vertAlign w:val="subscript"/>
        </w:rPr>
        <w:t>Nox,I</w:t>
      </w:r>
      <w:r w:rsidRPr="00B04DC3">
        <w:tab/>
        <w:t xml:space="preserve">= 466.6 </w:t>
      </w:r>
      <w:r w:rsidRPr="00B04DC3">
        <w:rPr>
          <w:rFonts w:ascii="Arial" w:hAnsi="Arial" w:cs="Arial"/>
        </w:rPr>
        <w:t>x</w:t>
      </w:r>
      <w:r w:rsidRPr="00B04DC3">
        <w:t xml:space="preserve"> 0.9576 </w:t>
      </w:r>
      <w:r w:rsidRPr="00B04DC3">
        <w:rPr>
          <w:rFonts w:ascii="Arial" w:hAnsi="Arial" w:cs="Arial"/>
        </w:rPr>
        <w:t>x</w:t>
      </w:r>
      <w:r w:rsidRPr="00B04DC3">
        <w:t xml:space="preserve"> 0.155 </w:t>
      </w:r>
      <w:r w:rsidRPr="00B04DC3">
        <w:tab/>
        <w:t>= 69.26</w:t>
      </w:r>
    </w:p>
    <w:p w:rsidR="00002BA6" w:rsidRPr="00B04DC3" w:rsidRDefault="00002BA6" w:rsidP="00002BA6">
      <w:pPr>
        <w:pStyle w:val="para"/>
        <w:ind w:firstLine="0"/>
        <w:rPr>
          <w:lang w:val="en-GB"/>
        </w:rPr>
      </w:pPr>
      <w:r w:rsidRPr="00B04DC3">
        <w:rPr>
          <w:lang w:val="en-GB"/>
        </w:rPr>
        <w:tab/>
        <w:t xml:space="preserve">Step 4: Calculation of the mass emission over the cycle by integration of the instantaneous emission values and the </w:t>
      </w:r>
      <w:r w:rsidRPr="00B04DC3">
        <w:rPr>
          <w:i/>
          <w:lang w:val="en-GB"/>
        </w:rPr>
        <w:t>u</w:t>
      </w:r>
      <w:r w:rsidRPr="00B04DC3">
        <w:rPr>
          <w:lang w:val="en-GB"/>
        </w:rPr>
        <w:t xml:space="preserve"> values from Table 5 (paragraph 8.4.2.</w:t>
      </w:r>
      <w:r w:rsidR="00D77E75" w:rsidRPr="00B04DC3">
        <w:rPr>
          <w:lang w:val="en-GB"/>
        </w:rPr>
        <w:t>5</w:t>
      </w:r>
      <w:r w:rsidRPr="00B04DC3">
        <w:rPr>
          <w:lang w:val="en-GB"/>
        </w:rPr>
        <w:t>.</w:t>
      </w:r>
      <w:r w:rsidR="00D77E75" w:rsidRPr="00B04DC3">
        <w:rPr>
          <w:lang w:val="en-GB"/>
        </w:rPr>
        <w:t xml:space="preserve"> of this </w:t>
      </w:r>
      <w:r w:rsidR="003B31D3">
        <w:rPr>
          <w:lang w:val="en-GB"/>
        </w:rPr>
        <w:t>annex</w:t>
      </w:r>
      <w:r w:rsidRPr="00B04DC3">
        <w:rPr>
          <w:lang w:val="en-GB"/>
        </w:rPr>
        <w:t>:</w:t>
      </w:r>
    </w:p>
    <w:p w:rsidR="00002BA6" w:rsidRPr="00B04DC3" w:rsidRDefault="00002BA6" w:rsidP="00002BA6">
      <w:pPr>
        <w:pStyle w:val="para"/>
        <w:ind w:firstLine="0"/>
        <w:rPr>
          <w:lang w:val="en-GB"/>
        </w:rPr>
      </w:pPr>
      <w:r w:rsidRPr="00B04DC3">
        <w:rPr>
          <w:lang w:val="en-GB"/>
        </w:rPr>
        <w:tab/>
        <w:t>The following calculation is assumed for the WHTC cycle (1,800 s) and the same emission in each point of the cycle.</w:t>
      </w:r>
    </w:p>
    <w:p w:rsidR="00002BA6" w:rsidRPr="00B04DC3" w:rsidRDefault="00A905B7" w:rsidP="00002BA6">
      <w:pPr>
        <w:tabs>
          <w:tab w:val="left" w:pos="2552"/>
          <w:tab w:val="left" w:pos="3969"/>
          <w:tab w:val="left" w:pos="4678"/>
          <w:tab w:val="left" w:pos="5245"/>
          <w:tab w:val="left" w:pos="7230"/>
        </w:tabs>
        <w:ind w:left="2268" w:right="-143" w:hanging="2268"/>
      </w:pPr>
      <w:r>
        <w:rPr>
          <w:rFonts w:ascii="Arial" w:hAnsi="Arial" w:cs="Arial"/>
          <w:noProof/>
        </w:rPr>
        <w:pict>
          <v:rect id="_x0000_s5472" style="position:absolute;left:0;text-align:left;margin-left:323.75pt;margin-top:25.3pt;width:22.55pt;height:12pt;z-index:251624448;mso-wrap-style:none" filled="f" stroked="f">
            <v:textbox style="mso-fit-shape-to-text:t" inset="0,0,0,0">
              <w:txbxContent>
                <w:p w:rsidR="00A905B7" w:rsidRDefault="00A905B7">
                  <w:r>
                    <w:rPr>
                      <w:color w:val="000000"/>
                      <w:szCs w:val="24"/>
                    </w:rPr>
                    <w:t>4.650</w:t>
                  </w:r>
                </w:p>
              </w:txbxContent>
            </v:textbox>
          </v:rect>
        </w:pict>
      </w:r>
      <w:r>
        <w:rPr>
          <w:rFonts w:ascii="Arial" w:hAnsi="Arial" w:cs="Arial"/>
          <w:noProof/>
        </w:rPr>
        <w:pict>
          <v:rect id="_x0000_s5467" style="position:absolute;left:0;text-align:left;margin-left:309.3pt;margin-top:21.7pt;width:12.85pt;height:22.05pt;z-index:251623424;mso-wrap-style:none" filled="f" stroked="f">
            <v:textbox style="mso-fit-shape-to-text:t" inset="0,0,0,0">
              <w:txbxContent>
                <w:p w:rsidR="00A905B7" w:rsidRDefault="00A905B7">
                  <w:r>
                    <w:rPr>
                      <w:rFonts w:ascii="Symbol" w:hAnsi="Symbol" w:cs="Symbol"/>
                      <w:color w:val="000000"/>
                      <w:sz w:val="36"/>
                      <w:szCs w:val="36"/>
                    </w:rPr>
                    <w:t></w:t>
                  </w:r>
                </w:p>
              </w:txbxContent>
            </v:textbox>
          </v:rect>
        </w:pict>
      </w:r>
      <w:r>
        <w:rPr>
          <w:rFonts w:ascii="Arial" w:hAnsi="Arial" w:cs="Arial"/>
          <w:noProof/>
        </w:rPr>
        <w:pict>
          <v:rect id="_x0000_s5470" style="position:absolute;left:0;text-align:left;margin-left:317.1pt;margin-top:38.15pt;width:3.55pt;height:12pt;z-index:251622400;mso-wrap-style:none" filled="f" stroked="f">
            <v:textbox style="mso-fit-shape-to-text:t" inset="0,0,0,0">
              <w:txbxContent>
                <w:p w:rsidR="00A905B7" w:rsidRDefault="00A905B7">
                  <w:r>
                    <w:rPr>
                      <w:color w:val="000000"/>
                      <w:sz w:val="14"/>
                      <w:szCs w:val="14"/>
                    </w:rPr>
                    <w:t>1</w:t>
                  </w:r>
                </w:p>
              </w:txbxContent>
            </v:textbox>
          </v:rect>
        </w:pict>
      </w:r>
      <w:r>
        <w:rPr>
          <w:rFonts w:ascii="Arial" w:hAnsi="Arial" w:cs="Arial"/>
          <w:noProof/>
        </w:rPr>
        <w:pict>
          <v:rect id="_x0000_s5468" style="position:absolute;left:0;text-align:left;margin-left:313.65pt;margin-top:37.9pt;width:3.85pt;height:12pt;z-index:251621376;mso-wrap-style:none" filled="f" stroked="f">
            <v:textbox style="mso-fit-shape-to-text:t" inset="0,0,0,0">
              <w:txbxContent>
                <w:p w:rsidR="00A905B7" w:rsidRDefault="00A905B7">
                  <w:r>
                    <w:rPr>
                      <w:rFonts w:ascii="Symbol" w:hAnsi="Symbol" w:cs="Symbol"/>
                      <w:color w:val="000000"/>
                      <w:sz w:val="14"/>
                      <w:szCs w:val="14"/>
                    </w:rPr>
                    <w:t></w:t>
                  </w:r>
                </w:p>
              </w:txbxContent>
            </v:textbox>
          </v:rect>
        </w:pict>
      </w:r>
      <w:r>
        <w:rPr>
          <w:rFonts w:ascii="Arial" w:hAnsi="Arial" w:cs="Arial"/>
          <w:noProof/>
        </w:rPr>
        <w:pict>
          <v:rect id="_x0000_s5471" style="position:absolute;left:0;text-align:left;margin-left:311.2pt;margin-top:38.15pt;width:1.95pt;height:12pt;z-index:251620352;mso-wrap-style:none" filled="f" stroked="f">
            <v:textbox style="mso-fit-shape-to-text:t" inset="0,0,0,0">
              <w:txbxContent>
                <w:p w:rsidR="00A905B7" w:rsidRDefault="00A905B7">
                  <w:r>
                    <w:rPr>
                      <w:color w:val="000000"/>
                      <w:sz w:val="14"/>
                      <w:szCs w:val="14"/>
                    </w:rPr>
                    <w:t>i</w:t>
                  </w:r>
                </w:p>
              </w:txbxContent>
            </v:textbox>
          </v:rect>
        </w:pict>
      </w:r>
      <w:r w:rsidR="00002BA6" w:rsidRPr="00B04DC3">
        <w:tab/>
        <w:t>Equation (36):</w:t>
      </w:r>
      <w:r w:rsidR="00002BA6" w:rsidRPr="00B04DC3">
        <w:tab/>
        <w:t>m</w:t>
      </w:r>
      <w:r w:rsidR="00002BA6" w:rsidRPr="00B04DC3">
        <w:rPr>
          <w:vertAlign w:val="subscript"/>
        </w:rPr>
        <w:t>HC</w:t>
      </w:r>
      <w:r w:rsidR="00002BA6" w:rsidRPr="00B04DC3">
        <w:tab/>
        <w:t>=</w:t>
      </w:r>
      <w:r w:rsidR="00002BA6" w:rsidRPr="00B04DC3">
        <w:tab/>
        <w:t xml:space="preserve">0.000479 </w:t>
      </w:r>
      <w:r w:rsidR="00002BA6" w:rsidRPr="00B04DC3">
        <w:rPr>
          <w:rFonts w:ascii="Arial" w:hAnsi="Arial" w:cs="Arial"/>
        </w:rPr>
        <w:t>x</w:t>
      </w:r>
      <w:r>
        <w:rPr>
          <w:rFonts w:ascii="Arial" w:hAnsi="Arial" w:cs="Arial"/>
        </w:rPr>
      </w:r>
      <w:r>
        <w:rPr>
          <w:rFonts w:ascii="Arial" w:hAnsi="Arial" w:cs="Arial"/>
        </w:rPr>
        <w:pict>
          <v:group id="_x0000_s5465" editas="canvas" style="width:48.3pt;height:36pt;mso-position-horizontal-relative:char;mso-position-vertical-relative:line" coordorigin=",30" coordsize="966,720">
            <o:lock v:ext="edit" aspectratio="t"/>
            <v:shape id="_x0000_s5466" type="#_x0000_t75" style="position:absolute;top:30;width:966;height:720" o:preferrelative="f">
              <v:fill o:detectmouseclick="t"/>
              <v:path o:extrusionok="t" o:connecttype="none"/>
              <o:lock v:ext="edit" text="t"/>
            </v:shape>
            <v:rect id="_x0000_s5469" style="position:absolute;left:23;top:330;width:316;height:240;mso-wrap-style:none" filled="f" stroked="f">
              <v:textbox style="mso-fit-shape-to-text:t" inset="0,0,0,0">
                <w:txbxContent>
                  <w:p w:rsidR="00A905B7" w:rsidRDefault="00A905B7">
                    <w:r>
                      <w:rPr>
                        <w:color w:val="000000"/>
                        <w:sz w:val="14"/>
                        <w:szCs w:val="14"/>
                      </w:rPr>
                      <w:t>1,800</w:t>
                    </w:r>
                  </w:p>
                </w:txbxContent>
              </v:textbox>
            </v:rect>
            <w10:wrap type="none"/>
            <w10:anchorlock/>
          </v:group>
        </w:pict>
      </w:r>
      <w:r w:rsidR="00002BA6" w:rsidRPr="00B04DC3">
        <w:tab/>
        <w:t>= 4.01 g/test</w:t>
      </w:r>
    </w:p>
    <w:p w:rsidR="00002BA6" w:rsidRPr="00B04DC3" w:rsidRDefault="00A905B7" w:rsidP="00002BA6">
      <w:pPr>
        <w:tabs>
          <w:tab w:val="left" w:pos="2552"/>
          <w:tab w:val="left" w:pos="3969"/>
          <w:tab w:val="left" w:pos="4678"/>
          <w:tab w:val="left" w:pos="5245"/>
          <w:tab w:val="left" w:pos="7230"/>
        </w:tabs>
        <w:ind w:left="2268" w:right="-143" w:hanging="2268"/>
      </w:pPr>
      <w:r>
        <w:rPr>
          <w:rFonts w:ascii="Arial" w:hAnsi="Arial" w:cs="Arial"/>
          <w:noProof/>
        </w:rPr>
        <w:pict>
          <v:group id="_x0000_s5630" style="position:absolute;left:0;text-align:left;margin-left:309.3pt;margin-top:30.2pt;width:36.65pt;height:22.05pt;z-index:251619328" coordorigin="7320,7209" coordsize="733,441">
            <v:rect id="_x0000_s5475" style="position:absolute;left:7320;top:7209;width:257;height:441;mso-wrap-style:none" filled="f" stroked="f">
              <v:textbox style="mso-next-textbox:#_x0000_s5475;mso-fit-shape-to-text:t" inset="0,0,0,0">
                <w:txbxContent>
                  <w:p w:rsidR="00A905B7" w:rsidRDefault="00A905B7">
                    <w:r>
                      <w:rPr>
                        <w:rFonts w:ascii="Symbol" w:hAnsi="Symbol" w:cs="Symbol"/>
                        <w:color w:val="000000"/>
                        <w:sz w:val="36"/>
                        <w:szCs w:val="36"/>
                      </w:rPr>
                      <w:t></w:t>
                    </w:r>
                  </w:p>
                </w:txbxContent>
              </v:textbox>
            </v:rect>
            <v:rect id="_x0000_s5480" style="position:absolute;left:7602;top:7291;width:451;height:240;mso-wrap-style:none" filled="f" stroked="f">
              <v:textbox style="mso-next-textbox:#_x0000_s5480;mso-fit-shape-to-text:t" inset="0,0,0,0">
                <w:txbxContent>
                  <w:p w:rsidR="00A905B7" w:rsidRDefault="00A905B7">
                    <w:r>
                      <w:rPr>
                        <w:color w:val="000000"/>
                        <w:szCs w:val="24"/>
                      </w:rPr>
                      <w:t>5.782</w:t>
                    </w:r>
                  </w:p>
                </w:txbxContent>
              </v:textbox>
            </v:rect>
          </v:group>
        </w:pict>
      </w:r>
      <w:r w:rsidR="00002BA6" w:rsidRPr="00B04DC3">
        <w:tab/>
      </w:r>
      <w:r w:rsidR="00002BA6" w:rsidRPr="00B04DC3">
        <w:tab/>
      </w:r>
      <w:r w:rsidR="00002BA6" w:rsidRPr="00B04DC3">
        <w:tab/>
        <w:t>m</w:t>
      </w:r>
      <w:r w:rsidR="00002BA6" w:rsidRPr="00B04DC3">
        <w:rPr>
          <w:vertAlign w:val="subscript"/>
        </w:rPr>
        <w:t>CO</w:t>
      </w:r>
      <w:r w:rsidR="00002BA6" w:rsidRPr="00B04DC3">
        <w:tab/>
        <w:t>=</w:t>
      </w:r>
      <w:r w:rsidR="00002BA6" w:rsidRPr="00B04DC3">
        <w:tab/>
        <w:t xml:space="preserve">0.000966 </w:t>
      </w:r>
      <w:r w:rsidR="00002BA6" w:rsidRPr="00B04DC3">
        <w:rPr>
          <w:rFonts w:ascii="Arial" w:hAnsi="Arial" w:cs="Arial"/>
        </w:rPr>
        <w:t>x</w:t>
      </w:r>
      <w:r>
        <w:rPr>
          <w:rFonts w:ascii="Arial" w:hAnsi="Arial" w:cs="Arial"/>
        </w:rPr>
      </w:r>
      <w:r>
        <w:rPr>
          <w:rFonts w:ascii="Arial" w:hAnsi="Arial" w:cs="Arial"/>
        </w:rPr>
        <w:pict>
          <v:group id="_x0000_s5473" editas="canvas" style="width:47.95pt;height:43.7pt;mso-position-horizontal-relative:char;mso-position-vertical-relative:line" coordorigin=",30" coordsize="959,874">
            <o:lock v:ext="edit" aspectratio="t"/>
            <v:shape id="_x0000_s5474" type="#_x0000_t75" style="position:absolute;top:30;width:959;height:874" o:preferrelative="f">
              <v:fill o:detectmouseclick="t"/>
              <v:path o:extrusionok="t" o:connecttype="none"/>
              <o:lock v:ext="edit" text="t"/>
            </v:shape>
            <v:rect id="_x0000_s5477" style="position:absolute;top:480;width:410;height:240" filled="f" stroked="f">
              <v:textbox style="mso-fit-shape-to-text:t" inset="0,0,0,0">
                <w:txbxContent>
                  <w:p w:rsidR="00A905B7" w:rsidRDefault="00A905B7">
                    <w:r>
                      <w:rPr>
                        <w:color w:val="000000"/>
                        <w:sz w:val="14"/>
                        <w:szCs w:val="14"/>
                      </w:rPr>
                      <w:t>1,800</w:t>
                    </w:r>
                  </w:p>
                </w:txbxContent>
              </v:textbox>
            </v:rect>
            <w10:wrap type="none"/>
            <w10:anchorlock/>
          </v:group>
        </w:pict>
      </w:r>
      <w:r w:rsidR="00002BA6" w:rsidRPr="00B04DC3">
        <w:tab/>
        <w:t>= 10.05 g/test</w:t>
      </w:r>
    </w:p>
    <w:p w:rsidR="009B357A" w:rsidRDefault="00A905B7" w:rsidP="009B357A">
      <w:pPr>
        <w:tabs>
          <w:tab w:val="left" w:pos="2552"/>
          <w:tab w:val="left" w:pos="3969"/>
          <w:tab w:val="left" w:pos="4678"/>
          <w:tab w:val="left" w:pos="5245"/>
          <w:tab w:val="left" w:pos="7230"/>
        </w:tabs>
        <w:ind w:left="2268" w:right="-142" w:hanging="2268"/>
      </w:pPr>
      <w:r>
        <w:rPr>
          <w:rFonts w:ascii="Arial" w:hAnsi="Arial" w:cs="Arial"/>
          <w:noProof/>
          <w:lang w:eastAsia="en-GB"/>
        </w:rPr>
        <w:pict>
          <v:group id="_x0000_s5631" style="position:absolute;left:0;text-align:left;margin-left:308.6pt;margin-top:.7pt;width:15.8pt;height:27pt;z-index:251650048" coordorigin="23" coordsize="316,540">
            <v:rect id="_x0000_s5485" style="position:absolute;left:23;top:300;width:316;height:240;mso-wrap-style:none" filled="f" stroked="f">
              <v:textbox style="mso-next-textbox:#_x0000_s5485;mso-fit-shape-to-text:t" inset="0,0,0,0">
                <w:txbxContent>
                  <w:p w:rsidR="00A905B7" w:rsidRDefault="00A905B7">
                    <w:r>
                      <w:rPr>
                        <w:color w:val="000000"/>
                        <w:sz w:val="14"/>
                        <w:szCs w:val="14"/>
                      </w:rPr>
                      <w:t>1,800</w:t>
                    </w:r>
                  </w:p>
                </w:txbxContent>
              </v:textbox>
            </v:rect>
            <v:rect id="_x0000_s5479" style="position:absolute;left:79;top:5;width:39;height:240;mso-wrap-style:none" filled="f" stroked="f">
              <v:textbox style="mso-next-textbox:#_x0000_s5479;mso-fit-shape-to-text:t" inset="0,0,0,0">
                <w:txbxContent>
                  <w:p w:rsidR="00A905B7" w:rsidRDefault="00A905B7">
                    <w:r>
                      <w:rPr>
                        <w:color w:val="000000"/>
                        <w:sz w:val="14"/>
                        <w:szCs w:val="14"/>
                      </w:rPr>
                      <w:t>i</w:t>
                    </w:r>
                  </w:p>
                </w:txbxContent>
              </v:textbox>
            </v:rect>
            <v:rect id="_x0000_s5476" style="position:absolute;left:128;width:77;height:240" filled="f" stroked="f">
              <v:textbox style="mso-next-textbox:#_x0000_s5476" inset="0,0,0,0">
                <w:txbxContent>
                  <w:p w:rsidR="00A905B7" w:rsidRDefault="00A905B7">
                    <w:r>
                      <w:rPr>
                        <w:rFonts w:ascii="Symbol" w:hAnsi="Symbol" w:cs="Symbol"/>
                        <w:color w:val="000000"/>
                        <w:sz w:val="14"/>
                        <w:szCs w:val="14"/>
                      </w:rPr>
                      <w:t></w:t>
                    </w:r>
                  </w:p>
                </w:txbxContent>
              </v:textbox>
            </v:rect>
            <v:rect id="_x0000_s5478" style="position:absolute;left:197;top:5;width:71;height:240;mso-wrap-style:none" filled="f" stroked="f">
              <v:textbox style="mso-next-textbox:#_x0000_s5478;mso-fit-shape-to-text:t" inset="0,0,0,0">
                <w:txbxContent>
                  <w:p w:rsidR="00A905B7" w:rsidRDefault="00A905B7">
                    <w:r>
                      <w:rPr>
                        <w:color w:val="000000"/>
                        <w:sz w:val="14"/>
                        <w:szCs w:val="14"/>
                      </w:rPr>
                      <w:t>1</w:t>
                    </w:r>
                  </w:p>
                </w:txbxContent>
              </v:textbox>
            </v:rect>
          </v:group>
        </w:pict>
      </w:r>
      <w:r w:rsidR="00002BA6" w:rsidRPr="00B04DC3">
        <w:tab/>
      </w:r>
      <w:r w:rsidR="00002BA6" w:rsidRPr="00B04DC3">
        <w:tab/>
      </w:r>
      <w:r w:rsidR="00002BA6" w:rsidRPr="00B04DC3">
        <w:tab/>
      </w:r>
    </w:p>
    <w:p w:rsidR="00002BA6" w:rsidRPr="00B04DC3" w:rsidRDefault="00A905B7" w:rsidP="00955037">
      <w:pPr>
        <w:tabs>
          <w:tab w:val="left" w:pos="2552"/>
          <w:tab w:val="left" w:pos="3969"/>
          <w:tab w:val="left" w:pos="4678"/>
          <w:tab w:val="left" w:pos="5245"/>
          <w:tab w:val="left" w:pos="7230"/>
        </w:tabs>
        <w:spacing w:after="120"/>
        <w:ind w:left="2268" w:right="-142" w:hanging="2268"/>
      </w:pPr>
      <w:r>
        <w:rPr>
          <w:rFonts w:ascii="Arial" w:hAnsi="Arial" w:cs="Arial"/>
          <w:noProof/>
        </w:rPr>
        <w:pict>
          <v:rect id="_x0000_s5484" style="position:absolute;left:0;text-align:left;margin-left:313.65pt;margin-top:27.7pt;width:3.85pt;height:12pt;z-index:251616256;mso-wrap-style:none" filled="f" stroked="f">
            <v:textbox style="mso-fit-shape-to-text:t" inset="0,0,0,0">
              <w:txbxContent>
                <w:p w:rsidR="00A905B7" w:rsidRDefault="00A905B7">
                  <w:r>
                    <w:rPr>
                      <w:rFonts w:ascii="Symbol" w:hAnsi="Symbol" w:cs="Symbol"/>
                      <w:color w:val="000000"/>
                      <w:sz w:val="14"/>
                      <w:szCs w:val="14"/>
                    </w:rPr>
                    <w:t></w:t>
                  </w:r>
                </w:p>
              </w:txbxContent>
            </v:textbox>
          </v:rect>
        </w:pict>
      </w:r>
      <w:r>
        <w:rPr>
          <w:rFonts w:ascii="Arial" w:hAnsi="Arial" w:cs="Arial"/>
          <w:noProof/>
        </w:rPr>
        <w:pict>
          <v:rect id="_x0000_s5486" style="position:absolute;left:0;text-align:left;margin-left:316.95pt;margin-top:26.25pt;width:3.55pt;height:12pt;z-index:251618304;mso-wrap-style:none" filled="f" stroked="f">
            <v:textbox style="mso-fit-shape-to-text:t" inset="0,0,0,0">
              <w:txbxContent>
                <w:p w:rsidR="00A905B7" w:rsidRDefault="00A905B7">
                  <w:r>
                    <w:rPr>
                      <w:color w:val="000000"/>
                      <w:sz w:val="14"/>
                      <w:szCs w:val="14"/>
                    </w:rPr>
                    <w:t>1</w:t>
                  </w:r>
                </w:p>
              </w:txbxContent>
            </v:textbox>
          </v:rect>
        </w:pict>
      </w:r>
      <w:r>
        <w:rPr>
          <w:rFonts w:ascii="Arial" w:hAnsi="Arial" w:cs="Arial"/>
          <w:noProof/>
        </w:rPr>
        <w:pict>
          <v:rect id="_x0000_s5487" style="position:absolute;left:0;text-align:left;margin-left:311.35pt;margin-top:25.85pt;width:1.95pt;height:12pt;z-index:251617280;mso-wrap-style:none" filled="f" stroked="f">
            <v:textbox style="mso-fit-shape-to-text:t" inset="0,0,0,0">
              <w:txbxContent>
                <w:p w:rsidR="00A905B7" w:rsidRDefault="00A905B7">
                  <w:r>
                    <w:rPr>
                      <w:color w:val="000000"/>
                      <w:sz w:val="14"/>
                      <w:szCs w:val="14"/>
                    </w:rPr>
                    <w:t>i</w:t>
                  </w:r>
                </w:p>
              </w:txbxContent>
            </v:textbox>
          </v:rect>
        </w:pict>
      </w:r>
      <w:r>
        <w:rPr>
          <w:rFonts w:ascii="Arial" w:hAnsi="Arial" w:cs="Arial"/>
          <w:noProof/>
          <w:lang w:eastAsia="en-GB"/>
        </w:rPr>
        <w:pict>
          <v:rect id="_x0000_s5483" style="position:absolute;left:0;text-align:left;margin-left:309.3pt;margin-top:10.35pt;width:12.85pt;height:25.1pt;z-index:251651072;mso-wrap-style:none" filled="f" stroked="f">
            <v:textbox style="mso-next-textbox:#_x0000_s5483" inset="0,0,0,0">
              <w:txbxContent>
                <w:p w:rsidR="00A905B7" w:rsidRDefault="00A905B7">
                  <w:r>
                    <w:rPr>
                      <w:rFonts w:ascii="Symbol" w:hAnsi="Symbol" w:cs="Symbol"/>
                      <w:color w:val="000000"/>
                      <w:sz w:val="36"/>
                      <w:szCs w:val="36"/>
                    </w:rPr>
                    <w:t></w:t>
                  </w:r>
                </w:p>
              </w:txbxContent>
            </v:textbox>
          </v:rect>
        </w:pict>
      </w:r>
      <w:r>
        <w:rPr>
          <w:rFonts w:ascii="Arial" w:hAnsi="Arial" w:cs="Arial"/>
          <w:noProof/>
          <w:lang w:eastAsia="en-GB"/>
        </w:rPr>
        <w:pict>
          <v:rect id="_x0000_s5488" style="position:absolute;left:0;text-align:left;margin-left:325.8pt;margin-top:18.2pt;width:22.55pt;height:12pt;z-index:251649024;mso-wrap-style:none" filled="f" stroked="f">
            <v:textbox style="mso-next-textbox:#_x0000_s5488;mso-fit-shape-to-text:t" inset="0,0,0,0">
              <w:txbxContent>
                <w:p w:rsidR="00A905B7" w:rsidRDefault="00A905B7">
                  <w:r>
                    <w:rPr>
                      <w:color w:val="000000"/>
                      <w:szCs w:val="24"/>
                    </w:rPr>
                    <w:t>69.26</w:t>
                  </w:r>
                </w:p>
              </w:txbxContent>
            </v:textbox>
          </v:rect>
        </w:pict>
      </w:r>
      <w:r w:rsidR="009B357A">
        <w:tab/>
      </w:r>
      <w:r w:rsidR="009B357A">
        <w:tab/>
      </w:r>
      <w:r w:rsidR="009B357A">
        <w:tab/>
      </w:r>
      <w:r w:rsidR="00002BA6" w:rsidRPr="00B04DC3">
        <w:t>m</w:t>
      </w:r>
      <w:r w:rsidR="00002BA6" w:rsidRPr="00B04DC3">
        <w:rPr>
          <w:vertAlign w:val="subscript"/>
        </w:rPr>
        <w:t>NOx</w:t>
      </w:r>
      <w:r w:rsidR="00002BA6" w:rsidRPr="00B04DC3">
        <w:tab/>
        <w:t>=</w:t>
      </w:r>
      <w:r w:rsidR="00002BA6" w:rsidRPr="00B04DC3">
        <w:tab/>
        <w:t xml:space="preserve">0.001586 </w:t>
      </w:r>
      <w:r w:rsidR="00002BA6" w:rsidRPr="00B04DC3">
        <w:rPr>
          <w:rFonts w:ascii="Arial" w:hAnsi="Arial" w:cs="Arial"/>
        </w:rPr>
        <w:t>x</w:t>
      </w:r>
      <w:r>
        <w:rPr>
          <w:rFonts w:ascii="Arial" w:hAnsi="Arial" w:cs="Arial"/>
        </w:rPr>
      </w:r>
      <w:r>
        <w:rPr>
          <w:rFonts w:ascii="Arial" w:hAnsi="Arial" w:cs="Arial"/>
        </w:rPr>
        <w:pict>
          <v:group id="_x0000_s5481" editas="canvas" style="width:48.35pt;height:28.6pt;mso-position-horizontal-relative:char;mso-position-vertical-relative:line" coordsize="967,572">
            <o:lock v:ext="edit" aspectratio="t"/>
            <v:shape id="_x0000_s5482" type="#_x0000_t75" style="position:absolute;width:967;height:572" o:preferrelative="f">
              <v:fill o:detectmouseclick="t"/>
              <v:path o:extrusionok="t" o:connecttype="none"/>
              <o:lock v:ext="edit" text="t"/>
            </v:shape>
            <w10:wrap type="none"/>
            <w10:anchorlock/>
          </v:group>
        </w:pict>
      </w:r>
      <w:r w:rsidR="00002BA6" w:rsidRPr="00B04DC3">
        <w:tab/>
        <w:t>= 197.72 g/test</w:t>
      </w:r>
    </w:p>
    <w:p w:rsidR="00002BA6" w:rsidRPr="00B04DC3" w:rsidRDefault="00002BA6" w:rsidP="00002BA6">
      <w:pPr>
        <w:pStyle w:val="para"/>
        <w:ind w:firstLine="0"/>
        <w:rPr>
          <w:lang w:val="en-GB"/>
        </w:rPr>
      </w:pPr>
      <w:r w:rsidRPr="00B04DC3">
        <w:rPr>
          <w:lang w:val="en-GB"/>
        </w:rPr>
        <w:tab/>
        <w:t>Step 5: Calculation of the specific emissions (paragraph 8.6.3.</w:t>
      </w:r>
      <w:r w:rsidR="003B31D3" w:rsidRPr="003B31D3">
        <w:rPr>
          <w:lang w:val="en-GB"/>
        </w:rPr>
        <w:t xml:space="preserve"> </w:t>
      </w:r>
      <w:r w:rsidR="003B31D3">
        <w:rPr>
          <w:lang w:val="en-GB"/>
        </w:rPr>
        <w:t>of this annex</w:t>
      </w:r>
      <w:r w:rsidRPr="00B04DC3">
        <w:rPr>
          <w:lang w:val="en-GB"/>
        </w:rPr>
        <w:t>):</w:t>
      </w:r>
    </w:p>
    <w:p w:rsidR="00002BA6" w:rsidRPr="00B04DC3" w:rsidRDefault="00002BA6" w:rsidP="00002BA6">
      <w:pPr>
        <w:tabs>
          <w:tab w:val="left" w:pos="2552"/>
          <w:tab w:val="left" w:pos="3969"/>
          <w:tab w:val="left" w:pos="4678"/>
          <w:tab w:val="left" w:pos="5245"/>
          <w:tab w:val="left" w:pos="7230"/>
        </w:tabs>
        <w:spacing w:after="120"/>
        <w:ind w:left="2268" w:right="-142" w:hanging="2268"/>
      </w:pPr>
      <w:r w:rsidRPr="00B04DC3">
        <w:tab/>
        <w:t>Equation (69):</w:t>
      </w:r>
      <w:r w:rsidRPr="00B04DC3">
        <w:tab/>
        <w:t>e</w:t>
      </w:r>
      <w:r w:rsidRPr="00B04DC3">
        <w:rPr>
          <w:vertAlign w:val="subscript"/>
        </w:rPr>
        <w:t>HC</w:t>
      </w:r>
      <w:r w:rsidRPr="00B04DC3">
        <w:tab/>
        <w:t>=</w:t>
      </w:r>
      <w:r w:rsidRPr="00B04DC3">
        <w:tab/>
        <w:t>4.01 / 40</w:t>
      </w:r>
      <w:r w:rsidRPr="00B04DC3">
        <w:tab/>
        <w:t>= 0.10 g/kWh</w:t>
      </w:r>
    </w:p>
    <w:p w:rsidR="00002BA6" w:rsidRPr="00B04DC3" w:rsidRDefault="00002BA6" w:rsidP="00002BA6">
      <w:pPr>
        <w:tabs>
          <w:tab w:val="left" w:pos="2552"/>
          <w:tab w:val="left" w:pos="3969"/>
          <w:tab w:val="left" w:pos="4678"/>
          <w:tab w:val="left" w:pos="5245"/>
          <w:tab w:val="left" w:pos="7230"/>
        </w:tabs>
        <w:spacing w:after="120"/>
        <w:ind w:left="2268" w:right="-142" w:hanging="2268"/>
      </w:pPr>
      <w:r w:rsidRPr="00B04DC3">
        <w:tab/>
      </w:r>
      <w:r w:rsidRPr="00B04DC3">
        <w:tab/>
      </w:r>
      <w:r w:rsidRPr="00B04DC3">
        <w:tab/>
        <w:t>e</w:t>
      </w:r>
      <w:r w:rsidRPr="00B04DC3">
        <w:rPr>
          <w:vertAlign w:val="subscript"/>
        </w:rPr>
        <w:t>CO</w:t>
      </w:r>
      <w:r w:rsidRPr="00B04DC3">
        <w:tab/>
        <w:t>=</w:t>
      </w:r>
      <w:r w:rsidRPr="00B04DC3">
        <w:tab/>
        <w:t>10.05 / 40</w:t>
      </w:r>
      <w:r w:rsidRPr="00B04DC3">
        <w:tab/>
        <w:t>= 0.25 g/kWh</w:t>
      </w:r>
    </w:p>
    <w:p w:rsidR="00002BA6" w:rsidRPr="00B04DC3" w:rsidRDefault="00002BA6" w:rsidP="00002BA6">
      <w:pPr>
        <w:tabs>
          <w:tab w:val="left" w:pos="2552"/>
          <w:tab w:val="left" w:pos="3969"/>
          <w:tab w:val="left" w:pos="4678"/>
          <w:tab w:val="left" w:pos="5245"/>
          <w:tab w:val="left" w:pos="7230"/>
        </w:tabs>
        <w:spacing w:after="120"/>
        <w:ind w:left="2268" w:right="-142" w:hanging="2268"/>
      </w:pPr>
      <w:r w:rsidRPr="00B04DC3">
        <w:tab/>
      </w:r>
      <w:r w:rsidRPr="00B04DC3">
        <w:tab/>
      </w:r>
      <w:r w:rsidRPr="00B04DC3">
        <w:tab/>
        <w:t>e</w:t>
      </w:r>
      <w:r w:rsidRPr="00B04DC3">
        <w:rPr>
          <w:vertAlign w:val="subscript"/>
        </w:rPr>
        <w:t>NOx</w:t>
      </w:r>
      <w:r w:rsidRPr="00B04DC3">
        <w:tab/>
        <w:t>=</w:t>
      </w:r>
      <w:r w:rsidRPr="00B04DC3">
        <w:tab/>
        <w:t>197.72 / 40</w:t>
      </w:r>
      <w:r w:rsidRPr="00B04DC3">
        <w:tab/>
        <w:t>= 4.94 g/kWh</w:t>
      </w:r>
    </w:p>
    <w:p w:rsidR="00002BA6" w:rsidRPr="00B04DC3" w:rsidRDefault="00002BA6" w:rsidP="00002BA6">
      <w:pPr>
        <w:pStyle w:val="para"/>
        <w:rPr>
          <w:lang w:val="en-GB"/>
        </w:rPr>
      </w:pPr>
      <w:r w:rsidRPr="00B04DC3">
        <w:rPr>
          <w:lang w:val="en-GB"/>
        </w:rPr>
        <w:t>A.6.4.</w:t>
      </w:r>
      <w:r w:rsidRPr="00B04DC3">
        <w:rPr>
          <w:lang w:val="en-GB"/>
        </w:rPr>
        <w:tab/>
        <w:t>Particulate Emission (diesel fuel)</w:t>
      </w:r>
    </w:p>
    <w:tbl>
      <w:tblPr>
        <w:tblW w:w="8505"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66"/>
        <w:gridCol w:w="798"/>
        <w:gridCol w:w="799"/>
        <w:gridCol w:w="798"/>
        <w:gridCol w:w="798"/>
        <w:gridCol w:w="799"/>
        <w:gridCol w:w="1060"/>
        <w:gridCol w:w="929"/>
        <w:gridCol w:w="929"/>
        <w:gridCol w:w="929"/>
      </w:tblGrid>
      <w:tr w:rsidR="00002BA6" w:rsidRPr="00B04DC3" w:rsidTr="007C2EE6">
        <w:tc>
          <w:tcPr>
            <w:tcW w:w="709"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p</w:t>
            </w:r>
            <w:r w:rsidRPr="00B04DC3">
              <w:rPr>
                <w:sz w:val="16"/>
                <w:szCs w:val="16"/>
                <w:vertAlign w:val="subscript"/>
              </w:rPr>
              <w:t>b,b</w:t>
            </w:r>
          </w:p>
          <w:p w:rsidR="00002BA6" w:rsidRPr="00B04DC3" w:rsidRDefault="00002BA6" w:rsidP="00002BA6">
            <w:pPr>
              <w:keepNext/>
              <w:spacing w:before="80" w:after="80" w:line="200" w:lineRule="atLeast"/>
              <w:jc w:val="center"/>
              <w:rPr>
                <w:sz w:val="16"/>
                <w:szCs w:val="16"/>
              </w:rPr>
            </w:pPr>
            <w:r w:rsidRPr="00B04DC3">
              <w:rPr>
                <w:sz w:val="16"/>
                <w:szCs w:val="16"/>
              </w:rPr>
              <w:t>(kPa)</w:t>
            </w:r>
          </w:p>
        </w:tc>
        <w:tc>
          <w:tcPr>
            <w:tcW w:w="851"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p</w:t>
            </w:r>
            <w:r w:rsidRPr="00B04DC3">
              <w:rPr>
                <w:sz w:val="16"/>
                <w:szCs w:val="16"/>
                <w:vertAlign w:val="subscript"/>
              </w:rPr>
              <w:t>b,a</w:t>
            </w:r>
          </w:p>
          <w:p w:rsidR="00002BA6" w:rsidRPr="00B04DC3" w:rsidRDefault="00002BA6" w:rsidP="00002BA6">
            <w:pPr>
              <w:keepNext/>
              <w:spacing w:before="80" w:after="80" w:line="200" w:lineRule="atLeast"/>
              <w:jc w:val="center"/>
              <w:rPr>
                <w:sz w:val="16"/>
                <w:szCs w:val="16"/>
              </w:rPr>
            </w:pPr>
            <w:r w:rsidRPr="00B04DC3">
              <w:rPr>
                <w:sz w:val="16"/>
                <w:szCs w:val="16"/>
              </w:rPr>
              <w:t>(kPa)</w:t>
            </w:r>
          </w:p>
        </w:tc>
        <w:tc>
          <w:tcPr>
            <w:tcW w:w="851"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W</w:t>
            </w:r>
            <w:r w:rsidRPr="00B04DC3">
              <w:rPr>
                <w:sz w:val="16"/>
                <w:szCs w:val="16"/>
                <w:vertAlign w:val="subscript"/>
              </w:rPr>
              <w:t>act</w:t>
            </w:r>
          </w:p>
          <w:p w:rsidR="00002BA6" w:rsidRPr="00B04DC3" w:rsidRDefault="00002BA6" w:rsidP="00002BA6">
            <w:pPr>
              <w:keepNext/>
              <w:spacing w:before="80" w:after="80" w:line="200" w:lineRule="atLeast"/>
              <w:jc w:val="center"/>
              <w:rPr>
                <w:sz w:val="16"/>
                <w:szCs w:val="16"/>
              </w:rPr>
            </w:pPr>
            <w:r w:rsidRPr="00B04DC3">
              <w:rPr>
                <w:sz w:val="16"/>
                <w:szCs w:val="16"/>
              </w:rPr>
              <w:t>(kWh)</w:t>
            </w:r>
          </w:p>
        </w:tc>
        <w:tc>
          <w:tcPr>
            <w:tcW w:w="850"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q</w:t>
            </w:r>
            <w:r w:rsidRPr="00B04DC3">
              <w:rPr>
                <w:sz w:val="16"/>
                <w:szCs w:val="16"/>
                <w:vertAlign w:val="subscript"/>
              </w:rPr>
              <w:t>mew,i</w:t>
            </w:r>
          </w:p>
          <w:p w:rsidR="00002BA6" w:rsidRPr="00B04DC3" w:rsidRDefault="00002BA6" w:rsidP="00002BA6">
            <w:pPr>
              <w:keepNext/>
              <w:spacing w:before="80" w:after="80" w:line="200" w:lineRule="atLeast"/>
              <w:jc w:val="center"/>
              <w:rPr>
                <w:sz w:val="16"/>
                <w:szCs w:val="16"/>
              </w:rPr>
            </w:pPr>
            <w:r w:rsidRPr="00B04DC3">
              <w:rPr>
                <w:sz w:val="16"/>
                <w:szCs w:val="16"/>
              </w:rPr>
              <w:t>(kg/s)</w:t>
            </w:r>
          </w:p>
        </w:tc>
        <w:tc>
          <w:tcPr>
            <w:tcW w:w="850"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q</w:t>
            </w:r>
            <w:r w:rsidRPr="00B04DC3">
              <w:rPr>
                <w:sz w:val="16"/>
                <w:szCs w:val="16"/>
                <w:vertAlign w:val="subscript"/>
              </w:rPr>
              <w:t>mf,i</w:t>
            </w:r>
          </w:p>
          <w:p w:rsidR="00002BA6" w:rsidRPr="00B04DC3" w:rsidRDefault="00002BA6" w:rsidP="00002BA6">
            <w:pPr>
              <w:keepNext/>
              <w:spacing w:before="80" w:after="80" w:line="200" w:lineRule="atLeast"/>
              <w:jc w:val="center"/>
              <w:rPr>
                <w:sz w:val="16"/>
                <w:szCs w:val="16"/>
              </w:rPr>
            </w:pPr>
            <w:r w:rsidRPr="00B04DC3">
              <w:rPr>
                <w:sz w:val="16"/>
                <w:szCs w:val="16"/>
              </w:rPr>
              <w:t>(kg/s)</w:t>
            </w:r>
          </w:p>
        </w:tc>
        <w:tc>
          <w:tcPr>
            <w:tcW w:w="851"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q</w:t>
            </w:r>
            <w:r w:rsidRPr="00B04DC3">
              <w:rPr>
                <w:sz w:val="16"/>
                <w:szCs w:val="16"/>
                <w:vertAlign w:val="subscript"/>
              </w:rPr>
              <w:t>mdw,i</w:t>
            </w:r>
          </w:p>
          <w:p w:rsidR="00002BA6" w:rsidRPr="00B04DC3" w:rsidRDefault="00002BA6" w:rsidP="00002BA6">
            <w:pPr>
              <w:keepNext/>
              <w:spacing w:before="80" w:after="80" w:line="200" w:lineRule="atLeast"/>
              <w:jc w:val="center"/>
              <w:rPr>
                <w:sz w:val="16"/>
                <w:szCs w:val="16"/>
              </w:rPr>
            </w:pPr>
            <w:r w:rsidRPr="00B04DC3">
              <w:rPr>
                <w:sz w:val="16"/>
                <w:szCs w:val="16"/>
              </w:rPr>
              <w:t>(kg/s)</w:t>
            </w:r>
          </w:p>
        </w:tc>
        <w:tc>
          <w:tcPr>
            <w:tcW w:w="1134" w:type="dxa"/>
            <w:tcBorders>
              <w:top w:val="single" w:sz="2" w:space="0" w:color="auto"/>
            </w:tcBorders>
          </w:tcPr>
          <w:p w:rsidR="00002BA6" w:rsidRPr="00B04DC3" w:rsidRDefault="00002BA6" w:rsidP="00002BA6">
            <w:pPr>
              <w:keepNext/>
              <w:spacing w:before="80" w:after="80" w:line="200" w:lineRule="atLeast"/>
              <w:jc w:val="center"/>
              <w:rPr>
                <w:sz w:val="16"/>
                <w:szCs w:val="16"/>
              </w:rPr>
            </w:pPr>
            <w:r w:rsidRPr="00B04DC3">
              <w:rPr>
                <w:sz w:val="16"/>
                <w:szCs w:val="16"/>
              </w:rPr>
              <w:t>q</w:t>
            </w:r>
            <w:r w:rsidRPr="00B04DC3">
              <w:rPr>
                <w:sz w:val="16"/>
                <w:szCs w:val="16"/>
                <w:vertAlign w:val="subscript"/>
              </w:rPr>
              <w:t>mdew,i</w:t>
            </w:r>
          </w:p>
          <w:p w:rsidR="00002BA6" w:rsidRPr="00B04DC3" w:rsidRDefault="00002BA6" w:rsidP="00002BA6">
            <w:pPr>
              <w:keepNext/>
              <w:spacing w:before="80" w:after="80" w:line="200" w:lineRule="atLeast"/>
              <w:jc w:val="center"/>
              <w:rPr>
                <w:sz w:val="16"/>
                <w:szCs w:val="16"/>
              </w:rPr>
            </w:pPr>
            <w:r w:rsidRPr="00B04DC3">
              <w:rPr>
                <w:sz w:val="16"/>
                <w:szCs w:val="16"/>
              </w:rPr>
              <w:t>(kg/s)</w:t>
            </w:r>
          </w:p>
        </w:tc>
        <w:tc>
          <w:tcPr>
            <w:tcW w:w="992" w:type="dxa"/>
            <w:tcBorders>
              <w:top w:val="single" w:sz="2" w:space="0" w:color="auto"/>
            </w:tcBorders>
          </w:tcPr>
          <w:p w:rsidR="00002BA6" w:rsidRPr="00B04DC3" w:rsidRDefault="00002BA6" w:rsidP="00002BA6">
            <w:pPr>
              <w:keepNext/>
              <w:spacing w:before="80" w:after="80" w:line="200" w:lineRule="atLeast"/>
              <w:jc w:val="center"/>
              <w:rPr>
                <w:sz w:val="16"/>
                <w:szCs w:val="16"/>
                <w:vertAlign w:val="subscript"/>
              </w:rPr>
            </w:pPr>
            <w:r w:rsidRPr="00B04DC3">
              <w:rPr>
                <w:sz w:val="16"/>
                <w:szCs w:val="16"/>
              </w:rPr>
              <w:t>m</w:t>
            </w:r>
            <w:r w:rsidRPr="00B04DC3">
              <w:rPr>
                <w:sz w:val="16"/>
                <w:szCs w:val="16"/>
                <w:vertAlign w:val="subscript"/>
              </w:rPr>
              <w:t>uncor,b</w:t>
            </w:r>
          </w:p>
          <w:p w:rsidR="00002BA6" w:rsidRPr="00B04DC3" w:rsidRDefault="00002BA6" w:rsidP="00002BA6">
            <w:pPr>
              <w:keepNext/>
              <w:spacing w:before="80" w:after="80" w:line="200" w:lineRule="atLeast"/>
              <w:jc w:val="center"/>
              <w:rPr>
                <w:sz w:val="16"/>
                <w:szCs w:val="16"/>
              </w:rPr>
            </w:pPr>
            <w:r w:rsidRPr="00B04DC3">
              <w:rPr>
                <w:sz w:val="16"/>
                <w:szCs w:val="16"/>
              </w:rPr>
              <w:t>(mg)</w:t>
            </w:r>
          </w:p>
        </w:tc>
        <w:tc>
          <w:tcPr>
            <w:tcW w:w="992" w:type="dxa"/>
            <w:tcBorders>
              <w:top w:val="single" w:sz="2" w:space="0" w:color="auto"/>
            </w:tcBorders>
          </w:tcPr>
          <w:p w:rsidR="00002BA6" w:rsidRPr="00B04DC3" w:rsidRDefault="00002BA6" w:rsidP="00002BA6">
            <w:pPr>
              <w:keepNext/>
              <w:spacing w:before="80" w:after="80" w:line="200" w:lineRule="atLeast"/>
              <w:jc w:val="center"/>
              <w:rPr>
                <w:sz w:val="16"/>
                <w:szCs w:val="16"/>
                <w:vertAlign w:val="subscript"/>
              </w:rPr>
            </w:pPr>
            <w:r w:rsidRPr="00B04DC3">
              <w:rPr>
                <w:sz w:val="16"/>
                <w:szCs w:val="16"/>
              </w:rPr>
              <w:t>m</w:t>
            </w:r>
            <w:r w:rsidRPr="00B04DC3">
              <w:rPr>
                <w:sz w:val="16"/>
                <w:szCs w:val="16"/>
                <w:vertAlign w:val="subscript"/>
              </w:rPr>
              <w:t>uncor,a</w:t>
            </w:r>
          </w:p>
          <w:p w:rsidR="00002BA6" w:rsidRPr="00B04DC3" w:rsidRDefault="00002BA6" w:rsidP="00002BA6">
            <w:pPr>
              <w:keepNext/>
              <w:spacing w:before="80" w:after="80" w:line="200" w:lineRule="atLeast"/>
              <w:jc w:val="center"/>
              <w:rPr>
                <w:sz w:val="16"/>
                <w:szCs w:val="16"/>
              </w:rPr>
            </w:pPr>
            <w:r w:rsidRPr="00B04DC3">
              <w:rPr>
                <w:sz w:val="16"/>
                <w:szCs w:val="16"/>
              </w:rPr>
              <w:t>(mg)</w:t>
            </w:r>
          </w:p>
        </w:tc>
        <w:tc>
          <w:tcPr>
            <w:tcW w:w="992" w:type="dxa"/>
            <w:tcBorders>
              <w:top w:val="single" w:sz="2" w:space="0" w:color="auto"/>
            </w:tcBorders>
          </w:tcPr>
          <w:p w:rsidR="00002BA6" w:rsidRPr="00B04DC3" w:rsidRDefault="00002BA6" w:rsidP="00002BA6">
            <w:pPr>
              <w:keepNext/>
              <w:spacing w:before="80" w:after="80" w:line="200" w:lineRule="atLeast"/>
              <w:jc w:val="center"/>
              <w:rPr>
                <w:sz w:val="16"/>
                <w:szCs w:val="16"/>
                <w:vertAlign w:val="subscript"/>
              </w:rPr>
            </w:pPr>
            <w:r w:rsidRPr="00B04DC3">
              <w:rPr>
                <w:sz w:val="16"/>
                <w:szCs w:val="16"/>
              </w:rPr>
              <w:t>m</w:t>
            </w:r>
            <w:r w:rsidRPr="00B04DC3">
              <w:rPr>
                <w:sz w:val="16"/>
                <w:szCs w:val="16"/>
                <w:vertAlign w:val="subscript"/>
              </w:rPr>
              <w:t>sep</w:t>
            </w:r>
          </w:p>
          <w:p w:rsidR="00002BA6" w:rsidRPr="00B04DC3" w:rsidRDefault="00002BA6" w:rsidP="00002BA6">
            <w:pPr>
              <w:keepNext/>
              <w:spacing w:before="80" w:after="80" w:line="200" w:lineRule="atLeast"/>
              <w:jc w:val="center"/>
              <w:rPr>
                <w:sz w:val="16"/>
                <w:szCs w:val="16"/>
              </w:rPr>
            </w:pPr>
            <w:r w:rsidRPr="00B04DC3">
              <w:rPr>
                <w:sz w:val="16"/>
                <w:szCs w:val="16"/>
              </w:rPr>
              <w:t>(kg)</w:t>
            </w:r>
          </w:p>
        </w:tc>
      </w:tr>
      <w:tr w:rsidR="00002BA6" w:rsidRPr="00B04DC3" w:rsidTr="007C2EE6">
        <w:tc>
          <w:tcPr>
            <w:tcW w:w="709"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99</w:t>
            </w:r>
          </w:p>
        </w:tc>
        <w:tc>
          <w:tcPr>
            <w:tcW w:w="851"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100</w:t>
            </w:r>
          </w:p>
        </w:tc>
        <w:tc>
          <w:tcPr>
            <w:tcW w:w="851"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40</w:t>
            </w:r>
          </w:p>
        </w:tc>
        <w:tc>
          <w:tcPr>
            <w:tcW w:w="850"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0.155</w:t>
            </w:r>
          </w:p>
        </w:tc>
        <w:tc>
          <w:tcPr>
            <w:tcW w:w="850"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0.005</w:t>
            </w:r>
          </w:p>
        </w:tc>
        <w:tc>
          <w:tcPr>
            <w:tcW w:w="851"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0.0015</w:t>
            </w:r>
          </w:p>
        </w:tc>
        <w:tc>
          <w:tcPr>
            <w:tcW w:w="1134"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0.0020</w:t>
            </w:r>
          </w:p>
        </w:tc>
        <w:tc>
          <w:tcPr>
            <w:tcW w:w="992" w:type="dxa"/>
            <w:tcBorders>
              <w:bottom w:val="single" w:sz="12" w:space="0" w:color="auto"/>
            </w:tcBorders>
          </w:tcPr>
          <w:p w:rsidR="00002BA6" w:rsidRPr="00B04DC3" w:rsidRDefault="00002BA6" w:rsidP="00002BA6">
            <w:pPr>
              <w:keepNext/>
              <w:spacing w:before="80" w:after="80"/>
              <w:jc w:val="center"/>
              <w:rPr>
                <w:sz w:val="18"/>
                <w:szCs w:val="18"/>
              </w:rPr>
            </w:pPr>
            <w:r w:rsidRPr="00B04DC3">
              <w:rPr>
                <w:sz w:val="18"/>
                <w:szCs w:val="18"/>
              </w:rPr>
              <w:t>90.0000</w:t>
            </w:r>
          </w:p>
        </w:tc>
        <w:tc>
          <w:tcPr>
            <w:tcW w:w="992" w:type="dxa"/>
            <w:tcBorders>
              <w:bottom w:val="single" w:sz="12" w:space="0" w:color="auto"/>
            </w:tcBorders>
          </w:tcPr>
          <w:p w:rsidR="00002BA6" w:rsidRPr="00B04DC3" w:rsidRDefault="00002BA6" w:rsidP="00002BA6">
            <w:pPr>
              <w:pStyle w:val="IndexHeading"/>
              <w:widowControl w:val="0"/>
              <w:overflowPunct/>
              <w:spacing w:before="80" w:after="80" w:line="240" w:lineRule="atLeast"/>
              <w:textAlignment w:val="auto"/>
              <w:rPr>
                <w:rFonts w:ascii="Times New Roman" w:eastAsia="Times New Roman" w:hAnsi="Times New Roman"/>
                <w:sz w:val="18"/>
                <w:szCs w:val="18"/>
              </w:rPr>
            </w:pPr>
            <w:r w:rsidRPr="00B04DC3">
              <w:rPr>
                <w:rFonts w:ascii="Times New Roman" w:eastAsia="Times New Roman" w:hAnsi="Times New Roman"/>
                <w:sz w:val="18"/>
                <w:szCs w:val="18"/>
              </w:rPr>
              <w:t>91.7000</w:t>
            </w:r>
          </w:p>
        </w:tc>
        <w:tc>
          <w:tcPr>
            <w:tcW w:w="992" w:type="dxa"/>
            <w:tcBorders>
              <w:bottom w:val="single" w:sz="12" w:space="0" w:color="auto"/>
            </w:tcBorders>
          </w:tcPr>
          <w:p w:rsidR="00002BA6" w:rsidRPr="00B04DC3" w:rsidRDefault="00002BA6" w:rsidP="00002BA6">
            <w:pPr>
              <w:pStyle w:val="IndexHeading"/>
              <w:widowControl w:val="0"/>
              <w:overflowPunct/>
              <w:spacing w:before="80" w:after="80" w:line="240" w:lineRule="atLeast"/>
              <w:textAlignment w:val="auto"/>
              <w:rPr>
                <w:rFonts w:ascii="Times New Roman" w:eastAsia="Times New Roman" w:hAnsi="Times New Roman"/>
                <w:sz w:val="18"/>
                <w:szCs w:val="18"/>
              </w:rPr>
            </w:pPr>
            <w:r w:rsidRPr="00B04DC3">
              <w:rPr>
                <w:rFonts w:ascii="Times New Roman" w:eastAsia="Times New Roman" w:hAnsi="Times New Roman"/>
                <w:sz w:val="18"/>
                <w:szCs w:val="18"/>
              </w:rPr>
              <w:t>1.515</w:t>
            </w:r>
          </w:p>
        </w:tc>
      </w:tr>
    </w:tbl>
    <w:p w:rsidR="00002BA6" w:rsidRPr="00B04DC3" w:rsidRDefault="00002BA6" w:rsidP="003B06F6">
      <w:pPr>
        <w:pStyle w:val="para"/>
        <w:spacing w:before="240" w:after="0"/>
        <w:ind w:firstLine="0"/>
        <w:rPr>
          <w:lang w:val="en-GB"/>
        </w:rPr>
      </w:pPr>
      <w:r w:rsidRPr="00B04DC3">
        <w:rPr>
          <w:lang w:val="en-GB"/>
        </w:rPr>
        <w:tab/>
        <w:t>Step 1: Calculation of m</w:t>
      </w:r>
      <w:r w:rsidRPr="00B04DC3">
        <w:rPr>
          <w:vertAlign w:val="subscript"/>
          <w:lang w:val="en-GB"/>
        </w:rPr>
        <w:t>edf</w:t>
      </w:r>
      <w:r w:rsidRPr="00B04DC3">
        <w:rPr>
          <w:lang w:val="en-GB"/>
        </w:rPr>
        <w:t xml:space="preserve"> (paragraph 8.4.3.2.2.</w:t>
      </w:r>
      <w:r w:rsidR="003B31D3" w:rsidRPr="003B31D3">
        <w:rPr>
          <w:lang w:val="en-GB"/>
        </w:rPr>
        <w:t xml:space="preserve"> </w:t>
      </w:r>
      <w:r w:rsidR="003B31D3">
        <w:rPr>
          <w:lang w:val="en-GB"/>
        </w:rPr>
        <w:t>of this annex</w:t>
      </w:r>
      <w:r w:rsidRPr="00B04DC3">
        <w:rPr>
          <w:lang w:val="en-GB"/>
        </w:rPr>
        <w:t>):</w:t>
      </w:r>
    </w:p>
    <w:p w:rsidR="00002BA6" w:rsidRPr="00B04DC3" w:rsidRDefault="00A905B7" w:rsidP="003B06F6">
      <w:pPr>
        <w:tabs>
          <w:tab w:val="left" w:pos="2552"/>
          <w:tab w:val="left" w:pos="3969"/>
          <w:tab w:val="left" w:pos="4678"/>
          <w:tab w:val="left" w:pos="5245"/>
          <w:tab w:val="left" w:pos="7230"/>
        </w:tabs>
        <w:spacing w:after="240"/>
        <w:ind w:left="2268" w:right="-142" w:hanging="2268"/>
      </w:pPr>
      <w:r>
        <w:rPr>
          <w:noProof/>
        </w:rPr>
        <w:pict>
          <v:rect id="_x0000_s5621" style="position:absolute;left:0;text-align:left;margin-left:335.25pt;margin-top:25.6pt;width:3.35pt;height:12pt;z-index:251629568;mso-wrap-style:none" filled="f" stroked="f">
            <v:textbox style="mso-next-textbox:#_x0000_s5621;mso-fit-shape-to-text:t" inset="0,0,0,0">
              <w:txbxContent>
                <w:p w:rsidR="00A905B7" w:rsidRPr="003B06F6" w:rsidRDefault="00A905B7">
                  <w:pPr>
                    <w:rPr>
                      <w:lang w:val="fr-CH"/>
                    </w:rPr>
                  </w:pPr>
                  <w:r>
                    <w:rPr>
                      <w:lang w:val="fr-CH"/>
                    </w:rPr>
                    <w:t>)</w:t>
                  </w:r>
                </w:p>
              </w:txbxContent>
            </v:textbox>
          </v:rect>
        </w:pict>
      </w:r>
      <w:r>
        <w:rPr>
          <w:noProof/>
        </w:rPr>
        <w:pict>
          <v:rect id="_x0000_s5624" style="position:absolute;left:0;text-align:left;margin-left:264.9pt;margin-top:26.1pt;width:5.1pt;height:30.35pt;z-index:251625472" filled="f" stroked="f">
            <v:textbox style="mso-next-textbox:#_x0000_s5624" inset="0,0,0,0">
              <w:txbxContent>
                <w:p w:rsidR="00A905B7" w:rsidRPr="003B06F6" w:rsidRDefault="00A905B7">
                  <w:pPr>
                    <w:rPr>
                      <w:lang w:val="fr-CH"/>
                    </w:rPr>
                  </w:pPr>
                  <w:r>
                    <w:rPr>
                      <w:lang w:val="fr-CH"/>
                    </w:rPr>
                    <w:t>(</w:t>
                  </w:r>
                </w:p>
              </w:txbxContent>
            </v:textbox>
          </v:rect>
        </w:pict>
      </w:r>
      <w:r>
        <w:rPr>
          <w:noProof/>
        </w:rPr>
        <w:pict>
          <v:rect id="_x0000_s5627" style="position:absolute;left:0;text-align:left;margin-left:305.85pt;margin-top:27.9pt;width:27.55pt;height:12pt;z-index:251628544;mso-wrap-style:none" filled="f" stroked="f">
            <v:textbox style="mso-next-textbox:#_x0000_s5627;mso-fit-shape-to-text:t" inset="0,0,0,0">
              <w:txbxContent>
                <w:p w:rsidR="00A905B7" w:rsidRPr="00955037" w:rsidRDefault="00A905B7">
                  <w:r w:rsidRPr="00955037">
                    <w:rPr>
                      <w:color w:val="000000"/>
                    </w:rPr>
                    <w:t>0.0015</w:t>
                  </w:r>
                </w:p>
              </w:txbxContent>
            </v:textbox>
          </v:rect>
        </w:pict>
      </w:r>
      <w:r>
        <w:rPr>
          <w:noProof/>
        </w:rPr>
        <w:pict>
          <v:rect id="_x0000_s5626" style="position:absolute;left:0;text-align:left;margin-left:297.2pt;margin-top:27.05pt;width:6.6pt;height:14.7pt;z-index:251627520;mso-wrap-style:none" filled="f" stroked="f">
            <v:textbox style="mso-next-textbox:#_x0000_s5626;mso-fit-shape-to-text:t" inset="0,0,0,0">
              <w:txbxContent>
                <w:p w:rsidR="00A905B7" w:rsidRDefault="00A905B7">
                  <w:r>
                    <w:rPr>
                      <w:rFonts w:ascii="Symbol" w:hAnsi="Symbol" w:cs="Symbol"/>
                      <w:color w:val="000000"/>
                      <w:sz w:val="24"/>
                      <w:szCs w:val="24"/>
                    </w:rPr>
                    <w:t></w:t>
                  </w:r>
                </w:p>
              </w:txbxContent>
            </v:textbox>
          </v:rect>
        </w:pict>
      </w:r>
      <w:r>
        <w:rPr>
          <w:noProof/>
        </w:rPr>
        <w:pict>
          <v:rect id="_x0000_s5628" style="position:absolute;left:0;text-align:left;margin-left:268.45pt;margin-top:27.9pt;width:22.55pt;height:12pt;z-index:251626496;mso-wrap-style:none" filled="f" stroked="f">
            <v:textbox style="mso-next-textbox:#_x0000_s5628;mso-fit-shape-to-text:t" inset="0,0,0,0">
              <w:txbxContent>
                <w:p w:rsidR="00A905B7" w:rsidRPr="00955037" w:rsidRDefault="00A905B7">
                  <w:r w:rsidRPr="00955037">
                    <w:rPr>
                      <w:color w:val="000000"/>
                    </w:rPr>
                    <w:t>0.002</w:t>
                  </w:r>
                </w:p>
              </w:txbxContent>
            </v:textbox>
          </v:rect>
        </w:pict>
      </w:r>
      <w:r w:rsidR="00002BA6" w:rsidRPr="00B04DC3">
        <w:tab/>
        <w:t>Equation (48):</w:t>
      </w:r>
      <w:r w:rsidR="00002BA6" w:rsidRPr="00B04DC3">
        <w:tab/>
        <w:t>r</w:t>
      </w:r>
      <w:r w:rsidR="00002BA6" w:rsidRPr="00B04DC3">
        <w:rPr>
          <w:vertAlign w:val="subscript"/>
        </w:rPr>
        <w:t>d,i</w:t>
      </w:r>
      <w:r w:rsidR="00002BA6" w:rsidRPr="00B04DC3">
        <w:tab/>
        <w:t>=</w:t>
      </w:r>
      <w:r w:rsidR="00002BA6" w:rsidRPr="00B04DC3">
        <w:tab/>
      </w:r>
      <w:r>
        <w:pict>
          <v:group id="_x0000_s5618" editas="canvas" style="width:83.35pt;height:36.6pt;mso-position-horizontal-relative:char;mso-position-vertical-relative:line" coordsize="1667,732">
            <o:lock v:ext="edit" aspectratio="t"/>
            <v:shape id="_x0000_s5617" type="#_x0000_t75" style="position:absolute;width:1667;height:732" o:preferrelative="f">
              <v:fill o:detectmouseclick="t"/>
              <v:path o:extrusionok="t" o:connecttype="none"/>
              <o:lock v:ext="edit" text="t"/>
            </v:shape>
            <v:line id="_x0000_s5619" style="position:absolute" from="39,545" to="1597,546" strokeweight=".5pt"/>
            <v:rect id="_x0000_s5620" style="position:absolute;left:1530;top:404;width:54;height:240;mso-wrap-style:none" filled="f" stroked="f">
              <v:textbox style="mso-next-textbox:#_x0000_s5620;mso-fit-shape-to-text:t" inset="0,0,0,0">
                <w:txbxContent>
                  <w:p w:rsidR="00A905B7" w:rsidRDefault="00A905B7">
                    <w:r>
                      <w:rPr>
                        <w:rFonts w:ascii="Symbol" w:hAnsi="Symbol" w:cs="Symbol"/>
                        <w:color w:val="000000"/>
                        <w:sz w:val="14"/>
                        <w:szCs w:val="14"/>
                      </w:rPr>
                      <w:t></w:t>
                    </w:r>
                  </w:p>
                </w:txbxContent>
              </v:textbox>
            </v:rect>
            <v:rect id="_x0000_s5623" style="position:absolute;left:53;top:404;width:91;height:240;mso-wrap-style:none" filled="f" stroked="f">
              <v:textbox style="mso-next-textbox:#_x0000_s5623;mso-fit-shape-to-text:t" inset="0,0,0,0">
                <w:txbxContent>
                  <w:p w:rsidR="00A905B7" w:rsidRDefault="00A905B7"/>
                </w:txbxContent>
              </v:textbox>
            </v:rect>
            <v:rect id="_x0000_s5629" style="position:absolute;left:554;top:314;width:451;height:240;mso-wrap-style:none" filled="f" stroked="f">
              <v:textbox style="mso-next-textbox:#_x0000_s5629;mso-fit-shape-to-text:t" inset="0,0,0,0">
                <w:txbxContent>
                  <w:p w:rsidR="00A905B7" w:rsidRPr="00955037" w:rsidRDefault="00A905B7">
                    <w:r w:rsidRPr="00955037">
                      <w:rPr>
                        <w:color w:val="000000"/>
                      </w:rPr>
                      <w:t>0.002</w:t>
                    </w:r>
                  </w:p>
                </w:txbxContent>
              </v:textbox>
            </v:rect>
            <w10:wrap type="none"/>
            <w10:anchorlock/>
          </v:group>
        </w:pict>
      </w:r>
      <w:r w:rsidR="00002BA6" w:rsidRPr="00B04DC3">
        <w:tab/>
        <w:t>= 4</w:t>
      </w:r>
    </w:p>
    <w:p w:rsidR="00002BA6" w:rsidRPr="00B04DC3" w:rsidRDefault="00002BA6" w:rsidP="00665E2D">
      <w:pPr>
        <w:tabs>
          <w:tab w:val="left" w:pos="2552"/>
          <w:tab w:val="left" w:pos="3969"/>
          <w:tab w:val="left" w:pos="4678"/>
          <w:tab w:val="left" w:pos="5245"/>
          <w:tab w:val="left" w:pos="7230"/>
        </w:tabs>
        <w:ind w:left="2268" w:right="-142" w:hanging="2268"/>
      </w:pPr>
      <w:r w:rsidRPr="00B04DC3">
        <w:tab/>
        <w:t>Equation (47):</w:t>
      </w:r>
      <w:r w:rsidRPr="00B04DC3">
        <w:tab/>
        <w:t>q</w:t>
      </w:r>
      <w:r w:rsidRPr="00B04DC3">
        <w:rPr>
          <w:vertAlign w:val="subscript"/>
        </w:rPr>
        <w:t>medf,i</w:t>
      </w:r>
      <w:r w:rsidRPr="00B04DC3">
        <w:tab/>
        <w:t>=</w:t>
      </w:r>
      <w:r w:rsidRPr="00B04DC3">
        <w:tab/>
        <w:t xml:space="preserve">0.155 </w:t>
      </w:r>
      <w:r w:rsidRPr="00B04DC3">
        <w:rPr>
          <w:rFonts w:ascii="Arial" w:hAnsi="Arial" w:cs="Arial"/>
        </w:rPr>
        <w:t>x</w:t>
      </w:r>
      <w:r w:rsidRPr="00B04DC3">
        <w:t xml:space="preserve"> 4</w:t>
      </w:r>
      <w:r w:rsidRPr="00B04DC3">
        <w:tab/>
        <w:t>= 0.620 kg/s</w:t>
      </w:r>
    </w:p>
    <w:p w:rsidR="00002BA6" w:rsidRPr="00B04DC3" w:rsidRDefault="00A905B7" w:rsidP="00665E2D">
      <w:pPr>
        <w:tabs>
          <w:tab w:val="left" w:pos="2552"/>
          <w:tab w:val="left" w:pos="3969"/>
          <w:tab w:val="left" w:pos="4678"/>
          <w:tab w:val="left" w:pos="5245"/>
          <w:tab w:val="left" w:pos="7230"/>
        </w:tabs>
        <w:spacing w:line="180" w:lineRule="atLeast"/>
        <w:ind w:left="2268" w:right="-142" w:hanging="2268"/>
      </w:pPr>
      <w:r>
        <w:rPr>
          <w:noProof/>
        </w:rPr>
        <w:pict>
          <v:rect id="_x0000_s5494" style="position:absolute;left:0;text-align:left;margin-left:272.1pt;margin-top:29.3pt;width:3.55pt;height:12pt;z-index:251632640;mso-wrap-style:none" filled="f" stroked="f">
            <v:textbox style="mso-fit-shape-to-text:t" inset="0,0,0,0">
              <w:txbxContent>
                <w:p w:rsidR="00A905B7" w:rsidRDefault="00A905B7">
                  <w:r>
                    <w:rPr>
                      <w:color w:val="000000"/>
                      <w:sz w:val="14"/>
                      <w:szCs w:val="14"/>
                    </w:rPr>
                    <w:t>1</w:t>
                  </w:r>
                </w:p>
              </w:txbxContent>
            </v:textbox>
          </v:rect>
        </w:pict>
      </w:r>
      <w:r>
        <w:rPr>
          <w:noProof/>
        </w:rPr>
        <w:pict>
          <v:rect id="_x0000_s5495" style="position:absolute;left:0;text-align:left;margin-left:266.2pt;margin-top:28.75pt;width:1.95pt;height:12pt;z-index:251630592;mso-wrap-style:none" filled="f" stroked="f">
            <v:textbox style="mso-fit-shape-to-text:t" inset="0,0,0,0">
              <w:txbxContent>
                <w:p w:rsidR="00A905B7" w:rsidRDefault="00A905B7">
                  <w:r>
                    <w:rPr>
                      <w:color w:val="000000"/>
                      <w:sz w:val="14"/>
                      <w:szCs w:val="14"/>
                    </w:rPr>
                    <w:t>i</w:t>
                  </w:r>
                </w:p>
              </w:txbxContent>
            </v:textbox>
          </v:rect>
        </w:pict>
      </w:r>
      <w:r>
        <w:rPr>
          <w:noProof/>
        </w:rPr>
        <w:pict>
          <v:rect id="_x0000_s5492" style="position:absolute;left:0;text-align:left;margin-left:268.65pt;margin-top:29pt;width:3.85pt;height:12pt;z-index:251631616;mso-wrap-style:none" filled="f" stroked="f">
            <v:textbox style="mso-fit-shape-to-text:t" inset="0,0,0,0">
              <w:txbxContent>
                <w:p w:rsidR="00A905B7" w:rsidRDefault="00A905B7">
                  <w:r>
                    <w:rPr>
                      <w:rFonts w:ascii="Symbol" w:hAnsi="Symbol" w:cs="Symbol"/>
                      <w:color w:val="000000"/>
                      <w:sz w:val="14"/>
                      <w:szCs w:val="14"/>
                    </w:rPr>
                    <w:t></w:t>
                  </w:r>
                </w:p>
              </w:txbxContent>
            </v:textbox>
          </v:rect>
        </w:pict>
      </w:r>
      <w:r>
        <w:rPr>
          <w:noProof/>
        </w:rPr>
        <w:pict>
          <v:rect id="_x0000_s5491" style="position:absolute;left:0;text-align:left;margin-left:264.3pt;margin-top:12.85pt;width:12.85pt;height:22.05pt;z-index:251633664;mso-wrap-style:none" filled="f" stroked="f">
            <v:textbox style="mso-fit-shape-to-text:t" inset="0,0,0,0">
              <w:txbxContent>
                <w:p w:rsidR="00A905B7" w:rsidRDefault="00A905B7">
                  <w:r>
                    <w:rPr>
                      <w:rFonts w:ascii="Symbol" w:hAnsi="Symbol" w:cs="Symbol"/>
                      <w:color w:val="000000"/>
                      <w:sz w:val="36"/>
                      <w:szCs w:val="36"/>
                    </w:rPr>
                    <w:t></w:t>
                  </w:r>
                </w:p>
              </w:txbxContent>
            </v:textbox>
          </v:rect>
        </w:pict>
      </w:r>
      <w:r w:rsidR="00002BA6" w:rsidRPr="00B04DC3">
        <w:tab/>
        <w:t>Equation (46):</w:t>
      </w:r>
      <w:r w:rsidR="00002BA6" w:rsidRPr="00B04DC3">
        <w:tab/>
        <w:t>m</w:t>
      </w:r>
      <w:r w:rsidR="00002BA6" w:rsidRPr="00B04DC3">
        <w:rPr>
          <w:vertAlign w:val="subscript"/>
        </w:rPr>
        <w:t>edf</w:t>
      </w:r>
      <w:r w:rsidR="00002BA6" w:rsidRPr="00B04DC3">
        <w:t xml:space="preserve"> </w:t>
      </w:r>
      <w:r w:rsidR="00002BA6" w:rsidRPr="00B04DC3">
        <w:tab/>
        <w:t>=</w:t>
      </w:r>
      <w:r w:rsidR="00002BA6" w:rsidRPr="00B04DC3">
        <w:tab/>
      </w:r>
      <w:r>
        <w:pict>
          <v:group id="_x0000_s5489" editas="canvas" style="width:48.1pt;height:29.3pt;mso-position-horizontal-relative:char;mso-position-vertical-relative:line" coordorigin=",318" coordsize="962,586">
            <o:lock v:ext="edit" aspectratio="t"/>
            <v:shape id="_x0000_s5490" type="#_x0000_t75" style="position:absolute;top:318;width:962;height:586" o:preferrelative="f">
              <v:fill o:detectmouseclick="t"/>
              <v:path o:extrusionok="t" o:connecttype="none"/>
              <o:lock v:ext="edit" text="t"/>
            </v:shape>
            <v:rect id="_x0000_s5493" style="position:absolute;left:23;top:410;width:316;height:240;mso-wrap-style:none" filled="f" stroked="f">
              <v:textbox style="mso-next-textbox:#_x0000_s5493;mso-fit-shape-to-text:t" inset="0,0,0,0">
                <w:txbxContent>
                  <w:p w:rsidR="00A905B7" w:rsidRDefault="00A905B7">
                    <w:r>
                      <w:rPr>
                        <w:color w:val="000000"/>
                        <w:sz w:val="14"/>
                        <w:szCs w:val="14"/>
                      </w:rPr>
                      <w:t>1,800</w:t>
                    </w:r>
                  </w:p>
                </w:txbxContent>
              </v:textbox>
            </v:rect>
            <v:rect id="_x0000_s5496" style="position:absolute;left:326;top:656;width:451;height:240;mso-wrap-style:none" filled="f" stroked="f">
              <v:textbox style="mso-next-textbox:#_x0000_s5496;mso-fit-shape-to-text:t" inset="0,0,0,0">
                <w:txbxContent>
                  <w:p w:rsidR="00A905B7" w:rsidRDefault="00A905B7">
                    <w:r>
                      <w:rPr>
                        <w:color w:val="000000"/>
                        <w:szCs w:val="24"/>
                      </w:rPr>
                      <w:t>0.620</w:t>
                    </w:r>
                  </w:p>
                </w:txbxContent>
              </v:textbox>
            </v:rect>
            <w10:wrap type="none"/>
            <w10:anchorlock/>
          </v:group>
        </w:pict>
      </w:r>
      <w:r w:rsidR="00002BA6" w:rsidRPr="00B04DC3">
        <w:tab/>
        <w:t>= 1,116 kg/test</w:t>
      </w:r>
    </w:p>
    <w:p w:rsidR="00002BA6" w:rsidRPr="00B04DC3" w:rsidRDefault="00002BA6" w:rsidP="00002BA6">
      <w:pPr>
        <w:pStyle w:val="para"/>
        <w:spacing w:before="240"/>
        <w:ind w:firstLine="0"/>
        <w:rPr>
          <w:lang w:val="en-GB"/>
        </w:rPr>
      </w:pPr>
      <w:r w:rsidRPr="00B04DC3">
        <w:rPr>
          <w:lang w:val="en-GB"/>
        </w:rPr>
        <w:tab/>
        <w:t>Step 2: Buoyancy correction of the particulate mass (paragraph 8.3.</w:t>
      </w:r>
      <w:r w:rsidR="003B31D3" w:rsidRPr="003B31D3">
        <w:rPr>
          <w:lang w:val="en-GB"/>
        </w:rPr>
        <w:t xml:space="preserve"> </w:t>
      </w:r>
      <w:r w:rsidR="003B31D3">
        <w:rPr>
          <w:lang w:val="en-GB"/>
        </w:rPr>
        <w:t>of this annex</w:t>
      </w:r>
      <w:r w:rsidRPr="00B04DC3">
        <w:rPr>
          <w:lang w:val="en-GB"/>
        </w:rPr>
        <w:t>)</w:t>
      </w:r>
    </w:p>
    <w:p w:rsidR="00002BA6" w:rsidRPr="00B04DC3" w:rsidRDefault="00002BA6" w:rsidP="00665E2D">
      <w:pPr>
        <w:pStyle w:val="para"/>
        <w:keepNext/>
        <w:keepLines/>
        <w:spacing w:before="240"/>
        <w:ind w:firstLine="0"/>
        <w:rPr>
          <w:lang w:val="en-GB"/>
        </w:rPr>
      </w:pPr>
      <w:r w:rsidRPr="00B04DC3">
        <w:rPr>
          <w:lang w:val="en-GB"/>
        </w:rPr>
        <w:tab/>
        <w:t>Before test:</w:t>
      </w:r>
    </w:p>
    <w:p w:rsidR="00002BA6" w:rsidRPr="00B04DC3" w:rsidRDefault="00002BA6" w:rsidP="0076136A">
      <w:pPr>
        <w:tabs>
          <w:tab w:val="left" w:pos="2552"/>
          <w:tab w:val="left" w:pos="3700"/>
          <w:tab w:val="left" w:pos="4200"/>
          <w:tab w:val="left" w:pos="4600"/>
          <w:tab w:val="left" w:pos="7000"/>
        </w:tabs>
        <w:ind w:left="2268" w:right="1139" w:hanging="2268"/>
      </w:pPr>
      <w:r w:rsidRPr="00B04DC3">
        <w:tab/>
        <w:t>Equation (26):</w:t>
      </w:r>
      <w:r w:rsidRPr="00B04DC3">
        <w:tab/>
        <w:t>ρ</w:t>
      </w:r>
      <w:r w:rsidRPr="00B04DC3">
        <w:rPr>
          <w:vertAlign w:val="subscript"/>
        </w:rPr>
        <w:t>a,b</w:t>
      </w:r>
      <w:r w:rsidRPr="00B04DC3">
        <w:tab/>
        <w:t>=</w:t>
      </w:r>
      <w:r w:rsidRPr="00B04DC3">
        <w:tab/>
      </w:r>
      <w:r w:rsidR="00A905B7">
        <w:rPr>
          <w:position w:val="-24"/>
        </w:rPr>
        <w:pict>
          <v:shape id="_x0000_i1328" type="#_x0000_t75" style="width:57.6pt;height:27.6pt">
            <v:imagedata r:id="rId477" o:title=""/>
          </v:shape>
        </w:pict>
      </w:r>
      <w:r w:rsidRPr="00B04DC3">
        <w:tab/>
        <w:t>= 1.164 kg/m</w:t>
      </w:r>
      <w:r w:rsidRPr="00B04DC3">
        <w:rPr>
          <w:vertAlign w:val="superscript"/>
        </w:rPr>
        <w:t>3</w:t>
      </w:r>
    </w:p>
    <w:p w:rsidR="0076136A" w:rsidRPr="00B04DC3" w:rsidRDefault="00002BA6" w:rsidP="0076136A">
      <w:pPr>
        <w:tabs>
          <w:tab w:val="left" w:pos="2552"/>
          <w:tab w:val="left" w:pos="3700"/>
          <w:tab w:val="left" w:pos="4200"/>
          <w:tab w:val="left" w:pos="4600"/>
          <w:tab w:val="left" w:pos="7000"/>
        </w:tabs>
        <w:ind w:left="2268" w:right="1139" w:hanging="2268"/>
      </w:pPr>
      <w:r w:rsidRPr="00B04DC3">
        <w:tab/>
        <w:t>Equation (25):</w:t>
      </w:r>
      <w:r w:rsidRPr="00B04DC3">
        <w:tab/>
        <w:t>m</w:t>
      </w:r>
      <w:r w:rsidRPr="00B04DC3">
        <w:rPr>
          <w:vertAlign w:val="subscript"/>
        </w:rPr>
        <w:t>f,T</w:t>
      </w:r>
      <w:r w:rsidRPr="00B04DC3">
        <w:tab/>
        <w:t>=</w:t>
      </w:r>
      <w:r w:rsidRPr="00B04DC3">
        <w:tab/>
      </w:r>
      <w:r w:rsidR="003B06F6" w:rsidRPr="00B04DC3">
        <w:rPr>
          <w:rFonts w:eastAsia="MS Mincho" w:cs="Arial"/>
          <w:color w:val="339966"/>
          <w:position w:val="-28"/>
        </w:rPr>
        <w:object w:dxaOrig="2720" w:dyaOrig="660">
          <v:shape id="_x0000_i1329" type="#_x0000_t75" style="width:112.2pt;height:27.6pt" o:ole="">
            <v:imagedata r:id="rId478" o:title=""/>
          </v:shape>
          <o:OLEObject Type="Embed" ProgID="Equation.3" ShapeID="_x0000_i1329" DrawAspect="Content" ObjectID="_1498392377" r:id="rId479"/>
        </w:object>
      </w:r>
      <w:r w:rsidR="0076136A" w:rsidRPr="00B04DC3">
        <w:tab/>
        <w:t>= 90.0325 mg</w:t>
      </w:r>
    </w:p>
    <w:p w:rsidR="00002BA6" w:rsidRPr="00B04DC3" w:rsidRDefault="0076136A" w:rsidP="0076136A">
      <w:pPr>
        <w:tabs>
          <w:tab w:val="left" w:pos="2552"/>
          <w:tab w:val="left" w:pos="3700"/>
          <w:tab w:val="left" w:pos="4200"/>
          <w:tab w:val="left" w:pos="4600"/>
          <w:tab w:val="left" w:pos="7000"/>
        </w:tabs>
        <w:ind w:left="2268" w:right="1139" w:hanging="2268"/>
      </w:pPr>
      <w:r w:rsidRPr="00B04DC3">
        <w:tab/>
      </w:r>
      <w:r w:rsidR="00002BA6" w:rsidRPr="00B04DC3">
        <w:t>After test:</w:t>
      </w:r>
    </w:p>
    <w:p w:rsidR="00002BA6" w:rsidRPr="00B04DC3" w:rsidRDefault="00002BA6" w:rsidP="0076136A">
      <w:pPr>
        <w:tabs>
          <w:tab w:val="left" w:pos="2552"/>
          <w:tab w:val="left" w:pos="3700"/>
          <w:tab w:val="left" w:pos="4200"/>
          <w:tab w:val="left" w:pos="4600"/>
          <w:tab w:val="left" w:pos="7000"/>
        </w:tabs>
        <w:ind w:left="2268" w:right="1139" w:hanging="2268"/>
      </w:pPr>
      <w:r w:rsidRPr="00B04DC3">
        <w:tab/>
        <w:t>Equation (26):</w:t>
      </w:r>
      <w:r w:rsidRPr="00B04DC3">
        <w:tab/>
        <w:t>ρ</w:t>
      </w:r>
      <w:r w:rsidRPr="00B04DC3">
        <w:rPr>
          <w:vertAlign w:val="subscript"/>
        </w:rPr>
        <w:t>a,a</w:t>
      </w:r>
      <w:r w:rsidRPr="00B04DC3">
        <w:tab/>
        <w:t>=</w:t>
      </w:r>
      <w:r w:rsidRPr="00B04DC3">
        <w:tab/>
      </w:r>
      <w:r w:rsidR="003B06F6" w:rsidRPr="00B04DC3">
        <w:rPr>
          <w:rFonts w:eastAsia="MS Mincho" w:cs="Arial"/>
          <w:color w:val="339966"/>
          <w:position w:val="-24"/>
        </w:rPr>
        <w:object w:dxaOrig="1320" w:dyaOrig="620">
          <v:shape id="_x0000_i1330" type="#_x0000_t75" style="width:57.6pt;height:27.6pt" o:ole="">
            <v:imagedata r:id="rId480" o:title=""/>
          </v:shape>
          <o:OLEObject Type="Embed" ProgID="Equation.3" ShapeID="_x0000_i1330" DrawAspect="Content" ObjectID="_1498392378" r:id="rId481"/>
        </w:object>
      </w:r>
      <w:r w:rsidRPr="00B04DC3">
        <w:tab/>
        <w:t>= 1.176 kg/m</w:t>
      </w:r>
      <w:r w:rsidRPr="00B04DC3">
        <w:rPr>
          <w:vertAlign w:val="superscript"/>
        </w:rPr>
        <w:t>3</w:t>
      </w:r>
    </w:p>
    <w:p w:rsidR="00002BA6" w:rsidRPr="00B04DC3" w:rsidRDefault="00002BA6" w:rsidP="0076136A">
      <w:pPr>
        <w:tabs>
          <w:tab w:val="left" w:pos="2552"/>
          <w:tab w:val="left" w:pos="3700"/>
          <w:tab w:val="left" w:pos="4200"/>
          <w:tab w:val="left" w:pos="4600"/>
          <w:tab w:val="left" w:pos="7000"/>
        </w:tabs>
        <w:ind w:left="2268" w:right="1139" w:hanging="2268"/>
      </w:pPr>
      <w:r w:rsidRPr="00B04DC3">
        <w:tab/>
        <w:t>Equation (25):</w:t>
      </w:r>
      <w:r w:rsidRPr="00B04DC3">
        <w:tab/>
        <w:t>m</w:t>
      </w:r>
      <w:r w:rsidRPr="00B04DC3">
        <w:rPr>
          <w:vertAlign w:val="subscript"/>
        </w:rPr>
        <w:t>f,G</w:t>
      </w:r>
      <w:r w:rsidRPr="00B04DC3">
        <w:tab/>
        <w:t>=</w:t>
      </w:r>
      <w:r w:rsidRPr="00B04DC3">
        <w:tab/>
      </w:r>
      <w:r w:rsidR="003B06F6" w:rsidRPr="00B04DC3">
        <w:rPr>
          <w:rFonts w:eastAsia="MS Mincho" w:cs="Arial"/>
          <w:color w:val="339966"/>
          <w:position w:val="-28"/>
        </w:rPr>
        <w:object w:dxaOrig="2720" w:dyaOrig="660">
          <v:shape id="_x0000_i1331" type="#_x0000_t75" style="width:112.2pt;height:27.6pt" o:ole="">
            <v:imagedata r:id="rId482" o:title=""/>
          </v:shape>
          <o:OLEObject Type="Embed" ProgID="Equation.3" ShapeID="_x0000_i1331" DrawAspect="Content" ObjectID="_1498392379" r:id="rId483"/>
        </w:object>
      </w:r>
      <w:r w:rsidRPr="00B04DC3">
        <w:tab/>
        <w:t>= 91.7334 mg</w:t>
      </w:r>
    </w:p>
    <w:p w:rsidR="00002BA6" w:rsidRPr="00B04DC3" w:rsidRDefault="00002BA6" w:rsidP="0076136A">
      <w:pPr>
        <w:tabs>
          <w:tab w:val="left" w:pos="2552"/>
          <w:tab w:val="left" w:pos="3700"/>
          <w:tab w:val="left" w:pos="4200"/>
          <w:tab w:val="left" w:pos="4600"/>
          <w:tab w:val="left" w:pos="7000"/>
        </w:tabs>
        <w:spacing w:before="120"/>
        <w:ind w:left="2268" w:right="1139" w:hanging="2268"/>
      </w:pPr>
      <w:r w:rsidRPr="00B04DC3">
        <w:tab/>
        <w:t>Equation (27):</w:t>
      </w:r>
      <w:r w:rsidRPr="00B04DC3">
        <w:tab/>
        <w:t>m</w:t>
      </w:r>
      <w:r w:rsidRPr="00B04DC3">
        <w:rPr>
          <w:vertAlign w:val="subscript"/>
        </w:rPr>
        <w:t>p</w:t>
      </w:r>
      <w:r w:rsidRPr="00B04DC3">
        <w:tab/>
        <w:t>=</w:t>
      </w:r>
      <w:r w:rsidRPr="00B04DC3">
        <w:tab/>
        <w:t>91.7334 mg – 90.0325 mg</w:t>
      </w:r>
      <w:r w:rsidRPr="00B04DC3">
        <w:tab/>
        <w:t>= 1.7009 mg</w:t>
      </w:r>
    </w:p>
    <w:p w:rsidR="00002BA6" w:rsidRPr="00B04DC3" w:rsidRDefault="00002BA6" w:rsidP="0076136A">
      <w:pPr>
        <w:pStyle w:val="para"/>
        <w:tabs>
          <w:tab w:val="left" w:pos="3700"/>
          <w:tab w:val="left" w:pos="4200"/>
          <w:tab w:val="left" w:pos="4600"/>
          <w:tab w:val="left" w:pos="7000"/>
        </w:tabs>
        <w:spacing w:before="240"/>
        <w:ind w:right="1139" w:firstLine="0"/>
        <w:rPr>
          <w:lang w:val="en-GB"/>
        </w:rPr>
      </w:pPr>
      <w:r w:rsidRPr="00B04DC3">
        <w:rPr>
          <w:lang w:val="en-GB"/>
        </w:rPr>
        <w:t>Step 3: Calculation of the particulate mass emission (paragraph 8.4.3.2.2.</w:t>
      </w:r>
      <w:r w:rsidR="003B31D3" w:rsidRPr="003B31D3">
        <w:rPr>
          <w:lang w:val="en-GB"/>
        </w:rPr>
        <w:t xml:space="preserve"> </w:t>
      </w:r>
      <w:r w:rsidR="003B31D3">
        <w:rPr>
          <w:lang w:val="en-GB"/>
        </w:rPr>
        <w:t>of this annex</w:t>
      </w:r>
      <w:r w:rsidRPr="00B04DC3">
        <w:rPr>
          <w:lang w:val="en-GB"/>
        </w:rPr>
        <w:t>):</w:t>
      </w:r>
    </w:p>
    <w:p w:rsidR="00002BA6" w:rsidRPr="00B04DC3" w:rsidRDefault="00002BA6" w:rsidP="0076136A">
      <w:pPr>
        <w:tabs>
          <w:tab w:val="left" w:pos="2552"/>
          <w:tab w:val="left" w:pos="3700"/>
          <w:tab w:val="left" w:pos="4200"/>
          <w:tab w:val="left" w:pos="4600"/>
          <w:tab w:val="left" w:pos="7000"/>
        </w:tabs>
        <w:ind w:left="2268" w:right="1139" w:hanging="2268"/>
      </w:pPr>
      <w:r w:rsidRPr="00B04DC3">
        <w:tab/>
        <w:t>Equation (45):</w:t>
      </w:r>
      <w:r w:rsidRPr="00B04DC3">
        <w:tab/>
        <w:t>m</w:t>
      </w:r>
      <w:r w:rsidRPr="00B04DC3">
        <w:rPr>
          <w:vertAlign w:val="subscript"/>
        </w:rPr>
        <w:t>PM</w:t>
      </w:r>
      <w:r w:rsidRPr="00B04DC3">
        <w:tab/>
        <w:t>=</w:t>
      </w:r>
      <w:r w:rsidRPr="00B04DC3">
        <w:tab/>
      </w:r>
      <w:r w:rsidR="003B06F6" w:rsidRPr="00B04DC3">
        <w:rPr>
          <w:rFonts w:eastAsia="MS Mincho" w:cs="Arial"/>
          <w:color w:val="339966"/>
          <w:position w:val="-28"/>
        </w:rPr>
        <w:object w:dxaOrig="1460" w:dyaOrig="660">
          <v:shape id="_x0000_i1332" type="#_x0000_t75" style="width:62.4pt;height:28.2pt" o:ole="">
            <v:imagedata r:id="rId484" o:title=""/>
          </v:shape>
          <o:OLEObject Type="Embed" ProgID="Equation.3" ShapeID="_x0000_i1332" DrawAspect="Content" ObjectID="_1498392380" r:id="rId485"/>
        </w:object>
      </w:r>
      <w:r w:rsidR="0076136A" w:rsidRPr="00B04DC3">
        <w:tab/>
      </w:r>
      <w:r w:rsidRPr="00B04DC3">
        <w:t>= 1.253 g/test</w:t>
      </w:r>
    </w:p>
    <w:p w:rsidR="00002BA6" w:rsidRPr="00B04DC3" w:rsidRDefault="00002BA6" w:rsidP="0076136A">
      <w:pPr>
        <w:pStyle w:val="para"/>
        <w:tabs>
          <w:tab w:val="left" w:pos="7000"/>
        </w:tabs>
        <w:spacing w:before="240"/>
        <w:ind w:right="1139" w:firstLine="0"/>
        <w:rPr>
          <w:lang w:val="en-GB"/>
        </w:rPr>
      </w:pPr>
      <w:r w:rsidRPr="00B04DC3">
        <w:rPr>
          <w:lang w:val="en-GB"/>
        </w:rPr>
        <w:t>Step 4: Calculation of the specific emission (paragraph 8.6.3.</w:t>
      </w:r>
      <w:r w:rsidR="003B31D3" w:rsidRPr="003B31D3">
        <w:rPr>
          <w:lang w:val="en-GB"/>
        </w:rPr>
        <w:t xml:space="preserve"> </w:t>
      </w:r>
      <w:r w:rsidR="003B31D3">
        <w:rPr>
          <w:lang w:val="en-GB"/>
        </w:rPr>
        <w:t>of this annex</w:t>
      </w:r>
      <w:r w:rsidRPr="00B04DC3">
        <w:rPr>
          <w:lang w:val="en-GB"/>
        </w:rPr>
        <w:t>):</w:t>
      </w:r>
    </w:p>
    <w:p w:rsidR="00002BA6" w:rsidRPr="00B04DC3" w:rsidRDefault="00002BA6" w:rsidP="00955494">
      <w:pPr>
        <w:tabs>
          <w:tab w:val="left" w:pos="2552"/>
          <w:tab w:val="left" w:pos="3710"/>
          <w:tab w:val="left" w:pos="4186"/>
          <w:tab w:val="left" w:pos="4678"/>
          <w:tab w:val="left" w:pos="7000"/>
        </w:tabs>
        <w:ind w:left="2268" w:right="1139" w:hanging="2268"/>
        <w:rPr>
          <w:spacing w:val="-2"/>
        </w:rPr>
      </w:pPr>
      <w:r w:rsidRPr="00B04DC3">
        <w:tab/>
        <w:t>Equation (69):</w:t>
      </w:r>
      <w:r w:rsidRPr="00B04DC3">
        <w:tab/>
        <w:t>e</w:t>
      </w:r>
      <w:r w:rsidRPr="00B04DC3">
        <w:rPr>
          <w:vertAlign w:val="subscript"/>
        </w:rPr>
        <w:t>PM</w:t>
      </w:r>
      <w:r w:rsidRPr="00B04DC3">
        <w:tab/>
        <w:t>=</w:t>
      </w:r>
      <w:r w:rsidRPr="00B04DC3">
        <w:tab/>
        <w:t>1.253 / 40</w:t>
      </w:r>
      <w:r w:rsidRPr="00B04DC3">
        <w:tab/>
      </w:r>
      <w:r w:rsidRPr="00B04DC3">
        <w:rPr>
          <w:spacing w:val="-2"/>
        </w:rPr>
        <w:t>= 0.031 g/kWh</w:t>
      </w:r>
    </w:p>
    <w:p w:rsidR="00002BA6" w:rsidRPr="00B04DC3" w:rsidRDefault="00002BA6" w:rsidP="003B06F6">
      <w:pPr>
        <w:pStyle w:val="HChG"/>
        <w:ind w:right="1139"/>
        <w:sectPr w:rsidR="00002BA6" w:rsidRPr="00B04DC3" w:rsidSect="00002BA6">
          <w:headerReference w:type="even" r:id="rId486"/>
          <w:headerReference w:type="default" r:id="rId487"/>
          <w:headerReference w:type="first" r:id="rId488"/>
          <w:footnotePr>
            <w:numRestart w:val="eachSect"/>
          </w:footnotePr>
          <w:endnotePr>
            <w:numFmt w:val="decimal"/>
          </w:endnotePr>
          <w:pgSz w:w="11907" w:h="16840" w:code="9"/>
          <w:pgMar w:top="1954" w:right="1134" w:bottom="2268" w:left="1134" w:header="1134" w:footer="1701" w:gutter="0"/>
          <w:cols w:space="720"/>
          <w:titlePg/>
        </w:sectPr>
      </w:pPr>
    </w:p>
    <w:p w:rsidR="00002BA6" w:rsidRPr="00B04DC3" w:rsidRDefault="00002BA6" w:rsidP="00665E2D">
      <w:pPr>
        <w:pStyle w:val="HChG"/>
        <w:spacing w:before="480" w:after="360"/>
      </w:pPr>
      <w:bookmarkStart w:id="662" w:name="_Toc423599639"/>
      <w:bookmarkStart w:id="663" w:name="_Toc423611047"/>
      <w:r w:rsidRPr="00B04DC3">
        <w:t>Annex 4B</w:t>
      </w:r>
      <w:r w:rsidR="003B31D3">
        <w:t xml:space="preserve"> - </w:t>
      </w:r>
      <w:r w:rsidRPr="00B04DC3">
        <w:t>Appendix 7</w:t>
      </w:r>
      <w:bookmarkEnd w:id="662"/>
      <w:bookmarkEnd w:id="663"/>
    </w:p>
    <w:p w:rsidR="00002BA6" w:rsidRPr="00B04DC3" w:rsidRDefault="00002BA6" w:rsidP="00665E2D">
      <w:pPr>
        <w:pStyle w:val="HChG"/>
        <w:spacing w:before="480" w:after="360"/>
      </w:pPr>
      <w:r w:rsidRPr="00B04DC3">
        <w:rPr>
          <w:caps/>
        </w:rPr>
        <w:tab/>
      </w:r>
      <w:r w:rsidRPr="00B04DC3">
        <w:rPr>
          <w:caps/>
        </w:rPr>
        <w:tab/>
      </w:r>
      <w:bookmarkStart w:id="664" w:name="_Toc423599640"/>
      <w:bookmarkStart w:id="665" w:name="_Toc423611048"/>
      <w:r w:rsidRPr="00B04DC3">
        <w:t>Installation of auxiliaries and equipment for emissions test</w:t>
      </w:r>
      <w:bookmarkEnd w:id="664"/>
      <w:bookmarkEnd w:id="665"/>
      <w:r w:rsidRPr="00B04DC3">
        <w:fldChar w:fldCharType="begin"/>
      </w:r>
      <w:r w:rsidRPr="00B04DC3">
        <w:instrText xml:space="preserve">\IF </w:instrText>
      </w:r>
      <w:r w:rsidRPr="00B04DC3">
        <w:fldChar w:fldCharType="begin"/>
      </w:r>
      <w:r w:rsidRPr="00B04DC3">
        <w:instrText xml:space="preserve">SEQ aaa \c </w:instrText>
      </w:r>
      <w:r w:rsidRPr="00B04DC3">
        <w:fldChar w:fldCharType="separate"/>
      </w:r>
      <w:r w:rsidR="00462662">
        <w:rPr>
          <w:noProof/>
        </w:rPr>
        <w:instrText>0</w:instrText>
      </w:r>
      <w:r w:rsidRPr="00B04DC3">
        <w:fldChar w:fldCharType="end"/>
      </w:r>
      <w:r w:rsidRPr="00B04DC3">
        <w:instrText>&gt;= 1 "</w:instrText>
      </w:r>
      <w:r w:rsidRPr="00B04DC3">
        <w:fldChar w:fldCharType="begin"/>
      </w:r>
      <w:r w:rsidRPr="00B04DC3">
        <w:instrText xml:space="preserve">SEQ aaa \c \* ALPHABETIC </w:instrText>
      </w:r>
      <w:r w:rsidRPr="00B04DC3">
        <w:fldChar w:fldCharType="separate"/>
      </w:r>
      <w:r w:rsidRPr="00B04DC3">
        <w:instrText>B</w:instrText>
      </w:r>
      <w:r w:rsidRPr="00B04DC3">
        <w:fldChar w:fldCharType="end"/>
      </w:r>
      <w:r w:rsidRPr="00B04DC3">
        <w:instrText xml:space="preserve">." </w:instrText>
      </w:r>
      <w:r w:rsidRPr="00B04DC3">
        <w:fldChar w:fldCharType="end"/>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4789"/>
        <w:gridCol w:w="2695"/>
      </w:tblGrid>
      <w:tr w:rsidR="00002BA6" w:rsidRPr="00B04DC3" w:rsidTr="007C2EE6">
        <w:trPr>
          <w:tblHeader/>
        </w:trPr>
        <w:tc>
          <w:tcPr>
            <w:tcW w:w="1021"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80" w:after="80" w:line="200" w:lineRule="atLeast"/>
              <w:rPr>
                <w:i/>
                <w:sz w:val="16"/>
                <w:szCs w:val="16"/>
              </w:rPr>
            </w:pPr>
            <w:r w:rsidRPr="00B04DC3">
              <w:rPr>
                <w:i/>
                <w:sz w:val="16"/>
                <w:szCs w:val="16"/>
              </w:rPr>
              <w:t>Number</w:t>
            </w:r>
          </w:p>
        </w:tc>
        <w:tc>
          <w:tcPr>
            <w:tcW w:w="4789"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80" w:after="80" w:line="200" w:lineRule="atLeast"/>
              <w:rPr>
                <w:i/>
                <w:sz w:val="16"/>
                <w:szCs w:val="16"/>
              </w:rPr>
            </w:pPr>
            <w:r w:rsidRPr="00B04DC3">
              <w:rPr>
                <w:i/>
                <w:sz w:val="16"/>
                <w:szCs w:val="16"/>
              </w:rPr>
              <w:t>Auxiliaries</w:t>
            </w:r>
          </w:p>
        </w:tc>
        <w:tc>
          <w:tcPr>
            <w:tcW w:w="2695"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80" w:after="80" w:line="200" w:lineRule="atLeast"/>
              <w:rPr>
                <w:i/>
                <w:sz w:val="16"/>
                <w:szCs w:val="16"/>
              </w:rPr>
            </w:pPr>
            <w:r w:rsidRPr="00B04DC3">
              <w:rPr>
                <w:i/>
                <w:sz w:val="16"/>
                <w:szCs w:val="16"/>
              </w:rPr>
              <w:t>Fitted for emission test</w:t>
            </w:r>
          </w:p>
        </w:tc>
      </w:tr>
      <w:tr w:rsidR="00002BA6" w:rsidRPr="00B04DC3" w:rsidTr="007C2EE6">
        <w:tc>
          <w:tcPr>
            <w:tcW w:w="1021" w:type="dxa"/>
            <w:tcBorders>
              <w:top w:val="single" w:sz="12"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1</w:t>
            </w:r>
          </w:p>
        </w:tc>
        <w:tc>
          <w:tcPr>
            <w:tcW w:w="4789" w:type="dxa"/>
            <w:tcBorders>
              <w:top w:val="single" w:sz="12"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Inlet system</w:t>
            </w:r>
          </w:p>
        </w:tc>
        <w:tc>
          <w:tcPr>
            <w:tcW w:w="2695" w:type="dxa"/>
            <w:tcBorders>
              <w:top w:val="single" w:sz="12"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Inlet manifold</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Crankcase emission control system</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Control devices for dual induction inlet manifold system</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Air flow meter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Air inlet duct work</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 or test cell equipment</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Air filter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 or test cell equipment</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Inlet silencer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 or test cell equipment</w:t>
            </w:r>
          </w:p>
        </w:tc>
      </w:tr>
      <w:tr w:rsidR="00002BA6" w:rsidRPr="00B04DC3">
        <w:tc>
          <w:tcPr>
            <w:tcW w:w="1021"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Speed-limiting device</w:t>
            </w:r>
          </w:p>
        </w:tc>
        <w:tc>
          <w:tcPr>
            <w:tcW w:w="2695"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2</w:t>
            </w:r>
          </w:p>
        </w:tc>
        <w:tc>
          <w:tcPr>
            <w:tcW w:w="4789"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Induction-heating device of inlet manifold</w:t>
            </w:r>
          </w:p>
        </w:tc>
        <w:tc>
          <w:tcPr>
            <w:tcW w:w="2695"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 if possible to be set in the most favourable condition</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3</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Exhaust system</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Exhaust manifold</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Connecting pipes</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Silencer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Tail pipe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Exhaust brake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 or fully open</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Pressure charging device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4</w:t>
            </w:r>
          </w:p>
        </w:tc>
        <w:tc>
          <w:tcPr>
            <w:tcW w:w="4789"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Fuel supply pump</w:t>
            </w:r>
          </w:p>
        </w:tc>
        <w:tc>
          <w:tcPr>
            <w:tcW w:w="2695"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w:t>
            </w:r>
          </w:p>
        </w:tc>
      </w:tr>
      <w:tr w:rsidR="00002BA6" w:rsidRPr="00B04DC3">
        <w:trPr>
          <w:trHeight w:val="63"/>
        </w:trPr>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5</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Equipment for gas engines</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Electronic control system, air flow meter, etc.</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Pressure reducer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Evaporator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Mixer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6</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Fuel injection equipment</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Prefilter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Filter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Pump</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High-pressure pipe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Injector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Air inlet valve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Electronic control system, sensors, etc.</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Governor/control system</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Automatic full-load stop for the control rack depending on atmospheric conditions</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7</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Liquid-cooling equipment</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Radiator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Fan</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Fan cowl</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Water pump</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Thermostat</w:t>
            </w:r>
          </w:p>
        </w:tc>
        <w:tc>
          <w:tcPr>
            <w:tcW w:w="2695"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 may be fixed fully open</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keepNext/>
              <w:keepLines/>
              <w:spacing w:beforeLines="20" w:before="48" w:afterLines="20" w:after="48"/>
            </w:pPr>
            <w:r w:rsidRPr="00B04DC3">
              <w:t>8</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Air cooling</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keepNext/>
              <w:keepLines/>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Cowl</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keepNext/>
              <w:keepLines/>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Fan or Blower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keepNext/>
              <w:keepLines/>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Temperature-regulating device</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9</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Electrical equipment</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Generator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Coil or coils</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Wiring</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 xml:space="preserve">Electronic control system </w:t>
            </w:r>
          </w:p>
        </w:tc>
        <w:tc>
          <w:tcPr>
            <w:tcW w:w="2695"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10</w:t>
            </w:r>
          </w:p>
        </w:tc>
        <w:tc>
          <w:tcPr>
            <w:tcW w:w="4789"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r w:rsidRPr="00B04DC3">
              <w:t>Intake air charging equipment</w:t>
            </w:r>
          </w:p>
        </w:tc>
        <w:tc>
          <w:tcPr>
            <w:tcW w:w="2695" w:type="dxa"/>
            <w:tcBorders>
              <w:top w:val="single" w:sz="4" w:space="0" w:color="auto"/>
              <w:left w:val="single" w:sz="4" w:space="0" w:color="auto"/>
              <w:bottom w:val="nil"/>
              <w:right w:val="single" w:sz="4" w:space="0" w:color="auto"/>
            </w:tcBorders>
          </w:tcPr>
          <w:p w:rsidR="00002BA6" w:rsidRPr="00B04DC3" w:rsidRDefault="00002BA6" w:rsidP="00002BA6">
            <w:pPr>
              <w:spacing w:beforeLines="20" w:before="48" w:afterLines="20" w:after="48"/>
            </w:pP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Compressor driven either directly by the engine and/or by the exhaust gases</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Charge air cooler</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Yes, or test cell system</w:t>
            </w:r>
          </w:p>
        </w:tc>
      </w:tr>
      <w:tr w:rsidR="00002BA6" w:rsidRPr="00B04DC3">
        <w:tc>
          <w:tcPr>
            <w:tcW w:w="1021"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Coolant pump or fan (engine-driven)</w:t>
            </w:r>
          </w:p>
        </w:tc>
        <w:tc>
          <w:tcPr>
            <w:tcW w:w="2695" w:type="dxa"/>
            <w:tcBorders>
              <w:top w:val="nil"/>
              <w:left w:val="single" w:sz="4" w:space="0" w:color="auto"/>
              <w:bottom w:val="nil"/>
              <w:right w:val="single" w:sz="4" w:space="0" w:color="auto"/>
            </w:tcBorders>
          </w:tcPr>
          <w:p w:rsidR="00002BA6" w:rsidRPr="00B04DC3" w:rsidRDefault="00002BA6" w:rsidP="00002BA6">
            <w:pPr>
              <w:spacing w:beforeLines="20" w:before="48" w:afterLines="20" w:after="48"/>
            </w:pPr>
            <w:r w:rsidRPr="00B04DC3">
              <w:t>No</w:t>
            </w:r>
          </w:p>
        </w:tc>
      </w:tr>
      <w:tr w:rsidR="00002BA6" w:rsidRPr="00B04DC3">
        <w:tc>
          <w:tcPr>
            <w:tcW w:w="1021"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p>
        </w:tc>
        <w:tc>
          <w:tcPr>
            <w:tcW w:w="4789"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Coolant flow control device</w:t>
            </w:r>
          </w:p>
        </w:tc>
        <w:tc>
          <w:tcPr>
            <w:tcW w:w="2695" w:type="dxa"/>
            <w:tcBorders>
              <w:top w:val="nil"/>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11</w:t>
            </w:r>
          </w:p>
        </w:tc>
        <w:tc>
          <w:tcPr>
            <w:tcW w:w="4789"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Anti-pollution device (exhaust after-treatment system)</w:t>
            </w:r>
          </w:p>
        </w:tc>
        <w:tc>
          <w:tcPr>
            <w:tcW w:w="2695"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w:t>
            </w:r>
          </w:p>
        </w:tc>
      </w:tr>
      <w:tr w:rsidR="00002BA6" w:rsidRPr="00B04DC3">
        <w:tc>
          <w:tcPr>
            <w:tcW w:w="1021"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12</w:t>
            </w:r>
          </w:p>
        </w:tc>
        <w:tc>
          <w:tcPr>
            <w:tcW w:w="4789"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Starting equipment</w:t>
            </w:r>
          </w:p>
        </w:tc>
        <w:tc>
          <w:tcPr>
            <w:tcW w:w="2695" w:type="dxa"/>
            <w:tcBorders>
              <w:top w:val="single" w:sz="4" w:space="0" w:color="auto"/>
              <w:left w:val="single" w:sz="4" w:space="0" w:color="auto"/>
              <w:bottom w:val="single" w:sz="4" w:space="0" w:color="auto"/>
              <w:right w:val="single" w:sz="4" w:space="0" w:color="auto"/>
            </w:tcBorders>
          </w:tcPr>
          <w:p w:rsidR="00002BA6" w:rsidRPr="00B04DC3" w:rsidRDefault="00002BA6" w:rsidP="00002BA6">
            <w:pPr>
              <w:spacing w:beforeLines="20" w:before="48" w:afterLines="20" w:after="48"/>
            </w:pPr>
            <w:r w:rsidRPr="00B04DC3">
              <w:t>Yes, or test cell system</w:t>
            </w:r>
          </w:p>
        </w:tc>
      </w:tr>
      <w:tr w:rsidR="00002BA6" w:rsidRPr="00B04DC3" w:rsidTr="007C2EE6">
        <w:tc>
          <w:tcPr>
            <w:tcW w:w="1021"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Lines="20" w:before="48" w:afterLines="20" w:after="48"/>
            </w:pPr>
            <w:r w:rsidRPr="00B04DC3">
              <w:t>13</w:t>
            </w:r>
          </w:p>
        </w:tc>
        <w:tc>
          <w:tcPr>
            <w:tcW w:w="4789"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Lines="20" w:before="48" w:afterLines="20" w:after="48"/>
            </w:pPr>
            <w:r w:rsidRPr="00B04DC3">
              <w:t>Lubricating oil pump</w:t>
            </w:r>
          </w:p>
        </w:tc>
        <w:tc>
          <w:tcPr>
            <w:tcW w:w="2695" w:type="dxa"/>
            <w:tcBorders>
              <w:top w:val="single" w:sz="4" w:space="0" w:color="auto"/>
              <w:left w:val="single" w:sz="4" w:space="0" w:color="auto"/>
              <w:bottom w:val="single" w:sz="12" w:space="0" w:color="auto"/>
              <w:right w:val="single" w:sz="4" w:space="0" w:color="auto"/>
            </w:tcBorders>
          </w:tcPr>
          <w:p w:rsidR="00002BA6" w:rsidRPr="00B04DC3" w:rsidRDefault="00002BA6" w:rsidP="00002BA6">
            <w:pPr>
              <w:spacing w:beforeLines="20" w:before="48" w:afterLines="20" w:after="48"/>
            </w:pPr>
            <w:r w:rsidRPr="00B04DC3">
              <w:t>Yes</w:t>
            </w:r>
          </w:p>
        </w:tc>
      </w:tr>
    </w:tbl>
    <w:p w:rsidR="00D247DE" w:rsidRPr="00B04DC3" w:rsidRDefault="00D247DE" w:rsidP="00002BA6">
      <w:pPr>
        <w:tabs>
          <w:tab w:val="left" w:pos="1122"/>
        </w:tabs>
        <w:ind w:left="1122" w:hanging="1122"/>
        <w:jc w:val="right"/>
        <w:sectPr w:rsidR="00D247DE" w:rsidRPr="00B04DC3" w:rsidSect="00002BA6">
          <w:headerReference w:type="even" r:id="rId489"/>
          <w:headerReference w:type="default" r:id="rId490"/>
          <w:headerReference w:type="first" r:id="rId491"/>
          <w:footnotePr>
            <w:numRestart w:val="eachSect"/>
          </w:footnotePr>
          <w:endnotePr>
            <w:numFmt w:val="decimal"/>
          </w:endnotePr>
          <w:pgSz w:w="11907" w:h="16840" w:code="9"/>
          <w:pgMar w:top="1954" w:right="1134" w:bottom="2268" w:left="1134" w:header="1134" w:footer="1701" w:gutter="0"/>
          <w:cols w:space="720"/>
          <w:titlePg/>
        </w:sectPr>
      </w:pPr>
    </w:p>
    <w:p w:rsidR="00D247DE" w:rsidRPr="00B04DC3" w:rsidRDefault="00D247DE" w:rsidP="007C2EE6">
      <w:pPr>
        <w:pStyle w:val="HChG"/>
      </w:pPr>
      <w:bookmarkStart w:id="666" w:name="_Toc423599641"/>
      <w:bookmarkStart w:id="667" w:name="_Toc423611049"/>
      <w:r w:rsidRPr="00B04DC3">
        <w:t>Annex 4C</w:t>
      </w:r>
      <w:bookmarkEnd w:id="666"/>
      <w:bookmarkEnd w:id="667"/>
    </w:p>
    <w:p w:rsidR="00D247DE" w:rsidRPr="00B04DC3" w:rsidRDefault="00D247DE" w:rsidP="007C2EE6">
      <w:pPr>
        <w:pStyle w:val="HChG"/>
      </w:pPr>
      <w:r w:rsidRPr="00B04DC3">
        <w:tab/>
      </w:r>
      <w:r w:rsidRPr="00B04DC3">
        <w:tab/>
      </w:r>
      <w:bookmarkStart w:id="668" w:name="_Toc423599642"/>
      <w:bookmarkStart w:id="669" w:name="_Toc423611050"/>
      <w:r w:rsidR="002E6737">
        <w:t>ParticulateParticulate</w:t>
      </w:r>
      <w:r w:rsidRPr="00B04DC3">
        <w:t xml:space="preserve"> </w:t>
      </w:r>
      <w:r w:rsidR="00F90D0E" w:rsidRPr="00B04DC3">
        <w:t>n</w:t>
      </w:r>
      <w:r w:rsidRPr="00B04DC3">
        <w:t xml:space="preserve">umber </w:t>
      </w:r>
      <w:r w:rsidR="00F90D0E" w:rsidRPr="00B04DC3">
        <w:t>m</w:t>
      </w:r>
      <w:r w:rsidRPr="00B04DC3">
        <w:t xml:space="preserve">easurement </w:t>
      </w:r>
      <w:r w:rsidR="00F90D0E" w:rsidRPr="00B04DC3">
        <w:t>t</w:t>
      </w:r>
      <w:r w:rsidRPr="00B04DC3">
        <w:t xml:space="preserve">est </w:t>
      </w:r>
      <w:r w:rsidR="00F90D0E" w:rsidRPr="00B04DC3">
        <w:t>p</w:t>
      </w:r>
      <w:r w:rsidRPr="00B04DC3">
        <w:t>rocedure</w:t>
      </w:r>
      <w:bookmarkEnd w:id="668"/>
      <w:bookmarkEnd w:id="669"/>
    </w:p>
    <w:p w:rsidR="00D247DE" w:rsidRPr="00B04DC3" w:rsidRDefault="00D247DE" w:rsidP="00D247DE">
      <w:pPr>
        <w:spacing w:after="120"/>
        <w:ind w:left="2268" w:right="1134" w:hanging="1134"/>
        <w:jc w:val="both"/>
      </w:pPr>
      <w:r w:rsidRPr="00B04DC3">
        <w:t>1.</w:t>
      </w:r>
      <w:r w:rsidRPr="00B04DC3">
        <w:tab/>
        <w:t>Applicability</w:t>
      </w:r>
    </w:p>
    <w:p w:rsidR="00D247DE" w:rsidRPr="00B04DC3" w:rsidRDefault="00D247DE" w:rsidP="00D247DE">
      <w:pPr>
        <w:spacing w:after="120"/>
        <w:ind w:left="2268" w:right="1134" w:hanging="1134"/>
        <w:jc w:val="both"/>
      </w:pPr>
      <w:r w:rsidRPr="00B04DC3">
        <w:tab/>
        <w:t>This annex is not applicable for the purpose of type approval according to this Regulation for the time being. It will be made applicable in the future.</w:t>
      </w:r>
    </w:p>
    <w:p w:rsidR="00D247DE" w:rsidRPr="00B04DC3" w:rsidRDefault="00D247DE" w:rsidP="00D247DE">
      <w:pPr>
        <w:spacing w:after="120"/>
        <w:ind w:left="2268" w:right="1134" w:hanging="1134"/>
        <w:jc w:val="both"/>
      </w:pPr>
      <w:r w:rsidRPr="00B04DC3">
        <w:t>2.</w:t>
      </w:r>
      <w:r w:rsidRPr="00B04DC3">
        <w:tab/>
        <w:t>Introduction</w:t>
      </w:r>
    </w:p>
    <w:p w:rsidR="00D247DE" w:rsidRPr="00B04DC3" w:rsidRDefault="00D247DE" w:rsidP="00D247DE">
      <w:pPr>
        <w:spacing w:after="120"/>
        <w:ind w:left="2268" w:right="1134" w:hanging="1134"/>
        <w:jc w:val="both"/>
      </w:pPr>
      <w:r w:rsidRPr="00B04DC3">
        <w:t>2.1.</w:t>
      </w:r>
      <w:r w:rsidRPr="00B04DC3">
        <w:tab/>
        <w:t xml:space="preserve">This annex describes the method of determining </w:t>
      </w:r>
      <w:r w:rsidR="002E6737">
        <w:t>particulateparticulate</w:t>
      </w:r>
      <w:r w:rsidRPr="00B04DC3">
        <w:t xml:space="preserve"> number emissions of engines being tested according to the test procedures defined in Annex 4B. Unless otherwise stated, all test conditions, procedures and requirements are as stated in Annex 4B.</w:t>
      </w:r>
    </w:p>
    <w:p w:rsidR="00D247DE" w:rsidRPr="00B04DC3" w:rsidRDefault="00D247DE" w:rsidP="00D247DE">
      <w:pPr>
        <w:spacing w:after="120"/>
        <w:ind w:left="2268" w:right="1134" w:hanging="1134"/>
        <w:jc w:val="both"/>
      </w:pPr>
      <w:r w:rsidRPr="00B04DC3">
        <w:t>3.</w:t>
      </w:r>
      <w:r w:rsidRPr="00B04DC3">
        <w:tab/>
        <w:t>Sampling</w:t>
      </w:r>
    </w:p>
    <w:p w:rsidR="00D247DE" w:rsidRPr="00B04DC3" w:rsidRDefault="00D247DE" w:rsidP="00D247DE">
      <w:pPr>
        <w:spacing w:after="120"/>
        <w:ind w:left="2268" w:right="1134" w:hanging="1134"/>
        <w:jc w:val="both"/>
      </w:pPr>
      <w:r w:rsidRPr="00B04DC3">
        <w:t>3.1.</w:t>
      </w:r>
      <w:r w:rsidRPr="00B04DC3">
        <w:tab/>
      </w:r>
      <w:r w:rsidR="002E6737">
        <w:t>ParticulateParticulate</w:t>
      </w:r>
      <w:r w:rsidRPr="00B04DC3">
        <w:t xml:space="preserve"> number emissions</w:t>
      </w:r>
    </w:p>
    <w:p w:rsidR="00D247DE" w:rsidRPr="00B04DC3" w:rsidRDefault="002E6737" w:rsidP="00D247DE">
      <w:pPr>
        <w:spacing w:after="120"/>
        <w:ind w:left="2268" w:right="1134"/>
        <w:jc w:val="both"/>
      </w:pPr>
      <w:r>
        <w:t>ParticulateParticulate</w:t>
      </w:r>
      <w:r w:rsidR="00D247DE" w:rsidRPr="00B04DC3">
        <w:t xml:space="preserve"> number emissions shall be measured by continuous sampling from either a partial flow dilution system, as described in Annex 4B, Appendix 3, paragraph</w:t>
      </w:r>
      <w:r w:rsidR="003B31D3">
        <w:t>s</w:t>
      </w:r>
      <w:r w:rsidR="00D247DE" w:rsidRPr="00B04DC3">
        <w:t> A.3.2.1. and A.3.2.2. or a full flow dilution system as described in Annex 4B, Appendix 3, paragraph</w:t>
      </w:r>
      <w:r w:rsidR="003B31D3">
        <w:t>s</w:t>
      </w:r>
      <w:r w:rsidR="00D247DE" w:rsidRPr="00B04DC3">
        <w:t xml:space="preserve"> A.3.2.3. and A.3.2.4.</w:t>
      </w:r>
    </w:p>
    <w:p w:rsidR="00D247DE" w:rsidRPr="00B04DC3" w:rsidRDefault="00D247DE" w:rsidP="00D247DE">
      <w:pPr>
        <w:spacing w:after="120"/>
        <w:ind w:left="2268" w:right="1134" w:hanging="1134"/>
        <w:jc w:val="both"/>
      </w:pPr>
      <w:r w:rsidRPr="00B04DC3">
        <w:t>3.2.</w:t>
      </w:r>
      <w:r w:rsidRPr="00B04DC3">
        <w:tab/>
        <w:t>Diluent filtration</w:t>
      </w:r>
    </w:p>
    <w:p w:rsidR="00D247DE" w:rsidRPr="00B04DC3" w:rsidRDefault="00D247DE" w:rsidP="00D247DE">
      <w:pPr>
        <w:spacing w:after="120" w:line="240" w:lineRule="auto"/>
        <w:ind w:left="2268" w:right="1134" w:hanging="1134"/>
        <w:jc w:val="both"/>
      </w:pPr>
      <w:r w:rsidRPr="00B04DC3">
        <w:tab/>
        <w:t xml:space="preserve">Diluent used for both the primary and, where applicable, secondary dilution of the exhaust in the dilution system shall be passed through filters meeting the High-Efficiency Particulate Air (HEPA) filter requirements defined in the Diluent Filter (DAF) subparagraphs of Annex 4B, Appendix 3, paragraph A.3.2.2. or A.3.2.4. The diluent may optionally be charcoal scrubbed before being passed to the HEPA filter to reduce and stabilize the hydrocarbon concentrations in the diluent. It is recommended that an additional coarse </w:t>
      </w:r>
      <w:r w:rsidR="002E6737">
        <w:t>particulateparticulate</w:t>
      </w:r>
      <w:r w:rsidRPr="00B04DC3">
        <w:t xml:space="preserve"> filter is situated before the HEPA filter and after the charcoal scrubber, if used.</w:t>
      </w:r>
    </w:p>
    <w:p w:rsidR="00D247DE" w:rsidRPr="00B04DC3" w:rsidRDefault="00D247DE" w:rsidP="00D247DE">
      <w:pPr>
        <w:spacing w:after="120"/>
        <w:ind w:left="2268" w:right="1134" w:hanging="1134"/>
        <w:jc w:val="both"/>
      </w:pPr>
      <w:r w:rsidRPr="00B04DC3">
        <w:t>4.</w:t>
      </w:r>
      <w:r w:rsidRPr="00B04DC3">
        <w:tab/>
        <w:t xml:space="preserve">Operation of the </w:t>
      </w:r>
      <w:r w:rsidR="003B31D3">
        <w:t>s</w:t>
      </w:r>
      <w:r w:rsidRPr="00B04DC3">
        <w:t xml:space="preserve">ampling </w:t>
      </w:r>
      <w:r w:rsidR="003B31D3">
        <w:t>s</w:t>
      </w:r>
      <w:r w:rsidRPr="00B04DC3">
        <w:t>ystem</w:t>
      </w:r>
    </w:p>
    <w:p w:rsidR="00D247DE" w:rsidRPr="00B04DC3" w:rsidRDefault="00D247DE" w:rsidP="00D247DE">
      <w:pPr>
        <w:spacing w:after="120" w:line="240" w:lineRule="auto"/>
        <w:ind w:left="2268" w:right="1134" w:hanging="1134"/>
        <w:jc w:val="both"/>
      </w:pPr>
      <w:r w:rsidRPr="00B04DC3">
        <w:t>4.1.</w:t>
      </w:r>
      <w:r w:rsidRPr="00B04DC3">
        <w:tab/>
        <w:t xml:space="preserve">Compensating for </w:t>
      </w:r>
      <w:r w:rsidR="002E6737">
        <w:t>particulateparticulate</w:t>
      </w:r>
      <w:r w:rsidRPr="00B04DC3">
        <w:t xml:space="preserve"> number sample flow – full flow dilution systems</w:t>
      </w:r>
    </w:p>
    <w:p w:rsidR="00D247DE" w:rsidRPr="00B04DC3" w:rsidRDefault="00D247DE" w:rsidP="00D247DE">
      <w:pPr>
        <w:spacing w:after="120"/>
        <w:ind w:left="2268" w:right="1134" w:hanging="1134"/>
        <w:jc w:val="both"/>
      </w:pPr>
      <w:r w:rsidRPr="00B04DC3">
        <w:t>4.1.1.</w:t>
      </w:r>
      <w:r w:rsidRPr="00B04DC3">
        <w:tab/>
        <w:t xml:space="preserve">To compensate for the mass flow extracted from the dilution system for </w:t>
      </w:r>
      <w:r w:rsidR="002E6737">
        <w:t>particulate</w:t>
      </w:r>
      <w:r w:rsidRPr="00B04DC3">
        <w:t xml:space="preserve"> number sampling the extracted mass flow (filtered) shall be returned to the dilution system. Alternatively, the total mass flow in the dilution system may be mathematically corrected for the </w:t>
      </w:r>
      <w:r w:rsidR="002E6737">
        <w:t>particulate</w:t>
      </w:r>
      <w:r w:rsidRPr="00B04DC3">
        <w:t xml:space="preserve"> number sample flow extracted. Where the total mass flow extracted from the dilution system for </w:t>
      </w:r>
      <w:r w:rsidR="002E6737">
        <w:t>particulate</w:t>
      </w:r>
      <w:r w:rsidRPr="00B04DC3">
        <w:t xml:space="preserve"> number sampling is less than 0.5 per cent of the total dilute exhaust gas flow in the dilution tunnel (med) this correction, or flow return, may be neglected.</w:t>
      </w:r>
    </w:p>
    <w:p w:rsidR="00D247DE" w:rsidRPr="00B04DC3" w:rsidRDefault="00D247DE" w:rsidP="00665E2D">
      <w:pPr>
        <w:keepNext/>
        <w:keepLines/>
        <w:spacing w:after="120" w:line="240" w:lineRule="auto"/>
        <w:ind w:left="2268" w:right="1134" w:hanging="1134"/>
        <w:jc w:val="both"/>
      </w:pPr>
      <w:r w:rsidRPr="00B04DC3">
        <w:t>4.2.</w:t>
      </w:r>
      <w:r w:rsidRPr="00B04DC3">
        <w:tab/>
        <w:t xml:space="preserve">Compensating for </w:t>
      </w:r>
      <w:r w:rsidR="002E6737">
        <w:t>particulate</w:t>
      </w:r>
      <w:r w:rsidRPr="00B04DC3">
        <w:t xml:space="preserve"> number sample flow – partial flow dilution systems</w:t>
      </w:r>
    </w:p>
    <w:p w:rsidR="00D247DE" w:rsidRPr="00B04DC3" w:rsidRDefault="00D247DE" w:rsidP="00665E2D">
      <w:pPr>
        <w:keepNext/>
        <w:keepLines/>
        <w:spacing w:after="120"/>
        <w:ind w:left="2268" w:right="1134" w:hanging="1134"/>
        <w:jc w:val="both"/>
      </w:pPr>
      <w:r w:rsidRPr="00B04DC3">
        <w:t>4.2.1.</w:t>
      </w:r>
      <w:r w:rsidRPr="00B04DC3">
        <w:tab/>
        <w:t xml:space="preserve">For partial flow dilution systems the mass flow extracted from the dilution system for </w:t>
      </w:r>
      <w:r w:rsidR="002E6737">
        <w:t>particulate</w:t>
      </w:r>
      <w:r w:rsidRPr="00B04DC3">
        <w:t xml:space="preserve"> number sampling shall be accounted for in controlling the proportionality of sampling. This shall be achieved either by feeding the </w:t>
      </w:r>
      <w:r w:rsidR="002E6737">
        <w:t>particulate</w:t>
      </w:r>
      <w:r w:rsidRPr="00B04DC3">
        <w:t xml:space="preserve"> number sample flow back into the dilution system upstream of the flow measuring device or by mathematical correction as outlined in paragraph 4.2.2.</w:t>
      </w:r>
      <w:r w:rsidR="003B31D3">
        <w:t xml:space="preserve"> below.</w:t>
      </w:r>
      <w:r w:rsidRPr="00B04DC3">
        <w:t xml:space="preserve"> In the case of total sampling type partial flow dilution systems, the mass flow extracted for </w:t>
      </w:r>
      <w:r w:rsidR="002E6737">
        <w:t>particulate</w:t>
      </w:r>
      <w:r w:rsidRPr="00B04DC3">
        <w:t xml:space="preserve"> number sampling shall also be corrected for in the particulate mass calculation as outlined in paragraph 4.2.3.</w:t>
      </w:r>
      <w:r w:rsidR="003B31D3">
        <w:t xml:space="preserve"> below.</w:t>
      </w:r>
    </w:p>
    <w:p w:rsidR="00D247DE" w:rsidRPr="00B04DC3" w:rsidRDefault="00D247DE" w:rsidP="00D247DE">
      <w:pPr>
        <w:spacing w:after="120"/>
        <w:ind w:left="2268" w:right="1134" w:hanging="1134"/>
        <w:jc w:val="both"/>
      </w:pPr>
      <w:r w:rsidRPr="00B04DC3">
        <w:t>4.2.2.</w:t>
      </w:r>
      <w:r w:rsidRPr="00B04DC3">
        <w:tab/>
        <w:t>The instantaneous exhaust gas flow rate into the dilution system (</w:t>
      </w:r>
      <w:r w:rsidRPr="009B357A">
        <w:t>q</w:t>
      </w:r>
      <w:r w:rsidRPr="009B357A">
        <w:rPr>
          <w:vertAlign w:val="subscript"/>
        </w:rPr>
        <w:t>mp</w:t>
      </w:r>
      <w:r w:rsidRPr="009B357A">
        <w:t>)</w:t>
      </w:r>
      <w:r w:rsidRPr="00B04DC3">
        <w:t>, used for controlling the proportionality of sampling, shall be corrected according to one of the following methods;</w:t>
      </w:r>
    </w:p>
    <w:p w:rsidR="00D247DE" w:rsidRPr="00B04DC3" w:rsidRDefault="00D247DE" w:rsidP="00D247DE">
      <w:pPr>
        <w:tabs>
          <w:tab w:val="left" w:pos="2300"/>
          <w:tab w:val="left" w:pos="2842"/>
        </w:tabs>
        <w:spacing w:after="120"/>
        <w:ind w:left="2835" w:right="1134" w:hanging="1701"/>
        <w:jc w:val="both"/>
      </w:pPr>
      <w:r w:rsidRPr="00B04DC3">
        <w:tab/>
        <w:t>(a)</w:t>
      </w:r>
      <w:r w:rsidRPr="00B04DC3">
        <w:tab/>
        <w:t xml:space="preserve">In the case where the extracted </w:t>
      </w:r>
      <w:r w:rsidR="002E6737">
        <w:t>particulate</w:t>
      </w:r>
      <w:r w:rsidRPr="00B04DC3">
        <w:t xml:space="preserve"> number sample flow is discarded, equation (83) in Annex 4B, paragraph 9.4.6.2. shall be replaced by the following:</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12"/>
          <w:szCs w:val="24"/>
        </w:rPr>
        <w:pict>
          <v:shape id="_x0000_i1333" type="#_x0000_t75" style="width:105.6pt;height:15.6pt">
            <v:imagedata r:id="rId492" o:title=""/>
          </v:shape>
        </w:pict>
      </w:r>
    </w:p>
    <w:p w:rsidR="00D247DE" w:rsidRPr="00B04DC3" w:rsidRDefault="00D247DE" w:rsidP="00D247DE">
      <w:pPr>
        <w:spacing w:after="120"/>
        <w:ind w:left="2268" w:right="1134" w:hanging="1134"/>
        <w:jc w:val="both"/>
      </w:pPr>
      <w:r w:rsidRPr="00B04DC3">
        <w:tab/>
      </w:r>
      <w:r w:rsidRPr="00B04DC3">
        <w:tab/>
      </w:r>
      <w:r w:rsidRPr="00B04DC3">
        <w:tab/>
      </w:r>
      <w:r w:rsidR="007C2EE6" w:rsidRPr="00B04DC3">
        <w:t>Where</w:t>
      </w:r>
      <w:r w:rsidRPr="00B04DC3">
        <w:t>:</w:t>
      </w:r>
    </w:p>
    <w:p w:rsidR="00D247DE" w:rsidRPr="00B04DC3" w:rsidRDefault="00D247DE" w:rsidP="00D247DE">
      <w:pPr>
        <w:tabs>
          <w:tab w:val="left" w:pos="2856"/>
          <w:tab w:val="left" w:pos="3400"/>
          <w:tab w:val="left" w:pos="4000"/>
        </w:tabs>
        <w:spacing w:after="120"/>
        <w:ind w:left="3969" w:right="1134" w:hanging="2835"/>
        <w:jc w:val="both"/>
      </w:pPr>
      <w:r w:rsidRPr="00B04DC3">
        <w:tab/>
        <w:t>q</w:t>
      </w:r>
      <w:r w:rsidRPr="00B04DC3">
        <w:rPr>
          <w:vertAlign w:val="subscript"/>
        </w:rPr>
        <w:t>mp</w:t>
      </w:r>
      <w:r w:rsidRPr="00B04DC3">
        <w:tab/>
        <w:t>=</w:t>
      </w:r>
      <w:r w:rsidRPr="00B04DC3">
        <w:tab/>
        <w:t>sample flow of exhaust gas into partial flow dilution system, kg/s</w:t>
      </w:r>
    </w:p>
    <w:p w:rsidR="00D247DE" w:rsidRPr="00B04DC3" w:rsidRDefault="00D247DE" w:rsidP="00D247DE">
      <w:pPr>
        <w:tabs>
          <w:tab w:val="left" w:pos="2856"/>
          <w:tab w:val="left" w:pos="3400"/>
          <w:tab w:val="left" w:pos="4000"/>
        </w:tabs>
        <w:spacing w:after="120"/>
        <w:ind w:left="3969" w:right="1134" w:hanging="2835"/>
        <w:jc w:val="both"/>
      </w:pPr>
      <w:r w:rsidRPr="00B04DC3">
        <w:tab/>
        <w:t>q</w:t>
      </w:r>
      <w:r w:rsidRPr="00B04DC3">
        <w:rPr>
          <w:vertAlign w:val="subscript"/>
        </w:rPr>
        <w:t>mdew</w:t>
      </w:r>
      <w:r w:rsidRPr="00B04DC3">
        <w:tab/>
        <w:t>=</w:t>
      </w:r>
      <w:r w:rsidRPr="00B04DC3">
        <w:tab/>
        <w:t>diluted exhaust mass flow rate, kg/s</w:t>
      </w:r>
    </w:p>
    <w:p w:rsidR="00D247DE" w:rsidRPr="00B04DC3" w:rsidRDefault="00D247DE" w:rsidP="00D247DE">
      <w:pPr>
        <w:tabs>
          <w:tab w:val="left" w:pos="2856"/>
          <w:tab w:val="left" w:pos="3400"/>
          <w:tab w:val="left" w:pos="4000"/>
        </w:tabs>
        <w:spacing w:after="120"/>
        <w:ind w:left="3969" w:right="1134" w:hanging="2835"/>
        <w:jc w:val="both"/>
      </w:pPr>
      <w:r w:rsidRPr="00B04DC3">
        <w:tab/>
        <w:t>q</w:t>
      </w:r>
      <w:r w:rsidRPr="00B04DC3">
        <w:rPr>
          <w:vertAlign w:val="subscript"/>
        </w:rPr>
        <w:t>mdw</w:t>
      </w:r>
      <w:r w:rsidRPr="00B04DC3">
        <w:tab/>
        <w:t>=</w:t>
      </w:r>
      <w:r w:rsidRPr="00B04DC3">
        <w:tab/>
        <w:t>dilution air mass flow rate, kg/s</w:t>
      </w:r>
    </w:p>
    <w:p w:rsidR="00D247DE" w:rsidRPr="00B04DC3" w:rsidRDefault="00D247DE" w:rsidP="00D247DE">
      <w:pPr>
        <w:tabs>
          <w:tab w:val="left" w:pos="2856"/>
          <w:tab w:val="left" w:pos="3400"/>
          <w:tab w:val="left" w:pos="4000"/>
        </w:tabs>
        <w:spacing w:after="120"/>
        <w:ind w:left="3969" w:right="1134" w:hanging="2835"/>
        <w:jc w:val="both"/>
      </w:pPr>
      <w:r w:rsidRPr="00B04DC3">
        <w:tab/>
        <w:t>q</w:t>
      </w:r>
      <w:r w:rsidRPr="00B04DC3">
        <w:rPr>
          <w:vertAlign w:val="subscript"/>
        </w:rPr>
        <w:t>ex</w:t>
      </w:r>
      <w:r w:rsidRPr="00B04DC3">
        <w:tab/>
        <w:t>=</w:t>
      </w:r>
      <w:r w:rsidRPr="00B04DC3">
        <w:tab/>
      </w:r>
      <w:r w:rsidR="002E6737">
        <w:t>particulate</w:t>
      </w:r>
      <w:r w:rsidRPr="00B04DC3">
        <w:t xml:space="preserve"> number sample mass flow rate, kg/s</w:t>
      </w:r>
    </w:p>
    <w:p w:rsidR="00D247DE" w:rsidRPr="00B04DC3" w:rsidRDefault="00D247DE" w:rsidP="00D247DE">
      <w:pPr>
        <w:tabs>
          <w:tab w:val="left" w:pos="2100"/>
          <w:tab w:val="left" w:pos="2842"/>
        </w:tabs>
        <w:spacing w:after="120"/>
        <w:ind w:left="2835" w:right="1134" w:hanging="1701"/>
        <w:jc w:val="both"/>
      </w:pPr>
      <w:r w:rsidRPr="00B04DC3">
        <w:tab/>
      </w:r>
      <w:r w:rsidRPr="00B04DC3">
        <w:tab/>
        <w:t>The q</w:t>
      </w:r>
      <w:r w:rsidRPr="00B04DC3">
        <w:rPr>
          <w:vertAlign w:val="subscript"/>
        </w:rPr>
        <w:t>ex</w:t>
      </w:r>
      <w:r w:rsidRPr="00B04DC3">
        <w:t xml:space="preserve"> signal sent to the partial flow system controller shall be accurate to within 0.1 per cent of q</w:t>
      </w:r>
      <w:r w:rsidRPr="00B04DC3">
        <w:rPr>
          <w:vertAlign w:val="subscript"/>
        </w:rPr>
        <w:t>mdew</w:t>
      </w:r>
      <w:r w:rsidRPr="00B04DC3">
        <w:t xml:space="preserve"> at all times and should be sent with frequency of at least 1 Hz.</w:t>
      </w:r>
    </w:p>
    <w:p w:rsidR="00D247DE" w:rsidRPr="00B04DC3" w:rsidRDefault="00D247DE" w:rsidP="00D247DE">
      <w:pPr>
        <w:tabs>
          <w:tab w:val="left" w:pos="2200"/>
        </w:tabs>
        <w:spacing w:after="120"/>
        <w:ind w:left="2835" w:right="1134" w:hanging="1701"/>
        <w:jc w:val="both"/>
      </w:pPr>
      <w:r w:rsidRPr="00B04DC3">
        <w:tab/>
        <w:t>(b)</w:t>
      </w:r>
      <w:r w:rsidRPr="00B04DC3">
        <w:tab/>
        <w:t xml:space="preserve">In the case where the extracted </w:t>
      </w:r>
      <w:r w:rsidR="002E6737">
        <w:t>particulate</w:t>
      </w:r>
      <w:r w:rsidRPr="00B04DC3">
        <w:t xml:space="preserve"> number sample flow is fully or partially discarded, but an equivalent flow is fed back to the dilution system upstream of the flow measurement device, equation (83) in Annex 4B, paragraph 9.4.6.2. shall be replaced by the following:</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12"/>
          <w:szCs w:val="24"/>
        </w:rPr>
        <w:pict>
          <v:shape id="_x0000_i1334" type="#_x0000_t75" style="width:129.6pt;height:15.6pt">
            <v:imagedata r:id="rId493" o:title=""/>
          </v:shape>
        </w:pict>
      </w:r>
    </w:p>
    <w:p w:rsidR="00D247DE" w:rsidRPr="00B04DC3" w:rsidRDefault="00D247DE" w:rsidP="00D247DE">
      <w:pPr>
        <w:spacing w:after="120"/>
        <w:ind w:left="2268" w:right="1134" w:hanging="1134"/>
        <w:jc w:val="both"/>
      </w:pPr>
      <w:r w:rsidRPr="00B04DC3">
        <w:tab/>
      </w:r>
      <w:r w:rsidRPr="00B04DC3">
        <w:tab/>
      </w:r>
      <w:r w:rsidRPr="00B04DC3">
        <w:tab/>
      </w:r>
      <w:r w:rsidR="007C2EE6" w:rsidRPr="00B04DC3">
        <w:t>Where</w:t>
      </w:r>
      <w:r w:rsidRPr="00B04DC3">
        <w:t>:</w:t>
      </w:r>
    </w:p>
    <w:p w:rsidR="00D247DE" w:rsidRPr="00B04DC3" w:rsidRDefault="00D247DE" w:rsidP="00D247DE">
      <w:pPr>
        <w:tabs>
          <w:tab w:val="left" w:pos="2842"/>
          <w:tab w:val="left" w:pos="3400"/>
          <w:tab w:val="left" w:pos="3990"/>
        </w:tabs>
        <w:spacing w:after="120"/>
        <w:ind w:left="3969" w:right="1134" w:hanging="2835"/>
        <w:jc w:val="both"/>
      </w:pPr>
      <w:r w:rsidRPr="00B04DC3">
        <w:tab/>
        <w:t>q</w:t>
      </w:r>
      <w:r w:rsidRPr="00B04DC3">
        <w:rPr>
          <w:vertAlign w:val="subscript"/>
        </w:rPr>
        <w:t>mp</w:t>
      </w:r>
      <w:r w:rsidRPr="00B04DC3">
        <w:tab/>
        <w:t>=</w:t>
      </w:r>
      <w:r w:rsidRPr="00B04DC3">
        <w:tab/>
        <w:t>sample flow of exhaust gas into partial flow dilution system, kg/s</w:t>
      </w:r>
    </w:p>
    <w:p w:rsidR="00D247DE" w:rsidRPr="00B04DC3" w:rsidRDefault="00D247DE" w:rsidP="00D247DE">
      <w:pPr>
        <w:tabs>
          <w:tab w:val="left" w:pos="2842"/>
          <w:tab w:val="left" w:pos="3400"/>
          <w:tab w:val="left" w:pos="3990"/>
        </w:tabs>
        <w:spacing w:after="120"/>
        <w:ind w:left="3402" w:right="1134" w:hanging="2268"/>
        <w:jc w:val="both"/>
      </w:pPr>
      <w:r w:rsidRPr="00B04DC3">
        <w:tab/>
        <w:t>q</w:t>
      </w:r>
      <w:r w:rsidRPr="00B04DC3">
        <w:rPr>
          <w:vertAlign w:val="subscript"/>
        </w:rPr>
        <w:t>mdew</w:t>
      </w:r>
      <w:r w:rsidRPr="00B04DC3">
        <w:tab/>
        <w:t>=</w:t>
      </w:r>
      <w:r w:rsidRPr="00B04DC3">
        <w:tab/>
        <w:t>diluted exhaust mass flow rate, kg/s,</w:t>
      </w:r>
    </w:p>
    <w:p w:rsidR="00D247DE" w:rsidRPr="00B04DC3" w:rsidRDefault="00D247DE" w:rsidP="00D247DE">
      <w:pPr>
        <w:tabs>
          <w:tab w:val="left" w:pos="2842"/>
          <w:tab w:val="left" w:pos="3400"/>
          <w:tab w:val="left" w:pos="3990"/>
        </w:tabs>
        <w:spacing w:after="120"/>
        <w:ind w:left="3402" w:right="1134" w:hanging="2268"/>
        <w:jc w:val="both"/>
      </w:pPr>
      <w:r w:rsidRPr="00B04DC3">
        <w:tab/>
        <w:t>q</w:t>
      </w:r>
      <w:r w:rsidRPr="00B04DC3">
        <w:rPr>
          <w:vertAlign w:val="subscript"/>
        </w:rPr>
        <w:t>mdw</w:t>
      </w:r>
      <w:r w:rsidRPr="00B04DC3">
        <w:tab/>
        <w:t>=</w:t>
      </w:r>
      <w:r w:rsidRPr="00B04DC3">
        <w:tab/>
        <w:t>dilution air mass flow rate, kg/s,</w:t>
      </w:r>
    </w:p>
    <w:p w:rsidR="00D247DE" w:rsidRPr="00B04DC3" w:rsidRDefault="00D247DE" w:rsidP="00D247DE">
      <w:pPr>
        <w:tabs>
          <w:tab w:val="left" w:pos="2842"/>
          <w:tab w:val="left" w:pos="3400"/>
          <w:tab w:val="left" w:pos="3990"/>
        </w:tabs>
        <w:spacing w:after="120"/>
        <w:ind w:left="3402" w:right="1134" w:hanging="2268"/>
        <w:jc w:val="both"/>
      </w:pPr>
      <w:r w:rsidRPr="00B04DC3">
        <w:tab/>
        <w:t>q</w:t>
      </w:r>
      <w:r w:rsidRPr="00B04DC3">
        <w:rPr>
          <w:vertAlign w:val="subscript"/>
        </w:rPr>
        <w:t>ex</w:t>
      </w:r>
      <w:r w:rsidRPr="00B04DC3">
        <w:tab/>
        <w:t>=</w:t>
      </w:r>
      <w:r w:rsidRPr="00B04DC3">
        <w:tab/>
      </w:r>
      <w:r w:rsidR="002E6737">
        <w:t>particulate</w:t>
      </w:r>
      <w:r w:rsidRPr="00B04DC3">
        <w:t xml:space="preserve"> number sample mass flow rate, kg/s,</w:t>
      </w:r>
    </w:p>
    <w:p w:rsidR="00D247DE" w:rsidRPr="00B04DC3" w:rsidRDefault="00D247DE" w:rsidP="00D247DE">
      <w:pPr>
        <w:tabs>
          <w:tab w:val="left" w:pos="2842"/>
          <w:tab w:val="left" w:pos="3400"/>
          <w:tab w:val="left" w:pos="3990"/>
        </w:tabs>
        <w:spacing w:after="120"/>
        <w:ind w:left="3969" w:right="1134" w:hanging="2835"/>
        <w:jc w:val="both"/>
      </w:pPr>
      <w:r w:rsidRPr="00B04DC3">
        <w:tab/>
        <w:t>q</w:t>
      </w:r>
      <w:r w:rsidRPr="00B04DC3">
        <w:rPr>
          <w:vertAlign w:val="subscript"/>
        </w:rPr>
        <w:t>sw</w:t>
      </w:r>
      <w:r w:rsidRPr="00B04DC3">
        <w:tab/>
        <w:t>=</w:t>
      </w:r>
      <w:r w:rsidRPr="00B04DC3">
        <w:tab/>
        <w:t xml:space="preserve">mass flow rate fed back into dilution tunnel to compensate for </w:t>
      </w:r>
      <w:r w:rsidR="002E6737">
        <w:t>particulate</w:t>
      </w:r>
      <w:r w:rsidRPr="00B04DC3">
        <w:t xml:space="preserve"> number sample extraction, kg/s.</w:t>
      </w:r>
    </w:p>
    <w:p w:rsidR="00D247DE" w:rsidRPr="00B04DC3" w:rsidRDefault="00D247DE" w:rsidP="00D247DE">
      <w:pPr>
        <w:tabs>
          <w:tab w:val="left" w:pos="2300"/>
        </w:tabs>
        <w:spacing w:after="120"/>
        <w:ind w:left="2268" w:right="1134" w:hanging="1134"/>
        <w:jc w:val="both"/>
      </w:pPr>
      <w:r w:rsidRPr="00B04DC3">
        <w:tab/>
        <w:t>The difference between q</w:t>
      </w:r>
      <w:r w:rsidRPr="00B04DC3">
        <w:rPr>
          <w:vertAlign w:val="subscript"/>
        </w:rPr>
        <w:t>ex</w:t>
      </w:r>
      <w:r w:rsidRPr="00B04DC3">
        <w:t xml:space="preserve"> and q</w:t>
      </w:r>
      <w:r w:rsidRPr="00B04DC3">
        <w:rPr>
          <w:vertAlign w:val="subscript"/>
        </w:rPr>
        <w:t>sw</w:t>
      </w:r>
      <w:r w:rsidRPr="00B04DC3">
        <w:t xml:space="preserve"> sent to the partial flow system controller shall be accurate to within 0.1 per cent of q</w:t>
      </w:r>
      <w:r w:rsidRPr="00B04DC3">
        <w:rPr>
          <w:vertAlign w:val="subscript"/>
        </w:rPr>
        <w:t>mdew</w:t>
      </w:r>
      <w:r w:rsidRPr="00B04DC3">
        <w:t xml:space="preserve"> at all times. The signal (or signals) should be sent with frequency of at least 1 Hz.</w:t>
      </w:r>
    </w:p>
    <w:p w:rsidR="00D247DE" w:rsidRPr="00B04DC3" w:rsidRDefault="00D247DE" w:rsidP="00D247DE">
      <w:pPr>
        <w:spacing w:after="120"/>
        <w:ind w:left="2268" w:right="1134" w:hanging="1134"/>
        <w:jc w:val="both"/>
      </w:pPr>
      <w:r w:rsidRPr="00B04DC3">
        <w:t>4.2.3.</w:t>
      </w:r>
      <w:r w:rsidRPr="00B04DC3">
        <w:tab/>
        <w:t>Correction of PM measurement</w:t>
      </w:r>
    </w:p>
    <w:p w:rsidR="00D247DE" w:rsidRPr="00B04DC3" w:rsidRDefault="00D247DE" w:rsidP="00D247DE">
      <w:pPr>
        <w:tabs>
          <w:tab w:val="left" w:pos="2300"/>
        </w:tabs>
        <w:spacing w:after="120"/>
        <w:ind w:left="2268" w:right="1134" w:hanging="1134"/>
        <w:jc w:val="both"/>
      </w:pPr>
      <w:r w:rsidRPr="00B04DC3">
        <w:tab/>
        <w:t xml:space="preserve">When a </w:t>
      </w:r>
      <w:r w:rsidR="002E6737">
        <w:t>particulate</w:t>
      </w:r>
      <w:r w:rsidRPr="00B04DC3">
        <w:t xml:space="preserve"> number sample flow is extracted from a total sampling partial flow dilution system, the mass of particulates (m</w:t>
      </w:r>
      <w:r w:rsidRPr="00B04DC3">
        <w:rPr>
          <w:vertAlign w:val="subscript"/>
        </w:rPr>
        <w:t>PM</w:t>
      </w:r>
      <w:r w:rsidRPr="00B04DC3">
        <w:t>) calculated in Annex 4B, paragraph 8.4.3.2.1. or 8.4.3.2.2. shall be corrected as follows to account for the flow extracted. This correction is required even where filtered extracted flow is fed back into the partial flow dilution systems.</w:t>
      </w:r>
    </w:p>
    <w:p w:rsidR="00D247DE" w:rsidRPr="00B04DC3" w:rsidRDefault="00D247DE" w:rsidP="00D247DE">
      <w:pPr>
        <w:spacing w:after="120"/>
        <w:ind w:left="2268" w:right="1134" w:hanging="1134"/>
        <w:jc w:val="both"/>
      </w:pPr>
      <w:r w:rsidRPr="00B04DC3">
        <w:tab/>
      </w:r>
      <w:r w:rsidRPr="00B04DC3">
        <w:tab/>
      </w:r>
      <w:r w:rsidR="00A905B7">
        <w:rPr>
          <w:rFonts w:ascii="Arial" w:hAnsi="Arial" w:cs="Arial"/>
          <w:position w:val="-26"/>
        </w:rPr>
        <w:pict>
          <v:shape id="_x0000_i1335" type="#_x0000_t75" style="width:132pt;height:29.4pt">
            <v:imagedata r:id="rId494"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366"/>
        <w:jc w:val="both"/>
      </w:pPr>
      <w:r w:rsidRPr="00B04DC3">
        <w:tab/>
        <w:t>m</w:t>
      </w:r>
      <w:r w:rsidRPr="00B04DC3">
        <w:rPr>
          <w:vertAlign w:val="subscript"/>
        </w:rPr>
        <w:t>PM,corr</w:t>
      </w:r>
      <w:r w:rsidRPr="00B04DC3">
        <w:tab/>
        <w:t>=</w:t>
      </w:r>
      <w:r w:rsidRPr="00B04DC3">
        <w:tab/>
        <w:t xml:space="preserve">mass of particulates corrected for extraction of </w:t>
      </w:r>
      <w:r w:rsidR="002E6737">
        <w:t>particulate</w:t>
      </w:r>
      <w:r w:rsidRPr="00B04DC3">
        <w:t xml:space="preserve"> number sample flow, g/test,</w:t>
      </w:r>
    </w:p>
    <w:p w:rsidR="00D247DE" w:rsidRPr="00B04DC3" w:rsidRDefault="00D247DE" w:rsidP="00D247DE">
      <w:pPr>
        <w:tabs>
          <w:tab w:val="left" w:pos="2300"/>
          <w:tab w:val="left" w:pos="3300"/>
          <w:tab w:val="left" w:pos="3500"/>
        </w:tabs>
        <w:spacing w:after="120"/>
        <w:ind w:left="3500" w:right="1134" w:hanging="2366"/>
        <w:jc w:val="both"/>
      </w:pPr>
      <w:r w:rsidRPr="00B04DC3">
        <w:tab/>
        <w:t>m</w:t>
      </w:r>
      <w:r w:rsidRPr="00B04DC3">
        <w:rPr>
          <w:vertAlign w:val="subscript"/>
        </w:rPr>
        <w:t>PM</w:t>
      </w:r>
      <w:r w:rsidRPr="00B04DC3">
        <w:tab/>
        <w:t>=</w:t>
      </w:r>
      <w:r w:rsidRPr="00B04DC3">
        <w:tab/>
        <w:t>mass of particulates determined according to Annex 4B</w:t>
      </w:r>
      <w:r w:rsidR="008E3448">
        <w:t>,</w:t>
      </w:r>
      <w:r w:rsidRPr="00B04DC3">
        <w:t xml:space="preserve"> paragraph 8.4.3.2.1. or 8.4.3.2.2., g/test,</w:t>
      </w:r>
    </w:p>
    <w:p w:rsidR="00D247DE" w:rsidRPr="00B04DC3" w:rsidRDefault="00D247DE" w:rsidP="00D247DE">
      <w:pPr>
        <w:tabs>
          <w:tab w:val="left" w:pos="2300"/>
          <w:tab w:val="left" w:pos="3300"/>
          <w:tab w:val="left" w:pos="3500"/>
        </w:tabs>
        <w:spacing w:after="120"/>
        <w:ind w:left="3500" w:right="1134" w:hanging="2366"/>
        <w:jc w:val="both"/>
      </w:pPr>
      <w:r w:rsidRPr="00B04DC3">
        <w:tab/>
        <w:t>m</w:t>
      </w:r>
      <w:r w:rsidRPr="00B04DC3">
        <w:rPr>
          <w:vertAlign w:val="subscript"/>
        </w:rPr>
        <w:t>sed</w:t>
      </w:r>
      <w:r w:rsidRPr="00B04DC3">
        <w:tab/>
        <w:t>=</w:t>
      </w:r>
      <w:r w:rsidRPr="00B04DC3">
        <w:tab/>
        <w:t>total mass of diluted exhaust gas passing through the dilution tunnel, kg,</w:t>
      </w:r>
    </w:p>
    <w:p w:rsidR="00D247DE" w:rsidRPr="00B04DC3" w:rsidRDefault="00D247DE" w:rsidP="00D247DE">
      <w:pPr>
        <w:tabs>
          <w:tab w:val="left" w:pos="2300"/>
          <w:tab w:val="left" w:pos="3300"/>
          <w:tab w:val="left" w:pos="3500"/>
        </w:tabs>
        <w:spacing w:after="120"/>
        <w:ind w:left="3500" w:right="1134" w:hanging="2366"/>
        <w:jc w:val="both"/>
      </w:pPr>
      <w:r w:rsidRPr="00B04DC3">
        <w:tab/>
        <w:t>m</w:t>
      </w:r>
      <w:r w:rsidRPr="00B04DC3">
        <w:rPr>
          <w:vertAlign w:val="subscript"/>
        </w:rPr>
        <w:t>ex</w:t>
      </w:r>
      <w:r w:rsidRPr="00B04DC3">
        <w:tab/>
        <w:t>=</w:t>
      </w:r>
      <w:r w:rsidRPr="00B04DC3">
        <w:tab/>
        <w:t xml:space="preserve">total mass of diluted exhaust gas extracted from the dilution tunnel for </w:t>
      </w:r>
      <w:r w:rsidR="002E6737">
        <w:t>particulate</w:t>
      </w:r>
      <w:r w:rsidRPr="00B04DC3">
        <w:t xml:space="preserve"> number sampling, kg.</w:t>
      </w:r>
    </w:p>
    <w:p w:rsidR="00D247DE" w:rsidRPr="00B04DC3" w:rsidRDefault="00D247DE" w:rsidP="00D247DE">
      <w:pPr>
        <w:spacing w:after="120"/>
        <w:ind w:left="2268" w:right="1134" w:hanging="1134"/>
        <w:jc w:val="both"/>
      </w:pPr>
      <w:r w:rsidRPr="00B04DC3">
        <w:t>4.3.</w:t>
      </w:r>
      <w:r w:rsidRPr="00B04DC3">
        <w:tab/>
        <w:t>Proportionality of partial flow dilution sampling</w:t>
      </w:r>
    </w:p>
    <w:p w:rsidR="00D247DE" w:rsidRPr="00B04DC3" w:rsidRDefault="00D247DE" w:rsidP="00D247DE">
      <w:pPr>
        <w:spacing w:after="120"/>
        <w:ind w:left="2268" w:right="1134" w:hanging="1134"/>
        <w:jc w:val="both"/>
      </w:pPr>
      <w:r w:rsidRPr="00B04DC3">
        <w:t>4.3.1.</w:t>
      </w:r>
      <w:r w:rsidRPr="00B04DC3">
        <w:tab/>
        <w:t xml:space="preserve">For </w:t>
      </w:r>
      <w:r w:rsidR="002E6737">
        <w:t>particulate</w:t>
      </w:r>
      <w:r w:rsidRPr="00B04DC3">
        <w:t xml:space="preserve"> number measurement, exhaust mass flow rate, determined according to any of the methods described in Annex 4B, paragraphs 8.4.1.3. to 8.4.1.7., is used for controlling the partial flow dilution system to take a sample proportional to the exhaust mass flow rate. The quality of proportionality shall be checked by applying a regression analysis between sample and exhaust flow in accordance with Annex 4B, paragraph 9.4.6.1.</w:t>
      </w:r>
    </w:p>
    <w:p w:rsidR="00D247DE" w:rsidRPr="00B04DC3" w:rsidRDefault="00D247DE" w:rsidP="00D247DE">
      <w:pPr>
        <w:spacing w:after="120"/>
        <w:ind w:left="2268" w:right="1134" w:hanging="1134"/>
        <w:jc w:val="both"/>
      </w:pPr>
      <w:r w:rsidRPr="00B04DC3">
        <w:t>5.</w:t>
      </w:r>
      <w:r w:rsidRPr="00B04DC3">
        <w:tab/>
        <w:t xml:space="preserve">Determination of </w:t>
      </w:r>
      <w:r w:rsidR="002E6737">
        <w:t>particulate</w:t>
      </w:r>
      <w:r w:rsidRPr="00B04DC3">
        <w:t xml:space="preserve"> </w:t>
      </w:r>
      <w:r w:rsidR="007C2EE6">
        <w:t>n</w:t>
      </w:r>
      <w:r w:rsidRPr="00B04DC3">
        <w:t>umbers</w:t>
      </w:r>
    </w:p>
    <w:p w:rsidR="00D247DE" w:rsidRPr="00B04DC3" w:rsidRDefault="00D247DE" w:rsidP="00D247DE">
      <w:pPr>
        <w:spacing w:after="120"/>
        <w:ind w:left="2268" w:right="1134" w:hanging="1134"/>
        <w:jc w:val="both"/>
      </w:pPr>
      <w:r w:rsidRPr="00B04DC3">
        <w:t>5.1.</w:t>
      </w:r>
      <w:r w:rsidRPr="00B04DC3">
        <w:tab/>
        <w:t>Time alignment</w:t>
      </w:r>
    </w:p>
    <w:p w:rsidR="00D247DE" w:rsidRPr="00B04DC3" w:rsidRDefault="00D247DE" w:rsidP="00D247DE">
      <w:pPr>
        <w:spacing w:after="120"/>
        <w:ind w:left="2268" w:right="1134" w:hanging="1134"/>
        <w:jc w:val="both"/>
      </w:pPr>
      <w:r w:rsidRPr="00B04DC3">
        <w:tab/>
        <w:t xml:space="preserve">For partial flow dilution systems residence time in the </w:t>
      </w:r>
      <w:r w:rsidR="002E6737">
        <w:t>particulate</w:t>
      </w:r>
      <w:r w:rsidRPr="00B04DC3">
        <w:t xml:space="preserve"> number sampling and measurement system shall be accounted for by time aligning the </w:t>
      </w:r>
      <w:r w:rsidR="002E6737">
        <w:t>particulate</w:t>
      </w:r>
      <w:r w:rsidRPr="00B04DC3">
        <w:t xml:space="preserve"> number signal with the test cycle and the exhaust gas mass flow rate according to the procedures defined in Annex 4B</w:t>
      </w:r>
      <w:r w:rsidR="008E3448">
        <w:t>,</w:t>
      </w:r>
      <w:r w:rsidRPr="00B04DC3">
        <w:t xml:space="preserve"> paragraphs 3.1.30. and 8.4.2.2. The transformation time of the </w:t>
      </w:r>
      <w:r w:rsidR="002E6737">
        <w:t>particulate</w:t>
      </w:r>
      <w:r w:rsidRPr="00B04DC3">
        <w:t xml:space="preserve"> number sampling and measurement system shall be determined according to paragraph 1.3.</w:t>
      </w:r>
      <w:r w:rsidR="00D77E75" w:rsidRPr="00B04DC3">
        <w:t>7</w:t>
      </w:r>
      <w:r w:rsidRPr="00B04DC3">
        <w:t>. of Appendix 1 to this annex.</w:t>
      </w:r>
    </w:p>
    <w:p w:rsidR="00D247DE" w:rsidRPr="00B04DC3" w:rsidRDefault="00D247DE" w:rsidP="00D247DE">
      <w:pPr>
        <w:spacing w:after="120"/>
        <w:ind w:left="2268" w:right="1134" w:hanging="1134"/>
        <w:jc w:val="both"/>
      </w:pPr>
      <w:r w:rsidRPr="00B04DC3">
        <w:t>5.2.</w:t>
      </w:r>
      <w:r w:rsidRPr="00B04DC3">
        <w:tab/>
        <w:t xml:space="preserve">Determination of </w:t>
      </w:r>
      <w:r w:rsidR="002E6737">
        <w:t>particulate</w:t>
      </w:r>
      <w:r w:rsidRPr="00B04DC3">
        <w:t xml:space="preserve"> numbers with a partial flow dilution system</w:t>
      </w:r>
    </w:p>
    <w:p w:rsidR="00D247DE" w:rsidRPr="00B04DC3" w:rsidRDefault="00D247DE" w:rsidP="00D247DE">
      <w:pPr>
        <w:spacing w:after="120"/>
        <w:ind w:left="2268" w:right="1134" w:hanging="1134"/>
        <w:jc w:val="both"/>
      </w:pPr>
      <w:r w:rsidRPr="00B04DC3">
        <w:t>5.2.1.</w:t>
      </w:r>
      <w:r w:rsidRPr="00B04DC3">
        <w:tab/>
        <w:t xml:space="preserve">Where </w:t>
      </w:r>
      <w:r w:rsidR="002E6737">
        <w:t>particulate</w:t>
      </w:r>
      <w:r w:rsidRPr="00B04DC3">
        <w:t xml:space="preserve"> numbers are sampled using a partial flow dilution system according to the procedures set out in Annex 4B, paragraph 8.4., the number of </w:t>
      </w:r>
      <w:r w:rsidR="002E6737">
        <w:t>particulate</w:t>
      </w:r>
      <w:r w:rsidRPr="00B04DC3">
        <w:t>s emitted over the test cycle shall be calculated by means of the following equation:</w:t>
      </w:r>
    </w:p>
    <w:p w:rsidR="00D247DE" w:rsidRPr="00B04DC3" w:rsidRDefault="00D247DE" w:rsidP="00D247DE">
      <w:pPr>
        <w:spacing w:after="120"/>
        <w:ind w:left="2268" w:right="1134" w:hanging="1134"/>
        <w:jc w:val="both"/>
        <w:rPr>
          <w:b/>
        </w:rPr>
      </w:pPr>
      <w:r w:rsidRPr="00B04DC3">
        <w:tab/>
      </w:r>
      <w:r w:rsidRPr="00B04DC3">
        <w:tab/>
      </w:r>
      <w:r w:rsidR="00A905B7">
        <w:rPr>
          <w:color w:val="FF0000"/>
          <w:position w:val="-20"/>
          <w:szCs w:val="24"/>
        </w:rPr>
        <w:pict>
          <v:shape id="_x0000_i1336" type="#_x0000_t75" style="width:90pt;height:26.4pt" fillcolor="window">
            <v:imagedata r:id="rId495"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2842"/>
          <w:tab w:val="left" w:pos="3500"/>
          <w:tab w:val="left" w:pos="3990"/>
        </w:tabs>
        <w:spacing w:after="120"/>
        <w:ind w:left="3969" w:right="1134" w:hanging="2835"/>
        <w:jc w:val="both"/>
      </w:pPr>
      <w:r w:rsidRPr="00B04DC3">
        <w:tab/>
        <w:t>N</w:t>
      </w:r>
      <w:r w:rsidRPr="00B04DC3">
        <w:tab/>
        <w:t>=</w:t>
      </w:r>
      <w:r w:rsidRPr="00B04DC3">
        <w:tab/>
        <w:t xml:space="preserve">number of </w:t>
      </w:r>
      <w:r w:rsidR="002E6737">
        <w:t>particulate</w:t>
      </w:r>
      <w:r w:rsidRPr="00B04DC3">
        <w:t>s emitted over the test cycle,</w:t>
      </w:r>
    </w:p>
    <w:p w:rsidR="00D247DE" w:rsidRPr="00B04DC3" w:rsidRDefault="00D247DE" w:rsidP="00D247DE">
      <w:pPr>
        <w:tabs>
          <w:tab w:val="left" w:pos="2300"/>
          <w:tab w:val="left" w:pos="3300"/>
          <w:tab w:val="left" w:pos="3500"/>
        </w:tabs>
        <w:spacing w:after="120"/>
        <w:ind w:left="3500" w:right="1134" w:hanging="2366"/>
        <w:jc w:val="both"/>
      </w:pPr>
      <w:r w:rsidRPr="00B04DC3">
        <w:tab/>
        <w:t>m</w:t>
      </w:r>
      <w:r w:rsidRPr="00B04DC3">
        <w:rPr>
          <w:vertAlign w:val="subscript"/>
        </w:rPr>
        <w:t>edf</w:t>
      </w:r>
      <w:r w:rsidRPr="00B04DC3">
        <w:tab/>
        <w:t>=</w:t>
      </w:r>
      <w:r w:rsidRPr="00B04DC3">
        <w:tab/>
        <w:t>mass of equivalent diluted exhaust gas over the cycle, determined according to Annex 4B</w:t>
      </w:r>
      <w:r w:rsidR="008E3448">
        <w:t>,</w:t>
      </w:r>
      <w:r w:rsidRPr="00B04DC3">
        <w:t xml:space="preserve"> paragraph 8.4.3.2.2., kg/test,</w:t>
      </w:r>
    </w:p>
    <w:p w:rsidR="00D247DE" w:rsidRPr="00B04DC3" w:rsidRDefault="00D247DE" w:rsidP="00D247DE">
      <w:pPr>
        <w:tabs>
          <w:tab w:val="left" w:pos="2300"/>
          <w:tab w:val="left" w:pos="3300"/>
          <w:tab w:val="left" w:pos="3500"/>
        </w:tabs>
        <w:spacing w:after="120"/>
        <w:ind w:left="3500" w:right="1134" w:hanging="2366"/>
        <w:jc w:val="both"/>
      </w:pPr>
      <w:r w:rsidRPr="00B04DC3">
        <w:tab/>
        <w:t>k</w:t>
      </w:r>
      <w:r w:rsidRPr="00B04DC3">
        <w:tab/>
        <w:t>=</w:t>
      </w:r>
      <w:r w:rsidRPr="00B04DC3">
        <w:tab/>
        <w:t xml:space="preserve">calibration factor to correct the </w:t>
      </w:r>
      <w:r w:rsidR="002E6737">
        <w:t>particulate</w:t>
      </w:r>
      <w:r w:rsidRPr="00B04DC3">
        <w:t xml:space="preserve"> number counter measurements to the level of the reference instrument where this is not applied internally within the </w:t>
      </w:r>
      <w:r w:rsidR="002E6737">
        <w:t>particulate</w:t>
      </w:r>
      <w:r w:rsidRPr="00B04DC3">
        <w:t xml:space="preserve"> number counter. Where the calibration factor is applied internally within the </w:t>
      </w:r>
      <w:r w:rsidR="002E6737">
        <w:t>particulate</w:t>
      </w:r>
      <w:r w:rsidRPr="00B04DC3">
        <w:t xml:space="preserve"> number counter, a value of 1 shall be used for k in the above equation,</w:t>
      </w:r>
    </w:p>
    <w:p w:rsidR="00D247DE" w:rsidRPr="00B04DC3" w:rsidRDefault="00D247DE" w:rsidP="00D247DE">
      <w:pPr>
        <w:tabs>
          <w:tab w:val="left" w:pos="2300"/>
          <w:tab w:val="left" w:pos="3300"/>
          <w:tab w:val="left" w:pos="3500"/>
        </w:tabs>
        <w:spacing w:after="120"/>
        <w:ind w:left="3500" w:right="1134" w:hanging="2366"/>
        <w:jc w:val="both"/>
      </w:pPr>
      <w:r w:rsidRPr="00B04DC3">
        <w:tab/>
      </w:r>
      <w:r w:rsidR="00A905B7">
        <w:pict>
          <v:shape id="_x0000_i1337" type="#_x0000_t75" style="width:11.4pt;height:15.6pt" fillcolor="window">
            <v:imagedata r:id="rId496" o:title=""/>
          </v:shape>
        </w:pict>
      </w:r>
      <w:r w:rsidRPr="00B04DC3">
        <w:tab/>
        <w:t>=</w:t>
      </w:r>
      <w:r w:rsidRPr="00B04DC3">
        <w:tab/>
        <w:t xml:space="preserve">average concentration of </w:t>
      </w:r>
      <w:r w:rsidR="002E6737">
        <w:t>particulate</w:t>
      </w:r>
      <w:r w:rsidRPr="00B04DC3">
        <w:t xml:space="preserve">s from the diluted exhaust gas corrected to standard conditions (273.2 K and 101.33 kPa), </w:t>
      </w:r>
      <w:r w:rsidR="002E6737">
        <w:t>particulate</w:t>
      </w:r>
      <w:r w:rsidRPr="00B04DC3">
        <w:t>s per cubic centimetre,</w:t>
      </w:r>
    </w:p>
    <w:p w:rsidR="00D247DE" w:rsidRPr="00B04DC3" w:rsidRDefault="00D247DE" w:rsidP="00D247DE">
      <w:pPr>
        <w:tabs>
          <w:tab w:val="left" w:pos="2300"/>
          <w:tab w:val="left" w:pos="3300"/>
          <w:tab w:val="left" w:pos="3500"/>
        </w:tabs>
        <w:spacing w:after="120"/>
        <w:ind w:left="3500" w:right="1134" w:hanging="2366"/>
        <w:jc w:val="both"/>
      </w:pPr>
      <w:r w:rsidRPr="00B04DC3">
        <w:tab/>
      </w:r>
      <w:r w:rsidR="00A905B7">
        <w:pict>
          <v:shape id="_x0000_i1338" type="#_x0000_t75" style="width:11.4pt;height:17.4pt" fillcolor="window">
            <v:imagedata r:id="rId497" o:title=""/>
          </v:shape>
        </w:pict>
      </w:r>
      <w:r w:rsidRPr="00B04DC3">
        <w:tab/>
        <w:t>=</w:t>
      </w:r>
      <w:r w:rsidRPr="00B04DC3">
        <w:tab/>
        <w:t xml:space="preserve">mean </w:t>
      </w:r>
      <w:r w:rsidR="002E6737">
        <w:t>particulate</w:t>
      </w:r>
      <w:r w:rsidRPr="00B04DC3">
        <w:t xml:space="preserve"> concentration reduction factor of the volatile </w:t>
      </w:r>
      <w:r w:rsidR="002E6737">
        <w:t>particulate</w:t>
      </w:r>
      <w:r w:rsidRPr="00B04DC3">
        <w:t xml:space="preserve"> remover specific to the dilution settings used for the test.</w:t>
      </w:r>
    </w:p>
    <w:p w:rsidR="00D247DE" w:rsidRPr="00B04DC3" w:rsidRDefault="00D247DE" w:rsidP="00D247DE">
      <w:pPr>
        <w:tabs>
          <w:tab w:val="left" w:pos="2300"/>
          <w:tab w:val="left" w:pos="2842"/>
          <w:tab w:val="left" w:pos="3500"/>
          <w:tab w:val="left" w:pos="3990"/>
        </w:tabs>
        <w:spacing w:after="120"/>
        <w:ind w:left="3969" w:right="1134" w:hanging="2835"/>
        <w:jc w:val="both"/>
      </w:pPr>
      <w:r w:rsidRPr="00B04DC3">
        <w:tab/>
      </w:r>
      <w:r w:rsidR="00A905B7">
        <w:pict>
          <v:shape id="_x0000_i1339" type="#_x0000_t75" style="width:11.4pt;height:15.6pt" fillcolor="window">
            <v:imagedata r:id="rId498" o:title=""/>
          </v:shape>
        </w:pict>
      </w:r>
      <w:r w:rsidRPr="00B04DC3">
        <w:tab/>
      </w:r>
      <w:r w:rsidR="007C2EE6">
        <w:tab/>
      </w:r>
      <w:r w:rsidRPr="00B04DC3">
        <w:t>shall be calculated from the following equation:</w:t>
      </w:r>
    </w:p>
    <w:p w:rsidR="00D247DE" w:rsidRPr="00B04DC3" w:rsidRDefault="00D247DE" w:rsidP="00D247DE">
      <w:pPr>
        <w:spacing w:after="120"/>
        <w:ind w:left="2268" w:right="1134" w:hanging="1134"/>
        <w:jc w:val="both"/>
      </w:pPr>
      <w:r w:rsidRPr="00B04DC3">
        <w:tab/>
      </w:r>
      <w:r w:rsidRPr="00B04DC3">
        <w:tab/>
      </w:r>
      <w:r w:rsidR="00A905B7">
        <w:rPr>
          <w:color w:val="FF0000"/>
          <w:position w:val="-20"/>
          <w:szCs w:val="24"/>
        </w:rPr>
        <w:pict>
          <v:shape id="_x0000_i1340" type="#_x0000_t75" style="width:60pt;height:35.4pt" fillcolor="window">
            <v:imagedata r:id="rId499"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835"/>
        <w:jc w:val="both"/>
      </w:pPr>
      <w:r w:rsidRPr="00B04DC3">
        <w:tab/>
        <w:t>c</w:t>
      </w:r>
      <w:r w:rsidRPr="00B04DC3">
        <w:rPr>
          <w:vertAlign w:val="subscript"/>
        </w:rPr>
        <w:t>s,i</w:t>
      </w:r>
      <w:r w:rsidRPr="00B04DC3">
        <w:tab/>
        <w:t>=</w:t>
      </w:r>
      <w:r w:rsidRPr="00B04DC3">
        <w:tab/>
        <w:t xml:space="preserve">a discrete measurement of </w:t>
      </w:r>
      <w:r w:rsidR="002E6737">
        <w:t>particulate</w:t>
      </w:r>
      <w:r w:rsidRPr="00B04DC3">
        <w:t xml:space="preserve"> concentration in the diluted gas exhaust from the </w:t>
      </w:r>
      <w:r w:rsidR="002E6737">
        <w:t>particulate</w:t>
      </w:r>
      <w:r w:rsidRPr="00B04DC3">
        <w:t xml:space="preserve"> counter, corrected for coincidence and to standard conditions (273.2 K and 101.33 kPa), </w:t>
      </w:r>
      <w:r w:rsidR="002E6737">
        <w:t>particulate</w:t>
      </w:r>
      <w:r w:rsidRPr="00B04DC3">
        <w:t>s per cubic centimetre,</w:t>
      </w:r>
    </w:p>
    <w:p w:rsidR="00D247DE" w:rsidRPr="00B04DC3" w:rsidRDefault="00D247DE" w:rsidP="00D247DE">
      <w:pPr>
        <w:tabs>
          <w:tab w:val="left" w:pos="2300"/>
          <w:tab w:val="left" w:pos="3300"/>
          <w:tab w:val="left" w:pos="3500"/>
        </w:tabs>
        <w:spacing w:after="120"/>
        <w:ind w:left="3500" w:right="1134" w:hanging="2835"/>
        <w:jc w:val="both"/>
      </w:pPr>
      <w:r w:rsidRPr="00B04DC3">
        <w:tab/>
        <w:t>n</w:t>
      </w:r>
      <w:r w:rsidRPr="00B04DC3">
        <w:tab/>
        <w:t>=</w:t>
      </w:r>
      <w:r w:rsidRPr="00B04DC3">
        <w:tab/>
        <w:t xml:space="preserve">number of </w:t>
      </w:r>
      <w:r w:rsidR="002E6737">
        <w:t>particulate</w:t>
      </w:r>
      <w:r w:rsidRPr="00B04DC3">
        <w:t xml:space="preserve"> concentration measurements taken over the duration of the test.</w:t>
      </w:r>
    </w:p>
    <w:p w:rsidR="00D247DE" w:rsidRPr="00B04DC3" w:rsidRDefault="00D247DE" w:rsidP="00D247DE">
      <w:pPr>
        <w:spacing w:after="120"/>
        <w:ind w:left="2268" w:right="1134" w:hanging="1134"/>
        <w:jc w:val="both"/>
      </w:pPr>
      <w:r w:rsidRPr="00B04DC3">
        <w:t>5.3.</w:t>
      </w:r>
      <w:r w:rsidRPr="00B04DC3">
        <w:tab/>
        <w:t xml:space="preserve">Determination of </w:t>
      </w:r>
      <w:r w:rsidR="002E6737">
        <w:t>particulate</w:t>
      </w:r>
      <w:r w:rsidRPr="00B04DC3">
        <w:t xml:space="preserve"> numbers with a full flow dilution system</w:t>
      </w:r>
    </w:p>
    <w:p w:rsidR="00D247DE" w:rsidRPr="00B04DC3" w:rsidRDefault="00D247DE" w:rsidP="00D247DE">
      <w:pPr>
        <w:spacing w:after="120"/>
        <w:ind w:left="2268" w:right="1134" w:hanging="1134"/>
        <w:jc w:val="both"/>
      </w:pPr>
      <w:r w:rsidRPr="00B04DC3">
        <w:t>5.3.1.</w:t>
      </w:r>
      <w:r w:rsidRPr="00B04DC3">
        <w:tab/>
        <w:t xml:space="preserve">Where </w:t>
      </w:r>
      <w:r w:rsidR="002E6737">
        <w:t>particulate</w:t>
      </w:r>
      <w:r w:rsidRPr="00B04DC3">
        <w:t xml:space="preserve"> numbers are sampled using a full flow dilution system according to the procedures set out in Annex 4B, paragraph 8.5., the number of </w:t>
      </w:r>
      <w:r w:rsidR="002E6737">
        <w:t>particulate</w:t>
      </w:r>
      <w:r w:rsidRPr="00B04DC3">
        <w:t>s emitted over the test cycle shall be calculated by means of the following equation:</w:t>
      </w:r>
    </w:p>
    <w:p w:rsidR="00D247DE" w:rsidRPr="00B04DC3" w:rsidRDefault="00D247DE" w:rsidP="00D247DE">
      <w:pPr>
        <w:spacing w:after="120"/>
        <w:ind w:left="2268" w:right="1134" w:hanging="1134"/>
        <w:jc w:val="both"/>
      </w:pPr>
      <w:r w:rsidRPr="00B04DC3">
        <w:tab/>
      </w:r>
      <w:r w:rsidRPr="00B04DC3">
        <w:tab/>
      </w:r>
      <w:r w:rsidR="00A905B7">
        <w:rPr>
          <w:color w:val="FF0000"/>
          <w:position w:val="-20"/>
          <w:szCs w:val="24"/>
        </w:rPr>
        <w:pict>
          <v:shape id="_x0000_i1341" type="#_x0000_t75" style="width:90pt;height:26.4pt" fillcolor="window">
            <v:imagedata r:id="rId500"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835"/>
        <w:jc w:val="both"/>
      </w:pPr>
      <w:r w:rsidRPr="00B04DC3">
        <w:tab/>
        <w:t>N</w:t>
      </w:r>
      <w:r w:rsidRPr="00B04DC3">
        <w:tab/>
        <w:t>=</w:t>
      </w:r>
      <w:r w:rsidRPr="00B04DC3">
        <w:tab/>
        <w:t xml:space="preserve">number of </w:t>
      </w:r>
      <w:r w:rsidR="002E6737">
        <w:t>particulate</w:t>
      </w:r>
      <w:r w:rsidRPr="00B04DC3">
        <w:t>s emitted over the test cycle,</w:t>
      </w:r>
    </w:p>
    <w:p w:rsidR="00D247DE" w:rsidRPr="00B04DC3" w:rsidRDefault="00D247DE" w:rsidP="00D247DE">
      <w:pPr>
        <w:tabs>
          <w:tab w:val="left" w:pos="2300"/>
          <w:tab w:val="left" w:pos="3300"/>
          <w:tab w:val="left" w:pos="3500"/>
        </w:tabs>
        <w:spacing w:after="120"/>
        <w:ind w:left="3500" w:right="1134" w:hanging="2835"/>
        <w:jc w:val="both"/>
      </w:pPr>
      <w:r w:rsidRPr="00B04DC3">
        <w:tab/>
        <w:t>m</w:t>
      </w:r>
      <w:r w:rsidRPr="00B04DC3">
        <w:rPr>
          <w:vertAlign w:val="subscript"/>
        </w:rPr>
        <w:t>ed</w:t>
      </w:r>
      <w:r w:rsidRPr="00B04DC3">
        <w:tab/>
        <w:t>=</w:t>
      </w:r>
      <w:r w:rsidRPr="00B04DC3">
        <w:tab/>
        <w:t>total diluted exhaust gas flow over the cycle calculated according to any one of the methods described in Annex 4B, paragraphs 8.5.1.2. to 8.5.1.4., kg/test,</w:t>
      </w:r>
    </w:p>
    <w:p w:rsidR="00D247DE" w:rsidRPr="00B04DC3" w:rsidRDefault="00D247DE" w:rsidP="00665E2D">
      <w:pPr>
        <w:keepNext/>
        <w:keepLines/>
        <w:tabs>
          <w:tab w:val="left" w:pos="2300"/>
          <w:tab w:val="left" w:pos="3300"/>
          <w:tab w:val="left" w:pos="3500"/>
        </w:tabs>
        <w:spacing w:after="120"/>
        <w:ind w:left="3498" w:right="1134" w:hanging="2835"/>
        <w:jc w:val="both"/>
      </w:pPr>
      <w:r w:rsidRPr="00B04DC3">
        <w:tab/>
        <w:t>k</w:t>
      </w:r>
      <w:r w:rsidRPr="00B04DC3">
        <w:tab/>
        <w:t>=</w:t>
      </w:r>
      <w:r w:rsidRPr="00B04DC3">
        <w:tab/>
        <w:t xml:space="preserve">calibration factor to correct the </w:t>
      </w:r>
      <w:r w:rsidR="002E6737">
        <w:t>particulate</w:t>
      </w:r>
      <w:r w:rsidRPr="00B04DC3">
        <w:t xml:space="preserve"> number counter measurements to the level of the reference instrument where this is not applied internally within the </w:t>
      </w:r>
      <w:r w:rsidR="002E6737">
        <w:t>particulate</w:t>
      </w:r>
      <w:r w:rsidRPr="00B04DC3">
        <w:t xml:space="preserve"> number counter. Where the calibration factor is applied internally within the </w:t>
      </w:r>
      <w:r w:rsidR="002E6737">
        <w:t>particulate</w:t>
      </w:r>
      <w:r w:rsidRPr="00B04DC3">
        <w:t xml:space="preserve"> number counter, a value of 1 shall be used for k in the above equation,</w:t>
      </w:r>
    </w:p>
    <w:p w:rsidR="00D247DE" w:rsidRPr="00B04DC3" w:rsidRDefault="00D247DE" w:rsidP="00D247DE">
      <w:pPr>
        <w:tabs>
          <w:tab w:val="left" w:pos="2300"/>
          <w:tab w:val="left" w:pos="3300"/>
          <w:tab w:val="left" w:pos="3500"/>
        </w:tabs>
        <w:spacing w:after="120"/>
        <w:ind w:left="3500" w:right="1134" w:hanging="2835"/>
        <w:jc w:val="both"/>
      </w:pPr>
      <w:r w:rsidRPr="00B04DC3">
        <w:tab/>
      </w:r>
      <w:r w:rsidR="00A905B7">
        <w:rPr>
          <w:bCs/>
          <w:color w:val="FF0000"/>
          <w:position w:val="-10"/>
          <w:szCs w:val="24"/>
        </w:rPr>
        <w:pict>
          <v:shape id="_x0000_i1342" type="#_x0000_t75" style="width:11.4pt;height:15.6pt" fillcolor="window">
            <v:imagedata r:id="rId501" o:title=""/>
          </v:shape>
        </w:pict>
      </w:r>
      <w:r w:rsidRPr="00B04DC3">
        <w:rPr>
          <w:bCs/>
          <w:color w:val="FF0000"/>
          <w:szCs w:val="24"/>
        </w:rPr>
        <w:tab/>
      </w:r>
      <w:r w:rsidRPr="00B04DC3">
        <w:t>=</w:t>
      </w:r>
      <w:r w:rsidRPr="00B04DC3">
        <w:tab/>
        <w:t xml:space="preserve">average corrected concentration of </w:t>
      </w:r>
      <w:r w:rsidR="002E6737">
        <w:t>particulate</w:t>
      </w:r>
      <w:r w:rsidRPr="00B04DC3">
        <w:t xml:space="preserve">s from the diluted exhaust gas corrected to standard conditions (273.2 K and 101.33 kPa), </w:t>
      </w:r>
      <w:r w:rsidR="002E6737">
        <w:t>particulate</w:t>
      </w:r>
      <w:r w:rsidRPr="00B04DC3">
        <w:t>s per cubic centimetre,</w:t>
      </w:r>
    </w:p>
    <w:p w:rsidR="00D247DE" w:rsidRPr="00B04DC3" w:rsidRDefault="00D247DE" w:rsidP="00D247DE">
      <w:pPr>
        <w:tabs>
          <w:tab w:val="left" w:pos="2300"/>
          <w:tab w:val="left" w:pos="3300"/>
          <w:tab w:val="left" w:pos="3500"/>
        </w:tabs>
        <w:spacing w:after="120"/>
        <w:ind w:left="3500" w:right="1134" w:hanging="2835"/>
        <w:jc w:val="both"/>
      </w:pPr>
      <w:r w:rsidRPr="00B04DC3">
        <w:tab/>
      </w:r>
      <w:r w:rsidR="00A905B7">
        <w:rPr>
          <w:color w:val="FF0000"/>
          <w:position w:val="-10"/>
          <w:szCs w:val="24"/>
        </w:rPr>
        <w:pict>
          <v:shape id="_x0000_i1343" type="#_x0000_t75" style="width:11.4pt;height:17.4pt" fillcolor="window">
            <v:imagedata r:id="rId502" o:title=""/>
          </v:shape>
        </w:pict>
      </w:r>
      <w:r w:rsidRPr="00B04DC3">
        <w:rPr>
          <w:color w:val="FF0000"/>
          <w:szCs w:val="24"/>
        </w:rPr>
        <w:tab/>
      </w:r>
      <w:r w:rsidRPr="00B04DC3">
        <w:t>=</w:t>
      </w:r>
      <w:r w:rsidRPr="00B04DC3">
        <w:tab/>
        <w:t xml:space="preserve">mean </w:t>
      </w:r>
      <w:r w:rsidR="002E6737">
        <w:t>particulate</w:t>
      </w:r>
      <w:r w:rsidRPr="00B04DC3">
        <w:t xml:space="preserve"> concentration reduction factor of the volatile </w:t>
      </w:r>
      <w:r w:rsidR="002E6737">
        <w:t>particulate</w:t>
      </w:r>
      <w:r w:rsidRPr="00B04DC3">
        <w:t xml:space="preserve"> remover specific to the dilution settings used for the test.</w:t>
      </w:r>
    </w:p>
    <w:p w:rsidR="00D247DE" w:rsidRPr="00B04DC3" w:rsidRDefault="00D247DE" w:rsidP="00D247DE">
      <w:pPr>
        <w:spacing w:after="120"/>
        <w:ind w:left="2268" w:right="1134" w:hanging="1134"/>
        <w:jc w:val="both"/>
      </w:pPr>
      <w:r w:rsidRPr="00B04DC3">
        <w:tab/>
      </w:r>
      <w:r w:rsidRPr="00B04DC3">
        <w:tab/>
      </w:r>
      <w:r w:rsidR="00A905B7">
        <w:rPr>
          <w:color w:val="FF0000"/>
          <w:position w:val="-10"/>
          <w:szCs w:val="24"/>
        </w:rPr>
        <w:pict>
          <v:shape id="_x0000_i1344" type="#_x0000_t75" style="width:11.4pt;height:15.6pt" fillcolor="window">
            <v:imagedata r:id="rId503" o:title=""/>
          </v:shape>
        </w:pict>
      </w:r>
      <w:r w:rsidRPr="00B04DC3">
        <w:rPr>
          <w:color w:val="FF0000"/>
          <w:szCs w:val="24"/>
        </w:rPr>
        <w:tab/>
      </w:r>
      <w:r w:rsidR="007C2EE6">
        <w:rPr>
          <w:color w:val="FF0000"/>
          <w:szCs w:val="24"/>
        </w:rPr>
        <w:tab/>
      </w:r>
      <w:r w:rsidRPr="00B04DC3">
        <w:t>shall be calculated from the following equation:</w:t>
      </w:r>
    </w:p>
    <w:p w:rsidR="00D247DE" w:rsidRPr="00B04DC3" w:rsidRDefault="00D247DE" w:rsidP="00D247DE">
      <w:pPr>
        <w:spacing w:after="120"/>
        <w:ind w:left="2268" w:right="1134" w:hanging="1134"/>
        <w:jc w:val="both"/>
      </w:pPr>
      <w:r w:rsidRPr="00B04DC3">
        <w:tab/>
      </w:r>
      <w:r w:rsidRPr="00B04DC3">
        <w:tab/>
      </w:r>
      <w:r w:rsidR="00A905B7">
        <w:rPr>
          <w:color w:val="FF0000"/>
          <w:position w:val="-20"/>
          <w:szCs w:val="24"/>
        </w:rPr>
        <w:pict>
          <v:shape id="_x0000_i1345" type="#_x0000_t75" style="width:56.4pt;height:35.4pt" fillcolor="window">
            <v:imagedata r:id="rId504" o:title=""/>
          </v:shape>
        </w:pict>
      </w:r>
    </w:p>
    <w:p w:rsidR="00D247DE" w:rsidRPr="00B04DC3" w:rsidRDefault="00D247DE" w:rsidP="00D247DE">
      <w:pPr>
        <w:spacing w:after="120"/>
        <w:ind w:left="2268" w:right="1134" w:hanging="1134"/>
        <w:jc w:val="both"/>
      </w:pPr>
      <w:r w:rsidRPr="00B04DC3">
        <w:tab/>
      </w: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835"/>
        <w:jc w:val="both"/>
      </w:pPr>
      <w:r w:rsidRPr="00B04DC3">
        <w:tab/>
        <w:t>c</w:t>
      </w:r>
      <w:r w:rsidRPr="00B04DC3">
        <w:rPr>
          <w:vertAlign w:val="subscript"/>
        </w:rPr>
        <w:t>s,i</w:t>
      </w:r>
      <w:r w:rsidRPr="00B04DC3">
        <w:tab/>
        <w:t>=</w:t>
      </w:r>
      <w:r w:rsidRPr="00B04DC3">
        <w:tab/>
        <w:t xml:space="preserve">a discrete measurement of </w:t>
      </w:r>
      <w:r w:rsidR="002E6737">
        <w:t>particulate</w:t>
      </w:r>
      <w:r w:rsidRPr="00B04DC3">
        <w:t xml:space="preserve"> concentration in the diluted gas exhaust from the </w:t>
      </w:r>
      <w:r w:rsidR="002E6737">
        <w:t>particulate</w:t>
      </w:r>
      <w:r w:rsidRPr="00B04DC3">
        <w:t xml:space="preserve"> counter, corrected for coincidence and to standard conditions (273.2 K and 101.33 kPa), </w:t>
      </w:r>
      <w:r w:rsidR="002E6737">
        <w:t>particulate</w:t>
      </w:r>
      <w:r w:rsidRPr="00B04DC3">
        <w:t>s per cubic centimetre,</w:t>
      </w:r>
    </w:p>
    <w:p w:rsidR="00D247DE" w:rsidRPr="00B04DC3" w:rsidRDefault="00D247DE" w:rsidP="00D247DE">
      <w:pPr>
        <w:tabs>
          <w:tab w:val="left" w:pos="2300"/>
          <w:tab w:val="left" w:pos="3300"/>
          <w:tab w:val="left" w:pos="3500"/>
        </w:tabs>
        <w:spacing w:after="120"/>
        <w:ind w:left="3500" w:right="1134" w:hanging="2835"/>
        <w:jc w:val="both"/>
      </w:pPr>
      <w:r w:rsidRPr="00B04DC3">
        <w:tab/>
        <w:t>n</w:t>
      </w:r>
      <w:r w:rsidRPr="00B04DC3">
        <w:tab/>
        <w:t>=</w:t>
      </w:r>
      <w:r w:rsidRPr="00B04DC3">
        <w:tab/>
        <w:t xml:space="preserve">number of </w:t>
      </w:r>
      <w:r w:rsidR="002E6737">
        <w:t>particulate</w:t>
      </w:r>
      <w:r w:rsidRPr="00B04DC3">
        <w:t xml:space="preserve"> concentration measurements taken over the duration of the test.</w:t>
      </w:r>
    </w:p>
    <w:p w:rsidR="00D247DE" w:rsidRPr="00B04DC3" w:rsidRDefault="00D247DE" w:rsidP="00D247DE">
      <w:pPr>
        <w:spacing w:after="120"/>
        <w:ind w:left="2268" w:right="1134" w:hanging="1134"/>
        <w:jc w:val="both"/>
      </w:pPr>
      <w:r w:rsidRPr="00B04DC3">
        <w:t>5.4.</w:t>
      </w:r>
      <w:r w:rsidRPr="00B04DC3">
        <w:tab/>
        <w:t>Test result</w:t>
      </w:r>
    </w:p>
    <w:p w:rsidR="00D247DE" w:rsidRPr="00B04DC3" w:rsidRDefault="00D247DE" w:rsidP="00D247DE">
      <w:pPr>
        <w:spacing w:after="120"/>
        <w:ind w:left="2268" w:right="1134" w:hanging="1134"/>
        <w:jc w:val="both"/>
      </w:pPr>
      <w:r w:rsidRPr="00B04DC3">
        <w:t>5.4.1.</w:t>
      </w:r>
      <w:r w:rsidRPr="00B04DC3">
        <w:tab/>
        <w:t xml:space="preserve">For each individual WHSC, hot WHTC and cold WHTC the specific emissions in number of </w:t>
      </w:r>
      <w:r w:rsidR="002E6737">
        <w:t>particulate</w:t>
      </w:r>
      <w:r w:rsidRPr="00B04DC3">
        <w:t>s/kWh shall be calculated as follows:</w:t>
      </w:r>
    </w:p>
    <w:p w:rsidR="00D247DE" w:rsidRPr="00B04DC3" w:rsidRDefault="00D247DE" w:rsidP="00D247DE">
      <w:pPr>
        <w:tabs>
          <w:tab w:val="left" w:pos="2300"/>
          <w:tab w:val="left" w:pos="3300"/>
          <w:tab w:val="left" w:pos="3500"/>
        </w:tabs>
        <w:spacing w:after="120"/>
        <w:ind w:left="3500" w:right="1134" w:hanging="2835"/>
        <w:jc w:val="both"/>
      </w:pPr>
      <w:r w:rsidRPr="00B04DC3">
        <w:tab/>
      </w:r>
      <w:r w:rsidR="00A905B7">
        <w:rPr>
          <w:color w:val="FF0000"/>
          <w:position w:val="-26"/>
          <w:szCs w:val="24"/>
        </w:rPr>
        <w:pict>
          <v:shape id="_x0000_i1346" type="#_x0000_t75" style="width:39.6pt;height:30pt">
            <v:imagedata r:id="rId505"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835"/>
        <w:jc w:val="both"/>
      </w:pPr>
      <w:r w:rsidRPr="00B04DC3">
        <w:tab/>
        <w:t>e</w:t>
      </w:r>
      <w:r w:rsidRPr="00B04DC3">
        <w:rPr>
          <w:color w:val="FF0000"/>
          <w:szCs w:val="24"/>
        </w:rPr>
        <w:tab/>
      </w:r>
      <w:r w:rsidRPr="00B04DC3">
        <w:t>=</w:t>
      </w:r>
      <w:r w:rsidRPr="00B04DC3">
        <w:tab/>
        <w:t xml:space="preserve">is the number of </w:t>
      </w:r>
      <w:r w:rsidR="002E6737">
        <w:t>particulate</w:t>
      </w:r>
      <w:r w:rsidRPr="00B04DC3">
        <w:t>s emitted per kWh,</w:t>
      </w:r>
    </w:p>
    <w:p w:rsidR="00D247DE" w:rsidRPr="00B04DC3" w:rsidRDefault="00D247DE" w:rsidP="00D247DE">
      <w:pPr>
        <w:tabs>
          <w:tab w:val="left" w:pos="2300"/>
          <w:tab w:val="left" w:pos="3300"/>
          <w:tab w:val="left" w:pos="3500"/>
        </w:tabs>
        <w:spacing w:after="120"/>
        <w:ind w:left="3500" w:right="1134" w:hanging="2835"/>
        <w:jc w:val="both"/>
      </w:pPr>
      <w:r w:rsidRPr="00B04DC3">
        <w:tab/>
      </w:r>
      <w:r w:rsidR="00A905B7">
        <w:rPr>
          <w:color w:val="FF0000"/>
          <w:position w:val="-10"/>
          <w:szCs w:val="24"/>
        </w:rPr>
        <w:pict>
          <v:shape id="_x0000_i1347" type="#_x0000_t75" style="width:21.6pt;height:15.6pt">
            <v:imagedata r:id="rId506" o:title=""/>
          </v:shape>
        </w:pict>
      </w:r>
      <w:r w:rsidRPr="00B04DC3">
        <w:rPr>
          <w:color w:val="FF0000"/>
          <w:szCs w:val="24"/>
        </w:rPr>
        <w:tab/>
      </w:r>
      <w:r w:rsidRPr="00B04DC3">
        <w:t>=</w:t>
      </w:r>
      <w:r w:rsidRPr="00B04DC3">
        <w:tab/>
        <w:t>is the actual cycle work according to Annex 4B, paragraph 7.8.6., in kWh.</w:t>
      </w:r>
    </w:p>
    <w:p w:rsidR="00D247DE" w:rsidRPr="00B04DC3" w:rsidRDefault="00D247DE" w:rsidP="00D247DE">
      <w:pPr>
        <w:spacing w:after="120" w:line="240" w:lineRule="auto"/>
        <w:ind w:left="2268" w:right="1134" w:hanging="1134"/>
        <w:jc w:val="both"/>
      </w:pPr>
      <w:r w:rsidRPr="00B04DC3">
        <w:t>5.4.2.</w:t>
      </w:r>
      <w:r w:rsidRPr="00B04DC3">
        <w:tab/>
        <w:t>Exhaust after-treatment systems with periodic regeneration</w:t>
      </w:r>
    </w:p>
    <w:p w:rsidR="00D247DE" w:rsidRPr="00B04DC3" w:rsidRDefault="00D247DE" w:rsidP="00D247DE">
      <w:pPr>
        <w:spacing w:after="120"/>
        <w:ind w:left="2268" w:right="1134" w:hanging="1134"/>
        <w:jc w:val="both"/>
      </w:pPr>
      <w:r w:rsidRPr="00B04DC3">
        <w:tab/>
        <w:t xml:space="preserve">For engines equipped with periodically regenerating </w:t>
      </w:r>
      <w:r w:rsidR="006A75A0">
        <w:t>after-treatment</w:t>
      </w:r>
      <w:r w:rsidRPr="00B04DC3">
        <w:t xml:space="preserve"> systems the WHTC hot start emissions shall be weighted as follows:</w:t>
      </w:r>
    </w:p>
    <w:p w:rsidR="00D247DE" w:rsidRPr="00B04DC3" w:rsidRDefault="00D247DE" w:rsidP="00D247DE">
      <w:pPr>
        <w:spacing w:after="120"/>
        <w:ind w:left="2268" w:right="1134" w:hanging="1134"/>
        <w:jc w:val="both"/>
      </w:pPr>
      <w:r w:rsidRPr="00B04DC3">
        <w:tab/>
      </w:r>
      <w:r w:rsidRPr="00B04DC3">
        <w:tab/>
      </w:r>
      <w:r w:rsidR="00A905B7">
        <w:rPr>
          <w:position w:val="-26"/>
        </w:rPr>
        <w:pict>
          <v:shape id="_x0000_i1348" type="#_x0000_t75" style="width:81.6pt;height:32.4pt">
            <v:imagedata r:id="rId507" o:title=""/>
          </v:shape>
        </w:pict>
      </w:r>
    </w:p>
    <w:p w:rsidR="00D247DE" w:rsidRPr="00B04DC3" w:rsidRDefault="00D247DE" w:rsidP="00D247DE">
      <w:pPr>
        <w:spacing w:after="120"/>
        <w:ind w:left="2268" w:right="1134" w:hanging="1134"/>
        <w:jc w:val="both"/>
      </w:pPr>
      <w:r w:rsidRPr="00B04DC3">
        <w:tab/>
      </w:r>
      <w:r w:rsidR="007C2EE6" w:rsidRPr="00B04DC3">
        <w:t>Where</w:t>
      </w:r>
      <w:r w:rsidRPr="00B04DC3">
        <w:t>:</w:t>
      </w:r>
    </w:p>
    <w:p w:rsidR="00D247DE" w:rsidRPr="00B04DC3" w:rsidRDefault="00D247DE" w:rsidP="00D247DE">
      <w:pPr>
        <w:tabs>
          <w:tab w:val="left" w:pos="2300"/>
          <w:tab w:val="left" w:pos="3300"/>
          <w:tab w:val="left" w:pos="3500"/>
        </w:tabs>
        <w:spacing w:after="120"/>
        <w:ind w:left="3500" w:right="1134" w:hanging="2835"/>
        <w:jc w:val="both"/>
      </w:pPr>
      <w:r w:rsidRPr="00B04DC3">
        <w:tab/>
        <w:t>e</w:t>
      </w:r>
      <w:r w:rsidRPr="00B04DC3">
        <w:rPr>
          <w:vertAlign w:val="subscript"/>
        </w:rPr>
        <w:t>w</w:t>
      </w:r>
      <w:r w:rsidRPr="00B04DC3">
        <w:tab/>
        <w:t>=</w:t>
      </w:r>
      <w:r w:rsidRPr="00B04DC3">
        <w:tab/>
        <w:t xml:space="preserve">is the weighted average hot start WHTC specific emission, number of </w:t>
      </w:r>
      <w:r w:rsidR="002E6737">
        <w:t>particulate</w:t>
      </w:r>
      <w:r w:rsidRPr="00B04DC3">
        <w:t>s/kWh,</w:t>
      </w:r>
    </w:p>
    <w:p w:rsidR="00D247DE" w:rsidRPr="00B04DC3" w:rsidRDefault="00D247DE" w:rsidP="00D247DE">
      <w:pPr>
        <w:tabs>
          <w:tab w:val="left" w:pos="2300"/>
          <w:tab w:val="left" w:pos="3300"/>
          <w:tab w:val="left" w:pos="3500"/>
        </w:tabs>
        <w:spacing w:after="120"/>
        <w:ind w:left="3500" w:right="1134" w:hanging="2835"/>
        <w:jc w:val="both"/>
      </w:pPr>
      <w:r w:rsidRPr="00B04DC3">
        <w:tab/>
        <w:t>n</w:t>
      </w:r>
      <w:r w:rsidRPr="00B04DC3">
        <w:tab/>
        <w:t>=</w:t>
      </w:r>
      <w:r w:rsidRPr="00B04DC3">
        <w:tab/>
        <w:t>is the</w:t>
      </w:r>
      <w:r w:rsidRPr="00B04DC3">
        <w:tab/>
        <w:t>number of WHTC hot start tests without regeneration,</w:t>
      </w:r>
    </w:p>
    <w:p w:rsidR="00D247DE" w:rsidRPr="00B04DC3" w:rsidRDefault="00D247DE" w:rsidP="00D247DE">
      <w:pPr>
        <w:tabs>
          <w:tab w:val="left" w:pos="2300"/>
          <w:tab w:val="left" w:pos="3300"/>
          <w:tab w:val="left" w:pos="3500"/>
        </w:tabs>
        <w:spacing w:after="120"/>
        <w:ind w:left="3500" w:right="1134" w:hanging="2835"/>
        <w:jc w:val="both"/>
      </w:pPr>
      <w:r w:rsidRPr="00B04DC3">
        <w:tab/>
        <w:t>n</w:t>
      </w:r>
      <w:r w:rsidRPr="00B04DC3">
        <w:rPr>
          <w:vertAlign w:val="subscript"/>
        </w:rPr>
        <w:t>r</w:t>
      </w:r>
      <w:r w:rsidRPr="00B04DC3">
        <w:tab/>
        <w:t>=</w:t>
      </w:r>
      <w:r w:rsidRPr="00B04DC3">
        <w:tab/>
        <w:t>is the number of WHTC hot start tests with regeneration (minimum one test),</w:t>
      </w:r>
    </w:p>
    <w:p w:rsidR="00D247DE" w:rsidRPr="00B04DC3" w:rsidRDefault="00D247DE" w:rsidP="00D247DE">
      <w:pPr>
        <w:tabs>
          <w:tab w:val="left" w:pos="2300"/>
          <w:tab w:val="left" w:pos="3300"/>
          <w:tab w:val="left" w:pos="3500"/>
        </w:tabs>
        <w:spacing w:after="120"/>
        <w:ind w:left="3500" w:right="1134" w:hanging="2835"/>
        <w:jc w:val="both"/>
      </w:pPr>
      <w:r w:rsidRPr="00B04DC3">
        <w:tab/>
      </w:r>
      <w:r w:rsidR="00A905B7">
        <w:rPr>
          <w:position w:val="-6"/>
        </w:rPr>
        <w:pict>
          <v:shape id="_x0000_i1349" type="#_x0000_t75" style="width:8.4pt;height:15.6pt">
            <v:imagedata r:id="rId508" o:title=""/>
          </v:shape>
        </w:pict>
      </w:r>
      <w:r w:rsidRPr="00B04DC3">
        <w:tab/>
        <w:t>=</w:t>
      </w:r>
      <w:r w:rsidRPr="00B04DC3">
        <w:tab/>
        <w:t xml:space="preserve">is the average specific emission without regeneration, number of </w:t>
      </w:r>
      <w:r w:rsidR="002E6737">
        <w:t>particulate</w:t>
      </w:r>
      <w:r w:rsidRPr="00B04DC3">
        <w:t>s/kWh,</w:t>
      </w:r>
    </w:p>
    <w:p w:rsidR="00F90D0E" w:rsidRPr="00B04DC3" w:rsidRDefault="00D247DE" w:rsidP="00F90D0E">
      <w:pPr>
        <w:tabs>
          <w:tab w:val="left" w:pos="2300"/>
          <w:tab w:val="left" w:pos="3300"/>
          <w:tab w:val="left" w:pos="3500"/>
        </w:tabs>
        <w:spacing w:after="120"/>
        <w:ind w:left="3500" w:right="1134" w:hanging="2835"/>
        <w:jc w:val="both"/>
      </w:pPr>
      <w:r w:rsidRPr="00B04DC3">
        <w:tab/>
      </w:r>
      <w:r w:rsidR="00A905B7">
        <w:rPr>
          <w:i/>
          <w:position w:val="-10"/>
        </w:rPr>
        <w:pict>
          <v:shape id="_x0000_i1350" type="#_x0000_t75" style="width:12.6pt;height:17.4pt">
            <v:imagedata r:id="rId509" o:title=""/>
          </v:shape>
        </w:pict>
      </w:r>
      <w:r w:rsidRPr="00B04DC3">
        <w:tab/>
        <w:t>=</w:t>
      </w:r>
      <w:r w:rsidRPr="00B04DC3">
        <w:tab/>
        <w:t xml:space="preserve">is the average specific emission with regeneration, number of </w:t>
      </w:r>
      <w:r w:rsidR="002E6737">
        <w:t>particulate</w:t>
      </w:r>
      <w:r w:rsidRPr="00B04DC3">
        <w:t>s/kWh.</w:t>
      </w:r>
      <w:r w:rsidR="00F90D0E" w:rsidRPr="00B04DC3">
        <w:t xml:space="preserve"> </w:t>
      </w:r>
    </w:p>
    <w:p w:rsidR="00D247DE" w:rsidRPr="00B04DC3" w:rsidRDefault="00A905B7" w:rsidP="00F90D0E">
      <w:pPr>
        <w:tabs>
          <w:tab w:val="left" w:pos="2300"/>
          <w:tab w:val="left" w:pos="3300"/>
          <w:tab w:val="left" w:pos="3500"/>
        </w:tabs>
        <w:spacing w:after="120"/>
        <w:ind w:left="3500" w:right="1134" w:hanging="2835"/>
        <w:jc w:val="both"/>
      </w:pPr>
      <w:r>
        <w:rPr>
          <w:noProof/>
        </w:rPr>
        <w:pict>
          <v:rect id="_x0000_s5636" style="position:absolute;left:0;text-align:left;margin-left:220.45pt;margin-top:15.15pt;width:2.35pt;height:12pt;z-index:251638784;mso-wrap-style:none" filled="f" stroked="f">
            <v:textbox style="mso-next-textbox:#_x0000_s5636;mso-fit-shape-to-text:t" inset="0,0,0,0">
              <w:txbxContent>
                <w:p w:rsidR="00A905B7" w:rsidRDefault="00A905B7" w:rsidP="00D247DE">
                  <w:r>
                    <w:rPr>
                      <w:color w:val="000000"/>
                      <w:sz w:val="14"/>
                      <w:szCs w:val="14"/>
                    </w:rPr>
                    <w:t>r</w:t>
                  </w:r>
                </w:p>
              </w:txbxContent>
            </v:textbox>
          </v:rect>
        </w:pict>
      </w:r>
      <w:r>
        <w:rPr>
          <w:noProof/>
        </w:rPr>
        <w:pict>
          <v:rect id="_x0000_s5635" style="position:absolute;left:0;text-align:left;margin-left:215pt;margin-top:11.85pt;width:5.35pt;height:13.8pt;z-index:251637760;mso-wrap-style:none" filled="f" stroked="f">
            <v:textbox style="mso-next-textbox:#_x0000_s5635;mso-fit-shape-to-text:t" inset="0,0,0,0">
              <w:txbxContent>
                <w:p w:rsidR="00A905B7" w:rsidRPr="00062B68" w:rsidRDefault="00A905B7" w:rsidP="00D247DE">
                  <w:r w:rsidRPr="00062B68">
                    <w:rPr>
                      <w:iCs/>
                      <w:color w:val="000000"/>
                    </w:rPr>
                    <w:t>e</w:t>
                  </w:r>
                </w:p>
                <w:p w:rsidR="00A905B7" w:rsidRDefault="00A905B7"/>
              </w:txbxContent>
            </v:textbox>
          </v:rect>
        </w:pict>
      </w:r>
      <w:r w:rsidR="00D247DE" w:rsidRPr="00B04DC3">
        <w:tab/>
        <w:t xml:space="preserve">For the determination of </w:t>
      </w:r>
      <w:r>
        <w:pict>
          <v:group id="_x0000_s5632" editas="canvas" style="width:12.9pt;height:22.65pt;mso-position-horizontal-relative:char;mso-position-vertical-relative:line" coordsize="258,453">
            <o:lock v:ext="edit" aspectratio="t"/>
            <v:shape id="_x0000_s5633" type="#_x0000_t75" style="position:absolute;width:258;height:453" o:preferrelative="f">
              <v:fill o:detectmouseclick="t"/>
              <v:path o:extrusionok="t" o:connecttype="none"/>
              <o:lock v:ext="edit" text="t"/>
            </v:shape>
            <v:line id="_x0000_s5634" style="position:absolute" from="13,282" to="186,283" strokeweight=".5pt"/>
            <w10:wrap type="none"/>
            <w10:anchorlock/>
          </v:group>
        </w:pict>
      </w:r>
      <w:r w:rsidR="00D247DE" w:rsidRPr="00B04DC3">
        <w:t>, the following provisions apply:</w:t>
      </w:r>
    </w:p>
    <w:p w:rsidR="00D247DE" w:rsidRPr="00B04DC3" w:rsidRDefault="00D247DE" w:rsidP="00D247DE">
      <w:pPr>
        <w:tabs>
          <w:tab w:val="left" w:pos="2300"/>
        </w:tabs>
        <w:spacing w:after="120"/>
        <w:ind w:left="2835" w:right="1134" w:hanging="1701"/>
        <w:jc w:val="both"/>
      </w:pPr>
      <w:r w:rsidRPr="00B04DC3">
        <w:tab/>
        <w:t>(a)</w:t>
      </w:r>
      <w:r w:rsidRPr="00B04DC3">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rsidR="00D247DE" w:rsidRPr="00B04DC3" w:rsidRDefault="00D247DE" w:rsidP="00D247DE">
      <w:pPr>
        <w:tabs>
          <w:tab w:val="left" w:pos="2300"/>
        </w:tabs>
        <w:spacing w:after="120"/>
        <w:ind w:left="2835" w:right="1134" w:hanging="1701"/>
        <w:jc w:val="both"/>
      </w:pPr>
      <w:r w:rsidRPr="00B04DC3">
        <w:tab/>
        <w:t>(b)</w:t>
      </w:r>
      <w:r w:rsidRPr="00B04DC3">
        <w:tab/>
        <w:t>If regeneration is completed during any hot start WHTC, the test shall be continued over its entire length.</w:t>
      </w:r>
    </w:p>
    <w:p w:rsidR="00D247DE" w:rsidRPr="00B04DC3" w:rsidRDefault="00D247DE" w:rsidP="00D247DE">
      <w:pPr>
        <w:tabs>
          <w:tab w:val="left" w:pos="2300"/>
        </w:tabs>
        <w:spacing w:after="120"/>
        <w:ind w:left="2835" w:right="1134" w:hanging="1701"/>
        <w:jc w:val="both"/>
      </w:pPr>
      <w:r w:rsidRPr="00B04DC3">
        <w:tab/>
      </w:r>
      <w:r w:rsidRPr="00B04DC3">
        <w:tab/>
        <w:t xml:space="preserve">In agreement with the </w:t>
      </w:r>
      <w:r w:rsidR="00925298">
        <w:t>T</w:t>
      </w:r>
      <w:r w:rsidR="00925298" w:rsidRPr="00B04DC3">
        <w:t xml:space="preserve">ype </w:t>
      </w:r>
      <w:r w:rsidR="00925298">
        <w:t>A</w:t>
      </w:r>
      <w:r w:rsidR="00925298" w:rsidRPr="00B04DC3">
        <w:t xml:space="preserve">pproval </w:t>
      </w:r>
      <w:r w:rsidR="00925298">
        <w:t>A</w:t>
      </w:r>
      <w:r w:rsidR="00925298" w:rsidRPr="00B04DC3">
        <w:t>uthority</w:t>
      </w:r>
      <w:r w:rsidRPr="00B04DC3">
        <w:t>, regeneration adjustment may be applied by either multiplicative or additive adjustment based on good engineering analysis.</w:t>
      </w:r>
    </w:p>
    <w:p w:rsidR="00D247DE" w:rsidRPr="00B04DC3" w:rsidRDefault="00D247DE" w:rsidP="00D247DE">
      <w:pPr>
        <w:tabs>
          <w:tab w:val="left" w:pos="2300"/>
        </w:tabs>
        <w:spacing w:after="120"/>
        <w:ind w:left="2835" w:right="1134" w:hanging="1701"/>
        <w:jc w:val="both"/>
      </w:pPr>
      <w:r w:rsidRPr="00B04DC3">
        <w:tab/>
      </w:r>
      <w:r w:rsidRPr="00B04DC3">
        <w:tab/>
        <w:t>Multiplicative regeneration adjustment factors kr shall be determined as follows:</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22"/>
        </w:rPr>
        <w:pict>
          <v:shape id="_x0000_i1352" type="#_x0000_t75" style="width:42.6pt;height:27.6pt">
            <v:imagedata r:id="rId510" o:title=""/>
          </v:shape>
        </w:pict>
      </w:r>
      <w:r w:rsidRPr="00B04DC3">
        <w:tab/>
        <w:t>(upward)</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26"/>
        </w:rPr>
        <w:pict>
          <v:shape id="_x0000_i1353" type="#_x0000_t75" style="width:42pt;height:30pt">
            <v:imagedata r:id="rId511" o:title=""/>
          </v:shape>
        </w:pict>
      </w:r>
      <w:r w:rsidRPr="00B04DC3">
        <w:tab/>
        <w:t>(downward)</w:t>
      </w:r>
    </w:p>
    <w:p w:rsidR="00D247DE" w:rsidRPr="00B04DC3" w:rsidRDefault="00D247DE" w:rsidP="00D247DE">
      <w:pPr>
        <w:spacing w:after="120"/>
        <w:ind w:left="2268" w:right="1134" w:hanging="1134"/>
        <w:jc w:val="both"/>
      </w:pPr>
      <w:r w:rsidRPr="00B04DC3">
        <w:tab/>
      </w:r>
      <w:r w:rsidRPr="00B04DC3">
        <w:tab/>
      </w:r>
      <w:r w:rsidRPr="00B04DC3">
        <w:tab/>
        <w:t>Additive regeneration adjustment (k</w:t>
      </w:r>
      <w:r w:rsidRPr="00B04DC3">
        <w:rPr>
          <w:vertAlign w:val="subscript"/>
        </w:rPr>
        <w:t>r</w:t>
      </w:r>
      <w:r w:rsidRPr="00B04DC3">
        <w:t>) shall be determined as follows:</w:t>
      </w:r>
    </w:p>
    <w:p w:rsidR="00D247DE" w:rsidRPr="00B04DC3" w:rsidRDefault="00D247DE" w:rsidP="00D247DE">
      <w:pPr>
        <w:spacing w:after="120" w:line="240" w:lineRule="auto"/>
        <w:ind w:left="2268" w:right="1134" w:hanging="1134"/>
        <w:jc w:val="both"/>
      </w:pPr>
      <w:r w:rsidRPr="00B04DC3">
        <w:tab/>
      </w:r>
      <w:r w:rsidRPr="00B04DC3">
        <w:tab/>
      </w:r>
      <w:r w:rsidRPr="00B04DC3">
        <w:tab/>
        <w:t>k</w:t>
      </w:r>
      <w:r w:rsidRPr="00B04DC3">
        <w:rPr>
          <w:vertAlign w:val="subscript"/>
        </w:rPr>
        <w:t>r,u</w:t>
      </w:r>
      <w:r w:rsidRPr="00B04DC3">
        <w:t xml:space="preserve"> = e</w:t>
      </w:r>
      <w:r w:rsidRPr="00B04DC3">
        <w:rPr>
          <w:vertAlign w:val="subscript"/>
        </w:rPr>
        <w:t>w</w:t>
      </w:r>
      <w:r w:rsidRPr="00B04DC3">
        <w:t xml:space="preserve"> – e</w:t>
      </w:r>
      <w:r w:rsidRPr="00B04DC3">
        <w:tab/>
        <w:t>(upward)</w:t>
      </w:r>
    </w:p>
    <w:p w:rsidR="00D247DE" w:rsidRPr="00B04DC3" w:rsidRDefault="00D247DE" w:rsidP="00D247DE">
      <w:pPr>
        <w:spacing w:after="120" w:line="240" w:lineRule="auto"/>
        <w:ind w:left="2268" w:right="1134" w:hanging="1134"/>
        <w:jc w:val="both"/>
      </w:pPr>
      <w:r w:rsidRPr="00B04DC3">
        <w:tab/>
      </w:r>
      <w:r w:rsidRPr="00B04DC3">
        <w:tab/>
      </w:r>
      <w:r w:rsidRPr="00B04DC3">
        <w:tab/>
        <w:t>k</w:t>
      </w:r>
      <w:r w:rsidRPr="00B04DC3">
        <w:rPr>
          <w:vertAlign w:val="subscript"/>
        </w:rPr>
        <w:t>r,d</w:t>
      </w:r>
      <w:r w:rsidRPr="00B04DC3">
        <w:t xml:space="preserve"> = e</w:t>
      </w:r>
      <w:r w:rsidRPr="00B04DC3">
        <w:rPr>
          <w:vertAlign w:val="subscript"/>
        </w:rPr>
        <w:t>w</w:t>
      </w:r>
      <w:r w:rsidRPr="00B04DC3">
        <w:t xml:space="preserve"> – e</w:t>
      </w:r>
      <w:r w:rsidRPr="00B04DC3">
        <w:rPr>
          <w:vertAlign w:val="subscript"/>
        </w:rPr>
        <w:t>r</w:t>
      </w:r>
      <w:r w:rsidRPr="00B04DC3">
        <w:tab/>
        <w:t>(downward)</w:t>
      </w:r>
    </w:p>
    <w:p w:rsidR="00D247DE" w:rsidRPr="00B04DC3" w:rsidRDefault="00D247DE" w:rsidP="00D247DE">
      <w:pPr>
        <w:tabs>
          <w:tab w:val="left" w:pos="2300"/>
        </w:tabs>
        <w:spacing w:after="120"/>
        <w:ind w:left="2268" w:right="1134" w:hanging="1134"/>
        <w:jc w:val="both"/>
      </w:pPr>
      <w:r w:rsidRPr="00B04DC3">
        <w:tab/>
      </w:r>
      <w:r w:rsidRPr="00B04DC3">
        <w:tab/>
      </w:r>
      <w:r w:rsidRPr="00B04DC3">
        <w:tab/>
        <w:t>The regeneration adjustment k</w:t>
      </w:r>
      <w:r w:rsidRPr="00B04DC3">
        <w:rPr>
          <w:vertAlign w:val="subscript"/>
        </w:rPr>
        <w:t>r</w:t>
      </w:r>
      <w:r w:rsidRPr="00B04DC3">
        <w:t>:</w:t>
      </w:r>
    </w:p>
    <w:p w:rsidR="00D247DE" w:rsidRPr="00B04DC3" w:rsidRDefault="00D247DE" w:rsidP="00D247DE">
      <w:pPr>
        <w:tabs>
          <w:tab w:val="left" w:pos="2300"/>
        </w:tabs>
        <w:spacing w:after="120"/>
        <w:ind w:left="2835" w:right="1134" w:hanging="1701"/>
        <w:jc w:val="both"/>
      </w:pPr>
      <w:r w:rsidRPr="00B04DC3">
        <w:tab/>
        <w:t>(c)</w:t>
      </w:r>
      <w:r w:rsidRPr="00B04DC3">
        <w:tab/>
      </w:r>
      <w:r w:rsidRPr="00B04DC3">
        <w:rPr>
          <w:caps/>
        </w:rPr>
        <w:t>s</w:t>
      </w:r>
      <w:r w:rsidRPr="00B04DC3">
        <w:t>hall be applied to the weighted WHTC test result as per paragraph 5.4.3.</w:t>
      </w:r>
      <w:r w:rsidR="008E3448">
        <w:t xml:space="preserve"> of this annex</w:t>
      </w:r>
      <w:r w:rsidRPr="00B04DC3">
        <w:t>,</w:t>
      </w:r>
    </w:p>
    <w:p w:rsidR="00D247DE" w:rsidRPr="00B04DC3" w:rsidRDefault="00D247DE" w:rsidP="00D247DE">
      <w:pPr>
        <w:tabs>
          <w:tab w:val="left" w:pos="2300"/>
        </w:tabs>
        <w:spacing w:after="120"/>
        <w:ind w:left="2835" w:right="1134" w:hanging="1701"/>
        <w:jc w:val="both"/>
      </w:pPr>
      <w:r w:rsidRPr="00B04DC3">
        <w:tab/>
        <w:t>(d)</w:t>
      </w:r>
      <w:r w:rsidRPr="00B04DC3">
        <w:tab/>
      </w:r>
      <w:r w:rsidRPr="00B04DC3">
        <w:rPr>
          <w:caps/>
        </w:rPr>
        <w:t>m</w:t>
      </w:r>
      <w:r w:rsidRPr="00B04DC3">
        <w:t>ay be applied to the WHSC and cold WHTC, if a regeneration occurs during the cycle,</w:t>
      </w:r>
    </w:p>
    <w:p w:rsidR="00D247DE" w:rsidRPr="00B04DC3" w:rsidRDefault="00D247DE" w:rsidP="00D247DE">
      <w:pPr>
        <w:tabs>
          <w:tab w:val="left" w:pos="2300"/>
        </w:tabs>
        <w:spacing w:after="120"/>
        <w:ind w:left="2835" w:right="1134" w:hanging="1701"/>
        <w:jc w:val="both"/>
      </w:pPr>
      <w:r w:rsidRPr="00B04DC3">
        <w:tab/>
        <w:t>(e)</w:t>
      </w:r>
      <w:r w:rsidRPr="00B04DC3">
        <w:tab/>
      </w:r>
      <w:r w:rsidRPr="00B04DC3">
        <w:rPr>
          <w:caps/>
        </w:rPr>
        <w:t>m</w:t>
      </w:r>
      <w:r w:rsidRPr="00B04DC3">
        <w:t>ay be extended to other members of the same engine family,</w:t>
      </w:r>
    </w:p>
    <w:p w:rsidR="00D247DE" w:rsidRPr="00B04DC3" w:rsidRDefault="00D247DE" w:rsidP="00D247DE">
      <w:pPr>
        <w:tabs>
          <w:tab w:val="left" w:pos="2300"/>
        </w:tabs>
        <w:spacing w:after="120"/>
        <w:ind w:left="2835" w:right="1134" w:hanging="1701"/>
        <w:jc w:val="both"/>
      </w:pPr>
      <w:r w:rsidRPr="00B04DC3">
        <w:tab/>
        <w:t>(f)</w:t>
      </w:r>
      <w:r w:rsidRPr="00B04DC3">
        <w:tab/>
      </w:r>
      <w:r w:rsidRPr="00B04DC3">
        <w:rPr>
          <w:caps/>
        </w:rPr>
        <w:t>m</w:t>
      </w:r>
      <w:r w:rsidRPr="00B04DC3">
        <w:t xml:space="preserve">ay be extended to other engine families using the same </w:t>
      </w:r>
      <w:r w:rsidR="006A75A0">
        <w:t>after-treatment</w:t>
      </w:r>
      <w:r w:rsidRPr="00B04DC3">
        <w:t xml:space="preserve"> system with the prior approval of the </w:t>
      </w:r>
      <w:r w:rsidR="009737AE">
        <w:t>T</w:t>
      </w:r>
      <w:r w:rsidRPr="00B04DC3">
        <w:t>ype Approval Authority based on technical evidence to be supplied by the manufacturer that the emissions are similar.</w:t>
      </w:r>
    </w:p>
    <w:p w:rsidR="00D247DE" w:rsidRPr="00B04DC3" w:rsidRDefault="00D247DE" w:rsidP="00062B68">
      <w:pPr>
        <w:keepNext/>
        <w:keepLines/>
        <w:spacing w:after="120"/>
        <w:ind w:left="2268" w:right="1134" w:hanging="1134"/>
        <w:jc w:val="both"/>
      </w:pPr>
      <w:r w:rsidRPr="00B04DC3">
        <w:t>5.4.3.</w:t>
      </w:r>
      <w:r w:rsidRPr="00B04DC3">
        <w:tab/>
        <w:t>Weighted average WHTC test result</w:t>
      </w:r>
    </w:p>
    <w:p w:rsidR="00D247DE" w:rsidRPr="00B04DC3" w:rsidRDefault="00D247DE" w:rsidP="00D247DE">
      <w:pPr>
        <w:spacing w:after="120"/>
        <w:ind w:left="2268" w:right="1134" w:hanging="1134"/>
        <w:jc w:val="both"/>
      </w:pPr>
      <w:r w:rsidRPr="00B04DC3">
        <w:tab/>
        <w:t>For the WHTC, the final test result shall be a weighted average from cold start and hot start (including periodic regeneration where relevant) tests calculated using one of the following equations:</w:t>
      </w:r>
    </w:p>
    <w:p w:rsidR="00D247DE" w:rsidRPr="00B04DC3" w:rsidRDefault="00D247DE" w:rsidP="00D247DE">
      <w:pPr>
        <w:tabs>
          <w:tab w:val="left" w:pos="2300"/>
        </w:tabs>
        <w:spacing w:after="120"/>
        <w:ind w:left="2835" w:right="1134" w:hanging="1701"/>
        <w:jc w:val="both"/>
      </w:pPr>
      <w:r w:rsidRPr="00B04DC3">
        <w:tab/>
        <w:t>(a)</w:t>
      </w:r>
      <w:r w:rsidRPr="00B04DC3">
        <w:tab/>
      </w:r>
      <w:r w:rsidRPr="00B04DC3">
        <w:rPr>
          <w:caps/>
        </w:rPr>
        <w:t>i</w:t>
      </w:r>
      <w:r w:rsidRPr="00B04DC3">
        <w:t xml:space="preserve">n the case of multiplicative regeneration adjustment, or engines without periodically regenerating </w:t>
      </w:r>
      <w:r w:rsidR="006A75A0">
        <w:t>after-treatment</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30"/>
        </w:rPr>
        <w:pict>
          <v:shape id="_x0000_i1354" type="#_x0000_t75" style="width:176.4pt;height:35.4pt">
            <v:imagedata r:id="rId512" o:title=""/>
          </v:shape>
        </w:pict>
      </w:r>
    </w:p>
    <w:p w:rsidR="00D247DE" w:rsidRPr="00B04DC3" w:rsidRDefault="00D247DE" w:rsidP="00D247DE">
      <w:pPr>
        <w:tabs>
          <w:tab w:val="left" w:pos="2300"/>
        </w:tabs>
        <w:spacing w:after="120"/>
        <w:ind w:left="2835" w:right="1134" w:hanging="1701"/>
        <w:jc w:val="both"/>
      </w:pPr>
      <w:r w:rsidRPr="00B04DC3">
        <w:tab/>
        <w:t>(b)</w:t>
      </w:r>
      <w:r w:rsidRPr="00B04DC3">
        <w:tab/>
      </w:r>
      <w:r w:rsidRPr="00B04DC3">
        <w:rPr>
          <w:caps/>
        </w:rPr>
        <w:t>i</w:t>
      </w:r>
      <w:r w:rsidRPr="00B04DC3">
        <w:t>n the case of additive regeneration adjustment</w:t>
      </w:r>
    </w:p>
    <w:p w:rsidR="00D247DE" w:rsidRPr="00B04DC3" w:rsidRDefault="00D247DE" w:rsidP="00D247DE">
      <w:pPr>
        <w:spacing w:after="120"/>
        <w:ind w:left="2268" w:right="1134" w:hanging="1134"/>
        <w:jc w:val="both"/>
      </w:pPr>
      <w:r w:rsidRPr="00B04DC3">
        <w:tab/>
      </w:r>
      <w:r w:rsidRPr="00B04DC3">
        <w:tab/>
      </w:r>
      <w:r w:rsidRPr="00B04DC3">
        <w:tab/>
      </w:r>
      <w:r w:rsidR="00A905B7">
        <w:rPr>
          <w:position w:val="-30"/>
        </w:rPr>
        <w:pict>
          <v:shape id="_x0000_i1355" type="#_x0000_t75" style="width:185.4pt;height:35.4pt">
            <v:imagedata r:id="rId513" o:title=""/>
          </v:shape>
        </w:pict>
      </w:r>
    </w:p>
    <w:p w:rsidR="00D247DE" w:rsidRPr="00B04DC3" w:rsidRDefault="00D247DE" w:rsidP="00D247DE">
      <w:pPr>
        <w:spacing w:after="120"/>
        <w:ind w:left="2268" w:right="1134" w:hanging="1134"/>
        <w:jc w:val="both"/>
      </w:pPr>
      <w:r w:rsidRPr="00B04DC3">
        <w:tab/>
      </w:r>
      <w:r w:rsidRPr="00B04DC3">
        <w:tab/>
      </w:r>
      <w:r w:rsidRPr="00B04DC3">
        <w:tab/>
      </w:r>
      <w:r w:rsidR="00F90D0E" w:rsidRPr="00B04DC3">
        <w:t>Where</w:t>
      </w:r>
      <w:r w:rsidRPr="00B04DC3">
        <w:t>:</w:t>
      </w:r>
    </w:p>
    <w:p w:rsidR="00D247DE" w:rsidRPr="00B04DC3" w:rsidRDefault="00D247DE" w:rsidP="00D247DE">
      <w:pPr>
        <w:tabs>
          <w:tab w:val="left" w:pos="2828"/>
          <w:tab w:val="left" w:pos="3500"/>
        </w:tabs>
        <w:spacing w:after="120"/>
        <w:ind w:left="3800" w:right="1134" w:hanging="3135"/>
        <w:jc w:val="both"/>
      </w:pPr>
      <w:r w:rsidRPr="00B04DC3">
        <w:tab/>
        <w:t>N</w:t>
      </w:r>
      <w:r w:rsidRPr="00B04DC3">
        <w:rPr>
          <w:vertAlign w:val="subscript"/>
        </w:rPr>
        <w:t>cold</w:t>
      </w:r>
      <w:r w:rsidRPr="00B04DC3">
        <w:tab/>
        <w:t>=</w:t>
      </w:r>
      <w:r w:rsidRPr="00B04DC3">
        <w:tab/>
        <w:t xml:space="preserve">is the total number of </w:t>
      </w:r>
      <w:r w:rsidR="002E6737">
        <w:t>particulate</w:t>
      </w:r>
      <w:r w:rsidRPr="00B04DC3">
        <w:t>s emitted over the WHTC cold test cycle,</w:t>
      </w:r>
    </w:p>
    <w:p w:rsidR="00D247DE" w:rsidRPr="00B04DC3" w:rsidRDefault="00D247DE" w:rsidP="00D247DE">
      <w:pPr>
        <w:tabs>
          <w:tab w:val="left" w:pos="2828"/>
          <w:tab w:val="left" w:pos="3300"/>
          <w:tab w:val="left" w:pos="3500"/>
          <w:tab w:val="left" w:pos="3600"/>
        </w:tabs>
        <w:spacing w:after="120"/>
        <w:ind w:left="3800" w:right="1134" w:hanging="3135"/>
        <w:jc w:val="both"/>
      </w:pPr>
      <w:r w:rsidRPr="00B04DC3">
        <w:tab/>
        <w:t>N</w:t>
      </w:r>
      <w:r w:rsidRPr="00B04DC3">
        <w:rPr>
          <w:vertAlign w:val="subscript"/>
        </w:rPr>
        <w:t>hot</w:t>
      </w:r>
      <w:r w:rsidRPr="00B04DC3">
        <w:tab/>
      </w:r>
      <w:r w:rsidRPr="00B04DC3">
        <w:tab/>
        <w:t>=</w:t>
      </w:r>
      <w:r w:rsidRPr="00B04DC3">
        <w:tab/>
        <w:t xml:space="preserve">is the total number of </w:t>
      </w:r>
      <w:r w:rsidR="002E6737">
        <w:t>particulate</w:t>
      </w:r>
      <w:r w:rsidRPr="00B04DC3">
        <w:t>s emitted over the WHTC hot test cycle,</w:t>
      </w:r>
    </w:p>
    <w:p w:rsidR="00D247DE" w:rsidRPr="00B04DC3" w:rsidRDefault="00D247DE" w:rsidP="00D247DE">
      <w:pPr>
        <w:tabs>
          <w:tab w:val="left" w:pos="2828"/>
          <w:tab w:val="left" w:pos="3500"/>
          <w:tab w:val="left" w:pos="3600"/>
        </w:tabs>
        <w:spacing w:after="120"/>
        <w:ind w:left="3800" w:right="1134" w:hanging="3135"/>
        <w:jc w:val="both"/>
      </w:pPr>
      <w:r w:rsidRPr="00B04DC3">
        <w:tab/>
        <w:t>W</w:t>
      </w:r>
      <w:r w:rsidRPr="00B04DC3">
        <w:rPr>
          <w:vertAlign w:val="subscript"/>
        </w:rPr>
        <w:t>act,cold</w:t>
      </w:r>
      <w:r w:rsidRPr="00B04DC3">
        <w:tab/>
        <w:t>=</w:t>
      </w:r>
      <w:r w:rsidRPr="00B04DC3">
        <w:tab/>
        <w:t>is the actual cycle work over the WHTC cold test cycle according to Annex 4B, paragraph 7.8.6., in kWh,</w:t>
      </w:r>
    </w:p>
    <w:p w:rsidR="00D247DE" w:rsidRPr="00B04DC3" w:rsidRDefault="00D247DE" w:rsidP="00D247DE">
      <w:pPr>
        <w:tabs>
          <w:tab w:val="left" w:pos="2828"/>
          <w:tab w:val="left" w:pos="3300"/>
          <w:tab w:val="left" w:pos="3500"/>
          <w:tab w:val="left" w:pos="3600"/>
        </w:tabs>
        <w:spacing w:after="120"/>
        <w:ind w:left="3800" w:right="1134" w:hanging="3135"/>
        <w:jc w:val="both"/>
      </w:pPr>
      <w:r w:rsidRPr="00B04DC3">
        <w:tab/>
        <w:t>W</w:t>
      </w:r>
      <w:r w:rsidRPr="00B04DC3">
        <w:rPr>
          <w:vertAlign w:val="subscript"/>
        </w:rPr>
        <w:t>act, hot</w:t>
      </w:r>
      <w:r w:rsidRPr="00B04DC3">
        <w:tab/>
        <w:t>=</w:t>
      </w:r>
      <w:r w:rsidRPr="00B04DC3">
        <w:tab/>
        <w:t>is the actual cycle work over the WHTC hot test cycle according to Annex 4B, paragraph 7.8.6., in kWh,</w:t>
      </w:r>
    </w:p>
    <w:p w:rsidR="00D247DE" w:rsidRPr="00B04DC3" w:rsidRDefault="00D247DE" w:rsidP="00D247DE">
      <w:pPr>
        <w:tabs>
          <w:tab w:val="left" w:pos="2828"/>
          <w:tab w:val="left" w:pos="3500"/>
          <w:tab w:val="left" w:pos="3600"/>
        </w:tabs>
        <w:spacing w:after="120"/>
        <w:ind w:left="3800" w:right="1134" w:hanging="3135"/>
        <w:jc w:val="both"/>
      </w:pPr>
      <w:r w:rsidRPr="00B04DC3">
        <w:tab/>
        <w:t>k</w:t>
      </w:r>
      <w:r w:rsidRPr="00B04DC3">
        <w:rPr>
          <w:vertAlign w:val="subscript"/>
        </w:rPr>
        <w:t>r</w:t>
      </w:r>
      <w:r w:rsidRPr="00B04DC3">
        <w:tab/>
        <w:t>=</w:t>
      </w:r>
      <w:r w:rsidRPr="00B04DC3">
        <w:tab/>
        <w:t>is the regeneration adjustment, according to paragraph 5.4.2</w:t>
      </w:r>
      <w:r w:rsidR="008E3448">
        <w:t>.</w:t>
      </w:r>
      <w:r w:rsidR="008E3448" w:rsidRPr="008E3448">
        <w:t xml:space="preserve"> </w:t>
      </w:r>
      <w:r w:rsidR="008E3448">
        <w:t>of this annex</w:t>
      </w:r>
      <w:r w:rsidRPr="00B04DC3">
        <w:t xml:space="preserve">, or in the case of engines without periodically regenerating </w:t>
      </w:r>
      <w:r w:rsidR="006A75A0">
        <w:t>after-treatment</w:t>
      </w:r>
      <w:r w:rsidRPr="00B04DC3">
        <w:t xml:space="preserve"> k</w:t>
      </w:r>
      <w:r w:rsidRPr="00B04DC3">
        <w:rPr>
          <w:vertAlign w:val="subscript"/>
        </w:rPr>
        <w:t>r</w:t>
      </w:r>
      <w:r w:rsidRPr="00B04DC3">
        <w:t> = 1</w:t>
      </w:r>
    </w:p>
    <w:p w:rsidR="00D247DE" w:rsidRPr="00B04DC3" w:rsidRDefault="00D247DE" w:rsidP="00D247DE">
      <w:pPr>
        <w:spacing w:after="120"/>
        <w:ind w:left="2268" w:right="1134" w:hanging="1134"/>
        <w:jc w:val="both"/>
      </w:pPr>
      <w:r w:rsidRPr="00B04DC3">
        <w:t>5.4.4.</w:t>
      </w:r>
      <w:r w:rsidRPr="00B04DC3">
        <w:tab/>
        <w:t>Rounding of final results</w:t>
      </w:r>
    </w:p>
    <w:p w:rsidR="00D247DE" w:rsidRPr="00B04DC3" w:rsidRDefault="00D247DE" w:rsidP="00D247DE">
      <w:pPr>
        <w:spacing w:after="120" w:line="240" w:lineRule="auto"/>
        <w:ind w:left="2268" w:right="1134" w:hanging="1134"/>
        <w:jc w:val="both"/>
      </w:pPr>
      <w:r w:rsidRPr="00B04DC3">
        <w:tab/>
        <w:t>The final WHSC and weighted average WHTC test results shall be rounded in one step to three significant figures in accordance with ASTM E 29–06B. No rounding of intermediate values leading to the final brake specific emission result is permissible.</w:t>
      </w:r>
    </w:p>
    <w:p w:rsidR="00D247DE" w:rsidRPr="00B04DC3" w:rsidRDefault="00D247DE" w:rsidP="00D247DE">
      <w:pPr>
        <w:spacing w:after="120"/>
        <w:ind w:left="2268" w:right="1134" w:hanging="1134"/>
        <w:jc w:val="both"/>
      </w:pPr>
      <w:r w:rsidRPr="00B04DC3">
        <w:t>6.</w:t>
      </w:r>
      <w:r w:rsidRPr="00B04DC3">
        <w:tab/>
        <w:t xml:space="preserve">Determination of </w:t>
      </w:r>
      <w:r w:rsidR="002E6737">
        <w:t>particulate</w:t>
      </w:r>
      <w:r w:rsidRPr="00B04DC3">
        <w:t xml:space="preserve"> </w:t>
      </w:r>
      <w:r w:rsidR="00F90D0E" w:rsidRPr="00B04DC3">
        <w:t>n</w:t>
      </w:r>
      <w:r w:rsidRPr="00B04DC3">
        <w:t xml:space="preserve">umber </w:t>
      </w:r>
      <w:r w:rsidR="00F90D0E" w:rsidRPr="00B04DC3">
        <w:t>b</w:t>
      </w:r>
      <w:r w:rsidRPr="00B04DC3">
        <w:t>ackground</w:t>
      </w:r>
    </w:p>
    <w:p w:rsidR="00D247DE" w:rsidRPr="00B04DC3" w:rsidRDefault="00D247DE" w:rsidP="00D247DE">
      <w:pPr>
        <w:spacing w:after="120"/>
        <w:ind w:left="2268" w:right="1134" w:hanging="1134"/>
        <w:jc w:val="both"/>
      </w:pPr>
      <w:r w:rsidRPr="00B04DC3">
        <w:t>6.1.</w:t>
      </w:r>
      <w:r w:rsidRPr="00B04DC3">
        <w:tab/>
        <w:t xml:space="preserve">At the engine manufacturer’s request, dilution tunnel background </w:t>
      </w:r>
      <w:r w:rsidR="002E6737">
        <w:t>particulate</w:t>
      </w:r>
      <w:r w:rsidRPr="00B04DC3">
        <w:t xml:space="preserve"> number concentrations may be sampled, prior to or after the test, from a point downstream of the </w:t>
      </w:r>
      <w:r w:rsidR="002E6737">
        <w:t>particulate</w:t>
      </w:r>
      <w:r w:rsidRPr="00B04DC3">
        <w:t xml:space="preserve"> and hydrocarbon filters into the </w:t>
      </w:r>
      <w:r w:rsidR="002E6737">
        <w:t>particulate</w:t>
      </w:r>
      <w:r w:rsidRPr="00B04DC3">
        <w:t xml:space="preserve"> number measurement system, to determine the tunnel background </w:t>
      </w:r>
      <w:r w:rsidR="002E6737">
        <w:t>particulate</w:t>
      </w:r>
      <w:r w:rsidRPr="00B04DC3">
        <w:t xml:space="preserve"> concentrations.</w:t>
      </w:r>
    </w:p>
    <w:p w:rsidR="00D247DE" w:rsidRPr="00B04DC3" w:rsidRDefault="00D247DE" w:rsidP="00D247DE">
      <w:pPr>
        <w:spacing w:after="120"/>
        <w:ind w:left="2268" w:right="1134" w:hanging="1134"/>
        <w:jc w:val="both"/>
      </w:pPr>
      <w:r w:rsidRPr="00B04DC3">
        <w:t>6.2.</w:t>
      </w:r>
      <w:r w:rsidRPr="00B04DC3">
        <w:tab/>
        <w:t xml:space="preserve">Subtraction of </w:t>
      </w:r>
      <w:r w:rsidR="002E6737">
        <w:t>particulate</w:t>
      </w:r>
      <w:r w:rsidRPr="00B04DC3">
        <w:t xml:space="preserve"> number tunnel background concentrations shall not be allowed for type approval, but may be used at the manufacturer’s request, with the prior approval of the </w:t>
      </w:r>
      <w:r w:rsidR="00925298">
        <w:t>T</w:t>
      </w:r>
      <w:r w:rsidR="00925298" w:rsidRPr="00B04DC3">
        <w:t xml:space="preserve">ype </w:t>
      </w:r>
      <w:r w:rsidR="00925298">
        <w:t>A</w:t>
      </w:r>
      <w:r w:rsidR="00925298" w:rsidRPr="00B04DC3">
        <w:t xml:space="preserve">pproval </w:t>
      </w:r>
      <w:r w:rsidR="00925298">
        <w:t>A</w:t>
      </w:r>
      <w:r w:rsidR="00925298" w:rsidRPr="00B04DC3">
        <w:t>uthority</w:t>
      </w:r>
      <w:r w:rsidRPr="00B04DC3">
        <w:t>, for conformity of production testing if it can be demonstrated that tunnel background contribution is significant., which can then be subtracted from the values measured in the diluted exhaust.</w:t>
      </w:r>
    </w:p>
    <w:p w:rsidR="00F90D0E" w:rsidRPr="00B04DC3" w:rsidRDefault="00F90D0E" w:rsidP="00D247DE">
      <w:pPr>
        <w:keepNext/>
        <w:keepLines/>
        <w:tabs>
          <w:tab w:val="right" w:pos="851"/>
        </w:tabs>
        <w:spacing w:before="360" w:after="240" w:line="300" w:lineRule="exact"/>
        <w:ind w:left="1134" w:right="1134" w:hanging="1134"/>
        <w:rPr>
          <w:b/>
          <w:sz w:val="28"/>
        </w:rPr>
        <w:sectPr w:rsidR="00F90D0E" w:rsidRPr="00B04DC3" w:rsidSect="00002BA6">
          <w:headerReference w:type="even" r:id="rId514"/>
          <w:headerReference w:type="default" r:id="rId515"/>
          <w:headerReference w:type="first" r:id="rId516"/>
          <w:footnotePr>
            <w:numRestart w:val="eachSect"/>
          </w:footnotePr>
          <w:endnotePr>
            <w:numFmt w:val="decimal"/>
          </w:endnotePr>
          <w:pgSz w:w="11907" w:h="16840" w:code="9"/>
          <w:pgMar w:top="1954" w:right="1134" w:bottom="2268" w:left="1134" w:header="1134" w:footer="1701" w:gutter="0"/>
          <w:cols w:space="720"/>
          <w:titlePg/>
        </w:sectPr>
      </w:pPr>
    </w:p>
    <w:p w:rsidR="00D247DE" w:rsidRPr="00B04DC3" w:rsidRDefault="00D247DE" w:rsidP="00062B68">
      <w:pPr>
        <w:pStyle w:val="HChG"/>
        <w:spacing w:before="480" w:after="360"/>
        <w:rPr>
          <w:sz w:val="24"/>
        </w:rPr>
      </w:pPr>
      <w:bookmarkStart w:id="670" w:name="_Toc423599643"/>
      <w:bookmarkStart w:id="671" w:name="_Toc423611051"/>
      <w:r w:rsidRPr="00B04DC3">
        <w:t>Annex 4C</w:t>
      </w:r>
      <w:r w:rsidR="00F90D0E" w:rsidRPr="00B04DC3">
        <w:t xml:space="preserve"> </w:t>
      </w:r>
      <w:r w:rsidR="00F90D0E" w:rsidRPr="00B04DC3">
        <w:noBreakHyphen/>
        <w:t xml:space="preserve"> </w:t>
      </w:r>
      <w:r w:rsidRPr="00B04DC3">
        <w:t>Appendix 1</w:t>
      </w:r>
      <w:bookmarkEnd w:id="670"/>
      <w:bookmarkEnd w:id="671"/>
    </w:p>
    <w:p w:rsidR="00D247DE" w:rsidRPr="00B04DC3" w:rsidRDefault="00D247DE" w:rsidP="00062B68">
      <w:pPr>
        <w:pStyle w:val="HChG"/>
        <w:spacing w:before="480" w:after="360"/>
      </w:pPr>
      <w:r w:rsidRPr="00B04DC3">
        <w:tab/>
      </w:r>
      <w:r w:rsidRPr="00B04DC3">
        <w:tab/>
      </w:r>
      <w:bookmarkStart w:id="672" w:name="_Toc423599644"/>
      <w:bookmarkStart w:id="673" w:name="_Toc423611052"/>
      <w:r w:rsidR="002E6737">
        <w:t>Particulate</w:t>
      </w:r>
      <w:r w:rsidRPr="00B04DC3">
        <w:t xml:space="preserve"> </w:t>
      </w:r>
      <w:r w:rsidR="00F90D0E" w:rsidRPr="00B04DC3">
        <w:t>number e</w:t>
      </w:r>
      <w:r w:rsidRPr="00B04DC3">
        <w:t xml:space="preserve">missions </w:t>
      </w:r>
      <w:r w:rsidR="00F90D0E" w:rsidRPr="00B04DC3">
        <w:t>m</w:t>
      </w:r>
      <w:r w:rsidRPr="00B04DC3">
        <w:t xml:space="preserve">easurement </w:t>
      </w:r>
      <w:r w:rsidR="00F90D0E" w:rsidRPr="00B04DC3">
        <w:t>e</w:t>
      </w:r>
      <w:r w:rsidRPr="00B04DC3">
        <w:t>quipment</w:t>
      </w:r>
      <w:bookmarkEnd w:id="672"/>
      <w:bookmarkEnd w:id="673"/>
    </w:p>
    <w:p w:rsidR="00D247DE" w:rsidRPr="00B04DC3" w:rsidRDefault="00D247DE" w:rsidP="00D247DE">
      <w:pPr>
        <w:spacing w:after="120"/>
        <w:ind w:left="2268" w:right="1134" w:hanging="1134"/>
        <w:jc w:val="both"/>
      </w:pPr>
      <w:r w:rsidRPr="00B04DC3">
        <w:t>1.</w:t>
      </w:r>
      <w:r w:rsidRPr="00B04DC3">
        <w:tab/>
        <w:t>Specification</w:t>
      </w:r>
    </w:p>
    <w:p w:rsidR="00D247DE" w:rsidRPr="00B04DC3" w:rsidRDefault="00D247DE" w:rsidP="00D247DE">
      <w:pPr>
        <w:spacing w:after="120"/>
        <w:ind w:left="2268" w:right="1134" w:hanging="1134"/>
        <w:jc w:val="both"/>
      </w:pPr>
      <w:r w:rsidRPr="00B04DC3">
        <w:t>1.1.</w:t>
      </w:r>
      <w:r w:rsidRPr="00B04DC3">
        <w:tab/>
        <w:t>System overview</w:t>
      </w:r>
    </w:p>
    <w:p w:rsidR="00D247DE" w:rsidRPr="00B04DC3" w:rsidRDefault="00D247DE" w:rsidP="00D247DE">
      <w:pPr>
        <w:spacing w:after="120"/>
        <w:ind w:left="2268" w:right="1134" w:hanging="1134"/>
        <w:jc w:val="both"/>
      </w:pPr>
      <w:r w:rsidRPr="00B04DC3">
        <w:t>1.1.1.</w:t>
      </w:r>
      <w:r w:rsidRPr="00B04DC3">
        <w:tab/>
        <w:t xml:space="preserve">The </w:t>
      </w:r>
      <w:r w:rsidR="002E6737">
        <w:t>particulate</w:t>
      </w:r>
      <w:r w:rsidRPr="00B04DC3">
        <w:t xml:space="preserve"> sampling system shall consist of a probe or sampling point extracting a sample from a homogenously mixed flow in a dilution system as described in Annex 4B, Appendix 3, paragraph</w:t>
      </w:r>
      <w:r w:rsidR="008E3448">
        <w:t>s</w:t>
      </w:r>
      <w:r w:rsidRPr="00B04DC3">
        <w:t xml:space="preserve"> A3.2.1. and A.3.2.2. or A</w:t>
      </w:r>
      <w:r w:rsidR="008E3448">
        <w:t>.</w:t>
      </w:r>
      <w:r w:rsidRPr="00B04DC3">
        <w:t xml:space="preserve">3.2.3. and A.3.2.4., a </w:t>
      </w:r>
      <w:r w:rsidR="008E3448" w:rsidRPr="00B04DC3">
        <w:t>V</w:t>
      </w:r>
      <w:r w:rsidRPr="00B04DC3">
        <w:t xml:space="preserve">olatile </w:t>
      </w:r>
      <w:r w:rsidR="008E3448">
        <w:t>P</w:t>
      </w:r>
      <w:r w:rsidR="002E6737">
        <w:t>articulate</w:t>
      </w:r>
      <w:r w:rsidRPr="00B04DC3">
        <w:t xml:space="preserve"> </w:t>
      </w:r>
      <w:r w:rsidR="008E3448" w:rsidRPr="00B04DC3">
        <w:t>R</w:t>
      </w:r>
      <w:r w:rsidRPr="00B04DC3">
        <w:t xml:space="preserve">emover (VPR) upstream of a </w:t>
      </w:r>
      <w:r w:rsidR="008E3448">
        <w:t>P</w:t>
      </w:r>
      <w:r w:rsidR="002E6737">
        <w:t>articulate</w:t>
      </w:r>
      <w:r w:rsidRPr="00B04DC3">
        <w:t xml:space="preserve"> </w:t>
      </w:r>
      <w:r w:rsidR="008E3448" w:rsidRPr="00B04DC3">
        <w:t>N</w:t>
      </w:r>
      <w:r w:rsidRPr="00B04DC3">
        <w:t xml:space="preserve">umber </w:t>
      </w:r>
      <w:r w:rsidR="008E3448" w:rsidRPr="00B04DC3">
        <w:t>C</w:t>
      </w:r>
      <w:r w:rsidRPr="00B04DC3">
        <w:t>ounter (PNC) and suitable transfer tubing.</w:t>
      </w:r>
    </w:p>
    <w:p w:rsidR="00D247DE" w:rsidRPr="00B04DC3" w:rsidRDefault="00D247DE" w:rsidP="00D247DE">
      <w:pPr>
        <w:spacing w:after="120" w:line="240" w:lineRule="auto"/>
        <w:ind w:left="2268" w:right="1134" w:hanging="1134"/>
        <w:jc w:val="both"/>
      </w:pPr>
      <w:r w:rsidRPr="00B04DC3">
        <w:t>1.1.2.</w:t>
      </w:r>
      <w:r w:rsidRPr="00B04DC3">
        <w:tab/>
        <w:t xml:space="preserve">It is recommended that a </w:t>
      </w:r>
      <w:r w:rsidR="002E6737">
        <w:t>particulate</w:t>
      </w:r>
      <w:r w:rsidRPr="00B04DC3">
        <w:t xml:space="preserve"> size pre-classifier (e.g. cyclone, impactor, etc.) be located prior to the inlet of the VPR. However, a sample probe acting as an appropriate size-classification device, such as that shown in Annex 4B, Appendix 3, Figure 14, is an acceptable alternative to the use of a </w:t>
      </w:r>
      <w:r w:rsidR="002E6737">
        <w:t>particulate</w:t>
      </w:r>
      <w:r w:rsidRPr="00B04DC3">
        <w:t xml:space="preserve"> size pre-classifier. In the case of partial flow dilution systems it is acceptable to use the same pre-classifier for particulate mass and </w:t>
      </w:r>
      <w:r w:rsidR="002E6737">
        <w:t>particulate</w:t>
      </w:r>
      <w:r w:rsidRPr="00B04DC3">
        <w:t xml:space="preserve"> number sampling, extracting the </w:t>
      </w:r>
      <w:r w:rsidR="002E6737">
        <w:t>particulate</w:t>
      </w:r>
      <w:r w:rsidRPr="00B04DC3">
        <w:t xml:space="preserve"> number sample from the dilution system downstream of the pre-classifier. Alternatively separate pre-classifiers may be used, extracting the </w:t>
      </w:r>
      <w:r w:rsidR="002E6737">
        <w:t>particulate</w:t>
      </w:r>
      <w:r w:rsidRPr="00B04DC3">
        <w:t xml:space="preserve"> number sample from the dilution system upstream of the particulate mass pre-classifier.</w:t>
      </w:r>
    </w:p>
    <w:p w:rsidR="00D247DE" w:rsidRPr="00B04DC3" w:rsidRDefault="00D247DE" w:rsidP="00D247DE">
      <w:pPr>
        <w:spacing w:after="120"/>
        <w:ind w:left="2268" w:right="1134" w:hanging="1134"/>
        <w:jc w:val="both"/>
      </w:pPr>
      <w:r w:rsidRPr="00B04DC3">
        <w:t>1.2.</w:t>
      </w:r>
      <w:r w:rsidRPr="00B04DC3">
        <w:tab/>
        <w:t>General requirements</w:t>
      </w:r>
    </w:p>
    <w:p w:rsidR="00D247DE" w:rsidRPr="00B04DC3" w:rsidRDefault="00D247DE" w:rsidP="00D247DE">
      <w:pPr>
        <w:spacing w:after="120"/>
        <w:ind w:left="2268" w:right="1134" w:hanging="1134"/>
        <w:jc w:val="both"/>
      </w:pPr>
      <w:r w:rsidRPr="00B04DC3">
        <w:t>1.2.1.</w:t>
      </w:r>
      <w:r w:rsidRPr="00B04DC3">
        <w:tab/>
        <w:t xml:space="preserve">The </w:t>
      </w:r>
      <w:r w:rsidR="002E6737">
        <w:t>particulate</w:t>
      </w:r>
      <w:r w:rsidRPr="00B04DC3">
        <w:t xml:space="preserve"> sampling point shall be located within a dilution system.</w:t>
      </w:r>
    </w:p>
    <w:p w:rsidR="00D247DE" w:rsidRPr="00B04DC3" w:rsidRDefault="00D247DE" w:rsidP="00D247DE">
      <w:pPr>
        <w:spacing w:after="120"/>
        <w:ind w:left="2268" w:right="1134" w:hanging="1134"/>
        <w:jc w:val="both"/>
      </w:pPr>
      <w:r w:rsidRPr="00B04DC3">
        <w:tab/>
        <w:t xml:space="preserve">The sampling probe tip or </w:t>
      </w:r>
      <w:r w:rsidR="002E6737">
        <w:t>particulate</w:t>
      </w:r>
      <w:r w:rsidRPr="00B04DC3">
        <w:t xml:space="preserve"> sampling point and </w:t>
      </w:r>
      <w:r w:rsidR="008E3448">
        <w:t>P</w:t>
      </w:r>
      <w:r w:rsidR="002E6737">
        <w:t>articulate</w:t>
      </w:r>
      <w:r w:rsidRPr="00B04DC3">
        <w:t xml:space="preserve"> </w:t>
      </w:r>
      <w:r w:rsidR="008E3448" w:rsidRPr="00B04DC3">
        <w:t>T</w:t>
      </w:r>
      <w:r w:rsidRPr="00B04DC3">
        <w:t xml:space="preserve">ransfer </w:t>
      </w:r>
      <w:r w:rsidR="008E3448" w:rsidRPr="00B04DC3">
        <w:t>T</w:t>
      </w:r>
      <w:r w:rsidRPr="00B04DC3">
        <w:t xml:space="preserve">ube (PTT) together comprise the </w:t>
      </w:r>
      <w:r w:rsidR="008E3448">
        <w:t>P</w:t>
      </w:r>
      <w:r w:rsidR="002E6737">
        <w:t>articulate</w:t>
      </w:r>
      <w:r w:rsidRPr="00B04DC3">
        <w:t xml:space="preserve"> </w:t>
      </w:r>
      <w:r w:rsidR="008E3448" w:rsidRPr="00B04DC3">
        <w:t>T</w:t>
      </w:r>
      <w:r w:rsidRPr="00B04DC3">
        <w:t xml:space="preserve">ransfer </w:t>
      </w:r>
      <w:r w:rsidR="008E3448" w:rsidRPr="00B04DC3">
        <w:t>S</w:t>
      </w:r>
      <w:r w:rsidRPr="00B04DC3">
        <w:t>ystem (PTS). The PTS conducts the sample from the dilution tunnel to the entrance of the VPR. The PTS shall meet the following conditions:</w:t>
      </w:r>
    </w:p>
    <w:p w:rsidR="00D247DE" w:rsidRPr="00B04DC3" w:rsidRDefault="00D247DE" w:rsidP="00D247DE">
      <w:pPr>
        <w:spacing w:after="120"/>
        <w:ind w:left="2268" w:right="1134" w:hanging="1134"/>
        <w:jc w:val="both"/>
      </w:pPr>
      <w:r w:rsidRPr="00B04DC3">
        <w:tab/>
        <w:t>In the case of full flow dilution systems and partial flow dilution systems of the fractional sampling type (as described in Annex 4B, Appendix 3, paragraph A.3.2.1.)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rsidR="00D247DE" w:rsidRPr="00B04DC3" w:rsidRDefault="00D247DE" w:rsidP="00D247DE">
      <w:pPr>
        <w:spacing w:after="120"/>
        <w:ind w:left="2268" w:right="1134" w:hanging="1134"/>
        <w:jc w:val="both"/>
      </w:pPr>
      <w:r w:rsidRPr="00B04DC3">
        <w:tab/>
        <w:t xml:space="preserve">In the case of partial flow dilution systems of the total sampling type (as described in Annex 4B, paragraph A.3.2.1.) the </w:t>
      </w:r>
      <w:r w:rsidR="002E6737">
        <w:t>particulate</w:t>
      </w:r>
      <w:r w:rsidRPr="00B04DC3">
        <w:t xml:space="preserv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w:t>
      </w:r>
      <w:r w:rsidR="002E6737">
        <w:t>particulate</w:t>
      </w:r>
      <w:r w:rsidRPr="00B04DC3">
        <w:t xml:space="preserve"> sampling probe should be sized not to interfere with the operation of the partial flow dilution system.</w:t>
      </w:r>
    </w:p>
    <w:p w:rsidR="00D247DE" w:rsidRPr="00B04DC3" w:rsidRDefault="00D247DE" w:rsidP="00062B68">
      <w:pPr>
        <w:keepNext/>
        <w:keepLines/>
        <w:spacing w:after="120"/>
        <w:ind w:left="2268" w:right="1134" w:hanging="1134"/>
        <w:jc w:val="both"/>
      </w:pPr>
      <w:r w:rsidRPr="00B04DC3">
        <w:tab/>
        <w:t>Sample gas drawn through the PTS shall meet the following conditions:</w:t>
      </w:r>
    </w:p>
    <w:p w:rsidR="00D247DE" w:rsidRPr="00B04DC3" w:rsidRDefault="00D247DE" w:rsidP="00D247DE">
      <w:pPr>
        <w:spacing w:after="120"/>
        <w:ind w:left="2268" w:right="1134" w:hanging="1134"/>
        <w:jc w:val="both"/>
      </w:pPr>
      <w:r w:rsidRPr="00B04DC3">
        <w:tab/>
        <w:t>In the case of full flow dilution systems, it shall have a flow Reynolds number (Re) of &lt; 1</w:t>
      </w:r>
      <w:r w:rsidR="008E3448">
        <w:t>,</w:t>
      </w:r>
      <w:r w:rsidRPr="00B04DC3">
        <w:t>700;</w:t>
      </w:r>
    </w:p>
    <w:p w:rsidR="00D247DE" w:rsidRPr="00B04DC3" w:rsidRDefault="00D247DE" w:rsidP="00D247DE">
      <w:pPr>
        <w:spacing w:after="120"/>
        <w:ind w:left="2268" w:right="1134" w:hanging="1134"/>
        <w:jc w:val="both"/>
      </w:pPr>
      <w:r w:rsidRPr="00B04DC3">
        <w:tab/>
        <w:t>In the case of partial flow dilution systems, it shall have a flow Reynolds number (Re) of &lt; 1</w:t>
      </w:r>
      <w:r w:rsidR="008E3448">
        <w:t>,</w:t>
      </w:r>
      <w:r w:rsidRPr="00B04DC3">
        <w:t>700 in the PTT i.e. downstream of the sampling probe or point;</w:t>
      </w:r>
    </w:p>
    <w:p w:rsidR="00D247DE" w:rsidRPr="00B04DC3" w:rsidRDefault="00D247DE" w:rsidP="00D247DE">
      <w:pPr>
        <w:spacing w:after="120"/>
        <w:ind w:left="2268" w:right="1134" w:hanging="1134"/>
        <w:jc w:val="both"/>
      </w:pPr>
      <w:r w:rsidRPr="00B04DC3">
        <w:tab/>
        <w:t>It shall have a residence time in the PTS of ≤ 3 seconds.</w:t>
      </w:r>
    </w:p>
    <w:p w:rsidR="00D247DE" w:rsidRPr="00B04DC3" w:rsidRDefault="00D247DE" w:rsidP="00D247DE">
      <w:pPr>
        <w:spacing w:after="120"/>
        <w:ind w:left="2268" w:right="1134" w:hanging="1134"/>
        <w:jc w:val="both"/>
      </w:pPr>
      <w:r w:rsidRPr="00B04DC3">
        <w:tab/>
        <w:t xml:space="preserve">Any other sampling configuration for the PTS for which equivalent </w:t>
      </w:r>
      <w:r w:rsidR="002E6737">
        <w:t>particulate</w:t>
      </w:r>
      <w:r w:rsidRPr="00B04DC3">
        <w:t xml:space="preserve"> penetration at 30 nm can be demonstrated will be considered acceptable.</w:t>
      </w:r>
    </w:p>
    <w:p w:rsidR="00D247DE" w:rsidRPr="00B04DC3" w:rsidRDefault="00D247DE" w:rsidP="00D247DE">
      <w:pPr>
        <w:spacing w:after="120"/>
        <w:ind w:left="2268" w:right="1134" w:hanging="1134"/>
        <w:jc w:val="both"/>
      </w:pPr>
      <w:r w:rsidRPr="00B04DC3">
        <w:tab/>
        <w:t xml:space="preserve">The </w:t>
      </w:r>
      <w:r w:rsidR="008E3448" w:rsidRPr="00B04DC3">
        <w:t>O</w:t>
      </w:r>
      <w:r w:rsidRPr="00B04DC3">
        <w:t xml:space="preserve">utlet </w:t>
      </w:r>
      <w:r w:rsidR="008E3448" w:rsidRPr="00B04DC3">
        <w:t>T</w:t>
      </w:r>
      <w:r w:rsidRPr="00B04DC3">
        <w:t>ube (OT) conducting the diluted sample from the VPR to the inlet of the PNC shall have the following properties:</w:t>
      </w:r>
    </w:p>
    <w:p w:rsidR="00D247DE" w:rsidRPr="00B04DC3" w:rsidRDefault="00D247DE" w:rsidP="00D247DE">
      <w:pPr>
        <w:spacing w:after="120"/>
        <w:ind w:left="2268" w:right="1134" w:hanging="1134"/>
        <w:jc w:val="both"/>
      </w:pPr>
      <w:r w:rsidRPr="00B04DC3">
        <w:tab/>
        <w:t>It shall have an internal diameter of ≥ 4</w:t>
      </w:r>
      <w:r w:rsidR="008E3448">
        <w:t xml:space="preserve"> </w:t>
      </w:r>
      <w:r w:rsidRPr="00B04DC3">
        <w:t>mm;</w:t>
      </w:r>
    </w:p>
    <w:p w:rsidR="00D247DE" w:rsidRPr="00B04DC3" w:rsidRDefault="00D247DE" w:rsidP="00D247DE">
      <w:pPr>
        <w:spacing w:after="120"/>
        <w:ind w:left="2268" w:right="1134" w:hanging="1134"/>
        <w:jc w:val="both"/>
      </w:pPr>
      <w:r w:rsidRPr="00B04DC3">
        <w:tab/>
        <w:t>Sample Gas flow through the OT shall have a residence time of ≤ 0.8 seconds.</w:t>
      </w:r>
    </w:p>
    <w:p w:rsidR="00D247DE" w:rsidRPr="00B04DC3" w:rsidRDefault="00D247DE" w:rsidP="00D247DE">
      <w:pPr>
        <w:spacing w:after="120"/>
        <w:ind w:left="2268" w:right="1134" w:hanging="1134"/>
        <w:jc w:val="both"/>
      </w:pPr>
      <w:r w:rsidRPr="00B04DC3">
        <w:tab/>
        <w:t xml:space="preserve">Any other sampling configuration for the OT for which equivalent </w:t>
      </w:r>
      <w:r w:rsidR="002E6737">
        <w:t>particulate</w:t>
      </w:r>
      <w:r w:rsidRPr="00B04DC3">
        <w:t xml:space="preserve"> penetration at 30 nm can be demonstrated will be considered acceptable.</w:t>
      </w:r>
    </w:p>
    <w:p w:rsidR="00D247DE" w:rsidRPr="00B04DC3" w:rsidRDefault="00D247DE" w:rsidP="00D247DE">
      <w:pPr>
        <w:spacing w:after="120"/>
        <w:ind w:left="2268" w:right="1134" w:hanging="1134"/>
        <w:jc w:val="both"/>
      </w:pPr>
      <w:r w:rsidRPr="00B04DC3">
        <w:t>1.2.2.</w:t>
      </w:r>
      <w:r w:rsidRPr="00B04DC3">
        <w:tab/>
        <w:t xml:space="preserve">The VPR shall include devices for sample dilution and for volatile </w:t>
      </w:r>
      <w:r w:rsidR="002E6737">
        <w:t>particulate</w:t>
      </w:r>
      <w:r w:rsidRPr="00B04DC3">
        <w:t xml:space="preserve"> removal.</w:t>
      </w:r>
    </w:p>
    <w:p w:rsidR="00D247DE" w:rsidRPr="00B04DC3" w:rsidRDefault="00D247DE" w:rsidP="00D247DE">
      <w:pPr>
        <w:spacing w:after="120"/>
        <w:ind w:left="2268" w:right="1134" w:hanging="1134"/>
        <w:jc w:val="both"/>
      </w:pPr>
      <w:r w:rsidRPr="00B04DC3">
        <w:t>1.2.3.</w:t>
      </w:r>
      <w:r w:rsidRPr="00B04DC3">
        <w:tab/>
        <w:t xml:space="preserve">All parts of the dilution system and the sampling system from the exhaust pipe up to the PNC, which are in contact with raw and diluted exhaust gas, shall be designed to minimize deposition of the </w:t>
      </w:r>
      <w:r w:rsidR="002E6737">
        <w:t>particulate</w:t>
      </w:r>
      <w:r w:rsidRPr="00B04DC3">
        <w:t>s. All parts shall be made of electrically conductive materials that do not react with exhaust gas components, and shall be electrically grounded to prevent electrostatic effects.</w:t>
      </w:r>
    </w:p>
    <w:p w:rsidR="00D247DE" w:rsidRPr="00B04DC3" w:rsidRDefault="00D247DE" w:rsidP="00D247DE">
      <w:pPr>
        <w:spacing w:after="120" w:line="240" w:lineRule="auto"/>
        <w:ind w:left="2268" w:right="1134" w:hanging="1134"/>
        <w:jc w:val="both"/>
      </w:pPr>
      <w:r w:rsidRPr="00B04DC3">
        <w:t>1.2.4.</w:t>
      </w:r>
      <w:r w:rsidRPr="00B04DC3">
        <w:tab/>
        <w:t xml:space="preserve">The </w:t>
      </w:r>
      <w:r w:rsidR="002E6737">
        <w:t>particulate</w:t>
      </w:r>
      <w:r w:rsidRPr="00B04DC3">
        <w:t xml:space="preserv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rsidR="00D247DE" w:rsidRPr="00B04DC3" w:rsidRDefault="00D247DE" w:rsidP="00D247DE">
      <w:pPr>
        <w:spacing w:after="120"/>
        <w:ind w:left="2268" w:right="1134" w:hanging="1134"/>
        <w:jc w:val="both"/>
      </w:pPr>
      <w:r w:rsidRPr="00B04DC3">
        <w:t>1.3.</w:t>
      </w:r>
      <w:r w:rsidRPr="00B04DC3">
        <w:tab/>
        <w:t>Specific requirements</w:t>
      </w:r>
    </w:p>
    <w:p w:rsidR="00D247DE" w:rsidRPr="00B04DC3" w:rsidRDefault="00D247DE" w:rsidP="00D247DE">
      <w:pPr>
        <w:spacing w:after="120"/>
        <w:ind w:left="2268" w:right="1134" w:hanging="1134"/>
        <w:jc w:val="both"/>
      </w:pPr>
      <w:r w:rsidRPr="00B04DC3">
        <w:t>1.3.1.</w:t>
      </w:r>
      <w:r w:rsidRPr="00B04DC3">
        <w:tab/>
        <w:t xml:space="preserve">The </w:t>
      </w:r>
      <w:r w:rsidR="002E6737">
        <w:t>particulate</w:t>
      </w:r>
      <w:r w:rsidRPr="00B04DC3">
        <w:t xml:space="preserve"> sample shall not pass through a pump before passing through the PNC.</w:t>
      </w:r>
    </w:p>
    <w:p w:rsidR="00D247DE" w:rsidRPr="00B04DC3" w:rsidRDefault="00D247DE" w:rsidP="00D247DE">
      <w:pPr>
        <w:spacing w:after="120" w:line="240" w:lineRule="auto"/>
        <w:ind w:left="2268" w:right="1134" w:hanging="1134"/>
        <w:jc w:val="both"/>
      </w:pPr>
      <w:r w:rsidRPr="00B04DC3">
        <w:t>1.3.2.</w:t>
      </w:r>
      <w:r w:rsidRPr="00B04DC3">
        <w:tab/>
        <w:t>A sample pre-classifier is recommended.</w:t>
      </w:r>
    </w:p>
    <w:p w:rsidR="00D247DE" w:rsidRPr="00B04DC3" w:rsidRDefault="00D247DE" w:rsidP="00D247DE">
      <w:pPr>
        <w:spacing w:after="120"/>
        <w:ind w:left="2268" w:right="1134" w:hanging="1134"/>
        <w:jc w:val="both"/>
      </w:pPr>
      <w:r w:rsidRPr="00B04DC3">
        <w:t>1.3.3.</w:t>
      </w:r>
      <w:r w:rsidRPr="00B04DC3">
        <w:tab/>
        <w:t>The sample preconditioning unit shall:</w:t>
      </w:r>
    </w:p>
    <w:p w:rsidR="00D247DE" w:rsidRPr="00B04DC3" w:rsidRDefault="00D247DE" w:rsidP="00D247DE">
      <w:pPr>
        <w:spacing w:after="120"/>
        <w:ind w:left="2268" w:right="1134" w:hanging="1134"/>
        <w:jc w:val="both"/>
      </w:pPr>
      <w:r w:rsidRPr="00B04DC3">
        <w:t>1.3.3.1.</w:t>
      </w:r>
      <w:r w:rsidRPr="00B04DC3">
        <w:tab/>
        <w:t xml:space="preserve">Be capable of diluting the sample in one or more stages to achieve a </w:t>
      </w:r>
      <w:r w:rsidR="002E6737">
        <w:t>particulate</w:t>
      </w:r>
      <w:r w:rsidRPr="00B04DC3">
        <w:t xml:space="preserve"> number concentration below the upper threshold of the single </w:t>
      </w:r>
      <w:r w:rsidR="002E6737">
        <w:t>particulate</w:t>
      </w:r>
      <w:r w:rsidRPr="00B04DC3">
        <w:t xml:space="preserve"> count mode of the PNC and a gas temperature below 35 °C at the inlet to the PNC;</w:t>
      </w:r>
    </w:p>
    <w:p w:rsidR="00D247DE" w:rsidRPr="00B04DC3" w:rsidRDefault="00D247DE" w:rsidP="00D247DE">
      <w:pPr>
        <w:spacing w:after="120"/>
        <w:ind w:left="2268" w:right="1134" w:hanging="1134"/>
        <w:jc w:val="both"/>
      </w:pPr>
      <w:r w:rsidRPr="00B04DC3">
        <w:t>1.3.3.2.</w:t>
      </w:r>
      <w:r w:rsidRPr="00B04DC3">
        <w:tab/>
        <w:t xml:space="preserve">Include an initial heated dilution stage which outputs a sample at a temperature of  </w:t>
      </w:r>
      <w:r w:rsidRPr="00B04DC3">
        <w:sym w:font="Symbol" w:char="F0B3"/>
      </w:r>
      <w:r w:rsidRPr="00B04DC3">
        <w:t xml:space="preserve"> 150 °C and ≤ 400 °C, and dilutes by a factor of at least 10;</w:t>
      </w:r>
    </w:p>
    <w:p w:rsidR="00D247DE" w:rsidRPr="00B04DC3" w:rsidRDefault="00D247DE" w:rsidP="00062B68">
      <w:pPr>
        <w:keepNext/>
        <w:keepLines/>
        <w:spacing w:after="120"/>
        <w:ind w:left="2268" w:right="1134" w:hanging="1134"/>
        <w:jc w:val="both"/>
      </w:pPr>
      <w:r w:rsidRPr="00B04DC3">
        <w:t>1.3.3.3.</w:t>
      </w:r>
      <w:r w:rsidRPr="00B04DC3">
        <w:tab/>
        <w:t>Control heated stages to constant nominal operating temperatures, within the range specified in paragraph 1.3.3.2.</w:t>
      </w:r>
      <w:r w:rsidR="008E3448">
        <w:t xml:space="preserve"> above</w:t>
      </w:r>
      <w:r w:rsidRPr="00B04DC3">
        <w:t>, to a tolerance of ±10 °C. Provide an indication of whether or not heated stages are at their correct operating temperatures;</w:t>
      </w:r>
    </w:p>
    <w:p w:rsidR="00D247DE" w:rsidRPr="00B04DC3" w:rsidRDefault="00D247DE" w:rsidP="00D247DE">
      <w:pPr>
        <w:spacing w:after="120"/>
        <w:ind w:left="2268" w:right="1134" w:hanging="1134"/>
        <w:jc w:val="both"/>
      </w:pPr>
      <w:r w:rsidRPr="00B04DC3">
        <w:t>1.3.3.4.</w:t>
      </w:r>
      <w:r w:rsidRPr="00B04DC3">
        <w:tab/>
        <w:t xml:space="preserve">Achieve a </w:t>
      </w:r>
      <w:r w:rsidR="002E6737">
        <w:t>particulate</w:t>
      </w:r>
      <w:r w:rsidRPr="00B04DC3">
        <w:t xml:space="preserve"> concentration reduction factor (f</w:t>
      </w:r>
      <w:r w:rsidRPr="00B04DC3">
        <w:rPr>
          <w:vertAlign w:val="subscript"/>
        </w:rPr>
        <w:t>r</w:t>
      </w:r>
      <w:r w:rsidRPr="00B04DC3">
        <w:t>(d</w:t>
      </w:r>
      <w:r w:rsidRPr="00B04DC3">
        <w:rPr>
          <w:vertAlign w:val="subscript"/>
        </w:rPr>
        <w:t>i</w:t>
      </w:r>
      <w:r w:rsidRPr="00B04DC3">
        <w:t xml:space="preserve">)), as defined in paragraph 2.2.2. below, for </w:t>
      </w:r>
      <w:r w:rsidR="002E6737">
        <w:t>particulate</w:t>
      </w:r>
      <w:r w:rsidRPr="00B04DC3">
        <w:t xml:space="preserve">s of 30 nm and 50 nm electrical mobility diameters, that is no more than 30 per cent and 20 per cent respectively higher, and no more than 5 per cent lower than that for </w:t>
      </w:r>
      <w:r w:rsidR="002E6737">
        <w:t>particulate</w:t>
      </w:r>
      <w:r w:rsidRPr="00B04DC3">
        <w:t>s of 100 nm electrical mobility diameter for the VPR as a whole;</w:t>
      </w:r>
    </w:p>
    <w:p w:rsidR="00D247DE" w:rsidRPr="00B04DC3" w:rsidRDefault="00D247DE" w:rsidP="00D247DE">
      <w:pPr>
        <w:spacing w:after="120" w:line="240" w:lineRule="auto"/>
        <w:ind w:left="2268" w:right="1134" w:hanging="1134"/>
        <w:jc w:val="both"/>
      </w:pPr>
      <w:r w:rsidRPr="00B04DC3">
        <w:t>1.3.3.5.</w:t>
      </w:r>
      <w:r w:rsidRPr="00B04DC3">
        <w:tab/>
        <w:t>Also achieve &gt; 99.0 per cent vaporisation of 30 nm tetracontane (CH</w:t>
      </w:r>
      <w:r w:rsidRPr="00B04DC3">
        <w:rPr>
          <w:vertAlign w:val="subscript"/>
        </w:rPr>
        <w:t>3</w:t>
      </w:r>
      <w:r w:rsidRPr="00B04DC3">
        <w:t>(CH</w:t>
      </w:r>
      <w:r w:rsidRPr="00B04DC3">
        <w:rPr>
          <w:vertAlign w:val="subscript"/>
        </w:rPr>
        <w:t>2</w:t>
      </w:r>
      <w:r w:rsidRPr="00B04DC3">
        <w:t>)</w:t>
      </w:r>
      <w:r w:rsidRPr="00B04DC3">
        <w:rPr>
          <w:vertAlign w:val="subscript"/>
        </w:rPr>
        <w:t>38</w:t>
      </w:r>
      <w:r w:rsidRPr="00B04DC3">
        <w:t>CH</w:t>
      </w:r>
      <w:r w:rsidRPr="00B04DC3">
        <w:rPr>
          <w:vertAlign w:val="subscript"/>
        </w:rPr>
        <w:t>3</w:t>
      </w:r>
      <w:r w:rsidRPr="00B04DC3">
        <w:t xml:space="preserve">) </w:t>
      </w:r>
      <w:r w:rsidR="002E6737">
        <w:t>particulate</w:t>
      </w:r>
      <w:r w:rsidRPr="00B04DC3">
        <w:t>s, with an inlet concentration of ≥ 10,000 cm</w:t>
      </w:r>
      <w:r w:rsidRPr="00B04DC3">
        <w:rPr>
          <w:vertAlign w:val="superscript"/>
        </w:rPr>
        <w:t>-3</w:t>
      </w:r>
      <w:r w:rsidRPr="00B04DC3">
        <w:t>, by means of heating and reduction of partial pressures of the tetracontane.</w:t>
      </w:r>
    </w:p>
    <w:p w:rsidR="00D247DE" w:rsidRPr="00B04DC3" w:rsidRDefault="00D247DE" w:rsidP="00D247DE">
      <w:pPr>
        <w:spacing w:after="120"/>
        <w:ind w:left="2268" w:right="1134" w:hanging="1134"/>
        <w:jc w:val="both"/>
      </w:pPr>
      <w:r w:rsidRPr="00B04DC3">
        <w:t>1.3.4.</w:t>
      </w:r>
      <w:r w:rsidRPr="00B04DC3">
        <w:tab/>
        <w:t>The PNC shall:</w:t>
      </w:r>
    </w:p>
    <w:p w:rsidR="00D247DE" w:rsidRPr="00B04DC3" w:rsidRDefault="00D247DE" w:rsidP="00D247DE">
      <w:pPr>
        <w:spacing w:after="120"/>
        <w:ind w:left="2268" w:right="1134" w:hanging="1134"/>
        <w:jc w:val="both"/>
      </w:pPr>
      <w:r w:rsidRPr="00B04DC3">
        <w:t>1.3.4.1.</w:t>
      </w:r>
      <w:r w:rsidRPr="00B04DC3">
        <w:tab/>
        <w:t>Operate under full flow operating conditions;</w:t>
      </w:r>
    </w:p>
    <w:p w:rsidR="00D247DE" w:rsidRPr="00B04DC3" w:rsidRDefault="00D247DE" w:rsidP="00D247DE">
      <w:pPr>
        <w:spacing w:after="120" w:line="240" w:lineRule="auto"/>
        <w:ind w:left="2268" w:right="1134" w:hanging="1134"/>
        <w:jc w:val="both"/>
      </w:pPr>
      <w:r w:rsidRPr="00B04DC3">
        <w:t>1.3.4.2.</w:t>
      </w:r>
      <w:r w:rsidRPr="00B04DC3">
        <w:tab/>
        <w:t>Have a counting accuracy of ±10 per cent across the range 1 cm</w:t>
      </w:r>
      <w:r w:rsidRPr="00B04DC3">
        <w:rPr>
          <w:vertAlign w:val="superscript"/>
        </w:rPr>
        <w:t>-3</w:t>
      </w:r>
      <w:r w:rsidRPr="00B04DC3">
        <w:t xml:space="preserve"> to the upper threshold of the single </w:t>
      </w:r>
      <w:r w:rsidR="002E6737">
        <w:t>particulate</w:t>
      </w:r>
      <w:r w:rsidRPr="00B04DC3">
        <w:t xml:space="preserve"> count mode of the PNC against a traceable standard. At concentrations below 100 cm</w:t>
      </w:r>
      <w:r w:rsidRPr="00B04DC3">
        <w:rPr>
          <w:vertAlign w:val="superscript"/>
        </w:rPr>
        <w:t>-3</w:t>
      </w:r>
      <w:r w:rsidRPr="00B04DC3">
        <w:t xml:space="preserve"> measurements averaged over extended sampling periods may be required to demonstrate the accuracy of the PNC with a high degree of statistical confidence;</w:t>
      </w:r>
    </w:p>
    <w:p w:rsidR="00D247DE" w:rsidRPr="00B04DC3" w:rsidRDefault="00D247DE" w:rsidP="00D247DE">
      <w:pPr>
        <w:spacing w:after="120" w:line="240" w:lineRule="auto"/>
        <w:ind w:left="2268" w:right="1134" w:hanging="1134"/>
        <w:jc w:val="both"/>
      </w:pPr>
      <w:r w:rsidRPr="00B04DC3">
        <w:t>1.3.4.3.</w:t>
      </w:r>
      <w:r w:rsidRPr="00B04DC3">
        <w:tab/>
        <w:t xml:space="preserve">Have a readability of at least 0.1 </w:t>
      </w:r>
      <w:r w:rsidR="002E6737">
        <w:t>particulate</w:t>
      </w:r>
      <w:r w:rsidRPr="00B04DC3">
        <w:t>s cm</w:t>
      </w:r>
      <w:r w:rsidRPr="00B04DC3">
        <w:rPr>
          <w:vertAlign w:val="superscript"/>
        </w:rPr>
        <w:t>-3</w:t>
      </w:r>
      <w:r w:rsidRPr="00B04DC3">
        <w:t xml:space="preserve"> at concentrations below 100 cm</w:t>
      </w:r>
      <w:r w:rsidRPr="00B04DC3">
        <w:rPr>
          <w:vertAlign w:val="superscript"/>
        </w:rPr>
        <w:t>-3</w:t>
      </w:r>
      <w:r w:rsidRPr="00B04DC3">
        <w:t>;</w:t>
      </w:r>
    </w:p>
    <w:p w:rsidR="00D247DE" w:rsidRPr="00B04DC3" w:rsidRDefault="00D247DE" w:rsidP="00D247DE">
      <w:pPr>
        <w:spacing w:after="120"/>
        <w:ind w:left="2268" w:right="1134" w:hanging="1134"/>
        <w:jc w:val="both"/>
      </w:pPr>
      <w:r w:rsidRPr="00B04DC3">
        <w:t>1.3.4.4.</w:t>
      </w:r>
      <w:r w:rsidRPr="00B04DC3">
        <w:tab/>
        <w:t xml:space="preserve">Have a linear response to </w:t>
      </w:r>
      <w:r w:rsidR="002E6737">
        <w:t>particulate</w:t>
      </w:r>
      <w:r w:rsidRPr="00B04DC3">
        <w:t xml:space="preserve"> concentrations over the full measurement range in single </w:t>
      </w:r>
      <w:r w:rsidR="002E6737">
        <w:t>particulate</w:t>
      </w:r>
      <w:r w:rsidRPr="00B04DC3">
        <w:t xml:space="preserve"> count mode;</w:t>
      </w:r>
    </w:p>
    <w:p w:rsidR="00D247DE" w:rsidRPr="00B04DC3" w:rsidRDefault="00D247DE" w:rsidP="00D247DE">
      <w:pPr>
        <w:spacing w:after="120"/>
        <w:ind w:left="2268" w:right="1134" w:hanging="1134"/>
        <w:jc w:val="both"/>
      </w:pPr>
      <w:r w:rsidRPr="00B04DC3">
        <w:t>1.3.4.5.</w:t>
      </w:r>
      <w:r w:rsidRPr="00B04DC3">
        <w:tab/>
        <w:t>Have a data reporting frequency equal to or greater than 0.5 Hz;</w:t>
      </w:r>
    </w:p>
    <w:p w:rsidR="00D247DE" w:rsidRPr="00B04DC3" w:rsidRDefault="00D247DE" w:rsidP="00D247DE">
      <w:pPr>
        <w:spacing w:after="120"/>
        <w:ind w:left="2268" w:right="1134" w:hanging="1134"/>
        <w:jc w:val="both"/>
      </w:pPr>
      <w:r w:rsidRPr="00B04DC3">
        <w:t>1.3.4.6.</w:t>
      </w:r>
      <w:r w:rsidRPr="00B04DC3">
        <w:tab/>
        <w:t>Have a t</w:t>
      </w:r>
      <w:r w:rsidRPr="00B04DC3">
        <w:rPr>
          <w:vertAlign w:val="subscript"/>
        </w:rPr>
        <w:t>90</w:t>
      </w:r>
      <w:r w:rsidRPr="00B04DC3">
        <w:t xml:space="preserve"> response time over the measured concentration range of less than 5 s;</w:t>
      </w:r>
    </w:p>
    <w:p w:rsidR="00D247DE" w:rsidRPr="00B04DC3" w:rsidRDefault="00D247DE" w:rsidP="00D247DE">
      <w:pPr>
        <w:spacing w:after="120"/>
        <w:ind w:left="2268" w:right="1134" w:hanging="1134"/>
        <w:jc w:val="both"/>
      </w:pPr>
      <w:r w:rsidRPr="00B04DC3">
        <w:t>1.3.4.7.</w:t>
      </w:r>
      <w:r w:rsidRPr="00B04DC3">
        <w:tab/>
        <w:t>Incorporate a coincidence correction function up to a maximum 10 per cent correction, and may make use of an internal calibration factor as determined in paragraph 2.1.3.</w:t>
      </w:r>
      <w:r w:rsidR="005F3AAA">
        <w:t xml:space="preserve"> of this appendix</w:t>
      </w:r>
      <w:r w:rsidRPr="00B04DC3">
        <w:t>, but shall not make use of any other algorithm to correct for or define the counting efficiency;</w:t>
      </w:r>
    </w:p>
    <w:p w:rsidR="00D247DE" w:rsidRPr="00B04DC3" w:rsidRDefault="00D247DE" w:rsidP="00D247DE">
      <w:pPr>
        <w:spacing w:after="120" w:line="240" w:lineRule="auto"/>
        <w:ind w:left="2268" w:right="1134" w:hanging="1134"/>
        <w:jc w:val="both"/>
      </w:pPr>
      <w:r w:rsidRPr="00B04DC3">
        <w:t>1.3.4.8.</w:t>
      </w:r>
      <w:r w:rsidRPr="00B04DC3">
        <w:tab/>
        <w:t xml:space="preserve">Have counting efficiencies at </w:t>
      </w:r>
      <w:r w:rsidR="002E6737">
        <w:t>particulate</w:t>
      </w:r>
      <w:r w:rsidRPr="00B04DC3">
        <w:t xml:space="preserv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rsidR="00D247DE" w:rsidRPr="00B04DC3" w:rsidRDefault="00D247DE" w:rsidP="00D247DE">
      <w:pPr>
        <w:spacing w:after="120"/>
        <w:ind w:left="2268" w:right="1134" w:hanging="1134"/>
        <w:jc w:val="both"/>
      </w:pPr>
      <w:r w:rsidRPr="00B04DC3">
        <w:t>1.3.4.9.</w:t>
      </w:r>
      <w:r w:rsidRPr="00B04DC3">
        <w:tab/>
        <w:t>If the PNC makes use of a working liquid, it shall be replaced at the frequency specified by the instrument manufacturer.</w:t>
      </w:r>
    </w:p>
    <w:p w:rsidR="00D247DE" w:rsidRPr="00B04DC3" w:rsidRDefault="00D247DE" w:rsidP="00D247DE">
      <w:pPr>
        <w:spacing w:after="120"/>
        <w:ind w:left="2268" w:right="1134" w:hanging="1134"/>
        <w:jc w:val="both"/>
      </w:pPr>
      <w:r w:rsidRPr="00B04DC3">
        <w:t>1.3.5.</w:t>
      </w:r>
      <w:r w:rsidRPr="00B04DC3">
        <w:tab/>
        <w:t xml:space="preserve">Where they are not held at a known constant level at the point at which PNC flow rate is controlled, the pressure and/or temperature at inlet to the PNC shall be measured and reported for the purposes of correcting </w:t>
      </w:r>
      <w:r w:rsidR="002E6737">
        <w:t>particulate</w:t>
      </w:r>
      <w:r w:rsidRPr="00B04DC3">
        <w:t xml:space="preserve"> concentration measurements to standard conditions.</w:t>
      </w:r>
    </w:p>
    <w:p w:rsidR="00D247DE" w:rsidRPr="00B04DC3" w:rsidRDefault="00D247DE" w:rsidP="00D247DE">
      <w:pPr>
        <w:spacing w:after="120"/>
        <w:ind w:left="2268" w:right="1134" w:hanging="1134"/>
        <w:jc w:val="both"/>
      </w:pPr>
      <w:r w:rsidRPr="00B04DC3">
        <w:t>1.3.6.</w:t>
      </w:r>
      <w:r w:rsidRPr="00B04DC3">
        <w:tab/>
        <w:t>The sum of the residence time of the PTS, VPR and OT plus the t</w:t>
      </w:r>
      <w:r w:rsidRPr="00B04DC3">
        <w:rPr>
          <w:vertAlign w:val="subscript"/>
        </w:rPr>
        <w:t>90</w:t>
      </w:r>
      <w:r w:rsidRPr="00B04DC3">
        <w:t xml:space="preserve"> response time of the PNC shall be no greater than 20 s.</w:t>
      </w:r>
    </w:p>
    <w:p w:rsidR="00D247DE" w:rsidRPr="00B04DC3" w:rsidRDefault="00D247DE" w:rsidP="00062B68">
      <w:pPr>
        <w:keepNext/>
        <w:keepLines/>
        <w:spacing w:after="120"/>
        <w:ind w:left="2268" w:right="1134" w:hanging="1134"/>
        <w:jc w:val="both"/>
      </w:pPr>
      <w:r w:rsidRPr="00B04DC3">
        <w:t>1.3.7.</w:t>
      </w:r>
      <w:r w:rsidRPr="00B04DC3">
        <w:tab/>
        <w:t xml:space="preserve">The transformation time of the entire </w:t>
      </w:r>
      <w:r w:rsidR="002E6737">
        <w:t>particulate</w:t>
      </w:r>
      <w:r w:rsidRPr="00B04DC3">
        <w:t xml:space="preserv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rsidR="00D247DE" w:rsidRPr="00B04DC3" w:rsidRDefault="00D247DE" w:rsidP="00D247DE">
      <w:pPr>
        <w:spacing w:after="120"/>
        <w:ind w:left="2268" w:right="1134" w:hanging="1134"/>
        <w:jc w:val="both"/>
      </w:pPr>
      <w:r w:rsidRPr="00B04DC3">
        <w:tab/>
        <w:t xml:space="preserve">The concentration trace shall be recorded. For time alignment of the </w:t>
      </w:r>
      <w:r w:rsidR="002E6737">
        <w:t>particulate</w:t>
      </w:r>
      <w:r w:rsidRPr="00B04DC3">
        <w:t xml:space="preserve"> number concentration and exhaust flow signals, the transformation time is defined as the time from the change (t</w:t>
      </w:r>
      <w:r w:rsidRPr="00B04DC3">
        <w:rPr>
          <w:vertAlign w:val="subscript"/>
        </w:rPr>
        <w:t>0</w:t>
      </w:r>
      <w:r w:rsidRPr="00B04DC3">
        <w:t>) until the response is 50 per cent of the final reading (t</w:t>
      </w:r>
      <w:r w:rsidRPr="00B04DC3">
        <w:rPr>
          <w:vertAlign w:val="subscript"/>
        </w:rPr>
        <w:t>50</w:t>
      </w:r>
      <w:r w:rsidRPr="00B04DC3">
        <w:t>).</w:t>
      </w:r>
    </w:p>
    <w:p w:rsidR="00D247DE" w:rsidRPr="00B04DC3" w:rsidRDefault="00D247DE" w:rsidP="00D247DE">
      <w:pPr>
        <w:keepNext/>
        <w:keepLines/>
        <w:spacing w:after="120"/>
        <w:ind w:left="2268" w:right="1134" w:hanging="1134"/>
        <w:jc w:val="both"/>
      </w:pPr>
      <w:r w:rsidRPr="00B04DC3">
        <w:t>1.4.</w:t>
      </w:r>
      <w:r w:rsidRPr="00B04DC3">
        <w:tab/>
        <w:t>Recommended system description</w:t>
      </w:r>
    </w:p>
    <w:p w:rsidR="00D247DE" w:rsidRPr="00B04DC3" w:rsidRDefault="00D247DE" w:rsidP="00D247DE">
      <w:pPr>
        <w:keepNext/>
        <w:keepLines/>
        <w:spacing w:after="120"/>
        <w:ind w:left="2268" w:right="1134" w:hanging="1134"/>
        <w:jc w:val="both"/>
      </w:pPr>
      <w:r w:rsidRPr="00B04DC3">
        <w:tab/>
        <w:t xml:space="preserve">The following paragraph contains the recommended practice for measurement of </w:t>
      </w:r>
      <w:r w:rsidR="002E6737">
        <w:t>particulate</w:t>
      </w:r>
      <w:r w:rsidRPr="00B04DC3">
        <w:t xml:space="preserve"> number. However, any system meeting the performance specifications in paragraphs 1.2. and 1.3.</w:t>
      </w:r>
      <w:r w:rsidR="00F76184" w:rsidRPr="00F76184">
        <w:t xml:space="preserve"> </w:t>
      </w:r>
      <w:r w:rsidR="00F76184">
        <w:t>of this appendix</w:t>
      </w:r>
      <w:r w:rsidRPr="00B04DC3">
        <w:t xml:space="preserve"> is acceptable.</w:t>
      </w:r>
    </w:p>
    <w:p w:rsidR="00D247DE" w:rsidRPr="00B04DC3" w:rsidRDefault="00D247DE" w:rsidP="00D247DE">
      <w:pPr>
        <w:spacing w:after="120"/>
        <w:ind w:left="2268" w:right="1134" w:hanging="1134"/>
        <w:jc w:val="both"/>
      </w:pPr>
      <w:r w:rsidRPr="00B04DC3">
        <w:tab/>
        <w:t xml:space="preserve">Figures 14 and 15 are schematic drawings of the recommended </w:t>
      </w:r>
      <w:r w:rsidR="002E6737">
        <w:t>particulate</w:t>
      </w:r>
      <w:r w:rsidRPr="00B04DC3">
        <w:t xml:space="preserve"> sampling system configures for partial and full flow dilution systems respectively.</w:t>
      </w:r>
    </w:p>
    <w:p w:rsidR="00D247DE" w:rsidRPr="00B04DC3" w:rsidRDefault="00D247DE" w:rsidP="00D247DE">
      <w:pPr>
        <w:spacing w:line="240" w:lineRule="auto"/>
        <w:ind w:left="1134"/>
        <w:outlineLvl w:val="0"/>
      </w:pPr>
      <w:r w:rsidRPr="00B04DC3">
        <w:t>Figure 14</w:t>
      </w:r>
    </w:p>
    <w:p w:rsidR="00D247DE" w:rsidRPr="00B04DC3" w:rsidRDefault="00D247DE" w:rsidP="00D247DE">
      <w:pPr>
        <w:spacing w:after="120"/>
        <w:ind w:left="2268" w:right="1134" w:hanging="1134"/>
        <w:rPr>
          <w:b/>
        </w:rPr>
      </w:pPr>
      <w:r w:rsidRPr="00B04DC3">
        <w:rPr>
          <w:b/>
        </w:rPr>
        <w:t xml:space="preserve">Schematic of </w:t>
      </w:r>
      <w:r w:rsidR="009737AE">
        <w:rPr>
          <w:b/>
        </w:rPr>
        <w:t>r</w:t>
      </w:r>
      <w:r w:rsidRPr="00B04DC3">
        <w:rPr>
          <w:b/>
        </w:rPr>
        <w:t xml:space="preserve">ecommended </w:t>
      </w:r>
      <w:r w:rsidR="002E6737">
        <w:rPr>
          <w:b/>
        </w:rPr>
        <w:t>particulate</w:t>
      </w:r>
      <w:r w:rsidRPr="00B04DC3">
        <w:rPr>
          <w:b/>
        </w:rPr>
        <w:t xml:space="preserve"> </w:t>
      </w:r>
      <w:r w:rsidR="009737AE">
        <w:rPr>
          <w:b/>
        </w:rPr>
        <w:t>s</w:t>
      </w:r>
      <w:r w:rsidRPr="00B04DC3">
        <w:rPr>
          <w:b/>
        </w:rPr>
        <w:t xml:space="preserve">ampling </w:t>
      </w:r>
      <w:r w:rsidR="009737AE">
        <w:rPr>
          <w:b/>
        </w:rPr>
        <w:t>s</w:t>
      </w:r>
      <w:r w:rsidRPr="00B04DC3">
        <w:rPr>
          <w:b/>
        </w:rPr>
        <w:t xml:space="preserve">ystem – Partial </w:t>
      </w:r>
      <w:r w:rsidR="009737AE">
        <w:rPr>
          <w:b/>
        </w:rPr>
        <w:t>f</w:t>
      </w:r>
      <w:r w:rsidRPr="00B04DC3">
        <w:rPr>
          <w:b/>
        </w:rPr>
        <w:t xml:space="preserve">low </w:t>
      </w:r>
      <w:r w:rsidR="009737AE">
        <w:rPr>
          <w:b/>
        </w:rPr>
        <w:t>s</w:t>
      </w:r>
      <w:r w:rsidRPr="00B04DC3">
        <w:rPr>
          <w:b/>
        </w:rPr>
        <w:t>ampling</w:t>
      </w:r>
    </w:p>
    <w:p w:rsidR="00D247DE" w:rsidRPr="00B04DC3" w:rsidRDefault="00A905B7" w:rsidP="00D247DE">
      <w:pPr>
        <w:spacing w:after="120"/>
        <w:ind w:left="2300" w:right="1134" w:hanging="1166"/>
        <w:jc w:val="center"/>
      </w:pPr>
      <w:r>
        <w:pict>
          <v:shape id="_x0000_i1356" type="#_x0000_t75" style="width:327.6pt;height:243.6pt">
            <v:imagedata r:id="rId517" o:title="091216 xx PFDS"/>
          </v:shape>
        </w:pict>
      </w:r>
    </w:p>
    <w:p w:rsidR="00D247DE" w:rsidRPr="00B04DC3" w:rsidRDefault="00D247DE" w:rsidP="00D247DE">
      <w:pPr>
        <w:keepNext/>
        <w:spacing w:line="240" w:lineRule="auto"/>
        <w:ind w:left="1134"/>
        <w:outlineLvl w:val="0"/>
      </w:pPr>
      <w:r w:rsidRPr="00B04DC3">
        <w:t>Figure 15</w:t>
      </w:r>
    </w:p>
    <w:p w:rsidR="00D247DE" w:rsidRPr="00B04DC3" w:rsidRDefault="00D247DE" w:rsidP="00D247DE">
      <w:pPr>
        <w:keepNext/>
        <w:spacing w:after="120"/>
        <w:ind w:left="2268" w:right="1134" w:hanging="1134"/>
        <w:rPr>
          <w:b/>
        </w:rPr>
      </w:pPr>
      <w:r w:rsidRPr="00B04DC3">
        <w:rPr>
          <w:b/>
        </w:rPr>
        <w:t xml:space="preserve">Schematic of </w:t>
      </w:r>
      <w:r w:rsidR="009737AE">
        <w:rPr>
          <w:b/>
        </w:rPr>
        <w:t>r</w:t>
      </w:r>
      <w:r w:rsidRPr="00B04DC3">
        <w:rPr>
          <w:b/>
        </w:rPr>
        <w:t xml:space="preserve">ecommended </w:t>
      </w:r>
      <w:r w:rsidR="002E6737">
        <w:rPr>
          <w:b/>
        </w:rPr>
        <w:t>particulate</w:t>
      </w:r>
      <w:r w:rsidRPr="00B04DC3">
        <w:rPr>
          <w:b/>
        </w:rPr>
        <w:t xml:space="preserve"> </w:t>
      </w:r>
      <w:r w:rsidR="009737AE">
        <w:rPr>
          <w:b/>
        </w:rPr>
        <w:t>s</w:t>
      </w:r>
      <w:r w:rsidRPr="00B04DC3">
        <w:rPr>
          <w:b/>
        </w:rPr>
        <w:t xml:space="preserve">ampling </w:t>
      </w:r>
      <w:r w:rsidR="009737AE">
        <w:rPr>
          <w:b/>
        </w:rPr>
        <w:t>s</w:t>
      </w:r>
      <w:r w:rsidRPr="00B04DC3">
        <w:rPr>
          <w:b/>
        </w:rPr>
        <w:t xml:space="preserve">ystem – Full </w:t>
      </w:r>
      <w:r w:rsidR="009737AE">
        <w:rPr>
          <w:b/>
        </w:rPr>
        <w:t>f</w:t>
      </w:r>
      <w:r w:rsidRPr="00B04DC3">
        <w:rPr>
          <w:b/>
        </w:rPr>
        <w:t xml:space="preserve">low </w:t>
      </w:r>
      <w:r w:rsidR="009737AE">
        <w:rPr>
          <w:b/>
        </w:rPr>
        <w:t>s</w:t>
      </w:r>
      <w:r w:rsidRPr="00B04DC3">
        <w:rPr>
          <w:b/>
        </w:rPr>
        <w:t>ampling</w:t>
      </w:r>
    </w:p>
    <w:p w:rsidR="00D247DE" w:rsidRPr="00B04DC3" w:rsidRDefault="00A905B7" w:rsidP="00D247DE">
      <w:pPr>
        <w:spacing w:after="120"/>
        <w:ind w:left="2300" w:right="1134" w:hanging="1166"/>
        <w:jc w:val="center"/>
      </w:pPr>
      <w:r>
        <w:rPr>
          <w:color w:val="000000"/>
          <w:szCs w:val="24"/>
        </w:rPr>
        <w:pict>
          <v:shape id="_x0000_i1357" type="#_x0000_t75" style="width:315.6pt;height:207.6pt">
            <v:imagedata r:id="rId518" o:title="091216 xx CVS"/>
          </v:shape>
        </w:pict>
      </w:r>
    </w:p>
    <w:p w:rsidR="00D247DE" w:rsidRPr="00B04DC3" w:rsidRDefault="00D247DE" w:rsidP="00D247DE">
      <w:pPr>
        <w:keepNext/>
        <w:keepLines/>
        <w:spacing w:after="120"/>
        <w:ind w:left="2302" w:right="1134" w:hanging="1168"/>
        <w:jc w:val="both"/>
      </w:pPr>
      <w:r w:rsidRPr="00B04DC3">
        <w:t>1.4.1.</w:t>
      </w:r>
      <w:r w:rsidRPr="00B04DC3">
        <w:tab/>
        <w:t>Sampling system description</w:t>
      </w:r>
    </w:p>
    <w:p w:rsidR="00D247DE" w:rsidRPr="00062B68" w:rsidRDefault="00D247DE" w:rsidP="00D247DE">
      <w:pPr>
        <w:keepNext/>
        <w:keepLines/>
        <w:spacing w:after="120" w:line="240" w:lineRule="auto"/>
        <w:ind w:left="2268" w:right="1134" w:hanging="1134"/>
        <w:jc w:val="both"/>
        <w:rPr>
          <w:spacing w:val="-2"/>
        </w:rPr>
      </w:pPr>
      <w:r w:rsidRPr="00062B68">
        <w:rPr>
          <w:spacing w:val="-2"/>
        </w:rPr>
        <w:tab/>
        <w:t xml:space="preserve">The </w:t>
      </w:r>
      <w:r w:rsidR="002E6737" w:rsidRPr="00062B68">
        <w:rPr>
          <w:spacing w:val="-2"/>
        </w:rPr>
        <w:t>particulate</w:t>
      </w:r>
      <w:r w:rsidRPr="00062B68">
        <w:rPr>
          <w:spacing w:val="-2"/>
        </w:rPr>
        <w:t xml:space="preserve"> sampling system shall consist of a sampling probe tip or </w:t>
      </w:r>
      <w:r w:rsidR="002E6737" w:rsidRPr="00062B68">
        <w:rPr>
          <w:spacing w:val="-2"/>
        </w:rPr>
        <w:t>particulate</w:t>
      </w:r>
      <w:r w:rsidRPr="00062B68">
        <w:rPr>
          <w:spacing w:val="-2"/>
        </w:rPr>
        <w:t xml:space="preserve"> sampling point in the dilution system, a </w:t>
      </w:r>
      <w:r w:rsidR="002E6737" w:rsidRPr="00062B68">
        <w:rPr>
          <w:spacing w:val="-2"/>
        </w:rPr>
        <w:t>Particulate</w:t>
      </w:r>
      <w:r w:rsidRPr="00062B68">
        <w:rPr>
          <w:spacing w:val="-2"/>
        </w:rPr>
        <w:t xml:space="preserve"> </w:t>
      </w:r>
      <w:r w:rsidR="009737AE" w:rsidRPr="00062B68">
        <w:rPr>
          <w:spacing w:val="-2"/>
        </w:rPr>
        <w:t>T</w:t>
      </w:r>
      <w:r w:rsidRPr="00062B68">
        <w:rPr>
          <w:spacing w:val="-2"/>
        </w:rPr>
        <w:t xml:space="preserve">ransfer </w:t>
      </w:r>
      <w:r w:rsidR="009737AE" w:rsidRPr="00062B68">
        <w:rPr>
          <w:spacing w:val="-2"/>
        </w:rPr>
        <w:t>T</w:t>
      </w:r>
      <w:r w:rsidRPr="00062B68">
        <w:rPr>
          <w:spacing w:val="-2"/>
        </w:rPr>
        <w:t xml:space="preserve">ube (PTT), a </w:t>
      </w:r>
      <w:r w:rsidR="002E6737" w:rsidRPr="00062B68">
        <w:rPr>
          <w:spacing w:val="-2"/>
        </w:rPr>
        <w:t>particulate</w:t>
      </w:r>
      <w:r w:rsidRPr="00062B68">
        <w:rPr>
          <w:spacing w:val="-2"/>
        </w:rPr>
        <w:t xml:space="preserve"> pre-classifier  and a </w:t>
      </w:r>
      <w:r w:rsidR="009737AE" w:rsidRPr="00062B68">
        <w:rPr>
          <w:spacing w:val="-2"/>
        </w:rPr>
        <w:t>V</w:t>
      </w:r>
      <w:r w:rsidRPr="00062B68">
        <w:rPr>
          <w:spacing w:val="-2"/>
        </w:rPr>
        <w:t xml:space="preserve">olatile </w:t>
      </w:r>
      <w:r w:rsidR="002E6737" w:rsidRPr="00062B68">
        <w:rPr>
          <w:spacing w:val="-2"/>
        </w:rPr>
        <w:t>Particulate</w:t>
      </w:r>
      <w:r w:rsidRPr="00062B68">
        <w:rPr>
          <w:spacing w:val="-2"/>
        </w:rPr>
        <w:t xml:space="preserve"> </w:t>
      </w:r>
      <w:r w:rsidR="009737AE" w:rsidRPr="00062B68">
        <w:rPr>
          <w:spacing w:val="-2"/>
        </w:rPr>
        <w:t>R</w:t>
      </w:r>
      <w:r w:rsidRPr="00062B68">
        <w:rPr>
          <w:spacing w:val="-2"/>
        </w:rPr>
        <w:t xml:space="preserve">emover (VPR) upstream of the </w:t>
      </w:r>
      <w:r w:rsidR="00F76184" w:rsidRPr="00062B68">
        <w:rPr>
          <w:spacing w:val="-2"/>
        </w:rPr>
        <w:t>P</w:t>
      </w:r>
      <w:r w:rsidR="002E6737" w:rsidRPr="00062B68">
        <w:rPr>
          <w:spacing w:val="-2"/>
        </w:rPr>
        <w:t>articulate</w:t>
      </w:r>
      <w:r w:rsidRPr="00062B68">
        <w:rPr>
          <w:spacing w:val="-2"/>
        </w:rPr>
        <w:t xml:space="preserve"> </w:t>
      </w:r>
      <w:r w:rsidR="00F76184" w:rsidRPr="00062B68">
        <w:rPr>
          <w:spacing w:val="-2"/>
        </w:rPr>
        <w:t>N</w:t>
      </w:r>
      <w:r w:rsidRPr="00062B68">
        <w:rPr>
          <w:spacing w:val="-2"/>
        </w:rPr>
        <w:t xml:space="preserve">umber </w:t>
      </w:r>
      <w:r w:rsidR="00F76184" w:rsidRPr="00062B68">
        <w:rPr>
          <w:spacing w:val="-2"/>
        </w:rPr>
        <w:t>C</w:t>
      </w:r>
      <w:r w:rsidRPr="00062B68">
        <w:rPr>
          <w:spacing w:val="-2"/>
        </w:rPr>
        <w:t xml:space="preserve">oncentration </w:t>
      </w:r>
      <w:r w:rsidR="00F76184" w:rsidRPr="00062B68">
        <w:rPr>
          <w:spacing w:val="-2"/>
        </w:rPr>
        <w:t xml:space="preserve">(PNC) </w:t>
      </w:r>
      <w:r w:rsidRPr="00062B68">
        <w:rPr>
          <w:spacing w:val="-2"/>
        </w:rPr>
        <w:t>measurement  unit. The VPR shall include devices for sample dilution (</w:t>
      </w:r>
      <w:r w:rsidR="002E6737" w:rsidRPr="00062B68">
        <w:rPr>
          <w:spacing w:val="-2"/>
        </w:rPr>
        <w:t>Particulate</w:t>
      </w:r>
      <w:r w:rsidRPr="00062B68">
        <w:rPr>
          <w:spacing w:val="-2"/>
        </w:rPr>
        <w:t xml:space="preserve"> </w:t>
      </w:r>
      <w:r w:rsidR="009737AE" w:rsidRPr="00062B68">
        <w:rPr>
          <w:spacing w:val="-2"/>
        </w:rPr>
        <w:t>N</w:t>
      </w:r>
      <w:r w:rsidRPr="00062B68">
        <w:rPr>
          <w:spacing w:val="-2"/>
        </w:rPr>
        <w:t xml:space="preserve">umber </w:t>
      </w:r>
      <w:r w:rsidR="009737AE" w:rsidRPr="00062B68">
        <w:rPr>
          <w:spacing w:val="-2"/>
        </w:rPr>
        <w:t>D</w:t>
      </w:r>
      <w:r w:rsidRPr="00062B68">
        <w:rPr>
          <w:spacing w:val="-2"/>
        </w:rPr>
        <w:t xml:space="preserve">iluters: PND1 and PND2) and </w:t>
      </w:r>
      <w:r w:rsidR="002E6737" w:rsidRPr="00062B68">
        <w:rPr>
          <w:spacing w:val="-2"/>
        </w:rPr>
        <w:t>particulate</w:t>
      </w:r>
      <w:r w:rsidRPr="00062B68">
        <w:rPr>
          <w:spacing w:val="-2"/>
        </w:rPr>
        <w:t xml:space="preserve"> evaporation (Evaporation </w:t>
      </w:r>
      <w:r w:rsidR="009737AE" w:rsidRPr="00062B68">
        <w:rPr>
          <w:spacing w:val="-2"/>
        </w:rPr>
        <w:t>T</w:t>
      </w:r>
      <w:r w:rsidRPr="00062B68">
        <w:rPr>
          <w:spacing w:val="-2"/>
        </w:rPr>
        <w: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rsidR="00D247DE" w:rsidRPr="00B04DC3" w:rsidRDefault="00D247DE" w:rsidP="00D247DE">
      <w:pPr>
        <w:spacing w:after="120"/>
        <w:ind w:left="2268" w:right="1134" w:hanging="1134"/>
        <w:jc w:val="both"/>
      </w:pPr>
      <w:r w:rsidRPr="00B04DC3">
        <w:t>1.4.2.</w:t>
      </w:r>
      <w:r w:rsidRPr="00B04DC3">
        <w:tab/>
      </w:r>
      <w:r w:rsidR="002E6737">
        <w:t>Particulate</w:t>
      </w:r>
      <w:r w:rsidRPr="00B04DC3">
        <w:t xml:space="preserve"> transfer system</w:t>
      </w:r>
    </w:p>
    <w:p w:rsidR="00D247DE" w:rsidRPr="00B04DC3" w:rsidRDefault="00D247DE" w:rsidP="00D247DE">
      <w:pPr>
        <w:spacing w:after="120"/>
        <w:ind w:left="2268" w:right="1134" w:hanging="1134"/>
        <w:jc w:val="both"/>
      </w:pPr>
      <w:r w:rsidRPr="00B04DC3">
        <w:tab/>
        <w:t xml:space="preserve">The sampling probe tip or </w:t>
      </w:r>
      <w:r w:rsidR="002E6737">
        <w:t>particulate</w:t>
      </w:r>
      <w:r w:rsidRPr="00B04DC3">
        <w:t xml:space="preserve"> sampling point and </w:t>
      </w:r>
      <w:r w:rsidR="002E6737">
        <w:t>particulate</w:t>
      </w:r>
      <w:r w:rsidRPr="00B04DC3">
        <w:t xml:space="preserve"> transfer tube together comprise the </w:t>
      </w:r>
      <w:r w:rsidR="002E6737">
        <w:t>particulate</w:t>
      </w:r>
      <w:r w:rsidRPr="00B04DC3">
        <w:t xml:space="preserve"> transfer system. The PTS conducts the sample from the dilution tunnel to the entrance to the first </w:t>
      </w:r>
      <w:r w:rsidR="002E6737">
        <w:t>particulate</w:t>
      </w:r>
      <w:r w:rsidRPr="00B04DC3">
        <w:t xml:space="preserve"> number diluter. The PTS shall meet the following conditions:</w:t>
      </w:r>
    </w:p>
    <w:p w:rsidR="00D247DE" w:rsidRPr="00062B68" w:rsidRDefault="00D247DE" w:rsidP="00D247DE">
      <w:pPr>
        <w:spacing w:after="120"/>
        <w:ind w:left="2268" w:right="1134" w:hanging="1134"/>
        <w:jc w:val="both"/>
        <w:rPr>
          <w:spacing w:val="-2"/>
        </w:rPr>
      </w:pPr>
      <w:r w:rsidRPr="00062B68">
        <w:rPr>
          <w:spacing w:val="-2"/>
        </w:rPr>
        <w:tab/>
        <w:t>In the case of full flow dilution systems and partial flow dilution systems of the fractional sampling type (as described in Annex 4B, Appendix 3, paragraph A.3.2.1.)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rsidR="00D247DE" w:rsidRPr="00B04DC3" w:rsidRDefault="00D247DE" w:rsidP="00D247DE">
      <w:pPr>
        <w:spacing w:after="120"/>
        <w:ind w:left="2268" w:right="1134" w:hanging="1134"/>
        <w:jc w:val="both"/>
      </w:pPr>
      <w:r w:rsidRPr="00B04DC3">
        <w:tab/>
        <w:t xml:space="preserve">In the case of partial flow dilution systems of the total sampling type (as described in Annex 4B, paragraph A.3.2.1.) the </w:t>
      </w:r>
      <w:r w:rsidR="002E6737">
        <w:t>particulate</w:t>
      </w:r>
      <w:r w:rsidRPr="00B04DC3">
        <w:t xml:space="preserv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rsidR="00D247DE" w:rsidRPr="00B04DC3" w:rsidRDefault="00D247DE" w:rsidP="00D247DE">
      <w:pPr>
        <w:spacing w:after="120"/>
        <w:ind w:left="2268" w:right="1134" w:hanging="1134"/>
        <w:jc w:val="both"/>
      </w:pPr>
      <w:r w:rsidRPr="00B04DC3">
        <w:tab/>
        <w:t>Sample gas drawn through the PTS shall meet the following conditions:</w:t>
      </w:r>
    </w:p>
    <w:p w:rsidR="00D247DE" w:rsidRPr="00B04DC3" w:rsidRDefault="00D247DE" w:rsidP="00D247DE">
      <w:pPr>
        <w:spacing w:after="120"/>
        <w:ind w:left="2268" w:right="1134" w:hanging="1134"/>
        <w:jc w:val="both"/>
      </w:pPr>
      <w:r w:rsidRPr="00B04DC3">
        <w:tab/>
        <w:t>It shall have a flow Reynolds number (Re) of &lt; 1</w:t>
      </w:r>
      <w:r w:rsidR="009737AE">
        <w:t>,</w:t>
      </w:r>
      <w:r w:rsidRPr="00B04DC3">
        <w:t>700;</w:t>
      </w:r>
    </w:p>
    <w:p w:rsidR="00D247DE" w:rsidRPr="00B04DC3" w:rsidRDefault="00D247DE" w:rsidP="00D247DE">
      <w:pPr>
        <w:spacing w:after="120"/>
        <w:ind w:left="2268" w:right="1134" w:hanging="1134"/>
        <w:jc w:val="both"/>
      </w:pPr>
      <w:r w:rsidRPr="00B04DC3">
        <w:tab/>
        <w:t>It shall have a residence time in the PTS of ≤ 3 seconds.</w:t>
      </w:r>
    </w:p>
    <w:p w:rsidR="00D247DE" w:rsidRPr="00B04DC3" w:rsidRDefault="00D247DE" w:rsidP="00D247DE">
      <w:pPr>
        <w:spacing w:after="120"/>
        <w:ind w:left="2268" w:right="1134" w:hanging="1134"/>
        <w:jc w:val="both"/>
      </w:pPr>
      <w:r w:rsidRPr="00B04DC3">
        <w:tab/>
        <w:t xml:space="preserve">Any other sampling configuration for the PTS for which equivalent </w:t>
      </w:r>
      <w:r w:rsidR="002E6737">
        <w:t>particulate</w:t>
      </w:r>
      <w:r w:rsidRPr="00B04DC3">
        <w:t xml:space="preserve"> penetration for </w:t>
      </w:r>
      <w:r w:rsidR="002E6737">
        <w:t>particulate</w:t>
      </w:r>
      <w:r w:rsidRPr="00B04DC3">
        <w:t>s of 30 nm electrical mobility diameter can be demonstrated will be considered acceptable.</w:t>
      </w:r>
    </w:p>
    <w:p w:rsidR="00D247DE" w:rsidRPr="00B04DC3" w:rsidRDefault="00D247DE" w:rsidP="00D247DE">
      <w:pPr>
        <w:spacing w:after="120"/>
        <w:ind w:left="2268" w:right="1134" w:hanging="1134"/>
        <w:jc w:val="both"/>
      </w:pPr>
      <w:r w:rsidRPr="00B04DC3">
        <w:tab/>
        <w:t xml:space="preserve">The </w:t>
      </w:r>
      <w:r w:rsidR="00F76184" w:rsidRPr="00B04DC3">
        <w:t>O</w:t>
      </w:r>
      <w:r w:rsidRPr="00B04DC3">
        <w:t xml:space="preserve">utlet </w:t>
      </w:r>
      <w:r w:rsidR="00F76184" w:rsidRPr="00B04DC3">
        <w:t>T</w:t>
      </w:r>
      <w:r w:rsidRPr="00B04DC3">
        <w:t>ube (OT) conducting the diluted sample from the VPR to the inlet of the PNC shall have the following properties:</w:t>
      </w:r>
    </w:p>
    <w:p w:rsidR="00D247DE" w:rsidRPr="00B04DC3" w:rsidRDefault="00D247DE" w:rsidP="00D247DE">
      <w:pPr>
        <w:spacing w:after="120"/>
        <w:ind w:left="2268" w:right="1134" w:hanging="1134"/>
        <w:jc w:val="both"/>
      </w:pPr>
      <w:r w:rsidRPr="00B04DC3">
        <w:tab/>
        <w:t>It shall have an internal diameter of ≥ 4 mm;</w:t>
      </w:r>
    </w:p>
    <w:p w:rsidR="00D247DE" w:rsidRPr="00B04DC3" w:rsidRDefault="00D247DE" w:rsidP="00D247DE">
      <w:pPr>
        <w:spacing w:after="120"/>
        <w:ind w:left="2268" w:right="1134" w:hanging="1134"/>
        <w:jc w:val="both"/>
      </w:pPr>
      <w:r w:rsidRPr="00B04DC3">
        <w:tab/>
        <w:t>Sample gas flow through the POT shall have a residence time of ≤ 0.8 second.</w:t>
      </w:r>
    </w:p>
    <w:p w:rsidR="00D247DE" w:rsidRPr="00B04DC3" w:rsidRDefault="00D247DE" w:rsidP="00D247DE">
      <w:pPr>
        <w:spacing w:after="120"/>
        <w:ind w:left="2268" w:right="1134" w:hanging="1134"/>
        <w:jc w:val="both"/>
      </w:pPr>
      <w:r w:rsidRPr="00B04DC3">
        <w:tab/>
        <w:t xml:space="preserve">Any other sampling configuration for the OT for which equivalent </w:t>
      </w:r>
      <w:r w:rsidR="002E6737">
        <w:t>particulate</w:t>
      </w:r>
      <w:r w:rsidRPr="00B04DC3">
        <w:t xml:space="preserve"> penetration for </w:t>
      </w:r>
      <w:r w:rsidR="002E6737">
        <w:t>particulate</w:t>
      </w:r>
      <w:r w:rsidRPr="00B04DC3">
        <w:t>s of 30 nm electrical mobility diameter can be demonstrated will be considered acceptable.</w:t>
      </w:r>
    </w:p>
    <w:p w:rsidR="00D247DE" w:rsidRPr="00B04DC3" w:rsidRDefault="00D247DE" w:rsidP="00D247DE">
      <w:pPr>
        <w:keepNext/>
        <w:keepLines/>
        <w:spacing w:after="120" w:line="240" w:lineRule="auto"/>
        <w:ind w:left="2268" w:right="1134" w:hanging="1134"/>
        <w:jc w:val="both"/>
      </w:pPr>
      <w:r w:rsidRPr="00B04DC3">
        <w:t>1.4.3.</w:t>
      </w:r>
      <w:r w:rsidRPr="00B04DC3">
        <w:tab/>
      </w:r>
      <w:r w:rsidR="002E6737">
        <w:t>Particulate</w:t>
      </w:r>
      <w:r w:rsidRPr="00B04DC3">
        <w:t xml:space="preserve"> pre-classifier</w:t>
      </w:r>
    </w:p>
    <w:p w:rsidR="00D247DE" w:rsidRPr="00B04DC3" w:rsidRDefault="00D247DE" w:rsidP="00D247DE">
      <w:pPr>
        <w:keepNext/>
        <w:keepLines/>
        <w:spacing w:after="120" w:line="240" w:lineRule="auto"/>
        <w:ind w:left="2268" w:right="1134" w:hanging="1134"/>
        <w:jc w:val="both"/>
      </w:pPr>
      <w:r w:rsidRPr="00B04DC3">
        <w:tab/>
        <w:t xml:space="preserve">The recommended </w:t>
      </w:r>
      <w:r w:rsidR="002E6737">
        <w:t>particulate</w:t>
      </w:r>
      <w:r w:rsidRPr="00B04DC3">
        <w:t xml:space="preserve"> pre-classifier shall be located upstream of the VPR. The pre-classifier 50 per cent cut point </w:t>
      </w:r>
      <w:r w:rsidR="002E6737">
        <w:t>particulate</w:t>
      </w:r>
      <w:r w:rsidRPr="00B04DC3">
        <w:t xml:space="preserve"> diameter shall be between 2.5 µm and 10 µm at the volumetric flow rate selected for sampling </w:t>
      </w:r>
      <w:r w:rsidR="002E6737">
        <w:t>particulate</w:t>
      </w:r>
      <w:r w:rsidRPr="00B04DC3">
        <w:t xml:space="preserve"> number emissions. The pre-classifier shall allow at least 99 per cent of the mass concentration of 1 µm </w:t>
      </w:r>
      <w:r w:rsidR="002E6737">
        <w:t>particulate</w:t>
      </w:r>
      <w:r w:rsidRPr="00B04DC3">
        <w:t xml:space="preserve">s entering the pre-classifier to pass through the exit of the pre-classifier at the volumetric flow rate selected for sampling </w:t>
      </w:r>
      <w:r w:rsidR="002E6737">
        <w:t>particulate</w:t>
      </w:r>
      <w:r w:rsidRPr="00B04DC3">
        <w:t xml:space="preserve"> number emissions. In the case of partial flow dilution systems, it is acceptable to use the same pre-classifier for particulate mass and </w:t>
      </w:r>
      <w:r w:rsidR="002E6737">
        <w:t>particulate</w:t>
      </w:r>
      <w:r w:rsidRPr="00B04DC3">
        <w:t xml:space="preserve"> number sampling, extracting the </w:t>
      </w:r>
      <w:r w:rsidR="002E6737">
        <w:t>particulate</w:t>
      </w:r>
      <w:r w:rsidRPr="00B04DC3">
        <w:t xml:space="preserve"> number sample from the dilution system downstream of the pre-classifier. Alternatively separate pre-classifiers may be used, extracting the </w:t>
      </w:r>
      <w:r w:rsidR="002E6737">
        <w:t>particulate</w:t>
      </w:r>
      <w:r w:rsidRPr="00B04DC3">
        <w:t xml:space="preserve"> number sample from the dilution system upstream of the particulate mass pre-classifier.</w:t>
      </w:r>
    </w:p>
    <w:p w:rsidR="00D247DE" w:rsidRPr="00B04DC3" w:rsidRDefault="00D247DE" w:rsidP="00D247DE">
      <w:pPr>
        <w:spacing w:after="120"/>
        <w:ind w:left="2268" w:right="1134" w:hanging="1134"/>
        <w:jc w:val="both"/>
      </w:pPr>
      <w:r w:rsidRPr="00B04DC3">
        <w:t>1.4.4.</w:t>
      </w:r>
      <w:r w:rsidRPr="00B04DC3">
        <w:tab/>
        <w:t xml:space="preserve">Volatile </w:t>
      </w:r>
      <w:r w:rsidR="002E6737">
        <w:t>Particulate</w:t>
      </w:r>
      <w:r w:rsidRPr="00B04DC3">
        <w:t xml:space="preserve"> </w:t>
      </w:r>
      <w:r w:rsidR="009737AE" w:rsidRPr="00B04DC3">
        <w:t>R</w:t>
      </w:r>
      <w:r w:rsidRPr="00B04DC3">
        <w:t>emover (VPR)</w:t>
      </w:r>
    </w:p>
    <w:p w:rsidR="00D247DE" w:rsidRPr="00B04DC3" w:rsidRDefault="00D247DE" w:rsidP="00D247DE">
      <w:pPr>
        <w:spacing w:after="120"/>
        <w:ind w:left="2268" w:right="1134" w:hanging="1134"/>
        <w:jc w:val="both"/>
      </w:pPr>
      <w:r w:rsidRPr="00B04DC3">
        <w:tab/>
        <w:t xml:space="preserve">The VPR shall comprise one </w:t>
      </w:r>
      <w:r w:rsidR="002E6737">
        <w:t>Particulate</w:t>
      </w:r>
      <w:r w:rsidRPr="00B04DC3">
        <w:t xml:space="preserve"> </w:t>
      </w:r>
      <w:r w:rsidR="009737AE" w:rsidRPr="00B04DC3">
        <w:t>N</w:t>
      </w:r>
      <w:r w:rsidRPr="00B04DC3">
        <w:t xml:space="preserve">umber </w:t>
      </w:r>
      <w:r w:rsidR="009737AE" w:rsidRPr="00B04DC3">
        <w:t>D</w:t>
      </w:r>
      <w:r w:rsidRPr="00B04DC3">
        <w:t>iluter (PND</w:t>
      </w:r>
      <w:r w:rsidRPr="00B04DC3">
        <w:rPr>
          <w:vertAlign w:val="subscript"/>
        </w:rPr>
        <w:t>1</w:t>
      </w:r>
      <w:r w:rsidRPr="00B04DC3">
        <w:t>), an evaporation tube and a second diluter (PND</w:t>
      </w:r>
      <w:r w:rsidRPr="00B04DC3">
        <w:rPr>
          <w:vertAlign w:val="subscript"/>
        </w:rPr>
        <w:t>2</w:t>
      </w:r>
      <w:r w:rsidRPr="00B04DC3">
        <w:t xml:space="preserve">) in series. This dilution function is to reduce the number concentration of the sample entering the </w:t>
      </w:r>
      <w:r w:rsidR="002E6737">
        <w:t>particulate</w:t>
      </w:r>
      <w:r w:rsidRPr="00B04DC3">
        <w:t xml:space="preserve"> concentration measurement unit to less than the upper threshold of the single </w:t>
      </w:r>
      <w:r w:rsidR="002E6737">
        <w:t>particulate</w:t>
      </w:r>
      <w:r w:rsidRPr="00B04DC3">
        <w:t xml:space="preserve"> count mode of the PNC and to suppress nucleation within the sample. The VPR shall provide an indication of whether or not PND</w:t>
      </w:r>
      <w:r w:rsidRPr="00B04DC3">
        <w:rPr>
          <w:vertAlign w:val="subscript"/>
        </w:rPr>
        <w:t>1</w:t>
      </w:r>
      <w:r w:rsidRPr="00B04DC3">
        <w:t xml:space="preserve"> and the evaporation tube are at their correct operating temperatures.</w:t>
      </w:r>
    </w:p>
    <w:p w:rsidR="00D247DE" w:rsidRPr="00B04DC3" w:rsidRDefault="00D247DE" w:rsidP="00D247DE">
      <w:pPr>
        <w:spacing w:after="120" w:line="240" w:lineRule="auto"/>
        <w:ind w:left="2268" w:right="1134" w:hanging="1134"/>
        <w:jc w:val="both"/>
      </w:pPr>
      <w:r w:rsidRPr="00B04DC3">
        <w:tab/>
        <w:t>The VPR shall achieve &gt; 99.0 per cent vaporisation of 30 nm tetracontane (CH</w:t>
      </w:r>
      <w:r w:rsidRPr="00B04DC3">
        <w:rPr>
          <w:vertAlign w:val="subscript"/>
        </w:rPr>
        <w:t>3</w:t>
      </w:r>
      <w:r w:rsidRPr="00B04DC3">
        <w:t>(CH</w:t>
      </w:r>
      <w:r w:rsidRPr="00B04DC3">
        <w:rPr>
          <w:vertAlign w:val="subscript"/>
        </w:rPr>
        <w:t>2</w:t>
      </w:r>
      <w:r w:rsidRPr="00B04DC3">
        <w:t>)</w:t>
      </w:r>
      <w:r w:rsidRPr="00B04DC3">
        <w:rPr>
          <w:vertAlign w:val="subscript"/>
        </w:rPr>
        <w:t>38</w:t>
      </w:r>
      <w:r w:rsidRPr="00B04DC3">
        <w:t>CH</w:t>
      </w:r>
      <w:r w:rsidRPr="00B04DC3">
        <w:rPr>
          <w:vertAlign w:val="subscript"/>
        </w:rPr>
        <w:t>3</w:t>
      </w:r>
      <w:r w:rsidRPr="00B04DC3">
        <w:t xml:space="preserve">) </w:t>
      </w:r>
      <w:r w:rsidR="002E6737">
        <w:t>particulate</w:t>
      </w:r>
      <w:r w:rsidRPr="00B04DC3">
        <w:t>s, with an inlet concentration of ≥ 10,000 cm</w:t>
      </w:r>
      <w:r w:rsidRPr="00B04DC3">
        <w:rPr>
          <w:vertAlign w:val="superscript"/>
        </w:rPr>
        <w:t>-3</w:t>
      </w:r>
      <w:r w:rsidRPr="00B04DC3">
        <w:t xml:space="preserve">, by means of heating and reduction of partial pressures of the tetracontane. It shall also achieve a </w:t>
      </w:r>
      <w:r w:rsidR="002E6737">
        <w:t>particulate</w:t>
      </w:r>
      <w:r w:rsidRPr="00B04DC3">
        <w:t xml:space="preserve"> concentration reduction factor (f</w:t>
      </w:r>
      <w:r w:rsidRPr="00B04DC3">
        <w:rPr>
          <w:vertAlign w:val="subscript"/>
        </w:rPr>
        <w:t>r</w:t>
      </w:r>
      <w:r w:rsidRPr="00B04DC3">
        <w:t xml:space="preserve">) for </w:t>
      </w:r>
      <w:r w:rsidR="002E6737">
        <w:t>particulate</w:t>
      </w:r>
      <w:r w:rsidRPr="00B04DC3">
        <w:t xml:space="preserve">s of 30 nm and 50 nm electrical mobility diameters, that is no more than 30 per cent and 20 per cent respectively higher, and no more than 5 per cent lower than that for </w:t>
      </w:r>
      <w:r w:rsidR="002E6737">
        <w:t>particulate</w:t>
      </w:r>
      <w:r w:rsidRPr="00B04DC3">
        <w:t>s of 100 nm electrical mobility diameter for the VPR as a whole.</w:t>
      </w:r>
    </w:p>
    <w:p w:rsidR="00D247DE" w:rsidRPr="00B04DC3" w:rsidRDefault="00D247DE" w:rsidP="00062B68">
      <w:pPr>
        <w:keepNext/>
        <w:spacing w:after="120"/>
        <w:ind w:left="2268" w:right="1134" w:hanging="1134"/>
        <w:jc w:val="both"/>
      </w:pPr>
      <w:r w:rsidRPr="00B04DC3">
        <w:t>1.4.4.1.</w:t>
      </w:r>
      <w:r w:rsidRPr="00B04DC3">
        <w:tab/>
        <w:t xml:space="preserve">First </w:t>
      </w:r>
      <w:r w:rsidR="002E6737">
        <w:t>Particulate</w:t>
      </w:r>
      <w:r w:rsidRPr="00B04DC3">
        <w:t xml:space="preserve"> </w:t>
      </w:r>
      <w:r w:rsidR="009737AE" w:rsidRPr="00B04DC3">
        <w:t>N</w:t>
      </w:r>
      <w:r w:rsidRPr="00B04DC3">
        <w:t xml:space="preserve">umber </w:t>
      </w:r>
      <w:r w:rsidR="009737AE" w:rsidRPr="00B04DC3">
        <w:t>D</w:t>
      </w:r>
      <w:r w:rsidRPr="00B04DC3">
        <w:t>ilution device (PND</w:t>
      </w:r>
      <w:r w:rsidRPr="00B04DC3">
        <w:rPr>
          <w:vertAlign w:val="subscript"/>
        </w:rPr>
        <w:t>1</w:t>
      </w:r>
      <w:r w:rsidRPr="00B04DC3">
        <w:t>)</w:t>
      </w:r>
    </w:p>
    <w:p w:rsidR="00D247DE" w:rsidRPr="00B04DC3" w:rsidRDefault="00D247DE" w:rsidP="00D247DE">
      <w:pPr>
        <w:spacing w:after="120"/>
        <w:ind w:left="2268" w:right="1134" w:hanging="1134"/>
        <w:jc w:val="both"/>
      </w:pPr>
      <w:r w:rsidRPr="00B04DC3">
        <w:tab/>
        <w:t xml:space="preserve">The first </w:t>
      </w:r>
      <w:r w:rsidR="002E6737">
        <w:t>particulate</w:t>
      </w:r>
      <w:r w:rsidRPr="00B04DC3">
        <w:t xml:space="preserve"> number dilution device shall be specifically designed to dilute </w:t>
      </w:r>
      <w:r w:rsidR="002E6737">
        <w:t>particulate</w:t>
      </w:r>
      <w:r w:rsidRPr="00B04DC3">
        <w:t xml:space="preserve"> number concentration and operate at a (wall) temperature of 150 °C to 400 °C. The wall temperature setpoint should be held at a constant nominal operating temperature, within this range, to a tolerance of ±10 °C and not exceed the wall temperature of the ET (paragraph 1.4.4.2.). The diluter should be supplied with HEPA filtered dilution air and be capable of a dilution factor of 10 to 200 times.</w:t>
      </w:r>
    </w:p>
    <w:p w:rsidR="00D247DE" w:rsidRPr="00B04DC3" w:rsidRDefault="00D247DE" w:rsidP="00D247DE">
      <w:pPr>
        <w:spacing w:after="120"/>
        <w:ind w:left="2268" w:right="1134" w:hanging="1134"/>
        <w:jc w:val="both"/>
      </w:pPr>
      <w:r w:rsidRPr="00B04DC3">
        <w:t>1.4.4.2.</w:t>
      </w:r>
      <w:r w:rsidRPr="00B04DC3">
        <w:tab/>
        <w:t xml:space="preserve">Evaporation </w:t>
      </w:r>
      <w:r w:rsidR="009B357A">
        <w:t>T</w:t>
      </w:r>
      <w:r w:rsidRPr="00B04DC3">
        <w:t>ube</w:t>
      </w:r>
      <w:r w:rsidR="009B357A">
        <w:t xml:space="preserve"> (ET)</w:t>
      </w:r>
    </w:p>
    <w:p w:rsidR="00D247DE" w:rsidRPr="00B04DC3" w:rsidRDefault="00D247DE" w:rsidP="00D247DE">
      <w:pPr>
        <w:spacing w:after="120"/>
        <w:ind w:left="2268" w:right="1134" w:hanging="1134"/>
        <w:jc w:val="both"/>
      </w:pPr>
      <w:r w:rsidRPr="00B04DC3">
        <w:tab/>
        <w:t xml:space="preserve">The entire length of the ET shall be controlled to a wall temperature greater than or equal to that of the first </w:t>
      </w:r>
      <w:r w:rsidR="002E6737">
        <w:t>particulate</w:t>
      </w:r>
      <w:r w:rsidRPr="00B04DC3">
        <w:t xml:space="preserve"> number dilution device and the wall temperature held at a fixed nominal operating temperature between 300 °C and 400 °C, to a tolerance of ±10 °C.</w:t>
      </w:r>
    </w:p>
    <w:p w:rsidR="00D247DE" w:rsidRPr="00B04DC3" w:rsidRDefault="00D247DE" w:rsidP="00D247DE">
      <w:pPr>
        <w:spacing w:after="120"/>
        <w:ind w:left="2268" w:right="1134" w:hanging="1134"/>
        <w:jc w:val="both"/>
      </w:pPr>
      <w:r w:rsidRPr="00B04DC3">
        <w:t>1.4.4.3.</w:t>
      </w:r>
      <w:r w:rsidRPr="00B04DC3">
        <w:tab/>
        <w:t xml:space="preserve">Second </w:t>
      </w:r>
      <w:r w:rsidR="002E6737">
        <w:t>particulate</w:t>
      </w:r>
      <w:r w:rsidRPr="00B04DC3">
        <w:t xml:space="preserve"> number dilution device (PND</w:t>
      </w:r>
      <w:r w:rsidRPr="00B04DC3">
        <w:rPr>
          <w:vertAlign w:val="subscript"/>
        </w:rPr>
        <w:t>2</w:t>
      </w:r>
      <w:r w:rsidRPr="00B04DC3">
        <w:t>)</w:t>
      </w:r>
    </w:p>
    <w:p w:rsidR="00D247DE" w:rsidRPr="00B04DC3" w:rsidRDefault="00D247DE" w:rsidP="00D247DE">
      <w:pPr>
        <w:spacing w:after="120"/>
        <w:ind w:left="2268" w:right="1134" w:hanging="1134"/>
        <w:jc w:val="both"/>
      </w:pPr>
      <w:r w:rsidRPr="00B04DC3">
        <w:tab/>
        <w:t>PND</w:t>
      </w:r>
      <w:r w:rsidRPr="00B04DC3">
        <w:rPr>
          <w:vertAlign w:val="subscript"/>
        </w:rPr>
        <w:t>2</w:t>
      </w:r>
      <w:r w:rsidRPr="00B04DC3">
        <w:t xml:space="preserve"> shall be specifically designed to dilute </w:t>
      </w:r>
      <w:r w:rsidR="002E6737">
        <w:t>particulate</w:t>
      </w:r>
      <w:r w:rsidRPr="00B04DC3">
        <w:t xml:space="preserve"> number concentration. The diluter shall be supplied with HEPA filtered dilution air and be capable of maintaining a single dilution factor within a range of 10 to 30 times. The dilution factor of PND</w:t>
      </w:r>
      <w:r w:rsidRPr="00B04DC3">
        <w:rPr>
          <w:vertAlign w:val="subscript"/>
        </w:rPr>
        <w:t>2</w:t>
      </w:r>
      <w:r w:rsidRPr="00B04DC3">
        <w:t xml:space="preserve"> shall be selected in the range between 10 and 15 such that </w:t>
      </w:r>
      <w:r w:rsidR="002E6737">
        <w:t>particulate</w:t>
      </w:r>
      <w:r w:rsidRPr="00B04DC3">
        <w:t xml:space="preserve"> number concentration downstream of the second diluter is less than the upper threshold of the single </w:t>
      </w:r>
      <w:r w:rsidR="002E6737">
        <w:t>particulate</w:t>
      </w:r>
      <w:r w:rsidRPr="00B04DC3">
        <w:t xml:space="preserve"> count mode of the PNC and the gas temperature prior to entry to the PNC is &lt;</w:t>
      </w:r>
      <w:r w:rsidR="00062B68">
        <w:t> </w:t>
      </w:r>
      <w:r w:rsidRPr="00B04DC3">
        <w:t>35</w:t>
      </w:r>
      <w:r w:rsidR="00062B68">
        <w:t> </w:t>
      </w:r>
      <w:r w:rsidRPr="00B04DC3">
        <w:t>°C.</w:t>
      </w:r>
    </w:p>
    <w:p w:rsidR="00D247DE" w:rsidRPr="00B04DC3" w:rsidRDefault="00D247DE" w:rsidP="00D247DE">
      <w:pPr>
        <w:spacing w:after="120"/>
        <w:ind w:left="2268" w:right="1134" w:hanging="1134"/>
        <w:jc w:val="both"/>
      </w:pPr>
      <w:r w:rsidRPr="00B04DC3">
        <w:t>1.4.5.</w:t>
      </w:r>
      <w:r w:rsidRPr="00B04DC3">
        <w:tab/>
      </w:r>
      <w:r w:rsidR="002E6737">
        <w:t>Particulate</w:t>
      </w:r>
      <w:r w:rsidRPr="00B04DC3">
        <w:t xml:space="preserve"> </w:t>
      </w:r>
      <w:r w:rsidR="000245EA" w:rsidRPr="00B04DC3">
        <w:t>N</w:t>
      </w:r>
      <w:r w:rsidRPr="00B04DC3">
        <w:t xml:space="preserve">umber </w:t>
      </w:r>
      <w:r w:rsidR="000245EA" w:rsidRPr="00B04DC3">
        <w:t>C</w:t>
      </w:r>
      <w:r w:rsidRPr="00B04DC3">
        <w:t>ounter (PNC)</w:t>
      </w:r>
    </w:p>
    <w:p w:rsidR="00D247DE" w:rsidRPr="00B04DC3" w:rsidRDefault="00D247DE" w:rsidP="00D247DE">
      <w:pPr>
        <w:spacing w:after="120"/>
        <w:ind w:left="2268" w:right="1134" w:hanging="1134"/>
        <w:jc w:val="both"/>
      </w:pPr>
      <w:r w:rsidRPr="00B04DC3">
        <w:tab/>
        <w:t>The PNC shall meet the requirements of paragraph 1.3.4.</w:t>
      </w:r>
      <w:r w:rsidR="00F76184">
        <w:t xml:space="preserve"> of this appendix.</w:t>
      </w:r>
    </w:p>
    <w:p w:rsidR="00D247DE" w:rsidRPr="00B04DC3" w:rsidRDefault="00D247DE" w:rsidP="00D247DE">
      <w:pPr>
        <w:spacing w:after="120"/>
        <w:ind w:left="2268" w:right="1134" w:hanging="1134"/>
        <w:jc w:val="both"/>
      </w:pPr>
      <w:r w:rsidRPr="00B04DC3">
        <w:t>2.</w:t>
      </w:r>
      <w:r w:rsidRPr="00B04DC3">
        <w:tab/>
        <w:t xml:space="preserve">Calibration/Validation of the </w:t>
      </w:r>
      <w:r w:rsidR="002E6737">
        <w:t>particulate</w:t>
      </w:r>
      <w:r w:rsidR="000245EA" w:rsidRPr="00B04DC3">
        <w:t xml:space="preserve"> sampling s</w:t>
      </w:r>
      <w:r w:rsidRPr="00B04DC3">
        <w:t>ystem</w:t>
      </w:r>
      <w:r w:rsidRPr="00B04DC3">
        <w:rPr>
          <w:sz w:val="18"/>
          <w:vertAlign w:val="superscript"/>
        </w:rPr>
        <w:footnoteReference w:id="36"/>
      </w:r>
    </w:p>
    <w:p w:rsidR="00D247DE" w:rsidRPr="00B04DC3" w:rsidRDefault="00D247DE" w:rsidP="00D247DE">
      <w:pPr>
        <w:spacing w:after="120"/>
        <w:ind w:left="2268" w:right="1134" w:hanging="1134"/>
        <w:jc w:val="both"/>
      </w:pPr>
      <w:r w:rsidRPr="00B04DC3">
        <w:t>2.1.</w:t>
      </w:r>
      <w:r w:rsidRPr="00B04DC3">
        <w:tab/>
        <w:t xml:space="preserve">Calibration of the </w:t>
      </w:r>
      <w:r w:rsidR="002E6737">
        <w:t>particulate</w:t>
      </w:r>
      <w:r w:rsidRPr="00B04DC3">
        <w:t xml:space="preserve"> </w:t>
      </w:r>
      <w:r w:rsidR="000245EA" w:rsidRPr="00B04DC3">
        <w:t>n</w:t>
      </w:r>
      <w:r w:rsidRPr="00B04DC3">
        <w:t xml:space="preserve">umber </w:t>
      </w:r>
      <w:r w:rsidR="000245EA" w:rsidRPr="00B04DC3">
        <w:t>c</w:t>
      </w:r>
      <w:r w:rsidRPr="00B04DC3">
        <w:t>ounter</w:t>
      </w:r>
    </w:p>
    <w:p w:rsidR="00D247DE" w:rsidRPr="00B04DC3" w:rsidRDefault="00D247DE" w:rsidP="00D247DE">
      <w:pPr>
        <w:spacing w:after="120"/>
        <w:ind w:left="2268" w:right="1134" w:hanging="1134"/>
        <w:jc w:val="both"/>
      </w:pPr>
      <w:r w:rsidRPr="00B04DC3">
        <w:t>2.1.1.</w:t>
      </w:r>
      <w:r w:rsidRPr="00B04DC3">
        <w:tab/>
        <w:t xml:space="preserve">The Technical Service shall ensure the existence of a calibration certificate for the PNC demonstrating compliance with a traceable standard within a </w:t>
      </w:r>
      <w:r w:rsidRPr="00B04DC3">
        <w:br/>
        <w:t>12</w:t>
      </w:r>
      <w:r w:rsidR="00F76184">
        <w:t xml:space="preserve"> </w:t>
      </w:r>
      <w:r w:rsidRPr="00B04DC3">
        <w:t>month period prior to the emissions test.</w:t>
      </w:r>
    </w:p>
    <w:p w:rsidR="00D247DE" w:rsidRPr="00B04DC3" w:rsidRDefault="00D247DE" w:rsidP="00D247DE">
      <w:pPr>
        <w:spacing w:after="120"/>
        <w:ind w:left="2268" w:right="1134" w:hanging="1134"/>
        <w:jc w:val="both"/>
      </w:pPr>
      <w:r w:rsidRPr="00B04DC3">
        <w:t>2.1.2.</w:t>
      </w:r>
      <w:r w:rsidRPr="00B04DC3">
        <w:tab/>
        <w:t>The PNC shall also be recalibrated and a new calibration certificate issued following any major maintenance.</w:t>
      </w:r>
    </w:p>
    <w:p w:rsidR="00D247DE" w:rsidRPr="00B04DC3" w:rsidRDefault="00D247DE" w:rsidP="00D247DE">
      <w:pPr>
        <w:spacing w:after="120"/>
        <w:ind w:left="2268" w:right="1134" w:hanging="1134"/>
        <w:jc w:val="both"/>
      </w:pPr>
      <w:r w:rsidRPr="00B04DC3">
        <w:t>2.1.3.</w:t>
      </w:r>
      <w:r w:rsidRPr="00B04DC3">
        <w:tab/>
        <w:t>Calibration shall be traceable to a standard calibration method:</w:t>
      </w:r>
    </w:p>
    <w:p w:rsidR="00D247DE" w:rsidRPr="00B04DC3" w:rsidRDefault="00D247DE" w:rsidP="00D247DE">
      <w:pPr>
        <w:tabs>
          <w:tab w:val="left" w:pos="2300"/>
        </w:tabs>
        <w:spacing w:after="120"/>
        <w:ind w:left="2835" w:right="1134" w:hanging="1701"/>
        <w:jc w:val="both"/>
      </w:pPr>
      <w:r w:rsidRPr="00B04DC3">
        <w:tab/>
        <w:t>(a)</w:t>
      </w:r>
      <w:r w:rsidRPr="00B04DC3">
        <w:tab/>
        <w:t xml:space="preserve">By comparison of the response of the PNC under calibration with that of a calibrated aerosol electrometer when simultaneously sampling electrostatically classified calibration </w:t>
      </w:r>
      <w:r w:rsidR="002E6737">
        <w:t>particulate</w:t>
      </w:r>
      <w:r w:rsidRPr="00B04DC3">
        <w:t>s, or</w:t>
      </w:r>
    </w:p>
    <w:p w:rsidR="00D247DE" w:rsidRPr="00B04DC3" w:rsidRDefault="00D247DE" w:rsidP="00D247DE">
      <w:pPr>
        <w:tabs>
          <w:tab w:val="left" w:pos="2300"/>
        </w:tabs>
        <w:spacing w:after="120"/>
        <w:ind w:left="2835" w:right="1134" w:hanging="1701"/>
        <w:jc w:val="both"/>
      </w:pPr>
      <w:r w:rsidRPr="00B04DC3">
        <w:tab/>
        <w:t>(b)</w:t>
      </w:r>
      <w:r w:rsidRPr="00B04DC3">
        <w:tab/>
        <w:t>By comparison of the response of the PNC under calibration with that of a second PNC which has been directly calibrated by the above method.</w:t>
      </w:r>
    </w:p>
    <w:p w:rsidR="00D247DE" w:rsidRPr="00B04DC3" w:rsidRDefault="00D247DE" w:rsidP="00062B68">
      <w:pPr>
        <w:keepNext/>
        <w:keepLines/>
        <w:spacing w:after="120"/>
        <w:ind w:left="2268" w:right="1134" w:hanging="1134"/>
        <w:jc w:val="both"/>
      </w:pPr>
      <w:r w:rsidRPr="00B04DC3">
        <w:tab/>
        <w:t>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used,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B04DC3">
        <w:rPr>
          <w:vertAlign w:val="superscript"/>
        </w:rPr>
        <w:t>2</w:t>
      </w:r>
      <w:r w:rsidRPr="00B04DC3">
        <w:t>) of the two data sets and shall be equal to or greater than 0.97. In calculating both the gradient and R</w:t>
      </w:r>
      <w:r w:rsidRPr="00B04DC3">
        <w:rPr>
          <w:vertAlign w:val="superscript"/>
        </w:rPr>
        <w:t>2</w:t>
      </w:r>
      <w:r w:rsidRPr="00B04DC3">
        <w:t xml:space="preserve"> the linear regression shall be forced through the origin (zero concentration on both instruments). </w:t>
      </w:r>
    </w:p>
    <w:p w:rsidR="00D247DE" w:rsidRPr="00B04DC3" w:rsidRDefault="00D247DE" w:rsidP="00D247DE">
      <w:pPr>
        <w:spacing w:after="120" w:line="240" w:lineRule="auto"/>
        <w:ind w:left="2268" w:right="1134" w:hanging="1134"/>
        <w:jc w:val="both"/>
        <w:rPr>
          <w:spacing w:val="-2"/>
        </w:rPr>
      </w:pPr>
      <w:r w:rsidRPr="00B04DC3">
        <w:rPr>
          <w:spacing w:val="-2"/>
        </w:rPr>
        <w:tab/>
        <w:t>In the reference PNC case, calibration shall be undertaken using at least six standard concentrations across the PNC’s measurement range. At least 3 points shall be at concentrations below 1,000 cm</w:t>
      </w:r>
      <w:r w:rsidRPr="00B04DC3">
        <w:rPr>
          <w:spacing w:val="-2"/>
          <w:vertAlign w:val="superscript"/>
        </w:rPr>
        <w:t>-3</w:t>
      </w:r>
      <w:r w:rsidRPr="00B04DC3">
        <w:rPr>
          <w:spacing w:val="-2"/>
        </w:rPr>
        <w:t>, the remaining concentrations shall be linearly spaced between 1,000 cm</w:t>
      </w:r>
      <w:r w:rsidRPr="00B04DC3">
        <w:rPr>
          <w:spacing w:val="-2"/>
          <w:vertAlign w:val="superscript"/>
        </w:rPr>
        <w:t>-3</w:t>
      </w:r>
      <w:r w:rsidRPr="00B04DC3">
        <w:rPr>
          <w:spacing w:val="-2"/>
        </w:rPr>
        <w:t xml:space="preserve"> and the maximum of the PNC’s range in single </w:t>
      </w:r>
      <w:r w:rsidR="002E6737">
        <w:rPr>
          <w:spacing w:val="-2"/>
        </w:rPr>
        <w:t>particulate</w:t>
      </w:r>
      <w:r w:rsidRPr="00B04DC3">
        <w:rPr>
          <w:spacing w:val="-2"/>
        </w:rPr>
        <w:t xml:space="preserve"> count mode.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B04DC3">
        <w:rPr>
          <w:spacing w:val="-2"/>
          <w:vertAlign w:val="superscript"/>
        </w:rPr>
        <w:t>2</w:t>
      </w:r>
      <w:r w:rsidRPr="00B04DC3">
        <w:rPr>
          <w:spacing w:val="-2"/>
        </w:rPr>
        <w:t>) of the two data sets and shall be equal to or greater than 0.97. In calculating both the gradient and R</w:t>
      </w:r>
      <w:r w:rsidRPr="00B04DC3">
        <w:rPr>
          <w:spacing w:val="-2"/>
          <w:vertAlign w:val="superscript"/>
        </w:rPr>
        <w:t>2</w:t>
      </w:r>
      <w:r w:rsidRPr="00B04DC3">
        <w:rPr>
          <w:spacing w:val="-2"/>
        </w:rPr>
        <w:t xml:space="preserve"> the linear regression shall be forced through the origin (zero concentration on both instruments).</w:t>
      </w:r>
    </w:p>
    <w:p w:rsidR="00D247DE" w:rsidRPr="00B04DC3" w:rsidRDefault="00D247DE" w:rsidP="00D247DE">
      <w:pPr>
        <w:spacing w:after="120"/>
        <w:ind w:left="2268" w:right="1134" w:hanging="1134"/>
        <w:jc w:val="both"/>
      </w:pPr>
      <w:r w:rsidRPr="00B04DC3">
        <w:t>2.1.4.</w:t>
      </w:r>
      <w:r w:rsidRPr="00B04DC3">
        <w:tab/>
        <w:t>Calibration shall also include a check, against the requirements in paragraph 1.3.4.8.</w:t>
      </w:r>
      <w:r w:rsidR="00F76184" w:rsidRPr="00F76184">
        <w:t xml:space="preserve"> </w:t>
      </w:r>
      <w:r w:rsidR="00F76184">
        <w:t>of this appendix</w:t>
      </w:r>
      <w:r w:rsidRPr="00B04DC3">
        <w:t xml:space="preserve">, on the PNC’s detection efficiency with </w:t>
      </w:r>
      <w:r w:rsidR="002E6737">
        <w:t>particulate</w:t>
      </w:r>
      <w:r w:rsidRPr="00B04DC3">
        <w:t xml:space="preserve">s of 23 nm electrical mobility diameter. A check of the counting efficiency with 41 nm </w:t>
      </w:r>
      <w:r w:rsidR="002E6737">
        <w:t>particulate</w:t>
      </w:r>
      <w:r w:rsidRPr="00B04DC3">
        <w:t>s is not required.</w:t>
      </w:r>
    </w:p>
    <w:p w:rsidR="00D247DE" w:rsidRPr="00B04DC3" w:rsidRDefault="00D247DE" w:rsidP="00D247DE">
      <w:pPr>
        <w:spacing w:after="120"/>
        <w:ind w:left="2268" w:right="1134" w:hanging="1134"/>
        <w:jc w:val="both"/>
      </w:pPr>
      <w:r w:rsidRPr="00B04DC3">
        <w:t>2.2.</w:t>
      </w:r>
      <w:r w:rsidRPr="00B04DC3">
        <w:tab/>
        <w:t xml:space="preserve">Calibration/Validation of the volatile </w:t>
      </w:r>
      <w:r w:rsidR="002E6737">
        <w:t>particulate</w:t>
      </w:r>
      <w:r w:rsidRPr="00B04DC3">
        <w:t xml:space="preserve"> remover</w:t>
      </w:r>
    </w:p>
    <w:p w:rsidR="00D247DE" w:rsidRPr="00B04DC3" w:rsidRDefault="00D247DE" w:rsidP="00D247DE">
      <w:pPr>
        <w:spacing w:after="120"/>
        <w:ind w:left="2268" w:right="1134" w:hanging="1134"/>
        <w:jc w:val="both"/>
      </w:pPr>
      <w:r w:rsidRPr="00B04DC3">
        <w:t>2.2.1.</w:t>
      </w:r>
      <w:r w:rsidRPr="00B04DC3">
        <w:tab/>
        <w:t xml:space="preserve">Calibration of the VPR’s </w:t>
      </w:r>
      <w:r w:rsidR="002E6737">
        <w:t>particulate</w:t>
      </w:r>
      <w:r w:rsidRPr="00B04DC3">
        <w:t xml:space="preserve"> concentration reduction factors across its full range of dilution settings, at the instrument’s fixed nominal operating temperatures, shall be required when the unit is new and following any major maintenance. The periodic validation requirement for the VPR’s </w:t>
      </w:r>
      <w:r w:rsidR="002E6737">
        <w:t>particulate</w:t>
      </w:r>
      <w:r w:rsidRPr="00B04DC3">
        <w:t xml:space="preserve"> concentration reduction factor is limited to a check at a single setting, typical of that used for measurement on diesel particulate filter equipped vehicles. The Technical Service shall ensure the existence of a calibration or validation certificate for the volatile </w:t>
      </w:r>
      <w:r w:rsidR="002E6737">
        <w:t>particulate</w:t>
      </w:r>
      <w:r w:rsidRPr="00B04DC3">
        <w:t xml:space="preserve"> remover within a 6</w:t>
      </w:r>
      <w:r w:rsidR="009B357A">
        <w:t xml:space="preserve"> </w:t>
      </w:r>
      <w:r w:rsidRPr="00B04DC3">
        <w:t xml:space="preserve">month period prior to the emissions test. If the volatile </w:t>
      </w:r>
      <w:r w:rsidR="002E6737">
        <w:t>particulate</w:t>
      </w:r>
      <w:r w:rsidRPr="00B04DC3">
        <w:t xml:space="preserve"> remover incorporates temperature monitoring alarms a 12 month validation interval shall be permissible.</w:t>
      </w:r>
    </w:p>
    <w:p w:rsidR="00D247DE" w:rsidRPr="00B04DC3" w:rsidRDefault="00D247DE" w:rsidP="00D247DE">
      <w:pPr>
        <w:spacing w:after="120"/>
        <w:ind w:left="2268" w:right="1134" w:hanging="1134"/>
        <w:jc w:val="both"/>
      </w:pPr>
      <w:r w:rsidRPr="00B04DC3">
        <w:tab/>
        <w:t xml:space="preserve">The VPR shall be characterised for </w:t>
      </w:r>
      <w:r w:rsidR="002E6737">
        <w:t>particulate</w:t>
      </w:r>
      <w:r w:rsidRPr="00B04DC3">
        <w:t xml:space="preserve"> concentration reduction factor with solid </w:t>
      </w:r>
      <w:r w:rsidR="002E6737">
        <w:t>particulate</w:t>
      </w:r>
      <w:r w:rsidRPr="00B04DC3">
        <w:t xml:space="preserve">s of 30 nm, 50 nm and 100 nm electrical mobility diameter. </w:t>
      </w:r>
      <w:r w:rsidR="002E6737">
        <w:t>Particulate</w:t>
      </w:r>
      <w:r w:rsidRPr="00B04DC3">
        <w:t xml:space="preserve"> concentration reduction factors (f</w:t>
      </w:r>
      <w:r w:rsidRPr="00B04DC3">
        <w:rPr>
          <w:vertAlign w:val="subscript"/>
        </w:rPr>
        <w:t>r</w:t>
      </w:r>
      <w:r w:rsidRPr="00B04DC3">
        <w:t xml:space="preserve">(d)) for </w:t>
      </w:r>
      <w:r w:rsidR="002E6737">
        <w:t>particulate</w:t>
      </w:r>
      <w:r w:rsidRPr="00B04DC3">
        <w:t xml:space="preserve">s of 30 nm and 50 nm electrical mobility diameters shall be no more than 30 per cent and 20 per cent higher respectively, and no more than 5 per cent lower than that for </w:t>
      </w:r>
      <w:r w:rsidR="002E6737">
        <w:t>particulate</w:t>
      </w:r>
      <w:r w:rsidRPr="00B04DC3">
        <w:t xml:space="preserve">s of 100 nm electrical mobility diameter. For the purposes of validation, the mean </w:t>
      </w:r>
      <w:r w:rsidR="002E6737">
        <w:t>particulate</w:t>
      </w:r>
      <w:r w:rsidRPr="00B04DC3">
        <w:t xml:space="preserve"> concentration reduction factor shall be within ±10 per cent of the mean </w:t>
      </w:r>
      <w:r w:rsidR="002E6737">
        <w:t>particulate</w:t>
      </w:r>
      <w:r w:rsidRPr="00B04DC3">
        <w:t xml:space="preserve"> concentration reduction factor (</w:t>
      </w:r>
      <w:r w:rsidR="00A905B7">
        <w:rPr>
          <w:color w:val="000000"/>
          <w:position w:val="-10"/>
          <w:szCs w:val="24"/>
        </w:rPr>
        <w:pict>
          <v:shape id="_x0000_i1358" type="#_x0000_t75" style="width:9.6pt;height:13.8pt">
            <v:imagedata r:id="rId519" o:title=""/>
          </v:shape>
        </w:pict>
      </w:r>
      <w:r w:rsidRPr="00B04DC3">
        <w:t>) determined during the primary calibration of the VPR.</w:t>
      </w:r>
    </w:p>
    <w:p w:rsidR="00D247DE" w:rsidRPr="00B04DC3" w:rsidRDefault="00D247DE" w:rsidP="00D247DE">
      <w:pPr>
        <w:spacing w:after="120" w:line="240" w:lineRule="auto"/>
        <w:ind w:left="2268" w:right="1134" w:hanging="1134"/>
        <w:jc w:val="both"/>
      </w:pPr>
      <w:r w:rsidRPr="00B04DC3">
        <w:t>2.2.2.</w:t>
      </w:r>
      <w:r w:rsidRPr="00B04DC3">
        <w:tab/>
        <w:t xml:space="preserve">The test aerosol for these measurements shall be solid </w:t>
      </w:r>
      <w:r w:rsidR="002E6737">
        <w:t>particulate</w:t>
      </w:r>
      <w:r w:rsidRPr="00B04DC3">
        <w:t xml:space="preserve">s of 30, 50 and 100 nm electrical mobility diameter and a minimum concentration of 5,000 </w:t>
      </w:r>
      <w:r w:rsidR="002E6737">
        <w:t>particulate</w:t>
      </w:r>
      <w:r w:rsidRPr="00B04DC3">
        <w:t>s cm</w:t>
      </w:r>
      <w:r w:rsidRPr="00B04DC3">
        <w:rPr>
          <w:vertAlign w:val="superscript"/>
        </w:rPr>
        <w:t>-3</w:t>
      </w:r>
      <w:r w:rsidRPr="00B04DC3">
        <w:t xml:space="preserve"> at the VPR inlet. </w:t>
      </w:r>
      <w:r w:rsidR="002E6737">
        <w:t>Particulate</w:t>
      </w:r>
      <w:r w:rsidRPr="00B04DC3">
        <w:t xml:space="preserve"> concentrations shall be measured upstream and downstream of the components.</w:t>
      </w:r>
    </w:p>
    <w:p w:rsidR="00D247DE" w:rsidRPr="00B04DC3" w:rsidRDefault="00D247DE" w:rsidP="00D247DE">
      <w:pPr>
        <w:spacing w:after="120"/>
        <w:ind w:left="2268" w:right="1134" w:hanging="1134"/>
        <w:jc w:val="both"/>
      </w:pPr>
      <w:r w:rsidRPr="00B04DC3">
        <w:tab/>
        <w:t xml:space="preserve">The </w:t>
      </w:r>
      <w:r w:rsidR="002E6737">
        <w:t>particulate</w:t>
      </w:r>
      <w:r w:rsidRPr="00B04DC3">
        <w:t xml:space="preserve"> concentration reduction factor at each </w:t>
      </w:r>
      <w:r w:rsidR="002E6737">
        <w:t>particulate</w:t>
      </w:r>
      <w:r w:rsidRPr="00B04DC3">
        <w:t xml:space="preserve"> size (f</w:t>
      </w:r>
      <w:r w:rsidRPr="00B04DC3">
        <w:rPr>
          <w:vertAlign w:val="subscript"/>
        </w:rPr>
        <w:t>r</w:t>
      </w:r>
      <w:r w:rsidRPr="00B04DC3">
        <w:t>(d</w:t>
      </w:r>
      <w:r w:rsidRPr="00B04DC3">
        <w:rPr>
          <w:vertAlign w:val="subscript"/>
        </w:rPr>
        <w:t>i</w:t>
      </w:r>
      <w:r w:rsidRPr="00B04DC3">
        <w:t>) ) shall be calculated as follows;</w:t>
      </w:r>
    </w:p>
    <w:p w:rsidR="00D247DE" w:rsidRPr="00B04DC3" w:rsidRDefault="00D247DE" w:rsidP="00D247DE">
      <w:pPr>
        <w:spacing w:after="120"/>
        <w:ind w:left="2268" w:right="1134" w:hanging="1134"/>
        <w:jc w:val="both"/>
      </w:pPr>
      <w:r w:rsidRPr="00B04DC3">
        <w:tab/>
      </w:r>
      <w:r w:rsidRPr="00B04DC3">
        <w:tab/>
      </w:r>
      <w:r w:rsidR="00A905B7">
        <w:rPr>
          <w:color w:val="000000"/>
          <w:position w:val="-26"/>
          <w:szCs w:val="24"/>
        </w:rPr>
        <w:pict>
          <v:shape id="_x0000_i1359" type="#_x0000_t75" style="width:75.6pt;height:30pt">
            <v:imagedata r:id="rId520" o:title=""/>
          </v:shape>
        </w:pict>
      </w:r>
    </w:p>
    <w:p w:rsidR="00D247DE" w:rsidRPr="00B04DC3" w:rsidRDefault="00D247DE" w:rsidP="00D247DE">
      <w:pPr>
        <w:spacing w:after="120"/>
        <w:ind w:left="2268" w:right="1134" w:hanging="1134"/>
        <w:jc w:val="both"/>
      </w:pPr>
      <w:r w:rsidRPr="00B04DC3">
        <w:tab/>
      </w:r>
      <w:r w:rsidR="007F7CE1" w:rsidRPr="00B04DC3">
        <w:t>Where</w:t>
      </w:r>
      <w:r w:rsidRPr="00B04DC3">
        <w:t>:</w:t>
      </w:r>
    </w:p>
    <w:p w:rsidR="00D247DE" w:rsidRPr="00B04DC3" w:rsidRDefault="00D247DE" w:rsidP="00D247DE">
      <w:pPr>
        <w:tabs>
          <w:tab w:val="left" w:pos="2300"/>
          <w:tab w:val="left" w:pos="3200"/>
        </w:tabs>
        <w:spacing w:after="120"/>
        <w:ind w:left="3400" w:right="1134" w:hanging="2266"/>
        <w:jc w:val="both"/>
      </w:pPr>
      <w:r w:rsidRPr="00B04DC3">
        <w:tab/>
        <w:t>N</w:t>
      </w:r>
      <w:r w:rsidRPr="00B04DC3">
        <w:rPr>
          <w:vertAlign w:val="subscript"/>
        </w:rPr>
        <w:t>in</w:t>
      </w:r>
      <w:r w:rsidRPr="00B04DC3">
        <w:t>(d</w:t>
      </w:r>
      <w:r w:rsidRPr="00B04DC3">
        <w:rPr>
          <w:vertAlign w:val="subscript"/>
        </w:rPr>
        <w:t>i</w:t>
      </w:r>
      <w:r w:rsidRPr="00B04DC3">
        <w:t>)</w:t>
      </w:r>
      <w:r w:rsidRPr="00B04DC3">
        <w:tab/>
        <w:t>=</w:t>
      </w:r>
      <w:r w:rsidRPr="00B04DC3">
        <w:tab/>
        <w:t xml:space="preserve">upstream </w:t>
      </w:r>
      <w:r w:rsidR="002E6737">
        <w:t>particulate</w:t>
      </w:r>
      <w:r w:rsidRPr="00B04DC3">
        <w:t xml:space="preserve"> number concentration for </w:t>
      </w:r>
      <w:r w:rsidR="002E6737">
        <w:t>particulate</w:t>
      </w:r>
      <w:r w:rsidRPr="00B04DC3">
        <w:t>s of diameter d</w:t>
      </w:r>
      <w:r w:rsidRPr="00B04DC3">
        <w:rPr>
          <w:vertAlign w:val="subscript"/>
        </w:rPr>
        <w:t>i</w:t>
      </w:r>
      <w:r w:rsidRPr="00B04DC3">
        <w:t>;</w:t>
      </w:r>
    </w:p>
    <w:p w:rsidR="00D247DE" w:rsidRPr="00B04DC3" w:rsidRDefault="00D247DE" w:rsidP="00D247DE">
      <w:pPr>
        <w:tabs>
          <w:tab w:val="left" w:pos="2300"/>
          <w:tab w:val="left" w:pos="3200"/>
        </w:tabs>
        <w:spacing w:after="120"/>
        <w:ind w:left="3400" w:right="1134" w:hanging="2266"/>
        <w:jc w:val="both"/>
      </w:pPr>
      <w:r w:rsidRPr="00B04DC3">
        <w:tab/>
        <w:t>N</w:t>
      </w:r>
      <w:r w:rsidRPr="00B04DC3">
        <w:rPr>
          <w:vertAlign w:val="subscript"/>
        </w:rPr>
        <w:t>out</w:t>
      </w:r>
      <w:r w:rsidRPr="00B04DC3">
        <w:t>(d</w:t>
      </w:r>
      <w:r w:rsidRPr="00B04DC3">
        <w:rPr>
          <w:vertAlign w:val="subscript"/>
        </w:rPr>
        <w:t>i</w:t>
      </w:r>
      <w:r w:rsidRPr="00B04DC3">
        <w:t>)</w:t>
      </w:r>
      <w:r w:rsidRPr="00B04DC3">
        <w:tab/>
        <w:t>=</w:t>
      </w:r>
      <w:r w:rsidRPr="00B04DC3">
        <w:tab/>
        <w:t xml:space="preserve">downstream </w:t>
      </w:r>
      <w:r w:rsidR="002E6737">
        <w:t>particulate</w:t>
      </w:r>
      <w:r w:rsidRPr="00B04DC3">
        <w:t xml:space="preserve"> number concentration for </w:t>
      </w:r>
      <w:r w:rsidR="002E6737">
        <w:t>particulate</w:t>
      </w:r>
      <w:r w:rsidRPr="00B04DC3">
        <w:t>s of diameter d</w:t>
      </w:r>
      <w:r w:rsidRPr="00B04DC3">
        <w:rPr>
          <w:vertAlign w:val="subscript"/>
        </w:rPr>
        <w:t>i</w:t>
      </w:r>
      <w:r w:rsidRPr="00B04DC3">
        <w:t>; and</w:t>
      </w:r>
    </w:p>
    <w:p w:rsidR="00D247DE" w:rsidRPr="00B04DC3" w:rsidRDefault="00D247DE" w:rsidP="00D247DE">
      <w:pPr>
        <w:tabs>
          <w:tab w:val="left" w:pos="2300"/>
          <w:tab w:val="left" w:pos="3200"/>
        </w:tabs>
        <w:spacing w:after="120"/>
        <w:ind w:left="3400" w:right="1134" w:hanging="2266"/>
        <w:jc w:val="both"/>
      </w:pPr>
      <w:r w:rsidRPr="00B04DC3">
        <w:tab/>
        <w:t>d</w:t>
      </w:r>
      <w:r w:rsidRPr="00B04DC3">
        <w:rPr>
          <w:vertAlign w:val="subscript"/>
        </w:rPr>
        <w:t>i</w:t>
      </w:r>
      <w:r w:rsidRPr="00B04DC3">
        <w:tab/>
        <w:t>=</w:t>
      </w:r>
      <w:r w:rsidRPr="00B04DC3">
        <w:tab/>
      </w:r>
      <w:r w:rsidR="002E6737">
        <w:t>particulate</w:t>
      </w:r>
      <w:r w:rsidRPr="00B04DC3">
        <w:t xml:space="preserve"> electrical mobility diameter (30, 50 or 100 nm).</w:t>
      </w:r>
    </w:p>
    <w:p w:rsidR="00D247DE" w:rsidRPr="00B04DC3" w:rsidRDefault="00D247DE" w:rsidP="00D247DE">
      <w:pPr>
        <w:tabs>
          <w:tab w:val="left" w:pos="2300"/>
          <w:tab w:val="left" w:pos="2842"/>
        </w:tabs>
        <w:spacing w:after="120"/>
        <w:ind w:left="3400" w:right="1134" w:hanging="2266"/>
        <w:jc w:val="both"/>
      </w:pPr>
      <w:r w:rsidRPr="00B04DC3">
        <w:tab/>
        <w:t>N</w:t>
      </w:r>
      <w:r w:rsidRPr="00B04DC3">
        <w:rPr>
          <w:vertAlign w:val="subscript"/>
        </w:rPr>
        <w:t>in</w:t>
      </w:r>
      <w:r w:rsidRPr="00B04DC3">
        <w:t>(d</w:t>
      </w:r>
      <w:r w:rsidRPr="00B04DC3">
        <w:rPr>
          <w:vertAlign w:val="subscript"/>
        </w:rPr>
        <w:t>i</w:t>
      </w:r>
      <w:r w:rsidRPr="00B04DC3">
        <w:t>) and N</w:t>
      </w:r>
      <w:r w:rsidRPr="00B04DC3">
        <w:rPr>
          <w:vertAlign w:val="subscript"/>
        </w:rPr>
        <w:t>out</w:t>
      </w:r>
      <w:r w:rsidRPr="00B04DC3">
        <w:t>(d</w:t>
      </w:r>
      <w:r w:rsidRPr="00B04DC3">
        <w:rPr>
          <w:vertAlign w:val="subscript"/>
        </w:rPr>
        <w:t>i</w:t>
      </w:r>
      <w:r w:rsidRPr="00B04DC3">
        <w:t>) shall be corrected to the same conditions.</w:t>
      </w:r>
    </w:p>
    <w:p w:rsidR="00D247DE" w:rsidRPr="00B04DC3" w:rsidRDefault="00D247DE" w:rsidP="00D247DE">
      <w:pPr>
        <w:spacing w:after="120"/>
        <w:ind w:left="2268" w:right="1134" w:hanging="1134"/>
        <w:jc w:val="both"/>
      </w:pPr>
      <w:r w:rsidRPr="00B04DC3">
        <w:tab/>
        <w:t xml:space="preserve">The mean </w:t>
      </w:r>
      <w:r w:rsidR="002E6737">
        <w:t>particulate</w:t>
      </w:r>
      <w:r w:rsidRPr="00B04DC3">
        <w:t xml:space="preserve"> concentration reduction (</w:t>
      </w:r>
      <w:r w:rsidR="00A905B7">
        <w:rPr>
          <w:color w:val="000000"/>
          <w:position w:val="-10"/>
          <w:szCs w:val="24"/>
        </w:rPr>
        <w:pict>
          <v:shape id="_x0000_i1360" type="#_x0000_t75" style="width:9.6pt;height:13.8pt">
            <v:imagedata r:id="rId521" o:title=""/>
          </v:shape>
        </w:pict>
      </w:r>
      <w:r w:rsidRPr="00B04DC3">
        <w:t>) at a given dilution setting shall be calculated as follows;</w:t>
      </w:r>
    </w:p>
    <w:p w:rsidR="00D247DE" w:rsidRPr="00B04DC3" w:rsidRDefault="00D247DE" w:rsidP="00D247DE">
      <w:pPr>
        <w:spacing w:after="120"/>
        <w:ind w:left="2268" w:right="1134" w:hanging="1134"/>
        <w:jc w:val="both"/>
      </w:pPr>
      <w:r w:rsidRPr="00B04DC3">
        <w:tab/>
      </w:r>
      <w:r w:rsidRPr="00B04DC3">
        <w:tab/>
      </w:r>
      <w:r w:rsidR="00A905B7">
        <w:rPr>
          <w:color w:val="000000"/>
          <w:position w:val="-20"/>
          <w:szCs w:val="24"/>
        </w:rPr>
        <w:pict>
          <v:shape id="_x0000_i1361" type="#_x0000_t75" style="width:161.4pt;height:27.6pt">
            <v:imagedata r:id="rId522" o:title=""/>
          </v:shape>
        </w:pict>
      </w:r>
    </w:p>
    <w:p w:rsidR="00D247DE" w:rsidRPr="00B04DC3" w:rsidRDefault="00D247DE" w:rsidP="00D247DE">
      <w:pPr>
        <w:spacing w:after="120"/>
        <w:ind w:left="2268" w:right="1134" w:hanging="1134"/>
        <w:jc w:val="both"/>
      </w:pPr>
      <w:r w:rsidRPr="00B04DC3">
        <w:tab/>
        <w:t>It is recommended that the VPR is calibrated and validated as a complete unit.</w:t>
      </w:r>
    </w:p>
    <w:p w:rsidR="00D247DE" w:rsidRPr="00B04DC3" w:rsidRDefault="00D247DE" w:rsidP="00D247DE">
      <w:pPr>
        <w:spacing w:after="120" w:line="240" w:lineRule="auto"/>
        <w:ind w:left="2268" w:right="1134" w:hanging="1134"/>
        <w:jc w:val="both"/>
      </w:pPr>
      <w:r w:rsidRPr="00B04DC3">
        <w:t>2.2.3.</w:t>
      </w:r>
      <w:r w:rsidRPr="00B04DC3">
        <w:tab/>
        <w:t xml:space="preserve">The Technical Service shall ensure the existence of a validation certificate for the VPR demonstrating effective volatile </w:t>
      </w:r>
      <w:r w:rsidR="002E6737">
        <w:t>particulate</w:t>
      </w:r>
      <w:r w:rsidRPr="00B04DC3">
        <w:t xml:space="preserve"> removal efficiency within a 6 month period prior to the emissions test. If the volatile </w:t>
      </w:r>
      <w:r w:rsidR="002E6737">
        <w:t>particulate</w:t>
      </w:r>
      <w:r w:rsidRPr="00B04DC3">
        <w:t xml:space="preserve"> remover incorporates temperature monitoring alarms a 12 month validation interval shall be permissible. The VPR shall demonstrate greater than 99.0 per cent removal of tetracontane (CH</w:t>
      </w:r>
      <w:r w:rsidRPr="00B04DC3">
        <w:rPr>
          <w:vertAlign w:val="subscript"/>
        </w:rPr>
        <w:t>3</w:t>
      </w:r>
      <w:r w:rsidRPr="00B04DC3">
        <w:t>(CH</w:t>
      </w:r>
      <w:r w:rsidRPr="00B04DC3">
        <w:rPr>
          <w:vertAlign w:val="subscript"/>
        </w:rPr>
        <w:t>2</w:t>
      </w:r>
      <w:r w:rsidRPr="00B04DC3">
        <w:t>)</w:t>
      </w:r>
      <w:r w:rsidRPr="00B04DC3">
        <w:rPr>
          <w:vertAlign w:val="subscript"/>
        </w:rPr>
        <w:t>38</w:t>
      </w:r>
      <w:r w:rsidRPr="00B04DC3">
        <w:t>CH</w:t>
      </w:r>
      <w:r w:rsidRPr="00B04DC3">
        <w:rPr>
          <w:vertAlign w:val="subscript"/>
        </w:rPr>
        <w:t>3</w:t>
      </w:r>
      <w:r w:rsidRPr="00B04DC3">
        <w:t xml:space="preserve">) </w:t>
      </w:r>
      <w:r w:rsidR="002E6737">
        <w:t>particulate</w:t>
      </w:r>
      <w:r w:rsidRPr="00B04DC3">
        <w:t>s of at least 30 nm electrical mobility diameter with an inlet concentration of ≥ 10,000 cm</w:t>
      </w:r>
      <w:r w:rsidRPr="00B04DC3">
        <w:rPr>
          <w:vertAlign w:val="superscript"/>
        </w:rPr>
        <w:t>-3</w:t>
      </w:r>
      <w:r w:rsidRPr="00B04DC3">
        <w:t xml:space="preserve"> when operated at  its minimum dilution setting and manufacturers recommended operating temperature.</w:t>
      </w:r>
    </w:p>
    <w:p w:rsidR="00D247DE" w:rsidRPr="00B04DC3" w:rsidRDefault="00D247DE" w:rsidP="00D247DE">
      <w:pPr>
        <w:spacing w:after="120"/>
        <w:ind w:left="2268" w:right="1134" w:hanging="1134"/>
        <w:jc w:val="both"/>
      </w:pPr>
      <w:r w:rsidRPr="00B04DC3">
        <w:t>2.3.</w:t>
      </w:r>
      <w:r w:rsidRPr="00B04DC3">
        <w:tab/>
      </w:r>
      <w:r w:rsidR="002E6737">
        <w:t>Particulate</w:t>
      </w:r>
      <w:r w:rsidRPr="00B04DC3">
        <w:t xml:space="preserve"> number system check procedures</w:t>
      </w:r>
    </w:p>
    <w:p w:rsidR="00D247DE" w:rsidRPr="00B04DC3" w:rsidRDefault="00D247DE" w:rsidP="00D247DE">
      <w:pPr>
        <w:spacing w:after="120" w:line="240" w:lineRule="auto"/>
        <w:ind w:left="2268" w:right="1134" w:hanging="1134"/>
        <w:jc w:val="both"/>
      </w:pPr>
      <w:r w:rsidRPr="00B04DC3">
        <w:t>2.3.1.</w:t>
      </w:r>
      <w:r w:rsidRPr="00B04DC3">
        <w:tab/>
        <w:t xml:space="preserve">Prior to each test, the </w:t>
      </w:r>
      <w:r w:rsidR="002E6737">
        <w:t>particulate</w:t>
      </w:r>
      <w:r w:rsidRPr="00B04DC3">
        <w:t xml:space="preserve"> counter shall report a measured concentration of less than 0.5 </w:t>
      </w:r>
      <w:r w:rsidR="002E6737">
        <w:t>particulate</w:t>
      </w:r>
      <w:r w:rsidRPr="00B04DC3">
        <w:t>s cm</w:t>
      </w:r>
      <w:r w:rsidRPr="00B04DC3">
        <w:rPr>
          <w:vertAlign w:val="superscript"/>
        </w:rPr>
        <w:t>-3</w:t>
      </w:r>
      <w:r w:rsidRPr="00B04DC3">
        <w:t xml:space="preserve"> when a HEPA filter of at least class H13 of EN 1822:2008, or equivalent performance, is attached to the inlet of the entire </w:t>
      </w:r>
      <w:r w:rsidR="002E6737">
        <w:t>particulate</w:t>
      </w:r>
      <w:r w:rsidRPr="00B04DC3">
        <w:t xml:space="preserve"> sampling system (VPR and PNC).</w:t>
      </w:r>
    </w:p>
    <w:p w:rsidR="00D247DE" w:rsidRPr="00B04DC3" w:rsidRDefault="00D247DE" w:rsidP="00D247DE">
      <w:pPr>
        <w:spacing w:after="120"/>
        <w:ind w:left="2268" w:right="1134" w:hanging="1134"/>
        <w:jc w:val="both"/>
      </w:pPr>
      <w:r w:rsidRPr="00B04DC3">
        <w:t>2.3.2.</w:t>
      </w:r>
      <w:r w:rsidRPr="00B04DC3">
        <w:tab/>
        <w:t xml:space="preserve">On a monthly basis, the flow into the </w:t>
      </w:r>
      <w:r w:rsidR="002E6737">
        <w:t>particulate</w:t>
      </w:r>
      <w:r w:rsidRPr="00B04DC3">
        <w:t xml:space="preserve"> counter shall report a measured value within 5 per cent of the </w:t>
      </w:r>
      <w:r w:rsidR="002E6737">
        <w:t>particulate</w:t>
      </w:r>
      <w:r w:rsidRPr="00B04DC3">
        <w:t xml:space="preserve"> counter nominal flow rate when checked with a calibrated flow meter.</w:t>
      </w:r>
    </w:p>
    <w:p w:rsidR="00D247DE" w:rsidRPr="00B04DC3" w:rsidRDefault="00D247DE" w:rsidP="00D247DE">
      <w:pPr>
        <w:spacing w:after="120" w:line="240" w:lineRule="auto"/>
        <w:ind w:left="2268" w:right="1134" w:hanging="1134"/>
        <w:jc w:val="both"/>
      </w:pPr>
      <w:r w:rsidRPr="00B04DC3">
        <w:t>2.3.3.</w:t>
      </w:r>
      <w:r w:rsidRPr="00B04DC3">
        <w:tab/>
        <w:t xml:space="preserve">Each day, following the application of a HEPA filter of at least class H13 of EN 1822:2008, or equivalent performance, to the inlet of the </w:t>
      </w:r>
      <w:r w:rsidR="002E6737">
        <w:t>particulate</w:t>
      </w:r>
      <w:r w:rsidRPr="00B04DC3">
        <w:t xml:space="preserve"> counter, the </w:t>
      </w:r>
      <w:r w:rsidR="002E6737">
        <w:t>particulate</w:t>
      </w:r>
      <w:r w:rsidRPr="00B04DC3">
        <w:t xml:space="preserve"> counter shall report a concentration of ≤ 0.2 cm</w:t>
      </w:r>
      <w:r w:rsidRPr="00B04DC3">
        <w:rPr>
          <w:vertAlign w:val="superscript"/>
        </w:rPr>
        <w:t>-3</w:t>
      </w:r>
      <w:r w:rsidRPr="00B04DC3">
        <w:t xml:space="preserve">. Upon removal of this filter, the </w:t>
      </w:r>
      <w:r w:rsidR="002E6737">
        <w:t>particulate</w:t>
      </w:r>
      <w:r w:rsidRPr="00B04DC3">
        <w:t xml:space="preserve"> counter shall show an increase in measured concentration to at least 100 </w:t>
      </w:r>
      <w:r w:rsidR="002E6737">
        <w:t>particulate</w:t>
      </w:r>
      <w:r w:rsidRPr="00B04DC3">
        <w:t>s cm</w:t>
      </w:r>
      <w:r w:rsidRPr="00B04DC3">
        <w:rPr>
          <w:vertAlign w:val="superscript"/>
        </w:rPr>
        <w:t>-3</w:t>
      </w:r>
      <w:r w:rsidRPr="00B04DC3">
        <w:t xml:space="preserve"> when challenged with ambient air and a return to ≤ 0.2 cm</w:t>
      </w:r>
      <w:r w:rsidRPr="00B04DC3">
        <w:rPr>
          <w:vertAlign w:val="superscript"/>
        </w:rPr>
        <w:t>-3</w:t>
      </w:r>
      <w:r w:rsidRPr="00B04DC3">
        <w:t xml:space="preserve"> on replacement of the HEPA filter.</w:t>
      </w:r>
    </w:p>
    <w:p w:rsidR="00D247DE" w:rsidRPr="00B04DC3" w:rsidRDefault="00D247DE" w:rsidP="00D247DE">
      <w:pPr>
        <w:spacing w:after="120"/>
        <w:ind w:left="2268" w:right="1134" w:hanging="1134"/>
        <w:jc w:val="both"/>
      </w:pPr>
      <w:r w:rsidRPr="00B04DC3">
        <w:t>2.3.4.</w:t>
      </w:r>
      <w:r w:rsidRPr="00B04DC3">
        <w:tab/>
        <w:t>Prior to the start of each test it shall be confirmed that the measurement system indicates that the evaporation tube, where featured in the system, has reached its correct operating temperature.</w:t>
      </w:r>
    </w:p>
    <w:p w:rsidR="00002BA6" w:rsidRPr="00B04DC3" w:rsidRDefault="00D247DE" w:rsidP="00281C9D">
      <w:pPr>
        <w:spacing w:after="120"/>
        <w:ind w:left="2268" w:right="1134" w:hanging="1134"/>
        <w:jc w:val="both"/>
      </w:pPr>
      <w:r w:rsidRPr="00B04DC3">
        <w:t>2.3.5.</w:t>
      </w:r>
      <w:r w:rsidRPr="00B04DC3">
        <w:tab/>
        <w:t>Prior to the start of each test it shall be confirmed that the measurement system indicates that the diluter PND</w:t>
      </w:r>
      <w:r w:rsidRPr="00B04DC3">
        <w:rPr>
          <w:vertAlign w:val="subscript"/>
        </w:rPr>
        <w:t>1</w:t>
      </w:r>
      <w:r w:rsidRPr="00B04DC3">
        <w:t xml:space="preserve"> has reached its correct operating temperature.</w:t>
      </w:r>
    </w:p>
    <w:p w:rsidR="00002BA6" w:rsidRPr="00B04DC3" w:rsidRDefault="00002BA6" w:rsidP="00281C9D">
      <w:pPr>
        <w:spacing w:after="120"/>
        <w:ind w:left="2268" w:right="1134" w:hanging="1134"/>
        <w:jc w:val="both"/>
        <w:sectPr w:rsidR="00002BA6" w:rsidRPr="00B04DC3" w:rsidSect="00002BA6">
          <w:headerReference w:type="even" r:id="rId523"/>
          <w:headerReference w:type="default" r:id="rId524"/>
          <w:headerReference w:type="first" r:id="rId525"/>
          <w:footerReference w:type="first" r:id="rId526"/>
          <w:footnotePr>
            <w:numRestart w:val="eachSect"/>
          </w:footnotePr>
          <w:endnotePr>
            <w:numFmt w:val="decimal"/>
          </w:endnotePr>
          <w:pgSz w:w="11907" w:h="16840" w:code="9"/>
          <w:pgMar w:top="1954" w:right="1134" w:bottom="2268" w:left="1134" w:header="1134" w:footer="1701" w:gutter="0"/>
          <w:cols w:space="720"/>
          <w:titlePg/>
        </w:sectPr>
      </w:pPr>
    </w:p>
    <w:p w:rsidR="00BB1DA8" w:rsidRPr="00B04DC3" w:rsidRDefault="00BB1DA8" w:rsidP="00BB1DA8">
      <w:pPr>
        <w:pStyle w:val="HChG"/>
        <w:spacing w:before="240" w:after="0"/>
      </w:pPr>
      <w:bookmarkStart w:id="674" w:name="_Toc423599645"/>
      <w:bookmarkStart w:id="675" w:name="_Toc423611053"/>
      <w:r w:rsidRPr="00B04DC3">
        <w:t>Annex 5</w:t>
      </w:r>
      <w:bookmarkEnd w:id="674"/>
      <w:bookmarkEnd w:id="675"/>
    </w:p>
    <w:p w:rsidR="00BB1DA8" w:rsidRPr="00B04DC3" w:rsidRDefault="00BB1DA8" w:rsidP="00D918FE">
      <w:pPr>
        <w:pStyle w:val="HChG"/>
        <w:spacing w:before="240" w:after="360"/>
      </w:pPr>
      <w:r w:rsidRPr="00B04DC3">
        <w:tab/>
      </w:r>
      <w:r w:rsidRPr="00B04DC3">
        <w:tab/>
      </w:r>
      <w:bookmarkStart w:id="676" w:name="_Toc423599646"/>
      <w:bookmarkStart w:id="677" w:name="_Toc423611054"/>
      <w:r w:rsidRPr="00B04DC3">
        <w:t>Technical characteristics of reference fuel prescribed for approval tests and to verify the conformity of production</w:t>
      </w:r>
      <w:bookmarkEnd w:id="676"/>
      <w:bookmarkEnd w:id="677"/>
    </w:p>
    <w:p w:rsidR="00BB1DA8" w:rsidRPr="00B04DC3" w:rsidRDefault="00BB1DA8" w:rsidP="00062B68">
      <w:pPr>
        <w:pStyle w:val="para"/>
        <w:spacing w:after="60"/>
      </w:pPr>
      <w:bookmarkStart w:id="678" w:name="_Toc399940061"/>
      <w:r w:rsidRPr="00B04DC3">
        <w:t>1.1</w:t>
      </w:r>
      <w:r w:rsidRPr="00B04DC3">
        <w:tab/>
        <w:t>Diesel reference fuel for testing engines to the emission limits given in row A of the tables in paragraph 5.2.1 of this Regulation</w:t>
      </w:r>
      <w:r w:rsidRPr="00B04DC3">
        <w:rPr>
          <w:i/>
          <w:vertAlign w:val="superscript"/>
        </w:rPr>
        <w:t>a</w:t>
      </w:r>
      <w:bookmarkEnd w:id="67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387"/>
        <w:gridCol w:w="894"/>
        <w:gridCol w:w="893"/>
        <w:gridCol w:w="1935"/>
        <w:gridCol w:w="1128"/>
      </w:tblGrid>
      <w:tr w:rsidR="00BB1DA8" w:rsidRPr="00B04DC3" w:rsidTr="00955494">
        <w:trPr>
          <w:trHeight w:val="284"/>
        </w:trPr>
        <w:tc>
          <w:tcPr>
            <w:tcW w:w="3261" w:type="dxa"/>
            <w:vMerge w:val="restart"/>
          </w:tcPr>
          <w:p w:rsidR="00BB1DA8" w:rsidRPr="00B04DC3" w:rsidRDefault="00BB1DA8" w:rsidP="00BB1DA8">
            <w:pPr>
              <w:spacing w:before="40" w:after="40" w:line="200" w:lineRule="atLeast"/>
              <w:rPr>
                <w:i/>
                <w:sz w:val="16"/>
                <w:szCs w:val="16"/>
              </w:rPr>
            </w:pPr>
            <w:r w:rsidRPr="00B04DC3">
              <w:rPr>
                <w:i/>
                <w:sz w:val="16"/>
                <w:szCs w:val="16"/>
              </w:rPr>
              <w:t>Parameter</w:t>
            </w:r>
          </w:p>
        </w:tc>
        <w:tc>
          <w:tcPr>
            <w:tcW w:w="1387" w:type="dxa"/>
            <w:vMerge w:val="restart"/>
          </w:tcPr>
          <w:p w:rsidR="00BB1DA8" w:rsidRPr="00B04DC3" w:rsidRDefault="00BB1DA8" w:rsidP="00BB1DA8">
            <w:pPr>
              <w:spacing w:before="40" w:after="40" w:line="200" w:lineRule="atLeast"/>
              <w:jc w:val="center"/>
              <w:rPr>
                <w:i/>
                <w:sz w:val="16"/>
                <w:szCs w:val="16"/>
              </w:rPr>
            </w:pPr>
            <w:r w:rsidRPr="00B04DC3">
              <w:rPr>
                <w:i/>
                <w:sz w:val="16"/>
                <w:szCs w:val="16"/>
              </w:rPr>
              <w:t>Unit</w:t>
            </w:r>
          </w:p>
        </w:tc>
        <w:tc>
          <w:tcPr>
            <w:tcW w:w="1787" w:type="dxa"/>
            <w:gridSpan w:val="2"/>
          </w:tcPr>
          <w:p w:rsidR="00BB1DA8" w:rsidRPr="00B04DC3" w:rsidRDefault="00BB1DA8" w:rsidP="00BB1DA8">
            <w:pPr>
              <w:spacing w:before="40" w:after="40" w:line="200" w:lineRule="atLeast"/>
              <w:jc w:val="center"/>
              <w:rPr>
                <w:i/>
                <w:sz w:val="16"/>
                <w:szCs w:val="16"/>
              </w:rPr>
            </w:pPr>
            <w:r w:rsidRPr="00B04DC3">
              <w:rPr>
                <w:i/>
                <w:sz w:val="16"/>
                <w:szCs w:val="16"/>
              </w:rPr>
              <w:t>Limits</w:t>
            </w:r>
            <w:r w:rsidRPr="00B04DC3">
              <w:rPr>
                <w:i/>
                <w:sz w:val="16"/>
                <w:szCs w:val="16"/>
                <w:vertAlign w:val="superscript"/>
              </w:rPr>
              <w:t>b</w:t>
            </w:r>
          </w:p>
        </w:tc>
        <w:tc>
          <w:tcPr>
            <w:tcW w:w="1935" w:type="dxa"/>
            <w:vMerge w:val="restart"/>
          </w:tcPr>
          <w:p w:rsidR="00BB1DA8" w:rsidRPr="00B04DC3" w:rsidRDefault="00BB1DA8" w:rsidP="00BB1DA8">
            <w:pPr>
              <w:spacing w:before="40" w:after="40" w:line="200" w:lineRule="atLeast"/>
              <w:jc w:val="center"/>
              <w:rPr>
                <w:i/>
                <w:sz w:val="16"/>
                <w:szCs w:val="16"/>
              </w:rPr>
            </w:pPr>
            <w:r w:rsidRPr="00B04DC3">
              <w:rPr>
                <w:i/>
                <w:sz w:val="16"/>
                <w:szCs w:val="16"/>
              </w:rPr>
              <w:t>Test method</w:t>
            </w:r>
          </w:p>
        </w:tc>
        <w:tc>
          <w:tcPr>
            <w:tcW w:w="1128" w:type="dxa"/>
            <w:vMerge w:val="restart"/>
          </w:tcPr>
          <w:p w:rsidR="00BB1DA8" w:rsidRPr="00B04DC3" w:rsidRDefault="00BB1DA8" w:rsidP="00BB1DA8">
            <w:pPr>
              <w:spacing w:before="40" w:after="40" w:line="200" w:lineRule="atLeast"/>
              <w:jc w:val="center"/>
              <w:rPr>
                <w:i/>
                <w:sz w:val="16"/>
                <w:szCs w:val="16"/>
              </w:rPr>
            </w:pPr>
            <w:r w:rsidRPr="00B04DC3">
              <w:rPr>
                <w:i/>
                <w:sz w:val="16"/>
                <w:szCs w:val="16"/>
              </w:rPr>
              <w:t>Publication</w:t>
            </w:r>
          </w:p>
        </w:tc>
      </w:tr>
      <w:tr w:rsidR="00BB1DA8" w:rsidRPr="00B04DC3" w:rsidTr="00955494">
        <w:trPr>
          <w:trHeight w:val="284"/>
        </w:trPr>
        <w:tc>
          <w:tcPr>
            <w:tcW w:w="3261"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c>
          <w:tcPr>
            <w:tcW w:w="1387"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c>
          <w:tcPr>
            <w:tcW w:w="894" w:type="dxa"/>
            <w:tcBorders>
              <w:bottom w:val="single" w:sz="12" w:space="0" w:color="auto"/>
            </w:tcBorders>
          </w:tcPr>
          <w:p w:rsidR="00BB1DA8" w:rsidRPr="00B04DC3" w:rsidRDefault="00BB1DA8" w:rsidP="00BB1DA8">
            <w:pPr>
              <w:spacing w:before="80" w:after="80" w:line="200" w:lineRule="atLeast"/>
              <w:jc w:val="center"/>
              <w:rPr>
                <w:i/>
                <w:sz w:val="16"/>
                <w:szCs w:val="16"/>
              </w:rPr>
            </w:pPr>
            <w:r w:rsidRPr="00B04DC3">
              <w:rPr>
                <w:i/>
                <w:sz w:val="16"/>
                <w:szCs w:val="16"/>
              </w:rPr>
              <w:t>Minimum</w:t>
            </w:r>
          </w:p>
        </w:tc>
        <w:tc>
          <w:tcPr>
            <w:tcW w:w="893" w:type="dxa"/>
            <w:tcBorders>
              <w:bottom w:val="single" w:sz="12" w:space="0" w:color="auto"/>
            </w:tcBorders>
          </w:tcPr>
          <w:p w:rsidR="00BB1DA8" w:rsidRPr="00B04DC3" w:rsidRDefault="00BB1DA8" w:rsidP="00BB1DA8">
            <w:pPr>
              <w:spacing w:before="80" w:after="80" w:line="200" w:lineRule="atLeast"/>
              <w:ind w:right="-108"/>
              <w:jc w:val="center"/>
              <w:rPr>
                <w:i/>
                <w:sz w:val="16"/>
                <w:szCs w:val="16"/>
              </w:rPr>
            </w:pPr>
            <w:r w:rsidRPr="00B04DC3">
              <w:rPr>
                <w:i/>
                <w:sz w:val="16"/>
                <w:szCs w:val="16"/>
              </w:rPr>
              <w:t>Maximum</w:t>
            </w:r>
          </w:p>
        </w:tc>
        <w:tc>
          <w:tcPr>
            <w:tcW w:w="1935"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c>
          <w:tcPr>
            <w:tcW w:w="1128"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r>
      <w:tr w:rsidR="00BB1DA8" w:rsidRPr="00B04DC3" w:rsidTr="00955494">
        <w:tc>
          <w:tcPr>
            <w:tcW w:w="3261" w:type="dxa"/>
            <w:tcBorders>
              <w:top w:val="single" w:sz="12" w:space="0" w:color="auto"/>
            </w:tcBorders>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Cetane number</w:t>
            </w:r>
            <w:r w:rsidRPr="00B04DC3">
              <w:rPr>
                <w:i/>
                <w:sz w:val="18"/>
                <w:szCs w:val="18"/>
                <w:vertAlign w:val="superscript"/>
              </w:rPr>
              <w:t>c</w:t>
            </w:r>
          </w:p>
        </w:tc>
        <w:tc>
          <w:tcPr>
            <w:tcW w:w="1387" w:type="dxa"/>
            <w:tcBorders>
              <w:top w:val="single" w:sz="12" w:space="0" w:color="auto"/>
            </w:tcBorders>
          </w:tcPr>
          <w:p w:rsidR="00BB1DA8" w:rsidRPr="00B04DC3" w:rsidRDefault="00BB1DA8" w:rsidP="00BB1DA8">
            <w:pPr>
              <w:pStyle w:val="NormalLeft"/>
              <w:spacing w:beforeLines="20" w:before="48" w:afterLines="20" w:after="48" w:line="200" w:lineRule="exact"/>
              <w:jc w:val="center"/>
              <w:rPr>
                <w:sz w:val="18"/>
                <w:szCs w:val="18"/>
              </w:rPr>
            </w:pPr>
          </w:p>
        </w:tc>
        <w:tc>
          <w:tcPr>
            <w:tcW w:w="894" w:type="dxa"/>
            <w:tcBorders>
              <w:top w:val="single" w:sz="12" w:space="0" w:color="auto"/>
            </w:tcBorders>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52</w:t>
            </w:r>
          </w:p>
        </w:tc>
        <w:tc>
          <w:tcPr>
            <w:tcW w:w="893" w:type="dxa"/>
            <w:tcBorders>
              <w:top w:val="single" w:sz="12" w:space="0" w:color="auto"/>
            </w:tcBorders>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54</w:t>
            </w:r>
          </w:p>
        </w:tc>
        <w:tc>
          <w:tcPr>
            <w:tcW w:w="1935" w:type="dxa"/>
            <w:tcBorders>
              <w:top w:val="single" w:sz="12" w:space="0" w:color="auto"/>
            </w:tcBorders>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5165</w:t>
            </w:r>
          </w:p>
        </w:tc>
        <w:tc>
          <w:tcPr>
            <w:tcW w:w="1128" w:type="dxa"/>
            <w:tcBorders>
              <w:top w:val="single" w:sz="12" w:space="0" w:color="auto"/>
            </w:tcBorders>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r w:rsidRPr="00B04DC3">
              <w:rPr>
                <w:i/>
                <w:sz w:val="16"/>
                <w:szCs w:val="16"/>
                <w:vertAlign w:val="superscript"/>
                <w:lang w:eastAsia="en-US"/>
              </w:rPr>
              <w:t>d</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Density at 15 °C</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kg/m</w:t>
            </w:r>
            <w:r w:rsidRPr="00B04DC3">
              <w:rPr>
                <w:sz w:val="18"/>
                <w:szCs w:val="18"/>
                <w:vertAlign w:val="superscript"/>
              </w:rPr>
              <w:t>3</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833</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837</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3675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1995</w:t>
            </w:r>
          </w:p>
        </w:tc>
      </w:tr>
      <w:tr w:rsidR="00BB1DA8" w:rsidRPr="00B04DC3" w:rsidTr="00955494">
        <w:tc>
          <w:tcPr>
            <w:tcW w:w="3261" w:type="dxa"/>
          </w:tcPr>
          <w:p w:rsidR="00BB1DA8" w:rsidRPr="00B04DC3" w:rsidRDefault="00BB1DA8" w:rsidP="00BB1DA8">
            <w:pPr>
              <w:spacing w:beforeLines="20" w:before="48" w:afterLines="20" w:after="48" w:line="200" w:lineRule="exact"/>
              <w:rPr>
                <w:snapToGrid w:val="0"/>
                <w:sz w:val="18"/>
                <w:szCs w:val="18"/>
              </w:rPr>
            </w:pPr>
            <w:r w:rsidRPr="00B04DC3">
              <w:rPr>
                <w:snapToGrid w:val="0"/>
                <w:sz w:val="18"/>
                <w:szCs w:val="18"/>
              </w:rPr>
              <w:t>Distillation:</w:t>
            </w:r>
          </w:p>
        </w:tc>
        <w:tc>
          <w:tcPr>
            <w:tcW w:w="1387" w:type="dxa"/>
          </w:tcPr>
          <w:p w:rsidR="00BB1DA8" w:rsidRPr="00B04DC3" w:rsidRDefault="00BB1DA8" w:rsidP="00BB1DA8">
            <w:pPr>
              <w:spacing w:beforeLines="20" w:before="48" w:afterLines="20" w:after="48" w:line="200" w:lineRule="exact"/>
              <w:jc w:val="center"/>
              <w:rPr>
                <w:snapToGrid w:val="0"/>
                <w:sz w:val="18"/>
                <w:szCs w:val="18"/>
              </w:rPr>
            </w:pPr>
          </w:p>
        </w:tc>
        <w:tc>
          <w:tcPr>
            <w:tcW w:w="894" w:type="dxa"/>
          </w:tcPr>
          <w:p w:rsidR="00BB1DA8" w:rsidRPr="00B04DC3" w:rsidRDefault="00BB1DA8" w:rsidP="00BB1DA8">
            <w:pPr>
              <w:spacing w:beforeLines="20" w:before="48" w:afterLines="20" w:after="48" w:line="200" w:lineRule="exact"/>
              <w:jc w:val="center"/>
              <w:rPr>
                <w:snapToGrid w:val="0"/>
                <w:sz w:val="18"/>
                <w:szCs w:val="18"/>
              </w:rPr>
            </w:pPr>
          </w:p>
        </w:tc>
        <w:tc>
          <w:tcPr>
            <w:tcW w:w="893" w:type="dxa"/>
          </w:tcPr>
          <w:p w:rsidR="00BB1DA8" w:rsidRPr="00B04DC3" w:rsidRDefault="00BB1DA8" w:rsidP="00BB1DA8">
            <w:pPr>
              <w:spacing w:beforeLines="20" w:before="48" w:afterLines="20" w:after="48" w:line="200" w:lineRule="exact"/>
              <w:jc w:val="center"/>
              <w:rPr>
                <w:snapToGrid w:val="0"/>
                <w:sz w:val="18"/>
                <w:szCs w:val="18"/>
              </w:rPr>
            </w:pPr>
          </w:p>
        </w:tc>
        <w:tc>
          <w:tcPr>
            <w:tcW w:w="1935" w:type="dxa"/>
          </w:tcPr>
          <w:p w:rsidR="00BB1DA8" w:rsidRPr="00B04DC3" w:rsidRDefault="00BB1DA8" w:rsidP="00BB1DA8">
            <w:pPr>
              <w:spacing w:beforeLines="20" w:before="48" w:afterLines="20" w:after="48" w:line="200" w:lineRule="exact"/>
              <w:jc w:val="center"/>
              <w:rPr>
                <w:snapToGrid w:val="0"/>
                <w:sz w:val="18"/>
                <w:szCs w:val="18"/>
              </w:rPr>
            </w:pPr>
          </w:p>
        </w:tc>
        <w:tc>
          <w:tcPr>
            <w:tcW w:w="1128" w:type="dxa"/>
          </w:tcPr>
          <w:p w:rsidR="00BB1DA8" w:rsidRPr="00B04DC3" w:rsidRDefault="00BB1DA8" w:rsidP="00BB1DA8">
            <w:pPr>
              <w:spacing w:beforeLines="20" w:before="48" w:afterLines="20" w:after="48" w:line="200" w:lineRule="exact"/>
              <w:jc w:val="center"/>
              <w:rPr>
                <w:snapToGrid w:val="0"/>
                <w:sz w:val="18"/>
                <w:szCs w:val="18"/>
              </w:rPr>
            </w:pP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 50 per cent point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°C</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245</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3405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 95 per cent point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°C</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345</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350</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3405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 xml:space="preserve">— </w:t>
            </w:r>
            <w:r w:rsidRPr="00B04DC3">
              <w:rPr>
                <w:sz w:val="18"/>
                <w:szCs w:val="18"/>
              </w:rPr>
              <w:softHyphen/>
            </w:r>
            <w:r w:rsidRPr="00B04DC3">
              <w:rPr>
                <w:sz w:val="18"/>
                <w:szCs w:val="18"/>
              </w:rPr>
              <w:softHyphen/>
              <w:t xml:space="preserve"> final boiling point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°C</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370</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3405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Flash point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°C</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55</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 27719</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1993</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CFPP</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°C</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− 5</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 116</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1981</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Viscosity at 40 °C</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mm</w:t>
            </w:r>
            <w:r w:rsidRPr="00B04DC3">
              <w:rPr>
                <w:sz w:val="18"/>
                <w:szCs w:val="18"/>
                <w:vertAlign w:val="superscript"/>
              </w:rPr>
              <w:t>2</w:t>
            </w:r>
            <w:r w:rsidRPr="00B04DC3">
              <w:rPr>
                <w:sz w:val="18"/>
                <w:szCs w:val="18"/>
              </w:rPr>
              <w:t>/s</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2.5</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3.5</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3104</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1996</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Polycyclic aromatic hydrocarbons</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per cent m/m</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3.0</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6.0</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IP 391*</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1995</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Sulphur content</w:t>
            </w:r>
            <w:r w:rsidRPr="00B04DC3">
              <w:rPr>
                <w:sz w:val="18"/>
                <w:szCs w:val="18"/>
                <w:vertAlign w:val="superscript"/>
              </w:rPr>
              <w:t>e</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mg/kg</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300</w:t>
            </w:r>
          </w:p>
        </w:tc>
        <w:tc>
          <w:tcPr>
            <w:tcW w:w="1935" w:type="dxa"/>
          </w:tcPr>
          <w:p w:rsidR="00BB1DA8" w:rsidRPr="00B04DC3" w:rsidRDefault="00BB1DA8" w:rsidP="00BB1DA8">
            <w:pPr>
              <w:pStyle w:val="NormalLeft"/>
              <w:spacing w:beforeLines="20" w:before="48" w:afterLines="20" w:after="48" w:line="200" w:lineRule="exact"/>
              <w:ind w:left="-108"/>
              <w:jc w:val="center"/>
              <w:rPr>
                <w:sz w:val="18"/>
                <w:szCs w:val="18"/>
              </w:rPr>
            </w:pPr>
            <w:r w:rsidRPr="00B04DC3">
              <w:rPr>
                <w:sz w:val="18"/>
                <w:szCs w:val="18"/>
              </w:rPr>
              <w:t>pr. EN-ISO/DIS 14596</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r w:rsidRPr="00B04DC3">
              <w:rPr>
                <w:i/>
                <w:sz w:val="18"/>
                <w:szCs w:val="18"/>
                <w:vertAlign w:val="superscript"/>
              </w:rPr>
              <w:t>d</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Copper corrosion</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1</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2160</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1995</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pacing w:val="-4"/>
                <w:sz w:val="18"/>
                <w:szCs w:val="18"/>
              </w:rPr>
            </w:pPr>
            <w:r w:rsidRPr="00B04DC3">
              <w:rPr>
                <w:spacing w:val="-4"/>
                <w:sz w:val="18"/>
                <w:szCs w:val="18"/>
              </w:rPr>
              <w:t>Conradson carbon residue (10 per cent DR)</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per cent m/m</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0.2</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10370</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Ash content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per cent m/m</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0.01</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6245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1995</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Water content</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per cent m/m</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0.05</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12937</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1995</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Neutralisation (strong acid) number</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mg KOH/g</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0.02</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ASTM D 974-95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1998</w:t>
            </w:r>
            <w:r w:rsidRPr="00B04DC3">
              <w:rPr>
                <w:i/>
                <w:sz w:val="18"/>
                <w:szCs w:val="18"/>
                <w:vertAlign w:val="superscript"/>
              </w:rPr>
              <w:t xml:space="preserve"> d</w:t>
            </w:r>
          </w:p>
        </w:tc>
      </w:tr>
      <w:tr w:rsidR="00BB1DA8" w:rsidRPr="00B04DC3" w:rsidTr="00955494">
        <w:tc>
          <w:tcPr>
            <w:tcW w:w="3261" w:type="dxa"/>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Oxidation stability</w:t>
            </w:r>
            <w:r w:rsidRPr="00B04DC3">
              <w:rPr>
                <w:sz w:val="18"/>
                <w:szCs w:val="18"/>
                <w:vertAlign w:val="superscript"/>
              </w:rPr>
              <w:t xml:space="preserve"> </w:t>
            </w:r>
            <w:r w:rsidRPr="00B04DC3">
              <w:rPr>
                <w:i/>
                <w:sz w:val="18"/>
                <w:szCs w:val="18"/>
                <w:vertAlign w:val="superscript"/>
              </w:rPr>
              <w:t>f</w:t>
            </w:r>
          </w:p>
        </w:tc>
        <w:tc>
          <w:tcPr>
            <w:tcW w:w="1387"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mg/ml</w:t>
            </w:r>
          </w:p>
        </w:tc>
        <w:tc>
          <w:tcPr>
            <w:tcW w:w="894"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0.025</w:t>
            </w:r>
          </w:p>
        </w:tc>
        <w:tc>
          <w:tcPr>
            <w:tcW w:w="1935"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EN-ISO 12205</w:t>
            </w:r>
          </w:p>
        </w:tc>
        <w:tc>
          <w:tcPr>
            <w:tcW w:w="1128" w:type="dxa"/>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1996</w:t>
            </w:r>
          </w:p>
        </w:tc>
      </w:tr>
      <w:tr w:rsidR="00BB1DA8" w:rsidRPr="00B04DC3" w:rsidTr="00955494">
        <w:tc>
          <w:tcPr>
            <w:tcW w:w="3261" w:type="dxa"/>
            <w:tcBorders>
              <w:bottom w:val="single" w:sz="12" w:space="0" w:color="auto"/>
            </w:tcBorders>
          </w:tcPr>
          <w:p w:rsidR="00BB1DA8" w:rsidRPr="00B04DC3" w:rsidRDefault="00BB1DA8" w:rsidP="00BB1DA8">
            <w:pPr>
              <w:pStyle w:val="NormalLeft"/>
              <w:spacing w:beforeLines="20" w:before="48" w:afterLines="20" w:after="48" w:line="200" w:lineRule="exact"/>
              <w:rPr>
                <w:sz w:val="18"/>
                <w:szCs w:val="18"/>
              </w:rPr>
            </w:pPr>
            <w:r w:rsidRPr="00B04DC3">
              <w:rPr>
                <w:sz w:val="18"/>
                <w:szCs w:val="18"/>
              </w:rPr>
              <w:t>* New and better method for polycyclic aromatics under development</w:t>
            </w:r>
          </w:p>
        </w:tc>
        <w:tc>
          <w:tcPr>
            <w:tcW w:w="1387" w:type="dxa"/>
            <w:tcBorders>
              <w:bottom w:val="single" w:sz="12" w:space="0" w:color="auto"/>
            </w:tcBorders>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per cent m/m</w:t>
            </w:r>
          </w:p>
        </w:tc>
        <w:tc>
          <w:tcPr>
            <w:tcW w:w="894" w:type="dxa"/>
            <w:tcBorders>
              <w:bottom w:val="single" w:sz="12" w:space="0" w:color="auto"/>
            </w:tcBorders>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893" w:type="dxa"/>
            <w:tcBorders>
              <w:bottom w:val="single" w:sz="12" w:space="0" w:color="auto"/>
            </w:tcBorders>
          </w:tcPr>
          <w:p w:rsidR="00BB1DA8" w:rsidRPr="00B04DC3" w:rsidRDefault="00BB1DA8" w:rsidP="00BB1DA8">
            <w:pPr>
              <w:pStyle w:val="NormalRight"/>
              <w:spacing w:beforeLines="20" w:before="48" w:afterLines="20" w:after="48" w:line="200" w:lineRule="exact"/>
              <w:jc w:val="center"/>
              <w:rPr>
                <w:sz w:val="18"/>
                <w:szCs w:val="18"/>
              </w:rPr>
            </w:pPr>
            <w:r w:rsidRPr="00B04DC3">
              <w:rPr>
                <w:sz w:val="18"/>
                <w:szCs w:val="18"/>
              </w:rPr>
              <w:t>—</w:t>
            </w:r>
          </w:p>
        </w:tc>
        <w:tc>
          <w:tcPr>
            <w:tcW w:w="1935" w:type="dxa"/>
            <w:tcBorders>
              <w:bottom w:val="single" w:sz="12" w:space="0" w:color="auto"/>
            </w:tcBorders>
          </w:tcPr>
          <w:p w:rsidR="00BB1DA8" w:rsidRPr="00B04DC3" w:rsidRDefault="00BB1DA8" w:rsidP="00BB1DA8">
            <w:pPr>
              <w:pStyle w:val="NormalLeft"/>
              <w:spacing w:beforeLines="20" w:before="48" w:afterLines="20" w:after="48" w:line="200" w:lineRule="exact"/>
              <w:jc w:val="center"/>
              <w:rPr>
                <w:sz w:val="18"/>
                <w:szCs w:val="18"/>
              </w:rPr>
            </w:pPr>
            <w:r w:rsidRPr="00B04DC3">
              <w:rPr>
                <w:sz w:val="18"/>
                <w:szCs w:val="18"/>
              </w:rPr>
              <w:t>EN 12916</w:t>
            </w:r>
          </w:p>
        </w:tc>
        <w:tc>
          <w:tcPr>
            <w:tcW w:w="1128" w:type="dxa"/>
            <w:tcBorders>
              <w:bottom w:val="single" w:sz="12" w:space="0" w:color="auto"/>
            </w:tcBorders>
          </w:tcPr>
          <w:p w:rsidR="00BB1DA8" w:rsidRPr="00B04DC3" w:rsidRDefault="00BB1DA8" w:rsidP="00BB1DA8">
            <w:pPr>
              <w:pStyle w:val="NormalLeft"/>
              <w:keepNext/>
              <w:spacing w:beforeLines="20" w:before="48" w:afterLines="20" w:after="48" w:line="200" w:lineRule="exact"/>
              <w:jc w:val="center"/>
              <w:rPr>
                <w:sz w:val="18"/>
                <w:szCs w:val="18"/>
              </w:rPr>
            </w:pPr>
            <w:r w:rsidRPr="00B04DC3">
              <w:rPr>
                <w:sz w:val="18"/>
                <w:szCs w:val="18"/>
              </w:rPr>
              <w:t>[1997]</w:t>
            </w:r>
            <w:r w:rsidRPr="00B04DC3">
              <w:rPr>
                <w:i/>
                <w:sz w:val="18"/>
                <w:szCs w:val="18"/>
                <w:vertAlign w:val="superscript"/>
              </w:rPr>
              <w:t xml:space="preserve"> d</w:t>
            </w:r>
          </w:p>
        </w:tc>
      </w:tr>
      <w:tr w:rsidR="00BB1DA8" w:rsidRPr="00B04DC3" w:rsidTr="00955494">
        <w:tc>
          <w:tcPr>
            <w:tcW w:w="9498" w:type="dxa"/>
            <w:gridSpan w:val="6"/>
            <w:tcBorders>
              <w:top w:val="single" w:sz="12" w:space="0" w:color="auto"/>
              <w:left w:val="nil"/>
              <w:bottom w:val="nil"/>
              <w:right w:val="nil"/>
            </w:tcBorders>
          </w:tcPr>
          <w:p w:rsidR="00BB1DA8" w:rsidRPr="00062B68" w:rsidRDefault="00BB1DA8" w:rsidP="001400BF">
            <w:pPr>
              <w:tabs>
                <w:tab w:val="left" w:pos="426"/>
              </w:tabs>
              <w:spacing w:before="40" w:line="180" w:lineRule="atLeast"/>
              <w:rPr>
                <w:rStyle w:val="FootnoteReference"/>
                <w:iCs/>
                <w:snapToGrid w:val="0"/>
                <w:sz w:val="16"/>
                <w:szCs w:val="16"/>
                <w:vertAlign w:val="baseline"/>
              </w:rPr>
            </w:pPr>
            <w:r w:rsidRPr="00062B68">
              <w:rPr>
                <w:rStyle w:val="FootnoteReference"/>
                <w:i/>
                <w:iCs/>
                <w:snapToGrid w:val="0"/>
                <w:sz w:val="16"/>
                <w:szCs w:val="16"/>
              </w:rPr>
              <w:t>a</w:t>
            </w:r>
            <w:r w:rsidRPr="00062B68">
              <w:rPr>
                <w:i/>
                <w:iCs/>
                <w:snapToGrid w:val="0"/>
                <w:sz w:val="16"/>
                <w:szCs w:val="16"/>
              </w:rPr>
              <w:t xml:space="preserve">  </w:t>
            </w:r>
            <w:r w:rsidRPr="00062B68">
              <w:rPr>
                <w:rStyle w:val="FootnoteReference"/>
                <w:iCs/>
                <w:snapToGrid w:val="0"/>
                <w:spacing w:val="-4"/>
                <w:sz w:val="16"/>
                <w:szCs w:val="16"/>
                <w:vertAlign w:val="baseline"/>
              </w:rPr>
              <w:t>If it is required to calculate the thermal efficiency of an engine or vehicle, the calorific value of the fuel can be calculated from:</w:t>
            </w:r>
          </w:p>
          <w:p w:rsidR="00BB1DA8" w:rsidRPr="00062B68" w:rsidRDefault="00BB1DA8" w:rsidP="00BB1DA8">
            <w:pPr>
              <w:spacing w:before="20" w:after="20" w:line="180" w:lineRule="atLeast"/>
              <w:rPr>
                <w:rStyle w:val="FootnoteReference"/>
                <w:iCs/>
                <w:snapToGrid w:val="0"/>
                <w:sz w:val="16"/>
                <w:szCs w:val="16"/>
                <w:vertAlign w:val="baseline"/>
              </w:rPr>
            </w:pPr>
            <w:r w:rsidRPr="00062B68">
              <w:rPr>
                <w:rStyle w:val="FootnoteReference"/>
                <w:iCs/>
                <w:snapToGrid w:val="0"/>
                <w:sz w:val="16"/>
                <w:szCs w:val="16"/>
                <w:vertAlign w:val="baseline"/>
              </w:rPr>
              <w:t>Specific energy (calorific value)(net) in MJ/kg = (46.423 - 8.792d2 + 3.170d)(1 - (x + y + s)) + 9.420s - 2.499x</w:t>
            </w:r>
          </w:p>
          <w:p w:rsidR="00BB1DA8" w:rsidRPr="00062B68" w:rsidRDefault="00BB1DA8" w:rsidP="001400BF">
            <w:pPr>
              <w:tabs>
                <w:tab w:val="left" w:pos="170"/>
                <w:tab w:val="left" w:pos="851"/>
              </w:tabs>
              <w:spacing w:line="180" w:lineRule="atLeast"/>
              <w:rPr>
                <w:rStyle w:val="FootnoteReference"/>
                <w:iCs/>
                <w:snapToGrid w:val="0"/>
                <w:sz w:val="16"/>
                <w:szCs w:val="16"/>
                <w:vertAlign w:val="baseline"/>
              </w:rPr>
            </w:pPr>
            <w:r w:rsidRPr="00062B68">
              <w:rPr>
                <w:rStyle w:val="FootnoteReference"/>
                <w:iCs/>
                <w:snapToGrid w:val="0"/>
                <w:sz w:val="16"/>
                <w:szCs w:val="16"/>
                <w:vertAlign w:val="baseline"/>
              </w:rPr>
              <w:t>Where:</w:t>
            </w:r>
            <w:r w:rsidRPr="00062B68">
              <w:rPr>
                <w:rStyle w:val="FootnoteReference"/>
                <w:iCs/>
                <w:snapToGrid w:val="0"/>
                <w:sz w:val="16"/>
                <w:szCs w:val="16"/>
                <w:vertAlign w:val="baseline"/>
              </w:rPr>
              <w:tab/>
              <w:t>d = the density at 15 °C</w:t>
            </w:r>
          </w:p>
          <w:p w:rsidR="00BB1DA8" w:rsidRPr="00062B68" w:rsidRDefault="00BB1DA8" w:rsidP="001400BF">
            <w:pPr>
              <w:tabs>
                <w:tab w:val="left" w:pos="170"/>
                <w:tab w:val="left" w:pos="851"/>
              </w:tabs>
              <w:spacing w:line="180" w:lineRule="atLeast"/>
              <w:rPr>
                <w:rStyle w:val="FootnoteReference"/>
                <w:iCs/>
                <w:snapToGrid w:val="0"/>
                <w:sz w:val="16"/>
                <w:szCs w:val="16"/>
                <w:vertAlign w:val="baseline"/>
              </w:rPr>
            </w:pPr>
            <w:r w:rsidRPr="00062B68">
              <w:rPr>
                <w:rStyle w:val="FootnoteReference"/>
                <w:iCs/>
                <w:snapToGrid w:val="0"/>
                <w:sz w:val="16"/>
                <w:szCs w:val="16"/>
                <w:vertAlign w:val="baseline"/>
              </w:rPr>
              <w:tab/>
            </w:r>
            <w:r w:rsidRPr="00062B68">
              <w:rPr>
                <w:iCs/>
                <w:snapToGrid w:val="0"/>
                <w:sz w:val="16"/>
                <w:szCs w:val="16"/>
              </w:rPr>
              <w:tab/>
            </w:r>
            <w:r w:rsidRPr="00062B68">
              <w:rPr>
                <w:rStyle w:val="FootnoteReference"/>
                <w:iCs/>
                <w:snapToGrid w:val="0"/>
                <w:sz w:val="16"/>
                <w:szCs w:val="16"/>
                <w:vertAlign w:val="baseline"/>
              </w:rPr>
              <w:t>x = the proportion by mass of water ( per cent divided by 100)</w:t>
            </w:r>
          </w:p>
          <w:p w:rsidR="00BB1DA8" w:rsidRPr="00062B68" w:rsidRDefault="00BB1DA8" w:rsidP="001400BF">
            <w:pPr>
              <w:tabs>
                <w:tab w:val="left" w:pos="170"/>
                <w:tab w:val="left" w:pos="851"/>
              </w:tabs>
              <w:spacing w:line="180" w:lineRule="atLeast"/>
              <w:rPr>
                <w:rStyle w:val="FootnoteReference"/>
                <w:iCs/>
                <w:snapToGrid w:val="0"/>
                <w:sz w:val="16"/>
                <w:szCs w:val="16"/>
                <w:vertAlign w:val="baseline"/>
              </w:rPr>
            </w:pPr>
            <w:r w:rsidRPr="00062B68">
              <w:rPr>
                <w:rStyle w:val="FootnoteReference"/>
                <w:iCs/>
                <w:snapToGrid w:val="0"/>
                <w:sz w:val="16"/>
                <w:szCs w:val="16"/>
                <w:vertAlign w:val="baseline"/>
              </w:rPr>
              <w:tab/>
            </w:r>
            <w:r w:rsidRPr="00062B68">
              <w:rPr>
                <w:sz w:val="16"/>
                <w:szCs w:val="16"/>
              </w:rPr>
              <w:tab/>
            </w:r>
            <w:r w:rsidRPr="00062B68">
              <w:rPr>
                <w:rStyle w:val="FootnoteReference"/>
                <w:iCs/>
                <w:snapToGrid w:val="0"/>
                <w:sz w:val="16"/>
                <w:szCs w:val="16"/>
                <w:vertAlign w:val="baseline"/>
              </w:rPr>
              <w:t>y = the proportion by mass of ash ( per cent divided by 100)</w:t>
            </w:r>
          </w:p>
          <w:p w:rsidR="00BB1DA8" w:rsidRPr="00062B68" w:rsidRDefault="00BB1DA8" w:rsidP="001400BF">
            <w:pPr>
              <w:tabs>
                <w:tab w:val="left" w:pos="170"/>
                <w:tab w:val="left" w:pos="851"/>
              </w:tabs>
              <w:spacing w:line="180" w:lineRule="atLeast"/>
              <w:rPr>
                <w:rStyle w:val="FootnoteReference"/>
                <w:iCs/>
                <w:snapToGrid w:val="0"/>
                <w:sz w:val="16"/>
                <w:szCs w:val="16"/>
                <w:vertAlign w:val="baseline"/>
              </w:rPr>
            </w:pPr>
            <w:r w:rsidRPr="00062B68">
              <w:rPr>
                <w:rStyle w:val="FootnoteReference"/>
                <w:iCs/>
                <w:snapToGrid w:val="0"/>
                <w:sz w:val="16"/>
                <w:szCs w:val="16"/>
                <w:vertAlign w:val="baseline"/>
              </w:rPr>
              <w:tab/>
            </w:r>
            <w:r w:rsidRPr="00062B68">
              <w:rPr>
                <w:iCs/>
                <w:snapToGrid w:val="0"/>
                <w:sz w:val="16"/>
                <w:szCs w:val="16"/>
              </w:rPr>
              <w:tab/>
            </w:r>
            <w:r w:rsidRPr="00062B68">
              <w:rPr>
                <w:rStyle w:val="FootnoteReference"/>
                <w:iCs/>
                <w:snapToGrid w:val="0"/>
                <w:sz w:val="16"/>
                <w:szCs w:val="16"/>
                <w:vertAlign w:val="baseline"/>
              </w:rPr>
              <w:t>s = the proportion by mass of sulphur ( per cent divided by 100).</w:t>
            </w:r>
          </w:p>
          <w:p w:rsidR="00BB1DA8" w:rsidRPr="00062B68" w:rsidRDefault="00BB1DA8" w:rsidP="001400BF">
            <w:pPr>
              <w:tabs>
                <w:tab w:val="left" w:pos="426"/>
              </w:tabs>
              <w:spacing w:line="180" w:lineRule="atLeast"/>
              <w:rPr>
                <w:rStyle w:val="FootnoteReference"/>
                <w:iCs/>
                <w:snapToGrid w:val="0"/>
                <w:sz w:val="16"/>
                <w:szCs w:val="16"/>
                <w:vertAlign w:val="baseline"/>
              </w:rPr>
            </w:pPr>
            <w:r w:rsidRPr="00062B68">
              <w:rPr>
                <w:rStyle w:val="FootnoteReference"/>
                <w:i/>
                <w:iCs/>
                <w:snapToGrid w:val="0"/>
                <w:sz w:val="16"/>
                <w:szCs w:val="16"/>
              </w:rPr>
              <w:t>b</w:t>
            </w:r>
            <w:r w:rsidRPr="00062B68">
              <w:rPr>
                <w:rStyle w:val="FootnoteReference"/>
                <w:iCs/>
                <w:sz w:val="16"/>
                <w:szCs w:val="16"/>
                <w:vertAlign w:val="baseline"/>
              </w:rPr>
              <w:t xml:space="preserve">  </w:t>
            </w:r>
            <w:r w:rsidRPr="00062B68">
              <w:rPr>
                <w:rStyle w:val="FootnoteReference"/>
                <w:iCs/>
                <w:snapToGrid w:val="0"/>
                <w:sz w:val="16"/>
                <w:szCs w:val="16"/>
                <w:vertAlign w:val="baseline"/>
              </w:rPr>
              <w:t>The values quoted in the specification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statistical reasons, the manufacturer of a fuel should nevertheless aim at a zero value where the stipulated maximum value is 2R and at the mean value in the case of quotations of maximum and minimum limits. Should it be necessary to clarify the question as to whether a fuel meets the requirements of the specification, the terms of ISO 4259 should be applied.</w:t>
            </w:r>
          </w:p>
          <w:p w:rsidR="00BB1DA8" w:rsidRPr="00062B68" w:rsidRDefault="00BB1DA8" w:rsidP="001400BF">
            <w:pPr>
              <w:tabs>
                <w:tab w:val="left" w:pos="426"/>
              </w:tabs>
              <w:spacing w:line="180" w:lineRule="atLeast"/>
              <w:rPr>
                <w:rStyle w:val="FootnoteReference"/>
                <w:iCs/>
                <w:snapToGrid w:val="0"/>
                <w:sz w:val="16"/>
                <w:szCs w:val="16"/>
                <w:vertAlign w:val="baseline"/>
              </w:rPr>
            </w:pPr>
            <w:r w:rsidRPr="00062B68">
              <w:rPr>
                <w:rStyle w:val="FootnoteReference"/>
                <w:i/>
                <w:iCs/>
                <w:snapToGrid w:val="0"/>
                <w:sz w:val="16"/>
                <w:szCs w:val="16"/>
              </w:rPr>
              <w:t>c</w:t>
            </w:r>
            <w:r w:rsidRPr="00062B68">
              <w:rPr>
                <w:rStyle w:val="FootnoteReference"/>
                <w:iCs/>
                <w:sz w:val="16"/>
                <w:szCs w:val="16"/>
                <w:vertAlign w:val="baseline"/>
              </w:rPr>
              <w:t xml:space="preserve">  </w:t>
            </w:r>
            <w:r w:rsidRPr="00062B68">
              <w:rPr>
                <w:rStyle w:val="FootnoteReference"/>
                <w:iCs/>
                <w:snapToGrid w:val="0"/>
                <w:spacing w:val="-2"/>
                <w:sz w:val="16"/>
                <w:szCs w:val="16"/>
                <w:vertAlign w:val="baseline"/>
              </w:rPr>
              <w:t>The range for cetane number is not in accordance with the requirement of a minimum range of 4R. However, in the case of dispute between fuel supplier and fuel user. the terms in ISO 4259 can be used to resolve such disputes provided replicate measurements, of sufficient number to achieve the necessary precision, are made in preference to single determinations</w:t>
            </w:r>
            <w:r w:rsidRPr="00062B68">
              <w:rPr>
                <w:rStyle w:val="FootnoteReference"/>
                <w:iCs/>
                <w:snapToGrid w:val="0"/>
                <w:sz w:val="16"/>
                <w:szCs w:val="16"/>
                <w:vertAlign w:val="baseline"/>
              </w:rPr>
              <w:t>.</w:t>
            </w:r>
          </w:p>
          <w:p w:rsidR="00BB1DA8" w:rsidRPr="00062B68" w:rsidRDefault="00BB1DA8" w:rsidP="001400BF">
            <w:pPr>
              <w:tabs>
                <w:tab w:val="left" w:pos="426"/>
              </w:tabs>
              <w:spacing w:line="180" w:lineRule="atLeast"/>
              <w:rPr>
                <w:rStyle w:val="FootnoteReference"/>
                <w:iCs/>
                <w:snapToGrid w:val="0"/>
                <w:sz w:val="16"/>
                <w:szCs w:val="16"/>
                <w:vertAlign w:val="baseline"/>
              </w:rPr>
            </w:pPr>
            <w:r w:rsidRPr="00062B68">
              <w:rPr>
                <w:rStyle w:val="FootnoteReference"/>
                <w:i/>
                <w:iCs/>
                <w:snapToGrid w:val="0"/>
                <w:sz w:val="16"/>
                <w:szCs w:val="16"/>
              </w:rPr>
              <w:t>d</w:t>
            </w:r>
            <w:r w:rsidRPr="00062B68">
              <w:rPr>
                <w:rStyle w:val="FootnoteReference"/>
                <w:iCs/>
                <w:sz w:val="16"/>
                <w:szCs w:val="16"/>
                <w:vertAlign w:val="baseline"/>
              </w:rPr>
              <w:t xml:space="preserve">  </w:t>
            </w:r>
            <w:r w:rsidRPr="00062B68">
              <w:rPr>
                <w:rStyle w:val="FootnoteReference"/>
                <w:iCs/>
                <w:snapToGrid w:val="0"/>
                <w:sz w:val="16"/>
                <w:szCs w:val="16"/>
                <w:vertAlign w:val="baseline"/>
              </w:rPr>
              <w:t>The month of publication will be completed in due course.</w:t>
            </w:r>
          </w:p>
          <w:p w:rsidR="00BB1DA8" w:rsidRPr="00062B68" w:rsidRDefault="00BB1DA8" w:rsidP="001400BF">
            <w:pPr>
              <w:tabs>
                <w:tab w:val="left" w:pos="426"/>
              </w:tabs>
              <w:spacing w:line="180" w:lineRule="atLeast"/>
              <w:rPr>
                <w:rStyle w:val="FootnoteReference"/>
                <w:iCs/>
                <w:snapToGrid w:val="0"/>
                <w:sz w:val="16"/>
                <w:szCs w:val="16"/>
                <w:vertAlign w:val="baseline"/>
              </w:rPr>
            </w:pPr>
            <w:r w:rsidRPr="00062B68">
              <w:rPr>
                <w:rStyle w:val="FootnoteReference"/>
                <w:i/>
                <w:iCs/>
                <w:snapToGrid w:val="0"/>
                <w:sz w:val="16"/>
                <w:szCs w:val="16"/>
              </w:rPr>
              <w:t>e</w:t>
            </w:r>
            <w:r w:rsidRPr="00062B68">
              <w:rPr>
                <w:rStyle w:val="FootnoteReference"/>
                <w:iCs/>
                <w:sz w:val="16"/>
                <w:szCs w:val="16"/>
                <w:vertAlign w:val="baseline"/>
              </w:rPr>
              <w:t xml:space="preserve">  </w:t>
            </w:r>
            <w:r w:rsidRPr="00062B68">
              <w:rPr>
                <w:rStyle w:val="FootnoteReference"/>
                <w:iCs/>
                <w:snapToGrid w:val="0"/>
                <w:sz w:val="16"/>
                <w:szCs w:val="16"/>
                <w:vertAlign w:val="baseline"/>
              </w:rPr>
              <w:t>The actual sulphur content of the fuel used for the test shall be reported.</w:t>
            </w:r>
          </w:p>
          <w:p w:rsidR="0045629C" w:rsidRPr="00B04DC3" w:rsidRDefault="00BB1DA8" w:rsidP="001400BF">
            <w:pPr>
              <w:tabs>
                <w:tab w:val="left" w:pos="426"/>
              </w:tabs>
              <w:spacing w:line="180" w:lineRule="atLeast"/>
              <w:rPr>
                <w:rStyle w:val="FootnoteReference"/>
                <w:iCs/>
                <w:snapToGrid w:val="0"/>
                <w:szCs w:val="18"/>
                <w:vertAlign w:val="baseline"/>
              </w:rPr>
            </w:pPr>
            <w:r w:rsidRPr="00062B68">
              <w:rPr>
                <w:rStyle w:val="FootnoteReference"/>
                <w:i/>
                <w:iCs/>
                <w:snapToGrid w:val="0"/>
                <w:sz w:val="16"/>
                <w:szCs w:val="16"/>
              </w:rPr>
              <w:t>f</w:t>
            </w:r>
            <w:r w:rsidRPr="00062B68">
              <w:rPr>
                <w:rStyle w:val="FootnoteReference"/>
                <w:iCs/>
                <w:sz w:val="16"/>
                <w:szCs w:val="16"/>
                <w:vertAlign w:val="baseline"/>
              </w:rPr>
              <w:t xml:space="preserve">  </w:t>
            </w:r>
            <w:r w:rsidRPr="00062B68">
              <w:rPr>
                <w:rStyle w:val="FootnoteReference"/>
                <w:iCs/>
                <w:snapToGrid w:val="0"/>
                <w:sz w:val="16"/>
                <w:szCs w:val="16"/>
                <w:vertAlign w:val="baseline"/>
              </w:rPr>
              <w:t>Even though oxidation stability is controlled, it is likely that shelf life will be limited. Advice should be sought from the supplier as to storage conditions and life.</w:t>
            </w:r>
          </w:p>
        </w:tc>
      </w:tr>
    </w:tbl>
    <w:p w:rsidR="00610370" w:rsidRPr="00B04DC3" w:rsidRDefault="00610370" w:rsidP="00610370">
      <w:pPr>
        <w:pStyle w:val="para"/>
        <w:rPr>
          <w:lang w:val="en-GB"/>
        </w:rPr>
      </w:pPr>
      <w:r w:rsidRPr="00B04DC3">
        <w:rPr>
          <w:lang w:val="en-GB"/>
        </w:rPr>
        <w:t>1.2.</w:t>
      </w:r>
      <w:r w:rsidRPr="00B04DC3">
        <w:rPr>
          <w:lang w:val="en-GB"/>
        </w:rPr>
        <w:tab/>
        <w:t>Diesel reference fuel for testing engines to the emission limits given in rows B1, B2 or C of the tables in paragraph 5.2.1. of this Regulation and dual-fuel engines</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21"/>
        <w:gridCol w:w="1506"/>
        <w:gridCol w:w="1205"/>
        <w:gridCol w:w="1205"/>
        <w:gridCol w:w="2002"/>
      </w:tblGrid>
      <w:tr w:rsidR="00BB1DA8" w:rsidRPr="00B04DC3" w:rsidTr="001400BF">
        <w:trPr>
          <w:cantSplit/>
          <w:tblHeader/>
        </w:trPr>
        <w:tc>
          <w:tcPr>
            <w:tcW w:w="3721" w:type="dxa"/>
            <w:vMerge w:val="restart"/>
            <w:vAlign w:val="center"/>
          </w:tcPr>
          <w:p w:rsidR="00BB1DA8" w:rsidRPr="00B04DC3" w:rsidRDefault="00BB1DA8" w:rsidP="00BB1DA8">
            <w:pPr>
              <w:spacing w:before="80" w:after="80" w:line="200" w:lineRule="atLeast"/>
              <w:rPr>
                <w:i/>
                <w:sz w:val="16"/>
                <w:szCs w:val="16"/>
              </w:rPr>
            </w:pPr>
            <w:r w:rsidRPr="00B04DC3">
              <w:rPr>
                <w:i/>
                <w:sz w:val="16"/>
                <w:szCs w:val="16"/>
              </w:rPr>
              <w:t>Parameter</w:t>
            </w:r>
          </w:p>
        </w:tc>
        <w:tc>
          <w:tcPr>
            <w:tcW w:w="1506" w:type="dxa"/>
            <w:vMerge w:val="restart"/>
            <w:vAlign w:val="center"/>
          </w:tcPr>
          <w:p w:rsidR="00BB1DA8" w:rsidRPr="00B04DC3" w:rsidRDefault="00BB1DA8" w:rsidP="00BB1DA8">
            <w:pPr>
              <w:spacing w:before="80" w:after="80" w:line="200" w:lineRule="atLeast"/>
              <w:jc w:val="center"/>
              <w:rPr>
                <w:i/>
                <w:sz w:val="16"/>
                <w:szCs w:val="16"/>
              </w:rPr>
            </w:pPr>
            <w:r w:rsidRPr="00B04DC3">
              <w:rPr>
                <w:i/>
                <w:sz w:val="16"/>
                <w:szCs w:val="16"/>
              </w:rPr>
              <w:t>Unit</w:t>
            </w:r>
          </w:p>
        </w:tc>
        <w:tc>
          <w:tcPr>
            <w:tcW w:w="2410" w:type="dxa"/>
            <w:gridSpan w:val="2"/>
            <w:vAlign w:val="center"/>
          </w:tcPr>
          <w:p w:rsidR="00BB1DA8" w:rsidRPr="00B04DC3" w:rsidRDefault="00BB1DA8" w:rsidP="00BB1DA8">
            <w:pPr>
              <w:spacing w:before="80" w:after="80" w:line="200" w:lineRule="atLeast"/>
              <w:jc w:val="center"/>
              <w:rPr>
                <w:i/>
                <w:sz w:val="16"/>
                <w:szCs w:val="16"/>
              </w:rPr>
            </w:pPr>
            <w:r w:rsidRPr="00B04DC3">
              <w:rPr>
                <w:i/>
                <w:sz w:val="16"/>
                <w:szCs w:val="16"/>
              </w:rPr>
              <w:t>Limits</w:t>
            </w:r>
            <w:r w:rsidRPr="00B04DC3">
              <w:rPr>
                <w:i/>
                <w:sz w:val="18"/>
                <w:szCs w:val="18"/>
                <w:vertAlign w:val="superscript"/>
              </w:rPr>
              <w:t>a</w:t>
            </w:r>
          </w:p>
        </w:tc>
        <w:tc>
          <w:tcPr>
            <w:tcW w:w="2002" w:type="dxa"/>
            <w:vMerge w:val="restart"/>
            <w:vAlign w:val="center"/>
          </w:tcPr>
          <w:p w:rsidR="00BB1DA8" w:rsidRPr="00B04DC3" w:rsidRDefault="00BB1DA8" w:rsidP="00BB1DA8">
            <w:pPr>
              <w:spacing w:before="80" w:after="80" w:line="200" w:lineRule="atLeast"/>
              <w:jc w:val="center"/>
              <w:rPr>
                <w:i/>
                <w:sz w:val="16"/>
                <w:szCs w:val="16"/>
              </w:rPr>
            </w:pPr>
            <w:r w:rsidRPr="00B04DC3">
              <w:rPr>
                <w:i/>
                <w:sz w:val="16"/>
                <w:szCs w:val="16"/>
              </w:rPr>
              <w:t>Test method</w:t>
            </w:r>
          </w:p>
        </w:tc>
      </w:tr>
      <w:tr w:rsidR="00BB1DA8" w:rsidRPr="00B04DC3" w:rsidTr="001400BF">
        <w:trPr>
          <w:cantSplit/>
          <w:tblHeader/>
        </w:trPr>
        <w:tc>
          <w:tcPr>
            <w:tcW w:w="3721"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c>
          <w:tcPr>
            <w:tcW w:w="1506"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c>
          <w:tcPr>
            <w:tcW w:w="1205" w:type="dxa"/>
            <w:tcBorders>
              <w:bottom w:val="single" w:sz="12" w:space="0" w:color="auto"/>
            </w:tcBorders>
            <w:vAlign w:val="center"/>
          </w:tcPr>
          <w:p w:rsidR="00BB1DA8" w:rsidRPr="00B04DC3" w:rsidRDefault="00BB1DA8" w:rsidP="00BB1DA8">
            <w:pPr>
              <w:spacing w:before="80" w:after="80" w:line="200" w:lineRule="atLeast"/>
              <w:jc w:val="center"/>
              <w:rPr>
                <w:i/>
                <w:sz w:val="16"/>
                <w:szCs w:val="16"/>
              </w:rPr>
            </w:pPr>
            <w:r w:rsidRPr="00B04DC3">
              <w:rPr>
                <w:i/>
                <w:sz w:val="16"/>
                <w:szCs w:val="16"/>
              </w:rPr>
              <w:t>Minimum</w:t>
            </w:r>
          </w:p>
        </w:tc>
        <w:tc>
          <w:tcPr>
            <w:tcW w:w="1205" w:type="dxa"/>
            <w:tcBorders>
              <w:bottom w:val="single" w:sz="12" w:space="0" w:color="auto"/>
            </w:tcBorders>
            <w:vAlign w:val="center"/>
          </w:tcPr>
          <w:p w:rsidR="00BB1DA8" w:rsidRPr="00B04DC3" w:rsidRDefault="00BB1DA8" w:rsidP="00BB1DA8">
            <w:pPr>
              <w:spacing w:before="80" w:after="80" w:line="200" w:lineRule="atLeast"/>
              <w:jc w:val="center"/>
              <w:rPr>
                <w:i/>
                <w:sz w:val="16"/>
                <w:szCs w:val="16"/>
              </w:rPr>
            </w:pPr>
            <w:r w:rsidRPr="00B04DC3">
              <w:rPr>
                <w:i/>
                <w:sz w:val="16"/>
                <w:szCs w:val="16"/>
              </w:rPr>
              <w:t>Maximum</w:t>
            </w:r>
          </w:p>
        </w:tc>
        <w:tc>
          <w:tcPr>
            <w:tcW w:w="2002" w:type="dxa"/>
            <w:vMerge/>
            <w:tcBorders>
              <w:bottom w:val="single" w:sz="12" w:space="0" w:color="auto"/>
            </w:tcBorders>
          </w:tcPr>
          <w:p w:rsidR="00BB1DA8" w:rsidRPr="00B04DC3" w:rsidRDefault="00BB1DA8" w:rsidP="00BB1DA8">
            <w:pPr>
              <w:spacing w:before="80" w:after="80" w:line="200" w:lineRule="atLeast"/>
              <w:jc w:val="center"/>
              <w:rPr>
                <w:i/>
                <w:sz w:val="16"/>
                <w:szCs w:val="16"/>
              </w:rPr>
            </w:pPr>
          </w:p>
        </w:tc>
      </w:tr>
      <w:tr w:rsidR="00BB1DA8" w:rsidRPr="00B04DC3" w:rsidTr="001400BF">
        <w:trPr>
          <w:cantSplit/>
          <w:tblHeader/>
        </w:trPr>
        <w:tc>
          <w:tcPr>
            <w:tcW w:w="3721" w:type="dxa"/>
            <w:tcBorders>
              <w:top w:val="single" w:sz="1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Cetane number</w:t>
            </w:r>
            <w:r w:rsidRPr="00B04DC3">
              <w:rPr>
                <w:i/>
                <w:sz w:val="18"/>
                <w:szCs w:val="18"/>
                <w:vertAlign w:val="superscript"/>
              </w:rPr>
              <w:t xml:space="preserve"> b</w:t>
            </w:r>
          </w:p>
        </w:tc>
        <w:tc>
          <w:tcPr>
            <w:tcW w:w="1506" w:type="dxa"/>
            <w:tcBorders>
              <w:top w:val="single" w:sz="1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p>
        </w:tc>
        <w:tc>
          <w:tcPr>
            <w:tcW w:w="1205" w:type="dxa"/>
            <w:tcBorders>
              <w:top w:val="single" w:sz="1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52.0</w:t>
            </w:r>
          </w:p>
        </w:tc>
        <w:tc>
          <w:tcPr>
            <w:tcW w:w="1205" w:type="dxa"/>
            <w:tcBorders>
              <w:top w:val="single" w:sz="1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54.0</w:t>
            </w:r>
          </w:p>
        </w:tc>
        <w:tc>
          <w:tcPr>
            <w:tcW w:w="2002" w:type="dxa"/>
            <w:tcBorders>
              <w:top w:val="single" w:sz="1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EN-ISO 5165</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Density at 15°C</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kg/m</w:t>
            </w:r>
            <w:r w:rsidRPr="00B04DC3">
              <w:rPr>
                <w:sz w:val="20"/>
                <w:vertAlign w:val="superscript"/>
              </w:rPr>
              <w:t>3</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833</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837</w:t>
            </w:r>
          </w:p>
        </w:tc>
        <w:tc>
          <w:tcPr>
            <w:tcW w:w="2002"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EN-ISO 3675</w:t>
            </w:r>
          </w:p>
        </w:tc>
      </w:tr>
      <w:tr w:rsidR="00BB1DA8" w:rsidRPr="00B04DC3" w:rsidTr="001400BF">
        <w:trPr>
          <w:cantSplit/>
          <w:tblHeader/>
        </w:trPr>
        <w:tc>
          <w:tcPr>
            <w:tcW w:w="3721" w:type="dxa"/>
            <w:tcBorders>
              <w:top w:val="single" w:sz="2" w:space="0" w:color="auto"/>
              <w:bottom w:val="nil"/>
            </w:tcBorders>
          </w:tcPr>
          <w:p w:rsidR="00BB1DA8" w:rsidRPr="00B04DC3" w:rsidRDefault="00BB1DA8" w:rsidP="00BB1DA8">
            <w:pPr>
              <w:pStyle w:val="NormalLeft"/>
              <w:keepLines/>
              <w:spacing w:before="40" w:after="40"/>
              <w:rPr>
                <w:sz w:val="20"/>
              </w:rPr>
            </w:pPr>
            <w:r w:rsidRPr="00B04DC3">
              <w:rPr>
                <w:sz w:val="20"/>
              </w:rPr>
              <w:t>Distillation:</w:t>
            </w:r>
          </w:p>
        </w:tc>
        <w:tc>
          <w:tcPr>
            <w:tcW w:w="1506" w:type="dxa"/>
            <w:tcBorders>
              <w:top w:val="single" w:sz="2" w:space="0" w:color="auto"/>
              <w:bottom w:val="nil"/>
            </w:tcBorders>
          </w:tcPr>
          <w:p w:rsidR="00BB1DA8" w:rsidRPr="00B04DC3" w:rsidRDefault="00BB1DA8" w:rsidP="00BB1DA8">
            <w:pPr>
              <w:pStyle w:val="NormalCentered"/>
              <w:keepLines/>
              <w:numPr>
                <w:ilvl w:val="0"/>
                <w:numId w:val="0"/>
              </w:numPr>
              <w:spacing w:before="40" w:after="40"/>
              <w:rPr>
                <w:sz w:val="20"/>
              </w:rPr>
            </w:pPr>
          </w:p>
        </w:tc>
        <w:tc>
          <w:tcPr>
            <w:tcW w:w="1205" w:type="dxa"/>
            <w:tcBorders>
              <w:top w:val="single" w:sz="2" w:space="0" w:color="auto"/>
              <w:bottom w:val="nil"/>
            </w:tcBorders>
          </w:tcPr>
          <w:p w:rsidR="00BB1DA8" w:rsidRPr="00B04DC3" w:rsidRDefault="00BB1DA8" w:rsidP="00BB1DA8">
            <w:pPr>
              <w:pStyle w:val="NormalCentered"/>
              <w:keepLines/>
              <w:numPr>
                <w:ilvl w:val="0"/>
                <w:numId w:val="0"/>
              </w:numPr>
              <w:spacing w:before="40" w:after="40"/>
              <w:rPr>
                <w:sz w:val="20"/>
              </w:rPr>
            </w:pPr>
          </w:p>
        </w:tc>
        <w:tc>
          <w:tcPr>
            <w:tcW w:w="1205" w:type="dxa"/>
            <w:tcBorders>
              <w:top w:val="single" w:sz="2" w:space="0" w:color="auto"/>
              <w:bottom w:val="nil"/>
            </w:tcBorders>
          </w:tcPr>
          <w:p w:rsidR="00BB1DA8" w:rsidRPr="00B04DC3" w:rsidRDefault="00BB1DA8" w:rsidP="00BB1DA8">
            <w:pPr>
              <w:pStyle w:val="NormalCentered"/>
              <w:keepLines/>
              <w:numPr>
                <w:ilvl w:val="0"/>
                <w:numId w:val="0"/>
              </w:numPr>
              <w:spacing w:before="40" w:after="40"/>
              <w:rPr>
                <w:sz w:val="20"/>
              </w:rPr>
            </w:pPr>
          </w:p>
        </w:tc>
        <w:tc>
          <w:tcPr>
            <w:tcW w:w="2002" w:type="dxa"/>
            <w:tcBorders>
              <w:top w:val="single" w:sz="2" w:space="0" w:color="auto"/>
              <w:bottom w:val="nil"/>
            </w:tcBorders>
          </w:tcPr>
          <w:p w:rsidR="00BB1DA8" w:rsidRPr="00B04DC3" w:rsidRDefault="00BB1DA8" w:rsidP="00BB1DA8">
            <w:pPr>
              <w:pStyle w:val="NormalLeft"/>
              <w:keepLines/>
              <w:spacing w:before="40" w:after="40"/>
              <w:rPr>
                <w:sz w:val="20"/>
              </w:rPr>
            </w:pPr>
          </w:p>
        </w:tc>
      </w:tr>
      <w:tr w:rsidR="00BB1DA8" w:rsidRPr="00B04DC3" w:rsidTr="001400BF">
        <w:trPr>
          <w:cantSplit/>
          <w:tblHeader/>
        </w:trPr>
        <w:tc>
          <w:tcPr>
            <w:tcW w:w="3721" w:type="dxa"/>
            <w:tcBorders>
              <w:top w:val="nil"/>
              <w:bottom w:val="nil"/>
            </w:tcBorders>
          </w:tcPr>
          <w:p w:rsidR="00BB1DA8" w:rsidRPr="00B04DC3" w:rsidRDefault="00BB1DA8" w:rsidP="00BB1DA8">
            <w:pPr>
              <w:pStyle w:val="NormalLeft"/>
              <w:keepLines/>
              <w:spacing w:before="40" w:after="40"/>
              <w:rPr>
                <w:sz w:val="20"/>
              </w:rPr>
            </w:pPr>
            <w:r w:rsidRPr="00B04DC3">
              <w:rPr>
                <w:sz w:val="18"/>
                <w:szCs w:val="18"/>
              </w:rPr>
              <w:t xml:space="preserve">—  </w:t>
            </w:r>
            <w:r w:rsidRPr="00B04DC3">
              <w:rPr>
                <w:sz w:val="20"/>
              </w:rPr>
              <w:t>50 per cent point</w:t>
            </w:r>
          </w:p>
        </w:tc>
        <w:tc>
          <w:tcPr>
            <w:tcW w:w="1506"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°C</w:t>
            </w:r>
          </w:p>
        </w:tc>
        <w:tc>
          <w:tcPr>
            <w:tcW w:w="1205"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245</w:t>
            </w:r>
          </w:p>
        </w:tc>
        <w:tc>
          <w:tcPr>
            <w:tcW w:w="1205"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2002" w:type="dxa"/>
            <w:tcBorders>
              <w:top w:val="nil"/>
              <w:bottom w:val="nil"/>
            </w:tcBorders>
          </w:tcPr>
          <w:p w:rsidR="00BB1DA8" w:rsidRPr="00B04DC3" w:rsidRDefault="00BB1DA8" w:rsidP="00BB1DA8">
            <w:pPr>
              <w:pStyle w:val="NormalLeft"/>
              <w:keepLines/>
              <w:spacing w:before="40" w:after="40"/>
              <w:rPr>
                <w:sz w:val="20"/>
              </w:rPr>
            </w:pPr>
            <w:r w:rsidRPr="00B04DC3">
              <w:rPr>
                <w:sz w:val="20"/>
              </w:rPr>
              <w:t>EN-ISO 3405</w:t>
            </w:r>
          </w:p>
        </w:tc>
      </w:tr>
      <w:tr w:rsidR="00BB1DA8" w:rsidRPr="00B04DC3" w:rsidTr="001400BF">
        <w:trPr>
          <w:cantSplit/>
          <w:tblHeader/>
        </w:trPr>
        <w:tc>
          <w:tcPr>
            <w:tcW w:w="3721" w:type="dxa"/>
            <w:tcBorders>
              <w:top w:val="nil"/>
              <w:bottom w:val="nil"/>
            </w:tcBorders>
          </w:tcPr>
          <w:p w:rsidR="00BB1DA8" w:rsidRPr="00B04DC3" w:rsidRDefault="00BB1DA8" w:rsidP="00BB1DA8">
            <w:pPr>
              <w:pStyle w:val="NormalLeft"/>
              <w:keepLines/>
              <w:spacing w:before="40" w:after="40"/>
              <w:rPr>
                <w:sz w:val="20"/>
              </w:rPr>
            </w:pPr>
            <w:r w:rsidRPr="00B04DC3">
              <w:rPr>
                <w:sz w:val="18"/>
                <w:szCs w:val="18"/>
              </w:rPr>
              <w:t xml:space="preserve">—  </w:t>
            </w:r>
            <w:r w:rsidRPr="00B04DC3">
              <w:rPr>
                <w:sz w:val="20"/>
              </w:rPr>
              <w:t>95 per cent point</w:t>
            </w:r>
          </w:p>
        </w:tc>
        <w:tc>
          <w:tcPr>
            <w:tcW w:w="1506"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°C</w:t>
            </w:r>
          </w:p>
        </w:tc>
        <w:tc>
          <w:tcPr>
            <w:tcW w:w="1205"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345</w:t>
            </w:r>
          </w:p>
        </w:tc>
        <w:tc>
          <w:tcPr>
            <w:tcW w:w="1205" w:type="dxa"/>
            <w:tcBorders>
              <w:top w:val="nil"/>
              <w:bottom w:val="nil"/>
            </w:tcBorders>
          </w:tcPr>
          <w:p w:rsidR="00BB1DA8" w:rsidRPr="00B04DC3" w:rsidRDefault="00BB1DA8" w:rsidP="00BB1DA8">
            <w:pPr>
              <w:pStyle w:val="NormalCentered"/>
              <w:keepLines/>
              <w:numPr>
                <w:ilvl w:val="0"/>
                <w:numId w:val="0"/>
              </w:numPr>
              <w:spacing w:before="40" w:after="40"/>
              <w:rPr>
                <w:sz w:val="20"/>
              </w:rPr>
            </w:pPr>
            <w:r w:rsidRPr="00B04DC3">
              <w:rPr>
                <w:sz w:val="20"/>
              </w:rPr>
              <w:t>350</w:t>
            </w:r>
          </w:p>
        </w:tc>
        <w:tc>
          <w:tcPr>
            <w:tcW w:w="2002" w:type="dxa"/>
            <w:tcBorders>
              <w:top w:val="nil"/>
              <w:bottom w:val="nil"/>
            </w:tcBorders>
          </w:tcPr>
          <w:p w:rsidR="00BB1DA8" w:rsidRPr="00B04DC3" w:rsidRDefault="00BB1DA8" w:rsidP="00BB1DA8">
            <w:pPr>
              <w:pStyle w:val="NormalLeft"/>
              <w:keepLines/>
              <w:spacing w:before="40" w:after="40"/>
              <w:rPr>
                <w:sz w:val="20"/>
              </w:rPr>
            </w:pPr>
            <w:r w:rsidRPr="00B04DC3">
              <w:rPr>
                <w:sz w:val="20"/>
              </w:rPr>
              <w:t>EN-ISO 3405</w:t>
            </w:r>
          </w:p>
        </w:tc>
      </w:tr>
      <w:tr w:rsidR="00BB1DA8" w:rsidRPr="00B04DC3" w:rsidTr="001400BF">
        <w:trPr>
          <w:cantSplit/>
          <w:tblHeader/>
        </w:trPr>
        <w:tc>
          <w:tcPr>
            <w:tcW w:w="3721" w:type="dxa"/>
            <w:tcBorders>
              <w:top w:val="nil"/>
              <w:bottom w:val="single" w:sz="2" w:space="0" w:color="auto"/>
            </w:tcBorders>
          </w:tcPr>
          <w:p w:rsidR="00BB1DA8" w:rsidRPr="00B04DC3" w:rsidRDefault="00BB1DA8" w:rsidP="00BB1DA8">
            <w:pPr>
              <w:pStyle w:val="NormalLeft"/>
              <w:keepLines/>
              <w:spacing w:before="40" w:after="40"/>
              <w:rPr>
                <w:sz w:val="20"/>
              </w:rPr>
            </w:pPr>
            <w:r w:rsidRPr="00B04DC3">
              <w:rPr>
                <w:sz w:val="18"/>
                <w:szCs w:val="18"/>
              </w:rPr>
              <w:t xml:space="preserve">— </w:t>
            </w:r>
            <w:r w:rsidRPr="00B04DC3">
              <w:rPr>
                <w:sz w:val="20"/>
              </w:rPr>
              <w:t xml:space="preserve"> Final boiling point</w:t>
            </w:r>
          </w:p>
        </w:tc>
        <w:tc>
          <w:tcPr>
            <w:tcW w:w="1506" w:type="dxa"/>
            <w:tcBorders>
              <w:top w:val="nil"/>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°C</w:t>
            </w:r>
          </w:p>
        </w:tc>
        <w:tc>
          <w:tcPr>
            <w:tcW w:w="1205" w:type="dxa"/>
            <w:tcBorders>
              <w:top w:val="nil"/>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nil"/>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370</w:t>
            </w:r>
          </w:p>
        </w:tc>
        <w:tc>
          <w:tcPr>
            <w:tcW w:w="2002" w:type="dxa"/>
            <w:tcBorders>
              <w:top w:val="nil"/>
              <w:bottom w:val="single" w:sz="2" w:space="0" w:color="auto"/>
            </w:tcBorders>
          </w:tcPr>
          <w:p w:rsidR="00BB1DA8" w:rsidRPr="00B04DC3" w:rsidRDefault="00BB1DA8" w:rsidP="00BB1DA8">
            <w:pPr>
              <w:pStyle w:val="NormalLeft"/>
              <w:keepLines/>
              <w:spacing w:before="40" w:after="40"/>
              <w:rPr>
                <w:sz w:val="20"/>
              </w:rPr>
            </w:pPr>
            <w:r w:rsidRPr="00B04DC3">
              <w:rPr>
                <w:sz w:val="20"/>
              </w:rPr>
              <w:t>EN-ISO 3405</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Flash point</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°C</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55</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2002"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 22719</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CFPP</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°C</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-5</w:t>
            </w:r>
          </w:p>
        </w:tc>
        <w:tc>
          <w:tcPr>
            <w:tcW w:w="2002"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 116</w:t>
            </w:r>
          </w:p>
        </w:tc>
      </w:tr>
      <w:tr w:rsidR="00BB1DA8" w:rsidRPr="00B04DC3" w:rsidTr="001400BF">
        <w:trPr>
          <w:cantSplit/>
          <w:tblHeader/>
        </w:trPr>
        <w:tc>
          <w:tcPr>
            <w:tcW w:w="3721"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Viscosity at 40°C</w:t>
            </w:r>
          </w:p>
        </w:tc>
        <w:tc>
          <w:tcPr>
            <w:tcW w:w="1506"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mm</w:t>
            </w:r>
            <w:r w:rsidRPr="00B04DC3">
              <w:rPr>
                <w:sz w:val="20"/>
                <w:vertAlign w:val="superscript"/>
              </w:rPr>
              <w:t>2</w:t>
            </w:r>
            <w:r w:rsidRPr="00B04DC3">
              <w:rPr>
                <w:sz w:val="20"/>
              </w:rPr>
              <w:t>/s</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2.3</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3.3</w:t>
            </w:r>
          </w:p>
        </w:tc>
        <w:tc>
          <w:tcPr>
            <w:tcW w:w="2002"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EN-ISO 3104</w:t>
            </w:r>
          </w:p>
        </w:tc>
      </w:tr>
      <w:tr w:rsidR="00BB1DA8" w:rsidRPr="00B04DC3" w:rsidTr="001400BF">
        <w:trPr>
          <w:cantSplit/>
          <w:tblHeader/>
        </w:trPr>
        <w:tc>
          <w:tcPr>
            <w:tcW w:w="3721" w:type="dxa"/>
            <w:tcBorders>
              <w:bottom w:val="single" w:sz="2" w:space="0" w:color="auto"/>
            </w:tcBorders>
            <w:vAlign w:val="center"/>
          </w:tcPr>
          <w:p w:rsidR="00BB1DA8" w:rsidRPr="00B04DC3" w:rsidRDefault="00BB1DA8" w:rsidP="00BB1DA8">
            <w:pPr>
              <w:pStyle w:val="NormalLeft"/>
              <w:keepLines/>
              <w:spacing w:before="40" w:after="40"/>
              <w:rPr>
                <w:sz w:val="20"/>
                <w:vertAlign w:val="superscript"/>
              </w:rPr>
            </w:pPr>
            <w:r w:rsidRPr="00B04DC3">
              <w:rPr>
                <w:sz w:val="20"/>
              </w:rPr>
              <w:t>Polycyclic aromatic hydrocarbons</w:t>
            </w:r>
          </w:p>
        </w:tc>
        <w:tc>
          <w:tcPr>
            <w:tcW w:w="1506"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per cent m/m</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2.0</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6.0</w:t>
            </w:r>
          </w:p>
        </w:tc>
        <w:tc>
          <w:tcPr>
            <w:tcW w:w="2002" w:type="dxa"/>
            <w:vAlign w:val="center"/>
          </w:tcPr>
          <w:p w:rsidR="00BB1DA8" w:rsidRPr="00B04DC3" w:rsidRDefault="00BB1DA8" w:rsidP="00BB1DA8">
            <w:pPr>
              <w:pStyle w:val="NormalLeft"/>
              <w:keepLines/>
              <w:spacing w:before="40" w:after="40"/>
              <w:rPr>
                <w:sz w:val="20"/>
              </w:rPr>
            </w:pPr>
            <w:r w:rsidRPr="00B04DC3">
              <w:rPr>
                <w:sz w:val="20"/>
              </w:rPr>
              <w:t>IP 391</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Sulphur content</w:t>
            </w:r>
            <w:r w:rsidRPr="00B04DC3">
              <w:rPr>
                <w:i/>
                <w:sz w:val="18"/>
                <w:szCs w:val="18"/>
                <w:vertAlign w:val="superscript"/>
              </w:rPr>
              <w:t xml:space="preserve"> c</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mg/kg</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10</w:t>
            </w:r>
          </w:p>
        </w:tc>
        <w:tc>
          <w:tcPr>
            <w:tcW w:w="2002" w:type="dxa"/>
            <w:tcBorders>
              <w:bottom w:val="single" w:sz="2" w:space="0" w:color="auto"/>
            </w:tcBorders>
          </w:tcPr>
          <w:p w:rsidR="00BB1DA8" w:rsidRPr="00B04DC3" w:rsidRDefault="00BB1DA8" w:rsidP="00BB1DA8">
            <w:pPr>
              <w:pStyle w:val="NormalLeft"/>
              <w:keepLines/>
              <w:spacing w:before="40" w:after="40"/>
              <w:rPr>
                <w:sz w:val="20"/>
              </w:rPr>
            </w:pPr>
            <w:r w:rsidRPr="00B04DC3">
              <w:rPr>
                <w:sz w:val="20"/>
              </w:rPr>
              <w:t>ASTM D 5453</w:t>
            </w:r>
          </w:p>
        </w:tc>
      </w:tr>
      <w:tr w:rsidR="00BB1DA8" w:rsidRPr="00B04DC3" w:rsidTr="001400BF">
        <w:trPr>
          <w:cantSplit/>
          <w:tblHeader/>
        </w:trPr>
        <w:tc>
          <w:tcPr>
            <w:tcW w:w="3721"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Copper corrosion</w:t>
            </w:r>
          </w:p>
        </w:tc>
        <w:tc>
          <w:tcPr>
            <w:tcW w:w="1506"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class 1</w:t>
            </w:r>
          </w:p>
        </w:tc>
        <w:tc>
          <w:tcPr>
            <w:tcW w:w="2002"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EN-ISO 2160</w:t>
            </w:r>
          </w:p>
        </w:tc>
      </w:tr>
      <w:tr w:rsidR="00BB1DA8" w:rsidRPr="00B04DC3" w:rsidTr="001400BF">
        <w:trPr>
          <w:cantSplit/>
          <w:tblHeader/>
        </w:trPr>
        <w:tc>
          <w:tcPr>
            <w:tcW w:w="3721" w:type="dxa"/>
            <w:tcBorders>
              <w:bottom w:val="single" w:sz="2" w:space="0" w:color="auto"/>
            </w:tcBorders>
            <w:vAlign w:val="center"/>
          </w:tcPr>
          <w:p w:rsidR="00BB1DA8" w:rsidRPr="00B04DC3" w:rsidRDefault="00BB1DA8" w:rsidP="00BB1DA8">
            <w:pPr>
              <w:pStyle w:val="NormalLeft"/>
              <w:keepLines/>
              <w:spacing w:before="40" w:after="40"/>
              <w:rPr>
                <w:sz w:val="20"/>
              </w:rPr>
            </w:pPr>
            <w:r w:rsidRPr="00B04DC3">
              <w:rPr>
                <w:sz w:val="20"/>
              </w:rPr>
              <w:t>Conradson carbon residue (10 per cent DR)</w:t>
            </w:r>
          </w:p>
        </w:tc>
        <w:tc>
          <w:tcPr>
            <w:tcW w:w="1506"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per cent m/m</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0.2</w:t>
            </w:r>
          </w:p>
        </w:tc>
        <w:tc>
          <w:tcPr>
            <w:tcW w:w="2002" w:type="dxa"/>
            <w:tcBorders>
              <w:bottom w:val="single" w:sz="2" w:space="0" w:color="auto"/>
            </w:tcBorders>
            <w:vAlign w:val="center"/>
          </w:tcPr>
          <w:p w:rsidR="00BB1DA8" w:rsidRPr="00B04DC3" w:rsidRDefault="00BB1DA8" w:rsidP="00BB1DA8">
            <w:pPr>
              <w:pStyle w:val="NormalLeft"/>
              <w:keepLines/>
              <w:spacing w:before="40" w:after="40"/>
              <w:rPr>
                <w:sz w:val="20"/>
              </w:rPr>
            </w:pPr>
            <w:r w:rsidRPr="00B04DC3">
              <w:rPr>
                <w:sz w:val="20"/>
              </w:rPr>
              <w:t>EN-ISO 10370</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Ash content</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per cent m/m</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0.01</w:t>
            </w:r>
          </w:p>
        </w:tc>
        <w:tc>
          <w:tcPr>
            <w:tcW w:w="2002"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EN-ISO 6245</w:t>
            </w:r>
          </w:p>
        </w:tc>
      </w:tr>
      <w:tr w:rsidR="00BB1DA8" w:rsidRPr="00B04DC3" w:rsidTr="001400BF">
        <w:trPr>
          <w:cantSplit/>
          <w:tblHeader/>
        </w:trPr>
        <w:tc>
          <w:tcPr>
            <w:tcW w:w="3721"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Water content</w:t>
            </w:r>
          </w:p>
        </w:tc>
        <w:tc>
          <w:tcPr>
            <w:tcW w:w="1506"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per cent m/m</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0.02</w:t>
            </w:r>
          </w:p>
        </w:tc>
        <w:tc>
          <w:tcPr>
            <w:tcW w:w="2002"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EN-ISO 12937</w:t>
            </w:r>
          </w:p>
        </w:tc>
      </w:tr>
      <w:tr w:rsidR="00BB1DA8" w:rsidRPr="00B04DC3" w:rsidTr="001400BF">
        <w:trPr>
          <w:cantSplit/>
          <w:tblHeader/>
        </w:trPr>
        <w:tc>
          <w:tcPr>
            <w:tcW w:w="3721" w:type="dxa"/>
            <w:tcBorders>
              <w:bottom w:val="single" w:sz="2" w:space="0" w:color="auto"/>
            </w:tcBorders>
            <w:vAlign w:val="center"/>
          </w:tcPr>
          <w:p w:rsidR="00BB1DA8" w:rsidRPr="00B04DC3" w:rsidRDefault="00BB1DA8" w:rsidP="00BB1DA8">
            <w:pPr>
              <w:pStyle w:val="NormalLeft"/>
              <w:keepLines/>
              <w:spacing w:before="40" w:after="40"/>
              <w:rPr>
                <w:sz w:val="20"/>
              </w:rPr>
            </w:pPr>
            <w:r w:rsidRPr="00B04DC3">
              <w:rPr>
                <w:sz w:val="20"/>
              </w:rPr>
              <w:t>Neutralisation (strong acid) number</w:t>
            </w:r>
          </w:p>
        </w:tc>
        <w:tc>
          <w:tcPr>
            <w:tcW w:w="1506"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Mg KOH/g</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bottom w:val="single" w:sz="2" w:space="0" w:color="auto"/>
            </w:tcBorders>
            <w:vAlign w:val="center"/>
          </w:tcPr>
          <w:p w:rsidR="00BB1DA8" w:rsidRPr="00B04DC3" w:rsidRDefault="00BB1DA8" w:rsidP="00BB1DA8">
            <w:pPr>
              <w:pStyle w:val="NormalCentered"/>
              <w:keepLines/>
              <w:numPr>
                <w:ilvl w:val="0"/>
                <w:numId w:val="0"/>
              </w:numPr>
              <w:spacing w:before="40" w:after="40"/>
              <w:rPr>
                <w:sz w:val="20"/>
              </w:rPr>
            </w:pPr>
            <w:r w:rsidRPr="00B04DC3">
              <w:rPr>
                <w:sz w:val="20"/>
              </w:rPr>
              <w:t>0.02</w:t>
            </w:r>
          </w:p>
        </w:tc>
        <w:tc>
          <w:tcPr>
            <w:tcW w:w="2002" w:type="dxa"/>
            <w:tcBorders>
              <w:bottom w:val="single" w:sz="2" w:space="0" w:color="auto"/>
            </w:tcBorders>
            <w:vAlign w:val="center"/>
          </w:tcPr>
          <w:p w:rsidR="00BB1DA8" w:rsidRPr="00B04DC3" w:rsidRDefault="00BB1DA8" w:rsidP="00BB1DA8">
            <w:pPr>
              <w:pStyle w:val="NormalLeft"/>
              <w:keepLines/>
              <w:spacing w:before="40" w:after="40"/>
              <w:rPr>
                <w:sz w:val="20"/>
              </w:rPr>
            </w:pPr>
            <w:r w:rsidRPr="00B04DC3">
              <w:rPr>
                <w:sz w:val="20"/>
              </w:rPr>
              <w:t>ASTM D 974</w:t>
            </w:r>
          </w:p>
        </w:tc>
      </w:tr>
      <w:tr w:rsidR="00BB1DA8" w:rsidRPr="00B04DC3" w:rsidTr="001400BF">
        <w:trPr>
          <w:cantSplit/>
          <w:tblHeader/>
        </w:trPr>
        <w:tc>
          <w:tcPr>
            <w:tcW w:w="3721"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Oxidation stability</w:t>
            </w:r>
            <w:r w:rsidRPr="00B04DC3">
              <w:rPr>
                <w:i/>
                <w:sz w:val="18"/>
                <w:szCs w:val="18"/>
                <w:vertAlign w:val="superscript"/>
              </w:rPr>
              <w:t xml:space="preserve"> d</w:t>
            </w:r>
          </w:p>
        </w:tc>
        <w:tc>
          <w:tcPr>
            <w:tcW w:w="1506"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mg/ml</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bottom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0.025</w:t>
            </w:r>
          </w:p>
        </w:tc>
        <w:tc>
          <w:tcPr>
            <w:tcW w:w="2002" w:type="dxa"/>
            <w:tcBorders>
              <w:top w:val="single" w:sz="2" w:space="0" w:color="auto"/>
              <w:bottom w:val="single" w:sz="2" w:space="0" w:color="auto"/>
            </w:tcBorders>
          </w:tcPr>
          <w:p w:rsidR="00BB1DA8" w:rsidRPr="00B04DC3" w:rsidRDefault="00BB1DA8" w:rsidP="00BB1DA8">
            <w:pPr>
              <w:pStyle w:val="NormalLeft"/>
              <w:keepLines/>
              <w:spacing w:before="40" w:after="40"/>
              <w:rPr>
                <w:sz w:val="20"/>
              </w:rPr>
            </w:pPr>
            <w:r w:rsidRPr="00B04DC3">
              <w:rPr>
                <w:sz w:val="20"/>
              </w:rPr>
              <w:t>EN-ISO 12205</w:t>
            </w:r>
          </w:p>
        </w:tc>
      </w:tr>
      <w:tr w:rsidR="00BB1DA8" w:rsidRPr="00B04DC3" w:rsidTr="001400BF">
        <w:trPr>
          <w:cantSplit/>
          <w:tblHeader/>
        </w:trPr>
        <w:tc>
          <w:tcPr>
            <w:tcW w:w="3721" w:type="dxa"/>
            <w:tcBorders>
              <w:top w:val="single" w:sz="2" w:space="0" w:color="auto"/>
            </w:tcBorders>
          </w:tcPr>
          <w:p w:rsidR="00BB1DA8" w:rsidRPr="00B04DC3" w:rsidRDefault="00BB1DA8" w:rsidP="001400BF">
            <w:pPr>
              <w:pStyle w:val="NormalLeft"/>
              <w:keepLines/>
              <w:spacing w:before="40" w:after="40"/>
              <w:rPr>
                <w:sz w:val="20"/>
              </w:rPr>
            </w:pPr>
            <w:r w:rsidRPr="00B04DC3">
              <w:rPr>
                <w:sz w:val="20"/>
              </w:rPr>
              <w:t>Lubricity (HFRR wear scan diameter at 60</w:t>
            </w:r>
            <w:r w:rsidR="001400BF">
              <w:rPr>
                <w:sz w:val="20"/>
              </w:rPr>
              <w:t> </w:t>
            </w:r>
            <w:r w:rsidRPr="00B04DC3">
              <w:rPr>
                <w:sz w:val="20"/>
              </w:rPr>
              <w:t>°C)</w:t>
            </w:r>
          </w:p>
        </w:tc>
        <w:tc>
          <w:tcPr>
            <w:tcW w:w="1506"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µm</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w:t>
            </w:r>
          </w:p>
        </w:tc>
        <w:tc>
          <w:tcPr>
            <w:tcW w:w="1205" w:type="dxa"/>
            <w:tcBorders>
              <w:top w:val="single" w:sz="2" w:space="0" w:color="auto"/>
            </w:tcBorders>
          </w:tcPr>
          <w:p w:rsidR="00BB1DA8" w:rsidRPr="00B04DC3" w:rsidRDefault="00BB1DA8" w:rsidP="00BB1DA8">
            <w:pPr>
              <w:pStyle w:val="NormalCentered"/>
              <w:keepLines/>
              <w:numPr>
                <w:ilvl w:val="0"/>
                <w:numId w:val="0"/>
              </w:numPr>
              <w:spacing w:before="40" w:after="40"/>
              <w:rPr>
                <w:sz w:val="20"/>
              </w:rPr>
            </w:pPr>
            <w:r w:rsidRPr="00B04DC3">
              <w:rPr>
                <w:sz w:val="20"/>
              </w:rPr>
              <w:t>400</w:t>
            </w:r>
          </w:p>
        </w:tc>
        <w:tc>
          <w:tcPr>
            <w:tcW w:w="2002" w:type="dxa"/>
            <w:tcBorders>
              <w:top w:val="single" w:sz="2" w:space="0" w:color="auto"/>
            </w:tcBorders>
          </w:tcPr>
          <w:p w:rsidR="00BB1DA8" w:rsidRPr="00B04DC3" w:rsidRDefault="00BB1DA8" w:rsidP="00BB1DA8">
            <w:pPr>
              <w:pStyle w:val="NormalLeft"/>
              <w:keepLines/>
              <w:spacing w:before="40" w:after="40"/>
              <w:rPr>
                <w:sz w:val="20"/>
              </w:rPr>
            </w:pPr>
            <w:r w:rsidRPr="00B04DC3">
              <w:rPr>
                <w:sz w:val="20"/>
              </w:rPr>
              <w:t>CEC F-06-A-96</w:t>
            </w:r>
          </w:p>
        </w:tc>
      </w:tr>
      <w:tr w:rsidR="00BB1DA8" w:rsidRPr="00B04DC3" w:rsidTr="001400BF">
        <w:trPr>
          <w:cantSplit/>
          <w:tblHeader/>
        </w:trPr>
        <w:tc>
          <w:tcPr>
            <w:tcW w:w="3721" w:type="dxa"/>
            <w:tcBorders>
              <w:bottom w:val="single" w:sz="6" w:space="0" w:color="auto"/>
            </w:tcBorders>
          </w:tcPr>
          <w:p w:rsidR="00BB1DA8" w:rsidRPr="00B04DC3" w:rsidRDefault="00BB1DA8" w:rsidP="00BB1DA8">
            <w:pPr>
              <w:pStyle w:val="NormalLeft"/>
              <w:keepLines/>
              <w:spacing w:before="40" w:after="40"/>
              <w:rPr>
                <w:sz w:val="20"/>
              </w:rPr>
            </w:pPr>
            <w:r w:rsidRPr="00B04DC3">
              <w:rPr>
                <w:sz w:val="20"/>
              </w:rPr>
              <w:t>FAME</w:t>
            </w:r>
          </w:p>
        </w:tc>
        <w:tc>
          <w:tcPr>
            <w:tcW w:w="5918" w:type="dxa"/>
            <w:gridSpan w:val="4"/>
            <w:tcBorders>
              <w:bottom w:val="single" w:sz="6" w:space="0" w:color="auto"/>
            </w:tcBorders>
          </w:tcPr>
          <w:p w:rsidR="00BB1DA8" w:rsidRPr="00B04DC3" w:rsidRDefault="00BB1DA8" w:rsidP="00BB1DA8">
            <w:pPr>
              <w:pStyle w:val="NormalLeft"/>
              <w:keepLines/>
              <w:spacing w:before="40" w:after="40"/>
              <w:jc w:val="center"/>
              <w:rPr>
                <w:sz w:val="20"/>
              </w:rPr>
            </w:pPr>
            <w:r w:rsidRPr="00B04DC3">
              <w:rPr>
                <w:sz w:val="20"/>
              </w:rPr>
              <w:t>prohibited</w:t>
            </w:r>
          </w:p>
        </w:tc>
      </w:tr>
      <w:tr w:rsidR="00BB1DA8" w:rsidRPr="00B04DC3" w:rsidTr="001400BF">
        <w:trPr>
          <w:cantSplit/>
          <w:tblHeader/>
        </w:trPr>
        <w:tc>
          <w:tcPr>
            <w:tcW w:w="9639" w:type="dxa"/>
            <w:gridSpan w:val="5"/>
            <w:tcBorders>
              <w:top w:val="single" w:sz="12" w:space="0" w:color="auto"/>
              <w:left w:val="nil"/>
              <w:bottom w:val="nil"/>
              <w:right w:val="nil"/>
            </w:tcBorders>
          </w:tcPr>
          <w:p w:rsidR="00BB1DA8" w:rsidRPr="00B04DC3" w:rsidRDefault="00BB1DA8" w:rsidP="003B06F6">
            <w:pPr>
              <w:keepLines/>
              <w:tabs>
                <w:tab w:val="left" w:pos="589"/>
              </w:tabs>
              <w:spacing w:before="120" w:line="200" w:lineRule="atLeast"/>
              <w:ind w:left="6" w:hanging="6"/>
              <w:rPr>
                <w:sz w:val="18"/>
                <w:szCs w:val="18"/>
              </w:rPr>
            </w:pPr>
            <w:r w:rsidRPr="00B04DC3">
              <w:rPr>
                <w:rStyle w:val="FootnoteReference1"/>
                <w:i/>
                <w:sz w:val="18"/>
                <w:szCs w:val="18"/>
              </w:rPr>
              <w:t>a</w:t>
            </w:r>
            <w:r w:rsidRPr="00B04DC3">
              <w:rPr>
                <w:sz w:val="18"/>
                <w:szCs w:val="18"/>
              </w:rPr>
              <w:t xml:space="preserve">  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BB1DA8" w:rsidRPr="00B04DC3" w:rsidRDefault="00BB1DA8" w:rsidP="003B06F6">
            <w:pPr>
              <w:keepLines/>
              <w:tabs>
                <w:tab w:val="left" w:pos="589"/>
              </w:tabs>
              <w:spacing w:line="200" w:lineRule="atLeast"/>
              <w:ind w:left="6" w:hanging="6"/>
              <w:rPr>
                <w:sz w:val="18"/>
                <w:szCs w:val="18"/>
              </w:rPr>
            </w:pPr>
            <w:r w:rsidRPr="00B04DC3">
              <w:rPr>
                <w:sz w:val="18"/>
                <w:szCs w:val="18"/>
              </w:rPr>
              <w:tab/>
              <w:t>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questions as to whether a fuel meets the requirements of the specifications, the terms of ISO 4259 should be applied.</w:t>
            </w:r>
          </w:p>
          <w:p w:rsidR="00BB1DA8" w:rsidRPr="00B04DC3" w:rsidRDefault="00BB1DA8" w:rsidP="003B06F6">
            <w:pPr>
              <w:keepLines/>
              <w:tabs>
                <w:tab w:val="left" w:pos="589"/>
              </w:tabs>
              <w:spacing w:line="200" w:lineRule="atLeast"/>
              <w:ind w:left="6" w:hanging="6"/>
              <w:rPr>
                <w:sz w:val="18"/>
                <w:szCs w:val="18"/>
              </w:rPr>
            </w:pPr>
            <w:r w:rsidRPr="00B04DC3">
              <w:rPr>
                <w:rStyle w:val="FootnoteReference1"/>
                <w:i/>
                <w:sz w:val="18"/>
                <w:szCs w:val="18"/>
              </w:rPr>
              <w:t>b</w:t>
            </w:r>
            <w:r w:rsidRPr="00B04DC3">
              <w:rPr>
                <w:sz w:val="18"/>
                <w:szCs w:val="18"/>
              </w:rPr>
              <w:t xml:space="preserve">  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rsidR="00BB1DA8" w:rsidRPr="00B04DC3" w:rsidRDefault="00BB1DA8" w:rsidP="003B06F6">
            <w:pPr>
              <w:keepLines/>
              <w:tabs>
                <w:tab w:val="left" w:pos="589"/>
              </w:tabs>
              <w:spacing w:line="200" w:lineRule="atLeast"/>
              <w:ind w:left="6" w:hanging="6"/>
              <w:rPr>
                <w:sz w:val="18"/>
                <w:szCs w:val="18"/>
              </w:rPr>
            </w:pPr>
            <w:r w:rsidRPr="00B04DC3">
              <w:rPr>
                <w:rStyle w:val="FootnoteReference1"/>
                <w:i/>
                <w:sz w:val="18"/>
                <w:szCs w:val="18"/>
              </w:rPr>
              <w:t>c</w:t>
            </w:r>
            <w:r w:rsidRPr="00B04DC3">
              <w:rPr>
                <w:sz w:val="18"/>
                <w:szCs w:val="18"/>
              </w:rPr>
              <w:t xml:space="preserve">  The actual sulphur content of the fuel used for the Type I test shall be reported.</w:t>
            </w:r>
          </w:p>
          <w:p w:rsidR="00BB1DA8" w:rsidRPr="00B04DC3" w:rsidRDefault="00BB1DA8" w:rsidP="003B06F6">
            <w:pPr>
              <w:keepLines/>
              <w:tabs>
                <w:tab w:val="left" w:pos="589"/>
              </w:tabs>
              <w:spacing w:line="200" w:lineRule="atLeast"/>
              <w:ind w:left="6" w:hanging="6"/>
              <w:rPr>
                <w:sz w:val="18"/>
                <w:szCs w:val="18"/>
              </w:rPr>
            </w:pPr>
            <w:r w:rsidRPr="00B04DC3">
              <w:rPr>
                <w:rStyle w:val="FootnoteReference1"/>
                <w:i/>
                <w:sz w:val="18"/>
                <w:szCs w:val="18"/>
              </w:rPr>
              <w:t>d</w:t>
            </w:r>
            <w:r w:rsidRPr="00B04DC3">
              <w:rPr>
                <w:sz w:val="18"/>
                <w:szCs w:val="18"/>
              </w:rPr>
              <w:t xml:space="preserve">  Even though oxidation stability is controlled, it is likely that shelf life will be limited. Advice should be sought from the supplier as to storage conditions and life.</w:t>
            </w:r>
          </w:p>
        </w:tc>
      </w:tr>
    </w:tbl>
    <w:p w:rsidR="00BB1DA8" w:rsidRPr="00B04DC3" w:rsidRDefault="00BB1DA8" w:rsidP="00D918FE">
      <w:pPr>
        <w:pStyle w:val="para"/>
      </w:pPr>
      <w:r w:rsidRPr="00B04DC3">
        <w:br w:type="page"/>
      </w:r>
      <w:bookmarkStart w:id="679" w:name="_Toc399940062"/>
      <w:r w:rsidRPr="00B04DC3">
        <w:t>1.3.</w:t>
      </w:r>
      <w:r w:rsidRPr="00B04DC3">
        <w:tab/>
        <w:t>Ethanol for diesel engines</w:t>
      </w:r>
      <w:r w:rsidRPr="00B04DC3">
        <w:rPr>
          <w:i/>
          <w:vertAlign w:val="superscript"/>
        </w:rPr>
        <w:t>a</w:t>
      </w:r>
      <w:bookmarkEnd w:id="679"/>
    </w:p>
    <w:tbl>
      <w:tblPr>
        <w:tblW w:w="9531" w:type="dxa"/>
        <w:tblInd w:w="108" w:type="dxa"/>
        <w:tblLayout w:type="fixed"/>
        <w:tblLook w:val="0000" w:firstRow="0" w:lastRow="0" w:firstColumn="0" w:lastColumn="0" w:noHBand="0" w:noVBand="0"/>
      </w:tblPr>
      <w:tblGrid>
        <w:gridCol w:w="3364"/>
        <w:gridCol w:w="1684"/>
        <w:gridCol w:w="1197"/>
        <w:gridCol w:w="1431"/>
        <w:gridCol w:w="1855"/>
      </w:tblGrid>
      <w:tr w:rsidR="00BB1DA8" w:rsidRPr="00CD250E" w:rsidTr="00955494">
        <w:tc>
          <w:tcPr>
            <w:tcW w:w="3364" w:type="dxa"/>
            <w:vMerge w:val="restart"/>
            <w:tcBorders>
              <w:top w:val="single" w:sz="2" w:space="0" w:color="auto"/>
              <w:bottom w:val="single" w:sz="2" w:space="0" w:color="auto"/>
              <w:right w:val="single" w:sz="2" w:space="0" w:color="auto"/>
            </w:tcBorders>
          </w:tcPr>
          <w:p w:rsidR="00BB1DA8" w:rsidRPr="00CD250E" w:rsidRDefault="00BB1DA8" w:rsidP="00CD250E">
            <w:pPr>
              <w:pStyle w:val="NormalCentered"/>
              <w:numPr>
                <w:ilvl w:val="0"/>
                <w:numId w:val="0"/>
              </w:numPr>
              <w:spacing w:before="40" w:after="40" w:line="200" w:lineRule="atLeast"/>
              <w:ind w:left="357"/>
              <w:jc w:val="left"/>
              <w:rPr>
                <w:i/>
                <w:sz w:val="16"/>
                <w:szCs w:val="16"/>
              </w:rPr>
            </w:pPr>
            <w:r w:rsidRPr="00CD250E">
              <w:rPr>
                <w:i/>
                <w:sz w:val="16"/>
                <w:szCs w:val="16"/>
              </w:rPr>
              <w:t>Parameter</w:t>
            </w:r>
          </w:p>
        </w:tc>
        <w:tc>
          <w:tcPr>
            <w:tcW w:w="1684" w:type="dxa"/>
            <w:vMerge w:val="restart"/>
            <w:tcBorders>
              <w:top w:val="single" w:sz="2" w:space="0" w:color="auto"/>
              <w:left w:val="single" w:sz="2" w:space="0" w:color="auto"/>
              <w:bottom w:val="single" w:sz="2" w:space="0" w:color="auto"/>
              <w:right w:val="single" w:sz="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r w:rsidRPr="00CD250E">
              <w:rPr>
                <w:i/>
                <w:sz w:val="16"/>
                <w:szCs w:val="16"/>
              </w:rPr>
              <w:t>Unit</w:t>
            </w:r>
          </w:p>
        </w:tc>
        <w:tc>
          <w:tcPr>
            <w:tcW w:w="2628" w:type="dxa"/>
            <w:gridSpan w:val="2"/>
            <w:tcBorders>
              <w:top w:val="single" w:sz="2" w:space="0" w:color="auto"/>
              <w:left w:val="single" w:sz="2" w:space="0" w:color="auto"/>
              <w:bottom w:val="single" w:sz="2" w:space="0" w:color="auto"/>
              <w:right w:val="single" w:sz="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r w:rsidRPr="00CD250E">
              <w:rPr>
                <w:i/>
                <w:sz w:val="16"/>
                <w:szCs w:val="16"/>
              </w:rPr>
              <w:t>Limits</w:t>
            </w:r>
            <w:r w:rsidRPr="00CD250E">
              <w:rPr>
                <w:i/>
                <w:sz w:val="16"/>
                <w:szCs w:val="16"/>
                <w:vertAlign w:val="superscript"/>
              </w:rPr>
              <w:t>b</w:t>
            </w:r>
          </w:p>
        </w:tc>
        <w:tc>
          <w:tcPr>
            <w:tcW w:w="1855" w:type="dxa"/>
            <w:vMerge w:val="restart"/>
            <w:tcBorders>
              <w:top w:val="single" w:sz="2" w:space="0" w:color="auto"/>
              <w:left w:val="single" w:sz="2" w:space="0" w:color="auto"/>
              <w:bottom w:val="single" w:sz="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r w:rsidRPr="00CD250E">
              <w:rPr>
                <w:i/>
                <w:sz w:val="16"/>
                <w:szCs w:val="16"/>
              </w:rPr>
              <w:t xml:space="preserve">Test method </w:t>
            </w:r>
            <w:r w:rsidRPr="00CD250E">
              <w:rPr>
                <w:i/>
                <w:sz w:val="16"/>
                <w:szCs w:val="16"/>
                <w:vertAlign w:val="superscript"/>
              </w:rPr>
              <w:t>c</w:t>
            </w:r>
          </w:p>
        </w:tc>
      </w:tr>
      <w:tr w:rsidR="00BB1DA8" w:rsidRPr="00CD250E" w:rsidTr="00955494">
        <w:tc>
          <w:tcPr>
            <w:tcW w:w="3364" w:type="dxa"/>
            <w:vMerge/>
            <w:tcBorders>
              <w:top w:val="single" w:sz="2" w:space="0" w:color="auto"/>
              <w:bottom w:val="single" w:sz="12" w:space="0" w:color="auto"/>
              <w:right w:val="single" w:sz="2" w:space="0" w:color="auto"/>
            </w:tcBorders>
          </w:tcPr>
          <w:p w:rsidR="00BB1DA8" w:rsidRPr="00CD250E" w:rsidRDefault="00BB1DA8" w:rsidP="00CD250E">
            <w:pPr>
              <w:spacing w:before="40" w:after="40" w:line="200" w:lineRule="atLeast"/>
              <w:ind w:left="357"/>
              <w:rPr>
                <w:i/>
                <w:snapToGrid w:val="0"/>
                <w:sz w:val="16"/>
                <w:szCs w:val="16"/>
              </w:rPr>
            </w:pPr>
          </w:p>
        </w:tc>
        <w:tc>
          <w:tcPr>
            <w:tcW w:w="1684" w:type="dxa"/>
            <w:vMerge/>
            <w:tcBorders>
              <w:top w:val="single" w:sz="2" w:space="0" w:color="auto"/>
              <w:left w:val="single" w:sz="2" w:space="0" w:color="auto"/>
              <w:bottom w:val="single" w:sz="12" w:space="0" w:color="auto"/>
              <w:right w:val="single" w:sz="2" w:space="0" w:color="auto"/>
            </w:tcBorders>
          </w:tcPr>
          <w:p w:rsidR="00BB1DA8" w:rsidRPr="00CD250E" w:rsidRDefault="00BB1DA8" w:rsidP="00CD250E">
            <w:pPr>
              <w:spacing w:before="40" w:after="40" w:line="200" w:lineRule="atLeast"/>
              <w:ind w:left="108"/>
              <w:jc w:val="center"/>
              <w:rPr>
                <w:i/>
                <w:snapToGrid w:val="0"/>
                <w:sz w:val="16"/>
                <w:szCs w:val="16"/>
              </w:rPr>
            </w:pPr>
          </w:p>
        </w:tc>
        <w:tc>
          <w:tcPr>
            <w:tcW w:w="1197" w:type="dxa"/>
            <w:tcBorders>
              <w:top w:val="single" w:sz="2" w:space="0" w:color="auto"/>
              <w:left w:val="single" w:sz="2" w:space="0" w:color="auto"/>
              <w:bottom w:val="single" w:sz="12" w:space="0" w:color="auto"/>
              <w:right w:val="single" w:sz="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r w:rsidRPr="00CD250E">
              <w:rPr>
                <w:i/>
                <w:sz w:val="16"/>
                <w:szCs w:val="16"/>
              </w:rPr>
              <w:t>Minimum</w:t>
            </w:r>
          </w:p>
        </w:tc>
        <w:tc>
          <w:tcPr>
            <w:tcW w:w="1431" w:type="dxa"/>
            <w:tcBorders>
              <w:top w:val="single" w:sz="2" w:space="0" w:color="auto"/>
              <w:left w:val="single" w:sz="2" w:space="0" w:color="auto"/>
              <w:bottom w:val="single" w:sz="12" w:space="0" w:color="auto"/>
              <w:right w:val="single" w:sz="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r w:rsidRPr="00CD250E">
              <w:rPr>
                <w:i/>
                <w:sz w:val="16"/>
                <w:szCs w:val="16"/>
              </w:rPr>
              <w:t>Maximum</w:t>
            </w:r>
          </w:p>
        </w:tc>
        <w:tc>
          <w:tcPr>
            <w:tcW w:w="1855" w:type="dxa"/>
            <w:vMerge/>
            <w:tcBorders>
              <w:top w:val="single" w:sz="2" w:space="0" w:color="auto"/>
              <w:left w:val="single" w:sz="2" w:space="0" w:color="auto"/>
              <w:bottom w:val="single" w:sz="12" w:space="0" w:color="auto"/>
            </w:tcBorders>
          </w:tcPr>
          <w:p w:rsidR="00BB1DA8" w:rsidRPr="00CD250E" w:rsidRDefault="00BB1DA8" w:rsidP="00CD250E">
            <w:pPr>
              <w:pStyle w:val="NormalCentered"/>
              <w:numPr>
                <w:ilvl w:val="0"/>
                <w:numId w:val="0"/>
              </w:numPr>
              <w:spacing w:before="40" w:after="40" w:line="200" w:lineRule="atLeast"/>
              <w:ind w:left="108"/>
              <w:rPr>
                <w:i/>
                <w:sz w:val="16"/>
                <w:szCs w:val="16"/>
              </w:rPr>
            </w:pPr>
          </w:p>
        </w:tc>
      </w:tr>
      <w:tr w:rsidR="00BB1DA8" w:rsidRPr="00B04DC3" w:rsidTr="00955494">
        <w:tc>
          <w:tcPr>
            <w:tcW w:w="3364" w:type="dxa"/>
            <w:tcBorders>
              <w:top w:val="single" w:sz="1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Alcohol, mass</w:t>
            </w:r>
          </w:p>
        </w:tc>
        <w:tc>
          <w:tcPr>
            <w:tcW w:w="1684" w:type="dxa"/>
            <w:tcBorders>
              <w:top w:val="single" w:sz="1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1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92.4</w:t>
            </w:r>
          </w:p>
        </w:tc>
        <w:tc>
          <w:tcPr>
            <w:tcW w:w="1431" w:type="dxa"/>
            <w:tcBorders>
              <w:top w:val="single" w:sz="1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855" w:type="dxa"/>
            <w:tcBorders>
              <w:top w:val="single" w:sz="1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5501</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Other alcohol than ethanol contained in total alcohol, mass</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2</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5501</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Density at 15 °C</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kg/m</w:t>
            </w:r>
            <w:r w:rsidRPr="00B04DC3">
              <w:rPr>
                <w:sz w:val="18"/>
                <w:szCs w:val="18"/>
                <w:vertAlign w:val="superscript"/>
              </w:rPr>
              <w:t>3</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795</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815</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4052</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Ash content</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0.001</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6245</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Flash point</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°C</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10</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2719</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Acidity, calculated as acetic acid</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0.0025</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1388-2</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Neutralisation (strong acid) number</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KOH mg/1</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1</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Right"/>
              <w:spacing w:before="40" w:after="40" w:line="240" w:lineRule="atLeast"/>
              <w:ind w:left="108"/>
              <w:jc w:val="center"/>
              <w:rPr>
                <w:sz w:val="18"/>
                <w:szCs w:val="18"/>
              </w:rPr>
            </w:pP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Colour</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According to scale</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10</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1209</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Dry residue at 100 °C</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mg/kg</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15</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759</w:t>
            </w:r>
          </w:p>
        </w:tc>
      </w:tr>
      <w:tr w:rsidR="00BB1DA8" w:rsidRPr="00B04DC3" w:rsidTr="00955494">
        <w:tc>
          <w:tcPr>
            <w:tcW w:w="3364" w:type="dxa"/>
            <w:tcBorders>
              <w:top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Water content</w:t>
            </w:r>
          </w:p>
        </w:tc>
        <w:tc>
          <w:tcPr>
            <w:tcW w:w="1684" w:type="dxa"/>
            <w:tcBorders>
              <w:top w:val="single" w:sz="2" w:space="0" w:color="auto"/>
              <w:left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p>
        </w:tc>
        <w:tc>
          <w:tcPr>
            <w:tcW w:w="1431" w:type="dxa"/>
            <w:tcBorders>
              <w:top w:val="single" w:sz="2" w:space="0" w:color="auto"/>
              <w:left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6.5</w:t>
            </w:r>
          </w:p>
        </w:tc>
        <w:tc>
          <w:tcPr>
            <w:tcW w:w="1855" w:type="dxa"/>
            <w:tcBorders>
              <w:top w:val="single" w:sz="2" w:space="0" w:color="auto"/>
              <w:lef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760</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Aldehydes calculated as acetic acid</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0.0025</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ISO 1388-4</w:t>
            </w:r>
          </w:p>
        </w:tc>
      </w:tr>
      <w:tr w:rsidR="00BB1DA8" w:rsidRPr="00B04DC3" w:rsidTr="00955494">
        <w:tc>
          <w:tcPr>
            <w:tcW w:w="3364" w:type="dxa"/>
            <w:tcBorders>
              <w:top w:val="single" w:sz="2" w:space="0" w:color="auto"/>
              <w:bottom w:val="single" w:sz="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Sulphur content</w:t>
            </w:r>
          </w:p>
        </w:tc>
        <w:tc>
          <w:tcPr>
            <w:tcW w:w="1684"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mg/kg</w:t>
            </w:r>
          </w:p>
        </w:tc>
        <w:tc>
          <w:tcPr>
            <w:tcW w:w="1197"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10</w:t>
            </w:r>
          </w:p>
        </w:tc>
        <w:tc>
          <w:tcPr>
            <w:tcW w:w="1855" w:type="dxa"/>
            <w:tcBorders>
              <w:top w:val="single" w:sz="2" w:space="0" w:color="auto"/>
              <w:left w:val="single" w:sz="2" w:space="0" w:color="auto"/>
              <w:bottom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5453</w:t>
            </w:r>
          </w:p>
        </w:tc>
      </w:tr>
      <w:tr w:rsidR="00BB1DA8" w:rsidRPr="00B04DC3" w:rsidTr="00955494">
        <w:tc>
          <w:tcPr>
            <w:tcW w:w="3364" w:type="dxa"/>
            <w:tcBorders>
              <w:top w:val="single" w:sz="2" w:space="0" w:color="auto"/>
              <w:bottom w:val="single" w:sz="12" w:space="0" w:color="auto"/>
              <w:right w:val="single" w:sz="2" w:space="0" w:color="auto"/>
            </w:tcBorders>
          </w:tcPr>
          <w:p w:rsidR="00BB1DA8" w:rsidRPr="00B04DC3" w:rsidRDefault="00BB1DA8" w:rsidP="00BB1DA8">
            <w:pPr>
              <w:pStyle w:val="NormalLeft"/>
              <w:spacing w:before="40" w:after="40" w:line="240" w:lineRule="atLeast"/>
              <w:ind w:left="34"/>
              <w:rPr>
                <w:sz w:val="18"/>
                <w:szCs w:val="18"/>
              </w:rPr>
            </w:pPr>
            <w:r w:rsidRPr="00B04DC3">
              <w:rPr>
                <w:sz w:val="18"/>
                <w:szCs w:val="18"/>
              </w:rPr>
              <w:t>Esters, calculated as ethylacetate</w:t>
            </w:r>
          </w:p>
        </w:tc>
        <w:tc>
          <w:tcPr>
            <w:tcW w:w="1684" w:type="dxa"/>
            <w:tcBorders>
              <w:top w:val="single" w:sz="2" w:space="0" w:color="auto"/>
              <w:left w:val="single" w:sz="2" w:space="0" w:color="auto"/>
              <w:bottom w:val="single" w:sz="12" w:space="0" w:color="auto"/>
              <w:right w:val="single" w:sz="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per cent m/m</w:t>
            </w:r>
          </w:p>
        </w:tc>
        <w:tc>
          <w:tcPr>
            <w:tcW w:w="1197" w:type="dxa"/>
            <w:tcBorders>
              <w:top w:val="single" w:sz="2" w:space="0" w:color="auto"/>
              <w:left w:val="single" w:sz="2" w:space="0" w:color="auto"/>
              <w:bottom w:val="single" w:sz="1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w:t>
            </w:r>
          </w:p>
        </w:tc>
        <w:tc>
          <w:tcPr>
            <w:tcW w:w="1431" w:type="dxa"/>
            <w:tcBorders>
              <w:top w:val="single" w:sz="2" w:space="0" w:color="auto"/>
              <w:left w:val="single" w:sz="2" w:space="0" w:color="auto"/>
              <w:bottom w:val="single" w:sz="12" w:space="0" w:color="auto"/>
              <w:right w:val="single" w:sz="2" w:space="0" w:color="auto"/>
            </w:tcBorders>
          </w:tcPr>
          <w:p w:rsidR="00BB1DA8" w:rsidRPr="00B04DC3" w:rsidRDefault="00BB1DA8" w:rsidP="00990141">
            <w:pPr>
              <w:pStyle w:val="NormalRight"/>
              <w:spacing w:before="40" w:after="40" w:line="240" w:lineRule="atLeast"/>
              <w:ind w:left="108"/>
              <w:jc w:val="center"/>
              <w:rPr>
                <w:sz w:val="18"/>
                <w:szCs w:val="18"/>
              </w:rPr>
            </w:pPr>
            <w:r w:rsidRPr="00B04DC3">
              <w:rPr>
                <w:sz w:val="18"/>
                <w:szCs w:val="18"/>
              </w:rPr>
              <w:t>0.1</w:t>
            </w:r>
          </w:p>
        </w:tc>
        <w:tc>
          <w:tcPr>
            <w:tcW w:w="1855" w:type="dxa"/>
            <w:tcBorders>
              <w:top w:val="single" w:sz="2" w:space="0" w:color="auto"/>
              <w:left w:val="single" w:sz="2" w:space="0" w:color="auto"/>
              <w:bottom w:val="single" w:sz="12" w:space="0" w:color="auto"/>
            </w:tcBorders>
          </w:tcPr>
          <w:p w:rsidR="00BB1DA8" w:rsidRPr="00B04DC3" w:rsidRDefault="00BB1DA8" w:rsidP="00990141">
            <w:pPr>
              <w:pStyle w:val="NormalLeft"/>
              <w:spacing w:before="40" w:after="40" w:line="240" w:lineRule="atLeast"/>
              <w:ind w:left="108"/>
              <w:jc w:val="center"/>
              <w:rPr>
                <w:sz w:val="18"/>
                <w:szCs w:val="18"/>
              </w:rPr>
            </w:pPr>
            <w:r w:rsidRPr="00B04DC3">
              <w:rPr>
                <w:sz w:val="18"/>
                <w:szCs w:val="18"/>
              </w:rPr>
              <w:t>ASTM D 1617</w:t>
            </w:r>
          </w:p>
        </w:tc>
      </w:tr>
      <w:tr w:rsidR="00BB1DA8" w:rsidRPr="00CD250E" w:rsidTr="00955494">
        <w:tc>
          <w:tcPr>
            <w:tcW w:w="9531" w:type="dxa"/>
            <w:gridSpan w:val="5"/>
            <w:tcBorders>
              <w:top w:val="single" w:sz="12" w:space="0" w:color="auto"/>
            </w:tcBorders>
          </w:tcPr>
          <w:p w:rsidR="00BB1DA8" w:rsidRPr="00CD250E" w:rsidRDefault="00BB1DA8" w:rsidP="003B06F6">
            <w:pPr>
              <w:pStyle w:val="Point0"/>
              <w:keepLines/>
              <w:tabs>
                <w:tab w:val="left" w:pos="567"/>
              </w:tabs>
              <w:suppressAutoHyphens/>
              <w:spacing w:after="0" w:line="200" w:lineRule="atLeast"/>
              <w:ind w:left="6" w:hanging="6"/>
              <w:jc w:val="left"/>
              <w:rPr>
                <w:sz w:val="16"/>
                <w:szCs w:val="16"/>
                <w:lang w:eastAsia="en-US"/>
              </w:rPr>
            </w:pPr>
            <w:r w:rsidRPr="00CD250E">
              <w:rPr>
                <w:i/>
                <w:sz w:val="16"/>
                <w:szCs w:val="16"/>
                <w:vertAlign w:val="superscript"/>
              </w:rPr>
              <w:t>a</w:t>
            </w:r>
            <w:r w:rsidRPr="00CD250E">
              <w:rPr>
                <w:sz w:val="16"/>
                <w:szCs w:val="16"/>
              </w:rPr>
              <w:t xml:space="preserve">  </w:t>
            </w:r>
            <w:r w:rsidRPr="00CD250E">
              <w:rPr>
                <w:sz w:val="16"/>
                <w:szCs w:val="16"/>
                <w:lang w:eastAsia="en-US"/>
              </w:rPr>
              <w:t>Cetane improver, as specified by the engine manufacturer, may be added to the ethanol fuel. The maximum allowed amount is 10 per cent m/m.</w:t>
            </w:r>
          </w:p>
          <w:p w:rsidR="00BB1DA8" w:rsidRPr="00CD250E" w:rsidRDefault="00BB1DA8" w:rsidP="003B06F6">
            <w:pPr>
              <w:keepLines/>
              <w:tabs>
                <w:tab w:val="left" w:pos="589"/>
              </w:tabs>
              <w:spacing w:line="200" w:lineRule="atLeast"/>
              <w:ind w:left="6" w:hanging="6"/>
              <w:rPr>
                <w:snapToGrid w:val="0"/>
                <w:sz w:val="16"/>
                <w:szCs w:val="16"/>
              </w:rPr>
            </w:pPr>
            <w:r w:rsidRPr="00CD250E">
              <w:rPr>
                <w:i/>
                <w:sz w:val="16"/>
                <w:szCs w:val="16"/>
                <w:vertAlign w:val="superscript"/>
              </w:rPr>
              <w:t>b</w:t>
            </w:r>
            <w:r w:rsidRPr="00CD250E">
              <w:rPr>
                <w:sz w:val="16"/>
                <w:szCs w:val="16"/>
                <w:vertAlign w:val="superscript"/>
              </w:rPr>
              <w:t xml:space="preserve"> </w:t>
            </w:r>
            <w:r w:rsidRPr="00CD250E">
              <w:rPr>
                <w:sz w:val="16"/>
                <w:szCs w:val="16"/>
              </w:rPr>
              <w:t xml:space="preserve"> The values quoted in the specification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statistical reasons, the manufacturer of a fuel should nevertheless aim at a zero value where the stipulated maximum value is 2R and at the mean value in the case of quotations of maximum and minimum limits. Should it be necessary to clarify the question as to whether a fuel meets the requirements of the specification, the terms of ISO 4259 should be applied.</w:t>
            </w:r>
          </w:p>
          <w:p w:rsidR="00BB1DA8" w:rsidRPr="00CD250E" w:rsidRDefault="00BB1DA8" w:rsidP="003B06F6">
            <w:pPr>
              <w:pStyle w:val="Point0"/>
              <w:keepLines/>
              <w:tabs>
                <w:tab w:val="left" w:pos="567"/>
              </w:tabs>
              <w:suppressAutoHyphens/>
              <w:spacing w:before="0" w:after="0" w:line="200" w:lineRule="atLeast"/>
              <w:ind w:left="6" w:hanging="6"/>
              <w:jc w:val="left"/>
              <w:rPr>
                <w:sz w:val="16"/>
                <w:szCs w:val="16"/>
              </w:rPr>
            </w:pPr>
            <w:r w:rsidRPr="00CD250E">
              <w:rPr>
                <w:i/>
                <w:sz w:val="16"/>
                <w:szCs w:val="16"/>
                <w:vertAlign w:val="superscript"/>
              </w:rPr>
              <w:t xml:space="preserve">c </w:t>
            </w:r>
            <w:r w:rsidRPr="00CD250E">
              <w:rPr>
                <w:sz w:val="16"/>
                <w:szCs w:val="16"/>
              </w:rPr>
              <w:t xml:space="preserve"> Equivalent ISO methods will be adopted when issued for all properties listed above</w:t>
            </w:r>
          </w:p>
        </w:tc>
      </w:tr>
    </w:tbl>
    <w:p w:rsidR="00610370" w:rsidRPr="00B04DC3" w:rsidRDefault="00610370" w:rsidP="00CD250E">
      <w:pPr>
        <w:keepNext/>
        <w:keepLines/>
        <w:spacing w:before="120" w:after="80"/>
        <w:ind w:left="2268" w:right="1134" w:hanging="1134"/>
        <w:jc w:val="both"/>
      </w:pPr>
      <w:r w:rsidRPr="00B04DC3">
        <w:t>2.</w:t>
      </w:r>
      <w:r w:rsidRPr="00B04DC3">
        <w:tab/>
        <w:t xml:space="preserve">Compressed </w:t>
      </w:r>
      <w:r w:rsidR="00990141" w:rsidRPr="00B04DC3">
        <w:t>N</w:t>
      </w:r>
      <w:r w:rsidRPr="00B04DC3">
        <w:t xml:space="preserve">atural </w:t>
      </w:r>
      <w:r w:rsidR="00990141" w:rsidRPr="00B04DC3">
        <w:t>G</w:t>
      </w:r>
      <w:r w:rsidRPr="00B04DC3">
        <w:t>as (NG) - European market fuels are available in two ranges:</w:t>
      </w:r>
    </w:p>
    <w:p w:rsidR="00610370" w:rsidRPr="00B04DC3" w:rsidRDefault="00610370" w:rsidP="00CD250E">
      <w:pPr>
        <w:tabs>
          <w:tab w:val="decimal" w:pos="567"/>
        </w:tabs>
        <w:spacing w:after="80"/>
        <w:ind w:left="2835" w:right="1134" w:hanging="567"/>
        <w:jc w:val="both"/>
      </w:pPr>
      <w:r w:rsidRPr="00B04DC3">
        <w:t>(a)</w:t>
      </w:r>
      <w:r w:rsidRPr="00B04DC3">
        <w:tab/>
        <w:t>The H range, whose extreme reference fuels are G</w:t>
      </w:r>
      <w:r w:rsidRPr="00B04DC3">
        <w:rPr>
          <w:vertAlign w:val="subscript"/>
        </w:rPr>
        <w:t>R</w:t>
      </w:r>
      <w:r w:rsidRPr="00B04DC3">
        <w:t xml:space="preserve"> and G</w:t>
      </w:r>
      <w:r w:rsidRPr="00B04DC3">
        <w:rPr>
          <w:vertAlign w:val="subscript"/>
        </w:rPr>
        <w:t>23</w:t>
      </w:r>
      <w:r w:rsidRPr="00B04DC3">
        <w:t>;</w:t>
      </w:r>
    </w:p>
    <w:p w:rsidR="00610370" w:rsidRPr="00B04DC3" w:rsidRDefault="00610370" w:rsidP="00CD250E">
      <w:pPr>
        <w:tabs>
          <w:tab w:val="decimal" w:pos="567"/>
        </w:tabs>
        <w:spacing w:after="80"/>
        <w:ind w:left="2835" w:right="1134" w:hanging="567"/>
        <w:jc w:val="both"/>
      </w:pPr>
      <w:r w:rsidRPr="00B04DC3">
        <w:t>(b)</w:t>
      </w:r>
      <w:r w:rsidRPr="00B04DC3">
        <w:tab/>
        <w:t>The L range, whose extreme reference fuels are G</w:t>
      </w:r>
      <w:r w:rsidRPr="00B04DC3">
        <w:rPr>
          <w:vertAlign w:val="subscript"/>
        </w:rPr>
        <w:t>23</w:t>
      </w:r>
      <w:r w:rsidRPr="00B04DC3">
        <w:t xml:space="preserve"> and G</w:t>
      </w:r>
      <w:r w:rsidRPr="00B04DC3">
        <w:rPr>
          <w:vertAlign w:val="subscript"/>
        </w:rPr>
        <w:t>25</w:t>
      </w:r>
      <w:r w:rsidRPr="00B04DC3">
        <w:t xml:space="preserve">. </w:t>
      </w:r>
    </w:p>
    <w:p w:rsidR="00610370" w:rsidRPr="00B04DC3" w:rsidRDefault="00610370" w:rsidP="00CD250E">
      <w:pPr>
        <w:spacing w:after="80"/>
        <w:ind w:left="2268" w:right="1134"/>
        <w:jc w:val="both"/>
      </w:pPr>
      <w:r w:rsidRPr="00B04DC3">
        <w:t xml:space="preserve">Liquefied </w:t>
      </w:r>
      <w:r w:rsidR="009B357A">
        <w:t>N</w:t>
      </w:r>
      <w:r w:rsidRPr="00B04DC3">
        <w:t xml:space="preserve">atural </w:t>
      </w:r>
      <w:r w:rsidR="009B357A">
        <w:t>G</w:t>
      </w:r>
      <w:r w:rsidRPr="00B04DC3">
        <w:t xml:space="preserve">as </w:t>
      </w:r>
      <w:r w:rsidR="009B357A">
        <w:t xml:space="preserve">(LNG) </w:t>
      </w:r>
      <w:r w:rsidRPr="00B04DC3">
        <w:t>– European market fuels are available in a range whose extreme reference fuels are G</w:t>
      </w:r>
      <w:r w:rsidRPr="00B04DC3">
        <w:rPr>
          <w:vertAlign w:val="subscript"/>
        </w:rPr>
        <w:t>20</w:t>
      </w:r>
      <w:r w:rsidRPr="00B04DC3">
        <w:t xml:space="preserve"> and G</w:t>
      </w:r>
      <w:r w:rsidRPr="00B04DC3">
        <w:rPr>
          <w:vertAlign w:val="subscript"/>
        </w:rPr>
        <w:t>R</w:t>
      </w:r>
    </w:p>
    <w:p w:rsidR="00610370" w:rsidRPr="00B04DC3" w:rsidRDefault="00610370" w:rsidP="00CD250E">
      <w:pPr>
        <w:spacing w:before="120" w:after="80"/>
        <w:ind w:left="2268" w:right="1134" w:hanging="1134"/>
        <w:jc w:val="both"/>
      </w:pPr>
      <w:r w:rsidRPr="00B04DC3">
        <w:tab/>
        <w:t>The characteristics of G</w:t>
      </w:r>
      <w:r w:rsidRPr="00B04DC3">
        <w:rPr>
          <w:vertAlign w:val="subscript"/>
        </w:rPr>
        <w:t>R</w:t>
      </w:r>
      <w:r w:rsidRPr="00B04DC3">
        <w:t>, G</w:t>
      </w:r>
      <w:r w:rsidRPr="00B04DC3">
        <w:rPr>
          <w:vertAlign w:val="subscript"/>
        </w:rPr>
        <w:t>20</w:t>
      </w:r>
      <w:r w:rsidRPr="00B04DC3">
        <w:t>, G</w:t>
      </w:r>
      <w:r w:rsidRPr="00B04DC3">
        <w:rPr>
          <w:vertAlign w:val="subscript"/>
        </w:rPr>
        <w:t>23</w:t>
      </w:r>
      <w:r w:rsidRPr="00B04DC3">
        <w:t xml:space="preserve"> and G</w:t>
      </w:r>
      <w:r w:rsidRPr="00B04DC3">
        <w:rPr>
          <w:vertAlign w:val="subscript"/>
        </w:rPr>
        <w:t>25</w:t>
      </w:r>
      <w:r w:rsidRPr="00B04DC3">
        <w:t xml:space="preserve"> reference fuels are summarized below:</w:t>
      </w:r>
    </w:p>
    <w:tbl>
      <w:tblPr>
        <w:tblW w:w="0" w:type="auto"/>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96"/>
        <w:gridCol w:w="1264"/>
        <w:gridCol w:w="850"/>
        <w:gridCol w:w="1276"/>
        <w:gridCol w:w="1276"/>
        <w:gridCol w:w="1417"/>
      </w:tblGrid>
      <w:tr w:rsidR="00610370" w:rsidRPr="00B04DC3" w:rsidTr="00610370">
        <w:trPr>
          <w:cantSplit/>
        </w:trPr>
        <w:tc>
          <w:tcPr>
            <w:tcW w:w="8079" w:type="dxa"/>
            <w:gridSpan w:val="6"/>
            <w:tcBorders>
              <w:top w:val="single" w:sz="4" w:space="0" w:color="auto"/>
              <w:left w:val="single" w:sz="4" w:space="0" w:color="auto"/>
              <w:bottom w:val="single" w:sz="4" w:space="0" w:color="auto"/>
              <w:right w:val="single" w:sz="4" w:space="0" w:color="auto"/>
            </w:tcBorders>
          </w:tcPr>
          <w:p w:rsidR="00610370" w:rsidRPr="00B04DC3" w:rsidRDefault="00610370" w:rsidP="00CD250E">
            <w:pPr>
              <w:spacing w:before="80" w:after="80" w:line="200" w:lineRule="atLeast"/>
              <w:rPr>
                <w:i/>
                <w:sz w:val="16"/>
                <w:szCs w:val="16"/>
              </w:rPr>
            </w:pPr>
            <w:r w:rsidRPr="00B04DC3">
              <w:rPr>
                <w:i/>
                <w:sz w:val="16"/>
                <w:szCs w:val="16"/>
              </w:rPr>
              <w:t>Reference fuel G</w:t>
            </w:r>
            <w:r w:rsidRPr="00B04DC3">
              <w:rPr>
                <w:i/>
                <w:sz w:val="16"/>
                <w:szCs w:val="16"/>
                <w:vertAlign w:val="subscript"/>
              </w:rPr>
              <w:t>R</w:t>
            </w:r>
          </w:p>
        </w:tc>
      </w:tr>
      <w:tr w:rsidR="00610370" w:rsidRPr="00B04DC3" w:rsidTr="00610370">
        <w:trPr>
          <w:cantSplit/>
        </w:trPr>
        <w:tc>
          <w:tcPr>
            <w:tcW w:w="1996"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rPr>
                <w:i/>
                <w:sz w:val="16"/>
                <w:szCs w:val="16"/>
              </w:rPr>
            </w:pPr>
            <w:r w:rsidRPr="00B04DC3">
              <w:rPr>
                <w:i/>
                <w:sz w:val="16"/>
                <w:szCs w:val="16"/>
              </w:rPr>
              <w:t>Characteristics</w:t>
            </w:r>
          </w:p>
        </w:tc>
        <w:tc>
          <w:tcPr>
            <w:tcW w:w="1264"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Units</w:t>
            </w:r>
          </w:p>
        </w:tc>
        <w:tc>
          <w:tcPr>
            <w:tcW w:w="850"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Basis</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Limits</w:t>
            </w:r>
          </w:p>
        </w:tc>
        <w:tc>
          <w:tcPr>
            <w:tcW w:w="1417"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Test method</w:t>
            </w:r>
          </w:p>
        </w:tc>
      </w:tr>
      <w:tr w:rsidR="00610370" w:rsidRPr="00B04DC3" w:rsidTr="00610370">
        <w:trPr>
          <w:cantSplit/>
        </w:trPr>
        <w:tc>
          <w:tcPr>
            <w:tcW w:w="1996"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1264"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850"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1276" w:type="dxa"/>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Minimum</w:t>
            </w:r>
          </w:p>
        </w:tc>
        <w:tc>
          <w:tcPr>
            <w:tcW w:w="1276" w:type="dxa"/>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Maximum</w:t>
            </w:r>
          </w:p>
        </w:tc>
        <w:tc>
          <w:tcPr>
            <w:tcW w:w="1417"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r>
      <w:tr w:rsidR="00610370" w:rsidRPr="00B04DC3" w:rsidTr="00610370">
        <w:trPr>
          <w:cantSplit/>
        </w:trPr>
        <w:tc>
          <w:tcPr>
            <w:tcW w:w="199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pPr>
            <w:r w:rsidRPr="00B04DC3">
              <w:t>Composition:</w:t>
            </w:r>
          </w:p>
        </w:tc>
        <w:tc>
          <w:tcPr>
            <w:tcW w:w="1264"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850"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417"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r>
      <w:tr w:rsidR="00610370" w:rsidRPr="00B04DC3" w:rsidTr="00610370">
        <w:trPr>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Methane</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 mole</w:t>
            </w: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87</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84</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89</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p>
        </w:tc>
      </w:tr>
      <w:tr w:rsidR="00610370" w:rsidRPr="00B04DC3" w:rsidTr="00610370">
        <w:trPr>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Ethane</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 mole</w:t>
            </w: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13</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11</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15</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p>
        </w:tc>
      </w:tr>
      <w:tr w:rsidR="00610370" w:rsidRPr="00B04DC3" w:rsidTr="00610370">
        <w:trPr>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Balance</w:t>
            </w:r>
            <w:r w:rsidRPr="00B04DC3">
              <w:rPr>
                <w:i/>
                <w:vertAlign w:val="superscript"/>
              </w:rPr>
              <w:t>a</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 mole</w:t>
            </w: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1</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ISO 6974</w:t>
            </w:r>
          </w:p>
        </w:tc>
      </w:tr>
      <w:tr w:rsidR="00610370" w:rsidRPr="00B04DC3" w:rsidTr="00610370">
        <w:trPr>
          <w:cantSplit/>
        </w:trPr>
        <w:tc>
          <w:tcPr>
            <w:tcW w:w="1996"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pPr>
            <w:r w:rsidRPr="00B04DC3">
              <w:t>Sulphur content</w:t>
            </w:r>
          </w:p>
        </w:tc>
        <w:tc>
          <w:tcPr>
            <w:tcW w:w="1264"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jc w:val="center"/>
            </w:pPr>
            <w:r w:rsidRPr="00B04DC3">
              <w:t>mg/m</w:t>
            </w:r>
            <w:r w:rsidRPr="00B04DC3">
              <w:rPr>
                <w:vertAlign w:val="superscript"/>
              </w:rPr>
              <w:t>3</w:t>
            </w:r>
            <w:r w:rsidRPr="00B04DC3">
              <w:t xml:space="preserve"> </w:t>
            </w:r>
            <w:r w:rsidRPr="00B04DC3">
              <w:rPr>
                <w:i/>
                <w:vertAlign w:val="superscript"/>
              </w:rPr>
              <w:t>b</w:t>
            </w:r>
          </w:p>
        </w:tc>
        <w:tc>
          <w:tcPr>
            <w:tcW w:w="850"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jc w:val="center"/>
            </w:pPr>
            <w:r w:rsidRPr="00B04DC3">
              <w:t>10</w:t>
            </w:r>
          </w:p>
        </w:tc>
        <w:tc>
          <w:tcPr>
            <w:tcW w:w="1417" w:type="dxa"/>
            <w:tcBorders>
              <w:top w:val="single" w:sz="2" w:space="0" w:color="auto"/>
              <w:left w:val="single" w:sz="4" w:space="0" w:color="auto"/>
              <w:bottom w:val="single" w:sz="12" w:space="0" w:color="auto"/>
              <w:right w:val="single" w:sz="4" w:space="0" w:color="auto"/>
            </w:tcBorders>
            <w:vAlign w:val="center"/>
          </w:tcPr>
          <w:p w:rsidR="00610370" w:rsidRPr="00B04DC3" w:rsidRDefault="00610370" w:rsidP="00CD250E">
            <w:pPr>
              <w:spacing w:before="40" w:after="40" w:line="240" w:lineRule="auto"/>
              <w:jc w:val="center"/>
            </w:pPr>
            <w:r w:rsidRPr="00B04DC3">
              <w:t>ISO 6326-5</w:t>
            </w:r>
          </w:p>
        </w:tc>
      </w:tr>
      <w:tr w:rsidR="00610370" w:rsidRPr="00B04DC3" w:rsidTr="00610370">
        <w:trPr>
          <w:cantSplit/>
        </w:trPr>
        <w:tc>
          <w:tcPr>
            <w:tcW w:w="8079" w:type="dxa"/>
            <w:gridSpan w:val="6"/>
            <w:tcBorders>
              <w:top w:val="single" w:sz="12" w:space="0" w:color="auto"/>
              <w:left w:val="nil"/>
              <w:bottom w:val="nil"/>
              <w:right w:val="nil"/>
            </w:tcBorders>
            <w:vAlign w:val="center"/>
          </w:tcPr>
          <w:p w:rsidR="00610370" w:rsidRPr="00B04DC3" w:rsidRDefault="00610370" w:rsidP="00CD250E">
            <w:pPr>
              <w:tabs>
                <w:tab w:val="left" w:pos="567"/>
              </w:tabs>
              <w:suppressAutoHyphens w:val="0"/>
              <w:spacing w:line="180" w:lineRule="exact"/>
              <w:ind w:left="567" w:hanging="567"/>
              <w:jc w:val="both"/>
              <w:rPr>
                <w:sz w:val="18"/>
                <w:szCs w:val="18"/>
                <w:lang w:eastAsia="en-GB"/>
              </w:rPr>
            </w:pPr>
            <w:r w:rsidRPr="00B04DC3">
              <w:rPr>
                <w:i/>
                <w:sz w:val="18"/>
                <w:szCs w:val="18"/>
                <w:vertAlign w:val="superscript"/>
                <w:lang w:eastAsia="en-GB"/>
              </w:rPr>
              <w:t>a</w:t>
            </w:r>
            <w:r w:rsidRPr="00B04DC3">
              <w:rPr>
                <w:sz w:val="24"/>
                <w:vertAlign w:val="superscript"/>
                <w:lang w:eastAsia="en-GB"/>
              </w:rPr>
              <w:t xml:space="preserve"> </w:t>
            </w:r>
            <w:r w:rsidRPr="00B04DC3">
              <w:rPr>
                <w:sz w:val="18"/>
                <w:szCs w:val="18"/>
                <w:lang w:eastAsia="en-GB"/>
              </w:rPr>
              <w:t xml:space="preserve"> Inerts +C</w:t>
            </w:r>
            <w:r w:rsidRPr="00B04DC3">
              <w:rPr>
                <w:sz w:val="18"/>
                <w:szCs w:val="18"/>
                <w:vertAlign w:val="subscript"/>
                <w:lang w:eastAsia="en-GB"/>
              </w:rPr>
              <w:t>2+</w:t>
            </w:r>
          </w:p>
          <w:p w:rsidR="00610370" w:rsidRPr="00B04DC3" w:rsidRDefault="00610370" w:rsidP="00CD250E">
            <w:pPr>
              <w:tabs>
                <w:tab w:val="left" w:pos="567"/>
              </w:tabs>
              <w:suppressAutoHyphens w:val="0"/>
              <w:spacing w:line="180" w:lineRule="exact"/>
              <w:ind w:left="567" w:hanging="567"/>
              <w:jc w:val="both"/>
              <w:rPr>
                <w:sz w:val="24"/>
                <w:lang w:eastAsia="en-GB"/>
              </w:rPr>
            </w:pPr>
            <w:r w:rsidRPr="00B04DC3">
              <w:rPr>
                <w:i/>
                <w:sz w:val="18"/>
                <w:szCs w:val="18"/>
                <w:vertAlign w:val="superscript"/>
                <w:lang w:eastAsia="en-GB"/>
              </w:rPr>
              <w:t>b</w:t>
            </w:r>
            <w:r w:rsidRPr="00B04DC3">
              <w:rPr>
                <w:sz w:val="18"/>
                <w:szCs w:val="18"/>
                <w:vertAlign w:val="superscript"/>
                <w:lang w:eastAsia="en-GB"/>
              </w:rPr>
              <w:t xml:space="preserve"> </w:t>
            </w:r>
            <w:r w:rsidRPr="00B04DC3">
              <w:rPr>
                <w:sz w:val="18"/>
                <w:szCs w:val="18"/>
                <w:lang w:eastAsia="en-GB"/>
              </w:rPr>
              <w:t xml:space="preserve"> Value to be determined at standard conditions (293.2 K (20 °C) and 101.3 kPa).</w:t>
            </w:r>
          </w:p>
        </w:tc>
      </w:tr>
    </w:tbl>
    <w:p w:rsidR="00CD250E" w:rsidRPr="00B04DC3" w:rsidRDefault="00CD250E" w:rsidP="00610370">
      <w:pPr>
        <w:ind w:left="2268" w:right="1134" w:hanging="1134"/>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276"/>
        <w:gridCol w:w="850"/>
        <w:gridCol w:w="1276"/>
        <w:gridCol w:w="1276"/>
        <w:gridCol w:w="1417"/>
      </w:tblGrid>
      <w:tr w:rsidR="00610370" w:rsidRPr="00B04DC3" w:rsidTr="00610370">
        <w:trPr>
          <w:trHeight w:val="284"/>
        </w:trPr>
        <w:tc>
          <w:tcPr>
            <w:tcW w:w="8080" w:type="dxa"/>
            <w:gridSpan w:val="6"/>
            <w:vAlign w:val="bottom"/>
          </w:tcPr>
          <w:p w:rsidR="00610370" w:rsidRPr="00B04DC3" w:rsidRDefault="00610370" w:rsidP="00610370">
            <w:pPr>
              <w:keepNext/>
              <w:rPr>
                <w:i/>
                <w:sz w:val="16"/>
                <w:szCs w:val="16"/>
              </w:rPr>
            </w:pPr>
            <w:r w:rsidRPr="00B04DC3">
              <w:rPr>
                <w:i/>
                <w:sz w:val="16"/>
                <w:szCs w:val="16"/>
              </w:rPr>
              <w:t>Reference fuel G</w:t>
            </w:r>
            <w:r w:rsidRPr="00B04DC3">
              <w:rPr>
                <w:i/>
                <w:sz w:val="16"/>
                <w:szCs w:val="16"/>
                <w:vertAlign w:val="subscript"/>
              </w:rPr>
              <w:t>20</w:t>
            </w:r>
          </w:p>
        </w:tc>
      </w:tr>
      <w:tr w:rsidR="00610370" w:rsidRPr="00B04DC3" w:rsidTr="00610370">
        <w:trPr>
          <w:trHeight w:val="284"/>
        </w:trPr>
        <w:tc>
          <w:tcPr>
            <w:tcW w:w="1985" w:type="dxa"/>
            <w:vMerge w:val="restart"/>
            <w:tcBorders>
              <w:bottom w:val="single" w:sz="12" w:space="0" w:color="auto"/>
            </w:tcBorders>
            <w:vAlign w:val="center"/>
          </w:tcPr>
          <w:p w:rsidR="00610370" w:rsidRPr="00B04DC3" w:rsidRDefault="00610370" w:rsidP="00610370">
            <w:pPr>
              <w:keepNext/>
              <w:rPr>
                <w:i/>
                <w:sz w:val="16"/>
                <w:szCs w:val="16"/>
              </w:rPr>
            </w:pPr>
            <w:r w:rsidRPr="00B04DC3">
              <w:rPr>
                <w:i/>
                <w:sz w:val="16"/>
                <w:szCs w:val="16"/>
              </w:rPr>
              <w:t xml:space="preserve">Characteristics </w:t>
            </w:r>
          </w:p>
        </w:tc>
        <w:tc>
          <w:tcPr>
            <w:tcW w:w="1276" w:type="dxa"/>
            <w:vMerge w:val="restart"/>
            <w:tcBorders>
              <w:bottom w:val="single" w:sz="12" w:space="0" w:color="auto"/>
            </w:tcBorders>
            <w:vAlign w:val="center"/>
          </w:tcPr>
          <w:p w:rsidR="00610370" w:rsidRPr="00B04DC3" w:rsidRDefault="00610370" w:rsidP="00610370">
            <w:pPr>
              <w:keepNext/>
              <w:jc w:val="center"/>
              <w:rPr>
                <w:i/>
                <w:sz w:val="16"/>
                <w:szCs w:val="16"/>
              </w:rPr>
            </w:pPr>
            <w:r w:rsidRPr="00B04DC3">
              <w:rPr>
                <w:i/>
                <w:sz w:val="16"/>
                <w:szCs w:val="16"/>
              </w:rPr>
              <w:t>Units</w:t>
            </w:r>
          </w:p>
        </w:tc>
        <w:tc>
          <w:tcPr>
            <w:tcW w:w="850" w:type="dxa"/>
            <w:vMerge w:val="restart"/>
            <w:tcBorders>
              <w:bottom w:val="single" w:sz="12" w:space="0" w:color="auto"/>
            </w:tcBorders>
            <w:vAlign w:val="center"/>
          </w:tcPr>
          <w:p w:rsidR="00610370" w:rsidRPr="00B04DC3" w:rsidRDefault="00610370" w:rsidP="00610370">
            <w:pPr>
              <w:keepNext/>
              <w:jc w:val="center"/>
              <w:rPr>
                <w:i/>
                <w:sz w:val="16"/>
                <w:szCs w:val="16"/>
              </w:rPr>
            </w:pPr>
            <w:r w:rsidRPr="00B04DC3">
              <w:rPr>
                <w:i/>
                <w:sz w:val="16"/>
                <w:szCs w:val="16"/>
              </w:rPr>
              <w:t>Basis</w:t>
            </w:r>
          </w:p>
        </w:tc>
        <w:tc>
          <w:tcPr>
            <w:tcW w:w="2552" w:type="dxa"/>
            <w:gridSpan w:val="2"/>
            <w:tcBorders>
              <w:bottom w:val="single" w:sz="4" w:space="0" w:color="auto"/>
            </w:tcBorders>
            <w:vAlign w:val="center"/>
          </w:tcPr>
          <w:p w:rsidR="00610370" w:rsidRPr="00B04DC3" w:rsidRDefault="00610370" w:rsidP="00610370">
            <w:pPr>
              <w:keepNext/>
              <w:jc w:val="center"/>
              <w:rPr>
                <w:i/>
                <w:sz w:val="16"/>
                <w:szCs w:val="16"/>
              </w:rPr>
            </w:pPr>
            <w:r w:rsidRPr="00B04DC3">
              <w:rPr>
                <w:i/>
                <w:sz w:val="16"/>
                <w:szCs w:val="16"/>
              </w:rPr>
              <w:t>Limits</w:t>
            </w:r>
          </w:p>
        </w:tc>
        <w:tc>
          <w:tcPr>
            <w:tcW w:w="1417" w:type="dxa"/>
            <w:vMerge w:val="restart"/>
            <w:tcBorders>
              <w:bottom w:val="single" w:sz="12" w:space="0" w:color="auto"/>
            </w:tcBorders>
            <w:vAlign w:val="center"/>
          </w:tcPr>
          <w:p w:rsidR="00610370" w:rsidRPr="00B04DC3" w:rsidRDefault="00610370" w:rsidP="00610370">
            <w:pPr>
              <w:keepNext/>
              <w:jc w:val="center"/>
              <w:rPr>
                <w:i/>
                <w:sz w:val="16"/>
                <w:szCs w:val="16"/>
              </w:rPr>
            </w:pPr>
            <w:r w:rsidRPr="00B04DC3">
              <w:rPr>
                <w:i/>
                <w:sz w:val="16"/>
                <w:szCs w:val="16"/>
              </w:rPr>
              <w:t>Test method</w:t>
            </w:r>
          </w:p>
        </w:tc>
      </w:tr>
      <w:tr w:rsidR="00610370" w:rsidRPr="00B04DC3" w:rsidTr="00610370">
        <w:trPr>
          <w:trHeight w:val="227"/>
        </w:trPr>
        <w:tc>
          <w:tcPr>
            <w:tcW w:w="1985" w:type="dxa"/>
            <w:vMerge/>
            <w:tcBorders>
              <w:bottom w:val="single" w:sz="12" w:space="0" w:color="auto"/>
            </w:tcBorders>
          </w:tcPr>
          <w:p w:rsidR="00610370" w:rsidRPr="00B04DC3" w:rsidRDefault="00610370" w:rsidP="00610370">
            <w:pPr>
              <w:keepNext/>
            </w:pPr>
          </w:p>
        </w:tc>
        <w:tc>
          <w:tcPr>
            <w:tcW w:w="1276" w:type="dxa"/>
            <w:vMerge/>
            <w:tcBorders>
              <w:bottom w:val="single" w:sz="12" w:space="0" w:color="auto"/>
            </w:tcBorders>
            <w:vAlign w:val="center"/>
          </w:tcPr>
          <w:p w:rsidR="00610370" w:rsidRPr="00B04DC3" w:rsidRDefault="00610370" w:rsidP="00610370">
            <w:pPr>
              <w:keepNext/>
              <w:jc w:val="center"/>
            </w:pPr>
          </w:p>
        </w:tc>
        <w:tc>
          <w:tcPr>
            <w:tcW w:w="850" w:type="dxa"/>
            <w:vMerge/>
            <w:tcBorders>
              <w:bottom w:val="single" w:sz="12" w:space="0" w:color="auto"/>
            </w:tcBorders>
            <w:vAlign w:val="center"/>
          </w:tcPr>
          <w:p w:rsidR="00610370" w:rsidRPr="00B04DC3" w:rsidRDefault="00610370" w:rsidP="00610370">
            <w:pPr>
              <w:keepNext/>
              <w:jc w:val="center"/>
            </w:pPr>
          </w:p>
        </w:tc>
        <w:tc>
          <w:tcPr>
            <w:tcW w:w="1276" w:type="dxa"/>
            <w:tcBorders>
              <w:bottom w:val="single" w:sz="12" w:space="0" w:color="auto"/>
            </w:tcBorders>
            <w:vAlign w:val="center"/>
          </w:tcPr>
          <w:p w:rsidR="00610370" w:rsidRPr="00B04DC3" w:rsidRDefault="00610370" w:rsidP="00610370">
            <w:pPr>
              <w:keepNext/>
              <w:jc w:val="center"/>
              <w:rPr>
                <w:i/>
                <w:sz w:val="16"/>
                <w:szCs w:val="16"/>
              </w:rPr>
            </w:pPr>
            <w:r w:rsidRPr="00B04DC3">
              <w:rPr>
                <w:i/>
                <w:sz w:val="16"/>
                <w:szCs w:val="16"/>
              </w:rPr>
              <w:t>Minimum</w:t>
            </w:r>
          </w:p>
        </w:tc>
        <w:tc>
          <w:tcPr>
            <w:tcW w:w="1276" w:type="dxa"/>
            <w:tcBorders>
              <w:bottom w:val="single" w:sz="12" w:space="0" w:color="auto"/>
            </w:tcBorders>
            <w:vAlign w:val="center"/>
          </w:tcPr>
          <w:p w:rsidR="00610370" w:rsidRPr="00B04DC3" w:rsidRDefault="00610370" w:rsidP="00610370">
            <w:pPr>
              <w:keepNext/>
              <w:jc w:val="center"/>
              <w:rPr>
                <w:i/>
                <w:sz w:val="16"/>
                <w:szCs w:val="16"/>
              </w:rPr>
            </w:pPr>
            <w:r w:rsidRPr="00B04DC3">
              <w:rPr>
                <w:i/>
                <w:sz w:val="16"/>
                <w:szCs w:val="16"/>
              </w:rPr>
              <w:t>Maximum</w:t>
            </w:r>
          </w:p>
        </w:tc>
        <w:tc>
          <w:tcPr>
            <w:tcW w:w="1417" w:type="dxa"/>
            <w:vMerge/>
            <w:tcBorders>
              <w:bottom w:val="single" w:sz="12" w:space="0" w:color="auto"/>
            </w:tcBorders>
            <w:vAlign w:val="center"/>
          </w:tcPr>
          <w:p w:rsidR="00610370" w:rsidRPr="00B04DC3" w:rsidRDefault="00610370" w:rsidP="00610370">
            <w:pPr>
              <w:keepNext/>
              <w:jc w:val="center"/>
            </w:pPr>
          </w:p>
        </w:tc>
      </w:tr>
      <w:tr w:rsidR="00610370" w:rsidRPr="00B04DC3" w:rsidTr="00610370">
        <w:tc>
          <w:tcPr>
            <w:tcW w:w="8080" w:type="dxa"/>
            <w:gridSpan w:val="6"/>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Reference fuel G</w:t>
            </w:r>
            <w:r w:rsidRPr="00B04DC3">
              <w:rPr>
                <w:vertAlign w:val="subscript"/>
              </w:rPr>
              <w:t>20</w:t>
            </w:r>
          </w:p>
        </w:tc>
      </w:tr>
      <w:tr w:rsidR="00610370" w:rsidRPr="00B04DC3" w:rsidTr="00610370">
        <w:tc>
          <w:tcPr>
            <w:tcW w:w="1985"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Composition: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850"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417"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r>
      <w:tr w:rsidR="00610370" w:rsidRPr="00B04DC3" w:rsidTr="00610370">
        <w:tc>
          <w:tcPr>
            <w:tcW w:w="1985"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Methane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mole </w:t>
            </w:r>
          </w:p>
        </w:tc>
        <w:tc>
          <w:tcPr>
            <w:tcW w:w="850"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100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99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100 </w:t>
            </w:r>
          </w:p>
        </w:tc>
        <w:tc>
          <w:tcPr>
            <w:tcW w:w="1417"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ISO 6974 </w:t>
            </w:r>
          </w:p>
        </w:tc>
      </w:tr>
      <w:tr w:rsidR="00610370" w:rsidRPr="00B04DC3" w:rsidTr="00610370">
        <w:tc>
          <w:tcPr>
            <w:tcW w:w="1985"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Balance </w:t>
            </w:r>
            <w:r w:rsidRPr="00B04DC3">
              <w:rPr>
                <w:vertAlign w:val="superscript"/>
              </w:rPr>
              <w:t>(1)</w:t>
            </w: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mole </w:t>
            </w:r>
          </w:p>
        </w:tc>
        <w:tc>
          <w:tcPr>
            <w:tcW w:w="850"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1 </w:t>
            </w:r>
          </w:p>
        </w:tc>
        <w:tc>
          <w:tcPr>
            <w:tcW w:w="1417"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ISO 6974 </w:t>
            </w:r>
          </w:p>
        </w:tc>
      </w:tr>
      <w:tr w:rsidR="00610370" w:rsidRPr="00B04DC3" w:rsidTr="00610370">
        <w:tc>
          <w:tcPr>
            <w:tcW w:w="1985"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N</w:t>
            </w:r>
            <w:r w:rsidRPr="00B04DC3">
              <w:rPr>
                <w:vertAlign w:val="subscript"/>
              </w:rPr>
              <w:t>2</w:t>
            </w: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mole </w:t>
            </w:r>
          </w:p>
        </w:tc>
        <w:tc>
          <w:tcPr>
            <w:tcW w:w="850"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p>
        </w:tc>
        <w:tc>
          <w:tcPr>
            <w:tcW w:w="1417"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ISO 6974 </w:t>
            </w:r>
          </w:p>
        </w:tc>
      </w:tr>
      <w:tr w:rsidR="00610370" w:rsidRPr="00B04DC3" w:rsidTr="00610370">
        <w:tc>
          <w:tcPr>
            <w:tcW w:w="1985"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Sulphur content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mg/m</w:t>
            </w:r>
            <w:r w:rsidRPr="00B04DC3">
              <w:rPr>
                <w:vertAlign w:val="superscript"/>
              </w:rPr>
              <w:t>3</w:t>
            </w:r>
            <w:r w:rsidRPr="00B04DC3">
              <w:t xml:space="preserve"> </w:t>
            </w:r>
            <w:r w:rsidRPr="00B04DC3">
              <w:rPr>
                <w:vertAlign w:val="superscript"/>
              </w:rPr>
              <w:t>(2)</w:t>
            </w:r>
            <w:r w:rsidRPr="00B04DC3">
              <w:t xml:space="preserve"> </w:t>
            </w:r>
          </w:p>
        </w:tc>
        <w:tc>
          <w:tcPr>
            <w:tcW w:w="850"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c>
          <w:tcPr>
            <w:tcW w:w="1276"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10 </w:t>
            </w:r>
          </w:p>
        </w:tc>
        <w:tc>
          <w:tcPr>
            <w:tcW w:w="1417" w:type="dxa"/>
            <w:tcBorders>
              <w:top w:val="single" w:sz="2" w:space="0" w:color="auto"/>
              <w:left w:val="single" w:sz="2" w:space="0" w:color="auto"/>
              <w:bottom w:val="single" w:sz="2" w:space="0" w:color="auto"/>
              <w:right w:val="single" w:sz="2" w:space="0" w:color="auto"/>
            </w:tcBorders>
          </w:tcPr>
          <w:p w:rsidR="00610370" w:rsidRPr="00B04DC3" w:rsidRDefault="00610370" w:rsidP="00610370">
            <w:pPr>
              <w:keepNext/>
              <w:keepLines/>
              <w:spacing w:before="40" w:after="40" w:line="240" w:lineRule="auto"/>
            </w:pPr>
            <w:r w:rsidRPr="00B04DC3">
              <w:t xml:space="preserve">ISO 6326-5 </w:t>
            </w:r>
          </w:p>
        </w:tc>
      </w:tr>
      <w:tr w:rsidR="00610370" w:rsidRPr="00B04DC3" w:rsidTr="00610370">
        <w:tc>
          <w:tcPr>
            <w:tcW w:w="1985"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 xml:space="preserve">Wobbe Index (net) </w:t>
            </w:r>
          </w:p>
        </w:tc>
        <w:tc>
          <w:tcPr>
            <w:tcW w:w="1276"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MJ/m</w:t>
            </w:r>
            <w:r w:rsidRPr="00B04DC3">
              <w:rPr>
                <w:vertAlign w:val="superscript"/>
              </w:rPr>
              <w:t>3</w:t>
            </w:r>
            <w:r w:rsidRPr="00B04DC3">
              <w:t xml:space="preserve"> </w:t>
            </w:r>
            <w:r w:rsidRPr="00B04DC3">
              <w:rPr>
                <w:vertAlign w:val="superscript"/>
              </w:rPr>
              <w:t>(3)</w:t>
            </w:r>
            <w:r w:rsidRPr="00B04DC3">
              <w:t xml:space="preserve"> </w:t>
            </w:r>
          </w:p>
        </w:tc>
        <w:tc>
          <w:tcPr>
            <w:tcW w:w="850"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 xml:space="preserve">48.2 </w:t>
            </w:r>
          </w:p>
        </w:tc>
        <w:tc>
          <w:tcPr>
            <w:tcW w:w="1276"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 xml:space="preserve"> 47.2 </w:t>
            </w:r>
          </w:p>
        </w:tc>
        <w:tc>
          <w:tcPr>
            <w:tcW w:w="1276"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 xml:space="preserve">49.2 </w:t>
            </w:r>
          </w:p>
        </w:tc>
        <w:tc>
          <w:tcPr>
            <w:tcW w:w="1417" w:type="dxa"/>
            <w:tcBorders>
              <w:top w:val="single" w:sz="2" w:space="0" w:color="auto"/>
              <w:left w:val="single" w:sz="2" w:space="0" w:color="auto"/>
              <w:bottom w:val="single" w:sz="12" w:space="0" w:color="auto"/>
              <w:right w:val="single" w:sz="2" w:space="0" w:color="auto"/>
            </w:tcBorders>
          </w:tcPr>
          <w:p w:rsidR="00610370" w:rsidRPr="00B04DC3" w:rsidRDefault="00610370" w:rsidP="00610370">
            <w:pPr>
              <w:keepNext/>
              <w:keepLines/>
              <w:spacing w:before="40" w:after="40" w:line="240" w:lineRule="auto"/>
            </w:pPr>
            <w:r w:rsidRPr="00B04DC3">
              <w:t xml:space="preserve"> </w:t>
            </w:r>
          </w:p>
        </w:tc>
      </w:tr>
      <w:tr w:rsidR="00610370" w:rsidRPr="00B04DC3" w:rsidTr="00610370">
        <w:tc>
          <w:tcPr>
            <w:tcW w:w="8080" w:type="dxa"/>
            <w:gridSpan w:val="6"/>
            <w:tcBorders>
              <w:top w:val="single" w:sz="12" w:space="0" w:color="auto"/>
              <w:left w:val="nil"/>
              <w:bottom w:val="nil"/>
              <w:right w:val="nil"/>
            </w:tcBorders>
          </w:tcPr>
          <w:p w:rsidR="00610370" w:rsidRPr="00B04DC3" w:rsidRDefault="00610370" w:rsidP="00CD250E">
            <w:pPr>
              <w:keepNext/>
              <w:keepLines/>
              <w:suppressAutoHyphens w:val="0"/>
              <w:spacing w:line="180" w:lineRule="exact"/>
              <w:ind w:left="567" w:hanging="567"/>
              <w:jc w:val="both"/>
              <w:rPr>
                <w:sz w:val="18"/>
                <w:szCs w:val="18"/>
              </w:rPr>
            </w:pPr>
            <w:r w:rsidRPr="00B04DC3">
              <w:rPr>
                <w:sz w:val="18"/>
                <w:szCs w:val="18"/>
                <w:vertAlign w:val="superscript"/>
              </w:rPr>
              <w:t>(1)</w:t>
            </w:r>
            <w:r w:rsidRPr="00B04DC3">
              <w:rPr>
                <w:sz w:val="18"/>
                <w:szCs w:val="18"/>
              </w:rPr>
              <w:t xml:space="preserve"> Inerts (different from N</w:t>
            </w:r>
            <w:r w:rsidRPr="00B04DC3">
              <w:rPr>
                <w:sz w:val="18"/>
                <w:szCs w:val="18"/>
                <w:vertAlign w:val="subscript"/>
              </w:rPr>
              <w:t>2</w:t>
            </w:r>
            <w:r w:rsidRPr="00B04DC3">
              <w:rPr>
                <w:sz w:val="18"/>
                <w:szCs w:val="18"/>
              </w:rPr>
              <w:t>) + C</w:t>
            </w:r>
            <w:r w:rsidRPr="00B04DC3">
              <w:rPr>
                <w:sz w:val="18"/>
                <w:szCs w:val="18"/>
                <w:vertAlign w:val="subscript"/>
              </w:rPr>
              <w:t>2</w:t>
            </w:r>
            <w:r w:rsidRPr="00B04DC3">
              <w:rPr>
                <w:sz w:val="18"/>
                <w:szCs w:val="18"/>
              </w:rPr>
              <w:t xml:space="preserve"> + C</w:t>
            </w:r>
            <w:r w:rsidRPr="00B04DC3">
              <w:rPr>
                <w:sz w:val="18"/>
                <w:szCs w:val="18"/>
                <w:vertAlign w:val="subscript"/>
              </w:rPr>
              <w:t>2</w:t>
            </w:r>
            <w:r w:rsidRPr="00B04DC3">
              <w:rPr>
                <w:sz w:val="18"/>
                <w:szCs w:val="18"/>
              </w:rPr>
              <w:t>+.</w:t>
            </w:r>
          </w:p>
          <w:p w:rsidR="00610370" w:rsidRPr="00B04DC3" w:rsidRDefault="00610370" w:rsidP="00CD250E">
            <w:pPr>
              <w:keepNext/>
              <w:keepLines/>
              <w:suppressAutoHyphens w:val="0"/>
              <w:spacing w:line="180" w:lineRule="exact"/>
              <w:ind w:left="567" w:hanging="567"/>
              <w:jc w:val="both"/>
              <w:rPr>
                <w:sz w:val="18"/>
                <w:szCs w:val="18"/>
              </w:rPr>
            </w:pPr>
            <w:r w:rsidRPr="00B04DC3">
              <w:rPr>
                <w:sz w:val="18"/>
                <w:szCs w:val="18"/>
                <w:vertAlign w:val="superscript"/>
              </w:rPr>
              <w:t>(2)</w:t>
            </w:r>
            <w:r w:rsidRPr="00B04DC3">
              <w:rPr>
                <w:sz w:val="18"/>
                <w:szCs w:val="18"/>
              </w:rPr>
              <w:t xml:space="preserve"> Value to be determined at 293,2 K (20 °C) and 101,3 kPa.</w:t>
            </w:r>
          </w:p>
          <w:p w:rsidR="00610370" w:rsidRPr="00B04DC3" w:rsidRDefault="00610370" w:rsidP="00CD250E">
            <w:pPr>
              <w:keepNext/>
              <w:keepLines/>
              <w:suppressAutoHyphens w:val="0"/>
              <w:spacing w:line="180" w:lineRule="exact"/>
              <w:ind w:left="567" w:hanging="567"/>
              <w:jc w:val="both"/>
              <w:rPr>
                <w:sz w:val="18"/>
                <w:szCs w:val="18"/>
              </w:rPr>
            </w:pPr>
            <w:r w:rsidRPr="00B04DC3">
              <w:rPr>
                <w:sz w:val="18"/>
                <w:szCs w:val="18"/>
                <w:vertAlign w:val="superscript"/>
              </w:rPr>
              <w:t>(3)</w:t>
            </w:r>
            <w:r w:rsidRPr="00B04DC3">
              <w:rPr>
                <w:sz w:val="18"/>
                <w:szCs w:val="18"/>
              </w:rPr>
              <w:t xml:space="preserve"> Value to be determined at 273,2 K (0 °C) and 101,3 kPa.</w:t>
            </w:r>
          </w:p>
        </w:tc>
      </w:tr>
    </w:tbl>
    <w:p w:rsidR="00610370" w:rsidRPr="00B04DC3" w:rsidRDefault="00610370" w:rsidP="00610370">
      <w:pPr>
        <w:tabs>
          <w:tab w:val="left" w:pos="6198"/>
        </w:tabs>
        <w:ind w:right="1134"/>
        <w:jc w:val="both"/>
      </w:pPr>
    </w:p>
    <w:tbl>
      <w:tblPr>
        <w:tblW w:w="0" w:type="auto"/>
        <w:tblInd w:w="1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
        <w:gridCol w:w="1996"/>
        <w:gridCol w:w="1264"/>
        <w:gridCol w:w="850"/>
        <w:gridCol w:w="1276"/>
        <w:gridCol w:w="1276"/>
        <w:gridCol w:w="1417"/>
      </w:tblGrid>
      <w:tr w:rsidR="00610370" w:rsidRPr="00B04DC3" w:rsidTr="00683D19">
        <w:trPr>
          <w:gridBefore w:val="1"/>
          <w:wBefore w:w="34" w:type="dxa"/>
          <w:cantSplit/>
        </w:trPr>
        <w:tc>
          <w:tcPr>
            <w:tcW w:w="8079" w:type="dxa"/>
            <w:gridSpan w:val="6"/>
            <w:tcBorders>
              <w:top w:val="single" w:sz="4" w:space="0" w:color="auto"/>
              <w:left w:val="single" w:sz="4" w:space="0" w:color="auto"/>
              <w:bottom w:val="single" w:sz="4" w:space="0" w:color="auto"/>
              <w:right w:val="single" w:sz="4" w:space="0" w:color="auto"/>
            </w:tcBorders>
          </w:tcPr>
          <w:p w:rsidR="00610370" w:rsidRPr="00B04DC3" w:rsidRDefault="00610370" w:rsidP="00CD250E">
            <w:pPr>
              <w:spacing w:before="80" w:after="80" w:line="200" w:lineRule="atLeast"/>
              <w:rPr>
                <w:i/>
                <w:sz w:val="16"/>
                <w:szCs w:val="16"/>
              </w:rPr>
            </w:pPr>
            <w:r w:rsidRPr="00B04DC3">
              <w:rPr>
                <w:i/>
                <w:sz w:val="16"/>
                <w:szCs w:val="16"/>
              </w:rPr>
              <w:t>Reference fuel G</w:t>
            </w:r>
            <w:r w:rsidRPr="00B04DC3">
              <w:rPr>
                <w:i/>
                <w:sz w:val="16"/>
                <w:szCs w:val="16"/>
                <w:vertAlign w:val="subscript"/>
              </w:rPr>
              <w:t>23</w:t>
            </w:r>
          </w:p>
        </w:tc>
      </w:tr>
      <w:tr w:rsidR="00610370" w:rsidRPr="00B04DC3" w:rsidTr="00683D19">
        <w:trPr>
          <w:gridBefore w:val="1"/>
          <w:wBefore w:w="34" w:type="dxa"/>
          <w:cantSplit/>
        </w:trPr>
        <w:tc>
          <w:tcPr>
            <w:tcW w:w="1996"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rPr>
                <w:i/>
                <w:sz w:val="16"/>
                <w:szCs w:val="16"/>
              </w:rPr>
            </w:pPr>
            <w:r w:rsidRPr="00B04DC3">
              <w:rPr>
                <w:i/>
                <w:sz w:val="16"/>
                <w:szCs w:val="16"/>
              </w:rPr>
              <w:t>Characteristics</w:t>
            </w:r>
          </w:p>
        </w:tc>
        <w:tc>
          <w:tcPr>
            <w:tcW w:w="1264"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Units</w:t>
            </w:r>
          </w:p>
        </w:tc>
        <w:tc>
          <w:tcPr>
            <w:tcW w:w="850"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Basis</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Limits</w:t>
            </w:r>
          </w:p>
        </w:tc>
        <w:tc>
          <w:tcPr>
            <w:tcW w:w="1417" w:type="dxa"/>
            <w:vMerge w:val="restart"/>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Test method</w:t>
            </w:r>
          </w:p>
        </w:tc>
      </w:tr>
      <w:tr w:rsidR="00610370" w:rsidRPr="00B04DC3" w:rsidTr="00683D19">
        <w:trPr>
          <w:gridBefore w:val="1"/>
          <w:wBefore w:w="34" w:type="dxa"/>
          <w:cantSplit/>
        </w:trPr>
        <w:tc>
          <w:tcPr>
            <w:tcW w:w="1996"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1264"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850"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c>
          <w:tcPr>
            <w:tcW w:w="1276" w:type="dxa"/>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Minimum</w:t>
            </w:r>
          </w:p>
        </w:tc>
        <w:tc>
          <w:tcPr>
            <w:tcW w:w="1276" w:type="dxa"/>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Maximum</w:t>
            </w:r>
          </w:p>
        </w:tc>
        <w:tc>
          <w:tcPr>
            <w:tcW w:w="1417" w:type="dxa"/>
            <w:vMerge/>
            <w:tcBorders>
              <w:top w:val="single" w:sz="4" w:space="0" w:color="auto"/>
              <w:left w:val="single" w:sz="4" w:space="0" w:color="auto"/>
              <w:bottom w:val="single" w:sz="12" w:space="0" w:color="auto"/>
              <w:right w:val="single" w:sz="4" w:space="0" w:color="auto"/>
            </w:tcBorders>
            <w:vAlign w:val="center"/>
          </w:tcPr>
          <w:p w:rsidR="00610370" w:rsidRPr="00B04DC3" w:rsidRDefault="00610370" w:rsidP="00CD250E">
            <w:pPr>
              <w:spacing w:line="240" w:lineRule="auto"/>
              <w:jc w:val="center"/>
              <w:rPr>
                <w:i/>
                <w:sz w:val="16"/>
                <w:szCs w:val="16"/>
              </w:rPr>
            </w:pPr>
          </w:p>
        </w:tc>
      </w:tr>
      <w:tr w:rsidR="00610370" w:rsidRPr="00B04DC3" w:rsidTr="00683D19">
        <w:trPr>
          <w:gridBefore w:val="1"/>
          <w:wBefore w:w="34" w:type="dxa"/>
          <w:cantSplit/>
        </w:trPr>
        <w:tc>
          <w:tcPr>
            <w:tcW w:w="199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pPr>
            <w:r w:rsidRPr="00B04DC3">
              <w:t>Composition:</w:t>
            </w:r>
          </w:p>
        </w:tc>
        <w:tc>
          <w:tcPr>
            <w:tcW w:w="1264"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850"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c>
          <w:tcPr>
            <w:tcW w:w="1417" w:type="dxa"/>
            <w:tcBorders>
              <w:top w:val="single" w:sz="12" w:space="0" w:color="auto"/>
              <w:left w:val="single" w:sz="4" w:space="0" w:color="auto"/>
              <w:bottom w:val="single" w:sz="2" w:space="0" w:color="auto"/>
              <w:right w:val="single" w:sz="4" w:space="0" w:color="auto"/>
            </w:tcBorders>
            <w:vAlign w:val="center"/>
          </w:tcPr>
          <w:p w:rsidR="00610370" w:rsidRPr="00B04DC3" w:rsidRDefault="00610370" w:rsidP="00CD250E">
            <w:pPr>
              <w:spacing w:before="40" w:after="40" w:line="240" w:lineRule="auto"/>
              <w:jc w:val="center"/>
            </w:pPr>
          </w:p>
        </w:tc>
      </w:tr>
      <w:tr w:rsidR="00610370" w:rsidRPr="00B04DC3" w:rsidTr="00683D19">
        <w:trPr>
          <w:gridBefore w:val="1"/>
          <w:wBefore w:w="34" w:type="dxa"/>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Methane</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 mole</w:t>
            </w: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92.5</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91.5</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93.5</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p>
        </w:tc>
      </w:tr>
      <w:tr w:rsidR="00610370" w:rsidRPr="00B04DC3" w:rsidTr="00683D19">
        <w:trPr>
          <w:gridBefore w:val="1"/>
          <w:wBefore w:w="34" w:type="dxa"/>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Balance</w:t>
            </w:r>
            <w:r w:rsidRPr="00B04DC3">
              <w:rPr>
                <w:i/>
                <w:vertAlign w:val="superscript"/>
              </w:rPr>
              <w:t>a</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 mole</w:t>
            </w: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1</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ISO 6974</w:t>
            </w:r>
          </w:p>
        </w:tc>
      </w:tr>
      <w:tr w:rsidR="00610370" w:rsidRPr="00B04DC3" w:rsidTr="00683D19">
        <w:trPr>
          <w:gridBefore w:val="1"/>
          <w:wBefore w:w="34" w:type="dxa"/>
          <w:cantSplit/>
        </w:trPr>
        <w:tc>
          <w:tcPr>
            <w:tcW w:w="199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pPr>
            <w:r w:rsidRPr="00B04DC3">
              <w:t>N</w:t>
            </w:r>
            <w:r w:rsidRPr="00B04DC3">
              <w:rPr>
                <w:position w:val="-6"/>
                <w:vertAlign w:val="subscript"/>
              </w:rPr>
              <w:t>2</w:t>
            </w:r>
          </w:p>
        </w:tc>
        <w:tc>
          <w:tcPr>
            <w:tcW w:w="1264"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p>
        </w:tc>
        <w:tc>
          <w:tcPr>
            <w:tcW w:w="850"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7.5</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6.5</w:t>
            </w:r>
          </w:p>
        </w:tc>
        <w:tc>
          <w:tcPr>
            <w:tcW w:w="1276"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r w:rsidRPr="00B04DC3">
              <w:t>8.5</w:t>
            </w:r>
          </w:p>
        </w:tc>
        <w:tc>
          <w:tcPr>
            <w:tcW w:w="1417" w:type="dxa"/>
            <w:tcBorders>
              <w:top w:val="single" w:sz="2" w:space="0" w:color="auto"/>
              <w:left w:val="single" w:sz="2" w:space="0" w:color="auto"/>
              <w:bottom w:val="single" w:sz="2" w:space="0" w:color="auto"/>
              <w:right w:val="single" w:sz="2" w:space="0" w:color="auto"/>
            </w:tcBorders>
            <w:vAlign w:val="center"/>
          </w:tcPr>
          <w:p w:rsidR="00610370" w:rsidRPr="00B04DC3" w:rsidRDefault="00610370" w:rsidP="00CD250E">
            <w:pPr>
              <w:spacing w:before="40" w:after="40" w:line="240" w:lineRule="auto"/>
              <w:jc w:val="center"/>
            </w:pPr>
          </w:p>
        </w:tc>
      </w:tr>
      <w:tr w:rsidR="00610370" w:rsidRPr="00B04DC3" w:rsidTr="00683D19">
        <w:trPr>
          <w:gridBefore w:val="1"/>
          <w:wBefore w:w="34" w:type="dxa"/>
          <w:cantSplit/>
        </w:trPr>
        <w:tc>
          <w:tcPr>
            <w:tcW w:w="1996"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pPr>
            <w:r w:rsidRPr="00B04DC3">
              <w:t>Sulphur content</w:t>
            </w:r>
          </w:p>
        </w:tc>
        <w:tc>
          <w:tcPr>
            <w:tcW w:w="1264"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jc w:val="center"/>
            </w:pPr>
            <w:r w:rsidRPr="00B04DC3">
              <w:t>mg/m</w:t>
            </w:r>
            <w:r w:rsidRPr="00B04DC3">
              <w:rPr>
                <w:vertAlign w:val="superscript"/>
              </w:rPr>
              <w:t>3</w:t>
            </w:r>
            <w:r w:rsidRPr="00B04DC3">
              <w:rPr>
                <w:i/>
                <w:vertAlign w:val="superscript"/>
              </w:rPr>
              <w:t>b</w:t>
            </w:r>
          </w:p>
        </w:tc>
        <w:tc>
          <w:tcPr>
            <w:tcW w:w="850"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jc w:val="center"/>
            </w:pPr>
            <w:r w:rsidRPr="00B04DC3">
              <w:t>10</w:t>
            </w:r>
          </w:p>
        </w:tc>
        <w:tc>
          <w:tcPr>
            <w:tcW w:w="1417" w:type="dxa"/>
            <w:tcBorders>
              <w:top w:val="single" w:sz="2" w:space="0" w:color="auto"/>
              <w:left w:val="single" w:sz="2" w:space="0" w:color="auto"/>
              <w:bottom w:val="single" w:sz="12" w:space="0" w:color="auto"/>
              <w:right w:val="single" w:sz="2" w:space="0" w:color="auto"/>
            </w:tcBorders>
            <w:vAlign w:val="center"/>
          </w:tcPr>
          <w:p w:rsidR="00610370" w:rsidRPr="00B04DC3" w:rsidRDefault="00610370" w:rsidP="00CD250E">
            <w:pPr>
              <w:spacing w:before="40" w:after="40" w:line="240" w:lineRule="auto"/>
              <w:jc w:val="center"/>
            </w:pPr>
            <w:r w:rsidRPr="00B04DC3">
              <w:t>ISO 6326-5</w:t>
            </w:r>
          </w:p>
        </w:tc>
      </w:tr>
      <w:tr w:rsidR="00610370" w:rsidRPr="00B04DC3" w:rsidTr="00683D19">
        <w:trPr>
          <w:gridBefore w:val="1"/>
          <w:wBefore w:w="34" w:type="dxa"/>
          <w:cantSplit/>
        </w:trPr>
        <w:tc>
          <w:tcPr>
            <w:tcW w:w="8079" w:type="dxa"/>
            <w:gridSpan w:val="6"/>
            <w:tcBorders>
              <w:top w:val="single" w:sz="12" w:space="0" w:color="auto"/>
              <w:left w:val="nil"/>
              <w:bottom w:val="nil"/>
              <w:right w:val="nil"/>
            </w:tcBorders>
            <w:vAlign w:val="center"/>
          </w:tcPr>
          <w:p w:rsidR="00610370" w:rsidRPr="00B04DC3" w:rsidRDefault="00610370" w:rsidP="00CD250E">
            <w:pPr>
              <w:tabs>
                <w:tab w:val="left" w:pos="567"/>
              </w:tabs>
              <w:suppressAutoHyphens w:val="0"/>
              <w:spacing w:line="240" w:lineRule="auto"/>
              <w:ind w:left="567" w:hanging="567"/>
              <w:jc w:val="both"/>
              <w:rPr>
                <w:sz w:val="18"/>
                <w:szCs w:val="18"/>
                <w:lang w:eastAsia="en-GB"/>
              </w:rPr>
            </w:pPr>
            <w:r w:rsidRPr="00B04DC3">
              <w:rPr>
                <w:i/>
                <w:sz w:val="18"/>
                <w:szCs w:val="18"/>
                <w:vertAlign w:val="superscript"/>
                <w:lang w:eastAsia="en-GB"/>
              </w:rPr>
              <w:t xml:space="preserve">a </w:t>
            </w:r>
            <w:r w:rsidRPr="00B04DC3">
              <w:rPr>
                <w:i/>
                <w:sz w:val="16"/>
                <w:szCs w:val="16"/>
                <w:vertAlign w:val="superscript"/>
                <w:lang w:eastAsia="en-GB"/>
              </w:rPr>
              <w:t xml:space="preserve"> </w:t>
            </w:r>
            <w:r w:rsidRPr="00B04DC3">
              <w:rPr>
                <w:sz w:val="18"/>
                <w:szCs w:val="18"/>
                <w:lang w:eastAsia="en-GB"/>
              </w:rPr>
              <w:t>Inerts (different from N</w:t>
            </w:r>
            <w:r w:rsidRPr="00B04DC3">
              <w:rPr>
                <w:sz w:val="18"/>
                <w:szCs w:val="18"/>
                <w:vertAlign w:val="subscript"/>
                <w:lang w:eastAsia="en-GB"/>
              </w:rPr>
              <w:t>2</w:t>
            </w:r>
            <w:r w:rsidRPr="00B04DC3">
              <w:rPr>
                <w:sz w:val="18"/>
                <w:szCs w:val="18"/>
                <w:lang w:eastAsia="en-GB"/>
              </w:rPr>
              <w:t>) +C</w:t>
            </w:r>
            <w:r w:rsidRPr="00B04DC3">
              <w:rPr>
                <w:sz w:val="18"/>
                <w:szCs w:val="18"/>
                <w:vertAlign w:val="subscript"/>
                <w:lang w:eastAsia="en-GB"/>
              </w:rPr>
              <w:t>2+</w:t>
            </w:r>
            <w:r w:rsidRPr="00B04DC3">
              <w:rPr>
                <w:sz w:val="18"/>
                <w:szCs w:val="18"/>
                <w:lang w:eastAsia="en-GB"/>
              </w:rPr>
              <w:t xml:space="preserve"> /C</w:t>
            </w:r>
            <w:r w:rsidRPr="00B04DC3">
              <w:rPr>
                <w:sz w:val="18"/>
                <w:szCs w:val="18"/>
                <w:vertAlign w:val="subscript"/>
                <w:lang w:eastAsia="en-GB"/>
              </w:rPr>
              <w:t>2+</w:t>
            </w:r>
          </w:p>
          <w:p w:rsidR="00610370" w:rsidRDefault="00610370" w:rsidP="00CD250E">
            <w:pPr>
              <w:tabs>
                <w:tab w:val="left" w:pos="567"/>
              </w:tabs>
              <w:suppressAutoHyphens w:val="0"/>
              <w:spacing w:line="240" w:lineRule="auto"/>
              <w:ind w:left="567" w:hanging="567"/>
              <w:jc w:val="both"/>
              <w:rPr>
                <w:sz w:val="18"/>
                <w:szCs w:val="18"/>
                <w:lang w:eastAsia="en-GB"/>
              </w:rPr>
            </w:pPr>
            <w:r w:rsidRPr="00B04DC3">
              <w:rPr>
                <w:i/>
                <w:sz w:val="18"/>
                <w:szCs w:val="18"/>
                <w:vertAlign w:val="superscript"/>
                <w:lang w:eastAsia="en-GB"/>
              </w:rPr>
              <w:t xml:space="preserve">b </w:t>
            </w:r>
            <w:r w:rsidRPr="00B04DC3">
              <w:rPr>
                <w:i/>
                <w:sz w:val="16"/>
                <w:szCs w:val="16"/>
                <w:vertAlign w:val="superscript"/>
                <w:lang w:eastAsia="en-GB"/>
              </w:rPr>
              <w:t xml:space="preserve"> </w:t>
            </w:r>
            <w:r w:rsidRPr="00B04DC3">
              <w:rPr>
                <w:sz w:val="18"/>
                <w:szCs w:val="18"/>
                <w:lang w:eastAsia="en-GB"/>
              </w:rPr>
              <w:t>Value to be determined at standard conditions (293.2 K (20 °C) and 101.3 kPa).</w:t>
            </w:r>
          </w:p>
          <w:p w:rsidR="00CD250E" w:rsidRPr="00B04DC3" w:rsidRDefault="00CD250E" w:rsidP="00CD250E">
            <w:pPr>
              <w:tabs>
                <w:tab w:val="left" w:pos="567"/>
              </w:tabs>
              <w:suppressAutoHyphens w:val="0"/>
              <w:spacing w:line="240" w:lineRule="auto"/>
              <w:ind w:left="567" w:hanging="567"/>
              <w:jc w:val="both"/>
              <w:rPr>
                <w:sz w:val="24"/>
                <w:lang w:eastAsia="en-GB"/>
              </w:rPr>
            </w:pP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113" w:type="dxa"/>
            <w:gridSpan w:val="7"/>
            <w:tcBorders>
              <w:bottom w:val="single" w:sz="2" w:space="0" w:color="auto"/>
            </w:tcBorders>
          </w:tcPr>
          <w:p w:rsidR="00610370" w:rsidRPr="00B04DC3" w:rsidRDefault="00610370" w:rsidP="00CD250E">
            <w:pPr>
              <w:spacing w:before="80" w:after="80" w:line="200" w:lineRule="atLeast"/>
              <w:rPr>
                <w:i/>
                <w:sz w:val="16"/>
                <w:szCs w:val="16"/>
              </w:rPr>
            </w:pPr>
            <w:r w:rsidRPr="00B04DC3">
              <w:br w:type="page"/>
            </w:r>
            <w:r w:rsidRPr="00B04DC3">
              <w:rPr>
                <w:i/>
                <w:sz w:val="16"/>
                <w:szCs w:val="16"/>
              </w:rPr>
              <w:t>Reference fuel G</w:t>
            </w:r>
            <w:r w:rsidRPr="00B04DC3">
              <w:rPr>
                <w:i/>
                <w:sz w:val="16"/>
                <w:szCs w:val="16"/>
                <w:vertAlign w:val="subscript"/>
              </w:rPr>
              <w:t>25</w:t>
            </w: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vMerge w:val="restart"/>
            <w:tcBorders>
              <w:bottom w:val="single" w:sz="12" w:space="0" w:color="auto"/>
            </w:tcBorders>
            <w:vAlign w:val="center"/>
          </w:tcPr>
          <w:p w:rsidR="00610370" w:rsidRPr="00B04DC3" w:rsidRDefault="00610370" w:rsidP="00CD250E">
            <w:pPr>
              <w:suppressAutoHyphens w:val="0"/>
              <w:spacing w:line="240" w:lineRule="auto"/>
              <w:rPr>
                <w:i/>
                <w:sz w:val="16"/>
                <w:szCs w:val="16"/>
              </w:rPr>
            </w:pPr>
            <w:r w:rsidRPr="00B04DC3">
              <w:rPr>
                <w:i/>
                <w:sz w:val="16"/>
                <w:szCs w:val="16"/>
              </w:rPr>
              <w:t>Characteristics</w:t>
            </w:r>
          </w:p>
        </w:tc>
        <w:tc>
          <w:tcPr>
            <w:tcW w:w="1264" w:type="dxa"/>
            <w:vMerge w:val="restart"/>
            <w:tcBorders>
              <w:bottom w:val="single" w:sz="1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Units</w:t>
            </w:r>
          </w:p>
        </w:tc>
        <w:tc>
          <w:tcPr>
            <w:tcW w:w="850" w:type="dxa"/>
            <w:vMerge w:val="restart"/>
            <w:tcBorders>
              <w:bottom w:val="single" w:sz="1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Basis</w:t>
            </w:r>
          </w:p>
        </w:tc>
        <w:tc>
          <w:tcPr>
            <w:tcW w:w="2552" w:type="dxa"/>
            <w:gridSpan w:val="2"/>
            <w:tcBorders>
              <w:bottom w:val="single" w:sz="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Limits</w:t>
            </w:r>
          </w:p>
        </w:tc>
        <w:tc>
          <w:tcPr>
            <w:tcW w:w="1417" w:type="dxa"/>
            <w:vMerge w:val="restart"/>
            <w:tcBorders>
              <w:bottom w:val="single" w:sz="1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Test method</w:t>
            </w: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vMerge/>
            <w:tcBorders>
              <w:bottom w:val="single" w:sz="12" w:space="0" w:color="auto"/>
            </w:tcBorders>
            <w:vAlign w:val="center"/>
          </w:tcPr>
          <w:p w:rsidR="00610370" w:rsidRPr="00B04DC3" w:rsidRDefault="00610370" w:rsidP="00CD250E">
            <w:pPr>
              <w:spacing w:line="240" w:lineRule="auto"/>
              <w:jc w:val="center"/>
            </w:pPr>
          </w:p>
        </w:tc>
        <w:tc>
          <w:tcPr>
            <w:tcW w:w="1264" w:type="dxa"/>
            <w:vMerge/>
            <w:tcBorders>
              <w:bottom w:val="single" w:sz="12" w:space="0" w:color="auto"/>
            </w:tcBorders>
            <w:vAlign w:val="center"/>
          </w:tcPr>
          <w:p w:rsidR="00610370" w:rsidRPr="00B04DC3" w:rsidRDefault="00610370" w:rsidP="00CD250E">
            <w:pPr>
              <w:spacing w:line="240" w:lineRule="auto"/>
              <w:jc w:val="center"/>
            </w:pPr>
          </w:p>
        </w:tc>
        <w:tc>
          <w:tcPr>
            <w:tcW w:w="850" w:type="dxa"/>
            <w:vMerge/>
            <w:tcBorders>
              <w:bottom w:val="single" w:sz="12" w:space="0" w:color="auto"/>
            </w:tcBorders>
            <w:vAlign w:val="center"/>
          </w:tcPr>
          <w:p w:rsidR="00610370" w:rsidRPr="00B04DC3" w:rsidRDefault="00610370" w:rsidP="00CD250E">
            <w:pPr>
              <w:spacing w:line="240" w:lineRule="auto"/>
              <w:jc w:val="center"/>
            </w:pPr>
          </w:p>
        </w:tc>
        <w:tc>
          <w:tcPr>
            <w:tcW w:w="1276" w:type="dxa"/>
            <w:tcBorders>
              <w:bottom w:val="single" w:sz="1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Minimum</w:t>
            </w:r>
          </w:p>
        </w:tc>
        <w:tc>
          <w:tcPr>
            <w:tcW w:w="1276" w:type="dxa"/>
            <w:tcBorders>
              <w:bottom w:val="single" w:sz="12" w:space="0" w:color="auto"/>
            </w:tcBorders>
            <w:vAlign w:val="center"/>
          </w:tcPr>
          <w:p w:rsidR="00610370" w:rsidRPr="00B04DC3" w:rsidRDefault="00610370" w:rsidP="00CD250E">
            <w:pPr>
              <w:spacing w:line="240" w:lineRule="auto"/>
              <w:jc w:val="center"/>
              <w:rPr>
                <w:i/>
                <w:sz w:val="16"/>
                <w:szCs w:val="16"/>
              </w:rPr>
            </w:pPr>
            <w:r w:rsidRPr="00B04DC3">
              <w:rPr>
                <w:i/>
                <w:sz w:val="16"/>
                <w:szCs w:val="16"/>
              </w:rPr>
              <w:t>Maximum</w:t>
            </w:r>
          </w:p>
        </w:tc>
        <w:tc>
          <w:tcPr>
            <w:tcW w:w="1417" w:type="dxa"/>
            <w:vMerge/>
            <w:tcBorders>
              <w:bottom w:val="single" w:sz="12" w:space="0" w:color="auto"/>
            </w:tcBorders>
            <w:vAlign w:val="center"/>
          </w:tcPr>
          <w:p w:rsidR="00610370" w:rsidRPr="00B04DC3" w:rsidRDefault="00610370" w:rsidP="00CD250E">
            <w:pPr>
              <w:spacing w:line="240" w:lineRule="auto"/>
              <w:jc w:val="center"/>
            </w:pP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tcBorders>
              <w:top w:val="single" w:sz="12" w:space="0" w:color="auto"/>
            </w:tcBorders>
            <w:vAlign w:val="center"/>
          </w:tcPr>
          <w:p w:rsidR="00610370" w:rsidRPr="00B04DC3" w:rsidRDefault="00610370" w:rsidP="00CD250E">
            <w:pPr>
              <w:spacing w:before="40" w:after="40" w:line="240" w:lineRule="auto"/>
            </w:pPr>
            <w:r w:rsidRPr="00B04DC3">
              <w:t>Composition:</w:t>
            </w:r>
          </w:p>
        </w:tc>
        <w:tc>
          <w:tcPr>
            <w:tcW w:w="1264" w:type="dxa"/>
            <w:tcBorders>
              <w:top w:val="single" w:sz="12" w:space="0" w:color="auto"/>
            </w:tcBorders>
            <w:vAlign w:val="center"/>
          </w:tcPr>
          <w:p w:rsidR="00610370" w:rsidRPr="00B04DC3" w:rsidRDefault="00610370" w:rsidP="00CD250E">
            <w:pPr>
              <w:spacing w:before="40" w:after="40" w:line="240" w:lineRule="auto"/>
              <w:jc w:val="center"/>
            </w:pPr>
          </w:p>
        </w:tc>
        <w:tc>
          <w:tcPr>
            <w:tcW w:w="850" w:type="dxa"/>
            <w:tcBorders>
              <w:top w:val="single" w:sz="12"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tcBorders>
            <w:vAlign w:val="center"/>
          </w:tcPr>
          <w:p w:rsidR="00610370" w:rsidRPr="00B04DC3" w:rsidRDefault="00610370" w:rsidP="00CD250E">
            <w:pPr>
              <w:spacing w:before="40" w:after="40" w:line="240" w:lineRule="auto"/>
              <w:jc w:val="center"/>
            </w:pPr>
          </w:p>
        </w:tc>
        <w:tc>
          <w:tcPr>
            <w:tcW w:w="1276" w:type="dxa"/>
            <w:tcBorders>
              <w:top w:val="single" w:sz="12" w:space="0" w:color="auto"/>
            </w:tcBorders>
            <w:vAlign w:val="center"/>
          </w:tcPr>
          <w:p w:rsidR="00610370" w:rsidRPr="00B04DC3" w:rsidRDefault="00610370" w:rsidP="00CD250E">
            <w:pPr>
              <w:spacing w:before="40" w:after="40" w:line="240" w:lineRule="auto"/>
              <w:jc w:val="center"/>
            </w:pPr>
          </w:p>
        </w:tc>
        <w:tc>
          <w:tcPr>
            <w:tcW w:w="1417" w:type="dxa"/>
            <w:tcBorders>
              <w:top w:val="single" w:sz="12" w:space="0" w:color="auto"/>
            </w:tcBorders>
            <w:vAlign w:val="center"/>
          </w:tcPr>
          <w:p w:rsidR="00610370" w:rsidRPr="00B04DC3" w:rsidRDefault="00610370" w:rsidP="00CD250E">
            <w:pPr>
              <w:spacing w:before="40" w:after="40" w:line="240" w:lineRule="auto"/>
              <w:jc w:val="center"/>
            </w:pP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vAlign w:val="center"/>
          </w:tcPr>
          <w:p w:rsidR="00610370" w:rsidRPr="00B04DC3" w:rsidRDefault="00610370" w:rsidP="00CD250E">
            <w:pPr>
              <w:spacing w:before="40" w:after="40" w:line="240" w:lineRule="auto"/>
            </w:pPr>
            <w:r w:rsidRPr="00B04DC3">
              <w:t>Methane</w:t>
            </w:r>
          </w:p>
        </w:tc>
        <w:tc>
          <w:tcPr>
            <w:tcW w:w="1264" w:type="dxa"/>
            <w:vAlign w:val="center"/>
          </w:tcPr>
          <w:p w:rsidR="00610370" w:rsidRPr="00B04DC3" w:rsidRDefault="00610370" w:rsidP="00CD250E">
            <w:pPr>
              <w:spacing w:before="40" w:after="40" w:line="240" w:lineRule="auto"/>
              <w:jc w:val="center"/>
            </w:pPr>
            <w:r w:rsidRPr="00B04DC3">
              <w:t>% mole</w:t>
            </w:r>
          </w:p>
        </w:tc>
        <w:tc>
          <w:tcPr>
            <w:tcW w:w="850" w:type="dxa"/>
            <w:vAlign w:val="center"/>
          </w:tcPr>
          <w:p w:rsidR="00610370" w:rsidRPr="00B04DC3" w:rsidRDefault="00610370" w:rsidP="00CD250E">
            <w:pPr>
              <w:spacing w:before="40" w:after="40" w:line="240" w:lineRule="auto"/>
              <w:jc w:val="center"/>
            </w:pPr>
            <w:r w:rsidRPr="00B04DC3">
              <w:t>86</w:t>
            </w:r>
          </w:p>
        </w:tc>
        <w:tc>
          <w:tcPr>
            <w:tcW w:w="1276" w:type="dxa"/>
            <w:vAlign w:val="center"/>
          </w:tcPr>
          <w:p w:rsidR="00610370" w:rsidRPr="00B04DC3" w:rsidRDefault="00610370" w:rsidP="00CD250E">
            <w:pPr>
              <w:spacing w:before="40" w:after="40" w:line="240" w:lineRule="auto"/>
              <w:jc w:val="center"/>
            </w:pPr>
            <w:r w:rsidRPr="00B04DC3">
              <w:t>84</w:t>
            </w:r>
          </w:p>
        </w:tc>
        <w:tc>
          <w:tcPr>
            <w:tcW w:w="1276" w:type="dxa"/>
            <w:vAlign w:val="center"/>
          </w:tcPr>
          <w:p w:rsidR="00610370" w:rsidRPr="00B04DC3" w:rsidRDefault="00610370" w:rsidP="00CD250E">
            <w:pPr>
              <w:spacing w:before="40" w:after="40" w:line="240" w:lineRule="auto"/>
              <w:jc w:val="center"/>
            </w:pPr>
            <w:r w:rsidRPr="00B04DC3">
              <w:t>88</w:t>
            </w:r>
          </w:p>
        </w:tc>
        <w:tc>
          <w:tcPr>
            <w:tcW w:w="1417" w:type="dxa"/>
            <w:vAlign w:val="center"/>
          </w:tcPr>
          <w:p w:rsidR="00610370" w:rsidRPr="00B04DC3" w:rsidRDefault="00610370" w:rsidP="00CD250E">
            <w:pPr>
              <w:spacing w:before="40" w:after="40" w:line="240" w:lineRule="auto"/>
              <w:jc w:val="center"/>
            </w:pP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vAlign w:val="center"/>
          </w:tcPr>
          <w:p w:rsidR="00610370" w:rsidRPr="00B04DC3" w:rsidRDefault="00610370" w:rsidP="00CD250E">
            <w:pPr>
              <w:spacing w:before="40" w:after="40" w:line="240" w:lineRule="auto"/>
            </w:pPr>
            <w:r w:rsidRPr="00B04DC3">
              <w:t>Balance</w:t>
            </w:r>
            <w:r w:rsidRPr="00B04DC3">
              <w:rPr>
                <w:i/>
                <w:position w:val="6"/>
                <w:vertAlign w:val="superscript"/>
              </w:rPr>
              <w:t>a</w:t>
            </w:r>
          </w:p>
        </w:tc>
        <w:tc>
          <w:tcPr>
            <w:tcW w:w="1264" w:type="dxa"/>
            <w:vAlign w:val="center"/>
          </w:tcPr>
          <w:p w:rsidR="00610370" w:rsidRPr="00B04DC3" w:rsidRDefault="00610370" w:rsidP="00CD250E">
            <w:pPr>
              <w:spacing w:before="40" w:after="40" w:line="240" w:lineRule="auto"/>
              <w:jc w:val="center"/>
            </w:pPr>
            <w:r w:rsidRPr="00B04DC3">
              <w:t>% mole</w:t>
            </w:r>
          </w:p>
        </w:tc>
        <w:tc>
          <w:tcPr>
            <w:tcW w:w="850" w:type="dxa"/>
            <w:vAlign w:val="center"/>
          </w:tcPr>
          <w:p w:rsidR="00610370" w:rsidRPr="00B04DC3" w:rsidRDefault="00610370" w:rsidP="00CD250E">
            <w:pPr>
              <w:spacing w:before="40" w:after="40" w:line="240" w:lineRule="auto"/>
              <w:jc w:val="center"/>
            </w:pPr>
            <w:r w:rsidRPr="00B04DC3">
              <w:t>-</w:t>
            </w:r>
          </w:p>
        </w:tc>
        <w:tc>
          <w:tcPr>
            <w:tcW w:w="1276" w:type="dxa"/>
            <w:vAlign w:val="center"/>
          </w:tcPr>
          <w:p w:rsidR="00610370" w:rsidRPr="00B04DC3" w:rsidRDefault="00610370" w:rsidP="00CD250E">
            <w:pPr>
              <w:spacing w:before="40" w:after="40" w:line="240" w:lineRule="auto"/>
              <w:jc w:val="center"/>
            </w:pPr>
            <w:r w:rsidRPr="00B04DC3">
              <w:t>-</w:t>
            </w:r>
          </w:p>
        </w:tc>
        <w:tc>
          <w:tcPr>
            <w:tcW w:w="1276" w:type="dxa"/>
            <w:vAlign w:val="center"/>
          </w:tcPr>
          <w:p w:rsidR="00610370" w:rsidRPr="00B04DC3" w:rsidRDefault="00610370" w:rsidP="00CD250E">
            <w:pPr>
              <w:spacing w:before="40" w:after="40" w:line="240" w:lineRule="auto"/>
              <w:jc w:val="center"/>
            </w:pPr>
            <w:r w:rsidRPr="00B04DC3">
              <w:t>1</w:t>
            </w:r>
          </w:p>
        </w:tc>
        <w:tc>
          <w:tcPr>
            <w:tcW w:w="1417" w:type="dxa"/>
            <w:vAlign w:val="center"/>
          </w:tcPr>
          <w:p w:rsidR="00610370" w:rsidRPr="00B04DC3" w:rsidRDefault="00610370" w:rsidP="00CD250E">
            <w:pPr>
              <w:spacing w:before="40" w:after="40" w:line="240" w:lineRule="auto"/>
              <w:jc w:val="center"/>
            </w:pPr>
            <w:r w:rsidRPr="00B04DC3">
              <w:t>ISO 6974</w:t>
            </w: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tcBorders>
              <w:bottom w:val="single" w:sz="2" w:space="0" w:color="auto"/>
            </w:tcBorders>
            <w:vAlign w:val="center"/>
          </w:tcPr>
          <w:p w:rsidR="00610370" w:rsidRPr="00B04DC3" w:rsidRDefault="00610370" w:rsidP="00CD250E">
            <w:pPr>
              <w:spacing w:before="40" w:after="40" w:line="240" w:lineRule="auto"/>
            </w:pPr>
            <w:r w:rsidRPr="00B04DC3">
              <w:t>N</w:t>
            </w:r>
            <w:r w:rsidRPr="00B04DC3">
              <w:rPr>
                <w:position w:val="-6"/>
                <w:vertAlign w:val="subscript"/>
              </w:rPr>
              <w:t>2</w:t>
            </w:r>
          </w:p>
        </w:tc>
        <w:tc>
          <w:tcPr>
            <w:tcW w:w="1264" w:type="dxa"/>
            <w:tcBorders>
              <w:bottom w:val="single" w:sz="2" w:space="0" w:color="auto"/>
            </w:tcBorders>
            <w:vAlign w:val="center"/>
          </w:tcPr>
          <w:p w:rsidR="00610370" w:rsidRPr="00B04DC3" w:rsidRDefault="00610370" w:rsidP="00CD250E">
            <w:pPr>
              <w:spacing w:before="40" w:after="40" w:line="240" w:lineRule="auto"/>
              <w:jc w:val="center"/>
            </w:pPr>
          </w:p>
        </w:tc>
        <w:tc>
          <w:tcPr>
            <w:tcW w:w="850" w:type="dxa"/>
            <w:tcBorders>
              <w:bottom w:val="single" w:sz="2" w:space="0" w:color="auto"/>
            </w:tcBorders>
            <w:vAlign w:val="center"/>
          </w:tcPr>
          <w:p w:rsidR="00610370" w:rsidRPr="00B04DC3" w:rsidRDefault="00610370" w:rsidP="00CD250E">
            <w:pPr>
              <w:spacing w:before="40" w:after="40" w:line="240" w:lineRule="auto"/>
              <w:jc w:val="center"/>
            </w:pPr>
            <w:r w:rsidRPr="00B04DC3">
              <w:t>14</w:t>
            </w:r>
          </w:p>
        </w:tc>
        <w:tc>
          <w:tcPr>
            <w:tcW w:w="1276" w:type="dxa"/>
            <w:tcBorders>
              <w:bottom w:val="single" w:sz="2" w:space="0" w:color="auto"/>
            </w:tcBorders>
            <w:vAlign w:val="center"/>
          </w:tcPr>
          <w:p w:rsidR="00610370" w:rsidRPr="00B04DC3" w:rsidRDefault="00610370" w:rsidP="00CD250E">
            <w:pPr>
              <w:spacing w:before="40" w:after="40" w:line="240" w:lineRule="auto"/>
              <w:jc w:val="center"/>
            </w:pPr>
            <w:r w:rsidRPr="00B04DC3">
              <w:t>12</w:t>
            </w:r>
          </w:p>
        </w:tc>
        <w:tc>
          <w:tcPr>
            <w:tcW w:w="1276" w:type="dxa"/>
            <w:tcBorders>
              <w:bottom w:val="single" w:sz="2" w:space="0" w:color="auto"/>
            </w:tcBorders>
            <w:vAlign w:val="center"/>
          </w:tcPr>
          <w:p w:rsidR="00610370" w:rsidRPr="00B04DC3" w:rsidRDefault="00610370" w:rsidP="00CD250E">
            <w:pPr>
              <w:spacing w:before="40" w:after="40" w:line="240" w:lineRule="auto"/>
              <w:jc w:val="center"/>
            </w:pPr>
            <w:r w:rsidRPr="00B04DC3">
              <w:t>16</w:t>
            </w:r>
          </w:p>
        </w:tc>
        <w:tc>
          <w:tcPr>
            <w:tcW w:w="1417" w:type="dxa"/>
            <w:tcBorders>
              <w:bottom w:val="single" w:sz="2" w:space="0" w:color="auto"/>
            </w:tcBorders>
            <w:vAlign w:val="center"/>
          </w:tcPr>
          <w:p w:rsidR="00610370" w:rsidRPr="00B04DC3" w:rsidRDefault="00610370" w:rsidP="00CD250E">
            <w:pPr>
              <w:spacing w:before="40" w:after="40" w:line="240" w:lineRule="auto"/>
              <w:jc w:val="center"/>
            </w:pP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2030" w:type="dxa"/>
            <w:gridSpan w:val="2"/>
            <w:tcBorders>
              <w:bottom w:val="single" w:sz="12" w:space="0" w:color="auto"/>
            </w:tcBorders>
            <w:vAlign w:val="center"/>
          </w:tcPr>
          <w:p w:rsidR="00610370" w:rsidRPr="00B04DC3" w:rsidRDefault="00610370" w:rsidP="00CD250E">
            <w:pPr>
              <w:spacing w:before="40" w:after="40" w:line="240" w:lineRule="auto"/>
            </w:pPr>
            <w:r w:rsidRPr="00B04DC3">
              <w:t>Sulphur content</w:t>
            </w:r>
          </w:p>
        </w:tc>
        <w:tc>
          <w:tcPr>
            <w:tcW w:w="1264" w:type="dxa"/>
            <w:tcBorders>
              <w:bottom w:val="single" w:sz="12" w:space="0" w:color="auto"/>
            </w:tcBorders>
            <w:vAlign w:val="center"/>
          </w:tcPr>
          <w:p w:rsidR="00610370" w:rsidRPr="00B04DC3" w:rsidRDefault="00610370" w:rsidP="00CD250E">
            <w:pPr>
              <w:spacing w:before="40" w:after="40" w:line="240" w:lineRule="auto"/>
              <w:jc w:val="center"/>
            </w:pPr>
            <w:r w:rsidRPr="00B04DC3">
              <w:t>mg/m</w:t>
            </w:r>
            <w:r w:rsidRPr="00B04DC3">
              <w:rPr>
                <w:vertAlign w:val="superscript"/>
              </w:rPr>
              <w:t>3</w:t>
            </w:r>
            <w:r w:rsidRPr="00B04DC3">
              <w:rPr>
                <w:position w:val="6"/>
                <w:vertAlign w:val="superscript"/>
              </w:rPr>
              <w:t xml:space="preserve"> </w:t>
            </w:r>
            <w:r w:rsidRPr="00B04DC3">
              <w:rPr>
                <w:i/>
                <w:position w:val="6"/>
                <w:vertAlign w:val="superscript"/>
              </w:rPr>
              <w:t>b</w:t>
            </w:r>
          </w:p>
        </w:tc>
        <w:tc>
          <w:tcPr>
            <w:tcW w:w="850" w:type="dxa"/>
            <w:tcBorders>
              <w:bottom w:val="single" w:sz="1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bottom w:val="single" w:sz="12" w:space="0" w:color="auto"/>
            </w:tcBorders>
            <w:vAlign w:val="center"/>
          </w:tcPr>
          <w:p w:rsidR="00610370" w:rsidRPr="00B04DC3" w:rsidRDefault="00610370" w:rsidP="00CD250E">
            <w:pPr>
              <w:spacing w:before="40" w:after="40" w:line="240" w:lineRule="auto"/>
              <w:jc w:val="center"/>
            </w:pPr>
            <w:r w:rsidRPr="00B04DC3">
              <w:t>-</w:t>
            </w:r>
          </w:p>
        </w:tc>
        <w:tc>
          <w:tcPr>
            <w:tcW w:w="1276" w:type="dxa"/>
            <w:tcBorders>
              <w:bottom w:val="single" w:sz="12" w:space="0" w:color="auto"/>
            </w:tcBorders>
            <w:vAlign w:val="center"/>
          </w:tcPr>
          <w:p w:rsidR="00610370" w:rsidRPr="00B04DC3" w:rsidRDefault="00610370" w:rsidP="00CD250E">
            <w:pPr>
              <w:spacing w:before="40" w:after="40" w:line="240" w:lineRule="auto"/>
              <w:jc w:val="center"/>
            </w:pPr>
            <w:r w:rsidRPr="00B04DC3">
              <w:t>10</w:t>
            </w:r>
          </w:p>
        </w:tc>
        <w:tc>
          <w:tcPr>
            <w:tcW w:w="1417" w:type="dxa"/>
            <w:tcBorders>
              <w:bottom w:val="single" w:sz="12" w:space="0" w:color="auto"/>
            </w:tcBorders>
            <w:vAlign w:val="center"/>
          </w:tcPr>
          <w:p w:rsidR="00610370" w:rsidRPr="00B04DC3" w:rsidRDefault="00610370" w:rsidP="00CD250E">
            <w:pPr>
              <w:spacing w:before="40" w:after="40" w:line="240" w:lineRule="auto"/>
              <w:jc w:val="center"/>
            </w:pPr>
            <w:r w:rsidRPr="00B04DC3">
              <w:t>ISO 6326-5</w:t>
            </w:r>
          </w:p>
        </w:tc>
      </w:tr>
      <w:tr w:rsidR="00610370" w:rsidRPr="00B04DC3" w:rsidTr="00683D1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Pr>
        <w:tc>
          <w:tcPr>
            <w:tcW w:w="8113" w:type="dxa"/>
            <w:gridSpan w:val="7"/>
            <w:tcBorders>
              <w:top w:val="single" w:sz="12" w:space="0" w:color="auto"/>
              <w:left w:val="nil"/>
              <w:bottom w:val="nil"/>
              <w:right w:val="nil"/>
            </w:tcBorders>
            <w:vAlign w:val="center"/>
          </w:tcPr>
          <w:p w:rsidR="00683D19" w:rsidRPr="00B04DC3" w:rsidRDefault="00610370" w:rsidP="00CD250E">
            <w:pPr>
              <w:tabs>
                <w:tab w:val="left" w:pos="567"/>
              </w:tabs>
              <w:suppressAutoHyphens w:val="0"/>
              <w:spacing w:line="180" w:lineRule="exact"/>
              <w:ind w:left="567" w:hanging="567"/>
              <w:jc w:val="both"/>
              <w:rPr>
                <w:sz w:val="18"/>
                <w:szCs w:val="18"/>
                <w:lang w:eastAsia="en-GB"/>
              </w:rPr>
            </w:pPr>
            <w:r w:rsidRPr="00B04DC3">
              <w:rPr>
                <w:i/>
                <w:position w:val="6"/>
                <w:sz w:val="18"/>
                <w:szCs w:val="18"/>
                <w:vertAlign w:val="superscript"/>
                <w:lang w:eastAsia="en-GB"/>
              </w:rPr>
              <w:t xml:space="preserve">a  </w:t>
            </w:r>
            <w:r w:rsidRPr="00B04DC3">
              <w:rPr>
                <w:sz w:val="18"/>
                <w:szCs w:val="18"/>
                <w:lang w:eastAsia="en-GB"/>
              </w:rPr>
              <w:t>Inerts (different from N</w:t>
            </w:r>
            <w:r w:rsidRPr="00B04DC3">
              <w:rPr>
                <w:sz w:val="18"/>
                <w:szCs w:val="18"/>
                <w:vertAlign w:val="subscript"/>
                <w:lang w:eastAsia="en-GB"/>
              </w:rPr>
              <w:t>2</w:t>
            </w:r>
            <w:r w:rsidRPr="00B04DC3">
              <w:rPr>
                <w:sz w:val="18"/>
                <w:szCs w:val="18"/>
                <w:lang w:eastAsia="en-GB"/>
              </w:rPr>
              <w:t>) +C</w:t>
            </w:r>
            <w:r w:rsidRPr="00B04DC3">
              <w:rPr>
                <w:sz w:val="18"/>
                <w:szCs w:val="18"/>
                <w:vertAlign w:val="subscript"/>
                <w:lang w:eastAsia="en-GB"/>
              </w:rPr>
              <w:t>2+</w:t>
            </w:r>
            <w:r w:rsidRPr="00B04DC3">
              <w:rPr>
                <w:sz w:val="18"/>
                <w:szCs w:val="18"/>
                <w:lang w:eastAsia="en-GB"/>
              </w:rPr>
              <w:t xml:space="preserve"> /C</w:t>
            </w:r>
            <w:r w:rsidRPr="00B04DC3">
              <w:rPr>
                <w:sz w:val="18"/>
                <w:szCs w:val="18"/>
                <w:vertAlign w:val="subscript"/>
                <w:lang w:eastAsia="en-GB"/>
              </w:rPr>
              <w:t>2+</w:t>
            </w:r>
          </w:p>
          <w:p w:rsidR="00610370" w:rsidRPr="00B04DC3" w:rsidRDefault="00610370" w:rsidP="00CD250E">
            <w:pPr>
              <w:tabs>
                <w:tab w:val="left" w:pos="567"/>
              </w:tabs>
              <w:suppressAutoHyphens w:val="0"/>
              <w:spacing w:line="180" w:lineRule="exact"/>
              <w:ind w:left="567" w:hanging="567"/>
              <w:jc w:val="both"/>
              <w:rPr>
                <w:sz w:val="18"/>
                <w:szCs w:val="18"/>
                <w:lang w:eastAsia="en-GB"/>
              </w:rPr>
            </w:pPr>
            <w:r w:rsidRPr="00B04DC3">
              <w:rPr>
                <w:i/>
                <w:position w:val="6"/>
                <w:sz w:val="18"/>
                <w:szCs w:val="18"/>
                <w:vertAlign w:val="superscript"/>
                <w:lang w:eastAsia="en-GB"/>
              </w:rPr>
              <w:t>b</w:t>
            </w:r>
            <w:r w:rsidRPr="00B04DC3">
              <w:rPr>
                <w:sz w:val="18"/>
                <w:szCs w:val="18"/>
                <w:vertAlign w:val="superscript"/>
                <w:lang w:eastAsia="en-GB"/>
              </w:rPr>
              <w:t xml:space="preserve"> </w:t>
            </w:r>
            <w:r w:rsidRPr="00B04DC3">
              <w:rPr>
                <w:sz w:val="18"/>
                <w:szCs w:val="18"/>
                <w:lang w:eastAsia="en-GB"/>
              </w:rPr>
              <w:t>Value to be determined at standard conditions (293.2 K (20 °C) and 101.3 kPa).</w:t>
            </w:r>
          </w:p>
        </w:tc>
      </w:tr>
    </w:tbl>
    <w:p w:rsidR="00BB1DA8" w:rsidRPr="00B04DC3" w:rsidRDefault="00BB1DA8" w:rsidP="00CD250E">
      <w:pPr>
        <w:pStyle w:val="para"/>
        <w:keepNext/>
        <w:keepLines/>
        <w:spacing w:before="120"/>
        <w:rPr>
          <w:lang w:val="en-GB"/>
        </w:rPr>
      </w:pPr>
      <w:r w:rsidRPr="00B04DC3">
        <w:rPr>
          <w:lang w:val="en-GB"/>
        </w:rPr>
        <w:t>3.</w:t>
      </w:r>
      <w:r w:rsidRPr="00B04DC3">
        <w:rPr>
          <w:lang w:val="en-GB"/>
        </w:rPr>
        <w:tab/>
        <w:t>Technical data of the LPG reference fuels</w:t>
      </w:r>
    </w:p>
    <w:p w:rsidR="00BB1DA8" w:rsidRPr="00B04DC3" w:rsidRDefault="00BB1DA8" w:rsidP="00BB1DA8">
      <w:pPr>
        <w:pStyle w:val="Heading1"/>
        <w:keepNext/>
        <w:keepLines/>
        <w:spacing w:after="40"/>
        <w:ind w:left="2268" w:hanging="1134"/>
        <w:rPr>
          <w:b/>
        </w:rPr>
      </w:pPr>
      <w:bookmarkStart w:id="680" w:name="_Toc399940063"/>
      <w:bookmarkStart w:id="681" w:name="_Toc423599647"/>
      <w:bookmarkStart w:id="682" w:name="_Toc423611055"/>
      <w:r w:rsidRPr="00B04DC3">
        <w:rPr>
          <w:b/>
        </w:rPr>
        <w:t>A.</w:t>
      </w:r>
      <w:r w:rsidRPr="00B04DC3">
        <w:rPr>
          <w:b/>
        </w:rPr>
        <w:tab/>
        <w:t>Technical data of the LPG reference fuels used for testing vehicles to the emission limits given in row A of the tables in paragraph 5.2.1. of this Regulation</w:t>
      </w:r>
      <w:bookmarkEnd w:id="680"/>
      <w:bookmarkEnd w:id="681"/>
      <w:bookmarkEnd w:id="682"/>
    </w:p>
    <w:tbl>
      <w:tblPr>
        <w:tblW w:w="8505"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31"/>
        <w:gridCol w:w="1237"/>
        <w:gridCol w:w="1506"/>
        <w:gridCol w:w="1787"/>
        <w:gridCol w:w="1744"/>
      </w:tblGrid>
      <w:tr w:rsidR="00BB1DA8" w:rsidRPr="00B04DC3" w:rsidTr="00990141">
        <w:trPr>
          <w:tblHeader/>
        </w:trPr>
        <w:tc>
          <w:tcPr>
            <w:tcW w:w="2421" w:type="dxa"/>
            <w:tcBorders>
              <w:top w:val="single" w:sz="4" w:space="0" w:color="auto"/>
              <w:bottom w:val="single" w:sz="12" w:space="0" w:color="auto"/>
              <w:right w:val="single" w:sz="2" w:space="0" w:color="auto"/>
            </w:tcBorders>
          </w:tcPr>
          <w:p w:rsidR="00BB1DA8" w:rsidRPr="00B04DC3" w:rsidRDefault="00BB1DA8" w:rsidP="00BB1DA8">
            <w:pPr>
              <w:pStyle w:val="NormalCentered"/>
              <w:keepNext/>
              <w:keepLines/>
              <w:numPr>
                <w:ilvl w:val="0"/>
                <w:numId w:val="0"/>
              </w:numPr>
              <w:spacing w:before="80" w:after="80" w:line="200" w:lineRule="atLeast"/>
              <w:jc w:val="left"/>
              <w:rPr>
                <w:i/>
                <w:sz w:val="16"/>
                <w:szCs w:val="16"/>
              </w:rPr>
            </w:pPr>
            <w:r w:rsidRPr="00B04DC3">
              <w:rPr>
                <w:i/>
                <w:sz w:val="16"/>
                <w:szCs w:val="16"/>
              </w:rPr>
              <w:t>Parameter</w:t>
            </w:r>
          </w:p>
        </w:tc>
        <w:tc>
          <w:tcPr>
            <w:tcW w:w="1335" w:type="dxa"/>
            <w:tcBorders>
              <w:top w:val="single" w:sz="4" w:space="0" w:color="auto"/>
              <w:left w:val="single" w:sz="2" w:space="0" w:color="auto"/>
              <w:bottom w:val="single" w:sz="12" w:space="0" w:color="auto"/>
              <w:right w:val="single" w:sz="2" w:space="0" w:color="auto"/>
            </w:tcBorders>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Unit</w:t>
            </w:r>
          </w:p>
        </w:tc>
        <w:tc>
          <w:tcPr>
            <w:tcW w:w="1629" w:type="dxa"/>
            <w:tcBorders>
              <w:top w:val="single" w:sz="4" w:space="0" w:color="auto"/>
              <w:left w:val="single" w:sz="2" w:space="0" w:color="auto"/>
              <w:bottom w:val="single" w:sz="12" w:space="0" w:color="auto"/>
              <w:right w:val="single" w:sz="2" w:space="0" w:color="auto"/>
            </w:tcBorders>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Fuel A</w:t>
            </w:r>
          </w:p>
        </w:tc>
        <w:tc>
          <w:tcPr>
            <w:tcW w:w="1936" w:type="dxa"/>
            <w:tcBorders>
              <w:top w:val="single" w:sz="4" w:space="0" w:color="auto"/>
              <w:left w:val="single" w:sz="2" w:space="0" w:color="auto"/>
              <w:bottom w:val="single" w:sz="12" w:space="0" w:color="auto"/>
              <w:right w:val="single" w:sz="2" w:space="0" w:color="auto"/>
            </w:tcBorders>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Fuel B</w:t>
            </w:r>
          </w:p>
        </w:tc>
        <w:tc>
          <w:tcPr>
            <w:tcW w:w="1889" w:type="dxa"/>
            <w:tcBorders>
              <w:top w:val="single" w:sz="4" w:space="0" w:color="auto"/>
              <w:left w:val="single" w:sz="2" w:space="0" w:color="auto"/>
              <w:bottom w:val="single" w:sz="12" w:space="0" w:color="auto"/>
            </w:tcBorders>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Test method</w:t>
            </w:r>
          </w:p>
        </w:tc>
      </w:tr>
      <w:tr w:rsidR="00BB1DA8" w:rsidRPr="00B04DC3" w:rsidTr="00990141">
        <w:tc>
          <w:tcPr>
            <w:tcW w:w="2421" w:type="dxa"/>
            <w:tcBorders>
              <w:top w:val="single" w:sz="1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Composition:</w:t>
            </w:r>
          </w:p>
        </w:tc>
        <w:tc>
          <w:tcPr>
            <w:tcW w:w="1335"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60"/>
              <w:rPr>
                <w:sz w:val="18"/>
                <w:szCs w:val="18"/>
              </w:rPr>
            </w:pPr>
          </w:p>
        </w:tc>
        <w:tc>
          <w:tcPr>
            <w:tcW w:w="1629"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p>
        </w:tc>
        <w:tc>
          <w:tcPr>
            <w:tcW w:w="1936"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p>
        </w:tc>
        <w:tc>
          <w:tcPr>
            <w:tcW w:w="1889" w:type="dxa"/>
            <w:tcBorders>
              <w:top w:val="single" w:sz="1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ISO 7941</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C</w:t>
            </w:r>
            <w:r w:rsidRPr="00B04DC3">
              <w:rPr>
                <w:sz w:val="18"/>
                <w:szCs w:val="18"/>
                <w:vertAlign w:val="subscript"/>
              </w:rPr>
              <w:t>3</w:t>
            </w:r>
            <w:r w:rsidRPr="00B04DC3">
              <w:rPr>
                <w:sz w:val="18"/>
                <w:szCs w:val="18"/>
              </w:rPr>
              <w:t>-content</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per cent vol</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50 ± 2</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85 ± 2</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C</w:t>
            </w:r>
            <w:r w:rsidRPr="00B04DC3">
              <w:rPr>
                <w:sz w:val="18"/>
                <w:szCs w:val="18"/>
                <w:vertAlign w:val="subscript"/>
              </w:rPr>
              <w:t>4</w:t>
            </w:r>
            <w:r w:rsidRPr="00B04DC3">
              <w:rPr>
                <w:sz w:val="18"/>
                <w:szCs w:val="18"/>
              </w:rPr>
              <w:t>-content</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per cent vol</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balance</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balance</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&lt; C</w:t>
            </w:r>
            <w:r w:rsidRPr="00B04DC3">
              <w:rPr>
                <w:sz w:val="18"/>
                <w:szCs w:val="18"/>
                <w:vertAlign w:val="subscript"/>
              </w:rPr>
              <w:t>3</w:t>
            </w:r>
            <w:r w:rsidRPr="00B04DC3">
              <w:rPr>
                <w:sz w:val="18"/>
                <w:szCs w:val="18"/>
              </w:rPr>
              <w:t xml:space="preserve"> , &gt; C</w:t>
            </w:r>
            <w:r w:rsidRPr="00B04DC3">
              <w:rPr>
                <w:sz w:val="18"/>
                <w:szCs w:val="18"/>
                <w:vertAlign w:val="subscript"/>
              </w:rPr>
              <w:t>4</w:t>
            </w:r>
            <w:r w:rsidRPr="00B04DC3">
              <w:rPr>
                <w:sz w:val="18"/>
                <w:szCs w:val="18"/>
              </w:rPr>
              <w:t xml:space="preserve"> </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per cent vol</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2</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2</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Olefins</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per cent vol</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12</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14</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Evaporation residue</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mg/kg</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50</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50</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ISO 13757</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Water at 0</w:t>
            </w:r>
            <w:r w:rsidRPr="00B04DC3">
              <w:rPr>
                <w:sz w:val="18"/>
                <w:szCs w:val="18"/>
              </w:rPr>
              <w:sym w:font="Symbol" w:char="F0B0"/>
            </w:r>
            <w:r w:rsidRPr="00B04DC3">
              <w:rPr>
                <w:sz w:val="18"/>
                <w:szCs w:val="18"/>
              </w:rPr>
              <w:t>C</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free</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free</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visual inspection</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Total sulphur content</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mg/kg</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50</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max. 50</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EN 24260</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Hydrogen sulphide</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none</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none</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ISO 8819</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Copper strip corrosion</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7"/>
              <w:rPr>
                <w:sz w:val="18"/>
                <w:szCs w:val="18"/>
              </w:rPr>
            </w:pPr>
            <w:r w:rsidRPr="00B04DC3">
              <w:rPr>
                <w:sz w:val="18"/>
                <w:szCs w:val="18"/>
              </w:rPr>
              <w:t>rating</w:t>
            </w: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Class 1</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class 1</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ISO 6251</w:t>
            </w:r>
            <w:r w:rsidRPr="00B04DC3">
              <w:rPr>
                <w:i/>
                <w:sz w:val="18"/>
                <w:szCs w:val="18"/>
                <w:vertAlign w:val="superscript"/>
              </w:rPr>
              <w:t>a</w:t>
            </w:r>
          </w:p>
        </w:tc>
      </w:tr>
      <w:tr w:rsidR="00BB1DA8" w:rsidRPr="00B04DC3" w:rsidTr="00990141">
        <w:tc>
          <w:tcPr>
            <w:tcW w:w="2421" w:type="dxa"/>
            <w:tcBorders>
              <w:top w:val="single" w:sz="2" w:space="0" w:color="auto"/>
              <w:bottom w:val="single" w:sz="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Odour</w:t>
            </w:r>
          </w:p>
        </w:tc>
        <w:tc>
          <w:tcPr>
            <w:tcW w:w="1335"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60"/>
              <w:rPr>
                <w:sz w:val="18"/>
                <w:szCs w:val="18"/>
              </w:rPr>
            </w:pPr>
          </w:p>
        </w:tc>
        <w:tc>
          <w:tcPr>
            <w:tcW w:w="1629"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characteristic</w:t>
            </w:r>
          </w:p>
        </w:tc>
        <w:tc>
          <w:tcPr>
            <w:tcW w:w="193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characteristic</w:t>
            </w:r>
          </w:p>
        </w:tc>
        <w:tc>
          <w:tcPr>
            <w:tcW w:w="1889" w:type="dxa"/>
            <w:tcBorders>
              <w:top w:val="single" w:sz="2" w:space="0" w:color="auto"/>
              <w:left w:val="single" w:sz="2" w:space="0" w:color="auto"/>
              <w:bottom w:val="single" w:sz="2" w:space="0" w:color="auto"/>
            </w:tcBorders>
          </w:tcPr>
          <w:p w:rsidR="00BB1DA8" w:rsidRPr="00B04DC3" w:rsidRDefault="00BB1DA8" w:rsidP="00CD250E">
            <w:pPr>
              <w:pStyle w:val="NormalLeft"/>
              <w:keepNext/>
              <w:keepLines/>
              <w:spacing w:beforeLines="20" w:before="48" w:afterLines="20" w:after="48"/>
              <w:ind w:left="76"/>
              <w:rPr>
                <w:sz w:val="18"/>
                <w:szCs w:val="18"/>
              </w:rPr>
            </w:pPr>
          </w:p>
        </w:tc>
      </w:tr>
      <w:tr w:rsidR="00BB1DA8" w:rsidRPr="00B04DC3" w:rsidTr="00990141">
        <w:tc>
          <w:tcPr>
            <w:tcW w:w="2421" w:type="dxa"/>
            <w:tcBorders>
              <w:top w:val="single" w:sz="2" w:space="0" w:color="auto"/>
              <w:bottom w:val="single" w:sz="12" w:space="0" w:color="auto"/>
              <w:right w:val="single" w:sz="2" w:space="0" w:color="auto"/>
            </w:tcBorders>
          </w:tcPr>
          <w:p w:rsidR="00BB1DA8" w:rsidRPr="00B04DC3" w:rsidRDefault="00BB1DA8" w:rsidP="00CD250E">
            <w:pPr>
              <w:pStyle w:val="NormalLeft"/>
              <w:keepNext/>
              <w:keepLines/>
              <w:spacing w:beforeLines="20" w:before="48" w:afterLines="20" w:after="48"/>
              <w:rPr>
                <w:sz w:val="18"/>
                <w:szCs w:val="18"/>
              </w:rPr>
            </w:pPr>
            <w:r w:rsidRPr="00B04DC3">
              <w:rPr>
                <w:sz w:val="18"/>
                <w:szCs w:val="18"/>
              </w:rPr>
              <w:t>Motor octane number</w:t>
            </w:r>
          </w:p>
        </w:tc>
        <w:tc>
          <w:tcPr>
            <w:tcW w:w="1335"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360"/>
              <w:rPr>
                <w:sz w:val="18"/>
                <w:szCs w:val="18"/>
              </w:rPr>
            </w:pPr>
          </w:p>
        </w:tc>
        <w:tc>
          <w:tcPr>
            <w:tcW w:w="1629"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min. 92.5</w:t>
            </w:r>
          </w:p>
        </w:tc>
        <w:tc>
          <w:tcPr>
            <w:tcW w:w="1936"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pStyle w:val="NormalCentered"/>
              <w:keepNext/>
              <w:keepLines/>
              <w:numPr>
                <w:ilvl w:val="0"/>
                <w:numId w:val="0"/>
              </w:numPr>
              <w:spacing w:beforeLines="20" w:before="48" w:afterLines="20" w:after="48"/>
              <w:ind w:left="76"/>
              <w:rPr>
                <w:sz w:val="18"/>
                <w:szCs w:val="18"/>
              </w:rPr>
            </w:pPr>
            <w:r w:rsidRPr="00B04DC3">
              <w:rPr>
                <w:sz w:val="18"/>
                <w:szCs w:val="18"/>
              </w:rPr>
              <w:t>min. 92.5</w:t>
            </w:r>
          </w:p>
        </w:tc>
        <w:tc>
          <w:tcPr>
            <w:tcW w:w="1889" w:type="dxa"/>
            <w:tcBorders>
              <w:top w:val="single" w:sz="2" w:space="0" w:color="auto"/>
              <w:left w:val="single" w:sz="2" w:space="0" w:color="auto"/>
              <w:bottom w:val="single" w:sz="12" w:space="0" w:color="auto"/>
            </w:tcBorders>
          </w:tcPr>
          <w:p w:rsidR="00BB1DA8" w:rsidRPr="00B04DC3" w:rsidRDefault="00BB1DA8" w:rsidP="00CD250E">
            <w:pPr>
              <w:pStyle w:val="NormalLeft"/>
              <w:keepNext/>
              <w:keepLines/>
              <w:spacing w:beforeLines="20" w:before="48" w:afterLines="20" w:after="48"/>
              <w:ind w:left="76"/>
              <w:rPr>
                <w:sz w:val="18"/>
                <w:szCs w:val="18"/>
              </w:rPr>
            </w:pPr>
            <w:r w:rsidRPr="00B04DC3">
              <w:rPr>
                <w:sz w:val="18"/>
                <w:szCs w:val="18"/>
              </w:rPr>
              <w:t>EN 589 Annex B</w:t>
            </w:r>
          </w:p>
        </w:tc>
      </w:tr>
      <w:tr w:rsidR="00BB1DA8" w:rsidRPr="00B04DC3" w:rsidTr="00990141">
        <w:tc>
          <w:tcPr>
            <w:tcW w:w="9210" w:type="dxa"/>
            <w:gridSpan w:val="5"/>
            <w:tcBorders>
              <w:top w:val="single" w:sz="12" w:space="0" w:color="auto"/>
              <w:left w:val="nil"/>
              <w:bottom w:val="nil"/>
              <w:right w:val="nil"/>
            </w:tcBorders>
          </w:tcPr>
          <w:p w:rsidR="00BB1DA8" w:rsidRPr="00B04DC3" w:rsidRDefault="00BB1DA8" w:rsidP="00BB1DA8">
            <w:pPr>
              <w:pStyle w:val="Point0"/>
              <w:keepLines/>
              <w:tabs>
                <w:tab w:val="left" w:pos="306"/>
              </w:tabs>
              <w:spacing w:before="0" w:after="0"/>
              <w:ind w:left="-28" w:firstLine="28"/>
              <w:jc w:val="left"/>
              <w:rPr>
                <w:sz w:val="20"/>
              </w:rPr>
            </w:pPr>
            <w:r w:rsidRPr="00B04DC3">
              <w:rPr>
                <w:i/>
                <w:sz w:val="20"/>
                <w:vertAlign w:val="superscript"/>
              </w:rPr>
              <w:t>a</w:t>
            </w:r>
            <w:r w:rsidRPr="00B04DC3">
              <w:rPr>
                <w:sz w:val="18"/>
                <w:szCs w:val="18"/>
              </w:rPr>
              <w:t xml:space="preserve">  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tc>
      </w:tr>
    </w:tbl>
    <w:p w:rsidR="00BB1DA8" w:rsidRPr="00B04DC3" w:rsidRDefault="00BB1DA8" w:rsidP="00BB1DA8">
      <w:pPr>
        <w:pStyle w:val="ManualNumPar1"/>
        <w:tabs>
          <w:tab w:val="left" w:pos="567"/>
        </w:tabs>
        <w:spacing w:before="0" w:after="0"/>
        <w:ind w:left="567" w:hanging="567"/>
      </w:pPr>
    </w:p>
    <w:p w:rsidR="00BB1DA8" w:rsidRPr="00B04DC3" w:rsidRDefault="00BB1DA8" w:rsidP="00BB1DA8">
      <w:pPr>
        <w:pStyle w:val="Heading1"/>
        <w:keepNext/>
        <w:keepLines/>
        <w:ind w:left="2268" w:hanging="1134"/>
        <w:rPr>
          <w:b/>
        </w:rPr>
      </w:pPr>
      <w:bookmarkStart w:id="683" w:name="_Toc399940064"/>
      <w:bookmarkStart w:id="684" w:name="_Toc423599648"/>
      <w:bookmarkStart w:id="685" w:name="_Toc423611056"/>
      <w:r w:rsidRPr="00B04DC3">
        <w:rPr>
          <w:b/>
        </w:rPr>
        <w:t>B.</w:t>
      </w:r>
      <w:r w:rsidRPr="00B04DC3">
        <w:rPr>
          <w:b/>
        </w:rPr>
        <w:tab/>
      </w:r>
      <w:r w:rsidRPr="00B04DC3">
        <w:rPr>
          <w:b/>
        </w:rPr>
        <w:tab/>
        <w:t>Technical data of the LPG reference fuels used for testing vehicles to the emission limits given in row B1, B2 or C of the tables in paragraph 5.2.1. of this Regulation</w:t>
      </w:r>
      <w:bookmarkEnd w:id="683"/>
      <w:bookmarkEnd w:id="684"/>
      <w:bookmarkEnd w:id="685"/>
    </w:p>
    <w:tbl>
      <w:tblPr>
        <w:tblW w:w="8505"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06"/>
        <w:gridCol w:w="1195"/>
        <w:gridCol w:w="1195"/>
        <w:gridCol w:w="1195"/>
        <w:gridCol w:w="2014"/>
      </w:tblGrid>
      <w:tr w:rsidR="00BB1DA8" w:rsidRPr="00B04DC3" w:rsidTr="00990141">
        <w:trPr>
          <w:cantSplit/>
          <w:tblHeader/>
        </w:trPr>
        <w:tc>
          <w:tcPr>
            <w:tcW w:w="3119" w:type="dxa"/>
            <w:tcBorders>
              <w:top w:val="single" w:sz="4" w:space="0" w:color="auto"/>
              <w:bottom w:val="single" w:sz="12" w:space="0" w:color="auto"/>
              <w:right w:val="single" w:sz="2" w:space="0" w:color="auto"/>
            </w:tcBorders>
            <w:vAlign w:val="center"/>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Parameter</w:t>
            </w:r>
          </w:p>
        </w:tc>
        <w:tc>
          <w:tcPr>
            <w:tcW w:w="1276" w:type="dxa"/>
            <w:tcBorders>
              <w:top w:val="single" w:sz="4" w:space="0" w:color="auto"/>
              <w:left w:val="single" w:sz="2" w:space="0" w:color="auto"/>
              <w:bottom w:val="single" w:sz="12" w:space="0" w:color="auto"/>
              <w:right w:val="single" w:sz="2" w:space="0" w:color="auto"/>
            </w:tcBorders>
            <w:vAlign w:val="center"/>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Unit</w:t>
            </w:r>
          </w:p>
        </w:tc>
        <w:tc>
          <w:tcPr>
            <w:tcW w:w="1276" w:type="dxa"/>
            <w:tcBorders>
              <w:top w:val="single" w:sz="4" w:space="0" w:color="auto"/>
              <w:left w:val="single" w:sz="2" w:space="0" w:color="auto"/>
              <w:bottom w:val="single" w:sz="12" w:space="0" w:color="auto"/>
              <w:right w:val="single" w:sz="2" w:space="0" w:color="auto"/>
            </w:tcBorders>
            <w:vAlign w:val="center"/>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Fuel A</w:t>
            </w:r>
          </w:p>
        </w:tc>
        <w:tc>
          <w:tcPr>
            <w:tcW w:w="1276" w:type="dxa"/>
            <w:tcBorders>
              <w:top w:val="single" w:sz="4" w:space="0" w:color="auto"/>
              <w:left w:val="single" w:sz="2" w:space="0" w:color="auto"/>
              <w:bottom w:val="single" w:sz="12" w:space="0" w:color="auto"/>
              <w:right w:val="single" w:sz="2" w:space="0" w:color="auto"/>
            </w:tcBorders>
            <w:vAlign w:val="center"/>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Fuel B</w:t>
            </w:r>
          </w:p>
        </w:tc>
        <w:tc>
          <w:tcPr>
            <w:tcW w:w="2159" w:type="dxa"/>
            <w:tcBorders>
              <w:top w:val="single" w:sz="4" w:space="0" w:color="auto"/>
              <w:left w:val="single" w:sz="2" w:space="0" w:color="auto"/>
              <w:bottom w:val="single" w:sz="12" w:space="0" w:color="auto"/>
            </w:tcBorders>
            <w:vAlign w:val="center"/>
          </w:tcPr>
          <w:p w:rsidR="00BB1DA8" w:rsidRPr="00B04DC3" w:rsidRDefault="00BB1DA8" w:rsidP="00BB1DA8">
            <w:pPr>
              <w:pStyle w:val="NormalCentered"/>
              <w:keepNext/>
              <w:keepLines/>
              <w:numPr>
                <w:ilvl w:val="0"/>
                <w:numId w:val="0"/>
              </w:numPr>
              <w:spacing w:before="80" w:after="80" w:line="200" w:lineRule="atLeast"/>
              <w:rPr>
                <w:i/>
                <w:sz w:val="16"/>
                <w:szCs w:val="16"/>
              </w:rPr>
            </w:pPr>
            <w:r w:rsidRPr="00B04DC3">
              <w:rPr>
                <w:i/>
                <w:sz w:val="16"/>
                <w:szCs w:val="16"/>
              </w:rPr>
              <w:t>Test method</w:t>
            </w:r>
          </w:p>
        </w:tc>
      </w:tr>
      <w:tr w:rsidR="00BB1DA8" w:rsidRPr="00B04DC3" w:rsidTr="00990141">
        <w:trPr>
          <w:cantSplit/>
        </w:trPr>
        <w:tc>
          <w:tcPr>
            <w:tcW w:w="3119" w:type="dxa"/>
            <w:tcBorders>
              <w:top w:val="single" w:sz="1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Composition:</w:t>
            </w:r>
          </w:p>
        </w:tc>
        <w:tc>
          <w:tcPr>
            <w:tcW w:w="1276"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p>
        </w:tc>
        <w:tc>
          <w:tcPr>
            <w:tcW w:w="1276"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p>
        </w:tc>
        <w:tc>
          <w:tcPr>
            <w:tcW w:w="1276" w:type="dxa"/>
            <w:tcBorders>
              <w:top w:val="single" w:sz="1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p>
        </w:tc>
        <w:tc>
          <w:tcPr>
            <w:tcW w:w="2159" w:type="dxa"/>
            <w:tcBorders>
              <w:top w:val="single" w:sz="1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ISO 7941</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C</w:t>
            </w:r>
            <w:r w:rsidRPr="00B04DC3">
              <w:rPr>
                <w:sz w:val="18"/>
                <w:szCs w:val="18"/>
                <w:vertAlign w:val="subscript"/>
              </w:rPr>
              <w:t>3</w:t>
            </w:r>
            <w:r w:rsidRPr="00B04DC3">
              <w:rPr>
                <w:sz w:val="18"/>
                <w:szCs w:val="18"/>
              </w:rPr>
              <w:t>-content</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per cent vol</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50 ± 2</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85 ± 2</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C</w:t>
            </w:r>
            <w:r w:rsidRPr="00B04DC3">
              <w:rPr>
                <w:sz w:val="18"/>
                <w:szCs w:val="18"/>
                <w:vertAlign w:val="subscript"/>
              </w:rPr>
              <w:t>4</w:t>
            </w:r>
            <w:r w:rsidRPr="00B04DC3">
              <w:rPr>
                <w:sz w:val="18"/>
                <w:szCs w:val="18"/>
              </w:rPr>
              <w:t>-content</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per cent vol</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balance</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balance</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&lt; C</w:t>
            </w:r>
            <w:r w:rsidRPr="00B04DC3">
              <w:rPr>
                <w:sz w:val="18"/>
                <w:szCs w:val="18"/>
                <w:vertAlign w:val="subscript"/>
              </w:rPr>
              <w:t>3</w:t>
            </w:r>
            <w:r w:rsidRPr="00B04DC3">
              <w:rPr>
                <w:sz w:val="18"/>
                <w:szCs w:val="18"/>
              </w:rPr>
              <w:t xml:space="preserve"> , &gt; C</w:t>
            </w:r>
            <w:r w:rsidRPr="00B04DC3">
              <w:rPr>
                <w:sz w:val="18"/>
                <w:szCs w:val="18"/>
                <w:vertAlign w:val="subscript"/>
              </w:rPr>
              <w:t>4</w:t>
            </w:r>
            <w:r w:rsidRPr="00B04DC3">
              <w:rPr>
                <w:sz w:val="18"/>
                <w:szCs w:val="18"/>
              </w:rPr>
              <w:t xml:space="preserve"> </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per cent vol</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2</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2</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Olefins</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per cent vol</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12</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14</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Evaporation residue</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mg/kg</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50</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50</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ISO 13757</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Water at 0</w:t>
            </w:r>
            <w:r w:rsidRPr="00B04DC3">
              <w:rPr>
                <w:sz w:val="18"/>
                <w:szCs w:val="18"/>
              </w:rPr>
              <w:sym w:font="Symbol" w:char="F0B0"/>
            </w:r>
            <w:r w:rsidRPr="00B04DC3">
              <w:rPr>
                <w:sz w:val="18"/>
                <w:szCs w:val="18"/>
              </w:rPr>
              <w:t>C</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free</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free</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Visual inspection</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Total sulphur content</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mg/kg</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10</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max. 10</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EN 24260</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Hydrogen sulphide</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none</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none</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ISO 8819</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Copper strip corrosion</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Rating</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class 1</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class 1</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ISO 6251</w:t>
            </w:r>
            <w:r w:rsidRPr="00B04DC3">
              <w:rPr>
                <w:i/>
                <w:vertAlign w:val="superscript"/>
              </w:rPr>
              <w:t>a</w:t>
            </w:r>
          </w:p>
        </w:tc>
      </w:tr>
      <w:tr w:rsidR="00BB1DA8" w:rsidRPr="00B04DC3" w:rsidTr="00990141">
        <w:trPr>
          <w:cantSplit/>
        </w:trPr>
        <w:tc>
          <w:tcPr>
            <w:tcW w:w="3119" w:type="dxa"/>
            <w:tcBorders>
              <w:top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Odour</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characteristic</w:t>
            </w:r>
          </w:p>
        </w:tc>
        <w:tc>
          <w:tcPr>
            <w:tcW w:w="1276" w:type="dxa"/>
            <w:tcBorders>
              <w:top w:val="single" w:sz="2" w:space="0" w:color="auto"/>
              <w:left w:val="single" w:sz="2" w:space="0" w:color="auto"/>
              <w:bottom w:val="single" w:sz="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characteristic</w:t>
            </w:r>
          </w:p>
        </w:tc>
        <w:tc>
          <w:tcPr>
            <w:tcW w:w="2159" w:type="dxa"/>
            <w:tcBorders>
              <w:top w:val="single" w:sz="2" w:space="0" w:color="auto"/>
              <w:left w:val="single" w:sz="2" w:space="0" w:color="auto"/>
              <w:bottom w:val="single" w:sz="2" w:space="0" w:color="auto"/>
            </w:tcBorders>
          </w:tcPr>
          <w:p w:rsidR="00BB1DA8" w:rsidRPr="00B04DC3" w:rsidRDefault="00BB1DA8" w:rsidP="00CD250E">
            <w:pPr>
              <w:keepNext/>
              <w:keepLines/>
              <w:spacing w:beforeLines="20" w:before="48" w:afterLines="20" w:after="48"/>
              <w:rPr>
                <w:sz w:val="18"/>
                <w:szCs w:val="18"/>
              </w:rPr>
            </w:pPr>
          </w:p>
        </w:tc>
      </w:tr>
      <w:tr w:rsidR="00BB1DA8" w:rsidRPr="00B04DC3" w:rsidTr="00990141">
        <w:trPr>
          <w:cantSplit/>
        </w:trPr>
        <w:tc>
          <w:tcPr>
            <w:tcW w:w="3119" w:type="dxa"/>
            <w:tcBorders>
              <w:top w:val="single" w:sz="2" w:space="0" w:color="auto"/>
              <w:bottom w:val="single" w:sz="12" w:space="0" w:color="auto"/>
              <w:right w:val="single" w:sz="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Motor octane number</w:t>
            </w:r>
          </w:p>
        </w:tc>
        <w:tc>
          <w:tcPr>
            <w:tcW w:w="1276"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p>
        </w:tc>
        <w:tc>
          <w:tcPr>
            <w:tcW w:w="1276"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min. 92.5</w:t>
            </w:r>
          </w:p>
        </w:tc>
        <w:tc>
          <w:tcPr>
            <w:tcW w:w="1276" w:type="dxa"/>
            <w:tcBorders>
              <w:top w:val="single" w:sz="2" w:space="0" w:color="auto"/>
              <w:left w:val="single" w:sz="2" w:space="0" w:color="auto"/>
              <w:bottom w:val="single" w:sz="12" w:space="0" w:color="auto"/>
              <w:right w:val="single" w:sz="2" w:space="0" w:color="auto"/>
            </w:tcBorders>
          </w:tcPr>
          <w:p w:rsidR="00BB1DA8" w:rsidRPr="00B04DC3" w:rsidRDefault="00BB1DA8" w:rsidP="00CD250E">
            <w:pPr>
              <w:keepNext/>
              <w:keepLines/>
              <w:spacing w:beforeLines="20" w:before="48" w:afterLines="20" w:after="48"/>
              <w:jc w:val="center"/>
              <w:rPr>
                <w:sz w:val="18"/>
                <w:szCs w:val="18"/>
              </w:rPr>
            </w:pPr>
            <w:r w:rsidRPr="00B04DC3">
              <w:rPr>
                <w:sz w:val="18"/>
                <w:szCs w:val="18"/>
              </w:rPr>
              <w:t>min. 92.5</w:t>
            </w:r>
          </w:p>
        </w:tc>
        <w:tc>
          <w:tcPr>
            <w:tcW w:w="2159" w:type="dxa"/>
            <w:tcBorders>
              <w:top w:val="single" w:sz="2" w:space="0" w:color="auto"/>
              <w:left w:val="single" w:sz="2" w:space="0" w:color="auto"/>
              <w:bottom w:val="single" w:sz="12" w:space="0" w:color="auto"/>
            </w:tcBorders>
          </w:tcPr>
          <w:p w:rsidR="00BB1DA8" w:rsidRPr="00B04DC3" w:rsidRDefault="00BB1DA8" w:rsidP="00CD250E">
            <w:pPr>
              <w:keepNext/>
              <w:keepLines/>
              <w:spacing w:beforeLines="20" w:before="48" w:afterLines="20" w:after="48"/>
              <w:rPr>
                <w:sz w:val="18"/>
                <w:szCs w:val="18"/>
              </w:rPr>
            </w:pPr>
            <w:r w:rsidRPr="00B04DC3">
              <w:rPr>
                <w:sz w:val="18"/>
                <w:szCs w:val="18"/>
              </w:rPr>
              <w:t>EN 589 Annex B</w:t>
            </w:r>
          </w:p>
        </w:tc>
      </w:tr>
      <w:tr w:rsidR="00BB1DA8" w:rsidRPr="00B04DC3" w:rsidTr="00990141">
        <w:trPr>
          <w:cantSplit/>
        </w:trPr>
        <w:tc>
          <w:tcPr>
            <w:tcW w:w="9106" w:type="dxa"/>
            <w:gridSpan w:val="5"/>
            <w:tcBorders>
              <w:top w:val="single" w:sz="12" w:space="0" w:color="auto"/>
              <w:left w:val="nil"/>
              <w:bottom w:val="nil"/>
              <w:right w:val="nil"/>
            </w:tcBorders>
          </w:tcPr>
          <w:p w:rsidR="00BB1DA8" w:rsidRPr="00B04DC3" w:rsidRDefault="00BB1DA8" w:rsidP="00CD250E">
            <w:pPr>
              <w:pStyle w:val="Point0"/>
              <w:keepLines/>
              <w:tabs>
                <w:tab w:val="left" w:pos="306"/>
              </w:tabs>
              <w:spacing w:before="0" w:after="0"/>
              <w:ind w:left="-28" w:firstLine="28"/>
              <w:jc w:val="left"/>
              <w:rPr>
                <w:sz w:val="20"/>
              </w:rPr>
            </w:pPr>
            <w:r w:rsidRPr="00B04DC3">
              <w:rPr>
                <w:i/>
                <w:sz w:val="20"/>
                <w:vertAlign w:val="superscript"/>
              </w:rPr>
              <w:t>a</w:t>
            </w:r>
            <w:r w:rsidRPr="00B04DC3">
              <w:rPr>
                <w:sz w:val="20"/>
              </w:rPr>
              <w:t xml:space="preserve">  </w:t>
            </w:r>
            <w:r w:rsidRPr="00B04DC3">
              <w:rPr>
                <w:sz w:val="18"/>
                <w:szCs w:val="18"/>
              </w:rPr>
              <w:t>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tc>
      </w:tr>
    </w:tbl>
    <w:p w:rsidR="00BB1DA8" w:rsidRPr="00B04DC3" w:rsidRDefault="00BB1DA8" w:rsidP="00BB1DA8"/>
    <w:p w:rsidR="00BB1DA8" w:rsidRPr="00B04DC3" w:rsidRDefault="00BB1DA8" w:rsidP="00BB1DA8">
      <w:pPr>
        <w:rPr>
          <w:lang w:eastAsia="en-GB"/>
        </w:rPr>
        <w:sectPr w:rsidR="00BB1DA8" w:rsidRPr="00B04DC3" w:rsidSect="00BB1DA8">
          <w:headerReference w:type="even" r:id="rId527"/>
          <w:headerReference w:type="default" r:id="rId528"/>
          <w:footerReference w:type="even" r:id="rId529"/>
          <w:footerReference w:type="default" r:id="rId530"/>
          <w:headerReference w:type="first" r:id="rId531"/>
          <w:footnotePr>
            <w:numRestart w:val="eachSect"/>
          </w:footnotePr>
          <w:endnotePr>
            <w:numFmt w:val="decimal"/>
          </w:endnotePr>
          <w:pgSz w:w="11907" w:h="16840" w:code="9"/>
          <w:pgMar w:top="1954" w:right="1134" w:bottom="2268" w:left="1134" w:header="1134" w:footer="1701" w:gutter="0"/>
          <w:cols w:space="720"/>
          <w:titlePg/>
        </w:sectPr>
      </w:pPr>
    </w:p>
    <w:p w:rsidR="00BB1DA8" w:rsidRPr="00B04DC3" w:rsidRDefault="00BB1DA8" w:rsidP="0020158A">
      <w:pPr>
        <w:pStyle w:val="HChG"/>
        <w:spacing w:before="120"/>
      </w:pPr>
      <w:bookmarkStart w:id="686" w:name="_Toc423599649"/>
      <w:bookmarkStart w:id="687" w:name="_Toc423611057"/>
      <w:r w:rsidRPr="00B04DC3">
        <w:t>Annex 6</w:t>
      </w:r>
      <w:bookmarkEnd w:id="686"/>
      <w:bookmarkEnd w:id="687"/>
    </w:p>
    <w:p w:rsidR="00BB1DA8" w:rsidRPr="00B04DC3" w:rsidRDefault="00BB1DA8" w:rsidP="00BB1DA8">
      <w:pPr>
        <w:pStyle w:val="HChG"/>
      </w:pPr>
      <w:r w:rsidRPr="00B04DC3">
        <w:tab/>
      </w:r>
      <w:r w:rsidRPr="00B04DC3">
        <w:tab/>
      </w:r>
      <w:bookmarkStart w:id="688" w:name="_Toc423599650"/>
      <w:bookmarkStart w:id="689" w:name="_Toc423611058"/>
      <w:r w:rsidRPr="00B04DC3">
        <w:t>Example of calculation procedure</w:t>
      </w:r>
      <w:bookmarkEnd w:id="688"/>
      <w:bookmarkEnd w:id="689"/>
    </w:p>
    <w:p w:rsidR="00BB1DA8" w:rsidRPr="00B04DC3" w:rsidRDefault="00BB1DA8" w:rsidP="00BB1DA8">
      <w:pPr>
        <w:pStyle w:val="para"/>
        <w:rPr>
          <w:lang w:val="en-GB"/>
        </w:rPr>
      </w:pPr>
      <w:r w:rsidRPr="00B04DC3">
        <w:rPr>
          <w:lang w:val="en-GB"/>
        </w:rPr>
        <w:t>1.</w:t>
      </w:r>
      <w:r w:rsidRPr="00B04DC3">
        <w:rPr>
          <w:lang w:val="en-GB"/>
        </w:rPr>
        <w:tab/>
        <w:t>ESC test</w:t>
      </w:r>
    </w:p>
    <w:p w:rsidR="00BB1DA8" w:rsidRPr="00B04DC3" w:rsidRDefault="00BB1DA8" w:rsidP="00BB1DA8">
      <w:pPr>
        <w:pStyle w:val="para"/>
        <w:rPr>
          <w:lang w:val="en-GB"/>
        </w:rPr>
      </w:pPr>
      <w:r w:rsidRPr="00B04DC3">
        <w:rPr>
          <w:lang w:val="en-GB"/>
        </w:rPr>
        <w:t>1.1.</w:t>
      </w:r>
      <w:r w:rsidRPr="00B04DC3">
        <w:rPr>
          <w:lang w:val="en-GB"/>
        </w:rPr>
        <w:tab/>
        <w:t>Gaseous emissions</w:t>
      </w:r>
    </w:p>
    <w:p w:rsidR="00BB1DA8" w:rsidRPr="00B04DC3" w:rsidRDefault="00BB1DA8" w:rsidP="00BB1DA8">
      <w:pPr>
        <w:pStyle w:val="para"/>
        <w:rPr>
          <w:lang w:val="en-GB"/>
        </w:rPr>
      </w:pPr>
      <w:r w:rsidRPr="00B04DC3">
        <w:rPr>
          <w:lang w:val="en-GB"/>
        </w:rPr>
        <w:tab/>
        <w:t>The measurement data for the calculation of the individual mode results are shown below. In this example, CO and NO</w:t>
      </w:r>
      <w:r w:rsidRPr="00B04DC3">
        <w:rPr>
          <w:vertAlign w:val="subscript"/>
          <w:lang w:val="en-GB"/>
        </w:rPr>
        <w:t>x</w:t>
      </w:r>
      <w:r w:rsidRPr="00B04DC3">
        <w:rPr>
          <w:lang w:val="en-GB"/>
        </w:rPr>
        <w:t xml:space="preserve"> are measured on a dry basis, HC on a wet basis. The HC concentration is given in propane equivalent (C3) and has to be multiplied by 3 to result in the C1 equivalent. The calculation procedure is identical for the other modes.</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9"/>
        <w:gridCol w:w="819"/>
        <w:gridCol w:w="819"/>
        <w:gridCol w:w="819"/>
        <w:gridCol w:w="819"/>
        <w:gridCol w:w="819"/>
        <w:gridCol w:w="819"/>
        <w:gridCol w:w="819"/>
        <w:gridCol w:w="819"/>
      </w:tblGrid>
      <w:tr w:rsidR="00BB1DA8" w:rsidRPr="00B04DC3" w:rsidTr="0090475A">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P</w:t>
            </w:r>
            <w:r w:rsidRPr="00B04DC3">
              <w:rPr>
                <w:sz w:val="16"/>
                <w:szCs w:val="16"/>
              </w:rPr>
              <w:br/>
              <w:t>(kW)</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T</w:t>
            </w:r>
            <w:r w:rsidRPr="00B04DC3">
              <w:rPr>
                <w:sz w:val="16"/>
                <w:szCs w:val="16"/>
                <w:vertAlign w:val="subscript"/>
              </w:rPr>
              <w:t>a</w:t>
            </w:r>
            <w:r w:rsidRPr="00B04DC3">
              <w:rPr>
                <w:sz w:val="16"/>
                <w:szCs w:val="16"/>
              </w:rPr>
              <w:br/>
              <w:t>(K)</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H</w:t>
            </w:r>
            <w:r w:rsidRPr="00B04DC3">
              <w:rPr>
                <w:sz w:val="16"/>
                <w:szCs w:val="16"/>
                <w:vertAlign w:val="subscript"/>
              </w:rPr>
              <w:t>a</w:t>
            </w:r>
            <w:r w:rsidRPr="00B04DC3">
              <w:rPr>
                <w:sz w:val="16"/>
                <w:szCs w:val="16"/>
              </w:rPr>
              <w:br/>
              <w:t>(g/kg)</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G</w:t>
            </w:r>
            <w:r w:rsidRPr="00B04DC3">
              <w:rPr>
                <w:sz w:val="16"/>
                <w:szCs w:val="16"/>
                <w:vertAlign w:val="subscript"/>
              </w:rPr>
              <w:t>EXH</w:t>
            </w:r>
            <w:r w:rsidRPr="00B04DC3">
              <w:rPr>
                <w:sz w:val="16"/>
                <w:szCs w:val="16"/>
              </w:rPr>
              <w:br/>
              <w:t>(kg)</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G</w:t>
            </w:r>
            <w:r w:rsidRPr="00B04DC3">
              <w:rPr>
                <w:sz w:val="16"/>
                <w:szCs w:val="16"/>
                <w:vertAlign w:val="subscript"/>
              </w:rPr>
              <w:t>AIRW</w:t>
            </w:r>
            <w:r w:rsidRPr="00B04DC3">
              <w:rPr>
                <w:sz w:val="16"/>
                <w:szCs w:val="16"/>
              </w:rPr>
              <w:br/>
              <w:t>(kg)</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G</w:t>
            </w:r>
            <w:r w:rsidRPr="00B04DC3">
              <w:rPr>
                <w:sz w:val="16"/>
                <w:szCs w:val="16"/>
                <w:vertAlign w:val="subscript"/>
              </w:rPr>
              <w:t>FUEL</w:t>
            </w:r>
            <w:r w:rsidRPr="00B04DC3">
              <w:rPr>
                <w:sz w:val="16"/>
                <w:szCs w:val="16"/>
              </w:rPr>
              <w:br/>
              <w:t>(kg)</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HC</w:t>
            </w:r>
            <w:r w:rsidRPr="00B04DC3">
              <w:rPr>
                <w:sz w:val="16"/>
                <w:szCs w:val="16"/>
              </w:rPr>
              <w:br/>
              <w:t>(ppm)</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CO</w:t>
            </w:r>
            <w:r w:rsidRPr="00B04DC3">
              <w:rPr>
                <w:sz w:val="16"/>
                <w:szCs w:val="16"/>
              </w:rPr>
              <w:br/>
              <w:t>(ppm)</w:t>
            </w:r>
          </w:p>
        </w:tc>
        <w:tc>
          <w:tcPr>
            <w:tcW w:w="819" w:type="dxa"/>
            <w:tcBorders>
              <w:bottom w:val="single" w:sz="12" w:space="0" w:color="auto"/>
            </w:tcBorders>
          </w:tcPr>
          <w:p w:rsidR="00BB1DA8" w:rsidRPr="00B04DC3" w:rsidRDefault="00BB1DA8" w:rsidP="00BB1DA8">
            <w:pPr>
              <w:spacing w:before="60" w:after="60"/>
              <w:jc w:val="center"/>
              <w:rPr>
                <w:sz w:val="16"/>
                <w:szCs w:val="16"/>
              </w:rPr>
            </w:pPr>
            <w:r w:rsidRPr="00B04DC3">
              <w:rPr>
                <w:sz w:val="16"/>
                <w:szCs w:val="16"/>
              </w:rPr>
              <w:t>NO</w:t>
            </w:r>
            <w:r w:rsidRPr="00B04DC3">
              <w:rPr>
                <w:sz w:val="16"/>
                <w:szCs w:val="16"/>
                <w:vertAlign w:val="subscript"/>
              </w:rPr>
              <w:t>x</w:t>
            </w:r>
            <w:r w:rsidRPr="00B04DC3">
              <w:rPr>
                <w:sz w:val="16"/>
                <w:szCs w:val="16"/>
              </w:rPr>
              <w:br/>
              <w:t>(ppm)</w:t>
            </w:r>
          </w:p>
        </w:tc>
      </w:tr>
      <w:tr w:rsidR="00BB1DA8" w:rsidRPr="00B04DC3" w:rsidTr="0090475A">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82.9</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294.8</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7.81</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563.38</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545.29</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18.09</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6.3</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41.2</w:t>
            </w:r>
          </w:p>
        </w:tc>
        <w:tc>
          <w:tcPr>
            <w:tcW w:w="819" w:type="dxa"/>
            <w:tcBorders>
              <w:top w:val="single" w:sz="12" w:space="0" w:color="auto"/>
              <w:bottom w:val="single" w:sz="12" w:space="0" w:color="auto"/>
            </w:tcBorders>
          </w:tcPr>
          <w:p w:rsidR="00BB1DA8" w:rsidRPr="00B04DC3" w:rsidRDefault="00BB1DA8" w:rsidP="00BB1DA8">
            <w:pPr>
              <w:spacing w:before="60" w:after="60"/>
              <w:jc w:val="center"/>
              <w:rPr>
                <w:sz w:val="18"/>
                <w:szCs w:val="18"/>
              </w:rPr>
            </w:pPr>
            <w:r w:rsidRPr="00B04DC3">
              <w:rPr>
                <w:sz w:val="18"/>
                <w:szCs w:val="18"/>
              </w:rPr>
              <w:t>495</w:t>
            </w:r>
          </w:p>
        </w:tc>
      </w:tr>
    </w:tbl>
    <w:p w:rsidR="00BB1DA8" w:rsidRPr="00B04DC3" w:rsidRDefault="00BB1DA8" w:rsidP="00BB1DA8">
      <w:pPr>
        <w:pStyle w:val="para"/>
        <w:spacing w:before="240"/>
        <w:rPr>
          <w:lang w:val="en-GB"/>
        </w:rPr>
      </w:pPr>
      <w:r w:rsidRPr="00B04DC3">
        <w:rPr>
          <w:i/>
          <w:lang w:val="en-GB"/>
        </w:rPr>
        <w:tab/>
      </w:r>
      <w:r w:rsidRPr="00B04DC3">
        <w:rPr>
          <w:lang w:val="en-GB"/>
        </w:rPr>
        <w:t>Calculation of the dry to wet correction factor K</w:t>
      </w:r>
      <w:r w:rsidRPr="00B04DC3">
        <w:rPr>
          <w:vertAlign w:val="subscript"/>
          <w:lang w:val="en-GB"/>
        </w:rPr>
        <w:t>W,r</w:t>
      </w:r>
      <w:r w:rsidRPr="00B04DC3">
        <w:rPr>
          <w:lang w:val="en-GB"/>
        </w:rPr>
        <w:t xml:space="preserve"> (Annex 4A, Appendix 1, paragraph 5.2.):</w:t>
      </w:r>
    </w:p>
    <w:p w:rsidR="00BB1DA8" w:rsidRPr="00B04DC3" w:rsidRDefault="00BB1DA8" w:rsidP="00BB1DA8">
      <w:pPr>
        <w:pStyle w:val="para"/>
        <w:spacing w:before="240"/>
        <w:rPr>
          <w:lang w:val="en-GB"/>
        </w:rPr>
      </w:pPr>
      <w:r w:rsidRPr="00B04DC3">
        <w:rPr>
          <w:lang w:val="en-GB"/>
        </w:rPr>
        <w:tab/>
        <w:t>F</w:t>
      </w:r>
      <w:r w:rsidRPr="00B04DC3">
        <w:rPr>
          <w:vertAlign w:val="subscript"/>
          <w:lang w:val="en-GB"/>
        </w:rPr>
        <w:t xml:space="preserve">FH   </w:t>
      </w:r>
      <w:r w:rsidR="00CD250E" w:rsidRPr="00B04DC3">
        <w:rPr>
          <w:position w:val="-64"/>
          <w:lang w:val="en-GB"/>
        </w:rPr>
        <w:object w:dxaOrig="2580" w:dyaOrig="1020">
          <v:shape id="_x0000_i1362" type="#_x0000_t75" style="width:105.6pt;height:41.4pt" o:ole="">
            <v:imagedata r:id="rId532" o:title=""/>
          </v:shape>
          <o:OLEObject Type="Embed" ProgID="Equation.3" ShapeID="_x0000_i1362" DrawAspect="Content" ObjectID="_1498392381" r:id="rId533"/>
        </w:object>
      </w:r>
    </w:p>
    <w:p w:rsidR="00BB1DA8" w:rsidRPr="00B04DC3" w:rsidRDefault="00BB1DA8" w:rsidP="00BB1DA8">
      <w:pPr>
        <w:pStyle w:val="para"/>
        <w:spacing w:before="240"/>
        <w:rPr>
          <w:lang w:val="en-GB"/>
        </w:rPr>
      </w:pPr>
      <w:r w:rsidRPr="00B04DC3">
        <w:rPr>
          <w:lang w:val="en-GB"/>
        </w:rPr>
        <w:tab/>
      </w:r>
      <w:r w:rsidRPr="00B04DC3">
        <w:rPr>
          <w:lang w:val="en-GB"/>
        </w:rPr>
        <w:tab/>
      </w:r>
      <w:bookmarkStart w:id="690" w:name="_MON_1223393266"/>
      <w:bookmarkStart w:id="691" w:name="_MON_1223395057"/>
      <w:bookmarkStart w:id="692" w:name="_MON_1223393162"/>
      <w:bookmarkEnd w:id="690"/>
      <w:bookmarkEnd w:id="691"/>
      <w:bookmarkEnd w:id="692"/>
      <w:bookmarkStart w:id="693" w:name="_MON_1223393230"/>
      <w:bookmarkEnd w:id="693"/>
      <w:r w:rsidR="00CD250E" w:rsidRPr="00B04DC3">
        <w:rPr>
          <w:lang w:val="en-GB"/>
        </w:rPr>
        <w:object w:dxaOrig="3678" w:dyaOrig="644">
          <v:shape id="_x0000_i1363" type="#_x0000_t75" style="width:149.4pt;height:25.8pt" o:ole="" fillcolor="window">
            <v:imagedata r:id="rId534" o:title=""/>
          </v:shape>
          <o:OLEObject Type="Embed" ProgID="Word.Picture.8" ShapeID="_x0000_i1363" DrawAspect="Content" ObjectID="_1498392382" r:id="rId535"/>
        </w:object>
      </w:r>
    </w:p>
    <w:p w:rsidR="00BB1DA8" w:rsidRPr="00B04DC3" w:rsidRDefault="00BB1DA8" w:rsidP="00BB1DA8">
      <w:pPr>
        <w:pStyle w:val="para"/>
        <w:spacing w:before="240"/>
        <w:rPr>
          <w:lang w:val="en-GB"/>
        </w:rPr>
      </w:pPr>
      <w:r w:rsidRPr="00B04DC3">
        <w:rPr>
          <w:lang w:val="en-GB"/>
        </w:rPr>
        <w:tab/>
        <w:t>and</w:t>
      </w:r>
    </w:p>
    <w:p w:rsidR="00BB1DA8" w:rsidRPr="00B04DC3" w:rsidRDefault="00BB1DA8" w:rsidP="00BB1DA8">
      <w:pPr>
        <w:pStyle w:val="para"/>
        <w:spacing w:before="240"/>
        <w:rPr>
          <w:lang w:val="en-GB"/>
        </w:rPr>
      </w:pPr>
      <w:r w:rsidRPr="00B04DC3">
        <w:rPr>
          <w:lang w:val="en-GB"/>
        </w:rPr>
        <w:tab/>
      </w:r>
      <w:r w:rsidRPr="00B04DC3">
        <w:rPr>
          <w:lang w:val="en-GB"/>
        </w:rPr>
        <w:tab/>
      </w:r>
      <w:bookmarkStart w:id="694" w:name="_MON_1223395058"/>
      <w:bookmarkStart w:id="695" w:name="_MON_1352015576"/>
      <w:bookmarkStart w:id="696" w:name="_MON_1364277805"/>
      <w:bookmarkStart w:id="697" w:name="_MON_1364278342"/>
      <w:bookmarkEnd w:id="694"/>
      <w:bookmarkEnd w:id="695"/>
      <w:bookmarkEnd w:id="696"/>
      <w:bookmarkEnd w:id="697"/>
      <w:bookmarkStart w:id="698" w:name="_MON_1223393123"/>
      <w:bookmarkEnd w:id="698"/>
      <w:r w:rsidRPr="00B04DC3">
        <w:rPr>
          <w:lang w:val="en-GB"/>
        </w:rPr>
        <w:object w:dxaOrig="4642" w:dyaOrig="708">
          <v:shape id="_x0000_i1364" type="#_x0000_t75" style="width:202.8pt;height:30.6pt" o:ole="" fillcolor="window">
            <v:imagedata r:id="rId536" o:title=""/>
          </v:shape>
          <o:OLEObject Type="Embed" ProgID="Word.Picture.8" ShapeID="_x0000_i1364" DrawAspect="Content" ObjectID="_1498392383" r:id="rId537"/>
        </w:object>
      </w:r>
    </w:p>
    <w:p w:rsidR="00BB1DA8" w:rsidRPr="00B04DC3" w:rsidRDefault="00BB1DA8" w:rsidP="00BB1DA8">
      <w:pPr>
        <w:pStyle w:val="para"/>
        <w:spacing w:before="240"/>
        <w:ind w:firstLine="0"/>
        <w:rPr>
          <w:lang w:val="en-GB"/>
        </w:rPr>
      </w:pPr>
      <w:r w:rsidRPr="00B04DC3">
        <w:rPr>
          <w:lang w:val="en-GB"/>
        </w:rPr>
        <w:t>Calculation of the wet concentrations:</w:t>
      </w:r>
    </w:p>
    <w:p w:rsidR="00BB1DA8" w:rsidRPr="00B04DC3" w:rsidRDefault="00BB1DA8" w:rsidP="00BB1DA8">
      <w:pPr>
        <w:pStyle w:val="para"/>
        <w:spacing w:before="240"/>
        <w:rPr>
          <w:lang w:val="en-GB"/>
        </w:rPr>
      </w:pPr>
      <w:r w:rsidRPr="00B04DC3">
        <w:rPr>
          <w:lang w:val="en-GB"/>
        </w:rPr>
        <w:tab/>
      </w:r>
      <w:r w:rsidRPr="00B04DC3">
        <w:rPr>
          <w:lang w:val="en-GB"/>
        </w:rPr>
        <w:tab/>
        <w:t xml:space="preserve">CO = 41.2 </w:t>
      </w:r>
      <w:r w:rsidRPr="00B04DC3">
        <w:rPr>
          <w:lang w:val="en-GB"/>
        </w:rPr>
        <w:sym w:font="Symbol" w:char="F0B4"/>
      </w:r>
      <w:r w:rsidRPr="00B04DC3">
        <w:rPr>
          <w:lang w:val="en-GB"/>
        </w:rPr>
        <w:t xml:space="preserve"> 0.9239 = 38.1 ppm</w:t>
      </w:r>
    </w:p>
    <w:p w:rsidR="00BB1DA8" w:rsidRPr="00B04DC3" w:rsidRDefault="00BB1DA8" w:rsidP="00BB1DA8">
      <w:pPr>
        <w:pStyle w:val="para"/>
        <w:spacing w:before="120"/>
        <w:rPr>
          <w:lang w:val="en-GB"/>
        </w:rPr>
      </w:pPr>
      <w:r w:rsidRPr="00B04DC3">
        <w:rPr>
          <w:lang w:val="en-GB"/>
        </w:rPr>
        <w:tab/>
      </w:r>
      <w:r w:rsidRPr="00B04DC3">
        <w:rPr>
          <w:lang w:val="en-GB"/>
        </w:rPr>
        <w:tab/>
        <w:t>NO</w:t>
      </w:r>
      <w:r w:rsidRPr="00B04DC3">
        <w:rPr>
          <w:vertAlign w:val="subscript"/>
          <w:lang w:val="en-GB"/>
        </w:rPr>
        <w:t>x</w:t>
      </w:r>
      <w:r w:rsidRPr="00B04DC3">
        <w:rPr>
          <w:lang w:val="en-GB"/>
        </w:rPr>
        <w:t xml:space="preserve"> = 495 </w:t>
      </w:r>
      <w:r w:rsidRPr="00B04DC3">
        <w:rPr>
          <w:lang w:val="en-GB"/>
        </w:rPr>
        <w:sym w:font="Symbol" w:char="F0B4"/>
      </w:r>
      <w:r w:rsidRPr="00B04DC3">
        <w:rPr>
          <w:lang w:val="en-GB"/>
        </w:rPr>
        <w:t xml:space="preserve"> 0.9239 = 457 ppm</w:t>
      </w:r>
    </w:p>
    <w:p w:rsidR="00BB1DA8" w:rsidRPr="00B04DC3" w:rsidRDefault="00BB1DA8" w:rsidP="00BB1DA8">
      <w:pPr>
        <w:pStyle w:val="para"/>
        <w:spacing w:before="240"/>
        <w:ind w:firstLine="0"/>
        <w:rPr>
          <w:lang w:val="en-GB"/>
        </w:rPr>
      </w:pPr>
      <w:r w:rsidRPr="00B04DC3">
        <w:rPr>
          <w:lang w:val="en-GB"/>
        </w:rPr>
        <w:t>Calculation of the NO</w:t>
      </w:r>
      <w:r w:rsidRPr="00B04DC3">
        <w:rPr>
          <w:vertAlign w:val="subscript"/>
          <w:lang w:val="en-GB"/>
        </w:rPr>
        <w:t>x</w:t>
      </w:r>
      <w:r w:rsidRPr="00B04DC3">
        <w:rPr>
          <w:lang w:val="en-GB"/>
        </w:rPr>
        <w:t xml:space="preserve"> humidity correction factor KH,D (Annex 4A, Appendix 1, paragraph 5.3.):</w:t>
      </w:r>
    </w:p>
    <w:p w:rsidR="00BB1DA8" w:rsidRPr="00B04DC3" w:rsidRDefault="00BB1DA8" w:rsidP="00BB1DA8">
      <w:pPr>
        <w:pStyle w:val="para"/>
        <w:spacing w:before="120"/>
        <w:rPr>
          <w:lang w:val="en-GB"/>
        </w:rPr>
      </w:pPr>
      <w:r w:rsidRPr="00B04DC3">
        <w:rPr>
          <w:lang w:val="en-GB"/>
        </w:rPr>
        <w:tab/>
      </w:r>
      <w:r w:rsidRPr="00B04DC3">
        <w:rPr>
          <w:lang w:val="en-GB"/>
        </w:rPr>
        <w:tab/>
        <w:t xml:space="preserve">A = 0.309 </w:t>
      </w:r>
      <w:r w:rsidRPr="00B04DC3">
        <w:rPr>
          <w:lang w:val="en-GB"/>
        </w:rPr>
        <w:sym w:font="Symbol" w:char="F0B4"/>
      </w:r>
      <w:r w:rsidRPr="00B04DC3">
        <w:rPr>
          <w:lang w:val="en-GB"/>
        </w:rPr>
        <w:t xml:space="preserve"> 18.09/541.06 − 0.0266 = −0.0163</w:t>
      </w:r>
    </w:p>
    <w:p w:rsidR="00BB1DA8" w:rsidRPr="00B04DC3" w:rsidRDefault="00BB1DA8" w:rsidP="00BB1DA8">
      <w:pPr>
        <w:pStyle w:val="para"/>
        <w:spacing w:before="120"/>
        <w:rPr>
          <w:lang w:val="en-GB"/>
        </w:rPr>
      </w:pPr>
      <w:r w:rsidRPr="00B04DC3">
        <w:rPr>
          <w:lang w:val="en-GB"/>
        </w:rPr>
        <w:tab/>
      </w:r>
      <w:r w:rsidRPr="00B04DC3">
        <w:rPr>
          <w:lang w:val="en-GB"/>
        </w:rPr>
        <w:tab/>
        <w:t xml:space="preserve">B = − 0.209 </w:t>
      </w:r>
      <w:r w:rsidRPr="00B04DC3">
        <w:rPr>
          <w:lang w:val="en-GB"/>
        </w:rPr>
        <w:sym w:font="Symbol" w:char="F0B4"/>
      </w:r>
      <w:r w:rsidRPr="00B04DC3">
        <w:rPr>
          <w:lang w:val="en-GB"/>
        </w:rPr>
        <w:t xml:space="preserve"> 18.09/541.06 + 0.00954 = 0.0026</w:t>
      </w:r>
    </w:p>
    <w:bookmarkStart w:id="699" w:name="_MON_1223393365"/>
    <w:bookmarkEnd w:id="699"/>
    <w:bookmarkStart w:id="700" w:name="_MON_1223395061"/>
    <w:bookmarkEnd w:id="700"/>
    <w:p w:rsidR="00214035" w:rsidRDefault="00CD250E" w:rsidP="00BB1DA8">
      <w:pPr>
        <w:pStyle w:val="para"/>
        <w:spacing w:before="240"/>
        <w:ind w:firstLine="0"/>
        <w:rPr>
          <w:lang w:val="en-GB"/>
        </w:rPr>
      </w:pPr>
      <w:r w:rsidRPr="00B04DC3">
        <w:rPr>
          <w:lang w:val="en-GB"/>
        </w:rPr>
        <w:object w:dxaOrig="6520" w:dyaOrig="644">
          <v:shape id="_x0000_i1365" type="#_x0000_t75" style="width:271.2pt;height:27.6pt" o:ole="" fillcolor="window">
            <v:imagedata r:id="rId538" o:title=""/>
          </v:shape>
          <o:OLEObject Type="Embed" ProgID="Word.Picture.8" ShapeID="_x0000_i1365" DrawAspect="Content" ObjectID="_1498392384" r:id="rId539"/>
        </w:object>
      </w:r>
      <w:r w:rsidR="00BB1DA8" w:rsidRPr="00B04DC3">
        <w:rPr>
          <w:lang w:val="en-GB"/>
        </w:rPr>
        <w:tab/>
      </w:r>
    </w:p>
    <w:p w:rsidR="00BB1DA8" w:rsidRPr="00B04DC3" w:rsidRDefault="00BB1DA8" w:rsidP="00CD250E">
      <w:pPr>
        <w:pStyle w:val="para"/>
        <w:keepNext/>
        <w:keepLines/>
        <w:spacing w:before="240"/>
        <w:ind w:firstLine="0"/>
        <w:rPr>
          <w:lang w:val="en-GB"/>
        </w:rPr>
      </w:pPr>
      <w:r w:rsidRPr="00B04DC3">
        <w:rPr>
          <w:lang w:val="en-GB"/>
        </w:rPr>
        <w:t>Calculation of the emission mass flow rates (Annex 4A, Appendix 1, paragraph 5.4.):</w:t>
      </w:r>
    </w:p>
    <w:p w:rsidR="00BB1DA8" w:rsidRPr="00B04DC3" w:rsidRDefault="00BB1DA8" w:rsidP="00BB1DA8">
      <w:pPr>
        <w:pStyle w:val="para"/>
        <w:spacing w:before="240"/>
        <w:rPr>
          <w:lang w:val="en-GB"/>
        </w:rPr>
      </w:pPr>
      <w:r w:rsidRPr="00B04DC3">
        <w:rPr>
          <w:lang w:val="en-GB"/>
        </w:rPr>
        <w:tab/>
      </w:r>
      <w:r w:rsidRPr="00B04DC3">
        <w:rPr>
          <w:lang w:val="en-GB"/>
        </w:rPr>
        <w:tab/>
        <w:t>NO</w:t>
      </w:r>
      <w:r w:rsidRPr="00B04DC3">
        <w:rPr>
          <w:vertAlign w:val="subscript"/>
          <w:lang w:val="en-GB"/>
        </w:rPr>
        <w:t>x</w:t>
      </w:r>
      <w:r w:rsidRPr="00B04DC3">
        <w:rPr>
          <w:lang w:val="en-GB"/>
        </w:rPr>
        <w:t xml:space="preserve"> = 0.001587 </w:t>
      </w:r>
      <w:r w:rsidRPr="00B04DC3">
        <w:rPr>
          <w:lang w:val="en-GB"/>
        </w:rPr>
        <w:sym w:font="Symbol" w:char="F0B4"/>
      </w:r>
      <w:r w:rsidRPr="00B04DC3">
        <w:rPr>
          <w:lang w:val="en-GB"/>
        </w:rPr>
        <w:t xml:space="preserve"> 457 </w:t>
      </w:r>
      <w:r w:rsidRPr="00B04DC3">
        <w:rPr>
          <w:lang w:val="en-GB"/>
        </w:rPr>
        <w:sym w:font="Symbol" w:char="F0B4"/>
      </w:r>
      <w:r w:rsidRPr="00B04DC3">
        <w:rPr>
          <w:lang w:val="en-GB"/>
        </w:rPr>
        <w:t xml:space="preserve"> 0.9625 </w:t>
      </w:r>
      <w:r w:rsidRPr="00B04DC3">
        <w:rPr>
          <w:lang w:val="en-GB"/>
        </w:rPr>
        <w:sym w:font="Symbol" w:char="F0B4"/>
      </w:r>
      <w:r w:rsidRPr="00B04DC3">
        <w:rPr>
          <w:lang w:val="en-GB"/>
        </w:rPr>
        <w:t xml:space="preserve"> 563.38 = 393.27 g/h</w:t>
      </w:r>
    </w:p>
    <w:p w:rsidR="00BB1DA8" w:rsidRPr="00B04DC3" w:rsidRDefault="00BB1DA8" w:rsidP="00BB1DA8">
      <w:pPr>
        <w:pStyle w:val="para"/>
        <w:spacing w:before="240"/>
        <w:rPr>
          <w:lang w:val="en-GB"/>
        </w:rPr>
      </w:pPr>
      <w:r w:rsidRPr="00B04DC3">
        <w:rPr>
          <w:lang w:val="en-GB"/>
        </w:rPr>
        <w:tab/>
      </w:r>
      <w:r w:rsidRPr="00B04DC3">
        <w:rPr>
          <w:lang w:val="en-GB"/>
        </w:rPr>
        <w:tab/>
        <w:t xml:space="preserve">CO = 0.000966 </w:t>
      </w:r>
      <w:r w:rsidRPr="00B04DC3">
        <w:rPr>
          <w:lang w:val="en-GB"/>
        </w:rPr>
        <w:sym w:font="Symbol" w:char="F0B4"/>
      </w:r>
      <w:r w:rsidRPr="00B04DC3">
        <w:rPr>
          <w:lang w:val="en-GB"/>
        </w:rPr>
        <w:t xml:space="preserve"> 38.1 </w:t>
      </w:r>
      <w:r w:rsidRPr="00B04DC3">
        <w:rPr>
          <w:lang w:val="en-GB"/>
        </w:rPr>
        <w:sym w:font="Symbol" w:char="F0B4"/>
      </w:r>
      <w:r w:rsidRPr="00B04DC3">
        <w:rPr>
          <w:lang w:val="en-GB"/>
        </w:rPr>
        <w:t xml:space="preserve"> 563.38 = 20.735 g/h</w:t>
      </w:r>
    </w:p>
    <w:p w:rsidR="00BB1DA8" w:rsidRPr="00B04DC3" w:rsidRDefault="00BB1DA8" w:rsidP="00BB1DA8">
      <w:pPr>
        <w:pStyle w:val="para"/>
        <w:spacing w:before="240"/>
        <w:rPr>
          <w:lang w:val="en-GB"/>
        </w:rPr>
      </w:pPr>
      <w:r w:rsidRPr="00B04DC3">
        <w:rPr>
          <w:lang w:val="en-GB"/>
        </w:rPr>
        <w:tab/>
      </w:r>
      <w:r w:rsidRPr="00B04DC3">
        <w:rPr>
          <w:lang w:val="en-GB"/>
        </w:rPr>
        <w:tab/>
        <w:t xml:space="preserve">HC = 0.000479 </w:t>
      </w:r>
      <w:r w:rsidRPr="00B04DC3">
        <w:rPr>
          <w:lang w:val="en-GB"/>
        </w:rPr>
        <w:sym w:font="Symbol" w:char="F0B4"/>
      </w:r>
      <w:r w:rsidRPr="00B04DC3">
        <w:rPr>
          <w:lang w:val="en-GB"/>
        </w:rPr>
        <w:t xml:space="preserve"> 6.3 </w:t>
      </w:r>
      <w:r w:rsidRPr="00B04DC3">
        <w:rPr>
          <w:lang w:val="en-GB"/>
        </w:rPr>
        <w:sym w:font="Symbol" w:char="F0B4"/>
      </w:r>
      <w:r w:rsidRPr="00B04DC3">
        <w:rPr>
          <w:lang w:val="en-GB"/>
        </w:rPr>
        <w:t xml:space="preserve"> 3 </w:t>
      </w:r>
      <w:r w:rsidRPr="00B04DC3">
        <w:rPr>
          <w:lang w:val="en-GB"/>
        </w:rPr>
        <w:sym w:font="Symbol" w:char="F0B4"/>
      </w:r>
      <w:r w:rsidRPr="00B04DC3">
        <w:rPr>
          <w:lang w:val="en-GB"/>
        </w:rPr>
        <w:t xml:space="preserve"> 563.38 = 5.100 g/h</w:t>
      </w:r>
    </w:p>
    <w:p w:rsidR="00BB1DA8" w:rsidRPr="00B04DC3" w:rsidRDefault="00BB1DA8" w:rsidP="00BB1DA8">
      <w:pPr>
        <w:pStyle w:val="para"/>
        <w:spacing w:before="240"/>
        <w:rPr>
          <w:lang w:val="en-GB"/>
        </w:rPr>
      </w:pPr>
      <w:r w:rsidRPr="00B04DC3">
        <w:rPr>
          <w:i/>
          <w:lang w:val="en-GB"/>
        </w:rPr>
        <w:tab/>
      </w:r>
      <w:r w:rsidRPr="00B04DC3">
        <w:rPr>
          <w:lang w:val="en-GB"/>
        </w:rPr>
        <w:t>Calculation of the specific emissions (Annex 4A, Appendix 1, paragraph 5.5.):</w:t>
      </w:r>
    </w:p>
    <w:p w:rsidR="00BB1DA8" w:rsidRPr="00B04DC3" w:rsidRDefault="00BB1DA8" w:rsidP="00BB1DA8">
      <w:pPr>
        <w:pStyle w:val="para"/>
        <w:spacing w:before="240"/>
        <w:rPr>
          <w:lang w:val="en-GB"/>
        </w:rPr>
      </w:pPr>
      <w:r w:rsidRPr="00B04DC3">
        <w:rPr>
          <w:lang w:val="en-GB"/>
        </w:rPr>
        <w:tab/>
        <w:t>The following example calculation is given for CO; the calculation procedure is identical for the other components.</w:t>
      </w:r>
    </w:p>
    <w:p w:rsidR="00BB1DA8" w:rsidRPr="00B04DC3" w:rsidRDefault="00BB1DA8" w:rsidP="00BB1DA8">
      <w:pPr>
        <w:pStyle w:val="para"/>
        <w:spacing w:before="240"/>
        <w:rPr>
          <w:lang w:val="en-GB"/>
        </w:rPr>
      </w:pPr>
      <w:r w:rsidRPr="00B04DC3">
        <w:rPr>
          <w:lang w:val="en-GB"/>
        </w:rPr>
        <w:tab/>
        <w:t>The emission mass flow rates of the individual modes are multiplied by the respective weighting factors, as indicated in Annex 4A, Appendix 1, paragraph 2.7.1., and summed up to result in the mean emission mass flow rate over the cycle:</w:t>
      </w:r>
    </w:p>
    <w:p w:rsidR="00BB1DA8" w:rsidRPr="00B04DC3" w:rsidRDefault="00BB1DA8" w:rsidP="00BB1DA8">
      <w:pPr>
        <w:pStyle w:val="para"/>
        <w:tabs>
          <w:tab w:val="left" w:pos="2694"/>
        </w:tabs>
        <w:spacing w:before="240"/>
        <w:ind w:left="3119" w:hanging="860"/>
        <w:rPr>
          <w:lang w:val="en-GB"/>
        </w:rPr>
      </w:pPr>
      <w:r w:rsidRPr="00B04DC3">
        <w:rPr>
          <w:lang w:val="en-GB"/>
        </w:rPr>
        <w:t>CO</w:t>
      </w:r>
      <w:r w:rsidRPr="00B04DC3">
        <w:rPr>
          <w:lang w:val="en-GB"/>
        </w:rPr>
        <w:tab/>
        <w:t>=</w:t>
      </w:r>
      <w:r w:rsidRPr="00B04DC3">
        <w:rPr>
          <w:lang w:val="en-GB"/>
        </w:rPr>
        <w:tab/>
        <w:t xml:space="preserve">(6.7 </w:t>
      </w:r>
      <w:r w:rsidRPr="00B04DC3">
        <w:rPr>
          <w:lang w:val="en-GB"/>
        </w:rPr>
        <w:sym w:font="Symbol" w:char="F0B4"/>
      </w:r>
      <w:r w:rsidRPr="00B04DC3">
        <w:rPr>
          <w:lang w:val="en-GB"/>
        </w:rPr>
        <w:t xml:space="preserve"> 0.15) + (24.6 </w:t>
      </w:r>
      <w:r w:rsidRPr="00B04DC3">
        <w:rPr>
          <w:lang w:val="en-GB"/>
        </w:rPr>
        <w:sym w:font="Symbol" w:char="F0B4"/>
      </w:r>
      <w:r w:rsidRPr="00B04DC3">
        <w:rPr>
          <w:lang w:val="en-GB"/>
        </w:rPr>
        <w:t xml:space="preserve"> 0.08) + (20.5 </w:t>
      </w:r>
      <w:r w:rsidRPr="00B04DC3">
        <w:rPr>
          <w:lang w:val="en-GB"/>
        </w:rPr>
        <w:sym w:font="Symbol" w:char="F0B4"/>
      </w:r>
      <w:r w:rsidRPr="00B04DC3">
        <w:rPr>
          <w:lang w:val="en-GB"/>
        </w:rPr>
        <w:t xml:space="preserve"> 0.10) + (20.7 </w:t>
      </w:r>
      <w:r w:rsidRPr="00B04DC3">
        <w:rPr>
          <w:lang w:val="en-GB"/>
        </w:rPr>
        <w:sym w:font="Symbol" w:char="F0B4"/>
      </w:r>
      <w:r w:rsidRPr="00B04DC3">
        <w:rPr>
          <w:lang w:val="en-GB"/>
        </w:rPr>
        <w:t xml:space="preserve"> 0.10) + </w:t>
      </w:r>
      <w:r w:rsidRPr="00B04DC3">
        <w:rPr>
          <w:lang w:val="en-GB"/>
        </w:rPr>
        <w:br/>
        <w:t xml:space="preserve">(20.6 </w:t>
      </w:r>
      <w:r w:rsidRPr="00B04DC3">
        <w:rPr>
          <w:lang w:val="en-GB"/>
        </w:rPr>
        <w:sym w:font="Symbol" w:char="F0B4"/>
      </w:r>
      <w:r w:rsidRPr="00B04DC3">
        <w:rPr>
          <w:lang w:val="en-GB"/>
        </w:rPr>
        <w:t xml:space="preserve"> 0.05) + (15.0 </w:t>
      </w:r>
      <w:r w:rsidRPr="00B04DC3">
        <w:rPr>
          <w:lang w:val="en-GB"/>
        </w:rPr>
        <w:sym w:font="Symbol" w:char="F0B4"/>
      </w:r>
      <w:r w:rsidRPr="00B04DC3">
        <w:rPr>
          <w:lang w:val="en-GB"/>
        </w:rPr>
        <w:t xml:space="preserve"> 0.05) + (19.7 </w:t>
      </w:r>
      <w:r w:rsidRPr="00B04DC3">
        <w:rPr>
          <w:lang w:val="en-GB"/>
        </w:rPr>
        <w:sym w:font="Symbol" w:char="F0B4"/>
      </w:r>
      <w:r w:rsidRPr="00B04DC3">
        <w:rPr>
          <w:lang w:val="en-GB"/>
        </w:rPr>
        <w:t xml:space="preserve"> 0.05) + (74.5 </w:t>
      </w:r>
      <w:r w:rsidRPr="00B04DC3">
        <w:rPr>
          <w:lang w:val="en-GB"/>
        </w:rPr>
        <w:sym w:font="Symbol" w:char="F0B4"/>
      </w:r>
      <w:r w:rsidRPr="00B04DC3">
        <w:rPr>
          <w:lang w:val="en-GB"/>
        </w:rPr>
        <w:t xml:space="preserve"> 0.09) + (31.5 </w:t>
      </w:r>
      <w:r w:rsidRPr="00B04DC3">
        <w:rPr>
          <w:lang w:val="en-GB"/>
        </w:rPr>
        <w:sym w:font="Symbol" w:char="F0B4"/>
      </w:r>
      <w:r w:rsidRPr="00B04DC3">
        <w:rPr>
          <w:lang w:val="en-GB"/>
        </w:rPr>
        <w:t xml:space="preserve"> 0.10) + (81.9 </w:t>
      </w:r>
      <w:r w:rsidRPr="00B04DC3">
        <w:rPr>
          <w:lang w:val="en-GB"/>
        </w:rPr>
        <w:sym w:font="Symbol" w:char="F0B4"/>
      </w:r>
      <w:r w:rsidRPr="00B04DC3">
        <w:rPr>
          <w:lang w:val="en-GB"/>
        </w:rPr>
        <w:t xml:space="preserve"> 0.08) + (34.8 </w:t>
      </w:r>
      <w:r w:rsidRPr="00B04DC3">
        <w:rPr>
          <w:lang w:val="en-GB"/>
        </w:rPr>
        <w:sym w:font="Symbol" w:char="F0B4"/>
      </w:r>
      <w:r w:rsidRPr="00B04DC3">
        <w:rPr>
          <w:lang w:val="en-GB"/>
        </w:rPr>
        <w:t xml:space="preserve"> 0.05) + (30.8 </w:t>
      </w:r>
      <w:r w:rsidRPr="00B04DC3">
        <w:rPr>
          <w:lang w:val="en-GB"/>
        </w:rPr>
        <w:sym w:font="Symbol" w:char="F0B4"/>
      </w:r>
      <w:r w:rsidRPr="00B04DC3">
        <w:rPr>
          <w:lang w:val="en-GB"/>
        </w:rPr>
        <w:t xml:space="preserve"> 0.05)+ (27.3 </w:t>
      </w:r>
      <w:r w:rsidRPr="00B04DC3">
        <w:rPr>
          <w:lang w:val="en-GB"/>
        </w:rPr>
        <w:sym w:font="Symbol" w:char="F0B4"/>
      </w:r>
      <w:r w:rsidRPr="00B04DC3">
        <w:rPr>
          <w:lang w:val="en-GB"/>
        </w:rPr>
        <w:t xml:space="preserve"> 0.05) = 30.91 g/h</w:t>
      </w:r>
    </w:p>
    <w:p w:rsidR="00BB1DA8" w:rsidRPr="00B04DC3" w:rsidRDefault="00BB1DA8" w:rsidP="00BB1DA8">
      <w:pPr>
        <w:pStyle w:val="para"/>
        <w:spacing w:before="240"/>
        <w:rPr>
          <w:lang w:val="en-GB"/>
        </w:rPr>
      </w:pPr>
      <w:r w:rsidRPr="00B04DC3">
        <w:rPr>
          <w:lang w:val="en-GB"/>
        </w:rPr>
        <w:tab/>
        <w:t>The engine power of the individual modes is multiplied by the respective weighting factors, as indicated in Annex 4A, Appendix 1, paragraph 2.7.1., and summed up to result in the mean cycle power:</w:t>
      </w:r>
    </w:p>
    <w:p w:rsidR="00BB1DA8" w:rsidRPr="00B04DC3" w:rsidRDefault="00BB1DA8" w:rsidP="00BB1DA8">
      <w:pPr>
        <w:pStyle w:val="para"/>
        <w:tabs>
          <w:tab w:val="left" w:pos="2694"/>
        </w:tabs>
        <w:spacing w:before="240"/>
        <w:ind w:left="3119" w:hanging="851"/>
        <w:rPr>
          <w:lang w:val="en-GB"/>
        </w:rPr>
      </w:pPr>
      <w:r w:rsidRPr="00B04DC3">
        <w:rPr>
          <w:lang w:val="en-GB"/>
        </w:rPr>
        <w:t>P(n)</w:t>
      </w:r>
      <w:r w:rsidRPr="00B04DC3">
        <w:rPr>
          <w:lang w:val="en-GB"/>
        </w:rPr>
        <w:tab/>
        <w:t>=</w:t>
      </w:r>
      <w:r w:rsidRPr="00B04DC3">
        <w:rPr>
          <w:lang w:val="en-GB"/>
        </w:rPr>
        <w:tab/>
        <w:t xml:space="preserve">(0.1 </w:t>
      </w:r>
      <w:r w:rsidRPr="00B04DC3">
        <w:rPr>
          <w:lang w:val="en-GB"/>
        </w:rPr>
        <w:sym w:font="Symbol" w:char="F0B4"/>
      </w:r>
      <w:r w:rsidRPr="00B04DC3">
        <w:rPr>
          <w:lang w:val="en-GB"/>
        </w:rPr>
        <w:t xml:space="preserve"> 0.15) + (96.8 </w:t>
      </w:r>
      <w:r w:rsidRPr="00B04DC3">
        <w:rPr>
          <w:lang w:val="en-GB"/>
        </w:rPr>
        <w:sym w:font="Symbol" w:char="F0B4"/>
      </w:r>
      <w:r w:rsidRPr="00B04DC3">
        <w:rPr>
          <w:lang w:val="en-GB"/>
        </w:rPr>
        <w:t xml:space="preserve"> 0.08) + (55.2 </w:t>
      </w:r>
      <w:r w:rsidRPr="00B04DC3">
        <w:rPr>
          <w:lang w:val="en-GB"/>
        </w:rPr>
        <w:sym w:font="Symbol" w:char="F0B4"/>
      </w:r>
      <w:r w:rsidRPr="00B04DC3">
        <w:rPr>
          <w:lang w:val="en-GB"/>
        </w:rPr>
        <w:t xml:space="preserve"> 0.10) + (82.9 </w:t>
      </w:r>
      <w:r w:rsidRPr="00B04DC3">
        <w:rPr>
          <w:lang w:val="en-GB"/>
        </w:rPr>
        <w:sym w:font="Symbol" w:char="F0B4"/>
      </w:r>
      <w:r w:rsidRPr="00B04DC3">
        <w:rPr>
          <w:lang w:val="en-GB"/>
        </w:rPr>
        <w:t xml:space="preserve"> 0.10) + </w:t>
      </w:r>
      <w:r w:rsidRPr="00B04DC3">
        <w:rPr>
          <w:lang w:val="en-GB"/>
        </w:rPr>
        <w:br/>
        <w:t xml:space="preserve">(46.8 </w:t>
      </w:r>
      <w:r w:rsidRPr="00B04DC3">
        <w:rPr>
          <w:lang w:val="en-GB"/>
        </w:rPr>
        <w:sym w:font="Symbol" w:char="F0B4"/>
      </w:r>
      <w:r w:rsidRPr="00B04DC3">
        <w:rPr>
          <w:lang w:val="en-GB"/>
        </w:rPr>
        <w:t xml:space="preserve"> 0.05) + (70.1 </w:t>
      </w:r>
      <w:r w:rsidRPr="00B04DC3">
        <w:rPr>
          <w:lang w:val="en-GB"/>
        </w:rPr>
        <w:sym w:font="Symbol" w:char="F0B4"/>
      </w:r>
      <w:r w:rsidRPr="00B04DC3">
        <w:rPr>
          <w:lang w:val="en-GB"/>
        </w:rPr>
        <w:t xml:space="preserve"> 0.05) + (23.0 </w:t>
      </w:r>
      <w:r w:rsidRPr="00B04DC3">
        <w:rPr>
          <w:lang w:val="en-GB"/>
        </w:rPr>
        <w:sym w:font="Symbol" w:char="F0B4"/>
      </w:r>
      <w:r w:rsidRPr="00B04DC3">
        <w:rPr>
          <w:lang w:val="en-GB"/>
        </w:rPr>
        <w:t xml:space="preserve"> 0.05) + (114.3 </w:t>
      </w:r>
      <w:r w:rsidRPr="00B04DC3">
        <w:rPr>
          <w:lang w:val="en-GB"/>
        </w:rPr>
        <w:sym w:font="Symbol" w:char="F0B4"/>
      </w:r>
      <w:r w:rsidRPr="00B04DC3">
        <w:rPr>
          <w:lang w:val="en-GB"/>
        </w:rPr>
        <w:t xml:space="preserve"> 0.09) + (27.0 </w:t>
      </w:r>
      <w:r w:rsidRPr="00B04DC3">
        <w:rPr>
          <w:lang w:val="en-GB"/>
        </w:rPr>
        <w:sym w:font="Symbol" w:char="F0B4"/>
      </w:r>
      <w:r w:rsidRPr="00B04DC3">
        <w:rPr>
          <w:lang w:val="en-GB"/>
        </w:rPr>
        <w:t xml:space="preserve"> 0.10) + (122.0 </w:t>
      </w:r>
      <w:r w:rsidRPr="00B04DC3">
        <w:rPr>
          <w:lang w:val="en-GB"/>
        </w:rPr>
        <w:sym w:font="Symbol" w:char="F0B4"/>
      </w:r>
      <w:r w:rsidRPr="00B04DC3">
        <w:rPr>
          <w:lang w:val="en-GB"/>
        </w:rPr>
        <w:t xml:space="preserve"> 0.08) + (28.6 </w:t>
      </w:r>
      <w:r w:rsidRPr="00B04DC3">
        <w:rPr>
          <w:lang w:val="en-GB"/>
        </w:rPr>
        <w:sym w:font="Symbol" w:char="F0B4"/>
      </w:r>
      <w:r w:rsidRPr="00B04DC3">
        <w:rPr>
          <w:lang w:val="en-GB"/>
        </w:rPr>
        <w:t xml:space="preserve"> 0.05) + (87.4 </w:t>
      </w:r>
      <w:r w:rsidRPr="00B04DC3">
        <w:rPr>
          <w:lang w:val="en-GB"/>
        </w:rPr>
        <w:sym w:font="Symbol" w:char="F0B4"/>
      </w:r>
      <w:r w:rsidRPr="00B04DC3">
        <w:rPr>
          <w:lang w:val="en-GB"/>
        </w:rPr>
        <w:t xml:space="preserve"> 0.05) + (57.9 </w:t>
      </w:r>
      <w:r w:rsidRPr="00B04DC3">
        <w:rPr>
          <w:lang w:val="en-GB"/>
        </w:rPr>
        <w:sym w:font="Symbol" w:char="F0B4"/>
      </w:r>
      <w:r w:rsidRPr="00B04DC3">
        <w:rPr>
          <w:lang w:val="en-GB"/>
        </w:rPr>
        <w:t xml:space="preserve"> 0.05) = 60.006 kW</w:t>
      </w:r>
    </w:p>
    <w:p w:rsidR="00BB1DA8" w:rsidRPr="00B04DC3" w:rsidRDefault="00BB1DA8" w:rsidP="00BB1DA8">
      <w:pPr>
        <w:pStyle w:val="para"/>
        <w:spacing w:before="240"/>
        <w:rPr>
          <w:lang w:val="en-GB"/>
        </w:rPr>
      </w:pPr>
      <w:r w:rsidRPr="00B04DC3">
        <w:rPr>
          <w:lang w:val="en-GB"/>
        </w:rPr>
        <w:tab/>
      </w:r>
      <w:bookmarkStart w:id="701" w:name="_MON_1223393573"/>
      <w:bookmarkEnd w:id="701"/>
      <w:bookmarkStart w:id="702" w:name="_MON_1223395062"/>
      <w:bookmarkEnd w:id="702"/>
      <w:r w:rsidR="00955494" w:rsidRPr="00B04DC3">
        <w:rPr>
          <w:lang w:val="en-GB"/>
        </w:rPr>
        <w:object w:dxaOrig="2958" w:dyaOrig="643">
          <v:shape id="_x0000_i1366" type="#_x0000_t75" style="width:118.2pt;height:25.8pt" o:ole="" fillcolor="window">
            <v:imagedata r:id="rId540" o:title=""/>
          </v:shape>
          <o:OLEObject Type="Embed" ProgID="Word.Picture.8" ShapeID="_x0000_i1366" DrawAspect="Content" ObjectID="_1498392385" r:id="rId541"/>
        </w:object>
      </w:r>
    </w:p>
    <w:p w:rsidR="00BB1DA8" w:rsidRPr="00B04DC3" w:rsidRDefault="00BB1DA8" w:rsidP="00BB1DA8">
      <w:pPr>
        <w:pStyle w:val="para"/>
        <w:spacing w:before="240"/>
        <w:rPr>
          <w:lang w:val="en-GB"/>
        </w:rPr>
      </w:pPr>
      <w:r w:rsidRPr="00B04DC3">
        <w:rPr>
          <w:lang w:val="en-GB"/>
        </w:rPr>
        <w:tab/>
        <w:t>Calculation of the specific NO</w:t>
      </w:r>
      <w:r w:rsidRPr="001829E6">
        <w:rPr>
          <w:vertAlign w:val="subscript"/>
          <w:lang w:val="en-GB"/>
        </w:rPr>
        <w:t>x</w:t>
      </w:r>
      <w:r w:rsidRPr="00B04DC3">
        <w:rPr>
          <w:lang w:val="en-GB"/>
        </w:rPr>
        <w:t xml:space="preserve"> emission of the random point (Annex 4A, Appendix 1, paragraph 5.6.1.):</w:t>
      </w:r>
    </w:p>
    <w:p w:rsidR="00BB1DA8" w:rsidRPr="00B04DC3" w:rsidRDefault="00BB1DA8" w:rsidP="00BB1DA8">
      <w:pPr>
        <w:pStyle w:val="para"/>
        <w:spacing w:before="240"/>
        <w:rPr>
          <w:lang w:val="en-GB"/>
        </w:rPr>
      </w:pPr>
      <w:r w:rsidRPr="00B04DC3">
        <w:rPr>
          <w:lang w:val="en-GB"/>
        </w:rPr>
        <w:tab/>
        <w:t>Assume the following values have been determined on the random point:</w:t>
      </w:r>
    </w:p>
    <w:p w:rsidR="00BB1DA8" w:rsidRPr="00B04DC3" w:rsidRDefault="00BB1DA8" w:rsidP="00BB1DA8">
      <w:pPr>
        <w:pStyle w:val="para"/>
        <w:tabs>
          <w:tab w:val="left" w:pos="3402"/>
        </w:tabs>
        <w:spacing w:before="240"/>
        <w:ind w:firstLine="0"/>
        <w:rPr>
          <w:lang w:val="en-GB"/>
        </w:rPr>
      </w:pPr>
      <w:r w:rsidRPr="00B04DC3">
        <w:rPr>
          <w:lang w:val="en-GB"/>
        </w:rPr>
        <w:t>n</w:t>
      </w:r>
      <w:r w:rsidRPr="00B04DC3">
        <w:rPr>
          <w:vertAlign w:val="subscript"/>
          <w:lang w:val="en-GB"/>
        </w:rPr>
        <w:t>Z</w:t>
      </w:r>
      <w:r w:rsidRPr="00B04DC3">
        <w:rPr>
          <w:lang w:val="en-GB"/>
        </w:rPr>
        <w:tab/>
        <w:t>1,600 min</w:t>
      </w:r>
      <w:r w:rsidRPr="00B04DC3">
        <w:rPr>
          <w:vertAlign w:val="superscript"/>
          <w:lang w:val="en-GB"/>
        </w:rPr>
        <w:t>−1</w:t>
      </w:r>
    </w:p>
    <w:p w:rsidR="00BB1DA8" w:rsidRPr="00B04DC3" w:rsidRDefault="00BB1DA8" w:rsidP="00BB1DA8">
      <w:pPr>
        <w:pStyle w:val="para"/>
        <w:tabs>
          <w:tab w:val="left" w:pos="3402"/>
        </w:tabs>
        <w:spacing w:before="240"/>
        <w:ind w:firstLine="0"/>
        <w:rPr>
          <w:lang w:val="en-GB"/>
        </w:rPr>
      </w:pPr>
      <w:r w:rsidRPr="00B04DC3">
        <w:rPr>
          <w:lang w:val="en-GB"/>
        </w:rPr>
        <w:t>M</w:t>
      </w:r>
      <w:r w:rsidRPr="00B04DC3">
        <w:rPr>
          <w:vertAlign w:val="subscript"/>
          <w:lang w:val="en-GB"/>
        </w:rPr>
        <w:t>Z</w:t>
      </w:r>
      <w:r w:rsidRPr="00B04DC3">
        <w:rPr>
          <w:lang w:val="en-GB"/>
        </w:rPr>
        <w:tab/>
        <w:t>495 Nm</w:t>
      </w:r>
    </w:p>
    <w:p w:rsidR="00BB1DA8" w:rsidRPr="00B04DC3" w:rsidRDefault="00BB1DA8" w:rsidP="00BB1DA8">
      <w:pPr>
        <w:pStyle w:val="para"/>
        <w:tabs>
          <w:tab w:val="left" w:pos="3402"/>
        </w:tabs>
        <w:spacing w:before="240"/>
        <w:ind w:firstLine="0"/>
        <w:rPr>
          <w:lang w:val="en-GB"/>
        </w:rPr>
      </w:pPr>
      <w:r w:rsidRPr="00B04DC3">
        <w:rPr>
          <w:lang w:val="en-GB"/>
        </w:rPr>
        <w:t>NO</w:t>
      </w:r>
      <w:r w:rsidRPr="00B04DC3">
        <w:rPr>
          <w:vertAlign w:val="subscript"/>
          <w:lang w:val="en-GB"/>
        </w:rPr>
        <w:t>x mass,Z</w:t>
      </w:r>
      <w:r w:rsidRPr="00B04DC3">
        <w:rPr>
          <w:lang w:val="en-GB"/>
        </w:rPr>
        <w:tab/>
        <w:t>487.9 g/h (calculated according to the previous formulae)</w:t>
      </w:r>
    </w:p>
    <w:p w:rsidR="00BB1DA8" w:rsidRPr="00B04DC3" w:rsidRDefault="00BB1DA8" w:rsidP="00BB1DA8">
      <w:pPr>
        <w:pStyle w:val="para"/>
        <w:tabs>
          <w:tab w:val="left" w:pos="3402"/>
        </w:tabs>
        <w:spacing w:before="240"/>
        <w:ind w:firstLine="0"/>
        <w:rPr>
          <w:lang w:val="en-GB"/>
        </w:rPr>
      </w:pPr>
      <w:r w:rsidRPr="00B04DC3">
        <w:rPr>
          <w:lang w:val="en-GB"/>
        </w:rPr>
        <w:t>P(n)</w:t>
      </w:r>
      <w:r w:rsidRPr="00B04DC3">
        <w:rPr>
          <w:vertAlign w:val="subscript"/>
          <w:lang w:val="en-GB"/>
        </w:rPr>
        <w:t>Z</w:t>
      </w:r>
      <w:r w:rsidRPr="00B04DC3">
        <w:rPr>
          <w:lang w:val="en-GB"/>
        </w:rPr>
        <w:tab/>
        <w:t>83 kW</w:t>
      </w:r>
    </w:p>
    <w:p w:rsidR="00BB1DA8" w:rsidRPr="00B04DC3" w:rsidRDefault="00BB1DA8" w:rsidP="00BB1DA8">
      <w:pPr>
        <w:pStyle w:val="para"/>
        <w:tabs>
          <w:tab w:val="left" w:pos="3402"/>
        </w:tabs>
        <w:spacing w:before="240"/>
        <w:ind w:firstLine="0"/>
        <w:rPr>
          <w:lang w:val="en-GB"/>
        </w:rPr>
      </w:pPr>
      <w:r w:rsidRPr="00B04DC3">
        <w:rPr>
          <w:lang w:val="en-GB"/>
        </w:rPr>
        <w:t>NO</w:t>
      </w:r>
      <w:r w:rsidRPr="00B04DC3">
        <w:rPr>
          <w:vertAlign w:val="subscript"/>
          <w:lang w:val="en-GB"/>
        </w:rPr>
        <w:t>x,Z</w:t>
      </w:r>
      <w:r w:rsidRPr="00B04DC3">
        <w:rPr>
          <w:lang w:val="en-GB"/>
        </w:rPr>
        <w:tab/>
        <w:t>487.9/83 = 5.878 g/kWh</w:t>
      </w:r>
    </w:p>
    <w:p w:rsidR="00BB1DA8" w:rsidRPr="00B04DC3" w:rsidRDefault="00BB1DA8" w:rsidP="00BB1DA8">
      <w:pPr>
        <w:pStyle w:val="para"/>
        <w:spacing w:before="240"/>
        <w:rPr>
          <w:lang w:val="en-GB"/>
        </w:rPr>
      </w:pPr>
      <w:r w:rsidRPr="00B04DC3">
        <w:rPr>
          <w:lang w:val="en-GB"/>
        </w:rPr>
        <w:tab/>
        <w:t>Determination of the emission value from the test cycle (Annex 4A, Appendix 1, paragraph 5.6.2.):</w:t>
      </w:r>
    </w:p>
    <w:p w:rsidR="00BB1DA8" w:rsidRPr="00B04DC3" w:rsidRDefault="00BB1DA8" w:rsidP="00BB1DA8">
      <w:pPr>
        <w:pStyle w:val="para"/>
        <w:spacing w:before="240"/>
        <w:rPr>
          <w:lang w:val="en-GB"/>
        </w:rPr>
      </w:pPr>
      <w:r w:rsidRPr="00B04DC3">
        <w:rPr>
          <w:lang w:val="en-GB"/>
        </w:rPr>
        <w:tab/>
        <w:t>Assume the values of the four enveloping modes on the ESC to be as follows:</w:t>
      </w:r>
    </w:p>
    <w:tbl>
      <w:tblPr>
        <w:tblW w:w="701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709"/>
        <w:gridCol w:w="709"/>
        <w:gridCol w:w="709"/>
        <w:gridCol w:w="708"/>
        <w:gridCol w:w="709"/>
        <w:gridCol w:w="709"/>
        <w:gridCol w:w="709"/>
        <w:gridCol w:w="708"/>
        <w:gridCol w:w="709"/>
      </w:tblGrid>
      <w:tr w:rsidR="00BB1DA8" w:rsidRPr="00B04DC3" w:rsidTr="0090475A">
        <w:tc>
          <w:tcPr>
            <w:tcW w:w="637"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n</w:t>
            </w:r>
            <w:r w:rsidRPr="00B04DC3">
              <w:rPr>
                <w:sz w:val="18"/>
                <w:szCs w:val="18"/>
                <w:vertAlign w:val="subscript"/>
              </w:rPr>
              <w:t>RT</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n</w:t>
            </w:r>
            <w:r w:rsidRPr="00B04DC3">
              <w:rPr>
                <w:sz w:val="18"/>
                <w:szCs w:val="18"/>
                <w:vertAlign w:val="subscript"/>
              </w:rPr>
              <w:t>SU</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E</w:t>
            </w:r>
            <w:r w:rsidRPr="00B04DC3">
              <w:rPr>
                <w:sz w:val="18"/>
                <w:szCs w:val="18"/>
                <w:vertAlign w:val="subscript"/>
              </w:rPr>
              <w:t>R</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E</w:t>
            </w:r>
            <w:r w:rsidRPr="00B04DC3">
              <w:rPr>
                <w:sz w:val="18"/>
                <w:szCs w:val="18"/>
                <w:vertAlign w:val="subscript"/>
              </w:rPr>
              <w:t>S</w:t>
            </w:r>
          </w:p>
        </w:tc>
        <w:tc>
          <w:tcPr>
            <w:tcW w:w="708"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E</w:t>
            </w:r>
            <w:r w:rsidRPr="00B04DC3">
              <w:rPr>
                <w:sz w:val="18"/>
                <w:szCs w:val="18"/>
                <w:vertAlign w:val="subscript"/>
              </w:rPr>
              <w:t>T</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E</w:t>
            </w:r>
            <w:r w:rsidRPr="00B04DC3">
              <w:rPr>
                <w:sz w:val="18"/>
                <w:szCs w:val="18"/>
                <w:vertAlign w:val="subscript"/>
              </w:rPr>
              <w:t>U</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M</w:t>
            </w:r>
            <w:r w:rsidRPr="00B04DC3">
              <w:rPr>
                <w:sz w:val="18"/>
                <w:szCs w:val="18"/>
                <w:vertAlign w:val="subscript"/>
              </w:rPr>
              <w:t>R</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M</w:t>
            </w:r>
            <w:r w:rsidRPr="00B04DC3">
              <w:rPr>
                <w:sz w:val="18"/>
                <w:szCs w:val="18"/>
                <w:vertAlign w:val="subscript"/>
              </w:rPr>
              <w:t>S</w:t>
            </w:r>
          </w:p>
        </w:tc>
        <w:tc>
          <w:tcPr>
            <w:tcW w:w="708"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M</w:t>
            </w:r>
            <w:r w:rsidRPr="00B04DC3">
              <w:rPr>
                <w:sz w:val="18"/>
                <w:szCs w:val="18"/>
                <w:vertAlign w:val="subscript"/>
              </w:rPr>
              <w:t>T</w:t>
            </w:r>
          </w:p>
        </w:tc>
        <w:tc>
          <w:tcPr>
            <w:tcW w:w="709" w:type="dxa"/>
            <w:tcBorders>
              <w:bottom w:val="single" w:sz="12" w:space="0" w:color="auto"/>
            </w:tcBorders>
          </w:tcPr>
          <w:p w:rsidR="00BB1DA8" w:rsidRPr="00B04DC3" w:rsidRDefault="00BB1DA8" w:rsidP="00BB1DA8">
            <w:pPr>
              <w:spacing w:before="60" w:after="60"/>
              <w:jc w:val="center"/>
              <w:rPr>
                <w:sz w:val="18"/>
                <w:szCs w:val="18"/>
              </w:rPr>
            </w:pPr>
            <w:r w:rsidRPr="00B04DC3">
              <w:rPr>
                <w:sz w:val="18"/>
                <w:szCs w:val="18"/>
              </w:rPr>
              <w:t>M</w:t>
            </w:r>
            <w:r w:rsidRPr="00B04DC3">
              <w:rPr>
                <w:sz w:val="18"/>
                <w:szCs w:val="18"/>
                <w:vertAlign w:val="subscript"/>
              </w:rPr>
              <w:t>U</w:t>
            </w:r>
          </w:p>
        </w:tc>
      </w:tr>
      <w:tr w:rsidR="00BB1DA8" w:rsidRPr="00B04DC3" w:rsidTr="0090475A">
        <w:tblPrEx>
          <w:tblBorders>
            <w:left w:val="none" w:sz="0" w:space="0" w:color="auto"/>
            <w:right w:val="none" w:sz="0" w:space="0" w:color="auto"/>
          </w:tblBorders>
          <w:tblCellMar>
            <w:left w:w="108" w:type="dxa"/>
            <w:right w:w="108" w:type="dxa"/>
          </w:tblCellMar>
        </w:tblPrEx>
        <w:tc>
          <w:tcPr>
            <w:tcW w:w="637" w:type="dxa"/>
            <w:tcBorders>
              <w:top w:val="single" w:sz="12" w:space="0" w:color="auto"/>
              <w:left w:val="single" w:sz="4"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1,368</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1,785</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5.943</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5.565</w:t>
            </w:r>
          </w:p>
        </w:tc>
        <w:tc>
          <w:tcPr>
            <w:tcW w:w="708"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5.889</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4.973</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right="-8" w:firstLine="0"/>
              <w:jc w:val="center"/>
              <w:rPr>
                <w:sz w:val="18"/>
                <w:szCs w:val="18"/>
              </w:rPr>
            </w:pPr>
            <w:r w:rsidRPr="00B04DC3">
              <w:rPr>
                <w:sz w:val="18"/>
                <w:szCs w:val="18"/>
              </w:rPr>
              <w:t>515</w:t>
            </w:r>
          </w:p>
        </w:tc>
        <w:tc>
          <w:tcPr>
            <w:tcW w:w="709"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460</w:t>
            </w:r>
          </w:p>
        </w:tc>
        <w:tc>
          <w:tcPr>
            <w:tcW w:w="708" w:type="dxa"/>
            <w:tcBorders>
              <w:top w:val="single" w:sz="12" w:space="0" w:color="auto"/>
              <w:bottom w:val="single" w:sz="12"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681</w:t>
            </w:r>
          </w:p>
        </w:tc>
        <w:tc>
          <w:tcPr>
            <w:tcW w:w="709" w:type="dxa"/>
            <w:tcBorders>
              <w:top w:val="single" w:sz="12" w:space="0" w:color="auto"/>
              <w:bottom w:val="single" w:sz="12" w:space="0" w:color="auto"/>
              <w:right w:val="single" w:sz="4" w:space="0" w:color="auto"/>
            </w:tcBorders>
          </w:tcPr>
          <w:p w:rsidR="00BB1DA8" w:rsidRPr="00B04DC3" w:rsidRDefault="00BB1DA8" w:rsidP="00BB1DA8">
            <w:pPr>
              <w:pStyle w:val="Point0"/>
              <w:tabs>
                <w:tab w:val="left" w:pos="851"/>
                <w:tab w:val="left" w:pos="1418"/>
                <w:tab w:val="left" w:pos="1985"/>
                <w:tab w:val="left" w:pos="2552"/>
                <w:tab w:val="left" w:pos="3119"/>
              </w:tabs>
              <w:spacing w:before="80" w:after="80"/>
              <w:ind w:left="0" w:firstLine="0"/>
              <w:jc w:val="center"/>
              <w:rPr>
                <w:sz w:val="18"/>
                <w:szCs w:val="18"/>
              </w:rPr>
            </w:pPr>
            <w:r w:rsidRPr="00B04DC3">
              <w:rPr>
                <w:sz w:val="18"/>
                <w:szCs w:val="18"/>
              </w:rPr>
              <w:t>610</w:t>
            </w:r>
          </w:p>
        </w:tc>
      </w:tr>
    </w:tbl>
    <w:p w:rsidR="00BB1DA8" w:rsidRPr="00B04DC3" w:rsidRDefault="00BB1DA8" w:rsidP="00BB1DA8">
      <w:pPr>
        <w:pStyle w:val="para"/>
        <w:spacing w:before="240"/>
        <w:ind w:firstLine="0"/>
        <w:rPr>
          <w:spacing w:val="-4"/>
          <w:lang w:val="en-GB"/>
        </w:rPr>
      </w:pPr>
      <w:r w:rsidRPr="00B04DC3">
        <w:rPr>
          <w:spacing w:val="-4"/>
          <w:lang w:val="en-GB"/>
        </w:rPr>
        <w:t>E</w:t>
      </w:r>
      <w:r w:rsidRPr="00B04DC3">
        <w:rPr>
          <w:spacing w:val="-4"/>
          <w:vertAlign w:val="subscript"/>
          <w:lang w:val="en-GB"/>
        </w:rPr>
        <w:t>TU</w:t>
      </w:r>
      <w:r w:rsidRPr="00B04DC3">
        <w:rPr>
          <w:spacing w:val="-4"/>
          <w:lang w:val="en-GB"/>
        </w:rPr>
        <w:t xml:space="preserve"> = 5.889 + (4.973 − 5.889) </w:t>
      </w:r>
      <w:r w:rsidRPr="00B04DC3">
        <w:rPr>
          <w:spacing w:val="-4"/>
          <w:lang w:val="en-GB"/>
        </w:rPr>
        <w:sym w:font="Symbol" w:char="F0B4"/>
      </w:r>
      <w:r w:rsidRPr="00B04DC3">
        <w:rPr>
          <w:spacing w:val="-4"/>
          <w:lang w:val="en-GB"/>
        </w:rPr>
        <w:t xml:space="preserve"> (1,600 − 1,368) / (1,785 − 1,368) = 5.377 g/kWh</w:t>
      </w:r>
    </w:p>
    <w:p w:rsidR="00BB1DA8" w:rsidRPr="00B04DC3" w:rsidRDefault="00BB1DA8" w:rsidP="00BB1DA8">
      <w:pPr>
        <w:pStyle w:val="para"/>
        <w:spacing w:before="240"/>
        <w:ind w:firstLine="0"/>
        <w:rPr>
          <w:spacing w:val="-4"/>
          <w:lang w:val="en-GB"/>
        </w:rPr>
      </w:pPr>
      <w:r w:rsidRPr="00B04DC3">
        <w:rPr>
          <w:spacing w:val="-4"/>
          <w:lang w:val="en-GB"/>
        </w:rPr>
        <w:t>E</w:t>
      </w:r>
      <w:r w:rsidRPr="00B04DC3">
        <w:rPr>
          <w:spacing w:val="-4"/>
          <w:vertAlign w:val="subscript"/>
          <w:lang w:val="en-GB"/>
        </w:rPr>
        <w:t>RS</w:t>
      </w:r>
      <w:r w:rsidRPr="00B04DC3">
        <w:rPr>
          <w:spacing w:val="-4"/>
          <w:lang w:val="en-GB"/>
        </w:rPr>
        <w:t xml:space="preserve"> = 5.943 + (5.565 − 5.943) </w:t>
      </w:r>
      <w:r w:rsidRPr="00B04DC3">
        <w:rPr>
          <w:spacing w:val="-4"/>
          <w:lang w:val="en-GB"/>
        </w:rPr>
        <w:sym w:font="Symbol" w:char="F0B4"/>
      </w:r>
      <w:r w:rsidRPr="00B04DC3">
        <w:rPr>
          <w:spacing w:val="-4"/>
          <w:lang w:val="en-GB"/>
        </w:rPr>
        <w:t xml:space="preserve"> (1,600 − 1,368) / (1,785 − 1,368) = 5.732 g/kWh</w:t>
      </w:r>
    </w:p>
    <w:p w:rsidR="00BB1DA8" w:rsidRPr="00B04DC3" w:rsidRDefault="00BB1DA8" w:rsidP="00BB1DA8">
      <w:pPr>
        <w:pStyle w:val="para"/>
        <w:spacing w:before="240"/>
        <w:ind w:firstLine="0"/>
        <w:rPr>
          <w:spacing w:val="-4"/>
          <w:lang w:val="en-GB"/>
        </w:rPr>
      </w:pPr>
      <w:r w:rsidRPr="00B04DC3">
        <w:rPr>
          <w:spacing w:val="-4"/>
          <w:lang w:val="en-GB"/>
        </w:rPr>
        <w:t>M</w:t>
      </w:r>
      <w:r w:rsidRPr="00B04DC3">
        <w:rPr>
          <w:spacing w:val="-4"/>
          <w:vertAlign w:val="subscript"/>
          <w:lang w:val="en-GB"/>
        </w:rPr>
        <w:t>TU</w:t>
      </w:r>
      <w:r w:rsidRPr="00B04DC3">
        <w:rPr>
          <w:spacing w:val="-4"/>
          <w:lang w:val="en-GB"/>
        </w:rPr>
        <w:t xml:space="preserve"> = 681 + (601 − 681) </w:t>
      </w:r>
      <w:r w:rsidRPr="00B04DC3">
        <w:rPr>
          <w:spacing w:val="-4"/>
          <w:lang w:val="en-GB"/>
        </w:rPr>
        <w:sym w:font="Symbol" w:char="F0B4"/>
      </w:r>
      <w:r w:rsidRPr="00B04DC3">
        <w:rPr>
          <w:spacing w:val="-4"/>
          <w:lang w:val="en-GB"/>
        </w:rPr>
        <w:t xml:space="preserve"> (1,600 − 1,368) / (1,785 − 1,368) = 641.3 Nm</w:t>
      </w:r>
    </w:p>
    <w:p w:rsidR="00BB1DA8" w:rsidRPr="00B04DC3" w:rsidRDefault="00BB1DA8" w:rsidP="00BB1DA8">
      <w:pPr>
        <w:pStyle w:val="para"/>
        <w:spacing w:before="240"/>
        <w:ind w:firstLine="0"/>
        <w:rPr>
          <w:spacing w:val="-4"/>
          <w:lang w:val="en-GB"/>
        </w:rPr>
      </w:pPr>
      <w:r w:rsidRPr="00B04DC3">
        <w:rPr>
          <w:spacing w:val="-4"/>
          <w:lang w:val="en-GB"/>
        </w:rPr>
        <w:t>M</w:t>
      </w:r>
      <w:r w:rsidRPr="00B04DC3">
        <w:rPr>
          <w:spacing w:val="-4"/>
          <w:vertAlign w:val="subscript"/>
          <w:lang w:val="en-GB"/>
        </w:rPr>
        <w:t>RS</w:t>
      </w:r>
      <w:r w:rsidRPr="00B04DC3">
        <w:rPr>
          <w:spacing w:val="-4"/>
          <w:lang w:val="en-GB"/>
        </w:rPr>
        <w:t xml:space="preserve"> = 515 + (460 − 515) </w:t>
      </w:r>
      <w:r w:rsidRPr="00B04DC3">
        <w:rPr>
          <w:spacing w:val="-4"/>
          <w:lang w:val="en-GB"/>
        </w:rPr>
        <w:sym w:font="Symbol" w:char="F0B4"/>
      </w:r>
      <w:r w:rsidRPr="00B04DC3">
        <w:rPr>
          <w:spacing w:val="-4"/>
          <w:lang w:val="en-GB"/>
        </w:rPr>
        <w:t xml:space="preserve"> (1,600 − 1,368) / (1,785 − 1,368) = 484.3 Nm</w:t>
      </w:r>
    </w:p>
    <w:p w:rsidR="00BB1DA8" w:rsidRPr="00B04DC3" w:rsidRDefault="00BB1DA8" w:rsidP="00BB1DA8">
      <w:pPr>
        <w:pStyle w:val="para"/>
        <w:spacing w:before="240"/>
        <w:ind w:firstLine="0"/>
        <w:rPr>
          <w:spacing w:val="-4"/>
          <w:lang w:val="en-GB"/>
        </w:rPr>
      </w:pPr>
      <w:r w:rsidRPr="00B04DC3">
        <w:rPr>
          <w:spacing w:val="-4"/>
          <w:lang w:val="en-GB"/>
        </w:rPr>
        <w:t>E</w:t>
      </w:r>
      <w:r w:rsidRPr="00B04DC3">
        <w:rPr>
          <w:spacing w:val="-4"/>
          <w:vertAlign w:val="subscript"/>
          <w:lang w:val="en-GB"/>
        </w:rPr>
        <w:t>Z</w:t>
      </w:r>
      <w:r w:rsidRPr="00B04DC3">
        <w:rPr>
          <w:spacing w:val="-4"/>
          <w:lang w:val="en-GB"/>
        </w:rPr>
        <w:t xml:space="preserve"> = 5.732 + (5.377 − 5.732) </w:t>
      </w:r>
      <w:r w:rsidRPr="00B04DC3">
        <w:rPr>
          <w:spacing w:val="-4"/>
          <w:lang w:val="en-GB"/>
        </w:rPr>
        <w:sym w:font="Symbol" w:char="F0B4"/>
      </w:r>
      <w:r w:rsidRPr="00B04DC3">
        <w:rPr>
          <w:spacing w:val="-4"/>
          <w:lang w:val="en-GB"/>
        </w:rPr>
        <w:t xml:space="preserve"> (495 − 484.3) / (641.3 − 484.3) = 5.708 g/kWh</w:t>
      </w:r>
    </w:p>
    <w:p w:rsidR="00BB1DA8" w:rsidRPr="00B04DC3" w:rsidRDefault="00BB1DA8" w:rsidP="00BB1DA8">
      <w:pPr>
        <w:pStyle w:val="para"/>
        <w:spacing w:before="240"/>
        <w:ind w:firstLine="0"/>
        <w:rPr>
          <w:lang w:val="en-GB"/>
        </w:rPr>
      </w:pPr>
      <w:r w:rsidRPr="00B04DC3">
        <w:rPr>
          <w:lang w:val="en-GB"/>
        </w:rPr>
        <w:t>Comparison of the NO</w:t>
      </w:r>
      <w:r w:rsidRPr="00B04DC3">
        <w:rPr>
          <w:vertAlign w:val="subscript"/>
          <w:lang w:val="en-GB"/>
        </w:rPr>
        <w:t>x</w:t>
      </w:r>
      <w:r w:rsidRPr="00B04DC3">
        <w:rPr>
          <w:lang w:val="en-GB"/>
        </w:rPr>
        <w:t xml:space="preserve"> emission values (Annex 4A, Appendix 1, paragraph 5.6.3.):</w:t>
      </w:r>
    </w:p>
    <w:p w:rsidR="00BB1DA8" w:rsidRPr="00B04DC3" w:rsidRDefault="00BB1DA8" w:rsidP="00BB1DA8">
      <w:pPr>
        <w:pStyle w:val="para"/>
        <w:spacing w:before="240"/>
        <w:rPr>
          <w:lang w:val="en-GB"/>
        </w:rPr>
      </w:pPr>
      <w:r w:rsidRPr="00B04DC3">
        <w:rPr>
          <w:lang w:val="en-GB"/>
        </w:rPr>
        <w:tab/>
      </w:r>
      <w:r w:rsidRPr="00B04DC3">
        <w:rPr>
          <w:lang w:val="en-GB"/>
        </w:rPr>
        <w:tab/>
        <w:t>NO</w:t>
      </w:r>
      <w:r w:rsidRPr="00B04DC3">
        <w:rPr>
          <w:vertAlign w:val="subscript"/>
          <w:lang w:val="en-GB"/>
        </w:rPr>
        <w:t>x diff</w:t>
      </w:r>
      <w:r w:rsidRPr="00B04DC3">
        <w:rPr>
          <w:lang w:val="en-GB"/>
        </w:rPr>
        <w:t xml:space="preserve"> = 100 </w:t>
      </w:r>
      <w:r w:rsidRPr="00B04DC3">
        <w:rPr>
          <w:lang w:val="en-GB"/>
        </w:rPr>
        <w:sym w:font="Symbol" w:char="F0B4"/>
      </w:r>
      <w:r w:rsidRPr="00B04DC3">
        <w:rPr>
          <w:lang w:val="en-GB"/>
        </w:rPr>
        <w:t xml:space="preserve"> (5.878 − 5.708) / 5.708 = 2.98 per cent</w:t>
      </w:r>
    </w:p>
    <w:p w:rsidR="00BB1DA8" w:rsidRPr="00B04DC3" w:rsidRDefault="00BB1DA8" w:rsidP="003C4076">
      <w:pPr>
        <w:pStyle w:val="para"/>
        <w:rPr>
          <w:lang w:val="en-GB"/>
        </w:rPr>
      </w:pPr>
      <w:r w:rsidRPr="00B04DC3">
        <w:rPr>
          <w:lang w:val="en-GB"/>
        </w:rPr>
        <w:t>1.2.</w:t>
      </w:r>
      <w:r w:rsidRPr="00B04DC3">
        <w:rPr>
          <w:lang w:val="en-GB"/>
        </w:rPr>
        <w:tab/>
        <w:t>Particulate emissions</w:t>
      </w:r>
    </w:p>
    <w:p w:rsidR="00BB1DA8" w:rsidRPr="00B04DC3" w:rsidRDefault="00BB1DA8" w:rsidP="00BB1DA8">
      <w:pPr>
        <w:pStyle w:val="para"/>
        <w:spacing w:before="240"/>
        <w:ind w:firstLine="0"/>
        <w:rPr>
          <w:lang w:val="en-GB"/>
        </w:rPr>
      </w:pPr>
      <w:r w:rsidRPr="00B04DC3">
        <w:rPr>
          <w:lang w:val="en-GB"/>
        </w:rPr>
        <w:tab/>
        <w:t>Particulate measurement is based on the principle of sampling the particulates over the complete cycle, but determining the sample and flow rates (M</w:t>
      </w:r>
      <w:r w:rsidRPr="00B04DC3">
        <w:rPr>
          <w:vertAlign w:val="subscript"/>
          <w:lang w:val="en-GB"/>
        </w:rPr>
        <w:t>SAM</w:t>
      </w:r>
      <w:r w:rsidRPr="00B04DC3">
        <w:rPr>
          <w:lang w:val="en-GB"/>
        </w:rPr>
        <w:t xml:space="preserve"> and G</w:t>
      </w:r>
      <w:r w:rsidRPr="00B04DC3">
        <w:rPr>
          <w:vertAlign w:val="subscript"/>
          <w:lang w:val="en-GB"/>
        </w:rPr>
        <w:t>EDF</w:t>
      </w:r>
      <w:r w:rsidRPr="00B04DC3">
        <w:rPr>
          <w:lang w:val="en-GB"/>
        </w:rPr>
        <w:t>) during the individual modes. The calculation of G</w:t>
      </w:r>
      <w:r w:rsidRPr="00B04DC3">
        <w:rPr>
          <w:vertAlign w:val="subscript"/>
          <w:lang w:val="en-GB"/>
        </w:rPr>
        <w:t>EDF</w:t>
      </w:r>
      <w:r w:rsidRPr="00B04DC3">
        <w:rPr>
          <w:lang w:val="en-GB"/>
        </w:rPr>
        <w:t xml:space="preserve"> depends on the system used. In the following examples, a system with CO</w:t>
      </w:r>
      <w:r w:rsidRPr="00B04DC3">
        <w:rPr>
          <w:vertAlign w:val="subscript"/>
          <w:lang w:val="en-GB"/>
        </w:rPr>
        <w:t>2</w:t>
      </w:r>
      <w:r w:rsidRPr="00B04DC3">
        <w:rPr>
          <w:lang w:val="en-GB"/>
        </w:rPr>
        <w:t xml:space="preserve"> measurement and carbon balance method and a system with flow measurement are used. When using a full flow dilution system, G</w:t>
      </w:r>
      <w:r w:rsidRPr="00B04DC3">
        <w:rPr>
          <w:vertAlign w:val="subscript"/>
          <w:lang w:val="en-GB"/>
        </w:rPr>
        <w:t>EDF</w:t>
      </w:r>
      <w:r w:rsidRPr="00B04DC3">
        <w:rPr>
          <w:lang w:val="en-GB"/>
        </w:rPr>
        <w:t xml:space="preserve"> is directly measured by the CVS equipment.</w:t>
      </w:r>
    </w:p>
    <w:p w:rsidR="00BB1DA8" w:rsidRPr="00B04DC3" w:rsidRDefault="00BB1DA8" w:rsidP="00BB1DA8">
      <w:pPr>
        <w:pStyle w:val="para"/>
        <w:spacing w:before="240"/>
        <w:ind w:firstLine="0"/>
        <w:rPr>
          <w:lang w:val="en-GB"/>
        </w:rPr>
      </w:pPr>
      <w:r w:rsidRPr="00B04DC3">
        <w:rPr>
          <w:lang w:val="en-GB"/>
        </w:rPr>
        <w:tab/>
        <w:t>Calculation of G</w:t>
      </w:r>
      <w:r w:rsidRPr="00B04DC3">
        <w:rPr>
          <w:vertAlign w:val="subscript"/>
          <w:lang w:val="en-GB"/>
        </w:rPr>
        <w:t>EDF</w:t>
      </w:r>
      <w:r w:rsidRPr="00B04DC3">
        <w:rPr>
          <w:lang w:val="en-GB"/>
        </w:rPr>
        <w:t xml:space="preserve"> (Annex 4A, Appendix 1, paragraphs 6.2.3. and 6.2.4.):</w:t>
      </w:r>
    </w:p>
    <w:p w:rsidR="00BB1DA8" w:rsidRPr="00B04DC3" w:rsidRDefault="00BB1DA8" w:rsidP="00BB1DA8">
      <w:pPr>
        <w:pStyle w:val="para"/>
        <w:spacing w:before="240"/>
        <w:ind w:firstLine="0"/>
        <w:rPr>
          <w:lang w:val="en-GB"/>
        </w:rPr>
      </w:pPr>
      <w:r w:rsidRPr="00B04DC3">
        <w:rPr>
          <w:lang w:val="en-GB"/>
        </w:rPr>
        <w:tab/>
        <w:t>Assume the following measurement data of mode 4. The calculation procedure is identical for the other modes.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934"/>
        <w:gridCol w:w="988"/>
        <w:gridCol w:w="1043"/>
        <w:gridCol w:w="1132"/>
        <w:gridCol w:w="1259"/>
      </w:tblGrid>
      <w:tr w:rsidR="00BB1DA8" w:rsidRPr="00B04DC3">
        <w:tc>
          <w:tcPr>
            <w:tcW w:w="1085"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G</w:t>
            </w:r>
            <w:r w:rsidRPr="00B04DC3">
              <w:rPr>
                <w:sz w:val="16"/>
                <w:szCs w:val="16"/>
                <w:vertAlign w:val="subscript"/>
              </w:rPr>
              <w:t>EXH</w:t>
            </w:r>
          </w:p>
        </w:tc>
        <w:tc>
          <w:tcPr>
            <w:tcW w:w="1152"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G</w:t>
            </w:r>
            <w:r w:rsidRPr="00B04DC3">
              <w:rPr>
                <w:sz w:val="16"/>
                <w:szCs w:val="16"/>
                <w:vertAlign w:val="subscript"/>
              </w:rPr>
              <w:t>FUEL</w:t>
            </w:r>
          </w:p>
        </w:tc>
        <w:tc>
          <w:tcPr>
            <w:tcW w:w="1220"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G</w:t>
            </w:r>
            <w:r w:rsidRPr="00B04DC3">
              <w:rPr>
                <w:sz w:val="16"/>
                <w:szCs w:val="16"/>
                <w:vertAlign w:val="subscript"/>
              </w:rPr>
              <w:t>DILW</w:t>
            </w:r>
          </w:p>
        </w:tc>
        <w:tc>
          <w:tcPr>
            <w:tcW w:w="1288"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G</w:t>
            </w:r>
            <w:r w:rsidRPr="00B04DC3">
              <w:rPr>
                <w:sz w:val="16"/>
                <w:szCs w:val="16"/>
                <w:vertAlign w:val="subscript"/>
              </w:rPr>
              <w:t>TOTW</w:t>
            </w:r>
          </w:p>
        </w:tc>
        <w:tc>
          <w:tcPr>
            <w:tcW w:w="1400"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CO</w:t>
            </w:r>
            <w:r w:rsidRPr="00B04DC3">
              <w:rPr>
                <w:sz w:val="16"/>
                <w:szCs w:val="16"/>
                <w:vertAlign w:val="subscript"/>
              </w:rPr>
              <w:t>2D</w:t>
            </w:r>
          </w:p>
        </w:tc>
        <w:tc>
          <w:tcPr>
            <w:tcW w:w="1560" w:type="dxa"/>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CO</w:t>
            </w:r>
            <w:r w:rsidRPr="00B04DC3">
              <w:rPr>
                <w:sz w:val="16"/>
                <w:szCs w:val="16"/>
                <w:vertAlign w:val="subscript"/>
              </w:rPr>
              <w:t>2A</w:t>
            </w:r>
          </w:p>
        </w:tc>
      </w:tr>
      <w:tr w:rsidR="00BB1DA8" w:rsidRPr="00B04DC3" w:rsidTr="0090475A">
        <w:tc>
          <w:tcPr>
            <w:tcW w:w="1085"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(kg/h)</w:t>
            </w:r>
          </w:p>
        </w:tc>
        <w:tc>
          <w:tcPr>
            <w:tcW w:w="1152"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(kg/h)</w:t>
            </w:r>
          </w:p>
        </w:tc>
        <w:tc>
          <w:tcPr>
            <w:tcW w:w="1220"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(kg/h)</w:t>
            </w:r>
          </w:p>
        </w:tc>
        <w:tc>
          <w:tcPr>
            <w:tcW w:w="1288"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(kg/h)</w:t>
            </w:r>
          </w:p>
        </w:tc>
        <w:tc>
          <w:tcPr>
            <w:tcW w:w="1400"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(per cent)</w:t>
            </w:r>
          </w:p>
        </w:tc>
        <w:tc>
          <w:tcPr>
            <w:tcW w:w="1560" w:type="dxa"/>
            <w:tcBorders>
              <w:bottom w:val="single" w:sz="12" w:space="0" w:color="auto"/>
            </w:tcBorders>
            <w:tcMar>
              <w:left w:w="28" w:type="dxa"/>
              <w:right w:w="28" w:type="dxa"/>
            </w:tcMar>
          </w:tcPr>
          <w:p w:rsidR="00BB1DA8" w:rsidRPr="00B04DC3" w:rsidRDefault="00BB1DA8" w:rsidP="00BB1DA8">
            <w:pPr>
              <w:pStyle w:val="NormalCentered"/>
              <w:numPr>
                <w:ilvl w:val="0"/>
                <w:numId w:val="0"/>
              </w:numPr>
              <w:tabs>
                <w:tab w:val="left" w:pos="851"/>
                <w:tab w:val="left" w:pos="1418"/>
                <w:tab w:val="left" w:pos="1985"/>
                <w:tab w:val="left" w:pos="2552"/>
                <w:tab w:val="left" w:pos="3119"/>
              </w:tabs>
              <w:spacing w:before="80" w:after="80"/>
              <w:rPr>
                <w:sz w:val="16"/>
                <w:szCs w:val="16"/>
              </w:rPr>
            </w:pPr>
            <w:r w:rsidRPr="00B04DC3">
              <w:rPr>
                <w:sz w:val="16"/>
                <w:szCs w:val="16"/>
              </w:rPr>
              <w:t>(per cent)</w:t>
            </w:r>
          </w:p>
        </w:tc>
      </w:tr>
      <w:tr w:rsidR="00BB1DA8" w:rsidRPr="00B04DC3" w:rsidTr="0090475A">
        <w:tc>
          <w:tcPr>
            <w:tcW w:w="1085"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334.02</w:t>
            </w:r>
          </w:p>
        </w:tc>
        <w:tc>
          <w:tcPr>
            <w:tcW w:w="1152"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10.76</w:t>
            </w:r>
          </w:p>
        </w:tc>
        <w:tc>
          <w:tcPr>
            <w:tcW w:w="1220"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5.4435</w:t>
            </w:r>
          </w:p>
        </w:tc>
        <w:tc>
          <w:tcPr>
            <w:tcW w:w="1288"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6.0</w:t>
            </w:r>
          </w:p>
        </w:tc>
        <w:tc>
          <w:tcPr>
            <w:tcW w:w="1400"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0.657</w:t>
            </w:r>
          </w:p>
        </w:tc>
        <w:tc>
          <w:tcPr>
            <w:tcW w:w="1560" w:type="dxa"/>
            <w:tcBorders>
              <w:top w:val="single" w:sz="12" w:space="0" w:color="auto"/>
              <w:bottom w:val="single" w:sz="12" w:space="0" w:color="auto"/>
            </w:tcBorders>
            <w:tcMar>
              <w:left w:w="28" w:type="dxa"/>
              <w:right w:w="28" w:type="dxa"/>
            </w:tcMar>
          </w:tcPr>
          <w:p w:rsidR="00BB1DA8" w:rsidRPr="00B04DC3" w:rsidRDefault="00BB1DA8" w:rsidP="00BB1DA8">
            <w:pPr>
              <w:pStyle w:val="NormalRight"/>
              <w:tabs>
                <w:tab w:val="left" w:pos="851"/>
                <w:tab w:val="left" w:pos="1418"/>
                <w:tab w:val="left" w:pos="1985"/>
                <w:tab w:val="left" w:pos="2552"/>
                <w:tab w:val="left" w:pos="3119"/>
              </w:tabs>
              <w:spacing w:before="80" w:after="80"/>
              <w:jc w:val="center"/>
              <w:rPr>
                <w:sz w:val="18"/>
                <w:szCs w:val="18"/>
              </w:rPr>
            </w:pPr>
            <w:r w:rsidRPr="00B04DC3">
              <w:rPr>
                <w:sz w:val="18"/>
                <w:szCs w:val="18"/>
              </w:rPr>
              <w:t>0.040</w:t>
            </w:r>
          </w:p>
        </w:tc>
      </w:tr>
    </w:tbl>
    <w:p w:rsidR="00BB1DA8" w:rsidRPr="00B04DC3" w:rsidRDefault="00BB1DA8" w:rsidP="00CD250E">
      <w:pPr>
        <w:pStyle w:val="a"/>
        <w:spacing w:before="120"/>
        <w:rPr>
          <w:lang w:val="en-GB"/>
        </w:rPr>
      </w:pPr>
      <w:r w:rsidRPr="00B04DC3">
        <w:rPr>
          <w:lang w:val="en-GB"/>
        </w:rPr>
        <w:t>(a)</w:t>
      </w:r>
      <w:r w:rsidRPr="00B04DC3">
        <w:rPr>
          <w:lang w:val="en-GB"/>
        </w:rPr>
        <w:tab/>
        <w:t>Carbon balance method</w:t>
      </w:r>
    </w:p>
    <w:p w:rsidR="00BB1DA8" w:rsidRPr="00B04DC3" w:rsidRDefault="00BB1DA8" w:rsidP="00BB1DA8">
      <w:pPr>
        <w:pStyle w:val="a"/>
        <w:spacing w:before="240"/>
        <w:rPr>
          <w:lang w:val="en-GB"/>
        </w:rPr>
      </w:pPr>
      <w:r w:rsidRPr="00B04DC3">
        <w:rPr>
          <w:lang w:val="en-GB"/>
        </w:rPr>
        <w:tab/>
      </w:r>
      <w:bookmarkStart w:id="703" w:name="_MON_1279973274"/>
      <w:bookmarkStart w:id="704" w:name="_MON_1365580171"/>
      <w:bookmarkStart w:id="705" w:name="_MON_1223394106"/>
      <w:bookmarkEnd w:id="703"/>
      <w:bookmarkEnd w:id="704"/>
      <w:bookmarkEnd w:id="705"/>
      <w:bookmarkStart w:id="706" w:name="_MON_1223395064"/>
      <w:bookmarkEnd w:id="706"/>
      <w:r w:rsidR="008227BD" w:rsidRPr="00B04DC3">
        <w:rPr>
          <w:lang w:val="en-GB"/>
        </w:rPr>
        <w:object w:dxaOrig="3794" w:dyaOrig="644">
          <v:shape id="_x0000_i1367" type="#_x0000_t75" style="width:162.6pt;height:27.6pt" o:ole="" fillcolor="window">
            <v:imagedata r:id="rId542" o:title=""/>
          </v:shape>
          <o:OLEObject Type="Embed" ProgID="Word.Picture.8" ShapeID="_x0000_i1367" DrawAspect="Content" ObjectID="_1498392386" r:id="rId543"/>
        </w:object>
      </w:r>
    </w:p>
    <w:p w:rsidR="00BB1DA8" w:rsidRPr="00B04DC3" w:rsidRDefault="00BB1DA8" w:rsidP="0076136A">
      <w:pPr>
        <w:pStyle w:val="a"/>
        <w:spacing w:before="120" w:after="0"/>
        <w:rPr>
          <w:lang w:val="en-GB"/>
        </w:rPr>
      </w:pPr>
      <w:r w:rsidRPr="00B04DC3">
        <w:rPr>
          <w:lang w:val="en-GB"/>
        </w:rPr>
        <w:t>(b)</w:t>
      </w:r>
      <w:r w:rsidRPr="00B04DC3">
        <w:rPr>
          <w:lang w:val="en-GB"/>
        </w:rPr>
        <w:tab/>
        <w:t>Flow measurement method</w:t>
      </w:r>
    </w:p>
    <w:p w:rsidR="00BB1DA8" w:rsidRPr="00B04DC3" w:rsidRDefault="00BB1DA8" w:rsidP="0076136A">
      <w:pPr>
        <w:pStyle w:val="a"/>
        <w:rPr>
          <w:lang w:val="en-GB"/>
        </w:rPr>
      </w:pPr>
      <w:r w:rsidRPr="00B04DC3">
        <w:rPr>
          <w:lang w:val="en-GB"/>
        </w:rPr>
        <w:tab/>
      </w:r>
      <w:bookmarkStart w:id="707" w:name="_MON_1223394142"/>
      <w:bookmarkEnd w:id="707"/>
      <w:bookmarkStart w:id="708" w:name="_MON_1223395065"/>
      <w:bookmarkEnd w:id="708"/>
      <w:r w:rsidR="008227BD" w:rsidRPr="00B04DC3">
        <w:rPr>
          <w:lang w:val="en-GB"/>
        </w:rPr>
        <w:object w:dxaOrig="2393" w:dyaOrig="643">
          <v:shape id="_x0000_i1368" type="#_x0000_t75" style="width:98.4pt;height:26.4pt" o:ole="" fillcolor="window">
            <v:imagedata r:id="rId544" o:title=""/>
          </v:shape>
          <o:OLEObject Type="Embed" ProgID="Word.Picture.8" ShapeID="_x0000_i1368" DrawAspect="Content" ObjectID="_1498392387" r:id="rId545"/>
        </w:object>
      </w:r>
    </w:p>
    <w:p w:rsidR="00BB1DA8" w:rsidRPr="00B04DC3" w:rsidRDefault="00BB1DA8" w:rsidP="008B1316">
      <w:pPr>
        <w:pStyle w:val="a"/>
        <w:spacing w:before="120"/>
        <w:rPr>
          <w:lang w:val="en-GB"/>
        </w:rPr>
      </w:pPr>
      <w:r w:rsidRPr="00B04DC3">
        <w:rPr>
          <w:lang w:val="en-GB"/>
        </w:rPr>
        <w:tab/>
        <w:t>G</w:t>
      </w:r>
      <w:r w:rsidRPr="00B04DC3">
        <w:rPr>
          <w:vertAlign w:val="subscript"/>
          <w:lang w:val="en-GB"/>
        </w:rPr>
        <w:t>EDF W</w:t>
      </w:r>
      <w:r w:rsidRPr="00B04DC3">
        <w:rPr>
          <w:lang w:val="en-GB"/>
        </w:rPr>
        <w:t xml:space="preserve"> = 334.02 </w:t>
      </w:r>
      <w:r w:rsidRPr="00B04DC3">
        <w:rPr>
          <w:lang w:val="en-GB"/>
        </w:rPr>
        <w:sym w:font="Symbol" w:char="F0B4"/>
      </w:r>
      <w:r w:rsidRPr="00B04DC3">
        <w:rPr>
          <w:lang w:val="en-GB"/>
        </w:rPr>
        <w:t xml:space="preserve"> 10.78 = 3,600.7 kg/h</w:t>
      </w:r>
    </w:p>
    <w:p w:rsidR="00BB1DA8" w:rsidRPr="00B04DC3" w:rsidRDefault="00BB1DA8" w:rsidP="0076136A">
      <w:pPr>
        <w:pStyle w:val="para"/>
        <w:spacing w:before="120"/>
        <w:ind w:firstLine="0"/>
        <w:rPr>
          <w:lang w:val="en-GB"/>
        </w:rPr>
      </w:pPr>
      <w:r w:rsidRPr="00B04DC3">
        <w:rPr>
          <w:i/>
          <w:lang w:val="en-GB"/>
        </w:rPr>
        <w:tab/>
      </w:r>
      <w:r w:rsidRPr="00B04DC3">
        <w:rPr>
          <w:lang w:val="en-GB"/>
        </w:rPr>
        <w:t>Calculation of the mass flow rate (Annex 4A, Appendix 1, paragraph 6.4.):</w:t>
      </w:r>
    </w:p>
    <w:p w:rsidR="00BB1DA8" w:rsidRPr="00B04DC3" w:rsidRDefault="00BB1DA8" w:rsidP="0076136A">
      <w:pPr>
        <w:pStyle w:val="para"/>
        <w:spacing w:before="120"/>
        <w:ind w:firstLine="0"/>
        <w:rPr>
          <w:lang w:val="en-GB"/>
        </w:rPr>
      </w:pPr>
      <w:r w:rsidRPr="00B04DC3">
        <w:rPr>
          <w:lang w:val="en-GB"/>
        </w:rPr>
        <w:tab/>
        <w:t>The G</w:t>
      </w:r>
      <w:r w:rsidRPr="00B04DC3">
        <w:rPr>
          <w:vertAlign w:val="subscript"/>
          <w:lang w:val="en-GB"/>
        </w:rPr>
        <w:t>EDFW</w:t>
      </w:r>
      <w:r w:rsidRPr="00B04DC3">
        <w:rPr>
          <w:lang w:val="en-GB"/>
        </w:rPr>
        <w:t xml:space="preserve"> flow rates of the individual modes are multiplied by the respective weighting factors, as indicated in Annex 4A, Appendix 1, paragraph 2.7.1., and summed up to result in the mean G</w:t>
      </w:r>
      <w:r w:rsidRPr="00B04DC3">
        <w:rPr>
          <w:vertAlign w:val="subscript"/>
          <w:lang w:val="en-GB"/>
        </w:rPr>
        <w:t>EDF</w:t>
      </w:r>
      <w:r w:rsidRPr="00B04DC3">
        <w:rPr>
          <w:lang w:val="en-GB"/>
        </w:rPr>
        <w:t xml:space="preserve"> over the cycle. The total sample rate M</w:t>
      </w:r>
      <w:r w:rsidRPr="00B04DC3">
        <w:rPr>
          <w:vertAlign w:val="subscript"/>
          <w:lang w:val="en-GB"/>
        </w:rPr>
        <w:t>SAM</w:t>
      </w:r>
      <w:r w:rsidRPr="00B04DC3">
        <w:rPr>
          <w:lang w:val="en-GB"/>
        </w:rPr>
        <w:t xml:space="preserve"> is summed up from the sample rates of the individual modes.</w:t>
      </w:r>
    </w:p>
    <w:p w:rsidR="00BB1DA8" w:rsidRPr="00B04DC3" w:rsidRDefault="00A905B7" w:rsidP="00BB1DA8">
      <w:pPr>
        <w:pStyle w:val="para"/>
        <w:tabs>
          <w:tab w:val="left" w:pos="3119"/>
        </w:tabs>
        <w:spacing w:before="240"/>
        <w:ind w:left="3402"/>
        <w:rPr>
          <w:lang w:val="en-GB"/>
        </w:rPr>
      </w:pPr>
      <w:r>
        <w:rPr>
          <w:lang w:val="en-GB"/>
        </w:rPr>
        <w:pict>
          <v:shape id="_x0000_i1369" type="#_x0000_t75" style="width:38.4pt;height:18.6pt" fillcolor="window">
            <v:imagedata r:id="rId546" o:title=""/>
          </v:shape>
        </w:pict>
      </w:r>
      <w:r w:rsidR="00BB1DA8" w:rsidRPr="00B04DC3">
        <w:rPr>
          <w:lang w:val="en-GB"/>
        </w:rPr>
        <w:tab/>
        <w:t>=</w:t>
      </w:r>
      <w:r w:rsidR="00BB1DA8" w:rsidRPr="00B04DC3">
        <w:rPr>
          <w:lang w:val="en-GB"/>
        </w:rPr>
        <w:tab/>
        <w:t xml:space="preserve">(3,567 </w:t>
      </w:r>
      <w:r w:rsidR="00BB1DA8" w:rsidRPr="00B04DC3">
        <w:rPr>
          <w:lang w:val="en-GB"/>
        </w:rPr>
        <w:sym w:font="Symbol" w:char="F0B4"/>
      </w:r>
      <w:r w:rsidR="00BB1DA8" w:rsidRPr="00B04DC3">
        <w:rPr>
          <w:lang w:val="en-GB"/>
        </w:rPr>
        <w:t xml:space="preserve"> 0.15) + (3,592 </w:t>
      </w:r>
      <w:r w:rsidR="00BB1DA8" w:rsidRPr="00B04DC3">
        <w:rPr>
          <w:lang w:val="en-GB"/>
        </w:rPr>
        <w:sym w:font="Symbol" w:char="F0B4"/>
      </w:r>
      <w:r w:rsidR="00BB1DA8" w:rsidRPr="00B04DC3">
        <w:rPr>
          <w:lang w:val="en-GB"/>
        </w:rPr>
        <w:t xml:space="preserve"> 0.08) + (3,611 </w:t>
      </w:r>
      <w:r w:rsidR="00BB1DA8" w:rsidRPr="00B04DC3">
        <w:rPr>
          <w:lang w:val="en-GB"/>
        </w:rPr>
        <w:sym w:font="Symbol" w:char="F0B4"/>
      </w:r>
      <w:r w:rsidR="00BB1DA8" w:rsidRPr="00B04DC3">
        <w:rPr>
          <w:lang w:val="en-GB"/>
        </w:rPr>
        <w:t xml:space="preserve"> 0.10) + </w:t>
      </w:r>
      <w:r w:rsidR="00BB1DA8" w:rsidRPr="00B04DC3">
        <w:rPr>
          <w:lang w:val="en-GB"/>
        </w:rPr>
        <w:br/>
        <w:t xml:space="preserve">(3,600 </w:t>
      </w:r>
      <w:r w:rsidR="00BB1DA8" w:rsidRPr="00B04DC3">
        <w:rPr>
          <w:lang w:val="en-GB"/>
        </w:rPr>
        <w:sym w:font="Symbol" w:char="F0B4"/>
      </w:r>
      <w:r w:rsidR="00BB1DA8" w:rsidRPr="00B04DC3">
        <w:rPr>
          <w:lang w:val="en-GB"/>
        </w:rPr>
        <w:t xml:space="preserve"> 0.10) + (3,618 </w:t>
      </w:r>
      <w:r w:rsidR="00BB1DA8" w:rsidRPr="00B04DC3">
        <w:rPr>
          <w:lang w:val="en-GB"/>
        </w:rPr>
        <w:sym w:font="Symbol" w:char="F0B4"/>
      </w:r>
      <w:r w:rsidR="00BB1DA8" w:rsidRPr="00B04DC3">
        <w:rPr>
          <w:lang w:val="en-GB"/>
        </w:rPr>
        <w:t xml:space="preserve"> 0.05) + (3,600 </w:t>
      </w:r>
      <w:r w:rsidR="00BB1DA8" w:rsidRPr="00B04DC3">
        <w:rPr>
          <w:lang w:val="en-GB"/>
        </w:rPr>
        <w:sym w:font="Symbol" w:char="F0B4"/>
      </w:r>
      <w:r w:rsidR="00BB1DA8" w:rsidRPr="00B04DC3">
        <w:rPr>
          <w:lang w:val="en-GB"/>
        </w:rPr>
        <w:t xml:space="preserve"> 0.05) + </w:t>
      </w:r>
      <w:r w:rsidR="00BB1DA8" w:rsidRPr="00B04DC3">
        <w:rPr>
          <w:lang w:val="en-GB"/>
        </w:rPr>
        <w:br/>
        <w:t xml:space="preserve">(3,640 </w:t>
      </w:r>
      <w:r w:rsidR="00BB1DA8" w:rsidRPr="00B04DC3">
        <w:rPr>
          <w:lang w:val="en-GB"/>
        </w:rPr>
        <w:sym w:font="Symbol" w:char="F0B4"/>
      </w:r>
      <w:r w:rsidR="00BB1DA8" w:rsidRPr="00B04DC3">
        <w:rPr>
          <w:lang w:val="en-GB"/>
        </w:rPr>
        <w:t xml:space="preserve"> 0.05) + (3,614 </w:t>
      </w:r>
      <w:r w:rsidR="00BB1DA8" w:rsidRPr="00B04DC3">
        <w:rPr>
          <w:lang w:val="en-GB"/>
        </w:rPr>
        <w:sym w:font="Symbol" w:char="F0B4"/>
      </w:r>
      <w:r w:rsidR="00BB1DA8" w:rsidRPr="00B04DC3">
        <w:rPr>
          <w:lang w:val="en-GB"/>
        </w:rPr>
        <w:t xml:space="preserve"> 0.09) + (3,620 </w:t>
      </w:r>
      <w:r w:rsidR="00BB1DA8" w:rsidRPr="00B04DC3">
        <w:rPr>
          <w:lang w:val="en-GB"/>
        </w:rPr>
        <w:sym w:font="Symbol" w:char="F0B4"/>
      </w:r>
      <w:r w:rsidR="00BB1DA8" w:rsidRPr="00B04DC3">
        <w:rPr>
          <w:lang w:val="en-GB"/>
        </w:rPr>
        <w:t xml:space="preserve"> 0.10) + </w:t>
      </w:r>
      <w:r w:rsidR="00BB1DA8" w:rsidRPr="00B04DC3">
        <w:rPr>
          <w:lang w:val="en-GB"/>
        </w:rPr>
        <w:br/>
        <w:t xml:space="preserve">(3,601 </w:t>
      </w:r>
      <w:r w:rsidR="00BB1DA8" w:rsidRPr="00B04DC3">
        <w:rPr>
          <w:lang w:val="en-GB"/>
        </w:rPr>
        <w:sym w:font="Symbol" w:char="F0B4"/>
      </w:r>
      <w:r w:rsidR="00BB1DA8" w:rsidRPr="00B04DC3">
        <w:rPr>
          <w:lang w:val="en-GB"/>
        </w:rPr>
        <w:t xml:space="preserve"> 0.08) + (3,639 </w:t>
      </w:r>
      <w:r w:rsidR="00BB1DA8" w:rsidRPr="00B04DC3">
        <w:rPr>
          <w:lang w:val="en-GB"/>
        </w:rPr>
        <w:sym w:font="Symbol" w:char="F0B4"/>
      </w:r>
      <w:r w:rsidR="00BB1DA8" w:rsidRPr="00B04DC3">
        <w:rPr>
          <w:lang w:val="en-GB"/>
        </w:rPr>
        <w:t xml:space="preserve"> 0.05) + (3,582 </w:t>
      </w:r>
      <w:r w:rsidR="00BB1DA8" w:rsidRPr="00B04DC3">
        <w:rPr>
          <w:lang w:val="en-GB"/>
        </w:rPr>
        <w:sym w:font="Symbol" w:char="F0B4"/>
      </w:r>
      <w:r w:rsidR="00BB1DA8" w:rsidRPr="00B04DC3">
        <w:rPr>
          <w:lang w:val="en-GB"/>
        </w:rPr>
        <w:t xml:space="preserve"> 0.05) + </w:t>
      </w:r>
      <w:r w:rsidR="00BB1DA8" w:rsidRPr="00B04DC3">
        <w:rPr>
          <w:lang w:val="en-GB"/>
        </w:rPr>
        <w:br/>
        <w:t xml:space="preserve">(3,635 </w:t>
      </w:r>
      <w:r w:rsidR="00BB1DA8" w:rsidRPr="00B04DC3">
        <w:rPr>
          <w:lang w:val="en-GB"/>
        </w:rPr>
        <w:sym w:font="Symbol" w:char="F0B4"/>
      </w:r>
      <w:r w:rsidR="00BB1DA8" w:rsidRPr="00B04DC3">
        <w:rPr>
          <w:lang w:val="en-GB"/>
        </w:rPr>
        <w:t xml:space="preserve"> 0.05) = 3,604.6 kg/h</w:t>
      </w:r>
    </w:p>
    <w:p w:rsidR="00BB1DA8" w:rsidRPr="00B04DC3" w:rsidRDefault="00BB1DA8" w:rsidP="00BB1DA8">
      <w:pPr>
        <w:pStyle w:val="para"/>
        <w:spacing w:before="240"/>
        <w:ind w:firstLine="0"/>
        <w:rPr>
          <w:lang w:val="en-GB"/>
        </w:rPr>
      </w:pPr>
      <w:r w:rsidRPr="00B04DC3">
        <w:rPr>
          <w:lang w:val="en-GB"/>
        </w:rPr>
        <w:tab/>
        <w:t>M</w:t>
      </w:r>
      <w:r w:rsidRPr="00B04DC3">
        <w:rPr>
          <w:vertAlign w:val="subscript"/>
          <w:lang w:val="en-GB"/>
        </w:rPr>
        <w:t>SAM</w:t>
      </w:r>
      <w:r w:rsidRPr="00B04DC3">
        <w:rPr>
          <w:lang w:val="en-GB"/>
        </w:rPr>
        <w:tab/>
        <w:t>=</w:t>
      </w:r>
      <w:r w:rsidRPr="00B04DC3">
        <w:rPr>
          <w:lang w:val="en-GB"/>
        </w:rPr>
        <w:tab/>
        <w:t xml:space="preserve">0.226 + 0.122 + 0.151 + 0.152 + 0.076 + 0.076 + 0.076 + 0.136 </w:t>
      </w:r>
      <w:r w:rsidRPr="00B04DC3">
        <w:rPr>
          <w:lang w:val="en-GB"/>
        </w:rPr>
        <w:br/>
      </w:r>
      <w:r w:rsidRPr="00B04DC3">
        <w:rPr>
          <w:lang w:val="en-GB"/>
        </w:rPr>
        <w:tab/>
      </w:r>
      <w:r w:rsidRPr="00B04DC3">
        <w:rPr>
          <w:lang w:val="en-GB"/>
        </w:rPr>
        <w:tab/>
      </w:r>
      <w:r w:rsidRPr="00B04DC3">
        <w:rPr>
          <w:lang w:val="en-GB"/>
        </w:rPr>
        <w:tab/>
        <w:t>+ 0.151 + 0.121 + 0.076 + 0.076 + 0.075 = 1.515 kg</w:t>
      </w:r>
    </w:p>
    <w:p w:rsidR="00BB1DA8" w:rsidRPr="00B04DC3" w:rsidRDefault="00BB1DA8" w:rsidP="00BB1DA8">
      <w:pPr>
        <w:pStyle w:val="para"/>
        <w:spacing w:before="240"/>
        <w:ind w:firstLine="0"/>
        <w:rPr>
          <w:lang w:val="en-GB"/>
        </w:rPr>
      </w:pPr>
      <w:r w:rsidRPr="00B04DC3">
        <w:rPr>
          <w:lang w:val="en-GB"/>
        </w:rPr>
        <w:tab/>
        <w:t>Assume the particulate mass on the filters to be 2.5 mg, then</w:t>
      </w:r>
    </w:p>
    <w:bookmarkStart w:id="709" w:name="_MON_1223394341"/>
    <w:bookmarkStart w:id="710" w:name="_MON_1223395066"/>
    <w:bookmarkEnd w:id="709"/>
    <w:bookmarkEnd w:id="710"/>
    <w:bookmarkStart w:id="711" w:name="_MON_1279973470"/>
    <w:bookmarkEnd w:id="711"/>
    <w:p w:rsidR="00BB1DA8" w:rsidRPr="00B04DC3" w:rsidRDefault="00BB1DA8" w:rsidP="0076136A">
      <w:pPr>
        <w:pStyle w:val="para"/>
        <w:spacing w:before="120"/>
        <w:ind w:left="3402"/>
        <w:rPr>
          <w:lang w:val="en-GB"/>
        </w:rPr>
      </w:pPr>
      <w:r w:rsidRPr="00B04DC3">
        <w:rPr>
          <w:lang w:val="en-GB"/>
        </w:rPr>
        <w:object w:dxaOrig="3396" w:dyaOrig="644">
          <v:shape id="_x0000_i1370" type="#_x0000_t75" style="width:139.8pt;height:27.6pt" o:ole="" fillcolor="window">
            <v:imagedata r:id="rId547" o:title=""/>
          </v:shape>
          <o:OLEObject Type="Embed" ProgID="Word.Picture.8" ShapeID="_x0000_i1370" DrawAspect="Content" ObjectID="_1498392388" r:id="rId548"/>
        </w:object>
      </w:r>
    </w:p>
    <w:p w:rsidR="00BB1DA8" w:rsidRPr="00B04DC3" w:rsidRDefault="00BB1DA8" w:rsidP="00BB1DA8">
      <w:pPr>
        <w:pStyle w:val="para"/>
        <w:spacing w:before="240"/>
        <w:ind w:firstLine="0"/>
        <w:rPr>
          <w:lang w:val="en-GB"/>
        </w:rPr>
      </w:pPr>
      <w:r w:rsidRPr="00B04DC3">
        <w:rPr>
          <w:lang w:val="en-GB"/>
        </w:rPr>
        <w:tab/>
        <w:t>Background correction (optional)</w:t>
      </w:r>
    </w:p>
    <w:p w:rsidR="00BB1DA8" w:rsidRPr="00B04DC3" w:rsidRDefault="00BB1DA8" w:rsidP="00BB1DA8">
      <w:pPr>
        <w:pStyle w:val="para"/>
        <w:spacing w:before="240"/>
        <w:ind w:firstLine="0"/>
        <w:rPr>
          <w:lang w:val="en-GB"/>
        </w:rPr>
      </w:pPr>
      <w:r w:rsidRPr="00B04DC3">
        <w:rPr>
          <w:lang w:val="en-GB"/>
        </w:rPr>
        <w:tab/>
        <w:t>Assume one background measurement with the following values. The calculation of the dilution factor DF is identical to paragraph 3.1. of this annex and not shown here.</w:t>
      </w:r>
    </w:p>
    <w:p w:rsidR="00BB1DA8" w:rsidRPr="00B04DC3" w:rsidRDefault="00BB1DA8" w:rsidP="00BB1DA8">
      <w:pPr>
        <w:pStyle w:val="para"/>
        <w:spacing w:before="240"/>
        <w:ind w:firstLine="0"/>
        <w:rPr>
          <w:lang w:val="en-GB"/>
        </w:rPr>
      </w:pPr>
      <w:r w:rsidRPr="00B04DC3">
        <w:rPr>
          <w:lang w:val="en-GB"/>
        </w:rPr>
        <w:tab/>
        <w:t>M</w:t>
      </w:r>
      <w:r w:rsidRPr="00B04DC3">
        <w:rPr>
          <w:vertAlign w:val="subscript"/>
          <w:lang w:val="en-GB"/>
        </w:rPr>
        <w:t>d</w:t>
      </w:r>
      <w:r w:rsidRPr="00B04DC3">
        <w:rPr>
          <w:lang w:val="en-GB"/>
        </w:rPr>
        <w:t xml:space="preserve"> = 0.1 mg; M</w:t>
      </w:r>
      <w:r w:rsidRPr="00B04DC3">
        <w:rPr>
          <w:vertAlign w:val="subscript"/>
          <w:lang w:val="en-GB"/>
        </w:rPr>
        <w:t>DIL</w:t>
      </w:r>
      <w:r w:rsidRPr="00B04DC3">
        <w:rPr>
          <w:lang w:val="en-GB"/>
        </w:rPr>
        <w:t xml:space="preserve"> = 1.5 kg</w:t>
      </w:r>
    </w:p>
    <w:p w:rsidR="00BB1DA8" w:rsidRPr="00B04DC3" w:rsidRDefault="00BB1DA8" w:rsidP="0076136A">
      <w:pPr>
        <w:pStyle w:val="para"/>
        <w:spacing w:before="120"/>
        <w:ind w:left="3402"/>
        <w:rPr>
          <w:lang w:val="en-GB"/>
        </w:rPr>
      </w:pPr>
      <w:r w:rsidRPr="00B04DC3">
        <w:rPr>
          <w:lang w:val="en-GB"/>
        </w:rPr>
        <w:t>Sum of DF =</w:t>
      </w:r>
      <w:r w:rsidRPr="00B04DC3">
        <w:rPr>
          <w:lang w:val="en-GB"/>
        </w:rPr>
        <w:tab/>
        <w:t xml:space="preserve">[(1−1/119.15) </w:t>
      </w:r>
      <w:r w:rsidRPr="00B04DC3">
        <w:rPr>
          <w:lang w:val="en-GB"/>
        </w:rPr>
        <w:sym w:font="Symbol" w:char="F0B4"/>
      </w:r>
      <w:r w:rsidRPr="00B04DC3">
        <w:rPr>
          <w:lang w:val="en-GB"/>
        </w:rPr>
        <w:t xml:space="preserve"> 0.15] + [(1−1/8.89) </w:t>
      </w:r>
      <w:r w:rsidRPr="00B04DC3">
        <w:rPr>
          <w:lang w:val="en-GB"/>
        </w:rPr>
        <w:sym w:font="Symbol" w:char="F0B4"/>
      </w:r>
      <w:r w:rsidRPr="00B04DC3">
        <w:rPr>
          <w:lang w:val="en-GB"/>
        </w:rPr>
        <w:t xml:space="preserve"> 0.08] + [(1−1/14.75) </w:t>
      </w:r>
      <w:r w:rsidRPr="00B04DC3">
        <w:rPr>
          <w:lang w:val="en-GB"/>
        </w:rPr>
        <w:sym w:font="Symbol" w:char="F0B4"/>
      </w:r>
      <w:r w:rsidRPr="00B04DC3">
        <w:rPr>
          <w:lang w:val="en-GB"/>
        </w:rPr>
        <w:t xml:space="preserve"> 0.10] + [(1−1/10.10) </w:t>
      </w:r>
      <w:r w:rsidRPr="00B04DC3">
        <w:rPr>
          <w:lang w:val="en-GB"/>
        </w:rPr>
        <w:sym w:font="Symbol" w:char="F0B4"/>
      </w:r>
      <w:r w:rsidRPr="00B04DC3">
        <w:rPr>
          <w:lang w:val="en-GB"/>
        </w:rPr>
        <w:t xml:space="preserve"> 0.10] + [(1−1/18.02) </w:t>
      </w:r>
      <w:r w:rsidRPr="00B04DC3">
        <w:rPr>
          <w:lang w:val="en-GB"/>
        </w:rPr>
        <w:sym w:font="Symbol" w:char="F0B4"/>
      </w:r>
      <w:r w:rsidRPr="00B04DC3">
        <w:rPr>
          <w:lang w:val="en-GB"/>
        </w:rPr>
        <w:t xml:space="preserve"> 0.05] + [(1−1/12.33) </w:t>
      </w:r>
      <w:r w:rsidRPr="00B04DC3">
        <w:rPr>
          <w:lang w:val="en-GB"/>
        </w:rPr>
        <w:sym w:font="Symbol" w:char="F0B4"/>
      </w:r>
      <w:r w:rsidRPr="00B04DC3">
        <w:rPr>
          <w:lang w:val="en-GB"/>
        </w:rPr>
        <w:t xml:space="preserve"> 0.05] + [(1−1/32.18) </w:t>
      </w:r>
      <w:r w:rsidRPr="00B04DC3">
        <w:rPr>
          <w:lang w:val="en-GB"/>
        </w:rPr>
        <w:sym w:font="Symbol" w:char="F0B4"/>
      </w:r>
      <w:r w:rsidRPr="00B04DC3">
        <w:rPr>
          <w:lang w:val="en-GB"/>
        </w:rPr>
        <w:t xml:space="preserve"> 0.05] + [(1−1/6.94) </w:t>
      </w:r>
      <w:r w:rsidRPr="00B04DC3">
        <w:rPr>
          <w:lang w:val="en-GB"/>
        </w:rPr>
        <w:sym w:font="Symbol" w:char="F0B4"/>
      </w:r>
      <w:r w:rsidRPr="00B04DC3">
        <w:rPr>
          <w:lang w:val="en-GB"/>
        </w:rPr>
        <w:t xml:space="preserve"> 0.09] + [(1−1/25.19) </w:t>
      </w:r>
      <w:r w:rsidRPr="00B04DC3">
        <w:rPr>
          <w:lang w:val="en-GB"/>
        </w:rPr>
        <w:sym w:font="Symbol" w:char="F0B4"/>
      </w:r>
      <w:r w:rsidRPr="00B04DC3">
        <w:rPr>
          <w:lang w:val="en-GB"/>
        </w:rPr>
        <w:t xml:space="preserve"> 0.10] + [(1−1/6.12) </w:t>
      </w:r>
      <w:r w:rsidRPr="00B04DC3">
        <w:rPr>
          <w:lang w:val="en-GB"/>
        </w:rPr>
        <w:sym w:font="Symbol" w:char="F0B4"/>
      </w:r>
      <w:r w:rsidRPr="00B04DC3">
        <w:rPr>
          <w:lang w:val="en-GB"/>
        </w:rPr>
        <w:t xml:space="preserve"> 0.08] + [(1−1/20.87) </w:t>
      </w:r>
      <w:r w:rsidRPr="00B04DC3">
        <w:rPr>
          <w:lang w:val="en-GB"/>
        </w:rPr>
        <w:sym w:font="Symbol" w:char="F0B4"/>
      </w:r>
      <w:r w:rsidRPr="00B04DC3">
        <w:rPr>
          <w:lang w:val="en-GB"/>
        </w:rPr>
        <w:t xml:space="preserve"> 0.05] + [(1−1/8.77) </w:t>
      </w:r>
      <w:r w:rsidRPr="00B04DC3">
        <w:rPr>
          <w:lang w:val="en-GB"/>
        </w:rPr>
        <w:sym w:font="Symbol" w:char="F0B4"/>
      </w:r>
      <w:r w:rsidRPr="00B04DC3">
        <w:rPr>
          <w:lang w:val="en-GB"/>
        </w:rPr>
        <w:t xml:space="preserve"> 0.05] + [(1−1/12.59) </w:t>
      </w:r>
      <w:r w:rsidRPr="00B04DC3">
        <w:rPr>
          <w:lang w:val="en-GB"/>
        </w:rPr>
        <w:sym w:font="Symbol" w:char="F0B4"/>
      </w:r>
      <w:r w:rsidRPr="00B04DC3">
        <w:rPr>
          <w:lang w:val="en-GB"/>
        </w:rPr>
        <w:t xml:space="preserve"> 0.05] = 0.923</w:t>
      </w:r>
    </w:p>
    <w:p w:rsidR="00BB1DA8" w:rsidRPr="00B04DC3" w:rsidRDefault="00BB1DA8" w:rsidP="00BB1DA8">
      <w:pPr>
        <w:pStyle w:val="para"/>
        <w:spacing w:before="240"/>
        <w:ind w:firstLine="0"/>
        <w:rPr>
          <w:lang w:val="en-GB"/>
        </w:rPr>
      </w:pPr>
      <w:r w:rsidRPr="00B04DC3">
        <w:rPr>
          <w:lang w:val="en-GB"/>
        </w:rPr>
        <w:tab/>
      </w:r>
      <w:bookmarkStart w:id="712" w:name="_MON_1223492319"/>
      <w:bookmarkStart w:id="713" w:name="_MON_1279973535"/>
      <w:bookmarkEnd w:id="712"/>
      <w:bookmarkEnd w:id="713"/>
      <w:bookmarkStart w:id="714" w:name="_MON_1364293752"/>
      <w:bookmarkEnd w:id="714"/>
      <w:r w:rsidRPr="00B04DC3">
        <w:rPr>
          <w:lang w:val="en-GB"/>
        </w:rPr>
        <w:object w:dxaOrig="5054" w:dyaOrig="708">
          <v:shape id="_x0000_i1371" type="#_x0000_t75" style="width:220.2pt;height:30.6pt" o:ole="" fillcolor="window">
            <v:imagedata r:id="rId549" o:title=""/>
          </v:shape>
          <o:OLEObject Type="Embed" ProgID="Word.Picture.8" ShapeID="_x0000_i1371" DrawAspect="Content" ObjectID="_1498392389" r:id="rId550"/>
        </w:object>
      </w:r>
    </w:p>
    <w:p w:rsidR="00BB1DA8" w:rsidRPr="00B04DC3" w:rsidRDefault="00BB1DA8" w:rsidP="0076136A">
      <w:pPr>
        <w:pStyle w:val="para"/>
        <w:spacing w:before="120"/>
        <w:ind w:firstLine="0"/>
        <w:rPr>
          <w:lang w:val="en-GB"/>
        </w:rPr>
      </w:pPr>
      <w:r w:rsidRPr="00B04DC3">
        <w:rPr>
          <w:lang w:val="en-GB"/>
        </w:rPr>
        <w:tab/>
        <w:t>Calculation of the specific emission (Annex 4A, Appendix 1, paragraph 6.5.):</w:t>
      </w:r>
    </w:p>
    <w:p w:rsidR="00BB1DA8" w:rsidRPr="00B04DC3" w:rsidRDefault="00BB1DA8" w:rsidP="0076136A">
      <w:pPr>
        <w:pStyle w:val="para"/>
        <w:tabs>
          <w:tab w:val="left" w:pos="2835"/>
        </w:tabs>
        <w:spacing w:before="120"/>
        <w:ind w:left="3345" w:hanging="1077"/>
        <w:rPr>
          <w:szCs w:val="24"/>
          <w:lang w:val="en-GB"/>
        </w:rPr>
      </w:pPr>
      <w:r w:rsidRPr="00B04DC3">
        <w:rPr>
          <w:lang w:val="en-GB"/>
        </w:rPr>
        <w:t>P(n)</w:t>
      </w:r>
      <w:r w:rsidRPr="00B04DC3">
        <w:rPr>
          <w:lang w:val="en-GB"/>
        </w:rPr>
        <w:tab/>
        <w:t>=</w:t>
      </w:r>
      <w:r w:rsidRPr="00B04DC3">
        <w:rPr>
          <w:lang w:val="en-GB"/>
        </w:rPr>
        <w:tab/>
        <w:t xml:space="preserve">(0.1 </w:t>
      </w:r>
      <w:r w:rsidRPr="00B04DC3">
        <w:rPr>
          <w:lang w:val="en-GB"/>
        </w:rPr>
        <w:sym w:font="Symbol" w:char="F0B4"/>
      </w:r>
      <w:r w:rsidRPr="00B04DC3">
        <w:rPr>
          <w:lang w:val="en-GB"/>
        </w:rPr>
        <w:t xml:space="preserve"> 0.15) + (96.8 </w:t>
      </w:r>
      <w:r w:rsidRPr="00B04DC3">
        <w:rPr>
          <w:lang w:val="en-GB"/>
        </w:rPr>
        <w:sym w:font="Symbol" w:char="F0B4"/>
      </w:r>
      <w:r w:rsidRPr="00B04DC3">
        <w:rPr>
          <w:lang w:val="en-GB"/>
        </w:rPr>
        <w:t xml:space="preserve"> 0.08) + (55.2 </w:t>
      </w:r>
      <w:r w:rsidRPr="00B04DC3">
        <w:rPr>
          <w:lang w:val="en-GB"/>
        </w:rPr>
        <w:sym w:font="Symbol" w:char="F0B4"/>
      </w:r>
      <w:r w:rsidRPr="00B04DC3">
        <w:rPr>
          <w:lang w:val="en-GB"/>
        </w:rPr>
        <w:t xml:space="preserve"> 0.10) + (82.9 </w:t>
      </w:r>
      <w:r w:rsidRPr="00B04DC3">
        <w:rPr>
          <w:lang w:val="en-GB"/>
        </w:rPr>
        <w:sym w:font="Symbol" w:char="F0B4"/>
      </w:r>
      <w:r w:rsidRPr="00B04DC3">
        <w:rPr>
          <w:lang w:val="en-GB"/>
        </w:rPr>
        <w:t xml:space="preserve"> 0.10) + </w:t>
      </w:r>
      <w:r w:rsidRPr="00B04DC3">
        <w:rPr>
          <w:spacing w:val="-4"/>
          <w:lang w:val="en-GB"/>
        </w:rPr>
        <w:t xml:space="preserve">(46.8 </w:t>
      </w:r>
      <w:r w:rsidRPr="00B04DC3">
        <w:rPr>
          <w:spacing w:val="-4"/>
          <w:lang w:val="en-GB"/>
        </w:rPr>
        <w:sym w:font="Symbol" w:char="F0B4"/>
      </w:r>
      <w:r w:rsidRPr="00B04DC3">
        <w:rPr>
          <w:spacing w:val="-4"/>
          <w:lang w:val="en-GB"/>
        </w:rPr>
        <w:t xml:space="preserve"> 0.05 + (70.1 </w:t>
      </w:r>
      <w:r w:rsidRPr="00B04DC3">
        <w:rPr>
          <w:spacing w:val="-4"/>
          <w:lang w:val="en-GB"/>
        </w:rPr>
        <w:sym w:font="Symbol" w:char="F0B4"/>
      </w:r>
      <w:r w:rsidRPr="00B04DC3">
        <w:rPr>
          <w:spacing w:val="-4"/>
          <w:lang w:val="en-GB"/>
        </w:rPr>
        <w:t xml:space="preserve"> 0.05) + (23.0 </w:t>
      </w:r>
      <w:r w:rsidRPr="00B04DC3">
        <w:rPr>
          <w:spacing w:val="-4"/>
          <w:lang w:val="en-GB"/>
        </w:rPr>
        <w:sym w:font="Symbol" w:char="F0B4"/>
      </w:r>
      <w:r w:rsidRPr="00B04DC3">
        <w:rPr>
          <w:spacing w:val="-4"/>
          <w:lang w:val="en-GB"/>
        </w:rPr>
        <w:t xml:space="preserve"> 0.05) + (114.3 </w:t>
      </w:r>
      <w:r w:rsidRPr="00B04DC3">
        <w:rPr>
          <w:spacing w:val="-4"/>
          <w:lang w:val="en-GB"/>
        </w:rPr>
        <w:sym w:font="Symbol" w:char="F0B4"/>
      </w:r>
      <w:r w:rsidRPr="00B04DC3">
        <w:rPr>
          <w:spacing w:val="-4"/>
          <w:lang w:val="en-GB"/>
        </w:rPr>
        <w:t xml:space="preserve"> 0.09) +</w:t>
      </w:r>
      <w:r w:rsidRPr="00B04DC3">
        <w:rPr>
          <w:lang w:val="en-GB"/>
        </w:rPr>
        <w:t xml:space="preserve"> (27.0 </w:t>
      </w:r>
      <w:r w:rsidRPr="00B04DC3">
        <w:rPr>
          <w:lang w:val="en-GB"/>
        </w:rPr>
        <w:sym w:font="Symbol" w:char="F0B4"/>
      </w:r>
      <w:r w:rsidRPr="00B04DC3">
        <w:rPr>
          <w:lang w:val="en-GB"/>
        </w:rPr>
        <w:t xml:space="preserve"> 0.10) + (122.0 </w:t>
      </w:r>
      <w:r w:rsidRPr="00B04DC3">
        <w:rPr>
          <w:lang w:val="en-GB"/>
        </w:rPr>
        <w:sym w:font="Symbol" w:char="F0B4"/>
      </w:r>
      <w:r w:rsidRPr="00B04DC3">
        <w:rPr>
          <w:lang w:val="en-GB"/>
        </w:rPr>
        <w:t xml:space="preserve"> 0.08) + (28.6 </w:t>
      </w:r>
      <w:r w:rsidRPr="00B04DC3">
        <w:rPr>
          <w:lang w:val="en-GB"/>
        </w:rPr>
        <w:sym w:font="Symbol" w:char="F0B4"/>
      </w:r>
      <w:r w:rsidRPr="00B04DC3">
        <w:rPr>
          <w:lang w:val="en-GB"/>
        </w:rPr>
        <w:t xml:space="preserve"> 0.05) + </w:t>
      </w:r>
      <w:r w:rsidRPr="00B04DC3">
        <w:rPr>
          <w:lang w:val="en-GB"/>
        </w:rPr>
        <w:br/>
        <w:t xml:space="preserve">(87.4 </w:t>
      </w:r>
      <w:r w:rsidRPr="00B04DC3">
        <w:rPr>
          <w:lang w:val="en-GB"/>
        </w:rPr>
        <w:sym w:font="Symbol" w:char="F0B4"/>
      </w:r>
      <w:r w:rsidRPr="00B04DC3">
        <w:rPr>
          <w:lang w:val="en-GB"/>
        </w:rPr>
        <w:t xml:space="preserve"> 0.05) + (57.9 </w:t>
      </w:r>
      <w:r w:rsidRPr="00B04DC3">
        <w:rPr>
          <w:lang w:val="en-GB"/>
        </w:rPr>
        <w:sym w:font="Symbol" w:char="F0B4"/>
      </w:r>
      <w:r w:rsidRPr="00B04DC3">
        <w:rPr>
          <w:lang w:val="en-GB"/>
        </w:rPr>
        <w:t xml:space="preserve"> 0.05) </w:t>
      </w:r>
      <w:r w:rsidRPr="00B04DC3">
        <w:rPr>
          <w:szCs w:val="24"/>
          <w:lang w:val="en-GB"/>
        </w:rPr>
        <w:t>= 60.</w:t>
      </w:r>
      <w:r w:rsidRPr="00B04DC3">
        <w:rPr>
          <w:rStyle w:val="CommentReference"/>
          <w:lang w:val="en-GB"/>
        </w:rPr>
        <w:t>006</w:t>
      </w:r>
      <w:r w:rsidRPr="00B04DC3">
        <w:rPr>
          <w:lang w:val="en-GB"/>
        </w:rPr>
        <w:t xml:space="preserve"> kW</w:t>
      </w:r>
    </w:p>
    <w:p w:rsidR="00BB1DA8" w:rsidRPr="00B04DC3" w:rsidRDefault="00BB1DA8" w:rsidP="00BB1DA8">
      <w:pPr>
        <w:pStyle w:val="para"/>
        <w:spacing w:before="240"/>
        <w:ind w:firstLine="0"/>
        <w:rPr>
          <w:lang w:val="en-GB"/>
        </w:rPr>
      </w:pPr>
      <w:r w:rsidRPr="00B04DC3">
        <w:rPr>
          <w:lang w:val="en-GB"/>
        </w:rPr>
        <w:tab/>
      </w:r>
      <w:bookmarkStart w:id="715" w:name="_MON_1223394511"/>
      <w:bookmarkEnd w:id="715"/>
      <w:bookmarkStart w:id="716" w:name="_MON_1223395068"/>
      <w:bookmarkEnd w:id="716"/>
      <w:r w:rsidR="008227BD" w:rsidRPr="00B04DC3">
        <w:rPr>
          <w:lang w:val="en-GB"/>
        </w:rPr>
        <w:object w:dxaOrig="2791" w:dyaOrig="644">
          <v:shape id="_x0000_i1372" type="#_x0000_t75" style="width:116.4pt;height:27.6pt" o:ole="" fillcolor="window">
            <v:imagedata r:id="rId551" o:title=""/>
          </v:shape>
          <o:OLEObject Type="Embed" ProgID="Word.Picture.8" ShapeID="_x0000_i1372" DrawAspect="Content" ObjectID="_1498392390" r:id="rId552"/>
        </w:object>
      </w:r>
    </w:p>
    <w:p w:rsidR="00BB1DA8" w:rsidRPr="00B04DC3" w:rsidRDefault="00BB1DA8" w:rsidP="00BB1DA8">
      <w:pPr>
        <w:pStyle w:val="para"/>
        <w:spacing w:before="240"/>
        <w:ind w:firstLine="0"/>
        <w:rPr>
          <w:lang w:val="en-GB"/>
        </w:rPr>
      </w:pPr>
      <w:r w:rsidRPr="00B04DC3">
        <w:rPr>
          <w:lang w:val="en-GB"/>
        </w:rPr>
        <w:tab/>
        <w:t xml:space="preserve">if background corrected </w:t>
      </w:r>
      <w:r w:rsidR="00A905B7">
        <w:rPr>
          <w:position w:val="-4"/>
          <w:lang w:val="en-GB"/>
        </w:rPr>
        <w:pict>
          <v:shape id="_x0000_i1373" type="#_x0000_t75" style="width:17.4pt;height:14.4pt" fillcolor="window">
            <v:imagedata r:id="rId553" o:title=""/>
          </v:shape>
        </w:pict>
      </w:r>
      <w:r w:rsidRPr="00B04DC3">
        <w:rPr>
          <w:lang w:val="en-GB"/>
        </w:rPr>
        <w:t xml:space="preserve"> = (5.726/60.006) = 0.095 g/kWh,</w:t>
      </w:r>
    </w:p>
    <w:p w:rsidR="00BB1DA8" w:rsidRPr="00B04DC3" w:rsidRDefault="00BB1DA8" w:rsidP="00BB1DA8">
      <w:pPr>
        <w:pStyle w:val="para"/>
        <w:spacing w:before="240"/>
        <w:ind w:firstLine="0"/>
        <w:rPr>
          <w:lang w:val="en-GB"/>
        </w:rPr>
      </w:pPr>
      <w:r w:rsidRPr="00B04DC3">
        <w:rPr>
          <w:lang w:val="en-GB"/>
        </w:rPr>
        <w:tab/>
        <w:t>Calculation of the specific weighting factor (Annex 4A, Appendix 1, paragraph 6.6.):</w:t>
      </w:r>
    </w:p>
    <w:p w:rsidR="00BB1DA8" w:rsidRPr="00B04DC3" w:rsidRDefault="00BB1DA8" w:rsidP="008B1316">
      <w:pPr>
        <w:pStyle w:val="para"/>
        <w:spacing w:before="120"/>
        <w:rPr>
          <w:lang w:val="en-GB"/>
        </w:rPr>
      </w:pPr>
      <w:r w:rsidRPr="00B04DC3">
        <w:rPr>
          <w:lang w:val="en-GB"/>
        </w:rPr>
        <w:tab/>
        <w:t xml:space="preserve">Assume the values calculated for mode 4 above, then </w:t>
      </w:r>
      <w:r w:rsidRPr="00B04DC3">
        <w:rPr>
          <w:lang w:val="en-GB"/>
        </w:rPr>
        <w:br/>
        <w:t>W</w:t>
      </w:r>
      <w:r w:rsidRPr="00B04DC3">
        <w:rPr>
          <w:vertAlign w:val="subscript"/>
          <w:lang w:val="en-GB"/>
        </w:rPr>
        <w:t>fei</w:t>
      </w:r>
      <w:r w:rsidRPr="00B04DC3">
        <w:rPr>
          <w:lang w:val="en-GB"/>
        </w:rPr>
        <w:t xml:space="preserve"> = (0.152 </w:t>
      </w:r>
      <w:r w:rsidRPr="00B04DC3">
        <w:rPr>
          <w:lang w:val="en-GB"/>
        </w:rPr>
        <w:sym w:font="Symbol" w:char="F0B4"/>
      </w:r>
      <w:r w:rsidRPr="00B04DC3">
        <w:rPr>
          <w:lang w:val="en-GB"/>
        </w:rPr>
        <w:t xml:space="preserve"> 3,604.6/1.515 </w:t>
      </w:r>
      <w:r w:rsidRPr="00B04DC3">
        <w:rPr>
          <w:lang w:val="en-GB"/>
        </w:rPr>
        <w:sym w:font="Symbol" w:char="F0B4"/>
      </w:r>
      <w:r w:rsidRPr="00B04DC3">
        <w:rPr>
          <w:lang w:val="en-GB"/>
        </w:rPr>
        <w:t xml:space="preserve"> 3,600.7) = 0.1004</w:t>
      </w:r>
    </w:p>
    <w:p w:rsidR="00BB1DA8" w:rsidRPr="00B04DC3" w:rsidRDefault="00BB1DA8" w:rsidP="008B1316">
      <w:pPr>
        <w:pStyle w:val="para"/>
        <w:spacing w:before="120"/>
        <w:rPr>
          <w:lang w:val="en-GB"/>
        </w:rPr>
      </w:pPr>
      <w:r w:rsidRPr="00B04DC3">
        <w:rPr>
          <w:lang w:val="en-GB"/>
        </w:rPr>
        <w:tab/>
        <w:t>This value is within the required value of 0.10 ± 0.003.</w:t>
      </w:r>
    </w:p>
    <w:p w:rsidR="00BB1DA8" w:rsidRPr="00B04DC3" w:rsidRDefault="00BB1DA8" w:rsidP="008B1316">
      <w:pPr>
        <w:pStyle w:val="para"/>
        <w:spacing w:before="120"/>
        <w:rPr>
          <w:lang w:val="en-GB"/>
        </w:rPr>
      </w:pPr>
      <w:r w:rsidRPr="00B04DC3">
        <w:rPr>
          <w:lang w:val="en-GB"/>
        </w:rPr>
        <w:t>2.</w:t>
      </w:r>
      <w:r w:rsidRPr="00B04DC3">
        <w:rPr>
          <w:lang w:val="en-GB"/>
        </w:rPr>
        <w:tab/>
        <w:t>ELR test</w:t>
      </w:r>
    </w:p>
    <w:p w:rsidR="00BB1DA8" w:rsidRPr="00B04DC3" w:rsidRDefault="00BB1DA8" w:rsidP="008B1316">
      <w:pPr>
        <w:pStyle w:val="para"/>
        <w:spacing w:before="120"/>
        <w:rPr>
          <w:lang w:val="en-GB"/>
        </w:rPr>
      </w:pPr>
      <w:r w:rsidRPr="00B04DC3">
        <w:rPr>
          <w:lang w:val="en-GB"/>
        </w:rPr>
        <w:tab/>
        <w:t>Since Bessel filtering is a completely new averaging procedure in European exhaust legislation, an explanation of the Bessel filter, an example of the design of a Bessel algorithm, and an example of the calculation of the final smoke value is given below. The constants of the Bessel algorithm only depend on the design of the opacimeter and the sampling rate of the data acquisition system. It is recommended that the opacimeter manufacturer provide the final Bessel filter constants for different sampling rates and that the customer use these constants for designing the Bessel algorithm and for calculating the smoke values.</w:t>
      </w:r>
    </w:p>
    <w:p w:rsidR="00BB1DA8" w:rsidRPr="00B04DC3" w:rsidRDefault="00BB1DA8" w:rsidP="008B1316">
      <w:pPr>
        <w:pStyle w:val="para"/>
        <w:spacing w:before="120"/>
        <w:rPr>
          <w:lang w:val="en-GB"/>
        </w:rPr>
      </w:pPr>
      <w:r w:rsidRPr="00B04DC3">
        <w:rPr>
          <w:lang w:val="en-GB"/>
        </w:rPr>
        <w:t>2.1.</w:t>
      </w:r>
      <w:r w:rsidRPr="00B04DC3">
        <w:rPr>
          <w:lang w:val="en-GB"/>
        </w:rPr>
        <w:tab/>
        <w:t>General remarks on the Bessel filter</w:t>
      </w:r>
    </w:p>
    <w:p w:rsidR="00BB1DA8" w:rsidRPr="00B04DC3" w:rsidRDefault="00BB1DA8" w:rsidP="008B1316">
      <w:pPr>
        <w:pStyle w:val="para"/>
        <w:spacing w:before="120"/>
        <w:rPr>
          <w:lang w:val="en-GB"/>
        </w:rPr>
      </w:pPr>
      <w:r w:rsidRPr="00B04DC3">
        <w:rPr>
          <w:lang w:val="en-GB"/>
        </w:rPr>
        <w:tab/>
        <w:t>Due to high frequency distortions, the raw opacity signal usually shows a highly scattered trace. To remove these high frequency distortions a Bessel filter is required for the ELR-Test. The Bessel filter itself is a recursive, second-order low-pass filter which guarantees the fastest signal rise without overshoot.</w:t>
      </w:r>
    </w:p>
    <w:p w:rsidR="00BB1DA8" w:rsidRPr="00B04DC3" w:rsidRDefault="00BB1DA8" w:rsidP="008B1316">
      <w:pPr>
        <w:pStyle w:val="para"/>
        <w:spacing w:before="120"/>
        <w:rPr>
          <w:lang w:val="en-GB"/>
        </w:rPr>
      </w:pPr>
      <w:r w:rsidRPr="00B04DC3">
        <w:rPr>
          <w:lang w:val="en-GB"/>
        </w:rPr>
        <w:tab/>
        <w:t>Assuming a real time raw exhaust plume in the exhaust tube, each opacimeter shows a delayed and differently measured opacity trace. The delay and the magnitude of the measured opacity trace is primarily dependent on the geometry of the measuring chamber of the opacimeter, including the exhaust sample lines, and on the time needed for processing the signal in the electronics of the opacimeter. The values that characterize these two effects are called the physical and the electrical response time which represent an individual filter for each type of opacimeter.</w:t>
      </w:r>
    </w:p>
    <w:p w:rsidR="00BB1DA8" w:rsidRPr="00B04DC3" w:rsidRDefault="00BB1DA8" w:rsidP="008B1316">
      <w:pPr>
        <w:pStyle w:val="para"/>
        <w:spacing w:before="120"/>
        <w:rPr>
          <w:lang w:val="en-GB"/>
        </w:rPr>
      </w:pPr>
      <w:r w:rsidRPr="00B04DC3">
        <w:rPr>
          <w:lang w:val="en-GB"/>
        </w:rPr>
        <w:tab/>
        <w:t>The goal of applying a Bessel filter is to guarantee a uniform overall filter characteristic of the whole opacimeter system, consisting of:</w:t>
      </w:r>
    </w:p>
    <w:p w:rsidR="00BB1DA8" w:rsidRPr="008B1316" w:rsidRDefault="00BB1DA8" w:rsidP="008B1316">
      <w:pPr>
        <w:pStyle w:val="a"/>
      </w:pPr>
      <w:r w:rsidRPr="008B1316">
        <w:t>(a)</w:t>
      </w:r>
      <w:r w:rsidRPr="008B1316">
        <w:tab/>
        <w:t>Physical response time of the opacimeter (tp);</w:t>
      </w:r>
    </w:p>
    <w:p w:rsidR="00BB1DA8" w:rsidRPr="008B1316" w:rsidRDefault="00BB1DA8" w:rsidP="008B1316">
      <w:pPr>
        <w:pStyle w:val="a"/>
      </w:pPr>
      <w:r w:rsidRPr="008B1316">
        <w:t>(b)</w:t>
      </w:r>
      <w:r w:rsidRPr="008B1316">
        <w:tab/>
        <w:t>Electrical response time of the opacimeter (te);</w:t>
      </w:r>
    </w:p>
    <w:p w:rsidR="00BB1DA8" w:rsidRPr="008B1316" w:rsidRDefault="00BB1DA8" w:rsidP="008B1316">
      <w:pPr>
        <w:pStyle w:val="a"/>
      </w:pPr>
      <w:r w:rsidRPr="008B1316">
        <w:t>(c)</w:t>
      </w:r>
      <w:r w:rsidRPr="008B1316">
        <w:tab/>
        <w:t>Filter response time of the applied Bessel filter (tF).</w:t>
      </w:r>
    </w:p>
    <w:p w:rsidR="00BB1DA8" w:rsidRPr="00B04DC3" w:rsidRDefault="00BB1DA8" w:rsidP="008B1316">
      <w:pPr>
        <w:pStyle w:val="para"/>
        <w:spacing w:before="120"/>
        <w:rPr>
          <w:lang w:val="en-GB"/>
        </w:rPr>
      </w:pPr>
      <w:r w:rsidRPr="00B04DC3">
        <w:rPr>
          <w:lang w:val="en-GB"/>
        </w:rPr>
        <w:tab/>
        <w:t>The resulting overall response time of the system t</w:t>
      </w:r>
      <w:r w:rsidRPr="00B04DC3">
        <w:rPr>
          <w:vertAlign w:val="subscript"/>
          <w:lang w:val="en-GB"/>
        </w:rPr>
        <w:t>Aver</w:t>
      </w:r>
      <w:r w:rsidRPr="00B04DC3">
        <w:rPr>
          <w:lang w:val="en-GB"/>
        </w:rPr>
        <w:t xml:space="preserve"> is given by:</w:t>
      </w:r>
    </w:p>
    <w:p w:rsidR="00BB1DA8" w:rsidRPr="00B04DC3" w:rsidRDefault="00BB1DA8" w:rsidP="00BB1DA8">
      <w:pPr>
        <w:pStyle w:val="para"/>
        <w:spacing w:before="240"/>
        <w:ind w:firstLine="0"/>
        <w:rPr>
          <w:lang w:val="en-GB"/>
        </w:rPr>
      </w:pPr>
      <w:r w:rsidRPr="00B04DC3">
        <w:rPr>
          <w:lang w:val="en-GB"/>
        </w:rPr>
        <w:tab/>
      </w:r>
      <w:r w:rsidR="00A905B7">
        <w:rPr>
          <w:lang w:val="en-GB"/>
        </w:rPr>
        <w:pict>
          <v:shape id="_x0000_i1374" type="#_x0000_t75" style="width:102pt;height:24pt" fillcolor="window">
            <v:imagedata r:id="rId554" o:title=""/>
          </v:shape>
        </w:pict>
      </w:r>
    </w:p>
    <w:p w:rsidR="00BB1DA8" w:rsidRPr="00B04DC3" w:rsidRDefault="00BB1DA8" w:rsidP="008B1316">
      <w:pPr>
        <w:pStyle w:val="para"/>
        <w:spacing w:before="120"/>
        <w:rPr>
          <w:lang w:val="en-GB"/>
        </w:rPr>
      </w:pPr>
      <w:r w:rsidRPr="00B04DC3">
        <w:rPr>
          <w:lang w:val="en-GB"/>
        </w:rPr>
        <w:tab/>
        <w:t>and shall be equal for all kinds of opacimeters in order to give the same smoke value. Therefore, a Bessel filter has to be created in such a way, that the filter response time (t</w:t>
      </w:r>
      <w:r w:rsidRPr="00B04DC3">
        <w:rPr>
          <w:vertAlign w:val="subscript"/>
          <w:lang w:val="en-GB"/>
        </w:rPr>
        <w:t>F</w:t>
      </w:r>
      <w:r w:rsidRPr="00B04DC3">
        <w:rPr>
          <w:lang w:val="en-GB"/>
        </w:rPr>
        <w:t>) together with the physical (t</w:t>
      </w:r>
      <w:r w:rsidRPr="00B04DC3">
        <w:rPr>
          <w:vertAlign w:val="subscript"/>
          <w:lang w:val="en-GB"/>
        </w:rPr>
        <w:t>p</w:t>
      </w:r>
      <w:r w:rsidRPr="00B04DC3">
        <w:rPr>
          <w:lang w:val="en-GB"/>
        </w:rPr>
        <w:t>) and electrical response time (t</w:t>
      </w:r>
      <w:r w:rsidRPr="00B04DC3">
        <w:rPr>
          <w:vertAlign w:val="subscript"/>
          <w:lang w:val="en-GB"/>
        </w:rPr>
        <w:t>e</w:t>
      </w:r>
      <w:r w:rsidRPr="00B04DC3">
        <w:rPr>
          <w:lang w:val="en-GB"/>
        </w:rPr>
        <w:t>) of the individual opacimeter shall result in the required overall response time (t</w:t>
      </w:r>
      <w:r w:rsidRPr="00B04DC3">
        <w:rPr>
          <w:vertAlign w:val="subscript"/>
          <w:lang w:val="en-GB"/>
        </w:rPr>
        <w:t>Aver</w:t>
      </w:r>
      <w:r w:rsidRPr="00B04DC3">
        <w:rPr>
          <w:lang w:val="en-GB"/>
        </w:rPr>
        <w:t>). Since t</w:t>
      </w:r>
      <w:r w:rsidRPr="00B04DC3">
        <w:rPr>
          <w:vertAlign w:val="subscript"/>
          <w:lang w:val="en-GB"/>
        </w:rPr>
        <w:t>p</w:t>
      </w:r>
      <w:r w:rsidRPr="00B04DC3">
        <w:rPr>
          <w:lang w:val="en-GB"/>
        </w:rPr>
        <w:t xml:space="preserve"> and t</w:t>
      </w:r>
      <w:r w:rsidRPr="00B04DC3">
        <w:rPr>
          <w:vertAlign w:val="subscript"/>
          <w:lang w:val="en-GB"/>
        </w:rPr>
        <w:t>e</w:t>
      </w:r>
      <w:r w:rsidRPr="00B04DC3">
        <w:rPr>
          <w:lang w:val="en-GB"/>
        </w:rPr>
        <w:t xml:space="preserve"> are given values for each individual opacimeter, and t</w:t>
      </w:r>
      <w:r w:rsidRPr="00B04DC3">
        <w:rPr>
          <w:vertAlign w:val="subscript"/>
          <w:lang w:val="en-GB"/>
        </w:rPr>
        <w:t>Aver</w:t>
      </w:r>
      <w:r w:rsidRPr="00B04DC3">
        <w:rPr>
          <w:lang w:val="en-GB"/>
        </w:rPr>
        <w:t xml:space="preserve"> is defined to be 1.0 s in this Regulation, t</w:t>
      </w:r>
      <w:r w:rsidRPr="00B04DC3">
        <w:rPr>
          <w:vertAlign w:val="subscript"/>
          <w:lang w:val="en-GB"/>
        </w:rPr>
        <w:t>F</w:t>
      </w:r>
      <w:r w:rsidRPr="00B04DC3">
        <w:rPr>
          <w:lang w:val="en-GB"/>
        </w:rPr>
        <w:t xml:space="preserve"> can be calculated as follows:</w:t>
      </w:r>
    </w:p>
    <w:p w:rsidR="00BB1DA8" w:rsidRPr="00B04DC3" w:rsidRDefault="00BB1DA8" w:rsidP="00BB1DA8">
      <w:pPr>
        <w:pStyle w:val="para"/>
        <w:spacing w:before="240"/>
        <w:ind w:firstLine="0"/>
        <w:rPr>
          <w:lang w:val="en-GB"/>
        </w:rPr>
      </w:pPr>
      <w:r w:rsidRPr="00B04DC3">
        <w:rPr>
          <w:lang w:val="en-GB"/>
        </w:rPr>
        <w:tab/>
      </w:r>
      <w:r w:rsidRPr="00B04DC3">
        <w:rPr>
          <w:lang w:val="en-GB"/>
        </w:rPr>
        <w:tab/>
      </w:r>
      <w:r w:rsidR="00A905B7">
        <w:rPr>
          <w:lang w:val="en-GB"/>
        </w:rPr>
        <w:pict>
          <v:shape id="_x0000_i1375" type="#_x0000_t75" style="width:102pt;height:24pt" fillcolor="window">
            <v:imagedata r:id="rId555" o:title=""/>
          </v:shape>
        </w:pict>
      </w:r>
    </w:p>
    <w:p w:rsidR="00BB1DA8" w:rsidRPr="00B04DC3" w:rsidRDefault="00BB1DA8" w:rsidP="00BB1DA8">
      <w:pPr>
        <w:pStyle w:val="para"/>
        <w:spacing w:before="240"/>
        <w:ind w:firstLine="0"/>
        <w:rPr>
          <w:lang w:val="en-GB"/>
        </w:rPr>
      </w:pPr>
      <w:r w:rsidRPr="00B04DC3">
        <w:rPr>
          <w:lang w:val="en-GB"/>
        </w:rPr>
        <w:tab/>
        <w:t>By definition, the filter response time t</w:t>
      </w:r>
      <w:r w:rsidRPr="00B04DC3">
        <w:rPr>
          <w:vertAlign w:val="subscript"/>
          <w:lang w:val="en-GB"/>
        </w:rPr>
        <w:t>F</w:t>
      </w:r>
      <w:r w:rsidRPr="00B04DC3">
        <w:rPr>
          <w:lang w:val="en-GB"/>
        </w:rPr>
        <w:t xml:space="preserve"> is the rise time of a filtered output signal between 10 per cent and 90 per cent on a step input signal. Therefore the cut-off frequency of the Bessel filter has to be iterated in such a way, that the response time of the Bessel filter fits into the required rise time.</w:t>
      </w:r>
    </w:p>
    <w:p w:rsidR="00BB1DA8" w:rsidRPr="00B04DC3" w:rsidRDefault="00BB1DA8" w:rsidP="00BB1DA8">
      <w:pPr>
        <w:pStyle w:val="NormalCentered"/>
        <w:keepNext/>
        <w:keepLines/>
        <w:numPr>
          <w:ilvl w:val="0"/>
          <w:numId w:val="0"/>
        </w:numPr>
        <w:spacing w:before="0" w:after="0"/>
        <w:ind w:left="1134"/>
        <w:jc w:val="left"/>
        <w:rPr>
          <w:sz w:val="20"/>
        </w:rPr>
      </w:pPr>
      <w:r w:rsidRPr="00B04DC3">
        <w:rPr>
          <w:sz w:val="20"/>
        </w:rPr>
        <w:t>Figure a</w:t>
      </w:r>
    </w:p>
    <w:p w:rsidR="00BB1DA8" w:rsidRPr="00B04DC3" w:rsidRDefault="00BB1DA8" w:rsidP="00BB1DA8">
      <w:pPr>
        <w:pStyle w:val="NormalCentered"/>
        <w:keepNext/>
        <w:keepLines/>
        <w:numPr>
          <w:ilvl w:val="0"/>
          <w:numId w:val="0"/>
        </w:numPr>
        <w:spacing w:before="0" w:after="0"/>
        <w:ind w:left="1134"/>
        <w:jc w:val="left"/>
        <w:rPr>
          <w:b/>
          <w:sz w:val="20"/>
        </w:rPr>
      </w:pPr>
      <w:r w:rsidRPr="00B04DC3">
        <w:rPr>
          <w:b/>
          <w:sz w:val="20"/>
        </w:rPr>
        <w:t>Traces of a step input signal and the filtered output signal</w:t>
      </w:r>
    </w:p>
    <w:p w:rsidR="00BB1DA8" w:rsidRPr="00B04DC3" w:rsidRDefault="00A905B7" w:rsidP="00BB1DA8">
      <w:pPr>
        <w:pStyle w:val="NormalCentered"/>
        <w:keepNext/>
        <w:keepLines/>
        <w:numPr>
          <w:ilvl w:val="0"/>
          <w:numId w:val="0"/>
        </w:numPr>
        <w:spacing w:before="0" w:after="0"/>
        <w:ind w:left="360"/>
      </w:pPr>
      <w:r>
        <w:pict>
          <v:shape id="_x0000_i1376" type="#_x0000_t75" style="width:393.6pt;height:204.6pt" fillcolor="window">
            <v:imagedata r:id="rId556" o:title=""/>
          </v:shape>
        </w:pict>
      </w:r>
    </w:p>
    <w:p w:rsidR="00BB1DA8" w:rsidRPr="00B04DC3" w:rsidRDefault="00BB1DA8" w:rsidP="00BB1DA8">
      <w:pPr>
        <w:pStyle w:val="para"/>
        <w:spacing w:before="240"/>
        <w:ind w:left="1134" w:firstLine="0"/>
        <w:rPr>
          <w:lang w:val="en-GB"/>
        </w:rPr>
      </w:pPr>
      <w:r w:rsidRPr="00B04DC3">
        <w:rPr>
          <w:lang w:val="en-GB"/>
        </w:rPr>
        <w:t xml:space="preserve">In </w:t>
      </w:r>
      <w:r w:rsidR="008B1316">
        <w:rPr>
          <w:lang w:val="en-GB"/>
        </w:rPr>
        <w:t>F</w:t>
      </w:r>
      <w:r w:rsidRPr="00B04DC3">
        <w:rPr>
          <w:lang w:val="en-GB"/>
        </w:rPr>
        <w:t>igure a, the traces of a step input signal and Bessel filtered output signal as well as the response time of the Bessel filter (t</w:t>
      </w:r>
      <w:r w:rsidRPr="00B04DC3">
        <w:rPr>
          <w:vertAlign w:val="subscript"/>
          <w:lang w:val="en-GB"/>
        </w:rPr>
        <w:t>F</w:t>
      </w:r>
      <w:r w:rsidRPr="00B04DC3">
        <w:rPr>
          <w:lang w:val="en-GB"/>
        </w:rPr>
        <w:t>) are shown.</w:t>
      </w:r>
    </w:p>
    <w:p w:rsidR="00BB1DA8" w:rsidRPr="00B04DC3" w:rsidRDefault="00BB1DA8" w:rsidP="00BB1DA8">
      <w:pPr>
        <w:pStyle w:val="para"/>
        <w:spacing w:before="240"/>
        <w:ind w:firstLine="0"/>
        <w:rPr>
          <w:lang w:val="en-GB"/>
        </w:rPr>
      </w:pPr>
      <w:r w:rsidRPr="00B04DC3">
        <w:rPr>
          <w:lang w:val="en-GB"/>
        </w:rPr>
        <w:br w:type="page"/>
      </w:r>
      <w:r w:rsidRPr="00B04DC3">
        <w:rPr>
          <w:lang w:val="en-GB"/>
        </w:rPr>
        <w:tab/>
        <w:t>Designing the final Bessel filter algorithm is a multi step process which requires several iteration cycles. The scheme of the iteration procedure is presented below.</w:t>
      </w:r>
    </w:p>
    <w:p w:rsidR="00BB1DA8" w:rsidRPr="00B04DC3" w:rsidRDefault="00A905B7" w:rsidP="00BB1DA8">
      <w:pPr>
        <w:pStyle w:val="NormalCentered"/>
        <w:numPr>
          <w:ilvl w:val="0"/>
          <w:numId w:val="0"/>
        </w:numPr>
        <w:spacing w:before="0" w:after="0"/>
      </w:pPr>
      <w:r>
        <w:pict>
          <v:shape id="_x0000_i1377" type="#_x0000_t75" style="width:389.4pt;height:584.4pt" fillcolor="window">
            <v:imagedata r:id="rId557" o:title=""/>
          </v:shape>
        </w:pict>
      </w:r>
    </w:p>
    <w:p w:rsidR="00BB1DA8" w:rsidRPr="00B04DC3" w:rsidRDefault="00BB1DA8" w:rsidP="008B1316">
      <w:pPr>
        <w:pStyle w:val="para"/>
        <w:spacing w:before="120"/>
        <w:rPr>
          <w:b/>
          <w:lang w:val="en-GB"/>
        </w:rPr>
      </w:pPr>
      <w:r w:rsidRPr="00B04DC3">
        <w:rPr>
          <w:b/>
          <w:lang w:val="en-GB"/>
        </w:rPr>
        <w:br w:type="page"/>
      </w:r>
      <w:r w:rsidRPr="00B04DC3">
        <w:rPr>
          <w:lang w:val="en-GB"/>
        </w:rPr>
        <w:t>2.2.</w:t>
      </w:r>
      <w:r w:rsidRPr="00B04DC3">
        <w:rPr>
          <w:lang w:val="en-GB"/>
        </w:rPr>
        <w:tab/>
        <w:t>Calculation of the Bessel algorithm</w:t>
      </w:r>
    </w:p>
    <w:p w:rsidR="00BB1DA8" w:rsidRPr="00B04DC3" w:rsidRDefault="00BB1DA8" w:rsidP="008B1316">
      <w:pPr>
        <w:pStyle w:val="para"/>
        <w:spacing w:before="120"/>
        <w:ind w:firstLine="0"/>
        <w:rPr>
          <w:lang w:val="en-GB"/>
        </w:rPr>
      </w:pPr>
      <w:r w:rsidRPr="00B04DC3">
        <w:rPr>
          <w:lang w:val="en-GB"/>
        </w:rPr>
        <w:tab/>
        <w:t>In this example a Bessel algorithm is designed in several steps according to the above iteration procedure which is based upon Annex 4A, Appendix 1, paragraph 7.1.</w:t>
      </w:r>
    </w:p>
    <w:p w:rsidR="00BB1DA8" w:rsidRPr="00B04DC3" w:rsidRDefault="00BB1DA8" w:rsidP="008B1316">
      <w:pPr>
        <w:pStyle w:val="para"/>
        <w:spacing w:before="120"/>
        <w:ind w:firstLine="0"/>
        <w:rPr>
          <w:lang w:val="en-GB"/>
        </w:rPr>
      </w:pPr>
      <w:r w:rsidRPr="00B04DC3">
        <w:rPr>
          <w:lang w:val="en-GB"/>
        </w:rPr>
        <w:tab/>
        <w:t>For the opacimeter and the data acquisition system, the following characteristics are assumed:</w:t>
      </w:r>
    </w:p>
    <w:p w:rsidR="00BB1DA8" w:rsidRPr="00B04DC3" w:rsidRDefault="00BB1DA8" w:rsidP="008B1316">
      <w:pPr>
        <w:pStyle w:val="a"/>
        <w:spacing w:before="120"/>
        <w:rPr>
          <w:lang w:val="en-GB"/>
        </w:rPr>
      </w:pPr>
      <w:r w:rsidRPr="00B04DC3">
        <w:rPr>
          <w:lang w:val="en-GB"/>
        </w:rPr>
        <w:t>(a)</w:t>
      </w:r>
      <w:r w:rsidRPr="00B04DC3">
        <w:rPr>
          <w:lang w:val="en-GB"/>
        </w:rPr>
        <w:tab/>
        <w:t>Physical response time t</w:t>
      </w:r>
      <w:r w:rsidRPr="00B04DC3">
        <w:rPr>
          <w:vertAlign w:val="subscript"/>
          <w:lang w:val="en-GB"/>
        </w:rPr>
        <w:t>p</w:t>
      </w:r>
      <w:r w:rsidRPr="00B04DC3">
        <w:rPr>
          <w:lang w:val="en-GB"/>
        </w:rPr>
        <w:t xml:space="preserve"> 0.15 s;</w:t>
      </w:r>
    </w:p>
    <w:p w:rsidR="00BB1DA8" w:rsidRPr="00B04DC3" w:rsidRDefault="00BB1DA8" w:rsidP="008B1316">
      <w:pPr>
        <w:pStyle w:val="a"/>
        <w:spacing w:before="120"/>
        <w:rPr>
          <w:lang w:val="en-GB"/>
        </w:rPr>
      </w:pPr>
      <w:r w:rsidRPr="00B04DC3">
        <w:rPr>
          <w:lang w:val="en-GB"/>
        </w:rPr>
        <w:t>(b)</w:t>
      </w:r>
      <w:r w:rsidRPr="00B04DC3">
        <w:rPr>
          <w:lang w:val="en-GB"/>
        </w:rPr>
        <w:tab/>
        <w:t>Electrical response time t</w:t>
      </w:r>
      <w:r w:rsidRPr="00B04DC3">
        <w:rPr>
          <w:vertAlign w:val="subscript"/>
          <w:lang w:val="en-GB"/>
        </w:rPr>
        <w:t>e</w:t>
      </w:r>
      <w:r w:rsidRPr="00B04DC3">
        <w:rPr>
          <w:lang w:val="en-GB"/>
        </w:rPr>
        <w:t xml:space="preserve"> 0.05 s;</w:t>
      </w:r>
    </w:p>
    <w:p w:rsidR="00BB1DA8" w:rsidRPr="00B04DC3" w:rsidRDefault="00BB1DA8" w:rsidP="008B1316">
      <w:pPr>
        <w:pStyle w:val="a"/>
        <w:spacing w:before="120"/>
        <w:rPr>
          <w:lang w:val="en-GB"/>
        </w:rPr>
      </w:pPr>
      <w:r w:rsidRPr="00B04DC3">
        <w:rPr>
          <w:lang w:val="en-GB"/>
        </w:rPr>
        <w:t>(c)</w:t>
      </w:r>
      <w:r w:rsidRPr="00B04DC3">
        <w:rPr>
          <w:lang w:val="en-GB"/>
        </w:rPr>
        <w:tab/>
        <w:t>Overall response time t</w:t>
      </w:r>
      <w:r w:rsidRPr="00B04DC3">
        <w:rPr>
          <w:vertAlign w:val="subscript"/>
          <w:lang w:val="en-GB"/>
        </w:rPr>
        <w:t>Aver</w:t>
      </w:r>
      <w:r w:rsidRPr="00B04DC3">
        <w:rPr>
          <w:lang w:val="en-GB"/>
        </w:rPr>
        <w:t xml:space="preserve"> 1.00 s (by definition in this Regulation);</w:t>
      </w:r>
    </w:p>
    <w:p w:rsidR="00BB1DA8" w:rsidRPr="00B04DC3" w:rsidRDefault="00BB1DA8" w:rsidP="008B1316">
      <w:pPr>
        <w:pStyle w:val="a"/>
        <w:spacing w:before="120"/>
        <w:rPr>
          <w:lang w:val="en-GB"/>
        </w:rPr>
      </w:pPr>
      <w:r w:rsidRPr="00B04DC3">
        <w:rPr>
          <w:lang w:val="en-GB"/>
        </w:rPr>
        <w:t>(d)</w:t>
      </w:r>
      <w:r w:rsidRPr="00B04DC3">
        <w:rPr>
          <w:lang w:val="en-GB"/>
        </w:rPr>
        <w:tab/>
        <w:t>Sampling rate 150 Hz.</w:t>
      </w:r>
    </w:p>
    <w:p w:rsidR="00BB1DA8" w:rsidRPr="00B04DC3" w:rsidRDefault="00BB1DA8" w:rsidP="008B1316">
      <w:pPr>
        <w:pStyle w:val="para"/>
        <w:spacing w:before="120"/>
        <w:ind w:firstLine="0"/>
        <w:rPr>
          <w:lang w:val="en-GB"/>
        </w:rPr>
      </w:pPr>
      <w:r w:rsidRPr="00B04DC3">
        <w:rPr>
          <w:i/>
          <w:lang w:val="en-GB"/>
        </w:rPr>
        <w:tab/>
      </w:r>
      <w:r w:rsidRPr="00B04DC3">
        <w:rPr>
          <w:lang w:val="en-GB"/>
        </w:rPr>
        <w:t>Step 1: Required Bessel filter response time t</w:t>
      </w:r>
      <w:r w:rsidRPr="00B04DC3">
        <w:rPr>
          <w:vertAlign w:val="subscript"/>
          <w:lang w:val="en-GB"/>
        </w:rPr>
        <w:t>F</w:t>
      </w:r>
      <w:r w:rsidRPr="00B04DC3">
        <w:rPr>
          <w:lang w:val="en-GB"/>
        </w:rPr>
        <w:t>:</w:t>
      </w:r>
    </w:p>
    <w:p w:rsidR="00BB1DA8" w:rsidRPr="00B04DC3" w:rsidRDefault="00BB1DA8" w:rsidP="008B1316">
      <w:pPr>
        <w:pStyle w:val="para"/>
        <w:spacing w:before="120"/>
        <w:ind w:firstLine="0"/>
        <w:rPr>
          <w:lang w:val="en-GB"/>
        </w:rPr>
      </w:pPr>
      <w:r w:rsidRPr="00B04DC3">
        <w:rPr>
          <w:lang w:val="en-GB"/>
        </w:rPr>
        <w:tab/>
      </w:r>
      <w:bookmarkStart w:id="717" w:name="_MON_1364283820"/>
      <w:bookmarkStart w:id="718" w:name="_MON_1223395018"/>
      <w:bookmarkStart w:id="719" w:name="_MON_1223395069"/>
      <w:bookmarkStart w:id="720" w:name="_MON_1223395206"/>
      <w:bookmarkStart w:id="721" w:name="_MON_1223398693"/>
      <w:bookmarkStart w:id="722" w:name="_MON_1364282657"/>
      <w:bookmarkEnd w:id="717"/>
      <w:bookmarkEnd w:id="718"/>
      <w:bookmarkEnd w:id="719"/>
      <w:bookmarkEnd w:id="720"/>
      <w:bookmarkEnd w:id="721"/>
      <w:bookmarkEnd w:id="722"/>
      <w:bookmarkStart w:id="723" w:name="_MON_1364283766"/>
      <w:bookmarkEnd w:id="723"/>
      <w:r w:rsidR="008227BD" w:rsidRPr="00B04DC3">
        <w:rPr>
          <w:lang w:val="en-GB"/>
        </w:rPr>
        <w:object w:dxaOrig="3794" w:dyaOrig="426">
          <v:shape id="_x0000_i1378" type="#_x0000_t75" style="width:152.4pt;height:17.4pt" o:ole="" fillcolor="window">
            <v:imagedata r:id="rId558" o:title=""/>
          </v:shape>
          <o:OLEObject Type="Embed" ProgID="Word.Picture.8" ShapeID="_x0000_i1378" DrawAspect="Content" ObjectID="_1498392391" r:id="rId559"/>
        </w:object>
      </w:r>
    </w:p>
    <w:p w:rsidR="00BB1DA8" w:rsidRPr="00B04DC3" w:rsidRDefault="00BB1DA8" w:rsidP="008B1316">
      <w:pPr>
        <w:pStyle w:val="para"/>
        <w:spacing w:before="120"/>
        <w:ind w:firstLine="0"/>
        <w:rPr>
          <w:lang w:val="en-GB"/>
        </w:rPr>
      </w:pPr>
      <w:r w:rsidRPr="00B04DC3">
        <w:rPr>
          <w:i/>
          <w:lang w:val="en-GB"/>
        </w:rPr>
        <w:tab/>
      </w:r>
      <w:r w:rsidRPr="00B04DC3">
        <w:rPr>
          <w:lang w:val="en-GB"/>
        </w:rPr>
        <w:t>Step 2: Estimation of cut-off frequency and calculation of Bessel constants E, K for first iteration:</w:t>
      </w:r>
    </w:p>
    <w:p w:rsidR="00BB1DA8" w:rsidRPr="00B04DC3" w:rsidRDefault="00BB1DA8" w:rsidP="008B1316">
      <w:pPr>
        <w:pStyle w:val="NormalLeft"/>
        <w:tabs>
          <w:tab w:val="left" w:pos="2552"/>
        </w:tabs>
        <w:spacing w:after="0"/>
        <w:ind w:left="2268"/>
        <w:rPr>
          <w:sz w:val="20"/>
        </w:rPr>
      </w:pPr>
      <w:r w:rsidRPr="00B04DC3">
        <w:rPr>
          <w:sz w:val="20"/>
        </w:rPr>
        <w:t>f</w:t>
      </w:r>
      <w:r w:rsidRPr="00B04DC3">
        <w:rPr>
          <w:sz w:val="20"/>
          <w:vertAlign w:val="subscript"/>
        </w:rPr>
        <w:t xml:space="preserve">c </w:t>
      </w:r>
      <w:r w:rsidRPr="00B04DC3">
        <w:rPr>
          <w:sz w:val="20"/>
        </w:rPr>
        <w:t>=</w:t>
      </w:r>
      <w:r w:rsidRPr="00B04DC3">
        <w:rPr>
          <w:sz w:val="20"/>
        </w:rPr>
        <w:tab/>
      </w:r>
      <w:bookmarkStart w:id="724" w:name="_MON_1223395254"/>
      <w:bookmarkStart w:id="725" w:name="_MON_1223398695"/>
      <w:bookmarkStart w:id="726" w:name="_MON_1352016187"/>
      <w:bookmarkStart w:id="727" w:name="_MON_1352016553"/>
      <w:bookmarkStart w:id="728" w:name="_MON_1352016607"/>
      <w:bookmarkEnd w:id="724"/>
      <w:bookmarkEnd w:id="725"/>
      <w:bookmarkEnd w:id="726"/>
      <w:bookmarkEnd w:id="727"/>
      <w:bookmarkEnd w:id="728"/>
      <w:bookmarkStart w:id="729" w:name="_MON_1352016689"/>
      <w:bookmarkEnd w:id="729"/>
      <w:r w:rsidRPr="00B04DC3">
        <w:rPr>
          <w:sz w:val="20"/>
        </w:rPr>
        <w:object w:dxaOrig="4680" w:dyaOrig="644">
          <v:shape id="_x0000_i1379" type="#_x0000_t75" style="width:189.6pt;height:24pt" o:ole="" fillcolor="window">
            <v:imagedata r:id="rId560" o:title=""/>
          </v:shape>
          <o:OLEObject Type="Embed" ProgID="Word.Picture.8" ShapeID="_x0000_i1379" DrawAspect="Content" ObjectID="_1498392392" r:id="rId561"/>
        </w:object>
      </w:r>
      <w:r w:rsidRPr="00B04DC3">
        <w:rPr>
          <w:sz w:val="20"/>
        </w:rPr>
        <w:t xml:space="preserve"> </w:t>
      </w:r>
    </w:p>
    <w:p w:rsidR="00BB1DA8" w:rsidRPr="00B04DC3" w:rsidRDefault="00BB1DA8" w:rsidP="008B1316">
      <w:pPr>
        <w:pStyle w:val="NormalLeft"/>
        <w:tabs>
          <w:tab w:val="left" w:pos="2552"/>
        </w:tabs>
        <w:ind w:left="2268"/>
        <w:rPr>
          <w:sz w:val="20"/>
        </w:rPr>
      </w:pPr>
      <w:r w:rsidRPr="00B04DC3">
        <w:rPr>
          <w:sz w:val="20"/>
        </w:rPr>
        <w:t>Δt</w:t>
      </w:r>
      <w:r w:rsidRPr="00B04DC3">
        <w:rPr>
          <w:sz w:val="20"/>
        </w:rPr>
        <w:tab/>
        <w:t>= 1/150 = 0.006667 s</w:t>
      </w:r>
    </w:p>
    <w:p w:rsidR="00BB1DA8" w:rsidRPr="00B04DC3" w:rsidRDefault="00BB1DA8" w:rsidP="008B1316">
      <w:pPr>
        <w:pStyle w:val="NormalLeft"/>
        <w:tabs>
          <w:tab w:val="left" w:pos="2552"/>
        </w:tabs>
        <w:spacing w:after="0"/>
        <w:ind w:left="2268"/>
        <w:rPr>
          <w:sz w:val="20"/>
        </w:rPr>
      </w:pPr>
      <w:r w:rsidRPr="00B04DC3">
        <w:rPr>
          <w:sz w:val="20"/>
        </w:rPr>
        <w:t>Ω =</w:t>
      </w:r>
      <w:bookmarkStart w:id="730" w:name="_MON_1223398697"/>
      <w:bookmarkStart w:id="731" w:name="_MON_1351672936"/>
      <w:bookmarkStart w:id="732" w:name="_MON_1352015897"/>
      <w:bookmarkStart w:id="733" w:name="_MON_1352016713"/>
      <w:bookmarkEnd w:id="730"/>
      <w:bookmarkEnd w:id="731"/>
      <w:bookmarkEnd w:id="732"/>
      <w:bookmarkEnd w:id="733"/>
      <w:bookmarkStart w:id="734" w:name="_MON_1223395294"/>
      <w:bookmarkEnd w:id="734"/>
      <w:r w:rsidR="008227BD" w:rsidRPr="00B04DC3">
        <w:rPr>
          <w:sz w:val="20"/>
        </w:rPr>
        <w:object w:dxaOrig="4823" w:dyaOrig="644">
          <v:shape id="_x0000_i1380" type="#_x0000_t75" style="width:201.6pt;height:27.6pt" o:ole="" fillcolor="window">
            <v:imagedata r:id="rId562" o:title=""/>
          </v:shape>
          <o:OLEObject Type="Embed" ProgID="Word.Picture.8" ShapeID="_x0000_i1380" DrawAspect="Content" ObjectID="_1498392393" r:id="rId563"/>
        </w:object>
      </w:r>
    </w:p>
    <w:p w:rsidR="00BB1DA8" w:rsidRPr="00B04DC3" w:rsidRDefault="00BB1DA8" w:rsidP="008B1316">
      <w:pPr>
        <w:pStyle w:val="NormalLeft"/>
        <w:tabs>
          <w:tab w:val="left" w:pos="2552"/>
        </w:tabs>
        <w:spacing w:after="0"/>
        <w:ind w:left="2268"/>
      </w:pPr>
    </w:p>
    <w:p w:rsidR="00BB1DA8" w:rsidRPr="00B04DC3" w:rsidRDefault="00BB1DA8" w:rsidP="008B1316">
      <w:pPr>
        <w:pStyle w:val="para"/>
        <w:tabs>
          <w:tab w:val="left" w:pos="2410"/>
        </w:tabs>
        <w:spacing w:before="120"/>
        <w:ind w:firstLine="0"/>
        <w:jc w:val="left"/>
        <w:rPr>
          <w:spacing w:val="-4"/>
          <w:lang w:val="en-GB"/>
        </w:rPr>
      </w:pPr>
      <w:r w:rsidRPr="00B04DC3">
        <w:rPr>
          <w:lang w:val="en-GB"/>
        </w:rPr>
        <w:t>E</w:t>
      </w:r>
      <w:r w:rsidRPr="00B04DC3">
        <w:rPr>
          <w:lang w:val="en-GB"/>
        </w:rPr>
        <w:tab/>
        <w:t xml:space="preserve">= </w:t>
      </w:r>
      <w:r w:rsidRPr="00B04DC3">
        <w:rPr>
          <w:position w:val="-34"/>
          <w:lang w:val="en-GB"/>
        </w:rPr>
        <w:object w:dxaOrig="5679" w:dyaOrig="720">
          <v:shape id="_x0000_i1381" type="#_x0000_t75" style="width:231.6pt;height:29.4pt" o:ole="" fillcolor="window">
            <v:imagedata r:id="rId564" o:title=""/>
          </v:shape>
          <o:OLEObject Type="Embed" ProgID="Equation.3" ShapeID="_x0000_i1381" DrawAspect="Content" ObjectID="_1498392394" r:id="rId565"/>
        </w:object>
      </w:r>
      <w:r w:rsidRPr="00B04DC3">
        <w:rPr>
          <w:lang w:val="en-GB"/>
        </w:rPr>
        <w:t xml:space="preserve">= </w:t>
      </w:r>
      <w:r w:rsidRPr="00B04DC3">
        <w:rPr>
          <w:spacing w:val="-4"/>
          <w:lang w:val="en-GB"/>
        </w:rPr>
        <w:t>7.07948 × 10</w:t>
      </w:r>
      <w:r w:rsidRPr="00B04DC3">
        <w:rPr>
          <w:spacing w:val="-4"/>
          <w:vertAlign w:val="superscript"/>
          <w:lang w:val="en-GB"/>
        </w:rPr>
        <w:t>-5</w:t>
      </w:r>
    </w:p>
    <w:p w:rsidR="00BB1DA8" w:rsidRPr="00B04DC3" w:rsidRDefault="00BB1DA8" w:rsidP="008B1316">
      <w:pPr>
        <w:pStyle w:val="NormalLeft"/>
        <w:tabs>
          <w:tab w:val="left" w:pos="2552"/>
        </w:tabs>
        <w:spacing w:after="0"/>
        <w:ind w:left="2268" w:right="1134"/>
        <w:rPr>
          <w:sz w:val="20"/>
        </w:rPr>
      </w:pPr>
      <w:r w:rsidRPr="00B04DC3">
        <w:rPr>
          <w:sz w:val="20"/>
        </w:rPr>
        <w:t>K</w:t>
      </w:r>
      <w:r w:rsidRPr="00B04DC3">
        <w:rPr>
          <w:sz w:val="20"/>
        </w:rPr>
        <w:tab/>
        <w:t xml:space="preserve"> = 2 </w:t>
      </w:r>
      <w:r w:rsidRPr="00B04DC3">
        <w:rPr>
          <w:sz w:val="20"/>
        </w:rPr>
        <w:sym w:font="Symbol" w:char="F0B4"/>
      </w:r>
      <w:r w:rsidRPr="00B04DC3">
        <w:rPr>
          <w:sz w:val="20"/>
        </w:rPr>
        <w:t xml:space="preserve"> 7.07948</w:t>
      </w:r>
      <w:r w:rsidRPr="00B04DC3">
        <w:rPr>
          <w:sz w:val="20"/>
        </w:rPr>
        <w:sym w:font="Symbol" w:char="F0B4"/>
      </w:r>
      <w:r w:rsidRPr="00B04DC3">
        <w:rPr>
          <w:sz w:val="20"/>
        </w:rPr>
        <w:t>10</w:t>
      </w:r>
      <w:r w:rsidRPr="00B04DC3">
        <w:rPr>
          <w:sz w:val="20"/>
          <w:vertAlign w:val="superscript"/>
        </w:rPr>
        <w:t>-5</w:t>
      </w:r>
      <w:r w:rsidRPr="00B04DC3">
        <w:rPr>
          <w:sz w:val="20"/>
        </w:rPr>
        <w:t xml:space="preserve"> </w:t>
      </w:r>
      <w:r w:rsidRPr="00B04DC3">
        <w:rPr>
          <w:sz w:val="20"/>
        </w:rPr>
        <w:sym w:font="Symbol" w:char="F0B4"/>
      </w:r>
      <w:r w:rsidRPr="00B04DC3">
        <w:rPr>
          <w:sz w:val="20"/>
        </w:rPr>
        <w:t xml:space="preserve"> (0.618034 </w:t>
      </w:r>
      <w:r w:rsidRPr="00B04DC3">
        <w:rPr>
          <w:sz w:val="20"/>
        </w:rPr>
        <w:sym w:font="Symbol" w:char="F0B4"/>
      </w:r>
      <w:r w:rsidRPr="00B04DC3">
        <w:rPr>
          <w:sz w:val="20"/>
        </w:rPr>
        <w:t xml:space="preserve"> 150.076644</w:t>
      </w:r>
      <w:r w:rsidRPr="00B04DC3">
        <w:rPr>
          <w:sz w:val="20"/>
          <w:vertAlign w:val="superscript"/>
        </w:rPr>
        <w:t>2</w:t>
      </w:r>
      <w:r w:rsidRPr="00B04DC3">
        <w:rPr>
          <w:sz w:val="20"/>
        </w:rPr>
        <w:t xml:space="preserve"> − 1) − 1 = 0.970783</w:t>
      </w:r>
    </w:p>
    <w:p w:rsidR="00BB1DA8" w:rsidRPr="00B04DC3" w:rsidRDefault="00BB1DA8" w:rsidP="008B1316">
      <w:pPr>
        <w:pStyle w:val="para"/>
        <w:spacing w:before="120"/>
        <w:ind w:firstLine="0"/>
        <w:rPr>
          <w:lang w:val="en-GB"/>
        </w:rPr>
      </w:pPr>
      <w:r w:rsidRPr="00B04DC3">
        <w:rPr>
          <w:lang w:val="en-GB"/>
        </w:rPr>
        <w:tab/>
        <w:t>This gives the Bessel algorithm:</w:t>
      </w:r>
    </w:p>
    <w:p w:rsidR="00BB1DA8" w:rsidRPr="00B04DC3" w:rsidRDefault="00BB1DA8" w:rsidP="008B1316">
      <w:pPr>
        <w:pStyle w:val="para"/>
        <w:spacing w:before="120"/>
        <w:ind w:left="2800" w:hanging="532"/>
        <w:rPr>
          <w:lang w:val="en-GB"/>
        </w:rPr>
      </w:pPr>
      <w:r w:rsidRPr="00B04DC3">
        <w:rPr>
          <w:lang w:val="en-GB"/>
        </w:rPr>
        <w:t>Y</w:t>
      </w:r>
      <w:r w:rsidRPr="00B04DC3">
        <w:rPr>
          <w:vertAlign w:val="subscript"/>
          <w:lang w:val="en-GB"/>
        </w:rPr>
        <w:t>i</w:t>
      </w:r>
      <w:r w:rsidRPr="00B04DC3">
        <w:rPr>
          <w:lang w:val="en-GB"/>
        </w:rPr>
        <w:t xml:space="preserve"> =</w:t>
      </w:r>
      <w:r w:rsidRPr="00B04DC3">
        <w:rPr>
          <w:lang w:val="en-GB"/>
        </w:rPr>
        <w:tab/>
        <w:t>Y</w:t>
      </w:r>
      <w:r w:rsidRPr="00B04DC3">
        <w:rPr>
          <w:vertAlign w:val="subscript"/>
          <w:lang w:val="en-GB"/>
        </w:rPr>
        <w:t>i−1</w:t>
      </w:r>
      <w:r w:rsidRPr="00B04DC3">
        <w:rPr>
          <w:lang w:val="en-GB"/>
        </w:rPr>
        <w:t xml:space="preserve"> + 7.07948 E − 5 </w:t>
      </w:r>
      <w:r w:rsidRPr="00B04DC3">
        <w:rPr>
          <w:lang w:val="en-GB"/>
        </w:rPr>
        <w:sym w:font="Symbol" w:char="F0B4"/>
      </w:r>
      <w:r w:rsidRPr="00B04DC3">
        <w:rPr>
          <w:lang w:val="en-GB"/>
        </w:rPr>
        <w:t xml:space="preserve"> (S</w:t>
      </w:r>
      <w:r w:rsidRPr="00B04DC3">
        <w:rPr>
          <w:vertAlign w:val="subscript"/>
          <w:lang w:val="en-GB"/>
        </w:rPr>
        <w:t>i</w:t>
      </w:r>
      <w:r w:rsidRPr="00B04DC3">
        <w:rPr>
          <w:lang w:val="en-GB"/>
        </w:rPr>
        <w:t xml:space="preserve"> + 2 </w:t>
      </w:r>
      <w:r w:rsidRPr="00B04DC3">
        <w:rPr>
          <w:lang w:val="en-GB"/>
        </w:rPr>
        <w:sym w:font="Symbol" w:char="F0B4"/>
      </w:r>
      <w:r w:rsidRPr="00B04DC3">
        <w:rPr>
          <w:lang w:val="en-GB"/>
        </w:rPr>
        <w:t xml:space="preserve"> S</w:t>
      </w:r>
      <w:r w:rsidRPr="00B04DC3">
        <w:rPr>
          <w:vertAlign w:val="subscript"/>
          <w:lang w:val="en-GB"/>
        </w:rPr>
        <w:t>i−1</w:t>
      </w:r>
      <w:r w:rsidRPr="00B04DC3">
        <w:rPr>
          <w:lang w:val="en-GB"/>
        </w:rPr>
        <w:t xml:space="preserve"> + S</w:t>
      </w:r>
      <w:r w:rsidRPr="00B04DC3">
        <w:rPr>
          <w:vertAlign w:val="subscript"/>
          <w:lang w:val="en-GB"/>
        </w:rPr>
        <w:t>i−2</w:t>
      </w:r>
      <w:r w:rsidRPr="00B04DC3">
        <w:rPr>
          <w:lang w:val="en-GB"/>
        </w:rPr>
        <w:t xml:space="preserve"> − 4 </w:t>
      </w:r>
      <w:r w:rsidRPr="00B04DC3">
        <w:rPr>
          <w:lang w:val="en-GB"/>
        </w:rPr>
        <w:sym w:font="Symbol" w:char="F0B4"/>
      </w:r>
      <w:r w:rsidRPr="00B04DC3">
        <w:rPr>
          <w:lang w:val="en-GB"/>
        </w:rPr>
        <w:t xml:space="preserve"> Y</w:t>
      </w:r>
      <w:r w:rsidRPr="00B04DC3">
        <w:rPr>
          <w:vertAlign w:val="subscript"/>
          <w:lang w:val="en-GB"/>
        </w:rPr>
        <w:t>i−2</w:t>
      </w:r>
      <w:r w:rsidRPr="00B04DC3">
        <w:rPr>
          <w:lang w:val="en-GB"/>
        </w:rPr>
        <w:t xml:space="preserve">) + 0.970783 </w:t>
      </w:r>
      <w:r w:rsidRPr="00B04DC3">
        <w:rPr>
          <w:lang w:val="en-GB"/>
        </w:rPr>
        <w:sym w:font="Symbol" w:char="F0B4"/>
      </w:r>
      <w:r w:rsidRPr="00B04DC3">
        <w:rPr>
          <w:lang w:val="en-GB"/>
        </w:rPr>
        <w:t xml:space="preserve"> (Y</w:t>
      </w:r>
      <w:r w:rsidRPr="00B04DC3">
        <w:rPr>
          <w:vertAlign w:val="subscript"/>
          <w:lang w:val="en-GB"/>
        </w:rPr>
        <w:t>i−1</w:t>
      </w:r>
      <w:r w:rsidRPr="00B04DC3">
        <w:rPr>
          <w:lang w:val="en-GB"/>
        </w:rPr>
        <w:t xml:space="preserve"> − Y</w:t>
      </w:r>
      <w:r w:rsidRPr="00B04DC3">
        <w:rPr>
          <w:vertAlign w:val="subscript"/>
          <w:lang w:val="en-GB"/>
        </w:rPr>
        <w:t>i−2</w:t>
      </w:r>
      <w:r w:rsidRPr="00B04DC3">
        <w:rPr>
          <w:lang w:val="en-GB"/>
        </w:rPr>
        <w:t>)</w:t>
      </w:r>
    </w:p>
    <w:p w:rsidR="00BB1DA8" w:rsidRPr="00B04DC3" w:rsidRDefault="00BB1DA8" w:rsidP="008B1316">
      <w:pPr>
        <w:pStyle w:val="para"/>
        <w:spacing w:before="120"/>
        <w:ind w:firstLine="0"/>
        <w:rPr>
          <w:lang w:val="en-GB"/>
        </w:rPr>
      </w:pPr>
      <w:r w:rsidRPr="00B04DC3">
        <w:rPr>
          <w:lang w:val="en-GB"/>
        </w:rPr>
        <w:tab/>
        <w:t>where S</w:t>
      </w:r>
      <w:r w:rsidRPr="00B04DC3">
        <w:rPr>
          <w:vertAlign w:val="subscript"/>
          <w:lang w:val="en-GB"/>
        </w:rPr>
        <w:t>i</w:t>
      </w:r>
      <w:r w:rsidRPr="00B04DC3">
        <w:rPr>
          <w:lang w:val="en-GB"/>
        </w:rPr>
        <w:t xml:space="preserve"> represents the values of the step input signal (either "0" or "1") and Y</w:t>
      </w:r>
      <w:r w:rsidRPr="00B04DC3">
        <w:rPr>
          <w:vertAlign w:val="subscript"/>
          <w:lang w:val="en-GB"/>
        </w:rPr>
        <w:t>i</w:t>
      </w:r>
      <w:r w:rsidRPr="00B04DC3">
        <w:rPr>
          <w:lang w:val="en-GB"/>
        </w:rPr>
        <w:t xml:space="preserve"> represents the filtered values of the output signal.</w:t>
      </w:r>
    </w:p>
    <w:p w:rsidR="00BB1DA8" w:rsidRPr="00B04DC3" w:rsidRDefault="00BB1DA8" w:rsidP="008B1316">
      <w:pPr>
        <w:pStyle w:val="para"/>
        <w:spacing w:before="120"/>
        <w:ind w:firstLine="0"/>
        <w:rPr>
          <w:lang w:val="en-GB"/>
        </w:rPr>
      </w:pPr>
      <w:r w:rsidRPr="00B04DC3">
        <w:rPr>
          <w:i/>
          <w:lang w:val="en-GB"/>
        </w:rPr>
        <w:tab/>
      </w:r>
      <w:r w:rsidRPr="00B04DC3">
        <w:rPr>
          <w:lang w:val="en-GB"/>
        </w:rPr>
        <w:t>Step 3: Application of Bessel filter on step input:</w:t>
      </w:r>
    </w:p>
    <w:p w:rsidR="00BB1DA8" w:rsidRPr="00B04DC3" w:rsidRDefault="00BB1DA8" w:rsidP="008B1316">
      <w:pPr>
        <w:pStyle w:val="para"/>
        <w:spacing w:before="120"/>
        <w:ind w:firstLine="0"/>
        <w:rPr>
          <w:lang w:val="en-GB"/>
        </w:rPr>
      </w:pPr>
      <w:r w:rsidRPr="00B04DC3">
        <w:rPr>
          <w:lang w:val="en-GB"/>
        </w:rPr>
        <w:tab/>
        <w:t>The Bessel filter response time t</w:t>
      </w:r>
      <w:r w:rsidRPr="00B04DC3">
        <w:rPr>
          <w:vertAlign w:val="subscript"/>
          <w:lang w:val="en-GB"/>
        </w:rPr>
        <w:t>F</w:t>
      </w:r>
      <w:r w:rsidRPr="00B04DC3">
        <w:rPr>
          <w:lang w:val="en-GB"/>
        </w:rPr>
        <w:t xml:space="preserve"> is defined as the rise time of the filtered output signal between 10 per cent and 90 per cent on a step input signal. For determining the times of 10 per cent (t</w:t>
      </w:r>
      <w:r w:rsidRPr="00B04DC3">
        <w:rPr>
          <w:vertAlign w:val="subscript"/>
          <w:lang w:val="en-GB"/>
        </w:rPr>
        <w:t>10</w:t>
      </w:r>
      <w:r w:rsidRPr="00B04DC3">
        <w:rPr>
          <w:lang w:val="en-GB"/>
        </w:rPr>
        <w:t>) and 90 per cent (t</w:t>
      </w:r>
      <w:r w:rsidRPr="00B04DC3">
        <w:rPr>
          <w:vertAlign w:val="subscript"/>
          <w:lang w:val="en-GB"/>
        </w:rPr>
        <w:t>90</w:t>
      </w:r>
      <w:r w:rsidRPr="00B04DC3">
        <w:rPr>
          <w:lang w:val="en-GB"/>
        </w:rPr>
        <w:t>) of the output signal, a Bessel filter has to be applied to a step input using the above values of f</w:t>
      </w:r>
      <w:r w:rsidRPr="00B04DC3">
        <w:rPr>
          <w:vertAlign w:val="subscript"/>
          <w:lang w:val="en-GB"/>
        </w:rPr>
        <w:t>c</w:t>
      </w:r>
      <w:r w:rsidRPr="00B04DC3">
        <w:rPr>
          <w:lang w:val="en-GB"/>
        </w:rPr>
        <w:t>, E and K.</w:t>
      </w:r>
    </w:p>
    <w:p w:rsidR="00BB1DA8" w:rsidRPr="00B04DC3" w:rsidRDefault="00BB1DA8" w:rsidP="008B1316">
      <w:pPr>
        <w:pStyle w:val="para"/>
        <w:spacing w:before="120"/>
        <w:ind w:firstLine="0"/>
        <w:rPr>
          <w:lang w:val="en-GB"/>
        </w:rPr>
      </w:pPr>
      <w:r w:rsidRPr="00B04DC3">
        <w:rPr>
          <w:lang w:val="en-GB"/>
        </w:rPr>
        <w:tab/>
        <w:t xml:space="preserve">The index numbers, the time and the values of a step input signal and the resulting values of the filtered output signal for the first and the second iteration are shown in </w:t>
      </w:r>
      <w:r w:rsidR="003C4076">
        <w:rPr>
          <w:lang w:val="en-GB"/>
        </w:rPr>
        <w:t>T</w:t>
      </w:r>
      <w:r w:rsidR="003C4076" w:rsidRPr="00B04DC3">
        <w:rPr>
          <w:lang w:val="en-GB"/>
        </w:rPr>
        <w:t xml:space="preserve">able </w:t>
      </w:r>
      <w:r w:rsidRPr="00B04DC3">
        <w:rPr>
          <w:lang w:val="en-GB"/>
        </w:rPr>
        <w:t>B. The points adjacent to t</w:t>
      </w:r>
      <w:r w:rsidRPr="00B04DC3">
        <w:rPr>
          <w:vertAlign w:val="subscript"/>
          <w:lang w:val="en-GB"/>
        </w:rPr>
        <w:t>10</w:t>
      </w:r>
      <w:r w:rsidRPr="00B04DC3">
        <w:rPr>
          <w:lang w:val="en-GB"/>
        </w:rPr>
        <w:t xml:space="preserve"> and t</w:t>
      </w:r>
      <w:r w:rsidRPr="00B04DC3">
        <w:rPr>
          <w:vertAlign w:val="subscript"/>
          <w:lang w:val="en-GB"/>
        </w:rPr>
        <w:t>90</w:t>
      </w:r>
      <w:r w:rsidRPr="00B04DC3">
        <w:rPr>
          <w:lang w:val="en-GB"/>
        </w:rPr>
        <w:t xml:space="preserve"> are marked in bold numbers.</w:t>
      </w:r>
    </w:p>
    <w:p w:rsidR="00BB1DA8" w:rsidRPr="00B04DC3" w:rsidRDefault="00BB1DA8" w:rsidP="008B1316">
      <w:pPr>
        <w:pStyle w:val="para"/>
        <w:spacing w:before="120"/>
        <w:ind w:firstLine="0"/>
        <w:rPr>
          <w:lang w:val="en-GB"/>
        </w:rPr>
      </w:pPr>
      <w:r w:rsidRPr="00B04DC3">
        <w:rPr>
          <w:lang w:val="en-GB"/>
        </w:rPr>
        <w:tab/>
        <w:t xml:space="preserve">In </w:t>
      </w:r>
      <w:r w:rsidR="003C4076">
        <w:rPr>
          <w:lang w:val="en-GB"/>
        </w:rPr>
        <w:t>T</w:t>
      </w:r>
      <w:r w:rsidR="003C4076" w:rsidRPr="00B04DC3">
        <w:rPr>
          <w:lang w:val="en-GB"/>
        </w:rPr>
        <w:t xml:space="preserve">able </w:t>
      </w:r>
      <w:r w:rsidRPr="00B04DC3">
        <w:rPr>
          <w:lang w:val="en-GB"/>
        </w:rPr>
        <w:t>B, first iteration, the 10 per cent value occurs between index number 30 and 31 and the 90 per cent value occurs between index number 191 and 192. For the calculation of t</w:t>
      </w:r>
      <w:r w:rsidRPr="00B04DC3">
        <w:rPr>
          <w:vertAlign w:val="subscript"/>
          <w:lang w:val="en-GB"/>
        </w:rPr>
        <w:t>F,iter</w:t>
      </w:r>
      <w:r w:rsidRPr="00B04DC3">
        <w:rPr>
          <w:lang w:val="en-GB"/>
        </w:rPr>
        <w:t xml:space="preserve"> the exact t</w:t>
      </w:r>
      <w:r w:rsidRPr="00B04DC3">
        <w:rPr>
          <w:vertAlign w:val="subscript"/>
          <w:lang w:val="en-GB"/>
        </w:rPr>
        <w:t>10</w:t>
      </w:r>
      <w:r w:rsidRPr="00B04DC3">
        <w:rPr>
          <w:lang w:val="en-GB"/>
        </w:rPr>
        <w:t xml:space="preserve"> and t</w:t>
      </w:r>
      <w:r w:rsidRPr="00B04DC3">
        <w:rPr>
          <w:vertAlign w:val="subscript"/>
          <w:lang w:val="en-GB"/>
        </w:rPr>
        <w:t>90</w:t>
      </w:r>
      <w:r w:rsidRPr="00B04DC3">
        <w:rPr>
          <w:lang w:val="en-GB"/>
        </w:rPr>
        <w:t xml:space="preserve"> values are determined by linear interpolation between the adjacent measuring points, as follows:</w:t>
      </w:r>
    </w:p>
    <w:p w:rsidR="00BB1DA8" w:rsidRPr="00B04DC3" w:rsidRDefault="00BB1DA8" w:rsidP="008B1316">
      <w:pPr>
        <w:pStyle w:val="para"/>
        <w:spacing w:before="120"/>
        <w:ind w:firstLine="0"/>
        <w:rPr>
          <w:lang w:val="en-GB"/>
        </w:rPr>
      </w:pPr>
      <w:r w:rsidRPr="00B04DC3">
        <w:rPr>
          <w:lang w:val="en-GB"/>
        </w:rPr>
        <w:tab/>
        <w:t>t</w:t>
      </w:r>
      <w:r w:rsidRPr="00B04DC3">
        <w:rPr>
          <w:vertAlign w:val="subscript"/>
          <w:lang w:val="en-GB"/>
        </w:rPr>
        <w:t>10</w:t>
      </w:r>
      <w:r w:rsidRPr="00B04DC3">
        <w:rPr>
          <w:lang w:val="en-GB"/>
        </w:rPr>
        <w:t xml:space="preserve"> = t</w:t>
      </w:r>
      <w:r w:rsidRPr="00B04DC3">
        <w:rPr>
          <w:vertAlign w:val="subscript"/>
          <w:lang w:val="en-GB"/>
        </w:rPr>
        <w:t>lower</w:t>
      </w:r>
      <w:r w:rsidRPr="00B04DC3">
        <w:rPr>
          <w:lang w:val="en-GB"/>
        </w:rPr>
        <w:t xml:space="preserve"> + Δt </w:t>
      </w:r>
      <w:r w:rsidRPr="00B04DC3">
        <w:rPr>
          <w:lang w:val="en-GB"/>
        </w:rPr>
        <w:sym w:font="Symbol" w:char="F0B4"/>
      </w:r>
      <w:r w:rsidRPr="00B04DC3">
        <w:rPr>
          <w:lang w:val="en-GB"/>
        </w:rPr>
        <w:t xml:space="preserve"> (0.1 − out</w:t>
      </w:r>
      <w:r w:rsidRPr="00B04DC3">
        <w:rPr>
          <w:vertAlign w:val="subscript"/>
          <w:lang w:val="en-GB"/>
        </w:rPr>
        <w:t>lower</w:t>
      </w:r>
      <w:r w:rsidRPr="00B04DC3">
        <w:rPr>
          <w:lang w:val="en-GB"/>
        </w:rPr>
        <w:t>)/(out</w:t>
      </w:r>
      <w:r w:rsidRPr="00B04DC3">
        <w:rPr>
          <w:vertAlign w:val="subscript"/>
          <w:lang w:val="en-GB"/>
        </w:rPr>
        <w:t>upper</w:t>
      </w:r>
      <w:r w:rsidRPr="00B04DC3">
        <w:rPr>
          <w:lang w:val="en-GB"/>
        </w:rPr>
        <w:t xml:space="preserve"> − out</w:t>
      </w:r>
      <w:r w:rsidRPr="00B04DC3">
        <w:rPr>
          <w:vertAlign w:val="subscript"/>
          <w:lang w:val="en-GB"/>
        </w:rPr>
        <w:t>lower</w:t>
      </w:r>
      <w:r w:rsidRPr="00B04DC3">
        <w:rPr>
          <w:lang w:val="en-GB"/>
        </w:rPr>
        <w:t>)</w:t>
      </w:r>
    </w:p>
    <w:p w:rsidR="00BB1DA8" w:rsidRPr="00B04DC3" w:rsidRDefault="00BB1DA8" w:rsidP="008B1316">
      <w:pPr>
        <w:pStyle w:val="para"/>
        <w:spacing w:before="120"/>
        <w:ind w:firstLine="0"/>
        <w:rPr>
          <w:lang w:val="en-GB"/>
        </w:rPr>
      </w:pPr>
      <w:r w:rsidRPr="00B04DC3">
        <w:rPr>
          <w:lang w:val="en-GB"/>
        </w:rPr>
        <w:tab/>
        <w:t>t</w:t>
      </w:r>
      <w:r w:rsidRPr="00B04DC3">
        <w:rPr>
          <w:vertAlign w:val="subscript"/>
          <w:lang w:val="en-GB"/>
        </w:rPr>
        <w:t>90</w:t>
      </w:r>
      <w:r w:rsidRPr="00B04DC3">
        <w:rPr>
          <w:lang w:val="en-GB"/>
        </w:rPr>
        <w:t xml:space="preserve"> = t</w:t>
      </w:r>
      <w:r w:rsidRPr="00B04DC3">
        <w:rPr>
          <w:vertAlign w:val="subscript"/>
          <w:lang w:val="en-GB"/>
        </w:rPr>
        <w:t>lower</w:t>
      </w:r>
      <w:r w:rsidRPr="00B04DC3">
        <w:rPr>
          <w:lang w:val="en-GB"/>
        </w:rPr>
        <w:t xml:space="preserve"> + Δt </w:t>
      </w:r>
      <w:r w:rsidRPr="00B04DC3">
        <w:rPr>
          <w:lang w:val="en-GB"/>
        </w:rPr>
        <w:sym w:font="Symbol" w:char="F0B4"/>
      </w:r>
      <w:r w:rsidRPr="00B04DC3">
        <w:rPr>
          <w:lang w:val="en-GB"/>
        </w:rPr>
        <w:t xml:space="preserve"> (0.9 − out</w:t>
      </w:r>
      <w:r w:rsidRPr="00B04DC3">
        <w:rPr>
          <w:vertAlign w:val="subscript"/>
          <w:lang w:val="en-GB"/>
        </w:rPr>
        <w:t>lower</w:t>
      </w:r>
      <w:r w:rsidRPr="00B04DC3">
        <w:rPr>
          <w:lang w:val="en-GB"/>
        </w:rPr>
        <w:t>)/(out</w:t>
      </w:r>
      <w:r w:rsidRPr="00B04DC3">
        <w:rPr>
          <w:vertAlign w:val="subscript"/>
          <w:lang w:val="en-GB"/>
        </w:rPr>
        <w:t>upper</w:t>
      </w:r>
      <w:r w:rsidRPr="00B04DC3">
        <w:rPr>
          <w:lang w:val="en-GB"/>
        </w:rPr>
        <w:t xml:space="preserve"> − out</w:t>
      </w:r>
      <w:r w:rsidRPr="00B04DC3">
        <w:rPr>
          <w:vertAlign w:val="subscript"/>
          <w:lang w:val="en-GB"/>
        </w:rPr>
        <w:t>lower</w:t>
      </w:r>
      <w:r w:rsidRPr="00B04DC3">
        <w:rPr>
          <w:lang w:val="en-GB"/>
        </w:rPr>
        <w:t>)</w:t>
      </w:r>
    </w:p>
    <w:p w:rsidR="00BB1DA8" w:rsidRPr="00B04DC3" w:rsidRDefault="00BB1DA8" w:rsidP="008B1316">
      <w:pPr>
        <w:pStyle w:val="para"/>
        <w:spacing w:before="120"/>
        <w:ind w:firstLine="0"/>
        <w:rPr>
          <w:lang w:val="en-GB"/>
        </w:rPr>
      </w:pPr>
      <w:r w:rsidRPr="00B04DC3">
        <w:rPr>
          <w:lang w:val="en-GB"/>
        </w:rPr>
        <w:tab/>
      </w:r>
      <w:r w:rsidR="0090475A" w:rsidRPr="00B04DC3">
        <w:rPr>
          <w:lang w:val="en-GB"/>
        </w:rPr>
        <w:t>Where</w:t>
      </w:r>
      <w:r w:rsidRPr="00B04DC3">
        <w:rPr>
          <w:lang w:val="en-GB"/>
        </w:rPr>
        <w:t xml:space="preserve"> out</w:t>
      </w:r>
      <w:r w:rsidRPr="00B04DC3">
        <w:rPr>
          <w:vertAlign w:val="subscript"/>
          <w:lang w:val="en-GB"/>
        </w:rPr>
        <w:t>upper</w:t>
      </w:r>
      <w:r w:rsidRPr="00B04DC3">
        <w:rPr>
          <w:lang w:val="en-GB"/>
        </w:rPr>
        <w:t xml:space="preserve"> and out</w:t>
      </w:r>
      <w:r w:rsidRPr="00B04DC3">
        <w:rPr>
          <w:vertAlign w:val="subscript"/>
          <w:lang w:val="en-GB"/>
        </w:rPr>
        <w:t>lower</w:t>
      </w:r>
      <w:r w:rsidRPr="00B04DC3">
        <w:rPr>
          <w:lang w:val="en-GB"/>
        </w:rPr>
        <w:t>, respectively, are the adjacent points of the Bessel filtered output signal, and t</w:t>
      </w:r>
      <w:r w:rsidRPr="00B04DC3">
        <w:rPr>
          <w:vertAlign w:val="subscript"/>
          <w:lang w:val="en-GB"/>
        </w:rPr>
        <w:t>lower</w:t>
      </w:r>
      <w:r w:rsidRPr="00B04DC3">
        <w:rPr>
          <w:lang w:val="en-GB"/>
        </w:rPr>
        <w:t xml:space="preserve"> is the time of the adjacent time point, as indicated in table B.</w:t>
      </w:r>
    </w:p>
    <w:p w:rsidR="00BB1DA8" w:rsidRPr="00B04DC3" w:rsidRDefault="00BB1DA8" w:rsidP="008B1316">
      <w:pPr>
        <w:pStyle w:val="para"/>
        <w:spacing w:before="120"/>
        <w:ind w:firstLine="0"/>
        <w:rPr>
          <w:spacing w:val="-6"/>
          <w:lang w:val="en-GB"/>
        </w:rPr>
      </w:pPr>
      <w:r w:rsidRPr="00B04DC3">
        <w:rPr>
          <w:lang w:val="en-GB"/>
        </w:rPr>
        <w:tab/>
      </w:r>
      <w:r w:rsidRPr="00B04DC3">
        <w:rPr>
          <w:spacing w:val="-6"/>
          <w:lang w:val="en-GB"/>
        </w:rPr>
        <w:t>t</w:t>
      </w:r>
      <w:r w:rsidRPr="00B04DC3">
        <w:rPr>
          <w:spacing w:val="-6"/>
          <w:vertAlign w:val="subscript"/>
          <w:lang w:val="en-GB"/>
        </w:rPr>
        <w:t>10</w:t>
      </w:r>
      <w:r w:rsidRPr="00B04DC3">
        <w:rPr>
          <w:spacing w:val="-6"/>
          <w:lang w:val="en-GB"/>
        </w:rPr>
        <w:t xml:space="preserve"> = 0.200000 + 0.006667 </w:t>
      </w:r>
      <w:r w:rsidRPr="00B04DC3">
        <w:rPr>
          <w:spacing w:val="-6"/>
          <w:lang w:val="en-GB"/>
        </w:rPr>
        <w:sym w:font="Symbol" w:char="F0B4"/>
      </w:r>
      <w:r w:rsidRPr="00B04DC3">
        <w:rPr>
          <w:spacing w:val="-6"/>
          <w:lang w:val="en-GB"/>
        </w:rPr>
        <w:t xml:space="preserve"> (0.1 − 0.099208)/(0.104794 − 0.099208) = 0.200945 s</w:t>
      </w:r>
    </w:p>
    <w:p w:rsidR="00BB1DA8" w:rsidRPr="00B04DC3" w:rsidRDefault="00BB1DA8" w:rsidP="008B1316">
      <w:pPr>
        <w:pStyle w:val="para"/>
        <w:spacing w:before="120"/>
        <w:ind w:firstLine="0"/>
        <w:rPr>
          <w:spacing w:val="-6"/>
          <w:lang w:val="en-GB"/>
        </w:rPr>
      </w:pPr>
      <w:r w:rsidRPr="00B04DC3">
        <w:rPr>
          <w:spacing w:val="-6"/>
          <w:lang w:val="en-GB"/>
        </w:rPr>
        <w:tab/>
        <w:t>t</w:t>
      </w:r>
      <w:r w:rsidRPr="00B04DC3">
        <w:rPr>
          <w:spacing w:val="-6"/>
          <w:vertAlign w:val="subscript"/>
          <w:lang w:val="en-GB"/>
        </w:rPr>
        <w:t>90</w:t>
      </w:r>
      <w:r w:rsidRPr="00B04DC3">
        <w:rPr>
          <w:spacing w:val="-6"/>
          <w:lang w:val="en-GB"/>
        </w:rPr>
        <w:t xml:space="preserve"> = 0.273333 + 0.006667 </w:t>
      </w:r>
      <w:r w:rsidRPr="00B04DC3">
        <w:rPr>
          <w:spacing w:val="-6"/>
          <w:lang w:val="en-GB"/>
        </w:rPr>
        <w:sym w:font="Symbol" w:char="F0B4"/>
      </w:r>
      <w:r w:rsidRPr="00B04DC3">
        <w:rPr>
          <w:spacing w:val="-6"/>
          <w:lang w:val="en-GB"/>
        </w:rPr>
        <w:t xml:space="preserve"> (0.9 − 0.899147)/(0.901168 − 0.899147) = 1.276147 s</w:t>
      </w:r>
    </w:p>
    <w:p w:rsidR="00BB1DA8" w:rsidRPr="00B04DC3" w:rsidRDefault="00BB1DA8" w:rsidP="008B1316">
      <w:pPr>
        <w:pStyle w:val="para"/>
        <w:spacing w:before="120"/>
        <w:ind w:firstLine="0"/>
        <w:rPr>
          <w:lang w:val="en-GB"/>
        </w:rPr>
      </w:pPr>
      <w:r w:rsidRPr="00B04DC3">
        <w:rPr>
          <w:i/>
          <w:lang w:val="en-GB"/>
        </w:rPr>
        <w:tab/>
      </w:r>
      <w:r w:rsidRPr="00B04DC3">
        <w:rPr>
          <w:lang w:val="en-GB"/>
        </w:rPr>
        <w:t>Step 4: Filter response time of first iteration cycle:</w:t>
      </w:r>
    </w:p>
    <w:p w:rsidR="00BB1DA8" w:rsidRPr="00B04DC3" w:rsidRDefault="00BB1DA8" w:rsidP="008B1316">
      <w:pPr>
        <w:pStyle w:val="para"/>
        <w:spacing w:before="120"/>
        <w:ind w:firstLine="0"/>
        <w:rPr>
          <w:lang w:val="en-GB"/>
        </w:rPr>
      </w:pPr>
      <w:r w:rsidRPr="00B04DC3">
        <w:rPr>
          <w:lang w:val="en-GB"/>
        </w:rPr>
        <w:tab/>
        <w:t>t</w:t>
      </w:r>
      <w:r w:rsidRPr="00B04DC3">
        <w:rPr>
          <w:vertAlign w:val="subscript"/>
          <w:lang w:val="en-GB"/>
        </w:rPr>
        <w:t>F,iter</w:t>
      </w:r>
      <w:r w:rsidRPr="00B04DC3">
        <w:rPr>
          <w:lang w:val="en-GB"/>
        </w:rPr>
        <w:t xml:space="preserve"> = 1.276147 − 0.200945 = 1.075202 s</w:t>
      </w:r>
    </w:p>
    <w:p w:rsidR="00BB1DA8" w:rsidRPr="00B04DC3" w:rsidRDefault="00BB1DA8" w:rsidP="008B1316">
      <w:pPr>
        <w:pStyle w:val="para"/>
        <w:spacing w:before="120"/>
        <w:ind w:firstLine="0"/>
        <w:rPr>
          <w:lang w:val="en-GB"/>
        </w:rPr>
      </w:pPr>
      <w:r w:rsidRPr="00B04DC3">
        <w:rPr>
          <w:i/>
          <w:lang w:val="en-GB"/>
        </w:rPr>
        <w:tab/>
      </w:r>
      <w:r w:rsidRPr="00B04DC3">
        <w:rPr>
          <w:lang w:val="en-GB"/>
        </w:rPr>
        <w:t>Step 5: Deviation between required and obtained filter response time of first iteration cycle:</w:t>
      </w:r>
    </w:p>
    <w:p w:rsidR="00BB1DA8" w:rsidRPr="00B04DC3" w:rsidRDefault="00BB1DA8" w:rsidP="008B1316">
      <w:pPr>
        <w:pStyle w:val="para"/>
        <w:spacing w:before="120"/>
        <w:ind w:firstLine="0"/>
        <w:rPr>
          <w:lang w:val="en-GB"/>
        </w:rPr>
      </w:pPr>
      <w:r w:rsidRPr="00B04DC3">
        <w:rPr>
          <w:lang w:val="en-GB"/>
        </w:rPr>
        <w:tab/>
        <w:t>Δ = (1.075202 − 0.987421)/0.987421 = 0.081641</w:t>
      </w:r>
    </w:p>
    <w:p w:rsidR="00BB1DA8" w:rsidRPr="00B04DC3" w:rsidRDefault="00BB1DA8" w:rsidP="008B1316">
      <w:pPr>
        <w:pStyle w:val="para"/>
        <w:spacing w:before="120"/>
        <w:ind w:firstLine="0"/>
        <w:rPr>
          <w:lang w:val="en-GB"/>
        </w:rPr>
      </w:pPr>
      <w:r w:rsidRPr="00B04DC3">
        <w:rPr>
          <w:i/>
          <w:lang w:val="en-GB"/>
        </w:rPr>
        <w:tab/>
      </w:r>
      <w:r w:rsidRPr="00B04DC3">
        <w:rPr>
          <w:lang w:val="en-GB"/>
        </w:rPr>
        <w:t>Step 6: Checking the iteration criteria:</w:t>
      </w:r>
    </w:p>
    <w:p w:rsidR="00BB1DA8" w:rsidRPr="00B04DC3" w:rsidRDefault="00BB1DA8" w:rsidP="008B1316">
      <w:pPr>
        <w:pStyle w:val="para"/>
        <w:spacing w:before="120"/>
        <w:ind w:firstLine="0"/>
        <w:rPr>
          <w:lang w:val="en-GB"/>
        </w:rPr>
      </w:pPr>
      <w:r w:rsidRPr="00B04DC3">
        <w:rPr>
          <w:lang w:val="en-GB"/>
        </w:rPr>
        <w:tab/>
        <w:t>|Δ| ≤ 0.01 is required. Since 0.081641 &gt; 0.01, the iteration criteria is not met and a further iteration cycle has to be started. For this iteration cycle, a new cut-off frequency is calculated from f</w:t>
      </w:r>
      <w:r w:rsidRPr="00B04DC3">
        <w:rPr>
          <w:vertAlign w:val="subscript"/>
          <w:lang w:val="en-GB"/>
        </w:rPr>
        <w:t>c</w:t>
      </w:r>
      <w:r w:rsidRPr="00B04DC3">
        <w:rPr>
          <w:lang w:val="en-GB"/>
        </w:rPr>
        <w:t xml:space="preserve"> and Δ as follows: </w:t>
      </w:r>
    </w:p>
    <w:p w:rsidR="00BB1DA8" w:rsidRPr="00B04DC3" w:rsidRDefault="00BB1DA8" w:rsidP="008B1316">
      <w:pPr>
        <w:pStyle w:val="para"/>
        <w:spacing w:before="120"/>
        <w:ind w:firstLine="0"/>
        <w:rPr>
          <w:lang w:val="en-GB"/>
        </w:rPr>
      </w:pPr>
      <w:r w:rsidRPr="00B04DC3">
        <w:rPr>
          <w:lang w:val="en-GB"/>
        </w:rPr>
        <w:t>f</w:t>
      </w:r>
      <w:r w:rsidRPr="00B04DC3">
        <w:rPr>
          <w:vertAlign w:val="subscript"/>
          <w:lang w:val="en-GB"/>
        </w:rPr>
        <w:t>c,new</w:t>
      </w:r>
      <w:r w:rsidRPr="00B04DC3">
        <w:rPr>
          <w:lang w:val="en-GB"/>
        </w:rPr>
        <w:t xml:space="preserve"> = 0.318152 </w:t>
      </w:r>
      <w:r w:rsidRPr="00B04DC3">
        <w:rPr>
          <w:lang w:val="en-GB"/>
        </w:rPr>
        <w:sym w:font="Symbol" w:char="F0B4"/>
      </w:r>
      <w:r w:rsidRPr="00B04DC3">
        <w:rPr>
          <w:lang w:val="en-GB"/>
        </w:rPr>
        <w:t xml:space="preserve"> (1 + 0.081641) = 0.344126 Hz</w:t>
      </w:r>
    </w:p>
    <w:p w:rsidR="00BB1DA8" w:rsidRPr="00B04DC3" w:rsidRDefault="00BB1DA8" w:rsidP="008B1316">
      <w:pPr>
        <w:pStyle w:val="para"/>
        <w:spacing w:before="120"/>
        <w:ind w:firstLine="0"/>
        <w:rPr>
          <w:lang w:val="en-GB"/>
        </w:rPr>
      </w:pPr>
      <w:r w:rsidRPr="00B04DC3">
        <w:rPr>
          <w:lang w:val="en-GB"/>
        </w:rPr>
        <w:tab/>
        <w:t xml:space="preserve">This new cut-off frequency is used in the second iteration cycle, starting at step 2 again. The iteration has to be repeated until the iteration criterion is met. The resulting values of the first and second iteration are summarized in </w:t>
      </w:r>
      <w:r w:rsidR="003C4076">
        <w:rPr>
          <w:lang w:val="en-GB"/>
        </w:rPr>
        <w:t>T</w:t>
      </w:r>
      <w:r w:rsidR="003C4076" w:rsidRPr="00B04DC3">
        <w:rPr>
          <w:lang w:val="en-GB"/>
        </w:rPr>
        <w:t xml:space="preserve">able </w:t>
      </w:r>
      <w:r w:rsidRPr="00B04DC3">
        <w:rPr>
          <w:lang w:val="en-GB"/>
        </w:rPr>
        <w:t>A.</w:t>
      </w:r>
    </w:p>
    <w:p w:rsidR="00BB1DA8" w:rsidRPr="00B04DC3" w:rsidRDefault="00BB1DA8" w:rsidP="00BB1DA8">
      <w:pPr>
        <w:pStyle w:val="Heading1"/>
        <w:keepNext/>
        <w:keepLines/>
        <w:ind w:left="2268"/>
      </w:pPr>
      <w:r w:rsidRPr="00B04DC3">
        <w:br w:type="page"/>
      </w:r>
      <w:bookmarkStart w:id="735" w:name="_Toc399940067"/>
      <w:bookmarkStart w:id="736" w:name="_Toc423599651"/>
      <w:bookmarkStart w:id="737" w:name="_Toc423611059"/>
      <w:r w:rsidRPr="00B04DC3">
        <w:t>Table A</w:t>
      </w:r>
      <w:bookmarkEnd w:id="735"/>
      <w:bookmarkEnd w:id="736"/>
      <w:bookmarkEnd w:id="737"/>
    </w:p>
    <w:p w:rsidR="00BB1DA8" w:rsidRPr="00B04DC3" w:rsidRDefault="00BB1DA8" w:rsidP="00BB1DA8">
      <w:pPr>
        <w:pStyle w:val="Heading1"/>
        <w:keepNext/>
        <w:keepLines/>
        <w:ind w:left="2268"/>
        <w:rPr>
          <w:b/>
        </w:rPr>
      </w:pPr>
      <w:bookmarkStart w:id="738" w:name="_Toc399940068"/>
      <w:bookmarkStart w:id="739" w:name="_Toc423599652"/>
      <w:bookmarkStart w:id="740" w:name="_Toc423611060"/>
      <w:r w:rsidRPr="00B04DC3">
        <w:rPr>
          <w:b/>
        </w:rPr>
        <w:t>Values of the first and second iteration</w:t>
      </w:r>
      <w:bookmarkEnd w:id="738"/>
      <w:bookmarkEnd w:id="739"/>
      <w:bookmarkEnd w:id="740"/>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186"/>
        <w:gridCol w:w="1807"/>
        <w:gridCol w:w="1932"/>
      </w:tblGrid>
      <w:tr w:rsidR="00BB1DA8" w:rsidRPr="00B04DC3" w:rsidTr="0090475A">
        <w:trPr>
          <w:trHeight w:val="366"/>
        </w:trPr>
        <w:tc>
          <w:tcPr>
            <w:tcW w:w="2555" w:type="dxa"/>
            <w:gridSpan w:val="2"/>
            <w:tcBorders>
              <w:bottom w:val="single" w:sz="12" w:space="0" w:color="auto"/>
            </w:tcBorders>
          </w:tcPr>
          <w:p w:rsidR="00BB1DA8" w:rsidRPr="00B04DC3" w:rsidRDefault="00BB1DA8" w:rsidP="00BB1DA8">
            <w:pPr>
              <w:pStyle w:val="NormalCentered"/>
              <w:numPr>
                <w:ilvl w:val="0"/>
                <w:numId w:val="0"/>
              </w:numPr>
              <w:spacing w:before="80" w:after="80" w:line="200" w:lineRule="exact"/>
              <w:rPr>
                <w:i/>
                <w:sz w:val="16"/>
                <w:szCs w:val="16"/>
              </w:rPr>
            </w:pPr>
            <w:r w:rsidRPr="00B04DC3">
              <w:rPr>
                <w:i/>
                <w:sz w:val="16"/>
                <w:szCs w:val="16"/>
              </w:rPr>
              <w:t>Parameter</w:t>
            </w:r>
          </w:p>
        </w:tc>
        <w:tc>
          <w:tcPr>
            <w:tcW w:w="1852" w:type="dxa"/>
            <w:tcBorders>
              <w:bottom w:val="single" w:sz="12" w:space="0" w:color="auto"/>
            </w:tcBorders>
          </w:tcPr>
          <w:p w:rsidR="00BB1DA8" w:rsidRPr="00B04DC3" w:rsidRDefault="00BB1DA8" w:rsidP="00BB1DA8">
            <w:pPr>
              <w:pStyle w:val="NormalCentered"/>
              <w:numPr>
                <w:ilvl w:val="0"/>
                <w:numId w:val="0"/>
              </w:numPr>
              <w:spacing w:before="80" w:after="80" w:line="200" w:lineRule="exact"/>
              <w:rPr>
                <w:i/>
                <w:sz w:val="16"/>
                <w:szCs w:val="16"/>
              </w:rPr>
            </w:pPr>
            <w:r w:rsidRPr="00B04DC3">
              <w:rPr>
                <w:i/>
                <w:sz w:val="16"/>
                <w:szCs w:val="16"/>
              </w:rPr>
              <w:t>1. Iteration</w:t>
            </w:r>
          </w:p>
        </w:tc>
        <w:tc>
          <w:tcPr>
            <w:tcW w:w="1980" w:type="dxa"/>
            <w:tcBorders>
              <w:bottom w:val="single" w:sz="12" w:space="0" w:color="auto"/>
            </w:tcBorders>
          </w:tcPr>
          <w:p w:rsidR="00BB1DA8" w:rsidRPr="00B04DC3" w:rsidRDefault="00BB1DA8" w:rsidP="00BB1DA8">
            <w:pPr>
              <w:pStyle w:val="NormalCentered"/>
              <w:numPr>
                <w:ilvl w:val="0"/>
                <w:numId w:val="0"/>
              </w:numPr>
              <w:spacing w:before="80" w:after="80" w:line="200" w:lineRule="exact"/>
              <w:rPr>
                <w:i/>
                <w:sz w:val="16"/>
                <w:szCs w:val="16"/>
              </w:rPr>
            </w:pPr>
            <w:r w:rsidRPr="00B04DC3">
              <w:rPr>
                <w:i/>
                <w:sz w:val="16"/>
                <w:szCs w:val="16"/>
              </w:rPr>
              <w:t>2. Iteration</w:t>
            </w:r>
          </w:p>
        </w:tc>
      </w:tr>
      <w:tr w:rsidR="00BB1DA8" w:rsidRPr="00B04DC3" w:rsidTr="0090475A">
        <w:trPr>
          <w:trHeight w:val="326"/>
        </w:trPr>
        <w:tc>
          <w:tcPr>
            <w:tcW w:w="1342" w:type="dxa"/>
            <w:tcBorders>
              <w:top w:val="single" w:sz="12" w:space="0" w:color="auto"/>
            </w:tcBorders>
          </w:tcPr>
          <w:p w:rsidR="00BB1DA8" w:rsidRPr="00B04DC3" w:rsidRDefault="00BB1DA8" w:rsidP="00BB1DA8">
            <w:pPr>
              <w:pStyle w:val="NormalLeft"/>
              <w:spacing w:before="40" w:after="80"/>
              <w:jc w:val="center"/>
              <w:rPr>
                <w:sz w:val="18"/>
                <w:szCs w:val="18"/>
              </w:rPr>
            </w:pPr>
            <w:r w:rsidRPr="00B04DC3">
              <w:rPr>
                <w:sz w:val="18"/>
                <w:szCs w:val="18"/>
              </w:rPr>
              <w:t>f</w:t>
            </w:r>
            <w:r w:rsidRPr="00B04DC3">
              <w:rPr>
                <w:sz w:val="18"/>
                <w:szCs w:val="18"/>
                <w:vertAlign w:val="subscript"/>
              </w:rPr>
              <w:t>c</w:t>
            </w:r>
          </w:p>
        </w:tc>
        <w:tc>
          <w:tcPr>
            <w:tcW w:w="1213" w:type="dxa"/>
            <w:tcBorders>
              <w:top w:val="single" w:sz="12" w:space="0" w:color="auto"/>
            </w:tcBorders>
          </w:tcPr>
          <w:p w:rsidR="00BB1DA8" w:rsidRPr="00B04DC3" w:rsidRDefault="00BB1DA8" w:rsidP="00BB1DA8">
            <w:pPr>
              <w:pStyle w:val="NormalLeft"/>
              <w:spacing w:before="40" w:after="80"/>
              <w:jc w:val="center"/>
              <w:rPr>
                <w:sz w:val="18"/>
                <w:szCs w:val="18"/>
              </w:rPr>
            </w:pPr>
            <w:r w:rsidRPr="00B04DC3">
              <w:rPr>
                <w:sz w:val="18"/>
                <w:szCs w:val="18"/>
              </w:rPr>
              <w:t>(Hz)</w:t>
            </w:r>
          </w:p>
        </w:tc>
        <w:tc>
          <w:tcPr>
            <w:tcW w:w="1852" w:type="dxa"/>
            <w:tcBorders>
              <w:top w:val="single" w:sz="12" w:space="0" w:color="auto"/>
            </w:tcBorders>
          </w:tcPr>
          <w:p w:rsidR="00BB1DA8" w:rsidRPr="00B04DC3" w:rsidRDefault="00BB1DA8" w:rsidP="00BB1DA8">
            <w:pPr>
              <w:pStyle w:val="NormalRight"/>
              <w:spacing w:before="40" w:after="80"/>
              <w:jc w:val="center"/>
              <w:rPr>
                <w:sz w:val="18"/>
                <w:szCs w:val="18"/>
              </w:rPr>
            </w:pPr>
            <w:r w:rsidRPr="00B04DC3">
              <w:rPr>
                <w:sz w:val="18"/>
                <w:szCs w:val="18"/>
              </w:rPr>
              <w:t>0.318152</w:t>
            </w:r>
          </w:p>
        </w:tc>
        <w:tc>
          <w:tcPr>
            <w:tcW w:w="1980" w:type="dxa"/>
            <w:tcBorders>
              <w:top w:val="single" w:sz="12" w:space="0" w:color="auto"/>
            </w:tcBorders>
          </w:tcPr>
          <w:p w:rsidR="00BB1DA8" w:rsidRPr="00B04DC3" w:rsidRDefault="00BB1DA8" w:rsidP="00BB1DA8">
            <w:pPr>
              <w:pStyle w:val="NormalRight"/>
              <w:spacing w:before="40" w:after="80"/>
              <w:jc w:val="center"/>
              <w:rPr>
                <w:sz w:val="18"/>
                <w:szCs w:val="18"/>
              </w:rPr>
            </w:pPr>
            <w:r w:rsidRPr="00B04DC3">
              <w:rPr>
                <w:sz w:val="18"/>
                <w:szCs w:val="18"/>
              </w:rPr>
              <w:t>0.344126</w:t>
            </w:r>
          </w:p>
        </w:tc>
      </w:tr>
      <w:tr w:rsidR="00BB1DA8" w:rsidRPr="00B04DC3">
        <w:trPr>
          <w:trHeight w:val="32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E</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w:t>
            </w:r>
          </w:p>
        </w:tc>
        <w:tc>
          <w:tcPr>
            <w:tcW w:w="1852" w:type="dxa"/>
          </w:tcPr>
          <w:p w:rsidR="00BB1DA8" w:rsidRPr="00B04DC3" w:rsidRDefault="00BB1DA8" w:rsidP="00BB1DA8">
            <w:pPr>
              <w:pStyle w:val="NormalLeft"/>
              <w:spacing w:before="40" w:after="80"/>
              <w:jc w:val="center"/>
              <w:rPr>
                <w:sz w:val="18"/>
                <w:szCs w:val="18"/>
              </w:rPr>
            </w:pPr>
            <w:r w:rsidRPr="00B04DC3">
              <w:rPr>
                <w:sz w:val="18"/>
                <w:szCs w:val="18"/>
              </w:rPr>
              <w:t xml:space="preserve">7.07948 </w:t>
            </w:r>
            <w:r w:rsidRPr="00B04DC3">
              <w:rPr>
                <w:rFonts w:ascii="Arial" w:hAnsi="Arial" w:cs="Arial"/>
                <w:sz w:val="18"/>
                <w:szCs w:val="18"/>
              </w:rPr>
              <w:t>x</w:t>
            </w:r>
            <w:r w:rsidRPr="00B04DC3">
              <w:rPr>
                <w:sz w:val="18"/>
                <w:szCs w:val="18"/>
              </w:rPr>
              <w:t xml:space="preserve"> 10</w:t>
            </w:r>
            <w:r w:rsidRPr="00B04DC3">
              <w:rPr>
                <w:sz w:val="18"/>
                <w:szCs w:val="18"/>
                <w:vertAlign w:val="superscript"/>
              </w:rPr>
              <w:t>-5</w:t>
            </w:r>
          </w:p>
        </w:tc>
        <w:tc>
          <w:tcPr>
            <w:tcW w:w="1980" w:type="dxa"/>
          </w:tcPr>
          <w:p w:rsidR="00BB1DA8" w:rsidRPr="00B04DC3" w:rsidRDefault="00BB1DA8" w:rsidP="00BB1DA8">
            <w:pPr>
              <w:pStyle w:val="NormalLeft"/>
              <w:spacing w:before="40" w:after="80"/>
              <w:jc w:val="center"/>
              <w:rPr>
                <w:sz w:val="18"/>
                <w:szCs w:val="18"/>
              </w:rPr>
            </w:pPr>
            <w:r w:rsidRPr="00B04DC3">
              <w:rPr>
                <w:sz w:val="18"/>
                <w:szCs w:val="18"/>
              </w:rPr>
              <w:t xml:space="preserve">8.272777 </w:t>
            </w:r>
            <w:r w:rsidRPr="00B04DC3">
              <w:rPr>
                <w:rFonts w:ascii="Arial" w:hAnsi="Arial" w:cs="Arial"/>
                <w:sz w:val="18"/>
                <w:szCs w:val="18"/>
              </w:rPr>
              <w:t>x</w:t>
            </w:r>
            <w:r w:rsidRPr="00B04DC3">
              <w:rPr>
                <w:sz w:val="18"/>
                <w:szCs w:val="18"/>
              </w:rPr>
              <w:t xml:space="preserve"> 10</w:t>
            </w:r>
            <w:r w:rsidRPr="00B04DC3">
              <w:rPr>
                <w:sz w:val="18"/>
                <w:szCs w:val="18"/>
                <w:vertAlign w:val="superscript"/>
              </w:rPr>
              <w:t>-5</w:t>
            </w:r>
          </w:p>
        </w:tc>
      </w:tr>
      <w:tr w:rsidR="00BB1DA8" w:rsidRPr="00B04DC3">
        <w:trPr>
          <w:trHeight w:val="32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K</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w:t>
            </w:r>
          </w:p>
        </w:tc>
        <w:tc>
          <w:tcPr>
            <w:tcW w:w="1852" w:type="dxa"/>
          </w:tcPr>
          <w:p w:rsidR="00BB1DA8" w:rsidRPr="00B04DC3" w:rsidRDefault="00BB1DA8" w:rsidP="00BB1DA8">
            <w:pPr>
              <w:pStyle w:val="NormalRight"/>
              <w:spacing w:before="40" w:after="80"/>
              <w:jc w:val="center"/>
              <w:rPr>
                <w:sz w:val="18"/>
                <w:szCs w:val="18"/>
              </w:rPr>
            </w:pPr>
            <w:r w:rsidRPr="00B04DC3">
              <w:rPr>
                <w:sz w:val="18"/>
                <w:szCs w:val="18"/>
              </w:rPr>
              <w:t>0.970783</w:t>
            </w:r>
          </w:p>
        </w:tc>
        <w:tc>
          <w:tcPr>
            <w:tcW w:w="1980" w:type="dxa"/>
          </w:tcPr>
          <w:p w:rsidR="00BB1DA8" w:rsidRPr="00B04DC3" w:rsidRDefault="00BB1DA8" w:rsidP="00BB1DA8">
            <w:pPr>
              <w:pStyle w:val="NormalRight"/>
              <w:spacing w:before="40" w:after="80"/>
              <w:jc w:val="center"/>
              <w:rPr>
                <w:sz w:val="18"/>
                <w:szCs w:val="18"/>
              </w:rPr>
            </w:pPr>
            <w:r w:rsidRPr="00B04DC3">
              <w:rPr>
                <w:sz w:val="18"/>
                <w:szCs w:val="18"/>
              </w:rPr>
              <w:t>0.968410</w:t>
            </w:r>
          </w:p>
        </w:tc>
      </w:tr>
      <w:tr w:rsidR="00BB1DA8" w:rsidRPr="00B04DC3">
        <w:trPr>
          <w:trHeight w:val="32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t</w:t>
            </w:r>
            <w:r w:rsidRPr="00B04DC3">
              <w:rPr>
                <w:sz w:val="18"/>
                <w:szCs w:val="18"/>
                <w:vertAlign w:val="subscript"/>
              </w:rPr>
              <w:t>10</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(s)</w:t>
            </w:r>
          </w:p>
        </w:tc>
        <w:tc>
          <w:tcPr>
            <w:tcW w:w="1852" w:type="dxa"/>
          </w:tcPr>
          <w:p w:rsidR="00BB1DA8" w:rsidRPr="00B04DC3" w:rsidRDefault="00BB1DA8" w:rsidP="00BB1DA8">
            <w:pPr>
              <w:pStyle w:val="NormalRight"/>
              <w:spacing w:before="40" w:after="80"/>
              <w:jc w:val="center"/>
              <w:rPr>
                <w:sz w:val="18"/>
                <w:szCs w:val="18"/>
              </w:rPr>
            </w:pPr>
            <w:r w:rsidRPr="00B04DC3">
              <w:rPr>
                <w:sz w:val="18"/>
                <w:szCs w:val="18"/>
              </w:rPr>
              <w:t>0.200945</w:t>
            </w:r>
          </w:p>
        </w:tc>
        <w:tc>
          <w:tcPr>
            <w:tcW w:w="1980" w:type="dxa"/>
          </w:tcPr>
          <w:p w:rsidR="00BB1DA8" w:rsidRPr="00B04DC3" w:rsidRDefault="00BB1DA8" w:rsidP="00BB1DA8">
            <w:pPr>
              <w:pStyle w:val="NormalRight"/>
              <w:spacing w:before="40" w:after="80"/>
              <w:jc w:val="center"/>
              <w:rPr>
                <w:sz w:val="18"/>
                <w:szCs w:val="18"/>
              </w:rPr>
            </w:pPr>
            <w:r w:rsidRPr="00B04DC3">
              <w:rPr>
                <w:sz w:val="18"/>
                <w:szCs w:val="18"/>
              </w:rPr>
              <w:t>0.185523</w:t>
            </w:r>
          </w:p>
        </w:tc>
      </w:tr>
      <w:tr w:rsidR="00BB1DA8" w:rsidRPr="00B04DC3">
        <w:trPr>
          <w:trHeight w:val="33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t</w:t>
            </w:r>
            <w:r w:rsidRPr="00B04DC3">
              <w:rPr>
                <w:sz w:val="18"/>
                <w:szCs w:val="18"/>
                <w:vertAlign w:val="subscript"/>
              </w:rPr>
              <w:t>90</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(s)</w:t>
            </w:r>
          </w:p>
        </w:tc>
        <w:tc>
          <w:tcPr>
            <w:tcW w:w="1852" w:type="dxa"/>
          </w:tcPr>
          <w:p w:rsidR="00BB1DA8" w:rsidRPr="00B04DC3" w:rsidRDefault="00BB1DA8" w:rsidP="00BB1DA8">
            <w:pPr>
              <w:pStyle w:val="NormalRight"/>
              <w:spacing w:before="40" w:after="80"/>
              <w:jc w:val="center"/>
              <w:rPr>
                <w:sz w:val="18"/>
                <w:szCs w:val="18"/>
              </w:rPr>
            </w:pPr>
            <w:r w:rsidRPr="00B04DC3">
              <w:rPr>
                <w:sz w:val="18"/>
                <w:szCs w:val="18"/>
              </w:rPr>
              <w:t>1.276147</w:t>
            </w:r>
          </w:p>
        </w:tc>
        <w:tc>
          <w:tcPr>
            <w:tcW w:w="1980" w:type="dxa"/>
          </w:tcPr>
          <w:p w:rsidR="00BB1DA8" w:rsidRPr="00B04DC3" w:rsidRDefault="00BB1DA8" w:rsidP="00BB1DA8">
            <w:pPr>
              <w:pStyle w:val="NormalRight"/>
              <w:spacing w:before="40" w:after="80"/>
              <w:jc w:val="center"/>
              <w:rPr>
                <w:sz w:val="18"/>
                <w:szCs w:val="18"/>
              </w:rPr>
            </w:pPr>
            <w:r w:rsidRPr="00B04DC3">
              <w:rPr>
                <w:sz w:val="18"/>
                <w:szCs w:val="18"/>
              </w:rPr>
              <w:t>1.179562</w:t>
            </w:r>
          </w:p>
        </w:tc>
      </w:tr>
      <w:tr w:rsidR="00BB1DA8" w:rsidRPr="00B04DC3">
        <w:trPr>
          <w:trHeight w:val="32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t</w:t>
            </w:r>
            <w:r w:rsidRPr="00B04DC3">
              <w:rPr>
                <w:sz w:val="18"/>
                <w:szCs w:val="18"/>
                <w:vertAlign w:val="subscript"/>
              </w:rPr>
              <w:t>F,iter</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(s)</w:t>
            </w:r>
          </w:p>
        </w:tc>
        <w:tc>
          <w:tcPr>
            <w:tcW w:w="1852" w:type="dxa"/>
          </w:tcPr>
          <w:p w:rsidR="00BB1DA8" w:rsidRPr="00B04DC3" w:rsidRDefault="00BB1DA8" w:rsidP="00BB1DA8">
            <w:pPr>
              <w:pStyle w:val="NormalRight"/>
              <w:spacing w:before="40" w:after="80"/>
              <w:jc w:val="center"/>
              <w:rPr>
                <w:sz w:val="18"/>
                <w:szCs w:val="18"/>
              </w:rPr>
            </w:pPr>
            <w:r w:rsidRPr="00B04DC3">
              <w:rPr>
                <w:sz w:val="18"/>
                <w:szCs w:val="18"/>
              </w:rPr>
              <w:t>1.075202</w:t>
            </w:r>
          </w:p>
        </w:tc>
        <w:tc>
          <w:tcPr>
            <w:tcW w:w="1980" w:type="dxa"/>
          </w:tcPr>
          <w:p w:rsidR="00BB1DA8" w:rsidRPr="00B04DC3" w:rsidRDefault="00BB1DA8" w:rsidP="00BB1DA8">
            <w:pPr>
              <w:pStyle w:val="NormalRight"/>
              <w:spacing w:before="40" w:after="80"/>
              <w:jc w:val="center"/>
              <w:rPr>
                <w:sz w:val="18"/>
                <w:szCs w:val="18"/>
              </w:rPr>
            </w:pPr>
            <w:r w:rsidRPr="00B04DC3">
              <w:rPr>
                <w:sz w:val="18"/>
                <w:szCs w:val="18"/>
              </w:rPr>
              <w:t>0.994039</w:t>
            </w:r>
          </w:p>
        </w:tc>
      </w:tr>
      <w:tr w:rsidR="00BB1DA8" w:rsidRPr="00B04DC3">
        <w:trPr>
          <w:trHeight w:val="326"/>
        </w:trPr>
        <w:tc>
          <w:tcPr>
            <w:tcW w:w="1342" w:type="dxa"/>
          </w:tcPr>
          <w:p w:rsidR="00BB1DA8" w:rsidRPr="00B04DC3" w:rsidRDefault="00BB1DA8" w:rsidP="00BB1DA8">
            <w:pPr>
              <w:pStyle w:val="NormalLeft"/>
              <w:spacing w:before="40" w:after="80"/>
              <w:jc w:val="center"/>
              <w:rPr>
                <w:sz w:val="18"/>
                <w:szCs w:val="18"/>
              </w:rPr>
            </w:pPr>
            <w:r w:rsidRPr="00B04DC3">
              <w:rPr>
                <w:sz w:val="18"/>
                <w:szCs w:val="18"/>
              </w:rPr>
              <w:t>Δ</w:t>
            </w:r>
          </w:p>
        </w:tc>
        <w:tc>
          <w:tcPr>
            <w:tcW w:w="1213" w:type="dxa"/>
          </w:tcPr>
          <w:p w:rsidR="00BB1DA8" w:rsidRPr="00B04DC3" w:rsidRDefault="00BB1DA8" w:rsidP="00BB1DA8">
            <w:pPr>
              <w:pStyle w:val="NormalLeft"/>
              <w:spacing w:before="40" w:after="80"/>
              <w:jc w:val="center"/>
              <w:rPr>
                <w:sz w:val="18"/>
                <w:szCs w:val="18"/>
              </w:rPr>
            </w:pPr>
            <w:r w:rsidRPr="00B04DC3">
              <w:rPr>
                <w:sz w:val="18"/>
                <w:szCs w:val="18"/>
              </w:rPr>
              <w:t>(−)</w:t>
            </w:r>
          </w:p>
        </w:tc>
        <w:tc>
          <w:tcPr>
            <w:tcW w:w="1852" w:type="dxa"/>
          </w:tcPr>
          <w:p w:rsidR="00BB1DA8" w:rsidRPr="00B04DC3" w:rsidRDefault="00BB1DA8" w:rsidP="00BB1DA8">
            <w:pPr>
              <w:pStyle w:val="NormalRight"/>
              <w:spacing w:before="40" w:after="80"/>
              <w:jc w:val="center"/>
              <w:rPr>
                <w:sz w:val="18"/>
                <w:szCs w:val="18"/>
              </w:rPr>
            </w:pPr>
            <w:r w:rsidRPr="00B04DC3">
              <w:rPr>
                <w:sz w:val="18"/>
                <w:szCs w:val="18"/>
              </w:rPr>
              <w:t>0.081641</w:t>
            </w:r>
          </w:p>
        </w:tc>
        <w:tc>
          <w:tcPr>
            <w:tcW w:w="1980" w:type="dxa"/>
          </w:tcPr>
          <w:p w:rsidR="00BB1DA8" w:rsidRPr="00B04DC3" w:rsidRDefault="00BB1DA8" w:rsidP="00BB1DA8">
            <w:pPr>
              <w:pStyle w:val="NormalRight"/>
              <w:spacing w:before="40" w:after="80"/>
              <w:jc w:val="center"/>
              <w:rPr>
                <w:sz w:val="18"/>
                <w:szCs w:val="18"/>
              </w:rPr>
            </w:pPr>
            <w:r w:rsidRPr="00B04DC3">
              <w:rPr>
                <w:sz w:val="18"/>
                <w:szCs w:val="18"/>
              </w:rPr>
              <w:t>0.006657</w:t>
            </w:r>
          </w:p>
        </w:tc>
      </w:tr>
      <w:tr w:rsidR="00BB1DA8" w:rsidRPr="00B04DC3" w:rsidTr="0090475A">
        <w:trPr>
          <w:trHeight w:val="336"/>
        </w:trPr>
        <w:tc>
          <w:tcPr>
            <w:tcW w:w="1342" w:type="dxa"/>
            <w:tcBorders>
              <w:bottom w:val="single" w:sz="12" w:space="0" w:color="auto"/>
            </w:tcBorders>
          </w:tcPr>
          <w:p w:rsidR="00BB1DA8" w:rsidRPr="00B04DC3" w:rsidRDefault="00BB1DA8" w:rsidP="00BB1DA8">
            <w:pPr>
              <w:pStyle w:val="NormalLeft"/>
              <w:spacing w:before="40" w:after="80"/>
              <w:jc w:val="center"/>
              <w:rPr>
                <w:sz w:val="18"/>
                <w:szCs w:val="18"/>
              </w:rPr>
            </w:pPr>
            <w:r w:rsidRPr="00B04DC3">
              <w:rPr>
                <w:sz w:val="18"/>
                <w:szCs w:val="18"/>
              </w:rPr>
              <w:t>f</w:t>
            </w:r>
            <w:r w:rsidRPr="00B04DC3">
              <w:rPr>
                <w:sz w:val="18"/>
                <w:szCs w:val="18"/>
                <w:vertAlign w:val="subscript"/>
              </w:rPr>
              <w:t>c,new</w:t>
            </w:r>
          </w:p>
        </w:tc>
        <w:tc>
          <w:tcPr>
            <w:tcW w:w="1213" w:type="dxa"/>
            <w:tcBorders>
              <w:bottom w:val="single" w:sz="12" w:space="0" w:color="auto"/>
            </w:tcBorders>
          </w:tcPr>
          <w:p w:rsidR="00BB1DA8" w:rsidRPr="00B04DC3" w:rsidRDefault="00BB1DA8" w:rsidP="00BB1DA8">
            <w:pPr>
              <w:pStyle w:val="NormalLeft"/>
              <w:spacing w:before="40" w:after="80"/>
              <w:jc w:val="center"/>
              <w:rPr>
                <w:sz w:val="18"/>
                <w:szCs w:val="18"/>
              </w:rPr>
            </w:pPr>
            <w:r w:rsidRPr="00B04DC3">
              <w:rPr>
                <w:sz w:val="18"/>
                <w:szCs w:val="18"/>
              </w:rPr>
              <w:t>(Hz)</w:t>
            </w:r>
          </w:p>
        </w:tc>
        <w:tc>
          <w:tcPr>
            <w:tcW w:w="1852" w:type="dxa"/>
            <w:tcBorders>
              <w:bottom w:val="single" w:sz="12" w:space="0" w:color="auto"/>
            </w:tcBorders>
          </w:tcPr>
          <w:p w:rsidR="00BB1DA8" w:rsidRPr="00B04DC3" w:rsidRDefault="00BB1DA8" w:rsidP="00BB1DA8">
            <w:pPr>
              <w:pStyle w:val="NormalRight"/>
              <w:spacing w:before="40" w:after="80"/>
              <w:jc w:val="center"/>
              <w:rPr>
                <w:sz w:val="18"/>
                <w:szCs w:val="18"/>
              </w:rPr>
            </w:pPr>
            <w:r w:rsidRPr="00B04DC3">
              <w:rPr>
                <w:sz w:val="18"/>
                <w:szCs w:val="18"/>
              </w:rPr>
              <w:t>0.344126</w:t>
            </w:r>
          </w:p>
        </w:tc>
        <w:tc>
          <w:tcPr>
            <w:tcW w:w="1980" w:type="dxa"/>
            <w:tcBorders>
              <w:bottom w:val="single" w:sz="12" w:space="0" w:color="auto"/>
            </w:tcBorders>
          </w:tcPr>
          <w:p w:rsidR="00BB1DA8" w:rsidRPr="00B04DC3" w:rsidRDefault="00BB1DA8" w:rsidP="00BB1DA8">
            <w:pPr>
              <w:pStyle w:val="NormalRight"/>
              <w:spacing w:before="40" w:after="80"/>
              <w:jc w:val="center"/>
              <w:rPr>
                <w:sz w:val="18"/>
                <w:szCs w:val="18"/>
              </w:rPr>
            </w:pPr>
            <w:r w:rsidRPr="00B04DC3">
              <w:rPr>
                <w:sz w:val="18"/>
                <w:szCs w:val="18"/>
              </w:rPr>
              <w:t>0.346417</w:t>
            </w:r>
          </w:p>
        </w:tc>
      </w:tr>
    </w:tbl>
    <w:p w:rsidR="00BB1DA8" w:rsidRPr="00B04DC3" w:rsidRDefault="00BB1DA8" w:rsidP="00BB1DA8">
      <w:pPr>
        <w:pStyle w:val="para"/>
        <w:spacing w:before="240"/>
        <w:ind w:firstLine="0"/>
        <w:rPr>
          <w:lang w:val="en-GB"/>
        </w:rPr>
      </w:pPr>
      <w:r w:rsidRPr="00B04DC3">
        <w:rPr>
          <w:lang w:val="en-GB"/>
        </w:rPr>
        <w:tab/>
        <w:t>Step 7: Final Bessel algorithm:</w:t>
      </w:r>
    </w:p>
    <w:p w:rsidR="00BB1DA8" w:rsidRPr="00B04DC3" w:rsidRDefault="00BB1DA8" w:rsidP="00BB1DA8">
      <w:pPr>
        <w:pStyle w:val="para"/>
        <w:spacing w:before="240"/>
        <w:ind w:firstLine="0"/>
        <w:rPr>
          <w:lang w:val="en-GB"/>
        </w:rPr>
      </w:pPr>
      <w:r w:rsidRPr="00B04DC3">
        <w:rPr>
          <w:lang w:val="en-GB"/>
        </w:rPr>
        <w:tab/>
        <w:t>As soon as the iteration criterion has been met, the final Bessel filter constants and the final Bessel algorithm are calculated according to step 2. In this example, the iteration criterion has been met after the second iteration (Δ= 0.006657 ≤ 0.01). The final algorithm is then used for determining the averaged smoke values (see next paragraph 2.3.</w:t>
      </w:r>
      <w:r w:rsidR="003C4076">
        <w:rPr>
          <w:lang w:val="en-GB"/>
        </w:rPr>
        <w:t xml:space="preserve"> below</w:t>
      </w:r>
      <w:r w:rsidRPr="00B04DC3">
        <w:rPr>
          <w:lang w:val="en-GB"/>
        </w:rPr>
        <w:t>).</w:t>
      </w:r>
    </w:p>
    <w:p w:rsidR="00BB1DA8" w:rsidRPr="00B04DC3" w:rsidRDefault="00BB1DA8" w:rsidP="00BB1DA8">
      <w:pPr>
        <w:pStyle w:val="para"/>
        <w:spacing w:before="240"/>
        <w:ind w:left="2688" w:hanging="420"/>
        <w:rPr>
          <w:spacing w:val="-4"/>
          <w:lang w:val="en-GB"/>
        </w:rPr>
      </w:pPr>
      <w:r w:rsidRPr="00B04DC3">
        <w:rPr>
          <w:spacing w:val="-4"/>
          <w:lang w:val="en-GB"/>
        </w:rPr>
        <w:t>Y</w:t>
      </w:r>
      <w:r w:rsidRPr="00B04DC3">
        <w:rPr>
          <w:spacing w:val="-4"/>
          <w:vertAlign w:val="subscript"/>
          <w:lang w:val="en-GB"/>
        </w:rPr>
        <w:t>i</w:t>
      </w:r>
      <w:r w:rsidRPr="00B04DC3">
        <w:rPr>
          <w:spacing w:val="-4"/>
          <w:lang w:val="en-GB"/>
        </w:rPr>
        <w:t xml:space="preserve"> = Y</w:t>
      </w:r>
      <w:r w:rsidRPr="00B04DC3">
        <w:rPr>
          <w:spacing w:val="-4"/>
          <w:vertAlign w:val="subscript"/>
          <w:lang w:val="en-GB"/>
        </w:rPr>
        <w:t>i−1</w:t>
      </w:r>
      <w:r w:rsidRPr="00B04DC3">
        <w:rPr>
          <w:spacing w:val="-4"/>
          <w:lang w:val="en-GB"/>
        </w:rPr>
        <w:t xml:space="preserve"> + 8.272777</w:t>
      </w:r>
      <w:r w:rsidRPr="00B04DC3">
        <w:rPr>
          <w:spacing w:val="-4"/>
          <w:lang w:val="en-GB"/>
        </w:rPr>
        <w:sym w:font="Symbol" w:char="F0B4"/>
      </w:r>
      <w:r w:rsidRPr="00B04DC3">
        <w:rPr>
          <w:spacing w:val="-4"/>
          <w:lang w:val="en-GB"/>
        </w:rPr>
        <w:t>10</w:t>
      </w:r>
      <w:r w:rsidRPr="00B04DC3">
        <w:rPr>
          <w:spacing w:val="-4"/>
          <w:vertAlign w:val="superscript"/>
          <w:lang w:val="en-GB"/>
        </w:rPr>
        <w:t>-5</w:t>
      </w:r>
      <w:r w:rsidRPr="00B04DC3">
        <w:rPr>
          <w:spacing w:val="-4"/>
          <w:lang w:val="en-GB"/>
        </w:rPr>
        <w:t xml:space="preserve"> </w:t>
      </w:r>
      <w:r w:rsidRPr="00B04DC3">
        <w:rPr>
          <w:spacing w:val="-4"/>
          <w:lang w:val="en-GB"/>
        </w:rPr>
        <w:sym w:font="Symbol" w:char="F0B4"/>
      </w:r>
      <w:r w:rsidRPr="00B04DC3">
        <w:rPr>
          <w:spacing w:val="-4"/>
          <w:lang w:val="en-GB"/>
        </w:rPr>
        <w:t xml:space="preserve"> (S</w:t>
      </w:r>
      <w:r w:rsidRPr="00B04DC3">
        <w:rPr>
          <w:spacing w:val="-4"/>
          <w:vertAlign w:val="subscript"/>
          <w:lang w:val="en-GB"/>
        </w:rPr>
        <w:t>i</w:t>
      </w:r>
      <w:r w:rsidRPr="00B04DC3">
        <w:rPr>
          <w:spacing w:val="-4"/>
          <w:lang w:val="en-GB"/>
        </w:rPr>
        <w:t xml:space="preserve"> + 2 </w:t>
      </w:r>
      <w:r w:rsidRPr="00B04DC3">
        <w:rPr>
          <w:spacing w:val="-4"/>
          <w:lang w:val="en-GB"/>
        </w:rPr>
        <w:sym w:font="Symbol" w:char="F0B4"/>
      </w:r>
      <w:r w:rsidRPr="00B04DC3">
        <w:rPr>
          <w:spacing w:val="-4"/>
          <w:lang w:val="en-GB"/>
        </w:rPr>
        <w:t xml:space="preserve"> S</w:t>
      </w:r>
      <w:r w:rsidRPr="00B04DC3">
        <w:rPr>
          <w:spacing w:val="-4"/>
          <w:vertAlign w:val="subscript"/>
          <w:lang w:val="en-GB"/>
        </w:rPr>
        <w:t>i−1</w:t>
      </w:r>
      <w:r w:rsidRPr="00B04DC3">
        <w:rPr>
          <w:spacing w:val="-4"/>
          <w:lang w:val="en-GB"/>
        </w:rPr>
        <w:t xml:space="preserve"> + S</w:t>
      </w:r>
      <w:r w:rsidRPr="00B04DC3">
        <w:rPr>
          <w:spacing w:val="-4"/>
          <w:vertAlign w:val="subscript"/>
          <w:lang w:val="en-GB"/>
        </w:rPr>
        <w:t>i−2</w:t>
      </w:r>
      <w:r w:rsidRPr="00B04DC3">
        <w:rPr>
          <w:spacing w:val="-4"/>
          <w:lang w:val="en-GB"/>
        </w:rPr>
        <w:t xml:space="preserve"> − 4 </w:t>
      </w:r>
      <w:r w:rsidRPr="00B04DC3">
        <w:rPr>
          <w:spacing w:val="-4"/>
          <w:lang w:val="en-GB"/>
        </w:rPr>
        <w:sym w:font="Symbol" w:char="F0B4"/>
      </w:r>
      <w:r w:rsidRPr="00B04DC3">
        <w:rPr>
          <w:spacing w:val="-4"/>
          <w:lang w:val="en-GB"/>
        </w:rPr>
        <w:t xml:space="preserve"> Y</w:t>
      </w:r>
      <w:r w:rsidRPr="00B04DC3">
        <w:rPr>
          <w:spacing w:val="-4"/>
          <w:vertAlign w:val="subscript"/>
          <w:lang w:val="en-GB"/>
        </w:rPr>
        <w:t>i−2</w:t>
      </w:r>
      <w:r w:rsidRPr="00B04DC3">
        <w:rPr>
          <w:spacing w:val="-4"/>
          <w:lang w:val="en-GB"/>
        </w:rPr>
        <w:t xml:space="preserve">) + 0.968410 </w:t>
      </w:r>
      <w:r w:rsidRPr="00B04DC3">
        <w:rPr>
          <w:spacing w:val="-4"/>
          <w:lang w:val="en-GB"/>
        </w:rPr>
        <w:sym w:font="Symbol" w:char="F0B4"/>
      </w:r>
      <w:r w:rsidRPr="00B04DC3">
        <w:rPr>
          <w:spacing w:val="-4"/>
          <w:lang w:val="en-GB"/>
        </w:rPr>
        <w:br/>
        <w:t>(Y</w:t>
      </w:r>
      <w:r w:rsidRPr="00B04DC3">
        <w:rPr>
          <w:spacing w:val="-4"/>
          <w:vertAlign w:val="subscript"/>
          <w:lang w:val="en-GB"/>
        </w:rPr>
        <w:t>i−1</w:t>
      </w:r>
      <w:r w:rsidRPr="00B04DC3">
        <w:rPr>
          <w:spacing w:val="-4"/>
          <w:lang w:val="en-GB"/>
        </w:rPr>
        <w:t xml:space="preserve"> − Y</w:t>
      </w:r>
      <w:r w:rsidRPr="00B04DC3">
        <w:rPr>
          <w:spacing w:val="-4"/>
          <w:vertAlign w:val="subscript"/>
          <w:lang w:val="en-GB"/>
        </w:rPr>
        <w:t>i−2</w:t>
      </w:r>
      <w:r w:rsidRPr="00B04DC3">
        <w:rPr>
          <w:spacing w:val="-4"/>
          <w:lang w:val="en-GB"/>
        </w:rPr>
        <w:t>)</w:t>
      </w:r>
    </w:p>
    <w:p w:rsidR="00BB1DA8" w:rsidRPr="00B04DC3" w:rsidRDefault="00BB1DA8" w:rsidP="00BB1DA8">
      <w:pPr>
        <w:pStyle w:val="Heading1"/>
        <w:keepNext/>
        <w:keepLines/>
      </w:pPr>
      <w:r w:rsidRPr="00B04DC3">
        <w:br w:type="page"/>
      </w:r>
      <w:bookmarkStart w:id="741" w:name="_Toc399940069"/>
      <w:bookmarkStart w:id="742" w:name="_Toc423599653"/>
      <w:bookmarkStart w:id="743" w:name="_Toc423611061"/>
      <w:r w:rsidRPr="00B04DC3">
        <w:t>Table B</w:t>
      </w:r>
      <w:bookmarkEnd w:id="741"/>
      <w:bookmarkEnd w:id="742"/>
      <w:bookmarkEnd w:id="743"/>
    </w:p>
    <w:p w:rsidR="00BB1DA8" w:rsidRPr="00B04DC3" w:rsidRDefault="00BB1DA8" w:rsidP="00BB1DA8">
      <w:pPr>
        <w:pStyle w:val="Heading1"/>
        <w:keepNext/>
        <w:keepLines/>
        <w:rPr>
          <w:b/>
        </w:rPr>
      </w:pPr>
      <w:bookmarkStart w:id="744" w:name="_Toc399940070"/>
      <w:bookmarkStart w:id="745" w:name="_Toc423599654"/>
      <w:bookmarkStart w:id="746" w:name="_Toc423611062"/>
      <w:r w:rsidRPr="00B04DC3">
        <w:rPr>
          <w:b/>
        </w:rPr>
        <w:t>Values of step input signal and Bessel filtered output signal for the first and second iteration cycle</w:t>
      </w:r>
      <w:bookmarkEnd w:id="744"/>
      <w:bookmarkEnd w:id="745"/>
      <w:bookmarkEnd w:id="746"/>
    </w:p>
    <w:tbl>
      <w:tblPr>
        <w:tblW w:w="8505" w:type="dxa"/>
        <w:tblInd w:w="1134" w:type="dxa"/>
        <w:tblBorders>
          <w:top w:val="single" w:sz="2" w:space="0" w:color="auto"/>
          <w:left w:val="single" w:sz="4" w:space="0" w:color="auto"/>
          <w:bottom w:val="single" w:sz="2" w:space="0" w:color="auto"/>
          <w:right w:val="single" w:sz="4" w:space="0" w:color="auto"/>
          <w:insideV w:val="single" w:sz="2" w:space="0" w:color="auto"/>
        </w:tblBorders>
        <w:tblLayout w:type="fixed"/>
        <w:tblLook w:val="0000" w:firstRow="0" w:lastRow="0" w:firstColumn="0" w:lastColumn="0" w:noHBand="0" w:noVBand="0"/>
      </w:tblPr>
      <w:tblGrid>
        <w:gridCol w:w="1616"/>
        <w:gridCol w:w="1599"/>
        <w:gridCol w:w="1972"/>
        <w:gridCol w:w="1617"/>
        <w:gridCol w:w="1701"/>
      </w:tblGrid>
      <w:tr w:rsidR="00BB1DA8" w:rsidRPr="00B04DC3">
        <w:trPr>
          <w:cantSplit/>
          <w:trHeight w:val="66"/>
          <w:tblHeader/>
        </w:trPr>
        <w:tc>
          <w:tcPr>
            <w:tcW w:w="1616" w:type="dxa"/>
            <w:vMerge w:val="restart"/>
            <w:tcBorders>
              <w:top w:val="single" w:sz="4" w:space="0" w:color="auto"/>
              <w:bottom w:val="single" w:sz="4" w:space="0" w:color="auto"/>
              <w:right w:val="single" w:sz="4" w:space="0" w:color="auto"/>
            </w:tcBorders>
            <w:tcMar>
              <w:left w:w="0" w:type="dxa"/>
              <w:right w:w="0" w:type="dxa"/>
            </w:tcMar>
          </w:tcPr>
          <w:p w:rsidR="00BB1DA8" w:rsidRPr="00B04DC3" w:rsidRDefault="00BB1DA8" w:rsidP="00BB1DA8">
            <w:pPr>
              <w:pStyle w:val="NormalCentered"/>
              <w:numPr>
                <w:ilvl w:val="0"/>
                <w:numId w:val="0"/>
              </w:numPr>
              <w:spacing w:before="80" w:after="80"/>
              <w:rPr>
                <w:i/>
                <w:sz w:val="16"/>
                <w:szCs w:val="16"/>
              </w:rPr>
            </w:pPr>
            <w:r w:rsidRPr="00B04DC3">
              <w:rPr>
                <w:i/>
                <w:sz w:val="16"/>
                <w:szCs w:val="16"/>
              </w:rPr>
              <w:t>Index i</w:t>
            </w:r>
          </w:p>
          <w:p w:rsidR="00BB1DA8" w:rsidRPr="00B04DC3" w:rsidRDefault="00BB1DA8" w:rsidP="00BB1DA8">
            <w:pPr>
              <w:pStyle w:val="NormalCentered"/>
              <w:numPr>
                <w:ilvl w:val="0"/>
                <w:numId w:val="0"/>
              </w:numPr>
              <w:spacing w:before="80" w:after="80"/>
              <w:rPr>
                <w:i/>
                <w:sz w:val="16"/>
                <w:szCs w:val="16"/>
              </w:rPr>
            </w:pPr>
            <w:r w:rsidRPr="00B04DC3">
              <w:rPr>
                <w:i/>
                <w:sz w:val="16"/>
                <w:szCs w:val="16"/>
              </w:rPr>
              <w:t>[−]</w:t>
            </w:r>
          </w:p>
        </w:tc>
        <w:tc>
          <w:tcPr>
            <w:tcW w:w="1599"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B1DA8" w:rsidRPr="00B04DC3" w:rsidRDefault="00BB1DA8" w:rsidP="00BB1DA8">
            <w:pPr>
              <w:pStyle w:val="NormalCentered"/>
              <w:numPr>
                <w:ilvl w:val="0"/>
                <w:numId w:val="0"/>
              </w:numPr>
              <w:spacing w:before="80" w:after="80"/>
              <w:rPr>
                <w:i/>
                <w:sz w:val="16"/>
                <w:szCs w:val="16"/>
              </w:rPr>
            </w:pPr>
            <w:r w:rsidRPr="00B04DC3">
              <w:rPr>
                <w:i/>
                <w:sz w:val="16"/>
                <w:szCs w:val="16"/>
              </w:rPr>
              <w:t>Time</w:t>
            </w:r>
          </w:p>
          <w:p w:rsidR="00BB1DA8" w:rsidRPr="00B04DC3" w:rsidRDefault="00BB1DA8" w:rsidP="00BB1DA8">
            <w:pPr>
              <w:pStyle w:val="NormalCentered"/>
              <w:numPr>
                <w:ilvl w:val="0"/>
                <w:numId w:val="0"/>
              </w:numPr>
              <w:spacing w:before="80" w:after="80"/>
              <w:rPr>
                <w:i/>
                <w:sz w:val="16"/>
                <w:szCs w:val="16"/>
              </w:rPr>
            </w:pPr>
            <w:r w:rsidRPr="00B04DC3">
              <w:rPr>
                <w:i/>
                <w:sz w:val="16"/>
                <w:szCs w:val="16"/>
              </w:rPr>
              <w:t>[s]</w:t>
            </w:r>
          </w:p>
        </w:tc>
        <w:tc>
          <w:tcPr>
            <w:tcW w:w="197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rsidR="00BB1DA8" w:rsidRPr="00B04DC3" w:rsidRDefault="00BB1DA8" w:rsidP="00BB1DA8">
            <w:pPr>
              <w:pStyle w:val="NormalCentered"/>
              <w:numPr>
                <w:ilvl w:val="0"/>
                <w:numId w:val="0"/>
              </w:numPr>
              <w:spacing w:before="80" w:after="80"/>
              <w:rPr>
                <w:i/>
                <w:sz w:val="16"/>
                <w:szCs w:val="16"/>
              </w:rPr>
            </w:pPr>
            <w:r w:rsidRPr="00B04DC3">
              <w:rPr>
                <w:i/>
                <w:sz w:val="16"/>
                <w:szCs w:val="16"/>
              </w:rPr>
              <w:t xml:space="preserve">Step </w:t>
            </w:r>
            <w:r w:rsidR="003C4076">
              <w:rPr>
                <w:i/>
                <w:sz w:val="16"/>
                <w:szCs w:val="16"/>
              </w:rPr>
              <w:t>i</w:t>
            </w:r>
            <w:r w:rsidR="003C4076" w:rsidRPr="00B04DC3">
              <w:rPr>
                <w:i/>
                <w:sz w:val="16"/>
                <w:szCs w:val="16"/>
              </w:rPr>
              <w:t xml:space="preserve">nput </w:t>
            </w:r>
            <w:r w:rsidR="003C4076">
              <w:rPr>
                <w:i/>
                <w:sz w:val="16"/>
                <w:szCs w:val="16"/>
              </w:rPr>
              <w:t>s</w:t>
            </w:r>
            <w:r w:rsidR="003C4076" w:rsidRPr="00B04DC3">
              <w:rPr>
                <w:i/>
                <w:sz w:val="16"/>
                <w:szCs w:val="16"/>
              </w:rPr>
              <w:t xml:space="preserve">ignal </w:t>
            </w:r>
            <w:r w:rsidRPr="00B04DC3">
              <w:rPr>
                <w:i/>
                <w:sz w:val="16"/>
                <w:szCs w:val="16"/>
              </w:rPr>
              <w:t>S</w:t>
            </w:r>
            <w:r w:rsidRPr="00B04DC3">
              <w:rPr>
                <w:i/>
                <w:sz w:val="16"/>
                <w:szCs w:val="16"/>
                <w:vertAlign w:val="subscript"/>
              </w:rPr>
              <w:t>i</w:t>
            </w:r>
          </w:p>
          <w:p w:rsidR="00BB1DA8" w:rsidRPr="00B04DC3" w:rsidRDefault="00BB1DA8" w:rsidP="00BB1DA8">
            <w:pPr>
              <w:pStyle w:val="NormalCentered"/>
              <w:numPr>
                <w:ilvl w:val="0"/>
                <w:numId w:val="0"/>
              </w:numPr>
              <w:spacing w:before="80" w:after="80"/>
              <w:rPr>
                <w:i/>
                <w:sz w:val="16"/>
                <w:szCs w:val="16"/>
              </w:rPr>
            </w:pPr>
            <w:r w:rsidRPr="00B04DC3">
              <w:rPr>
                <w:i/>
                <w:sz w:val="16"/>
                <w:szCs w:val="16"/>
              </w:rPr>
              <w:t>[−]</w:t>
            </w:r>
          </w:p>
        </w:tc>
        <w:tc>
          <w:tcPr>
            <w:tcW w:w="3318" w:type="dxa"/>
            <w:gridSpan w:val="2"/>
            <w:tcBorders>
              <w:top w:val="single" w:sz="4" w:space="0" w:color="auto"/>
              <w:left w:val="single" w:sz="4" w:space="0" w:color="auto"/>
              <w:bottom w:val="single" w:sz="4" w:space="0" w:color="auto"/>
            </w:tcBorders>
            <w:tcMar>
              <w:left w:w="0" w:type="dxa"/>
              <w:right w:w="0" w:type="dxa"/>
            </w:tcMar>
          </w:tcPr>
          <w:p w:rsidR="00BB1DA8" w:rsidRPr="00B04DC3" w:rsidRDefault="00BB1DA8" w:rsidP="003C4076">
            <w:pPr>
              <w:pStyle w:val="NormalCentered"/>
              <w:numPr>
                <w:ilvl w:val="0"/>
                <w:numId w:val="0"/>
              </w:numPr>
              <w:spacing w:before="80" w:after="80"/>
              <w:rPr>
                <w:i/>
                <w:sz w:val="16"/>
                <w:szCs w:val="16"/>
              </w:rPr>
            </w:pPr>
            <w:r w:rsidRPr="00B04DC3">
              <w:rPr>
                <w:i/>
                <w:sz w:val="16"/>
                <w:szCs w:val="16"/>
              </w:rPr>
              <w:t xml:space="preserve">Filtered </w:t>
            </w:r>
            <w:r w:rsidR="003C4076">
              <w:rPr>
                <w:i/>
                <w:sz w:val="16"/>
                <w:szCs w:val="16"/>
              </w:rPr>
              <w:t>o</w:t>
            </w:r>
            <w:r w:rsidR="003C4076" w:rsidRPr="00B04DC3">
              <w:rPr>
                <w:i/>
                <w:sz w:val="16"/>
                <w:szCs w:val="16"/>
              </w:rPr>
              <w:t xml:space="preserve">utput </w:t>
            </w:r>
            <w:r w:rsidR="003C4076">
              <w:rPr>
                <w:i/>
                <w:sz w:val="16"/>
                <w:szCs w:val="16"/>
              </w:rPr>
              <w:t>s</w:t>
            </w:r>
            <w:r w:rsidR="003C4076" w:rsidRPr="00B04DC3">
              <w:rPr>
                <w:i/>
                <w:sz w:val="16"/>
                <w:szCs w:val="16"/>
              </w:rPr>
              <w:t xml:space="preserve">ignal </w:t>
            </w:r>
            <w:r w:rsidRPr="00B04DC3">
              <w:rPr>
                <w:i/>
                <w:sz w:val="16"/>
                <w:szCs w:val="16"/>
              </w:rPr>
              <w:t>Y</w:t>
            </w:r>
            <w:r w:rsidRPr="00B04DC3">
              <w:rPr>
                <w:i/>
                <w:sz w:val="16"/>
                <w:szCs w:val="16"/>
                <w:vertAlign w:val="subscript"/>
              </w:rPr>
              <w:t>i</w:t>
            </w:r>
            <w:r w:rsidRPr="00B04DC3">
              <w:rPr>
                <w:i/>
                <w:sz w:val="16"/>
                <w:szCs w:val="16"/>
              </w:rPr>
              <w:t xml:space="preserve"> [−]</w:t>
            </w:r>
          </w:p>
        </w:tc>
      </w:tr>
      <w:tr w:rsidR="00BB1DA8" w:rsidRPr="00B04DC3" w:rsidTr="0090475A">
        <w:trPr>
          <w:cantSplit/>
          <w:tblHeader/>
        </w:trPr>
        <w:tc>
          <w:tcPr>
            <w:tcW w:w="1616" w:type="dxa"/>
            <w:vMerge/>
            <w:tcBorders>
              <w:top w:val="single" w:sz="4" w:space="0" w:color="auto"/>
              <w:bottom w:val="single" w:sz="12" w:space="0" w:color="auto"/>
              <w:right w:val="single" w:sz="4" w:space="0" w:color="auto"/>
            </w:tcBorders>
            <w:tcMar>
              <w:left w:w="0" w:type="dxa"/>
              <w:right w:w="0" w:type="dxa"/>
            </w:tcMar>
          </w:tcPr>
          <w:p w:rsidR="00BB1DA8" w:rsidRPr="00B04DC3" w:rsidRDefault="00BB1DA8" w:rsidP="00BB1DA8">
            <w:pPr>
              <w:spacing w:before="80" w:after="80"/>
              <w:jc w:val="center"/>
              <w:rPr>
                <w:i/>
                <w:snapToGrid w:val="0"/>
                <w:sz w:val="16"/>
                <w:szCs w:val="16"/>
              </w:rPr>
            </w:pPr>
          </w:p>
        </w:tc>
        <w:tc>
          <w:tcPr>
            <w:tcW w:w="1599" w:type="dxa"/>
            <w:vMerge/>
            <w:tcBorders>
              <w:top w:val="single" w:sz="4" w:space="0" w:color="auto"/>
              <w:left w:val="single" w:sz="4" w:space="0" w:color="auto"/>
              <w:bottom w:val="single" w:sz="12" w:space="0" w:color="auto"/>
              <w:right w:val="single" w:sz="4" w:space="0" w:color="auto"/>
            </w:tcBorders>
            <w:tcMar>
              <w:left w:w="0" w:type="dxa"/>
              <w:right w:w="0" w:type="dxa"/>
            </w:tcMar>
          </w:tcPr>
          <w:p w:rsidR="00BB1DA8" w:rsidRPr="00B04DC3" w:rsidRDefault="00BB1DA8" w:rsidP="00BB1DA8">
            <w:pPr>
              <w:spacing w:before="80" w:after="80"/>
              <w:jc w:val="center"/>
              <w:rPr>
                <w:i/>
                <w:snapToGrid w:val="0"/>
                <w:sz w:val="16"/>
                <w:szCs w:val="16"/>
              </w:rPr>
            </w:pPr>
          </w:p>
        </w:tc>
        <w:tc>
          <w:tcPr>
            <w:tcW w:w="1972" w:type="dxa"/>
            <w:vMerge/>
            <w:tcBorders>
              <w:top w:val="single" w:sz="4" w:space="0" w:color="auto"/>
              <w:left w:val="single" w:sz="4" w:space="0" w:color="auto"/>
              <w:bottom w:val="single" w:sz="12" w:space="0" w:color="auto"/>
              <w:right w:val="single" w:sz="4" w:space="0" w:color="auto"/>
            </w:tcBorders>
            <w:tcMar>
              <w:left w:w="0" w:type="dxa"/>
              <w:right w:w="0" w:type="dxa"/>
            </w:tcMar>
          </w:tcPr>
          <w:p w:rsidR="00BB1DA8" w:rsidRPr="00B04DC3" w:rsidRDefault="00BB1DA8" w:rsidP="00BB1DA8">
            <w:pPr>
              <w:spacing w:before="80" w:after="80"/>
              <w:jc w:val="center"/>
              <w:rPr>
                <w:i/>
                <w:snapToGrid w:val="0"/>
                <w:sz w:val="16"/>
                <w:szCs w:val="16"/>
              </w:rPr>
            </w:pPr>
          </w:p>
        </w:tc>
        <w:tc>
          <w:tcPr>
            <w:tcW w:w="1617" w:type="dxa"/>
            <w:tcBorders>
              <w:top w:val="single" w:sz="4" w:space="0" w:color="auto"/>
              <w:left w:val="single" w:sz="4" w:space="0" w:color="auto"/>
              <w:bottom w:val="single" w:sz="12" w:space="0" w:color="auto"/>
              <w:right w:val="single" w:sz="4" w:space="0" w:color="auto"/>
            </w:tcBorders>
            <w:tcMar>
              <w:left w:w="0" w:type="dxa"/>
              <w:right w:w="0" w:type="dxa"/>
            </w:tcMar>
          </w:tcPr>
          <w:p w:rsidR="00BB1DA8" w:rsidRPr="00B04DC3" w:rsidRDefault="00BB1DA8" w:rsidP="00BB1DA8">
            <w:pPr>
              <w:pStyle w:val="NormalCentered"/>
              <w:numPr>
                <w:ilvl w:val="0"/>
                <w:numId w:val="0"/>
              </w:numPr>
              <w:spacing w:before="80" w:after="80"/>
              <w:rPr>
                <w:i/>
                <w:sz w:val="16"/>
                <w:szCs w:val="16"/>
              </w:rPr>
            </w:pPr>
            <w:r w:rsidRPr="00B04DC3">
              <w:rPr>
                <w:i/>
                <w:sz w:val="16"/>
                <w:szCs w:val="16"/>
              </w:rPr>
              <w:t>1. Iteration</w:t>
            </w:r>
          </w:p>
        </w:tc>
        <w:tc>
          <w:tcPr>
            <w:tcW w:w="1701" w:type="dxa"/>
            <w:tcBorders>
              <w:top w:val="single" w:sz="4" w:space="0" w:color="auto"/>
              <w:left w:val="single" w:sz="4" w:space="0" w:color="auto"/>
              <w:bottom w:val="single" w:sz="12" w:space="0" w:color="auto"/>
            </w:tcBorders>
            <w:tcMar>
              <w:left w:w="0" w:type="dxa"/>
              <w:right w:w="0" w:type="dxa"/>
            </w:tcMar>
          </w:tcPr>
          <w:p w:rsidR="00BB1DA8" w:rsidRPr="00B04DC3" w:rsidRDefault="00BB1DA8" w:rsidP="00BB1DA8">
            <w:pPr>
              <w:pStyle w:val="NormalCentered"/>
              <w:numPr>
                <w:ilvl w:val="0"/>
                <w:numId w:val="0"/>
              </w:numPr>
              <w:spacing w:before="80" w:after="80"/>
              <w:rPr>
                <w:i/>
                <w:sz w:val="16"/>
                <w:szCs w:val="16"/>
              </w:rPr>
            </w:pPr>
            <w:r w:rsidRPr="00B04DC3">
              <w:rPr>
                <w:i/>
                <w:sz w:val="16"/>
                <w:szCs w:val="16"/>
              </w:rPr>
              <w:t>2. Iteration</w:t>
            </w:r>
          </w:p>
        </w:tc>
      </w:tr>
      <w:tr w:rsidR="00BB1DA8" w:rsidRPr="00B04DC3" w:rsidTr="0090475A">
        <w:tc>
          <w:tcPr>
            <w:tcW w:w="1616" w:type="dxa"/>
            <w:tcBorders>
              <w:top w:val="single" w:sz="12" w:space="0" w:color="auto"/>
            </w:tcBorders>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− 2</w:t>
            </w:r>
          </w:p>
        </w:tc>
        <w:tc>
          <w:tcPr>
            <w:tcW w:w="1599" w:type="dxa"/>
            <w:tcBorders>
              <w:top w:val="single" w:sz="12" w:space="0" w:color="auto"/>
            </w:tcBorders>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− 0.013333</w:t>
            </w:r>
          </w:p>
        </w:tc>
        <w:tc>
          <w:tcPr>
            <w:tcW w:w="1972" w:type="dxa"/>
            <w:tcBorders>
              <w:top w:val="single" w:sz="12" w:space="0" w:color="auto"/>
            </w:tcBorders>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w:t>
            </w:r>
          </w:p>
        </w:tc>
        <w:tc>
          <w:tcPr>
            <w:tcW w:w="1617" w:type="dxa"/>
            <w:tcBorders>
              <w:top w:val="single" w:sz="12" w:space="0" w:color="auto"/>
            </w:tcBorders>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0.000000</w:t>
            </w:r>
          </w:p>
        </w:tc>
        <w:tc>
          <w:tcPr>
            <w:tcW w:w="1701" w:type="dxa"/>
            <w:tcBorders>
              <w:top w:val="single" w:sz="12" w:space="0" w:color="auto"/>
            </w:tcBorders>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0.000000</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− 1</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− 0.006667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0.000000</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0.000000</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0.000071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0.000083</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0.000352</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0.000411</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0.013333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0.000908</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0.001060</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0.020000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0.001731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0.002019</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4</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0.026667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0.002813</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0.003278</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0.033333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0.004145</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0.004828</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w:t>
            </w:r>
          </w:p>
        </w:tc>
        <w:tc>
          <w:tcPr>
            <w:tcW w:w="1972" w:type="dxa"/>
            <w:tcMar>
              <w:left w:w="0" w:type="dxa"/>
              <w:right w:w="0" w:type="dxa"/>
            </w:tcMar>
          </w:tcPr>
          <w:p w:rsidR="00BB1DA8" w:rsidRPr="00B04DC3" w:rsidRDefault="00BB1DA8" w:rsidP="00BB1DA8">
            <w:pPr>
              <w:jc w:val="center"/>
            </w:pPr>
            <w:r w:rsidRPr="00B04DC3">
              <w:rPr>
                <w:sz w:val="18"/>
                <w:szCs w:val="18"/>
              </w:rPr>
              <w:t>~</w:t>
            </w:r>
          </w:p>
        </w:tc>
        <w:tc>
          <w:tcPr>
            <w:tcW w:w="1617" w:type="dxa"/>
            <w:tcMar>
              <w:left w:w="0" w:type="dxa"/>
              <w:right w:w="0" w:type="dxa"/>
            </w:tcMar>
          </w:tcPr>
          <w:p w:rsidR="00BB1DA8" w:rsidRPr="00B04DC3" w:rsidRDefault="00BB1DA8" w:rsidP="00BB1DA8">
            <w:pPr>
              <w:jc w:val="center"/>
            </w:pPr>
            <w:r w:rsidRPr="00B04DC3">
              <w:rPr>
                <w:sz w:val="18"/>
                <w:szCs w:val="18"/>
              </w:rPr>
              <w:t>~</w:t>
            </w:r>
          </w:p>
        </w:tc>
        <w:tc>
          <w:tcPr>
            <w:tcW w:w="1701" w:type="dxa"/>
            <w:tcMar>
              <w:left w:w="0" w:type="dxa"/>
              <w:right w:w="0" w:type="dxa"/>
            </w:tcMar>
          </w:tcPr>
          <w:p w:rsidR="00BB1DA8" w:rsidRPr="00B04DC3" w:rsidRDefault="00BB1DA8" w:rsidP="00BB1DA8">
            <w:pPr>
              <w:jc w:val="center"/>
            </w:pPr>
            <w:r w:rsidRPr="00B04DC3">
              <w:rPr>
                <w:sz w:val="18"/>
                <w:szCs w:val="18"/>
              </w:rPr>
              <w:t>~</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24</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0.160000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0.067877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0.077876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0.166667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0.072816</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0.083476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26</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0.173333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0.077874</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0.089205</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27</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0.180000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0.083047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0.095056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28</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0.186667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0.088331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0.101024</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29</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0.193333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0.093719</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0.107102</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30</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0.200000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0.099208</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0.113286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31</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0.206667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0.104794</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0.119570</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32</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0.213333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0.110471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0.125949</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33</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0.220000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0.116236</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0.132418</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34</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0.226667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0.122085</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0.138972</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0.233333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0.128013</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0.145605</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36</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0.240000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0.134016</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0.152314</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37</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0.246667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0.140091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0.159094</w:t>
            </w:r>
          </w:p>
        </w:tc>
      </w:tr>
      <w:tr w:rsidR="00BB1DA8" w:rsidRPr="00B04DC3">
        <w:tc>
          <w:tcPr>
            <w:tcW w:w="1616" w:type="dxa"/>
            <w:tcMar>
              <w:left w:w="0" w:type="dxa"/>
              <w:right w:w="0" w:type="dxa"/>
            </w:tcMar>
          </w:tcPr>
          <w:p w:rsidR="00BB1DA8" w:rsidRPr="00B04DC3" w:rsidRDefault="00BB1DA8" w:rsidP="00BB1DA8">
            <w:pPr>
              <w:jc w:val="center"/>
            </w:pPr>
            <w:r w:rsidRPr="00B04DC3">
              <w:rPr>
                <w:sz w:val="18"/>
                <w:szCs w:val="18"/>
              </w:rPr>
              <w:t>~</w:t>
            </w:r>
          </w:p>
        </w:tc>
        <w:tc>
          <w:tcPr>
            <w:tcW w:w="1599" w:type="dxa"/>
            <w:tcMar>
              <w:left w:w="0" w:type="dxa"/>
              <w:right w:w="0" w:type="dxa"/>
            </w:tcMar>
          </w:tcPr>
          <w:p w:rsidR="00BB1DA8" w:rsidRPr="00B04DC3" w:rsidRDefault="00BB1DA8" w:rsidP="00BB1DA8">
            <w:pPr>
              <w:jc w:val="center"/>
            </w:pPr>
            <w:r w:rsidRPr="00B04DC3">
              <w:rPr>
                <w:sz w:val="18"/>
                <w:szCs w:val="18"/>
              </w:rPr>
              <w:t>~</w:t>
            </w:r>
          </w:p>
        </w:tc>
        <w:tc>
          <w:tcPr>
            <w:tcW w:w="1972" w:type="dxa"/>
            <w:tcMar>
              <w:left w:w="0" w:type="dxa"/>
              <w:right w:w="0" w:type="dxa"/>
            </w:tcMar>
          </w:tcPr>
          <w:p w:rsidR="00BB1DA8" w:rsidRPr="00B04DC3" w:rsidRDefault="00BB1DA8" w:rsidP="00BB1DA8">
            <w:pPr>
              <w:jc w:val="center"/>
            </w:pPr>
            <w:r w:rsidRPr="00B04DC3">
              <w:rPr>
                <w:sz w:val="18"/>
                <w:szCs w:val="18"/>
              </w:rPr>
              <w:t>~</w:t>
            </w:r>
          </w:p>
        </w:tc>
        <w:tc>
          <w:tcPr>
            <w:tcW w:w="1617" w:type="dxa"/>
            <w:tcMar>
              <w:left w:w="0" w:type="dxa"/>
              <w:right w:w="0" w:type="dxa"/>
            </w:tcMar>
          </w:tcPr>
          <w:p w:rsidR="00BB1DA8" w:rsidRPr="00B04DC3" w:rsidRDefault="00BB1DA8" w:rsidP="00BB1DA8">
            <w:pPr>
              <w:jc w:val="center"/>
            </w:pPr>
            <w:r w:rsidRPr="00B04DC3">
              <w:rPr>
                <w:sz w:val="18"/>
                <w:szCs w:val="18"/>
              </w:rPr>
              <w:t>~</w:t>
            </w:r>
          </w:p>
        </w:tc>
        <w:tc>
          <w:tcPr>
            <w:tcW w:w="1701" w:type="dxa"/>
            <w:tcMar>
              <w:left w:w="0" w:type="dxa"/>
              <w:right w:w="0" w:type="dxa"/>
            </w:tcMar>
          </w:tcPr>
          <w:p w:rsidR="00BB1DA8" w:rsidRPr="00B04DC3" w:rsidRDefault="00BB1DA8" w:rsidP="00BB1DA8">
            <w:pPr>
              <w:jc w:val="center"/>
            </w:pPr>
            <w:r w:rsidRPr="00B04DC3">
              <w:rPr>
                <w:sz w:val="18"/>
                <w:szCs w:val="18"/>
              </w:rPr>
              <w:t>~</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175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1.166667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0.862416</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0.895701</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176</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1.173333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0.864968</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0.897941</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177</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1.180000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0.867484</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0.900145</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178</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1.186667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0.869964</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0.902312</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179</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1.193333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0.872410</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0.904445</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180</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1.200000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0.874821</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0.906542</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181</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1.206667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0.877197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0.908605</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182</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1.213333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0.879540</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0.910633</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183</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1.220000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0.881849</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0.912628</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184</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1.226667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0.884125</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0.914589</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1.233333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0.886367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0.916517</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186</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1.240000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0.888577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0.918412</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187</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1.246667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0.890755</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0.920276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188</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1.253333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0.892900</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0.922107</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189</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1.260000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0.895014</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0.923907</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190</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1.266667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0.897096</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0.925676</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191</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1.273333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0.899147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0.927414</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192</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1.280000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0.901168</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0.929121</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193</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1.286667</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0.903158</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0.930799</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194</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1.293333</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0.905117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0.932448</w:t>
            </w:r>
          </w:p>
        </w:tc>
      </w:tr>
      <w:tr w:rsidR="00BB1DA8" w:rsidRPr="00B04DC3">
        <w:tc>
          <w:tcPr>
            <w:tcW w:w="1616"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195</w:t>
            </w:r>
          </w:p>
        </w:tc>
        <w:tc>
          <w:tcPr>
            <w:tcW w:w="1599"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1.300000</w:t>
            </w:r>
          </w:p>
        </w:tc>
        <w:tc>
          <w:tcPr>
            <w:tcW w:w="1972"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1</w:t>
            </w:r>
          </w:p>
        </w:tc>
        <w:tc>
          <w:tcPr>
            <w:tcW w:w="1617"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0.907047</w:t>
            </w:r>
          </w:p>
        </w:tc>
        <w:tc>
          <w:tcPr>
            <w:tcW w:w="1701" w:type="dxa"/>
            <w:tcMar>
              <w:left w:w="0" w:type="dxa"/>
              <w:right w:w="0" w:type="dxa"/>
            </w:tcMar>
          </w:tcPr>
          <w:p w:rsidR="00BB1DA8" w:rsidRPr="00B04DC3" w:rsidRDefault="00BB1DA8" w:rsidP="00BB1DA8">
            <w:pPr>
              <w:pStyle w:val="NormalRight"/>
              <w:spacing w:before="0" w:after="0" w:line="240" w:lineRule="atLeast"/>
              <w:jc w:val="center"/>
              <w:rPr>
                <w:sz w:val="18"/>
                <w:szCs w:val="18"/>
              </w:rPr>
            </w:pPr>
            <w:r w:rsidRPr="00B04DC3">
              <w:rPr>
                <w:sz w:val="18"/>
                <w:szCs w:val="18"/>
              </w:rPr>
              <w:t>0.934067</w:t>
            </w:r>
          </w:p>
        </w:tc>
      </w:tr>
      <w:tr w:rsidR="00BB1DA8" w:rsidRPr="00B04DC3" w:rsidTr="0090475A">
        <w:tc>
          <w:tcPr>
            <w:tcW w:w="1616" w:type="dxa"/>
            <w:tcBorders>
              <w:bottom w:val="single" w:sz="12" w:space="0" w:color="auto"/>
            </w:tcBorders>
            <w:tcMar>
              <w:left w:w="0" w:type="dxa"/>
              <w:right w:w="0" w:type="dxa"/>
            </w:tcMar>
          </w:tcPr>
          <w:p w:rsidR="00BB1DA8" w:rsidRPr="00B04DC3" w:rsidRDefault="00BB1DA8" w:rsidP="00BB1DA8">
            <w:pPr>
              <w:jc w:val="center"/>
            </w:pPr>
            <w:r w:rsidRPr="00B04DC3">
              <w:rPr>
                <w:sz w:val="18"/>
                <w:szCs w:val="18"/>
              </w:rPr>
              <w:t>~</w:t>
            </w:r>
          </w:p>
        </w:tc>
        <w:tc>
          <w:tcPr>
            <w:tcW w:w="1599" w:type="dxa"/>
            <w:tcBorders>
              <w:bottom w:val="single" w:sz="12" w:space="0" w:color="auto"/>
            </w:tcBorders>
            <w:tcMar>
              <w:left w:w="0" w:type="dxa"/>
              <w:right w:w="0" w:type="dxa"/>
            </w:tcMar>
          </w:tcPr>
          <w:p w:rsidR="00BB1DA8" w:rsidRPr="00B04DC3" w:rsidRDefault="00BB1DA8" w:rsidP="00BB1DA8">
            <w:pPr>
              <w:jc w:val="center"/>
            </w:pPr>
            <w:r w:rsidRPr="00B04DC3">
              <w:rPr>
                <w:sz w:val="18"/>
                <w:szCs w:val="18"/>
              </w:rPr>
              <w:t>~</w:t>
            </w:r>
          </w:p>
        </w:tc>
        <w:tc>
          <w:tcPr>
            <w:tcW w:w="1972" w:type="dxa"/>
            <w:tcBorders>
              <w:bottom w:val="single" w:sz="12" w:space="0" w:color="auto"/>
            </w:tcBorders>
            <w:tcMar>
              <w:left w:w="0" w:type="dxa"/>
              <w:right w:w="0" w:type="dxa"/>
            </w:tcMar>
          </w:tcPr>
          <w:p w:rsidR="00BB1DA8" w:rsidRPr="00B04DC3" w:rsidRDefault="00BB1DA8" w:rsidP="00BB1DA8">
            <w:pPr>
              <w:jc w:val="center"/>
            </w:pPr>
            <w:r w:rsidRPr="00B04DC3">
              <w:rPr>
                <w:sz w:val="18"/>
                <w:szCs w:val="18"/>
              </w:rPr>
              <w:t>~</w:t>
            </w:r>
          </w:p>
        </w:tc>
        <w:tc>
          <w:tcPr>
            <w:tcW w:w="1617" w:type="dxa"/>
            <w:tcBorders>
              <w:bottom w:val="single" w:sz="12" w:space="0" w:color="auto"/>
            </w:tcBorders>
            <w:tcMar>
              <w:left w:w="0" w:type="dxa"/>
              <w:right w:w="0" w:type="dxa"/>
            </w:tcMar>
          </w:tcPr>
          <w:p w:rsidR="00BB1DA8" w:rsidRPr="00B04DC3" w:rsidRDefault="00BB1DA8" w:rsidP="00BB1DA8">
            <w:pPr>
              <w:jc w:val="center"/>
            </w:pPr>
            <w:r w:rsidRPr="00B04DC3">
              <w:rPr>
                <w:sz w:val="18"/>
                <w:szCs w:val="18"/>
              </w:rPr>
              <w:t>~</w:t>
            </w:r>
          </w:p>
        </w:tc>
        <w:tc>
          <w:tcPr>
            <w:tcW w:w="1701" w:type="dxa"/>
            <w:tcBorders>
              <w:bottom w:val="single" w:sz="12" w:space="0" w:color="auto"/>
            </w:tcBorders>
            <w:tcMar>
              <w:left w:w="0" w:type="dxa"/>
              <w:right w:w="0" w:type="dxa"/>
            </w:tcMar>
          </w:tcPr>
          <w:p w:rsidR="00BB1DA8" w:rsidRPr="00B04DC3" w:rsidRDefault="00BB1DA8" w:rsidP="00BB1DA8">
            <w:pPr>
              <w:jc w:val="center"/>
            </w:pPr>
            <w:r w:rsidRPr="00B04DC3">
              <w:rPr>
                <w:sz w:val="18"/>
                <w:szCs w:val="18"/>
              </w:rPr>
              <w:t>~</w:t>
            </w:r>
          </w:p>
        </w:tc>
      </w:tr>
    </w:tbl>
    <w:p w:rsidR="00BB1DA8" w:rsidRPr="00B04DC3" w:rsidRDefault="00BB1DA8" w:rsidP="00BB1DA8">
      <w:pPr>
        <w:pStyle w:val="para"/>
        <w:keepNext/>
        <w:rPr>
          <w:lang w:val="en-GB"/>
        </w:rPr>
      </w:pPr>
      <w:r w:rsidRPr="00B04DC3">
        <w:rPr>
          <w:lang w:val="en-GB"/>
        </w:rPr>
        <w:t>2.3.</w:t>
      </w:r>
      <w:r w:rsidRPr="00B04DC3">
        <w:rPr>
          <w:lang w:val="en-GB"/>
        </w:rPr>
        <w:tab/>
        <w:t>Calculation of the smoke values</w:t>
      </w:r>
    </w:p>
    <w:p w:rsidR="00BB1DA8" w:rsidRPr="00B04DC3" w:rsidRDefault="00BB1DA8" w:rsidP="00BB1DA8">
      <w:pPr>
        <w:pStyle w:val="para"/>
        <w:keepNext/>
        <w:rPr>
          <w:lang w:val="en-GB"/>
        </w:rPr>
      </w:pPr>
      <w:r w:rsidRPr="00B04DC3">
        <w:rPr>
          <w:lang w:val="en-GB"/>
        </w:rPr>
        <w:tab/>
        <w:t>In the scheme below the general procedure of determining the final smoke value is presented.</w:t>
      </w:r>
    </w:p>
    <w:p w:rsidR="00BB1DA8" w:rsidRPr="00B04DC3" w:rsidRDefault="00A905B7" w:rsidP="00BB1DA8">
      <w:pPr>
        <w:pStyle w:val="NormalCentered"/>
        <w:keepNext/>
        <w:keepLines/>
        <w:numPr>
          <w:ilvl w:val="0"/>
          <w:numId w:val="0"/>
        </w:numPr>
        <w:spacing w:before="0" w:after="0"/>
      </w:pPr>
      <w:r>
        <w:pict>
          <v:shape id="_x0000_i1382" type="#_x0000_t75" style="width:5in;height:577.2pt" fillcolor="window">
            <v:imagedata r:id="rId566" o:title=""/>
          </v:shape>
        </w:pict>
      </w:r>
    </w:p>
    <w:p w:rsidR="00BB1DA8" w:rsidRPr="00B04DC3" w:rsidRDefault="00BB1DA8" w:rsidP="00BB1DA8">
      <w:pPr>
        <w:pStyle w:val="para"/>
        <w:ind w:firstLine="0"/>
        <w:rPr>
          <w:lang w:val="en-GB"/>
        </w:rPr>
      </w:pPr>
      <w:r w:rsidRPr="00B04DC3">
        <w:rPr>
          <w:lang w:val="en-GB"/>
        </w:rPr>
        <w:br w:type="page"/>
      </w:r>
      <w:r w:rsidRPr="00B04DC3">
        <w:rPr>
          <w:lang w:val="en-GB"/>
        </w:rPr>
        <w:tab/>
        <w:t xml:space="preserve">In </w:t>
      </w:r>
      <w:r w:rsidR="00313D4E" w:rsidRPr="00B04DC3">
        <w:rPr>
          <w:lang w:val="en-GB"/>
        </w:rPr>
        <w:t>Figure</w:t>
      </w:r>
      <w:r w:rsidRPr="00B04DC3">
        <w:rPr>
          <w:lang w:val="en-GB"/>
        </w:rPr>
        <w:t xml:space="preserve"> b, the traces of the measured raw opacity signal, and of the unfiltered and filtered light absorption coefficients (k-value) of the first load step of an ELR-Test are shown, and the maximum value Y</w:t>
      </w:r>
      <w:r w:rsidRPr="00B04DC3">
        <w:rPr>
          <w:vertAlign w:val="subscript"/>
          <w:lang w:val="en-GB"/>
        </w:rPr>
        <w:t>max1,A</w:t>
      </w:r>
      <w:r w:rsidRPr="00B04DC3">
        <w:rPr>
          <w:lang w:val="en-GB"/>
        </w:rPr>
        <w:t xml:space="preserve"> (peak) of the filtered k trace is indicated. Correspondingly, table C contains the numerical values of index i, time (sampling rate of 150 Hz), raw opacity, unfiltered k and filtered k. Filtering was conducted using the constants of the Bessel algorithm designed in paragraph 2.2. of this annex. Due to the large amount of data, only those sections of the smoke trace around the beginning and the peak are tabled.</w:t>
      </w:r>
    </w:p>
    <w:p w:rsidR="00BB1DA8" w:rsidRPr="00B04DC3" w:rsidRDefault="00BB1DA8" w:rsidP="00BB1DA8">
      <w:pPr>
        <w:pStyle w:val="Heading1"/>
        <w:keepNext/>
        <w:keepLines/>
      </w:pPr>
      <w:bookmarkStart w:id="747" w:name="_Toc399940071"/>
      <w:bookmarkStart w:id="748" w:name="_Toc423599655"/>
      <w:bookmarkStart w:id="749" w:name="_Toc423611063"/>
      <w:r w:rsidRPr="00B04DC3">
        <w:t>Figure b</w:t>
      </w:r>
      <w:bookmarkEnd w:id="747"/>
      <w:bookmarkEnd w:id="748"/>
      <w:bookmarkEnd w:id="749"/>
    </w:p>
    <w:p w:rsidR="00BB1DA8" w:rsidRPr="00B04DC3" w:rsidRDefault="00BB1DA8" w:rsidP="00BB1DA8">
      <w:pPr>
        <w:pStyle w:val="Heading1"/>
        <w:keepNext/>
        <w:keepLines/>
        <w:rPr>
          <w:b/>
        </w:rPr>
      </w:pPr>
      <w:bookmarkStart w:id="750" w:name="_Toc399940072"/>
      <w:bookmarkStart w:id="751" w:name="_Toc423599656"/>
      <w:bookmarkStart w:id="752" w:name="_Toc423611064"/>
      <w:r w:rsidRPr="00B04DC3">
        <w:rPr>
          <w:b/>
        </w:rPr>
        <w:t>Traces of measured opacity N, of unfiltered smoke k and of filtered smoke k</w:t>
      </w:r>
      <w:bookmarkEnd w:id="750"/>
      <w:bookmarkEnd w:id="751"/>
      <w:bookmarkEnd w:id="752"/>
    </w:p>
    <w:p w:rsidR="00BB1DA8" w:rsidRPr="00B04DC3" w:rsidRDefault="00A905B7" w:rsidP="00BB1DA8">
      <w:pPr>
        <w:pStyle w:val="NormalCentered"/>
        <w:numPr>
          <w:ilvl w:val="0"/>
          <w:numId w:val="0"/>
        </w:numPr>
        <w:spacing w:before="0" w:after="0"/>
        <w:ind w:left="284"/>
      </w:pPr>
      <w:r>
        <w:pict>
          <v:shape id="_x0000_i1383" type="#_x0000_t75" style="width:401.4pt;height:225.6pt" fillcolor="window">
            <v:imagedata r:id="rId567" o:title=""/>
          </v:shape>
        </w:pict>
      </w:r>
    </w:p>
    <w:p w:rsidR="00BB1DA8" w:rsidRPr="00B04DC3" w:rsidRDefault="00BB1DA8" w:rsidP="00BB1DA8">
      <w:pPr>
        <w:pStyle w:val="para"/>
        <w:spacing w:before="240"/>
        <w:ind w:firstLine="0"/>
        <w:rPr>
          <w:lang w:val="en-GB"/>
        </w:rPr>
      </w:pPr>
      <w:r w:rsidRPr="00B04DC3">
        <w:rPr>
          <w:lang w:val="en-GB"/>
        </w:rPr>
        <w:tab/>
        <w:t>The peak value (i = 272) is calculated assuming the following data of table C. All other individual smoke values are calculated in the same way. For starting the algorithm, S</w:t>
      </w:r>
      <w:r w:rsidRPr="00B04DC3">
        <w:rPr>
          <w:vertAlign w:val="subscript"/>
          <w:lang w:val="en-GB"/>
        </w:rPr>
        <w:t>−1</w:t>
      </w:r>
      <w:r w:rsidRPr="00B04DC3">
        <w:rPr>
          <w:lang w:val="en-GB"/>
        </w:rPr>
        <w:t>, S</w:t>
      </w:r>
      <w:r w:rsidRPr="00B04DC3">
        <w:rPr>
          <w:vertAlign w:val="subscript"/>
          <w:lang w:val="en-GB"/>
        </w:rPr>
        <w:t>−2</w:t>
      </w:r>
      <w:r w:rsidRPr="00B04DC3">
        <w:rPr>
          <w:lang w:val="en-GB"/>
        </w:rPr>
        <w:t>, Y</w:t>
      </w:r>
      <w:r w:rsidRPr="00B04DC3">
        <w:rPr>
          <w:vertAlign w:val="subscript"/>
          <w:lang w:val="en-GB"/>
        </w:rPr>
        <w:t>−1</w:t>
      </w:r>
      <w:r w:rsidRPr="00B04DC3">
        <w:rPr>
          <w:lang w:val="en-GB"/>
        </w:rPr>
        <w:t xml:space="preserve"> and Y</w:t>
      </w:r>
      <w:r w:rsidRPr="00B04DC3">
        <w:rPr>
          <w:vertAlign w:val="subscript"/>
          <w:lang w:val="en-GB"/>
        </w:rPr>
        <w:t>−2</w:t>
      </w:r>
      <w:r w:rsidRPr="00B04DC3">
        <w:rPr>
          <w:lang w:val="en-GB"/>
        </w:rPr>
        <w:t xml:space="preserve"> are set to zero.</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1239"/>
      </w:tblGrid>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L</w:t>
            </w:r>
            <w:r w:rsidRPr="00B04DC3">
              <w:rPr>
                <w:sz w:val="20"/>
                <w:vertAlign w:val="subscript"/>
              </w:rPr>
              <w:t>A</w:t>
            </w:r>
            <w:r w:rsidRPr="00B04DC3">
              <w:rPr>
                <w:sz w:val="20"/>
              </w:rPr>
              <w:t xml:space="preserve"> (m)</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0.430</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Index i</w:t>
            </w:r>
          </w:p>
        </w:tc>
        <w:tc>
          <w:tcPr>
            <w:tcW w:w="1239" w:type="dxa"/>
          </w:tcPr>
          <w:p w:rsidR="00BB1DA8" w:rsidRPr="00B04DC3" w:rsidRDefault="00BB1DA8" w:rsidP="00BB1DA8">
            <w:pPr>
              <w:pStyle w:val="NormalRight"/>
              <w:tabs>
                <w:tab w:val="left" w:pos="567"/>
                <w:tab w:val="left" w:pos="1134"/>
                <w:tab w:val="left" w:pos="1701"/>
              </w:tabs>
              <w:spacing w:before="40" w:after="40"/>
              <w:ind w:left="567" w:hanging="567"/>
              <w:rPr>
                <w:sz w:val="20"/>
              </w:rPr>
            </w:pPr>
            <w:r w:rsidRPr="00B04DC3">
              <w:rPr>
                <w:sz w:val="20"/>
              </w:rPr>
              <w:t>272</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N ( per cent)</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16.783</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S</w:t>
            </w:r>
            <w:r w:rsidRPr="00B04DC3">
              <w:rPr>
                <w:sz w:val="20"/>
                <w:vertAlign w:val="subscript"/>
              </w:rPr>
              <w:t>271</w:t>
            </w:r>
            <w:r w:rsidRPr="00B04DC3">
              <w:rPr>
                <w:sz w:val="20"/>
              </w:rPr>
              <w:t xml:space="preserve"> (m</w:t>
            </w:r>
            <w:r w:rsidRPr="00B04DC3">
              <w:rPr>
                <w:sz w:val="20"/>
                <w:vertAlign w:val="superscript"/>
              </w:rPr>
              <w:t>−1</w:t>
            </w:r>
            <w:r w:rsidRPr="00B04DC3">
              <w:rPr>
                <w:sz w:val="20"/>
              </w:rPr>
              <w:t>)</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0.427392</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S</w:t>
            </w:r>
            <w:r w:rsidRPr="00B04DC3">
              <w:rPr>
                <w:sz w:val="20"/>
                <w:vertAlign w:val="subscript"/>
              </w:rPr>
              <w:t>270</w:t>
            </w:r>
            <w:r w:rsidRPr="00B04DC3">
              <w:rPr>
                <w:sz w:val="20"/>
              </w:rPr>
              <w:t xml:space="preserve"> (m</w:t>
            </w:r>
            <w:r w:rsidRPr="00B04DC3">
              <w:rPr>
                <w:sz w:val="20"/>
                <w:vertAlign w:val="superscript"/>
              </w:rPr>
              <w:t>−1</w:t>
            </w:r>
            <w:r w:rsidRPr="00B04DC3">
              <w:rPr>
                <w:sz w:val="20"/>
              </w:rPr>
              <w:t>)</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0.427532</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Y</w:t>
            </w:r>
            <w:r w:rsidRPr="00B04DC3">
              <w:rPr>
                <w:sz w:val="20"/>
                <w:vertAlign w:val="subscript"/>
              </w:rPr>
              <w:t>271</w:t>
            </w:r>
            <w:r w:rsidRPr="00B04DC3">
              <w:rPr>
                <w:sz w:val="20"/>
              </w:rPr>
              <w:t xml:space="preserve"> (m</w:t>
            </w:r>
            <w:r w:rsidRPr="00B04DC3">
              <w:rPr>
                <w:sz w:val="20"/>
                <w:vertAlign w:val="superscript"/>
              </w:rPr>
              <w:t>−1</w:t>
            </w:r>
            <w:r w:rsidRPr="00B04DC3">
              <w:rPr>
                <w:sz w:val="20"/>
              </w:rPr>
              <w:t>)</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0.542383</w:t>
            </w:r>
          </w:p>
        </w:tc>
      </w:tr>
      <w:tr w:rsidR="00BB1DA8" w:rsidRPr="00B04DC3">
        <w:tc>
          <w:tcPr>
            <w:tcW w:w="1454" w:type="dxa"/>
          </w:tcPr>
          <w:p w:rsidR="00BB1DA8" w:rsidRPr="00B04DC3" w:rsidRDefault="00BB1DA8" w:rsidP="00BB1DA8">
            <w:pPr>
              <w:pStyle w:val="NormalLeft"/>
              <w:tabs>
                <w:tab w:val="left" w:pos="567"/>
                <w:tab w:val="left" w:pos="1134"/>
                <w:tab w:val="left" w:pos="1701"/>
              </w:tabs>
              <w:spacing w:before="40" w:after="40"/>
              <w:ind w:left="567" w:hanging="567"/>
              <w:rPr>
                <w:sz w:val="20"/>
              </w:rPr>
            </w:pPr>
            <w:r w:rsidRPr="00B04DC3">
              <w:rPr>
                <w:sz w:val="20"/>
              </w:rPr>
              <w:t>Y</w:t>
            </w:r>
            <w:r w:rsidRPr="00B04DC3">
              <w:rPr>
                <w:sz w:val="20"/>
                <w:vertAlign w:val="subscript"/>
              </w:rPr>
              <w:t>270</w:t>
            </w:r>
            <w:r w:rsidRPr="00B04DC3">
              <w:rPr>
                <w:sz w:val="20"/>
              </w:rPr>
              <w:t xml:space="preserve"> (m</w:t>
            </w:r>
            <w:r w:rsidRPr="00B04DC3">
              <w:rPr>
                <w:sz w:val="20"/>
                <w:vertAlign w:val="superscript"/>
              </w:rPr>
              <w:t>−1</w:t>
            </w:r>
            <w:r w:rsidRPr="00B04DC3">
              <w:rPr>
                <w:sz w:val="20"/>
              </w:rPr>
              <w:t>)</w:t>
            </w:r>
          </w:p>
        </w:tc>
        <w:tc>
          <w:tcPr>
            <w:tcW w:w="1239" w:type="dxa"/>
          </w:tcPr>
          <w:p w:rsidR="00BB1DA8" w:rsidRPr="00B04DC3" w:rsidRDefault="00BB1DA8" w:rsidP="00BB1DA8">
            <w:pPr>
              <w:pStyle w:val="NormalLeft"/>
              <w:tabs>
                <w:tab w:val="left" w:pos="567"/>
                <w:tab w:val="left" w:pos="1134"/>
                <w:tab w:val="left" w:pos="1701"/>
              </w:tabs>
              <w:spacing w:before="40" w:after="40"/>
              <w:ind w:left="567" w:hanging="567"/>
              <w:jc w:val="right"/>
              <w:rPr>
                <w:sz w:val="20"/>
              </w:rPr>
            </w:pPr>
            <w:r w:rsidRPr="00B04DC3">
              <w:rPr>
                <w:sz w:val="20"/>
              </w:rPr>
              <w:t>0.542337</w:t>
            </w:r>
          </w:p>
        </w:tc>
      </w:tr>
    </w:tbl>
    <w:p w:rsidR="00BB1DA8" w:rsidRPr="00B04DC3" w:rsidRDefault="00BB1DA8" w:rsidP="008B1316">
      <w:pPr>
        <w:pStyle w:val="para"/>
        <w:spacing w:before="120"/>
        <w:ind w:firstLine="0"/>
        <w:rPr>
          <w:lang w:val="en-GB"/>
        </w:rPr>
      </w:pPr>
      <w:r w:rsidRPr="00B04DC3">
        <w:rPr>
          <w:i/>
          <w:lang w:val="en-GB"/>
        </w:rPr>
        <w:tab/>
      </w:r>
      <w:r w:rsidRPr="00B04DC3">
        <w:rPr>
          <w:lang w:val="en-GB"/>
        </w:rPr>
        <w:t>Calculation of the k-value (Annex 4A, Appendix 1, paragraph 7.3.1.):</w:t>
      </w:r>
    </w:p>
    <w:p w:rsidR="00BB1DA8" w:rsidRPr="00B04DC3" w:rsidRDefault="00BB1DA8" w:rsidP="008B1316">
      <w:pPr>
        <w:pStyle w:val="para"/>
        <w:spacing w:before="120"/>
        <w:ind w:firstLine="0"/>
        <w:rPr>
          <w:vertAlign w:val="superscript"/>
          <w:lang w:val="en-GB"/>
        </w:rPr>
      </w:pPr>
      <w:r w:rsidRPr="00B04DC3">
        <w:rPr>
          <w:lang w:val="en-GB"/>
        </w:rPr>
        <w:tab/>
        <w:t xml:space="preserve">k = − (1/0.430) </w:t>
      </w:r>
      <w:r w:rsidRPr="00B04DC3">
        <w:rPr>
          <w:lang w:val="en-GB"/>
        </w:rPr>
        <w:sym w:font="Symbol" w:char="F0B4"/>
      </w:r>
      <w:r w:rsidRPr="00B04DC3">
        <w:rPr>
          <w:lang w:val="en-GB"/>
        </w:rPr>
        <w:t xml:space="preserve"> ln (1 − (16.783/100)) = 0.427252 m</w:t>
      </w:r>
      <w:r w:rsidRPr="00B04DC3">
        <w:rPr>
          <w:vertAlign w:val="superscript"/>
          <w:lang w:val="en-GB"/>
        </w:rPr>
        <w:t>− 1</w:t>
      </w:r>
    </w:p>
    <w:p w:rsidR="00BB1DA8" w:rsidRPr="00B04DC3" w:rsidRDefault="00BB1DA8" w:rsidP="008B1316">
      <w:pPr>
        <w:pStyle w:val="para"/>
        <w:spacing w:before="120"/>
        <w:ind w:firstLine="0"/>
        <w:rPr>
          <w:lang w:val="en-GB"/>
        </w:rPr>
      </w:pPr>
      <w:r w:rsidRPr="00B04DC3">
        <w:rPr>
          <w:lang w:val="en-GB"/>
        </w:rPr>
        <w:tab/>
        <w:t>This value corresponds to S</w:t>
      </w:r>
      <w:r w:rsidRPr="00B04DC3">
        <w:rPr>
          <w:vertAlign w:val="subscript"/>
          <w:lang w:val="en-GB"/>
        </w:rPr>
        <w:t>272</w:t>
      </w:r>
      <w:r w:rsidRPr="00B04DC3">
        <w:rPr>
          <w:lang w:val="en-GB"/>
        </w:rPr>
        <w:t xml:space="preserve"> in the following equation.</w:t>
      </w:r>
    </w:p>
    <w:p w:rsidR="00BB1DA8" w:rsidRPr="00B04DC3" w:rsidRDefault="00BB1DA8" w:rsidP="008B1316">
      <w:pPr>
        <w:pStyle w:val="para"/>
        <w:spacing w:before="120"/>
        <w:ind w:firstLine="0"/>
        <w:rPr>
          <w:lang w:val="en-GB"/>
        </w:rPr>
      </w:pPr>
      <w:r w:rsidRPr="00B04DC3">
        <w:rPr>
          <w:i/>
          <w:lang w:val="en-GB"/>
        </w:rPr>
        <w:tab/>
      </w:r>
      <w:r w:rsidRPr="00B04DC3">
        <w:rPr>
          <w:lang w:val="en-GB"/>
        </w:rPr>
        <w:t>Calculation of Bessel averaged smoke (Annex 4A, Appendix 1, paragraph 7.3.2.):</w:t>
      </w:r>
    </w:p>
    <w:p w:rsidR="00BB1DA8" w:rsidRPr="00B04DC3" w:rsidRDefault="00BB1DA8" w:rsidP="008B1316">
      <w:pPr>
        <w:pStyle w:val="para"/>
        <w:spacing w:before="120"/>
        <w:ind w:firstLine="0"/>
        <w:rPr>
          <w:lang w:val="en-GB"/>
        </w:rPr>
      </w:pPr>
      <w:r w:rsidRPr="00B04DC3">
        <w:rPr>
          <w:lang w:val="en-GB"/>
        </w:rPr>
        <w:tab/>
        <w:t>In the following equation, the Bessel constants of the previous paragraph 2.2. are used. The actual unfiltered k-value, as calculated above, corresponds to S</w:t>
      </w:r>
      <w:r w:rsidRPr="00B04DC3">
        <w:rPr>
          <w:vertAlign w:val="subscript"/>
          <w:lang w:val="en-GB"/>
        </w:rPr>
        <w:t>272</w:t>
      </w:r>
      <w:r w:rsidRPr="00B04DC3">
        <w:rPr>
          <w:lang w:val="en-GB"/>
        </w:rPr>
        <w:t xml:space="preserve"> (S</w:t>
      </w:r>
      <w:r w:rsidRPr="00B04DC3">
        <w:rPr>
          <w:vertAlign w:val="subscript"/>
          <w:lang w:val="en-GB"/>
        </w:rPr>
        <w:t>i</w:t>
      </w:r>
      <w:r w:rsidRPr="00B04DC3">
        <w:rPr>
          <w:lang w:val="en-GB"/>
        </w:rPr>
        <w:t>). S</w:t>
      </w:r>
      <w:r w:rsidRPr="00B04DC3">
        <w:rPr>
          <w:vertAlign w:val="subscript"/>
          <w:lang w:val="en-GB"/>
        </w:rPr>
        <w:t>271</w:t>
      </w:r>
      <w:r w:rsidRPr="00B04DC3">
        <w:rPr>
          <w:lang w:val="en-GB"/>
        </w:rPr>
        <w:t xml:space="preserve"> (S</w:t>
      </w:r>
      <w:r w:rsidRPr="00B04DC3">
        <w:rPr>
          <w:vertAlign w:val="subscript"/>
          <w:lang w:val="en-GB"/>
        </w:rPr>
        <w:t>i-1</w:t>
      </w:r>
      <w:r w:rsidRPr="00B04DC3">
        <w:rPr>
          <w:lang w:val="en-GB"/>
        </w:rPr>
        <w:t>) and S</w:t>
      </w:r>
      <w:r w:rsidRPr="00B04DC3">
        <w:rPr>
          <w:vertAlign w:val="subscript"/>
          <w:lang w:val="en-GB"/>
        </w:rPr>
        <w:t>270</w:t>
      </w:r>
      <w:r w:rsidRPr="00B04DC3">
        <w:rPr>
          <w:lang w:val="en-GB"/>
        </w:rPr>
        <w:t xml:space="preserve"> (S</w:t>
      </w:r>
      <w:r w:rsidRPr="00B04DC3">
        <w:rPr>
          <w:vertAlign w:val="subscript"/>
          <w:lang w:val="en-GB"/>
        </w:rPr>
        <w:t>i-2</w:t>
      </w:r>
      <w:r w:rsidRPr="00B04DC3">
        <w:rPr>
          <w:lang w:val="en-GB"/>
        </w:rPr>
        <w:t>) are the two preceding unfiltered k-values, Y</w:t>
      </w:r>
      <w:r w:rsidRPr="00B04DC3">
        <w:rPr>
          <w:vertAlign w:val="subscript"/>
          <w:lang w:val="en-GB"/>
        </w:rPr>
        <w:t>271</w:t>
      </w:r>
      <w:r w:rsidRPr="00B04DC3">
        <w:rPr>
          <w:lang w:val="en-GB"/>
        </w:rPr>
        <w:t xml:space="preserve"> (Y</w:t>
      </w:r>
      <w:r w:rsidRPr="00B04DC3">
        <w:rPr>
          <w:vertAlign w:val="subscript"/>
          <w:lang w:val="en-GB"/>
        </w:rPr>
        <w:t>i-1</w:t>
      </w:r>
      <w:r w:rsidRPr="00B04DC3">
        <w:rPr>
          <w:lang w:val="en-GB"/>
        </w:rPr>
        <w:t>) and Y</w:t>
      </w:r>
      <w:r w:rsidRPr="00B04DC3">
        <w:rPr>
          <w:vertAlign w:val="subscript"/>
          <w:lang w:val="en-GB"/>
        </w:rPr>
        <w:t>270</w:t>
      </w:r>
      <w:r w:rsidRPr="00B04DC3">
        <w:rPr>
          <w:lang w:val="en-GB"/>
        </w:rPr>
        <w:t xml:space="preserve"> (Y</w:t>
      </w:r>
      <w:r w:rsidRPr="00B04DC3">
        <w:rPr>
          <w:vertAlign w:val="subscript"/>
          <w:lang w:val="en-GB"/>
        </w:rPr>
        <w:t>i-2</w:t>
      </w:r>
      <w:r w:rsidRPr="00B04DC3">
        <w:rPr>
          <w:lang w:val="en-GB"/>
        </w:rPr>
        <w:t>) are the two preceding filtered k-values.</w:t>
      </w:r>
    </w:p>
    <w:p w:rsidR="00BB1DA8" w:rsidRPr="00B04DC3" w:rsidRDefault="00BB1DA8" w:rsidP="008B1316">
      <w:pPr>
        <w:pStyle w:val="para"/>
        <w:tabs>
          <w:tab w:val="left" w:pos="3119"/>
        </w:tabs>
        <w:spacing w:before="120"/>
        <w:ind w:left="3402"/>
        <w:rPr>
          <w:lang w:val="en-GB"/>
        </w:rPr>
      </w:pPr>
      <w:r w:rsidRPr="00B04DC3">
        <w:rPr>
          <w:lang w:val="en-GB"/>
        </w:rPr>
        <w:t>Y</w:t>
      </w:r>
      <w:r w:rsidRPr="00B04DC3">
        <w:rPr>
          <w:vertAlign w:val="subscript"/>
          <w:lang w:val="en-GB"/>
        </w:rPr>
        <w:t>272</w:t>
      </w:r>
      <w:r w:rsidRPr="00B04DC3">
        <w:rPr>
          <w:vertAlign w:val="subscript"/>
          <w:lang w:val="en-GB"/>
        </w:rPr>
        <w:tab/>
      </w:r>
      <w:r w:rsidRPr="00B04DC3">
        <w:rPr>
          <w:lang w:val="en-GB"/>
        </w:rPr>
        <w:t>=</w:t>
      </w:r>
      <w:r w:rsidRPr="00B04DC3">
        <w:rPr>
          <w:lang w:val="en-GB"/>
        </w:rPr>
        <w:tab/>
        <w:t>0.542383 + 8.272777</w:t>
      </w:r>
      <w:r w:rsidRPr="00B04DC3">
        <w:rPr>
          <w:lang w:val="en-GB"/>
        </w:rPr>
        <w:sym w:font="Symbol" w:char="F0B4"/>
      </w:r>
      <w:r w:rsidRPr="00B04DC3">
        <w:rPr>
          <w:lang w:val="en-GB"/>
        </w:rPr>
        <w:t>10</w:t>
      </w:r>
      <w:r w:rsidRPr="00B04DC3">
        <w:rPr>
          <w:vertAlign w:val="superscript"/>
          <w:lang w:val="en-GB"/>
        </w:rPr>
        <w:t>-5</w:t>
      </w:r>
      <w:r w:rsidRPr="00B04DC3">
        <w:rPr>
          <w:lang w:val="en-GB"/>
        </w:rPr>
        <w:t xml:space="preserve"> </w:t>
      </w:r>
      <w:r w:rsidRPr="00B04DC3">
        <w:rPr>
          <w:lang w:val="en-GB"/>
        </w:rPr>
        <w:sym w:font="Symbol" w:char="F0B4"/>
      </w:r>
      <w:r w:rsidRPr="00B04DC3">
        <w:rPr>
          <w:lang w:val="en-GB"/>
        </w:rPr>
        <w:t xml:space="preserve"> (0.427252 + 2 </w:t>
      </w:r>
      <w:r w:rsidRPr="00B04DC3">
        <w:rPr>
          <w:lang w:val="en-GB"/>
        </w:rPr>
        <w:sym w:font="Symbol" w:char="F0B4"/>
      </w:r>
      <w:r w:rsidRPr="00B04DC3">
        <w:rPr>
          <w:lang w:val="en-GB"/>
        </w:rPr>
        <w:t xml:space="preserve"> 0.427392 + 0.427532 − 4 </w:t>
      </w:r>
      <w:r w:rsidRPr="00B04DC3">
        <w:rPr>
          <w:lang w:val="en-GB"/>
        </w:rPr>
        <w:sym w:font="Symbol" w:char="F0B4"/>
      </w:r>
      <w:r w:rsidRPr="00B04DC3">
        <w:rPr>
          <w:lang w:val="en-GB"/>
        </w:rPr>
        <w:t xml:space="preserve"> 0.542337) + 0.968410 </w:t>
      </w:r>
      <w:r w:rsidRPr="00B04DC3">
        <w:rPr>
          <w:lang w:val="en-GB"/>
        </w:rPr>
        <w:sym w:font="Symbol" w:char="F0B4"/>
      </w:r>
      <w:r w:rsidRPr="00B04DC3">
        <w:rPr>
          <w:lang w:val="en-GB"/>
        </w:rPr>
        <w:t xml:space="preserve"> (0.542383 − 0.542337) =</w:t>
      </w:r>
      <w:r w:rsidRPr="00B04DC3">
        <w:rPr>
          <w:lang w:val="en-GB"/>
        </w:rPr>
        <w:tab/>
        <w:t>0.542389 m</w:t>
      </w:r>
      <w:r w:rsidRPr="00B04DC3">
        <w:rPr>
          <w:vertAlign w:val="superscript"/>
          <w:lang w:val="en-GB"/>
        </w:rPr>
        <w:t>−1</w:t>
      </w:r>
    </w:p>
    <w:p w:rsidR="00BB1DA8" w:rsidRPr="00B04DC3" w:rsidRDefault="00BB1DA8" w:rsidP="008B1316">
      <w:pPr>
        <w:pStyle w:val="para"/>
        <w:spacing w:before="120"/>
        <w:ind w:firstLine="0"/>
        <w:rPr>
          <w:lang w:val="en-GB"/>
        </w:rPr>
      </w:pPr>
      <w:r w:rsidRPr="00B04DC3">
        <w:rPr>
          <w:lang w:val="en-GB"/>
        </w:rPr>
        <w:tab/>
        <w:t>This value corresponds to Y</w:t>
      </w:r>
      <w:r w:rsidRPr="00B04DC3">
        <w:rPr>
          <w:vertAlign w:val="subscript"/>
          <w:lang w:val="en-GB"/>
        </w:rPr>
        <w:t>max1,A</w:t>
      </w:r>
      <w:r w:rsidRPr="00B04DC3">
        <w:rPr>
          <w:lang w:val="en-GB"/>
        </w:rPr>
        <w:t xml:space="preserve"> in the following table.</w:t>
      </w:r>
    </w:p>
    <w:p w:rsidR="00BB1DA8" w:rsidRPr="00B04DC3" w:rsidRDefault="00BB1DA8" w:rsidP="008B1316">
      <w:pPr>
        <w:pStyle w:val="para"/>
        <w:spacing w:before="120"/>
        <w:ind w:firstLine="0"/>
        <w:rPr>
          <w:lang w:val="en-GB"/>
        </w:rPr>
      </w:pPr>
      <w:r w:rsidRPr="00B04DC3">
        <w:rPr>
          <w:i/>
          <w:lang w:val="en-GB"/>
        </w:rPr>
        <w:tab/>
      </w:r>
      <w:r w:rsidRPr="00B04DC3">
        <w:rPr>
          <w:lang w:val="en-GB"/>
        </w:rPr>
        <w:t>Calculation of the final smoke value (Annex 4A, Appendix 1, paragraph 7.3.3.):</w:t>
      </w:r>
    </w:p>
    <w:p w:rsidR="00BB1DA8" w:rsidRPr="00B04DC3" w:rsidRDefault="00BB1DA8" w:rsidP="008B1316">
      <w:pPr>
        <w:pStyle w:val="para"/>
        <w:spacing w:before="120"/>
        <w:ind w:firstLine="0"/>
        <w:rPr>
          <w:lang w:val="en-GB"/>
        </w:rPr>
      </w:pPr>
      <w:r w:rsidRPr="00B04DC3">
        <w:rPr>
          <w:lang w:val="en-GB"/>
        </w:rPr>
        <w:tab/>
        <w:t>From each smoke trace, the maximum filtered k-value is taken for the further calculation. Assume the following values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
        <w:gridCol w:w="1068"/>
        <w:gridCol w:w="1111"/>
        <w:gridCol w:w="1111"/>
      </w:tblGrid>
      <w:tr w:rsidR="00BB1DA8" w:rsidRPr="00B04DC3">
        <w:tc>
          <w:tcPr>
            <w:tcW w:w="982" w:type="dxa"/>
            <w:vMerge w:val="restart"/>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Speed</w:t>
            </w:r>
          </w:p>
        </w:tc>
        <w:tc>
          <w:tcPr>
            <w:tcW w:w="3290" w:type="dxa"/>
            <w:gridSpan w:val="3"/>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Y</w:t>
            </w:r>
            <w:r w:rsidRPr="00B04DC3">
              <w:rPr>
                <w:i/>
                <w:sz w:val="16"/>
                <w:szCs w:val="16"/>
                <w:vertAlign w:val="subscript"/>
              </w:rPr>
              <w:t>max</w:t>
            </w:r>
            <w:r w:rsidRPr="00B04DC3">
              <w:rPr>
                <w:i/>
                <w:sz w:val="16"/>
                <w:szCs w:val="16"/>
              </w:rPr>
              <w:t xml:space="preserve"> (m</w:t>
            </w:r>
            <w:r w:rsidRPr="00B04DC3">
              <w:rPr>
                <w:i/>
                <w:sz w:val="16"/>
                <w:szCs w:val="16"/>
                <w:vertAlign w:val="superscript"/>
              </w:rPr>
              <w:t>−1</w:t>
            </w:r>
            <w:r w:rsidRPr="00B04DC3">
              <w:rPr>
                <w:i/>
                <w:sz w:val="16"/>
                <w:szCs w:val="16"/>
              </w:rPr>
              <w:t>)</w:t>
            </w:r>
          </w:p>
        </w:tc>
      </w:tr>
      <w:tr w:rsidR="00BB1DA8" w:rsidRPr="00B04DC3" w:rsidTr="0090475A">
        <w:tc>
          <w:tcPr>
            <w:tcW w:w="982" w:type="dxa"/>
            <w:vMerge/>
            <w:tcBorders>
              <w:bottom w:val="single" w:sz="12" w:space="0" w:color="auto"/>
            </w:tcBorders>
          </w:tcPr>
          <w:p w:rsidR="00BB1DA8" w:rsidRPr="00B04DC3" w:rsidRDefault="00BB1DA8" w:rsidP="00BB1DA8">
            <w:pPr>
              <w:tabs>
                <w:tab w:val="left" w:pos="567"/>
                <w:tab w:val="left" w:pos="1134"/>
                <w:tab w:val="left" w:pos="1701"/>
              </w:tabs>
              <w:spacing w:before="80" w:after="80" w:line="200" w:lineRule="exact"/>
              <w:jc w:val="center"/>
              <w:rPr>
                <w:i/>
                <w:snapToGrid w:val="0"/>
                <w:sz w:val="16"/>
                <w:szCs w:val="16"/>
              </w:rPr>
            </w:pPr>
          </w:p>
        </w:tc>
        <w:tc>
          <w:tcPr>
            <w:tcW w:w="1068"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Cycle 1</w:t>
            </w:r>
          </w:p>
        </w:tc>
        <w:tc>
          <w:tcPr>
            <w:tcW w:w="1111"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Cycle 2</w:t>
            </w:r>
          </w:p>
        </w:tc>
        <w:tc>
          <w:tcPr>
            <w:tcW w:w="1111"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Cycle 3</w:t>
            </w:r>
          </w:p>
        </w:tc>
      </w:tr>
      <w:tr w:rsidR="00BB1DA8" w:rsidRPr="00B04DC3" w:rsidTr="0090475A">
        <w:tc>
          <w:tcPr>
            <w:tcW w:w="982" w:type="dxa"/>
            <w:tcBorders>
              <w:top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A</w:t>
            </w:r>
          </w:p>
        </w:tc>
        <w:tc>
          <w:tcPr>
            <w:tcW w:w="1068" w:type="dxa"/>
            <w:tcBorders>
              <w:top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0.5424</w:t>
            </w:r>
          </w:p>
        </w:tc>
        <w:tc>
          <w:tcPr>
            <w:tcW w:w="1111" w:type="dxa"/>
            <w:tcBorders>
              <w:top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0.5435</w:t>
            </w:r>
          </w:p>
        </w:tc>
        <w:tc>
          <w:tcPr>
            <w:tcW w:w="1111" w:type="dxa"/>
            <w:tcBorders>
              <w:top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0.5587</w:t>
            </w:r>
          </w:p>
        </w:tc>
      </w:tr>
      <w:tr w:rsidR="00BB1DA8" w:rsidRPr="00B04DC3">
        <w:tc>
          <w:tcPr>
            <w:tcW w:w="982" w:type="dxa"/>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B</w:t>
            </w:r>
          </w:p>
        </w:tc>
        <w:tc>
          <w:tcPr>
            <w:tcW w:w="1068" w:type="dxa"/>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0.5596</w:t>
            </w:r>
          </w:p>
        </w:tc>
        <w:tc>
          <w:tcPr>
            <w:tcW w:w="1111" w:type="dxa"/>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0.5400</w:t>
            </w:r>
          </w:p>
        </w:tc>
        <w:tc>
          <w:tcPr>
            <w:tcW w:w="1111" w:type="dxa"/>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0.5389</w:t>
            </w:r>
          </w:p>
        </w:tc>
      </w:tr>
      <w:tr w:rsidR="00BB1DA8" w:rsidRPr="00B04DC3" w:rsidTr="0090475A">
        <w:tc>
          <w:tcPr>
            <w:tcW w:w="982" w:type="dxa"/>
            <w:tcBorders>
              <w:bottom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C</w:t>
            </w:r>
          </w:p>
        </w:tc>
        <w:tc>
          <w:tcPr>
            <w:tcW w:w="1068" w:type="dxa"/>
            <w:tcBorders>
              <w:bottom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0.4912</w:t>
            </w:r>
          </w:p>
        </w:tc>
        <w:tc>
          <w:tcPr>
            <w:tcW w:w="1111" w:type="dxa"/>
            <w:tcBorders>
              <w:bottom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0.5207</w:t>
            </w:r>
          </w:p>
        </w:tc>
        <w:tc>
          <w:tcPr>
            <w:tcW w:w="1111" w:type="dxa"/>
            <w:tcBorders>
              <w:bottom w:val="single" w:sz="12" w:space="0" w:color="auto"/>
            </w:tcBorders>
          </w:tcPr>
          <w:p w:rsidR="00BB1DA8" w:rsidRPr="00B04DC3" w:rsidRDefault="00BB1DA8" w:rsidP="00BB1DA8">
            <w:pPr>
              <w:pStyle w:val="NormalRight"/>
              <w:tabs>
                <w:tab w:val="left" w:pos="567"/>
                <w:tab w:val="left" w:pos="1134"/>
                <w:tab w:val="left" w:pos="1701"/>
              </w:tabs>
              <w:spacing w:before="40" w:after="80" w:line="240" w:lineRule="exact"/>
              <w:jc w:val="center"/>
              <w:rPr>
                <w:sz w:val="18"/>
                <w:szCs w:val="18"/>
              </w:rPr>
            </w:pPr>
            <w:r w:rsidRPr="00B04DC3">
              <w:rPr>
                <w:sz w:val="18"/>
                <w:szCs w:val="18"/>
              </w:rPr>
              <w:t>0.5177</w:t>
            </w:r>
          </w:p>
        </w:tc>
      </w:tr>
    </w:tbl>
    <w:p w:rsidR="00BB1DA8" w:rsidRPr="00B04DC3" w:rsidRDefault="00BB1DA8" w:rsidP="008B1316">
      <w:pPr>
        <w:pStyle w:val="para"/>
        <w:spacing w:before="120"/>
        <w:ind w:firstLine="0"/>
        <w:rPr>
          <w:vertAlign w:val="superscript"/>
          <w:lang w:val="en-GB"/>
        </w:rPr>
      </w:pPr>
      <w:r w:rsidRPr="00B04DC3">
        <w:rPr>
          <w:lang w:val="en-GB"/>
        </w:rPr>
        <w:tab/>
        <w:t>SV</w:t>
      </w:r>
      <w:r w:rsidRPr="00B04DC3">
        <w:rPr>
          <w:vertAlign w:val="subscript"/>
          <w:lang w:val="en-GB"/>
        </w:rPr>
        <w:t>A</w:t>
      </w:r>
      <w:r w:rsidRPr="00B04DC3">
        <w:rPr>
          <w:lang w:val="en-GB"/>
        </w:rPr>
        <w:t xml:space="preserve"> = (0.5424 + 0.5435 + 0.5587) / 3 = 0.5482 m</w:t>
      </w:r>
      <w:r w:rsidRPr="00B04DC3">
        <w:rPr>
          <w:vertAlign w:val="superscript"/>
          <w:lang w:val="en-GB"/>
        </w:rPr>
        <w:t>− 1</w:t>
      </w:r>
    </w:p>
    <w:p w:rsidR="00BB1DA8" w:rsidRPr="00B04DC3" w:rsidRDefault="00BB1DA8" w:rsidP="008B1316">
      <w:pPr>
        <w:pStyle w:val="para"/>
        <w:spacing w:before="120"/>
        <w:ind w:firstLine="0"/>
        <w:rPr>
          <w:vertAlign w:val="superscript"/>
          <w:lang w:val="en-GB"/>
        </w:rPr>
      </w:pPr>
      <w:r w:rsidRPr="00B04DC3">
        <w:rPr>
          <w:lang w:val="en-GB"/>
        </w:rPr>
        <w:tab/>
        <w:t>SV</w:t>
      </w:r>
      <w:r w:rsidRPr="00B04DC3">
        <w:rPr>
          <w:vertAlign w:val="subscript"/>
          <w:lang w:val="en-GB"/>
        </w:rPr>
        <w:t>B</w:t>
      </w:r>
      <w:r w:rsidRPr="00B04DC3">
        <w:rPr>
          <w:lang w:val="en-GB"/>
        </w:rPr>
        <w:t xml:space="preserve"> = (0.5596 + 0.5400 + 0.5389) / 3 = 0.5462 m</w:t>
      </w:r>
      <w:r w:rsidRPr="00B04DC3">
        <w:rPr>
          <w:vertAlign w:val="superscript"/>
          <w:lang w:val="en-GB"/>
        </w:rPr>
        <w:t>− 1</w:t>
      </w:r>
    </w:p>
    <w:p w:rsidR="00BB1DA8" w:rsidRPr="00B04DC3" w:rsidRDefault="00BB1DA8" w:rsidP="008B1316">
      <w:pPr>
        <w:pStyle w:val="para"/>
        <w:spacing w:before="120"/>
        <w:ind w:firstLine="0"/>
        <w:rPr>
          <w:vertAlign w:val="superscript"/>
          <w:lang w:val="en-GB"/>
        </w:rPr>
      </w:pPr>
      <w:r w:rsidRPr="00B04DC3">
        <w:rPr>
          <w:lang w:val="en-GB"/>
        </w:rPr>
        <w:tab/>
        <w:t>SV</w:t>
      </w:r>
      <w:r w:rsidRPr="00B04DC3">
        <w:rPr>
          <w:vertAlign w:val="subscript"/>
          <w:lang w:val="en-GB"/>
        </w:rPr>
        <w:t>C</w:t>
      </w:r>
      <w:r w:rsidRPr="00B04DC3">
        <w:rPr>
          <w:lang w:val="en-GB"/>
        </w:rPr>
        <w:t xml:space="preserve"> = (0.4912 + 0.5207 + 0.5177) / 3 = 0.5099 m</w:t>
      </w:r>
      <w:r w:rsidRPr="00B04DC3">
        <w:rPr>
          <w:vertAlign w:val="superscript"/>
          <w:lang w:val="en-GB"/>
        </w:rPr>
        <w:t>− 1</w:t>
      </w:r>
    </w:p>
    <w:p w:rsidR="00BB1DA8" w:rsidRPr="00B04DC3" w:rsidRDefault="00BB1DA8" w:rsidP="008B1316">
      <w:pPr>
        <w:pStyle w:val="para"/>
        <w:spacing w:before="120"/>
        <w:ind w:firstLine="0"/>
        <w:rPr>
          <w:lang w:val="en-GB"/>
        </w:rPr>
      </w:pPr>
      <w:r w:rsidRPr="00B04DC3">
        <w:rPr>
          <w:lang w:val="en-GB"/>
        </w:rPr>
        <w:tab/>
        <w:t xml:space="preserve">SV = (0.43 </w:t>
      </w:r>
      <w:r w:rsidRPr="00B04DC3">
        <w:rPr>
          <w:lang w:val="en-GB"/>
        </w:rPr>
        <w:sym w:font="Symbol" w:char="F0B4"/>
      </w:r>
      <w:r w:rsidRPr="00B04DC3">
        <w:rPr>
          <w:lang w:val="en-GB"/>
        </w:rPr>
        <w:t xml:space="preserve"> 0.5482) + (0.56 </w:t>
      </w:r>
      <w:r w:rsidRPr="00B04DC3">
        <w:rPr>
          <w:lang w:val="en-GB"/>
        </w:rPr>
        <w:sym w:font="Symbol" w:char="F0B4"/>
      </w:r>
      <w:r w:rsidRPr="00B04DC3">
        <w:rPr>
          <w:lang w:val="en-GB"/>
        </w:rPr>
        <w:t xml:space="preserve"> 0.5462) + (0.01 </w:t>
      </w:r>
      <w:r w:rsidRPr="00B04DC3">
        <w:rPr>
          <w:lang w:val="en-GB"/>
        </w:rPr>
        <w:sym w:font="Symbol" w:char="F0B4"/>
      </w:r>
      <w:r w:rsidRPr="00B04DC3">
        <w:rPr>
          <w:lang w:val="en-GB"/>
        </w:rPr>
        <w:t xml:space="preserve"> 0.5099) = 0.5467 m</w:t>
      </w:r>
      <w:r w:rsidRPr="00B04DC3">
        <w:rPr>
          <w:vertAlign w:val="superscript"/>
          <w:lang w:val="en-GB"/>
        </w:rPr>
        <w:t>− 1</w:t>
      </w:r>
    </w:p>
    <w:p w:rsidR="00BB1DA8" w:rsidRPr="00B04DC3" w:rsidRDefault="00BB1DA8" w:rsidP="008B1316">
      <w:pPr>
        <w:pStyle w:val="para"/>
        <w:spacing w:before="120"/>
        <w:ind w:firstLine="0"/>
        <w:rPr>
          <w:lang w:val="en-GB"/>
        </w:rPr>
      </w:pPr>
      <w:r w:rsidRPr="00B04DC3">
        <w:rPr>
          <w:lang w:val="en-GB"/>
        </w:rPr>
        <w:tab/>
        <w:t>Cycle validation (Annex 4A, Appendix 1, paragraph 3.4.)</w:t>
      </w:r>
    </w:p>
    <w:p w:rsidR="00BB1DA8" w:rsidRPr="00B04DC3" w:rsidRDefault="00BB1DA8" w:rsidP="008B1316">
      <w:pPr>
        <w:pStyle w:val="para"/>
        <w:spacing w:before="120"/>
        <w:ind w:firstLine="0"/>
        <w:rPr>
          <w:lang w:val="en-GB"/>
        </w:rPr>
      </w:pPr>
      <w:r w:rsidRPr="00B04DC3">
        <w:rPr>
          <w:lang w:val="en-GB"/>
        </w:rPr>
        <w:tab/>
        <w:t>Before calculating SV, the cycle shall be validated by calculating the relative standard deviations of the smoke of the three cycles for each speed.</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265"/>
        <w:gridCol w:w="2207"/>
        <w:gridCol w:w="2089"/>
      </w:tblGrid>
      <w:tr w:rsidR="00BB1DA8" w:rsidRPr="00B04DC3" w:rsidTr="0090475A">
        <w:tc>
          <w:tcPr>
            <w:tcW w:w="929"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Speed</w:t>
            </w:r>
          </w:p>
        </w:tc>
        <w:tc>
          <w:tcPr>
            <w:tcW w:w="1857"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Mean SV (m</w:t>
            </w:r>
            <w:r w:rsidRPr="00B04DC3">
              <w:rPr>
                <w:i/>
                <w:sz w:val="16"/>
                <w:szCs w:val="16"/>
                <w:vertAlign w:val="superscript"/>
              </w:rPr>
              <w:t>−1</w:t>
            </w:r>
            <w:r w:rsidRPr="00B04DC3">
              <w:rPr>
                <w:i/>
                <w:sz w:val="16"/>
                <w:szCs w:val="16"/>
              </w:rPr>
              <w:t>)</w:t>
            </w:r>
          </w:p>
        </w:tc>
        <w:tc>
          <w:tcPr>
            <w:tcW w:w="3343"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Absolute standard deviation (m</w:t>
            </w:r>
            <w:r w:rsidRPr="00B04DC3">
              <w:rPr>
                <w:i/>
                <w:sz w:val="16"/>
                <w:szCs w:val="16"/>
                <w:vertAlign w:val="superscript"/>
              </w:rPr>
              <w:t>−1</w:t>
            </w:r>
            <w:r w:rsidRPr="00B04DC3">
              <w:rPr>
                <w:i/>
                <w:sz w:val="16"/>
                <w:szCs w:val="16"/>
              </w:rPr>
              <w:t>)</w:t>
            </w:r>
          </w:p>
        </w:tc>
        <w:tc>
          <w:tcPr>
            <w:tcW w:w="3157" w:type="dxa"/>
            <w:tcBorders>
              <w:bottom w:val="single" w:sz="12" w:space="0" w:color="auto"/>
            </w:tcBorders>
          </w:tcPr>
          <w:p w:rsidR="00BB1DA8" w:rsidRPr="00B04DC3" w:rsidRDefault="00BB1DA8" w:rsidP="00BB1DA8">
            <w:pPr>
              <w:pStyle w:val="NormalCentered"/>
              <w:numPr>
                <w:ilvl w:val="0"/>
                <w:numId w:val="0"/>
              </w:numPr>
              <w:tabs>
                <w:tab w:val="left" w:pos="567"/>
                <w:tab w:val="left" w:pos="1134"/>
                <w:tab w:val="left" w:pos="1701"/>
              </w:tabs>
              <w:spacing w:before="80" w:after="80" w:line="200" w:lineRule="exact"/>
              <w:rPr>
                <w:i/>
                <w:sz w:val="16"/>
                <w:szCs w:val="16"/>
              </w:rPr>
            </w:pPr>
            <w:r w:rsidRPr="00B04DC3">
              <w:rPr>
                <w:i/>
                <w:sz w:val="16"/>
                <w:szCs w:val="16"/>
              </w:rPr>
              <w:t>Relative standard deviation (per cent)</w:t>
            </w:r>
          </w:p>
        </w:tc>
      </w:tr>
      <w:tr w:rsidR="00BB1DA8" w:rsidRPr="00B04DC3" w:rsidTr="0090475A">
        <w:tc>
          <w:tcPr>
            <w:tcW w:w="929" w:type="dxa"/>
            <w:tcBorders>
              <w:top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A</w:t>
            </w:r>
          </w:p>
        </w:tc>
        <w:tc>
          <w:tcPr>
            <w:tcW w:w="1857" w:type="dxa"/>
            <w:tcBorders>
              <w:top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0.5482</w:t>
            </w:r>
          </w:p>
        </w:tc>
        <w:tc>
          <w:tcPr>
            <w:tcW w:w="3343" w:type="dxa"/>
            <w:tcBorders>
              <w:top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0.0091</w:t>
            </w:r>
          </w:p>
        </w:tc>
        <w:tc>
          <w:tcPr>
            <w:tcW w:w="3157" w:type="dxa"/>
            <w:tcBorders>
              <w:top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1.7</w:t>
            </w:r>
          </w:p>
        </w:tc>
      </w:tr>
      <w:tr w:rsidR="00BB1DA8" w:rsidRPr="00B04DC3">
        <w:tc>
          <w:tcPr>
            <w:tcW w:w="929" w:type="dxa"/>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B</w:t>
            </w:r>
          </w:p>
        </w:tc>
        <w:tc>
          <w:tcPr>
            <w:tcW w:w="1857" w:type="dxa"/>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0.5462</w:t>
            </w:r>
          </w:p>
        </w:tc>
        <w:tc>
          <w:tcPr>
            <w:tcW w:w="3343" w:type="dxa"/>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0.0116</w:t>
            </w:r>
          </w:p>
        </w:tc>
        <w:tc>
          <w:tcPr>
            <w:tcW w:w="3157" w:type="dxa"/>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2.1</w:t>
            </w:r>
          </w:p>
        </w:tc>
      </w:tr>
      <w:tr w:rsidR="00BB1DA8" w:rsidRPr="00B04DC3" w:rsidTr="0090475A">
        <w:tc>
          <w:tcPr>
            <w:tcW w:w="929" w:type="dxa"/>
            <w:tcBorders>
              <w:bottom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C</w:t>
            </w:r>
          </w:p>
        </w:tc>
        <w:tc>
          <w:tcPr>
            <w:tcW w:w="1857" w:type="dxa"/>
            <w:tcBorders>
              <w:bottom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0.5099</w:t>
            </w:r>
          </w:p>
        </w:tc>
        <w:tc>
          <w:tcPr>
            <w:tcW w:w="3343" w:type="dxa"/>
            <w:tcBorders>
              <w:bottom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0.0162</w:t>
            </w:r>
          </w:p>
        </w:tc>
        <w:tc>
          <w:tcPr>
            <w:tcW w:w="3157" w:type="dxa"/>
            <w:tcBorders>
              <w:bottom w:val="single" w:sz="12" w:space="0" w:color="auto"/>
            </w:tcBorders>
          </w:tcPr>
          <w:p w:rsidR="00BB1DA8" w:rsidRPr="00B04DC3" w:rsidRDefault="00BB1DA8" w:rsidP="00BB1DA8">
            <w:pPr>
              <w:pStyle w:val="NormalLeft"/>
              <w:tabs>
                <w:tab w:val="left" w:pos="567"/>
                <w:tab w:val="left" w:pos="1134"/>
                <w:tab w:val="left" w:pos="1701"/>
              </w:tabs>
              <w:spacing w:before="40" w:after="80" w:line="240" w:lineRule="exact"/>
              <w:jc w:val="center"/>
              <w:rPr>
                <w:sz w:val="18"/>
                <w:szCs w:val="18"/>
              </w:rPr>
            </w:pPr>
            <w:r w:rsidRPr="00B04DC3">
              <w:rPr>
                <w:sz w:val="18"/>
                <w:szCs w:val="18"/>
              </w:rPr>
              <w:t>3.2</w:t>
            </w:r>
          </w:p>
        </w:tc>
      </w:tr>
    </w:tbl>
    <w:p w:rsidR="00BB1DA8" w:rsidRPr="00B04DC3" w:rsidRDefault="00BB1DA8" w:rsidP="008B1316">
      <w:pPr>
        <w:pStyle w:val="para"/>
        <w:spacing w:before="120"/>
        <w:ind w:firstLine="0"/>
        <w:rPr>
          <w:lang w:val="en-GB"/>
        </w:rPr>
      </w:pPr>
      <w:r w:rsidRPr="00B04DC3">
        <w:rPr>
          <w:lang w:val="en-GB"/>
        </w:rPr>
        <w:tab/>
        <w:t>In this example, the validation criteria of 15 per cent are met for each speed.</w:t>
      </w:r>
    </w:p>
    <w:p w:rsidR="00BB1DA8" w:rsidRPr="00B04DC3" w:rsidRDefault="00BB1DA8" w:rsidP="00BB1DA8">
      <w:pPr>
        <w:pStyle w:val="Heading1"/>
        <w:keepNext/>
        <w:keepLines/>
      </w:pPr>
      <w:r w:rsidRPr="00B04DC3">
        <w:br w:type="page"/>
      </w:r>
      <w:bookmarkStart w:id="753" w:name="_Toc399940073"/>
      <w:bookmarkStart w:id="754" w:name="_Toc423599657"/>
      <w:bookmarkStart w:id="755" w:name="_Toc423611065"/>
      <w:r w:rsidRPr="00B04DC3">
        <w:t>Table C</w:t>
      </w:r>
      <w:bookmarkEnd w:id="753"/>
      <w:bookmarkEnd w:id="754"/>
      <w:bookmarkEnd w:id="755"/>
    </w:p>
    <w:p w:rsidR="00BB1DA8" w:rsidRPr="00B04DC3" w:rsidRDefault="00BB1DA8" w:rsidP="00BB1DA8">
      <w:pPr>
        <w:pStyle w:val="Heading1"/>
        <w:keepNext/>
        <w:keepLines/>
        <w:rPr>
          <w:b/>
        </w:rPr>
      </w:pPr>
      <w:bookmarkStart w:id="756" w:name="_Toc399940074"/>
      <w:bookmarkStart w:id="757" w:name="_Toc423599658"/>
      <w:bookmarkStart w:id="758" w:name="_Toc423611066"/>
      <w:r w:rsidRPr="00B04DC3">
        <w:rPr>
          <w:b/>
        </w:rPr>
        <w:t>Values of opacity N, unfiltered and filtered k-value at beginning of load step</w:t>
      </w:r>
      <w:bookmarkEnd w:id="756"/>
      <w:bookmarkEnd w:id="757"/>
      <w:bookmarkEnd w:id="758"/>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531"/>
        <w:gridCol w:w="1531"/>
        <w:gridCol w:w="1446"/>
        <w:gridCol w:w="2126"/>
        <w:gridCol w:w="1871"/>
      </w:tblGrid>
      <w:tr w:rsidR="00BB1DA8" w:rsidRPr="00B04DC3">
        <w:tc>
          <w:tcPr>
            <w:tcW w:w="1531" w:type="dxa"/>
            <w:tcBorders>
              <w:top w:val="single" w:sz="4" w:space="0" w:color="auto"/>
              <w:bottom w:val="nil"/>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Index i</w:t>
            </w:r>
          </w:p>
        </w:tc>
        <w:tc>
          <w:tcPr>
            <w:tcW w:w="1531" w:type="dxa"/>
            <w:tcBorders>
              <w:top w:val="single" w:sz="4" w:space="0" w:color="auto"/>
              <w:bottom w:val="nil"/>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Time</w:t>
            </w:r>
          </w:p>
        </w:tc>
        <w:tc>
          <w:tcPr>
            <w:tcW w:w="1446" w:type="dxa"/>
            <w:tcBorders>
              <w:top w:val="single" w:sz="4" w:space="0" w:color="auto"/>
              <w:bottom w:val="nil"/>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Opacity N</w:t>
            </w:r>
          </w:p>
        </w:tc>
        <w:tc>
          <w:tcPr>
            <w:tcW w:w="2126" w:type="dxa"/>
            <w:tcBorders>
              <w:top w:val="single" w:sz="4" w:space="0" w:color="auto"/>
              <w:bottom w:val="nil"/>
            </w:tcBorders>
          </w:tcPr>
          <w:p w:rsidR="00BB1DA8" w:rsidRPr="00B04DC3" w:rsidRDefault="000E4497" w:rsidP="00BB1DA8">
            <w:pPr>
              <w:pStyle w:val="NormalCentered"/>
              <w:numPr>
                <w:ilvl w:val="0"/>
                <w:numId w:val="0"/>
              </w:numPr>
              <w:spacing w:before="40" w:after="40" w:line="220" w:lineRule="exact"/>
              <w:rPr>
                <w:i/>
                <w:sz w:val="16"/>
                <w:szCs w:val="16"/>
              </w:rPr>
            </w:pPr>
            <w:r>
              <w:rPr>
                <w:i/>
                <w:sz w:val="16"/>
                <w:szCs w:val="16"/>
              </w:rPr>
              <w:t>U</w:t>
            </w:r>
            <w:r w:rsidRPr="00B04DC3">
              <w:rPr>
                <w:i/>
                <w:sz w:val="16"/>
                <w:szCs w:val="16"/>
              </w:rPr>
              <w:t xml:space="preserve">nfiltered </w:t>
            </w:r>
            <w:r w:rsidR="00BB1DA8" w:rsidRPr="00B04DC3">
              <w:rPr>
                <w:i/>
                <w:sz w:val="16"/>
                <w:szCs w:val="16"/>
              </w:rPr>
              <w:t>k-value</w:t>
            </w:r>
          </w:p>
        </w:tc>
        <w:tc>
          <w:tcPr>
            <w:tcW w:w="1871" w:type="dxa"/>
            <w:tcBorders>
              <w:top w:val="single" w:sz="4" w:space="0" w:color="auto"/>
              <w:bottom w:val="nil"/>
            </w:tcBorders>
          </w:tcPr>
          <w:p w:rsidR="00BB1DA8" w:rsidRPr="00B04DC3" w:rsidRDefault="000E4497" w:rsidP="00BB1DA8">
            <w:pPr>
              <w:pStyle w:val="NormalCentered"/>
              <w:numPr>
                <w:ilvl w:val="0"/>
                <w:numId w:val="0"/>
              </w:numPr>
              <w:spacing w:before="40" w:after="40" w:line="220" w:lineRule="exact"/>
              <w:rPr>
                <w:i/>
                <w:sz w:val="16"/>
                <w:szCs w:val="16"/>
              </w:rPr>
            </w:pPr>
            <w:r>
              <w:rPr>
                <w:i/>
                <w:sz w:val="16"/>
                <w:szCs w:val="16"/>
              </w:rPr>
              <w:t>f</w:t>
            </w:r>
            <w:r w:rsidRPr="00B04DC3">
              <w:rPr>
                <w:i/>
                <w:sz w:val="16"/>
                <w:szCs w:val="16"/>
              </w:rPr>
              <w:t xml:space="preserve">iltered </w:t>
            </w:r>
            <w:r w:rsidR="00BB1DA8" w:rsidRPr="00B04DC3">
              <w:rPr>
                <w:i/>
                <w:sz w:val="16"/>
                <w:szCs w:val="16"/>
              </w:rPr>
              <w:t>k-value</w:t>
            </w:r>
          </w:p>
        </w:tc>
      </w:tr>
      <w:tr w:rsidR="00BB1DA8" w:rsidRPr="00B04DC3" w:rsidTr="0090475A">
        <w:tc>
          <w:tcPr>
            <w:tcW w:w="1531" w:type="dxa"/>
            <w:tcBorders>
              <w:top w:val="nil"/>
              <w:bottom w:val="single" w:sz="12" w:space="0" w:color="auto"/>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w:t>
            </w:r>
          </w:p>
        </w:tc>
        <w:tc>
          <w:tcPr>
            <w:tcW w:w="1531" w:type="dxa"/>
            <w:tcBorders>
              <w:top w:val="nil"/>
              <w:bottom w:val="single" w:sz="12" w:space="0" w:color="auto"/>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[s]</w:t>
            </w:r>
          </w:p>
        </w:tc>
        <w:tc>
          <w:tcPr>
            <w:tcW w:w="1446" w:type="dxa"/>
            <w:tcBorders>
              <w:top w:val="nil"/>
              <w:bottom w:val="single" w:sz="12" w:space="0" w:color="auto"/>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[per cent]</w:t>
            </w:r>
          </w:p>
        </w:tc>
        <w:tc>
          <w:tcPr>
            <w:tcW w:w="2126" w:type="dxa"/>
            <w:tcBorders>
              <w:top w:val="nil"/>
              <w:bottom w:val="single" w:sz="12" w:space="0" w:color="auto"/>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[m−</w:t>
            </w:r>
            <w:r w:rsidRPr="00B04DC3">
              <w:rPr>
                <w:i/>
                <w:sz w:val="16"/>
                <w:szCs w:val="16"/>
                <w:vertAlign w:val="superscript"/>
              </w:rPr>
              <w:t>1</w:t>
            </w:r>
            <w:r w:rsidRPr="00B04DC3">
              <w:rPr>
                <w:i/>
                <w:sz w:val="16"/>
                <w:szCs w:val="16"/>
              </w:rPr>
              <w:t>]</w:t>
            </w:r>
          </w:p>
        </w:tc>
        <w:tc>
          <w:tcPr>
            <w:tcW w:w="1871" w:type="dxa"/>
            <w:tcBorders>
              <w:top w:val="nil"/>
              <w:bottom w:val="single" w:sz="12" w:space="0" w:color="auto"/>
            </w:tcBorders>
          </w:tcPr>
          <w:p w:rsidR="00BB1DA8" w:rsidRPr="00B04DC3" w:rsidRDefault="00BB1DA8" w:rsidP="00BB1DA8">
            <w:pPr>
              <w:pStyle w:val="NormalCentered"/>
              <w:numPr>
                <w:ilvl w:val="0"/>
                <w:numId w:val="0"/>
              </w:numPr>
              <w:spacing w:before="40" w:after="40" w:line="220" w:lineRule="exact"/>
              <w:rPr>
                <w:i/>
                <w:sz w:val="16"/>
                <w:szCs w:val="16"/>
              </w:rPr>
            </w:pPr>
            <w:r w:rsidRPr="00B04DC3">
              <w:rPr>
                <w:i/>
                <w:sz w:val="16"/>
                <w:szCs w:val="16"/>
              </w:rPr>
              <w:t>[m−</w:t>
            </w:r>
            <w:r w:rsidRPr="00B04DC3">
              <w:rPr>
                <w:i/>
                <w:sz w:val="16"/>
                <w:szCs w:val="16"/>
                <w:vertAlign w:val="superscript"/>
              </w:rPr>
              <w:t>1</w:t>
            </w:r>
            <w:r w:rsidRPr="00B04DC3">
              <w:rPr>
                <w:i/>
                <w:sz w:val="16"/>
                <w:szCs w:val="16"/>
              </w:rPr>
              <w:t>]</w:t>
            </w:r>
          </w:p>
        </w:tc>
      </w:tr>
      <w:tr w:rsidR="00BB1DA8" w:rsidRPr="00B04DC3" w:rsidTr="0090475A">
        <w:tc>
          <w:tcPr>
            <w:tcW w:w="1531" w:type="dxa"/>
            <w:tcBorders>
              <w:top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− 2</w:t>
            </w:r>
          </w:p>
        </w:tc>
        <w:tc>
          <w:tcPr>
            <w:tcW w:w="1531" w:type="dxa"/>
            <w:tcBorders>
              <w:top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446" w:type="dxa"/>
            <w:tcBorders>
              <w:top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2126" w:type="dxa"/>
            <w:tcBorders>
              <w:top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871" w:type="dxa"/>
            <w:tcBorders>
              <w:top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− 1</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0.013333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0.000000</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4</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0.000001</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5</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0.033333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0.000002</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6</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0.040000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0.000002</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7</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0.046667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8</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0.053333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0.000004</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9</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0.060000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0.000005</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10</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0.066667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0.000006</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11</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0.073333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12</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0.080000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0.000009</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13</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0.086667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0.000011</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14</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0.093333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0.000012</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15</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0.100000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0.192000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0.004469</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0.000014</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16</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0.106667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0.212000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0.004935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0.000018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17</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0.113333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0.212000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0.004935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0.000022</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18</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0.120000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0.212000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0.004935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0.000028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19</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0.126667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0.343000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0.007990</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0.000036</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20</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0.133333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0.566000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0.013200</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0.000047</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21</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0.140000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0.889000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0.020767</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0.000061</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22</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0.146667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0.929000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0.021706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0.000082</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23</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0.153333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0.929000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0.021706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0.000109</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24</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0.160000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1.263000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0.029559</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0.000143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25</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0.166667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1.455000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0.034086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0.000185</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26</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0.173333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1.697000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0.039804</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0.000237</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27</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0.180000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2.030000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0.047695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0.000301</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28</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0.186667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2.081000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0.048906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0.000378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29</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0.193333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2.081000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0.048906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0.000469</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30</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0.200000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2.424000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0.057067</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0.000573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31</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0.206667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2.475000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0.058282</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0.000693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32</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0.213333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2.475000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0.058282</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0.000827</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33</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0.220000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2.808000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0.066237</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0.000977</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34</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0.226667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3.010000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0.071075</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0.001144</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35</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0.233333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3.253000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0.076909</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0.001328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36</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0.240000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3.606000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0.085410</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0.001533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37</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0.246667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3.960000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0.093966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0.001758</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38</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0.253333</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4.455000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0.105983</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0.002007</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39</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0.260000</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4.818000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0.114836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0.002283</w:t>
            </w:r>
          </w:p>
        </w:tc>
      </w:tr>
      <w:tr w:rsidR="00BB1DA8" w:rsidRPr="00B04DC3">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40</w:t>
            </w:r>
          </w:p>
        </w:tc>
        <w:tc>
          <w:tcPr>
            <w:tcW w:w="153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0.266667</w:t>
            </w:r>
          </w:p>
        </w:tc>
        <w:tc>
          <w:tcPr>
            <w:tcW w:w="144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5.020000</w:t>
            </w:r>
          </w:p>
        </w:tc>
        <w:tc>
          <w:tcPr>
            <w:tcW w:w="2126"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0.119776</w:t>
            </w:r>
          </w:p>
        </w:tc>
        <w:tc>
          <w:tcPr>
            <w:tcW w:w="1871" w:type="dxa"/>
          </w:tcPr>
          <w:p w:rsidR="00BB1DA8" w:rsidRPr="00B04DC3" w:rsidRDefault="00BB1DA8" w:rsidP="00BB1DA8">
            <w:pPr>
              <w:pStyle w:val="NormalRight"/>
              <w:spacing w:before="10" w:after="20" w:line="220" w:lineRule="exact"/>
              <w:jc w:val="center"/>
              <w:rPr>
                <w:sz w:val="18"/>
                <w:szCs w:val="18"/>
              </w:rPr>
            </w:pPr>
            <w:r w:rsidRPr="00B04DC3">
              <w:rPr>
                <w:sz w:val="18"/>
                <w:szCs w:val="18"/>
              </w:rPr>
              <w:t>0.002587</w:t>
            </w:r>
          </w:p>
        </w:tc>
      </w:tr>
      <w:tr w:rsidR="00BB1DA8" w:rsidRPr="00B04DC3" w:rsidTr="0090475A">
        <w:tc>
          <w:tcPr>
            <w:tcW w:w="1531" w:type="dxa"/>
            <w:tcBorders>
              <w:bottom w:val="single" w:sz="12" w:space="0" w:color="auto"/>
            </w:tcBorders>
          </w:tcPr>
          <w:p w:rsidR="00BB1DA8" w:rsidRPr="00B04DC3" w:rsidRDefault="00BB1DA8" w:rsidP="00BB1DA8">
            <w:pPr>
              <w:spacing w:after="20" w:line="220" w:lineRule="exact"/>
              <w:jc w:val="center"/>
            </w:pPr>
            <w:r w:rsidRPr="00B04DC3">
              <w:rPr>
                <w:sz w:val="18"/>
                <w:szCs w:val="18"/>
              </w:rPr>
              <w:t>~</w:t>
            </w:r>
          </w:p>
        </w:tc>
        <w:tc>
          <w:tcPr>
            <w:tcW w:w="1531" w:type="dxa"/>
            <w:tcBorders>
              <w:bottom w:val="single" w:sz="12" w:space="0" w:color="auto"/>
            </w:tcBorders>
          </w:tcPr>
          <w:p w:rsidR="00BB1DA8" w:rsidRPr="00B04DC3" w:rsidRDefault="00BB1DA8" w:rsidP="00BB1DA8">
            <w:pPr>
              <w:spacing w:after="20" w:line="220" w:lineRule="exact"/>
              <w:jc w:val="center"/>
            </w:pPr>
            <w:r w:rsidRPr="00B04DC3">
              <w:rPr>
                <w:sz w:val="18"/>
                <w:szCs w:val="18"/>
              </w:rPr>
              <w:t>~</w:t>
            </w:r>
          </w:p>
        </w:tc>
        <w:tc>
          <w:tcPr>
            <w:tcW w:w="1446" w:type="dxa"/>
            <w:tcBorders>
              <w:bottom w:val="single" w:sz="12" w:space="0" w:color="auto"/>
            </w:tcBorders>
          </w:tcPr>
          <w:p w:rsidR="00BB1DA8" w:rsidRPr="00B04DC3" w:rsidRDefault="00BB1DA8" w:rsidP="00BB1DA8">
            <w:pPr>
              <w:spacing w:after="20" w:line="220" w:lineRule="exact"/>
              <w:jc w:val="center"/>
            </w:pPr>
            <w:r w:rsidRPr="00B04DC3">
              <w:rPr>
                <w:sz w:val="18"/>
                <w:szCs w:val="18"/>
              </w:rPr>
              <w:t>~</w:t>
            </w:r>
          </w:p>
        </w:tc>
        <w:tc>
          <w:tcPr>
            <w:tcW w:w="2126" w:type="dxa"/>
            <w:tcBorders>
              <w:bottom w:val="single" w:sz="12" w:space="0" w:color="auto"/>
            </w:tcBorders>
          </w:tcPr>
          <w:p w:rsidR="00BB1DA8" w:rsidRPr="00B04DC3" w:rsidRDefault="00BB1DA8" w:rsidP="00BB1DA8">
            <w:pPr>
              <w:spacing w:after="20" w:line="220" w:lineRule="exact"/>
              <w:jc w:val="center"/>
            </w:pPr>
            <w:r w:rsidRPr="00B04DC3">
              <w:rPr>
                <w:sz w:val="18"/>
                <w:szCs w:val="18"/>
              </w:rPr>
              <w:t>~</w:t>
            </w:r>
          </w:p>
        </w:tc>
        <w:tc>
          <w:tcPr>
            <w:tcW w:w="1871" w:type="dxa"/>
            <w:tcBorders>
              <w:bottom w:val="single" w:sz="12" w:space="0" w:color="auto"/>
            </w:tcBorders>
          </w:tcPr>
          <w:p w:rsidR="00BB1DA8" w:rsidRPr="00B04DC3" w:rsidRDefault="00BB1DA8" w:rsidP="00BB1DA8">
            <w:pPr>
              <w:spacing w:after="20" w:line="220" w:lineRule="exact"/>
              <w:jc w:val="center"/>
            </w:pPr>
            <w:r w:rsidRPr="00B04DC3">
              <w:rPr>
                <w:sz w:val="18"/>
                <w:szCs w:val="18"/>
              </w:rPr>
              <w:t>~</w:t>
            </w:r>
          </w:p>
        </w:tc>
      </w:tr>
    </w:tbl>
    <w:p w:rsidR="00BB1DA8" w:rsidRPr="00B04DC3" w:rsidRDefault="00BB1DA8" w:rsidP="00BB1DA8">
      <w:pPr>
        <w:pStyle w:val="Heading1"/>
        <w:keepNext/>
        <w:keepLines/>
      </w:pPr>
      <w:r w:rsidRPr="00B04DC3">
        <w:rPr>
          <w:b/>
          <w:bCs/>
        </w:rPr>
        <w:br w:type="page"/>
      </w:r>
      <w:bookmarkStart w:id="759" w:name="_Toc399940075"/>
      <w:bookmarkStart w:id="760" w:name="_Toc423599659"/>
      <w:bookmarkStart w:id="761" w:name="_Toc423611067"/>
      <w:r w:rsidRPr="00B04DC3">
        <w:rPr>
          <w:b/>
        </w:rPr>
        <w:t>Values of opacity N, unfiltered and filtered k-value around Y</w:t>
      </w:r>
      <w:r w:rsidRPr="00B04DC3">
        <w:rPr>
          <w:b/>
          <w:vertAlign w:val="subscript"/>
        </w:rPr>
        <w:t xml:space="preserve">max1,A </w:t>
      </w:r>
      <w:r w:rsidRPr="00B04DC3">
        <w:rPr>
          <w:b/>
        </w:rPr>
        <w:br/>
        <w:t>(peak value, indicated in bold number)</w:t>
      </w:r>
      <w:bookmarkEnd w:id="759"/>
      <w:bookmarkEnd w:id="760"/>
      <w:bookmarkEnd w:id="761"/>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1702"/>
        <w:gridCol w:w="1785"/>
        <w:gridCol w:w="1701"/>
        <w:gridCol w:w="1701"/>
      </w:tblGrid>
      <w:tr w:rsidR="00BB1DA8" w:rsidRPr="00B04DC3">
        <w:tc>
          <w:tcPr>
            <w:tcW w:w="1616" w:type="dxa"/>
            <w:tcBorders>
              <w:bottom w:val="nil"/>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Index i</w:t>
            </w:r>
          </w:p>
        </w:tc>
        <w:tc>
          <w:tcPr>
            <w:tcW w:w="1702" w:type="dxa"/>
            <w:tcBorders>
              <w:bottom w:val="nil"/>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Time</w:t>
            </w:r>
          </w:p>
        </w:tc>
        <w:tc>
          <w:tcPr>
            <w:tcW w:w="1785" w:type="dxa"/>
            <w:tcBorders>
              <w:bottom w:val="nil"/>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Opacity N</w:t>
            </w:r>
          </w:p>
        </w:tc>
        <w:tc>
          <w:tcPr>
            <w:tcW w:w="1701" w:type="dxa"/>
            <w:tcBorders>
              <w:bottom w:val="nil"/>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Unfiltered k-value</w:t>
            </w:r>
          </w:p>
        </w:tc>
        <w:tc>
          <w:tcPr>
            <w:tcW w:w="1701" w:type="dxa"/>
            <w:tcBorders>
              <w:bottom w:val="nil"/>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Filtered k-value</w:t>
            </w:r>
          </w:p>
        </w:tc>
      </w:tr>
      <w:tr w:rsidR="00BB1DA8" w:rsidRPr="00B04DC3" w:rsidTr="0090475A">
        <w:tc>
          <w:tcPr>
            <w:tcW w:w="1616" w:type="dxa"/>
            <w:tcBorders>
              <w:top w:val="nil"/>
              <w:bottom w:val="single" w:sz="12" w:space="0" w:color="auto"/>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w:t>
            </w:r>
          </w:p>
        </w:tc>
        <w:tc>
          <w:tcPr>
            <w:tcW w:w="1702" w:type="dxa"/>
            <w:tcBorders>
              <w:top w:val="nil"/>
              <w:bottom w:val="single" w:sz="12" w:space="0" w:color="auto"/>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[s]</w:t>
            </w:r>
          </w:p>
        </w:tc>
        <w:tc>
          <w:tcPr>
            <w:tcW w:w="1785" w:type="dxa"/>
            <w:tcBorders>
              <w:top w:val="nil"/>
              <w:bottom w:val="single" w:sz="12" w:space="0" w:color="auto"/>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 per cent]</w:t>
            </w:r>
          </w:p>
        </w:tc>
        <w:tc>
          <w:tcPr>
            <w:tcW w:w="1701" w:type="dxa"/>
            <w:tcBorders>
              <w:top w:val="nil"/>
              <w:bottom w:val="single" w:sz="12" w:space="0" w:color="auto"/>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[m−</w:t>
            </w:r>
            <w:r w:rsidRPr="00B04DC3">
              <w:rPr>
                <w:i/>
                <w:sz w:val="16"/>
                <w:szCs w:val="16"/>
                <w:vertAlign w:val="superscript"/>
              </w:rPr>
              <w:t>1</w:t>
            </w:r>
            <w:r w:rsidRPr="00B04DC3">
              <w:rPr>
                <w:i/>
                <w:sz w:val="16"/>
                <w:szCs w:val="16"/>
              </w:rPr>
              <w:t>]</w:t>
            </w:r>
          </w:p>
        </w:tc>
        <w:tc>
          <w:tcPr>
            <w:tcW w:w="1701" w:type="dxa"/>
            <w:tcBorders>
              <w:top w:val="nil"/>
              <w:bottom w:val="single" w:sz="12" w:space="0" w:color="auto"/>
            </w:tcBorders>
          </w:tcPr>
          <w:p w:rsidR="00BB1DA8" w:rsidRPr="00B04DC3" w:rsidRDefault="00BB1DA8" w:rsidP="00BB1DA8">
            <w:pPr>
              <w:pStyle w:val="NormalCentered"/>
              <w:numPr>
                <w:ilvl w:val="0"/>
                <w:numId w:val="0"/>
              </w:numPr>
              <w:spacing w:before="20" w:after="20" w:line="180" w:lineRule="exact"/>
              <w:rPr>
                <w:i/>
                <w:sz w:val="16"/>
                <w:szCs w:val="16"/>
              </w:rPr>
            </w:pPr>
            <w:r w:rsidRPr="00B04DC3">
              <w:rPr>
                <w:i/>
                <w:sz w:val="16"/>
                <w:szCs w:val="16"/>
              </w:rPr>
              <w:t>[m−</w:t>
            </w:r>
            <w:r w:rsidRPr="00B04DC3">
              <w:rPr>
                <w:i/>
                <w:sz w:val="16"/>
                <w:szCs w:val="16"/>
                <w:vertAlign w:val="superscript"/>
              </w:rPr>
              <w:t>1</w:t>
            </w:r>
            <w:r w:rsidRPr="00B04DC3">
              <w:rPr>
                <w:i/>
                <w:sz w:val="16"/>
                <w:szCs w:val="16"/>
              </w:rPr>
              <w:t>]</w:t>
            </w:r>
          </w:p>
        </w:tc>
      </w:tr>
      <w:tr w:rsidR="00BB1DA8" w:rsidRPr="00B04DC3" w:rsidTr="0090475A">
        <w:tc>
          <w:tcPr>
            <w:tcW w:w="1616" w:type="dxa"/>
            <w:tcBorders>
              <w:top w:val="single" w:sz="12" w:space="0" w:color="auto"/>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2" w:type="dxa"/>
            <w:tcBorders>
              <w:top w:val="single" w:sz="12" w:space="0" w:color="auto"/>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85" w:type="dxa"/>
            <w:tcBorders>
              <w:top w:val="single" w:sz="12" w:space="0" w:color="auto"/>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1" w:type="dxa"/>
            <w:tcBorders>
              <w:top w:val="single" w:sz="12" w:space="0" w:color="auto"/>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1" w:type="dxa"/>
            <w:tcBorders>
              <w:top w:val="single" w:sz="12" w:space="0" w:color="auto"/>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259</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1.726667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17.182000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0.438429</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0.538856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260</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1.733333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16.949000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0.431896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0.539423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261</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1.740000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0.427392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0.539936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262</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1.746667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0.540396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263</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1.753333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0.427392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0.540805</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264</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1.760000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0.541163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265</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1.766667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0.541473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266</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1.773333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0.427392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0.541735</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267</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1.780000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0.427392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0.541951</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268</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1.786667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0.542123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269</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1.793333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0.542251</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270</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1.800000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16.793000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0.427532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0.542337</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271</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1.806667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0.427392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0.542383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272</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1.813333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16.783000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0.427252</w:t>
            </w:r>
          </w:p>
        </w:tc>
        <w:tc>
          <w:tcPr>
            <w:tcW w:w="1701" w:type="dxa"/>
            <w:tcBorders>
              <w:top w:val="nil"/>
              <w:bottom w:val="nil"/>
            </w:tcBorders>
          </w:tcPr>
          <w:p w:rsidR="00BB1DA8" w:rsidRPr="00B04DC3" w:rsidRDefault="00BB1DA8" w:rsidP="00BB1DA8">
            <w:pPr>
              <w:pStyle w:val="NormalRight"/>
              <w:spacing w:before="10" w:after="20" w:line="220" w:lineRule="exact"/>
              <w:jc w:val="center"/>
              <w:rPr>
                <w:b/>
                <w:sz w:val="18"/>
                <w:szCs w:val="18"/>
              </w:rPr>
            </w:pPr>
            <w:r w:rsidRPr="00B04DC3">
              <w:rPr>
                <w:b/>
                <w:sz w:val="18"/>
                <w:szCs w:val="18"/>
              </w:rPr>
              <w:t>0.542389</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273</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1.820000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16.780000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0.427168</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0.542357</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274</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1.826667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16.798000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0.427671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0.542288</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275</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1.833333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16.778000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0.427112</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0.542183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276</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1.840000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16.808000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0.427951</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0.542043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277</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1.846667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16.768000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0.426833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0.541870</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278</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1.853333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0.541662</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279</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1.860000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0.541418</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280</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1.866667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0.541136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281</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1.873333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0.540819</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282</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1.880000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0.540466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283</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1.886667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0.540080</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284</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1.893333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0.539663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285</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1.900000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0.539216</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286</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1.906667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16.404000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0.416685</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0.538744</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287</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1.913333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0.538245</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288</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1.920000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0.537722</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289</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1.926667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16.384000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0.416128</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0.537175</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290</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1.933333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0.536604</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291</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1.940000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0.536009</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292</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1.946667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0.535389</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293</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1.953333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16.010000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0.405750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0.534745</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294</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1.960000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16.212000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0.411349</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0.534079</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295</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1.966667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0.533394</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296</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1.973333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16.394000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0.416406</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0.532691</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297</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1.980000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16.192000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0.410794</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0.531971</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298</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1.986667</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0.531233</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299</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1.993333</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0.530477</w:t>
            </w:r>
          </w:p>
        </w:tc>
      </w:tr>
      <w:tr w:rsidR="00BB1DA8" w:rsidRPr="00B04DC3">
        <w:tc>
          <w:tcPr>
            <w:tcW w:w="1616"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300</w:t>
            </w:r>
          </w:p>
        </w:tc>
        <w:tc>
          <w:tcPr>
            <w:tcW w:w="1702"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2.000000</w:t>
            </w:r>
          </w:p>
        </w:tc>
        <w:tc>
          <w:tcPr>
            <w:tcW w:w="1785"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16.000000</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0.405473</w:t>
            </w:r>
          </w:p>
        </w:tc>
        <w:tc>
          <w:tcPr>
            <w:tcW w:w="1701" w:type="dxa"/>
            <w:tcBorders>
              <w:top w:val="nil"/>
              <w:bottom w:val="nil"/>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0.529704</w:t>
            </w:r>
          </w:p>
        </w:tc>
      </w:tr>
      <w:tr w:rsidR="00BB1DA8" w:rsidRPr="00B04DC3" w:rsidTr="0090475A">
        <w:tc>
          <w:tcPr>
            <w:tcW w:w="1616" w:type="dxa"/>
            <w:tcBorders>
              <w:top w:val="nil"/>
              <w:bottom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2" w:type="dxa"/>
            <w:tcBorders>
              <w:top w:val="nil"/>
              <w:bottom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85" w:type="dxa"/>
            <w:tcBorders>
              <w:top w:val="nil"/>
              <w:bottom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1" w:type="dxa"/>
            <w:tcBorders>
              <w:top w:val="nil"/>
              <w:bottom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c>
          <w:tcPr>
            <w:tcW w:w="1701" w:type="dxa"/>
            <w:tcBorders>
              <w:top w:val="nil"/>
              <w:bottom w:val="single" w:sz="12" w:space="0" w:color="auto"/>
            </w:tcBorders>
          </w:tcPr>
          <w:p w:rsidR="00BB1DA8" w:rsidRPr="00B04DC3" w:rsidRDefault="00BB1DA8" w:rsidP="00BB1DA8">
            <w:pPr>
              <w:pStyle w:val="NormalRight"/>
              <w:spacing w:before="10" w:after="20" w:line="220" w:lineRule="exact"/>
              <w:jc w:val="center"/>
              <w:rPr>
                <w:sz w:val="18"/>
                <w:szCs w:val="18"/>
              </w:rPr>
            </w:pPr>
            <w:r w:rsidRPr="00B04DC3">
              <w:rPr>
                <w:sz w:val="18"/>
                <w:szCs w:val="18"/>
              </w:rPr>
              <w:t>~</w:t>
            </w:r>
          </w:p>
        </w:tc>
      </w:tr>
    </w:tbl>
    <w:p w:rsidR="00BB1DA8" w:rsidRPr="00B04DC3" w:rsidRDefault="00BB1DA8" w:rsidP="00BB1DA8">
      <w:pPr>
        <w:pStyle w:val="para"/>
        <w:rPr>
          <w:lang w:val="en-GB"/>
        </w:rPr>
      </w:pPr>
      <w:r w:rsidRPr="00B04DC3">
        <w:rPr>
          <w:b/>
          <w:lang w:val="en-GB"/>
        </w:rPr>
        <w:br w:type="page"/>
      </w:r>
      <w:r w:rsidRPr="00B04DC3">
        <w:rPr>
          <w:lang w:val="en-GB"/>
        </w:rPr>
        <w:t>3.</w:t>
      </w:r>
      <w:r w:rsidRPr="00B04DC3">
        <w:rPr>
          <w:lang w:val="en-GB"/>
        </w:rPr>
        <w:tab/>
        <w:t>ETC test</w:t>
      </w:r>
    </w:p>
    <w:p w:rsidR="00BB1DA8" w:rsidRPr="00B04DC3" w:rsidRDefault="00BB1DA8" w:rsidP="00BB1DA8">
      <w:pPr>
        <w:pStyle w:val="para"/>
        <w:rPr>
          <w:lang w:val="en-GB"/>
        </w:rPr>
      </w:pPr>
      <w:r w:rsidRPr="00B04DC3">
        <w:rPr>
          <w:lang w:val="en-GB"/>
        </w:rPr>
        <w:t>3.1.</w:t>
      </w:r>
      <w:r w:rsidRPr="00B04DC3">
        <w:rPr>
          <w:lang w:val="en-GB"/>
        </w:rPr>
        <w:tab/>
        <w:t>Gaseous emissions (diesel engine)</w:t>
      </w:r>
    </w:p>
    <w:p w:rsidR="00BB1DA8" w:rsidRPr="00B04DC3" w:rsidRDefault="00BB1DA8" w:rsidP="00BB1DA8">
      <w:pPr>
        <w:pStyle w:val="para"/>
        <w:rPr>
          <w:lang w:val="en-GB"/>
        </w:rPr>
      </w:pPr>
      <w:r w:rsidRPr="00B04DC3">
        <w:rPr>
          <w:lang w:val="en-GB"/>
        </w:rPr>
        <w:tab/>
        <w:t>Assume the following test results for a PDP-CVS system</w:t>
      </w:r>
    </w:p>
    <w:tbl>
      <w:tblPr>
        <w:tblW w:w="0" w:type="auto"/>
        <w:tblInd w:w="3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1576"/>
      </w:tblGrid>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V</w:t>
            </w:r>
            <w:r w:rsidRPr="00B04DC3">
              <w:rPr>
                <w:sz w:val="20"/>
                <w:vertAlign w:val="subscript"/>
              </w:rPr>
              <w:t>0</w:t>
            </w:r>
            <w:r w:rsidRPr="00B04DC3">
              <w:rPr>
                <w:sz w:val="20"/>
              </w:rPr>
              <w:t xml:space="preserve"> (m</w:t>
            </w:r>
            <w:r w:rsidRPr="00B04DC3">
              <w:rPr>
                <w:sz w:val="20"/>
                <w:vertAlign w:val="superscript"/>
              </w:rPr>
              <w:t>3</w:t>
            </w:r>
            <w:r w:rsidRPr="00B04DC3">
              <w:rPr>
                <w:sz w:val="20"/>
              </w:rPr>
              <w:t>/rev)</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0.1776</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N</w:t>
            </w:r>
            <w:r w:rsidRPr="00B04DC3">
              <w:rPr>
                <w:sz w:val="20"/>
                <w:vertAlign w:val="subscript"/>
              </w:rPr>
              <w:t>p</w:t>
            </w:r>
            <w:r w:rsidRPr="00B04DC3">
              <w:rPr>
                <w:sz w:val="20"/>
              </w:rPr>
              <w:t xml:space="preserve"> (rev)</w:t>
            </w:r>
          </w:p>
        </w:tc>
        <w:tc>
          <w:tcPr>
            <w:tcW w:w="1576" w:type="dxa"/>
          </w:tcPr>
          <w:p w:rsidR="00BB1DA8" w:rsidRPr="00B04DC3" w:rsidRDefault="00BB1DA8" w:rsidP="00BB1DA8">
            <w:pPr>
              <w:pStyle w:val="NormalRight"/>
              <w:spacing w:before="40" w:after="40" w:line="240" w:lineRule="exact"/>
              <w:ind w:right="318"/>
              <w:rPr>
                <w:sz w:val="20"/>
              </w:rPr>
            </w:pPr>
            <w:r w:rsidRPr="00B04DC3">
              <w:rPr>
                <w:sz w:val="20"/>
              </w:rPr>
              <w:t>23073</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p</w:t>
            </w:r>
            <w:r w:rsidRPr="00B04DC3">
              <w:rPr>
                <w:sz w:val="20"/>
                <w:vertAlign w:val="subscript"/>
              </w:rPr>
              <w:t>B</w:t>
            </w:r>
            <w:r w:rsidRPr="00B04DC3">
              <w:rPr>
                <w:sz w:val="20"/>
              </w:rPr>
              <w:t xml:space="preserve"> (kPa)</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98.0</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p</w:t>
            </w:r>
            <w:r w:rsidRPr="00B04DC3">
              <w:rPr>
                <w:sz w:val="20"/>
                <w:vertAlign w:val="subscript"/>
              </w:rPr>
              <w:t>1</w:t>
            </w:r>
            <w:r w:rsidRPr="00B04DC3">
              <w:rPr>
                <w:sz w:val="20"/>
              </w:rPr>
              <w:t xml:space="preserve"> (kPa)</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2.3</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T (K)</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322.5</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H</w:t>
            </w:r>
            <w:r w:rsidRPr="00B04DC3">
              <w:rPr>
                <w:sz w:val="20"/>
                <w:vertAlign w:val="subscript"/>
              </w:rPr>
              <w:t>a</w:t>
            </w:r>
            <w:r w:rsidRPr="00B04DC3">
              <w:rPr>
                <w:sz w:val="20"/>
              </w:rPr>
              <w:t xml:space="preserve"> (g/kg)</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12.8</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NO</w:t>
            </w:r>
            <w:r w:rsidRPr="00B04DC3">
              <w:rPr>
                <w:sz w:val="20"/>
                <w:vertAlign w:val="subscript"/>
              </w:rPr>
              <w:t>x conce</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53.7</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NO</w:t>
            </w:r>
            <w:r w:rsidRPr="00B04DC3">
              <w:rPr>
                <w:sz w:val="20"/>
                <w:vertAlign w:val="subscript"/>
              </w:rPr>
              <w:t>x concd</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0.4</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CO</w:t>
            </w:r>
            <w:r w:rsidRPr="00B04DC3">
              <w:rPr>
                <w:sz w:val="20"/>
                <w:vertAlign w:val="subscript"/>
              </w:rPr>
              <w:t>conce</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38.9</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CO</w:t>
            </w:r>
            <w:r w:rsidRPr="00B04DC3">
              <w:rPr>
                <w:sz w:val="20"/>
                <w:vertAlign w:val="subscript"/>
              </w:rPr>
              <w:t>concd</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1.0</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HC</w:t>
            </w:r>
            <w:r w:rsidRPr="00B04DC3">
              <w:rPr>
                <w:sz w:val="20"/>
                <w:vertAlign w:val="subscript"/>
              </w:rPr>
              <w:t>conce</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9.00</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HC</w:t>
            </w:r>
            <w:r w:rsidRPr="00B04DC3">
              <w:rPr>
                <w:sz w:val="20"/>
                <w:vertAlign w:val="subscript"/>
              </w:rPr>
              <w:t>concd</w:t>
            </w:r>
            <w:r w:rsidRPr="00B04DC3">
              <w:rPr>
                <w:sz w:val="20"/>
              </w:rPr>
              <w:t xml:space="preserve"> (ppm)</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3.02</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CO</w:t>
            </w:r>
            <w:r w:rsidRPr="00B04DC3">
              <w:rPr>
                <w:sz w:val="20"/>
                <w:vertAlign w:val="subscript"/>
              </w:rPr>
              <w:t>2,conce</w:t>
            </w:r>
            <w:r w:rsidRPr="00B04DC3">
              <w:rPr>
                <w:sz w:val="20"/>
              </w:rPr>
              <w:t xml:space="preserve"> (per cent)</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0.723</w:t>
            </w:r>
          </w:p>
        </w:tc>
      </w:tr>
      <w:tr w:rsidR="00BB1DA8" w:rsidRPr="00B04DC3">
        <w:tc>
          <w:tcPr>
            <w:tcW w:w="2084" w:type="dxa"/>
          </w:tcPr>
          <w:p w:rsidR="00BB1DA8" w:rsidRPr="00B04DC3" w:rsidRDefault="00BB1DA8" w:rsidP="00BB1DA8">
            <w:pPr>
              <w:pStyle w:val="NormalLeft"/>
              <w:spacing w:before="40" w:after="40" w:line="240" w:lineRule="exact"/>
              <w:rPr>
                <w:sz w:val="20"/>
              </w:rPr>
            </w:pPr>
            <w:r w:rsidRPr="00B04DC3">
              <w:rPr>
                <w:sz w:val="20"/>
              </w:rPr>
              <w:t>W</w:t>
            </w:r>
            <w:r w:rsidRPr="00B04DC3">
              <w:rPr>
                <w:sz w:val="20"/>
                <w:vertAlign w:val="subscript"/>
              </w:rPr>
              <w:t>act</w:t>
            </w:r>
            <w:r w:rsidRPr="00B04DC3">
              <w:rPr>
                <w:sz w:val="20"/>
              </w:rPr>
              <w:t xml:space="preserve"> (kWh)</w:t>
            </w:r>
          </w:p>
        </w:tc>
        <w:tc>
          <w:tcPr>
            <w:tcW w:w="1576" w:type="dxa"/>
          </w:tcPr>
          <w:p w:rsidR="00BB1DA8" w:rsidRPr="00B04DC3" w:rsidRDefault="00BB1DA8" w:rsidP="00BB1DA8">
            <w:pPr>
              <w:pStyle w:val="NormalLeft"/>
              <w:spacing w:before="40" w:after="40" w:line="240" w:lineRule="exact"/>
              <w:ind w:right="318"/>
              <w:jc w:val="right"/>
              <w:rPr>
                <w:sz w:val="20"/>
              </w:rPr>
            </w:pPr>
            <w:r w:rsidRPr="00B04DC3">
              <w:rPr>
                <w:sz w:val="20"/>
              </w:rPr>
              <w:t>62.72</w:t>
            </w:r>
          </w:p>
        </w:tc>
      </w:tr>
    </w:tbl>
    <w:p w:rsidR="00BB1DA8" w:rsidRPr="00B04DC3" w:rsidRDefault="00BB1DA8" w:rsidP="00BB1DA8">
      <w:pPr>
        <w:pStyle w:val="para"/>
        <w:spacing w:before="240"/>
        <w:rPr>
          <w:lang w:val="en-GB"/>
        </w:rPr>
      </w:pPr>
      <w:r w:rsidRPr="00B04DC3">
        <w:rPr>
          <w:i/>
          <w:lang w:val="en-GB"/>
        </w:rPr>
        <w:tab/>
      </w:r>
      <w:r w:rsidRPr="00B04DC3">
        <w:rPr>
          <w:lang w:val="en-GB"/>
        </w:rPr>
        <w:t>Calculation of the diluted exhaust gas flow (Annex 4A, Appendix 2, paragraph 4.1.):</w:t>
      </w:r>
    </w:p>
    <w:p w:rsidR="00BB1DA8" w:rsidRPr="00B04DC3" w:rsidRDefault="00BB1DA8" w:rsidP="00BB1DA8">
      <w:pPr>
        <w:pStyle w:val="para"/>
        <w:rPr>
          <w:spacing w:val="-8"/>
          <w:lang w:val="en-GB"/>
        </w:rPr>
      </w:pPr>
      <w:r w:rsidRPr="00B04DC3">
        <w:rPr>
          <w:lang w:val="en-GB"/>
        </w:rPr>
        <w:tab/>
      </w:r>
      <w:r w:rsidRPr="00B04DC3">
        <w:rPr>
          <w:spacing w:val="-8"/>
          <w:lang w:val="en-GB"/>
        </w:rPr>
        <w:tab/>
        <w:t>M</w:t>
      </w:r>
      <w:r w:rsidRPr="00B04DC3">
        <w:rPr>
          <w:spacing w:val="-8"/>
          <w:vertAlign w:val="subscript"/>
          <w:lang w:val="en-GB"/>
        </w:rPr>
        <w:t>TOTW</w:t>
      </w:r>
      <w:r w:rsidRPr="00B04DC3">
        <w:rPr>
          <w:spacing w:val="-8"/>
          <w:vertAlign w:val="subscript"/>
          <w:lang w:val="en-GB"/>
        </w:rPr>
        <w:tab/>
      </w:r>
      <w:r w:rsidRPr="00B04DC3">
        <w:rPr>
          <w:spacing w:val="-8"/>
          <w:lang w:val="en-GB"/>
        </w:rPr>
        <w:t xml:space="preserve">= 1.293 </w:t>
      </w:r>
      <w:r w:rsidRPr="00B04DC3">
        <w:rPr>
          <w:spacing w:val="-8"/>
          <w:lang w:val="en-GB"/>
        </w:rPr>
        <w:sym w:font="Symbol" w:char="F0B4"/>
      </w:r>
      <w:r w:rsidRPr="00B04DC3">
        <w:rPr>
          <w:spacing w:val="-8"/>
          <w:lang w:val="en-GB"/>
        </w:rPr>
        <w:t xml:space="preserve"> 0.1776 </w:t>
      </w:r>
      <w:r w:rsidRPr="00B04DC3">
        <w:rPr>
          <w:spacing w:val="-8"/>
          <w:lang w:val="en-GB"/>
        </w:rPr>
        <w:sym w:font="Symbol" w:char="F0B4"/>
      </w:r>
      <w:r w:rsidRPr="00B04DC3">
        <w:rPr>
          <w:spacing w:val="-8"/>
          <w:lang w:val="en-GB"/>
        </w:rPr>
        <w:t xml:space="preserve"> 23 073 </w:t>
      </w:r>
      <w:r w:rsidRPr="00B04DC3">
        <w:rPr>
          <w:spacing w:val="-8"/>
          <w:lang w:val="en-GB"/>
        </w:rPr>
        <w:sym w:font="Symbol" w:char="F0B4"/>
      </w:r>
      <w:r w:rsidRPr="00B04DC3">
        <w:rPr>
          <w:spacing w:val="-8"/>
          <w:lang w:val="en-GB"/>
        </w:rPr>
        <w:t xml:space="preserve"> (98.0 − 2.3) </w:t>
      </w:r>
      <w:r w:rsidRPr="00B04DC3">
        <w:rPr>
          <w:spacing w:val="-8"/>
          <w:lang w:val="en-GB"/>
        </w:rPr>
        <w:sym w:font="Symbol" w:char="F0B4"/>
      </w:r>
      <w:r w:rsidRPr="00B04DC3">
        <w:rPr>
          <w:spacing w:val="-8"/>
          <w:lang w:val="en-GB"/>
        </w:rPr>
        <w:t xml:space="preserve"> 273 / (101.3 </w:t>
      </w:r>
      <w:r w:rsidRPr="00B04DC3">
        <w:rPr>
          <w:spacing w:val="-8"/>
          <w:lang w:val="en-GB"/>
        </w:rPr>
        <w:sym w:font="Symbol" w:char="F0B4"/>
      </w:r>
      <w:r w:rsidRPr="00B04DC3">
        <w:rPr>
          <w:spacing w:val="-8"/>
          <w:lang w:val="en-GB"/>
        </w:rPr>
        <w:t xml:space="preserve"> 322.5) = 423 7.2 kg</w:t>
      </w:r>
    </w:p>
    <w:p w:rsidR="00BB1DA8" w:rsidRPr="00B04DC3" w:rsidRDefault="00BB1DA8" w:rsidP="00BB1DA8">
      <w:pPr>
        <w:pStyle w:val="para"/>
        <w:rPr>
          <w:lang w:val="en-GB"/>
        </w:rPr>
      </w:pPr>
      <w:r w:rsidRPr="00B04DC3">
        <w:rPr>
          <w:i/>
          <w:lang w:val="en-GB"/>
        </w:rPr>
        <w:tab/>
      </w:r>
      <w:r w:rsidRPr="00B04DC3">
        <w:rPr>
          <w:lang w:val="en-GB"/>
        </w:rPr>
        <w:t>Calculation of the NO</w:t>
      </w:r>
      <w:r w:rsidRPr="00B04DC3">
        <w:rPr>
          <w:vertAlign w:val="subscript"/>
          <w:lang w:val="en-GB"/>
        </w:rPr>
        <w:t>x</w:t>
      </w:r>
      <w:r w:rsidRPr="00B04DC3">
        <w:rPr>
          <w:lang w:val="en-GB"/>
        </w:rPr>
        <w:t xml:space="preserve"> correction factor (Annex 4A, Appendix 2, paragraph 5.3.):</w:t>
      </w:r>
    </w:p>
    <w:p w:rsidR="00BB1DA8" w:rsidRPr="00B04DC3" w:rsidRDefault="00BB1DA8" w:rsidP="00BB1DA8">
      <w:pPr>
        <w:pStyle w:val="para"/>
        <w:rPr>
          <w:lang w:val="en-GB"/>
        </w:rPr>
      </w:pPr>
      <w:r w:rsidRPr="00B04DC3">
        <w:rPr>
          <w:lang w:val="en-GB"/>
        </w:rPr>
        <w:tab/>
      </w:r>
      <w:r w:rsidRPr="00B04DC3">
        <w:rPr>
          <w:lang w:val="en-GB"/>
        </w:rPr>
        <w:tab/>
      </w:r>
      <w:bookmarkStart w:id="762" w:name="_MON_1223400508"/>
      <w:bookmarkStart w:id="763" w:name="_MON_1223404401"/>
      <w:bookmarkEnd w:id="762"/>
      <w:bookmarkEnd w:id="763"/>
      <w:bookmarkStart w:id="764" w:name="_MON_1351682036"/>
      <w:bookmarkEnd w:id="764"/>
      <w:r w:rsidRPr="00B04DC3">
        <w:rPr>
          <w:lang w:val="en-GB"/>
        </w:rPr>
        <w:object w:dxaOrig="4038" w:dyaOrig="644">
          <v:shape id="_x0000_i1384" type="#_x0000_t75" style="width:175.8pt;height:27.6pt" o:ole="" fillcolor="window">
            <v:imagedata r:id="rId568" o:title=""/>
          </v:shape>
          <o:OLEObject Type="Embed" ProgID="Word.Picture.8" ShapeID="_x0000_i1384" DrawAspect="Content" ObjectID="_1498392395" r:id="rId569"/>
        </w:object>
      </w:r>
    </w:p>
    <w:p w:rsidR="00BB1DA8" w:rsidRPr="00B04DC3" w:rsidRDefault="00BB1DA8" w:rsidP="00BB1DA8">
      <w:pPr>
        <w:pStyle w:val="para"/>
        <w:rPr>
          <w:lang w:val="en-GB"/>
        </w:rPr>
      </w:pPr>
      <w:r w:rsidRPr="00B04DC3">
        <w:rPr>
          <w:lang w:val="en-GB"/>
        </w:rPr>
        <w:tab/>
        <w:t>Calculation of the background corrected concentrations (Annex 4A, Appendix 2, paragraph 5.4.1.):</w:t>
      </w:r>
    </w:p>
    <w:p w:rsidR="00BB1DA8" w:rsidRPr="00B04DC3" w:rsidRDefault="00BB1DA8" w:rsidP="00BB1DA8">
      <w:pPr>
        <w:pStyle w:val="para"/>
        <w:rPr>
          <w:vertAlign w:val="subscript"/>
          <w:lang w:val="en-GB"/>
        </w:rPr>
      </w:pPr>
      <w:r w:rsidRPr="00B04DC3">
        <w:rPr>
          <w:lang w:val="en-GB"/>
        </w:rPr>
        <w:tab/>
        <w:t>Assuming a diesel fuel of the composition C</w:t>
      </w:r>
      <w:r w:rsidRPr="00B04DC3">
        <w:rPr>
          <w:vertAlign w:val="subscript"/>
          <w:lang w:val="en-GB"/>
        </w:rPr>
        <w:t>1</w:t>
      </w:r>
      <w:r w:rsidRPr="00B04DC3">
        <w:rPr>
          <w:lang w:val="en-GB"/>
        </w:rPr>
        <w:t>H</w:t>
      </w:r>
      <w:r w:rsidRPr="00B04DC3">
        <w:rPr>
          <w:vertAlign w:val="subscript"/>
          <w:lang w:val="en-GB"/>
        </w:rPr>
        <w:t>1,8</w:t>
      </w:r>
    </w:p>
    <w:p w:rsidR="00BB1DA8" w:rsidRPr="00B04DC3" w:rsidRDefault="00BB1DA8" w:rsidP="00BB1DA8">
      <w:pPr>
        <w:pStyle w:val="para"/>
        <w:rPr>
          <w:lang w:val="en-GB"/>
        </w:rPr>
      </w:pPr>
      <w:r w:rsidRPr="00B04DC3">
        <w:rPr>
          <w:lang w:val="en-GB"/>
        </w:rPr>
        <w:tab/>
      </w:r>
      <w:r w:rsidRPr="00B04DC3">
        <w:rPr>
          <w:lang w:val="en-GB"/>
        </w:rPr>
        <w:tab/>
      </w:r>
      <w:bookmarkStart w:id="765" w:name="_MON_1223399337"/>
      <w:bookmarkEnd w:id="765"/>
      <w:bookmarkStart w:id="766" w:name="_MON_1223404403"/>
      <w:bookmarkEnd w:id="766"/>
      <w:r w:rsidRPr="00B04DC3">
        <w:rPr>
          <w:lang w:val="en-GB"/>
        </w:rPr>
        <w:object w:dxaOrig="4244" w:dyaOrig="1030">
          <v:shape id="_x0000_i1385" type="#_x0000_t75" style="width:185.4pt;height:45.6pt" o:ole="" fillcolor="window">
            <v:imagedata r:id="rId570" o:title=""/>
          </v:shape>
          <o:OLEObject Type="Embed" ProgID="Word.Picture.8" ShapeID="_x0000_i1385" DrawAspect="Content" ObjectID="_1498392396" r:id="rId571"/>
        </w:object>
      </w:r>
    </w:p>
    <w:p w:rsidR="00BB1DA8" w:rsidRPr="00B04DC3" w:rsidRDefault="00BB1DA8" w:rsidP="00BB1DA8">
      <w:pPr>
        <w:pStyle w:val="para"/>
        <w:rPr>
          <w:lang w:val="en-GB"/>
        </w:rPr>
      </w:pPr>
      <w:r w:rsidRPr="00B04DC3">
        <w:rPr>
          <w:lang w:val="en-GB"/>
        </w:rPr>
        <w:tab/>
      </w:r>
      <w:r w:rsidRPr="00B04DC3">
        <w:rPr>
          <w:lang w:val="en-GB"/>
        </w:rPr>
        <w:tab/>
      </w:r>
      <w:bookmarkStart w:id="767" w:name="_MON_1223399393"/>
      <w:bookmarkEnd w:id="767"/>
      <w:bookmarkStart w:id="768" w:name="_MON_1365580929"/>
      <w:bookmarkEnd w:id="768"/>
      <w:r w:rsidR="001720AB" w:rsidRPr="00B04DC3">
        <w:rPr>
          <w:lang w:val="en-GB"/>
        </w:rPr>
        <w:object w:dxaOrig="4013" w:dyaOrig="670">
          <v:shape id="_x0000_i1386" type="#_x0000_t75" style="width:161.4pt;height:27.6pt" o:ole="" fillcolor="window">
            <v:imagedata r:id="rId572" o:title=""/>
          </v:shape>
          <o:OLEObject Type="Embed" ProgID="Word.Picture.8" ShapeID="_x0000_i1386" DrawAspect="Content" ObjectID="_1498392397" r:id="rId573"/>
        </w:object>
      </w:r>
    </w:p>
    <w:p w:rsidR="00BB1DA8" w:rsidRPr="00B04DC3" w:rsidRDefault="00BB1DA8" w:rsidP="00BB1DA8">
      <w:pPr>
        <w:pStyle w:val="para"/>
        <w:tabs>
          <w:tab w:val="left" w:pos="3119"/>
          <w:tab w:val="left" w:pos="3402"/>
          <w:tab w:val="left" w:pos="5954"/>
        </w:tabs>
        <w:ind w:firstLine="0"/>
        <w:rPr>
          <w:lang w:val="en-GB"/>
        </w:rPr>
      </w:pPr>
      <w:r w:rsidRPr="00B04DC3">
        <w:rPr>
          <w:lang w:val="en-GB"/>
        </w:rPr>
        <w:t>NO</w:t>
      </w:r>
      <w:r w:rsidRPr="00B04DC3">
        <w:rPr>
          <w:vertAlign w:val="subscript"/>
          <w:lang w:val="en-GB"/>
        </w:rPr>
        <w:t>x conc</w:t>
      </w:r>
      <w:r w:rsidRPr="00B04DC3">
        <w:rPr>
          <w:lang w:val="en-GB"/>
        </w:rPr>
        <w:t xml:space="preserve"> </w:t>
      </w:r>
      <w:r w:rsidRPr="00B04DC3">
        <w:rPr>
          <w:lang w:val="en-GB"/>
        </w:rPr>
        <w:tab/>
        <w:t xml:space="preserve">= </w:t>
      </w:r>
      <w:r w:rsidRPr="00B04DC3">
        <w:rPr>
          <w:lang w:val="en-GB"/>
        </w:rPr>
        <w:tab/>
        <w:t xml:space="preserve">53.7 − 0.4 </w:t>
      </w:r>
      <w:r w:rsidRPr="00B04DC3">
        <w:rPr>
          <w:lang w:val="en-GB"/>
        </w:rPr>
        <w:sym w:font="Symbol" w:char="F0B4"/>
      </w:r>
      <w:r w:rsidRPr="00B04DC3">
        <w:rPr>
          <w:lang w:val="en-GB"/>
        </w:rPr>
        <w:t xml:space="preserve"> (1 − (1/18.69)) = 53.3 ppm</w:t>
      </w:r>
    </w:p>
    <w:p w:rsidR="00BB1DA8" w:rsidRPr="00B04DC3" w:rsidRDefault="00BB1DA8" w:rsidP="00BB1DA8">
      <w:pPr>
        <w:pStyle w:val="para"/>
        <w:tabs>
          <w:tab w:val="left" w:pos="3119"/>
          <w:tab w:val="left" w:pos="3402"/>
          <w:tab w:val="left" w:pos="5954"/>
        </w:tabs>
        <w:ind w:firstLine="0"/>
        <w:rPr>
          <w:lang w:val="en-GB"/>
        </w:rPr>
      </w:pPr>
      <w:r w:rsidRPr="00B04DC3">
        <w:rPr>
          <w:lang w:val="en-GB"/>
        </w:rPr>
        <w:t>CO</w:t>
      </w:r>
      <w:r w:rsidRPr="00B04DC3">
        <w:rPr>
          <w:vertAlign w:val="subscript"/>
          <w:lang w:val="en-GB"/>
        </w:rPr>
        <w:t>conc</w:t>
      </w:r>
      <w:r w:rsidRPr="00B04DC3">
        <w:rPr>
          <w:lang w:val="en-GB"/>
        </w:rPr>
        <w:t xml:space="preserve"> </w:t>
      </w:r>
      <w:r w:rsidRPr="00B04DC3">
        <w:rPr>
          <w:lang w:val="en-GB"/>
        </w:rPr>
        <w:tab/>
        <w:t xml:space="preserve">= </w:t>
      </w:r>
      <w:r w:rsidRPr="00B04DC3">
        <w:rPr>
          <w:lang w:val="en-GB"/>
        </w:rPr>
        <w:tab/>
        <w:t xml:space="preserve">38.9 − 1.0 </w:t>
      </w:r>
      <w:r w:rsidRPr="00B04DC3">
        <w:rPr>
          <w:lang w:val="en-GB"/>
        </w:rPr>
        <w:sym w:font="Symbol" w:char="F0B4"/>
      </w:r>
      <w:r w:rsidRPr="00B04DC3">
        <w:rPr>
          <w:lang w:val="en-GB"/>
        </w:rPr>
        <w:t xml:space="preserve"> (1 − (1/18.69)) = 37.9 ppm</w:t>
      </w:r>
    </w:p>
    <w:p w:rsidR="00BB1DA8" w:rsidRPr="00B04DC3" w:rsidRDefault="00BB1DA8" w:rsidP="00BB1DA8">
      <w:pPr>
        <w:pStyle w:val="para"/>
        <w:tabs>
          <w:tab w:val="left" w:pos="3119"/>
          <w:tab w:val="left" w:pos="3402"/>
          <w:tab w:val="left" w:pos="5954"/>
        </w:tabs>
        <w:ind w:firstLine="0"/>
        <w:rPr>
          <w:lang w:val="en-GB"/>
        </w:rPr>
      </w:pPr>
      <w:r w:rsidRPr="00B04DC3">
        <w:rPr>
          <w:lang w:val="en-GB"/>
        </w:rPr>
        <w:t>HC</w:t>
      </w:r>
      <w:r w:rsidRPr="00B04DC3">
        <w:rPr>
          <w:vertAlign w:val="subscript"/>
          <w:lang w:val="en-GB"/>
        </w:rPr>
        <w:t>conc</w:t>
      </w:r>
      <w:r w:rsidRPr="00B04DC3">
        <w:rPr>
          <w:lang w:val="en-GB"/>
        </w:rPr>
        <w:t xml:space="preserve"> </w:t>
      </w:r>
      <w:r w:rsidRPr="00B04DC3">
        <w:rPr>
          <w:lang w:val="en-GB"/>
        </w:rPr>
        <w:tab/>
        <w:t xml:space="preserve">= </w:t>
      </w:r>
      <w:r w:rsidRPr="00B04DC3">
        <w:rPr>
          <w:lang w:val="en-GB"/>
        </w:rPr>
        <w:tab/>
        <w:t xml:space="preserve">9.00 − 3.02 </w:t>
      </w:r>
      <w:r w:rsidRPr="00B04DC3">
        <w:rPr>
          <w:lang w:val="en-GB"/>
        </w:rPr>
        <w:sym w:font="Symbol" w:char="F0B4"/>
      </w:r>
      <w:r w:rsidRPr="00B04DC3">
        <w:rPr>
          <w:lang w:val="en-GB"/>
        </w:rPr>
        <w:t xml:space="preserve"> (1 − (1/18.69)) = 6.14 ppm</w:t>
      </w:r>
    </w:p>
    <w:p w:rsidR="00BB1DA8" w:rsidRPr="00B04DC3" w:rsidRDefault="00BB1DA8" w:rsidP="00BB1DA8">
      <w:pPr>
        <w:pStyle w:val="para"/>
        <w:rPr>
          <w:lang w:val="en-GB"/>
        </w:rPr>
      </w:pPr>
      <w:r w:rsidRPr="00B04DC3">
        <w:rPr>
          <w:lang w:val="en-GB"/>
        </w:rPr>
        <w:tab/>
        <w:t>Calculation of the emissions mass flow (Annex 4A, Appendix 2, paragraph 5.4.):</w:t>
      </w:r>
    </w:p>
    <w:p w:rsidR="00BB1DA8" w:rsidRPr="00B04DC3" w:rsidRDefault="00BB1DA8" w:rsidP="00BB1DA8">
      <w:pPr>
        <w:pStyle w:val="para"/>
        <w:tabs>
          <w:tab w:val="left" w:pos="3100"/>
        </w:tabs>
        <w:ind w:firstLine="0"/>
        <w:rPr>
          <w:lang w:val="en-GB"/>
        </w:rPr>
      </w:pPr>
      <w:r w:rsidRPr="00B04DC3">
        <w:rPr>
          <w:lang w:val="en-GB"/>
        </w:rPr>
        <w:t>NO</w:t>
      </w:r>
      <w:r w:rsidRPr="00B04DC3">
        <w:rPr>
          <w:vertAlign w:val="subscript"/>
          <w:lang w:val="en-GB"/>
        </w:rPr>
        <w:t>x mass</w:t>
      </w:r>
      <w:r w:rsidRPr="00B04DC3">
        <w:rPr>
          <w:lang w:val="en-GB"/>
        </w:rPr>
        <w:t xml:space="preserve"> </w:t>
      </w:r>
      <w:r w:rsidRPr="00B04DC3">
        <w:rPr>
          <w:lang w:val="en-GB"/>
        </w:rPr>
        <w:tab/>
        <w:t xml:space="preserve">= </w:t>
      </w:r>
      <w:r w:rsidRPr="00B04DC3">
        <w:rPr>
          <w:lang w:val="en-GB"/>
        </w:rPr>
        <w:tab/>
        <w:t xml:space="preserve">0.001587 </w:t>
      </w:r>
      <w:r w:rsidRPr="00B04DC3">
        <w:rPr>
          <w:lang w:val="en-GB"/>
        </w:rPr>
        <w:sym w:font="Symbol" w:char="F0B4"/>
      </w:r>
      <w:r w:rsidRPr="00B04DC3">
        <w:rPr>
          <w:lang w:val="en-GB"/>
        </w:rPr>
        <w:t xml:space="preserve"> 53.3 </w:t>
      </w:r>
      <w:r w:rsidRPr="00B04DC3">
        <w:rPr>
          <w:lang w:val="en-GB"/>
        </w:rPr>
        <w:sym w:font="Symbol" w:char="F0B4"/>
      </w:r>
      <w:r w:rsidRPr="00B04DC3">
        <w:rPr>
          <w:lang w:val="en-GB"/>
        </w:rPr>
        <w:t xml:space="preserve"> 1.039 </w:t>
      </w:r>
      <w:r w:rsidRPr="00B04DC3">
        <w:rPr>
          <w:lang w:val="en-GB"/>
        </w:rPr>
        <w:sym w:font="Symbol" w:char="F0B4"/>
      </w:r>
      <w:r w:rsidRPr="00B04DC3">
        <w:rPr>
          <w:lang w:val="en-GB"/>
        </w:rPr>
        <w:t xml:space="preserve"> 423 7.2 = 372.391 g</w:t>
      </w:r>
    </w:p>
    <w:p w:rsidR="00BB1DA8" w:rsidRPr="00B04DC3" w:rsidRDefault="00BB1DA8" w:rsidP="00BB1DA8">
      <w:pPr>
        <w:pStyle w:val="para"/>
        <w:tabs>
          <w:tab w:val="left" w:pos="3100"/>
        </w:tabs>
        <w:ind w:firstLine="0"/>
        <w:rPr>
          <w:lang w:val="en-GB"/>
        </w:rPr>
      </w:pPr>
      <w:r w:rsidRPr="00B04DC3">
        <w:rPr>
          <w:lang w:val="en-GB"/>
        </w:rPr>
        <w:t>CO</w:t>
      </w:r>
      <w:r w:rsidRPr="00B04DC3">
        <w:rPr>
          <w:vertAlign w:val="subscript"/>
          <w:lang w:val="en-GB"/>
        </w:rPr>
        <w:t>mass</w:t>
      </w:r>
      <w:r w:rsidRPr="00B04DC3">
        <w:rPr>
          <w:lang w:val="en-GB"/>
        </w:rPr>
        <w:t xml:space="preserve"> </w:t>
      </w:r>
      <w:r w:rsidRPr="00B04DC3">
        <w:rPr>
          <w:lang w:val="en-GB"/>
        </w:rPr>
        <w:tab/>
        <w:t xml:space="preserve">= </w:t>
      </w:r>
      <w:r w:rsidRPr="00B04DC3">
        <w:rPr>
          <w:lang w:val="en-GB"/>
        </w:rPr>
        <w:tab/>
        <w:t xml:space="preserve">0.000966 </w:t>
      </w:r>
      <w:r w:rsidRPr="00B04DC3">
        <w:rPr>
          <w:lang w:val="en-GB"/>
        </w:rPr>
        <w:sym w:font="Symbol" w:char="F0B4"/>
      </w:r>
      <w:r w:rsidRPr="00B04DC3">
        <w:rPr>
          <w:lang w:val="en-GB"/>
        </w:rPr>
        <w:t xml:space="preserve"> 37.9 </w:t>
      </w:r>
      <w:r w:rsidRPr="00B04DC3">
        <w:rPr>
          <w:lang w:val="en-GB"/>
        </w:rPr>
        <w:sym w:font="Symbol" w:char="F0B4"/>
      </w:r>
      <w:r w:rsidRPr="00B04DC3">
        <w:rPr>
          <w:lang w:val="en-GB"/>
        </w:rPr>
        <w:t xml:space="preserve"> 423 7.2 = 155.129 g</w:t>
      </w:r>
    </w:p>
    <w:p w:rsidR="00BB1DA8" w:rsidRPr="00B04DC3" w:rsidRDefault="00BB1DA8" w:rsidP="00BB1DA8">
      <w:pPr>
        <w:pStyle w:val="para"/>
        <w:tabs>
          <w:tab w:val="left" w:pos="3100"/>
        </w:tabs>
        <w:ind w:firstLine="0"/>
        <w:rPr>
          <w:lang w:val="en-GB"/>
        </w:rPr>
      </w:pPr>
      <w:r w:rsidRPr="00B04DC3">
        <w:rPr>
          <w:lang w:val="en-GB"/>
        </w:rPr>
        <w:t>HC</w:t>
      </w:r>
      <w:r w:rsidRPr="00B04DC3">
        <w:rPr>
          <w:vertAlign w:val="subscript"/>
          <w:lang w:val="en-GB"/>
        </w:rPr>
        <w:t>mass</w:t>
      </w:r>
      <w:r w:rsidRPr="00B04DC3">
        <w:rPr>
          <w:lang w:val="en-GB"/>
        </w:rPr>
        <w:t xml:space="preserve"> </w:t>
      </w:r>
      <w:r w:rsidRPr="00B04DC3">
        <w:rPr>
          <w:lang w:val="en-GB"/>
        </w:rPr>
        <w:tab/>
        <w:t xml:space="preserve">= </w:t>
      </w:r>
      <w:r w:rsidRPr="00B04DC3">
        <w:rPr>
          <w:lang w:val="en-GB"/>
        </w:rPr>
        <w:tab/>
        <w:t xml:space="preserve">0.000479 </w:t>
      </w:r>
      <w:r w:rsidRPr="00B04DC3">
        <w:rPr>
          <w:lang w:val="en-GB"/>
        </w:rPr>
        <w:sym w:font="Symbol" w:char="F0B4"/>
      </w:r>
      <w:r w:rsidRPr="00B04DC3">
        <w:rPr>
          <w:lang w:val="en-GB"/>
        </w:rPr>
        <w:t xml:space="preserve"> 6.14 </w:t>
      </w:r>
      <w:r w:rsidRPr="00B04DC3">
        <w:rPr>
          <w:lang w:val="en-GB"/>
        </w:rPr>
        <w:sym w:font="Symbol" w:char="F0B4"/>
      </w:r>
      <w:r w:rsidRPr="00B04DC3">
        <w:rPr>
          <w:lang w:val="en-GB"/>
        </w:rPr>
        <w:t xml:space="preserve"> 423 7.2 = 12.462 g</w:t>
      </w:r>
    </w:p>
    <w:p w:rsidR="00BB1DA8" w:rsidRPr="00B04DC3" w:rsidRDefault="00BB1DA8" w:rsidP="001720AB">
      <w:pPr>
        <w:pStyle w:val="para"/>
        <w:spacing w:after="0"/>
        <w:ind w:left="2275" w:right="1138" w:firstLine="0"/>
        <w:rPr>
          <w:lang w:val="en-GB"/>
        </w:rPr>
      </w:pPr>
      <w:r w:rsidRPr="00B04DC3">
        <w:rPr>
          <w:lang w:val="en-GB"/>
        </w:rPr>
        <w:t>Calculation of the specific emissions (Annex 4A, Appendix 2, paragraph 5.5.):</w:t>
      </w:r>
    </w:p>
    <w:p w:rsidR="00BB1DA8" w:rsidRPr="00B04DC3" w:rsidRDefault="00A905B7" w:rsidP="001720AB">
      <w:pPr>
        <w:pStyle w:val="para"/>
        <w:tabs>
          <w:tab w:val="left" w:pos="3100"/>
        </w:tabs>
        <w:spacing w:after="0"/>
        <w:ind w:left="2275" w:right="1138" w:firstLine="0"/>
        <w:rPr>
          <w:lang w:val="en-GB"/>
        </w:rPr>
      </w:pPr>
      <w:r>
        <w:rPr>
          <w:noProof/>
          <w:lang w:val="en-GB"/>
        </w:rPr>
        <w:pict>
          <v:rect id="_x0000_s5596" style="position:absolute;left:0;text-align:left;margin-left:131.65pt;margin-top:22.75pt;width:4.05pt;height:12pt;z-index:251611136;mso-wrap-style:none" filled="f" stroked="f">
            <v:textbox style="mso-next-textbox:#_x0000_s5596;mso-fit-shape-to-text:t" inset="0,0,0,0">
              <w:txbxContent>
                <w:p w:rsidR="00A905B7" w:rsidRDefault="00A905B7">
                  <w:r>
                    <w:rPr>
                      <w:color w:val="000000"/>
                      <w:sz w:val="16"/>
                      <w:szCs w:val="16"/>
                    </w:rPr>
                    <w:t>x</w:t>
                  </w:r>
                </w:p>
              </w:txbxContent>
            </v:textbox>
          </v:rect>
        </w:pict>
      </w:r>
      <w:r>
        <w:rPr>
          <w:noProof/>
          <w:lang w:val="en-GB"/>
        </w:rPr>
        <w:pict>
          <v:rect id="_x0000_s5597" style="position:absolute;left:0;text-align:left;margin-left:115.6pt;margin-top:19.7pt;width:14.45pt;height:12pt;z-index:251610112;mso-wrap-style:none" filled="f" stroked="f">
            <v:textbox style="mso-next-textbox:#_x0000_s5597;mso-fit-shape-to-text:t" inset="0,0,0,0">
              <w:txbxContent>
                <w:p w:rsidR="00A905B7" w:rsidRPr="001720AB" w:rsidRDefault="00A905B7">
                  <w:r w:rsidRPr="001720AB">
                    <w:rPr>
                      <w:color w:val="000000"/>
                    </w:rPr>
                    <w:t>NO</w:t>
                  </w:r>
                </w:p>
              </w:txbxContent>
            </v:textbox>
          </v:rect>
        </w:pict>
      </w:r>
      <w:r>
        <w:rPr>
          <w:lang w:val="en-GB"/>
        </w:rPr>
      </w:r>
      <w:r>
        <w:rPr>
          <w:lang w:val="en-GB"/>
        </w:rPr>
        <w:pict>
          <v:group id="_x0000_s5594" editas="canvas" style="width:26.5pt;height:30.8pt;mso-position-horizontal-relative:char;mso-position-vertical-relative:line" coordsize="530,616">
            <o:lock v:ext="edit" aspectratio="t"/>
            <v:shape id="_x0000_s5593" type="#_x0000_t75" style="position:absolute;width:530;height:616" o:preferrelative="f">
              <v:fill o:detectmouseclick="t"/>
              <v:path o:extrusionok="t" o:connecttype="none"/>
              <o:lock v:ext="edit" text="t"/>
            </v:shape>
            <v:line id="_x0000_s5595" style="position:absolute" from="40,374" to="385,375" strokeweight=".5pt"/>
            <w10:wrap type="none"/>
            <w10:anchorlock/>
          </v:group>
        </w:pict>
      </w:r>
      <w:r w:rsidR="00BB1DA8" w:rsidRPr="00B04DC3">
        <w:rPr>
          <w:lang w:val="en-GB"/>
        </w:rPr>
        <w:tab/>
        <w:t xml:space="preserve"> = </w:t>
      </w:r>
      <w:r w:rsidR="00BB1DA8" w:rsidRPr="00B04DC3">
        <w:rPr>
          <w:lang w:val="en-GB"/>
        </w:rPr>
        <w:tab/>
        <w:t>372.391/62.72 = 5.94 g/kWh</w:t>
      </w:r>
    </w:p>
    <w:p w:rsidR="00BB1DA8" w:rsidRPr="00B04DC3" w:rsidRDefault="00A905B7" w:rsidP="001720AB">
      <w:pPr>
        <w:pStyle w:val="para"/>
        <w:tabs>
          <w:tab w:val="left" w:pos="3100"/>
        </w:tabs>
        <w:spacing w:after="0"/>
        <w:ind w:left="2275" w:right="1138" w:firstLine="0"/>
        <w:rPr>
          <w:lang w:val="en-GB"/>
        </w:rPr>
      </w:pPr>
      <w:r>
        <w:rPr>
          <w:noProof/>
          <w:lang w:val="en-GB"/>
        </w:rPr>
        <w:pict>
          <v:rect id="_x0000_s5602" style="position:absolute;left:0;text-align:left;margin-left:115.05pt;margin-top:10.2pt;width:13.9pt;height:12.3pt;z-index:251609088;mso-wrap-style:none" filled="f" stroked="f">
            <v:textbox inset="0,0,0,0">
              <w:txbxContent>
                <w:p w:rsidR="00A905B7" w:rsidRPr="001720AB" w:rsidRDefault="00A905B7">
                  <w:r w:rsidRPr="001720AB">
                    <w:rPr>
                      <w:color w:val="000000"/>
                    </w:rPr>
                    <w:t>CO</w:t>
                  </w:r>
                </w:p>
              </w:txbxContent>
            </v:textbox>
          </v:rect>
        </w:pict>
      </w:r>
      <w:r>
        <w:rPr>
          <w:lang w:val="en-GB"/>
        </w:rPr>
      </w:r>
      <w:r>
        <w:rPr>
          <w:lang w:val="en-GB"/>
        </w:rPr>
        <w:pict>
          <v:group id="_x0000_s5600" editas="canvas" style="width:19.5pt;height:21.8pt;mso-position-horizontal-relative:char;mso-position-vertical-relative:line" coordorigin=",180" coordsize="390,436">
            <o:lock v:ext="edit" aspectratio="t"/>
            <v:shape id="_x0000_s5599" type="#_x0000_t75" style="position:absolute;top:180;width:390;height:436" o:preferrelative="f">
              <v:fill o:detectmouseclick="t"/>
              <v:path o:extrusionok="t" o:connecttype="none"/>
              <o:lock v:ext="edit" text="t"/>
            </v:shape>
            <v:line id="_x0000_s5601" style="position:absolute" from="40,394" to="359,395" strokeweight=".5pt"/>
            <w10:wrap type="none"/>
            <w10:anchorlock/>
          </v:group>
        </w:pict>
      </w:r>
      <w:r w:rsidR="00BB1DA8" w:rsidRPr="00B04DC3">
        <w:rPr>
          <w:lang w:val="en-GB"/>
        </w:rPr>
        <w:t xml:space="preserve"> </w:t>
      </w:r>
      <w:r w:rsidR="00BB1DA8" w:rsidRPr="00B04DC3">
        <w:rPr>
          <w:lang w:val="en-GB"/>
        </w:rPr>
        <w:tab/>
        <w:t xml:space="preserve">= </w:t>
      </w:r>
      <w:r w:rsidR="00BB1DA8" w:rsidRPr="00B04DC3">
        <w:rPr>
          <w:lang w:val="en-GB"/>
        </w:rPr>
        <w:tab/>
        <w:t>155.129/62.72 = 2.47 g/kWh</w:t>
      </w:r>
    </w:p>
    <w:p w:rsidR="00BB1DA8" w:rsidRPr="00B04DC3" w:rsidRDefault="00A905B7" w:rsidP="00BB1DA8">
      <w:pPr>
        <w:pStyle w:val="para"/>
        <w:tabs>
          <w:tab w:val="left" w:pos="3100"/>
        </w:tabs>
        <w:ind w:firstLine="0"/>
        <w:rPr>
          <w:lang w:val="en-GB"/>
        </w:rPr>
      </w:pPr>
      <w:r>
        <w:rPr>
          <w:noProof/>
          <w:lang w:val="en-GB"/>
        </w:rPr>
        <w:pict>
          <v:rect id="_x0000_s5607" style="position:absolute;left:0;text-align:left;margin-left:115.2pt;margin-top:10.2pt;width:13.9pt;height:17.25pt;z-index:251608064;mso-wrap-style:none" filled="f" stroked="f">
            <v:textbox inset="0,0,0,0">
              <w:txbxContent>
                <w:p w:rsidR="00A905B7" w:rsidRPr="001720AB" w:rsidRDefault="00A905B7">
                  <w:r w:rsidRPr="001720AB">
                    <w:rPr>
                      <w:color w:val="000000"/>
                    </w:rPr>
                    <w:t>HC</w:t>
                  </w:r>
                </w:p>
              </w:txbxContent>
            </v:textbox>
          </v:rect>
        </w:pict>
      </w:r>
      <w:r>
        <w:rPr>
          <w:lang w:val="en-GB"/>
        </w:rPr>
      </w:r>
      <w:r>
        <w:rPr>
          <w:lang w:val="en-GB"/>
        </w:rPr>
        <w:pict>
          <v:group id="_x0000_s5605" editas="canvas" style="width:19.5pt;height:21.8pt;mso-position-horizontal-relative:char;mso-position-vertical-relative:line" coordorigin=",180" coordsize="390,436">
            <o:lock v:ext="edit" aspectratio="t"/>
            <v:shape id="_x0000_s5604" type="#_x0000_t75" style="position:absolute;top:180;width:390;height:436" o:preferrelative="f">
              <v:fill o:detectmouseclick="t"/>
              <v:path o:extrusionok="t" o:connecttype="none"/>
              <o:lock v:ext="edit" text="t"/>
            </v:shape>
            <v:line id="_x0000_s5606" style="position:absolute" from="40,354" to="359,355" strokeweight=".5pt"/>
            <w10:wrap type="none"/>
            <w10:anchorlock/>
          </v:group>
        </w:pict>
      </w:r>
      <w:r w:rsidR="00BB1DA8" w:rsidRPr="00B04DC3">
        <w:rPr>
          <w:lang w:val="en-GB"/>
        </w:rPr>
        <w:t xml:space="preserve"> </w:t>
      </w:r>
      <w:r w:rsidR="00BB1DA8" w:rsidRPr="00B04DC3">
        <w:rPr>
          <w:lang w:val="en-GB"/>
        </w:rPr>
        <w:tab/>
        <w:t xml:space="preserve">= </w:t>
      </w:r>
      <w:r w:rsidR="00BB1DA8" w:rsidRPr="00B04DC3">
        <w:rPr>
          <w:lang w:val="en-GB"/>
        </w:rPr>
        <w:tab/>
        <w:t>12.462/62.72 = 0.199 g/kWh</w:t>
      </w:r>
    </w:p>
    <w:p w:rsidR="00BB1DA8" w:rsidRPr="00B04DC3" w:rsidRDefault="00BB1DA8" w:rsidP="00BB1DA8">
      <w:pPr>
        <w:pStyle w:val="para"/>
        <w:rPr>
          <w:lang w:val="en-GB"/>
        </w:rPr>
      </w:pPr>
      <w:r w:rsidRPr="00B04DC3">
        <w:rPr>
          <w:lang w:val="en-GB"/>
        </w:rPr>
        <w:t>3.2.</w:t>
      </w:r>
      <w:r w:rsidRPr="00B04DC3">
        <w:rPr>
          <w:lang w:val="en-GB"/>
        </w:rPr>
        <w:tab/>
        <w:t>Particulate emissions (diesel engine)</w:t>
      </w:r>
    </w:p>
    <w:p w:rsidR="00BB1DA8" w:rsidRPr="00B04DC3" w:rsidRDefault="00BB1DA8" w:rsidP="00BB1DA8">
      <w:pPr>
        <w:pStyle w:val="para"/>
        <w:rPr>
          <w:lang w:val="en-GB"/>
        </w:rPr>
      </w:pPr>
      <w:r w:rsidRPr="00B04DC3">
        <w:rPr>
          <w:lang w:val="en-GB"/>
        </w:rPr>
        <w:tab/>
        <w:t>Assume the following test results for a PDP-CVS system with double dilution</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246"/>
      </w:tblGrid>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TOTW</w:t>
            </w:r>
            <w:r w:rsidRPr="00B04DC3">
              <w:rPr>
                <w:sz w:val="20"/>
              </w:rPr>
              <w:t xml:space="preserve"> (kg)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4237.2</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f,p</w:t>
            </w:r>
            <w:r w:rsidRPr="00B04DC3">
              <w:rPr>
                <w:sz w:val="20"/>
              </w:rPr>
              <w:t xml:space="preserve"> (mg)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3.030</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f,b</w:t>
            </w:r>
            <w:r w:rsidRPr="00B04DC3">
              <w:rPr>
                <w:sz w:val="20"/>
              </w:rPr>
              <w:t xml:space="preserve"> (mg)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0.044</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TOT</w:t>
            </w:r>
            <w:r w:rsidRPr="00B04DC3">
              <w:rPr>
                <w:sz w:val="20"/>
              </w:rPr>
              <w:t xml:space="preserve"> (kg)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2.159</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SEC</w:t>
            </w:r>
            <w:r w:rsidRPr="00B04DC3">
              <w:rPr>
                <w:sz w:val="20"/>
              </w:rPr>
              <w:t xml:space="preserve"> (kg)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0.909</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d</w:t>
            </w:r>
            <w:r w:rsidRPr="00B04DC3">
              <w:rPr>
                <w:sz w:val="20"/>
              </w:rPr>
              <w:t xml:space="preserve"> (mg)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0.341</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M</w:t>
            </w:r>
            <w:r w:rsidRPr="00B04DC3">
              <w:rPr>
                <w:sz w:val="20"/>
                <w:vertAlign w:val="subscript"/>
              </w:rPr>
              <w:t>DIL</w:t>
            </w:r>
            <w:r w:rsidRPr="00B04DC3">
              <w:rPr>
                <w:sz w:val="20"/>
              </w:rPr>
              <w:t xml:space="preserve"> (kg)</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1.245</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DF</w:t>
            </w:r>
          </w:p>
        </w:tc>
        <w:tc>
          <w:tcPr>
            <w:tcW w:w="1246" w:type="dxa"/>
          </w:tcPr>
          <w:p w:rsidR="00BB1DA8" w:rsidRPr="00B04DC3" w:rsidRDefault="00BB1DA8" w:rsidP="00BB1DA8">
            <w:pPr>
              <w:pStyle w:val="NormalLeft"/>
              <w:tabs>
                <w:tab w:val="left" w:pos="-87"/>
                <w:tab w:val="left" w:pos="1701"/>
              </w:tabs>
              <w:spacing w:before="40" w:after="40" w:line="240" w:lineRule="exact"/>
              <w:ind w:left="-17" w:right="175" w:firstLine="17"/>
              <w:jc w:val="right"/>
              <w:rPr>
                <w:sz w:val="20"/>
              </w:rPr>
            </w:pPr>
            <w:r w:rsidRPr="00B04DC3">
              <w:rPr>
                <w:sz w:val="20"/>
              </w:rPr>
              <w:t>18.69</w:t>
            </w:r>
          </w:p>
        </w:tc>
      </w:tr>
      <w:tr w:rsidR="00BB1DA8" w:rsidRPr="00B04DC3">
        <w:tc>
          <w:tcPr>
            <w:tcW w:w="1697"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W</w:t>
            </w:r>
            <w:r w:rsidRPr="00B04DC3">
              <w:rPr>
                <w:sz w:val="20"/>
                <w:vertAlign w:val="subscript"/>
              </w:rPr>
              <w:t>act</w:t>
            </w:r>
            <w:r w:rsidRPr="00B04DC3">
              <w:rPr>
                <w:sz w:val="20"/>
              </w:rPr>
              <w:t xml:space="preserve"> (kWh)</w:t>
            </w:r>
          </w:p>
        </w:tc>
        <w:tc>
          <w:tcPr>
            <w:tcW w:w="1246" w:type="dxa"/>
          </w:tcPr>
          <w:p w:rsidR="00BB1DA8" w:rsidRPr="00B04DC3" w:rsidRDefault="00BB1DA8" w:rsidP="00BB1DA8">
            <w:pPr>
              <w:pStyle w:val="NormalLeft"/>
              <w:tabs>
                <w:tab w:val="left" w:pos="1701"/>
              </w:tabs>
              <w:spacing w:before="40" w:after="40" w:line="240" w:lineRule="exact"/>
              <w:ind w:left="-45" w:right="137" w:firstLine="7"/>
              <w:jc w:val="right"/>
              <w:rPr>
                <w:sz w:val="20"/>
              </w:rPr>
            </w:pPr>
            <w:r w:rsidRPr="00B04DC3">
              <w:rPr>
                <w:sz w:val="20"/>
              </w:rPr>
              <w:t>62.72</w:t>
            </w:r>
          </w:p>
        </w:tc>
      </w:tr>
    </w:tbl>
    <w:p w:rsidR="00BB1DA8" w:rsidRPr="00B04DC3" w:rsidRDefault="00BB1DA8" w:rsidP="00BB1DA8">
      <w:pPr>
        <w:pStyle w:val="para"/>
        <w:spacing w:before="240"/>
        <w:rPr>
          <w:lang w:val="en-GB"/>
        </w:rPr>
      </w:pPr>
      <w:r w:rsidRPr="00B04DC3">
        <w:rPr>
          <w:i/>
          <w:lang w:val="en-GB"/>
        </w:rPr>
        <w:tab/>
      </w:r>
      <w:r w:rsidRPr="00B04DC3">
        <w:rPr>
          <w:lang w:val="en-GB"/>
        </w:rPr>
        <w:t>Calculation of the mass emission (Annex 4A, Appendix 2, paragraph 6.2.1.):</w:t>
      </w:r>
    </w:p>
    <w:p w:rsidR="00BB1DA8" w:rsidRPr="00B04DC3" w:rsidRDefault="00BB1DA8" w:rsidP="00BB1DA8">
      <w:pPr>
        <w:pStyle w:val="para"/>
        <w:tabs>
          <w:tab w:val="left" w:pos="3100"/>
        </w:tabs>
        <w:ind w:firstLine="0"/>
        <w:rPr>
          <w:lang w:val="en-GB"/>
        </w:rPr>
      </w:pPr>
      <w:r w:rsidRPr="00B04DC3">
        <w:rPr>
          <w:lang w:val="en-GB"/>
        </w:rPr>
        <w:t>M</w:t>
      </w:r>
      <w:r w:rsidRPr="00B04DC3">
        <w:rPr>
          <w:vertAlign w:val="subscript"/>
          <w:lang w:val="en-GB"/>
        </w:rPr>
        <w:t>f</w:t>
      </w:r>
      <w:r w:rsidRPr="00B04DC3">
        <w:rPr>
          <w:lang w:val="en-GB"/>
        </w:rPr>
        <w:t xml:space="preserve">       = </w:t>
      </w:r>
      <w:r w:rsidRPr="00B04DC3">
        <w:rPr>
          <w:lang w:val="en-GB"/>
        </w:rPr>
        <w:tab/>
        <w:t>3.030 + 0.044 = 3.074 mg</w:t>
      </w:r>
    </w:p>
    <w:p w:rsidR="00BB1DA8" w:rsidRPr="00B04DC3" w:rsidRDefault="00BB1DA8" w:rsidP="00BB1DA8">
      <w:pPr>
        <w:pStyle w:val="para"/>
        <w:tabs>
          <w:tab w:val="left" w:pos="3100"/>
        </w:tabs>
        <w:ind w:firstLine="0"/>
        <w:rPr>
          <w:lang w:val="en-GB"/>
        </w:rPr>
      </w:pPr>
      <w:r w:rsidRPr="00B04DC3">
        <w:rPr>
          <w:lang w:val="en-GB"/>
        </w:rPr>
        <w:t>M</w:t>
      </w:r>
      <w:r w:rsidRPr="00B04DC3">
        <w:rPr>
          <w:vertAlign w:val="subscript"/>
          <w:lang w:val="en-GB"/>
        </w:rPr>
        <w:t>SAM</w:t>
      </w:r>
      <w:r w:rsidRPr="00B04DC3">
        <w:rPr>
          <w:lang w:val="en-GB"/>
        </w:rPr>
        <w:t xml:space="preserve">  = </w:t>
      </w:r>
      <w:r w:rsidRPr="00B04DC3">
        <w:rPr>
          <w:lang w:val="en-GB"/>
        </w:rPr>
        <w:tab/>
        <w:t>2.159 − 0.909 = 1.250 kg</w:t>
      </w:r>
    </w:p>
    <w:p w:rsidR="00BB1DA8" w:rsidRPr="00B04DC3" w:rsidRDefault="00BB1DA8" w:rsidP="00BB1DA8">
      <w:pPr>
        <w:pStyle w:val="para"/>
        <w:rPr>
          <w:lang w:val="en-GB"/>
        </w:rPr>
      </w:pPr>
      <w:r w:rsidRPr="00B04DC3">
        <w:rPr>
          <w:lang w:val="en-GB"/>
        </w:rPr>
        <w:tab/>
      </w:r>
      <w:r w:rsidRPr="00B04DC3">
        <w:rPr>
          <w:lang w:val="en-GB"/>
        </w:rPr>
        <w:tab/>
      </w:r>
      <w:bookmarkStart w:id="769" w:name="_MON_1364284695"/>
      <w:bookmarkStart w:id="770" w:name="_MON_1364284830"/>
      <w:bookmarkStart w:id="771" w:name="_MON_1364284946"/>
      <w:bookmarkStart w:id="772" w:name="_MON_1364284981"/>
      <w:bookmarkEnd w:id="769"/>
      <w:bookmarkEnd w:id="770"/>
      <w:bookmarkEnd w:id="771"/>
      <w:bookmarkEnd w:id="772"/>
      <w:bookmarkStart w:id="773" w:name="_MON_1223399538"/>
      <w:bookmarkEnd w:id="773"/>
      <w:r w:rsidRPr="00B04DC3">
        <w:rPr>
          <w:lang w:val="en-GB"/>
        </w:rPr>
        <w:object w:dxaOrig="3396" w:dyaOrig="644">
          <v:shape id="_x0000_i1390" type="#_x0000_t75" style="width:140.4pt;height:27.6pt" o:ole="" fillcolor="window">
            <v:imagedata r:id="rId574" o:title=""/>
          </v:shape>
          <o:OLEObject Type="Embed" ProgID="Word.Picture.8" ShapeID="_x0000_i1390" DrawAspect="Content" ObjectID="_1498392398" r:id="rId575"/>
        </w:object>
      </w:r>
    </w:p>
    <w:p w:rsidR="00BB1DA8" w:rsidRPr="00B04DC3" w:rsidRDefault="00BB1DA8" w:rsidP="00BB1DA8">
      <w:pPr>
        <w:pStyle w:val="para"/>
        <w:rPr>
          <w:lang w:val="en-GB"/>
        </w:rPr>
      </w:pPr>
      <w:r w:rsidRPr="00B04DC3">
        <w:rPr>
          <w:i/>
          <w:lang w:val="en-GB"/>
        </w:rPr>
        <w:tab/>
      </w:r>
      <w:r w:rsidRPr="00B04DC3">
        <w:rPr>
          <w:lang w:val="en-GB"/>
        </w:rPr>
        <w:t>Calculation of the background corrected mass emission (Annex 4A, Appendix 2, paragraph 6.2.1.):</w:t>
      </w:r>
    </w:p>
    <w:p w:rsidR="00BB1DA8" w:rsidRPr="00B04DC3" w:rsidRDefault="00BB1DA8" w:rsidP="00BB1DA8">
      <w:pPr>
        <w:pStyle w:val="para"/>
        <w:rPr>
          <w:lang w:val="en-GB"/>
        </w:rPr>
      </w:pPr>
      <w:r w:rsidRPr="00B04DC3">
        <w:rPr>
          <w:lang w:val="en-GB"/>
        </w:rPr>
        <w:tab/>
      </w:r>
      <w:r w:rsidRPr="00B04DC3">
        <w:rPr>
          <w:lang w:val="en-GB"/>
        </w:rPr>
        <w:tab/>
      </w:r>
      <w:bookmarkStart w:id="774" w:name="_MON_1364285037"/>
      <w:bookmarkStart w:id="775" w:name="_MON_1364285070"/>
      <w:bookmarkStart w:id="776" w:name="_MON_1223399674"/>
      <w:bookmarkEnd w:id="774"/>
      <w:bookmarkEnd w:id="775"/>
      <w:bookmarkEnd w:id="776"/>
      <w:bookmarkStart w:id="777" w:name="_MON_1364285015"/>
      <w:bookmarkEnd w:id="777"/>
      <w:r w:rsidRPr="00B04DC3">
        <w:rPr>
          <w:lang w:val="en-GB"/>
        </w:rPr>
        <w:object w:dxaOrig="5774" w:dyaOrig="785">
          <v:shape id="_x0000_i1391" type="#_x0000_t75" style="width:247.8pt;height:33.6pt" o:ole="" fillcolor="window">
            <v:imagedata r:id="rId576" o:title=""/>
          </v:shape>
          <o:OLEObject Type="Embed" ProgID="Word.Picture.8" ShapeID="_x0000_i1391" DrawAspect="Content" ObjectID="_1498392399" r:id="rId577"/>
        </w:object>
      </w:r>
    </w:p>
    <w:p w:rsidR="00BB1DA8" w:rsidRPr="00B04DC3" w:rsidRDefault="00BB1DA8" w:rsidP="00BB1DA8">
      <w:pPr>
        <w:pStyle w:val="para"/>
        <w:rPr>
          <w:lang w:val="en-GB"/>
        </w:rPr>
      </w:pPr>
      <w:r w:rsidRPr="00B04DC3">
        <w:rPr>
          <w:i/>
          <w:lang w:val="en-GB"/>
        </w:rPr>
        <w:tab/>
      </w:r>
      <w:r w:rsidRPr="00B04DC3">
        <w:rPr>
          <w:lang w:val="en-GB"/>
        </w:rPr>
        <w:t>Calculation of the specific emission (Annex 4A, Appendix 2, paragraph 6.3.):</w:t>
      </w:r>
    </w:p>
    <w:p w:rsidR="00BB1DA8" w:rsidRPr="00B04DC3" w:rsidRDefault="00BB1DA8" w:rsidP="00BB1DA8">
      <w:pPr>
        <w:pStyle w:val="para"/>
        <w:rPr>
          <w:lang w:val="en-GB"/>
        </w:rPr>
      </w:pPr>
      <w:r w:rsidRPr="00B04DC3">
        <w:rPr>
          <w:lang w:val="en-GB"/>
        </w:rPr>
        <w:tab/>
      </w:r>
      <w:r w:rsidRPr="00B04DC3">
        <w:rPr>
          <w:lang w:val="en-GB"/>
        </w:rPr>
        <w:tab/>
      </w:r>
      <w:r w:rsidR="00A905B7">
        <w:rPr>
          <w:lang w:val="en-GB"/>
        </w:rPr>
        <w:pict>
          <v:shape id="_x0000_i1392" type="#_x0000_t75" style="width:17.4pt;height:15.6pt" fillcolor="window">
            <v:imagedata r:id="rId578" o:title=""/>
          </v:shape>
        </w:pict>
      </w:r>
      <w:r w:rsidRPr="00B04DC3">
        <w:rPr>
          <w:lang w:val="en-GB"/>
        </w:rPr>
        <w:t xml:space="preserve"> = 10.42/62.72 = 0.166 g/kWh</w:t>
      </w:r>
    </w:p>
    <w:p w:rsidR="00BB1DA8" w:rsidRPr="00B04DC3" w:rsidRDefault="00BB1DA8" w:rsidP="00BB1DA8">
      <w:pPr>
        <w:pStyle w:val="para"/>
        <w:rPr>
          <w:lang w:val="en-GB"/>
        </w:rPr>
      </w:pPr>
      <w:r w:rsidRPr="00B04DC3">
        <w:rPr>
          <w:lang w:val="en-GB"/>
        </w:rPr>
        <w:tab/>
      </w:r>
      <w:r w:rsidRPr="00B04DC3">
        <w:rPr>
          <w:lang w:val="en-GB"/>
        </w:rPr>
        <w:tab/>
      </w:r>
      <w:r w:rsidR="00A905B7">
        <w:rPr>
          <w:lang w:val="en-GB"/>
        </w:rPr>
        <w:pict>
          <v:shape id="_x0000_i1393" type="#_x0000_t75" style="width:17.4pt;height:15.6pt" fillcolor="window">
            <v:imagedata r:id="rId579" o:title=""/>
          </v:shape>
        </w:pict>
      </w:r>
      <w:r w:rsidRPr="00B04DC3">
        <w:rPr>
          <w:lang w:val="en-GB"/>
        </w:rPr>
        <w:t xml:space="preserve"> = 9.32/62.72 = 0.149 g/kWh, if background corrected</w:t>
      </w:r>
    </w:p>
    <w:p w:rsidR="00BB1DA8" w:rsidRPr="00B04DC3" w:rsidRDefault="00BB1DA8" w:rsidP="00BB1DA8">
      <w:pPr>
        <w:pStyle w:val="para"/>
        <w:rPr>
          <w:lang w:val="en-GB"/>
        </w:rPr>
      </w:pPr>
      <w:r w:rsidRPr="00B04DC3">
        <w:rPr>
          <w:lang w:val="en-GB"/>
        </w:rPr>
        <w:br w:type="page"/>
        <w:t>3.3.</w:t>
      </w:r>
      <w:r w:rsidRPr="00B04DC3">
        <w:rPr>
          <w:lang w:val="en-GB"/>
        </w:rPr>
        <w:tab/>
        <w:t>Gaseous emissions (CNG engine)</w:t>
      </w:r>
    </w:p>
    <w:p w:rsidR="00BB1DA8" w:rsidRPr="00B04DC3" w:rsidRDefault="00BB1DA8" w:rsidP="00BB1DA8">
      <w:pPr>
        <w:pStyle w:val="para"/>
        <w:rPr>
          <w:lang w:val="en-GB"/>
        </w:rPr>
      </w:pPr>
      <w:r w:rsidRPr="00B04DC3">
        <w:rPr>
          <w:lang w:val="en-GB"/>
        </w:rPr>
        <w:tab/>
        <w:t>Assume the following test results for a PDP-CVS system with double dilution</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59"/>
      </w:tblGrid>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Cs w:val="24"/>
                <w:lang w:eastAsia="en-US"/>
              </w:rPr>
              <w:br w:type="page"/>
            </w:r>
            <w:r w:rsidRPr="00B04DC3">
              <w:rPr>
                <w:sz w:val="20"/>
              </w:rPr>
              <w:t>M</w:t>
            </w:r>
            <w:r w:rsidRPr="00B04DC3">
              <w:rPr>
                <w:sz w:val="20"/>
                <w:vertAlign w:val="subscript"/>
              </w:rPr>
              <w:t>TOTW</w:t>
            </w:r>
            <w:r w:rsidRPr="00B04DC3">
              <w:rPr>
                <w:sz w:val="20"/>
              </w:rPr>
              <w:t xml:space="preserve"> (kg)</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4,237.2</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H</w:t>
            </w:r>
            <w:r w:rsidRPr="00B04DC3">
              <w:rPr>
                <w:sz w:val="20"/>
                <w:vertAlign w:val="subscript"/>
              </w:rPr>
              <w:t>a</w:t>
            </w:r>
            <w:r w:rsidRPr="00B04DC3">
              <w:rPr>
                <w:sz w:val="20"/>
              </w:rPr>
              <w:t xml:space="preserve"> (g/kg)</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12.8</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NO</w:t>
            </w:r>
            <w:r w:rsidRPr="00B04DC3">
              <w:rPr>
                <w:sz w:val="20"/>
                <w:vertAlign w:val="subscript"/>
              </w:rPr>
              <w:t>x conce</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17.2</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NO</w:t>
            </w:r>
            <w:r w:rsidRPr="00B04DC3">
              <w:rPr>
                <w:sz w:val="20"/>
                <w:vertAlign w:val="subscript"/>
              </w:rPr>
              <w:t>x concd</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0.4</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CO</w:t>
            </w:r>
            <w:r w:rsidRPr="00B04DC3">
              <w:rPr>
                <w:sz w:val="20"/>
                <w:vertAlign w:val="subscript"/>
              </w:rPr>
              <w:t>conce</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44.3</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CO</w:t>
            </w:r>
            <w:r w:rsidRPr="00B04DC3">
              <w:rPr>
                <w:sz w:val="20"/>
                <w:vertAlign w:val="subscript"/>
              </w:rPr>
              <w:t>concd</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1.0</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HC</w:t>
            </w:r>
            <w:r w:rsidRPr="00B04DC3">
              <w:rPr>
                <w:sz w:val="20"/>
                <w:vertAlign w:val="subscript"/>
              </w:rPr>
              <w:t>conce</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27.0</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HC</w:t>
            </w:r>
            <w:r w:rsidRPr="00B04DC3">
              <w:rPr>
                <w:sz w:val="20"/>
                <w:vertAlign w:val="subscript"/>
              </w:rPr>
              <w:t>concd</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3.02</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CH</w:t>
            </w:r>
            <w:r w:rsidRPr="00B04DC3">
              <w:rPr>
                <w:sz w:val="20"/>
                <w:vertAlign w:val="subscript"/>
              </w:rPr>
              <w:t>4 conce</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18.0</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CH</w:t>
            </w:r>
            <w:r w:rsidRPr="00B04DC3">
              <w:rPr>
                <w:sz w:val="20"/>
                <w:vertAlign w:val="subscript"/>
              </w:rPr>
              <w:t>4 concd</w:t>
            </w:r>
            <w:r w:rsidRPr="00B04DC3">
              <w:rPr>
                <w:sz w:val="20"/>
              </w:rPr>
              <w:t xml:space="preserve"> (ppm)</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1.7</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CO</w:t>
            </w:r>
            <w:r w:rsidRPr="00B04DC3">
              <w:rPr>
                <w:sz w:val="20"/>
                <w:vertAlign w:val="subscript"/>
              </w:rPr>
              <w:t>2,conce</w:t>
            </w:r>
            <w:r w:rsidRPr="00B04DC3">
              <w:rPr>
                <w:sz w:val="20"/>
              </w:rPr>
              <w:t xml:space="preserve"> ( per cent)</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0.723</w:t>
            </w:r>
          </w:p>
        </w:tc>
      </w:tr>
      <w:tr w:rsidR="00BB1DA8" w:rsidRPr="00B04DC3">
        <w:tc>
          <w:tcPr>
            <w:tcW w:w="2126" w:type="dxa"/>
          </w:tcPr>
          <w:p w:rsidR="00BB1DA8" w:rsidRPr="00B04DC3" w:rsidRDefault="00BB1DA8" w:rsidP="00BB1DA8">
            <w:pPr>
              <w:pStyle w:val="NormalLeft"/>
              <w:tabs>
                <w:tab w:val="left" w:pos="567"/>
                <w:tab w:val="left" w:pos="1134"/>
                <w:tab w:val="left" w:pos="1701"/>
              </w:tabs>
              <w:spacing w:before="40" w:after="40" w:line="240" w:lineRule="exact"/>
              <w:ind w:left="567" w:hanging="567"/>
              <w:rPr>
                <w:sz w:val="20"/>
              </w:rPr>
            </w:pPr>
            <w:r w:rsidRPr="00B04DC3">
              <w:rPr>
                <w:sz w:val="20"/>
              </w:rPr>
              <w:t>W</w:t>
            </w:r>
            <w:r w:rsidRPr="00B04DC3">
              <w:rPr>
                <w:sz w:val="20"/>
                <w:vertAlign w:val="subscript"/>
              </w:rPr>
              <w:t>act</w:t>
            </w:r>
            <w:r w:rsidRPr="00B04DC3">
              <w:rPr>
                <w:sz w:val="20"/>
              </w:rPr>
              <w:t xml:space="preserve"> (kWh)</w:t>
            </w:r>
          </w:p>
        </w:tc>
        <w:tc>
          <w:tcPr>
            <w:tcW w:w="1559" w:type="dxa"/>
          </w:tcPr>
          <w:p w:rsidR="00BB1DA8" w:rsidRPr="00B04DC3" w:rsidRDefault="00BB1DA8" w:rsidP="00BB1DA8">
            <w:pPr>
              <w:pStyle w:val="NormalLeft"/>
              <w:spacing w:before="40" w:after="40" w:line="240" w:lineRule="exact"/>
              <w:ind w:right="174"/>
              <w:jc w:val="right"/>
              <w:rPr>
                <w:sz w:val="20"/>
              </w:rPr>
            </w:pPr>
            <w:r w:rsidRPr="00B04DC3">
              <w:rPr>
                <w:sz w:val="20"/>
              </w:rPr>
              <w:t>62.72</w:t>
            </w:r>
          </w:p>
        </w:tc>
      </w:tr>
    </w:tbl>
    <w:p w:rsidR="00BB1DA8" w:rsidRPr="00B04DC3" w:rsidRDefault="00BB1DA8" w:rsidP="00BB1DA8">
      <w:pPr>
        <w:pStyle w:val="para"/>
        <w:spacing w:before="240"/>
        <w:rPr>
          <w:lang w:val="en-GB"/>
        </w:rPr>
      </w:pPr>
      <w:r w:rsidRPr="00B04DC3">
        <w:rPr>
          <w:i/>
          <w:lang w:val="en-GB"/>
        </w:rPr>
        <w:tab/>
      </w:r>
      <w:r w:rsidRPr="00B04DC3">
        <w:rPr>
          <w:lang w:val="en-GB"/>
        </w:rPr>
        <w:t>Calculation of the NO</w:t>
      </w:r>
      <w:r w:rsidRPr="00B04DC3">
        <w:rPr>
          <w:vertAlign w:val="subscript"/>
          <w:lang w:val="en-GB"/>
        </w:rPr>
        <w:t>x</w:t>
      </w:r>
      <w:r w:rsidRPr="00B04DC3">
        <w:rPr>
          <w:lang w:val="en-GB"/>
        </w:rPr>
        <w:t>, correction factor (Annex 4A, Appendix 2, paragraph 5.3.):</w:t>
      </w:r>
    </w:p>
    <w:p w:rsidR="00BB1DA8" w:rsidRPr="00B04DC3" w:rsidRDefault="00BB1DA8" w:rsidP="00BB1DA8">
      <w:pPr>
        <w:pStyle w:val="para"/>
        <w:rPr>
          <w:lang w:val="en-GB"/>
        </w:rPr>
      </w:pPr>
      <w:r w:rsidRPr="00B04DC3">
        <w:rPr>
          <w:lang w:val="en-GB"/>
        </w:rPr>
        <w:tab/>
      </w:r>
      <w:r w:rsidRPr="00B04DC3">
        <w:rPr>
          <w:lang w:val="en-GB"/>
        </w:rPr>
        <w:tab/>
      </w:r>
      <w:bookmarkStart w:id="778" w:name="_MON_1223490352"/>
      <w:bookmarkEnd w:id="778"/>
      <w:r w:rsidRPr="00B04DC3">
        <w:rPr>
          <w:lang w:val="en-GB"/>
        </w:rPr>
        <w:object w:dxaOrig="4038" w:dyaOrig="644">
          <v:shape id="_x0000_i1394" type="#_x0000_t75" style="width:175.8pt;height:27.6pt" o:ole="" fillcolor="window">
            <v:imagedata r:id="rId580" o:title=""/>
          </v:shape>
          <o:OLEObject Type="Embed" ProgID="Word.Picture.8" ShapeID="_x0000_i1394" DrawAspect="Content" ObjectID="_1498392400" r:id="rId581"/>
        </w:object>
      </w:r>
    </w:p>
    <w:p w:rsidR="00BB1DA8" w:rsidRPr="00B04DC3" w:rsidRDefault="00BB1DA8" w:rsidP="00BB1DA8">
      <w:pPr>
        <w:pStyle w:val="para"/>
        <w:spacing w:before="240"/>
        <w:rPr>
          <w:lang w:val="en-GB"/>
        </w:rPr>
      </w:pPr>
      <w:r w:rsidRPr="00B04DC3">
        <w:rPr>
          <w:i/>
          <w:lang w:val="en-GB"/>
        </w:rPr>
        <w:tab/>
      </w:r>
      <w:r w:rsidRPr="00B04DC3">
        <w:rPr>
          <w:lang w:val="en-GB"/>
        </w:rPr>
        <w:t>Calculation of the NMHC concentration (Annex 4A, Appendix 2, paragraph 5.4.):</w:t>
      </w:r>
    </w:p>
    <w:p w:rsidR="00BB1DA8" w:rsidRPr="00B04DC3" w:rsidRDefault="00BB1DA8" w:rsidP="00BB1DA8">
      <w:pPr>
        <w:pStyle w:val="para"/>
        <w:rPr>
          <w:lang w:val="en-GB"/>
        </w:rPr>
      </w:pPr>
      <w:r w:rsidRPr="00B04DC3">
        <w:rPr>
          <w:lang w:val="en-GB"/>
        </w:rPr>
        <w:tab/>
        <w:t>(a)</w:t>
      </w:r>
      <w:r w:rsidRPr="00B04DC3">
        <w:rPr>
          <w:lang w:val="en-GB"/>
        </w:rPr>
        <w:tab/>
        <w:t>GC method</w:t>
      </w:r>
    </w:p>
    <w:p w:rsidR="00BB1DA8" w:rsidRPr="00B04DC3" w:rsidRDefault="00BB1DA8" w:rsidP="00BB1DA8">
      <w:pPr>
        <w:pStyle w:val="para"/>
        <w:rPr>
          <w:lang w:val="en-GB"/>
        </w:rPr>
      </w:pPr>
      <w:r w:rsidRPr="00B04DC3">
        <w:rPr>
          <w:lang w:val="en-GB"/>
        </w:rPr>
        <w:tab/>
      </w:r>
      <w:r w:rsidRPr="00B04DC3">
        <w:rPr>
          <w:lang w:val="en-GB"/>
        </w:rPr>
        <w:tab/>
      </w:r>
      <w:r w:rsidRPr="00B04DC3">
        <w:rPr>
          <w:lang w:val="en-GB"/>
        </w:rPr>
        <w:tab/>
        <w:t>NMHC</w:t>
      </w:r>
      <w:r w:rsidRPr="00B04DC3">
        <w:rPr>
          <w:vertAlign w:val="subscript"/>
          <w:lang w:val="en-GB"/>
        </w:rPr>
        <w:t>conce</w:t>
      </w:r>
      <w:r w:rsidRPr="00B04DC3">
        <w:rPr>
          <w:lang w:val="en-GB"/>
        </w:rPr>
        <w:t xml:space="preserve"> = 27.0 − 18.0 = 9.0 ppm</w:t>
      </w:r>
    </w:p>
    <w:p w:rsidR="00BB1DA8" w:rsidRPr="00B04DC3" w:rsidRDefault="00BB1DA8" w:rsidP="00BB1DA8">
      <w:pPr>
        <w:pStyle w:val="para"/>
        <w:rPr>
          <w:lang w:val="en-GB"/>
        </w:rPr>
      </w:pPr>
      <w:r w:rsidRPr="00B04DC3">
        <w:rPr>
          <w:lang w:val="en-GB"/>
        </w:rPr>
        <w:tab/>
        <w:t>(b)</w:t>
      </w:r>
      <w:r w:rsidRPr="00B04DC3">
        <w:rPr>
          <w:lang w:val="en-GB"/>
        </w:rPr>
        <w:tab/>
        <w:t>NMC method</w:t>
      </w:r>
    </w:p>
    <w:p w:rsidR="00BB1DA8" w:rsidRPr="00B04DC3" w:rsidRDefault="00BB1DA8" w:rsidP="00BB1DA8">
      <w:pPr>
        <w:pStyle w:val="para"/>
        <w:rPr>
          <w:lang w:val="en-GB"/>
        </w:rPr>
      </w:pPr>
      <w:r w:rsidRPr="00B04DC3">
        <w:rPr>
          <w:lang w:val="en-GB"/>
        </w:rPr>
        <w:tab/>
        <w:t>Assuming a methane efficiency of 0.04 and an ethane efficiency of 0.98 (see Annex 4A, Appendix 5, paragraph 1.8.4.)</w:t>
      </w:r>
    </w:p>
    <w:bookmarkStart w:id="779" w:name="_MON_1223400620"/>
    <w:bookmarkEnd w:id="779"/>
    <w:bookmarkStart w:id="780" w:name="_MON_1223404404"/>
    <w:bookmarkEnd w:id="780"/>
    <w:p w:rsidR="00BB1DA8" w:rsidRPr="00B04DC3" w:rsidRDefault="00BB1DA8" w:rsidP="00BB1DA8">
      <w:pPr>
        <w:pStyle w:val="para"/>
        <w:ind w:firstLine="0"/>
        <w:rPr>
          <w:lang w:val="en-GB"/>
        </w:rPr>
      </w:pPr>
      <w:r w:rsidRPr="00B04DC3">
        <w:rPr>
          <w:lang w:val="en-GB"/>
        </w:rPr>
        <w:object w:dxaOrig="4642" w:dyaOrig="644">
          <v:shape id="_x0000_i1395" type="#_x0000_t75" style="width:202.8pt;height:27.6pt" o:ole="" fillcolor="window">
            <v:imagedata r:id="rId582" o:title=""/>
          </v:shape>
          <o:OLEObject Type="Embed" ProgID="Word.Picture.8" ShapeID="_x0000_i1395" DrawAspect="Content" ObjectID="_1498392401" r:id="rId583"/>
        </w:object>
      </w:r>
    </w:p>
    <w:p w:rsidR="00BB1DA8" w:rsidRPr="00B04DC3" w:rsidRDefault="00BB1DA8" w:rsidP="00BB1DA8">
      <w:pPr>
        <w:pStyle w:val="para"/>
        <w:rPr>
          <w:lang w:val="en-GB"/>
        </w:rPr>
      </w:pPr>
      <w:r w:rsidRPr="00B04DC3">
        <w:rPr>
          <w:i/>
          <w:lang w:val="en-GB"/>
        </w:rPr>
        <w:tab/>
      </w:r>
      <w:r w:rsidRPr="00B04DC3">
        <w:rPr>
          <w:lang w:val="en-GB"/>
        </w:rPr>
        <w:t>Calculation of the background corrected concentrations (Annex 4A, Appendix 2, paragraph 5.4.1.):</w:t>
      </w:r>
    </w:p>
    <w:p w:rsidR="00BB1DA8" w:rsidRPr="00B04DC3" w:rsidRDefault="00BB1DA8" w:rsidP="00BB1DA8">
      <w:pPr>
        <w:pStyle w:val="para"/>
        <w:rPr>
          <w:lang w:val="en-GB"/>
        </w:rPr>
      </w:pPr>
      <w:r w:rsidRPr="00B04DC3">
        <w:rPr>
          <w:lang w:val="en-GB"/>
        </w:rPr>
        <w:tab/>
        <w:t>Assuming a G</w:t>
      </w:r>
      <w:r w:rsidRPr="00B04DC3">
        <w:rPr>
          <w:vertAlign w:val="subscript"/>
          <w:lang w:val="en-GB"/>
        </w:rPr>
        <w:t>20</w:t>
      </w:r>
      <w:r w:rsidRPr="00B04DC3">
        <w:rPr>
          <w:lang w:val="en-GB"/>
        </w:rPr>
        <w:t xml:space="preserve"> reference fuel (100 per cent methane) of the composition C</w:t>
      </w:r>
      <w:r w:rsidRPr="00B04DC3">
        <w:rPr>
          <w:vertAlign w:val="subscript"/>
          <w:lang w:val="en-GB"/>
        </w:rPr>
        <w:t>1</w:t>
      </w:r>
      <w:r w:rsidRPr="00B04DC3">
        <w:rPr>
          <w:lang w:val="en-GB"/>
        </w:rPr>
        <w:t>H</w:t>
      </w:r>
      <w:r w:rsidRPr="00B04DC3">
        <w:rPr>
          <w:vertAlign w:val="subscript"/>
          <w:lang w:val="en-GB"/>
        </w:rPr>
        <w:t>4</w:t>
      </w:r>
      <w:r w:rsidRPr="00B04DC3">
        <w:rPr>
          <w:lang w:val="en-GB"/>
        </w:rPr>
        <w:t>:</w:t>
      </w:r>
    </w:p>
    <w:p w:rsidR="00BB1DA8" w:rsidRPr="00B04DC3" w:rsidRDefault="00BB1DA8" w:rsidP="00BB1DA8">
      <w:pPr>
        <w:pStyle w:val="para"/>
        <w:rPr>
          <w:lang w:val="en-GB"/>
        </w:rPr>
      </w:pPr>
      <w:r w:rsidRPr="00B04DC3">
        <w:rPr>
          <w:lang w:val="en-GB"/>
        </w:rPr>
        <w:tab/>
      </w:r>
      <w:r w:rsidRPr="00B04DC3">
        <w:rPr>
          <w:lang w:val="en-GB"/>
        </w:rPr>
        <w:tab/>
      </w:r>
      <w:bookmarkStart w:id="781" w:name="_MON_1223400710"/>
      <w:bookmarkEnd w:id="781"/>
      <w:bookmarkStart w:id="782" w:name="_MON_1223404414"/>
      <w:bookmarkEnd w:id="782"/>
      <w:r w:rsidRPr="00B04DC3">
        <w:rPr>
          <w:lang w:val="en-GB"/>
        </w:rPr>
        <w:object w:dxaOrig="3871" w:dyaOrig="1030">
          <v:shape id="_x0000_i1396" type="#_x0000_t75" style="width:175.8pt;height:46.2pt" o:ole="" fillcolor="window">
            <v:imagedata r:id="rId584" o:title=""/>
          </v:shape>
          <o:OLEObject Type="Embed" ProgID="Word.Picture.8" ShapeID="_x0000_i1396" DrawAspect="Content" ObjectID="_1498392402" r:id="rId585"/>
        </w:object>
      </w:r>
    </w:p>
    <w:p w:rsidR="00BB1DA8" w:rsidRPr="00B04DC3" w:rsidRDefault="00BB1DA8" w:rsidP="00BB1DA8">
      <w:pPr>
        <w:pStyle w:val="para"/>
        <w:rPr>
          <w:lang w:val="en-GB"/>
        </w:rPr>
      </w:pPr>
      <w:r w:rsidRPr="00B04DC3">
        <w:rPr>
          <w:lang w:val="en-GB"/>
        </w:rPr>
        <w:tab/>
      </w:r>
      <w:r w:rsidRPr="00B04DC3">
        <w:rPr>
          <w:lang w:val="en-GB"/>
        </w:rPr>
        <w:tab/>
      </w:r>
      <w:bookmarkStart w:id="783" w:name="_MON_1223400743"/>
      <w:bookmarkEnd w:id="783"/>
      <w:bookmarkStart w:id="784" w:name="_MON_1223404415"/>
      <w:bookmarkEnd w:id="784"/>
      <w:r w:rsidRPr="00B04DC3">
        <w:rPr>
          <w:lang w:val="en-GB"/>
        </w:rPr>
        <w:object w:dxaOrig="3999" w:dyaOrig="669">
          <v:shape id="_x0000_i1397" type="#_x0000_t75" style="width:176.4pt;height:29.4pt" o:ole="" fillcolor="window">
            <v:imagedata r:id="rId586" o:title=""/>
          </v:shape>
          <o:OLEObject Type="Embed" ProgID="Word.Picture.8" ShapeID="_x0000_i1397" DrawAspect="Content" ObjectID="_1498392403" r:id="rId587"/>
        </w:object>
      </w:r>
    </w:p>
    <w:p w:rsidR="00BB1DA8" w:rsidRPr="00B04DC3" w:rsidRDefault="00BB1DA8" w:rsidP="00BB1DA8">
      <w:pPr>
        <w:pStyle w:val="para"/>
        <w:rPr>
          <w:vertAlign w:val="subscript"/>
          <w:lang w:val="en-GB"/>
        </w:rPr>
      </w:pPr>
      <w:r w:rsidRPr="00B04DC3">
        <w:rPr>
          <w:lang w:val="en-GB"/>
        </w:rPr>
        <w:tab/>
        <w:t>For NMHC, the background concentration is the difference between HC</w:t>
      </w:r>
      <w:r w:rsidRPr="00B04DC3">
        <w:rPr>
          <w:vertAlign w:val="subscript"/>
          <w:lang w:val="en-GB"/>
        </w:rPr>
        <w:t>concd</w:t>
      </w:r>
      <w:r w:rsidRPr="00B04DC3">
        <w:rPr>
          <w:lang w:val="en-GB"/>
        </w:rPr>
        <w:t xml:space="preserve"> and CH</w:t>
      </w:r>
      <w:r w:rsidRPr="00B04DC3">
        <w:rPr>
          <w:vertAlign w:val="subscript"/>
          <w:lang w:val="en-GB"/>
        </w:rPr>
        <w:t>4 concd</w:t>
      </w:r>
    </w:p>
    <w:p w:rsidR="00BB1DA8" w:rsidRPr="00B04DC3" w:rsidRDefault="00BB1DA8" w:rsidP="00BB1DA8">
      <w:pPr>
        <w:pStyle w:val="para"/>
        <w:tabs>
          <w:tab w:val="left" w:pos="3402"/>
          <w:tab w:val="left" w:pos="3686"/>
        </w:tabs>
        <w:ind w:firstLine="0"/>
        <w:rPr>
          <w:lang w:val="en-GB"/>
        </w:rPr>
      </w:pPr>
      <w:r w:rsidRPr="00B04DC3">
        <w:rPr>
          <w:lang w:val="en-GB"/>
        </w:rPr>
        <w:t>NO</w:t>
      </w:r>
      <w:r w:rsidRPr="00B04DC3">
        <w:rPr>
          <w:vertAlign w:val="subscript"/>
          <w:lang w:val="en-GB"/>
        </w:rPr>
        <w:t>x conc</w:t>
      </w:r>
      <w:r w:rsidRPr="00B04DC3">
        <w:rPr>
          <w:lang w:val="en-GB"/>
        </w:rPr>
        <w:t xml:space="preserve"> </w:t>
      </w:r>
      <w:r w:rsidRPr="00B04DC3">
        <w:rPr>
          <w:lang w:val="en-GB"/>
        </w:rPr>
        <w:tab/>
        <w:t xml:space="preserve">= </w:t>
      </w:r>
      <w:r w:rsidRPr="00B04DC3">
        <w:rPr>
          <w:lang w:val="en-GB"/>
        </w:rPr>
        <w:tab/>
        <w:t xml:space="preserve">17.2 − 0.4 </w:t>
      </w:r>
      <w:r w:rsidRPr="00B04DC3">
        <w:rPr>
          <w:lang w:val="en-GB"/>
        </w:rPr>
        <w:sym w:font="Symbol" w:char="F0B4"/>
      </w:r>
      <w:r w:rsidRPr="00B04DC3">
        <w:rPr>
          <w:lang w:val="en-GB"/>
        </w:rPr>
        <w:t xml:space="preserve"> (1 − (1/13.01)) = 16.8 ppm</w:t>
      </w:r>
    </w:p>
    <w:p w:rsidR="00BB1DA8" w:rsidRPr="00B04DC3" w:rsidRDefault="00BB1DA8" w:rsidP="00BB1DA8">
      <w:pPr>
        <w:pStyle w:val="para"/>
        <w:tabs>
          <w:tab w:val="left" w:pos="3402"/>
          <w:tab w:val="left" w:pos="3686"/>
        </w:tabs>
        <w:ind w:firstLine="0"/>
        <w:rPr>
          <w:lang w:val="en-GB"/>
        </w:rPr>
      </w:pPr>
      <w:r w:rsidRPr="00B04DC3">
        <w:rPr>
          <w:lang w:val="en-GB"/>
        </w:rPr>
        <w:t>CO</w:t>
      </w:r>
      <w:r w:rsidRPr="00B04DC3">
        <w:rPr>
          <w:vertAlign w:val="subscript"/>
          <w:lang w:val="en-GB"/>
        </w:rPr>
        <w:t>conc</w:t>
      </w:r>
      <w:r w:rsidRPr="00B04DC3">
        <w:rPr>
          <w:vertAlign w:val="subscript"/>
          <w:lang w:val="en-GB"/>
        </w:rPr>
        <w:tab/>
      </w:r>
      <w:r w:rsidRPr="00B04DC3">
        <w:rPr>
          <w:lang w:val="en-GB"/>
        </w:rPr>
        <w:t xml:space="preserve">= </w:t>
      </w:r>
      <w:r w:rsidRPr="00B04DC3">
        <w:rPr>
          <w:lang w:val="en-GB"/>
        </w:rPr>
        <w:tab/>
        <w:t xml:space="preserve">44.3 − 1.0 </w:t>
      </w:r>
      <w:r w:rsidRPr="00B04DC3">
        <w:rPr>
          <w:lang w:val="en-GB"/>
        </w:rPr>
        <w:sym w:font="Symbol" w:char="F0B4"/>
      </w:r>
      <w:r w:rsidRPr="00B04DC3">
        <w:rPr>
          <w:lang w:val="en-GB"/>
        </w:rPr>
        <w:t xml:space="preserve"> (1 − (1/13.01)) = 43.4 ppm</w:t>
      </w:r>
    </w:p>
    <w:p w:rsidR="00BB1DA8" w:rsidRPr="00B04DC3" w:rsidRDefault="00BB1DA8" w:rsidP="00BB1DA8">
      <w:pPr>
        <w:pStyle w:val="para"/>
        <w:tabs>
          <w:tab w:val="left" w:pos="3402"/>
          <w:tab w:val="left" w:pos="3686"/>
        </w:tabs>
        <w:ind w:firstLine="0"/>
        <w:rPr>
          <w:lang w:val="en-GB"/>
        </w:rPr>
      </w:pPr>
      <w:r w:rsidRPr="00B04DC3">
        <w:rPr>
          <w:lang w:val="en-GB"/>
        </w:rPr>
        <w:t>NMHC</w:t>
      </w:r>
      <w:r w:rsidRPr="00B04DC3">
        <w:rPr>
          <w:vertAlign w:val="subscript"/>
          <w:lang w:val="en-GB"/>
        </w:rPr>
        <w:t>conc</w:t>
      </w:r>
      <w:r w:rsidRPr="00B04DC3">
        <w:rPr>
          <w:lang w:val="en-GB"/>
        </w:rPr>
        <w:t xml:space="preserve"> </w:t>
      </w:r>
      <w:r w:rsidRPr="00B04DC3">
        <w:rPr>
          <w:lang w:val="en-GB"/>
        </w:rPr>
        <w:tab/>
        <w:t>=</w:t>
      </w:r>
      <w:r w:rsidRPr="00B04DC3">
        <w:rPr>
          <w:lang w:val="en-GB"/>
        </w:rPr>
        <w:tab/>
        <w:t xml:space="preserve">8.4 − 1.32 </w:t>
      </w:r>
      <w:r w:rsidRPr="00B04DC3">
        <w:rPr>
          <w:lang w:val="en-GB"/>
        </w:rPr>
        <w:sym w:font="Symbol" w:char="F0B4"/>
      </w:r>
      <w:r w:rsidRPr="00B04DC3">
        <w:rPr>
          <w:lang w:val="en-GB"/>
        </w:rPr>
        <w:t xml:space="preserve"> (1 − (1/13.01)) = 7.2 ppm</w:t>
      </w:r>
    </w:p>
    <w:p w:rsidR="00BB1DA8" w:rsidRPr="00B04DC3" w:rsidRDefault="00BB1DA8" w:rsidP="00BB1DA8">
      <w:pPr>
        <w:pStyle w:val="para"/>
        <w:tabs>
          <w:tab w:val="left" w:pos="3402"/>
          <w:tab w:val="left" w:pos="3686"/>
        </w:tabs>
        <w:ind w:firstLine="0"/>
        <w:rPr>
          <w:lang w:val="en-GB"/>
        </w:rPr>
      </w:pPr>
      <w:r w:rsidRPr="00B04DC3">
        <w:rPr>
          <w:lang w:val="en-GB"/>
        </w:rPr>
        <w:t>CH</w:t>
      </w:r>
      <w:r w:rsidRPr="00B04DC3">
        <w:rPr>
          <w:vertAlign w:val="subscript"/>
          <w:lang w:val="en-GB"/>
        </w:rPr>
        <w:t>4 conc</w:t>
      </w:r>
      <w:r w:rsidRPr="00B04DC3">
        <w:rPr>
          <w:lang w:val="en-GB"/>
        </w:rPr>
        <w:t xml:space="preserve"> </w:t>
      </w:r>
      <w:r w:rsidRPr="00B04DC3">
        <w:rPr>
          <w:lang w:val="en-GB"/>
        </w:rPr>
        <w:tab/>
        <w:t>=</w:t>
      </w:r>
      <w:r w:rsidRPr="00B04DC3">
        <w:rPr>
          <w:lang w:val="en-GB"/>
        </w:rPr>
        <w:tab/>
        <w:t xml:space="preserve">18.0 − 1.7 </w:t>
      </w:r>
      <w:r w:rsidRPr="00B04DC3">
        <w:rPr>
          <w:lang w:val="en-GB"/>
        </w:rPr>
        <w:sym w:font="Symbol" w:char="F0B4"/>
      </w:r>
      <w:r w:rsidRPr="00B04DC3">
        <w:rPr>
          <w:lang w:val="en-GB"/>
        </w:rPr>
        <w:t xml:space="preserve"> (1 − (1/13.01)) = 16.4 ppm</w:t>
      </w:r>
    </w:p>
    <w:p w:rsidR="00BB1DA8" w:rsidRPr="00B04DC3" w:rsidRDefault="00BB1DA8" w:rsidP="00BB1DA8">
      <w:pPr>
        <w:pStyle w:val="para"/>
        <w:rPr>
          <w:lang w:val="en-GB"/>
        </w:rPr>
      </w:pPr>
      <w:r w:rsidRPr="00B04DC3">
        <w:rPr>
          <w:i/>
          <w:lang w:val="en-GB"/>
        </w:rPr>
        <w:tab/>
      </w:r>
      <w:r w:rsidRPr="00B04DC3">
        <w:rPr>
          <w:lang w:val="en-GB"/>
        </w:rPr>
        <w:t>Calculation of the emissions mass flow (Annex 4A, Appendix 2, paragraph 5.4.):</w:t>
      </w:r>
    </w:p>
    <w:p w:rsidR="00BB1DA8" w:rsidRPr="00B04DC3" w:rsidRDefault="00BB1DA8" w:rsidP="00BB1DA8">
      <w:pPr>
        <w:pStyle w:val="para"/>
        <w:tabs>
          <w:tab w:val="left" w:pos="3402"/>
          <w:tab w:val="left" w:pos="3686"/>
        </w:tabs>
        <w:ind w:firstLine="0"/>
        <w:rPr>
          <w:lang w:val="en-GB"/>
        </w:rPr>
      </w:pPr>
      <w:r w:rsidRPr="00B04DC3">
        <w:rPr>
          <w:lang w:val="en-GB"/>
        </w:rPr>
        <w:t>NO</w:t>
      </w:r>
      <w:r w:rsidRPr="00B04DC3">
        <w:rPr>
          <w:vertAlign w:val="subscript"/>
          <w:lang w:val="en-GB"/>
        </w:rPr>
        <w:t>x mass</w:t>
      </w:r>
      <w:r w:rsidRPr="00B04DC3">
        <w:rPr>
          <w:lang w:val="en-GB"/>
        </w:rPr>
        <w:t xml:space="preserve"> </w:t>
      </w:r>
      <w:r w:rsidRPr="00B04DC3">
        <w:rPr>
          <w:lang w:val="en-GB"/>
        </w:rPr>
        <w:tab/>
        <w:t>=</w:t>
      </w:r>
      <w:r w:rsidRPr="00B04DC3">
        <w:rPr>
          <w:lang w:val="en-GB"/>
        </w:rPr>
        <w:tab/>
        <w:t xml:space="preserve">0.001587 </w:t>
      </w:r>
      <w:r w:rsidRPr="00B04DC3">
        <w:rPr>
          <w:lang w:val="en-GB"/>
        </w:rPr>
        <w:sym w:font="Symbol" w:char="F0B4"/>
      </w:r>
      <w:r w:rsidRPr="00B04DC3">
        <w:rPr>
          <w:lang w:val="en-GB"/>
        </w:rPr>
        <w:t xml:space="preserve"> 16.8 </w:t>
      </w:r>
      <w:r w:rsidRPr="00B04DC3">
        <w:rPr>
          <w:lang w:val="en-GB"/>
        </w:rPr>
        <w:sym w:font="Symbol" w:char="F0B4"/>
      </w:r>
      <w:r w:rsidRPr="00B04DC3">
        <w:rPr>
          <w:lang w:val="en-GB"/>
        </w:rPr>
        <w:t xml:space="preserve"> 1.074 </w:t>
      </w:r>
      <w:r w:rsidRPr="00B04DC3">
        <w:rPr>
          <w:lang w:val="en-GB"/>
        </w:rPr>
        <w:sym w:font="Symbol" w:char="F0B4"/>
      </w:r>
      <w:r w:rsidRPr="00B04DC3">
        <w:rPr>
          <w:lang w:val="en-GB"/>
        </w:rPr>
        <w:t xml:space="preserve"> 423 7.2 = 121.330 g</w:t>
      </w:r>
    </w:p>
    <w:p w:rsidR="00BB1DA8" w:rsidRPr="00B04DC3" w:rsidRDefault="00BB1DA8" w:rsidP="00BB1DA8">
      <w:pPr>
        <w:pStyle w:val="para"/>
        <w:tabs>
          <w:tab w:val="left" w:pos="3402"/>
          <w:tab w:val="left" w:pos="3686"/>
        </w:tabs>
        <w:ind w:firstLine="0"/>
        <w:rPr>
          <w:lang w:val="en-GB"/>
        </w:rPr>
      </w:pPr>
      <w:r w:rsidRPr="00B04DC3">
        <w:rPr>
          <w:lang w:val="en-GB"/>
        </w:rPr>
        <w:t>CO</w:t>
      </w:r>
      <w:r w:rsidRPr="00B04DC3">
        <w:rPr>
          <w:vertAlign w:val="subscript"/>
          <w:lang w:val="en-GB"/>
        </w:rPr>
        <w:t>mass</w:t>
      </w:r>
      <w:r w:rsidRPr="00B04DC3">
        <w:rPr>
          <w:lang w:val="en-GB"/>
        </w:rPr>
        <w:t xml:space="preserve"> </w:t>
      </w:r>
      <w:r w:rsidRPr="00B04DC3">
        <w:rPr>
          <w:lang w:val="en-GB"/>
        </w:rPr>
        <w:tab/>
        <w:t>=</w:t>
      </w:r>
      <w:r w:rsidRPr="00B04DC3">
        <w:rPr>
          <w:lang w:val="en-GB"/>
        </w:rPr>
        <w:tab/>
        <w:t xml:space="preserve">0.000966 </w:t>
      </w:r>
      <w:r w:rsidRPr="00B04DC3">
        <w:rPr>
          <w:lang w:val="en-GB"/>
        </w:rPr>
        <w:sym w:font="Symbol" w:char="F0B4"/>
      </w:r>
      <w:r w:rsidRPr="00B04DC3">
        <w:rPr>
          <w:lang w:val="en-GB"/>
        </w:rPr>
        <w:t xml:space="preserve"> 43.4 </w:t>
      </w:r>
      <w:r w:rsidRPr="00B04DC3">
        <w:rPr>
          <w:lang w:val="en-GB"/>
        </w:rPr>
        <w:sym w:font="Symbol" w:char="F0B4"/>
      </w:r>
      <w:r w:rsidRPr="00B04DC3">
        <w:rPr>
          <w:lang w:val="en-GB"/>
        </w:rPr>
        <w:t xml:space="preserve"> 423 7.2 = 177.642 g</w:t>
      </w:r>
    </w:p>
    <w:p w:rsidR="00BB1DA8" w:rsidRPr="00B04DC3" w:rsidRDefault="00BB1DA8" w:rsidP="00BB1DA8">
      <w:pPr>
        <w:pStyle w:val="para"/>
        <w:tabs>
          <w:tab w:val="left" w:pos="3402"/>
          <w:tab w:val="left" w:pos="3686"/>
        </w:tabs>
        <w:ind w:firstLine="0"/>
        <w:rPr>
          <w:lang w:val="en-GB"/>
        </w:rPr>
      </w:pPr>
      <w:r w:rsidRPr="00B04DC3">
        <w:rPr>
          <w:lang w:val="en-GB"/>
        </w:rPr>
        <w:t>NMHC</w:t>
      </w:r>
      <w:r w:rsidRPr="00B04DC3">
        <w:rPr>
          <w:vertAlign w:val="subscript"/>
          <w:lang w:val="en-GB"/>
        </w:rPr>
        <w:t>mass</w:t>
      </w:r>
      <w:r w:rsidRPr="00B04DC3">
        <w:rPr>
          <w:lang w:val="en-GB"/>
        </w:rPr>
        <w:t xml:space="preserve"> </w:t>
      </w:r>
      <w:r w:rsidRPr="00B04DC3">
        <w:rPr>
          <w:lang w:val="en-GB"/>
        </w:rPr>
        <w:tab/>
        <w:t xml:space="preserve">= </w:t>
      </w:r>
      <w:r w:rsidRPr="00B04DC3">
        <w:rPr>
          <w:lang w:val="en-GB"/>
        </w:rPr>
        <w:tab/>
        <w:t xml:space="preserve">0.000502 </w:t>
      </w:r>
      <w:r w:rsidRPr="00B04DC3">
        <w:rPr>
          <w:lang w:val="en-GB"/>
        </w:rPr>
        <w:sym w:font="Symbol" w:char="F0B4"/>
      </w:r>
      <w:r w:rsidRPr="00B04DC3">
        <w:rPr>
          <w:lang w:val="en-GB"/>
        </w:rPr>
        <w:t xml:space="preserve"> 7.2 </w:t>
      </w:r>
      <w:r w:rsidRPr="00B04DC3">
        <w:rPr>
          <w:lang w:val="en-GB"/>
        </w:rPr>
        <w:sym w:font="Symbol" w:char="F0B4"/>
      </w:r>
      <w:r w:rsidRPr="00B04DC3">
        <w:rPr>
          <w:lang w:val="en-GB"/>
        </w:rPr>
        <w:t xml:space="preserve"> 423 7.2 = 15.315 g</w:t>
      </w:r>
    </w:p>
    <w:p w:rsidR="00BB1DA8" w:rsidRPr="00B04DC3" w:rsidRDefault="00BB1DA8" w:rsidP="00BB1DA8">
      <w:pPr>
        <w:pStyle w:val="para"/>
        <w:tabs>
          <w:tab w:val="left" w:pos="3402"/>
          <w:tab w:val="left" w:pos="3686"/>
        </w:tabs>
        <w:ind w:firstLine="0"/>
        <w:rPr>
          <w:lang w:val="en-GB"/>
        </w:rPr>
      </w:pPr>
      <w:r w:rsidRPr="00B04DC3">
        <w:rPr>
          <w:lang w:val="en-GB"/>
        </w:rPr>
        <w:t>CH</w:t>
      </w:r>
      <w:r w:rsidRPr="00B04DC3">
        <w:rPr>
          <w:vertAlign w:val="subscript"/>
          <w:lang w:val="en-GB"/>
        </w:rPr>
        <w:t>4 mass</w:t>
      </w:r>
      <w:r w:rsidRPr="00B04DC3">
        <w:rPr>
          <w:lang w:val="en-GB"/>
        </w:rPr>
        <w:t xml:space="preserve"> </w:t>
      </w:r>
      <w:r w:rsidRPr="00B04DC3">
        <w:rPr>
          <w:lang w:val="en-GB"/>
        </w:rPr>
        <w:tab/>
        <w:t xml:space="preserve">= </w:t>
      </w:r>
      <w:r w:rsidRPr="00B04DC3">
        <w:rPr>
          <w:lang w:val="en-GB"/>
        </w:rPr>
        <w:tab/>
        <w:t xml:space="preserve">0.000554 </w:t>
      </w:r>
      <w:r w:rsidRPr="00B04DC3">
        <w:rPr>
          <w:lang w:val="en-GB"/>
        </w:rPr>
        <w:sym w:font="Symbol" w:char="F0B4"/>
      </w:r>
      <w:r w:rsidRPr="00B04DC3">
        <w:rPr>
          <w:lang w:val="en-GB"/>
        </w:rPr>
        <w:t xml:space="preserve"> 16.4 </w:t>
      </w:r>
      <w:r w:rsidRPr="00B04DC3">
        <w:rPr>
          <w:lang w:val="en-GB"/>
        </w:rPr>
        <w:sym w:font="Symbol" w:char="F0B4"/>
      </w:r>
      <w:r w:rsidRPr="00B04DC3">
        <w:rPr>
          <w:lang w:val="en-GB"/>
        </w:rPr>
        <w:t xml:space="preserve"> 423 7.2 = 38.498 g</w:t>
      </w:r>
    </w:p>
    <w:p w:rsidR="00BB1DA8" w:rsidRPr="00B04DC3" w:rsidRDefault="00BB1DA8" w:rsidP="00BB1DA8">
      <w:pPr>
        <w:pStyle w:val="para"/>
        <w:rPr>
          <w:lang w:val="en-GB"/>
        </w:rPr>
      </w:pPr>
      <w:r w:rsidRPr="00B04DC3">
        <w:rPr>
          <w:i/>
          <w:lang w:val="en-GB"/>
        </w:rPr>
        <w:tab/>
      </w:r>
      <w:r w:rsidRPr="00B04DC3">
        <w:rPr>
          <w:lang w:val="en-GB"/>
        </w:rPr>
        <w:t>Calculation of the specific emissions (Annex 4A, Appendix 2, paragraph 5.5.):</w:t>
      </w:r>
    </w:p>
    <w:p w:rsidR="00BB1DA8" w:rsidRPr="00B04DC3" w:rsidRDefault="00A905B7" w:rsidP="00BB1DA8">
      <w:pPr>
        <w:pStyle w:val="para"/>
        <w:tabs>
          <w:tab w:val="left" w:pos="3402"/>
          <w:tab w:val="left" w:pos="3686"/>
        </w:tabs>
        <w:ind w:firstLine="0"/>
        <w:rPr>
          <w:lang w:val="en-GB"/>
        </w:rPr>
      </w:pPr>
      <w:r>
        <w:rPr>
          <w:lang w:val="en-GB"/>
        </w:rPr>
        <w:pict>
          <v:shape id="_x0000_i1398" type="#_x0000_t75" style="width:21.6pt;height:14.4pt" fillcolor="window">
            <v:imagedata r:id="rId588" o:title=""/>
          </v:shape>
        </w:pict>
      </w:r>
      <w:r w:rsidR="00BB1DA8" w:rsidRPr="00B04DC3">
        <w:rPr>
          <w:lang w:val="en-GB"/>
        </w:rPr>
        <w:t xml:space="preserve"> </w:t>
      </w:r>
      <w:r w:rsidR="00BB1DA8" w:rsidRPr="00B04DC3">
        <w:rPr>
          <w:lang w:val="en-GB"/>
        </w:rPr>
        <w:tab/>
        <w:t xml:space="preserve">= </w:t>
      </w:r>
      <w:r w:rsidR="00BB1DA8" w:rsidRPr="00B04DC3">
        <w:rPr>
          <w:lang w:val="en-GB"/>
        </w:rPr>
        <w:tab/>
        <w:t>121.330/62.72 = 1.93 g/kWh</w:t>
      </w:r>
    </w:p>
    <w:p w:rsidR="00BB1DA8" w:rsidRPr="00B04DC3" w:rsidRDefault="00A905B7" w:rsidP="00BB1DA8">
      <w:pPr>
        <w:pStyle w:val="para"/>
        <w:tabs>
          <w:tab w:val="left" w:pos="3402"/>
          <w:tab w:val="left" w:pos="3686"/>
        </w:tabs>
        <w:ind w:firstLine="0"/>
        <w:rPr>
          <w:lang w:val="en-GB"/>
        </w:rPr>
      </w:pPr>
      <w:r>
        <w:rPr>
          <w:lang w:val="en-GB"/>
        </w:rPr>
        <w:pict>
          <v:shape id="_x0000_i1399" type="#_x0000_t75" style="width:16.2pt;height:15.6pt" fillcolor="window">
            <v:imagedata r:id="rId589" o:title=""/>
          </v:shape>
        </w:pict>
      </w:r>
      <w:r w:rsidR="00BB1DA8" w:rsidRPr="00B04DC3">
        <w:rPr>
          <w:lang w:val="en-GB"/>
        </w:rPr>
        <w:t xml:space="preserve"> </w:t>
      </w:r>
      <w:r w:rsidR="00BB1DA8" w:rsidRPr="00B04DC3">
        <w:rPr>
          <w:lang w:val="en-GB"/>
        </w:rPr>
        <w:tab/>
        <w:t xml:space="preserve">= </w:t>
      </w:r>
      <w:r w:rsidR="00BB1DA8" w:rsidRPr="00B04DC3">
        <w:rPr>
          <w:lang w:val="en-GB"/>
        </w:rPr>
        <w:tab/>
        <w:t>177.642/62.72 = 2.83 g/kWh</w:t>
      </w:r>
    </w:p>
    <w:p w:rsidR="00BB1DA8" w:rsidRPr="00B04DC3" w:rsidRDefault="00A905B7" w:rsidP="00BB1DA8">
      <w:pPr>
        <w:pStyle w:val="para"/>
        <w:tabs>
          <w:tab w:val="left" w:pos="3402"/>
          <w:tab w:val="left" w:pos="3686"/>
        </w:tabs>
        <w:ind w:firstLine="0"/>
        <w:rPr>
          <w:lang w:val="en-GB"/>
        </w:rPr>
      </w:pPr>
      <w:r>
        <w:rPr>
          <w:lang w:val="en-GB"/>
        </w:rPr>
        <w:pict>
          <v:shape id="_x0000_i1400" type="#_x0000_t75" style="width:31.8pt;height:14.4pt" fillcolor="window">
            <v:imagedata r:id="rId590" o:title=""/>
          </v:shape>
        </w:pict>
      </w:r>
      <w:r w:rsidR="00BB1DA8" w:rsidRPr="00B04DC3">
        <w:rPr>
          <w:lang w:val="en-GB"/>
        </w:rPr>
        <w:tab/>
        <w:t xml:space="preserve">= </w:t>
      </w:r>
      <w:r w:rsidR="00BB1DA8" w:rsidRPr="00B04DC3">
        <w:rPr>
          <w:lang w:val="en-GB"/>
        </w:rPr>
        <w:tab/>
        <w:t>15.315/62.72 = 0.244 g/kWh</w:t>
      </w:r>
    </w:p>
    <w:p w:rsidR="00BB1DA8" w:rsidRPr="00B04DC3" w:rsidRDefault="00A905B7" w:rsidP="00BB1DA8">
      <w:pPr>
        <w:pStyle w:val="para"/>
        <w:tabs>
          <w:tab w:val="left" w:pos="3402"/>
          <w:tab w:val="left" w:pos="3686"/>
        </w:tabs>
        <w:ind w:firstLine="0"/>
        <w:rPr>
          <w:lang w:val="en-GB"/>
        </w:rPr>
      </w:pPr>
      <w:r>
        <w:rPr>
          <w:lang w:val="en-GB"/>
        </w:rPr>
        <w:pict>
          <v:shape id="_x0000_i1401" type="#_x0000_t75" style="width:21.6pt;height:15.6pt" fillcolor="window">
            <v:imagedata r:id="rId591" o:title=""/>
          </v:shape>
        </w:pict>
      </w:r>
      <w:r w:rsidR="00BB1DA8" w:rsidRPr="00B04DC3">
        <w:rPr>
          <w:lang w:val="en-GB"/>
        </w:rPr>
        <w:t xml:space="preserve"> </w:t>
      </w:r>
      <w:r w:rsidR="00BB1DA8" w:rsidRPr="00B04DC3">
        <w:rPr>
          <w:lang w:val="en-GB"/>
        </w:rPr>
        <w:tab/>
        <w:t xml:space="preserve">= </w:t>
      </w:r>
      <w:r w:rsidR="00BB1DA8" w:rsidRPr="00B04DC3">
        <w:rPr>
          <w:lang w:val="en-GB"/>
        </w:rPr>
        <w:tab/>
        <w:t>38.498/62.72 = 0.614 g/kWh</w:t>
      </w:r>
    </w:p>
    <w:p w:rsidR="00BB1DA8" w:rsidRPr="00B04DC3" w:rsidRDefault="00BB1DA8" w:rsidP="00BB1DA8">
      <w:pPr>
        <w:pStyle w:val="para"/>
        <w:rPr>
          <w:lang w:val="en-GB"/>
        </w:rPr>
      </w:pPr>
      <w:r w:rsidRPr="00B04DC3">
        <w:rPr>
          <w:lang w:val="en-GB"/>
        </w:rPr>
        <w:t>4.</w:t>
      </w:r>
      <w:r w:rsidRPr="00B04DC3">
        <w:rPr>
          <w:lang w:val="en-GB"/>
        </w:rPr>
        <w:tab/>
        <w:t>λ-Shift factor (S</w:t>
      </w:r>
      <w:r w:rsidRPr="00B04DC3">
        <w:rPr>
          <w:vertAlign w:val="subscript"/>
          <w:lang w:val="en-GB"/>
        </w:rPr>
        <w:t>λ</w:t>
      </w:r>
      <w:r w:rsidRPr="00B04DC3">
        <w:rPr>
          <w:lang w:val="en-GB"/>
        </w:rPr>
        <w:t>)</w:t>
      </w:r>
    </w:p>
    <w:p w:rsidR="00BB1DA8" w:rsidRPr="00B04DC3" w:rsidRDefault="00BB1DA8" w:rsidP="00BB1DA8">
      <w:pPr>
        <w:pStyle w:val="para"/>
        <w:rPr>
          <w:lang w:val="en-GB"/>
        </w:rPr>
      </w:pPr>
      <w:r w:rsidRPr="00B04DC3">
        <w:rPr>
          <w:lang w:val="en-GB"/>
        </w:rPr>
        <w:t>4.1.</w:t>
      </w:r>
      <w:r w:rsidRPr="00B04DC3">
        <w:rPr>
          <w:lang w:val="en-GB"/>
        </w:rPr>
        <w:tab/>
        <w:t>Calculation of the λ-shift factor (S</w:t>
      </w:r>
      <w:r w:rsidRPr="00B04DC3">
        <w:rPr>
          <w:vertAlign w:val="subscript"/>
          <w:lang w:val="en-GB"/>
        </w:rPr>
        <w:t>λ</w:t>
      </w:r>
      <w:r w:rsidRPr="00B04DC3">
        <w:rPr>
          <w:lang w:val="en-GB"/>
        </w:rPr>
        <w:t>)</w:t>
      </w:r>
      <w:r w:rsidRPr="00B04DC3">
        <w:rPr>
          <w:vertAlign w:val="superscript"/>
          <w:lang w:val="en-GB"/>
        </w:rPr>
        <w:footnoteReference w:id="37"/>
      </w:r>
    </w:p>
    <w:p w:rsidR="00BB1DA8" w:rsidRPr="00B04DC3" w:rsidRDefault="00BB1DA8" w:rsidP="00BB1DA8">
      <w:pPr>
        <w:pStyle w:val="para"/>
        <w:rPr>
          <w:lang w:val="en-GB"/>
        </w:rPr>
      </w:pPr>
      <w:r w:rsidRPr="00B04DC3">
        <w:rPr>
          <w:lang w:val="en-GB"/>
        </w:rPr>
        <w:tab/>
      </w:r>
      <w:r w:rsidRPr="00B04DC3">
        <w:rPr>
          <w:lang w:val="en-GB"/>
        </w:rPr>
        <w:tab/>
      </w:r>
      <w:r w:rsidR="00A905B7">
        <w:rPr>
          <w:lang w:val="en-GB"/>
        </w:rPr>
        <w:pict>
          <v:shape id="_x0000_i1402" type="#_x0000_t75" style="width:140.4pt;height:45.6pt" fillcolor="window">
            <v:imagedata r:id="rId592" o:title=""/>
          </v:shape>
        </w:pict>
      </w:r>
    </w:p>
    <w:p w:rsidR="00BB1DA8" w:rsidRPr="00B04DC3" w:rsidRDefault="00BB1DA8" w:rsidP="00BB1DA8">
      <w:pPr>
        <w:pStyle w:val="para"/>
        <w:rPr>
          <w:lang w:val="en-GB"/>
        </w:rPr>
      </w:pPr>
      <w:r w:rsidRPr="00B04DC3">
        <w:rPr>
          <w:lang w:val="en-GB"/>
        </w:rPr>
        <w:tab/>
      </w:r>
      <w:r w:rsidR="000E4497" w:rsidRPr="00B04DC3">
        <w:rPr>
          <w:lang w:val="en-GB"/>
        </w:rPr>
        <w:t>Where</w:t>
      </w:r>
      <w:r w:rsidRPr="00B04DC3">
        <w:rPr>
          <w:lang w:val="en-GB"/>
        </w:rPr>
        <w:t>:</w:t>
      </w:r>
    </w:p>
    <w:p w:rsidR="00BB1DA8" w:rsidRPr="00B04DC3" w:rsidRDefault="00BB1DA8" w:rsidP="00BB1DA8">
      <w:pPr>
        <w:pStyle w:val="para"/>
        <w:tabs>
          <w:tab w:val="left" w:pos="3402"/>
          <w:tab w:val="left" w:pos="3686"/>
        </w:tabs>
        <w:ind w:firstLine="0"/>
        <w:rPr>
          <w:lang w:val="en-GB"/>
        </w:rPr>
      </w:pPr>
      <w:r w:rsidRPr="00B04DC3">
        <w:rPr>
          <w:lang w:val="en-GB"/>
        </w:rPr>
        <w:t>S</w:t>
      </w:r>
      <w:r w:rsidRPr="00B04DC3">
        <w:rPr>
          <w:vertAlign w:val="subscript"/>
          <w:lang w:val="en-GB"/>
        </w:rPr>
        <w:t xml:space="preserve">λ </w:t>
      </w:r>
      <w:r w:rsidRPr="00B04DC3">
        <w:rPr>
          <w:lang w:val="en-GB"/>
        </w:rPr>
        <w:tab/>
        <w:t>=</w:t>
      </w:r>
      <w:r w:rsidRPr="00B04DC3">
        <w:rPr>
          <w:lang w:val="en-GB"/>
        </w:rPr>
        <w:tab/>
        <w:t>λ-shift factor;</w:t>
      </w:r>
    </w:p>
    <w:p w:rsidR="00BB1DA8" w:rsidRPr="00B04DC3" w:rsidRDefault="00BB1DA8" w:rsidP="00BB1DA8">
      <w:pPr>
        <w:pStyle w:val="para"/>
        <w:tabs>
          <w:tab w:val="left" w:pos="3402"/>
          <w:tab w:val="left" w:pos="3686"/>
        </w:tabs>
        <w:ind w:left="3686" w:hanging="1418"/>
        <w:rPr>
          <w:spacing w:val="-2"/>
          <w:lang w:val="en-GB"/>
        </w:rPr>
      </w:pPr>
      <w:r w:rsidRPr="00B04DC3">
        <w:rPr>
          <w:lang w:val="en-GB"/>
        </w:rPr>
        <w:t>inert per cent</w:t>
      </w:r>
      <w:r w:rsidRPr="00B04DC3">
        <w:rPr>
          <w:lang w:val="en-GB"/>
        </w:rPr>
        <w:tab/>
        <w:t>=</w:t>
      </w:r>
      <w:r w:rsidRPr="00B04DC3">
        <w:rPr>
          <w:lang w:val="en-GB"/>
        </w:rPr>
        <w:tab/>
      </w:r>
      <w:r w:rsidRPr="00B04DC3">
        <w:rPr>
          <w:spacing w:val="-2"/>
          <w:lang w:val="en-GB"/>
        </w:rPr>
        <w:t>per cent by volume of inert gases in the fuel (i.e. N</w:t>
      </w:r>
      <w:r w:rsidRPr="00B04DC3">
        <w:rPr>
          <w:spacing w:val="-2"/>
          <w:vertAlign w:val="subscript"/>
          <w:lang w:val="en-GB"/>
        </w:rPr>
        <w:t>2</w:t>
      </w:r>
      <w:r w:rsidRPr="00B04DC3">
        <w:rPr>
          <w:spacing w:val="-2"/>
          <w:lang w:val="en-GB"/>
        </w:rPr>
        <w:t>, CO</w:t>
      </w:r>
      <w:r w:rsidRPr="00B04DC3">
        <w:rPr>
          <w:spacing w:val="-2"/>
          <w:vertAlign w:val="subscript"/>
          <w:lang w:val="en-GB"/>
        </w:rPr>
        <w:t>2</w:t>
      </w:r>
      <w:r w:rsidRPr="00B04DC3">
        <w:rPr>
          <w:spacing w:val="-2"/>
          <w:lang w:val="en-GB"/>
        </w:rPr>
        <w:t>,</w:t>
      </w:r>
      <w:r w:rsidRPr="00B04DC3">
        <w:rPr>
          <w:spacing w:val="-2"/>
          <w:lang w:val="en-GB"/>
        </w:rPr>
        <w:br/>
        <w:t>He, etc.);</w:t>
      </w:r>
    </w:p>
    <w:p w:rsidR="00BB1DA8" w:rsidRPr="00B04DC3" w:rsidRDefault="00A905B7" w:rsidP="00BB1DA8">
      <w:pPr>
        <w:pStyle w:val="para"/>
        <w:tabs>
          <w:tab w:val="left" w:pos="3402"/>
          <w:tab w:val="left" w:pos="3686"/>
        </w:tabs>
        <w:ind w:firstLine="0"/>
        <w:rPr>
          <w:lang w:val="en-GB"/>
        </w:rPr>
      </w:pPr>
      <w:r>
        <w:rPr>
          <w:lang w:val="en-GB"/>
        </w:rPr>
        <w:pict>
          <v:shape id="_x0000_i1403" type="#_x0000_t75" style="width:16.2pt;height:18.6pt" fillcolor="window">
            <v:imagedata r:id="rId593" o:title=""/>
          </v:shape>
        </w:pict>
      </w:r>
      <w:r w:rsidR="00BB1DA8" w:rsidRPr="00B04DC3">
        <w:rPr>
          <w:lang w:val="en-GB"/>
        </w:rPr>
        <w:tab/>
        <w:t xml:space="preserve">= </w:t>
      </w:r>
      <w:r w:rsidR="00BB1DA8" w:rsidRPr="00B04DC3">
        <w:rPr>
          <w:lang w:val="en-GB"/>
        </w:rPr>
        <w:tab/>
        <w:t>per cent by volume of original oxygen in the fuel;</w:t>
      </w:r>
    </w:p>
    <w:p w:rsidR="00BB1DA8" w:rsidRPr="00B04DC3" w:rsidRDefault="00BB1DA8" w:rsidP="00BB1DA8">
      <w:pPr>
        <w:pStyle w:val="para"/>
        <w:tabs>
          <w:tab w:val="left" w:pos="3402"/>
          <w:tab w:val="left" w:pos="3686"/>
        </w:tabs>
        <w:ind w:firstLine="0"/>
        <w:rPr>
          <w:spacing w:val="-2"/>
          <w:lang w:val="en-GB"/>
        </w:rPr>
      </w:pPr>
      <w:r w:rsidRPr="00B04DC3">
        <w:rPr>
          <w:lang w:val="en-GB"/>
        </w:rPr>
        <w:t>n and m</w:t>
      </w:r>
      <w:r w:rsidRPr="00B04DC3">
        <w:rPr>
          <w:lang w:val="en-GB"/>
        </w:rPr>
        <w:tab/>
        <w:t xml:space="preserve">= </w:t>
      </w:r>
      <w:r w:rsidRPr="00B04DC3">
        <w:rPr>
          <w:spacing w:val="-2"/>
          <w:lang w:val="en-GB"/>
        </w:rPr>
        <w:tab/>
        <w:t>refer to average C</w:t>
      </w:r>
      <w:r w:rsidRPr="00B04DC3">
        <w:rPr>
          <w:spacing w:val="-2"/>
          <w:vertAlign w:val="subscript"/>
          <w:lang w:val="en-GB"/>
        </w:rPr>
        <w:t>n</w:t>
      </w:r>
      <w:r w:rsidRPr="00B04DC3">
        <w:rPr>
          <w:spacing w:val="-2"/>
          <w:lang w:val="en-GB"/>
        </w:rPr>
        <w:t>H</w:t>
      </w:r>
      <w:r w:rsidRPr="00B04DC3">
        <w:rPr>
          <w:spacing w:val="-2"/>
          <w:vertAlign w:val="subscript"/>
          <w:lang w:val="en-GB"/>
        </w:rPr>
        <w:t>m</w:t>
      </w:r>
      <w:r w:rsidRPr="00B04DC3">
        <w:rPr>
          <w:spacing w:val="-2"/>
          <w:lang w:val="en-GB"/>
        </w:rPr>
        <w:t xml:space="preserve"> representing the fuel hydrocarbons, i.e:</w:t>
      </w:r>
    </w:p>
    <w:p w:rsidR="008529AC" w:rsidRPr="00B04DC3" w:rsidRDefault="008529AC" w:rsidP="00BB1DA8">
      <w:pPr>
        <w:pStyle w:val="para"/>
        <w:tabs>
          <w:tab w:val="left" w:pos="3402"/>
          <w:tab w:val="left" w:pos="3686"/>
        </w:tabs>
        <w:ind w:firstLine="0"/>
        <w:rPr>
          <w:spacing w:val="-2"/>
          <w:lang w:val="en-GB"/>
        </w:rPr>
      </w:pPr>
    </w:p>
    <w:p w:rsidR="00BB1DA8" w:rsidRPr="00B04DC3" w:rsidRDefault="00A905B7" w:rsidP="00BB1DA8">
      <w:pPr>
        <w:pStyle w:val="para"/>
        <w:spacing w:after="240"/>
        <w:ind w:firstLine="0"/>
        <w:rPr>
          <w:lang w:val="en-GB"/>
        </w:rPr>
      </w:pPr>
      <w:r>
        <w:rPr>
          <w:lang w:val="en-GB"/>
        </w:rPr>
        <w:pict>
          <v:shape id="_x0000_i1404" type="#_x0000_t75" style="width:283.8pt;height:52.2pt" fillcolor="window">
            <v:imagedata r:id="rId594" o:title=""/>
          </v:shape>
        </w:pict>
      </w:r>
    </w:p>
    <w:p w:rsidR="00BB1DA8" w:rsidRPr="00B04DC3" w:rsidRDefault="00A905B7" w:rsidP="00BB1DA8">
      <w:pPr>
        <w:pStyle w:val="para"/>
        <w:ind w:firstLine="0"/>
        <w:rPr>
          <w:lang w:val="en-GB"/>
        </w:rPr>
      </w:pPr>
      <w:r>
        <w:rPr>
          <w:lang w:val="en-GB"/>
        </w:rPr>
      </w:r>
      <w:r>
        <w:rPr>
          <w:lang w:val="en-GB"/>
        </w:rPr>
        <w:pict>
          <v:group id="_x0000_s6038" editas="canvas" style="width:288.7pt;height:51.95pt;mso-position-horizontal-relative:char;mso-position-vertical-relative:line" coordsize="5774,1039">
            <o:lock v:ext="edit" aspectratio="t"/>
            <v:shape id="_x0000_s6037" type="#_x0000_t75" style="position:absolute;width:5774;height:1039" o:preferrelative="f">
              <v:fill o:detectmouseclick="t"/>
              <v:path o:extrusionok="t" o:connecttype="none"/>
              <o:lock v:ext="edit" text="t"/>
            </v:shape>
            <v:line id="_x0000_s6039" style="position:absolute" from="713,274" to="1246,274" strokeweight=".2pt"/>
            <v:line id="_x0000_s6040" style="position:absolute" from="1838,274" to="2459,274" strokeweight=".2pt"/>
            <v:line id="_x0000_s6041" style="position:absolute" from="3049,274" to="3668,274" strokeweight=".2pt"/>
            <v:line id="_x0000_s6042" style="position:absolute" from="4528,258" to="5133,259" strokeweight=".2pt"/>
            <v:line id="_x0000_s6043" style="position:absolute" from="2377,773" to="3328,773" strokeweight=".2pt"/>
            <v:line id="_x0000_s6044" style="position:absolute" from="373,535" to="5332,535" strokeweight=".4pt"/>
            <v:rect id="_x0000_s6045" style="position:absolute;left:2707;top:799;width:271;height:240;mso-wrap-style:none" filled="f" stroked="f">
              <v:textbox style="mso-rotate-with-shape:t;mso-fit-shape-to-text:t" inset="0,0,0,0">
                <w:txbxContent>
                  <w:p w:rsidR="00A905B7" w:rsidRDefault="00A905B7">
                    <w:r>
                      <w:rPr>
                        <w:color w:val="000000"/>
                        <w:sz w:val="18"/>
                        <w:szCs w:val="18"/>
                        <w:lang w:val="en-US"/>
                      </w:rPr>
                      <w:t>100</w:t>
                    </w:r>
                  </w:p>
                </w:txbxContent>
              </v:textbox>
            </v:rect>
            <v:rect id="_x0000_s6046" style="position:absolute;left:3166;top:541;width:150;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47" style="position:absolute;left:2617;top:541;width:500;height:240;mso-wrap-style:none" filled="f" stroked="f">
              <v:textbox style="mso-rotate-with-shape:t;mso-fit-shape-to-text:t" inset="0,0,0,0">
                <w:txbxContent>
                  <w:p w:rsidR="00A905B7" w:rsidRDefault="00A905B7">
                    <w:r>
                      <w:rPr>
                        <w:color w:val="000000"/>
                        <w:sz w:val="18"/>
                        <w:szCs w:val="18"/>
                        <w:lang w:val="en-US"/>
                      </w:rPr>
                      <w:t xml:space="preserve">diluent </w:t>
                    </w:r>
                  </w:p>
                </w:txbxContent>
              </v:textbox>
            </v:rect>
            <v:rect id="_x0000_s6048" style="position:absolute;left:2370;top:541;width:91;height:240;mso-wrap-style:none" filled="f" stroked="f">
              <v:textbox style="mso-rotate-with-shape:t;mso-fit-shape-to-text:t" inset="0,0,0,0">
                <w:txbxContent>
                  <w:p w:rsidR="00A905B7" w:rsidRDefault="00A905B7">
                    <w:r>
                      <w:rPr>
                        <w:color w:val="000000"/>
                        <w:sz w:val="18"/>
                        <w:szCs w:val="18"/>
                        <w:lang w:val="en-US"/>
                      </w:rPr>
                      <w:t>1</w:t>
                    </w:r>
                  </w:p>
                </w:txbxContent>
              </v:textbox>
            </v:rect>
            <v:rect id="_x0000_s6049" style="position:absolute;left:5378;top:157;width:91;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50" style="position:absolute;left:4685;top:300;width:271;height:240;mso-wrap-style:none" filled="f" stroked="f">
              <v:textbox style="mso-rotate-with-shape:t;mso-fit-shape-to-text:t" inset="0,0,0,0">
                <w:txbxContent>
                  <w:p w:rsidR="00A905B7" w:rsidRDefault="00A905B7">
                    <w:r>
                      <w:rPr>
                        <w:color w:val="000000"/>
                        <w:sz w:val="18"/>
                        <w:szCs w:val="18"/>
                        <w:lang w:val="en-US"/>
                      </w:rPr>
                      <w:t>100</w:t>
                    </w:r>
                  </w:p>
                </w:txbxContent>
              </v:textbox>
            </v:rect>
            <v:rect id="_x0000_s6051" style="position:absolute;left:4971;top:35;width:150;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52" style="position:absolute;left:4741;top:35;width:130;height:240;mso-wrap-style:none" filled="f" stroked="f">
              <v:textbox style="mso-rotate-with-shape:t;mso-fit-shape-to-text:t" inset="0,0,0,0">
                <w:txbxContent>
                  <w:p w:rsidR="00A905B7" w:rsidRDefault="00A905B7">
                    <w:r>
                      <w:rPr>
                        <w:color w:val="000000"/>
                        <w:sz w:val="18"/>
                        <w:szCs w:val="18"/>
                        <w:lang w:val="en-US"/>
                      </w:rPr>
                      <w:t>H</w:t>
                    </w:r>
                  </w:p>
                </w:txbxContent>
              </v:textbox>
            </v:rect>
            <v:rect id="_x0000_s6053" style="position:absolute;left:4537;top:35;width:121;height:240;mso-wrap-style:none" filled="f" stroked="f">
              <v:textbox style="mso-rotate-with-shape:t;mso-fit-shape-to-text:t" inset="0,0,0,0">
                <w:txbxContent>
                  <w:p w:rsidR="00A905B7" w:rsidRDefault="00A905B7">
                    <w:r>
                      <w:rPr>
                        <w:color w:val="000000"/>
                        <w:sz w:val="18"/>
                        <w:szCs w:val="18"/>
                        <w:lang w:val="en-US"/>
                      </w:rPr>
                      <w:t>C</w:t>
                    </w:r>
                  </w:p>
                </w:txbxContent>
              </v:textbox>
            </v:rect>
            <v:rect id="_x0000_s6054" style="position:absolute;left:3897;top:157;width:409;height:240" filled="f" stroked="f">
              <v:textbox style="mso-rotate-with-shape:t;mso-fit-shape-to-text:t" inset="0,0,0,0">
                <w:txbxContent>
                  <w:p w:rsidR="00A905B7" w:rsidRDefault="00A905B7">
                    <w:r>
                      <w:rPr>
                        <w:color w:val="000000"/>
                        <w:sz w:val="18"/>
                        <w:szCs w:val="18"/>
                        <w:lang w:val="en-US"/>
                      </w:rPr>
                      <w:t xml:space="preserve">.. </w:t>
                    </w:r>
                    <w:r w:rsidRPr="00930D21">
                      <w:rPr>
                        <w:color w:val="000000"/>
                        <w:sz w:val="16"/>
                        <w:szCs w:val="16"/>
                        <w:lang w:val="en-US"/>
                      </w:rPr>
                      <w:t>+</w:t>
                    </w:r>
                    <w:r>
                      <w:rPr>
                        <w:color w:val="000000"/>
                        <w:sz w:val="16"/>
                        <w:szCs w:val="16"/>
                        <w:lang w:val="en-US"/>
                      </w:rPr>
                      <w:t xml:space="preserve"> </w:t>
                    </w:r>
                    <w:r>
                      <w:rPr>
                        <w:color w:val="000000"/>
                        <w:sz w:val="18"/>
                        <w:szCs w:val="18"/>
                        <w:lang w:val="en-US"/>
                      </w:rPr>
                      <w:t>8</w:t>
                    </w:r>
                  </w:p>
                </w:txbxContent>
              </v:textbox>
            </v:rect>
            <v:rect id="_x0000_s6055" style="position:absolute;left:3213;top:300;width:271;height:240;mso-wrap-style:none" filled="f" stroked="f">
              <v:textbox style="mso-rotate-with-shape:t;mso-fit-shape-to-text:t" inset="0,0,0,0">
                <w:txbxContent>
                  <w:p w:rsidR="00A905B7" w:rsidRDefault="00A905B7">
                    <w:r>
                      <w:rPr>
                        <w:color w:val="000000"/>
                        <w:sz w:val="18"/>
                        <w:szCs w:val="18"/>
                        <w:lang w:val="en-US"/>
                      </w:rPr>
                      <w:t>100</w:t>
                    </w:r>
                  </w:p>
                </w:txbxContent>
              </v:textbox>
            </v:rect>
            <v:rect id="_x0000_s6056" style="position:absolute;left:3506;top:35;width:150;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57" style="position:absolute;left:3270;top:35;width:130;height:240;mso-wrap-style:none" filled="f" stroked="f">
              <v:textbox style="mso-rotate-with-shape:t;mso-fit-shape-to-text:t" inset="0,0,0,0">
                <w:txbxContent>
                  <w:p w:rsidR="00A905B7" w:rsidRDefault="00A905B7">
                    <w:r>
                      <w:rPr>
                        <w:color w:val="000000"/>
                        <w:sz w:val="18"/>
                        <w:szCs w:val="18"/>
                        <w:lang w:val="en-US"/>
                      </w:rPr>
                      <w:t>H</w:t>
                    </w:r>
                  </w:p>
                </w:txbxContent>
              </v:textbox>
            </v:rect>
            <v:rect id="_x0000_s6058" style="position:absolute;left:3058;top:35;width:121;height:240;mso-wrap-style:none" filled="f" stroked="f">
              <v:textbox style="mso-rotate-with-shape:t;mso-fit-shape-to-text:t" inset="0,0,0,0">
                <w:txbxContent>
                  <w:p w:rsidR="00A905B7" w:rsidRDefault="00A905B7">
                    <w:r>
                      <w:rPr>
                        <w:color w:val="000000"/>
                        <w:sz w:val="18"/>
                        <w:szCs w:val="18"/>
                        <w:lang w:val="en-US"/>
                      </w:rPr>
                      <w:t>C</w:t>
                    </w:r>
                  </w:p>
                </w:txbxContent>
              </v:textbox>
            </v:rect>
            <v:rect id="_x0000_s6059" style="position:absolute;left:2721;top:157;width:91;height:240;mso-wrap-style:none" filled="f" stroked="f">
              <v:textbox style="mso-rotate-with-shape:t;mso-fit-shape-to-text:t" inset="0,0,0,0">
                <w:txbxContent>
                  <w:p w:rsidR="00A905B7" w:rsidRDefault="00A905B7">
                    <w:r>
                      <w:rPr>
                        <w:color w:val="000000"/>
                        <w:sz w:val="18"/>
                        <w:szCs w:val="18"/>
                        <w:lang w:val="en-US"/>
                      </w:rPr>
                      <w:t>6</w:t>
                    </w:r>
                  </w:p>
                </w:txbxContent>
              </v:textbox>
            </v:rect>
            <v:rect id="_x0000_s6060" style="position:absolute;left:2004;top:300;width:271;height:240;mso-wrap-style:none" filled="f" stroked="f">
              <v:textbox style="mso-rotate-with-shape:t;mso-fit-shape-to-text:t" inset="0,0,0,0">
                <w:txbxContent>
                  <w:p w:rsidR="00A905B7" w:rsidRDefault="00A905B7">
                    <w:r>
                      <w:rPr>
                        <w:color w:val="000000"/>
                        <w:sz w:val="18"/>
                        <w:szCs w:val="18"/>
                        <w:lang w:val="en-US"/>
                      </w:rPr>
                      <w:t>100</w:t>
                    </w:r>
                  </w:p>
                </w:txbxContent>
              </v:textbox>
            </v:rect>
            <v:rect id="_x0000_s6061" style="position:absolute;left:2297;top:37;width:150;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62" style="position:absolute;left:2060;top:37;width:130;height:240;mso-wrap-style:none" filled="f" stroked="f">
              <v:textbox style="mso-rotate-with-shape:t;mso-fit-shape-to-text:t" inset="0,0,0,0">
                <w:txbxContent>
                  <w:p w:rsidR="00A905B7" w:rsidRDefault="00A905B7">
                    <w:r>
                      <w:rPr>
                        <w:color w:val="000000"/>
                        <w:sz w:val="18"/>
                        <w:szCs w:val="18"/>
                        <w:lang w:val="en-US"/>
                      </w:rPr>
                      <w:t>H</w:t>
                    </w:r>
                  </w:p>
                </w:txbxContent>
              </v:textbox>
            </v:rect>
            <v:rect id="_x0000_s6063" style="position:absolute;left:1848;top:37;width:121;height:240;mso-wrap-style:none" filled="f" stroked="f">
              <v:textbox style="mso-rotate-with-shape:t;mso-fit-shape-to-text:t" inset="0,0,0,0">
                <w:txbxContent>
                  <w:p w:rsidR="00A905B7" w:rsidRDefault="00A905B7">
                    <w:r>
                      <w:rPr>
                        <w:color w:val="000000"/>
                        <w:sz w:val="18"/>
                        <w:szCs w:val="18"/>
                        <w:lang w:val="en-US"/>
                      </w:rPr>
                      <w:t>C</w:t>
                    </w:r>
                  </w:p>
                </w:txbxContent>
              </v:textbox>
            </v:rect>
            <v:rect id="_x0000_s6064" style="position:absolute;left:1510;top:157;width:91;height:240;mso-wrap-style:none" filled="f" stroked="f">
              <v:textbox style="mso-rotate-with-shape:t;mso-fit-shape-to-text:t" inset="0,0,0,0">
                <w:txbxContent>
                  <w:p w:rsidR="00A905B7" w:rsidRDefault="00A905B7">
                    <w:r>
                      <w:rPr>
                        <w:color w:val="000000"/>
                        <w:sz w:val="18"/>
                        <w:szCs w:val="18"/>
                        <w:lang w:val="en-US"/>
                      </w:rPr>
                      <w:t>4</w:t>
                    </w:r>
                  </w:p>
                </w:txbxContent>
              </v:textbox>
            </v:rect>
            <v:rect id="_x0000_s6065" style="position:absolute;left:834;top:300;width:271;height:240;mso-wrap-style:none" filled="f" stroked="f">
              <v:textbox style="mso-rotate-with-shape:t;mso-fit-shape-to-text:t" inset="0,0,0,0">
                <w:txbxContent>
                  <w:p w:rsidR="00A905B7" w:rsidRDefault="00A905B7">
                    <w:r>
                      <w:rPr>
                        <w:color w:val="000000"/>
                        <w:sz w:val="18"/>
                        <w:szCs w:val="18"/>
                        <w:lang w:val="en-US"/>
                      </w:rPr>
                      <w:t>100</w:t>
                    </w:r>
                  </w:p>
                </w:txbxContent>
              </v:textbox>
            </v:rect>
            <v:rect id="_x0000_s6066" style="position:absolute;left:1084;top:37;width:150;height:240;mso-wrap-style:none" filled="f" stroked="f">
              <v:textbox style="mso-rotate-with-shape:t;mso-fit-shape-to-text:t" inset="0,0,0,0">
                <w:txbxContent>
                  <w:p w:rsidR="00A905B7" w:rsidRDefault="00A905B7">
                    <w:r>
                      <w:rPr>
                        <w:color w:val="000000"/>
                        <w:sz w:val="18"/>
                        <w:szCs w:val="18"/>
                        <w:lang w:val="en-US"/>
                      </w:rPr>
                      <w:t>%</w:t>
                    </w:r>
                  </w:p>
                </w:txbxContent>
              </v:textbox>
            </v:rect>
            <v:rect id="_x0000_s6067" style="position:absolute;left:723;top:37;width:251;height:240;mso-wrap-style:none" filled="f" stroked="f">
              <v:textbox style="mso-rotate-with-shape:t;mso-fit-shape-to-text:t" inset="0,0,0,0">
                <w:txbxContent>
                  <w:p w:rsidR="00A905B7" w:rsidRDefault="00A905B7">
                    <w:r>
                      <w:rPr>
                        <w:color w:val="000000"/>
                        <w:sz w:val="18"/>
                        <w:szCs w:val="18"/>
                        <w:lang w:val="en-US"/>
                      </w:rPr>
                      <w:t>CH</w:t>
                    </w:r>
                  </w:p>
                </w:txbxContent>
              </v:textbox>
            </v:rect>
            <v:rect id="_x0000_s6068" style="position:absolute;left:385;top:157;width:91;height:240;mso-wrap-style:none" filled="f" stroked="f">
              <v:textbox style="mso-rotate-with-shape:t;mso-fit-shape-to-text:t" inset="0,0,0,0">
                <w:txbxContent>
                  <w:p w:rsidR="00A905B7" w:rsidRDefault="00A905B7">
                    <w:r>
                      <w:rPr>
                        <w:color w:val="000000"/>
                        <w:sz w:val="18"/>
                        <w:szCs w:val="18"/>
                        <w:lang w:val="en-US"/>
                      </w:rPr>
                      <w:t>4</w:t>
                    </w:r>
                  </w:p>
                </w:txbxContent>
              </v:textbox>
            </v:rect>
            <v:rect id="_x0000_s6069" style="position:absolute;left:28;top:417;width:141;height:240;mso-wrap-style:none" filled="f" stroked="f">
              <v:textbox style="mso-rotate-with-shape:t;mso-fit-shape-to-text:t" inset="0,0,0,0">
                <w:txbxContent>
                  <w:p w:rsidR="00A905B7" w:rsidRDefault="00A905B7">
                    <w:r>
                      <w:rPr>
                        <w:color w:val="000000"/>
                        <w:sz w:val="18"/>
                        <w:szCs w:val="18"/>
                        <w:lang w:val="en-US"/>
                      </w:rPr>
                      <w:t>m</w:t>
                    </w:r>
                  </w:p>
                </w:txbxContent>
              </v:textbox>
            </v:rect>
            <v:rect id="_x0000_s6070" style="position:absolute;left:4886;top:134;width:61;height:240;mso-wrap-style:none" filled="f" stroked="f">
              <v:textbox style="mso-rotate-with-shape:t;mso-fit-shape-to-text:t" inset="0,0,0,0">
                <w:txbxContent>
                  <w:p w:rsidR="00A905B7" w:rsidRDefault="00A905B7">
                    <w:r>
                      <w:rPr>
                        <w:color w:val="000000"/>
                        <w:sz w:val="12"/>
                        <w:szCs w:val="12"/>
                        <w:lang w:val="en-US"/>
                      </w:rPr>
                      <w:t>8</w:t>
                    </w:r>
                  </w:p>
                </w:txbxContent>
              </v:textbox>
            </v:rect>
            <v:rect id="_x0000_s6071" style="position:absolute;left:4670;top:134;width:61;height:240;mso-wrap-style:none" filled="f" stroked="f">
              <v:textbox style="mso-rotate-with-shape:t;mso-fit-shape-to-text:t" inset="0,0,0,0">
                <w:txbxContent>
                  <w:p w:rsidR="00A905B7" w:rsidRDefault="00A905B7">
                    <w:r>
                      <w:rPr>
                        <w:color w:val="000000"/>
                        <w:sz w:val="12"/>
                        <w:szCs w:val="12"/>
                        <w:lang w:val="en-US"/>
                      </w:rPr>
                      <w:t>3</w:t>
                    </w:r>
                  </w:p>
                </w:txbxContent>
              </v:textbox>
            </v:rect>
            <v:rect id="_x0000_s6072" style="position:absolute;left:3419;top:134;width:61;height:240;mso-wrap-style:none" filled="f" stroked="f">
              <v:textbox style="mso-rotate-with-shape:t;mso-fit-shape-to-text:t" inset="0,0,0,0">
                <w:txbxContent>
                  <w:p w:rsidR="00A905B7" w:rsidRDefault="00A905B7">
                    <w:r>
                      <w:rPr>
                        <w:color w:val="000000"/>
                        <w:sz w:val="12"/>
                        <w:szCs w:val="12"/>
                        <w:lang w:val="en-US"/>
                      </w:rPr>
                      <w:t>6</w:t>
                    </w:r>
                  </w:p>
                </w:txbxContent>
              </v:textbox>
            </v:rect>
            <v:rect id="_x0000_s6073" style="position:absolute;left:3194;top:134;width:61;height:240;mso-wrap-style:none" filled="f" stroked="f">
              <v:textbox style="mso-rotate-with-shape:t;mso-fit-shape-to-text:t" inset="0,0,0,0">
                <w:txbxContent>
                  <w:p w:rsidR="00A905B7" w:rsidRDefault="00A905B7">
                    <w:r>
                      <w:rPr>
                        <w:color w:val="000000"/>
                        <w:sz w:val="12"/>
                        <w:szCs w:val="12"/>
                        <w:lang w:val="en-US"/>
                      </w:rPr>
                      <w:t>2</w:t>
                    </w:r>
                  </w:p>
                </w:txbxContent>
              </v:textbox>
            </v:rect>
            <v:rect id="_x0000_s6074" style="position:absolute;left:2210;top:136;width:61;height:240;mso-wrap-style:none" filled="f" stroked="f">
              <v:textbox style="mso-rotate-with-shape:t;mso-fit-shape-to-text:t" inset="0,0,0,0">
                <w:txbxContent>
                  <w:p w:rsidR="00A905B7" w:rsidRDefault="00A905B7">
                    <w:r>
                      <w:rPr>
                        <w:color w:val="000000"/>
                        <w:sz w:val="12"/>
                        <w:szCs w:val="12"/>
                        <w:lang w:val="en-US"/>
                      </w:rPr>
                      <w:t>4</w:t>
                    </w:r>
                  </w:p>
                </w:txbxContent>
              </v:textbox>
            </v:rect>
            <v:rect id="_x0000_s6075" style="position:absolute;left:1984;top:136;width:61;height:240;mso-wrap-style:none" filled="f" stroked="f">
              <v:textbox style="mso-rotate-with-shape:t;mso-fit-shape-to-text:t" inset="0,0,0,0">
                <w:txbxContent>
                  <w:p w:rsidR="00A905B7" w:rsidRDefault="00A905B7">
                    <w:r>
                      <w:rPr>
                        <w:color w:val="000000"/>
                        <w:sz w:val="12"/>
                        <w:szCs w:val="12"/>
                        <w:lang w:val="en-US"/>
                      </w:rPr>
                      <w:t>2</w:t>
                    </w:r>
                  </w:p>
                </w:txbxContent>
              </v:textbox>
            </v:rect>
            <v:rect id="_x0000_s6076" style="position:absolute;left:997;top:136;width:61;height:240;mso-wrap-style:none" filled="f" stroked="f">
              <v:textbox style="mso-rotate-with-shape:t;mso-fit-shape-to-text:t" inset="0,0,0,0">
                <w:txbxContent>
                  <w:p w:rsidR="00A905B7" w:rsidRDefault="00A905B7">
                    <w:r>
                      <w:rPr>
                        <w:color w:val="000000"/>
                        <w:sz w:val="12"/>
                        <w:szCs w:val="12"/>
                        <w:lang w:val="en-US"/>
                      </w:rPr>
                      <w:t>4</w:t>
                    </w:r>
                  </w:p>
                </w:txbxContent>
              </v:textbox>
            </v:rect>
            <v:rect id="_x0000_s6077" style="position:absolute;left:2482;top:520;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78" style="position:absolute;left:5249;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79" style="position:absolute;left:5145;top:203;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0" style="position:absolute;left:5145;top:308;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1" style="position:absolute;left:5145;top:27;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2" style="position:absolute;left:4450;top:203;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3" style="position:absolute;left:4450;top:308;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4" style="position:absolute;left:4450;top:27;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5" style="position:absolute;left:4307;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6" style="position:absolute;left:3775;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7" style="position:absolute;left:3679;top:203;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8" style="position:absolute;left:3679;top:308;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89" style="position:absolute;left:3679;top:27;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0" style="position:absolute;left:2971;top:203;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1" style="position:absolute;left:2971;top:308;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2" style="position:absolute;left:2971;top:27;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3" style="position:absolute;left:2836;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4" style="position:absolute;left:2583;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5" style="position:absolute;left:2471;top:205;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6" style="position:absolute;left:2471;top:306;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7" style="position:absolute;left:2471;top:29;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8" style="position:absolute;left:1761;top:205;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099" style="position:absolute;left:1761;top:306;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0" style="position:absolute;left:1761;top:29;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1" style="position:absolute;left:1625;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2" style="position:absolute;left:1370;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3" style="position:absolute;left:1257;top:205;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4" style="position:absolute;left:1257;top:306;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5" style="position:absolute;left:1257;top:29;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6" style="position:absolute;left:635;top:205;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7" style="position:absolute;left:635;top:306;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8" style="position:absolute;left:635;top:29;width:70;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09" style="position:absolute;left:500;top:13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v:rect id="_x0000_s6110" style="position:absolute;left:220;top:396;width:99;height:240;mso-wrap-style:none" filled="f" stroked="f">
              <v:textbox style="mso-rotate-with-shape:t;mso-fit-shape-to-text:t" inset="0,0,0,0">
                <w:txbxContent>
                  <w:p w:rsidR="00A905B7" w:rsidRDefault="00A905B7">
                    <w:r>
                      <w:rPr>
                        <w:rFonts w:ascii="Symbol" w:hAnsi="Symbol" w:cs="Symbol"/>
                        <w:color w:val="000000"/>
                        <w:sz w:val="18"/>
                        <w:szCs w:val="18"/>
                        <w:lang w:val="en-US"/>
                      </w:rPr>
                      <w:t></w:t>
                    </w:r>
                  </w:p>
                </w:txbxContent>
              </v:textbox>
            </v:rect>
            <w10:wrap type="none"/>
            <w10:anchorlock/>
          </v:group>
        </w:pict>
      </w:r>
    </w:p>
    <w:p w:rsidR="00BB1DA8" w:rsidRPr="00B04DC3" w:rsidRDefault="00BB1DA8" w:rsidP="00BB1DA8">
      <w:pPr>
        <w:pStyle w:val="para"/>
        <w:rPr>
          <w:lang w:val="en-GB"/>
        </w:rPr>
      </w:pPr>
      <w:r w:rsidRPr="00B04DC3">
        <w:rPr>
          <w:lang w:val="en-GB"/>
        </w:rPr>
        <w:tab/>
      </w:r>
      <w:r w:rsidR="000E4497" w:rsidRPr="00B04DC3">
        <w:rPr>
          <w:lang w:val="en-GB"/>
        </w:rPr>
        <w:t>Where</w:t>
      </w:r>
      <w:r w:rsidRPr="00B04DC3">
        <w:rPr>
          <w:lang w:val="en-GB"/>
        </w:rPr>
        <w:t>:</w:t>
      </w:r>
    </w:p>
    <w:p w:rsidR="00BB1DA8" w:rsidRPr="00B04DC3" w:rsidRDefault="00BB1DA8" w:rsidP="00BB1DA8">
      <w:pPr>
        <w:pStyle w:val="para"/>
        <w:tabs>
          <w:tab w:val="left" w:pos="3402"/>
          <w:tab w:val="left" w:pos="3686"/>
        </w:tabs>
        <w:ind w:firstLine="0"/>
        <w:rPr>
          <w:lang w:val="en-GB"/>
        </w:rPr>
      </w:pPr>
      <w:r w:rsidRPr="00B04DC3">
        <w:rPr>
          <w:lang w:val="en-GB"/>
        </w:rPr>
        <w:t>CH</w:t>
      </w:r>
      <w:r w:rsidRPr="00B04DC3">
        <w:rPr>
          <w:vertAlign w:val="subscript"/>
          <w:lang w:val="en-GB"/>
        </w:rPr>
        <w:t>4</w:t>
      </w:r>
      <w:r w:rsidRPr="00B04DC3">
        <w:rPr>
          <w:lang w:val="en-GB"/>
        </w:rPr>
        <w:tab/>
        <w:t xml:space="preserve">= </w:t>
      </w:r>
      <w:r w:rsidRPr="00B04DC3">
        <w:rPr>
          <w:lang w:val="en-GB"/>
        </w:rPr>
        <w:tab/>
        <w:t>per cent by volume of methane in the fuel;</w:t>
      </w:r>
    </w:p>
    <w:p w:rsidR="00BB1DA8" w:rsidRPr="00B04DC3" w:rsidRDefault="00BB1DA8" w:rsidP="00BB1DA8">
      <w:pPr>
        <w:pStyle w:val="para"/>
        <w:tabs>
          <w:tab w:val="left" w:pos="3402"/>
          <w:tab w:val="left" w:pos="3686"/>
        </w:tabs>
        <w:ind w:left="3686" w:hanging="1418"/>
        <w:rPr>
          <w:lang w:val="en-GB"/>
        </w:rPr>
      </w:pPr>
      <w:r w:rsidRPr="00B04DC3">
        <w:rPr>
          <w:lang w:val="en-GB"/>
        </w:rPr>
        <w:t>C</w:t>
      </w:r>
      <w:r w:rsidRPr="00B04DC3">
        <w:rPr>
          <w:vertAlign w:val="subscript"/>
          <w:lang w:val="en-GB"/>
        </w:rPr>
        <w:t>2</w:t>
      </w:r>
      <w:r w:rsidRPr="00B04DC3">
        <w:rPr>
          <w:lang w:val="en-GB"/>
        </w:rPr>
        <w:tab/>
        <w:t xml:space="preserve">= </w:t>
      </w:r>
      <w:r w:rsidRPr="00B04DC3">
        <w:rPr>
          <w:lang w:val="en-GB"/>
        </w:rPr>
        <w:tab/>
        <w:t>per cent by volume of all C</w:t>
      </w:r>
      <w:r w:rsidRPr="00B04DC3">
        <w:rPr>
          <w:vertAlign w:val="subscript"/>
          <w:lang w:val="en-GB"/>
        </w:rPr>
        <w:t>2</w:t>
      </w:r>
      <w:r w:rsidRPr="00B04DC3">
        <w:rPr>
          <w:lang w:val="en-GB"/>
        </w:rPr>
        <w:t xml:space="preserve"> hydrocarbons (e.g.: C</w:t>
      </w:r>
      <w:r w:rsidRPr="00B04DC3">
        <w:rPr>
          <w:vertAlign w:val="subscript"/>
          <w:lang w:val="en-GB"/>
        </w:rPr>
        <w:t>2</w:t>
      </w:r>
      <w:r w:rsidRPr="00B04DC3">
        <w:rPr>
          <w:lang w:val="en-GB"/>
        </w:rPr>
        <w:t>H</w:t>
      </w:r>
      <w:r w:rsidRPr="00B04DC3">
        <w:rPr>
          <w:vertAlign w:val="subscript"/>
          <w:lang w:val="en-GB"/>
        </w:rPr>
        <w:t>6</w:t>
      </w:r>
      <w:r w:rsidRPr="00B04DC3">
        <w:rPr>
          <w:lang w:val="en-GB"/>
        </w:rPr>
        <w:t>, C</w:t>
      </w:r>
      <w:r w:rsidRPr="00B04DC3">
        <w:rPr>
          <w:vertAlign w:val="subscript"/>
          <w:lang w:val="en-GB"/>
        </w:rPr>
        <w:t>2</w:t>
      </w:r>
      <w:r w:rsidRPr="00B04DC3">
        <w:rPr>
          <w:lang w:val="en-GB"/>
        </w:rPr>
        <w:t>H</w:t>
      </w:r>
      <w:r w:rsidRPr="00B04DC3">
        <w:rPr>
          <w:vertAlign w:val="subscript"/>
          <w:lang w:val="en-GB"/>
        </w:rPr>
        <w:t>4</w:t>
      </w:r>
      <w:r w:rsidRPr="00B04DC3">
        <w:rPr>
          <w:lang w:val="en-GB"/>
        </w:rPr>
        <w:t>, etc.) in the fuel;</w:t>
      </w:r>
    </w:p>
    <w:p w:rsidR="00BB1DA8" w:rsidRPr="00B04DC3" w:rsidRDefault="00BB1DA8" w:rsidP="00BB1DA8">
      <w:pPr>
        <w:pStyle w:val="para"/>
        <w:tabs>
          <w:tab w:val="left" w:pos="3402"/>
          <w:tab w:val="left" w:pos="3686"/>
        </w:tabs>
        <w:ind w:left="3686" w:hanging="1418"/>
        <w:rPr>
          <w:lang w:val="en-GB"/>
        </w:rPr>
      </w:pPr>
      <w:r w:rsidRPr="00B04DC3">
        <w:rPr>
          <w:lang w:val="en-GB"/>
        </w:rPr>
        <w:t>C</w:t>
      </w:r>
      <w:r w:rsidRPr="00B04DC3">
        <w:rPr>
          <w:vertAlign w:val="subscript"/>
          <w:lang w:val="en-GB"/>
        </w:rPr>
        <w:t>3</w:t>
      </w:r>
      <w:r w:rsidRPr="00B04DC3">
        <w:rPr>
          <w:lang w:val="en-GB"/>
        </w:rPr>
        <w:tab/>
        <w:t xml:space="preserve">= </w:t>
      </w:r>
      <w:r w:rsidRPr="00B04DC3">
        <w:rPr>
          <w:lang w:val="en-GB"/>
        </w:rPr>
        <w:tab/>
        <w:t>per cent by volume of all C</w:t>
      </w:r>
      <w:r w:rsidRPr="00B04DC3">
        <w:rPr>
          <w:vertAlign w:val="subscript"/>
          <w:lang w:val="en-GB"/>
        </w:rPr>
        <w:t>3</w:t>
      </w:r>
      <w:r w:rsidRPr="00B04DC3">
        <w:rPr>
          <w:lang w:val="en-GB"/>
        </w:rPr>
        <w:t xml:space="preserve"> hydrocarbons (e.g.: C</w:t>
      </w:r>
      <w:r w:rsidRPr="00B04DC3">
        <w:rPr>
          <w:vertAlign w:val="subscript"/>
          <w:lang w:val="en-GB"/>
        </w:rPr>
        <w:t>3</w:t>
      </w:r>
      <w:r w:rsidRPr="00B04DC3">
        <w:rPr>
          <w:lang w:val="en-GB"/>
        </w:rPr>
        <w:t>H</w:t>
      </w:r>
      <w:r w:rsidRPr="00B04DC3">
        <w:rPr>
          <w:vertAlign w:val="subscript"/>
          <w:lang w:val="en-GB"/>
        </w:rPr>
        <w:t>8</w:t>
      </w:r>
      <w:r w:rsidRPr="00B04DC3">
        <w:rPr>
          <w:lang w:val="en-GB"/>
        </w:rPr>
        <w:t>, C</w:t>
      </w:r>
      <w:r w:rsidRPr="00B04DC3">
        <w:rPr>
          <w:vertAlign w:val="subscript"/>
          <w:lang w:val="en-GB"/>
        </w:rPr>
        <w:t>3</w:t>
      </w:r>
      <w:r w:rsidRPr="00B04DC3">
        <w:rPr>
          <w:lang w:val="en-GB"/>
        </w:rPr>
        <w:t>H</w:t>
      </w:r>
      <w:r w:rsidRPr="00B04DC3">
        <w:rPr>
          <w:vertAlign w:val="subscript"/>
          <w:lang w:val="en-GB"/>
        </w:rPr>
        <w:t>6</w:t>
      </w:r>
      <w:r w:rsidRPr="00B04DC3">
        <w:rPr>
          <w:lang w:val="en-GB"/>
        </w:rPr>
        <w:t>, etc.) in the fuel;</w:t>
      </w:r>
    </w:p>
    <w:p w:rsidR="00BB1DA8" w:rsidRPr="00B04DC3" w:rsidRDefault="00BB1DA8" w:rsidP="00BB1DA8">
      <w:pPr>
        <w:pStyle w:val="para"/>
        <w:tabs>
          <w:tab w:val="left" w:pos="3402"/>
          <w:tab w:val="left" w:pos="3686"/>
        </w:tabs>
        <w:ind w:left="3686" w:hanging="1418"/>
        <w:rPr>
          <w:lang w:val="en-GB"/>
        </w:rPr>
      </w:pPr>
      <w:r w:rsidRPr="00B04DC3">
        <w:rPr>
          <w:lang w:val="en-GB"/>
        </w:rPr>
        <w:t>C</w:t>
      </w:r>
      <w:r w:rsidRPr="00B04DC3">
        <w:rPr>
          <w:vertAlign w:val="subscript"/>
          <w:lang w:val="en-GB"/>
        </w:rPr>
        <w:t>4</w:t>
      </w:r>
      <w:r w:rsidRPr="00B04DC3">
        <w:rPr>
          <w:lang w:val="en-GB"/>
        </w:rPr>
        <w:tab/>
        <w:t xml:space="preserve">= </w:t>
      </w:r>
      <w:r w:rsidRPr="00B04DC3">
        <w:rPr>
          <w:lang w:val="en-GB"/>
        </w:rPr>
        <w:tab/>
        <w:t>per cent by volume of all C</w:t>
      </w:r>
      <w:r w:rsidRPr="00B04DC3">
        <w:rPr>
          <w:vertAlign w:val="subscript"/>
          <w:lang w:val="en-GB"/>
        </w:rPr>
        <w:t>4</w:t>
      </w:r>
      <w:r w:rsidRPr="00B04DC3">
        <w:rPr>
          <w:lang w:val="en-GB"/>
        </w:rPr>
        <w:t xml:space="preserve"> hydrocarbons (e.g.: C</w:t>
      </w:r>
      <w:r w:rsidRPr="00B04DC3">
        <w:rPr>
          <w:vertAlign w:val="subscript"/>
          <w:lang w:val="en-GB"/>
        </w:rPr>
        <w:t>4</w:t>
      </w:r>
      <w:r w:rsidRPr="00B04DC3">
        <w:rPr>
          <w:lang w:val="en-GB"/>
        </w:rPr>
        <w:t>H</w:t>
      </w:r>
      <w:r w:rsidRPr="00B04DC3">
        <w:rPr>
          <w:vertAlign w:val="subscript"/>
          <w:lang w:val="en-GB"/>
        </w:rPr>
        <w:t>10</w:t>
      </w:r>
      <w:r w:rsidRPr="00B04DC3">
        <w:rPr>
          <w:lang w:val="en-GB"/>
        </w:rPr>
        <w:t>, C</w:t>
      </w:r>
      <w:r w:rsidRPr="00B04DC3">
        <w:rPr>
          <w:vertAlign w:val="subscript"/>
          <w:lang w:val="en-GB"/>
        </w:rPr>
        <w:t>4</w:t>
      </w:r>
      <w:r w:rsidRPr="00B04DC3">
        <w:rPr>
          <w:lang w:val="en-GB"/>
        </w:rPr>
        <w:t>H</w:t>
      </w:r>
      <w:r w:rsidRPr="00B04DC3">
        <w:rPr>
          <w:vertAlign w:val="subscript"/>
          <w:lang w:val="en-GB"/>
        </w:rPr>
        <w:t>8</w:t>
      </w:r>
      <w:r w:rsidRPr="00B04DC3">
        <w:rPr>
          <w:lang w:val="en-GB"/>
        </w:rPr>
        <w:t>, etc.) in the fuel</w:t>
      </w:r>
    </w:p>
    <w:p w:rsidR="00BB1DA8" w:rsidRPr="00B04DC3" w:rsidRDefault="00BB1DA8" w:rsidP="00BB1DA8">
      <w:pPr>
        <w:pStyle w:val="para"/>
        <w:tabs>
          <w:tab w:val="left" w:pos="3402"/>
          <w:tab w:val="left" w:pos="3686"/>
        </w:tabs>
        <w:ind w:left="3686" w:hanging="1418"/>
        <w:rPr>
          <w:lang w:val="en-GB"/>
        </w:rPr>
      </w:pPr>
      <w:r w:rsidRPr="00B04DC3">
        <w:rPr>
          <w:lang w:val="en-GB"/>
        </w:rPr>
        <w:t>C</w:t>
      </w:r>
      <w:r w:rsidRPr="00B04DC3">
        <w:rPr>
          <w:vertAlign w:val="subscript"/>
          <w:lang w:val="en-GB"/>
        </w:rPr>
        <w:t>5</w:t>
      </w:r>
      <w:r w:rsidRPr="00B04DC3">
        <w:rPr>
          <w:lang w:val="en-GB"/>
        </w:rPr>
        <w:tab/>
        <w:t xml:space="preserve">= </w:t>
      </w:r>
      <w:r w:rsidRPr="00B04DC3">
        <w:rPr>
          <w:lang w:val="en-GB"/>
        </w:rPr>
        <w:tab/>
        <w:t>per cent by volume of all C</w:t>
      </w:r>
      <w:r w:rsidRPr="00B04DC3">
        <w:rPr>
          <w:vertAlign w:val="subscript"/>
          <w:lang w:val="en-GB"/>
        </w:rPr>
        <w:t>5</w:t>
      </w:r>
      <w:r w:rsidRPr="00B04DC3">
        <w:rPr>
          <w:lang w:val="en-GB"/>
        </w:rPr>
        <w:t xml:space="preserve"> hydrocarbons (e.g.: C</w:t>
      </w:r>
      <w:r w:rsidRPr="00B04DC3">
        <w:rPr>
          <w:vertAlign w:val="subscript"/>
          <w:lang w:val="en-GB"/>
        </w:rPr>
        <w:t>5</w:t>
      </w:r>
      <w:r w:rsidRPr="00B04DC3">
        <w:rPr>
          <w:lang w:val="en-GB"/>
        </w:rPr>
        <w:t>H</w:t>
      </w:r>
      <w:r w:rsidRPr="00B04DC3">
        <w:rPr>
          <w:vertAlign w:val="subscript"/>
          <w:lang w:val="en-GB"/>
        </w:rPr>
        <w:t>12</w:t>
      </w:r>
      <w:r w:rsidRPr="00B04DC3">
        <w:rPr>
          <w:lang w:val="en-GB"/>
        </w:rPr>
        <w:t>, C</w:t>
      </w:r>
      <w:r w:rsidRPr="00B04DC3">
        <w:rPr>
          <w:vertAlign w:val="subscript"/>
          <w:lang w:val="en-GB"/>
        </w:rPr>
        <w:t>5</w:t>
      </w:r>
      <w:r w:rsidRPr="00B04DC3">
        <w:rPr>
          <w:lang w:val="en-GB"/>
        </w:rPr>
        <w:t>H</w:t>
      </w:r>
      <w:r w:rsidRPr="00B04DC3">
        <w:rPr>
          <w:vertAlign w:val="subscript"/>
          <w:lang w:val="en-GB"/>
        </w:rPr>
        <w:t>10</w:t>
      </w:r>
      <w:r w:rsidRPr="00B04DC3">
        <w:rPr>
          <w:lang w:val="en-GB"/>
        </w:rPr>
        <w:t>, etc.) in the fuel;</w:t>
      </w:r>
    </w:p>
    <w:p w:rsidR="00BB1DA8" w:rsidRPr="00B04DC3" w:rsidRDefault="00BB1DA8" w:rsidP="00BB1DA8">
      <w:pPr>
        <w:pStyle w:val="para"/>
        <w:tabs>
          <w:tab w:val="left" w:pos="3402"/>
          <w:tab w:val="left" w:pos="3686"/>
        </w:tabs>
        <w:ind w:left="3686" w:hanging="1418"/>
        <w:rPr>
          <w:lang w:val="en-GB"/>
        </w:rPr>
      </w:pPr>
      <w:r w:rsidRPr="00B04DC3">
        <w:rPr>
          <w:lang w:val="en-GB"/>
        </w:rPr>
        <w:t>diluent</w:t>
      </w:r>
      <w:r w:rsidRPr="00B04DC3">
        <w:rPr>
          <w:lang w:val="en-GB"/>
        </w:rPr>
        <w:tab/>
        <w:t xml:space="preserve">= </w:t>
      </w:r>
      <w:r w:rsidRPr="00B04DC3">
        <w:rPr>
          <w:lang w:val="en-GB"/>
        </w:rPr>
        <w:tab/>
        <w:t>per cent by volume of dilution gases in the fuel (i.e.: O</w:t>
      </w:r>
      <w:r w:rsidRPr="00B04DC3">
        <w:rPr>
          <w:vertAlign w:val="subscript"/>
          <w:lang w:val="en-GB"/>
        </w:rPr>
        <w:t>2</w:t>
      </w:r>
      <w:r w:rsidRPr="00B04DC3">
        <w:rPr>
          <w:lang w:val="en-GB"/>
        </w:rPr>
        <w:t>*, N</w:t>
      </w:r>
      <w:r w:rsidRPr="00B04DC3">
        <w:rPr>
          <w:vertAlign w:val="subscript"/>
          <w:lang w:val="en-GB"/>
        </w:rPr>
        <w:t>2</w:t>
      </w:r>
      <w:r w:rsidRPr="00B04DC3">
        <w:rPr>
          <w:lang w:val="en-GB"/>
        </w:rPr>
        <w:t>, CO</w:t>
      </w:r>
      <w:r w:rsidRPr="00B04DC3">
        <w:rPr>
          <w:vertAlign w:val="subscript"/>
          <w:lang w:val="en-GB"/>
        </w:rPr>
        <w:t>2</w:t>
      </w:r>
      <w:r w:rsidRPr="00B04DC3">
        <w:rPr>
          <w:lang w:val="en-GB"/>
        </w:rPr>
        <w:t>, He, etc.).</w:t>
      </w:r>
    </w:p>
    <w:p w:rsidR="00BB1DA8" w:rsidRPr="00B04DC3" w:rsidRDefault="00BB1DA8" w:rsidP="00BB1DA8">
      <w:pPr>
        <w:pStyle w:val="para"/>
        <w:rPr>
          <w:lang w:val="en-GB"/>
        </w:rPr>
      </w:pPr>
      <w:r w:rsidRPr="00B04DC3">
        <w:rPr>
          <w:lang w:val="en-GB"/>
        </w:rPr>
        <w:t>4.2.</w:t>
      </w:r>
      <w:r w:rsidRPr="00B04DC3">
        <w:rPr>
          <w:lang w:val="en-GB"/>
        </w:rPr>
        <w:tab/>
        <w:t>Examples for the calculation of the λ-shift factor S</w:t>
      </w:r>
      <w:r w:rsidRPr="00B04DC3">
        <w:rPr>
          <w:vertAlign w:val="subscript"/>
          <w:lang w:val="en-GB"/>
        </w:rPr>
        <w:t>λ</w:t>
      </w:r>
      <w:r w:rsidRPr="00B04DC3">
        <w:rPr>
          <w:lang w:val="en-GB"/>
        </w:rPr>
        <w:t>:</w:t>
      </w:r>
    </w:p>
    <w:p w:rsidR="00BB1DA8" w:rsidRPr="00B04DC3" w:rsidRDefault="00BB1DA8" w:rsidP="00BB1DA8">
      <w:pPr>
        <w:pStyle w:val="para"/>
        <w:rPr>
          <w:lang w:val="en-GB"/>
        </w:rPr>
      </w:pPr>
      <w:r w:rsidRPr="00B04DC3">
        <w:rPr>
          <w:i/>
          <w:lang w:val="en-GB"/>
        </w:rPr>
        <w:tab/>
      </w:r>
      <w:r w:rsidRPr="00B04DC3">
        <w:rPr>
          <w:lang w:val="en-GB"/>
        </w:rPr>
        <w:t>Example 1: G</w:t>
      </w:r>
      <w:r w:rsidRPr="00B04DC3">
        <w:rPr>
          <w:vertAlign w:val="subscript"/>
          <w:lang w:val="en-GB"/>
        </w:rPr>
        <w:t>25</w:t>
      </w:r>
      <w:r w:rsidRPr="00B04DC3">
        <w:rPr>
          <w:lang w:val="en-GB"/>
        </w:rPr>
        <w:t>: CH</w:t>
      </w:r>
      <w:r w:rsidRPr="00B04DC3">
        <w:rPr>
          <w:vertAlign w:val="subscript"/>
          <w:lang w:val="en-GB"/>
        </w:rPr>
        <w:t>4</w:t>
      </w:r>
      <w:r w:rsidRPr="00B04DC3">
        <w:rPr>
          <w:lang w:val="en-GB"/>
        </w:rPr>
        <w:t xml:space="preserve"> = 86 per cent, N</w:t>
      </w:r>
      <w:r w:rsidRPr="00B04DC3">
        <w:rPr>
          <w:vertAlign w:val="subscript"/>
          <w:lang w:val="en-GB"/>
        </w:rPr>
        <w:t>2</w:t>
      </w:r>
      <w:r w:rsidRPr="00B04DC3">
        <w:rPr>
          <w:lang w:val="en-GB"/>
        </w:rPr>
        <w:t xml:space="preserve"> = 14 per cent (by volume)</w:t>
      </w:r>
    </w:p>
    <w:bookmarkStart w:id="785" w:name="_MON_1223401188"/>
    <w:bookmarkEnd w:id="785"/>
    <w:bookmarkStart w:id="786" w:name="_MON_1223404416"/>
    <w:bookmarkEnd w:id="786"/>
    <w:p w:rsidR="00BB1DA8" w:rsidRPr="00B04DC3" w:rsidRDefault="00BB1DA8" w:rsidP="00BB1DA8">
      <w:pPr>
        <w:pStyle w:val="NormalCentered"/>
        <w:numPr>
          <w:ilvl w:val="0"/>
          <w:numId w:val="0"/>
        </w:numPr>
        <w:tabs>
          <w:tab w:val="left" w:pos="1134"/>
          <w:tab w:val="left" w:pos="1701"/>
        </w:tabs>
        <w:suppressAutoHyphens/>
        <w:spacing w:before="0" w:after="240" w:line="240" w:lineRule="atLeast"/>
        <w:ind w:left="2268" w:right="1134"/>
        <w:jc w:val="both"/>
      </w:pPr>
      <w:r w:rsidRPr="00B04DC3">
        <w:object w:dxaOrig="5311" w:dyaOrig="1287">
          <v:shape id="_x0000_i1406" type="#_x0000_t75" style="width:220.2pt;height:53.4pt" o:ole="" fillcolor="window">
            <v:imagedata r:id="rId595" o:title=""/>
          </v:shape>
          <o:OLEObject Type="Embed" ProgID="Word.Picture.8" ShapeID="_x0000_i1406" DrawAspect="Content" ObjectID="_1498392404" r:id="rId596"/>
        </w:object>
      </w:r>
    </w:p>
    <w:bookmarkStart w:id="787" w:name="_MON_1223401351"/>
    <w:bookmarkEnd w:id="787"/>
    <w:bookmarkStart w:id="788" w:name="_MON_1223404418"/>
    <w:bookmarkEnd w:id="788"/>
    <w:p w:rsidR="00BB1DA8" w:rsidRPr="00B04DC3" w:rsidRDefault="00BB1DA8" w:rsidP="00BB1DA8">
      <w:pPr>
        <w:pStyle w:val="NormalCentered"/>
        <w:numPr>
          <w:ilvl w:val="0"/>
          <w:numId w:val="0"/>
        </w:numPr>
        <w:spacing w:before="0" w:after="240"/>
        <w:ind w:left="2268"/>
        <w:jc w:val="both"/>
      </w:pPr>
      <w:r w:rsidRPr="00B04DC3">
        <w:object w:dxaOrig="5093" w:dyaOrig="1287">
          <v:shape id="_x0000_i1407" type="#_x0000_t75" style="width:214.2pt;height:54pt" o:ole="" fillcolor="window">
            <v:imagedata r:id="rId597" o:title=""/>
          </v:shape>
          <o:OLEObject Type="Embed" ProgID="Word.Picture.8" ShapeID="_x0000_i1407" DrawAspect="Content" ObjectID="_1498392405" r:id="rId598"/>
        </w:object>
      </w:r>
    </w:p>
    <w:p w:rsidR="00BB1DA8" w:rsidRPr="00B04DC3" w:rsidRDefault="00BB1DA8" w:rsidP="00BB1DA8">
      <w:pPr>
        <w:pStyle w:val="NormalCentered"/>
        <w:numPr>
          <w:ilvl w:val="0"/>
          <w:numId w:val="0"/>
        </w:numPr>
        <w:spacing w:before="0" w:after="240"/>
        <w:ind w:left="2268"/>
        <w:jc w:val="both"/>
      </w:pPr>
      <w:r w:rsidRPr="00B04DC3">
        <w:tab/>
      </w:r>
      <w:bookmarkStart w:id="789" w:name="_MON_1223401377"/>
      <w:bookmarkStart w:id="790" w:name="_MON_1223404419"/>
      <w:bookmarkEnd w:id="789"/>
      <w:bookmarkEnd w:id="790"/>
      <w:bookmarkStart w:id="791" w:name="_MON_1351683743"/>
      <w:bookmarkEnd w:id="791"/>
      <w:r w:rsidRPr="00B04DC3">
        <w:object w:dxaOrig="5928" w:dyaOrig="1004">
          <v:shape id="_x0000_i1408" type="#_x0000_t75" style="width:241.2pt;height:41.4pt" o:ole="" fillcolor="window">
            <v:imagedata r:id="rId599" o:title=""/>
          </v:shape>
          <o:OLEObject Type="Embed" ProgID="Word.Picture.8" ShapeID="_x0000_i1408" DrawAspect="Content" ObjectID="_1498392406" r:id="rId600"/>
        </w:object>
      </w:r>
    </w:p>
    <w:p w:rsidR="00BB1DA8" w:rsidRPr="00B04DC3" w:rsidRDefault="00BB1DA8" w:rsidP="00BB1DA8">
      <w:pPr>
        <w:pStyle w:val="para"/>
        <w:spacing w:before="240" w:after="240"/>
        <w:rPr>
          <w:lang w:val="en-GB"/>
        </w:rPr>
      </w:pPr>
      <w:r w:rsidRPr="00B04DC3">
        <w:rPr>
          <w:lang w:val="en-GB"/>
        </w:rPr>
        <w:tab/>
        <w:t>Example 2: G</w:t>
      </w:r>
      <w:r w:rsidRPr="00B04DC3">
        <w:rPr>
          <w:vertAlign w:val="subscript"/>
          <w:lang w:val="en-GB"/>
        </w:rPr>
        <w:t>R</w:t>
      </w:r>
      <w:r w:rsidRPr="00B04DC3">
        <w:rPr>
          <w:lang w:val="en-GB"/>
        </w:rPr>
        <w:t>: CH</w:t>
      </w:r>
      <w:r w:rsidRPr="00B04DC3">
        <w:rPr>
          <w:vertAlign w:val="subscript"/>
          <w:lang w:val="en-GB"/>
        </w:rPr>
        <w:t>4</w:t>
      </w:r>
      <w:r w:rsidRPr="00B04DC3">
        <w:rPr>
          <w:lang w:val="en-GB"/>
        </w:rPr>
        <w:t> = 87 per cent, C</w:t>
      </w:r>
      <w:r w:rsidRPr="00B04DC3">
        <w:rPr>
          <w:vertAlign w:val="subscript"/>
          <w:lang w:val="en-GB"/>
        </w:rPr>
        <w:t>2</w:t>
      </w:r>
      <w:r w:rsidRPr="00B04DC3">
        <w:rPr>
          <w:lang w:val="en-GB"/>
        </w:rPr>
        <w:t>H</w:t>
      </w:r>
      <w:r w:rsidRPr="00B04DC3">
        <w:rPr>
          <w:vertAlign w:val="subscript"/>
          <w:lang w:val="en-GB"/>
        </w:rPr>
        <w:t>6</w:t>
      </w:r>
      <w:r w:rsidRPr="00B04DC3">
        <w:rPr>
          <w:lang w:val="en-GB"/>
        </w:rPr>
        <w:t> = 13 per cent (by vol)</w:t>
      </w:r>
    </w:p>
    <w:p w:rsidR="00BB1DA8" w:rsidRPr="00B04DC3" w:rsidRDefault="00BB1DA8" w:rsidP="00BB1DA8">
      <w:pPr>
        <w:pStyle w:val="NormalCentered"/>
        <w:numPr>
          <w:ilvl w:val="0"/>
          <w:numId w:val="0"/>
        </w:numPr>
        <w:spacing w:before="0" w:after="0"/>
        <w:ind w:left="2268"/>
        <w:jc w:val="both"/>
      </w:pPr>
      <w:r w:rsidRPr="00B04DC3">
        <w:tab/>
      </w:r>
      <w:bookmarkStart w:id="792" w:name="_MON_1223401423"/>
      <w:bookmarkEnd w:id="792"/>
      <w:bookmarkStart w:id="793" w:name="_MON_1223404421"/>
      <w:bookmarkEnd w:id="793"/>
      <w:r w:rsidRPr="00B04DC3">
        <w:object w:dxaOrig="6558" w:dyaOrig="1287">
          <v:shape id="_x0000_i1409" type="#_x0000_t75" style="width:262.2pt;height:51.6pt" o:ole="" fillcolor="window">
            <v:imagedata r:id="rId601" o:title=""/>
          </v:shape>
          <o:OLEObject Type="Embed" ProgID="Word.Picture.8" ShapeID="_x0000_i1409" DrawAspect="Content" ObjectID="_1498392407" r:id="rId602"/>
        </w:object>
      </w:r>
    </w:p>
    <w:p w:rsidR="00BB1DA8" w:rsidRPr="00B04DC3" w:rsidRDefault="00BB1DA8" w:rsidP="00BB1DA8">
      <w:pPr>
        <w:pStyle w:val="NormalCentered"/>
        <w:numPr>
          <w:ilvl w:val="0"/>
          <w:numId w:val="0"/>
        </w:numPr>
        <w:spacing w:before="0" w:after="240"/>
        <w:ind w:left="2268"/>
        <w:jc w:val="both"/>
      </w:pPr>
      <w:r w:rsidRPr="00B04DC3">
        <w:tab/>
      </w:r>
      <w:bookmarkStart w:id="794" w:name="_MON_1223401456"/>
      <w:bookmarkEnd w:id="794"/>
      <w:bookmarkStart w:id="795" w:name="_MON_1223404422"/>
      <w:bookmarkEnd w:id="795"/>
      <w:r w:rsidRPr="00B04DC3">
        <w:object w:dxaOrig="6352" w:dyaOrig="1287">
          <v:shape id="_x0000_i1410" type="#_x0000_t75" style="width:244.2pt;height:49.8pt" o:ole="" fillcolor="window">
            <v:imagedata r:id="rId603" o:title=""/>
          </v:shape>
          <o:OLEObject Type="Embed" ProgID="Word.Picture.8" ShapeID="_x0000_i1410" DrawAspect="Content" ObjectID="_1498392408" r:id="rId604"/>
        </w:object>
      </w:r>
    </w:p>
    <w:p w:rsidR="00BB1DA8" w:rsidRPr="00B04DC3" w:rsidRDefault="00BB1DA8" w:rsidP="00BB1DA8">
      <w:pPr>
        <w:pStyle w:val="NormalCentered"/>
        <w:numPr>
          <w:ilvl w:val="0"/>
          <w:numId w:val="0"/>
        </w:numPr>
        <w:spacing w:before="0" w:after="240"/>
        <w:ind w:left="2268"/>
        <w:jc w:val="both"/>
      </w:pPr>
      <w:r w:rsidRPr="00B04DC3">
        <w:tab/>
      </w:r>
      <w:bookmarkStart w:id="796" w:name="_MON_1223401493"/>
      <w:bookmarkEnd w:id="796"/>
      <w:bookmarkStart w:id="797" w:name="_MON_1223404423"/>
      <w:bookmarkEnd w:id="797"/>
      <w:r w:rsidRPr="00B04DC3">
        <w:object w:dxaOrig="6648" w:dyaOrig="1003">
          <v:shape id="_x0000_i1411" type="#_x0000_t75" style="width:262.2pt;height:39.6pt" o:ole="" fillcolor="window">
            <v:imagedata r:id="rId605" o:title=""/>
          </v:shape>
          <o:OLEObject Type="Embed" ProgID="Word.Picture.8" ShapeID="_x0000_i1411" DrawAspect="Content" ObjectID="_1498392409" r:id="rId606"/>
        </w:object>
      </w:r>
    </w:p>
    <w:p w:rsidR="00BB1DA8" w:rsidRPr="00B04DC3" w:rsidRDefault="00BB1DA8" w:rsidP="00BB1DA8">
      <w:pPr>
        <w:pStyle w:val="para"/>
        <w:spacing w:before="240" w:after="240"/>
        <w:rPr>
          <w:lang w:val="en-GB"/>
        </w:rPr>
      </w:pPr>
      <w:r w:rsidRPr="00B04DC3">
        <w:rPr>
          <w:i/>
          <w:lang w:val="en-GB"/>
        </w:rPr>
        <w:tab/>
      </w:r>
      <w:r w:rsidRPr="00B04DC3">
        <w:rPr>
          <w:lang w:val="en-GB"/>
        </w:rPr>
        <w:t>Example 3: USA: CH</w:t>
      </w:r>
      <w:r w:rsidRPr="00B04DC3">
        <w:rPr>
          <w:vertAlign w:val="subscript"/>
          <w:lang w:val="en-GB"/>
        </w:rPr>
        <w:t>4</w:t>
      </w:r>
      <w:r w:rsidRPr="00B04DC3">
        <w:rPr>
          <w:lang w:val="en-GB"/>
        </w:rPr>
        <w:t xml:space="preserve"> = 89 per cent, C</w:t>
      </w:r>
      <w:r w:rsidRPr="00B04DC3">
        <w:rPr>
          <w:vertAlign w:val="subscript"/>
          <w:lang w:val="en-GB"/>
        </w:rPr>
        <w:t>2</w:t>
      </w:r>
      <w:r w:rsidRPr="00B04DC3">
        <w:rPr>
          <w:lang w:val="en-GB"/>
        </w:rPr>
        <w:t>H</w:t>
      </w:r>
      <w:r w:rsidRPr="00B04DC3">
        <w:rPr>
          <w:vertAlign w:val="subscript"/>
          <w:lang w:val="en-GB"/>
        </w:rPr>
        <w:t>6</w:t>
      </w:r>
      <w:r w:rsidRPr="00B04DC3">
        <w:rPr>
          <w:lang w:val="en-GB"/>
        </w:rPr>
        <w:t xml:space="preserve"> = 4.5 per cent, C</w:t>
      </w:r>
      <w:r w:rsidRPr="00B04DC3">
        <w:rPr>
          <w:vertAlign w:val="subscript"/>
          <w:lang w:val="en-GB"/>
        </w:rPr>
        <w:t>3</w:t>
      </w:r>
      <w:r w:rsidRPr="00B04DC3">
        <w:rPr>
          <w:lang w:val="en-GB"/>
        </w:rPr>
        <w:t>H</w:t>
      </w:r>
      <w:r w:rsidRPr="00B04DC3">
        <w:rPr>
          <w:vertAlign w:val="subscript"/>
          <w:lang w:val="en-GB"/>
        </w:rPr>
        <w:t>8</w:t>
      </w:r>
      <w:r w:rsidRPr="00B04DC3">
        <w:rPr>
          <w:lang w:val="en-GB"/>
        </w:rPr>
        <w:t xml:space="preserve"> = 2.3 per cent, C</w:t>
      </w:r>
      <w:r w:rsidRPr="00B04DC3">
        <w:rPr>
          <w:vertAlign w:val="subscript"/>
          <w:lang w:val="en-GB"/>
        </w:rPr>
        <w:t>6</w:t>
      </w:r>
      <w:r w:rsidRPr="00B04DC3">
        <w:rPr>
          <w:lang w:val="en-GB"/>
        </w:rPr>
        <w:t>H</w:t>
      </w:r>
      <w:r w:rsidRPr="00B04DC3">
        <w:rPr>
          <w:vertAlign w:val="subscript"/>
          <w:lang w:val="en-GB"/>
        </w:rPr>
        <w:t>14</w:t>
      </w:r>
      <w:r w:rsidRPr="00B04DC3">
        <w:rPr>
          <w:lang w:val="en-GB"/>
        </w:rPr>
        <w:t xml:space="preserve"> = 0.2 per cent, O</w:t>
      </w:r>
      <w:r w:rsidRPr="00B04DC3">
        <w:rPr>
          <w:vertAlign w:val="subscript"/>
          <w:lang w:val="en-GB"/>
        </w:rPr>
        <w:t>2</w:t>
      </w:r>
      <w:r w:rsidRPr="00B04DC3">
        <w:rPr>
          <w:lang w:val="en-GB"/>
        </w:rPr>
        <w:t xml:space="preserve"> = 0.6 per cent, N</w:t>
      </w:r>
      <w:r w:rsidRPr="00B04DC3">
        <w:rPr>
          <w:vertAlign w:val="subscript"/>
          <w:lang w:val="en-GB"/>
        </w:rPr>
        <w:t>2</w:t>
      </w:r>
      <w:r w:rsidRPr="00B04DC3">
        <w:rPr>
          <w:lang w:val="en-GB"/>
        </w:rPr>
        <w:t xml:space="preserve"> = 4 per cent</w:t>
      </w:r>
    </w:p>
    <w:p w:rsidR="00BB1DA8" w:rsidRPr="00B04DC3" w:rsidRDefault="00BB1DA8" w:rsidP="00BB1DA8">
      <w:pPr>
        <w:pStyle w:val="NormalCentered"/>
        <w:numPr>
          <w:ilvl w:val="0"/>
          <w:numId w:val="0"/>
        </w:numPr>
        <w:spacing w:before="0" w:after="240"/>
        <w:ind w:left="2268"/>
        <w:jc w:val="both"/>
      </w:pPr>
      <w:r w:rsidRPr="00B04DC3">
        <w:tab/>
      </w:r>
      <w:bookmarkStart w:id="798" w:name="_MON_1223401543"/>
      <w:bookmarkEnd w:id="798"/>
      <w:bookmarkStart w:id="799" w:name="_MON_1223404425"/>
      <w:bookmarkEnd w:id="799"/>
      <w:r w:rsidRPr="00B04DC3">
        <w:object w:dxaOrig="8140" w:dyaOrig="1286">
          <v:shape id="_x0000_i1412" type="#_x0000_t75" style="width:318.6pt;height:50.4pt" o:ole="" fillcolor="window">
            <v:imagedata r:id="rId607" o:title=""/>
          </v:shape>
          <o:OLEObject Type="Embed" ProgID="Word.Picture.8" ShapeID="_x0000_i1412" DrawAspect="Content" ObjectID="_1498392410" r:id="rId608"/>
        </w:object>
      </w:r>
    </w:p>
    <w:p w:rsidR="00BB1DA8" w:rsidRPr="00B04DC3" w:rsidRDefault="00BB1DA8" w:rsidP="00BB1DA8">
      <w:pPr>
        <w:pStyle w:val="NormalCentered"/>
        <w:numPr>
          <w:ilvl w:val="0"/>
          <w:numId w:val="0"/>
        </w:numPr>
        <w:spacing w:before="0" w:after="240"/>
        <w:ind w:left="2268"/>
        <w:jc w:val="both"/>
      </w:pPr>
      <w:r w:rsidRPr="00B04DC3">
        <w:tab/>
      </w:r>
      <w:r w:rsidRPr="00B04DC3">
        <w:rPr>
          <w:position w:val="-106"/>
        </w:rPr>
        <w:object w:dxaOrig="7180" w:dyaOrig="2240">
          <v:shape id="_x0000_i1413" type="#_x0000_t75" style="width:292.2pt;height:88.2pt" o:ole="" fillcolor="window">
            <v:imagedata r:id="rId609" o:title=""/>
          </v:shape>
          <o:OLEObject Type="Embed" ProgID="Equation.3" ShapeID="_x0000_i1413" DrawAspect="Content" ObjectID="_1498392411" r:id="rId610"/>
        </w:object>
      </w:r>
    </w:p>
    <w:p w:rsidR="00BB1DA8" w:rsidRPr="00B04DC3" w:rsidRDefault="00BB1DA8" w:rsidP="00BB1DA8">
      <w:pPr>
        <w:pStyle w:val="NormalCentered"/>
        <w:numPr>
          <w:ilvl w:val="0"/>
          <w:numId w:val="0"/>
        </w:numPr>
        <w:spacing w:before="0" w:after="0"/>
        <w:ind w:left="2268"/>
        <w:jc w:val="both"/>
      </w:pPr>
      <w:r w:rsidRPr="00B04DC3">
        <w:tab/>
      </w:r>
      <w:bookmarkStart w:id="800" w:name="_MON_1223401659"/>
      <w:bookmarkEnd w:id="800"/>
      <w:bookmarkStart w:id="801" w:name="_MON_1223404428"/>
      <w:bookmarkEnd w:id="801"/>
      <w:r w:rsidRPr="00B04DC3">
        <w:object w:dxaOrig="7162" w:dyaOrig="1004">
          <v:shape id="_x0000_i1414" type="#_x0000_t75" style="width:283.8pt;height:39.6pt" o:ole="" fillcolor="window">
            <v:imagedata r:id="rId611" o:title=""/>
          </v:shape>
          <o:OLEObject Type="Embed" ProgID="Word.Picture.8" ShapeID="_x0000_i1414" DrawAspect="Content" ObjectID="_1498392412" r:id="rId612"/>
        </w:object>
      </w:r>
    </w:p>
    <w:p w:rsidR="00BB1DA8" w:rsidRPr="00B04DC3" w:rsidRDefault="00BB1DA8" w:rsidP="00BB1DA8">
      <w:pPr>
        <w:pStyle w:val="NormalCentered"/>
        <w:numPr>
          <w:ilvl w:val="0"/>
          <w:numId w:val="0"/>
        </w:numPr>
        <w:tabs>
          <w:tab w:val="left" w:pos="567"/>
          <w:tab w:val="left" w:pos="1134"/>
          <w:tab w:val="left" w:pos="1701"/>
        </w:tabs>
        <w:spacing w:before="0" w:after="0"/>
        <w:jc w:val="both"/>
      </w:pPr>
    </w:p>
    <w:p w:rsidR="00BB1DA8" w:rsidRPr="00B04DC3" w:rsidRDefault="00BB1DA8" w:rsidP="00BB1DA8">
      <w:pPr>
        <w:pStyle w:val="Text1"/>
        <w:spacing w:before="0" w:after="0"/>
        <w:jc w:val="center"/>
        <w:sectPr w:rsidR="00BB1DA8" w:rsidRPr="00B04DC3" w:rsidSect="0020158A">
          <w:headerReference w:type="even" r:id="rId613"/>
          <w:headerReference w:type="default" r:id="rId614"/>
          <w:headerReference w:type="first" r:id="rId615"/>
          <w:footerReference w:type="first" r:id="rId616"/>
          <w:footnotePr>
            <w:numRestart w:val="eachSect"/>
          </w:footnotePr>
          <w:endnotePr>
            <w:numFmt w:val="decimal"/>
          </w:endnotePr>
          <w:pgSz w:w="11907" w:h="16840" w:code="9"/>
          <w:pgMar w:top="1701" w:right="1134" w:bottom="2268" w:left="1134" w:header="1134" w:footer="1701" w:gutter="0"/>
          <w:cols w:space="720"/>
          <w:docGrid w:linePitch="272"/>
        </w:sectPr>
      </w:pPr>
    </w:p>
    <w:p w:rsidR="00BB1DA8" w:rsidRPr="00B04DC3" w:rsidRDefault="00BB1DA8" w:rsidP="008B1316">
      <w:pPr>
        <w:pStyle w:val="HChG"/>
        <w:spacing w:after="360"/>
      </w:pPr>
      <w:bookmarkStart w:id="802" w:name="_Toc423599660"/>
      <w:bookmarkStart w:id="803" w:name="_Toc423611068"/>
      <w:r w:rsidRPr="00B04DC3">
        <w:t>Annex 7</w:t>
      </w:r>
      <w:bookmarkEnd w:id="802"/>
      <w:bookmarkEnd w:id="803"/>
    </w:p>
    <w:p w:rsidR="00BB1DA8" w:rsidRPr="00B04DC3" w:rsidRDefault="00BB1DA8" w:rsidP="008B1316">
      <w:pPr>
        <w:pStyle w:val="HChG"/>
        <w:spacing w:after="360"/>
      </w:pPr>
      <w:r w:rsidRPr="00B04DC3">
        <w:tab/>
      </w:r>
      <w:r w:rsidRPr="00B04DC3">
        <w:tab/>
      </w:r>
      <w:bookmarkStart w:id="804" w:name="_Toc423599661"/>
      <w:bookmarkStart w:id="805" w:name="_Toc423611069"/>
      <w:r w:rsidRPr="00B04DC3">
        <w:t>Procedures for conducting the test for durability of emission control systems</w:t>
      </w:r>
      <w:bookmarkEnd w:id="804"/>
      <w:bookmarkEnd w:id="805"/>
    </w:p>
    <w:p w:rsidR="00BB1DA8" w:rsidRPr="00B04DC3" w:rsidRDefault="00BB1DA8" w:rsidP="00BB1DA8">
      <w:pPr>
        <w:pStyle w:val="para"/>
        <w:rPr>
          <w:lang w:val="en-GB"/>
        </w:rPr>
      </w:pPr>
      <w:r w:rsidRPr="00B04DC3">
        <w:rPr>
          <w:lang w:val="en-GB"/>
        </w:rPr>
        <w:t>1.</w:t>
      </w:r>
      <w:r w:rsidRPr="00B04DC3">
        <w:rPr>
          <w:lang w:val="en-GB"/>
        </w:rPr>
        <w:tab/>
        <w:t>Introduction</w:t>
      </w:r>
    </w:p>
    <w:p w:rsidR="00BB1DA8" w:rsidRPr="00B04DC3" w:rsidRDefault="00BB1DA8" w:rsidP="00BB1DA8">
      <w:pPr>
        <w:pStyle w:val="para"/>
        <w:rPr>
          <w:lang w:val="en-GB"/>
        </w:rPr>
      </w:pPr>
      <w:r w:rsidRPr="00B04DC3">
        <w:rPr>
          <w:lang w:val="en-GB"/>
        </w:rPr>
        <w:tab/>
        <w:t xml:space="preserve">This annex details the procedures for selecting a family of engines to be tested over a service accumulation schedule for the purpose of determining deterioration factors. Such deterioration factors will be applied to the measured emissions from engines undergoing a periodical audit to ensure that in-service engine emissions remain in conformity with the applicable emission limits, as given in the tables in paragraph 5.2.1. </w:t>
      </w:r>
      <w:r w:rsidR="000E4497">
        <w:rPr>
          <w:lang w:val="en-GB"/>
        </w:rPr>
        <w:t>of</w:t>
      </w:r>
      <w:r w:rsidR="000E4497" w:rsidRPr="00B04DC3">
        <w:rPr>
          <w:lang w:val="en-GB"/>
        </w:rPr>
        <w:t xml:space="preserve"> </w:t>
      </w:r>
      <w:r w:rsidRPr="00B04DC3">
        <w:rPr>
          <w:lang w:val="en-GB"/>
        </w:rPr>
        <w:t>this Regulation, over the durability period applicable to the vehicle in which the engine is installed.</w:t>
      </w:r>
    </w:p>
    <w:p w:rsidR="00BB1DA8" w:rsidRPr="00B04DC3" w:rsidRDefault="00BB1DA8" w:rsidP="00BB1DA8">
      <w:pPr>
        <w:pStyle w:val="para"/>
        <w:rPr>
          <w:lang w:val="en-GB"/>
        </w:rPr>
      </w:pPr>
      <w:r w:rsidRPr="00B04DC3">
        <w:rPr>
          <w:lang w:val="en-GB"/>
        </w:rPr>
        <w:tab/>
        <w:t>This annex also details the emission and non-emission-related maintenance that will be carried out on engines undergoing a service accumulation schedule. Such maintenance will be performed on in-service engines and communicated to owners of new heavy-duty engines.</w:t>
      </w:r>
    </w:p>
    <w:p w:rsidR="00BB1DA8" w:rsidRPr="00B04DC3" w:rsidRDefault="00BB1DA8" w:rsidP="00BB1DA8">
      <w:pPr>
        <w:pStyle w:val="para"/>
        <w:rPr>
          <w:lang w:val="en-GB"/>
        </w:rPr>
      </w:pPr>
      <w:r w:rsidRPr="00B04DC3">
        <w:rPr>
          <w:lang w:val="en-GB"/>
        </w:rPr>
        <w:t>2.</w:t>
      </w:r>
      <w:r w:rsidRPr="00B04DC3">
        <w:rPr>
          <w:lang w:val="en-GB"/>
        </w:rPr>
        <w:tab/>
        <w:t>Selection of engines for establishing useful life deterioration factors</w:t>
      </w:r>
    </w:p>
    <w:p w:rsidR="00BB1DA8" w:rsidRPr="00B04DC3" w:rsidRDefault="00BB1DA8" w:rsidP="00BB1DA8">
      <w:pPr>
        <w:pStyle w:val="para"/>
        <w:rPr>
          <w:lang w:val="en-GB"/>
        </w:rPr>
      </w:pPr>
      <w:r w:rsidRPr="00B04DC3">
        <w:rPr>
          <w:lang w:val="en-GB"/>
        </w:rPr>
        <w:t>2.1.</w:t>
      </w:r>
      <w:r w:rsidRPr="00B04DC3">
        <w:rPr>
          <w:lang w:val="en-GB"/>
        </w:rPr>
        <w:tab/>
        <w:t xml:space="preserve">Engines will be selected from the engine family defined in paragraph 7.1. </w:t>
      </w:r>
      <w:r w:rsidR="000E4497">
        <w:rPr>
          <w:lang w:val="en-GB"/>
        </w:rPr>
        <w:t>of</w:t>
      </w:r>
      <w:r w:rsidR="000E4497" w:rsidRPr="00B04DC3">
        <w:rPr>
          <w:lang w:val="en-GB"/>
        </w:rPr>
        <w:t xml:space="preserve"> </w:t>
      </w:r>
      <w:r w:rsidRPr="00B04DC3">
        <w:rPr>
          <w:lang w:val="en-GB"/>
        </w:rPr>
        <w:t>this Regulation for emission testing to establish useful life deterioration factors.</w:t>
      </w:r>
    </w:p>
    <w:p w:rsidR="00BB1DA8" w:rsidRPr="00B04DC3" w:rsidRDefault="00BB1DA8" w:rsidP="00BB1DA8">
      <w:pPr>
        <w:pStyle w:val="para"/>
        <w:rPr>
          <w:lang w:val="en-GB"/>
        </w:rPr>
      </w:pPr>
      <w:r w:rsidRPr="00B04DC3">
        <w:rPr>
          <w:lang w:val="en-GB"/>
        </w:rPr>
        <w:t>2.2.</w:t>
      </w:r>
      <w:r w:rsidRPr="00B04DC3">
        <w:rPr>
          <w:lang w:val="en-GB"/>
        </w:rPr>
        <w:tab/>
        <w:t xml:space="preserve">Engines from different engine families may be further combined into families based on the type of exhaust </w:t>
      </w:r>
      <w:r w:rsidR="006A75A0">
        <w:rPr>
          <w:lang w:val="en-GB"/>
        </w:rPr>
        <w:t>after-treatment</w:t>
      </w:r>
      <w:r w:rsidRPr="00B04DC3">
        <w:rPr>
          <w:lang w:val="en-GB"/>
        </w:rPr>
        <w:t xml:space="preserve"> system utilised. In order to place engines with different numbers of cylinders and different cylinder configuration but having the same technical specifications and installation for the exhaust </w:t>
      </w:r>
      <w:r w:rsidR="006A75A0">
        <w:rPr>
          <w:lang w:val="en-GB"/>
        </w:rPr>
        <w:t>after-treatment</w:t>
      </w:r>
      <w:r w:rsidRPr="00B04DC3">
        <w:rPr>
          <w:lang w:val="en-GB"/>
        </w:rPr>
        <w:t xml:space="preserve"> systems into the same engine-</w:t>
      </w:r>
      <w:r w:rsidR="006A75A0">
        <w:rPr>
          <w:lang w:val="en-GB"/>
        </w:rPr>
        <w:t>after-treatment</w:t>
      </w:r>
      <w:r w:rsidRPr="00B04DC3">
        <w:rPr>
          <w:lang w:val="en-GB"/>
        </w:rPr>
        <w:t xml:space="preserve"> system family, the manufacturer shall provide data to the </w:t>
      </w:r>
      <w:r w:rsidR="0055021A">
        <w:rPr>
          <w:lang w:val="en-GB"/>
        </w:rPr>
        <w:t xml:space="preserve">Type </w:t>
      </w:r>
      <w:r w:rsidRPr="00B04DC3">
        <w:rPr>
          <w:lang w:val="en-GB"/>
        </w:rPr>
        <w:t>Approval Authority that demonstrates that the emissions of such engines are equivalent.</w:t>
      </w:r>
    </w:p>
    <w:p w:rsidR="00BB1DA8" w:rsidRPr="00B04DC3" w:rsidRDefault="00BB1DA8" w:rsidP="00BB1DA8">
      <w:pPr>
        <w:pStyle w:val="para"/>
        <w:rPr>
          <w:lang w:val="en-GB"/>
        </w:rPr>
      </w:pPr>
      <w:r w:rsidRPr="00B04DC3">
        <w:rPr>
          <w:lang w:val="en-GB"/>
        </w:rPr>
        <w:t>2.3.</w:t>
      </w:r>
      <w:r w:rsidRPr="00B04DC3">
        <w:rPr>
          <w:lang w:val="en-GB"/>
        </w:rPr>
        <w:tab/>
        <w:t>One engine representing the engine-</w:t>
      </w:r>
      <w:r w:rsidR="006A75A0">
        <w:rPr>
          <w:lang w:val="en-GB"/>
        </w:rPr>
        <w:t>after-treatment</w:t>
      </w:r>
      <w:r w:rsidRPr="00B04DC3">
        <w:rPr>
          <w:lang w:val="en-GB"/>
        </w:rPr>
        <w:t xml:space="preserve"> system family shall be selected by the engine manufacturer for testing over the service accumulation schedule defined in paragraph 3.2. of this annex, according to the criteria for selecting engines given in paragraph 7.2. to this Regulation and shall be reported to the </w:t>
      </w:r>
      <w:r w:rsidR="0055021A">
        <w:rPr>
          <w:lang w:val="en-GB"/>
        </w:rPr>
        <w:t xml:space="preserve">Type </w:t>
      </w:r>
      <w:r w:rsidRPr="00B04DC3">
        <w:rPr>
          <w:lang w:val="en-GB"/>
        </w:rPr>
        <w:t>Approval Authority before any testing commences.</w:t>
      </w:r>
    </w:p>
    <w:p w:rsidR="00BB1DA8" w:rsidRPr="00B04DC3" w:rsidRDefault="00BB1DA8" w:rsidP="00BB1DA8">
      <w:pPr>
        <w:pStyle w:val="para"/>
        <w:rPr>
          <w:lang w:val="en-GB"/>
        </w:rPr>
      </w:pPr>
      <w:r w:rsidRPr="00B04DC3">
        <w:rPr>
          <w:lang w:val="en-GB"/>
        </w:rPr>
        <w:t>2.3.1.</w:t>
      </w:r>
      <w:r w:rsidRPr="00B04DC3">
        <w:rPr>
          <w:lang w:val="en-GB"/>
        </w:rPr>
        <w:tab/>
        <w:t xml:space="preserve">If the </w:t>
      </w:r>
      <w:r w:rsidR="000E4497">
        <w:rPr>
          <w:lang w:val="en-GB"/>
        </w:rPr>
        <w:t xml:space="preserve">Type </w:t>
      </w:r>
      <w:r w:rsidRPr="00B04DC3">
        <w:rPr>
          <w:lang w:val="en-GB"/>
        </w:rPr>
        <w:t>Approval Authority decides that the worst case emission rate of the engine</w:t>
      </w:r>
      <w:r w:rsidR="000E4497">
        <w:rPr>
          <w:lang w:val="en-GB"/>
        </w:rPr>
        <w:t xml:space="preserve"> </w:t>
      </w:r>
      <w:r w:rsidR="006A75A0">
        <w:rPr>
          <w:lang w:val="en-GB"/>
        </w:rPr>
        <w:t>after-treatment</w:t>
      </w:r>
      <w:r w:rsidRPr="00B04DC3">
        <w:rPr>
          <w:lang w:val="en-GB"/>
        </w:rPr>
        <w:t xml:space="preserve"> system family can be characterized better by another engine then the test engine shall be selected by the </w:t>
      </w:r>
      <w:r w:rsidR="0055021A">
        <w:rPr>
          <w:lang w:val="en-GB"/>
        </w:rPr>
        <w:t xml:space="preserve">Type </w:t>
      </w:r>
      <w:r w:rsidRPr="00B04DC3">
        <w:rPr>
          <w:lang w:val="en-GB"/>
        </w:rPr>
        <w:t>Approval Authority after consultation with the engine manufacturer.</w:t>
      </w:r>
    </w:p>
    <w:p w:rsidR="00BB1DA8" w:rsidRPr="00B04DC3" w:rsidRDefault="00BB1DA8" w:rsidP="00BB1DA8">
      <w:pPr>
        <w:pStyle w:val="para"/>
        <w:rPr>
          <w:lang w:val="en-GB"/>
        </w:rPr>
      </w:pPr>
      <w:r w:rsidRPr="00B04DC3">
        <w:rPr>
          <w:lang w:val="en-GB"/>
        </w:rPr>
        <w:t>3.</w:t>
      </w:r>
      <w:r w:rsidRPr="00B04DC3">
        <w:rPr>
          <w:lang w:val="en-GB"/>
        </w:rPr>
        <w:tab/>
        <w:t>Establishing useful life deterioration factors</w:t>
      </w:r>
    </w:p>
    <w:p w:rsidR="00BB1DA8" w:rsidRPr="00B04DC3" w:rsidRDefault="00BB1DA8" w:rsidP="00BB1DA8">
      <w:pPr>
        <w:pStyle w:val="para"/>
        <w:rPr>
          <w:lang w:val="en-GB"/>
        </w:rPr>
      </w:pPr>
      <w:r w:rsidRPr="00B04DC3">
        <w:rPr>
          <w:lang w:val="en-GB"/>
        </w:rPr>
        <w:t>3.1.</w:t>
      </w:r>
      <w:r w:rsidRPr="00B04DC3">
        <w:rPr>
          <w:lang w:val="en-GB"/>
        </w:rPr>
        <w:tab/>
        <w:t>General</w:t>
      </w:r>
    </w:p>
    <w:p w:rsidR="00BB1DA8" w:rsidRPr="00B04DC3" w:rsidRDefault="00BB1DA8" w:rsidP="00BB1DA8">
      <w:pPr>
        <w:pStyle w:val="para"/>
        <w:rPr>
          <w:lang w:val="en-GB"/>
        </w:rPr>
      </w:pPr>
      <w:r w:rsidRPr="00B04DC3">
        <w:rPr>
          <w:lang w:val="en-GB"/>
        </w:rPr>
        <w:tab/>
        <w:t>Deterioration factors applicable to an engine-</w:t>
      </w:r>
      <w:r w:rsidR="006A75A0">
        <w:rPr>
          <w:lang w:val="en-GB"/>
        </w:rPr>
        <w:t>after-treatment</w:t>
      </w:r>
      <w:r w:rsidRPr="00B04DC3">
        <w:rPr>
          <w:lang w:val="en-GB"/>
        </w:rPr>
        <w:t xml:space="preserve"> system family are developed from the selected engines based on a distance and service accumulation procedure that includes periodic testing for gaseous and particulate emissions over the ESC and ETC tests.</w:t>
      </w:r>
    </w:p>
    <w:p w:rsidR="00BB1DA8" w:rsidRPr="00B04DC3" w:rsidRDefault="00BB1DA8" w:rsidP="00BB1DA8">
      <w:pPr>
        <w:pStyle w:val="para"/>
        <w:rPr>
          <w:lang w:val="en-GB"/>
        </w:rPr>
      </w:pPr>
      <w:r w:rsidRPr="00B04DC3">
        <w:rPr>
          <w:lang w:val="en-GB"/>
        </w:rPr>
        <w:t>3.2.</w:t>
      </w:r>
      <w:r w:rsidRPr="00B04DC3">
        <w:rPr>
          <w:lang w:val="en-GB"/>
        </w:rPr>
        <w:tab/>
        <w:t>Service accumulation schedule</w:t>
      </w:r>
    </w:p>
    <w:p w:rsidR="00BB1DA8" w:rsidRPr="00B04DC3" w:rsidRDefault="00BB1DA8" w:rsidP="00BB1DA8">
      <w:pPr>
        <w:pStyle w:val="para"/>
        <w:rPr>
          <w:lang w:val="en-GB"/>
        </w:rPr>
      </w:pPr>
      <w:r w:rsidRPr="00B04DC3">
        <w:rPr>
          <w:lang w:val="en-GB"/>
        </w:rPr>
        <w:tab/>
        <w:t>Service accumulation schedules may be carried out at the choice of the manufacturer by running a vehicle equipped with the selected parent engine over an "in-service accumulation" schedule or by running the selected parent engine over a "dynamometer service accumulation" schedule.</w:t>
      </w:r>
    </w:p>
    <w:p w:rsidR="00BB1DA8" w:rsidRPr="00B04DC3" w:rsidRDefault="00BB1DA8" w:rsidP="00BB1DA8">
      <w:pPr>
        <w:pStyle w:val="para"/>
        <w:rPr>
          <w:lang w:val="en-GB"/>
        </w:rPr>
      </w:pPr>
      <w:r w:rsidRPr="00B04DC3">
        <w:rPr>
          <w:lang w:val="en-GB"/>
        </w:rPr>
        <w:t>3.2.1.</w:t>
      </w:r>
      <w:r w:rsidRPr="00B04DC3">
        <w:rPr>
          <w:lang w:val="en-GB"/>
        </w:rPr>
        <w:tab/>
        <w:t>In-service and dynamometer service accumulation</w:t>
      </w:r>
    </w:p>
    <w:p w:rsidR="00BB1DA8" w:rsidRPr="00B04DC3" w:rsidRDefault="00BB1DA8" w:rsidP="00BB1DA8">
      <w:pPr>
        <w:pStyle w:val="para"/>
        <w:rPr>
          <w:lang w:val="en-GB"/>
        </w:rPr>
      </w:pPr>
      <w:r w:rsidRPr="00B04DC3">
        <w:rPr>
          <w:lang w:val="en-GB"/>
        </w:rPr>
        <w:t>3.2.1.1.</w:t>
      </w:r>
      <w:r w:rsidRPr="00B04DC3">
        <w:rPr>
          <w:lang w:val="en-GB"/>
        </w:rPr>
        <w:tab/>
        <w:t>The manufacturer shall determine the form and extent of the distance and service accumulation for engines, consistent with good engineering practice.</w:t>
      </w:r>
    </w:p>
    <w:p w:rsidR="00BB1DA8" w:rsidRPr="00B04DC3" w:rsidRDefault="00BB1DA8" w:rsidP="00BB1DA8">
      <w:pPr>
        <w:pStyle w:val="para"/>
        <w:rPr>
          <w:lang w:val="en-GB"/>
        </w:rPr>
      </w:pPr>
      <w:r w:rsidRPr="00B04DC3">
        <w:rPr>
          <w:lang w:val="en-GB"/>
        </w:rPr>
        <w:t>3.2.1.2.</w:t>
      </w:r>
      <w:r w:rsidRPr="00B04DC3">
        <w:rPr>
          <w:lang w:val="en-GB"/>
        </w:rPr>
        <w:tab/>
        <w:t>The manufacturer will determine when the engine will be tested for gaseous and particulate emissions over the ESC and ETC tests.</w:t>
      </w:r>
    </w:p>
    <w:p w:rsidR="00BB1DA8" w:rsidRPr="00B04DC3" w:rsidRDefault="00BB1DA8" w:rsidP="00BB1DA8">
      <w:pPr>
        <w:pStyle w:val="para"/>
        <w:rPr>
          <w:lang w:val="en-GB"/>
        </w:rPr>
      </w:pPr>
      <w:r w:rsidRPr="00B04DC3">
        <w:rPr>
          <w:lang w:val="en-GB"/>
        </w:rPr>
        <w:t>3.2.1.3.</w:t>
      </w:r>
      <w:r w:rsidRPr="00B04DC3">
        <w:rPr>
          <w:lang w:val="en-GB"/>
        </w:rPr>
        <w:tab/>
        <w:t>A single engine-operating schedule shall be used for all engines in an engine-</w:t>
      </w:r>
      <w:r w:rsidR="006A75A0">
        <w:rPr>
          <w:lang w:val="en-GB"/>
        </w:rPr>
        <w:t>after-treatment</w:t>
      </w:r>
      <w:r w:rsidRPr="00B04DC3">
        <w:rPr>
          <w:lang w:val="en-GB"/>
        </w:rPr>
        <w:t xml:space="preserve"> system family.</w:t>
      </w:r>
    </w:p>
    <w:p w:rsidR="00BB1DA8" w:rsidRPr="00B04DC3" w:rsidRDefault="00BB1DA8" w:rsidP="00BB1DA8">
      <w:pPr>
        <w:pStyle w:val="para"/>
        <w:rPr>
          <w:lang w:val="en-GB"/>
        </w:rPr>
      </w:pPr>
      <w:r w:rsidRPr="00B04DC3">
        <w:rPr>
          <w:lang w:val="en-GB"/>
        </w:rPr>
        <w:t>3.2.1.4.</w:t>
      </w:r>
      <w:r w:rsidRPr="00B04DC3">
        <w:rPr>
          <w:lang w:val="en-GB"/>
        </w:rPr>
        <w:tab/>
        <w:t xml:space="preserve">At the request of the manufacturer and with the agreement of the </w:t>
      </w:r>
      <w:r w:rsidR="00735C88">
        <w:rPr>
          <w:lang w:val="en-GB"/>
        </w:rPr>
        <w:t xml:space="preserve">Type </w:t>
      </w:r>
      <w:r w:rsidRPr="00B04DC3">
        <w:rPr>
          <w:lang w:val="en-GB"/>
        </w:rPr>
        <w:t>Approval Authority, only one test cycle (either the ESC or ETC test) need be run at each test point with the other test cycle run only at the beginning and at the end of the service accumulation schedule.</w:t>
      </w:r>
    </w:p>
    <w:p w:rsidR="00BB1DA8" w:rsidRPr="00B04DC3" w:rsidRDefault="00BB1DA8" w:rsidP="00BB1DA8">
      <w:pPr>
        <w:pStyle w:val="para"/>
        <w:rPr>
          <w:lang w:val="en-GB"/>
        </w:rPr>
      </w:pPr>
      <w:r w:rsidRPr="00B04DC3">
        <w:rPr>
          <w:lang w:val="en-GB"/>
        </w:rPr>
        <w:t>3.2.1.5.</w:t>
      </w:r>
      <w:r w:rsidRPr="00B04DC3">
        <w:rPr>
          <w:lang w:val="en-GB"/>
        </w:rPr>
        <w:tab/>
        <w:t>Operating schedules may be different for different engine-</w:t>
      </w:r>
      <w:r w:rsidR="006A75A0">
        <w:rPr>
          <w:lang w:val="en-GB"/>
        </w:rPr>
        <w:t>after-treatment</w:t>
      </w:r>
      <w:r w:rsidRPr="00B04DC3">
        <w:rPr>
          <w:lang w:val="en-GB"/>
        </w:rPr>
        <w:t xml:space="preserve"> system families.</w:t>
      </w:r>
    </w:p>
    <w:p w:rsidR="00BB1DA8" w:rsidRPr="00B04DC3" w:rsidRDefault="00BB1DA8" w:rsidP="00BB1DA8">
      <w:pPr>
        <w:pStyle w:val="para"/>
        <w:rPr>
          <w:lang w:val="en-GB"/>
        </w:rPr>
      </w:pPr>
      <w:r w:rsidRPr="00B04DC3">
        <w:rPr>
          <w:lang w:val="en-GB"/>
        </w:rPr>
        <w:t>3.2.1.6.</w:t>
      </w:r>
      <w:r w:rsidRPr="00B04DC3">
        <w:rPr>
          <w:lang w:val="en-GB"/>
        </w:rPr>
        <w:tab/>
        <w:t>Operating schedules may be shorter than the useful life period provided that the number of test points allows for a proper extrapolation of the test results, according to paragraph 3.5.2. In any case, the service accumulation shall not be shorter than shown in the table in paragraph 3.2.1.8.</w:t>
      </w:r>
      <w:r w:rsidR="00735C88">
        <w:rPr>
          <w:lang w:val="en-GB"/>
        </w:rPr>
        <w:t xml:space="preserve"> of this annex.</w:t>
      </w:r>
    </w:p>
    <w:p w:rsidR="00BB1DA8" w:rsidRPr="00B04DC3" w:rsidRDefault="00BB1DA8" w:rsidP="00BB1DA8">
      <w:pPr>
        <w:pStyle w:val="para"/>
        <w:rPr>
          <w:lang w:val="en-GB"/>
        </w:rPr>
      </w:pPr>
      <w:r w:rsidRPr="00B04DC3">
        <w:rPr>
          <w:lang w:val="en-GB"/>
        </w:rPr>
        <w:t>3.2.1.7.</w:t>
      </w:r>
      <w:r w:rsidRPr="00B04DC3">
        <w:rPr>
          <w:lang w:val="en-GB"/>
        </w:rPr>
        <w:tab/>
        <w:t>The manufacturer has to provide the applicable correlation between minimum service accumulation period (driving distance) and engine dynamometer hours, for example, fuel consumption correlation, vehicle speed versus engine revolutions correlation etc.</w:t>
      </w:r>
    </w:p>
    <w:p w:rsidR="00BB1DA8" w:rsidRPr="00B04DC3" w:rsidRDefault="00BB1DA8" w:rsidP="00BB1DA8">
      <w:pPr>
        <w:pStyle w:val="para"/>
        <w:rPr>
          <w:lang w:val="en-GB"/>
        </w:rPr>
      </w:pPr>
      <w:r w:rsidRPr="00B04DC3">
        <w:rPr>
          <w:lang w:val="en-GB"/>
        </w:rPr>
        <w:t>3.2.1.8.</w:t>
      </w:r>
      <w:r w:rsidRPr="00B04DC3">
        <w:rPr>
          <w:lang w:val="en-GB"/>
        </w:rPr>
        <w:tab/>
        <w:t>Minimum service accumulation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7"/>
        <w:gridCol w:w="2082"/>
        <w:gridCol w:w="2166"/>
      </w:tblGrid>
      <w:tr w:rsidR="00BB1DA8" w:rsidRPr="00B04DC3" w:rsidTr="0090475A">
        <w:tc>
          <w:tcPr>
            <w:tcW w:w="4257" w:type="dxa"/>
            <w:tcBorders>
              <w:bottom w:val="single" w:sz="12" w:space="0" w:color="auto"/>
            </w:tcBorders>
            <w:vAlign w:val="center"/>
          </w:tcPr>
          <w:p w:rsidR="00BB1DA8" w:rsidRPr="00B04DC3" w:rsidRDefault="00BB1DA8" w:rsidP="00BB1DA8">
            <w:pPr>
              <w:pStyle w:val="Text1"/>
              <w:tabs>
                <w:tab w:val="left" w:pos="1418"/>
                <w:tab w:val="left" w:pos="1985"/>
                <w:tab w:val="left" w:pos="2552"/>
              </w:tabs>
              <w:spacing w:before="80" w:after="80" w:line="200" w:lineRule="exact"/>
              <w:ind w:left="0"/>
              <w:jc w:val="center"/>
              <w:rPr>
                <w:bCs/>
                <w:i/>
                <w:sz w:val="16"/>
                <w:szCs w:val="16"/>
              </w:rPr>
            </w:pPr>
            <w:r w:rsidRPr="00B04DC3">
              <w:rPr>
                <w:bCs/>
                <w:i/>
                <w:sz w:val="16"/>
                <w:szCs w:val="16"/>
              </w:rPr>
              <w:t>Category of vehicle in which engine will be installed</w:t>
            </w:r>
          </w:p>
        </w:tc>
        <w:tc>
          <w:tcPr>
            <w:tcW w:w="2082" w:type="dxa"/>
            <w:tcBorders>
              <w:bottom w:val="single" w:sz="12" w:space="0" w:color="auto"/>
            </w:tcBorders>
            <w:vAlign w:val="center"/>
          </w:tcPr>
          <w:p w:rsidR="00BB1DA8" w:rsidRPr="00B04DC3" w:rsidRDefault="00BB1DA8" w:rsidP="00BB1DA8">
            <w:pPr>
              <w:pStyle w:val="Text1"/>
              <w:tabs>
                <w:tab w:val="left" w:pos="1418"/>
                <w:tab w:val="left" w:pos="1985"/>
                <w:tab w:val="left" w:pos="2552"/>
              </w:tabs>
              <w:spacing w:before="80" w:after="80" w:line="200" w:lineRule="exact"/>
              <w:ind w:left="14" w:hanging="14"/>
              <w:jc w:val="center"/>
              <w:rPr>
                <w:bCs/>
                <w:i/>
                <w:sz w:val="16"/>
                <w:szCs w:val="16"/>
              </w:rPr>
            </w:pPr>
            <w:r w:rsidRPr="00B04DC3">
              <w:rPr>
                <w:bCs/>
                <w:i/>
                <w:sz w:val="16"/>
                <w:szCs w:val="16"/>
              </w:rPr>
              <w:t>Minimum service accumulation period</w:t>
            </w:r>
          </w:p>
        </w:tc>
        <w:tc>
          <w:tcPr>
            <w:tcW w:w="2166" w:type="dxa"/>
            <w:tcBorders>
              <w:bottom w:val="single" w:sz="12" w:space="0" w:color="auto"/>
            </w:tcBorders>
            <w:vAlign w:val="center"/>
          </w:tcPr>
          <w:p w:rsidR="00BB1DA8" w:rsidRPr="00B04DC3" w:rsidRDefault="00BB1DA8" w:rsidP="00BB1DA8">
            <w:pPr>
              <w:pStyle w:val="Text1"/>
              <w:tabs>
                <w:tab w:val="left" w:pos="1418"/>
                <w:tab w:val="left" w:pos="1985"/>
                <w:tab w:val="left" w:pos="2552"/>
              </w:tabs>
              <w:spacing w:before="80" w:after="80" w:line="200" w:lineRule="exact"/>
              <w:ind w:left="14" w:hanging="14"/>
              <w:jc w:val="center"/>
              <w:rPr>
                <w:bCs/>
                <w:i/>
                <w:sz w:val="16"/>
                <w:szCs w:val="16"/>
              </w:rPr>
            </w:pPr>
            <w:r w:rsidRPr="00B04DC3">
              <w:rPr>
                <w:bCs/>
                <w:i/>
                <w:sz w:val="16"/>
                <w:szCs w:val="16"/>
              </w:rPr>
              <w:t>Useful life (paragraph</w:t>
            </w:r>
            <w:r w:rsidR="00735C88">
              <w:rPr>
                <w:bCs/>
                <w:i/>
                <w:sz w:val="16"/>
                <w:szCs w:val="16"/>
              </w:rPr>
              <w:t>s</w:t>
            </w:r>
            <w:r w:rsidRPr="00B04DC3">
              <w:rPr>
                <w:bCs/>
                <w:i/>
                <w:sz w:val="16"/>
                <w:szCs w:val="16"/>
              </w:rPr>
              <w:t xml:space="preserve"> of this Regulation)</w:t>
            </w:r>
          </w:p>
        </w:tc>
      </w:tr>
      <w:tr w:rsidR="00BB1DA8" w:rsidRPr="00B04DC3" w:rsidTr="0090475A">
        <w:tc>
          <w:tcPr>
            <w:tcW w:w="4257" w:type="dxa"/>
            <w:tcBorders>
              <w:top w:val="single" w:sz="12" w:space="0" w:color="auto"/>
            </w:tcBorders>
            <w:vAlign w:val="center"/>
          </w:tcPr>
          <w:p w:rsidR="00BB1DA8" w:rsidRPr="00B04DC3" w:rsidRDefault="00BB1DA8" w:rsidP="00BB1DA8">
            <w:pPr>
              <w:pStyle w:val="Text1"/>
              <w:tabs>
                <w:tab w:val="left" w:pos="1418"/>
                <w:tab w:val="left" w:pos="1985"/>
                <w:tab w:val="left" w:pos="2552"/>
              </w:tabs>
              <w:spacing w:before="40" w:line="240" w:lineRule="exact"/>
              <w:ind w:left="34" w:hanging="34"/>
              <w:jc w:val="left"/>
              <w:rPr>
                <w:bCs/>
                <w:sz w:val="20"/>
              </w:rPr>
            </w:pPr>
            <w:r w:rsidRPr="00B04DC3">
              <w:rPr>
                <w:bCs/>
                <w:sz w:val="20"/>
              </w:rPr>
              <w:t>Category N</w:t>
            </w:r>
            <w:r w:rsidRPr="00B04DC3">
              <w:rPr>
                <w:bCs/>
                <w:sz w:val="20"/>
                <w:vertAlign w:val="subscript"/>
              </w:rPr>
              <w:t>1</w:t>
            </w:r>
            <w:r w:rsidRPr="00B04DC3">
              <w:rPr>
                <w:bCs/>
                <w:sz w:val="20"/>
              </w:rPr>
              <w:t xml:space="preserve"> vehicles</w:t>
            </w:r>
          </w:p>
        </w:tc>
        <w:tc>
          <w:tcPr>
            <w:tcW w:w="2082" w:type="dxa"/>
            <w:tcBorders>
              <w:top w:val="single" w:sz="12" w:space="0" w:color="auto"/>
            </w:tcBorders>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100,000 km</w:t>
            </w:r>
          </w:p>
        </w:tc>
        <w:tc>
          <w:tcPr>
            <w:tcW w:w="2166" w:type="dxa"/>
            <w:tcBorders>
              <w:top w:val="single" w:sz="12" w:space="0" w:color="auto"/>
            </w:tcBorders>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5.3.1.1.</w:t>
            </w:r>
          </w:p>
        </w:tc>
      </w:tr>
      <w:tr w:rsidR="00BB1DA8" w:rsidRPr="00B04DC3">
        <w:tc>
          <w:tcPr>
            <w:tcW w:w="4257" w:type="dxa"/>
            <w:vAlign w:val="center"/>
          </w:tcPr>
          <w:p w:rsidR="00BB1DA8" w:rsidRPr="00B04DC3" w:rsidRDefault="00BB1DA8" w:rsidP="00BB1DA8">
            <w:pPr>
              <w:pStyle w:val="Text1"/>
              <w:tabs>
                <w:tab w:val="left" w:pos="1418"/>
                <w:tab w:val="left" w:pos="1985"/>
                <w:tab w:val="left" w:pos="2552"/>
              </w:tabs>
              <w:spacing w:before="40" w:line="240" w:lineRule="exact"/>
              <w:ind w:left="34" w:hanging="34"/>
              <w:jc w:val="left"/>
              <w:rPr>
                <w:bCs/>
                <w:sz w:val="20"/>
              </w:rPr>
            </w:pPr>
            <w:r w:rsidRPr="00B04DC3">
              <w:rPr>
                <w:bCs/>
                <w:sz w:val="20"/>
              </w:rPr>
              <w:t>Category N</w:t>
            </w:r>
            <w:r w:rsidRPr="00B04DC3">
              <w:rPr>
                <w:bCs/>
                <w:sz w:val="20"/>
                <w:vertAlign w:val="subscript"/>
              </w:rPr>
              <w:t>2</w:t>
            </w:r>
            <w:r w:rsidRPr="00B04DC3">
              <w:rPr>
                <w:bCs/>
                <w:sz w:val="20"/>
              </w:rPr>
              <w:t xml:space="preserve"> vehicles</w:t>
            </w:r>
          </w:p>
        </w:tc>
        <w:tc>
          <w:tcPr>
            <w:tcW w:w="2082"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125,000 km</w:t>
            </w:r>
          </w:p>
        </w:tc>
        <w:tc>
          <w:tcPr>
            <w:tcW w:w="2166"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5.3.1.2.</w:t>
            </w:r>
          </w:p>
        </w:tc>
      </w:tr>
      <w:tr w:rsidR="00BB1DA8" w:rsidRPr="00B04DC3">
        <w:tc>
          <w:tcPr>
            <w:tcW w:w="4257" w:type="dxa"/>
            <w:vAlign w:val="center"/>
          </w:tcPr>
          <w:p w:rsidR="00BB1DA8" w:rsidRPr="00B04DC3" w:rsidRDefault="00BB1DA8" w:rsidP="00BB1DA8">
            <w:pPr>
              <w:pStyle w:val="Text1"/>
              <w:tabs>
                <w:tab w:val="left" w:pos="1418"/>
                <w:tab w:val="left" w:pos="1985"/>
                <w:tab w:val="left" w:pos="2552"/>
              </w:tabs>
              <w:spacing w:before="40" w:line="240" w:lineRule="exact"/>
              <w:ind w:left="34" w:hanging="34"/>
              <w:jc w:val="left"/>
              <w:rPr>
                <w:bCs/>
                <w:sz w:val="20"/>
              </w:rPr>
            </w:pPr>
            <w:r w:rsidRPr="00B04DC3">
              <w:rPr>
                <w:bCs/>
                <w:sz w:val="20"/>
              </w:rPr>
              <w:t>Category N</w:t>
            </w:r>
            <w:r w:rsidRPr="00B04DC3">
              <w:rPr>
                <w:bCs/>
                <w:sz w:val="20"/>
                <w:vertAlign w:val="subscript"/>
              </w:rPr>
              <w:t>3</w:t>
            </w:r>
            <w:r w:rsidRPr="00B04DC3">
              <w:rPr>
                <w:bCs/>
                <w:sz w:val="20"/>
              </w:rPr>
              <w:t xml:space="preserve"> vehicles with a maximum technically permissible mass not exceeding 16 tonnes</w:t>
            </w:r>
          </w:p>
        </w:tc>
        <w:tc>
          <w:tcPr>
            <w:tcW w:w="2082"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125,000 km</w:t>
            </w:r>
          </w:p>
        </w:tc>
        <w:tc>
          <w:tcPr>
            <w:tcW w:w="2166"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5.3.1.2.</w:t>
            </w:r>
          </w:p>
        </w:tc>
      </w:tr>
      <w:tr w:rsidR="00BB1DA8" w:rsidRPr="00B04DC3">
        <w:tc>
          <w:tcPr>
            <w:tcW w:w="4257" w:type="dxa"/>
            <w:vAlign w:val="center"/>
          </w:tcPr>
          <w:p w:rsidR="00BB1DA8" w:rsidRPr="00B04DC3" w:rsidRDefault="00BB1DA8" w:rsidP="00BB1DA8">
            <w:pPr>
              <w:pStyle w:val="Text1"/>
              <w:tabs>
                <w:tab w:val="left" w:pos="1418"/>
                <w:tab w:val="left" w:pos="1985"/>
                <w:tab w:val="left" w:pos="2552"/>
              </w:tabs>
              <w:spacing w:before="40" w:line="240" w:lineRule="exact"/>
              <w:ind w:left="34" w:hanging="34"/>
              <w:jc w:val="left"/>
              <w:rPr>
                <w:bCs/>
                <w:sz w:val="20"/>
              </w:rPr>
            </w:pPr>
            <w:r w:rsidRPr="00B04DC3">
              <w:rPr>
                <w:bCs/>
                <w:sz w:val="20"/>
              </w:rPr>
              <w:t>Category N</w:t>
            </w:r>
            <w:r w:rsidRPr="00B04DC3">
              <w:rPr>
                <w:bCs/>
                <w:sz w:val="20"/>
                <w:vertAlign w:val="subscript"/>
              </w:rPr>
              <w:t>3</w:t>
            </w:r>
            <w:r w:rsidRPr="00B04DC3">
              <w:rPr>
                <w:bCs/>
                <w:sz w:val="20"/>
              </w:rPr>
              <w:t xml:space="preserve"> vehicles with a maximum technically permissible mass exceeding 16 tonnes</w:t>
            </w:r>
          </w:p>
        </w:tc>
        <w:tc>
          <w:tcPr>
            <w:tcW w:w="2082"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167,000 km</w:t>
            </w:r>
          </w:p>
        </w:tc>
        <w:tc>
          <w:tcPr>
            <w:tcW w:w="2166"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5.3.1.3.</w:t>
            </w:r>
          </w:p>
        </w:tc>
      </w:tr>
      <w:tr w:rsidR="00BB1DA8" w:rsidRPr="00B04DC3">
        <w:tc>
          <w:tcPr>
            <w:tcW w:w="4257" w:type="dxa"/>
            <w:vAlign w:val="center"/>
          </w:tcPr>
          <w:p w:rsidR="00BB1DA8" w:rsidRPr="00B04DC3" w:rsidRDefault="00BB1DA8" w:rsidP="00BB1DA8">
            <w:pPr>
              <w:pStyle w:val="Text1"/>
              <w:tabs>
                <w:tab w:val="left" w:pos="1418"/>
                <w:tab w:val="left" w:pos="1985"/>
                <w:tab w:val="left" w:pos="2552"/>
              </w:tabs>
              <w:spacing w:before="40" w:line="240" w:lineRule="exact"/>
              <w:ind w:left="34" w:hanging="34"/>
              <w:jc w:val="left"/>
              <w:rPr>
                <w:bCs/>
                <w:sz w:val="20"/>
              </w:rPr>
            </w:pPr>
            <w:r w:rsidRPr="00B04DC3">
              <w:rPr>
                <w:bCs/>
                <w:sz w:val="20"/>
              </w:rPr>
              <w:t>Category M</w:t>
            </w:r>
            <w:r w:rsidRPr="00B04DC3">
              <w:rPr>
                <w:bCs/>
                <w:sz w:val="20"/>
                <w:vertAlign w:val="subscript"/>
              </w:rPr>
              <w:t>2</w:t>
            </w:r>
            <w:r w:rsidRPr="00B04DC3">
              <w:rPr>
                <w:bCs/>
                <w:sz w:val="20"/>
              </w:rPr>
              <w:t xml:space="preserve"> vehicles</w:t>
            </w:r>
          </w:p>
        </w:tc>
        <w:tc>
          <w:tcPr>
            <w:tcW w:w="2082"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100,000 km</w:t>
            </w:r>
          </w:p>
        </w:tc>
        <w:tc>
          <w:tcPr>
            <w:tcW w:w="2166"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5.3.1.1.</w:t>
            </w:r>
          </w:p>
        </w:tc>
      </w:tr>
      <w:tr w:rsidR="00BB1DA8" w:rsidRPr="00B04DC3">
        <w:tc>
          <w:tcPr>
            <w:tcW w:w="4257" w:type="dxa"/>
            <w:vAlign w:val="center"/>
          </w:tcPr>
          <w:p w:rsidR="00BB1DA8" w:rsidRPr="00B04DC3" w:rsidRDefault="00BB1DA8" w:rsidP="00735C88">
            <w:pPr>
              <w:pStyle w:val="Text1"/>
              <w:tabs>
                <w:tab w:val="left" w:pos="1418"/>
                <w:tab w:val="left" w:pos="1985"/>
                <w:tab w:val="left" w:pos="2552"/>
              </w:tabs>
              <w:spacing w:before="40" w:line="240" w:lineRule="exact"/>
              <w:ind w:left="34" w:hanging="34"/>
              <w:jc w:val="left"/>
              <w:rPr>
                <w:bCs/>
                <w:sz w:val="20"/>
              </w:rPr>
            </w:pPr>
            <w:r w:rsidRPr="00B04DC3">
              <w:rPr>
                <w:bCs/>
                <w:sz w:val="20"/>
              </w:rPr>
              <w:t>Category M</w:t>
            </w:r>
            <w:r w:rsidRPr="00B04DC3">
              <w:rPr>
                <w:bCs/>
                <w:sz w:val="20"/>
                <w:vertAlign w:val="subscript"/>
              </w:rPr>
              <w:t>3</w:t>
            </w:r>
            <w:r w:rsidRPr="00B04DC3">
              <w:rPr>
                <w:bCs/>
                <w:sz w:val="20"/>
              </w:rPr>
              <w:t xml:space="preserve"> vehicles of </w:t>
            </w:r>
            <w:r w:rsidR="00735C88">
              <w:rPr>
                <w:bCs/>
                <w:sz w:val="20"/>
              </w:rPr>
              <w:t>C</w:t>
            </w:r>
            <w:r w:rsidR="00735C88" w:rsidRPr="00B04DC3">
              <w:rPr>
                <w:bCs/>
                <w:sz w:val="20"/>
              </w:rPr>
              <w:t xml:space="preserve">lasses </w:t>
            </w:r>
            <w:r w:rsidRPr="00B04DC3">
              <w:rPr>
                <w:bCs/>
                <w:sz w:val="20"/>
              </w:rPr>
              <w:t>I, II, A and B, with a maximum technically permissible mass not exceeding 7.5 tonnes</w:t>
            </w:r>
          </w:p>
        </w:tc>
        <w:tc>
          <w:tcPr>
            <w:tcW w:w="2082"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125,000 km</w:t>
            </w:r>
          </w:p>
        </w:tc>
        <w:tc>
          <w:tcPr>
            <w:tcW w:w="2166" w:type="dxa"/>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5.3.1.2.</w:t>
            </w:r>
          </w:p>
        </w:tc>
      </w:tr>
      <w:tr w:rsidR="00BB1DA8" w:rsidRPr="00B04DC3" w:rsidTr="0090475A">
        <w:tc>
          <w:tcPr>
            <w:tcW w:w="4257" w:type="dxa"/>
            <w:tcBorders>
              <w:bottom w:val="single" w:sz="12" w:space="0" w:color="auto"/>
            </w:tcBorders>
            <w:vAlign w:val="center"/>
          </w:tcPr>
          <w:p w:rsidR="00BB1DA8" w:rsidRPr="00B04DC3" w:rsidRDefault="00BB1DA8" w:rsidP="00735C88">
            <w:pPr>
              <w:pStyle w:val="Text1"/>
              <w:tabs>
                <w:tab w:val="left" w:pos="1418"/>
                <w:tab w:val="left" w:pos="1985"/>
                <w:tab w:val="left" w:pos="2552"/>
              </w:tabs>
              <w:spacing w:before="40" w:line="240" w:lineRule="exact"/>
              <w:ind w:left="34" w:hanging="34"/>
              <w:jc w:val="left"/>
              <w:rPr>
                <w:bCs/>
                <w:sz w:val="20"/>
              </w:rPr>
            </w:pPr>
            <w:r w:rsidRPr="00B04DC3">
              <w:rPr>
                <w:bCs/>
                <w:sz w:val="20"/>
              </w:rPr>
              <w:t>Category M</w:t>
            </w:r>
            <w:r w:rsidRPr="00B04DC3">
              <w:rPr>
                <w:bCs/>
                <w:sz w:val="20"/>
                <w:vertAlign w:val="subscript"/>
              </w:rPr>
              <w:t>3</w:t>
            </w:r>
            <w:r w:rsidRPr="00B04DC3">
              <w:rPr>
                <w:bCs/>
                <w:sz w:val="20"/>
              </w:rPr>
              <w:t xml:space="preserve"> vehicles of </w:t>
            </w:r>
            <w:r w:rsidR="00735C88">
              <w:rPr>
                <w:bCs/>
                <w:sz w:val="20"/>
              </w:rPr>
              <w:t>C</w:t>
            </w:r>
            <w:r w:rsidR="00735C88" w:rsidRPr="00B04DC3">
              <w:rPr>
                <w:bCs/>
                <w:sz w:val="20"/>
              </w:rPr>
              <w:t xml:space="preserve">lasses </w:t>
            </w:r>
            <w:r w:rsidRPr="00B04DC3">
              <w:rPr>
                <w:bCs/>
                <w:sz w:val="20"/>
              </w:rPr>
              <w:t>III and B, with a maximum technically permissible mass exceeding 7.5 tonnes</w:t>
            </w:r>
          </w:p>
        </w:tc>
        <w:tc>
          <w:tcPr>
            <w:tcW w:w="2082" w:type="dxa"/>
            <w:tcBorders>
              <w:bottom w:val="single" w:sz="12" w:space="0" w:color="auto"/>
            </w:tcBorders>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167,000 km</w:t>
            </w:r>
          </w:p>
        </w:tc>
        <w:tc>
          <w:tcPr>
            <w:tcW w:w="2166" w:type="dxa"/>
            <w:tcBorders>
              <w:bottom w:val="single" w:sz="12" w:space="0" w:color="auto"/>
            </w:tcBorders>
            <w:vAlign w:val="center"/>
          </w:tcPr>
          <w:p w:rsidR="00BB1DA8" w:rsidRPr="00B04DC3" w:rsidRDefault="00BB1DA8" w:rsidP="00BB1DA8">
            <w:pPr>
              <w:pStyle w:val="Text1"/>
              <w:tabs>
                <w:tab w:val="left" w:pos="851"/>
                <w:tab w:val="left" w:pos="1418"/>
                <w:tab w:val="left" w:pos="1985"/>
                <w:tab w:val="left" w:pos="2552"/>
              </w:tabs>
              <w:spacing w:before="40" w:line="240" w:lineRule="exact"/>
              <w:ind w:left="850" w:hanging="850"/>
              <w:jc w:val="center"/>
              <w:rPr>
                <w:bCs/>
                <w:sz w:val="20"/>
              </w:rPr>
            </w:pPr>
            <w:r w:rsidRPr="00B04DC3">
              <w:rPr>
                <w:bCs/>
                <w:sz w:val="20"/>
              </w:rPr>
              <w:t>Paragraph 5.3.1.3.</w:t>
            </w:r>
          </w:p>
        </w:tc>
      </w:tr>
    </w:tbl>
    <w:p w:rsidR="00BB1DA8" w:rsidRPr="00B04DC3" w:rsidRDefault="00BB1DA8" w:rsidP="00BB1DA8">
      <w:pPr>
        <w:pStyle w:val="para"/>
        <w:spacing w:after="100"/>
        <w:rPr>
          <w:lang w:val="en-GB"/>
        </w:rPr>
      </w:pPr>
      <w:r w:rsidRPr="00B04DC3">
        <w:rPr>
          <w:lang w:val="en-GB"/>
        </w:rPr>
        <w:t>3.2.1.9.</w:t>
      </w:r>
      <w:r w:rsidRPr="00B04DC3">
        <w:rPr>
          <w:lang w:val="en-GB"/>
        </w:rPr>
        <w:tab/>
        <w:t xml:space="preserve">The in-service accumulation schedule shall be fully described in the application for approval and reported to the </w:t>
      </w:r>
      <w:r w:rsidR="0055021A">
        <w:rPr>
          <w:lang w:val="en-GB"/>
        </w:rPr>
        <w:t xml:space="preserve">Type </w:t>
      </w:r>
      <w:r w:rsidRPr="00B04DC3">
        <w:rPr>
          <w:lang w:val="en-GB"/>
        </w:rPr>
        <w:t>Approval Authority before the start of any testing.</w:t>
      </w:r>
    </w:p>
    <w:p w:rsidR="00BB1DA8" w:rsidRPr="00B04DC3" w:rsidRDefault="00BB1DA8" w:rsidP="00BB1DA8">
      <w:pPr>
        <w:pStyle w:val="para"/>
        <w:spacing w:after="100"/>
        <w:rPr>
          <w:lang w:val="en-GB"/>
        </w:rPr>
      </w:pPr>
      <w:r w:rsidRPr="00B04DC3">
        <w:rPr>
          <w:lang w:val="en-GB"/>
        </w:rPr>
        <w:t>3.2.2.</w:t>
      </w:r>
      <w:r w:rsidRPr="00B04DC3">
        <w:rPr>
          <w:lang w:val="en-GB"/>
        </w:rPr>
        <w:tab/>
        <w:t xml:space="preserve">If the </w:t>
      </w:r>
      <w:r w:rsidR="0055021A">
        <w:rPr>
          <w:lang w:val="en-GB"/>
        </w:rPr>
        <w:t xml:space="preserve">Type </w:t>
      </w:r>
      <w:r w:rsidRPr="00B04DC3">
        <w:rPr>
          <w:lang w:val="en-GB"/>
        </w:rPr>
        <w:t xml:space="preserve">Approval Authority decides that additional measurements need to be carried out on the ESC and ETC tests between the points selected by the manufacturer it shall notify the manufacturer. The revised in-service accumulation schedule or dynamometer service accumulation schedule shall be prepared by the manufacturer and agreed by the </w:t>
      </w:r>
      <w:r w:rsidR="00735C88">
        <w:rPr>
          <w:lang w:val="en-GB"/>
        </w:rPr>
        <w:t xml:space="preserve">Type </w:t>
      </w:r>
      <w:r w:rsidRPr="00B04DC3">
        <w:rPr>
          <w:lang w:val="en-GB"/>
        </w:rPr>
        <w:t>Approval Authority.</w:t>
      </w:r>
    </w:p>
    <w:p w:rsidR="00BB1DA8" w:rsidRPr="00B04DC3" w:rsidRDefault="00BB1DA8" w:rsidP="00BB1DA8">
      <w:pPr>
        <w:pStyle w:val="para"/>
        <w:spacing w:after="100"/>
        <w:rPr>
          <w:lang w:val="en-GB"/>
        </w:rPr>
      </w:pPr>
      <w:r w:rsidRPr="00B04DC3">
        <w:rPr>
          <w:lang w:val="en-GB"/>
        </w:rPr>
        <w:t>3.3.</w:t>
      </w:r>
      <w:r w:rsidRPr="00B04DC3">
        <w:rPr>
          <w:lang w:val="en-GB"/>
        </w:rPr>
        <w:tab/>
        <w:t>Engine testing</w:t>
      </w:r>
    </w:p>
    <w:p w:rsidR="00BB1DA8" w:rsidRPr="00B04DC3" w:rsidRDefault="00BB1DA8" w:rsidP="00BB1DA8">
      <w:pPr>
        <w:pStyle w:val="para"/>
        <w:spacing w:after="100"/>
        <w:rPr>
          <w:lang w:val="en-GB"/>
        </w:rPr>
      </w:pPr>
      <w:r w:rsidRPr="00B04DC3">
        <w:rPr>
          <w:lang w:val="en-GB"/>
        </w:rPr>
        <w:t>3.3.1.</w:t>
      </w:r>
      <w:r w:rsidRPr="00B04DC3">
        <w:rPr>
          <w:lang w:val="en-GB"/>
        </w:rPr>
        <w:tab/>
        <w:t>Start of the service accumulation schedule</w:t>
      </w:r>
    </w:p>
    <w:p w:rsidR="00BB1DA8" w:rsidRPr="008B1316" w:rsidRDefault="00BB1DA8" w:rsidP="00BB1DA8">
      <w:pPr>
        <w:pStyle w:val="para"/>
        <w:spacing w:after="100"/>
        <w:rPr>
          <w:spacing w:val="-2"/>
          <w:lang w:val="en-GB"/>
        </w:rPr>
      </w:pPr>
      <w:r w:rsidRPr="008B1316">
        <w:rPr>
          <w:spacing w:val="-2"/>
          <w:lang w:val="en-GB"/>
        </w:rPr>
        <w:t>3.3.1.1.</w:t>
      </w:r>
      <w:r w:rsidRPr="008B1316">
        <w:rPr>
          <w:spacing w:val="-2"/>
          <w:lang w:val="en-GB"/>
        </w:rPr>
        <w:tab/>
        <w:t>For each engine-</w:t>
      </w:r>
      <w:r w:rsidR="006A75A0" w:rsidRPr="008B1316">
        <w:rPr>
          <w:spacing w:val="-2"/>
          <w:lang w:val="en-GB"/>
        </w:rPr>
        <w:t>after-treatment</w:t>
      </w:r>
      <w:r w:rsidRPr="008B1316">
        <w:rPr>
          <w:spacing w:val="-2"/>
          <w:lang w:val="en-GB"/>
        </w:rPr>
        <w:t xml:space="preserve"> system family, the manufacturer shall determine the number of hours of engine running after which the operation of the engine-after-treatment system has stabilised. If requested by the </w:t>
      </w:r>
      <w:r w:rsidR="0055021A" w:rsidRPr="008B1316">
        <w:rPr>
          <w:spacing w:val="-2"/>
          <w:lang w:val="en-GB"/>
        </w:rPr>
        <w:t xml:space="preserve">Type </w:t>
      </w:r>
      <w:r w:rsidRPr="008B1316">
        <w:rPr>
          <w:spacing w:val="-2"/>
          <w:lang w:val="en-GB"/>
        </w:rPr>
        <w:t>Approval Authority the manufacturer shall make available the data and analysis used to make this determination. As an alternative, the manufacturer may elect to run the engine for 125 hours to stabilise the engine-</w:t>
      </w:r>
      <w:r w:rsidR="006A75A0" w:rsidRPr="008B1316">
        <w:rPr>
          <w:spacing w:val="-2"/>
          <w:lang w:val="en-GB"/>
        </w:rPr>
        <w:t>after-treatment</w:t>
      </w:r>
      <w:r w:rsidRPr="008B1316">
        <w:rPr>
          <w:spacing w:val="-2"/>
          <w:lang w:val="en-GB"/>
        </w:rPr>
        <w:t xml:space="preserve"> system.</w:t>
      </w:r>
    </w:p>
    <w:p w:rsidR="00BB1DA8" w:rsidRPr="00B04DC3" w:rsidRDefault="00BB1DA8" w:rsidP="00BB1DA8">
      <w:pPr>
        <w:pStyle w:val="para"/>
        <w:spacing w:after="100"/>
        <w:rPr>
          <w:lang w:val="en-GB"/>
        </w:rPr>
      </w:pPr>
      <w:r w:rsidRPr="00B04DC3">
        <w:rPr>
          <w:lang w:val="en-GB"/>
        </w:rPr>
        <w:t>3.3.1.2.</w:t>
      </w:r>
      <w:r w:rsidRPr="00B04DC3">
        <w:rPr>
          <w:lang w:val="en-GB"/>
        </w:rPr>
        <w:tab/>
        <w:t>The stabilisation period determined in paragraph 3.3.1.1.</w:t>
      </w:r>
      <w:r w:rsidR="00735C88">
        <w:rPr>
          <w:lang w:val="en-GB"/>
        </w:rPr>
        <w:t xml:space="preserve"> above</w:t>
      </w:r>
      <w:r w:rsidRPr="00B04DC3">
        <w:rPr>
          <w:lang w:val="en-GB"/>
        </w:rPr>
        <w:t xml:space="preserve"> will be deemed to be the start of the service accumulation schedule.</w:t>
      </w:r>
    </w:p>
    <w:p w:rsidR="00BB1DA8" w:rsidRPr="00B04DC3" w:rsidRDefault="00BB1DA8" w:rsidP="00BB1DA8">
      <w:pPr>
        <w:pStyle w:val="para"/>
        <w:spacing w:after="100"/>
        <w:rPr>
          <w:lang w:val="en-GB"/>
        </w:rPr>
      </w:pPr>
      <w:r w:rsidRPr="00B04DC3">
        <w:rPr>
          <w:lang w:val="en-GB"/>
        </w:rPr>
        <w:t>3.3.2.</w:t>
      </w:r>
      <w:r w:rsidRPr="00B04DC3">
        <w:rPr>
          <w:lang w:val="en-GB"/>
        </w:rPr>
        <w:tab/>
        <w:t>Service accumulation testing</w:t>
      </w:r>
    </w:p>
    <w:p w:rsidR="00BB1DA8" w:rsidRPr="008B1316" w:rsidRDefault="00BB1DA8" w:rsidP="00BB1DA8">
      <w:pPr>
        <w:pStyle w:val="para"/>
        <w:spacing w:after="100"/>
        <w:rPr>
          <w:spacing w:val="-2"/>
          <w:lang w:val="en-GB"/>
        </w:rPr>
      </w:pPr>
      <w:r w:rsidRPr="008B1316">
        <w:rPr>
          <w:spacing w:val="-2"/>
          <w:lang w:val="en-GB"/>
        </w:rPr>
        <w:t>3.3.2.1.</w:t>
      </w:r>
      <w:r w:rsidRPr="008B1316">
        <w:rPr>
          <w:spacing w:val="-2"/>
          <w:lang w:val="en-GB"/>
        </w:rPr>
        <w:tab/>
        <w:t xml:space="preserve">After stabilisation, the engine will be run over the service accumulation schedule selected by the manufacturer, as described in paragraph 3.2. above. At the periodic intervals in the service accumulation schedule determined by the manufacturer, and, where appropriate, also stipulated by the </w:t>
      </w:r>
      <w:r w:rsidR="0090475A" w:rsidRPr="008B1316">
        <w:rPr>
          <w:spacing w:val="-2"/>
          <w:lang w:val="en-GB"/>
        </w:rPr>
        <w:t xml:space="preserve">Type </w:t>
      </w:r>
      <w:r w:rsidRPr="008B1316">
        <w:rPr>
          <w:spacing w:val="-2"/>
          <w:lang w:val="en-GB"/>
        </w:rPr>
        <w:t>Approval Authority according to paragraph 3.2.2.</w:t>
      </w:r>
      <w:r w:rsidR="00735C88" w:rsidRPr="008B1316">
        <w:rPr>
          <w:spacing w:val="-2"/>
          <w:lang w:val="en-GB"/>
        </w:rPr>
        <w:t xml:space="preserve"> above</w:t>
      </w:r>
      <w:r w:rsidRPr="008B1316">
        <w:rPr>
          <w:spacing w:val="-2"/>
          <w:lang w:val="en-GB"/>
        </w:rPr>
        <w:t>, the engine shall be tested for gaseous and particulate emissions over the ESC and ETC tests. In accordance with paragraph 3.2.</w:t>
      </w:r>
      <w:r w:rsidR="00735C88" w:rsidRPr="008B1316">
        <w:rPr>
          <w:spacing w:val="-2"/>
          <w:lang w:val="en-GB"/>
        </w:rPr>
        <w:t xml:space="preserve"> above</w:t>
      </w:r>
      <w:r w:rsidRPr="008B1316">
        <w:rPr>
          <w:spacing w:val="-2"/>
          <w:lang w:val="en-GB"/>
        </w:rPr>
        <w:t>, if it has been agreed that only one test cycle (ESC or ETC) be run at each test point, the other test cycle (ESC or ETC) shall be run at the beginning and end of the service accumulation schedule.</w:t>
      </w:r>
    </w:p>
    <w:p w:rsidR="00BB1DA8" w:rsidRPr="00B04DC3" w:rsidRDefault="00BB1DA8" w:rsidP="00BB1DA8">
      <w:pPr>
        <w:pStyle w:val="para"/>
        <w:spacing w:after="100"/>
        <w:rPr>
          <w:lang w:val="en-GB"/>
        </w:rPr>
      </w:pPr>
      <w:r w:rsidRPr="00B04DC3">
        <w:rPr>
          <w:lang w:val="en-GB"/>
        </w:rPr>
        <w:t>3.3.2.2.</w:t>
      </w:r>
      <w:r w:rsidRPr="00B04DC3">
        <w:rPr>
          <w:lang w:val="en-GB"/>
        </w:rPr>
        <w:tab/>
        <w:t>During the service accumulation schedule, maintenance will be carried out on the engine according to paragraph 4.</w:t>
      </w:r>
      <w:r w:rsidR="00735C88">
        <w:rPr>
          <w:lang w:val="en-GB"/>
        </w:rPr>
        <w:t xml:space="preserve"> of this annex.</w:t>
      </w:r>
    </w:p>
    <w:p w:rsidR="00BB1DA8" w:rsidRPr="00B04DC3" w:rsidRDefault="00BB1DA8" w:rsidP="00BB1DA8">
      <w:pPr>
        <w:pStyle w:val="para"/>
        <w:spacing w:after="100"/>
        <w:rPr>
          <w:lang w:val="en-GB"/>
        </w:rPr>
      </w:pPr>
      <w:r w:rsidRPr="00B04DC3">
        <w:rPr>
          <w:lang w:val="en-GB"/>
        </w:rPr>
        <w:t>3.3.2.3.</w:t>
      </w:r>
      <w:r w:rsidRPr="00B04DC3">
        <w:rPr>
          <w:lang w:val="en-GB"/>
        </w:rPr>
        <w:tab/>
        <w:t xml:space="preserve">During the service accumulation schedule, unscheduled maintenance on the engine or vehicle may be performed, for example if the OBD system has specifically detected a problem that has resulted in the </w:t>
      </w:r>
      <w:r w:rsidR="00735C88">
        <w:rPr>
          <w:lang w:val="en-GB"/>
        </w:rPr>
        <w:t>M</w:t>
      </w:r>
      <w:r w:rsidR="00735C88" w:rsidRPr="00B04DC3">
        <w:rPr>
          <w:lang w:val="en-GB"/>
        </w:rPr>
        <w:t xml:space="preserve">alfunction </w:t>
      </w:r>
      <w:r w:rsidR="00735C88">
        <w:rPr>
          <w:lang w:val="en-GB"/>
        </w:rPr>
        <w:t>I</w:t>
      </w:r>
      <w:r w:rsidR="00735C88" w:rsidRPr="00B04DC3">
        <w:rPr>
          <w:lang w:val="en-GB"/>
        </w:rPr>
        <w:t xml:space="preserve">ndicator </w:t>
      </w:r>
      <w:r w:rsidRPr="00B04DC3">
        <w:rPr>
          <w:lang w:val="en-GB"/>
        </w:rPr>
        <w:t>(MI) being activated.</w:t>
      </w:r>
    </w:p>
    <w:p w:rsidR="00BB1DA8" w:rsidRPr="00B04DC3" w:rsidRDefault="00BB1DA8" w:rsidP="00BB1DA8">
      <w:pPr>
        <w:pStyle w:val="para"/>
        <w:rPr>
          <w:lang w:val="en-GB"/>
        </w:rPr>
      </w:pPr>
      <w:r w:rsidRPr="00B04DC3">
        <w:rPr>
          <w:lang w:val="en-GB"/>
        </w:rPr>
        <w:t>3.4.</w:t>
      </w:r>
      <w:r w:rsidRPr="00B04DC3">
        <w:rPr>
          <w:lang w:val="en-GB"/>
        </w:rPr>
        <w:tab/>
        <w:t>Reporting</w:t>
      </w:r>
    </w:p>
    <w:p w:rsidR="00BB1DA8" w:rsidRPr="00B04DC3" w:rsidRDefault="00BB1DA8" w:rsidP="00BB1DA8">
      <w:pPr>
        <w:pStyle w:val="para"/>
        <w:spacing w:after="100"/>
        <w:rPr>
          <w:lang w:val="en-GB"/>
        </w:rPr>
      </w:pPr>
      <w:r w:rsidRPr="00B04DC3">
        <w:rPr>
          <w:lang w:val="en-GB"/>
        </w:rPr>
        <w:t>3.4.1.</w:t>
      </w:r>
      <w:r w:rsidRPr="00B04DC3">
        <w:rPr>
          <w:lang w:val="en-GB"/>
        </w:rPr>
        <w:tab/>
        <w:t xml:space="preserve">The results of all emission tests (ESC and ETC) conducted during the service accumulation schedule shall be made available to the </w:t>
      </w:r>
      <w:r w:rsidR="00735C88">
        <w:rPr>
          <w:lang w:val="en-GB"/>
        </w:rPr>
        <w:t xml:space="preserve">Type </w:t>
      </w:r>
      <w:r w:rsidRPr="00B04DC3">
        <w:rPr>
          <w:lang w:val="en-GB"/>
        </w:rPr>
        <w:t>Approval Authority. If any emission test is declared to be void, the manufacturer shall provide an explanation of why the test has been declared void. In such a case, another series of emission tests over the ESC and ETC tests shall be carried out within a further 100 hours of service accumulation.</w:t>
      </w:r>
    </w:p>
    <w:p w:rsidR="00BB1DA8" w:rsidRPr="00B04DC3" w:rsidRDefault="00BB1DA8" w:rsidP="00BB1DA8">
      <w:pPr>
        <w:pStyle w:val="para"/>
        <w:rPr>
          <w:lang w:val="en-GB"/>
        </w:rPr>
      </w:pPr>
      <w:r w:rsidRPr="00B04DC3">
        <w:rPr>
          <w:lang w:val="en-GB"/>
        </w:rPr>
        <w:t>3.4.2.</w:t>
      </w:r>
      <w:r w:rsidRPr="00B04DC3">
        <w:rPr>
          <w:lang w:val="en-GB"/>
        </w:rPr>
        <w:tab/>
        <w:t xml:space="preserve">Whenever a manufacturer tests an engine over a service accumulation schedule for the establishment of deterioration factors, the manufacturer shall retain in its records all information concerning all the emission tests and maintenance carried out on the engine during the service accumulation schedule. This information shall be submitted to the </w:t>
      </w:r>
      <w:r w:rsidR="0090475A">
        <w:rPr>
          <w:lang w:val="en-GB"/>
        </w:rPr>
        <w:t xml:space="preserve">Type </w:t>
      </w:r>
      <w:r w:rsidRPr="00B04DC3">
        <w:rPr>
          <w:lang w:val="en-GB"/>
        </w:rPr>
        <w:t>Approval Authority along with the results of the emission tests conducted over the service accumulation schedule.</w:t>
      </w:r>
    </w:p>
    <w:p w:rsidR="00BB1DA8" w:rsidRPr="00B04DC3" w:rsidRDefault="00BB1DA8" w:rsidP="00BB1DA8">
      <w:pPr>
        <w:pStyle w:val="para"/>
        <w:rPr>
          <w:lang w:val="en-GB"/>
        </w:rPr>
      </w:pPr>
      <w:r w:rsidRPr="00B04DC3">
        <w:rPr>
          <w:lang w:val="en-GB"/>
        </w:rPr>
        <w:t>3.5.</w:t>
      </w:r>
      <w:r w:rsidRPr="00B04DC3">
        <w:rPr>
          <w:lang w:val="en-GB"/>
        </w:rPr>
        <w:tab/>
        <w:t>Determination of deterioration factors</w:t>
      </w:r>
    </w:p>
    <w:p w:rsidR="00BB1DA8" w:rsidRPr="00B04DC3" w:rsidRDefault="00BB1DA8" w:rsidP="00BB1DA8">
      <w:pPr>
        <w:pStyle w:val="para"/>
        <w:rPr>
          <w:lang w:val="en-GB"/>
        </w:rPr>
      </w:pPr>
      <w:r w:rsidRPr="00B04DC3">
        <w:rPr>
          <w:lang w:val="en-GB"/>
        </w:rPr>
        <w:t>3.5.1.</w:t>
      </w:r>
      <w:r w:rsidRPr="00B04DC3">
        <w:rPr>
          <w:lang w:val="en-GB"/>
        </w:rPr>
        <w:tab/>
        <w:t xml:space="preserve">For each pollutant measured on the ESC and ETC tests and at each test point during the service accumulation schedule, a "best fit" regression analysis shall be made on the basis of all test results. The results of each test for each pollutant shall be expressed to the same number of decimal places as the limit value for that pollutant, as shown in the tables in paragraph 5.2.1. </w:t>
      </w:r>
      <w:r w:rsidR="00735C88">
        <w:rPr>
          <w:lang w:val="en-GB"/>
        </w:rPr>
        <w:t>of</w:t>
      </w:r>
      <w:r w:rsidR="00735C88" w:rsidRPr="00B04DC3">
        <w:rPr>
          <w:lang w:val="en-GB"/>
        </w:rPr>
        <w:t xml:space="preserve"> </w:t>
      </w:r>
      <w:r w:rsidRPr="00B04DC3">
        <w:rPr>
          <w:lang w:val="en-GB"/>
        </w:rPr>
        <w:t>this Regulation, plus one additional decimal place. In accordance with paragraph 3.2.</w:t>
      </w:r>
      <w:r w:rsidR="00735C88">
        <w:rPr>
          <w:lang w:val="en-GB"/>
        </w:rPr>
        <w:t xml:space="preserve"> of this annex</w:t>
      </w:r>
      <w:r w:rsidRPr="00B04DC3">
        <w:rPr>
          <w:lang w:val="en-GB"/>
        </w:rPr>
        <w:t>, if it has been agreed that only one test cycle (ESC or ETC) be run at each test point and the other test cycle (ESC or ETC) run only at the beginning and end of the service accumulation schedule, the regression analysis shall be made only on the basis of the test results from the test cycle run at each test point.</w:t>
      </w:r>
    </w:p>
    <w:p w:rsidR="00BB1DA8" w:rsidRPr="00B04DC3" w:rsidRDefault="00BB1DA8" w:rsidP="00BB1DA8">
      <w:pPr>
        <w:pStyle w:val="para"/>
        <w:rPr>
          <w:lang w:val="en-GB"/>
        </w:rPr>
      </w:pPr>
      <w:r w:rsidRPr="00B04DC3">
        <w:rPr>
          <w:lang w:val="en-GB"/>
        </w:rPr>
        <w:t>3.5.2.</w:t>
      </w:r>
      <w:r w:rsidRPr="00B04DC3">
        <w:rPr>
          <w:lang w:val="en-GB"/>
        </w:rPr>
        <w:tab/>
        <w:t>On the basis of the regression analysis, the manufacturer shall calculate the projected emission values for each pollutant at the start of the service accumulation schedule and at the useful life that is applicable for the engine under test by extrapolation of the regression equation as determined in paragraph 3.5.1.</w:t>
      </w:r>
      <w:r w:rsidR="00735C88">
        <w:rPr>
          <w:lang w:val="en-GB"/>
        </w:rPr>
        <w:t xml:space="preserve"> above.</w:t>
      </w:r>
    </w:p>
    <w:p w:rsidR="00BB1DA8" w:rsidRPr="00B04DC3" w:rsidRDefault="00BB1DA8" w:rsidP="00BB1DA8">
      <w:pPr>
        <w:pStyle w:val="para"/>
        <w:rPr>
          <w:lang w:val="en-GB"/>
        </w:rPr>
      </w:pPr>
      <w:r w:rsidRPr="00B04DC3">
        <w:rPr>
          <w:lang w:val="en-GB"/>
        </w:rPr>
        <w:t>3.5.3.</w:t>
      </w:r>
      <w:r w:rsidRPr="00B04DC3">
        <w:rPr>
          <w:lang w:val="en-GB"/>
        </w:rPr>
        <w:tab/>
        <w:t xml:space="preserve">For engines not equipped with an exhaust </w:t>
      </w:r>
      <w:r w:rsidR="006A75A0">
        <w:rPr>
          <w:lang w:val="en-GB"/>
        </w:rPr>
        <w:t>after-treatment</w:t>
      </w:r>
      <w:r w:rsidRPr="00B04DC3">
        <w:rPr>
          <w:lang w:val="en-GB"/>
        </w:rPr>
        <w:t xml:space="preserve"> system, the deterioration factor for each pollutant is the difference between the projected emission values at the useful life period and at the start of the service accumulation schedule.</w:t>
      </w:r>
    </w:p>
    <w:p w:rsidR="00BB1DA8" w:rsidRPr="00B04DC3" w:rsidRDefault="00BB1DA8" w:rsidP="00BB1DA8">
      <w:pPr>
        <w:pStyle w:val="para"/>
        <w:rPr>
          <w:lang w:val="en-GB"/>
        </w:rPr>
      </w:pPr>
      <w:r w:rsidRPr="00B04DC3">
        <w:rPr>
          <w:lang w:val="en-GB"/>
        </w:rPr>
        <w:tab/>
        <w:t xml:space="preserve">For engines equipped with an exhaust </w:t>
      </w:r>
      <w:r w:rsidR="006A75A0">
        <w:rPr>
          <w:lang w:val="en-GB"/>
        </w:rPr>
        <w:t>after-treatment</w:t>
      </w:r>
      <w:r w:rsidRPr="00B04DC3">
        <w:rPr>
          <w:lang w:val="en-GB"/>
        </w:rPr>
        <w:t xml:space="preserve"> system, the deterioration factor for each pollutant is the ratio of the projected emission values at the useful life period and at the start of the service accumulation schedule.</w:t>
      </w:r>
    </w:p>
    <w:p w:rsidR="00BB1DA8" w:rsidRPr="00B04DC3" w:rsidRDefault="00BB1DA8" w:rsidP="00BB1DA8">
      <w:pPr>
        <w:pStyle w:val="para"/>
        <w:rPr>
          <w:lang w:val="en-GB"/>
        </w:rPr>
      </w:pPr>
      <w:r w:rsidRPr="00B04DC3">
        <w:rPr>
          <w:lang w:val="en-GB"/>
        </w:rPr>
        <w:tab/>
        <w:t>In accordance with paragraph 3.2.</w:t>
      </w:r>
      <w:r w:rsidR="00735C88">
        <w:rPr>
          <w:lang w:val="en-GB"/>
        </w:rPr>
        <w:t xml:space="preserve"> of this annex</w:t>
      </w:r>
      <w:r w:rsidRPr="00B04DC3">
        <w:rPr>
          <w:lang w:val="en-GB"/>
        </w:rPr>
        <w:t>, if it has been agreed that only one test cycle (ESC or ETC) be run at each test point and the other test cycle (ESC or ETC) run only at the beginning and end of the service accumulation schedule, the deterioration factor calculated for the test cycle that has been run at each test point shall be applicable also for the other test cycle, provided that for both test cycles, the relationship between the measured values run at the beginning and at the end of the service accumulation schedule are similar.</w:t>
      </w:r>
    </w:p>
    <w:p w:rsidR="00BB1DA8" w:rsidRPr="00B04DC3" w:rsidRDefault="00BB1DA8" w:rsidP="00280104">
      <w:pPr>
        <w:pStyle w:val="para"/>
        <w:rPr>
          <w:lang w:val="en-GB"/>
        </w:rPr>
      </w:pPr>
      <w:r w:rsidRPr="00B04DC3">
        <w:rPr>
          <w:lang w:val="en-GB"/>
        </w:rPr>
        <w:t>3.5.4.</w:t>
      </w:r>
      <w:r w:rsidRPr="00B04DC3">
        <w:rPr>
          <w:lang w:val="en-GB"/>
        </w:rPr>
        <w:tab/>
        <w:t>The deterioration factors for each pollutant on the appropriate test cycles shall be recorded in paragraph 1.4. of Appendix 1 to Annex 6 to this Regulation</w:t>
      </w:r>
      <w:r w:rsidR="00A75DEE">
        <w:rPr>
          <w:lang w:val="en-GB"/>
        </w:rPr>
        <w:t xml:space="preserve">. </w:t>
      </w:r>
      <w:r w:rsidR="00A75DEE" w:rsidRPr="00D24FE7">
        <w:rPr>
          <w:i/>
          <w:lang w:val="en-GB"/>
        </w:rPr>
        <w:t xml:space="preserve">(Note by the secretariat: </w:t>
      </w:r>
      <w:r w:rsidR="00D24FE7" w:rsidRPr="00D24FE7">
        <w:rPr>
          <w:i/>
          <w:lang w:val="en-GB"/>
        </w:rPr>
        <w:t xml:space="preserve">This paragraph has been approved as shown here, but </w:t>
      </w:r>
      <w:r w:rsidR="00280104" w:rsidRPr="00D24FE7">
        <w:rPr>
          <w:i/>
          <w:lang w:val="en-GB"/>
        </w:rPr>
        <w:t xml:space="preserve">as the paragraph 1.4. of Appendix 1 to Annex 6 do not exist, </w:t>
      </w:r>
      <w:r w:rsidR="00A75DEE" w:rsidRPr="00D24FE7">
        <w:rPr>
          <w:i/>
          <w:lang w:val="en-GB"/>
        </w:rPr>
        <w:t>the secretariat refers the reader to Annex 2A.)</w:t>
      </w:r>
    </w:p>
    <w:p w:rsidR="00BB1DA8" w:rsidRPr="00B04DC3" w:rsidRDefault="00BB1DA8" w:rsidP="00BB1DA8">
      <w:pPr>
        <w:pStyle w:val="para"/>
        <w:rPr>
          <w:lang w:val="en-GB"/>
        </w:rPr>
      </w:pPr>
      <w:r w:rsidRPr="00B04DC3">
        <w:rPr>
          <w:lang w:val="en-GB"/>
        </w:rPr>
        <w:t>3.6.</w:t>
      </w:r>
      <w:r w:rsidRPr="00B04DC3">
        <w:rPr>
          <w:lang w:val="en-GB"/>
        </w:rPr>
        <w:tab/>
        <w:t>As an alternative to using a service accumulation schedule to determine deterioration factors, engine manufacturers may choose to use the following deterioration factors: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4"/>
        <w:gridCol w:w="879"/>
        <w:gridCol w:w="873"/>
        <w:gridCol w:w="873"/>
        <w:gridCol w:w="873"/>
        <w:gridCol w:w="873"/>
        <w:gridCol w:w="873"/>
        <w:gridCol w:w="873"/>
      </w:tblGrid>
      <w:tr w:rsidR="00BB1DA8" w:rsidRPr="00B04DC3" w:rsidTr="0090475A">
        <w:tc>
          <w:tcPr>
            <w:tcW w:w="1490" w:type="dxa"/>
            <w:tcBorders>
              <w:bottom w:val="single" w:sz="12" w:space="0" w:color="auto"/>
            </w:tcBorders>
          </w:tcPr>
          <w:p w:rsidR="00BB1DA8" w:rsidRPr="00B04DC3" w:rsidRDefault="00BB1DA8" w:rsidP="00BB1DA8">
            <w:pPr>
              <w:pStyle w:val="Text1"/>
              <w:tabs>
                <w:tab w:val="left" w:pos="1418"/>
                <w:tab w:val="left" w:pos="1985"/>
                <w:tab w:val="left" w:pos="2552"/>
              </w:tabs>
              <w:spacing w:before="80" w:after="80" w:line="200" w:lineRule="exact"/>
              <w:ind w:left="0"/>
              <w:jc w:val="center"/>
              <w:rPr>
                <w:i/>
                <w:sz w:val="16"/>
                <w:szCs w:val="16"/>
              </w:rPr>
            </w:pPr>
            <w:r w:rsidRPr="00B04DC3">
              <w:rPr>
                <w:i/>
                <w:sz w:val="16"/>
                <w:szCs w:val="16"/>
              </w:rPr>
              <w:t>Engine type</w:t>
            </w:r>
          </w:p>
        </w:tc>
        <w:tc>
          <w:tcPr>
            <w:tcW w:w="1028"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Test cycle</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CO</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HC</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NMHC</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CH</w:t>
            </w:r>
            <w:r w:rsidRPr="00B04DC3">
              <w:rPr>
                <w:i/>
                <w:position w:val="-4"/>
                <w:sz w:val="16"/>
                <w:szCs w:val="16"/>
              </w:rPr>
              <w:t>4</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NO</w:t>
            </w:r>
            <w:r w:rsidRPr="00B04DC3">
              <w:rPr>
                <w:i/>
                <w:sz w:val="16"/>
                <w:szCs w:val="16"/>
                <w:vertAlign w:val="subscript"/>
              </w:rPr>
              <w:t>x</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80" w:after="80" w:line="200" w:lineRule="exact"/>
              <w:ind w:left="850" w:hanging="850"/>
              <w:jc w:val="center"/>
              <w:rPr>
                <w:i/>
                <w:sz w:val="16"/>
                <w:szCs w:val="16"/>
              </w:rPr>
            </w:pPr>
            <w:r w:rsidRPr="00B04DC3">
              <w:rPr>
                <w:i/>
                <w:sz w:val="16"/>
                <w:szCs w:val="16"/>
              </w:rPr>
              <w:t>PM</w:t>
            </w:r>
          </w:p>
        </w:tc>
      </w:tr>
      <w:tr w:rsidR="00BB1DA8" w:rsidRPr="00B04DC3" w:rsidTr="0090475A">
        <w:tc>
          <w:tcPr>
            <w:tcW w:w="1490" w:type="dxa"/>
            <w:vMerge w:val="restart"/>
            <w:tcBorders>
              <w:top w:val="single" w:sz="12" w:space="0" w:color="auto"/>
            </w:tcBorders>
            <w:vAlign w:val="center"/>
          </w:tcPr>
          <w:p w:rsidR="00BB1DA8" w:rsidRPr="00B04DC3" w:rsidRDefault="00BB1DA8" w:rsidP="00BB1DA8">
            <w:pPr>
              <w:pStyle w:val="Text1"/>
              <w:tabs>
                <w:tab w:val="left" w:pos="1418"/>
                <w:tab w:val="left" w:pos="1985"/>
                <w:tab w:val="left" w:pos="2552"/>
              </w:tabs>
              <w:spacing w:before="40" w:after="80" w:line="240" w:lineRule="exact"/>
              <w:ind w:left="0"/>
              <w:jc w:val="left"/>
              <w:rPr>
                <w:sz w:val="18"/>
                <w:szCs w:val="18"/>
              </w:rPr>
            </w:pPr>
            <w:r w:rsidRPr="00B04DC3">
              <w:rPr>
                <w:sz w:val="18"/>
                <w:szCs w:val="18"/>
              </w:rPr>
              <w:t>Diesel engine</w:t>
            </w:r>
          </w:p>
        </w:tc>
        <w:tc>
          <w:tcPr>
            <w:tcW w:w="1028"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ESC</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1.1</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Borders>
              <w:top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1.1</w:t>
            </w:r>
          </w:p>
        </w:tc>
      </w:tr>
      <w:tr w:rsidR="00BB1DA8" w:rsidRPr="00B04DC3">
        <w:tc>
          <w:tcPr>
            <w:tcW w:w="1490" w:type="dxa"/>
            <w:vMerge/>
          </w:tcPr>
          <w:p w:rsidR="00BB1DA8" w:rsidRPr="00B04DC3" w:rsidRDefault="00BB1DA8" w:rsidP="00BB1DA8">
            <w:pPr>
              <w:pStyle w:val="Text1"/>
              <w:tabs>
                <w:tab w:val="left" w:pos="1418"/>
                <w:tab w:val="left" w:pos="1985"/>
                <w:tab w:val="left" w:pos="2552"/>
              </w:tabs>
              <w:spacing w:before="40" w:after="80" w:line="240" w:lineRule="exact"/>
              <w:ind w:left="0"/>
              <w:jc w:val="left"/>
              <w:rPr>
                <w:sz w:val="18"/>
                <w:szCs w:val="18"/>
              </w:rPr>
            </w:pPr>
          </w:p>
        </w:tc>
        <w:tc>
          <w:tcPr>
            <w:tcW w:w="1028"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ETC</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1.1</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1.1</w:t>
            </w:r>
          </w:p>
        </w:tc>
      </w:tr>
      <w:tr w:rsidR="00BB1DA8" w:rsidRPr="00B04DC3" w:rsidTr="0090475A">
        <w:tc>
          <w:tcPr>
            <w:tcW w:w="1490" w:type="dxa"/>
            <w:tcBorders>
              <w:bottom w:val="single" w:sz="12" w:space="0" w:color="auto"/>
            </w:tcBorders>
          </w:tcPr>
          <w:p w:rsidR="00BB1DA8" w:rsidRPr="00B04DC3" w:rsidRDefault="00BB1DA8" w:rsidP="00BB1DA8">
            <w:pPr>
              <w:pStyle w:val="Text1"/>
              <w:tabs>
                <w:tab w:val="left" w:pos="1418"/>
                <w:tab w:val="left" w:pos="1985"/>
                <w:tab w:val="left" w:pos="2552"/>
              </w:tabs>
              <w:spacing w:before="40" w:after="80" w:line="240" w:lineRule="exact"/>
              <w:ind w:left="0"/>
              <w:jc w:val="left"/>
              <w:rPr>
                <w:sz w:val="18"/>
                <w:szCs w:val="18"/>
              </w:rPr>
            </w:pPr>
            <w:r w:rsidRPr="00B04DC3">
              <w:rPr>
                <w:sz w:val="18"/>
                <w:szCs w:val="18"/>
              </w:rPr>
              <w:t xml:space="preserve">Gas engine </w:t>
            </w:r>
          </w:p>
        </w:tc>
        <w:tc>
          <w:tcPr>
            <w:tcW w:w="1028"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ETC</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1.1</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1.2</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1.05</w:t>
            </w:r>
          </w:p>
        </w:tc>
        <w:tc>
          <w:tcPr>
            <w:tcW w:w="1021" w:type="dxa"/>
            <w:tcBorders>
              <w:bottom w:val="single" w:sz="12" w:space="0" w:color="auto"/>
            </w:tcBorders>
          </w:tcPr>
          <w:p w:rsidR="00BB1DA8" w:rsidRPr="00B04DC3" w:rsidRDefault="00BB1DA8" w:rsidP="00BB1DA8">
            <w:pPr>
              <w:pStyle w:val="Text1"/>
              <w:tabs>
                <w:tab w:val="left" w:pos="851"/>
                <w:tab w:val="left" w:pos="1418"/>
                <w:tab w:val="left" w:pos="1985"/>
                <w:tab w:val="left" w:pos="2552"/>
              </w:tabs>
              <w:spacing w:before="40" w:after="80" w:line="240" w:lineRule="exact"/>
              <w:ind w:left="850" w:hanging="850"/>
              <w:jc w:val="center"/>
              <w:rPr>
                <w:sz w:val="18"/>
                <w:szCs w:val="18"/>
              </w:rPr>
            </w:pPr>
            <w:r w:rsidRPr="00B04DC3">
              <w:rPr>
                <w:sz w:val="18"/>
                <w:szCs w:val="18"/>
              </w:rPr>
              <w:t>-</w:t>
            </w:r>
          </w:p>
        </w:tc>
      </w:tr>
    </w:tbl>
    <w:p w:rsidR="00BB1DA8" w:rsidRPr="00AE1A72" w:rsidRDefault="00BB1DA8" w:rsidP="00BB1DA8">
      <w:pPr>
        <w:pStyle w:val="para"/>
        <w:spacing w:before="240"/>
        <w:rPr>
          <w:spacing w:val="-2"/>
          <w:lang w:val="en-GB"/>
        </w:rPr>
      </w:pPr>
      <w:r w:rsidRPr="00AE1A72">
        <w:rPr>
          <w:spacing w:val="-2"/>
          <w:lang w:val="en-GB"/>
        </w:rPr>
        <w:t>3.6.1.</w:t>
      </w:r>
      <w:r w:rsidRPr="00AE1A72">
        <w:rPr>
          <w:spacing w:val="-2"/>
          <w:lang w:val="en-GB"/>
        </w:rPr>
        <w:tab/>
        <w:t>The manufacturer may select to carry across the DF's determined for an engine or engine/</w:t>
      </w:r>
      <w:r w:rsidR="006A75A0" w:rsidRPr="00AE1A72">
        <w:rPr>
          <w:spacing w:val="-2"/>
          <w:lang w:val="en-GB"/>
        </w:rPr>
        <w:t>after-treatment</w:t>
      </w:r>
      <w:r w:rsidRPr="00AE1A72">
        <w:rPr>
          <w:spacing w:val="-2"/>
          <w:lang w:val="en-GB"/>
        </w:rPr>
        <w:t xml:space="preserve"> combination to engines or engine/</w:t>
      </w:r>
      <w:r w:rsidR="006A75A0" w:rsidRPr="00AE1A72">
        <w:rPr>
          <w:spacing w:val="-2"/>
          <w:lang w:val="en-GB"/>
        </w:rPr>
        <w:t>after-treatment</w:t>
      </w:r>
      <w:r w:rsidRPr="00AE1A72">
        <w:rPr>
          <w:spacing w:val="-2"/>
          <w:lang w:val="en-GB"/>
        </w:rPr>
        <w:t xml:space="preserve"> combinations that do not fall into the same engine family category as determined according to paragraph 2.1. </w:t>
      </w:r>
      <w:r w:rsidR="00280104" w:rsidRPr="00AE1A72">
        <w:rPr>
          <w:spacing w:val="-2"/>
          <w:lang w:val="en-GB"/>
        </w:rPr>
        <w:t>of this annex.</w:t>
      </w:r>
      <w:r w:rsidR="00385ED4" w:rsidRPr="00AE1A72">
        <w:rPr>
          <w:spacing w:val="-2"/>
          <w:lang w:val="en-GB"/>
        </w:rPr>
        <w:t xml:space="preserve"> </w:t>
      </w:r>
      <w:r w:rsidRPr="00AE1A72">
        <w:rPr>
          <w:spacing w:val="-2"/>
          <w:lang w:val="en-GB"/>
        </w:rPr>
        <w:t xml:space="preserve">In such cases, the manufacturer shall demonstrate to the </w:t>
      </w:r>
      <w:r w:rsidR="0055021A" w:rsidRPr="00AE1A72">
        <w:rPr>
          <w:spacing w:val="-2"/>
          <w:lang w:val="en-GB"/>
        </w:rPr>
        <w:t xml:space="preserve">Type </w:t>
      </w:r>
      <w:r w:rsidRPr="00AE1A72">
        <w:rPr>
          <w:spacing w:val="-2"/>
          <w:lang w:val="en-GB"/>
        </w:rPr>
        <w:t>Approval Authority that the base engine or engine/</w:t>
      </w:r>
      <w:r w:rsidR="006A75A0" w:rsidRPr="00AE1A72">
        <w:rPr>
          <w:spacing w:val="-2"/>
          <w:lang w:val="en-GB"/>
        </w:rPr>
        <w:t>after-treatment</w:t>
      </w:r>
      <w:r w:rsidRPr="00AE1A72">
        <w:rPr>
          <w:spacing w:val="-2"/>
          <w:lang w:val="en-GB"/>
        </w:rPr>
        <w:t xml:space="preserve"> combination and the engine or engine/</w:t>
      </w:r>
      <w:r w:rsidR="006A75A0" w:rsidRPr="00AE1A72">
        <w:rPr>
          <w:spacing w:val="-2"/>
          <w:lang w:val="en-GB"/>
        </w:rPr>
        <w:t>after-treatment</w:t>
      </w:r>
      <w:r w:rsidRPr="00AE1A72">
        <w:rPr>
          <w:spacing w:val="-2"/>
          <w:lang w:val="en-GB"/>
        </w:rPr>
        <w:t xml:space="preserve"> combination for which the DF's are being carried over have the same technical specifications and installation requirements on the vehicle and that the emissions of such engine or engine/</w:t>
      </w:r>
      <w:r w:rsidR="006A75A0" w:rsidRPr="00AE1A72">
        <w:rPr>
          <w:spacing w:val="-2"/>
          <w:lang w:val="en-GB"/>
        </w:rPr>
        <w:t>after-treatment</w:t>
      </w:r>
      <w:r w:rsidRPr="00AE1A72">
        <w:rPr>
          <w:spacing w:val="-2"/>
          <w:lang w:val="en-GB"/>
        </w:rPr>
        <w:t xml:space="preserve"> combinations are similar.</w:t>
      </w:r>
    </w:p>
    <w:p w:rsidR="00BB1DA8" w:rsidRPr="00B04DC3" w:rsidRDefault="00BB1DA8" w:rsidP="00BB1DA8">
      <w:pPr>
        <w:pStyle w:val="para"/>
        <w:rPr>
          <w:lang w:val="en-GB"/>
        </w:rPr>
      </w:pPr>
      <w:r w:rsidRPr="00B04DC3">
        <w:rPr>
          <w:lang w:val="en-GB"/>
        </w:rPr>
        <w:t>3.7.</w:t>
      </w:r>
      <w:r w:rsidRPr="00B04DC3">
        <w:rPr>
          <w:lang w:val="en-GB"/>
        </w:rPr>
        <w:tab/>
        <w:t>Checking of conformity of production</w:t>
      </w:r>
    </w:p>
    <w:p w:rsidR="00BB1DA8" w:rsidRPr="00B04DC3" w:rsidRDefault="00BB1DA8" w:rsidP="00BB1DA8">
      <w:pPr>
        <w:pStyle w:val="para"/>
        <w:rPr>
          <w:lang w:val="en-GB"/>
        </w:rPr>
      </w:pPr>
      <w:r w:rsidRPr="00B04DC3">
        <w:rPr>
          <w:lang w:val="en-GB"/>
        </w:rPr>
        <w:t>3.7.1.</w:t>
      </w:r>
      <w:r w:rsidRPr="00B04DC3">
        <w:rPr>
          <w:lang w:val="en-GB"/>
        </w:rPr>
        <w:tab/>
        <w:t>Conformity of production for emissions compliance is checked on the basis of paragraph 8. of this Regulation.</w:t>
      </w:r>
    </w:p>
    <w:p w:rsidR="00BB1DA8" w:rsidRPr="00B04DC3" w:rsidRDefault="00BB1DA8" w:rsidP="00BB1DA8">
      <w:pPr>
        <w:pStyle w:val="para"/>
        <w:rPr>
          <w:lang w:val="en-GB"/>
        </w:rPr>
      </w:pPr>
      <w:r w:rsidRPr="00B04DC3">
        <w:rPr>
          <w:lang w:val="en-GB"/>
        </w:rPr>
        <w:t>3.7.2.</w:t>
      </w:r>
      <w:r w:rsidRPr="00B04DC3">
        <w:rPr>
          <w:lang w:val="en-GB"/>
        </w:rPr>
        <w:tab/>
        <w:t xml:space="preserve">At the time of approval, the manufacturer may choose to measure at the same time the pollutant emissions before any exhaust </w:t>
      </w:r>
      <w:r w:rsidR="006A75A0">
        <w:rPr>
          <w:lang w:val="en-GB"/>
        </w:rPr>
        <w:t>after-treatment</w:t>
      </w:r>
      <w:r w:rsidRPr="00B04DC3">
        <w:rPr>
          <w:lang w:val="en-GB"/>
        </w:rPr>
        <w:t xml:space="preserve"> system. In so doing, the manufacturer may develop an informal deterioration factor separately for the engine and the </w:t>
      </w:r>
      <w:r w:rsidR="006A75A0">
        <w:rPr>
          <w:lang w:val="en-GB"/>
        </w:rPr>
        <w:t>after-treatment</w:t>
      </w:r>
      <w:r w:rsidRPr="00B04DC3">
        <w:rPr>
          <w:lang w:val="en-GB"/>
        </w:rPr>
        <w:t xml:space="preserve"> system that may be used by the manufacturer as an aid to end of production line auditing.</w:t>
      </w:r>
    </w:p>
    <w:p w:rsidR="00BB1DA8" w:rsidRPr="00AE1A72" w:rsidRDefault="00BB1DA8" w:rsidP="00BB1DA8">
      <w:pPr>
        <w:pStyle w:val="para"/>
        <w:rPr>
          <w:spacing w:val="-2"/>
          <w:lang w:val="en-GB"/>
        </w:rPr>
      </w:pPr>
      <w:r w:rsidRPr="00AE1A72">
        <w:rPr>
          <w:spacing w:val="-2"/>
          <w:lang w:val="en-GB"/>
        </w:rPr>
        <w:t>3.7.3.</w:t>
      </w:r>
      <w:r w:rsidRPr="00AE1A72">
        <w:rPr>
          <w:spacing w:val="-2"/>
          <w:lang w:val="en-GB"/>
        </w:rPr>
        <w:tab/>
        <w:t xml:space="preserve">For the purposes of approval, only the deterioration factors adopted by the manufacturer from paragraph 3.6.1. </w:t>
      </w:r>
      <w:r w:rsidR="00D24FE7" w:rsidRPr="00AE1A72">
        <w:rPr>
          <w:spacing w:val="-2"/>
          <w:lang w:val="en-GB"/>
        </w:rPr>
        <w:t xml:space="preserve">above </w:t>
      </w:r>
      <w:r w:rsidRPr="00AE1A72">
        <w:rPr>
          <w:spacing w:val="-2"/>
          <w:lang w:val="en-GB"/>
        </w:rPr>
        <w:t xml:space="preserve">or the deterioration factors developed according to paragraph 3.5. </w:t>
      </w:r>
      <w:r w:rsidR="00D24FE7" w:rsidRPr="00AE1A72">
        <w:rPr>
          <w:spacing w:val="-2"/>
          <w:lang w:val="en-GB"/>
        </w:rPr>
        <w:t xml:space="preserve">above </w:t>
      </w:r>
      <w:r w:rsidRPr="00AE1A72">
        <w:rPr>
          <w:spacing w:val="-2"/>
          <w:lang w:val="en-GB"/>
        </w:rPr>
        <w:t>shall be recorded in paragraph</w:t>
      </w:r>
      <w:r w:rsidR="00AE1A72">
        <w:rPr>
          <w:spacing w:val="-2"/>
          <w:lang w:val="en-GB"/>
        </w:rPr>
        <w:t> </w:t>
      </w:r>
      <w:r w:rsidRPr="00AE1A72">
        <w:rPr>
          <w:spacing w:val="-2"/>
          <w:lang w:val="en-GB"/>
        </w:rPr>
        <w:t xml:space="preserve">1.4. of Appendix 1 to Annex 6 </w:t>
      </w:r>
      <w:r w:rsidR="0090475A" w:rsidRPr="00AE1A72">
        <w:rPr>
          <w:spacing w:val="-2"/>
          <w:lang w:val="en-GB"/>
        </w:rPr>
        <w:t xml:space="preserve">to </w:t>
      </w:r>
      <w:r w:rsidRPr="00AE1A72">
        <w:rPr>
          <w:spacing w:val="-2"/>
          <w:lang w:val="en-GB"/>
        </w:rPr>
        <w:t>this Regulation.</w:t>
      </w:r>
      <w:r w:rsidR="00D24FE7" w:rsidRPr="00AE1A72">
        <w:rPr>
          <w:spacing w:val="-2"/>
          <w:lang w:val="en-GB"/>
        </w:rPr>
        <w:t xml:space="preserve"> (</w:t>
      </w:r>
      <w:r w:rsidR="00D24FE7" w:rsidRPr="00AE1A72">
        <w:rPr>
          <w:i/>
          <w:spacing w:val="-2"/>
          <w:lang w:val="en-GB"/>
        </w:rPr>
        <w:t>Note by the secretariat:</w:t>
      </w:r>
      <w:r w:rsidR="00D24FE7" w:rsidRPr="00AE1A72">
        <w:rPr>
          <w:spacing w:val="-2"/>
          <w:lang w:val="en-GB"/>
        </w:rPr>
        <w:t xml:space="preserve"> This paragraph has been approved as shown here, but as the paragraph 1.4. of Appendix 1 to Annex 6 do not exist, the secretariat refers the reader to Annex 2A.)</w:t>
      </w:r>
    </w:p>
    <w:p w:rsidR="00BB1DA8" w:rsidRPr="00B04DC3" w:rsidRDefault="00BB1DA8" w:rsidP="00BB1DA8">
      <w:pPr>
        <w:pStyle w:val="para"/>
        <w:rPr>
          <w:lang w:val="en-GB"/>
        </w:rPr>
      </w:pPr>
      <w:r w:rsidRPr="00B04DC3">
        <w:rPr>
          <w:lang w:val="en-GB"/>
        </w:rPr>
        <w:t>4.</w:t>
      </w:r>
      <w:r w:rsidRPr="00B04DC3">
        <w:rPr>
          <w:lang w:val="en-GB"/>
        </w:rPr>
        <w:tab/>
        <w:t>Maintenance</w:t>
      </w:r>
    </w:p>
    <w:p w:rsidR="00BB1DA8" w:rsidRPr="00B04DC3" w:rsidRDefault="00BB1DA8" w:rsidP="00BB1DA8">
      <w:pPr>
        <w:pStyle w:val="para"/>
        <w:rPr>
          <w:lang w:val="en-GB"/>
        </w:rPr>
      </w:pPr>
      <w:r w:rsidRPr="00B04DC3">
        <w:rPr>
          <w:lang w:val="en-GB"/>
        </w:rPr>
        <w:tab/>
        <w:t>During the service accumulation schedule, maintenance performed on engines and proper consumption of any required reagent used to determine deterioration factors are classified as either emission-related or non-emission-related and each of these can be classified as scheduled and unscheduled. Some emission-related maintenance is also classified as critical emission-related maintenance.</w:t>
      </w:r>
    </w:p>
    <w:p w:rsidR="00BB1DA8" w:rsidRPr="00B04DC3" w:rsidRDefault="00BB1DA8" w:rsidP="00BB1DA8">
      <w:pPr>
        <w:pStyle w:val="para"/>
        <w:rPr>
          <w:lang w:val="en-GB"/>
        </w:rPr>
      </w:pPr>
      <w:r w:rsidRPr="00B04DC3">
        <w:rPr>
          <w:lang w:val="en-GB"/>
        </w:rPr>
        <w:t>4.1.</w:t>
      </w:r>
      <w:r w:rsidRPr="00B04DC3">
        <w:rPr>
          <w:lang w:val="en-GB"/>
        </w:rPr>
        <w:tab/>
        <w:t>Emission-related scheduled maintenance</w:t>
      </w:r>
    </w:p>
    <w:p w:rsidR="00BB1DA8" w:rsidRPr="00B04DC3" w:rsidRDefault="00BB1DA8" w:rsidP="00BB1DA8">
      <w:pPr>
        <w:pStyle w:val="para"/>
        <w:rPr>
          <w:lang w:val="en-GB"/>
        </w:rPr>
      </w:pPr>
      <w:r w:rsidRPr="00B04DC3">
        <w:rPr>
          <w:lang w:val="en-GB"/>
        </w:rPr>
        <w:t>4.1.1.</w:t>
      </w:r>
      <w:r w:rsidRPr="00B04DC3">
        <w:rPr>
          <w:lang w:val="en-GB"/>
        </w:rPr>
        <w:tab/>
        <w:t>This paragraph specifies emission-related scheduled maintenance for the purpose of conducting a service accumulation schedule and for inclusion in the maintenance instructions furnished to owners of new heavy-duty vehicles and heavy-duty engines.</w:t>
      </w:r>
    </w:p>
    <w:p w:rsidR="00BB1DA8" w:rsidRPr="00B04DC3" w:rsidRDefault="00BB1DA8" w:rsidP="00BB1DA8">
      <w:pPr>
        <w:pStyle w:val="para"/>
        <w:rPr>
          <w:lang w:val="en-GB"/>
        </w:rPr>
      </w:pPr>
      <w:r w:rsidRPr="00B04DC3">
        <w:rPr>
          <w:lang w:val="en-GB"/>
        </w:rPr>
        <w:t>4.1.2.</w:t>
      </w:r>
      <w:r w:rsidRPr="00B04DC3">
        <w:rPr>
          <w:lang w:val="en-GB"/>
        </w:rPr>
        <w:tab/>
        <w:t>All emission-related scheduled maintenance for purposes of conducting a service accumulation schedule shall occur at the same or equivalent distance intervals that will be specified in the manufacturer's maintenance instructions to the owner of the heavy-duty vehicle or heavy-duty engine. This maintenance schedule may be updated as necessary throughout the service accumulation schedule provided that no maintenance operation is deleted from the maintenance schedule after the operation has been performed on the test engine.</w:t>
      </w:r>
    </w:p>
    <w:p w:rsidR="00BB1DA8" w:rsidRPr="00AE1A72" w:rsidRDefault="00BB1DA8" w:rsidP="00BB1DA8">
      <w:pPr>
        <w:pStyle w:val="para"/>
        <w:rPr>
          <w:spacing w:val="-2"/>
          <w:lang w:val="en-GB"/>
        </w:rPr>
      </w:pPr>
      <w:r w:rsidRPr="00AE1A72">
        <w:rPr>
          <w:spacing w:val="-2"/>
          <w:lang w:val="en-GB"/>
        </w:rPr>
        <w:t>4.1.3.</w:t>
      </w:r>
      <w:r w:rsidRPr="00AE1A72">
        <w:rPr>
          <w:spacing w:val="-2"/>
          <w:lang w:val="en-GB"/>
        </w:rPr>
        <w:tab/>
        <w:t xml:space="preserve">Any emission-related maintenance performed on engines shall be necessary to assure in-use conformity with the relevant emission standards. The manufacturer shall submit data to the </w:t>
      </w:r>
      <w:r w:rsidR="0055021A" w:rsidRPr="00AE1A72">
        <w:rPr>
          <w:spacing w:val="-2"/>
          <w:lang w:val="en-GB"/>
        </w:rPr>
        <w:t xml:space="preserve">Type </w:t>
      </w:r>
      <w:r w:rsidRPr="00AE1A72">
        <w:rPr>
          <w:spacing w:val="-2"/>
          <w:lang w:val="en-GB"/>
        </w:rPr>
        <w:t>Approval Authority to demonstrate that all of the emission-related scheduled maintenance is technically necessary.</w:t>
      </w:r>
    </w:p>
    <w:p w:rsidR="00BB1DA8" w:rsidRPr="00B04DC3" w:rsidRDefault="00BB1DA8" w:rsidP="00BB1DA8">
      <w:pPr>
        <w:pStyle w:val="para"/>
        <w:rPr>
          <w:lang w:val="en-GB"/>
        </w:rPr>
      </w:pPr>
      <w:r w:rsidRPr="00B04DC3">
        <w:rPr>
          <w:lang w:val="en-GB"/>
        </w:rPr>
        <w:t>4.1.4.</w:t>
      </w:r>
      <w:r w:rsidRPr="00B04DC3">
        <w:rPr>
          <w:lang w:val="en-GB"/>
        </w:rPr>
        <w:tab/>
        <w:t>The engine manufacturer shall specify the adjustment, cleaning and maintenance (where necessary) of the following items:</w:t>
      </w:r>
    </w:p>
    <w:p w:rsidR="00BB1DA8" w:rsidRPr="00B04DC3" w:rsidRDefault="00BB1DA8" w:rsidP="00BB1DA8">
      <w:pPr>
        <w:pStyle w:val="a"/>
        <w:rPr>
          <w:lang w:val="en-GB"/>
        </w:rPr>
      </w:pPr>
      <w:r w:rsidRPr="00B04DC3">
        <w:rPr>
          <w:lang w:val="en-GB"/>
        </w:rPr>
        <w:t>(a)</w:t>
      </w:r>
      <w:r w:rsidRPr="00B04DC3">
        <w:rPr>
          <w:lang w:val="en-GB"/>
        </w:rPr>
        <w:tab/>
        <w:t>Filters and coolers in the exhaust gas re-circulation system;</w:t>
      </w:r>
    </w:p>
    <w:p w:rsidR="00BB1DA8" w:rsidRPr="00B04DC3" w:rsidRDefault="00BB1DA8" w:rsidP="00BB1DA8">
      <w:pPr>
        <w:pStyle w:val="a"/>
        <w:rPr>
          <w:lang w:val="en-GB"/>
        </w:rPr>
      </w:pPr>
      <w:r w:rsidRPr="00B04DC3">
        <w:rPr>
          <w:lang w:val="en-GB"/>
        </w:rPr>
        <w:t>(b)</w:t>
      </w:r>
      <w:r w:rsidRPr="00B04DC3">
        <w:rPr>
          <w:lang w:val="en-GB"/>
        </w:rPr>
        <w:tab/>
        <w:t>Positive crankcase ventilation valve;</w:t>
      </w:r>
    </w:p>
    <w:p w:rsidR="00BB1DA8" w:rsidRPr="00B04DC3" w:rsidRDefault="00BB1DA8" w:rsidP="00BB1DA8">
      <w:pPr>
        <w:pStyle w:val="a"/>
        <w:rPr>
          <w:lang w:val="en-GB"/>
        </w:rPr>
      </w:pPr>
      <w:r w:rsidRPr="00B04DC3">
        <w:rPr>
          <w:lang w:val="en-GB"/>
        </w:rPr>
        <w:t>(c)</w:t>
      </w:r>
      <w:r w:rsidRPr="00B04DC3">
        <w:rPr>
          <w:lang w:val="en-GB"/>
        </w:rPr>
        <w:tab/>
        <w:t>Fuel injector tips (cleaning only);</w:t>
      </w:r>
    </w:p>
    <w:p w:rsidR="00BB1DA8" w:rsidRPr="00B04DC3" w:rsidRDefault="00BB1DA8" w:rsidP="00BB1DA8">
      <w:pPr>
        <w:pStyle w:val="a"/>
        <w:rPr>
          <w:lang w:val="en-GB"/>
        </w:rPr>
      </w:pPr>
      <w:r w:rsidRPr="00B04DC3">
        <w:rPr>
          <w:lang w:val="en-GB"/>
        </w:rPr>
        <w:t>(d)</w:t>
      </w:r>
      <w:r w:rsidRPr="00B04DC3">
        <w:rPr>
          <w:lang w:val="en-GB"/>
        </w:rPr>
        <w:tab/>
        <w:t>Fuel injectors;</w:t>
      </w:r>
    </w:p>
    <w:p w:rsidR="00BB1DA8" w:rsidRPr="00B04DC3" w:rsidRDefault="00BB1DA8" w:rsidP="00BB1DA8">
      <w:pPr>
        <w:pStyle w:val="a"/>
        <w:rPr>
          <w:lang w:val="en-GB"/>
        </w:rPr>
      </w:pPr>
      <w:r w:rsidRPr="00B04DC3">
        <w:rPr>
          <w:lang w:val="en-GB"/>
        </w:rPr>
        <w:t>(e)</w:t>
      </w:r>
      <w:r w:rsidRPr="00B04DC3">
        <w:rPr>
          <w:lang w:val="en-GB"/>
        </w:rPr>
        <w:tab/>
        <w:t>Turbocharger;</w:t>
      </w:r>
    </w:p>
    <w:p w:rsidR="00BB1DA8" w:rsidRPr="00B04DC3" w:rsidRDefault="00BB1DA8" w:rsidP="00BB1DA8">
      <w:pPr>
        <w:pStyle w:val="a"/>
        <w:rPr>
          <w:lang w:val="en-GB"/>
        </w:rPr>
      </w:pPr>
      <w:r w:rsidRPr="00B04DC3">
        <w:rPr>
          <w:lang w:val="en-GB"/>
        </w:rPr>
        <w:t>(f)</w:t>
      </w:r>
      <w:r w:rsidRPr="00B04DC3">
        <w:rPr>
          <w:lang w:val="en-GB"/>
        </w:rPr>
        <w:tab/>
        <w:t>Electronic engine control unit and its associated sensors and actuators;</w:t>
      </w:r>
    </w:p>
    <w:p w:rsidR="00BB1DA8" w:rsidRPr="00B04DC3" w:rsidRDefault="00BB1DA8" w:rsidP="00BB1DA8">
      <w:pPr>
        <w:pStyle w:val="a"/>
        <w:rPr>
          <w:lang w:val="en-GB"/>
        </w:rPr>
      </w:pPr>
      <w:r w:rsidRPr="00B04DC3">
        <w:rPr>
          <w:lang w:val="en-GB"/>
        </w:rPr>
        <w:t>(g)</w:t>
      </w:r>
      <w:r w:rsidRPr="00B04DC3">
        <w:rPr>
          <w:lang w:val="en-GB"/>
        </w:rPr>
        <w:tab/>
        <w:t>Particulate filter system (including related components);</w:t>
      </w:r>
    </w:p>
    <w:p w:rsidR="00BB1DA8" w:rsidRPr="00B04DC3" w:rsidRDefault="00BB1DA8" w:rsidP="00BB1DA8">
      <w:pPr>
        <w:pStyle w:val="a"/>
        <w:rPr>
          <w:lang w:val="en-GB"/>
        </w:rPr>
      </w:pPr>
      <w:r w:rsidRPr="00B04DC3">
        <w:rPr>
          <w:lang w:val="en-GB"/>
        </w:rPr>
        <w:t>(h)</w:t>
      </w:r>
      <w:r w:rsidRPr="00B04DC3">
        <w:rPr>
          <w:lang w:val="en-GB"/>
        </w:rPr>
        <w:tab/>
        <w:t>Exhaust gas re-circulation system, including all related control valves and tubing;</w:t>
      </w:r>
    </w:p>
    <w:p w:rsidR="00BB1DA8" w:rsidRPr="00B04DC3" w:rsidRDefault="00BB1DA8" w:rsidP="00BB1DA8">
      <w:pPr>
        <w:pStyle w:val="a"/>
        <w:rPr>
          <w:lang w:val="en-GB"/>
        </w:rPr>
      </w:pPr>
      <w:r w:rsidRPr="00B04DC3">
        <w:rPr>
          <w:lang w:val="en-GB"/>
        </w:rPr>
        <w:t>(i)</w:t>
      </w:r>
      <w:r w:rsidRPr="00B04DC3">
        <w:rPr>
          <w:lang w:val="en-GB"/>
        </w:rPr>
        <w:tab/>
        <w:t xml:space="preserve">Any exhaust </w:t>
      </w:r>
      <w:r w:rsidR="006A75A0">
        <w:rPr>
          <w:lang w:val="en-GB"/>
        </w:rPr>
        <w:t>after-treatment</w:t>
      </w:r>
      <w:r w:rsidRPr="00B04DC3">
        <w:rPr>
          <w:lang w:val="en-GB"/>
        </w:rPr>
        <w:t xml:space="preserve"> system.</w:t>
      </w:r>
    </w:p>
    <w:p w:rsidR="00BB1DA8" w:rsidRPr="00B04DC3" w:rsidRDefault="00BB1DA8" w:rsidP="00BB1DA8">
      <w:pPr>
        <w:pStyle w:val="para"/>
        <w:rPr>
          <w:lang w:val="en-GB"/>
        </w:rPr>
      </w:pPr>
      <w:r w:rsidRPr="00B04DC3">
        <w:rPr>
          <w:lang w:val="en-GB"/>
        </w:rPr>
        <w:t>4.1.5.</w:t>
      </w:r>
      <w:r w:rsidRPr="00B04DC3">
        <w:rPr>
          <w:lang w:val="en-GB"/>
        </w:rPr>
        <w:tab/>
        <w:t>For the purposes of maintenance, the following components are defined as critical emission-related items:</w:t>
      </w:r>
    </w:p>
    <w:p w:rsidR="00BB1DA8" w:rsidRPr="00B04DC3" w:rsidRDefault="00BB1DA8" w:rsidP="00BB1DA8">
      <w:pPr>
        <w:pStyle w:val="a"/>
        <w:rPr>
          <w:lang w:val="en-GB"/>
        </w:rPr>
      </w:pPr>
      <w:r w:rsidRPr="00B04DC3">
        <w:rPr>
          <w:lang w:val="en-GB"/>
        </w:rPr>
        <w:t>(a)</w:t>
      </w:r>
      <w:r w:rsidRPr="00B04DC3">
        <w:rPr>
          <w:lang w:val="en-GB"/>
        </w:rPr>
        <w:tab/>
        <w:t xml:space="preserve">Any exhaust </w:t>
      </w:r>
      <w:r w:rsidR="006A75A0">
        <w:rPr>
          <w:lang w:val="en-GB"/>
        </w:rPr>
        <w:t>after-treatment</w:t>
      </w:r>
      <w:r w:rsidRPr="00B04DC3">
        <w:rPr>
          <w:lang w:val="en-GB"/>
        </w:rPr>
        <w:t xml:space="preserve"> system;</w:t>
      </w:r>
    </w:p>
    <w:p w:rsidR="00BB1DA8" w:rsidRPr="00B04DC3" w:rsidRDefault="00BB1DA8" w:rsidP="00BB1DA8">
      <w:pPr>
        <w:pStyle w:val="a"/>
        <w:rPr>
          <w:lang w:val="en-GB"/>
        </w:rPr>
      </w:pPr>
      <w:r w:rsidRPr="00B04DC3">
        <w:rPr>
          <w:lang w:val="en-GB"/>
        </w:rPr>
        <w:t>(b)</w:t>
      </w:r>
      <w:r w:rsidRPr="00B04DC3">
        <w:rPr>
          <w:lang w:val="en-GB"/>
        </w:rPr>
        <w:tab/>
        <w:t>Electronic engine control unit and its associated sensors and actuators;</w:t>
      </w:r>
    </w:p>
    <w:p w:rsidR="00BB1DA8" w:rsidRPr="00B04DC3" w:rsidRDefault="00BB1DA8" w:rsidP="00BB1DA8">
      <w:pPr>
        <w:pStyle w:val="a"/>
        <w:rPr>
          <w:lang w:val="en-GB"/>
        </w:rPr>
      </w:pPr>
      <w:r w:rsidRPr="00B04DC3">
        <w:rPr>
          <w:lang w:val="en-GB"/>
        </w:rPr>
        <w:t>(c)</w:t>
      </w:r>
      <w:r w:rsidRPr="00B04DC3">
        <w:rPr>
          <w:lang w:val="en-GB"/>
        </w:rPr>
        <w:tab/>
        <w:t>Exhaust gas re-circulation system including all related filters, coolers, control valves and tubing;</w:t>
      </w:r>
    </w:p>
    <w:p w:rsidR="00BB1DA8" w:rsidRPr="00B04DC3" w:rsidRDefault="00BB1DA8" w:rsidP="00BB1DA8">
      <w:pPr>
        <w:pStyle w:val="a"/>
        <w:rPr>
          <w:lang w:val="en-GB"/>
        </w:rPr>
      </w:pPr>
      <w:r w:rsidRPr="00B04DC3">
        <w:rPr>
          <w:lang w:val="en-GB"/>
        </w:rPr>
        <w:t>(d)</w:t>
      </w:r>
      <w:r w:rsidRPr="00B04DC3">
        <w:rPr>
          <w:lang w:val="en-GB"/>
        </w:rPr>
        <w:tab/>
        <w:t>Positive crankcase ventilation valve.</w:t>
      </w:r>
    </w:p>
    <w:p w:rsidR="00BB1DA8" w:rsidRPr="00B04DC3" w:rsidRDefault="00BB1DA8" w:rsidP="00BB1DA8">
      <w:pPr>
        <w:pStyle w:val="para"/>
        <w:rPr>
          <w:lang w:val="en-GB"/>
        </w:rPr>
      </w:pPr>
      <w:r w:rsidRPr="00B04DC3">
        <w:rPr>
          <w:lang w:val="en-GB"/>
        </w:rPr>
        <w:t>4.1.6.</w:t>
      </w:r>
      <w:r w:rsidRPr="00B04DC3">
        <w:rPr>
          <w:lang w:val="en-GB"/>
        </w:rPr>
        <w:tab/>
        <w:t xml:space="preserve">All critical emission-related scheduled maintenance shall have a reasonable likelihood of being performed in-use. The manufacturer shall demonstrate to the </w:t>
      </w:r>
      <w:r w:rsidR="0055021A">
        <w:rPr>
          <w:lang w:val="en-GB"/>
        </w:rPr>
        <w:t xml:space="preserve">Type </w:t>
      </w:r>
      <w:r w:rsidRPr="00B04DC3">
        <w:rPr>
          <w:lang w:val="en-GB"/>
        </w:rPr>
        <w:t>Approval Authority the reasonable likelihood of such maintenance being performed in-use and such demonstration shall be made prior to the performance of the maintenance during the service accumulation schedule.</w:t>
      </w:r>
    </w:p>
    <w:p w:rsidR="00BB1DA8" w:rsidRPr="00B04DC3" w:rsidRDefault="00BB1DA8" w:rsidP="00BB1DA8">
      <w:pPr>
        <w:pStyle w:val="para"/>
        <w:rPr>
          <w:lang w:val="en-GB"/>
        </w:rPr>
      </w:pPr>
      <w:r w:rsidRPr="00B04DC3">
        <w:rPr>
          <w:lang w:val="en-GB"/>
        </w:rPr>
        <w:t>4.1.7.</w:t>
      </w:r>
      <w:r w:rsidRPr="00B04DC3">
        <w:rPr>
          <w:lang w:val="en-GB"/>
        </w:rPr>
        <w:tab/>
        <w:t xml:space="preserve">Critical emission-related scheduled maintenance items that satisfy any of the conditions defined in paragraphs 4.1.7.1. to 4.1.7.4. </w:t>
      </w:r>
      <w:r w:rsidR="00391C5C">
        <w:rPr>
          <w:lang w:val="en-GB"/>
        </w:rPr>
        <w:t xml:space="preserve">below </w:t>
      </w:r>
      <w:r w:rsidRPr="00B04DC3">
        <w:rPr>
          <w:lang w:val="en-GB"/>
        </w:rPr>
        <w:t>will be accepted as having a reasonable likelihood of the maintenance item being performed in-use.</w:t>
      </w:r>
    </w:p>
    <w:p w:rsidR="00BB1DA8" w:rsidRPr="00B04DC3" w:rsidRDefault="00BB1DA8" w:rsidP="00BB1DA8">
      <w:pPr>
        <w:pStyle w:val="para"/>
        <w:rPr>
          <w:lang w:val="en-GB"/>
        </w:rPr>
      </w:pPr>
      <w:r w:rsidRPr="00B04DC3">
        <w:rPr>
          <w:lang w:val="en-GB"/>
        </w:rPr>
        <w:t>4.1.7.1.</w:t>
      </w:r>
      <w:r w:rsidRPr="00B04DC3">
        <w:rPr>
          <w:lang w:val="en-GB"/>
        </w:rPr>
        <w:tab/>
        <w:t>Data is submitted which establishes a connection between emissions and vehicle performance such that as emissions increase due to lack of maintenance, vehicle performance will simultaneously deteriorate to a point unacceptable for typical driving.</w:t>
      </w:r>
    </w:p>
    <w:p w:rsidR="00BB1DA8" w:rsidRPr="00B04DC3" w:rsidRDefault="00BB1DA8" w:rsidP="00BB1DA8">
      <w:pPr>
        <w:pStyle w:val="para"/>
        <w:rPr>
          <w:lang w:val="en-GB"/>
        </w:rPr>
      </w:pPr>
      <w:r w:rsidRPr="00B04DC3">
        <w:rPr>
          <w:lang w:val="en-GB"/>
        </w:rPr>
        <w:t>4.1.7.2.</w:t>
      </w:r>
      <w:r w:rsidRPr="00B04DC3">
        <w:rPr>
          <w:lang w:val="en-GB"/>
        </w:rPr>
        <w:tab/>
        <w:t>Survey data is submitted which demonstrates that, at an 80 per cent confidence level, 80 per cent of such engines already have this critical maintenance item performed in-use at the recommended interval(s).</w:t>
      </w:r>
    </w:p>
    <w:p w:rsidR="00BB1DA8" w:rsidRPr="00B04DC3" w:rsidRDefault="00BB1DA8" w:rsidP="00BB1DA8">
      <w:pPr>
        <w:pStyle w:val="para"/>
        <w:rPr>
          <w:lang w:val="en-GB"/>
        </w:rPr>
      </w:pPr>
      <w:r w:rsidRPr="00B04DC3">
        <w:rPr>
          <w:lang w:val="en-GB"/>
        </w:rPr>
        <w:t>4.1.7.3.</w:t>
      </w:r>
      <w:r w:rsidRPr="00B04DC3">
        <w:rPr>
          <w:lang w:val="en-GB"/>
        </w:rPr>
        <w:tab/>
        <w:t>In association with the requirements of paragraph 3.6. of Annex 9A to this Regulation, a clearly visible indicator shall be installed on the dashboard of the vehicle to alert the driver that maintenance is due. The indicator shall be actuated at the appropriate distance or by component failure. The indicator shall remain activated while the engine is in operation and shall not be erased without the required maintenance being carried out. Re-setting of the signal shall be a required step in the maintenance schedule. The system shall not be designed to deactivate upon the end of the appropriate useful life period of the engine or thereafter.</w:t>
      </w:r>
    </w:p>
    <w:p w:rsidR="00BB1DA8" w:rsidRPr="00B04DC3" w:rsidRDefault="00BB1DA8" w:rsidP="00BB1DA8">
      <w:pPr>
        <w:pStyle w:val="para"/>
        <w:rPr>
          <w:lang w:val="en-GB"/>
        </w:rPr>
      </w:pPr>
      <w:r w:rsidRPr="00B04DC3">
        <w:rPr>
          <w:lang w:val="en-GB"/>
        </w:rPr>
        <w:t>4.1.7.4.</w:t>
      </w:r>
      <w:r w:rsidRPr="00B04DC3">
        <w:rPr>
          <w:lang w:val="en-GB"/>
        </w:rPr>
        <w:tab/>
        <w:t xml:space="preserve">Any other method which the </w:t>
      </w:r>
      <w:r w:rsidR="0090475A">
        <w:rPr>
          <w:lang w:val="en-GB"/>
        </w:rPr>
        <w:t xml:space="preserve">Type </w:t>
      </w:r>
      <w:r w:rsidRPr="00B04DC3">
        <w:rPr>
          <w:lang w:val="en-GB"/>
        </w:rPr>
        <w:t>Approval Authority determines as establishing a reasonable likelihood that the critical maintenance will be performed in-use.</w:t>
      </w:r>
    </w:p>
    <w:p w:rsidR="00BB1DA8" w:rsidRPr="00B04DC3" w:rsidRDefault="00BB1DA8" w:rsidP="00BB1DA8">
      <w:pPr>
        <w:pStyle w:val="para"/>
        <w:rPr>
          <w:lang w:val="en-GB"/>
        </w:rPr>
      </w:pPr>
      <w:r w:rsidRPr="00B04DC3">
        <w:rPr>
          <w:lang w:val="en-GB"/>
        </w:rPr>
        <w:t>4.2.</w:t>
      </w:r>
      <w:r w:rsidRPr="00B04DC3">
        <w:rPr>
          <w:lang w:val="en-GB"/>
        </w:rPr>
        <w:tab/>
        <w:t>Changes to scheduled maintenance</w:t>
      </w:r>
    </w:p>
    <w:p w:rsidR="00BB1DA8" w:rsidRPr="00B04DC3" w:rsidRDefault="00BB1DA8" w:rsidP="00BB1DA8">
      <w:pPr>
        <w:pStyle w:val="para"/>
        <w:rPr>
          <w:lang w:val="en-GB"/>
        </w:rPr>
      </w:pPr>
      <w:r w:rsidRPr="00B04DC3">
        <w:rPr>
          <w:lang w:val="en-GB"/>
        </w:rPr>
        <w:t>4.2.1.</w:t>
      </w:r>
      <w:r w:rsidRPr="00B04DC3">
        <w:rPr>
          <w:lang w:val="en-GB"/>
        </w:rPr>
        <w:tab/>
        <w:t xml:space="preserve">The manufacturer shall submit a request to the </w:t>
      </w:r>
      <w:r w:rsidR="0090475A">
        <w:rPr>
          <w:lang w:val="en-GB"/>
        </w:rPr>
        <w:t xml:space="preserve">Type </w:t>
      </w:r>
      <w:r w:rsidRPr="00B04DC3">
        <w:rPr>
          <w:lang w:val="en-GB"/>
        </w:rPr>
        <w:t>Approval Authority for approval of any new scheduled maintenance that it wishes to perform during the service accumulation schedule and thereby recommend to owners of heavy-duty vehicles and engines. The manufacturer shall also include its recommendation as to the category (i.e. emission-related, non-emission-related, critical or non-critical) of the new scheduled maintenance being proposed and, for emission-related maintenance, the maximum feasible maintenance interval. The request shall be accompanied by data supporting the need for the new scheduled maintenance and the maintenance interval.</w:t>
      </w:r>
    </w:p>
    <w:p w:rsidR="00BB1DA8" w:rsidRPr="00B04DC3" w:rsidRDefault="00BB1DA8" w:rsidP="00BB1DA8">
      <w:pPr>
        <w:pStyle w:val="para"/>
        <w:rPr>
          <w:lang w:val="en-GB"/>
        </w:rPr>
      </w:pPr>
      <w:r w:rsidRPr="00B04DC3">
        <w:rPr>
          <w:lang w:val="en-GB"/>
        </w:rPr>
        <w:t>4.3.</w:t>
      </w:r>
      <w:r w:rsidRPr="00B04DC3">
        <w:rPr>
          <w:lang w:val="en-GB"/>
        </w:rPr>
        <w:tab/>
        <w:t>Non-emission-related scheduled maintenance</w:t>
      </w:r>
    </w:p>
    <w:p w:rsidR="00BB1DA8" w:rsidRPr="00B04DC3" w:rsidRDefault="00BB1DA8" w:rsidP="00BB1DA8">
      <w:pPr>
        <w:pStyle w:val="para"/>
        <w:rPr>
          <w:lang w:val="en-GB"/>
        </w:rPr>
      </w:pPr>
      <w:r w:rsidRPr="00B04DC3">
        <w:rPr>
          <w:lang w:val="en-GB"/>
        </w:rPr>
        <w:t>4.3.1.</w:t>
      </w:r>
      <w:r w:rsidRPr="00B04DC3">
        <w:rPr>
          <w:lang w:val="en-GB"/>
        </w:rPr>
        <w:tab/>
        <w:t>Non-emission-related scheduled maintenance which is reasonable and technically necessary (e.g. oil change, oil filter change, fuel filter change, air filter change, cooling system maintenance, idle speed adjustment, governor, engine bolt torque, valve lash, injector lash, timing, adjustment of the tension of any drive-belt, etc</w:t>
      </w:r>
      <w:r w:rsidR="00391C5C">
        <w:rPr>
          <w:lang w:val="en-GB"/>
        </w:rPr>
        <w:t>.</w:t>
      </w:r>
      <w:r w:rsidRPr="00B04DC3">
        <w:rPr>
          <w:lang w:val="en-GB"/>
        </w:rPr>
        <w:t>) may be performed on engines or vehicles selected for the service accumulation schedule at the least frequent intervals recommended by the manufacturer to the owner (e.g. not at the intervals recommended for severe service).</w:t>
      </w:r>
    </w:p>
    <w:p w:rsidR="00BB1DA8" w:rsidRPr="00B04DC3" w:rsidRDefault="00BB1DA8" w:rsidP="00BB1DA8">
      <w:pPr>
        <w:pStyle w:val="para"/>
        <w:rPr>
          <w:lang w:val="en-GB"/>
        </w:rPr>
      </w:pPr>
      <w:r w:rsidRPr="00B04DC3">
        <w:rPr>
          <w:lang w:val="en-GB"/>
        </w:rPr>
        <w:t>4.4.</w:t>
      </w:r>
      <w:r w:rsidRPr="00B04DC3">
        <w:rPr>
          <w:lang w:val="en-GB"/>
        </w:rPr>
        <w:tab/>
        <w:t>Maintenance on engines selected for testing over a service accumulation schedule</w:t>
      </w:r>
    </w:p>
    <w:p w:rsidR="00BB1DA8" w:rsidRPr="00B04DC3" w:rsidRDefault="00BB1DA8" w:rsidP="00BB1DA8">
      <w:pPr>
        <w:pStyle w:val="para"/>
        <w:rPr>
          <w:lang w:val="en-GB"/>
        </w:rPr>
      </w:pPr>
      <w:r w:rsidRPr="00B04DC3">
        <w:rPr>
          <w:lang w:val="en-GB"/>
        </w:rPr>
        <w:t>4.4.1.</w:t>
      </w:r>
      <w:r w:rsidRPr="00B04DC3">
        <w:rPr>
          <w:lang w:val="en-GB"/>
        </w:rPr>
        <w:tab/>
        <w:t>Repairs to the components of an engine selected for testing over a service accumulation schedule other than the engine, emission control system or fuel system shall be performed only as a result of part failure or engine system malfunction.</w:t>
      </w:r>
    </w:p>
    <w:p w:rsidR="00BB1DA8" w:rsidRPr="00B04DC3" w:rsidRDefault="00BB1DA8" w:rsidP="00BB1DA8">
      <w:pPr>
        <w:pStyle w:val="para"/>
        <w:rPr>
          <w:lang w:val="en-GB"/>
        </w:rPr>
      </w:pPr>
      <w:r w:rsidRPr="00B04DC3">
        <w:rPr>
          <w:lang w:val="en-GB"/>
        </w:rPr>
        <w:t>4.4.2.</w:t>
      </w:r>
      <w:r w:rsidRPr="00B04DC3">
        <w:rPr>
          <w:lang w:val="en-GB"/>
        </w:rPr>
        <w:tab/>
        <w:t>Equipment, instruments or tools may not be used to identify malfunctioning, maladjusted or defective engine components unless the same or equivalent equipment, instruments or tools will be available to dealerships and other service outlets and,</w:t>
      </w:r>
    </w:p>
    <w:p w:rsidR="00BB1DA8" w:rsidRPr="00B04DC3" w:rsidRDefault="00BB1DA8" w:rsidP="00BB1DA8">
      <w:pPr>
        <w:pStyle w:val="a"/>
        <w:rPr>
          <w:lang w:val="en-GB"/>
        </w:rPr>
      </w:pPr>
      <w:r w:rsidRPr="00B04DC3">
        <w:rPr>
          <w:lang w:val="en-GB"/>
        </w:rPr>
        <w:t>(a)</w:t>
      </w:r>
      <w:r w:rsidRPr="00B04DC3">
        <w:rPr>
          <w:lang w:val="en-GB"/>
        </w:rPr>
        <w:tab/>
        <w:t>Are used in conjunction with scheduled maintenance on such components, and</w:t>
      </w:r>
    </w:p>
    <w:p w:rsidR="00BB1DA8" w:rsidRPr="00B04DC3" w:rsidRDefault="00BB1DA8" w:rsidP="00BB1DA8">
      <w:pPr>
        <w:pStyle w:val="a"/>
        <w:rPr>
          <w:lang w:val="en-GB"/>
        </w:rPr>
      </w:pPr>
      <w:r w:rsidRPr="00B04DC3">
        <w:rPr>
          <w:lang w:val="en-GB"/>
        </w:rPr>
        <w:t>(b)</w:t>
      </w:r>
      <w:r w:rsidRPr="00B04DC3">
        <w:rPr>
          <w:lang w:val="en-GB"/>
        </w:rPr>
        <w:tab/>
        <w:t>Are used subsequent to the identification of an engine malfunction.</w:t>
      </w:r>
    </w:p>
    <w:p w:rsidR="00BB1DA8" w:rsidRPr="00B04DC3" w:rsidRDefault="00BB1DA8" w:rsidP="00BB1DA8">
      <w:pPr>
        <w:pStyle w:val="para"/>
        <w:rPr>
          <w:lang w:val="en-GB"/>
        </w:rPr>
      </w:pPr>
      <w:r w:rsidRPr="00B04DC3">
        <w:rPr>
          <w:lang w:val="en-GB"/>
        </w:rPr>
        <w:t>4.5.</w:t>
      </w:r>
      <w:r w:rsidRPr="00B04DC3">
        <w:rPr>
          <w:lang w:val="en-GB"/>
        </w:rPr>
        <w:tab/>
        <w:t>Critical emission-related unscheduled maintenance</w:t>
      </w:r>
    </w:p>
    <w:p w:rsidR="00BB1DA8" w:rsidRPr="00B04DC3" w:rsidRDefault="00BB1DA8" w:rsidP="00BB1DA8">
      <w:pPr>
        <w:pStyle w:val="para"/>
        <w:rPr>
          <w:lang w:val="en-GB"/>
        </w:rPr>
      </w:pPr>
      <w:r w:rsidRPr="00B04DC3">
        <w:rPr>
          <w:lang w:val="en-GB"/>
        </w:rPr>
        <w:t>4.5.1.</w:t>
      </w:r>
      <w:r w:rsidRPr="00B04DC3">
        <w:rPr>
          <w:lang w:val="en-GB"/>
        </w:rPr>
        <w:tab/>
        <w:t>The consumption of a required reagent is defined as critical emission-related unscheduled maintenance for the purpose of conducting a service accumulation schedule and for inclusion in the maintenance instructions furnished by manufacturers to owners of new heavy-duty vehicles or heavy-duty engines.</w:t>
      </w:r>
    </w:p>
    <w:p w:rsidR="00BB1DA8" w:rsidRPr="00B04DC3" w:rsidRDefault="00BB1DA8" w:rsidP="00BB1DA8">
      <w:pPr>
        <w:pStyle w:val="para"/>
        <w:rPr>
          <w:lang w:val="en-GB"/>
        </w:rPr>
        <w:sectPr w:rsidR="00BB1DA8" w:rsidRPr="00B04DC3" w:rsidSect="0020158A">
          <w:headerReference w:type="even" r:id="rId617"/>
          <w:headerReference w:type="default" r:id="rId618"/>
          <w:footnotePr>
            <w:numRestart w:val="eachSect"/>
          </w:footnotePr>
          <w:endnotePr>
            <w:numFmt w:val="decimal"/>
          </w:endnotePr>
          <w:pgSz w:w="11907" w:h="16840" w:code="9"/>
          <w:pgMar w:top="1701" w:right="1134" w:bottom="2268" w:left="1134" w:header="1134" w:footer="1701" w:gutter="0"/>
          <w:cols w:space="720"/>
          <w:docGrid w:linePitch="272"/>
        </w:sectPr>
      </w:pPr>
    </w:p>
    <w:p w:rsidR="00BB1DA8" w:rsidRPr="00B04DC3" w:rsidRDefault="00BB1DA8" w:rsidP="00BB1DA8">
      <w:pPr>
        <w:pStyle w:val="HChG"/>
      </w:pPr>
      <w:bookmarkStart w:id="806" w:name="_Toc423599662"/>
      <w:bookmarkStart w:id="807" w:name="_Toc423611070"/>
      <w:r w:rsidRPr="00B04DC3">
        <w:t>Annex 8</w:t>
      </w:r>
      <w:bookmarkEnd w:id="806"/>
      <w:bookmarkEnd w:id="807"/>
    </w:p>
    <w:p w:rsidR="00BB1DA8" w:rsidRPr="00B04DC3" w:rsidRDefault="00BB1DA8" w:rsidP="00AE1A72">
      <w:pPr>
        <w:pStyle w:val="HChG"/>
        <w:spacing w:after="360"/>
      </w:pPr>
      <w:r w:rsidRPr="00B04DC3">
        <w:tab/>
      </w:r>
      <w:r w:rsidRPr="00B04DC3">
        <w:tab/>
      </w:r>
      <w:bookmarkStart w:id="808" w:name="_Toc423599663"/>
      <w:bookmarkStart w:id="809" w:name="_Toc423611071"/>
      <w:r w:rsidRPr="00B04DC3">
        <w:t>Conformity of in-service vehicles/engines</w:t>
      </w:r>
      <w:bookmarkEnd w:id="808"/>
      <w:bookmarkEnd w:id="809"/>
    </w:p>
    <w:p w:rsidR="00BB1DA8" w:rsidRPr="00B04DC3" w:rsidRDefault="00BB1DA8" w:rsidP="00BB1DA8">
      <w:pPr>
        <w:pStyle w:val="para"/>
        <w:rPr>
          <w:lang w:val="en-GB"/>
        </w:rPr>
      </w:pPr>
      <w:r w:rsidRPr="00B04DC3">
        <w:rPr>
          <w:lang w:val="en-GB"/>
        </w:rPr>
        <w:t>1.</w:t>
      </w:r>
      <w:r w:rsidRPr="00B04DC3">
        <w:rPr>
          <w:lang w:val="en-GB"/>
        </w:rPr>
        <w:tab/>
        <w:t>General</w:t>
      </w:r>
    </w:p>
    <w:p w:rsidR="00BB1DA8" w:rsidRPr="00B04DC3" w:rsidRDefault="00BB1DA8" w:rsidP="00BB1DA8">
      <w:pPr>
        <w:pStyle w:val="para"/>
        <w:rPr>
          <w:lang w:val="en-GB"/>
        </w:rPr>
      </w:pPr>
      <w:r w:rsidRPr="00B04DC3">
        <w:rPr>
          <w:lang w:val="en-GB"/>
        </w:rPr>
        <w:t>1.1.</w:t>
      </w:r>
      <w:r w:rsidRPr="00B04DC3">
        <w:rPr>
          <w:lang w:val="en-GB"/>
        </w:rPr>
        <w:tab/>
        <w:t>With reference to approvals granted for emissions, measures are appropriate for confirming the functionality of the emission control devices during the useful life of an engine installed in a vehicle under normal conditions of use (conformity of in-service vehicles/engines properly maintained and used).</w:t>
      </w:r>
    </w:p>
    <w:p w:rsidR="00BB1DA8" w:rsidRPr="00B04DC3" w:rsidRDefault="00BB1DA8" w:rsidP="00BB1DA8">
      <w:pPr>
        <w:pStyle w:val="para"/>
        <w:rPr>
          <w:lang w:val="en-GB"/>
        </w:rPr>
      </w:pPr>
      <w:r w:rsidRPr="00B04DC3">
        <w:rPr>
          <w:lang w:val="en-GB"/>
        </w:rPr>
        <w:t>1.2.</w:t>
      </w:r>
      <w:r w:rsidRPr="00B04DC3">
        <w:rPr>
          <w:lang w:val="en-GB"/>
        </w:rPr>
        <w:tab/>
        <w:t>For the purpose of this Regulation these measures shall be checked over a period corresponding to the appropriate useful life period defined in paragraph 5.3. of this Regulation for vehicles or engines which are approved to either row B1, row B2 or row C of the tables in paragraph 5.2.1. of this Regulation.</w:t>
      </w:r>
    </w:p>
    <w:p w:rsidR="00BB1DA8" w:rsidRPr="00B04DC3" w:rsidRDefault="00BB1DA8" w:rsidP="00BB1DA8">
      <w:pPr>
        <w:pStyle w:val="para"/>
        <w:rPr>
          <w:lang w:val="en-GB"/>
        </w:rPr>
      </w:pPr>
      <w:r w:rsidRPr="00B04DC3">
        <w:rPr>
          <w:lang w:val="en-GB"/>
        </w:rPr>
        <w:t>1.3.</w:t>
      </w:r>
      <w:r w:rsidRPr="00B04DC3">
        <w:rPr>
          <w:lang w:val="en-GB"/>
        </w:rPr>
        <w:tab/>
        <w:t xml:space="preserve">The checking of conformity of in-service vehicles/engines is done on the basis of information provided by the manufacturer to the </w:t>
      </w:r>
      <w:r w:rsidR="00866116">
        <w:rPr>
          <w:lang w:val="en-GB"/>
        </w:rPr>
        <w:t xml:space="preserve">Type </w:t>
      </w:r>
      <w:r w:rsidRPr="00B04DC3">
        <w:rPr>
          <w:lang w:val="en-GB"/>
        </w:rPr>
        <w:t>Approval Authority conducting an audit of the emissions-performance of a range of representative vehicles or engines of which the manufacturer holds the approval.</w:t>
      </w:r>
    </w:p>
    <w:p w:rsidR="00BB1DA8" w:rsidRPr="00B04DC3" w:rsidRDefault="00BB1DA8" w:rsidP="00BB1DA8">
      <w:pPr>
        <w:pStyle w:val="para"/>
        <w:rPr>
          <w:lang w:val="en-GB"/>
        </w:rPr>
      </w:pPr>
      <w:r w:rsidRPr="00B04DC3">
        <w:rPr>
          <w:lang w:val="en-GB"/>
        </w:rPr>
        <w:tab/>
        <w:t>Figure 1 in this annex illustrates the procedure for in-service conformity checking.</w:t>
      </w:r>
    </w:p>
    <w:p w:rsidR="00BB1DA8" w:rsidRPr="00B04DC3" w:rsidRDefault="00BB1DA8" w:rsidP="00BB1DA8">
      <w:pPr>
        <w:pStyle w:val="para"/>
        <w:rPr>
          <w:lang w:val="en-GB"/>
        </w:rPr>
      </w:pPr>
      <w:r w:rsidRPr="00B04DC3">
        <w:rPr>
          <w:lang w:val="en-GB"/>
        </w:rPr>
        <w:t>2.</w:t>
      </w:r>
      <w:r w:rsidRPr="00B04DC3">
        <w:rPr>
          <w:lang w:val="en-GB"/>
        </w:rPr>
        <w:tab/>
        <w:t>Procedures for audit</w:t>
      </w:r>
    </w:p>
    <w:p w:rsidR="00BB1DA8" w:rsidRPr="00B04DC3" w:rsidRDefault="00BB1DA8" w:rsidP="00BB1DA8">
      <w:pPr>
        <w:pStyle w:val="para"/>
        <w:rPr>
          <w:lang w:val="en-GB"/>
        </w:rPr>
      </w:pPr>
      <w:r w:rsidRPr="00B04DC3">
        <w:rPr>
          <w:lang w:val="en-GB"/>
        </w:rPr>
        <w:t>2.1.</w:t>
      </w:r>
      <w:r w:rsidRPr="00B04DC3">
        <w:rPr>
          <w:lang w:val="en-GB"/>
        </w:rPr>
        <w:tab/>
        <w:t xml:space="preserve">Audit of in-service conformity by the </w:t>
      </w:r>
      <w:r w:rsidR="00866116">
        <w:rPr>
          <w:lang w:val="en-GB"/>
        </w:rPr>
        <w:t xml:space="preserve">Type </w:t>
      </w:r>
      <w:r w:rsidRPr="00B04DC3">
        <w:rPr>
          <w:lang w:val="en-GB"/>
        </w:rPr>
        <w:t xml:space="preserve">Approval Authority is conducted on the basis of any relevant information that the manufacturer has, under procedures similar to those defined in Appendix 2 of the 1958 Agreement (E/ECE/324-E/ECE/TRANS/505/Rev.2). Alternatives are in-service monitoring reports supplied by the manufacturer, </w:t>
      </w:r>
      <w:r w:rsidR="00866116">
        <w:rPr>
          <w:lang w:val="en-GB"/>
        </w:rPr>
        <w:t xml:space="preserve">Type </w:t>
      </w:r>
      <w:r w:rsidRPr="00B04DC3">
        <w:rPr>
          <w:lang w:val="en-GB"/>
        </w:rPr>
        <w:t>Approval Authority surveillance testing and/or information on surveillance testing performed by a Contracting Party. The procedures to be used are given in paragraph 3.</w:t>
      </w:r>
      <w:r w:rsidR="00391C5C">
        <w:rPr>
          <w:lang w:val="en-GB"/>
        </w:rPr>
        <w:t xml:space="preserve"> below.</w:t>
      </w:r>
    </w:p>
    <w:p w:rsidR="00BB1DA8" w:rsidRPr="00B04DC3" w:rsidRDefault="00BB1DA8" w:rsidP="00BB1DA8">
      <w:pPr>
        <w:pStyle w:val="para"/>
        <w:rPr>
          <w:lang w:val="en-GB"/>
        </w:rPr>
      </w:pPr>
      <w:r w:rsidRPr="00B04DC3">
        <w:rPr>
          <w:lang w:val="en-GB"/>
        </w:rPr>
        <w:t>3.</w:t>
      </w:r>
      <w:r w:rsidRPr="00B04DC3">
        <w:rPr>
          <w:lang w:val="en-GB"/>
        </w:rPr>
        <w:tab/>
        <w:t>Audit procedures</w:t>
      </w:r>
    </w:p>
    <w:p w:rsidR="00BB1DA8" w:rsidRPr="00B04DC3" w:rsidRDefault="00BB1DA8" w:rsidP="00BB1DA8">
      <w:pPr>
        <w:pStyle w:val="para"/>
        <w:rPr>
          <w:lang w:val="en-GB"/>
        </w:rPr>
      </w:pPr>
      <w:r w:rsidRPr="00B04DC3">
        <w:rPr>
          <w:lang w:val="en-GB"/>
        </w:rPr>
        <w:t>3.1.</w:t>
      </w:r>
      <w:r w:rsidRPr="00B04DC3">
        <w:rPr>
          <w:lang w:val="en-GB"/>
        </w:rPr>
        <w:tab/>
        <w:t xml:space="preserve">An audit of in-service conformity will be conducted by the </w:t>
      </w:r>
      <w:r w:rsidR="00866116">
        <w:rPr>
          <w:lang w:val="en-GB"/>
        </w:rPr>
        <w:t xml:space="preserve">Type </w:t>
      </w:r>
      <w:r w:rsidRPr="00B04DC3">
        <w:rPr>
          <w:lang w:val="en-GB"/>
        </w:rPr>
        <w:t xml:space="preserve">Approval Authority on the basis of information supplied by the manufacturer. The manufacturer's </w:t>
      </w:r>
      <w:r w:rsidR="00391C5C" w:rsidRPr="00B04DC3">
        <w:rPr>
          <w:lang w:val="en-GB"/>
        </w:rPr>
        <w:t>I</w:t>
      </w:r>
      <w:r w:rsidRPr="00B04DC3">
        <w:rPr>
          <w:lang w:val="en-GB"/>
        </w:rPr>
        <w:t>n-</w:t>
      </w:r>
      <w:r w:rsidR="00391C5C" w:rsidRPr="00B04DC3">
        <w:rPr>
          <w:lang w:val="en-GB"/>
        </w:rPr>
        <w:t>S</w:t>
      </w:r>
      <w:r w:rsidRPr="00B04DC3">
        <w:rPr>
          <w:lang w:val="en-GB"/>
        </w:rPr>
        <w:t xml:space="preserve">ervice </w:t>
      </w:r>
      <w:r w:rsidR="00391C5C" w:rsidRPr="00B04DC3">
        <w:rPr>
          <w:lang w:val="en-GB"/>
        </w:rPr>
        <w:t>M</w:t>
      </w:r>
      <w:r w:rsidRPr="00B04DC3">
        <w:rPr>
          <w:lang w:val="en-GB"/>
        </w:rPr>
        <w:t>onitoring (ISM) report should be based on in-use testing of engines or vehicles using proven and relevant testing protocols. Such information (the ISM report) shall include, but is not limited to, the following (see paragraphs 3.1.1. to 3.1.13.</w:t>
      </w:r>
      <w:r w:rsidR="00391C5C">
        <w:rPr>
          <w:lang w:val="en-GB"/>
        </w:rPr>
        <w:t xml:space="preserve"> below</w:t>
      </w:r>
      <w:r w:rsidRPr="00B04DC3">
        <w:rPr>
          <w:lang w:val="en-GB"/>
        </w:rPr>
        <w:t>):</w:t>
      </w:r>
    </w:p>
    <w:p w:rsidR="00BB1DA8" w:rsidRPr="00B04DC3" w:rsidRDefault="00BB1DA8" w:rsidP="00BB1DA8">
      <w:pPr>
        <w:pStyle w:val="para"/>
        <w:rPr>
          <w:lang w:val="en-GB"/>
        </w:rPr>
      </w:pPr>
      <w:r w:rsidRPr="00B04DC3">
        <w:rPr>
          <w:lang w:val="en-GB"/>
        </w:rPr>
        <w:t>3.1.1.</w:t>
      </w:r>
      <w:r w:rsidRPr="00B04DC3">
        <w:rPr>
          <w:lang w:val="en-GB"/>
        </w:rPr>
        <w:tab/>
        <w:t>The name and address of the manufacturer.</w:t>
      </w:r>
    </w:p>
    <w:p w:rsidR="00BB1DA8" w:rsidRPr="00B04DC3" w:rsidRDefault="00BB1DA8" w:rsidP="00BB1DA8">
      <w:pPr>
        <w:pStyle w:val="para"/>
        <w:rPr>
          <w:lang w:val="en-GB"/>
        </w:rPr>
      </w:pPr>
      <w:r w:rsidRPr="00B04DC3">
        <w:rPr>
          <w:lang w:val="en-GB"/>
        </w:rPr>
        <w:t>3.1.2.</w:t>
      </w:r>
      <w:r w:rsidRPr="00B04DC3">
        <w:rPr>
          <w:lang w:val="en-GB"/>
        </w:rPr>
        <w:tab/>
        <w:t>The name, address, telephone and fax numbers and e-mail address of his authorized representative within the areas covered by the manufacturer's information.</w:t>
      </w:r>
    </w:p>
    <w:p w:rsidR="00BB1DA8" w:rsidRPr="00B04DC3" w:rsidRDefault="00BB1DA8" w:rsidP="00BB1DA8">
      <w:pPr>
        <w:pStyle w:val="NormalCentered"/>
        <w:keepNext/>
        <w:spacing w:before="0" w:after="0"/>
        <w:rPr>
          <w:bCs/>
        </w:rPr>
        <w:sectPr w:rsidR="00BB1DA8" w:rsidRPr="00B04DC3" w:rsidSect="00763CD2">
          <w:headerReference w:type="even" r:id="rId619"/>
          <w:headerReference w:type="default" r:id="rId620"/>
          <w:footnotePr>
            <w:numRestart w:val="eachSect"/>
          </w:footnotePr>
          <w:endnotePr>
            <w:numFmt w:val="decimal"/>
          </w:endnotePr>
          <w:pgSz w:w="11907" w:h="16840" w:code="9"/>
          <w:pgMar w:top="1701" w:right="1134" w:bottom="2268" w:left="1134" w:header="1134" w:footer="1701" w:gutter="0"/>
          <w:cols w:space="720"/>
          <w:docGrid w:linePitch="272"/>
        </w:sectPr>
      </w:pPr>
    </w:p>
    <w:p w:rsidR="00BB1DA8" w:rsidRPr="00B04DC3" w:rsidRDefault="00BB1DA8" w:rsidP="00BB1DA8">
      <w:pPr>
        <w:pStyle w:val="Heading1"/>
        <w:spacing w:after="120"/>
      </w:pPr>
      <w:bookmarkStart w:id="810" w:name="_Toc399940080"/>
      <w:bookmarkStart w:id="811" w:name="_Toc423599664"/>
      <w:bookmarkStart w:id="812" w:name="_Toc423611072"/>
      <w:r w:rsidRPr="00B04DC3">
        <w:t>Figure 1</w:t>
      </w:r>
      <w:r w:rsidRPr="00B04DC3">
        <w:rPr>
          <w:iCs/>
        </w:rPr>
        <w:br/>
      </w:r>
      <w:r w:rsidRPr="00B04DC3">
        <w:rPr>
          <w:b/>
        </w:rPr>
        <w:t>In-service conformity</w:t>
      </w:r>
      <w:r w:rsidRPr="00B04DC3">
        <w:rPr>
          <w:b/>
          <w:noProof/>
        </w:rPr>
        <w:t xml:space="preserve"> checking – audit procedure</w:t>
      </w:r>
      <w:bookmarkEnd w:id="810"/>
      <w:bookmarkEnd w:id="811"/>
      <w:bookmarkEnd w:id="812"/>
    </w:p>
    <w:p w:rsidR="00BB1DA8" w:rsidRPr="00B04DC3" w:rsidRDefault="00A905B7" w:rsidP="00BB1DA8">
      <w:pPr>
        <w:pStyle w:val="para"/>
        <w:rPr>
          <w:sz w:val="2"/>
          <w:szCs w:val="2"/>
          <w:lang w:val="en-GB"/>
        </w:rPr>
      </w:pPr>
      <w:r>
        <w:rPr>
          <w:noProof/>
          <w:lang w:val="en-GB"/>
        </w:rPr>
        <w:pict>
          <v:shape id="_x0000_s5520" type="#_x0000_t202" style="position:absolute;left:0;text-align:left;margin-left:64.35pt;margin-top:572.75pt;width:292pt;height:26.2pt;z-index:251599872" stroked="f">
            <v:textbox style="mso-next-textbox:#_x0000_s5520">
              <w:txbxContent>
                <w:p w:rsidR="00A905B7" w:rsidRPr="00557652" w:rsidRDefault="00A905B7" w:rsidP="00BB1DA8">
                  <w:pPr>
                    <w:ind w:left="284" w:hanging="284"/>
                    <w:rPr>
                      <w:sz w:val="16"/>
                      <w:szCs w:val="16"/>
                    </w:rPr>
                  </w:pPr>
                  <w:r w:rsidRPr="007E26A7">
                    <w:rPr>
                      <w:rStyle w:val="FootnoteReference1"/>
                      <w:i/>
                      <w:lang w:val="en-US"/>
                    </w:rPr>
                    <w:t>a</w:t>
                  </w:r>
                  <w:r>
                    <w:rPr>
                      <w:sz w:val="16"/>
                      <w:szCs w:val="16"/>
                    </w:rPr>
                    <w:t xml:space="preserve">   </w:t>
                  </w:r>
                  <w:r w:rsidRPr="00557652">
                    <w:rPr>
                      <w:sz w:val="16"/>
                      <w:szCs w:val="16"/>
                    </w:rPr>
                    <w:t xml:space="preserve">In this case, AA means the </w:t>
                  </w:r>
                  <w:r w:rsidRPr="00866116">
                    <w:rPr>
                      <w:sz w:val="16"/>
                      <w:szCs w:val="16"/>
                    </w:rPr>
                    <w:t>Type</w:t>
                  </w:r>
                  <w:r>
                    <w:t xml:space="preserve"> </w:t>
                  </w:r>
                  <w:r w:rsidRPr="00557652">
                    <w:rPr>
                      <w:sz w:val="16"/>
                      <w:szCs w:val="16"/>
                    </w:rPr>
                    <w:t>Approval Authority that granted the approval.</w:t>
                  </w:r>
                </w:p>
              </w:txbxContent>
            </v:textbox>
            <w10:wrap type="topAndBottom"/>
          </v:shape>
        </w:pict>
      </w:r>
      <w:bookmarkStart w:id="813" w:name="_MON_1244538006"/>
      <w:bookmarkStart w:id="814" w:name="_MON_1244612461"/>
      <w:bookmarkStart w:id="815" w:name="_MON_1244612500"/>
      <w:bookmarkStart w:id="816" w:name="_MON_1351691412"/>
      <w:bookmarkStart w:id="817" w:name="_MON_1352009514"/>
      <w:bookmarkStart w:id="818" w:name="_MON_1352009577"/>
      <w:bookmarkStart w:id="819" w:name="_MON_1352009591"/>
      <w:bookmarkStart w:id="820" w:name="_MON_1352009616"/>
      <w:bookmarkStart w:id="821" w:name="_MON_1352009628"/>
      <w:bookmarkStart w:id="822" w:name="_MON_1352009649"/>
      <w:bookmarkStart w:id="823" w:name="_MON_1352009653"/>
      <w:bookmarkStart w:id="824" w:name="_MON_1352009664"/>
      <w:bookmarkStart w:id="825" w:name="_MON_1352009688"/>
      <w:bookmarkStart w:id="826" w:name="_MON_1352009694"/>
      <w:bookmarkStart w:id="827" w:name="_MON_1352009704"/>
      <w:bookmarkStart w:id="828" w:name="_MON_1352009744"/>
      <w:bookmarkStart w:id="829" w:name="_MON_1352009768"/>
      <w:bookmarkStart w:id="830" w:name="_MON_1352009788"/>
      <w:bookmarkStart w:id="831" w:name="_MON_1352009799"/>
      <w:bookmarkStart w:id="832" w:name="_MON_1352009823"/>
      <w:bookmarkStart w:id="833" w:name="_MON_1352009827"/>
      <w:bookmarkStart w:id="834" w:name="_MON_1352009842"/>
      <w:bookmarkStart w:id="835" w:name="_MON_1352009907"/>
      <w:bookmarkStart w:id="836" w:name="_MON_1352009920"/>
      <w:bookmarkStart w:id="837" w:name="_MON_1352009947"/>
      <w:bookmarkStart w:id="838" w:name="_MON_1352009973"/>
      <w:bookmarkStart w:id="839" w:name="_MON_1352010001"/>
      <w:bookmarkStart w:id="840" w:name="_MON_1352010014"/>
      <w:bookmarkStart w:id="841" w:name="_MON_1352010117"/>
      <w:bookmarkStart w:id="842" w:name="_MON_1352010138"/>
      <w:bookmarkStart w:id="843" w:name="_MON_1352010148"/>
      <w:bookmarkStart w:id="844" w:name="_MON_1352010177"/>
      <w:bookmarkStart w:id="845" w:name="_MON_1352010195"/>
      <w:bookmarkStart w:id="846" w:name="_MON_1352010215"/>
      <w:bookmarkStart w:id="847" w:name="_MON_1352010234"/>
      <w:bookmarkStart w:id="848" w:name="_MON_1352010254"/>
      <w:bookmarkStart w:id="849" w:name="_MON_1352010274"/>
      <w:bookmarkStart w:id="850" w:name="_MON_1352010416"/>
      <w:bookmarkStart w:id="851" w:name="_MON_1352010428"/>
      <w:bookmarkStart w:id="852" w:name="_MON_1364285828"/>
      <w:bookmarkStart w:id="853" w:name="_MON_1364294032"/>
      <w:bookmarkStart w:id="854" w:name="_MON_1241949431"/>
      <w:bookmarkStart w:id="855" w:name="_MON_1244534572"/>
      <w:bookmarkStart w:id="856" w:name="_MON_1244536686"/>
      <w:bookmarkStart w:id="857" w:name="_MON_1244536815"/>
      <w:bookmarkStart w:id="858" w:name="_MON_1244536896"/>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Start w:id="859" w:name="_MON_1244537235"/>
      <w:bookmarkEnd w:id="859"/>
      <w:r w:rsidR="00BB1DA8" w:rsidRPr="00B04DC3">
        <w:rPr>
          <w:lang w:val="en-GB"/>
        </w:rPr>
        <w:object w:dxaOrig="8373" w:dyaOrig="12995">
          <v:shape id="_x0000_i1415" type="#_x0000_t75" style="width:382.2pt;height:564pt" o:ole="">
            <v:imagedata r:id="rId621" o:title=""/>
          </v:shape>
          <o:OLEObject Type="Embed" ProgID="Word.Picture.8" ShapeID="_x0000_i1415" DrawAspect="Content" ObjectID="_1498392413" r:id="rId622"/>
        </w:object>
      </w:r>
    </w:p>
    <w:p w:rsidR="00BB1DA8" w:rsidRPr="00B04DC3" w:rsidRDefault="00BB1DA8" w:rsidP="00BB1DA8">
      <w:pPr>
        <w:pStyle w:val="para"/>
        <w:rPr>
          <w:lang w:val="en-GB"/>
        </w:rPr>
      </w:pPr>
      <w:r w:rsidRPr="00B04DC3">
        <w:rPr>
          <w:lang w:val="en-GB"/>
        </w:rPr>
        <w:t>3.1.3.</w:t>
      </w:r>
      <w:r w:rsidRPr="00B04DC3">
        <w:rPr>
          <w:lang w:val="en-GB"/>
        </w:rPr>
        <w:tab/>
        <w:t>The model name(s) of the engines included in the manufacturer's information.</w:t>
      </w:r>
    </w:p>
    <w:p w:rsidR="00BB1DA8" w:rsidRPr="00B04DC3" w:rsidRDefault="00BB1DA8" w:rsidP="00BB1DA8">
      <w:pPr>
        <w:pStyle w:val="para"/>
        <w:rPr>
          <w:lang w:val="en-GB"/>
        </w:rPr>
      </w:pPr>
      <w:r w:rsidRPr="00B04DC3">
        <w:rPr>
          <w:lang w:val="en-GB"/>
        </w:rPr>
        <w:t>3.1.4.</w:t>
      </w:r>
      <w:r w:rsidRPr="00B04DC3">
        <w:rPr>
          <w:lang w:val="en-GB"/>
        </w:rPr>
        <w:tab/>
        <w:t>The list of engine types covered within the manufacturer's information, i.e. the engine-after-treatment system family.</w:t>
      </w:r>
    </w:p>
    <w:p w:rsidR="00BB1DA8" w:rsidRPr="00B04DC3" w:rsidRDefault="00BB1DA8" w:rsidP="00BB1DA8">
      <w:pPr>
        <w:pStyle w:val="para"/>
        <w:rPr>
          <w:lang w:val="en-GB"/>
        </w:rPr>
      </w:pPr>
      <w:r w:rsidRPr="00B04DC3">
        <w:rPr>
          <w:lang w:val="en-GB"/>
        </w:rPr>
        <w:t>3.1.5.</w:t>
      </w:r>
      <w:r w:rsidRPr="00B04DC3">
        <w:rPr>
          <w:lang w:val="en-GB"/>
        </w:rPr>
        <w:tab/>
        <w:t xml:space="preserve">The </w:t>
      </w:r>
      <w:r w:rsidR="00391C5C">
        <w:rPr>
          <w:lang w:val="en-GB"/>
        </w:rPr>
        <w:t>V</w:t>
      </w:r>
      <w:r w:rsidR="00391C5C" w:rsidRPr="00B04DC3">
        <w:rPr>
          <w:lang w:val="en-GB"/>
        </w:rPr>
        <w:t xml:space="preserve">ehicle </w:t>
      </w:r>
      <w:r w:rsidR="00391C5C">
        <w:rPr>
          <w:lang w:val="en-GB"/>
        </w:rPr>
        <w:t>I</w:t>
      </w:r>
      <w:r w:rsidR="00391C5C" w:rsidRPr="00B04DC3">
        <w:rPr>
          <w:lang w:val="en-GB"/>
        </w:rPr>
        <w:t xml:space="preserve">dentification </w:t>
      </w:r>
      <w:r w:rsidR="00391C5C">
        <w:rPr>
          <w:lang w:val="en-GB"/>
        </w:rPr>
        <w:t>N</w:t>
      </w:r>
      <w:r w:rsidR="00391C5C" w:rsidRPr="00B04DC3">
        <w:rPr>
          <w:lang w:val="en-GB"/>
        </w:rPr>
        <w:t xml:space="preserve">umber </w:t>
      </w:r>
      <w:r w:rsidRPr="00B04DC3">
        <w:rPr>
          <w:lang w:val="en-GB"/>
        </w:rPr>
        <w:t>(VIN) codes applicable to the vehicles equipped with an engine that is part of the audit.</w:t>
      </w:r>
    </w:p>
    <w:p w:rsidR="00BB1DA8" w:rsidRPr="00B04DC3" w:rsidRDefault="00BB1DA8" w:rsidP="00BB1DA8">
      <w:pPr>
        <w:pStyle w:val="para"/>
        <w:rPr>
          <w:lang w:val="en-GB"/>
        </w:rPr>
      </w:pPr>
      <w:r w:rsidRPr="00B04DC3">
        <w:rPr>
          <w:lang w:val="en-GB"/>
        </w:rPr>
        <w:t>3.1.6.</w:t>
      </w:r>
      <w:r w:rsidRPr="00B04DC3">
        <w:rPr>
          <w:lang w:val="en-GB"/>
        </w:rPr>
        <w:tab/>
        <w:t>The numbers of the type approvals applicable to the engine types within the in-service family, including, where applicable, the numbers of all extensions and field fixes/recalls (re-works):</w:t>
      </w:r>
    </w:p>
    <w:p w:rsidR="00BB1DA8" w:rsidRPr="00B04DC3" w:rsidRDefault="00BB1DA8" w:rsidP="00BB1DA8">
      <w:pPr>
        <w:pStyle w:val="para"/>
        <w:rPr>
          <w:lang w:val="en-GB"/>
        </w:rPr>
      </w:pPr>
      <w:r w:rsidRPr="00B04DC3">
        <w:rPr>
          <w:lang w:val="en-GB"/>
        </w:rPr>
        <w:t>3.1.7.</w:t>
      </w:r>
      <w:r w:rsidRPr="00B04DC3">
        <w:rPr>
          <w:lang w:val="en-GB"/>
        </w:rPr>
        <w:tab/>
        <w:t xml:space="preserve">Details of extensions, field fixes/recalls to those type approvals for the engines covered within the manufacturer's information (if requested by the </w:t>
      </w:r>
      <w:r w:rsidR="00391C5C">
        <w:rPr>
          <w:lang w:val="en-GB"/>
        </w:rPr>
        <w:t xml:space="preserve">Type </w:t>
      </w:r>
      <w:r w:rsidRPr="00B04DC3">
        <w:rPr>
          <w:lang w:val="en-GB"/>
        </w:rPr>
        <w:t>Approval Authority).</w:t>
      </w:r>
    </w:p>
    <w:p w:rsidR="00BB1DA8" w:rsidRPr="00B04DC3" w:rsidRDefault="00BB1DA8" w:rsidP="00BB1DA8">
      <w:pPr>
        <w:pStyle w:val="para"/>
        <w:rPr>
          <w:lang w:val="en-GB"/>
        </w:rPr>
      </w:pPr>
      <w:r w:rsidRPr="00B04DC3">
        <w:rPr>
          <w:lang w:val="en-GB"/>
        </w:rPr>
        <w:t>3.1.8.</w:t>
      </w:r>
      <w:r w:rsidRPr="00B04DC3">
        <w:rPr>
          <w:lang w:val="en-GB"/>
        </w:rPr>
        <w:tab/>
        <w:t>The period of time over which the manufacturer's information was collected.</w:t>
      </w:r>
    </w:p>
    <w:p w:rsidR="00BB1DA8" w:rsidRPr="00B04DC3" w:rsidRDefault="00BB1DA8" w:rsidP="00BB1DA8">
      <w:pPr>
        <w:pStyle w:val="para"/>
        <w:rPr>
          <w:lang w:val="en-GB"/>
        </w:rPr>
      </w:pPr>
      <w:r w:rsidRPr="00B04DC3">
        <w:rPr>
          <w:lang w:val="en-GB"/>
        </w:rPr>
        <w:t>3.1.9.</w:t>
      </w:r>
      <w:r w:rsidRPr="00B04DC3">
        <w:rPr>
          <w:lang w:val="en-GB"/>
        </w:rPr>
        <w:tab/>
        <w:t>The engine build period covered within the manufacturer's information (e.g. "vehicles or engines manufactured during the 2005 calendar year").</w:t>
      </w:r>
    </w:p>
    <w:p w:rsidR="00BB1DA8" w:rsidRPr="00B04DC3" w:rsidRDefault="00BB1DA8" w:rsidP="00BB1DA8">
      <w:pPr>
        <w:pStyle w:val="para"/>
        <w:rPr>
          <w:lang w:val="en-GB"/>
        </w:rPr>
      </w:pPr>
      <w:r w:rsidRPr="00B04DC3">
        <w:rPr>
          <w:lang w:val="en-GB"/>
        </w:rPr>
        <w:t>3.1.10.</w:t>
      </w:r>
      <w:r w:rsidRPr="00B04DC3">
        <w:rPr>
          <w:lang w:val="en-GB"/>
        </w:rPr>
        <w:tab/>
        <w:t>The manufacturer's in-service conformity checking procedure, including:</w:t>
      </w:r>
    </w:p>
    <w:p w:rsidR="00BB1DA8" w:rsidRPr="00B04DC3" w:rsidRDefault="00BB1DA8" w:rsidP="00BB1DA8">
      <w:pPr>
        <w:pStyle w:val="para"/>
        <w:rPr>
          <w:lang w:val="en-GB"/>
        </w:rPr>
      </w:pPr>
      <w:r w:rsidRPr="00B04DC3">
        <w:rPr>
          <w:lang w:val="en-GB"/>
        </w:rPr>
        <w:t>3.1.10.1.</w:t>
      </w:r>
      <w:r w:rsidRPr="00B04DC3">
        <w:rPr>
          <w:lang w:val="en-GB"/>
        </w:rPr>
        <w:tab/>
        <w:t>Vehicle or engine location method;</w:t>
      </w:r>
    </w:p>
    <w:p w:rsidR="00BB1DA8" w:rsidRPr="00B04DC3" w:rsidRDefault="00BB1DA8" w:rsidP="00BB1DA8">
      <w:pPr>
        <w:pStyle w:val="para"/>
        <w:rPr>
          <w:lang w:val="en-GB"/>
        </w:rPr>
      </w:pPr>
      <w:r w:rsidRPr="00B04DC3">
        <w:rPr>
          <w:lang w:val="en-GB"/>
        </w:rPr>
        <w:t>3.1.10.2.</w:t>
      </w:r>
      <w:r w:rsidRPr="00B04DC3">
        <w:rPr>
          <w:lang w:val="en-GB"/>
        </w:rPr>
        <w:tab/>
        <w:t>Selection and rejection criteria for vehicle or engine;</w:t>
      </w:r>
    </w:p>
    <w:p w:rsidR="00BB1DA8" w:rsidRPr="00B04DC3" w:rsidRDefault="00BB1DA8" w:rsidP="00BB1DA8">
      <w:pPr>
        <w:pStyle w:val="para"/>
        <w:rPr>
          <w:lang w:val="en-GB"/>
        </w:rPr>
      </w:pPr>
      <w:r w:rsidRPr="00B04DC3">
        <w:rPr>
          <w:lang w:val="en-GB"/>
        </w:rPr>
        <w:t>3.1.10.3.</w:t>
      </w:r>
      <w:r w:rsidRPr="00B04DC3">
        <w:rPr>
          <w:lang w:val="en-GB"/>
        </w:rPr>
        <w:tab/>
        <w:t>Test types and procedures used for the programme;</w:t>
      </w:r>
    </w:p>
    <w:p w:rsidR="00BB1DA8" w:rsidRPr="00B04DC3" w:rsidRDefault="00BB1DA8" w:rsidP="00BB1DA8">
      <w:pPr>
        <w:pStyle w:val="para"/>
        <w:rPr>
          <w:lang w:val="en-GB"/>
        </w:rPr>
      </w:pPr>
      <w:r w:rsidRPr="00B04DC3">
        <w:rPr>
          <w:lang w:val="en-GB"/>
        </w:rPr>
        <w:t>3.1.10.4.</w:t>
      </w:r>
      <w:r w:rsidRPr="00B04DC3">
        <w:rPr>
          <w:lang w:val="en-GB"/>
        </w:rPr>
        <w:tab/>
        <w:t>The manufacturer's acceptance/rejection criteria for the in-service family group;</w:t>
      </w:r>
    </w:p>
    <w:p w:rsidR="00BB1DA8" w:rsidRPr="00B04DC3" w:rsidRDefault="00BB1DA8" w:rsidP="00BB1DA8">
      <w:pPr>
        <w:pStyle w:val="para"/>
        <w:rPr>
          <w:lang w:val="en-GB"/>
        </w:rPr>
      </w:pPr>
      <w:r w:rsidRPr="00B04DC3">
        <w:rPr>
          <w:lang w:val="en-GB"/>
        </w:rPr>
        <w:t>3.1.10.5.</w:t>
      </w:r>
      <w:r w:rsidRPr="00B04DC3">
        <w:rPr>
          <w:lang w:val="en-GB"/>
        </w:rPr>
        <w:tab/>
        <w:t>Geographical area(s) within which the manufacturer has collected information;</w:t>
      </w:r>
    </w:p>
    <w:p w:rsidR="00BB1DA8" w:rsidRPr="00B04DC3" w:rsidRDefault="00BB1DA8" w:rsidP="00BB1DA8">
      <w:pPr>
        <w:pStyle w:val="para"/>
        <w:rPr>
          <w:lang w:val="en-GB"/>
        </w:rPr>
      </w:pPr>
      <w:r w:rsidRPr="00B04DC3">
        <w:rPr>
          <w:lang w:val="en-GB"/>
        </w:rPr>
        <w:t>3.1.10.6.</w:t>
      </w:r>
      <w:r w:rsidRPr="00B04DC3">
        <w:rPr>
          <w:lang w:val="en-GB"/>
        </w:rPr>
        <w:tab/>
        <w:t>Sample size and sampling plan used.</w:t>
      </w:r>
    </w:p>
    <w:p w:rsidR="00BB1DA8" w:rsidRPr="00B04DC3" w:rsidRDefault="00BB1DA8" w:rsidP="00BB1DA8">
      <w:pPr>
        <w:pStyle w:val="para"/>
        <w:rPr>
          <w:lang w:val="en-GB"/>
        </w:rPr>
      </w:pPr>
      <w:r w:rsidRPr="00B04DC3">
        <w:rPr>
          <w:lang w:val="en-GB"/>
        </w:rPr>
        <w:t>3.1.11.</w:t>
      </w:r>
      <w:r w:rsidRPr="00B04DC3">
        <w:rPr>
          <w:lang w:val="en-GB"/>
        </w:rPr>
        <w:tab/>
        <w:t>The results from the manufacturer's in-service conformity procedure, including:</w:t>
      </w:r>
    </w:p>
    <w:p w:rsidR="00BB1DA8" w:rsidRPr="00B04DC3" w:rsidRDefault="00BB1DA8" w:rsidP="00BB1DA8">
      <w:pPr>
        <w:pStyle w:val="para"/>
        <w:rPr>
          <w:lang w:val="en-GB"/>
        </w:rPr>
      </w:pPr>
      <w:r w:rsidRPr="00B04DC3">
        <w:rPr>
          <w:lang w:val="en-GB"/>
        </w:rPr>
        <w:t>3.1.11.1.</w:t>
      </w:r>
      <w:r w:rsidRPr="00B04DC3">
        <w:rPr>
          <w:lang w:val="en-GB"/>
        </w:rPr>
        <w:tab/>
        <w:t>Identification of the engines included in the programme (whether tested or not). The identification will include:</w:t>
      </w:r>
    </w:p>
    <w:p w:rsidR="00BB1DA8" w:rsidRPr="00B04DC3" w:rsidRDefault="00BB1DA8" w:rsidP="00BB1DA8">
      <w:pPr>
        <w:pStyle w:val="a"/>
        <w:rPr>
          <w:lang w:val="en-GB"/>
        </w:rPr>
      </w:pPr>
      <w:r w:rsidRPr="00B04DC3">
        <w:rPr>
          <w:lang w:val="en-GB"/>
        </w:rPr>
        <w:t>(a)</w:t>
      </w:r>
      <w:r w:rsidRPr="00B04DC3">
        <w:rPr>
          <w:lang w:val="en-GB"/>
        </w:rPr>
        <w:tab/>
        <w:t>Model name;</w:t>
      </w:r>
    </w:p>
    <w:p w:rsidR="00BB1DA8" w:rsidRPr="00B04DC3" w:rsidRDefault="00BB1DA8" w:rsidP="00BB1DA8">
      <w:pPr>
        <w:pStyle w:val="a"/>
        <w:rPr>
          <w:lang w:val="en-GB"/>
        </w:rPr>
      </w:pPr>
      <w:r w:rsidRPr="00B04DC3">
        <w:rPr>
          <w:lang w:val="en-GB"/>
        </w:rPr>
        <w:t>(b)</w:t>
      </w:r>
      <w:r w:rsidRPr="00B04DC3">
        <w:rPr>
          <w:lang w:val="en-GB"/>
        </w:rPr>
        <w:tab/>
        <w:t xml:space="preserve">Vehicle </w:t>
      </w:r>
      <w:r w:rsidR="00AC1338" w:rsidRPr="00B04DC3">
        <w:rPr>
          <w:lang w:val="en-GB"/>
        </w:rPr>
        <w:t>I</w:t>
      </w:r>
      <w:r w:rsidRPr="00B04DC3">
        <w:rPr>
          <w:lang w:val="en-GB"/>
        </w:rPr>
        <w:t xml:space="preserve">dentification </w:t>
      </w:r>
      <w:r w:rsidR="00AC1338" w:rsidRPr="00B04DC3">
        <w:rPr>
          <w:lang w:val="en-GB"/>
        </w:rPr>
        <w:t>N</w:t>
      </w:r>
      <w:r w:rsidRPr="00B04DC3">
        <w:rPr>
          <w:lang w:val="en-GB"/>
        </w:rPr>
        <w:t>umber (VIN);</w:t>
      </w:r>
    </w:p>
    <w:p w:rsidR="00BB1DA8" w:rsidRPr="00B04DC3" w:rsidRDefault="00BB1DA8" w:rsidP="00BB1DA8">
      <w:pPr>
        <w:pStyle w:val="a"/>
        <w:rPr>
          <w:lang w:val="en-GB"/>
        </w:rPr>
      </w:pPr>
      <w:r w:rsidRPr="00B04DC3">
        <w:rPr>
          <w:lang w:val="en-GB"/>
        </w:rPr>
        <w:t>(c)</w:t>
      </w:r>
      <w:r w:rsidRPr="00B04DC3">
        <w:rPr>
          <w:lang w:val="en-GB"/>
        </w:rPr>
        <w:tab/>
        <w:t>Engine identification number;</w:t>
      </w:r>
    </w:p>
    <w:p w:rsidR="00BB1DA8" w:rsidRPr="00B04DC3" w:rsidRDefault="00BB1DA8" w:rsidP="00BB1DA8">
      <w:pPr>
        <w:pStyle w:val="a"/>
        <w:rPr>
          <w:lang w:val="en-GB"/>
        </w:rPr>
      </w:pPr>
      <w:r w:rsidRPr="00B04DC3">
        <w:rPr>
          <w:lang w:val="en-GB"/>
        </w:rPr>
        <w:t>(d)</w:t>
      </w:r>
      <w:r w:rsidRPr="00B04DC3">
        <w:rPr>
          <w:lang w:val="en-GB"/>
        </w:rPr>
        <w:tab/>
        <w:t>Vehicle registration number equipped with an engine that is part of the audit;</w:t>
      </w:r>
    </w:p>
    <w:p w:rsidR="00BB1DA8" w:rsidRPr="00B04DC3" w:rsidRDefault="00BB1DA8" w:rsidP="00BB1DA8">
      <w:pPr>
        <w:pStyle w:val="a"/>
        <w:rPr>
          <w:lang w:val="en-GB"/>
        </w:rPr>
      </w:pPr>
      <w:r w:rsidRPr="00B04DC3">
        <w:rPr>
          <w:lang w:val="en-GB"/>
        </w:rPr>
        <w:t>(e)</w:t>
      </w:r>
      <w:r w:rsidRPr="00B04DC3">
        <w:rPr>
          <w:lang w:val="en-GB"/>
        </w:rPr>
        <w:tab/>
        <w:t>Date of manufacture;</w:t>
      </w:r>
    </w:p>
    <w:p w:rsidR="00BB1DA8" w:rsidRPr="00B04DC3" w:rsidRDefault="00BB1DA8" w:rsidP="00BB1DA8">
      <w:pPr>
        <w:pStyle w:val="a"/>
        <w:rPr>
          <w:lang w:val="en-GB"/>
        </w:rPr>
      </w:pPr>
      <w:r w:rsidRPr="00B04DC3">
        <w:rPr>
          <w:lang w:val="en-GB"/>
        </w:rPr>
        <w:t>(f)</w:t>
      </w:r>
      <w:r w:rsidRPr="00B04DC3">
        <w:rPr>
          <w:lang w:val="en-GB"/>
        </w:rPr>
        <w:tab/>
        <w:t>Region of use (where known);</w:t>
      </w:r>
    </w:p>
    <w:p w:rsidR="00BB1DA8" w:rsidRPr="00B04DC3" w:rsidRDefault="00BB1DA8" w:rsidP="00BB1DA8">
      <w:pPr>
        <w:pStyle w:val="a"/>
        <w:rPr>
          <w:lang w:val="en-GB"/>
        </w:rPr>
      </w:pPr>
      <w:r w:rsidRPr="00B04DC3">
        <w:rPr>
          <w:lang w:val="en-GB"/>
        </w:rPr>
        <w:t>(g)</w:t>
      </w:r>
      <w:r w:rsidRPr="00B04DC3">
        <w:rPr>
          <w:lang w:val="en-GB"/>
        </w:rPr>
        <w:tab/>
        <w:t>Type of use of the vehicle (where known), i.e. urban delivery, long haul etc.</w:t>
      </w:r>
    </w:p>
    <w:p w:rsidR="00BB1DA8" w:rsidRPr="00B04DC3" w:rsidRDefault="00BB1DA8" w:rsidP="00AE1A72">
      <w:pPr>
        <w:pStyle w:val="para"/>
        <w:keepNext/>
        <w:keepLines/>
        <w:rPr>
          <w:lang w:val="en-GB"/>
        </w:rPr>
      </w:pPr>
      <w:r w:rsidRPr="00B04DC3">
        <w:rPr>
          <w:lang w:val="en-GB"/>
        </w:rPr>
        <w:t>3.1.11.2.</w:t>
      </w:r>
      <w:r w:rsidRPr="00B04DC3">
        <w:rPr>
          <w:lang w:val="en-GB"/>
        </w:rPr>
        <w:tab/>
        <w:t>The reason(s) for rejecting a vehicle or engine from a sample (e.g., vehicle being in-use for less than one year, improper emission-related maintenance, evidence of using a fuel having a higher sulphur content than required for normal vehicle use, emission control equipment not in conformity with approval). The reason for rejection shall be substantiated (e.g., the nature of non-fulfilment of maintenance instructions, etc.). A vehicle should not be excluded solely on the ground that the ACS may have been excessively in operation.</w:t>
      </w:r>
    </w:p>
    <w:p w:rsidR="00BB1DA8" w:rsidRPr="00B04DC3" w:rsidRDefault="00BB1DA8" w:rsidP="00BB1DA8">
      <w:pPr>
        <w:pStyle w:val="para"/>
        <w:rPr>
          <w:lang w:val="en-GB"/>
        </w:rPr>
      </w:pPr>
      <w:r w:rsidRPr="00B04DC3">
        <w:rPr>
          <w:lang w:val="en-GB"/>
        </w:rPr>
        <w:t>3.1.11.3.</w:t>
      </w:r>
      <w:r w:rsidRPr="00B04DC3">
        <w:rPr>
          <w:lang w:val="en-GB"/>
        </w:rPr>
        <w:tab/>
        <w:t>Emission-related servicing and maintenance history for each engine in the sample (including any re-works).</w:t>
      </w:r>
    </w:p>
    <w:p w:rsidR="00BB1DA8" w:rsidRPr="00B04DC3" w:rsidRDefault="00BB1DA8" w:rsidP="00BB1DA8">
      <w:pPr>
        <w:pStyle w:val="para"/>
        <w:rPr>
          <w:lang w:val="en-GB"/>
        </w:rPr>
      </w:pPr>
      <w:r w:rsidRPr="00B04DC3">
        <w:rPr>
          <w:lang w:val="en-GB"/>
        </w:rPr>
        <w:t>3.1.11.4.</w:t>
      </w:r>
      <w:r w:rsidRPr="00B04DC3">
        <w:rPr>
          <w:lang w:val="en-GB"/>
        </w:rPr>
        <w:tab/>
        <w:t>Repair history for each engine in the sample (where known).</w:t>
      </w:r>
    </w:p>
    <w:p w:rsidR="00BB1DA8" w:rsidRPr="00B04DC3" w:rsidRDefault="00BB1DA8" w:rsidP="00BB1DA8">
      <w:pPr>
        <w:pStyle w:val="para"/>
        <w:rPr>
          <w:lang w:val="en-GB"/>
        </w:rPr>
      </w:pPr>
      <w:r w:rsidRPr="00B04DC3">
        <w:rPr>
          <w:lang w:val="en-GB"/>
        </w:rPr>
        <w:t>3.1.11.5.</w:t>
      </w:r>
      <w:r w:rsidRPr="00B04DC3">
        <w:rPr>
          <w:lang w:val="en-GB"/>
        </w:rPr>
        <w:tab/>
        <w:t>Test data, including:</w:t>
      </w:r>
    </w:p>
    <w:p w:rsidR="00BB1DA8" w:rsidRPr="00B04DC3" w:rsidRDefault="00BB1DA8" w:rsidP="00BB1DA8">
      <w:pPr>
        <w:pStyle w:val="a"/>
        <w:rPr>
          <w:lang w:val="en-GB"/>
        </w:rPr>
      </w:pPr>
      <w:r w:rsidRPr="00B04DC3">
        <w:rPr>
          <w:lang w:val="en-GB"/>
        </w:rPr>
        <w:t>(a)</w:t>
      </w:r>
      <w:r w:rsidRPr="00B04DC3">
        <w:rPr>
          <w:lang w:val="en-GB"/>
        </w:rPr>
        <w:tab/>
        <w:t>Date of test;</w:t>
      </w:r>
    </w:p>
    <w:p w:rsidR="00BB1DA8" w:rsidRPr="00B04DC3" w:rsidRDefault="00BB1DA8" w:rsidP="00BB1DA8">
      <w:pPr>
        <w:pStyle w:val="a"/>
        <w:rPr>
          <w:lang w:val="en-GB"/>
        </w:rPr>
      </w:pPr>
      <w:r w:rsidRPr="00B04DC3">
        <w:rPr>
          <w:lang w:val="en-GB"/>
        </w:rPr>
        <w:t>(b)</w:t>
      </w:r>
      <w:r w:rsidRPr="00B04DC3">
        <w:rPr>
          <w:lang w:val="en-GB"/>
        </w:rPr>
        <w:tab/>
        <w:t>Location of test;</w:t>
      </w:r>
    </w:p>
    <w:p w:rsidR="00BB1DA8" w:rsidRPr="00B04DC3" w:rsidRDefault="00BB1DA8" w:rsidP="00BB1DA8">
      <w:pPr>
        <w:pStyle w:val="a"/>
        <w:rPr>
          <w:lang w:val="en-GB"/>
        </w:rPr>
      </w:pPr>
      <w:r w:rsidRPr="00B04DC3">
        <w:rPr>
          <w:lang w:val="en-GB"/>
        </w:rPr>
        <w:t>(c)</w:t>
      </w:r>
      <w:r w:rsidRPr="00B04DC3">
        <w:rPr>
          <w:lang w:val="en-GB"/>
        </w:rPr>
        <w:tab/>
        <w:t>Distance indicated odometer of vehicle equipped with an engine that is covered by the audit;</w:t>
      </w:r>
    </w:p>
    <w:p w:rsidR="00BB1DA8" w:rsidRPr="00B04DC3" w:rsidRDefault="00BB1DA8" w:rsidP="00BB1DA8">
      <w:pPr>
        <w:pStyle w:val="a"/>
        <w:rPr>
          <w:lang w:val="en-GB"/>
        </w:rPr>
      </w:pPr>
      <w:r w:rsidRPr="00B04DC3">
        <w:rPr>
          <w:lang w:val="en-GB"/>
        </w:rPr>
        <w:t>(d)</w:t>
      </w:r>
      <w:r w:rsidRPr="00B04DC3">
        <w:rPr>
          <w:lang w:val="en-GB"/>
        </w:rPr>
        <w:tab/>
        <w:t>Test fuel specifications (e.g. test reference fuel or market fuel);</w:t>
      </w:r>
    </w:p>
    <w:p w:rsidR="00BB1DA8" w:rsidRPr="00B04DC3" w:rsidRDefault="00BB1DA8" w:rsidP="00BB1DA8">
      <w:pPr>
        <w:pStyle w:val="a"/>
        <w:rPr>
          <w:lang w:val="en-GB"/>
        </w:rPr>
      </w:pPr>
      <w:r w:rsidRPr="00B04DC3">
        <w:rPr>
          <w:lang w:val="en-GB"/>
        </w:rPr>
        <w:t>(e)</w:t>
      </w:r>
      <w:r w:rsidRPr="00B04DC3">
        <w:rPr>
          <w:lang w:val="en-GB"/>
        </w:rPr>
        <w:tab/>
        <w:t>Test conditions (temperature, humidity, dynamometer inertia weight);</w:t>
      </w:r>
    </w:p>
    <w:p w:rsidR="00BB1DA8" w:rsidRPr="00B04DC3" w:rsidRDefault="00BB1DA8" w:rsidP="00BB1DA8">
      <w:pPr>
        <w:pStyle w:val="a"/>
        <w:rPr>
          <w:lang w:val="en-GB"/>
        </w:rPr>
      </w:pPr>
      <w:r w:rsidRPr="00B04DC3">
        <w:rPr>
          <w:lang w:val="en-GB"/>
        </w:rPr>
        <w:t>(f)</w:t>
      </w:r>
      <w:r w:rsidRPr="00B04DC3">
        <w:rPr>
          <w:lang w:val="en-GB"/>
        </w:rPr>
        <w:tab/>
        <w:t>Dynamometer settings (e.g. power setting);</w:t>
      </w:r>
    </w:p>
    <w:p w:rsidR="00BB1DA8" w:rsidRPr="00B04DC3" w:rsidRDefault="00BB1DA8" w:rsidP="00BB1DA8">
      <w:pPr>
        <w:pStyle w:val="a"/>
        <w:rPr>
          <w:lang w:val="en-GB"/>
        </w:rPr>
      </w:pPr>
      <w:r w:rsidRPr="00B04DC3">
        <w:rPr>
          <w:lang w:val="en-GB"/>
        </w:rPr>
        <w:t>(g)</w:t>
      </w:r>
      <w:r w:rsidRPr="00B04DC3">
        <w:rPr>
          <w:lang w:val="en-GB"/>
        </w:rPr>
        <w:tab/>
        <w:t>Emission test results conducted on the ESC, ETC and ELR tests according to paragraph 4. of this annex. A minimum of five engines shall be tested;</w:t>
      </w:r>
    </w:p>
    <w:p w:rsidR="00BB1DA8" w:rsidRPr="00B04DC3" w:rsidRDefault="00BB1DA8" w:rsidP="00BB1DA8">
      <w:pPr>
        <w:pStyle w:val="a"/>
        <w:rPr>
          <w:lang w:val="en-GB"/>
        </w:rPr>
      </w:pPr>
      <w:r w:rsidRPr="00B04DC3">
        <w:rPr>
          <w:lang w:val="en-GB"/>
        </w:rPr>
        <w:t>(h)</w:t>
      </w:r>
      <w:r w:rsidRPr="00B04DC3">
        <w:rPr>
          <w:lang w:val="en-GB"/>
        </w:rPr>
        <w:tab/>
        <w:t xml:space="preserve">Alternative to </w:t>
      </w:r>
      <w:r w:rsidR="00E2696A">
        <w:rPr>
          <w:lang w:val="en-GB"/>
        </w:rPr>
        <w:t>subparagraph</w:t>
      </w:r>
      <w:r w:rsidR="00E2696A" w:rsidRPr="00B04DC3">
        <w:rPr>
          <w:lang w:val="en-GB"/>
        </w:rPr>
        <w:t xml:space="preserve"> </w:t>
      </w:r>
      <w:r w:rsidRPr="00B04DC3">
        <w:rPr>
          <w:lang w:val="en-GB"/>
        </w:rPr>
        <w:t>(g) above, tests may be conducted using another protocol. The relevance for monitoring in-service functionality with such a test shall be stated and substantiated by manufacturer in conjunction with the approval process (paragraphs 3. and 4. of this Regulation).</w:t>
      </w:r>
    </w:p>
    <w:p w:rsidR="00BB1DA8" w:rsidRPr="00B04DC3" w:rsidRDefault="00BB1DA8" w:rsidP="00BB1DA8">
      <w:pPr>
        <w:pStyle w:val="para"/>
        <w:rPr>
          <w:lang w:val="en-GB"/>
        </w:rPr>
      </w:pPr>
      <w:r w:rsidRPr="00B04DC3">
        <w:rPr>
          <w:lang w:val="en-GB"/>
        </w:rPr>
        <w:t>3.1.12.</w:t>
      </w:r>
      <w:r w:rsidRPr="00B04DC3">
        <w:rPr>
          <w:lang w:val="en-GB"/>
        </w:rPr>
        <w:tab/>
        <w:t>Records of indication from the OBD system.</w:t>
      </w:r>
    </w:p>
    <w:p w:rsidR="00BB1DA8" w:rsidRPr="00B04DC3" w:rsidRDefault="00BB1DA8" w:rsidP="00BB1DA8">
      <w:pPr>
        <w:pStyle w:val="para"/>
        <w:rPr>
          <w:lang w:val="en-GB"/>
        </w:rPr>
      </w:pPr>
      <w:r w:rsidRPr="00B04DC3">
        <w:rPr>
          <w:lang w:val="en-GB"/>
        </w:rPr>
        <w:t>3.1.13.</w:t>
      </w:r>
      <w:r w:rsidRPr="00B04DC3">
        <w:rPr>
          <w:lang w:val="en-GB"/>
        </w:rPr>
        <w:tab/>
        <w:t>Record of experiences of the use of consumable reagent. Reports should detail, but not be limited to, operator experiences with the handling of filling, refilling and consumption of the reagent, and the conduct of the filling installations, and, specifically, the frequency of activation in-use of the temporary performance limiter and events of other defect instances, activation of the MI and the registering of a fault code relating to a lack of the consumable reagent.</w:t>
      </w:r>
    </w:p>
    <w:p w:rsidR="00BB1DA8" w:rsidRPr="00B04DC3" w:rsidRDefault="00BB1DA8" w:rsidP="00BB1DA8">
      <w:pPr>
        <w:pStyle w:val="para"/>
        <w:rPr>
          <w:lang w:val="en-GB"/>
        </w:rPr>
      </w:pPr>
      <w:r w:rsidRPr="00B04DC3">
        <w:rPr>
          <w:lang w:val="en-GB"/>
        </w:rPr>
        <w:t>3.1.13.1.</w:t>
      </w:r>
      <w:r w:rsidRPr="00B04DC3">
        <w:rPr>
          <w:lang w:val="en-GB"/>
        </w:rPr>
        <w:tab/>
        <w:t>The manufacturer shall supply in-use and defect reports. The manufacturer shall report on warranty claims and their nature, and in-field indications of activation/ deactivation of the MI and the registering of a fault code relating to a lack of the consumable reagent and the activation/deactivation of the engine performance limiter (see paragraph 5.5.5. of this Regulation).</w:t>
      </w:r>
    </w:p>
    <w:p w:rsidR="00BB1DA8" w:rsidRPr="00B04DC3" w:rsidRDefault="00BB1DA8" w:rsidP="00BB1DA8">
      <w:pPr>
        <w:pStyle w:val="para"/>
        <w:rPr>
          <w:lang w:val="en-GB"/>
        </w:rPr>
      </w:pPr>
      <w:r w:rsidRPr="00B04DC3">
        <w:rPr>
          <w:lang w:val="en-GB"/>
        </w:rPr>
        <w:t>3.2.</w:t>
      </w:r>
      <w:r w:rsidRPr="00B04DC3">
        <w:rPr>
          <w:lang w:val="en-GB"/>
        </w:rPr>
        <w:tab/>
        <w:t>The information gathered by the manufacturer shall be sufficiently comprehensive to ensure that in-service performance can be assessed for normal conditions over the appropriate durability/useful life period defined in paragraph 5.3. of this Regulation and in a way representative of the manufacturer's geographic penetration.</w:t>
      </w:r>
    </w:p>
    <w:p w:rsidR="00BB1DA8" w:rsidRPr="00B04DC3" w:rsidRDefault="00BB1DA8" w:rsidP="00BB1DA8">
      <w:pPr>
        <w:pStyle w:val="para"/>
        <w:rPr>
          <w:lang w:val="en-GB"/>
        </w:rPr>
      </w:pPr>
      <w:r w:rsidRPr="00B04DC3">
        <w:rPr>
          <w:lang w:val="en-GB"/>
        </w:rPr>
        <w:t>3.3.</w:t>
      </w:r>
      <w:r w:rsidRPr="00B04DC3">
        <w:rPr>
          <w:lang w:val="en-GB"/>
        </w:rPr>
        <w:tab/>
        <w:t xml:space="preserve">The manufacturer may whish to run in-service monitoring comprising fewer engines/vehicles than the number given in paragraph 3.1.11.5., </w:t>
      </w:r>
      <w:r w:rsidR="00E2696A">
        <w:rPr>
          <w:lang w:val="en-GB"/>
        </w:rPr>
        <w:t>subparagraph</w:t>
      </w:r>
      <w:r w:rsidRPr="00B04DC3">
        <w:rPr>
          <w:lang w:val="en-GB"/>
        </w:rPr>
        <w:t xml:space="preserve"> (g), and using a procedure defined under paragraph 3.1.11.5., </w:t>
      </w:r>
      <w:r w:rsidR="00E2696A">
        <w:rPr>
          <w:lang w:val="en-GB"/>
        </w:rPr>
        <w:t>subparagraph</w:t>
      </w:r>
      <w:r w:rsidRPr="00B04DC3">
        <w:rPr>
          <w:lang w:val="en-GB"/>
        </w:rPr>
        <w:t xml:space="preserve"> (h). The reason could be that the engines in the engine family</w:t>
      </w:r>
      <w:r w:rsidR="00AC1338">
        <w:rPr>
          <w:lang w:val="en-GB"/>
        </w:rPr>
        <w:t xml:space="preserve"> </w:t>
      </w:r>
      <w:r w:rsidRPr="00B04DC3">
        <w:rPr>
          <w:lang w:val="en-GB"/>
        </w:rPr>
        <w:t xml:space="preserve">(-ies) covered by the report are in a small number. The conditions should have been agreed on beforehand by the </w:t>
      </w:r>
      <w:r w:rsidR="00E2696A">
        <w:rPr>
          <w:lang w:val="en-GB"/>
        </w:rPr>
        <w:t xml:space="preserve">Type </w:t>
      </w:r>
      <w:r w:rsidRPr="00B04DC3">
        <w:rPr>
          <w:lang w:val="en-GB"/>
        </w:rPr>
        <w:t xml:space="preserve">Approval Authority. </w:t>
      </w:r>
    </w:p>
    <w:p w:rsidR="00BB1DA8" w:rsidRPr="00B04DC3" w:rsidRDefault="00BB1DA8" w:rsidP="00BB1DA8">
      <w:pPr>
        <w:pStyle w:val="para"/>
        <w:rPr>
          <w:lang w:val="en-GB"/>
        </w:rPr>
      </w:pPr>
      <w:r w:rsidRPr="00B04DC3">
        <w:rPr>
          <w:lang w:val="en-GB"/>
        </w:rPr>
        <w:t>3.4.</w:t>
      </w:r>
      <w:r w:rsidRPr="00B04DC3">
        <w:rPr>
          <w:lang w:val="en-GB"/>
        </w:rPr>
        <w:tab/>
        <w:t xml:space="preserve">On the basis of the monitoring report referred to in this paragraph, the </w:t>
      </w:r>
      <w:r w:rsidR="0055021A">
        <w:rPr>
          <w:lang w:val="en-GB"/>
        </w:rPr>
        <w:t xml:space="preserve">Type </w:t>
      </w:r>
      <w:r w:rsidRPr="00B04DC3">
        <w:rPr>
          <w:lang w:val="en-GB"/>
        </w:rPr>
        <w:t>Approval Authority shall either:</w:t>
      </w:r>
    </w:p>
    <w:p w:rsidR="00BB1DA8" w:rsidRPr="00B04DC3" w:rsidRDefault="00BB1DA8" w:rsidP="00BB1DA8">
      <w:pPr>
        <w:pStyle w:val="a"/>
        <w:rPr>
          <w:lang w:val="en-GB"/>
        </w:rPr>
      </w:pPr>
      <w:r w:rsidRPr="00B04DC3">
        <w:rPr>
          <w:lang w:val="en-GB"/>
        </w:rPr>
        <w:t>(a)</w:t>
      </w:r>
      <w:r w:rsidRPr="00B04DC3">
        <w:rPr>
          <w:lang w:val="en-GB"/>
        </w:rPr>
        <w:tab/>
        <w:t>Decide that the in-service conformity of an engine type or an engine family is satisfactory and not to take any further action;</w:t>
      </w:r>
    </w:p>
    <w:p w:rsidR="00BB1DA8" w:rsidRPr="00B04DC3" w:rsidRDefault="00BB1DA8" w:rsidP="00BB1DA8">
      <w:pPr>
        <w:pStyle w:val="a"/>
        <w:rPr>
          <w:lang w:val="en-GB"/>
        </w:rPr>
      </w:pPr>
      <w:r w:rsidRPr="00B04DC3">
        <w:rPr>
          <w:lang w:val="en-GB"/>
        </w:rPr>
        <w:t>(b)</w:t>
      </w:r>
      <w:r w:rsidRPr="00B04DC3">
        <w:rPr>
          <w:lang w:val="en-GB"/>
        </w:rPr>
        <w:tab/>
        <w:t xml:space="preserve">Decide that the data provided by the manufacturer is insufficient to reach a decision and request additional information and/or test data from the manufacturer. Where requested, and depending on the approval of the engine, such additional test data shall include ESC, ELR, and ETC test results, or from other proven procedures according to paragraph 3.1.11.5., </w:t>
      </w:r>
      <w:r w:rsidR="00E2696A">
        <w:rPr>
          <w:lang w:val="en-GB"/>
        </w:rPr>
        <w:t>subparagraph</w:t>
      </w:r>
      <w:r w:rsidR="00E2696A" w:rsidRPr="00B04DC3">
        <w:rPr>
          <w:lang w:val="en-GB"/>
        </w:rPr>
        <w:t xml:space="preserve"> </w:t>
      </w:r>
      <w:r w:rsidRPr="00B04DC3">
        <w:rPr>
          <w:lang w:val="en-GB"/>
        </w:rPr>
        <w:t>(h);</w:t>
      </w:r>
    </w:p>
    <w:p w:rsidR="00BB1DA8" w:rsidRPr="00B04DC3" w:rsidRDefault="00BB1DA8" w:rsidP="00BB1DA8">
      <w:pPr>
        <w:pStyle w:val="a"/>
        <w:rPr>
          <w:lang w:val="en-GB"/>
        </w:rPr>
      </w:pPr>
      <w:r w:rsidRPr="00B04DC3">
        <w:rPr>
          <w:lang w:val="en-GB"/>
        </w:rPr>
        <w:t>(c)</w:t>
      </w:r>
      <w:r w:rsidRPr="00B04DC3">
        <w:rPr>
          <w:lang w:val="en-GB"/>
        </w:rPr>
        <w:tab/>
        <w:t>Decide that the in-service conformity of an engine family is unsatisfactory and proceed to have confirmatory testing carried out on a sample of engines from the engine family, according to paragraph 5. of this annex.</w:t>
      </w:r>
    </w:p>
    <w:p w:rsidR="00BB1DA8" w:rsidRPr="00B04DC3" w:rsidRDefault="00BB1DA8" w:rsidP="00BB1DA8">
      <w:pPr>
        <w:pStyle w:val="para"/>
        <w:rPr>
          <w:lang w:val="en-GB"/>
        </w:rPr>
      </w:pPr>
      <w:r w:rsidRPr="00B04DC3">
        <w:rPr>
          <w:lang w:val="en-GB"/>
        </w:rPr>
        <w:t>3.5.</w:t>
      </w:r>
      <w:r w:rsidRPr="00B04DC3">
        <w:rPr>
          <w:lang w:val="en-GB"/>
        </w:rPr>
        <w:tab/>
        <w:t xml:space="preserve">A Contracting Party may conduct and report its surveillance testing, based on the audit procedure spelled out in this paragraph. Information on the procurement, maintenance, and manufacturer's participation in the activities may be recorded. Likewise, the Contracting Party may use alternative emission test protocols, according to paragraph 3.1.11.5., </w:t>
      </w:r>
      <w:r w:rsidR="00E2696A">
        <w:rPr>
          <w:lang w:val="en-GB"/>
        </w:rPr>
        <w:t>subparagraph</w:t>
      </w:r>
      <w:r w:rsidR="00E2696A" w:rsidRPr="00B04DC3">
        <w:rPr>
          <w:lang w:val="en-GB"/>
        </w:rPr>
        <w:t xml:space="preserve"> </w:t>
      </w:r>
      <w:r w:rsidRPr="00B04DC3">
        <w:rPr>
          <w:lang w:val="en-GB"/>
        </w:rPr>
        <w:t>(h).</w:t>
      </w:r>
    </w:p>
    <w:p w:rsidR="00BB1DA8" w:rsidRPr="00B04DC3" w:rsidRDefault="00BB1DA8" w:rsidP="00BB1DA8">
      <w:pPr>
        <w:pStyle w:val="para"/>
        <w:rPr>
          <w:lang w:val="en-GB"/>
        </w:rPr>
      </w:pPr>
      <w:r w:rsidRPr="00B04DC3">
        <w:rPr>
          <w:lang w:val="en-GB"/>
        </w:rPr>
        <w:t>3.6.</w:t>
      </w:r>
      <w:r w:rsidRPr="00B04DC3">
        <w:rPr>
          <w:lang w:val="en-GB"/>
        </w:rPr>
        <w:tab/>
        <w:t xml:space="preserve">The </w:t>
      </w:r>
      <w:r w:rsidR="00AC1338">
        <w:rPr>
          <w:lang w:val="en-GB"/>
        </w:rPr>
        <w:t xml:space="preserve">Type </w:t>
      </w:r>
      <w:r w:rsidRPr="00B04DC3">
        <w:rPr>
          <w:lang w:val="en-GB"/>
        </w:rPr>
        <w:t>Approval Authority may take up surveillance testing conducted and reported by a Contracting Party as a basis for the decisions according to paragraph 3.4.</w:t>
      </w:r>
      <w:r w:rsidR="00E2696A">
        <w:rPr>
          <w:lang w:val="en-GB"/>
        </w:rPr>
        <w:t xml:space="preserve"> of this annex.</w:t>
      </w:r>
    </w:p>
    <w:p w:rsidR="00BB1DA8" w:rsidRPr="00B04DC3" w:rsidRDefault="00BB1DA8" w:rsidP="00BB1DA8">
      <w:pPr>
        <w:pStyle w:val="para"/>
        <w:rPr>
          <w:lang w:val="en-GB"/>
        </w:rPr>
      </w:pPr>
      <w:r w:rsidRPr="00B04DC3">
        <w:rPr>
          <w:lang w:val="en-GB"/>
        </w:rPr>
        <w:t>3.7.</w:t>
      </w:r>
      <w:r w:rsidRPr="00B04DC3">
        <w:rPr>
          <w:lang w:val="en-GB"/>
        </w:rPr>
        <w:tab/>
        <w:t xml:space="preserve">The manufacturer should report to the </w:t>
      </w:r>
      <w:r w:rsidR="00AC1338">
        <w:rPr>
          <w:lang w:val="en-GB"/>
        </w:rPr>
        <w:t xml:space="preserve">Type </w:t>
      </w:r>
      <w:r w:rsidRPr="00B04DC3">
        <w:rPr>
          <w:lang w:val="en-GB"/>
        </w:rPr>
        <w:t>Approval Authority and the Contracting Party(s) where the subject engines/vehicles are kept in service when planning to conduct a voluntary remedial action. The reporting shall be supplied by the manufacturer in conjunction with taking the decision to take action, specifying the particulars of the action, describe the groups of engines/vehicles to be included in the action, and regularly thereafter on the commencement of the campaign. The applicable particulars of paragraph 7. of this annex may be used.</w:t>
      </w:r>
    </w:p>
    <w:p w:rsidR="00BB1DA8" w:rsidRPr="00B04DC3" w:rsidRDefault="00BB1DA8" w:rsidP="00BB1DA8">
      <w:pPr>
        <w:pStyle w:val="para"/>
        <w:rPr>
          <w:lang w:val="en-GB"/>
        </w:rPr>
      </w:pPr>
      <w:r w:rsidRPr="00B04DC3">
        <w:rPr>
          <w:lang w:val="en-GB"/>
        </w:rPr>
        <w:t>4.</w:t>
      </w:r>
      <w:r w:rsidRPr="00B04DC3">
        <w:rPr>
          <w:lang w:val="en-GB"/>
        </w:rPr>
        <w:tab/>
        <w:t>Emission tests</w:t>
      </w:r>
    </w:p>
    <w:p w:rsidR="00BB1DA8" w:rsidRPr="00B04DC3" w:rsidRDefault="00BB1DA8" w:rsidP="00BB1DA8">
      <w:pPr>
        <w:pStyle w:val="para"/>
        <w:rPr>
          <w:lang w:val="en-GB"/>
        </w:rPr>
      </w:pPr>
      <w:r w:rsidRPr="00B04DC3">
        <w:rPr>
          <w:lang w:val="en-GB"/>
        </w:rPr>
        <w:t>4.1.</w:t>
      </w:r>
      <w:r w:rsidRPr="00B04DC3">
        <w:rPr>
          <w:lang w:val="en-GB"/>
        </w:rPr>
        <w:tab/>
        <w:t>An engine selected from the engine family shall be tested over the ESC and ETC test cycles for gaseous and particulate emissions and over the ELR test cycle for smoke emission. The engine shall be representative of the type of use expected for this type of engine, and come from a vehicle in normal use. The procurement, inspection, and restorative maintenance of the engine/vehicle shall be conducted using a protocol such as is specified in paragraph 3.</w:t>
      </w:r>
      <w:r w:rsidR="00E2696A">
        <w:rPr>
          <w:lang w:val="en-GB"/>
        </w:rPr>
        <w:t xml:space="preserve"> of this annex</w:t>
      </w:r>
      <w:r w:rsidRPr="00B04DC3">
        <w:rPr>
          <w:lang w:val="en-GB"/>
        </w:rPr>
        <w:t>, and shall be documented.</w:t>
      </w:r>
    </w:p>
    <w:p w:rsidR="00BB1DA8" w:rsidRPr="00B04DC3" w:rsidRDefault="00BB1DA8" w:rsidP="00BB1DA8">
      <w:pPr>
        <w:pStyle w:val="para"/>
        <w:rPr>
          <w:lang w:val="en-GB"/>
        </w:rPr>
      </w:pPr>
      <w:r w:rsidRPr="00B04DC3">
        <w:rPr>
          <w:lang w:val="en-GB"/>
        </w:rPr>
        <w:tab/>
        <w:t>The appropriate maintenance schedule, referred to in paragraph 4. of Annex 7, shall have been carried out on the engine.</w:t>
      </w:r>
    </w:p>
    <w:p w:rsidR="00BB1DA8" w:rsidRPr="00B04DC3" w:rsidRDefault="00BB1DA8" w:rsidP="00AE1A72">
      <w:pPr>
        <w:pStyle w:val="para"/>
        <w:keepNext/>
        <w:keepLines/>
        <w:rPr>
          <w:lang w:val="en-GB"/>
        </w:rPr>
      </w:pPr>
      <w:r w:rsidRPr="00B04DC3">
        <w:rPr>
          <w:lang w:val="en-GB"/>
        </w:rPr>
        <w:t>4.2.</w:t>
      </w:r>
      <w:r w:rsidRPr="00B04DC3">
        <w:rPr>
          <w:lang w:val="en-GB"/>
        </w:rPr>
        <w:tab/>
        <w:t>The emission values determined from the ESC, ETC and ELR tests shall be expressed to the same number of decimal places as the limit value for that pollutant, as shown in the tables in paragraph 5.2.1. of this Regulation, plus one additional decimal place.</w:t>
      </w:r>
    </w:p>
    <w:p w:rsidR="00BB1DA8" w:rsidRPr="00B04DC3" w:rsidRDefault="00BB1DA8" w:rsidP="00BB1DA8">
      <w:pPr>
        <w:pStyle w:val="para"/>
        <w:rPr>
          <w:lang w:val="en-GB"/>
        </w:rPr>
      </w:pPr>
      <w:r w:rsidRPr="00B04DC3">
        <w:rPr>
          <w:lang w:val="en-GB"/>
        </w:rPr>
        <w:t>5.</w:t>
      </w:r>
      <w:r w:rsidRPr="00B04DC3">
        <w:rPr>
          <w:lang w:val="en-GB"/>
        </w:rPr>
        <w:tab/>
        <w:t>Confirmatory testing</w:t>
      </w:r>
    </w:p>
    <w:p w:rsidR="00BB1DA8" w:rsidRPr="00B04DC3" w:rsidRDefault="00BB1DA8" w:rsidP="00BB1DA8">
      <w:pPr>
        <w:pStyle w:val="para"/>
        <w:rPr>
          <w:lang w:val="en-GB"/>
        </w:rPr>
      </w:pPr>
      <w:r w:rsidRPr="00B04DC3">
        <w:rPr>
          <w:lang w:val="en-GB"/>
        </w:rPr>
        <w:t>5.1.</w:t>
      </w:r>
      <w:r w:rsidRPr="00B04DC3">
        <w:rPr>
          <w:lang w:val="en-GB"/>
        </w:rPr>
        <w:tab/>
        <w:t>Confirmatory testing is done for the purpose of confirmation of the in-service emission functionality of an engine family.</w:t>
      </w:r>
    </w:p>
    <w:p w:rsidR="00BB1DA8" w:rsidRPr="00B04DC3" w:rsidRDefault="00BB1DA8" w:rsidP="00BB1DA8">
      <w:pPr>
        <w:pStyle w:val="para"/>
        <w:rPr>
          <w:lang w:val="en-GB"/>
        </w:rPr>
      </w:pPr>
      <w:r w:rsidRPr="00B04DC3">
        <w:rPr>
          <w:lang w:val="en-GB"/>
        </w:rPr>
        <w:t>5.1.1.</w:t>
      </w:r>
      <w:r w:rsidRPr="00B04DC3">
        <w:rPr>
          <w:lang w:val="en-GB"/>
        </w:rPr>
        <w:tab/>
        <w:t xml:space="preserve">If the </w:t>
      </w:r>
      <w:r w:rsidR="00AC1338">
        <w:rPr>
          <w:lang w:val="en-GB"/>
        </w:rPr>
        <w:t xml:space="preserve">Type </w:t>
      </w:r>
      <w:r w:rsidRPr="00B04DC3">
        <w:rPr>
          <w:lang w:val="en-GB"/>
        </w:rPr>
        <w:t>Approval Authority is not satisfied with the manufacturer's ISM report according to paragraph 3.4.</w:t>
      </w:r>
      <w:r w:rsidR="00E2696A">
        <w:rPr>
          <w:lang w:val="en-GB"/>
        </w:rPr>
        <w:t>of this annex</w:t>
      </w:r>
      <w:r w:rsidRPr="00B04DC3">
        <w:rPr>
          <w:lang w:val="en-GB"/>
        </w:rPr>
        <w:t xml:space="preserve"> or on a reported evidence of unsatisfactory in-service conformity, e.g., according to paragraph 3.5.</w:t>
      </w:r>
      <w:r w:rsidR="00E2696A">
        <w:rPr>
          <w:lang w:val="en-GB"/>
        </w:rPr>
        <w:t>of this annex</w:t>
      </w:r>
      <w:r w:rsidRPr="00B04DC3">
        <w:rPr>
          <w:lang w:val="en-GB"/>
        </w:rPr>
        <w:t xml:space="preserve">, may order the manufacturer to run test for confirmatory purposes. The </w:t>
      </w:r>
      <w:r w:rsidR="0055021A">
        <w:rPr>
          <w:lang w:val="en-GB"/>
        </w:rPr>
        <w:t xml:space="preserve">Type </w:t>
      </w:r>
      <w:r w:rsidRPr="00B04DC3">
        <w:rPr>
          <w:lang w:val="en-GB"/>
        </w:rPr>
        <w:t>Approval Authority will examine the confirmatory test report supplied by the manufacturer.</w:t>
      </w:r>
    </w:p>
    <w:p w:rsidR="00BB1DA8" w:rsidRPr="00B04DC3" w:rsidRDefault="00BB1DA8" w:rsidP="00BB1DA8">
      <w:pPr>
        <w:pStyle w:val="para"/>
        <w:rPr>
          <w:lang w:val="en-GB"/>
        </w:rPr>
      </w:pPr>
      <w:r w:rsidRPr="00B04DC3">
        <w:rPr>
          <w:lang w:val="en-GB"/>
        </w:rPr>
        <w:t>5.1.2.</w:t>
      </w:r>
      <w:r w:rsidRPr="00B04DC3">
        <w:rPr>
          <w:lang w:val="en-GB"/>
        </w:rPr>
        <w:tab/>
        <w:t xml:space="preserve">The </w:t>
      </w:r>
      <w:r w:rsidR="00AC1338">
        <w:rPr>
          <w:lang w:val="en-GB"/>
        </w:rPr>
        <w:t xml:space="preserve">Type </w:t>
      </w:r>
      <w:r w:rsidRPr="00B04DC3">
        <w:rPr>
          <w:lang w:val="en-GB"/>
        </w:rPr>
        <w:t>Approval Authority may conduct confirmatory testing.</w:t>
      </w:r>
    </w:p>
    <w:p w:rsidR="00BB1DA8" w:rsidRPr="00B04DC3" w:rsidRDefault="00BB1DA8" w:rsidP="00BB1DA8">
      <w:pPr>
        <w:pStyle w:val="para"/>
        <w:rPr>
          <w:lang w:val="en-GB"/>
        </w:rPr>
      </w:pPr>
      <w:r w:rsidRPr="00B04DC3">
        <w:rPr>
          <w:lang w:val="en-GB"/>
        </w:rPr>
        <w:t>5.2.</w:t>
      </w:r>
      <w:r w:rsidRPr="00B04DC3">
        <w:rPr>
          <w:lang w:val="en-GB"/>
        </w:rPr>
        <w:tab/>
        <w:t xml:space="preserve">The confirmatory test should be applicable to engine ESC, ETC and ELR tests, as specified in paragraph 4. Representative engines to be tested should be dismounted from vehicles used under normal conditions and be tested. Alternatively, after prior agreement with the </w:t>
      </w:r>
      <w:r w:rsidR="00E2696A">
        <w:rPr>
          <w:lang w:val="en-GB"/>
        </w:rPr>
        <w:t xml:space="preserve">Type </w:t>
      </w:r>
      <w:r w:rsidRPr="00B04DC3">
        <w:rPr>
          <w:lang w:val="en-GB"/>
        </w:rPr>
        <w:t>Approval Authority, the manufacturer may test emission control components from vehicles in use, after being dismounted, transferred and mounted on properly used and representative engine(s). For each series of tests, the same package of emission control components shall be selected. The reason for the selection shall be stated.</w:t>
      </w:r>
    </w:p>
    <w:p w:rsidR="00BB1DA8" w:rsidRPr="00B04DC3" w:rsidRDefault="00BB1DA8" w:rsidP="00BB1DA8">
      <w:pPr>
        <w:pStyle w:val="para"/>
        <w:rPr>
          <w:lang w:val="en-GB"/>
        </w:rPr>
      </w:pPr>
      <w:r w:rsidRPr="00B04DC3">
        <w:rPr>
          <w:lang w:val="en-GB"/>
        </w:rPr>
        <w:t>5.3.</w:t>
      </w:r>
      <w:r w:rsidRPr="00B04DC3">
        <w:rPr>
          <w:lang w:val="en-GB"/>
        </w:rPr>
        <w:tab/>
        <w:t>A test result may be regarded as non-satisfactory when, from tests of two or more engines representing the same engine family, for any regulated pollutant component, the limit value as shown in paragraph 5.2.1. of this Regulation is exceeded significantly.</w:t>
      </w:r>
    </w:p>
    <w:p w:rsidR="00BB1DA8" w:rsidRPr="00B04DC3" w:rsidRDefault="00BB1DA8" w:rsidP="00BB1DA8">
      <w:pPr>
        <w:pStyle w:val="para"/>
        <w:rPr>
          <w:lang w:val="en-GB"/>
        </w:rPr>
      </w:pPr>
      <w:r w:rsidRPr="00B04DC3">
        <w:rPr>
          <w:lang w:val="en-GB"/>
        </w:rPr>
        <w:t>6.</w:t>
      </w:r>
      <w:r w:rsidRPr="00B04DC3">
        <w:rPr>
          <w:lang w:val="en-GB"/>
        </w:rPr>
        <w:tab/>
        <w:t>Actions to be taken</w:t>
      </w:r>
    </w:p>
    <w:p w:rsidR="00BB1DA8" w:rsidRPr="00B04DC3" w:rsidRDefault="00BB1DA8" w:rsidP="00BB1DA8">
      <w:pPr>
        <w:pStyle w:val="para"/>
        <w:rPr>
          <w:lang w:val="en-GB"/>
        </w:rPr>
      </w:pPr>
      <w:r w:rsidRPr="00B04DC3">
        <w:rPr>
          <w:lang w:val="en-GB"/>
        </w:rPr>
        <w:t>6.1.</w:t>
      </w:r>
      <w:r w:rsidRPr="00B04DC3">
        <w:rPr>
          <w:lang w:val="en-GB"/>
        </w:rPr>
        <w:tab/>
        <w:t xml:space="preserve">Where the </w:t>
      </w:r>
      <w:r w:rsidR="00AC1338">
        <w:rPr>
          <w:lang w:val="en-GB"/>
        </w:rPr>
        <w:t xml:space="preserve">Type </w:t>
      </w:r>
      <w:r w:rsidRPr="00B04DC3">
        <w:rPr>
          <w:lang w:val="en-GB"/>
        </w:rPr>
        <w:t>Approval Authority is not satisfied with the information or test data supplied by the manufacturer, and, having carried out confirmatory engine testing according to paragraph 5.</w:t>
      </w:r>
      <w:r w:rsidR="00E2696A">
        <w:rPr>
          <w:lang w:val="en-GB"/>
        </w:rPr>
        <w:t xml:space="preserve"> above</w:t>
      </w:r>
      <w:r w:rsidRPr="00B04DC3">
        <w:rPr>
          <w:lang w:val="en-GB"/>
        </w:rPr>
        <w:t>, or based on confirmatory testing conducted by a Contracting Party (paragraph 5.3.</w:t>
      </w:r>
      <w:r w:rsidR="00E2696A">
        <w:rPr>
          <w:lang w:val="en-GB"/>
        </w:rPr>
        <w:t xml:space="preserve"> above</w:t>
      </w:r>
      <w:r w:rsidRPr="00B04DC3">
        <w:rPr>
          <w:lang w:val="en-GB"/>
        </w:rPr>
        <w:t xml:space="preserve">), and it is certain that an engine type is not in conformity with the requirements of these provisions, the </w:t>
      </w:r>
      <w:r w:rsidR="0055021A">
        <w:rPr>
          <w:lang w:val="en-GB"/>
        </w:rPr>
        <w:t xml:space="preserve">Type </w:t>
      </w:r>
      <w:r w:rsidRPr="00B04DC3">
        <w:rPr>
          <w:lang w:val="en-GB"/>
        </w:rPr>
        <w:t>Approval Authority shall request the manufacturer to submit a plan of remedial measure to remedy the non-conformity.</w:t>
      </w:r>
    </w:p>
    <w:p w:rsidR="00BB1DA8" w:rsidRPr="00B04DC3" w:rsidRDefault="00BB1DA8" w:rsidP="00BB1DA8">
      <w:pPr>
        <w:pStyle w:val="para"/>
        <w:rPr>
          <w:lang w:val="en-GB"/>
        </w:rPr>
      </w:pPr>
      <w:r w:rsidRPr="00B04DC3">
        <w:rPr>
          <w:lang w:val="en-GB"/>
        </w:rPr>
        <w:t>6.2.</w:t>
      </w:r>
      <w:r w:rsidRPr="00B04DC3">
        <w:rPr>
          <w:lang w:val="en-GB"/>
        </w:rPr>
        <w:tab/>
        <w:t>In this case, the remedial measures referred to in Appendix 2 of the 1958 Agreement (E/ECE/324-E/ECE/TRANS/505/Rev.2) are extended to engines in service belonging to the same vehicle type which are likely to be affected with the same defects, in accordance with paragraph 8. of this Regulation.</w:t>
      </w:r>
    </w:p>
    <w:p w:rsidR="00BB1DA8" w:rsidRPr="00B04DC3" w:rsidRDefault="00BB1DA8" w:rsidP="00BB1DA8">
      <w:pPr>
        <w:pStyle w:val="para"/>
        <w:rPr>
          <w:lang w:val="en-GB"/>
        </w:rPr>
      </w:pPr>
      <w:r w:rsidRPr="00B04DC3">
        <w:rPr>
          <w:lang w:val="en-GB"/>
        </w:rPr>
        <w:tab/>
        <w:t xml:space="preserve">To be valid the plan of remedial measures presented by the manufacturer shall be approved by the </w:t>
      </w:r>
      <w:r w:rsidR="00AC1338">
        <w:rPr>
          <w:lang w:val="en-GB"/>
        </w:rPr>
        <w:t xml:space="preserve">Type </w:t>
      </w:r>
      <w:r w:rsidRPr="00B04DC3">
        <w:rPr>
          <w:lang w:val="en-GB"/>
        </w:rPr>
        <w:t>Approval Authority. The manufacturer is responsible for the execution of the remedial plan as approved.</w:t>
      </w:r>
    </w:p>
    <w:p w:rsidR="00BB1DA8" w:rsidRPr="00B04DC3" w:rsidRDefault="00BB1DA8" w:rsidP="00BB1DA8">
      <w:pPr>
        <w:pStyle w:val="para"/>
        <w:rPr>
          <w:lang w:val="en-GB"/>
        </w:rPr>
      </w:pPr>
      <w:r w:rsidRPr="00B04DC3">
        <w:rPr>
          <w:lang w:val="en-GB"/>
        </w:rPr>
        <w:tab/>
        <w:t xml:space="preserve">The </w:t>
      </w:r>
      <w:r w:rsidR="00AC1338">
        <w:rPr>
          <w:lang w:val="en-GB"/>
        </w:rPr>
        <w:t xml:space="preserve">Type </w:t>
      </w:r>
      <w:r w:rsidRPr="00B04DC3">
        <w:rPr>
          <w:lang w:val="en-GB"/>
        </w:rPr>
        <w:t>Approval Authority shall notify its decision to all Contracting Parties within 30 days. The Contracting Parties may require that the same plan of remedial measures be applied to all engines of the same type registered in their territory.</w:t>
      </w:r>
    </w:p>
    <w:p w:rsidR="00BB1DA8" w:rsidRPr="00B04DC3" w:rsidRDefault="00BB1DA8" w:rsidP="00BB1DA8">
      <w:pPr>
        <w:pStyle w:val="para"/>
        <w:rPr>
          <w:lang w:val="en-GB"/>
        </w:rPr>
      </w:pPr>
      <w:r w:rsidRPr="00B04DC3">
        <w:rPr>
          <w:lang w:val="en-GB"/>
        </w:rPr>
        <w:t>6.3.</w:t>
      </w:r>
      <w:r w:rsidRPr="00B04DC3">
        <w:rPr>
          <w:lang w:val="en-GB"/>
        </w:rPr>
        <w:tab/>
        <w:t>If a Contracting Party to the Agreement has established that a vehicle type does not conform to the applicable requirements of this annex, it shall notify without delay the Contracting Party to the Agreement which granted the original type approval in accordance with the requirements of the Agreement.</w:t>
      </w:r>
    </w:p>
    <w:p w:rsidR="00BB1DA8" w:rsidRPr="00B04DC3" w:rsidRDefault="00BB1DA8" w:rsidP="00BB1DA8">
      <w:pPr>
        <w:pStyle w:val="para"/>
        <w:rPr>
          <w:lang w:val="en-GB"/>
        </w:rPr>
      </w:pPr>
      <w:r w:rsidRPr="00B04DC3">
        <w:rPr>
          <w:lang w:val="en-GB"/>
        </w:rPr>
        <w:tab/>
        <w:t>Then, subject to the provision of the Agreement, the</w:t>
      </w:r>
      <w:r w:rsidR="00AC1338">
        <w:rPr>
          <w:lang w:val="en-GB"/>
        </w:rPr>
        <w:t xml:space="preserve"> Type Approval Authority </w:t>
      </w:r>
      <w:r w:rsidRPr="00B04DC3">
        <w:rPr>
          <w:lang w:val="en-GB"/>
        </w:rPr>
        <w:t>of the Contracting Party to the Agreement which granted the original type approval shall inform the manufacturer that a vehicle type fails to satisfy the requirements of these provisions and that certain measures are expected from the manufacturer. The manufacturer shall submit to the</w:t>
      </w:r>
      <w:r w:rsidR="00AC1338">
        <w:rPr>
          <w:lang w:val="en-GB"/>
        </w:rPr>
        <w:t xml:space="preserve"> Type Approval Authority</w:t>
      </w:r>
      <w:r w:rsidRPr="00B04DC3">
        <w:rPr>
          <w:lang w:val="en-GB"/>
        </w:rPr>
        <w:t>, within two months after this notification, a plan of measures to overcome the defects, the substance of which should correspond with the requirements of paragraph 7.</w:t>
      </w:r>
      <w:r w:rsidR="00E2696A">
        <w:rPr>
          <w:lang w:val="en-GB"/>
        </w:rPr>
        <w:t xml:space="preserve"> below.</w:t>
      </w:r>
      <w:r w:rsidRPr="00B04DC3">
        <w:rPr>
          <w:lang w:val="en-GB"/>
        </w:rPr>
        <w:t xml:space="preserve"> The </w:t>
      </w:r>
      <w:r w:rsidR="00AC1338">
        <w:rPr>
          <w:lang w:val="en-GB"/>
        </w:rPr>
        <w:t>Type Approval Authority</w:t>
      </w:r>
      <w:r w:rsidR="00AC1338" w:rsidRPr="00B04DC3" w:rsidDel="00AC1338">
        <w:rPr>
          <w:lang w:val="en-GB"/>
        </w:rPr>
        <w:t xml:space="preserve"> </w:t>
      </w:r>
      <w:r w:rsidRPr="00B04DC3">
        <w:rPr>
          <w:lang w:val="en-GB"/>
        </w:rPr>
        <w:t xml:space="preserve">which granted the original approval shall, within two months, consult the manufacturer in order to secure agreement on a plan of measures and on carrying out the plan. If the </w:t>
      </w:r>
      <w:r w:rsidR="00D342AF">
        <w:rPr>
          <w:lang w:val="en-GB"/>
        </w:rPr>
        <w:t>Type Approval Authority</w:t>
      </w:r>
      <w:r w:rsidR="00D342AF" w:rsidRPr="00B04DC3" w:rsidDel="00D342AF">
        <w:rPr>
          <w:lang w:val="en-GB"/>
        </w:rPr>
        <w:t xml:space="preserve"> </w:t>
      </w:r>
      <w:r w:rsidRPr="00B04DC3">
        <w:rPr>
          <w:lang w:val="en-GB"/>
        </w:rPr>
        <w:t>which granted the original type approval establishes that no agreement can be reached, the relevant procedures to the Agreement shall be initiated.</w:t>
      </w:r>
    </w:p>
    <w:p w:rsidR="00BB1DA8" w:rsidRPr="00B04DC3" w:rsidRDefault="00BB1DA8" w:rsidP="00BB1DA8">
      <w:pPr>
        <w:pStyle w:val="para"/>
        <w:rPr>
          <w:lang w:val="en-GB"/>
        </w:rPr>
      </w:pPr>
      <w:r w:rsidRPr="00B04DC3">
        <w:rPr>
          <w:lang w:val="en-GB"/>
        </w:rPr>
        <w:t>7.</w:t>
      </w:r>
      <w:r w:rsidRPr="00B04DC3">
        <w:rPr>
          <w:lang w:val="en-GB"/>
        </w:rPr>
        <w:tab/>
        <w:t>Plan of remedial measures</w:t>
      </w:r>
    </w:p>
    <w:p w:rsidR="00BB1DA8" w:rsidRPr="00AE1A72" w:rsidRDefault="00BB1DA8" w:rsidP="00BB1DA8">
      <w:pPr>
        <w:pStyle w:val="para"/>
        <w:rPr>
          <w:spacing w:val="-2"/>
          <w:lang w:val="en-GB"/>
        </w:rPr>
      </w:pPr>
      <w:r w:rsidRPr="00AE1A72">
        <w:rPr>
          <w:spacing w:val="-2"/>
          <w:lang w:val="en-GB"/>
        </w:rPr>
        <w:t>7.1.</w:t>
      </w:r>
      <w:r w:rsidRPr="00AE1A72">
        <w:rPr>
          <w:spacing w:val="-2"/>
          <w:lang w:val="en-GB"/>
        </w:rPr>
        <w:tab/>
        <w:t>The plan of remedial measures, requested according to paragraph 6.1</w:t>
      </w:r>
      <w:r w:rsidR="00E2696A" w:rsidRPr="00AE1A72">
        <w:rPr>
          <w:spacing w:val="-2"/>
          <w:lang w:val="en-GB"/>
        </w:rPr>
        <w:t>. of this annex</w:t>
      </w:r>
      <w:r w:rsidRPr="00AE1A72">
        <w:rPr>
          <w:spacing w:val="-2"/>
          <w:lang w:val="en-GB"/>
        </w:rPr>
        <w:t xml:space="preserve">, shall be filed with the </w:t>
      </w:r>
      <w:r w:rsidR="00D342AF" w:rsidRPr="00AE1A72">
        <w:rPr>
          <w:spacing w:val="-2"/>
          <w:lang w:val="en-GB"/>
        </w:rPr>
        <w:t>Type Approval Authority</w:t>
      </w:r>
      <w:r w:rsidR="00D342AF" w:rsidRPr="00AE1A72" w:rsidDel="00D342AF">
        <w:rPr>
          <w:spacing w:val="-2"/>
          <w:lang w:val="en-GB"/>
        </w:rPr>
        <w:t xml:space="preserve"> </w:t>
      </w:r>
      <w:r w:rsidRPr="00AE1A72">
        <w:rPr>
          <w:spacing w:val="-2"/>
          <w:lang w:val="en-GB"/>
        </w:rPr>
        <w:t xml:space="preserve">not later than 60 working days from the date of the notification referred to in paragraph 6.2. </w:t>
      </w:r>
      <w:r w:rsidR="00E2696A" w:rsidRPr="00AE1A72">
        <w:rPr>
          <w:spacing w:val="-2"/>
          <w:lang w:val="en-GB"/>
        </w:rPr>
        <w:t xml:space="preserve">of this annex. </w:t>
      </w:r>
      <w:r w:rsidRPr="00AE1A72">
        <w:rPr>
          <w:spacing w:val="-2"/>
          <w:lang w:val="en-GB"/>
        </w:rPr>
        <w:t xml:space="preserve">The </w:t>
      </w:r>
      <w:r w:rsidR="00D342AF" w:rsidRPr="00AE1A72">
        <w:rPr>
          <w:spacing w:val="-2"/>
          <w:lang w:val="en-GB"/>
        </w:rPr>
        <w:t>Type Approval Authority</w:t>
      </w:r>
      <w:r w:rsidRPr="00AE1A72">
        <w:rPr>
          <w:spacing w:val="-2"/>
          <w:lang w:val="en-GB"/>
        </w:rPr>
        <w:t xml:space="preserve"> shall within 30 working days declare its approval or disapproval of the plan of remedial measures. However, where the manufacturer can demonstrate to the satisfaction of the </w:t>
      </w:r>
      <w:r w:rsidR="00175304" w:rsidRPr="00AE1A72">
        <w:rPr>
          <w:spacing w:val="-2"/>
          <w:lang w:val="en-GB"/>
        </w:rPr>
        <w:t>Type Approval Authority</w:t>
      </w:r>
      <w:r w:rsidRPr="00AE1A72">
        <w:rPr>
          <w:spacing w:val="-2"/>
          <w:lang w:val="en-GB"/>
        </w:rPr>
        <w:t>, that further time is required to investigate the non-compliance in order to submit a plan of remedial measures, an extension is granted.</w:t>
      </w:r>
    </w:p>
    <w:p w:rsidR="00BB1DA8" w:rsidRPr="00B04DC3" w:rsidRDefault="00BB1DA8" w:rsidP="00BB1DA8">
      <w:pPr>
        <w:pStyle w:val="para"/>
        <w:rPr>
          <w:lang w:val="en-GB"/>
        </w:rPr>
      </w:pPr>
      <w:r w:rsidRPr="00B04DC3">
        <w:rPr>
          <w:lang w:val="en-GB"/>
        </w:rPr>
        <w:t>7.2.</w:t>
      </w:r>
      <w:r w:rsidRPr="00B04DC3">
        <w:rPr>
          <w:lang w:val="en-GB"/>
        </w:rPr>
        <w:tab/>
        <w:t>The remedial measures shall apply to all engines likely to be affected by the same defect. The need to amend the approval documents shall be assessed.</w:t>
      </w:r>
    </w:p>
    <w:p w:rsidR="00BB1DA8" w:rsidRPr="00B04DC3" w:rsidRDefault="00BB1DA8" w:rsidP="00BB1DA8">
      <w:pPr>
        <w:pStyle w:val="para"/>
        <w:rPr>
          <w:lang w:val="en-GB"/>
        </w:rPr>
      </w:pPr>
      <w:r w:rsidRPr="00B04DC3">
        <w:rPr>
          <w:lang w:val="en-GB"/>
        </w:rPr>
        <w:t>7.3.</w:t>
      </w:r>
      <w:r w:rsidRPr="00B04DC3">
        <w:rPr>
          <w:lang w:val="en-GB"/>
        </w:rPr>
        <w:tab/>
        <w:t xml:space="preserve">The manufacturer shall provide a copy of all communications related to the plan of remedial measures, shall also maintain a record of the recall campaign, and supply regular status reports to the </w:t>
      </w:r>
      <w:r w:rsidR="00175304">
        <w:rPr>
          <w:lang w:val="en-GB"/>
        </w:rPr>
        <w:t>Type Approval Authority</w:t>
      </w:r>
      <w:r w:rsidRPr="00B04DC3">
        <w:rPr>
          <w:lang w:val="en-GB"/>
        </w:rPr>
        <w:t>.</w:t>
      </w:r>
    </w:p>
    <w:p w:rsidR="00BB1DA8" w:rsidRPr="00B04DC3" w:rsidRDefault="00BB1DA8" w:rsidP="00BB1DA8">
      <w:pPr>
        <w:pStyle w:val="para"/>
        <w:rPr>
          <w:lang w:val="en-GB"/>
        </w:rPr>
      </w:pPr>
      <w:r w:rsidRPr="00B04DC3">
        <w:rPr>
          <w:lang w:val="en-GB"/>
        </w:rPr>
        <w:t>7.4.</w:t>
      </w:r>
      <w:r w:rsidRPr="00B04DC3">
        <w:rPr>
          <w:lang w:val="en-GB"/>
        </w:rPr>
        <w:tab/>
        <w:t>The plan of remedial measures shall include the requirements specified in paragraphs 7.4.1. to 7.4.11.</w:t>
      </w:r>
      <w:r w:rsidR="00E2696A">
        <w:rPr>
          <w:lang w:val="en-GB"/>
        </w:rPr>
        <w:t xml:space="preserve"> below.</w:t>
      </w:r>
      <w:r w:rsidRPr="00B04DC3">
        <w:rPr>
          <w:lang w:val="en-GB"/>
        </w:rPr>
        <w:t xml:space="preserve"> The manufacturer shall assign a unique identifying name or number to the plan of remedial measures.</w:t>
      </w:r>
    </w:p>
    <w:p w:rsidR="00BB1DA8" w:rsidRPr="00B04DC3" w:rsidRDefault="00BB1DA8" w:rsidP="00BB1DA8">
      <w:pPr>
        <w:pStyle w:val="para"/>
        <w:rPr>
          <w:lang w:val="en-GB"/>
        </w:rPr>
      </w:pPr>
      <w:r w:rsidRPr="00B04DC3">
        <w:rPr>
          <w:lang w:val="en-GB"/>
        </w:rPr>
        <w:t>7.4.1.</w:t>
      </w:r>
      <w:r w:rsidRPr="00B04DC3">
        <w:rPr>
          <w:lang w:val="en-GB"/>
        </w:rPr>
        <w:tab/>
        <w:t>A description of each engine type included in the plan of remedial measures.</w:t>
      </w:r>
    </w:p>
    <w:p w:rsidR="00BB1DA8" w:rsidRPr="00B04DC3" w:rsidRDefault="00BB1DA8" w:rsidP="00BB1DA8">
      <w:pPr>
        <w:pStyle w:val="para"/>
        <w:rPr>
          <w:lang w:val="en-GB"/>
        </w:rPr>
      </w:pPr>
      <w:r w:rsidRPr="00B04DC3">
        <w:rPr>
          <w:lang w:val="en-GB"/>
        </w:rPr>
        <w:t>7.4.2.</w:t>
      </w:r>
      <w:r w:rsidRPr="00B04DC3">
        <w:rPr>
          <w:lang w:val="en-GB"/>
        </w:rPr>
        <w:tab/>
        <w:t>A description of the specific modifications, alterations, repairs, corrections, adjustments, or other changes to be made to bring the engines into conformity including a brief summary of the data and technical studies which support the manufacturer's decision as to the particular measures to be taken to correct the non-conformity.</w:t>
      </w:r>
    </w:p>
    <w:p w:rsidR="00BB1DA8" w:rsidRPr="00B04DC3" w:rsidRDefault="00BB1DA8" w:rsidP="00BB1DA8">
      <w:pPr>
        <w:pStyle w:val="para"/>
        <w:rPr>
          <w:lang w:val="en-GB"/>
        </w:rPr>
      </w:pPr>
      <w:r w:rsidRPr="00B04DC3">
        <w:rPr>
          <w:lang w:val="en-GB"/>
        </w:rPr>
        <w:t>7.4.3.</w:t>
      </w:r>
      <w:r w:rsidRPr="00B04DC3">
        <w:rPr>
          <w:lang w:val="en-GB"/>
        </w:rPr>
        <w:tab/>
        <w:t>A description of the method by which the manufacturer informs the engine or vehicle owners about the remedial measures.</w:t>
      </w:r>
    </w:p>
    <w:p w:rsidR="00BB1DA8" w:rsidRPr="00B04DC3" w:rsidRDefault="00BB1DA8" w:rsidP="00BB1DA8">
      <w:pPr>
        <w:pStyle w:val="para"/>
        <w:rPr>
          <w:lang w:val="en-GB"/>
        </w:rPr>
      </w:pPr>
      <w:r w:rsidRPr="00B04DC3">
        <w:rPr>
          <w:lang w:val="en-GB"/>
        </w:rPr>
        <w:t>7.4.4.</w:t>
      </w:r>
      <w:r w:rsidRPr="00B04DC3">
        <w:rPr>
          <w:lang w:val="en-GB"/>
        </w:rPr>
        <w:tab/>
        <w:t>A description of the proper maintenance or use, if any, which the manufacturer stipulates as a conditions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rsidR="00BB1DA8" w:rsidRPr="00B04DC3" w:rsidRDefault="00BB1DA8" w:rsidP="00BB1DA8">
      <w:pPr>
        <w:pStyle w:val="para"/>
        <w:rPr>
          <w:lang w:val="en-GB"/>
        </w:rPr>
      </w:pPr>
      <w:r w:rsidRPr="00B04DC3">
        <w:rPr>
          <w:lang w:val="en-GB"/>
        </w:rPr>
        <w:t>7.4.5.</w:t>
      </w:r>
      <w:r w:rsidRPr="00B04DC3">
        <w:rPr>
          <w:lang w:val="en-GB"/>
        </w:rPr>
        <w:tab/>
        <w:t>A description of the procedure to be followed by engine owners to obtain correction of the non-conformity. This shall include a date after which the remedial measures may be taken, the estimated time for the workshop to perform the repairs and where they can be done. The repair shall be done expediently, within a reasonable time after delivery of the vehicle.</w:t>
      </w:r>
    </w:p>
    <w:p w:rsidR="00BB1DA8" w:rsidRPr="00B04DC3" w:rsidRDefault="00BB1DA8" w:rsidP="00BB1DA8">
      <w:pPr>
        <w:pStyle w:val="para"/>
        <w:rPr>
          <w:lang w:val="en-GB"/>
        </w:rPr>
      </w:pPr>
      <w:r w:rsidRPr="00B04DC3">
        <w:rPr>
          <w:lang w:val="en-GB"/>
        </w:rPr>
        <w:t>7.4.6.</w:t>
      </w:r>
      <w:r w:rsidRPr="00B04DC3">
        <w:rPr>
          <w:lang w:val="en-GB"/>
        </w:rPr>
        <w:tab/>
        <w:t>A copy of the information transmitted to the vehicle owner.</w:t>
      </w:r>
    </w:p>
    <w:p w:rsidR="00BB1DA8" w:rsidRPr="00B04DC3" w:rsidRDefault="00BB1DA8" w:rsidP="00BB1DA8">
      <w:pPr>
        <w:pStyle w:val="para"/>
        <w:rPr>
          <w:lang w:val="en-GB"/>
        </w:rPr>
      </w:pPr>
      <w:r w:rsidRPr="00B04DC3">
        <w:rPr>
          <w:lang w:val="en-GB"/>
        </w:rPr>
        <w:t>7.4.7.</w:t>
      </w:r>
      <w:r w:rsidRPr="00B04DC3">
        <w:rPr>
          <w:lang w:val="en-GB"/>
        </w:rPr>
        <w:tab/>
        <w:t>A brief description of the system which the manufacturer uses to assure an adequate supply of component or systems for fulfilling the remedial action. It shall be indicated when there will be an adequate supply of components or systems to initiate the campaign.</w:t>
      </w:r>
    </w:p>
    <w:p w:rsidR="00BB1DA8" w:rsidRPr="00B04DC3" w:rsidRDefault="00BB1DA8" w:rsidP="00BB1DA8">
      <w:pPr>
        <w:pStyle w:val="para"/>
        <w:rPr>
          <w:lang w:val="en-GB"/>
        </w:rPr>
      </w:pPr>
      <w:r w:rsidRPr="00B04DC3">
        <w:rPr>
          <w:lang w:val="en-GB"/>
        </w:rPr>
        <w:t>7.4.8.</w:t>
      </w:r>
      <w:r w:rsidRPr="00B04DC3">
        <w:rPr>
          <w:lang w:val="en-GB"/>
        </w:rPr>
        <w:tab/>
        <w:t>A copy of all instructions to be sent to those persons who are to perform the repair.</w:t>
      </w:r>
    </w:p>
    <w:p w:rsidR="00BB1DA8" w:rsidRPr="00B04DC3" w:rsidRDefault="00BB1DA8" w:rsidP="00BB1DA8">
      <w:pPr>
        <w:pStyle w:val="para"/>
        <w:rPr>
          <w:lang w:val="en-GB"/>
        </w:rPr>
      </w:pPr>
      <w:r w:rsidRPr="00B04DC3">
        <w:rPr>
          <w:lang w:val="en-GB"/>
        </w:rPr>
        <w:t>7.4.9.</w:t>
      </w:r>
      <w:r w:rsidRPr="00B04DC3">
        <w:rPr>
          <w:lang w:val="en-GB"/>
        </w:rPr>
        <w:tab/>
        <w:t>A description of the impact of the proposed remedial measures on the emissions, fuel consumption, driveability, and safety of each engine type, covered by the plan of remedial measures with data, technical studies, etc. which support these conclusions.</w:t>
      </w:r>
    </w:p>
    <w:p w:rsidR="00BB1DA8" w:rsidRPr="00B04DC3" w:rsidRDefault="00BB1DA8" w:rsidP="00BB1DA8">
      <w:pPr>
        <w:pStyle w:val="para"/>
        <w:rPr>
          <w:lang w:val="en-GB"/>
        </w:rPr>
      </w:pPr>
      <w:r w:rsidRPr="00B04DC3">
        <w:rPr>
          <w:lang w:val="en-GB"/>
        </w:rPr>
        <w:t>7.4.10.</w:t>
      </w:r>
      <w:r w:rsidRPr="00B04DC3">
        <w:rPr>
          <w:lang w:val="en-GB"/>
        </w:rPr>
        <w:tab/>
        <w:t xml:space="preserve">Any other information, reports or data the </w:t>
      </w:r>
      <w:r w:rsidR="0055021A">
        <w:rPr>
          <w:lang w:val="en-GB"/>
        </w:rPr>
        <w:t xml:space="preserve">Type </w:t>
      </w:r>
      <w:r w:rsidRPr="00B04DC3">
        <w:rPr>
          <w:lang w:val="en-GB"/>
        </w:rPr>
        <w:t>Approval Authority may reasonably determine is necessary to evaluate the plan of remedial measures.</w:t>
      </w:r>
    </w:p>
    <w:p w:rsidR="00BB1DA8" w:rsidRPr="00B04DC3" w:rsidRDefault="00BB1DA8" w:rsidP="00BB1DA8">
      <w:pPr>
        <w:pStyle w:val="para"/>
        <w:rPr>
          <w:lang w:val="en-GB"/>
        </w:rPr>
      </w:pPr>
      <w:r w:rsidRPr="00B04DC3">
        <w:rPr>
          <w:lang w:val="en-GB"/>
        </w:rPr>
        <w:t>7.4.11.</w:t>
      </w:r>
      <w:r w:rsidRPr="00B04DC3">
        <w:rPr>
          <w:lang w:val="en-GB"/>
        </w:rPr>
        <w:tab/>
        <w:t xml:space="preserve">Where the plan of remedial measures includes a recall, a description of the method for recording the repair shall be submitted to the </w:t>
      </w:r>
      <w:r w:rsidR="00175304">
        <w:rPr>
          <w:lang w:val="en-GB"/>
        </w:rPr>
        <w:t>Type Approval Authority</w:t>
      </w:r>
      <w:r w:rsidRPr="00B04DC3">
        <w:rPr>
          <w:lang w:val="en-GB"/>
        </w:rPr>
        <w:t>. If a label is used, an example of it shall be submitted.</w:t>
      </w:r>
    </w:p>
    <w:p w:rsidR="00BB1DA8" w:rsidRPr="00B04DC3" w:rsidRDefault="00BB1DA8" w:rsidP="00BB1DA8">
      <w:pPr>
        <w:pStyle w:val="para"/>
        <w:rPr>
          <w:lang w:val="en-GB"/>
        </w:rPr>
      </w:pPr>
      <w:r w:rsidRPr="00B04DC3">
        <w:rPr>
          <w:lang w:val="en-GB"/>
        </w:rPr>
        <w:t>7.5.</w:t>
      </w:r>
      <w:r w:rsidRPr="00B04DC3">
        <w:rPr>
          <w:lang w:val="en-GB"/>
        </w:rPr>
        <w:tab/>
        <w:t>The manufacturer may be required to conduct reasonably designed and necessary tests on components and engines incorporating a proposed change, repair, or modification to demonstrate the effectiveness of the change, repair, or modification.</w:t>
      </w:r>
    </w:p>
    <w:p w:rsidR="00BB1DA8" w:rsidRPr="00B04DC3" w:rsidRDefault="00BB1DA8" w:rsidP="00BB1DA8">
      <w:pPr>
        <w:pStyle w:val="para"/>
        <w:rPr>
          <w:lang w:val="en-GB"/>
        </w:rPr>
      </w:pPr>
      <w:r w:rsidRPr="00B04DC3">
        <w:rPr>
          <w:lang w:val="en-GB"/>
        </w:rPr>
        <w:t>7.6.</w:t>
      </w:r>
      <w:r w:rsidRPr="00B04DC3">
        <w:rPr>
          <w:lang w:val="en-GB"/>
        </w:rPr>
        <w:tab/>
        <w:t xml:space="preserve">The manufacturer is responsible for keeping a record of every engine or vehicle recalled and repaired and the workshop which performed the repair. The </w:t>
      </w:r>
      <w:r w:rsidR="00175304">
        <w:rPr>
          <w:lang w:val="en-GB"/>
        </w:rPr>
        <w:t>Type Approval Authority</w:t>
      </w:r>
      <w:r w:rsidRPr="00B04DC3">
        <w:rPr>
          <w:lang w:val="en-GB"/>
        </w:rPr>
        <w:t xml:space="preserve"> shall have access to the record on request for a period of 5 years from the implementation of the plan of remedial measures.</w:t>
      </w:r>
    </w:p>
    <w:p w:rsidR="00BB1DA8" w:rsidRPr="00B04DC3" w:rsidRDefault="00BB1DA8" w:rsidP="00BB1DA8">
      <w:pPr>
        <w:pStyle w:val="para"/>
        <w:rPr>
          <w:lang w:val="en-GB"/>
        </w:rPr>
        <w:sectPr w:rsidR="00BB1DA8" w:rsidRPr="00B04DC3" w:rsidSect="00763CD2">
          <w:headerReference w:type="even" r:id="rId623"/>
          <w:headerReference w:type="default" r:id="rId624"/>
          <w:footnotePr>
            <w:numRestart w:val="eachSect"/>
          </w:footnotePr>
          <w:endnotePr>
            <w:numFmt w:val="decimal"/>
          </w:endnotePr>
          <w:pgSz w:w="11907" w:h="16840" w:code="9"/>
          <w:pgMar w:top="1701" w:right="1134" w:bottom="2268" w:left="1134" w:header="1134" w:footer="1701" w:gutter="0"/>
          <w:cols w:space="720"/>
          <w:docGrid w:linePitch="272"/>
        </w:sectPr>
      </w:pPr>
      <w:r w:rsidRPr="00B04DC3">
        <w:rPr>
          <w:lang w:val="en-GB"/>
        </w:rPr>
        <w:t>7.7.</w:t>
      </w:r>
      <w:r w:rsidRPr="00B04DC3">
        <w:rPr>
          <w:lang w:val="en-GB"/>
        </w:rPr>
        <w:tab/>
        <w:t>The repair and/or modification or addition of new equipment shall be recorded in a certificate supplied by the manufacturer to the owner of the engine.</w:t>
      </w:r>
    </w:p>
    <w:p w:rsidR="00BB1DA8" w:rsidRPr="00B04DC3" w:rsidRDefault="00BB1DA8" w:rsidP="00BB1DA8">
      <w:pPr>
        <w:pStyle w:val="HChG"/>
        <w:sectPr w:rsidR="00BB1DA8" w:rsidRPr="00B04DC3" w:rsidSect="00BB1DA8">
          <w:headerReference w:type="even" r:id="rId625"/>
          <w:headerReference w:type="default" r:id="rId626"/>
          <w:footerReference w:type="first" r:id="rId627"/>
          <w:footnotePr>
            <w:numRestart w:val="eachSect"/>
          </w:footnotePr>
          <w:endnotePr>
            <w:numFmt w:val="decimal"/>
          </w:endnotePr>
          <w:type w:val="continuous"/>
          <w:pgSz w:w="11907" w:h="16840" w:code="9"/>
          <w:pgMar w:top="1701" w:right="1134" w:bottom="2268" w:left="1134" w:header="1134" w:footer="1701" w:gutter="0"/>
          <w:cols w:space="720"/>
          <w:titlePg/>
        </w:sectPr>
      </w:pPr>
    </w:p>
    <w:p w:rsidR="00BB1DA8" w:rsidRPr="00B04DC3" w:rsidRDefault="00BB1DA8" w:rsidP="00BB1DA8">
      <w:pPr>
        <w:pStyle w:val="HChG"/>
      </w:pPr>
      <w:bookmarkStart w:id="860" w:name="_Toc423599665"/>
      <w:bookmarkStart w:id="861" w:name="_Toc423611073"/>
      <w:r w:rsidRPr="00B04DC3">
        <w:t>Annex 9A</w:t>
      </w:r>
      <w:bookmarkEnd w:id="860"/>
      <w:bookmarkEnd w:id="861"/>
    </w:p>
    <w:p w:rsidR="00BB1DA8" w:rsidRPr="00B04DC3" w:rsidRDefault="00BB1DA8" w:rsidP="00AE1A72">
      <w:pPr>
        <w:pStyle w:val="HChG"/>
        <w:spacing w:after="360"/>
      </w:pPr>
      <w:r w:rsidRPr="00B04DC3">
        <w:tab/>
      </w:r>
      <w:r w:rsidRPr="00B04DC3">
        <w:tab/>
      </w:r>
      <w:bookmarkStart w:id="862" w:name="_Toc423599666"/>
      <w:bookmarkStart w:id="863" w:name="_Toc423611074"/>
      <w:r w:rsidRPr="00B04DC3">
        <w:t>On-</w:t>
      </w:r>
      <w:r w:rsidR="00E2696A" w:rsidRPr="00B04DC3">
        <w:t>B</w:t>
      </w:r>
      <w:r w:rsidRPr="00B04DC3">
        <w:t xml:space="preserve">oard </w:t>
      </w:r>
      <w:r w:rsidR="00E2696A" w:rsidRPr="00B04DC3">
        <w:t>D</w:t>
      </w:r>
      <w:r w:rsidRPr="00B04DC3">
        <w:t>iagnostic systems (OBD)</w:t>
      </w:r>
      <w:bookmarkEnd w:id="862"/>
      <w:bookmarkEnd w:id="863"/>
    </w:p>
    <w:p w:rsidR="00BB1DA8" w:rsidRPr="00B04DC3" w:rsidRDefault="00BB1DA8" w:rsidP="00BB1DA8">
      <w:pPr>
        <w:pStyle w:val="para"/>
        <w:rPr>
          <w:lang w:val="en-GB"/>
        </w:rPr>
      </w:pPr>
      <w:r w:rsidRPr="00B04DC3">
        <w:rPr>
          <w:lang w:val="en-GB"/>
        </w:rPr>
        <w:t>1.</w:t>
      </w:r>
      <w:r w:rsidRPr="00B04DC3">
        <w:rPr>
          <w:lang w:val="en-GB"/>
        </w:rPr>
        <w:tab/>
        <w:t>Introduction</w:t>
      </w:r>
    </w:p>
    <w:p w:rsidR="00BB1DA8" w:rsidRPr="00B04DC3" w:rsidRDefault="00BB1DA8" w:rsidP="00BB1DA8">
      <w:pPr>
        <w:pStyle w:val="para"/>
        <w:rPr>
          <w:lang w:val="en-GB"/>
        </w:rPr>
      </w:pPr>
      <w:r w:rsidRPr="00B04DC3">
        <w:rPr>
          <w:lang w:val="en-GB"/>
        </w:rPr>
        <w:tab/>
        <w:t xml:space="preserve">This annex describes the provisions specific to the </w:t>
      </w:r>
      <w:r w:rsidR="004223B5" w:rsidRPr="00B04DC3">
        <w:rPr>
          <w:lang w:val="en-GB"/>
        </w:rPr>
        <w:t>O</w:t>
      </w:r>
      <w:r w:rsidRPr="00B04DC3">
        <w:rPr>
          <w:lang w:val="en-GB"/>
        </w:rPr>
        <w:t>n-</w:t>
      </w:r>
      <w:r w:rsidR="004223B5" w:rsidRPr="00B04DC3">
        <w:rPr>
          <w:lang w:val="en-GB"/>
        </w:rPr>
        <w:t>B</w:t>
      </w:r>
      <w:r w:rsidRPr="00B04DC3">
        <w:rPr>
          <w:lang w:val="en-GB"/>
        </w:rPr>
        <w:t xml:space="preserve">oard </w:t>
      </w:r>
      <w:r w:rsidR="004223B5" w:rsidRPr="00B04DC3">
        <w:rPr>
          <w:lang w:val="en-GB"/>
        </w:rPr>
        <w:t>D</w:t>
      </w:r>
      <w:r w:rsidRPr="00B04DC3">
        <w:rPr>
          <w:lang w:val="en-GB"/>
        </w:rPr>
        <w:t>iagnostic (OBD) system for the emission control systems of motor vehicles.</w:t>
      </w:r>
    </w:p>
    <w:p w:rsidR="00BB1DA8" w:rsidRPr="00B04DC3" w:rsidRDefault="00BB1DA8" w:rsidP="00BB1DA8">
      <w:pPr>
        <w:pStyle w:val="para"/>
        <w:rPr>
          <w:lang w:val="en-GB"/>
        </w:rPr>
      </w:pPr>
      <w:r w:rsidRPr="00B04DC3">
        <w:rPr>
          <w:lang w:val="en-GB"/>
        </w:rPr>
        <w:t>2.</w:t>
      </w:r>
      <w:r w:rsidRPr="00B04DC3">
        <w:rPr>
          <w:lang w:val="en-GB"/>
        </w:rPr>
        <w:tab/>
        <w:t>Definitions</w:t>
      </w:r>
    </w:p>
    <w:p w:rsidR="00BB1DA8" w:rsidRPr="00B04DC3" w:rsidRDefault="00BB1DA8" w:rsidP="00BB1DA8">
      <w:pPr>
        <w:pStyle w:val="para"/>
        <w:rPr>
          <w:lang w:val="en-GB"/>
        </w:rPr>
      </w:pPr>
      <w:r w:rsidRPr="00B04DC3">
        <w:rPr>
          <w:lang w:val="en-GB"/>
        </w:rPr>
        <w:t>2.1.</w:t>
      </w:r>
      <w:r w:rsidRPr="00B04DC3">
        <w:rPr>
          <w:lang w:val="en-GB"/>
        </w:rPr>
        <w:tab/>
        <w:t>For the purposes of this annex, the following definitions, in addition to the definitions contained in paragraph 2. of this Regulation, apply:</w:t>
      </w:r>
    </w:p>
    <w:p w:rsidR="00BB1DA8" w:rsidRPr="00B04DC3" w:rsidRDefault="00BB1DA8" w:rsidP="00BB1DA8">
      <w:pPr>
        <w:pStyle w:val="para"/>
        <w:rPr>
          <w:lang w:val="en-GB"/>
        </w:rPr>
      </w:pPr>
      <w:r w:rsidRPr="00B04DC3">
        <w:rPr>
          <w:lang w:val="en-GB"/>
        </w:rPr>
        <w:t>2.1.1.</w:t>
      </w:r>
      <w:r w:rsidRPr="00B04DC3">
        <w:rPr>
          <w:lang w:val="en-GB"/>
        </w:rPr>
        <w:tab/>
        <w:t>"</w:t>
      </w:r>
      <w:r w:rsidRPr="00B04DC3">
        <w:rPr>
          <w:i/>
          <w:lang w:val="en-GB"/>
        </w:rPr>
        <w:t>Warm-up cycle</w:t>
      </w:r>
      <w:r w:rsidRPr="00B04DC3">
        <w:rPr>
          <w:lang w:val="en-GB"/>
        </w:rPr>
        <w:t>" means sufficient engine operation such that the coolant temperature has risen by at least 22 K from engine starting and reaches a minimum temperature of 343 K (70 °C);</w:t>
      </w:r>
    </w:p>
    <w:p w:rsidR="00BB1DA8" w:rsidRPr="00B04DC3" w:rsidRDefault="00BB1DA8" w:rsidP="00BB1DA8">
      <w:pPr>
        <w:pStyle w:val="para"/>
        <w:rPr>
          <w:lang w:val="en-GB"/>
        </w:rPr>
      </w:pPr>
      <w:r w:rsidRPr="00B04DC3">
        <w:rPr>
          <w:lang w:val="en-GB"/>
        </w:rPr>
        <w:t>2.1.2.</w:t>
      </w:r>
      <w:r w:rsidRPr="00B04DC3">
        <w:rPr>
          <w:lang w:val="en-GB"/>
        </w:rPr>
        <w:tab/>
        <w:t>"</w:t>
      </w:r>
      <w:r w:rsidRPr="00B04DC3">
        <w:rPr>
          <w:i/>
          <w:lang w:val="en-GB"/>
        </w:rPr>
        <w:t>Access</w:t>
      </w:r>
      <w:r w:rsidRPr="00B04DC3">
        <w:rPr>
          <w:lang w:val="en-GB"/>
        </w:rPr>
        <w:t>" means the availability of all emission</w:t>
      </w:r>
      <w:r w:rsidRPr="00B04DC3">
        <w:rPr>
          <w:lang w:val="en-GB"/>
        </w:rPr>
        <w:noBreakHyphen/>
        <w:t>related OBD data including all fault codes required for the inspection, diagnosis, servicing or repair of emissions related parts of the vehicle, via the serial interface of the standard diagnostic connector;</w:t>
      </w:r>
    </w:p>
    <w:p w:rsidR="00BB1DA8" w:rsidRPr="00B04DC3" w:rsidRDefault="00BB1DA8" w:rsidP="00BB1DA8">
      <w:pPr>
        <w:pStyle w:val="para"/>
        <w:rPr>
          <w:lang w:val="en-GB"/>
        </w:rPr>
      </w:pPr>
      <w:r w:rsidRPr="00B04DC3">
        <w:rPr>
          <w:lang w:val="en-GB"/>
        </w:rPr>
        <w:t>2.1.3.</w:t>
      </w:r>
      <w:r w:rsidRPr="00B04DC3">
        <w:rPr>
          <w:lang w:val="en-GB"/>
        </w:rPr>
        <w:tab/>
        <w:t>"</w:t>
      </w:r>
      <w:r w:rsidRPr="00B04DC3">
        <w:rPr>
          <w:i/>
          <w:lang w:val="en-GB"/>
        </w:rPr>
        <w:t>Deficiency</w:t>
      </w:r>
      <w:r w:rsidRPr="00B04DC3">
        <w:rPr>
          <w:lang w:val="en-GB"/>
        </w:rPr>
        <w:t xml:space="preserve">" means, in respect of engine OBD </w:t>
      </w:r>
      <w:r w:rsidR="00175304" w:rsidRPr="00B04DC3">
        <w:rPr>
          <w:lang w:val="en-GB"/>
        </w:rPr>
        <w:t>systems that</w:t>
      </w:r>
      <w:r w:rsidRPr="00B04DC3">
        <w:rPr>
          <w:lang w:val="en-GB"/>
        </w:rPr>
        <w:t xml:space="preserve"> up to two separate components or systems that are monitored contain temporary or permanent operating characteristics that impair the otherwise efficient OBD monitoring of those components or systems or do not meet all the other detailed requirements for OBD. Engines or vehicles in respect of their engine may be approved, registered and sold with such deficiencies according to the requirements of paragraph 4.3. of this annex;</w:t>
      </w:r>
    </w:p>
    <w:p w:rsidR="00BB1DA8" w:rsidRPr="00B04DC3" w:rsidRDefault="00BB1DA8" w:rsidP="00BB1DA8">
      <w:pPr>
        <w:pStyle w:val="para"/>
        <w:rPr>
          <w:lang w:val="en-GB"/>
        </w:rPr>
      </w:pPr>
      <w:r w:rsidRPr="00B04DC3">
        <w:rPr>
          <w:lang w:val="en-GB"/>
        </w:rPr>
        <w:t>2.1.4.</w:t>
      </w:r>
      <w:r w:rsidRPr="00B04DC3">
        <w:rPr>
          <w:lang w:val="en-GB"/>
        </w:rPr>
        <w:tab/>
        <w:t>"</w:t>
      </w:r>
      <w:r w:rsidRPr="00B04DC3">
        <w:rPr>
          <w:i/>
          <w:lang w:val="en-GB"/>
        </w:rPr>
        <w:t>Deteriorated component/system</w:t>
      </w:r>
      <w:r w:rsidRPr="00B04DC3">
        <w:rPr>
          <w:lang w:val="en-GB"/>
        </w:rPr>
        <w:t xml:space="preserve">" means an engine or exhaust </w:t>
      </w:r>
      <w:r w:rsidR="006A75A0">
        <w:rPr>
          <w:lang w:val="en-GB"/>
        </w:rPr>
        <w:t>after-treatment</w:t>
      </w:r>
      <w:r w:rsidRPr="00B04DC3">
        <w:rPr>
          <w:lang w:val="en-GB"/>
        </w:rPr>
        <w:t xml:space="preserve"> component/system that has been intentionally deteriorated in a controlled manner by the manufacturer for the purpose of conducting a approval test on the OBD system;</w:t>
      </w:r>
    </w:p>
    <w:p w:rsidR="00BB1DA8" w:rsidRPr="00B04DC3" w:rsidRDefault="00BB1DA8" w:rsidP="00BB1DA8">
      <w:pPr>
        <w:pStyle w:val="para"/>
        <w:rPr>
          <w:lang w:val="en-GB"/>
        </w:rPr>
      </w:pPr>
      <w:r w:rsidRPr="00B04DC3">
        <w:rPr>
          <w:lang w:val="en-GB"/>
        </w:rPr>
        <w:t>2.1.5.</w:t>
      </w:r>
      <w:r w:rsidRPr="00B04DC3">
        <w:rPr>
          <w:lang w:val="en-GB"/>
        </w:rPr>
        <w:tab/>
        <w:t>"</w:t>
      </w:r>
      <w:r w:rsidRPr="00B04DC3">
        <w:rPr>
          <w:i/>
          <w:lang w:val="en-GB"/>
        </w:rPr>
        <w:t>OBD test cycle</w:t>
      </w:r>
      <w:r w:rsidRPr="00B04DC3">
        <w:rPr>
          <w:lang w:val="en-GB"/>
        </w:rPr>
        <w:t>" means a driving cycle which is a version of the ESC test cycle having the same running-order of the 13 individual modes as described in paragraph 2.7.1. of Appendix 1 to Annex 4A to this Regulation  but where the length of each mode is reduced to 60 seconds;</w:t>
      </w:r>
    </w:p>
    <w:p w:rsidR="00BB1DA8" w:rsidRPr="00B04DC3" w:rsidRDefault="00BB1DA8" w:rsidP="00BB1DA8">
      <w:pPr>
        <w:pStyle w:val="para"/>
        <w:rPr>
          <w:lang w:val="en-GB"/>
        </w:rPr>
      </w:pPr>
      <w:r w:rsidRPr="00B04DC3">
        <w:rPr>
          <w:lang w:val="en-GB"/>
        </w:rPr>
        <w:t>2.1.6.</w:t>
      </w:r>
      <w:r w:rsidRPr="00B04DC3">
        <w:rPr>
          <w:lang w:val="en-GB"/>
        </w:rPr>
        <w:tab/>
        <w:t>"</w:t>
      </w:r>
      <w:r w:rsidRPr="00B04DC3">
        <w:rPr>
          <w:i/>
          <w:lang w:val="en-GB"/>
        </w:rPr>
        <w:t>Operating sequence</w:t>
      </w:r>
      <w:r w:rsidRPr="00B04DC3">
        <w:rPr>
          <w:lang w:val="en-GB"/>
        </w:rPr>
        <w:t>" means the sequence used for determining the conditions for extinguishing the MI. It consists of an engine start-up, an operating period, an engine shut-off, and the time until the next start-up, where the OBD monitoring is running and a malfunction would be detected if present;</w:t>
      </w:r>
    </w:p>
    <w:p w:rsidR="00BB1DA8" w:rsidRPr="00B04DC3" w:rsidRDefault="00BB1DA8" w:rsidP="00BB1DA8">
      <w:pPr>
        <w:pStyle w:val="para"/>
        <w:rPr>
          <w:lang w:val="en-GB"/>
        </w:rPr>
      </w:pPr>
      <w:r w:rsidRPr="00B04DC3">
        <w:rPr>
          <w:lang w:val="en-GB"/>
        </w:rPr>
        <w:t>2.1.7.</w:t>
      </w:r>
      <w:r w:rsidRPr="00B04DC3">
        <w:rPr>
          <w:lang w:val="en-GB"/>
        </w:rPr>
        <w:tab/>
        <w:t>"</w:t>
      </w:r>
      <w:r w:rsidRPr="00B04DC3">
        <w:rPr>
          <w:i/>
          <w:lang w:val="en-GB"/>
        </w:rPr>
        <w:t>Preconditioning cycle</w:t>
      </w:r>
      <w:r w:rsidRPr="00B04DC3">
        <w:rPr>
          <w:lang w:val="en-GB"/>
        </w:rPr>
        <w:t>" means the running of at least three consecutive OBD test cycles or emission test cycles for the purpose of achieving stability of the engine operation, the emission control system and OBD monitoring readiness;</w:t>
      </w:r>
    </w:p>
    <w:p w:rsidR="00BB1DA8" w:rsidRPr="00B04DC3" w:rsidRDefault="00BB1DA8" w:rsidP="00AE1A72">
      <w:pPr>
        <w:pStyle w:val="para"/>
        <w:keepNext/>
        <w:keepLines/>
        <w:rPr>
          <w:lang w:val="en-GB"/>
        </w:rPr>
      </w:pPr>
      <w:r w:rsidRPr="00B04DC3">
        <w:rPr>
          <w:lang w:val="en-GB"/>
        </w:rPr>
        <w:t>2.1.8.</w:t>
      </w:r>
      <w:r w:rsidRPr="00B04DC3">
        <w:rPr>
          <w:lang w:val="en-GB"/>
        </w:rPr>
        <w:tab/>
        <w:t>"</w:t>
      </w:r>
      <w:r w:rsidRPr="00B04DC3">
        <w:rPr>
          <w:i/>
          <w:lang w:val="en-GB"/>
        </w:rPr>
        <w:t>Repair information</w:t>
      </w:r>
      <w:r w:rsidRPr="00B04DC3">
        <w:rPr>
          <w:lang w:val="en-GB"/>
        </w:rPr>
        <w:t xml:space="preserve">" means all information required for diagnosis, servicing, inspection, periodic monitoring or repair of the engine and which the manufacturers provide for their authorized dealers/repair shops. Where necessary, such information shall include service handbooks, technical manuals, diagnosis information (e.g. minimum and maximum theoretical </w:t>
      </w:r>
      <w:r w:rsidRPr="00B04DC3">
        <w:rPr>
          <w:lang w:val="en-GB"/>
        </w:rPr>
        <w:br/>
        <w:t>values for measurements), wiring diagrams, the software calibration identification number applicable to an engine type, information enabling the update of the software of the electronic systems in accordance with the specifications of the vehicle manufacturer, instructions for individual and special cases, information provided concerning tools and equipment, data record information and two</w:t>
      </w:r>
      <w:r w:rsidRPr="00B04DC3">
        <w:rPr>
          <w:lang w:val="en-GB"/>
        </w:rPr>
        <w:noBreakHyphen/>
        <w:t>directional monitoring and test data. The manufacturer shall not be obliged to make available that information which is covered by intellectual property rights or constitutes specific know-how of manufacturers and/or OEM suppliers; in this case the necessary technical information shall not be improperly withheld;</w:t>
      </w:r>
    </w:p>
    <w:p w:rsidR="00BB1DA8" w:rsidRPr="00B04DC3" w:rsidRDefault="00BB1DA8" w:rsidP="00BB1DA8">
      <w:pPr>
        <w:pStyle w:val="para"/>
        <w:rPr>
          <w:lang w:val="en-GB"/>
        </w:rPr>
      </w:pPr>
      <w:r w:rsidRPr="00B04DC3">
        <w:rPr>
          <w:lang w:val="en-GB"/>
        </w:rPr>
        <w:t>2.1.9.</w:t>
      </w:r>
      <w:r w:rsidRPr="00B04DC3">
        <w:rPr>
          <w:lang w:val="en-GB"/>
        </w:rPr>
        <w:tab/>
        <w:t>"</w:t>
      </w:r>
      <w:r w:rsidRPr="00B04DC3">
        <w:rPr>
          <w:i/>
          <w:lang w:val="en-GB"/>
        </w:rPr>
        <w:t>Standardized</w:t>
      </w:r>
      <w:r w:rsidRPr="00B04DC3">
        <w:rPr>
          <w:lang w:val="en-GB"/>
        </w:rPr>
        <w:t>" means that all emission related OBD data (i.e. stream information in the case a scanning tool is used), including all fault codes used, shall be produced only in accordance with industry standards which, by virtue of the fact that their format and the permitted options are clearly defined, provide for a maximum level of harmonisation in the motor vehicle industry, and whose use is expressly permitted in this Regulation;</w:t>
      </w:r>
    </w:p>
    <w:p w:rsidR="00BB1DA8" w:rsidRPr="00B04DC3" w:rsidRDefault="00BB1DA8" w:rsidP="00BB1DA8">
      <w:pPr>
        <w:pStyle w:val="para"/>
        <w:rPr>
          <w:lang w:val="en-GB"/>
        </w:rPr>
      </w:pPr>
      <w:r w:rsidRPr="00B04DC3">
        <w:rPr>
          <w:lang w:val="en-GB"/>
        </w:rPr>
        <w:t>2.1.10.</w:t>
      </w:r>
      <w:r w:rsidRPr="00B04DC3">
        <w:rPr>
          <w:lang w:val="en-GB"/>
        </w:rPr>
        <w:tab/>
        <w:t>"</w:t>
      </w:r>
      <w:r w:rsidRPr="00B04DC3">
        <w:rPr>
          <w:i/>
          <w:lang w:val="en-GB"/>
        </w:rPr>
        <w:t>Unrestricted</w:t>
      </w:r>
      <w:r w:rsidRPr="00B04DC3">
        <w:rPr>
          <w:lang w:val="en-GB"/>
        </w:rPr>
        <w:t>" means:</w:t>
      </w:r>
    </w:p>
    <w:p w:rsidR="00BB1DA8" w:rsidRPr="00B04DC3" w:rsidRDefault="00BB1DA8" w:rsidP="00BB1DA8">
      <w:pPr>
        <w:pStyle w:val="a"/>
        <w:rPr>
          <w:lang w:val="en-GB"/>
        </w:rPr>
      </w:pPr>
      <w:r w:rsidRPr="00B04DC3">
        <w:rPr>
          <w:lang w:val="en-GB"/>
        </w:rPr>
        <w:t>(a)</w:t>
      </w:r>
      <w:r w:rsidRPr="00B04DC3">
        <w:rPr>
          <w:lang w:val="en-GB"/>
        </w:rPr>
        <w:tab/>
        <w:t>Access not dependent on an access code obtainable only from the manufacturer, or a similar device, or,</w:t>
      </w:r>
    </w:p>
    <w:p w:rsidR="00BB1DA8" w:rsidRPr="00B04DC3" w:rsidRDefault="00BB1DA8" w:rsidP="00BB1DA8">
      <w:pPr>
        <w:pStyle w:val="a"/>
        <w:rPr>
          <w:lang w:val="en-GB"/>
        </w:rPr>
      </w:pPr>
      <w:r w:rsidRPr="00B04DC3">
        <w:rPr>
          <w:lang w:val="en-GB"/>
        </w:rPr>
        <w:t>(b)</w:t>
      </w:r>
      <w:r w:rsidRPr="00B04DC3">
        <w:rPr>
          <w:lang w:val="en-GB"/>
        </w:rPr>
        <w:tab/>
        <w:t>Access allowing evaluation of the data produced without the need for any unique decoding information, unless that information itself is standardized.</w:t>
      </w:r>
    </w:p>
    <w:p w:rsidR="00BB1DA8" w:rsidRPr="00B04DC3" w:rsidRDefault="00BB1DA8" w:rsidP="00BB1DA8">
      <w:pPr>
        <w:pStyle w:val="para"/>
        <w:rPr>
          <w:lang w:val="en-GB"/>
        </w:rPr>
      </w:pPr>
      <w:r w:rsidRPr="00B04DC3">
        <w:rPr>
          <w:lang w:val="en-GB"/>
        </w:rPr>
        <w:t>3.</w:t>
      </w:r>
      <w:r w:rsidRPr="00B04DC3">
        <w:rPr>
          <w:lang w:val="en-GB"/>
        </w:rPr>
        <w:tab/>
        <w:t>Requirements and tests</w:t>
      </w:r>
    </w:p>
    <w:p w:rsidR="00BB1DA8" w:rsidRPr="00B04DC3" w:rsidRDefault="00BB1DA8" w:rsidP="00BB1DA8">
      <w:pPr>
        <w:pStyle w:val="para"/>
        <w:rPr>
          <w:lang w:val="en-GB"/>
        </w:rPr>
      </w:pPr>
      <w:r w:rsidRPr="00B04DC3">
        <w:rPr>
          <w:lang w:val="en-GB"/>
        </w:rPr>
        <w:t>3.1.</w:t>
      </w:r>
      <w:r w:rsidRPr="00B04DC3">
        <w:rPr>
          <w:lang w:val="en-GB"/>
        </w:rPr>
        <w:tab/>
        <w:t>General requirements</w:t>
      </w:r>
    </w:p>
    <w:p w:rsidR="00BB1DA8" w:rsidRPr="00B04DC3" w:rsidRDefault="00BB1DA8" w:rsidP="00BB1DA8">
      <w:pPr>
        <w:pStyle w:val="para"/>
        <w:rPr>
          <w:lang w:val="en-GB"/>
        </w:rPr>
      </w:pPr>
      <w:r w:rsidRPr="00B04DC3">
        <w:rPr>
          <w:lang w:val="en-GB"/>
        </w:rPr>
        <w:t>3.1.1.</w:t>
      </w:r>
      <w:r w:rsidRPr="00B04DC3">
        <w:rPr>
          <w:lang w:val="en-GB"/>
        </w:rPr>
        <w:tab/>
        <w:t xml:space="preserve">OBD systems shall be designed, constructed and installed in a vehicle so as to enable it to identify types of malfunction over the entire life of the engine. In achieving this objective the </w:t>
      </w:r>
      <w:r w:rsidR="00175304">
        <w:rPr>
          <w:lang w:val="en-GB"/>
        </w:rPr>
        <w:t>Type Approval Authority</w:t>
      </w:r>
      <w:r w:rsidRPr="00B04DC3">
        <w:rPr>
          <w:lang w:val="en-GB"/>
        </w:rPr>
        <w:t xml:space="preserve"> shall accept that engines which have been used in excess of the appropriate durability period defined in paragraph 5.3. of this Regulation may show some deterioration in OBD system performance such that the OBD thresholds given in the table in paragraph 5.4.4. of this Regulation may be exceeded before the OBD system signals a failure to the driver of the vehicle.</w:t>
      </w:r>
    </w:p>
    <w:p w:rsidR="00BB1DA8" w:rsidRPr="00B04DC3" w:rsidRDefault="00BB1DA8" w:rsidP="00BB1DA8">
      <w:pPr>
        <w:pStyle w:val="para"/>
        <w:rPr>
          <w:lang w:val="en-GB"/>
        </w:rPr>
      </w:pPr>
      <w:r w:rsidRPr="00B04DC3">
        <w:rPr>
          <w:lang w:val="en-GB"/>
        </w:rPr>
        <w:t>3.1.2.</w:t>
      </w:r>
      <w:r w:rsidRPr="00B04DC3">
        <w:rPr>
          <w:lang w:val="en-GB"/>
        </w:rPr>
        <w:tab/>
        <w:t xml:space="preserve">A sequence of diagnostic checks shall be initiated at each engine start and completed at least once provided that the correct test conditions are met. The test conditions shall be selected in such a way that they all occur under the driving conditions as represented by the test defined in paragraph 2. of </w:t>
      </w:r>
      <w:r w:rsidR="004223B5">
        <w:rPr>
          <w:lang w:val="en-GB"/>
        </w:rPr>
        <w:t xml:space="preserve">the </w:t>
      </w:r>
      <w:r w:rsidR="004223B5" w:rsidRPr="004223B5">
        <w:rPr>
          <w:lang w:val="en-GB"/>
        </w:rPr>
        <w:t>appendix</w:t>
      </w:r>
      <w:r w:rsidR="004223B5" w:rsidRPr="00B04DC3">
        <w:rPr>
          <w:lang w:val="en-GB"/>
        </w:rPr>
        <w:t xml:space="preserve"> </w:t>
      </w:r>
      <w:r w:rsidRPr="00B04DC3">
        <w:rPr>
          <w:lang w:val="en-GB"/>
        </w:rPr>
        <w:t>to this annex.</w:t>
      </w:r>
    </w:p>
    <w:p w:rsidR="00BB1DA8" w:rsidRPr="00B04DC3" w:rsidRDefault="00BB1DA8" w:rsidP="00BB1DA8">
      <w:pPr>
        <w:pStyle w:val="para"/>
        <w:rPr>
          <w:lang w:val="en-GB"/>
        </w:rPr>
      </w:pPr>
      <w:r w:rsidRPr="00B04DC3">
        <w:rPr>
          <w:lang w:val="en-GB"/>
        </w:rPr>
        <w:t>3.1.2.1.</w:t>
      </w:r>
      <w:r w:rsidRPr="00B04DC3">
        <w:rPr>
          <w:lang w:val="en-GB"/>
        </w:rPr>
        <w:tab/>
        <w:t>Manufacturers are not required to activate a component/system exclusively for the purpose of OBD functional monitoring under vehicle operating conditions when it would not normally be active (e.g. activation of a reagent tank heater of a deNO</w:t>
      </w:r>
      <w:r w:rsidRPr="00B04DC3">
        <w:rPr>
          <w:vertAlign w:val="subscript"/>
          <w:lang w:val="en-GB"/>
        </w:rPr>
        <w:t>x</w:t>
      </w:r>
      <w:r w:rsidRPr="00B04DC3">
        <w:rPr>
          <w:lang w:val="en-GB"/>
        </w:rPr>
        <w:t xml:space="preserve"> system or combined deNO</w:t>
      </w:r>
      <w:r w:rsidRPr="00B04DC3">
        <w:rPr>
          <w:vertAlign w:val="subscript"/>
          <w:lang w:val="en-GB"/>
        </w:rPr>
        <w:t>x</w:t>
      </w:r>
      <w:r w:rsidRPr="00B04DC3">
        <w:rPr>
          <w:lang w:val="en-GB"/>
        </w:rPr>
        <w:t>-particulate filter when such a system would not normally be active).</w:t>
      </w:r>
    </w:p>
    <w:p w:rsidR="00BB1DA8" w:rsidRPr="00B04DC3" w:rsidRDefault="00BB1DA8" w:rsidP="00BB1DA8">
      <w:pPr>
        <w:pStyle w:val="para"/>
        <w:rPr>
          <w:lang w:val="en-GB"/>
        </w:rPr>
      </w:pPr>
      <w:r w:rsidRPr="00B04DC3">
        <w:rPr>
          <w:lang w:val="en-GB"/>
        </w:rPr>
        <w:t>3.1.3.</w:t>
      </w:r>
      <w:r w:rsidRPr="00B04DC3">
        <w:rPr>
          <w:lang w:val="en-GB"/>
        </w:rPr>
        <w:tab/>
        <w:t>OBD may involve devices, which measure, senses or responds to operating variables (e.g. vehicle speed, engine speed, gear used, temperature, intake pressure or any other parameter) for the purpose of detecting malfunctions and of minimizing the risk of indicating false malfunction. These devices are not defeat devices.</w:t>
      </w:r>
    </w:p>
    <w:p w:rsidR="00BB1DA8" w:rsidRPr="00B04DC3" w:rsidRDefault="00BB1DA8" w:rsidP="00BB1DA8">
      <w:pPr>
        <w:pStyle w:val="para"/>
        <w:rPr>
          <w:lang w:val="en-GB"/>
        </w:rPr>
      </w:pPr>
      <w:r w:rsidRPr="00B04DC3">
        <w:rPr>
          <w:lang w:val="en-GB"/>
        </w:rPr>
        <w:t>3.1.4.</w:t>
      </w:r>
      <w:r w:rsidRPr="00B04DC3">
        <w:rPr>
          <w:lang w:val="en-GB"/>
        </w:rPr>
        <w:tab/>
        <w:t>Access to the OBD system required for the inspection, diagnosis, servicing or repair of the engine shall be unrestricted and standardized. All emission related fault codes shall be consistent with those described in paragraph 6.8.5. of this annex.</w:t>
      </w:r>
    </w:p>
    <w:p w:rsidR="00BB1DA8" w:rsidRPr="00B04DC3" w:rsidRDefault="00BB1DA8" w:rsidP="00BB1DA8">
      <w:pPr>
        <w:pStyle w:val="para"/>
        <w:rPr>
          <w:lang w:val="en-GB"/>
        </w:rPr>
      </w:pPr>
      <w:r w:rsidRPr="00B04DC3">
        <w:rPr>
          <w:lang w:val="en-GB"/>
        </w:rPr>
        <w:t>3.2.</w:t>
      </w:r>
      <w:r w:rsidRPr="00B04DC3">
        <w:rPr>
          <w:lang w:val="en-GB"/>
        </w:rPr>
        <w:tab/>
        <w:t>OBD Stage 1 requirements</w:t>
      </w:r>
    </w:p>
    <w:p w:rsidR="00BB1DA8" w:rsidRPr="00B04DC3" w:rsidRDefault="00BB1DA8" w:rsidP="00BB1DA8">
      <w:pPr>
        <w:pStyle w:val="para"/>
        <w:rPr>
          <w:lang w:val="en-GB"/>
        </w:rPr>
      </w:pPr>
      <w:r w:rsidRPr="00B04DC3">
        <w:rPr>
          <w:lang w:val="en-GB"/>
        </w:rPr>
        <w:t>3.2.1.</w:t>
      </w:r>
      <w:r w:rsidRPr="00B04DC3">
        <w:rPr>
          <w:lang w:val="en-GB"/>
        </w:rPr>
        <w:tab/>
        <w:t>From the dates given in paragraph 5.4.2. of this Regulation, the OBD system of all diesel engines and of vehicles equipped with a diesel engine shall indicate the failure of an emission</w:t>
      </w:r>
      <w:r w:rsidRPr="00B04DC3">
        <w:rPr>
          <w:lang w:val="en-GB"/>
        </w:rPr>
        <w:noBreakHyphen/>
        <w:t>related component or system when that failure results in an increase in emissions above the appropriate OBD thresholds given in the table in paragraph 5.4.4. of this Regulation.</w:t>
      </w:r>
    </w:p>
    <w:p w:rsidR="00BB1DA8" w:rsidRPr="00B04DC3" w:rsidRDefault="00BB1DA8" w:rsidP="00BB1DA8">
      <w:pPr>
        <w:pStyle w:val="para"/>
        <w:rPr>
          <w:lang w:val="en-GB"/>
        </w:rPr>
      </w:pPr>
      <w:r w:rsidRPr="00B04DC3">
        <w:rPr>
          <w:lang w:val="en-GB"/>
        </w:rPr>
        <w:t>3.2.2.</w:t>
      </w:r>
      <w:r w:rsidRPr="00B04DC3">
        <w:rPr>
          <w:lang w:val="en-GB"/>
        </w:rPr>
        <w:tab/>
        <w:t>In satisfying the Stage 1 requirements, the OBD system shall monitor for:</w:t>
      </w:r>
    </w:p>
    <w:p w:rsidR="00BB1DA8" w:rsidRPr="00B04DC3" w:rsidRDefault="00BB1DA8" w:rsidP="00BB1DA8">
      <w:pPr>
        <w:pStyle w:val="para"/>
        <w:rPr>
          <w:lang w:val="en-GB"/>
        </w:rPr>
      </w:pPr>
      <w:r w:rsidRPr="00B04DC3">
        <w:rPr>
          <w:lang w:val="en-GB"/>
        </w:rPr>
        <w:t>3.2.2.1.</w:t>
      </w:r>
      <w:r w:rsidRPr="00B04DC3">
        <w:rPr>
          <w:lang w:val="en-GB"/>
        </w:rPr>
        <w:tab/>
        <w:t>Complete removal of a catalyst, where fitted in a separate housing, that may or may not be part of a deNO</w:t>
      </w:r>
      <w:r w:rsidRPr="00B04DC3">
        <w:rPr>
          <w:vertAlign w:val="subscript"/>
          <w:lang w:val="en-GB"/>
        </w:rPr>
        <w:t>x</w:t>
      </w:r>
      <w:r w:rsidRPr="00B04DC3">
        <w:rPr>
          <w:lang w:val="en-GB"/>
        </w:rPr>
        <w:t xml:space="preserve"> system or particulate filter.</w:t>
      </w:r>
    </w:p>
    <w:p w:rsidR="00BB1DA8" w:rsidRPr="00B04DC3" w:rsidRDefault="00BB1DA8" w:rsidP="00BB1DA8">
      <w:pPr>
        <w:pStyle w:val="para"/>
        <w:rPr>
          <w:lang w:val="en-GB"/>
        </w:rPr>
      </w:pPr>
      <w:r w:rsidRPr="00B04DC3">
        <w:rPr>
          <w:lang w:val="en-GB"/>
        </w:rPr>
        <w:t>3.2.2.2.</w:t>
      </w:r>
      <w:r w:rsidRPr="00B04DC3">
        <w:rPr>
          <w:lang w:val="en-GB"/>
        </w:rPr>
        <w:tab/>
        <w:t>Reduction in the efficiency of the deNO</w:t>
      </w:r>
      <w:r w:rsidRPr="00B04DC3">
        <w:rPr>
          <w:vertAlign w:val="subscript"/>
          <w:lang w:val="en-GB"/>
        </w:rPr>
        <w:t>x</w:t>
      </w:r>
      <w:r w:rsidRPr="00B04DC3">
        <w:rPr>
          <w:lang w:val="en-GB"/>
        </w:rPr>
        <w:t xml:space="preserve"> system, where fitted, with respect to the emissions of NO</w:t>
      </w:r>
      <w:r w:rsidRPr="00B04DC3">
        <w:rPr>
          <w:vertAlign w:val="subscript"/>
          <w:lang w:val="en-GB"/>
        </w:rPr>
        <w:t>x</w:t>
      </w:r>
      <w:r w:rsidRPr="00B04DC3">
        <w:rPr>
          <w:lang w:val="en-GB"/>
        </w:rPr>
        <w:t xml:space="preserve"> only.</w:t>
      </w:r>
    </w:p>
    <w:p w:rsidR="00BB1DA8" w:rsidRPr="00B04DC3" w:rsidRDefault="00BB1DA8" w:rsidP="00BB1DA8">
      <w:pPr>
        <w:pStyle w:val="para"/>
        <w:rPr>
          <w:lang w:val="en-GB"/>
        </w:rPr>
      </w:pPr>
      <w:r w:rsidRPr="00B04DC3">
        <w:rPr>
          <w:lang w:val="en-GB"/>
        </w:rPr>
        <w:t>3.2.2.3.</w:t>
      </w:r>
      <w:r w:rsidRPr="00B04DC3">
        <w:rPr>
          <w:lang w:val="en-GB"/>
        </w:rPr>
        <w:tab/>
        <w:t>Reduction in the efficiency of the particulate filter, where fitted, with respect to the emissions of particulate only.</w:t>
      </w:r>
    </w:p>
    <w:p w:rsidR="00BB1DA8" w:rsidRPr="00B04DC3" w:rsidRDefault="00BB1DA8" w:rsidP="00BB1DA8">
      <w:pPr>
        <w:pStyle w:val="para"/>
        <w:rPr>
          <w:lang w:val="en-GB"/>
        </w:rPr>
      </w:pPr>
      <w:r w:rsidRPr="00B04DC3">
        <w:rPr>
          <w:lang w:val="en-GB"/>
        </w:rPr>
        <w:t>3.2.2.4.</w:t>
      </w:r>
      <w:r w:rsidRPr="00B04DC3">
        <w:rPr>
          <w:lang w:val="en-GB"/>
        </w:rPr>
        <w:tab/>
        <w:t>Reduction in the efficiency of a combined deNO</w:t>
      </w:r>
      <w:r w:rsidRPr="00B04DC3">
        <w:rPr>
          <w:vertAlign w:val="subscript"/>
          <w:lang w:val="en-GB"/>
        </w:rPr>
        <w:t>x</w:t>
      </w:r>
      <w:r w:rsidRPr="00B04DC3">
        <w:rPr>
          <w:lang w:val="en-GB"/>
        </w:rPr>
        <w:t>-particulate filter system, where fitted, with respect to both the emissions of NO</w:t>
      </w:r>
      <w:r w:rsidRPr="00B04DC3">
        <w:rPr>
          <w:vertAlign w:val="subscript"/>
          <w:lang w:val="en-GB"/>
        </w:rPr>
        <w:t>x</w:t>
      </w:r>
      <w:r w:rsidRPr="00B04DC3">
        <w:rPr>
          <w:lang w:val="en-GB"/>
        </w:rPr>
        <w:t xml:space="preserve"> and particulate.</w:t>
      </w:r>
    </w:p>
    <w:p w:rsidR="00BB1DA8" w:rsidRPr="00B04DC3" w:rsidRDefault="00BB1DA8" w:rsidP="00BB1DA8">
      <w:pPr>
        <w:pStyle w:val="para"/>
        <w:rPr>
          <w:lang w:val="en-GB"/>
        </w:rPr>
      </w:pPr>
      <w:r w:rsidRPr="00B04DC3">
        <w:rPr>
          <w:lang w:val="en-GB"/>
        </w:rPr>
        <w:t>3.2.3.</w:t>
      </w:r>
      <w:r w:rsidRPr="00B04DC3">
        <w:rPr>
          <w:lang w:val="en-GB"/>
        </w:rPr>
        <w:tab/>
        <w:t>Major functional failure</w:t>
      </w:r>
    </w:p>
    <w:p w:rsidR="00BB1DA8" w:rsidRPr="00B04DC3" w:rsidRDefault="00BB1DA8" w:rsidP="00BB1DA8">
      <w:pPr>
        <w:pStyle w:val="para"/>
        <w:rPr>
          <w:lang w:val="en-GB"/>
        </w:rPr>
      </w:pPr>
      <w:r w:rsidRPr="00B04DC3">
        <w:rPr>
          <w:lang w:val="en-GB"/>
        </w:rPr>
        <w:t>3.2.3.1.</w:t>
      </w:r>
      <w:r w:rsidRPr="00B04DC3">
        <w:rPr>
          <w:lang w:val="en-GB"/>
        </w:rPr>
        <w:tab/>
        <w:t>As an alternative to monitoring against the appropriate OBD threshold limits with respect to paragraphs 3.2.2.1. to 3.2.2.4.</w:t>
      </w:r>
      <w:r w:rsidR="004223B5">
        <w:rPr>
          <w:lang w:val="en-GB"/>
        </w:rPr>
        <w:t xml:space="preserve"> of this annex</w:t>
      </w:r>
      <w:r w:rsidRPr="00B04DC3">
        <w:rPr>
          <w:lang w:val="en-GB"/>
        </w:rPr>
        <w:t>, OBD systems of diesel engines may in accordance with paragraph 5.4.1.1. of this Regulation monitor for major functional failure of the following components:</w:t>
      </w:r>
    </w:p>
    <w:p w:rsidR="00BB1DA8" w:rsidRPr="00B04DC3" w:rsidRDefault="00BB1DA8" w:rsidP="00BB1DA8">
      <w:pPr>
        <w:pStyle w:val="a"/>
        <w:rPr>
          <w:lang w:val="en-GB"/>
        </w:rPr>
      </w:pPr>
      <w:r w:rsidRPr="00B04DC3">
        <w:rPr>
          <w:lang w:val="en-GB"/>
        </w:rPr>
        <w:t>(a)</w:t>
      </w:r>
      <w:r w:rsidRPr="00B04DC3">
        <w:rPr>
          <w:lang w:val="en-GB"/>
        </w:rPr>
        <w:tab/>
        <w:t>A catalyst, where fitted as a separate unit, that may or may not be part of a deNO</w:t>
      </w:r>
      <w:r w:rsidRPr="00B04DC3">
        <w:rPr>
          <w:vertAlign w:val="subscript"/>
          <w:lang w:val="en-GB"/>
        </w:rPr>
        <w:t>x</w:t>
      </w:r>
      <w:r w:rsidRPr="00B04DC3">
        <w:rPr>
          <w:lang w:val="en-GB"/>
        </w:rPr>
        <w:t xml:space="preserve"> system or particulate filter;</w:t>
      </w:r>
    </w:p>
    <w:p w:rsidR="00BB1DA8" w:rsidRPr="00B04DC3" w:rsidRDefault="00BB1DA8" w:rsidP="00BB1DA8">
      <w:pPr>
        <w:pStyle w:val="a"/>
        <w:rPr>
          <w:lang w:val="en-GB"/>
        </w:rPr>
      </w:pPr>
      <w:r w:rsidRPr="00B04DC3">
        <w:rPr>
          <w:lang w:val="en-GB"/>
        </w:rPr>
        <w:t>(b)</w:t>
      </w:r>
      <w:r w:rsidRPr="00B04DC3">
        <w:rPr>
          <w:lang w:val="en-GB"/>
        </w:rPr>
        <w:tab/>
        <w:t>A deNO</w:t>
      </w:r>
      <w:r w:rsidRPr="00B04DC3">
        <w:rPr>
          <w:vertAlign w:val="subscript"/>
          <w:lang w:val="en-GB"/>
        </w:rPr>
        <w:t>x</w:t>
      </w:r>
      <w:r w:rsidRPr="00B04DC3">
        <w:rPr>
          <w:lang w:val="en-GB"/>
        </w:rPr>
        <w:t xml:space="preserve"> system, where fitted;</w:t>
      </w:r>
    </w:p>
    <w:p w:rsidR="00BB1DA8" w:rsidRPr="00B04DC3" w:rsidRDefault="00BB1DA8" w:rsidP="00BB1DA8">
      <w:pPr>
        <w:pStyle w:val="a"/>
        <w:rPr>
          <w:lang w:val="en-GB"/>
        </w:rPr>
      </w:pPr>
      <w:r w:rsidRPr="00B04DC3">
        <w:rPr>
          <w:lang w:val="en-GB"/>
        </w:rPr>
        <w:t>(c)</w:t>
      </w:r>
      <w:r w:rsidRPr="00B04DC3">
        <w:rPr>
          <w:lang w:val="en-GB"/>
        </w:rPr>
        <w:tab/>
        <w:t>A particulate filter, where fitted;</w:t>
      </w:r>
    </w:p>
    <w:p w:rsidR="00BB1DA8" w:rsidRPr="00B04DC3" w:rsidRDefault="00BB1DA8" w:rsidP="00BB1DA8">
      <w:pPr>
        <w:pStyle w:val="a"/>
        <w:rPr>
          <w:lang w:val="en-GB"/>
        </w:rPr>
      </w:pPr>
      <w:r w:rsidRPr="00B04DC3">
        <w:rPr>
          <w:lang w:val="en-GB"/>
        </w:rPr>
        <w:t>(d)</w:t>
      </w:r>
      <w:r w:rsidRPr="00B04DC3">
        <w:rPr>
          <w:lang w:val="en-GB"/>
        </w:rPr>
        <w:tab/>
        <w:t>A combined deNO</w:t>
      </w:r>
      <w:r w:rsidRPr="00B04DC3">
        <w:rPr>
          <w:vertAlign w:val="subscript"/>
          <w:lang w:val="en-GB"/>
        </w:rPr>
        <w:t>x</w:t>
      </w:r>
      <w:r w:rsidRPr="00B04DC3">
        <w:rPr>
          <w:lang w:val="en-GB"/>
        </w:rPr>
        <w:t>-particulate filter system.</w:t>
      </w:r>
    </w:p>
    <w:p w:rsidR="00BB1DA8" w:rsidRPr="00B04DC3" w:rsidRDefault="00BB1DA8" w:rsidP="00BB1DA8">
      <w:pPr>
        <w:pStyle w:val="para"/>
        <w:rPr>
          <w:lang w:val="en-GB"/>
        </w:rPr>
      </w:pPr>
      <w:r w:rsidRPr="00B04DC3">
        <w:rPr>
          <w:lang w:val="en-GB"/>
        </w:rPr>
        <w:t>3.2.3.2.</w:t>
      </w:r>
      <w:r w:rsidRPr="00B04DC3">
        <w:rPr>
          <w:lang w:val="en-GB"/>
        </w:rPr>
        <w:tab/>
        <w:t>In the case of an engine equipped with a deNO</w:t>
      </w:r>
      <w:r w:rsidRPr="00B04DC3">
        <w:rPr>
          <w:vertAlign w:val="subscript"/>
          <w:lang w:val="en-GB"/>
        </w:rPr>
        <w:t>x</w:t>
      </w:r>
      <w:r w:rsidRPr="00B04DC3">
        <w:rPr>
          <w:lang w:val="en-GB"/>
        </w:rPr>
        <w:t xml:space="preserve"> system, examples of monitoring for major functional failure are for complete removal of the system or replacement of the system by a bogus system (both intentional major functional failure), lack of required reagent for a deNO</w:t>
      </w:r>
      <w:r w:rsidRPr="00B04DC3">
        <w:rPr>
          <w:vertAlign w:val="subscript"/>
          <w:lang w:val="en-GB"/>
        </w:rPr>
        <w:t>x</w:t>
      </w:r>
      <w:r w:rsidRPr="00B04DC3">
        <w:rPr>
          <w:lang w:val="en-GB"/>
        </w:rPr>
        <w:t xml:space="preserve"> system, failure of any SCR electrical component, any electrical failure of a component (e.g. sensors and actuators, dosing control unit) of a deNO</w:t>
      </w:r>
      <w:r w:rsidRPr="00B04DC3">
        <w:rPr>
          <w:vertAlign w:val="subscript"/>
          <w:lang w:val="en-GB"/>
        </w:rPr>
        <w:t>x</w:t>
      </w:r>
      <w:r w:rsidRPr="00B04DC3">
        <w:rPr>
          <w:lang w:val="en-GB"/>
        </w:rPr>
        <w:t xml:space="preserve"> system including, when applicable, the reagent heating system, failure of the reagent dosing system (e.g. missing air supply, clogged nozzle, dosing pump failure).</w:t>
      </w:r>
    </w:p>
    <w:p w:rsidR="00BB1DA8" w:rsidRPr="00B04DC3" w:rsidRDefault="00BB1DA8" w:rsidP="00AE1A72">
      <w:pPr>
        <w:pStyle w:val="para"/>
        <w:keepNext/>
        <w:keepLines/>
        <w:rPr>
          <w:lang w:val="en-GB"/>
        </w:rPr>
      </w:pPr>
      <w:r w:rsidRPr="00B04DC3">
        <w:rPr>
          <w:lang w:val="en-GB"/>
        </w:rPr>
        <w:t>3.2.3.3.</w:t>
      </w:r>
      <w:r w:rsidRPr="00B04DC3">
        <w:rPr>
          <w:lang w:val="en-GB"/>
        </w:rPr>
        <w:tab/>
        <w:t>In the case of an engine equipped with a particulate filter, examples of monitoring for major functional failure are for major melting of the trap substrate or a clogged trap resulting in a differential pressure out of the range declared by the manufacturer, any electrical failure of a component (e.g. sensors and actuators, dosing control unit) of a particulate filter, any failure, when applicable, of a reagent dosing system (e.g. clogged nozzle, dosing pump failure).</w:t>
      </w:r>
    </w:p>
    <w:p w:rsidR="00BB1DA8" w:rsidRPr="00B04DC3" w:rsidRDefault="00BB1DA8" w:rsidP="00BB1DA8">
      <w:pPr>
        <w:pStyle w:val="para"/>
        <w:rPr>
          <w:lang w:val="en-GB"/>
        </w:rPr>
      </w:pPr>
      <w:r w:rsidRPr="00B04DC3">
        <w:rPr>
          <w:lang w:val="en-GB"/>
        </w:rPr>
        <w:t>3.2.4.</w:t>
      </w:r>
      <w:r w:rsidRPr="00B04DC3">
        <w:rPr>
          <w:rStyle w:val="FootnoteReference1"/>
          <w:lang w:val="en-GB"/>
        </w:rPr>
        <w:tab/>
      </w:r>
      <w:r w:rsidRPr="00B04DC3">
        <w:rPr>
          <w:lang w:val="en-GB"/>
        </w:rPr>
        <w:t xml:space="preserve">Manufacturers may demonstrate to the </w:t>
      </w:r>
      <w:r w:rsidR="0055021A">
        <w:rPr>
          <w:lang w:val="en-GB"/>
        </w:rPr>
        <w:t xml:space="preserve">Type </w:t>
      </w:r>
      <w:r w:rsidRPr="00B04DC3">
        <w:rPr>
          <w:lang w:val="en-GB"/>
        </w:rPr>
        <w:t xml:space="preserve">Approval Authority that certain components or systems need not be monitored if, in the event of their total failure or removal, emissions do not exceed the applicable thresholds limits for OBD Stage 1 given in the table in paragraph 5.4.4. of this Regulation when measured over the cycles shown in paragraph 1.1. of </w:t>
      </w:r>
      <w:r w:rsidR="004223B5">
        <w:rPr>
          <w:lang w:val="en-GB"/>
        </w:rPr>
        <w:t>the a</w:t>
      </w:r>
      <w:r w:rsidR="004223B5" w:rsidRPr="00B04DC3">
        <w:rPr>
          <w:lang w:val="en-GB"/>
        </w:rPr>
        <w:t xml:space="preserve">ppendix </w:t>
      </w:r>
      <w:r w:rsidRPr="00B04DC3">
        <w:rPr>
          <w:lang w:val="en-GB"/>
        </w:rPr>
        <w:t>to this annex. This provision shall not apply to an exhaust gas recirculation (EGR) device, a deNO</w:t>
      </w:r>
      <w:r w:rsidRPr="00B04DC3">
        <w:rPr>
          <w:vertAlign w:val="subscript"/>
          <w:lang w:val="en-GB"/>
        </w:rPr>
        <w:t>x</w:t>
      </w:r>
      <w:r w:rsidRPr="00B04DC3">
        <w:rPr>
          <w:lang w:val="en-GB"/>
        </w:rPr>
        <w:t xml:space="preserve"> system, a particulate filter or a combined deNO</w:t>
      </w:r>
      <w:r w:rsidRPr="00B04DC3">
        <w:rPr>
          <w:vertAlign w:val="subscript"/>
          <w:lang w:val="en-GB"/>
        </w:rPr>
        <w:t>x</w:t>
      </w:r>
      <w:r w:rsidRPr="00B04DC3">
        <w:rPr>
          <w:lang w:val="en-GB"/>
        </w:rPr>
        <w:t xml:space="preserve"> particulate filter system nor shall it apply to a component or system that is monitored for major functional failure.</w:t>
      </w:r>
    </w:p>
    <w:p w:rsidR="00BB1DA8" w:rsidRPr="00B04DC3" w:rsidRDefault="00BB1DA8" w:rsidP="00BB1DA8">
      <w:pPr>
        <w:pStyle w:val="para"/>
        <w:rPr>
          <w:lang w:val="en-GB"/>
        </w:rPr>
      </w:pPr>
      <w:r w:rsidRPr="00B04DC3">
        <w:rPr>
          <w:lang w:val="en-GB"/>
        </w:rPr>
        <w:t>3.3.</w:t>
      </w:r>
      <w:r w:rsidRPr="00B04DC3">
        <w:rPr>
          <w:lang w:val="en-GB"/>
        </w:rPr>
        <w:tab/>
        <w:t>OBD Stage 2 requirements</w:t>
      </w:r>
    </w:p>
    <w:p w:rsidR="00BB1DA8" w:rsidRPr="00B04DC3" w:rsidRDefault="00BB1DA8" w:rsidP="00BB1DA8">
      <w:pPr>
        <w:pStyle w:val="para"/>
        <w:rPr>
          <w:lang w:val="en-GB"/>
        </w:rPr>
      </w:pPr>
      <w:r w:rsidRPr="00B04DC3">
        <w:rPr>
          <w:lang w:val="en-GB"/>
        </w:rPr>
        <w:t>3.3.1.</w:t>
      </w:r>
      <w:r w:rsidRPr="00B04DC3">
        <w:rPr>
          <w:lang w:val="en-GB"/>
        </w:rPr>
        <w:tab/>
        <w:t>From the dates given in paragraph 5.4.2. of this Regulation the OBD system of all diesel or gas engines and of vehicles equipped with a diesel or a gas engine shall indicate the failure of an emission</w:t>
      </w:r>
      <w:r w:rsidRPr="00B04DC3">
        <w:rPr>
          <w:lang w:val="en-GB"/>
        </w:rPr>
        <w:noBreakHyphen/>
        <w:t>related component or system of the engine system when that failure results in an increase in emissions above the appropriate OBD thresholds given in the table in paragraph 5.4.4. of this Regulation.</w:t>
      </w:r>
    </w:p>
    <w:p w:rsidR="00BB1DA8" w:rsidRPr="00B04DC3" w:rsidRDefault="00BB1DA8" w:rsidP="00BB1DA8">
      <w:pPr>
        <w:pStyle w:val="para"/>
        <w:rPr>
          <w:lang w:val="en-GB"/>
        </w:rPr>
      </w:pPr>
      <w:r w:rsidRPr="00B04DC3">
        <w:rPr>
          <w:lang w:val="en-GB"/>
        </w:rPr>
        <w:tab/>
        <w:t xml:space="preserve">The OBD system shall consider the communication interface (hardware and messages) between the </w:t>
      </w:r>
      <w:r w:rsidR="004223B5" w:rsidRPr="004223B5">
        <w:rPr>
          <w:lang w:val="en-GB"/>
        </w:rPr>
        <w:t>E</w:t>
      </w:r>
      <w:r w:rsidRPr="004223B5">
        <w:rPr>
          <w:lang w:val="en-GB"/>
        </w:rPr>
        <w:t xml:space="preserve">ngine </w:t>
      </w:r>
      <w:r w:rsidR="004223B5" w:rsidRPr="004223B5">
        <w:rPr>
          <w:lang w:val="en-GB"/>
        </w:rPr>
        <w:t>s</w:t>
      </w:r>
      <w:r w:rsidRPr="004223B5">
        <w:rPr>
          <w:lang w:val="en-GB"/>
        </w:rPr>
        <w:t xml:space="preserve">ystem </w:t>
      </w:r>
      <w:r w:rsidR="004223B5" w:rsidRPr="004223B5">
        <w:rPr>
          <w:lang w:val="en-GB"/>
        </w:rPr>
        <w:t>E</w:t>
      </w:r>
      <w:r w:rsidRPr="004223B5">
        <w:rPr>
          <w:lang w:val="en-GB"/>
        </w:rPr>
        <w:t xml:space="preserve">lectronic </w:t>
      </w:r>
      <w:r w:rsidR="004223B5" w:rsidRPr="004223B5">
        <w:rPr>
          <w:lang w:val="en-GB"/>
        </w:rPr>
        <w:t>C</w:t>
      </w:r>
      <w:r w:rsidRPr="004223B5">
        <w:rPr>
          <w:lang w:val="en-GB"/>
        </w:rPr>
        <w:t xml:space="preserve">ontrol </w:t>
      </w:r>
      <w:r w:rsidR="004223B5" w:rsidRPr="004223B5">
        <w:rPr>
          <w:lang w:val="en-GB"/>
        </w:rPr>
        <w:t>U</w:t>
      </w:r>
      <w:r w:rsidRPr="004223B5">
        <w:rPr>
          <w:lang w:val="en-GB"/>
        </w:rPr>
        <w:t>nit(s) (</w:t>
      </w:r>
      <w:r w:rsidRPr="00B04DC3">
        <w:rPr>
          <w:lang w:val="en-GB"/>
        </w:rPr>
        <w:t>EECU) and any other power train or vehicle control unit when the exchanged information has an influence on the correct functioning of the emission control. The OBD system shall diagnose the integrity of the connection between the EECU and the medium that provides the link with these other vehicle components (e.g. the communication bus).</w:t>
      </w:r>
    </w:p>
    <w:p w:rsidR="00BB1DA8" w:rsidRPr="00B04DC3" w:rsidRDefault="00BB1DA8" w:rsidP="00BB1DA8">
      <w:pPr>
        <w:pStyle w:val="para"/>
        <w:rPr>
          <w:lang w:val="en-GB"/>
        </w:rPr>
      </w:pPr>
      <w:r w:rsidRPr="00B04DC3">
        <w:rPr>
          <w:lang w:val="en-GB"/>
        </w:rPr>
        <w:t>3.3.2.</w:t>
      </w:r>
      <w:r w:rsidRPr="00B04DC3">
        <w:rPr>
          <w:lang w:val="en-GB"/>
        </w:rPr>
        <w:tab/>
        <w:t>In satisfying the Stage 2 requirements, the OBD system shall monitor for:</w:t>
      </w:r>
    </w:p>
    <w:p w:rsidR="00BB1DA8" w:rsidRPr="00B04DC3" w:rsidRDefault="00BB1DA8" w:rsidP="00BB1DA8">
      <w:pPr>
        <w:pStyle w:val="para"/>
        <w:rPr>
          <w:lang w:val="en-GB"/>
        </w:rPr>
      </w:pPr>
      <w:r w:rsidRPr="00B04DC3">
        <w:rPr>
          <w:lang w:val="en-GB"/>
        </w:rPr>
        <w:t>3.3.2.1.</w:t>
      </w:r>
      <w:r w:rsidRPr="00B04DC3">
        <w:rPr>
          <w:lang w:val="en-GB"/>
        </w:rPr>
        <w:tab/>
        <w:t>Reduction in the efficiency of the catalyst, where fitted in a separate housing, that may or may not be part of a deNO</w:t>
      </w:r>
      <w:r w:rsidRPr="00B04DC3">
        <w:rPr>
          <w:vertAlign w:val="subscript"/>
          <w:lang w:val="en-GB"/>
        </w:rPr>
        <w:t>x</w:t>
      </w:r>
      <w:r w:rsidRPr="00B04DC3">
        <w:rPr>
          <w:lang w:val="en-GB"/>
        </w:rPr>
        <w:t xml:space="preserve"> system or particulate filter.</w:t>
      </w:r>
    </w:p>
    <w:p w:rsidR="00BB1DA8" w:rsidRPr="00B04DC3" w:rsidRDefault="00BB1DA8" w:rsidP="00BB1DA8">
      <w:pPr>
        <w:pStyle w:val="para"/>
        <w:rPr>
          <w:lang w:val="en-GB"/>
        </w:rPr>
      </w:pPr>
      <w:r w:rsidRPr="00B04DC3">
        <w:rPr>
          <w:lang w:val="en-GB"/>
        </w:rPr>
        <w:t>3.3.2.2.</w:t>
      </w:r>
      <w:r w:rsidRPr="00B04DC3">
        <w:rPr>
          <w:lang w:val="en-GB"/>
        </w:rPr>
        <w:tab/>
        <w:t>Reduction in the efficiency of the deNO</w:t>
      </w:r>
      <w:r w:rsidRPr="00B04DC3">
        <w:rPr>
          <w:vertAlign w:val="subscript"/>
          <w:lang w:val="en-GB"/>
        </w:rPr>
        <w:t>x</w:t>
      </w:r>
      <w:r w:rsidRPr="00B04DC3">
        <w:rPr>
          <w:lang w:val="en-GB"/>
        </w:rPr>
        <w:t xml:space="preserve"> system, where fitted, with respect to the emissions of NO</w:t>
      </w:r>
      <w:r w:rsidRPr="00B04DC3">
        <w:rPr>
          <w:vertAlign w:val="subscript"/>
          <w:lang w:val="en-GB"/>
        </w:rPr>
        <w:t>x</w:t>
      </w:r>
      <w:r w:rsidRPr="00B04DC3">
        <w:rPr>
          <w:lang w:val="en-GB"/>
        </w:rPr>
        <w:t xml:space="preserve"> only.</w:t>
      </w:r>
    </w:p>
    <w:p w:rsidR="00BB1DA8" w:rsidRPr="00B04DC3" w:rsidRDefault="00BB1DA8" w:rsidP="00BB1DA8">
      <w:pPr>
        <w:pStyle w:val="para"/>
        <w:rPr>
          <w:lang w:val="en-GB"/>
        </w:rPr>
      </w:pPr>
      <w:r w:rsidRPr="00B04DC3">
        <w:rPr>
          <w:lang w:val="en-GB"/>
        </w:rPr>
        <w:t>3.3.2.3.</w:t>
      </w:r>
      <w:r w:rsidRPr="00B04DC3">
        <w:rPr>
          <w:lang w:val="en-GB"/>
        </w:rPr>
        <w:tab/>
        <w:t>Reduction in the efficiency of the particulate filter, where fitted, with respect to the emissions of particulate only.</w:t>
      </w:r>
    </w:p>
    <w:p w:rsidR="00BB1DA8" w:rsidRPr="00B04DC3" w:rsidRDefault="00BB1DA8" w:rsidP="00BB1DA8">
      <w:pPr>
        <w:pStyle w:val="para"/>
        <w:rPr>
          <w:lang w:val="en-GB"/>
        </w:rPr>
      </w:pPr>
      <w:r w:rsidRPr="00B04DC3">
        <w:rPr>
          <w:lang w:val="en-GB"/>
        </w:rPr>
        <w:t>3.3.2.4.</w:t>
      </w:r>
      <w:r w:rsidRPr="00B04DC3">
        <w:rPr>
          <w:lang w:val="en-GB"/>
        </w:rPr>
        <w:tab/>
        <w:t>Reduction in the efficiency of a combined deNO</w:t>
      </w:r>
      <w:r w:rsidRPr="00B04DC3">
        <w:rPr>
          <w:vertAlign w:val="subscript"/>
          <w:lang w:val="en-GB"/>
        </w:rPr>
        <w:t>x</w:t>
      </w:r>
      <w:r w:rsidRPr="00B04DC3">
        <w:rPr>
          <w:lang w:val="en-GB"/>
        </w:rPr>
        <w:t>-particulate filter system, where fitted, with respect to both the emissions of NO</w:t>
      </w:r>
      <w:r w:rsidRPr="00B04DC3">
        <w:rPr>
          <w:vertAlign w:val="subscript"/>
          <w:lang w:val="en-GB"/>
        </w:rPr>
        <w:t>x</w:t>
      </w:r>
      <w:r w:rsidRPr="00B04DC3">
        <w:rPr>
          <w:lang w:val="en-GB"/>
        </w:rPr>
        <w:t xml:space="preserve"> and particulate.</w:t>
      </w:r>
    </w:p>
    <w:p w:rsidR="00BB1DA8" w:rsidRPr="00B04DC3" w:rsidRDefault="00BB1DA8" w:rsidP="00BB1DA8">
      <w:pPr>
        <w:pStyle w:val="para"/>
        <w:rPr>
          <w:lang w:val="en-GB"/>
        </w:rPr>
      </w:pPr>
      <w:r w:rsidRPr="00B04DC3">
        <w:rPr>
          <w:lang w:val="en-GB"/>
        </w:rPr>
        <w:t>3.3.2.5.</w:t>
      </w:r>
      <w:r w:rsidRPr="00B04DC3">
        <w:rPr>
          <w:lang w:val="en-GB"/>
        </w:rPr>
        <w:tab/>
        <w:t xml:space="preserve">The interface between the EECU and any other powertrain or vehicle electrical or electronic system (e.g. the </w:t>
      </w:r>
      <w:r w:rsidR="004223B5">
        <w:rPr>
          <w:lang w:val="en-GB"/>
        </w:rPr>
        <w:t>T</w:t>
      </w:r>
      <w:r w:rsidR="004223B5" w:rsidRPr="00B04DC3">
        <w:rPr>
          <w:lang w:val="en-GB"/>
        </w:rPr>
        <w:t xml:space="preserve">ransmission </w:t>
      </w:r>
      <w:r w:rsidR="004223B5">
        <w:rPr>
          <w:lang w:val="en-GB"/>
        </w:rPr>
        <w:t>C</w:t>
      </w:r>
      <w:r w:rsidR="004223B5" w:rsidRPr="00B04DC3">
        <w:rPr>
          <w:lang w:val="en-GB"/>
        </w:rPr>
        <w:t xml:space="preserve">ontrol </w:t>
      </w:r>
      <w:r w:rsidR="004223B5">
        <w:rPr>
          <w:lang w:val="en-GB"/>
        </w:rPr>
        <w:t>U</w:t>
      </w:r>
      <w:r w:rsidR="004223B5" w:rsidRPr="00B04DC3">
        <w:rPr>
          <w:lang w:val="en-GB"/>
        </w:rPr>
        <w:t xml:space="preserve">nit </w:t>
      </w:r>
      <w:r w:rsidRPr="00B04DC3">
        <w:rPr>
          <w:lang w:val="en-GB"/>
        </w:rPr>
        <w:t xml:space="preserve">(TECU)) for </w:t>
      </w:r>
      <w:r w:rsidR="004223B5">
        <w:rPr>
          <w:lang w:val="en-GB"/>
        </w:rPr>
        <w:t>E</w:t>
      </w:r>
      <w:r w:rsidR="004223B5" w:rsidRPr="00B04DC3">
        <w:rPr>
          <w:lang w:val="en-GB"/>
        </w:rPr>
        <w:t xml:space="preserve">lectrical </w:t>
      </w:r>
      <w:r w:rsidRPr="00B04DC3">
        <w:rPr>
          <w:lang w:val="en-GB"/>
        </w:rPr>
        <w:t>disconnection.</w:t>
      </w:r>
    </w:p>
    <w:p w:rsidR="00BB1DA8" w:rsidRPr="00B04DC3" w:rsidRDefault="00BB1DA8" w:rsidP="00BB1DA8">
      <w:pPr>
        <w:pStyle w:val="para"/>
        <w:rPr>
          <w:spacing w:val="-4"/>
          <w:lang w:val="en-GB"/>
        </w:rPr>
      </w:pPr>
      <w:r w:rsidRPr="00B04DC3">
        <w:rPr>
          <w:spacing w:val="-4"/>
          <w:lang w:val="en-GB"/>
        </w:rPr>
        <w:t>3.3.3.</w:t>
      </w:r>
      <w:r w:rsidRPr="00B04DC3">
        <w:rPr>
          <w:rStyle w:val="FootnoteReference1"/>
          <w:spacing w:val="-4"/>
          <w:lang w:val="en-GB"/>
        </w:rPr>
        <w:tab/>
      </w:r>
      <w:r w:rsidRPr="00B04DC3">
        <w:rPr>
          <w:spacing w:val="-4"/>
          <w:lang w:val="en-GB"/>
        </w:rPr>
        <w:t xml:space="preserve">Manufacturers may demonstrate to the </w:t>
      </w:r>
      <w:r w:rsidR="00175304">
        <w:rPr>
          <w:lang w:val="en-GB"/>
        </w:rPr>
        <w:t>Type Approval Authority</w:t>
      </w:r>
      <w:r w:rsidRPr="00B04DC3">
        <w:rPr>
          <w:spacing w:val="-4"/>
          <w:lang w:val="en-GB"/>
        </w:rPr>
        <w:t xml:space="preserve"> that certain components or systems need not be monitored if, in the event of their total failure or removal, emissions do not exceed the applicable thresholds limits for OBD Stage 2 given in the table in paragraph 5.4.4. of this Regulation when measured over the cycles shown in paragraph 1.1. of </w:t>
      </w:r>
      <w:r w:rsidR="000679CB">
        <w:rPr>
          <w:spacing w:val="-4"/>
          <w:lang w:val="en-GB"/>
        </w:rPr>
        <w:t>the a</w:t>
      </w:r>
      <w:r w:rsidR="000679CB" w:rsidRPr="00B04DC3">
        <w:rPr>
          <w:spacing w:val="-4"/>
          <w:lang w:val="en-GB"/>
        </w:rPr>
        <w:t xml:space="preserve">ppendix </w:t>
      </w:r>
      <w:r w:rsidRPr="00B04DC3">
        <w:rPr>
          <w:spacing w:val="-4"/>
          <w:lang w:val="en-GB"/>
        </w:rPr>
        <w:t xml:space="preserve">to this annex. This provision shall not apply to an </w:t>
      </w:r>
      <w:r w:rsidR="000679CB" w:rsidRPr="00B04DC3">
        <w:rPr>
          <w:spacing w:val="-4"/>
          <w:lang w:val="en-GB"/>
        </w:rPr>
        <w:t>E</w:t>
      </w:r>
      <w:r w:rsidRPr="00B04DC3">
        <w:rPr>
          <w:spacing w:val="-4"/>
          <w:lang w:val="en-GB"/>
        </w:rPr>
        <w:t xml:space="preserve">xhaust </w:t>
      </w:r>
      <w:r w:rsidR="000679CB" w:rsidRPr="00B04DC3">
        <w:rPr>
          <w:spacing w:val="-4"/>
          <w:lang w:val="en-GB"/>
        </w:rPr>
        <w:t>G</w:t>
      </w:r>
      <w:r w:rsidRPr="00B04DC3">
        <w:rPr>
          <w:spacing w:val="-4"/>
          <w:lang w:val="en-GB"/>
        </w:rPr>
        <w:t xml:space="preserve">as </w:t>
      </w:r>
      <w:r w:rsidR="000679CB" w:rsidRPr="00B04DC3">
        <w:rPr>
          <w:spacing w:val="-4"/>
          <w:lang w:val="en-GB"/>
        </w:rPr>
        <w:t>R</w:t>
      </w:r>
      <w:r w:rsidRPr="00B04DC3">
        <w:rPr>
          <w:spacing w:val="-4"/>
          <w:lang w:val="en-GB"/>
        </w:rPr>
        <w:t>ecirculation (EGR) device, a deNO</w:t>
      </w:r>
      <w:r w:rsidRPr="00B04DC3">
        <w:rPr>
          <w:spacing w:val="-4"/>
          <w:vertAlign w:val="subscript"/>
          <w:lang w:val="en-GB"/>
        </w:rPr>
        <w:t>x</w:t>
      </w:r>
      <w:r w:rsidRPr="00B04DC3">
        <w:rPr>
          <w:spacing w:val="-4"/>
          <w:lang w:val="en-GB"/>
        </w:rPr>
        <w:t xml:space="preserve"> system, a particulate filter or a combined deNO</w:t>
      </w:r>
      <w:r w:rsidRPr="00B04DC3">
        <w:rPr>
          <w:spacing w:val="-4"/>
          <w:vertAlign w:val="subscript"/>
          <w:lang w:val="en-GB"/>
        </w:rPr>
        <w:t>x</w:t>
      </w:r>
      <w:r w:rsidRPr="00B04DC3">
        <w:rPr>
          <w:spacing w:val="-4"/>
          <w:lang w:val="en-GB"/>
        </w:rPr>
        <w:t>-particulate filter system.</w:t>
      </w:r>
    </w:p>
    <w:p w:rsidR="00BB1DA8" w:rsidRPr="00B04DC3" w:rsidRDefault="00BB1DA8" w:rsidP="00917787">
      <w:pPr>
        <w:pStyle w:val="para"/>
        <w:rPr>
          <w:lang w:val="en-GB"/>
        </w:rPr>
      </w:pPr>
      <w:r w:rsidRPr="00B04DC3">
        <w:rPr>
          <w:lang w:val="en-GB"/>
        </w:rPr>
        <w:t>3.4.</w:t>
      </w:r>
      <w:r w:rsidRPr="00B04DC3">
        <w:rPr>
          <w:lang w:val="en-GB"/>
        </w:rPr>
        <w:tab/>
        <w:t>Stage 1 and Stage 2 requirements</w:t>
      </w:r>
    </w:p>
    <w:p w:rsidR="00BB1DA8" w:rsidRPr="00B04DC3" w:rsidRDefault="00BB1DA8" w:rsidP="00BB1DA8">
      <w:pPr>
        <w:pStyle w:val="para"/>
        <w:rPr>
          <w:lang w:val="en-GB"/>
        </w:rPr>
      </w:pPr>
      <w:r w:rsidRPr="00B04DC3">
        <w:rPr>
          <w:lang w:val="en-GB"/>
        </w:rPr>
        <w:t>3.4.1.</w:t>
      </w:r>
      <w:r w:rsidRPr="00B04DC3">
        <w:rPr>
          <w:lang w:val="en-GB"/>
        </w:rPr>
        <w:tab/>
        <w:t>In satisfying both the Stage 1 or Stage 2 requirements the OBD system shall monitor:</w:t>
      </w:r>
    </w:p>
    <w:p w:rsidR="00BB1DA8" w:rsidRPr="00B04DC3" w:rsidRDefault="00BB1DA8" w:rsidP="00BB1DA8">
      <w:pPr>
        <w:pStyle w:val="para"/>
        <w:rPr>
          <w:spacing w:val="-4"/>
          <w:lang w:val="en-GB"/>
        </w:rPr>
      </w:pPr>
      <w:r w:rsidRPr="00B04DC3">
        <w:rPr>
          <w:spacing w:val="-4"/>
          <w:lang w:val="en-GB"/>
        </w:rPr>
        <w:t>3.4.1.1.</w:t>
      </w:r>
      <w:r w:rsidRPr="00B04DC3">
        <w:rPr>
          <w:spacing w:val="-4"/>
          <w:lang w:val="en-GB"/>
        </w:rPr>
        <w:tab/>
        <w:t>The fuel</w:t>
      </w:r>
      <w:r w:rsidRPr="00B04DC3">
        <w:rPr>
          <w:spacing w:val="-4"/>
          <w:lang w:val="en-GB"/>
        </w:rPr>
        <w:noBreakHyphen/>
        <w:t>injection system electronic, fuel quantity and timing actuator(s) for circuit continuity (i.e. open circuit or short circuit) and total functional failure.</w:t>
      </w:r>
    </w:p>
    <w:p w:rsidR="00BB1DA8" w:rsidRPr="00B04DC3" w:rsidRDefault="00BB1DA8" w:rsidP="00BB1DA8">
      <w:pPr>
        <w:pStyle w:val="para"/>
        <w:rPr>
          <w:lang w:val="en-GB"/>
        </w:rPr>
      </w:pPr>
      <w:r w:rsidRPr="00B04DC3">
        <w:rPr>
          <w:lang w:val="en-GB"/>
        </w:rPr>
        <w:t>3.4.1.2.</w:t>
      </w:r>
      <w:r w:rsidRPr="00B04DC3">
        <w:rPr>
          <w:lang w:val="en-GB"/>
        </w:rPr>
        <w:tab/>
        <w:t xml:space="preserve">All other engine or exhaust </w:t>
      </w:r>
      <w:r w:rsidR="006A75A0">
        <w:rPr>
          <w:lang w:val="en-GB"/>
        </w:rPr>
        <w:t>after-treatment</w:t>
      </w:r>
      <w:r w:rsidRPr="00B04DC3">
        <w:rPr>
          <w:lang w:val="en-GB"/>
        </w:rPr>
        <w:t xml:space="preserve"> emission-related components or systems, which are connected to a computer, the failure of which would result in tailpipe emissions exceeding the OBD threshold limits given in the table in paragraph 5.4.4. of this Regulation. At a minimum, examples include the EGR system, systems or components for monitoring and control of air mass-flow, air volumetric flow (and temperature), boost pressure and inlet manifold pressure (and relevant sensors to enable these functions to be carried out), sensors and actuators of a deNO</w:t>
      </w:r>
      <w:r w:rsidRPr="00B04DC3">
        <w:rPr>
          <w:vertAlign w:val="subscript"/>
          <w:lang w:val="en-GB"/>
        </w:rPr>
        <w:t>x</w:t>
      </w:r>
      <w:r w:rsidRPr="00B04DC3">
        <w:rPr>
          <w:lang w:val="en-GB"/>
        </w:rPr>
        <w:t xml:space="preserve"> system, sensors and actuators of an electronically activated active particulate filter.</w:t>
      </w:r>
    </w:p>
    <w:p w:rsidR="00BB1DA8" w:rsidRPr="00B04DC3" w:rsidRDefault="00BB1DA8" w:rsidP="00BB1DA8">
      <w:pPr>
        <w:pStyle w:val="para"/>
        <w:rPr>
          <w:lang w:val="en-GB"/>
        </w:rPr>
      </w:pPr>
      <w:r w:rsidRPr="00B04DC3">
        <w:rPr>
          <w:lang w:val="en-GB"/>
        </w:rPr>
        <w:t>3.4.1.3.</w:t>
      </w:r>
      <w:r w:rsidRPr="00B04DC3">
        <w:rPr>
          <w:lang w:val="en-GB"/>
        </w:rPr>
        <w:tab/>
        <w:t xml:space="preserve">Any other emission-related engine or exhaust </w:t>
      </w:r>
      <w:r w:rsidR="006A75A0">
        <w:rPr>
          <w:lang w:val="en-GB"/>
        </w:rPr>
        <w:t>after-treatment</w:t>
      </w:r>
      <w:r w:rsidRPr="00B04DC3">
        <w:rPr>
          <w:lang w:val="en-GB"/>
        </w:rPr>
        <w:t xml:space="preserve"> component or system connected to an electronic control unit shall be monitored for electrical disconnection unless otherwise monitored.</w:t>
      </w:r>
    </w:p>
    <w:p w:rsidR="00BB1DA8" w:rsidRPr="00B04DC3" w:rsidRDefault="00BB1DA8" w:rsidP="00BB1DA8">
      <w:pPr>
        <w:pStyle w:val="para"/>
        <w:rPr>
          <w:lang w:val="en-GB"/>
        </w:rPr>
      </w:pPr>
      <w:r w:rsidRPr="00B04DC3">
        <w:rPr>
          <w:lang w:val="en-GB"/>
        </w:rPr>
        <w:t>3.4.1.4.</w:t>
      </w:r>
      <w:r w:rsidRPr="00B04DC3">
        <w:rPr>
          <w:lang w:val="en-GB"/>
        </w:rPr>
        <w:tab/>
        <w:t xml:space="preserve">In the case of engines equipped with an </w:t>
      </w:r>
      <w:r w:rsidR="006A75A0">
        <w:rPr>
          <w:lang w:val="en-GB"/>
        </w:rPr>
        <w:t>after-treatment</w:t>
      </w:r>
      <w:r w:rsidRPr="00B04DC3">
        <w:rPr>
          <w:lang w:val="en-GB"/>
        </w:rPr>
        <w:t xml:space="preserve"> system using a consumable reagent, the OBD system shall monitor for:</w:t>
      </w:r>
    </w:p>
    <w:p w:rsidR="00BB1DA8" w:rsidRPr="00B04DC3" w:rsidRDefault="00BB1DA8" w:rsidP="00BB1DA8">
      <w:pPr>
        <w:pStyle w:val="a"/>
        <w:rPr>
          <w:lang w:val="en-GB"/>
        </w:rPr>
      </w:pPr>
      <w:r w:rsidRPr="00B04DC3">
        <w:rPr>
          <w:lang w:val="en-GB"/>
        </w:rPr>
        <w:t>(a)</w:t>
      </w:r>
      <w:r w:rsidRPr="00B04DC3">
        <w:rPr>
          <w:lang w:val="en-GB"/>
        </w:rPr>
        <w:tab/>
        <w:t>Lack of any required reagent;</w:t>
      </w:r>
    </w:p>
    <w:p w:rsidR="00BB1DA8" w:rsidRPr="00B04DC3" w:rsidRDefault="00BB1DA8" w:rsidP="00BB1DA8">
      <w:pPr>
        <w:pStyle w:val="a"/>
        <w:rPr>
          <w:lang w:val="en-GB"/>
        </w:rPr>
      </w:pPr>
      <w:r w:rsidRPr="00B04DC3">
        <w:rPr>
          <w:lang w:val="en-GB"/>
        </w:rPr>
        <w:t>(b)</w:t>
      </w:r>
      <w:r w:rsidRPr="00B04DC3">
        <w:rPr>
          <w:lang w:val="en-GB"/>
        </w:rPr>
        <w:tab/>
        <w:t>The quality of the required reagent being within the specifications declared by the manufacturer in Annex 1 to this Regulation;</w:t>
      </w:r>
    </w:p>
    <w:p w:rsidR="00BB1DA8" w:rsidRPr="00B04DC3" w:rsidRDefault="00BB1DA8" w:rsidP="00BB1DA8">
      <w:pPr>
        <w:pStyle w:val="a"/>
        <w:rPr>
          <w:lang w:val="en-GB"/>
        </w:rPr>
      </w:pPr>
      <w:r w:rsidRPr="00B04DC3">
        <w:rPr>
          <w:lang w:val="en-GB"/>
        </w:rPr>
        <w:t>(c)</w:t>
      </w:r>
      <w:r w:rsidRPr="00B04DC3">
        <w:rPr>
          <w:lang w:val="en-GB"/>
        </w:rPr>
        <w:tab/>
        <w:t>Reagent consumption and dosing activity;</w:t>
      </w:r>
    </w:p>
    <w:p w:rsidR="00BB1DA8" w:rsidRPr="00B04DC3" w:rsidRDefault="00BB1DA8" w:rsidP="00BB1DA8">
      <w:pPr>
        <w:pStyle w:val="para"/>
        <w:rPr>
          <w:lang w:val="en-GB"/>
        </w:rPr>
      </w:pPr>
      <w:r w:rsidRPr="00B04DC3">
        <w:rPr>
          <w:lang w:val="en-GB"/>
        </w:rPr>
        <w:tab/>
        <w:t>according to paragraph 5.5.4. of this Regulation.</w:t>
      </w:r>
    </w:p>
    <w:p w:rsidR="00BB1DA8" w:rsidRPr="00B04DC3" w:rsidRDefault="00BB1DA8" w:rsidP="00BB1DA8">
      <w:pPr>
        <w:pStyle w:val="para"/>
        <w:rPr>
          <w:lang w:val="en-GB"/>
        </w:rPr>
      </w:pPr>
      <w:r w:rsidRPr="00B04DC3">
        <w:rPr>
          <w:lang w:val="en-GB"/>
        </w:rPr>
        <w:t>3.5.</w:t>
      </w:r>
      <w:r w:rsidRPr="00B04DC3">
        <w:rPr>
          <w:lang w:val="en-GB"/>
        </w:rPr>
        <w:tab/>
        <w:t>OBD operation and temporary disablement of certain OBD monitoring capabilities</w:t>
      </w:r>
    </w:p>
    <w:p w:rsidR="00BB1DA8" w:rsidRPr="00B04DC3" w:rsidRDefault="00BB1DA8" w:rsidP="00BB1DA8">
      <w:pPr>
        <w:pStyle w:val="para"/>
        <w:rPr>
          <w:lang w:val="en-GB"/>
        </w:rPr>
      </w:pPr>
      <w:r w:rsidRPr="00B04DC3">
        <w:rPr>
          <w:lang w:val="en-GB"/>
        </w:rPr>
        <w:t>3.5.1.</w:t>
      </w:r>
      <w:r w:rsidRPr="00B04DC3">
        <w:rPr>
          <w:lang w:val="en-GB"/>
        </w:rPr>
        <w:tab/>
        <w:t>The OBD system shall be so designed, constructed and installed in a vehicle as to enable it to comply with the requirements of this annex during the conditions of use defined in paragraph 5.1.5.4. of this Regulation.</w:t>
      </w:r>
    </w:p>
    <w:p w:rsidR="00BB1DA8" w:rsidRPr="00B04DC3" w:rsidRDefault="00BB1DA8" w:rsidP="00BB1DA8">
      <w:pPr>
        <w:pStyle w:val="para"/>
        <w:rPr>
          <w:lang w:val="en-GB"/>
        </w:rPr>
      </w:pPr>
      <w:r w:rsidRPr="00B04DC3">
        <w:rPr>
          <w:lang w:val="en-GB"/>
        </w:rPr>
        <w:tab/>
        <w:t>Outside these normal operating conditions the emission control system may show some degradation in OBD system performance such that the thresholds given in the table in paragraph 5.4.4. of this Regulation may be exceeded before the OBD system signals a failure to the driver of the vehicle.</w:t>
      </w:r>
    </w:p>
    <w:p w:rsidR="00BB1DA8" w:rsidRPr="00B04DC3" w:rsidRDefault="00BB1DA8" w:rsidP="00BB1DA8">
      <w:pPr>
        <w:pStyle w:val="para"/>
        <w:rPr>
          <w:lang w:val="en-GB"/>
        </w:rPr>
      </w:pPr>
      <w:r w:rsidRPr="00B04DC3">
        <w:rPr>
          <w:lang w:val="en-GB"/>
        </w:rPr>
        <w:tab/>
        <w:t>The OBD system shall not be disabled unless one or more of the following conditions for disablement are met:</w:t>
      </w:r>
    </w:p>
    <w:p w:rsidR="00BB1DA8" w:rsidRPr="00B04DC3" w:rsidRDefault="00BB1DA8" w:rsidP="00BB1DA8">
      <w:pPr>
        <w:pStyle w:val="para"/>
        <w:rPr>
          <w:lang w:val="en-GB"/>
        </w:rPr>
      </w:pPr>
      <w:r w:rsidRPr="00B04DC3">
        <w:rPr>
          <w:lang w:val="en-GB"/>
        </w:rPr>
        <w:t>3.5.1.1.</w:t>
      </w:r>
      <w:r w:rsidRPr="00B04DC3">
        <w:rPr>
          <w:lang w:val="en-GB"/>
        </w:rPr>
        <w:tab/>
        <w:t>The affected OBD monitoring systems may be disabled if its ability to monitor is affected by low fuel levels. For this reason, disablement is permitted when the fuel tank level falls below 20 per cent of the nominal capacity of the fuel tank.</w:t>
      </w:r>
    </w:p>
    <w:p w:rsidR="00BB1DA8" w:rsidRPr="00B04DC3" w:rsidRDefault="00BB1DA8" w:rsidP="00BB1DA8">
      <w:pPr>
        <w:pStyle w:val="para"/>
        <w:rPr>
          <w:lang w:val="en-GB"/>
        </w:rPr>
      </w:pPr>
      <w:r w:rsidRPr="00B04DC3">
        <w:rPr>
          <w:lang w:val="en-GB"/>
        </w:rPr>
        <w:t>3.5.1.2.</w:t>
      </w:r>
      <w:r w:rsidRPr="00B04DC3">
        <w:rPr>
          <w:lang w:val="en-GB"/>
        </w:rPr>
        <w:tab/>
        <w:t xml:space="preserve">The affected OBD monitoring systems may be temporarily disabled during the operation of an </w:t>
      </w:r>
      <w:r w:rsidR="00DF2895">
        <w:rPr>
          <w:lang w:val="en-GB"/>
        </w:rPr>
        <w:t>A</w:t>
      </w:r>
      <w:r w:rsidRPr="00B04DC3">
        <w:rPr>
          <w:lang w:val="en-GB"/>
        </w:rPr>
        <w:t xml:space="preserve">uxiliary emission </w:t>
      </w:r>
      <w:r w:rsidR="00DF2895">
        <w:rPr>
          <w:lang w:val="en-GB"/>
        </w:rPr>
        <w:t>C</w:t>
      </w:r>
      <w:r w:rsidRPr="00B04DC3">
        <w:rPr>
          <w:lang w:val="en-GB"/>
        </w:rPr>
        <w:t xml:space="preserve">ontrol </w:t>
      </w:r>
      <w:r w:rsidR="00DF2895">
        <w:rPr>
          <w:lang w:val="en-GB"/>
        </w:rPr>
        <w:t>S</w:t>
      </w:r>
      <w:r w:rsidRPr="00B04DC3">
        <w:rPr>
          <w:lang w:val="en-GB"/>
        </w:rPr>
        <w:t>trategy as described in paragraph 5.1.5.1. of this Regulation.</w:t>
      </w:r>
    </w:p>
    <w:p w:rsidR="00BB1DA8" w:rsidRPr="00B04DC3" w:rsidRDefault="00BB1DA8" w:rsidP="00BB1DA8">
      <w:pPr>
        <w:pStyle w:val="para"/>
        <w:rPr>
          <w:lang w:val="en-GB"/>
        </w:rPr>
      </w:pPr>
      <w:r w:rsidRPr="00B04DC3">
        <w:rPr>
          <w:lang w:val="en-GB"/>
        </w:rPr>
        <w:t>3.5.1.3.</w:t>
      </w:r>
      <w:r w:rsidRPr="00B04DC3">
        <w:rPr>
          <w:lang w:val="en-GB"/>
        </w:rPr>
        <w:tab/>
        <w:t>The affected OBD monitoring systems may be temporarily disabled when operational safety or limp-home strategies are activated.</w:t>
      </w:r>
    </w:p>
    <w:p w:rsidR="00BB1DA8" w:rsidRPr="00B04DC3" w:rsidRDefault="00BB1DA8" w:rsidP="00BB1DA8">
      <w:pPr>
        <w:pStyle w:val="para"/>
        <w:rPr>
          <w:lang w:val="en-GB"/>
        </w:rPr>
      </w:pPr>
      <w:r w:rsidRPr="00B04DC3">
        <w:rPr>
          <w:lang w:val="en-GB"/>
        </w:rPr>
        <w:t>3.5.1.4.</w:t>
      </w:r>
      <w:r w:rsidRPr="00B04DC3">
        <w:rPr>
          <w:lang w:val="en-GB"/>
        </w:rPr>
        <w:tab/>
        <w:t>For vehicles designed to accommodate the installation of power take-off units, disablement of affected OBD monitoring systems is permitted provided disablement takes place only when the power take-off unit is active and the vehicle is not being driven.</w:t>
      </w:r>
    </w:p>
    <w:p w:rsidR="00BB1DA8" w:rsidRPr="00B04DC3" w:rsidRDefault="00BB1DA8" w:rsidP="00BB1DA8">
      <w:pPr>
        <w:pStyle w:val="para"/>
        <w:rPr>
          <w:lang w:val="en-GB"/>
        </w:rPr>
      </w:pPr>
      <w:r w:rsidRPr="00B04DC3">
        <w:rPr>
          <w:lang w:val="en-GB"/>
        </w:rPr>
        <w:t>3.5.1.5.</w:t>
      </w:r>
      <w:r w:rsidRPr="00B04DC3">
        <w:rPr>
          <w:lang w:val="en-GB"/>
        </w:rPr>
        <w:tab/>
        <w:t>The affected OBD monitoring systems may be disabled temporarily during the periodic regeneration of an emission control system downstream of the engine (i.e. a particulate filter, deNO</w:t>
      </w:r>
      <w:r w:rsidRPr="00B04DC3">
        <w:rPr>
          <w:vertAlign w:val="subscript"/>
          <w:lang w:val="en-GB"/>
        </w:rPr>
        <w:t>x</w:t>
      </w:r>
      <w:r w:rsidRPr="00B04DC3">
        <w:rPr>
          <w:lang w:val="en-GB"/>
        </w:rPr>
        <w:t xml:space="preserve"> system or combined deNO</w:t>
      </w:r>
      <w:r w:rsidRPr="00B04DC3">
        <w:rPr>
          <w:vertAlign w:val="subscript"/>
          <w:lang w:val="en-GB"/>
        </w:rPr>
        <w:t>x</w:t>
      </w:r>
      <w:r w:rsidRPr="00B04DC3">
        <w:rPr>
          <w:lang w:val="en-GB"/>
        </w:rPr>
        <w:t>-particulate filter).</w:t>
      </w:r>
    </w:p>
    <w:p w:rsidR="00BB1DA8" w:rsidRPr="00B04DC3" w:rsidRDefault="00BB1DA8" w:rsidP="00BB1DA8">
      <w:pPr>
        <w:pStyle w:val="para"/>
        <w:rPr>
          <w:lang w:val="en-GB"/>
        </w:rPr>
      </w:pPr>
      <w:r w:rsidRPr="00B04DC3">
        <w:rPr>
          <w:lang w:val="en-GB"/>
        </w:rPr>
        <w:t>3.5.1.6.</w:t>
      </w:r>
      <w:r w:rsidRPr="00B04DC3">
        <w:rPr>
          <w:lang w:val="en-GB"/>
        </w:rPr>
        <w:tab/>
        <w:t>The affected OBD monitoring systems may be disabled temporarily outside the conditions of use defined in paragraph 5.1.5.4. of this Regulation when this disablement can be justified by a limitation of the OBD monitoring (including modelling) capability.</w:t>
      </w:r>
    </w:p>
    <w:p w:rsidR="00BB1DA8" w:rsidRPr="00B04DC3" w:rsidRDefault="00BB1DA8" w:rsidP="00BB1DA8">
      <w:pPr>
        <w:pStyle w:val="para"/>
        <w:rPr>
          <w:lang w:val="en-GB"/>
        </w:rPr>
      </w:pPr>
      <w:r w:rsidRPr="00B04DC3">
        <w:rPr>
          <w:lang w:val="en-GB"/>
        </w:rPr>
        <w:t>3.5.2.</w:t>
      </w:r>
      <w:r w:rsidRPr="00B04DC3">
        <w:rPr>
          <w:lang w:val="en-GB"/>
        </w:rPr>
        <w:tab/>
        <w:t>The OBD monitoring system is not required to evaluate components during malfunction if such evaluation would result in a risk to safety or component failure.</w:t>
      </w:r>
    </w:p>
    <w:p w:rsidR="00BB1DA8" w:rsidRPr="00B04DC3" w:rsidRDefault="00BB1DA8" w:rsidP="00BB1DA8">
      <w:pPr>
        <w:pStyle w:val="para"/>
        <w:rPr>
          <w:lang w:val="en-GB"/>
        </w:rPr>
      </w:pPr>
      <w:r w:rsidRPr="00B04DC3">
        <w:rPr>
          <w:lang w:val="en-GB"/>
        </w:rPr>
        <w:t>3.6.</w:t>
      </w:r>
      <w:r w:rsidRPr="00B04DC3">
        <w:rPr>
          <w:lang w:val="en-GB"/>
        </w:rPr>
        <w:tab/>
        <w:t xml:space="preserve">Activation of </w:t>
      </w:r>
      <w:r w:rsidR="001F19DD">
        <w:rPr>
          <w:lang w:val="en-GB"/>
        </w:rPr>
        <w:t>M</w:t>
      </w:r>
      <w:r w:rsidR="001F19DD" w:rsidRPr="00B04DC3">
        <w:rPr>
          <w:lang w:val="en-GB"/>
        </w:rPr>
        <w:t xml:space="preserve">alfunction </w:t>
      </w:r>
      <w:r w:rsidR="001F19DD">
        <w:rPr>
          <w:lang w:val="en-GB"/>
        </w:rPr>
        <w:t>I</w:t>
      </w:r>
      <w:r w:rsidR="001F19DD" w:rsidRPr="00B04DC3">
        <w:rPr>
          <w:lang w:val="en-GB"/>
        </w:rPr>
        <w:t xml:space="preserve">ndicator </w:t>
      </w:r>
      <w:r w:rsidRPr="00B04DC3">
        <w:rPr>
          <w:lang w:val="en-GB"/>
        </w:rPr>
        <w:t>(MI)</w:t>
      </w:r>
    </w:p>
    <w:p w:rsidR="00BB1DA8" w:rsidRPr="00B04DC3" w:rsidRDefault="00BB1DA8" w:rsidP="00BB1DA8">
      <w:pPr>
        <w:pStyle w:val="para"/>
        <w:rPr>
          <w:lang w:val="en-GB"/>
        </w:rPr>
      </w:pPr>
      <w:r w:rsidRPr="00B04DC3">
        <w:rPr>
          <w:lang w:val="en-GB"/>
        </w:rPr>
        <w:t>3.6.1.</w:t>
      </w:r>
      <w:r w:rsidRPr="00B04DC3">
        <w:rPr>
          <w:lang w:val="en-GB"/>
        </w:rPr>
        <w:tab/>
        <w:t>The OBD system shall incorporate a malfunction indicator readily visible to the vehicle operator. Except in the case of paragraph 3.6.2. of this annex, the MI (e.g. symbol or lamp) shall not be used for any purpose other than emission related malfunction except to indicate emergency start-up or limp-home routines to the driver. Safety related messages can be given the highest priority. The MI shall be visible in all reasonable lighting conditions. When activated, it shall display a symbol in conformity with ISO 2575</w:t>
      </w:r>
      <w:bookmarkStart w:id="864" w:name="_Ref39917059"/>
      <w:r w:rsidRPr="00B04DC3">
        <w:rPr>
          <w:rStyle w:val="FootnoteReference"/>
          <w:bCs/>
          <w:lang w:val="en-GB"/>
        </w:rPr>
        <w:footnoteReference w:id="38"/>
      </w:r>
      <w:bookmarkEnd w:id="864"/>
      <w:r w:rsidRPr="00B04DC3">
        <w:rPr>
          <w:lang w:val="en-GB"/>
        </w:rPr>
        <w:t xml:space="preserve"> (as a dashboard telltale lamp or a symbol on a dashboard display). A vehicle shall not be equipped with more than one general purpose MI for emission-related problems. Displaying separate specific information is permitted (e.g. such as information dealing with brake system, fasten seat belt, oil pressure, servicing requirements, or indicating the lack of necessary reagent for the deNO</w:t>
      </w:r>
      <w:r w:rsidRPr="00B04DC3">
        <w:rPr>
          <w:vertAlign w:val="subscript"/>
          <w:lang w:val="en-GB"/>
        </w:rPr>
        <w:t>x</w:t>
      </w:r>
      <w:r w:rsidRPr="00B04DC3">
        <w:rPr>
          <w:lang w:val="en-GB"/>
        </w:rPr>
        <w:t xml:space="preserve"> system). The use of red for the MI is prohibited.</w:t>
      </w:r>
    </w:p>
    <w:p w:rsidR="00BB1DA8" w:rsidRPr="00B04DC3" w:rsidRDefault="00BB1DA8" w:rsidP="00BB1DA8">
      <w:pPr>
        <w:pStyle w:val="para"/>
        <w:rPr>
          <w:lang w:val="en-GB"/>
        </w:rPr>
      </w:pPr>
      <w:r w:rsidRPr="00B04DC3">
        <w:rPr>
          <w:lang w:val="en-GB"/>
        </w:rPr>
        <w:t>3.6.2.</w:t>
      </w:r>
      <w:r w:rsidRPr="00B04DC3">
        <w:rPr>
          <w:lang w:val="en-GB"/>
        </w:rPr>
        <w:tab/>
        <w:t>The MI may be used to indicate to the driver that an urgent service task needs to be carried out. Such an indication may also be accompanied by an appropriate message on a dashboard display that an urgent servicing requirement needs to be carried out.</w:t>
      </w:r>
    </w:p>
    <w:p w:rsidR="00BB1DA8" w:rsidRPr="00B04DC3" w:rsidRDefault="00BB1DA8" w:rsidP="00BB1DA8">
      <w:pPr>
        <w:pStyle w:val="para"/>
        <w:rPr>
          <w:lang w:val="en-GB"/>
        </w:rPr>
      </w:pPr>
      <w:r w:rsidRPr="00B04DC3">
        <w:rPr>
          <w:lang w:val="en-GB"/>
        </w:rPr>
        <w:t>3.6.3.</w:t>
      </w:r>
      <w:r w:rsidRPr="00B04DC3">
        <w:rPr>
          <w:lang w:val="en-GB"/>
        </w:rPr>
        <w:tab/>
        <w:t>For strategies requiring more than a preconditioning cycle for MI activation, the manufacturer shall provide data and/or an engineering evaluation which adequately demonstrates that the monitoring system is equally effective and timely in detecting component deterioration. Strategies requiring on average more than ten OBD or emission test cycles for MI activation are not accepted.</w:t>
      </w:r>
    </w:p>
    <w:p w:rsidR="00BB1DA8" w:rsidRPr="00B04DC3" w:rsidRDefault="00BB1DA8" w:rsidP="00BB1DA8">
      <w:pPr>
        <w:pStyle w:val="para"/>
        <w:rPr>
          <w:lang w:val="en-GB"/>
        </w:rPr>
      </w:pPr>
      <w:r w:rsidRPr="00B04DC3">
        <w:rPr>
          <w:lang w:val="en-GB"/>
        </w:rPr>
        <w:t>3.6.4.</w:t>
      </w:r>
      <w:r w:rsidRPr="00B04DC3">
        <w:rPr>
          <w:lang w:val="en-GB"/>
        </w:rPr>
        <w:tab/>
        <w:t>The MI shall also activate whenever the engine control enters a emission default mode of operation. The MI shall also activate if the OBD system is unable to fulfil the basic monitoring requirements specified in this Regulation.</w:t>
      </w:r>
    </w:p>
    <w:p w:rsidR="00BB1DA8" w:rsidRPr="00B04DC3" w:rsidRDefault="00BB1DA8" w:rsidP="00BB1DA8">
      <w:pPr>
        <w:pStyle w:val="para"/>
        <w:rPr>
          <w:lang w:val="en-GB"/>
        </w:rPr>
      </w:pPr>
      <w:r w:rsidRPr="00B04DC3">
        <w:rPr>
          <w:lang w:val="en-GB"/>
        </w:rPr>
        <w:t>3.6.5.</w:t>
      </w:r>
      <w:r w:rsidRPr="00B04DC3">
        <w:rPr>
          <w:lang w:val="en-GB"/>
        </w:rPr>
        <w:tab/>
        <w:t>Where reference is made to this paragraph, the MI shall be activated and, in addition, a distinct warning mode should also be activated, e.g. flashing MI or activation of a symbol in conformity with ISO 2575</w:t>
      </w:r>
      <w:r w:rsidRPr="00B04DC3">
        <w:rPr>
          <w:rStyle w:val="FootnoteReference"/>
          <w:bCs/>
          <w:lang w:val="en-GB"/>
        </w:rPr>
        <w:footnoteReference w:id="39"/>
      </w:r>
      <w:r w:rsidRPr="00B04DC3">
        <w:rPr>
          <w:lang w:val="en-GB"/>
        </w:rPr>
        <w:t xml:space="preserve"> in addition to MI activation.</w:t>
      </w:r>
    </w:p>
    <w:p w:rsidR="00BB1DA8" w:rsidRPr="00B04DC3" w:rsidRDefault="00BB1DA8" w:rsidP="00BB1DA8">
      <w:pPr>
        <w:pStyle w:val="para"/>
        <w:rPr>
          <w:lang w:val="en-GB"/>
        </w:rPr>
      </w:pPr>
      <w:r w:rsidRPr="00B04DC3">
        <w:rPr>
          <w:lang w:val="en-GB"/>
        </w:rPr>
        <w:t>3.6.6.</w:t>
      </w:r>
      <w:r w:rsidRPr="00B04DC3">
        <w:rPr>
          <w:lang w:val="en-GB"/>
        </w:rPr>
        <w:tab/>
        <w:t>The MI shall activate when the vehicle's ignition is in the "key-on" position before engine starting or cranking and de-activate within 10 seconds after engine starting if no malfunction has previously been detected.</w:t>
      </w:r>
    </w:p>
    <w:p w:rsidR="00BB1DA8" w:rsidRPr="00B04DC3" w:rsidRDefault="00BB1DA8" w:rsidP="00BB1DA8">
      <w:pPr>
        <w:pStyle w:val="para"/>
        <w:rPr>
          <w:lang w:val="en-GB"/>
        </w:rPr>
      </w:pPr>
      <w:r w:rsidRPr="00B04DC3">
        <w:rPr>
          <w:lang w:val="en-GB"/>
        </w:rPr>
        <w:t>3.7.</w:t>
      </w:r>
      <w:r w:rsidRPr="00B04DC3">
        <w:rPr>
          <w:lang w:val="en-GB"/>
        </w:rPr>
        <w:tab/>
        <w:t>Fault code storage</w:t>
      </w:r>
    </w:p>
    <w:p w:rsidR="00BB1DA8" w:rsidRPr="00B04DC3" w:rsidRDefault="00BB1DA8" w:rsidP="00BB1DA8">
      <w:pPr>
        <w:pStyle w:val="para"/>
        <w:rPr>
          <w:lang w:val="en-GB"/>
        </w:rPr>
      </w:pPr>
      <w:r w:rsidRPr="00B04DC3">
        <w:rPr>
          <w:lang w:val="en-GB"/>
        </w:rPr>
        <w:tab/>
        <w:t>The OBD system shall record fault code(s) indicating the status of the emission</w:t>
      </w:r>
      <w:r w:rsidRPr="00B04DC3">
        <w:rPr>
          <w:lang w:val="en-GB"/>
        </w:rPr>
        <w:noBreakHyphen/>
        <w:t>control system. A fault code shall be stored for any detected and verified malfunction causing MI activation and shall identify the malfunctioning system or component as uniquely as possible. A separate code should be stored indicating the expected MI activation status (e.g. MI commanded "ON", MI commanded "OFF").</w:t>
      </w:r>
    </w:p>
    <w:p w:rsidR="00BB1DA8" w:rsidRPr="00B04DC3" w:rsidRDefault="00BB1DA8" w:rsidP="00BB1DA8">
      <w:pPr>
        <w:pStyle w:val="para"/>
        <w:rPr>
          <w:lang w:val="en-GB"/>
        </w:rPr>
      </w:pPr>
      <w:r w:rsidRPr="00B04DC3">
        <w:rPr>
          <w:lang w:val="en-GB"/>
        </w:rPr>
        <w:tab/>
        <w:t>Separate status codes shall be used to identify correctly functioning emission control systems and those emission control systems that need further engine operation to be fully evaluated. If the MI is activated due to malfunction or emission default modes of operation, a fault code shall be stored that identifies the likely area of malfunction. A fault code shall also be stored in the cases referred to in paragraphs 3.4.1.1. and 3.4.1.3. of this annex.</w:t>
      </w:r>
    </w:p>
    <w:p w:rsidR="00BB1DA8" w:rsidRPr="00B04DC3" w:rsidRDefault="00BB1DA8" w:rsidP="00BB1DA8">
      <w:pPr>
        <w:pStyle w:val="para"/>
        <w:rPr>
          <w:lang w:val="en-GB"/>
        </w:rPr>
      </w:pPr>
      <w:r w:rsidRPr="00B04DC3">
        <w:rPr>
          <w:lang w:val="en-GB"/>
        </w:rPr>
        <w:t>3.7.1.</w:t>
      </w:r>
      <w:r w:rsidRPr="00B04DC3">
        <w:rPr>
          <w:lang w:val="en-GB"/>
        </w:rPr>
        <w:tab/>
        <w:t>If monitoring has been disabled for 10 driving cycles due to the continued operation of the vehicle under conditions conforming to those specified in paragraph 3.5.1.2. of this annex, readiness for the subject monitoring system may be set to "ready" status without monitoring having been completed.</w:t>
      </w:r>
    </w:p>
    <w:p w:rsidR="00BB1DA8" w:rsidRPr="00B04DC3" w:rsidRDefault="00BB1DA8" w:rsidP="00BB1DA8">
      <w:pPr>
        <w:pStyle w:val="para"/>
        <w:rPr>
          <w:lang w:val="en-GB"/>
        </w:rPr>
      </w:pPr>
      <w:r w:rsidRPr="00B04DC3">
        <w:rPr>
          <w:lang w:val="en-GB"/>
        </w:rPr>
        <w:t>3.7.2.</w:t>
      </w:r>
      <w:r w:rsidRPr="00B04DC3">
        <w:rPr>
          <w:lang w:val="en-GB"/>
        </w:rPr>
        <w:tab/>
        <w:t>The hours run by the engine while the MI is activated shall be available upon request at any instant through the serial port on the standard link connector, according to the specifications given in paragraph 6.8. of this annex.</w:t>
      </w:r>
    </w:p>
    <w:p w:rsidR="00BB1DA8" w:rsidRPr="00B04DC3" w:rsidRDefault="00BB1DA8" w:rsidP="00BB1DA8">
      <w:pPr>
        <w:pStyle w:val="para"/>
        <w:rPr>
          <w:lang w:val="en-GB"/>
        </w:rPr>
      </w:pPr>
      <w:r w:rsidRPr="00B04DC3">
        <w:rPr>
          <w:lang w:val="en-GB"/>
        </w:rPr>
        <w:t>3.8.</w:t>
      </w:r>
      <w:r w:rsidRPr="00B04DC3">
        <w:rPr>
          <w:lang w:val="en-GB"/>
        </w:rPr>
        <w:tab/>
        <w:t>Extinguishing the MI</w:t>
      </w:r>
    </w:p>
    <w:p w:rsidR="00BB1DA8" w:rsidRPr="00B04DC3" w:rsidRDefault="00BB1DA8" w:rsidP="00BB1DA8">
      <w:pPr>
        <w:pStyle w:val="para"/>
        <w:rPr>
          <w:lang w:val="en-GB"/>
        </w:rPr>
      </w:pPr>
      <w:r w:rsidRPr="00B04DC3">
        <w:rPr>
          <w:lang w:val="en-GB"/>
        </w:rPr>
        <w:t>3.8.1.</w:t>
      </w:r>
      <w:r w:rsidRPr="00B04DC3">
        <w:rPr>
          <w:lang w:val="en-GB"/>
        </w:rPr>
        <w:tab/>
        <w:t>The MI may be de-activated after three subsequent sequential operating sequences or 24 engine running hours during which the monitoring system responsible for activating the MI ceases to detect the malfunction and if no other malfunction has been identified that would independently activate the MI.</w:t>
      </w:r>
    </w:p>
    <w:p w:rsidR="00BB1DA8" w:rsidRPr="00B04DC3" w:rsidRDefault="00BB1DA8" w:rsidP="00BB1DA8">
      <w:pPr>
        <w:pStyle w:val="para"/>
        <w:rPr>
          <w:lang w:val="en-GB"/>
        </w:rPr>
      </w:pPr>
      <w:r w:rsidRPr="00B04DC3">
        <w:rPr>
          <w:lang w:val="en-GB"/>
        </w:rPr>
        <w:t>3.8.2.</w:t>
      </w:r>
      <w:r w:rsidRPr="00B04DC3">
        <w:rPr>
          <w:lang w:val="en-GB"/>
        </w:rPr>
        <w:tab/>
        <w:t>In the case of MI activation due to lack of reagent for the deNO</w:t>
      </w:r>
      <w:r w:rsidRPr="00B04DC3">
        <w:rPr>
          <w:vertAlign w:val="subscript"/>
          <w:lang w:val="en-GB"/>
        </w:rPr>
        <w:t>x</w:t>
      </w:r>
      <w:r w:rsidRPr="00B04DC3">
        <w:rPr>
          <w:lang w:val="en-GB"/>
        </w:rPr>
        <w:t xml:space="preserve"> system, or combined deNO</w:t>
      </w:r>
      <w:r w:rsidRPr="00B04DC3">
        <w:rPr>
          <w:vertAlign w:val="subscript"/>
          <w:lang w:val="en-GB"/>
        </w:rPr>
        <w:t>x</w:t>
      </w:r>
      <w:r w:rsidRPr="00B04DC3">
        <w:rPr>
          <w:lang w:val="en-GB"/>
        </w:rPr>
        <w:t>-particulate after-treatment device or use of a reagent outside the specifications declared by the manufacturer, the MI may be switched back to the previous state of activation after filling or replacement of the storage medium with a reagent having the correct specifications.</w:t>
      </w:r>
    </w:p>
    <w:p w:rsidR="00BB1DA8" w:rsidRPr="00B04DC3" w:rsidRDefault="00BB1DA8" w:rsidP="00BB1DA8">
      <w:pPr>
        <w:pStyle w:val="para"/>
        <w:rPr>
          <w:lang w:val="en-GB"/>
        </w:rPr>
      </w:pPr>
      <w:r w:rsidRPr="00B04DC3">
        <w:rPr>
          <w:rFonts w:eastAsia="MS Mincho"/>
          <w:lang w:val="en-GB" w:eastAsia="ja-JP"/>
        </w:rPr>
        <w:t>3.8.3.</w:t>
      </w:r>
      <w:r w:rsidRPr="00B04DC3">
        <w:rPr>
          <w:rFonts w:eastAsia="MS Mincho"/>
          <w:lang w:val="en-GB" w:eastAsia="ja-JP"/>
        </w:rPr>
        <w:tab/>
      </w:r>
      <w:r w:rsidRPr="00B04DC3">
        <w:rPr>
          <w:lang w:val="en-GB"/>
        </w:rPr>
        <w:t xml:space="preserve">In the case of MI activation due to incorrect </w:t>
      </w:r>
      <w:r w:rsidRPr="00B04DC3">
        <w:rPr>
          <w:rFonts w:eastAsia="MS Mincho"/>
          <w:lang w:val="en-GB" w:eastAsia="ja-JP"/>
        </w:rPr>
        <w:t>operation of the engine system with respect to NO</w:t>
      </w:r>
      <w:r w:rsidRPr="00B04DC3">
        <w:rPr>
          <w:rFonts w:eastAsia="MS Mincho"/>
          <w:vertAlign w:val="subscript"/>
          <w:lang w:val="en-GB" w:eastAsia="ja-JP"/>
        </w:rPr>
        <w:t>x</w:t>
      </w:r>
      <w:r w:rsidRPr="00B04DC3">
        <w:rPr>
          <w:rFonts w:eastAsia="MS Mincho"/>
          <w:lang w:val="en-GB" w:eastAsia="ja-JP"/>
        </w:rPr>
        <w:t xml:space="preserve"> control measures</w:t>
      </w:r>
      <w:r w:rsidRPr="00B04DC3">
        <w:rPr>
          <w:lang w:val="en-GB"/>
        </w:rPr>
        <w:t>, or incorrect reagent consumption and dosing activity, the MI may be switched back to the previous state of activation if the conditions given in paragraphs 5.5.3., 5.5.4 and 5.5.7. of this Regulation no longer apply.</w:t>
      </w:r>
    </w:p>
    <w:p w:rsidR="00BB1DA8" w:rsidRPr="00B04DC3" w:rsidRDefault="00BB1DA8" w:rsidP="00060993">
      <w:pPr>
        <w:pStyle w:val="para"/>
        <w:keepNext/>
        <w:keepLines/>
        <w:rPr>
          <w:lang w:val="en-GB"/>
        </w:rPr>
      </w:pPr>
      <w:r w:rsidRPr="00B04DC3">
        <w:rPr>
          <w:lang w:val="en-GB"/>
        </w:rPr>
        <w:t>3.9.</w:t>
      </w:r>
      <w:r w:rsidRPr="00B04DC3">
        <w:rPr>
          <w:lang w:val="en-GB"/>
        </w:rPr>
        <w:tab/>
        <w:t>Erasing a fault code</w:t>
      </w:r>
    </w:p>
    <w:p w:rsidR="00BB1DA8" w:rsidRPr="00B04DC3" w:rsidRDefault="00BB1DA8" w:rsidP="00BB1DA8">
      <w:pPr>
        <w:pStyle w:val="para"/>
        <w:rPr>
          <w:lang w:val="en-GB"/>
        </w:rPr>
      </w:pPr>
      <w:r w:rsidRPr="00B04DC3">
        <w:rPr>
          <w:lang w:val="en-GB"/>
        </w:rPr>
        <w:t>3.9.1</w:t>
      </w:r>
      <w:r w:rsidRPr="00B04DC3">
        <w:rPr>
          <w:lang w:val="en-GB"/>
        </w:rPr>
        <w:tab/>
        <w:t>The OBD system may erase a fault code and the hours run by the engine and freeze</w:t>
      </w:r>
      <w:r w:rsidRPr="00B04DC3">
        <w:rPr>
          <w:lang w:val="en-GB"/>
        </w:rPr>
        <w:noBreakHyphen/>
        <w:t>frame information if the same fault is not re-registered in at least 40 engine warm-up cycles or 100 engine running hours, whichever occurs first, with the exception of the cases referred to in paragraph 3.9.2.</w:t>
      </w:r>
      <w:r w:rsidR="000E15C3">
        <w:rPr>
          <w:lang w:val="en-GB"/>
        </w:rPr>
        <w:t xml:space="preserve"> below.</w:t>
      </w:r>
    </w:p>
    <w:p w:rsidR="00BB1DA8" w:rsidRPr="00B04DC3" w:rsidRDefault="00BB1DA8" w:rsidP="00BB1DA8">
      <w:pPr>
        <w:pStyle w:val="para"/>
        <w:rPr>
          <w:lang w:val="en-GB"/>
        </w:rPr>
      </w:pPr>
      <w:r w:rsidRPr="00B04DC3">
        <w:rPr>
          <w:lang w:val="en-GB"/>
        </w:rPr>
        <w:t>3.9.2</w:t>
      </w:r>
      <w:r w:rsidRPr="00B04DC3">
        <w:rPr>
          <w:lang w:val="en-GB"/>
        </w:rPr>
        <w:tab/>
        <w:t>From 9 November 2006 for new type approvals and from 1 October 2007 for all registrations, in the case of a non-erasable fault code being generated according to paragraph 5.5.3. or 5.5.4. of this Regulation, the OBD system shall retain a record of the fault code and the hours run by the engine during the MI activation for at least 400 days or 9,600 hours of engine operation.</w:t>
      </w:r>
    </w:p>
    <w:p w:rsidR="00BB1DA8" w:rsidRPr="00B04DC3" w:rsidRDefault="00BB1DA8" w:rsidP="00BB1DA8">
      <w:pPr>
        <w:pStyle w:val="para"/>
        <w:rPr>
          <w:sz w:val="28"/>
          <w:szCs w:val="28"/>
          <w:lang w:val="en-GB"/>
        </w:rPr>
      </w:pPr>
      <w:r w:rsidRPr="00B04DC3">
        <w:rPr>
          <w:lang w:val="en-GB"/>
        </w:rPr>
        <w:tab/>
        <w:t xml:space="preserve">Any such fault code and the corresponding hours run by the engine during MI activation shall not be erased through use of any external diagnostic or other tool as referred to in paragraph 6.8.3. of this annex. </w:t>
      </w:r>
    </w:p>
    <w:p w:rsidR="00BB1DA8" w:rsidRPr="00B04DC3" w:rsidRDefault="00BB1DA8" w:rsidP="00BB1DA8">
      <w:pPr>
        <w:pStyle w:val="para"/>
        <w:rPr>
          <w:lang w:val="en-GB"/>
        </w:rPr>
      </w:pPr>
      <w:r w:rsidRPr="00B04DC3">
        <w:rPr>
          <w:lang w:val="en-GB"/>
        </w:rPr>
        <w:t>4.</w:t>
      </w:r>
      <w:r w:rsidRPr="00B04DC3">
        <w:rPr>
          <w:lang w:val="en-GB"/>
        </w:rPr>
        <w:tab/>
        <w:t>Requirements relating to the approval of OBD systems</w:t>
      </w:r>
    </w:p>
    <w:p w:rsidR="00BB1DA8" w:rsidRPr="00B04DC3" w:rsidRDefault="00BB1DA8" w:rsidP="00BB1DA8">
      <w:pPr>
        <w:pStyle w:val="para"/>
        <w:rPr>
          <w:lang w:val="en-GB"/>
        </w:rPr>
      </w:pPr>
      <w:r w:rsidRPr="00B04DC3">
        <w:rPr>
          <w:lang w:val="en-GB"/>
        </w:rPr>
        <w:t>4.1.</w:t>
      </w:r>
      <w:r w:rsidRPr="00B04DC3">
        <w:rPr>
          <w:lang w:val="en-GB"/>
        </w:rPr>
        <w:tab/>
        <w:t>For the purpose of approval, the OBD system shall be tested according to the procedures given in Appendix  to this annex.</w:t>
      </w:r>
    </w:p>
    <w:p w:rsidR="00BB1DA8" w:rsidRPr="00B04DC3" w:rsidRDefault="00BB1DA8" w:rsidP="00BB1DA8">
      <w:pPr>
        <w:pStyle w:val="para"/>
        <w:rPr>
          <w:spacing w:val="-4"/>
          <w:lang w:val="en-GB"/>
        </w:rPr>
      </w:pPr>
      <w:r w:rsidRPr="00B04DC3">
        <w:rPr>
          <w:spacing w:val="-4"/>
          <w:lang w:val="en-GB"/>
        </w:rPr>
        <w:tab/>
        <w:t xml:space="preserve">An engine representative of its engine family (see paragraph 7. of this Regulation) shall be used for the OBD demonstration tests or the test report of the parent OBD system of the OBD engine family will be provided to the </w:t>
      </w:r>
      <w:r w:rsidR="0055021A">
        <w:rPr>
          <w:lang w:val="en-GB"/>
        </w:rPr>
        <w:t xml:space="preserve">Type </w:t>
      </w:r>
      <w:r w:rsidRPr="00B04DC3">
        <w:rPr>
          <w:spacing w:val="-4"/>
          <w:lang w:val="en-GB"/>
        </w:rPr>
        <w:t>Approval Authority as an alternative to carrying out the OBD demonstration test.</w:t>
      </w:r>
    </w:p>
    <w:p w:rsidR="00BB1DA8" w:rsidRPr="00B04DC3" w:rsidRDefault="00BB1DA8" w:rsidP="00BB1DA8">
      <w:pPr>
        <w:pStyle w:val="para"/>
        <w:rPr>
          <w:spacing w:val="-4"/>
          <w:lang w:val="en-GB"/>
        </w:rPr>
      </w:pPr>
      <w:r w:rsidRPr="00B04DC3">
        <w:rPr>
          <w:spacing w:val="-4"/>
          <w:lang w:val="en-GB"/>
        </w:rPr>
        <w:t>4.1.1.</w:t>
      </w:r>
      <w:r w:rsidRPr="00B04DC3">
        <w:rPr>
          <w:spacing w:val="-4"/>
          <w:lang w:val="en-GB"/>
        </w:rPr>
        <w:tab/>
        <w:t>In the case of OBD stage 1 referred to in paragraph 3.2., the OBD system shall:</w:t>
      </w:r>
    </w:p>
    <w:p w:rsidR="00BB1DA8" w:rsidRPr="00B04DC3" w:rsidRDefault="00BB1DA8" w:rsidP="00BB1DA8">
      <w:pPr>
        <w:pStyle w:val="para"/>
        <w:rPr>
          <w:lang w:val="en-GB"/>
        </w:rPr>
      </w:pPr>
      <w:r w:rsidRPr="00B04DC3">
        <w:rPr>
          <w:lang w:val="en-GB"/>
        </w:rPr>
        <w:t>4.1.1.1.</w:t>
      </w:r>
      <w:r w:rsidRPr="00B04DC3">
        <w:rPr>
          <w:lang w:val="en-GB"/>
        </w:rPr>
        <w:tab/>
        <w:t>Indicate the failure of an emission-related component or system when that failure results in an increase in emissions above the OBD thresholds given in the table in paragraph 5.4.4. of this Regulation, or;</w:t>
      </w:r>
    </w:p>
    <w:p w:rsidR="00BB1DA8" w:rsidRPr="00B04DC3" w:rsidRDefault="00BB1DA8" w:rsidP="00BB1DA8">
      <w:pPr>
        <w:pStyle w:val="para"/>
        <w:rPr>
          <w:lang w:val="en-GB"/>
        </w:rPr>
      </w:pPr>
      <w:r w:rsidRPr="00B04DC3">
        <w:rPr>
          <w:lang w:val="en-GB"/>
        </w:rPr>
        <w:t>4.1.1.2.</w:t>
      </w:r>
      <w:r w:rsidRPr="00B04DC3">
        <w:rPr>
          <w:lang w:val="en-GB"/>
        </w:rPr>
        <w:tab/>
        <w:t xml:space="preserve">Where appropriate, indicate any major functional failure of an exhaust </w:t>
      </w:r>
      <w:r w:rsidR="006A75A0">
        <w:rPr>
          <w:lang w:val="en-GB"/>
        </w:rPr>
        <w:t>after-treatment</w:t>
      </w:r>
      <w:r w:rsidRPr="00B04DC3">
        <w:rPr>
          <w:lang w:val="en-GB"/>
        </w:rPr>
        <w:t xml:space="preserve"> system.</w:t>
      </w:r>
    </w:p>
    <w:p w:rsidR="00BB1DA8" w:rsidRPr="00B04DC3" w:rsidRDefault="00BB1DA8" w:rsidP="00BB1DA8">
      <w:pPr>
        <w:pStyle w:val="para"/>
        <w:rPr>
          <w:lang w:val="en-GB"/>
        </w:rPr>
      </w:pPr>
      <w:r w:rsidRPr="00B04DC3">
        <w:rPr>
          <w:lang w:val="en-GB"/>
        </w:rPr>
        <w:t>4.1.2.</w:t>
      </w:r>
      <w:r w:rsidRPr="00B04DC3">
        <w:rPr>
          <w:lang w:val="en-GB"/>
        </w:rPr>
        <w:tab/>
        <w:t>In the case of OBD stage 2 referred to in paragraph 3.3., the OBD system shall indicate the failure of an emission-related component or system when that failure results in an increase in emissions above the OBD thresholds given in the table in paragraph 5.4.4. of this Regulation.</w:t>
      </w:r>
    </w:p>
    <w:p w:rsidR="00BB1DA8" w:rsidRPr="00B04DC3" w:rsidRDefault="00BB1DA8" w:rsidP="00BB1DA8">
      <w:pPr>
        <w:pStyle w:val="para"/>
        <w:rPr>
          <w:lang w:val="en-GB"/>
        </w:rPr>
      </w:pPr>
      <w:r w:rsidRPr="00B04DC3">
        <w:rPr>
          <w:lang w:val="en-GB"/>
        </w:rPr>
        <w:t>4.1.3.</w:t>
      </w:r>
      <w:r w:rsidRPr="00B04DC3">
        <w:rPr>
          <w:lang w:val="en-GB"/>
        </w:rPr>
        <w:tab/>
        <w:t xml:space="preserve">In the case of both OBD </w:t>
      </w:r>
      <w:r w:rsidR="000E15C3" w:rsidRPr="00B04DC3">
        <w:rPr>
          <w:spacing w:val="-4"/>
          <w:lang w:val="en-GB"/>
        </w:rPr>
        <w:t xml:space="preserve">Stage </w:t>
      </w:r>
      <w:r w:rsidRPr="00B04DC3">
        <w:rPr>
          <w:lang w:val="en-GB"/>
        </w:rPr>
        <w:t xml:space="preserve">1 and OBD </w:t>
      </w:r>
      <w:r w:rsidR="000E15C3" w:rsidRPr="00B04DC3">
        <w:rPr>
          <w:spacing w:val="-4"/>
          <w:lang w:val="en-GB"/>
        </w:rPr>
        <w:t xml:space="preserve">Stage </w:t>
      </w:r>
      <w:r w:rsidRPr="00B04DC3">
        <w:rPr>
          <w:lang w:val="en-GB"/>
        </w:rPr>
        <w:t xml:space="preserve">2, the OBD system shall indicate the lack of any required reagent necessary for the operation of an exhaust </w:t>
      </w:r>
      <w:r w:rsidR="006A75A0">
        <w:rPr>
          <w:lang w:val="en-GB"/>
        </w:rPr>
        <w:t>after-treatment</w:t>
      </w:r>
      <w:r w:rsidRPr="00B04DC3">
        <w:rPr>
          <w:lang w:val="en-GB"/>
        </w:rPr>
        <w:t xml:space="preserve"> system.</w:t>
      </w:r>
    </w:p>
    <w:p w:rsidR="00BB1DA8" w:rsidRPr="00B04DC3" w:rsidRDefault="00BB1DA8" w:rsidP="00BB1DA8">
      <w:pPr>
        <w:pStyle w:val="para"/>
        <w:spacing w:after="0"/>
        <w:rPr>
          <w:lang w:val="en-GB"/>
        </w:rPr>
      </w:pPr>
      <w:r w:rsidRPr="00B04DC3">
        <w:rPr>
          <w:lang w:val="en-GB"/>
        </w:rPr>
        <w:t>4.2.</w:t>
      </w:r>
      <w:r w:rsidRPr="00B04DC3">
        <w:rPr>
          <w:lang w:val="en-GB"/>
        </w:rPr>
        <w:tab/>
        <w:t>Installation requirements</w:t>
      </w:r>
    </w:p>
    <w:p w:rsidR="00BB1DA8" w:rsidRPr="00B04DC3" w:rsidRDefault="00BB1DA8" w:rsidP="00BB1DA8">
      <w:pPr>
        <w:pStyle w:val="para"/>
        <w:spacing w:before="120" w:after="0"/>
        <w:rPr>
          <w:lang w:val="en-GB"/>
        </w:rPr>
      </w:pPr>
      <w:r w:rsidRPr="00B04DC3">
        <w:rPr>
          <w:lang w:val="en-GB"/>
        </w:rPr>
        <w:t>4.2.1.</w:t>
      </w:r>
      <w:r w:rsidRPr="00B04DC3">
        <w:rPr>
          <w:lang w:val="en-GB"/>
        </w:rPr>
        <w:tab/>
        <w:t>The installation on the vehicle of an engine equipped with an OBD system shall comply with the following provisions of this annex with respect to the vehicle equipment:</w:t>
      </w:r>
    </w:p>
    <w:p w:rsidR="00BB1DA8" w:rsidRPr="00B04DC3" w:rsidRDefault="00BB1DA8" w:rsidP="00BB1DA8">
      <w:pPr>
        <w:pStyle w:val="para"/>
        <w:spacing w:after="0"/>
        <w:rPr>
          <w:sz w:val="2"/>
          <w:szCs w:val="2"/>
          <w:lang w:val="en-GB"/>
        </w:rPr>
      </w:pPr>
    </w:p>
    <w:p w:rsidR="00BB1DA8" w:rsidRPr="00B04DC3" w:rsidRDefault="00BB1DA8" w:rsidP="00BB1DA8">
      <w:pPr>
        <w:pStyle w:val="a"/>
        <w:rPr>
          <w:lang w:val="en-GB"/>
        </w:rPr>
      </w:pPr>
      <w:r w:rsidRPr="00B04DC3">
        <w:rPr>
          <w:lang w:val="en-GB"/>
        </w:rPr>
        <w:t>(a)</w:t>
      </w:r>
      <w:r w:rsidRPr="00B04DC3">
        <w:rPr>
          <w:lang w:val="en-GB"/>
        </w:rPr>
        <w:tab/>
        <w:t>The provisions of paragraphs 3.6.1., 3.6.2. and 3.6.5. concerning the MI and, where appropriate, additional warning modes;</w:t>
      </w:r>
    </w:p>
    <w:p w:rsidR="00BB1DA8" w:rsidRPr="00B04DC3" w:rsidRDefault="00BB1DA8" w:rsidP="00BB1DA8">
      <w:pPr>
        <w:pStyle w:val="a"/>
        <w:rPr>
          <w:lang w:val="en-GB"/>
        </w:rPr>
      </w:pPr>
      <w:r w:rsidRPr="00B04DC3">
        <w:rPr>
          <w:lang w:val="en-GB"/>
        </w:rPr>
        <w:t>(b)</w:t>
      </w:r>
      <w:r w:rsidRPr="00B04DC3">
        <w:rPr>
          <w:lang w:val="en-GB"/>
        </w:rPr>
        <w:tab/>
        <w:t>When applicable, the provisions of paragraph 6.8.3.1. concerning the use of an on-board diagnostic facility;</w:t>
      </w:r>
    </w:p>
    <w:p w:rsidR="00BB1DA8" w:rsidRPr="00B04DC3" w:rsidRDefault="00BB1DA8" w:rsidP="00BB1DA8">
      <w:pPr>
        <w:pStyle w:val="a"/>
        <w:rPr>
          <w:lang w:val="en-GB"/>
        </w:rPr>
      </w:pPr>
      <w:r w:rsidRPr="00B04DC3">
        <w:rPr>
          <w:lang w:val="en-GB"/>
        </w:rPr>
        <w:t>(c)</w:t>
      </w:r>
      <w:r w:rsidRPr="00B04DC3">
        <w:rPr>
          <w:lang w:val="en-GB"/>
        </w:rPr>
        <w:tab/>
        <w:t>The provisions of paragraph 6.8.6. concerning the connection interface.</w:t>
      </w:r>
    </w:p>
    <w:p w:rsidR="00BB1DA8" w:rsidRPr="00B04DC3" w:rsidRDefault="00BB1DA8" w:rsidP="00BB1DA8">
      <w:pPr>
        <w:pStyle w:val="para"/>
        <w:rPr>
          <w:lang w:val="en-GB"/>
        </w:rPr>
      </w:pPr>
      <w:r w:rsidRPr="00B04DC3">
        <w:rPr>
          <w:lang w:val="en-GB"/>
        </w:rPr>
        <w:t>4.3.</w:t>
      </w:r>
      <w:r w:rsidRPr="00B04DC3">
        <w:rPr>
          <w:lang w:val="en-GB"/>
        </w:rPr>
        <w:tab/>
        <w:t>Approval of an OBD system containing deficiencies</w:t>
      </w:r>
    </w:p>
    <w:p w:rsidR="00BB1DA8" w:rsidRPr="002F3FE3" w:rsidRDefault="00BB1DA8" w:rsidP="00BB1DA8">
      <w:pPr>
        <w:pStyle w:val="para"/>
        <w:rPr>
          <w:lang w:val="en-GB"/>
        </w:rPr>
      </w:pPr>
      <w:r w:rsidRPr="00B04DC3">
        <w:rPr>
          <w:lang w:val="en-GB"/>
        </w:rPr>
        <w:t>4.3.1.</w:t>
      </w:r>
      <w:r w:rsidRPr="00B04DC3">
        <w:rPr>
          <w:lang w:val="en-GB"/>
        </w:rPr>
        <w:tab/>
        <w:t xml:space="preserve">A manufacturer may request to the </w:t>
      </w:r>
      <w:r w:rsidR="002F3FE3">
        <w:rPr>
          <w:lang w:val="en-GB"/>
        </w:rPr>
        <w:t xml:space="preserve">Type Approval </w:t>
      </w:r>
      <w:r w:rsidR="002F3FE3" w:rsidRPr="002F3FE3">
        <w:rPr>
          <w:lang w:val="en-GB"/>
        </w:rPr>
        <w:t>A</w:t>
      </w:r>
      <w:r w:rsidRPr="002F3FE3">
        <w:rPr>
          <w:lang w:val="en-GB"/>
        </w:rPr>
        <w:t>uthority</w:t>
      </w:r>
      <w:r w:rsidRPr="00B04DC3">
        <w:rPr>
          <w:lang w:val="en-GB"/>
        </w:rPr>
        <w:t xml:space="preserve"> </w:t>
      </w:r>
      <w:r w:rsidRPr="002F3FE3">
        <w:rPr>
          <w:lang w:val="en-GB"/>
        </w:rPr>
        <w:t>that an OBD system be accepted for approval even though the system contains one or more deficiencies such that the specific requirements of this annex are not fully met.</w:t>
      </w:r>
    </w:p>
    <w:p w:rsidR="00BB1DA8" w:rsidRPr="002F3FE3" w:rsidRDefault="00BB1DA8" w:rsidP="00BB1DA8">
      <w:pPr>
        <w:pStyle w:val="para"/>
        <w:rPr>
          <w:lang w:val="en-GB"/>
        </w:rPr>
      </w:pPr>
      <w:r w:rsidRPr="002F3FE3">
        <w:rPr>
          <w:lang w:val="en-GB"/>
        </w:rPr>
        <w:t>4.3.2.</w:t>
      </w:r>
      <w:r w:rsidRPr="002F3FE3">
        <w:rPr>
          <w:lang w:val="en-GB"/>
        </w:rPr>
        <w:tab/>
        <w:t xml:space="preserve">In considering the request, the </w:t>
      </w:r>
      <w:r w:rsidR="002F3FE3">
        <w:rPr>
          <w:lang w:val="en-GB"/>
        </w:rPr>
        <w:t>Type Approval A</w:t>
      </w:r>
      <w:r w:rsidRPr="002F3FE3">
        <w:rPr>
          <w:lang w:val="en-GB"/>
        </w:rPr>
        <w:t>uthority shall determine whether compliance with the requirements of this annex is feasible or unreasonable.</w:t>
      </w:r>
    </w:p>
    <w:p w:rsidR="00BB1DA8" w:rsidRPr="00B04DC3" w:rsidRDefault="00BB1DA8" w:rsidP="00BB1DA8">
      <w:pPr>
        <w:pStyle w:val="para"/>
        <w:rPr>
          <w:lang w:val="en-GB"/>
        </w:rPr>
      </w:pPr>
      <w:r w:rsidRPr="002F3FE3">
        <w:rPr>
          <w:lang w:val="en-GB"/>
        </w:rPr>
        <w:tab/>
        <w:t xml:space="preserve">The </w:t>
      </w:r>
      <w:r w:rsidR="002F3FE3" w:rsidRPr="002F3FE3">
        <w:rPr>
          <w:lang w:val="en-GB"/>
        </w:rPr>
        <w:t>Type Approval Authority</w:t>
      </w:r>
      <w:r w:rsidR="002F3FE3" w:rsidRPr="00B04DC3">
        <w:rPr>
          <w:lang w:val="en-GB"/>
        </w:rPr>
        <w:t xml:space="preserve"> </w:t>
      </w:r>
      <w:r w:rsidRPr="00B04DC3">
        <w:rPr>
          <w:lang w:val="en-GB"/>
        </w:rPr>
        <w:t>shall take into consideration data from the manufacturer that details such factors as, but not limited to, technical feasibility, lead time and production cycles including phase-in or phase-out of engines designs and programmed upgrades of computers, the extend to which the resultant OBD system will be effective in complying with the requirements of this Regulation and that the manufacturer has demonstrated an acceptable level of effort toward the requirements of this Regulation.</w:t>
      </w:r>
    </w:p>
    <w:p w:rsidR="00BB1DA8" w:rsidRPr="00B04DC3" w:rsidRDefault="00BB1DA8" w:rsidP="00BB1DA8">
      <w:pPr>
        <w:pStyle w:val="para"/>
        <w:rPr>
          <w:lang w:val="en-GB"/>
        </w:rPr>
      </w:pPr>
      <w:r w:rsidRPr="00B04DC3">
        <w:rPr>
          <w:lang w:val="en-GB"/>
        </w:rPr>
        <w:t>4.3.3.</w:t>
      </w:r>
      <w:r w:rsidRPr="00B04DC3">
        <w:rPr>
          <w:lang w:val="en-GB"/>
        </w:rPr>
        <w:tab/>
        <w:t>The</w:t>
      </w:r>
      <w:r w:rsidR="002F3FE3">
        <w:rPr>
          <w:lang w:val="en-GB"/>
        </w:rPr>
        <w:t xml:space="preserve"> Type Approval Authority </w:t>
      </w:r>
      <w:r w:rsidRPr="00B04DC3">
        <w:rPr>
          <w:lang w:val="en-GB"/>
        </w:rPr>
        <w:t>will not accept any deficiency request that includes the complete lack of a required diagnostic monitor.</w:t>
      </w:r>
    </w:p>
    <w:p w:rsidR="00BB1DA8" w:rsidRPr="000E15C3" w:rsidRDefault="00BB1DA8" w:rsidP="00BB1DA8">
      <w:pPr>
        <w:pStyle w:val="para"/>
        <w:rPr>
          <w:lang w:val="en-GB"/>
        </w:rPr>
      </w:pPr>
      <w:r w:rsidRPr="00B04DC3">
        <w:rPr>
          <w:spacing w:val="-4"/>
          <w:lang w:val="en-GB"/>
        </w:rPr>
        <w:t>4.3.4.</w:t>
      </w:r>
      <w:r w:rsidRPr="00B04DC3">
        <w:rPr>
          <w:spacing w:val="-4"/>
          <w:lang w:val="en-GB"/>
        </w:rPr>
        <w:tab/>
      </w:r>
      <w:r w:rsidRPr="000E15C3">
        <w:rPr>
          <w:lang w:val="en-GB"/>
        </w:rPr>
        <w:t>The</w:t>
      </w:r>
      <w:r w:rsidR="002F3FE3" w:rsidRPr="000E15C3">
        <w:rPr>
          <w:lang w:val="en-GB"/>
        </w:rPr>
        <w:t xml:space="preserve"> Type Approval Authority </w:t>
      </w:r>
      <w:r w:rsidRPr="000E15C3">
        <w:rPr>
          <w:lang w:val="en-GB"/>
        </w:rPr>
        <w:t>shall not accept any deficiency request that does not respect the OBD threshold limits given in the table in paragraph 5.4.4. of this Regulation.</w:t>
      </w:r>
    </w:p>
    <w:p w:rsidR="00BB1DA8" w:rsidRPr="00B04DC3" w:rsidRDefault="00BB1DA8" w:rsidP="00BB1DA8">
      <w:pPr>
        <w:pStyle w:val="para"/>
        <w:rPr>
          <w:lang w:val="en-GB"/>
        </w:rPr>
      </w:pPr>
      <w:r w:rsidRPr="00B04DC3">
        <w:rPr>
          <w:lang w:val="en-GB"/>
        </w:rPr>
        <w:t>4.3.5.</w:t>
      </w:r>
      <w:r w:rsidRPr="00B04DC3">
        <w:rPr>
          <w:lang w:val="en-GB"/>
        </w:rPr>
        <w:tab/>
        <w:t>In determining the identified order of deficiencies, deficiencies relating to OBD Stage 1 in respect of paragraphs 3.2.2.1., 3.2.2.2., 3.2.2.3., 3.2.2.4. and 3.4.1.1. and OBD Stage 2 in respect of paragraphs 3.3.2.1., 3.3.2.2., 3.3.2.3., 3.3.2.4. and 3.4.1.1. of this annex shall be identified first.</w:t>
      </w:r>
    </w:p>
    <w:p w:rsidR="00BB1DA8" w:rsidRPr="00B04DC3" w:rsidRDefault="00BB1DA8" w:rsidP="00BB1DA8">
      <w:pPr>
        <w:pStyle w:val="para"/>
        <w:rPr>
          <w:lang w:val="en-GB"/>
        </w:rPr>
      </w:pPr>
      <w:r w:rsidRPr="00B04DC3">
        <w:rPr>
          <w:lang w:val="en-GB"/>
        </w:rPr>
        <w:t>4.3.6.</w:t>
      </w:r>
      <w:r w:rsidRPr="00B04DC3">
        <w:rPr>
          <w:lang w:val="en-GB"/>
        </w:rPr>
        <w:tab/>
        <w:t>Prior to or at the time of approval, no deficiency shall be granted in respect of the requirements of paragraph 3.2.3. and paragraph 6., except sub-paragraph 6.8.5. of this annex.</w:t>
      </w:r>
    </w:p>
    <w:p w:rsidR="00BB1DA8" w:rsidRPr="00B04DC3" w:rsidRDefault="00BB1DA8" w:rsidP="00BB1DA8">
      <w:pPr>
        <w:pStyle w:val="para"/>
        <w:rPr>
          <w:lang w:val="en-GB"/>
        </w:rPr>
      </w:pPr>
      <w:r w:rsidRPr="00B04DC3">
        <w:rPr>
          <w:lang w:val="en-GB"/>
        </w:rPr>
        <w:t>4.3.7.</w:t>
      </w:r>
      <w:r w:rsidRPr="00B04DC3">
        <w:rPr>
          <w:lang w:val="en-GB"/>
        </w:rPr>
        <w:tab/>
        <w:t>Deficiency period</w:t>
      </w:r>
    </w:p>
    <w:p w:rsidR="00BB1DA8" w:rsidRPr="00B04DC3" w:rsidRDefault="00BB1DA8" w:rsidP="00BB1DA8">
      <w:pPr>
        <w:pStyle w:val="para"/>
        <w:rPr>
          <w:lang w:val="en-GB"/>
        </w:rPr>
      </w:pPr>
      <w:r w:rsidRPr="00B04DC3">
        <w:rPr>
          <w:lang w:val="en-GB"/>
        </w:rPr>
        <w:t>4.3.7.1.</w:t>
      </w:r>
      <w:r w:rsidRPr="00B04DC3">
        <w:rPr>
          <w:lang w:val="en-GB"/>
        </w:rPr>
        <w:tab/>
        <w:t>A deficiency may be carried-over for a period of two years after the date of approval of the engine type or vehicle in respect of its engine type, unless it can be adequately demonstrated that substantial engine modifications and additional lead-time beyond two years would be necessary to correct the deficiency. In such a case, the deficiency may be carried-out for a period not exceeding three years.</w:t>
      </w:r>
    </w:p>
    <w:p w:rsidR="00BB1DA8" w:rsidRPr="00B04DC3" w:rsidRDefault="00BB1DA8" w:rsidP="00BB1DA8">
      <w:pPr>
        <w:pStyle w:val="para"/>
        <w:rPr>
          <w:lang w:val="en-GB"/>
        </w:rPr>
      </w:pPr>
      <w:r w:rsidRPr="00B04DC3">
        <w:rPr>
          <w:lang w:val="en-GB"/>
        </w:rPr>
        <w:t>4.3.7.2.</w:t>
      </w:r>
      <w:r w:rsidRPr="00B04DC3">
        <w:rPr>
          <w:lang w:val="en-GB"/>
        </w:rPr>
        <w:tab/>
        <w:t xml:space="preserve">A manufacturer may request that the original </w:t>
      </w:r>
      <w:r w:rsidR="00060993">
        <w:rPr>
          <w:lang w:val="en-GB"/>
        </w:rPr>
        <w:t xml:space="preserve">Type </w:t>
      </w:r>
      <w:r w:rsidRPr="00B04DC3">
        <w:rPr>
          <w:lang w:val="en-GB"/>
        </w:rPr>
        <w:t xml:space="preserve">Approval Authority grant a deficiency retrospectively when such a deficiency is discovered after the original approval. In this case, the deficiency may be carried-over for a period of two years after the date of notification to the </w:t>
      </w:r>
      <w:r w:rsidR="00060993">
        <w:rPr>
          <w:lang w:val="en-GB"/>
        </w:rPr>
        <w:t xml:space="preserve">Type </w:t>
      </w:r>
      <w:r w:rsidRPr="00B04DC3">
        <w:rPr>
          <w:lang w:val="en-GB"/>
        </w:rPr>
        <w:t>Approval Authority unless it can be adequately demonstrated that substantial engine modifications and additional lead-time beyond two years would be necessary to correct the deficiency. In such a case, the deficiency may be carried-out for a period not exceeding three years.</w:t>
      </w:r>
    </w:p>
    <w:p w:rsidR="00BB1DA8" w:rsidRPr="00B04DC3" w:rsidRDefault="00BB1DA8" w:rsidP="00BB1DA8">
      <w:pPr>
        <w:pStyle w:val="para"/>
        <w:rPr>
          <w:lang w:val="en-GB"/>
        </w:rPr>
      </w:pPr>
      <w:r w:rsidRPr="00B04DC3">
        <w:rPr>
          <w:lang w:val="en-GB"/>
        </w:rPr>
        <w:t>4.3.7.3.</w:t>
      </w:r>
      <w:r w:rsidRPr="00B04DC3">
        <w:rPr>
          <w:lang w:val="en-GB"/>
        </w:rPr>
        <w:tab/>
        <w:t>The</w:t>
      </w:r>
      <w:r w:rsidR="002F3FE3">
        <w:rPr>
          <w:lang w:val="en-GB"/>
        </w:rPr>
        <w:t xml:space="preserve"> Type Approval Authority </w:t>
      </w:r>
      <w:r w:rsidRPr="00B04DC3">
        <w:rPr>
          <w:lang w:val="en-GB"/>
        </w:rPr>
        <w:t>shall notify its decision in granting a deficiency request to all Contracting Parties.</w:t>
      </w:r>
    </w:p>
    <w:p w:rsidR="00BB1DA8" w:rsidRPr="00B04DC3" w:rsidRDefault="00BB1DA8" w:rsidP="00BB1DA8">
      <w:pPr>
        <w:pStyle w:val="para"/>
        <w:rPr>
          <w:lang w:val="en-GB"/>
        </w:rPr>
      </w:pPr>
      <w:r w:rsidRPr="00B04DC3">
        <w:rPr>
          <w:lang w:val="en-GB"/>
        </w:rPr>
        <w:t>5.</w:t>
      </w:r>
      <w:r w:rsidRPr="00B04DC3">
        <w:rPr>
          <w:lang w:val="en-GB"/>
        </w:rPr>
        <w:tab/>
      </w:r>
      <w:r w:rsidRPr="00B04DC3">
        <w:rPr>
          <w:lang w:val="en-GB"/>
        </w:rPr>
        <w:tab/>
        <w:t>Access to OBD information</w:t>
      </w:r>
    </w:p>
    <w:p w:rsidR="00BB1DA8" w:rsidRPr="00B04DC3" w:rsidRDefault="00BB1DA8" w:rsidP="00BB1DA8">
      <w:pPr>
        <w:pStyle w:val="para"/>
        <w:rPr>
          <w:lang w:val="en-GB"/>
        </w:rPr>
      </w:pPr>
      <w:r w:rsidRPr="00B04DC3">
        <w:rPr>
          <w:lang w:val="en-GB"/>
        </w:rPr>
        <w:t>5.1.</w:t>
      </w:r>
      <w:r w:rsidRPr="00B04DC3">
        <w:rPr>
          <w:lang w:val="en-GB"/>
        </w:rPr>
        <w:tab/>
        <w:t>Replacement parts, diagnostic tools and test equipment</w:t>
      </w:r>
    </w:p>
    <w:p w:rsidR="00BB1DA8" w:rsidRPr="00B04DC3" w:rsidRDefault="00BB1DA8" w:rsidP="00BB1DA8">
      <w:pPr>
        <w:pStyle w:val="para"/>
        <w:rPr>
          <w:lang w:val="en-GB"/>
        </w:rPr>
      </w:pPr>
      <w:r w:rsidRPr="00B04DC3">
        <w:rPr>
          <w:lang w:val="en-GB"/>
        </w:rPr>
        <w:t>5.1.1.</w:t>
      </w:r>
      <w:r w:rsidRPr="00B04DC3">
        <w:rPr>
          <w:lang w:val="en-GB"/>
        </w:rPr>
        <w:tab/>
        <w:t>Applications for approval or amendment of an approval shall be accompanied by the relevant information concerning the OBD system. This relevant information shall enable manufacturers of replacement or retrofit components to make the parts they manufacture compatible with the OBD system with a view to fault-free operation assuring the vehicle user against malfunctions. Similarly, such relevant information shall enable the manufacturers of diagnostic tools and test equipment to make tools and equipment that provide for effective and accurate diagnosis of emission control systems.</w:t>
      </w:r>
    </w:p>
    <w:p w:rsidR="00BB1DA8" w:rsidRPr="00B04DC3" w:rsidRDefault="00BB1DA8" w:rsidP="00BB1DA8">
      <w:pPr>
        <w:pStyle w:val="para"/>
        <w:rPr>
          <w:lang w:val="en-GB"/>
        </w:rPr>
      </w:pPr>
      <w:r w:rsidRPr="00B04DC3">
        <w:rPr>
          <w:lang w:val="en-GB"/>
        </w:rPr>
        <w:t>5.1.2.</w:t>
      </w:r>
      <w:r w:rsidRPr="00B04DC3">
        <w:rPr>
          <w:lang w:val="en-GB"/>
        </w:rPr>
        <w:tab/>
        <w:t xml:space="preserve">Upon request, the </w:t>
      </w:r>
      <w:r w:rsidR="000E15C3">
        <w:rPr>
          <w:lang w:val="en-GB"/>
        </w:rPr>
        <w:t>Type Approval Authorit</w:t>
      </w:r>
      <w:r w:rsidRPr="00B04DC3">
        <w:rPr>
          <w:lang w:val="en-GB"/>
        </w:rPr>
        <w:t xml:space="preserve">ies shall make Appendix 1 to Annex 2A </w:t>
      </w:r>
      <w:r w:rsidR="00E35C47">
        <w:rPr>
          <w:lang w:val="en-GB"/>
        </w:rPr>
        <w:t>(</w:t>
      </w:r>
      <w:r w:rsidRPr="00B04DC3">
        <w:rPr>
          <w:lang w:val="en-GB"/>
        </w:rPr>
        <w:t>containing the relevant information on the OBD system as specified in the Appendix to Annex 9A to this Regulation</w:t>
      </w:r>
      <w:r w:rsidR="00E35C47">
        <w:rPr>
          <w:lang w:val="en-GB"/>
        </w:rPr>
        <w:t>)</w:t>
      </w:r>
      <w:r w:rsidRPr="00B04DC3">
        <w:rPr>
          <w:lang w:val="en-GB"/>
        </w:rPr>
        <w:t xml:space="preserve">, available to any interested components, diagnostic tools or test equipment manufacturer on a non-discriminatory basis. </w:t>
      </w:r>
    </w:p>
    <w:p w:rsidR="00BB1DA8" w:rsidRPr="00B04DC3" w:rsidRDefault="00BB1DA8" w:rsidP="00BB1DA8">
      <w:pPr>
        <w:pStyle w:val="para"/>
        <w:rPr>
          <w:lang w:val="en-GB"/>
        </w:rPr>
      </w:pPr>
      <w:r w:rsidRPr="00B04DC3">
        <w:rPr>
          <w:lang w:val="en-GB"/>
        </w:rPr>
        <w:t>5.1.2.1.</w:t>
      </w:r>
      <w:r w:rsidRPr="00B04DC3">
        <w:rPr>
          <w:lang w:val="en-GB"/>
        </w:rPr>
        <w:tab/>
        <w:t>In the case of replacement or service components, information can only be requested for such components that are subject to approval, or for components that form part of a system that is subject to approval.</w:t>
      </w:r>
    </w:p>
    <w:p w:rsidR="00BB1DA8" w:rsidRPr="00B04DC3" w:rsidRDefault="00BB1DA8" w:rsidP="00BB1DA8">
      <w:pPr>
        <w:pStyle w:val="para"/>
        <w:rPr>
          <w:lang w:val="en-GB"/>
        </w:rPr>
      </w:pPr>
      <w:r w:rsidRPr="00B04DC3">
        <w:rPr>
          <w:lang w:val="en-GB"/>
        </w:rPr>
        <w:t>5.1.2.2.</w:t>
      </w:r>
      <w:r w:rsidRPr="00B04DC3">
        <w:rPr>
          <w:lang w:val="en-GB"/>
        </w:rPr>
        <w:tab/>
        <w:t>The request for information shall identify the exact specification of the engine model type/engine model type within an engine family for which the information is required. It shall confirm that the information is required for the development of replacement or retrofit parts or components or diagnostic tools or test equipment.</w:t>
      </w:r>
    </w:p>
    <w:p w:rsidR="00BB1DA8" w:rsidRPr="00B04DC3" w:rsidRDefault="00BB1DA8" w:rsidP="00BB1DA8">
      <w:pPr>
        <w:pStyle w:val="para"/>
        <w:rPr>
          <w:lang w:val="en-GB"/>
        </w:rPr>
      </w:pPr>
      <w:r w:rsidRPr="00B04DC3">
        <w:rPr>
          <w:lang w:val="en-GB"/>
        </w:rPr>
        <w:t>5.2</w:t>
      </w:r>
      <w:r w:rsidRPr="00B04DC3">
        <w:rPr>
          <w:lang w:val="en-GB"/>
        </w:rPr>
        <w:tab/>
        <w:t>Repair information</w:t>
      </w:r>
    </w:p>
    <w:p w:rsidR="00BB1DA8" w:rsidRPr="00B04DC3" w:rsidRDefault="00BB1DA8" w:rsidP="00BB1DA8">
      <w:pPr>
        <w:pStyle w:val="para"/>
        <w:rPr>
          <w:lang w:val="en-GB"/>
        </w:rPr>
      </w:pPr>
      <w:r w:rsidRPr="00B04DC3">
        <w:rPr>
          <w:lang w:val="en-GB"/>
        </w:rPr>
        <w:t>5.2.1.</w:t>
      </w:r>
      <w:r w:rsidRPr="00B04DC3">
        <w:rPr>
          <w:lang w:val="en-GB"/>
        </w:rPr>
        <w:tab/>
        <w:t>No</w:t>
      </w:r>
      <w:r w:rsidR="00E35C47">
        <w:rPr>
          <w:lang w:val="en-GB"/>
        </w:rPr>
        <w:t>t</w:t>
      </w:r>
      <w:r w:rsidRPr="00B04DC3">
        <w:rPr>
          <w:lang w:val="en-GB"/>
        </w:rPr>
        <w:t xml:space="preserve"> later than three months after the manufacturer has provided any authorized dealer or repair shop within the Community with repair information, the manufacturer shall make that information (including all subsequent amendments and supplements) available upon reasonable and non-discriminatory payment.</w:t>
      </w:r>
    </w:p>
    <w:p w:rsidR="00BB1DA8" w:rsidRPr="00B04DC3" w:rsidRDefault="00BB1DA8" w:rsidP="00BB1DA8">
      <w:pPr>
        <w:pStyle w:val="para"/>
        <w:rPr>
          <w:lang w:val="en-GB"/>
        </w:rPr>
      </w:pPr>
      <w:r w:rsidRPr="00B04DC3">
        <w:rPr>
          <w:lang w:val="en-GB"/>
        </w:rPr>
        <w:t>5.2.2.</w:t>
      </w:r>
      <w:r w:rsidRPr="00B04DC3">
        <w:rPr>
          <w:lang w:val="en-GB"/>
        </w:rPr>
        <w:tab/>
        <w:t>The manufacturer shall also make accessible, where appropriate upon payment the technical information required for the repair or maintenance of motor vehicles unless that information is covered by an intellectual property right or constitutes essential, secret know</w:t>
      </w:r>
      <w:r w:rsidRPr="00B04DC3">
        <w:rPr>
          <w:lang w:val="en-GB"/>
        </w:rPr>
        <w:noBreakHyphen/>
        <w:t>how which is identified in an appropriate form; in such case, the necessary technical information shall not be withheld improperly.</w:t>
      </w:r>
    </w:p>
    <w:p w:rsidR="00BB1DA8" w:rsidRPr="00B04DC3" w:rsidRDefault="00BB1DA8" w:rsidP="00BB1DA8">
      <w:pPr>
        <w:pStyle w:val="para"/>
        <w:rPr>
          <w:lang w:val="en-GB"/>
        </w:rPr>
      </w:pPr>
      <w:r w:rsidRPr="00B04DC3">
        <w:rPr>
          <w:lang w:val="en-GB"/>
        </w:rPr>
        <w:tab/>
        <w:t>Entitled to such information is any person engaged in commercially servicing or repairing, road-side rescuing, inspecting or testing of vehicles or in manufacturing or selling replacement or retro-fit components, diagnostic tools and test equipment.</w:t>
      </w:r>
    </w:p>
    <w:p w:rsidR="00BB1DA8" w:rsidRPr="00B04DC3" w:rsidRDefault="00BB1DA8" w:rsidP="00BB1DA8">
      <w:pPr>
        <w:pStyle w:val="para"/>
        <w:rPr>
          <w:lang w:val="en-GB"/>
        </w:rPr>
      </w:pPr>
      <w:r w:rsidRPr="00B04DC3">
        <w:rPr>
          <w:lang w:val="en-GB"/>
        </w:rPr>
        <w:t>5.2.3.</w:t>
      </w:r>
      <w:r w:rsidRPr="00B04DC3">
        <w:rPr>
          <w:lang w:val="en-GB"/>
        </w:rPr>
        <w:tab/>
        <w:t xml:space="preserve">In the event of failure to comply with these provisions the </w:t>
      </w:r>
      <w:r w:rsidR="00060993">
        <w:rPr>
          <w:lang w:val="en-GB"/>
        </w:rPr>
        <w:t xml:space="preserve">Type </w:t>
      </w:r>
      <w:r w:rsidRPr="00B04DC3">
        <w:rPr>
          <w:lang w:val="en-GB"/>
        </w:rPr>
        <w:t>Approval Authority shall take appropriate measures to ensure that repair information is available, in accordance with the procedures laid down for approval and in-service surveys.</w:t>
      </w:r>
    </w:p>
    <w:p w:rsidR="00BB1DA8" w:rsidRPr="00B04DC3" w:rsidRDefault="00BB1DA8" w:rsidP="00AE1A72">
      <w:pPr>
        <w:pStyle w:val="para"/>
        <w:keepNext/>
        <w:keepLines/>
        <w:rPr>
          <w:lang w:val="en-GB"/>
        </w:rPr>
      </w:pPr>
      <w:r w:rsidRPr="00B04DC3">
        <w:rPr>
          <w:lang w:val="en-GB"/>
        </w:rPr>
        <w:t>6.</w:t>
      </w:r>
      <w:r w:rsidRPr="00B04DC3">
        <w:rPr>
          <w:lang w:val="en-GB"/>
        </w:rPr>
        <w:tab/>
        <w:t>Diaganostic signals</w:t>
      </w:r>
    </w:p>
    <w:p w:rsidR="00BB1DA8" w:rsidRPr="00B04DC3" w:rsidRDefault="00BB1DA8" w:rsidP="00BB1DA8">
      <w:pPr>
        <w:pStyle w:val="para"/>
        <w:rPr>
          <w:lang w:val="en-GB"/>
        </w:rPr>
      </w:pPr>
      <w:r w:rsidRPr="00B04DC3">
        <w:rPr>
          <w:lang w:val="en-GB"/>
        </w:rPr>
        <w:t>6.1.</w:t>
      </w:r>
      <w:r w:rsidRPr="00B04DC3">
        <w:rPr>
          <w:lang w:val="en-GB"/>
        </w:rPr>
        <w:tab/>
        <w:t>Upon determination of the first malfunction of any component or system, "freeze</w:t>
      </w:r>
      <w:r w:rsidRPr="00B04DC3">
        <w:rPr>
          <w:lang w:val="en-GB"/>
        </w:rPr>
        <w:noBreakHyphen/>
        <w:t>frame" engine conditions present at the time shall be stored in computer memory. Stored engine conditions shall include, but are not limited to calculated load value, engine speed, coolant temperature, intake manifold pressure (if available), and the fault code which caused the data to be stored. For freeze-frame storage, the manufacturer shall choose the most appropriate set of conditions facilitating effective repairs.</w:t>
      </w:r>
    </w:p>
    <w:p w:rsidR="00BB1DA8" w:rsidRPr="00B04DC3" w:rsidRDefault="00BB1DA8" w:rsidP="00BB1DA8">
      <w:pPr>
        <w:pStyle w:val="para"/>
        <w:rPr>
          <w:lang w:val="en-GB"/>
        </w:rPr>
      </w:pPr>
      <w:r w:rsidRPr="00B04DC3">
        <w:rPr>
          <w:lang w:val="en-GB"/>
        </w:rPr>
        <w:t>6.2.</w:t>
      </w:r>
      <w:r w:rsidRPr="00B04DC3">
        <w:rPr>
          <w:lang w:val="en-GB"/>
        </w:rPr>
        <w:tab/>
        <w:t xml:space="preserve">Only one frame of data is required. Manufacturers may choose to store additional frames provided that at least the required frame can be read by a generic scan tool meeting the specifications of paragraphs 6.8.3. and 6.8.4. </w:t>
      </w:r>
      <w:r w:rsidR="00E35C47">
        <w:rPr>
          <w:lang w:val="en-GB"/>
        </w:rPr>
        <w:t xml:space="preserve">of this annex. </w:t>
      </w:r>
      <w:r w:rsidRPr="00B04DC3">
        <w:rPr>
          <w:lang w:val="en-GB"/>
        </w:rPr>
        <w:t>If the fault code causing the conditions to be stored is erased in accordance with paragraph 3.9. of this annex, the stored engine conditions may also be erased.</w:t>
      </w:r>
    </w:p>
    <w:p w:rsidR="00BB1DA8" w:rsidRPr="00B04DC3" w:rsidRDefault="00BB1DA8" w:rsidP="00BB1DA8">
      <w:pPr>
        <w:pStyle w:val="para"/>
        <w:rPr>
          <w:lang w:val="en-GB"/>
        </w:rPr>
      </w:pPr>
      <w:r w:rsidRPr="00B04DC3">
        <w:rPr>
          <w:lang w:val="en-GB"/>
        </w:rPr>
        <w:t>6.3.</w:t>
      </w:r>
      <w:r w:rsidRPr="00B04DC3">
        <w:rPr>
          <w:lang w:val="en-GB"/>
        </w:rPr>
        <w:tab/>
        <w:t>If available, the following signals in addition to the required freeze</w:t>
      </w:r>
      <w:r w:rsidRPr="00B04DC3">
        <w:rPr>
          <w:lang w:val="en-GB"/>
        </w:rPr>
        <w:noBreakHyphen/>
        <w:t>frame information shall be made available on demand through the serial port on the standardized data link connector, if the information is available to the on</w:t>
      </w:r>
      <w:r w:rsidRPr="00B04DC3">
        <w:rPr>
          <w:lang w:val="en-GB"/>
        </w:rPr>
        <w:noBreakHyphen/>
        <w:t>board computer or can be determined using information available to the on</w:t>
      </w:r>
      <w:r w:rsidRPr="00B04DC3">
        <w:rPr>
          <w:lang w:val="en-GB"/>
        </w:rPr>
        <w:noBreakHyphen/>
        <w:t>board computer: diagnostic trouble codes, engine coolant temperature, injection timing, intake air temperature, manifold air pressure, air flow rate, engine speed, pedal position sensor output value, calculated load value, vehicle speed and fuel pressure.</w:t>
      </w:r>
    </w:p>
    <w:p w:rsidR="00BB1DA8" w:rsidRPr="00B04DC3" w:rsidRDefault="00BB1DA8" w:rsidP="00BB1DA8">
      <w:pPr>
        <w:pStyle w:val="para"/>
        <w:rPr>
          <w:lang w:val="en-GB"/>
        </w:rPr>
      </w:pPr>
      <w:r w:rsidRPr="00B04DC3">
        <w:rPr>
          <w:lang w:val="en-GB"/>
        </w:rPr>
        <w:tab/>
        <w:t xml:space="preserve">The signals shall be provided in standard units based on the specifications given in paragraph 6.8. </w:t>
      </w:r>
      <w:r w:rsidR="00E35C47">
        <w:rPr>
          <w:lang w:val="en-GB"/>
        </w:rPr>
        <w:t xml:space="preserve">of this annex. </w:t>
      </w:r>
      <w:r w:rsidRPr="00B04DC3">
        <w:rPr>
          <w:lang w:val="en-GB"/>
        </w:rPr>
        <w:t>Actual signals shall be clearly identified separately from default value or limp-home signals.</w:t>
      </w:r>
    </w:p>
    <w:p w:rsidR="00BB1DA8" w:rsidRPr="00B04DC3" w:rsidRDefault="00BB1DA8" w:rsidP="00BB1DA8">
      <w:pPr>
        <w:pStyle w:val="para"/>
        <w:rPr>
          <w:strike/>
          <w:lang w:val="en-GB"/>
        </w:rPr>
      </w:pPr>
      <w:r w:rsidRPr="00B04DC3">
        <w:rPr>
          <w:lang w:val="en-GB"/>
        </w:rPr>
        <w:t>6.4.</w:t>
      </w:r>
      <w:r w:rsidRPr="00B04DC3">
        <w:rPr>
          <w:lang w:val="en-GB"/>
        </w:rPr>
        <w:tab/>
        <w:t>For all emission control systems for which specific on-board evaluation tests are conducted, separate status codes, or readiness codes, shall be stored in computer memory to identify correctly functioning emission control systems and those emission control systems which require further vehicle operation to complete a proper diagnostic evaluation. A readiness code need not be stored for those monitors that can be considered continuously operating monitors. Readiness codes should never be set to "not ready" status upon "key-on" or "key-off". The intentional setting of readiness codes to "not ready" status via service procedures shall apply to all such codes, rather than applying to individual codes.</w:t>
      </w:r>
    </w:p>
    <w:p w:rsidR="00BB1DA8" w:rsidRPr="00B04DC3" w:rsidRDefault="00BB1DA8" w:rsidP="00BB1DA8">
      <w:pPr>
        <w:pStyle w:val="para"/>
        <w:rPr>
          <w:lang w:val="en-GB"/>
        </w:rPr>
      </w:pPr>
      <w:r w:rsidRPr="00B04DC3">
        <w:rPr>
          <w:lang w:val="en-GB"/>
        </w:rPr>
        <w:t>6.5.</w:t>
      </w:r>
      <w:r w:rsidRPr="00B04DC3">
        <w:rPr>
          <w:lang w:val="en-GB"/>
        </w:rPr>
        <w:tab/>
        <w:t>The OBD requirements to which the vehicle is certified (i.e.  OBD</w:t>
      </w:r>
      <w:r w:rsidR="00E35C47" w:rsidRPr="00E35C47">
        <w:rPr>
          <w:lang w:val="en-GB"/>
        </w:rPr>
        <w:t xml:space="preserve"> </w:t>
      </w:r>
      <w:r w:rsidR="00E35C47" w:rsidRPr="00B04DC3">
        <w:rPr>
          <w:lang w:val="en-GB"/>
        </w:rPr>
        <w:t>stage</w:t>
      </w:r>
      <w:r w:rsidR="00E35C47">
        <w:rPr>
          <w:lang w:val="en-GB"/>
        </w:rPr>
        <w:t xml:space="preserve"> </w:t>
      </w:r>
      <w:r w:rsidR="00E35C47" w:rsidRPr="00B04DC3">
        <w:rPr>
          <w:lang w:val="en-GB"/>
        </w:rPr>
        <w:t>1</w:t>
      </w:r>
      <w:r w:rsidRPr="00B04DC3">
        <w:rPr>
          <w:lang w:val="en-GB"/>
        </w:rPr>
        <w:t xml:space="preserve"> or  OBD</w:t>
      </w:r>
      <w:r w:rsidR="00E35C47" w:rsidRPr="00E35C47">
        <w:rPr>
          <w:lang w:val="en-GB"/>
        </w:rPr>
        <w:t xml:space="preserve"> </w:t>
      </w:r>
      <w:r w:rsidR="00E35C47" w:rsidRPr="00B04DC3">
        <w:rPr>
          <w:lang w:val="en-GB"/>
        </w:rPr>
        <w:t>stage</w:t>
      </w:r>
      <w:r w:rsidR="00E35C47">
        <w:rPr>
          <w:lang w:val="en-GB"/>
        </w:rPr>
        <w:t xml:space="preserve"> </w:t>
      </w:r>
      <w:r w:rsidR="00E35C47" w:rsidRPr="00B04DC3">
        <w:rPr>
          <w:lang w:val="en-GB"/>
        </w:rPr>
        <w:t>2</w:t>
      </w:r>
      <w:r w:rsidRPr="00B04DC3">
        <w:rPr>
          <w:lang w:val="en-GB"/>
        </w:rPr>
        <w:t xml:space="preserve">) and the major emission control systems monitored by the OBD system consistent with paragraph 6.8.4. </w:t>
      </w:r>
      <w:r w:rsidR="00E35C47">
        <w:rPr>
          <w:lang w:val="en-GB"/>
        </w:rPr>
        <w:t xml:space="preserve">of this annex </w:t>
      </w:r>
      <w:r w:rsidRPr="00B04DC3">
        <w:rPr>
          <w:lang w:val="en-GB"/>
        </w:rPr>
        <w:t>shall be available through the serial data port on the standardized data link connector according to the specifications given in paragraph 6.8.</w:t>
      </w:r>
      <w:r w:rsidR="00E35C47" w:rsidRPr="00E35C47">
        <w:rPr>
          <w:lang w:val="en-GB"/>
        </w:rPr>
        <w:t xml:space="preserve"> </w:t>
      </w:r>
      <w:r w:rsidR="00E35C47">
        <w:rPr>
          <w:lang w:val="en-GB"/>
        </w:rPr>
        <w:t>of this annex.</w:t>
      </w:r>
    </w:p>
    <w:p w:rsidR="00BB1DA8" w:rsidRPr="00B04DC3" w:rsidRDefault="00BB1DA8" w:rsidP="00BB1DA8">
      <w:pPr>
        <w:pStyle w:val="para"/>
        <w:rPr>
          <w:lang w:val="en-GB"/>
        </w:rPr>
      </w:pPr>
      <w:r w:rsidRPr="00B04DC3">
        <w:rPr>
          <w:lang w:val="en-GB"/>
        </w:rPr>
        <w:t>6.6.</w:t>
      </w:r>
      <w:r w:rsidRPr="00B04DC3">
        <w:rPr>
          <w:lang w:val="en-GB"/>
        </w:rPr>
        <w:tab/>
        <w:t>The software calibration identification number as declared in Annexes 1 and 2A to this Regulation shall be made available through the serial port of the standardized diagnostic connector. The software calibration identification number shall be provided in a standardized format.</w:t>
      </w:r>
    </w:p>
    <w:p w:rsidR="00BB1DA8" w:rsidRPr="00B04DC3" w:rsidRDefault="00BB1DA8" w:rsidP="00BB1DA8">
      <w:pPr>
        <w:pStyle w:val="para"/>
        <w:rPr>
          <w:lang w:val="en-GB"/>
        </w:rPr>
      </w:pPr>
      <w:r w:rsidRPr="00B04DC3">
        <w:rPr>
          <w:lang w:val="en-GB"/>
        </w:rPr>
        <w:t>6.7.</w:t>
      </w:r>
      <w:r w:rsidRPr="00B04DC3">
        <w:rPr>
          <w:lang w:val="en-GB"/>
        </w:rPr>
        <w:tab/>
        <w:t xml:space="preserve">The </w:t>
      </w:r>
      <w:r w:rsidR="00E35C47" w:rsidRPr="00B04DC3">
        <w:rPr>
          <w:lang w:val="en-GB"/>
        </w:rPr>
        <w:t>V</w:t>
      </w:r>
      <w:r w:rsidRPr="00B04DC3">
        <w:rPr>
          <w:lang w:val="en-GB"/>
        </w:rPr>
        <w:t xml:space="preserve">ehicle </w:t>
      </w:r>
      <w:r w:rsidR="00E35C47" w:rsidRPr="00B04DC3">
        <w:rPr>
          <w:lang w:val="en-GB"/>
        </w:rPr>
        <w:t>I</w:t>
      </w:r>
      <w:r w:rsidRPr="00B04DC3">
        <w:rPr>
          <w:lang w:val="en-GB"/>
        </w:rPr>
        <w:t xml:space="preserve">dentification </w:t>
      </w:r>
      <w:r w:rsidR="00E35C47" w:rsidRPr="00B04DC3">
        <w:rPr>
          <w:lang w:val="en-GB"/>
        </w:rPr>
        <w:t>N</w:t>
      </w:r>
      <w:r w:rsidRPr="00B04DC3">
        <w:rPr>
          <w:lang w:val="en-GB"/>
        </w:rPr>
        <w:t>umber (VIN) number shall be made available through the serial port of the standardized diagnostic connector. The VIN number shall be provided in a standardized format.</w:t>
      </w:r>
    </w:p>
    <w:p w:rsidR="00BB1DA8" w:rsidRPr="00B04DC3" w:rsidRDefault="00BB1DA8" w:rsidP="00BB1DA8">
      <w:pPr>
        <w:pStyle w:val="para"/>
        <w:rPr>
          <w:lang w:val="en-GB"/>
        </w:rPr>
      </w:pPr>
      <w:r w:rsidRPr="00B04DC3">
        <w:rPr>
          <w:lang w:val="en-GB"/>
        </w:rPr>
        <w:t>6.8.</w:t>
      </w:r>
      <w:r w:rsidRPr="00B04DC3">
        <w:rPr>
          <w:lang w:val="en-GB"/>
        </w:rPr>
        <w:tab/>
        <w:t>The emission control diagnostic system shall provide for standardized or unrestricted access and conform to either ISO 15765 or SAE J1939, as specified in the following paragraphs</w:t>
      </w:r>
      <w:r w:rsidR="00E35C47" w:rsidRPr="00B04DC3">
        <w:rPr>
          <w:lang w:val="en-GB"/>
        </w:rPr>
        <w:t>.</w:t>
      </w:r>
      <w:r w:rsidRPr="00B04DC3">
        <w:rPr>
          <w:rStyle w:val="FootnoteReference"/>
          <w:bCs/>
          <w:lang w:val="en-GB"/>
        </w:rPr>
        <w:footnoteReference w:id="40"/>
      </w:r>
    </w:p>
    <w:p w:rsidR="00BB1DA8" w:rsidRPr="00B04DC3" w:rsidRDefault="00BB1DA8" w:rsidP="00BB1DA8">
      <w:pPr>
        <w:pStyle w:val="para"/>
        <w:rPr>
          <w:lang w:val="en-GB"/>
        </w:rPr>
      </w:pPr>
      <w:r w:rsidRPr="00B04DC3">
        <w:rPr>
          <w:lang w:val="en-GB"/>
        </w:rPr>
        <w:t>6.8.1.</w:t>
      </w:r>
      <w:r w:rsidRPr="00B04DC3">
        <w:rPr>
          <w:lang w:val="en-GB"/>
        </w:rPr>
        <w:tab/>
        <w:t>The use of either ISO 15765 or SAE J1939 shall be consistent throughout paragraphs 6.8.2. to 6.8.5.</w:t>
      </w:r>
      <w:r w:rsidR="00E35C47">
        <w:rPr>
          <w:lang w:val="en-GB"/>
        </w:rPr>
        <w:t xml:space="preserve"> below.</w:t>
      </w:r>
    </w:p>
    <w:p w:rsidR="00BB1DA8" w:rsidRPr="00B04DC3" w:rsidRDefault="00BB1DA8" w:rsidP="00BB1DA8">
      <w:pPr>
        <w:pStyle w:val="para"/>
        <w:rPr>
          <w:lang w:val="en-GB"/>
        </w:rPr>
      </w:pPr>
      <w:r w:rsidRPr="00B04DC3">
        <w:rPr>
          <w:lang w:val="en-GB"/>
        </w:rPr>
        <w:t>6.8.2.</w:t>
      </w:r>
      <w:r w:rsidRPr="00B04DC3">
        <w:rPr>
          <w:lang w:val="en-GB"/>
        </w:rPr>
        <w:tab/>
        <w:t xml:space="preserve">The on-board to off-board communications link shall conform to ISO </w:t>
      </w:r>
      <w:r w:rsidR="00E35C47">
        <w:rPr>
          <w:lang w:val="en-GB"/>
        </w:rPr>
        <w:br/>
      </w:r>
      <w:r w:rsidRPr="00B04DC3">
        <w:rPr>
          <w:lang w:val="en-GB"/>
        </w:rPr>
        <w:t>15765-4 or to the similar clauses within the SAE J1939 series of standards.</w:t>
      </w:r>
    </w:p>
    <w:p w:rsidR="00BB1DA8" w:rsidRPr="00B04DC3" w:rsidRDefault="00BB1DA8" w:rsidP="00BB1DA8">
      <w:pPr>
        <w:pStyle w:val="para"/>
        <w:rPr>
          <w:lang w:val="en-GB"/>
        </w:rPr>
      </w:pPr>
      <w:r w:rsidRPr="00B04DC3">
        <w:rPr>
          <w:lang w:val="en-GB"/>
        </w:rPr>
        <w:t>6.8.3.</w:t>
      </w:r>
      <w:r w:rsidRPr="00B04DC3">
        <w:rPr>
          <w:lang w:val="en-GB"/>
        </w:rPr>
        <w:tab/>
        <w:t>Test equipment and diagnostic tools needed to communicate with OBD systems shall meet or exceed the functional specification given in ISO 15031-4 or SAE J1939-73</w:t>
      </w:r>
      <w:r w:rsidR="00E35C47">
        <w:rPr>
          <w:lang w:val="en-GB"/>
        </w:rPr>
        <w:t>,</w:t>
      </w:r>
      <w:r w:rsidRPr="00B04DC3">
        <w:rPr>
          <w:lang w:val="en-GB"/>
        </w:rPr>
        <w:t xml:space="preserve"> paragraph 5.2.2.1.</w:t>
      </w:r>
    </w:p>
    <w:p w:rsidR="00BB1DA8" w:rsidRPr="00B04DC3" w:rsidRDefault="00BB1DA8" w:rsidP="00BB1DA8">
      <w:pPr>
        <w:pStyle w:val="para"/>
        <w:rPr>
          <w:lang w:val="en-GB"/>
        </w:rPr>
      </w:pPr>
      <w:r w:rsidRPr="00B04DC3">
        <w:rPr>
          <w:lang w:val="en-GB"/>
        </w:rPr>
        <w:t>6.8.3.1.</w:t>
      </w:r>
      <w:r w:rsidRPr="00B04DC3">
        <w:rPr>
          <w:lang w:val="en-GB"/>
        </w:rPr>
        <w:tab/>
        <w:t>The use of an on-board diagnostic facility such as a dashboard mounted video display device for enabling access to OBD information is permitted but this is in addition to enabling access to OBD information by means of the standard diagnostic connector.</w:t>
      </w:r>
    </w:p>
    <w:p w:rsidR="00BB1DA8" w:rsidRPr="00B04DC3" w:rsidRDefault="00BB1DA8" w:rsidP="00BB1DA8">
      <w:pPr>
        <w:pStyle w:val="para"/>
        <w:rPr>
          <w:lang w:val="en-GB"/>
        </w:rPr>
      </w:pPr>
      <w:r w:rsidRPr="00B04DC3">
        <w:rPr>
          <w:lang w:val="en-GB"/>
        </w:rPr>
        <w:t>6.8.4.</w:t>
      </w:r>
      <w:r w:rsidRPr="00B04DC3">
        <w:rPr>
          <w:lang w:val="en-GB"/>
        </w:rPr>
        <w:tab/>
        <w:t>Diagnostic data (as specified in this paragraph) and bi</w:t>
      </w:r>
      <w:r w:rsidRPr="00B04DC3">
        <w:rPr>
          <w:lang w:val="en-GB"/>
        </w:rPr>
        <w:noBreakHyphen/>
        <w:t>directional control information shall be provided using the format and units described in ISO 15031-5 or SAE J1939-73 paragraph 5.2.2.1. and shall be available using a diagnostic tool meeting the requirements of ISO 15031-4 or SAE J1939-73</w:t>
      </w:r>
      <w:r w:rsidR="00E35C47">
        <w:rPr>
          <w:lang w:val="en-GB"/>
        </w:rPr>
        <w:t>,</w:t>
      </w:r>
      <w:r w:rsidRPr="00B04DC3">
        <w:rPr>
          <w:lang w:val="en-GB"/>
        </w:rPr>
        <w:t xml:space="preserve"> paragraph 5.2.2.1.</w:t>
      </w:r>
    </w:p>
    <w:p w:rsidR="00BB1DA8" w:rsidRPr="00B04DC3" w:rsidRDefault="00BB1DA8" w:rsidP="00BB1DA8">
      <w:pPr>
        <w:pStyle w:val="para"/>
        <w:rPr>
          <w:lang w:val="en-GB"/>
        </w:rPr>
      </w:pPr>
      <w:r w:rsidRPr="00B04DC3">
        <w:rPr>
          <w:lang w:val="en-GB"/>
        </w:rPr>
        <w:tab/>
        <w:t xml:space="preserve">The manufacturer shall provide a national standardization body with emission-related diagnostic data, e.g. </w:t>
      </w:r>
      <w:r w:rsidR="00E35C47">
        <w:rPr>
          <w:lang w:val="en-GB"/>
        </w:rPr>
        <w:t xml:space="preserve">parameter </w:t>
      </w:r>
      <w:r w:rsidRPr="00B04DC3">
        <w:rPr>
          <w:lang w:val="en-GB"/>
        </w:rPr>
        <w:t xml:space="preserve">ID's, OBD monitor </w:t>
      </w:r>
      <w:r w:rsidR="00E0603F" w:rsidRPr="00B04DC3">
        <w:rPr>
          <w:lang w:val="en-GB"/>
        </w:rPr>
        <w:t>I</w:t>
      </w:r>
      <w:r w:rsidR="00E0603F">
        <w:rPr>
          <w:lang w:val="en-GB"/>
        </w:rPr>
        <w:t>D</w:t>
      </w:r>
      <w:r w:rsidR="00E0603F" w:rsidRPr="00B04DC3">
        <w:rPr>
          <w:lang w:val="en-GB"/>
        </w:rPr>
        <w:t>'s</w:t>
      </w:r>
      <w:r w:rsidRPr="00B04DC3">
        <w:rPr>
          <w:lang w:val="en-GB"/>
        </w:rPr>
        <w:t xml:space="preserve">, </w:t>
      </w:r>
      <w:r w:rsidR="00C30B7B">
        <w:rPr>
          <w:lang w:val="en-GB"/>
        </w:rPr>
        <w:t>t</w:t>
      </w:r>
      <w:r w:rsidR="00C30B7B" w:rsidRPr="00B04DC3">
        <w:rPr>
          <w:lang w:val="en-GB"/>
        </w:rPr>
        <w:t xml:space="preserve">est </w:t>
      </w:r>
      <w:r w:rsidR="00E0603F" w:rsidRPr="00B04DC3">
        <w:rPr>
          <w:lang w:val="en-GB"/>
        </w:rPr>
        <w:t>I</w:t>
      </w:r>
      <w:r w:rsidR="00E0603F">
        <w:rPr>
          <w:lang w:val="en-GB"/>
        </w:rPr>
        <w:t>D</w:t>
      </w:r>
      <w:r w:rsidR="00E0603F" w:rsidRPr="00B04DC3">
        <w:rPr>
          <w:lang w:val="en-GB"/>
        </w:rPr>
        <w:t xml:space="preserve">'s </w:t>
      </w:r>
      <w:r w:rsidRPr="00B04DC3">
        <w:rPr>
          <w:lang w:val="en-GB"/>
        </w:rPr>
        <w:t>not specified in ISO 15031</w:t>
      </w:r>
      <w:r w:rsidRPr="00B04DC3">
        <w:rPr>
          <w:lang w:val="en-GB"/>
        </w:rPr>
        <w:noBreakHyphen/>
        <w:t>5 but related to this Regulation.</w:t>
      </w:r>
    </w:p>
    <w:p w:rsidR="00BB1DA8" w:rsidRPr="00B04DC3" w:rsidRDefault="00BB1DA8" w:rsidP="00BB1DA8">
      <w:pPr>
        <w:pStyle w:val="para"/>
        <w:rPr>
          <w:lang w:val="en-GB"/>
        </w:rPr>
      </w:pPr>
      <w:r w:rsidRPr="00B04DC3">
        <w:rPr>
          <w:lang w:val="en-GB"/>
        </w:rPr>
        <w:t>6.8.5.</w:t>
      </w:r>
      <w:r w:rsidRPr="00B04DC3">
        <w:rPr>
          <w:lang w:val="en-GB"/>
        </w:rPr>
        <w:tab/>
        <w:t>When a fault is registered, the manufacturer shall identify the fault using the most appropriate fault code consistent with those given in paragraph 6.3. of ISO 15031-6 relating to emission-related system diagnostic trouble codes. If such identification is not possible, the manufacturer may use diagnostic trouble codes according to paragraphs 5.3. and 5.6. of ISO 15031-6. The fault codes shall be fully accessible by standardized diagnostic equipment complying with the provisions of paragraph 6.8.3. of this annex.</w:t>
      </w:r>
    </w:p>
    <w:p w:rsidR="00BB1DA8" w:rsidRPr="00B04DC3" w:rsidRDefault="00BB1DA8" w:rsidP="00BB1DA8">
      <w:pPr>
        <w:pStyle w:val="para"/>
        <w:rPr>
          <w:lang w:val="en-GB"/>
        </w:rPr>
      </w:pPr>
      <w:r w:rsidRPr="00B04DC3">
        <w:rPr>
          <w:lang w:val="en-GB"/>
        </w:rPr>
        <w:tab/>
        <w:t xml:space="preserve">The manufacturer shall provide a national standardization body with emission-related diagnostic data, e.g. </w:t>
      </w:r>
      <w:r w:rsidR="00C30B7B">
        <w:rPr>
          <w:lang w:val="en-GB"/>
        </w:rPr>
        <w:t xml:space="preserve">parameter </w:t>
      </w:r>
      <w:r w:rsidRPr="00B04DC3">
        <w:rPr>
          <w:lang w:val="en-GB"/>
        </w:rPr>
        <w:t xml:space="preserve">ID's, OBD monitor </w:t>
      </w:r>
      <w:r w:rsidR="00E0603F" w:rsidRPr="00B04DC3">
        <w:rPr>
          <w:lang w:val="en-GB"/>
        </w:rPr>
        <w:t>I</w:t>
      </w:r>
      <w:r w:rsidR="00E0603F">
        <w:rPr>
          <w:lang w:val="en-GB"/>
        </w:rPr>
        <w:t>D</w:t>
      </w:r>
      <w:r w:rsidR="00E0603F" w:rsidRPr="00B04DC3">
        <w:rPr>
          <w:lang w:val="en-GB"/>
        </w:rPr>
        <w:t>'s</w:t>
      </w:r>
      <w:r w:rsidRPr="00B04DC3">
        <w:rPr>
          <w:lang w:val="en-GB"/>
        </w:rPr>
        <w:t xml:space="preserve">, </w:t>
      </w:r>
      <w:r w:rsidR="00C30B7B">
        <w:rPr>
          <w:lang w:val="en-GB"/>
        </w:rPr>
        <w:t>t</w:t>
      </w:r>
      <w:r w:rsidR="00C30B7B" w:rsidRPr="00B04DC3">
        <w:rPr>
          <w:lang w:val="en-GB"/>
        </w:rPr>
        <w:t xml:space="preserve">est </w:t>
      </w:r>
      <w:r w:rsidR="00E0603F" w:rsidRPr="00B04DC3">
        <w:rPr>
          <w:lang w:val="en-GB"/>
        </w:rPr>
        <w:t>I</w:t>
      </w:r>
      <w:r w:rsidR="00E0603F">
        <w:rPr>
          <w:lang w:val="en-GB"/>
        </w:rPr>
        <w:t>D</w:t>
      </w:r>
      <w:r w:rsidR="00E0603F" w:rsidRPr="00B04DC3">
        <w:rPr>
          <w:lang w:val="en-GB"/>
        </w:rPr>
        <w:t xml:space="preserve">'s </w:t>
      </w:r>
      <w:r w:rsidRPr="00B04DC3">
        <w:rPr>
          <w:lang w:val="en-GB"/>
        </w:rPr>
        <w:t>not specified in ISO 15031-5 but related to this Regulation.</w:t>
      </w:r>
    </w:p>
    <w:p w:rsidR="00BB1DA8" w:rsidRPr="00B04DC3" w:rsidRDefault="00BB1DA8" w:rsidP="00BB1DA8">
      <w:pPr>
        <w:pStyle w:val="para"/>
        <w:rPr>
          <w:lang w:val="en-GB"/>
        </w:rPr>
      </w:pPr>
      <w:r w:rsidRPr="00B04DC3">
        <w:rPr>
          <w:lang w:val="en-GB"/>
        </w:rPr>
        <w:tab/>
        <w:t>As an alternative, the manufacturer may identify the fault using the most appropriate fault code consistent with those given in SAE J2012 or in SAE J1939-73.</w:t>
      </w:r>
    </w:p>
    <w:p w:rsidR="00BB1DA8" w:rsidRPr="00B04DC3" w:rsidRDefault="00BB1DA8" w:rsidP="00BB1DA8">
      <w:pPr>
        <w:pStyle w:val="para"/>
        <w:rPr>
          <w:lang w:val="en-GB"/>
        </w:rPr>
      </w:pPr>
      <w:r w:rsidRPr="00B04DC3">
        <w:rPr>
          <w:lang w:val="en-GB"/>
        </w:rPr>
        <w:t>6.8.6.</w:t>
      </w:r>
      <w:r w:rsidRPr="00B04DC3">
        <w:rPr>
          <w:lang w:val="en-GB"/>
        </w:rPr>
        <w:tab/>
        <w:t>The connection interface between the vehicle and the diagnostic tester shall be standardized and shall meet all the requirements of ISO 15031</w:t>
      </w:r>
      <w:r w:rsidRPr="00B04DC3">
        <w:rPr>
          <w:lang w:val="en-GB"/>
        </w:rPr>
        <w:noBreakHyphen/>
        <w:t>3 or SAE J1939-13.</w:t>
      </w:r>
    </w:p>
    <w:p w:rsidR="00BB1DA8" w:rsidRPr="00B04DC3" w:rsidRDefault="00BB1DA8" w:rsidP="00AE1A72">
      <w:pPr>
        <w:pStyle w:val="para"/>
        <w:keepNext/>
        <w:keepLines/>
        <w:rPr>
          <w:lang w:val="en-GB"/>
        </w:rPr>
      </w:pPr>
      <w:r w:rsidRPr="00B04DC3">
        <w:rPr>
          <w:lang w:val="en-GB"/>
        </w:rPr>
        <w:tab/>
      </w:r>
      <w:r w:rsidRPr="00B04DC3">
        <w:rPr>
          <w:lang w:val="en-GB"/>
        </w:rPr>
        <w:tab/>
        <w:t>In the case of category N</w:t>
      </w:r>
      <w:r w:rsidRPr="00B04DC3">
        <w:rPr>
          <w:vertAlign w:val="subscript"/>
          <w:lang w:val="en-GB"/>
        </w:rPr>
        <w:t>2</w:t>
      </w:r>
      <w:r w:rsidRPr="00B04DC3">
        <w:rPr>
          <w:lang w:val="en-GB"/>
        </w:rPr>
        <w:t>, N</w:t>
      </w:r>
      <w:r w:rsidRPr="00B04DC3">
        <w:rPr>
          <w:vertAlign w:val="subscript"/>
          <w:lang w:val="en-GB"/>
        </w:rPr>
        <w:t>3</w:t>
      </w:r>
      <w:r w:rsidRPr="00B04DC3">
        <w:rPr>
          <w:lang w:val="en-GB"/>
        </w:rPr>
        <w:t>, M</w:t>
      </w:r>
      <w:r w:rsidRPr="00B04DC3">
        <w:rPr>
          <w:vertAlign w:val="subscript"/>
          <w:lang w:val="en-GB"/>
        </w:rPr>
        <w:t>2</w:t>
      </w:r>
      <w:r w:rsidRPr="00B04DC3">
        <w:rPr>
          <w:lang w:val="en-GB"/>
        </w:rPr>
        <w:t>, and M</w:t>
      </w:r>
      <w:r w:rsidRPr="00B04DC3">
        <w:rPr>
          <w:vertAlign w:val="subscript"/>
          <w:lang w:val="en-GB"/>
        </w:rPr>
        <w:t>3</w:t>
      </w:r>
      <w:r w:rsidRPr="00B04DC3">
        <w:rPr>
          <w:lang w:val="en-GB"/>
        </w:rPr>
        <w:t xml:space="preserve"> vehicles, as an alternative to the connector location described in the above standards and provided all other requirements of ISO 15031-3 are met, the connector may be located in a suitable position by the side of the driver's seat, including on the floor of the cabin. In this case the connector should be accessible by a person standing outside the vehicle and not restrict access to the driver's seat.</w:t>
      </w:r>
    </w:p>
    <w:p w:rsidR="00BB1DA8" w:rsidRPr="00B04DC3" w:rsidRDefault="00BB1DA8" w:rsidP="00BB1DA8">
      <w:pPr>
        <w:pStyle w:val="para"/>
        <w:rPr>
          <w:lang w:val="en-GB"/>
        </w:rPr>
      </w:pPr>
      <w:r w:rsidRPr="00B04DC3">
        <w:rPr>
          <w:lang w:val="en-GB"/>
        </w:rPr>
        <w:tab/>
        <w:t xml:space="preserve">The installation position shall be subject to agreement of the </w:t>
      </w:r>
      <w:r w:rsidR="002F3FE3">
        <w:rPr>
          <w:lang w:val="en-GB"/>
        </w:rPr>
        <w:t xml:space="preserve">Type </w:t>
      </w:r>
      <w:r w:rsidRPr="00B04DC3">
        <w:rPr>
          <w:lang w:val="en-GB"/>
        </w:rPr>
        <w:t>Approval Authority such that it is readily accessible by service personnel but protected from accidental damage during normal conditions of use.</w:t>
      </w:r>
    </w:p>
    <w:p w:rsidR="00BB1DA8" w:rsidRPr="00B04DC3" w:rsidRDefault="00BB1DA8" w:rsidP="00BB1DA8">
      <w:pPr>
        <w:pStyle w:val="HChG"/>
        <w:sectPr w:rsidR="00BB1DA8" w:rsidRPr="00B04DC3" w:rsidSect="00BB1DA8">
          <w:headerReference w:type="even" r:id="rId628"/>
          <w:headerReference w:type="default" r:id="rId629"/>
          <w:headerReference w:type="first" r:id="rId630"/>
          <w:footerReference w:type="first" r:id="rId631"/>
          <w:footnotePr>
            <w:numRestart w:val="eachSect"/>
          </w:footnotePr>
          <w:endnotePr>
            <w:numFmt w:val="decimal"/>
          </w:endnotePr>
          <w:pgSz w:w="11907" w:h="16840" w:code="9"/>
          <w:pgMar w:top="1701" w:right="1134" w:bottom="2268" w:left="1134" w:header="1134" w:footer="1701" w:gutter="0"/>
          <w:cols w:space="720"/>
          <w:titlePg/>
        </w:sectPr>
      </w:pPr>
    </w:p>
    <w:p w:rsidR="00BB1DA8" w:rsidRPr="00B04DC3" w:rsidRDefault="00BB1DA8" w:rsidP="00AE1A72">
      <w:pPr>
        <w:pStyle w:val="HChG"/>
        <w:spacing w:after="360"/>
      </w:pPr>
      <w:bookmarkStart w:id="865" w:name="_Toc423599667"/>
      <w:bookmarkStart w:id="866" w:name="_Toc423611075"/>
      <w:r w:rsidRPr="00B04DC3">
        <w:t>Annex 9A</w:t>
      </w:r>
      <w:r w:rsidR="00060993">
        <w:t xml:space="preserve"> - </w:t>
      </w:r>
      <w:r w:rsidRPr="00B04DC3">
        <w:t>Appendix</w:t>
      </w:r>
      <w:bookmarkEnd w:id="865"/>
      <w:bookmarkEnd w:id="866"/>
      <w:r w:rsidRPr="00B04DC3">
        <w:t xml:space="preserve"> </w:t>
      </w:r>
    </w:p>
    <w:p w:rsidR="00BB1DA8" w:rsidRPr="00B04DC3" w:rsidRDefault="00BB1DA8" w:rsidP="00AE1A72">
      <w:pPr>
        <w:pStyle w:val="HChG"/>
        <w:spacing w:after="360"/>
      </w:pPr>
      <w:r w:rsidRPr="00B04DC3">
        <w:tab/>
      </w:r>
      <w:r w:rsidRPr="00B04DC3">
        <w:tab/>
      </w:r>
      <w:bookmarkStart w:id="867" w:name="_Toc423599668"/>
      <w:bookmarkStart w:id="868" w:name="_Toc423611076"/>
      <w:r w:rsidRPr="00B04DC3">
        <w:t>On-</w:t>
      </w:r>
      <w:r w:rsidR="00B30D30" w:rsidRPr="00B04DC3">
        <w:t>B</w:t>
      </w:r>
      <w:r w:rsidRPr="00B04DC3">
        <w:t xml:space="preserve">oard </w:t>
      </w:r>
      <w:r w:rsidR="00B30D30" w:rsidRPr="00B04DC3">
        <w:t>D</w:t>
      </w:r>
      <w:r w:rsidRPr="00B04DC3">
        <w:t>iagnostic (OBD) system approval tests</w:t>
      </w:r>
      <w:bookmarkEnd w:id="867"/>
      <w:bookmarkEnd w:id="868"/>
    </w:p>
    <w:p w:rsidR="00BB1DA8" w:rsidRPr="00B04DC3" w:rsidRDefault="00BB1DA8" w:rsidP="00BB1DA8">
      <w:pPr>
        <w:pStyle w:val="para"/>
        <w:rPr>
          <w:lang w:val="en-GB"/>
        </w:rPr>
      </w:pPr>
      <w:r w:rsidRPr="00B04DC3">
        <w:rPr>
          <w:lang w:val="en-GB"/>
        </w:rPr>
        <w:t>1.</w:t>
      </w:r>
      <w:r w:rsidRPr="00B04DC3">
        <w:rPr>
          <w:lang w:val="en-GB"/>
        </w:rPr>
        <w:tab/>
        <w:t>Introduction</w:t>
      </w:r>
    </w:p>
    <w:p w:rsidR="00BB1DA8" w:rsidRPr="00B04DC3" w:rsidRDefault="00BB1DA8" w:rsidP="00BB1DA8">
      <w:pPr>
        <w:pStyle w:val="para"/>
        <w:rPr>
          <w:lang w:val="en-GB"/>
        </w:rPr>
      </w:pPr>
      <w:r w:rsidRPr="00B04DC3">
        <w:rPr>
          <w:lang w:val="en-GB"/>
        </w:rPr>
        <w:tab/>
        <w:t xml:space="preserve">This appendix describes the procedure for checking the function of the </w:t>
      </w:r>
      <w:r w:rsidR="00060993" w:rsidRPr="00B04DC3">
        <w:rPr>
          <w:lang w:val="en-GB"/>
        </w:rPr>
        <w:t>O</w:t>
      </w:r>
      <w:r w:rsidRPr="00B04DC3">
        <w:rPr>
          <w:lang w:val="en-GB"/>
        </w:rPr>
        <w:t>n</w:t>
      </w:r>
      <w:r w:rsidRPr="00B04DC3">
        <w:rPr>
          <w:lang w:val="en-GB"/>
        </w:rPr>
        <w:noBreakHyphen/>
      </w:r>
      <w:r w:rsidR="00060993" w:rsidRPr="00B04DC3">
        <w:rPr>
          <w:lang w:val="en-GB"/>
        </w:rPr>
        <w:t>B</w:t>
      </w:r>
      <w:r w:rsidRPr="00B04DC3">
        <w:rPr>
          <w:lang w:val="en-GB"/>
        </w:rPr>
        <w:t xml:space="preserve">oard </w:t>
      </w:r>
      <w:r w:rsidR="00060993" w:rsidRPr="00B04DC3">
        <w:rPr>
          <w:lang w:val="en-GB"/>
        </w:rPr>
        <w:t>D</w:t>
      </w:r>
      <w:r w:rsidRPr="00B04DC3">
        <w:rPr>
          <w:lang w:val="en-GB"/>
        </w:rPr>
        <w:t>iagnostic (OBD) system installed on the engine by failure simulation of relevant emission-related systems in the engine management or emission control system. It also sets procedures for determining the durability of OBD systems.</w:t>
      </w:r>
    </w:p>
    <w:p w:rsidR="00BB1DA8" w:rsidRPr="00B04DC3" w:rsidRDefault="00BB1DA8" w:rsidP="00BB1DA8">
      <w:pPr>
        <w:pStyle w:val="para"/>
        <w:rPr>
          <w:lang w:val="en-GB"/>
        </w:rPr>
      </w:pPr>
      <w:r w:rsidRPr="00B04DC3">
        <w:rPr>
          <w:lang w:val="en-GB"/>
        </w:rPr>
        <w:t>1.1.</w:t>
      </w:r>
      <w:r w:rsidRPr="00B04DC3">
        <w:rPr>
          <w:lang w:val="en-GB"/>
        </w:rPr>
        <w:tab/>
        <w:t>Deteriorated components/systems</w:t>
      </w:r>
    </w:p>
    <w:p w:rsidR="00BB1DA8" w:rsidRPr="00B04DC3" w:rsidRDefault="00BB1DA8" w:rsidP="00BB1DA8">
      <w:pPr>
        <w:pStyle w:val="para"/>
        <w:rPr>
          <w:lang w:val="en-GB"/>
        </w:rPr>
      </w:pPr>
      <w:r w:rsidRPr="00B04DC3">
        <w:rPr>
          <w:lang w:val="en-GB"/>
        </w:rPr>
        <w:tab/>
        <w:t>In order to demonstrate the efficient monitoring of an emission control system or component, the failure of which may result in tailpipe emissions exceeding the appropriate OBD threshold limits, the manufacturer shall make available the deteriorated components and/or electrical devices which would be used to simulate failures.</w:t>
      </w:r>
    </w:p>
    <w:p w:rsidR="00BB1DA8" w:rsidRPr="00B04DC3" w:rsidRDefault="00BB1DA8" w:rsidP="00BB1DA8">
      <w:pPr>
        <w:pStyle w:val="para"/>
        <w:rPr>
          <w:lang w:val="en-GB"/>
        </w:rPr>
      </w:pPr>
      <w:r w:rsidRPr="00B04DC3">
        <w:rPr>
          <w:lang w:val="en-GB"/>
        </w:rPr>
        <w:tab/>
        <w:t>Such deteriorated components or devices shall not cause emissions to exceed the OBD threshold limits referred to in the table in paragraph 5.4.4. of this Regulation by more than 20 per cent.</w:t>
      </w:r>
    </w:p>
    <w:p w:rsidR="00BB1DA8" w:rsidRPr="00B04DC3" w:rsidRDefault="00BB1DA8" w:rsidP="00BB1DA8">
      <w:pPr>
        <w:pStyle w:val="para"/>
        <w:rPr>
          <w:lang w:val="en-GB"/>
        </w:rPr>
      </w:pPr>
      <w:r w:rsidRPr="00B04DC3">
        <w:rPr>
          <w:lang w:val="en-GB"/>
        </w:rPr>
        <w:tab/>
        <w:t>In the case of approval of an OBD system according to paragraph 5.4.1. of this Regulation, the emissions shall be measured over the ESC test cycle (see Appendix 1 to Annex 4A to this Regulation). In the case of approval of an OBD system according to paragraph 5.4.2. of this Regulation, the emissions shall be measured over the ETC test cycle (see Appendix 2 to Annex 4A to this Regulation).</w:t>
      </w:r>
    </w:p>
    <w:p w:rsidR="00BB1DA8" w:rsidRPr="00B04DC3" w:rsidRDefault="00BB1DA8" w:rsidP="00BB1DA8">
      <w:pPr>
        <w:pStyle w:val="para"/>
        <w:rPr>
          <w:lang w:val="en-GB"/>
        </w:rPr>
      </w:pPr>
      <w:r w:rsidRPr="00B04DC3">
        <w:rPr>
          <w:lang w:val="en-GB"/>
        </w:rPr>
        <w:t>1.1.1.</w:t>
      </w:r>
      <w:r w:rsidRPr="00B04DC3">
        <w:rPr>
          <w:lang w:val="en-GB"/>
        </w:rPr>
        <w:tab/>
        <w:t xml:space="preserve">If it is determined that the installation of a deteriorated component or device on an engine means that a comparison with the OBD threshold limits is not possible (e.g. because the statistical conditions for validating the ETC test cycle are not met), the failure of that component or device may be considered as qualified upon the agreement of the </w:t>
      </w:r>
      <w:r w:rsidR="00060993">
        <w:rPr>
          <w:lang w:val="en-GB"/>
        </w:rPr>
        <w:t xml:space="preserve">Type </w:t>
      </w:r>
      <w:r w:rsidRPr="00B04DC3">
        <w:rPr>
          <w:lang w:val="en-GB"/>
        </w:rPr>
        <w:t>Approval Authority based on technical argumentation provided by the manufacturer.</w:t>
      </w:r>
    </w:p>
    <w:p w:rsidR="00BB1DA8" w:rsidRPr="00B04DC3" w:rsidRDefault="00BB1DA8" w:rsidP="00BB1DA8">
      <w:pPr>
        <w:pStyle w:val="para"/>
        <w:rPr>
          <w:lang w:val="en-GB"/>
        </w:rPr>
      </w:pPr>
      <w:r w:rsidRPr="00B04DC3">
        <w:rPr>
          <w:lang w:val="en-GB"/>
        </w:rPr>
        <w:t>1.1.2.</w:t>
      </w:r>
      <w:r w:rsidRPr="00B04DC3">
        <w:rPr>
          <w:lang w:val="en-GB"/>
        </w:rPr>
        <w:tab/>
        <w:t xml:space="preserve">In the case that the installation of a deteriorated component or device on an engine means that the full load curve (as determined with a correctly operating engine) cannot (even partially) be attained during the test, the deteriorated component or device is considered as qualified upon the agreement of the </w:t>
      </w:r>
      <w:r w:rsidR="00060993">
        <w:rPr>
          <w:lang w:val="en-GB"/>
        </w:rPr>
        <w:t xml:space="preserve">Type </w:t>
      </w:r>
      <w:r w:rsidRPr="00B04DC3">
        <w:rPr>
          <w:lang w:val="en-GB"/>
        </w:rPr>
        <w:t>Approval Authority based on technical argumentation provided by the manufacturer.</w:t>
      </w:r>
    </w:p>
    <w:p w:rsidR="00BB1DA8" w:rsidRPr="00B04DC3" w:rsidRDefault="00BB1DA8" w:rsidP="00BB1DA8">
      <w:pPr>
        <w:pStyle w:val="para"/>
        <w:rPr>
          <w:lang w:val="en-GB"/>
        </w:rPr>
      </w:pPr>
      <w:r w:rsidRPr="00B04DC3">
        <w:rPr>
          <w:lang w:val="en-GB"/>
        </w:rPr>
        <w:t>1.1.3.</w:t>
      </w:r>
      <w:r w:rsidRPr="00B04DC3">
        <w:rPr>
          <w:lang w:val="en-GB"/>
        </w:rPr>
        <w:tab/>
        <w:t>The use of deteriorated components or devices that cause engine emissions to exceed the OBD threshold limits referred to in the table in paragraph 5.4.4. of this Regulation by no more than 20 per cent may not be required in some very specific cases (for example, if a limp home strategy is activated, if the engine cannot run any test, or in case of EGR sticking valves, etc). This exception shall be documented by the manufacturer. It is subject to the agreement of the Technical Service.</w:t>
      </w:r>
    </w:p>
    <w:p w:rsidR="00BB1DA8" w:rsidRPr="00B04DC3" w:rsidRDefault="00BB1DA8" w:rsidP="00060993">
      <w:pPr>
        <w:pStyle w:val="para"/>
        <w:keepNext/>
        <w:keepLines/>
        <w:rPr>
          <w:lang w:val="en-GB"/>
        </w:rPr>
      </w:pPr>
      <w:r w:rsidRPr="00B04DC3">
        <w:rPr>
          <w:lang w:val="en-GB"/>
        </w:rPr>
        <w:t>1.2.</w:t>
      </w:r>
      <w:r w:rsidRPr="00B04DC3">
        <w:rPr>
          <w:lang w:val="en-GB"/>
        </w:rPr>
        <w:tab/>
        <w:t>Test principle</w:t>
      </w:r>
    </w:p>
    <w:p w:rsidR="00BB1DA8" w:rsidRPr="00B04DC3" w:rsidRDefault="00BB1DA8" w:rsidP="00BB1DA8">
      <w:pPr>
        <w:pStyle w:val="para"/>
        <w:rPr>
          <w:lang w:val="en-GB"/>
        </w:rPr>
      </w:pPr>
      <w:r w:rsidRPr="00B04DC3">
        <w:rPr>
          <w:lang w:val="en-GB"/>
        </w:rPr>
        <w:tab/>
        <w:t>When the engine is tested with the deteriorated component or device fitted, the OBD system is approved if the MI is activated. The OBD system is also approved if the MI is activated below the OBD threshold limits.</w:t>
      </w:r>
    </w:p>
    <w:p w:rsidR="00BB1DA8" w:rsidRPr="00B04DC3" w:rsidRDefault="00BB1DA8" w:rsidP="00BB1DA8">
      <w:pPr>
        <w:pStyle w:val="para"/>
        <w:rPr>
          <w:lang w:val="en-GB"/>
        </w:rPr>
      </w:pPr>
      <w:r w:rsidRPr="00B04DC3">
        <w:rPr>
          <w:lang w:val="en-GB"/>
        </w:rPr>
        <w:tab/>
        <w:t>The use of deteriorated components or devices that cause the engine emissions to exceed the OBD threshold limits referred to in the table in paragraph 5.4.4. of this Regulation by no more than 20 per cent are not required in the specific case of the failure modes described in paragraphs 6.3.1.6. and 6.3.1.7. of this appendix and also with respect to monitoring for major functional failure.</w:t>
      </w:r>
    </w:p>
    <w:p w:rsidR="00BB1DA8" w:rsidRPr="00B04DC3" w:rsidRDefault="00BB1DA8" w:rsidP="00BB1DA8">
      <w:pPr>
        <w:pStyle w:val="para"/>
        <w:rPr>
          <w:lang w:val="en-GB"/>
        </w:rPr>
      </w:pPr>
      <w:r w:rsidRPr="00B04DC3">
        <w:rPr>
          <w:lang w:val="en-GB"/>
        </w:rPr>
        <w:t>1.2.1.</w:t>
      </w:r>
      <w:r w:rsidRPr="00B04DC3">
        <w:rPr>
          <w:lang w:val="en-GB"/>
        </w:rPr>
        <w:tab/>
        <w:t>The use of deteriorated components or devices that cause engine emissions to exceed the OBD threshold limits referred to in the table in paragraph 5.4.4. of this Regulation by no more than 20 per cent may not be required in some very specific cases (for example, if a limp home strategy is activated, if the engine cannot run any test, or in case of EGR sticking valves, etc). This exception shall be documented by the manufacturer. It is subject to the agreement of the Technical Service.</w:t>
      </w:r>
    </w:p>
    <w:p w:rsidR="00BB1DA8" w:rsidRPr="00B04DC3" w:rsidRDefault="00BB1DA8" w:rsidP="00BB1DA8">
      <w:pPr>
        <w:pStyle w:val="para"/>
        <w:rPr>
          <w:lang w:val="en-GB"/>
        </w:rPr>
      </w:pPr>
      <w:r w:rsidRPr="00B04DC3">
        <w:rPr>
          <w:lang w:val="en-GB"/>
        </w:rPr>
        <w:t>2.</w:t>
      </w:r>
      <w:r w:rsidRPr="00B04DC3">
        <w:rPr>
          <w:lang w:val="en-GB"/>
        </w:rPr>
        <w:tab/>
        <w:t>Description of test</w:t>
      </w:r>
    </w:p>
    <w:p w:rsidR="00BB1DA8" w:rsidRPr="00B04DC3" w:rsidRDefault="00BB1DA8" w:rsidP="00BB1DA8">
      <w:pPr>
        <w:pStyle w:val="para"/>
        <w:rPr>
          <w:lang w:val="en-GB"/>
        </w:rPr>
      </w:pPr>
      <w:r w:rsidRPr="00B04DC3">
        <w:rPr>
          <w:lang w:val="en-GB"/>
        </w:rPr>
        <w:t>2.1.</w:t>
      </w:r>
      <w:r w:rsidRPr="00B04DC3">
        <w:rPr>
          <w:lang w:val="en-GB"/>
        </w:rPr>
        <w:tab/>
        <w:t>The testing of OBD systems consists of the following phases:</w:t>
      </w:r>
    </w:p>
    <w:p w:rsidR="00BB1DA8" w:rsidRPr="00B04DC3" w:rsidRDefault="00BB1DA8" w:rsidP="00BB1DA8">
      <w:pPr>
        <w:pStyle w:val="a"/>
        <w:rPr>
          <w:lang w:val="en-GB"/>
        </w:rPr>
      </w:pPr>
      <w:r w:rsidRPr="00B04DC3">
        <w:rPr>
          <w:lang w:val="en-GB"/>
        </w:rPr>
        <w:t>(a)</w:t>
      </w:r>
      <w:r w:rsidRPr="00B04DC3">
        <w:rPr>
          <w:lang w:val="en-GB"/>
        </w:rPr>
        <w:tab/>
        <w:t>Simulating the malfunction of a component of the engine management or emission control system as described in paragraph 1.1. of this appendix;</w:t>
      </w:r>
    </w:p>
    <w:p w:rsidR="00BB1DA8" w:rsidRPr="00B04DC3" w:rsidRDefault="00BB1DA8" w:rsidP="00BB1DA8">
      <w:pPr>
        <w:pStyle w:val="a"/>
        <w:rPr>
          <w:lang w:val="en-GB"/>
        </w:rPr>
      </w:pPr>
      <w:r w:rsidRPr="00B04DC3">
        <w:rPr>
          <w:lang w:val="en-GB"/>
        </w:rPr>
        <w:t>(b)</w:t>
      </w:r>
      <w:r w:rsidRPr="00B04DC3">
        <w:rPr>
          <w:lang w:val="en-GB"/>
        </w:rPr>
        <w:tab/>
        <w:t>Preconditioning of the OBD system with a simulated malfunction over the preconditioning cycle specified in paragraph 6.2.</w:t>
      </w:r>
      <w:r w:rsidR="00B30D30">
        <w:rPr>
          <w:lang w:val="en-GB"/>
        </w:rPr>
        <w:t xml:space="preserve"> of this appendix</w:t>
      </w:r>
      <w:r w:rsidRPr="00B04DC3">
        <w:rPr>
          <w:lang w:val="en-GB"/>
        </w:rPr>
        <w:t>;</w:t>
      </w:r>
    </w:p>
    <w:p w:rsidR="00BB1DA8" w:rsidRPr="00B04DC3" w:rsidRDefault="00BB1DA8" w:rsidP="00BB1DA8">
      <w:pPr>
        <w:pStyle w:val="a"/>
        <w:rPr>
          <w:lang w:val="en-GB"/>
        </w:rPr>
      </w:pPr>
      <w:r w:rsidRPr="00B04DC3">
        <w:rPr>
          <w:lang w:val="en-GB"/>
        </w:rPr>
        <w:t>(c)</w:t>
      </w:r>
      <w:r w:rsidRPr="00B04DC3">
        <w:rPr>
          <w:lang w:val="en-GB"/>
        </w:rPr>
        <w:tab/>
        <w:t>Operating the engine with a simulated malfunction over the OBD test cycle referred to in paragraph 6.1.</w:t>
      </w:r>
      <w:r w:rsidR="00B30D30">
        <w:rPr>
          <w:lang w:val="en-GB"/>
        </w:rPr>
        <w:t xml:space="preserve"> of this appendix</w:t>
      </w:r>
      <w:r w:rsidRPr="00B04DC3">
        <w:rPr>
          <w:lang w:val="en-GB"/>
        </w:rPr>
        <w:t>;</w:t>
      </w:r>
    </w:p>
    <w:p w:rsidR="00BB1DA8" w:rsidRPr="00B04DC3" w:rsidRDefault="00BB1DA8" w:rsidP="00BB1DA8">
      <w:pPr>
        <w:pStyle w:val="a"/>
        <w:rPr>
          <w:lang w:val="en-GB"/>
        </w:rPr>
      </w:pPr>
      <w:r w:rsidRPr="00B04DC3">
        <w:rPr>
          <w:lang w:val="en-GB"/>
        </w:rPr>
        <w:t>(d)</w:t>
      </w:r>
      <w:r w:rsidRPr="00B04DC3">
        <w:rPr>
          <w:lang w:val="en-GB"/>
        </w:rPr>
        <w:tab/>
        <w:t>Determining whether the OBD system reacts to the simulated malfunction and indicates malfunction in an appropriate manner.</w:t>
      </w:r>
    </w:p>
    <w:p w:rsidR="00BB1DA8" w:rsidRPr="00B04DC3" w:rsidRDefault="00BB1DA8" w:rsidP="00BB1DA8">
      <w:pPr>
        <w:pStyle w:val="para"/>
        <w:rPr>
          <w:lang w:val="en-GB"/>
        </w:rPr>
      </w:pPr>
      <w:r w:rsidRPr="00B04DC3">
        <w:rPr>
          <w:lang w:val="en-GB"/>
        </w:rPr>
        <w:t>2.1.1.</w:t>
      </w:r>
      <w:r w:rsidRPr="00B04DC3">
        <w:rPr>
          <w:lang w:val="en-GB"/>
        </w:rPr>
        <w:tab/>
        <w:t>Should the performance (e.g. power curve) of the engine be affected by the malfunction, the OBD test-cycle remains the shortened version of the ESC test-cycle used for assessing the exhaust emissions of the engine without that malfunction.</w:t>
      </w:r>
    </w:p>
    <w:p w:rsidR="00BB1DA8" w:rsidRPr="00B04DC3" w:rsidRDefault="00BB1DA8" w:rsidP="00BB1DA8">
      <w:pPr>
        <w:pStyle w:val="para"/>
        <w:rPr>
          <w:lang w:val="en-GB"/>
        </w:rPr>
      </w:pPr>
      <w:r w:rsidRPr="00B04DC3">
        <w:rPr>
          <w:lang w:val="en-GB"/>
        </w:rPr>
        <w:t>2.2.</w:t>
      </w:r>
      <w:r w:rsidRPr="00B04DC3">
        <w:rPr>
          <w:lang w:val="en-GB"/>
        </w:rPr>
        <w:tab/>
        <w:t>Alternatively, at the request of the manufacturer, malfunction of one or more components may be electronically simulated according to the requirements of paragraph 6.</w:t>
      </w:r>
      <w:r w:rsidR="00B30D30">
        <w:rPr>
          <w:lang w:val="en-GB"/>
        </w:rPr>
        <w:t xml:space="preserve"> of this annex.</w:t>
      </w:r>
    </w:p>
    <w:p w:rsidR="00BB1DA8" w:rsidRPr="00B04DC3" w:rsidRDefault="00BB1DA8" w:rsidP="00BB1DA8">
      <w:pPr>
        <w:pStyle w:val="para"/>
        <w:rPr>
          <w:lang w:val="en-GB"/>
        </w:rPr>
      </w:pPr>
      <w:r w:rsidRPr="00B04DC3">
        <w:rPr>
          <w:lang w:val="en-GB"/>
        </w:rPr>
        <w:t>2.3.</w:t>
      </w:r>
      <w:r w:rsidRPr="00B04DC3">
        <w:rPr>
          <w:lang w:val="en-GB"/>
        </w:rPr>
        <w:tab/>
        <w:t xml:space="preserve">Manufacturers may request that monitoring take place outside the OBD test cycle referred to in paragraph 6.1. </w:t>
      </w:r>
      <w:r w:rsidR="00B30D30">
        <w:rPr>
          <w:lang w:val="en-GB"/>
        </w:rPr>
        <w:t xml:space="preserve">of this appendix </w:t>
      </w:r>
      <w:r w:rsidRPr="00B04DC3">
        <w:rPr>
          <w:lang w:val="en-GB"/>
        </w:rPr>
        <w:t>if it can be demonstrated to the</w:t>
      </w:r>
      <w:r w:rsidR="00B30D30">
        <w:rPr>
          <w:lang w:val="en-GB"/>
        </w:rPr>
        <w:t xml:space="preserve"> Type Approval Authority </w:t>
      </w:r>
      <w:r w:rsidRPr="00B04DC3">
        <w:rPr>
          <w:lang w:val="en-GB"/>
        </w:rPr>
        <w:t>that monitoring during conditions encountered during this OBD test cycle would impose restrictive monitoring conditions when the vehicle is used in service.</w:t>
      </w:r>
    </w:p>
    <w:p w:rsidR="00BB1DA8" w:rsidRPr="00B04DC3" w:rsidRDefault="00BB1DA8" w:rsidP="00BB1DA8">
      <w:pPr>
        <w:pStyle w:val="para"/>
        <w:rPr>
          <w:lang w:val="en-GB"/>
        </w:rPr>
      </w:pPr>
      <w:r w:rsidRPr="00B04DC3">
        <w:rPr>
          <w:lang w:val="en-GB"/>
        </w:rPr>
        <w:t>3.</w:t>
      </w:r>
      <w:r w:rsidRPr="00B04DC3">
        <w:rPr>
          <w:lang w:val="en-GB"/>
        </w:rPr>
        <w:tab/>
        <w:t>Test engine and fuel</w:t>
      </w:r>
    </w:p>
    <w:p w:rsidR="00BB1DA8" w:rsidRPr="00B04DC3" w:rsidRDefault="00BB1DA8" w:rsidP="00BB1DA8">
      <w:pPr>
        <w:pStyle w:val="para"/>
        <w:rPr>
          <w:lang w:val="en-GB"/>
        </w:rPr>
      </w:pPr>
      <w:r w:rsidRPr="00B04DC3">
        <w:rPr>
          <w:lang w:val="en-GB"/>
        </w:rPr>
        <w:t>3.1.</w:t>
      </w:r>
      <w:r w:rsidRPr="00B04DC3">
        <w:rPr>
          <w:lang w:val="en-GB"/>
        </w:rPr>
        <w:tab/>
        <w:t>Engine</w:t>
      </w:r>
    </w:p>
    <w:p w:rsidR="00BB1DA8" w:rsidRPr="00B04DC3" w:rsidRDefault="00BB1DA8" w:rsidP="00BB1DA8">
      <w:pPr>
        <w:pStyle w:val="para"/>
        <w:rPr>
          <w:lang w:val="en-GB"/>
        </w:rPr>
      </w:pPr>
      <w:r w:rsidRPr="00B04DC3">
        <w:rPr>
          <w:lang w:val="en-GB"/>
        </w:rPr>
        <w:tab/>
        <w:t>The test engine shall comply with the specifications laid down in Annex 1 to this Regulation.</w:t>
      </w:r>
    </w:p>
    <w:p w:rsidR="00BB1DA8" w:rsidRPr="00B04DC3" w:rsidRDefault="00BB1DA8" w:rsidP="00BB1DA8">
      <w:pPr>
        <w:pStyle w:val="para"/>
        <w:rPr>
          <w:lang w:val="en-GB"/>
        </w:rPr>
      </w:pPr>
      <w:r w:rsidRPr="00B04DC3">
        <w:rPr>
          <w:lang w:val="en-GB"/>
        </w:rPr>
        <w:br w:type="page"/>
        <w:t>3.2.</w:t>
      </w:r>
      <w:r w:rsidRPr="00B04DC3">
        <w:rPr>
          <w:lang w:val="en-GB"/>
        </w:rPr>
        <w:tab/>
        <w:t>Fuel</w:t>
      </w:r>
    </w:p>
    <w:p w:rsidR="00BB1DA8" w:rsidRPr="00B04DC3" w:rsidRDefault="00BB1DA8" w:rsidP="00BB1DA8">
      <w:pPr>
        <w:pStyle w:val="para"/>
        <w:rPr>
          <w:lang w:val="en-GB"/>
        </w:rPr>
      </w:pPr>
      <w:r w:rsidRPr="00B04DC3">
        <w:rPr>
          <w:lang w:val="en-GB"/>
        </w:rPr>
        <w:tab/>
        <w:t>The appropriate reference fuel as described in Annex 5 to this Regulation shall be used for testing.</w:t>
      </w:r>
    </w:p>
    <w:p w:rsidR="00BB1DA8" w:rsidRPr="00B04DC3" w:rsidRDefault="00BB1DA8" w:rsidP="00BB1DA8">
      <w:pPr>
        <w:pStyle w:val="para"/>
        <w:rPr>
          <w:lang w:val="en-GB"/>
        </w:rPr>
      </w:pPr>
      <w:r w:rsidRPr="00B04DC3">
        <w:rPr>
          <w:lang w:val="en-GB"/>
        </w:rPr>
        <w:t>4.</w:t>
      </w:r>
      <w:r w:rsidRPr="00B04DC3">
        <w:rPr>
          <w:lang w:val="en-GB"/>
        </w:rPr>
        <w:tab/>
        <w:t>Test conditions</w:t>
      </w:r>
    </w:p>
    <w:p w:rsidR="00BB1DA8" w:rsidRPr="00B04DC3" w:rsidRDefault="00BB1DA8" w:rsidP="00BB1DA8">
      <w:pPr>
        <w:pStyle w:val="para"/>
        <w:rPr>
          <w:lang w:val="en-GB"/>
        </w:rPr>
      </w:pPr>
      <w:r w:rsidRPr="00B04DC3">
        <w:rPr>
          <w:lang w:val="en-GB"/>
        </w:rPr>
        <w:tab/>
        <w:t>The test conditions shall satisfy the requirements of the emission test described in the present Regulation.</w:t>
      </w:r>
    </w:p>
    <w:p w:rsidR="00BB1DA8" w:rsidRPr="00B04DC3" w:rsidRDefault="00BB1DA8" w:rsidP="00BB1DA8">
      <w:pPr>
        <w:pStyle w:val="para"/>
        <w:rPr>
          <w:lang w:val="en-GB"/>
        </w:rPr>
      </w:pPr>
      <w:r w:rsidRPr="00B04DC3">
        <w:rPr>
          <w:lang w:val="en-GB"/>
        </w:rPr>
        <w:t>5.</w:t>
      </w:r>
      <w:r w:rsidRPr="00B04DC3">
        <w:rPr>
          <w:lang w:val="en-GB"/>
        </w:rPr>
        <w:tab/>
        <w:t>Test equipment</w:t>
      </w:r>
    </w:p>
    <w:p w:rsidR="00BB1DA8" w:rsidRPr="00B04DC3" w:rsidRDefault="00BB1DA8" w:rsidP="00BB1DA8">
      <w:pPr>
        <w:pStyle w:val="para"/>
        <w:rPr>
          <w:lang w:val="en-GB"/>
        </w:rPr>
      </w:pPr>
      <w:r w:rsidRPr="00B04DC3">
        <w:rPr>
          <w:lang w:val="en-GB"/>
        </w:rPr>
        <w:tab/>
        <w:t>The engine dynamometer shall meet the requirements of Annex 4A to this Regulation.</w:t>
      </w:r>
    </w:p>
    <w:p w:rsidR="00BB1DA8" w:rsidRPr="00B04DC3" w:rsidRDefault="00BB1DA8" w:rsidP="00BB1DA8">
      <w:pPr>
        <w:pStyle w:val="para"/>
        <w:rPr>
          <w:lang w:val="en-GB"/>
        </w:rPr>
      </w:pPr>
      <w:r w:rsidRPr="00B04DC3">
        <w:rPr>
          <w:lang w:val="en-GB"/>
        </w:rPr>
        <w:t>6.</w:t>
      </w:r>
      <w:r w:rsidRPr="00B04DC3">
        <w:rPr>
          <w:lang w:val="en-GB"/>
        </w:rPr>
        <w:tab/>
        <w:t>OBD test cycle</w:t>
      </w:r>
    </w:p>
    <w:p w:rsidR="00BB1DA8" w:rsidRPr="00B04DC3" w:rsidRDefault="00BB1DA8" w:rsidP="00BB1DA8">
      <w:pPr>
        <w:pStyle w:val="para"/>
        <w:rPr>
          <w:lang w:val="en-GB"/>
        </w:rPr>
      </w:pPr>
      <w:r w:rsidRPr="00B04DC3">
        <w:rPr>
          <w:lang w:val="en-GB"/>
        </w:rPr>
        <w:t>6.1.</w:t>
      </w:r>
      <w:r w:rsidRPr="00B04DC3">
        <w:rPr>
          <w:lang w:val="en-GB"/>
        </w:rPr>
        <w:tab/>
        <w:t>The OBD test cycle is a single shortened ESC test cycle. The individual modes shall be performed in the same order as the ESC test cycle, as defined in paragraph 2.7.1. of Appendix 1 to Annex 4A to this Regulation.</w:t>
      </w:r>
    </w:p>
    <w:p w:rsidR="00BB1DA8" w:rsidRPr="00B04DC3" w:rsidRDefault="00BB1DA8" w:rsidP="00BB1DA8">
      <w:pPr>
        <w:pStyle w:val="para"/>
        <w:rPr>
          <w:lang w:val="en-GB"/>
        </w:rPr>
      </w:pPr>
      <w:r w:rsidRPr="00B04DC3">
        <w:rPr>
          <w:lang w:val="en-GB"/>
        </w:rPr>
        <w:tab/>
        <w:t xml:space="preserve">The engine shall be operated for a maximum of 60 seconds in each mode, completing engine speed and load changes in the first 20 seconds. The specified speed shall be held to within </w:t>
      </w:r>
      <w:r w:rsidRPr="00B04DC3">
        <w:rPr>
          <w:lang w:val="en-GB"/>
        </w:rPr>
        <w:sym w:font="Symbol" w:char="F0B1"/>
      </w:r>
      <w:r w:rsidRPr="00B04DC3">
        <w:rPr>
          <w:lang w:val="en-GB"/>
        </w:rPr>
        <w:t>50 min</w:t>
      </w:r>
      <w:r w:rsidRPr="00B04DC3">
        <w:rPr>
          <w:vertAlign w:val="superscript"/>
          <w:lang w:val="en-GB"/>
        </w:rPr>
        <w:t>-1</w:t>
      </w:r>
      <w:r w:rsidRPr="00B04DC3">
        <w:rPr>
          <w:lang w:val="en-GB"/>
        </w:rPr>
        <w:t xml:space="preserve"> and the specified torque shall be held to within </w:t>
      </w:r>
      <w:r w:rsidRPr="00B04DC3">
        <w:rPr>
          <w:lang w:val="en-GB"/>
        </w:rPr>
        <w:sym w:font="Symbol" w:char="F0B1"/>
      </w:r>
      <w:r w:rsidRPr="00B04DC3">
        <w:rPr>
          <w:lang w:val="en-GB"/>
        </w:rPr>
        <w:t>2 per cent of the maximum torque at each speed.</w:t>
      </w:r>
    </w:p>
    <w:p w:rsidR="00BB1DA8" w:rsidRPr="00B04DC3" w:rsidRDefault="00BB1DA8" w:rsidP="00BB1DA8">
      <w:pPr>
        <w:pStyle w:val="para"/>
        <w:rPr>
          <w:lang w:val="en-GB"/>
        </w:rPr>
      </w:pPr>
      <w:r w:rsidRPr="00B04DC3">
        <w:rPr>
          <w:lang w:val="en-GB"/>
        </w:rPr>
        <w:tab/>
        <w:t>Exhaust emissions are not required to be measured during the OBD test cycle.</w:t>
      </w:r>
    </w:p>
    <w:p w:rsidR="00BB1DA8" w:rsidRPr="00B04DC3" w:rsidRDefault="00BB1DA8" w:rsidP="00BB1DA8">
      <w:pPr>
        <w:pStyle w:val="para"/>
        <w:rPr>
          <w:lang w:val="en-GB"/>
        </w:rPr>
      </w:pPr>
      <w:r w:rsidRPr="00B04DC3">
        <w:rPr>
          <w:lang w:val="en-GB"/>
        </w:rPr>
        <w:t>6.2.</w:t>
      </w:r>
      <w:r w:rsidRPr="00B04DC3">
        <w:rPr>
          <w:lang w:val="en-GB"/>
        </w:rPr>
        <w:tab/>
        <w:t>Preconditioning cycle</w:t>
      </w:r>
    </w:p>
    <w:p w:rsidR="00BB1DA8" w:rsidRPr="00B04DC3" w:rsidRDefault="00BB1DA8" w:rsidP="00BB1DA8">
      <w:pPr>
        <w:pStyle w:val="para"/>
        <w:rPr>
          <w:lang w:val="en-GB"/>
        </w:rPr>
      </w:pPr>
      <w:r w:rsidRPr="00B04DC3">
        <w:rPr>
          <w:lang w:val="en-GB"/>
        </w:rPr>
        <w:t>6.2.1.</w:t>
      </w:r>
      <w:r w:rsidRPr="00B04DC3">
        <w:rPr>
          <w:lang w:val="en-GB"/>
        </w:rPr>
        <w:tab/>
        <w:t>After introduction of one of the failure modes given in paragraph 6.3.</w:t>
      </w:r>
      <w:r w:rsidR="00B30D30">
        <w:rPr>
          <w:lang w:val="en-GB"/>
        </w:rPr>
        <w:t xml:space="preserve"> below</w:t>
      </w:r>
      <w:r w:rsidRPr="00B04DC3">
        <w:rPr>
          <w:lang w:val="en-GB"/>
        </w:rPr>
        <w:t>, the engine and its OBD system shall be preconditioned by performing a preconditioning cycle.</w:t>
      </w:r>
    </w:p>
    <w:p w:rsidR="00BB1DA8" w:rsidRPr="00B04DC3" w:rsidRDefault="00BB1DA8" w:rsidP="00BB1DA8">
      <w:pPr>
        <w:pStyle w:val="para"/>
        <w:rPr>
          <w:lang w:val="en-GB"/>
        </w:rPr>
      </w:pPr>
      <w:r w:rsidRPr="00B04DC3">
        <w:rPr>
          <w:lang w:val="en-GB"/>
        </w:rPr>
        <w:t>6.2.2.</w:t>
      </w:r>
      <w:r w:rsidRPr="00B04DC3">
        <w:rPr>
          <w:lang w:val="en-GB"/>
        </w:rPr>
        <w:tab/>
        <w:t xml:space="preserve">At the request of the manufacturer and with the agreement of the </w:t>
      </w:r>
      <w:r w:rsidR="006C5B0C">
        <w:rPr>
          <w:lang w:val="en-GB"/>
        </w:rPr>
        <w:t>T</w:t>
      </w:r>
      <w:r w:rsidR="006C5B0C" w:rsidRPr="00B04DC3">
        <w:rPr>
          <w:lang w:val="en-GB"/>
        </w:rPr>
        <w:t xml:space="preserve">ype </w:t>
      </w:r>
      <w:r w:rsidR="006C5B0C">
        <w:rPr>
          <w:lang w:val="en-GB"/>
        </w:rPr>
        <w:t>A</w:t>
      </w:r>
      <w:r w:rsidR="006C5B0C" w:rsidRPr="00B04DC3">
        <w:rPr>
          <w:lang w:val="en-GB"/>
        </w:rPr>
        <w:t xml:space="preserve">pproval </w:t>
      </w:r>
      <w:r w:rsidR="006C5B0C">
        <w:rPr>
          <w:lang w:val="en-GB"/>
        </w:rPr>
        <w:t>A</w:t>
      </w:r>
      <w:r w:rsidR="006C5B0C" w:rsidRPr="00B04DC3">
        <w:rPr>
          <w:lang w:val="en-GB"/>
        </w:rPr>
        <w:t>uthority</w:t>
      </w:r>
      <w:r w:rsidRPr="00B04DC3">
        <w:rPr>
          <w:lang w:val="en-GB"/>
        </w:rPr>
        <w:t>, an alternative number of a maximum of nine consecutive OBD test cycles may be used.</w:t>
      </w:r>
    </w:p>
    <w:p w:rsidR="00BB1DA8" w:rsidRPr="00B04DC3" w:rsidRDefault="00BB1DA8" w:rsidP="00BB1DA8">
      <w:pPr>
        <w:pStyle w:val="para"/>
        <w:rPr>
          <w:lang w:val="en-GB"/>
        </w:rPr>
      </w:pPr>
      <w:r w:rsidRPr="00B04DC3">
        <w:rPr>
          <w:lang w:val="en-GB"/>
        </w:rPr>
        <w:t>6.3.</w:t>
      </w:r>
      <w:r w:rsidRPr="00B04DC3">
        <w:rPr>
          <w:lang w:val="en-GB"/>
        </w:rPr>
        <w:tab/>
        <w:t>OBD system test</w:t>
      </w:r>
    </w:p>
    <w:p w:rsidR="00BB1DA8" w:rsidRPr="00B04DC3" w:rsidRDefault="00BB1DA8" w:rsidP="00BB1DA8">
      <w:pPr>
        <w:pStyle w:val="para"/>
        <w:rPr>
          <w:lang w:val="en-GB"/>
        </w:rPr>
      </w:pPr>
      <w:r w:rsidRPr="00B04DC3">
        <w:rPr>
          <w:lang w:val="en-GB"/>
        </w:rPr>
        <w:t>6.3.1.</w:t>
      </w:r>
      <w:r w:rsidRPr="00B04DC3">
        <w:rPr>
          <w:lang w:val="en-GB"/>
        </w:rPr>
        <w:tab/>
        <w:t>Diesel engines and vehicles equipped with a diesel engine</w:t>
      </w:r>
    </w:p>
    <w:p w:rsidR="00BB1DA8" w:rsidRPr="00B04DC3" w:rsidRDefault="00BB1DA8" w:rsidP="00BB1DA8">
      <w:pPr>
        <w:pStyle w:val="para"/>
        <w:rPr>
          <w:lang w:val="en-GB"/>
        </w:rPr>
      </w:pPr>
      <w:r w:rsidRPr="00B04DC3">
        <w:rPr>
          <w:lang w:val="en-GB"/>
        </w:rPr>
        <w:t>6.3.1.1.</w:t>
      </w:r>
      <w:r w:rsidRPr="00B04DC3">
        <w:rPr>
          <w:lang w:val="en-GB"/>
        </w:rPr>
        <w:tab/>
        <w:t xml:space="preserve">After preconditioning according to paragraph 6.2., the test engine is operated over the OBD test cycle described in paragraph 6.1. of this appendix. The MI shall activate before the end of this test under any of the conditions given in paragraphs 6.3.1.2. to 6.3.1.7. </w:t>
      </w:r>
      <w:r w:rsidR="00B30D30">
        <w:rPr>
          <w:lang w:val="en-GB"/>
        </w:rPr>
        <w:t xml:space="preserve">of this appendix. </w:t>
      </w:r>
      <w:r w:rsidRPr="00B04DC3">
        <w:rPr>
          <w:lang w:val="en-GB"/>
        </w:rPr>
        <w:t xml:space="preserve">The Technical Service may substitute those conditions by others in accordance with paragraph 6.3.1.7. </w:t>
      </w:r>
      <w:r w:rsidR="00B30D30">
        <w:rPr>
          <w:lang w:val="en-GB"/>
        </w:rPr>
        <w:t xml:space="preserve">of this appendix. </w:t>
      </w:r>
      <w:r w:rsidRPr="00B04DC3">
        <w:rPr>
          <w:lang w:val="en-GB"/>
        </w:rPr>
        <w:t>For the purposes of approval, the total number of failures subject to testing, in the case of different systems or components, shall not exceed four.</w:t>
      </w:r>
    </w:p>
    <w:p w:rsidR="00BB1DA8" w:rsidRPr="00B04DC3" w:rsidRDefault="00BB1DA8" w:rsidP="00BB1DA8">
      <w:pPr>
        <w:pStyle w:val="para"/>
        <w:rPr>
          <w:lang w:val="en-GB"/>
        </w:rPr>
      </w:pPr>
      <w:r w:rsidRPr="00B04DC3">
        <w:rPr>
          <w:lang w:val="en-GB"/>
        </w:rPr>
        <w:tab/>
        <w:t xml:space="preserve">If the test is being carried out to type-approve an OBD-engine family consisting of engines that do not belong to the same engine family, the </w:t>
      </w:r>
      <w:r w:rsidR="002F3FE3">
        <w:rPr>
          <w:lang w:val="en-GB"/>
        </w:rPr>
        <w:t>T</w:t>
      </w:r>
      <w:r w:rsidR="002F3FE3" w:rsidRPr="00B04DC3">
        <w:rPr>
          <w:lang w:val="en-GB"/>
        </w:rPr>
        <w:t xml:space="preserve">ype </w:t>
      </w:r>
      <w:r w:rsidRPr="00B04DC3">
        <w:rPr>
          <w:lang w:val="en-GB"/>
        </w:rPr>
        <w:t xml:space="preserve">Approval Authority will increase the number of failures subject to testing up to a maximum of four times the number of engine families present in the OBD-engine family. The </w:t>
      </w:r>
      <w:r w:rsidR="002F3FE3">
        <w:rPr>
          <w:lang w:val="en-GB"/>
        </w:rPr>
        <w:t xml:space="preserve">Type </w:t>
      </w:r>
      <w:r w:rsidRPr="00B04DC3">
        <w:rPr>
          <w:lang w:val="en-GB"/>
        </w:rPr>
        <w:t>Approval Authority may decide to curtail the test at any time before this maximum number of failure tests has been reached.</w:t>
      </w:r>
    </w:p>
    <w:p w:rsidR="00BB1DA8" w:rsidRPr="00B04DC3" w:rsidRDefault="00BB1DA8" w:rsidP="00BB1DA8">
      <w:pPr>
        <w:pStyle w:val="para"/>
        <w:rPr>
          <w:lang w:val="en-GB"/>
        </w:rPr>
      </w:pPr>
      <w:r w:rsidRPr="00B04DC3">
        <w:rPr>
          <w:lang w:val="en-GB"/>
        </w:rPr>
        <w:t>6.3.1.2.</w:t>
      </w:r>
      <w:r w:rsidRPr="00B04DC3">
        <w:rPr>
          <w:lang w:val="en-GB"/>
        </w:rPr>
        <w:tab/>
        <w:t>Where fitted in a separate housing that may or may not be part of a deNO</w:t>
      </w:r>
      <w:r w:rsidRPr="00B04DC3">
        <w:rPr>
          <w:vertAlign w:val="subscript"/>
          <w:lang w:val="en-GB"/>
        </w:rPr>
        <w:t>x</w:t>
      </w:r>
      <w:r w:rsidRPr="00B04DC3">
        <w:rPr>
          <w:lang w:val="en-GB"/>
        </w:rPr>
        <w:t xml:space="preserve"> system or diesel particulate filter, replacement of any catalyst with a deteriorated or defective catalyst or electronic simulation of such a failure.</w:t>
      </w:r>
    </w:p>
    <w:p w:rsidR="00BB1DA8" w:rsidRPr="00B04DC3" w:rsidRDefault="00BB1DA8" w:rsidP="00BB1DA8">
      <w:pPr>
        <w:pStyle w:val="para"/>
        <w:rPr>
          <w:lang w:val="en-GB"/>
        </w:rPr>
      </w:pPr>
      <w:r w:rsidRPr="00B04DC3">
        <w:rPr>
          <w:lang w:val="en-GB"/>
        </w:rPr>
        <w:t>6.3.1.3.</w:t>
      </w:r>
      <w:r w:rsidRPr="00B04DC3">
        <w:rPr>
          <w:lang w:val="en-GB"/>
        </w:rPr>
        <w:tab/>
        <w:t>Where fitted, replacement of a deNO</w:t>
      </w:r>
      <w:r w:rsidRPr="00B04DC3">
        <w:rPr>
          <w:vertAlign w:val="subscript"/>
          <w:lang w:val="en-GB"/>
        </w:rPr>
        <w:t>x</w:t>
      </w:r>
      <w:r w:rsidRPr="00B04DC3">
        <w:rPr>
          <w:lang w:val="en-GB"/>
        </w:rPr>
        <w:t xml:space="preserve"> system (including any sensors that are an integral part of the system) with a deteriorated or defective deNO</w:t>
      </w:r>
      <w:r w:rsidRPr="00B04DC3">
        <w:rPr>
          <w:vertAlign w:val="subscript"/>
          <w:lang w:val="en-GB"/>
        </w:rPr>
        <w:t>x</w:t>
      </w:r>
      <w:r w:rsidRPr="00B04DC3">
        <w:rPr>
          <w:lang w:val="en-GB"/>
        </w:rPr>
        <w:t xml:space="preserve"> system or electronic simulation of a deteriorated or defective deNO</w:t>
      </w:r>
      <w:r w:rsidRPr="00B04DC3">
        <w:rPr>
          <w:vertAlign w:val="subscript"/>
          <w:lang w:val="en-GB"/>
        </w:rPr>
        <w:t>x</w:t>
      </w:r>
      <w:r w:rsidRPr="00B04DC3">
        <w:rPr>
          <w:lang w:val="en-GB"/>
        </w:rPr>
        <w:t xml:space="preserve"> system that results in emissions exceeding the OBD NO</w:t>
      </w:r>
      <w:r w:rsidRPr="00B04DC3">
        <w:rPr>
          <w:vertAlign w:val="subscript"/>
          <w:lang w:val="en-GB"/>
        </w:rPr>
        <w:t>x</w:t>
      </w:r>
      <w:r w:rsidRPr="00B04DC3">
        <w:rPr>
          <w:lang w:val="en-GB"/>
        </w:rPr>
        <w:t xml:space="preserve"> threshold limit referred to in the table given in paragraph 5.4.4. of this Regulation.</w:t>
      </w:r>
    </w:p>
    <w:p w:rsidR="00BB1DA8" w:rsidRPr="00B04DC3" w:rsidRDefault="00BB1DA8" w:rsidP="00BB1DA8">
      <w:pPr>
        <w:pStyle w:val="para"/>
        <w:rPr>
          <w:lang w:val="en-GB"/>
        </w:rPr>
      </w:pPr>
      <w:r w:rsidRPr="00B04DC3">
        <w:rPr>
          <w:lang w:val="en-GB"/>
        </w:rPr>
        <w:tab/>
        <w:t>In the case that the engine is being approved according to paragraph 5.4.1. of this Regulation in relation to monitoring for major functional failure, the test of the deNO</w:t>
      </w:r>
      <w:r w:rsidRPr="00B04DC3">
        <w:rPr>
          <w:vertAlign w:val="subscript"/>
          <w:lang w:val="en-GB"/>
        </w:rPr>
        <w:t>x</w:t>
      </w:r>
      <w:r w:rsidRPr="00B04DC3">
        <w:rPr>
          <w:lang w:val="en-GB"/>
        </w:rPr>
        <w:t xml:space="preserve"> system shall determine that the MI illuminates under any of the following conditions:</w:t>
      </w:r>
    </w:p>
    <w:p w:rsidR="00BB1DA8" w:rsidRPr="00B04DC3" w:rsidRDefault="00BB1DA8" w:rsidP="006E1E07">
      <w:pPr>
        <w:pStyle w:val="a"/>
        <w:spacing w:after="80"/>
        <w:rPr>
          <w:lang w:val="en-GB"/>
        </w:rPr>
      </w:pPr>
      <w:r w:rsidRPr="00B04DC3">
        <w:rPr>
          <w:lang w:val="en-GB"/>
        </w:rPr>
        <w:t>(a)</w:t>
      </w:r>
      <w:r w:rsidRPr="00B04DC3">
        <w:rPr>
          <w:lang w:val="en-GB"/>
        </w:rPr>
        <w:tab/>
        <w:t>Complete removal of the system or replacement of the system by a bogus system;</w:t>
      </w:r>
    </w:p>
    <w:p w:rsidR="00BB1DA8" w:rsidRPr="00B04DC3" w:rsidRDefault="00BB1DA8" w:rsidP="006E1E07">
      <w:pPr>
        <w:pStyle w:val="a"/>
        <w:spacing w:after="80"/>
        <w:rPr>
          <w:lang w:val="en-GB"/>
        </w:rPr>
      </w:pPr>
      <w:r w:rsidRPr="00B04DC3">
        <w:rPr>
          <w:lang w:val="en-GB"/>
        </w:rPr>
        <w:t>(b)</w:t>
      </w:r>
      <w:r w:rsidRPr="00B04DC3">
        <w:rPr>
          <w:lang w:val="en-GB"/>
        </w:rPr>
        <w:tab/>
        <w:t>Lack of any required reagent for a deNO</w:t>
      </w:r>
      <w:r w:rsidRPr="00B04DC3">
        <w:rPr>
          <w:vertAlign w:val="subscript"/>
          <w:lang w:val="en-GB"/>
        </w:rPr>
        <w:t>x</w:t>
      </w:r>
      <w:r w:rsidRPr="00B04DC3">
        <w:rPr>
          <w:lang w:val="en-GB"/>
        </w:rPr>
        <w:t xml:space="preserve"> system;</w:t>
      </w:r>
    </w:p>
    <w:p w:rsidR="00BB1DA8" w:rsidRPr="00B04DC3" w:rsidRDefault="00BB1DA8" w:rsidP="006E1E07">
      <w:pPr>
        <w:pStyle w:val="a"/>
        <w:spacing w:after="80"/>
        <w:rPr>
          <w:lang w:val="en-GB"/>
        </w:rPr>
      </w:pPr>
      <w:r w:rsidRPr="00B04DC3">
        <w:rPr>
          <w:lang w:val="en-GB"/>
        </w:rPr>
        <w:t>(c)</w:t>
      </w:r>
      <w:r w:rsidRPr="00B04DC3">
        <w:rPr>
          <w:lang w:val="en-GB"/>
        </w:rPr>
        <w:tab/>
        <w:t>Any electrical failure of a component (e.g. sensors and actuators, dosing control unit) of a deNO</w:t>
      </w:r>
      <w:r w:rsidRPr="00B04DC3">
        <w:rPr>
          <w:vertAlign w:val="subscript"/>
          <w:lang w:val="en-GB"/>
        </w:rPr>
        <w:t>x</w:t>
      </w:r>
      <w:r w:rsidRPr="00B04DC3">
        <w:rPr>
          <w:lang w:val="en-GB"/>
        </w:rPr>
        <w:t xml:space="preserve"> system, including, when applicable, the reagent heating system;</w:t>
      </w:r>
    </w:p>
    <w:p w:rsidR="00BB1DA8" w:rsidRPr="00B04DC3" w:rsidRDefault="00BB1DA8" w:rsidP="006E1E07">
      <w:pPr>
        <w:pStyle w:val="a"/>
        <w:spacing w:after="80"/>
        <w:rPr>
          <w:lang w:val="en-GB"/>
        </w:rPr>
      </w:pPr>
      <w:r w:rsidRPr="00B04DC3">
        <w:rPr>
          <w:lang w:val="en-GB"/>
        </w:rPr>
        <w:t>(d)</w:t>
      </w:r>
      <w:r w:rsidRPr="00B04DC3">
        <w:rPr>
          <w:lang w:val="en-GB"/>
        </w:rPr>
        <w:tab/>
        <w:t>Failure of a reagent dosing system (e.g. missing air supply, clogged nozzle, dosing pump failure) of a deNO</w:t>
      </w:r>
      <w:r w:rsidRPr="00B04DC3">
        <w:rPr>
          <w:vertAlign w:val="subscript"/>
          <w:lang w:val="en-GB"/>
        </w:rPr>
        <w:t>x</w:t>
      </w:r>
      <w:r w:rsidRPr="00B04DC3">
        <w:rPr>
          <w:lang w:val="en-GB"/>
        </w:rPr>
        <w:t xml:space="preserve"> system;</w:t>
      </w:r>
    </w:p>
    <w:p w:rsidR="00BB1DA8" w:rsidRPr="00B04DC3" w:rsidRDefault="00BB1DA8" w:rsidP="00BB1DA8">
      <w:pPr>
        <w:pStyle w:val="a"/>
        <w:rPr>
          <w:lang w:val="en-GB"/>
        </w:rPr>
      </w:pPr>
      <w:r w:rsidRPr="00B04DC3">
        <w:rPr>
          <w:lang w:val="en-GB"/>
        </w:rPr>
        <w:t>(e)</w:t>
      </w:r>
      <w:r w:rsidRPr="00B04DC3">
        <w:rPr>
          <w:lang w:val="en-GB"/>
        </w:rPr>
        <w:tab/>
        <w:t>Major breakdown of the system.</w:t>
      </w:r>
    </w:p>
    <w:p w:rsidR="00BB1DA8" w:rsidRPr="00B04DC3" w:rsidRDefault="00BB1DA8" w:rsidP="00BB1DA8">
      <w:pPr>
        <w:pStyle w:val="para"/>
        <w:rPr>
          <w:lang w:val="en-GB"/>
        </w:rPr>
      </w:pPr>
      <w:r w:rsidRPr="00B04DC3">
        <w:rPr>
          <w:lang w:val="en-GB"/>
        </w:rPr>
        <w:t>6.3.1.4.</w:t>
      </w:r>
      <w:r w:rsidRPr="00B04DC3">
        <w:rPr>
          <w:lang w:val="en-GB"/>
        </w:rPr>
        <w:tab/>
        <w:t>Where fitted, total removal of the particulate filter or replacement of the particulate filter with a defective particulate filter that results in emissions exceeding the OBD particulate threshold limit given in the table in paragraph 5.4.4. of this Regulation.</w:t>
      </w:r>
    </w:p>
    <w:p w:rsidR="00BB1DA8" w:rsidRPr="00B04DC3" w:rsidRDefault="00BB1DA8" w:rsidP="00BB1DA8">
      <w:pPr>
        <w:pStyle w:val="para"/>
        <w:rPr>
          <w:lang w:val="en-GB"/>
        </w:rPr>
      </w:pPr>
      <w:r w:rsidRPr="00B04DC3">
        <w:rPr>
          <w:lang w:val="en-GB"/>
        </w:rPr>
        <w:tab/>
        <w:t>In the case that the engine is being approved according to paragraph 5.4.1. of this Regulation in relation to monitoring for major functional failure, the test of the particulate filter shall determine that the MI illuminates under any of the following conditions:</w:t>
      </w:r>
    </w:p>
    <w:p w:rsidR="00BB1DA8" w:rsidRPr="00B04DC3" w:rsidRDefault="00BB1DA8" w:rsidP="00BB1DA8">
      <w:pPr>
        <w:pStyle w:val="a"/>
        <w:rPr>
          <w:lang w:val="en-GB"/>
        </w:rPr>
      </w:pPr>
      <w:r w:rsidRPr="00B04DC3">
        <w:rPr>
          <w:lang w:val="en-GB"/>
        </w:rPr>
        <w:t>(a)</w:t>
      </w:r>
      <w:r w:rsidRPr="00B04DC3">
        <w:rPr>
          <w:lang w:val="en-GB"/>
        </w:rPr>
        <w:tab/>
        <w:t>Complete removal of the particulate filter or replacement of the system by a bogus system;</w:t>
      </w:r>
    </w:p>
    <w:p w:rsidR="00BB1DA8" w:rsidRPr="00B04DC3" w:rsidRDefault="00BB1DA8" w:rsidP="00BB1DA8">
      <w:pPr>
        <w:pStyle w:val="a"/>
        <w:rPr>
          <w:lang w:val="en-GB"/>
        </w:rPr>
      </w:pPr>
      <w:r w:rsidRPr="00B04DC3">
        <w:rPr>
          <w:lang w:val="en-GB"/>
        </w:rPr>
        <w:t>(b)</w:t>
      </w:r>
      <w:r w:rsidRPr="00B04DC3">
        <w:rPr>
          <w:lang w:val="en-GB"/>
        </w:rPr>
        <w:tab/>
        <w:t>Major melting of the particulate filter substrate;</w:t>
      </w:r>
    </w:p>
    <w:p w:rsidR="00BB1DA8" w:rsidRPr="00B04DC3" w:rsidRDefault="00BB1DA8" w:rsidP="00BB1DA8">
      <w:pPr>
        <w:pStyle w:val="a"/>
        <w:rPr>
          <w:lang w:val="en-GB"/>
        </w:rPr>
      </w:pPr>
      <w:r w:rsidRPr="00B04DC3">
        <w:rPr>
          <w:lang w:val="en-GB"/>
        </w:rPr>
        <w:t>(c)</w:t>
      </w:r>
      <w:r w:rsidRPr="00B04DC3">
        <w:rPr>
          <w:lang w:val="en-GB"/>
        </w:rPr>
        <w:tab/>
        <w:t>Major cracking of the particulate filter substrate;</w:t>
      </w:r>
    </w:p>
    <w:p w:rsidR="00BB1DA8" w:rsidRPr="00B04DC3" w:rsidRDefault="00BB1DA8" w:rsidP="00BB1DA8">
      <w:pPr>
        <w:pStyle w:val="a"/>
        <w:rPr>
          <w:lang w:val="en-GB"/>
        </w:rPr>
      </w:pPr>
      <w:r w:rsidRPr="00B04DC3">
        <w:rPr>
          <w:lang w:val="en-GB"/>
        </w:rPr>
        <w:t>(d)</w:t>
      </w:r>
      <w:r w:rsidRPr="00B04DC3">
        <w:rPr>
          <w:lang w:val="en-GB"/>
        </w:rPr>
        <w:tab/>
        <w:t>Any electrical failure of a component (e.g. sensors and actuators, dosing control unit) of a particulate filter;</w:t>
      </w:r>
    </w:p>
    <w:p w:rsidR="00BB1DA8" w:rsidRPr="00B04DC3" w:rsidRDefault="00BB1DA8" w:rsidP="00BB1DA8">
      <w:pPr>
        <w:pStyle w:val="a"/>
        <w:rPr>
          <w:lang w:val="en-GB"/>
        </w:rPr>
      </w:pPr>
      <w:r w:rsidRPr="00B04DC3">
        <w:rPr>
          <w:lang w:val="en-GB"/>
        </w:rPr>
        <w:t>(e)</w:t>
      </w:r>
      <w:r w:rsidRPr="00B04DC3">
        <w:rPr>
          <w:lang w:val="en-GB"/>
        </w:rPr>
        <w:tab/>
        <w:t>Failure, when applicable, of the reagent dosing system (e.g. clogged nozzle, dosing pump failure) of a particulate filter;</w:t>
      </w:r>
    </w:p>
    <w:p w:rsidR="00BB1DA8" w:rsidRPr="00B04DC3" w:rsidRDefault="00BB1DA8" w:rsidP="00BB1DA8">
      <w:pPr>
        <w:pStyle w:val="a"/>
        <w:rPr>
          <w:lang w:val="en-GB"/>
        </w:rPr>
      </w:pPr>
      <w:r w:rsidRPr="00B04DC3">
        <w:rPr>
          <w:lang w:val="en-GB"/>
        </w:rPr>
        <w:t>(f)</w:t>
      </w:r>
      <w:r w:rsidRPr="00B04DC3">
        <w:rPr>
          <w:lang w:val="en-GB"/>
        </w:rPr>
        <w:tab/>
        <w:t>A clogged particulate filter resulting in a differential pressure out of the range declared by the manufacturer.</w:t>
      </w:r>
    </w:p>
    <w:p w:rsidR="00BB1DA8" w:rsidRPr="006E1E07" w:rsidRDefault="00BB1DA8" w:rsidP="00BB1DA8">
      <w:pPr>
        <w:pStyle w:val="para"/>
        <w:rPr>
          <w:spacing w:val="-2"/>
          <w:lang w:val="en-GB"/>
        </w:rPr>
      </w:pPr>
      <w:r w:rsidRPr="006E1E07">
        <w:rPr>
          <w:spacing w:val="-2"/>
          <w:lang w:val="en-GB"/>
        </w:rPr>
        <w:t>6.3.1.5.</w:t>
      </w:r>
      <w:r w:rsidRPr="006E1E07">
        <w:rPr>
          <w:spacing w:val="-2"/>
          <w:lang w:val="en-GB"/>
        </w:rPr>
        <w:tab/>
        <w:t>Where fitted, replacement of a combined deNO</w:t>
      </w:r>
      <w:r w:rsidRPr="006E1E07">
        <w:rPr>
          <w:spacing w:val="-2"/>
          <w:vertAlign w:val="subscript"/>
          <w:lang w:val="en-GB"/>
        </w:rPr>
        <w:t>x</w:t>
      </w:r>
      <w:r w:rsidRPr="006E1E07">
        <w:rPr>
          <w:spacing w:val="-2"/>
          <w:lang w:val="en-GB"/>
        </w:rPr>
        <w:t>-particulate filter system (including any sensors that are an integral part of the device) with a deteriorated or defective system or electronic simulation of a deteriorated or defective system that results in emissions exceeding the OBD NO</w:t>
      </w:r>
      <w:r w:rsidRPr="006E1E07">
        <w:rPr>
          <w:spacing w:val="-2"/>
          <w:vertAlign w:val="subscript"/>
          <w:lang w:val="en-GB"/>
        </w:rPr>
        <w:t>x</w:t>
      </w:r>
      <w:r w:rsidRPr="006E1E07">
        <w:rPr>
          <w:spacing w:val="-2"/>
          <w:lang w:val="en-GB"/>
        </w:rPr>
        <w:t xml:space="preserve"> and particulate threshold limits given in the table in paragraph 5.4.4. of this Regulation.</w:t>
      </w:r>
    </w:p>
    <w:p w:rsidR="00BB1DA8" w:rsidRPr="00B04DC3" w:rsidRDefault="00BB1DA8" w:rsidP="00BB1DA8">
      <w:pPr>
        <w:pStyle w:val="para"/>
        <w:rPr>
          <w:lang w:val="en-GB"/>
        </w:rPr>
      </w:pPr>
      <w:r w:rsidRPr="00B04DC3">
        <w:rPr>
          <w:lang w:val="en-GB"/>
        </w:rPr>
        <w:tab/>
        <w:t>In the case that the engine is being approved according to paragraph 5.4.1. of this Regulation in relation to monitoring for major functional failure, the test of the combined deNO</w:t>
      </w:r>
      <w:r w:rsidRPr="00B04DC3">
        <w:rPr>
          <w:vertAlign w:val="subscript"/>
          <w:lang w:val="en-GB"/>
        </w:rPr>
        <w:t>x</w:t>
      </w:r>
      <w:r w:rsidRPr="00B04DC3">
        <w:rPr>
          <w:lang w:val="en-GB"/>
        </w:rPr>
        <w:t>-particulate filter system shall determine that the MI illuminates under any of the following conditions:</w:t>
      </w:r>
    </w:p>
    <w:p w:rsidR="00BB1DA8" w:rsidRPr="00B04DC3" w:rsidRDefault="00BB1DA8" w:rsidP="00BB1DA8">
      <w:pPr>
        <w:pStyle w:val="a"/>
        <w:rPr>
          <w:lang w:val="en-GB"/>
        </w:rPr>
      </w:pPr>
      <w:r w:rsidRPr="00B04DC3">
        <w:rPr>
          <w:lang w:val="en-GB"/>
        </w:rPr>
        <w:t>(a)</w:t>
      </w:r>
      <w:r w:rsidRPr="00B04DC3">
        <w:rPr>
          <w:lang w:val="en-GB"/>
        </w:rPr>
        <w:tab/>
        <w:t>Complete removal of the system or replacement of the system by a bogus system;</w:t>
      </w:r>
    </w:p>
    <w:p w:rsidR="00BB1DA8" w:rsidRPr="00B04DC3" w:rsidRDefault="00BB1DA8" w:rsidP="00BB1DA8">
      <w:pPr>
        <w:pStyle w:val="a"/>
        <w:rPr>
          <w:lang w:val="en-GB"/>
        </w:rPr>
      </w:pPr>
      <w:r w:rsidRPr="00B04DC3">
        <w:rPr>
          <w:lang w:val="en-GB"/>
        </w:rPr>
        <w:t>(b)</w:t>
      </w:r>
      <w:r w:rsidRPr="00B04DC3">
        <w:rPr>
          <w:lang w:val="en-GB"/>
        </w:rPr>
        <w:tab/>
        <w:t>Lack of any required reagent for a combined deNO</w:t>
      </w:r>
      <w:r w:rsidRPr="00B04DC3">
        <w:rPr>
          <w:vertAlign w:val="subscript"/>
          <w:lang w:val="en-GB"/>
        </w:rPr>
        <w:t>x</w:t>
      </w:r>
      <w:r w:rsidRPr="00B04DC3">
        <w:rPr>
          <w:lang w:val="en-GB"/>
        </w:rPr>
        <w:t>-particulate filter system;</w:t>
      </w:r>
    </w:p>
    <w:p w:rsidR="00BB1DA8" w:rsidRPr="00B04DC3" w:rsidRDefault="00BB1DA8" w:rsidP="00BB1DA8">
      <w:pPr>
        <w:pStyle w:val="a"/>
        <w:rPr>
          <w:lang w:val="en-GB"/>
        </w:rPr>
      </w:pPr>
      <w:r w:rsidRPr="00B04DC3">
        <w:rPr>
          <w:lang w:val="en-GB"/>
        </w:rPr>
        <w:t>(c)</w:t>
      </w:r>
      <w:r w:rsidRPr="00B04DC3">
        <w:rPr>
          <w:lang w:val="en-GB"/>
        </w:rPr>
        <w:tab/>
        <w:t>Any electrical failure of a component (e.g. sensors and actuators, dosing control unit) of a combined deNO</w:t>
      </w:r>
      <w:r w:rsidRPr="00B04DC3">
        <w:rPr>
          <w:vertAlign w:val="subscript"/>
          <w:lang w:val="en-GB"/>
        </w:rPr>
        <w:t>x</w:t>
      </w:r>
      <w:r w:rsidRPr="00B04DC3">
        <w:rPr>
          <w:lang w:val="en-GB"/>
        </w:rPr>
        <w:t>-particulate filter system, including, when applicable, the reagent heating system;</w:t>
      </w:r>
    </w:p>
    <w:p w:rsidR="00BB1DA8" w:rsidRPr="00B04DC3" w:rsidRDefault="00BB1DA8" w:rsidP="00BB1DA8">
      <w:pPr>
        <w:pStyle w:val="a"/>
        <w:rPr>
          <w:lang w:val="en-GB"/>
        </w:rPr>
      </w:pPr>
      <w:r w:rsidRPr="00B04DC3">
        <w:rPr>
          <w:lang w:val="en-GB"/>
        </w:rPr>
        <w:t>(d)</w:t>
      </w:r>
      <w:r w:rsidRPr="00B04DC3">
        <w:rPr>
          <w:lang w:val="en-GB"/>
        </w:rPr>
        <w:tab/>
        <w:t>Failure of a reagent dosing system (e.g. missing air supply, clogged nozzle, dosing pump failure) of a combined deNO</w:t>
      </w:r>
      <w:r w:rsidRPr="00B04DC3">
        <w:rPr>
          <w:vertAlign w:val="subscript"/>
          <w:lang w:val="en-GB"/>
        </w:rPr>
        <w:t>x</w:t>
      </w:r>
      <w:r w:rsidRPr="00B04DC3">
        <w:rPr>
          <w:lang w:val="en-GB"/>
        </w:rPr>
        <w:t>-particulate filter system;</w:t>
      </w:r>
    </w:p>
    <w:p w:rsidR="00BB1DA8" w:rsidRPr="00B04DC3" w:rsidRDefault="00BB1DA8" w:rsidP="00BB1DA8">
      <w:pPr>
        <w:pStyle w:val="a"/>
        <w:rPr>
          <w:lang w:val="en-GB"/>
        </w:rPr>
      </w:pPr>
      <w:r w:rsidRPr="00B04DC3">
        <w:rPr>
          <w:lang w:val="en-GB"/>
        </w:rPr>
        <w:t>(e)</w:t>
      </w:r>
      <w:r w:rsidRPr="00B04DC3">
        <w:rPr>
          <w:lang w:val="en-GB"/>
        </w:rPr>
        <w:tab/>
        <w:t>Major breakdown of a NO</w:t>
      </w:r>
      <w:r w:rsidRPr="00B04DC3">
        <w:rPr>
          <w:vertAlign w:val="subscript"/>
          <w:lang w:val="en-GB"/>
        </w:rPr>
        <w:t>x</w:t>
      </w:r>
      <w:r w:rsidRPr="00B04DC3">
        <w:rPr>
          <w:lang w:val="en-GB"/>
        </w:rPr>
        <w:t xml:space="preserve"> trap system;</w:t>
      </w:r>
    </w:p>
    <w:p w:rsidR="00BB1DA8" w:rsidRPr="00B04DC3" w:rsidRDefault="00BB1DA8" w:rsidP="00BB1DA8">
      <w:pPr>
        <w:pStyle w:val="a"/>
        <w:rPr>
          <w:lang w:val="en-GB"/>
        </w:rPr>
      </w:pPr>
      <w:r w:rsidRPr="00B04DC3">
        <w:rPr>
          <w:lang w:val="en-GB"/>
        </w:rPr>
        <w:t>(f)</w:t>
      </w:r>
      <w:r w:rsidRPr="00B04DC3">
        <w:rPr>
          <w:lang w:val="en-GB"/>
        </w:rPr>
        <w:tab/>
        <w:t>Major melting of the particulate filter substrate;</w:t>
      </w:r>
    </w:p>
    <w:p w:rsidR="00BB1DA8" w:rsidRPr="00B04DC3" w:rsidRDefault="00BB1DA8" w:rsidP="00BB1DA8">
      <w:pPr>
        <w:pStyle w:val="a"/>
        <w:rPr>
          <w:lang w:val="en-GB"/>
        </w:rPr>
      </w:pPr>
      <w:r w:rsidRPr="00B04DC3">
        <w:rPr>
          <w:lang w:val="en-GB"/>
        </w:rPr>
        <w:t>(g)</w:t>
      </w:r>
      <w:r w:rsidRPr="00B04DC3">
        <w:rPr>
          <w:lang w:val="en-GB"/>
        </w:rPr>
        <w:tab/>
        <w:t>Major cracking of the particulate filter substrate;</w:t>
      </w:r>
    </w:p>
    <w:p w:rsidR="00BB1DA8" w:rsidRPr="00B04DC3" w:rsidRDefault="00BB1DA8" w:rsidP="00BB1DA8">
      <w:pPr>
        <w:pStyle w:val="a"/>
        <w:rPr>
          <w:lang w:val="en-GB"/>
        </w:rPr>
      </w:pPr>
      <w:r w:rsidRPr="00B04DC3">
        <w:rPr>
          <w:lang w:val="en-GB"/>
        </w:rPr>
        <w:t>(h)</w:t>
      </w:r>
      <w:r w:rsidRPr="00B04DC3">
        <w:rPr>
          <w:lang w:val="en-GB"/>
        </w:rPr>
        <w:tab/>
        <w:t>A clogged particulate filter resulting in a differential pressure out of the range declared by the manufacturer.</w:t>
      </w:r>
    </w:p>
    <w:p w:rsidR="00BB1DA8" w:rsidRPr="00B04DC3" w:rsidRDefault="00BB1DA8" w:rsidP="00BB1DA8">
      <w:pPr>
        <w:pStyle w:val="para"/>
        <w:rPr>
          <w:lang w:val="en-GB"/>
        </w:rPr>
      </w:pPr>
      <w:r w:rsidRPr="00B04DC3">
        <w:rPr>
          <w:lang w:val="en-GB"/>
        </w:rPr>
        <w:t>6.3.1.6.</w:t>
      </w:r>
      <w:r w:rsidRPr="00B04DC3">
        <w:rPr>
          <w:lang w:val="en-GB"/>
        </w:rPr>
        <w:tab/>
        <w:t>Disconnection of any fuelling system electronic fuel quantity and timing actuator that results in emissions exceeding any of the OBD thresholds referred to in the table given in paragraph 5.4.4. of this Regulation.</w:t>
      </w:r>
    </w:p>
    <w:p w:rsidR="00BB1DA8" w:rsidRPr="00B04DC3" w:rsidRDefault="00BB1DA8" w:rsidP="00BB1DA8">
      <w:pPr>
        <w:pStyle w:val="para"/>
        <w:rPr>
          <w:lang w:val="en-GB"/>
        </w:rPr>
      </w:pPr>
      <w:r w:rsidRPr="00B04DC3">
        <w:rPr>
          <w:lang w:val="en-GB"/>
        </w:rPr>
        <w:t>6.3.1.7.</w:t>
      </w:r>
      <w:r w:rsidRPr="00B04DC3">
        <w:rPr>
          <w:lang w:val="en-GB"/>
        </w:rPr>
        <w:tab/>
        <w:t>Disconnection of any other emission-related engine component connected to a computer that results in emissions exceeding any of the thresholds referred to in the table given in paragraph 5.4.4. of this Regulation.</w:t>
      </w:r>
    </w:p>
    <w:p w:rsidR="00BB1DA8" w:rsidRPr="00B04DC3" w:rsidRDefault="00BB1DA8" w:rsidP="00BB1DA8">
      <w:pPr>
        <w:pStyle w:val="para"/>
        <w:rPr>
          <w:lang w:val="en-GB"/>
        </w:rPr>
      </w:pPr>
      <w:r w:rsidRPr="00B04DC3">
        <w:rPr>
          <w:lang w:val="en-GB"/>
        </w:rPr>
        <w:t>6.3.1.8.</w:t>
      </w:r>
      <w:r w:rsidRPr="00B04DC3">
        <w:rPr>
          <w:lang w:val="en-GB"/>
        </w:rPr>
        <w:tab/>
        <w:t xml:space="preserve">In demonstrating compliance with the requirements of paragraphs 6.3.1.6. and 6.3.1.7. </w:t>
      </w:r>
      <w:r w:rsidR="00B30D30">
        <w:rPr>
          <w:lang w:val="en-GB"/>
        </w:rPr>
        <w:t xml:space="preserve">above </w:t>
      </w:r>
      <w:r w:rsidRPr="00B04DC3">
        <w:rPr>
          <w:lang w:val="en-GB"/>
        </w:rPr>
        <w:t xml:space="preserve">and with the agreement of the </w:t>
      </w:r>
      <w:r w:rsidR="006C5B0C">
        <w:rPr>
          <w:lang w:val="en-GB"/>
        </w:rPr>
        <w:t>T</w:t>
      </w:r>
      <w:r w:rsidR="006C5B0C" w:rsidRPr="00B04DC3">
        <w:rPr>
          <w:lang w:val="en-GB"/>
        </w:rPr>
        <w:t xml:space="preserve">ype </w:t>
      </w:r>
      <w:r w:rsidR="006C5B0C">
        <w:rPr>
          <w:lang w:val="en-GB"/>
        </w:rPr>
        <w:t>A</w:t>
      </w:r>
      <w:r w:rsidR="006C5B0C" w:rsidRPr="00B04DC3">
        <w:rPr>
          <w:lang w:val="en-GB"/>
        </w:rPr>
        <w:t xml:space="preserve">pproval </w:t>
      </w:r>
      <w:r w:rsidR="006C5B0C">
        <w:rPr>
          <w:lang w:val="en-GB"/>
        </w:rPr>
        <w:t>A</w:t>
      </w:r>
      <w:r w:rsidR="006C5B0C" w:rsidRPr="00B04DC3">
        <w:rPr>
          <w:lang w:val="en-GB"/>
        </w:rPr>
        <w:t>uthority</w:t>
      </w:r>
      <w:r w:rsidRPr="00B04DC3">
        <w:rPr>
          <w:lang w:val="en-GB"/>
        </w:rPr>
        <w:t>, the manufacturer may take appropriate steps to demonstrate that the OBD system will indicate a fault when disconnection occurs.</w:t>
      </w:r>
    </w:p>
    <w:p w:rsidR="00BB1DA8" w:rsidRPr="00B04DC3" w:rsidRDefault="00BB1DA8" w:rsidP="0080740F">
      <w:pPr>
        <w:pStyle w:val="SingleTxtG"/>
        <w:sectPr w:rsidR="00BB1DA8" w:rsidRPr="00B04DC3" w:rsidSect="00BB1DA8">
          <w:headerReference w:type="even" r:id="rId632"/>
          <w:headerReference w:type="default" r:id="rId633"/>
          <w:headerReference w:type="first" r:id="rId634"/>
          <w:footerReference w:type="first" r:id="rId635"/>
          <w:footnotePr>
            <w:numRestart w:val="eachSect"/>
          </w:footnotePr>
          <w:endnotePr>
            <w:numFmt w:val="decimal"/>
          </w:endnotePr>
          <w:pgSz w:w="11907" w:h="16840" w:code="9"/>
          <w:pgMar w:top="1701" w:right="1134" w:bottom="2268" w:left="1134" w:header="1134" w:footer="1701" w:gutter="0"/>
          <w:cols w:space="720"/>
          <w:titlePg/>
        </w:sectPr>
      </w:pPr>
    </w:p>
    <w:p w:rsidR="00AF2027" w:rsidRPr="00B04DC3" w:rsidRDefault="00AF2027" w:rsidP="00AF2027">
      <w:pPr>
        <w:pStyle w:val="HChG"/>
      </w:pPr>
      <w:bookmarkStart w:id="869" w:name="_Toc423599669"/>
      <w:bookmarkStart w:id="870" w:name="_Toc423611077"/>
      <w:r w:rsidRPr="00B04DC3">
        <w:t>Annex 9B</w:t>
      </w:r>
      <w:bookmarkEnd w:id="869"/>
      <w:bookmarkEnd w:id="870"/>
    </w:p>
    <w:p w:rsidR="00AF2027" w:rsidRPr="00B04DC3" w:rsidRDefault="00AF2027" w:rsidP="006E1E07">
      <w:pPr>
        <w:pStyle w:val="HChG"/>
        <w:spacing w:after="360"/>
      </w:pPr>
      <w:r w:rsidRPr="00B04DC3">
        <w:tab/>
      </w:r>
      <w:r w:rsidRPr="00B04DC3">
        <w:tab/>
      </w:r>
      <w:bookmarkStart w:id="871" w:name="_Toc423599670"/>
      <w:bookmarkStart w:id="872" w:name="_Toc423611078"/>
      <w:r w:rsidRPr="00B04DC3">
        <w:t xml:space="preserve">Technical requirements for </w:t>
      </w:r>
      <w:r w:rsidR="00B30D30" w:rsidRPr="00B04DC3">
        <w:t>O</w:t>
      </w:r>
      <w:r w:rsidRPr="00B04DC3">
        <w:t>n-</w:t>
      </w:r>
      <w:r w:rsidR="00B30D30" w:rsidRPr="00B04DC3">
        <w:t>B</w:t>
      </w:r>
      <w:r w:rsidRPr="00B04DC3">
        <w:t xml:space="preserve">oard </w:t>
      </w:r>
      <w:r w:rsidR="00B30D30" w:rsidRPr="00B04DC3">
        <w:t>D</w:t>
      </w:r>
      <w:r w:rsidRPr="00B04DC3">
        <w:t>iagnostic systems (OBD)</w:t>
      </w:r>
      <w:bookmarkEnd w:id="871"/>
      <w:bookmarkEnd w:id="872"/>
    </w:p>
    <w:p w:rsidR="00AF2027" w:rsidRPr="00B04DC3" w:rsidRDefault="00AF2027" w:rsidP="00AF2027">
      <w:pPr>
        <w:pStyle w:val="para"/>
        <w:rPr>
          <w:lang w:val="en-GB"/>
        </w:rPr>
      </w:pPr>
      <w:bookmarkStart w:id="873" w:name="_Ref115020422"/>
      <w:bookmarkStart w:id="874" w:name="_Toc118222972"/>
      <w:bookmarkEnd w:id="873"/>
      <w:r w:rsidRPr="00B04DC3">
        <w:rPr>
          <w:lang w:val="en-GB"/>
        </w:rPr>
        <w:t>1.</w:t>
      </w:r>
      <w:r w:rsidRPr="00B04DC3">
        <w:rPr>
          <w:lang w:val="en-GB"/>
        </w:rPr>
        <w:tab/>
        <w:t>Applicability</w:t>
      </w:r>
    </w:p>
    <w:p w:rsidR="00AF2027" w:rsidRPr="00B04DC3" w:rsidRDefault="00AF2027" w:rsidP="00AF2027">
      <w:pPr>
        <w:pStyle w:val="para"/>
        <w:rPr>
          <w:lang w:val="en-GB"/>
        </w:rPr>
      </w:pPr>
      <w:r w:rsidRPr="00B04DC3">
        <w:rPr>
          <w:lang w:val="en-GB"/>
        </w:rPr>
        <w:tab/>
        <w:t>This annex is applicable to diesel or gaseous-fuelled (NG or LPG) engines intended to be mounted in road vehicles, but is not applicable to dual-fuel or bi-fuelled engines.</w:t>
      </w:r>
    </w:p>
    <w:p w:rsidR="00AF2027" w:rsidRPr="00B04DC3" w:rsidRDefault="00AF2027" w:rsidP="00AF2027">
      <w:pPr>
        <w:pStyle w:val="para"/>
        <w:ind w:firstLine="0"/>
        <w:rPr>
          <w:lang w:val="en-GB"/>
        </w:rPr>
      </w:pPr>
      <w:r w:rsidRPr="00B04DC3">
        <w:rPr>
          <w:i/>
          <w:lang w:val="en-GB"/>
        </w:rPr>
        <w:t>Note:</w:t>
      </w:r>
      <w:r w:rsidRPr="00B04DC3">
        <w:rPr>
          <w:lang w:val="en-GB"/>
        </w:rPr>
        <w:tab/>
        <w:t>Annex 9B is applicable instead of Annex 9A upon decision of the Contracting Parties, provided that Annex 4B is also applied. Nevertheless, in the case a Contracting Party decides to apply this annex, some requirements of Annex 9A may still remain applicable at the explicit request of that Contracting Party, provided that these requirements are not in contradiction to the specifications of this annex.</w:t>
      </w:r>
    </w:p>
    <w:p w:rsidR="00AF2027" w:rsidRPr="00B04DC3" w:rsidRDefault="00AF2027" w:rsidP="00AF2027">
      <w:pPr>
        <w:pStyle w:val="para"/>
        <w:rPr>
          <w:lang w:val="en-GB"/>
        </w:rPr>
      </w:pPr>
      <w:r w:rsidRPr="00B04DC3">
        <w:rPr>
          <w:lang w:val="en-GB"/>
        </w:rPr>
        <w:t>2.</w:t>
      </w:r>
      <w:r w:rsidRPr="00B04DC3">
        <w:rPr>
          <w:lang w:val="en-GB"/>
        </w:rPr>
        <w:tab/>
        <w:t>Reserved</w:t>
      </w:r>
      <w:r w:rsidRPr="00B04DC3">
        <w:rPr>
          <w:vertAlign w:val="superscript"/>
          <w:lang w:val="en-GB"/>
        </w:rPr>
        <w:footnoteReference w:id="41"/>
      </w:r>
    </w:p>
    <w:p w:rsidR="00AF2027" w:rsidRPr="00B04DC3" w:rsidRDefault="00AF2027" w:rsidP="00AF2027">
      <w:pPr>
        <w:pStyle w:val="para"/>
        <w:rPr>
          <w:lang w:val="en-GB"/>
        </w:rPr>
      </w:pPr>
      <w:bookmarkStart w:id="875" w:name="_Toc118222974"/>
      <w:bookmarkEnd w:id="874"/>
      <w:r w:rsidRPr="00B04DC3">
        <w:rPr>
          <w:lang w:val="en-GB"/>
        </w:rPr>
        <w:t>3.</w:t>
      </w:r>
      <w:r w:rsidRPr="00B04DC3">
        <w:rPr>
          <w:lang w:val="en-GB"/>
        </w:rPr>
        <w:tab/>
      </w:r>
      <w:bookmarkEnd w:id="875"/>
      <w:r w:rsidRPr="00B04DC3">
        <w:rPr>
          <w:lang w:val="en-GB"/>
        </w:rPr>
        <w:t>Definitions</w:t>
      </w:r>
    </w:p>
    <w:p w:rsidR="00AF2027" w:rsidRPr="00B04DC3" w:rsidRDefault="00AF2027" w:rsidP="00AF2027">
      <w:pPr>
        <w:pStyle w:val="para"/>
        <w:rPr>
          <w:lang w:val="en-GB"/>
        </w:rPr>
      </w:pPr>
      <w:bookmarkStart w:id="876" w:name="_Toc118222975"/>
      <w:r w:rsidRPr="00B04DC3">
        <w:rPr>
          <w:lang w:val="en-GB"/>
        </w:rPr>
        <w:t>3.1.</w:t>
      </w:r>
      <w:r w:rsidRPr="00B04DC3">
        <w:rPr>
          <w:lang w:val="en-GB"/>
        </w:rPr>
        <w:tab/>
        <w:t>"</w:t>
      </w:r>
      <w:r w:rsidRPr="00B04DC3">
        <w:rPr>
          <w:i/>
          <w:lang w:val="en-GB"/>
        </w:rPr>
        <w:t>Alert system</w:t>
      </w:r>
      <w:r w:rsidRPr="00B04DC3">
        <w:rPr>
          <w:lang w:val="en-GB"/>
        </w:rPr>
        <w:t>" means a system on-board the vehicle which informs the driver of the vehicle or any other interested party that the OBD system has detected a malfunction.</w:t>
      </w:r>
    </w:p>
    <w:p w:rsidR="00AF2027" w:rsidRPr="00B04DC3" w:rsidRDefault="00AF2027" w:rsidP="00AF2027">
      <w:pPr>
        <w:pStyle w:val="para"/>
        <w:rPr>
          <w:lang w:val="en-GB"/>
        </w:rPr>
      </w:pPr>
      <w:r w:rsidRPr="00B04DC3">
        <w:rPr>
          <w:lang w:val="en-GB"/>
        </w:rPr>
        <w:t>3.2.</w:t>
      </w:r>
      <w:r w:rsidRPr="00B04DC3">
        <w:rPr>
          <w:lang w:val="en-GB"/>
        </w:rPr>
        <w:tab/>
        <w:t>"</w:t>
      </w:r>
      <w:r w:rsidR="00B30D30">
        <w:rPr>
          <w:lang w:val="en-GB"/>
        </w:rPr>
        <w:t xml:space="preserve">Type </w:t>
      </w:r>
      <w:r w:rsidRPr="00B04DC3">
        <w:rPr>
          <w:i/>
          <w:lang w:val="en-GB"/>
        </w:rPr>
        <w:t xml:space="preserve">Approval </w:t>
      </w:r>
      <w:r w:rsidR="002F3FE3">
        <w:rPr>
          <w:i/>
          <w:lang w:val="en-GB"/>
        </w:rPr>
        <w:t>A</w:t>
      </w:r>
      <w:r w:rsidR="002F3FE3" w:rsidRPr="00B04DC3">
        <w:rPr>
          <w:i/>
          <w:lang w:val="en-GB"/>
        </w:rPr>
        <w:t>uthority</w:t>
      </w:r>
      <w:r w:rsidRPr="00B04DC3">
        <w:rPr>
          <w:lang w:val="en-GB"/>
        </w:rPr>
        <w:t>" means the authority that grants the compliance approval of an OBD system considered by this annex. Per extension, it means also the Technical Service that has been accredited to evaluate the technical compliance of the OBD system.</w:t>
      </w:r>
    </w:p>
    <w:p w:rsidR="00AF2027" w:rsidRPr="00B04DC3" w:rsidRDefault="00AF2027" w:rsidP="00AF2027">
      <w:pPr>
        <w:pStyle w:val="para"/>
        <w:rPr>
          <w:lang w:val="en-GB"/>
        </w:rPr>
      </w:pPr>
      <w:r w:rsidRPr="00B04DC3">
        <w:rPr>
          <w:lang w:val="en-GB"/>
        </w:rPr>
        <w:t>3.3.</w:t>
      </w:r>
      <w:r w:rsidRPr="00B04DC3">
        <w:rPr>
          <w:lang w:val="en-GB"/>
        </w:rPr>
        <w:tab/>
        <w:t>"</w:t>
      </w:r>
      <w:r w:rsidRPr="00B04DC3">
        <w:rPr>
          <w:i/>
          <w:lang w:val="en-GB"/>
        </w:rPr>
        <w:t>Calibration verification number</w:t>
      </w:r>
      <w:r w:rsidRPr="00B04DC3">
        <w:rPr>
          <w:lang w:val="en-GB"/>
        </w:rPr>
        <w:t>" means the number that is calculated and reported by the engine system to validate the calibration/software integrity.</w:t>
      </w:r>
    </w:p>
    <w:p w:rsidR="00AF2027" w:rsidRPr="00B04DC3" w:rsidRDefault="00AF2027" w:rsidP="00AF2027">
      <w:pPr>
        <w:pStyle w:val="para"/>
        <w:rPr>
          <w:lang w:val="en-GB"/>
        </w:rPr>
      </w:pPr>
      <w:r w:rsidRPr="00B04DC3">
        <w:rPr>
          <w:lang w:val="en-GB"/>
        </w:rPr>
        <w:t>3.4.</w:t>
      </w:r>
      <w:r w:rsidRPr="00B04DC3">
        <w:rPr>
          <w:lang w:val="en-GB"/>
        </w:rPr>
        <w:tab/>
        <w:t>"</w:t>
      </w:r>
      <w:r w:rsidRPr="00B04DC3">
        <w:rPr>
          <w:i/>
          <w:lang w:val="en-GB"/>
        </w:rPr>
        <w:t>Component monitoring</w:t>
      </w:r>
      <w:r w:rsidRPr="00B04DC3">
        <w:rPr>
          <w:lang w:val="en-GB"/>
        </w:rPr>
        <w:t>" means the monitoring of input components for electrical circuit failures and rationality failures and monitoring of output components for electrical circuit failures and functionality failures. It refers to components that are electrically connected to the controller(s) of the engine system.</w:t>
      </w:r>
    </w:p>
    <w:p w:rsidR="00AF2027" w:rsidRPr="00B04DC3" w:rsidRDefault="00AF2027" w:rsidP="00AF2027">
      <w:pPr>
        <w:pStyle w:val="para"/>
        <w:rPr>
          <w:lang w:val="en-GB"/>
        </w:rPr>
      </w:pPr>
      <w:r w:rsidRPr="00B04DC3">
        <w:rPr>
          <w:lang w:val="en-GB"/>
        </w:rPr>
        <w:t>3.5.</w:t>
      </w:r>
      <w:r w:rsidRPr="00B04DC3">
        <w:rPr>
          <w:lang w:val="en-GB"/>
        </w:rPr>
        <w:tab/>
        <w:t>"</w:t>
      </w:r>
      <w:r w:rsidRPr="00B04DC3">
        <w:rPr>
          <w:i/>
          <w:lang w:val="en-GB"/>
        </w:rPr>
        <w:t>Confirmed and active DTC</w:t>
      </w:r>
      <w:r w:rsidRPr="00B04DC3">
        <w:rPr>
          <w:lang w:val="en-GB"/>
        </w:rPr>
        <w:t xml:space="preserve">" means a </w:t>
      </w:r>
      <w:r w:rsidR="00B30D30">
        <w:rPr>
          <w:lang w:val="en-GB"/>
        </w:rPr>
        <w:t>Diagnostic Trouble Code (</w:t>
      </w:r>
      <w:r w:rsidRPr="00B04DC3">
        <w:rPr>
          <w:lang w:val="en-GB"/>
        </w:rPr>
        <w:t>DTC</w:t>
      </w:r>
      <w:r w:rsidR="00B30D30">
        <w:rPr>
          <w:lang w:val="en-GB"/>
        </w:rPr>
        <w:t>)</w:t>
      </w:r>
      <w:r w:rsidRPr="00B04DC3">
        <w:rPr>
          <w:lang w:val="en-GB"/>
        </w:rPr>
        <w:t xml:space="preserve"> that is stored during the time the OBD system concludes that a malfunction exists.</w:t>
      </w:r>
    </w:p>
    <w:p w:rsidR="00AF2027" w:rsidRPr="00B04DC3" w:rsidRDefault="00AF2027" w:rsidP="00AF2027">
      <w:pPr>
        <w:pStyle w:val="para"/>
        <w:rPr>
          <w:lang w:val="en-GB"/>
        </w:rPr>
      </w:pPr>
      <w:r w:rsidRPr="00B04DC3">
        <w:rPr>
          <w:lang w:val="en-GB"/>
        </w:rPr>
        <w:t>3.6.</w:t>
      </w:r>
      <w:r w:rsidRPr="00B04DC3">
        <w:rPr>
          <w:lang w:val="en-GB"/>
        </w:rPr>
        <w:tab/>
        <w:t>"</w:t>
      </w:r>
      <w:r w:rsidRPr="00B04DC3">
        <w:rPr>
          <w:i/>
          <w:lang w:val="en-GB"/>
        </w:rPr>
        <w:t>Continuous-MI</w:t>
      </w:r>
      <w:r w:rsidRPr="00B04DC3">
        <w:rPr>
          <w:lang w:val="en-GB"/>
        </w:rPr>
        <w:t>" means the malfunction indicator showing a steady indication at all times while the key is in the on (run) position with the engine running (ignition on - engine on).</w:t>
      </w:r>
    </w:p>
    <w:p w:rsidR="00AF2027" w:rsidRPr="00B04DC3" w:rsidRDefault="00AF2027" w:rsidP="00AF2027">
      <w:pPr>
        <w:pStyle w:val="para"/>
        <w:rPr>
          <w:lang w:val="en-GB"/>
        </w:rPr>
      </w:pPr>
      <w:r w:rsidRPr="00B04DC3">
        <w:rPr>
          <w:lang w:val="en-GB"/>
        </w:rPr>
        <w:t>3.7.</w:t>
      </w:r>
      <w:r w:rsidRPr="00B04DC3">
        <w:rPr>
          <w:lang w:val="en-GB"/>
        </w:rPr>
        <w:tab/>
        <w:t>"</w:t>
      </w:r>
      <w:r w:rsidRPr="00B04DC3">
        <w:rPr>
          <w:i/>
          <w:lang w:val="en-GB"/>
        </w:rPr>
        <w:t>Deficiency</w:t>
      </w:r>
      <w:r w:rsidRPr="00B04DC3">
        <w:rPr>
          <w:lang w:val="en-GB"/>
        </w:rPr>
        <w:t>" means an OBD monitoring strategy or other OBD feature that does not meet all the detailed requirements of this annex.</w:t>
      </w:r>
    </w:p>
    <w:p w:rsidR="00AF2027" w:rsidRPr="00B04DC3" w:rsidRDefault="00AF2027" w:rsidP="00AF2027">
      <w:pPr>
        <w:pStyle w:val="para"/>
        <w:rPr>
          <w:lang w:val="en-GB"/>
        </w:rPr>
      </w:pPr>
      <w:r w:rsidRPr="00B04DC3">
        <w:rPr>
          <w:lang w:val="en-GB"/>
        </w:rPr>
        <w:t>3.8.</w:t>
      </w:r>
      <w:r w:rsidRPr="00B04DC3">
        <w:rPr>
          <w:lang w:val="en-GB"/>
        </w:rPr>
        <w:tab/>
        <w:t>"</w:t>
      </w:r>
      <w:r w:rsidRPr="00B04DC3">
        <w:rPr>
          <w:i/>
          <w:lang w:val="en-GB"/>
        </w:rPr>
        <w:t>Diagnostic trouble code (DTC)</w:t>
      </w:r>
      <w:r w:rsidRPr="00B04DC3">
        <w:rPr>
          <w:lang w:val="en-GB"/>
        </w:rPr>
        <w:t>" means a numeric or alphanumeric identifier which identifies or labels a malfunction.</w:t>
      </w:r>
    </w:p>
    <w:p w:rsidR="00AF2027" w:rsidRPr="00B04DC3" w:rsidRDefault="00AF2027" w:rsidP="00AF2027">
      <w:pPr>
        <w:pStyle w:val="para"/>
        <w:rPr>
          <w:lang w:val="en-GB"/>
        </w:rPr>
      </w:pPr>
      <w:r w:rsidRPr="00B04DC3">
        <w:rPr>
          <w:lang w:val="en-GB"/>
        </w:rPr>
        <w:t>3.9.</w:t>
      </w:r>
      <w:r w:rsidRPr="00B04DC3">
        <w:rPr>
          <w:lang w:val="en-GB"/>
        </w:rPr>
        <w:tab/>
        <w:t>"</w:t>
      </w:r>
      <w:r w:rsidRPr="00B04DC3">
        <w:rPr>
          <w:i/>
          <w:lang w:val="en-GB"/>
        </w:rPr>
        <w:t>Electrical circuit failure</w:t>
      </w:r>
      <w:r w:rsidRPr="00B04DC3">
        <w:rPr>
          <w:lang w:val="en-GB"/>
        </w:rPr>
        <w:t>" means a malfunction (e.g. open circuit or short circuit) that leads to the measured signal (i.e. voltages, currents, frequencies, etc.) being outside the range where the transfer function of the sensor is designed to operate.</w:t>
      </w:r>
    </w:p>
    <w:p w:rsidR="00AF2027" w:rsidRPr="00B04DC3" w:rsidRDefault="00AF2027" w:rsidP="00AF2027">
      <w:pPr>
        <w:pStyle w:val="para"/>
        <w:rPr>
          <w:lang w:val="en-GB"/>
        </w:rPr>
      </w:pPr>
      <w:r w:rsidRPr="00B04DC3">
        <w:rPr>
          <w:lang w:val="en-GB"/>
        </w:rPr>
        <w:t>3.10.</w:t>
      </w:r>
      <w:r w:rsidRPr="00B04DC3">
        <w:rPr>
          <w:lang w:val="en-GB"/>
        </w:rPr>
        <w:tab/>
        <w:t>"</w:t>
      </w:r>
      <w:r w:rsidRPr="00B04DC3">
        <w:rPr>
          <w:i/>
          <w:lang w:val="en-GB"/>
        </w:rPr>
        <w:t>Emission OBD family</w:t>
      </w:r>
      <w:r w:rsidRPr="00B04DC3">
        <w:rPr>
          <w:lang w:val="en-GB"/>
        </w:rPr>
        <w:t>" means a manufacturer's grouping of engine systems having common methods of monitoring/diagnosing emission-related malfunctions.</w:t>
      </w:r>
    </w:p>
    <w:p w:rsidR="00AF2027" w:rsidRPr="00B04DC3" w:rsidRDefault="00AF2027" w:rsidP="00AF2027">
      <w:pPr>
        <w:pStyle w:val="para"/>
        <w:rPr>
          <w:lang w:val="en-GB"/>
        </w:rPr>
      </w:pPr>
      <w:r w:rsidRPr="00B04DC3">
        <w:rPr>
          <w:lang w:val="en-GB"/>
        </w:rPr>
        <w:t>3.11.</w:t>
      </w:r>
      <w:r w:rsidRPr="00B04DC3">
        <w:rPr>
          <w:lang w:val="en-GB"/>
        </w:rPr>
        <w:tab/>
        <w:t>"</w:t>
      </w:r>
      <w:r w:rsidRPr="00B04DC3">
        <w:rPr>
          <w:i/>
          <w:lang w:val="en-GB"/>
        </w:rPr>
        <w:t>Emission threshold monitoring</w:t>
      </w:r>
      <w:r w:rsidRPr="00B04DC3">
        <w:rPr>
          <w:lang w:val="en-GB"/>
        </w:rPr>
        <w:t xml:space="preserve">" means monitoring of a malfunction that leads to an excess of the </w:t>
      </w:r>
      <w:r w:rsidR="00083D2B">
        <w:rPr>
          <w:lang w:val="en-GB"/>
        </w:rPr>
        <w:t>OBD Threshold Limits (</w:t>
      </w:r>
      <w:r w:rsidRPr="00B04DC3">
        <w:rPr>
          <w:lang w:val="en-GB"/>
        </w:rPr>
        <w:t>OTLs</w:t>
      </w:r>
      <w:r w:rsidR="00083D2B">
        <w:rPr>
          <w:lang w:val="en-GB"/>
        </w:rPr>
        <w:t>)</w:t>
      </w:r>
      <w:r w:rsidRPr="00B04DC3">
        <w:rPr>
          <w:lang w:val="en-GB"/>
        </w:rPr>
        <w:t>. It consists of:</w:t>
      </w:r>
    </w:p>
    <w:p w:rsidR="00AF2027" w:rsidRPr="00B04DC3" w:rsidRDefault="00AF2027" w:rsidP="00AF2027">
      <w:pPr>
        <w:pStyle w:val="a"/>
        <w:rPr>
          <w:lang w:val="en-GB"/>
        </w:rPr>
      </w:pPr>
      <w:r w:rsidRPr="00B04DC3">
        <w:rPr>
          <w:lang w:val="en-GB"/>
        </w:rPr>
        <w:t>(a)</w:t>
      </w:r>
      <w:r w:rsidRPr="00B04DC3">
        <w:rPr>
          <w:lang w:val="en-GB"/>
        </w:rPr>
        <w:tab/>
        <w:t>Direct emissions measurement via a tailpipe emissions sensor(s) and a model to correlate the direct emissions to test-cycle specific emissions; and/or</w:t>
      </w:r>
    </w:p>
    <w:p w:rsidR="00AF2027" w:rsidRPr="00B04DC3" w:rsidRDefault="00AF2027" w:rsidP="00AF2027">
      <w:pPr>
        <w:pStyle w:val="a"/>
        <w:rPr>
          <w:lang w:val="en-GB"/>
        </w:rPr>
      </w:pPr>
      <w:r w:rsidRPr="00B04DC3">
        <w:rPr>
          <w:lang w:val="en-GB"/>
        </w:rPr>
        <w:t>(b)</w:t>
      </w:r>
      <w:r w:rsidRPr="00B04DC3">
        <w:rPr>
          <w:lang w:val="en-GB"/>
        </w:rPr>
        <w:tab/>
        <w:t>Indication of an emissions increase via correlation of computer input/output information to test-cycle specific emissions.</w:t>
      </w:r>
    </w:p>
    <w:p w:rsidR="00AF2027" w:rsidRPr="00B04DC3" w:rsidRDefault="00AF2027" w:rsidP="00AF2027">
      <w:pPr>
        <w:pStyle w:val="para"/>
        <w:rPr>
          <w:lang w:val="en-GB"/>
        </w:rPr>
      </w:pPr>
      <w:r w:rsidRPr="00B04DC3">
        <w:rPr>
          <w:lang w:val="en-GB"/>
        </w:rPr>
        <w:t>3.12.</w:t>
      </w:r>
      <w:r w:rsidRPr="00B04DC3">
        <w:rPr>
          <w:lang w:val="en-GB"/>
        </w:rPr>
        <w:tab/>
        <w:t>"</w:t>
      </w:r>
      <w:r w:rsidRPr="00B04DC3">
        <w:rPr>
          <w:i/>
          <w:lang w:val="en-GB"/>
        </w:rPr>
        <w:t>Engine system</w:t>
      </w:r>
      <w:r w:rsidRPr="00B04DC3">
        <w:rPr>
          <w:lang w:val="en-GB"/>
        </w:rPr>
        <w:t>" means the engine as it would be configured when tested for its exhaust emissions on a approval test-bed, including:</w:t>
      </w:r>
    </w:p>
    <w:p w:rsidR="00AF2027" w:rsidRPr="00B04DC3" w:rsidRDefault="00AF2027" w:rsidP="00AF2027">
      <w:pPr>
        <w:pStyle w:val="a"/>
        <w:rPr>
          <w:lang w:val="en-GB"/>
        </w:rPr>
      </w:pPr>
      <w:r w:rsidRPr="00B04DC3">
        <w:rPr>
          <w:lang w:val="en-GB"/>
        </w:rPr>
        <w:t>(a)</w:t>
      </w:r>
      <w:r w:rsidRPr="00B04DC3">
        <w:rPr>
          <w:lang w:val="en-GB"/>
        </w:rPr>
        <w:tab/>
        <w:t>The engine's electronic management controller(s);</w:t>
      </w:r>
    </w:p>
    <w:p w:rsidR="00AF2027" w:rsidRPr="00B04DC3" w:rsidRDefault="00AF2027" w:rsidP="00AF2027">
      <w:pPr>
        <w:pStyle w:val="a"/>
        <w:rPr>
          <w:lang w:val="en-GB"/>
        </w:rPr>
      </w:pPr>
      <w:r w:rsidRPr="00B04DC3">
        <w:rPr>
          <w:lang w:val="en-GB"/>
        </w:rPr>
        <w:t>(b)</w:t>
      </w:r>
      <w:r w:rsidRPr="00B04DC3">
        <w:rPr>
          <w:lang w:val="en-GB"/>
        </w:rPr>
        <w:tab/>
        <w:t>The exhaust after-treatment system(s);</w:t>
      </w:r>
    </w:p>
    <w:p w:rsidR="00AF2027" w:rsidRPr="00B04DC3" w:rsidRDefault="00AF2027" w:rsidP="00AF2027">
      <w:pPr>
        <w:pStyle w:val="a"/>
        <w:rPr>
          <w:lang w:val="en-GB"/>
        </w:rPr>
      </w:pPr>
      <w:r w:rsidRPr="00B04DC3">
        <w:rPr>
          <w:lang w:val="en-GB"/>
        </w:rPr>
        <w:t>(c)</w:t>
      </w:r>
      <w:r w:rsidRPr="00B04DC3">
        <w:rPr>
          <w:lang w:val="en-GB"/>
        </w:rPr>
        <w:tab/>
        <w:t xml:space="preserve">Any emission-related component of the engine or the exhaust system which supplies input to, or receives output from, the engine's electronic management controller(s); and </w:t>
      </w:r>
    </w:p>
    <w:p w:rsidR="00AF2027" w:rsidRPr="00B04DC3" w:rsidRDefault="00AF2027" w:rsidP="00AF2027">
      <w:pPr>
        <w:pStyle w:val="a"/>
        <w:rPr>
          <w:lang w:val="en-GB"/>
        </w:rPr>
      </w:pPr>
      <w:r w:rsidRPr="00B04DC3">
        <w:rPr>
          <w:lang w:val="en-GB"/>
        </w:rPr>
        <w:t>(d)</w:t>
      </w:r>
      <w:r w:rsidRPr="00B04DC3">
        <w:rPr>
          <w:lang w:val="en-GB"/>
        </w:rPr>
        <w:tab/>
        <w:t>The communication interface (hardware and messages) between the engine's electronic management controller(s) and any other power train or vehicle control unit if the exchanged information has an influence on the control of emissions.</w:t>
      </w:r>
    </w:p>
    <w:p w:rsidR="00AF2027" w:rsidRPr="00B04DC3" w:rsidRDefault="00AF2027" w:rsidP="00AF2027">
      <w:pPr>
        <w:pStyle w:val="para"/>
        <w:rPr>
          <w:lang w:val="en-GB"/>
        </w:rPr>
      </w:pPr>
      <w:r w:rsidRPr="00B04DC3">
        <w:rPr>
          <w:lang w:val="en-GB"/>
        </w:rPr>
        <w:t>3.13.</w:t>
      </w:r>
      <w:r w:rsidRPr="00B04DC3">
        <w:rPr>
          <w:lang w:val="en-GB"/>
        </w:rPr>
        <w:tab/>
        <w:t>"</w:t>
      </w:r>
      <w:r w:rsidRPr="00B04DC3">
        <w:rPr>
          <w:i/>
          <w:lang w:val="en-GB"/>
        </w:rPr>
        <w:t>Functionality failure</w:t>
      </w:r>
      <w:r w:rsidRPr="00B04DC3">
        <w:rPr>
          <w:lang w:val="en-GB"/>
        </w:rPr>
        <w:t>" means a malfunction where an output component does not respond to a computer command in the expected way.</w:t>
      </w:r>
    </w:p>
    <w:p w:rsidR="00AF2027" w:rsidRPr="00B04DC3" w:rsidRDefault="00AF2027" w:rsidP="00AF2027">
      <w:pPr>
        <w:pStyle w:val="para"/>
        <w:rPr>
          <w:lang w:val="en-GB"/>
        </w:rPr>
      </w:pPr>
      <w:r w:rsidRPr="00B04DC3">
        <w:rPr>
          <w:lang w:val="en-GB"/>
        </w:rPr>
        <w:t>3.14.</w:t>
      </w:r>
      <w:r w:rsidRPr="00B04DC3">
        <w:rPr>
          <w:lang w:val="en-GB"/>
        </w:rPr>
        <w:tab/>
        <w:t>"</w:t>
      </w:r>
      <w:r w:rsidRPr="00B04DC3">
        <w:rPr>
          <w:i/>
          <w:lang w:val="en-GB"/>
        </w:rPr>
        <w:t xml:space="preserve">Malfunction </w:t>
      </w:r>
      <w:r w:rsidR="00B30D30" w:rsidRPr="00B04DC3">
        <w:rPr>
          <w:i/>
          <w:lang w:val="en-GB"/>
        </w:rPr>
        <w:t>E</w:t>
      </w:r>
      <w:r w:rsidRPr="00B04DC3">
        <w:rPr>
          <w:i/>
          <w:lang w:val="en-GB"/>
        </w:rPr>
        <w:t xml:space="preserve">mission </w:t>
      </w:r>
      <w:r w:rsidR="00B30D30" w:rsidRPr="00B04DC3">
        <w:rPr>
          <w:i/>
          <w:lang w:val="en-GB"/>
        </w:rPr>
        <w:t>C</w:t>
      </w:r>
      <w:r w:rsidRPr="00B04DC3">
        <w:rPr>
          <w:i/>
          <w:lang w:val="en-GB"/>
        </w:rPr>
        <w:t xml:space="preserve">ontrol </w:t>
      </w:r>
      <w:r w:rsidR="00B30D30" w:rsidRPr="00B04DC3">
        <w:rPr>
          <w:i/>
          <w:lang w:val="en-GB"/>
        </w:rPr>
        <w:t>S</w:t>
      </w:r>
      <w:r w:rsidRPr="00B04DC3">
        <w:rPr>
          <w:i/>
          <w:lang w:val="en-GB"/>
        </w:rPr>
        <w:t>trategy (MECS)</w:t>
      </w:r>
      <w:r w:rsidRPr="00B04DC3">
        <w:rPr>
          <w:lang w:val="en-GB"/>
        </w:rPr>
        <w:t>" means a strategy within the engine system that is activated as a result of an emission-related malfunction.</w:t>
      </w:r>
    </w:p>
    <w:p w:rsidR="00AF2027" w:rsidRPr="00B04DC3" w:rsidRDefault="00AF2027" w:rsidP="00AF2027">
      <w:pPr>
        <w:pStyle w:val="para"/>
        <w:rPr>
          <w:lang w:val="en-GB"/>
        </w:rPr>
      </w:pPr>
      <w:r w:rsidRPr="00B04DC3">
        <w:rPr>
          <w:lang w:val="en-GB"/>
        </w:rPr>
        <w:t>3.15.</w:t>
      </w:r>
      <w:r w:rsidRPr="00B04DC3">
        <w:rPr>
          <w:lang w:val="en-GB"/>
        </w:rPr>
        <w:tab/>
        <w:t>"</w:t>
      </w:r>
      <w:r w:rsidRPr="00B04DC3">
        <w:rPr>
          <w:i/>
          <w:lang w:val="en-GB"/>
        </w:rPr>
        <w:t xml:space="preserve">Malfunction </w:t>
      </w:r>
      <w:r w:rsidR="00B30D30" w:rsidRPr="00B04DC3">
        <w:rPr>
          <w:i/>
          <w:lang w:val="en-GB"/>
        </w:rPr>
        <w:t>I</w:t>
      </w:r>
      <w:r w:rsidRPr="00B04DC3">
        <w:rPr>
          <w:i/>
          <w:lang w:val="en-GB"/>
        </w:rPr>
        <w:t>ndicator (MI)</w:t>
      </w:r>
      <w:r w:rsidRPr="00B04DC3">
        <w:rPr>
          <w:lang w:val="en-GB"/>
        </w:rPr>
        <w:t>" is an indicator which clearly informs the driver of the vehicle in the event of a malfunction. The MI is part of the alert system (see "continuous-MI", "on-demand-MI", and "short-MI").</w:t>
      </w:r>
    </w:p>
    <w:p w:rsidR="00AF2027" w:rsidRPr="00B04DC3" w:rsidRDefault="00AF2027" w:rsidP="00AF2027">
      <w:pPr>
        <w:pStyle w:val="para"/>
        <w:rPr>
          <w:lang w:val="en-GB"/>
        </w:rPr>
      </w:pPr>
      <w:r w:rsidRPr="00B04DC3">
        <w:rPr>
          <w:lang w:val="en-GB"/>
        </w:rPr>
        <w:t>3.16.</w:t>
      </w:r>
      <w:r w:rsidRPr="00B04DC3">
        <w:rPr>
          <w:lang w:val="en-GB"/>
        </w:rPr>
        <w:tab/>
        <w:t>"</w:t>
      </w:r>
      <w:r w:rsidRPr="00B04DC3">
        <w:rPr>
          <w:i/>
          <w:lang w:val="en-GB"/>
        </w:rPr>
        <w:t>Malfunction</w:t>
      </w:r>
      <w:r w:rsidRPr="00B04DC3">
        <w:rPr>
          <w:lang w:val="en-GB"/>
        </w:rPr>
        <w:t>" means a failure or deterioration of an engine system, including the OBD system, that may lead either to an increase in any of the regulated pollutants emitted by the engine system or to a reduction in the effectiveness of the OBD system.</w:t>
      </w:r>
    </w:p>
    <w:p w:rsidR="00AF2027" w:rsidRPr="00B04DC3" w:rsidRDefault="00AF2027" w:rsidP="00AF2027">
      <w:pPr>
        <w:pStyle w:val="para"/>
        <w:rPr>
          <w:lang w:val="en-GB"/>
        </w:rPr>
      </w:pPr>
      <w:r w:rsidRPr="00B04DC3">
        <w:rPr>
          <w:lang w:val="en-GB"/>
        </w:rPr>
        <w:t>3.17.</w:t>
      </w:r>
      <w:r w:rsidRPr="00B04DC3">
        <w:rPr>
          <w:lang w:val="en-GB"/>
        </w:rPr>
        <w:tab/>
        <w:t>"</w:t>
      </w:r>
      <w:r w:rsidRPr="00B04DC3">
        <w:rPr>
          <w:i/>
          <w:lang w:val="en-GB"/>
        </w:rPr>
        <w:t>MI status</w:t>
      </w:r>
      <w:r w:rsidRPr="00B04DC3">
        <w:rPr>
          <w:lang w:val="en-GB"/>
        </w:rPr>
        <w:t>" means the command status of the MI, being either continuous-MI, Short-MI, on-demand-MI, or off.</w:t>
      </w:r>
    </w:p>
    <w:p w:rsidR="00AF2027" w:rsidRPr="00B04DC3" w:rsidRDefault="00AF2027" w:rsidP="00AF2027">
      <w:pPr>
        <w:pStyle w:val="para"/>
        <w:rPr>
          <w:lang w:val="en-GB"/>
        </w:rPr>
      </w:pPr>
      <w:r w:rsidRPr="00B04DC3">
        <w:rPr>
          <w:lang w:val="en-GB"/>
        </w:rPr>
        <w:t>3.18.</w:t>
      </w:r>
      <w:r w:rsidRPr="00B04DC3">
        <w:rPr>
          <w:lang w:val="en-GB"/>
        </w:rPr>
        <w:tab/>
        <w:t>"</w:t>
      </w:r>
      <w:r w:rsidRPr="00B04DC3">
        <w:rPr>
          <w:i/>
          <w:lang w:val="en-GB"/>
        </w:rPr>
        <w:t>Monitoring</w:t>
      </w:r>
      <w:r w:rsidRPr="00B04DC3">
        <w:rPr>
          <w:lang w:val="en-GB"/>
        </w:rPr>
        <w:t>" (see "emission threshold monitoring", "performance monitoring", and "total functional failure monitoring")</w:t>
      </w:r>
      <w:r w:rsidR="00B30D30">
        <w:rPr>
          <w:lang w:val="en-GB"/>
        </w:rPr>
        <w:t>.</w:t>
      </w:r>
    </w:p>
    <w:p w:rsidR="00AF2027" w:rsidRPr="00B04DC3" w:rsidRDefault="00AF2027" w:rsidP="00AF2027">
      <w:pPr>
        <w:pStyle w:val="para"/>
        <w:rPr>
          <w:lang w:val="en-GB"/>
        </w:rPr>
      </w:pPr>
      <w:r w:rsidRPr="00B04DC3">
        <w:rPr>
          <w:lang w:val="en-GB"/>
        </w:rPr>
        <w:t>3.19.</w:t>
      </w:r>
      <w:r w:rsidRPr="00B04DC3">
        <w:rPr>
          <w:lang w:val="en-GB"/>
        </w:rPr>
        <w:tab/>
        <w:t>"</w:t>
      </w:r>
      <w:r w:rsidRPr="00B04DC3">
        <w:rPr>
          <w:i/>
          <w:lang w:val="en-GB"/>
        </w:rPr>
        <w:t>OBD test-cycle</w:t>
      </w:r>
      <w:r w:rsidRPr="00B04DC3">
        <w:rPr>
          <w:lang w:val="en-GB"/>
        </w:rPr>
        <w:t>" means the cycle over which an engine system is operated on an engine test-bed to evaluate the response of an OBD system to the presence of a qualified deteriorated component.</w:t>
      </w:r>
    </w:p>
    <w:p w:rsidR="00AF2027" w:rsidRPr="00B04DC3" w:rsidRDefault="00AF2027" w:rsidP="00AF2027">
      <w:pPr>
        <w:pStyle w:val="para"/>
        <w:rPr>
          <w:lang w:val="en-GB"/>
        </w:rPr>
      </w:pPr>
      <w:r w:rsidRPr="00B04DC3">
        <w:rPr>
          <w:lang w:val="en-GB"/>
        </w:rPr>
        <w:t>3.20.</w:t>
      </w:r>
      <w:r w:rsidRPr="00B04DC3">
        <w:rPr>
          <w:lang w:val="en-GB"/>
        </w:rPr>
        <w:tab/>
        <w:t>"</w:t>
      </w:r>
      <w:r w:rsidRPr="00B04DC3">
        <w:rPr>
          <w:i/>
          <w:lang w:val="en-GB"/>
        </w:rPr>
        <w:t>OBD-parent engine system</w:t>
      </w:r>
      <w:r w:rsidRPr="00B04DC3">
        <w:rPr>
          <w:lang w:val="en-GB"/>
        </w:rPr>
        <w:t>" means an engine system that has been selected from an emission-OBD family for which most of its OBD elements of design are representative of that family.</w:t>
      </w:r>
    </w:p>
    <w:p w:rsidR="00AF2027" w:rsidRPr="00B04DC3" w:rsidRDefault="00AF2027" w:rsidP="00AF2027">
      <w:pPr>
        <w:pStyle w:val="para"/>
        <w:rPr>
          <w:lang w:val="en-GB"/>
        </w:rPr>
      </w:pPr>
      <w:r w:rsidRPr="00B04DC3">
        <w:rPr>
          <w:lang w:val="en-GB"/>
        </w:rPr>
        <w:t>3.21.</w:t>
      </w:r>
      <w:r w:rsidRPr="00B04DC3">
        <w:rPr>
          <w:lang w:val="en-GB"/>
        </w:rPr>
        <w:tab/>
        <w:t>"</w:t>
      </w:r>
      <w:r w:rsidRPr="00B04DC3">
        <w:rPr>
          <w:i/>
          <w:lang w:val="en-GB"/>
        </w:rPr>
        <w:t>On-</w:t>
      </w:r>
      <w:r w:rsidR="00B30D30" w:rsidRPr="00B04DC3">
        <w:rPr>
          <w:i/>
          <w:lang w:val="en-GB"/>
        </w:rPr>
        <w:t>B</w:t>
      </w:r>
      <w:r w:rsidRPr="00B04DC3">
        <w:rPr>
          <w:i/>
          <w:lang w:val="en-GB"/>
        </w:rPr>
        <w:t xml:space="preserve">oard </w:t>
      </w:r>
      <w:r w:rsidR="00B30D30" w:rsidRPr="00B04DC3">
        <w:rPr>
          <w:i/>
          <w:lang w:val="en-GB"/>
        </w:rPr>
        <w:t>D</w:t>
      </w:r>
      <w:r w:rsidRPr="00B04DC3">
        <w:rPr>
          <w:i/>
          <w:lang w:val="en-GB"/>
        </w:rPr>
        <w:t>iagnostic system (OBD)</w:t>
      </w:r>
      <w:r w:rsidRPr="00B04DC3">
        <w:rPr>
          <w:lang w:val="en-GB"/>
        </w:rPr>
        <w:t>" means a system on-board a vehicle or engine which has the capability:</w:t>
      </w:r>
    </w:p>
    <w:p w:rsidR="00AF2027" w:rsidRPr="00B04DC3" w:rsidRDefault="00AF2027" w:rsidP="006E1E07">
      <w:pPr>
        <w:pStyle w:val="a"/>
        <w:spacing w:after="80"/>
        <w:rPr>
          <w:lang w:val="en-GB"/>
        </w:rPr>
      </w:pPr>
      <w:r w:rsidRPr="00B04DC3">
        <w:rPr>
          <w:lang w:val="en-GB"/>
        </w:rPr>
        <w:t>(a)</w:t>
      </w:r>
      <w:r w:rsidRPr="00B04DC3">
        <w:rPr>
          <w:lang w:val="en-GB"/>
        </w:rPr>
        <w:tab/>
        <w:t>Of detecting malfunctions, affecting the emission performance of the engine system;</w:t>
      </w:r>
    </w:p>
    <w:p w:rsidR="00AF2027" w:rsidRPr="00B04DC3" w:rsidRDefault="00AF2027" w:rsidP="006E1E07">
      <w:pPr>
        <w:pStyle w:val="a"/>
        <w:spacing w:after="80"/>
        <w:rPr>
          <w:lang w:val="en-GB"/>
        </w:rPr>
      </w:pPr>
      <w:r w:rsidRPr="00B04DC3">
        <w:rPr>
          <w:lang w:val="en-GB"/>
        </w:rPr>
        <w:t>(b)</w:t>
      </w:r>
      <w:r w:rsidRPr="00B04DC3">
        <w:rPr>
          <w:lang w:val="en-GB"/>
        </w:rPr>
        <w:tab/>
        <w:t>Of indicating their occurrence by means of an alert system;</w:t>
      </w:r>
    </w:p>
    <w:p w:rsidR="00AF2027" w:rsidRPr="00B04DC3" w:rsidRDefault="00AF2027" w:rsidP="006E1E07">
      <w:pPr>
        <w:pStyle w:val="a"/>
        <w:spacing w:after="80"/>
        <w:rPr>
          <w:lang w:val="en-GB"/>
        </w:rPr>
      </w:pPr>
      <w:r w:rsidRPr="00B04DC3">
        <w:rPr>
          <w:lang w:val="en-GB"/>
        </w:rPr>
        <w:t>(c)</w:t>
      </w:r>
      <w:r w:rsidRPr="00B04DC3">
        <w:rPr>
          <w:lang w:val="en-GB"/>
        </w:rPr>
        <w:tab/>
        <w:t>Of identifying the likely area of the malfunctions by means of information stored in computer memory and/or communicating that information off-board.</w:t>
      </w:r>
    </w:p>
    <w:p w:rsidR="00AF2027" w:rsidRPr="006E1E07" w:rsidRDefault="00AF2027" w:rsidP="00AF2027">
      <w:pPr>
        <w:pStyle w:val="para"/>
        <w:rPr>
          <w:spacing w:val="-2"/>
          <w:lang w:val="en-GB"/>
        </w:rPr>
      </w:pPr>
      <w:r w:rsidRPr="006E1E07">
        <w:rPr>
          <w:spacing w:val="-2"/>
          <w:lang w:val="en-GB"/>
        </w:rPr>
        <w:t>3.22.</w:t>
      </w:r>
      <w:r w:rsidRPr="006E1E07">
        <w:rPr>
          <w:spacing w:val="-2"/>
          <w:lang w:val="en-GB"/>
        </w:rPr>
        <w:tab/>
        <w:t>"</w:t>
      </w:r>
      <w:r w:rsidRPr="006E1E07">
        <w:rPr>
          <w:i/>
          <w:spacing w:val="-2"/>
          <w:lang w:val="en-GB"/>
        </w:rPr>
        <w:t>On-demand-MI</w:t>
      </w:r>
      <w:r w:rsidRPr="006E1E07">
        <w:rPr>
          <w:spacing w:val="-2"/>
          <w:lang w:val="en-GB"/>
        </w:rPr>
        <w:t>" means the malfunction indicator showing a steady indication in response to a manual demand from the driving position when the key is in the on (run) position with the engine off (ignition on - engine off).</w:t>
      </w:r>
    </w:p>
    <w:p w:rsidR="00AF2027" w:rsidRPr="00B04DC3" w:rsidRDefault="00AF2027" w:rsidP="00AF2027">
      <w:pPr>
        <w:pStyle w:val="para"/>
        <w:rPr>
          <w:lang w:val="en-GB"/>
        </w:rPr>
      </w:pPr>
      <w:r w:rsidRPr="00B04DC3">
        <w:rPr>
          <w:lang w:val="en-GB"/>
        </w:rPr>
        <w:t>3.23.</w:t>
      </w:r>
      <w:r w:rsidRPr="00B04DC3">
        <w:rPr>
          <w:lang w:val="en-GB"/>
        </w:rPr>
        <w:tab/>
        <w:t>"</w:t>
      </w:r>
      <w:r w:rsidRPr="00B04DC3">
        <w:rPr>
          <w:i/>
          <w:lang w:val="en-GB"/>
        </w:rPr>
        <w:t>Operating sequence</w:t>
      </w:r>
      <w:r w:rsidRPr="00B04DC3">
        <w:rPr>
          <w:lang w:val="en-GB"/>
        </w:rPr>
        <w:t>" means a sequence consisting  of an engine start-up, an operating period, an engine shut-off, and the time until the next start-up, where a specific OBD monitor runs to completion and a malfunction would be detected if present.</w:t>
      </w:r>
    </w:p>
    <w:p w:rsidR="00AF2027" w:rsidRPr="00B04DC3" w:rsidRDefault="00AF2027" w:rsidP="00AF2027">
      <w:pPr>
        <w:pStyle w:val="para"/>
        <w:rPr>
          <w:lang w:val="en-GB"/>
        </w:rPr>
      </w:pPr>
      <w:r w:rsidRPr="00B04DC3">
        <w:rPr>
          <w:lang w:val="en-GB"/>
        </w:rPr>
        <w:t>3.24.</w:t>
      </w:r>
      <w:r w:rsidRPr="00B04DC3">
        <w:rPr>
          <w:lang w:val="en-GB"/>
        </w:rPr>
        <w:tab/>
        <w:t>"</w:t>
      </w:r>
      <w:r w:rsidRPr="00B04DC3">
        <w:rPr>
          <w:i/>
          <w:lang w:val="en-GB"/>
        </w:rPr>
        <w:t>Pending DTC</w:t>
      </w:r>
      <w:r w:rsidRPr="00B04DC3">
        <w:rPr>
          <w:lang w:val="en-GB"/>
        </w:rPr>
        <w:t>" means a DTC that is stored by the OBD system because a monitor has detected a situation where a malfunction may be present during the current or last completed operating sequence.</w:t>
      </w:r>
    </w:p>
    <w:p w:rsidR="00AF2027" w:rsidRPr="00B04DC3" w:rsidRDefault="00AF2027" w:rsidP="00AF2027">
      <w:pPr>
        <w:pStyle w:val="para"/>
        <w:rPr>
          <w:lang w:val="en-GB"/>
        </w:rPr>
      </w:pPr>
      <w:r w:rsidRPr="00B04DC3">
        <w:rPr>
          <w:lang w:val="en-GB"/>
        </w:rPr>
        <w:t>3.25.</w:t>
      </w:r>
      <w:r w:rsidRPr="00B04DC3">
        <w:rPr>
          <w:lang w:val="en-GB"/>
        </w:rPr>
        <w:tab/>
        <w:t>"</w:t>
      </w:r>
      <w:r w:rsidRPr="00B04DC3">
        <w:rPr>
          <w:i/>
          <w:lang w:val="en-GB"/>
        </w:rPr>
        <w:t>Performance monitoring</w:t>
      </w:r>
      <w:r w:rsidRPr="00B04DC3">
        <w:rPr>
          <w:lang w:val="en-GB"/>
        </w:rPr>
        <w:t xml:space="preserve">" means malfunction monitoring that consists of functionality checks and monitoring parameters that are not correlated to emission thresholds. Such monitoring is typically done on components or systems to verify that they are operating within the proper range (e.g. differential pressure in case of a </w:t>
      </w:r>
      <w:r w:rsidR="00B30D30">
        <w:rPr>
          <w:lang w:val="en-GB"/>
        </w:rPr>
        <w:t>Diesel Particulate Filter (</w:t>
      </w:r>
      <w:r w:rsidRPr="00B04DC3">
        <w:rPr>
          <w:lang w:val="en-GB"/>
        </w:rPr>
        <w:t>DPF</w:t>
      </w:r>
      <w:r w:rsidR="00B30D30">
        <w:rPr>
          <w:lang w:val="en-GB"/>
        </w:rPr>
        <w:t>)</w:t>
      </w:r>
      <w:r w:rsidRPr="00B04DC3">
        <w:rPr>
          <w:lang w:val="en-GB"/>
        </w:rPr>
        <w:t>).</w:t>
      </w:r>
    </w:p>
    <w:p w:rsidR="00AF2027" w:rsidRPr="00B04DC3" w:rsidRDefault="00AF2027" w:rsidP="00AF2027">
      <w:pPr>
        <w:pStyle w:val="para"/>
        <w:rPr>
          <w:lang w:val="en-GB"/>
        </w:rPr>
      </w:pPr>
      <w:r w:rsidRPr="00B04DC3">
        <w:rPr>
          <w:lang w:val="en-GB"/>
        </w:rPr>
        <w:t>3.26.</w:t>
      </w:r>
      <w:r w:rsidRPr="00B04DC3">
        <w:rPr>
          <w:lang w:val="en-GB"/>
        </w:rPr>
        <w:tab/>
        <w:t>"</w:t>
      </w:r>
      <w:r w:rsidRPr="00B04DC3">
        <w:rPr>
          <w:i/>
          <w:lang w:val="en-GB"/>
        </w:rPr>
        <w:t>Potential DTC</w:t>
      </w:r>
      <w:r w:rsidRPr="00B04DC3">
        <w:rPr>
          <w:lang w:val="en-GB"/>
        </w:rPr>
        <w:t>" means a DTC that is stored by the OBD system because a monitor has detected a situation where a malfunction may be present but requires further evaluation to be confirmed. A potential DTC is a pending DTC which is not a confirmed and active DTC.</w:t>
      </w:r>
    </w:p>
    <w:p w:rsidR="00AF2027" w:rsidRPr="00B04DC3" w:rsidRDefault="00AF2027" w:rsidP="00AF2027">
      <w:pPr>
        <w:pStyle w:val="para"/>
        <w:rPr>
          <w:lang w:val="en-GB"/>
        </w:rPr>
      </w:pPr>
      <w:r w:rsidRPr="00B04DC3">
        <w:rPr>
          <w:lang w:val="en-GB"/>
        </w:rPr>
        <w:t>3.27.</w:t>
      </w:r>
      <w:r w:rsidRPr="00B04DC3">
        <w:rPr>
          <w:lang w:val="en-GB"/>
        </w:rPr>
        <w:tab/>
        <w:t>"</w:t>
      </w:r>
      <w:r w:rsidRPr="00B04DC3">
        <w:rPr>
          <w:i/>
          <w:lang w:val="en-GB"/>
        </w:rPr>
        <w:t>Previously active DTC</w:t>
      </w:r>
      <w:r w:rsidRPr="00B04DC3">
        <w:rPr>
          <w:lang w:val="en-GB"/>
        </w:rPr>
        <w:t>" means a formerly confirmed and active DTC that remains stored after the OBD system has concluded that the malfunction that caused the DTC is no longer present.</w:t>
      </w:r>
    </w:p>
    <w:p w:rsidR="00AF2027" w:rsidRPr="00B04DC3" w:rsidRDefault="00AF2027" w:rsidP="00AF2027">
      <w:pPr>
        <w:pStyle w:val="para"/>
        <w:rPr>
          <w:lang w:val="en-GB"/>
        </w:rPr>
      </w:pPr>
      <w:r w:rsidRPr="00B04DC3">
        <w:rPr>
          <w:lang w:val="en-GB"/>
        </w:rPr>
        <w:t>3.28.</w:t>
      </w:r>
      <w:r w:rsidRPr="00B04DC3">
        <w:rPr>
          <w:lang w:val="en-GB"/>
        </w:rPr>
        <w:tab/>
        <w:t>"</w:t>
      </w:r>
      <w:r w:rsidRPr="00B04DC3">
        <w:rPr>
          <w:i/>
          <w:lang w:val="en-GB"/>
        </w:rPr>
        <w:t xml:space="preserve">Qualified </w:t>
      </w:r>
      <w:r w:rsidR="00B30D30" w:rsidRPr="00B04DC3">
        <w:rPr>
          <w:i/>
          <w:lang w:val="en-GB"/>
        </w:rPr>
        <w:t>D</w:t>
      </w:r>
      <w:r w:rsidRPr="00B04DC3">
        <w:rPr>
          <w:i/>
          <w:lang w:val="en-GB"/>
        </w:rPr>
        <w:t xml:space="preserve">eteriorated </w:t>
      </w:r>
      <w:r w:rsidR="00B30D30" w:rsidRPr="00B04DC3">
        <w:rPr>
          <w:i/>
          <w:lang w:val="en-GB"/>
        </w:rPr>
        <w:t>C</w:t>
      </w:r>
      <w:r w:rsidRPr="00B04DC3">
        <w:rPr>
          <w:i/>
          <w:lang w:val="en-GB"/>
        </w:rPr>
        <w:t>omponent or system (QDC)</w:t>
      </w:r>
      <w:r w:rsidRPr="00B04DC3">
        <w:rPr>
          <w:lang w:val="en-GB"/>
        </w:rPr>
        <w:t>"means a component or system that has been intentionally deteriorated (e.g. accelerated aging) and/or manipulated in a controlled manner and which has been accepted by the authorities according to the provisions set in this annex.</w:t>
      </w:r>
    </w:p>
    <w:p w:rsidR="00AF2027" w:rsidRPr="00B04DC3" w:rsidRDefault="00AF2027" w:rsidP="00AF2027">
      <w:pPr>
        <w:pStyle w:val="para"/>
        <w:rPr>
          <w:lang w:val="en-GB"/>
        </w:rPr>
      </w:pPr>
      <w:r w:rsidRPr="00B04DC3">
        <w:rPr>
          <w:lang w:val="en-GB"/>
        </w:rPr>
        <w:t>3.29.</w:t>
      </w:r>
      <w:r w:rsidRPr="00B04DC3">
        <w:rPr>
          <w:lang w:val="en-GB"/>
        </w:rPr>
        <w:tab/>
        <w:t>"</w:t>
      </w:r>
      <w:r w:rsidRPr="00B04DC3">
        <w:rPr>
          <w:i/>
          <w:lang w:val="en-GB"/>
        </w:rPr>
        <w:t>Rationality failure</w:t>
      </w:r>
      <w:r w:rsidRPr="00B04DC3">
        <w:rPr>
          <w:lang w:val="en-GB"/>
        </w:rPr>
        <w:t>" means a malfunction where the signal from an individual sensor or component is at variance with that expected when assessed against signals available from other sensors or components within the control system. Rationality failures include malfunctions that lead to the measured signal (i.e. voltages, currents, frequencies, etc.) being inside the range where the transfer function of the sensor is designed to operate.</w:t>
      </w:r>
    </w:p>
    <w:p w:rsidR="00394348" w:rsidRPr="00B04DC3" w:rsidRDefault="00394348" w:rsidP="00AF2027">
      <w:pPr>
        <w:pStyle w:val="para"/>
        <w:rPr>
          <w:lang w:val="en-GB"/>
        </w:rPr>
      </w:pPr>
      <w:r w:rsidRPr="00B04DC3">
        <w:rPr>
          <w:lang w:val="en-GB"/>
        </w:rPr>
        <w:t>3.30.</w:t>
      </w:r>
      <w:r w:rsidRPr="00B04DC3">
        <w:rPr>
          <w:lang w:val="en-GB"/>
        </w:rPr>
        <w:tab/>
        <w:t>"</w:t>
      </w:r>
      <w:r w:rsidRPr="00B04DC3">
        <w:rPr>
          <w:i/>
          <w:lang w:val="en-GB"/>
        </w:rPr>
        <w:t>Readiness</w:t>
      </w:r>
      <w:r w:rsidRPr="00B04DC3">
        <w:rPr>
          <w:lang w:val="en-GB"/>
        </w:rPr>
        <w:t>" means a status indicating whether a monitor or a group of monitors have run since the last erasing by an external request or command (for example through an OBD scan-tool).</w:t>
      </w:r>
    </w:p>
    <w:p w:rsidR="00AF2027" w:rsidRPr="00B04DC3" w:rsidRDefault="00AF2027" w:rsidP="00AF2027">
      <w:pPr>
        <w:pStyle w:val="para"/>
        <w:rPr>
          <w:lang w:val="en-GB"/>
        </w:rPr>
      </w:pPr>
      <w:r w:rsidRPr="00B04DC3">
        <w:rPr>
          <w:lang w:val="en-GB"/>
        </w:rPr>
        <w:t>3.31.</w:t>
      </w:r>
      <w:r w:rsidRPr="00B04DC3">
        <w:rPr>
          <w:lang w:val="en-GB"/>
        </w:rPr>
        <w:tab/>
        <w:t>"</w:t>
      </w:r>
      <w:r w:rsidRPr="00B04DC3">
        <w:rPr>
          <w:i/>
          <w:lang w:val="en-GB"/>
        </w:rPr>
        <w:t>Scan-tool</w:t>
      </w:r>
      <w:r w:rsidRPr="00B04DC3">
        <w:rPr>
          <w:lang w:val="en-GB"/>
        </w:rPr>
        <w:t>" means an external test equipment used for standardised off-board communication with the OBD system in accordance with the requirements of this annex.</w:t>
      </w:r>
    </w:p>
    <w:p w:rsidR="00AF2027" w:rsidRPr="00B04DC3" w:rsidRDefault="00AF2027" w:rsidP="00AF2027">
      <w:pPr>
        <w:pStyle w:val="para"/>
        <w:rPr>
          <w:lang w:val="en-GB"/>
        </w:rPr>
      </w:pPr>
      <w:r w:rsidRPr="00B04DC3">
        <w:rPr>
          <w:lang w:val="en-GB"/>
        </w:rPr>
        <w:t>3.32.</w:t>
      </w:r>
      <w:r w:rsidRPr="00B04DC3">
        <w:rPr>
          <w:lang w:val="en-GB"/>
        </w:rPr>
        <w:tab/>
        <w:t>"</w:t>
      </w:r>
      <w:r w:rsidRPr="00B04DC3">
        <w:rPr>
          <w:i/>
          <w:lang w:val="en-GB"/>
        </w:rPr>
        <w:t>Short-MI</w:t>
      </w:r>
      <w:r w:rsidRPr="00B04DC3">
        <w:rPr>
          <w:lang w:val="en-GB"/>
        </w:rPr>
        <w:t>" means the malfunction indicator showing a steady indication from the time the key is moved to on (run) position and the engine is started (ignition on - engine on) and extinguishing after 15 seconds or the key is moved to off, whichever occurs first.</w:t>
      </w:r>
    </w:p>
    <w:p w:rsidR="00AF2027" w:rsidRPr="00B04DC3" w:rsidRDefault="00AF2027" w:rsidP="00AF2027">
      <w:pPr>
        <w:pStyle w:val="para"/>
        <w:rPr>
          <w:lang w:val="en-GB"/>
        </w:rPr>
      </w:pPr>
      <w:r w:rsidRPr="00B04DC3">
        <w:rPr>
          <w:lang w:val="en-GB"/>
        </w:rPr>
        <w:t>3.33.</w:t>
      </w:r>
      <w:r w:rsidRPr="00B04DC3">
        <w:rPr>
          <w:lang w:val="en-GB"/>
        </w:rPr>
        <w:tab/>
        <w:t>"</w:t>
      </w:r>
      <w:r w:rsidRPr="00B04DC3">
        <w:rPr>
          <w:i/>
          <w:lang w:val="en-GB"/>
        </w:rPr>
        <w:t>Software calibration identification</w:t>
      </w:r>
      <w:r w:rsidRPr="00B04DC3">
        <w:rPr>
          <w:lang w:val="en-GB"/>
        </w:rPr>
        <w:t>" means a series of alphanumeric characters that identifies the emission-related calibration / software version(s) installed in the engine system.</w:t>
      </w:r>
    </w:p>
    <w:p w:rsidR="00AF2027" w:rsidRPr="00B04DC3" w:rsidRDefault="00AF2027" w:rsidP="00AF2027">
      <w:pPr>
        <w:pStyle w:val="para"/>
        <w:rPr>
          <w:lang w:val="en-GB"/>
        </w:rPr>
      </w:pPr>
      <w:r w:rsidRPr="00B04DC3">
        <w:rPr>
          <w:lang w:val="en-GB"/>
        </w:rPr>
        <w:t>3.34.</w:t>
      </w:r>
      <w:r w:rsidRPr="00B04DC3">
        <w:rPr>
          <w:lang w:val="en-GB"/>
        </w:rPr>
        <w:tab/>
        <w:t>"</w:t>
      </w:r>
      <w:r w:rsidRPr="00B04DC3">
        <w:rPr>
          <w:i/>
          <w:lang w:val="en-GB"/>
        </w:rPr>
        <w:t>Total functional failure monitoring</w:t>
      </w:r>
      <w:r w:rsidRPr="00B04DC3">
        <w:rPr>
          <w:lang w:val="en-GB"/>
        </w:rPr>
        <w:t>" means monitoring a malfunction which is leading to a complete loss of the desired function of a system.</w:t>
      </w:r>
    </w:p>
    <w:p w:rsidR="00AF2027" w:rsidRPr="00B04DC3" w:rsidRDefault="00AF2027" w:rsidP="00AF2027">
      <w:pPr>
        <w:pStyle w:val="para"/>
        <w:rPr>
          <w:lang w:val="en-GB"/>
        </w:rPr>
      </w:pPr>
      <w:r w:rsidRPr="00B04DC3">
        <w:rPr>
          <w:lang w:val="en-GB"/>
        </w:rPr>
        <w:t>3.35.</w:t>
      </w:r>
      <w:r w:rsidRPr="00B04DC3">
        <w:rPr>
          <w:lang w:val="en-GB"/>
        </w:rPr>
        <w:tab/>
        <w:t>"</w:t>
      </w:r>
      <w:r w:rsidRPr="00B04DC3">
        <w:rPr>
          <w:i/>
          <w:lang w:val="en-GB"/>
        </w:rPr>
        <w:t>Warm-up cycle</w:t>
      </w:r>
      <w:r w:rsidRPr="00B04DC3">
        <w:rPr>
          <w:lang w:val="en-GB"/>
        </w:rPr>
        <w:t>" means sufficient engine operation such that the coolant temperature has risen by at least 22 K (22 °C / 40 °F) from engine starting and reaches a minimum temperature of 333 K (60 °C / 140 °F)</w:t>
      </w:r>
      <w:r w:rsidR="00677F11" w:rsidRPr="00B04DC3">
        <w:rPr>
          <w:lang w:val="en-GB"/>
        </w:rPr>
        <w:t>.</w:t>
      </w:r>
      <w:r w:rsidRPr="00B04DC3">
        <w:rPr>
          <w:rStyle w:val="FootnoteReference"/>
          <w:lang w:val="en-GB"/>
        </w:rPr>
        <w:footnoteReference w:id="42"/>
      </w:r>
    </w:p>
    <w:p w:rsidR="00AF2027" w:rsidRPr="00B04DC3" w:rsidRDefault="00AF2027" w:rsidP="00AF2027">
      <w:pPr>
        <w:pStyle w:val="para"/>
        <w:rPr>
          <w:lang w:val="en-GB"/>
        </w:rPr>
      </w:pPr>
      <w:bookmarkStart w:id="877" w:name="_Ref115044153"/>
      <w:bookmarkStart w:id="878" w:name="_Toc118223008"/>
      <w:bookmarkEnd w:id="876"/>
      <w:r w:rsidRPr="00B04DC3">
        <w:rPr>
          <w:lang w:val="en-GB"/>
        </w:rPr>
        <w:t>3.36.</w:t>
      </w:r>
      <w:r w:rsidRPr="00B04DC3">
        <w:rPr>
          <w:lang w:val="en-GB"/>
        </w:rPr>
        <w:tab/>
        <w:t>Abbreviations</w:t>
      </w:r>
    </w:p>
    <w:p w:rsidR="00AF2027" w:rsidRPr="00B04DC3" w:rsidRDefault="00AF2027" w:rsidP="00AF2027">
      <w:pPr>
        <w:pStyle w:val="para"/>
        <w:rPr>
          <w:lang w:val="en-GB"/>
        </w:rPr>
      </w:pPr>
      <w:r w:rsidRPr="00B04DC3">
        <w:rPr>
          <w:lang w:val="en-GB"/>
        </w:rPr>
        <w:tab/>
        <w:t>CV</w:t>
      </w:r>
      <w:r w:rsidRPr="00B04DC3">
        <w:rPr>
          <w:lang w:val="en-GB"/>
        </w:rPr>
        <w:tab/>
        <w:t>Crankcase Ventilation</w:t>
      </w:r>
    </w:p>
    <w:p w:rsidR="00AF2027" w:rsidRPr="00B04DC3" w:rsidRDefault="00AF2027" w:rsidP="00AF2027">
      <w:pPr>
        <w:pStyle w:val="para"/>
        <w:rPr>
          <w:lang w:val="en-GB"/>
        </w:rPr>
      </w:pPr>
      <w:r w:rsidRPr="00B04DC3">
        <w:rPr>
          <w:lang w:val="en-GB"/>
        </w:rPr>
        <w:tab/>
        <w:t>DOC</w:t>
      </w:r>
      <w:r w:rsidRPr="00B04DC3">
        <w:rPr>
          <w:lang w:val="en-GB"/>
        </w:rPr>
        <w:tab/>
        <w:t>Diesel Oxidation Catalyst</w:t>
      </w:r>
    </w:p>
    <w:p w:rsidR="00AF2027" w:rsidRPr="00B04DC3" w:rsidRDefault="00AF2027" w:rsidP="00AF2027">
      <w:pPr>
        <w:pStyle w:val="para"/>
        <w:tabs>
          <w:tab w:val="left" w:pos="2268"/>
        </w:tabs>
        <w:ind w:left="2835" w:hanging="1701"/>
        <w:rPr>
          <w:lang w:val="en-GB"/>
        </w:rPr>
      </w:pPr>
      <w:r w:rsidRPr="00B04DC3">
        <w:rPr>
          <w:lang w:val="en-GB"/>
        </w:rPr>
        <w:tab/>
        <w:t>DPF</w:t>
      </w:r>
      <w:r w:rsidRPr="00B04DC3">
        <w:rPr>
          <w:lang w:val="en-GB"/>
        </w:rPr>
        <w:tab/>
        <w:t>Diesel Particulate Filter or Particulate Trap including catalyzed DPFs and Continuously Regenerating Traps (CRT)</w:t>
      </w:r>
    </w:p>
    <w:p w:rsidR="00AF2027" w:rsidRPr="00B04DC3" w:rsidRDefault="00AF2027" w:rsidP="00AF2027">
      <w:pPr>
        <w:pStyle w:val="para"/>
        <w:rPr>
          <w:lang w:val="en-GB"/>
        </w:rPr>
      </w:pPr>
      <w:r w:rsidRPr="00B04DC3">
        <w:rPr>
          <w:lang w:val="en-GB"/>
        </w:rPr>
        <w:tab/>
        <w:t>DTC</w:t>
      </w:r>
      <w:r w:rsidRPr="00B04DC3">
        <w:rPr>
          <w:lang w:val="en-GB"/>
        </w:rPr>
        <w:tab/>
        <w:t>Diagnostic trouble code</w:t>
      </w:r>
    </w:p>
    <w:p w:rsidR="00AF2027" w:rsidRPr="00B04DC3" w:rsidRDefault="00AF2027" w:rsidP="00AF2027">
      <w:pPr>
        <w:pStyle w:val="para"/>
        <w:rPr>
          <w:lang w:val="en-GB"/>
        </w:rPr>
      </w:pPr>
      <w:r w:rsidRPr="00B04DC3">
        <w:rPr>
          <w:lang w:val="en-GB"/>
        </w:rPr>
        <w:tab/>
        <w:t>EGR</w:t>
      </w:r>
      <w:r w:rsidRPr="00B04DC3">
        <w:rPr>
          <w:lang w:val="en-GB"/>
        </w:rPr>
        <w:tab/>
        <w:t>Exhaust Gas Recirculation</w:t>
      </w:r>
    </w:p>
    <w:p w:rsidR="00AF2027" w:rsidRPr="00B04DC3" w:rsidRDefault="00AF2027" w:rsidP="00AF2027">
      <w:pPr>
        <w:pStyle w:val="para"/>
        <w:rPr>
          <w:lang w:val="en-GB"/>
        </w:rPr>
      </w:pPr>
      <w:r w:rsidRPr="00B04DC3">
        <w:rPr>
          <w:lang w:val="en-GB"/>
        </w:rPr>
        <w:tab/>
        <w:t>HC</w:t>
      </w:r>
      <w:r w:rsidRPr="00B04DC3">
        <w:rPr>
          <w:lang w:val="en-GB"/>
        </w:rPr>
        <w:tab/>
        <w:t>Hydrocarbon</w:t>
      </w:r>
    </w:p>
    <w:p w:rsidR="00AF2027" w:rsidRPr="00B04DC3" w:rsidRDefault="00AF2027" w:rsidP="00AF2027">
      <w:pPr>
        <w:pStyle w:val="para"/>
        <w:rPr>
          <w:lang w:val="en-GB"/>
        </w:rPr>
      </w:pPr>
      <w:r w:rsidRPr="00B04DC3">
        <w:rPr>
          <w:lang w:val="en-GB"/>
        </w:rPr>
        <w:tab/>
        <w:t>LNT</w:t>
      </w:r>
      <w:r w:rsidRPr="00B04DC3">
        <w:rPr>
          <w:lang w:val="en-GB"/>
        </w:rPr>
        <w:tab/>
        <w:t>Lean NO</w:t>
      </w:r>
      <w:r w:rsidRPr="00B04DC3">
        <w:rPr>
          <w:vertAlign w:val="subscript"/>
          <w:lang w:val="en-GB"/>
        </w:rPr>
        <w:t>x</w:t>
      </w:r>
      <w:r w:rsidRPr="00B04DC3">
        <w:rPr>
          <w:lang w:val="en-GB"/>
        </w:rPr>
        <w:t xml:space="preserve"> Trap (or NO</w:t>
      </w:r>
      <w:r w:rsidRPr="00B04DC3">
        <w:rPr>
          <w:vertAlign w:val="subscript"/>
          <w:lang w:val="en-GB"/>
        </w:rPr>
        <w:t>x</w:t>
      </w:r>
      <w:r w:rsidRPr="00B04DC3">
        <w:rPr>
          <w:lang w:val="en-GB"/>
        </w:rPr>
        <w:t xml:space="preserve"> absorber)</w:t>
      </w:r>
    </w:p>
    <w:p w:rsidR="00AF2027" w:rsidRPr="00B04DC3" w:rsidRDefault="00AF2027" w:rsidP="00AF2027">
      <w:pPr>
        <w:pStyle w:val="para"/>
        <w:rPr>
          <w:lang w:val="en-GB"/>
        </w:rPr>
      </w:pPr>
      <w:r w:rsidRPr="00B04DC3">
        <w:rPr>
          <w:lang w:val="en-GB"/>
        </w:rPr>
        <w:tab/>
        <w:t>LPG</w:t>
      </w:r>
      <w:r w:rsidRPr="00B04DC3">
        <w:rPr>
          <w:lang w:val="en-GB"/>
        </w:rPr>
        <w:tab/>
        <w:t>Liquefied Petroleum Gas</w:t>
      </w:r>
    </w:p>
    <w:p w:rsidR="00AF2027" w:rsidRPr="00B04DC3" w:rsidRDefault="00AF2027" w:rsidP="00AF2027">
      <w:pPr>
        <w:pStyle w:val="para"/>
        <w:rPr>
          <w:lang w:val="en-GB"/>
        </w:rPr>
      </w:pPr>
      <w:r w:rsidRPr="00B04DC3">
        <w:rPr>
          <w:lang w:val="en-GB"/>
        </w:rPr>
        <w:tab/>
        <w:t>MECS</w:t>
      </w:r>
      <w:r w:rsidRPr="00B04DC3">
        <w:rPr>
          <w:lang w:val="en-GB"/>
        </w:rPr>
        <w:tab/>
        <w:t>Malfunction Emission Control Strategy</w:t>
      </w:r>
    </w:p>
    <w:p w:rsidR="00AF2027" w:rsidRPr="00B04DC3" w:rsidRDefault="00AF2027" w:rsidP="00AF2027">
      <w:pPr>
        <w:pStyle w:val="para"/>
        <w:rPr>
          <w:lang w:val="en-GB"/>
        </w:rPr>
      </w:pPr>
      <w:r w:rsidRPr="00B04DC3">
        <w:rPr>
          <w:lang w:val="en-GB"/>
        </w:rPr>
        <w:tab/>
        <w:t>NG</w:t>
      </w:r>
      <w:r w:rsidRPr="00B04DC3">
        <w:rPr>
          <w:lang w:val="en-GB"/>
        </w:rPr>
        <w:tab/>
        <w:t>Natural Gas</w:t>
      </w:r>
    </w:p>
    <w:p w:rsidR="00AF2027" w:rsidRPr="00B04DC3" w:rsidRDefault="00AF2027" w:rsidP="00AF2027">
      <w:pPr>
        <w:pStyle w:val="para"/>
        <w:rPr>
          <w:lang w:val="en-GB"/>
        </w:rPr>
      </w:pPr>
      <w:r w:rsidRPr="00B04DC3">
        <w:rPr>
          <w:lang w:val="en-GB"/>
        </w:rPr>
        <w:tab/>
        <w:t>NO</w:t>
      </w:r>
      <w:r w:rsidRPr="00B04DC3">
        <w:rPr>
          <w:vertAlign w:val="subscript"/>
          <w:lang w:val="en-GB"/>
        </w:rPr>
        <w:t>x</w:t>
      </w:r>
      <w:r w:rsidRPr="00B04DC3">
        <w:rPr>
          <w:lang w:val="en-GB"/>
        </w:rPr>
        <w:tab/>
        <w:t>Oxides of Nitrogen</w:t>
      </w:r>
    </w:p>
    <w:p w:rsidR="00AF2027" w:rsidRPr="00B04DC3" w:rsidRDefault="00AF2027" w:rsidP="00AF2027">
      <w:pPr>
        <w:pStyle w:val="para"/>
        <w:rPr>
          <w:lang w:val="en-GB"/>
        </w:rPr>
      </w:pPr>
      <w:r w:rsidRPr="00B04DC3">
        <w:rPr>
          <w:lang w:val="en-GB"/>
        </w:rPr>
        <w:tab/>
        <w:t>OTL</w:t>
      </w:r>
      <w:r w:rsidRPr="00B04DC3">
        <w:rPr>
          <w:lang w:val="en-GB"/>
        </w:rPr>
        <w:tab/>
        <w:t>OBD Threshold Limit</w:t>
      </w:r>
    </w:p>
    <w:p w:rsidR="00AF2027" w:rsidRPr="00B04DC3" w:rsidRDefault="00AF2027" w:rsidP="00AF2027">
      <w:pPr>
        <w:pStyle w:val="para"/>
        <w:rPr>
          <w:lang w:val="en-GB"/>
        </w:rPr>
      </w:pPr>
      <w:r w:rsidRPr="00B04DC3">
        <w:rPr>
          <w:lang w:val="en-GB"/>
        </w:rPr>
        <w:tab/>
        <w:t>PM</w:t>
      </w:r>
      <w:r w:rsidRPr="00B04DC3">
        <w:rPr>
          <w:lang w:val="en-GB"/>
        </w:rPr>
        <w:tab/>
        <w:t>Particulate Matter</w:t>
      </w:r>
    </w:p>
    <w:p w:rsidR="00AF2027" w:rsidRPr="00B04DC3" w:rsidRDefault="00AF2027" w:rsidP="00AF2027">
      <w:pPr>
        <w:pStyle w:val="para"/>
        <w:rPr>
          <w:lang w:val="en-GB"/>
        </w:rPr>
      </w:pPr>
      <w:r w:rsidRPr="00B04DC3">
        <w:rPr>
          <w:lang w:val="en-GB"/>
        </w:rPr>
        <w:tab/>
        <w:t>SCR</w:t>
      </w:r>
      <w:r w:rsidRPr="00B04DC3">
        <w:rPr>
          <w:lang w:val="en-GB"/>
        </w:rPr>
        <w:tab/>
        <w:t>Selective Catalytic Reduction</w:t>
      </w:r>
    </w:p>
    <w:p w:rsidR="00AF2027" w:rsidRPr="00B04DC3" w:rsidRDefault="00AF2027" w:rsidP="00AF2027">
      <w:pPr>
        <w:pStyle w:val="para"/>
        <w:rPr>
          <w:lang w:val="en-GB"/>
        </w:rPr>
      </w:pPr>
      <w:r w:rsidRPr="00B04DC3">
        <w:rPr>
          <w:lang w:val="en-GB"/>
        </w:rPr>
        <w:tab/>
        <w:t>SW</w:t>
      </w:r>
      <w:r w:rsidRPr="00B04DC3">
        <w:rPr>
          <w:lang w:val="en-GB"/>
        </w:rPr>
        <w:tab/>
        <w:t>Screen Wipers</w:t>
      </w:r>
    </w:p>
    <w:p w:rsidR="00AF2027" w:rsidRPr="00B04DC3" w:rsidRDefault="00AF2027" w:rsidP="00AF2027">
      <w:pPr>
        <w:pStyle w:val="para"/>
        <w:rPr>
          <w:lang w:val="en-GB"/>
        </w:rPr>
      </w:pPr>
      <w:r w:rsidRPr="00B04DC3">
        <w:rPr>
          <w:lang w:val="en-GB"/>
        </w:rPr>
        <w:tab/>
        <w:t>TFF</w:t>
      </w:r>
      <w:r w:rsidRPr="00B04DC3">
        <w:rPr>
          <w:lang w:val="en-GB"/>
        </w:rPr>
        <w:tab/>
        <w:t>Total Functional Failure monitoring</w:t>
      </w:r>
    </w:p>
    <w:p w:rsidR="00AF2027" w:rsidRPr="00B04DC3" w:rsidRDefault="00AF2027" w:rsidP="00AF2027">
      <w:pPr>
        <w:pStyle w:val="para"/>
        <w:rPr>
          <w:lang w:val="en-GB"/>
        </w:rPr>
      </w:pPr>
      <w:r w:rsidRPr="00B04DC3">
        <w:rPr>
          <w:lang w:val="en-GB"/>
        </w:rPr>
        <w:tab/>
        <w:t>VGT</w:t>
      </w:r>
      <w:r w:rsidRPr="00B04DC3">
        <w:rPr>
          <w:lang w:val="en-GB"/>
        </w:rPr>
        <w:tab/>
        <w:t>Variable Geometry Turbocharger</w:t>
      </w:r>
    </w:p>
    <w:p w:rsidR="00AF2027" w:rsidRPr="00B04DC3" w:rsidRDefault="00AF2027" w:rsidP="00AF2027">
      <w:pPr>
        <w:pStyle w:val="para"/>
        <w:rPr>
          <w:lang w:val="en-GB"/>
        </w:rPr>
      </w:pPr>
      <w:r w:rsidRPr="00B04DC3">
        <w:rPr>
          <w:lang w:val="en-GB"/>
        </w:rPr>
        <w:tab/>
        <w:t>VVT</w:t>
      </w:r>
      <w:r w:rsidRPr="00B04DC3">
        <w:rPr>
          <w:lang w:val="en-GB"/>
        </w:rPr>
        <w:tab/>
        <w:t>Variable Valve Timing</w:t>
      </w:r>
    </w:p>
    <w:p w:rsidR="00AF2027" w:rsidRPr="00B04DC3" w:rsidRDefault="00AF2027" w:rsidP="00AF2027">
      <w:pPr>
        <w:pStyle w:val="para"/>
        <w:rPr>
          <w:lang w:val="en-GB"/>
        </w:rPr>
      </w:pPr>
      <w:r w:rsidRPr="00B04DC3">
        <w:rPr>
          <w:lang w:val="en-GB"/>
        </w:rPr>
        <w:t>4.</w:t>
      </w:r>
      <w:r w:rsidRPr="00B04DC3">
        <w:rPr>
          <w:lang w:val="en-GB"/>
        </w:rPr>
        <w:tab/>
      </w:r>
      <w:bookmarkEnd w:id="877"/>
      <w:bookmarkEnd w:id="878"/>
      <w:r w:rsidRPr="00B04DC3">
        <w:rPr>
          <w:lang w:val="en-GB"/>
        </w:rPr>
        <w:t>General requirements</w:t>
      </w:r>
    </w:p>
    <w:p w:rsidR="00AF2027" w:rsidRPr="00B04DC3" w:rsidRDefault="00AF2027" w:rsidP="00AF2027">
      <w:pPr>
        <w:pStyle w:val="para"/>
        <w:rPr>
          <w:iCs/>
          <w:lang w:val="en-GB"/>
        </w:rPr>
      </w:pPr>
      <w:r w:rsidRPr="00B04DC3">
        <w:rPr>
          <w:iCs/>
          <w:lang w:val="en-GB"/>
        </w:rPr>
        <w:tab/>
        <w:t>In the context of this annex, the OBD system shall have the capability of detecting malfunctions, of indicating their occurrence by means of a malfunction indicator, of identifying the likely area of the malfunctions by means of information stored in computer memory, and communicating that information off-board.</w:t>
      </w:r>
    </w:p>
    <w:p w:rsidR="00AF2027" w:rsidRPr="00B04DC3" w:rsidRDefault="00AF2027" w:rsidP="00AF2027">
      <w:pPr>
        <w:pStyle w:val="para"/>
        <w:rPr>
          <w:lang w:val="en-GB"/>
        </w:rPr>
      </w:pPr>
      <w:bookmarkStart w:id="879" w:name="_Toc118223009"/>
      <w:r w:rsidRPr="00B04DC3">
        <w:rPr>
          <w:lang w:val="en-GB"/>
        </w:rPr>
        <w:tab/>
        <w:t xml:space="preserve">The OBD system shall be designed and constructed so as to enable it to identify types of malfunctions over the complete life of the vehicle/engine. In achieving this objective, the </w:t>
      </w:r>
      <w:r w:rsidR="002D4D9D">
        <w:rPr>
          <w:lang w:val="en-GB"/>
        </w:rPr>
        <w:t xml:space="preserve">Type </w:t>
      </w:r>
      <w:r w:rsidRPr="00B04DC3">
        <w:rPr>
          <w:lang w:val="en-GB"/>
        </w:rPr>
        <w:t>Approval Authority will recognize that engines which have been used in excess of their regulatory useful life may show some deterioration in OBD system performance and sensitivity such that the OBD thresholds may be exceeded before the OBD system signals a malfunction to the driver of the vehicle.</w:t>
      </w:r>
    </w:p>
    <w:p w:rsidR="00AF2027" w:rsidRPr="00B04DC3" w:rsidRDefault="00AF2027" w:rsidP="00AF2027">
      <w:pPr>
        <w:pStyle w:val="para"/>
        <w:rPr>
          <w:lang w:val="en-GB"/>
        </w:rPr>
      </w:pPr>
      <w:r w:rsidRPr="00B04DC3">
        <w:rPr>
          <w:lang w:val="en-GB"/>
        </w:rPr>
        <w:tab/>
        <w:t>The above paragraph does not extend the engine manufacturer's compliance liability for an engine beyond its regulated useful life (i.e. the time or distance period during which emission standards or emission limits continue to apply).</w:t>
      </w:r>
    </w:p>
    <w:bookmarkEnd w:id="879"/>
    <w:p w:rsidR="00AF2027" w:rsidRPr="00B04DC3" w:rsidRDefault="00AF2027" w:rsidP="00AF2027">
      <w:pPr>
        <w:pStyle w:val="para"/>
        <w:rPr>
          <w:lang w:val="en-GB"/>
        </w:rPr>
      </w:pPr>
      <w:r w:rsidRPr="00B04DC3">
        <w:rPr>
          <w:lang w:val="en-GB"/>
        </w:rPr>
        <w:t>4.1.</w:t>
      </w:r>
      <w:r w:rsidRPr="00B04DC3">
        <w:rPr>
          <w:lang w:val="en-GB"/>
        </w:rPr>
        <w:tab/>
        <w:t>Application for approval of an OBD system</w:t>
      </w:r>
    </w:p>
    <w:p w:rsidR="00AF2027" w:rsidRPr="00B04DC3" w:rsidRDefault="00AF2027" w:rsidP="00AF2027">
      <w:pPr>
        <w:pStyle w:val="para"/>
        <w:rPr>
          <w:lang w:val="en-GB"/>
        </w:rPr>
      </w:pPr>
      <w:bookmarkStart w:id="880" w:name="_Toc118223010"/>
      <w:r w:rsidRPr="00B04DC3">
        <w:rPr>
          <w:lang w:val="en-GB"/>
        </w:rPr>
        <w:t>4.1.1.</w:t>
      </w:r>
      <w:r w:rsidRPr="00B04DC3">
        <w:rPr>
          <w:lang w:val="en-GB"/>
        </w:rPr>
        <w:tab/>
        <w:t xml:space="preserve">Primary </w:t>
      </w:r>
      <w:bookmarkEnd w:id="880"/>
      <w:r w:rsidRPr="00B04DC3">
        <w:rPr>
          <w:lang w:val="en-GB"/>
        </w:rPr>
        <w:t>approval</w:t>
      </w:r>
    </w:p>
    <w:p w:rsidR="00AF2027" w:rsidRPr="00B04DC3" w:rsidRDefault="00AF2027" w:rsidP="00AF2027">
      <w:pPr>
        <w:pStyle w:val="para"/>
        <w:rPr>
          <w:lang w:val="en-GB"/>
        </w:rPr>
      </w:pPr>
      <w:r w:rsidRPr="00B04DC3">
        <w:rPr>
          <w:lang w:val="en-GB"/>
        </w:rPr>
        <w:tab/>
        <w:t>The manufacturer of an engine system may apply for the approval of its OBD system in one of the three following manners:</w:t>
      </w:r>
    </w:p>
    <w:p w:rsidR="00AF2027" w:rsidRPr="00B04DC3" w:rsidRDefault="00AF2027" w:rsidP="00AF2027">
      <w:pPr>
        <w:pStyle w:val="a"/>
        <w:rPr>
          <w:lang w:val="en-GB"/>
        </w:rPr>
      </w:pPr>
      <w:r w:rsidRPr="00B04DC3">
        <w:rPr>
          <w:lang w:val="en-GB"/>
        </w:rPr>
        <w:t>(a)</w:t>
      </w:r>
      <w:r w:rsidRPr="00B04DC3">
        <w:rPr>
          <w:lang w:val="en-GB"/>
        </w:rPr>
        <w:tab/>
        <w:t>The manufacturer of an engine system applies for the approval of an individual OBD system by demonstrating that OBD system complies with all the provisions of this annex.</w:t>
      </w:r>
    </w:p>
    <w:p w:rsidR="00AF2027" w:rsidRPr="00B04DC3" w:rsidRDefault="00AF2027" w:rsidP="00AF2027">
      <w:pPr>
        <w:pStyle w:val="a"/>
        <w:rPr>
          <w:lang w:val="en-GB"/>
        </w:rPr>
      </w:pPr>
      <w:r w:rsidRPr="00B04DC3">
        <w:rPr>
          <w:lang w:val="en-GB"/>
        </w:rPr>
        <w:t>(b)</w:t>
      </w:r>
      <w:r w:rsidRPr="00B04DC3">
        <w:rPr>
          <w:lang w:val="en-GB"/>
        </w:rPr>
        <w:tab/>
        <w:t>The manufacturer of an engine system applies for the approval of an emission-OBD family by demonstrating that the OBD-parent engine system of the family complies with all the provisions of this annex.</w:t>
      </w:r>
    </w:p>
    <w:p w:rsidR="00AF2027" w:rsidRPr="00B04DC3" w:rsidRDefault="00AF2027" w:rsidP="00AF2027">
      <w:pPr>
        <w:pStyle w:val="para"/>
        <w:rPr>
          <w:lang w:val="en-GB"/>
        </w:rPr>
      </w:pPr>
      <w:r w:rsidRPr="00B04DC3">
        <w:rPr>
          <w:lang w:val="en-GB"/>
        </w:rPr>
        <w:tab/>
        <w:t>The manufacturer of an engine system applies for the approval of an OBD system by demonstrating that OBD system meets the criteria for belonging to an emission-OBD family that has already been certified.</w:t>
      </w:r>
    </w:p>
    <w:p w:rsidR="00AF2027" w:rsidRPr="00B04DC3" w:rsidRDefault="00AF2027" w:rsidP="00AF2027">
      <w:pPr>
        <w:pStyle w:val="para"/>
        <w:rPr>
          <w:lang w:val="en-GB"/>
        </w:rPr>
      </w:pPr>
      <w:bookmarkStart w:id="881" w:name="_Toc118223014"/>
      <w:r w:rsidRPr="00B04DC3">
        <w:rPr>
          <w:lang w:val="en-GB"/>
        </w:rPr>
        <w:t>4.1.2.</w:t>
      </w:r>
      <w:r w:rsidRPr="00B04DC3">
        <w:rPr>
          <w:lang w:val="en-GB"/>
        </w:rPr>
        <w:tab/>
        <w:t>Extension / Modification of an existing certificate</w:t>
      </w:r>
      <w:bookmarkEnd w:id="881"/>
    </w:p>
    <w:p w:rsidR="00AF2027" w:rsidRPr="00B04DC3" w:rsidRDefault="00AF2027" w:rsidP="00AF2027">
      <w:pPr>
        <w:pStyle w:val="para"/>
        <w:rPr>
          <w:lang w:val="en-GB"/>
        </w:rPr>
      </w:pPr>
      <w:bookmarkStart w:id="882" w:name="_Toc118223015"/>
      <w:r w:rsidRPr="00B04DC3">
        <w:rPr>
          <w:lang w:val="en-GB"/>
        </w:rPr>
        <w:t>4.1.2.1.</w:t>
      </w:r>
      <w:r w:rsidRPr="00B04DC3">
        <w:rPr>
          <w:lang w:val="en-GB"/>
        </w:rPr>
        <w:tab/>
        <w:t>Extension to include a new engine system into an emission-OBD family</w:t>
      </w:r>
      <w:bookmarkEnd w:id="882"/>
    </w:p>
    <w:p w:rsidR="00AF2027" w:rsidRPr="00B04DC3" w:rsidRDefault="00AF2027" w:rsidP="00AF2027">
      <w:pPr>
        <w:pStyle w:val="para"/>
        <w:rPr>
          <w:lang w:val="en-GB"/>
        </w:rPr>
      </w:pPr>
      <w:r w:rsidRPr="00B04DC3">
        <w:rPr>
          <w:lang w:val="en-GB"/>
        </w:rPr>
        <w:tab/>
        <w:t xml:space="preserve">At the request of the manufacturer and upon approval of the </w:t>
      </w:r>
      <w:r w:rsidR="002D4D9D">
        <w:rPr>
          <w:lang w:val="en-GB"/>
        </w:rPr>
        <w:t xml:space="preserve">Type </w:t>
      </w:r>
      <w:r w:rsidRPr="00B04DC3">
        <w:rPr>
          <w:lang w:val="en-GB"/>
        </w:rPr>
        <w:t>Approval Authority, a new engine system may be included as a member of a certified emission-OBD family if all the engine systems within the so-extended emission-OBD family still have common methods of monitoring / diagnosing emission-related malfunctions.</w:t>
      </w:r>
    </w:p>
    <w:p w:rsidR="00AF2027" w:rsidRPr="00B04DC3" w:rsidRDefault="00AF2027" w:rsidP="00AF2027">
      <w:pPr>
        <w:pStyle w:val="para"/>
        <w:rPr>
          <w:lang w:val="en-GB"/>
        </w:rPr>
      </w:pPr>
      <w:r w:rsidRPr="00B04DC3">
        <w:rPr>
          <w:lang w:val="en-GB"/>
        </w:rPr>
        <w:tab/>
        <w:t>If all OBD elements of design of the OBD-parent engine system are representative of those of the new engine system, then the OBD-parent engine system shall remain unchanged and the manufacturer shall modify the documentation package according to paragraph 8. of this annex.</w:t>
      </w:r>
    </w:p>
    <w:p w:rsidR="00AF2027" w:rsidRPr="00B04DC3" w:rsidRDefault="00AF2027" w:rsidP="006E1E07">
      <w:pPr>
        <w:pStyle w:val="para"/>
        <w:keepNext/>
        <w:keepLines/>
        <w:rPr>
          <w:lang w:val="en-GB"/>
        </w:rPr>
      </w:pPr>
      <w:r w:rsidRPr="00B04DC3">
        <w:rPr>
          <w:lang w:val="en-GB"/>
        </w:rPr>
        <w:tab/>
        <w:t>If the new engine system contains elements of design that are not represented by the OBD-parent engine system but itself would represent the whole family, then the new engine system shall become the new OBD-parent engine system. In this case the new OBD elements of design shall be demonstrated to comply with the provisions of this annex, and the documentation package shall be modified according to paragraph 8. of this annex.</w:t>
      </w:r>
    </w:p>
    <w:p w:rsidR="00AF2027" w:rsidRPr="00B04DC3" w:rsidRDefault="00AF2027" w:rsidP="00AF2027">
      <w:pPr>
        <w:pStyle w:val="para"/>
        <w:rPr>
          <w:lang w:val="en-GB"/>
        </w:rPr>
      </w:pPr>
      <w:bookmarkStart w:id="883" w:name="_Toc118223016"/>
      <w:r w:rsidRPr="00B04DC3">
        <w:rPr>
          <w:lang w:val="en-GB"/>
        </w:rPr>
        <w:t>4.1.2.2.</w:t>
      </w:r>
      <w:r w:rsidRPr="00B04DC3">
        <w:rPr>
          <w:lang w:val="en-GB"/>
        </w:rPr>
        <w:tab/>
        <w:t>Extension to address a design change that affects the OBD system</w:t>
      </w:r>
      <w:bookmarkEnd w:id="883"/>
    </w:p>
    <w:p w:rsidR="00AF2027" w:rsidRPr="00B04DC3" w:rsidRDefault="00AF2027" w:rsidP="00AF2027">
      <w:pPr>
        <w:pStyle w:val="para"/>
        <w:rPr>
          <w:lang w:val="en-GB"/>
        </w:rPr>
      </w:pPr>
      <w:r w:rsidRPr="00B04DC3">
        <w:rPr>
          <w:lang w:val="en-GB"/>
        </w:rPr>
        <w:tab/>
        <w:t xml:space="preserve">At the request of the manufacturer and upon approval </w:t>
      </w:r>
      <w:r w:rsidR="00083D2B">
        <w:rPr>
          <w:lang w:val="en-GB"/>
        </w:rPr>
        <w:t>by</w:t>
      </w:r>
      <w:r w:rsidR="00083D2B" w:rsidRPr="00B04DC3">
        <w:rPr>
          <w:lang w:val="en-GB"/>
        </w:rPr>
        <w:t xml:space="preserve"> </w:t>
      </w:r>
      <w:r w:rsidRPr="00B04DC3">
        <w:rPr>
          <w:lang w:val="en-GB"/>
        </w:rPr>
        <w:t xml:space="preserve">the </w:t>
      </w:r>
      <w:r w:rsidR="002D4D9D">
        <w:rPr>
          <w:lang w:val="en-GB"/>
        </w:rPr>
        <w:t xml:space="preserve">Type </w:t>
      </w:r>
      <w:r w:rsidRPr="00B04DC3">
        <w:rPr>
          <w:lang w:val="en-GB"/>
        </w:rPr>
        <w:t>Approval Authority, an extension of an existing certificate may be granted in the case of a design change of the OBD system if the manufacturer demonstrates that the design changes comply with the provisions of this annex.</w:t>
      </w:r>
    </w:p>
    <w:p w:rsidR="00AF2027" w:rsidRPr="00B04DC3" w:rsidRDefault="00AF2027" w:rsidP="00AF2027">
      <w:pPr>
        <w:pStyle w:val="para"/>
        <w:rPr>
          <w:lang w:val="en-GB"/>
        </w:rPr>
      </w:pPr>
      <w:r w:rsidRPr="00B04DC3">
        <w:rPr>
          <w:lang w:val="en-GB"/>
        </w:rPr>
        <w:tab/>
        <w:t>The documentation package shall be modified according to paragraph 8. of this annex.</w:t>
      </w:r>
    </w:p>
    <w:p w:rsidR="00AF2027" w:rsidRPr="00B04DC3" w:rsidRDefault="00AF2027" w:rsidP="00AF2027">
      <w:pPr>
        <w:pStyle w:val="para"/>
        <w:ind w:firstLine="0"/>
        <w:rPr>
          <w:lang w:val="en-GB"/>
        </w:rPr>
      </w:pPr>
      <w:r w:rsidRPr="00B04DC3">
        <w:rPr>
          <w:lang w:val="en-GB"/>
        </w:rPr>
        <w:t xml:space="preserve">If the existing certificate applies to an emission-OBD family, the manufacturer shall justify to the </w:t>
      </w:r>
      <w:r w:rsidR="002D4D9D">
        <w:rPr>
          <w:lang w:val="en-GB"/>
        </w:rPr>
        <w:t xml:space="preserve">Type </w:t>
      </w:r>
      <w:r w:rsidRPr="00B04DC3">
        <w:rPr>
          <w:lang w:val="en-GB"/>
        </w:rPr>
        <w:t>Approval Authority that the methods of monitoring/diagnosing emission-related malfunctions are still common within the family and that the OBD-parent engine system remains representative of the family.</w:t>
      </w:r>
    </w:p>
    <w:p w:rsidR="00AF2027" w:rsidRPr="00B04DC3" w:rsidRDefault="00AF2027" w:rsidP="00AF2027">
      <w:pPr>
        <w:pStyle w:val="para"/>
        <w:rPr>
          <w:lang w:val="en-GB"/>
        </w:rPr>
      </w:pPr>
      <w:bookmarkStart w:id="884" w:name="_Toc118223017"/>
      <w:r w:rsidRPr="00B04DC3">
        <w:rPr>
          <w:lang w:val="en-GB"/>
        </w:rPr>
        <w:t>4.1.2.3.</w:t>
      </w:r>
      <w:r w:rsidRPr="00B04DC3">
        <w:rPr>
          <w:lang w:val="en-GB"/>
        </w:rPr>
        <w:tab/>
        <w:t>Certificate modification to address a malfunction reclassification</w:t>
      </w:r>
      <w:bookmarkEnd w:id="884"/>
    </w:p>
    <w:p w:rsidR="00AF2027" w:rsidRPr="00B04DC3" w:rsidRDefault="00AF2027" w:rsidP="00AF2027">
      <w:pPr>
        <w:pStyle w:val="para"/>
        <w:rPr>
          <w:lang w:val="en-GB"/>
        </w:rPr>
      </w:pPr>
      <w:r w:rsidRPr="00B04DC3">
        <w:rPr>
          <w:lang w:val="en-GB"/>
        </w:rPr>
        <w:tab/>
        <w:t>This paragraph applies when, following a request by the</w:t>
      </w:r>
      <w:r w:rsidR="002D4D9D">
        <w:rPr>
          <w:lang w:val="en-GB"/>
        </w:rPr>
        <w:t xml:space="preserve"> Type Approval Authority </w:t>
      </w:r>
      <w:r w:rsidRPr="00B04DC3">
        <w:rPr>
          <w:lang w:val="en-GB"/>
        </w:rPr>
        <w:t>that granted the approval, or at its own initiative, the manufacturer applies for a modification of an existing certificate in order to reclassify one or several malfunctions.</w:t>
      </w:r>
    </w:p>
    <w:p w:rsidR="00AF2027" w:rsidRPr="00B04DC3" w:rsidRDefault="00AF2027" w:rsidP="00AF2027">
      <w:pPr>
        <w:pStyle w:val="para"/>
        <w:rPr>
          <w:lang w:val="en-GB"/>
        </w:rPr>
      </w:pPr>
      <w:r w:rsidRPr="00B04DC3">
        <w:rPr>
          <w:lang w:val="en-GB"/>
        </w:rPr>
        <w:tab/>
        <w:t>The compliance of the new classification shall then be demonstrated according to the provisions of this annex and the documentation package shall be modified according to paragraph 8 of this annex.</w:t>
      </w:r>
    </w:p>
    <w:p w:rsidR="00AF2027" w:rsidRPr="00B04DC3" w:rsidRDefault="00AF2027" w:rsidP="00AF2027">
      <w:pPr>
        <w:pStyle w:val="para"/>
        <w:rPr>
          <w:lang w:val="en-GB"/>
        </w:rPr>
      </w:pPr>
      <w:bookmarkStart w:id="885" w:name="_Ref116830712"/>
      <w:bookmarkStart w:id="886" w:name="_Toc118223018"/>
      <w:r w:rsidRPr="00B04DC3">
        <w:rPr>
          <w:lang w:val="en-GB"/>
        </w:rPr>
        <w:t>4.2.</w:t>
      </w:r>
      <w:r w:rsidRPr="00B04DC3">
        <w:rPr>
          <w:lang w:val="en-GB"/>
        </w:rPr>
        <w:tab/>
        <w:t>Monitoring requirements</w:t>
      </w:r>
      <w:bookmarkEnd w:id="885"/>
      <w:bookmarkEnd w:id="886"/>
    </w:p>
    <w:p w:rsidR="00AF2027" w:rsidRPr="00B04DC3" w:rsidRDefault="00AF2027" w:rsidP="00AF2027">
      <w:pPr>
        <w:pStyle w:val="para"/>
        <w:rPr>
          <w:lang w:val="en-GB"/>
        </w:rPr>
      </w:pPr>
      <w:r w:rsidRPr="00B04DC3">
        <w:rPr>
          <w:lang w:val="en-GB"/>
        </w:rPr>
        <w:tab/>
        <w:t>All emission-related components and systems included in an engine system shall be monitored by the OBD system in accordance with the requirements set in Appendix 3</w:t>
      </w:r>
      <w:r w:rsidR="00677F11">
        <w:rPr>
          <w:lang w:val="en-GB"/>
        </w:rPr>
        <w:t xml:space="preserve"> to this annex</w:t>
      </w:r>
      <w:r w:rsidRPr="00B04DC3">
        <w:rPr>
          <w:lang w:val="en-GB"/>
        </w:rPr>
        <w:t>. However, the OBD system is not required to use a unique monitor to detect each malfunction referred to in Appendix 3.</w:t>
      </w:r>
    </w:p>
    <w:p w:rsidR="00AF2027" w:rsidRPr="00B04DC3" w:rsidRDefault="00AF2027" w:rsidP="00AF2027">
      <w:pPr>
        <w:pStyle w:val="para"/>
        <w:rPr>
          <w:lang w:val="en-GB"/>
        </w:rPr>
      </w:pPr>
      <w:r w:rsidRPr="00B04DC3">
        <w:rPr>
          <w:lang w:val="en-GB"/>
        </w:rPr>
        <w:tab/>
        <w:t>The OBD system shall also monitor its own components.</w:t>
      </w:r>
    </w:p>
    <w:p w:rsidR="00AF2027" w:rsidRPr="00B04DC3" w:rsidRDefault="00AF2027" w:rsidP="00AF2027">
      <w:pPr>
        <w:pStyle w:val="para"/>
        <w:rPr>
          <w:lang w:val="en-GB"/>
        </w:rPr>
      </w:pPr>
      <w:r w:rsidRPr="00B04DC3">
        <w:rPr>
          <w:lang w:val="en-GB"/>
        </w:rPr>
        <w:tab/>
        <w:t xml:space="preserve">The items of Appendix 3 </w:t>
      </w:r>
      <w:r w:rsidR="00677F11">
        <w:rPr>
          <w:lang w:val="en-GB"/>
        </w:rPr>
        <w:t xml:space="preserve">to this annex. </w:t>
      </w:r>
      <w:r w:rsidRPr="00B04DC3">
        <w:rPr>
          <w:lang w:val="en-GB"/>
        </w:rPr>
        <w:t>list the systems or components required to be monitored by the OBD system and describes the types of monitoring expected for each of these components or systems (i.e. emission threshold monitoring, performance monitoring, total functional failure monitoring, or component monitoring).</w:t>
      </w:r>
    </w:p>
    <w:p w:rsidR="00AF2027" w:rsidRPr="00B04DC3" w:rsidRDefault="00AF2027" w:rsidP="00AF2027">
      <w:pPr>
        <w:pStyle w:val="para"/>
        <w:rPr>
          <w:lang w:val="en-GB"/>
        </w:rPr>
      </w:pPr>
      <w:r w:rsidRPr="00B04DC3">
        <w:rPr>
          <w:lang w:val="en-GB"/>
        </w:rPr>
        <w:tab/>
        <w:t>The manufacturer can decide to monitor additional systems and components.</w:t>
      </w:r>
    </w:p>
    <w:p w:rsidR="00AF2027" w:rsidRPr="00B04DC3" w:rsidRDefault="00AF2027" w:rsidP="00AF2027">
      <w:pPr>
        <w:pStyle w:val="para"/>
        <w:rPr>
          <w:lang w:val="en-GB"/>
        </w:rPr>
      </w:pPr>
      <w:bookmarkStart w:id="887" w:name="_Toc113764719"/>
      <w:bookmarkStart w:id="888" w:name="_Toc118223019"/>
      <w:bookmarkStart w:id="889" w:name="_Toc104693992"/>
      <w:r w:rsidRPr="00B04DC3">
        <w:rPr>
          <w:lang w:val="en-GB"/>
        </w:rPr>
        <w:t>4.2.1.</w:t>
      </w:r>
      <w:r w:rsidRPr="00B04DC3">
        <w:rPr>
          <w:lang w:val="en-GB"/>
        </w:rPr>
        <w:tab/>
        <w:t>Selection of the monitoring technique</w:t>
      </w:r>
      <w:bookmarkEnd w:id="887"/>
      <w:bookmarkEnd w:id="888"/>
    </w:p>
    <w:p w:rsidR="00AF2027" w:rsidRPr="00B04DC3" w:rsidRDefault="00AF2027" w:rsidP="00AF2027">
      <w:pPr>
        <w:pStyle w:val="para"/>
        <w:ind w:firstLine="0"/>
        <w:rPr>
          <w:lang w:val="en-GB"/>
        </w:rPr>
      </w:pPr>
      <w:r w:rsidRPr="00B04DC3">
        <w:rPr>
          <w:lang w:val="en-GB"/>
        </w:rPr>
        <w:t>Approval authorities may approve a manufacturer's use of another type of monitoring technique than the one mentioned in Appendix 3</w:t>
      </w:r>
      <w:r w:rsidR="00677F11" w:rsidRPr="00677F11">
        <w:rPr>
          <w:lang w:val="en-GB"/>
        </w:rPr>
        <w:t xml:space="preserve"> </w:t>
      </w:r>
      <w:r w:rsidR="00677F11">
        <w:rPr>
          <w:lang w:val="en-GB"/>
        </w:rPr>
        <w:t>to this annex</w:t>
      </w:r>
      <w:r w:rsidRPr="00B04DC3">
        <w:rPr>
          <w:lang w:val="en-GB"/>
        </w:rPr>
        <w:t>. The chosen type of monitoring shall be shown by the manufacturer, to be robust, timely and efficient (i.e. through technical considerations, test results, previous agreements, etc.).</w:t>
      </w:r>
    </w:p>
    <w:p w:rsidR="00AF2027" w:rsidRPr="00B04DC3" w:rsidRDefault="00AF2027" w:rsidP="00AF2027">
      <w:pPr>
        <w:pStyle w:val="para"/>
        <w:ind w:firstLine="0"/>
        <w:rPr>
          <w:spacing w:val="-2"/>
          <w:lang w:val="en-GB"/>
        </w:rPr>
      </w:pPr>
      <w:r w:rsidRPr="00B04DC3">
        <w:rPr>
          <w:spacing w:val="-2"/>
          <w:lang w:val="en-GB"/>
        </w:rPr>
        <w:t xml:space="preserve">In case a system and/or component is not covered by Appendix 3 </w:t>
      </w:r>
      <w:r w:rsidR="00677F11">
        <w:rPr>
          <w:lang w:val="en-GB"/>
        </w:rPr>
        <w:t>to this annex</w:t>
      </w:r>
      <w:r w:rsidR="00677F11" w:rsidRPr="00B04DC3">
        <w:rPr>
          <w:spacing w:val="-2"/>
          <w:lang w:val="en-GB"/>
        </w:rPr>
        <w:t xml:space="preserve"> </w:t>
      </w:r>
      <w:r w:rsidRPr="00B04DC3">
        <w:rPr>
          <w:spacing w:val="-2"/>
          <w:lang w:val="en-GB"/>
        </w:rPr>
        <w:t xml:space="preserve">the manufacturer shall submit for approval to the </w:t>
      </w:r>
      <w:r w:rsidR="002F3FE3">
        <w:rPr>
          <w:lang w:val="en-GB"/>
        </w:rPr>
        <w:t xml:space="preserve">Type </w:t>
      </w:r>
      <w:r w:rsidRPr="00B04DC3">
        <w:rPr>
          <w:spacing w:val="-2"/>
          <w:lang w:val="en-GB"/>
        </w:rPr>
        <w:t xml:space="preserve">Approval Authority an approach to monitoring. The </w:t>
      </w:r>
      <w:r w:rsidR="002F3FE3">
        <w:rPr>
          <w:lang w:val="en-GB"/>
        </w:rPr>
        <w:t xml:space="preserve">Type </w:t>
      </w:r>
      <w:r w:rsidRPr="00B04DC3">
        <w:rPr>
          <w:spacing w:val="-2"/>
          <w:lang w:val="en-GB"/>
        </w:rPr>
        <w:t>Approval Authority will approve the chosen type of monitoring and monitoring technique (i.e. emission threshold monitoring, performance monitoring, total functional failure monitoring, or component monitoring) if it has been shown by the manufacturer, by reference to those detailed in Appendix 3</w:t>
      </w:r>
      <w:r w:rsidR="00677F11" w:rsidRPr="00677F11">
        <w:rPr>
          <w:lang w:val="en-GB"/>
        </w:rPr>
        <w:t xml:space="preserve"> </w:t>
      </w:r>
      <w:r w:rsidR="00677F11">
        <w:rPr>
          <w:lang w:val="en-GB"/>
        </w:rPr>
        <w:t>to this annex</w:t>
      </w:r>
      <w:r w:rsidRPr="00B04DC3">
        <w:rPr>
          <w:spacing w:val="-2"/>
          <w:lang w:val="en-GB"/>
        </w:rPr>
        <w:t>, to be robust, timely and efficient (i.e. through either technical considerations, test results, previous agreements, etc.).</w:t>
      </w:r>
    </w:p>
    <w:p w:rsidR="00AF2027" w:rsidRPr="00B04DC3" w:rsidRDefault="00AF2027" w:rsidP="00AF2027">
      <w:pPr>
        <w:pStyle w:val="para"/>
        <w:rPr>
          <w:lang w:val="en-GB"/>
        </w:rPr>
      </w:pPr>
      <w:bookmarkStart w:id="890" w:name="_Toc113764721"/>
      <w:bookmarkStart w:id="891" w:name="_Toc118223020"/>
      <w:r w:rsidRPr="00B04DC3">
        <w:rPr>
          <w:lang w:val="en-GB"/>
        </w:rPr>
        <w:t>4.2.1.1.</w:t>
      </w:r>
      <w:r w:rsidRPr="00B04DC3">
        <w:rPr>
          <w:lang w:val="en-GB"/>
        </w:rPr>
        <w:tab/>
        <w:t>Correlation to actual emissions</w:t>
      </w:r>
      <w:bookmarkEnd w:id="890"/>
      <w:bookmarkEnd w:id="891"/>
    </w:p>
    <w:p w:rsidR="00AF2027" w:rsidRPr="00B04DC3" w:rsidRDefault="00AF2027" w:rsidP="00AF2027">
      <w:pPr>
        <w:pStyle w:val="para"/>
        <w:ind w:firstLine="0"/>
        <w:rPr>
          <w:lang w:val="en-GB"/>
        </w:rPr>
      </w:pPr>
      <w:r w:rsidRPr="00B04DC3">
        <w:rPr>
          <w:lang w:val="en-GB"/>
        </w:rPr>
        <w:t>In the case of emission threshold monitoring, a correlation to test-cycle specific emissions shall be required. This correlation would typically be demonstrated on a test engine in a laboratory setting.</w:t>
      </w:r>
    </w:p>
    <w:p w:rsidR="00AF2027" w:rsidRPr="00B04DC3" w:rsidRDefault="00AF2027" w:rsidP="00AF2027">
      <w:pPr>
        <w:pStyle w:val="para"/>
        <w:ind w:firstLine="0"/>
        <w:rPr>
          <w:lang w:val="en-GB"/>
        </w:rPr>
      </w:pPr>
      <w:r w:rsidRPr="00B04DC3">
        <w:rPr>
          <w:lang w:val="en-GB"/>
        </w:rPr>
        <w:t xml:space="preserve">In all other monitoring cases (i.e. performance monitoring, total functional failure monitoring, or component monitoring), no correlation to actual emissions is necessary. However, the </w:t>
      </w:r>
      <w:r w:rsidR="002D4D9D">
        <w:rPr>
          <w:lang w:val="en-GB"/>
        </w:rPr>
        <w:t>Type Approval Authority</w:t>
      </w:r>
      <w:r w:rsidRPr="00B04DC3">
        <w:rPr>
          <w:lang w:val="en-GB"/>
        </w:rPr>
        <w:t xml:space="preserve"> may request test data to verify the classification of the malfunction effects as described in paragraph 6.2. of this annex.</w:t>
      </w:r>
    </w:p>
    <w:p w:rsidR="00AF2027" w:rsidRPr="00B04DC3" w:rsidRDefault="00AF2027" w:rsidP="00AF2027">
      <w:pPr>
        <w:pStyle w:val="para"/>
        <w:ind w:firstLine="0"/>
        <w:rPr>
          <w:lang w:val="en-GB"/>
        </w:rPr>
      </w:pPr>
      <w:r w:rsidRPr="00B04DC3">
        <w:rPr>
          <w:lang w:val="en-GB"/>
        </w:rPr>
        <w:t>Examples:</w:t>
      </w:r>
    </w:p>
    <w:p w:rsidR="00AF2027" w:rsidRPr="00B04DC3" w:rsidRDefault="00AF2027" w:rsidP="00AF2027">
      <w:pPr>
        <w:pStyle w:val="para"/>
        <w:ind w:firstLine="0"/>
        <w:rPr>
          <w:lang w:val="en-GB"/>
        </w:rPr>
      </w:pPr>
      <w:r w:rsidRPr="00B04DC3">
        <w:rPr>
          <w:lang w:val="en-GB"/>
        </w:rPr>
        <w:t>An electrical malfunction may not require a correlation because this is a yes/no malfunction. A DPF malfunction monitored via delta pressure may not require a correlation because it anticipates a malfunction.</w:t>
      </w:r>
    </w:p>
    <w:p w:rsidR="00AF2027" w:rsidRPr="00B04DC3" w:rsidRDefault="00AF2027" w:rsidP="00AF2027">
      <w:pPr>
        <w:pStyle w:val="para"/>
        <w:ind w:firstLine="0"/>
        <w:rPr>
          <w:lang w:val="en-GB"/>
        </w:rPr>
      </w:pPr>
      <w:r w:rsidRPr="00B04DC3">
        <w:rPr>
          <w:lang w:val="en-GB"/>
        </w:rPr>
        <w:t>If the manufacturer demonstrates, according to the demonstration requirements of this annex, that emissions would not exceed the OBD threshold limits upon total failure or removal of a component or system, a performance monitoring of this component or system shall be accepted.</w:t>
      </w:r>
    </w:p>
    <w:p w:rsidR="00AF2027" w:rsidRPr="00B04DC3" w:rsidRDefault="00AF2027" w:rsidP="00AF2027">
      <w:pPr>
        <w:pStyle w:val="para"/>
        <w:ind w:firstLine="0"/>
        <w:rPr>
          <w:lang w:val="en-GB"/>
        </w:rPr>
      </w:pPr>
      <w:r w:rsidRPr="00B04DC3">
        <w:rPr>
          <w:lang w:val="en-GB"/>
        </w:rPr>
        <w:t>When a tailpipe emission sensor is used for monitoring the emissions of a specific pollutant all other monitors may be exempted from further correlation to the actual emissions of that pollutant. Nevertheless, such exemption shall not preclude the need to include these monitors, using other monitoring techniques, as part of the OBD system as the monitors are still needed for the purpose of malfunction isolation.</w:t>
      </w:r>
    </w:p>
    <w:p w:rsidR="00AF2027" w:rsidRPr="00B04DC3" w:rsidRDefault="00AF2027" w:rsidP="00AF2027">
      <w:pPr>
        <w:pStyle w:val="para"/>
        <w:ind w:firstLine="0"/>
        <w:rPr>
          <w:lang w:val="en-GB"/>
        </w:rPr>
      </w:pPr>
      <w:r w:rsidRPr="00B04DC3">
        <w:rPr>
          <w:lang w:val="en-GB"/>
        </w:rPr>
        <w:t xml:space="preserve">A malfunction shall always be classified according to paragraph 4.5. </w:t>
      </w:r>
      <w:r w:rsidR="00677F11">
        <w:rPr>
          <w:lang w:val="en-GB"/>
        </w:rPr>
        <w:t>to this annex</w:t>
      </w:r>
      <w:r w:rsidR="00677F11" w:rsidRPr="00B04DC3">
        <w:rPr>
          <w:lang w:val="en-GB"/>
        </w:rPr>
        <w:t xml:space="preserve"> </w:t>
      </w:r>
      <w:r w:rsidRPr="00B04DC3">
        <w:rPr>
          <w:lang w:val="en-GB"/>
        </w:rPr>
        <w:t>based on its impact on emissions, regardless of the type of monitoring used to detect the malfunction.</w:t>
      </w:r>
    </w:p>
    <w:p w:rsidR="00AF2027" w:rsidRPr="00B04DC3" w:rsidRDefault="00AF2027" w:rsidP="00AF2027">
      <w:pPr>
        <w:pStyle w:val="para"/>
        <w:rPr>
          <w:lang w:val="en-GB"/>
        </w:rPr>
      </w:pPr>
      <w:bookmarkStart w:id="892" w:name="_Toc113764722"/>
      <w:bookmarkStart w:id="893" w:name="_Toc118223021"/>
      <w:r w:rsidRPr="00B04DC3">
        <w:rPr>
          <w:lang w:val="en-GB"/>
        </w:rPr>
        <w:t>4.2.2.</w:t>
      </w:r>
      <w:r w:rsidRPr="00B04DC3">
        <w:rPr>
          <w:lang w:val="en-GB"/>
        </w:rPr>
        <w:tab/>
        <w:t>Component monitoring (input/output components/systems)</w:t>
      </w:r>
      <w:bookmarkEnd w:id="892"/>
      <w:bookmarkEnd w:id="893"/>
    </w:p>
    <w:p w:rsidR="00AF2027" w:rsidRPr="00B04DC3" w:rsidRDefault="00AF2027" w:rsidP="00AF2027">
      <w:pPr>
        <w:pStyle w:val="para"/>
        <w:ind w:firstLine="0"/>
        <w:rPr>
          <w:lang w:val="en-GB"/>
        </w:rPr>
      </w:pPr>
      <w:r w:rsidRPr="00B04DC3">
        <w:rPr>
          <w:lang w:val="en-GB"/>
        </w:rPr>
        <w:t>In the case of input components that belong to the engine system, the OBD system shall at a minimum detect electrical circuit failures and, where feasible, rationality failures.</w:t>
      </w:r>
    </w:p>
    <w:p w:rsidR="00AF2027" w:rsidRPr="00B04DC3" w:rsidRDefault="00AF2027" w:rsidP="006E1E07">
      <w:pPr>
        <w:pStyle w:val="para"/>
        <w:spacing w:after="140"/>
        <w:rPr>
          <w:lang w:val="en-GB"/>
        </w:rPr>
      </w:pPr>
      <w:r w:rsidRPr="00B04DC3">
        <w:rPr>
          <w:lang w:val="en-GB"/>
        </w:rPr>
        <w:tab/>
        <w:t>The rationality failure diagnostics shall then verify that a sensor output is neither inappropriately high nor inappropriately low (i.e. there shall be "two-sided" diagnostics).</w:t>
      </w:r>
    </w:p>
    <w:p w:rsidR="00AF2027" w:rsidRPr="00B04DC3" w:rsidRDefault="00AF2027" w:rsidP="00AF2027">
      <w:pPr>
        <w:pStyle w:val="para"/>
        <w:rPr>
          <w:lang w:val="en-GB"/>
        </w:rPr>
      </w:pPr>
      <w:r w:rsidRPr="00B04DC3">
        <w:rPr>
          <w:lang w:val="en-GB"/>
        </w:rPr>
        <w:tab/>
      </w:r>
      <w:r w:rsidRPr="00B04DC3">
        <w:rPr>
          <w:lang w:val="en-GB"/>
        </w:rPr>
        <w:tab/>
        <w:t xml:space="preserve">To the extent feasible, and with the agreement of the </w:t>
      </w:r>
      <w:r w:rsidR="00677F11">
        <w:rPr>
          <w:lang w:val="en-GB"/>
        </w:rPr>
        <w:t xml:space="preserve">Type </w:t>
      </w:r>
      <w:r w:rsidRPr="00B04DC3">
        <w:rPr>
          <w:lang w:val="en-GB"/>
        </w:rPr>
        <w:t>Approval Authority, the OBD system shall detect separately, rationality failures (e.g. inappropriately high and inappropriately low), and electrical circuit failures (e.g. out-of-range high and out-of-range low). Additionally, unique DTCs for each distinct malfunction (e.g. out-of-range low, out-of-range high and rationality failure) shall be stored.</w:t>
      </w:r>
    </w:p>
    <w:p w:rsidR="00AF2027" w:rsidRPr="00B04DC3" w:rsidRDefault="00AF2027" w:rsidP="00AF2027">
      <w:pPr>
        <w:pStyle w:val="para"/>
        <w:rPr>
          <w:lang w:val="en-GB"/>
        </w:rPr>
      </w:pPr>
      <w:r w:rsidRPr="00B04DC3">
        <w:rPr>
          <w:lang w:val="en-GB"/>
        </w:rPr>
        <w:tab/>
        <w:t>In the case of output components that belong to the engine system, the OBD system shall at a minimum detect electrical circuit failures, and, where feasible, if the proper functional response to computer commands does not occur.</w:t>
      </w:r>
    </w:p>
    <w:p w:rsidR="00AF2027" w:rsidRPr="00B04DC3" w:rsidRDefault="00AF2027" w:rsidP="00AF2027">
      <w:pPr>
        <w:pStyle w:val="para"/>
        <w:rPr>
          <w:lang w:val="en-GB"/>
        </w:rPr>
      </w:pPr>
      <w:r w:rsidRPr="00B04DC3">
        <w:rPr>
          <w:lang w:val="en-GB"/>
        </w:rPr>
        <w:tab/>
        <w:t xml:space="preserve">To the extent feasible, and with the agreement of the </w:t>
      </w:r>
      <w:r w:rsidR="002D4D9D">
        <w:rPr>
          <w:lang w:val="en-GB"/>
        </w:rPr>
        <w:t>Type Approval Authority</w:t>
      </w:r>
      <w:r w:rsidRPr="00B04DC3">
        <w:rPr>
          <w:lang w:val="en-GB"/>
        </w:rPr>
        <w:t>, the OBD system shall detect separately functionality failures, electrical circuit failures (e.g. out-of-range high and out-of-range low) and store unique DTCs for each distinct malfunction (e.g. out-of-range low, out-of-range high, functionality failure).</w:t>
      </w:r>
    </w:p>
    <w:p w:rsidR="00AF2027" w:rsidRPr="00B04DC3" w:rsidRDefault="00AF2027" w:rsidP="00AF2027">
      <w:pPr>
        <w:pStyle w:val="para"/>
        <w:rPr>
          <w:lang w:val="en-GB"/>
        </w:rPr>
      </w:pPr>
      <w:r w:rsidRPr="00B04DC3">
        <w:rPr>
          <w:lang w:val="en-GB"/>
        </w:rPr>
        <w:tab/>
        <w:t>The OBD system shall also perform rationality monitoring on the information coming from or provided to components that do not belong to the engine system when this information compromises the emission control system and/or the engine system for proper performance.</w:t>
      </w:r>
    </w:p>
    <w:p w:rsidR="00AF2027" w:rsidRPr="00B04DC3" w:rsidRDefault="00AF2027" w:rsidP="00AF2027">
      <w:pPr>
        <w:pStyle w:val="para"/>
        <w:rPr>
          <w:lang w:val="en-GB"/>
        </w:rPr>
      </w:pPr>
      <w:bookmarkStart w:id="894" w:name="_Toc118223022"/>
      <w:r w:rsidRPr="00B04DC3">
        <w:rPr>
          <w:lang w:val="en-GB"/>
        </w:rPr>
        <w:t>4.2.2.1.</w:t>
      </w:r>
      <w:r w:rsidRPr="00B04DC3">
        <w:rPr>
          <w:lang w:val="en-GB"/>
        </w:rPr>
        <w:tab/>
        <w:t>Exception to component monitoring</w:t>
      </w:r>
      <w:bookmarkEnd w:id="894"/>
    </w:p>
    <w:p w:rsidR="00AF2027" w:rsidRPr="00B04DC3" w:rsidRDefault="00AF2027" w:rsidP="00AF2027">
      <w:pPr>
        <w:pStyle w:val="para"/>
        <w:rPr>
          <w:lang w:val="en-GB"/>
        </w:rPr>
      </w:pPr>
      <w:r w:rsidRPr="00B04DC3">
        <w:rPr>
          <w:lang w:val="en-GB"/>
        </w:rPr>
        <w:tab/>
        <w:t>Monitoring of electrical circuit failures, and to the extent feasible, functionality, and rationality failures of the engine system shall not be required if all the following conditions are met:</w:t>
      </w:r>
    </w:p>
    <w:p w:rsidR="00AF2027" w:rsidRPr="00B04DC3" w:rsidRDefault="00AF2027" w:rsidP="00AF2027">
      <w:pPr>
        <w:pStyle w:val="a"/>
        <w:rPr>
          <w:lang w:val="en-GB"/>
        </w:rPr>
      </w:pPr>
      <w:r w:rsidRPr="00B04DC3">
        <w:rPr>
          <w:lang w:val="en-GB"/>
        </w:rPr>
        <w:t>(a)</w:t>
      </w:r>
      <w:r w:rsidRPr="00B04DC3">
        <w:rPr>
          <w:lang w:val="en-GB"/>
        </w:rPr>
        <w:tab/>
        <w:t>The failure results in an emission increase of any pollutant of less than 50 per cent of the regulated emission limit;</w:t>
      </w:r>
    </w:p>
    <w:p w:rsidR="00AF2027" w:rsidRPr="00B04DC3" w:rsidRDefault="00AF2027" w:rsidP="00AF2027">
      <w:pPr>
        <w:pStyle w:val="a"/>
        <w:rPr>
          <w:lang w:val="en-GB"/>
        </w:rPr>
      </w:pPr>
      <w:r w:rsidRPr="00B04DC3">
        <w:rPr>
          <w:lang w:val="en-GB"/>
        </w:rPr>
        <w:t>(b)</w:t>
      </w:r>
      <w:r w:rsidRPr="00B04DC3">
        <w:rPr>
          <w:lang w:val="en-GB"/>
        </w:rPr>
        <w:tab/>
        <w:t>The failure does not cause any emission to exceed the regulated emission limit</w:t>
      </w:r>
      <w:r w:rsidR="00D25372" w:rsidRPr="00B04DC3">
        <w:rPr>
          <w:lang w:val="en-GB"/>
        </w:rPr>
        <w:t>;</w:t>
      </w:r>
      <w:r w:rsidRPr="00B04DC3">
        <w:rPr>
          <w:bCs/>
          <w:vertAlign w:val="superscript"/>
          <w:lang w:val="en-GB"/>
        </w:rPr>
        <w:footnoteReference w:id="43"/>
      </w:r>
      <w:r w:rsidRPr="00B04DC3">
        <w:rPr>
          <w:lang w:val="en-GB"/>
        </w:rPr>
        <w:t xml:space="preserve"> and</w:t>
      </w:r>
    </w:p>
    <w:p w:rsidR="00394348" w:rsidRPr="00B04DC3" w:rsidRDefault="00394348" w:rsidP="00394348">
      <w:pPr>
        <w:spacing w:after="120"/>
        <w:ind w:left="2835" w:right="1134" w:hanging="567"/>
        <w:jc w:val="both"/>
      </w:pPr>
      <w:r w:rsidRPr="00B04DC3">
        <w:t>(c)</w:t>
      </w:r>
      <w:r w:rsidRPr="00B04DC3">
        <w:tab/>
        <w:t>The failure does not affect a component or system enabling the proper performance of the OBD system</w:t>
      </w:r>
      <w:r w:rsidR="00677F11">
        <w:t>;</w:t>
      </w:r>
      <w:r w:rsidRPr="00B04DC3">
        <w:t xml:space="preserve"> and</w:t>
      </w:r>
    </w:p>
    <w:p w:rsidR="00394348" w:rsidRPr="00B04DC3" w:rsidRDefault="00394348" w:rsidP="00394348">
      <w:pPr>
        <w:spacing w:after="120"/>
        <w:ind w:left="2835" w:right="1134" w:hanging="567"/>
        <w:jc w:val="both"/>
      </w:pPr>
      <w:r w:rsidRPr="00B04DC3">
        <w:t>(d)</w:t>
      </w:r>
      <w:r w:rsidRPr="00B04DC3">
        <w:tab/>
        <w:t>The failure does not substantially delay or affect the ability of the emission control system to operate as originally designed (for example a breakdown of the reagent heating system under cold conditions cannot be considered as an exception).</w:t>
      </w:r>
    </w:p>
    <w:p w:rsidR="00394348" w:rsidRPr="00B04DC3" w:rsidRDefault="00394348" w:rsidP="00394348">
      <w:pPr>
        <w:tabs>
          <w:tab w:val="left" w:pos="2100"/>
        </w:tabs>
        <w:spacing w:after="120"/>
        <w:ind w:left="2268" w:right="1134"/>
        <w:jc w:val="both"/>
      </w:pPr>
      <w:r w:rsidRPr="00B04DC3">
        <w:t>Determination of the emissions impact shall be performed on a stabilized engine system in an engine dynamometer test cell, according to the demonstration procedures of this annex.</w:t>
      </w:r>
    </w:p>
    <w:p w:rsidR="00394348" w:rsidRPr="00B04DC3" w:rsidRDefault="00394348" w:rsidP="00394348">
      <w:pPr>
        <w:tabs>
          <w:tab w:val="left" w:pos="2100"/>
        </w:tabs>
        <w:spacing w:after="120"/>
        <w:ind w:left="2268" w:right="1134"/>
        <w:jc w:val="both"/>
      </w:pPr>
      <w:r w:rsidRPr="00B04DC3">
        <w:t xml:space="preserve">When such a demonstration would not be conclusive regarding criterion (d), the manufacturer shall submit to the </w:t>
      </w:r>
      <w:r w:rsidR="002D4D9D">
        <w:t>Type Approval Authority</w:t>
      </w:r>
      <w:r w:rsidRPr="00B04DC3">
        <w:t xml:space="preserve"> appropriate design elements such as good engineering practice, technical considerations, simulations, test results, etc.</w:t>
      </w:r>
    </w:p>
    <w:p w:rsidR="00AF2027" w:rsidRPr="00B04DC3" w:rsidRDefault="00AF2027" w:rsidP="00AF2027">
      <w:pPr>
        <w:pStyle w:val="para"/>
        <w:rPr>
          <w:lang w:val="en-GB"/>
        </w:rPr>
      </w:pPr>
      <w:bookmarkStart w:id="895" w:name="_Toc113764724"/>
      <w:bookmarkStart w:id="896" w:name="_Toc118223023"/>
      <w:r w:rsidRPr="00B04DC3">
        <w:rPr>
          <w:lang w:val="en-GB"/>
        </w:rPr>
        <w:t>4.2.3.</w:t>
      </w:r>
      <w:r w:rsidRPr="00B04DC3">
        <w:rPr>
          <w:lang w:val="en-GB"/>
        </w:rPr>
        <w:tab/>
        <w:t>Monitoring frequency</w:t>
      </w:r>
      <w:bookmarkEnd w:id="895"/>
      <w:bookmarkEnd w:id="896"/>
    </w:p>
    <w:p w:rsidR="00AF2027" w:rsidRPr="00B04DC3" w:rsidRDefault="00AF2027" w:rsidP="00AF2027">
      <w:pPr>
        <w:pStyle w:val="para"/>
        <w:rPr>
          <w:lang w:val="en-GB"/>
        </w:rPr>
      </w:pPr>
      <w:r w:rsidRPr="00B04DC3">
        <w:rPr>
          <w:lang w:val="en-GB"/>
        </w:rPr>
        <w:tab/>
        <w:t>Monitors shall run continuously, at any time where the monitoring conditions are fulfilled, or once per operating sequence (e.g. for monitors that lead to an increase of emission when it runs).</w:t>
      </w:r>
    </w:p>
    <w:p w:rsidR="00AF2027" w:rsidRPr="00B04DC3" w:rsidRDefault="00AF2027" w:rsidP="00AF2027">
      <w:pPr>
        <w:pStyle w:val="para"/>
        <w:rPr>
          <w:lang w:val="en-GB"/>
        </w:rPr>
      </w:pPr>
      <w:r w:rsidRPr="00B04DC3">
        <w:rPr>
          <w:lang w:val="en-GB"/>
        </w:rPr>
        <w:tab/>
        <w:t xml:space="preserve">When a monitor does not run continuously, the manufacturer shall clearly inform the </w:t>
      </w:r>
      <w:r w:rsidR="002F3FE3">
        <w:rPr>
          <w:lang w:val="en-GB"/>
        </w:rPr>
        <w:t xml:space="preserve">Type </w:t>
      </w:r>
      <w:r w:rsidRPr="00B04DC3">
        <w:rPr>
          <w:lang w:val="en-GB"/>
        </w:rPr>
        <w:t>Approval Authority and describe the conditions under which the monitor runs.</w:t>
      </w:r>
    </w:p>
    <w:p w:rsidR="00687057" w:rsidRPr="00B04DC3" w:rsidRDefault="00687057" w:rsidP="00687057">
      <w:pPr>
        <w:spacing w:after="120"/>
        <w:ind w:left="2268" w:right="1134"/>
        <w:jc w:val="both"/>
      </w:pPr>
      <w:r w:rsidRPr="00B04DC3">
        <w:t xml:space="preserve">At the request of the manufacturer, the </w:t>
      </w:r>
      <w:r w:rsidR="002F3FE3">
        <w:t>Type A</w:t>
      </w:r>
      <w:r w:rsidRPr="00B04DC3">
        <w:t xml:space="preserve">pproval </w:t>
      </w:r>
      <w:r w:rsidR="002F3FE3">
        <w:t>A</w:t>
      </w:r>
      <w:r w:rsidRPr="00B04DC3">
        <w:t xml:space="preserve">uthority may approve monitors that do not run continuously. In that case the manufacturer shall clearly inform the </w:t>
      </w:r>
      <w:r w:rsidR="002D4D9D">
        <w:t>Type Approval Authority</w:t>
      </w:r>
      <w:r w:rsidRPr="00B04DC3">
        <w:t xml:space="preserve"> and describe the conditions under which the monitor runs and justify the proposal by appropriate design elements (such as good engineering practice).</w:t>
      </w:r>
    </w:p>
    <w:p w:rsidR="00687057" w:rsidRPr="00B04DC3" w:rsidRDefault="00687057" w:rsidP="00687057">
      <w:pPr>
        <w:pStyle w:val="para"/>
        <w:ind w:firstLine="0"/>
        <w:rPr>
          <w:lang w:val="en-GB"/>
        </w:rPr>
      </w:pPr>
      <w:r w:rsidRPr="00B04DC3">
        <w:rPr>
          <w:lang w:val="en-GB"/>
        </w:rPr>
        <w:t>A monitor shall be regarded as running continuously, if it samples at a rate not less than twice per second and concludes the presence or the absence of the failure relevant to that monitor within 15 seconds. If a computer input or output component is sampled less frequently than twice per second for engine control purpose, a monitor shall also be regarded as running continuously, if the system concludes the presence or the absence of the failure relevant to that monitor each time sampling occurs.</w:t>
      </w:r>
    </w:p>
    <w:p w:rsidR="00AF2027" w:rsidRPr="00B04DC3" w:rsidRDefault="00AF2027" w:rsidP="00AF2027">
      <w:pPr>
        <w:pStyle w:val="para"/>
        <w:rPr>
          <w:lang w:val="en-GB"/>
        </w:rPr>
      </w:pPr>
      <w:r w:rsidRPr="00B04DC3">
        <w:rPr>
          <w:lang w:val="en-GB"/>
        </w:rPr>
        <w:tab/>
        <w:t>For components or systems monitored continuously, it is not required to activate an output component/system for the sole purpose of monitoring that output component/system.</w:t>
      </w:r>
    </w:p>
    <w:p w:rsidR="00AF2027" w:rsidRPr="00B04DC3" w:rsidRDefault="00AF2027" w:rsidP="00AF2027">
      <w:pPr>
        <w:pStyle w:val="para"/>
        <w:rPr>
          <w:lang w:val="en-GB"/>
        </w:rPr>
      </w:pPr>
      <w:bookmarkStart w:id="897" w:name="_Toc113764725"/>
      <w:bookmarkStart w:id="898" w:name="_Toc118223024"/>
      <w:bookmarkEnd w:id="889"/>
      <w:r w:rsidRPr="00B04DC3">
        <w:rPr>
          <w:lang w:val="en-GB"/>
        </w:rPr>
        <w:t>4.3.</w:t>
      </w:r>
      <w:r w:rsidRPr="00B04DC3">
        <w:rPr>
          <w:lang w:val="en-GB"/>
        </w:rPr>
        <w:tab/>
        <w:t>Requirements for recording OBD information</w:t>
      </w:r>
      <w:bookmarkEnd w:id="897"/>
      <w:bookmarkEnd w:id="898"/>
    </w:p>
    <w:p w:rsidR="00AF2027" w:rsidRPr="00B04DC3" w:rsidRDefault="00AF2027" w:rsidP="00AF2027">
      <w:pPr>
        <w:pStyle w:val="para"/>
        <w:rPr>
          <w:lang w:val="en-GB"/>
        </w:rPr>
      </w:pPr>
      <w:r w:rsidRPr="00B04DC3">
        <w:rPr>
          <w:lang w:val="en-GB"/>
        </w:rPr>
        <w:tab/>
        <w:t>When a malfunction has been detected but is not yet confirmed, the possible malfunction shall be considered as a "Potential DTC" and accordingly a "Pending DTC" status shall be recorded. A "Potential DTC" shall not lead to an activation of the alert system according to paragraph 4.6.</w:t>
      </w:r>
      <w:r w:rsidR="002F043C" w:rsidRPr="002F043C">
        <w:rPr>
          <w:lang w:val="en-GB"/>
        </w:rPr>
        <w:t xml:space="preserve"> </w:t>
      </w:r>
      <w:r w:rsidR="002F043C">
        <w:rPr>
          <w:lang w:val="en-GB"/>
        </w:rPr>
        <w:t>to this annex.</w:t>
      </w:r>
    </w:p>
    <w:p w:rsidR="00AF2027" w:rsidRPr="00B04DC3" w:rsidRDefault="00AF2027" w:rsidP="00AF2027">
      <w:pPr>
        <w:pStyle w:val="para"/>
        <w:rPr>
          <w:lang w:val="en-GB"/>
        </w:rPr>
      </w:pPr>
      <w:r w:rsidRPr="00B04DC3">
        <w:rPr>
          <w:lang w:val="en-GB"/>
        </w:rPr>
        <w:tab/>
        <w:t>Within the first operating sequence, a malfunction may be directly considered "confirmed and active" without having been considered a "potential DTC". It shall be given the "Pending DTC" and a "confirmed and active DTC" status.</w:t>
      </w:r>
    </w:p>
    <w:p w:rsidR="00687057" w:rsidRPr="00B04DC3" w:rsidRDefault="00AF2027" w:rsidP="00AF2027">
      <w:pPr>
        <w:pStyle w:val="para"/>
        <w:rPr>
          <w:lang w:val="en-GB"/>
        </w:rPr>
      </w:pPr>
      <w:r w:rsidRPr="00B04DC3">
        <w:rPr>
          <w:lang w:val="en-GB"/>
        </w:rPr>
        <w:tab/>
      </w:r>
      <w:r w:rsidR="00687057" w:rsidRPr="00B04DC3">
        <w:rPr>
          <w:lang w:val="en-GB"/>
        </w:rPr>
        <w:t xml:space="preserve">In case a malfunction with the previously active status occurs again, that malfunction may at the choice of manufacturer be directly given the "Pending DTC" and "confirmed and active DTC" status without having been given the "potential DTC" status. If that malfunction is given the potential status, it shall also keep the previously active status during the time it is not yet confirmed </w:t>
      </w:r>
      <w:r w:rsidR="00687057" w:rsidRPr="00B04DC3">
        <w:rPr>
          <w:rFonts w:ascii="(Utiliser une police de caractè" w:hAnsi="(Utiliser une police de caractè"/>
          <w:lang w:val="en-GB"/>
        </w:rPr>
        <w:t>and</w:t>
      </w:r>
      <w:r w:rsidR="00687057" w:rsidRPr="00B04DC3">
        <w:rPr>
          <w:lang w:val="en-GB"/>
        </w:rPr>
        <w:t xml:space="preserve"> active.</w:t>
      </w:r>
    </w:p>
    <w:p w:rsidR="00AF2027" w:rsidRPr="00B04DC3" w:rsidRDefault="00AF2027" w:rsidP="00AF2027">
      <w:pPr>
        <w:pStyle w:val="para"/>
        <w:rPr>
          <w:lang w:val="en-GB"/>
        </w:rPr>
      </w:pPr>
      <w:r w:rsidRPr="00B04DC3">
        <w:rPr>
          <w:lang w:val="en-GB"/>
        </w:rPr>
        <w:tab/>
        <w:t>The monitoring system shall conclude whether a malfunction is present before the end of the next operating sequence following its first detection. At this time, a "confirmed and active" DTC shall be stored and the alert system be activated according to paragraph 4.6.</w:t>
      </w:r>
      <w:r w:rsidR="002F043C" w:rsidRPr="002F043C">
        <w:rPr>
          <w:lang w:val="en-GB"/>
        </w:rPr>
        <w:t xml:space="preserve"> </w:t>
      </w:r>
      <w:r w:rsidR="002F043C">
        <w:rPr>
          <w:lang w:val="en-GB"/>
        </w:rPr>
        <w:t>to this annex.</w:t>
      </w:r>
    </w:p>
    <w:p w:rsidR="00AF2027" w:rsidRPr="006E1E07" w:rsidRDefault="00AF2027" w:rsidP="00AF2027">
      <w:pPr>
        <w:pStyle w:val="para"/>
        <w:rPr>
          <w:spacing w:val="-2"/>
          <w:lang w:val="en-GB"/>
        </w:rPr>
      </w:pPr>
      <w:r w:rsidRPr="006E1E07">
        <w:rPr>
          <w:spacing w:val="-2"/>
          <w:lang w:val="en-GB"/>
        </w:rPr>
        <w:tab/>
        <w:t>In case of a recoverable MECS (i.e. the operation automatically returns to normal and the MECS is de-activated at the next engine ON), a "confirmed and active" DTC need not be stored unless the MECS is again activated before the end of the next operating sequence. In case of a non-recoverable MECS, a "confirmed and active" DTC shall be stored as soon as the MECS is activated.</w:t>
      </w:r>
    </w:p>
    <w:p w:rsidR="00AF2027" w:rsidRPr="006E1E07" w:rsidRDefault="00AF2027" w:rsidP="00AF2027">
      <w:pPr>
        <w:pStyle w:val="para"/>
        <w:rPr>
          <w:spacing w:val="-2"/>
          <w:lang w:val="en-GB"/>
        </w:rPr>
      </w:pPr>
      <w:r w:rsidRPr="006E1E07">
        <w:rPr>
          <w:spacing w:val="-2"/>
          <w:lang w:val="en-GB"/>
        </w:rPr>
        <w:tab/>
        <w:t xml:space="preserve">In some specific cases where monitors need more than two operating sequences to accurately detect and confirm a malfunction (e.g. monitors using statistical models or with respect to fluid consumption on the vehicle), the </w:t>
      </w:r>
      <w:r w:rsidR="002D4D9D" w:rsidRPr="006E1E07">
        <w:rPr>
          <w:spacing w:val="-2"/>
          <w:lang w:val="en-GB"/>
        </w:rPr>
        <w:t>Type Approval Authority</w:t>
      </w:r>
      <w:r w:rsidRPr="006E1E07">
        <w:rPr>
          <w:spacing w:val="-2"/>
          <w:lang w:val="en-GB"/>
        </w:rPr>
        <w:t xml:space="preserve"> may permit the use of more than two operating sequences for monitoring provided the manufacturer justifies the need for the longer period (e.g. by technical rationale, experimental results, in house experience, etc.).</w:t>
      </w:r>
    </w:p>
    <w:p w:rsidR="00AF2027" w:rsidRPr="00B04DC3" w:rsidRDefault="00AF2027" w:rsidP="00AF2027">
      <w:pPr>
        <w:pStyle w:val="para"/>
        <w:ind w:firstLine="0"/>
        <w:rPr>
          <w:lang w:val="en-GB"/>
        </w:rPr>
      </w:pPr>
      <w:r w:rsidRPr="00B04DC3">
        <w:rPr>
          <w:lang w:val="en-GB"/>
        </w:rPr>
        <w:tab/>
        <w:t>When a confirmed and active malfunction is no longer detected by the system during a complete operating sequence, it shall be given the previously active status by the start of the next operating sequence and keep that status until the OBD information associated with this malfunction is erased by a scan tool or erased from the computer memory according to paragraph 4.4.</w:t>
      </w:r>
      <w:r w:rsidR="002F043C">
        <w:rPr>
          <w:lang w:val="en-GB"/>
        </w:rPr>
        <w:t xml:space="preserve"> below.</w:t>
      </w:r>
    </w:p>
    <w:p w:rsidR="00AF2027" w:rsidRPr="00B04DC3" w:rsidRDefault="00AF2027" w:rsidP="00AF2027">
      <w:pPr>
        <w:pStyle w:val="para"/>
        <w:rPr>
          <w:lang w:val="en-GB"/>
        </w:rPr>
      </w:pPr>
      <w:r w:rsidRPr="00B04DC3">
        <w:rPr>
          <w:lang w:val="en-GB"/>
        </w:rPr>
        <w:tab/>
      </w:r>
      <w:r w:rsidRPr="00B04DC3">
        <w:rPr>
          <w:i/>
          <w:lang w:val="en-GB"/>
        </w:rPr>
        <w:t>Note:</w:t>
      </w:r>
      <w:r w:rsidRPr="00B04DC3">
        <w:rPr>
          <w:lang w:val="en-GB"/>
        </w:rPr>
        <w:t xml:space="preserve"> The requirements prescribed in this paragraph are illustrated in Appendix 2</w:t>
      </w:r>
      <w:r w:rsidR="002F043C" w:rsidRPr="002F043C">
        <w:rPr>
          <w:lang w:val="en-GB"/>
        </w:rPr>
        <w:t xml:space="preserve"> </w:t>
      </w:r>
      <w:r w:rsidR="002F043C">
        <w:rPr>
          <w:lang w:val="en-GB"/>
        </w:rPr>
        <w:t>to this annex</w:t>
      </w:r>
      <w:r w:rsidRPr="00B04DC3">
        <w:rPr>
          <w:lang w:val="en-GB"/>
        </w:rPr>
        <w:t>.</w:t>
      </w:r>
    </w:p>
    <w:p w:rsidR="00AF2027" w:rsidRPr="00B04DC3" w:rsidRDefault="00AF2027" w:rsidP="00AF2027">
      <w:pPr>
        <w:pStyle w:val="para"/>
        <w:rPr>
          <w:lang w:val="en-GB"/>
        </w:rPr>
      </w:pPr>
      <w:r w:rsidRPr="00B04DC3">
        <w:rPr>
          <w:lang w:val="en-GB"/>
        </w:rPr>
        <w:t>4.4.</w:t>
      </w:r>
      <w:r w:rsidRPr="00B04DC3">
        <w:rPr>
          <w:lang w:val="en-GB"/>
        </w:rPr>
        <w:tab/>
      </w:r>
      <w:bookmarkStart w:id="899" w:name="_Toc113764726"/>
      <w:bookmarkStart w:id="900" w:name="_Ref117047647"/>
      <w:bookmarkStart w:id="901" w:name="_Toc118223025"/>
      <w:r w:rsidRPr="00B04DC3">
        <w:rPr>
          <w:lang w:val="en-GB"/>
        </w:rPr>
        <w:t>Requirements for erasing OBD information</w:t>
      </w:r>
      <w:bookmarkEnd w:id="899"/>
      <w:bookmarkEnd w:id="900"/>
      <w:bookmarkEnd w:id="901"/>
    </w:p>
    <w:p w:rsidR="00AF2027" w:rsidRPr="00B04DC3" w:rsidRDefault="00AF2027" w:rsidP="00AF2027">
      <w:pPr>
        <w:pStyle w:val="para"/>
        <w:rPr>
          <w:lang w:val="en-GB"/>
        </w:rPr>
      </w:pPr>
      <w:r w:rsidRPr="00B04DC3">
        <w:rPr>
          <w:lang w:val="en-GB"/>
        </w:rPr>
        <w:tab/>
        <w:t>DTC and the applicable information (inclusive the associated freeze frame) shall not be erased by the OBD system itself from the computer memory until that DTC has been in the previously active status for at least 40 warm-up cycles or 200 engine operating hours, whichever occurs first. The OBD system shall erase all the DTCs and the applicable information (inclusive the associated freeze frame) upon request of a scan tool or a maintenance tool.</w:t>
      </w:r>
    </w:p>
    <w:p w:rsidR="00AF2027" w:rsidRPr="00B04DC3" w:rsidRDefault="00AF2027" w:rsidP="00AF2027">
      <w:pPr>
        <w:pStyle w:val="para"/>
        <w:rPr>
          <w:lang w:val="en-GB"/>
        </w:rPr>
      </w:pPr>
      <w:bookmarkStart w:id="902" w:name="_Ref117046100"/>
      <w:bookmarkStart w:id="903" w:name="_Toc118223026"/>
      <w:r w:rsidRPr="00B04DC3">
        <w:rPr>
          <w:lang w:val="en-GB"/>
        </w:rPr>
        <w:t>4.5.</w:t>
      </w:r>
      <w:r w:rsidRPr="00B04DC3">
        <w:rPr>
          <w:lang w:val="en-GB"/>
        </w:rPr>
        <w:tab/>
        <w:t>Requirements for malfunction classification</w:t>
      </w:r>
      <w:bookmarkEnd w:id="902"/>
      <w:bookmarkEnd w:id="903"/>
    </w:p>
    <w:p w:rsidR="00AF2027" w:rsidRPr="00B04DC3" w:rsidRDefault="00AF2027" w:rsidP="00AF2027">
      <w:pPr>
        <w:pStyle w:val="para"/>
        <w:rPr>
          <w:lang w:val="en-GB"/>
        </w:rPr>
      </w:pPr>
      <w:r w:rsidRPr="00B04DC3">
        <w:rPr>
          <w:lang w:val="en-GB"/>
        </w:rPr>
        <w:tab/>
        <w:t>Malfunction classification specifies the class to which a malfunction is assigned when such a malfunction is detected, according to the requirements of paragraph 4.2. of this annex.</w:t>
      </w:r>
    </w:p>
    <w:p w:rsidR="00AF2027" w:rsidRPr="00B04DC3" w:rsidRDefault="00AF2027" w:rsidP="00AF2027">
      <w:pPr>
        <w:pStyle w:val="para"/>
        <w:rPr>
          <w:lang w:val="en-GB"/>
        </w:rPr>
      </w:pPr>
      <w:r w:rsidRPr="00B04DC3">
        <w:rPr>
          <w:lang w:val="en-GB"/>
        </w:rPr>
        <w:tab/>
        <w:t>A malfunction shall be assigned to one class for the actual life of the vehicle unless the</w:t>
      </w:r>
      <w:r w:rsidR="002F3FE3">
        <w:rPr>
          <w:lang w:val="en-GB"/>
        </w:rPr>
        <w:t xml:space="preserve"> Type Approval Authority </w:t>
      </w:r>
      <w:r w:rsidRPr="00B04DC3">
        <w:rPr>
          <w:lang w:val="en-GB"/>
        </w:rPr>
        <w:t>that granted the certificate or the manufacturer determines that reclassification of that malfunction is necessary.</w:t>
      </w:r>
    </w:p>
    <w:p w:rsidR="00AF2027" w:rsidRPr="00B04DC3" w:rsidRDefault="00AF2027" w:rsidP="00AF2027">
      <w:pPr>
        <w:pStyle w:val="para"/>
        <w:rPr>
          <w:lang w:val="en-GB"/>
        </w:rPr>
      </w:pPr>
      <w:r w:rsidRPr="00B04DC3">
        <w:rPr>
          <w:lang w:val="en-GB"/>
        </w:rPr>
        <w:tab/>
        <w:t>If a malfunction would result in a different classification for different regulated pollutant emissions or for its impact on other monitoring capability, the malfunction shall be assigned to the class that takes precedence in the discriminatory display strategy.</w:t>
      </w:r>
    </w:p>
    <w:p w:rsidR="00AF2027" w:rsidRPr="00B04DC3" w:rsidRDefault="00AF2027" w:rsidP="00AF2027">
      <w:pPr>
        <w:pStyle w:val="para"/>
        <w:rPr>
          <w:lang w:val="en-GB"/>
        </w:rPr>
      </w:pPr>
      <w:r w:rsidRPr="00B04DC3">
        <w:rPr>
          <w:lang w:val="en-GB"/>
        </w:rPr>
        <w:tab/>
        <w:t xml:space="preserve">If an MECS is activated as a result of the detection of a malfunction, this malfunction shall be classified based on either the emission impact of the activated MECS or its impact on other monitoring capability. </w:t>
      </w:r>
      <w:r w:rsidR="00D77E75" w:rsidRPr="00B04DC3">
        <w:rPr>
          <w:lang w:val="en-GB"/>
        </w:rPr>
        <w:t>The malfunction shall then be assigned to the class that takes precedence in the discriminatory display strategy.</w:t>
      </w:r>
    </w:p>
    <w:p w:rsidR="00AF2027" w:rsidRPr="00B04DC3" w:rsidRDefault="00AF2027" w:rsidP="00AF2027">
      <w:pPr>
        <w:pStyle w:val="para"/>
        <w:rPr>
          <w:lang w:val="en-GB"/>
        </w:rPr>
      </w:pPr>
      <w:bookmarkStart w:id="904" w:name="_Toc118223027"/>
      <w:r w:rsidRPr="00B04DC3">
        <w:rPr>
          <w:lang w:val="en-GB"/>
        </w:rPr>
        <w:t>4.5.1.</w:t>
      </w:r>
      <w:r w:rsidRPr="00B04DC3">
        <w:rPr>
          <w:lang w:val="en-GB"/>
        </w:rPr>
        <w:tab/>
        <w:t>Class A malfunction</w:t>
      </w:r>
      <w:bookmarkEnd w:id="904"/>
    </w:p>
    <w:p w:rsidR="00AF2027" w:rsidRPr="00B04DC3" w:rsidRDefault="00AF2027" w:rsidP="00AF2027">
      <w:pPr>
        <w:pStyle w:val="para"/>
        <w:rPr>
          <w:lang w:val="en-GB"/>
        </w:rPr>
      </w:pPr>
      <w:r w:rsidRPr="00B04DC3">
        <w:rPr>
          <w:lang w:val="en-GB"/>
        </w:rPr>
        <w:tab/>
        <w:t xml:space="preserve">A malfunction shall be identified as Class A when the relevant OBD </w:t>
      </w:r>
      <w:r w:rsidR="002F043C" w:rsidRPr="00B04DC3">
        <w:rPr>
          <w:lang w:val="en-GB"/>
        </w:rPr>
        <w:t>T</w:t>
      </w:r>
      <w:r w:rsidRPr="00B04DC3">
        <w:rPr>
          <w:lang w:val="en-GB"/>
        </w:rPr>
        <w:t xml:space="preserve">hreshold </w:t>
      </w:r>
      <w:r w:rsidR="002F043C" w:rsidRPr="00B04DC3">
        <w:rPr>
          <w:lang w:val="en-GB"/>
        </w:rPr>
        <w:t>L</w:t>
      </w:r>
      <w:r w:rsidRPr="00B04DC3">
        <w:rPr>
          <w:lang w:val="en-GB"/>
        </w:rPr>
        <w:t>imits (OTLs) are assumed to be exceeded.</w:t>
      </w:r>
    </w:p>
    <w:p w:rsidR="00AF2027" w:rsidRPr="00B04DC3" w:rsidRDefault="00AF2027" w:rsidP="00AF2027">
      <w:pPr>
        <w:pStyle w:val="para"/>
        <w:rPr>
          <w:lang w:val="en-GB"/>
        </w:rPr>
      </w:pPr>
      <w:r w:rsidRPr="00B04DC3">
        <w:rPr>
          <w:lang w:val="en-GB"/>
        </w:rPr>
        <w:tab/>
        <w:t>It is accepted that the emissions may not be above the OTLs when this class of malfunction occurs.</w:t>
      </w:r>
    </w:p>
    <w:p w:rsidR="00AF2027" w:rsidRPr="00B04DC3" w:rsidRDefault="00AF2027" w:rsidP="00AF2027">
      <w:pPr>
        <w:pStyle w:val="para"/>
        <w:rPr>
          <w:lang w:val="en-GB"/>
        </w:rPr>
      </w:pPr>
      <w:bookmarkStart w:id="905" w:name="_Toc118223028"/>
      <w:r w:rsidRPr="00B04DC3">
        <w:rPr>
          <w:lang w:val="en-GB"/>
        </w:rPr>
        <w:t>4.5.2.</w:t>
      </w:r>
      <w:r w:rsidRPr="00B04DC3">
        <w:rPr>
          <w:lang w:val="en-GB"/>
        </w:rPr>
        <w:tab/>
        <w:t>Class B1 malfunction</w:t>
      </w:r>
      <w:bookmarkEnd w:id="905"/>
    </w:p>
    <w:p w:rsidR="00AF2027" w:rsidRPr="00B04DC3" w:rsidRDefault="00AF2027" w:rsidP="00AF2027">
      <w:pPr>
        <w:pStyle w:val="para"/>
        <w:rPr>
          <w:lang w:val="en-GB"/>
        </w:rPr>
      </w:pPr>
      <w:r w:rsidRPr="00B04DC3">
        <w:rPr>
          <w:lang w:val="en-GB"/>
        </w:rPr>
        <w:tab/>
        <w:t>A malfunction shall be identified as Class B1 where circumstances exist that have the potential to lead to emissions being above the OTLs but for which the exact influence on emission cannot be estimated and thus the actual emissions according to circumstances may be above or below the OTLs.</w:t>
      </w:r>
    </w:p>
    <w:p w:rsidR="00AF2027" w:rsidRPr="00B04DC3" w:rsidRDefault="00AF2027" w:rsidP="00AF2027">
      <w:pPr>
        <w:pStyle w:val="para"/>
        <w:rPr>
          <w:lang w:val="en-GB"/>
        </w:rPr>
      </w:pPr>
      <w:r w:rsidRPr="00B04DC3">
        <w:rPr>
          <w:lang w:val="en-GB"/>
        </w:rPr>
        <w:tab/>
        <w:t>Examples of Class B1 malfunctions may include malfunctions detected by monitors that infer emission levels based on readings of sensors or restricted monitoring capability.</w:t>
      </w:r>
    </w:p>
    <w:p w:rsidR="00AF2027" w:rsidRPr="00B04DC3" w:rsidRDefault="00AF2027" w:rsidP="00AF2027">
      <w:pPr>
        <w:pStyle w:val="para"/>
        <w:rPr>
          <w:lang w:val="en-GB"/>
        </w:rPr>
      </w:pPr>
      <w:r w:rsidRPr="00B04DC3">
        <w:rPr>
          <w:lang w:val="en-GB"/>
        </w:rPr>
        <w:tab/>
        <w:t>Class B1 malfunctions shall include malfunctions that restrict the ability of the OBD system to carry out monitoring of Class A or B1 malfunctions.</w:t>
      </w:r>
    </w:p>
    <w:p w:rsidR="00AF2027" w:rsidRPr="00B04DC3" w:rsidRDefault="00AF2027" w:rsidP="00AF2027">
      <w:pPr>
        <w:pStyle w:val="para"/>
        <w:rPr>
          <w:lang w:val="en-GB"/>
        </w:rPr>
      </w:pPr>
      <w:bookmarkStart w:id="906" w:name="_Toc118223029"/>
      <w:r w:rsidRPr="00B04DC3">
        <w:rPr>
          <w:lang w:val="en-GB"/>
        </w:rPr>
        <w:t>4.5.3.</w:t>
      </w:r>
      <w:r w:rsidRPr="00B04DC3">
        <w:rPr>
          <w:lang w:val="en-GB"/>
        </w:rPr>
        <w:tab/>
        <w:t>Class B2 malfunction</w:t>
      </w:r>
      <w:bookmarkEnd w:id="906"/>
    </w:p>
    <w:p w:rsidR="00AF2027" w:rsidRPr="00B04DC3" w:rsidRDefault="00AF2027" w:rsidP="00AF2027">
      <w:pPr>
        <w:pStyle w:val="para"/>
        <w:rPr>
          <w:lang w:val="en-GB"/>
        </w:rPr>
      </w:pPr>
      <w:r w:rsidRPr="00B04DC3">
        <w:rPr>
          <w:lang w:val="en-GB"/>
        </w:rPr>
        <w:tab/>
        <w:t>A malfunction shall be identified as Class B2 when circumstances exist that are assumed to influence emissions but not to a level that exceeds the OTL.</w:t>
      </w:r>
    </w:p>
    <w:p w:rsidR="00AF2027" w:rsidRPr="00B04DC3" w:rsidRDefault="00AF2027" w:rsidP="00AF2027">
      <w:pPr>
        <w:pStyle w:val="para"/>
        <w:rPr>
          <w:lang w:val="en-GB"/>
        </w:rPr>
      </w:pPr>
      <w:r w:rsidRPr="00B04DC3">
        <w:rPr>
          <w:lang w:val="en-GB"/>
        </w:rPr>
        <w:tab/>
        <w:t>Malfunctions that restrict the ability of the OBD system to carry out monitoring of Class B2 malfunctions of shall be classified into Class B1 or B2.</w:t>
      </w:r>
    </w:p>
    <w:p w:rsidR="00AF2027" w:rsidRPr="00B04DC3" w:rsidRDefault="00AF2027" w:rsidP="00AF2027">
      <w:pPr>
        <w:pStyle w:val="para"/>
        <w:rPr>
          <w:lang w:val="en-GB"/>
        </w:rPr>
      </w:pPr>
      <w:bookmarkStart w:id="907" w:name="_Toc118223030"/>
      <w:r w:rsidRPr="00B04DC3">
        <w:rPr>
          <w:lang w:val="en-GB"/>
        </w:rPr>
        <w:t>4.5.4.</w:t>
      </w:r>
      <w:r w:rsidRPr="00B04DC3">
        <w:rPr>
          <w:lang w:val="en-GB"/>
        </w:rPr>
        <w:tab/>
        <w:t>Class C malfunction</w:t>
      </w:r>
      <w:bookmarkEnd w:id="907"/>
    </w:p>
    <w:p w:rsidR="00AF2027" w:rsidRPr="00B04DC3" w:rsidRDefault="00AF2027" w:rsidP="00AF2027">
      <w:pPr>
        <w:pStyle w:val="para"/>
        <w:rPr>
          <w:lang w:val="en-GB"/>
        </w:rPr>
      </w:pPr>
      <w:r w:rsidRPr="00B04DC3">
        <w:rPr>
          <w:lang w:val="en-GB"/>
        </w:rPr>
        <w:tab/>
        <w:t>A malfunction shall be identified as Class C when circumstances exist that, if monitored, are assumed to influence emissions but to a level that would not exceed the regulated emission limits.</w:t>
      </w:r>
    </w:p>
    <w:p w:rsidR="00AF2027" w:rsidRPr="00B04DC3" w:rsidRDefault="00AF2027" w:rsidP="00AF2027">
      <w:pPr>
        <w:pStyle w:val="para"/>
        <w:rPr>
          <w:lang w:val="en-GB"/>
        </w:rPr>
      </w:pPr>
      <w:r w:rsidRPr="00B04DC3">
        <w:rPr>
          <w:lang w:val="en-GB"/>
        </w:rPr>
        <w:tab/>
        <w:t>Malfunctions that restrict the ability of the OBD system to carry out monitoring of Class C malfunctions shall be classified into Class B1 or B2.</w:t>
      </w:r>
    </w:p>
    <w:p w:rsidR="00AF2027" w:rsidRPr="00B04DC3" w:rsidRDefault="00AF2027" w:rsidP="00AF2027">
      <w:pPr>
        <w:pStyle w:val="para"/>
        <w:rPr>
          <w:lang w:val="en-GB"/>
        </w:rPr>
      </w:pPr>
      <w:bookmarkStart w:id="908" w:name="_Ref117047194"/>
      <w:bookmarkStart w:id="909" w:name="_Toc118223031"/>
      <w:r w:rsidRPr="00B04DC3">
        <w:rPr>
          <w:lang w:val="en-GB"/>
        </w:rPr>
        <w:t>4.6.</w:t>
      </w:r>
      <w:r w:rsidRPr="00B04DC3">
        <w:rPr>
          <w:lang w:val="en-GB"/>
        </w:rPr>
        <w:tab/>
        <w:t>Alert system</w:t>
      </w:r>
      <w:bookmarkEnd w:id="908"/>
      <w:bookmarkEnd w:id="909"/>
    </w:p>
    <w:p w:rsidR="00AF2027" w:rsidRPr="00B04DC3" w:rsidRDefault="00AF2027" w:rsidP="00AF2027">
      <w:pPr>
        <w:pStyle w:val="para"/>
        <w:rPr>
          <w:lang w:val="en-GB"/>
        </w:rPr>
      </w:pPr>
      <w:r w:rsidRPr="00B04DC3">
        <w:rPr>
          <w:lang w:val="en-GB"/>
        </w:rPr>
        <w:tab/>
        <w:t>The failure of a component of the alert system shall not cause the OBD system to stop functioning.</w:t>
      </w:r>
    </w:p>
    <w:p w:rsidR="00337B4B" w:rsidRPr="00B04DC3" w:rsidRDefault="00337B4B" w:rsidP="00337B4B">
      <w:pPr>
        <w:spacing w:after="120"/>
        <w:ind w:left="2268" w:right="1134" w:hanging="1134"/>
        <w:jc w:val="both"/>
      </w:pPr>
      <w:bookmarkStart w:id="910" w:name="_Toc118223032"/>
      <w:r w:rsidRPr="00B04DC3">
        <w:t>4.6.1</w:t>
      </w:r>
      <w:r w:rsidRPr="00B04DC3">
        <w:tab/>
        <w:t>MI specification</w:t>
      </w:r>
    </w:p>
    <w:p w:rsidR="00337B4B" w:rsidRPr="00B04DC3" w:rsidRDefault="00337B4B" w:rsidP="00337B4B">
      <w:pPr>
        <w:pStyle w:val="para"/>
        <w:ind w:firstLine="0"/>
        <w:rPr>
          <w:lang w:val="en-GB"/>
        </w:rPr>
      </w:pPr>
      <w:r w:rsidRPr="00B04DC3">
        <w:rPr>
          <w:lang w:val="en-GB"/>
        </w:rPr>
        <w:t>The malfunction indicator shall be a visual signal that is perceptible under all lighting conditions. The malfunction indicator shall comprise a yellow or amber (as defined in Regulation No. 37) warning signal identified by the 0640 symbol in accordance with ISO standard 7000:2004.</w:t>
      </w:r>
    </w:p>
    <w:p w:rsidR="00AF2027" w:rsidRPr="00B04DC3" w:rsidRDefault="00AF2027" w:rsidP="00AF2027">
      <w:pPr>
        <w:pStyle w:val="para"/>
        <w:rPr>
          <w:lang w:val="en-GB"/>
        </w:rPr>
      </w:pPr>
      <w:bookmarkStart w:id="911" w:name="_Toc116368233"/>
      <w:bookmarkStart w:id="912" w:name="_Toc118223033"/>
      <w:bookmarkEnd w:id="910"/>
      <w:r w:rsidRPr="00B04DC3">
        <w:rPr>
          <w:lang w:val="en-GB"/>
        </w:rPr>
        <w:t>4.6.2.</w:t>
      </w:r>
      <w:r w:rsidRPr="00B04DC3">
        <w:rPr>
          <w:lang w:val="en-GB"/>
        </w:rPr>
        <w:tab/>
        <w:t>MI illumination schemes</w:t>
      </w:r>
      <w:bookmarkEnd w:id="911"/>
      <w:bookmarkEnd w:id="912"/>
    </w:p>
    <w:p w:rsidR="00AF2027" w:rsidRPr="00B04DC3" w:rsidRDefault="00AF2027" w:rsidP="00AF2027">
      <w:pPr>
        <w:pStyle w:val="para"/>
        <w:rPr>
          <w:lang w:val="en-GB"/>
        </w:rPr>
      </w:pPr>
      <w:r w:rsidRPr="00B04DC3">
        <w:rPr>
          <w:lang w:val="en-GB"/>
        </w:rPr>
        <w:tab/>
        <w:t>Depending on the malfunction(s) detected by the OBD system, the MI shall be illuminated according to one of the activation modes described in the following table:</w:t>
      </w:r>
    </w:p>
    <w:tbl>
      <w:tblPr>
        <w:tblW w:w="86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33"/>
        <w:gridCol w:w="1701"/>
        <w:gridCol w:w="1701"/>
        <w:gridCol w:w="1970"/>
        <w:gridCol w:w="1970"/>
      </w:tblGrid>
      <w:tr w:rsidR="00AF2027" w:rsidRPr="00B04DC3" w:rsidTr="002D4D9D">
        <w:trPr>
          <w:trHeight w:val="397"/>
        </w:trPr>
        <w:tc>
          <w:tcPr>
            <w:tcW w:w="1333" w:type="dxa"/>
            <w:tcBorders>
              <w:bottom w:val="single" w:sz="12" w:space="0" w:color="auto"/>
            </w:tcBorders>
            <w:vAlign w:val="center"/>
          </w:tcPr>
          <w:p w:rsidR="00AF2027" w:rsidRPr="00B04DC3" w:rsidRDefault="00AF2027" w:rsidP="00AF2027">
            <w:pPr>
              <w:pStyle w:val="GTRnormalCarCarCar1"/>
              <w:keepNext/>
              <w:keepLines/>
              <w:tabs>
                <w:tab w:val="left" w:pos="1418"/>
                <w:tab w:val="left" w:pos="1701"/>
                <w:tab w:val="left" w:pos="2268"/>
                <w:tab w:val="left" w:pos="8789"/>
              </w:tabs>
              <w:spacing w:before="80" w:after="80" w:line="200" w:lineRule="exact"/>
              <w:ind w:left="0"/>
              <w:jc w:val="center"/>
              <w:rPr>
                <w:rFonts w:ascii="Times New Roman" w:hAnsi="Times New Roman" w:cs="Times New Roman"/>
                <w:i/>
                <w:sz w:val="16"/>
                <w:szCs w:val="16"/>
              </w:rPr>
            </w:pPr>
          </w:p>
        </w:tc>
        <w:tc>
          <w:tcPr>
            <w:tcW w:w="1701" w:type="dxa"/>
            <w:tcBorders>
              <w:bottom w:val="single" w:sz="12" w:space="0" w:color="auto"/>
            </w:tcBorders>
            <w:vAlign w:val="center"/>
          </w:tcPr>
          <w:p w:rsidR="00AF2027" w:rsidRPr="00B04DC3" w:rsidRDefault="00AF2027" w:rsidP="00AF2027">
            <w:pPr>
              <w:pStyle w:val="GTRnormalCarCarCar1"/>
              <w:keepNext/>
              <w:keepLines/>
              <w:tabs>
                <w:tab w:val="left" w:pos="1418"/>
                <w:tab w:val="left" w:pos="1701"/>
                <w:tab w:val="left" w:pos="2268"/>
                <w:tab w:val="left" w:pos="8789"/>
              </w:tabs>
              <w:spacing w:before="80" w:after="80" w:line="200" w:lineRule="exact"/>
              <w:ind w:left="0"/>
              <w:jc w:val="right"/>
              <w:rPr>
                <w:rFonts w:ascii="Times New Roman" w:hAnsi="Times New Roman" w:cs="Times New Roman"/>
                <w:i/>
                <w:sz w:val="16"/>
                <w:szCs w:val="16"/>
              </w:rPr>
            </w:pPr>
            <w:r w:rsidRPr="00B04DC3">
              <w:rPr>
                <w:rFonts w:ascii="Times New Roman" w:hAnsi="Times New Roman" w:cs="Times New Roman"/>
                <w:i/>
                <w:sz w:val="16"/>
                <w:szCs w:val="16"/>
              </w:rPr>
              <w:t>Activation mode 1</w:t>
            </w:r>
          </w:p>
        </w:tc>
        <w:tc>
          <w:tcPr>
            <w:tcW w:w="1701" w:type="dxa"/>
            <w:tcBorders>
              <w:bottom w:val="single" w:sz="12" w:space="0" w:color="auto"/>
            </w:tcBorders>
            <w:vAlign w:val="center"/>
          </w:tcPr>
          <w:p w:rsidR="00AF2027" w:rsidRPr="00B04DC3" w:rsidRDefault="00AF2027" w:rsidP="00AF2027">
            <w:pPr>
              <w:pStyle w:val="GTRnormalCarCarCar1"/>
              <w:keepNext/>
              <w:keepLines/>
              <w:tabs>
                <w:tab w:val="left" w:pos="1418"/>
                <w:tab w:val="left" w:pos="1701"/>
                <w:tab w:val="left" w:pos="2268"/>
                <w:tab w:val="left" w:pos="8789"/>
              </w:tabs>
              <w:spacing w:before="80" w:after="80" w:line="200" w:lineRule="exact"/>
              <w:ind w:left="0"/>
              <w:jc w:val="right"/>
              <w:rPr>
                <w:rFonts w:ascii="Times New Roman" w:hAnsi="Times New Roman" w:cs="Times New Roman"/>
                <w:i/>
                <w:sz w:val="16"/>
                <w:szCs w:val="16"/>
              </w:rPr>
            </w:pPr>
            <w:r w:rsidRPr="00B04DC3">
              <w:rPr>
                <w:rFonts w:ascii="Times New Roman" w:hAnsi="Times New Roman" w:cs="Times New Roman"/>
                <w:i/>
                <w:sz w:val="16"/>
                <w:szCs w:val="16"/>
              </w:rPr>
              <w:t>Activation mode 2</w:t>
            </w:r>
          </w:p>
        </w:tc>
        <w:tc>
          <w:tcPr>
            <w:tcW w:w="1970" w:type="dxa"/>
            <w:tcBorders>
              <w:bottom w:val="single" w:sz="12" w:space="0" w:color="auto"/>
            </w:tcBorders>
            <w:vAlign w:val="center"/>
          </w:tcPr>
          <w:p w:rsidR="00AF2027" w:rsidRPr="00B04DC3" w:rsidRDefault="00AF2027" w:rsidP="00AF2027">
            <w:pPr>
              <w:pStyle w:val="GTRnormalCarCarCar1"/>
              <w:keepNext/>
              <w:keepLines/>
              <w:tabs>
                <w:tab w:val="left" w:pos="1418"/>
                <w:tab w:val="left" w:pos="1701"/>
                <w:tab w:val="left" w:pos="2268"/>
                <w:tab w:val="left" w:pos="8789"/>
              </w:tabs>
              <w:spacing w:before="80" w:after="80" w:line="200" w:lineRule="exact"/>
              <w:ind w:left="4" w:hanging="4"/>
              <w:jc w:val="right"/>
              <w:rPr>
                <w:rFonts w:ascii="Times New Roman" w:hAnsi="Times New Roman" w:cs="Times New Roman"/>
                <w:i/>
                <w:sz w:val="16"/>
                <w:szCs w:val="16"/>
              </w:rPr>
            </w:pPr>
            <w:r w:rsidRPr="00B04DC3">
              <w:rPr>
                <w:rFonts w:ascii="Times New Roman" w:hAnsi="Times New Roman" w:cs="Times New Roman"/>
                <w:i/>
                <w:sz w:val="16"/>
                <w:szCs w:val="16"/>
              </w:rPr>
              <w:t>Activation mode 3</w:t>
            </w:r>
          </w:p>
        </w:tc>
        <w:tc>
          <w:tcPr>
            <w:tcW w:w="1970" w:type="dxa"/>
            <w:tcBorders>
              <w:bottom w:val="single" w:sz="12" w:space="0" w:color="auto"/>
            </w:tcBorders>
            <w:vAlign w:val="center"/>
          </w:tcPr>
          <w:p w:rsidR="00AF2027" w:rsidRPr="00B04DC3" w:rsidRDefault="00AF2027" w:rsidP="00AF2027">
            <w:pPr>
              <w:pStyle w:val="GTRnormalCarCarCar1"/>
              <w:keepNext/>
              <w:keepLines/>
              <w:tabs>
                <w:tab w:val="left" w:pos="1418"/>
                <w:tab w:val="left" w:pos="1701"/>
                <w:tab w:val="left" w:pos="2268"/>
                <w:tab w:val="left" w:pos="8789"/>
              </w:tabs>
              <w:spacing w:before="80" w:after="80" w:line="200" w:lineRule="exact"/>
              <w:ind w:left="18" w:hanging="18"/>
              <w:jc w:val="right"/>
              <w:rPr>
                <w:rFonts w:ascii="Times New Roman" w:hAnsi="Times New Roman" w:cs="Times New Roman"/>
                <w:i/>
                <w:sz w:val="16"/>
                <w:szCs w:val="16"/>
              </w:rPr>
            </w:pPr>
            <w:r w:rsidRPr="00B04DC3">
              <w:rPr>
                <w:rFonts w:ascii="Times New Roman" w:hAnsi="Times New Roman" w:cs="Times New Roman"/>
                <w:i/>
                <w:sz w:val="16"/>
                <w:szCs w:val="16"/>
              </w:rPr>
              <w:t>Activation mode 4</w:t>
            </w:r>
          </w:p>
        </w:tc>
      </w:tr>
      <w:tr w:rsidR="00AF2027" w:rsidRPr="00B04DC3" w:rsidTr="002D4D9D">
        <w:trPr>
          <w:trHeight w:val="397"/>
        </w:trPr>
        <w:tc>
          <w:tcPr>
            <w:tcW w:w="1333" w:type="dxa"/>
            <w:tcBorders>
              <w:top w:val="single" w:sz="12" w:space="0" w:color="auto"/>
            </w:tcBorders>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0"/>
              <w:rPr>
                <w:rFonts w:ascii="Times New Roman" w:hAnsi="Times New Roman" w:cs="Times New Roman"/>
                <w:szCs w:val="20"/>
              </w:rPr>
            </w:pPr>
            <w:r w:rsidRPr="00B04DC3">
              <w:rPr>
                <w:rFonts w:ascii="Times New Roman" w:hAnsi="Times New Roman" w:cs="Times New Roman"/>
                <w:szCs w:val="20"/>
              </w:rPr>
              <w:t>Conditions of activation</w:t>
            </w:r>
          </w:p>
        </w:tc>
        <w:tc>
          <w:tcPr>
            <w:tcW w:w="1701" w:type="dxa"/>
            <w:tcBorders>
              <w:top w:val="single" w:sz="12" w:space="0" w:color="auto"/>
            </w:tcBorders>
            <w:vAlign w:val="center"/>
          </w:tcPr>
          <w:p w:rsidR="00AF2027" w:rsidRPr="00B04DC3" w:rsidRDefault="00AF2027" w:rsidP="006E1E07">
            <w:pPr>
              <w:pStyle w:val="GTRnormalCarCarCar1"/>
              <w:keepNext/>
              <w:keepLines/>
              <w:tabs>
                <w:tab w:val="left" w:pos="1418"/>
                <w:tab w:val="left" w:pos="1701"/>
                <w:tab w:val="left" w:pos="2268"/>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No malfunction</w:t>
            </w:r>
          </w:p>
        </w:tc>
        <w:tc>
          <w:tcPr>
            <w:tcW w:w="1701" w:type="dxa"/>
            <w:tcBorders>
              <w:top w:val="single" w:sz="12" w:space="0" w:color="auto"/>
            </w:tcBorders>
            <w:vAlign w:val="center"/>
          </w:tcPr>
          <w:p w:rsidR="00AF2027" w:rsidRPr="00B04DC3" w:rsidRDefault="00AF2027" w:rsidP="006E1E07">
            <w:pPr>
              <w:pStyle w:val="GTRnormalCarCarCar1"/>
              <w:keepNext/>
              <w:keepLines/>
              <w:tabs>
                <w:tab w:val="left" w:pos="1418"/>
                <w:tab w:val="left" w:pos="1701"/>
                <w:tab w:val="left" w:pos="2268"/>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Class C malfunction</w:t>
            </w:r>
          </w:p>
        </w:tc>
        <w:tc>
          <w:tcPr>
            <w:tcW w:w="1970" w:type="dxa"/>
            <w:tcBorders>
              <w:top w:val="single" w:sz="12" w:space="0" w:color="auto"/>
            </w:tcBorders>
            <w:vAlign w:val="center"/>
          </w:tcPr>
          <w:p w:rsidR="00AF2027" w:rsidRPr="00B04DC3" w:rsidRDefault="00AF2027" w:rsidP="006E1E07">
            <w:pPr>
              <w:pStyle w:val="GTRnormalCarCarCar1"/>
              <w:keepNext/>
              <w:keepLines/>
              <w:tabs>
                <w:tab w:val="left" w:pos="1418"/>
                <w:tab w:val="left" w:pos="1701"/>
                <w:tab w:val="left" w:pos="2268"/>
                <w:tab w:val="left" w:pos="8789"/>
              </w:tabs>
              <w:spacing w:before="40" w:after="40" w:line="240" w:lineRule="exact"/>
              <w:ind w:left="4" w:hanging="4"/>
              <w:jc w:val="right"/>
              <w:rPr>
                <w:rFonts w:ascii="Times New Roman" w:hAnsi="Times New Roman" w:cs="Times New Roman"/>
                <w:szCs w:val="20"/>
              </w:rPr>
            </w:pPr>
            <w:r w:rsidRPr="00B04DC3">
              <w:rPr>
                <w:rFonts w:ascii="Times New Roman" w:hAnsi="Times New Roman" w:cs="Times New Roman"/>
                <w:szCs w:val="20"/>
              </w:rPr>
              <w:t xml:space="preserve">Class B malfunction and B1 counters </w:t>
            </w:r>
            <w:r w:rsidRPr="00B04DC3">
              <w:rPr>
                <w:rFonts w:ascii="Times New Roman" w:hAnsi="Times New Roman" w:cs="Times New Roman"/>
                <w:szCs w:val="20"/>
              </w:rPr>
              <w:br/>
              <w:t>&lt; 200 h</w:t>
            </w:r>
          </w:p>
        </w:tc>
        <w:tc>
          <w:tcPr>
            <w:tcW w:w="1970" w:type="dxa"/>
            <w:tcBorders>
              <w:top w:val="single" w:sz="12" w:space="0" w:color="auto"/>
            </w:tcBorders>
            <w:vAlign w:val="center"/>
          </w:tcPr>
          <w:p w:rsidR="00AF2027" w:rsidRPr="00B04DC3" w:rsidRDefault="00AF2027" w:rsidP="006E1E07">
            <w:pPr>
              <w:pStyle w:val="GTRnormalCarCarCar1"/>
              <w:keepNext/>
              <w:keepLines/>
              <w:tabs>
                <w:tab w:val="left" w:pos="1418"/>
                <w:tab w:val="left" w:pos="1701"/>
                <w:tab w:val="left" w:pos="2268"/>
                <w:tab w:val="left" w:pos="8789"/>
              </w:tabs>
              <w:spacing w:before="40" w:after="40" w:line="240" w:lineRule="exact"/>
              <w:ind w:left="18" w:hanging="18"/>
              <w:jc w:val="right"/>
              <w:rPr>
                <w:rFonts w:ascii="Times New Roman" w:hAnsi="Times New Roman" w:cs="Times New Roman"/>
                <w:szCs w:val="20"/>
              </w:rPr>
            </w:pPr>
            <w:r w:rsidRPr="00B04DC3">
              <w:rPr>
                <w:rFonts w:ascii="Times New Roman" w:hAnsi="Times New Roman" w:cs="Times New Roman"/>
                <w:szCs w:val="20"/>
              </w:rPr>
              <w:t xml:space="preserve">Class A malfunction or B1 counter </w:t>
            </w:r>
            <w:r w:rsidRPr="00B04DC3">
              <w:rPr>
                <w:rFonts w:ascii="Times New Roman" w:hAnsi="Times New Roman" w:cs="Times New Roman"/>
                <w:szCs w:val="20"/>
              </w:rPr>
              <w:br/>
              <w:t>&gt; 200 h</w:t>
            </w:r>
          </w:p>
        </w:tc>
      </w:tr>
      <w:tr w:rsidR="00AF2027" w:rsidRPr="00B04DC3">
        <w:trPr>
          <w:trHeight w:val="397"/>
        </w:trPr>
        <w:tc>
          <w:tcPr>
            <w:tcW w:w="1333" w:type="dxa"/>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0"/>
              <w:rPr>
                <w:rFonts w:ascii="Times New Roman" w:hAnsi="Times New Roman" w:cs="Times New Roman"/>
                <w:szCs w:val="20"/>
              </w:rPr>
            </w:pPr>
            <w:r w:rsidRPr="00B04DC3">
              <w:rPr>
                <w:rFonts w:ascii="Times New Roman" w:hAnsi="Times New Roman" w:cs="Times New Roman"/>
                <w:szCs w:val="20"/>
              </w:rPr>
              <w:t>Key on engine on</w:t>
            </w:r>
          </w:p>
        </w:tc>
        <w:tc>
          <w:tcPr>
            <w:tcW w:w="1701" w:type="dxa"/>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No display</w:t>
            </w:r>
          </w:p>
        </w:tc>
        <w:tc>
          <w:tcPr>
            <w:tcW w:w="1701" w:type="dxa"/>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Discriminatory display strategy</w:t>
            </w:r>
          </w:p>
        </w:tc>
        <w:tc>
          <w:tcPr>
            <w:tcW w:w="1970" w:type="dxa"/>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4" w:hanging="4"/>
              <w:jc w:val="right"/>
              <w:rPr>
                <w:rFonts w:ascii="Times New Roman" w:hAnsi="Times New Roman" w:cs="Times New Roman"/>
                <w:szCs w:val="20"/>
              </w:rPr>
            </w:pPr>
            <w:r w:rsidRPr="00B04DC3">
              <w:rPr>
                <w:rFonts w:ascii="Times New Roman" w:hAnsi="Times New Roman" w:cs="Times New Roman"/>
                <w:szCs w:val="20"/>
              </w:rPr>
              <w:t>Discriminatory display strategy</w:t>
            </w:r>
          </w:p>
        </w:tc>
        <w:tc>
          <w:tcPr>
            <w:tcW w:w="1970" w:type="dxa"/>
            <w:vAlign w:val="center"/>
          </w:tcPr>
          <w:p w:rsidR="00AF2027" w:rsidRPr="00B04DC3" w:rsidRDefault="00AF2027" w:rsidP="006E1E07">
            <w:pPr>
              <w:pStyle w:val="GTRnormalCarCarCar1"/>
              <w:keepNext/>
              <w:keepLines/>
              <w:tabs>
                <w:tab w:val="left" w:pos="1701"/>
                <w:tab w:val="left" w:pos="2268"/>
                <w:tab w:val="left" w:pos="8789"/>
              </w:tabs>
              <w:spacing w:before="40" w:after="40" w:line="240" w:lineRule="exact"/>
              <w:ind w:left="18" w:hanging="18"/>
              <w:jc w:val="right"/>
              <w:rPr>
                <w:rFonts w:ascii="Times New Roman" w:hAnsi="Times New Roman" w:cs="Times New Roman"/>
                <w:szCs w:val="20"/>
              </w:rPr>
            </w:pPr>
            <w:r w:rsidRPr="00B04DC3">
              <w:rPr>
                <w:rFonts w:ascii="Times New Roman" w:hAnsi="Times New Roman" w:cs="Times New Roman"/>
                <w:szCs w:val="20"/>
              </w:rPr>
              <w:t>Discriminatory display strategy</w:t>
            </w:r>
          </w:p>
        </w:tc>
      </w:tr>
      <w:tr w:rsidR="00AF2027" w:rsidRPr="00B04DC3" w:rsidTr="002D4D9D">
        <w:trPr>
          <w:trHeight w:val="397"/>
        </w:trPr>
        <w:tc>
          <w:tcPr>
            <w:tcW w:w="1333" w:type="dxa"/>
            <w:tcBorders>
              <w:bottom w:val="single" w:sz="12" w:space="0" w:color="auto"/>
            </w:tcBorders>
            <w:vAlign w:val="center"/>
          </w:tcPr>
          <w:p w:rsidR="00AF2027" w:rsidRPr="00B04DC3" w:rsidRDefault="00AF2027" w:rsidP="006E1E07">
            <w:pPr>
              <w:pStyle w:val="GTRnormalCarCarCar1"/>
              <w:keepNext/>
              <w:keepLines/>
              <w:tabs>
                <w:tab w:val="left" w:pos="8789"/>
              </w:tabs>
              <w:spacing w:before="40" w:after="40" w:line="240" w:lineRule="exact"/>
              <w:ind w:left="0"/>
              <w:rPr>
                <w:rFonts w:ascii="Times New Roman" w:hAnsi="Times New Roman" w:cs="Times New Roman"/>
                <w:szCs w:val="20"/>
              </w:rPr>
            </w:pPr>
            <w:r w:rsidRPr="00B04DC3">
              <w:rPr>
                <w:rFonts w:ascii="Times New Roman" w:hAnsi="Times New Roman" w:cs="Times New Roman"/>
                <w:szCs w:val="20"/>
              </w:rPr>
              <w:t>Key on engine off</w:t>
            </w:r>
          </w:p>
        </w:tc>
        <w:tc>
          <w:tcPr>
            <w:tcW w:w="1701" w:type="dxa"/>
            <w:tcBorders>
              <w:bottom w:val="single" w:sz="12" w:space="0" w:color="auto"/>
            </w:tcBorders>
            <w:vAlign w:val="center"/>
          </w:tcPr>
          <w:p w:rsidR="00AF2027" w:rsidRPr="00B04DC3" w:rsidRDefault="00AF2027" w:rsidP="006E1E07">
            <w:pPr>
              <w:pStyle w:val="GTRnormalCarCarCar1"/>
              <w:keepNext/>
              <w:keepLines/>
              <w:tabs>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Harmonized display strategy</w:t>
            </w:r>
          </w:p>
        </w:tc>
        <w:tc>
          <w:tcPr>
            <w:tcW w:w="1701" w:type="dxa"/>
            <w:tcBorders>
              <w:bottom w:val="single" w:sz="12" w:space="0" w:color="auto"/>
            </w:tcBorders>
            <w:vAlign w:val="center"/>
          </w:tcPr>
          <w:p w:rsidR="00AF2027" w:rsidRPr="00B04DC3" w:rsidRDefault="00AF2027" w:rsidP="006E1E07">
            <w:pPr>
              <w:pStyle w:val="GTRnormalCarCarCar1"/>
              <w:keepNext/>
              <w:keepLines/>
              <w:tabs>
                <w:tab w:val="left" w:pos="8789"/>
              </w:tabs>
              <w:spacing w:before="40" w:after="40" w:line="240" w:lineRule="exact"/>
              <w:ind w:left="0"/>
              <w:jc w:val="right"/>
              <w:rPr>
                <w:rFonts w:ascii="Times New Roman" w:hAnsi="Times New Roman" w:cs="Times New Roman"/>
                <w:szCs w:val="20"/>
              </w:rPr>
            </w:pPr>
            <w:r w:rsidRPr="00B04DC3">
              <w:rPr>
                <w:rFonts w:ascii="Times New Roman" w:hAnsi="Times New Roman" w:cs="Times New Roman"/>
                <w:szCs w:val="20"/>
              </w:rPr>
              <w:t>Harmonized display strategy</w:t>
            </w:r>
          </w:p>
        </w:tc>
        <w:tc>
          <w:tcPr>
            <w:tcW w:w="1970" w:type="dxa"/>
            <w:tcBorders>
              <w:bottom w:val="single" w:sz="12" w:space="0" w:color="auto"/>
            </w:tcBorders>
            <w:vAlign w:val="center"/>
          </w:tcPr>
          <w:p w:rsidR="00AF2027" w:rsidRPr="00B04DC3" w:rsidRDefault="00AF2027" w:rsidP="006E1E07">
            <w:pPr>
              <w:pStyle w:val="GTRnormalCarCarCar1"/>
              <w:keepNext/>
              <w:keepLines/>
              <w:tabs>
                <w:tab w:val="left" w:pos="8789"/>
              </w:tabs>
              <w:spacing w:before="40" w:after="40" w:line="240" w:lineRule="exact"/>
              <w:ind w:left="4" w:hanging="4"/>
              <w:jc w:val="right"/>
              <w:rPr>
                <w:rFonts w:ascii="Times New Roman" w:hAnsi="Times New Roman" w:cs="Times New Roman"/>
                <w:szCs w:val="20"/>
              </w:rPr>
            </w:pPr>
            <w:r w:rsidRPr="00B04DC3">
              <w:rPr>
                <w:rFonts w:ascii="Times New Roman" w:hAnsi="Times New Roman" w:cs="Times New Roman"/>
                <w:szCs w:val="20"/>
              </w:rPr>
              <w:t>Harmonized display strategy</w:t>
            </w:r>
          </w:p>
        </w:tc>
        <w:tc>
          <w:tcPr>
            <w:tcW w:w="1970" w:type="dxa"/>
            <w:tcBorders>
              <w:bottom w:val="single" w:sz="12" w:space="0" w:color="auto"/>
            </w:tcBorders>
            <w:vAlign w:val="center"/>
          </w:tcPr>
          <w:p w:rsidR="00AF2027" w:rsidRPr="00B04DC3" w:rsidRDefault="00AF2027" w:rsidP="006E1E07">
            <w:pPr>
              <w:pStyle w:val="GTRnormalCarCarCar1"/>
              <w:keepNext/>
              <w:keepLines/>
              <w:tabs>
                <w:tab w:val="left" w:pos="8789"/>
              </w:tabs>
              <w:spacing w:before="40" w:after="40" w:line="240" w:lineRule="exact"/>
              <w:ind w:left="18" w:hanging="18"/>
              <w:jc w:val="right"/>
              <w:rPr>
                <w:rFonts w:ascii="Times New Roman" w:hAnsi="Times New Roman" w:cs="Times New Roman"/>
                <w:szCs w:val="20"/>
              </w:rPr>
            </w:pPr>
            <w:r w:rsidRPr="00B04DC3">
              <w:rPr>
                <w:rFonts w:ascii="Times New Roman" w:hAnsi="Times New Roman" w:cs="Times New Roman"/>
                <w:szCs w:val="20"/>
              </w:rPr>
              <w:t>Harmonized display strategy</w:t>
            </w:r>
          </w:p>
        </w:tc>
      </w:tr>
    </w:tbl>
    <w:p w:rsidR="00AF2027" w:rsidRPr="00B04DC3" w:rsidRDefault="00AF2027" w:rsidP="00AF2027">
      <w:pPr>
        <w:pStyle w:val="para"/>
        <w:spacing w:before="240"/>
        <w:rPr>
          <w:lang w:val="en-GB"/>
        </w:rPr>
      </w:pPr>
      <w:r w:rsidRPr="00B04DC3">
        <w:rPr>
          <w:lang w:val="en-GB"/>
        </w:rPr>
        <w:tab/>
        <w:t>The display strategy requires the MI to be activated according to the class in which a malfunction has been classified. This strategy shall be locked by software coding that shall not be routinely available via the scan tool.</w:t>
      </w:r>
    </w:p>
    <w:p w:rsidR="00AF2027" w:rsidRPr="00B04DC3" w:rsidRDefault="00AF2027" w:rsidP="00AF2027">
      <w:pPr>
        <w:pStyle w:val="para"/>
        <w:rPr>
          <w:lang w:val="en-GB"/>
        </w:rPr>
      </w:pPr>
      <w:r w:rsidRPr="00B04DC3">
        <w:rPr>
          <w:lang w:val="en-GB"/>
        </w:rPr>
        <w:tab/>
        <w:t>The MI activation strategy at key on, engine off is described in paragraph 4.6.4.</w:t>
      </w:r>
      <w:r w:rsidR="002F043C" w:rsidRPr="002F043C">
        <w:rPr>
          <w:lang w:val="en-GB"/>
        </w:rPr>
        <w:t xml:space="preserve"> </w:t>
      </w:r>
      <w:r w:rsidR="002F043C">
        <w:rPr>
          <w:lang w:val="en-GB"/>
        </w:rPr>
        <w:t>to this annex.</w:t>
      </w:r>
    </w:p>
    <w:p w:rsidR="00AF2027" w:rsidRPr="00B04DC3" w:rsidRDefault="00AF2027" w:rsidP="00AF2027">
      <w:pPr>
        <w:pStyle w:val="para"/>
        <w:rPr>
          <w:i/>
          <w:lang w:val="en-GB"/>
        </w:rPr>
      </w:pPr>
      <w:r w:rsidRPr="00B04DC3">
        <w:rPr>
          <w:lang w:val="en-GB"/>
        </w:rPr>
        <w:tab/>
        <w:t>Figures B1 and B2 illustrate the prescribed activation strategies at key on, engine on or off.</w:t>
      </w:r>
    </w:p>
    <w:p w:rsidR="00AF2027" w:rsidRPr="00B04DC3" w:rsidRDefault="002D4D9D" w:rsidP="00AF2027">
      <w:pPr>
        <w:pStyle w:val="Heading1"/>
        <w:keepNext/>
        <w:keepLines/>
        <w:ind w:left="567" w:firstLine="567"/>
      </w:pPr>
      <w:r>
        <w:br w:type="page"/>
      </w:r>
      <w:bookmarkStart w:id="913" w:name="_Toc399940087"/>
      <w:bookmarkStart w:id="914" w:name="_Toc423599671"/>
      <w:bookmarkStart w:id="915" w:name="_Toc423611079"/>
      <w:r w:rsidR="00AF2027" w:rsidRPr="00B04DC3">
        <w:t>Figure B1</w:t>
      </w:r>
      <w:bookmarkEnd w:id="913"/>
      <w:bookmarkEnd w:id="914"/>
      <w:bookmarkEnd w:id="915"/>
    </w:p>
    <w:p w:rsidR="00AF2027" w:rsidRPr="00B04DC3" w:rsidRDefault="00AF2027" w:rsidP="00AF2027">
      <w:pPr>
        <w:pStyle w:val="Heading1"/>
        <w:keepNext/>
        <w:keepLines/>
        <w:rPr>
          <w:b/>
        </w:rPr>
      </w:pPr>
      <w:bookmarkStart w:id="916" w:name="_Toc399940088"/>
      <w:bookmarkStart w:id="917" w:name="_Toc423599672"/>
      <w:bookmarkStart w:id="918" w:name="_Toc423611080"/>
      <w:r w:rsidRPr="00B04DC3">
        <w:rPr>
          <w:b/>
        </w:rPr>
        <w:t>Bulb test and readiness indication</w:t>
      </w:r>
      <w:bookmarkEnd w:id="916"/>
      <w:bookmarkEnd w:id="917"/>
      <w:bookmarkEnd w:id="918"/>
      <w:r w:rsidRPr="00B04DC3">
        <w:rPr>
          <w:b/>
        </w:rPr>
        <w:t xml:space="preserve"> </w:t>
      </w:r>
    </w:p>
    <w:p w:rsidR="00AF2027" w:rsidRPr="00B04DC3" w:rsidRDefault="00A905B7" w:rsidP="00AF2027">
      <w:pPr>
        <w:pStyle w:val="GTRnormal"/>
        <w:tabs>
          <w:tab w:val="clear" w:pos="540"/>
          <w:tab w:val="left" w:pos="1134"/>
          <w:tab w:val="left" w:pos="1418"/>
          <w:tab w:val="left" w:pos="1701"/>
          <w:tab w:val="left" w:pos="2268"/>
          <w:tab w:val="left" w:pos="8789"/>
        </w:tabs>
        <w:ind w:left="0" w:firstLine="0"/>
        <w:jc w:val="both"/>
        <w:rPr>
          <w:rFonts w:ascii="Times New Roman" w:hAnsi="Times New Roman" w:cs="Times New Roman"/>
          <w:sz w:val="24"/>
        </w:rPr>
      </w:pPr>
      <w:r>
        <w:rPr>
          <w:b/>
          <w:noProof/>
          <w:szCs w:val="20"/>
          <w:u w:val="single"/>
        </w:rPr>
        <w:pict>
          <v:shape id="_x0000_s5521" type="#_x0000_t202" style="position:absolute;left:0;text-align:left;margin-left:2.7pt;margin-top:9.15pt;width:486pt;height:378pt;z-index:251600896">
            <v:textbox style="mso-next-textbox:#_x0000_s5521">
              <w:txbxContent>
                <w:p w:rsidR="00A905B7" w:rsidRDefault="00A905B7" w:rsidP="00AF2027">
                  <w:pPr>
                    <w:pStyle w:val="FootnoteText"/>
                    <w:tabs>
                      <w:tab w:val="left" w:pos="1134"/>
                      <w:tab w:val="left" w:pos="4536"/>
                    </w:tabs>
                    <w:rPr>
                      <w:rFonts w:cs="Courier New"/>
                    </w:rPr>
                  </w:pPr>
                  <w:r>
                    <w:rPr>
                      <w:rFonts w:cs="Courier New"/>
                    </w:rPr>
                    <w:tab/>
                    <w:t>ENGINE ON</w:t>
                  </w:r>
                  <w:r>
                    <w:rPr>
                      <w:rFonts w:cs="Courier New"/>
                    </w:rPr>
                    <w:tab/>
                  </w:r>
                  <w:r>
                    <w:rPr>
                      <w:rFonts w:cs="Courier New"/>
                    </w:rPr>
                    <w:tab/>
                    <w:t>ENGINE OFF</w:t>
                  </w:r>
                </w:p>
                <w:p w:rsidR="00A905B7" w:rsidRDefault="00A905B7" w:rsidP="00AF2027">
                  <w:pPr>
                    <w:pStyle w:val="GTRnormal"/>
                    <w:tabs>
                      <w:tab w:val="clear" w:pos="540"/>
                    </w:tabs>
                    <w:ind w:left="0" w:firstLine="0"/>
                    <w:rPr>
                      <w:rFonts w:ascii="Times New Roman" w:hAnsi="Times New Roman"/>
                      <w:highlight w:val="cyan"/>
                    </w:rPr>
                  </w:pPr>
                </w:p>
                <w:p w:rsidR="00A905B7" w:rsidRDefault="00A905B7" w:rsidP="00AF2027">
                  <w:pPr>
                    <w:pStyle w:val="GTRnormal"/>
                    <w:tabs>
                      <w:tab w:val="clear" w:pos="540"/>
                      <w:tab w:val="left" w:pos="567"/>
                    </w:tabs>
                    <w:ind w:left="0" w:firstLine="0"/>
                    <w:rPr>
                      <w:rFonts w:ascii="Times New Roman" w:hAnsi="Times New Roman"/>
                    </w:rPr>
                  </w:pPr>
                  <w:r>
                    <w:rPr>
                      <w:rFonts w:ascii="Times New Roman" w:hAnsi="Times New Roman"/>
                    </w:rPr>
                    <w:t xml:space="preserve">a) </w:t>
                  </w:r>
                  <w:r>
                    <w:rPr>
                      <w:rFonts w:ascii="Times New Roman" w:hAnsi="Times New Roman"/>
                    </w:rPr>
                    <w:tab/>
                    <w:t>MI (bulb) functioning, no malfunction to report, and the readiness of all monitored components "complete".</w:t>
                  </w:r>
                </w:p>
                <w:p w:rsidR="00A905B7" w:rsidRDefault="00A905B7" w:rsidP="00AF2027">
                  <w:r>
                    <w:object w:dxaOrig="4184" w:dyaOrig="1322">
                      <v:shape id="_x0000_i1417" type="#_x0000_t75" style="width:209.4pt;height:66pt" o:ole="">
                        <v:imagedata r:id="rId636" o:title=""/>
                      </v:shape>
                      <o:OLEObject Type="Embed" ProgID="Visio.Drawing.11" ShapeID="_x0000_i1417" DrawAspect="Content" ObjectID="_1498392415" r:id="rId637"/>
                    </w:object>
                  </w:r>
                  <w:r>
                    <w:t xml:space="preserve"> </w:t>
                  </w:r>
                  <w:r>
                    <w:object w:dxaOrig="4982" w:dyaOrig="1294">
                      <v:shape id="_x0000_i1419" type="#_x0000_t75" style="width:249.6pt;height:64.2pt" o:ole="">
                        <v:imagedata r:id="rId638" o:title=""/>
                      </v:shape>
                      <o:OLEObject Type="Embed" ProgID="Visio.Drawing.6" ShapeID="_x0000_i1419" DrawAspect="Content" ObjectID="_1498392416" r:id="rId639"/>
                    </w:object>
                  </w: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 w:val="left" w:pos="567"/>
                    </w:tabs>
                    <w:ind w:left="0" w:firstLine="0"/>
                    <w:rPr>
                      <w:rFonts w:ascii="Times New Roman" w:hAnsi="Times New Roman"/>
                    </w:rPr>
                  </w:pPr>
                  <w:r>
                    <w:rPr>
                      <w:rFonts w:ascii="Times New Roman" w:hAnsi="Times New Roman"/>
                    </w:rPr>
                    <w:t xml:space="preserve">b) </w:t>
                  </w:r>
                  <w:r>
                    <w:rPr>
                      <w:rFonts w:ascii="Times New Roman" w:hAnsi="Times New Roman"/>
                    </w:rPr>
                    <w:tab/>
                    <w:t>MI (bulb) functioning, no malfunction to report, and at least one component with readiness "not complete".</w:t>
                  </w:r>
                </w:p>
                <w:p w:rsidR="00A905B7" w:rsidRDefault="00A905B7" w:rsidP="00AF2027">
                  <w:r>
                    <w:object w:dxaOrig="4139" w:dyaOrig="1330">
                      <v:shape id="_x0000_i1421" type="#_x0000_t75" style="width:206.4pt;height:66.6pt" o:ole="">
                        <v:imagedata r:id="rId640" o:title=""/>
                      </v:shape>
                      <o:OLEObject Type="Embed" ProgID="Visio.Drawing.11" ShapeID="_x0000_i1421" DrawAspect="Content" ObjectID="_1498392417" r:id="rId641"/>
                    </w:object>
                  </w:r>
                  <w:r>
                    <w:t xml:space="preserve"> </w:t>
                  </w:r>
                  <w:r>
                    <w:object w:dxaOrig="4982" w:dyaOrig="1294">
                      <v:shape id="_x0000_i1423" type="#_x0000_t75" style="width:249.6pt;height:64.2pt" o:ole="">
                        <v:imagedata r:id="rId642" o:title=""/>
                      </v:shape>
                      <o:OLEObject Type="Embed" ProgID="Visio.Drawing.6" ShapeID="_x0000_i1423" DrawAspect="Content" ObjectID="_1498392418" r:id="rId643"/>
                    </w:object>
                  </w: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s>
                    <w:ind w:left="0" w:firstLine="0"/>
                    <w:rPr>
                      <w:rFonts w:ascii="Times New Roman" w:hAnsi="Times New Roman"/>
                    </w:rPr>
                  </w:pPr>
                </w:p>
                <w:p w:rsidR="00A905B7" w:rsidRDefault="00A905B7" w:rsidP="00AF2027">
                  <w:pPr>
                    <w:pStyle w:val="GTRnormal"/>
                    <w:tabs>
                      <w:tab w:val="clear" w:pos="540"/>
                      <w:tab w:val="left" w:pos="567"/>
                    </w:tabs>
                    <w:ind w:left="0" w:firstLine="0"/>
                    <w:rPr>
                      <w:rFonts w:ascii="Times New Roman" w:hAnsi="Times New Roman"/>
                    </w:rPr>
                  </w:pPr>
                  <w:r>
                    <w:rPr>
                      <w:rFonts w:ascii="Times New Roman" w:hAnsi="Times New Roman"/>
                    </w:rPr>
                    <w:t xml:space="preserve">c) </w:t>
                  </w:r>
                  <w:r>
                    <w:rPr>
                      <w:rFonts w:ascii="Times New Roman" w:hAnsi="Times New Roman"/>
                    </w:rPr>
                    <w:tab/>
                    <w:t>MI (bulb) non operational</w:t>
                  </w:r>
                </w:p>
                <w:p w:rsidR="00A905B7" w:rsidRDefault="00A905B7" w:rsidP="00AF2027">
                  <w:r>
                    <w:object w:dxaOrig="4184" w:dyaOrig="1322">
                      <v:shape id="_x0000_i1425" type="#_x0000_t75" style="width:209.4pt;height:66pt" o:ole="">
                        <v:imagedata r:id="rId636" o:title=""/>
                      </v:shape>
                      <o:OLEObject Type="Embed" ProgID="Visio.Drawing.11" ShapeID="_x0000_i1425" DrawAspect="Content" ObjectID="_1498392419" r:id="rId644"/>
                    </w:object>
                  </w:r>
                  <w:r>
                    <w:t xml:space="preserve"> </w:t>
                  </w:r>
                  <w:r>
                    <w:object w:dxaOrig="4982" w:dyaOrig="1387">
                      <v:shape id="_x0000_i1427" type="#_x0000_t75" style="width:249.6pt;height:69.6pt" o:ole="">
                        <v:imagedata r:id="rId645" o:title=""/>
                      </v:shape>
                      <o:OLEObject Type="Embed" ProgID="Visio.Drawing.6" ShapeID="_x0000_i1427" DrawAspect="Content" ObjectID="_1498392420" r:id="rId646"/>
                    </w:object>
                  </w:r>
                </w:p>
                <w:p w:rsidR="00A905B7" w:rsidRDefault="00A905B7" w:rsidP="00AF2027">
                  <w:pPr>
                    <w:pStyle w:val="GTRnormal"/>
                    <w:tabs>
                      <w:tab w:val="clear" w:pos="540"/>
                    </w:tabs>
                    <w:ind w:left="0" w:firstLine="0"/>
                  </w:pPr>
                </w:p>
              </w:txbxContent>
            </v:textbox>
          </v:shape>
        </w:pict>
      </w:r>
    </w:p>
    <w:p w:rsidR="00AF2027" w:rsidRPr="00B04DC3" w:rsidRDefault="00AF2027" w:rsidP="00AF2027">
      <w:pPr>
        <w:pStyle w:val="GTRnormal"/>
        <w:tabs>
          <w:tab w:val="clear" w:pos="540"/>
          <w:tab w:val="left" w:pos="1134"/>
          <w:tab w:val="left" w:pos="1418"/>
          <w:tab w:val="left" w:pos="1701"/>
          <w:tab w:val="left" w:pos="2268"/>
          <w:tab w:val="left" w:pos="8789"/>
        </w:tabs>
        <w:ind w:left="0" w:firstLine="0"/>
        <w:jc w:val="both"/>
        <w:rPr>
          <w:rFonts w:ascii="Times New Roman" w:hAnsi="Times New Roman" w:cs="Times New Roman"/>
          <w:sz w:val="24"/>
        </w:rPr>
      </w:pPr>
    </w:p>
    <w:p w:rsidR="00AF2027" w:rsidRPr="00B04DC3" w:rsidRDefault="00AF2027" w:rsidP="00AF2027">
      <w:pPr>
        <w:pStyle w:val="GTRnormal"/>
        <w:tabs>
          <w:tab w:val="clear" w:pos="540"/>
          <w:tab w:val="left" w:pos="1134"/>
          <w:tab w:val="left" w:pos="1418"/>
          <w:tab w:val="left" w:pos="1701"/>
          <w:tab w:val="left" w:pos="2268"/>
          <w:tab w:val="left" w:pos="8789"/>
        </w:tabs>
        <w:ind w:left="0" w:firstLine="0"/>
        <w:jc w:val="both"/>
        <w:rPr>
          <w:rFonts w:ascii="Times New Roman" w:hAnsi="Times New Roman" w:cs="Times New Roman"/>
          <w:sz w:val="24"/>
        </w:rPr>
      </w:pPr>
    </w:p>
    <w:p w:rsidR="00AF2027" w:rsidRPr="00B04DC3" w:rsidRDefault="00AF2027" w:rsidP="00AF2027">
      <w:pPr>
        <w:pStyle w:val="GTRnormal"/>
        <w:tabs>
          <w:tab w:val="clear" w:pos="540"/>
        </w:tabs>
        <w:ind w:left="0" w:firstLine="0"/>
        <w:jc w:val="both"/>
        <w:rPr>
          <w:rFonts w:ascii="Times New Roman" w:hAnsi="Times New Roman" w:cs="Times New Roman"/>
          <w:sz w:val="24"/>
        </w:rPr>
      </w:pPr>
    </w:p>
    <w:p w:rsidR="00AF2027" w:rsidRPr="00B04DC3" w:rsidRDefault="00AF2027" w:rsidP="00AF2027">
      <w:pPr>
        <w:pStyle w:val="Heading1"/>
        <w:keepNext/>
        <w:keepLines/>
        <w:ind w:left="426" w:firstLine="708"/>
      </w:pPr>
      <w:r w:rsidRPr="00B04DC3">
        <w:br w:type="page"/>
      </w:r>
      <w:bookmarkStart w:id="919" w:name="_Toc399940089"/>
      <w:bookmarkStart w:id="920" w:name="_Toc423599673"/>
      <w:bookmarkStart w:id="921" w:name="_Toc423611081"/>
      <w:r w:rsidRPr="00B04DC3">
        <w:t>Figure B.2</w:t>
      </w:r>
      <w:bookmarkEnd w:id="919"/>
      <w:bookmarkEnd w:id="920"/>
      <w:bookmarkEnd w:id="921"/>
    </w:p>
    <w:p w:rsidR="00AF2027" w:rsidRPr="00B04DC3" w:rsidRDefault="00AF2027" w:rsidP="00AF2027">
      <w:pPr>
        <w:pStyle w:val="Heading1"/>
        <w:keepNext/>
        <w:keepLines/>
        <w:rPr>
          <w:b/>
        </w:rPr>
      </w:pPr>
      <w:bookmarkStart w:id="922" w:name="_Toc399940090"/>
      <w:bookmarkStart w:id="923" w:name="_Toc423599674"/>
      <w:bookmarkStart w:id="924" w:name="_Toc423611082"/>
      <w:r w:rsidRPr="00B04DC3">
        <w:rPr>
          <w:b/>
        </w:rPr>
        <w:t>Malfunction display strategy: only the discriminatory strategy is applicable</w:t>
      </w:r>
      <w:bookmarkEnd w:id="922"/>
      <w:bookmarkEnd w:id="923"/>
      <w:bookmarkEnd w:id="924"/>
    </w:p>
    <w:p w:rsidR="00AF2027" w:rsidRPr="00B04DC3" w:rsidRDefault="00A905B7" w:rsidP="00AF2027">
      <w:pPr>
        <w:pStyle w:val="GTRnormal"/>
        <w:tabs>
          <w:tab w:val="clear" w:pos="540"/>
        </w:tabs>
        <w:ind w:left="1134" w:firstLine="0"/>
        <w:jc w:val="both"/>
        <w:rPr>
          <w:rFonts w:ascii="Times New Roman" w:hAnsi="Times New Roman" w:cs="Times New Roman"/>
          <w:sz w:val="24"/>
        </w:rPr>
      </w:pPr>
      <w:r>
        <w:rPr>
          <w:rFonts w:ascii="Times New Roman" w:hAnsi="Times New Roman" w:cs="Times New Roman"/>
          <w:b/>
          <w:noProof/>
          <w:sz w:val="24"/>
        </w:rPr>
        <w:pict>
          <v:shape id="_x0000_s5522" type="#_x0000_t202" style="position:absolute;left:0;text-align:left;margin-left:10.35pt;margin-top:4.35pt;width:450pt;height:481.8pt;z-index:251601920">
            <v:textbox style="mso-next-textbox:#_x0000_s5522">
              <w:txbxContent>
                <w:p w:rsidR="00A905B7" w:rsidRDefault="00A905B7" w:rsidP="00AF2027">
                  <w:pPr>
                    <w:ind w:left="1440" w:firstLine="720"/>
                  </w:pPr>
                  <w:r>
                    <w:object w:dxaOrig="4300" w:dyaOrig="1006">
                      <v:shape id="_x0000_i1429" type="#_x0000_t75" style="width:199.8pt;height:46.2pt" o:ole="">
                        <v:imagedata r:id="rId647" o:title=""/>
                      </v:shape>
                      <o:OLEObject Type="Embed" ProgID="Visio.Drawing.11" ShapeID="_x0000_i1429" DrawAspect="Content" ObjectID="_1498392421" r:id="rId648"/>
                    </w:object>
                  </w:r>
                </w:p>
                <w:p w:rsidR="00A905B7" w:rsidRPr="007452EF" w:rsidRDefault="00A905B7" w:rsidP="00AF2027">
                  <w:pPr>
                    <w:pStyle w:val="FootnoteText"/>
                    <w:tabs>
                      <w:tab w:val="left" w:pos="1418"/>
                      <w:tab w:val="left" w:pos="4536"/>
                    </w:tabs>
                    <w:rPr>
                      <w:rFonts w:cs="Courier New"/>
                      <w:szCs w:val="18"/>
                    </w:rPr>
                  </w:pPr>
                  <w:r>
                    <w:rPr>
                      <w:rFonts w:cs="Courier New"/>
                    </w:rPr>
                    <w:tab/>
                  </w:r>
                  <w:r w:rsidRPr="007452EF">
                    <w:rPr>
                      <w:rFonts w:cs="Courier New"/>
                      <w:szCs w:val="18"/>
                    </w:rPr>
                    <w:t>ENGINE ON</w:t>
                  </w:r>
                  <w:r w:rsidRPr="007452EF">
                    <w:rPr>
                      <w:rFonts w:cs="Courier New"/>
                      <w:szCs w:val="18"/>
                    </w:rPr>
                    <w:tab/>
                  </w:r>
                  <w:r>
                    <w:rPr>
                      <w:rFonts w:cs="Courier New"/>
                      <w:szCs w:val="18"/>
                    </w:rPr>
                    <w:tab/>
                  </w:r>
                  <w:r>
                    <w:rPr>
                      <w:rFonts w:cs="Courier New"/>
                      <w:szCs w:val="18"/>
                    </w:rPr>
                    <w:tab/>
                  </w:r>
                  <w:r w:rsidRPr="007452EF">
                    <w:rPr>
                      <w:rFonts w:cs="Courier New"/>
                      <w:szCs w:val="18"/>
                    </w:rPr>
                    <w:t>ENGINE OFF</w:t>
                  </w:r>
                </w:p>
                <w:p w:rsidR="00A905B7" w:rsidRPr="007452EF" w:rsidRDefault="00A905B7" w:rsidP="00AF2027">
                  <w:pPr>
                    <w:pStyle w:val="GTRnormal"/>
                    <w:tabs>
                      <w:tab w:val="clear" w:pos="540"/>
                    </w:tabs>
                    <w:ind w:left="0" w:firstLine="0"/>
                    <w:rPr>
                      <w:rFonts w:ascii="Times New Roman" w:hAnsi="Times New Roman"/>
                      <w:sz w:val="10"/>
                      <w:szCs w:val="10"/>
                    </w:rPr>
                  </w:pPr>
                </w:p>
                <w:p w:rsidR="00A905B7" w:rsidRPr="007452EF" w:rsidRDefault="00A905B7" w:rsidP="00AF2027">
                  <w:pPr>
                    <w:pStyle w:val="GTRnormal"/>
                    <w:tabs>
                      <w:tab w:val="clear" w:pos="540"/>
                      <w:tab w:val="left" w:pos="567"/>
                      <w:tab w:val="left" w:pos="1418"/>
                      <w:tab w:val="left" w:pos="4536"/>
                      <w:tab w:val="left" w:pos="5812"/>
                    </w:tabs>
                    <w:ind w:left="0" w:firstLine="0"/>
                    <w:rPr>
                      <w:rFonts w:ascii="Times New Roman" w:hAnsi="Times New Roman"/>
                      <w:sz w:val="18"/>
                      <w:szCs w:val="18"/>
                      <w:lang w:val="en-US"/>
                    </w:rPr>
                  </w:pPr>
                  <w:r w:rsidRPr="007452EF">
                    <w:rPr>
                      <w:rFonts w:ascii="Times New Roman" w:hAnsi="Times New Roman"/>
                      <w:sz w:val="18"/>
                      <w:szCs w:val="18"/>
                      <w:lang w:val="en-US"/>
                    </w:rPr>
                    <w:t>d)</w:t>
                  </w:r>
                  <w:r w:rsidRPr="007452EF">
                    <w:rPr>
                      <w:rFonts w:ascii="Times New Roman" w:hAnsi="Times New Roman"/>
                      <w:sz w:val="18"/>
                      <w:szCs w:val="18"/>
                      <w:lang w:val="en-US"/>
                    </w:rPr>
                    <w:tab/>
                    <w:t>Activation mode 4</w:t>
                  </w:r>
                </w:p>
                <w:p w:rsidR="00A905B7" w:rsidRDefault="00A905B7" w:rsidP="00AF2027">
                  <w:pPr>
                    <w:rPr>
                      <w:lang w:val="de-DE"/>
                    </w:rPr>
                  </w:pPr>
                  <w:r>
                    <w:object w:dxaOrig="3997" w:dyaOrig="1314">
                      <v:shape id="_x0000_i1431" type="#_x0000_t75" style="width:181.8pt;height:59.4pt" o:ole="">
                        <v:imagedata r:id="rId649" o:title=""/>
                      </v:shape>
                      <o:OLEObject Type="Embed" ProgID="Visio.Drawing.6" ShapeID="_x0000_i1431" DrawAspect="Content" ObjectID="_1498392422" r:id="rId650"/>
                    </w:object>
                  </w:r>
                  <w:r w:rsidRPr="008721CA">
                    <w:rPr>
                      <w:lang w:val="fr-FR"/>
                    </w:rPr>
                    <w:t xml:space="preserve"> </w:t>
                  </w:r>
                  <w:r>
                    <w:object w:dxaOrig="4982" w:dyaOrig="1294">
                      <v:shape id="_x0000_i1433" type="#_x0000_t75" style="width:244.2pt;height:63.6pt" o:ole="">
                        <v:imagedata r:id="rId651" o:title=""/>
                      </v:shape>
                      <o:OLEObject Type="Embed" ProgID="Visio.Drawing.6" ShapeID="_x0000_i1433" DrawAspect="Content" ObjectID="_1498392423" r:id="rId652"/>
                    </w:object>
                  </w:r>
                </w:p>
                <w:p w:rsidR="00A905B7" w:rsidRPr="007452EF" w:rsidRDefault="00A905B7" w:rsidP="00AF2027">
                  <w:pPr>
                    <w:pStyle w:val="GTRnormal"/>
                    <w:tabs>
                      <w:tab w:val="clear" w:pos="540"/>
                    </w:tabs>
                    <w:ind w:left="0" w:firstLine="0"/>
                    <w:rPr>
                      <w:rFonts w:ascii="Times New Roman" w:hAnsi="Times New Roman"/>
                      <w:sz w:val="10"/>
                      <w:szCs w:val="10"/>
                      <w:lang w:val="fr-FR"/>
                    </w:rPr>
                  </w:pPr>
                </w:p>
                <w:p w:rsidR="00A905B7" w:rsidRPr="007452EF" w:rsidRDefault="00A905B7" w:rsidP="00AF2027">
                  <w:pPr>
                    <w:pStyle w:val="GTRnormal"/>
                    <w:tabs>
                      <w:tab w:val="clear" w:pos="540"/>
                      <w:tab w:val="left" w:pos="1418"/>
                      <w:tab w:val="left" w:pos="4536"/>
                      <w:tab w:val="left" w:pos="5812"/>
                    </w:tabs>
                    <w:ind w:left="0" w:firstLine="0"/>
                    <w:rPr>
                      <w:rFonts w:ascii="Times New Roman" w:hAnsi="Times New Roman"/>
                      <w:sz w:val="18"/>
                      <w:szCs w:val="18"/>
                      <w:lang w:val="fr-FR"/>
                    </w:rPr>
                  </w:pPr>
                  <w:r w:rsidRPr="007452EF">
                    <w:rPr>
                      <w:rFonts w:ascii="Times New Roman" w:hAnsi="Times New Roman"/>
                      <w:sz w:val="18"/>
                      <w:szCs w:val="18"/>
                      <w:lang w:val="fr-FR"/>
                    </w:rPr>
                    <w:t>e)</w:t>
                  </w:r>
                  <w:r w:rsidRPr="007452EF">
                    <w:rPr>
                      <w:rFonts w:ascii="Times New Roman" w:hAnsi="Times New Roman"/>
                      <w:sz w:val="18"/>
                      <w:szCs w:val="18"/>
                      <w:lang w:val="fr-FR"/>
                    </w:rPr>
                    <w:tab/>
                  </w:r>
                  <w:r w:rsidRPr="007452EF">
                    <w:rPr>
                      <w:rFonts w:ascii="Times New Roman" w:hAnsi="Times New Roman"/>
                      <w:sz w:val="18"/>
                      <w:szCs w:val="18"/>
                      <w:lang w:val="fr-FR"/>
                    </w:rPr>
                    <w:tab/>
                    <w:t>activation mode 3</w:t>
                  </w:r>
                </w:p>
                <w:p w:rsidR="00A905B7" w:rsidRDefault="00A905B7" w:rsidP="00AF2027">
                  <w:pPr>
                    <w:rPr>
                      <w:lang w:val="de-DE"/>
                    </w:rPr>
                  </w:pPr>
                  <w:r>
                    <w:object w:dxaOrig="3997" w:dyaOrig="1310">
                      <v:shape id="_x0000_i1435" type="#_x0000_t75" style="width:190.2pt;height:63.6pt" o:ole="">
                        <v:imagedata r:id="rId653" o:title=""/>
                      </v:shape>
                      <o:OLEObject Type="Embed" ProgID="Visio.Drawing.6" ShapeID="_x0000_i1435" DrawAspect="Content" ObjectID="_1498392424" r:id="rId654"/>
                    </w:object>
                  </w:r>
                  <w:r w:rsidRPr="00067255">
                    <w:rPr>
                      <w:lang w:val="en-US"/>
                    </w:rPr>
                    <w:t xml:space="preserve"> </w:t>
                  </w:r>
                  <w:r>
                    <w:object w:dxaOrig="4982" w:dyaOrig="1294">
                      <v:shape id="_x0000_i1437" type="#_x0000_t75" style="width:240pt;height:63.6pt" o:ole="">
                        <v:imagedata r:id="rId655" o:title=""/>
                      </v:shape>
                      <o:OLEObject Type="Embed" ProgID="Visio.Drawing.6" ShapeID="_x0000_i1437" DrawAspect="Content" ObjectID="_1498392425" r:id="rId656"/>
                    </w:object>
                  </w:r>
                </w:p>
                <w:p w:rsidR="00A905B7" w:rsidRPr="00067255" w:rsidRDefault="00A905B7" w:rsidP="00AF2027">
                  <w:pPr>
                    <w:pStyle w:val="GTRnormal"/>
                    <w:tabs>
                      <w:tab w:val="clear" w:pos="540"/>
                    </w:tabs>
                    <w:ind w:left="0" w:firstLine="0"/>
                    <w:rPr>
                      <w:rFonts w:ascii="Times New Roman" w:hAnsi="Times New Roman"/>
                      <w:sz w:val="10"/>
                      <w:szCs w:val="10"/>
                      <w:lang w:val="en-US"/>
                    </w:rPr>
                  </w:pPr>
                </w:p>
                <w:p w:rsidR="00A905B7" w:rsidRPr="00067255" w:rsidRDefault="00A905B7" w:rsidP="00AF2027">
                  <w:pPr>
                    <w:pStyle w:val="GTRnormal"/>
                    <w:tabs>
                      <w:tab w:val="clear" w:pos="540"/>
                      <w:tab w:val="left" w:pos="567"/>
                      <w:tab w:val="left" w:pos="1418"/>
                      <w:tab w:val="left" w:pos="4536"/>
                      <w:tab w:val="left" w:pos="5812"/>
                    </w:tabs>
                    <w:ind w:left="0" w:firstLine="0"/>
                    <w:rPr>
                      <w:rFonts w:ascii="Times New Roman" w:hAnsi="Times New Roman"/>
                      <w:sz w:val="18"/>
                      <w:szCs w:val="18"/>
                      <w:lang w:val="en-US"/>
                    </w:rPr>
                  </w:pPr>
                  <w:r w:rsidRPr="00067255">
                    <w:rPr>
                      <w:rFonts w:ascii="Times New Roman" w:hAnsi="Times New Roman"/>
                      <w:sz w:val="18"/>
                      <w:szCs w:val="18"/>
                      <w:lang w:val="en-US"/>
                    </w:rPr>
                    <w:t>f)</w:t>
                  </w:r>
                  <w:r w:rsidRPr="00067255">
                    <w:rPr>
                      <w:rFonts w:ascii="Times New Roman" w:hAnsi="Times New Roman"/>
                      <w:sz w:val="18"/>
                      <w:szCs w:val="18"/>
                      <w:lang w:val="en-US"/>
                    </w:rPr>
                    <w:tab/>
                    <w:t>Activation mode 2</w:t>
                  </w:r>
                </w:p>
                <w:p w:rsidR="00A905B7" w:rsidRPr="00067255" w:rsidRDefault="00A905B7" w:rsidP="00AF2027">
                  <w:pPr>
                    <w:rPr>
                      <w:lang w:val="en-US"/>
                    </w:rPr>
                  </w:pPr>
                  <w:r>
                    <w:object w:dxaOrig="3997" w:dyaOrig="1056">
                      <v:shape id="_x0000_i1439" type="#_x0000_t75" style="width:190.2pt;height:50.4pt" o:ole="">
                        <v:imagedata r:id="rId657" o:title=""/>
                      </v:shape>
                      <o:OLEObject Type="Embed" ProgID="Visio.Drawing.6" ShapeID="_x0000_i1439" DrawAspect="Content" ObjectID="_1498392426" r:id="rId658"/>
                    </w:object>
                  </w:r>
                  <w:r w:rsidRPr="00067255">
                    <w:rPr>
                      <w:lang w:val="en-US"/>
                    </w:rPr>
                    <w:t xml:space="preserve"> </w:t>
                  </w:r>
                  <w:r>
                    <w:object w:dxaOrig="4982" w:dyaOrig="1294">
                      <v:shape id="_x0000_i1441" type="#_x0000_t75" style="width:222pt;height:57.6pt" o:ole="">
                        <v:imagedata r:id="rId659" o:title=""/>
                      </v:shape>
                      <o:OLEObject Type="Embed" ProgID="Visio.Drawing.6" ShapeID="_x0000_i1441" DrawAspect="Content" ObjectID="_1498392427" r:id="rId660"/>
                    </w:object>
                  </w:r>
                </w:p>
                <w:p w:rsidR="00A905B7" w:rsidRPr="00067255" w:rsidRDefault="00A905B7" w:rsidP="00AF2027">
                  <w:pPr>
                    <w:pStyle w:val="GTRnormal"/>
                    <w:tabs>
                      <w:tab w:val="clear" w:pos="540"/>
                    </w:tabs>
                    <w:ind w:left="0" w:firstLine="0"/>
                    <w:rPr>
                      <w:rFonts w:ascii="Times New Roman" w:hAnsi="Times New Roman"/>
                      <w:sz w:val="10"/>
                      <w:szCs w:val="10"/>
                      <w:lang w:val="en-US"/>
                    </w:rPr>
                  </w:pPr>
                </w:p>
                <w:p w:rsidR="00A905B7" w:rsidRPr="007452EF" w:rsidRDefault="00A905B7" w:rsidP="00AF2027">
                  <w:pPr>
                    <w:pStyle w:val="GTRnormal"/>
                    <w:tabs>
                      <w:tab w:val="clear" w:pos="540"/>
                      <w:tab w:val="left" w:pos="567"/>
                      <w:tab w:val="left" w:pos="1418"/>
                      <w:tab w:val="left" w:pos="4536"/>
                      <w:tab w:val="left" w:pos="5812"/>
                    </w:tabs>
                    <w:ind w:left="0" w:firstLine="0"/>
                    <w:rPr>
                      <w:rFonts w:ascii="Times New Roman" w:hAnsi="Times New Roman"/>
                      <w:sz w:val="18"/>
                      <w:szCs w:val="18"/>
                      <w:lang w:val="en-US"/>
                    </w:rPr>
                  </w:pPr>
                  <w:r w:rsidRPr="007452EF">
                    <w:rPr>
                      <w:rFonts w:ascii="Times New Roman" w:hAnsi="Times New Roman"/>
                      <w:sz w:val="18"/>
                      <w:szCs w:val="18"/>
                      <w:lang w:val="en-US"/>
                    </w:rPr>
                    <w:t>g)</w:t>
                  </w:r>
                  <w:r w:rsidRPr="007452EF">
                    <w:rPr>
                      <w:rFonts w:ascii="Times New Roman" w:hAnsi="Times New Roman"/>
                      <w:sz w:val="18"/>
                      <w:szCs w:val="18"/>
                      <w:lang w:val="en-US"/>
                    </w:rPr>
                    <w:tab/>
                  </w:r>
                  <w:r>
                    <w:rPr>
                      <w:rFonts w:ascii="Times New Roman" w:hAnsi="Times New Roman"/>
                      <w:sz w:val="18"/>
                      <w:szCs w:val="18"/>
                      <w:lang w:val="en-US"/>
                    </w:rPr>
                    <w:t>A</w:t>
                  </w:r>
                  <w:r w:rsidRPr="007452EF">
                    <w:rPr>
                      <w:rFonts w:ascii="Times New Roman" w:hAnsi="Times New Roman"/>
                      <w:sz w:val="18"/>
                      <w:szCs w:val="18"/>
                      <w:lang w:val="en-US"/>
                    </w:rPr>
                    <w:t>ctivation mode 4 with "not ready" status.</w:t>
                  </w:r>
                </w:p>
                <w:p w:rsidR="00A905B7" w:rsidRDefault="00A905B7" w:rsidP="00AF2027">
                  <w:pPr>
                    <w:rPr>
                      <w:lang w:val="en-US"/>
                    </w:rPr>
                  </w:pPr>
                  <w:r>
                    <w:object w:dxaOrig="3997" w:dyaOrig="1314">
                      <v:shape id="_x0000_i1443" type="#_x0000_t75" style="width:190.2pt;height:63.6pt" o:ole="">
                        <v:imagedata r:id="rId649" o:title=""/>
                      </v:shape>
                      <o:OLEObject Type="Embed" ProgID="Visio.Drawing.6" ShapeID="_x0000_i1443" DrawAspect="Content" ObjectID="_1498392428" r:id="rId661"/>
                    </w:object>
                  </w:r>
                  <w:r>
                    <w:rPr>
                      <w:lang w:val="en-US"/>
                    </w:rPr>
                    <w:t xml:space="preserve"> </w:t>
                  </w:r>
                  <w:r>
                    <w:object w:dxaOrig="4885" w:dyaOrig="1294">
                      <v:shape id="_x0000_i1445" type="#_x0000_t75" style="width:217.8pt;height:57.6pt" o:ole="">
                        <v:imagedata r:id="rId662" o:title=""/>
                      </v:shape>
                      <o:OLEObject Type="Embed" ProgID="Visio.Drawing.6" ShapeID="_x0000_i1445" DrawAspect="Content" ObjectID="_1498392429" r:id="rId663"/>
                    </w:object>
                  </w:r>
                </w:p>
                <w:p w:rsidR="00A905B7" w:rsidRPr="007452EF" w:rsidRDefault="00A905B7" w:rsidP="00AF2027">
                  <w:pPr>
                    <w:pStyle w:val="GTRnormal"/>
                    <w:tabs>
                      <w:tab w:val="clear" w:pos="540"/>
                    </w:tabs>
                    <w:ind w:left="0" w:firstLine="0"/>
                    <w:rPr>
                      <w:rFonts w:ascii="Times New Roman" w:hAnsi="Times New Roman"/>
                      <w:sz w:val="10"/>
                      <w:szCs w:val="10"/>
                    </w:rPr>
                  </w:pPr>
                </w:p>
                <w:p w:rsidR="00A905B7" w:rsidRPr="007452EF" w:rsidRDefault="00A905B7" w:rsidP="00AF2027">
                  <w:pPr>
                    <w:pStyle w:val="GTRnormal"/>
                    <w:tabs>
                      <w:tab w:val="clear" w:pos="540"/>
                      <w:tab w:val="left" w:pos="567"/>
                      <w:tab w:val="left" w:pos="1418"/>
                      <w:tab w:val="left" w:pos="4536"/>
                      <w:tab w:val="left" w:pos="5812"/>
                    </w:tabs>
                    <w:ind w:left="0" w:firstLine="0"/>
                    <w:rPr>
                      <w:rFonts w:ascii="Times New Roman" w:hAnsi="Times New Roman"/>
                      <w:sz w:val="18"/>
                      <w:szCs w:val="18"/>
                      <w:lang w:val="en-US"/>
                    </w:rPr>
                  </w:pPr>
                  <w:r w:rsidRPr="007452EF">
                    <w:rPr>
                      <w:rFonts w:ascii="Times New Roman" w:hAnsi="Times New Roman"/>
                      <w:sz w:val="18"/>
                      <w:szCs w:val="18"/>
                      <w:lang w:val="en-US"/>
                    </w:rPr>
                    <w:t>h)</w:t>
                  </w:r>
                  <w:r w:rsidRPr="007452EF">
                    <w:rPr>
                      <w:rFonts w:ascii="Times New Roman" w:hAnsi="Times New Roman"/>
                      <w:sz w:val="18"/>
                      <w:szCs w:val="18"/>
                      <w:lang w:val="en-US"/>
                    </w:rPr>
                    <w:tab/>
                  </w:r>
                  <w:r>
                    <w:rPr>
                      <w:rFonts w:ascii="Times New Roman" w:hAnsi="Times New Roman"/>
                      <w:sz w:val="18"/>
                      <w:szCs w:val="18"/>
                      <w:lang w:val="en-US"/>
                    </w:rPr>
                    <w:t>A</w:t>
                  </w:r>
                  <w:r w:rsidRPr="007452EF">
                    <w:rPr>
                      <w:rFonts w:ascii="Times New Roman" w:hAnsi="Times New Roman"/>
                      <w:sz w:val="18"/>
                      <w:szCs w:val="18"/>
                      <w:lang w:val="en-US"/>
                    </w:rPr>
                    <w:t>ctivation mode 3 with "not ready" status.</w:t>
                  </w:r>
                </w:p>
                <w:p w:rsidR="00A905B7" w:rsidRDefault="00A905B7" w:rsidP="00AF2027">
                  <w:r>
                    <w:object w:dxaOrig="3997" w:dyaOrig="1310">
                      <v:shape id="_x0000_i1447" type="#_x0000_t75" style="width:181.8pt;height:60pt" o:ole="">
                        <v:imagedata r:id="rId664" o:title=""/>
                      </v:shape>
                      <o:OLEObject Type="Embed" ProgID="Visio.Drawing.6" ShapeID="_x0000_i1447" DrawAspect="Content" ObjectID="_1498392430" r:id="rId665"/>
                    </w:object>
                  </w:r>
                  <w:r>
                    <w:t xml:space="preserve"> </w:t>
                  </w:r>
                  <w:r>
                    <w:object w:dxaOrig="4903" w:dyaOrig="1294">
                      <v:shape id="_x0000_i1449" type="#_x0000_t75" style="width:226.2pt;height:59.4pt" o:ole="">
                        <v:imagedata r:id="rId666" o:title=""/>
                      </v:shape>
                      <o:OLEObject Type="Embed" ProgID="Visio.Drawing.6" ShapeID="_x0000_i1449" DrawAspect="Content" ObjectID="_1498392431" r:id="rId667"/>
                    </w:object>
                  </w:r>
                </w:p>
              </w:txbxContent>
            </v:textbox>
          </v:shape>
        </w:pict>
      </w: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1134" w:firstLine="0"/>
        <w:jc w:val="both"/>
        <w:rPr>
          <w:rFonts w:ascii="Times New Roman" w:hAnsi="Times New Roman" w:cs="Times New Roman"/>
          <w:sz w:val="24"/>
        </w:rPr>
      </w:pPr>
    </w:p>
    <w:p w:rsidR="00AF2027" w:rsidRPr="00B04DC3" w:rsidRDefault="00AF2027" w:rsidP="00AF2027">
      <w:pPr>
        <w:pStyle w:val="GTRnormal"/>
        <w:numPr>
          <w:ilvl w:val="0"/>
          <w:numId w:val="12"/>
        </w:numPr>
        <w:ind w:left="426" w:firstLine="0"/>
        <w:jc w:val="both"/>
        <w:rPr>
          <w:rFonts w:ascii="Times New Roman" w:hAnsi="Times New Roman" w:cs="Times New Roman"/>
          <w:sz w:val="24"/>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AF2027" w:rsidRPr="00B04DC3" w:rsidRDefault="00AF2027" w:rsidP="00AF2027">
      <w:pPr>
        <w:pStyle w:val="GTRnormal"/>
        <w:numPr>
          <w:ilvl w:val="0"/>
          <w:numId w:val="12"/>
        </w:numPr>
        <w:tabs>
          <w:tab w:val="left" w:pos="1134"/>
        </w:tabs>
        <w:ind w:left="1134" w:hanging="1134"/>
        <w:jc w:val="center"/>
        <w:rPr>
          <w:rFonts w:ascii="Times New Roman" w:hAnsi="Times New Roman" w:cs="Times New Roman"/>
          <w:sz w:val="24"/>
          <w:highlight w:val="yellow"/>
          <w:u w:val="single"/>
        </w:rPr>
      </w:pPr>
    </w:p>
    <w:p w:rsidR="00337B4B" w:rsidRPr="00B04DC3" w:rsidRDefault="00AF2027" w:rsidP="00337B4B">
      <w:pPr>
        <w:pStyle w:val="SingleTxtG"/>
        <w:ind w:left="2268" w:hanging="1134"/>
      </w:pPr>
      <w:bookmarkStart w:id="925" w:name="_Ref117050111"/>
      <w:bookmarkStart w:id="926" w:name="_Toc118223034"/>
      <w:r w:rsidRPr="00B04DC3">
        <w:br w:type="page"/>
      </w:r>
      <w:r w:rsidR="00337B4B" w:rsidRPr="00B04DC3">
        <w:t>4.6.3</w:t>
      </w:r>
      <w:r w:rsidR="00337B4B" w:rsidRPr="00B04DC3">
        <w:tab/>
        <w:t>MI activation at "engine on"</w:t>
      </w:r>
    </w:p>
    <w:p w:rsidR="00337B4B" w:rsidRPr="00B04DC3" w:rsidRDefault="00337B4B" w:rsidP="00337B4B">
      <w:pPr>
        <w:pStyle w:val="para"/>
        <w:ind w:firstLine="0"/>
        <w:rPr>
          <w:lang w:val="en-GB"/>
        </w:rPr>
      </w:pPr>
      <w:r w:rsidRPr="00B04DC3">
        <w:rPr>
          <w:lang w:val="en-GB"/>
        </w:rPr>
        <w:t xml:space="preserve">When the key is placed in the on position and the engine is started (engine on), the MI shall be commanded off unless the provisions of paragraph 4.6.3.1. </w:t>
      </w:r>
      <w:r w:rsidR="002F043C">
        <w:rPr>
          <w:lang w:val="en-GB"/>
        </w:rPr>
        <w:t xml:space="preserve">below </w:t>
      </w:r>
      <w:r w:rsidRPr="00B04DC3">
        <w:rPr>
          <w:lang w:val="en-GB"/>
        </w:rPr>
        <w:t>have been met.</w:t>
      </w:r>
    </w:p>
    <w:p w:rsidR="00AF2027" w:rsidRPr="00B04DC3" w:rsidRDefault="00AF2027" w:rsidP="00AF2027">
      <w:pPr>
        <w:pStyle w:val="para"/>
        <w:rPr>
          <w:lang w:val="en-GB"/>
        </w:rPr>
      </w:pPr>
      <w:bookmarkStart w:id="927" w:name="_Toc116368234"/>
      <w:bookmarkStart w:id="928" w:name="_Ref117049253"/>
      <w:bookmarkStart w:id="929" w:name="_Ref117049805"/>
      <w:bookmarkStart w:id="930" w:name="_Ref117049850"/>
      <w:bookmarkStart w:id="931" w:name="_Ref117049881"/>
      <w:bookmarkStart w:id="932" w:name="_Toc118223035"/>
      <w:bookmarkEnd w:id="925"/>
      <w:bookmarkEnd w:id="926"/>
      <w:r w:rsidRPr="00B04DC3">
        <w:rPr>
          <w:lang w:val="en-GB"/>
        </w:rPr>
        <w:t>4.6.3.1.</w:t>
      </w:r>
      <w:r w:rsidRPr="00B04DC3">
        <w:rPr>
          <w:lang w:val="en-GB"/>
        </w:rPr>
        <w:tab/>
        <w:t>MI display</w:t>
      </w:r>
      <w:bookmarkEnd w:id="927"/>
      <w:r w:rsidRPr="00B04DC3">
        <w:rPr>
          <w:lang w:val="en-GB"/>
        </w:rPr>
        <w:t xml:space="preserve"> strategy</w:t>
      </w:r>
      <w:bookmarkEnd w:id="928"/>
      <w:bookmarkEnd w:id="929"/>
      <w:bookmarkEnd w:id="930"/>
      <w:bookmarkEnd w:id="931"/>
      <w:bookmarkEnd w:id="932"/>
    </w:p>
    <w:p w:rsidR="00AF2027" w:rsidRPr="00B04DC3" w:rsidRDefault="00AF2027" w:rsidP="00AF2027">
      <w:pPr>
        <w:pStyle w:val="para"/>
        <w:rPr>
          <w:lang w:val="en-GB"/>
        </w:rPr>
      </w:pPr>
      <w:r w:rsidRPr="00B04DC3">
        <w:rPr>
          <w:lang w:val="en-GB"/>
        </w:rPr>
        <w:tab/>
        <w:t>For the purpose of activating the MI, continuous-MI shall take precedence to short-MI and on-demand-MI. For the purpose of activating the MI, short-MI shall take precedence to on-demand-MI.</w:t>
      </w:r>
    </w:p>
    <w:p w:rsidR="00AF2027" w:rsidRPr="00B04DC3" w:rsidRDefault="00AF2027" w:rsidP="00AF2027">
      <w:pPr>
        <w:pStyle w:val="para"/>
        <w:rPr>
          <w:lang w:val="en-GB"/>
        </w:rPr>
      </w:pPr>
      <w:r w:rsidRPr="00B04DC3">
        <w:rPr>
          <w:lang w:val="en-GB"/>
        </w:rPr>
        <w:t>4.6.3.1.1.</w:t>
      </w:r>
      <w:r w:rsidRPr="00B04DC3">
        <w:rPr>
          <w:lang w:val="en-GB"/>
        </w:rPr>
        <w:tab/>
        <w:t>Class A malfunctions</w:t>
      </w:r>
    </w:p>
    <w:p w:rsidR="00AF2027" w:rsidRPr="00B04DC3" w:rsidRDefault="00AF2027" w:rsidP="00AF2027">
      <w:pPr>
        <w:pStyle w:val="para"/>
        <w:rPr>
          <w:lang w:val="en-GB"/>
        </w:rPr>
      </w:pPr>
      <w:r w:rsidRPr="00B04DC3">
        <w:rPr>
          <w:lang w:val="en-GB"/>
        </w:rPr>
        <w:tab/>
        <w:t>The OBD system shall command a continuous-MI upon storage of a confirmed DTC associated with a Class A malfunction.</w:t>
      </w:r>
    </w:p>
    <w:p w:rsidR="00AF2027" w:rsidRPr="00B04DC3" w:rsidRDefault="00AF2027" w:rsidP="00AF2027">
      <w:pPr>
        <w:pStyle w:val="para"/>
        <w:rPr>
          <w:lang w:val="en-GB"/>
        </w:rPr>
      </w:pPr>
      <w:r w:rsidRPr="00B04DC3">
        <w:rPr>
          <w:lang w:val="en-GB"/>
        </w:rPr>
        <w:t>4.6.3.1.2.</w:t>
      </w:r>
      <w:r w:rsidRPr="00B04DC3">
        <w:rPr>
          <w:lang w:val="en-GB"/>
        </w:rPr>
        <w:tab/>
        <w:t>Class B malfunctions</w:t>
      </w:r>
    </w:p>
    <w:p w:rsidR="00AF2027" w:rsidRPr="00B04DC3" w:rsidRDefault="00AF2027" w:rsidP="00AF2027">
      <w:pPr>
        <w:pStyle w:val="para"/>
        <w:rPr>
          <w:lang w:val="en-GB"/>
        </w:rPr>
      </w:pPr>
      <w:r w:rsidRPr="00B04DC3">
        <w:rPr>
          <w:lang w:val="en-GB"/>
        </w:rPr>
        <w:tab/>
        <w:t>The OBD system shall command a "short-MI" at the next key-on event following storage of a confirmed and active DTC associated with a Class B malfunction.</w:t>
      </w:r>
    </w:p>
    <w:p w:rsidR="00AF2027" w:rsidRPr="00B04DC3" w:rsidRDefault="00AF2027" w:rsidP="00AF2027">
      <w:pPr>
        <w:pStyle w:val="para"/>
        <w:rPr>
          <w:lang w:val="en-GB"/>
        </w:rPr>
      </w:pPr>
      <w:r w:rsidRPr="00B04DC3">
        <w:rPr>
          <w:lang w:val="en-GB"/>
        </w:rPr>
        <w:tab/>
        <w:t>Whenever a B1 counter reaches 200 hours, the OBD system shall command a continuous-MI.</w:t>
      </w:r>
    </w:p>
    <w:p w:rsidR="00AF2027" w:rsidRPr="00B04DC3" w:rsidRDefault="00AF2027" w:rsidP="00AF2027">
      <w:pPr>
        <w:pStyle w:val="para"/>
        <w:rPr>
          <w:lang w:val="en-GB"/>
        </w:rPr>
      </w:pPr>
      <w:r w:rsidRPr="00B04DC3">
        <w:rPr>
          <w:lang w:val="en-GB"/>
        </w:rPr>
        <w:t>4.6.3.1.3.</w:t>
      </w:r>
      <w:r w:rsidRPr="00B04DC3">
        <w:rPr>
          <w:lang w:val="en-GB"/>
        </w:rPr>
        <w:tab/>
        <w:t>Class C malfunctions</w:t>
      </w:r>
    </w:p>
    <w:p w:rsidR="00AF2027" w:rsidRPr="00B04DC3" w:rsidRDefault="00AF2027" w:rsidP="00AF2027">
      <w:pPr>
        <w:pStyle w:val="para"/>
        <w:rPr>
          <w:lang w:val="en-GB"/>
        </w:rPr>
      </w:pPr>
      <w:r w:rsidRPr="00B04DC3">
        <w:rPr>
          <w:lang w:val="en-GB"/>
        </w:rPr>
        <w:tab/>
        <w:t>The manufacturer may make available information on Class C malfunctions through the use of an on-demand-MI that shall be available until the engine is started.</w:t>
      </w:r>
    </w:p>
    <w:p w:rsidR="00AF2027" w:rsidRPr="00B04DC3" w:rsidRDefault="00AF2027" w:rsidP="00AF2027">
      <w:pPr>
        <w:pStyle w:val="para"/>
        <w:rPr>
          <w:lang w:val="en-GB"/>
        </w:rPr>
      </w:pPr>
      <w:bookmarkStart w:id="933" w:name="_Toc116368236"/>
      <w:r w:rsidRPr="00B04DC3">
        <w:rPr>
          <w:lang w:val="en-GB"/>
        </w:rPr>
        <w:t>4.6.3.1.4.</w:t>
      </w:r>
      <w:r w:rsidRPr="00B04DC3">
        <w:rPr>
          <w:lang w:val="en-GB"/>
        </w:rPr>
        <w:tab/>
        <w:t>MI de-activation scheme</w:t>
      </w:r>
      <w:bookmarkEnd w:id="933"/>
    </w:p>
    <w:p w:rsidR="00AF2027" w:rsidRPr="00B04DC3" w:rsidRDefault="00AF2027" w:rsidP="00AF2027">
      <w:pPr>
        <w:pStyle w:val="para"/>
        <w:rPr>
          <w:lang w:val="en-GB"/>
        </w:rPr>
      </w:pPr>
      <w:r w:rsidRPr="00B04DC3">
        <w:rPr>
          <w:lang w:val="en-GB"/>
        </w:rPr>
        <w:tab/>
        <w:t>The "continuous-MI" shall switch to a "short-MI" if a single monitoring event occurs and the malfunction that originally activated the continuous-MI is not detected during the current operating sequence and a continuous-MI is not activated due to another malfunction.</w:t>
      </w:r>
    </w:p>
    <w:p w:rsidR="00337B4B" w:rsidRPr="00B04DC3" w:rsidRDefault="00337B4B" w:rsidP="00337B4B">
      <w:pPr>
        <w:pStyle w:val="SingleTxtG"/>
        <w:ind w:left="2268"/>
      </w:pPr>
      <w:r w:rsidRPr="00B04DC3">
        <w:t>The "short-MI" shall be deactivated if the malfunction is not detected during the 3 subsequent sequential operating sequences following the operating sequence when the monitor has concluded the absence of the considered malfunction and the MI is not activated due to another Class A or B malfunction.</w:t>
      </w:r>
    </w:p>
    <w:p w:rsidR="00337B4B" w:rsidRPr="00B04DC3" w:rsidRDefault="00337B4B" w:rsidP="00337B4B">
      <w:pPr>
        <w:pStyle w:val="para"/>
        <w:ind w:firstLine="0"/>
        <w:rPr>
          <w:lang w:val="en-GB"/>
        </w:rPr>
      </w:pPr>
      <w:r w:rsidRPr="00B04DC3">
        <w:rPr>
          <w:lang w:val="en-GB"/>
        </w:rPr>
        <w:t>Figures 1, 4 and 4bis in Appendix 2 to this annex illustrate respectively the short and continuous MI deactivation in different use-cases.</w:t>
      </w:r>
    </w:p>
    <w:p w:rsidR="00AF2027" w:rsidRPr="00B04DC3" w:rsidRDefault="00AF2027" w:rsidP="00AF2027">
      <w:pPr>
        <w:pStyle w:val="para"/>
        <w:rPr>
          <w:lang w:val="en-GB"/>
        </w:rPr>
      </w:pPr>
      <w:bookmarkStart w:id="934" w:name="_Toc116368237"/>
      <w:bookmarkStart w:id="935" w:name="_Ref116444577"/>
      <w:bookmarkStart w:id="936" w:name="_Toc118223037"/>
      <w:r w:rsidRPr="00B04DC3">
        <w:rPr>
          <w:lang w:val="en-GB"/>
        </w:rPr>
        <w:t>4.6.4.</w:t>
      </w:r>
      <w:r w:rsidRPr="00B04DC3">
        <w:rPr>
          <w:lang w:val="en-GB"/>
        </w:rPr>
        <w:tab/>
        <w:t>MI activation at key-on</w:t>
      </w:r>
      <w:bookmarkEnd w:id="934"/>
      <w:r w:rsidRPr="00B04DC3">
        <w:rPr>
          <w:lang w:val="en-GB"/>
        </w:rPr>
        <w:t>/engine</w:t>
      </w:r>
      <w:bookmarkEnd w:id="935"/>
      <w:bookmarkEnd w:id="936"/>
      <w:r w:rsidRPr="00B04DC3">
        <w:rPr>
          <w:lang w:val="en-GB"/>
        </w:rPr>
        <w:t>-off</w:t>
      </w:r>
    </w:p>
    <w:p w:rsidR="00337B4B" w:rsidRPr="00B04DC3" w:rsidRDefault="00337B4B" w:rsidP="00337B4B">
      <w:pPr>
        <w:pStyle w:val="SingleTxtG"/>
        <w:ind w:left="2268"/>
      </w:pPr>
      <w:r w:rsidRPr="00B04DC3">
        <w:t>The MI activation at key-on/engine-off shall consist of two sequences separated by a 5 seconds MI off:</w:t>
      </w:r>
    </w:p>
    <w:p w:rsidR="00337B4B" w:rsidRPr="00B04DC3" w:rsidRDefault="00337B4B" w:rsidP="00337B4B">
      <w:pPr>
        <w:spacing w:after="120"/>
        <w:ind w:left="2835" w:right="1134" w:hanging="567"/>
        <w:jc w:val="both"/>
      </w:pPr>
      <w:r w:rsidRPr="00B04DC3">
        <w:t>(a)</w:t>
      </w:r>
      <w:r w:rsidRPr="00B04DC3">
        <w:tab/>
        <w:t>The first sequence is designed to provide an indication of the MI functionality and the readiness of the monitored components;</w:t>
      </w:r>
    </w:p>
    <w:p w:rsidR="00337B4B" w:rsidRPr="00B04DC3" w:rsidRDefault="00337B4B" w:rsidP="00337B4B">
      <w:pPr>
        <w:spacing w:after="120"/>
        <w:ind w:left="2835" w:right="1134" w:hanging="567"/>
        <w:jc w:val="both"/>
      </w:pPr>
      <w:r w:rsidRPr="00B04DC3">
        <w:t>(b)</w:t>
      </w:r>
      <w:r w:rsidRPr="00B04DC3">
        <w:tab/>
        <w:t>The second sequence is designed to provide an indication of the presence of a malfunction.</w:t>
      </w:r>
    </w:p>
    <w:p w:rsidR="00337B4B" w:rsidRPr="00B04DC3" w:rsidRDefault="00337B4B" w:rsidP="00337B4B">
      <w:pPr>
        <w:spacing w:after="120"/>
        <w:ind w:left="2268" w:right="1134"/>
        <w:jc w:val="both"/>
      </w:pPr>
      <w:r w:rsidRPr="00B04DC3">
        <w:t>The second sequence is repeated until engine is started</w:t>
      </w:r>
      <w:r w:rsidR="00AF5665" w:rsidRPr="00B04DC3">
        <w:rPr>
          <w:rStyle w:val="FootnoteReference"/>
        </w:rPr>
        <w:footnoteReference w:id="44"/>
      </w:r>
      <w:r w:rsidRPr="00B04DC3">
        <w:t xml:space="preserve"> (engine-on) or the key </w:t>
      </w:r>
      <w:r w:rsidRPr="00B04DC3">
        <w:rPr>
          <w:rFonts w:ascii="(Utiliser une police de caractè" w:hAnsi="(Utiliser une police de caractè"/>
        </w:rPr>
        <w:t>is</w:t>
      </w:r>
      <w:r w:rsidRPr="00B04DC3">
        <w:t xml:space="preserve"> set to the key-off position.</w:t>
      </w:r>
    </w:p>
    <w:p w:rsidR="00337B4B" w:rsidRPr="00B04DC3" w:rsidRDefault="00337B4B" w:rsidP="00337B4B">
      <w:pPr>
        <w:pStyle w:val="para"/>
        <w:ind w:firstLine="0"/>
        <w:rPr>
          <w:lang w:val="en-GB"/>
        </w:rPr>
      </w:pPr>
      <w:r w:rsidRPr="00B04DC3">
        <w:rPr>
          <w:lang w:val="en-GB"/>
        </w:rPr>
        <w:t>At the request of the manufacturer, this activation may only occur once during an operating sequence (for example in case of start-stop systems).</w:t>
      </w:r>
    </w:p>
    <w:p w:rsidR="00AF2027" w:rsidRPr="00B04DC3" w:rsidRDefault="00AF2027" w:rsidP="00AF2027">
      <w:pPr>
        <w:pStyle w:val="para"/>
        <w:rPr>
          <w:lang w:val="en-GB"/>
        </w:rPr>
      </w:pPr>
      <w:bookmarkStart w:id="937" w:name="_Toc118223038"/>
      <w:r w:rsidRPr="00B04DC3">
        <w:rPr>
          <w:lang w:val="en-GB"/>
        </w:rPr>
        <w:t>4.6.4.1.</w:t>
      </w:r>
      <w:r w:rsidRPr="00B04DC3">
        <w:rPr>
          <w:lang w:val="en-GB"/>
        </w:rPr>
        <w:tab/>
        <w:t>MI functionality/readiness</w:t>
      </w:r>
      <w:bookmarkEnd w:id="937"/>
    </w:p>
    <w:p w:rsidR="00AF2027" w:rsidRPr="00B04DC3" w:rsidRDefault="00AF2027" w:rsidP="00AF2027">
      <w:pPr>
        <w:pStyle w:val="para"/>
        <w:rPr>
          <w:lang w:val="en-GB"/>
        </w:rPr>
      </w:pPr>
      <w:r w:rsidRPr="00B04DC3">
        <w:rPr>
          <w:lang w:val="en-GB"/>
        </w:rPr>
        <w:tab/>
        <w:t>The MI shall show a steady indication for 5 seconds to indicate that the MI is functional.</w:t>
      </w:r>
    </w:p>
    <w:p w:rsidR="00AF2027" w:rsidRPr="00B04DC3" w:rsidRDefault="00AF2027" w:rsidP="00AF2027">
      <w:pPr>
        <w:pStyle w:val="para"/>
        <w:rPr>
          <w:lang w:val="en-GB"/>
        </w:rPr>
      </w:pPr>
      <w:r w:rsidRPr="00B04DC3">
        <w:rPr>
          <w:lang w:val="en-GB"/>
        </w:rPr>
        <w:tab/>
        <w:t>The MI shall remain at the off position for 10 seconds.</w:t>
      </w:r>
    </w:p>
    <w:p w:rsidR="00AF2027" w:rsidRPr="00B04DC3" w:rsidRDefault="00AF2027" w:rsidP="00AF2027">
      <w:pPr>
        <w:pStyle w:val="para"/>
        <w:rPr>
          <w:lang w:val="en-GB"/>
        </w:rPr>
      </w:pPr>
      <w:r w:rsidRPr="00B04DC3">
        <w:rPr>
          <w:lang w:val="en-GB"/>
        </w:rPr>
        <w:tab/>
        <w:t>The MI shall then remain at the on position for 5 seconds to indicate that the readiness for all monitored components is complete.</w:t>
      </w:r>
    </w:p>
    <w:p w:rsidR="00AF2027" w:rsidRPr="00B04DC3" w:rsidRDefault="00AF2027" w:rsidP="00AF2027">
      <w:pPr>
        <w:pStyle w:val="para"/>
        <w:rPr>
          <w:lang w:val="en-GB"/>
        </w:rPr>
      </w:pPr>
      <w:r w:rsidRPr="00B04DC3">
        <w:rPr>
          <w:lang w:val="en-GB"/>
        </w:rPr>
        <w:tab/>
        <w:t>The MI shall blink once per second for 5 seconds to indicate that the readiness for one or more of the monitored components is not complete.</w:t>
      </w:r>
    </w:p>
    <w:p w:rsidR="00AF2027" w:rsidRPr="00B04DC3" w:rsidRDefault="00AF2027" w:rsidP="00AF2027">
      <w:pPr>
        <w:pStyle w:val="para"/>
        <w:rPr>
          <w:lang w:val="en-GB"/>
        </w:rPr>
      </w:pPr>
      <w:r w:rsidRPr="00B04DC3">
        <w:rPr>
          <w:lang w:val="en-GB"/>
        </w:rPr>
        <w:tab/>
        <w:t>The MI shall then remain off for 5 seconds.</w:t>
      </w:r>
    </w:p>
    <w:p w:rsidR="00AF5665" w:rsidRPr="00B04DC3" w:rsidRDefault="00AF5665" w:rsidP="00AF5665">
      <w:pPr>
        <w:keepNext/>
        <w:keepLines/>
        <w:spacing w:after="120"/>
        <w:ind w:left="2268" w:right="1134" w:hanging="1134"/>
        <w:jc w:val="both"/>
      </w:pPr>
      <w:bookmarkStart w:id="938" w:name="_Toc118223039"/>
      <w:r w:rsidRPr="00B04DC3">
        <w:t>4.6.4.2.</w:t>
      </w:r>
      <w:r w:rsidRPr="00B04DC3">
        <w:tab/>
        <w:t>Presence / absence of a malfunction</w:t>
      </w:r>
    </w:p>
    <w:p w:rsidR="00AF5665" w:rsidRPr="00B04DC3" w:rsidRDefault="00AF5665" w:rsidP="00AF5665">
      <w:pPr>
        <w:pStyle w:val="para"/>
        <w:ind w:firstLine="0"/>
        <w:rPr>
          <w:lang w:val="en-GB"/>
        </w:rPr>
      </w:pPr>
      <w:r w:rsidRPr="00B04DC3">
        <w:rPr>
          <w:lang w:val="en-GB"/>
        </w:rPr>
        <w:t>Following the sequence described in paragraph 4.6.4.1</w:t>
      </w:r>
      <w:r w:rsidR="002F043C">
        <w:rPr>
          <w:lang w:val="en-GB"/>
        </w:rPr>
        <w:t>. above</w:t>
      </w:r>
      <w:r w:rsidRPr="00B04DC3">
        <w:rPr>
          <w:lang w:val="en-GB"/>
        </w:rPr>
        <w:t>, the MI shall indicate the presence of a malfunction by a series of flashes or a continuous illumination, depending on the applicable activation mode, as described in the following paragraphs, or absence of a malfunction by a series of single flashes. When applicable, each flash consists of a 1</w:t>
      </w:r>
      <w:r w:rsidR="002F043C">
        <w:rPr>
          <w:lang w:val="en-GB"/>
        </w:rPr>
        <w:t xml:space="preserve"> second</w:t>
      </w:r>
      <w:r w:rsidRPr="00B04DC3">
        <w:rPr>
          <w:lang w:val="en-GB"/>
        </w:rPr>
        <w:t xml:space="preserve"> MI-on followed by a 1</w:t>
      </w:r>
      <w:r w:rsidR="002F043C">
        <w:rPr>
          <w:lang w:val="en-GB"/>
        </w:rPr>
        <w:t xml:space="preserve"> second</w:t>
      </w:r>
      <w:r w:rsidRPr="00B04DC3">
        <w:rPr>
          <w:lang w:val="en-GB"/>
        </w:rPr>
        <w:t xml:space="preserve"> MI-off, and the series of flashes will be followed by a period of four seconds with the MI off.</w:t>
      </w:r>
    </w:p>
    <w:bookmarkEnd w:id="938"/>
    <w:p w:rsidR="00AF2027" w:rsidRPr="00B04DC3" w:rsidRDefault="00AF2027" w:rsidP="00AF2027">
      <w:pPr>
        <w:pStyle w:val="para"/>
        <w:rPr>
          <w:lang w:val="en-GB"/>
        </w:rPr>
      </w:pPr>
      <w:r w:rsidRPr="00B04DC3">
        <w:rPr>
          <w:lang w:val="en-GB"/>
        </w:rPr>
        <w:tab/>
        <w:t>Four activation modes are considered, where activation mode 4 shall take precedence over activation modes 1, 2 and 3, activation mode 3 shall take precedence over activation modes 1 and 2, and activation mode 2 shall take precedence over activation mode 1.</w:t>
      </w:r>
    </w:p>
    <w:p w:rsidR="00AF2027" w:rsidRPr="00B04DC3" w:rsidRDefault="00AF2027" w:rsidP="00AF2027">
      <w:pPr>
        <w:pStyle w:val="para"/>
        <w:rPr>
          <w:lang w:val="en-GB"/>
        </w:rPr>
      </w:pPr>
      <w:r w:rsidRPr="00B04DC3">
        <w:rPr>
          <w:lang w:val="en-GB"/>
        </w:rPr>
        <w:t>4.6.4.2.1.</w:t>
      </w:r>
      <w:r w:rsidRPr="00B04DC3">
        <w:rPr>
          <w:lang w:val="en-GB"/>
        </w:rPr>
        <w:tab/>
        <w:t>Activation mode 1 - absence of malfunction</w:t>
      </w:r>
    </w:p>
    <w:p w:rsidR="00AF2027" w:rsidRPr="00B04DC3" w:rsidRDefault="00AF2027" w:rsidP="00AF2027">
      <w:pPr>
        <w:pStyle w:val="para"/>
        <w:rPr>
          <w:lang w:val="en-GB"/>
        </w:rPr>
      </w:pPr>
      <w:r w:rsidRPr="00B04DC3">
        <w:rPr>
          <w:lang w:val="en-GB"/>
        </w:rPr>
        <w:tab/>
        <w:t>The MI shall blink for one flash.</w:t>
      </w:r>
    </w:p>
    <w:p w:rsidR="00AF2027" w:rsidRPr="00B04DC3" w:rsidRDefault="00AF2027" w:rsidP="00AF2027">
      <w:pPr>
        <w:pStyle w:val="para"/>
        <w:rPr>
          <w:lang w:val="en-GB"/>
        </w:rPr>
      </w:pPr>
      <w:bookmarkStart w:id="939" w:name="_Toc113764761"/>
      <w:bookmarkStart w:id="940" w:name="_Toc118223040"/>
      <w:r w:rsidRPr="00B04DC3">
        <w:rPr>
          <w:lang w:val="en-GB"/>
        </w:rPr>
        <w:t>4.6.4.2.2.</w:t>
      </w:r>
      <w:r w:rsidRPr="00B04DC3">
        <w:rPr>
          <w:lang w:val="en-GB"/>
        </w:rPr>
        <w:tab/>
        <w:t>Activation mode 2 - "On-demand-MI"</w:t>
      </w:r>
    </w:p>
    <w:p w:rsidR="00AF2027" w:rsidRPr="00B04DC3" w:rsidRDefault="00AF2027" w:rsidP="00AF2027">
      <w:pPr>
        <w:pStyle w:val="para"/>
        <w:rPr>
          <w:lang w:val="en-GB"/>
        </w:rPr>
      </w:pPr>
      <w:r w:rsidRPr="00B04DC3">
        <w:rPr>
          <w:lang w:val="en-GB"/>
        </w:rPr>
        <w:tab/>
        <w:t>The MI shall show blink for two flashes if the OBD system would command an on-demand-MI according to the discriminatory display strategy described in paragraph 4.6.3.1.</w:t>
      </w:r>
      <w:r w:rsidR="002F043C" w:rsidRPr="002F043C">
        <w:rPr>
          <w:lang w:val="en-GB"/>
        </w:rPr>
        <w:t xml:space="preserve"> </w:t>
      </w:r>
      <w:r w:rsidR="002F043C">
        <w:rPr>
          <w:lang w:val="en-GB"/>
        </w:rPr>
        <w:t>to this annex.</w:t>
      </w:r>
    </w:p>
    <w:p w:rsidR="00AF2027" w:rsidRPr="00B04DC3" w:rsidRDefault="00AF2027" w:rsidP="00AF2027">
      <w:pPr>
        <w:pStyle w:val="para"/>
        <w:rPr>
          <w:lang w:val="en-GB"/>
        </w:rPr>
      </w:pPr>
      <w:r w:rsidRPr="00B04DC3">
        <w:rPr>
          <w:lang w:val="en-GB"/>
        </w:rPr>
        <w:t>4.6.4.2.3.</w:t>
      </w:r>
      <w:r w:rsidRPr="00B04DC3">
        <w:rPr>
          <w:lang w:val="en-GB"/>
        </w:rPr>
        <w:tab/>
        <w:t>Activation mode 3 - "short-MI"</w:t>
      </w:r>
    </w:p>
    <w:p w:rsidR="00AF2027" w:rsidRPr="00B04DC3" w:rsidRDefault="00AF2027" w:rsidP="00AF2027">
      <w:pPr>
        <w:pStyle w:val="para"/>
        <w:rPr>
          <w:lang w:val="en-GB"/>
        </w:rPr>
      </w:pPr>
      <w:r w:rsidRPr="00B04DC3">
        <w:rPr>
          <w:lang w:val="en-GB"/>
        </w:rPr>
        <w:tab/>
        <w:t>The MI shall blink for three flashes if the OBD system would command a short-MI according to the discriminatory display strategy described in paragraph 4.6.3.1.</w:t>
      </w:r>
      <w:r w:rsidR="002F043C" w:rsidRPr="002F043C">
        <w:rPr>
          <w:lang w:val="en-GB"/>
        </w:rPr>
        <w:t xml:space="preserve"> </w:t>
      </w:r>
      <w:r w:rsidR="002F043C">
        <w:rPr>
          <w:lang w:val="en-GB"/>
        </w:rPr>
        <w:t>to this annex.</w:t>
      </w:r>
    </w:p>
    <w:p w:rsidR="00AF2027" w:rsidRPr="00B04DC3" w:rsidRDefault="00AF2027" w:rsidP="00AF2027">
      <w:pPr>
        <w:pStyle w:val="para"/>
        <w:rPr>
          <w:lang w:val="en-GB"/>
        </w:rPr>
      </w:pPr>
      <w:bookmarkStart w:id="941" w:name="_Ref116447158"/>
      <w:r w:rsidRPr="00B04DC3">
        <w:rPr>
          <w:lang w:val="en-GB"/>
        </w:rPr>
        <w:t>4.6.4.2.4.</w:t>
      </w:r>
      <w:r w:rsidRPr="00B04DC3">
        <w:rPr>
          <w:lang w:val="en-GB"/>
        </w:rPr>
        <w:tab/>
        <w:t xml:space="preserve">Activation mode </w:t>
      </w:r>
      <w:bookmarkEnd w:id="941"/>
      <w:r w:rsidRPr="00B04DC3">
        <w:rPr>
          <w:lang w:val="en-GB"/>
        </w:rPr>
        <w:t>4 - "continuous-MI"</w:t>
      </w:r>
    </w:p>
    <w:p w:rsidR="00AF2027" w:rsidRPr="00B04DC3" w:rsidRDefault="00AF2027" w:rsidP="00AF2027">
      <w:pPr>
        <w:pStyle w:val="para"/>
        <w:rPr>
          <w:lang w:val="en-GB"/>
        </w:rPr>
      </w:pPr>
      <w:r w:rsidRPr="00B04DC3">
        <w:rPr>
          <w:lang w:val="en-GB"/>
        </w:rPr>
        <w:tab/>
        <w:t>The MI shall remain continuously ON ("continuous-MI") if</w:t>
      </w:r>
      <w:bookmarkStart w:id="942" w:name="_Ref116447141"/>
      <w:r w:rsidRPr="00B04DC3">
        <w:rPr>
          <w:lang w:val="en-GB"/>
        </w:rPr>
        <w:t xml:space="preserve"> the OBD system </w:t>
      </w:r>
      <w:bookmarkEnd w:id="942"/>
      <w:r w:rsidRPr="00B04DC3">
        <w:rPr>
          <w:lang w:val="en-GB"/>
        </w:rPr>
        <w:t>would command a continuous-MI according to the discriminatory display strategy described in paragraph 4.6.3.1.</w:t>
      </w:r>
      <w:r w:rsidR="002F043C" w:rsidRPr="002F043C">
        <w:rPr>
          <w:lang w:val="en-GB"/>
        </w:rPr>
        <w:t xml:space="preserve"> </w:t>
      </w:r>
      <w:r w:rsidR="002F043C">
        <w:rPr>
          <w:lang w:val="en-GB"/>
        </w:rPr>
        <w:t>to this annex.</w:t>
      </w:r>
    </w:p>
    <w:p w:rsidR="00AF2027" w:rsidRPr="00B04DC3" w:rsidRDefault="00AF2027" w:rsidP="00AF2027">
      <w:pPr>
        <w:pStyle w:val="para"/>
        <w:rPr>
          <w:lang w:val="en-GB"/>
        </w:rPr>
      </w:pPr>
      <w:bookmarkStart w:id="943" w:name="_Toc118223041"/>
      <w:bookmarkEnd w:id="939"/>
      <w:bookmarkEnd w:id="940"/>
      <w:r w:rsidRPr="00B04DC3">
        <w:rPr>
          <w:lang w:val="en-GB"/>
        </w:rPr>
        <w:t>4.6.5.</w:t>
      </w:r>
      <w:r w:rsidRPr="00B04DC3">
        <w:rPr>
          <w:lang w:val="en-GB"/>
        </w:rPr>
        <w:tab/>
        <w:t>Counters associated with malfunctions</w:t>
      </w:r>
      <w:bookmarkEnd w:id="943"/>
    </w:p>
    <w:p w:rsidR="00AF2027" w:rsidRPr="00B04DC3" w:rsidRDefault="00AF2027" w:rsidP="00AF2027">
      <w:pPr>
        <w:pStyle w:val="para"/>
        <w:rPr>
          <w:lang w:val="en-GB"/>
        </w:rPr>
      </w:pPr>
      <w:bookmarkStart w:id="944" w:name="_Toc118223042"/>
      <w:r w:rsidRPr="00B04DC3">
        <w:rPr>
          <w:lang w:val="en-GB"/>
        </w:rPr>
        <w:t>4.6.5.1.</w:t>
      </w:r>
      <w:r w:rsidRPr="00B04DC3">
        <w:rPr>
          <w:lang w:val="en-GB"/>
        </w:rPr>
        <w:tab/>
        <w:t>MI counters</w:t>
      </w:r>
      <w:bookmarkEnd w:id="944"/>
    </w:p>
    <w:p w:rsidR="00AF2027" w:rsidRPr="00B04DC3" w:rsidRDefault="00AF2027" w:rsidP="00AF2027">
      <w:pPr>
        <w:pStyle w:val="para"/>
        <w:rPr>
          <w:lang w:val="en-GB"/>
        </w:rPr>
      </w:pPr>
      <w:r w:rsidRPr="00B04DC3">
        <w:rPr>
          <w:lang w:val="en-GB"/>
        </w:rPr>
        <w:t>4.6.5.1.1.</w:t>
      </w:r>
      <w:r w:rsidRPr="00B04DC3">
        <w:rPr>
          <w:lang w:val="en-GB"/>
        </w:rPr>
        <w:tab/>
        <w:t xml:space="preserve">Continuous-MI </w:t>
      </w:r>
      <w:r w:rsidR="002F043C">
        <w:rPr>
          <w:lang w:val="en-GB"/>
        </w:rPr>
        <w:t>c</w:t>
      </w:r>
      <w:r w:rsidR="002F043C" w:rsidRPr="00B04DC3">
        <w:rPr>
          <w:lang w:val="en-GB"/>
        </w:rPr>
        <w:t>ounter</w:t>
      </w:r>
    </w:p>
    <w:p w:rsidR="00AF2027" w:rsidRPr="00B04DC3" w:rsidRDefault="00AF2027" w:rsidP="00AF2027">
      <w:pPr>
        <w:pStyle w:val="para"/>
        <w:rPr>
          <w:lang w:val="en-GB"/>
        </w:rPr>
      </w:pPr>
      <w:r w:rsidRPr="00B04DC3">
        <w:rPr>
          <w:lang w:val="en-GB"/>
        </w:rPr>
        <w:tab/>
        <w:t>The OBD system shall contain a continuous-MI counter to record the number of hours during which the engine has been operated while a continuous-MI is activated.</w:t>
      </w:r>
    </w:p>
    <w:p w:rsidR="00AF2027" w:rsidRPr="00B04DC3" w:rsidRDefault="00AF2027" w:rsidP="00AF2027">
      <w:pPr>
        <w:pStyle w:val="para"/>
        <w:rPr>
          <w:lang w:val="en-GB"/>
        </w:rPr>
      </w:pPr>
      <w:r w:rsidRPr="00B04DC3">
        <w:rPr>
          <w:lang w:val="en-GB"/>
        </w:rPr>
        <w:tab/>
        <w:t>The continuous-MI counter shall count up to the maximum value provided in a 2 byte counter with 1 hour resolution and hold that value unless the conditions allowing the counter to be reset to zero are met.</w:t>
      </w:r>
    </w:p>
    <w:p w:rsidR="00AF2027" w:rsidRPr="00B04DC3" w:rsidRDefault="00AF2027" w:rsidP="00AF2027">
      <w:pPr>
        <w:pStyle w:val="para"/>
        <w:rPr>
          <w:lang w:val="en-GB"/>
        </w:rPr>
      </w:pPr>
      <w:r w:rsidRPr="00B04DC3">
        <w:rPr>
          <w:lang w:val="en-GB"/>
        </w:rPr>
        <w:tab/>
        <w:t>The continuous-MI counter shall operate as follows:</w:t>
      </w:r>
    </w:p>
    <w:p w:rsidR="00AF2027" w:rsidRPr="00B04DC3" w:rsidRDefault="00AF2027" w:rsidP="00AF2027">
      <w:pPr>
        <w:pStyle w:val="a"/>
        <w:rPr>
          <w:lang w:val="en-GB"/>
        </w:rPr>
      </w:pPr>
      <w:r w:rsidRPr="00B04DC3">
        <w:rPr>
          <w:lang w:val="en-GB"/>
        </w:rPr>
        <w:t>(a)</w:t>
      </w:r>
      <w:r w:rsidRPr="00B04DC3">
        <w:rPr>
          <w:lang w:val="en-GB"/>
        </w:rPr>
        <w:tab/>
        <w:t>If starting from zero, the continuous-MI counter shall begin counting as soon as a continuous-MI is activated;</w:t>
      </w:r>
    </w:p>
    <w:p w:rsidR="00AF2027" w:rsidRPr="00B04DC3" w:rsidRDefault="00AF2027" w:rsidP="00AF2027">
      <w:pPr>
        <w:pStyle w:val="a"/>
        <w:rPr>
          <w:lang w:val="en-GB"/>
        </w:rPr>
      </w:pPr>
      <w:r w:rsidRPr="00B04DC3">
        <w:rPr>
          <w:lang w:val="en-GB"/>
        </w:rPr>
        <w:t>(b)</w:t>
      </w:r>
      <w:r w:rsidRPr="00B04DC3">
        <w:rPr>
          <w:lang w:val="en-GB"/>
        </w:rPr>
        <w:tab/>
        <w:t>The continuous-MI counter shall halt and hold its present value when the continuous-MI is no longer activated;</w:t>
      </w:r>
    </w:p>
    <w:p w:rsidR="00AF2027" w:rsidRPr="00B04DC3" w:rsidRDefault="00AF2027" w:rsidP="00AF2027">
      <w:pPr>
        <w:pStyle w:val="a"/>
        <w:rPr>
          <w:lang w:val="en-GB"/>
        </w:rPr>
      </w:pPr>
      <w:r w:rsidRPr="00B04DC3">
        <w:rPr>
          <w:lang w:val="en-GB"/>
        </w:rPr>
        <w:t>(c)</w:t>
      </w:r>
      <w:r w:rsidRPr="00B04DC3">
        <w:rPr>
          <w:lang w:val="en-GB"/>
        </w:rPr>
        <w:tab/>
        <w:t>The continuous-MI counter shall continue counting from the point at which it had been held if a malfunction that results in a continuous-MI is detected within 3 operating sequences;</w:t>
      </w:r>
    </w:p>
    <w:p w:rsidR="00AF2027" w:rsidRPr="00B04DC3" w:rsidRDefault="00AF2027" w:rsidP="00AF2027">
      <w:pPr>
        <w:pStyle w:val="a"/>
        <w:rPr>
          <w:lang w:val="en-GB"/>
        </w:rPr>
      </w:pPr>
      <w:r w:rsidRPr="00B04DC3">
        <w:rPr>
          <w:lang w:val="en-GB"/>
        </w:rPr>
        <w:t>(d)</w:t>
      </w:r>
      <w:r w:rsidRPr="00B04DC3">
        <w:rPr>
          <w:lang w:val="en-GB"/>
        </w:rPr>
        <w:tab/>
        <w:t>The continuous-MI counter shall start again counting from zero when a malfunction that results in a continuous-MI is detected after 3 operating sequences since the counter was last held;</w:t>
      </w:r>
    </w:p>
    <w:p w:rsidR="00AF2027" w:rsidRPr="00B04DC3" w:rsidRDefault="00AF2027" w:rsidP="00AF2027">
      <w:pPr>
        <w:pStyle w:val="a"/>
        <w:rPr>
          <w:lang w:val="en-GB"/>
        </w:rPr>
      </w:pPr>
      <w:r w:rsidRPr="00B04DC3">
        <w:rPr>
          <w:lang w:val="en-GB"/>
        </w:rPr>
        <w:t>(e)</w:t>
      </w:r>
      <w:r w:rsidRPr="00B04DC3">
        <w:rPr>
          <w:lang w:val="en-GB"/>
        </w:rPr>
        <w:tab/>
        <w:t>The continuous-MI counter shall be reset to zero when:</w:t>
      </w:r>
    </w:p>
    <w:p w:rsidR="00AF2027" w:rsidRPr="00B04DC3" w:rsidRDefault="00AF2027" w:rsidP="00AF2027">
      <w:pPr>
        <w:pStyle w:val="i"/>
        <w:rPr>
          <w:lang w:val="en-GB"/>
        </w:rPr>
      </w:pPr>
      <w:r w:rsidRPr="00B04DC3">
        <w:rPr>
          <w:lang w:val="en-GB"/>
        </w:rPr>
        <w:t>(i)</w:t>
      </w:r>
      <w:r w:rsidRPr="00B04DC3">
        <w:rPr>
          <w:lang w:val="en-GB"/>
        </w:rPr>
        <w:tab/>
        <w:t>No malfunction that results in a continuous-MI is detected during 40 warm-up cycles or 200 engine operating hours since the counter was last held whichever occurs first; or</w:t>
      </w:r>
    </w:p>
    <w:p w:rsidR="00AF2027" w:rsidRPr="00B04DC3" w:rsidRDefault="00AF2027" w:rsidP="00AF2027">
      <w:pPr>
        <w:pStyle w:val="i"/>
        <w:rPr>
          <w:lang w:val="en-GB"/>
        </w:rPr>
      </w:pPr>
      <w:r w:rsidRPr="00B04DC3">
        <w:rPr>
          <w:lang w:val="en-GB"/>
        </w:rPr>
        <w:t>(ii)</w:t>
      </w:r>
      <w:r w:rsidRPr="00B04DC3">
        <w:rPr>
          <w:lang w:val="en-GB"/>
        </w:rPr>
        <w:tab/>
        <w:t>The OBD scan tool commands the OBD System to clear OBD information.</w:t>
      </w:r>
    </w:p>
    <w:p w:rsidR="00AF2027" w:rsidRPr="00B04DC3" w:rsidRDefault="0089648E" w:rsidP="0089648E">
      <w:pPr>
        <w:pStyle w:val="Heading1"/>
        <w:keepNext/>
        <w:keepLines/>
      </w:pPr>
      <w:bookmarkStart w:id="945" w:name="_Toc399940091"/>
      <w:r>
        <w:br w:type="page"/>
      </w:r>
      <w:bookmarkStart w:id="946" w:name="_Toc423599675"/>
      <w:bookmarkStart w:id="947" w:name="_Toc423611083"/>
      <w:r w:rsidR="00AF2027" w:rsidRPr="00B04DC3">
        <w:t>Figure C1</w:t>
      </w:r>
      <w:bookmarkEnd w:id="945"/>
      <w:bookmarkEnd w:id="946"/>
      <w:bookmarkEnd w:id="947"/>
    </w:p>
    <w:p w:rsidR="00AF2027" w:rsidRDefault="00A905B7" w:rsidP="009140D5">
      <w:pPr>
        <w:pStyle w:val="Heading1"/>
        <w:keepNext/>
        <w:keepLines/>
        <w:rPr>
          <w:b/>
        </w:rPr>
      </w:pPr>
      <w:bookmarkStart w:id="948" w:name="_Toc399940092"/>
      <w:bookmarkStart w:id="949" w:name="_Toc423599676"/>
      <w:bookmarkStart w:id="950" w:name="_Toc423611084"/>
      <w:r>
        <w:rPr>
          <w:noProof/>
          <w:sz w:val="24"/>
        </w:rPr>
        <w:pict>
          <v:group id="_x0000_s5549" editas="canvas" style="position:absolute;left:0;text-align:left;margin-left:59.2pt;margin-top:15.7pt;width:398pt;height:257.1pt;z-index:251603968;mso-position-vertical-relative:line" coordorigin="2241,2592" coordsize="8401,5427">
            <o:lock v:ext="edit" aspectratio="t"/>
            <v:shape id="_x0000_s5550" type="#_x0000_t75" style="position:absolute;left:2241;top:2592;width:8401;height:5427" o:preferrelative="f" stroked="t" strokeweight="1.5pt">
              <v:fill o:detectmouseclick="t"/>
              <v:path o:extrusionok="t" o:connecttype="none"/>
              <o:lock v:ext="edit" text="t"/>
            </v:shape>
            <v:line id="_x0000_s5551" style="position:absolute" from="3180,2714" to="3180,7746">
              <v:stroke startarrow="block"/>
            </v:line>
            <v:shape id="_x0000_s5552" style="position:absolute;left:3180;top:6180;width:4892;height:978" coordsize="512,103" path="m,102r45,l45,1r69,l114,102r70,1l184,1r44,l228,103r162,l390,,512,1e" filled="f">
              <v:path arrowok="t"/>
            </v:shape>
            <v:line id="_x0000_s5553" style="position:absolute" from="8292,6189" to="8740,6189">
              <v:stroke dashstyle="dash"/>
            </v:line>
            <v:shape id="_x0000_s5554" style="position:absolute;left:8884;top:6180;width:1758;height:978" coordsize="184,103" path="m,l92,r,103l138,103,138,1r46,e" filled="f">
              <v:path arrowok="t"/>
            </v:shape>
            <v:shape id="_x0000_s5555" style="position:absolute;left:3180;top:4831;width:4930;height:874" coordsize="516,92" path="m,91r47,l114,41r70,l230,7r137,l367,92r23,l516,e" filled="f">
              <v:path arrowok="t"/>
            </v:shape>
            <v:shape id="_x0000_s5556" style="position:absolute;left:8884;top:3606;width:1758;height:647" coordsize="184,68" path="m,68l93,r,51l138,52,184,17e" filled="f">
              <v:path arrowok="t"/>
            </v:shape>
            <v:line id="_x0000_s5557" style="position:absolute" from="5358,2714" to="6696,2714">
              <v:stroke startarrow="block" endarrow="block"/>
            </v:line>
            <v:line id="_x0000_s5558" style="position:absolute" from="6896,2723" to="9562,2723">
              <v:stroke startarrow="block" endarrow="block"/>
            </v:line>
            <v:line id="_x0000_s5559" style="position:absolute" from="4269,7471" to="4948,7471">
              <v:stroke startarrow="block" endarrow="block"/>
            </v:line>
            <v:line id="_x0000_s5560" style="position:absolute" from="5388,7480" to="6945,7480">
              <v:stroke startarrow="block" endarrow="block"/>
            </v:line>
            <v:line id="_x0000_s5561" style="position:absolute" from="5358,2723" to="5358,6759">
              <v:stroke dashstyle="dash"/>
            </v:line>
            <v:line id="_x0000_s5562" style="position:absolute" from="6687,2732" to="6687,7167">
              <v:stroke dashstyle="dash"/>
            </v:line>
            <v:line id="_x0000_s5563" style="position:absolute" from="6906,2723" to="6906,7167">
              <v:stroke dashstyle="dash"/>
            </v:line>
            <v:line id="_x0000_s5564" style="position:absolute" from="9543,2723" to="9543,7176">
              <v:stroke dashstyle="dash"/>
            </v:line>
            <v:shape id="_x0000_s5565" type="#_x0000_t202" style="position:absolute;left:3634;top:7547;width:1572;height:472" filled="f" stroked="f">
              <v:textbox style="mso-next-textbox:#_x0000_s5565;mso-direction-alt:auto" inset="1.65364mm,.82681mm,1.65364mm,.82681mm">
                <w:txbxContent>
                  <w:p w:rsidR="00A905B7" w:rsidRPr="00763CD2" w:rsidRDefault="00A905B7" w:rsidP="00AF2027">
                    <w:pPr>
                      <w:rPr>
                        <w:sz w:val="15"/>
                      </w:rPr>
                    </w:pPr>
                    <w:r w:rsidRPr="00763CD2">
                      <w:rPr>
                        <w:sz w:val="15"/>
                      </w:rPr>
                      <w:t>&lt; 3 op. sequences</w:t>
                    </w:r>
                  </w:p>
                </w:txbxContent>
              </v:textbox>
            </v:shape>
            <v:shape id="_x0000_s5566" type="#_x0000_t202" style="position:absolute;left:5269;top:7552;width:1902;height:449" filled="f" stroked="f">
              <v:textbox style="mso-next-textbox:#_x0000_s5566;mso-direction-alt:auto" inset="1.65364mm,.82681mm,1.65364mm,.82681mm">
                <w:txbxContent>
                  <w:p w:rsidR="00A905B7" w:rsidRPr="00763CD2" w:rsidRDefault="00A905B7" w:rsidP="00AF2027">
                    <w:pPr>
                      <w:rPr>
                        <w:sz w:val="15"/>
                      </w:rPr>
                    </w:pPr>
                    <w:r w:rsidRPr="00763CD2">
                      <w:rPr>
                        <w:sz w:val="15"/>
                      </w:rPr>
                      <w:t>&gt; 3 op. sequences</w:t>
                    </w:r>
                  </w:p>
                </w:txbxContent>
              </v:textbox>
            </v:shape>
            <v:shape id="_x0000_s5567" type="#_x0000_t202" style="position:absolute;left:7538;top:2780;width:1552;height:361" filled="f" stroked="f">
              <v:textbox style="mso-next-textbox:#_x0000_s5567;mso-direction-alt:auto" inset="1.65364mm,.82681mm,1.65364mm,.82681mm">
                <w:txbxContent>
                  <w:p w:rsidR="00A905B7" w:rsidRPr="00763CD2" w:rsidRDefault="00A905B7" w:rsidP="00AF2027">
                    <w:pPr>
                      <w:rPr>
                        <w:sz w:val="15"/>
                      </w:rPr>
                    </w:pPr>
                    <w:r w:rsidRPr="00763CD2">
                      <w:rPr>
                        <w:sz w:val="15"/>
                      </w:rPr>
                      <w:t>200 op. hours</w:t>
                    </w:r>
                  </w:p>
                </w:txbxContent>
              </v:textbox>
            </v:shape>
            <v:shape id="_x0000_s5568" type="#_x0000_t202" style="position:absolute;left:5238;top:2792;width:1612;height:349" filled="f" stroked="f">
              <v:textbox style="mso-next-textbox:#_x0000_s5568;mso-direction-alt:auto" inset="1.65364mm,.82681mm,1.65364mm,.82681mm">
                <w:txbxContent>
                  <w:p w:rsidR="00A905B7" w:rsidRPr="00763CD2" w:rsidRDefault="00A905B7" w:rsidP="00AF2027">
                    <w:pPr>
                      <w:jc w:val="center"/>
                      <w:rPr>
                        <w:sz w:val="15"/>
                      </w:rPr>
                    </w:pPr>
                    <w:r w:rsidRPr="00763CD2">
                      <w:rPr>
                        <w:sz w:val="15"/>
                      </w:rPr>
                      <w:t>3 op. sequences</w:t>
                    </w:r>
                  </w:p>
                </w:txbxContent>
              </v:textbox>
            </v:shape>
            <v:shape id="_x0000_s5569" type="#_x0000_t202" style="position:absolute;left:2358;top:4457;width:474;height:1180" filled="f" stroked="f">
              <v:textbox style="layout-flow:vertical;mso-layout-flow-alt:bottom-to-top;mso-next-textbox:#_x0000_s5569;mso-direction-alt:auto" inset="1.65364mm,.82681mm,1.65364mm,.82681mm">
                <w:txbxContent>
                  <w:p w:rsidR="00A905B7" w:rsidRPr="00763CD2" w:rsidRDefault="00A905B7" w:rsidP="00AF2027">
                    <w:pPr>
                      <w:rPr>
                        <w:sz w:val="15"/>
                      </w:rPr>
                    </w:pPr>
                    <w:r w:rsidRPr="00763CD2">
                      <w:rPr>
                        <w:sz w:val="15"/>
                      </w:rPr>
                      <w:t>B1 counter</w:t>
                    </w:r>
                  </w:p>
                </w:txbxContent>
              </v:textbox>
            </v:shape>
            <v:shape id="_x0000_s5570" type="#_x0000_t202" style="position:absolute;left:2358;top:5742;width:474;height:1529" filled="f" stroked="f">
              <v:textbox style="layout-flow:vertical;mso-layout-flow-alt:bottom-to-top;mso-next-textbox:#_x0000_s5570;mso-direction-alt:auto" inset="1.65364mm,.82681mm,1.65364mm,.82681mm">
                <w:txbxContent>
                  <w:p w:rsidR="00A905B7" w:rsidRPr="00763CD2" w:rsidRDefault="00A905B7" w:rsidP="00AF2027">
                    <w:pPr>
                      <w:rPr>
                        <w:sz w:val="15"/>
                      </w:rPr>
                    </w:pPr>
                    <w:r w:rsidRPr="00763CD2">
                      <w:rPr>
                        <w:sz w:val="15"/>
                      </w:rPr>
                      <w:t>B1 malfunction</w:t>
                    </w:r>
                  </w:p>
                </w:txbxContent>
              </v:textbox>
            </v:shape>
            <v:line id="_x0000_s5571" style="position:absolute;flip:y" from="8225,4366" to="8722,4727">
              <v:stroke dashstyle="dash"/>
            </v:line>
            <v:shape id="_x0000_s5572" type="#_x0000_t202" style="position:absolute;left:8734;top:7547;width:1851;height:472" filled="f" stroked="f">
              <v:textbox style="mso-next-textbox:#_x0000_s5572;mso-direction-alt:auto" inset="1.65364mm,.82681mm,1.65364mm,.82681mm">
                <w:txbxContent>
                  <w:p w:rsidR="00A905B7" w:rsidRPr="00763CD2" w:rsidRDefault="00A905B7" w:rsidP="00AF2027">
                    <w:pPr>
                      <w:rPr>
                        <w:sz w:val="15"/>
                      </w:rPr>
                    </w:pPr>
                    <w:r w:rsidRPr="00763CD2">
                      <w:rPr>
                        <w:sz w:val="15"/>
                      </w:rPr>
                      <w:t>&lt; 3 op. sequences</w:t>
                    </w:r>
                  </w:p>
                </w:txbxContent>
              </v:textbox>
            </v:shape>
            <v:line id="_x0000_s5573" style="position:absolute" from="9763,7480" to="10212,7480">
              <v:stroke startarrow="block" endarrow="block"/>
            </v:line>
            <v:oval id="_x0000_s5574" style="position:absolute;left:7417;top:5237;width:3225;height:447">
              <v:textbox style="mso-next-textbox:#_x0000_s5574;mso-direction-alt:auto" inset="1.65364mm,.82681mm,1.65364mm,.82681mm">
                <w:txbxContent>
                  <w:p w:rsidR="00A905B7" w:rsidRPr="00763CD2" w:rsidRDefault="00A905B7" w:rsidP="00AF2027">
                    <w:pPr>
                      <w:rPr>
                        <w:sz w:val="15"/>
                      </w:rPr>
                    </w:pPr>
                    <w:r w:rsidRPr="00763CD2">
                      <w:rPr>
                        <w:sz w:val="15"/>
                      </w:rPr>
                      <w:t>MI set continuously ON</w:t>
                    </w:r>
                  </w:p>
                </w:txbxContent>
              </v:textbox>
            </v:oval>
            <v:line id="_x0000_s5575" style="position:absolute" from="8960,5705" to="9543,6169">
              <v:stroke endarrow="block"/>
            </v:line>
            <v:shape id="_x0000_s5576" type="#_x0000_t202" style="position:absolute;left:2580;top:6099;width:600;height:462" filled="f" stroked="f">
              <v:textbox style="mso-next-textbox:#_x0000_s5576;mso-direction-alt:auto" inset="1.65364mm,.82681mm,1.65364mm,.82681mm">
                <w:txbxContent>
                  <w:p w:rsidR="00A905B7" w:rsidRPr="00763CD2" w:rsidRDefault="00A905B7" w:rsidP="00AF2027">
                    <w:pPr>
                      <w:rPr>
                        <w:sz w:val="15"/>
                      </w:rPr>
                    </w:pPr>
                    <w:r w:rsidRPr="00763CD2">
                      <w:rPr>
                        <w:sz w:val="15"/>
                      </w:rPr>
                      <w:t>YES</w:t>
                    </w:r>
                  </w:p>
                </w:txbxContent>
              </v:textbox>
            </v:shape>
            <v:shape id="_x0000_s5577" type="#_x0000_t202" style="position:absolute;left:2647;top:7013;width:435;height:448" filled="f" stroked="f">
              <v:textbox style="mso-next-textbox:#_x0000_s5577;mso-direction-alt:auto" inset="1.65364mm,.82681mm,1.65364mm,.82681mm">
                <w:txbxContent>
                  <w:p w:rsidR="00A905B7" w:rsidRPr="00763CD2" w:rsidRDefault="00A905B7" w:rsidP="00AF2027">
                    <w:pPr>
                      <w:rPr>
                        <w:sz w:val="15"/>
                      </w:rPr>
                    </w:pPr>
                    <w:r w:rsidRPr="00763CD2">
                      <w:rPr>
                        <w:sz w:val="15"/>
                      </w:rPr>
                      <w:t>NO</w:t>
                    </w:r>
                  </w:p>
                </w:txbxContent>
              </v:textbox>
            </v:shape>
            <v:line id="_x0000_s5578" style="position:absolute" from="3180,3767" to="10145,3767">
              <v:stroke dashstyle="dash"/>
            </v:line>
            <v:line id="_x0000_s5579" style="position:absolute" from="3191,4091" to="10155,4091">
              <v:stroke dashstyle="dash"/>
            </v:line>
            <v:shape id="_x0000_s5580" type="#_x0000_t202" style="position:absolute;left:2299;top:3938;width:1182;height:463" filled="f" stroked="f">
              <v:textbox style="mso-next-textbox:#_x0000_s5580;mso-direction-alt:auto" inset="1.65364mm,.82681mm,1.65364mm,.82681mm">
                <w:txbxContent>
                  <w:p w:rsidR="00A905B7" w:rsidRPr="00763CD2" w:rsidRDefault="00A905B7" w:rsidP="00AF2027">
                    <w:pPr>
                      <w:rPr>
                        <w:sz w:val="15"/>
                      </w:rPr>
                    </w:pPr>
                    <w:r w:rsidRPr="00763CD2">
                      <w:rPr>
                        <w:sz w:val="15"/>
                      </w:rPr>
                      <w:t>190 hrs</w:t>
                    </w:r>
                  </w:p>
                </w:txbxContent>
              </v:textbox>
            </v:shape>
            <v:shape id="_x0000_s5581" type="#_x0000_t202" style="position:absolute;left:2315;top:3570;width:1018;height:471" filled="f" stroked="f">
              <v:textbox style="mso-next-textbox:#_x0000_s5581;mso-direction-alt:auto" inset="1.65364mm,.82681mm,1.65364mm,.82681mm">
                <w:txbxContent>
                  <w:p w:rsidR="00A905B7" w:rsidRPr="00763CD2" w:rsidRDefault="00A905B7" w:rsidP="00AF2027">
                    <w:pPr>
                      <w:rPr>
                        <w:sz w:val="15"/>
                      </w:rPr>
                    </w:pPr>
                    <w:r w:rsidRPr="00763CD2">
                      <w:rPr>
                        <w:sz w:val="15"/>
                      </w:rPr>
                      <w:t>200 hrs</w:t>
                    </w:r>
                  </w:p>
                </w:txbxContent>
              </v:textbox>
            </v:shape>
            <w10:wrap type="square"/>
          </v:group>
        </w:pict>
      </w:r>
      <w:r w:rsidR="00AF2027" w:rsidRPr="00B04DC3">
        <w:rPr>
          <w:b/>
        </w:rPr>
        <w:t>Illustration of the MI counters activation principl</w:t>
      </w:r>
      <w:r w:rsidR="00AF2027" w:rsidRPr="0073189C">
        <w:rPr>
          <w:b/>
        </w:rPr>
        <w:t>es</w:t>
      </w:r>
      <w:bookmarkEnd w:id="948"/>
      <w:bookmarkEnd w:id="949"/>
      <w:bookmarkEnd w:id="950"/>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89648E">
      <w:pPr>
        <w:pStyle w:val="SingleTxtG"/>
        <w:keepNext/>
        <w:keepLines/>
      </w:pPr>
    </w:p>
    <w:p w:rsidR="007531D4" w:rsidRDefault="007531D4" w:rsidP="007531D4">
      <w:pPr>
        <w:pStyle w:val="SingleTxtG"/>
      </w:pPr>
    </w:p>
    <w:p w:rsidR="007531D4" w:rsidRDefault="007531D4" w:rsidP="007531D4">
      <w:pPr>
        <w:pStyle w:val="SingleTxtG"/>
      </w:pPr>
    </w:p>
    <w:p w:rsidR="007531D4" w:rsidRDefault="007531D4" w:rsidP="007531D4">
      <w:pPr>
        <w:pStyle w:val="SingleTxtG"/>
      </w:pPr>
    </w:p>
    <w:p w:rsidR="007531D4" w:rsidRPr="007531D4" w:rsidRDefault="007531D4" w:rsidP="007531D4">
      <w:pPr>
        <w:pStyle w:val="SingleTxtG"/>
      </w:pPr>
    </w:p>
    <w:p w:rsidR="00AF2027" w:rsidRPr="00B04DC3" w:rsidRDefault="00AF2027" w:rsidP="00AF2027">
      <w:pPr>
        <w:pStyle w:val="Heading1"/>
      </w:pPr>
      <w:bookmarkStart w:id="951" w:name="_Toc399940093"/>
      <w:bookmarkStart w:id="952" w:name="_Toc423599677"/>
      <w:bookmarkStart w:id="953" w:name="_Toc423611085"/>
      <w:r w:rsidRPr="00B04DC3">
        <w:t>F</w:t>
      </w:r>
      <w:r w:rsidR="009140D5">
        <w:t>F</w:t>
      </w:r>
      <w:r w:rsidRPr="00B04DC3">
        <w:t>igure C2</w:t>
      </w:r>
      <w:bookmarkEnd w:id="951"/>
      <w:bookmarkEnd w:id="952"/>
      <w:bookmarkEnd w:id="953"/>
    </w:p>
    <w:p w:rsidR="007531D4" w:rsidRDefault="00AF2027" w:rsidP="00AF2027">
      <w:pPr>
        <w:pStyle w:val="Heading1"/>
        <w:rPr>
          <w:b/>
        </w:rPr>
      </w:pPr>
      <w:bookmarkStart w:id="954" w:name="_Toc399940094"/>
      <w:bookmarkStart w:id="955" w:name="_Toc423599678"/>
      <w:bookmarkStart w:id="956" w:name="_Toc423611086"/>
      <w:r w:rsidRPr="00B04DC3">
        <w:rPr>
          <w:b/>
        </w:rPr>
        <w:t>Illustration o</w:t>
      </w:r>
      <w:bookmarkEnd w:id="954"/>
      <w:bookmarkEnd w:id="955"/>
      <w:bookmarkEnd w:id="956"/>
    </w:p>
    <w:p w:rsidR="00AF2027" w:rsidRPr="00B04DC3" w:rsidRDefault="00AF2027" w:rsidP="00AF2027">
      <w:pPr>
        <w:pStyle w:val="Heading1"/>
        <w:rPr>
          <w:b/>
        </w:rPr>
      </w:pPr>
      <w:bookmarkStart w:id="957" w:name="_Toc399940095"/>
      <w:bookmarkStart w:id="958" w:name="_Toc423599679"/>
      <w:bookmarkStart w:id="959" w:name="_Toc423611087"/>
      <w:r w:rsidRPr="00B04DC3">
        <w:rPr>
          <w:b/>
        </w:rPr>
        <w:t>f the B1 counter activation principles</w:t>
      </w:r>
      <w:bookmarkEnd w:id="957"/>
      <w:bookmarkEnd w:id="958"/>
      <w:bookmarkEnd w:id="959"/>
    </w:p>
    <w:p w:rsidR="00AF2027" w:rsidRPr="00B04DC3" w:rsidRDefault="00A905B7" w:rsidP="00AF2027">
      <w:pPr>
        <w:pStyle w:val="GTRnormal"/>
        <w:tabs>
          <w:tab w:val="clear" w:pos="540"/>
          <w:tab w:val="left" w:pos="1134"/>
        </w:tabs>
        <w:ind w:left="0" w:firstLine="0"/>
        <w:jc w:val="both"/>
        <w:rPr>
          <w:rFonts w:ascii="Times New Roman" w:hAnsi="Times New Roman" w:cs="Times New Roman"/>
          <w:sz w:val="24"/>
        </w:rPr>
      </w:pPr>
      <w:r>
        <w:rPr>
          <w:noProof/>
        </w:rPr>
        <w:pict>
          <v:group id="_x0000_s5523" editas="canvas" style="position:absolute;left:0;text-align:left;margin-left:56.75pt;margin-top:440.2pt;width:419.15pt;height:301.1pt;z-index:251602944;mso-position-vertical-relative:page" coordorigin="2201,2910" coordsize="8383,6022">
            <o:lock v:ext="edit" aspectratio="t"/>
            <v:shape id="_x0000_s5524" type="#_x0000_t75" style="position:absolute;left:2201;top:2910;width:8383;height:6022" o:preferrelative="f" stroked="t" strokeweight="1.5pt">
              <v:fill o:detectmouseclick="t"/>
              <v:path o:extrusionok="t" o:connecttype="none"/>
              <o:lock v:ext="edit" text="t"/>
            </v:shape>
            <v:group id="_x0000_s5525" style="position:absolute;left:2679;top:3074;width:7905;height:5513" coordorigin="46,11" coordsize="760,530">
              <v:line id="_x0000_s5526" style="position:absolute" from="46,11" to="46,541">
                <v:stroke startarrow="block"/>
              </v:line>
              <v:shape id="_x0000_s5527" style="position:absolute;left:46;top:376;width:506;height:102" coordsize="506,102" path="m,102r46,l46,,92,r,102l184,102,184,r46,l230,102r161,l391,r46,l437,102r69,e" filled="f">
                <v:path arrowok="t"/>
              </v:shape>
              <v:line id="_x0000_s5528" style="position:absolute" from="563,478" to="610,478">
                <v:stroke dashstyle="dash"/>
              </v:line>
              <v:shape id="_x0000_s5529" style="position:absolute;left:634;top:375;width:172;height:103" coordsize="172,103" path="m,103r125,l125,r47,e" filled="f">
                <v:path arrowok="t"/>
              </v:shape>
              <v:shape id="_x0000_s5530" style="position:absolute;left:46;top:257;width:759;height:68" coordsize="759,68" path="m,68r46,l92,34r92,l230,,391,r,68l437,34r230,l667,68r46,l759,34e" filled="f">
                <v:path arrowok="t"/>
              </v:shape>
              <v:shape id="_x0000_s5531" style="position:absolute;left:46;top:36;width:759;height:136" coordsize="759,136" path="m,136r46,l92,102r92,l230,68r161,l437,34r276,l759,e" filled="f">
                <v:path arrowok="t"/>
              </v:shape>
              <v:line id="_x0000_s5532" style="position:absolute" from="278,11" to="416,11">
                <v:stroke startarrow="block" endarrow="block"/>
              </v:line>
              <v:line id="_x0000_s5533" style="position:absolute" from="484,11" to="714,11">
                <v:stroke startarrow="block" endarrow="block"/>
              </v:line>
              <v:line id="_x0000_s5534" style="position:absolute" from="136,512" to="229,512">
                <v:stroke startarrow="block" endarrow="block"/>
              </v:line>
              <v:line id="_x0000_s5535" style="position:absolute" from="274,513" to="435,513">
                <v:stroke startarrow="block" endarrow="block"/>
              </v:line>
              <v:line id="_x0000_s5536" style="position:absolute" from="483,512" to="758,512">
                <v:stroke startarrow="block" endarrow="block"/>
              </v:line>
              <v:line id="_x0000_s5537" style="position:absolute" from="276,11" to="276,436">
                <v:stroke dashstyle="dash"/>
              </v:line>
              <v:line id="_x0000_s5538" style="position:absolute" from="414,11" to="414,478">
                <v:stroke dashstyle="dash"/>
              </v:line>
              <v:line id="_x0000_s5539" style="position:absolute" from="483,12" to="483,480">
                <v:stroke dashstyle="dash"/>
              </v:line>
              <v:line id="_x0000_s5540" style="position:absolute" from="712,11" to="712,479">
                <v:stroke dashstyle="dash"/>
              </v:line>
            </v:group>
            <v:shape id="_x0000_s5541" type="#_x0000_t202" style="position:absolute;left:3543;top:8327;width:1207;height:600" filled="f" stroked="f">
              <v:textbox style="mso-next-textbox:#_x0000_s5541;mso-direction-alt:auto" inset="1.87631mm,.93817mm,1.87631mm,.93817mm">
                <w:txbxContent>
                  <w:p w:rsidR="00A905B7" w:rsidRDefault="00A905B7" w:rsidP="00AF2027">
                    <w:pPr>
                      <w:rPr>
                        <w:sz w:val="18"/>
                      </w:rPr>
                    </w:pPr>
                    <w:r>
                      <w:rPr>
                        <w:sz w:val="18"/>
                      </w:rPr>
                      <w:t>&lt; 3 op. sequences</w:t>
                    </w:r>
                  </w:p>
                </w:txbxContent>
              </v:textbox>
            </v:shape>
            <v:shape id="_x0000_s5542" type="#_x0000_t202" style="position:absolute;left:5290;top:8327;width:1207;height:600" filled="f" stroked="f">
              <v:textbox style="mso-next-textbox:#_x0000_s5542;mso-direction-alt:auto" inset="1.87631mm,.93817mm,1.87631mm,.93817mm">
                <w:txbxContent>
                  <w:p w:rsidR="00A905B7" w:rsidRDefault="00A905B7" w:rsidP="00AF2027">
                    <w:pPr>
                      <w:rPr>
                        <w:sz w:val="18"/>
                      </w:rPr>
                    </w:pPr>
                    <w:r>
                      <w:rPr>
                        <w:sz w:val="18"/>
                      </w:rPr>
                      <w:t>&gt; 3 op. sequences</w:t>
                    </w:r>
                  </w:p>
                </w:txbxContent>
              </v:textbox>
            </v:shape>
            <v:shape id="_x0000_s5543" type="#_x0000_t202" style="position:absolute;left:8005;top:8283;width:1289;height:644" filled="f" stroked="f">
              <v:textbox style="mso-next-textbox:#_x0000_s5543;mso-direction-alt:auto" inset="1.87631mm,.93817mm,1.87631mm,.93817mm">
                <w:txbxContent>
                  <w:p w:rsidR="00A905B7" w:rsidRDefault="00A905B7" w:rsidP="00AF2027">
                    <w:pPr>
                      <w:rPr>
                        <w:sz w:val="18"/>
                      </w:rPr>
                    </w:pPr>
                    <w:r>
                      <w:rPr>
                        <w:sz w:val="18"/>
                      </w:rPr>
                      <w:t>&gt; 40 op. sequences</w:t>
                    </w:r>
                  </w:p>
                </w:txbxContent>
              </v:textbox>
            </v:shape>
            <v:shape id="_x0000_s5544" type="#_x0000_t202" style="position:absolute;left:4826;top:3125;width:1975;height:317" filled="f" stroked="f">
              <v:textbox style="mso-next-textbox:#_x0000_s5544;mso-direction-alt:auto" inset="1.87631mm,.93817mm,1.87631mm,.93817mm">
                <w:txbxContent>
                  <w:p w:rsidR="00A905B7" w:rsidRDefault="00A905B7" w:rsidP="00AF2027">
                    <w:pPr>
                      <w:rPr>
                        <w:sz w:val="18"/>
                      </w:rPr>
                    </w:pPr>
                    <w:r>
                      <w:rPr>
                        <w:sz w:val="18"/>
                      </w:rPr>
                      <w:t>3 op. sequences</w:t>
                    </w:r>
                  </w:p>
                </w:txbxContent>
              </v:textbox>
            </v:shape>
            <v:shape id="_x0000_s5545" type="#_x0000_t202" style="position:absolute;left:7390;top:3080;width:2242;height:627" filled="f" stroked="f">
              <v:textbox style="mso-next-textbox:#_x0000_s5545;mso-direction-alt:auto" inset="1.87631mm,.93817mm,1.87631mm,.93817mm">
                <w:txbxContent>
                  <w:p w:rsidR="00A905B7" w:rsidRDefault="00A905B7" w:rsidP="00AF2027">
                    <w:pPr>
                      <w:rPr>
                        <w:sz w:val="18"/>
                      </w:rPr>
                    </w:pPr>
                    <w:r>
                      <w:rPr>
                        <w:sz w:val="18"/>
                      </w:rPr>
                      <w:t>40 op. sequences</w:t>
                    </w:r>
                  </w:p>
                  <w:p w:rsidR="00A905B7" w:rsidRDefault="00A905B7" w:rsidP="00AF2027">
                    <w:pPr>
                      <w:rPr>
                        <w:color w:val="000000"/>
                        <w:sz w:val="18"/>
                      </w:rPr>
                    </w:pPr>
                    <w:r>
                      <w:rPr>
                        <w:color w:val="000000"/>
                        <w:sz w:val="18"/>
                      </w:rPr>
                      <w:t>or 200 op. hours</w:t>
                    </w:r>
                  </w:p>
                </w:txbxContent>
              </v:textbox>
            </v:shape>
            <v:shape id="_x0000_s5546" type="#_x0000_t202" style="position:absolute;left:2278;top:4980;width:639;height:1394" filled="f" stroked="f">
              <v:textbox style="layout-flow:vertical;mso-layout-flow-alt:bottom-to-top;mso-next-textbox:#_x0000_s5546;mso-direction-alt:auto" inset="1.87631mm,.93817mm,1.87631mm,.93817mm">
                <w:txbxContent>
                  <w:p w:rsidR="00A905B7" w:rsidRDefault="00A905B7" w:rsidP="00AF2027">
                    <w:pPr>
                      <w:rPr>
                        <w:sz w:val="18"/>
                      </w:rPr>
                    </w:pPr>
                    <w:r>
                      <w:rPr>
                        <w:sz w:val="18"/>
                      </w:rPr>
                      <w:t>Continuous-MI counter</w:t>
                    </w:r>
                  </w:p>
                </w:txbxContent>
              </v:textbox>
            </v:shape>
            <v:shape id="_x0000_s5547" type="#_x0000_t202" style="position:absolute;left:2256;top:3316;width:639;height:1372" filled="f" stroked="f">
              <v:textbox style="layout-flow:vertical;mso-layout-flow-alt:bottom-to-top;mso-next-textbox:#_x0000_s5547;mso-direction-alt:auto" inset="1.87631mm,.93817mm,1.87631mm,.93817mm">
                <w:txbxContent>
                  <w:p w:rsidR="00A905B7" w:rsidRDefault="00A905B7" w:rsidP="00AF2027">
                    <w:pPr>
                      <w:rPr>
                        <w:sz w:val="18"/>
                      </w:rPr>
                    </w:pPr>
                    <w:r>
                      <w:rPr>
                        <w:sz w:val="18"/>
                      </w:rPr>
                      <w:t>cumulative MI counter</w:t>
                    </w:r>
                  </w:p>
                </w:txbxContent>
              </v:textbox>
            </v:shape>
            <v:shape id="_x0000_s5548" type="#_x0000_t202" style="position:absolute;left:2201;top:6480;width:426;height:1842" filled="f" stroked="f">
              <v:textbox style="layout-flow:vertical;mso-layout-flow-alt:bottom-to-top;mso-next-textbox:#_x0000_s5548;mso-direction-alt:auto" inset="1.87631mm,.93817mm,1.87631mm,.93817mm">
                <w:txbxContent>
                  <w:p w:rsidR="00A905B7" w:rsidRDefault="00A905B7" w:rsidP="00AF2027">
                    <w:pPr>
                      <w:rPr>
                        <w:sz w:val="18"/>
                      </w:rPr>
                    </w:pPr>
                    <w:r>
                      <w:rPr>
                        <w:sz w:val="18"/>
                      </w:rPr>
                      <w:t>Continuous-MI</w:t>
                    </w:r>
                  </w:p>
                </w:txbxContent>
              </v:textbox>
            </v:shape>
            <w10:wrap anchory="page"/>
          </v:group>
        </w:pict>
      </w: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Default="00AF2027" w:rsidP="00AF2027">
      <w:pPr>
        <w:pStyle w:val="GTRnormal"/>
        <w:tabs>
          <w:tab w:val="clear" w:pos="540"/>
          <w:tab w:val="left" w:pos="1080"/>
        </w:tabs>
        <w:ind w:left="1080" w:hanging="1080"/>
        <w:jc w:val="both"/>
        <w:rPr>
          <w:rFonts w:ascii="Times New Roman" w:hAnsi="Times New Roman" w:cs="Times New Roman"/>
          <w:sz w:val="24"/>
        </w:rPr>
      </w:pPr>
    </w:p>
    <w:p w:rsidR="00763CD2" w:rsidRPr="00B04DC3" w:rsidRDefault="00763CD2"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GTRnormal"/>
        <w:tabs>
          <w:tab w:val="clear" w:pos="540"/>
          <w:tab w:val="left" w:pos="1080"/>
        </w:tabs>
        <w:ind w:left="1080" w:hanging="1080"/>
        <w:jc w:val="both"/>
        <w:rPr>
          <w:rFonts w:ascii="Times New Roman" w:hAnsi="Times New Roman" w:cs="Times New Roman"/>
          <w:sz w:val="24"/>
        </w:rPr>
      </w:pPr>
    </w:p>
    <w:p w:rsidR="00AF2027" w:rsidRPr="00B04DC3" w:rsidRDefault="00AF2027" w:rsidP="00AF2027">
      <w:pPr>
        <w:pStyle w:val="para"/>
        <w:rPr>
          <w:lang w:val="en-GB"/>
        </w:rPr>
      </w:pPr>
      <w:r w:rsidRPr="00B04DC3">
        <w:rPr>
          <w:lang w:val="en-GB"/>
        </w:rPr>
        <w:t>4.6.5.1.2.</w:t>
      </w:r>
      <w:r w:rsidRPr="00B04DC3">
        <w:rPr>
          <w:lang w:val="en-GB"/>
        </w:rPr>
        <w:tab/>
        <w:t>Cumulative continuous-MI counter</w:t>
      </w:r>
    </w:p>
    <w:p w:rsidR="00AF2027" w:rsidRPr="00B04DC3" w:rsidRDefault="00AF2027" w:rsidP="00AF2027">
      <w:pPr>
        <w:pStyle w:val="para"/>
        <w:rPr>
          <w:lang w:val="en-GB"/>
        </w:rPr>
      </w:pPr>
      <w:r w:rsidRPr="00B04DC3">
        <w:rPr>
          <w:lang w:val="en-GB"/>
        </w:rPr>
        <w:tab/>
        <w:t>The OBD system shall contain a cumulative continuous-MI counter to record the cumulative number of hours during which the engine has been operated over its life while a continuous-MI is activated.</w:t>
      </w:r>
    </w:p>
    <w:p w:rsidR="00AF2027" w:rsidRPr="00B04DC3" w:rsidRDefault="00AF2027" w:rsidP="00AF2027">
      <w:pPr>
        <w:pStyle w:val="para"/>
        <w:rPr>
          <w:lang w:val="en-GB"/>
        </w:rPr>
      </w:pPr>
      <w:r w:rsidRPr="00B04DC3">
        <w:rPr>
          <w:lang w:val="en-GB"/>
        </w:rPr>
        <w:tab/>
        <w:t>The cumulative continuous-MI counter shall count up to the maximum value provided in a 2-byte counter with 1 hour resolution and hold that value.</w:t>
      </w:r>
    </w:p>
    <w:p w:rsidR="00AF2027" w:rsidRPr="00B04DC3" w:rsidRDefault="00AF2027" w:rsidP="00AF2027">
      <w:pPr>
        <w:pStyle w:val="para"/>
        <w:rPr>
          <w:lang w:val="en-GB"/>
        </w:rPr>
      </w:pPr>
      <w:r w:rsidRPr="00B04DC3">
        <w:rPr>
          <w:lang w:val="en-GB"/>
        </w:rPr>
        <w:tab/>
        <w:t>The cumulative continuous-MI counter shall not be reset to zero by the engine system, a scan tool or a disconnection of a battery.</w:t>
      </w:r>
    </w:p>
    <w:p w:rsidR="00AF2027" w:rsidRPr="00B04DC3" w:rsidRDefault="00AF2027" w:rsidP="00AF2027">
      <w:pPr>
        <w:pStyle w:val="para"/>
        <w:rPr>
          <w:lang w:val="en-GB"/>
        </w:rPr>
      </w:pPr>
      <w:r w:rsidRPr="00B04DC3">
        <w:rPr>
          <w:lang w:val="en-GB"/>
        </w:rPr>
        <w:tab/>
        <w:t>The cumulative continuous-MI counter shall operate as follows:</w:t>
      </w:r>
    </w:p>
    <w:p w:rsidR="00AF2027" w:rsidRPr="00B04DC3" w:rsidRDefault="00AF2027" w:rsidP="00AF2027">
      <w:pPr>
        <w:pStyle w:val="a"/>
        <w:rPr>
          <w:lang w:val="en-GB"/>
        </w:rPr>
      </w:pPr>
      <w:r w:rsidRPr="00B04DC3">
        <w:rPr>
          <w:lang w:val="en-GB"/>
        </w:rPr>
        <w:t>(a)</w:t>
      </w:r>
      <w:r w:rsidRPr="00B04DC3">
        <w:rPr>
          <w:lang w:val="en-GB"/>
        </w:rPr>
        <w:tab/>
        <w:t>The cumulative continuous-MI counter shall begin counting when the continuous-MI is activated;</w:t>
      </w:r>
    </w:p>
    <w:p w:rsidR="00AF2027" w:rsidRPr="00B04DC3" w:rsidRDefault="00AF2027" w:rsidP="00AF2027">
      <w:pPr>
        <w:pStyle w:val="a"/>
        <w:rPr>
          <w:lang w:val="en-GB"/>
        </w:rPr>
      </w:pPr>
      <w:r w:rsidRPr="00B04DC3">
        <w:rPr>
          <w:lang w:val="en-GB"/>
        </w:rPr>
        <w:t>(b)</w:t>
      </w:r>
      <w:r w:rsidRPr="00B04DC3">
        <w:rPr>
          <w:lang w:val="en-GB"/>
        </w:rPr>
        <w:tab/>
        <w:t>The cumulative continuous-MI counter shall halt and hold its present value when the continuous-MI is no longer activated;</w:t>
      </w:r>
    </w:p>
    <w:p w:rsidR="00AF2027" w:rsidRPr="00B04DC3" w:rsidRDefault="00AF2027" w:rsidP="00AF2027">
      <w:pPr>
        <w:pStyle w:val="a"/>
        <w:rPr>
          <w:lang w:val="en-GB"/>
        </w:rPr>
      </w:pPr>
      <w:r w:rsidRPr="00B04DC3">
        <w:rPr>
          <w:lang w:val="en-GB"/>
        </w:rPr>
        <w:t>(c)</w:t>
      </w:r>
      <w:r w:rsidRPr="00B04DC3">
        <w:rPr>
          <w:lang w:val="en-GB"/>
        </w:rPr>
        <w:tab/>
        <w:t>The cumulative continuous-MI counter shall continue counting from the point it had been held when a continuous-MI is activated.</w:t>
      </w:r>
    </w:p>
    <w:p w:rsidR="00AF2027" w:rsidRPr="00B04DC3" w:rsidRDefault="00AF2027" w:rsidP="00AF2027">
      <w:pPr>
        <w:pStyle w:val="para"/>
        <w:rPr>
          <w:lang w:val="en-GB"/>
        </w:rPr>
      </w:pPr>
      <w:r w:rsidRPr="00B04DC3">
        <w:rPr>
          <w:lang w:val="en-GB"/>
        </w:rPr>
        <w:tab/>
        <w:t xml:space="preserve">Figure C1 illustrates the principle of the cumulative continuous-MI counter and Appendix 2 </w:t>
      </w:r>
      <w:r w:rsidR="002F043C">
        <w:rPr>
          <w:lang w:val="en-GB"/>
        </w:rPr>
        <w:t xml:space="preserve">to this annex </w:t>
      </w:r>
      <w:r w:rsidRPr="00B04DC3">
        <w:rPr>
          <w:lang w:val="en-GB"/>
        </w:rPr>
        <w:t>contains examples that illustrate the logic.</w:t>
      </w:r>
    </w:p>
    <w:p w:rsidR="00AF2027" w:rsidRPr="00B04DC3" w:rsidRDefault="00AF2027" w:rsidP="00AF2027">
      <w:pPr>
        <w:pStyle w:val="para"/>
        <w:rPr>
          <w:lang w:val="en-GB"/>
        </w:rPr>
      </w:pPr>
      <w:bookmarkStart w:id="960" w:name="_Toc118223043"/>
      <w:r w:rsidRPr="00B04DC3">
        <w:rPr>
          <w:lang w:val="en-GB"/>
        </w:rPr>
        <w:t>4.6.5.2.</w:t>
      </w:r>
      <w:r w:rsidRPr="00B04DC3">
        <w:rPr>
          <w:lang w:val="en-GB"/>
        </w:rPr>
        <w:tab/>
        <w:t>Counters associated with Class B1 malfunctions</w:t>
      </w:r>
      <w:bookmarkEnd w:id="960"/>
    </w:p>
    <w:p w:rsidR="00AF2027" w:rsidRPr="00B04DC3" w:rsidRDefault="00AF2027" w:rsidP="00AF2027">
      <w:pPr>
        <w:pStyle w:val="para"/>
        <w:rPr>
          <w:lang w:val="en-GB"/>
        </w:rPr>
      </w:pPr>
      <w:r w:rsidRPr="00B04DC3">
        <w:rPr>
          <w:lang w:val="en-GB"/>
        </w:rPr>
        <w:t>4.6.5.2.1.</w:t>
      </w:r>
      <w:r w:rsidRPr="00B04DC3">
        <w:rPr>
          <w:lang w:val="en-GB"/>
        </w:rPr>
        <w:tab/>
        <w:t>Single B1-counter</w:t>
      </w:r>
    </w:p>
    <w:p w:rsidR="00AF2027" w:rsidRPr="00B04DC3" w:rsidRDefault="00AF2027" w:rsidP="00AF2027">
      <w:pPr>
        <w:pStyle w:val="para"/>
        <w:rPr>
          <w:lang w:val="en-GB"/>
        </w:rPr>
      </w:pPr>
      <w:r w:rsidRPr="00B04DC3">
        <w:rPr>
          <w:lang w:val="en-GB"/>
        </w:rPr>
        <w:tab/>
        <w:t xml:space="preserve">The OBD system shall contain a B1 counter to record the number of hours during which the engine has operated while a Class B1 malfunction is present. </w:t>
      </w:r>
    </w:p>
    <w:p w:rsidR="00AF2027" w:rsidRPr="00B04DC3" w:rsidRDefault="00AF2027" w:rsidP="00AF2027">
      <w:pPr>
        <w:pStyle w:val="para"/>
        <w:rPr>
          <w:lang w:val="en-GB"/>
        </w:rPr>
      </w:pPr>
      <w:r w:rsidRPr="00B04DC3">
        <w:rPr>
          <w:lang w:val="en-GB"/>
        </w:rPr>
        <w:tab/>
        <w:t>The B1 counter shall operate as follows:</w:t>
      </w:r>
    </w:p>
    <w:p w:rsidR="00AF2027" w:rsidRPr="00B04DC3" w:rsidRDefault="00AF2027" w:rsidP="00AF2027">
      <w:pPr>
        <w:pStyle w:val="a"/>
        <w:rPr>
          <w:lang w:val="en-GB"/>
        </w:rPr>
      </w:pPr>
      <w:r w:rsidRPr="00B04DC3">
        <w:rPr>
          <w:lang w:val="en-GB"/>
        </w:rPr>
        <w:t>(a)</w:t>
      </w:r>
      <w:r w:rsidRPr="00B04DC3">
        <w:rPr>
          <w:lang w:val="en-GB"/>
        </w:rPr>
        <w:tab/>
        <w:t>The B1 counter shall begin counting as soon as a Class B1 malfunction is detected and a confirmed and active DTC has been stored;</w:t>
      </w:r>
    </w:p>
    <w:p w:rsidR="00AF2027" w:rsidRPr="00B04DC3" w:rsidRDefault="00AF2027" w:rsidP="00AF2027">
      <w:pPr>
        <w:pStyle w:val="a"/>
        <w:rPr>
          <w:lang w:val="en-GB"/>
        </w:rPr>
      </w:pPr>
      <w:r w:rsidRPr="00B04DC3">
        <w:rPr>
          <w:lang w:val="en-GB"/>
        </w:rPr>
        <w:t>(b)</w:t>
      </w:r>
      <w:r w:rsidRPr="00B04DC3">
        <w:rPr>
          <w:lang w:val="en-GB"/>
        </w:rPr>
        <w:tab/>
        <w:t>The B1 counter shall halt and hold its present value if no Class B1 malfunction is confirmed and active, or when all Class B1 malfunction have been erased by a scan tool;</w:t>
      </w:r>
    </w:p>
    <w:p w:rsidR="00AF2027" w:rsidRPr="00B04DC3" w:rsidRDefault="00AF2027" w:rsidP="00AF2027">
      <w:pPr>
        <w:pStyle w:val="a"/>
        <w:rPr>
          <w:lang w:val="en-GB"/>
        </w:rPr>
      </w:pPr>
      <w:r w:rsidRPr="00B04DC3">
        <w:rPr>
          <w:lang w:val="en-GB"/>
        </w:rPr>
        <w:t>(c)</w:t>
      </w:r>
      <w:r w:rsidRPr="00B04DC3">
        <w:rPr>
          <w:lang w:val="en-GB"/>
        </w:rPr>
        <w:tab/>
        <w:t>The B1 counter shall continue counting from the point it had been held if a subsequent Class B1 malfunction is detected within 3 operating sequences.</w:t>
      </w:r>
    </w:p>
    <w:p w:rsidR="00AF2027" w:rsidRPr="00B04DC3" w:rsidRDefault="00AF2027" w:rsidP="00AF2027">
      <w:pPr>
        <w:pStyle w:val="para"/>
        <w:rPr>
          <w:lang w:val="en-GB"/>
        </w:rPr>
      </w:pPr>
      <w:r w:rsidRPr="00B04DC3">
        <w:rPr>
          <w:lang w:val="en-GB"/>
        </w:rPr>
        <w:tab/>
        <w:t>In the case where the B1 counter has exceeded 200 engine running hours, the OBD system shall set the counter to 190 engine running hours when the OBD system has determined that a Class B1 malfunction is no longer confirmed and active, or when all Class B1 malfunctions have been erased by a scan tool. The B1 counter shall begin counting from 190 engine running hours if a subsequent Class B1 malfunction is present within 3 operating sequences.</w:t>
      </w:r>
    </w:p>
    <w:p w:rsidR="00AF2027" w:rsidRPr="00B04DC3" w:rsidRDefault="00AF2027" w:rsidP="00AF2027">
      <w:pPr>
        <w:pStyle w:val="para"/>
        <w:rPr>
          <w:lang w:val="en-GB"/>
        </w:rPr>
      </w:pPr>
      <w:r w:rsidRPr="00B04DC3">
        <w:rPr>
          <w:lang w:val="en-GB"/>
        </w:rPr>
        <w:tab/>
        <w:t>The B1 counter shall be reset to zero when three consecutive operating sequences have occurred during which no Class B1 malfunctions have been detected.</w:t>
      </w:r>
    </w:p>
    <w:p w:rsidR="00AF2027" w:rsidRPr="00B04DC3" w:rsidRDefault="00AF2027" w:rsidP="00AF2027">
      <w:pPr>
        <w:pStyle w:val="para"/>
        <w:ind w:firstLine="0"/>
        <w:rPr>
          <w:lang w:val="en-GB"/>
        </w:rPr>
      </w:pPr>
      <w:r w:rsidRPr="00B04DC3">
        <w:rPr>
          <w:i/>
          <w:lang w:val="en-GB"/>
        </w:rPr>
        <w:t>Note:</w:t>
      </w:r>
      <w:r w:rsidRPr="00B04DC3">
        <w:rPr>
          <w:lang w:val="en-GB"/>
        </w:rPr>
        <w:t xml:space="preserve"> The B1 counter does not indicate the number of engine running hours with a single Class B1 malfunction present.</w:t>
      </w:r>
    </w:p>
    <w:p w:rsidR="00AF2027" w:rsidRPr="00B04DC3" w:rsidRDefault="00AF2027" w:rsidP="00AF2027">
      <w:pPr>
        <w:pStyle w:val="para"/>
        <w:rPr>
          <w:lang w:val="en-GB"/>
        </w:rPr>
      </w:pPr>
      <w:r w:rsidRPr="00B04DC3">
        <w:rPr>
          <w:lang w:val="en-GB"/>
        </w:rPr>
        <w:tab/>
        <w:t>The B1 counter may accumulate the number of hours of 2 or more different Class B1 malfunctions, none of them having reached the time the counter indicates.</w:t>
      </w:r>
    </w:p>
    <w:p w:rsidR="00AF2027" w:rsidRPr="00B04DC3" w:rsidRDefault="00AF2027" w:rsidP="00AF2027">
      <w:pPr>
        <w:pStyle w:val="para"/>
        <w:rPr>
          <w:lang w:val="en-GB"/>
        </w:rPr>
      </w:pPr>
      <w:r w:rsidRPr="00B04DC3">
        <w:rPr>
          <w:lang w:val="en-GB"/>
        </w:rPr>
        <w:tab/>
        <w:t>The B1 counter is only intended to determine when the continuous-MI shall be activated.</w:t>
      </w:r>
    </w:p>
    <w:p w:rsidR="00AF2027" w:rsidRPr="00B04DC3" w:rsidRDefault="00AF2027" w:rsidP="00AF2027">
      <w:pPr>
        <w:pStyle w:val="para"/>
        <w:rPr>
          <w:lang w:val="en-GB"/>
        </w:rPr>
      </w:pPr>
      <w:r w:rsidRPr="00B04DC3">
        <w:rPr>
          <w:lang w:val="en-GB"/>
        </w:rPr>
        <w:tab/>
        <w:t xml:space="preserve">Figure C2 illustrates the principle of the B1 counter and Appendix 2 </w:t>
      </w:r>
      <w:r w:rsidR="002F043C">
        <w:rPr>
          <w:lang w:val="en-GB"/>
        </w:rPr>
        <w:t xml:space="preserve">to this annex </w:t>
      </w:r>
      <w:r w:rsidRPr="00B04DC3">
        <w:rPr>
          <w:lang w:val="en-GB"/>
        </w:rPr>
        <w:t>contains examples that illustrate the logic.</w:t>
      </w:r>
    </w:p>
    <w:p w:rsidR="00AF2027" w:rsidRPr="00B04DC3" w:rsidRDefault="00AF2027" w:rsidP="00AF2027">
      <w:pPr>
        <w:pStyle w:val="para"/>
        <w:rPr>
          <w:lang w:val="en-GB"/>
        </w:rPr>
      </w:pPr>
      <w:r w:rsidRPr="00B04DC3">
        <w:rPr>
          <w:lang w:val="en-GB"/>
        </w:rPr>
        <w:t>4.6.5.2.2.</w:t>
      </w:r>
      <w:r w:rsidRPr="00B04DC3">
        <w:rPr>
          <w:lang w:val="en-GB"/>
        </w:rPr>
        <w:tab/>
        <w:t>Multiple B1-counters</w:t>
      </w:r>
    </w:p>
    <w:p w:rsidR="00AF2027" w:rsidRPr="00B04DC3" w:rsidRDefault="00AF2027" w:rsidP="00AF2027">
      <w:pPr>
        <w:pStyle w:val="para"/>
        <w:rPr>
          <w:lang w:val="en-GB"/>
        </w:rPr>
      </w:pPr>
      <w:r w:rsidRPr="00B04DC3">
        <w:rPr>
          <w:lang w:val="en-GB"/>
        </w:rPr>
        <w:tab/>
        <w:t>A manufacturer may use multiple B1 counters. In that case the system shall be capable of assigning a specific B1 counter to each class B1 malfunction.</w:t>
      </w:r>
    </w:p>
    <w:p w:rsidR="00AF2027" w:rsidRPr="00B04DC3" w:rsidRDefault="00AF2027" w:rsidP="00AF2027">
      <w:pPr>
        <w:pStyle w:val="para"/>
        <w:rPr>
          <w:lang w:val="en-GB"/>
        </w:rPr>
      </w:pPr>
      <w:r w:rsidRPr="00B04DC3">
        <w:rPr>
          <w:lang w:val="en-GB"/>
        </w:rPr>
        <w:tab/>
        <w:t>The control of the specific B1 counter shall follow the same rules as the single B1 counter, where each specific B1 counter shall begin counting when the assigned Class B1 malfunction is detected.</w:t>
      </w:r>
    </w:p>
    <w:p w:rsidR="00AF2027" w:rsidRPr="00B04DC3" w:rsidRDefault="00AF2027" w:rsidP="00AF2027">
      <w:pPr>
        <w:pStyle w:val="para"/>
        <w:rPr>
          <w:lang w:val="en-GB"/>
        </w:rPr>
      </w:pPr>
      <w:bookmarkStart w:id="961" w:name="_Toc118223044"/>
      <w:r w:rsidRPr="00B04DC3">
        <w:rPr>
          <w:lang w:val="en-GB"/>
        </w:rPr>
        <w:t>4.7.</w:t>
      </w:r>
      <w:r w:rsidRPr="00B04DC3">
        <w:rPr>
          <w:lang w:val="en-GB"/>
        </w:rPr>
        <w:tab/>
        <w:t>OBD information</w:t>
      </w:r>
      <w:bookmarkEnd w:id="961"/>
    </w:p>
    <w:p w:rsidR="00AF2027" w:rsidRPr="00B04DC3" w:rsidRDefault="00AF2027" w:rsidP="00AF2027">
      <w:pPr>
        <w:pStyle w:val="para"/>
        <w:rPr>
          <w:lang w:val="en-GB"/>
        </w:rPr>
      </w:pPr>
      <w:bookmarkStart w:id="962" w:name="_Toc104693831"/>
      <w:bookmarkStart w:id="963" w:name="_Toc118223045"/>
      <w:r w:rsidRPr="00B04DC3">
        <w:rPr>
          <w:lang w:val="en-GB"/>
        </w:rPr>
        <w:t>4.7.1.</w:t>
      </w:r>
      <w:r w:rsidRPr="00B04DC3">
        <w:rPr>
          <w:lang w:val="en-GB"/>
        </w:rPr>
        <w:tab/>
        <w:t>Recorded information</w:t>
      </w:r>
      <w:bookmarkEnd w:id="962"/>
      <w:bookmarkEnd w:id="963"/>
    </w:p>
    <w:p w:rsidR="00AF2027" w:rsidRPr="00B04DC3" w:rsidRDefault="00AF2027" w:rsidP="00AF2027">
      <w:pPr>
        <w:pStyle w:val="para"/>
        <w:rPr>
          <w:lang w:val="en-GB"/>
        </w:rPr>
      </w:pPr>
      <w:r w:rsidRPr="00B04DC3">
        <w:rPr>
          <w:lang w:val="en-GB"/>
        </w:rPr>
        <w:tab/>
        <w:t>The information recorded by the OBD system shall be available upon off-board request in the following packages manner:</w:t>
      </w:r>
    </w:p>
    <w:p w:rsidR="00AF2027" w:rsidRPr="00B04DC3" w:rsidRDefault="00AF2027" w:rsidP="00AF2027">
      <w:pPr>
        <w:pStyle w:val="a"/>
        <w:rPr>
          <w:lang w:val="en-GB"/>
        </w:rPr>
      </w:pPr>
      <w:r w:rsidRPr="00B04DC3">
        <w:rPr>
          <w:lang w:val="en-GB"/>
        </w:rPr>
        <w:t>(a)</w:t>
      </w:r>
      <w:r w:rsidRPr="00B04DC3">
        <w:rPr>
          <w:lang w:val="en-GB"/>
        </w:rPr>
        <w:tab/>
        <w:t>Information about the engine state;</w:t>
      </w:r>
    </w:p>
    <w:p w:rsidR="00AF2027" w:rsidRPr="00B04DC3" w:rsidRDefault="00AF2027" w:rsidP="00AF2027">
      <w:pPr>
        <w:pStyle w:val="a"/>
        <w:rPr>
          <w:lang w:val="en-GB"/>
        </w:rPr>
      </w:pPr>
      <w:r w:rsidRPr="00B04DC3">
        <w:rPr>
          <w:lang w:val="en-GB"/>
        </w:rPr>
        <w:t>(b)</w:t>
      </w:r>
      <w:r w:rsidRPr="00B04DC3">
        <w:rPr>
          <w:lang w:val="en-GB"/>
        </w:rPr>
        <w:tab/>
        <w:t>Information about active emission-related malfunctions;</w:t>
      </w:r>
    </w:p>
    <w:p w:rsidR="00AF2027" w:rsidRPr="00B04DC3" w:rsidRDefault="00AF2027" w:rsidP="00AF2027">
      <w:pPr>
        <w:pStyle w:val="a"/>
        <w:rPr>
          <w:lang w:val="en-GB"/>
        </w:rPr>
      </w:pPr>
      <w:r w:rsidRPr="00B04DC3">
        <w:rPr>
          <w:lang w:val="en-GB"/>
        </w:rPr>
        <w:t>(c)</w:t>
      </w:r>
      <w:r w:rsidRPr="00B04DC3">
        <w:rPr>
          <w:lang w:val="en-GB"/>
        </w:rPr>
        <w:tab/>
        <w:t>Information for repair.</w:t>
      </w:r>
    </w:p>
    <w:p w:rsidR="00AF2027" w:rsidRPr="00B04DC3" w:rsidRDefault="00AF2027" w:rsidP="00AF2027">
      <w:pPr>
        <w:pStyle w:val="para"/>
        <w:rPr>
          <w:lang w:val="en-GB"/>
        </w:rPr>
      </w:pPr>
      <w:bookmarkStart w:id="964" w:name="_Toc104693832"/>
      <w:bookmarkStart w:id="965" w:name="_Toc118223046"/>
      <w:r w:rsidRPr="00B04DC3">
        <w:rPr>
          <w:lang w:val="en-GB"/>
        </w:rPr>
        <w:t>4.7.1.1.</w:t>
      </w:r>
      <w:r w:rsidRPr="00B04DC3">
        <w:rPr>
          <w:lang w:val="en-GB"/>
        </w:rPr>
        <w:tab/>
        <w:t>Information about the engine state</w:t>
      </w:r>
      <w:bookmarkEnd w:id="964"/>
      <w:bookmarkEnd w:id="965"/>
    </w:p>
    <w:p w:rsidR="00AF2027" w:rsidRPr="00B04DC3" w:rsidRDefault="00AF2027" w:rsidP="00AF2027">
      <w:pPr>
        <w:pStyle w:val="para"/>
        <w:rPr>
          <w:lang w:val="en-GB"/>
        </w:rPr>
      </w:pPr>
      <w:r w:rsidRPr="00B04DC3">
        <w:rPr>
          <w:lang w:val="en-GB"/>
        </w:rPr>
        <w:tab/>
        <w:t>This information will provide an enforcement agency</w:t>
      </w:r>
      <w:r w:rsidRPr="00B04DC3">
        <w:rPr>
          <w:bCs/>
          <w:vertAlign w:val="superscript"/>
          <w:lang w:val="en-GB"/>
        </w:rPr>
        <w:footnoteReference w:id="45"/>
      </w:r>
      <w:r w:rsidRPr="00B04DC3">
        <w:rPr>
          <w:lang w:val="en-GB"/>
        </w:rPr>
        <w:t xml:space="preserve"> with the malfunction indicator status and associated data (e.g. continuous-MI counter, readiness).</w:t>
      </w:r>
    </w:p>
    <w:p w:rsidR="00AF2027" w:rsidRPr="00B04DC3" w:rsidRDefault="00AF2027" w:rsidP="00AF2027">
      <w:pPr>
        <w:pStyle w:val="para"/>
        <w:rPr>
          <w:lang w:val="en-GB"/>
        </w:rPr>
      </w:pPr>
      <w:r w:rsidRPr="00B04DC3">
        <w:rPr>
          <w:lang w:val="en-GB"/>
        </w:rPr>
        <w:tab/>
        <w:t>The OBD system shall provide all information (according to the applicable standard set in Appendix 6</w:t>
      </w:r>
      <w:r w:rsidR="002F043C">
        <w:rPr>
          <w:lang w:val="en-GB"/>
        </w:rPr>
        <w:t xml:space="preserve"> to this annex</w:t>
      </w:r>
      <w:r w:rsidRPr="00B04DC3">
        <w:rPr>
          <w:lang w:val="en-GB"/>
        </w:rPr>
        <w:t>) for the external roadside check test equipment to assimilate the data and provide an enforcement agent with the following information:</w:t>
      </w:r>
    </w:p>
    <w:p w:rsidR="00AF2027" w:rsidRPr="00B04DC3" w:rsidRDefault="00AF2027" w:rsidP="00AF2027">
      <w:pPr>
        <w:pStyle w:val="a"/>
        <w:rPr>
          <w:lang w:val="en-GB"/>
        </w:rPr>
      </w:pPr>
      <w:r w:rsidRPr="00B04DC3">
        <w:rPr>
          <w:lang w:val="en-GB"/>
        </w:rPr>
        <w:t>(a)</w:t>
      </w:r>
      <w:r w:rsidRPr="00B04DC3">
        <w:rPr>
          <w:lang w:val="en-GB"/>
        </w:rPr>
        <w:tab/>
        <w:t>Discriminatory/non-discriminatory display strategy;</w:t>
      </w:r>
    </w:p>
    <w:p w:rsidR="00AF2027" w:rsidRPr="00B04DC3" w:rsidRDefault="00AF2027" w:rsidP="00AF2027">
      <w:pPr>
        <w:pStyle w:val="a"/>
        <w:rPr>
          <w:lang w:val="en-GB"/>
        </w:rPr>
      </w:pPr>
      <w:r w:rsidRPr="00B04DC3">
        <w:rPr>
          <w:lang w:val="en-GB"/>
        </w:rPr>
        <w:t>(b)</w:t>
      </w:r>
      <w:r w:rsidRPr="00B04DC3">
        <w:rPr>
          <w:lang w:val="en-GB"/>
        </w:rPr>
        <w:tab/>
        <w:t>The VIN (</w:t>
      </w:r>
      <w:r w:rsidR="002F043C" w:rsidRPr="00B04DC3">
        <w:rPr>
          <w:lang w:val="en-GB"/>
        </w:rPr>
        <w:t>V</w:t>
      </w:r>
      <w:r w:rsidRPr="00B04DC3">
        <w:rPr>
          <w:lang w:val="en-GB"/>
        </w:rPr>
        <w:t xml:space="preserve">ehicle </w:t>
      </w:r>
      <w:r w:rsidR="002F043C" w:rsidRPr="00B04DC3">
        <w:rPr>
          <w:lang w:val="en-GB"/>
        </w:rPr>
        <w:t>I</w:t>
      </w:r>
      <w:r w:rsidRPr="00B04DC3">
        <w:rPr>
          <w:lang w:val="en-GB"/>
        </w:rPr>
        <w:t xml:space="preserve">dentification </w:t>
      </w:r>
      <w:r w:rsidR="002F043C" w:rsidRPr="00B04DC3">
        <w:rPr>
          <w:lang w:val="en-GB"/>
        </w:rPr>
        <w:t>N</w:t>
      </w:r>
      <w:r w:rsidRPr="00B04DC3">
        <w:rPr>
          <w:lang w:val="en-GB"/>
        </w:rPr>
        <w:t>umber);</w:t>
      </w:r>
    </w:p>
    <w:p w:rsidR="00AF2027" w:rsidRPr="00B04DC3" w:rsidRDefault="00AF2027" w:rsidP="00AF2027">
      <w:pPr>
        <w:pStyle w:val="a"/>
        <w:rPr>
          <w:lang w:val="en-GB"/>
        </w:rPr>
      </w:pPr>
      <w:r w:rsidRPr="00B04DC3">
        <w:rPr>
          <w:lang w:val="en-GB"/>
        </w:rPr>
        <w:t>(c)</w:t>
      </w:r>
      <w:r w:rsidRPr="00B04DC3">
        <w:rPr>
          <w:lang w:val="en-GB"/>
        </w:rPr>
        <w:tab/>
        <w:t>Presence of a continuous-MI;</w:t>
      </w:r>
    </w:p>
    <w:p w:rsidR="00AF2027" w:rsidRPr="00B04DC3" w:rsidRDefault="00AF2027" w:rsidP="00AF2027">
      <w:pPr>
        <w:pStyle w:val="a"/>
        <w:rPr>
          <w:lang w:val="en-GB"/>
        </w:rPr>
      </w:pPr>
      <w:r w:rsidRPr="00B04DC3">
        <w:rPr>
          <w:lang w:val="en-GB"/>
        </w:rPr>
        <w:t>(d)</w:t>
      </w:r>
      <w:r w:rsidRPr="00B04DC3">
        <w:rPr>
          <w:lang w:val="en-GB"/>
        </w:rPr>
        <w:tab/>
        <w:t>The readiness of the OBD system;</w:t>
      </w:r>
    </w:p>
    <w:p w:rsidR="00AF2027" w:rsidRPr="00B04DC3" w:rsidRDefault="00AF2027" w:rsidP="00AF2027">
      <w:pPr>
        <w:pStyle w:val="a"/>
        <w:rPr>
          <w:lang w:val="en-GB"/>
        </w:rPr>
      </w:pPr>
      <w:r w:rsidRPr="00B04DC3">
        <w:rPr>
          <w:lang w:val="en-GB"/>
        </w:rPr>
        <w:t>(e)</w:t>
      </w:r>
      <w:r w:rsidRPr="00B04DC3">
        <w:rPr>
          <w:lang w:val="en-GB"/>
        </w:rPr>
        <w:tab/>
        <w:t>The number of engine operating hours during which a continuous-MI was last activated (continuous-MI counter).</w:t>
      </w:r>
    </w:p>
    <w:p w:rsidR="00AF2027" w:rsidRPr="00B04DC3" w:rsidRDefault="00AF2027" w:rsidP="00AF2027">
      <w:pPr>
        <w:pStyle w:val="para"/>
        <w:rPr>
          <w:lang w:val="en-GB"/>
        </w:rPr>
      </w:pPr>
      <w:r w:rsidRPr="00B04DC3">
        <w:rPr>
          <w:lang w:val="en-GB"/>
        </w:rPr>
        <w:tab/>
        <w:t>This information shall be read only access (i.e. no clearing).</w:t>
      </w:r>
    </w:p>
    <w:p w:rsidR="00AF2027" w:rsidRPr="00B04DC3" w:rsidRDefault="00AF2027" w:rsidP="009140D5">
      <w:pPr>
        <w:pStyle w:val="para"/>
        <w:keepNext/>
        <w:keepLines/>
        <w:rPr>
          <w:lang w:val="en-GB"/>
        </w:rPr>
      </w:pPr>
      <w:r w:rsidRPr="00B04DC3">
        <w:rPr>
          <w:lang w:val="en-GB"/>
        </w:rPr>
        <w:t>4.7.1.2.</w:t>
      </w:r>
      <w:bookmarkStart w:id="966" w:name="_Toc104693833"/>
      <w:bookmarkStart w:id="967" w:name="_Toc118223047"/>
      <w:r w:rsidRPr="00B04DC3">
        <w:rPr>
          <w:lang w:val="en-GB"/>
        </w:rPr>
        <w:tab/>
        <w:t>Information about active emission-related malfunctions</w:t>
      </w:r>
      <w:bookmarkEnd w:id="966"/>
      <w:bookmarkEnd w:id="967"/>
    </w:p>
    <w:p w:rsidR="00AF2027" w:rsidRPr="00B04DC3" w:rsidRDefault="00AF2027" w:rsidP="00AF2027">
      <w:pPr>
        <w:pStyle w:val="para"/>
        <w:rPr>
          <w:lang w:val="en-GB"/>
        </w:rPr>
      </w:pPr>
      <w:r w:rsidRPr="00B04DC3">
        <w:rPr>
          <w:lang w:val="en-GB"/>
        </w:rPr>
        <w:tab/>
        <w:t>This information will provide any inspection station</w:t>
      </w:r>
      <w:r w:rsidRPr="00B04DC3">
        <w:rPr>
          <w:bCs/>
          <w:vertAlign w:val="superscript"/>
          <w:lang w:val="en-GB"/>
        </w:rPr>
        <w:footnoteReference w:id="46"/>
      </w:r>
      <w:r w:rsidRPr="00B04DC3">
        <w:rPr>
          <w:vertAlign w:val="superscript"/>
          <w:lang w:val="en-GB"/>
        </w:rPr>
        <w:t xml:space="preserve"> </w:t>
      </w:r>
      <w:r w:rsidRPr="00B04DC3">
        <w:rPr>
          <w:lang w:val="en-GB"/>
        </w:rPr>
        <w:t xml:space="preserve">with a subset of engine related OBD data including the malfunction indicator status and associated data (MI counters), a list of active/confirmed malfunctions of </w:t>
      </w:r>
      <w:r w:rsidR="007531D4">
        <w:rPr>
          <w:lang w:val="en-GB"/>
        </w:rPr>
        <w:t>C</w:t>
      </w:r>
      <w:r w:rsidR="007531D4" w:rsidRPr="00B04DC3">
        <w:rPr>
          <w:lang w:val="en-GB"/>
        </w:rPr>
        <w:t xml:space="preserve">lasses </w:t>
      </w:r>
      <w:r w:rsidRPr="00B04DC3">
        <w:rPr>
          <w:lang w:val="en-GB"/>
        </w:rPr>
        <w:t>A and B and associated data (e.g. B1-counter).</w:t>
      </w:r>
    </w:p>
    <w:p w:rsidR="00AF2027" w:rsidRPr="00B04DC3" w:rsidRDefault="00AF2027" w:rsidP="00AF2027">
      <w:pPr>
        <w:pStyle w:val="para"/>
        <w:rPr>
          <w:lang w:val="en-GB"/>
        </w:rPr>
      </w:pPr>
      <w:r w:rsidRPr="00B04DC3">
        <w:rPr>
          <w:lang w:val="en-GB"/>
        </w:rPr>
        <w:tab/>
        <w:t>The OBD system shall provide all information (according to the applicable standard set in Appendix 6</w:t>
      </w:r>
      <w:r w:rsidR="002F043C">
        <w:rPr>
          <w:lang w:val="en-GB"/>
        </w:rPr>
        <w:t xml:space="preserve"> to this annex</w:t>
      </w:r>
      <w:r w:rsidRPr="00B04DC3">
        <w:rPr>
          <w:lang w:val="en-GB"/>
        </w:rPr>
        <w:t>) for the external inspection test equipment to assimilate the data and provide an inspector with the following information:</w:t>
      </w:r>
    </w:p>
    <w:p w:rsidR="00AF2027" w:rsidRPr="00B04DC3" w:rsidRDefault="00AF2027" w:rsidP="00AF2027">
      <w:pPr>
        <w:pStyle w:val="a"/>
        <w:rPr>
          <w:lang w:val="en-GB"/>
        </w:rPr>
      </w:pPr>
      <w:r w:rsidRPr="00B04DC3">
        <w:rPr>
          <w:lang w:val="en-GB"/>
        </w:rPr>
        <w:t>(a)</w:t>
      </w:r>
      <w:r w:rsidRPr="00B04DC3">
        <w:rPr>
          <w:lang w:val="en-GB"/>
        </w:rPr>
        <w:tab/>
        <w:t>The gtr (and revision) number</w:t>
      </w:r>
      <w:r w:rsidRPr="00B04DC3">
        <w:rPr>
          <w:b/>
          <w:bCs/>
          <w:lang w:val="en-GB"/>
        </w:rPr>
        <w:t xml:space="preserve"> </w:t>
      </w:r>
      <w:r w:rsidRPr="00B04DC3">
        <w:rPr>
          <w:lang w:val="en-GB"/>
        </w:rPr>
        <w:t>to be integrated into Regulation No. 49 type approval marking;</w:t>
      </w:r>
    </w:p>
    <w:p w:rsidR="00AF2027" w:rsidRPr="00B04DC3" w:rsidRDefault="00AF2027" w:rsidP="00AF2027">
      <w:pPr>
        <w:pStyle w:val="a"/>
        <w:rPr>
          <w:lang w:val="en-GB"/>
        </w:rPr>
      </w:pPr>
      <w:r w:rsidRPr="00B04DC3">
        <w:rPr>
          <w:lang w:val="en-GB"/>
        </w:rPr>
        <w:t>(b)</w:t>
      </w:r>
      <w:r w:rsidRPr="00B04DC3">
        <w:rPr>
          <w:lang w:val="en-GB"/>
        </w:rPr>
        <w:tab/>
        <w:t>Discriminatory/non-discriminatory display strategy;</w:t>
      </w:r>
    </w:p>
    <w:p w:rsidR="00AF2027" w:rsidRPr="00B04DC3" w:rsidRDefault="00AF2027" w:rsidP="00AF2027">
      <w:pPr>
        <w:pStyle w:val="a"/>
        <w:rPr>
          <w:lang w:val="en-GB"/>
        </w:rPr>
      </w:pPr>
      <w:r w:rsidRPr="00B04DC3">
        <w:rPr>
          <w:lang w:val="en-GB"/>
        </w:rPr>
        <w:t>(c)</w:t>
      </w:r>
      <w:r w:rsidRPr="00B04DC3">
        <w:rPr>
          <w:lang w:val="en-GB"/>
        </w:rPr>
        <w:tab/>
        <w:t>The VIN (</w:t>
      </w:r>
      <w:r w:rsidR="00A131C5" w:rsidRPr="00B04DC3">
        <w:rPr>
          <w:lang w:val="en-GB"/>
        </w:rPr>
        <w:t>V</w:t>
      </w:r>
      <w:r w:rsidRPr="00B04DC3">
        <w:rPr>
          <w:lang w:val="en-GB"/>
        </w:rPr>
        <w:t xml:space="preserve">ehicle </w:t>
      </w:r>
      <w:r w:rsidR="00A131C5" w:rsidRPr="00B04DC3">
        <w:rPr>
          <w:lang w:val="en-GB"/>
        </w:rPr>
        <w:t>I</w:t>
      </w:r>
      <w:r w:rsidRPr="00B04DC3">
        <w:rPr>
          <w:lang w:val="en-GB"/>
        </w:rPr>
        <w:t xml:space="preserve">dentification </w:t>
      </w:r>
      <w:r w:rsidR="00A131C5" w:rsidRPr="00B04DC3">
        <w:rPr>
          <w:lang w:val="en-GB"/>
        </w:rPr>
        <w:t>N</w:t>
      </w:r>
      <w:r w:rsidRPr="00B04DC3">
        <w:rPr>
          <w:lang w:val="en-GB"/>
        </w:rPr>
        <w:t>umber);</w:t>
      </w:r>
    </w:p>
    <w:p w:rsidR="00AF2027" w:rsidRPr="00B04DC3" w:rsidRDefault="00AF2027" w:rsidP="00AF2027">
      <w:pPr>
        <w:pStyle w:val="a"/>
        <w:rPr>
          <w:lang w:val="en-GB"/>
        </w:rPr>
      </w:pPr>
      <w:r w:rsidRPr="00B04DC3">
        <w:rPr>
          <w:lang w:val="en-GB"/>
        </w:rPr>
        <w:t>(d)</w:t>
      </w:r>
      <w:r w:rsidRPr="00B04DC3">
        <w:rPr>
          <w:lang w:val="en-GB"/>
        </w:rPr>
        <w:tab/>
        <w:t xml:space="preserve">The </w:t>
      </w:r>
      <w:r w:rsidR="00A131C5" w:rsidRPr="00B04DC3">
        <w:rPr>
          <w:lang w:val="en-GB"/>
        </w:rPr>
        <w:t>m</w:t>
      </w:r>
      <w:r w:rsidRPr="00B04DC3">
        <w:rPr>
          <w:lang w:val="en-GB"/>
        </w:rPr>
        <w:t xml:space="preserve">alfunction </w:t>
      </w:r>
      <w:r w:rsidR="00A131C5" w:rsidRPr="00B04DC3">
        <w:rPr>
          <w:lang w:val="en-GB"/>
        </w:rPr>
        <w:t>i</w:t>
      </w:r>
      <w:r w:rsidRPr="00B04DC3">
        <w:rPr>
          <w:lang w:val="en-GB"/>
        </w:rPr>
        <w:t>ndicator status;</w:t>
      </w:r>
    </w:p>
    <w:p w:rsidR="00AF2027" w:rsidRPr="00B04DC3" w:rsidRDefault="00AF2027" w:rsidP="00AF2027">
      <w:pPr>
        <w:pStyle w:val="a"/>
        <w:rPr>
          <w:lang w:val="en-GB"/>
        </w:rPr>
      </w:pPr>
      <w:r w:rsidRPr="00B04DC3">
        <w:rPr>
          <w:lang w:val="en-GB"/>
        </w:rPr>
        <w:t>(e)</w:t>
      </w:r>
      <w:r w:rsidRPr="00B04DC3">
        <w:rPr>
          <w:lang w:val="en-GB"/>
        </w:rPr>
        <w:tab/>
        <w:t xml:space="preserve">The </w:t>
      </w:r>
      <w:r w:rsidR="00A131C5" w:rsidRPr="00B04DC3">
        <w:rPr>
          <w:lang w:val="en-GB"/>
        </w:rPr>
        <w:t>r</w:t>
      </w:r>
      <w:r w:rsidRPr="00B04DC3">
        <w:rPr>
          <w:lang w:val="en-GB"/>
        </w:rPr>
        <w:t>eadiness of the OBD system;</w:t>
      </w:r>
    </w:p>
    <w:p w:rsidR="00AF2027" w:rsidRPr="00B04DC3" w:rsidRDefault="00AF2027" w:rsidP="00AF2027">
      <w:pPr>
        <w:pStyle w:val="a"/>
        <w:rPr>
          <w:lang w:val="en-GB"/>
        </w:rPr>
      </w:pPr>
      <w:r w:rsidRPr="00B04DC3">
        <w:rPr>
          <w:lang w:val="en-GB"/>
        </w:rPr>
        <w:t>(f)</w:t>
      </w:r>
      <w:r w:rsidRPr="00B04DC3">
        <w:rPr>
          <w:lang w:val="en-GB"/>
        </w:rPr>
        <w:tab/>
        <w:t>Number of warm-up cycles and number of engine operating hours since recorded OBD information was last cleared;</w:t>
      </w:r>
    </w:p>
    <w:p w:rsidR="00AF2027" w:rsidRPr="00B04DC3" w:rsidRDefault="00AF2027" w:rsidP="00AF2027">
      <w:pPr>
        <w:pStyle w:val="a"/>
        <w:rPr>
          <w:lang w:val="en-GB"/>
        </w:rPr>
      </w:pPr>
      <w:r w:rsidRPr="00B04DC3">
        <w:rPr>
          <w:lang w:val="en-GB"/>
        </w:rPr>
        <w:t>(g)</w:t>
      </w:r>
      <w:r w:rsidRPr="00B04DC3">
        <w:rPr>
          <w:lang w:val="en-GB"/>
        </w:rPr>
        <w:tab/>
        <w:t>The number of engine operating hours during which a continuous-MI was last activated (continuous-MI counter);</w:t>
      </w:r>
    </w:p>
    <w:p w:rsidR="00AF2027" w:rsidRPr="00B04DC3" w:rsidRDefault="00AF2027" w:rsidP="00AF2027">
      <w:pPr>
        <w:pStyle w:val="a"/>
        <w:rPr>
          <w:lang w:val="en-GB"/>
        </w:rPr>
      </w:pPr>
      <w:r w:rsidRPr="00B04DC3">
        <w:rPr>
          <w:lang w:val="en-GB"/>
        </w:rPr>
        <w:t>(h)</w:t>
      </w:r>
      <w:r w:rsidRPr="00B04DC3">
        <w:rPr>
          <w:lang w:val="en-GB"/>
        </w:rPr>
        <w:tab/>
        <w:t>The cumulated operating hours with a continuous-MI (cumulative continuous-MI counter);</w:t>
      </w:r>
    </w:p>
    <w:p w:rsidR="00AF2027" w:rsidRPr="00B04DC3" w:rsidRDefault="00AF2027" w:rsidP="00AF2027">
      <w:pPr>
        <w:pStyle w:val="a"/>
        <w:rPr>
          <w:lang w:val="en-GB"/>
        </w:rPr>
      </w:pPr>
      <w:r w:rsidRPr="00B04DC3">
        <w:rPr>
          <w:lang w:val="en-GB"/>
        </w:rPr>
        <w:t>(i)</w:t>
      </w:r>
      <w:r w:rsidRPr="00B04DC3">
        <w:rPr>
          <w:lang w:val="en-GB"/>
        </w:rPr>
        <w:tab/>
        <w:t>The value of the B1 counter with the highest number of engine operating hours;</w:t>
      </w:r>
    </w:p>
    <w:p w:rsidR="00AF2027" w:rsidRPr="00B04DC3" w:rsidRDefault="00AF2027" w:rsidP="00AF2027">
      <w:pPr>
        <w:pStyle w:val="a"/>
        <w:rPr>
          <w:lang w:val="en-GB"/>
        </w:rPr>
      </w:pPr>
      <w:r w:rsidRPr="00B04DC3">
        <w:rPr>
          <w:lang w:val="en-GB"/>
        </w:rPr>
        <w:t>(j)</w:t>
      </w:r>
      <w:r w:rsidRPr="00B04DC3">
        <w:rPr>
          <w:lang w:val="en-GB"/>
        </w:rPr>
        <w:tab/>
        <w:t>The confirmed and active DTCs for Class A malfunctions;</w:t>
      </w:r>
    </w:p>
    <w:p w:rsidR="00AF2027" w:rsidRPr="00B04DC3" w:rsidRDefault="00AF2027" w:rsidP="00AF2027">
      <w:pPr>
        <w:pStyle w:val="a"/>
        <w:rPr>
          <w:lang w:val="en-GB"/>
        </w:rPr>
      </w:pPr>
      <w:r w:rsidRPr="00B04DC3">
        <w:rPr>
          <w:lang w:val="en-GB"/>
        </w:rPr>
        <w:t>(k)</w:t>
      </w:r>
      <w:r w:rsidRPr="00B04DC3">
        <w:rPr>
          <w:lang w:val="en-GB"/>
        </w:rPr>
        <w:tab/>
        <w:t>The confirmed and active DTCs for Class B (B1 and B2) malfunctions;</w:t>
      </w:r>
    </w:p>
    <w:p w:rsidR="00AF2027" w:rsidRPr="00B04DC3" w:rsidRDefault="00AF2027" w:rsidP="00AF2027">
      <w:pPr>
        <w:pStyle w:val="a"/>
        <w:rPr>
          <w:lang w:val="en-GB"/>
        </w:rPr>
      </w:pPr>
      <w:r w:rsidRPr="00B04DC3">
        <w:rPr>
          <w:lang w:val="en-GB"/>
        </w:rPr>
        <w:t>(l)</w:t>
      </w:r>
      <w:r w:rsidRPr="00B04DC3">
        <w:rPr>
          <w:lang w:val="en-GB"/>
        </w:rPr>
        <w:tab/>
        <w:t>The confirmed and active DTCs for Class B1 malfunctions;</w:t>
      </w:r>
    </w:p>
    <w:p w:rsidR="00AF2027" w:rsidRPr="00B04DC3" w:rsidRDefault="00AF2027" w:rsidP="00AF2027">
      <w:pPr>
        <w:pStyle w:val="a"/>
        <w:rPr>
          <w:lang w:val="en-GB"/>
        </w:rPr>
      </w:pPr>
      <w:r w:rsidRPr="00B04DC3">
        <w:rPr>
          <w:lang w:val="en-GB"/>
        </w:rPr>
        <w:t>(m)</w:t>
      </w:r>
      <w:r w:rsidRPr="00B04DC3">
        <w:rPr>
          <w:lang w:val="en-GB"/>
        </w:rPr>
        <w:tab/>
        <w:t>The software calibration identification(s);</w:t>
      </w:r>
    </w:p>
    <w:p w:rsidR="00AF2027" w:rsidRPr="00B04DC3" w:rsidRDefault="00AF2027" w:rsidP="00AF2027">
      <w:pPr>
        <w:pStyle w:val="a"/>
        <w:rPr>
          <w:lang w:val="en-GB"/>
        </w:rPr>
      </w:pPr>
      <w:r w:rsidRPr="00B04DC3">
        <w:rPr>
          <w:lang w:val="en-GB"/>
        </w:rPr>
        <w:t>(n)</w:t>
      </w:r>
      <w:r w:rsidRPr="00B04DC3">
        <w:rPr>
          <w:lang w:val="en-GB"/>
        </w:rPr>
        <w:tab/>
        <w:t>The calibration verification number(s).</w:t>
      </w:r>
    </w:p>
    <w:p w:rsidR="00AF2027" w:rsidRPr="00B04DC3" w:rsidRDefault="00AF2027" w:rsidP="00AF2027">
      <w:pPr>
        <w:pStyle w:val="para"/>
        <w:rPr>
          <w:lang w:val="en-GB"/>
        </w:rPr>
      </w:pPr>
      <w:r w:rsidRPr="00B04DC3">
        <w:rPr>
          <w:lang w:val="en-GB"/>
        </w:rPr>
        <w:tab/>
        <w:t>This information shall be read only access (i.e. no clearing).</w:t>
      </w:r>
    </w:p>
    <w:p w:rsidR="00AF2027" w:rsidRPr="00B04DC3" w:rsidRDefault="00AF2027" w:rsidP="00AF2027">
      <w:pPr>
        <w:pStyle w:val="para"/>
        <w:rPr>
          <w:lang w:val="en-GB"/>
        </w:rPr>
      </w:pPr>
      <w:bookmarkStart w:id="968" w:name="_Toc104693834"/>
      <w:bookmarkStart w:id="969" w:name="_Toc118223048"/>
      <w:r w:rsidRPr="00B04DC3">
        <w:rPr>
          <w:lang w:val="en-GB"/>
        </w:rPr>
        <w:t>4.7.1.3.</w:t>
      </w:r>
      <w:r w:rsidRPr="00B04DC3">
        <w:rPr>
          <w:lang w:val="en-GB"/>
        </w:rPr>
        <w:tab/>
        <w:t>Information for repair</w:t>
      </w:r>
      <w:bookmarkEnd w:id="968"/>
      <w:bookmarkEnd w:id="969"/>
    </w:p>
    <w:p w:rsidR="00AF2027" w:rsidRPr="00B04DC3" w:rsidRDefault="00AF2027" w:rsidP="00AF2027">
      <w:pPr>
        <w:pStyle w:val="para"/>
        <w:rPr>
          <w:lang w:val="en-GB"/>
        </w:rPr>
      </w:pPr>
      <w:r w:rsidRPr="00B04DC3">
        <w:rPr>
          <w:lang w:val="en-GB"/>
        </w:rPr>
        <w:tab/>
        <w:t>This information will provide repair technicians with all OBD data specified in this annex (e.g. freeze frame information).</w:t>
      </w:r>
    </w:p>
    <w:p w:rsidR="00AF2027" w:rsidRPr="00B04DC3" w:rsidRDefault="00AF2027" w:rsidP="00AF2027">
      <w:pPr>
        <w:pStyle w:val="para"/>
        <w:rPr>
          <w:lang w:val="en-GB"/>
        </w:rPr>
      </w:pPr>
      <w:r w:rsidRPr="00B04DC3">
        <w:rPr>
          <w:lang w:val="en-GB"/>
        </w:rPr>
        <w:tab/>
        <w:t>The OBD system shall provide all information (according to the applicable standard set in Appendix 6</w:t>
      </w:r>
      <w:r w:rsidR="00A131C5">
        <w:rPr>
          <w:lang w:val="en-GB"/>
        </w:rPr>
        <w:t xml:space="preserve"> to this annex</w:t>
      </w:r>
      <w:r w:rsidRPr="00B04DC3">
        <w:rPr>
          <w:lang w:val="en-GB"/>
        </w:rPr>
        <w:t>) for the external repair test equipment to assimilate the data and provide a repair technician with the following information:</w:t>
      </w:r>
    </w:p>
    <w:p w:rsidR="00AF2027" w:rsidRPr="00B04DC3" w:rsidRDefault="00AF2027" w:rsidP="00AF2027">
      <w:pPr>
        <w:pStyle w:val="a"/>
        <w:rPr>
          <w:lang w:val="en-GB"/>
        </w:rPr>
      </w:pPr>
      <w:r w:rsidRPr="00B04DC3">
        <w:rPr>
          <w:lang w:val="en-GB"/>
        </w:rPr>
        <w:t>(a)</w:t>
      </w:r>
      <w:r w:rsidRPr="00B04DC3">
        <w:rPr>
          <w:lang w:val="en-GB"/>
        </w:rPr>
        <w:tab/>
        <w:t>gtr (and revision) number to be integrated into Regulation No. 49 type approval marking;</w:t>
      </w:r>
    </w:p>
    <w:p w:rsidR="00AF2027" w:rsidRPr="00B04DC3" w:rsidRDefault="00AF2027" w:rsidP="00AF2027">
      <w:pPr>
        <w:pStyle w:val="a"/>
        <w:rPr>
          <w:lang w:val="en-GB"/>
        </w:rPr>
      </w:pPr>
      <w:r w:rsidRPr="00B04DC3">
        <w:rPr>
          <w:lang w:val="en-GB"/>
        </w:rPr>
        <w:t>(b)</w:t>
      </w:r>
      <w:r w:rsidRPr="00B04DC3">
        <w:rPr>
          <w:lang w:val="en-GB"/>
        </w:rPr>
        <w:tab/>
        <w:t>VIN (</w:t>
      </w:r>
      <w:r w:rsidR="00A131C5" w:rsidRPr="00B04DC3">
        <w:rPr>
          <w:lang w:val="en-GB"/>
        </w:rPr>
        <w:t>V</w:t>
      </w:r>
      <w:r w:rsidRPr="00B04DC3">
        <w:rPr>
          <w:lang w:val="en-GB"/>
        </w:rPr>
        <w:t xml:space="preserve">ehicle </w:t>
      </w:r>
      <w:r w:rsidR="00A131C5" w:rsidRPr="00B04DC3">
        <w:rPr>
          <w:lang w:val="en-GB"/>
        </w:rPr>
        <w:t>I</w:t>
      </w:r>
      <w:r w:rsidRPr="00B04DC3">
        <w:rPr>
          <w:lang w:val="en-GB"/>
        </w:rPr>
        <w:t xml:space="preserve">dentification </w:t>
      </w:r>
      <w:r w:rsidR="00A131C5" w:rsidRPr="00B04DC3">
        <w:rPr>
          <w:lang w:val="en-GB"/>
        </w:rPr>
        <w:t>N</w:t>
      </w:r>
      <w:r w:rsidRPr="00B04DC3">
        <w:rPr>
          <w:lang w:val="en-GB"/>
        </w:rPr>
        <w:t>umber);</w:t>
      </w:r>
    </w:p>
    <w:p w:rsidR="00AF2027" w:rsidRPr="00B04DC3" w:rsidRDefault="00AF2027" w:rsidP="00AF2027">
      <w:pPr>
        <w:pStyle w:val="a"/>
        <w:rPr>
          <w:lang w:val="en-GB"/>
        </w:rPr>
      </w:pPr>
      <w:r w:rsidRPr="00B04DC3">
        <w:rPr>
          <w:lang w:val="en-GB"/>
        </w:rPr>
        <w:t>(c)</w:t>
      </w:r>
      <w:r w:rsidRPr="00B04DC3">
        <w:rPr>
          <w:lang w:val="en-GB"/>
        </w:rPr>
        <w:tab/>
        <w:t>Malfunction indicator status;</w:t>
      </w:r>
    </w:p>
    <w:p w:rsidR="00AF2027" w:rsidRPr="00B04DC3" w:rsidRDefault="00AF2027" w:rsidP="00AF2027">
      <w:pPr>
        <w:pStyle w:val="a"/>
        <w:rPr>
          <w:lang w:val="en-GB"/>
        </w:rPr>
      </w:pPr>
      <w:r w:rsidRPr="00B04DC3">
        <w:rPr>
          <w:lang w:val="en-GB"/>
        </w:rPr>
        <w:t>(d)</w:t>
      </w:r>
      <w:r w:rsidRPr="00B04DC3">
        <w:rPr>
          <w:lang w:val="en-GB"/>
        </w:rPr>
        <w:tab/>
        <w:t>Readiness of the OBD system;</w:t>
      </w:r>
    </w:p>
    <w:p w:rsidR="00AF2027" w:rsidRPr="00B04DC3" w:rsidRDefault="00AF2027" w:rsidP="00AF2027">
      <w:pPr>
        <w:pStyle w:val="a"/>
        <w:rPr>
          <w:lang w:val="en-GB"/>
        </w:rPr>
      </w:pPr>
      <w:r w:rsidRPr="00B04DC3">
        <w:rPr>
          <w:lang w:val="en-GB"/>
        </w:rPr>
        <w:t>(e)</w:t>
      </w:r>
      <w:r w:rsidRPr="00B04DC3">
        <w:rPr>
          <w:lang w:val="en-GB"/>
        </w:rPr>
        <w:tab/>
        <w:t>Number of warm-up cycles and number of engine operating hours since recorded OBD information was last cleared;</w:t>
      </w:r>
    </w:p>
    <w:p w:rsidR="00AF2027" w:rsidRPr="00B04DC3" w:rsidRDefault="00AF2027" w:rsidP="00AF2027">
      <w:pPr>
        <w:pStyle w:val="a"/>
        <w:rPr>
          <w:lang w:val="en-GB"/>
        </w:rPr>
      </w:pPr>
      <w:r w:rsidRPr="00B04DC3">
        <w:rPr>
          <w:lang w:val="en-GB"/>
        </w:rPr>
        <w:t>(f)</w:t>
      </w:r>
      <w:r w:rsidRPr="00B04DC3">
        <w:rPr>
          <w:lang w:val="en-GB"/>
        </w:rPr>
        <w:tab/>
        <w:t>Monitor status (i.e. disabled for the rest of this drive cycle complete this drive cycle, or not complete this drive cycle) since last engine shut-off for each monitor used for readiness status;</w:t>
      </w:r>
    </w:p>
    <w:p w:rsidR="00AF2027" w:rsidRPr="00B04DC3" w:rsidRDefault="00AF2027" w:rsidP="00AF2027">
      <w:pPr>
        <w:pStyle w:val="a"/>
        <w:rPr>
          <w:lang w:val="en-GB"/>
        </w:rPr>
      </w:pPr>
      <w:r w:rsidRPr="00B04DC3">
        <w:rPr>
          <w:lang w:val="en-GB"/>
        </w:rPr>
        <w:t>(g)</w:t>
      </w:r>
      <w:r w:rsidRPr="00B04DC3">
        <w:rPr>
          <w:lang w:val="en-GB"/>
        </w:rPr>
        <w:tab/>
        <w:t>Number of engine operating hours since the malfunction indicator has been activated (continuous MI counter);</w:t>
      </w:r>
    </w:p>
    <w:p w:rsidR="00AF2027" w:rsidRPr="00B04DC3" w:rsidRDefault="00AF2027" w:rsidP="00AF2027">
      <w:pPr>
        <w:pStyle w:val="a"/>
        <w:rPr>
          <w:lang w:val="en-GB"/>
        </w:rPr>
      </w:pPr>
      <w:r w:rsidRPr="00B04DC3">
        <w:rPr>
          <w:lang w:val="en-GB"/>
        </w:rPr>
        <w:t>(h)</w:t>
      </w:r>
      <w:r w:rsidRPr="00B04DC3">
        <w:rPr>
          <w:lang w:val="en-GB"/>
        </w:rPr>
        <w:tab/>
        <w:t>Confirmed and active DTCs for Class A malfunctions;</w:t>
      </w:r>
    </w:p>
    <w:p w:rsidR="00AF2027" w:rsidRPr="00B04DC3" w:rsidRDefault="00AF2027" w:rsidP="00AF2027">
      <w:pPr>
        <w:pStyle w:val="a"/>
        <w:rPr>
          <w:lang w:val="en-GB"/>
        </w:rPr>
      </w:pPr>
      <w:r w:rsidRPr="00B04DC3">
        <w:rPr>
          <w:lang w:val="en-GB"/>
        </w:rPr>
        <w:t>(i)</w:t>
      </w:r>
      <w:r w:rsidRPr="00B04DC3">
        <w:rPr>
          <w:lang w:val="en-GB"/>
        </w:rPr>
        <w:tab/>
        <w:t>Confirmed and active DTCs for Class B (B1 and B2) malfunctions;</w:t>
      </w:r>
    </w:p>
    <w:p w:rsidR="00AF2027" w:rsidRPr="00B04DC3" w:rsidRDefault="00AF2027" w:rsidP="00AF2027">
      <w:pPr>
        <w:pStyle w:val="a"/>
        <w:rPr>
          <w:lang w:val="en-GB"/>
        </w:rPr>
      </w:pPr>
      <w:r w:rsidRPr="00B04DC3">
        <w:rPr>
          <w:lang w:val="en-GB"/>
        </w:rPr>
        <w:t>(j)</w:t>
      </w:r>
      <w:r w:rsidRPr="00B04DC3">
        <w:rPr>
          <w:lang w:val="en-GB"/>
        </w:rPr>
        <w:tab/>
        <w:t>Cumulated operating hours with a continuous-MI (cumulative continuous-MI counter);</w:t>
      </w:r>
    </w:p>
    <w:p w:rsidR="00AF2027" w:rsidRPr="00B04DC3" w:rsidRDefault="00AF2027" w:rsidP="00AF2027">
      <w:pPr>
        <w:pStyle w:val="a"/>
        <w:rPr>
          <w:lang w:val="en-GB"/>
        </w:rPr>
      </w:pPr>
      <w:r w:rsidRPr="00B04DC3">
        <w:rPr>
          <w:lang w:val="en-GB"/>
        </w:rPr>
        <w:t>(k)</w:t>
      </w:r>
      <w:r w:rsidRPr="00B04DC3">
        <w:rPr>
          <w:lang w:val="en-GB"/>
        </w:rPr>
        <w:tab/>
        <w:t>Value of the B1 counter with the highest number of engine operating hours;</w:t>
      </w:r>
    </w:p>
    <w:p w:rsidR="00AF2027" w:rsidRPr="00B04DC3" w:rsidRDefault="00AF2027" w:rsidP="00AF2027">
      <w:pPr>
        <w:pStyle w:val="a"/>
        <w:rPr>
          <w:lang w:val="en-GB"/>
        </w:rPr>
      </w:pPr>
      <w:r w:rsidRPr="00B04DC3">
        <w:rPr>
          <w:lang w:val="en-GB"/>
        </w:rPr>
        <w:t>(l)</w:t>
      </w:r>
      <w:r w:rsidRPr="00B04DC3">
        <w:rPr>
          <w:lang w:val="en-GB"/>
        </w:rPr>
        <w:tab/>
        <w:t>Confirmed and active DTCs for Class B1 malfunctions and the number of engine operating hours from the B1-counter(s);</w:t>
      </w:r>
    </w:p>
    <w:p w:rsidR="00AF2027" w:rsidRPr="00B04DC3" w:rsidRDefault="00AF2027" w:rsidP="00AF2027">
      <w:pPr>
        <w:pStyle w:val="a"/>
        <w:rPr>
          <w:lang w:val="en-GB"/>
        </w:rPr>
      </w:pPr>
      <w:r w:rsidRPr="00B04DC3">
        <w:rPr>
          <w:lang w:val="en-GB"/>
        </w:rPr>
        <w:t>(m)</w:t>
      </w:r>
      <w:r w:rsidRPr="00B04DC3">
        <w:rPr>
          <w:lang w:val="en-GB"/>
        </w:rPr>
        <w:tab/>
        <w:t>Confirmed and active DTCs for Class C malfunctions;</w:t>
      </w:r>
    </w:p>
    <w:p w:rsidR="00AF2027" w:rsidRPr="00B04DC3" w:rsidRDefault="00AF2027" w:rsidP="00AF2027">
      <w:pPr>
        <w:pStyle w:val="a"/>
        <w:rPr>
          <w:lang w:val="en-GB"/>
        </w:rPr>
      </w:pPr>
      <w:r w:rsidRPr="00B04DC3">
        <w:rPr>
          <w:lang w:val="en-GB"/>
        </w:rPr>
        <w:t>(n)</w:t>
      </w:r>
      <w:r w:rsidRPr="00B04DC3">
        <w:rPr>
          <w:lang w:val="en-GB"/>
        </w:rPr>
        <w:tab/>
        <w:t>Pending DTCs and their associated class;</w:t>
      </w:r>
    </w:p>
    <w:p w:rsidR="00AF2027" w:rsidRPr="00B04DC3" w:rsidRDefault="00AF2027" w:rsidP="00AF2027">
      <w:pPr>
        <w:pStyle w:val="a"/>
        <w:rPr>
          <w:lang w:val="en-GB"/>
        </w:rPr>
      </w:pPr>
      <w:r w:rsidRPr="00B04DC3">
        <w:rPr>
          <w:lang w:val="en-GB"/>
        </w:rPr>
        <w:t>(o)</w:t>
      </w:r>
      <w:r w:rsidRPr="00B04DC3">
        <w:rPr>
          <w:lang w:val="en-GB"/>
        </w:rPr>
        <w:tab/>
        <w:t>Previously active DTCs and their associated class;</w:t>
      </w:r>
    </w:p>
    <w:p w:rsidR="00AF2027" w:rsidRPr="00B04DC3" w:rsidRDefault="00AF2027" w:rsidP="00AF2027">
      <w:pPr>
        <w:pStyle w:val="a"/>
        <w:rPr>
          <w:lang w:val="en-GB"/>
        </w:rPr>
      </w:pPr>
      <w:r w:rsidRPr="00B04DC3">
        <w:rPr>
          <w:lang w:val="en-GB"/>
        </w:rPr>
        <w:t>(p)</w:t>
      </w:r>
      <w:r w:rsidRPr="00B04DC3">
        <w:rPr>
          <w:lang w:val="en-GB"/>
        </w:rPr>
        <w:tab/>
        <w:t>Real-time information on OEM selected and supported sensor signals, internal and output signals (see paragraph 4.7.2.</w:t>
      </w:r>
      <w:r w:rsidR="00DB627E">
        <w:rPr>
          <w:lang w:val="en-GB"/>
        </w:rPr>
        <w:t xml:space="preserve"> below</w:t>
      </w:r>
      <w:r w:rsidRPr="00B04DC3">
        <w:rPr>
          <w:lang w:val="en-GB"/>
        </w:rPr>
        <w:t xml:space="preserve"> and Appendix 5</w:t>
      </w:r>
      <w:r w:rsidR="00DB627E" w:rsidRPr="00DB627E">
        <w:rPr>
          <w:lang w:val="en-GB"/>
        </w:rPr>
        <w:t xml:space="preserve"> </w:t>
      </w:r>
      <w:r w:rsidR="00DB627E">
        <w:rPr>
          <w:lang w:val="en-GB"/>
        </w:rPr>
        <w:t>to this annex</w:t>
      </w:r>
      <w:r w:rsidRPr="00B04DC3">
        <w:rPr>
          <w:lang w:val="en-GB"/>
        </w:rPr>
        <w:t>);</w:t>
      </w:r>
    </w:p>
    <w:p w:rsidR="00AF2027" w:rsidRPr="00B04DC3" w:rsidRDefault="00AF2027" w:rsidP="00AF2027">
      <w:pPr>
        <w:pStyle w:val="a"/>
        <w:rPr>
          <w:lang w:val="en-GB"/>
        </w:rPr>
      </w:pPr>
      <w:r w:rsidRPr="00B04DC3">
        <w:rPr>
          <w:lang w:val="en-GB"/>
        </w:rPr>
        <w:t>(q)</w:t>
      </w:r>
      <w:r w:rsidRPr="00B04DC3">
        <w:rPr>
          <w:lang w:val="en-GB"/>
        </w:rPr>
        <w:tab/>
        <w:t>Freeze frame data requested by this annex (see paragraph 4.7.1.4.</w:t>
      </w:r>
      <w:r w:rsidR="00DB627E">
        <w:rPr>
          <w:lang w:val="en-GB"/>
        </w:rPr>
        <w:t xml:space="preserve"> below </w:t>
      </w:r>
      <w:r w:rsidRPr="00B04DC3">
        <w:rPr>
          <w:lang w:val="en-GB"/>
        </w:rPr>
        <w:t>and Appendix 5</w:t>
      </w:r>
      <w:r w:rsidR="00DB627E">
        <w:rPr>
          <w:lang w:val="en-GB"/>
        </w:rPr>
        <w:t xml:space="preserve"> to this annex</w:t>
      </w:r>
      <w:r w:rsidRPr="00B04DC3">
        <w:rPr>
          <w:lang w:val="en-GB"/>
        </w:rPr>
        <w:t>);</w:t>
      </w:r>
    </w:p>
    <w:p w:rsidR="00AF2027" w:rsidRPr="00B04DC3" w:rsidRDefault="00AF2027" w:rsidP="00AF2027">
      <w:pPr>
        <w:pStyle w:val="a"/>
        <w:rPr>
          <w:lang w:val="en-GB"/>
        </w:rPr>
      </w:pPr>
      <w:r w:rsidRPr="00B04DC3">
        <w:rPr>
          <w:lang w:val="en-GB"/>
        </w:rPr>
        <w:t>(r)</w:t>
      </w:r>
      <w:r w:rsidRPr="00B04DC3">
        <w:rPr>
          <w:lang w:val="en-GB"/>
        </w:rPr>
        <w:tab/>
        <w:t>Software calibration identification(s);</w:t>
      </w:r>
    </w:p>
    <w:p w:rsidR="00AF2027" w:rsidRPr="00B04DC3" w:rsidRDefault="00AF2027" w:rsidP="00AF2027">
      <w:pPr>
        <w:pStyle w:val="a"/>
        <w:rPr>
          <w:lang w:val="en-GB"/>
        </w:rPr>
      </w:pPr>
      <w:r w:rsidRPr="00B04DC3">
        <w:rPr>
          <w:lang w:val="en-GB"/>
        </w:rPr>
        <w:t>(s)</w:t>
      </w:r>
      <w:r w:rsidRPr="00B04DC3">
        <w:rPr>
          <w:lang w:val="en-GB"/>
        </w:rPr>
        <w:tab/>
        <w:t>Calibration verification number(s).</w:t>
      </w:r>
    </w:p>
    <w:p w:rsidR="00AF2027" w:rsidRPr="00B04DC3" w:rsidRDefault="00AF2027" w:rsidP="00AF2027">
      <w:pPr>
        <w:pStyle w:val="para"/>
        <w:rPr>
          <w:lang w:val="en-GB"/>
        </w:rPr>
      </w:pPr>
      <w:r w:rsidRPr="00B04DC3">
        <w:rPr>
          <w:lang w:val="en-GB"/>
        </w:rPr>
        <w:tab/>
        <w:t>The OBD system shall clear all the recorded malfunctions of the engine system and related data (operating time information, freeze frame, etc.) in accordance with the provisions of this annex, when this request is provided via the external repair test equipment according to the applicable standard set in Appendix 6</w:t>
      </w:r>
      <w:r w:rsidR="00DB627E" w:rsidRPr="00DB627E">
        <w:rPr>
          <w:lang w:val="en-GB"/>
        </w:rPr>
        <w:t xml:space="preserve"> </w:t>
      </w:r>
      <w:r w:rsidR="00DB627E">
        <w:rPr>
          <w:lang w:val="en-GB"/>
        </w:rPr>
        <w:t>to this annex</w:t>
      </w:r>
      <w:r w:rsidRPr="00B04DC3">
        <w:rPr>
          <w:lang w:val="en-GB"/>
        </w:rPr>
        <w:t>.</w:t>
      </w:r>
    </w:p>
    <w:p w:rsidR="00AF2027" w:rsidRPr="00B04DC3" w:rsidRDefault="00AF2027" w:rsidP="00AF2027">
      <w:pPr>
        <w:pStyle w:val="para"/>
        <w:rPr>
          <w:lang w:val="en-GB"/>
        </w:rPr>
      </w:pPr>
      <w:bookmarkStart w:id="970" w:name="_Toc104693835"/>
      <w:bookmarkStart w:id="971" w:name="_Toc118223049"/>
      <w:r w:rsidRPr="00B04DC3">
        <w:rPr>
          <w:lang w:val="en-GB"/>
        </w:rPr>
        <w:t>4.7.1.4.</w:t>
      </w:r>
      <w:r w:rsidRPr="00B04DC3">
        <w:rPr>
          <w:lang w:val="en-GB"/>
        </w:rPr>
        <w:tab/>
        <w:t>Freeze frame information</w:t>
      </w:r>
      <w:bookmarkEnd w:id="970"/>
      <w:bookmarkEnd w:id="971"/>
    </w:p>
    <w:p w:rsidR="00AF2027" w:rsidRPr="00B04DC3" w:rsidRDefault="00AF2027" w:rsidP="00AF2027">
      <w:pPr>
        <w:pStyle w:val="para"/>
        <w:rPr>
          <w:lang w:val="en-GB"/>
        </w:rPr>
      </w:pPr>
      <w:r w:rsidRPr="00B04DC3">
        <w:rPr>
          <w:lang w:val="en-GB"/>
        </w:rPr>
        <w:tab/>
        <w:t>At least one "freeze frame" of information shall be stored at the time that either a potential DTC or a confirmed and active DTC is stored at the decision of the manufacturer. The manufacturer is allowed to update the freeze frame information whenever the pending DTC is detected again.</w:t>
      </w:r>
    </w:p>
    <w:p w:rsidR="00AF2027" w:rsidRPr="00B04DC3" w:rsidRDefault="00AF2027" w:rsidP="00AF2027">
      <w:pPr>
        <w:pStyle w:val="para"/>
        <w:rPr>
          <w:lang w:val="en-GB"/>
        </w:rPr>
      </w:pPr>
      <w:r w:rsidRPr="00B04DC3">
        <w:rPr>
          <w:lang w:val="en-GB"/>
        </w:rPr>
        <w:tab/>
        <w:t xml:space="preserve">The freeze frame shall provide the operating conditions of the vehicle at the time of malfunction detection and the DTC associated with the stored data. The freeze frame shall include the information as shown in Table 1 in Appendix 5 </w:t>
      </w:r>
      <w:r w:rsidR="00DB627E">
        <w:rPr>
          <w:lang w:val="en-GB"/>
        </w:rPr>
        <w:t>to</w:t>
      </w:r>
      <w:r w:rsidR="00DB627E" w:rsidRPr="00B04DC3">
        <w:rPr>
          <w:lang w:val="en-GB"/>
        </w:rPr>
        <w:t xml:space="preserve"> </w:t>
      </w:r>
      <w:r w:rsidRPr="00B04DC3">
        <w:rPr>
          <w:lang w:val="en-GB"/>
        </w:rPr>
        <w:t xml:space="preserve">this annex. The freeze frame shall also include all of the information in Tables 2 and 3 of Appendix 5 </w:t>
      </w:r>
      <w:r w:rsidR="00DB627E">
        <w:rPr>
          <w:lang w:val="en-GB"/>
        </w:rPr>
        <w:t>to</w:t>
      </w:r>
      <w:r w:rsidRPr="00B04DC3">
        <w:rPr>
          <w:lang w:val="en-GB"/>
        </w:rPr>
        <w:t xml:space="preserve"> this annex that are used for monitoring or control purposes in the specific control unit that stored the DTC.</w:t>
      </w:r>
    </w:p>
    <w:p w:rsidR="00AF2027" w:rsidRPr="00B04DC3" w:rsidRDefault="00AF2027" w:rsidP="00AF2027">
      <w:pPr>
        <w:pStyle w:val="para"/>
        <w:rPr>
          <w:lang w:val="en-GB"/>
        </w:rPr>
      </w:pPr>
      <w:r w:rsidRPr="00B04DC3">
        <w:rPr>
          <w:lang w:val="en-GB"/>
        </w:rPr>
        <w:tab/>
        <w:t>Storage of freeze frame information associated with a Class A malfunction shall take precedence over information associated with a Class B1 malfunction which shall take precedence over information associated with a Class B2 malfunction and likewise for information associated with a Class C malfunction. The first malfunction detected shall take precedence over the most recent malfunction unless the most recent malfunction is of a higher class.</w:t>
      </w:r>
    </w:p>
    <w:p w:rsidR="00AF2027" w:rsidRPr="00B04DC3" w:rsidRDefault="00AF2027" w:rsidP="00AF2027">
      <w:pPr>
        <w:pStyle w:val="para"/>
        <w:rPr>
          <w:lang w:val="en-GB"/>
        </w:rPr>
      </w:pPr>
      <w:r w:rsidRPr="00B04DC3">
        <w:rPr>
          <w:lang w:val="en-GB"/>
        </w:rPr>
        <w:tab/>
        <w:t xml:space="preserve">In case a device is monitored by the OBD system and is not be covered by Appendix 5 </w:t>
      </w:r>
      <w:r w:rsidR="00DB627E">
        <w:rPr>
          <w:lang w:val="en-GB"/>
        </w:rPr>
        <w:t xml:space="preserve">to this annex </w:t>
      </w:r>
      <w:r w:rsidRPr="00B04DC3">
        <w:rPr>
          <w:lang w:val="en-GB"/>
        </w:rPr>
        <w:t>the freeze frame information shall include elements of information for the sensors and actuators of this device in a way similar to those described in Appendix 5</w:t>
      </w:r>
      <w:r w:rsidR="00DB627E" w:rsidRPr="00DB627E">
        <w:rPr>
          <w:lang w:val="en-GB"/>
        </w:rPr>
        <w:t xml:space="preserve"> </w:t>
      </w:r>
      <w:r w:rsidR="00DB627E">
        <w:rPr>
          <w:lang w:val="en-GB"/>
        </w:rPr>
        <w:t>to this annex</w:t>
      </w:r>
      <w:r w:rsidRPr="00B04DC3">
        <w:rPr>
          <w:lang w:val="en-GB"/>
        </w:rPr>
        <w:t xml:space="preserve">. This shall be submitted for approval by the </w:t>
      </w:r>
      <w:r w:rsidR="002F3FE3">
        <w:rPr>
          <w:lang w:val="en-GB"/>
        </w:rPr>
        <w:t xml:space="preserve">Type </w:t>
      </w:r>
      <w:r w:rsidRPr="00B04DC3">
        <w:rPr>
          <w:lang w:val="en-GB"/>
        </w:rPr>
        <w:t>Approval Authority at the time of approval.</w:t>
      </w:r>
    </w:p>
    <w:p w:rsidR="00AF5665" w:rsidRPr="00B04DC3" w:rsidRDefault="00AF5665" w:rsidP="00AF5665">
      <w:pPr>
        <w:spacing w:after="120"/>
        <w:ind w:left="2268" w:right="1134" w:hanging="1134"/>
        <w:jc w:val="both"/>
      </w:pPr>
      <w:r w:rsidRPr="00B04DC3">
        <w:t>4.7.1.5.</w:t>
      </w:r>
      <w:r w:rsidRPr="00B04DC3">
        <w:tab/>
        <w:t>Readiness</w:t>
      </w:r>
    </w:p>
    <w:p w:rsidR="00AF5665" w:rsidRPr="00B04DC3" w:rsidRDefault="00AF5665" w:rsidP="00AF5665">
      <w:pPr>
        <w:pStyle w:val="para"/>
        <w:ind w:firstLine="0"/>
        <w:rPr>
          <w:lang w:val="en-GB"/>
        </w:rPr>
      </w:pPr>
      <w:r w:rsidRPr="00B04DC3">
        <w:rPr>
          <w:lang w:val="en-GB"/>
        </w:rPr>
        <w:t>With the exceptions specified in paragraphs 4.7.1.5.1., 4.7.1.5.2. and 4.7.1.5.3.</w:t>
      </w:r>
      <w:r w:rsidR="00DB627E" w:rsidRPr="00DB627E">
        <w:rPr>
          <w:lang w:val="en-GB"/>
        </w:rPr>
        <w:t xml:space="preserve"> </w:t>
      </w:r>
      <w:r w:rsidR="00DB627E">
        <w:rPr>
          <w:lang w:val="en-GB"/>
        </w:rPr>
        <w:t>of this annex</w:t>
      </w:r>
      <w:r w:rsidRPr="00B04DC3">
        <w:rPr>
          <w:lang w:val="en-GB"/>
        </w:rPr>
        <w:t>, a readiness shall only be set to "complete" when a monitor or a group of monitors addressed by this status have run and concluded the presence (that means stored a confirmed and active DTC) or the absence of the failure relevant to that monitor since the last erasing by an external request or command (for example through an OBD scan-tool). Readiness shall be set to "not complete" by erasing the fault code memory (see paragraph 4.7.4.</w:t>
      </w:r>
      <w:r w:rsidR="00DB627E">
        <w:rPr>
          <w:lang w:val="en-GB"/>
        </w:rPr>
        <w:t xml:space="preserve"> of this annex</w:t>
      </w:r>
      <w:r w:rsidRPr="00B04DC3">
        <w:rPr>
          <w:lang w:val="en-GB"/>
        </w:rPr>
        <w:t>) by an external request or command (for example through an OBD scan-tool).</w:t>
      </w:r>
    </w:p>
    <w:p w:rsidR="00AF5665" w:rsidRPr="00B04DC3" w:rsidRDefault="00AF5665" w:rsidP="00AF5665">
      <w:pPr>
        <w:spacing w:after="120"/>
        <w:ind w:left="2268" w:right="1134" w:hanging="1134"/>
        <w:jc w:val="both"/>
      </w:pPr>
      <w:bookmarkStart w:id="972" w:name="_Toc104693837"/>
      <w:bookmarkStart w:id="973" w:name="_Toc118223050"/>
      <w:r w:rsidRPr="00B04DC3">
        <w:t>4.7.1.5.1.</w:t>
      </w:r>
      <w:r w:rsidRPr="00B04DC3">
        <w:tab/>
        <w:t xml:space="preserve">The manufacturer may request, subject to approval by the </w:t>
      </w:r>
      <w:r w:rsidR="007531D4">
        <w:t xml:space="preserve">Type </w:t>
      </w:r>
      <w:r w:rsidR="007531D4" w:rsidRPr="00B04DC3">
        <w:t>Approval Authority</w:t>
      </w:r>
      <w:r w:rsidRPr="00B04DC3">
        <w:t xml:space="preserve">, that the ready status for a monitor be set to indicate "complete" without the monitor having run and concluded the presence or the absence of the failure relevant to that monitor if monitoring is disabled for a multiple number of operating sequences (minimum 9 operating sequences or 72 operation hours) due to the continued presence of extreme operating conditions (e.g. cold ambient temperatures, high altitudes). Any such request </w:t>
      </w:r>
      <w:r w:rsidR="00EE140A" w:rsidRPr="00B04DC3">
        <w:t>shall</w:t>
      </w:r>
      <w:r w:rsidRPr="00B04DC3">
        <w:t xml:space="preserve"> specify the conditions for monitoring system disablement and the number of operating sequences that would pass without monitor completion before ready status would be indicated as "complete". The extreme ambient or altitude conditions considered in the manufacturer's request shall never be less severe than the conditions specified by this annex for temporary disablement of the OBD system.</w:t>
      </w:r>
    </w:p>
    <w:p w:rsidR="00AF5665" w:rsidRPr="00B04DC3" w:rsidRDefault="00AF5665" w:rsidP="00AF5665">
      <w:pPr>
        <w:spacing w:after="120"/>
        <w:ind w:left="2268" w:right="1134" w:hanging="1134"/>
        <w:jc w:val="both"/>
      </w:pPr>
      <w:r w:rsidRPr="00B04DC3">
        <w:t>4.7.1.5.2.</w:t>
      </w:r>
      <w:r w:rsidRPr="00B04DC3">
        <w:tab/>
        <w:t>Monitors subject to readiness</w:t>
      </w:r>
    </w:p>
    <w:p w:rsidR="00AF5665" w:rsidRPr="00B04DC3" w:rsidRDefault="00AF5665" w:rsidP="00AF5665">
      <w:pPr>
        <w:spacing w:after="120"/>
        <w:ind w:left="2268" w:right="1134"/>
        <w:jc w:val="both"/>
      </w:pPr>
      <w:r w:rsidRPr="00B04DC3">
        <w:t>Readiness shall be supported for each of the monitors or groups of monitors that are identified in this annex and that are required when and by referring to this annex, with the exception of items 11 and 12 of Appendix 3</w:t>
      </w:r>
      <w:r w:rsidR="0088563E" w:rsidRPr="0088563E">
        <w:t xml:space="preserve"> </w:t>
      </w:r>
      <w:r w:rsidR="0088563E">
        <w:t>to this annex</w:t>
      </w:r>
      <w:r w:rsidRPr="00B04DC3">
        <w:t>.</w:t>
      </w:r>
    </w:p>
    <w:p w:rsidR="00AF5665" w:rsidRPr="00B04DC3" w:rsidRDefault="00AF5665" w:rsidP="00AF5665">
      <w:pPr>
        <w:keepNext/>
        <w:keepLines/>
        <w:spacing w:after="120"/>
        <w:ind w:left="2268" w:right="1134" w:hanging="1134"/>
        <w:jc w:val="both"/>
      </w:pPr>
      <w:r w:rsidRPr="00B04DC3">
        <w:t>4.7.1.5.3.</w:t>
      </w:r>
      <w:r w:rsidRPr="00B04DC3">
        <w:tab/>
        <w:t>Readiness for continuous monitors</w:t>
      </w:r>
    </w:p>
    <w:p w:rsidR="00AF5665" w:rsidRPr="00B04DC3" w:rsidRDefault="00AF5665" w:rsidP="00AF5665">
      <w:pPr>
        <w:pStyle w:val="para"/>
        <w:ind w:firstLine="0"/>
        <w:rPr>
          <w:lang w:val="en-GB"/>
        </w:rPr>
      </w:pPr>
      <w:r w:rsidRPr="00B04DC3">
        <w:rPr>
          <w:lang w:val="en-GB"/>
        </w:rPr>
        <w:t>Readiness of each of the monitors or groups of monitors that are identified in items 1, 7 and 10 of Appendix 3 to this annex, required when and by referring to this annex, and that are considered by this annex as running continuously, shall always indicate "complete".</w:t>
      </w:r>
    </w:p>
    <w:p w:rsidR="00AF2027" w:rsidRPr="00B04DC3" w:rsidRDefault="00AF2027" w:rsidP="00AF5665">
      <w:pPr>
        <w:pStyle w:val="para"/>
        <w:rPr>
          <w:lang w:val="en-GB"/>
        </w:rPr>
      </w:pPr>
      <w:r w:rsidRPr="00B04DC3">
        <w:rPr>
          <w:lang w:val="en-GB"/>
        </w:rPr>
        <w:t>4.7.2</w:t>
      </w:r>
      <w:r w:rsidRPr="00B04DC3">
        <w:rPr>
          <w:lang w:val="en-GB"/>
        </w:rPr>
        <w:tab/>
        <w:t>Data stream information</w:t>
      </w:r>
    </w:p>
    <w:p w:rsidR="00AF2027" w:rsidRPr="00B04DC3" w:rsidRDefault="00AF2027" w:rsidP="00AF2027">
      <w:pPr>
        <w:pStyle w:val="para"/>
        <w:rPr>
          <w:lang w:val="en-GB"/>
        </w:rPr>
      </w:pPr>
      <w:r w:rsidRPr="00B04DC3">
        <w:rPr>
          <w:lang w:val="en-GB"/>
        </w:rPr>
        <w:tab/>
        <w:t xml:space="preserve">The OBD system shall make available to a scan tool in real time the information shown in Tables 1 to 4 in Appendix 5 </w:t>
      </w:r>
      <w:r w:rsidR="0088563E">
        <w:rPr>
          <w:lang w:val="en-GB"/>
        </w:rPr>
        <w:t>to</w:t>
      </w:r>
      <w:r w:rsidR="0088563E" w:rsidRPr="00B04DC3">
        <w:rPr>
          <w:lang w:val="en-GB"/>
        </w:rPr>
        <w:t xml:space="preserve"> </w:t>
      </w:r>
      <w:r w:rsidRPr="00B04DC3">
        <w:rPr>
          <w:lang w:val="en-GB"/>
        </w:rPr>
        <w:t>this annex, upon request (actual signal values should be used in favour of surrogate values).</w:t>
      </w:r>
    </w:p>
    <w:p w:rsidR="00AF2027" w:rsidRPr="00B04DC3" w:rsidRDefault="00AF2027" w:rsidP="00AF2027">
      <w:pPr>
        <w:pStyle w:val="para"/>
        <w:rPr>
          <w:lang w:val="en-GB"/>
        </w:rPr>
      </w:pPr>
      <w:r w:rsidRPr="00B04DC3">
        <w:rPr>
          <w:lang w:val="en-GB"/>
        </w:rPr>
        <w:tab/>
        <w:t>For the purpose of the calculated load and torque parameters, the OBD system shall report the most accurate values that are calculated within the applicable electronic control unit (e.g. the engine control computer).</w:t>
      </w:r>
    </w:p>
    <w:p w:rsidR="00AF2027" w:rsidRPr="00B04DC3" w:rsidRDefault="00AF2027" w:rsidP="00AF2027">
      <w:pPr>
        <w:pStyle w:val="para"/>
        <w:rPr>
          <w:lang w:val="en-GB"/>
        </w:rPr>
      </w:pPr>
      <w:r w:rsidRPr="00B04DC3">
        <w:rPr>
          <w:lang w:val="en-GB"/>
        </w:rPr>
        <w:tab/>
        <w:t xml:space="preserve">Table 1 in Appendix 5 </w:t>
      </w:r>
      <w:r w:rsidR="00F91B1F">
        <w:rPr>
          <w:lang w:val="en-GB"/>
        </w:rPr>
        <w:t>to this annex</w:t>
      </w:r>
      <w:r w:rsidR="00F91B1F" w:rsidRPr="00B04DC3">
        <w:rPr>
          <w:lang w:val="en-GB"/>
        </w:rPr>
        <w:t xml:space="preserve"> </w:t>
      </w:r>
      <w:r w:rsidRPr="00B04DC3">
        <w:rPr>
          <w:lang w:val="en-GB"/>
        </w:rPr>
        <w:t xml:space="preserve">gives the list of mandatory OBD information relating to the engine load and speed. </w:t>
      </w:r>
    </w:p>
    <w:p w:rsidR="00AF2027" w:rsidRPr="00B04DC3" w:rsidRDefault="00AF2027" w:rsidP="00AF2027">
      <w:pPr>
        <w:pStyle w:val="para"/>
        <w:rPr>
          <w:lang w:val="en-GB"/>
        </w:rPr>
      </w:pPr>
      <w:r w:rsidRPr="00B04DC3">
        <w:rPr>
          <w:lang w:val="en-GB"/>
        </w:rPr>
        <w:tab/>
        <w:t xml:space="preserve">Table 3 in Appendix 5 </w:t>
      </w:r>
      <w:r w:rsidR="00F91B1F">
        <w:rPr>
          <w:lang w:val="en-GB"/>
        </w:rPr>
        <w:t>to this annex</w:t>
      </w:r>
      <w:r w:rsidR="00F91B1F" w:rsidRPr="00B04DC3">
        <w:rPr>
          <w:lang w:val="en-GB"/>
        </w:rPr>
        <w:t xml:space="preserve"> </w:t>
      </w:r>
      <w:r w:rsidRPr="00B04DC3">
        <w:rPr>
          <w:lang w:val="en-GB"/>
        </w:rPr>
        <w:t xml:space="preserve">shows the other OBD information which </w:t>
      </w:r>
      <w:r w:rsidR="00EE140A" w:rsidRPr="00B04DC3">
        <w:rPr>
          <w:lang w:val="en-GB"/>
        </w:rPr>
        <w:t>shall</w:t>
      </w:r>
      <w:r w:rsidRPr="00B04DC3">
        <w:rPr>
          <w:lang w:val="en-GB"/>
        </w:rPr>
        <w:t xml:space="preserve"> be included if used by the emission or OBD system to enable or disable any OBD monitors.</w:t>
      </w:r>
    </w:p>
    <w:p w:rsidR="00AF2027" w:rsidRPr="00B04DC3" w:rsidRDefault="00AF2027" w:rsidP="00AF2027">
      <w:pPr>
        <w:pStyle w:val="para"/>
        <w:rPr>
          <w:lang w:val="en-GB"/>
        </w:rPr>
      </w:pPr>
      <w:r w:rsidRPr="00B04DC3">
        <w:rPr>
          <w:lang w:val="en-GB"/>
        </w:rPr>
        <w:tab/>
        <w:t xml:space="preserve">Table 4 in Appendix 5 </w:t>
      </w:r>
      <w:r w:rsidR="00F91B1F">
        <w:rPr>
          <w:lang w:val="en-GB"/>
        </w:rPr>
        <w:t>to this annex</w:t>
      </w:r>
      <w:r w:rsidR="00F91B1F" w:rsidRPr="00B04DC3">
        <w:rPr>
          <w:lang w:val="en-GB"/>
        </w:rPr>
        <w:t xml:space="preserve"> </w:t>
      </w:r>
      <w:r w:rsidRPr="00B04DC3">
        <w:rPr>
          <w:lang w:val="en-GB"/>
        </w:rPr>
        <w:t>shows the information which is required to be included if the engine is so equipped, senses or calculates the information</w:t>
      </w:r>
      <w:bookmarkStart w:id="974" w:name="_Ref129564448"/>
      <w:r w:rsidRPr="00B04DC3">
        <w:rPr>
          <w:vertAlign w:val="superscript"/>
          <w:lang w:val="en-GB"/>
        </w:rPr>
        <w:footnoteReference w:id="47"/>
      </w:r>
      <w:bookmarkEnd w:id="974"/>
      <w:r w:rsidRPr="00B04DC3">
        <w:rPr>
          <w:lang w:val="en-GB"/>
        </w:rPr>
        <w:t>. At the decision of the manufacturer, other freeze frame or data stream information may be included.</w:t>
      </w:r>
    </w:p>
    <w:p w:rsidR="00AF2027" w:rsidRPr="00D3766B" w:rsidRDefault="00AF2027" w:rsidP="00AF2027">
      <w:pPr>
        <w:pStyle w:val="para"/>
        <w:rPr>
          <w:spacing w:val="2"/>
          <w:lang w:val="en-GB"/>
        </w:rPr>
      </w:pPr>
      <w:r w:rsidRPr="00D3766B">
        <w:rPr>
          <w:spacing w:val="2"/>
          <w:lang w:val="en-GB"/>
        </w:rPr>
        <w:tab/>
        <w:t>In case a device is monitored by the OBD system and is not covered by Appendix 5 (e.g. SCR), the data-stream information shall include elements of information for the sensors and actuators of this device in a way similar to those described in Appendix 5</w:t>
      </w:r>
      <w:r w:rsidR="00F91B1F" w:rsidRPr="00D3766B">
        <w:rPr>
          <w:spacing w:val="2"/>
          <w:lang w:val="en-GB"/>
        </w:rPr>
        <w:t xml:space="preserve"> to this annex</w:t>
      </w:r>
      <w:r w:rsidRPr="00D3766B">
        <w:rPr>
          <w:spacing w:val="2"/>
          <w:lang w:val="en-GB"/>
        </w:rPr>
        <w:t xml:space="preserve">. This shall be submitted for approval by the </w:t>
      </w:r>
      <w:r w:rsidR="002F3FE3" w:rsidRPr="00D3766B">
        <w:rPr>
          <w:spacing w:val="2"/>
          <w:lang w:val="en-GB"/>
        </w:rPr>
        <w:t xml:space="preserve">Type </w:t>
      </w:r>
      <w:r w:rsidRPr="00D3766B">
        <w:rPr>
          <w:spacing w:val="2"/>
          <w:lang w:val="en-GB"/>
        </w:rPr>
        <w:t>Approval Authority at the time of approval.</w:t>
      </w:r>
    </w:p>
    <w:p w:rsidR="00AF2027" w:rsidRPr="00B04DC3" w:rsidRDefault="00AF2027" w:rsidP="00AF2027">
      <w:pPr>
        <w:pStyle w:val="para"/>
        <w:rPr>
          <w:lang w:val="en-GB"/>
        </w:rPr>
      </w:pPr>
      <w:r w:rsidRPr="00B04DC3">
        <w:rPr>
          <w:lang w:val="en-GB"/>
        </w:rPr>
        <w:t>4.7.3.</w:t>
      </w:r>
      <w:r w:rsidRPr="00B04DC3">
        <w:rPr>
          <w:lang w:val="en-GB"/>
        </w:rPr>
        <w:tab/>
        <w:t>Access to OBD information</w:t>
      </w:r>
      <w:bookmarkEnd w:id="972"/>
      <w:bookmarkEnd w:id="973"/>
    </w:p>
    <w:p w:rsidR="00AF2027" w:rsidRPr="00B04DC3" w:rsidRDefault="00AF2027" w:rsidP="00AF2027">
      <w:pPr>
        <w:pStyle w:val="para"/>
        <w:rPr>
          <w:lang w:val="en-GB"/>
        </w:rPr>
      </w:pPr>
      <w:r w:rsidRPr="00B04DC3">
        <w:rPr>
          <w:lang w:val="en-GB"/>
        </w:rPr>
        <w:tab/>
        <w:t xml:space="preserve">Access to OBD information shall be provided only in accordance with the standards mentioned in Appendix 6 </w:t>
      </w:r>
      <w:r w:rsidR="00F91B1F">
        <w:rPr>
          <w:lang w:val="en-GB"/>
        </w:rPr>
        <w:t>to this annex</w:t>
      </w:r>
      <w:r w:rsidR="00F91B1F" w:rsidRPr="00B04DC3">
        <w:rPr>
          <w:lang w:val="en-GB"/>
        </w:rPr>
        <w:t xml:space="preserve"> </w:t>
      </w:r>
      <w:r w:rsidRPr="00B04DC3">
        <w:rPr>
          <w:lang w:val="en-GB"/>
        </w:rPr>
        <w:t>of this annex and the following sub-paragraphs</w:t>
      </w:r>
      <w:r w:rsidR="002F3FE3">
        <w:rPr>
          <w:lang w:val="en-GB"/>
        </w:rPr>
        <w:t>.</w:t>
      </w:r>
      <w:r w:rsidRPr="00B04DC3">
        <w:rPr>
          <w:rStyle w:val="FootnoteReference"/>
          <w:bCs/>
          <w:lang w:val="en-GB"/>
        </w:rPr>
        <w:footnoteReference w:id="48"/>
      </w:r>
    </w:p>
    <w:p w:rsidR="00AF2027" w:rsidRPr="00D3766B" w:rsidRDefault="00AF2027" w:rsidP="00AF2027">
      <w:pPr>
        <w:pStyle w:val="para"/>
        <w:rPr>
          <w:spacing w:val="2"/>
          <w:lang w:val="en-GB"/>
        </w:rPr>
      </w:pPr>
      <w:r w:rsidRPr="00D3766B">
        <w:rPr>
          <w:spacing w:val="2"/>
          <w:lang w:val="en-GB"/>
        </w:rPr>
        <w:tab/>
        <w:t>Access to the OBD information shall not be dependent on any access code or other device or method obtainable only from the manufacturer or its suppliers. Interpretation of the OBD information shall not require any unique decoding information, unless that information is publicly available.</w:t>
      </w:r>
    </w:p>
    <w:p w:rsidR="00AF2027" w:rsidRPr="009140D5" w:rsidRDefault="00AF2027" w:rsidP="00D3766B">
      <w:pPr>
        <w:pStyle w:val="para"/>
        <w:keepNext/>
        <w:keepLines/>
        <w:rPr>
          <w:spacing w:val="-2"/>
          <w:lang w:val="en-GB"/>
        </w:rPr>
      </w:pPr>
      <w:r w:rsidRPr="009140D5">
        <w:rPr>
          <w:spacing w:val="-2"/>
          <w:lang w:val="en-GB"/>
        </w:rPr>
        <w:tab/>
        <w:t>A single access method (e.g. a single access point/node) to OBD information shall be supported to retrieve all OBD information. This method shall permit access to the complete OBD information required by this annex. This method shall also permit access to specific smaller information packages as defined in this annex (e.g. road worthiness information packages in case of emission related OBD).</w:t>
      </w:r>
    </w:p>
    <w:p w:rsidR="00051DFF" w:rsidRPr="00B04DC3" w:rsidRDefault="00AF2027" w:rsidP="00051DFF">
      <w:pPr>
        <w:pStyle w:val="SingleTxtG"/>
        <w:ind w:left="2268"/>
      </w:pPr>
      <w:r w:rsidRPr="00B04DC3">
        <w:tab/>
      </w:r>
      <w:r w:rsidR="00051DFF" w:rsidRPr="00B04DC3">
        <w:t>Access to OBD information shall be provided using, at least one of the following series of standards mentioned in Appendix 6</w:t>
      </w:r>
      <w:r w:rsidR="008D2DD3" w:rsidRPr="008D2DD3">
        <w:t xml:space="preserve"> </w:t>
      </w:r>
      <w:r w:rsidR="008D2DD3">
        <w:t>to this annex</w:t>
      </w:r>
      <w:r w:rsidR="00051DFF" w:rsidRPr="00B04DC3">
        <w:t>:</w:t>
      </w:r>
    </w:p>
    <w:p w:rsidR="00051DFF" w:rsidRPr="00B04DC3" w:rsidRDefault="00051DFF" w:rsidP="00051DFF">
      <w:pPr>
        <w:spacing w:after="120"/>
        <w:ind w:left="2835" w:right="1134" w:hanging="567"/>
        <w:jc w:val="both"/>
      </w:pPr>
      <w:r w:rsidRPr="00B04DC3">
        <w:t>(a)</w:t>
      </w:r>
      <w:r w:rsidRPr="00B04DC3">
        <w:tab/>
        <w:t>ISO 27145 with ISO 15765-4 (CAN-based)</w:t>
      </w:r>
      <w:r w:rsidR="008D2DD3">
        <w:t>;</w:t>
      </w:r>
    </w:p>
    <w:p w:rsidR="00051DFF" w:rsidRPr="00B04DC3" w:rsidRDefault="00051DFF" w:rsidP="00051DFF">
      <w:pPr>
        <w:spacing w:after="120"/>
        <w:ind w:left="2835" w:right="1134" w:hanging="567"/>
        <w:jc w:val="both"/>
      </w:pPr>
      <w:r w:rsidRPr="00B04DC3">
        <w:t>(b)</w:t>
      </w:r>
      <w:r w:rsidRPr="00B04DC3">
        <w:tab/>
        <w:t>ISO 27145 with ISO 13400 (TCP/IP-based)</w:t>
      </w:r>
      <w:r w:rsidR="008D2DD3">
        <w:t>;</w:t>
      </w:r>
    </w:p>
    <w:p w:rsidR="00051DFF" w:rsidRPr="00B04DC3" w:rsidRDefault="00051DFF" w:rsidP="00051DFF">
      <w:pPr>
        <w:spacing w:after="120"/>
        <w:ind w:left="2835" w:right="1134" w:hanging="567"/>
        <w:jc w:val="both"/>
      </w:pPr>
      <w:r w:rsidRPr="00B04DC3">
        <w:t>(c)</w:t>
      </w:r>
      <w:r w:rsidRPr="00B04DC3">
        <w:tab/>
        <w:t>SAE J1939-73</w:t>
      </w:r>
      <w:r w:rsidR="008D2DD3">
        <w:t>.</w:t>
      </w:r>
    </w:p>
    <w:p w:rsidR="00051DFF" w:rsidRPr="00B04DC3" w:rsidRDefault="00051DFF" w:rsidP="00051DFF">
      <w:pPr>
        <w:spacing w:after="120"/>
        <w:ind w:left="2268" w:right="1134"/>
        <w:jc w:val="both"/>
      </w:pPr>
      <w:r w:rsidRPr="00B04DC3">
        <w:t>Manufacturers shall use appropriate ISO or SAE-defined fault codes (for example, P0xxx, P2xxx</w:t>
      </w:r>
      <w:r w:rsidRPr="00B04DC3">
        <w:rPr>
          <w:rFonts w:ascii="(Utiliser une police de caractè" w:hAnsi="(Utiliser une police de caractè"/>
        </w:rPr>
        <w:t>, etc.</w:t>
      </w:r>
      <w:r w:rsidRPr="00B04DC3">
        <w:t xml:space="preserve">) whenever possible. If such identification is not possible, the manufacturer may use diagnostic trouble codes according to the relevant clauses in ISO 27145 or SAE J1939. The fault codes </w:t>
      </w:r>
      <w:r w:rsidR="00EE140A" w:rsidRPr="00B04DC3">
        <w:t>shall</w:t>
      </w:r>
      <w:r w:rsidRPr="00B04DC3">
        <w:t xml:space="preserve"> be fully accessible by standardized diagnostic equipment complying with the provisions of this annex.</w:t>
      </w:r>
    </w:p>
    <w:p w:rsidR="00051DFF" w:rsidRPr="00B04DC3" w:rsidRDefault="00051DFF" w:rsidP="00051DFF">
      <w:pPr>
        <w:pStyle w:val="para"/>
        <w:ind w:firstLine="0"/>
        <w:rPr>
          <w:lang w:val="en-GB"/>
        </w:rPr>
      </w:pPr>
      <w:r w:rsidRPr="00B04DC3">
        <w:rPr>
          <w:lang w:val="en-GB"/>
        </w:rPr>
        <w:t>The manufacturer shall provide the ISO or SAE standardization body</w:t>
      </w:r>
      <w:r w:rsidRPr="00B04DC3" w:rsidDel="00A45840">
        <w:rPr>
          <w:lang w:val="en-GB"/>
        </w:rPr>
        <w:t xml:space="preserve"> </w:t>
      </w:r>
      <w:r w:rsidRPr="00B04DC3">
        <w:rPr>
          <w:lang w:val="en-GB"/>
        </w:rPr>
        <w:t>through the appropriate ISO or SAE process with emission-related diagnostic data not specified by ISO 27145 or SAE J1939 but related to this annex.</w:t>
      </w:r>
    </w:p>
    <w:p w:rsidR="00AF2027" w:rsidRPr="00B04DC3" w:rsidRDefault="00AF2027" w:rsidP="00AF2027">
      <w:pPr>
        <w:pStyle w:val="para"/>
        <w:rPr>
          <w:lang w:val="en-GB"/>
        </w:rPr>
      </w:pPr>
      <w:r w:rsidRPr="00B04DC3">
        <w:rPr>
          <w:lang w:val="en-GB"/>
        </w:rPr>
        <w:t>4.7.3.1.</w:t>
      </w:r>
      <w:r w:rsidRPr="00B04DC3">
        <w:rPr>
          <w:lang w:val="en-GB"/>
        </w:rPr>
        <w:tab/>
        <w:t>CAN based wired communication</w:t>
      </w:r>
    </w:p>
    <w:p w:rsidR="00AF2027" w:rsidRPr="00B04DC3" w:rsidRDefault="00AF2027" w:rsidP="00AF2027">
      <w:pPr>
        <w:pStyle w:val="para"/>
        <w:rPr>
          <w:lang w:val="en-GB"/>
        </w:rPr>
      </w:pPr>
      <w:r w:rsidRPr="00B04DC3">
        <w:rPr>
          <w:lang w:val="en-GB"/>
        </w:rPr>
        <w:tab/>
        <w:t>The communication speed on the wired data link of the OBD system shall be either 250 kbps or 500 kbps.</w:t>
      </w:r>
    </w:p>
    <w:p w:rsidR="00AF2027" w:rsidRPr="00B04DC3" w:rsidRDefault="00AF2027" w:rsidP="00AF2027">
      <w:pPr>
        <w:pStyle w:val="para"/>
        <w:rPr>
          <w:lang w:val="en-GB"/>
        </w:rPr>
      </w:pPr>
      <w:r w:rsidRPr="00B04DC3">
        <w:rPr>
          <w:lang w:val="en-GB"/>
        </w:rPr>
        <w:tab/>
        <w:t>It is the manufacturer's responsibility to select the baud-rate and to design the OBD system according to the requirements specified in the standards mentioned in Appendix 6</w:t>
      </w:r>
      <w:r w:rsidR="008D2DD3" w:rsidRPr="008D2DD3">
        <w:rPr>
          <w:lang w:val="en-GB"/>
        </w:rPr>
        <w:t xml:space="preserve"> </w:t>
      </w:r>
      <w:r w:rsidR="008D2DD3">
        <w:rPr>
          <w:lang w:val="en-GB"/>
        </w:rPr>
        <w:t>to this annex</w:t>
      </w:r>
      <w:r w:rsidRPr="00B04DC3">
        <w:rPr>
          <w:lang w:val="en-GB"/>
        </w:rPr>
        <w:t>, and referred to in this annex. The OBD system shall be tolerant against the automatic detection between these two baud-rates exercised by the external test equipment.</w:t>
      </w:r>
    </w:p>
    <w:p w:rsidR="00AF2027" w:rsidRPr="00B04DC3" w:rsidRDefault="00AF2027" w:rsidP="00AF2027">
      <w:pPr>
        <w:pStyle w:val="para"/>
        <w:rPr>
          <w:lang w:val="en-GB"/>
        </w:rPr>
      </w:pPr>
      <w:r w:rsidRPr="00B04DC3">
        <w:rPr>
          <w:lang w:val="en-GB"/>
        </w:rPr>
        <w:tab/>
        <w:t>The connection interface between the vehicle and the external diagnostic test equipment (e.g. scan-tool) shall be standardised and shall meet all of the requirements of ISO 15031</w:t>
      </w:r>
      <w:r w:rsidRPr="00B04DC3">
        <w:rPr>
          <w:lang w:val="en-GB"/>
        </w:rPr>
        <w:noBreakHyphen/>
        <w:t>3 Type A (12 VDC power supply), Type B (24 VDC power supply) or SAE J1939-13 (12 or 24 VDC power supply).</w:t>
      </w:r>
    </w:p>
    <w:p w:rsidR="00AF2027" w:rsidRPr="00B04DC3" w:rsidRDefault="00AF2027" w:rsidP="00AF2027">
      <w:pPr>
        <w:pStyle w:val="para"/>
        <w:rPr>
          <w:lang w:val="en-GB"/>
        </w:rPr>
      </w:pPr>
      <w:r w:rsidRPr="00B04DC3">
        <w:rPr>
          <w:lang w:val="en-GB"/>
        </w:rPr>
        <w:t>4.7.3.2.</w:t>
      </w:r>
      <w:r w:rsidRPr="00B04DC3">
        <w:rPr>
          <w:lang w:val="en-GB"/>
        </w:rPr>
        <w:tab/>
        <w:t>(Reserved for TCP/IP (Ethernet) based wired communication.)</w:t>
      </w:r>
    </w:p>
    <w:p w:rsidR="00AF2027" w:rsidRPr="00B04DC3" w:rsidRDefault="00AF2027" w:rsidP="00AF2027">
      <w:pPr>
        <w:pStyle w:val="para"/>
        <w:rPr>
          <w:lang w:val="en-GB"/>
        </w:rPr>
      </w:pPr>
      <w:r w:rsidRPr="00B04DC3">
        <w:rPr>
          <w:lang w:val="en-GB"/>
        </w:rPr>
        <w:t>4.7.3.3.</w:t>
      </w:r>
      <w:r w:rsidRPr="00B04DC3">
        <w:rPr>
          <w:lang w:val="en-GB"/>
        </w:rPr>
        <w:tab/>
        <w:t>Connector location</w:t>
      </w:r>
    </w:p>
    <w:p w:rsidR="00AF2027" w:rsidRPr="00D3766B" w:rsidRDefault="00AF2027" w:rsidP="00AF2027">
      <w:pPr>
        <w:pStyle w:val="para"/>
        <w:rPr>
          <w:spacing w:val="2"/>
          <w:lang w:val="en-GB"/>
        </w:rPr>
      </w:pPr>
      <w:r w:rsidRPr="00D3766B">
        <w:rPr>
          <w:spacing w:val="2"/>
          <w:lang w:val="en-GB"/>
        </w:rPr>
        <w:tab/>
        <w:t>The connector shall be located in the driver's side foot-well region of the vehicle interior in the area bound by the driver's side of the vehicle and the driver's side edge of the centre console (or the vehicle centreline if the vehicle does not have a centre console) and at a location no higher than the bottom of the steering wheel when in the lowest adjustable position. The connector may not be located on or in the centre console (i.e. neither on the horizontal faces near the floor-mounted gear selector, parking brake lever, or cup holders nor on the vertical faces near the stereo/radio, climate system, or navigation system controls). The location of the connector shall be capable of being easily identified and accessed (e.g. to connect an off-board tool). For vehicles equipped with a driver's side door, the connector shall be capable of being easily identified and accessed by someone standing (or "crouched") outside the driver's side of the vehicle with the driver's side door open.</w:t>
      </w:r>
    </w:p>
    <w:p w:rsidR="00AF2027" w:rsidRPr="00B04DC3" w:rsidRDefault="00AF2027" w:rsidP="00AF2027">
      <w:pPr>
        <w:pStyle w:val="para"/>
        <w:rPr>
          <w:lang w:val="en-GB"/>
        </w:rPr>
      </w:pPr>
      <w:r w:rsidRPr="00B04DC3">
        <w:rPr>
          <w:lang w:val="en-GB"/>
        </w:rPr>
        <w:tab/>
        <w:t xml:space="preserve">The </w:t>
      </w:r>
      <w:r w:rsidR="002F3FE3">
        <w:rPr>
          <w:lang w:val="en-GB"/>
        </w:rPr>
        <w:t xml:space="preserve">Type </w:t>
      </w:r>
      <w:r w:rsidRPr="00B04DC3">
        <w:rPr>
          <w:lang w:val="en-GB"/>
        </w:rPr>
        <w:t>Approval Authority may approve upon request of the manufacturer an alternative location provided the installation position shall be easily accessible and protected from accidental damage during normal conditions of use, e.g. the location as described in ISO 15031 series of standards.</w:t>
      </w:r>
    </w:p>
    <w:p w:rsidR="00AF2027" w:rsidRPr="00B04DC3" w:rsidRDefault="00AF2027" w:rsidP="00AF2027">
      <w:pPr>
        <w:pStyle w:val="para"/>
        <w:rPr>
          <w:lang w:val="en-GB"/>
        </w:rPr>
      </w:pPr>
      <w:r w:rsidRPr="00B04DC3">
        <w:rPr>
          <w:lang w:val="en-GB"/>
        </w:rPr>
        <w:tab/>
        <w:t xml:space="preserve">If the connector is covered or located in a specific equipment box, the cover or the compartment door </w:t>
      </w:r>
      <w:r w:rsidR="00EE140A" w:rsidRPr="00B04DC3">
        <w:rPr>
          <w:lang w:val="en-GB"/>
        </w:rPr>
        <w:t>shall</w:t>
      </w:r>
      <w:r w:rsidRPr="00B04DC3">
        <w:rPr>
          <w:lang w:val="en-GB"/>
        </w:rPr>
        <w:t xml:space="preserve"> be removable by hand without the use of any tools and be clearly labelled "OBD" to identify the location of the connector.</w:t>
      </w:r>
    </w:p>
    <w:p w:rsidR="00AF2027" w:rsidRPr="00B04DC3" w:rsidRDefault="00AF2027" w:rsidP="00AF2027">
      <w:pPr>
        <w:pStyle w:val="para"/>
        <w:rPr>
          <w:lang w:val="en-GB"/>
        </w:rPr>
      </w:pPr>
      <w:r w:rsidRPr="00B04DC3">
        <w:rPr>
          <w:lang w:val="en-GB"/>
        </w:rPr>
        <w:tab/>
        <w:t>The manufacturer may equip vehicles with additional diagnostic connectors and data-links for manufacturer-specific purposes other than the required OBD functions. If the additional connector conforms to one of the standard diagnostic connectors allowed in Appendix 6</w:t>
      </w:r>
      <w:r w:rsidR="008D2DD3" w:rsidRPr="008D2DD3">
        <w:rPr>
          <w:lang w:val="en-GB"/>
        </w:rPr>
        <w:t xml:space="preserve"> </w:t>
      </w:r>
      <w:r w:rsidR="008D2DD3">
        <w:rPr>
          <w:lang w:val="en-GB"/>
        </w:rPr>
        <w:t>to this annex</w:t>
      </w:r>
      <w:r w:rsidRPr="00B04DC3">
        <w:rPr>
          <w:lang w:val="en-GB"/>
        </w:rPr>
        <w:t>, only the connector required by this annex shall be clearly labelled "OBD" to distinguish it from other similar connectors.</w:t>
      </w:r>
    </w:p>
    <w:p w:rsidR="00AF2027" w:rsidRPr="004B59C4" w:rsidRDefault="00AF2027" w:rsidP="00AF2027">
      <w:pPr>
        <w:pStyle w:val="para"/>
        <w:rPr>
          <w:lang w:val="en-GB"/>
        </w:rPr>
      </w:pPr>
      <w:r w:rsidRPr="004B59C4">
        <w:rPr>
          <w:lang w:val="en-GB"/>
        </w:rPr>
        <w:t>4.7.4.</w:t>
      </w:r>
      <w:r w:rsidRPr="004B59C4">
        <w:rPr>
          <w:lang w:val="en-GB"/>
        </w:rPr>
        <w:tab/>
        <w:t>Erasing / resetting OBD information by a scan-tool</w:t>
      </w:r>
    </w:p>
    <w:p w:rsidR="00AF2027" w:rsidRPr="00B04DC3" w:rsidRDefault="00AF2027" w:rsidP="00AF2027">
      <w:pPr>
        <w:pStyle w:val="para"/>
        <w:rPr>
          <w:lang w:val="en-GB"/>
        </w:rPr>
      </w:pPr>
      <w:r w:rsidRPr="004B59C4">
        <w:rPr>
          <w:lang w:val="en-GB"/>
        </w:rPr>
        <w:tab/>
        <w:t>On request of the scan tool, the following data shall be erased or reset to the value specified in this annex from the computer memory.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1193"/>
        <w:gridCol w:w="1347"/>
      </w:tblGrid>
      <w:tr w:rsidR="00AF2027" w:rsidRPr="00B04DC3" w:rsidTr="004B59C4">
        <w:tc>
          <w:tcPr>
            <w:tcW w:w="4831"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00" w:lineRule="exact"/>
              <w:ind w:left="0" w:firstLine="0"/>
              <w:rPr>
                <w:rFonts w:ascii="Times New Roman" w:hAnsi="Times New Roman" w:cs="Times New Roman"/>
                <w:i/>
                <w:sz w:val="16"/>
                <w:szCs w:val="16"/>
              </w:rPr>
            </w:pPr>
            <w:r w:rsidRPr="00B04DC3">
              <w:rPr>
                <w:rFonts w:ascii="Times New Roman" w:hAnsi="Times New Roman" w:cs="Times New Roman"/>
                <w:i/>
                <w:sz w:val="16"/>
                <w:szCs w:val="16"/>
              </w:rPr>
              <w:t>OBD information data</w:t>
            </w:r>
          </w:p>
        </w:tc>
        <w:tc>
          <w:tcPr>
            <w:tcW w:w="1193"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00" w:lineRule="exact"/>
              <w:ind w:left="0" w:firstLine="0"/>
              <w:jc w:val="center"/>
              <w:rPr>
                <w:rFonts w:ascii="Times New Roman" w:hAnsi="Times New Roman" w:cs="Times New Roman"/>
                <w:i/>
                <w:sz w:val="16"/>
                <w:szCs w:val="16"/>
              </w:rPr>
            </w:pPr>
            <w:r w:rsidRPr="00B04DC3">
              <w:rPr>
                <w:rFonts w:ascii="Times New Roman" w:hAnsi="Times New Roman" w:cs="Times New Roman"/>
                <w:i/>
                <w:sz w:val="16"/>
                <w:szCs w:val="16"/>
              </w:rPr>
              <w:t>Erasable</w:t>
            </w:r>
          </w:p>
        </w:tc>
        <w:tc>
          <w:tcPr>
            <w:tcW w:w="1347"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00" w:lineRule="exact"/>
              <w:ind w:left="0" w:firstLine="0"/>
              <w:jc w:val="center"/>
              <w:rPr>
                <w:rFonts w:ascii="Times New Roman" w:hAnsi="Times New Roman" w:cs="Times New Roman"/>
                <w:i/>
                <w:sz w:val="16"/>
                <w:szCs w:val="16"/>
              </w:rPr>
            </w:pPr>
            <w:r w:rsidRPr="00B04DC3">
              <w:rPr>
                <w:rFonts w:ascii="Times New Roman" w:hAnsi="Times New Roman" w:cs="Times New Roman"/>
                <w:i/>
                <w:sz w:val="16"/>
                <w:szCs w:val="16"/>
              </w:rPr>
              <w:t>Resetable</w:t>
            </w:r>
            <w:r w:rsidRPr="00B04DC3">
              <w:rPr>
                <w:rStyle w:val="FootnoteReference"/>
                <w:rFonts w:cs="Times New Roman"/>
                <w:bCs/>
                <w:i/>
                <w:sz w:val="16"/>
                <w:szCs w:val="16"/>
              </w:rPr>
              <w:footnoteReference w:id="49"/>
            </w:r>
          </w:p>
        </w:tc>
      </w:tr>
      <w:tr w:rsidR="00AF2027" w:rsidRPr="00B04DC3" w:rsidTr="004B59C4">
        <w:tc>
          <w:tcPr>
            <w:tcW w:w="4831" w:type="dxa"/>
            <w:tcBorders>
              <w:top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Malfunction indicator status</w:t>
            </w:r>
          </w:p>
        </w:tc>
        <w:tc>
          <w:tcPr>
            <w:tcW w:w="1193" w:type="dxa"/>
            <w:tcBorders>
              <w:top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347" w:type="dxa"/>
            <w:tcBorders>
              <w:top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r>
      <w:tr w:rsidR="00AF2027" w:rsidRPr="00B04DC3">
        <w:tc>
          <w:tcPr>
            <w:tcW w:w="4831"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Readiness of the OBD system</w:t>
            </w:r>
          </w:p>
        </w:tc>
        <w:tc>
          <w:tcPr>
            <w:tcW w:w="1193"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347"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r>
      <w:tr w:rsidR="00AF2027" w:rsidRPr="00B04DC3">
        <w:tc>
          <w:tcPr>
            <w:tcW w:w="4831"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Number of engine operating hours since the malfunction indicator has been activated (continuous MI counter)</w:t>
            </w:r>
          </w:p>
        </w:tc>
        <w:tc>
          <w:tcPr>
            <w:tcW w:w="1193"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c>
          <w:tcPr>
            <w:tcW w:w="1347"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r w:rsidR="00AF2027" w:rsidRPr="00B04DC3">
        <w:tc>
          <w:tcPr>
            <w:tcW w:w="4831"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All DTCs</w:t>
            </w:r>
          </w:p>
        </w:tc>
        <w:tc>
          <w:tcPr>
            <w:tcW w:w="1193"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c>
          <w:tcPr>
            <w:tcW w:w="1347"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r w:rsidR="00AF2027" w:rsidRPr="00B04DC3">
        <w:tc>
          <w:tcPr>
            <w:tcW w:w="4831"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The value of the B1 counter with the highest number of engine operating hours</w:t>
            </w:r>
          </w:p>
        </w:tc>
        <w:tc>
          <w:tcPr>
            <w:tcW w:w="1193"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347"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r>
      <w:tr w:rsidR="00AF2027" w:rsidRPr="00B04DC3">
        <w:tc>
          <w:tcPr>
            <w:tcW w:w="4831"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The number of engine operating hours from the B1-counter(s)</w:t>
            </w:r>
          </w:p>
        </w:tc>
        <w:tc>
          <w:tcPr>
            <w:tcW w:w="1193"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c>
          <w:tcPr>
            <w:tcW w:w="1347" w:type="dxa"/>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r>
      <w:tr w:rsidR="00AF2027" w:rsidRPr="00B04DC3" w:rsidTr="004B59C4">
        <w:tc>
          <w:tcPr>
            <w:tcW w:w="4831"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both"/>
              <w:rPr>
                <w:rFonts w:ascii="Times New Roman" w:hAnsi="Times New Roman" w:cs="Times New Roman"/>
                <w:szCs w:val="20"/>
              </w:rPr>
            </w:pPr>
            <w:r w:rsidRPr="00B04DC3">
              <w:rPr>
                <w:rFonts w:ascii="Times New Roman" w:hAnsi="Times New Roman" w:cs="Times New Roman"/>
                <w:szCs w:val="20"/>
              </w:rPr>
              <w:t>The freeze frame data requested by this annex</w:t>
            </w:r>
          </w:p>
        </w:tc>
        <w:tc>
          <w:tcPr>
            <w:tcW w:w="1193"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r w:rsidRPr="00B04DC3">
              <w:rPr>
                <w:rFonts w:ascii="Times New Roman" w:hAnsi="Times New Roman" w:cs="Times New Roman"/>
                <w:szCs w:val="20"/>
              </w:rPr>
              <w:t>X</w:t>
            </w:r>
          </w:p>
        </w:tc>
        <w:tc>
          <w:tcPr>
            <w:tcW w:w="1347" w:type="dxa"/>
            <w:tcBorders>
              <w:bottom w:val="single" w:sz="12" w:space="0" w:color="auto"/>
            </w:tcBorders>
            <w:vAlign w:val="center"/>
          </w:tcPr>
          <w:p w:rsidR="00AF2027" w:rsidRPr="00B04DC3" w:rsidRDefault="00AF2027" w:rsidP="00AF2027">
            <w:pPr>
              <w:pStyle w:val="GTRnormal"/>
              <w:tabs>
                <w:tab w:val="clear" w:pos="540"/>
                <w:tab w:val="left" w:pos="1134"/>
                <w:tab w:val="left" w:pos="1418"/>
              </w:tabs>
              <w:spacing w:before="80" w:after="80" w:line="240" w:lineRule="exact"/>
              <w:ind w:left="0" w:firstLine="0"/>
              <w:jc w:val="center"/>
              <w:rPr>
                <w:rFonts w:ascii="Times New Roman" w:hAnsi="Times New Roman" w:cs="Times New Roman"/>
                <w:szCs w:val="20"/>
              </w:rPr>
            </w:pPr>
          </w:p>
        </w:tc>
      </w:tr>
    </w:tbl>
    <w:p w:rsidR="00AF2027" w:rsidRPr="00B04DC3" w:rsidRDefault="00AF2027" w:rsidP="00AF2027">
      <w:pPr>
        <w:pStyle w:val="para"/>
        <w:spacing w:before="240"/>
        <w:rPr>
          <w:lang w:val="en-GB"/>
        </w:rPr>
      </w:pPr>
      <w:r w:rsidRPr="00B04DC3">
        <w:rPr>
          <w:lang w:val="en-GB"/>
        </w:rPr>
        <w:tab/>
        <w:t>OBD information shall not be erased by disconnection of the vehicle's battery(s).</w:t>
      </w:r>
    </w:p>
    <w:p w:rsidR="00AF2027" w:rsidRPr="00B04DC3" w:rsidRDefault="00AF2027" w:rsidP="00AF2027">
      <w:pPr>
        <w:pStyle w:val="para"/>
        <w:rPr>
          <w:lang w:val="en-GB"/>
        </w:rPr>
      </w:pPr>
      <w:bookmarkStart w:id="975" w:name="_Toc118223052"/>
      <w:r w:rsidRPr="00B04DC3">
        <w:rPr>
          <w:lang w:val="en-GB"/>
        </w:rPr>
        <w:t>4.8.</w:t>
      </w:r>
      <w:r w:rsidRPr="00B04DC3">
        <w:rPr>
          <w:lang w:val="en-GB"/>
        </w:rPr>
        <w:tab/>
        <w:t>Electronic security</w:t>
      </w:r>
      <w:bookmarkEnd w:id="975"/>
    </w:p>
    <w:p w:rsidR="00AF2027" w:rsidRPr="00B04DC3" w:rsidRDefault="00AF2027" w:rsidP="00AF2027">
      <w:pPr>
        <w:pStyle w:val="para"/>
        <w:rPr>
          <w:lang w:val="en-GB"/>
        </w:rPr>
      </w:pPr>
      <w:r w:rsidRPr="00B04DC3">
        <w:rPr>
          <w:lang w:val="en-GB"/>
        </w:rPr>
        <w:tab/>
        <w:t xml:space="preserve">Any vehicle with an emission control unit </w:t>
      </w:r>
      <w:r w:rsidR="00EE140A" w:rsidRPr="00B04DC3">
        <w:rPr>
          <w:lang w:val="en-GB"/>
        </w:rPr>
        <w:t>shall</w:t>
      </w:r>
      <w:r w:rsidRPr="00B04DC3">
        <w:rPr>
          <w:lang w:val="en-GB"/>
        </w:rPr>
        <w:t xml:space="preserve"> include features to deter modification, except as authorized by the manufacturer. The manufacturer shall authorize modifications if these modifications are necessary for the diagnosis, servicing, inspection, retrofitting or repair of the vehicle.</w:t>
      </w:r>
    </w:p>
    <w:p w:rsidR="00AF2027" w:rsidRPr="00B04DC3" w:rsidRDefault="00AF2027" w:rsidP="00AF2027">
      <w:pPr>
        <w:pStyle w:val="para"/>
        <w:rPr>
          <w:lang w:val="en-GB"/>
        </w:rPr>
      </w:pPr>
      <w:r w:rsidRPr="00B04DC3">
        <w:rPr>
          <w:lang w:val="en-GB"/>
        </w:rPr>
        <w:tab/>
        <w:t>Any reprogramable computer codes or operating parameters shall be resistant to tampering and afford a level of protection at least as good as the provisions in ISO 15031</w:t>
      </w:r>
      <w:r w:rsidRPr="00B04DC3">
        <w:rPr>
          <w:lang w:val="en-GB"/>
        </w:rPr>
        <w:noBreakHyphen/>
        <w:t>7 (SAE J2186) or J1939-73 provided that the security exchange is conducted using the protocols and diagnostic connector as prescribed in this annex. Any removable calibration memory chips shall be potted, encased in a sealed container or protected by electronic algorithms and shall not be changeable without the use of specialised tools and procedures.</w:t>
      </w:r>
    </w:p>
    <w:p w:rsidR="00AF2027" w:rsidRPr="00B04DC3" w:rsidRDefault="00AF2027" w:rsidP="00AF2027">
      <w:pPr>
        <w:pStyle w:val="para"/>
        <w:rPr>
          <w:lang w:val="en-GB"/>
        </w:rPr>
      </w:pPr>
      <w:r w:rsidRPr="00B04DC3">
        <w:rPr>
          <w:lang w:val="en-GB"/>
        </w:rPr>
        <w:tab/>
        <w:t>Computer-coded engine operating parameters shall not be changeable without the use of specialised tools and procedures (e.g. soldered or potted computer components or sealed (or soldered) computer enclosures).</w:t>
      </w:r>
    </w:p>
    <w:p w:rsidR="00AF2027" w:rsidRPr="00B04DC3" w:rsidRDefault="00AF2027" w:rsidP="00AF2027">
      <w:pPr>
        <w:pStyle w:val="para"/>
        <w:rPr>
          <w:lang w:val="en-GB"/>
        </w:rPr>
      </w:pPr>
      <w:r w:rsidRPr="00B04DC3">
        <w:rPr>
          <w:lang w:val="en-GB"/>
        </w:rPr>
        <w:tab/>
        <w:t>Manufacturers shall take adequate steps to protect the maximum fuel delivery setting from tampering while a vehicle is in-service.</w:t>
      </w:r>
    </w:p>
    <w:p w:rsidR="00AF2027" w:rsidRPr="00B04DC3" w:rsidRDefault="00AF2027" w:rsidP="00AF2027">
      <w:pPr>
        <w:pStyle w:val="para"/>
        <w:rPr>
          <w:lang w:val="en-GB"/>
        </w:rPr>
      </w:pPr>
      <w:r w:rsidRPr="00B04DC3">
        <w:rPr>
          <w:lang w:val="en-GB"/>
        </w:rPr>
        <w:tab/>
        <w:t xml:space="preserve">Manufacturers may apply to the </w:t>
      </w:r>
      <w:r w:rsidR="002F3FE3">
        <w:rPr>
          <w:lang w:val="en-GB"/>
        </w:rPr>
        <w:t xml:space="preserve">Type </w:t>
      </w:r>
      <w:r w:rsidRPr="00B04DC3">
        <w:rPr>
          <w:lang w:val="en-GB"/>
        </w:rPr>
        <w:t xml:space="preserve">Approval Authority for an exemption from one of these requirements for those vehicles that are unlikely to require protection. The criteria that the </w:t>
      </w:r>
      <w:r w:rsidR="002F3FE3">
        <w:rPr>
          <w:lang w:val="en-GB"/>
        </w:rPr>
        <w:t xml:space="preserve">Type </w:t>
      </w:r>
      <w:r w:rsidRPr="00B04DC3">
        <w:rPr>
          <w:lang w:val="en-GB"/>
        </w:rPr>
        <w:t>Approval Authority will evaluate in considering an exemption will include, but are not limited to, the current availability of performance chips, the high-performance capability of the vehicle and the projected sales volume of the vehicle.</w:t>
      </w:r>
    </w:p>
    <w:p w:rsidR="00AF2027" w:rsidRPr="00B04DC3" w:rsidRDefault="00AF2027" w:rsidP="00AF2027">
      <w:pPr>
        <w:pStyle w:val="para"/>
        <w:rPr>
          <w:lang w:val="en-GB"/>
        </w:rPr>
      </w:pPr>
      <w:r w:rsidRPr="00B04DC3">
        <w:rPr>
          <w:lang w:val="en-GB"/>
        </w:rPr>
        <w:tab/>
        <w:t>Manufacturers using programmable computer code systems (e.g. </w:t>
      </w:r>
      <w:r w:rsidR="008D2DD3">
        <w:rPr>
          <w:lang w:val="en-GB"/>
        </w:rPr>
        <w:t>E</w:t>
      </w:r>
      <w:r w:rsidR="008D2DD3" w:rsidRPr="00B04DC3">
        <w:rPr>
          <w:lang w:val="en-GB"/>
        </w:rPr>
        <w:t xml:space="preserve">lectrical </w:t>
      </w:r>
      <w:r w:rsidR="008D2DD3">
        <w:rPr>
          <w:lang w:val="en-GB"/>
        </w:rPr>
        <w:t>E</w:t>
      </w:r>
      <w:r w:rsidR="008D2DD3" w:rsidRPr="00B04DC3">
        <w:rPr>
          <w:lang w:val="en-GB"/>
        </w:rPr>
        <w:t xml:space="preserve">rasable </w:t>
      </w:r>
      <w:r w:rsidR="008D2DD3">
        <w:rPr>
          <w:lang w:val="en-GB"/>
        </w:rPr>
        <w:t>P</w:t>
      </w:r>
      <w:r w:rsidR="008D2DD3" w:rsidRPr="00B04DC3">
        <w:rPr>
          <w:lang w:val="en-GB"/>
        </w:rPr>
        <w:t xml:space="preserve">rogrammable </w:t>
      </w:r>
      <w:r w:rsidR="008D2DD3">
        <w:rPr>
          <w:lang w:val="en-GB"/>
        </w:rPr>
        <w:t>R</w:t>
      </w:r>
      <w:r w:rsidR="008D2DD3" w:rsidRPr="00B04DC3">
        <w:rPr>
          <w:lang w:val="en-GB"/>
        </w:rPr>
        <w:t>ead</w:t>
      </w:r>
      <w:r w:rsidRPr="00B04DC3">
        <w:rPr>
          <w:lang w:val="en-GB"/>
        </w:rPr>
        <w:t>-</w:t>
      </w:r>
      <w:r w:rsidR="008D2DD3">
        <w:rPr>
          <w:lang w:val="en-GB"/>
        </w:rPr>
        <w:t>O</w:t>
      </w:r>
      <w:r w:rsidR="008D2DD3" w:rsidRPr="00B04DC3">
        <w:rPr>
          <w:lang w:val="en-GB"/>
        </w:rPr>
        <w:t xml:space="preserve">nly </w:t>
      </w:r>
      <w:r w:rsidR="008D2DD3">
        <w:rPr>
          <w:lang w:val="en-GB"/>
        </w:rPr>
        <w:t>M</w:t>
      </w:r>
      <w:r w:rsidR="008D2DD3" w:rsidRPr="00B04DC3">
        <w:rPr>
          <w:lang w:val="en-GB"/>
        </w:rPr>
        <w:t>emory</w:t>
      </w:r>
      <w:r w:rsidRPr="00B04DC3">
        <w:rPr>
          <w:lang w:val="en-GB"/>
        </w:rPr>
        <w:t xml:space="preserve">, EEPROM) shall deter unauthorized reprogramming. Manufacturers shall include enhanced tamper-protection strategies and write protect features requiring electronic access to an off-site computer maintained by the manufacturer. Alternative methods giving an equivalent level of tamper protection may be approved by the </w:t>
      </w:r>
      <w:r w:rsidR="008D2DD3">
        <w:rPr>
          <w:lang w:val="en-GB"/>
        </w:rPr>
        <w:t xml:space="preserve">Type </w:t>
      </w:r>
      <w:r w:rsidRPr="00B04DC3">
        <w:rPr>
          <w:lang w:val="en-GB"/>
        </w:rPr>
        <w:t>Approval Authority</w:t>
      </w:r>
    </w:p>
    <w:p w:rsidR="00AF2027" w:rsidRPr="00B04DC3" w:rsidRDefault="00AF2027" w:rsidP="00AF2027">
      <w:pPr>
        <w:pStyle w:val="para"/>
        <w:rPr>
          <w:lang w:val="en-GB"/>
        </w:rPr>
      </w:pPr>
      <w:r w:rsidRPr="00B04DC3">
        <w:rPr>
          <w:lang w:val="en-GB"/>
        </w:rPr>
        <w:t>4.9.</w:t>
      </w:r>
      <w:r w:rsidRPr="00B04DC3">
        <w:rPr>
          <w:lang w:val="en-GB"/>
        </w:rPr>
        <w:tab/>
        <w:t>Durability of the OBD system</w:t>
      </w:r>
    </w:p>
    <w:p w:rsidR="00AF2027" w:rsidRPr="00B04DC3" w:rsidRDefault="00AF2027" w:rsidP="00AF2027">
      <w:pPr>
        <w:pStyle w:val="para"/>
        <w:rPr>
          <w:lang w:val="en-GB"/>
        </w:rPr>
      </w:pPr>
      <w:r w:rsidRPr="00B04DC3">
        <w:rPr>
          <w:lang w:val="en-GB"/>
        </w:rPr>
        <w:tab/>
        <w:t>The OBD system shall be designed and constructed so as to enable it to identify types of malfunctions over the complete life of the vehicle or engine system.</w:t>
      </w:r>
    </w:p>
    <w:p w:rsidR="00AF2027" w:rsidRPr="00B04DC3" w:rsidRDefault="00AF2027" w:rsidP="00AF2027">
      <w:pPr>
        <w:pStyle w:val="para"/>
        <w:rPr>
          <w:lang w:val="en-GB"/>
        </w:rPr>
      </w:pPr>
      <w:r w:rsidRPr="00B04DC3">
        <w:rPr>
          <w:lang w:val="en-GB"/>
        </w:rPr>
        <w:tab/>
        <w:t>Any additional provisions addressing the durability of OBD systems are contained in this annex.</w:t>
      </w:r>
    </w:p>
    <w:p w:rsidR="00AF2027" w:rsidRPr="00B04DC3" w:rsidRDefault="00AF2027" w:rsidP="00AF2027">
      <w:pPr>
        <w:pStyle w:val="para"/>
        <w:rPr>
          <w:lang w:val="en-GB"/>
        </w:rPr>
      </w:pPr>
      <w:r w:rsidRPr="00B04DC3">
        <w:rPr>
          <w:lang w:val="en-GB"/>
        </w:rPr>
        <w:tab/>
        <w:t>An OBD system shall not be programmed or otherwise designed to partially or totally deactivate based on age and/or mileage of the vehicle during the actual life of the vehicle, nor shall the system contain any algorithm or strategy designed to reduce the effectiveness of the OBD system over time.</w:t>
      </w:r>
    </w:p>
    <w:p w:rsidR="00AF2027" w:rsidRPr="00B04DC3" w:rsidRDefault="00AF2027" w:rsidP="00AF2027">
      <w:pPr>
        <w:pStyle w:val="para"/>
        <w:rPr>
          <w:lang w:val="en-GB"/>
        </w:rPr>
      </w:pPr>
      <w:bookmarkStart w:id="976" w:name="_Toc118223053"/>
      <w:r w:rsidRPr="00B04DC3">
        <w:rPr>
          <w:lang w:val="en-GB"/>
        </w:rPr>
        <w:t>5.</w:t>
      </w:r>
      <w:r w:rsidRPr="00B04DC3">
        <w:rPr>
          <w:lang w:val="en-GB"/>
        </w:rPr>
        <w:tab/>
        <w:t>Performance requirements</w:t>
      </w:r>
      <w:bookmarkEnd w:id="976"/>
    </w:p>
    <w:p w:rsidR="00AF2027" w:rsidRPr="00B04DC3" w:rsidRDefault="00AF2027" w:rsidP="00AF2027">
      <w:pPr>
        <w:pStyle w:val="para"/>
        <w:rPr>
          <w:lang w:val="en-GB"/>
        </w:rPr>
      </w:pPr>
      <w:r w:rsidRPr="00B04DC3">
        <w:rPr>
          <w:lang w:val="en-GB"/>
        </w:rPr>
        <w:t>5.1.</w:t>
      </w:r>
      <w:r w:rsidRPr="00B04DC3">
        <w:rPr>
          <w:lang w:val="en-GB"/>
        </w:rPr>
        <w:tab/>
        <w:t>Thresholds</w:t>
      </w:r>
    </w:p>
    <w:p w:rsidR="00AF2027" w:rsidRPr="00B04DC3" w:rsidRDefault="00AF2027" w:rsidP="00AF2027">
      <w:pPr>
        <w:pStyle w:val="para"/>
        <w:rPr>
          <w:lang w:val="en-GB"/>
        </w:rPr>
      </w:pPr>
      <w:r w:rsidRPr="00B04DC3">
        <w:rPr>
          <w:lang w:val="en-GB"/>
        </w:rPr>
        <w:tab/>
        <w:t xml:space="preserve">The OTLs for the applicable monitoring criteria defined in Appendix 3 </w:t>
      </w:r>
      <w:r w:rsidR="008D2DD3">
        <w:rPr>
          <w:lang w:val="en-GB"/>
        </w:rPr>
        <w:t>to this annex</w:t>
      </w:r>
      <w:r w:rsidR="008D2DD3" w:rsidRPr="00B04DC3">
        <w:rPr>
          <w:lang w:val="en-GB"/>
        </w:rPr>
        <w:t xml:space="preserve"> </w:t>
      </w:r>
      <w:r w:rsidRPr="00B04DC3">
        <w:rPr>
          <w:lang w:val="en-GB"/>
        </w:rPr>
        <w:t>are defined in the main part of this Regulation</w:t>
      </w:r>
      <w:r w:rsidR="008D2DD3">
        <w:rPr>
          <w:lang w:val="en-GB"/>
        </w:rPr>
        <w:t>.</w:t>
      </w:r>
    </w:p>
    <w:p w:rsidR="00AF2027" w:rsidRPr="00B04DC3" w:rsidRDefault="00AF2027" w:rsidP="00AF2027">
      <w:pPr>
        <w:pStyle w:val="para"/>
        <w:rPr>
          <w:lang w:val="en-GB"/>
        </w:rPr>
      </w:pPr>
      <w:bookmarkStart w:id="977" w:name="_Toc104694016"/>
      <w:bookmarkStart w:id="978" w:name="_Ref117053944"/>
      <w:bookmarkStart w:id="979" w:name="_Toc118223055"/>
      <w:r w:rsidRPr="00B04DC3">
        <w:rPr>
          <w:lang w:val="en-GB"/>
        </w:rPr>
        <w:t>5.2.</w:t>
      </w:r>
      <w:r w:rsidRPr="00B04DC3">
        <w:rPr>
          <w:lang w:val="en-GB"/>
        </w:rPr>
        <w:tab/>
        <w:t>Temporary disablement of the OBD system</w:t>
      </w:r>
      <w:bookmarkEnd w:id="977"/>
      <w:bookmarkEnd w:id="978"/>
      <w:bookmarkEnd w:id="979"/>
    </w:p>
    <w:p w:rsidR="00AF2027" w:rsidRPr="00B04DC3" w:rsidRDefault="00AF2027" w:rsidP="00AF2027">
      <w:pPr>
        <w:pStyle w:val="para"/>
        <w:rPr>
          <w:lang w:val="en-GB"/>
        </w:rPr>
      </w:pPr>
      <w:r w:rsidRPr="00B04DC3">
        <w:rPr>
          <w:lang w:val="en-GB"/>
        </w:rPr>
        <w:tab/>
        <w:t>Approval authorities may approve that an OBD system be temporarily disabled under the conditions specified in the following sub-paragraphs.</w:t>
      </w:r>
    </w:p>
    <w:p w:rsidR="00AF2027" w:rsidRPr="00B04DC3" w:rsidRDefault="00AF2027" w:rsidP="00D3766B">
      <w:pPr>
        <w:pStyle w:val="para"/>
        <w:keepNext/>
        <w:keepLines/>
        <w:rPr>
          <w:lang w:val="en-GB"/>
        </w:rPr>
      </w:pPr>
      <w:r w:rsidRPr="00B04DC3">
        <w:rPr>
          <w:lang w:val="en-GB"/>
        </w:rPr>
        <w:tab/>
        <w:t xml:space="preserve">At the time of approval or type-approval, the manufacturer shall provide the </w:t>
      </w:r>
      <w:r w:rsidR="002F3FE3">
        <w:rPr>
          <w:lang w:val="en-GB"/>
        </w:rPr>
        <w:t xml:space="preserve">Type </w:t>
      </w:r>
      <w:r w:rsidRPr="00B04DC3">
        <w:rPr>
          <w:lang w:val="en-GB"/>
        </w:rPr>
        <w:t>Approval Authority with the detailed description of each of the OBD system's temporary disablement strategies and the data and/or engineering evaluation demonstrating that monitoring during the applicable conditions would be unreliable or impractical.</w:t>
      </w:r>
    </w:p>
    <w:p w:rsidR="00AF2027" w:rsidRPr="00B04DC3" w:rsidRDefault="00AF2027" w:rsidP="00AF2027">
      <w:pPr>
        <w:pStyle w:val="para"/>
        <w:rPr>
          <w:lang w:val="en-GB"/>
        </w:rPr>
      </w:pPr>
      <w:r w:rsidRPr="00B04DC3">
        <w:rPr>
          <w:lang w:val="en-GB"/>
        </w:rPr>
        <w:tab/>
        <w:t>In all cases, monitoring shall resume once the conditions justifying temporary disablement are no longer present.</w:t>
      </w:r>
    </w:p>
    <w:p w:rsidR="00AF2027" w:rsidRPr="00B04DC3" w:rsidRDefault="00AF2027" w:rsidP="00AF2027">
      <w:pPr>
        <w:pStyle w:val="para"/>
        <w:rPr>
          <w:lang w:val="en-GB"/>
        </w:rPr>
      </w:pPr>
      <w:bookmarkStart w:id="980" w:name="_Toc118223056"/>
      <w:bookmarkStart w:id="981" w:name="_Toc118223065"/>
      <w:r w:rsidRPr="00B04DC3">
        <w:rPr>
          <w:lang w:val="en-GB"/>
        </w:rPr>
        <w:t>5.2.1.</w:t>
      </w:r>
      <w:r w:rsidRPr="00B04DC3">
        <w:rPr>
          <w:lang w:val="en-GB"/>
        </w:rPr>
        <w:tab/>
        <w:t>Engine/vehicle operational safety</w:t>
      </w:r>
      <w:bookmarkEnd w:id="980"/>
    </w:p>
    <w:p w:rsidR="00AF2027" w:rsidRPr="00B04DC3" w:rsidRDefault="00AF2027" w:rsidP="00AF2027">
      <w:pPr>
        <w:pStyle w:val="para"/>
        <w:rPr>
          <w:lang w:val="en-GB"/>
        </w:rPr>
      </w:pPr>
      <w:r w:rsidRPr="00B04DC3">
        <w:rPr>
          <w:lang w:val="en-GB"/>
        </w:rPr>
        <w:tab/>
        <w:t>Manufacturers may request approval to disable the affected OBD monitoring systems when operational safety strategies are activated.</w:t>
      </w:r>
    </w:p>
    <w:p w:rsidR="00AF2027" w:rsidRPr="00B04DC3" w:rsidRDefault="00AF2027" w:rsidP="00AF2027">
      <w:pPr>
        <w:pStyle w:val="para"/>
        <w:rPr>
          <w:lang w:val="en-GB"/>
        </w:rPr>
      </w:pPr>
      <w:r w:rsidRPr="00B04DC3">
        <w:rPr>
          <w:lang w:val="en-GB"/>
        </w:rPr>
        <w:tab/>
        <w:t>The OBD monitoring system is not required to evaluate components during malfunction if such evaluation would result in a risk to the safe use of the vehicle.</w:t>
      </w:r>
    </w:p>
    <w:p w:rsidR="00051DFF" w:rsidRPr="00B04DC3" w:rsidRDefault="00051DFF" w:rsidP="00051DFF">
      <w:pPr>
        <w:spacing w:after="120"/>
        <w:ind w:left="2268" w:right="1134" w:hanging="1134"/>
        <w:jc w:val="both"/>
      </w:pPr>
      <w:bookmarkStart w:id="982" w:name="_Toc104694017"/>
      <w:bookmarkStart w:id="983" w:name="_Toc118223057"/>
      <w:r w:rsidRPr="00B04DC3">
        <w:t>5.2.2.</w:t>
      </w:r>
      <w:r w:rsidRPr="00B04DC3">
        <w:tab/>
        <w:t>Ambient temperature and altitude conditions</w:t>
      </w:r>
    </w:p>
    <w:p w:rsidR="00051DFF" w:rsidRPr="00B04DC3" w:rsidRDefault="00051DFF" w:rsidP="00051DFF">
      <w:pPr>
        <w:spacing w:after="120"/>
        <w:ind w:left="2268" w:right="1134"/>
        <w:jc w:val="both"/>
      </w:pPr>
      <w:r w:rsidRPr="00B04DC3">
        <w:t>Manufacturers may request approval to disable OBD system monitors</w:t>
      </w:r>
      <w:r w:rsidR="008D2DD3">
        <w:t>:</w:t>
      </w:r>
    </w:p>
    <w:p w:rsidR="00051DFF" w:rsidRPr="00B04DC3" w:rsidRDefault="00051DFF" w:rsidP="00051DFF">
      <w:pPr>
        <w:spacing w:after="120"/>
        <w:ind w:left="2835" w:right="1134" w:hanging="567"/>
        <w:jc w:val="both"/>
      </w:pPr>
      <w:r w:rsidRPr="00B04DC3">
        <w:t>(a)</w:t>
      </w:r>
      <w:r w:rsidRPr="00B04DC3">
        <w:tab/>
        <w:t xml:space="preserve">At ambient temperatures below 266 K (-7 </w:t>
      </w:r>
      <w:r w:rsidR="008D2DD3">
        <w:t>°C</w:t>
      </w:r>
      <w:r w:rsidRPr="00B04DC3">
        <w:t xml:space="preserve">) in the case where the coolant temperature has not reached a minimum temperature of at least 333 K (60 </w:t>
      </w:r>
      <w:r w:rsidR="008D2DD3">
        <w:t>°C</w:t>
      </w:r>
      <w:r w:rsidRPr="00B04DC3">
        <w:t>), or</w:t>
      </w:r>
    </w:p>
    <w:p w:rsidR="00051DFF" w:rsidRPr="00B04DC3" w:rsidRDefault="00051DFF" w:rsidP="00051DFF">
      <w:pPr>
        <w:spacing w:after="120"/>
        <w:ind w:left="2835" w:right="1134" w:hanging="567"/>
        <w:jc w:val="both"/>
      </w:pPr>
      <w:r w:rsidRPr="00B04DC3">
        <w:t>(b)</w:t>
      </w:r>
      <w:r w:rsidRPr="00B04DC3">
        <w:tab/>
        <w:t xml:space="preserve">At ambient temperatures below 266 K (-7 </w:t>
      </w:r>
      <w:r w:rsidR="008D2DD3">
        <w:t>°C</w:t>
      </w:r>
      <w:r w:rsidRPr="00B04DC3">
        <w:t xml:space="preserve">) in the case of frozen reagent, or </w:t>
      </w:r>
    </w:p>
    <w:p w:rsidR="00051DFF" w:rsidRPr="00B04DC3" w:rsidRDefault="00051DFF" w:rsidP="00051DFF">
      <w:pPr>
        <w:spacing w:after="120"/>
        <w:ind w:left="2835" w:right="1134" w:hanging="567"/>
        <w:jc w:val="both"/>
      </w:pPr>
      <w:r w:rsidRPr="00B04DC3">
        <w:t>(c)</w:t>
      </w:r>
      <w:r w:rsidRPr="00B04DC3">
        <w:tab/>
        <w:t xml:space="preserve">At ambient temperatures above 308 K (35 </w:t>
      </w:r>
      <w:r w:rsidR="008D2DD3">
        <w:t>°C</w:t>
      </w:r>
      <w:r w:rsidRPr="00B04DC3">
        <w:t>), or</w:t>
      </w:r>
    </w:p>
    <w:p w:rsidR="00051DFF" w:rsidRPr="00B04DC3" w:rsidRDefault="00051DFF" w:rsidP="00051DFF">
      <w:pPr>
        <w:spacing w:after="120"/>
        <w:ind w:left="2835" w:right="1134" w:hanging="567"/>
        <w:jc w:val="both"/>
      </w:pPr>
      <w:r w:rsidRPr="00B04DC3">
        <w:t>(d)</w:t>
      </w:r>
      <w:r w:rsidRPr="00B04DC3">
        <w:tab/>
        <w:t>At elevations above 2,500 meters above sea level.</w:t>
      </w:r>
    </w:p>
    <w:p w:rsidR="00051DFF" w:rsidRPr="00D3766B" w:rsidRDefault="00051DFF" w:rsidP="00051DFF">
      <w:pPr>
        <w:spacing w:after="120"/>
        <w:ind w:left="2268" w:right="1134"/>
        <w:jc w:val="both"/>
        <w:rPr>
          <w:spacing w:val="2"/>
        </w:rPr>
      </w:pPr>
      <w:r w:rsidRPr="00D3766B">
        <w:rPr>
          <w:spacing w:val="2"/>
        </w:rPr>
        <w:t>A manufacturer may further request approval that an OBD system monitor be temporarily disabled at other ambient temperatures and altitude conditions upon determining that the manufacturer has demonstrated with data and/or an engineering evaluation that misdiagnosis would occur at those ambient conditions because of its effect on the component itself (e.g. component freezing, effect on the compatibility with sensor tolerances).</w:t>
      </w:r>
    </w:p>
    <w:bookmarkEnd w:id="982"/>
    <w:bookmarkEnd w:id="983"/>
    <w:p w:rsidR="00AF2027" w:rsidRPr="00B04DC3" w:rsidRDefault="00AF2027" w:rsidP="00AF2027">
      <w:pPr>
        <w:pStyle w:val="para"/>
        <w:ind w:firstLine="0"/>
        <w:rPr>
          <w:lang w:val="en-GB"/>
        </w:rPr>
      </w:pPr>
      <w:r w:rsidRPr="00B04DC3">
        <w:rPr>
          <w:i/>
          <w:lang w:val="en-GB"/>
        </w:rPr>
        <w:t>Note:</w:t>
      </w:r>
      <w:r w:rsidRPr="00B04DC3">
        <w:rPr>
          <w:lang w:val="en-GB"/>
        </w:rPr>
        <w:t xml:space="preserve"> Ambient conditions may be estimated by indirect methods. For example ambient temperature conditions may be determined based on intake air temperature.</w:t>
      </w:r>
    </w:p>
    <w:p w:rsidR="00AF2027" w:rsidRPr="00B04DC3" w:rsidRDefault="00AF2027" w:rsidP="00AF2027">
      <w:pPr>
        <w:pStyle w:val="para"/>
        <w:rPr>
          <w:lang w:val="en-GB"/>
        </w:rPr>
      </w:pPr>
      <w:r w:rsidRPr="00B04DC3">
        <w:rPr>
          <w:lang w:val="en-GB"/>
        </w:rPr>
        <w:t>5.2.3.</w:t>
      </w:r>
      <w:r w:rsidRPr="00B04DC3">
        <w:rPr>
          <w:lang w:val="en-GB"/>
        </w:rPr>
        <w:tab/>
        <w:t>Low fuel level</w:t>
      </w:r>
    </w:p>
    <w:p w:rsidR="00AF2027" w:rsidRDefault="00AF2027" w:rsidP="00AF2027">
      <w:pPr>
        <w:pStyle w:val="para"/>
        <w:rPr>
          <w:lang w:val="en-GB"/>
        </w:rPr>
      </w:pPr>
      <w:r w:rsidRPr="00B04DC3">
        <w:rPr>
          <w:lang w:val="en-GB"/>
        </w:rPr>
        <w:tab/>
        <w:t>Manufacturers may request approval to disable monitoring systems that are affected by low fuel level / pressure or running out of fuel (e.g. diagnosis of a malfunction of the fuelling system or misfiring) as follows:</w:t>
      </w:r>
    </w:p>
    <w:tbl>
      <w:tblPr>
        <w:tblW w:w="73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3"/>
        <w:gridCol w:w="911"/>
        <w:gridCol w:w="697"/>
        <w:gridCol w:w="703"/>
      </w:tblGrid>
      <w:tr w:rsidR="00AF2027" w:rsidRPr="00B04DC3" w:rsidTr="009207B2">
        <w:tc>
          <w:tcPr>
            <w:tcW w:w="5063" w:type="dxa"/>
            <w:tcBorders>
              <w:top w:val="nil"/>
              <w:left w:val="nil"/>
              <w:bottom w:val="nil"/>
            </w:tcBorders>
            <w:shd w:val="clear" w:color="auto" w:fill="auto"/>
            <w:vAlign w:val="center"/>
          </w:tcPr>
          <w:p w:rsidR="00AF2027" w:rsidRPr="00B04DC3" w:rsidRDefault="00AF2027" w:rsidP="00D3766B">
            <w:pPr>
              <w:keepNext/>
              <w:keepLines/>
              <w:spacing w:before="80" w:after="80" w:line="200" w:lineRule="exact"/>
              <w:ind w:left="1985"/>
              <w:jc w:val="right"/>
              <w:rPr>
                <w:i/>
                <w:sz w:val="16"/>
                <w:szCs w:val="16"/>
              </w:rPr>
            </w:pPr>
          </w:p>
        </w:tc>
        <w:tc>
          <w:tcPr>
            <w:tcW w:w="911" w:type="dxa"/>
            <w:vMerge w:val="restart"/>
            <w:shd w:val="clear" w:color="auto" w:fill="auto"/>
          </w:tcPr>
          <w:p w:rsidR="00AF2027" w:rsidRPr="00B04DC3" w:rsidRDefault="00AF2027" w:rsidP="00D3766B">
            <w:pPr>
              <w:keepNext/>
              <w:keepLines/>
              <w:spacing w:before="80" w:after="80" w:line="200" w:lineRule="exact"/>
              <w:ind w:left="97"/>
              <w:rPr>
                <w:i/>
                <w:sz w:val="16"/>
                <w:szCs w:val="16"/>
              </w:rPr>
            </w:pPr>
            <w:r w:rsidRPr="00B04DC3">
              <w:rPr>
                <w:i/>
                <w:sz w:val="16"/>
                <w:szCs w:val="16"/>
              </w:rPr>
              <w:t>Diesel</w:t>
            </w:r>
          </w:p>
        </w:tc>
        <w:tc>
          <w:tcPr>
            <w:tcW w:w="1400" w:type="dxa"/>
            <w:gridSpan w:val="2"/>
            <w:shd w:val="clear" w:color="auto" w:fill="auto"/>
            <w:vAlign w:val="center"/>
          </w:tcPr>
          <w:p w:rsidR="00AF2027" w:rsidRPr="00B04DC3" w:rsidRDefault="00AF2027" w:rsidP="00D3766B">
            <w:pPr>
              <w:keepNext/>
              <w:keepLines/>
              <w:spacing w:before="80" w:after="80" w:line="200" w:lineRule="exact"/>
              <w:ind w:left="196"/>
              <w:rPr>
                <w:i/>
                <w:sz w:val="16"/>
                <w:szCs w:val="16"/>
              </w:rPr>
            </w:pPr>
            <w:r w:rsidRPr="00B04DC3">
              <w:rPr>
                <w:i/>
                <w:sz w:val="16"/>
                <w:szCs w:val="16"/>
              </w:rPr>
              <w:t>Gas</w:t>
            </w:r>
          </w:p>
        </w:tc>
      </w:tr>
      <w:tr w:rsidR="00AF2027" w:rsidRPr="00B04DC3" w:rsidTr="00835BFE">
        <w:tc>
          <w:tcPr>
            <w:tcW w:w="5063" w:type="dxa"/>
            <w:tcBorders>
              <w:top w:val="nil"/>
              <w:left w:val="nil"/>
              <w:bottom w:val="single" w:sz="12" w:space="0" w:color="auto"/>
            </w:tcBorders>
            <w:shd w:val="clear" w:color="auto" w:fill="auto"/>
            <w:vAlign w:val="center"/>
          </w:tcPr>
          <w:p w:rsidR="00AF2027" w:rsidRPr="00B04DC3" w:rsidRDefault="00AF2027" w:rsidP="00D3766B">
            <w:pPr>
              <w:keepNext/>
              <w:keepLines/>
              <w:spacing w:before="80" w:after="80" w:line="200" w:lineRule="exact"/>
              <w:ind w:left="1985"/>
              <w:jc w:val="right"/>
              <w:rPr>
                <w:i/>
                <w:sz w:val="16"/>
                <w:szCs w:val="16"/>
              </w:rPr>
            </w:pPr>
          </w:p>
        </w:tc>
        <w:tc>
          <w:tcPr>
            <w:tcW w:w="911" w:type="dxa"/>
            <w:vMerge/>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1985"/>
              <w:rPr>
                <w:i/>
                <w:sz w:val="16"/>
                <w:szCs w:val="16"/>
              </w:rPr>
            </w:pPr>
          </w:p>
        </w:tc>
        <w:tc>
          <w:tcPr>
            <w:tcW w:w="697" w:type="dxa"/>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95"/>
              <w:rPr>
                <w:i/>
                <w:sz w:val="16"/>
                <w:szCs w:val="16"/>
              </w:rPr>
            </w:pPr>
            <w:r w:rsidRPr="00B04DC3">
              <w:rPr>
                <w:i/>
                <w:sz w:val="16"/>
                <w:szCs w:val="16"/>
              </w:rPr>
              <w:t>NG</w:t>
            </w:r>
          </w:p>
        </w:tc>
        <w:tc>
          <w:tcPr>
            <w:tcW w:w="703" w:type="dxa"/>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93"/>
              <w:jc w:val="both"/>
              <w:rPr>
                <w:i/>
                <w:sz w:val="16"/>
                <w:szCs w:val="16"/>
              </w:rPr>
            </w:pPr>
            <w:r w:rsidRPr="00B04DC3">
              <w:rPr>
                <w:i/>
                <w:sz w:val="16"/>
                <w:szCs w:val="16"/>
              </w:rPr>
              <w:t>LPG</w:t>
            </w:r>
          </w:p>
        </w:tc>
      </w:tr>
      <w:tr w:rsidR="00AF2027" w:rsidRPr="00B04DC3" w:rsidTr="00835BFE">
        <w:tc>
          <w:tcPr>
            <w:tcW w:w="5063" w:type="dxa"/>
            <w:tcBorders>
              <w:top w:val="single" w:sz="12" w:space="0" w:color="auto"/>
            </w:tcBorders>
            <w:shd w:val="clear" w:color="auto" w:fill="auto"/>
            <w:vAlign w:val="center"/>
          </w:tcPr>
          <w:p w:rsidR="00AF2027" w:rsidRPr="00B04DC3" w:rsidRDefault="00AF2027" w:rsidP="00D3766B">
            <w:pPr>
              <w:keepNext/>
              <w:keepLines/>
              <w:spacing w:before="40" w:after="80" w:line="240" w:lineRule="exact"/>
              <w:ind w:left="566" w:hanging="566"/>
              <w:jc w:val="both"/>
            </w:pPr>
            <w:r w:rsidRPr="00B04DC3">
              <w:t>(a)</w:t>
            </w:r>
            <w:r w:rsidRPr="00B04DC3">
              <w:tab/>
              <w:t>The low fuel level considered for such a disablement shall not exceed 100 litres or 20 per cent of the nominal capacity of the fuel tank, whichever is lower.</w:t>
            </w:r>
          </w:p>
        </w:tc>
        <w:tc>
          <w:tcPr>
            <w:tcW w:w="911" w:type="dxa"/>
            <w:tcBorders>
              <w:top w:val="single" w:sz="12" w:space="0" w:color="auto"/>
            </w:tcBorders>
            <w:shd w:val="clear" w:color="auto" w:fill="auto"/>
            <w:vAlign w:val="center"/>
          </w:tcPr>
          <w:p w:rsidR="00AF2027" w:rsidRPr="00B04DC3" w:rsidRDefault="00AF2027" w:rsidP="00D3766B">
            <w:pPr>
              <w:keepNext/>
              <w:keepLines/>
              <w:spacing w:before="80" w:after="80" w:line="200" w:lineRule="exact"/>
              <w:ind w:left="97"/>
              <w:jc w:val="center"/>
              <w:rPr>
                <w:sz w:val="16"/>
                <w:szCs w:val="16"/>
              </w:rPr>
            </w:pPr>
            <w:r w:rsidRPr="00B04DC3">
              <w:rPr>
                <w:sz w:val="16"/>
                <w:szCs w:val="16"/>
              </w:rPr>
              <w:t>X</w:t>
            </w:r>
          </w:p>
        </w:tc>
        <w:tc>
          <w:tcPr>
            <w:tcW w:w="697" w:type="dxa"/>
            <w:tcBorders>
              <w:top w:val="single" w:sz="12" w:space="0" w:color="auto"/>
            </w:tcBorders>
            <w:shd w:val="clear" w:color="auto" w:fill="auto"/>
            <w:vAlign w:val="center"/>
          </w:tcPr>
          <w:p w:rsidR="00AF2027" w:rsidRPr="00B04DC3" w:rsidRDefault="00AF2027" w:rsidP="00D3766B">
            <w:pPr>
              <w:keepNext/>
              <w:keepLines/>
              <w:spacing w:before="80" w:after="80" w:line="200" w:lineRule="exact"/>
              <w:ind w:left="97"/>
              <w:jc w:val="center"/>
              <w:rPr>
                <w:sz w:val="16"/>
                <w:szCs w:val="16"/>
              </w:rPr>
            </w:pPr>
          </w:p>
        </w:tc>
        <w:tc>
          <w:tcPr>
            <w:tcW w:w="703" w:type="dxa"/>
            <w:tcBorders>
              <w:top w:val="single" w:sz="12" w:space="0" w:color="auto"/>
            </w:tcBorders>
            <w:shd w:val="clear" w:color="auto" w:fill="auto"/>
            <w:vAlign w:val="center"/>
          </w:tcPr>
          <w:p w:rsidR="00AF2027" w:rsidRPr="00B04DC3" w:rsidRDefault="00AF2027" w:rsidP="00D3766B">
            <w:pPr>
              <w:keepNext/>
              <w:keepLines/>
              <w:spacing w:before="80" w:after="80" w:line="200" w:lineRule="exact"/>
              <w:ind w:left="97"/>
              <w:jc w:val="center"/>
              <w:rPr>
                <w:sz w:val="16"/>
                <w:szCs w:val="16"/>
              </w:rPr>
            </w:pPr>
            <w:r w:rsidRPr="00B04DC3">
              <w:rPr>
                <w:sz w:val="16"/>
                <w:szCs w:val="16"/>
              </w:rPr>
              <w:t>X</w:t>
            </w:r>
          </w:p>
        </w:tc>
      </w:tr>
      <w:tr w:rsidR="00AF2027" w:rsidRPr="00B04DC3" w:rsidTr="00835BFE">
        <w:tc>
          <w:tcPr>
            <w:tcW w:w="5063" w:type="dxa"/>
            <w:tcBorders>
              <w:bottom w:val="single" w:sz="12" w:space="0" w:color="auto"/>
            </w:tcBorders>
            <w:shd w:val="clear" w:color="auto" w:fill="auto"/>
            <w:vAlign w:val="center"/>
          </w:tcPr>
          <w:p w:rsidR="00AF2027" w:rsidRPr="00B04DC3" w:rsidRDefault="00AF2027" w:rsidP="00D3766B">
            <w:pPr>
              <w:keepNext/>
              <w:keepLines/>
              <w:spacing w:before="40" w:after="80" w:line="240" w:lineRule="exact"/>
              <w:ind w:left="566" w:hanging="566"/>
              <w:jc w:val="both"/>
            </w:pPr>
            <w:r w:rsidRPr="00B04DC3">
              <w:t>(b)</w:t>
            </w:r>
            <w:r w:rsidRPr="00B04DC3">
              <w:tab/>
            </w:r>
            <w:r w:rsidR="00051DFF" w:rsidRPr="00B04DC3">
              <w:t>The low fuel pressure in the tank considered for such a disablement shall not exceed 20 per cent of the usable range of fuel tank pressure.</w:t>
            </w:r>
            <w:r w:rsidR="00051DFF" w:rsidRPr="00B04DC3">
              <w:tab/>
            </w:r>
          </w:p>
        </w:tc>
        <w:tc>
          <w:tcPr>
            <w:tcW w:w="911" w:type="dxa"/>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97"/>
              <w:rPr>
                <w:sz w:val="16"/>
                <w:szCs w:val="16"/>
              </w:rPr>
            </w:pPr>
          </w:p>
        </w:tc>
        <w:tc>
          <w:tcPr>
            <w:tcW w:w="697" w:type="dxa"/>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97"/>
              <w:rPr>
                <w:sz w:val="16"/>
                <w:szCs w:val="16"/>
              </w:rPr>
            </w:pPr>
            <w:r w:rsidRPr="00B04DC3">
              <w:rPr>
                <w:sz w:val="16"/>
                <w:szCs w:val="16"/>
              </w:rPr>
              <w:t>X</w:t>
            </w:r>
          </w:p>
        </w:tc>
        <w:tc>
          <w:tcPr>
            <w:tcW w:w="703" w:type="dxa"/>
            <w:tcBorders>
              <w:bottom w:val="single" w:sz="12" w:space="0" w:color="auto"/>
            </w:tcBorders>
            <w:shd w:val="clear" w:color="auto" w:fill="auto"/>
            <w:vAlign w:val="center"/>
          </w:tcPr>
          <w:p w:rsidR="00AF2027" w:rsidRPr="00B04DC3" w:rsidRDefault="00AF2027" w:rsidP="00D3766B">
            <w:pPr>
              <w:keepNext/>
              <w:keepLines/>
              <w:spacing w:before="80" w:after="80" w:line="200" w:lineRule="exact"/>
              <w:ind w:left="97"/>
              <w:rPr>
                <w:sz w:val="16"/>
                <w:szCs w:val="16"/>
              </w:rPr>
            </w:pPr>
          </w:p>
        </w:tc>
      </w:tr>
    </w:tbl>
    <w:p w:rsidR="00AF2027" w:rsidRPr="00B04DC3" w:rsidRDefault="00AF2027" w:rsidP="00AF2027">
      <w:pPr>
        <w:pStyle w:val="para"/>
        <w:spacing w:before="240"/>
        <w:rPr>
          <w:lang w:val="en-GB"/>
        </w:rPr>
      </w:pPr>
      <w:bookmarkStart w:id="984" w:name="_Toc118223059"/>
      <w:r w:rsidRPr="00B04DC3">
        <w:rPr>
          <w:lang w:val="en-GB"/>
        </w:rPr>
        <w:t>5.2.4.</w:t>
      </w:r>
      <w:r w:rsidRPr="00B04DC3">
        <w:rPr>
          <w:lang w:val="en-GB"/>
        </w:rPr>
        <w:tab/>
        <w:t>Vehicle battery or system voltage levels</w:t>
      </w:r>
      <w:bookmarkEnd w:id="984"/>
    </w:p>
    <w:p w:rsidR="00AF2027" w:rsidRPr="00B04DC3" w:rsidRDefault="00AF2027" w:rsidP="00AF2027">
      <w:pPr>
        <w:pStyle w:val="para"/>
        <w:rPr>
          <w:lang w:val="en-GB"/>
        </w:rPr>
      </w:pPr>
      <w:r w:rsidRPr="00B04DC3">
        <w:rPr>
          <w:lang w:val="en-GB"/>
        </w:rPr>
        <w:tab/>
        <w:t>Manufacturers may request approval to disable monitoring systems that can be affected by vehicle battery or system voltage levels.</w:t>
      </w:r>
    </w:p>
    <w:p w:rsidR="00AF2027" w:rsidRPr="00B04DC3" w:rsidRDefault="00AF2027" w:rsidP="00AF2027">
      <w:pPr>
        <w:pStyle w:val="para"/>
        <w:rPr>
          <w:lang w:val="en-GB"/>
        </w:rPr>
      </w:pPr>
      <w:bookmarkStart w:id="985" w:name="_Toc118223060"/>
      <w:r w:rsidRPr="00B04DC3">
        <w:rPr>
          <w:lang w:val="en-GB"/>
        </w:rPr>
        <w:t>5.2.4.1.</w:t>
      </w:r>
      <w:r w:rsidRPr="00B04DC3">
        <w:rPr>
          <w:lang w:val="en-GB"/>
        </w:rPr>
        <w:tab/>
        <w:t>Low voltage</w:t>
      </w:r>
      <w:bookmarkEnd w:id="985"/>
    </w:p>
    <w:p w:rsidR="00AF2027" w:rsidRPr="00B04DC3" w:rsidRDefault="00AF2027" w:rsidP="00AF2027">
      <w:pPr>
        <w:pStyle w:val="para"/>
        <w:rPr>
          <w:lang w:val="en-GB"/>
        </w:rPr>
      </w:pPr>
      <w:r w:rsidRPr="00B04DC3">
        <w:rPr>
          <w:lang w:val="en-GB"/>
        </w:rPr>
        <w:tab/>
        <w:t>For monitoring systems affected by low vehicle battery or system voltages, manufacturers may request approval to disable monitoring systems when the battery or system voltage is below 90 per cent of the nominal voltage (or 11.0 volts for a 12 volt battery, 22.0 volts for a 24 volt battery). Manufacturers may request approval to utilize a voltage threshold higher than this value to disable system monitoring.</w:t>
      </w:r>
    </w:p>
    <w:p w:rsidR="00AF2027" w:rsidRPr="00B04DC3" w:rsidRDefault="00AF2027" w:rsidP="00AF2027">
      <w:pPr>
        <w:pStyle w:val="para"/>
        <w:rPr>
          <w:lang w:val="en-GB"/>
        </w:rPr>
      </w:pPr>
      <w:r w:rsidRPr="00B04DC3">
        <w:rPr>
          <w:lang w:val="en-GB"/>
        </w:rPr>
        <w:tab/>
        <w:t>The manufacturer shall demonstrate that monitoring at the voltages would be unreliable and that either operation of a vehicle below the disablement criteria for extended periods of time is unlikely or the OBD system monitors the battery or system voltage and will detect a malfunction at the voltage used to disable other monitors.</w:t>
      </w:r>
    </w:p>
    <w:p w:rsidR="00AF2027" w:rsidRPr="00B04DC3" w:rsidRDefault="00AF2027" w:rsidP="00AF2027">
      <w:pPr>
        <w:pStyle w:val="para"/>
        <w:rPr>
          <w:lang w:val="en-GB"/>
        </w:rPr>
      </w:pPr>
      <w:bookmarkStart w:id="986" w:name="_Toc118223061"/>
      <w:r w:rsidRPr="00B04DC3">
        <w:rPr>
          <w:lang w:val="en-GB"/>
        </w:rPr>
        <w:t>5.2.4.2.</w:t>
      </w:r>
      <w:r w:rsidRPr="00B04DC3">
        <w:rPr>
          <w:lang w:val="en-GB"/>
        </w:rPr>
        <w:tab/>
        <w:t>High voltage</w:t>
      </w:r>
      <w:bookmarkEnd w:id="986"/>
    </w:p>
    <w:p w:rsidR="00AF2027" w:rsidRPr="00B04DC3" w:rsidRDefault="00AF2027" w:rsidP="00016F2E">
      <w:pPr>
        <w:pStyle w:val="para"/>
        <w:spacing w:after="80"/>
        <w:rPr>
          <w:spacing w:val="-4"/>
          <w:lang w:val="en-GB"/>
        </w:rPr>
      </w:pPr>
      <w:r w:rsidRPr="00B04DC3">
        <w:rPr>
          <w:spacing w:val="-4"/>
          <w:lang w:val="en-GB"/>
        </w:rPr>
        <w:tab/>
        <w:t>For emission related monitoring systems affected by high vehicle battery or system voltages, manufacturers may request approval to disable monitoring systems when the battery or system voltage exceeds a manufacturer-defined voltage.</w:t>
      </w:r>
    </w:p>
    <w:p w:rsidR="00AF2027" w:rsidRPr="00B04DC3" w:rsidRDefault="00AF2027" w:rsidP="00AF2027">
      <w:pPr>
        <w:pStyle w:val="para"/>
        <w:rPr>
          <w:lang w:val="en-GB"/>
        </w:rPr>
      </w:pPr>
      <w:r w:rsidRPr="00B04DC3">
        <w:rPr>
          <w:lang w:val="en-GB"/>
        </w:rPr>
        <w:tab/>
        <w:t>The manufacturer shall demonstrate that monitoring above the manufacturer-defined voltage would be unreliable and that either the electrical charging system/alternator warning light is illuminated (or voltage gauge is in the "red zone") or the OBD system monitors the battery or system voltage and will detect a malfunction at the voltage used to disable other monitors.</w:t>
      </w:r>
    </w:p>
    <w:p w:rsidR="00AF2027" w:rsidRPr="00B04DC3" w:rsidRDefault="00AF2027" w:rsidP="00AF2027">
      <w:pPr>
        <w:pStyle w:val="para"/>
        <w:rPr>
          <w:lang w:val="en-GB"/>
        </w:rPr>
      </w:pPr>
      <w:bookmarkStart w:id="987" w:name="_Toc118223062"/>
      <w:r w:rsidRPr="00B04DC3">
        <w:rPr>
          <w:lang w:val="en-GB"/>
        </w:rPr>
        <w:t>5.2.5.</w:t>
      </w:r>
      <w:r w:rsidRPr="00B04DC3">
        <w:rPr>
          <w:lang w:val="en-GB"/>
        </w:rPr>
        <w:tab/>
        <w:t xml:space="preserve">Active </w:t>
      </w:r>
      <w:r w:rsidR="008D2DD3">
        <w:rPr>
          <w:lang w:val="en-GB"/>
        </w:rPr>
        <w:t>P</w:t>
      </w:r>
      <w:r w:rsidR="008D2DD3" w:rsidRPr="00B04DC3">
        <w:rPr>
          <w:lang w:val="en-GB"/>
        </w:rPr>
        <w:t xml:space="preserve">ower </w:t>
      </w:r>
      <w:r w:rsidR="008D2DD3">
        <w:rPr>
          <w:lang w:val="en-GB"/>
        </w:rPr>
        <w:t>T</w:t>
      </w:r>
      <w:r w:rsidR="008D2DD3" w:rsidRPr="00B04DC3">
        <w:rPr>
          <w:lang w:val="en-GB"/>
        </w:rPr>
        <w:t>ake-</w:t>
      </w:r>
      <w:r w:rsidR="008D2DD3">
        <w:rPr>
          <w:lang w:val="en-GB"/>
        </w:rPr>
        <w:t>O</w:t>
      </w:r>
      <w:r w:rsidR="008D2DD3" w:rsidRPr="00B04DC3">
        <w:rPr>
          <w:lang w:val="en-GB"/>
        </w:rPr>
        <w:t xml:space="preserve">ff units </w:t>
      </w:r>
      <w:r w:rsidR="008D2DD3">
        <w:rPr>
          <w:lang w:val="en-GB"/>
        </w:rPr>
        <w:t>(</w:t>
      </w:r>
      <w:r w:rsidRPr="00B04DC3">
        <w:rPr>
          <w:lang w:val="en-GB"/>
        </w:rPr>
        <w:t>PTO)</w:t>
      </w:r>
      <w:bookmarkEnd w:id="987"/>
    </w:p>
    <w:p w:rsidR="00AF2027" w:rsidRPr="00B04DC3" w:rsidRDefault="00AF2027" w:rsidP="00016F2E">
      <w:pPr>
        <w:pStyle w:val="para"/>
        <w:spacing w:after="80"/>
        <w:rPr>
          <w:lang w:val="en-GB"/>
        </w:rPr>
      </w:pPr>
      <w:r w:rsidRPr="00B04DC3">
        <w:rPr>
          <w:lang w:val="en-GB"/>
        </w:rPr>
        <w:tab/>
        <w:t>The manufacturer may request approval to temporarily disable affected monitoring systems in vehicles equipped with a PTO unit, under the condition where that PTO unit is temporarily active.</w:t>
      </w:r>
    </w:p>
    <w:p w:rsidR="00AF2027" w:rsidRPr="00B04DC3" w:rsidRDefault="00AF2027" w:rsidP="00AF2027">
      <w:pPr>
        <w:pStyle w:val="para"/>
        <w:rPr>
          <w:lang w:val="en-GB"/>
        </w:rPr>
      </w:pPr>
      <w:bookmarkStart w:id="988" w:name="_Toc113764762"/>
      <w:bookmarkStart w:id="989" w:name="_Toc118223063"/>
      <w:r w:rsidRPr="00B04DC3">
        <w:rPr>
          <w:lang w:val="en-GB"/>
        </w:rPr>
        <w:t>5.2.6.</w:t>
      </w:r>
      <w:r w:rsidRPr="00B04DC3">
        <w:rPr>
          <w:lang w:val="en-GB"/>
        </w:rPr>
        <w:tab/>
        <w:t>Forced regeneration</w:t>
      </w:r>
      <w:bookmarkEnd w:id="988"/>
      <w:bookmarkEnd w:id="989"/>
    </w:p>
    <w:p w:rsidR="00AF2027" w:rsidRPr="00B04DC3" w:rsidRDefault="00AF2027" w:rsidP="00AF2027">
      <w:pPr>
        <w:pStyle w:val="para"/>
        <w:rPr>
          <w:lang w:val="en-GB"/>
        </w:rPr>
      </w:pPr>
      <w:r w:rsidRPr="00B04DC3">
        <w:rPr>
          <w:lang w:val="en-GB"/>
        </w:rPr>
        <w:tab/>
        <w:t>The manufacturer may request approval to disable the affected OBD monitoring systems during the forced regeneration of an emission control system downstream of the engine (e.g. a particulate filter).</w:t>
      </w:r>
    </w:p>
    <w:p w:rsidR="00AF2027" w:rsidRPr="00B04DC3" w:rsidRDefault="00AF2027" w:rsidP="00AF2027">
      <w:pPr>
        <w:pStyle w:val="para"/>
        <w:rPr>
          <w:lang w:val="en-GB"/>
        </w:rPr>
      </w:pPr>
      <w:bookmarkStart w:id="990" w:name="_Toc118223064"/>
      <w:r w:rsidRPr="00B04DC3">
        <w:rPr>
          <w:lang w:val="en-GB"/>
        </w:rPr>
        <w:t>5.2.7.</w:t>
      </w:r>
      <w:r w:rsidRPr="00B04DC3">
        <w:rPr>
          <w:lang w:val="en-GB"/>
        </w:rPr>
        <w:tab/>
      </w:r>
      <w:r w:rsidR="008D2DD3">
        <w:rPr>
          <w:lang w:val="en-GB"/>
        </w:rPr>
        <w:t>A</w:t>
      </w:r>
      <w:r w:rsidR="004F5EA5">
        <w:rPr>
          <w:lang w:val="en-GB"/>
        </w:rPr>
        <w:t xml:space="preserve">uxiliary </w:t>
      </w:r>
      <w:r w:rsidR="00083D2B">
        <w:rPr>
          <w:lang w:val="en-GB"/>
        </w:rPr>
        <w:t>e</w:t>
      </w:r>
      <w:r w:rsidR="004F5EA5">
        <w:rPr>
          <w:lang w:val="en-GB"/>
        </w:rPr>
        <w:t>mission Control Strategy (</w:t>
      </w:r>
      <w:r w:rsidRPr="00B04DC3">
        <w:rPr>
          <w:lang w:val="en-GB"/>
        </w:rPr>
        <w:t>ACS</w:t>
      </w:r>
      <w:bookmarkEnd w:id="990"/>
      <w:r w:rsidR="004F5EA5">
        <w:rPr>
          <w:lang w:val="en-GB"/>
        </w:rPr>
        <w:t>)</w:t>
      </w:r>
    </w:p>
    <w:p w:rsidR="00AF2027" w:rsidRPr="00B04DC3" w:rsidRDefault="00AF2027" w:rsidP="00016F2E">
      <w:pPr>
        <w:pStyle w:val="para"/>
        <w:spacing w:after="80"/>
        <w:rPr>
          <w:lang w:val="en-GB"/>
        </w:rPr>
      </w:pPr>
      <w:r w:rsidRPr="00B04DC3">
        <w:rPr>
          <w:lang w:val="en-GB"/>
        </w:rPr>
        <w:tab/>
        <w:t xml:space="preserve">The manufacturer may request approval to disable OBD system monitors during the operation of an ACS, including MECS, under conditions not already covered in paragraph 5.2. </w:t>
      </w:r>
      <w:r w:rsidR="004F5EA5">
        <w:rPr>
          <w:lang w:val="en-GB"/>
        </w:rPr>
        <w:t xml:space="preserve">above </w:t>
      </w:r>
      <w:r w:rsidRPr="00B04DC3">
        <w:rPr>
          <w:lang w:val="en-GB"/>
        </w:rPr>
        <w:t>if the monitoring capability of a monitor is af</w:t>
      </w:r>
      <w:r w:rsidR="006223A9">
        <w:rPr>
          <w:lang w:val="en-GB"/>
        </w:rPr>
        <w:t>fected by the operation of an AC</w:t>
      </w:r>
      <w:r w:rsidRPr="00B04DC3">
        <w:rPr>
          <w:lang w:val="en-GB"/>
        </w:rPr>
        <w:t>S.</w:t>
      </w:r>
    </w:p>
    <w:p w:rsidR="00AF2027" w:rsidRPr="00B04DC3" w:rsidRDefault="00AF2027" w:rsidP="00AF2027">
      <w:pPr>
        <w:pStyle w:val="para"/>
        <w:rPr>
          <w:lang w:val="en-GB"/>
        </w:rPr>
      </w:pPr>
      <w:r w:rsidRPr="00B04DC3">
        <w:rPr>
          <w:lang w:val="en-GB"/>
        </w:rPr>
        <w:t>5.2.8.</w:t>
      </w:r>
      <w:r w:rsidRPr="00B04DC3">
        <w:rPr>
          <w:lang w:val="en-GB"/>
        </w:rPr>
        <w:tab/>
        <w:t>Re-fuelling</w:t>
      </w:r>
    </w:p>
    <w:p w:rsidR="00AF2027" w:rsidRPr="00B04DC3" w:rsidRDefault="00AF2027" w:rsidP="00016F2E">
      <w:pPr>
        <w:pStyle w:val="para"/>
        <w:spacing w:after="80"/>
        <w:rPr>
          <w:iCs/>
          <w:lang w:val="en-GB"/>
        </w:rPr>
      </w:pPr>
      <w:r w:rsidRPr="00B04DC3">
        <w:rPr>
          <w:iCs/>
          <w:lang w:val="en-GB"/>
        </w:rPr>
        <w:tab/>
        <w:t>After a refuelling, the manufacturer of a gaseous-fuelled vehicle may temporarily disable the OBD system when the system has to adapt to the recognition by the ECU of a change in the fuel quality and composition.</w:t>
      </w:r>
    </w:p>
    <w:p w:rsidR="00AF2027" w:rsidRPr="00B04DC3" w:rsidRDefault="00AF2027" w:rsidP="00016F2E">
      <w:pPr>
        <w:pStyle w:val="para"/>
        <w:spacing w:after="80"/>
        <w:rPr>
          <w:iCs/>
          <w:lang w:val="en-GB"/>
        </w:rPr>
      </w:pPr>
      <w:r w:rsidRPr="00B04DC3">
        <w:rPr>
          <w:iCs/>
          <w:lang w:val="en-GB"/>
        </w:rPr>
        <w:tab/>
        <w:t>The OBD system shall be re-enabled as soon as the new fuel is recognized and the engine parameters are readjusted. This disablement shall be limited to a maximum of 10 minutes.</w:t>
      </w:r>
    </w:p>
    <w:p w:rsidR="00AF2027" w:rsidRPr="00B04DC3" w:rsidRDefault="00AF2027" w:rsidP="00AF2027">
      <w:pPr>
        <w:pStyle w:val="para"/>
        <w:rPr>
          <w:i/>
          <w:iCs/>
          <w:sz w:val="24"/>
          <w:lang w:val="en-GB"/>
        </w:rPr>
      </w:pPr>
      <w:r w:rsidRPr="00B04DC3">
        <w:rPr>
          <w:lang w:val="en-GB"/>
        </w:rPr>
        <w:t>6.</w:t>
      </w:r>
      <w:r w:rsidRPr="00B04DC3">
        <w:rPr>
          <w:lang w:val="en-GB"/>
        </w:rPr>
        <w:tab/>
        <w:t>Demonstration requirements</w:t>
      </w:r>
      <w:bookmarkEnd w:id="981"/>
    </w:p>
    <w:p w:rsidR="00AF2027" w:rsidRPr="00B04DC3" w:rsidRDefault="00AF2027" w:rsidP="00AF2027">
      <w:pPr>
        <w:pStyle w:val="para"/>
        <w:rPr>
          <w:lang w:val="en-GB"/>
        </w:rPr>
      </w:pPr>
      <w:r w:rsidRPr="00B04DC3">
        <w:rPr>
          <w:lang w:val="en-GB"/>
        </w:rPr>
        <w:tab/>
        <w:t>The basic elements for demonstrating the compliance of an OBD system with the requirements of this annex are as follows:</w:t>
      </w:r>
    </w:p>
    <w:p w:rsidR="00AF2027" w:rsidRPr="00B04DC3" w:rsidRDefault="00AF2027" w:rsidP="00AF2027">
      <w:pPr>
        <w:pStyle w:val="a"/>
        <w:rPr>
          <w:lang w:val="en-GB"/>
        </w:rPr>
      </w:pPr>
      <w:r w:rsidRPr="00B04DC3">
        <w:rPr>
          <w:lang w:val="en-GB"/>
        </w:rPr>
        <w:t>(a)</w:t>
      </w:r>
      <w:r w:rsidRPr="00B04DC3">
        <w:rPr>
          <w:lang w:val="en-GB"/>
        </w:rPr>
        <w:tab/>
        <w:t xml:space="preserve">Procedure for selecting the OBD-parent engine system. The OBD-parent engine system is selected by the manufacturer in agreement with the </w:t>
      </w:r>
      <w:r w:rsidR="00835BFE">
        <w:rPr>
          <w:spacing w:val="-4"/>
          <w:lang w:val="en-GB"/>
        </w:rPr>
        <w:t xml:space="preserve">Type </w:t>
      </w:r>
      <w:r w:rsidRPr="00B04DC3">
        <w:rPr>
          <w:lang w:val="en-GB"/>
        </w:rPr>
        <w:t>Approval Authority.</w:t>
      </w:r>
    </w:p>
    <w:p w:rsidR="00AF2027" w:rsidRPr="00B04DC3" w:rsidRDefault="00AF2027" w:rsidP="00AF2027">
      <w:pPr>
        <w:pStyle w:val="a"/>
        <w:rPr>
          <w:lang w:val="en-GB"/>
        </w:rPr>
      </w:pPr>
      <w:r w:rsidRPr="00B04DC3">
        <w:rPr>
          <w:lang w:val="en-GB"/>
        </w:rPr>
        <w:t>(b)</w:t>
      </w:r>
      <w:r w:rsidRPr="00B04DC3">
        <w:rPr>
          <w:lang w:val="en-GB"/>
        </w:rPr>
        <w:tab/>
        <w:t xml:space="preserve">Procedure for demonstrating the classification of a malfunction. The manufacturer submits to the </w:t>
      </w:r>
      <w:r w:rsidR="00835BFE">
        <w:rPr>
          <w:spacing w:val="-4"/>
          <w:lang w:val="en-GB"/>
        </w:rPr>
        <w:t xml:space="preserve">Type </w:t>
      </w:r>
      <w:r w:rsidRPr="00B04DC3">
        <w:rPr>
          <w:lang w:val="en-GB"/>
        </w:rPr>
        <w:t>Approval Authority the classification of each malfunction for that OBD-parent engine system and the necessary supporting data in order to justify each classification.</w:t>
      </w:r>
    </w:p>
    <w:p w:rsidR="00AF2027" w:rsidRPr="00B04DC3" w:rsidRDefault="00AF2027" w:rsidP="00AF2027">
      <w:pPr>
        <w:pStyle w:val="a"/>
        <w:rPr>
          <w:spacing w:val="-4"/>
          <w:lang w:val="en-GB"/>
        </w:rPr>
      </w:pPr>
      <w:r w:rsidRPr="00B04DC3">
        <w:rPr>
          <w:spacing w:val="-4"/>
          <w:lang w:val="en-GB"/>
        </w:rPr>
        <w:t>(c)</w:t>
      </w:r>
      <w:r w:rsidRPr="00B04DC3">
        <w:rPr>
          <w:spacing w:val="-4"/>
          <w:lang w:val="en-GB"/>
        </w:rPr>
        <w:tab/>
        <w:t xml:space="preserve">Procedure for qualifying a deteriorated component. The manufacturer shall provide, on request of the </w:t>
      </w:r>
      <w:r w:rsidR="00835BFE">
        <w:rPr>
          <w:spacing w:val="-4"/>
          <w:lang w:val="en-GB"/>
        </w:rPr>
        <w:t xml:space="preserve">Type </w:t>
      </w:r>
      <w:r w:rsidRPr="00B04DC3">
        <w:rPr>
          <w:spacing w:val="-4"/>
          <w:lang w:val="en-GB"/>
        </w:rPr>
        <w:t>Approval Authority, deteriorated components for OBD testing purposes. These components are qualified on the basis of supporting data provided by the manufacturer.</w:t>
      </w:r>
    </w:p>
    <w:p w:rsidR="00AF2027" w:rsidRPr="00B04DC3" w:rsidRDefault="00AF2027" w:rsidP="00AF2027">
      <w:pPr>
        <w:pStyle w:val="a"/>
        <w:rPr>
          <w:lang w:val="en-GB"/>
        </w:rPr>
      </w:pPr>
      <w:r w:rsidRPr="00B04DC3">
        <w:rPr>
          <w:lang w:val="en-GB"/>
        </w:rPr>
        <w:t>(d)</w:t>
      </w:r>
      <w:r w:rsidRPr="00B04DC3">
        <w:rPr>
          <w:lang w:val="en-GB"/>
        </w:rPr>
        <w:tab/>
        <w:t>Procedure for selecting the reference fuel in case of a gas engine.</w:t>
      </w:r>
    </w:p>
    <w:p w:rsidR="00AF2027" w:rsidRPr="00B04DC3" w:rsidRDefault="00AF2027" w:rsidP="00AF2027">
      <w:pPr>
        <w:pStyle w:val="para"/>
        <w:rPr>
          <w:lang w:val="en-GB"/>
        </w:rPr>
      </w:pPr>
      <w:bookmarkStart w:id="991" w:name="_Toc118223066"/>
      <w:r w:rsidRPr="00B04DC3">
        <w:rPr>
          <w:lang w:val="en-GB"/>
        </w:rPr>
        <w:t>6.1.</w:t>
      </w:r>
      <w:r w:rsidRPr="00B04DC3">
        <w:rPr>
          <w:lang w:val="en-GB"/>
        </w:rPr>
        <w:tab/>
        <w:t>Emission-OBD family</w:t>
      </w:r>
      <w:bookmarkEnd w:id="991"/>
    </w:p>
    <w:p w:rsidR="00AF2027" w:rsidRPr="00B04DC3" w:rsidRDefault="00AF2027" w:rsidP="00AF2027">
      <w:pPr>
        <w:pStyle w:val="para"/>
        <w:rPr>
          <w:lang w:val="en-GB"/>
        </w:rPr>
      </w:pPr>
      <w:r w:rsidRPr="00B04DC3">
        <w:rPr>
          <w:lang w:val="en-GB"/>
        </w:rPr>
        <w:tab/>
        <w:t xml:space="preserve">The manufacturer is responsible for determining the composition of an emission-OBD family. Grouping engine systems within an emission-OBD family shall be based on good engineering judgement and be subject to approval by the </w:t>
      </w:r>
      <w:r w:rsidR="004F5EA5">
        <w:rPr>
          <w:lang w:val="en-GB"/>
        </w:rPr>
        <w:t xml:space="preserve">Type </w:t>
      </w:r>
      <w:r w:rsidRPr="00B04DC3">
        <w:rPr>
          <w:lang w:val="en-GB"/>
        </w:rPr>
        <w:t>Approval Authority.</w:t>
      </w:r>
    </w:p>
    <w:p w:rsidR="00AF2027" w:rsidRPr="00B04DC3" w:rsidRDefault="00AF2027" w:rsidP="00AF2027">
      <w:pPr>
        <w:pStyle w:val="para"/>
        <w:rPr>
          <w:lang w:val="en-GB"/>
        </w:rPr>
      </w:pPr>
      <w:r w:rsidRPr="00B04DC3">
        <w:rPr>
          <w:lang w:val="en-GB"/>
        </w:rPr>
        <w:tab/>
        <w:t>Engines that do not belong to the same engine family may still belong to the same emission-OBD family.</w:t>
      </w:r>
    </w:p>
    <w:p w:rsidR="00AF2027" w:rsidRPr="00B04DC3" w:rsidRDefault="00AF2027" w:rsidP="00AF2027">
      <w:pPr>
        <w:pStyle w:val="para"/>
        <w:rPr>
          <w:lang w:val="en-GB"/>
        </w:rPr>
      </w:pPr>
      <w:bookmarkStart w:id="992" w:name="_Ref117060664"/>
      <w:bookmarkStart w:id="993" w:name="_Toc118223067"/>
      <w:r w:rsidRPr="00B04DC3">
        <w:rPr>
          <w:lang w:val="en-GB"/>
        </w:rPr>
        <w:t>6.1.1.</w:t>
      </w:r>
      <w:r w:rsidRPr="00B04DC3">
        <w:rPr>
          <w:lang w:val="en-GB"/>
        </w:rPr>
        <w:tab/>
        <w:t>Parameters defining an emission-OBD family</w:t>
      </w:r>
      <w:bookmarkEnd w:id="992"/>
      <w:bookmarkEnd w:id="993"/>
    </w:p>
    <w:p w:rsidR="00AF2027" w:rsidRPr="00B04DC3" w:rsidRDefault="00AF2027" w:rsidP="00AF2027">
      <w:pPr>
        <w:pStyle w:val="para"/>
        <w:rPr>
          <w:lang w:val="en-GB"/>
        </w:rPr>
      </w:pPr>
      <w:r w:rsidRPr="00B04DC3">
        <w:rPr>
          <w:lang w:val="en-GB"/>
        </w:rPr>
        <w:tab/>
        <w:t>An emission-OBD family is characterised by basic design parameters that shall be common to engine systems within the family.</w:t>
      </w:r>
    </w:p>
    <w:p w:rsidR="00AF2027" w:rsidRPr="00B04DC3" w:rsidRDefault="00AF2027" w:rsidP="00AF2027">
      <w:pPr>
        <w:pStyle w:val="para"/>
        <w:rPr>
          <w:lang w:val="en-GB"/>
        </w:rPr>
      </w:pPr>
      <w:r w:rsidRPr="00B04DC3">
        <w:rPr>
          <w:lang w:val="en-GB"/>
        </w:rPr>
        <w:tab/>
        <w:t>In order that engine systems are considered to belong to the same OBD-engine family, the following list of basic parameters shall be similar:</w:t>
      </w:r>
    </w:p>
    <w:p w:rsidR="00AF2027" w:rsidRPr="00B04DC3" w:rsidRDefault="00AF2027" w:rsidP="00AF2027">
      <w:pPr>
        <w:pStyle w:val="a"/>
        <w:rPr>
          <w:lang w:val="en-GB"/>
        </w:rPr>
      </w:pPr>
      <w:r w:rsidRPr="00B04DC3">
        <w:rPr>
          <w:lang w:val="en-GB"/>
        </w:rPr>
        <w:t>(a)</w:t>
      </w:r>
      <w:r w:rsidRPr="00B04DC3">
        <w:rPr>
          <w:lang w:val="en-GB"/>
        </w:rPr>
        <w:tab/>
        <w:t>Emission control systems;</w:t>
      </w:r>
    </w:p>
    <w:p w:rsidR="00AF2027" w:rsidRPr="00B04DC3" w:rsidRDefault="00AF2027" w:rsidP="00AF2027">
      <w:pPr>
        <w:pStyle w:val="a"/>
        <w:rPr>
          <w:lang w:val="en-GB"/>
        </w:rPr>
      </w:pPr>
      <w:r w:rsidRPr="00B04DC3">
        <w:rPr>
          <w:lang w:val="en-GB"/>
        </w:rPr>
        <w:t>(b)</w:t>
      </w:r>
      <w:r w:rsidRPr="00B04DC3">
        <w:rPr>
          <w:lang w:val="en-GB"/>
        </w:rPr>
        <w:tab/>
        <w:t>Methods of OBD monitoring;</w:t>
      </w:r>
    </w:p>
    <w:p w:rsidR="00AF2027" w:rsidRPr="00B04DC3" w:rsidRDefault="00AF2027" w:rsidP="00AF2027">
      <w:pPr>
        <w:pStyle w:val="a"/>
        <w:rPr>
          <w:lang w:val="en-GB"/>
        </w:rPr>
      </w:pPr>
      <w:r w:rsidRPr="00B04DC3">
        <w:rPr>
          <w:lang w:val="en-GB"/>
        </w:rPr>
        <w:t>(c)</w:t>
      </w:r>
      <w:r w:rsidRPr="00B04DC3">
        <w:rPr>
          <w:lang w:val="en-GB"/>
        </w:rPr>
        <w:tab/>
        <w:t>Criteria for performance and component monitoring;</w:t>
      </w:r>
    </w:p>
    <w:p w:rsidR="00AF2027" w:rsidRPr="00B04DC3" w:rsidRDefault="00AF2027" w:rsidP="00AF2027">
      <w:pPr>
        <w:pStyle w:val="a"/>
        <w:rPr>
          <w:lang w:val="en-GB"/>
        </w:rPr>
      </w:pPr>
      <w:r w:rsidRPr="00B04DC3">
        <w:rPr>
          <w:lang w:val="en-GB"/>
        </w:rPr>
        <w:t>(d)</w:t>
      </w:r>
      <w:r w:rsidRPr="00B04DC3">
        <w:rPr>
          <w:lang w:val="en-GB"/>
        </w:rPr>
        <w:tab/>
        <w:t>Monitoring parameters (e.g. frequency).</w:t>
      </w:r>
    </w:p>
    <w:p w:rsidR="00AF2027" w:rsidRPr="00B04DC3" w:rsidRDefault="00AF2027" w:rsidP="00AF2027">
      <w:pPr>
        <w:pStyle w:val="para"/>
        <w:rPr>
          <w:lang w:val="en-GB"/>
        </w:rPr>
      </w:pPr>
      <w:r w:rsidRPr="00B04DC3">
        <w:rPr>
          <w:lang w:val="en-GB"/>
        </w:rPr>
        <w:tab/>
        <w:t xml:space="preserve">These similarities shall be demonstrated by the manufacturer by means of relevant engineering demonstration or other appropriate procedures and subject to the approval of the </w:t>
      </w:r>
      <w:r w:rsidR="00835BFE">
        <w:rPr>
          <w:iCs/>
          <w:lang w:val="en-GB"/>
        </w:rPr>
        <w:t xml:space="preserve">Type </w:t>
      </w:r>
      <w:r w:rsidR="00835BFE" w:rsidRPr="00B04DC3">
        <w:rPr>
          <w:iCs/>
          <w:lang w:val="en-GB"/>
        </w:rPr>
        <w:t>Approval Authority</w:t>
      </w:r>
      <w:r w:rsidRPr="00B04DC3">
        <w:rPr>
          <w:lang w:val="en-GB"/>
        </w:rPr>
        <w:t>.</w:t>
      </w:r>
    </w:p>
    <w:p w:rsidR="00AF2027" w:rsidRPr="00B04DC3" w:rsidRDefault="00AF2027" w:rsidP="00AF2027">
      <w:pPr>
        <w:pStyle w:val="para"/>
        <w:rPr>
          <w:lang w:val="en-GB"/>
        </w:rPr>
      </w:pPr>
      <w:r w:rsidRPr="00B04DC3">
        <w:rPr>
          <w:lang w:val="en-GB"/>
        </w:rPr>
        <w:tab/>
        <w:t xml:space="preserve">The manufacturer may request approval by the </w:t>
      </w:r>
      <w:r w:rsidR="00835BFE">
        <w:rPr>
          <w:iCs/>
          <w:lang w:val="en-GB"/>
        </w:rPr>
        <w:t xml:space="preserve">Type </w:t>
      </w:r>
      <w:r w:rsidR="00835BFE" w:rsidRPr="00B04DC3">
        <w:rPr>
          <w:iCs/>
          <w:lang w:val="en-GB"/>
        </w:rPr>
        <w:t>Approval Authority</w:t>
      </w:r>
      <w:r w:rsidRPr="00B04DC3">
        <w:rPr>
          <w:lang w:val="en-GB"/>
        </w:rPr>
        <w:t xml:space="preserve"> of minor differences in the methods of monitoring/diagnosing the engine emission control system due to engine system configuration variation, when these methods are considered similar by the manufacturer and:</w:t>
      </w:r>
    </w:p>
    <w:p w:rsidR="00AF2027" w:rsidRPr="00B04DC3" w:rsidRDefault="00AF2027" w:rsidP="00AF2027">
      <w:pPr>
        <w:pStyle w:val="a"/>
        <w:rPr>
          <w:lang w:val="en-GB"/>
        </w:rPr>
      </w:pPr>
      <w:r w:rsidRPr="00B04DC3">
        <w:rPr>
          <w:lang w:val="en-GB"/>
        </w:rPr>
        <w:t>(a)</w:t>
      </w:r>
      <w:r w:rsidRPr="00B04DC3">
        <w:rPr>
          <w:lang w:val="en-GB"/>
        </w:rPr>
        <w:tab/>
        <w:t>They differ only to match specificities of the considered components (e.g. size, exhaust flow, etc.); or</w:t>
      </w:r>
    </w:p>
    <w:p w:rsidR="00AF2027" w:rsidRPr="00B04DC3" w:rsidRDefault="00AF2027" w:rsidP="00AF2027">
      <w:pPr>
        <w:pStyle w:val="a"/>
        <w:rPr>
          <w:lang w:val="en-GB"/>
        </w:rPr>
      </w:pPr>
      <w:r w:rsidRPr="00B04DC3">
        <w:rPr>
          <w:lang w:val="en-GB"/>
        </w:rPr>
        <w:t>(b)</w:t>
      </w:r>
      <w:r w:rsidRPr="00B04DC3">
        <w:rPr>
          <w:lang w:val="en-GB"/>
        </w:rPr>
        <w:tab/>
        <w:t>Their similarities are based on good engineering judgement.</w:t>
      </w:r>
    </w:p>
    <w:p w:rsidR="00AF2027" w:rsidRPr="00B04DC3" w:rsidRDefault="00AF2027" w:rsidP="00AF2027">
      <w:pPr>
        <w:pStyle w:val="para"/>
        <w:rPr>
          <w:lang w:val="en-GB"/>
        </w:rPr>
      </w:pPr>
      <w:bookmarkStart w:id="994" w:name="_Toc118223068"/>
      <w:r w:rsidRPr="00B04DC3">
        <w:rPr>
          <w:lang w:val="en-GB"/>
        </w:rPr>
        <w:t>6.1.2.</w:t>
      </w:r>
      <w:r w:rsidRPr="00B04DC3">
        <w:rPr>
          <w:lang w:val="en-GB"/>
        </w:rPr>
        <w:tab/>
        <w:t>OBD-parent engine system</w:t>
      </w:r>
      <w:bookmarkEnd w:id="994"/>
    </w:p>
    <w:p w:rsidR="00AF2027" w:rsidRPr="00B04DC3" w:rsidRDefault="00AF2027" w:rsidP="00AF2027">
      <w:pPr>
        <w:pStyle w:val="para"/>
        <w:rPr>
          <w:lang w:val="en-GB"/>
        </w:rPr>
      </w:pPr>
      <w:r w:rsidRPr="00B04DC3">
        <w:rPr>
          <w:lang w:val="en-GB"/>
        </w:rPr>
        <w:tab/>
        <w:t>Compliance of an emission-OBD family with the requirements of this annex is achieved by demonstrating the compliance of the OBD-parent engine system of this family.</w:t>
      </w:r>
    </w:p>
    <w:p w:rsidR="00AF2027" w:rsidRPr="00B04DC3" w:rsidRDefault="00AF2027" w:rsidP="00AF2027">
      <w:pPr>
        <w:pStyle w:val="para"/>
        <w:rPr>
          <w:lang w:val="en-GB"/>
        </w:rPr>
      </w:pPr>
      <w:r w:rsidRPr="00B04DC3">
        <w:rPr>
          <w:lang w:val="en-GB"/>
        </w:rPr>
        <w:tab/>
        <w:t xml:space="preserve">The selection of the OBD-parent engine system is made by the manufacturer and subject to the approval of the </w:t>
      </w:r>
      <w:r w:rsidR="00835BFE">
        <w:rPr>
          <w:iCs/>
          <w:lang w:val="en-GB"/>
        </w:rPr>
        <w:t xml:space="preserve">Type </w:t>
      </w:r>
      <w:r w:rsidR="00835BFE" w:rsidRPr="00B04DC3">
        <w:rPr>
          <w:iCs/>
          <w:lang w:val="en-GB"/>
        </w:rPr>
        <w:t>Approval Authority</w:t>
      </w:r>
      <w:r w:rsidRPr="00B04DC3">
        <w:rPr>
          <w:lang w:val="en-GB"/>
        </w:rPr>
        <w:t>.</w:t>
      </w:r>
    </w:p>
    <w:p w:rsidR="00AF2027" w:rsidRPr="00B04DC3" w:rsidRDefault="00AF2027" w:rsidP="00AF2027">
      <w:pPr>
        <w:pStyle w:val="para"/>
        <w:rPr>
          <w:lang w:val="en-GB"/>
        </w:rPr>
      </w:pPr>
      <w:r w:rsidRPr="00B04DC3">
        <w:rPr>
          <w:lang w:val="en-GB"/>
        </w:rPr>
        <w:tab/>
        <w:t xml:space="preserve">Prior to testing the </w:t>
      </w:r>
      <w:r w:rsidR="00835BFE">
        <w:rPr>
          <w:iCs/>
          <w:lang w:val="en-GB"/>
        </w:rPr>
        <w:t xml:space="preserve">Type </w:t>
      </w:r>
      <w:r w:rsidR="00835BFE" w:rsidRPr="00B04DC3">
        <w:rPr>
          <w:iCs/>
          <w:lang w:val="en-GB"/>
        </w:rPr>
        <w:t>Approval Authority</w:t>
      </w:r>
      <w:r w:rsidRPr="00B04DC3">
        <w:rPr>
          <w:lang w:val="en-GB"/>
        </w:rPr>
        <w:t xml:space="preserve"> may decide to request the manufacturer to select an additional engine for demonstration.</w:t>
      </w:r>
    </w:p>
    <w:p w:rsidR="00AF2027" w:rsidRPr="00B04DC3" w:rsidRDefault="00AF2027" w:rsidP="00AF2027">
      <w:pPr>
        <w:pStyle w:val="para"/>
        <w:rPr>
          <w:lang w:val="en-GB"/>
        </w:rPr>
      </w:pPr>
      <w:r w:rsidRPr="00B04DC3">
        <w:rPr>
          <w:lang w:val="en-GB"/>
        </w:rPr>
        <w:tab/>
        <w:t xml:space="preserve">The manufacturer may also propose to the </w:t>
      </w:r>
      <w:r w:rsidR="00835BFE">
        <w:rPr>
          <w:iCs/>
          <w:lang w:val="en-GB"/>
        </w:rPr>
        <w:t xml:space="preserve">Type </w:t>
      </w:r>
      <w:r w:rsidR="00835BFE" w:rsidRPr="00B04DC3">
        <w:rPr>
          <w:iCs/>
          <w:lang w:val="en-GB"/>
        </w:rPr>
        <w:t>Approval Authority</w:t>
      </w:r>
      <w:r w:rsidRPr="00B04DC3">
        <w:rPr>
          <w:lang w:val="en-GB"/>
        </w:rPr>
        <w:t xml:space="preserve"> to test additional engines to cover the complete emission-OBD family.</w:t>
      </w:r>
    </w:p>
    <w:p w:rsidR="00AF2027" w:rsidRPr="00B04DC3" w:rsidRDefault="00AF2027" w:rsidP="00AF2027">
      <w:pPr>
        <w:pStyle w:val="para"/>
        <w:rPr>
          <w:lang w:val="en-GB"/>
        </w:rPr>
      </w:pPr>
      <w:bookmarkStart w:id="995" w:name="_Ref117057381"/>
      <w:bookmarkStart w:id="996" w:name="_Toc118223069"/>
      <w:r w:rsidRPr="00B04DC3">
        <w:rPr>
          <w:lang w:val="en-GB"/>
        </w:rPr>
        <w:t>6.2.</w:t>
      </w:r>
      <w:r w:rsidRPr="00B04DC3">
        <w:rPr>
          <w:lang w:val="en-GB"/>
        </w:rPr>
        <w:tab/>
        <w:t>Procedures for demonstrating the malfunction classification</w:t>
      </w:r>
      <w:bookmarkEnd w:id="995"/>
      <w:bookmarkEnd w:id="996"/>
    </w:p>
    <w:p w:rsidR="00AF2027" w:rsidRPr="00B04DC3" w:rsidRDefault="00AF2027" w:rsidP="00AF2027">
      <w:pPr>
        <w:pStyle w:val="para"/>
        <w:rPr>
          <w:lang w:val="en-GB"/>
        </w:rPr>
      </w:pPr>
      <w:r w:rsidRPr="00B04DC3">
        <w:rPr>
          <w:lang w:val="en-GB"/>
        </w:rPr>
        <w:tab/>
        <w:t xml:space="preserve">The manufacturer shall provide the documentation justifying the proper classification of each malfunction to the </w:t>
      </w:r>
      <w:r w:rsidR="00835BFE">
        <w:rPr>
          <w:iCs/>
          <w:lang w:val="en-GB"/>
        </w:rPr>
        <w:t xml:space="preserve">Type </w:t>
      </w:r>
      <w:r w:rsidR="00835BFE" w:rsidRPr="00B04DC3">
        <w:rPr>
          <w:iCs/>
          <w:lang w:val="en-GB"/>
        </w:rPr>
        <w:t>Approval Authority</w:t>
      </w:r>
      <w:r w:rsidRPr="00B04DC3">
        <w:rPr>
          <w:lang w:val="en-GB"/>
        </w:rPr>
        <w:t>. This documentation shall include a failure analysis (for example elements of a "failure mode and effect analysis") and may also include:</w:t>
      </w:r>
    </w:p>
    <w:p w:rsidR="00AF2027" w:rsidRPr="00B04DC3" w:rsidRDefault="00AF2027" w:rsidP="00AF2027">
      <w:pPr>
        <w:pStyle w:val="a"/>
        <w:rPr>
          <w:lang w:val="en-GB"/>
        </w:rPr>
      </w:pPr>
      <w:r w:rsidRPr="00B04DC3">
        <w:rPr>
          <w:lang w:val="en-GB"/>
        </w:rPr>
        <w:t>(a)</w:t>
      </w:r>
      <w:r w:rsidRPr="00B04DC3">
        <w:rPr>
          <w:lang w:val="en-GB"/>
        </w:rPr>
        <w:tab/>
        <w:t>Simulation results;</w:t>
      </w:r>
    </w:p>
    <w:p w:rsidR="00AF2027" w:rsidRPr="00B04DC3" w:rsidRDefault="00AF2027" w:rsidP="00AF2027">
      <w:pPr>
        <w:pStyle w:val="a"/>
        <w:rPr>
          <w:lang w:val="en-GB"/>
        </w:rPr>
      </w:pPr>
      <w:r w:rsidRPr="00B04DC3">
        <w:rPr>
          <w:lang w:val="en-GB"/>
        </w:rPr>
        <w:t>(b)</w:t>
      </w:r>
      <w:r w:rsidRPr="00B04DC3">
        <w:rPr>
          <w:lang w:val="en-GB"/>
        </w:rPr>
        <w:tab/>
        <w:t>Test results;</w:t>
      </w:r>
    </w:p>
    <w:p w:rsidR="00AF2027" w:rsidRPr="00B04DC3" w:rsidRDefault="00AF2027" w:rsidP="00AF2027">
      <w:pPr>
        <w:pStyle w:val="a"/>
        <w:rPr>
          <w:lang w:val="en-GB"/>
        </w:rPr>
      </w:pPr>
      <w:r w:rsidRPr="00B04DC3">
        <w:rPr>
          <w:lang w:val="en-GB"/>
        </w:rPr>
        <w:t>(c)</w:t>
      </w:r>
      <w:r w:rsidRPr="00B04DC3">
        <w:rPr>
          <w:lang w:val="en-GB"/>
        </w:rPr>
        <w:tab/>
        <w:t>Reference to previously approved classification.</w:t>
      </w:r>
    </w:p>
    <w:p w:rsidR="00AF2027" w:rsidRPr="00B04DC3" w:rsidRDefault="00AF2027" w:rsidP="00AF2027">
      <w:pPr>
        <w:pStyle w:val="para"/>
        <w:rPr>
          <w:lang w:val="en-GB"/>
        </w:rPr>
      </w:pPr>
      <w:r w:rsidRPr="00B04DC3">
        <w:rPr>
          <w:lang w:val="en-GB"/>
        </w:rPr>
        <w:tab/>
        <w:t xml:space="preserve">In the following paragraphs the requirements for demonstrating the correct classification are listed, including requirements for testing. The minimum number of tests is four and the maximum number of tests is four times the number of engine families considered within the emission OBD family. The </w:t>
      </w:r>
      <w:r w:rsidR="00835BFE">
        <w:rPr>
          <w:iCs/>
          <w:lang w:val="en-GB"/>
        </w:rPr>
        <w:t xml:space="preserve">Type </w:t>
      </w:r>
      <w:r w:rsidR="00835BFE" w:rsidRPr="00B04DC3">
        <w:rPr>
          <w:iCs/>
          <w:lang w:val="en-GB"/>
        </w:rPr>
        <w:t>Approval Authority</w:t>
      </w:r>
      <w:r w:rsidRPr="00B04DC3">
        <w:rPr>
          <w:lang w:val="en-GB"/>
        </w:rPr>
        <w:t xml:space="preserve"> may decide to curtail the test at any time before this maximum number of failure tests has been reached.</w:t>
      </w:r>
    </w:p>
    <w:p w:rsidR="00AF2027" w:rsidRPr="00B04DC3" w:rsidRDefault="00AF2027" w:rsidP="00AF2027">
      <w:pPr>
        <w:pStyle w:val="para"/>
        <w:rPr>
          <w:iCs/>
          <w:lang w:val="en-GB"/>
        </w:rPr>
      </w:pPr>
      <w:r w:rsidRPr="00B04DC3">
        <w:rPr>
          <w:iCs/>
          <w:lang w:val="en-GB"/>
        </w:rPr>
        <w:tab/>
        <w:t xml:space="preserve">In specific cases where the classification testing is not possible (for example, if an MECS is activated and the engine cannot run the applicable test, etc.), the malfunction may be classified based on technical justification. This exception shall be documented by the manufacturer and is subject to the agreement of the </w:t>
      </w:r>
      <w:r w:rsidR="00835BFE">
        <w:rPr>
          <w:iCs/>
          <w:lang w:val="en-GB"/>
        </w:rPr>
        <w:t xml:space="preserve">Type </w:t>
      </w:r>
      <w:r w:rsidR="00835BFE" w:rsidRPr="00B04DC3">
        <w:rPr>
          <w:iCs/>
          <w:lang w:val="en-GB"/>
        </w:rPr>
        <w:t>Approval Authority</w:t>
      </w:r>
      <w:r w:rsidRPr="00B04DC3">
        <w:rPr>
          <w:iCs/>
          <w:lang w:val="en-GB"/>
        </w:rPr>
        <w:t>.</w:t>
      </w:r>
    </w:p>
    <w:p w:rsidR="00AF2027" w:rsidRPr="00B04DC3" w:rsidRDefault="00AF2027" w:rsidP="00AF2027">
      <w:pPr>
        <w:pStyle w:val="para"/>
        <w:rPr>
          <w:iCs/>
          <w:lang w:val="en-GB"/>
        </w:rPr>
      </w:pPr>
      <w:bookmarkStart w:id="997" w:name="_Ref117057325"/>
      <w:bookmarkStart w:id="998" w:name="_Toc118223070"/>
      <w:r w:rsidRPr="00B04DC3">
        <w:rPr>
          <w:iCs/>
          <w:lang w:val="en-GB"/>
        </w:rPr>
        <w:t>6.2.1.</w:t>
      </w:r>
      <w:r w:rsidRPr="00B04DC3">
        <w:rPr>
          <w:iCs/>
          <w:lang w:val="en-GB"/>
        </w:rPr>
        <w:tab/>
        <w:t>Demonstration of classification into A</w:t>
      </w:r>
      <w:bookmarkEnd w:id="997"/>
      <w:bookmarkEnd w:id="998"/>
    </w:p>
    <w:p w:rsidR="00AF2027" w:rsidRPr="00B04DC3" w:rsidRDefault="00AF2027" w:rsidP="00AF2027">
      <w:pPr>
        <w:pStyle w:val="para"/>
        <w:rPr>
          <w:iCs/>
          <w:lang w:val="en-GB"/>
        </w:rPr>
      </w:pPr>
      <w:r w:rsidRPr="00B04DC3">
        <w:rPr>
          <w:iCs/>
          <w:lang w:val="en-GB"/>
        </w:rPr>
        <w:tab/>
        <w:t>The classification by the manufacturer of a malfunction into Class A shall not be subject to a demonstration test.</w:t>
      </w:r>
    </w:p>
    <w:p w:rsidR="00AF2027" w:rsidRPr="00B04DC3" w:rsidRDefault="00AF2027" w:rsidP="00AF2027">
      <w:pPr>
        <w:pStyle w:val="para"/>
        <w:rPr>
          <w:iCs/>
          <w:lang w:val="en-GB"/>
        </w:rPr>
      </w:pPr>
      <w:r w:rsidRPr="00B04DC3">
        <w:rPr>
          <w:iCs/>
          <w:lang w:val="en-GB"/>
        </w:rPr>
        <w:tab/>
        <w:t xml:space="preserve">If the </w:t>
      </w:r>
      <w:r w:rsidR="00835BFE">
        <w:rPr>
          <w:iCs/>
          <w:lang w:val="en-GB"/>
        </w:rPr>
        <w:t xml:space="preserve">Type </w:t>
      </w:r>
      <w:r w:rsidR="00835BFE" w:rsidRPr="00B04DC3">
        <w:rPr>
          <w:iCs/>
          <w:lang w:val="en-GB"/>
        </w:rPr>
        <w:t>Approval Authority</w:t>
      </w:r>
      <w:r w:rsidRPr="00B04DC3">
        <w:rPr>
          <w:iCs/>
          <w:lang w:val="en-GB"/>
        </w:rPr>
        <w:t xml:space="preserve"> disagrees with a manufacturer's classification of a malfunction as Class A, the </w:t>
      </w:r>
      <w:r w:rsidR="00835BFE">
        <w:rPr>
          <w:iCs/>
          <w:lang w:val="en-GB"/>
        </w:rPr>
        <w:t xml:space="preserve">Type </w:t>
      </w:r>
      <w:r w:rsidR="00835BFE" w:rsidRPr="00B04DC3">
        <w:rPr>
          <w:iCs/>
          <w:lang w:val="en-GB"/>
        </w:rPr>
        <w:t>Approval Authority</w:t>
      </w:r>
      <w:r w:rsidRPr="00B04DC3">
        <w:rPr>
          <w:iCs/>
          <w:lang w:val="en-GB"/>
        </w:rPr>
        <w:t xml:space="preserve"> requires the classification of the malfunction into Class B1, B2 or C, as appropriate.</w:t>
      </w:r>
    </w:p>
    <w:p w:rsidR="00AF2027" w:rsidRPr="00B04DC3" w:rsidRDefault="00AF2027" w:rsidP="00AF2027">
      <w:pPr>
        <w:pStyle w:val="para"/>
        <w:rPr>
          <w:iCs/>
          <w:lang w:val="en-GB"/>
        </w:rPr>
      </w:pPr>
      <w:r w:rsidRPr="00B04DC3">
        <w:rPr>
          <w:iCs/>
          <w:lang w:val="en-GB"/>
        </w:rPr>
        <w:tab/>
        <w:t xml:space="preserve">In that case the approval document shall record that the malfunction classification has been assigned according to the request of the </w:t>
      </w:r>
      <w:r w:rsidR="00835BFE">
        <w:rPr>
          <w:iCs/>
          <w:lang w:val="en-GB"/>
        </w:rPr>
        <w:t xml:space="preserve">Type </w:t>
      </w:r>
      <w:r w:rsidRPr="00B04DC3">
        <w:rPr>
          <w:iCs/>
          <w:lang w:val="en-GB"/>
        </w:rPr>
        <w:t>Approval Authority.</w:t>
      </w:r>
    </w:p>
    <w:p w:rsidR="00AF2027" w:rsidRPr="00B04DC3" w:rsidRDefault="00AF2027" w:rsidP="00835BFE">
      <w:pPr>
        <w:pStyle w:val="para"/>
        <w:keepNext/>
        <w:keepLines/>
        <w:rPr>
          <w:iCs/>
          <w:lang w:val="en-GB"/>
        </w:rPr>
      </w:pPr>
      <w:bookmarkStart w:id="999" w:name="_Ref117057422"/>
      <w:bookmarkStart w:id="1000" w:name="_Ref117060510"/>
      <w:bookmarkStart w:id="1001" w:name="_Toc118223071"/>
      <w:r w:rsidRPr="00B04DC3">
        <w:rPr>
          <w:iCs/>
          <w:lang w:val="en-GB"/>
        </w:rPr>
        <w:t>6.2.2.</w:t>
      </w:r>
      <w:r w:rsidRPr="00B04DC3">
        <w:rPr>
          <w:iCs/>
          <w:lang w:val="en-GB"/>
        </w:rPr>
        <w:tab/>
        <w:t>Demonstration of classification into B1 (distinguishing between A and B1)</w:t>
      </w:r>
      <w:bookmarkEnd w:id="999"/>
      <w:bookmarkEnd w:id="1000"/>
      <w:bookmarkEnd w:id="1001"/>
    </w:p>
    <w:p w:rsidR="00AF2027" w:rsidRPr="00B04DC3" w:rsidRDefault="00AF2027" w:rsidP="00AF2027">
      <w:pPr>
        <w:pStyle w:val="para"/>
        <w:rPr>
          <w:iCs/>
          <w:lang w:val="en-GB"/>
        </w:rPr>
      </w:pPr>
      <w:r w:rsidRPr="00B04DC3">
        <w:rPr>
          <w:iCs/>
          <w:lang w:val="en-GB"/>
        </w:rPr>
        <w:tab/>
        <w:t>In order to justify the classification of a malfunction into Class B1 the documentation shall clearly demonstrate that, in some circumstances</w:t>
      </w:r>
      <w:r w:rsidRPr="00B04DC3">
        <w:rPr>
          <w:rStyle w:val="FootnoteReference"/>
          <w:bCs/>
          <w:iCs/>
          <w:sz w:val="20"/>
          <w:lang w:val="en-GB"/>
        </w:rPr>
        <w:footnoteReference w:id="50"/>
      </w:r>
      <w:r w:rsidRPr="00B04DC3">
        <w:rPr>
          <w:iCs/>
          <w:lang w:val="en-GB"/>
        </w:rPr>
        <w:t>, the malfunction results in emissions that are lower than the OTLs.</w:t>
      </w:r>
    </w:p>
    <w:p w:rsidR="00AF2027" w:rsidRPr="00B04DC3" w:rsidRDefault="00AF2027" w:rsidP="00AF2027">
      <w:pPr>
        <w:pStyle w:val="para"/>
        <w:rPr>
          <w:iCs/>
          <w:lang w:val="en-GB"/>
        </w:rPr>
      </w:pPr>
      <w:r w:rsidRPr="00B04DC3">
        <w:rPr>
          <w:iCs/>
          <w:lang w:val="en-GB"/>
        </w:rPr>
        <w:tab/>
        <w:t xml:space="preserve">In the case that the </w:t>
      </w:r>
      <w:r w:rsidR="00835BFE">
        <w:rPr>
          <w:spacing w:val="-4"/>
          <w:lang w:val="en-GB"/>
        </w:rPr>
        <w:t xml:space="preserve">Type </w:t>
      </w:r>
      <w:r w:rsidRPr="00B04DC3">
        <w:rPr>
          <w:iCs/>
          <w:lang w:val="en-GB"/>
        </w:rPr>
        <w:t>Approval Authority requires an emission test for demonstrating the classification of a malfunction into Class B1 the manufacturer shall demonstrate that the emissions due to that particular malfunction are, in selected circumstances, below the OTLs:</w:t>
      </w:r>
    </w:p>
    <w:p w:rsidR="00AF2027" w:rsidRPr="00B04DC3" w:rsidRDefault="00AF2027" w:rsidP="00AF2027">
      <w:pPr>
        <w:pStyle w:val="a"/>
        <w:rPr>
          <w:lang w:val="en-GB"/>
        </w:rPr>
      </w:pPr>
      <w:r w:rsidRPr="00B04DC3">
        <w:rPr>
          <w:lang w:val="en-GB"/>
        </w:rPr>
        <w:t>(a)</w:t>
      </w:r>
      <w:r w:rsidRPr="00B04DC3">
        <w:rPr>
          <w:lang w:val="en-GB"/>
        </w:rPr>
        <w:tab/>
        <w:t xml:space="preserve">The manufacturer selects the circumstances of the test in agreement with the </w:t>
      </w:r>
      <w:r w:rsidR="00835BFE">
        <w:rPr>
          <w:spacing w:val="-4"/>
          <w:lang w:val="en-GB"/>
        </w:rPr>
        <w:t xml:space="preserve">Type </w:t>
      </w:r>
      <w:r w:rsidRPr="00B04DC3">
        <w:rPr>
          <w:lang w:val="en-GB"/>
        </w:rPr>
        <w:t>Approval Authority;</w:t>
      </w:r>
    </w:p>
    <w:p w:rsidR="00AF2027" w:rsidRPr="00B04DC3" w:rsidRDefault="00AF2027" w:rsidP="00AF2027">
      <w:pPr>
        <w:pStyle w:val="a"/>
        <w:rPr>
          <w:lang w:val="en-GB"/>
        </w:rPr>
      </w:pPr>
      <w:r w:rsidRPr="00B04DC3">
        <w:rPr>
          <w:lang w:val="en-GB"/>
        </w:rPr>
        <w:t>(b)</w:t>
      </w:r>
      <w:r w:rsidRPr="00B04DC3">
        <w:rPr>
          <w:lang w:val="en-GB"/>
        </w:rPr>
        <w:tab/>
        <w:t>The manufacturer shall not be required to demonstrate that in other circumstances the emissions due to the malfunction are actually above the OTLs.</w:t>
      </w:r>
    </w:p>
    <w:p w:rsidR="00AF2027" w:rsidRPr="00B04DC3" w:rsidRDefault="00AF2027" w:rsidP="00AF2027">
      <w:pPr>
        <w:pStyle w:val="para"/>
        <w:rPr>
          <w:iCs/>
          <w:lang w:val="en-GB"/>
        </w:rPr>
      </w:pPr>
      <w:r w:rsidRPr="00B04DC3">
        <w:rPr>
          <w:iCs/>
          <w:lang w:val="en-GB"/>
        </w:rPr>
        <w:tab/>
        <w:t>If the manufacturer fails to demonstrate the classification as Class B1, the malfunction is classified as Class A.</w:t>
      </w:r>
    </w:p>
    <w:p w:rsidR="00AF2027" w:rsidRPr="00B04DC3" w:rsidRDefault="00AF2027" w:rsidP="00AF2027">
      <w:pPr>
        <w:pStyle w:val="para"/>
        <w:rPr>
          <w:iCs/>
          <w:lang w:val="en-GB"/>
        </w:rPr>
      </w:pPr>
      <w:r w:rsidRPr="00B04DC3">
        <w:rPr>
          <w:iCs/>
          <w:lang w:val="en-GB"/>
        </w:rPr>
        <w:t>6.2.3.</w:t>
      </w:r>
      <w:r w:rsidRPr="00B04DC3">
        <w:rPr>
          <w:iCs/>
          <w:lang w:val="en-GB"/>
        </w:rPr>
        <w:tab/>
      </w:r>
      <w:bookmarkStart w:id="1002" w:name="_Toc118223072"/>
      <w:r w:rsidRPr="00B04DC3">
        <w:rPr>
          <w:iCs/>
          <w:lang w:val="en-GB"/>
        </w:rPr>
        <w:t>Demonstration of classification into B1 (distinguishing between B2 and B1)</w:t>
      </w:r>
      <w:bookmarkEnd w:id="1002"/>
    </w:p>
    <w:p w:rsidR="00AF2027" w:rsidRPr="00B04DC3" w:rsidRDefault="00AF2027" w:rsidP="00AF2027">
      <w:pPr>
        <w:pStyle w:val="para"/>
        <w:rPr>
          <w:iCs/>
          <w:lang w:val="en-GB"/>
        </w:rPr>
      </w:pPr>
      <w:r w:rsidRPr="00B04DC3">
        <w:rPr>
          <w:iCs/>
          <w:lang w:val="en-GB"/>
        </w:rPr>
        <w:tab/>
        <w:t xml:space="preserve">If the </w:t>
      </w:r>
      <w:r w:rsidR="00835BFE">
        <w:rPr>
          <w:spacing w:val="-4"/>
          <w:lang w:val="en-GB"/>
        </w:rPr>
        <w:t xml:space="preserve">Type </w:t>
      </w:r>
      <w:r w:rsidRPr="00B04DC3">
        <w:rPr>
          <w:iCs/>
          <w:lang w:val="en-GB"/>
        </w:rPr>
        <w:t xml:space="preserve">Approval Authority disagrees with a manufacturer's classification of a malfunction as Class B1 because it considers that the OTLs are not exceeded, the </w:t>
      </w:r>
      <w:r w:rsidR="00835BFE">
        <w:rPr>
          <w:spacing w:val="-4"/>
          <w:lang w:val="en-GB"/>
        </w:rPr>
        <w:t xml:space="preserve">Type </w:t>
      </w:r>
      <w:r w:rsidRPr="00B04DC3">
        <w:rPr>
          <w:iCs/>
          <w:lang w:val="en-GB"/>
        </w:rPr>
        <w:t>Approval Authority requires the reclassification of that malfunction into Class B2 or C. In that case the approval documents shall record that the malfunction classification has been assigned according to the request of the</w:t>
      </w:r>
      <w:r w:rsidR="00835BFE" w:rsidRPr="00835BFE">
        <w:rPr>
          <w:spacing w:val="-4"/>
          <w:lang w:val="en-GB"/>
        </w:rPr>
        <w:t xml:space="preserve"> </w:t>
      </w:r>
      <w:r w:rsidR="00835BFE">
        <w:rPr>
          <w:spacing w:val="-4"/>
          <w:lang w:val="en-GB"/>
        </w:rPr>
        <w:t>Type</w:t>
      </w:r>
      <w:r w:rsidRPr="00B04DC3">
        <w:rPr>
          <w:iCs/>
          <w:lang w:val="en-GB"/>
        </w:rPr>
        <w:t xml:space="preserve"> Approval Authority.</w:t>
      </w:r>
    </w:p>
    <w:p w:rsidR="00AF2027" w:rsidRPr="00B04DC3" w:rsidRDefault="00AF2027" w:rsidP="00AF2027">
      <w:pPr>
        <w:pStyle w:val="para"/>
        <w:rPr>
          <w:iCs/>
          <w:lang w:val="en-GB"/>
        </w:rPr>
      </w:pPr>
      <w:bookmarkStart w:id="1003" w:name="_Toc118223073"/>
      <w:r w:rsidRPr="00B04DC3">
        <w:rPr>
          <w:iCs/>
          <w:lang w:val="en-GB"/>
        </w:rPr>
        <w:t>6.2.4.</w:t>
      </w:r>
      <w:r w:rsidRPr="00B04DC3">
        <w:rPr>
          <w:iCs/>
          <w:lang w:val="en-GB"/>
        </w:rPr>
        <w:tab/>
        <w:t>Demonstration of classification into B2 (distinguishing between B2 and B1)</w:t>
      </w:r>
      <w:bookmarkEnd w:id="1003"/>
    </w:p>
    <w:p w:rsidR="00AF2027" w:rsidRPr="00B04DC3" w:rsidRDefault="00AF2027" w:rsidP="00AF2027">
      <w:pPr>
        <w:pStyle w:val="para"/>
        <w:rPr>
          <w:iCs/>
          <w:lang w:val="en-GB"/>
        </w:rPr>
      </w:pPr>
      <w:r w:rsidRPr="00B04DC3">
        <w:rPr>
          <w:iCs/>
          <w:lang w:val="en-GB"/>
        </w:rPr>
        <w:tab/>
        <w:t>In order to justify the classification of a malfunction into Class B2 the manufacturer shall demonstrate that emissions are lower than the OTLs.</w:t>
      </w:r>
    </w:p>
    <w:p w:rsidR="00AF2027" w:rsidRPr="00B04DC3" w:rsidRDefault="00AF2027" w:rsidP="00AF2027">
      <w:pPr>
        <w:pStyle w:val="para"/>
        <w:rPr>
          <w:iCs/>
          <w:lang w:val="en-GB"/>
        </w:rPr>
      </w:pPr>
      <w:r w:rsidRPr="00B04DC3">
        <w:rPr>
          <w:iCs/>
          <w:lang w:val="en-GB"/>
        </w:rPr>
        <w:tab/>
        <w:t xml:space="preserve">In case the </w:t>
      </w:r>
      <w:r w:rsidR="00835BFE">
        <w:rPr>
          <w:spacing w:val="-4"/>
          <w:lang w:val="en-GB"/>
        </w:rPr>
        <w:t xml:space="preserve">Type </w:t>
      </w:r>
      <w:r w:rsidRPr="00B04DC3">
        <w:rPr>
          <w:iCs/>
          <w:lang w:val="en-GB"/>
        </w:rPr>
        <w:t xml:space="preserve">Approval Authority disagrees with the classification of a malfunction as Class B2 because it considers that the OTLs are exceeded, the manufacturer may be required to demonstrate by testing that the emissions due to the malfunction are below the OTLs. </w:t>
      </w:r>
    </w:p>
    <w:p w:rsidR="00AF2027" w:rsidRPr="00B04DC3" w:rsidRDefault="00AF2027" w:rsidP="00AF2027">
      <w:pPr>
        <w:pStyle w:val="para"/>
        <w:ind w:firstLine="0"/>
        <w:rPr>
          <w:iCs/>
          <w:lang w:val="en-GB"/>
        </w:rPr>
      </w:pPr>
      <w:r w:rsidRPr="00B04DC3">
        <w:rPr>
          <w:iCs/>
          <w:lang w:val="en-GB"/>
        </w:rPr>
        <w:t xml:space="preserve">If the test fails, then the </w:t>
      </w:r>
      <w:r w:rsidR="002F3FE3">
        <w:rPr>
          <w:lang w:val="en-GB"/>
        </w:rPr>
        <w:t xml:space="preserve">Type </w:t>
      </w:r>
      <w:r w:rsidRPr="00B04DC3">
        <w:rPr>
          <w:iCs/>
          <w:lang w:val="en-GB"/>
        </w:rPr>
        <w:t>Approval Authority shall require the reclassification of that malfunction into A or B1 and the manufacturer shall subsequently demonstrate the appropriate classification and the documentation shall be updated.</w:t>
      </w:r>
    </w:p>
    <w:p w:rsidR="00AF2027" w:rsidRPr="00B04DC3" w:rsidRDefault="00AF2027" w:rsidP="00D3766B">
      <w:pPr>
        <w:pStyle w:val="para"/>
        <w:keepNext/>
        <w:keepLines/>
        <w:rPr>
          <w:iCs/>
          <w:lang w:val="en-GB"/>
        </w:rPr>
      </w:pPr>
      <w:bookmarkStart w:id="1004" w:name="_Toc118223074"/>
      <w:r w:rsidRPr="00B04DC3">
        <w:rPr>
          <w:iCs/>
          <w:lang w:val="en-GB"/>
        </w:rPr>
        <w:t>6.2.5.</w:t>
      </w:r>
      <w:r w:rsidRPr="00B04DC3">
        <w:rPr>
          <w:iCs/>
          <w:lang w:val="en-GB"/>
        </w:rPr>
        <w:tab/>
        <w:t>Demonstration of classification into B2 (distinguishing between B2 and C)</w:t>
      </w:r>
      <w:bookmarkEnd w:id="1004"/>
    </w:p>
    <w:p w:rsidR="00AF2027" w:rsidRPr="00B04DC3" w:rsidRDefault="00AF2027" w:rsidP="00AF2027">
      <w:pPr>
        <w:pStyle w:val="para"/>
        <w:rPr>
          <w:iCs/>
          <w:lang w:val="en-GB"/>
        </w:rPr>
      </w:pPr>
      <w:r w:rsidRPr="00B04DC3">
        <w:rPr>
          <w:iCs/>
          <w:lang w:val="en-GB"/>
        </w:rPr>
        <w:tab/>
        <w:t xml:space="preserve">If the </w:t>
      </w:r>
      <w:r w:rsidR="00835BFE">
        <w:rPr>
          <w:spacing w:val="-4"/>
          <w:lang w:val="en-GB"/>
        </w:rPr>
        <w:t xml:space="preserve">Type </w:t>
      </w:r>
      <w:r w:rsidRPr="00B04DC3">
        <w:rPr>
          <w:iCs/>
          <w:lang w:val="en-GB"/>
        </w:rPr>
        <w:t xml:space="preserve">Approval Authority disagrees with a manufacturer's classification of a malfunction as Class B2 because it considers the regulated emission limits are not exceeded, the </w:t>
      </w:r>
      <w:r w:rsidR="00835BFE">
        <w:rPr>
          <w:spacing w:val="-4"/>
          <w:lang w:val="en-GB"/>
        </w:rPr>
        <w:t xml:space="preserve">Type </w:t>
      </w:r>
      <w:r w:rsidRPr="00B04DC3">
        <w:rPr>
          <w:iCs/>
          <w:lang w:val="en-GB"/>
        </w:rPr>
        <w:t xml:space="preserve">Approval Authority requires the reclassification of that malfunction into Class C. In that case the approval documents shall record that the malfunction classification has been assigned according to the request of the </w:t>
      </w:r>
      <w:r w:rsidR="00835BFE">
        <w:rPr>
          <w:spacing w:val="-4"/>
          <w:lang w:val="en-GB"/>
        </w:rPr>
        <w:t xml:space="preserve">Type </w:t>
      </w:r>
      <w:r w:rsidRPr="00B04DC3">
        <w:rPr>
          <w:iCs/>
          <w:lang w:val="en-GB"/>
        </w:rPr>
        <w:t>Approval Authority.</w:t>
      </w:r>
    </w:p>
    <w:p w:rsidR="00AF2027" w:rsidRPr="00B04DC3" w:rsidRDefault="00AF2027" w:rsidP="00DF4BB2">
      <w:pPr>
        <w:pStyle w:val="para"/>
        <w:keepNext/>
        <w:keepLines/>
        <w:rPr>
          <w:iCs/>
          <w:lang w:val="en-GB"/>
        </w:rPr>
      </w:pPr>
      <w:bookmarkStart w:id="1005" w:name="_Toc118223075"/>
      <w:r w:rsidRPr="00B04DC3">
        <w:rPr>
          <w:iCs/>
          <w:lang w:val="en-GB"/>
        </w:rPr>
        <w:t>6.2.6.</w:t>
      </w:r>
      <w:r w:rsidRPr="00B04DC3">
        <w:rPr>
          <w:iCs/>
          <w:lang w:val="en-GB"/>
        </w:rPr>
        <w:tab/>
        <w:t>Demonstration of classification into C</w:t>
      </w:r>
      <w:bookmarkEnd w:id="1005"/>
    </w:p>
    <w:p w:rsidR="00AF2027" w:rsidRPr="00B04DC3" w:rsidRDefault="00AF2027" w:rsidP="00AF2027">
      <w:pPr>
        <w:pStyle w:val="para"/>
        <w:rPr>
          <w:iCs/>
          <w:lang w:val="en-GB"/>
        </w:rPr>
      </w:pPr>
      <w:r w:rsidRPr="00B04DC3">
        <w:rPr>
          <w:iCs/>
          <w:lang w:val="en-GB"/>
        </w:rPr>
        <w:tab/>
        <w:t>In order to justify the classification of a malfunction into Class C the manufacturer shall demonstrate that emissions are lower than the regulated emission limits.</w:t>
      </w:r>
    </w:p>
    <w:p w:rsidR="00AF2027" w:rsidRPr="00B04DC3" w:rsidRDefault="00AF2027" w:rsidP="00AF2027">
      <w:pPr>
        <w:pStyle w:val="para"/>
        <w:rPr>
          <w:iCs/>
          <w:lang w:val="en-GB"/>
        </w:rPr>
      </w:pPr>
      <w:r w:rsidRPr="00B04DC3">
        <w:rPr>
          <w:iCs/>
          <w:lang w:val="en-GB"/>
        </w:rPr>
        <w:tab/>
        <w:t xml:space="preserve">In case the </w:t>
      </w:r>
      <w:r w:rsidR="00DF4BB2">
        <w:rPr>
          <w:spacing w:val="-4"/>
          <w:lang w:val="en-GB"/>
        </w:rPr>
        <w:t xml:space="preserve">Type </w:t>
      </w:r>
      <w:r w:rsidRPr="00B04DC3">
        <w:rPr>
          <w:iCs/>
          <w:lang w:val="en-GB"/>
        </w:rPr>
        <w:t>Approval Authority disagrees with the classification of a malfunction as Class C the manufacturer may be required to demonstrate by testing that the emissions due to the malfunction are below the regulated emission limits.</w:t>
      </w:r>
    </w:p>
    <w:p w:rsidR="00AF2027" w:rsidRPr="00B04DC3" w:rsidRDefault="00AF2027" w:rsidP="00AF2027">
      <w:pPr>
        <w:pStyle w:val="para"/>
        <w:rPr>
          <w:iCs/>
          <w:lang w:val="en-GB"/>
        </w:rPr>
      </w:pPr>
      <w:r w:rsidRPr="00B04DC3">
        <w:rPr>
          <w:iCs/>
          <w:lang w:val="en-GB"/>
        </w:rPr>
        <w:tab/>
        <w:t xml:space="preserve">If the test fails, then the </w:t>
      </w:r>
      <w:r w:rsidR="00DF4BB2">
        <w:rPr>
          <w:spacing w:val="-4"/>
          <w:lang w:val="en-GB"/>
        </w:rPr>
        <w:t xml:space="preserve">Type </w:t>
      </w:r>
      <w:r w:rsidRPr="00B04DC3">
        <w:rPr>
          <w:iCs/>
          <w:lang w:val="en-GB"/>
        </w:rPr>
        <w:t>Approval Authority shall request the reclassification of that malfunction and the manufacturer shall subsequently demonstrate the appropriate reclassification and the documentation shall be updated.</w:t>
      </w:r>
    </w:p>
    <w:p w:rsidR="00AF2027" w:rsidRPr="00B04DC3" w:rsidRDefault="00AF2027" w:rsidP="00AF2027">
      <w:pPr>
        <w:pStyle w:val="para"/>
        <w:rPr>
          <w:lang w:val="en-GB"/>
        </w:rPr>
      </w:pPr>
      <w:bookmarkStart w:id="1006" w:name="_Ref117058402"/>
      <w:bookmarkStart w:id="1007" w:name="_Toc118223076"/>
      <w:r w:rsidRPr="00B04DC3">
        <w:rPr>
          <w:lang w:val="en-GB"/>
        </w:rPr>
        <w:t>6.3.</w:t>
      </w:r>
      <w:r w:rsidRPr="00B04DC3">
        <w:rPr>
          <w:lang w:val="en-GB"/>
        </w:rPr>
        <w:tab/>
        <w:t>Procedures for demonstrating the OBD performance</w:t>
      </w:r>
      <w:bookmarkEnd w:id="1006"/>
      <w:bookmarkEnd w:id="1007"/>
    </w:p>
    <w:p w:rsidR="00AF2027" w:rsidRPr="00B04DC3" w:rsidRDefault="00AF2027" w:rsidP="00AF2027">
      <w:pPr>
        <w:pStyle w:val="para"/>
        <w:rPr>
          <w:lang w:val="en-GB"/>
        </w:rPr>
      </w:pPr>
      <w:r w:rsidRPr="00B04DC3">
        <w:rPr>
          <w:lang w:val="en-GB"/>
        </w:rPr>
        <w:tab/>
        <w:t xml:space="preserve">The manufacturer shall submit to the </w:t>
      </w:r>
      <w:r w:rsidR="00DF4BB2">
        <w:rPr>
          <w:spacing w:val="-4"/>
          <w:lang w:val="en-GB"/>
        </w:rPr>
        <w:t xml:space="preserve">Type </w:t>
      </w:r>
      <w:r w:rsidRPr="00B04DC3">
        <w:rPr>
          <w:lang w:val="en-GB"/>
        </w:rPr>
        <w:t>Approval Authority a complete documentation package justifying the compliance of the OBD system as regards its monitoring capability, which may include:</w:t>
      </w:r>
    </w:p>
    <w:p w:rsidR="00AF2027" w:rsidRPr="00B04DC3" w:rsidRDefault="00AF2027" w:rsidP="00AF2027">
      <w:pPr>
        <w:pStyle w:val="para"/>
        <w:rPr>
          <w:lang w:val="en-GB"/>
        </w:rPr>
      </w:pPr>
      <w:r w:rsidRPr="00B04DC3">
        <w:rPr>
          <w:lang w:val="en-GB"/>
        </w:rPr>
        <w:tab/>
        <w:t>(a)</w:t>
      </w:r>
      <w:r w:rsidRPr="00B04DC3">
        <w:rPr>
          <w:lang w:val="en-GB"/>
        </w:rPr>
        <w:tab/>
      </w:r>
      <w:r w:rsidRPr="00B04DC3">
        <w:rPr>
          <w:caps/>
          <w:lang w:val="en-GB"/>
        </w:rPr>
        <w:t>a</w:t>
      </w:r>
      <w:r w:rsidRPr="00B04DC3">
        <w:rPr>
          <w:lang w:val="en-GB"/>
        </w:rPr>
        <w:t>lgorithms and decision charts;</w:t>
      </w:r>
    </w:p>
    <w:p w:rsidR="00AF2027" w:rsidRPr="00B04DC3" w:rsidRDefault="00AF2027" w:rsidP="00AF2027">
      <w:pPr>
        <w:pStyle w:val="para"/>
        <w:rPr>
          <w:lang w:val="en-GB"/>
        </w:rPr>
      </w:pPr>
      <w:r w:rsidRPr="00B04DC3">
        <w:rPr>
          <w:lang w:val="en-GB"/>
        </w:rPr>
        <w:tab/>
        <w:t>(b)</w:t>
      </w:r>
      <w:r w:rsidRPr="00B04DC3">
        <w:rPr>
          <w:lang w:val="en-GB"/>
        </w:rPr>
        <w:tab/>
      </w:r>
      <w:r w:rsidRPr="00B04DC3">
        <w:rPr>
          <w:caps/>
          <w:lang w:val="en-GB"/>
        </w:rPr>
        <w:t>t</w:t>
      </w:r>
      <w:r w:rsidRPr="00B04DC3">
        <w:rPr>
          <w:lang w:val="en-GB"/>
        </w:rPr>
        <w:t>ests and/or simulation results;</w:t>
      </w:r>
    </w:p>
    <w:p w:rsidR="00AF2027" w:rsidRPr="00B04DC3" w:rsidRDefault="00AF2027" w:rsidP="00AF2027">
      <w:pPr>
        <w:pStyle w:val="para"/>
        <w:rPr>
          <w:lang w:val="en-GB"/>
        </w:rPr>
      </w:pPr>
      <w:r w:rsidRPr="00B04DC3">
        <w:rPr>
          <w:lang w:val="en-GB"/>
        </w:rPr>
        <w:tab/>
        <w:t>(c)</w:t>
      </w:r>
      <w:r w:rsidRPr="00B04DC3">
        <w:rPr>
          <w:lang w:val="en-GB"/>
        </w:rPr>
        <w:tab/>
      </w:r>
      <w:r w:rsidRPr="00B04DC3">
        <w:rPr>
          <w:caps/>
          <w:lang w:val="en-GB"/>
        </w:rPr>
        <w:t>r</w:t>
      </w:r>
      <w:r w:rsidRPr="00B04DC3">
        <w:rPr>
          <w:lang w:val="en-GB"/>
        </w:rPr>
        <w:t>eference to previously approved monitoring systems, etc.</w:t>
      </w:r>
    </w:p>
    <w:p w:rsidR="00AF2027" w:rsidRPr="00B04DC3" w:rsidRDefault="008E4C5C" w:rsidP="008E4C5C">
      <w:pPr>
        <w:pStyle w:val="para"/>
        <w:rPr>
          <w:lang w:val="en-GB"/>
        </w:rPr>
      </w:pPr>
      <w:r w:rsidRPr="00B04DC3">
        <w:rPr>
          <w:lang w:val="en-GB"/>
        </w:rPr>
        <w:tab/>
      </w:r>
      <w:r w:rsidRPr="00B04DC3">
        <w:rPr>
          <w:lang w:val="en-GB"/>
        </w:rPr>
        <w:tab/>
      </w:r>
      <w:r w:rsidR="00AF2027" w:rsidRPr="00B04DC3">
        <w:rPr>
          <w:lang w:val="en-GB"/>
        </w:rPr>
        <w:t>In the following paragraphs the requirements for demonstrating the OBD performance are listed, including requirements for testing. The number of tests shall be four times the number of engine families considered within the emission OBD family, but shall not be less than eight.</w:t>
      </w:r>
    </w:p>
    <w:p w:rsidR="00AF2027" w:rsidRPr="00B04DC3" w:rsidRDefault="00AF2027" w:rsidP="008E4C5C">
      <w:pPr>
        <w:pStyle w:val="para"/>
        <w:rPr>
          <w:lang w:val="en-GB"/>
        </w:rPr>
      </w:pPr>
      <w:r w:rsidRPr="00B04DC3">
        <w:rPr>
          <w:lang w:val="en-GB"/>
        </w:rPr>
        <w:tab/>
      </w:r>
      <w:r w:rsidRPr="00B04DC3">
        <w:rPr>
          <w:lang w:val="en-GB"/>
        </w:rPr>
        <w:tab/>
        <w:t>The monitors selected shall reflect the different types of monitors mentioned in paragraph 4.2.</w:t>
      </w:r>
      <w:r w:rsidR="00D8408B">
        <w:rPr>
          <w:lang w:val="en-GB"/>
        </w:rPr>
        <w:t xml:space="preserve"> of this annex</w:t>
      </w:r>
      <w:r w:rsidRPr="00B04DC3">
        <w:rPr>
          <w:lang w:val="en-GB"/>
        </w:rPr>
        <w:t xml:space="preserve"> (i.e. emission threshold monitoring, performance monitoring, total functional failure monitoring, or component monitoring) in a well balanced manner. The monitors selected shall also reflect the different items listed in Appendix 3 </w:t>
      </w:r>
      <w:r w:rsidR="00D8408B">
        <w:rPr>
          <w:lang w:val="en-GB"/>
        </w:rPr>
        <w:t>to</w:t>
      </w:r>
      <w:r w:rsidR="00D8408B" w:rsidRPr="00B04DC3">
        <w:rPr>
          <w:lang w:val="en-GB"/>
        </w:rPr>
        <w:t xml:space="preserve"> </w:t>
      </w:r>
      <w:r w:rsidRPr="00B04DC3">
        <w:rPr>
          <w:lang w:val="en-GB"/>
        </w:rPr>
        <w:t>this annex in a well balanced manner.</w:t>
      </w:r>
    </w:p>
    <w:p w:rsidR="00AF2027" w:rsidRPr="00B04DC3" w:rsidRDefault="00AF2027" w:rsidP="00AF2027">
      <w:pPr>
        <w:pStyle w:val="normal3ajfr"/>
        <w:spacing w:before="120" w:after="120"/>
        <w:ind w:left="2268" w:right="590" w:hanging="1134"/>
        <w:jc w:val="both"/>
        <w:rPr>
          <w:sz w:val="20"/>
        </w:rPr>
      </w:pPr>
      <w:bookmarkStart w:id="1008" w:name="_Toc118223077"/>
      <w:r w:rsidRPr="00B04DC3">
        <w:rPr>
          <w:sz w:val="20"/>
        </w:rPr>
        <w:t>6.3.1.</w:t>
      </w:r>
      <w:r w:rsidRPr="00B04DC3">
        <w:rPr>
          <w:sz w:val="20"/>
        </w:rPr>
        <w:tab/>
      </w:r>
      <w:r w:rsidRPr="00B04DC3">
        <w:rPr>
          <w:sz w:val="20"/>
        </w:rPr>
        <w:tab/>
        <w:t>Procedures for demonstrating the OBD performance by testing</w:t>
      </w:r>
      <w:bookmarkEnd w:id="1008"/>
    </w:p>
    <w:p w:rsidR="00AF2027" w:rsidRPr="00B04DC3" w:rsidRDefault="00AF2027" w:rsidP="00AF2027">
      <w:pPr>
        <w:pStyle w:val="para"/>
        <w:rPr>
          <w:lang w:val="en-GB"/>
        </w:rPr>
      </w:pPr>
      <w:r w:rsidRPr="00B04DC3">
        <w:rPr>
          <w:lang w:val="en-GB"/>
        </w:rPr>
        <w:tab/>
        <w:t>In addition to the supporting data referred to in paragraph 6.3.</w:t>
      </w:r>
      <w:r w:rsidR="00D8408B">
        <w:rPr>
          <w:lang w:val="en-GB"/>
        </w:rPr>
        <w:t xml:space="preserve"> above</w:t>
      </w:r>
      <w:r w:rsidRPr="00B04DC3">
        <w:rPr>
          <w:lang w:val="en-GB"/>
        </w:rPr>
        <w:t>, the manufacturer shall demonstrate the proper monitoring of specific emission control systems or components by testing them on an engine test-bed according to the test procedures specified in paragraph 7.2. of this annex.</w:t>
      </w:r>
    </w:p>
    <w:p w:rsidR="00AF2027" w:rsidRPr="00B04DC3" w:rsidRDefault="00AF2027" w:rsidP="00AF2027">
      <w:pPr>
        <w:pStyle w:val="para"/>
        <w:rPr>
          <w:lang w:val="en-GB"/>
        </w:rPr>
      </w:pPr>
      <w:r w:rsidRPr="00B04DC3">
        <w:rPr>
          <w:lang w:val="en-GB"/>
        </w:rPr>
        <w:tab/>
        <w:t>In that case, the manufacturer shall make available the qualified deteriorated components or the electrical device which would be used to simulate a malfunction.</w:t>
      </w:r>
    </w:p>
    <w:p w:rsidR="00AF2027" w:rsidRPr="00B04DC3" w:rsidRDefault="00AF2027" w:rsidP="00AF2027">
      <w:pPr>
        <w:pStyle w:val="para"/>
        <w:rPr>
          <w:lang w:val="en-GB"/>
        </w:rPr>
      </w:pPr>
      <w:r w:rsidRPr="00B04DC3">
        <w:rPr>
          <w:lang w:val="en-GB"/>
        </w:rPr>
        <w:tab/>
        <w:t>The proper detection of the malfunction by the OBD system and its proper response to that detection (cf. MI indication, DTC storage, etc.) shall be demonstrated according to paragraph 7.2.</w:t>
      </w:r>
      <w:r w:rsidR="00D8408B" w:rsidRPr="00D8408B">
        <w:rPr>
          <w:lang w:val="en-GB"/>
        </w:rPr>
        <w:t xml:space="preserve"> </w:t>
      </w:r>
      <w:r w:rsidR="00D8408B">
        <w:rPr>
          <w:lang w:val="en-GB"/>
        </w:rPr>
        <w:t>of this annex</w:t>
      </w:r>
    </w:p>
    <w:p w:rsidR="00AF2027" w:rsidRPr="00B04DC3" w:rsidRDefault="00AF2027" w:rsidP="00DF4BB2">
      <w:pPr>
        <w:pStyle w:val="para"/>
        <w:keepNext/>
        <w:keepLines/>
        <w:rPr>
          <w:lang w:val="en-GB"/>
        </w:rPr>
      </w:pPr>
      <w:r w:rsidRPr="00B04DC3">
        <w:rPr>
          <w:lang w:val="en-GB"/>
        </w:rPr>
        <w:t>6.3.2.</w:t>
      </w:r>
      <w:r w:rsidRPr="00B04DC3">
        <w:rPr>
          <w:lang w:val="en-GB"/>
        </w:rPr>
        <w:tab/>
        <w:t>Procedures for qualifying a deteriorated component (or system)</w:t>
      </w:r>
    </w:p>
    <w:p w:rsidR="00AF2027" w:rsidRPr="00B04DC3" w:rsidRDefault="00AF2027" w:rsidP="00AF2027">
      <w:pPr>
        <w:pStyle w:val="para"/>
        <w:rPr>
          <w:lang w:val="en-GB"/>
        </w:rPr>
      </w:pPr>
      <w:r w:rsidRPr="00B04DC3">
        <w:rPr>
          <w:lang w:val="en-GB"/>
        </w:rPr>
        <w:tab/>
        <w:t>This paragraph applies to the cases where the malfunction selected for an OBD demonstration test is monitored against tailpipe emissions</w:t>
      </w:r>
      <w:r w:rsidRPr="00B04DC3">
        <w:rPr>
          <w:rStyle w:val="FootnoteReference"/>
          <w:lang w:val="en-GB"/>
        </w:rPr>
        <w:footnoteReference w:id="51"/>
      </w:r>
      <w:r w:rsidRPr="00B04DC3">
        <w:rPr>
          <w:lang w:val="en-GB"/>
        </w:rPr>
        <w:t xml:space="preserve"> (emission threshold monitoring - see paragraph 4.2.</w:t>
      </w:r>
      <w:r w:rsidR="00D8408B" w:rsidRPr="00D8408B">
        <w:rPr>
          <w:lang w:val="en-GB"/>
        </w:rPr>
        <w:t xml:space="preserve"> </w:t>
      </w:r>
      <w:r w:rsidR="00D8408B">
        <w:rPr>
          <w:lang w:val="en-GB"/>
        </w:rPr>
        <w:t>of this annex</w:t>
      </w:r>
      <w:r w:rsidRPr="00B04DC3">
        <w:rPr>
          <w:lang w:val="en-GB"/>
        </w:rPr>
        <w:t>) and it is required that the manufacturer demonstrates, by an emission test, the qualification of that deteriorated component.</w:t>
      </w:r>
    </w:p>
    <w:p w:rsidR="00AF2027" w:rsidRPr="00B04DC3" w:rsidRDefault="00AF2027" w:rsidP="00AF2027">
      <w:pPr>
        <w:pStyle w:val="para"/>
        <w:rPr>
          <w:lang w:val="en-GB"/>
        </w:rPr>
      </w:pPr>
      <w:r w:rsidRPr="00B04DC3">
        <w:rPr>
          <w:lang w:val="en-GB"/>
        </w:rPr>
        <w:tab/>
        <w:t xml:space="preserve">In very specific cases the qualification of deteriorated components or systems by testing may not be possible (for example, if an MECS is activated and the engine cannot run the applicable test, etc.). In such cases, the deteriorated component shall be qualified without testing. This exception shall be documented by the manufacturer and is subject to the agreement of the </w:t>
      </w:r>
      <w:r w:rsidR="00DF4BB2">
        <w:rPr>
          <w:spacing w:val="-4"/>
          <w:lang w:val="en-GB"/>
        </w:rPr>
        <w:t xml:space="preserve">Type </w:t>
      </w:r>
      <w:r w:rsidRPr="00B04DC3">
        <w:rPr>
          <w:lang w:val="en-GB"/>
        </w:rPr>
        <w:t>Approval Authority.</w:t>
      </w:r>
    </w:p>
    <w:p w:rsidR="00A9113E" w:rsidRPr="00B04DC3" w:rsidRDefault="00A9113E" w:rsidP="00AF2027">
      <w:pPr>
        <w:pStyle w:val="para"/>
        <w:rPr>
          <w:lang w:val="en-GB"/>
        </w:rPr>
      </w:pPr>
      <w:bookmarkStart w:id="1009" w:name="_Toc118223079"/>
      <w:r w:rsidRPr="00B04DC3">
        <w:rPr>
          <w:lang w:val="en-GB"/>
        </w:rPr>
        <w:t>6.3.2.1.</w:t>
      </w:r>
      <w:r w:rsidRPr="00B04DC3">
        <w:rPr>
          <w:lang w:val="en-GB"/>
        </w:rPr>
        <w:tab/>
        <w:t>Procedure for qualifying a deteriorated component used to demonstrate the detection of classes A and B1 malfunctions</w:t>
      </w:r>
    </w:p>
    <w:bookmarkEnd w:id="1009"/>
    <w:p w:rsidR="00AF2027" w:rsidRPr="00B04DC3" w:rsidRDefault="00AF2027" w:rsidP="00AF2027">
      <w:pPr>
        <w:pStyle w:val="para"/>
        <w:rPr>
          <w:lang w:val="en-GB"/>
        </w:rPr>
      </w:pPr>
      <w:r w:rsidRPr="00B04DC3">
        <w:rPr>
          <w:lang w:val="en-GB"/>
        </w:rPr>
        <w:tab/>
        <w:t xml:space="preserve">In the case the malfunction selected by the </w:t>
      </w:r>
      <w:r w:rsidR="00DF4BB2">
        <w:rPr>
          <w:spacing w:val="-4"/>
          <w:lang w:val="en-GB"/>
        </w:rPr>
        <w:t xml:space="preserve">Type </w:t>
      </w:r>
      <w:r w:rsidRPr="00B04DC3">
        <w:rPr>
          <w:lang w:val="en-GB"/>
        </w:rPr>
        <w:t xml:space="preserve">Approval Authority results in tailpipe emissions that may exceed an OBD threshold limit, the manufacturer shall demonstrate by an emission test according to paragraph 7. </w:t>
      </w:r>
      <w:r w:rsidR="00D8408B">
        <w:rPr>
          <w:lang w:val="en-GB"/>
        </w:rPr>
        <w:t xml:space="preserve">of this annex </w:t>
      </w:r>
      <w:r w:rsidRPr="00B04DC3">
        <w:rPr>
          <w:lang w:val="en-GB"/>
        </w:rPr>
        <w:t>that the deteriorated component or device does not result in the relevant emission exceeding its OTL by more than 20 per cent.</w:t>
      </w:r>
    </w:p>
    <w:p w:rsidR="00A9113E" w:rsidRPr="00B04DC3" w:rsidRDefault="00A9113E" w:rsidP="00A9113E">
      <w:pPr>
        <w:spacing w:after="120"/>
        <w:ind w:left="2268" w:right="1134" w:hanging="1134"/>
        <w:jc w:val="both"/>
      </w:pPr>
      <w:bookmarkStart w:id="1010" w:name="_Toc118223080"/>
      <w:r w:rsidRPr="00B04DC3">
        <w:t>6.3.2.1.1.</w:t>
      </w:r>
      <w:r w:rsidRPr="00B04DC3">
        <w:tab/>
        <w:t>Emission threshold monitoring</w:t>
      </w:r>
    </w:p>
    <w:p w:rsidR="00A9113E" w:rsidRPr="00B04DC3" w:rsidRDefault="00A9113E" w:rsidP="00A9113E">
      <w:pPr>
        <w:spacing w:after="120"/>
        <w:ind w:left="2268" w:right="1134"/>
        <w:jc w:val="both"/>
      </w:pPr>
      <w:r w:rsidRPr="00B04DC3">
        <w:t xml:space="preserve">In the case the malfunction selected by the </w:t>
      </w:r>
      <w:r w:rsidR="00DF4BB2">
        <w:rPr>
          <w:spacing w:val="-4"/>
        </w:rPr>
        <w:t xml:space="preserve">Type </w:t>
      </w:r>
      <w:r w:rsidRPr="00B04DC3">
        <w:t xml:space="preserve">Approval Authority results in tailpipe emissions that may exceed an OBD threshold limit, the manufacturer shall demonstrate by an emission test according to paragraph 7. </w:t>
      </w:r>
      <w:r w:rsidR="00D8408B">
        <w:t xml:space="preserve">of this annex </w:t>
      </w:r>
      <w:r w:rsidRPr="00B04DC3">
        <w:t>that the deteriorated component or device does not result in the relevant emission exceeding its OTL by more than 20 per cent.</w:t>
      </w:r>
    </w:p>
    <w:p w:rsidR="00A9113E" w:rsidRPr="00B04DC3" w:rsidRDefault="00A9113E" w:rsidP="00A9113E">
      <w:pPr>
        <w:spacing w:after="120"/>
        <w:ind w:left="1134" w:right="1134"/>
        <w:jc w:val="both"/>
      </w:pPr>
      <w:r w:rsidRPr="00B04DC3">
        <w:t>6.3.2.1.2.</w:t>
      </w:r>
      <w:r w:rsidRPr="00B04DC3">
        <w:tab/>
        <w:t>Performance monitoring</w:t>
      </w:r>
    </w:p>
    <w:p w:rsidR="00A9113E" w:rsidRPr="00B04DC3" w:rsidRDefault="00A9113E" w:rsidP="00A9113E">
      <w:pPr>
        <w:spacing w:after="120"/>
        <w:ind w:left="2268" w:right="1134"/>
        <w:jc w:val="both"/>
      </w:pPr>
      <w:r w:rsidRPr="00B04DC3">
        <w:t xml:space="preserve">At the request of the manufacturer and with the agreement of the </w:t>
      </w:r>
      <w:r w:rsidR="006C5B0C">
        <w:t>T</w:t>
      </w:r>
      <w:r w:rsidR="006C5B0C" w:rsidRPr="00B04DC3">
        <w:t xml:space="preserve">ype </w:t>
      </w:r>
      <w:r w:rsidR="006C5B0C">
        <w:t>A</w:t>
      </w:r>
      <w:r w:rsidR="006C5B0C" w:rsidRPr="00B04DC3">
        <w:t xml:space="preserve">pproval </w:t>
      </w:r>
      <w:r w:rsidR="006C5B0C">
        <w:t>A</w:t>
      </w:r>
      <w:r w:rsidR="006C5B0C" w:rsidRPr="00B04DC3">
        <w:t>uthority</w:t>
      </w:r>
      <w:r w:rsidRPr="00B04DC3">
        <w:t>, in the case of performance monitoring, the OTL may be exceeded by more than 20 per cent. Such request shall be justified on a case by case basis.</w:t>
      </w:r>
    </w:p>
    <w:p w:rsidR="00A9113E" w:rsidRPr="00B04DC3" w:rsidRDefault="00A9113E" w:rsidP="00A9113E">
      <w:pPr>
        <w:spacing w:after="120"/>
        <w:ind w:left="1134" w:right="1134"/>
        <w:jc w:val="both"/>
      </w:pPr>
      <w:r w:rsidRPr="00B04DC3">
        <w:t>6.3.2.1.3.</w:t>
      </w:r>
      <w:r w:rsidRPr="00B04DC3">
        <w:tab/>
        <w:t>Component monitoring</w:t>
      </w:r>
    </w:p>
    <w:p w:rsidR="00A9113E" w:rsidRPr="00B04DC3" w:rsidRDefault="00A9113E" w:rsidP="00A9113E">
      <w:pPr>
        <w:pStyle w:val="para"/>
        <w:ind w:firstLine="0"/>
        <w:rPr>
          <w:lang w:val="en-GB"/>
        </w:rPr>
      </w:pPr>
      <w:r w:rsidRPr="00B04DC3">
        <w:rPr>
          <w:lang w:val="en-GB"/>
        </w:rPr>
        <w:t>In the case of component monitoring, a deteriorated component is qualified without reference to the OTL.</w:t>
      </w:r>
    </w:p>
    <w:p w:rsidR="00AF2027" w:rsidRPr="00B04DC3" w:rsidRDefault="00AF2027" w:rsidP="00454BF4">
      <w:pPr>
        <w:pStyle w:val="para"/>
        <w:rPr>
          <w:lang w:val="en-GB"/>
        </w:rPr>
      </w:pPr>
      <w:r w:rsidRPr="00B04DC3">
        <w:rPr>
          <w:lang w:val="en-GB"/>
        </w:rPr>
        <w:t>6.3.2.2.</w:t>
      </w:r>
      <w:r w:rsidRPr="00B04DC3">
        <w:rPr>
          <w:lang w:val="en-GB"/>
        </w:rPr>
        <w:tab/>
        <w:t>Qualification of deteriorated components used to demonstrate the detection of Class B2 malfunctions</w:t>
      </w:r>
      <w:bookmarkEnd w:id="1010"/>
    </w:p>
    <w:p w:rsidR="00AF2027" w:rsidRPr="00B04DC3" w:rsidRDefault="00AF2027" w:rsidP="00AF2027">
      <w:pPr>
        <w:pStyle w:val="para"/>
        <w:rPr>
          <w:lang w:val="en-GB"/>
        </w:rPr>
      </w:pPr>
      <w:r w:rsidRPr="00B04DC3">
        <w:rPr>
          <w:lang w:val="en-GB"/>
        </w:rPr>
        <w:tab/>
        <w:t xml:space="preserve">In the case of Class B2 malfunctions, and upon request of the </w:t>
      </w:r>
      <w:r w:rsidR="00454BF4">
        <w:rPr>
          <w:spacing w:val="-4"/>
          <w:lang w:val="en-GB"/>
        </w:rPr>
        <w:t xml:space="preserve">Type </w:t>
      </w:r>
      <w:r w:rsidRPr="00B04DC3">
        <w:rPr>
          <w:lang w:val="en-GB"/>
        </w:rPr>
        <w:t xml:space="preserve">Approval Authority, the manufacturer shall demonstrate by an emission test according to paragraph 7. </w:t>
      </w:r>
      <w:r w:rsidR="00D8408B">
        <w:rPr>
          <w:lang w:val="en-GB"/>
        </w:rPr>
        <w:t xml:space="preserve">of this annex </w:t>
      </w:r>
      <w:r w:rsidRPr="00B04DC3">
        <w:rPr>
          <w:lang w:val="en-GB"/>
        </w:rPr>
        <w:t>that the deteriorated component or device does not lead the relevant emission to exceed its applicable OTL.</w:t>
      </w:r>
    </w:p>
    <w:p w:rsidR="00AF2027" w:rsidRPr="00A00827" w:rsidRDefault="00AF2027" w:rsidP="00AF2027">
      <w:pPr>
        <w:pStyle w:val="para"/>
        <w:rPr>
          <w:lang w:val="en-GB"/>
        </w:rPr>
      </w:pPr>
      <w:bookmarkStart w:id="1011" w:name="_Toc118223081"/>
      <w:r w:rsidRPr="00A00827">
        <w:rPr>
          <w:lang w:val="en-GB"/>
        </w:rPr>
        <w:t>6.3.2.3.</w:t>
      </w:r>
      <w:r w:rsidRPr="00A00827">
        <w:rPr>
          <w:lang w:val="en-GB"/>
        </w:rPr>
        <w:tab/>
        <w:t>Qualification of deteriorated components used to demonstrate the detection of Class C malfunctions</w:t>
      </w:r>
      <w:bookmarkEnd w:id="1011"/>
    </w:p>
    <w:p w:rsidR="00AF2027" w:rsidRPr="00D95BAB" w:rsidRDefault="00AF2027" w:rsidP="00AF2027">
      <w:pPr>
        <w:pStyle w:val="para"/>
        <w:rPr>
          <w:lang w:val="en-GB"/>
        </w:rPr>
      </w:pPr>
      <w:r w:rsidRPr="00A00827">
        <w:rPr>
          <w:lang w:val="en-GB"/>
        </w:rPr>
        <w:tab/>
        <w:t xml:space="preserve">In the case of Class C malfunctions, and upon request of the </w:t>
      </w:r>
      <w:r w:rsidR="00454BF4" w:rsidRPr="00A00827">
        <w:rPr>
          <w:spacing w:val="-4"/>
          <w:lang w:val="en-GB"/>
        </w:rPr>
        <w:t xml:space="preserve">Type </w:t>
      </w:r>
      <w:r w:rsidRPr="00A00827">
        <w:rPr>
          <w:lang w:val="en-GB"/>
        </w:rPr>
        <w:t>Approval Authority, the manufacturer shall demonstrate by an emission test according to paragraph 7.</w:t>
      </w:r>
      <w:r w:rsidR="00D8408B" w:rsidRPr="00A00827">
        <w:rPr>
          <w:lang w:val="en-GB"/>
        </w:rPr>
        <w:t xml:space="preserve"> of this annex </w:t>
      </w:r>
      <w:r w:rsidRPr="00A00827">
        <w:rPr>
          <w:lang w:val="en-GB"/>
        </w:rPr>
        <w:t xml:space="preserve"> that the deteriorated component or device does not lead the relevant emission to exceed its applicable regulated emission limit.</w:t>
      </w:r>
    </w:p>
    <w:p w:rsidR="00AF2027" w:rsidRPr="00B04DC3" w:rsidRDefault="00AF2027" w:rsidP="00AF2027">
      <w:pPr>
        <w:pStyle w:val="para"/>
        <w:rPr>
          <w:lang w:val="en-GB"/>
        </w:rPr>
      </w:pPr>
      <w:bookmarkStart w:id="1012" w:name="_Toc118223082"/>
      <w:r w:rsidRPr="00B04DC3">
        <w:rPr>
          <w:lang w:val="en-GB"/>
        </w:rPr>
        <w:t>6.3.3.</w:t>
      </w:r>
      <w:r w:rsidRPr="00B04DC3">
        <w:rPr>
          <w:lang w:val="en-GB"/>
        </w:rPr>
        <w:tab/>
        <w:t xml:space="preserve">Test </w:t>
      </w:r>
      <w:bookmarkEnd w:id="1012"/>
      <w:r w:rsidRPr="00B04DC3">
        <w:rPr>
          <w:lang w:val="en-GB"/>
        </w:rPr>
        <w:t>report</w:t>
      </w:r>
    </w:p>
    <w:p w:rsidR="00AF2027" w:rsidRPr="00B04DC3" w:rsidRDefault="00AF2027" w:rsidP="00AF2027">
      <w:pPr>
        <w:pStyle w:val="para"/>
        <w:rPr>
          <w:lang w:val="en-GB"/>
        </w:rPr>
      </w:pPr>
      <w:r w:rsidRPr="00B04DC3">
        <w:rPr>
          <w:lang w:val="en-GB"/>
        </w:rPr>
        <w:tab/>
        <w:t>The test report shall contain, at a minimum, the information set out in Appendix 4</w:t>
      </w:r>
      <w:r w:rsidR="00D8408B" w:rsidRPr="00D8408B">
        <w:rPr>
          <w:lang w:val="en-GB"/>
        </w:rPr>
        <w:t xml:space="preserve"> </w:t>
      </w:r>
      <w:r w:rsidR="00D8408B">
        <w:rPr>
          <w:lang w:val="en-GB"/>
        </w:rPr>
        <w:t>to this annex</w:t>
      </w:r>
      <w:r w:rsidRPr="00B04DC3">
        <w:rPr>
          <w:lang w:val="en-GB"/>
        </w:rPr>
        <w:t>.</w:t>
      </w:r>
    </w:p>
    <w:p w:rsidR="00AF2027" w:rsidRPr="00B04DC3" w:rsidRDefault="00AF2027" w:rsidP="00AF2027">
      <w:pPr>
        <w:pStyle w:val="para"/>
        <w:rPr>
          <w:lang w:val="en-GB"/>
        </w:rPr>
      </w:pPr>
      <w:bookmarkStart w:id="1013" w:name="_Toc118223083"/>
      <w:r w:rsidRPr="00B04DC3">
        <w:rPr>
          <w:lang w:val="en-GB"/>
        </w:rPr>
        <w:t>6.4.</w:t>
      </w:r>
      <w:r w:rsidRPr="00B04DC3">
        <w:rPr>
          <w:lang w:val="en-GB"/>
        </w:rPr>
        <w:tab/>
        <w:t>Approval of an OBD system containing deficiencies</w:t>
      </w:r>
      <w:bookmarkEnd w:id="1013"/>
    </w:p>
    <w:p w:rsidR="00AF2027" w:rsidRPr="00B04DC3" w:rsidRDefault="00AF2027" w:rsidP="00AF2027">
      <w:pPr>
        <w:pStyle w:val="para"/>
        <w:rPr>
          <w:lang w:val="en-GB"/>
        </w:rPr>
      </w:pPr>
      <w:r w:rsidRPr="00B04DC3">
        <w:rPr>
          <w:lang w:val="en-GB"/>
        </w:rPr>
        <w:t>6.4.1.</w:t>
      </w:r>
      <w:r w:rsidRPr="00B04DC3">
        <w:rPr>
          <w:lang w:val="en-GB"/>
        </w:rPr>
        <w:tab/>
        <w:t>Approval authorities may approve upon request of a manufacturer an OBD system even though the system contains one or more deficiencies.</w:t>
      </w:r>
    </w:p>
    <w:p w:rsidR="00AF2027" w:rsidRPr="00B04DC3" w:rsidRDefault="00AF2027" w:rsidP="00AF2027">
      <w:pPr>
        <w:pStyle w:val="para"/>
        <w:rPr>
          <w:lang w:val="en-GB"/>
        </w:rPr>
      </w:pPr>
      <w:r w:rsidRPr="00B04DC3">
        <w:rPr>
          <w:lang w:val="en-GB"/>
        </w:rPr>
        <w:tab/>
        <w:t xml:space="preserve">In considering the request, the </w:t>
      </w:r>
      <w:r w:rsidR="00D8408B">
        <w:rPr>
          <w:lang w:val="en-GB"/>
        </w:rPr>
        <w:t xml:space="preserve">Type </w:t>
      </w:r>
      <w:r w:rsidRPr="00B04DC3">
        <w:rPr>
          <w:lang w:val="en-GB"/>
        </w:rPr>
        <w:t>Approval Authority shall determine whether compliance with the requirements of this annex is feasible or unreasonable.</w:t>
      </w:r>
    </w:p>
    <w:p w:rsidR="00AF2027" w:rsidRPr="00B04DC3" w:rsidRDefault="00AF2027" w:rsidP="00AF2027">
      <w:pPr>
        <w:pStyle w:val="para"/>
        <w:rPr>
          <w:lang w:val="en-GB"/>
        </w:rPr>
      </w:pPr>
      <w:r w:rsidRPr="00B04DC3">
        <w:rPr>
          <w:lang w:val="en-GB"/>
        </w:rPr>
        <w:tab/>
        <w:t xml:space="preserve">The </w:t>
      </w:r>
      <w:r w:rsidR="00454BF4">
        <w:rPr>
          <w:spacing w:val="-4"/>
          <w:lang w:val="en-GB"/>
        </w:rPr>
        <w:t xml:space="preserve">Type </w:t>
      </w:r>
      <w:r w:rsidRPr="00B04DC3">
        <w:rPr>
          <w:lang w:val="en-GB"/>
        </w:rPr>
        <w:t xml:space="preserve">Approval Authority shall take into consideration data from the manufacturer that details such factors as, but not limited to, technical feasibility, lead time and production cycles including phase-in or phase-out of engines designs and programmed upgrades of computers, the extend to which the resultant OBD system will be effective in complying with the requirements of this annex and that the manufacturer has demonstrated an acceptable level of effort toward meeting the requirements of </w:t>
      </w:r>
      <w:r w:rsidR="00D8408B" w:rsidRPr="00B04DC3">
        <w:rPr>
          <w:lang w:val="en-GB"/>
        </w:rPr>
        <w:t>th</w:t>
      </w:r>
      <w:r w:rsidR="00D8408B">
        <w:rPr>
          <w:lang w:val="en-GB"/>
        </w:rPr>
        <w:t>is</w:t>
      </w:r>
      <w:r w:rsidR="00D8408B" w:rsidRPr="00B04DC3">
        <w:rPr>
          <w:lang w:val="en-GB"/>
        </w:rPr>
        <w:t xml:space="preserve"> </w:t>
      </w:r>
      <w:r w:rsidRPr="00B04DC3">
        <w:rPr>
          <w:lang w:val="en-GB"/>
        </w:rPr>
        <w:t>annex.</w:t>
      </w:r>
    </w:p>
    <w:p w:rsidR="00AF2027" w:rsidRPr="00B04DC3" w:rsidRDefault="00AF2027" w:rsidP="00AF2027">
      <w:pPr>
        <w:pStyle w:val="para"/>
        <w:rPr>
          <w:lang w:val="en-GB"/>
        </w:rPr>
      </w:pPr>
      <w:r w:rsidRPr="00B04DC3">
        <w:rPr>
          <w:lang w:val="en-GB"/>
        </w:rPr>
        <w:tab/>
        <w:t xml:space="preserve">The </w:t>
      </w:r>
      <w:r w:rsidR="00454BF4">
        <w:rPr>
          <w:spacing w:val="-4"/>
          <w:lang w:val="en-GB"/>
        </w:rPr>
        <w:t xml:space="preserve">Type </w:t>
      </w:r>
      <w:r w:rsidRPr="00B04DC3">
        <w:rPr>
          <w:lang w:val="en-GB"/>
        </w:rPr>
        <w:t>Approval Authority will not accept any deficiency request that includes the complete lack of a required diagnostic monitor (i.e. a complete lack of the monitors required in Appendix 3</w:t>
      </w:r>
      <w:r w:rsidR="00D8408B" w:rsidRPr="00D8408B">
        <w:rPr>
          <w:lang w:val="en-GB"/>
        </w:rPr>
        <w:t xml:space="preserve"> </w:t>
      </w:r>
      <w:r w:rsidR="00D8408B">
        <w:rPr>
          <w:lang w:val="en-GB"/>
        </w:rPr>
        <w:t>to this annex</w:t>
      </w:r>
      <w:r w:rsidRPr="00B04DC3">
        <w:rPr>
          <w:lang w:val="en-GB"/>
        </w:rPr>
        <w:t>).</w:t>
      </w:r>
    </w:p>
    <w:p w:rsidR="00AF2027" w:rsidRPr="00B04DC3" w:rsidRDefault="00AF2027" w:rsidP="00AF2027">
      <w:pPr>
        <w:pStyle w:val="para"/>
        <w:rPr>
          <w:lang w:val="en-GB"/>
        </w:rPr>
      </w:pPr>
      <w:bookmarkStart w:id="1014" w:name="_Toc118223084"/>
      <w:r w:rsidRPr="00B04DC3">
        <w:rPr>
          <w:lang w:val="en-GB"/>
        </w:rPr>
        <w:t>6.4.2.</w:t>
      </w:r>
      <w:r w:rsidRPr="00B04DC3">
        <w:rPr>
          <w:lang w:val="en-GB"/>
        </w:rPr>
        <w:tab/>
        <w:t>Deficiency period</w:t>
      </w:r>
      <w:bookmarkEnd w:id="1014"/>
    </w:p>
    <w:p w:rsidR="00AF2027" w:rsidRPr="00B04DC3" w:rsidRDefault="00AF2027" w:rsidP="00AF2027">
      <w:pPr>
        <w:pStyle w:val="para"/>
        <w:rPr>
          <w:lang w:val="en-GB"/>
        </w:rPr>
      </w:pPr>
      <w:r w:rsidRPr="00B04DC3">
        <w:rPr>
          <w:lang w:val="en-GB"/>
        </w:rPr>
        <w:tab/>
        <w:t>A deficiency is granted for a period of one year after the date of approval of the engine system.</w:t>
      </w:r>
    </w:p>
    <w:p w:rsidR="00AF2027" w:rsidRPr="00B04DC3" w:rsidRDefault="00AF2027" w:rsidP="00AF2027">
      <w:pPr>
        <w:pStyle w:val="para"/>
        <w:rPr>
          <w:spacing w:val="-2"/>
          <w:lang w:val="en-GB"/>
        </w:rPr>
      </w:pPr>
      <w:r w:rsidRPr="00B04DC3">
        <w:rPr>
          <w:spacing w:val="-2"/>
          <w:lang w:val="en-GB"/>
        </w:rPr>
        <w:tab/>
        <w:t xml:space="preserve">If the manufacturer can adequately demonstrate to the </w:t>
      </w:r>
      <w:r w:rsidR="00454BF4">
        <w:rPr>
          <w:spacing w:val="-4"/>
          <w:lang w:val="en-GB"/>
        </w:rPr>
        <w:t xml:space="preserve">Type </w:t>
      </w:r>
      <w:r w:rsidRPr="00B04DC3">
        <w:rPr>
          <w:spacing w:val="-2"/>
          <w:lang w:val="en-GB"/>
        </w:rPr>
        <w:t>Approval Authority that substantial engine modifications and additional lead time would be necessary to correct the deficiency, then this deficiency can be granted again for an additional one year, provided that the total deficiency period does not exceed three years (i.e. three times one year deficiency allowance is permitted).</w:t>
      </w:r>
    </w:p>
    <w:p w:rsidR="00AF2027" w:rsidRPr="00B04DC3" w:rsidRDefault="00AF2027" w:rsidP="00AF2027">
      <w:pPr>
        <w:pStyle w:val="para"/>
        <w:rPr>
          <w:lang w:val="en-GB"/>
        </w:rPr>
      </w:pPr>
      <w:r w:rsidRPr="00B04DC3">
        <w:rPr>
          <w:lang w:val="en-GB"/>
        </w:rPr>
        <w:tab/>
        <w:t>The manufacturer cannot apply for a renewal of the deficiency period.</w:t>
      </w:r>
    </w:p>
    <w:p w:rsidR="00AF2027" w:rsidRPr="00B04DC3" w:rsidRDefault="00AF2027" w:rsidP="00AF2027">
      <w:pPr>
        <w:pStyle w:val="para"/>
        <w:rPr>
          <w:caps/>
          <w:lang w:val="en-GB"/>
        </w:rPr>
      </w:pPr>
      <w:bookmarkStart w:id="1015" w:name="_Toc118223085"/>
      <w:r w:rsidRPr="00B04DC3">
        <w:rPr>
          <w:caps/>
          <w:lang w:val="en-GB"/>
        </w:rPr>
        <w:t>6.5.</w:t>
      </w:r>
      <w:r w:rsidRPr="00B04DC3">
        <w:rPr>
          <w:caps/>
          <w:lang w:val="en-GB"/>
        </w:rPr>
        <w:tab/>
      </w:r>
      <w:r w:rsidRPr="00B04DC3">
        <w:rPr>
          <w:lang w:val="en-GB"/>
        </w:rPr>
        <w:t>Procedure for selecting the reference fuel in case of a gas engine</w:t>
      </w:r>
    </w:p>
    <w:p w:rsidR="00AF2027" w:rsidRPr="00B04DC3" w:rsidRDefault="00AF2027" w:rsidP="00AF2027">
      <w:pPr>
        <w:pStyle w:val="para"/>
        <w:rPr>
          <w:iCs/>
          <w:lang w:val="en-GB"/>
        </w:rPr>
      </w:pPr>
      <w:r w:rsidRPr="00B04DC3">
        <w:rPr>
          <w:iCs/>
          <w:lang w:val="en-GB"/>
        </w:rPr>
        <w:tab/>
        <w:t>Demonstration of the OBD performance and malfunction classification shall be performed by using one of the reference fuels mentioned in Annex 5 on which the engine is designed to operate.</w:t>
      </w:r>
    </w:p>
    <w:p w:rsidR="00AF2027" w:rsidRPr="00B04DC3" w:rsidRDefault="00AF2027" w:rsidP="00AF2027">
      <w:pPr>
        <w:pStyle w:val="para"/>
        <w:rPr>
          <w:lang w:val="en-GB"/>
        </w:rPr>
      </w:pPr>
      <w:r w:rsidRPr="00B04DC3">
        <w:rPr>
          <w:iCs/>
          <w:lang w:val="en-GB"/>
        </w:rPr>
        <w:tab/>
        <w:t xml:space="preserve">The selection of this reference fuel is done by the </w:t>
      </w:r>
      <w:r w:rsidR="00454BF4" w:rsidRPr="00B04DC3">
        <w:rPr>
          <w:iCs/>
          <w:lang w:val="en-GB"/>
        </w:rPr>
        <w:t>T</w:t>
      </w:r>
      <w:r w:rsidRPr="00B04DC3">
        <w:rPr>
          <w:iCs/>
          <w:lang w:val="en-GB"/>
        </w:rPr>
        <w:t xml:space="preserve">ype </w:t>
      </w:r>
      <w:r w:rsidR="00454BF4" w:rsidRPr="00B04DC3">
        <w:rPr>
          <w:iCs/>
          <w:lang w:val="en-GB"/>
        </w:rPr>
        <w:t>A</w:t>
      </w:r>
      <w:r w:rsidRPr="00B04DC3">
        <w:rPr>
          <w:iCs/>
          <w:lang w:val="en-GB"/>
        </w:rPr>
        <w:t xml:space="preserve">pproval </w:t>
      </w:r>
      <w:r w:rsidR="00454BF4" w:rsidRPr="00B04DC3">
        <w:rPr>
          <w:iCs/>
          <w:lang w:val="en-GB"/>
        </w:rPr>
        <w:t>A</w:t>
      </w:r>
      <w:r w:rsidRPr="00B04DC3">
        <w:rPr>
          <w:iCs/>
          <w:lang w:val="en-GB"/>
        </w:rPr>
        <w:t>uthority, who shall provide sufficient time for the test laboratory to supply the selected reference fuel.</w:t>
      </w:r>
      <w:r w:rsidRPr="00B04DC3">
        <w:rPr>
          <w:lang w:val="en-GB"/>
        </w:rPr>
        <w:t xml:space="preserve"> </w:t>
      </w:r>
    </w:p>
    <w:p w:rsidR="00AF2027" w:rsidRPr="00B04DC3" w:rsidRDefault="00AF2027" w:rsidP="00A00827">
      <w:pPr>
        <w:pStyle w:val="para"/>
        <w:keepNext/>
        <w:keepLines/>
        <w:rPr>
          <w:lang w:val="en-GB"/>
        </w:rPr>
      </w:pPr>
      <w:r w:rsidRPr="00B04DC3">
        <w:rPr>
          <w:lang w:val="en-GB"/>
        </w:rPr>
        <w:t>7.</w:t>
      </w:r>
      <w:r w:rsidRPr="00B04DC3">
        <w:rPr>
          <w:lang w:val="en-GB"/>
        </w:rPr>
        <w:tab/>
      </w:r>
      <w:bookmarkEnd w:id="1015"/>
      <w:r w:rsidRPr="00B04DC3">
        <w:rPr>
          <w:lang w:val="en-GB"/>
        </w:rPr>
        <w:t>Test procedures</w:t>
      </w:r>
    </w:p>
    <w:p w:rsidR="00AF2027" w:rsidRPr="00B04DC3" w:rsidRDefault="00AF2027" w:rsidP="00AF2027">
      <w:pPr>
        <w:pStyle w:val="para"/>
        <w:rPr>
          <w:lang w:val="en-GB"/>
        </w:rPr>
      </w:pPr>
      <w:bookmarkStart w:id="1016" w:name="_Toc104881800"/>
      <w:bookmarkStart w:id="1017" w:name="_Toc118223086"/>
      <w:r w:rsidRPr="00B04DC3">
        <w:rPr>
          <w:lang w:val="en-GB"/>
        </w:rPr>
        <w:t>7.1.</w:t>
      </w:r>
      <w:r w:rsidRPr="00B04DC3">
        <w:rPr>
          <w:lang w:val="en-GB"/>
        </w:rPr>
        <w:tab/>
        <w:t>Testing process</w:t>
      </w:r>
      <w:bookmarkEnd w:id="1016"/>
      <w:bookmarkEnd w:id="1017"/>
    </w:p>
    <w:p w:rsidR="00AF2027" w:rsidRPr="00B04DC3" w:rsidRDefault="00AF2027" w:rsidP="00AF2027">
      <w:pPr>
        <w:pStyle w:val="para"/>
        <w:spacing w:after="100"/>
        <w:rPr>
          <w:lang w:val="en-GB"/>
        </w:rPr>
      </w:pPr>
      <w:r w:rsidRPr="00B04DC3">
        <w:rPr>
          <w:lang w:val="en-GB"/>
        </w:rPr>
        <w:tab/>
        <w:t>The demonstration by testing of the proper malfunction classification and the demonstration by testing of the proper monitoring performance of an OBD system are issues that shall be considered separately during the testing process. For example, a Class A malfunction will not require a classification test while it may be subject to an OBD performance test.</w:t>
      </w:r>
    </w:p>
    <w:p w:rsidR="00AF2027" w:rsidRPr="00B04DC3" w:rsidRDefault="00AF2027" w:rsidP="00AF2027">
      <w:pPr>
        <w:pStyle w:val="para"/>
        <w:spacing w:after="100"/>
        <w:rPr>
          <w:lang w:val="en-GB"/>
        </w:rPr>
      </w:pPr>
      <w:r w:rsidRPr="00B04DC3">
        <w:rPr>
          <w:lang w:val="en-GB"/>
        </w:rPr>
        <w:tab/>
        <w:t>Where appropriate, the same test may be used to demonstrate the correct classification of a malfunction, the qualification of a deteriorated component provided by the manufacturer and the correct monitoring by the OBD system.</w:t>
      </w:r>
    </w:p>
    <w:p w:rsidR="00AF2027" w:rsidRPr="00B04DC3" w:rsidRDefault="00AF2027" w:rsidP="00AF2027">
      <w:pPr>
        <w:pStyle w:val="para"/>
        <w:spacing w:after="100"/>
        <w:rPr>
          <w:lang w:val="en-GB"/>
        </w:rPr>
      </w:pPr>
      <w:r w:rsidRPr="00B04DC3">
        <w:rPr>
          <w:lang w:val="en-GB"/>
        </w:rPr>
        <w:tab/>
        <w:t>The engine system on which the OBD system is tested shall comply with the emission requirements of this Regulation.</w:t>
      </w:r>
    </w:p>
    <w:p w:rsidR="00AF2027" w:rsidRPr="00B04DC3" w:rsidRDefault="00AF2027" w:rsidP="00AF2027">
      <w:pPr>
        <w:pStyle w:val="para"/>
        <w:rPr>
          <w:lang w:val="en-GB"/>
        </w:rPr>
      </w:pPr>
      <w:bookmarkStart w:id="1018" w:name="_Toc104881801"/>
      <w:bookmarkStart w:id="1019" w:name="_Toc118223087"/>
      <w:r w:rsidRPr="00B04DC3">
        <w:rPr>
          <w:lang w:val="en-GB"/>
        </w:rPr>
        <w:t>7.1.1.</w:t>
      </w:r>
      <w:r w:rsidRPr="00B04DC3">
        <w:rPr>
          <w:lang w:val="en-GB"/>
        </w:rPr>
        <w:tab/>
        <w:t>Testing process for demonstrating the malfunction classification</w:t>
      </w:r>
      <w:bookmarkEnd w:id="1018"/>
      <w:bookmarkEnd w:id="1019"/>
    </w:p>
    <w:p w:rsidR="00AF2027" w:rsidRPr="00B04DC3" w:rsidRDefault="00AF2027" w:rsidP="00AF2027">
      <w:pPr>
        <w:pStyle w:val="para"/>
        <w:spacing w:after="100"/>
        <w:rPr>
          <w:lang w:val="en-GB"/>
        </w:rPr>
      </w:pPr>
      <w:r w:rsidRPr="00B04DC3">
        <w:rPr>
          <w:lang w:val="en-GB"/>
        </w:rPr>
        <w:tab/>
        <w:t>When, according to paragraph 6.2.</w:t>
      </w:r>
      <w:r w:rsidR="00D8408B">
        <w:rPr>
          <w:lang w:val="en-GB"/>
        </w:rPr>
        <w:t xml:space="preserve"> of this annex</w:t>
      </w:r>
      <w:r w:rsidRPr="00B04DC3">
        <w:rPr>
          <w:lang w:val="en-GB"/>
        </w:rPr>
        <w:t xml:space="preserve">, the </w:t>
      </w:r>
      <w:r w:rsidR="00454BF4">
        <w:rPr>
          <w:spacing w:val="-4"/>
          <w:lang w:val="en-GB"/>
        </w:rPr>
        <w:t xml:space="preserve">Type </w:t>
      </w:r>
      <w:r w:rsidRPr="00B04DC3">
        <w:rPr>
          <w:lang w:val="en-GB"/>
        </w:rPr>
        <w:t>Approval Authority requests the manufacturer to justify by testing the classification of a specific malfunction, the compliance demonstration will consist of a series of emission tests.</w:t>
      </w:r>
    </w:p>
    <w:p w:rsidR="00AF2027" w:rsidRPr="00B04DC3" w:rsidRDefault="00AF2027" w:rsidP="00AF2027">
      <w:pPr>
        <w:pStyle w:val="para"/>
        <w:spacing w:after="100"/>
        <w:rPr>
          <w:lang w:val="en-GB"/>
        </w:rPr>
      </w:pPr>
      <w:r w:rsidRPr="00B04DC3">
        <w:rPr>
          <w:lang w:val="en-GB"/>
        </w:rPr>
        <w:tab/>
        <w:t>According to paragraph 6.2.2.</w:t>
      </w:r>
      <w:r w:rsidR="00D8408B">
        <w:rPr>
          <w:lang w:val="en-GB"/>
        </w:rPr>
        <w:t xml:space="preserve"> of this annex</w:t>
      </w:r>
      <w:r w:rsidRPr="00B04DC3">
        <w:rPr>
          <w:lang w:val="en-GB"/>
        </w:rPr>
        <w:t xml:space="preserve">, when testing is required by the </w:t>
      </w:r>
      <w:r w:rsidR="00454BF4">
        <w:rPr>
          <w:spacing w:val="-4"/>
          <w:lang w:val="en-GB"/>
        </w:rPr>
        <w:t xml:space="preserve">Type </w:t>
      </w:r>
      <w:r w:rsidRPr="00B04DC3">
        <w:rPr>
          <w:lang w:val="en-GB"/>
        </w:rPr>
        <w:t>Approval Authority to justify the classification of a malfunction into Class B1 rather than in Class A, the manufacturer shall demonstrate that the emissions due to that particular malfunction are, in selected circumstances, below the OTLs:</w:t>
      </w:r>
    </w:p>
    <w:p w:rsidR="00AF2027" w:rsidRPr="00B04DC3" w:rsidRDefault="00AF2027" w:rsidP="00AF2027">
      <w:pPr>
        <w:pStyle w:val="a"/>
        <w:rPr>
          <w:lang w:val="en-GB"/>
        </w:rPr>
      </w:pPr>
      <w:r w:rsidRPr="00B04DC3">
        <w:rPr>
          <w:lang w:val="en-GB"/>
        </w:rPr>
        <w:t>(a)</w:t>
      </w:r>
      <w:r w:rsidRPr="00B04DC3">
        <w:rPr>
          <w:lang w:val="en-GB"/>
        </w:rPr>
        <w:tab/>
        <w:t xml:space="preserve">The manufacturer selects these circumstances of test in agreement with the </w:t>
      </w:r>
      <w:r w:rsidR="00454BF4">
        <w:rPr>
          <w:spacing w:val="-4"/>
          <w:lang w:val="en-GB"/>
        </w:rPr>
        <w:t xml:space="preserve">Type </w:t>
      </w:r>
      <w:r w:rsidRPr="00B04DC3">
        <w:rPr>
          <w:lang w:val="en-GB"/>
        </w:rPr>
        <w:t>Approval Authority;</w:t>
      </w:r>
    </w:p>
    <w:p w:rsidR="00AF2027" w:rsidRPr="00B04DC3" w:rsidRDefault="00AF2027" w:rsidP="00AF2027">
      <w:pPr>
        <w:pStyle w:val="a"/>
        <w:rPr>
          <w:lang w:val="en-GB"/>
        </w:rPr>
      </w:pPr>
      <w:r w:rsidRPr="00B04DC3">
        <w:rPr>
          <w:lang w:val="en-GB"/>
        </w:rPr>
        <w:t>(b)</w:t>
      </w:r>
      <w:r w:rsidRPr="00B04DC3">
        <w:rPr>
          <w:lang w:val="en-GB"/>
        </w:rPr>
        <w:tab/>
        <w:t>The manufacturer shall not be required to demonstrate that in other circumstances the emissions due to the malfunction are actually above the OTLs.</w:t>
      </w:r>
    </w:p>
    <w:p w:rsidR="00AF2027" w:rsidRPr="00B04DC3" w:rsidRDefault="00AF2027" w:rsidP="00AF2027">
      <w:pPr>
        <w:pStyle w:val="para"/>
        <w:spacing w:after="100"/>
        <w:rPr>
          <w:lang w:val="en-GB"/>
        </w:rPr>
      </w:pPr>
      <w:r w:rsidRPr="00B04DC3">
        <w:rPr>
          <w:lang w:val="en-GB"/>
        </w:rPr>
        <w:tab/>
        <w:t>The emission test may be repeated upon request of the manufacturer up to three times.</w:t>
      </w:r>
    </w:p>
    <w:p w:rsidR="00AF2027" w:rsidRPr="00B04DC3" w:rsidRDefault="00AF2027" w:rsidP="00AF2027">
      <w:pPr>
        <w:pStyle w:val="para"/>
        <w:spacing w:after="100"/>
        <w:rPr>
          <w:lang w:val="en-GB"/>
        </w:rPr>
      </w:pPr>
      <w:r w:rsidRPr="00B04DC3">
        <w:rPr>
          <w:lang w:val="en-GB"/>
        </w:rPr>
        <w:tab/>
        <w:t>If any of these tests leads to emissions below the considered OTL, then the malfunction classification into Class B1 shall be approved.</w:t>
      </w:r>
    </w:p>
    <w:p w:rsidR="00AF2027" w:rsidRPr="00B04DC3" w:rsidRDefault="00AF2027" w:rsidP="00AF2027">
      <w:pPr>
        <w:pStyle w:val="para"/>
        <w:spacing w:after="100"/>
        <w:rPr>
          <w:lang w:val="en-GB"/>
        </w:rPr>
      </w:pPr>
      <w:r w:rsidRPr="00B04DC3">
        <w:rPr>
          <w:lang w:val="en-GB"/>
        </w:rPr>
        <w:tab/>
        <w:t xml:space="preserve">When testing is required by the </w:t>
      </w:r>
      <w:r w:rsidR="00454BF4">
        <w:rPr>
          <w:spacing w:val="-4"/>
          <w:lang w:val="en-GB"/>
        </w:rPr>
        <w:t xml:space="preserve">Type </w:t>
      </w:r>
      <w:r w:rsidRPr="00B04DC3">
        <w:rPr>
          <w:lang w:val="en-GB"/>
        </w:rPr>
        <w:t>Approval Authority to justify the classification of a malfunction into Class B2 rather than in Class B1 or into Class C rather than in Class B2, the emission test shall not be repeated. If the emissions measured in the test are above the OTL or the emission limit, respectively, then the malfunction shall require a reclassification.</w:t>
      </w:r>
    </w:p>
    <w:p w:rsidR="00AF2027" w:rsidRPr="00B04DC3" w:rsidRDefault="00AF2027" w:rsidP="00D8408B">
      <w:pPr>
        <w:pStyle w:val="para"/>
        <w:spacing w:after="100"/>
        <w:ind w:firstLine="0"/>
        <w:rPr>
          <w:lang w:val="en-GB"/>
        </w:rPr>
      </w:pPr>
      <w:r w:rsidRPr="00B04DC3">
        <w:rPr>
          <w:i/>
          <w:lang w:val="en-GB"/>
        </w:rPr>
        <w:t>Note:</w:t>
      </w:r>
      <w:r w:rsidR="00A00827">
        <w:rPr>
          <w:lang w:val="en-GB"/>
        </w:rPr>
        <w:t xml:space="preserve"> </w:t>
      </w:r>
      <w:r w:rsidRPr="00B04DC3">
        <w:rPr>
          <w:lang w:val="en-GB"/>
        </w:rPr>
        <w:t>According to paragraph 6.2.1.</w:t>
      </w:r>
      <w:r w:rsidR="00D8408B">
        <w:rPr>
          <w:lang w:val="en-GB"/>
        </w:rPr>
        <w:t xml:space="preserve"> of this annex</w:t>
      </w:r>
      <w:r w:rsidRPr="00B04DC3">
        <w:rPr>
          <w:lang w:val="en-GB"/>
        </w:rPr>
        <w:t>, this paragraph does not apply to malfunctions classified into Class A.</w:t>
      </w:r>
    </w:p>
    <w:p w:rsidR="00AF2027" w:rsidRPr="00B04DC3" w:rsidRDefault="00AF2027" w:rsidP="00AF2027">
      <w:pPr>
        <w:pStyle w:val="para"/>
        <w:rPr>
          <w:lang w:val="en-GB"/>
        </w:rPr>
      </w:pPr>
      <w:bookmarkStart w:id="1020" w:name="_Toc104881802"/>
      <w:bookmarkStart w:id="1021" w:name="_Toc118223088"/>
      <w:r w:rsidRPr="00B04DC3">
        <w:rPr>
          <w:lang w:val="en-GB"/>
        </w:rPr>
        <w:t>7.1.2.</w:t>
      </w:r>
      <w:r w:rsidRPr="00B04DC3">
        <w:rPr>
          <w:lang w:val="en-GB"/>
        </w:rPr>
        <w:tab/>
        <w:t>Testing process for demonstrating the OBD performance</w:t>
      </w:r>
      <w:bookmarkEnd w:id="1020"/>
      <w:bookmarkEnd w:id="1021"/>
    </w:p>
    <w:p w:rsidR="00AF2027" w:rsidRPr="00B04DC3" w:rsidRDefault="00AF2027" w:rsidP="00AF2027">
      <w:pPr>
        <w:pStyle w:val="para"/>
        <w:rPr>
          <w:lang w:val="en-GB"/>
        </w:rPr>
      </w:pPr>
      <w:r w:rsidRPr="00B04DC3">
        <w:rPr>
          <w:lang w:val="en-GB"/>
        </w:rPr>
        <w:tab/>
        <w:t xml:space="preserve">When the </w:t>
      </w:r>
      <w:r w:rsidR="00454BF4">
        <w:rPr>
          <w:spacing w:val="-4"/>
          <w:lang w:val="en-GB"/>
        </w:rPr>
        <w:t xml:space="preserve">Type </w:t>
      </w:r>
      <w:r w:rsidRPr="00B04DC3">
        <w:rPr>
          <w:lang w:val="en-GB"/>
        </w:rPr>
        <w:t>Approval Authority requests</w:t>
      </w:r>
      <w:r w:rsidR="00454BF4">
        <w:rPr>
          <w:lang w:val="en-GB"/>
        </w:rPr>
        <w:t>,</w:t>
      </w:r>
      <w:r w:rsidRPr="00B04DC3">
        <w:rPr>
          <w:lang w:val="en-GB"/>
        </w:rPr>
        <w:t xml:space="preserve"> according to paragraph 6.3.</w:t>
      </w:r>
      <w:r w:rsidR="00454BF4">
        <w:rPr>
          <w:lang w:val="en-GB"/>
        </w:rPr>
        <w:t>,</w:t>
      </w:r>
      <w:r w:rsidRPr="00B04DC3">
        <w:rPr>
          <w:lang w:val="en-GB"/>
        </w:rPr>
        <w:t xml:space="preserve"> to test the OBD system performance, the compliance demonstration shall consist of the following phases:</w:t>
      </w:r>
    </w:p>
    <w:p w:rsidR="00AF2027" w:rsidRPr="00B04DC3" w:rsidRDefault="00AF2027" w:rsidP="00AF2027">
      <w:pPr>
        <w:pStyle w:val="a"/>
        <w:rPr>
          <w:lang w:val="en-GB"/>
        </w:rPr>
      </w:pPr>
      <w:r w:rsidRPr="00B04DC3">
        <w:rPr>
          <w:lang w:val="en-GB"/>
        </w:rPr>
        <w:t>(a)</w:t>
      </w:r>
      <w:r w:rsidRPr="00B04DC3">
        <w:rPr>
          <w:lang w:val="en-GB"/>
        </w:rPr>
        <w:tab/>
        <w:t xml:space="preserve">A malfunction is selected by the </w:t>
      </w:r>
      <w:r w:rsidR="00454BF4">
        <w:rPr>
          <w:spacing w:val="-4"/>
          <w:lang w:val="en-GB"/>
        </w:rPr>
        <w:t xml:space="preserve">Type </w:t>
      </w:r>
      <w:r w:rsidRPr="00B04DC3">
        <w:rPr>
          <w:lang w:val="en-GB"/>
        </w:rPr>
        <w:t>Approval Authority and a corresponding deteriorated component or system shall be made available by the manufacturer;</w:t>
      </w:r>
    </w:p>
    <w:p w:rsidR="00AF2027" w:rsidRPr="00B04DC3" w:rsidRDefault="00AF2027" w:rsidP="00AF2027">
      <w:pPr>
        <w:pStyle w:val="a"/>
        <w:rPr>
          <w:lang w:val="en-GB"/>
        </w:rPr>
      </w:pPr>
      <w:r w:rsidRPr="00B04DC3">
        <w:rPr>
          <w:lang w:val="en-GB"/>
        </w:rPr>
        <w:t>(b)</w:t>
      </w:r>
      <w:r w:rsidRPr="00B04DC3">
        <w:rPr>
          <w:lang w:val="en-GB"/>
        </w:rPr>
        <w:tab/>
        <w:t>When appropriate and if requested, the manufacturer shall demonstrate by an emission test that the deteriorated component is qualified for a monitoring demonstration;</w:t>
      </w:r>
    </w:p>
    <w:p w:rsidR="00AF2027" w:rsidRPr="00B04DC3" w:rsidRDefault="00AF2027" w:rsidP="00AF2027">
      <w:pPr>
        <w:pStyle w:val="a"/>
        <w:rPr>
          <w:lang w:val="en-GB"/>
        </w:rPr>
      </w:pPr>
      <w:r w:rsidRPr="00B04DC3">
        <w:rPr>
          <w:lang w:val="en-GB"/>
        </w:rPr>
        <w:t>(c)</w:t>
      </w:r>
      <w:r w:rsidRPr="00B04DC3">
        <w:rPr>
          <w:lang w:val="en-GB"/>
        </w:rPr>
        <w:tab/>
        <w:t>The manufacturer shall demonstrate that the OBD system responds in a manner that complies with the provisions of this annex (i.e. MI indication, DTC storage, etc.) At the latest by the end of a series of OBD test-cycles.</w:t>
      </w:r>
    </w:p>
    <w:p w:rsidR="00AF2027" w:rsidRPr="00B04DC3" w:rsidRDefault="00AF2027" w:rsidP="00AF2027">
      <w:pPr>
        <w:pStyle w:val="para"/>
        <w:spacing w:after="100"/>
        <w:rPr>
          <w:lang w:val="en-GB"/>
        </w:rPr>
      </w:pPr>
      <w:bookmarkStart w:id="1022" w:name="_Toc104881803"/>
      <w:bookmarkStart w:id="1023" w:name="_Toc118223089"/>
      <w:r w:rsidRPr="00B04DC3">
        <w:rPr>
          <w:lang w:val="en-GB"/>
        </w:rPr>
        <w:t>7.1.2.1.</w:t>
      </w:r>
      <w:r w:rsidRPr="00B04DC3">
        <w:rPr>
          <w:lang w:val="en-GB"/>
        </w:rPr>
        <w:tab/>
        <w:t>Qualification of the deteriorated component</w:t>
      </w:r>
      <w:bookmarkEnd w:id="1022"/>
      <w:bookmarkEnd w:id="1023"/>
    </w:p>
    <w:p w:rsidR="00AF2027" w:rsidRPr="00A00827" w:rsidRDefault="00AF2027" w:rsidP="00AF2027">
      <w:pPr>
        <w:pStyle w:val="para"/>
        <w:rPr>
          <w:spacing w:val="4"/>
          <w:lang w:val="en-GB"/>
        </w:rPr>
      </w:pPr>
      <w:r w:rsidRPr="00A00827">
        <w:rPr>
          <w:spacing w:val="4"/>
          <w:lang w:val="en-GB"/>
        </w:rPr>
        <w:tab/>
        <w:t xml:space="preserve">When the </w:t>
      </w:r>
      <w:r w:rsidR="00454BF4" w:rsidRPr="00A00827">
        <w:rPr>
          <w:spacing w:val="4"/>
          <w:lang w:val="en-GB"/>
        </w:rPr>
        <w:t xml:space="preserve">Type </w:t>
      </w:r>
      <w:r w:rsidRPr="00A00827">
        <w:rPr>
          <w:spacing w:val="4"/>
          <w:lang w:val="en-GB"/>
        </w:rPr>
        <w:t>Approval Authority requests the manufacturer to qualify a deteriorated component by testing according to paragraph 6.3.2.</w:t>
      </w:r>
      <w:r w:rsidR="00D8408B" w:rsidRPr="00A00827">
        <w:rPr>
          <w:spacing w:val="4"/>
          <w:lang w:val="en-GB"/>
        </w:rPr>
        <w:t xml:space="preserve"> of this annex</w:t>
      </w:r>
      <w:r w:rsidRPr="00A00827">
        <w:rPr>
          <w:spacing w:val="4"/>
          <w:lang w:val="en-GB"/>
        </w:rPr>
        <w:t>, this demonstration shall be made by performing an emissions test.</w:t>
      </w:r>
    </w:p>
    <w:p w:rsidR="00AF2027" w:rsidRPr="00B04DC3" w:rsidRDefault="00AF2027" w:rsidP="00AF2027">
      <w:pPr>
        <w:pStyle w:val="para"/>
        <w:rPr>
          <w:lang w:val="en-GB"/>
        </w:rPr>
      </w:pPr>
      <w:r w:rsidRPr="00B04DC3">
        <w:rPr>
          <w:lang w:val="en-GB"/>
        </w:rPr>
        <w:tab/>
        <w:t xml:space="preserve">If it is determined that the installation of a deteriorated component or device on an engine system means that a comparison with the OBD threshold limits is not possible (e.g. because the statistical conditions for validating the applicable emission test cycle are not met), the malfunction of that component or device may be considered as qualified upon the agreement of the </w:t>
      </w:r>
      <w:r w:rsidR="00454BF4">
        <w:rPr>
          <w:spacing w:val="-4"/>
          <w:lang w:val="en-GB"/>
        </w:rPr>
        <w:t xml:space="preserve">Type </w:t>
      </w:r>
      <w:r w:rsidRPr="00B04DC3">
        <w:rPr>
          <w:lang w:val="en-GB"/>
        </w:rPr>
        <w:t>Approval Authority based on technical rationale provided by the manufacturer.</w:t>
      </w:r>
    </w:p>
    <w:p w:rsidR="00AF2027" w:rsidRPr="00B04DC3" w:rsidRDefault="00AF2027" w:rsidP="00AF2027">
      <w:pPr>
        <w:pStyle w:val="para"/>
        <w:rPr>
          <w:lang w:val="en-GB"/>
        </w:rPr>
      </w:pPr>
      <w:r w:rsidRPr="00B04DC3">
        <w:rPr>
          <w:lang w:val="en-GB"/>
        </w:rPr>
        <w:tab/>
        <w:t xml:space="preserve">In the case that the installation of a deteriorated component or device on an engine means that the full load curve (as determined with a correctly operating engine) cannot be attained during the test, the deteriorated component or device may be considered as qualified upon the agreement of the </w:t>
      </w:r>
      <w:r w:rsidR="00454BF4">
        <w:rPr>
          <w:spacing w:val="-4"/>
          <w:lang w:val="en-GB"/>
        </w:rPr>
        <w:t xml:space="preserve">Type </w:t>
      </w:r>
      <w:r w:rsidRPr="00B04DC3">
        <w:rPr>
          <w:lang w:val="en-GB"/>
        </w:rPr>
        <w:t>Approval Authority based on technical rationale provided by the manufacturer.</w:t>
      </w:r>
    </w:p>
    <w:p w:rsidR="00AF2027" w:rsidRPr="00B04DC3" w:rsidRDefault="00AF2027" w:rsidP="00AF2027">
      <w:pPr>
        <w:pStyle w:val="para"/>
        <w:spacing w:after="100"/>
        <w:rPr>
          <w:lang w:val="en-GB"/>
        </w:rPr>
      </w:pPr>
      <w:bookmarkStart w:id="1024" w:name="_Toc104881804"/>
      <w:bookmarkStart w:id="1025" w:name="_Toc118223090"/>
      <w:r w:rsidRPr="00B04DC3">
        <w:rPr>
          <w:lang w:val="en-GB"/>
        </w:rPr>
        <w:t>7.1.2.2.</w:t>
      </w:r>
      <w:r w:rsidRPr="00B04DC3">
        <w:rPr>
          <w:lang w:val="en-GB"/>
        </w:rPr>
        <w:tab/>
        <w:t>Malfunction detection</w:t>
      </w:r>
      <w:bookmarkEnd w:id="1024"/>
      <w:bookmarkEnd w:id="1025"/>
    </w:p>
    <w:p w:rsidR="00AF2027" w:rsidRPr="00A00827" w:rsidRDefault="00AF2027" w:rsidP="00AF2027">
      <w:pPr>
        <w:pStyle w:val="para"/>
        <w:rPr>
          <w:spacing w:val="2"/>
          <w:lang w:val="en-GB"/>
        </w:rPr>
      </w:pPr>
      <w:r w:rsidRPr="00A00827">
        <w:rPr>
          <w:spacing w:val="2"/>
          <w:lang w:val="en-GB"/>
        </w:rPr>
        <w:tab/>
        <w:t>Each monitor selected by the</w:t>
      </w:r>
      <w:r w:rsidR="00454BF4" w:rsidRPr="00A00827">
        <w:rPr>
          <w:spacing w:val="2"/>
          <w:lang w:val="en-GB"/>
        </w:rPr>
        <w:t xml:space="preserve"> Type</w:t>
      </w:r>
      <w:r w:rsidRPr="00A00827">
        <w:rPr>
          <w:spacing w:val="2"/>
          <w:lang w:val="en-GB"/>
        </w:rPr>
        <w:t xml:space="preserve"> Approval Authority to be tested on an engine test-bed, shall respond to the introduction of a qualified deteriorated component in a manner that meets the requirements of this annex within two consecutive OBD test-cycles according to paragraph 7.2.2. of this annex.</w:t>
      </w:r>
    </w:p>
    <w:p w:rsidR="00AF2027" w:rsidRPr="00B04DC3" w:rsidRDefault="00AF2027" w:rsidP="00AF2027">
      <w:pPr>
        <w:pStyle w:val="para"/>
        <w:rPr>
          <w:lang w:val="en-GB"/>
        </w:rPr>
      </w:pPr>
      <w:r w:rsidRPr="00B04DC3">
        <w:rPr>
          <w:lang w:val="en-GB"/>
        </w:rPr>
        <w:tab/>
        <w:t xml:space="preserve">When it has been specified in the monitoring description and agreed by the </w:t>
      </w:r>
      <w:r w:rsidR="00454BF4">
        <w:rPr>
          <w:spacing w:val="-4"/>
          <w:lang w:val="en-GB"/>
        </w:rPr>
        <w:t xml:space="preserve">Type </w:t>
      </w:r>
      <w:r w:rsidRPr="00B04DC3">
        <w:rPr>
          <w:lang w:val="en-GB"/>
        </w:rPr>
        <w:t>Approval Authority that a specific monitor needs more than two operating sequences to complete its monitoring, the number of OBD test-cycles may be increased according to the manufacturer's request.</w:t>
      </w:r>
    </w:p>
    <w:p w:rsidR="00AF2027" w:rsidRPr="00B04DC3" w:rsidRDefault="00AF2027" w:rsidP="00AF2027">
      <w:pPr>
        <w:pStyle w:val="para"/>
        <w:rPr>
          <w:spacing w:val="-2"/>
          <w:lang w:val="en-GB"/>
        </w:rPr>
      </w:pPr>
      <w:r w:rsidRPr="00B04DC3">
        <w:rPr>
          <w:spacing w:val="-2"/>
          <w:lang w:val="en-GB"/>
        </w:rPr>
        <w:tab/>
        <w:t xml:space="preserve">Each individual OBD test-cycle in the demonstration test shall be separated by an engine shut-off. The time until the next start-up shall take into consideration any monitoring that may occur after engine shut-off and any necessary condition that </w:t>
      </w:r>
      <w:r w:rsidR="00EE140A" w:rsidRPr="00B04DC3">
        <w:rPr>
          <w:spacing w:val="-2"/>
          <w:lang w:val="en-GB"/>
        </w:rPr>
        <w:t>shall</w:t>
      </w:r>
      <w:r w:rsidRPr="00B04DC3">
        <w:rPr>
          <w:spacing w:val="-2"/>
          <w:lang w:val="en-GB"/>
        </w:rPr>
        <w:t xml:space="preserve"> exist for monitoring to occur at the next start up.</w:t>
      </w:r>
    </w:p>
    <w:p w:rsidR="00AF2027" w:rsidRPr="00B04DC3" w:rsidRDefault="00AF2027" w:rsidP="00AF2027">
      <w:pPr>
        <w:pStyle w:val="para"/>
        <w:rPr>
          <w:lang w:val="en-GB"/>
        </w:rPr>
      </w:pPr>
      <w:r w:rsidRPr="00B04DC3">
        <w:rPr>
          <w:lang w:val="en-GB"/>
        </w:rPr>
        <w:tab/>
        <w:t>The test is considered complete as soon as the OBD system has responded in a manner that meets the requirements of this annex.</w:t>
      </w:r>
    </w:p>
    <w:p w:rsidR="00AF2027" w:rsidRPr="00B04DC3" w:rsidRDefault="00AF2027" w:rsidP="00A00827">
      <w:pPr>
        <w:pStyle w:val="para"/>
        <w:keepNext/>
        <w:keepLines/>
        <w:spacing w:after="100"/>
        <w:rPr>
          <w:lang w:val="en-GB"/>
        </w:rPr>
      </w:pPr>
      <w:bookmarkStart w:id="1026" w:name="_Toc104881806"/>
      <w:bookmarkStart w:id="1027" w:name="_Ref117060403"/>
      <w:bookmarkStart w:id="1028" w:name="_Toc118223092"/>
      <w:r w:rsidRPr="00B04DC3">
        <w:rPr>
          <w:lang w:val="en-GB"/>
        </w:rPr>
        <w:t>7.2.</w:t>
      </w:r>
      <w:r w:rsidRPr="00B04DC3">
        <w:rPr>
          <w:lang w:val="en-GB"/>
        </w:rPr>
        <w:tab/>
        <w:t>Applicable tests</w:t>
      </w:r>
    </w:p>
    <w:p w:rsidR="00AF2027" w:rsidRPr="00B04DC3" w:rsidRDefault="00AF2027" w:rsidP="00A00827">
      <w:pPr>
        <w:pStyle w:val="para"/>
        <w:keepNext/>
        <w:keepLines/>
        <w:rPr>
          <w:lang w:val="en-GB"/>
        </w:rPr>
      </w:pPr>
      <w:r w:rsidRPr="00B04DC3">
        <w:rPr>
          <w:lang w:val="en-GB"/>
        </w:rPr>
        <w:tab/>
        <w:t>In the context of this annex:</w:t>
      </w:r>
    </w:p>
    <w:p w:rsidR="00AF2027" w:rsidRPr="00B04DC3" w:rsidRDefault="00AF2027" w:rsidP="00AF2027">
      <w:pPr>
        <w:pStyle w:val="a"/>
        <w:rPr>
          <w:spacing w:val="-4"/>
          <w:lang w:val="en-GB"/>
        </w:rPr>
      </w:pPr>
      <w:r w:rsidRPr="00B04DC3">
        <w:rPr>
          <w:spacing w:val="-4"/>
          <w:lang w:val="en-GB"/>
        </w:rPr>
        <w:t>(a)</w:t>
      </w:r>
      <w:r w:rsidRPr="00B04DC3">
        <w:rPr>
          <w:spacing w:val="-4"/>
          <w:lang w:val="en-GB"/>
        </w:rPr>
        <w:tab/>
        <w:t>The emission test-cycle is the test-cycle used for the measurement of the regulated emissions when qualifying a deteriorated component or system;</w:t>
      </w:r>
    </w:p>
    <w:p w:rsidR="00AF2027" w:rsidRPr="00B04DC3" w:rsidRDefault="00AF2027" w:rsidP="00AF2027">
      <w:pPr>
        <w:pStyle w:val="a"/>
        <w:rPr>
          <w:lang w:val="en-GB"/>
        </w:rPr>
      </w:pPr>
      <w:r w:rsidRPr="00B04DC3">
        <w:rPr>
          <w:lang w:val="en-GB"/>
        </w:rPr>
        <w:t>(b)</w:t>
      </w:r>
      <w:r w:rsidRPr="00B04DC3">
        <w:rPr>
          <w:lang w:val="en-GB"/>
        </w:rPr>
        <w:tab/>
        <w:t>The OBD test-cycle is the test-cycle used to demonstrate the capacity of the OBD monitors to detect malfunctions.</w:t>
      </w:r>
    </w:p>
    <w:p w:rsidR="00AF2027" w:rsidRPr="00B04DC3" w:rsidRDefault="00AF2027" w:rsidP="00AF2027">
      <w:pPr>
        <w:pStyle w:val="para"/>
        <w:spacing w:after="100"/>
        <w:rPr>
          <w:lang w:val="en-GB"/>
        </w:rPr>
      </w:pPr>
      <w:r w:rsidRPr="00B04DC3">
        <w:rPr>
          <w:lang w:val="en-GB"/>
        </w:rPr>
        <w:t>7.2.1.</w:t>
      </w:r>
      <w:r w:rsidRPr="00B04DC3">
        <w:rPr>
          <w:lang w:val="en-GB"/>
        </w:rPr>
        <w:tab/>
        <w:t>Emission test cycle</w:t>
      </w:r>
      <w:bookmarkEnd w:id="1026"/>
      <w:bookmarkEnd w:id="1027"/>
      <w:bookmarkEnd w:id="1028"/>
    </w:p>
    <w:p w:rsidR="00AF2027" w:rsidRPr="00B04DC3" w:rsidRDefault="00AF2027" w:rsidP="00AF2027">
      <w:pPr>
        <w:pStyle w:val="para"/>
        <w:rPr>
          <w:lang w:val="en-GB"/>
        </w:rPr>
      </w:pPr>
      <w:r w:rsidRPr="00B04DC3">
        <w:rPr>
          <w:lang w:val="en-GB"/>
        </w:rPr>
        <w:tab/>
        <w:t>The test-cycle considered in this annex for measuring emissions is the WHTC test-cycle as described in Annex 4B.</w:t>
      </w:r>
    </w:p>
    <w:p w:rsidR="00AF2027" w:rsidRPr="00B04DC3" w:rsidRDefault="00AF2027" w:rsidP="00454BF4">
      <w:pPr>
        <w:pStyle w:val="para"/>
        <w:keepNext/>
        <w:keepLines/>
        <w:spacing w:after="100"/>
        <w:rPr>
          <w:lang w:val="en-GB"/>
        </w:rPr>
      </w:pPr>
      <w:bookmarkStart w:id="1029" w:name="_Toc104881808"/>
      <w:bookmarkStart w:id="1030" w:name="_Toc118223094"/>
      <w:r w:rsidRPr="00B04DC3">
        <w:rPr>
          <w:lang w:val="en-GB"/>
        </w:rPr>
        <w:t>7.2.2.</w:t>
      </w:r>
      <w:r w:rsidRPr="00B04DC3">
        <w:rPr>
          <w:lang w:val="en-GB"/>
        </w:rPr>
        <w:tab/>
        <w:t>OBD test cycle</w:t>
      </w:r>
    </w:p>
    <w:p w:rsidR="00AF2027" w:rsidRPr="00B04DC3" w:rsidRDefault="00AF2027" w:rsidP="00AF2027">
      <w:pPr>
        <w:pStyle w:val="para"/>
        <w:rPr>
          <w:lang w:val="en-GB"/>
        </w:rPr>
      </w:pPr>
      <w:r w:rsidRPr="00B04DC3">
        <w:rPr>
          <w:lang w:val="en-GB"/>
        </w:rPr>
        <w:tab/>
        <w:t>The OBD test-cycle considered in this annex is the hot part of the WHTC cycle as described in Annex 4B.</w:t>
      </w:r>
    </w:p>
    <w:p w:rsidR="00AF2027" w:rsidRPr="00B04DC3" w:rsidRDefault="00AF2027" w:rsidP="00AF2027">
      <w:pPr>
        <w:pStyle w:val="para"/>
        <w:rPr>
          <w:spacing w:val="-4"/>
          <w:lang w:val="en-GB"/>
        </w:rPr>
      </w:pPr>
      <w:r w:rsidRPr="00B04DC3">
        <w:rPr>
          <w:spacing w:val="-4"/>
          <w:lang w:val="en-GB"/>
        </w:rPr>
        <w:tab/>
        <w:t>On request of the manufacturer and after approval of the</w:t>
      </w:r>
      <w:r w:rsidR="006C5B0C" w:rsidRPr="006C5B0C">
        <w:rPr>
          <w:lang w:val="en-GB"/>
        </w:rPr>
        <w:t xml:space="preserve"> </w:t>
      </w:r>
      <w:r w:rsidR="006C5B0C">
        <w:rPr>
          <w:lang w:val="en-GB"/>
        </w:rPr>
        <w:t>T</w:t>
      </w:r>
      <w:r w:rsidR="006C5B0C" w:rsidRPr="00B04DC3">
        <w:rPr>
          <w:lang w:val="en-GB"/>
        </w:rPr>
        <w:t xml:space="preserve">ype </w:t>
      </w:r>
      <w:r w:rsidR="006C5B0C">
        <w:rPr>
          <w:lang w:val="en-GB"/>
        </w:rPr>
        <w:t>A</w:t>
      </w:r>
      <w:r w:rsidR="006C5B0C" w:rsidRPr="00B04DC3">
        <w:rPr>
          <w:lang w:val="en-GB"/>
        </w:rPr>
        <w:t xml:space="preserve">pproval </w:t>
      </w:r>
      <w:r w:rsidR="006C5B0C">
        <w:rPr>
          <w:lang w:val="en-GB"/>
        </w:rPr>
        <w:t>A</w:t>
      </w:r>
      <w:r w:rsidR="006C5B0C" w:rsidRPr="00B04DC3">
        <w:rPr>
          <w:lang w:val="en-GB"/>
        </w:rPr>
        <w:t>uthority</w:t>
      </w:r>
      <w:r w:rsidRPr="00B04DC3">
        <w:rPr>
          <w:spacing w:val="-4"/>
          <w:lang w:val="en-GB"/>
        </w:rPr>
        <w:t>, an alternative OBD test-cycle can be used (e.g. the cold part of the WHTC cycle) for a specific monitor. The request shall contain documentation (technical considerations, simulation, test results, etc.) showing that:</w:t>
      </w:r>
    </w:p>
    <w:p w:rsidR="00AF2027" w:rsidRPr="00B04DC3" w:rsidRDefault="00AF2027" w:rsidP="00AF2027">
      <w:pPr>
        <w:pStyle w:val="a"/>
        <w:rPr>
          <w:lang w:val="en-GB"/>
        </w:rPr>
      </w:pPr>
      <w:r w:rsidRPr="00B04DC3">
        <w:rPr>
          <w:lang w:val="en-GB"/>
        </w:rPr>
        <w:t>(a)</w:t>
      </w:r>
      <w:r w:rsidRPr="00B04DC3">
        <w:rPr>
          <w:lang w:val="en-GB"/>
        </w:rPr>
        <w:tab/>
        <w:t>The requested test-cycle appropriate to demonstrate monitoring occurs under real world driving conditions, and</w:t>
      </w:r>
    </w:p>
    <w:p w:rsidR="00AF2027" w:rsidRPr="00B04DC3" w:rsidRDefault="00AF2027" w:rsidP="00AF2027">
      <w:pPr>
        <w:pStyle w:val="a"/>
        <w:rPr>
          <w:lang w:val="en-GB"/>
        </w:rPr>
      </w:pPr>
      <w:r w:rsidRPr="00B04DC3">
        <w:rPr>
          <w:lang w:val="en-GB"/>
        </w:rPr>
        <w:t>(b)</w:t>
      </w:r>
      <w:r w:rsidRPr="00B04DC3">
        <w:rPr>
          <w:lang w:val="en-GB"/>
        </w:rPr>
        <w:tab/>
        <w:t>The hot part of the WHTC cycle appears as less appropriate for the considered monitoring (e.g. fluid consumption monitoring).</w:t>
      </w:r>
    </w:p>
    <w:p w:rsidR="00AF2027" w:rsidRPr="00B04DC3" w:rsidRDefault="00AF2027" w:rsidP="00AF2027">
      <w:pPr>
        <w:pStyle w:val="para"/>
        <w:rPr>
          <w:lang w:val="en-GB"/>
        </w:rPr>
      </w:pPr>
      <w:r w:rsidRPr="00B04DC3">
        <w:rPr>
          <w:lang w:val="en-GB"/>
        </w:rPr>
        <w:t>7.2.3.</w:t>
      </w:r>
      <w:r w:rsidRPr="00B04DC3">
        <w:rPr>
          <w:lang w:val="en-GB"/>
        </w:rPr>
        <w:tab/>
        <w:t>Test operating conditions</w:t>
      </w:r>
      <w:bookmarkEnd w:id="1029"/>
      <w:bookmarkEnd w:id="1030"/>
    </w:p>
    <w:p w:rsidR="00AF2027" w:rsidRPr="00B04DC3" w:rsidRDefault="00AF2027" w:rsidP="00AF2027">
      <w:pPr>
        <w:pStyle w:val="para"/>
        <w:rPr>
          <w:lang w:val="en-GB"/>
        </w:rPr>
      </w:pPr>
      <w:r w:rsidRPr="00B04DC3">
        <w:rPr>
          <w:lang w:val="en-GB"/>
        </w:rPr>
        <w:tab/>
        <w:t xml:space="preserve">The conditions (i.e. temperature, altitude, fuel quality etc.) for conducting the tests referred to in paragraphs 7.2.1. and 7.2.2. </w:t>
      </w:r>
      <w:r w:rsidR="00D8408B">
        <w:rPr>
          <w:lang w:val="en-GB"/>
        </w:rPr>
        <w:t xml:space="preserve">above </w:t>
      </w:r>
      <w:r w:rsidRPr="00B04DC3">
        <w:rPr>
          <w:lang w:val="en-GB"/>
        </w:rPr>
        <w:t>shall be those required for operating the WHTC test cycle as described in Annex 4B.</w:t>
      </w:r>
    </w:p>
    <w:p w:rsidR="00AF2027" w:rsidRPr="00B04DC3" w:rsidRDefault="00AF2027" w:rsidP="00AF2027">
      <w:pPr>
        <w:pStyle w:val="para"/>
        <w:rPr>
          <w:lang w:val="en-GB"/>
        </w:rPr>
      </w:pPr>
      <w:r w:rsidRPr="00B04DC3">
        <w:rPr>
          <w:lang w:val="en-GB"/>
        </w:rPr>
        <w:tab/>
        <w:t>In the case of an emission test aimed at justifying the classification of a specific malfunction into Class B1, the test operating conditions may, per decision of the manufacturer, deviate from the ones in the paragraphs above according to paragraph 6.2.2.</w:t>
      </w:r>
      <w:r w:rsidR="00D8408B">
        <w:rPr>
          <w:lang w:val="en-GB"/>
        </w:rPr>
        <w:t xml:space="preserve"> of this annex.</w:t>
      </w:r>
    </w:p>
    <w:p w:rsidR="00AF2027" w:rsidRPr="00B04DC3" w:rsidRDefault="00AF2027" w:rsidP="00AF2027">
      <w:pPr>
        <w:pStyle w:val="para"/>
        <w:rPr>
          <w:lang w:val="en-GB"/>
        </w:rPr>
      </w:pPr>
      <w:bookmarkStart w:id="1031" w:name="_Toc104881809"/>
      <w:bookmarkStart w:id="1032" w:name="_Toc118223095"/>
      <w:bookmarkStart w:id="1033" w:name="_Toc118223096"/>
      <w:r w:rsidRPr="00B04DC3">
        <w:rPr>
          <w:lang w:val="en-GB"/>
        </w:rPr>
        <w:t>7.3.</w:t>
      </w:r>
      <w:r w:rsidRPr="00B04DC3">
        <w:rPr>
          <w:lang w:val="en-GB"/>
        </w:rPr>
        <w:tab/>
        <w:t xml:space="preserve">Test </w:t>
      </w:r>
      <w:bookmarkEnd w:id="1031"/>
      <w:bookmarkEnd w:id="1032"/>
      <w:r w:rsidRPr="00B04DC3">
        <w:rPr>
          <w:lang w:val="en-GB"/>
        </w:rPr>
        <w:t>reports</w:t>
      </w:r>
    </w:p>
    <w:p w:rsidR="00AF2027" w:rsidRPr="00B04DC3" w:rsidRDefault="00AF2027" w:rsidP="00AF2027">
      <w:pPr>
        <w:pStyle w:val="para"/>
        <w:rPr>
          <w:lang w:val="en-GB"/>
        </w:rPr>
      </w:pPr>
      <w:r w:rsidRPr="00B04DC3">
        <w:rPr>
          <w:lang w:val="en-GB"/>
        </w:rPr>
        <w:tab/>
        <w:t>The test report shall contain, at a minimum, the information set out in Appendix 4</w:t>
      </w:r>
      <w:r w:rsidR="00D8408B">
        <w:rPr>
          <w:lang w:val="en-GB"/>
        </w:rPr>
        <w:t xml:space="preserve"> of this annex</w:t>
      </w:r>
      <w:r w:rsidRPr="00B04DC3">
        <w:rPr>
          <w:lang w:val="en-GB"/>
        </w:rPr>
        <w:t>.</w:t>
      </w:r>
    </w:p>
    <w:p w:rsidR="00AF2027" w:rsidRPr="00B04DC3" w:rsidRDefault="00AF2027" w:rsidP="00AF2027">
      <w:pPr>
        <w:pStyle w:val="para"/>
        <w:rPr>
          <w:lang w:val="en-GB"/>
        </w:rPr>
      </w:pPr>
      <w:r w:rsidRPr="00B04DC3">
        <w:rPr>
          <w:lang w:val="en-GB"/>
        </w:rPr>
        <w:t>8.</w:t>
      </w:r>
      <w:r w:rsidRPr="00B04DC3">
        <w:rPr>
          <w:lang w:val="en-GB"/>
        </w:rPr>
        <w:tab/>
      </w:r>
      <w:bookmarkEnd w:id="1033"/>
      <w:r w:rsidRPr="00B04DC3">
        <w:rPr>
          <w:lang w:val="en-GB"/>
        </w:rPr>
        <w:t>Documentation requirements</w:t>
      </w:r>
    </w:p>
    <w:p w:rsidR="00AF2027" w:rsidRPr="00B04DC3" w:rsidRDefault="00AF2027" w:rsidP="00AF2027">
      <w:pPr>
        <w:pStyle w:val="para"/>
        <w:rPr>
          <w:lang w:val="en-GB"/>
        </w:rPr>
      </w:pPr>
      <w:bookmarkStart w:id="1034" w:name="_Toc104693944"/>
      <w:bookmarkStart w:id="1035" w:name="_Toc118223097"/>
      <w:r w:rsidRPr="00B04DC3">
        <w:rPr>
          <w:lang w:val="en-GB"/>
        </w:rPr>
        <w:t>8.1.</w:t>
      </w:r>
      <w:r w:rsidRPr="00B04DC3">
        <w:rPr>
          <w:lang w:val="en-GB"/>
        </w:rPr>
        <w:tab/>
        <w:t xml:space="preserve">Documentation for purpose of </w:t>
      </w:r>
      <w:bookmarkEnd w:id="1034"/>
      <w:bookmarkEnd w:id="1035"/>
      <w:r w:rsidRPr="00B04DC3">
        <w:rPr>
          <w:lang w:val="en-GB"/>
        </w:rPr>
        <w:t>approval</w:t>
      </w:r>
    </w:p>
    <w:p w:rsidR="00AF2027" w:rsidRPr="00B04DC3" w:rsidRDefault="00AF2027" w:rsidP="00AF2027">
      <w:pPr>
        <w:pStyle w:val="para"/>
        <w:rPr>
          <w:lang w:val="en-GB"/>
        </w:rPr>
      </w:pPr>
      <w:r w:rsidRPr="00B04DC3">
        <w:rPr>
          <w:lang w:val="en-GB"/>
        </w:rPr>
        <w:tab/>
        <w:t>The manufacturer shall provide a documentation package that includes a full description of the OBD system. The documentation package shall be made available in two parts:</w:t>
      </w:r>
    </w:p>
    <w:p w:rsidR="00AF2027" w:rsidRPr="00B04DC3" w:rsidRDefault="00AF2027" w:rsidP="00AF2027">
      <w:pPr>
        <w:pStyle w:val="a"/>
        <w:rPr>
          <w:lang w:val="en-GB"/>
        </w:rPr>
      </w:pPr>
      <w:r w:rsidRPr="00B04DC3">
        <w:rPr>
          <w:lang w:val="en-GB"/>
        </w:rPr>
        <w:t>(a)</w:t>
      </w:r>
      <w:r w:rsidRPr="00B04DC3">
        <w:rPr>
          <w:lang w:val="en-GB"/>
        </w:rPr>
        <w:tab/>
        <w:t xml:space="preserve">A first part, which may be brief, provided that it exhibits evidence concerning the relationships between monitors, sensors/actuators, and operating conditions (i.e. describes all enable conditions for monitors to run and disable conditions that cause monitors not to run). The documentation shall describe the functional operation of the OBD, including the malfunction ranking within the hierarchical classification. This material shall be retained by the </w:t>
      </w:r>
      <w:r w:rsidR="00454BF4">
        <w:rPr>
          <w:spacing w:val="-4"/>
          <w:lang w:val="en-GB"/>
        </w:rPr>
        <w:t xml:space="preserve">Type </w:t>
      </w:r>
      <w:r w:rsidRPr="00B04DC3">
        <w:rPr>
          <w:lang w:val="en-GB"/>
        </w:rPr>
        <w:t>Approval Authority. This information may be made available to interested parties upon request;</w:t>
      </w:r>
    </w:p>
    <w:p w:rsidR="00AF2027" w:rsidRPr="00B04DC3" w:rsidRDefault="00AF2027" w:rsidP="00AF2027">
      <w:pPr>
        <w:pStyle w:val="a"/>
        <w:rPr>
          <w:lang w:val="en-GB"/>
        </w:rPr>
      </w:pPr>
      <w:r w:rsidRPr="00B04DC3">
        <w:rPr>
          <w:lang w:val="en-GB"/>
        </w:rPr>
        <w:t>(b)</w:t>
      </w:r>
      <w:r w:rsidRPr="00B04DC3">
        <w:rPr>
          <w:lang w:val="en-GB"/>
        </w:rPr>
        <w:tab/>
        <w:t>A second part containing any data, including details of qualified deteriorated components or systems and associated test results, which are used as evidence to support the decision process referred to above, and a listing of all input and output signals that are available to the engine system and monitored by the OBD system. This second part shall also outline each monitoring strategy and the decision process.</w:t>
      </w:r>
    </w:p>
    <w:p w:rsidR="00AF2027" w:rsidRPr="00B04DC3" w:rsidRDefault="00AF2027" w:rsidP="00AF2027">
      <w:pPr>
        <w:pStyle w:val="para"/>
        <w:rPr>
          <w:lang w:val="en-GB"/>
        </w:rPr>
      </w:pPr>
      <w:r w:rsidRPr="00B04DC3">
        <w:rPr>
          <w:lang w:val="en-GB"/>
        </w:rPr>
        <w:tab/>
        <w:t xml:space="preserve">This second part shall remain strictly confidential. It may be kept by the </w:t>
      </w:r>
      <w:r w:rsidR="00454BF4">
        <w:rPr>
          <w:spacing w:val="-4"/>
          <w:lang w:val="en-GB"/>
        </w:rPr>
        <w:t xml:space="preserve">Type </w:t>
      </w:r>
      <w:r w:rsidRPr="00B04DC3">
        <w:rPr>
          <w:lang w:val="en-GB"/>
        </w:rPr>
        <w:t xml:space="preserve">Approval Authority, or, at the discretion of the </w:t>
      </w:r>
      <w:r w:rsidR="00454BF4">
        <w:rPr>
          <w:spacing w:val="-4"/>
          <w:lang w:val="en-GB"/>
        </w:rPr>
        <w:t xml:space="preserve">Type </w:t>
      </w:r>
      <w:r w:rsidRPr="00B04DC3">
        <w:rPr>
          <w:lang w:val="en-GB"/>
        </w:rPr>
        <w:t xml:space="preserve">Approval Authority, may be retained by the manufacturer but shall be made open for inspection by the </w:t>
      </w:r>
      <w:r w:rsidR="00454BF4">
        <w:rPr>
          <w:spacing w:val="-4"/>
          <w:lang w:val="en-GB"/>
        </w:rPr>
        <w:t xml:space="preserve">Type </w:t>
      </w:r>
      <w:r w:rsidRPr="00B04DC3">
        <w:rPr>
          <w:lang w:val="en-GB"/>
        </w:rPr>
        <w:t>Approval Authority at the time of approval or at any time during the validity of the approval.</w:t>
      </w:r>
    </w:p>
    <w:p w:rsidR="00AF2027" w:rsidRPr="00B04DC3" w:rsidRDefault="00AF2027" w:rsidP="00AF2027">
      <w:pPr>
        <w:pStyle w:val="para"/>
        <w:rPr>
          <w:lang w:val="en-GB"/>
        </w:rPr>
      </w:pPr>
      <w:r w:rsidRPr="00B04DC3">
        <w:rPr>
          <w:lang w:val="en-GB"/>
        </w:rPr>
        <w:t>8.1.1.</w:t>
      </w:r>
      <w:r w:rsidRPr="00B04DC3">
        <w:rPr>
          <w:lang w:val="en-GB"/>
        </w:rPr>
        <w:tab/>
        <w:t>Documentation associated with each monitored component or system</w:t>
      </w:r>
    </w:p>
    <w:p w:rsidR="00AF2027" w:rsidRPr="00B04DC3" w:rsidRDefault="00AF2027" w:rsidP="00AF2027">
      <w:pPr>
        <w:pStyle w:val="para"/>
        <w:rPr>
          <w:lang w:val="en-GB"/>
        </w:rPr>
      </w:pPr>
      <w:r w:rsidRPr="00B04DC3">
        <w:rPr>
          <w:lang w:val="en-GB"/>
        </w:rPr>
        <w:tab/>
        <w:t>The documentation package included in the second part shall contain but shall not be limited to the following information for each monitored component or system:</w:t>
      </w:r>
    </w:p>
    <w:p w:rsidR="00AF2027" w:rsidRPr="00B04DC3" w:rsidRDefault="00AF2027" w:rsidP="00AF2027">
      <w:pPr>
        <w:pStyle w:val="a"/>
        <w:rPr>
          <w:lang w:val="en-GB"/>
        </w:rPr>
      </w:pPr>
      <w:r w:rsidRPr="00B04DC3">
        <w:rPr>
          <w:lang w:val="en-GB"/>
        </w:rPr>
        <w:t>(a)</w:t>
      </w:r>
      <w:r w:rsidRPr="00B04DC3">
        <w:rPr>
          <w:lang w:val="en-GB"/>
        </w:rPr>
        <w:tab/>
        <w:t>The malfunctions and associated DTC(s);</w:t>
      </w:r>
    </w:p>
    <w:p w:rsidR="00AF2027" w:rsidRPr="00B04DC3" w:rsidRDefault="00AF2027" w:rsidP="00AF2027">
      <w:pPr>
        <w:pStyle w:val="a"/>
        <w:rPr>
          <w:lang w:val="en-GB"/>
        </w:rPr>
      </w:pPr>
      <w:r w:rsidRPr="00B04DC3">
        <w:rPr>
          <w:lang w:val="en-GB"/>
        </w:rPr>
        <w:t>(b)</w:t>
      </w:r>
      <w:r w:rsidRPr="00B04DC3">
        <w:rPr>
          <w:lang w:val="en-GB"/>
        </w:rPr>
        <w:tab/>
        <w:t>The monitoring method used for malfunction detection;</w:t>
      </w:r>
    </w:p>
    <w:p w:rsidR="00AF2027" w:rsidRPr="00B04DC3" w:rsidRDefault="00AF2027" w:rsidP="00AF2027">
      <w:pPr>
        <w:pStyle w:val="a"/>
        <w:rPr>
          <w:lang w:val="en-GB"/>
        </w:rPr>
      </w:pPr>
      <w:r w:rsidRPr="00B04DC3">
        <w:rPr>
          <w:lang w:val="en-GB"/>
        </w:rPr>
        <w:t>(c)</w:t>
      </w:r>
      <w:r w:rsidRPr="00B04DC3">
        <w:rPr>
          <w:lang w:val="en-GB"/>
        </w:rPr>
        <w:tab/>
        <w:t>The parameters used and the conditions necessary for malfunction detection and when applicable the fault criteria limits (performance and component monitoring);</w:t>
      </w:r>
    </w:p>
    <w:p w:rsidR="00AF2027" w:rsidRPr="00B04DC3" w:rsidRDefault="00AF2027" w:rsidP="00AF2027">
      <w:pPr>
        <w:pStyle w:val="a"/>
        <w:rPr>
          <w:lang w:val="en-GB"/>
        </w:rPr>
      </w:pPr>
      <w:r w:rsidRPr="00B04DC3">
        <w:rPr>
          <w:lang w:val="en-GB"/>
        </w:rPr>
        <w:t>(d)</w:t>
      </w:r>
      <w:r w:rsidRPr="00B04DC3">
        <w:rPr>
          <w:lang w:val="en-GB"/>
        </w:rPr>
        <w:tab/>
        <w:t>The criteria for storing a DTC;</w:t>
      </w:r>
    </w:p>
    <w:p w:rsidR="00AF2027" w:rsidRPr="00B04DC3" w:rsidRDefault="00AF2027" w:rsidP="00AF2027">
      <w:pPr>
        <w:pStyle w:val="a"/>
        <w:rPr>
          <w:lang w:val="en-GB"/>
        </w:rPr>
      </w:pPr>
      <w:r w:rsidRPr="00B04DC3">
        <w:rPr>
          <w:lang w:val="en-GB"/>
        </w:rPr>
        <w:t>(e)</w:t>
      </w:r>
      <w:r w:rsidRPr="00B04DC3">
        <w:rPr>
          <w:lang w:val="en-GB"/>
        </w:rPr>
        <w:tab/>
        <w:t>The monitoring "time length" (i.e. the operation time/procedure necessary to complete the monitoring) and the monitoring "frequency" (e.g. continuous, once per trip, etc.).</w:t>
      </w:r>
    </w:p>
    <w:p w:rsidR="00AF2027" w:rsidRPr="00B04DC3" w:rsidRDefault="00AF2027" w:rsidP="00AF2027">
      <w:pPr>
        <w:pStyle w:val="para"/>
        <w:rPr>
          <w:lang w:val="en-GB"/>
        </w:rPr>
      </w:pPr>
      <w:bookmarkStart w:id="1036" w:name="_Toc104693947"/>
      <w:bookmarkStart w:id="1037" w:name="_Toc118223100"/>
      <w:r w:rsidRPr="00B04DC3">
        <w:rPr>
          <w:lang w:val="en-GB"/>
        </w:rPr>
        <w:t>8.1.2.</w:t>
      </w:r>
      <w:r w:rsidRPr="00B04DC3">
        <w:rPr>
          <w:lang w:val="en-GB"/>
        </w:rPr>
        <w:tab/>
        <w:t>Documentation associated with the malfunction classification</w:t>
      </w:r>
      <w:bookmarkEnd w:id="1036"/>
      <w:bookmarkEnd w:id="1037"/>
      <w:r w:rsidRPr="00B04DC3">
        <w:rPr>
          <w:lang w:val="en-GB"/>
        </w:rPr>
        <w:t xml:space="preserve"> </w:t>
      </w:r>
    </w:p>
    <w:p w:rsidR="00AF2027" w:rsidRPr="00B04DC3" w:rsidRDefault="00AF2027" w:rsidP="00AF2027">
      <w:pPr>
        <w:pStyle w:val="para"/>
        <w:rPr>
          <w:lang w:val="en-GB"/>
        </w:rPr>
      </w:pPr>
      <w:r w:rsidRPr="00B04DC3">
        <w:rPr>
          <w:lang w:val="en-GB"/>
        </w:rPr>
        <w:tab/>
        <w:t>The documentation package included in the second part shall contain but shall not be limited to the following information for malfunction classification:</w:t>
      </w:r>
    </w:p>
    <w:p w:rsidR="00AF2027" w:rsidRPr="00B04DC3" w:rsidRDefault="00AF2027" w:rsidP="00AF2027">
      <w:pPr>
        <w:pStyle w:val="para"/>
        <w:rPr>
          <w:lang w:val="en-GB"/>
        </w:rPr>
      </w:pPr>
      <w:r w:rsidRPr="00B04DC3">
        <w:rPr>
          <w:lang w:val="en-GB"/>
        </w:rPr>
        <w:tab/>
        <w:t>The malfunction classification of each DTC shall be documented. This classification may be different for different engine types (e.g. different engine ratings) within the same emission-OBD family.</w:t>
      </w:r>
    </w:p>
    <w:p w:rsidR="00AF2027" w:rsidRPr="00B04DC3" w:rsidRDefault="00AF2027" w:rsidP="00AF2027">
      <w:pPr>
        <w:pStyle w:val="para"/>
        <w:rPr>
          <w:spacing w:val="-4"/>
          <w:lang w:val="en-GB"/>
        </w:rPr>
      </w:pPr>
      <w:r w:rsidRPr="00B04DC3">
        <w:rPr>
          <w:spacing w:val="-4"/>
          <w:lang w:val="en-GB"/>
        </w:rPr>
        <w:tab/>
        <w:t>This information shall include the technical justification required in paragraph 4.2. of this annex for classification into Class A, Class B1 or Class B2.</w:t>
      </w:r>
    </w:p>
    <w:p w:rsidR="00AF2027" w:rsidRPr="00B04DC3" w:rsidRDefault="00AF2027" w:rsidP="00AF2027">
      <w:pPr>
        <w:pStyle w:val="para"/>
        <w:rPr>
          <w:lang w:val="en-GB"/>
        </w:rPr>
      </w:pPr>
      <w:bookmarkStart w:id="1038" w:name="_Toc104693948"/>
      <w:bookmarkStart w:id="1039" w:name="_Toc118223101"/>
      <w:r w:rsidRPr="00B04DC3">
        <w:rPr>
          <w:lang w:val="en-GB"/>
        </w:rPr>
        <w:t>8.1.3.</w:t>
      </w:r>
      <w:r w:rsidRPr="00B04DC3">
        <w:rPr>
          <w:lang w:val="en-GB"/>
        </w:rPr>
        <w:tab/>
        <w:t>Documentation associated with the emission-OBD family</w:t>
      </w:r>
      <w:bookmarkEnd w:id="1038"/>
      <w:bookmarkEnd w:id="1039"/>
    </w:p>
    <w:p w:rsidR="00AF2027" w:rsidRPr="00B04DC3" w:rsidRDefault="00AF2027" w:rsidP="00AF2027">
      <w:pPr>
        <w:pStyle w:val="para"/>
        <w:rPr>
          <w:lang w:val="en-GB"/>
        </w:rPr>
      </w:pPr>
      <w:r w:rsidRPr="00B04DC3">
        <w:rPr>
          <w:lang w:val="en-GB"/>
        </w:rPr>
        <w:tab/>
        <w:t>The documentation package included in the second part shall contain but shall not be limited to the following information for emission OBD-family:</w:t>
      </w:r>
    </w:p>
    <w:p w:rsidR="00AF2027" w:rsidRPr="00B04DC3" w:rsidRDefault="00AF2027" w:rsidP="00AF2027">
      <w:pPr>
        <w:pStyle w:val="para"/>
        <w:rPr>
          <w:lang w:val="en-GB"/>
        </w:rPr>
      </w:pPr>
      <w:r w:rsidRPr="00B04DC3">
        <w:rPr>
          <w:lang w:val="en-GB"/>
        </w:rPr>
        <w:tab/>
        <w:t>A description of the emission-OBD family shall be provided. This description shall include a list and a description of the engine types within the family, the description of the OBD-parent engine system, and all elements that characterise the family according to paragraph 6.1.1. of this annex.</w:t>
      </w:r>
    </w:p>
    <w:p w:rsidR="00AF2027" w:rsidRPr="00B04DC3" w:rsidRDefault="00AF2027" w:rsidP="00AF2027">
      <w:pPr>
        <w:pStyle w:val="para"/>
        <w:rPr>
          <w:lang w:val="en-GB"/>
        </w:rPr>
      </w:pPr>
      <w:r w:rsidRPr="00B04DC3">
        <w:rPr>
          <w:lang w:val="en-GB"/>
        </w:rPr>
        <w:tab/>
        <w:t>In the case where the emission-OBD family includes engines belonging to different engine families, a summary description of these engine families shall be provided.</w:t>
      </w:r>
    </w:p>
    <w:p w:rsidR="00AF2027" w:rsidRPr="00B04DC3" w:rsidRDefault="00AF2027" w:rsidP="00AF2027">
      <w:pPr>
        <w:pStyle w:val="para"/>
        <w:ind w:firstLine="0"/>
        <w:rPr>
          <w:lang w:val="en-GB"/>
        </w:rPr>
      </w:pPr>
      <w:r w:rsidRPr="00B04DC3">
        <w:rPr>
          <w:lang w:val="en-GB"/>
        </w:rPr>
        <w:tab/>
      </w:r>
      <w:bookmarkStart w:id="1040" w:name="_Toc118223102"/>
      <w:r w:rsidRPr="00B04DC3">
        <w:rPr>
          <w:lang w:val="en-GB"/>
        </w:rPr>
        <w:t>In addition, the manufacturer shall provide a list of all electronic input, output and identification of the communication protocol utilized by each emission-OBD family.</w:t>
      </w:r>
    </w:p>
    <w:p w:rsidR="00AF2027" w:rsidRPr="00B04DC3" w:rsidRDefault="00AF2027" w:rsidP="00AF2027">
      <w:pPr>
        <w:pStyle w:val="para"/>
        <w:rPr>
          <w:lang w:val="en-GB"/>
        </w:rPr>
      </w:pPr>
      <w:r w:rsidRPr="00B04DC3">
        <w:rPr>
          <w:lang w:val="en-GB"/>
        </w:rPr>
        <w:t>8.2.</w:t>
      </w:r>
      <w:r w:rsidRPr="00B04DC3">
        <w:rPr>
          <w:lang w:val="en-GB"/>
        </w:rPr>
        <w:tab/>
        <w:t>Documentation for installing in a vehicle an OBD equipped engine system</w:t>
      </w:r>
      <w:bookmarkEnd w:id="1040"/>
    </w:p>
    <w:p w:rsidR="00AF2027" w:rsidRPr="00B04DC3" w:rsidRDefault="00AF2027" w:rsidP="00AF2027">
      <w:pPr>
        <w:pStyle w:val="para"/>
        <w:rPr>
          <w:lang w:val="en-GB"/>
        </w:rPr>
      </w:pPr>
      <w:r w:rsidRPr="00B04DC3">
        <w:rPr>
          <w:lang w:val="en-GB"/>
        </w:rPr>
        <w:tab/>
        <w:t>The engine manufacturer shall include in the installation documents of its engine system the appropriate requirements that will ensure the vehicle, when used on the road or elsewhere as appropriate, will comply with the requirements of this annex. This documentation shall include but is not limited to:</w:t>
      </w:r>
    </w:p>
    <w:p w:rsidR="00AF2027" w:rsidRPr="00B04DC3" w:rsidRDefault="00AF2027" w:rsidP="00AF2027">
      <w:pPr>
        <w:pStyle w:val="a"/>
        <w:rPr>
          <w:lang w:val="en-GB"/>
        </w:rPr>
      </w:pPr>
      <w:r w:rsidRPr="00B04DC3">
        <w:rPr>
          <w:lang w:val="en-GB"/>
        </w:rPr>
        <w:t>(a)</w:t>
      </w:r>
      <w:r w:rsidRPr="00B04DC3">
        <w:rPr>
          <w:lang w:val="en-GB"/>
        </w:rPr>
        <w:tab/>
        <w:t>The detailed technical requirements, including the provisions ensuring the compatibility with the OBD system of the engine system;</w:t>
      </w:r>
    </w:p>
    <w:p w:rsidR="00AF2027" w:rsidRPr="00B04DC3" w:rsidRDefault="00AF2027" w:rsidP="00AF2027">
      <w:pPr>
        <w:pStyle w:val="a"/>
        <w:rPr>
          <w:lang w:val="en-GB"/>
        </w:rPr>
      </w:pPr>
      <w:r w:rsidRPr="00B04DC3">
        <w:rPr>
          <w:lang w:val="en-GB"/>
        </w:rPr>
        <w:t>(b)</w:t>
      </w:r>
      <w:r w:rsidRPr="00B04DC3">
        <w:rPr>
          <w:lang w:val="en-GB"/>
        </w:rPr>
        <w:tab/>
        <w:t>The verification procedure to be completed.</w:t>
      </w:r>
    </w:p>
    <w:p w:rsidR="00AF2027" w:rsidRPr="00B04DC3" w:rsidRDefault="00AF2027" w:rsidP="00AF2027">
      <w:pPr>
        <w:pStyle w:val="para"/>
        <w:rPr>
          <w:lang w:val="en-GB"/>
        </w:rPr>
      </w:pPr>
      <w:r w:rsidRPr="00B04DC3">
        <w:rPr>
          <w:lang w:val="en-GB"/>
        </w:rPr>
        <w:tab/>
        <w:t>The existence and the adequacy of such installation requirements may be checked during the approval process of the engine system.</w:t>
      </w:r>
    </w:p>
    <w:p w:rsidR="00AF2027" w:rsidRPr="00B04DC3" w:rsidRDefault="00AF2027" w:rsidP="00AF2027">
      <w:pPr>
        <w:pStyle w:val="para"/>
        <w:ind w:firstLine="0"/>
        <w:rPr>
          <w:lang w:val="en-GB"/>
        </w:rPr>
      </w:pPr>
      <w:r w:rsidRPr="00B04DC3">
        <w:rPr>
          <w:i/>
          <w:lang w:val="en-GB"/>
        </w:rPr>
        <w:t>Note:</w:t>
      </w:r>
      <w:r w:rsidR="00A00827">
        <w:rPr>
          <w:lang w:val="en-GB"/>
        </w:rPr>
        <w:t xml:space="preserve"> </w:t>
      </w:r>
      <w:r w:rsidRPr="00B04DC3">
        <w:rPr>
          <w:lang w:val="en-GB"/>
        </w:rPr>
        <w:t>In the case a vehicle manufacturer applies for a direct approval of the installation of the OBD system on the vehicle, this documentation is not required.</w:t>
      </w:r>
    </w:p>
    <w:p w:rsidR="00AF2027" w:rsidRPr="00B04DC3" w:rsidRDefault="00AF2027" w:rsidP="00AF2027">
      <w:pPr>
        <w:pStyle w:val="para"/>
        <w:rPr>
          <w:lang w:val="en-GB"/>
        </w:rPr>
      </w:pPr>
      <w:r w:rsidRPr="00B04DC3">
        <w:rPr>
          <w:lang w:val="en-GB"/>
        </w:rPr>
        <w:t>8.3.</w:t>
      </w:r>
      <w:r w:rsidRPr="00B04DC3">
        <w:rPr>
          <w:lang w:val="en-GB"/>
        </w:rPr>
        <w:tab/>
        <w:t>Documentation regarding OBD related information</w:t>
      </w:r>
    </w:p>
    <w:p w:rsidR="00AF2027" w:rsidRPr="00B04DC3" w:rsidRDefault="00AF2027" w:rsidP="00AF2027">
      <w:pPr>
        <w:pStyle w:val="para"/>
        <w:rPr>
          <w:szCs w:val="24"/>
          <w:lang w:val="en-GB"/>
        </w:rPr>
      </w:pPr>
      <w:r w:rsidRPr="00B04DC3">
        <w:rPr>
          <w:lang w:val="en-GB"/>
        </w:rPr>
        <w:tab/>
        <w:t>Requirements of</w:t>
      </w:r>
      <w:r w:rsidRPr="00B04DC3">
        <w:rPr>
          <w:szCs w:val="24"/>
          <w:lang w:val="en-GB"/>
        </w:rPr>
        <w:t xml:space="preserve"> Appendix 7 </w:t>
      </w:r>
      <w:r w:rsidR="00D8408B">
        <w:rPr>
          <w:lang w:val="en-GB"/>
        </w:rPr>
        <w:t>to this annex</w:t>
      </w:r>
      <w:r w:rsidR="00D8408B" w:rsidRPr="00B04DC3">
        <w:rPr>
          <w:szCs w:val="24"/>
          <w:lang w:val="en-GB"/>
        </w:rPr>
        <w:t xml:space="preserve"> </w:t>
      </w:r>
      <w:r w:rsidRPr="00B04DC3">
        <w:rPr>
          <w:szCs w:val="24"/>
          <w:lang w:val="en-GB"/>
        </w:rPr>
        <w:t>have to be fulfilled.</w:t>
      </w:r>
    </w:p>
    <w:p w:rsidR="00AF2027" w:rsidRPr="00B04DC3" w:rsidRDefault="00AF2027" w:rsidP="00AF2027">
      <w:pPr>
        <w:pStyle w:val="para"/>
        <w:rPr>
          <w:lang w:val="en-GB"/>
        </w:rPr>
      </w:pPr>
      <w:r w:rsidRPr="00B04DC3">
        <w:rPr>
          <w:lang w:val="en-GB"/>
        </w:rPr>
        <w:t>9.</w:t>
      </w:r>
      <w:r w:rsidRPr="00B04DC3">
        <w:rPr>
          <w:lang w:val="en-GB"/>
        </w:rPr>
        <w:tab/>
        <w:t>Appendices</w:t>
      </w:r>
    </w:p>
    <w:p w:rsidR="00AF2027" w:rsidRPr="00B04DC3" w:rsidRDefault="00AF2027" w:rsidP="00AF2027">
      <w:pPr>
        <w:pStyle w:val="para"/>
        <w:rPr>
          <w:lang w:val="en-GB"/>
        </w:rPr>
      </w:pPr>
      <w:r w:rsidRPr="00B04DC3">
        <w:rPr>
          <w:lang w:val="en-GB"/>
        </w:rPr>
        <w:tab/>
        <w:t>Appendix 1:</w:t>
      </w:r>
      <w:r w:rsidRPr="00B04DC3">
        <w:rPr>
          <w:lang w:val="en-GB"/>
        </w:rPr>
        <w:tab/>
        <w:t>Approval of installation of OBD systems</w:t>
      </w:r>
    </w:p>
    <w:p w:rsidR="00AF2027" w:rsidRPr="00B04DC3" w:rsidRDefault="00AF2027" w:rsidP="00AF2027">
      <w:pPr>
        <w:pStyle w:val="para"/>
        <w:ind w:left="3402"/>
        <w:rPr>
          <w:lang w:val="en-GB"/>
        </w:rPr>
      </w:pPr>
      <w:r w:rsidRPr="00B04DC3">
        <w:rPr>
          <w:lang w:val="en-GB"/>
        </w:rPr>
        <w:t>Appendix 2:</w:t>
      </w:r>
      <w:r w:rsidRPr="00B04DC3">
        <w:rPr>
          <w:lang w:val="en-GB"/>
        </w:rPr>
        <w:tab/>
        <w:t>Malfunctions - Illustration of the DTC status - Illustration of the MI and counters activation schemes</w:t>
      </w:r>
    </w:p>
    <w:p w:rsidR="00AF2027" w:rsidRPr="00B04DC3" w:rsidRDefault="00AF2027" w:rsidP="00AF2027">
      <w:pPr>
        <w:pStyle w:val="para"/>
        <w:rPr>
          <w:lang w:val="en-GB"/>
        </w:rPr>
      </w:pPr>
      <w:r w:rsidRPr="00B04DC3">
        <w:rPr>
          <w:lang w:val="en-GB"/>
        </w:rPr>
        <w:tab/>
        <w:t>Appendix 3:</w:t>
      </w:r>
      <w:r w:rsidRPr="00B04DC3">
        <w:rPr>
          <w:lang w:val="en-GB"/>
        </w:rPr>
        <w:tab/>
        <w:t>Monitoring requirements</w:t>
      </w:r>
    </w:p>
    <w:p w:rsidR="00AF2027" w:rsidRPr="00B04DC3" w:rsidRDefault="00AF2027" w:rsidP="00AF2027">
      <w:pPr>
        <w:pStyle w:val="para"/>
        <w:rPr>
          <w:lang w:val="en-GB"/>
        </w:rPr>
      </w:pPr>
      <w:r w:rsidRPr="00B04DC3">
        <w:rPr>
          <w:lang w:val="en-GB"/>
        </w:rPr>
        <w:tab/>
        <w:t>Appendix 4:</w:t>
      </w:r>
      <w:r w:rsidRPr="00B04DC3">
        <w:rPr>
          <w:lang w:val="en-GB"/>
        </w:rPr>
        <w:tab/>
        <w:t>Technical compliance report</w:t>
      </w:r>
    </w:p>
    <w:p w:rsidR="00AF2027" w:rsidRPr="00B04DC3" w:rsidRDefault="00AF2027" w:rsidP="00AF2027">
      <w:pPr>
        <w:pStyle w:val="para"/>
        <w:rPr>
          <w:lang w:val="en-GB"/>
        </w:rPr>
      </w:pPr>
      <w:r w:rsidRPr="00B04DC3">
        <w:rPr>
          <w:lang w:val="en-GB"/>
        </w:rPr>
        <w:tab/>
        <w:t>Appendix 5:</w:t>
      </w:r>
      <w:r w:rsidRPr="00B04DC3">
        <w:rPr>
          <w:lang w:val="en-GB"/>
        </w:rPr>
        <w:tab/>
        <w:t>Freeze frame and data stream information</w:t>
      </w:r>
    </w:p>
    <w:p w:rsidR="00AF2027" w:rsidRPr="00B04DC3" w:rsidRDefault="00AF2027" w:rsidP="00AF2027">
      <w:pPr>
        <w:pStyle w:val="para"/>
        <w:rPr>
          <w:lang w:val="en-GB"/>
        </w:rPr>
      </w:pPr>
      <w:r w:rsidRPr="00B04DC3">
        <w:rPr>
          <w:lang w:val="en-GB"/>
        </w:rPr>
        <w:tab/>
        <w:t>Appendix 6:</w:t>
      </w:r>
      <w:r w:rsidRPr="00B04DC3">
        <w:rPr>
          <w:lang w:val="en-GB"/>
        </w:rPr>
        <w:tab/>
        <w:t>Reference standard documents</w:t>
      </w:r>
    </w:p>
    <w:p w:rsidR="00AF2027" w:rsidRPr="00B04DC3" w:rsidRDefault="00AF2027" w:rsidP="00AF2027">
      <w:pPr>
        <w:pStyle w:val="para"/>
        <w:rPr>
          <w:lang w:val="en-GB"/>
        </w:rPr>
      </w:pPr>
      <w:r w:rsidRPr="00B04DC3">
        <w:rPr>
          <w:lang w:val="en-GB"/>
        </w:rPr>
        <w:tab/>
        <w:t>Appendix 7:</w:t>
      </w:r>
      <w:r w:rsidRPr="00B04DC3">
        <w:rPr>
          <w:lang w:val="en-GB"/>
        </w:rPr>
        <w:tab/>
        <w:t>Documentation regarding OBD related information</w:t>
      </w:r>
    </w:p>
    <w:p w:rsidR="00AF2027" w:rsidRPr="00B04DC3" w:rsidRDefault="00AF2027" w:rsidP="00AF2027">
      <w:pPr>
        <w:pStyle w:val="para"/>
        <w:rPr>
          <w:lang w:val="en-GB"/>
        </w:rPr>
      </w:pPr>
    </w:p>
    <w:p w:rsidR="00AF2027" w:rsidRPr="00B04DC3" w:rsidRDefault="00AF2027" w:rsidP="00AF2027">
      <w:pPr>
        <w:pStyle w:val="GTRnormal"/>
        <w:tabs>
          <w:tab w:val="clear" w:pos="540"/>
          <w:tab w:val="left" w:pos="1134"/>
          <w:tab w:val="left" w:pos="1701"/>
          <w:tab w:val="left" w:pos="2268"/>
        </w:tabs>
        <w:ind w:left="0" w:firstLine="0"/>
        <w:jc w:val="both"/>
        <w:rPr>
          <w:rFonts w:ascii="Times New Roman" w:hAnsi="Times New Roman" w:cs="Times New Roman"/>
          <w:sz w:val="24"/>
        </w:rPr>
        <w:sectPr w:rsidR="00AF2027" w:rsidRPr="00B04DC3" w:rsidSect="00AF2027">
          <w:headerReference w:type="even" r:id="rId668"/>
          <w:headerReference w:type="default" r:id="rId669"/>
          <w:footerReference w:type="even" r:id="rId670"/>
          <w:footerReference w:type="default" r:id="rId671"/>
          <w:headerReference w:type="first" r:id="rId672"/>
          <w:footerReference w:type="first" r:id="rId673"/>
          <w:footnotePr>
            <w:numRestart w:val="eachSect"/>
          </w:footnotePr>
          <w:endnotePr>
            <w:numFmt w:val="decimal"/>
          </w:endnotePr>
          <w:pgSz w:w="11907" w:h="16840" w:code="9"/>
          <w:pgMar w:top="1701" w:right="1134" w:bottom="2268" w:left="1134" w:header="1134" w:footer="1701" w:gutter="0"/>
          <w:cols w:space="720"/>
          <w:titlePg/>
        </w:sectPr>
      </w:pPr>
    </w:p>
    <w:p w:rsidR="00AF2027" w:rsidRPr="00B04DC3" w:rsidRDefault="00AF2027" w:rsidP="00AF2027">
      <w:pPr>
        <w:pStyle w:val="HChG"/>
      </w:pPr>
      <w:bookmarkStart w:id="1041" w:name="_Toc423599680"/>
      <w:bookmarkStart w:id="1042" w:name="_Toc423611088"/>
      <w:r w:rsidRPr="00B04DC3">
        <w:t>Annex 9B</w:t>
      </w:r>
      <w:r w:rsidR="00454BF4">
        <w:t xml:space="preserve"> - </w:t>
      </w:r>
      <w:r w:rsidRPr="00B04DC3">
        <w:t>Appendix 1</w:t>
      </w:r>
      <w:bookmarkEnd w:id="1041"/>
      <w:bookmarkEnd w:id="1042"/>
    </w:p>
    <w:p w:rsidR="00AF2027" w:rsidRPr="00B04DC3" w:rsidRDefault="00AF2027" w:rsidP="00AF2027">
      <w:pPr>
        <w:pStyle w:val="HChG"/>
        <w:rPr>
          <w:i/>
          <w:sz w:val="24"/>
        </w:rPr>
      </w:pPr>
      <w:r w:rsidRPr="00B04DC3">
        <w:rPr>
          <w:i/>
        </w:rPr>
        <w:tab/>
      </w:r>
      <w:r w:rsidRPr="00B04DC3">
        <w:rPr>
          <w:i/>
        </w:rPr>
        <w:tab/>
      </w:r>
      <w:bookmarkStart w:id="1043" w:name="_Toc423599681"/>
      <w:bookmarkStart w:id="1044" w:name="_Toc423611089"/>
      <w:r w:rsidRPr="00B04DC3">
        <w:t>Approval of installation of OBD systems</w:t>
      </w:r>
      <w:bookmarkEnd w:id="1043"/>
      <w:bookmarkEnd w:id="1044"/>
    </w:p>
    <w:p w:rsidR="00AF2027" w:rsidRPr="00B04DC3" w:rsidRDefault="00AF2027" w:rsidP="00AF2027">
      <w:pPr>
        <w:pStyle w:val="para"/>
        <w:ind w:firstLine="0"/>
        <w:rPr>
          <w:lang w:val="en-GB"/>
        </w:rPr>
      </w:pPr>
      <w:r w:rsidRPr="00B04DC3">
        <w:rPr>
          <w:lang w:val="en-GB"/>
        </w:rPr>
        <w:t xml:space="preserve">This appendix considers the case where the vehicle manufacturer requests approval of the installation on a vehicle of (an) OBD system(s) within an emission OBD </w:t>
      </w:r>
      <w:r w:rsidR="00454BF4" w:rsidRPr="00B04DC3">
        <w:rPr>
          <w:lang w:val="en-GB"/>
        </w:rPr>
        <w:t>family that</w:t>
      </w:r>
      <w:r w:rsidRPr="00B04DC3">
        <w:rPr>
          <w:lang w:val="en-GB"/>
        </w:rPr>
        <w:t xml:space="preserve"> is (are) certified to the requirements of this annex.</w:t>
      </w:r>
    </w:p>
    <w:p w:rsidR="00AF2027" w:rsidRPr="00B04DC3" w:rsidRDefault="00AF2027" w:rsidP="00AF2027">
      <w:pPr>
        <w:pStyle w:val="para"/>
        <w:ind w:firstLine="0"/>
        <w:rPr>
          <w:lang w:val="en-GB"/>
        </w:rPr>
      </w:pPr>
      <w:r w:rsidRPr="00B04DC3">
        <w:rPr>
          <w:lang w:val="en-GB"/>
        </w:rPr>
        <w:t>In this case, and in addition to the general requirements of this annex, a demonstration of the correct installation is required. This demonstration shall be done on the basis of the appropriate element of design, results of verification tests, etc. and address the conformity of the following elements to the requirements of this annex:</w:t>
      </w:r>
    </w:p>
    <w:p w:rsidR="00AF2027" w:rsidRPr="00B04DC3" w:rsidRDefault="00AF2027" w:rsidP="00AF2027">
      <w:pPr>
        <w:pStyle w:val="a"/>
        <w:rPr>
          <w:lang w:val="en-GB"/>
        </w:rPr>
      </w:pPr>
      <w:r w:rsidRPr="00B04DC3">
        <w:rPr>
          <w:lang w:val="en-GB"/>
        </w:rPr>
        <w:t>(a)</w:t>
      </w:r>
      <w:r w:rsidRPr="00B04DC3">
        <w:rPr>
          <w:lang w:val="en-GB"/>
        </w:rPr>
        <w:tab/>
        <w:t>The installation on-board the vehicle as regards its compatibility with the OBD system of the engine-system;</w:t>
      </w:r>
    </w:p>
    <w:p w:rsidR="00AF2027" w:rsidRPr="00B04DC3" w:rsidRDefault="00AF2027" w:rsidP="00AF2027">
      <w:pPr>
        <w:pStyle w:val="a"/>
        <w:rPr>
          <w:lang w:val="en-GB"/>
        </w:rPr>
      </w:pPr>
      <w:r w:rsidRPr="00B04DC3">
        <w:rPr>
          <w:lang w:val="en-GB"/>
        </w:rPr>
        <w:t>(b)</w:t>
      </w:r>
      <w:r w:rsidRPr="00B04DC3">
        <w:rPr>
          <w:lang w:val="en-GB"/>
        </w:rPr>
        <w:tab/>
        <w:t>The MI (pictogram, activation schemes, etc.);</w:t>
      </w:r>
    </w:p>
    <w:p w:rsidR="00AF2027" w:rsidRPr="00B04DC3" w:rsidRDefault="00AF2027" w:rsidP="00AF2027">
      <w:pPr>
        <w:pStyle w:val="a"/>
        <w:rPr>
          <w:lang w:val="en-GB"/>
        </w:rPr>
      </w:pPr>
      <w:r w:rsidRPr="00B04DC3">
        <w:rPr>
          <w:lang w:val="en-GB"/>
        </w:rPr>
        <w:t>(c)</w:t>
      </w:r>
      <w:r w:rsidRPr="00B04DC3">
        <w:rPr>
          <w:lang w:val="en-GB"/>
        </w:rPr>
        <w:tab/>
        <w:t>The wired communication interface.</w:t>
      </w:r>
    </w:p>
    <w:p w:rsidR="00AF2027" w:rsidRPr="00B04DC3" w:rsidRDefault="00AF2027" w:rsidP="00AF2027">
      <w:pPr>
        <w:pStyle w:val="para"/>
        <w:ind w:firstLine="0"/>
        <w:rPr>
          <w:lang w:val="en-GB"/>
        </w:rPr>
      </w:pPr>
      <w:r w:rsidRPr="00B04DC3">
        <w:rPr>
          <w:lang w:val="en-GB"/>
        </w:rPr>
        <w:t>Correct MI illumination, information storage and on-board off-board OBD communication will be checked. But any check shall not force dismounting the engine system (e.g. an electric disconnection may be selected).</w:t>
      </w:r>
    </w:p>
    <w:p w:rsidR="00AF2027" w:rsidRPr="00B04DC3" w:rsidRDefault="00AF2027" w:rsidP="00AF2027">
      <w:pPr>
        <w:pStyle w:val="GTRnormalCarCarCar1"/>
        <w:ind w:left="0"/>
        <w:rPr>
          <w:rFonts w:ascii="Times New Roman" w:hAnsi="Times New Roman" w:cs="Times New Roman"/>
          <w:sz w:val="24"/>
        </w:rPr>
      </w:pPr>
    </w:p>
    <w:p w:rsidR="00AF2027" w:rsidRPr="00B04DC3" w:rsidRDefault="00AF2027" w:rsidP="00AF2027">
      <w:pPr>
        <w:pStyle w:val="GTRnormalCarCarCar1"/>
        <w:ind w:left="0"/>
        <w:rPr>
          <w:rFonts w:ascii="Times New Roman" w:hAnsi="Times New Roman" w:cs="Times New Roman"/>
          <w:sz w:val="24"/>
        </w:rPr>
        <w:sectPr w:rsidR="00AF2027" w:rsidRPr="00B04DC3" w:rsidSect="00AF2027">
          <w:headerReference w:type="even" r:id="rId674"/>
          <w:headerReference w:type="default" r:id="rId675"/>
          <w:footnotePr>
            <w:numRestart w:val="eachSect"/>
          </w:footnotePr>
          <w:endnotePr>
            <w:numFmt w:val="decimal"/>
          </w:endnotePr>
          <w:type w:val="nextColumn"/>
          <w:pgSz w:w="11907" w:h="16840" w:code="9"/>
          <w:pgMar w:top="1701" w:right="1134" w:bottom="2268" w:left="1134" w:header="851" w:footer="1701" w:gutter="0"/>
          <w:cols w:space="720"/>
        </w:sectPr>
      </w:pPr>
    </w:p>
    <w:p w:rsidR="00AF2027" w:rsidRPr="00B04DC3" w:rsidRDefault="00AF2027" w:rsidP="00AF2027">
      <w:pPr>
        <w:pStyle w:val="HChG"/>
      </w:pPr>
      <w:bookmarkStart w:id="1045" w:name="_Toc423599682"/>
      <w:bookmarkStart w:id="1046" w:name="_Toc423611090"/>
      <w:bookmarkStart w:id="1047" w:name="_Toc104694025"/>
      <w:bookmarkStart w:id="1048" w:name="_Toc118223105"/>
      <w:r w:rsidRPr="00B04DC3">
        <w:t>Annex 9B</w:t>
      </w:r>
      <w:r w:rsidR="00454BF4">
        <w:t xml:space="preserve"> - </w:t>
      </w:r>
      <w:r w:rsidRPr="00B04DC3">
        <w:t>Appendix 2</w:t>
      </w:r>
      <w:bookmarkEnd w:id="1045"/>
      <w:bookmarkEnd w:id="1046"/>
    </w:p>
    <w:p w:rsidR="00AF2027" w:rsidRPr="00B04DC3" w:rsidRDefault="00AF2027" w:rsidP="00141998">
      <w:pPr>
        <w:pStyle w:val="HChG"/>
        <w:rPr>
          <w:iCs/>
        </w:rPr>
      </w:pPr>
      <w:r w:rsidRPr="00B04DC3">
        <w:rPr>
          <w:i/>
          <w:iCs/>
          <w:caps/>
        </w:rPr>
        <w:tab/>
      </w:r>
      <w:r w:rsidRPr="00B04DC3">
        <w:rPr>
          <w:i/>
          <w:iCs/>
          <w:caps/>
        </w:rPr>
        <w:tab/>
      </w:r>
      <w:bookmarkStart w:id="1049" w:name="_Toc423599683"/>
      <w:bookmarkStart w:id="1050" w:name="_Toc423611091"/>
      <w:r w:rsidRPr="00B04DC3">
        <w:rPr>
          <w:iCs/>
        </w:rPr>
        <w:t>Malfunctions</w:t>
      </w:r>
      <w:r w:rsidR="00141998">
        <w:rPr>
          <w:iCs/>
        </w:rPr>
        <w:t xml:space="preserve"> - </w:t>
      </w:r>
      <w:r w:rsidRPr="00B04DC3">
        <w:rPr>
          <w:iCs/>
        </w:rPr>
        <w:t>Illustration of the DTC status</w:t>
      </w:r>
      <w:r w:rsidR="00141998">
        <w:rPr>
          <w:iCs/>
        </w:rPr>
        <w:t xml:space="preserve"> - </w:t>
      </w:r>
      <w:r w:rsidRPr="00B04DC3">
        <w:rPr>
          <w:iCs/>
        </w:rPr>
        <w:t>Illustration of the MI and counters activation schemes</w:t>
      </w:r>
      <w:bookmarkEnd w:id="1049"/>
      <w:bookmarkEnd w:id="1050"/>
      <w:r w:rsidRPr="00B04DC3">
        <w:rPr>
          <w:iCs/>
        </w:rPr>
        <w:t xml:space="preserve"> </w:t>
      </w:r>
      <w:bookmarkEnd w:id="1047"/>
      <w:bookmarkEnd w:id="1048"/>
    </w:p>
    <w:p w:rsidR="00AF2027" w:rsidRPr="00B04DC3" w:rsidRDefault="00AF2027" w:rsidP="00AF2027">
      <w:pPr>
        <w:pStyle w:val="para"/>
        <w:ind w:firstLine="0"/>
        <w:rPr>
          <w:lang w:val="en-GB"/>
        </w:rPr>
      </w:pPr>
      <w:r w:rsidRPr="00B04DC3">
        <w:rPr>
          <w:lang w:val="en-GB"/>
        </w:rPr>
        <w:t>This appendix aims at illustrating the requirements set in paragraphs 4.3. and 4.6.5. of this annex.</w:t>
      </w:r>
    </w:p>
    <w:p w:rsidR="00AF2027" w:rsidRPr="00B04DC3" w:rsidRDefault="00AF2027" w:rsidP="00AF2027">
      <w:pPr>
        <w:pStyle w:val="para"/>
        <w:ind w:firstLine="0"/>
        <w:rPr>
          <w:lang w:val="en-GB"/>
        </w:rPr>
      </w:pPr>
      <w:r w:rsidRPr="00B04DC3">
        <w:rPr>
          <w:lang w:val="en-GB"/>
        </w:rPr>
        <w:t>It contains the following figures:</w:t>
      </w:r>
    </w:p>
    <w:p w:rsidR="00AF2027" w:rsidRPr="00B04DC3" w:rsidRDefault="00AF2027" w:rsidP="00AF2027">
      <w:pPr>
        <w:pStyle w:val="para"/>
        <w:ind w:left="3402"/>
        <w:rPr>
          <w:lang w:val="en-GB"/>
        </w:rPr>
      </w:pPr>
      <w:r w:rsidRPr="00B04DC3">
        <w:rPr>
          <w:lang w:val="en-GB"/>
        </w:rPr>
        <w:t>Figure 1:</w:t>
      </w:r>
      <w:r w:rsidRPr="00B04DC3">
        <w:rPr>
          <w:lang w:val="en-GB"/>
        </w:rPr>
        <w:tab/>
        <w:t>DTC status in case of a class B1 malfunction</w:t>
      </w:r>
    </w:p>
    <w:p w:rsidR="00AF2027" w:rsidRPr="00B04DC3" w:rsidRDefault="00AF2027" w:rsidP="00AF2027">
      <w:pPr>
        <w:pStyle w:val="para"/>
        <w:ind w:left="3402"/>
        <w:rPr>
          <w:lang w:val="en-GB"/>
        </w:rPr>
      </w:pPr>
      <w:r w:rsidRPr="00B04DC3">
        <w:rPr>
          <w:lang w:val="en-GB"/>
        </w:rPr>
        <w:t>Figure 2</w:t>
      </w:r>
      <w:r w:rsidRPr="00B04DC3">
        <w:rPr>
          <w:lang w:val="en-GB"/>
        </w:rPr>
        <w:tab/>
        <w:t xml:space="preserve">DTC status in case of 2 consecutive different </w:t>
      </w:r>
      <w:r w:rsidR="00141998">
        <w:rPr>
          <w:lang w:val="en-GB"/>
        </w:rPr>
        <w:t>C</w:t>
      </w:r>
      <w:r w:rsidR="00141998" w:rsidRPr="00B04DC3">
        <w:rPr>
          <w:lang w:val="en-GB"/>
        </w:rPr>
        <w:t xml:space="preserve">lass </w:t>
      </w:r>
      <w:r w:rsidRPr="00B04DC3">
        <w:rPr>
          <w:lang w:val="en-GB"/>
        </w:rPr>
        <w:t>B1 malfunctions</w:t>
      </w:r>
    </w:p>
    <w:p w:rsidR="00A9113E" w:rsidRPr="00B04DC3" w:rsidRDefault="00A9113E" w:rsidP="00A9113E">
      <w:pPr>
        <w:spacing w:after="120"/>
        <w:ind w:left="3402" w:right="1134" w:hanging="1134"/>
        <w:jc w:val="both"/>
      </w:pPr>
      <w:r w:rsidRPr="00B04DC3">
        <w:t>Figure 3:</w:t>
      </w:r>
      <w:r w:rsidRPr="00B04DC3">
        <w:tab/>
        <w:t xml:space="preserve">DTC status in case of the re-occurrence of a </w:t>
      </w:r>
      <w:r w:rsidR="00141998">
        <w:t>C</w:t>
      </w:r>
      <w:r w:rsidRPr="00B04DC3">
        <w:t>lass B1 malfunction</w:t>
      </w:r>
    </w:p>
    <w:p w:rsidR="00A9113E" w:rsidRPr="00B04DC3" w:rsidRDefault="00A9113E" w:rsidP="00A9113E">
      <w:pPr>
        <w:spacing w:after="120"/>
        <w:ind w:left="3402" w:right="1134" w:hanging="1134"/>
        <w:jc w:val="both"/>
      </w:pPr>
      <w:r w:rsidRPr="00B04DC3">
        <w:t>Figure 4A:</w:t>
      </w:r>
      <w:r w:rsidRPr="00B04DC3">
        <w:tab/>
        <w:t>Class A malfunction -activation of the MI and MI counters</w:t>
      </w:r>
    </w:p>
    <w:p w:rsidR="00A9113E" w:rsidRPr="00B04DC3" w:rsidRDefault="00A9113E" w:rsidP="00A9113E">
      <w:pPr>
        <w:spacing w:after="120"/>
        <w:ind w:left="3402" w:right="1134" w:hanging="1134"/>
        <w:jc w:val="both"/>
      </w:pPr>
      <w:r w:rsidRPr="00B04DC3">
        <w:t>Figure 4B:</w:t>
      </w:r>
      <w:r w:rsidRPr="00B04DC3">
        <w:tab/>
        <w:t>Illustration of the continuous MI deactivation principle</w:t>
      </w:r>
    </w:p>
    <w:p w:rsidR="00A9113E" w:rsidRPr="00B04DC3" w:rsidRDefault="00A9113E" w:rsidP="00A9113E">
      <w:pPr>
        <w:pStyle w:val="para"/>
        <w:ind w:left="3402"/>
        <w:rPr>
          <w:lang w:val="en-GB"/>
        </w:rPr>
      </w:pPr>
      <w:r w:rsidRPr="00B04DC3">
        <w:rPr>
          <w:lang w:val="en-GB"/>
        </w:rPr>
        <w:t>Figure 5:</w:t>
      </w:r>
      <w:r w:rsidRPr="00B04DC3">
        <w:rPr>
          <w:lang w:val="en-GB"/>
        </w:rPr>
        <w:tab/>
        <w:t>Class B1 malfunction - activation of the B1 counter in 5 use cases</w:t>
      </w:r>
    </w:p>
    <w:p w:rsidR="00AF2027" w:rsidRPr="00B04DC3" w:rsidRDefault="001A5A17" w:rsidP="00AF2027">
      <w:pPr>
        <w:pStyle w:val="para"/>
        <w:spacing w:after="0"/>
        <w:ind w:left="3402" w:hanging="2268"/>
        <w:rPr>
          <w:lang w:val="en-GB"/>
        </w:rPr>
      </w:pPr>
      <w:r>
        <w:rPr>
          <w:lang w:val="en-GB"/>
        </w:rPr>
        <w:br w:type="page"/>
      </w:r>
      <w:r w:rsidR="00AF2027" w:rsidRPr="00B04DC3">
        <w:rPr>
          <w:lang w:val="en-GB"/>
        </w:rPr>
        <w:t>Figure 1</w:t>
      </w:r>
    </w:p>
    <w:p w:rsidR="00AF2027" w:rsidRPr="00B04DC3" w:rsidRDefault="00AF2027" w:rsidP="00AF2027">
      <w:pPr>
        <w:pStyle w:val="Heading1"/>
        <w:keepNext/>
        <w:keepLines/>
        <w:rPr>
          <w:b/>
        </w:rPr>
      </w:pPr>
      <w:bookmarkStart w:id="1051" w:name="_Toc399940100"/>
      <w:bookmarkStart w:id="1052" w:name="_Toc423599684"/>
      <w:bookmarkStart w:id="1053" w:name="_Toc423611092"/>
      <w:r w:rsidRPr="00B04DC3">
        <w:rPr>
          <w:b/>
        </w:rPr>
        <w:t>DTC status in case of a class B1 malfunction</w:t>
      </w:r>
      <w:bookmarkEnd w:id="1051"/>
      <w:bookmarkEnd w:id="1052"/>
      <w:bookmarkEnd w:id="1053"/>
    </w:p>
    <w:p w:rsidR="00AF2027" w:rsidRPr="00B04DC3" w:rsidRDefault="00A905B7" w:rsidP="00122420">
      <w:pPr>
        <w:pStyle w:val="GTRnormal"/>
        <w:tabs>
          <w:tab w:val="clear" w:pos="540"/>
          <w:tab w:val="left" w:pos="1418"/>
          <w:tab w:val="left" w:pos="1701"/>
          <w:tab w:val="left" w:pos="2268"/>
          <w:tab w:val="left" w:pos="8789"/>
        </w:tabs>
        <w:ind w:left="0" w:firstLine="0"/>
      </w:pPr>
      <w:r>
        <w:pict>
          <v:shape id="_x0000_i1450" type="#_x0000_t75" style="width:483.6pt;height:281.4pt">
            <v:imagedata r:id="rId676" o:title=""/>
          </v:shape>
        </w:pict>
      </w:r>
    </w:p>
    <w:p w:rsidR="00AF2027" w:rsidRPr="00B04DC3" w:rsidRDefault="00AF2027" w:rsidP="00317274">
      <w:pPr>
        <w:pStyle w:val="para"/>
        <w:keepNext/>
        <w:keepLines/>
        <w:rPr>
          <w:i/>
          <w:lang w:val="en-GB"/>
        </w:rPr>
      </w:pPr>
      <w:r w:rsidRPr="00B04DC3">
        <w:rPr>
          <w:i/>
          <w:lang w:val="en-GB"/>
        </w:rPr>
        <w:t>Notes:</w:t>
      </w:r>
    </w:p>
    <w:p w:rsidR="00AF2027" w:rsidRPr="00B04DC3" w:rsidRDefault="00AF2027" w:rsidP="00317274">
      <w:pPr>
        <w:pStyle w:val="para"/>
        <w:keepNext/>
        <w:keepLines/>
        <w:rPr>
          <w:lang w:val="en-GB"/>
        </w:rPr>
      </w:pPr>
      <w:r w:rsidRPr="00B04DC3">
        <w:rPr>
          <w:lang w:val="en-GB"/>
        </w:rPr>
        <w:sym w:font="Wingdings 3" w:char="F037"/>
      </w:r>
      <w:r w:rsidRPr="00B04DC3">
        <w:rPr>
          <w:lang w:val="en-GB"/>
        </w:rPr>
        <w:tab/>
        <w:t>Means the point a monitoring of the concerned malfunction occurs</w:t>
      </w:r>
    </w:p>
    <w:p w:rsidR="00AF2027" w:rsidRPr="00B04DC3" w:rsidRDefault="00AF2027" w:rsidP="00AF2027">
      <w:pPr>
        <w:pStyle w:val="para"/>
        <w:rPr>
          <w:lang w:val="en-GB"/>
        </w:rPr>
      </w:pPr>
      <w:r w:rsidRPr="00B04DC3">
        <w:rPr>
          <w:lang w:val="en-GB"/>
        </w:rPr>
        <w:t>N, M</w:t>
      </w:r>
      <w:r w:rsidRPr="00B04DC3">
        <w:rPr>
          <w:lang w:val="en-GB"/>
        </w:rPr>
        <w:tab/>
      </w:r>
      <w:r w:rsidR="00C77F35" w:rsidRPr="00B04DC3">
        <w:rPr>
          <w:lang w:val="en-GB"/>
        </w:rPr>
        <w:t>Th</w:t>
      </w:r>
      <w:r w:rsidR="00C77F35">
        <w:rPr>
          <w:lang w:val="en-GB"/>
        </w:rPr>
        <w:t>is</w:t>
      </w:r>
      <w:r w:rsidR="00C77F35" w:rsidRPr="00B04DC3">
        <w:rPr>
          <w:lang w:val="en-GB"/>
        </w:rPr>
        <w:t xml:space="preserve"> </w:t>
      </w:r>
      <w:r w:rsidRPr="00B04DC3">
        <w:rPr>
          <w:lang w:val="en-GB"/>
        </w:rPr>
        <w:t>annex requires the identification of "key" operating sequences during which some events occurs, and the counting of the subsequent operating sequences. For the purpose of illustrating this requirement, the "key" operating sequences have been given the values N and M.</w:t>
      </w:r>
    </w:p>
    <w:p w:rsidR="00AF2027" w:rsidRPr="00B04DC3" w:rsidRDefault="00AF2027" w:rsidP="00AF2027">
      <w:pPr>
        <w:pStyle w:val="para"/>
        <w:rPr>
          <w:lang w:val="en-GB"/>
        </w:rPr>
      </w:pPr>
      <w:r w:rsidRPr="00B04DC3">
        <w:rPr>
          <w:lang w:val="en-GB"/>
        </w:rPr>
        <w:t xml:space="preserve">M </w:t>
      </w:r>
      <w:r w:rsidR="00317274">
        <w:rPr>
          <w:lang w:val="en-GB"/>
        </w:rPr>
        <w:tab/>
        <w:t>M</w:t>
      </w:r>
      <w:r w:rsidRPr="00B04DC3">
        <w:rPr>
          <w:lang w:val="en-GB"/>
        </w:rPr>
        <w:t>eans the first operating sequence following the detection of a potential malfunction, and N means the operating sequence during which the MI is switched OFF.</w:t>
      </w:r>
    </w:p>
    <w:p w:rsidR="00AF2027" w:rsidRPr="00B04DC3" w:rsidRDefault="00AF2027" w:rsidP="00AF2027">
      <w:pPr>
        <w:pStyle w:val="Heading1"/>
        <w:keepNext/>
        <w:keepLines/>
      </w:pPr>
      <w:bookmarkStart w:id="1054" w:name="_Toc399940101"/>
      <w:bookmarkStart w:id="1055" w:name="_Toc423599685"/>
      <w:bookmarkStart w:id="1056" w:name="_Toc423611093"/>
      <w:r w:rsidRPr="00B04DC3">
        <w:t>Figure 2</w:t>
      </w:r>
      <w:bookmarkEnd w:id="1054"/>
      <w:bookmarkEnd w:id="1055"/>
      <w:bookmarkEnd w:id="1056"/>
    </w:p>
    <w:p w:rsidR="00AF2027" w:rsidRPr="00B04DC3" w:rsidRDefault="00AF2027" w:rsidP="00AF2027">
      <w:pPr>
        <w:pStyle w:val="Heading1"/>
        <w:keepNext/>
        <w:keepLines/>
        <w:rPr>
          <w:b/>
        </w:rPr>
      </w:pPr>
      <w:bookmarkStart w:id="1057" w:name="_Toc399940102"/>
      <w:bookmarkStart w:id="1058" w:name="_Toc423599686"/>
      <w:bookmarkStart w:id="1059" w:name="_Toc423611094"/>
      <w:r w:rsidRPr="00B04DC3">
        <w:rPr>
          <w:b/>
        </w:rPr>
        <w:t xml:space="preserve">DTC status in case of 2 consecutive different </w:t>
      </w:r>
      <w:r w:rsidR="00C77F35">
        <w:rPr>
          <w:b/>
        </w:rPr>
        <w:t>C</w:t>
      </w:r>
      <w:r w:rsidR="00C77F35" w:rsidRPr="00B04DC3">
        <w:rPr>
          <w:b/>
        </w:rPr>
        <w:t xml:space="preserve">lass </w:t>
      </w:r>
      <w:r w:rsidRPr="00B04DC3">
        <w:rPr>
          <w:b/>
        </w:rPr>
        <w:t>B1 malfunctions</w:t>
      </w:r>
      <w:bookmarkEnd w:id="1057"/>
      <w:bookmarkEnd w:id="1058"/>
      <w:bookmarkEnd w:id="1059"/>
    </w:p>
    <w:p w:rsidR="00AF2027" w:rsidRPr="00B04DC3" w:rsidRDefault="00A905B7" w:rsidP="00317274">
      <w:pPr>
        <w:pStyle w:val="GTRnormal"/>
        <w:tabs>
          <w:tab w:val="clear" w:pos="540"/>
          <w:tab w:val="left" w:pos="1418"/>
          <w:tab w:val="left" w:pos="1701"/>
          <w:tab w:val="left" w:pos="2268"/>
          <w:tab w:val="left" w:pos="8789"/>
        </w:tabs>
        <w:ind w:left="0" w:firstLine="0"/>
      </w:pPr>
      <w:r>
        <w:pict>
          <v:shape id="_x0000_i1451" type="#_x0000_t75" style="width:490.2pt;height:284.4pt">
            <v:imagedata r:id="rId677" o:title=""/>
          </v:shape>
        </w:pict>
      </w:r>
    </w:p>
    <w:p w:rsidR="00AF2027" w:rsidRPr="00B04DC3" w:rsidRDefault="00AF2027" w:rsidP="00AF2027">
      <w:pPr>
        <w:pStyle w:val="para"/>
        <w:rPr>
          <w:i/>
          <w:lang w:val="en-GB"/>
        </w:rPr>
      </w:pPr>
      <w:r w:rsidRPr="00B04DC3">
        <w:rPr>
          <w:i/>
          <w:lang w:val="en-GB"/>
        </w:rPr>
        <w:t>Notes:</w:t>
      </w:r>
    </w:p>
    <w:p w:rsidR="00AF2027" w:rsidRPr="00B04DC3" w:rsidRDefault="00AF2027" w:rsidP="00AF2027">
      <w:pPr>
        <w:pStyle w:val="para"/>
        <w:rPr>
          <w:lang w:val="en-GB"/>
        </w:rPr>
      </w:pPr>
      <w:r w:rsidRPr="00B04DC3">
        <w:rPr>
          <w:lang w:val="en-GB"/>
        </w:rPr>
        <w:sym w:font="Wingdings 3" w:char="F037"/>
      </w:r>
      <w:r w:rsidRPr="00B04DC3">
        <w:rPr>
          <w:lang w:val="en-GB"/>
        </w:rPr>
        <w:tab/>
        <w:t>Means the point a monitoring of the concerned malfunction occurs</w:t>
      </w:r>
    </w:p>
    <w:p w:rsidR="00AF2027" w:rsidRPr="00B04DC3" w:rsidRDefault="00AF2027" w:rsidP="00AF2027">
      <w:pPr>
        <w:pStyle w:val="para"/>
        <w:rPr>
          <w:lang w:val="en-GB"/>
        </w:rPr>
      </w:pPr>
      <w:r w:rsidRPr="00B04DC3">
        <w:rPr>
          <w:lang w:val="en-GB"/>
        </w:rPr>
        <w:t>N, M,</w:t>
      </w:r>
    </w:p>
    <w:p w:rsidR="00AF2027" w:rsidRPr="00B04DC3" w:rsidRDefault="00AF2027" w:rsidP="00AF2027">
      <w:pPr>
        <w:pStyle w:val="para"/>
        <w:rPr>
          <w:lang w:val="en-GB"/>
        </w:rPr>
      </w:pPr>
      <w:r w:rsidRPr="00B04DC3">
        <w:rPr>
          <w:lang w:val="en-GB"/>
        </w:rPr>
        <w:t>N', M'</w:t>
      </w:r>
      <w:r w:rsidRPr="00B04DC3">
        <w:rPr>
          <w:lang w:val="en-GB"/>
        </w:rPr>
        <w:tab/>
      </w:r>
      <w:r w:rsidR="00C77F35" w:rsidRPr="00B04DC3">
        <w:rPr>
          <w:lang w:val="en-GB"/>
        </w:rPr>
        <w:t>Th</w:t>
      </w:r>
      <w:r w:rsidR="00C77F35">
        <w:rPr>
          <w:lang w:val="en-GB"/>
        </w:rPr>
        <w:t>is</w:t>
      </w:r>
      <w:r w:rsidR="00C77F35" w:rsidRPr="00B04DC3">
        <w:rPr>
          <w:lang w:val="en-GB"/>
        </w:rPr>
        <w:t xml:space="preserve"> </w:t>
      </w:r>
      <w:r w:rsidRPr="00B04DC3">
        <w:rPr>
          <w:lang w:val="en-GB"/>
        </w:rPr>
        <w:t>annex requires the identification of "key" operating sequences during which some events occurs, and the counting of the subsequent operating sequences. For the purpose of illustrating this requirement, the "key" operating sequences have been given the values N and M for the first malfunction, respectively N' and M' for the second one.</w:t>
      </w:r>
    </w:p>
    <w:p w:rsidR="00AF2027" w:rsidRPr="00B04DC3" w:rsidRDefault="00AF2027" w:rsidP="00AF2027">
      <w:pPr>
        <w:pStyle w:val="para"/>
        <w:rPr>
          <w:lang w:val="en-GB"/>
        </w:rPr>
      </w:pPr>
      <w:r w:rsidRPr="00B04DC3">
        <w:rPr>
          <w:lang w:val="en-GB"/>
        </w:rPr>
        <w:t xml:space="preserve">M </w:t>
      </w:r>
      <w:r w:rsidR="00317274">
        <w:rPr>
          <w:lang w:val="en-GB"/>
        </w:rPr>
        <w:tab/>
        <w:t>M</w:t>
      </w:r>
      <w:r w:rsidRPr="00B04DC3">
        <w:rPr>
          <w:lang w:val="en-GB"/>
        </w:rPr>
        <w:t>eans the first operating sequence following the detection of a potential malfunction, and N means the operating sequence during which the MI is switched OFF.</w:t>
      </w:r>
    </w:p>
    <w:p w:rsidR="00AF2027" w:rsidRPr="00B04DC3" w:rsidRDefault="00AF2027" w:rsidP="00AF2027">
      <w:pPr>
        <w:pStyle w:val="para"/>
        <w:rPr>
          <w:lang w:val="en-GB"/>
        </w:rPr>
      </w:pPr>
      <w:r w:rsidRPr="00B04DC3">
        <w:rPr>
          <w:lang w:val="en-GB"/>
        </w:rPr>
        <w:t>N + 40</w:t>
      </w:r>
      <w:r w:rsidRPr="00B04DC3">
        <w:rPr>
          <w:lang w:val="en-GB"/>
        </w:rPr>
        <w:tab/>
      </w:r>
      <w:r w:rsidR="00C77F35">
        <w:rPr>
          <w:lang w:val="en-GB"/>
        </w:rPr>
        <w:t>T</w:t>
      </w:r>
      <w:r w:rsidR="00C77F35" w:rsidRPr="00B04DC3">
        <w:rPr>
          <w:lang w:val="en-GB"/>
        </w:rPr>
        <w:t xml:space="preserve">he </w:t>
      </w:r>
      <w:r w:rsidRPr="00B04DC3">
        <w:rPr>
          <w:lang w:val="en-GB"/>
        </w:rPr>
        <w:t>fortieth operating sequence after the first extinction of the MI or 200 engine operating hours, whichever the earliest.</w:t>
      </w:r>
    </w:p>
    <w:p w:rsidR="00AF2027" w:rsidRPr="00B04DC3" w:rsidRDefault="00AF2027" w:rsidP="00AF2027">
      <w:pPr>
        <w:pStyle w:val="Heading1"/>
        <w:keepNext/>
        <w:keepLines/>
      </w:pPr>
      <w:r w:rsidRPr="00B04DC3">
        <w:br w:type="page"/>
      </w:r>
      <w:bookmarkStart w:id="1060" w:name="_Toc399940103"/>
      <w:bookmarkStart w:id="1061" w:name="_Toc423599687"/>
      <w:bookmarkStart w:id="1062" w:name="_Toc423611095"/>
      <w:r w:rsidRPr="00B04DC3">
        <w:t>Figure 3</w:t>
      </w:r>
      <w:bookmarkEnd w:id="1060"/>
      <w:bookmarkEnd w:id="1061"/>
      <w:bookmarkEnd w:id="1062"/>
    </w:p>
    <w:p w:rsidR="00AF2027" w:rsidRPr="00B04DC3" w:rsidRDefault="00AF2027" w:rsidP="00AF2027">
      <w:pPr>
        <w:pStyle w:val="Heading1"/>
        <w:keepNext/>
        <w:keepLines/>
        <w:rPr>
          <w:b/>
        </w:rPr>
      </w:pPr>
      <w:bookmarkStart w:id="1063" w:name="_Toc399940104"/>
      <w:bookmarkStart w:id="1064" w:name="_Toc423599688"/>
      <w:bookmarkStart w:id="1065" w:name="_Toc423611096"/>
      <w:r w:rsidRPr="00B04DC3">
        <w:rPr>
          <w:b/>
        </w:rPr>
        <w:t xml:space="preserve">DTC status in case of the re-occurrence of a </w:t>
      </w:r>
      <w:r w:rsidR="00C77F35">
        <w:rPr>
          <w:b/>
        </w:rPr>
        <w:t>C</w:t>
      </w:r>
      <w:r w:rsidR="00C77F35" w:rsidRPr="00B04DC3">
        <w:rPr>
          <w:b/>
        </w:rPr>
        <w:t xml:space="preserve">lass </w:t>
      </w:r>
      <w:r w:rsidRPr="00B04DC3">
        <w:rPr>
          <w:b/>
        </w:rPr>
        <w:t>B1 malfunction</w:t>
      </w:r>
      <w:bookmarkEnd w:id="1063"/>
      <w:bookmarkEnd w:id="1064"/>
      <w:bookmarkEnd w:id="1065"/>
    </w:p>
    <w:p w:rsidR="00AF2027" w:rsidRPr="00B04DC3" w:rsidRDefault="00A905B7" w:rsidP="00317274">
      <w:pPr>
        <w:pStyle w:val="GTRnormal"/>
        <w:tabs>
          <w:tab w:val="clear" w:pos="540"/>
          <w:tab w:val="left" w:pos="1418"/>
          <w:tab w:val="left" w:pos="1701"/>
          <w:tab w:val="left" w:pos="2268"/>
          <w:tab w:val="left" w:pos="8789"/>
        </w:tabs>
        <w:ind w:left="0" w:firstLine="0"/>
      </w:pPr>
      <w:r>
        <w:pict>
          <v:shape id="_x0000_i1452" type="#_x0000_t75" style="width:489pt;height:287.4pt">
            <v:imagedata r:id="rId678" o:title=""/>
          </v:shape>
        </w:pict>
      </w:r>
    </w:p>
    <w:p w:rsidR="00AF2027" w:rsidRPr="00B04DC3" w:rsidRDefault="00AF2027" w:rsidP="00AF2027">
      <w:pPr>
        <w:pStyle w:val="para"/>
        <w:rPr>
          <w:i/>
          <w:lang w:val="en-GB"/>
        </w:rPr>
      </w:pPr>
      <w:r w:rsidRPr="00B04DC3">
        <w:rPr>
          <w:i/>
          <w:lang w:val="en-GB"/>
        </w:rPr>
        <w:t>Notes:</w:t>
      </w:r>
    </w:p>
    <w:p w:rsidR="00AF2027" w:rsidRPr="00B04DC3" w:rsidRDefault="00AF2027" w:rsidP="00AF2027">
      <w:pPr>
        <w:pStyle w:val="para"/>
        <w:rPr>
          <w:lang w:val="en-GB"/>
        </w:rPr>
      </w:pPr>
      <w:r w:rsidRPr="00B04DC3">
        <w:rPr>
          <w:lang w:val="en-GB"/>
        </w:rPr>
        <w:sym w:font="Wingdings 3" w:char="F037"/>
      </w:r>
      <w:r w:rsidRPr="00B04DC3">
        <w:rPr>
          <w:lang w:val="en-GB"/>
        </w:rPr>
        <w:tab/>
      </w:r>
      <w:r w:rsidR="00317274">
        <w:t>M</w:t>
      </w:r>
      <w:r w:rsidRPr="00B04DC3">
        <w:rPr>
          <w:lang w:val="en-GB"/>
        </w:rPr>
        <w:t>eans the point a monitoring of the concerned malfunction occurs</w:t>
      </w:r>
    </w:p>
    <w:p w:rsidR="00AF2027" w:rsidRPr="00B04DC3" w:rsidRDefault="00AF2027" w:rsidP="00AF2027">
      <w:pPr>
        <w:pStyle w:val="para"/>
        <w:rPr>
          <w:lang w:val="en-GB"/>
        </w:rPr>
      </w:pPr>
      <w:r w:rsidRPr="00B04DC3">
        <w:rPr>
          <w:lang w:val="en-GB"/>
        </w:rPr>
        <w:t>N, M,</w:t>
      </w:r>
    </w:p>
    <w:p w:rsidR="00AF2027" w:rsidRPr="00B04DC3" w:rsidRDefault="00AF2027" w:rsidP="00AF2027">
      <w:pPr>
        <w:pStyle w:val="para"/>
        <w:rPr>
          <w:lang w:val="en-GB"/>
        </w:rPr>
      </w:pPr>
      <w:r w:rsidRPr="00B04DC3">
        <w:rPr>
          <w:lang w:val="en-GB"/>
        </w:rPr>
        <w:t>N', M'</w:t>
      </w:r>
      <w:r w:rsidRPr="00B04DC3">
        <w:rPr>
          <w:lang w:val="en-GB"/>
        </w:rPr>
        <w:tab/>
      </w:r>
      <w:r w:rsidR="00C77F35" w:rsidRPr="00C77F35">
        <w:rPr>
          <w:lang w:val="en-GB"/>
        </w:rPr>
        <w:t>Th</w:t>
      </w:r>
      <w:r w:rsidR="00C77F35">
        <w:rPr>
          <w:lang w:val="en-GB"/>
        </w:rPr>
        <w:t>is</w:t>
      </w:r>
      <w:r w:rsidR="00C77F35" w:rsidRPr="00C77F35">
        <w:rPr>
          <w:lang w:val="en-GB"/>
        </w:rPr>
        <w:t xml:space="preserve"> </w:t>
      </w:r>
      <w:r w:rsidRPr="00C77F35">
        <w:rPr>
          <w:lang w:val="en-GB"/>
        </w:rPr>
        <w:t>annex</w:t>
      </w:r>
      <w:r w:rsidRPr="00B04DC3">
        <w:rPr>
          <w:lang w:val="en-GB"/>
        </w:rPr>
        <w:t xml:space="preserve"> requires the identification of "key" operating sequences during which some events occurs, and the counting of the subsequent operating sequences. For the purpose of illustrating this requirement, the "key" operating sequences have been given the values N and M for the first occurrence of a malfunction, respectively N' and M' for the second one.</w:t>
      </w:r>
    </w:p>
    <w:p w:rsidR="00AF2027" w:rsidRPr="00B04DC3" w:rsidRDefault="00AF2027" w:rsidP="00AF2027">
      <w:pPr>
        <w:pStyle w:val="para"/>
        <w:rPr>
          <w:lang w:val="en-GB"/>
        </w:rPr>
      </w:pPr>
      <w:r w:rsidRPr="00B04DC3">
        <w:rPr>
          <w:lang w:val="en-GB"/>
        </w:rPr>
        <w:tab/>
        <w:t>E.g. M means the first operating sequence following the detection of a potential malfunction, and N means the operating sequence during which the MI is switched OFF.</w:t>
      </w:r>
    </w:p>
    <w:p w:rsidR="00A9113E" w:rsidRPr="00B04DC3" w:rsidRDefault="00AF2027" w:rsidP="00317274">
      <w:pPr>
        <w:pStyle w:val="Heading1"/>
        <w:keepNext/>
        <w:keepLines/>
        <w:spacing w:before="240"/>
        <w:ind w:left="1140"/>
      </w:pPr>
      <w:r w:rsidRPr="00B04DC3">
        <w:br w:type="page"/>
      </w:r>
      <w:bookmarkStart w:id="1066" w:name="_Toc399940105"/>
      <w:bookmarkStart w:id="1067" w:name="_Toc423599689"/>
      <w:bookmarkStart w:id="1068" w:name="_Toc423611097"/>
      <w:r w:rsidR="00A9113E" w:rsidRPr="00B04DC3">
        <w:t>Figure 4A</w:t>
      </w:r>
      <w:bookmarkEnd w:id="1066"/>
      <w:bookmarkEnd w:id="1067"/>
      <w:bookmarkEnd w:id="1068"/>
    </w:p>
    <w:p w:rsidR="00A9113E" w:rsidRPr="00B04DC3" w:rsidRDefault="00A9113E" w:rsidP="00624E4E">
      <w:pPr>
        <w:spacing w:after="120"/>
        <w:ind w:left="1140" w:right="1138"/>
        <w:jc w:val="both"/>
        <w:rPr>
          <w:b/>
          <w:bCs/>
        </w:rPr>
      </w:pPr>
      <w:r w:rsidRPr="00B04DC3">
        <w:rPr>
          <w:b/>
          <w:bCs/>
          <w:sz w:val="19"/>
          <w:szCs w:val="19"/>
        </w:rPr>
        <w:t>Class A malfunction - activation of the MI and MI counters</w:t>
      </w:r>
    </w:p>
    <w:p w:rsidR="00A9113E" w:rsidRPr="00B04DC3" w:rsidRDefault="00A905B7" w:rsidP="00A9113E">
      <w:pPr>
        <w:tabs>
          <w:tab w:val="left" w:pos="2300"/>
        </w:tabs>
        <w:spacing w:after="120"/>
        <w:ind w:left="2300" w:right="1134" w:hanging="2300"/>
        <w:jc w:val="both"/>
      </w:pPr>
      <w:r>
        <w:rPr>
          <w:sz w:val="24"/>
          <w:szCs w:val="24"/>
        </w:rPr>
        <w:pict>
          <v:shape id="_x0000_i1453" type="#_x0000_t75" style="width:480pt;height:339.6pt" o:bordertopcolor="this" o:borderleftcolor="this" o:borderbottomcolor="this" o:borderrightcolor="this">
            <v:imagedata r:id="rId679" o:title=""/>
            <w10:bordertop type="single" width="4"/>
            <w10:borderleft type="single" width="4"/>
            <w10:borderbottom type="single" width="4"/>
            <w10:borderright type="single" width="4"/>
          </v:shape>
        </w:pict>
      </w:r>
    </w:p>
    <w:p w:rsidR="00AF2027" w:rsidRPr="00B04DC3" w:rsidRDefault="00A9113E" w:rsidP="00317274">
      <w:pPr>
        <w:pStyle w:val="Heading1"/>
        <w:ind w:right="1134"/>
        <w:rPr>
          <w:color w:val="996600"/>
          <w:sz w:val="24"/>
        </w:rPr>
      </w:pPr>
      <w:bookmarkStart w:id="1069" w:name="_Toc399940106"/>
      <w:bookmarkStart w:id="1070" w:name="_Toc423599690"/>
      <w:bookmarkStart w:id="1071" w:name="_Toc423611098"/>
      <w:r w:rsidRPr="00B04DC3">
        <w:rPr>
          <w:i/>
        </w:rPr>
        <w:t>Note:</w:t>
      </w:r>
      <w:r w:rsidRPr="00B04DC3">
        <w:t xml:space="preserve"> Details related to the deactivation of the continuous MI are illustrated in Figure 4B below in the specific case where a potential state is present.</w:t>
      </w:r>
      <w:bookmarkEnd w:id="1069"/>
      <w:bookmarkEnd w:id="1070"/>
      <w:bookmarkEnd w:id="1071"/>
    </w:p>
    <w:p w:rsidR="00221134" w:rsidRPr="00B04DC3" w:rsidRDefault="00221134" w:rsidP="00221134">
      <w:pPr>
        <w:keepNext/>
        <w:keepLines/>
        <w:spacing w:before="240" w:line="240" w:lineRule="auto"/>
        <w:ind w:left="1134"/>
        <w:outlineLvl w:val="0"/>
      </w:pPr>
      <w:r w:rsidRPr="00B04DC3">
        <w:t>Figure 4B</w:t>
      </w:r>
    </w:p>
    <w:p w:rsidR="00221134" w:rsidRPr="00B04DC3" w:rsidRDefault="00221134" w:rsidP="00221134">
      <w:pPr>
        <w:keepNext/>
        <w:keepLines/>
        <w:spacing w:after="120"/>
        <w:ind w:left="1138" w:right="1138"/>
        <w:jc w:val="both"/>
        <w:rPr>
          <w:b/>
          <w:bCs/>
        </w:rPr>
      </w:pPr>
      <w:r w:rsidRPr="00B04DC3">
        <w:rPr>
          <w:b/>
          <w:bCs/>
          <w:sz w:val="19"/>
          <w:szCs w:val="19"/>
        </w:rPr>
        <w:t>Illustration of the continuous MI deactivation principle</w:t>
      </w:r>
    </w:p>
    <w:p w:rsidR="00317274" w:rsidRDefault="00A905B7" w:rsidP="00221134">
      <w:pPr>
        <w:keepNext/>
        <w:keepLines/>
        <w:spacing w:before="120" w:after="120"/>
        <w:ind w:right="1134"/>
        <w:jc w:val="both"/>
        <w:rPr>
          <w:sz w:val="24"/>
          <w:u w:val="single"/>
        </w:rPr>
      </w:pPr>
      <w:r>
        <w:rPr>
          <w:sz w:val="24"/>
          <w:u w:val="single"/>
        </w:rPr>
        <w:pict>
          <v:shape id="_x0000_i1454" type="#_x0000_t75" style="width:480pt;height:235.8pt" o:bordertopcolor="this" o:borderleftcolor="this" o:borderbottomcolor="this" o:borderrightcolor="this">
            <v:imagedata r:id="rId680" o:title=""/>
            <w10:bordertop type="single" width="4"/>
            <w10:borderleft type="single" width="4"/>
            <w10:borderbottom type="single" width="4"/>
            <w10:borderright type="single" width="4"/>
          </v:shape>
        </w:pict>
      </w:r>
    </w:p>
    <w:p w:rsidR="00221134" w:rsidRPr="00B04DC3" w:rsidRDefault="00221134" w:rsidP="00317274">
      <w:pPr>
        <w:keepNext/>
        <w:keepLines/>
        <w:spacing w:before="120" w:after="120"/>
        <w:ind w:left="567" w:right="1134" w:firstLine="567"/>
        <w:jc w:val="both"/>
        <w:rPr>
          <w:i/>
        </w:rPr>
      </w:pPr>
      <w:r w:rsidRPr="00B04DC3">
        <w:rPr>
          <w:i/>
        </w:rPr>
        <w:t>Notes:</w:t>
      </w:r>
    </w:p>
    <w:p w:rsidR="00221134" w:rsidRPr="00B04DC3" w:rsidRDefault="00221134" w:rsidP="00221134">
      <w:pPr>
        <w:tabs>
          <w:tab w:val="left" w:pos="1900"/>
        </w:tabs>
        <w:spacing w:after="120"/>
        <w:ind w:left="1899" w:hanging="765"/>
        <w:jc w:val="both"/>
      </w:pPr>
      <w:r w:rsidRPr="00B04DC3">
        <w:sym w:font="Wingdings 3" w:char="F037"/>
      </w:r>
      <w:r w:rsidRPr="00B04DC3">
        <w:tab/>
      </w:r>
      <w:r w:rsidR="00317274">
        <w:t>M</w:t>
      </w:r>
      <w:r w:rsidRPr="00B04DC3">
        <w:t>eans the point where monitoring of the concerned malfunction occurs.</w:t>
      </w:r>
    </w:p>
    <w:p w:rsidR="00221134" w:rsidRPr="00B04DC3" w:rsidRDefault="00221134" w:rsidP="00221134">
      <w:pPr>
        <w:tabs>
          <w:tab w:val="left" w:pos="1900"/>
        </w:tabs>
        <w:spacing w:after="120"/>
        <w:ind w:left="1899" w:hanging="765"/>
        <w:jc w:val="both"/>
      </w:pPr>
      <w:r w:rsidRPr="00B04DC3">
        <w:t>M</w:t>
      </w:r>
      <w:r w:rsidRPr="00B04DC3">
        <w:tab/>
      </w:r>
      <w:r w:rsidR="00317274">
        <w:t>M</w:t>
      </w:r>
      <w:r w:rsidRPr="00B04DC3">
        <w:t>eans the operating sequence when the monitor concludes for the first time that a confirmed and active failure is no longer present.</w:t>
      </w:r>
    </w:p>
    <w:p w:rsidR="00221134" w:rsidRPr="00B04DC3" w:rsidRDefault="001A5A17" w:rsidP="00221134">
      <w:pPr>
        <w:tabs>
          <w:tab w:val="left" w:pos="1900"/>
        </w:tabs>
        <w:spacing w:after="120"/>
        <w:ind w:left="1899" w:hanging="765"/>
        <w:jc w:val="both"/>
      </w:pPr>
      <w:r w:rsidRPr="00B04DC3">
        <w:t>Case</w:t>
      </w:r>
      <w:r w:rsidR="00221134" w:rsidRPr="00B04DC3">
        <w:t xml:space="preserve"> 1</w:t>
      </w:r>
      <w:r w:rsidR="00221134" w:rsidRPr="00B04DC3">
        <w:tab/>
      </w:r>
      <w:r w:rsidR="00317274">
        <w:t>M</w:t>
      </w:r>
      <w:r w:rsidR="00221134" w:rsidRPr="00B04DC3">
        <w:t>eans the case where the monitor does not conclude the presence of failure during the operating sequence M.</w:t>
      </w:r>
    </w:p>
    <w:p w:rsidR="00221134" w:rsidRPr="00B04DC3" w:rsidRDefault="001A5A17" w:rsidP="00221134">
      <w:pPr>
        <w:tabs>
          <w:tab w:val="left" w:pos="1900"/>
        </w:tabs>
        <w:spacing w:after="120"/>
        <w:ind w:left="1899" w:hanging="765"/>
        <w:jc w:val="both"/>
      </w:pPr>
      <w:r w:rsidRPr="00B04DC3">
        <w:t>Case</w:t>
      </w:r>
      <w:r w:rsidR="00221134" w:rsidRPr="00B04DC3">
        <w:t xml:space="preserve"> 2</w:t>
      </w:r>
      <w:r w:rsidR="00221134" w:rsidRPr="00B04DC3">
        <w:tab/>
      </w:r>
      <w:r w:rsidR="00317274">
        <w:t>M</w:t>
      </w:r>
      <w:r w:rsidR="00221134" w:rsidRPr="00B04DC3">
        <w:t>eans the case where the monitor has previously concluded, during the operating sequence M, the presence of the malfunction.</w:t>
      </w:r>
    </w:p>
    <w:p w:rsidR="00221134" w:rsidRPr="00B04DC3" w:rsidRDefault="001A5A17" w:rsidP="00221134">
      <w:pPr>
        <w:pStyle w:val="Heading1"/>
        <w:keepNext/>
        <w:keepLines/>
        <w:ind w:left="1890" w:hanging="756"/>
      </w:pPr>
      <w:bookmarkStart w:id="1072" w:name="_Toc399940107"/>
      <w:bookmarkStart w:id="1073" w:name="_Toc423599691"/>
      <w:bookmarkStart w:id="1074" w:name="_Toc423611099"/>
      <w:r w:rsidRPr="00B04DC3">
        <w:t>Case</w:t>
      </w:r>
      <w:r w:rsidR="00221134" w:rsidRPr="00B04DC3">
        <w:t xml:space="preserve"> 3</w:t>
      </w:r>
      <w:r w:rsidR="00221134" w:rsidRPr="00B04DC3">
        <w:tab/>
      </w:r>
      <w:r w:rsidR="00317274">
        <w:t>M</w:t>
      </w:r>
      <w:r w:rsidR="00221134" w:rsidRPr="00B04DC3">
        <w:t>eans the case where the monitor concludes during the operating sequence M the presence of the malfunction after having first concluded to its absence.</w:t>
      </w:r>
      <w:bookmarkEnd w:id="1072"/>
      <w:bookmarkEnd w:id="1073"/>
      <w:bookmarkEnd w:id="1074"/>
    </w:p>
    <w:p w:rsidR="00AF2027" w:rsidRPr="00B04DC3" w:rsidRDefault="00AF2027" w:rsidP="00221134">
      <w:pPr>
        <w:pStyle w:val="Heading1"/>
        <w:keepNext/>
        <w:keepLines/>
        <w:ind w:left="1890" w:hanging="756"/>
      </w:pPr>
      <w:r w:rsidRPr="00B04DC3">
        <w:br w:type="page"/>
      </w:r>
      <w:bookmarkStart w:id="1075" w:name="_Toc399940108"/>
      <w:bookmarkStart w:id="1076" w:name="_Toc423599692"/>
      <w:bookmarkStart w:id="1077" w:name="_Toc423611100"/>
      <w:r w:rsidRPr="00B04DC3">
        <w:t>Figure 5</w:t>
      </w:r>
      <w:bookmarkEnd w:id="1075"/>
      <w:bookmarkEnd w:id="1076"/>
      <w:bookmarkEnd w:id="1077"/>
    </w:p>
    <w:p w:rsidR="00AF2027" w:rsidRPr="00B04DC3" w:rsidRDefault="00AF2027" w:rsidP="00AF2027">
      <w:pPr>
        <w:pStyle w:val="Heading1"/>
        <w:keepNext/>
        <w:keepLines/>
      </w:pPr>
      <w:bookmarkStart w:id="1078" w:name="_Toc399940109"/>
      <w:bookmarkStart w:id="1079" w:name="_Toc423599693"/>
      <w:bookmarkStart w:id="1080" w:name="_Toc423611101"/>
      <w:r w:rsidRPr="00B04DC3">
        <w:rPr>
          <w:b/>
        </w:rPr>
        <w:t>Class B1 malfunction - activation of the B1 counter in 5 use cases</w:t>
      </w:r>
      <w:bookmarkEnd w:id="1078"/>
      <w:bookmarkEnd w:id="1079"/>
      <w:bookmarkEnd w:id="1080"/>
    </w:p>
    <w:p w:rsidR="00AF2027" w:rsidRPr="00B04DC3" w:rsidRDefault="00A905B7" w:rsidP="00AF2027">
      <w:pPr>
        <w:pStyle w:val="GTRnormalCarCarCar1"/>
        <w:ind w:left="142"/>
        <w:jc w:val="both"/>
        <w:rPr>
          <w:rFonts w:ascii="Times New Roman" w:hAnsi="Times New Roman" w:cs="Times New Roman"/>
          <w:color w:val="996600"/>
          <w:sz w:val="24"/>
        </w:rPr>
      </w:pPr>
      <w:r>
        <w:rPr>
          <w:rFonts w:ascii="Times New Roman" w:hAnsi="Times New Roman" w:cs="Times New Roman"/>
          <w:color w:val="996600"/>
          <w:sz w:val="24"/>
        </w:rPr>
        <w:pict>
          <v:shape id="_x0000_i1455" type="#_x0000_t75" style="width:427.2pt;height:302.4pt">
            <v:imagedata r:id="rId681" o:title=""/>
          </v:shape>
        </w:pict>
      </w:r>
    </w:p>
    <w:p w:rsidR="00AF2027" w:rsidRPr="00B04DC3" w:rsidRDefault="00AF2027" w:rsidP="00AF2027">
      <w:pPr>
        <w:pStyle w:val="para"/>
        <w:rPr>
          <w:lang w:val="en-GB"/>
        </w:rPr>
      </w:pPr>
      <w:r w:rsidRPr="00B04DC3">
        <w:rPr>
          <w:i/>
          <w:lang w:val="en-GB"/>
        </w:rPr>
        <w:t>Note:</w:t>
      </w:r>
      <w:r w:rsidRPr="00B04DC3">
        <w:rPr>
          <w:lang w:val="en-GB"/>
        </w:rPr>
        <w:t xml:space="preserve"> In this example, it is assumed that there is a single B1 counter.</w:t>
      </w:r>
    </w:p>
    <w:p w:rsidR="00AF2027" w:rsidRPr="00B04DC3" w:rsidRDefault="00AF2027" w:rsidP="00AF2027">
      <w:pPr>
        <w:pStyle w:val="GTRnormal"/>
        <w:tabs>
          <w:tab w:val="clear" w:pos="540"/>
        </w:tabs>
        <w:ind w:left="0" w:firstLine="0"/>
        <w:rPr>
          <w:rFonts w:ascii="Times New Roman" w:hAnsi="Times New Roman" w:cs="Times New Roman"/>
          <w:sz w:val="24"/>
          <w:u w:val="single"/>
        </w:rPr>
      </w:pPr>
    </w:p>
    <w:p w:rsidR="00AF2027" w:rsidRPr="00B04DC3" w:rsidRDefault="00AF2027" w:rsidP="00AF2027">
      <w:pPr>
        <w:pStyle w:val="GTRnormal"/>
        <w:tabs>
          <w:tab w:val="clear" w:pos="540"/>
        </w:tabs>
        <w:ind w:left="0" w:firstLine="0"/>
        <w:rPr>
          <w:rFonts w:ascii="Times New Roman" w:hAnsi="Times New Roman" w:cs="Times New Roman"/>
          <w:sz w:val="24"/>
          <w:u w:val="single"/>
        </w:rPr>
        <w:sectPr w:rsidR="00AF2027" w:rsidRPr="00B04DC3" w:rsidSect="00AF2027">
          <w:headerReference w:type="even" r:id="rId682"/>
          <w:headerReference w:type="default" r:id="rId683"/>
          <w:footnotePr>
            <w:numRestart w:val="eachSect"/>
          </w:footnotePr>
          <w:endnotePr>
            <w:numFmt w:val="decimal"/>
          </w:endnotePr>
          <w:type w:val="nextColumn"/>
          <w:pgSz w:w="11907" w:h="16840" w:code="9"/>
          <w:pgMar w:top="1701" w:right="1134" w:bottom="2268" w:left="1134" w:header="851" w:footer="1701" w:gutter="0"/>
          <w:cols w:space="720"/>
        </w:sectPr>
      </w:pPr>
    </w:p>
    <w:p w:rsidR="00AF2027" w:rsidRPr="00B04DC3" w:rsidRDefault="00AF2027" w:rsidP="00AF2027">
      <w:pPr>
        <w:pStyle w:val="HChG"/>
      </w:pPr>
      <w:bookmarkStart w:id="1081" w:name="_Toc423599694"/>
      <w:bookmarkStart w:id="1082" w:name="_Toc423611102"/>
      <w:r w:rsidRPr="00B04DC3">
        <w:t>Annex 9B</w:t>
      </w:r>
      <w:r w:rsidR="00141998">
        <w:t xml:space="preserve"> - </w:t>
      </w:r>
      <w:r w:rsidRPr="00B04DC3">
        <w:t>Appendix 3</w:t>
      </w:r>
      <w:bookmarkEnd w:id="1081"/>
      <w:bookmarkEnd w:id="1082"/>
    </w:p>
    <w:p w:rsidR="00AF2027" w:rsidRPr="00B04DC3" w:rsidRDefault="00AF2027" w:rsidP="001A5A17">
      <w:pPr>
        <w:pStyle w:val="HChG"/>
        <w:spacing w:after="360"/>
        <w:rPr>
          <w:iCs/>
        </w:rPr>
      </w:pPr>
      <w:r w:rsidRPr="00B04DC3">
        <w:rPr>
          <w:iCs/>
        </w:rPr>
        <w:tab/>
      </w:r>
      <w:r w:rsidRPr="00B04DC3">
        <w:rPr>
          <w:iCs/>
        </w:rPr>
        <w:tab/>
      </w:r>
      <w:bookmarkStart w:id="1083" w:name="_Toc423599695"/>
      <w:bookmarkStart w:id="1084" w:name="_Toc423611103"/>
      <w:r w:rsidRPr="00B04DC3">
        <w:rPr>
          <w:iCs/>
        </w:rPr>
        <w:t>Monitoring requirements</w:t>
      </w:r>
      <w:bookmarkEnd w:id="1083"/>
      <w:bookmarkEnd w:id="1084"/>
    </w:p>
    <w:p w:rsidR="00AF2027" w:rsidRPr="00B04DC3" w:rsidRDefault="00AF2027" w:rsidP="00F50947">
      <w:pPr>
        <w:pStyle w:val="para"/>
        <w:spacing w:after="240"/>
        <w:ind w:left="1134" w:firstLine="0"/>
        <w:rPr>
          <w:lang w:val="en-GB"/>
        </w:rPr>
      </w:pPr>
      <w:r w:rsidRPr="00B04DC3">
        <w:rPr>
          <w:lang w:val="en-GB"/>
        </w:rPr>
        <w:t>The items of this appendix list the systems or components required to be monitored by the OBD system, according to paragraph 4.2.</w:t>
      </w:r>
      <w:r w:rsidR="00C77F35">
        <w:rPr>
          <w:lang w:val="en-GB"/>
        </w:rPr>
        <w:t xml:space="preserve"> of this annex.</w:t>
      </w:r>
      <w:r w:rsidRPr="00B04DC3">
        <w:rPr>
          <w:lang w:val="en-GB"/>
        </w:rPr>
        <w:t xml:space="preserve"> Unless specified otherwise, the requirements apply to both diesel and gas engines.</w:t>
      </w:r>
    </w:p>
    <w:p w:rsidR="00AF2027" w:rsidRPr="001A5A17" w:rsidRDefault="001A5A17" w:rsidP="00F50947">
      <w:pPr>
        <w:pStyle w:val="para"/>
        <w:spacing w:after="140"/>
        <w:ind w:left="1134"/>
        <w:rPr>
          <w:lang w:val="en-GB"/>
        </w:rPr>
      </w:pPr>
      <w:r>
        <w:rPr>
          <w:lang w:val="en-GB"/>
        </w:rPr>
        <w:tab/>
      </w:r>
      <w:r w:rsidR="00AF2027" w:rsidRPr="001A5A17">
        <w:rPr>
          <w:lang w:val="en-GB"/>
        </w:rPr>
        <w:t>Appendix 3 - Item 1</w:t>
      </w:r>
    </w:p>
    <w:p w:rsidR="00AF2027" w:rsidRPr="00B04DC3" w:rsidRDefault="001A5A17" w:rsidP="00F50947">
      <w:pPr>
        <w:pStyle w:val="para"/>
        <w:spacing w:after="140"/>
        <w:ind w:left="1134"/>
        <w:rPr>
          <w:lang w:val="en-GB"/>
        </w:rPr>
      </w:pPr>
      <w:r>
        <w:rPr>
          <w:lang w:val="en-GB"/>
        </w:rPr>
        <w:tab/>
      </w:r>
      <w:r w:rsidR="00AF2027" w:rsidRPr="00B04DC3">
        <w:rPr>
          <w:lang w:val="en-GB"/>
        </w:rPr>
        <w:t>Electric / electronic components monitoring</w:t>
      </w:r>
    </w:p>
    <w:p w:rsidR="00AF2027" w:rsidRPr="00B04DC3" w:rsidRDefault="00AF2027" w:rsidP="00F50947">
      <w:pPr>
        <w:pStyle w:val="para"/>
        <w:spacing w:after="140"/>
        <w:ind w:left="1134" w:firstLine="0"/>
        <w:rPr>
          <w:lang w:val="en-GB"/>
        </w:rPr>
      </w:pPr>
      <w:r w:rsidRPr="00B04DC3">
        <w:rPr>
          <w:lang w:val="en-GB"/>
        </w:rPr>
        <w:t xml:space="preserve">Electric/electronic components used to control or monitor the emission control systems described in this appendix shall be subject to </w:t>
      </w:r>
      <w:r w:rsidR="00D53851">
        <w:rPr>
          <w:lang w:val="en-GB"/>
        </w:rPr>
        <w:t>c</w:t>
      </w:r>
      <w:r w:rsidR="00D53851" w:rsidRPr="00B04DC3">
        <w:rPr>
          <w:lang w:val="en-GB"/>
        </w:rPr>
        <w:t xml:space="preserve">omponent </w:t>
      </w:r>
      <w:r w:rsidR="00D53851">
        <w:rPr>
          <w:lang w:val="en-GB"/>
        </w:rPr>
        <w:t>m</w:t>
      </w:r>
      <w:r w:rsidR="00D53851" w:rsidRPr="00B04DC3">
        <w:rPr>
          <w:lang w:val="en-GB"/>
        </w:rPr>
        <w:t xml:space="preserve">onitoring </w:t>
      </w:r>
      <w:r w:rsidRPr="00B04DC3">
        <w:rPr>
          <w:lang w:val="en-GB"/>
        </w:rPr>
        <w:t>according to the provisions of paragraph 4.2. of this annex. This includes, but is not limited to, pressure sensors, temperature sensors, exhaust gas sensors and oxygen sensors when present, knock sensors, in-exhaust fuel or reagent injector(s), in-exhaust burners or heating elements, glow plugs, intake air heaters.</w:t>
      </w:r>
    </w:p>
    <w:p w:rsidR="00AF2027" w:rsidRPr="00B04DC3" w:rsidRDefault="00AF2027" w:rsidP="00F50947">
      <w:pPr>
        <w:pStyle w:val="para"/>
        <w:spacing w:after="140"/>
        <w:ind w:left="1134" w:firstLine="0"/>
        <w:rPr>
          <w:lang w:val="en-GB"/>
        </w:rPr>
      </w:pPr>
      <w:r w:rsidRPr="00B04DC3">
        <w:rPr>
          <w:lang w:val="en-GB"/>
        </w:rPr>
        <w:t>Wherever a feedback control loop exists, the OBD system shall monitor the system</w:t>
      </w:r>
      <w:smartTag w:uri="urn:schemas-microsoft-com:office:smarttags" w:element="PersonName">
        <w:r w:rsidRPr="00B04DC3">
          <w:rPr>
            <w:lang w:val="en-GB"/>
          </w:rPr>
          <w:t>'</w:t>
        </w:r>
      </w:smartTag>
      <w:r w:rsidRPr="00B04DC3">
        <w:rPr>
          <w:lang w:val="en-GB"/>
        </w:rPr>
        <w:t>s ability to maintain feedback control as designed (e.g. to enter feedback control within a manufacturer specified time interval, system fails to maintain feedback control, feedback control has used up all the adjustment allowed by the manufacturer) - component monitoring.</w:t>
      </w:r>
    </w:p>
    <w:p w:rsidR="00AF2027" w:rsidRPr="00B04DC3" w:rsidRDefault="00AF2027" w:rsidP="00F50947">
      <w:pPr>
        <w:pStyle w:val="para"/>
        <w:spacing w:after="240"/>
        <w:ind w:left="1134" w:firstLine="0"/>
        <w:rPr>
          <w:lang w:val="en-GB"/>
        </w:rPr>
      </w:pPr>
      <w:r w:rsidRPr="00B04DC3">
        <w:rPr>
          <w:i/>
          <w:lang w:val="en-GB"/>
        </w:rPr>
        <w:t>Note:</w:t>
      </w:r>
      <w:r w:rsidRPr="00B04DC3">
        <w:rPr>
          <w:lang w:val="en-GB"/>
        </w:rPr>
        <w:t xml:space="preserve"> These provisions apply to all electric-electronic components, even if they belong to any of the monitors described in the other items of this appendix.</w:t>
      </w:r>
    </w:p>
    <w:p w:rsidR="00AF2027" w:rsidRPr="001A5A17" w:rsidRDefault="001A5A17" w:rsidP="00F50947">
      <w:pPr>
        <w:pStyle w:val="para"/>
        <w:spacing w:after="140"/>
        <w:ind w:left="1134"/>
        <w:rPr>
          <w:lang w:val="en-GB"/>
        </w:rPr>
      </w:pPr>
      <w:r>
        <w:rPr>
          <w:lang w:val="en-GB"/>
        </w:rPr>
        <w:tab/>
      </w:r>
      <w:r w:rsidR="00AF2027" w:rsidRPr="001A5A17">
        <w:rPr>
          <w:lang w:val="en-GB"/>
        </w:rPr>
        <w:t>Appendix 3 - Item 2</w:t>
      </w:r>
    </w:p>
    <w:p w:rsidR="00AF2027" w:rsidRPr="00B04DC3" w:rsidRDefault="00AF2027" w:rsidP="00F50947">
      <w:pPr>
        <w:pStyle w:val="para"/>
        <w:spacing w:after="140"/>
        <w:ind w:left="1134"/>
        <w:rPr>
          <w:lang w:val="en-GB"/>
        </w:rPr>
      </w:pPr>
      <w:r w:rsidRPr="00B04DC3">
        <w:rPr>
          <w:b/>
          <w:lang w:val="en-GB"/>
        </w:rPr>
        <w:tab/>
      </w:r>
      <w:r w:rsidRPr="00B04DC3">
        <w:rPr>
          <w:lang w:val="en-GB"/>
        </w:rPr>
        <w:t>DPF system</w:t>
      </w:r>
    </w:p>
    <w:p w:rsidR="00AF2027" w:rsidRPr="00B04DC3" w:rsidRDefault="00AF2027" w:rsidP="00F50947">
      <w:pPr>
        <w:pStyle w:val="para"/>
        <w:spacing w:after="140"/>
        <w:ind w:left="1134" w:firstLine="0"/>
        <w:rPr>
          <w:lang w:val="en-GB"/>
        </w:rPr>
      </w:pPr>
      <w:r w:rsidRPr="00B04DC3">
        <w:rPr>
          <w:lang w:val="en-GB"/>
        </w:rPr>
        <w:t>The OBD system shall monitor the following elements of the DPF system on engines so-equipped for proper operation:</w:t>
      </w:r>
    </w:p>
    <w:p w:rsidR="00AF2027" w:rsidRPr="00B04DC3" w:rsidRDefault="00AF2027" w:rsidP="00F50947">
      <w:pPr>
        <w:pStyle w:val="a"/>
        <w:spacing w:after="140"/>
        <w:ind w:left="1701"/>
        <w:rPr>
          <w:lang w:val="en-GB"/>
        </w:rPr>
      </w:pPr>
      <w:r w:rsidRPr="00B04DC3">
        <w:rPr>
          <w:lang w:val="en-GB"/>
        </w:rPr>
        <w:t>(a)</w:t>
      </w:r>
      <w:r w:rsidRPr="00B04DC3">
        <w:rPr>
          <w:lang w:val="en-GB"/>
        </w:rPr>
        <w:tab/>
        <w:t>DPF substrate: the presence of the DPF substrate - total functional failure monitoring;</w:t>
      </w:r>
    </w:p>
    <w:p w:rsidR="00AF2027" w:rsidRPr="00B04DC3" w:rsidRDefault="00AF2027" w:rsidP="00F50947">
      <w:pPr>
        <w:pStyle w:val="a"/>
        <w:spacing w:after="140"/>
        <w:ind w:left="1701"/>
        <w:rPr>
          <w:lang w:val="en-GB"/>
        </w:rPr>
      </w:pPr>
      <w:r w:rsidRPr="00B04DC3">
        <w:rPr>
          <w:lang w:val="en-GB"/>
        </w:rPr>
        <w:t>(b)</w:t>
      </w:r>
      <w:r w:rsidRPr="00B04DC3">
        <w:rPr>
          <w:lang w:val="en-GB"/>
        </w:rPr>
        <w:tab/>
        <w:t>DPF performance: clogging of the DPF - total functional failure;</w:t>
      </w:r>
    </w:p>
    <w:p w:rsidR="00AF2027" w:rsidRPr="00B04DC3" w:rsidRDefault="00AF2027" w:rsidP="00F50947">
      <w:pPr>
        <w:pStyle w:val="a"/>
        <w:spacing w:after="240"/>
        <w:ind w:left="1701"/>
        <w:rPr>
          <w:lang w:val="en-GB"/>
        </w:rPr>
      </w:pPr>
      <w:r w:rsidRPr="00B04DC3">
        <w:rPr>
          <w:lang w:val="en-GB"/>
        </w:rPr>
        <w:t>(c)</w:t>
      </w:r>
      <w:r w:rsidRPr="00B04DC3">
        <w:rPr>
          <w:lang w:val="en-GB"/>
        </w:rPr>
        <w:tab/>
        <w:t>DPF performance: filtering and regeneration processes (e.g. particulate accumulation during the filtering process and particulate removal during a forced regeneration process) - performance monitoring (for example, evaluation of measurable DPF properties such as backpressure or differential pressure, which may not detect all failure modes that reduce trapping efficiency).</w:t>
      </w:r>
    </w:p>
    <w:p w:rsidR="00AF2027" w:rsidRPr="001A5A17" w:rsidRDefault="00AF2027" w:rsidP="00F50947">
      <w:pPr>
        <w:pStyle w:val="para"/>
        <w:spacing w:after="140"/>
        <w:ind w:left="1134" w:firstLine="0"/>
        <w:rPr>
          <w:lang w:val="en-GB"/>
        </w:rPr>
      </w:pPr>
      <w:r w:rsidRPr="001A5A17">
        <w:rPr>
          <w:lang w:val="en-GB"/>
        </w:rPr>
        <w:t>Appendix 3 - Item 3</w:t>
      </w:r>
    </w:p>
    <w:p w:rsidR="00AF2027" w:rsidRPr="00B04DC3" w:rsidRDefault="00AF2027" w:rsidP="00F50947">
      <w:pPr>
        <w:pStyle w:val="para"/>
        <w:spacing w:after="140"/>
        <w:ind w:left="1134" w:firstLine="0"/>
        <w:rPr>
          <w:lang w:val="en-GB"/>
        </w:rPr>
      </w:pPr>
      <w:r w:rsidRPr="00B04DC3">
        <w:rPr>
          <w:lang w:val="en-GB"/>
        </w:rPr>
        <w:t>Selective Catalytic Reduction (SCR) monitoring</w:t>
      </w:r>
    </w:p>
    <w:p w:rsidR="00AF2027" w:rsidRPr="00B04DC3" w:rsidRDefault="00AF2027" w:rsidP="00F50947">
      <w:pPr>
        <w:pStyle w:val="para"/>
        <w:spacing w:after="140"/>
        <w:ind w:left="1134" w:firstLine="0"/>
        <w:rPr>
          <w:lang w:val="en-GB"/>
        </w:rPr>
      </w:pPr>
      <w:r w:rsidRPr="00B04DC3">
        <w:rPr>
          <w:lang w:val="en-GB"/>
        </w:rPr>
        <w:t>For the purpose of this item, SCR means selective catalytic reduction or other lean NO</w:t>
      </w:r>
      <w:r w:rsidRPr="00E02C2F">
        <w:rPr>
          <w:vertAlign w:val="subscript"/>
          <w:lang w:val="en-GB"/>
        </w:rPr>
        <w:t>x</w:t>
      </w:r>
      <w:r w:rsidRPr="00B04DC3">
        <w:rPr>
          <w:lang w:val="en-GB"/>
        </w:rPr>
        <w:t xml:space="preserve"> catalyst device. The OBD system shall monitor the following elements of the SCR system on engines so-equipped for proper operation:</w:t>
      </w:r>
    </w:p>
    <w:p w:rsidR="00AF2027" w:rsidRPr="00B04DC3" w:rsidRDefault="00AF2027" w:rsidP="00F50947">
      <w:pPr>
        <w:pStyle w:val="a"/>
        <w:spacing w:after="140"/>
        <w:ind w:left="1701"/>
        <w:rPr>
          <w:lang w:val="en-GB"/>
        </w:rPr>
      </w:pPr>
      <w:r w:rsidRPr="00B04DC3">
        <w:rPr>
          <w:lang w:val="en-GB"/>
        </w:rPr>
        <w:t>(a)</w:t>
      </w:r>
      <w:r w:rsidRPr="00B04DC3">
        <w:rPr>
          <w:lang w:val="en-GB"/>
        </w:rPr>
        <w:tab/>
        <w:t>Active/intrusive reagent injection system: the system</w:t>
      </w:r>
      <w:smartTag w:uri="urn:schemas-microsoft-com:office:smarttags" w:element="PersonName">
        <w:r w:rsidRPr="00B04DC3">
          <w:rPr>
            <w:lang w:val="en-GB"/>
          </w:rPr>
          <w:t>'</w:t>
        </w:r>
      </w:smartTag>
      <w:r w:rsidRPr="00B04DC3">
        <w:rPr>
          <w:lang w:val="en-GB"/>
        </w:rPr>
        <w:t>s ability to regulate reagent delivery properly, whether delivered via an in-exhaust injection or an in-cylinder injection - performance monitoring;</w:t>
      </w:r>
    </w:p>
    <w:p w:rsidR="00AF2027" w:rsidRPr="00B04DC3" w:rsidRDefault="00AF2027" w:rsidP="00F50947">
      <w:pPr>
        <w:pStyle w:val="a"/>
        <w:spacing w:after="140"/>
        <w:ind w:left="1701"/>
        <w:rPr>
          <w:lang w:val="en-GB"/>
        </w:rPr>
      </w:pPr>
      <w:r w:rsidRPr="00B04DC3">
        <w:rPr>
          <w:lang w:val="en-GB"/>
        </w:rPr>
        <w:t>(b)</w:t>
      </w:r>
      <w:r w:rsidRPr="00B04DC3">
        <w:rPr>
          <w:lang w:val="en-GB"/>
        </w:rPr>
        <w:tab/>
        <w:t>Active/intrusive reagent: the on-board availability of the reagent, the proper consumption of the reagent if a reagent other than fuel is used (e.g. urea) - performance monitoring;</w:t>
      </w:r>
    </w:p>
    <w:p w:rsidR="00AF2027" w:rsidRPr="00B04DC3" w:rsidRDefault="00AF2027" w:rsidP="00F50947">
      <w:pPr>
        <w:pStyle w:val="a"/>
        <w:spacing w:after="140"/>
        <w:ind w:left="1701"/>
        <w:rPr>
          <w:lang w:val="en-GB"/>
        </w:rPr>
      </w:pPr>
      <w:r w:rsidRPr="00B04DC3">
        <w:rPr>
          <w:lang w:val="en-GB"/>
        </w:rPr>
        <w:t>(c)</w:t>
      </w:r>
      <w:r w:rsidRPr="00B04DC3">
        <w:rPr>
          <w:lang w:val="en-GB"/>
        </w:rPr>
        <w:tab/>
        <w:t>Active/intrusive reagent: to the extent feasible the quality of the reagent if a reagent other than fuel is used (e.g. urea) - performance monitoring;</w:t>
      </w:r>
    </w:p>
    <w:p w:rsidR="00AF2027" w:rsidRPr="00B04DC3" w:rsidRDefault="00AF2027" w:rsidP="00F50947">
      <w:pPr>
        <w:pStyle w:val="a"/>
        <w:spacing w:after="240"/>
        <w:ind w:left="1701"/>
        <w:rPr>
          <w:snapToGrid w:val="0"/>
          <w:color w:val="000000"/>
          <w:lang w:val="en-GB"/>
        </w:rPr>
      </w:pPr>
      <w:r w:rsidRPr="00B04DC3">
        <w:rPr>
          <w:lang w:val="en-GB"/>
        </w:rPr>
        <w:t>(d)</w:t>
      </w:r>
      <w:r w:rsidRPr="00B04DC3">
        <w:rPr>
          <w:lang w:val="en-GB"/>
        </w:rPr>
        <w:tab/>
        <w:t>SCR catalyst conversion efficiency: the catalyst</w:t>
      </w:r>
      <w:smartTag w:uri="urn:schemas-microsoft-com:office:smarttags" w:element="PersonName">
        <w:r w:rsidRPr="00B04DC3">
          <w:rPr>
            <w:lang w:val="en-GB"/>
          </w:rPr>
          <w:t>'</w:t>
        </w:r>
      </w:smartTag>
      <w:r w:rsidRPr="00B04DC3">
        <w:rPr>
          <w:lang w:val="en-GB"/>
        </w:rPr>
        <w:t>s SCR ability to convert NO</w:t>
      </w:r>
      <w:r w:rsidRPr="00B04DC3">
        <w:rPr>
          <w:vertAlign w:val="subscript"/>
          <w:lang w:val="en-GB"/>
        </w:rPr>
        <w:t>x</w:t>
      </w:r>
      <w:r w:rsidRPr="00B04DC3">
        <w:rPr>
          <w:lang w:val="en-GB"/>
        </w:rPr>
        <w:t> emission threshold monitoring.</w:t>
      </w:r>
    </w:p>
    <w:p w:rsidR="00AF2027" w:rsidRPr="001A5A17" w:rsidRDefault="00AF2027" w:rsidP="00F50947">
      <w:pPr>
        <w:pStyle w:val="para"/>
        <w:spacing w:after="140"/>
        <w:ind w:left="1134" w:firstLine="0"/>
        <w:rPr>
          <w:lang w:val="en-GB"/>
        </w:rPr>
      </w:pPr>
      <w:r w:rsidRPr="001A5A17">
        <w:rPr>
          <w:lang w:val="en-GB"/>
        </w:rPr>
        <w:t>Appendix 3 - Item 4</w:t>
      </w:r>
    </w:p>
    <w:p w:rsidR="00AF2027" w:rsidRPr="00B04DC3" w:rsidRDefault="00AF2027" w:rsidP="00F50947">
      <w:pPr>
        <w:pStyle w:val="para"/>
        <w:spacing w:after="140"/>
        <w:ind w:left="1134" w:firstLine="0"/>
        <w:rPr>
          <w:lang w:val="en-GB"/>
        </w:rPr>
      </w:pPr>
      <w:r w:rsidRPr="00B04DC3">
        <w:rPr>
          <w:lang w:val="en-GB"/>
        </w:rPr>
        <w:t>Lean-</w:t>
      </w:r>
      <w:r w:rsidRPr="001A5A17">
        <w:rPr>
          <w:lang w:val="en-GB"/>
        </w:rPr>
        <w:t>nox</w:t>
      </w:r>
      <w:r w:rsidRPr="00B04DC3">
        <w:rPr>
          <w:lang w:val="en-GB"/>
        </w:rPr>
        <w:t xml:space="preserve"> Trap </w:t>
      </w:r>
      <w:r w:rsidR="00181632">
        <w:rPr>
          <w:lang w:val="en-GB"/>
        </w:rPr>
        <w:t>(</w:t>
      </w:r>
      <w:r w:rsidRPr="00B04DC3">
        <w:rPr>
          <w:lang w:val="en-GB"/>
        </w:rPr>
        <w:t>LNT</w:t>
      </w:r>
      <w:r w:rsidR="00181632">
        <w:rPr>
          <w:lang w:val="en-GB"/>
        </w:rPr>
        <w:t>)</w:t>
      </w:r>
      <w:r w:rsidRPr="00B04DC3">
        <w:rPr>
          <w:lang w:val="en-GB"/>
        </w:rPr>
        <w:t>, or NO</w:t>
      </w:r>
      <w:r w:rsidRPr="00E02C2F">
        <w:rPr>
          <w:vertAlign w:val="subscript"/>
          <w:lang w:val="en-GB"/>
        </w:rPr>
        <w:t>x</w:t>
      </w:r>
      <w:r w:rsidRPr="00B04DC3">
        <w:rPr>
          <w:lang w:val="en-GB"/>
        </w:rPr>
        <w:t xml:space="preserve"> adsorber</w:t>
      </w:r>
    </w:p>
    <w:p w:rsidR="00AF2027" w:rsidRPr="00B04DC3" w:rsidRDefault="00AF2027" w:rsidP="00F50947">
      <w:pPr>
        <w:pStyle w:val="para"/>
        <w:spacing w:after="140"/>
        <w:ind w:left="1134" w:firstLine="0"/>
        <w:rPr>
          <w:lang w:val="en-GB"/>
        </w:rPr>
      </w:pPr>
      <w:r w:rsidRPr="00B04DC3">
        <w:rPr>
          <w:lang w:val="en-GB"/>
        </w:rPr>
        <w:t>The OBD system shall monitor the following elements of the LNT system on engines so-equipped for proper operation:</w:t>
      </w:r>
    </w:p>
    <w:p w:rsidR="00AF2027" w:rsidRPr="00B04DC3" w:rsidRDefault="00AF2027" w:rsidP="00F50947">
      <w:pPr>
        <w:pStyle w:val="a"/>
        <w:spacing w:after="140"/>
        <w:ind w:left="1701"/>
        <w:rPr>
          <w:lang w:val="en-GB"/>
        </w:rPr>
      </w:pPr>
      <w:r w:rsidRPr="00B04DC3">
        <w:rPr>
          <w:lang w:val="en-GB"/>
        </w:rPr>
        <w:t>(a)</w:t>
      </w:r>
      <w:r w:rsidRPr="00B04DC3">
        <w:rPr>
          <w:lang w:val="en-GB"/>
        </w:rPr>
        <w:tab/>
        <w:t>LNT capability: the LNT system's ability to adsorb/store and convert NO</w:t>
      </w:r>
      <w:r w:rsidRPr="00B04DC3">
        <w:rPr>
          <w:vertAlign w:val="subscript"/>
          <w:lang w:val="en-GB"/>
        </w:rPr>
        <w:t>x</w:t>
      </w:r>
      <w:r w:rsidRPr="00B04DC3">
        <w:rPr>
          <w:lang w:val="en-GB"/>
        </w:rPr>
        <w:t xml:space="preserve"> - performance monitoring;</w:t>
      </w:r>
    </w:p>
    <w:p w:rsidR="00AF2027" w:rsidRPr="00B04DC3" w:rsidRDefault="00AF2027" w:rsidP="00F50947">
      <w:pPr>
        <w:pStyle w:val="a"/>
        <w:spacing w:after="140"/>
        <w:ind w:left="1701"/>
        <w:rPr>
          <w:lang w:val="en-GB"/>
        </w:rPr>
      </w:pPr>
      <w:r w:rsidRPr="00B04DC3">
        <w:rPr>
          <w:lang w:val="en-GB"/>
        </w:rPr>
        <w:t>(b)</w:t>
      </w:r>
      <w:r w:rsidRPr="00B04DC3">
        <w:rPr>
          <w:lang w:val="en-GB"/>
        </w:rPr>
        <w:tab/>
        <w:t>LNT active/intrusive reagent injection system: the system</w:t>
      </w:r>
      <w:smartTag w:uri="urn:schemas-microsoft-com:office:smarttags" w:element="PersonName">
        <w:r w:rsidRPr="00B04DC3">
          <w:rPr>
            <w:lang w:val="en-GB"/>
          </w:rPr>
          <w:t>'</w:t>
        </w:r>
      </w:smartTag>
      <w:r w:rsidRPr="00B04DC3">
        <w:rPr>
          <w:lang w:val="en-GB"/>
        </w:rPr>
        <w:t>s ability to regulate reagent delivery properly, whether delivered via an in-exhaust injection or an in-cylinder injection - performance monitoring.</w:t>
      </w:r>
    </w:p>
    <w:p w:rsidR="00AF2027" w:rsidRPr="001A5A17" w:rsidRDefault="00AF2027" w:rsidP="00F50947">
      <w:pPr>
        <w:pStyle w:val="para"/>
        <w:spacing w:before="240"/>
        <w:ind w:left="1701" w:hanging="567"/>
        <w:rPr>
          <w:lang w:val="en-GB"/>
        </w:rPr>
      </w:pPr>
      <w:r w:rsidRPr="001A5A17">
        <w:rPr>
          <w:lang w:val="en-GB"/>
        </w:rPr>
        <w:t>Appendix 3 - Item 5</w:t>
      </w:r>
    </w:p>
    <w:p w:rsidR="00AF2027" w:rsidRPr="00B04DC3" w:rsidRDefault="00AF2027" w:rsidP="00F50947">
      <w:pPr>
        <w:pStyle w:val="para"/>
        <w:spacing w:after="140"/>
        <w:ind w:left="1134" w:firstLine="0"/>
        <w:rPr>
          <w:lang w:val="en-GB"/>
        </w:rPr>
      </w:pPr>
      <w:r w:rsidRPr="00B04DC3">
        <w:rPr>
          <w:lang w:val="en-GB"/>
        </w:rPr>
        <w:t xml:space="preserve">Oxidation catalysts (incl. Diesel Oxidation Catalyst </w:t>
      </w:r>
      <w:r w:rsidR="00C77F35">
        <w:rPr>
          <w:lang w:val="en-GB"/>
        </w:rPr>
        <w:t>(</w:t>
      </w:r>
      <w:r w:rsidRPr="00B04DC3">
        <w:rPr>
          <w:lang w:val="en-GB"/>
        </w:rPr>
        <w:t>DOC)</w:t>
      </w:r>
      <w:r w:rsidR="00C77F35">
        <w:rPr>
          <w:lang w:val="en-GB"/>
        </w:rPr>
        <w:t>)</w:t>
      </w:r>
      <w:r w:rsidRPr="00B04DC3">
        <w:rPr>
          <w:lang w:val="en-GB"/>
        </w:rPr>
        <w:t xml:space="preserve"> monitoring</w:t>
      </w:r>
    </w:p>
    <w:p w:rsidR="00AF2027" w:rsidRPr="00B04DC3" w:rsidRDefault="00AF2027" w:rsidP="00F50947">
      <w:pPr>
        <w:pStyle w:val="para"/>
        <w:spacing w:after="140"/>
        <w:ind w:left="1134" w:firstLine="0"/>
        <w:rPr>
          <w:lang w:val="en-GB"/>
        </w:rPr>
      </w:pPr>
      <w:r w:rsidRPr="00B04DC3">
        <w:rPr>
          <w:lang w:val="en-GB"/>
        </w:rPr>
        <w:t>This item applies to oxidation catalysts that are separate from other after-treatment systems. Those that are included in the canning of an after-treatment system are covered within the appropriate item of this appendix.</w:t>
      </w:r>
    </w:p>
    <w:p w:rsidR="00AF2027" w:rsidRPr="00B04DC3" w:rsidRDefault="00AF2027" w:rsidP="00F50947">
      <w:pPr>
        <w:pStyle w:val="para"/>
        <w:spacing w:after="140"/>
        <w:ind w:left="1134" w:firstLine="0"/>
        <w:rPr>
          <w:lang w:val="en-GB"/>
        </w:rPr>
      </w:pPr>
      <w:r w:rsidRPr="00B04DC3">
        <w:rPr>
          <w:lang w:val="en-GB"/>
        </w:rPr>
        <w:t>The OBD system shall monitor the following elements of the oxidation catalysts on engines so-equipped for proper operation:</w:t>
      </w:r>
    </w:p>
    <w:p w:rsidR="00AF2027" w:rsidRPr="00B04DC3" w:rsidRDefault="00AF2027" w:rsidP="00F50947">
      <w:pPr>
        <w:pStyle w:val="a"/>
        <w:spacing w:after="140"/>
        <w:ind w:left="1701"/>
        <w:rPr>
          <w:lang w:val="en-GB"/>
        </w:rPr>
      </w:pPr>
      <w:r w:rsidRPr="00B04DC3">
        <w:rPr>
          <w:lang w:val="en-GB"/>
        </w:rPr>
        <w:t>(a)</w:t>
      </w:r>
      <w:r w:rsidRPr="00B04DC3">
        <w:rPr>
          <w:lang w:val="en-GB"/>
        </w:rPr>
        <w:tab/>
        <w:t>HC conversion efficiency: the oxidation catalysts ability to convert HC upstream of other after-treatment devices - total functional failure monitoring;</w:t>
      </w:r>
    </w:p>
    <w:p w:rsidR="00AF2027" w:rsidRPr="00B04DC3" w:rsidRDefault="00AF2027" w:rsidP="00F50947">
      <w:pPr>
        <w:pStyle w:val="a"/>
        <w:spacing w:after="240"/>
        <w:ind w:left="1701"/>
        <w:rPr>
          <w:lang w:val="en-GB"/>
        </w:rPr>
      </w:pPr>
      <w:r w:rsidRPr="00B04DC3">
        <w:rPr>
          <w:lang w:val="en-GB"/>
        </w:rPr>
        <w:t>(b)</w:t>
      </w:r>
      <w:r w:rsidRPr="00B04DC3">
        <w:rPr>
          <w:lang w:val="en-GB"/>
        </w:rPr>
        <w:tab/>
        <w:t>HC conversion efficiency: the oxidation catalysts ability to convert HC downstream of other after-treatment devices - total functional failure monitoring.</w:t>
      </w:r>
    </w:p>
    <w:p w:rsidR="00AF2027" w:rsidRPr="001A5A17" w:rsidRDefault="00AF2027" w:rsidP="00F50947">
      <w:pPr>
        <w:pStyle w:val="para"/>
        <w:spacing w:before="240" w:after="240"/>
        <w:ind w:left="1701" w:hanging="567"/>
        <w:rPr>
          <w:lang w:val="en-GB"/>
        </w:rPr>
      </w:pPr>
      <w:r w:rsidRPr="001A5A17">
        <w:rPr>
          <w:lang w:val="en-GB"/>
        </w:rPr>
        <w:t>Appendix 3 - Item 6</w:t>
      </w:r>
    </w:p>
    <w:p w:rsidR="00AF2027" w:rsidRPr="00B04DC3" w:rsidRDefault="00AF2027" w:rsidP="00F50947">
      <w:pPr>
        <w:pStyle w:val="para"/>
        <w:spacing w:after="140"/>
        <w:ind w:left="1134" w:firstLine="0"/>
        <w:rPr>
          <w:lang w:val="en-GB"/>
        </w:rPr>
      </w:pPr>
      <w:r w:rsidRPr="00B04DC3">
        <w:rPr>
          <w:lang w:val="en-GB"/>
        </w:rPr>
        <w:t>Exhaust Gas Recirculation (EGR) system monitoring</w:t>
      </w:r>
    </w:p>
    <w:p w:rsidR="00AF2027" w:rsidRPr="00B04DC3" w:rsidRDefault="00AF2027" w:rsidP="00F50947">
      <w:pPr>
        <w:pStyle w:val="para"/>
        <w:spacing w:after="140"/>
        <w:ind w:left="1134" w:firstLine="0"/>
        <w:rPr>
          <w:lang w:val="en-GB"/>
        </w:rPr>
      </w:pPr>
      <w:r w:rsidRPr="00B04DC3">
        <w:rPr>
          <w:lang w:val="en-GB"/>
        </w:rPr>
        <w:t>The OBD system shall monitor the following elements of the EGR system on engines so-equipped for proper operation:</w:t>
      </w:r>
    </w:p>
    <w:tbl>
      <w:tblPr>
        <w:tblW w:w="747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921"/>
        <w:gridCol w:w="921"/>
      </w:tblGrid>
      <w:tr w:rsidR="00AF2027" w:rsidRPr="00B04DC3" w:rsidTr="00E02C2F">
        <w:trPr>
          <w:tblHeader/>
        </w:trPr>
        <w:tc>
          <w:tcPr>
            <w:tcW w:w="5637" w:type="dxa"/>
            <w:tcBorders>
              <w:top w:val="nil"/>
              <w:left w:val="nil"/>
              <w:bottom w:val="single" w:sz="12" w:space="0" w:color="auto"/>
            </w:tcBorders>
            <w:shd w:val="clear" w:color="auto" w:fill="auto"/>
            <w:vAlign w:val="center"/>
          </w:tcPr>
          <w:p w:rsidR="00AF2027" w:rsidRPr="00B04DC3" w:rsidRDefault="00AF2027" w:rsidP="00F50947">
            <w:pPr>
              <w:pStyle w:val="para"/>
              <w:keepNext/>
              <w:keepLines/>
              <w:spacing w:before="80" w:after="80" w:line="200" w:lineRule="atLeast"/>
              <w:ind w:left="4749" w:firstLine="0"/>
              <w:rPr>
                <w:i/>
                <w:sz w:val="16"/>
                <w:szCs w:val="16"/>
                <w:lang w:val="en-GB"/>
              </w:rPr>
            </w:pPr>
            <w:r w:rsidRPr="00B04DC3">
              <w:rPr>
                <w:sz w:val="24"/>
                <w:lang w:val="en-GB"/>
              </w:rPr>
              <w:br w:type="page"/>
            </w:r>
            <w:r w:rsidRPr="00B04DC3">
              <w:rPr>
                <w:sz w:val="24"/>
                <w:lang w:val="en-GB"/>
              </w:rPr>
              <w:br w:type="page"/>
            </w:r>
          </w:p>
        </w:tc>
        <w:tc>
          <w:tcPr>
            <w:tcW w:w="921" w:type="dxa"/>
            <w:tcBorders>
              <w:bottom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i/>
                <w:sz w:val="16"/>
                <w:szCs w:val="16"/>
                <w:lang w:val="en-GB"/>
              </w:rPr>
            </w:pPr>
            <w:r w:rsidRPr="00B04DC3">
              <w:rPr>
                <w:i/>
                <w:sz w:val="16"/>
                <w:szCs w:val="16"/>
                <w:lang w:val="en-GB"/>
              </w:rPr>
              <w:t>Diesel</w:t>
            </w:r>
          </w:p>
        </w:tc>
        <w:tc>
          <w:tcPr>
            <w:tcW w:w="921" w:type="dxa"/>
            <w:tcBorders>
              <w:bottom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i/>
                <w:sz w:val="16"/>
                <w:szCs w:val="16"/>
                <w:lang w:val="en-GB"/>
              </w:rPr>
            </w:pPr>
            <w:r w:rsidRPr="00B04DC3">
              <w:rPr>
                <w:i/>
                <w:sz w:val="16"/>
                <w:szCs w:val="16"/>
                <w:lang w:val="en-GB"/>
              </w:rPr>
              <w:t>Gas</w:t>
            </w:r>
          </w:p>
        </w:tc>
      </w:tr>
      <w:tr w:rsidR="00AF2027" w:rsidRPr="00B04DC3" w:rsidTr="00E02C2F">
        <w:tc>
          <w:tcPr>
            <w:tcW w:w="5637" w:type="dxa"/>
            <w:tcBorders>
              <w:top w:val="single" w:sz="12" w:space="0" w:color="auto"/>
            </w:tcBorders>
            <w:shd w:val="clear" w:color="auto" w:fill="auto"/>
            <w:vAlign w:val="center"/>
          </w:tcPr>
          <w:p w:rsidR="00AF2027" w:rsidRPr="00B04DC3" w:rsidRDefault="00AF2027" w:rsidP="00F50947">
            <w:pPr>
              <w:pStyle w:val="para"/>
              <w:keepNext/>
              <w:keepLines/>
              <w:spacing w:before="80"/>
              <w:ind w:left="566" w:right="119" w:hanging="500"/>
              <w:rPr>
                <w:lang w:val="en-GB"/>
              </w:rPr>
            </w:pPr>
            <w:r w:rsidRPr="00B04DC3">
              <w:rPr>
                <w:lang w:val="en-GB"/>
              </w:rPr>
              <w:t>(a1)</w:t>
            </w:r>
            <w:r w:rsidRPr="00B04DC3">
              <w:rPr>
                <w:lang w:val="en-GB"/>
              </w:rPr>
              <w:tab/>
              <w:t>EGR low/high flow: the EGR system</w:t>
            </w:r>
            <w:smartTag w:uri="urn:schemas-microsoft-com:office:smarttags" w:element="PersonName">
              <w:r w:rsidRPr="00B04DC3">
                <w:rPr>
                  <w:lang w:val="en-GB"/>
                </w:rPr>
                <w:t>'</w:t>
              </w:r>
            </w:smartTag>
            <w:r w:rsidRPr="00B04DC3">
              <w:rPr>
                <w:lang w:val="en-GB"/>
              </w:rPr>
              <w:t>s ability to maintain the commanded EGR flow rate, detecting both "flow rate too low" and "flow rate too high" conditions – emission threshold monitoring.</w:t>
            </w:r>
          </w:p>
        </w:tc>
        <w:tc>
          <w:tcPr>
            <w:tcW w:w="921" w:type="dxa"/>
            <w:tcBorders>
              <w:top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lang w:val="en-GB"/>
              </w:rPr>
            </w:pPr>
            <w:r w:rsidRPr="00B04DC3">
              <w:rPr>
                <w:lang w:val="en-GB"/>
              </w:rPr>
              <w:t>X</w:t>
            </w:r>
          </w:p>
        </w:tc>
        <w:tc>
          <w:tcPr>
            <w:tcW w:w="921" w:type="dxa"/>
            <w:tcBorders>
              <w:top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lang w:val="en-GB"/>
              </w:rPr>
            </w:pPr>
          </w:p>
        </w:tc>
      </w:tr>
      <w:tr w:rsidR="00AF2027" w:rsidRPr="00B04DC3" w:rsidTr="00E02C2F">
        <w:tc>
          <w:tcPr>
            <w:tcW w:w="5637" w:type="dxa"/>
            <w:shd w:val="clear" w:color="auto" w:fill="auto"/>
            <w:vAlign w:val="center"/>
          </w:tcPr>
          <w:p w:rsidR="00AF2027" w:rsidRPr="00B04DC3" w:rsidRDefault="00AF2027" w:rsidP="00F50947">
            <w:pPr>
              <w:pStyle w:val="para"/>
              <w:keepNext/>
              <w:keepLines/>
              <w:spacing w:before="80"/>
              <w:ind w:left="566" w:right="119" w:hanging="500"/>
              <w:rPr>
                <w:lang w:val="en-GB"/>
              </w:rPr>
            </w:pPr>
            <w:r w:rsidRPr="00B04DC3">
              <w:rPr>
                <w:lang w:val="en-GB"/>
              </w:rPr>
              <w:t>(a2)</w:t>
            </w:r>
            <w:r w:rsidRPr="00B04DC3">
              <w:rPr>
                <w:lang w:val="en-GB"/>
              </w:rPr>
              <w:tab/>
              <w:t>EGR low/high flow: the EGR system</w:t>
            </w:r>
            <w:smartTag w:uri="urn:schemas-microsoft-com:office:smarttags" w:element="PersonName">
              <w:r w:rsidRPr="00B04DC3">
                <w:rPr>
                  <w:lang w:val="en-GB"/>
                </w:rPr>
                <w:t>'</w:t>
              </w:r>
            </w:smartTag>
            <w:r w:rsidRPr="00B04DC3">
              <w:rPr>
                <w:lang w:val="en-GB"/>
              </w:rPr>
              <w:t>s ability to maintain the commanded EGR flow rate, detecting both "flow rate too low" and "flow rate too high" conditions - performance monitoring (monitoring requirement to be further discussed).</w:t>
            </w:r>
          </w:p>
        </w:tc>
        <w:tc>
          <w:tcPr>
            <w:tcW w:w="921" w:type="dxa"/>
            <w:shd w:val="clear" w:color="auto" w:fill="auto"/>
            <w:vAlign w:val="center"/>
          </w:tcPr>
          <w:p w:rsidR="00AF2027" w:rsidRPr="00B04DC3" w:rsidRDefault="00AF2027" w:rsidP="00F50947">
            <w:pPr>
              <w:pStyle w:val="para"/>
              <w:keepNext/>
              <w:keepLines/>
              <w:spacing w:before="80"/>
              <w:ind w:left="34" w:right="119" w:firstLine="0"/>
              <w:jc w:val="center"/>
              <w:rPr>
                <w:lang w:val="en-GB"/>
              </w:rPr>
            </w:pPr>
          </w:p>
        </w:tc>
        <w:tc>
          <w:tcPr>
            <w:tcW w:w="921" w:type="dxa"/>
            <w:shd w:val="clear" w:color="auto" w:fill="auto"/>
            <w:vAlign w:val="center"/>
          </w:tcPr>
          <w:p w:rsidR="00AF2027" w:rsidRPr="00B04DC3" w:rsidRDefault="00AF2027" w:rsidP="00F50947">
            <w:pPr>
              <w:pStyle w:val="para"/>
              <w:keepNext/>
              <w:keepLines/>
              <w:spacing w:before="80"/>
              <w:ind w:left="34" w:right="119" w:firstLine="0"/>
              <w:jc w:val="center"/>
              <w:rPr>
                <w:lang w:val="en-GB"/>
              </w:rPr>
            </w:pPr>
            <w:r w:rsidRPr="00B04DC3">
              <w:rPr>
                <w:lang w:val="en-GB"/>
              </w:rPr>
              <w:t>X</w:t>
            </w:r>
          </w:p>
        </w:tc>
      </w:tr>
      <w:tr w:rsidR="00AF2027" w:rsidRPr="00B04DC3" w:rsidTr="00E02C2F">
        <w:tc>
          <w:tcPr>
            <w:tcW w:w="5637" w:type="dxa"/>
            <w:shd w:val="clear" w:color="auto" w:fill="auto"/>
            <w:vAlign w:val="center"/>
          </w:tcPr>
          <w:p w:rsidR="00AF2027" w:rsidRPr="00B04DC3" w:rsidRDefault="00AF2027" w:rsidP="00F50947">
            <w:pPr>
              <w:pStyle w:val="para"/>
              <w:keepNext/>
              <w:keepLines/>
              <w:spacing w:before="80"/>
              <w:ind w:left="566" w:right="119" w:hanging="500"/>
              <w:rPr>
                <w:lang w:val="en-GB"/>
              </w:rPr>
            </w:pPr>
            <w:r w:rsidRPr="00B04DC3">
              <w:rPr>
                <w:lang w:val="en-GB"/>
              </w:rPr>
              <w:t>(b)</w:t>
            </w:r>
            <w:r w:rsidRPr="00B04DC3">
              <w:rPr>
                <w:lang w:val="en-GB"/>
              </w:rPr>
              <w:tab/>
              <w:t>Slow response of the EGR actuator: the EGR system</w:t>
            </w:r>
            <w:smartTag w:uri="urn:schemas-microsoft-com:office:smarttags" w:element="PersonName">
              <w:r w:rsidRPr="00B04DC3">
                <w:rPr>
                  <w:lang w:val="en-GB"/>
                </w:rPr>
                <w:t>'</w:t>
              </w:r>
            </w:smartTag>
            <w:r w:rsidRPr="00B04DC3">
              <w:rPr>
                <w:lang w:val="en-GB"/>
              </w:rPr>
              <w:t>s ability to achieve the commanded flow rate within a manufacturer specified time interval following the command - performance monitoring.</w:t>
            </w:r>
          </w:p>
        </w:tc>
        <w:tc>
          <w:tcPr>
            <w:tcW w:w="921" w:type="dxa"/>
            <w:shd w:val="clear" w:color="auto" w:fill="auto"/>
            <w:vAlign w:val="center"/>
          </w:tcPr>
          <w:p w:rsidR="00AF2027" w:rsidRPr="00B04DC3" w:rsidRDefault="00AF2027" w:rsidP="00F50947">
            <w:pPr>
              <w:pStyle w:val="para"/>
              <w:keepNext/>
              <w:keepLines/>
              <w:spacing w:before="120"/>
              <w:ind w:left="34" w:right="121" w:firstLine="0"/>
              <w:jc w:val="center"/>
              <w:rPr>
                <w:lang w:val="en-GB"/>
              </w:rPr>
            </w:pPr>
            <w:r w:rsidRPr="00B04DC3">
              <w:rPr>
                <w:lang w:val="en-GB"/>
              </w:rPr>
              <w:t>X</w:t>
            </w:r>
          </w:p>
        </w:tc>
        <w:tc>
          <w:tcPr>
            <w:tcW w:w="921" w:type="dxa"/>
            <w:shd w:val="clear" w:color="auto" w:fill="auto"/>
            <w:vAlign w:val="center"/>
          </w:tcPr>
          <w:p w:rsidR="00AF2027" w:rsidRPr="00B04DC3" w:rsidRDefault="00AF2027" w:rsidP="00F50947">
            <w:pPr>
              <w:pStyle w:val="para"/>
              <w:keepNext/>
              <w:keepLines/>
              <w:spacing w:before="120"/>
              <w:ind w:left="34" w:right="121" w:firstLine="0"/>
              <w:jc w:val="center"/>
              <w:rPr>
                <w:lang w:val="en-GB"/>
              </w:rPr>
            </w:pPr>
            <w:r w:rsidRPr="00B04DC3">
              <w:rPr>
                <w:lang w:val="en-GB"/>
              </w:rPr>
              <w:t>X</w:t>
            </w:r>
          </w:p>
        </w:tc>
      </w:tr>
      <w:tr w:rsidR="00AF2027" w:rsidRPr="00B04DC3" w:rsidTr="00E02C2F">
        <w:tc>
          <w:tcPr>
            <w:tcW w:w="5637" w:type="dxa"/>
            <w:tcBorders>
              <w:bottom w:val="single" w:sz="12" w:space="0" w:color="auto"/>
            </w:tcBorders>
            <w:shd w:val="clear" w:color="auto" w:fill="auto"/>
            <w:vAlign w:val="center"/>
          </w:tcPr>
          <w:p w:rsidR="00AF2027" w:rsidRPr="00B04DC3" w:rsidRDefault="00AF2027" w:rsidP="00F50947">
            <w:pPr>
              <w:pStyle w:val="para"/>
              <w:keepNext/>
              <w:keepLines/>
              <w:spacing w:before="80"/>
              <w:ind w:left="566" w:right="119" w:hanging="500"/>
              <w:rPr>
                <w:lang w:val="en-GB"/>
              </w:rPr>
            </w:pPr>
            <w:r w:rsidRPr="00B04DC3">
              <w:rPr>
                <w:lang w:val="en-GB"/>
              </w:rPr>
              <w:t>(c)</w:t>
            </w:r>
            <w:r w:rsidRPr="00B04DC3">
              <w:rPr>
                <w:lang w:val="en-GB"/>
              </w:rPr>
              <w:tab/>
              <w:t>EGR cooler under cooling performance: the EGR cooler system</w:t>
            </w:r>
            <w:smartTag w:uri="urn:schemas-microsoft-com:office:smarttags" w:element="PersonName">
              <w:r w:rsidRPr="00B04DC3">
                <w:rPr>
                  <w:lang w:val="en-GB"/>
                </w:rPr>
                <w:t>'</w:t>
              </w:r>
            </w:smartTag>
            <w:r w:rsidRPr="00B04DC3">
              <w:rPr>
                <w:lang w:val="en-GB"/>
              </w:rPr>
              <w:t>s ability to achieve the manufacturer</w:t>
            </w:r>
            <w:smartTag w:uri="urn:schemas-microsoft-com:office:smarttags" w:element="PersonName">
              <w:r w:rsidRPr="00B04DC3">
                <w:rPr>
                  <w:lang w:val="en-GB"/>
                </w:rPr>
                <w:t>'</w:t>
              </w:r>
            </w:smartTag>
            <w:r w:rsidRPr="00B04DC3">
              <w:rPr>
                <w:lang w:val="en-GB"/>
              </w:rPr>
              <w:t>s specified cooling performance - performance monitoring.</w:t>
            </w:r>
          </w:p>
        </w:tc>
        <w:tc>
          <w:tcPr>
            <w:tcW w:w="921" w:type="dxa"/>
            <w:tcBorders>
              <w:bottom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lang w:val="en-GB"/>
              </w:rPr>
            </w:pPr>
            <w:r w:rsidRPr="00B04DC3">
              <w:rPr>
                <w:lang w:val="en-GB"/>
              </w:rPr>
              <w:t>X</w:t>
            </w:r>
          </w:p>
        </w:tc>
        <w:tc>
          <w:tcPr>
            <w:tcW w:w="921" w:type="dxa"/>
            <w:tcBorders>
              <w:bottom w:val="single" w:sz="12" w:space="0" w:color="auto"/>
            </w:tcBorders>
            <w:shd w:val="clear" w:color="auto" w:fill="auto"/>
            <w:vAlign w:val="center"/>
          </w:tcPr>
          <w:p w:rsidR="00AF2027" w:rsidRPr="00B04DC3" w:rsidRDefault="00AF2027" w:rsidP="00F50947">
            <w:pPr>
              <w:pStyle w:val="para"/>
              <w:keepNext/>
              <w:keepLines/>
              <w:spacing w:before="120"/>
              <w:ind w:left="34" w:right="121" w:firstLine="0"/>
              <w:jc w:val="center"/>
              <w:rPr>
                <w:lang w:val="en-GB"/>
              </w:rPr>
            </w:pPr>
            <w:r w:rsidRPr="00B04DC3">
              <w:rPr>
                <w:lang w:val="en-GB"/>
              </w:rPr>
              <w:t>X</w:t>
            </w:r>
          </w:p>
        </w:tc>
      </w:tr>
    </w:tbl>
    <w:p w:rsidR="00E02C2F" w:rsidRDefault="00E02C2F" w:rsidP="001A5A17">
      <w:pPr>
        <w:pStyle w:val="para"/>
        <w:ind w:left="1134"/>
        <w:rPr>
          <w:lang w:val="en-GB"/>
        </w:rPr>
      </w:pPr>
    </w:p>
    <w:p w:rsidR="00AF2027" w:rsidRPr="001A5A17" w:rsidRDefault="00AF2027" w:rsidP="001A5A17">
      <w:pPr>
        <w:pStyle w:val="para"/>
        <w:ind w:left="1134"/>
        <w:rPr>
          <w:lang w:val="en-GB"/>
        </w:rPr>
      </w:pPr>
      <w:r w:rsidRPr="001A5A17">
        <w:rPr>
          <w:lang w:val="en-GB"/>
        </w:rPr>
        <w:tab/>
        <w:t>Appendix 3 - Item 7</w:t>
      </w:r>
    </w:p>
    <w:p w:rsidR="00AF2027" w:rsidRPr="001A5A17" w:rsidRDefault="00F50947" w:rsidP="001A5A17">
      <w:pPr>
        <w:pStyle w:val="para"/>
        <w:ind w:left="1134"/>
        <w:rPr>
          <w:lang w:val="en-GB"/>
        </w:rPr>
      </w:pPr>
      <w:r>
        <w:rPr>
          <w:lang w:val="en-GB"/>
        </w:rPr>
        <w:tab/>
      </w:r>
      <w:r w:rsidR="00AF2027" w:rsidRPr="001A5A17">
        <w:rPr>
          <w:lang w:val="en-GB"/>
        </w:rPr>
        <w:t xml:space="preserve">Fuel </w:t>
      </w:r>
      <w:r w:rsidR="00C77F35" w:rsidRPr="001A5A17">
        <w:rPr>
          <w:lang w:val="en-GB"/>
        </w:rPr>
        <w:t xml:space="preserve">system </w:t>
      </w:r>
      <w:r w:rsidR="00AF2027" w:rsidRPr="001A5A17">
        <w:rPr>
          <w:lang w:val="en-GB"/>
        </w:rPr>
        <w:t>monitoring</w:t>
      </w:r>
    </w:p>
    <w:p w:rsidR="00AF2027" w:rsidRPr="00B04DC3" w:rsidRDefault="00AF2027" w:rsidP="00F50947">
      <w:pPr>
        <w:pStyle w:val="para"/>
        <w:ind w:left="1134" w:firstLine="0"/>
        <w:rPr>
          <w:lang w:val="en-GB"/>
        </w:rPr>
      </w:pPr>
      <w:r w:rsidRPr="00B04DC3">
        <w:rPr>
          <w:lang w:val="en-GB"/>
        </w:rPr>
        <w:t>The OBD system shall monitor the following elements of the fuel system on engines so-equipped for proper operation:</w:t>
      </w:r>
    </w:p>
    <w:tbl>
      <w:tblPr>
        <w:tblW w:w="7475"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1"/>
        <w:gridCol w:w="924"/>
        <w:gridCol w:w="910"/>
      </w:tblGrid>
      <w:tr w:rsidR="00AF2027" w:rsidRPr="00B04DC3" w:rsidTr="00E02C2F">
        <w:tc>
          <w:tcPr>
            <w:tcW w:w="5641" w:type="dxa"/>
            <w:tcBorders>
              <w:top w:val="nil"/>
              <w:left w:val="nil"/>
              <w:bottom w:val="single" w:sz="12" w:space="0" w:color="auto"/>
            </w:tcBorders>
            <w:shd w:val="clear" w:color="auto" w:fill="auto"/>
            <w:vAlign w:val="center"/>
          </w:tcPr>
          <w:p w:rsidR="00AF2027" w:rsidRPr="00B04DC3" w:rsidRDefault="00AF2027" w:rsidP="009207B2">
            <w:pPr>
              <w:pStyle w:val="para"/>
              <w:spacing w:before="80" w:after="80" w:line="200" w:lineRule="atLeast"/>
              <w:ind w:left="4749" w:firstLine="0"/>
              <w:rPr>
                <w:i/>
                <w:sz w:val="16"/>
                <w:szCs w:val="16"/>
                <w:lang w:val="en-GB"/>
              </w:rPr>
            </w:pPr>
          </w:p>
        </w:tc>
        <w:tc>
          <w:tcPr>
            <w:tcW w:w="924"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Diesel</w:t>
            </w:r>
          </w:p>
        </w:tc>
        <w:tc>
          <w:tcPr>
            <w:tcW w:w="910"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Gas</w:t>
            </w:r>
          </w:p>
        </w:tc>
      </w:tr>
      <w:tr w:rsidR="00AF2027" w:rsidRPr="00B04DC3" w:rsidTr="00E02C2F">
        <w:tc>
          <w:tcPr>
            <w:tcW w:w="5641" w:type="dxa"/>
            <w:tcBorders>
              <w:top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(a)</w:t>
            </w:r>
            <w:r w:rsidRPr="00B04DC3">
              <w:rPr>
                <w:lang w:val="en-GB"/>
              </w:rPr>
              <w:tab/>
              <w:t>Fuel system pressure control: fuel system ability to achieve the commanded fuel pressure in closed loop control - performance monitoring.</w:t>
            </w:r>
          </w:p>
        </w:tc>
        <w:tc>
          <w:tcPr>
            <w:tcW w:w="924" w:type="dxa"/>
            <w:tcBorders>
              <w:top w:val="single" w:sz="12" w:space="0" w:color="auto"/>
            </w:tcBorders>
            <w:shd w:val="clear" w:color="auto" w:fill="auto"/>
            <w:vAlign w:val="center"/>
          </w:tcPr>
          <w:p w:rsidR="00AF2027" w:rsidRPr="00B04DC3" w:rsidRDefault="00AF2027" w:rsidP="009207B2">
            <w:pPr>
              <w:pStyle w:val="para"/>
              <w:spacing w:before="120"/>
              <w:ind w:left="34" w:right="121" w:firstLine="0"/>
              <w:jc w:val="center"/>
              <w:rPr>
                <w:lang w:val="en-GB"/>
              </w:rPr>
            </w:pPr>
            <w:r w:rsidRPr="00B04DC3">
              <w:rPr>
                <w:lang w:val="en-GB"/>
              </w:rPr>
              <w:t>X</w:t>
            </w:r>
          </w:p>
        </w:tc>
        <w:tc>
          <w:tcPr>
            <w:tcW w:w="910" w:type="dxa"/>
            <w:tcBorders>
              <w:top w:val="single" w:sz="12" w:space="0" w:color="auto"/>
            </w:tcBorders>
            <w:shd w:val="clear" w:color="auto" w:fill="auto"/>
            <w:vAlign w:val="center"/>
          </w:tcPr>
          <w:p w:rsidR="00AF2027" w:rsidRPr="00B04DC3" w:rsidRDefault="00AF2027" w:rsidP="009207B2">
            <w:pPr>
              <w:pStyle w:val="para"/>
              <w:spacing w:before="120"/>
              <w:ind w:left="34" w:right="121" w:firstLine="0"/>
              <w:jc w:val="center"/>
              <w:rPr>
                <w:lang w:val="en-GB"/>
              </w:rPr>
            </w:pPr>
          </w:p>
        </w:tc>
      </w:tr>
      <w:tr w:rsidR="00AF2027" w:rsidRPr="00B04DC3" w:rsidTr="00E02C2F">
        <w:tc>
          <w:tcPr>
            <w:tcW w:w="5641" w:type="dxa"/>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(b)</w:t>
            </w:r>
            <w:r w:rsidRPr="00B04DC3">
              <w:rPr>
                <w:lang w:val="en-GB"/>
              </w:rPr>
              <w:tab/>
              <w:t>Fuel system pressure control: fuel system ability to achieve the commanded fuel pressure in closed loop control in the case where the system is so constructed that the pressure can be controlled independently of other parameters - performance monitoring.</w:t>
            </w:r>
          </w:p>
        </w:tc>
        <w:tc>
          <w:tcPr>
            <w:tcW w:w="924" w:type="dxa"/>
            <w:shd w:val="clear" w:color="auto" w:fill="auto"/>
            <w:vAlign w:val="center"/>
          </w:tcPr>
          <w:p w:rsidR="00AF2027" w:rsidRPr="00B04DC3" w:rsidRDefault="00AF2027" w:rsidP="009207B2">
            <w:pPr>
              <w:pStyle w:val="para"/>
              <w:spacing w:before="120"/>
              <w:ind w:left="34" w:right="121" w:firstLine="0"/>
              <w:jc w:val="center"/>
              <w:rPr>
                <w:lang w:val="en-GB"/>
              </w:rPr>
            </w:pPr>
            <w:r w:rsidRPr="00B04DC3">
              <w:rPr>
                <w:lang w:val="en-GB"/>
              </w:rPr>
              <w:t>X</w:t>
            </w:r>
          </w:p>
        </w:tc>
        <w:tc>
          <w:tcPr>
            <w:tcW w:w="910" w:type="dxa"/>
            <w:shd w:val="clear" w:color="auto" w:fill="auto"/>
            <w:vAlign w:val="center"/>
          </w:tcPr>
          <w:p w:rsidR="00AF2027" w:rsidRPr="00B04DC3" w:rsidRDefault="00AF2027" w:rsidP="009207B2">
            <w:pPr>
              <w:pStyle w:val="para"/>
              <w:spacing w:before="120"/>
              <w:ind w:left="34" w:right="121" w:firstLine="0"/>
              <w:jc w:val="center"/>
              <w:rPr>
                <w:lang w:val="en-GB"/>
              </w:rPr>
            </w:pPr>
          </w:p>
        </w:tc>
      </w:tr>
      <w:tr w:rsidR="00AF2027" w:rsidRPr="00B04DC3" w:rsidTr="00E02C2F">
        <w:tc>
          <w:tcPr>
            <w:tcW w:w="5641" w:type="dxa"/>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(c)</w:t>
            </w:r>
            <w:r w:rsidRPr="00B04DC3">
              <w:rPr>
                <w:lang w:val="en-GB"/>
              </w:rPr>
              <w:tab/>
              <w:t>Fuel injection timing: fuel system ability to achieve the commanded fuel timing for at least one of the injection events when the engine is equipped with the appropriate sensors - performance monitoring.</w:t>
            </w:r>
          </w:p>
        </w:tc>
        <w:tc>
          <w:tcPr>
            <w:tcW w:w="924" w:type="dxa"/>
            <w:shd w:val="clear" w:color="auto" w:fill="auto"/>
            <w:vAlign w:val="center"/>
          </w:tcPr>
          <w:p w:rsidR="00AF2027" w:rsidRPr="00B04DC3" w:rsidRDefault="00AF2027" w:rsidP="009207B2">
            <w:pPr>
              <w:pStyle w:val="para"/>
              <w:spacing w:before="120"/>
              <w:ind w:left="34" w:right="121" w:firstLine="0"/>
              <w:jc w:val="center"/>
              <w:rPr>
                <w:lang w:val="en-GB"/>
              </w:rPr>
            </w:pPr>
            <w:r w:rsidRPr="00B04DC3">
              <w:rPr>
                <w:lang w:val="en-GB"/>
              </w:rPr>
              <w:t>X</w:t>
            </w:r>
          </w:p>
        </w:tc>
        <w:tc>
          <w:tcPr>
            <w:tcW w:w="910" w:type="dxa"/>
            <w:shd w:val="clear" w:color="auto" w:fill="auto"/>
            <w:vAlign w:val="center"/>
          </w:tcPr>
          <w:p w:rsidR="00AF2027" w:rsidRPr="00B04DC3" w:rsidRDefault="00AF2027" w:rsidP="009207B2">
            <w:pPr>
              <w:pStyle w:val="para"/>
              <w:spacing w:before="120"/>
              <w:ind w:left="34" w:right="121" w:firstLine="0"/>
              <w:jc w:val="center"/>
              <w:rPr>
                <w:lang w:val="en-GB"/>
              </w:rPr>
            </w:pPr>
          </w:p>
        </w:tc>
      </w:tr>
      <w:tr w:rsidR="00AF2027" w:rsidRPr="00B04DC3" w:rsidTr="00E02C2F">
        <w:tc>
          <w:tcPr>
            <w:tcW w:w="5641" w:type="dxa"/>
            <w:tcBorders>
              <w:bottom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(d)</w:t>
            </w:r>
            <w:r w:rsidRPr="00B04DC3">
              <w:rPr>
                <w:lang w:val="en-GB"/>
              </w:rPr>
              <w:tab/>
              <w:t>Fuel injection system: ability to maintain the desired air-fuel ratio (incl. but not limited to self adaptation features) – performance monitoring.</w:t>
            </w:r>
          </w:p>
        </w:tc>
        <w:tc>
          <w:tcPr>
            <w:tcW w:w="924"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lang w:val="en-GB"/>
              </w:rPr>
            </w:pPr>
          </w:p>
        </w:tc>
        <w:tc>
          <w:tcPr>
            <w:tcW w:w="910"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lang w:val="en-GB"/>
              </w:rPr>
            </w:pPr>
            <w:r w:rsidRPr="00B04DC3">
              <w:rPr>
                <w:lang w:val="en-GB"/>
              </w:rPr>
              <w:t>X</w:t>
            </w:r>
          </w:p>
        </w:tc>
      </w:tr>
    </w:tbl>
    <w:p w:rsidR="00AF2027" w:rsidRPr="001A5A17" w:rsidRDefault="00AF2027" w:rsidP="00F50947">
      <w:pPr>
        <w:pStyle w:val="para"/>
        <w:keepNext/>
        <w:keepLines/>
        <w:spacing w:before="240" w:after="240"/>
        <w:ind w:left="1701" w:hanging="567"/>
        <w:rPr>
          <w:lang w:val="en-GB"/>
        </w:rPr>
      </w:pPr>
      <w:r w:rsidRPr="001A5A17">
        <w:rPr>
          <w:lang w:val="en-GB"/>
        </w:rPr>
        <w:t>Appendix 3 - Item 8</w:t>
      </w:r>
    </w:p>
    <w:p w:rsidR="00AF2027" w:rsidRPr="001A5A17" w:rsidRDefault="00F50947" w:rsidP="00F50947">
      <w:pPr>
        <w:pStyle w:val="para"/>
        <w:keepNext/>
        <w:keepLines/>
        <w:ind w:left="1134"/>
        <w:rPr>
          <w:lang w:val="en-GB"/>
        </w:rPr>
      </w:pPr>
      <w:r>
        <w:rPr>
          <w:lang w:val="en-GB"/>
        </w:rPr>
        <w:tab/>
      </w:r>
      <w:r w:rsidR="00AF2027" w:rsidRPr="001A5A17">
        <w:rPr>
          <w:lang w:val="en-GB"/>
        </w:rPr>
        <w:t xml:space="preserve">Air </w:t>
      </w:r>
      <w:r w:rsidR="00C77F35" w:rsidRPr="001A5A17">
        <w:rPr>
          <w:lang w:val="en-GB"/>
        </w:rPr>
        <w:t>handling and t</w:t>
      </w:r>
      <w:r w:rsidR="00AF2027" w:rsidRPr="001A5A17">
        <w:rPr>
          <w:lang w:val="en-GB"/>
        </w:rPr>
        <w:t xml:space="preserve">urbocharger/Boost </w:t>
      </w:r>
      <w:r w:rsidR="00C77F35" w:rsidRPr="001A5A17">
        <w:rPr>
          <w:lang w:val="en-GB"/>
        </w:rPr>
        <w:t>pressure control s</w:t>
      </w:r>
      <w:r w:rsidR="00AF2027" w:rsidRPr="001A5A17">
        <w:rPr>
          <w:lang w:val="en-GB"/>
        </w:rPr>
        <w:t>ystem</w:t>
      </w:r>
    </w:p>
    <w:p w:rsidR="00AF2027" w:rsidRPr="00B04DC3" w:rsidRDefault="00AF2027" w:rsidP="00F50947">
      <w:pPr>
        <w:pStyle w:val="para"/>
        <w:ind w:left="1134" w:firstLine="0"/>
        <w:rPr>
          <w:lang w:val="en-GB"/>
        </w:rPr>
      </w:pPr>
      <w:r w:rsidRPr="00B04DC3">
        <w:rPr>
          <w:lang w:val="en-GB"/>
        </w:rPr>
        <w:t>The OBD system shall monitor the following elements of the Air Handling and Turbocharger/Boost Pressure Control System on engines so-equipped for proper operation:</w:t>
      </w:r>
    </w:p>
    <w:tbl>
      <w:tblPr>
        <w:tblW w:w="74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924"/>
        <w:gridCol w:w="910"/>
      </w:tblGrid>
      <w:tr w:rsidR="00AF2027" w:rsidRPr="00B04DC3" w:rsidTr="00F50947">
        <w:tc>
          <w:tcPr>
            <w:tcW w:w="5637" w:type="dxa"/>
            <w:tcBorders>
              <w:top w:val="nil"/>
              <w:left w:val="nil"/>
              <w:bottom w:val="single" w:sz="12" w:space="0" w:color="auto"/>
            </w:tcBorders>
            <w:shd w:val="clear" w:color="auto" w:fill="auto"/>
            <w:vAlign w:val="center"/>
          </w:tcPr>
          <w:p w:rsidR="00AF2027" w:rsidRPr="00B04DC3" w:rsidRDefault="00AF2027" w:rsidP="009207B2">
            <w:pPr>
              <w:pStyle w:val="para"/>
              <w:spacing w:before="80" w:after="80" w:line="200" w:lineRule="atLeast"/>
              <w:ind w:left="4749" w:firstLine="0"/>
              <w:rPr>
                <w:i/>
                <w:sz w:val="16"/>
                <w:szCs w:val="16"/>
                <w:lang w:val="en-GB"/>
              </w:rPr>
            </w:pPr>
          </w:p>
        </w:tc>
        <w:tc>
          <w:tcPr>
            <w:tcW w:w="924"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Diesel</w:t>
            </w:r>
          </w:p>
        </w:tc>
        <w:tc>
          <w:tcPr>
            <w:tcW w:w="910"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Gas</w:t>
            </w:r>
          </w:p>
        </w:tc>
      </w:tr>
      <w:tr w:rsidR="00AF2027" w:rsidRPr="00B04DC3" w:rsidTr="00F50947">
        <w:tc>
          <w:tcPr>
            <w:tcW w:w="5637" w:type="dxa"/>
            <w:tcBorders>
              <w:top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(a1)</w:t>
            </w:r>
            <w:r w:rsidRPr="00B04DC3">
              <w:rPr>
                <w:lang w:val="en-GB"/>
              </w:rPr>
              <w:tab/>
              <w:t>Turbo under/over boost: turbo boost system</w:t>
            </w:r>
            <w:smartTag w:uri="urn:schemas-microsoft-com:office:smarttags" w:element="PersonName">
              <w:r w:rsidRPr="00B04DC3">
                <w:rPr>
                  <w:lang w:val="en-GB"/>
                </w:rPr>
                <w:t>'</w:t>
              </w:r>
            </w:smartTag>
            <w:r w:rsidRPr="00B04DC3">
              <w:rPr>
                <w:lang w:val="en-GB"/>
              </w:rPr>
              <w:t>s ability to maintain the commanded boost pressure, detecting both "boost pressure too low" and "boost pressure too high" conditions – emission threshold monitoring.</w:t>
            </w:r>
          </w:p>
        </w:tc>
        <w:tc>
          <w:tcPr>
            <w:tcW w:w="924" w:type="dxa"/>
            <w:tcBorders>
              <w:top w:val="single" w:sz="12" w:space="0" w:color="auto"/>
            </w:tcBorders>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c>
          <w:tcPr>
            <w:tcW w:w="910" w:type="dxa"/>
            <w:tcBorders>
              <w:top w:val="single" w:sz="12" w:space="0" w:color="auto"/>
            </w:tcBorders>
            <w:shd w:val="clear" w:color="auto" w:fill="auto"/>
            <w:vAlign w:val="center"/>
          </w:tcPr>
          <w:p w:rsidR="00AF2027" w:rsidRPr="00B04DC3" w:rsidRDefault="00AF2027" w:rsidP="009207B2">
            <w:pPr>
              <w:pStyle w:val="para"/>
              <w:spacing w:before="120"/>
              <w:ind w:left="55" w:firstLine="0"/>
              <w:jc w:val="center"/>
              <w:rPr>
                <w:lang w:val="en-GB"/>
              </w:rPr>
            </w:pPr>
          </w:p>
        </w:tc>
      </w:tr>
      <w:tr w:rsidR="00AF2027" w:rsidRPr="00B04DC3" w:rsidTr="00F50947">
        <w:tc>
          <w:tcPr>
            <w:tcW w:w="5637" w:type="dxa"/>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(a2)</w:t>
            </w:r>
            <w:r w:rsidRPr="00B04DC3">
              <w:rPr>
                <w:lang w:val="en-GB"/>
              </w:rPr>
              <w:tab/>
              <w:t>Turbo under/over boost: turbo boost system</w:t>
            </w:r>
            <w:smartTag w:uri="urn:schemas-microsoft-com:office:smarttags" w:element="PersonName">
              <w:r w:rsidRPr="00B04DC3">
                <w:rPr>
                  <w:lang w:val="en-GB"/>
                </w:rPr>
                <w:t>'</w:t>
              </w:r>
            </w:smartTag>
            <w:r w:rsidRPr="00B04DC3">
              <w:rPr>
                <w:lang w:val="en-GB"/>
              </w:rPr>
              <w:t>s ability to maintain the commanded boost pressure, detecting both "boost pressure too low" and "boost pressure too high" conditions – performance monitoring (monitoring requirement to be further discussed).</w:t>
            </w:r>
          </w:p>
        </w:tc>
        <w:tc>
          <w:tcPr>
            <w:tcW w:w="924" w:type="dxa"/>
            <w:shd w:val="clear" w:color="auto" w:fill="auto"/>
            <w:vAlign w:val="center"/>
          </w:tcPr>
          <w:p w:rsidR="00AF2027" w:rsidRPr="00B04DC3" w:rsidRDefault="00AF2027" w:rsidP="009207B2">
            <w:pPr>
              <w:pStyle w:val="para"/>
              <w:spacing w:before="120"/>
              <w:ind w:left="55" w:right="0" w:firstLine="0"/>
              <w:jc w:val="center"/>
              <w:rPr>
                <w:lang w:val="en-GB"/>
              </w:rPr>
            </w:pPr>
          </w:p>
        </w:tc>
        <w:tc>
          <w:tcPr>
            <w:tcW w:w="910" w:type="dxa"/>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r>
      <w:tr w:rsidR="00AF2027" w:rsidRPr="00B04DC3" w:rsidTr="00F50947">
        <w:tc>
          <w:tcPr>
            <w:tcW w:w="5637" w:type="dxa"/>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(b)</w:t>
            </w:r>
            <w:r w:rsidRPr="00B04DC3">
              <w:rPr>
                <w:lang w:val="en-GB"/>
              </w:rPr>
              <w:tab/>
              <w:t>Variable Geometry Turbo (VGT) slow response: VGT system</w:t>
            </w:r>
            <w:smartTag w:uri="urn:schemas-microsoft-com:office:smarttags" w:element="PersonName">
              <w:r w:rsidRPr="00B04DC3">
                <w:rPr>
                  <w:lang w:val="en-GB"/>
                </w:rPr>
                <w:t>'</w:t>
              </w:r>
            </w:smartTag>
            <w:r w:rsidRPr="00B04DC3">
              <w:rPr>
                <w:lang w:val="en-GB"/>
              </w:rPr>
              <w:t>s ability to achieve the commanded geometry within a manufacturer specified time-performance monitoring.</w:t>
            </w:r>
          </w:p>
        </w:tc>
        <w:tc>
          <w:tcPr>
            <w:tcW w:w="924" w:type="dxa"/>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c>
          <w:tcPr>
            <w:tcW w:w="910" w:type="dxa"/>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r>
      <w:tr w:rsidR="00AF2027" w:rsidRPr="00B04DC3" w:rsidTr="00F50947">
        <w:tc>
          <w:tcPr>
            <w:tcW w:w="5637" w:type="dxa"/>
            <w:tcBorders>
              <w:bottom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(c)</w:t>
            </w:r>
            <w:r w:rsidRPr="00B04DC3">
              <w:rPr>
                <w:lang w:val="en-GB"/>
              </w:rPr>
              <w:tab/>
              <w:t>Charge air cooling: Charge air cooling system efficiency - total functional failure.</w:t>
            </w:r>
          </w:p>
        </w:tc>
        <w:tc>
          <w:tcPr>
            <w:tcW w:w="924" w:type="dxa"/>
            <w:tcBorders>
              <w:bottom w:val="single" w:sz="12" w:space="0" w:color="auto"/>
            </w:tcBorders>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c>
          <w:tcPr>
            <w:tcW w:w="910" w:type="dxa"/>
            <w:tcBorders>
              <w:bottom w:val="single" w:sz="12" w:space="0" w:color="auto"/>
            </w:tcBorders>
            <w:shd w:val="clear" w:color="auto" w:fill="auto"/>
            <w:vAlign w:val="center"/>
          </w:tcPr>
          <w:p w:rsidR="00AF2027" w:rsidRPr="00B04DC3" w:rsidRDefault="00AF2027" w:rsidP="009207B2">
            <w:pPr>
              <w:pStyle w:val="para"/>
              <w:spacing w:before="120"/>
              <w:ind w:left="55" w:right="0" w:firstLine="0"/>
              <w:jc w:val="center"/>
              <w:rPr>
                <w:lang w:val="en-GB"/>
              </w:rPr>
            </w:pPr>
            <w:r w:rsidRPr="00B04DC3">
              <w:rPr>
                <w:lang w:val="en-GB"/>
              </w:rPr>
              <w:t>X</w:t>
            </w:r>
          </w:p>
        </w:tc>
      </w:tr>
    </w:tbl>
    <w:p w:rsidR="00AF2027" w:rsidRPr="001A5A17" w:rsidRDefault="00AF2027" w:rsidP="0004209B">
      <w:pPr>
        <w:pStyle w:val="para"/>
        <w:spacing w:before="240"/>
        <w:ind w:left="1701" w:hanging="567"/>
        <w:rPr>
          <w:lang w:val="en-GB"/>
        </w:rPr>
      </w:pPr>
      <w:r w:rsidRPr="001A5A17">
        <w:rPr>
          <w:lang w:val="en-GB"/>
        </w:rPr>
        <w:t>Appendix 3 - Item 9</w:t>
      </w:r>
    </w:p>
    <w:p w:rsidR="00AF2027" w:rsidRPr="001A5A17" w:rsidRDefault="00AF2027" w:rsidP="001A5A17">
      <w:pPr>
        <w:pStyle w:val="para"/>
        <w:ind w:left="1134"/>
        <w:rPr>
          <w:lang w:val="en-GB"/>
        </w:rPr>
      </w:pPr>
      <w:r w:rsidRPr="001A5A17">
        <w:rPr>
          <w:lang w:val="en-GB"/>
        </w:rPr>
        <w:tab/>
        <w:t xml:space="preserve">Variable Valve Timing (VVT) </w:t>
      </w:r>
      <w:r w:rsidR="00C77F35" w:rsidRPr="001A5A17">
        <w:rPr>
          <w:lang w:val="en-GB"/>
        </w:rPr>
        <w:t>system</w:t>
      </w:r>
    </w:p>
    <w:p w:rsidR="00AF2027" w:rsidRPr="00B04DC3" w:rsidRDefault="00AF2027" w:rsidP="00F50947">
      <w:pPr>
        <w:pStyle w:val="para"/>
        <w:ind w:left="1134" w:firstLine="0"/>
        <w:rPr>
          <w:lang w:val="en-GB"/>
        </w:rPr>
      </w:pPr>
      <w:r w:rsidRPr="00B04DC3">
        <w:rPr>
          <w:lang w:val="en-GB"/>
        </w:rPr>
        <w:t xml:space="preserve">The OBD system shall monitor the following elements of the Variable Valve Timing (VVT) </w:t>
      </w:r>
      <w:r w:rsidR="00C77F35">
        <w:rPr>
          <w:lang w:val="en-GB"/>
        </w:rPr>
        <w:t>s</w:t>
      </w:r>
      <w:r w:rsidR="00C77F35" w:rsidRPr="00B04DC3">
        <w:rPr>
          <w:lang w:val="en-GB"/>
        </w:rPr>
        <w:t xml:space="preserve">ystem </w:t>
      </w:r>
      <w:r w:rsidRPr="00B04DC3">
        <w:rPr>
          <w:lang w:val="en-GB"/>
        </w:rPr>
        <w:t>on engines so-equipped for proper operation:</w:t>
      </w:r>
    </w:p>
    <w:p w:rsidR="00AF2027" w:rsidRPr="00B04DC3" w:rsidRDefault="00AF2027" w:rsidP="00E02C2F">
      <w:pPr>
        <w:pStyle w:val="a"/>
        <w:ind w:left="1701"/>
        <w:rPr>
          <w:lang w:val="en-GB"/>
        </w:rPr>
      </w:pPr>
      <w:r w:rsidRPr="00B04DC3">
        <w:rPr>
          <w:lang w:val="en-GB"/>
        </w:rPr>
        <w:t>(a)</w:t>
      </w:r>
      <w:r w:rsidRPr="00B04DC3">
        <w:rPr>
          <w:lang w:val="en-GB"/>
        </w:rPr>
        <w:tab/>
        <w:t>VVT target error: VVT system’s ability to achieve the commanded valve timing - performance monitoring;</w:t>
      </w:r>
    </w:p>
    <w:p w:rsidR="00AF2027" w:rsidRPr="00B04DC3" w:rsidRDefault="00AF2027" w:rsidP="00E02C2F">
      <w:pPr>
        <w:pStyle w:val="a"/>
        <w:ind w:left="1701"/>
        <w:rPr>
          <w:lang w:val="en-GB"/>
        </w:rPr>
      </w:pPr>
      <w:r w:rsidRPr="00B04DC3">
        <w:rPr>
          <w:lang w:val="en-GB"/>
        </w:rPr>
        <w:t>(b)</w:t>
      </w:r>
      <w:r w:rsidRPr="00B04DC3">
        <w:rPr>
          <w:lang w:val="en-GB"/>
        </w:rPr>
        <w:tab/>
        <w:t>VVT slow response: VVT system’s ability to achieve the commanded valve timing within a manufacturer specified time interval following the command-performance monitoring.</w:t>
      </w:r>
    </w:p>
    <w:p w:rsidR="00AF2027" w:rsidRPr="001A5A17" w:rsidRDefault="00F50947" w:rsidP="0004209B">
      <w:pPr>
        <w:pStyle w:val="para"/>
        <w:spacing w:before="240"/>
        <w:ind w:left="1134"/>
        <w:rPr>
          <w:lang w:val="en-GB"/>
        </w:rPr>
      </w:pPr>
      <w:r>
        <w:rPr>
          <w:lang w:val="en-GB"/>
        </w:rPr>
        <w:tab/>
      </w:r>
      <w:r w:rsidR="00AF2027" w:rsidRPr="001A5A17">
        <w:rPr>
          <w:lang w:val="en-GB"/>
        </w:rPr>
        <w:t>Appendix 3 - Item 10</w:t>
      </w:r>
    </w:p>
    <w:p w:rsidR="00AF2027" w:rsidRPr="001A5A17" w:rsidRDefault="00AF2027" w:rsidP="001A5A17">
      <w:pPr>
        <w:pStyle w:val="para"/>
        <w:ind w:left="1134"/>
        <w:rPr>
          <w:lang w:val="en-GB"/>
        </w:rPr>
      </w:pPr>
      <w:r w:rsidRPr="001A5A17">
        <w:rPr>
          <w:lang w:val="en-GB"/>
        </w:rPr>
        <w:tab/>
        <w:t xml:space="preserve">Misfire </w:t>
      </w:r>
      <w:r w:rsidR="00C77F35" w:rsidRPr="001A5A17">
        <w:rPr>
          <w:lang w:val="en-GB"/>
        </w:rPr>
        <w:t xml:space="preserve">monitoring </w:t>
      </w:r>
    </w:p>
    <w:tbl>
      <w:tblPr>
        <w:tblW w:w="766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1"/>
        <w:gridCol w:w="925"/>
        <w:gridCol w:w="924"/>
      </w:tblGrid>
      <w:tr w:rsidR="00AF2027" w:rsidRPr="00B04DC3" w:rsidTr="0004209B">
        <w:tc>
          <w:tcPr>
            <w:tcW w:w="5811" w:type="dxa"/>
            <w:tcBorders>
              <w:top w:val="nil"/>
              <w:left w:val="nil"/>
              <w:bottom w:val="single" w:sz="12" w:space="0" w:color="auto"/>
            </w:tcBorders>
            <w:shd w:val="clear" w:color="auto" w:fill="auto"/>
            <w:vAlign w:val="center"/>
          </w:tcPr>
          <w:p w:rsidR="00AF2027" w:rsidRPr="00B04DC3" w:rsidRDefault="00AF2027" w:rsidP="009207B2">
            <w:pPr>
              <w:pStyle w:val="para"/>
              <w:spacing w:before="80" w:after="80" w:line="200" w:lineRule="atLeast"/>
              <w:ind w:left="4749" w:firstLine="0"/>
              <w:rPr>
                <w:i/>
                <w:sz w:val="16"/>
                <w:szCs w:val="16"/>
                <w:lang w:val="en-GB"/>
              </w:rPr>
            </w:pPr>
          </w:p>
        </w:tc>
        <w:tc>
          <w:tcPr>
            <w:tcW w:w="925"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Diesel</w:t>
            </w:r>
          </w:p>
        </w:tc>
        <w:tc>
          <w:tcPr>
            <w:tcW w:w="924" w:type="dxa"/>
            <w:tcBorders>
              <w:bottom w:val="single" w:sz="12"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Gas</w:t>
            </w:r>
          </w:p>
        </w:tc>
      </w:tr>
      <w:tr w:rsidR="00AF2027" w:rsidRPr="00B04DC3" w:rsidTr="0004209B">
        <w:tc>
          <w:tcPr>
            <w:tcW w:w="5811" w:type="dxa"/>
            <w:tcBorders>
              <w:top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(a)</w:t>
            </w:r>
            <w:r w:rsidRPr="00B04DC3">
              <w:rPr>
                <w:lang w:val="en-GB"/>
              </w:rPr>
              <w:tab/>
              <w:t>No prescriptions.</w:t>
            </w:r>
          </w:p>
        </w:tc>
        <w:tc>
          <w:tcPr>
            <w:tcW w:w="925" w:type="dxa"/>
            <w:tcBorders>
              <w:top w:val="single" w:sz="12" w:space="0" w:color="auto"/>
            </w:tcBorders>
            <w:shd w:val="clear" w:color="auto" w:fill="auto"/>
            <w:vAlign w:val="center"/>
          </w:tcPr>
          <w:p w:rsidR="00AF2027" w:rsidRPr="00B04DC3" w:rsidRDefault="00AF2027" w:rsidP="009207B2">
            <w:pPr>
              <w:pStyle w:val="para"/>
              <w:spacing w:before="80"/>
              <w:ind w:left="566" w:right="119" w:hanging="500"/>
              <w:jc w:val="center"/>
              <w:rPr>
                <w:lang w:val="en-GB"/>
              </w:rPr>
            </w:pPr>
            <w:r w:rsidRPr="00B04DC3">
              <w:rPr>
                <w:lang w:val="en-GB"/>
              </w:rPr>
              <w:t>X</w:t>
            </w:r>
          </w:p>
        </w:tc>
        <w:tc>
          <w:tcPr>
            <w:tcW w:w="924" w:type="dxa"/>
            <w:tcBorders>
              <w:top w:val="single" w:sz="12" w:space="0" w:color="auto"/>
            </w:tcBorders>
            <w:shd w:val="clear" w:color="auto" w:fill="auto"/>
            <w:vAlign w:val="center"/>
          </w:tcPr>
          <w:p w:rsidR="00AF2027" w:rsidRPr="00B04DC3" w:rsidRDefault="00AF2027" w:rsidP="009207B2">
            <w:pPr>
              <w:pStyle w:val="para"/>
              <w:spacing w:before="80"/>
              <w:ind w:left="566" w:right="119" w:hanging="500"/>
              <w:jc w:val="center"/>
              <w:rPr>
                <w:lang w:val="en-GB"/>
              </w:rPr>
            </w:pPr>
          </w:p>
        </w:tc>
      </w:tr>
      <w:tr w:rsidR="00AF2027" w:rsidRPr="00B04DC3" w:rsidTr="0004209B">
        <w:tc>
          <w:tcPr>
            <w:tcW w:w="5811" w:type="dxa"/>
            <w:tcBorders>
              <w:bottom w:val="single" w:sz="12" w:space="0" w:color="auto"/>
            </w:tcBorders>
            <w:shd w:val="clear" w:color="auto" w:fill="auto"/>
            <w:vAlign w:val="center"/>
          </w:tcPr>
          <w:p w:rsidR="00AF2027" w:rsidRPr="00B04DC3" w:rsidRDefault="00AF2027" w:rsidP="009207B2">
            <w:pPr>
              <w:pStyle w:val="para"/>
              <w:spacing w:before="80"/>
              <w:ind w:left="566" w:right="119" w:hanging="500"/>
              <w:rPr>
                <w:lang w:val="en-GB"/>
              </w:rPr>
            </w:pPr>
            <w:r w:rsidRPr="00B04DC3">
              <w:rPr>
                <w:lang w:val="en-GB"/>
              </w:rPr>
              <w:t>(b)</w:t>
            </w:r>
            <w:r w:rsidRPr="00B04DC3">
              <w:rPr>
                <w:lang w:val="en-GB"/>
              </w:rPr>
              <w:tab/>
              <w:t>Misfire that may cause catalyst damage (e.g. by monitoring a certain percentage of misfiring in a certain period of time) – performance monitoring (monitoring requirement to be further discussed together with items 6 and 8).</w:t>
            </w:r>
          </w:p>
        </w:tc>
        <w:tc>
          <w:tcPr>
            <w:tcW w:w="925" w:type="dxa"/>
            <w:tcBorders>
              <w:bottom w:val="single" w:sz="12" w:space="0" w:color="auto"/>
            </w:tcBorders>
            <w:shd w:val="clear" w:color="auto" w:fill="auto"/>
            <w:vAlign w:val="center"/>
          </w:tcPr>
          <w:p w:rsidR="00AF2027" w:rsidRPr="00B04DC3" w:rsidRDefault="00AF2027" w:rsidP="009207B2">
            <w:pPr>
              <w:pStyle w:val="para"/>
              <w:spacing w:before="80"/>
              <w:ind w:left="566" w:right="119" w:hanging="500"/>
              <w:jc w:val="center"/>
              <w:rPr>
                <w:lang w:val="en-GB"/>
              </w:rPr>
            </w:pPr>
          </w:p>
        </w:tc>
        <w:tc>
          <w:tcPr>
            <w:tcW w:w="924" w:type="dxa"/>
            <w:tcBorders>
              <w:bottom w:val="single" w:sz="12" w:space="0" w:color="auto"/>
            </w:tcBorders>
            <w:shd w:val="clear" w:color="auto" w:fill="auto"/>
            <w:vAlign w:val="center"/>
          </w:tcPr>
          <w:p w:rsidR="00AF2027" w:rsidRPr="00B04DC3" w:rsidRDefault="00AF2027" w:rsidP="009207B2">
            <w:pPr>
              <w:pStyle w:val="para"/>
              <w:spacing w:before="80"/>
              <w:ind w:left="566" w:right="119" w:hanging="500"/>
              <w:jc w:val="center"/>
              <w:rPr>
                <w:lang w:val="en-GB"/>
              </w:rPr>
            </w:pPr>
            <w:r w:rsidRPr="00B04DC3">
              <w:rPr>
                <w:lang w:val="en-GB"/>
              </w:rPr>
              <w:t>X</w:t>
            </w:r>
          </w:p>
        </w:tc>
      </w:tr>
    </w:tbl>
    <w:p w:rsidR="007C2773" w:rsidRDefault="007C2773" w:rsidP="007C2773">
      <w:pPr>
        <w:pStyle w:val="para"/>
        <w:spacing w:after="140"/>
        <w:ind w:left="1701" w:hanging="567"/>
        <w:rPr>
          <w:lang w:val="en-GB"/>
        </w:rPr>
      </w:pPr>
    </w:p>
    <w:p w:rsidR="00AF2027" w:rsidRPr="001A5A17" w:rsidRDefault="00AF2027" w:rsidP="007C2773">
      <w:pPr>
        <w:pStyle w:val="para"/>
        <w:spacing w:after="140"/>
        <w:ind w:left="1701" w:hanging="567"/>
        <w:rPr>
          <w:lang w:val="en-GB"/>
        </w:rPr>
      </w:pPr>
      <w:r w:rsidRPr="001A5A17">
        <w:rPr>
          <w:lang w:val="en-GB"/>
        </w:rPr>
        <w:t>Appendix 3 - Item 11</w:t>
      </w:r>
    </w:p>
    <w:p w:rsidR="00AF2027" w:rsidRPr="001A5A17" w:rsidRDefault="00AF2027" w:rsidP="007C2773">
      <w:pPr>
        <w:pStyle w:val="para"/>
        <w:spacing w:after="140"/>
        <w:ind w:left="1134"/>
        <w:rPr>
          <w:lang w:val="en-GB"/>
        </w:rPr>
      </w:pPr>
      <w:r w:rsidRPr="001A5A17">
        <w:rPr>
          <w:lang w:val="en-GB"/>
        </w:rPr>
        <w:tab/>
        <w:t xml:space="preserve">Crankcase </w:t>
      </w:r>
      <w:r w:rsidR="00E35ECD" w:rsidRPr="001A5A17">
        <w:rPr>
          <w:lang w:val="en-GB"/>
        </w:rPr>
        <w:t xml:space="preserve">ventilation system monitoring </w:t>
      </w:r>
    </w:p>
    <w:p w:rsidR="00AF2027" w:rsidRPr="00B04DC3" w:rsidRDefault="00AF2027" w:rsidP="007C2773">
      <w:pPr>
        <w:pStyle w:val="para"/>
        <w:spacing w:before="120"/>
        <w:ind w:left="1701" w:hanging="567"/>
        <w:rPr>
          <w:lang w:val="en-GB"/>
        </w:rPr>
      </w:pPr>
      <w:r w:rsidRPr="00B04DC3">
        <w:rPr>
          <w:lang w:val="en-GB"/>
        </w:rPr>
        <w:t>No prescriptions.</w:t>
      </w:r>
    </w:p>
    <w:p w:rsidR="00AF2027" w:rsidRPr="001A5A17" w:rsidRDefault="00AF2027" w:rsidP="0004209B">
      <w:pPr>
        <w:pStyle w:val="para"/>
        <w:spacing w:before="240"/>
        <w:ind w:left="1701" w:hanging="567"/>
        <w:rPr>
          <w:lang w:val="en-GB"/>
        </w:rPr>
      </w:pPr>
      <w:r w:rsidRPr="001A5A17">
        <w:rPr>
          <w:lang w:val="en-GB"/>
        </w:rPr>
        <w:t>Appendix 3 - Item 12</w:t>
      </w:r>
    </w:p>
    <w:p w:rsidR="00AF2027" w:rsidRPr="001A5A17" w:rsidRDefault="00AF2027" w:rsidP="007C2773">
      <w:pPr>
        <w:pStyle w:val="para"/>
        <w:spacing w:after="140"/>
        <w:ind w:left="1134"/>
        <w:rPr>
          <w:lang w:val="en-GB"/>
        </w:rPr>
      </w:pPr>
      <w:r w:rsidRPr="001A5A17">
        <w:rPr>
          <w:lang w:val="en-GB"/>
        </w:rPr>
        <w:tab/>
        <w:t xml:space="preserve">Engine </w:t>
      </w:r>
      <w:r w:rsidR="00E35ECD" w:rsidRPr="001A5A17">
        <w:rPr>
          <w:lang w:val="en-GB"/>
        </w:rPr>
        <w:t xml:space="preserve">cooling system monitoring </w:t>
      </w:r>
    </w:p>
    <w:p w:rsidR="00AF2027" w:rsidRPr="00B04DC3" w:rsidRDefault="00AF2027" w:rsidP="007C2773">
      <w:pPr>
        <w:pStyle w:val="para"/>
        <w:spacing w:after="140"/>
        <w:ind w:left="1134" w:firstLine="0"/>
        <w:rPr>
          <w:lang w:val="en-GB"/>
        </w:rPr>
      </w:pPr>
      <w:r w:rsidRPr="00B04DC3">
        <w:rPr>
          <w:lang w:val="en-GB"/>
        </w:rPr>
        <w:t>The OBD system shall monitor the following elements of the engine cooling system for proper operation:</w:t>
      </w:r>
    </w:p>
    <w:p w:rsidR="00AF2027" w:rsidRPr="00B04DC3" w:rsidRDefault="00AF2027" w:rsidP="007C2773">
      <w:pPr>
        <w:pStyle w:val="a"/>
        <w:spacing w:after="140"/>
        <w:ind w:left="1701"/>
        <w:rPr>
          <w:lang w:val="en-GB"/>
        </w:rPr>
      </w:pPr>
      <w:r w:rsidRPr="00B04DC3">
        <w:rPr>
          <w:lang w:val="en-GB"/>
        </w:rPr>
        <w:t>(a)</w:t>
      </w:r>
      <w:r w:rsidRPr="00B04DC3">
        <w:rPr>
          <w:lang w:val="en-GB"/>
        </w:rPr>
        <w:tab/>
        <w:t>Engine coolant temperature (thermostat):  Stuck open thermostat. Manufacturers need not monitor the thermostat if its failure will not disable any other OBD monitors - total functional failure.</w:t>
      </w:r>
    </w:p>
    <w:p w:rsidR="00AF2027" w:rsidRPr="007C2773" w:rsidRDefault="00AF2027" w:rsidP="007C2773">
      <w:pPr>
        <w:pStyle w:val="para"/>
        <w:spacing w:after="140"/>
        <w:ind w:left="1134" w:firstLine="0"/>
        <w:rPr>
          <w:spacing w:val="4"/>
          <w:lang w:val="en-GB"/>
        </w:rPr>
      </w:pPr>
      <w:r w:rsidRPr="007C2773">
        <w:rPr>
          <w:spacing w:val="4"/>
          <w:lang w:val="en-GB"/>
        </w:rPr>
        <w:t>Manufacturers need not monitor the engine coolant temperature or the engine coolant temperature sensor if the engine coolant temperature or the engine coolant temperature sensor is not used to enable closed-loop/feedback control of any emissions control systems and/or will not disable any other monitor.</w:t>
      </w:r>
    </w:p>
    <w:p w:rsidR="00AF2027" w:rsidRPr="007C2773" w:rsidRDefault="00AF2027" w:rsidP="007C2773">
      <w:pPr>
        <w:pStyle w:val="para"/>
        <w:spacing w:after="140"/>
        <w:ind w:left="1134" w:firstLine="0"/>
        <w:rPr>
          <w:spacing w:val="4"/>
          <w:lang w:val="en-GB"/>
        </w:rPr>
      </w:pPr>
      <w:r w:rsidRPr="007C2773">
        <w:rPr>
          <w:spacing w:val="4"/>
          <w:lang w:val="en-GB"/>
        </w:rPr>
        <w:t>Manufacturers may suspend or delay the monitor for the time to reach close loop to enable temperature if the engine is subjected to conditions that could lead to false diagnosis (e.g. vehicle operation at idle for more than 50 to 75 per cent of the warm-up time).</w:t>
      </w:r>
    </w:p>
    <w:p w:rsidR="00AF2027" w:rsidRPr="001A5A17" w:rsidRDefault="00AF2027" w:rsidP="007C2773">
      <w:pPr>
        <w:pStyle w:val="para"/>
        <w:spacing w:before="240"/>
        <w:ind w:left="1701" w:hanging="567"/>
        <w:rPr>
          <w:lang w:val="en-GB"/>
        </w:rPr>
      </w:pPr>
      <w:r w:rsidRPr="001A5A17">
        <w:rPr>
          <w:lang w:val="en-GB"/>
        </w:rPr>
        <w:t>Appendix 3 - Item 13</w:t>
      </w:r>
    </w:p>
    <w:p w:rsidR="00AF2027" w:rsidRPr="001A5A17" w:rsidRDefault="00AF2027" w:rsidP="007C2773">
      <w:pPr>
        <w:pStyle w:val="para"/>
        <w:spacing w:after="140"/>
        <w:ind w:left="1134"/>
        <w:rPr>
          <w:lang w:val="en-GB"/>
        </w:rPr>
      </w:pPr>
      <w:r w:rsidRPr="001A5A17">
        <w:rPr>
          <w:lang w:val="en-GB"/>
        </w:rPr>
        <w:tab/>
        <w:t xml:space="preserve">Exhaust </w:t>
      </w:r>
      <w:r w:rsidR="00E35ECD" w:rsidRPr="001A5A17">
        <w:rPr>
          <w:lang w:val="en-GB"/>
        </w:rPr>
        <w:t>gas and oxygen sensors m</w:t>
      </w:r>
      <w:r w:rsidRPr="001A5A17">
        <w:rPr>
          <w:lang w:val="en-GB"/>
        </w:rPr>
        <w:t>onitoring</w:t>
      </w:r>
    </w:p>
    <w:p w:rsidR="00AF2027" w:rsidRPr="00B04DC3" w:rsidRDefault="00AF2027" w:rsidP="007C2773">
      <w:pPr>
        <w:pStyle w:val="para"/>
        <w:spacing w:after="140"/>
        <w:ind w:left="1134" w:firstLine="0"/>
        <w:rPr>
          <w:lang w:val="en-GB"/>
        </w:rPr>
      </w:pPr>
      <w:r w:rsidRPr="00B04DC3">
        <w:rPr>
          <w:lang w:val="en-GB"/>
        </w:rPr>
        <w:t>The OBD system shall monitor:</w:t>
      </w:r>
    </w:p>
    <w:tbl>
      <w:tblPr>
        <w:tblW w:w="7479" w:type="dxa"/>
        <w:tblInd w:w="1134" w:type="dxa"/>
        <w:tblLayout w:type="fixed"/>
        <w:tblLook w:val="01E0" w:firstRow="1" w:lastRow="1" w:firstColumn="1" w:lastColumn="1" w:noHBand="0" w:noVBand="0"/>
      </w:tblPr>
      <w:tblGrid>
        <w:gridCol w:w="5763"/>
        <w:gridCol w:w="854"/>
        <w:gridCol w:w="862"/>
      </w:tblGrid>
      <w:tr w:rsidR="00AF2027" w:rsidRPr="00B04DC3" w:rsidTr="0004209B">
        <w:tc>
          <w:tcPr>
            <w:tcW w:w="5763" w:type="dxa"/>
            <w:tcBorders>
              <w:bottom w:val="single" w:sz="12" w:space="0" w:color="auto"/>
              <w:right w:val="single" w:sz="4" w:space="0" w:color="auto"/>
            </w:tcBorders>
            <w:shd w:val="clear" w:color="auto" w:fill="auto"/>
          </w:tcPr>
          <w:p w:rsidR="00AF2027" w:rsidRPr="00B04DC3" w:rsidRDefault="00AF2027" w:rsidP="009207B2">
            <w:pPr>
              <w:pStyle w:val="para"/>
              <w:spacing w:before="80" w:after="80" w:line="200" w:lineRule="atLeast"/>
              <w:ind w:left="4749" w:firstLine="0"/>
              <w:rPr>
                <w:i/>
                <w:sz w:val="16"/>
                <w:szCs w:val="16"/>
                <w:lang w:val="en-GB"/>
              </w:rPr>
            </w:pPr>
          </w:p>
        </w:tc>
        <w:tc>
          <w:tcPr>
            <w:tcW w:w="854" w:type="dxa"/>
            <w:tcBorders>
              <w:top w:val="single" w:sz="4" w:space="0" w:color="auto"/>
              <w:left w:val="single" w:sz="4" w:space="0" w:color="auto"/>
              <w:bottom w:val="single" w:sz="12" w:space="0" w:color="auto"/>
              <w:right w:val="single" w:sz="4"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Diesel</w:t>
            </w:r>
          </w:p>
        </w:tc>
        <w:tc>
          <w:tcPr>
            <w:tcW w:w="862" w:type="dxa"/>
            <w:tcBorders>
              <w:top w:val="single" w:sz="4" w:space="0" w:color="auto"/>
              <w:left w:val="single" w:sz="4" w:space="0" w:color="auto"/>
              <w:bottom w:val="single" w:sz="12" w:space="0" w:color="auto"/>
              <w:right w:val="single" w:sz="4"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Gas</w:t>
            </w:r>
          </w:p>
        </w:tc>
      </w:tr>
      <w:tr w:rsidR="00AF2027" w:rsidRPr="00B04DC3" w:rsidTr="000420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3" w:type="dxa"/>
            <w:tcBorders>
              <w:top w:val="single" w:sz="12" w:space="0" w:color="auto"/>
            </w:tcBorders>
            <w:shd w:val="clear" w:color="auto" w:fill="auto"/>
            <w:vAlign w:val="center"/>
          </w:tcPr>
          <w:p w:rsidR="00AF2027" w:rsidRPr="007C2773" w:rsidRDefault="00AF2027" w:rsidP="007C2773">
            <w:pPr>
              <w:pStyle w:val="para"/>
              <w:spacing w:before="80"/>
              <w:ind w:left="566" w:right="119" w:hanging="500"/>
              <w:rPr>
                <w:spacing w:val="2"/>
                <w:lang w:val="en-GB"/>
              </w:rPr>
            </w:pPr>
            <w:r w:rsidRPr="007C2773">
              <w:rPr>
                <w:spacing w:val="2"/>
                <w:lang w:val="en-GB"/>
              </w:rPr>
              <w:t>(a)</w:t>
            </w:r>
            <w:r w:rsidRPr="007C2773">
              <w:rPr>
                <w:spacing w:val="2"/>
                <w:lang w:val="en-GB"/>
              </w:rPr>
              <w:tab/>
              <w:t>The electrical elements of the exhaust gas sensors on engines so-equipped for proper operation according to item</w:t>
            </w:r>
            <w:r w:rsidR="007C2773" w:rsidRPr="007C2773">
              <w:rPr>
                <w:spacing w:val="2"/>
                <w:lang w:val="en-GB"/>
              </w:rPr>
              <w:t> </w:t>
            </w:r>
            <w:r w:rsidRPr="007C2773">
              <w:rPr>
                <w:spacing w:val="2"/>
                <w:lang w:val="en-GB"/>
              </w:rPr>
              <w:t>1 to this appendix – component monitoring.</w:t>
            </w:r>
          </w:p>
        </w:tc>
        <w:tc>
          <w:tcPr>
            <w:tcW w:w="854" w:type="dxa"/>
            <w:tcBorders>
              <w:top w:val="single" w:sz="12" w:space="0" w:color="auto"/>
            </w:tcBorders>
            <w:shd w:val="clear" w:color="auto" w:fill="auto"/>
            <w:vAlign w:val="center"/>
          </w:tcPr>
          <w:p w:rsidR="00AF2027" w:rsidRPr="00B04DC3" w:rsidRDefault="00AF2027" w:rsidP="009207B2">
            <w:pPr>
              <w:pStyle w:val="para"/>
              <w:spacing w:before="120"/>
              <w:ind w:left="0" w:right="0" w:firstLine="0"/>
              <w:jc w:val="center"/>
              <w:rPr>
                <w:lang w:val="en-GB"/>
              </w:rPr>
            </w:pPr>
            <w:r w:rsidRPr="00B04DC3">
              <w:rPr>
                <w:lang w:val="en-GB"/>
              </w:rPr>
              <w:t>X</w:t>
            </w:r>
          </w:p>
        </w:tc>
        <w:tc>
          <w:tcPr>
            <w:tcW w:w="862" w:type="dxa"/>
            <w:tcBorders>
              <w:top w:val="single" w:sz="12" w:space="0" w:color="auto"/>
            </w:tcBorders>
            <w:shd w:val="clear" w:color="auto" w:fill="auto"/>
            <w:vAlign w:val="center"/>
          </w:tcPr>
          <w:p w:rsidR="00AF2027" w:rsidRPr="00B04DC3" w:rsidRDefault="00AF2027" w:rsidP="009207B2">
            <w:pPr>
              <w:pStyle w:val="para"/>
              <w:spacing w:before="120"/>
              <w:ind w:left="0" w:right="0" w:firstLine="0"/>
              <w:jc w:val="center"/>
              <w:rPr>
                <w:lang w:val="en-GB"/>
              </w:rPr>
            </w:pPr>
            <w:r w:rsidRPr="00B04DC3">
              <w:rPr>
                <w:lang w:val="en-GB"/>
              </w:rPr>
              <w:t>X</w:t>
            </w:r>
          </w:p>
        </w:tc>
      </w:tr>
      <w:tr w:rsidR="00AF2027" w:rsidRPr="00B04DC3" w:rsidTr="000420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3" w:type="dxa"/>
            <w:tcBorders>
              <w:bottom w:val="single" w:sz="12" w:space="0" w:color="auto"/>
            </w:tcBorders>
            <w:shd w:val="clear" w:color="auto" w:fill="auto"/>
            <w:vAlign w:val="center"/>
          </w:tcPr>
          <w:p w:rsidR="00AF2027" w:rsidRPr="007C2773" w:rsidRDefault="00AF2027" w:rsidP="009207B2">
            <w:pPr>
              <w:pStyle w:val="para"/>
              <w:spacing w:before="80"/>
              <w:ind w:left="566" w:right="119" w:hanging="500"/>
              <w:rPr>
                <w:spacing w:val="2"/>
                <w:lang w:val="en-GB"/>
              </w:rPr>
            </w:pPr>
            <w:r w:rsidRPr="007C2773">
              <w:rPr>
                <w:spacing w:val="2"/>
                <w:lang w:val="en-GB"/>
              </w:rPr>
              <w:t>(b)</w:t>
            </w:r>
            <w:r w:rsidRPr="007C2773">
              <w:rPr>
                <w:spacing w:val="2"/>
                <w:lang w:val="en-GB"/>
              </w:rPr>
              <w:tab/>
              <w:t>Both the primary and secondary (fuel control) oxygen sensors. These sensors are considered as exhaust gas sensors to be monitored for proper operation according to item 1 to this appendix – component monitoring.</w:t>
            </w:r>
          </w:p>
        </w:tc>
        <w:tc>
          <w:tcPr>
            <w:tcW w:w="854" w:type="dxa"/>
            <w:tcBorders>
              <w:bottom w:val="single" w:sz="12" w:space="0" w:color="auto"/>
            </w:tcBorders>
            <w:shd w:val="clear" w:color="auto" w:fill="auto"/>
            <w:vAlign w:val="center"/>
          </w:tcPr>
          <w:p w:rsidR="00AF2027" w:rsidRPr="00B04DC3" w:rsidRDefault="00AF2027" w:rsidP="009207B2">
            <w:pPr>
              <w:pStyle w:val="para"/>
              <w:spacing w:before="120"/>
              <w:ind w:left="0" w:right="0" w:firstLine="0"/>
              <w:jc w:val="center"/>
              <w:rPr>
                <w:lang w:val="en-GB"/>
              </w:rPr>
            </w:pPr>
          </w:p>
        </w:tc>
        <w:tc>
          <w:tcPr>
            <w:tcW w:w="862" w:type="dxa"/>
            <w:tcBorders>
              <w:bottom w:val="single" w:sz="12" w:space="0" w:color="auto"/>
            </w:tcBorders>
            <w:shd w:val="clear" w:color="auto" w:fill="auto"/>
            <w:vAlign w:val="center"/>
          </w:tcPr>
          <w:p w:rsidR="00AF2027" w:rsidRPr="00B04DC3" w:rsidRDefault="00AF2027" w:rsidP="009207B2">
            <w:pPr>
              <w:pStyle w:val="para"/>
              <w:spacing w:before="120"/>
              <w:ind w:left="0" w:right="0" w:firstLine="0"/>
              <w:jc w:val="center"/>
              <w:rPr>
                <w:lang w:val="en-GB"/>
              </w:rPr>
            </w:pPr>
            <w:r w:rsidRPr="00B04DC3">
              <w:rPr>
                <w:lang w:val="en-GB"/>
              </w:rPr>
              <w:t>X</w:t>
            </w:r>
          </w:p>
        </w:tc>
      </w:tr>
    </w:tbl>
    <w:p w:rsidR="00AF2027" w:rsidRPr="001A5A17" w:rsidRDefault="00AF2027" w:rsidP="007C2773">
      <w:pPr>
        <w:pStyle w:val="para"/>
        <w:spacing w:before="240"/>
        <w:ind w:left="1701" w:hanging="567"/>
        <w:rPr>
          <w:lang w:val="en-GB"/>
        </w:rPr>
      </w:pPr>
      <w:r w:rsidRPr="001A5A17">
        <w:rPr>
          <w:lang w:val="en-GB"/>
        </w:rPr>
        <w:t>Appendix 3 - Item 14</w:t>
      </w:r>
    </w:p>
    <w:p w:rsidR="00AF2027" w:rsidRPr="001A5A17" w:rsidRDefault="00AF2027" w:rsidP="007C2773">
      <w:pPr>
        <w:pStyle w:val="para"/>
        <w:spacing w:after="140"/>
        <w:ind w:left="1134"/>
        <w:rPr>
          <w:lang w:val="en-GB"/>
        </w:rPr>
      </w:pPr>
      <w:r w:rsidRPr="001A5A17">
        <w:rPr>
          <w:lang w:val="en-GB"/>
        </w:rPr>
        <w:tab/>
        <w:t xml:space="preserve">Idle </w:t>
      </w:r>
      <w:r w:rsidR="00D53851" w:rsidRPr="001A5A17">
        <w:rPr>
          <w:lang w:val="en-GB"/>
        </w:rPr>
        <w:t>s</w:t>
      </w:r>
      <w:r w:rsidRPr="001A5A17">
        <w:rPr>
          <w:lang w:val="en-GB"/>
        </w:rPr>
        <w:t xml:space="preserve">peed </w:t>
      </w:r>
      <w:r w:rsidR="00D53851" w:rsidRPr="001A5A17">
        <w:rPr>
          <w:lang w:val="en-GB"/>
        </w:rPr>
        <w:t>c</w:t>
      </w:r>
      <w:r w:rsidRPr="001A5A17">
        <w:rPr>
          <w:lang w:val="en-GB"/>
        </w:rPr>
        <w:t xml:space="preserve">ontrol </w:t>
      </w:r>
      <w:r w:rsidR="00D53851" w:rsidRPr="001A5A17">
        <w:rPr>
          <w:lang w:val="en-GB"/>
        </w:rPr>
        <w:t>s</w:t>
      </w:r>
      <w:r w:rsidRPr="001A5A17">
        <w:rPr>
          <w:lang w:val="en-GB"/>
        </w:rPr>
        <w:t xml:space="preserve">ystem </w:t>
      </w:r>
      <w:r w:rsidR="00D53851" w:rsidRPr="001A5A17">
        <w:rPr>
          <w:lang w:val="en-GB"/>
        </w:rPr>
        <w:t>m</w:t>
      </w:r>
      <w:r w:rsidRPr="001A5A17">
        <w:rPr>
          <w:lang w:val="en-GB"/>
        </w:rPr>
        <w:t>onitoring</w:t>
      </w:r>
    </w:p>
    <w:p w:rsidR="00AF2027" w:rsidRPr="00B04DC3" w:rsidRDefault="00AF2027" w:rsidP="007C2773">
      <w:pPr>
        <w:pStyle w:val="para"/>
        <w:spacing w:after="140"/>
        <w:ind w:left="1134" w:firstLine="0"/>
        <w:rPr>
          <w:lang w:val="en-GB"/>
        </w:rPr>
      </w:pPr>
      <w:r w:rsidRPr="00B04DC3">
        <w:rPr>
          <w:lang w:val="en-GB"/>
        </w:rPr>
        <w:t>The OBD system shall monitor the electrical elements of the idle speed control systems on engines so-equipped for proper operation according to item 1 to this appendix.</w:t>
      </w:r>
    </w:p>
    <w:p w:rsidR="00AF2027" w:rsidRPr="001A5A17" w:rsidRDefault="00AF2027" w:rsidP="007C2773">
      <w:pPr>
        <w:pStyle w:val="para"/>
        <w:keepNext/>
        <w:keepLines/>
        <w:spacing w:before="240"/>
        <w:ind w:left="1701" w:hanging="567"/>
        <w:rPr>
          <w:lang w:val="en-GB"/>
        </w:rPr>
      </w:pPr>
      <w:r w:rsidRPr="001A5A17">
        <w:rPr>
          <w:lang w:val="en-GB"/>
        </w:rPr>
        <w:t>Appendix 3 – Item 15</w:t>
      </w:r>
    </w:p>
    <w:p w:rsidR="00AF2027" w:rsidRPr="001A5A17" w:rsidRDefault="00AF2027" w:rsidP="007C2773">
      <w:pPr>
        <w:pStyle w:val="para"/>
        <w:keepNext/>
        <w:keepLines/>
        <w:ind w:left="1134"/>
        <w:rPr>
          <w:lang w:val="en-GB"/>
        </w:rPr>
      </w:pPr>
      <w:r w:rsidRPr="001A5A17">
        <w:rPr>
          <w:lang w:val="en-GB"/>
        </w:rPr>
        <w:tab/>
        <w:t>Three-way catalyst</w:t>
      </w:r>
    </w:p>
    <w:p w:rsidR="00AF2027" w:rsidRPr="00B04DC3" w:rsidRDefault="00AF2027" w:rsidP="007C2773">
      <w:pPr>
        <w:pStyle w:val="para"/>
        <w:keepNext/>
        <w:keepLines/>
        <w:ind w:left="1134" w:firstLine="0"/>
        <w:rPr>
          <w:lang w:val="en-GB"/>
        </w:rPr>
      </w:pPr>
      <w:r w:rsidRPr="00B04DC3">
        <w:rPr>
          <w:lang w:val="en-GB"/>
        </w:rPr>
        <w:t>The OBD system shall monitor the three-way catalyst on engines so-equipped for proper operation:</w:t>
      </w:r>
    </w:p>
    <w:tbl>
      <w:tblPr>
        <w:tblW w:w="7480" w:type="dxa"/>
        <w:tblInd w:w="1133" w:type="dxa"/>
        <w:tblLayout w:type="fixed"/>
        <w:tblLook w:val="01E0" w:firstRow="1" w:lastRow="1" w:firstColumn="1" w:lastColumn="1" w:noHBand="0" w:noVBand="0"/>
      </w:tblPr>
      <w:tblGrid>
        <w:gridCol w:w="5750"/>
        <w:gridCol w:w="895"/>
        <w:gridCol w:w="835"/>
      </w:tblGrid>
      <w:tr w:rsidR="00AF2027" w:rsidRPr="00B04DC3" w:rsidTr="007C2773">
        <w:tc>
          <w:tcPr>
            <w:tcW w:w="5750" w:type="dxa"/>
            <w:tcBorders>
              <w:bottom w:val="single" w:sz="12" w:space="0" w:color="auto"/>
              <w:right w:val="single" w:sz="4" w:space="0" w:color="auto"/>
            </w:tcBorders>
            <w:shd w:val="clear" w:color="auto" w:fill="auto"/>
          </w:tcPr>
          <w:p w:rsidR="00AF2027" w:rsidRPr="00B04DC3" w:rsidRDefault="00AF2027" w:rsidP="009207B2">
            <w:pPr>
              <w:pStyle w:val="para"/>
              <w:spacing w:before="80" w:after="80" w:line="200" w:lineRule="atLeast"/>
              <w:ind w:left="4749" w:firstLine="0"/>
              <w:rPr>
                <w:i/>
                <w:sz w:val="16"/>
                <w:szCs w:val="16"/>
                <w:lang w:val="en-GB"/>
              </w:rPr>
            </w:pPr>
          </w:p>
        </w:tc>
        <w:tc>
          <w:tcPr>
            <w:tcW w:w="895" w:type="dxa"/>
            <w:tcBorders>
              <w:top w:val="single" w:sz="4" w:space="0" w:color="auto"/>
              <w:left w:val="single" w:sz="4" w:space="0" w:color="auto"/>
              <w:bottom w:val="single" w:sz="12" w:space="0" w:color="auto"/>
              <w:right w:val="single" w:sz="4"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Diesel</w:t>
            </w:r>
          </w:p>
        </w:tc>
        <w:tc>
          <w:tcPr>
            <w:tcW w:w="835" w:type="dxa"/>
            <w:tcBorders>
              <w:top w:val="single" w:sz="4" w:space="0" w:color="auto"/>
              <w:left w:val="single" w:sz="4" w:space="0" w:color="auto"/>
              <w:bottom w:val="single" w:sz="12" w:space="0" w:color="auto"/>
              <w:right w:val="single" w:sz="4" w:space="0" w:color="auto"/>
            </w:tcBorders>
            <w:shd w:val="clear" w:color="auto" w:fill="auto"/>
            <w:vAlign w:val="center"/>
          </w:tcPr>
          <w:p w:rsidR="00AF2027" w:rsidRPr="00B04DC3" w:rsidRDefault="00AF2027" w:rsidP="009207B2">
            <w:pPr>
              <w:pStyle w:val="para"/>
              <w:spacing w:before="120"/>
              <w:ind w:left="34" w:right="121" w:firstLine="0"/>
              <w:jc w:val="center"/>
              <w:rPr>
                <w:i/>
                <w:sz w:val="16"/>
                <w:szCs w:val="16"/>
                <w:lang w:val="en-GB"/>
              </w:rPr>
            </w:pPr>
            <w:r w:rsidRPr="00B04DC3">
              <w:rPr>
                <w:i/>
                <w:sz w:val="16"/>
                <w:szCs w:val="16"/>
                <w:lang w:val="en-GB"/>
              </w:rPr>
              <w:t>Gas</w:t>
            </w:r>
          </w:p>
        </w:tc>
      </w:tr>
      <w:tr w:rsidR="00AF2027" w:rsidRPr="00B04DC3" w:rsidTr="007C2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50" w:type="dxa"/>
            <w:tcBorders>
              <w:top w:val="single" w:sz="12" w:space="0" w:color="auto"/>
              <w:bottom w:val="single" w:sz="12" w:space="0" w:color="auto"/>
            </w:tcBorders>
            <w:shd w:val="clear" w:color="auto" w:fill="auto"/>
            <w:vAlign w:val="center"/>
          </w:tcPr>
          <w:p w:rsidR="00AF2027" w:rsidRPr="00B04DC3" w:rsidRDefault="00AF2027" w:rsidP="00553894">
            <w:pPr>
              <w:pStyle w:val="para"/>
              <w:spacing w:before="80"/>
              <w:ind w:left="566" w:right="119" w:hanging="500"/>
              <w:rPr>
                <w:lang w:val="en-GB"/>
              </w:rPr>
            </w:pPr>
            <w:r w:rsidRPr="00B04DC3">
              <w:rPr>
                <w:lang w:val="en-GB"/>
              </w:rPr>
              <w:t>(a)</w:t>
            </w:r>
            <w:r w:rsidRPr="00B04DC3">
              <w:rPr>
                <w:lang w:val="en-GB"/>
              </w:rPr>
              <w:tab/>
              <w:t xml:space="preserve">Three-way </w:t>
            </w:r>
            <w:r w:rsidR="00D53851" w:rsidRPr="00B04DC3">
              <w:rPr>
                <w:lang w:val="en-GB"/>
              </w:rPr>
              <w:t>c</w:t>
            </w:r>
            <w:r w:rsidRPr="00B04DC3">
              <w:rPr>
                <w:lang w:val="en-GB"/>
              </w:rPr>
              <w:t xml:space="preserve">atalyst </w:t>
            </w:r>
            <w:r w:rsidR="00D53851" w:rsidRPr="00B04DC3">
              <w:rPr>
                <w:lang w:val="en-GB"/>
              </w:rPr>
              <w:t>c</w:t>
            </w:r>
            <w:r w:rsidRPr="00B04DC3">
              <w:rPr>
                <w:lang w:val="en-GB"/>
              </w:rPr>
              <w:t>onversion efficiency: the catalyst ability to convert NO</w:t>
            </w:r>
            <w:r w:rsidRPr="007C2773">
              <w:rPr>
                <w:vertAlign w:val="subscript"/>
                <w:lang w:val="en-GB"/>
              </w:rPr>
              <w:t>x</w:t>
            </w:r>
            <w:r w:rsidRPr="00B04DC3">
              <w:rPr>
                <w:lang w:val="en-GB"/>
              </w:rPr>
              <w:t xml:space="preserve"> and CO – performance monitoring.</w:t>
            </w:r>
          </w:p>
        </w:tc>
        <w:tc>
          <w:tcPr>
            <w:tcW w:w="895" w:type="dxa"/>
            <w:tcBorders>
              <w:top w:val="single" w:sz="12" w:space="0" w:color="auto"/>
              <w:bottom w:val="single" w:sz="12" w:space="0" w:color="auto"/>
            </w:tcBorders>
            <w:shd w:val="clear" w:color="auto" w:fill="auto"/>
            <w:vAlign w:val="center"/>
          </w:tcPr>
          <w:p w:rsidR="00AF2027" w:rsidRPr="00B04DC3" w:rsidRDefault="00AF2027" w:rsidP="009207B2">
            <w:pPr>
              <w:pStyle w:val="para"/>
              <w:spacing w:before="120"/>
              <w:ind w:left="0" w:right="0" w:firstLine="0"/>
              <w:rPr>
                <w:sz w:val="24"/>
                <w:lang w:val="en-GB"/>
              </w:rPr>
            </w:pPr>
          </w:p>
        </w:tc>
        <w:tc>
          <w:tcPr>
            <w:tcW w:w="835" w:type="dxa"/>
            <w:tcBorders>
              <w:top w:val="single" w:sz="12" w:space="0" w:color="auto"/>
              <w:bottom w:val="single" w:sz="12" w:space="0" w:color="auto"/>
            </w:tcBorders>
            <w:shd w:val="clear" w:color="auto" w:fill="auto"/>
            <w:vAlign w:val="center"/>
          </w:tcPr>
          <w:p w:rsidR="00AF2027" w:rsidRPr="00B04DC3" w:rsidRDefault="00AF2027" w:rsidP="009207B2">
            <w:pPr>
              <w:pStyle w:val="para"/>
              <w:spacing w:before="120"/>
              <w:ind w:left="0" w:right="0" w:firstLine="0"/>
              <w:jc w:val="center"/>
              <w:rPr>
                <w:lang w:val="en-GB"/>
              </w:rPr>
            </w:pPr>
            <w:r w:rsidRPr="00B04DC3">
              <w:rPr>
                <w:lang w:val="en-GB"/>
              </w:rPr>
              <w:t>X</w:t>
            </w:r>
          </w:p>
        </w:tc>
      </w:tr>
    </w:tbl>
    <w:p w:rsidR="00AF2027" w:rsidRPr="00B04DC3" w:rsidRDefault="00AF2027" w:rsidP="00AF2027">
      <w:pPr>
        <w:pStyle w:val="GTRnormalCarCarCar1"/>
        <w:ind w:left="0"/>
        <w:jc w:val="both"/>
        <w:rPr>
          <w:rFonts w:ascii="Times New Roman" w:hAnsi="Times New Roman" w:cs="Times New Roman"/>
          <w:sz w:val="24"/>
        </w:rPr>
      </w:pPr>
    </w:p>
    <w:p w:rsidR="00AF2027" w:rsidRPr="00B04DC3" w:rsidRDefault="00AF2027" w:rsidP="00AF2027">
      <w:pPr>
        <w:pStyle w:val="GTRnormalCarCarCar1"/>
        <w:ind w:left="0"/>
        <w:jc w:val="both"/>
        <w:rPr>
          <w:rFonts w:ascii="Times New Roman" w:hAnsi="Times New Roman" w:cs="Times New Roman"/>
          <w:sz w:val="24"/>
        </w:rPr>
        <w:sectPr w:rsidR="00AF2027" w:rsidRPr="00B04DC3" w:rsidSect="00AF2027">
          <w:headerReference w:type="even" r:id="rId684"/>
          <w:headerReference w:type="default" r:id="rId685"/>
          <w:footnotePr>
            <w:numRestart w:val="eachSect"/>
          </w:footnotePr>
          <w:endnotePr>
            <w:numFmt w:val="decimal"/>
          </w:endnotePr>
          <w:type w:val="nextColumn"/>
          <w:pgSz w:w="11907" w:h="16840" w:code="9"/>
          <w:pgMar w:top="1701" w:right="1134" w:bottom="2268" w:left="1134" w:header="851" w:footer="1701" w:gutter="0"/>
          <w:cols w:space="720"/>
        </w:sectPr>
      </w:pPr>
    </w:p>
    <w:p w:rsidR="00AF2027" w:rsidRPr="00B04DC3" w:rsidRDefault="00AF2027" w:rsidP="00AF2027">
      <w:pPr>
        <w:pStyle w:val="HChG"/>
      </w:pPr>
      <w:bookmarkStart w:id="1085" w:name="_Toc423599696"/>
      <w:bookmarkStart w:id="1086" w:name="_Toc423611104"/>
      <w:r w:rsidRPr="00B04DC3">
        <w:t>Annex 9B</w:t>
      </w:r>
      <w:r w:rsidR="00D53851">
        <w:t xml:space="preserve"> - </w:t>
      </w:r>
      <w:r w:rsidRPr="00B04DC3">
        <w:t>Appendix 4</w:t>
      </w:r>
      <w:bookmarkEnd w:id="1085"/>
      <w:bookmarkEnd w:id="1086"/>
    </w:p>
    <w:p w:rsidR="00AF2027" w:rsidRPr="00B04DC3" w:rsidRDefault="00AF2027" w:rsidP="00644D45">
      <w:pPr>
        <w:pStyle w:val="HChG"/>
        <w:spacing w:after="360"/>
      </w:pPr>
      <w:r w:rsidRPr="00B04DC3">
        <w:tab/>
      </w:r>
      <w:r w:rsidRPr="00B04DC3">
        <w:rPr>
          <w:caps/>
        </w:rPr>
        <w:tab/>
      </w:r>
      <w:bookmarkStart w:id="1087" w:name="_Toc423599697"/>
      <w:bookmarkStart w:id="1088" w:name="_Toc423611105"/>
      <w:r w:rsidRPr="00B04DC3">
        <w:t>Technical compliance report</w:t>
      </w:r>
      <w:bookmarkEnd w:id="1087"/>
      <w:bookmarkEnd w:id="1088"/>
    </w:p>
    <w:p w:rsidR="00AF2027" w:rsidRPr="00B04DC3" w:rsidRDefault="00AF2027" w:rsidP="00644D45">
      <w:pPr>
        <w:pStyle w:val="para"/>
        <w:ind w:left="1134" w:firstLine="0"/>
        <w:rPr>
          <w:u w:color="000000"/>
          <w:lang w:val="en-GB" w:eastAsia="de-DE"/>
        </w:rPr>
      </w:pPr>
      <w:r w:rsidRPr="00B04DC3">
        <w:rPr>
          <w:u w:color="000000"/>
          <w:lang w:val="en-GB" w:eastAsia="de-DE"/>
        </w:rPr>
        <w:t xml:space="preserve">This report is issued by the </w:t>
      </w:r>
      <w:r w:rsidR="00D53851" w:rsidRPr="00D53851">
        <w:t xml:space="preserve">Type </w:t>
      </w:r>
      <w:r w:rsidRPr="00B04DC3">
        <w:rPr>
          <w:u w:color="000000"/>
          <w:lang w:val="en-GB" w:eastAsia="de-DE"/>
        </w:rPr>
        <w:t>Approval Authority, according to paragraphs 6.3.3. and 7.3.</w:t>
      </w:r>
      <w:r w:rsidR="00E35ECD">
        <w:rPr>
          <w:u w:color="000000"/>
          <w:lang w:val="en-GB" w:eastAsia="de-DE"/>
        </w:rPr>
        <w:t xml:space="preserve"> of this annex</w:t>
      </w:r>
      <w:r w:rsidRPr="00B04DC3">
        <w:rPr>
          <w:u w:color="000000"/>
          <w:lang w:val="en-GB" w:eastAsia="de-DE"/>
        </w:rPr>
        <w:t>, after examination of an OBD system or an emission OBD family when that system or family complies with the requirements of this appendix.</w:t>
      </w:r>
    </w:p>
    <w:p w:rsidR="00AF2027" w:rsidRPr="00B04DC3" w:rsidRDefault="00AF2027" w:rsidP="00644D45">
      <w:pPr>
        <w:pStyle w:val="para"/>
        <w:ind w:left="1134" w:firstLine="0"/>
        <w:rPr>
          <w:u w:color="000000"/>
          <w:lang w:val="en-GB" w:eastAsia="de-DE"/>
        </w:rPr>
      </w:pPr>
      <w:r w:rsidRPr="00B04DC3">
        <w:rPr>
          <w:u w:color="000000"/>
          <w:lang w:val="en-GB" w:eastAsia="de-DE"/>
        </w:rPr>
        <w:t>The exact reference (including its version number) of this appendix shall be included in this report.</w:t>
      </w:r>
    </w:p>
    <w:p w:rsidR="00AF2027" w:rsidRPr="00B04DC3" w:rsidRDefault="00AF2027" w:rsidP="00644D45">
      <w:pPr>
        <w:pStyle w:val="para"/>
        <w:ind w:left="1134" w:firstLine="0"/>
        <w:rPr>
          <w:u w:color="000000"/>
          <w:lang w:val="en-GB" w:eastAsia="de-DE"/>
        </w:rPr>
      </w:pPr>
      <w:r w:rsidRPr="00B04DC3">
        <w:rPr>
          <w:u w:color="000000"/>
          <w:lang w:val="en-GB" w:eastAsia="de-DE"/>
        </w:rPr>
        <w:t>The exact reference (including its version number) to this Regulation shall be included.</w:t>
      </w:r>
    </w:p>
    <w:p w:rsidR="00AF2027" w:rsidRPr="00B04DC3" w:rsidRDefault="00AF2027" w:rsidP="00644D45">
      <w:pPr>
        <w:pStyle w:val="para"/>
        <w:ind w:left="1134" w:firstLine="0"/>
        <w:rPr>
          <w:lang w:val="en-GB" w:eastAsia="de-DE"/>
        </w:rPr>
      </w:pPr>
      <w:r w:rsidRPr="00B04DC3">
        <w:rPr>
          <w:lang w:val="en-GB" w:eastAsia="de-DE"/>
        </w:rPr>
        <w:t>This report contains a cover page indicating the final compliance of the OBD system or emission OBD family and the following 5 items:</w:t>
      </w:r>
    </w:p>
    <w:p w:rsidR="00AF2027" w:rsidRPr="00B04DC3" w:rsidRDefault="00AF2027" w:rsidP="00644D45">
      <w:pPr>
        <w:pStyle w:val="para"/>
        <w:tabs>
          <w:tab w:val="left" w:pos="2268"/>
        </w:tabs>
        <w:ind w:left="1134" w:firstLine="0"/>
        <w:rPr>
          <w:lang w:val="en-GB"/>
        </w:rPr>
      </w:pPr>
      <w:r w:rsidRPr="00B04DC3">
        <w:rPr>
          <w:lang w:val="en-GB"/>
        </w:rPr>
        <w:t>Item 1</w:t>
      </w:r>
      <w:r w:rsidRPr="00B04DC3">
        <w:rPr>
          <w:lang w:val="en-GB"/>
        </w:rPr>
        <w:tab/>
        <w:t>Information concerning the OBD system</w:t>
      </w:r>
    </w:p>
    <w:p w:rsidR="00AF2027" w:rsidRPr="00B04DC3" w:rsidRDefault="00AF2027" w:rsidP="00644D45">
      <w:pPr>
        <w:pStyle w:val="para"/>
        <w:tabs>
          <w:tab w:val="left" w:pos="2268"/>
        </w:tabs>
        <w:ind w:left="1134" w:firstLine="0"/>
        <w:rPr>
          <w:lang w:val="en-GB"/>
        </w:rPr>
      </w:pPr>
      <w:r w:rsidRPr="00B04DC3">
        <w:rPr>
          <w:lang w:val="en-GB"/>
        </w:rPr>
        <w:t>Item 2</w:t>
      </w:r>
      <w:r w:rsidRPr="00B04DC3">
        <w:rPr>
          <w:lang w:val="en-GB"/>
        </w:rPr>
        <w:tab/>
        <w:t>Information concerning the conformity of the OBD system</w:t>
      </w:r>
    </w:p>
    <w:p w:rsidR="00AF2027" w:rsidRPr="00B04DC3" w:rsidRDefault="00AF2027" w:rsidP="00644D45">
      <w:pPr>
        <w:pStyle w:val="para"/>
        <w:tabs>
          <w:tab w:val="left" w:pos="2268"/>
        </w:tabs>
        <w:ind w:left="1134" w:firstLine="0"/>
        <w:rPr>
          <w:lang w:val="en-GB"/>
        </w:rPr>
      </w:pPr>
      <w:r w:rsidRPr="00B04DC3">
        <w:rPr>
          <w:lang w:val="en-GB"/>
        </w:rPr>
        <w:t>Item 3</w:t>
      </w:r>
      <w:r w:rsidRPr="00B04DC3">
        <w:rPr>
          <w:lang w:val="en-GB"/>
        </w:rPr>
        <w:tab/>
        <w:t>Information concerning deficiencies</w:t>
      </w:r>
    </w:p>
    <w:p w:rsidR="00AF2027" w:rsidRPr="00B04DC3" w:rsidRDefault="00AF2027" w:rsidP="00644D45">
      <w:pPr>
        <w:pStyle w:val="para"/>
        <w:tabs>
          <w:tab w:val="left" w:pos="2268"/>
        </w:tabs>
        <w:ind w:left="1134" w:firstLine="0"/>
        <w:rPr>
          <w:lang w:val="en-GB"/>
        </w:rPr>
      </w:pPr>
      <w:r w:rsidRPr="00B04DC3">
        <w:rPr>
          <w:lang w:val="en-GB"/>
        </w:rPr>
        <w:t>Item 4</w:t>
      </w:r>
      <w:r w:rsidRPr="00B04DC3">
        <w:rPr>
          <w:lang w:val="en-GB"/>
        </w:rPr>
        <w:tab/>
        <w:t>Information concerning demonstration tests of the OBD system</w:t>
      </w:r>
    </w:p>
    <w:p w:rsidR="00AF2027" w:rsidRPr="00B04DC3" w:rsidRDefault="00AF2027" w:rsidP="00644D45">
      <w:pPr>
        <w:pStyle w:val="para"/>
        <w:tabs>
          <w:tab w:val="left" w:pos="2268"/>
        </w:tabs>
        <w:ind w:left="1134" w:firstLine="0"/>
        <w:rPr>
          <w:lang w:val="en-GB"/>
        </w:rPr>
      </w:pPr>
      <w:r w:rsidRPr="00B04DC3">
        <w:rPr>
          <w:lang w:val="en-GB"/>
        </w:rPr>
        <w:t>Item 5</w:t>
      </w:r>
      <w:r w:rsidRPr="00B04DC3">
        <w:rPr>
          <w:lang w:val="en-GB"/>
        </w:rPr>
        <w:tab/>
        <w:t>Test protocol</w:t>
      </w:r>
    </w:p>
    <w:p w:rsidR="00AF2027" w:rsidRPr="00B04DC3" w:rsidRDefault="00AF2027" w:rsidP="00644D45">
      <w:pPr>
        <w:pStyle w:val="para"/>
        <w:ind w:left="1134" w:firstLine="0"/>
        <w:rPr>
          <w:lang w:val="en-GB"/>
        </w:rPr>
      </w:pPr>
      <w:r w:rsidRPr="00B04DC3">
        <w:rPr>
          <w:lang w:val="en-GB"/>
        </w:rPr>
        <w:t>The content of the technical report, including its Items, shall, at a minimum, include the elements given in the following examples.</w:t>
      </w:r>
    </w:p>
    <w:p w:rsidR="00AF2027" w:rsidRPr="00B04DC3" w:rsidRDefault="00AF2027" w:rsidP="00644D45">
      <w:pPr>
        <w:pStyle w:val="para"/>
        <w:spacing w:after="0"/>
        <w:ind w:left="1134" w:firstLine="0"/>
        <w:rPr>
          <w:lang w:val="en-GB"/>
        </w:rPr>
      </w:pPr>
      <w:r w:rsidRPr="00B04DC3">
        <w:rPr>
          <w:lang w:val="en-GB"/>
        </w:rPr>
        <w:t xml:space="preserve">This report shall state that reproduction or publication in extracts of this report is not permitted without the written consent of the undersigned </w:t>
      </w:r>
      <w:r w:rsidR="00D53851" w:rsidRPr="00D53851">
        <w:t xml:space="preserve">Type </w:t>
      </w:r>
      <w:r w:rsidRPr="00B04DC3">
        <w:rPr>
          <w:lang w:val="en-GB"/>
        </w:rPr>
        <w:t>Approval Authority.</w:t>
      </w:r>
    </w:p>
    <w:p w:rsidR="00AF2027" w:rsidRPr="00B04DC3" w:rsidRDefault="00AF2027" w:rsidP="00644D45">
      <w:pPr>
        <w:pStyle w:val="SingleTxtG"/>
        <w:spacing w:before="120"/>
      </w:pPr>
      <w:bookmarkStart w:id="1089" w:name="_Toc399940114"/>
      <w:r w:rsidRPr="00B04DC3">
        <w:t>Final compliance report</w:t>
      </w:r>
      <w:bookmarkEnd w:id="1089"/>
    </w:p>
    <w:p w:rsidR="00AF2027" w:rsidRPr="00B04DC3" w:rsidRDefault="00AF2027" w:rsidP="00644D45">
      <w:pPr>
        <w:pStyle w:val="para"/>
        <w:ind w:left="1134" w:firstLine="0"/>
        <w:rPr>
          <w:lang w:val="en-GB"/>
        </w:rPr>
      </w:pPr>
      <w:r w:rsidRPr="00B04DC3">
        <w:rPr>
          <w:lang w:val="en-GB"/>
        </w:rPr>
        <w:t>The documentation package and the herewith described OBD system / emission OBD family comply with the requirements of the following regulation:</w:t>
      </w:r>
    </w:p>
    <w:p w:rsidR="00AF2027" w:rsidRPr="00B04DC3" w:rsidRDefault="00AF2027" w:rsidP="00644D45">
      <w:pPr>
        <w:pStyle w:val="para"/>
        <w:ind w:left="1134" w:firstLine="0"/>
        <w:rPr>
          <w:lang w:val="en-GB"/>
        </w:rPr>
      </w:pPr>
      <w:r w:rsidRPr="00B04DC3">
        <w:rPr>
          <w:lang w:val="en-GB"/>
        </w:rPr>
        <w:t>Regulation … / version …/ enforcement date … / type of fuel …</w:t>
      </w:r>
    </w:p>
    <w:p w:rsidR="00AF2027" w:rsidRPr="00B04DC3" w:rsidRDefault="00AF2027" w:rsidP="00644D45">
      <w:pPr>
        <w:pStyle w:val="para"/>
        <w:ind w:left="1134" w:firstLine="0"/>
        <w:rPr>
          <w:lang w:val="en-GB"/>
        </w:rPr>
      </w:pPr>
      <w:r w:rsidRPr="00B04DC3">
        <w:rPr>
          <w:lang w:val="en-GB"/>
        </w:rPr>
        <w:t>gtr …/ A + B / version …/ date ….</w:t>
      </w:r>
    </w:p>
    <w:p w:rsidR="00AF2027" w:rsidRPr="00B04DC3" w:rsidRDefault="00AF2027" w:rsidP="00644D45">
      <w:pPr>
        <w:pStyle w:val="para"/>
        <w:ind w:left="1134" w:firstLine="0"/>
        <w:rPr>
          <w:lang w:val="en-GB"/>
        </w:rPr>
      </w:pPr>
      <w:r w:rsidRPr="00B04DC3">
        <w:rPr>
          <w:lang w:val="en-GB"/>
        </w:rPr>
        <w:t>The technical compliance report encompasses … pages.</w:t>
      </w:r>
    </w:p>
    <w:p w:rsidR="00AF2027" w:rsidRPr="00B04DC3" w:rsidRDefault="00AF2027" w:rsidP="00644D45">
      <w:pPr>
        <w:pStyle w:val="para"/>
        <w:ind w:left="1134" w:firstLine="0"/>
        <w:rPr>
          <w:lang w:val="en-GB"/>
        </w:rPr>
      </w:pPr>
      <w:r w:rsidRPr="00B04DC3">
        <w:rPr>
          <w:lang w:val="en-GB"/>
        </w:rPr>
        <w:t xml:space="preserve">Place, date: </w:t>
      </w:r>
      <w:r w:rsidRPr="00B04DC3">
        <w:rPr>
          <w:lang w:val="en-GB"/>
        </w:rPr>
        <w:tab/>
        <w:t>. . . . . . . . . . . . .</w:t>
      </w:r>
    </w:p>
    <w:p w:rsidR="00AF2027" w:rsidRPr="00B04DC3" w:rsidRDefault="00AF2027" w:rsidP="00644D45">
      <w:pPr>
        <w:pStyle w:val="para"/>
        <w:ind w:left="1134" w:firstLine="0"/>
        <w:rPr>
          <w:lang w:val="en-GB"/>
        </w:rPr>
      </w:pPr>
      <w:r w:rsidRPr="00B04DC3">
        <w:rPr>
          <w:lang w:val="en-GB"/>
        </w:rPr>
        <w:t>Author (name and signature)</w:t>
      </w:r>
    </w:p>
    <w:p w:rsidR="00AF2027" w:rsidRPr="00B04DC3" w:rsidRDefault="00D53851" w:rsidP="00644D45">
      <w:pPr>
        <w:pStyle w:val="para"/>
        <w:ind w:left="1134" w:firstLine="0"/>
        <w:rPr>
          <w:lang w:val="en-GB"/>
        </w:rPr>
      </w:pPr>
      <w:r w:rsidRPr="00D53851">
        <w:t xml:space="preserve">Type </w:t>
      </w:r>
      <w:r w:rsidR="00AF2027" w:rsidRPr="00B04DC3">
        <w:rPr>
          <w:lang w:val="en-GB"/>
        </w:rPr>
        <w:t>Approval Authority (name, stamp)</w:t>
      </w:r>
    </w:p>
    <w:p w:rsidR="00AF2027" w:rsidRPr="00644D45" w:rsidRDefault="00AF2027" w:rsidP="00AF2027">
      <w:pPr>
        <w:pStyle w:val="para"/>
        <w:rPr>
          <w:lang w:val="en-GB" w:eastAsia="de-DE"/>
        </w:rPr>
      </w:pPr>
      <w:r w:rsidRPr="00B04DC3">
        <w:rPr>
          <w:color w:val="0000FF"/>
          <w:lang w:val="en-GB" w:eastAsia="de-DE"/>
        </w:rPr>
        <w:br w:type="page"/>
      </w:r>
      <w:r w:rsidRPr="00644D45">
        <w:rPr>
          <w:lang w:val="en-GB" w:eastAsia="de-DE"/>
        </w:rPr>
        <w:t>Item 1 to the technical compliance report (example)</w:t>
      </w:r>
    </w:p>
    <w:p w:rsidR="00AF2027" w:rsidRPr="00B04DC3" w:rsidRDefault="00AF2027" w:rsidP="00AF2027">
      <w:pPr>
        <w:pStyle w:val="para"/>
        <w:rPr>
          <w:lang w:val="en-GB"/>
        </w:rPr>
      </w:pPr>
      <w:bookmarkStart w:id="1090" w:name="_Toc118223123"/>
      <w:r w:rsidRPr="00B04DC3">
        <w:rPr>
          <w:lang w:val="en-GB" w:eastAsia="de-DE"/>
        </w:rPr>
        <w:t>Information concerning the OB</w:t>
      </w:r>
      <w:r w:rsidR="00937E9F">
        <w:rPr>
          <w:lang w:val="en-GB" w:eastAsia="de-DE"/>
        </w:rPr>
        <w:t>D</w:t>
      </w:r>
      <w:r w:rsidRPr="00B04DC3">
        <w:rPr>
          <w:lang w:val="en-GB" w:eastAsia="de-DE"/>
        </w:rPr>
        <w:t xml:space="preserve"> system</w:t>
      </w:r>
      <w:bookmarkEnd w:id="1090"/>
    </w:p>
    <w:p w:rsidR="00AF2027" w:rsidRPr="00B04DC3" w:rsidRDefault="00AF2027" w:rsidP="00AF2027">
      <w:pPr>
        <w:pStyle w:val="para"/>
        <w:rPr>
          <w:lang w:val="en-GB"/>
        </w:rPr>
      </w:pPr>
      <w:r w:rsidRPr="00B04DC3">
        <w:rPr>
          <w:lang w:val="en-GB"/>
        </w:rPr>
        <w:t>1.</w:t>
      </w:r>
      <w:r w:rsidRPr="00B04DC3">
        <w:rPr>
          <w:lang w:val="en-GB"/>
        </w:rPr>
        <w:tab/>
        <w:t>Type of requested approval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8"/>
        <w:gridCol w:w="1487"/>
      </w:tblGrid>
      <w:tr w:rsidR="00AF2027" w:rsidRPr="00B04DC3">
        <w:tc>
          <w:tcPr>
            <w:tcW w:w="7655" w:type="dxa"/>
          </w:tcPr>
          <w:p w:rsidR="00AF2027" w:rsidRPr="00B04DC3" w:rsidRDefault="00AF2027" w:rsidP="00AF2027">
            <w:pPr>
              <w:pStyle w:val="GTRnormal"/>
              <w:tabs>
                <w:tab w:val="clear" w:pos="540"/>
                <w:tab w:val="left" w:pos="601"/>
              </w:tabs>
              <w:spacing w:before="80" w:after="80" w:line="240" w:lineRule="atLeast"/>
              <w:ind w:left="176" w:right="176" w:firstLine="0"/>
              <w:jc w:val="both"/>
              <w:rPr>
                <w:rFonts w:ascii="Times New Roman" w:hAnsi="Times New Roman" w:cs="Times New Roman"/>
                <w:bCs/>
                <w:i/>
                <w:szCs w:val="20"/>
              </w:rPr>
            </w:pPr>
            <w:r w:rsidRPr="00B04DC3">
              <w:rPr>
                <w:rFonts w:ascii="Times New Roman" w:hAnsi="Times New Roman" w:cs="Times New Roman"/>
                <w:bCs/>
                <w:i/>
                <w:szCs w:val="20"/>
              </w:rPr>
              <w:t xml:space="preserve">Requested </w:t>
            </w:r>
            <w:r w:rsidR="005D15E1">
              <w:rPr>
                <w:rFonts w:ascii="Times New Roman" w:hAnsi="Times New Roman" w:cs="Times New Roman"/>
                <w:bCs/>
                <w:i/>
                <w:szCs w:val="20"/>
              </w:rPr>
              <w:t>a</w:t>
            </w:r>
            <w:r w:rsidRPr="00B04DC3">
              <w:rPr>
                <w:rFonts w:ascii="Times New Roman" w:hAnsi="Times New Roman" w:cs="Times New Roman"/>
                <w:bCs/>
                <w:i/>
                <w:szCs w:val="20"/>
              </w:rPr>
              <w:t>pproval</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Approval of an individual OBD system</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Approval of an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Approval of an OBD system as member of a certified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Extension to include a new engine system into an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Extension to address a design change that affects the OBD system</w:t>
            </w:r>
          </w:p>
          <w:p w:rsidR="00AF2027" w:rsidRPr="00B04DC3" w:rsidRDefault="00AF2027" w:rsidP="00AF2027">
            <w:pPr>
              <w:pStyle w:val="GTRnormal"/>
              <w:tabs>
                <w:tab w:val="clear" w:pos="540"/>
                <w:tab w:val="left" w:pos="601"/>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Extension to address a malfunction reclassification</w:t>
            </w:r>
          </w:p>
        </w:tc>
        <w:tc>
          <w:tcPr>
            <w:tcW w:w="1559" w:type="dxa"/>
          </w:tcPr>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42" w:right="176" w:firstLine="0"/>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AF2027" w:rsidRPr="00B04DC3" w:rsidRDefault="00AF2027" w:rsidP="00AF2027">
      <w:pPr>
        <w:pStyle w:val="para"/>
        <w:spacing w:before="240"/>
        <w:rPr>
          <w:lang w:val="en-GB" w:eastAsia="de-DE"/>
        </w:rPr>
      </w:pPr>
      <w:r w:rsidRPr="00B04DC3">
        <w:rPr>
          <w:lang w:val="en-GB" w:eastAsia="de-DE"/>
        </w:rPr>
        <w:t>2.</w:t>
      </w:r>
      <w:r w:rsidRPr="00B04DC3">
        <w:rPr>
          <w:lang w:val="en-GB" w:eastAsia="de-DE"/>
        </w:rPr>
        <w:tab/>
        <w:t>Information concerning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8"/>
        <w:gridCol w:w="1457"/>
      </w:tblGrid>
      <w:tr w:rsidR="00AF2027" w:rsidRPr="00B04DC3">
        <w:tc>
          <w:tcPr>
            <w:tcW w:w="7048" w:type="dxa"/>
          </w:tcPr>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Approval of an individual OBD system</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r>
            <w:r w:rsidR="00E35ECD">
              <w:rPr>
                <w:rFonts w:ascii="Times New Roman" w:hAnsi="Times New Roman" w:cs="Times New Roman"/>
                <w:bCs/>
                <w:szCs w:val="20"/>
              </w:rPr>
              <w:t>T</w:t>
            </w:r>
            <w:r w:rsidR="00E35ECD" w:rsidRPr="00B04DC3">
              <w:rPr>
                <w:rFonts w:ascii="Times New Roman" w:hAnsi="Times New Roman" w:cs="Times New Roman"/>
                <w:bCs/>
                <w:szCs w:val="20"/>
              </w:rPr>
              <w:t>ype</w:t>
            </w:r>
            <w:r w:rsidRPr="00B04DC3">
              <w:rPr>
                <w:rFonts w:ascii="Times New Roman" w:hAnsi="Times New Roman" w:cs="Times New Roman"/>
                <w:bCs/>
                <w:szCs w:val="20"/>
              </w:rPr>
              <w:t>(s)</w:t>
            </w:r>
            <w:bookmarkStart w:id="1091" w:name="_Ref124335750"/>
            <w:r w:rsidRPr="00B04DC3">
              <w:rPr>
                <w:rStyle w:val="FootnoteReference"/>
                <w:rFonts w:cs="Times New Roman"/>
                <w:bCs/>
                <w:szCs w:val="20"/>
              </w:rPr>
              <w:footnoteReference w:id="52"/>
            </w:r>
            <w:r w:rsidRPr="00B04DC3">
              <w:rPr>
                <w:rFonts w:ascii="Times New Roman" w:hAnsi="Times New Roman" w:cs="Times New Roman"/>
                <w:bCs/>
                <w:szCs w:val="20"/>
              </w:rPr>
              <w:t xml:space="preserve"> </w:t>
            </w:r>
            <w:bookmarkEnd w:id="1091"/>
            <w:r w:rsidRPr="00B04DC3">
              <w:rPr>
                <w:rFonts w:ascii="Times New Roman" w:hAnsi="Times New Roman" w:cs="Times New Roman"/>
                <w:bCs/>
                <w:szCs w:val="20"/>
              </w:rPr>
              <w:t>of the engine system family (where applicable, see paragraph 6.1. of this annex), or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single engine system(s)</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OBD description (issued by the manufacturer): reference and date</w:t>
            </w:r>
          </w:p>
        </w:tc>
        <w:tc>
          <w:tcPr>
            <w:tcW w:w="1457"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tc>
      </w:tr>
      <w:tr w:rsidR="00AF2027" w:rsidRPr="00B04DC3">
        <w:tc>
          <w:tcPr>
            <w:tcW w:w="7048" w:type="dxa"/>
          </w:tcPr>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Approval of an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of the engine families concerned by the emission OBD family (when applicable, see paragraph 6.1.)</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Type</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parent engine system within the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of the engine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within the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OBD description (issued by the manufacturer): reference and date</w:t>
            </w:r>
          </w:p>
        </w:tc>
        <w:tc>
          <w:tcPr>
            <w:tcW w:w="1457"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5D15E1">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7048" w:type="dxa"/>
          </w:tcPr>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Approval of an OBD system as member of a certified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of the engine families concerned by the emission OBD family (when applicable, see paragraph 6.1.)</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Type</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parent engine system within the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of the engine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within the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Name of the engine system family concerned by the new OBD system (when applicable)</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Type</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engine system concerned by the new OBD system </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Extended OBD description (issued by the manufacturer): reference and date</w:t>
            </w:r>
          </w:p>
        </w:tc>
        <w:tc>
          <w:tcPr>
            <w:tcW w:w="1457"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tc>
      </w:tr>
      <w:tr w:rsidR="00AF2027" w:rsidRPr="00B04DC3">
        <w:tc>
          <w:tcPr>
            <w:tcW w:w="7048" w:type="dxa"/>
          </w:tcPr>
          <w:p w:rsidR="00AF2027" w:rsidRPr="00B04DC3" w:rsidRDefault="00AF2027" w:rsidP="005D15E1">
            <w:pPr>
              <w:pStyle w:val="GTRnormal"/>
              <w:keepNext/>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Extension to include a new engine system into an emission OBD family</w:t>
            </w:r>
          </w:p>
          <w:p w:rsidR="00AF2027" w:rsidRPr="00B04DC3" w:rsidRDefault="00AF2027" w:rsidP="005D15E1">
            <w:pPr>
              <w:pStyle w:val="GTRnormal"/>
              <w:keepNext/>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(extended if necessary) of the engine families concerned by the emission OBD family (when applicable, see paragraph 6.1.</w:t>
            </w:r>
            <w:r w:rsidR="00E35ECD">
              <w:rPr>
                <w:rFonts w:ascii="Times New Roman" w:hAnsi="Times New Roman" w:cs="Times New Roman"/>
                <w:bCs/>
                <w:szCs w:val="20"/>
              </w:rPr>
              <w:t xml:space="preserve"> of this annex</w:t>
            </w:r>
            <w:r w:rsidRPr="00B04DC3">
              <w:rPr>
                <w:rFonts w:ascii="Times New Roman" w:hAnsi="Times New Roman" w:cs="Times New Roman"/>
                <w:bCs/>
                <w:szCs w:val="20"/>
              </w:rPr>
              <w:t>)</w:t>
            </w:r>
          </w:p>
          <w:p w:rsidR="00AF2027" w:rsidRPr="00B04DC3" w:rsidRDefault="00AF2027" w:rsidP="005D15E1">
            <w:pPr>
              <w:pStyle w:val="GTRnormal"/>
              <w:keepNext/>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List (extended if necessary) of the engine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within the emission OBD family</w:t>
            </w:r>
          </w:p>
          <w:p w:rsidR="00AF2027" w:rsidRPr="00B04DC3" w:rsidRDefault="00AF2027" w:rsidP="005D15E1">
            <w:pPr>
              <w:pStyle w:val="GTRnormal"/>
              <w:keepNext/>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Actualised (new or unchanged) type</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parent engine system within the emission OBD family</w:t>
            </w:r>
          </w:p>
          <w:p w:rsidR="00AF2027" w:rsidRPr="00B04DC3" w:rsidRDefault="00AF2027" w:rsidP="005D15E1">
            <w:pPr>
              <w:pStyle w:val="GTRnormal"/>
              <w:keepNext/>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Extended OBD description (issued by the manufacturer): reference and date</w:t>
            </w:r>
          </w:p>
        </w:tc>
        <w:tc>
          <w:tcPr>
            <w:tcW w:w="1457" w:type="dxa"/>
          </w:tcPr>
          <w:p w:rsidR="00AF2027" w:rsidRPr="00B04DC3" w:rsidRDefault="00AF2027" w:rsidP="005D15E1">
            <w:pPr>
              <w:pStyle w:val="GTRnormal"/>
              <w:keepNext/>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r>
            <w:r w:rsidRPr="00B04DC3">
              <w:rPr>
                <w:rFonts w:ascii="Times New Roman" w:hAnsi="Times New Roman" w:cs="Times New Roman"/>
                <w:bCs/>
                <w:szCs w:val="20"/>
              </w:rPr>
              <w:br/>
              <w:t>. . . .</w:t>
            </w:r>
          </w:p>
          <w:p w:rsidR="00AF2027" w:rsidRPr="00B04DC3" w:rsidRDefault="00AF2027" w:rsidP="005D15E1">
            <w:pPr>
              <w:pStyle w:val="GTRnormal"/>
              <w:keepNext/>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5D15E1">
            <w:pPr>
              <w:pStyle w:val="GTRnormal"/>
              <w:keepNext/>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5D15E1">
            <w:pPr>
              <w:pStyle w:val="GTRnormal"/>
              <w:keepNext/>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tc>
      </w:tr>
      <w:tr w:rsidR="00AF2027" w:rsidRPr="00B04DC3">
        <w:tc>
          <w:tcPr>
            <w:tcW w:w="7048" w:type="dxa"/>
          </w:tcPr>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Extension to address a design change that affects the OBD system</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List of the engine families (when applicable) concerned by the design change</w:t>
            </w:r>
          </w:p>
          <w:p w:rsidR="00AF2027" w:rsidRPr="00B04DC3" w:rsidRDefault="00AF2027" w:rsidP="005D15E1">
            <w:pPr>
              <w:pStyle w:val="GTRnormal"/>
              <w:numPr>
                <w:ilvl w:val="0"/>
                <w:numId w:val="12"/>
              </w:numPr>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List of the engine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concerned by the design change</w:t>
            </w:r>
          </w:p>
          <w:p w:rsidR="00AF2027" w:rsidRPr="00B04DC3" w:rsidRDefault="00AF2027" w:rsidP="005D15E1">
            <w:pPr>
              <w:pStyle w:val="GTRnormal"/>
              <w:numPr>
                <w:ilvl w:val="0"/>
                <w:numId w:val="12"/>
              </w:numPr>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Actualised (when applicable, new or unchanged) type</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of the parent engine system within the emission OBD family</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ab/>
              <w:t>Modified OBD description (issued by the manufacturer): reference and date</w:t>
            </w:r>
          </w:p>
        </w:tc>
        <w:tc>
          <w:tcPr>
            <w:tcW w:w="1457"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tc>
      </w:tr>
      <w:tr w:rsidR="00AF2027" w:rsidRPr="00B04DC3">
        <w:tc>
          <w:tcPr>
            <w:tcW w:w="7048" w:type="dxa"/>
          </w:tcPr>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Extension to address a malfunction reclassification</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List of the engine families (when applicable) concerned by the reclassification</w:t>
            </w:r>
          </w:p>
          <w:p w:rsidR="00AF2027" w:rsidRPr="00B04DC3" w:rsidRDefault="00AF2027" w:rsidP="005D15E1">
            <w:pPr>
              <w:pStyle w:val="GTRnormal"/>
              <w:numPr>
                <w:ilvl w:val="0"/>
                <w:numId w:val="12"/>
              </w:numPr>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List of the engine types</w:t>
            </w:r>
            <w:r w:rsidRPr="00B04DC3">
              <w:rPr>
                <w:rFonts w:ascii="Times New Roman" w:hAnsi="Times New Roman" w:cs="Times New Roman"/>
                <w:bCs/>
                <w:szCs w:val="20"/>
                <w:vertAlign w:val="superscript"/>
              </w:rPr>
              <w:t>1</w:t>
            </w:r>
            <w:r w:rsidRPr="00B04DC3">
              <w:rPr>
                <w:rFonts w:ascii="Times New Roman" w:hAnsi="Times New Roman" w:cs="Times New Roman"/>
                <w:bCs/>
                <w:szCs w:val="20"/>
              </w:rPr>
              <w:t xml:space="preserve"> concerned by the reclassification</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ab/>
              <w:t>Modified OBD description (issued by the manufacturer): reference and date</w:t>
            </w:r>
          </w:p>
        </w:tc>
        <w:tc>
          <w:tcPr>
            <w:tcW w:w="1457"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t>. . . .</w:t>
            </w:r>
          </w:p>
        </w:tc>
      </w:tr>
    </w:tbl>
    <w:p w:rsidR="00AF2027" w:rsidRPr="005D15E1" w:rsidRDefault="00AF2027" w:rsidP="0090439E">
      <w:pPr>
        <w:pStyle w:val="para"/>
        <w:spacing w:before="240"/>
        <w:rPr>
          <w:lang w:val="en-GB" w:eastAsia="de-DE"/>
        </w:rPr>
      </w:pPr>
      <w:r w:rsidRPr="005D15E1">
        <w:rPr>
          <w:lang w:val="en-GB" w:eastAsia="de-DE"/>
        </w:rPr>
        <w:t>Item 2 to the technical compliance report (example)</w:t>
      </w:r>
    </w:p>
    <w:p w:rsidR="00AF2027" w:rsidRPr="00B04DC3" w:rsidRDefault="00AF2027" w:rsidP="00AF2027">
      <w:pPr>
        <w:pStyle w:val="para"/>
        <w:rPr>
          <w:i/>
          <w:iCs/>
          <w:lang w:val="en-GB"/>
        </w:rPr>
      </w:pPr>
      <w:bookmarkStart w:id="1092" w:name="_Toc118223124"/>
      <w:r w:rsidRPr="00B04DC3">
        <w:rPr>
          <w:iCs/>
          <w:lang w:val="en-GB"/>
        </w:rPr>
        <w:t>Information concerning the conformity of the OBD system</w:t>
      </w:r>
      <w:bookmarkEnd w:id="1092"/>
    </w:p>
    <w:p w:rsidR="00AF2027" w:rsidRPr="00B04DC3" w:rsidRDefault="00AF2027" w:rsidP="00AF2027">
      <w:pPr>
        <w:pStyle w:val="para"/>
        <w:rPr>
          <w:lang w:val="en-GB"/>
        </w:rPr>
      </w:pPr>
      <w:r w:rsidRPr="00B04DC3">
        <w:rPr>
          <w:lang w:val="en-GB"/>
        </w:rPr>
        <w:t>1.</w:t>
      </w:r>
      <w:r w:rsidRPr="00B04DC3">
        <w:rPr>
          <w:lang w:val="en-GB"/>
        </w:rPr>
        <w:tab/>
        <w:t>Documentation package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4"/>
        <w:gridCol w:w="1471"/>
      </w:tblGrid>
      <w:tr w:rsidR="00AF2027" w:rsidRPr="00B04DC3">
        <w:tc>
          <w:tcPr>
            <w:tcW w:w="7034"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elements provided by the manufacturer in the documentation package of the emission OBD family, is complete and complies with the requirements of paragraph 8. of this annex, on the following issues:</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Documentation associated with each monitored component or system</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Documentation associated with each DTC</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 xml:space="preserve">Documentation associated with the malfunction classification </w:t>
            </w:r>
          </w:p>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 xml:space="preserve">Documentation associated with the emission OBD family </w:t>
            </w:r>
          </w:p>
        </w:tc>
        <w:tc>
          <w:tcPr>
            <w:tcW w:w="1471"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br/>
            </w:r>
            <w:r w:rsidRPr="00B04DC3">
              <w:rPr>
                <w:rFonts w:ascii="Times New Roman" w:hAnsi="Times New Roman" w:cs="Times New Roman"/>
                <w:bCs/>
                <w:szCs w:val="20"/>
              </w:rPr>
              <w:br/>
              <w:t>YES / NO</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34" w:type="dxa"/>
          </w:tcPr>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The documentation required in paragraph 8.2. of this annex for installing an OBD system in a vehicle has been provided by the manufacturer in the documentation package, is complete, and complies with the requirements of this annex</w:t>
            </w:r>
          </w:p>
        </w:tc>
        <w:tc>
          <w:tcPr>
            <w:tcW w:w="1471"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34" w:type="dxa"/>
          </w:tcPr>
          <w:p w:rsidR="00AF2027" w:rsidRPr="00B04DC3" w:rsidRDefault="00AF2027" w:rsidP="00AF2027">
            <w:pPr>
              <w:pStyle w:val="GTRnormal"/>
              <w:numPr>
                <w:ilvl w:val="0"/>
                <w:numId w:val="22"/>
              </w:numPr>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The installation of the engine system equipped with the OBD system complies with Appendix 1 of this annex</w:t>
            </w:r>
          </w:p>
        </w:tc>
        <w:tc>
          <w:tcPr>
            <w:tcW w:w="1471" w:type="dxa"/>
          </w:tcPr>
          <w:p w:rsidR="00AF2027" w:rsidRPr="00B04DC3" w:rsidRDefault="00AF2027" w:rsidP="00AF2027">
            <w:pPr>
              <w:pStyle w:val="GTRnormal"/>
              <w:tabs>
                <w:tab w:val="clear" w:pos="540"/>
              </w:tabs>
              <w:spacing w:before="80" w:after="80" w:line="240" w:lineRule="atLeast"/>
              <w:ind w:left="182" w:hanging="7"/>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90439E" w:rsidRPr="00B04DC3" w:rsidRDefault="0090439E" w:rsidP="00AF2027">
      <w:pPr>
        <w:pStyle w:val="para"/>
        <w:spacing w:before="240"/>
        <w:rPr>
          <w:lang w:val="en-GB"/>
        </w:rPr>
      </w:pPr>
    </w:p>
    <w:p w:rsidR="00AF2027" w:rsidRPr="00B04DC3" w:rsidRDefault="0090439E" w:rsidP="0090439E">
      <w:pPr>
        <w:pStyle w:val="para"/>
        <w:spacing w:before="120"/>
        <w:rPr>
          <w:lang w:val="en-GB"/>
        </w:rPr>
      </w:pPr>
      <w:r w:rsidRPr="00B04DC3">
        <w:rPr>
          <w:lang w:val="en-GB"/>
        </w:rPr>
        <w:br w:type="page"/>
      </w:r>
      <w:r w:rsidR="00AF2027" w:rsidRPr="00B04DC3">
        <w:rPr>
          <w:lang w:val="en-GB"/>
        </w:rPr>
        <w:t>2.</w:t>
      </w:r>
      <w:r w:rsidR="00AF2027" w:rsidRPr="00B04DC3">
        <w:rPr>
          <w:lang w:val="en-GB"/>
        </w:rPr>
        <w:tab/>
        <w:t>Content of the documentation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160"/>
      </w:tblGrid>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Monitoring</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pacing w:val="-4"/>
                <w:szCs w:val="20"/>
              </w:rPr>
            </w:pPr>
            <w:r w:rsidRPr="00B04DC3">
              <w:rPr>
                <w:rFonts w:ascii="Times New Roman" w:hAnsi="Times New Roman" w:cs="Times New Roman"/>
                <w:bCs/>
                <w:spacing w:val="-4"/>
                <w:szCs w:val="20"/>
              </w:rPr>
              <w:t>The monitors comply with the requirements of paragraph 4.2. of this annex:</w:t>
            </w:r>
          </w:p>
        </w:tc>
        <w:tc>
          <w:tcPr>
            <w:tcW w:w="2268" w:type="dxa"/>
          </w:tcPr>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6" w:firstLine="0"/>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Classification</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malfunction classification complies with the requirements of paragraph 4.5. of this annex</w:t>
            </w:r>
          </w:p>
        </w:tc>
        <w:tc>
          <w:tcPr>
            <w:tcW w:w="2268" w:type="dxa"/>
          </w:tcPr>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6" w:firstLine="0"/>
              <w:jc w:val="center"/>
              <w:rPr>
                <w:rFonts w:ascii="Times New Roman" w:hAnsi="Times New Roman" w:cs="Times New Roman"/>
                <w:bCs/>
                <w:szCs w:val="20"/>
              </w:rPr>
            </w:pPr>
            <w:r w:rsidRPr="00B04DC3">
              <w:rPr>
                <w:rFonts w:ascii="Times New Roman" w:hAnsi="Times New Roman" w:cs="Times New Roman"/>
                <w:bCs/>
                <w:szCs w:val="20"/>
              </w:rPr>
              <w:t>YES / NO</w:t>
            </w:r>
          </w:p>
          <w:p w:rsidR="00AF2027" w:rsidRPr="00B04DC3" w:rsidRDefault="00AF2027" w:rsidP="00AF2027">
            <w:pPr>
              <w:pStyle w:val="GTRnormal"/>
              <w:tabs>
                <w:tab w:val="clear" w:pos="540"/>
              </w:tabs>
              <w:spacing w:before="80" w:after="80" w:line="240" w:lineRule="atLeast"/>
              <w:ind w:left="34" w:right="34" w:firstLine="0"/>
              <w:jc w:val="center"/>
              <w:rPr>
                <w:rFonts w:ascii="Times New Roman" w:hAnsi="Times New Roman" w:cs="Times New Roman"/>
                <w:bCs/>
                <w:szCs w:val="20"/>
              </w:rPr>
            </w:pPr>
          </w:p>
        </w:tc>
      </w:tr>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MI activation scheme</w:t>
            </w:r>
          </w:p>
          <w:p w:rsidR="00AF2027"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pacing w:val="-2"/>
                <w:szCs w:val="20"/>
              </w:rPr>
            </w:pPr>
            <w:r w:rsidRPr="00B04DC3">
              <w:rPr>
                <w:rFonts w:ascii="Times New Roman" w:hAnsi="Times New Roman" w:cs="Times New Roman"/>
                <w:bCs/>
                <w:spacing w:val="-2"/>
                <w:szCs w:val="20"/>
              </w:rPr>
              <w:t>According to paragraph 4.6.3. of this annex, the MI-activation scheme is:</w:t>
            </w:r>
          </w:p>
          <w:p w:rsidR="00181632" w:rsidRPr="00B04DC3" w:rsidRDefault="00181632" w:rsidP="00AF2027">
            <w:pPr>
              <w:pStyle w:val="GTRnormal"/>
              <w:tabs>
                <w:tab w:val="clear" w:pos="540"/>
              </w:tabs>
              <w:spacing w:before="80" w:after="80" w:line="240" w:lineRule="atLeast"/>
              <w:ind w:left="175" w:right="176" w:firstLine="0"/>
              <w:jc w:val="both"/>
              <w:rPr>
                <w:rFonts w:ascii="Times New Roman" w:hAnsi="Times New Roman" w:cs="Times New Roman"/>
                <w:bCs/>
                <w:spacing w:val="-2"/>
                <w:szCs w:val="20"/>
              </w:rPr>
            </w:pP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activation and the extinguishing of the malfunction indicator comply with the requirements of paragraph 4.6. of this annex</w:t>
            </w:r>
          </w:p>
        </w:tc>
        <w:tc>
          <w:tcPr>
            <w:tcW w:w="2268" w:type="dxa"/>
          </w:tcPr>
          <w:p w:rsidR="00181632" w:rsidRPr="00B04DC3" w:rsidRDefault="00181632" w:rsidP="00AF2027">
            <w:pPr>
              <w:pStyle w:val="GTRnormal"/>
              <w:tabs>
                <w:tab w:val="clear" w:pos="540"/>
              </w:tabs>
              <w:spacing w:before="80" w:after="80" w:line="240" w:lineRule="atLeast"/>
              <w:ind w:left="34" w:right="34" w:firstLine="0"/>
              <w:jc w:val="center"/>
              <w:rPr>
                <w:rFonts w:ascii="Times New Roman" w:hAnsi="Times New Roman" w:cs="Times New Roman"/>
                <w:bCs/>
                <w:szCs w:val="20"/>
              </w:rPr>
            </w:pPr>
          </w:p>
          <w:p w:rsidR="00AF2027" w:rsidRDefault="00AF2027" w:rsidP="00181632">
            <w:pPr>
              <w:pStyle w:val="GTRnormal"/>
              <w:tabs>
                <w:tab w:val="clear" w:pos="540"/>
              </w:tabs>
              <w:spacing w:before="80" w:after="200" w:line="240" w:lineRule="atLeast"/>
              <w:ind w:left="34" w:right="34" w:firstLine="0"/>
              <w:jc w:val="center"/>
              <w:rPr>
                <w:rFonts w:ascii="Times New Roman" w:hAnsi="Times New Roman" w:cs="Times New Roman"/>
                <w:bCs/>
                <w:szCs w:val="20"/>
              </w:rPr>
            </w:pPr>
            <w:r w:rsidRPr="00B04DC3">
              <w:rPr>
                <w:rFonts w:ascii="Times New Roman" w:hAnsi="Times New Roman" w:cs="Times New Roman"/>
                <w:bCs/>
                <w:szCs w:val="20"/>
              </w:rPr>
              <w:t>Discriminatory /Non-discriminatory</w:t>
            </w:r>
          </w:p>
          <w:p w:rsidR="00AF2027" w:rsidRPr="00B04DC3" w:rsidRDefault="00AF2027" w:rsidP="00AF2027">
            <w:pPr>
              <w:pStyle w:val="GTRnormal"/>
              <w:tabs>
                <w:tab w:val="clear" w:pos="540"/>
              </w:tabs>
              <w:spacing w:before="80" w:after="80" w:line="240" w:lineRule="atLeast"/>
              <w:ind w:left="34" w:right="34" w:firstLine="0"/>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DTCs recording &amp; erasing</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recording and erasing of DTCs comply with the requirements of paragraphs 4.3. and 4.4. of this annex</w:t>
            </w:r>
          </w:p>
        </w:tc>
        <w:tc>
          <w:tcPr>
            <w:tcW w:w="2268" w:type="dxa"/>
          </w:tcPr>
          <w:p w:rsidR="00AF2027" w:rsidRPr="00B04DC3" w:rsidRDefault="00AF2027" w:rsidP="005D15E1">
            <w:pPr>
              <w:pStyle w:val="GTRnormal"/>
              <w:tabs>
                <w:tab w:val="clear" w:pos="540"/>
              </w:tabs>
              <w:spacing w:after="120" w:line="240" w:lineRule="atLeast"/>
              <w:ind w:left="142" w:right="176"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Disablement of the OBD system</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strategies described in the documentation package for a momentary disconnection or disablement of the OBD system comply with the requirements of paragraph 5.2. of this annex</w:t>
            </w:r>
          </w:p>
        </w:tc>
        <w:tc>
          <w:tcPr>
            <w:tcW w:w="2268" w:type="dxa"/>
          </w:tcPr>
          <w:p w:rsidR="005D15E1" w:rsidRDefault="005D15E1"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7088"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Electronic system security</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measures described by the manufacturer for electronic system security comply with the requirements of paragraph 4.8. of this annex</w:t>
            </w:r>
          </w:p>
        </w:tc>
        <w:tc>
          <w:tcPr>
            <w:tcW w:w="2268" w:type="dxa"/>
          </w:tcPr>
          <w:p w:rsidR="00AF2027" w:rsidRPr="00B04DC3" w:rsidRDefault="00AF2027" w:rsidP="00AF2027">
            <w:pPr>
              <w:pStyle w:val="GTRnormal"/>
              <w:tabs>
                <w:tab w:val="clear" w:pos="540"/>
              </w:tabs>
              <w:spacing w:before="80" w:after="80" w:line="240" w:lineRule="atLeast"/>
              <w:ind w:left="142" w:right="177"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42" w:right="176" w:firstLine="0"/>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AF2027" w:rsidRPr="005D15E1" w:rsidRDefault="00AF2027" w:rsidP="00512988">
      <w:pPr>
        <w:pStyle w:val="para"/>
        <w:spacing w:before="200" w:after="80"/>
        <w:rPr>
          <w:iCs/>
          <w:lang w:val="en-GB"/>
        </w:rPr>
      </w:pPr>
      <w:r w:rsidRPr="005D15E1">
        <w:rPr>
          <w:iCs/>
          <w:lang w:val="en-GB"/>
        </w:rPr>
        <w:t>Item 3 to the technical compliance report (example)</w:t>
      </w:r>
    </w:p>
    <w:p w:rsidR="00AF2027" w:rsidRPr="00B04DC3" w:rsidRDefault="00AF2027" w:rsidP="00AF2027">
      <w:pPr>
        <w:pStyle w:val="para"/>
        <w:rPr>
          <w:sz w:val="24"/>
          <w:lang w:val="en-GB"/>
        </w:rPr>
      </w:pPr>
      <w:bookmarkStart w:id="1093" w:name="_Toc118223125"/>
      <w:r w:rsidRPr="00B04DC3">
        <w:rPr>
          <w:lang w:val="en-GB"/>
        </w:rPr>
        <w:t>Information concerning deficiencies</w:t>
      </w:r>
      <w:bookmarkEnd w:id="1093"/>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294"/>
      </w:tblGrid>
      <w:tr w:rsidR="00AF2027" w:rsidRPr="00B04DC3">
        <w:tc>
          <w:tcPr>
            <w:tcW w:w="5211"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Number of deficiencies of OBD system</w:t>
            </w:r>
          </w:p>
        </w:tc>
        <w:tc>
          <w:tcPr>
            <w:tcW w:w="3294" w:type="dxa"/>
          </w:tcPr>
          <w:p w:rsidR="00AF2027" w:rsidRPr="00B04DC3" w:rsidRDefault="00AF2027" w:rsidP="009469BB">
            <w:pPr>
              <w:pStyle w:val="GTRnormal"/>
              <w:tabs>
                <w:tab w:val="clear" w:pos="540"/>
              </w:tabs>
              <w:spacing w:before="80" w:after="80" w:line="240" w:lineRule="atLeast"/>
              <w:ind w:left="34" w:right="34" w:firstLine="0"/>
              <w:rPr>
                <w:rFonts w:ascii="Times New Roman" w:hAnsi="Times New Roman" w:cs="Times New Roman"/>
                <w:bCs/>
                <w:szCs w:val="20"/>
              </w:rPr>
            </w:pPr>
            <w:r w:rsidRPr="00B04DC3">
              <w:rPr>
                <w:rFonts w:ascii="Times New Roman" w:hAnsi="Times New Roman" w:cs="Times New Roman"/>
                <w:bCs/>
                <w:szCs w:val="20"/>
              </w:rPr>
              <w:t>(ex: 4 deficiencies)</w:t>
            </w:r>
          </w:p>
        </w:tc>
      </w:tr>
      <w:tr w:rsidR="00AF2027" w:rsidRPr="00B04DC3">
        <w:tc>
          <w:tcPr>
            <w:tcW w:w="5211" w:type="dxa"/>
            <w:tcBorders>
              <w:bottom w:val="single" w:sz="4" w:space="0" w:color="auto"/>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deficiencies comply with the requirements of paragraph 6.4. of this annex</w:t>
            </w:r>
          </w:p>
        </w:tc>
        <w:tc>
          <w:tcPr>
            <w:tcW w:w="3294" w:type="dxa"/>
            <w:tcBorders>
              <w:bottom w:val="single" w:sz="4" w:space="0" w:color="auto"/>
            </w:tcBorders>
          </w:tcPr>
          <w:p w:rsidR="00AF2027" w:rsidRPr="00B04DC3" w:rsidRDefault="00AF2027" w:rsidP="009469BB">
            <w:pPr>
              <w:pStyle w:val="GTRnormal"/>
              <w:tabs>
                <w:tab w:val="clear" w:pos="540"/>
              </w:tabs>
              <w:spacing w:before="80" w:after="80" w:line="240" w:lineRule="atLeast"/>
              <w:ind w:left="34" w:right="34" w:firstLine="0"/>
              <w:jc w:val="center"/>
              <w:rPr>
                <w:rFonts w:ascii="Times New Roman" w:hAnsi="Times New Roman" w:cs="Times New Roman"/>
                <w:bCs/>
                <w:szCs w:val="20"/>
              </w:rPr>
            </w:pPr>
            <w:r w:rsidRPr="00B04DC3">
              <w:rPr>
                <w:rFonts w:ascii="Times New Roman" w:hAnsi="Times New Roman" w:cs="Times New Roman"/>
                <w:bCs/>
                <w:szCs w:val="20"/>
              </w:rPr>
              <w:t>YES / NO</w:t>
            </w:r>
          </w:p>
        </w:tc>
      </w:tr>
      <w:tr w:rsidR="00AF2027" w:rsidRPr="00B04DC3">
        <w:tc>
          <w:tcPr>
            <w:tcW w:w="5211" w:type="dxa"/>
            <w:tcBorders>
              <w:bottom w:val="nil"/>
            </w:tcBorders>
          </w:tcPr>
          <w:p w:rsidR="00AF2027" w:rsidRPr="00B04DC3" w:rsidRDefault="00AF2027" w:rsidP="009469BB">
            <w:pPr>
              <w:pStyle w:val="GTRnormal"/>
              <w:tabs>
                <w:tab w:val="clear" w:pos="540"/>
              </w:tabs>
              <w:spacing w:before="80" w:line="240" w:lineRule="atLeast"/>
              <w:ind w:left="176" w:right="176" w:firstLine="0"/>
              <w:jc w:val="both"/>
              <w:rPr>
                <w:rFonts w:ascii="Times New Roman" w:hAnsi="Times New Roman" w:cs="Times New Roman"/>
                <w:bCs/>
                <w:szCs w:val="20"/>
              </w:rPr>
            </w:pPr>
            <w:r w:rsidRPr="00B04DC3">
              <w:rPr>
                <w:rFonts w:ascii="Times New Roman" w:hAnsi="Times New Roman" w:cs="Times New Roman"/>
                <w:bCs/>
                <w:i/>
                <w:szCs w:val="20"/>
              </w:rPr>
              <w:t>Deficiency No. 1</w:t>
            </w:r>
          </w:p>
        </w:tc>
        <w:tc>
          <w:tcPr>
            <w:tcW w:w="3294" w:type="dxa"/>
            <w:tcBorders>
              <w:bottom w:val="nil"/>
            </w:tcBorders>
          </w:tcPr>
          <w:p w:rsidR="00AF2027" w:rsidRPr="00B04DC3" w:rsidRDefault="00AF2027" w:rsidP="009469BB">
            <w:pPr>
              <w:pStyle w:val="GTRnormal"/>
              <w:tabs>
                <w:tab w:val="clear" w:pos="540"/>
              </w:tabs>
              <w:spacing w:before="80" w:after="80" w:line="240" w:lineRule="atLeast"/>
              <w:ind w:left="34" w:right="177" w:firstLine="0"/>
              <w:rPr>
                <w:rFonts w:ascii="Times New Roman" w:hAnsi="Times New Roman" w:cs="Times New Roman"/>
                <w:bCs/>
                <w:szCs w:val="20"/>
              </w:rPr>
            </w:pPr>
          </w:p>
        </w:tc>
      </w:tr>
      <w:tr w:rsidR="00AF2027" w:rsidRPr="00B04DC3">
        <w:tc>
          <w:tcPr>
            <w:tcW w:w="5211" w:type="dxa"/>
            <w:tcBorders>
              <w:top w:val="nil"/>
              <w:bottom w:val="nil"/>
            </w:tcBorders>
          </w:tcPr>
          <w:p w:rsidR="00AF2027" w:rsidRPr="00B04DC3" w:rsidRDefault="00AF2027" w:rsidP="00AF2027">
            <w:pPr>
              <w:pStyle w:val="GTRnormal"/>
              <w:numPr>
                <w:ilvl w:val="0"/>
                <w:numId w:val="21"/>
              </w:numPr>
              <w:spacing w:before="80" w:after="80" w:line="240" w:lineRule="atLeast"/>
              <w:ind w:right="176"/>
              <w:jc w:val="both"/>
              <w:rPr>
                <w:rFonts w:ascii="Times New Roman" w:hAnsi="Times New Roman" w:cs="Times New Roman"/>
                <w:bCs/>
                <w:szCs w:val="20"/>
              </w:rPr>
            </w:pPr>
            <w:r w:rsidRPr="00B04DC3">
              <w:rPr>
                <w:rFonts w:ascii="Times New Roman" w:hAnsi="Times New Roman" w:cs="Times New Roman"/>
                <w:bCs/>
                <w:szCs w:val="20"/>
              </w:rPr>
              <w:t>Object of the deficiency</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p>
        </w:tc>
        <w:tc>
          <w:tcPr>
            <w:tcW w:w="3294" w:type="dxa"/>
            <w:tcBorders>
              <w:top w:val="nil"/>
              <w:bottom w:val="nil"/>
            </w:tcBorders>
          </w:tcPr>
          <w:p w:rsidR="00AF2027" w:rsidRPr="00B04DC3" w:rsidRDefault="00AF2027" w:rsidP="009469BB">
            <w:pPr>
              <w:pStyle w:val="GTRnormal"/>
              <w:tabs>
                <w:tab w:val="clear" w:pos="540"/>
              </w:tabs>
              <w:spacing w:before="80" w:after="40" w:line="240" w:lineRule="atLeast"/>
              <w:ind w:left="34" w:right="-79" w:firstLine="0"/>
              <w:rPr>
                <w:rFonts w:ascii="Times New Roman" w:hAnsi="Times New Roman" w:cs="Times New Roman"/>
                <w:bCs/>
                <w:spacing w:val="-6"/>
                <w:szCs w:val="20"/>
              </w:rPr>
            </w:pPr>
            <w:r w:rsidRPr="00B04DC3">
              <w:rPr>
                <w:rFonts w:ascii="Times New Roman" w:hAnsi="Times New Roman" w:cs="Times New Roman"/>
                <w:bCs/>
                <w:spacing w:val="-6"/>
                <w:szCs w:val="20"/>
              </w:rPr>
              <w:t>e.g. measuring of the urea concentration (SCR) within defined tolerances</w:t>
            </w:r>
          </w:p>
        </w:tc>
      </w:tr>
      <w:tr w:rsidR="00AF2027" w:rsidRPr="00B04DC3">
        <w:tc>
          <w:tcPr>
            <w:tcW w:w="5211" w:type="dxa"/>
            <w:tcBorders>
              <w:top w:val="nil"/>
              <w:bottom w:val="single" w:sz="4" w:space="0" w:color="auto"/>
            </w:tcBorders>
          </w:tcPr>
          <w:p w:rsidR="00AF2027" w:rsidRPr="00B04DC3" w:rsidRDefault="00AF2027" w:rsidP="00AF2027">
            <w:pPr>
              <w:pStyle w:val="GTRnormal"/>
              <w:numPr>
                <w:ilvl w:val="0"/>
                <w:numId w:val="21"/>
              </w:numPr>
              <w:spacing w:before="80" w:after="80" w:line="240" w:lineRule="atLeast"/>
              <w:ind w:right="176"/>
              <w:jc w:val="both"/>
              <w:rPr>
                <w:rFonts w:ascii="Times New Roman" w:hAnsi="Times New Roman" w:cs="Times New Roman"/>
                <w:bCs/>
                <w:szCs w:val="20"/>
              </w:rPr>
            </w:pPr>
            <w:r w:rsidRPr="00B04DC3">
              <w:rPr>
                <w:rFonts w:ascii="Times New Roman" w:hAnsi="Times New Roman" w:cs="Times New Roman"/>
                <w:bCs/>
                <w:szCs w:val="20"/>
              </w:rPr>
              <w:t>Period of the deficiency</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p>
        </w:tc>
        <w:tc>
          <w:tcPr>
            <w:tcW w:w="3294" w:type="dxa"/>
            <w:tcBorders>
              <w:top w:val="nil"/>
              <w:bottom w:val="single" w:sz="4" w:space="0" w:color="auto"/>
            </w:tcBorders>
          </w:tcPr>
          <w:p w:rsidR="00AF2027" w:rsidRPr="00B04DC3" w:rsidRDefault="00AF2027" w:rsidP="009469BB">
            <w:pPr>
              <w:pStyle w:val="GTRnormal"/>
              <w:tabs>
                <w:tab w:val="clear" w:pos="540"/>
              </w:tabs>
              <w:spacing w:before="80" w:after="40" w:line="240" w:lineRule="atLeast"/>
              <w:ind w:left="34" w:right="-79" w:firstLine="0"/>
              <w:rPr>
                <w:rFonts w:ascii="Times New Roman" w:hAnsi="Times New Roman" w:cs="Times New Roman"/>
                <w:bCs/>
                <w:szCs w:val="20"/>
              </w:rPr>
            </w:pPr>
            <w:r w:rsidRPr="00B04DC3">
              <w:rPr>
                <w:rFonts w:ascii="Times New Roman" w:hAnsi="Times New Roman" w:cs="Times New Roman"/>
                <w:bCs/>
                <w:szCs w:val="20"/>
              </w:rPr>
              <w:t>e.g. one year / six months after the date of approval</w:t>
            </w:r>
          </w:p>
        </w:tc>
      </w:tr>
      <w:tr w:rsidR="00AF2027" w:rsidRPr="00B04DC3">
        <w:tc>
          <w:tcPr>
            <w:tcW w:w="5211" w:type="dxa"/>
            <w:tcBorders>
              <w:top w:val="single" w:sz="4" w:space="0" w:color="auto"/>
              <w:bottom w:val="single" w:sz="4" w:space="0" w:color="auto"/>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(Description of deficiencies 2 to n-1)</w:t>
            </w:r>
          </w:p>
        </w:tc>
        <w:tc>
          <w:tcPr>
            <w:tcW w:w="3294" w:type="dxa"/>
            <w:tcBorders>
              <w:top w:val="single" w:sz="4" w:space="0" w:color="auto"/>
              <w:bottom w:val="single" w:sz="4" w:space="0" w:color="auto"/>
            </w:tcBorders>
          </w:tcPr>
          <w:p w:rsidR="00AF2027" w:rsidRPr="00B04DC3" w:rsidRDefault="00AF2027" w:rsidP="009469BB">
            <w:pPr>
              <w:pStyle w:val="GTRnormal"/>
              <w:tabs>
                <w:tab w:val="clear" w:pos="540"/>
              </w:tabs>
              <w:spacing w:before="80" w:after="80" w:line="240" w:lineRule="atLeast"/>
              <w:ind w:left="34" w:right="177" w:firstLine="0"/>
              <w:rPr>
                <w:rFonts w:ascii="Times New Roman" w:hAnsi="Times New Roman" w:cs="Times New Roman"/>
                <w:bCs/>
                <w:szCs w:val="20"/>
              </w:rPr>
            </w:pPr>
          </w:p>
        </w:tc>
      </w:tr>
      <w:tr w:rsidR="00AF2027" w:rsidRPr="00B04DC3">
        <w:tc>
          <w:tcPr>
            <w:tcW w:w="5211" w:type="dxa"/>
            <w:tcBorders>
              <w:bottom w:val="nil"/>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i/>
                <w:szCs w:val="20"/>
              </w:rPr>
              <w:t>Deficiency No.</w:t>
            </w:r>
            <w:r w:rsidRPr="00B04DC3">
              <w:rPr>
                <w:rFonts w:ascii="Times New Roman" w:hAnsi="Times New Roman" w:cs="Times New Roman"/>
                <w:bCs/>
                <w:szCs w:val="20"/>
              </w:rPr>
              <w:t> n</w:t>
            </w:r>
          </w:p>
        </w:tc>
        <w:tc>
          <w:tcPr>
            <w:tcW w:w="3294" w:type="dxa"/>
            <w:tcBorders>
              <w:bottom w:val="nil"/>
            </w:tcBorders>
          </w:tcPr>
          <w:p w:rsidR="00AF2027" w:rsidRPr="00B04DC3" w:rsidRDefault="00AF2027" w:rsidP="009469BB">
            <w:pPr>
              <w:pStyle w:val="GTRnormal"/>
              <w:tabs>
                <w:tab w:val="clear" w:pos="540"/>
              </w:tabs>
              <w:spacing w:before="80" w:after="80" w:line="240" w:lineRule="atLeast"/>
              <w:ind w:left="34" w:right="177" w:firstLine="0"/>
              <w:rPr>
                <w:rFonts w:ascii="Times New Roman" w:hAnsi="Times New Roman" w:cs="Times New Roman"/>
                <w:bCs/>
                <w:szCs w:val="20"/>
              </w:rPr>
            </w:pPr>
          </w:p>
        </w:tc>
      </w:tr>
      <w:tr w:rsidR="00AF2027" w:rsidRPr="00B04DC3">
        <w:tc>
          <w:tcPr>
            <w:tcW w:w="5211" w:type="dxa"/>
            <w:tcBorders>
              <w:top w:val="nil"/>
              <w:bottom w:val="nil"/>
            </w:tcBorders>
          </w:tcPr>
          <w:p w:rsidR="00AF2027" w:rsidRPr="00B04DC3" w:rsidRDefault="00AF2027" w:rsidP="00AF2027">
            <w:pPr>
              <w:pStyle w:val="GTRnormal"/>
              <w:numPr>
                <w:ilvl w:val="0"/>
                <w:numId w:val="21"/>
              </w:numPr>
              <w:spacing w:before="80" w:after="80" w:line="240" w:lineRule="atLeast"/>
              <w:ind w:right="176"/>
              <w:jc w:val="both"/>
              <w:rPr>
                <w:rFonts w:ascii="Times New Roman" w:hAnsi="Times New Roman" w:cs="Times New Roman"/>
                <w:bCs/>
                <w:szCs w:val="20"/>
              </w:rPr>
            </w:pPr>
            <w:r w:rsidRPr="00B04DC3">
              <w:rPr>
                <w:rFonts w:ascii="Times New Roman" w:hAnsi="Times New Roman" w:cs="Times New Roman"/>
                <w:bCs/>
                <w:szCs w:val="20"/>
              </w:rPr>
              <w:t>Object of the deficiency</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p>
        </w:tc>
        <w:tc>
          <w:tcPr>
            <w:tcW w:w="3294" w:type="dxa"/>
            <w:tcBorders>
              <w:top w:val="nil"/>
              <w:bottom w:val="nil"/>
            </w:tcBorders>
          </w:tcPr>
          <w:p w:rsidR="00AF2027" w:rsidRPr="00B04DC3" w:rsidRDefault="00AF2027" w:rsidP="009469BB">
            <w:pPr>
              <w:pStyle w:val="GTRnormal"/>
              <w:tabs>
                <w:tab w:val="clear" w:pos="540"/>
              </w:tabs>
              <w:spacing w:before="80" w:after="40" w:line="240" w:lineRule="atLeast"/>
              <w:ind w:left="34" w:right="-79" w:firstLine="0"/>
              <w:rPr>
                <w:rFonts w:ascii="Times New Roman" w:hAnsi="Times New Roman" w:cs="Times New Roman"/>
                <w:bCs/>
                <w:szCs w:val="20"/>
              </w:rPr>
            </w:pPr>
            <w:r w:rsidRPr="00B04DC3">
              <w:rPr>
                <w:rFonts w:ascii="Times New Roman" w:hAnsi="Times New Roman" w:cs="Times New Roman"/>
                <w:bCs/>
                <w:szCs w:val="20"/>
              </w:rPr>
              <w:t>e.g. measuring of NH</w:t>
            </w:r>
            <w:r w:rsidRPr="00B04DC3">
              <w:rPr>
                <w:rFonts w:ascii="Times New Roman" w:hAnsi="Times New Roman" w:cs="Times New Roman"/>
                <w:bCs/>
                <w:szCs w:val="20"/>
                <w:vertAlign w:val="subscript"/>
              </w:rPr>
              <w:t>3</w:t>
            </w:r>
            <w:r w:rsidRPr="00B04DC3">
              <w:rPr>
                <w:rFonts w:ascii="Times New Roman" w:hAnsi="Times New Roman" w:cs="Times New Roman"/>
                <w:bCs/>
                <w:szCs w:val="20"/>
              </w:rPr>
              <w:t xml:space="preserve"> concentration behind SCR system</w:t>
            </w:r>
          </w:p>
        </w:tc>
      </w:tr>
      <w:tr w:rsidR="00AF2027" w:rsidRPr="00B04DC3">
        <w:tc>
          <w:tcPr>
            <w:tcW w:w="5211" w:type="dxa"/>
            <w:tcBorders>
              <w:top w:val="nil"/>
              <w:bottom w:val="single" w:sz="4" w:space="0" w:color="auto"/>
            </w:tcBorders>
          </w:tcPr>
          <w:p w:rsidR="00AF2027" w:rsidRPr="00B04DC3" w:rsidRDefault="00AF2027" w:rsidP="00AF2027">
            <w:pPr>
              <w:pStyle w:val="GTRnormal"/>
              <w:numPr>
                <w:ilvl w:val="0"/>
                <w:numId w:val="21"/>
              </w:numPr>
              <w:spacing w:before="80" w:after="80" w:line="240" w:lineRule="atLeast"/>
              <w:ind w:right="176"/>
              <w:jc w:val="both"/>
              <w:rPr>
                <w:rFonts w:ascii="Times New Roman" w:hAnsi="Times New Roman" w:cs="Times New Roman"/>
                <w:bCs/>
                <w:szCs w:val="20"/>
              </w:rPr>
            </w:pPr>
            <w:r w:rsidRPr="00B04DC3">
              <w:rPr>
                <w:rFonts w:ascii="Times New Roman" w:hAnsi="Times New Roman" w:cs="Times New Roman"/>
                <w:bCs/>
                <w:szCs w:val="20"/>
              </w:rPr>
              <w:t>Period of the deficiency</w:t>
            </w:r>
          </w:p>
        </w:tc>
        <w:tc>
          <w:tcPr>
            <w:tcW w:w="3294" w:type="dxa"/>
            <w:tcBorders>
              <w:top w:val="nil"/>
              <w:bottom w:val="single" w:sz="4" w:space="0" w:color="auto"/>
            </w:tcBorders>
          </w:tcPr>
          <w:p w:rsidR="00AF2027" w:rsidRPr="00B04DC3" w:rsidRDefault="00AF2027" w:rsidP="009469BB">
            <w:pPr>
              <w:pStyle w:val="GTRnormal"/>
              <w:tabs>
                <w:tab w:val="clear" w:pos="540"/>
              </w:tabs>
              <w:spacing w:before="80" w:after="40" w:line="240" w:lineRule="atLeast"/>
              <w:ind w:left="34" w:right="-79" w:firstLine="0"/>
              <w:rPr>
                <w:rFonts w:ascii="Times New Roman" w:hAnsi="Times New Roman" w:cs="Times New Roman"/>
                <w:bCs/>
                <w:szCs w:val="20"/>
              </w:rPr>
            </w:pPr>
            <w:r w:rsidRPr="00B04DC3">
              <w:rPr>
                <w:rFonts w:ascii="Times New Roman" w:hAnsi="Times New Roman" w:cs="Times New Roman"/>
                <w:bCs/>
                <w:szCs w:val="20"/>
              </w:rPr>
              <w:t>e.g. one year / six months after the date of approval</w:t>
            </w:r>
          </w:p>
        </w:tc>
      </w:tr>
    </w:tbl>
    <w:p w:rsidR="00AF2027" w:rsidRPr="009469BB" w:rsidRDefault="00AF2027" w:rsidP="00AF2027">
      <w:pPr>
        <w:pStyle w:val="para"/>
        <w:rPr>
          <w:lang w:val="en-GB" w:eastAsia="de-DE"/>
        </w:rPr>
      </w:pPr>
      <w:r w:rsidRPr="00B04DC3">
        <w:rPr>
          <w:lang w:val="en-GB" w:eastAsia="de-DE"/>
        </w:rPr>
        <w:br w:type="page"/>
      </w:r>
      <w:r w:rsidRPr="009469BB">
        <w:rPr>
          <w:lang w:val="en-GB" w:eastAsia="de-DE"/>
        </w:rPr>
        <w:t>Item 4 to the technical compliance report (example)</w:t>
      </w:r>
    </w:p>
    <w:p w:rsidR="00AF2027" w:rsidRPr="00B04DC3" w:rsidRDefault="00AF2027" w:rsidP="00AF2027">
      <w:pPr>
        <w:pStyle w:val="para"/>
        <w:rPr>
          <w:lang w:val="en-GB"/>
        </w:rPr>
      </w:pPr>
      <w:bookmarkStart w:id="1094" w:name="_Toc118223126"/>
      <w:r w:rsidRPr="00B04DC3">
        <w:rPr>
          <w:iCs/>
          <w:lang w:val="en-GB"/>
        </w:rPr>
        <w:t>Demonstration tests of the OBD system</w:t>
      </w:r>
      <w:bookmarkEnd w:id="1094"/>
    </w:p>
    <w:p w:rsidR="00AF2027" w:rsidRPr="00B04DC3" w:rsidRDefault="00AF2027" w:rsidP="00AF2027">
      <w:pPr>
        <w:pStyle w:val="para"/>
        <w:rPr>
          <w:lang w:val="en-GB"/>
        </w:rPr>
      </w:pPr>
      <w:r w:rsidRPr="00B04DC3">
        <w:rPr>
          <w:lang w:val="en-GB"/>
        </w:rPr>
        <w:t>1.</w:t>
      </w:r>
      <w:r w:rsidRPr="00B04DC3">
        <w:rPr>
          <w:lang w:val="en-GB"/>
        </w:rPr>
        <w:tab/>
        <w:t>Test result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2381"/>
      </w:tblGrid>
      <w:tr w:rsidR="00AF2027" w:rsidRPr="00B04DC3">
        <w:tc>
          <w:tcPr>
            <w:tcW w:w="6765"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Results of the tests</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The OBD system described in the above complying documentation package has been tested with success according to paragraph 6. of this annex for demonstrating the compliance of monitors and of malfunction classifications as listed in item 5</w:t>
            </w:r>
          </w:p>
          <w:p w:rsidR="00AF2027" w:rsidRPr="00B04DC3" w:rsidRDefault="00AF2027" w:rsidP="00AF2027">
            <w:pPr>
              <w:pStyle w:val="GTRnormal"/>
              <w:tabs>
                <w:tab w:val="clear" w:pos="540"/>
                <w:tab w:val="left" w:pos="601"/>
              </w:tabs>
              <w:spacing w:before="80" w:after="80" w:line="240" w:lineRule="atLeast"/>
              <w:ind w:left="175" w:right="176" w:firstLine="0"/>
              <w:jc w:val="both"/>
              <w:rPr>
                <w:rFonts w:ascii="Times New Roman" w:hAnsi="Times New Roman" w:cs="Times New Roman"/>
                <w:bCs/>
                <w:szCs w:val="20"/>
              </w:rPr>
            </w:pPr>
          </w:p>
        </w:tc>
        <w:tc>
          <w:tcPr>
            <w:tcW w:w="2591" w:type="dxa"/>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175" w:right="176" w:firstLine="0"/>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AF2027" w:rsidRPr="00B04DC3" w:rsidRDefault="00AF2027" w:rsidP="00AF2027">
      <w:pPr>
        <w:pStyle w:val="para"/>
        <w:spacing w:before="240"/>
        <w:rPr>
          <w:lang w:val="en-GB"/>
        </w:rPr>
      </w:pPr>
      <w:r w:rsidRPr="00B04DC3">
        <w:rPr>
          <w:lang w:val="en-GB"/>
        </w:rPr>
        <w:t>Details to the conducted demonstration tests are given in item 5.</w:t>
      </w:r>
    </w:p>
    <w:p w:rsidR="00AF2027" w:rsidRPr="00B04DC3" w:rsidRDefault="00AF2027" w:rsidP="00AF2027">
      <w:pPr>
        <w:pStyle w:val="para"/>
        <w:rPr>
          <w:lang w:val="en-GB"/>
        </w:rPr>
      </w:pPr>
      <w:r w:rsidRPr="00B04DC3">
        <w:rPr>
          <w:lang w:val="en-GB"/>
        </w:rPr>
        <w:t>1.1.</w:t>
      </w:r>
      <w:r w:rsidRPr="00B04DC3">
        <w:rPr>
          <w:lang w:val="en-GB"/>
        </w:rPr>
        <w:tab/>
        <w:t>OBD system tested on the engine test-bed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2409"/>
      </w:tblGrid>
      <w:tr w:rsidR="00AF2027" w:rsidRPr="00B04DC3">
        <w:tc>
          <w:tcPr>
            <w:tcW w:w="6096" w:type="dxa"/>
            <w:tcBorders>
              <w:bottom w:val="nil"/>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Engine</w:t>
            </w:r>
          </w:p>
          <w:p w:rsidR="00AF2027" w:rsidRPr="00B04DC3" w:rsidRDefault="00AF2027" w:rsidP="00AF2027">
            <w:pPr>
              <w:pStyle w:val="GTRnormal"/>
              <w:tabs>
                <w:tab w:val="clear" w:pos="540"/>
                <w:tab w:val="left" w:pos="612"/>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Engine name (manufacturer and commercial names)</w:t>
            </w:r>
          </w:p>
          <w:p w:rsidR="00AF2027" w:rsidRPr="00B04DC3" w:rsidRDefault="00AF2027" w:rsidP="00AF2027">
            <w:pPr>
              <w:pStyle w:val="GTRnormal"/>
              <w:tabs>
                <w:tab w:val="clear" w:pos="540"/>
                <w:tab w:val="left" w:pos="612"/>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Engine type (as reported in the approval document):</w:t>
            </w:r>
          </w:p>
          <w:p w:rsidR="00AF2027" w:rsidRPr="00B04DC3" w:rsidRDefault="00AF2027" w:rsidP="00AF2027">
            <w:pPr>
              <w:pStyle w:val="GTRnormal"/>
              <w:tabs>
                <w:tab w:val="clear" w:pos="540"/>
                <w:tab w:val="left" w:pos="601"/>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Engine number (serial number):</w:t>
            </w:r>
          </w:p>
        </w:tc>
        <w:tc>
          <w:tcPr>
            <w:tcW w:w="2409" w:type="dxa"/>
            <w:tcBorders>
              <w:bottom w:val="nil"/>
            </w:tcBorders>
          </w:tcPr>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6096" w:type="dxa"/>
            <w:tcBorders>
              <w:top w:val="single" w:sz="4" w:space="0" w:color="auto"/>
              <w:bottom w:val="single" w:sz="4" w:space="0" w:color="auto"/>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Control units concerned by this annex (incl. engine ECUs)</w:t>
            </w:r>
          </w:p>
          <w:p w:rsidR="00AF2027" w:rsidRPr="00B04DC3" w:rsidRDefault="00AF2027" w:rsidP="00AF2027">
            <w:pPr>
              <w:pStyle w:val="GTRnormal"/>
              <w:tabs>
                <w:tab w:val="clear" w:pos="540"/>
                <w:tab w:val="left" w:pos="612"/>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Main functionality</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Identification number (software and calibration)</w:t>
            </w:r>
          </w:p>
        </w:tc>
        <w:tc>
          <w:tcPr>
            <w:tcW w:w="2409" w:type="dxa"/>
            <w:tcBorders>
              <w:top w:val="nil"/>
              <w:bottom w:val="single" w:sz="4" w:space="0" w:color="auto"/>
            </w:tcBorders>
          </w:tcPr>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6096" w:type="dxa"/>
            <w:tcBorders>
              <w:bottom w:val="nil"/>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Diagnostic tool (scan tool used during testing)</w:t>
            </w:r>
          </w:p>
          <w:p w:rsidR="00AF2027" w:rsidRPr="00B04DC3" w:rsidRDefault="00AF2027" w:rsidP="00AF2027">
            <w:pPr>
              <w:pStyle w:val="GTRnormal"/>
              <w:tabs>
                <w:tab w:val="clear" w:pos="540"/>
                <w:tab w:val="left" w:pos="612"/>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Manufacturer</w:t>
            </w:r>
          </w:p>
          <w:p w:rsidR="00AF2027" w:rsidRPr="00B04DC3" w:rsidRDefault="00AF2027" w:rsidP="00AF2027">
            <w:pPr>
              <w:pStyle w:val="GTRnormal"/>
              <w:tabs>
                <w:tab w:val="clear" w:pos="540"/>
                <w:tab w:val="left" w:pos="612"/>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Type</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Software / version</w:t>
            </w:r>
          </w:p>
        </w:tc>
        <w:tc>
          <w:tcPr>
            <w:tcW w:w="2409" w:type="dxa"/>
            <w:tcBorders>
              <w:bottom w:val="nil"/>
            </w:tcBorders>
          </w:tcPr>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6096" w:type="dxa"/>
            <w:tcBorders>
              <w:top w:val="single" w:sz="4" w:space="0" w:color="auto"/>
            </w:tcBorders>
          </w:tcPr>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i/>
                <w:szCs w:val="20"/>
              </w:rPr>
            </w:pPr>
            <w:r w:rsidRPr="00B04DC3">
              <w:rPr>
                <w:rFonts w:ascii="Times New Roman" w:hAnsi="Times New Roman" w:cs="Times New Roman"/>
                <w:bCs/>
                <w:i/>
                <w:szCs w:val="20"/>
              </w:rPr>
              <w:t>Test information</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Ambient testing conditions (temperature, humidity, pressure)</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Place of test (incl. altitude)</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Reference fuel</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Engine lubricating oil</w:t>
            </w:r>
          </w:p>
          <w:p w:rsidR="00AF2027" w:rsidRPr="00B04DC3" w:rsidRDefault="00AF2027" w:rsidP="00AF2027">
            <w:pPr>
              <w:pStyle w:val="GTRnormal"/>
              <w:tabs>
                <w:tab w:val="clear" w:pos="540"/>
              </w:tabs>
              <w:spacing w:before="80" w:after="80" w:line="240" w:lineRule="atLeast"/>
              <w:ind w:left="175" w:right="176" w:firstLine="0"/>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Date of test</w:t>
            </w:r>
          </w:p>
        </w:tc>
        <w:tc>
          <w:tcPr>
            <w:tcW w:w="2409" w:type="dxa"/>
            <w:tcBorders>
              <w:top w:val="nil"/>
            </w:tcBorders>
          </w:tcPr>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s>
              <w:spacing w:before="80" w:after="80" w:line="240" w:lineRule="atLeast"/>
              <w:ind w:left="0" w:right="141" w:firstLine="0"/>
              <w:jc w:val="center"/>
              <w:rPr>
                <w:rFonts w:ascii="Times New Roman" w:hAnsi="Times New Roman" w:cs="Times New Roman"/>
                <w:bCs/>
                <w:szCs w:val="20"/>
              </w:rPr>
            </w:pPr>
            <w:r w:rsidRPr="00B04DC3">
              <w:rPr>
                <w:rFonts w:ascii="Times New Roman" w:hAnsi="Times New Roman" w:cs="Times New Roman"/>
                <w:bCs/>
                <w:szCs w:val="20"/>
              </w:rPr>
              <w:t>. . . .</w:t>
            </w:r>
          </w:p>
        </w:tc>
      </w:tr>
    </w:tbl>
    <w:p w:rsidR="00AF2027" w:rsidRPr="00B04DC3" w:rsidRDefault="00AF2027" w:rsidP="00512988">
      <w:pPr>
        <w:pStyle w:val="para"/>
        <w:spacing w:before="240"/>
        <w:rPr>
          <w:lang w:val="en-GB"/>
        </w:rPr>
      </w:pPr>
      <w:r w:rsidRPr="00B04DC3">
        <w:rPr>
          <w:lang w:val="en-GB"/>
        </w:rPr>
        <w:t>2.</w:t>
      </w:r>
      <w:r w:rsidRPr="00B04DC3">
        <w:rPr>
          <w:lang w:val="en-GB"/>
        </w:rPr>
        <w:tab/>
        <w:t>Demonstration tests of the installation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460"/>
      </w:tblGrid>
      <w:tr w:rsidR="00AF2027" w:rsidRPr="00B04DC3">
        <w:tc>
          <w:tcPr>
            <w:tcW w:w="6045" w:type="dxa"/>
          </w:tcPr>
          <w:p w:rsidR="00AF2027" w:rsidRPr="00B04DC3" w:rsidRDefault="00AF2027" w:rsidP="00AF2027">
            <w:pPr>
              <w:pStyle w:val="GTRnormal"/>
              <w:tabs>
                <w:tab w:val="clear" w:pos="540"/>
              </w:tabs>
              <w:spacing w:before="80" w:after="80" w:line="240" w:lineRule="atLeast"/>
              <w:ind w:left="168" w:right="176" w:firstLine="7"/>
              <w:jc w:val="both"/>
              <w:rPr>
                <w:rFonts w:ascii="Times New Roman" w:hAnsi="Times New Roman" w:cs="Times New Roman"/>
                <w:bCs/>
                <w:szCs w:val="20"/>
              </w:rPr>
            </w:pPr>
            <w:r w:rsidRPr="00B04DC3">
              <w:rPr>
                <w:rFonts w:ascii="Times New Roman" w:hAnsi="Times New Roman" w:cs="Times New Roman"/>
                <w:bCs/>
                <w:szCs w:val="20"/>
              </w:rPr>
              <w:t>In addition to the demonstration of the OBD system / emission OBD family, the installation of the OBD system / of the OBD systems within the emission OBD family has been tested on a vehicle, according to the provisions of Appendix 1 of the referenced annex</w:t>
            </w:r>
          </w:p>
        </w:tc>
        <w:tc>
          <w:tcPr>
            <w:tcW w:w="2460" w:type="dxa"/>
          </w:tcPr>
          <w:p w:rsidR="00AF2027" w:rsidRPr="00B04DC3" w:rsidRDefault="00AF2027" w:rsidP="00AF2027">
            <w:pPr>
              <w:pStyle w:val="GTRnormal"/>
              <w:tabs>
                <w:tab w:val="clear" w:pos="540"/>
              </w:tabs>
              <w:spacing w:before="80" w:after="80" w:line="240" w:lineRule="atLeast"/>
              <w:ind w:left="612" w:right="176" w:hanging="437"/>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512988" w:rsidRPr="00B04DC3" w:rsidRDefault="00512988" w:rsidP="00AF2027">
      <w:pPr>
        <w:pStyle w:val="para"/>
        <w:spacing w:before="240"/>
        <w:rPr>
          <w:lang w:val="en-GB"/>
        </w:rPr>
      </w:pPr>
    </w:p>
    <w:p w:rsidR="00AF2027" w:rsidRPr="00B04DC3" w:rsidRDefault="00512988" w:rsidP="00AF2027">
      <w:pPr>
        <w:pStyle w:val="para"/>
        <w:spacing w:before="240"/>
        <w:rPr>
          <w:lang w:val="en-GB"/>
        </w:rPr>
      </w:pPr>
      <w:r w:rsidRPr="00B04DC3">
        <w:rPr>
          <w:lang w:val="en-GB"/>
        </w:rPr>
        <w:br w:type="page"/>
      </w:r>
      <w:r w:rsidR="00AF2027" w:rsidRPr="00B04DC3">
        <w:rPr>
          <w:lang w:val="en-GB"/>
        </w:rPr>
        <w:t>2.1.</w:t>
      </w:r>
      <w:r w:rsidR="00AF2027" w:rsidRPr="00B04DC3">
        <w:rPr>
          <w:lang w:val="en-GB"/>
        </w:rPr>
        <w:tab/>
        <w:t>Test result of the installation of the OBD system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2461"/>
      </w:tblGrid>
      <w:tr w:rsidR="00AF2027" w:rsidRPr="00B04DC3">
        <w:tc>
          <w:tcPr>
            <w:tcW w:w="6044" w:type="dxa"/>
          </w:tcPr>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Results of the test</w:t>
            </w:r>
          </w:p>
          <w:p w:rsidR="00AF2027" w:rsidRPr="00B04DC3" w:rsidRDefault="00AF2027" w:rsidP="00AF2027">
            <w:pPr>
              <w:pStyle w:val="GTRnormal"/>
              <w:tabs>
                <w:tab w:val="clear" w:pos="540"/>
              </w:tabs>
              <w:spacing w:before="80" w:after="80" w:line="240" w:lineRule="atLeast"/>
              <w:ind w:left="168" w:right="176" w:firstLine="7"/>
              <w:jc w:val="both"/>
              <w:rPr>
                <w:rFonts w:ascii="Times New Roman" w:hAnsi="Times New Roman" w:cs="Times New Roman"/>
                <w:bCs/>
                <w:szCs w:val="20"/>
              </w:rPr>
            </w:pPr>
            <w:r w:rsidRPr="00B04DC3">
              <w:rPr>
                <w:rFonts w:ascii="Times New Roman" w:hAnsi="Times New Roman" w:cs="Times New Roman"/>
                <w:bCs/>
                <w:szCs w:val="20"/>
              </w:rPr>
              <w:t>If the installation of the OBD system has been tested on a vehicle, the installation of the OBD system has been tested with success according to Appendix 1 to the referenced annex</w:t>
            </w:r>
          </w:p>
        </w:tc>
        <w:tc>
          <w:tcPr>
            <w:tcW w:w="2461" w:type="dxa"/>
          </w:tcPr>
          <w:p w:rsidR="009469BB" w:rsidRDefault="009469BB" w:rsidP="00AF2027">
            <w:pPr>
              <w:pStyle w:val="GTRnormal"/>
              <w:tabs>
                <w:tab w:val="clear" w:pos="540"/>
              </w:tabs>
              <w:spacing w:before="80" w:after="80" w:line="240" w:lineRule="atLeast"/>
              <w:ind w:left="612" w:right="176" w:hanging="437"/>
              <w:jc w:val="center"/>
              <w:rPr>
                <w:rFonts w:ascii="Times New Roman" w:hAnsi="Times New Roman" w:cs="Times New Roman"/>
                <w:bCs/>
                <w:szCs w:val="20"/>
              </w:rPr>
            </w:pPr>
          </w:p>
          <w:p w:rsidR="00AF2027" w:rsidRPr="00B04DC3" w:rsidRDefault="00AF2027" w:rsidP="00AF2027">
            <w:pPr>
              <w:pStyle w:val="GTRnormal"/>
              <w:tabs>
                <w:tab w:val="clear" w:pos="540"/>
              </w:tabs>
              <w:spacing w:before="80" w:after="80" w:line="240" w:lineRule="atLeast"/>
              <w:ind w:left="612" w:right="176" w:hanging="437"/>
              <w:jc w:val="center"/>
              <w:rPr>
                <w:rFonts w:ascii="Times New Roman" w:hAnsi="Times New Roman" w:cs="Times New Roman"/>
                <w:bCs/>
                <w:szCs w:val="20"/>
              </w:rPr>
            </w:pPr>
            <w:r w:rsidRPr="00B04DC3">
              <w:rPr>
                <w:rFonts w:ascii="Times New Roman" w:hAnsi="Times New Roman" w:cs="Times New Roman"/>
                <w:bCs/>
                <w:szCs w:val="20"/>
              </w:rPr>
              <w:t>YES / NO</w:t>
            </w:r>
          </w:p>
        </w:tc>
      </w:tr>
    </w:tbl>
    <w:p w:rsidR="00AF2027" w:rsidRPr="00B04DC3" w:rsidRDefault="00AF2027" w:rsidP="00AF2027">
      <w:pPr>
        <w:pStyle w:val="para"/>
        <w:spacing w:before="240"/>
        <w:rPr>
          <w:lang w:val="en-GB"/>
        </w:rPr>
      </w:pPr>
      <w:r w:rsidRPr="00B04DC3">
        <w:rPr>
          <w:lang w:val="en-GB"/>
        </w:rPr>
        <w:t>2.2.</w:t>
      </w:r>
      <w:r w:rsidRPr="00B04DC3">
        <w:rPr>
          <w:lang w:val="en-GB"/>
        </w:rPr>
        <w:tab/>
        <w:t>Tested installation</w:t>
      </w:r>
    </w:p>
    <w:p w:rsidR="00AF2027" w:rsidRPr="00B04DC3" w:rsidRDefault="00AF2027" w:rsidP="00AF2027">
      <w:pPr>
        <w:pStyle w:val="para"/>
        <w:rPr>
          <w:lang w:val="en-GB"/>
        </w:rPr>
      </w:pPr>
      <w:r w:rsidRPr="00B04DC3">
        <w:rPr>
          <w:lang w:val="en-GB"/>
        </w:rPr>
        <w:t>If the installation of the OBD system has been tested on a vehicle:</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32"/>
        <w:gridCol w:w="2273"/>
      </w:tblGrid>
      <w:tr w:rsidR="00AF2027" w:rsidRPr="00B04DC3">
        <w:tc>
          <w:tcPr>
            <w:tcW w:w="6735" w:type="dxa"/>
            <w:tcBorders>
              <w:bottom w:val="single" w:sz="4" w:space="0" w:color="auto"/>
            </w:tcBorders>
          </w:tcPr>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Tested vehicle</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Vehicle name (manufacturer and commercial names)</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Vehicle type</w:t>
            </w:r>
          </w:p>
          <w:p w:rsidR="00AF2027" w:rsidRPr="00B04DC3" w:rsidRDefault="00AF2027" w:rsidP="00AF2027">
            <w:pPr>
              <w:pStyle w:val="GTRnormal"/>
              <w:tabs>
                <w:tab w:val="clear" w:pos="540"/>
                <w:tab w:val="left" w:pos="601"/>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Vehicle Identification Number (VIN)</w:t>
            </w:r>
          </w:p>
        </w:tc>
        <w:tc>
          <w:tcPr>
            <w:tcW w:w="2480" w:type="dxa"/>
          </w:tcPr>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 w:val="left" w:pos="2089"/>
              </w:tabs>
              <w:spacing w:before="80" w:after="80" w:line="240" w:lineRule="atLeast"/>
              <w:ind w:left="612" w:right="176" w:hanging="437"/>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6735" w:type="dxa"/>
            <w:tcBorders>
              <w:top w:val="single" w:sz="4" w:space="0" w:color="auto"/>
              <w:bottom w:val="single" w:sz="4" w:space="0" w:color="auto"/>
            </w:tcBorders>
          </w:tcPr>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Diagnostic tool (scan tool used for testing)</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Manufacturer</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Type</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Software / version</w:t>
            </w:r>
          </w:p>
        </w:tc>
        <w:tc>
          <w:tcPr>
            <w:tcW w:w="2480" w:type="dxa"/>
          </w:tcPr>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w:t>
            </w: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 .</w:t>
            </w: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 .</w:t>
            </w:r>
          </w:p>
        </w:tc>
      </w:tr>
      <w:tr w:rsidR="00AF2027" w:rsidRPr="00B04DC3">
        <w:tc>
          <w:tcPr>
            <w:tcW w:w="6735" w:type="dxa"/>
            <w:tcBorders>
              <w:top w:val="single" w:sz="4" w:space="0" w:color="auto"/>
              <w:bottom w:val="single" w:sz="4" w:space="0" w:color="auto"/>
            </w:tcBorders>
          </w:tcPr>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i/>
                <w:szCs w:val="20"/>
              </w:rPr>
            </w:pPr>
            <w:r w:rsidRPr="00B04DC3">
              <w:rPr>
                <w:rFonts w:ascii="Times New Roman" w:hAnsi="Times New Roman" w:cs="Times New Roman"/>
                <w:bCs/>
                <w:i/>
                <w:szCs w:val="20"/>
              </w:rPr>
              <w:t>Test information</w:t>
            </w:r>
          </w:p>
          <w:p w:rsidR="00AF2027" w:rsidRPr="00B04DC3" w:rsidRDefault="00AF2027" w:rsidP="00AF2027">
            <w:pPr>
              <w:pStyle w:val="GTRnormal"/>
              <w:tabs>
                <w:tab w:val="clear" w:pos="540"/>
              </w:tabs>
              <w:spacing w:before="80" w:after="80" w:line="240" w:lineRule="atLeast"/>
              <w:ind w:left="612" w:right="176" w:hanging="437"/>
              <w:jc w:val="both"/>
              <w:rPr>
                <w:rFonts w:ascii="Times New Roman" w:hAnsi="Times New Roman" w:cs="Times New Roman"/>
                <w:bCs/>
                <w:szCs w:val="20"/>
              </w:rPr>
            </w:pPr>
            <w:r w:rsidRPr="00B04DC3">
              <w:rPr>
                <w:rFonts w:ascii="Times New Roman" w:hAnsi="Times New Roman" w:cs="Times New Roman"/>
                <w:bCs/>
                <w:szCs w:val="20"/>
              </w:rPr>
              <w:t>-</w:t>
            </w:r>
            <w:r w:rsidRPr="00B04DC3">
              <w:rPr>
                <w:rFonts w:ascii="Times New Roman" w:hAnsi="Times New Roman" w:cs="Times New Roman"/>
                <w:bCs/>
                <w:szCs w:val="20"/>
              </w:rPr>
              <w:tab/>
              <w:t>Place and date</w:t>
            </w:r>
          </w:p>
        </w:tc>
        <w:tc>
          <w:tcPr>
            <w:tcW w:w="2480" w:type="dxa"/>
          </w:tcPr>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p>
          <w:p w:rsidR="00AF2027" w:rsidRPr="00B04DC3" w:rsidRDefault="00AF2027" w:rsidP="00AF2027">
            <w:pPr>
              <w:pStyle w:val="GTRnormal"/>
              <w:tabs>
                <w:tab w:val="clear" w:pos="540"/>
                <w:tab w:val="left" w:pos="2089"/>
              </w:tabs>
              <w:spacing w:before="80" w:after="80" w:line="240" w:lineRule="atLeast"/>
              <w:ind w:left="612" w:right="177" w:hanging="437"/>
              <w:jc w:val="center"/>
              <w:rPr>
                <w:rFonts w:ascii="Times New Roman" w:hAnsi="Times New Roman" w:cs="Times New Roman"/>
                <w:bCs/>
                <w:szCs w:val="20"/>
              </w:rPr>
            </w:pPr>
            <w:r w:rsidRPr="00B04DC3">
              <w:rPr>
                <w:rFonts w:ascii="Times New Roman" w:hAnsi="Times New Roman" w:cs="Times New Roman"/>
                <w:bCs/>
                <w:szCs w:val="20"/>
              </w:rPr>
              <w:t>. . . .</w:t>
            </w:r>
          </w:p>
        </w:tc>
      </w:tr>
    </w:tbl>
    <w:p w:rsidR="00AF2027" w:rsidRPr="00B04DC3" w:rsidRDefault="00AF2027" w:rsidP="00AF2027">
      <w:pPr>
        <w:pStyle w:val="GTRnormal"/>
        <w:tabs>
          <w:tab w:val="clear" w:pos="540"/>
        </w:tabs>
        <w:ind w:left="0" w:firstLine="0"/>
        <w:jc w:val="both"/>
        <w:rPr>
          <w:rFonts w:ascii="Times New Roman" w:hAnsi="Times New Roman" w:cs="Times New Roman"/>
          <w:sz w:val="24"/>
        </w:rPr>
      </w:pPr>
    </w:p>
    <w:p w:rsidR="00AF2027" w:rsidRPr="00B04DC3" w:rsidRDefault="00AF2027" w:rsidP="00AF2027">
      <w:pPr>
        <w:pStyle w:val="GTRnormal"/>
        <w:numPr>
          <w:ilvl w:val="0"/>
          <w:numId w:val="12"/>
        </w:numPr>
        <w:ind w:left="0" w:firstLine="0"/>
        <w:jc w:val="both"/>
        <w:rPr>
          <w:rFonts w:ascii="Times New Roman" w:hAnsi="Times New Roman" w:cs="Times New Roman"/>
          <w:sz w:val="24"/>
        </w:rPr>
        <w:sectPr w:rsidR="00AF2027" w:rsidRPr="00B04DC3" w:rsidSect="00AF2027">
          <w:headerReference w:type="even" r:id="rId686"/>
          <w:headerReference w:type="default" r:id="rId687"/>
          <w:footnotePr>
            <w:numRestart w:val="eachSect"/>
          </w:footnotePr>
          <w:endnotePr>
            <w:numFmt w:val="decimal"/>
          </w:endnotePr>
          <w:type w:val="nextColumn"/>
          <w:pgSz w:w="11907" w:h="16840" w:code="9"/>
          <w:pgMar w:top="1701" w:right="1134" w:bottom="2268" w:left="1134" w:header="851" w:footer="1701" w:gutter="0"/>
          <w:cols w:space="720"/>
        </w:sectPr>
      </w:pPr>
    </w:p>
    <w:p w:rsidR="00AF2027" w:rsidRPr="009469BB" w:rsidRDefault="00AF2027" w:rsidP="00AF2027">
      <w:pPr>
        <w:pStyle w:val="para"/>
        <w:rPr>
          <w:lang w:val="en-GB" w:eastAsia="de-DE"/>
        </w:rPr>
      </w:pPr>
      <w:r w:rsidRPr="009469BB">
        <w:rPr>
          <w:lang w:val="en-GB" w:eastAsia="de-DE"/>
        </w:rPr>
        <w:t>Item 5 to the technical compliance report (example)</w:t>
      </w:r>
    </w:p>
    <w:p w:rsidR="00AF2027" w:rsidRPr="00B04DC3" w:rsidRDefault="00A905B7" w:rsidP="00AF2027">
      <w:pPr>
        <w:pStyle w:val="para"/>
        <w:rPr>
          <w:lang w:val="en-GB"/>
        </w:rPr>
      </w:pPr>
      <w:r>
        <w:rPr>
          <w:noProof/>
          <w:lang w:val="en-GB"/>
        </w:rPr>
        <w:pict>
          <v:rect id="_x0000_s5584" style="position:absolute;left:0;text-align:left;margin-left:37.35pt;margin-top:325.3pt;width:81pt;height:9pt;z-index:251607040" stroked="f"/>
        </w:pict>
      </w:r>
      <w:r>
        <w:rPr>
          <w:noProof/>
          <w:lang w:val="en-GB"/>
        </w:rPr>
        <w:pict>
          <v:shape id="_x0000_s5583" type="#_x0000_t202" style="position:absolute;left:0;text-align:left;margin-left:28.35pt;margin-top:298.3pt;width:36pt;height:18pt;z-index:251606016" stroked="f">
            <v:textbox>
              <w:txbxContent>
                <w:p w:rsidR="00A905B7" w:rsidRDefault="00A905B7"/>
              </w:txbxContent>
            </v:textbox>
          </v:shape>
        </w:pict>
      </w:r>
      <w:r>
        <w:rPr>
          <w:noProof/>
          <w:lang w:val="en-GB"/>
        </w:rPr>
        <w:pict>
          <v:shape id="_x0000_s5582" type="#_x0000_t75" style="position:absolute;left:0;text-align:left;margin-left:10.35pt;margin-top:19.3pt;width:680.55pt;height:373.55pt;z-index:251604992">
            <v:imagedata r:id="rId688" o:title=""/>
            <w10:wrap type="square" side="right"/>
          </v:shape>
          <o:OLEObject Type="Embed" ProgID="Word.Picture.8" ShapeID="_x0000_s5582" DrawAspect="Content" ObjectID="_1498392432" r:id="rId689"/>
        </w:pict>
      </w:r>
      <w:r w:rsidR="00AF2027" w:rsidRPr="00B04DC3">
        <w:rPr>
          <w:noProof/>
          <w:lang w:val="en-GB"/>
        </w:rPr>
        <w:t>Test protocol</w:t>
      </w:r>
    </w:p>
    <w:p w:rsidR="00FF1261" w:rsidRPr="00B04DC3" w:rsidRDefault="00FF1261" w:rsidP="00AF2027">
      <w:pPr>
        <w:pStyle w:val="GTRnormal"/>
        <w:tabs>
          <w:tab w:val="clear" w:pos="540"/>
          <w:tab w:val="left" w:pos="851"/>
          <w:tab w:val="left" w:pos="3119"/>
          <w:tab w:val="left" w:pos="10490"/>
        </w:tabs>
        <w:ind w:left="0" w:firstLine="0"/>
        <w:rPr>
          <w:rFonts w:ascii="Times New Roman" w:hAnsi="Times New Roman" w:cs="Times New Roman"/>
          <w:color w:val="0000FF"/>
          <w:sz w:val="24"/>
        </w:rPr>
      </w:pPr>
    </w:p>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 w:rsidR="00FF1261" w:rsidRPr="00B04DC3" w:rsidRDefault="00FF1261" w:rsidP="00FF1261">
      <w:pPr>
        <w:tabs>
          <w:tab w:val="left" w:pos="440"/>
        </w:tabs>
      </w:pPr>
      <w:r w:rsidRPr="00B04DC3">
        <w:tab/>
      </w:r>
    </w:p>
    <w:p w:rsidR="00FF1261" w:rsidRPr="00B04DC3" w:rsidRDefault="00FF1261" w:rsidP="00FF1261"/>
    <w:p w:rsidR="00AF2027" w:rsidRPr="00B04DC3" w:rsidRDefault="00AF2027" w:rsidP="00FF1261">
      <w:pPr>
        <w:sectPr w:rsidR="00AF2027" w:rsidRPr="00B04DC3" w:rsidSect="00FF1261">
          <w:headerReference w:type="even" r:id="rId690"/>
          <w:headerReference w:type="default" r:id="rId691"/>
          <w:footerReference w:type="even" r:id="rId692"/>
          <w:footerReference w:type="default" r:id="rId693"/>
          <w:headerReference w:type="first" r:id="rId694"/>
          <w:footerReference w:type="first" r:id="rId695"/>
          <w:footnotePr>
            <w:numRestart w:val="eachSect"/>
          </w:footnotePr>
          <w:endnotePr>
            <w:numFmt w:val="decimal"/>
          </w:endnotePr>
          <w:type w:val="nextColumn"/>
          <w:pgSz w:w="16840" w:h="11907" w:orient="landscape" w:code="9"/>
          <w:pgMar w:top="-1418" w:right="1134" w:bottom="1258" w:left="1134" w:header="851" w:footer="1701" w:gutter="0"/>
          <w:cols w:space="720"/>
        </w:sectPr>
      </w:pPr>
    </w:p>
    <w:p w:rsidR="00AF2027" w:rsidRPr="00B04DC3" w:rsidRDefault="00AF2027" w:rsidP="00AF2027">
      <w:pPr>
        <w:pStyle w:val="HChG"/>
      </w:pPr>
      <w:bookmarkStart w:id="1095" w:name="_Toc423599698"/>
      <w:bookmarkStart w:id="1096" w:name="_Toc423611106"/>
      <w:r w:rsidRPr="00B04DC3">
        <w:t>Annex 9B</w:t>
      </w:r>
      <w:r w:rsidR="00D53851">
        <w:t xml:space="preserve"> - </w:t>
      </w:r>
      <w:r w:rsidRPr="00B04DC3">
        <w:t>Appendix 5</w:t>
      </w:r>
      <w:bookmarkEnd w:id="1095"/>
      <w:bookmarkEnd w:id="1096"/>
    </w:p>
    <w:p w:rsidR="00AF2027" w:rsidRPr="00B04DC3" w:rsidRDefault="00AF2027" w:rsidP="009469BB">
      <w:pPr>
        <w:pStyle w:val="HChG"/>
        <w:spacing w:after="360"/>
      </w:pPr>
      <w:r w:rsidRPr="00B04DC3">
        <w:rPr>
          <w:caps/>
        </w:rPr>
        <w:tab/>
      </w:r>
      <w:r w:rsidRPr="00B04DC3">
        <w:tab/>
      </w:r>
      <w:bookmarkStart w:id="1097" w:name="_Toc423599699"/>
      <w:bookmarkStart w:id="1098" w:name="_Toc423611107"/>
      <w:r w:rsidRPr="00B04DC3">
        <w:t>Freeze frame and data stream information</w:t>
      </w:r>
      <w:bookmarkEnd w:id="1097"/>
      <w:bookmarkEnd w:id="1098"/>
    </w:p>
    <w:p w:rsidR="00AF2027" w:rsidRPr="00B04DC3" w:rsidRDefault="00AF2027" w:rsidP="00AF2027">
      <w:pPr>
        <w:pStyle w:val="para"/>
        <w:ind w:firstLine="0"/>
        <w:rPr>
          <w:lang w:val="en-GB"/>
        </w:rPr>
      </w:pPr>
      <w:r w:rsidRPr="00B04DC3">
        <w:rPr>
          <w:lang w:val="en-GB"/>
        </w:rPr>
        <w:t>The following tables list the pieces of information that are considered in paragraphs 4.7.1.4. and 4.7.2. of this annex.</w:t>
      </w:r>
    </w:p>
    <w:p w:rsidR="00AF2027" w:rsidRPr="00B04DC3" w:rsidRDefault="00AF2027" w:rsidP="00AF2027">
      <w:pPr>
        <w:pStyle w:val="Heading1"/>
      </w:pPr>
      <w:bookmarkStart w:id="1099" w:name="_Toc399940117"/>
      <w:bookmarkStart w:id="1100" w:name="_Toc423599700"/>
      <w:bookmarkStart w:id="1101" w:name="_Toc423611108"/>
      <w:r w:rsidRPr="00B04DC3">
        <w:t>Table 1</w:t>
      </w:r>
      <w:bookmarkEnd w:id="1099"/>
      <w:bookmarkEnd w:id="1100"/>
      <w:bookmarkEnd w:id="1101"/>
    </w:p>
    <w:p w:rsidR="00AF2027" w:rsidRPr="00B04DC3" w:rsidRDefault="00AF2027" w:rsidP="00AF2027">
      <w:pPr>
        <w:pStyle w:val="Heading1"/>
        <w:rPr>
          <w:rFonts w:cs="Courier New"/>
          <w:b/>
          <w:bCs/>
        </w:rPr>
      </w:pPr>
      <w:bookmarkStart w:id="1102" w:name="_Toc399940118"/>
      <w:bookmarkStart w:id="1103" w:name="_Toc423599701"/>
      <w:bookmarkStart w:id="1104" w:name="_Toc423611109"/>
      <w:r w:rsidRPr="00B04DC3">
        <w:rPr>
          <w:b/>
        </w:rPr>
        <w:t>Mandatory requirements</w:t>
      </w:r>
      <w:bookmarkEnd w:id="1102"/>
      <w:bookmarkEnd w:id="1103"/>
      <w:bookmarkEnd w:id="1104"/>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509"/>
        <w:gridCol w:w="1609"/>
      </w:tblGrid>
      <w:tr w:rsidR="00AF2027" w:rsidRPr="00B04DC3" w:rsidTr="00D53851">
        <w:trPr>
          <w:trHeight w:val="373"/>
        </w:trPr>
        <w:tc>
          <w:tcPr>
            <w:tcW w:w="6228" w:type="dxa"/>
            <w:tcBorders>
              <w:bottom w:val="single" w:sz="12" w:space="0" w:color="auto"/>
            </w:tcBorders>
          </w:tcPr>
          <w:p w:rsidR="00AF2027" w:rsidRPr="00B04DC3" w:rsidRDefault="00AF2027" w:rsidP="00AF2027">
            <w:pPr>
              <w:spacing w:before="80" w:after="80"/>
            </w:pPr>
          </w:p>
        </w:tc>
        <w:tc>
          <w:tcPr>
            <w:tcW w:w="1680" w:type="dxa"/>
            <w:tcBorders>
              <w:bottom w:val="single" w:sz="12" w:space="0" w:color="auto"/>
            </w:tcBorders>
          </w:tcPr>
          <w:p w:rsidR="00AF2027" w:rsidRPr="00B04DC3" w:rsidRDefault="00AF2027" w:rsidP="00AF2027">
            <w:pPr>
              <w:spacing w:before="80" w:after="80"/>
              <w:jc w:val="center"/>
              <w:rPr>
                <w:i/>
                <w:sz w:val="16"/>
                <w:szCs w:val="16"/>
              </w:rPr>
            </w:pPr>
            <w:r w:rsidRPr="00B04DC3">
              <w:rPr>
                <w:i/>
                <w:sz w:val="16"/>
                <w:szCs w:val="16"/>
              </w:rPr>
              <w:t>Freeze frame</w:t>
            </w:r>
          </w:p>
        </w:tc>
        <w:tc>
          <w:tcPr>
            <w:tcW w:w="1800" w:type="dxa"/>
            <w:tcBorders>
              <w:bottom w:val="single" w:sz="12" w:space="0" w:color="auto"/>
            </w:tcBorders>
          </w:tcPr>
          <w:p w:rsidR="00AF2027" w:rsidRPr="00B04DC3" w:rsidRDefault="00AF2027" w:rsidP="00AF2027">
            <w:pPr>
              <w:spacing w:before="80" w:after="80"/>
              <w:jc w:val="center"/>
              <w:rPr>
                <w:i/>
                <w:sz w:val="16"/>
                <w:szCs w:val="16"/>
              </w:rPr>
            </w:pPr>
            <w:r w:rsidRPr="00B04DC3">
              <w:rPr>
                <w:i/>
                <w:sz w:val="16"/>
                <w:szCs w:val="16"/>
              </w:rPr>
              <w:t>Data stream</w:t>
            </w:r>
          </w:p>
        </w:tc>
      </w:tr>
      <w:tr w:rsidR="00AF2027" w:rsidRPr="00B04DC3" w:rsidTr="00D53851">
        <w:trPr>
          <w:trHeight w:val="373"/>
        </w:trPr>
        <w:tc>
          <w:tcPr>
            <w:tcW w:w="6228" w:type="dxa"/>
            <w:tcBorders>
              <w:top w:val="single" w:sz="12" w:space="0" w:color="auto"/>
            </w:tcBorders>
          </w:tcPr>
          <w:p w:rsidR="00AF2027" w:rsidRPr="00B04DC3" w:rsidRDefault="00AF2027" w:rsidP="00D00E61">
            <w:pPr>
              <w:spacing w:before="40" w:after="40"/>
              <w:rPr>
                <w:bCs/>
              </w:rPr>
            </w:pPr>
            <w:r w:rsidRPr="00B04DC3">
              <w:rPr>
                <w:bCs/>
              </w:rPr>
              <w:t>Calculated load (engine torque as a percentage of maximum torque available at the current engine speed)</w:t>
            </w:r>
          </w:p>
        </w:tc>
        <w:tc>
          <w:tcPr>
            <w:tcW w:w="1680" w:type="dxa"/>
            <w:tcBorders>
              <w:top w:val="single" w:sz="12" w:space="0" w:color="auto"/>
            </w:tcBorders>
          </w:tcPr>
          <w:p w:rsidR="00AF2027" w:rsidRPr="00B04DC3" w:rsidRDefault="00AF2027" w:rsidP="00D00E61">
            <w:pPr>
              <w:spacing w:before="40" w:after="40"/>
              <w:jc w:val="center"/>
              <w:rPr>
                <w:bCs/>
              </w:rPr>
            </w:pPr>
            <w:r w:rsidRPr="00B04DC3">
              <w:rPr>
                <w:bCs/>
              </w:rPr>
              <w:t>x</w:t>
            </w:r>
          </w:p>
        </w:tc>
        <w:tc>
          <w:tcPr>
            <w:tcW w:w="1800" w:type="dxa"/>
            <w:tcBorders>
              <w:top w:val="single" w:sz="12" w:space="0" w:color="auto"/>
            </w:tcBorders>
          </w:tcPr>
          <w:p w:rsidR="00AF2027" w:rsidRPr="00B04DC3" w:rsidRDefault="00AF2027" w:rsidP="00D00E61">
            <w:pPr>
              <w:spacing w:before="40" w:after="40"/>
              <w:jc w:val="center"/>
              <w:rPr>
                <w:bCs/>
              </w:rPr>
            </w:pPr>
            <w:r w:rsidRPr="00B04DC3">
              <w:rPr>
                <w:bCs/>
              </w:rPr>
              <w:t>x</w:t>
            </w:r>
          </w:p>
        </w:tc>
      </w:tr>
      <w:tr w:rsidR="00AF2027" w:rsidRPr="00B04DC3">
        <w:trPr>
          <w:trHeight w:val="373"/>
        </w:trPr>
        <w:tc>
          <w:tcPr>
            <w:tcW w:w="6228" w:type="dxa"/>
          </w:tcPr>
          <w:p w:rsidR="00AF2027" w:rsidRPr="00B04DC3" w:rsidRDefault="00AF2027" w:rsidP="00D00E61">
            <w:pPr>
              <w:spacing w:before="40" w:after="40"/>
              <w:rPr>
                <w:bCs/>
              </w:rPr>
            </w:pPr>
            <w:r w:rsidRPr="00B04DC3">
              <w:rPr>
                <w:bCs/>
              </w:rPr>
              <w:t>Engine speed</w:t>
            </w:r>
          </w:p>
        </w:tc>
        <w:tc>
          <w:tcPr>
            <w:tcW w:w="1680" w:type="dxa"/>
          </w:tcPr>
          <w:p w:rsidR="00AF2027" w:rsidRPr="00B04DC3" w:rsidRDefault="00AF2027" w:rsidP="00D00E61">
            <w:pPr>
              <w:spacing w:before="40" w:after="40"/>
              <w:jc w:val="center"/>
              <w:rPr>
                <w:bCs/>
              </w:rPr>
            </w:pPr>
            <w:r w:rsidRPr="00B04DC3">
              <w:rPr>
                <w:bCs/>
              </w:rPr>
              <w:t>x</w:t>
            </w:r>
          </w:p>
        </w:tc>
        <w:tc>
          <w:tcPr>
            <w:tcW w:w="1800" w:type="dxa"/>
          </w:tcPr>
          <w:p w:rsidR="00AF2027" w:rsidRPr="00B04DC3" w:rsidRDefault="00AF2027" w:rsidP="00D00E61">
            <w:pPr>
              <w:spacing w:before="40" w:after="40"/>
              <w:jc w:val="center"/>
              <w:rPr>
                <w:bCs/>
              </w:rPr>
            </w:pPr>
            <w:r w:rsidRPr="00B04DC3">
              <w:rPr>
                <w:bCs/>
              </w:rPr>
              <w:t>x</w:t>
            </w:r>
          </w:p>
        </w:tc>
      </w:tr>
      <w:tr w:rsidR="00AF2027" w:rsidRPr="00B04DC3">
        <w:trPr>
          <w:trHeight w:val="373"/>
        </w:trPr>
        <w:tc>
          <w:tcPr>
            <w:tcW w:w="6228" w:type="dxa"/>
          </w:tcPr>
          <w:p w:rsidR="00AF2027" w:rsidRPr="00B04DC3" w:rsidRDefault="00AF2027" w:rsidP="00D00E61">
            <w:pPr>
              <w:spacing w:before="40" w:after="40"/>
              <w:rPr>
                <w:bCs/>
              </w:rPr>
            </w:pPr>
            <w:r w:rsidRPr="00B04DC3">
              <w:rPr>
                <w:bCs/>
              </w:rPr>
              <w:t>Engine coolant temperature (or equivalent)</w:t>
            </w:r>
          </w:p>
        </w:tc>
        <w:tc>
          <w:tcPr>
            <w:tcW w:w="1680" w:type="dxa"/>
          </w:tcPr>
          <w:p w:rsidR="00AF2027" w:rsidRPr="00B04DC3" w:rsidRDefault="00AF2027" w:rsidP="00D00E61">
            <w:pPr>
              <w:spacing w:before="40" w:after="40"/>
              <w:jc w:val="center"/>
              <w:rPr>
                <w:bCs/>
              </w:rPr>
            </w:pPr>
            <w:r w:rsidRPr="00B04DC3">
              <w:rPr>
                <w:bCs/>
              </w:rPr>
              <w:t>x</w:t>
            </w:r>
          </w:p>
        </w:tc>
        <w:tc>
          <w:tcPr>
            <w:tcW w:w="1800" w:type="dxa"/>
          </w:tcPr>
          <w:p w:rsidR="00AF2027" w:rsidRPr="00B04DC3" w:rsidRDefault="00AF2027" w:rsidP="00D00E61">
            <w:pPr>
              <w:spacing w:before="40" w:after="40"/>
              <w:jc w:val="center"/>
              <w:rPr>
                <w:bCs/>
              </w:rPr>
            </w:pPr>
            <w:r w:rsidRPr="00B04DC3">
              <w:rPr>
                <w:bCs/>
              </w:rPr>
              <w:t>x</w:t>
            </w:r>
          </w:p>
        </w:tc>
      </w:tr>
      <w:tr w:rsidR="00AF2027" w:rsidRPr="00B04DC3" w:rsidTr="00D53851">
        <w:tc>
          <w:tcPr>
            <w:tcW w:w="6228" w:type="dxa"/>
            <w:tcBorders>
              <w:bottom w:val="single" w:sz="12" w:space="0" w:color="auto"/>
            </w:tcBorders>
          </w:tcPr>
          <w:p w:rsidR="00AF2027" w:rsidRPr="00B04DC3" w:rsidRDefault="00AF2027" w:rsidP="00D00E61">
            <w:pPr>
              <w:spacing w:before="40" w:after="40"/>
              <w:rPr>
                <w:bCs/>
              </w:rPr>
            </w:pPr>
            <w:r w:rsidRPr="00B04DC3">
              <w:rPr>
                <w:bCs/>
              </w:rPr>
              <w:t>Barometric pressure (directly measured or estimated)</w:t>
            </w:r>
          </w:p>
        </w:tc>
        <w:tc>
          <w:tcPr>
            <w:tcW w:w="1680" w:type="dxa"/>
            <w:tcBorders>
              <w:bottom w:val="single" w:sz="12" w:space="0" w:color="auto"/>
            </w:tcBorders>
          </w:tcPr>
          <w:p w:rsidR="00AF2027" w:rsidRPr="00B04DC3" w:rsidRDefault="00AF2027" w:rsidP="00D00E61">
            <w:pPr>
              <w:spacing w:before="40" w:after="40"/>
              <w:jc w:val="center"/>
              <w:rPr>
                <w:bCs/>
              </w:rPr>
            </w:pPr>
            <w:r w:rsidRPr="00B04DC3">
              <w:rPr>
                <w:bCs/>
              </w:rPr>
              <w:t>x</w:t>
            </w:r>
          </w:p>
        </w:tc>
        <w:tc>
          <w:tcPr>
            <w:tcW w:w="1800" w:type="dxa"/>
            <w:tcBorders>
              <w:bottom w:val="single" w:sz="12" w:space="0" w:color="auto"/>
            </w:tcBorders>
          </w:tcPr>
          <w:p w:rsidR="00AF2027" w:rsidRPr="00B04DC3" w:rsidRDefault="00AF2027" w:rsidP="00D00E61">
            <w:pPr>
              <w:spacing w:before="40" w:after="40"/>
              <w:jc w:val="center"/>
              <w:rPr>
                <w:bCs/>
              </w:rPr>
            </w:pPr>
            <w:r w:rsidRPr="00B04DC3">
              <w:rPr>
                <w:bCs/>
              </w:rPr>
              <w:t>x</w:t>
            </w:r>
          </w:p>
        </w:tc>
      </w:tr>
    </w:tbl>
    <w:p w:rsidR="00AF2027" w:rsidRPr="00B04DC3" w:rsidRDefault="00AF2027" w:rsidP="00AF2027">
      <w:pPr>
        <w:pStyle w:val="Heading1"/>
        <w:spacing w:before="240"/>
      </w:pPr>
      <w:bookmarkStart w:id="1105" w:name="_Toc399940119"/>
      <w:bookmarkStart w:id="1106" w:name="_Toc423599702"/>
      <w:bookmarkStart w:id="1107" w:name="_Toc423611110"/>
      <w:r w:rsidRPr="00B04DC3">
        <w:t>Table 2</w:t>
      </w:r>
      <w:bookmarkEnd w:id="1105"/>
      <w:bookmarkEnd w:id="1106"/>
      <w:bookmarkEnd w:id="1107"/>
    </w:p>
    <w:p w:rsidR="00AF2027" w:rsidRPr="00B04DC3" w:rsidRDefault="00AF2027" w:rsidP="00AF2027">
      <w:pPr>
        <w:pStyle w:val="Heading1"/>
        <w:rPr>
          <w:b/>
        </w:rPr>
      </w:pPr>
      <w:bookmarkStart w:id="1108" w:name="_Toc399940120"/>
      <w:bookmarkStart w:id="1109" w:name="_Toc423599703"/>
      <w:bookmarkStart w:id="1110" w:name="_Toc423611111"/>
      <w:r w:rsidRPr="00B04DC3">
        <w:rPr>
          <w:b/>
        </w:rPr>
        <w:t>Optional engine speed and load information</w:t>
      </w:r>
      <w:bookmarkEnd w:id="1108"/>
      <w:bookmarkEnd w:id="1109"/>
      <w:bookmarkEnd w:id="1110"/>
      <w:r w:rsidRPr="00B04DC3">
        <w:rPr>
          <w:b/>
        </w:rPr>
        <w:t xml:space="preserve">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1508"/>
        <w:gridCol w:w="1608"/>
      </w:tblGrid>
      <w:tr w:rsidR="00AF2027" w:rsidRPr="00B04DC3" w:rsidTr="00D53851">
        <w:tc>
          <w:tcPr>
            <w:tcW w:w="6228" w:type="dxa"/>
            <w:tcBorders>
              <w:bottom w:val="single" w:sz="12" w:space="0" w:color="auto"/>
            </w:tcBorders>
          </w:tcPr>
          <w:p w:rsidR="00AF2027" w:rsidRPr="00B04DC3" w:rsidRDefault="00AF2027" w:rsidP="00AF2027">
            <w:pPr>
              <w:spacing w:before="80" w:after="80"/>
              <w:jc w:val="center"/>
              <w:rPr>
                <w:i/>
                <w:sz w:val="16"/>
                <w:szCs w:val="16"/>
              </w:rPr>
            </w:pPr>
          </w:p>
        </w:tc>
        <w:tc>
          <w:tcPr>
            <w:tcW w:w="1680" w:type="dxa"/>
            <w:tcBorders>
              <w:bottom w:val="single" w:sz="12" w:space="0" w:color="auto"/>
            </w:tcBorders>
          </w:tcPr>
          <w:p w:rsidR="00AF2027" w:rsidRPr="00B04DC3" w:rsidRDefault="00AF2027" w:rsidP="00AF2027">
            <w:pPr>
              <w:spacing w:before="80" w:after="80"/>
              <w:jc w:val="center"/>
              <w:rPr>
                <w:i/>
                <w:sz w:val="16"/>
                <w:szCs w:val="16"/>
              </w:rPr>
            </w:pPr>
            <w:r w:rsidRPr="00B04DC3">
              <w:rPr>
                <w:i/>
                <w:sz w:val="16"/>
                <w:szCs w:val="16"/>
              </w:rPr>
              <w:t>Freeze frame</w:t>
            </w:r>
          </w:p>
        </w:tc>
        <w:tc>
          <w:tcPr>
            <w:tcW w:w="1800" w:type="dxa"/>
            <w:tcBorders>
              <w:bottom w:val="single" w:sz="12" w:space="0" w:color="auto"/>
            </w:tcBorders>
          </w:tcPr>
          <w:p w:rsidR="00AF2027" w:rsidRPr="00B04DC3" w:rsidRDefault="00AF2027" w:rsidP="00AF2027">
            <w:pPr>
              <w:spacing w:before="80" w:after="80"/>
              <w:jc w:val="center"/>
              <w:rPr>
                <w:i/>
                <w:sz w:val="16"/>
                <w:szCs w:val="16"/>
              </w:rPr>
            </w:pPr>
            <w:r w:rsidRPr="00B04DC3">
              <w:rPr>
                <w:i/>
                <w:sz w:val="16"/>
                <w:szCs w:val="16"/>
              </w:rPr>
              <w:t>Data stream</w:t>
            </w:r>
          </w:p>
        </w:tc>
      </w:tr>
      <w:tr w:rsidR="00AF2027" w:rsidRPr="00B04DC3" w:rsidTr="00D53851">
        <w:tc>
          <w:tcPr>
            <w:tcW w:w="6228" w:type="dxa"/>
            <w:tcBorders>
              <w:top w:val="single" w:sz="12" w:space="0" w:color="auto"/>
            </w:tcBorders>
          </w:tcPr>
          <w:p w:rsidR="00AF2027" w:rsidRPr="00B04DC3" w:rsidRDefault="00AF2027" w:rsidP="00D00E61">
            <w:pPr>
              <w:spacing w:before="40" w:after="40"/>
              <w:rPr>
                <w:bCs/>
              </w:rPr>
            </w:pPr>
            <w:r w:rsidRPr="00B04DC3">
              <w:rPr>
                <w:bCs/>
              </w:rPr>
              <w:t>Driver’s demand engine torque (as a percentage of maximum engine torque)</w:t>
            </w:r>
          </w:p>
        </w:tc>
        <w:tc>
          <w:tcPr>
            <w:tcW w:w="1680" w:type="dxa"/>
            <w:tcBorders>
              <w:top w:val="single" w:sz="12" w:space="0" w:color="auto"/>
            </w:tcBorders>
          </w:tcPr>
          <w:p w:rsidR="00AF2027" w:rsidRPr="00B04DC3" w:rsidRDefault="00AF2027" w:rsidP="00D00E61">
            <w:pPr>
              <w:spacing w:before="40" w:after="40"/>
              <w:jc w:val="center"/>
              <w:rPr>
                <w:bCs/>
              </w:rPr>
            </w:pPr>
            <w:r w:rsidRPr="00B04DC3">
              <w:rPr>
                <w:bCs/>
              </w:rPr>
              <w:t>x</w:t>
            </w:r>
          </w:p>
        </w:tc>
        <w:tc>
          <w:tcPr>
            <w:tcW w:w="1800" w:type="dxa"/>
            <w:tcBorders>
              <w:top w:val="single" w:sz="12" w:space="0" w:color="auto"/>
            </w:tcBorders>
          </w:tcPr>
          <w:p w:rsidR="00AF2027" w:rsidRPr="00B04DC3" w:rsidRDefault="00AF2027" w:rsidP="00D00E61">
            <w:pPr>
              <w:spacing w:before="40" w:after="40"/>
              <w:jc w:val="center"/>
              <w:rPr>
                <w:bCs/>
              </w:rPr>
            </w:pPr>
            <w:r w:rsidRPr="00B04DC3">
              <w:rPr>
                <w:bCs/>
              </w:rPr>
              <w:t>x</w:t>
            </w:r>
          </w:p>
        </w:tc>
      </w:tr>
      <w:tr w:rsidR="00AF2027" w:rsidRPr="00B04DC3">
        <w:tc>
          <w:tcPr>
            <w:tcW w:w="6228" w:type="dxa"/>
          </w:tcPr>
          <w:p w:rsidR="00AF2027" w:rsidRPr="00B04DC3" w:rsidRDefault="00AF2027" w:rsidP="00D00E61">
            <w:pPr>
              <w:spacing w:before="40" w:after="40"/>
              <w:rPr>
                <w:bCs/>
              </w:rPr>
            </w:pPr>
            <w:r w:rsidRPr="00B04DC3">
              <w:rPr>
                <w:bCs/>
              </w:rPr>
              <w:t>Actual engine torque (calculated as a percentage of maximum engine torque, e.g. calculated from commanded injection fuel quantity)</w:t>
            </w:r>
          </w:p>
        </w:tc>
        <w:tc>
          <w:tcPr>
            <w:tcW w:w="1680" w:type="dxa"/>
          </w:tcPr>
          <w:p w:rsidR="00AF2027" w:rsidRPr="00B04DC3" w:rsidRDefault="00AF2027" w:rsidP="00D00E61">
            <w:pPr>
              <w:spacing w:before="40" w:after="40"/>
              <w:jc w:val="center"/>
              <w:rPr>
                <w:bCs/>
              </w:rPr>
            </w:pPr>
            <w:r w:rsidRPr="00B04DC3">
              <w:rPr>
                <w:bCs/>
              </w:rPr>
              <w:t>x</w:t>
            </w:r>
          </w:p>
        </w:tc>
        <w:tc>
          <w:tcPr>
            <w:tcW w:w="1800" w:type="dxa"/>
          </w:tcPr>
          <w:p w:rsidR="00AF2027" w:rsidRPr="00B04DC3" w:rsidRDefault="00AF2027" w:rsidP="00D00E61">
            <w:pPr>
              <w:spacing w:before="40" w:after="40"/>
              <w:jc w:val="center"/>
              <w:rPr>
                <w:bCs/>
              </w:rPr>
            </w:pPr>
            <w:r w:rsidRPr="00B04DC3">
              <w:rPr>
                <w:bCs/>
              </w:rPr>
              <w:t>x</w:t>
            </w:r>
          </w:p>
        </w:tc>
      </w:tr>
      <w:tr w:rsidR="00AF2027" w:rsidRPr="00B04DC3">
        <w:tc>
          <w:tcPr>
            <w:tcW w:w="6228" w:type="dxa"/>
          </w:tcPr>
          <w:p w:rsidR="00AF2027" w:rsidRPr="00B04DC3" w:rsidRDefault="00AF2027" w:rsidP="00D00E61">
            <w:pPr>
              <w:spacing w:before="40" w:after="40"/>
              <w:rPr>
                <w:bCs/>
              </w:rPr>
            </w:pPr>
            <w:r w:rsidRPr="00B04DC3">
              <w:rPr>
                <w:bCs/>
              </w:rPr>
              <w:t>Reference engine maximum torque</w:t>
            </w:r>
          </w:p>
        </w:tc>
        <w:tc>
          <w:tcPr>
            <w:tcW w:w="1680" w:type="dxa"/>
          </w:tcPr>
          <w:p w:rsidR="00AF2027" w:rsidRPr="00B04DC3" w:rsidRDefault="00AF2027" w:rsidP="00D00E61">
            <w:pPr>
              <w:spacing w:before="40" w:after="40"/>
              <w:jc w:val="center"/>
              <w:rPr>
                <w:bCs/>
              </w:rPr>
            </w:pPr>
          </w:p>
        </w:tc>
        <w:tc>
          <w:tcPr>
            <w:tcW w:w="1800" w:type="dxa"/>
          </w:tcPr>
          <w:p w:rsidR="00AF2027" w:rsidRPr="00B04DC3" w:rsidRDefault="00AF2027" w:rsidP="00D00E61">
            <w:pPr>
              <w:spacing w:before="40" w:after="40"/>
              <w:jc w:val="center"/>
              <w:rPr>
                <w:bCs/>
              </w:rPr>
            </w:pPr>
            <w:r w:rsidRPr="00B04DC3">
              <w:rPr>
                <w:bCs/>
              </w:rPr>
              <w:t>x</w:t>
            </w:r>
          </w:p>
        </w:tc>
      </w:tr>
      <w:tr w:rsidR="00AF2027" w:rsidRPr="00B04DC3">
        <w:tc>
          <w:tcPr>
            <w:tcW w:w="6228" w:type="dxa"/>
          </w:tcPr>
          <w:p w:rsidR="00AF2027" w:rsidRPr="009469BB" w:rsidRDefault="00AF2027" w:rsidP="00D00E61">
            <w:pPr>
              <w:spacing w:before="40" w:after="40"/>
              <w:rPr>
                <w:bCs/>
                <w:spacing w:val="-2"/>
              </w:rPr>
            </w:pPr>
            <w:r w:rsidRPr="009469BB">
              <w:rPr>
                <w:bCs/>
                <w:spacing w:val="-2"/>
              </w:rPr>
              <w:t>Reference maximum engine torque as a function of engine speed</w:t>
            </w:r>
          </w:p>
        </w:tc>
        <w:tc>
          <w:tcPr>
            <w:tcW w:w="1680" w:type="dxa"/>
          </w:tcPr>
          <w:p w:rsidR="00AF2027" w:rsidRPr="00B04DC3" w:rsidRDefault="00AF2027" w:rsidP="00D00E61">
            <w:pPr>
              <w:spacing w:before="40" w:after="40"/>
              <w:jc w:val="center"/>
              <w:rPr>
                <w:bCs/>
              </w:rPr>
            </w:pPr>
          </w:p>
        </w:tc>
        <w:tc>
          <w:tcPr>
            <w:tcW w:w="1800" w:type="dxa"/>
          </w:tcPr>
          <w:p w:rsidR="00AF2027" w:rsidRPr="00B04DC3" w:rsidRDefault="00AF2027" w:rsidP="00D00E61">
            <w:pPr>
              <w:spacing w:before="40" w:after="40"/>
              <w:jc w:val="center"/>
              <w:rPr>
                <w:bCs/>
              </w:rPr>
            </w:pPr>
            <w:r w:rsidRPr="00B04DC3">
              <w:rPr>
                <w:bCs/>
              </w:rPr>
              <w:t>x</w:t>
            </w:r>
          </w:p>
        </w:tc>
      </w:tr>
      <w:tr w:rsidR="00AF2027" w:rsidRPr="00B04DC3" w:rsidTr="00D53851">
        <w:tc>
          <w:tcPr>
            <w:tcW w:w="6228" w:type="dxa"/>
            <w:tcBorders>
              <w:bottom w:val="single" w:sz="12" w:space="0" w:color="auto"/>
            </w:tcBorders>
          </w:tcPr>
          <w:p w:rsidR="00AF2027" w:rsidRPr="00B04DC3" w:rsidRDefault="00AF2027" w:rsidP="00D00E61">
            <w:pPr>
              <w:spacing w:before="40" w:after="40"/>
              <w:rPr>
                <w:bCs/>
              </w:rPr>
            </w:pPr>
            <w:r w:rsidRPr="00B04DC3">
              <w:rPr>
                <w:bCs/>
              </w:rPr>
              <w:t>Time elapsed since engine start</w:t>
            </w:r>
          </w:p>
        </w:tc>
        <w:tc>
          <w:tcPr>
            <w:tcW w:w="1680" w:type="dxa"/>
            <w:tcBorders>
              <w:bottom w:val="single" w:sz="12" w:space="0" w:color="auto"/>
            </w:tcBorders>
          </w:tcPr>
          <w:p w:rsidR="00AF2027" w:rsidRPr="00B04DC3" w:rsidRDefault="00AF2027" w:rsidP="00D00E61">
            <w:pPr>
              <w:spacing w:before="40" w:after="40"/>
              <w:jc w:val="center"/>
              <w:rPr>
                <w:bCs/>
              </w:rPr>
            </w:pPr>
            <w:r w:rsidRPr="00B04DC3">
              <w:rPr>
                <w:bCs/>
              </w:rPr>
              <w:t>x</w:t>
            </w:r>
          </w:p>
        </w:tc>
        <w:tc>
          <w:tcPr>
            <w:tcW w:w="1800" w:type="dxa"/>
            <w:tcBorders>
              <w:bottom w:val="single" w:sz="12" w:space="0" w:color="auto"/>
            </w:tcBorders>
          </w:tcPr>
          <w:p w:rsidR="00AF2027" w:rsidRPr="00B04DC3" w:rsidRDefault="00AF2027" w:rsidP="00D00E61">
            <w:pPr>
              <w:spacing w:before="40" w:after="40"/>
              <w:jc w:val="center"/>
              <w:rPr>
                <w:bCs/>
              </w:rPr>
            </w:pPr>
            <w:r w:rsidRPr="00B04DC3">
              <w:rPr>
                <w:bCs/>
              </w:rPr>
              <w:t>x</w:t>
            </w:r>
          </w:p>
        </w:tc>
      </w:tr>
    </w:tbl>
    <w:p w:rsidR="00AF2027" w:rsidRPr="00B04DC3" w:rsidRDefault="00AF2027" w:rsidP="00AF2027">
      <w:pPr>
        <w:pStyle w:val="Heading1"/>
        <w:spacing w:before="240"/>
      </w:pPr>
      <w:bookmarkStart w:id="1111" w:name="_Toc399940121"/>
      <w:bookmarkStart w:id="1112" w:name="_Toc423599704"/>
      <w:bookmarkStart w:id="1113" w:name="_Toc423611112"/>
      <w:r w:rsidRPr="00B04DC3">
        <w:t>Table 3</w:t>
      </w:r>
      <w:bookmarkEnd w:id="1111"/>
      <w:bookmarkEnd w:id="1112"/>
      <w:bookmarkEnd w:id="1113"/>
    </w:p>
    <w:p w:rsidR="00AF2027" w:rsidRPr="00B04DC3" w:rsidRDefault="00AF2027" w:rsidP="00AF2027">
      <w:pPr>
        <w:pStyle w:val="Heading1"/>
        <w:rPr>
          <w:b/>
        </w:rPr>
      </w:pPr>
      <w:bookmarkStart w:id="1114" w:name="_Toc399940122"/>
      <w:bookmarkStart w:id="1115" w:name="_Toc423599705"/>
      <w:bookmarkStart w:id="1116" w:name="_Toc423611113"/>
      <w:r w:rsidRPr="00B04DC3">
        <w:rPr>
          <w:b/>
        </w:rPr>
        <w:t>Optional information, if used by the emission or the OBD system to enable or disable any OBD information</w:t>
      </w:r>
      <w:bookmarkEnd w:id="1114"/>
      <w:bookmarkEnd w:id="1115"/>
      <w:bookmarkEnd w:id="1116"/>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1529"/>
        <w:gridCol w:w="1631"/>
      </w:tblGrid>
      <w:tr w:rsidR="00AF2027" w:rsidRPr="00B04DC3" w:rsidTr="00D53851">
        <w:trPr>
          <w:trHeight w:val="373"/>
        </w:trPr>
        <w:tc>
          <w:tcPr>
            <w:tcW w:w="5345" w:type="dxa"/>
            <w:tcBorders>
              <w:top w:val="single" w:sz="4" w:space="0" w:color="auto"/>
              <w:left w:val="single" w:sz="4" w:space="0" w:color="auto"/>
              <w:bottom w:val="single" w:sz="12" w:space="0" w:color="auto"/>
              <w:right w:val="single" w:sz="4" w:space="0" w:color="auto"/>
            </w:tcBorders>
          </w:tcPr>
          <w:p w:rsidR="00AF2027" w:rsidRPr="00B04DC3" w:rsidRDefault="00AF2027" w:rsidP="00AF2027">
            <w:pPr>
              <w:spacing w:before="80" w:after="80"/>
              <w:jc w:val="center"/>
              <w:rPr>
                <w:i/>
                <w:sz w:val="16"/>
                <w:szCs w:val="16"/>
              </w:rPr>
            </w:pPr>
          </w:p>
        </w:tc>
        <w:tc>
          <w:tcPr>
            <w:tcW w:w="1529" w:type="dxa"/>
            <w:tcBorders>
              <w:top w:val="single" w:sz="4" w:space="0" w:color="auto"/>
              <w:left w:val="single" w:sz="4" w:space="0" w:color="auto"/>
              <w:bottom w:val="single" w:sz="12" w:space="0" w:color="auto"/>
              <w:right w:val="single" w:sz="4" w:space="0" w:color="auto"/>
            </w:tcBorders>
          </w:tcPr>
          <w:p w:rsidR="00AF2027" w:rsidRPr="00B04DC3" w:rsidRDefault="00AF2027" w:rsidP="00AF2027">
            <w:pPr>
              <w:spacing w:before="80" w:after="80"/>
              <w:jc w:val="center"/>
              <w:rPr>
                <w:i/>
                <w:sz w:val="16"/>
                <w:szCs w:val="16"/>
              </w:rPr>
            </w:pPr>
            <w:r w:rsidRPr="00B04DC3">
              <w:rPr>
                <w:i/>
                <w:sz w:val="16"/>
                <w:szCs w:val="16"/>
              </w:rPr>
              <w:t>Freeze frame</w:t>
            </w:r>
          </w:p>
        </w:tc>
        <w:tc>
          <w:tcPr>
            <w:tcW w:w="1631" w:type="dxa"/>
            <w:tcBorders>
              <w:top w:val="single" w:sz="4" w:space="0" w:color="auto"/>
              <w:left w:val="single" w:sz="4" w:space="0" w:color="auto"/>
              <w:bottom w:val="single" w:sz="12" w:space="0" w:color="auto"/>
              <w:right w:val="single" w:sz="4" w:space="0" w:color="auto"/>
            </w:tcBorders>
          </w:tcPr>
          <w:p w:rsidR="00AF2027" w:rsidRPr="00B04DC3" w:rsidRDefault="00AF2027" w:rsidP="00AF2027">
            <w:pPr>
              <w:spacing w:before="80" w:after="80"/>
              <w:jc w:val="center"/>
              <w:rPr>
                <w:i/>
                <w:sz w:val="16"/>
                <w:szCs w:val="16"/>
              </w:rPr>
            </w:pPr>
            <w:r w:rsidRPr="00B04DC3">
              <w:rPr>
                <w:i/>
                <w:sz w:val="16"/>
                <w:szCs w:val="16"/>
              </w:rPr>
              <w:t>Data stream</w:t>
            </w:r>
          </w:p>
        </w:tc>
      </w:tr>
      <w:tr w:rsidR="00512988" w:rsidRPr="00B04DC3" w:rsidTr="00D53851">
        <w:trPr>
          <w:trHeight w:val="373"/>
        </w:trPr>
        <w:tc>
          <w:tcPr>
            <w:tcW w:w="5345" w:type="dxa"/>
            <w:tcBorders>
              <w:top w:val="single" w:sz="12" w:space="0" w:color="auto"/>
              <w:left w:val="single" w:sz="4" w:space="0" w:color="auto"/>
              <w:bottom w:val="single" w:sz="4" w:space="0" w:color="auto"/>
              <w:right w:val="single" w:sz="4" w:space="0" w:color="auto"/>
            </w:tcBorders>
          </w:tcPr>
          <w:p w:rsidR="00512988" w:rsidRPr="00B04DC3" w:rsidRDefault="00317780" w:rsidP="00D00E61">
            <w:pPr>
              <w:spacing w:before="40" w:after="40"/>
              <w:rPr>
                <w:bCs/>
              </w:rPr>
            </w:pPr>
            <w:r w:rsidRPr="00B04DC3">
              <w:t>Fuel level (e.g. percentage of the nominal capacity of the fuel tank) or tank fuel pressure (e.g. percentage of the usable range of fuel tank pressure), as appropriate</w:t>
            </w:r>
          </w:p>
        </w:tc>
        <w:tc>
          <w:tcPr>
            <w:tcW w:w="1529" w:type="dxa"/>
            <w:tcBorders>
              <w:top w:val="single" w:sz="12"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c>
          <w:tcPr>
            <w:tcW w:w="1631" w:type="dxa"/>
            <w:tcBorders>
              <w:top w:val="single" w:sz="12"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r>
      <w:tr w:rsidR="00512988" w:rsidRPr="00B04DC3">
        <w:trPr>
          <w:trHeight w:val="373"/>
        </w:trPr>
        <w:tc>
          <w:tcPr>
            <w:tcW w:w="5345"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rPr>
                <w:bCs/>
              </w:rPr>
            </w:pPr>
            <w:r w:rsidRPr="00B04DC3">
              <w:rPr>
                <w:bCs/>
              </w:rPr>
              <w:t xml:space="preserve">Engine oil temperature </w:t>
            </w:r>
          </w:p>
        </w:tc>
        <w:tc>
          <w:tcPr>
            <w:tcW w:w="1529"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c>
          <w:tcPr>
            <w:tcW w:w="1631"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r>
      <w:tr w:rsidR="00512988" w:rsidRPr="00B04DC3">
        <w:trPr>
          <w:trHeight w:val="373"/>
        </w:trPr>
        <w:tc>
          <w:tcPr>
            <w:tcW w:w="5345"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rPr>
                <w:bCs/>
              </w:rPr>
            </w:pPr>
            <w:r w:rsidRPr="00B04DC3">
              <w:rPr>
                <w:bCs/>
              </w:rPr>
              <w:t xml:space="preserve">Vehicle speed </w:t>
            </w:r>
          </w:p>
        </w:tc>
        <w:tc>
          <w:tcPr>
            <w:tcW w:w="1529"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c>
          <w:tcPr>
            <w:tcW w:w="1631"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r>
      <w:tr w:rsidR="00512988" w:rsidRPr="00B04DC3">
        <w:trPr>
          <w:trHeight w:val="373"/>
        </w:trPr>
        <w:tc>
          <w:tcPr>
            <w:tcW w:w="5345"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rPr>
                <w:bCs/>
              </w:rPr>
            </w:pPr>
            <w:r w:rsidRPr="00B04DC3">
              <w:rPr>
                <w:bCs/>
              </w:rPr>
              <w:t>Status of the fuel quality adaptation (active / not active) in case of gas engines</w:t>
            </w:r>
          </w:p>
        </w:tc>
        <w:tc>
          <w:tcPr>
            <w:tcW w:w="1529"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rPr>
                <w:i/>
                <w:sz w:val="16"/>
                <w:szCs w:val="16"/>
              </w:rPr>
            </w:pPr>
          </w:p>
        </w:tc>
        <w:tc>
          <w:tcPr>
            <w:tcW w:w="1631" w:type="dxa"/>
            <w:tcBorders>
              <w:top w:val="single" w:sz="4" w:space="0" w:color="auto"/>
              <w:left w:val="single" w:sz="4" w:space="0" w:color="auto"/>
              <w:bottom w:val="single" w:sz="4" w:space="0" w:color="auto"/>
              <w:right w:val="single" w:sz="4" w:space="0" w:color="auto"/>
            </w:tcBorders>
          </w:tcPr>
          <w:p w:rsidR="00512988" w:rsidRPr="00B04DC3" w:rsidRDefault="00512988" w:rsidP="00D00E61">
            <w:pPr>
              <w:spacing w:before="40" w:after="40"/>
              <w:jc w:val="center"/>
            </w:pPr>
            <w:r w:rsidRPr="00B04DC3">
              <w:rPr>
                <w:bCs/>
              </w:rPr>
              <w:t>x</w:t>
            </w:r>
          </w:p>
        </w:tc>
      </w:tr>
      <w:tr w:rsidR="00512988" w:rsidRPr="00B04DC3" w:rsidTr="00D53851">
        <w:trPr>
          <w:trHeight w:val="373"/>
        </w:trPr>
        <w:tc>
          <w:tcPr>
            <w:tcW w:w="5345" w:type="dxa"/>
            <w:tcBorders>
              <w:top w:val="single" w:sz="4" w:space="0" w:color="auto"/>
              <w:left w:val="single" w:sz="4" w:space="0" w:color="auto"/>
              <w:bottom w:val="single" w:sz="12" w:space="0" w:color="auto"/>
              <w:right w:val="single" w:sz="4" w:space="0" w:color="auto"/>
            </w:tcBorders>
          </w:tcPr>
          <w:p w:rsidR="00512988" w:rsidRPr="009469BB" w:rsidRDefault="00512988" w:rsidP="00D00E61">
            <w:pPr>
              <w:spacing w:before="40" w:after="40"/>
              <w:rPr>
                <w:bCs/>
                <w:spacing w:val="-4"/>
              </w:rPr>
            </w:pPr>
            <w:r w:rsidRPr="009469BB">
              <w:rPr>
                <w:bCs/>
                <w:spacing w:val="-4"/>
              </w:rPr>
              <w:t>Engine control computer system voltage (for the main control chip)</w:t>
            </w:r>
          </w:p>
        </w:tc>
        <w:tc>
          <w:tcPr>
            <w:tcW w:w="1529" w:type="dxa"/>
            <w:tcBorders>
              <w:top w:val="single" w:sz="4" w:space="0" w:color="auto"/>
              <w:left w:val="single" w:sz="4" w:space="0" w:color="auto"/>
              <w:bottom w:val="single" w:sz="12" w:space="0" w:color="auto"/>
              <w:right w:val="single" w:sz="4" w:space="0" w:color="auto"/>
            </w:tcBorders>
          </w:tcPr>
          <w:p w:rsidR="00512988" w:rsidRPr="00B04DC3" w:rsidRDefault="00512988" w:rsidP="00D00E61">
            <w:pPr>
              <w:spacing w:before="40" w:after="40"/>
              <w:jc w:val="center"/>
              <w:rPr>
                <w:i/>
                <w:sz w:val="16"/>
                <w:szCs w:val="16"/>
              </w:rPr>
            </w:pPr>
            <w:r w:rsidRPr="00B04DC3">
              <w:rPr>
                <w:bCs/>
              </w:rPr>
              <w:t>x</w:t>
            </w:r>
          </w:p>
        </w:tc>
        <w:tc>
          <w:tcPr>
            <w:tcW w:w="1631" w:type="dxa"/>
            <w:tcBorders>
              <w:top w:val="single" w:sz="4" w:space="0" w:color="auto"/>
              <w:left w:val="single" w:sz="4" w:space="0" w:color="auto"/>
              <w:bottom w:val="single" w:sz="12" w:space="0" w:color="auto"/>
              <w:right w:val="single" w:sz="4" w:space="0" w:color="auto"/>
            </w:tcBorders>
          </w:tcPr>
          <w:p w:rsidR="00512988" w:rsidRPr="009469BB" w:rsidRDefault="00512988" w:rsidP="00D00E61">
            <w:pPr>
              <w:spacing w:before="40" w:after="40"/>
              <w:jc w:val="center"/>
              <w:rPr>
                <w:bCs/>
              </w:rPr>
            </w:pPr>
            <w:r w:rsidRPr="00B04DC3">
              <w:rPr>
                <w:bCs/>
              </w:rPr>
              <w:t>x</w:t>
            </w:r>
          </w:p>
        </w:tc>
      </w:tr>
    </w:tbl>
    <w:p w:rsidR="00AF2027" w:rsidRPr="00B04DC3" w:rsidRDefault="00AF2027" w:rsidP="00AF2027">
      <w:pPr>
        <w:pStyle w:val="Heading1"/>
        <w:spacing w:before="240"/>
      </w:pPr>
      <w:bookmarkStart w:id="1117" w:name="_Toc399940123"/>
      <w:bookmarkStart w:id="1118" w:name="_Toc423599706"/>
      <w:bookmarkStart w:id="1119" w:name="_Toc423611114"/>
      <w:r w:rsidRPr="00B04DC3">
        <w:t>Table 4</w:t>
      </w:r>
      <w:bookmarkEnd w:id="1117"/>
      <w:bookmarkEnd w:id="1118"/>
      <w:bookmarkEnd w:id="1119"/>
    </w:p>
    <w:p w:rsidR="00AF2027" w:rsidRPr="00B04DC3" w:rsidRDefault="00AF2027" w:rsidP="00AF2027">
      <w:pPr>
        <w:pStyle w:val="Heading1"/>
        <w:rPr>
          <w:b/>
        </w:rPr>
      </w:pPr>
      <w:bookmarkStart w:id="1120" w:name="_Toc399940124"/>
      <w:bookmarkStart w:id="1121" w:name="_Toc423599707"/>
      <w:bookmarkStart w:id="1122" w:name="_Toc423611115"/>
      <w:r w:rsidRPr="00B04DC3">
        <w:rPr>
          <w:b/>
        </w:rPr>
        <w:t>Optional information, if the engine is so equipped, senses or calculates the information</w:t>
      </w:r>
      <w:bookmarkEnd w:id="1120"/>
      <w:bookmarkEnd w:id="1121"/>
      <w:bookmarkEnd w:id="1122"/>
    </w:p>
    <w:tbl>
      <w:tblPr>
        <w:tblW w:w="841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1516"/>
        <w:gridCol w:w="1624"/>
      </w:tblGrid>
      <w:tr w:rsidR="00AF2027" w:rsidRPr="00B04DC3" w:rsidTr="00D53851">
        <w:trPr>
          <w:trHeight w:val="373"/>
          <w:tblHeader/>
        </w:trPr>
        <w:tc>
          <w:tcPr>
            <w:tcW w:w="5273" w:type="dxa"/>
            <w:tcBorders>
              <w:bottom w:val="single" w:sz="12" w:space="0" w:color="auto"/>
            </w:tcBorders>
            <w:tcMar>
              <w:left w:w="28" w:type="dxa"/>
              <w:right w:w="28" w:type="dxa"/>
            </w:tcMar>
          </w:tcPr>
          <w:p w:rsidR="00AF2027" w:rsidRPr="00B04DC3" w:rsidRDefault="00AF2027" w:rsidP="00D00E61">
            <w:pPr>
              <w:spacing w:before="80" w:after="80"/>
              <w:ind w:left="140" w:right="113"/>
              <w:jc w:val="center"/>
              <w:rPr>
                <w:i/>
                <w:sz w:val="16"/>
                <w:szCs w:val="16"/>
              </w:rPr>
            </w:pPr>
          </w:p>
        </w:tc>
        <w:tc>
          <w:tcPr>
            <w:tcW w:w="1516" w:type="dxa"/>
            <w:tcBorders>
              <w:bottom w:val="single" w:sz="12" w:space="0" w:color="auto"/>
            </w:tcBorders>
            <w:tcMar>
              <w:left w:w="28" w:type="dxa"/>
              <w:right w:w="28" w:type="dxa"/>
            </w:tcMar>
          </w:tcPr>
          <w:p w:rsidR="00AF2027" w:rsidRPr="00B04DC3" w:rsidRDefault="00AF2027" w:rsidP="00AF2027">
            <w:pPr>
              <w:spacing w:before="80" w:after="80"/>
              <w:jc w:val="center"/>
              <w:rPr>
                <w:i/>
                <w:sz w:val="16"/>
                <w:szCs w:val="16"/>
              </w:rPr>
            </w:pPr>
            <w:r w:rsidRPr="00B04DC3">
              <w:rPr>
                <w:i/>
                <w:sz w:val="16"/>
                <w:szCs w:val="16"/>
              </w:rPr>
              <w:t>Freeze frame</w:t>
            </w:r>
          </w:p>
        </w:tc>
        <w:tc>
          <w:tcPr>
            <w:tcW w:w="1624" w:type="dxa"/>
            <w:tcBorders>
              <w:bottom w:val="single" w:sz="12" w:space="0" w:color="auto"/>
            </w:tcBorders>
            <w:tcMar>
              <w:left w:w="28" w:type="dxa"/>
              <w:right w:w="28" w:type="dxa"/>
            </w:tcMar>
          </w:tcPr>
          <w:p w:rsidR="00AF2027" w:rsidRPr="00B04DC3" w:rsidRDefault="00AF2027" w:rsidP="00AF2027">
            <w:pPr>
              <w:spacing w:before="80" w:after="80"/>
              <w:jc w:val="center"/>
              <w:rPr>
                <w:i/>
                <w:sz w:val="16"/>
                <w:szCs w:val="16"/>
              </w:rPr>
            </w:pPr>
            <w:r w:rsidRPr="00B04DC3">
              <w:rPr>
                <w:i/>
                <w:sz w:val="16"/>
                <w:szCs w:val="16"/>
              </w:rPr>
              <w:t>Data stream</w:t>
            </w:r>
          </w:p>
        </w:tc>
      </w:tr>
      <w:tr w:rsidR="00AF2027" w:rsidRPr="00B04DC3" w:rsidTr="00D53851">
        <w:tc>
          <w:tcPr>
            <w:tcW w:w="5273" w:type="dxa"/>
            <w:tcBorders>
              <w:top w:val="single" w:sz="12" w:space="0" w:color="auto"/>
            </w:tcBorders>
            <w:tcMar>
              <w:left w:w="28" w:type="dxa"/>
              <w:right w:w="28" w:type="dxa"/>
            </w:tcMar>
          </w:tcPr>
          <w:p w:rsidR="00AF2027" w:rsidRPr="00B04DC3" w:rsidRDefault="00AF2027" w:rsidP="00D00E61">
            <w:pPr>
              <w:spacing w:before="40" w:after="40"/>
              <w:ind w:left="140"/>
              <w:rPr>
                <w:bCs/>
              </w:rPr>
            </w:pPr>
            <w:r w:rsidRPr="00B04DC3">
              <w:rPr>
                <w:bCs/>
              </w:rPr>
              <w:t>Absolute throttle position / intake air throttle position (position of valve used to regulate intake air)</w:t>
            </w:r>
          </w:p>
        </w:tc>
        <w:tc>
          <w:tcPr>
            <w:tcW w:w="1516" w:type="dxa"/>
            <w:tcBorders>
              <w:top w:val="single" w:sz="12" w:space="0" w:color="auto"/>
            </w:tcBorders>
            <w:tcMar>
              <w:left w:w="28" w:type="dxa"/>
              <w:right w:w="28" w:type="dxa"/>
            </w:tcMar>
          </w:tcPr>
          <w:p w:rsidR="00AF2027" w:rsidRPr="00B04DC3" w:rsidRDefault="00AF2027" w:rsidP="00D00E61">
            <w:pPr>
              <w:pStyle w:val="NormalCentered"/>
              <w:numPr>
                <w:ilvl w:val="0"/>
                <w:numId w:val="0"/>
              </w:numPr>
              <w:suppressAutoHyphens/>
              <w:spacing w:before="40" w:after="40" w:line="240" w:lineRule="atLeast"/>
              <w:rPr>
                <w:bCs/>
                <w:sz w:val="20"/>
              </w:rPr>
            </w:pPr>
            <w:r w:rsidRPr="00B04DC3">
              <w:rPr>
                <w:bCs/>
                <w:sz w:val="20"/>
              </w:rPr>
              <w:t>x</w:t>
            </w:r>
          </w:p>
        </w:tc>
        <w:tc>
          <w:tcPr>
            <w:tcW w:w="1624" w:type="dxa"/>
            <w:tcBorders>
              <w:top w:val="single" w:sz="12"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Diesel fuel control system status in case of a close loop system (e.g. in case of a fuel pressure close loop system)</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Fuel rail pressure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Injection control pressure (i.e. pressure of the fluid controlling fuel injection)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Representative fuel injection timing (beginning of first main injection)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Commanded fuel rail pressure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Commanded injection control pressure (i.e. pressure of the fluid controlling fuel injection)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 xml:space="preserve">Intake air temperature </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Ambient air temperature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Turbocharger inlet / outlet air temperature (compressor and turbine)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Turbocharger inlet / outlet pressure(compressor and turbine)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Charge air temperature (post intercooler if fitted)</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rsidTr="00D53851">
        <w:trPr>
          <w:trHeight w:val="370"/>
        </w:trPr>
        <w:tc>
          <w:tcPr>
            <w:tcW w:w="5273" w:type="dxa"/>
            <w:tcBorders>
              <w:bottom w:val="single" w:sz="12" w:space="0" w:color="auto"/>
            </w:tcBorders>
            <w:tcMar>
              <w:left w:w="28" w:type="dxa"/>
              <w:right w:w="28" w:type="dxa"/>
            </w:tcMar>
          </w:tcPr>
          <w:p w:rsidR="00AF2027" w:rsidRPr="00B04DC3" w:rsidRDefault="00AF2027" w:rsidP="00D00E61">
            <w:pPr>
              <w:spacing w:before="40" w:after="40"/>
              <w:ind w:left="140"/>
              <w:rPr>
                <w:bCs/>
              </w:rPr>
            </w:pPr>
            <w:r w:rsidRPr="00B04DC3">
              <w:rPr>
                <w:bCs/>
              </w:rPr>
              <w:t>Actual boost pressure</w:t>
            </w:r>
          </w:p>
        </w:tc>
        <w:tc>
          <w:tcPr>
            <w:tcW w:w="1516" w:type="dxa"/>
            <w:tcBorders>
              <w:bottom w:val="single" w:sz="12"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Borders>
              <w:bottom w:val="single" w:sz="12"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r>
      <w:tr w:rsidR="00D53851" w:rsidRPr="00B04DC3" w:rsidTr="00D53851">
        <w:trPr>
          <w:trHeight w:val="30"/>
        </w:trPr>
        <w:tc>
          <w:tcPr>
            <w:tcW w:w="5273" w:type="dxa"/>
            <w:tcBorders>
              <w:top w:val="single" w:sz="12" w:space="0" w:color="auto"/>
            </w:tcBorders>
            <w:tcMar>
              <w:left w:w="28" w:type="dxa"/>
              <w:right w:w="28" w:type="dxa"/>
            </w:tcMar>
          </w:tcPr>
          <w:p w:rsidR="00D53851" w:rsidRPr="00B04DC3" w:rsidRDefault="00D53851" w:rsidP="00D00E61">
            <w:pPr>
              <w:spacing w:before="40" w:after="40"/>
              <w:ind w:left="140"/>
              <w:rPr>
                <w:bCs/>
              </w:rPr>
            </w:pPr>
          </w:p>
        </w:tc>
        <w:tc>
          <w:tcPr>
            <w:tcW w:w="1516" w:type="dxa"/>
            <w:tcBorders>
              <w:top w:val="single" w:sz="12" w:space="0" w:color="auto"/>
            </w:tcBorders>
            <w:tcMar>
              <w:left w:w="28" w:type="dxa"/>
              <w:right w:w="28" w:type="dxa"/>
            </w:tcMar>
          </w:tcPr>
          <w:p w:rsidR="00D53851" w:rsidRPr="00B04DC3" w:rsidRDefault="00D53851" w:rsidP="00D00E61">
            <w:pPr>
              <w:spacing w:before="40" w:after="40"/>
              <w:jc w:val="center"/>
              <w:rPr>
                <w:bCs/>
              </w:rPr>
            </w:pPr>
          </w:p>
        </w:tc>
        <w:tc>
          <w:tcPr>
            <w:tcW w:w="1624" w:type="dxa"/>
            <w:tcBorders>
              <w:top w:val="single" w:sz="12" w:space="0" w:color="auto"/>
            </w:tcBorders>
            <w:tcMar>
              <w:left w:w="28" w:type="dxa"/>
              <w:right w:w="28" w:type="dxa"/>
            </w:tcMar>
          </w:tcPr>
          <w:p w:rsidR="00D53851" w:rsidRPr="00B04DC3" w:rsidRDefault="00D53851" w:rsidP="00D00E61">
            <w:pPr>
              <w:spacing w:before="40" w:after="40"/>
              <w:jc w:val="center"/>
              <w:rPr>
                <w:bCs/>
              </w:rPr>
            </w:pP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Air flow rate from mass air flow sensor</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Commanded EGR valve duty cycle/position (provided EGR is so controlled)</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Actual EGR valve duty cycle/position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PTO status (active or not active)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Accelerator pedal 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Redundant absolute pedal 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if sensed</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Instantaneous fuel consumption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Commanded/target boost pressure (if boost pressure used to control turbo operation)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 xml:space="preserve">DPF inlet pressure </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DPF outlet pressure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DPF delta pressure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Engine-out exhaust pressure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DPF inlet temperature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DPF outlet temperature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Engine-out exhaust gas temperature</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Turbocharger/turbine speed</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Variable geometry turbo 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Commanded variable geometry turbo 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Wastegate valve position</w:t>
            </w:r>
          </w:p>
        </w:tc>
        <w:tc>
          <w:tcPr>
            <w:tcW w:w="1516" w:type="dxa"/>
            <w:tcMar>
              <w:left w:w="28" w:type="dxa"/>
              <w:right w:w="28" w:type="dxa"/>
            </w:tcMar>
          </w:tcPr>
          <w:p w:rsidR="00AF2027" w:rsidRPr="00B04DC3" w:rsidRDefault="00AF2027" w:rsidP="00D00E61">
            <w:pPr>
              <w:spacing w:before="40" w:after="40"/>
              <w:jc w:val="center"/>
              <w:rPr>
                <w:bCs/>
              </w:rPr>
            </w:pPr>
            <w:r w:rsidRPr="00B04DC3">
              <w:rPr>
                <w:bCs/>
              </w:rPr>
              <w:t>x</w:t>
            </w: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c>
          <w:tcPr>
            <w:tcW w:w="5273" w:type="dxa"/>
            <w:tcMar>
              <w:left w:w="28" w:type="dxa"/>
              <w:right w:w="28" w:type="dxa"/>
            </w:tcMar>
          </w:tcPr>
          <w:p w:rsidR="00AF2027" w:rsidRPr="00B04DC3" w:rsidRDefault="00AF2027" w:rsidP="00D00E61">
            <w:pPr>
              <w:spacing w:before="40" w:after="40"/>
              <w:ind w:left="140"/>
              <w:rPr>
                <w:bCs/>
              </w:rPr>
            </w:pPr>
            <w:r w:rsidRPr="00B04DC3">
              <w:rPr>
                <w:bCs/>
              </w:rPr>
              <w:t>Air/fuel ratio sensor output</w:t>
            </w:r>
          </w:p>
        </w:tc>
        <w:tc>
          <w:tcPr>
            <w:tcW w:w="1516" w:type="dxa"/>
            <w:tcMar>
              <w:left w:w="28" w:type="dxa"/>
              <w:right w:w="28" w:type="dxa"/>
            </w:tcMar>
          </w:tcPr>
          <w:p w:rsidR="00AF2027" w:rsidRPr="00B04DC3" w:rsidRDefault="00AF2027" w:rsidP="00D00E61">
            <w:pPr>
              <w:spacing w:before="40" w:after="40"/>
              <w:jc w:val="center"/>
              <w:rPr>
                <w:bCs/>
              </w:rPr>
            </w:pPr>
          </w:p>
        </w:tc>
        <w:tc>
          <w:tcPr>
            <w:tcW w:w="1624" w:type="dxa"/>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rPr>
          <w:trHeight w:val="69"/>
        </w:trPr>
        <w:tc>
          <w:tcPr>
            <w:tcW w:w="5273"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ind w:left="140"/>
              <w:rPr>
                <w:bCs/>
              </w:rPr>
            </w:pPr>
            <w:r w:rsidRPr="00B04DC3">
              <w:rPr>
                <w:bCs/>
              </w:rPr>
              <w:t>Oxygen sensor output</w:t>
            </w:r>
          </w:p>
        </w:tc>
        <w:tc>
          <w:tcPr>
            <w:tcW w:w="1516"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jc w:val="center"/>
              <w:rPr>
                <w:bCs/>
              </w:rPr>
            </w:pPr>
          </w:p>
        </w:tc>
        <w:tc>
          <w:tcPr>
            <w:tcW w:w="1624"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trPr>
          <w:trHeight w:val="69"/>
        </w:trPr>
        <w:tc>
          <w:tcPr>
            <w:tcW w:w="5273"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ind w:left="140"/>
              <w:rPr>
                <w:bCs/>
              </w:rPr>
            </w:pPr>
            <w:r w:rsidRPr="00B04DC3">
              <w:rPr>
                <w:bCs/>
              </w:rPr>
              <w:t>Secondary oxygen sensor output (when fitted)</w:t>
            </w:r>
          </w:p>
        </w:tc>
        <w:tc>
          <w:tcPr>
            <w:tcW w:w="1516"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jc w:val="center"/>
              <w:rPr>
                <w:bCs/>
              </w:rPr>
            </w:pPr>
          </w:p>
        </w:tc>
        <w:tc>
          <w:tcPr>
            <w:tcW w:w="1624" w:type="dxa"/>
            <w:tcBorders>
              <w:top w:val="single" w:sz="4" w:space="0" w:color="auto"/>
              <w:left w:val="single" w:sz="4" w:space="0" w:color="auto"/>
              <w:bottom w:val="single" w:sz="4" w:space="0" w:color="auto"/>
              <w:right w:val="single" w:sz="4"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r>
      <w:tr w:rsidR="00AF2027" w:rsidRPr="00B04DC3" w:rsidTr="00D53851">
        <w:trPr>
          <w:trHeight w:val="69"/>
        </w:trPr>
        <w:tc>
          <w:tcPr>
            <w:tcW w:w="5273" w:type="dxa"/>
            <w:tcBorders>
              <w:top w:val="single" w:sz="4" w:space="0" w:color="auto"/>
              <w:left w:val="single" w:sz="4" w:space="0" w:color="auto"/>
              <w:bottom w:val="single" w:sz="12" w:space="0" w:color="auto"/>
              <w:right w:val="single" w:sz="4" w:space="0" w:color="auto"/>
            </w:tcBorders>
            <w:tcMar>
              <w:left w:w="28" w:type="dxa"/>
              <w:right w:w="28" w:type="dxa"/>
            </w:tcMar>
          </w:tcPr>
          <w:p w:rsidR="00AF2027" w:rsidRPr="00B04DC3" w:rsidRDefault="00AF2027" w:rsidP="00D00E61">
            <w:pPr>
              <w:spacing w:before="40" w:after="40"/>
              <w:ind w:left="140"/>
              <w:rPr>
                <w:bCs/>
              </w:rPr>
            </w:pPr>
            <w:r w:rsidRPr="00B04DC3">
              <w:rPr>
                <w:bCs/>
              </w:rPr>
              <w:t>NO</w:t>
            </w:r>
            <w:r w:rsidRPr="00B04DC3">
              <w:rPr>
                <w:bCs/>
                <w:vertAlign w:val="subscript"/>
              </w:rPr>
              <w:t>x</w:t>
            </w:r>
            <w:r w:rsidRPr="00B04DC3">
              <w:rPr>
                <w:bCs/>
              </w:rPr>
              <w:t xml:space="preserve"> sensor output</w:t>
            </w:r>
          </w:p>
        </w:tc>
        <w:tc>
          <w:tcPr>
            <w:tcW w:w="1516" w:type="dxa"/>
            <w:tcBorders>
              <w:top w:val="single" w:sz="4" w:space="0" w:color="auto"/>
              <w:left w:val="single" w:sz="4" w:space="0" w:color="auto"/>
              <w:bottom w:val="single" w:sz="12" w:space="0" w:color="auto"/>
              <w:right w:val="single" w:sz="4" w:space="0" w:color="auto"/>
            </w:tcBorders>
            <w:tcMar>
              <w:left w:w="28" w:type="dxa"/>
              <w:right w:w="28" w:type="dxa"/>
            </w:tcMar>
          </w:tcPr>
          <w:p w:rsidR="00AF2027" w:rsidRPr="00B04DC3" w:rsidRDefault="00AF2027" w:rsidP="00D00E61">
            <w:pPr>
              <w:spacing w:before="40" w:after="40"/>
              <w:jc w:val="center"/>
              <w:rPr>
                <w:bCs/>
              </w:rPr>
            </w:pPr>
          </w:p>
        </w:tc>
        <w:tc>
          <w:tcPr>
            <w:tcW w:w="1624" w:type="dxa"/>
            <w:tcBorders>
              <w:top w:val="single" w:sz="4" w:space="0" w:color="auto"/>
              <w:left w:val="single" w:sz="4" w:space="0" w:color="auto"/>
              <w:bottom w:val="single" w:sz="12" w:space="0" w:color="auto"/>
              <w:right w:val="single" w:sz="4" w:space="0" w:color="auto"/>
            </w:tcBorders>
            <w:tcMar>
              <w:left w:w="28" w:type="dxa"/>
              <w:right w:w="28" w:type="dxa"/>
            </w:tcMar>
          </w:tcPr>
          <w:p w:rsidR="00AF2027" w:rsidRPr="00B04DC3" w:rsidRDefault="00AF2027" w:rsidP="00D00E61">
            <w:pPr>
              <w:spacing w:before="40" w:after="40"/>
              <w:jc w:val="center"/>
              <w:rPr>
                <w:bCs/>
              </w:rPr>
            </w:pPr>
            <w:r w:rsidRPr="00B04DC3">
              <w:rPr>
                <w:bCs/>
              </w:rPr>
              <w:t>x</w:t>
            </w:r>
          </w:p>
        </w:tc>
      </w:tr>
    </w:tbl>
    <w:p w:rsidR="00AF2027" w:rsidRPr="00B04DC3" w:rsidRDefault="00AF2027" w:rsidP="00AF2027">
      <w:pPr>
        <w:pStyle w:val="GTRnormalCarCarCar1"/>
        <w:ind w:left="0"/>
        <w:jc w:val="center"/>
        <w:rPr>
          <w:rFonts w:ascii="Times New Roman" w:hAnsi="Times New Roman" w:cs="Times New Roman"/>
          <w:sz w:val="24"/>
          <w:u w:val="single"/>
        </w:rPr>
        <w:sectPr w:rsidR="00AF2027" w:rsidRPr="00B04DC3" w:rsidSect="00AF2027">
          <w:headerReference w:type="even" r:id="rId696"/>
          <w:headerReference w:type="default" r:id="rId697"/>
          <w:footerReference w:type="default" r:id="rId698"/>
          <w:footnotePr>
            <w:numRestart w:val="eachSect"/>
          </w:footnotePr>
          <w:endnotePr>
            <w:numFmt w:val="decimal"/>
          </w:endnotePr>
          <w:type w:val="nextColumn"/>
          <w:pgSz w:w="11906" w:h="16838"/>
          <w:pgMar w:top="1701" w:right="1134" w:bottom="2268" w:left="1134" w:header="851" w:footer="1701" w:gutter="0"/>
          <w:cols w:space="708"/>
          <w:docGrid w:linePitch="360"/>
        </w:sectPr>
      </w:pPr>
    </w:p>
    <w:p w:rsidR="00AF2027" w:rsidRPr="00B04DC3" w:rsidRDefault="00AF2027" w:rsidP="00AF2027">
      <w:pPr>
        <w:pStyle w:val="HChG"/>
      </w:pPr>
      <w:bookmarkStart w:id="1123" w:name="_Toc423599708"/>
      <w:bookmarkStart w:id="1124" w:name="_Toc423611116"/>
      <w:r w:rsidRPr="00B04DC3">
        <w:t>Annex 9B</w:t>
      </w:r>
      <w:r w:rsidR="00D53851">
        <w:t xml:space="preserve"> - </w:t>
      </w:r>
      <w:r w:rsidRPr="00B04DC3">
        <w:t>Appendix 6</w:t>
      </w:r>
      <w:bookmarkEnd w:id="1123"/>
      <w:bookmarkEnd w:id="1124"/>
    </w:p>
    <w:p w:rsidR="00AF2027" w:rsidRPr="00B04DC3" w:rsidRDefault="00AF2027" w:rsidP="00D00E61">
      <w:pPr>
        <w:pStyle w:val="HChG"/>
        <w:spacing w:after="360"/>
        <w:rPr>
          <w:sz w:val="24"/>
        </w:rPr>
      </w:pPr>
      <w:r w:rsidRPr="00B04DC3">
        <w:tab/>
      </w:r>
      <w:r w:rsidRPr="00B04DC3">
        <w:tab/>
      </w:r>
      <w:bookmarkStart w:id="1125" w:name="_Toc423599709"/>
      <w:bookmarkStart w:id="1126" w:name="_Toc423611117"/>
      <w:r w:rsidRPr="00B04DC3">
        <w:t>Reference standard documents</w:t>
      </w:r>
      <w:bookmarkEnd w:id="1125"/>
      <w:bookmarkEnd w:id="1126"/>
    </w:p>
    <w:p w:rsidR="00317780" w:rsidRPr="00B04DC3" w:rsidRDefault="00317780" w:rsidP="00317780">
      <w:pPr>
        <w:keepNext/>
        <w:keepLines/>
        <w:tabs>
          <w:tab w:val="left" w:pos="2100"/>
        </w:tabs>
        <w:spacing w:after="120"/>
        <w:ind w:left="1134" w:right="1134"/>
        <w:jc w:val="both"/>
      </w:pPr>
      <w:r w:rsidRPr="00B04DC3">
        <w:t>This appendix contains the references to the industry standards that are to be used in accordance to the provisions of this annex to provide the serial communications interface to the vehicle/engine. There are two allowed solutions identified:</w:t>
      </w:r>
    </w:p>
    <w:p w:rsidR="00317780" w:rsidRPr="00B04DC3" w:rsidRDefault="00317780" w:rsidP="00317780">
      <w:pPr>
        <w:keepNext/>
        <w:keepLines/>
        <w:tabs>
          <w:tab w:val="left" w:pos="2100"/>
          <w:tab w:val="left" w:pos="2700"/>
        </w:tabs>
        <w:spacing w:after="120"/>
        <w:ind w:left="1701" w:right="1134" w:hanging="567"/>
        <w:jc w:val="both"/>
      </w:pPr>
      <w:r w:rsidRPr="00B04DC3">
        <w:t>(a)</w:t>
      </w:r>
      <w:r w:rsidRPr="00B04DC3">
        <w:tab/>
        <w:t>ISO 27145 with either ISO 15765-4 (CAN based) with either ISO 15765-4 (CAN based) or with ISO 13400 (TCP/IP based),</w:t>
      </w:r>
    </w:p>
    <w:p w:rsidR="00317780" w:rsidRPr="00B04DC3" w:rsidRDefault="00317780" w:rsidP="00317780">
      <w:pPr>
        <w:keepNext/>
        <w:keepLines/>
        <w:tabs>
          <w:tab w:val="left" w:pos="2100"/>
          <w:tab w:val="left" w:pos="2700"/>
        </w:tabs>
        <w:spacing w:after="120"/>
        <w:ind w:left="1701" w:right="1134" w:hanging="567"/>
        <w:jc w:val="both"/>
      </w:pPr>
      <w:r w:rsidRPr="00B04DC3">
        <w:t>(b)</w:t>
      </w:r>
      <w:r w:rsidRPr="00B04DC3">
        <w:tab/>
        <w:t>SAE J1939-73.</w:t>
      </w:r>
    </w:p>
    <w:p w:rsidR="00317780" w:rsidRPr="00B04DC3" w:rsidRDefault="00317780" w:rsidP="00317780">
      <w:pPr>
        <w:keepNext/>
        <w:keepLines/>
        <w:tabs>
          <w:tab w:val="left" w:pos="2300"/>
        </w:tabs>
        <w:spacing w:after="120"/>
        <w:ind w:left="1134" w:right="1134"/>
        <w:jc w:val="both"/>
      </w:pPr>
      <w:r w:rsidRPr="00B04DC3">
        <w:t>In addition there are other ISO or SAE standards that are applicable in accordance with the provisions of this annex.</w:t>
      </w:r>
    </w:p>
    <w:p w:rsidR="00317780" w:rsidRPr="00B04DC3" w:rsidRDefault="00317780" w:rsidP="00317780">
      <w:pPr>
        <w:keepNext/>
        <w:keepLines/>
        <w:tabs>
          <w:tab w:val="left" w:pos="2100"/>
          <w:tab w:val="left" w:pos="2700"/>
        </w:tabs>
        <w:spacing w:after="120"/>
        <w:ind w:left="1134" w:right="1134"/>
        <w:jc w:val="both"/>
      </w:pPr>
      <w:r w:rsidRPr="00B04DC3">
        <w:t>Reference by this annex to ISO 27145 means reference to:</w:t>
      </w:r>
    </w:p>
    <w:p w:rsidR="00317780" w:rsidRPr="00B04DC3" w:rsidRDefault="00317780" w:rsidP="00317780">
      <w:pPr>
        <w:spacing w:after="120"/>
        <w:ind w:left="1701" w:right="1134" w:hanging="567"/>
        <w:jc w:val="both"/>
      </w:pPr>
      <w:r w:rsidRPr="00B04DC3">
        <w:t>(a)</w:t>
      </w:r>
      <w:r w:rsidRPr="00B04DC3">
        <w:tab/>
        <w:t>ISO 27145-1</w:t>
      </w:r>
      <w:r w:rsidRPr="00B04DC3">
        <w:tab/>
        <w:t>Road vehicles — Implementation of WWH-OBD communication requirements — Part 1 — General Information and use case definitions</w:t>
      </w:r>
    </w:p>
    <w:p w:rsidR="00317780" w:rsidRPr="00B04DC3" w:rsidRDefault="00317780" w:rsidP="00317780">
      <w:pPr>
        <w:spacing w:after="120"/>
        <w:ind w:left="1701" w:right="1134" w:hanging="567"/>
        <w:jc w:val="both"/>
      </w:pPr>
      <w:r w:rsidRPr="00B04DC3">
        <w:t>(b)</w:t>
      </w:r>
      <w:r w:rsidRPr="00B04DC3">
        <w:tab/>
        <w:t>ISO 27145-2</w:t>
      </w:r>
      <w:r w:rsidRPr="00B04DC3">
        <w:tab/>
        <w:t>Road vehicles — Implementation of WWH-OBD communication requirements — Part 2 — Common emissions-related data dictionary;</w:t>
      </w:r>
    </w:p>
    <w:p w:rsidR="00317780" w:rsidRPr="00B04DC3" w:rsidRDefault="00317780" w:rsidP="00317780">
      <w:pPr>
        <w:spacing w:after="120"/>
        <w:ind w:left="1701" w:right="1134" w:hanging="567"/>
        <w:jc w:val="both"/>
      </w:pPr>
      <w:r w:rsidRPr="00B04DC3">
        <w:t>(c)</w:t>
      </w:r>
      <w:r w:rsidRPr="00B04DC3">
        <w:tab/>
        <w:t>ISO 27145-3</w:t>
      </w:r>
      <w:r w:rsidRPr="00B04DC3">
        <w:tab/>
        <w:t>Road vehicles — Implementation of WWH-OBD communication requirements — Part 3 — Common message dictionary;</w:t>
      </w:r>
    </w:p>
    <w:p w:rsidR="00317780" w:rsidRPr="00B04DC3" w:rsidRDefault="00317780" w:rsidP="00317780">
      <w:pPr>
        <w:spacing w:after="120"/>
        <w:ind w:left="1701" w:right="1134" w:hanging="567"/>
        <w:jc w:val="both"/>
      </w:pPr>
      <w:r w:rsidRPr="00B04DC3">
        <w:t>(d)</w:t>
      </w:r>
      <w:r w:rsidRPr="00B04DC3">
        <w:tab/>
        <w:t>ISO 27145-4</w:t>
      </w:r>
      <w:r w:rsidRPr="00B04DC3">
        <w:tab/>
        <w:t>Road vehicles — Implementation of WWH-OBD communication requirements — Part 4 — Connection between vehicle and test equipment.</w:t>
      </w:r>
    </w:p>
    <w:p w:rsidR="00317780" w:rsidRPr="00B04DC3" w:rsidRDefault="00317780" w:rsidP="00317780">
      <w:pPr>
        <w:tabs>
          <w:tab w:val="left" w:pos="2300"/>
        </w:tabs>
        <w:spacing w:after="120"/>
        <w:ind w:left="2100" w:right="1134" w:hanging="966"/>
        <w:jc w:val="both"/>
      </w:pPr>
      <w:r w:rsidRPr="00B04DC3">
        <w:t>Reference by this annex to J1939-73 means reference to:</w:t>
      </w:r>
    </w:p>
    <w:p w:rsidR="00317780" w:rsidRPr="00B04DC3" w:rsidRDefault="00317780" w:rsidP="00317780">
      <w:pPr>
        <w:tabs>
          <w:tab w:val="left" w:pos="2300"/>
        </w:tabs>
        <w:spacing w:after="120"/>
        <w:ind w:left="2100" w:right="1134" w:hanging="966"/>
        <w:jc w:val="both"/>
        <w:rPr>
          <w:rFonts w:ascii="(Utiliser une police de caractè" w:hAnsi="(Utiliser une police de caractè"/>
        </w:rPr>
      </w:pPr>
      <w:r w:rsidRPr="00B04DC3">
        <w:rPr>
          <w:rFonts w:ascii="(Utiliser une police de caractè" w:hAnsi="(Utiliser une police de caractè"/>
        </w:rPr>
        <w:t>J1939-73 "APPLICATION LAYER - DIAGNOSTICS", dated on year 2011.</w:t>
      </w:r>
    </w:p>
    <w:p w:rsidR="00317780" w:rsidRPr="00B04DC3" w:rsidRDefault="00317780" w:rsidP="00317780">
      <w:pPr>
        <w:tabs>
          <w:tab w:val="left" w:pos="2300"/>
        </w:tabs>
        <w:spacing w:after="120"/>
        <w:ind w:left="2100" w:right="1134" w:hanging="966"/>
        <w:jc w:val="both"/>
        <w:rPr>
          <w:rFonts w:ascii="(Utiliser une police de caractè" w:hAnsi="(Utiliser une police de caractè"/>
        </w:rPr>
      </w:pPr>
      <w:r w:rsidRPr="00B04DC3">
        <w:rPr>
          <w:rFonts w:ascii="(Utiliser une police de caractè" w:hAnsi="(Utiliser une police de caractè"/>
        </w:rPr>
        <w:t>Reference by this annex to ISO 13400 means reference to:</w:t>
      </w:r>
    </w:p>
    <w:p w:rsidR="00317780" w:rsidRPr="00B04DC3" w:rsidRDefault="00317780" w:rsidP="00317780">
      <w:pPr>
        <w:tabs>
          <w:tab w:val="left" w:pos="2100"/>
          <w:tab w:val="left" w:pos="2700"/>
        </w:tabs>
        <w:spacing w:after="120"/>
        <w:ind w:left="1701" w:right="1134" w:hanging="567"/>
        <w:jc w:val="both"/>
        <w:rPr>
          <w:rFonts w:ascii="(Utiliser une police de caractè" w:hAnsi="(Utiliser une police de caractè"/>
        </w:rPr>
      </w:pPr>
      <w:r w:rsidRPr="00B04DC3">
        <w:rPr>
          <w:rFonts w:ascii="(Utiliser une police de caractè" w:hAnsi="(Utiliser une police de caractè"/>
        </w:rPr>
        <w:t>(a)</w:t>
      </w:r>
      <w:r w:rsidRPr="00B04DC3">
        <w:rPr>
          <w:rFonts w:ascii="(Utiliser une police de caractè" w:hAnsi="(Utiliser une police de caractè"/>
        </w:rPr>
        <w:tab/>
        <w:t>FDIS 13400-1: 2011 Road vehicles — Diagnostic communication over Internet Protocol (DoIP) — Part 1: General information and use case definition;</w:t>
      </w:r>
    </w:p>
    <w:p w:rsidR="00317780" w:rsidRPr="00B04DC3" w:rsidRDefault="00317780" w:rsidP="00317780">
      <w:pPr>
        <w:tabs>
          <w:tab w:val="left" w:pos="2100"/>
          <w:tab w:val="left" w:pos="2700"/>
        </w:tabs>
        <w:spacing w:after="120"/>
        <w:ind w:left="1701" w:right="1134" w:hanging="567"/>
        <w:jc w:val="both"/>
        <w:rPr>
          <w:rFonts w:ascii="(Utiliser une police de caractè" w:hAnsi="(Utiliser une police de caractè"/>
        </w:rPr>
      </w:pPr>
      <w:r w:rsidRPr="00B04DC3">
        <w:rPr>
          <w:rFonts w:ascii="(Utiliser une police de caractè" w:hAnsi="(Utiliser une police de caractè"/>
        </w:rPr>
        <w:t>(b)</w:t>
      </w:r>
      <w:r w:rsidRPr="00B04DC3">
        <w:rPr>
          <w:rFonts w:ascii="(Utiliser une police de caractè" w:hAnsi="(Utiliser une police de caractè"/>
        </w:rPr>
        <w:tab/>
        <w:t>FDIS 13400-3: 2011 Road vehicles — Diagnostic communication over Internet Protocol (DoIP) — Part 2 — Network and transport layer requirements and services;</w:t>
      </w:r>
    </w:p>
    <w:p w:rsidR="00317780" w:rsidRPr="00B04DC3" w:rsidRDefault="00317780" w:rsidP="00317780">
      <w:pPr>
        <w:tabs>
          <w:tab w:val="left" w:pos="2100"/>
          <w:tab w:val="left" w:pos="2700"/>
        </w:tabs>
        <w:spacing w:after="120"/>
        <w:ind w:left="1701" w:right="1134" w:hanging="567"/>
        <w:jc w:val="both"/>
        <w:rPr>
          <w:rFonts w:ascii="(Utiliser une police de caractè" w:hAnsi="(Utiliser une police de caractè"/>
        </w:rPr>
      </w:pPr>
      <w:r w:rsidRPr="00B04DC3">
        <w:rPr>
          <w:rFonts w:ascii="(Utiliser une police de caractè" w:hAnsi="(Utiliser une police de caractè"/>
        </w:rPr>
        <w:t>(c)</w:t>
      </w:r>
      <w:r w:rsidRPr="00B04DC3">
        <w:rPr>
          <w:rFonts w:ascii="(Utiliser une police de caractè" w:hAnsi="(Utiliser une police de caractè"/>
        </w:rPr>
        <w:tab/>
        <w:t>FDIS 13400-3: 2011 Road vehicles — Diagnostic communication over Internet Protocol (DoIP) — Part 3: IEEE 802.3 based wired vehicle interface;</w:t>
      </w:r>
    </w:p>
    <w:p w:rsidR="00317780" w:rsidRPr="00B04DC3" w:rsidRDefault="00317780" w:rsidP="00317780">
      <w:pPr>
        <w:pStyle w:val="para"/>
        <w:ind w:left="1701" w:hanging="567"/>
        <w:rPr>
          <w:rFonts w:ascii="(Utiliser une police de caractè" w:hAnsi="(Utiliser une police de caractè"/>
          <w:lang w:val="en-GB"/>
        </w:rPr>
      </w:pPr>
      <w:r w:rsidRPr="00B04DC3">
        <w:rPr>
          <w:rFonts w:ascii="(Utiliser une police de caractè" w:hAnsi="(Utiliser une police de caractè"/>
          <w:lang w:val="en-GB"/>
        </w:rPr>
        <w:t>(d)</w:t>
      </w:r>
      <w:r w:rsidRPr="00B04DC3">
        <w:rPr>
          <w:rFonts w:ascii="(Utiliser une police de caractè" w:hAnsi="(Utiliser une police de caractè"/>
          <w:lang w:val="en-GB"/>
        </w:rPr>
        <w:tab/>
        <w:t>Not yet finalised [13400-4: 2011 Road vehicles — Diagnostic communication over Internet Protocol (DoIP) — Part 4: Ethernet-based high-speed data link connector].</w:t>
      </w:r>
    </w:p>
    <w:p w:rsidR="00AF2027" w:rsidRPr="00B04DC3" w:rsidRDefault="00AF2027" w:rsidP="00AF2027">
      <w:pPr>
        <w:pStyle w:val="para"/>
        <w:ind w:firstLine="0"/>
        <w:rPr>
          <w:lang w:val="en-GB"/>
        </w:rPr>
      </w:pPr>
    </w:p>
    <w:p w:rsidR="00AF2027" w:rsidRPr="00B04DC3" w:rsidRDefault="00AF2027" w:rsidP="00AF2027">
      <w:pPr>
        <w:pStyle w:val="GTRnormal3"/>
        <w:numPr>
          <w:ilvl w:val="0"/>
          <w:numId w:val="0"/>
        </w:numPr>
        <w:jc w:val="both"/>
        <w:rPr>
          <w:rFonts w:ascii="Times New Roman" w:hAnsi="Times New Roman" w:cs="Times New Roman"/>
          <w:sz w:val="24"/>
        </w:rPr>
        <w:sectPr w:rsidR="00AF2027" w:rsidRPr="00B04DC3" w:rsidSect="00393280">
          <w:headerReference w:type="even" r:id="rId699"/>
          <w:headerReference w:type="default" r:id="rId700"/>
          <w:footerReference w:type="default" r:id="rId701"/>
          <w:footnotePr>
            <w:numRestart w:val="eachSect"/>
          </w:footnotePr>
          <w:endnotePr>
            <w:numFmt w:val="decimal"/>
          </w:endnotePr>
          <w:type w:val="nextColumn"/>
          <w:pgSz w:w="11906" w:h="16838"/>
          <w:pgMar w:top="1701" w:right="1134" w:bottom="2268" w:left="1134" w:header="1134" w:footer="1701" w:gutter="0"/>
          <w:cols w:space="708"/>
          <w:docGrid w:linePitch="360"/>
        </w:sectPr>
      </w:pPr>
    </w:p>
    <w:p w:rsidR="00AF2027" w:rsidRPr="00B04DC3" w:rsidRDefault="00AF2027" w:rsidP="00AF2027">
      <w:pPr>
        <w:pStyle w:val="HChG"/>
      </w:pPr>
      <w:bookmarkStart w:id="1127" w:name="_Toc423599710"/>
      <w:bookmarkStart w:id="1128" w:name="_Toc423611118"/>
      <w:r w:rsidRPr="00B04DC3">
        <w:t>Annex 9B</w:t>
      </w:r>
      <w:r w:rsidR="00D53851">
        <w:t xml:space="preserve"> - </w:t>
      </w:r>
      <w:r w:rsidRPr="00B04DC3">
        <w:t>Appendix 7</w:t>
      </w:r>
      <w:bookmarkEnd w:id="1127"/>
      <w:bookmarkEnd w:id="1128"/>
    </w:p>
    <w:p w:rsidR="00AF2027" w:rsidRPr="00B04DC3" w:rsidRDefault="00AF2027" w:rsidP="00D00E61">
      <w:pPr>
        <w:pStyle w:val="HChG"/>
        <w:spacing w:after="360"/>
        <w:rPr>
          <w:highlight w:val="cyan"/>
        </w:rPr>
      </w:pPr>
      <w:r w:rsidRPr="00B04DC3">
        <w:rPr>
          <w:iCs/>
        </w:rPr>
        <w:tab/>
      </w:r>
      <w:r w:rsidRPr="00B04DC3">
        <w:rPr>
          <w:iCs/>
        </w:rPr>
        <w:tab/>
      </w:r>
      <w:bookmarkStart w:id="1129" w:name="_Toc423599711"/>
      <w:bookmarkStart w:id="1130" w:name="_Toc423611119"/>
      <w:r w:rsidRPr="00B04DC3">
        <w:rPr>
          <w:iCs/>
        </w:rPr>
        <w:t>Documentation regarding OBD related information</w:t>
      </w:r>
      <w:bookmarkEnd w:id="1129"/>
      <w:bookmarkEnd w:id="1130"/>
    </w:p>
    <w:p w:rsidR="00AF2027" w:rsidRPr="00B04DC3" w:rsidRDefault="00AF2027" w:rsidP="0099679A">
      <w:pPr>
        <w:pStyle w:val="para"/>
        <w:ind w:left="1134" w:firstLine="0"/>
        <w:rPr>
          <w:rFonts w:eastAsia="EUAlbertina-Regular-Identity-H"/>
          <w:lang w:val="en-GB" w:eastAsia="en-GB"/>
        </w:rPr>
      </w:pPr>
      <w:r w:rsidRPr="00B04DC3">
        <w:rPr>
          <w:lang w:val="en-GB"/>
        </w:rPr>
        <w:t>The OBD related information requested by this appendix shall be provided by the vehicle manufacturer for the purposes of enabling the manufacture of OBD-compatible replacement or service parts and diagnostic tools and test equipment in the manner prescribed in the main part of this Regulation.</w:t>
      </w:r>
    </w:p>
    <w:p w:rsidR="00AF2027" w:rsidRPr="00B04DC3" w:rsidRDefault="00AF2027" w:rsidP="0099679A">
      <w:pPr>
        <w:pStyle w:val="para"/>
        <w:ind w:left="1134" w:firstLine="0"/>
        <w:rPr>
          <w:rFonts w:eastAsia="EUAlbertina-Bold-Identity-H"/>
          <w:lang w:val="en-GB"/>
        </w:rPr>
      </w:pPr>
      <w:r w:rsidRPr="00B04DC3">
        <w:rPr>
          <w:rFonts w:eastAsia="EUAlbertina-Bold-Identity-H"/>
          <w:lang w:val="en-GB"/>
        </w:rPr>
        <w:t>Replacement parts, diagnostic tools and test equipment</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The information shall enable manufacturers of replacement or retrofit components to make the parts they manufacture compatible with the OBD system with a view to fault-free operation assuring the vehicle user against malfunctions. Similarly, such relevant information shall enable the manufacturers of diagnostic tools and test equipment to make tools and equipment that provide for effective and accurate diagnosis of emission control systems.</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In the case of replacement or service components, information can only be requested for such components that are subject to type</w:t>
      </w:r>
      <w:r w:rsidR="00E35ECD">
        <w:rPr>
          <w:rFonts w:eastAsia="EUAlbertina-Regular-Identity-H"/>
          <w:lang w:val="en-GB" w:eastAsia="en-GB"/>
        </w:rPr>
        <w:t xml:space="preserve"> </w:t>
      </w:r>
      <w:r w:rsidRPr="00B04DC3">
        <w:rPr>
          <w:rFonts w:eastAsia="EUAlbertina-Regular-Identity-H"/>
          <w:lang w:val="en-GB" w:eastAsia="en-GB"/>
        </w:rPr>
        <w:t>approval, or for components that form part of a system that is subject to type</w:t>
      </w:r>
      <w:r w:rsidR="00E35ECD">
        <w:rPr>
          <w:rFonts w:eastAsia="EUAlbertina-Regular-Identity-H"/>
          <w:lang w:val="en-GB" w:eastAsia="en-GB"/>
        </w:rPr>
        <w:t xml:space="preserve"> </w:t>
      </w:r>
      <w:r w:rsidRPr="00B04DC3">
        <w:rPr>
          <w:rFonts w:eastAsia="EUAlbertina-Regular-Identity-H"/>
          <w:lang w:val="en-GB" w:eastAsia="en-GB"/>
        </w:rPr>
        <w:t>approval.</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 xml:space="preserve">The request for information </w:t>
      </w:r>
      <w:r w:rsidR="00EE140A" w:rsidRPr="00B04DC3">
        <w:rPr>
          <w:rFonts w:eastAsia="EUAlbertina-Regular-Identity-H"/>
          <w:lang w:val="en-GB" w:eastAsia="en-GB"/>
        </w:rPr>
        <w:t>shall</w:t>
      </w:r>
      <w:r w:rsidRPr="00B04DC3">
        <w:rPr>
          <w:rFonts w:eastAsia="EUAlbertina-Regular-Identity-H"/>
          <w:lang w:val="en-GB" w:eastAsia="en-GB"/>
        </w:rPr>
        <w:t xml:space="preserve"> identify the exact specification of the engine model type/engine model type within an engine family for which the information is required. It </w:t>
      </w:r>
      <w:r w:rsidR="00EE140A" w:rsidRPr="00B04DC3">
        <w:rPr>
          <w:rFonts w:eastAsia="EUAlbertina-Regular-Identity-H"/>
          <w:lang w:val="en-GB" w:eastAsia="en-GB"/>
        </w:rPr>
        <w:t>shall</w:t>
      </w:r>
      <w:r w:rsidRPr="00B04DC3">
        <w:rPr>
          <w:rFonts w:eastAsia="EUAlbertina-Regular-Identity-H"/>
          <w:lang w:val="en-GB" w:eastAsia="en-GB"/>
        </w:rPr>
        <w:t xml:space="preserve"> confirm that the information is required for the development of replacement or retrofit parts or components or diagnostic tools or test equipment.</w:t>
      </w:r>
    </w:p>
    <w:p w:rsidR="00AF2027" w:rsidRPr="00B04DC3" w:rsidRDefault="00AF2027" w:rsidP="0099679A">
      <w:pPr>
        <w:pStyle w:val="para"/>
        <w:ind w:left="1134"/>
        <w:rPr>
          <w:rFonts w:eastAsia="EUAlbertina-Bold-Identity-H"/>
          <w:lang w:val="en-GB"/>
        </w:rPr>
      </w:pPr>
      <w:r w:rsidRPr="00B04DC3">
        <w:rPr>
          <w:rFonts w:eastAsia="EUAlbertina-Regular-Identity-H"/>
          <w:lang w:val="en-GB" w:eastAsia="en-GB"/>
        </w:rPr>
        <w:tab/>
      </w:r>
      <w:r w:rsidRPr="00B04DC3">
        <w:rPr>
          <w:rFonts w:eastAsia="EUAlbertina-Bold-Identity-H"/>
          <w:lang w:val="en-GB"/>
        </w:rPr>
        <w:t>Repair information</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No</w:t>
      </w:r>
      <w:r w:rsidR="00E35ECD">
        <w:rPr>
          <w:rFonts w:eastAsia="EUAlbertina-Regular-Identity-H"/>
          <w:lang w:val="en-GB" w:eastAsia="en-GB"/>
        </w:rPr>
        <w:t>t</w:t>
      </w:r>
      <w:r w:rsidRPr="00B04DC3">
        <w:rPr>
          <w:rFonts w:eastAsia="EUAlbertina-Regular-Identity-H"/>
          <w:lang w:val="en-GB" w:eastAsia="en-GB"/>
        </w:rPr>
        <w:t xml:space="preserve"> later than three months after the manufacturer has provided any authorised dealer or repair shop with repair information, the manufacturer shall make that information (including all subsequent amendments and supplements) available upon reasonable and non-discriminatory payment.</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 xml:space="preserve">The manufacturer </w:t>
      </w:r>
      <w:r w:rsidR="00EE140A" w:rsidRPr="00B04DC3">
        <w:rPr>
          <w:rFonts w:eastAsia="EUAlbertina-Regular-Identity-H"/>
          <w:lang w:val="en-GB" w:eastAsia="en-GB"/>
        </w:rPr>
        <w:t>shall</w:t>
      </w:r>
      <w:r w:rsidRPr="00B04DC3">
        <w:rPr>
          <w:rFonts w:eastAsia="EUAlbertina-Regular-Identity-H"/>
          <w:lang w:val="en-GB" w:eastAsia="en-GB"/>
        </w:rPr>
        <w:t xml:space="preserve"> also make accessible, where appropriate upon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w:t>
      </w:r>
      <w:r w:rsidR="00EE140A" w:rsidRPr="00B04DC3">
        <w:rPr>
          <w:rFonts w:eastAsia="EUAlbertina-Regular-Identity-H"/>
          <w:lang w:val="en-GB" w:eastAsia="en-GB"/>
        </w:rPr>
        <w:t>shall</w:t>
      </w:r>
      <w:r w:rsidRPr="00B04DC3">
        <w:rPr>
          <w:rFonts w:eastAsia="EUAlbertina-Regular-Identity-H"/>
          <w:lang w:val="en-GB" w:eastAsia="en-GB"/>
        </w:rPr>
        <w:t xml:space="preserve"> not be withheld improperly.</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Entitled to such information is any person engaged in commercially servicing or repairing, road-side rescuing, inspecting or testing of vehicles or in manufacturing or selling replacement or retro-fit components, diagnostic tools and test equipment.</w:t>
      </w:r>
    </w:p>
    <w:p w:rsidR="00AF2027" w:rsidRPr="00B04DC3" w:rsidRDefault="00AF2027" w:rsidP="0099679A">
      <w:pPr>
        <w:pStyle w:val="para"/>
        <w:ind w:left="1134" w:firstLine="0"/>
        <w:rPr>
          <w:rFonts w:eastAsia="EUAlbertina-Regular-Identity-H"/>
          <w:lang w:val="en-GB" w:eastAsia="en-GB"/>
        </w:rPr>
      </w:pPr>
      <w:r w:rsidRPr="00B04DC3">
        <w:rPr>
          <w:rFonts w:eastAsia="EUAlbertina-Regular-Identity-H"/>
          <w:lang w:val="en-GB" w:eastAsia="en-GB"/>
        </w:rPr>
        <w:t xml:space="preserve">In the event of failure to comply with these provisions the </w:t>
      </w:r>
      <w:r w:rsidR="0099679A" w:rsidRPr="00D53851">
        <w:t xml:space="preserve">Type </w:t>
      </w:r>
      <w:r w:rsidRPr="00B04DC3">
        <w:rPr>
          <w:rFonts w:eastAsia="EUAlbertina-Regular-Identity-H"/>
          <w:lang w:val="en-GB" w:eastAsia="en-GB"/>
        </w:rPr>
        <w:t>Approval Authority shall take appropriate measures to ensure that repair information is available, in accordance with the procedures laid down for type</w:t>
      </w:r>
      <w:r w:rsidR="0099679A">
        <w:rPr>
          <w:rFonts w:eastAsia="EUAlbertina-Regular-Identity-H"/>
          <w:lang w:val="en-GB" w:eastAsia="en-GB"/>
        </w:rPr>
        <w:t xml:space="preserve"> </w:t>
      </w:r>
      <w:r w:rsidRPr="00B04DC3">
        <w:rPr>
          <w:rFonts w:eastAsia="EUAlbertina-Regular-Identity-H"/>
          <w:lang w:val="en-GB" w:eastAsia="en-GB"/>
        </w:rPr>
        <w:t>approval and in-service surveys.</w:t>
      </w:r>
    </w:p>
    <w:p w:rsidR="00AF2027" w:rsidRPr="00B04DC3" w:rsidRDefault="00AF2027" w:rsidP="00AF2027">
      <w:pPr>
        <w:pStyle w:val="para"/>
        <w:ind w:firstLine="0"/>
        <w:rPr>
          <w:rFonts w:eastAsia="EUAlbertina-Regular-Identity-H"/>
          <w:lang w:val="en-GB" w:eastAsia="en-GB"/>
        </w:rPr>
        <w:sectPr w:rsidR="00AF2027" w:rsidRPr="00B04DC3" w:rsidSect="00393280">
          <w:headerReference w:type="first" r:id="rId702"/>
          <w:footerReference w:type="first" r:id="rId703"/>
          <w:footnotePr>
            <w:numRestart w:val="eachSect"/>
          </w:footnotePr>
          <w:endnotePr>
            <w:numFmt w:val="decimal"/>
          </w:endnotePr>
          <w:pgSz w:w="11907" w:h="16840" w:code="9"/>
          <w:pgMar w:top="1701" w:right="1134" w:bottom="2268" w:left="1134" w:header="1134" w:footer="1701" w:gutter="0"/>
          <w:cols w:space="720"/>
          <w:titlePg/>
        </w:sectPr>
      </w:pPr>
    </w:p>
    <w:p w:rsidR="00AF2027" w:rsidRPr="00B04DC3" w:rsidRDefault="00AF2027" w:rsidP="00AF2027">
      <w:pPr>
        <w:pStyle w:val="HChG"/>
      </w:pPr>
      <w:bookmarkStart w:id="1131" w:name="_Toc423599712"/>
      <w:bookmarkStart w:id="1132" w:name="_Toc423611120"/>
      <w:r w:rsidRPr="00B04DC3">
        <w:t>Annex 9C</w:t>
      </w:r>
      <w:bookmarkEnd w:id="1131"/>
      <w:bookmarkEnd w:id="1132"/>
    </w:p>
    <w:p w:rsidR="00AF2027" w:rsidRPr="00B04DC3" w:rsidRDefault="00AF2027" w:rsidP="00D00E61">
      <w:pPr>
        <w:pStyle w:val="HChG"/>
        <w:spacing w:after="360"/>
        <w:rPr>
          <w:highlight w:val="yellow"/>
          <w:lang w:eastAsia="en-GB"/>
        </w:rPr>
      </w:pPr>
      <w:r w:rsidRPr="00B04DC3">
        <w:rPr>
          <w:lang w:eastAsia="en-GB"/>
        </w:rPr>
        <w:tab/>
      </w:r>
      <w:r w:rsidRPr="00B04DC3">
        <w:rPr>
          <w:lang w:eastAsia="en-GB"/>
        </w:rPr>
        <w:tab/>
      </w:r>
      <w:bookmarkStart w:id="1133" w:name="_Toc423599713"/>
      <w:bookmarkStart w:id="1134" w:name="_Toc423611121"/>
      <w:r w:rsidRPr="00B04DC3">
        <w:rPr>
          <w:lang w:eastAsia="en-GB"/>
        </w:rPr>
        <w:t xml:space="preserve">Technical requirements for assessing the in-use performance of </w:t>
      </w:r>
      <w:r w:rsidR="0099679A">
        <w:rPr>
          <w:lang w:eastAsia="en-GB"/>
        </w:rPr>
        <w:t>O</w:t>
      </w:r>
      <w:r w:rsidR="0099679A" w:rsidRPr="00B04DC3">
        <w:rPr>
          <w:lang w:eastAsia="en-GB"/>
        </w:rPr>
        <w:t>n</w:t>
      </w:r>
      <w:r w:rsidRPr="00B04DC3">
        <w:rPr>
          <w:lang w:eastAsia="en-GB"/>
        </w:rPr>
        <w:t>-</w:t>
      </w:r>
      <w:r w:rsidR="0099679A">
        <w:rPr>
          <w:lang w:eastAsia="en-GB"/>
        </w:rPr>
        <w:t>B</w:t>
      </w:r>
      <w:r w:rsidR="0099679A" w:rsidRPr="00B04DC3">
        <w:rPr>
          <w:lang w:eastAsia="en-GB"/>
        </w:rPr>
        <w:t xml:space="preserve">oard </w:t>
      </w:r>
      <w:r w:rsidR="0099679A">
        <w:rPr>
          <w:lang w:eastAsia="en-GB"/>
        </w:rPr>
        <w:t>D</w:t>
      </w:r>
      <w:r w:rsidR="0099679A" w:rsidRPr="00B04DC3">
        <w:rPr>
          <w:lang w:eastAsia="en-GB"/>
        </w:rPr>
        <w:t xml:space="preserve">iagnostic </w:t>
      </w:r>
      <w:r w:rsidRPr="00B04DC3">
        <w:rPr>
          <w:lang w:eastAsia="en-GB"/>
        </w:rPr>
        <w:t>systems (OBD)</w:t>
      </w:r>
      <w:bookmarkEnd w:id="1133"/>
      <w:bookmarkEnd w:id="1134"/>
    </w:p>
    <w:p w:rsidR="00AF2027" w:rsidRPr="00B04DC3" w:rsidRDefault="00AF2027" w:rsidP="00AF2027">
      <w:pPr>
        <w:pStyle w:val="para"/>
        <w:rPr>
          <w:lang w:val="en-GB"/>
        </w:rPr>
      </w:pPr>
      <w:r w:rsidRPr="00B04DC3">
        <w:rPr>
          <w:lang w:val="en-GB"/>
        </w:rPr>
        <w:t>1.</w:t>
      </w:r>
      <w:r w:rsidRPr="00B04DC3">
        <w:rPr>
          <w:lang w:val="en-GB"/>
        </w:rPr>
        <w:tab/>
        <w:t>Applicability</w:t>
      </w:r>
    </w:p>
    <w:p w:rsidR="00AF2027" w:rsidRPr="00B04DC3" w:rsidRDefault="00AF2027" w:rsidP="00AF2027">
      <w:pPr>
        <w:pStyle w:val="para"/>
        <w:rPr>
          <w:lang w:val="en-GB"/>
        </w:rPr>
      </w:pPr>
      <w:r w:rsidRPr="00B04DC3">
        <w:rPr>
          <w:lang w:val="en-GB"/>
        </w:rPr>
        <w:tab/>
        <w:t>In its current version, this annex is only applicable to road-vehicles equipped with a Diesel engine</w:t>
      </w:r>
    </w:p>
    <w:p w:rsidR="00AF2027" w:rsidRPr="00B04DC3" w:rsidRDefault="00AF2027" w:rsidP="00AF2027">
      <w:pPr>
        <w:pStyle w:val="para"/>
        <w:rPr>
          <w:lang w:val="en-GB"/>
        </w:rPr>
      </w:pPr>
      <w:r w:rsidRPr="00B04DC3">
        <w:rPr>
          <w:lang w:val="en-GB"/>
        </w:rPr>
        <w:t>2.</w:t>
      </w:r>
      <w:r w:rsidRPr="00B04DC3">
        <w:rPr>
          <w:lang w:val="en-GB"/>
        </w:rPr>
        <w:tab/>
        <w:t>(Reserved)</w:t>
      </w:r>
    </w:p>
    <w:p w:rsidR="00AF2027" w:rsidRPr="00B04DC3" w:rsidRDefault="00AF2027" w:rsidP="00AF2027">
      <w:pPr>
        <w:pStyle w:val="para"/>
        <w:rPr>
          <w:lang w:val="en-GB"/>
        </w:rPr>
      </w:pPr>
      <w:r w:rsidRPr="00B04DC3">
        <w:rPr>
          <w:lang w:val="en-GB"/>
        </w:rPr>
        <w:t>3.</w:t>
      </w:r>
      <w:r w:rsidRPr="00B04DC3">
        <w:rPr>
          <w:lang w:val="en-GB"/>
        </w:rPr>
        <w:tab/>
        <w:t>Definitions</w:t>
      </w:r>
    </w:p>
    <w:p w:rsidR="00AF2027" w:rsidRPr="00B04DC3" w:rsidRDefault="00AF2027" w:rsidP="00AF2027">
      <w:pPr>
        <w:pStyle w:val="para"/>
        <w:rPr>
          <w:lang w:val="en-GB"/>
        </w:rPr>
      </w:pPr>
      <w:r w:rsidRPr="00B04DC3">
        <w:rPr>
          <w:lang w:val="en-GB"/>
        </w:rPr>
        <w:t>3.1.</w:t>
      </w:r>
      <w:r w:rsidRPr="00B04DC3">
        <w:rPr>
          <w:lang w:val="en-GB"/>
        </w:rPr>
        <w:tab/>
        <w:t>"</w:t>
      </w:r>
      <w:r w:rsidRPr="00B04DC3">
        <w:rPr>
          <w:i/>
          <w:lang w:val="en-GB"/>
        </w:rPr>
        <w:t>In-</w:t>
      </w:r>
      <w:r w:rsidR="00E35ECD">
        <w:rPr>
          <w:i/>
          <w:lang w:val="en-GB"/>
        </w:rPr>
        <w:t>u</w:t>
      </w:r>
      <w:r w:rsidR="00E35ECD" w:rsidRPr="00B04DC3">
        <w:rPr>
          <w:i/>
          <w:lang w:val="en-GB"/>
        </w:rPr>
        <w:t xml:space="preserve">se </w:t>
      </w:r>
      <w:r w:rsidRPr="00B04DC3">
        <w:rPr>
          <w:i/>
          <w:lang w:val="en-GB"/>
        </w:rPr>
        <w:t>performance ratio</w:t>
      </w:r>
      <w:r w:rsidRPr="00B04DC3">
        <w:rPr>
          <w:lang w:val="en-GB"/>
        </w:rPr>
        <w:t>"</w:t>
      </w:r>
    </w:p>
    <w:p w:rsidR="00AF2027" w:rsidRPr="00B04DC3" w:rsidRDefault="00AF2027" w:rsidP="00AF2027">
      <w:pPr>
        <w:pStyle w:val="para"/>
        <w:rPr>
          <w:lang w:val="en-GB"/>
        </w:rPr>
      </w:pPr>
      <w:r w:rsidRPr="00B04DC3">
        <w:rPr>
          <w:lang w:val="en-GB"/>
        </w:rPr>
        <w:tab/>
        <w:t xml:space="preserve">The </w:t>
      </w:r>
      <w:r w:rsidR="00E35ECD">
        <w:rPr>
          <w:lang w:val="en-GB"/>
        </w:rPr>
        <w:t>I</w:t>
      </w:r>
      <w:r w:rsidR="00E35ECD" w:rsidRPr="00B04DC3">
        <w:rPr>
          <w:lang w:val="en-GB"/>
        </w:rPr>
        <w:t>n</w:t>
      </w:r>
      <w:r w:rsidRPr="00B04DC3">
        <w:rPr>
          <w:lang w:val="en-GB"/>
        </w:rPr>
        <w:t>-</w:t>
      </w:r>
      <w:r w:rsidR="00E35ECD">
        <w:rPr>
          <w:lang w:val="en-GB"/>
        </w:rPr>
        <w:t>U</w:t>
      </w:r>
      <w:r w:rsidR="00E35ECD" w:rsidRPr="00B04DC3">
        <w:rPr>
          <w:lang w:val="en-GB"/>
        </w:rPr>
        <w:t xml:space="preserve">se </w:t>
      </w:r>
      <w:r w:rsidR="00E35ECD">
        <w:rPr>
          <w:lang w:val="en-GB"/>
        </w:rPr>
        <w:t>P</w:t>
      </w:r>
      <w:r w:rsidR="00E35ECD" w:rsidRPr="00B04DC3">
        <w:rPr>
          <w:lang w:val="en-GB"/>
        </w:rPr>
        <w:t xml:space="preserve">erformance </w:t>
      </w:r>
      <w:r w:rsidR="00E35ECD">
        <w:rPr>
          <w:lang w:val="en-GB"/>
        </w:rPr>
        <w:t>R</w:t>
      </w:r>
      <w:r w:rsidR="00E35ECD" w:rsidRPr="00B04DC3">
        <w:rPr>
          <w:lang w:val="en-GB"/>
        </w:rPr>
        <w:t xml:space="preserve">atio </w:t>
      </w:r>
      <w:r w:rsidRPr="00B04DC3">
        <w:rPr>
          <w:lang w:val="en-GB"/>
        </w:rPr>
        <w:t>(IUPR) of a specific monitor m of the OBD system is:  IUPR</w:t>
      </w:r>
      <w:r w:rsidRPr="00B04DC3">
        <w:rPr>
          <w:vertAlign w:val="subscript"/>
          <w:lang w:val="en-GB"/>
        </w:rPr>
        <w:t>m</w:t>
      </w:r>
      <w:r w:rsidRPr="00B04DC3">
        <w:rPr>
          <w:lang w:val="en-GB"/>
        </w:rPr>
        <w:t xml:space="preserve"> = Numerator</w:t>
      </w:r>
      <w:r w:rsidRPr="00B04DC3">
        <w:rPr>
          <w:vertAlign w:val="subscript"/>
          <w:lang w:val="en-GB"/>
        </w:rPr>
        <w:t>m</w:t>
      </w:r>
      <w:r w:rsidRPr="00B04DC3">
        <w:rPr>
          <w:lang w:val="en-GB"/>
        </w:rPr>
        <w:t xml:space="preserve"> / Denominator</w:t>
      </w:r>
      <w:r w:rsidRPr="00B04DC3">
        <w:rPr>
          <w:vertAlign w:val="subscript"/>
          <w:lang w:val="en-GB"/>
        </w:rPr>
        <w:t>m</w:t>
      </w:r>
    </w:p>
    <w:p w:rsidR="00AF2027" w:rsidRPr="00B04DC3" w:rsidRDefault="00AF2027" w:rsidP="00AF2027">
      <w:pPr>
        <w:pStyle w:val="para"/>
        <w:rPr>
          <w:lang w:val="en-GB"/>
        </w:rPr>
      </w:pPr>
      <w:r w:rsidRPr="00B04DC3">
        <w:rPr>
          <w:lang w:val="en-GB"/>
        </w:rPr>
        <w:t>3.2.</w:t>
      </w:r>
      <w:r w:rsidRPr="00B04DC3">
        <w:rPr>
          <w:lang w:val="en-GB"/>
        </w:rPr>
        <w:tab/>
        <w:t>"</w:t>
      </w:r>
      <w:r w:rsidRPr="00B04DC3">
        <w:rPr>
          <w:i/>
          <w:lang w:val="en-GB"/>
        </w:rPr>
        <w:t>Numerator</w:t>
      </w:r>
      <w:r w:rsidRPr="00B04DC3">
        <w:rPr>
          <w:lang w:val="en-GB"/>
        </w:rPr>
        <w:t>"</w:t>
      </w:r>
    </w:p>
    <w:p w:rsidR="00AF2027" w:rsidRPr="00B04DC3" w:rsidRDefault="00AF2027" w:rsidP="00AF2027">
      <w:pPr>
        <w:pStyle w:val="para"/>
        <w:rPr>
          <w:lang w:val="en-GB"/>
        </w:rPr>
      </w:pPr>
      <w:r w:rsidRPr="00B04DC3">
        <w:rPr>
          <w:lang w:val="en-GB"/>
        </w:rPr>
        <w:tab/>
        <w:t>The numerator of a specific monitor m (Numerator</w:t>
      </w:r>
      <w:r w:rsidRPr="00B04DC3">
        <w:rPr>
          <w:vertAlign w:val="subscript"/>
          <w:lang w:val="en-GB"/>
        </w:rPr>
        <w:t>m</w:t>
      </w:r>
      <w:r w:rsidRPr="00B04DC3">
        <w:rPr>
          <w:lang w:val="en-GB"/>
        </w:rPr>
        <w:t>) is a counter indicating the number of times a vehicle has been operated such that all monitoring conditions necessary for that specific monitor to detect a malfunction have been encountered.</w:t>
      </w:r>
    </w:p>
    <w:p w:rsidR="00AF2027" w:rsidRPr="00B04DC3" w:rsidRDefault="00AF2027" w:rsidP="00AF2027">
      <w:pPr>
        <w:pStyle w:val="para"/>
        <w:rPr>
          <w:lang w:val="en-GB"/>
        </w:rPr>
      </w:pPr>
      <w:r w:rsidRPr="00B04DC3">
        <w:rPr>
          <w:lang w:val="en-GB"/>
        </w:rPr>
        <w:t>3.3.</w:t>
      </w:r>
      <w:r w:rsidRPr="00B04DC3">
        <w:rPr>
          <w:lang w:val="en-GB"/>
        </w:rPr>
        <w:tab/>
        <w:t>"</w:t>
      </w:r>
      <w:r w:rsidRPr="00B04DC3">
        <w:rPr>
          <w:i/>
          <w:lang w:val="en-GB"/>
        </w:rPr>
        <w:t>Denominator</w:t>
      </w:r>
      <w:r w:rsidRPr="00B04DC3">
        <w:rPr>
          <w:lang w:val="en-GB"/>
        </w:rPr>
        <w:t>"</w:t>
      </w:r>
    </w:p>
    <w:p w:rsidR="00AF2027" w:rsidRPr="00B04DC3" w:rsidRDefault="00AF2027" w:rsidP="00AF2027">
      <w:pPr>
        <w:pStyle w:val="para"/>
        <w:rPr>
          <w:lang w:val="en-GB"/>
        </w:rPr>
      </w:pPr>
      <w:r w:rsidRPr="00B04DC3">
        <w:rPr>
          <w:lang w:val="en-GB"/>
        </w:rPr>
        <w:tab/>
        <w:t>The denominator of a specific monitor m (Denominator</w:t>
      </w:r>
      <w:r w:rsidRPr="00B04DC3">
        <w:rPr>
          <w:vertAlign w:val="subscript"/>
          <w:lang w:val="en-GB"/>
        </w:rPr>
        <w:t>m</w:t>
      </w:r>
      <w:r w:rsidRPr="00B04DC3">
        <w:rPr>
          <w:lang w:val="en-GB"/>
        </w:rPr>
        <w:t>) is a counter indicating the number of vehicle driving events, taking into account conditions specific to that specific monitor.</w:t>
      </w:r>
    </w:p>
    <w:p w:rsidR="00AF2027" w:rsidRPr="00B04DC3" w:rsidRDefault="00AF2027" w:rsidP="00AF2027">
      <w:pPr>
        <w:pStyle w:val="para"/>
        <w:rPr>
          <w:lang w:val="en-GB"/>
        </w:rPr>
      </w:pPr>
      <w:r w:rsidRPr="00B04DC3">
        <w:rPr>
          <w:lang w:val="en-GB"/>
        </w:rPr>
        <w:t>3.4.</w:t>
      </w:r>
      <w:r w:rsidRPr="00B04DC3">
        <w:rPr>
          <w:lang w:val="en-GB"/>
        </w:rPr>
        <w:tab/>
        <w:t>"</w:t>
      </w:r>
      <w:r w:rsidRPr="00B04DC3">
        <w:rPr>
          <w:i/>
          <w:lang w:val="en-GB"/>
        </w:rPr>
        <w:t>General Denominator</w:t>
      </w:r>
      <w:r w:rsidRPr="00B04DC3">
        <w:rPr>
          <w:lang w:val="en-GB"/>
        </w:rPr>
        <w:t>"</w:t>
      </w:r>
    </w:p>
    <w:p w:rsidR="00AF2027" w:rsidRPr="00B04DC3" w:rsidRDefault="00AF2027" w:rsidP="00AF2027">
      <w:pPr>
        <w:pStyle w:val="para"/>
        <w:rPr>
          <w:lang w:val="en-GB"/>
        </w:rPr>
      </w:pPr>
      <w:r w:rsidRPr="00B04DC3">
        <w:rPr>
          <w:lang w:val="en-GB"/>
        </w:rPr>
        <w:tab/>
        <w:t>The general denominator is a counter indicating the number of times a vehicle has been operated, taking into account general conditions.</w:t>
      </w:r>
    </w:p>
    <w:p w:rsidR="00AF2027" w:rsidRPr="00B04DC3" w:rsidRDefault="00AF2027" w:rsidP="00AF2027">
      <w:pPr>
        <w:pStyle w:val="para"/>
        <w:rPr>
          <w:lang w:val="en-GB"/>
        </w:rPr>
      </w:pPr>
      <w:r w:rsidRPr="00B04DC3">
        <w:rPr>
          <w:lang w:val="en-GB"/>
        </w:rPr>
        <w:t>3.5.</w:t>
      </w:r>
      <w:r w:rsidRPr="00B04DC3">
        <w:rPr>
          <w:lang w:val="en-GB"/>
        </w:rPr>
        <w:tab/>
        <w:t>"</w:t>
      </w:r>
      <w:r w:rsidRPr="00B04DC3">
        <w:rPr>
          <w:i/>
          <w:lang w:val="en-GB"/>
        </w:rPr>
        <w:t>Ignition cycle counter</w:t>
      </w:r>
      <w:r w:rsidRPr="00B04DC3">
        <w:rPr>
          <w:lang w:val="en-GB"/>
        </w:rPr>
        <w:t>"</w:t>
      </w:r>
    </w:p>
    <w:p w:rsidR="00AF2027" w:rsidRPr="00B04DC3" w:rsidRDefault="00AF2027" w:rsidP="00AF2027">
      <w:pPr>
        <w:pStyle w:val="para"/>
        <w:rPr>
          <w:lang w:val="en-GB"/>
        </w:rPr>
      </w:pPr>
      <w:r w:rsidRPr="00B04DC3">
        <w:rPr>
          <w:lang w:val="en-GB"/>
        </w:rPr>
        <w:tab/>
        <w:t>The ignition cycle counter is a counter indicating the number of engine starts a vehicle has experienced.</w:t>
      </w:r>
    </w:p>
    <w:p w:rsidR="00AF2027" w:rsidRPr="00B04DC3" w:rsidRDefault="00AF2027" w:rsidP="00AF2027">
      <w:pPr>
        <w:pStyle w:val="para"/>
        <w:rPr>
          <w:lang w:val="en-GB"/>
        </w:rPr>
      </w:pPr>
      <w:r w:rsidRPr="00B04DC3">
        <w:rPr>
          <w:lang w:val="en-GB"/>
        </w:rPr>
        <w:t>3.6.</w:t>
      </w:r>
      <w:r w:rsidRPr="00B04DC3">
        <w:rPr>
          <w:lang w:val="en-GB"/>
        </w:rPr>
        <w:tab/>
        <w:t>"</w:t>
      </w:r>
      <w:r w:rsidRPr="00B04DC3">
        <w:rPr>
          <w:i/>
          <w:lang w:val="en-GB"/>
        </w:rPr>
        <w:t>Engine start</w:t>
      </w:r>
      <w:r w:rsidRPr="00B04DC3">
        <w:rPr>
          <w:lang w:val="en-GB"/>
        </w:rPr>
        <w:t>"</w:t>
      </w:r>
    </w:p>
    <w:p w:rsidR="00AF2027" w:rsidRPr="00B04DC3" w:rsidRDefault="00AF2027" w:rsidP="00AF2027">
      <w:pPr>
        <w:pStyle w:val="para"/>
        <w:rPr>
          <w:lang w:val="en-GB"/>
        </w:rPr>
      </w:pPr>
      <w:r w:rsidRPr="00B04DC3">
        <w:rPr>
          <w:lang w:val="en-GB"/>
        </w:rPr>
        <w:tab/>
        <w:t>An engine start consists of ignition-On, cranking and start of combustion, and is completed when the engine speed reaches 150 min</w:t>
      </w:r>
      <w:r w:rsidRPr="00B04DC3">
        <w:rPr>
          <w:vertAlign w:val="superscript"/>
          <w:lang w:val="en-GB"/>
        </w:rPr>
        <w:t>-1</w:t>
      </w:r>
      <w:r w:rsidRPr="00B04DC3">
        <w:rPr>
          <w:lang w:val="en-GB"/>
        </w:rPr>
        <w:t xml:space="preserve"> below the normal, warmed-up idle speed.</w:t>
      </w:r>
    </w:p>
    <w:p w:rsidR="001F3F31" w:rsidRPr="00B04DC3" w:rsidRDefault="001F3F31" w:rsidP="00E35ECD">
      <w:pPr>
        <w:tabs>
          <w:tab w:val="left" w:pos="2300"/>
        </w:tabs>
        <w:spacing w:after="120"/>
        <w:ind w:left="2268" w:right="1134" w:hanging="1134"/>
        <w:jc w:val="both"/>
        <w:rPr>
          <w:rFonts w:ascii="(Utiliser une police de caractè" w:hAnsi="(Utiliser une police de caractè"/>
        </w:rPr>
      </w:pPr>
      <w:r w:rsidRPr="00B04DC3">
        <w:rPr>
          <w:rFonts w:ascii="(Utiliser une police de caractè" w:hAnsi="(Utiliser une police de caractè"/>
        </w:rPr>
        <w:t>3.7.</w:t>
      </w:r>
      <w:r w:rsidRPr="00B04DC3">
        <w:rPr>
          <w:rFonts w:ascii="(Utiliser une police de caractè" w:hAnsi="(Utiliser une police de caractè"/>
        </w:rPr>
        <w:tab/>
        <w:t>"</w:t>
      </w:r>
      <w:r w:rsidRPr="00B04DC3">
        <w:rPr>
          <w:rFonts w:ascii="(Utiliser une police de caractè" w:hAnsi="(Utiliser une police de caractè"/>
          <w:i/>
        </w:rPr>
        <w:t>Driving cycle</w:t>
      </w:r>
      <w:r w:rsidRPr="00B04DC3">
        <w:rPr>
          <w:rFonts w:ascii="(Utiliser une police de caractè" w:hAnsi="(Utiliser une police de caractè"/>
        </w:rPr>
        <w:t>"</w:t>
      </w:r>
    </w:p>
    <w:p w:rsidR="001F3F31" w:rsidRPr="00B04DC3" w:rsidRDefault="001F3F31" w:rsidP="001F3F31">
      <w:pPr>
        <w:pStyle w:val="para"/>
        <w:rPr>
          <w:rFonts w:ascii="(Utiliser une police de caractè" w:hAnsi="(Utiliser une police de caractè"/>
          <w:lang w:val="en-GB"/>
        </w:rPr>
      </w:pPr>
      <w:r w:rsidRPr="00B04DC3">
        <w:rPr>
          <w:rFonts w:ascii="(Utiliser une police de caractè" w:hAnsi="(Utiliser une police de caractè"/>
          <w:lang w:val="en-GB"/>
        </w:rPr>
        <w:tab/>
        <w:t>A driving cycle means a sequence consisting of an engine start, an operating period (of the vehicle), an engine shut-off, and the time until the next engine start.</w:t>
      </w:r>
    </w:p>
    <w:p w:rsidR="00AF2027" w:rsidRPr="00B04DC3" w:rsidRDefault="00AF2027" w:rsidP="00AF2027">
      <w:pPr>
        <w:pStyle w:val="para"/>
        <w:rPr>
          <w:lang w:val="en-GB"/>
        </w:rPr>
      </w:pPr>
      <w:r w:rsidRPr="00B04DC3">
        <w:rPr>
          <w:lang w:val="en-GB"/>
        </w:rPr>
        <w:t>3.8.</w:t>
      </w:r>
      <w:r w:rsidRPr="00B04DC3">
        <w:rPr>
          <w:lang w:val="en-GB"/>
        </w:rPr>
        <w:tab/>
        <w:t>Abbreviations</w:t>
      </w:r>
    </w:p>
    <w:p w:rsidR="00AF2027" w:rsidRPr="00B04DC3" w:rsidRDefault="00AF2027" w:rsidP="00E35ECD">
      <w:pPr>
        <w:pStyle w:val="para"/>
        <w:tabs>
          <w:tab w:val="left" w:pos="3119"/>
        </w:tabs>
        <w:rPr>
          <w:iCs/>
          <w:lang w:val="en-GB"/>
        </w:rPr>
      </w:pPr>
      <w:r w:rsidRPr="00B04DC3">
        <w:rPr>
          <w:iCs/>
          <w:lang w:val="en-GB"/>
        </w:rPr>
        <w:tab/>
        <w:t>IUPR</w:t>
      </w:r>
      <w:r w:rsidRPr="00B04DC3">
        <w:rPr>
          <w:iCs/>
          <w:lang w:val="en-GB"/>
        </w:rPr>
        <w:tab/>
        <w:t>In-Use Performance Ratio</w:t>
      </w:r>
    </w:p>
    <w:p w:rsidR="00AF2027" w:rsidRPr="00B04DC3" w:rsidRDefault="00AF2027" w:rsidP="00E35ECD">
      <w:pPr>
        <w:pStyle w:val="para"/>
        <w:tabs>
          <w:tab w:val="left" w:pos="3119"/>
        </w:tabs>
        <w:rPr>
          <w:iCs/>
          <w:lang w:val="en-GB"/>
        </w:rPr>
      </w:pPr>
      <w:r w:rsidRPr="00B04DC3">
        <w:rPr>
          <w:iCs/>
          <w:lang w:val="en-GB"/>
        </w:rPr>
        <w:tab/>
        <w:t>IUPR</w:t>
      </w:r>
      <w:r w:rsidRPr="00B04DC3">
        <w:rPr>
          <w:iCs/>
          <w:vertAlign w:val="subscript"/>
          <w:lang w:val="en-GB"/>
        </w:rPr>
        <w:t>m</w:t>
      </w:r>
      <w:r w:rsidRPr="00B04DC3">
        <w:rPr>
          <w:iCs/>
          <w:lang w:val="en-GB"/>
        </w:rPr>
        <w:tab/>
        <w:t>In-Use Performance Ratio of a specific monitor m</w:t>
      </w:r>
    </w:p>
    <w:p w:rsidR="00AF2027" w:rsidRPr="00B04DC3" w:rsidRDefault="00AF2027" w:rsidP="00AF2027">
      <w:pPr>
        <w:pStyle w:val="para"/>
        <w:rPr>
          <w:lang w:val="en-GB"/>
        </w:rPr>
      </w:pPr>
      <w:r w:rsidRPr="00B04DC3">
        <w:rPr>
          <w:lang w:val="en-GB"/>
        </w:rPr>
        <w:t>4.</w:t>
      </w:r>
      <w:r w:rsidRPr="00B04DC3">
        <w:rPr>
          <w:lang w:val="en-GB"/>
        </w:rPr>
        <w:tab/>
        <w:t>General requirements</w:t>
      </w:r>
    </w:p>
    <w:p w:rsidR="00AF2027" w:rsidRPr="00B04DC3" w:rsidRDefault="00AF2027" w:rsidP="00AF2027">
      <w:pPr>
        <w:pStyle w:val="para"/>
        <w:rPr>
          <w:lang w:val="en-GB"/>
        </w:rPr>
      </w:pPr>
      <w:r w:rsidRPr="00B04DC3">
        <w:rPr>
          <w:lang w:val="en-GB"/>
        </w:rPr>
        <w:tab/>
        <w:t>The OBD system shall have the capability of tracking and recording in-use performance data (paragraph 6.</w:t>
      </w:r>
      <w:r w:rsidR="00E35ECD">
        <w:rPr>
          <w:lang w:val="en-GB"/>
        </w:rPr>
        <w:t xml:space="preserve"> of this annex</w:t>
      </w:r>
      <w:r w:rsidRPr="00B04DC3">
        <w:rPr>
          <w:lang w:val="en-GB"/>
        </w:rPr>
        <w:t>) of the OBD monitors specified in this paragraph, of storing these data in computer memory and communicating them off-board upon request (paragraph 7.</w:t>
      </w:r>
      <w:r w:rsidR="00E35ECD">
        <w:rPr>
          <w:lang w:val="en-GB"/>
        </w:rPr>
        <w:t xml:space="preserve"> of this annex</w:t>
      </w:r>
      <w:r w:rsidRPr="00B04DC3">
        <w:rPr>
          <w:lang w:val="en-GB"/>
        </w:rPr>
        <w:t>).</w:t>
      </w:r>
    </w:p>
    <w:p w:rsidR="00AF2027" w:rsidRPr="00B04DC3" w:rsidRDefault="00AF2027" w:rsidP="00AF2027">
      <w:pPr>
        <w:pStyle w:val="para"/>
        <w:rPr>
          <w:lang w:val="en-GB"/>
        </w:rPr>
      </w:pPr>
      <w:r w:rsidRPr="00B04DC3">
        <w:rPr>
          <w:lang w:val="en-GB"/>
        </w:rPr>
        <w:tab/>
        <w:t>The in-use performance data of a monitor consists of the numerator and denominator enabling the calculation of the IUPR.</w:t>
      </w:r>
    </w:p>
    <w:p w:rsidR="00AF2027" w:rsidRPr="00B04DC3" w:rsidRDefault="00AF2027" w:rsidP="00AF2027">
      <w:pPr>
        <w:pStyle w:val="para"/>
        <w:rPr>
          <w:lang w:val="en-GB"/>
        </w:rPr>
      </w:pPr>
      <w:r w:rsidRPr="00B04DC3">
        <w:rPr>
          <w:lang w:val="en-GB"/>
        </w:rPr>
        <w:t>4.1.</w:t>
      </w:r>
      <w:r w:rsidRPr="00B04DC3">
        <w:rPr>
          <w:lang w:val="en-GB"/>
        </w:rPr>
        <w:tab/>
        <w:t>IUPR monitors</w:t>
      </w:r>
    </w:p>
    <w:p w:rsidR="00AF2027" w:rsidRPr="00B04DC3" w:rsidRDefault="00AF2027" w:rsidP="00AF2027">
      <w:pPr>
        <w:pStyle w:val="para"/>
        <w:rPr>
          <w:lang w:val="en-GB"/>
        </w:rPr>
      </w:pPr>
      <w:r w:rsidRPr="00B04DC3">
        <w:rPr>
          <w:lang w:val="en-GB"/>
        </w:rPr>
        <w:t>4.1.1.</w:t>
      </w:r>
      <w:r w:rsidRPr="00B04DC3">
        <w:rPr>
          <w:lang w:val="en-GB"/>
        </w:rPr>
        <w:tab/>
        <w:t>Groups of monitors</w:t>
      </w:r>
    </w:p>
    <w:p w:rsidR="00AF2027" w:rsidRPr="00B04DC3" w:rsidRDefault="00AF2027" w:rsidP="00AF2027">
      <w:pPr>
        <w:pStyle w:val="para"/>
        <w:rPr>
          <w:lang w:val="en-GB"/>
        </w:rPr>
      </w:pPr>
      <w:r w:rsidRPr="00B04DC3">
        <w:rPr>
          <w:lang w:val="en-GB"/>
        </w:rPr>
        <w:tab/>
        <w:t xml:space="preserve">Manufacturers shall implement software algorithms in the OBD system to individually track and report in-use performance data of the groups of monitors mentioned in Appendix 1 </w:t>
      </w:r>
      <w:r w:rsidR="0099679A">
        <w:rPr>
          <w:lang w:val="en-GB"/>
        </w:rPr>
        <w:t>to</w:t>
      </w:r>
      <w:r w:rsidR="0099679A" w:rsidRPr="00B04DC3">
        <w:rPr>
          <w:lang w:val="en-GB"/>
        </w:rPr>
        <w:t xml:space="preserve"> </w:t>
      </w:r>
      <w:r w:rsidRPr="00B04DC3">
        <w:rPr>
          <w:lang w:val="en-GB"/>
        </w:rPr>
        <w:t>this annex.</w:t>
      </w:r>
    </w:p>
    <w:p w:rsidR="00AF2027" w:rsidRPr="00B04DC3" w:rsidRDefault="00AF2027" w:rsidP="00AF2027">
      <w:pPr>
        <w:pStyle w:val="para"/>
        <w:rPr>
          <w:lang w:val="en-GB"/>
        </w:rPr>
      </w:pPr>
      <w:r w:rsidRPr="00B04DC3">
        <w:rPr>
          <w:lang w:val="en-GB"/>
        </w:rPr>
        <w:tab/>
        <w:t xml:space="preserve">Manufacturers are not required to implement software algorithms in the OBD system to individually track and report in-use performance data of monitors running continuously as defined in paragraph 4.2.3. of Annex 9B if these monitors are already part of one of the groups of monitors mentioned in Appendix 1 </w:t>
      </w:r>
      <w:r w:rsidR="00E35ECD">
        <w:rPr>
          <w:lang w:val="en-GB"/>
        </w:rPr>
        <w:t>to</w:t>
      </w:r>
      <w:r w:rsidR="00E35ECD" w:rsidRPr="00B04DC3">
        <w:rPr>
          <w:lang w:val="en-GB"/>
        </w:rPr>
        <w:t xml:space="preserve"> </w:t>
      </w:r>
      <w:r w:rsidRPr="00B04DC3">
        <w:rPr>
          <w:lang w:val="en-GB"/>
        </w:rPr>
        <w:t>this annex.</w:t>
      </w:r>
    </w:p>
    <w:p w:rsidR="00AF2027" w:rsidRPr="00B04DC3" w:rsidRDefault="00AF2027" w:rsidP="00AF2027">
      <w:pPr>
        <w:pStyle w:val="para"/>
        <w:rPr>
          <w:lang w:val="en-GB"/>
        </w:rPr>
      </w:pPr>
      <w:r w:rsidRPr="00B04DC3">
        <w:rPr>
          <w:lang w:val="en-GB"/>
        </w:rPr>
        <w:tab/>
        <w:t>In-use performance data of monitors associated to different exhaust lines or engine banks within a group of monitors shall be tracked and recorded separately as specified in paragraph 6 and reported as specified in paragraph 7.</w:t>
      </w:r>
      <w:r w:rsidR="00E35ECD">
        <w:rPr>
          <w:lang w:val="en-GB"/>
        </w:rPr>
        <w:t xml:space="preserve"> of this annex.</w:t>
      </w:r>
    </w:p>
    <w:p w:rsidR="00AF2027" w:rsidRPr="00B04DC3" w:rsidRDefault="00AF2027" w:rsidP="00AF2027">
      <w:pPr>
        <w:pStyle w:val="para"/>
        <w:rPr>
          <w:lang w:val="en-GB"/>
        </w:rPr>
      </w:pPr>
      <w:r w:rsidRPr="00B04DC3">
        <w:rPr>
          <w:lang w:val="en-GB"/>
        </w:rPr>
        <w:t>4.1.2.</w:t>
      </w:r>
      <w:r w:rsidRPr="00B04DC3">
        <w:rPr>
          <w:lang w:val="en-GB"/>
        </w:rPr>
        <w:tab/>
        <w:t>Multiple monitors</w:t>
      </w:r>
    </w:p>
    <w:p w:rsidR="00AF2027" w:rsidRPr="00B04DC3" w:rsidRDefault="00AF2027" w:rsidP="00AF2027">
      <w:pPr>
        <w:pStyle w:val="para"/>
        <w:rPr>
          <w:lang w:val="en-GB"/>
        </w:rPr>
      </w:pPr>
      <w:r w:rsidRPr="00B04DC3">
        <w:rPr>
          <w:lang w:val="en-GB"/>
        </w:rPr>
        <w:tab/>
        <w:t>For each group of monitors which are required to be reported by paragraph 4.1.1.</w:t>
      </w:r>
      <w:r w:rsidR="00E35ECD">
        <w:rPr>
          <w:lang w:val="en-GB"/>
        </w:rPr>
        <w:t xml:space="preserve"> of this annex</w:t>
      </w:r>
      <w:r w:rsidRPr="00B04DC3">
        <w:rPr>
          <w:lang w:val="en-GB"/>
        </w:rPr>
        <w:t>, the OBD system shall separately track in-use performance data, as specified in paragraph 6., for each of the specific monitors belonging to that group.</w:t>
      </w:r>
    </w:p>
    <w:p w:rsidR="00AF2027" w:rsidRPr="00B04DC3" w:rsidRDefault="00AF2027" w:rsidP="00AF2027">
      <w:pPr>
        <w:pStyle w:val="para"/>
        <w:rPr>
          <w:lang w:val="en-GB"/>
        </w:rPr>
      </w:pPr>
      <w:r w:rsidRPr="00B04DC3">
        <w:rPr>
          <w:lang w:val="en-GB"/>
        </w:rPr>
        <w:t>4.2.</w:t>
      </w:r>
      <w:r w:rsidRPr="00B04DC3">
        <w:rPr>
          <w:lang w:val="en-GB"/>
        </w:rPr>
        <w:tab/>
        <w:t>Limitation of the use of in-use performance data</w:t>
      </w:r>
    </w:p>
    <w:p w:rsidR="00AF2027" w:rsidRPr="00B04DC3" w:rsidRDefault="00AF2027" w:rsidP="00AF2027">
      <w:pPr>
        <w:pStyle w:val="para"/>
        <w:rPr>
          <w:lang w:val="en-GB"/>
        </w:rPr>
      </w:pPr>
      <w:r w:rsidRPr="00B04DC3">
        <w:rPr>
          <w:lang w:val="en-GB"/>
        </w:rPr>
        <w:tab/>
        <w:t>In-use performance data of a single vehicle are used for the statistical evaluation of the in-use performance of the OBD system of a larger group of vehicles.</w:t>
      </w:r>
    </w:p>
    <w:p w:rsidR="00AF2027" w:rsidRPr="00B04DC3" w:rsidRDefault="00AF2027" w:rsidP="00AF2027">
      <w:pPr>
        <w:pStyle w:val="para"/>
        <w:rPr>
          <w:lang w:val="en-GB"/>
        </w:rPr>
      </w:pPr>
      <w:r w:rsidRPr="00B04DC3">
        <w:rPr>
          <w:lang w:val="en-GB"/>
        </w:rPr>
        <w:tab/>
        <w:t>Contrary to other OBD data, in-use performance data cannot be used to draw conclusions concerning the road-worthiness of an individual vehicle.</w:t>
      </w:r>
    </w:p>
    <w:p w:rsidR="00AF2027" w:rsidRPr="00B04DC3" w:rsidRDefault="00AF2027" w:rsidP="00AF2027">
      <w:pPr>
        <w:pStyle w:val="para"/>
        <w:rPr>
          <w:lang w:val="en-GB"/>
        </w:rPr>
      </w:pPr>
      <w:r w:rsidRPr="00B04DC3">
        <w:rPr>
          <w:lang w:val="en-GB"/>
        </w:rPr>
        <w:t>5.</w:t>
      </w:r>
      <w:r w:rsidRPr="00B04DC3">
        <w:rPr>
          <w:lang w:val="en-GB"/>
        </w:rPr>
        <w:tab/>
        <w:t>Requirements for calculating in-use performance ratios</w:t>
      </w:r>
    </w:p>
    <w:p w:rsidR="00AF2027" w:rsidRPr="00B04DC3" w:rsidRDefault="00AF2027" w:rsidP="00AF2027">
      <w:pPr>
        <w:pStyle w:val="para"/>
        <w:rPr>
          <w:lang w:val="en-GB"/>
        </w:rPr>
      </w:pPr>
      <w:r w:rsidRPr="00B04DC3">
        <w:rPr>
          <w:lang w:val="en-GB"/>
        </w:rPr>
        <w:t>5.1.</w:t>
      </w:r>
      <w:r w:rsidRPr="00B04DC3">
        <w:rPr>
          <w:lang w:val="en-GB"/>
        </w:rPr>
        <w:tab/>
        <w:t>Calculation of the in-use performance ratio</w:t>
      </w:r>
    </w:p>
    <w:p w:rsidR="00AF2027" w:rsidRPr="00B04DC3" w:rsidRDefault="00AF2027" w:rsidP="00AF2027">
      <w:pPr>
        <w:pStyle w:val="para"/>
        <w:rPr>
          <w:lang w:val="en-GB"/>
        </w:rPr>
      </w:pPr>
      <w:r w:rsidRPr="00B04DC3">
        <w:rPr>
          <w:lang w:val="en-GB"/>
        </w:rPr>
        <w:tab/>
        <w:t>For each monitor m considered in the present annex, the in-use performance ratio is calculated with the following formula:</w:t>
      </w:r>
    </w:p>
    <w:p w:rsidR="00AF2027" w:rsidRPr="00B04DC3" w:rsidRDefault="00AF2027" w:rsidP="00AF2027">
      <w:pPr>
        <w:pStyle w:val="para"/>
        <w:rPr>
          <w:iCs/>
          <w:lang w:val="en-GB"/>
        </w:rPr>
      </w:pPr>
      <w:r w:rsidRPr="00B04DC3">
        <w:rPr>
          <w:iCs/>
          <w:lang w:val="en-GB"/>
        </w:rPr>
        <w:tab/>
        <w:t>IUPR</w:t>
      </w:r>
      <w:r w:rsidRPr="00B04DC3">
        <w:rPr>
          <w:iCs/>
          <w:vertAlign w:val="subscript"/>
          <w:lang w:val="en-GB"/>
        </w:rPr>
        <w:t>m</w:t>
      </w:r>
      <w:r w:rsidRPr="00B04DC3">
        <w:rPr>
          <w:iCs/>
          <w:lang w:val="en-GB"/>
        </w:rPr>
        <w:t xml:space="preserve"> = Numerator</w:t>
      </w:r>
      <w:r w:rsidRPr="00B04DC3">
        <w:rPr>
          <w:iCs/>
          <w:vertAlign w:val="subscript"/>
          <w:lang w:val="en-GB"/>
        </w:rPr>
        <w:t>m</w:t>
      </w:r>
      <w:r w:rsidRPr="00B04DC3">
        <w:rPr>
          <w:iCs/>
          <w:lang w:val="en-GB"/>
        </w:rPr>
        <w:t xml:space="preserve"> / Denominator</w:t>
      </w:r>
      <w:r w:rsidRPr="00B04DC3">
        <w:rPr>
          <w:iCs/>
          <w:vertAlign w:val="subscript"/>
          <w:lang w:val="en-GB"/>
        </w:rPr>
        <w:t>m</w:t>
      </w:r>
    </w:p>
    <w:p w:rsidR="00AF2027" w:rsidRPr="00B04DC3" w:rsidRDefault="00AF2027" w:rsidP="00AF2027">
      <w:pPr>
        <w:pStyle w:val="para"/>
        <w:rPr>
          <w:iCs/>
          <w:lang w:val="en-GB"/>
        </w:rPr>
      </w:pPr>
      <w:r w:rsidRPr="00B04DC3">
        <w:rPr>
          <w:iCs/>
          <w:lang w:val="en-GB"/>
        </w:rPr>
        <w:tab/>
      </w:r>
      <w:r w:rsidR="0099679A" w:rsidRPr="00B04DC3">
        <w:rPr>
          <w:iCs/>
          <w:lang w:val="en-GB"/>
        </w:rPr>
        <w:t>Where</w:t>
      </w:r>
      <w:r w:rsidRPr="00B04DC3">
        <w:rPr>
          <w:iCs/>
          <w:lang w:val="en-GB"/>
        </w:rPr>
        <w:t xml:space="preserve"> the Numerator</w:t>
      </w:r>
      <w:r w:rsidRPr="00B04DC3">
        <w:rPr>
          <w:iCs/>
          <w:vertAlign w:val="subscript"/>
          <w:lang w:val="en-GB"/>
        </w:rPr>
        <w:t>m</w:t>
      </w:r>
      <w:r w:rsidRPr="00B04DC3">
        <w:rPr>
          <w:iCs/>
          <w:lang w:val="en-GB"/>
        </w:rPr>
        <w:t xml:space="preserve"> and Denominator</w:t>
      </w:r>
      <w:r w:rsidRPr="00B04DC3">
        <w:rPr>
          <w:iCs/>
          <w:vertAlign w:val="subscript"/>
          <w:lang w:val="en-GB"/>
        </w:rPr>
        <w:t>m</w:t>
      </w:r>
      <w:r w:rsidRPr="00B04DC3">
        <w:rPr>
          <w:iCs/>
          <w:lang w:val="en-GB"/>
        </w:rPr>
        <w:t xml:space="preserve"> are incremented according to the specifications of this paragraph.</w:t>
      </w:r>
    </w:p>
    <w:p w:rsidR="00AF2027" w:rsidRPr="00B04DC3" w:rsidRDefault="00AF2027" w:rsidP="00AF2027">
      <w:pPr>
        <w:pStyle w:val="para"/>
        <w:rPr>
          <w:iCs/>
          <w:lang w:val="en-GB"/>
        </w:rPr>
      </w:pPr>
      <w:r w:rsidRPr="00B04DC3">
        <w:rPr>
          <w:iCs/>
          <w:lang w:val="en-GB"/>
        </w:rPr>
        <w:br w:type="page"/>
        <w:t>5.1.1.</w:t>
      </w:r>
      <w:r w:rsidRPr="00B04DC3">
        <w:rPr>
          <w:iCs/>
          <w:lang w:val="en-GB"/>
        </w:rPr>
        <w:tab/>
        <w:t>Requirements for the ratio when calculated and stored by system</w:t>
      </w:r>
    </w:p>
    <w:p w:rsidR="00AF2027" w:rsidRPr="00B04DC3" w:rsidRDefault="00AF2027" w:rsidP="00AF2027">
      <w:pPr>
        <w:pStyle w:val="para"/>
        <w:rPr>
          <w:iCs/>
          <w:u w:val="single"/>
          <w:lang w:val="en-GB"/>
        </w:rPr>
      </w:pPr>
      <w:r w:rsidRPr="00B04DC3">
        <w:rPr>
          <w:iCs/>
          <w:lang w:val="en-GB"/>
        </w:rPr>
        <w:tab/>
        <w:t>Each IUPR</w:t>
      </w:r>
      <w:r w:rsidRPr="00B04DC3">
        <w:rPr>
          <w:iCs/>
          <w:vertAlign w:val="subscript"/>
          <w:lang w:val="en-GB"/>
        </w:rPr>
        <w:t>m</w:t>
      </w:r>
      <w:r w:rsidRPr="00B04DC3">
        <w:rPr>
          <w:iCs/>
          <w:lang w:val="en-GB"/>
        </w:rPr>
        <w:t xml:space="preserve"> ratio shall have a minimum value of zero and a maximum value of 7.99527 with a resolution of 0.000122</w:t>
      </w:r>
      <w:r w:rsidR="00D77E75" w:rsidRPr="00B04DC3">
        <w:rPr>
          <w:iCs/>
          <w:lang w:val="en-GB"/>
        </w:rPr>
        <w:t>.</w:t>
      </w:r>
      <w:r w:rsidRPr="00B04DC3">
        <w:rPr>
          <w:rStyle w:val="FootnoteReference"/>
          <w:iCs/>
          <w:lang w:val="en-GB"/>
        </w:rPr>
        <w:footnoteReference w:id="53"/>
      </w:r>
    </w:p>
    <w:p w:rsidR="00AF2027" w:rsidRPr="00B04DC3" w:rsidRDefault="00AF2027" w:rsidP="00AF2027">
      <w:pPr>
        <w:pStyle w:val="para"/>
        <w:rPr>
          <w:lang w:val="en-GB"/>
        </w:rPr>
      </w:pPr>
      <w:r w:rsidRPr="00B04DC3">
        <w:rPr>
          <w:lang w:val="en-GB"/>
        </w:rPr>
        <w:tab/>
        <w:t>A ratio for a specific component shall be considered to be zero whenever the corresponding numerator is equal to zero and the corresponding denominator is not zero.</w:t>
      </w:r>
    </w:p>
    <w:p w:rsidR="00AF2027" w:rsidRPr="00B04DC3" w:rsidRDefault="00AF2027" w:rsidP="00AF2027">
      <w:pPr>
        <w:pStyle w:val="para"/>
        <w:rPr>
          <w:lang w:val="en-GB"/>
        </w:rPr>
      </w:pPr>
      <w:r w:rsidRPr="00B04DC3">
        <w:rPr>
          <w:lang w:val="en-GB"/>
        </w:rPr>
        <w:tab/>
        <w:t>A ratio for a specific component shall be considered to be the maximum value of 7.99527 if the corresponding denominator is zero or if the actual value of the numerator divided by the denominator exceeds the maximum value of 7.99527.</w:t>
      </w:r>
    </w:p>
    <w:p w:rsidR="00AF2027" w:rsidRPr="00B04DC3" w:rsidRDefault="00AF2027" w:rsidP="00AF2027">
      <w:pPr>
        <w:pStyle w:val="para"/>
        <w:rPr>
          <w:lang w:val="en-GB"/>
        </w:rPr>
      </w:pPr>
      <w:r w:rsidRPr="00B04DC3">
        <w:rPr>
          <w:lang w:val="en-GB"/>
        </w:rPr>
        <w:t>5.2.</w:t>
      </w:r>
      <w:r w:rsidRPr="00B04DC3">
        <w:rPr>
          <w:lang w:val="en-GB"/>
        </w:rPr>
        <w:tab/>
        <w:t>Requirements for incrementing the numerator</w:t>
      </w:r>
    </w:p>
    <w:p w:rsidR="00AF2027" w:rsidRPr="00B04DC3" w:rsidRDefault="00AF2027" w:rsidP="00AF2027">
      <w:pPr>
        <w:pStyle w:val="para"/>
        <w:rPr>
          <w:lang w:val="en-GB"/>
        </w:rPr>
      </w:pPr>
      <w:r w:rsidRPr="00B04DC3">
        <w:rPr>
          <w:lang w:val="en-GB"/>
        </w:rPr>
        <w:tab/>
        <w:t>The numerator shall not be incremented more than once per driving cycle.</w:t>
      </w:r>
    </w:p>
    <w:p w:rsidR="00AF2027" w:rsidRPr="00B04DC3" w:rsidRDefault="00AF2027" w:rsidP="00AF2027">
      <w:pPr>
        <w:pStyle w:val="para"/>
        <w:rPr>
          <w:lang w:val="en-GB"/>
        </w:rPr>
      </w:pPr>
      <w:r w:rsidRPr="00B04DC3">
        <w:rPr>
          <w:lang w:val="en-GB"/>
        </w:rPr>
        <w:tab/>
        <w:t>The numerator for a specific monitor shall be incremented within 10 seconds if and only if the following criteria are satisfied on a single driving cycle:</w:t>
      </w:r>
    </w:p>
    <w:p w:rsidR="00AF2027" w:rsidRPr="00B04DC3" w:rsidRDefault="00AF2027" w:rsidP="00AF2027">
      <w:pPr>
        <w:pStyle w:val="a"/>
        <w:rPr>
          <w:lang w:val="en-GB"/>
        </w:rPr>
      </w:pPr>
      <w:r w:rsidRPr="00B04DC3">
        <w:rPr>
          <w:lang w:val="en-GB"/>
        </w:rPr>
        <w:t>(a)</w:t>
      </w:r>
      <w:r w:rsidRPr="00B04DC3">
        <w:rPr>
          <w:lang w:val="en-GB"/>
        </w:rPr>
        <w:tab/>
        <w:t>Every monitoring condition necessary for the monitor of the specific component to detect a malfunction and store a potential DTC has been satisfied, including enable criteria, presence or absence of related DTCs, sufficient length of monitoring time, and diagnostic executive priority assignments (e.g., diagnostic "A" shall execute prior to diagnostic "B").</w:t>
      </w:r>
    </w:p>
    <w:p w:rsidR="00AF2027" w:rsidRPr="00B04DC3" w:rsidRDefault="00AF2027" w:rsidP="00AF2027">
      <w:pPr>
        <w:pStyle w:val="a"/>
        <w:rPr>
          <w:lang w:val="en-GB"/>
        </w:rPr>
      </w:pPr>
      <w:r w:rsidRPr="00B04DC3">
        <w:rPr>
          <w:lang w:val="en-GB"/>
        </w:rPr>
        <w:tab/>
      </w:r>
      <w:r w:rsidRPr="00B04DC3">
        <w:rPr>
          <w:i/>
          <w:lang w:val="en-GB"/>
        </w:rPr>
        <w:t>Note:</w:t>
      </w:r>
      <w:r w:rsidRPr="00B04DC3">
        <w:rPr>
          <w:lang w:val="en-GB"/>
        </w:rPr>
        <w:t xml:space="preserve">  For the purpose of incrementing the numerator of a specific monitor, it may not be sufficient to satisfy all the monitoring conditions necessary for that monitor to determine the absence of a malfunction.</w:t>
      </w:r>
    </w:p>
    <w:p w:rsidR="00AF2027" w:rsidRPr="00B04DC3" w:rsidRDefault="00AF2027" w:rsidP="00AF2027">
      <w:pPr>
        <w:pStyle w:val="a"/>
        <w:rPr>
          <w:lang w:val="en-GB"/>
        </w:rPr>
      </w:pPr>
      <w:r w:rsidRPr="00B04DC3">
        <w:rPr>
          <w:lang w:val="en-GB"/>
        </w:rPr>
        <w:t>(b)</w:t>
      </w:r>
      <w:r w:rsidRPr="00B04DC3">
        <w:rPr>
          <w:lang w:val="en-GB"/>
        </w:rPr>
        <w:tab/>
        <w:t>For monitors that require multiple stages or events in a single driving cycle to detect a malfunction, every monitoring condition necessary for all events to have been completed shall be satisfied.</w:t>
      </w:r>
    </w:p>
    <w:p w:rsidR="001F3F31" w:rsidRPr="00B04DC3" w:rsidRDefault="001F3F31" w:rsidP="001F3F31">
      <w:pPr>
        <w:pStyle w:val="a"/>
        <w:rPr>
          <w:lang w:val="en-GB"/>
        </w:rPr>
      </w:pPr>
      <w:r w:rsidRPr="00B04DC3">
        <w:rPr>
          <w:lang w:val="en-GB"/>
        </w:rPr>
        <w:t>(c)</w:t>
      </w:r>
      <w:r w:rsidRPr="00B04DC3">
        <w:rPr>
          <w:lang w:val="en-GB"/>
        </w:rPr>
        <w:tab/>
        <w:t>For monitors which are used for failure identification and that run only after a potential DTC has been stored, the numerator and denominator may be the same as those of the monitor detecting the original malfunction.</w:t>
      </w:r>
    </w:p>
    <w:p w:rsidR="00AF2027" w:rsidRPr="00B04DC3" w:rsidRDefault="001F3F31" w:rsidP="00AF2027">
      <w:pPr>
        <w:pStyle w:val="a"/>
        <w:rPr>
          <w:lang w:val="en-GB"/>
        </w:rPr>
      </w:pPr>
      <w:r w:rsidRPr="00B04DC3" w:rsidDel="001F3F31">
        <w:rPr>
          <w:lang w:val="en-GB"/>
        </w:rPr>
        <w:t xml:space="preserve"> </w:t>
      </w:r>
      <w:r w:rsidR="00AF2027" w:rsidRPr="00B04DC3">
        <w:rPr>
          <w:lang w:val="en-GB"/>
        </w:rPr>
        <w:t>(d)</w:t>
      </w:r>
      <w:r w:rsidR="00AF2027" w:rsidRPr="00B04DC3">
        <w:rPr>
          <w:lang w:val="en-GB"/>
        </w:rPr>
        <w:tab/>
        <w:t xml:space="preserve">For monitors that require an intrusive operation to further investigate the presence of a malfunction, the manufacturer may submit to the </w:t>
      </w:r>
      <w:r w:rsidR="009E6E1D">
        <w:rPr>
          <w:lang w:val="en-GB"/>
        </w:rPr>
        <w:t>T</w:t>
      </w:r>
      <w:r w:rsidR="009E6E1D" w:rsidRPr="00B04DC3">
        <w:rPr>
          <w:lang w:val="en-GB"/>
        </w:rPr>
        <w:t xml:space="preserve">ype </w:t>
      </w:r>
      <w:r w:rsidR="009E6E1D">
        <w:rPr>
          <w:lang w:val="en-GB"/>
        </w:rPr>
        <w:t>A</w:t>
      </w:r>
      <w:r w:rsidR="009E6E1D" w:rsidRPr="00B04DC3">
        <w:rPr>
          <w:lang w:val="en-GB"/>
        </w:rPr>
        <w:t xml:space="preserve">pproval </w:t>
      </w:r>
      <w:r w:rsidR="009E6E1D">
        <w:rPr>
          <w:lang w:val="en-GB"/>
        </w:rPr>
        <w:t>A</w:t>
      </w:r>
      <w:r w:rsidR="009E6E1D" w:rsidRPr="00B04DC3">
        <w:rPr>
          <w:lang w:val="en-GB"/>
        </w:rPr>
        <w:t xml:space="preserve">uthority </w:t>
      </w:r>
      <w:r w:rsidR="00AF2027" w:rsidRPr="00B04DC3">
        <w:rPr>
          <w:lang w:val="en-GB"/>
        </w:rPr>
        <w:t>an alternative way to increment the numerator. This alternative should be equivalent to that which would, had a malfunction been present, have permitted to increment the numerator.</w:t>
      </w:r>
    </w:p>
    <w:p w:rsidR="00AF2027" w:rsidRPr="00B04DC3" w:rsidRDefault="00AF2027" w:rsidP="00AF2027">
      <w:pPr>
        <w:pStyle w:val="para"/>
        <w:rPr>
          <w:lang w:val="en-GB"/>
        </w:rPr>
      </w:pPr>
      <w:r w:rsidRPr="00B04DC3">
        <w:rPr>
          <w:lang w:val="en-GB"/>
        </w:rPr>
        <w:tab/>
        <w:t>For monitors that run or complete during engine-off operation, the numerator shall be incremented within 10 seconds after the monitor has completed during engine-off operation or during the first 10 seconds of engine start on the subsequent driving cycle.</w:t>
      </w:r>
    </w:p>
    <w:p w:rsidR="00AF2027" w:rsidRPr="00B04DC3" w:rsidRDefault="00AF2027" w:rsidP="00D00E61">
      <w:pPr>
        <w:pStyle w:val="para"/>
        <w:keepNext/>
        <w:keepLines/>
        <w:rPr>
          <w:lang w:val="en-GB"/>
        </w:rPr>
      </w:pPr>
      <w:r w:rsidRPr="00B04DC3">
        <w:rPr>
          <w:lang w:val="en-GB"/>
        </w:rPr>
        <w:t>5.3.</w:t>
      </w:r>
      <w:r w:rsidRPr="00B04DC3">
        <w:rPr>
          <w:lang w:val="en-GB"/>
        </w:rPr>
        <w:tab/>
        <w:t>Requirements for incrementing the denominator</w:t>
      </w:r>
    </w:p>
    <w:p w:rsidR="00AF2027" w:rsidRPr="00B04DC3" w:rsidRDefault="00AF2027" w:rsidP="00AF2027">
      <w:pPr>
        <w:pStyle w:val="para"/>
        <w:rPr>
          <w:lang w:val="en-GB"/>
        </w:rPr>
      </w:pPr>
      <w:r w:rsidRPr="00B04DC3">
        <w:rPr>
          <w:lang w:val="en-GB"/>
        </w:rPr>
        <w:t>5.3.1.</w:t>
      </w:r>
      <w:r w:rsidRPr="00B04DC3">
        <w:rPr>
          <w:lang w:val="en-GB"/>
        </w:rPr>
        <w:tab/>
        <w:t>General incrementing rules</w:t>
      </w:r>
    </w:p>
    <w:p w:rsidR="00AF2027" w:rsidRPr="00B04DC3" w:rsidRDefault="00AF2027" w:rsidP="00AF2027">
      <w:pPr>
        <w:pStyle w:val="para"/>
        <w:rPr>
          <w:lang w:val="en-GB"/>
        </w:rPr>
      </w:pPr>
      <w:r w:rsidRPr="00B04DC3">
        <w:rPr>
          <w:lang w:val="en-GB"/>
        </w:rPr>
        <w:tab/>
        <w:t>The denominator shall be incremented once per driving cycle, if during this driving cycle</w:t>
      </w:r>
    </w:p>
    <w:p w:rsidR="00AF2027" w:rsidRPr="00B04DC3" w:rsidRDefault="00AF2027" w:rsidP="00AF2027">
      <w:pPr>
        <w:pStyle w:val="a"/>
        <w:rPr>
          <w:lang w:val="en-GB"/>
        </w:rPr>
      </w:pPr>
      <w:r w:rsidRPr="00B04DC3">
        <w:rPr>
          <w:lang w:val="en-GB"/>
        </w:rPr>
        <w:t>(a)</w:t>
      </w:r>
      <w:r w:rsidRPr="00B04DC3">
        <w:rPr>
          <w:lang w:val="en-GB"/>
        </w:rPr>
        <w:tab/>
        <w:t>The general denominator is incremented as specified in paragraph 5.4.</w:t>
      </w:r>
      <w:r w:rsidR="00B80465">
        <w:rPr>
          <w:lang w:val="en-GB"/>
        </w:rPr>
        <w:t xml:space="preserve"> of this annex</w:t>
      </w:r>
      <w:r w:rsidRPr="00B04DC3">
        <w:rPr>
          <w:lang w:val="en-GB"/>
        </w:rPr>
        <w:t>;</w:t>
      </w:r>
    </w:p>
    <w:p w:rsidR="00AF2027" w:rsidRPr="00B04DC3" w:rsidRDefault="00AF2027" w:rsidP="00AF2027">
      <w:pPr>
        <w:pStyle w:val="a"/>
        <w:rPr>
          <w:lang w:val="en-GB"/>
        </w:rPr>
      </w:pPr>
      <w:r w:rsidRPr="00B04DC3">
        <w:rPr>
          <w:lang w:val="en-GB"/>
        </w:rPr>
        <w:t>(b)</w:t>
      </w:r>
      <w:r w:rsidRPr="00B04DC3">
        <w:rPr>
          <w:lang w:val="en-GB"/>
        </w:rPr>
        <w:tab/>
        <w:t>The denominator is not disabled according to paragraph 5.6.</w:t>
      </w:r>
      <w:r w:rsidR="00B80465">
        <w:rPr>
          <w:lang w:val="en-GB"/>
        </w:rPr>
        <w:t xml:space="preserve"> of this annex</w:t>
      </w:r>
      <w:r w:rsidRPr="00B04DC3">
        <w:rPr>
          <w:lang w:val="en-GB"/>
        </w:rPr>
        <w:t>;</w:t>
      </w:r>
    </w:p>
    <w:p w:rsidR="00AF2027" w:rsidRPr="00B04DC3" w:rsidRDefault="00AF2027" w:rsidP="00AF2027">
      <w:pPr>
        <w:pStyle w:val="a"/>
        <w:rPr>
          <w:lang w:val="en-GB"/>
        </w:rPr>
      </w:pPr>
      <w:r w:rsidRPr="00B04DC3">
        <w:rPr>
          <w:lang w:val="en-GB"/>
        </w:rPr>
        <w:t>(c)</w:t>
      </w:r>
      <w:r w:rsidRPr="00B04DC3">
        <w:rPr>
          <w:lang w:val="en-GB"/>
        </w:rPr>
        <w:tab/>
        <w:t xml:space="preserve">When applicable, the specific additional incrementing rules specified in paragraph 5.3.2. </w:t>
      </w:r>
      <w:r w:rsidR="00B80465">
        <w:rPr>
          <w:lang w:val="en-GB"/>
        </w:rPr>
        <w:t xml:space="preserve">of this annex </w:t>
      </w:r>
      <w:r w:rsidRPr="00B04DC3">
        <w:rPr>
          <w:lang w:val="en-GB"/>
        </w:rPr>
        <w:t>are met.</w:t>
      </w:r>
    </w:p>
    <w:p w:rsidR="00AF2027" w:rsidRPr="00B04DC3" w:rsidRDefault="00AF2027" w:rsidP="00AF2027">
      <w:pPr>
        <w:pStyle w:val="para"/>
        <w:rPr>
          <w:lang w:val="en-GB"/>
        </w:rPr>
      </w:pPr>
      <w:r w:rsidRPr="00B04DC3">
        <w:rPr>
          <w:lang w:val="en-GB"/>
        </w:rPr>
        <w:t>5.3.2.</w:t>
      </w:r>
      <w:r w:rsidRPr="00B04DC3">
        <w:rPr>
          <w:lang w:val="en-GB"/>
        </w:rPr>
        <w:tab/>
        <w:t>Additional monitor specific incrementing rules</w:t>
      </w:r>
    </w:p>
    <w:p w:rsidR="00AF2027" w:rsidRPr="00B04DC3" w:rsidRDefault="00AF2027" w:rsidP="00AF2027">
      <w:pPr>
        <w:pStyle w:val="para"/>
        <w:rPr>
          <w:lang w:val="en-GB"/>
        </w:rPr>
      </w:pPr>
      <w:r w:rsidRPr="00B04DC3">
        <w:rPr>
          <w:lang w:val="en-GB"/>
        </w:rPr>
        <w:t>5.3.2.1.</w:t>
      </w:r>
      <w:r w:rsidRPr="00B04DC3">
        <w:rPr>
          <w:lang w:val="en-GB"/>
        </w:rPr>
        <w:tab/>
        <w:t>Specific denominator for evaporative system (reserved)</w:t>
      </w:r>
    </w:p>
    <w:p w:rsidR="00AF2027" w:rsidRPr="00B04DC3" w:rsidRDefault="00AF2027" w:rsidP="00AF2027">
      <w:pPr>
        <w:pStyle w:val="para"/>
        <w:rPr>
          <w:lang w:val="en-GB"/>
        </w:rPr>
      </w:pPr>
      <w:r w:rsidRPr="00B04DC3">
        <w:rPr>
          <w:lang w:val="en-GB"/>
        </w:rPr>
        <w:t>5.3.2.2.</w:t>
      </w:r>
      <w:r w:rsidRPr="00B04DC3">
        <w:rPr>
          <w:lang w:val="en-GB"/>
        </w:rPr>
        <w:tab/>
        <w:t>Specific denominator for secondary air systems (reserved)</w:t>
      </w:r>
    </w:p>
    <w:p w:rsidR="00AF2027" w:rsidRPr="00B04DC3" w:rsidRDefault="00AF2027" w:rsidP="00AF2027">
      <w:pPr>
        <w:pStyle w:val="para"/>
        <w:rPr>
          <w:lang w:val="en-GB"/>
        </w:rPr>
      </w:pPr>
      <w:r w:rsidRPr="00B04DC3">
        <w:rPr>
          <w:lang w:val="en-GB"/>
        </w:rPr>
        <w:t>5.3.2.3.</w:t>
      </w:r>
      <w:r w:rsidRPr="00B04DC3">
        <w:rPr>
          <w:lang w:val="en-GB"/>
        </w:rPr>
        <w:tab/>
        <w:t>Specific denominator for components / systems that operate at engine start-up only</w:t>
      </w:r>
    </w:p>
    <w:p w:rsidR="00AF2027" w:rsidRPr="00B04DC3" w:rsidRDefault="00AF2027" w:rsidP="00AF2027">
      <w:pPr>
        <w:pStyle w:val="para"/>
        <w:rPr>
          <w:lang w:val="en-GB"/>
        </w:rPr>
      </w:pPr>
      <w:r w:rsidRPr="00B04DC3">
        <w:rPr>
          <w:lang w:val="en-GB"/>
        </w:rPr>
        <w:tab/>
        <w:t>In addition to the requirements of paragraph 5.3.1.</w:t>
      </w:r>
      <w:r w:rsidR="00B80465">
        <w:rPr>
          <w:lang w:val="en-GB"/>
        </w:rPr>
        <w:t xml:space="preserve"> of this annex, subparagraphs</w:t>
      </w:r>
      <w:r w:rsidRPr="00B04DC3">
        <w:rPr>
          <w:lang w:val="en-GB"/>
        </w:rPr>
        <w:t xml:space="preserve"> (a) and (b), the denominator(s) for monitors of components or systems that operate only at engine start-up shall be incremented if the component or strategy is commanded "on" for a time greater than or equal to 10 seconds.</w:t>
      </w:r>
    </w:p>
    <w:p w:rsidR="00AF2027" w:rsidRPr="00B04DC3" w:rsidRDefault="00AF2027" w:rsidP="00AF2027">
      <w:pPr>
        <w:pStyle w:val="para"/>
        <w:rPr>
          <w:lang w:val="en-GB"/>
        </w:rPr>
      </w:pPr>
      <w:r w:rsidRPr="00B04DC3">
        <w:rPr>
          <w:lang w:val="en-GB"/>
        </w:rPr>
        <w:tab/>
        <w:t>For purposes of determining this commanded "on" time, the OBD system may not include time during intrusive operation of any of the components or strategies later in the same driving cycle solely for the purposes of monitoring.</w:t>
      </w:r>
    </w:p>
    <w:p w:rsidR="00AF2027" w:rsidRPr="00B04DC3" w:rsidRDefault="00AF2027" w:rsidP="00AF2027">
      <w:pPr>
        <w:pStyle w:val="para"/>
        <w:rPr>
          <w:lang w:val="en-GB"/>
        </w:rPr>
      </w:pPr>
      <w:r w:rsidRPr="00B04DC3">
        <w:rPr>
          <w:lang w:val="en-GB"/>
        </w:rPr>
        <w:t>5.3.2.4.</w:t>
      </w:r>
      <w:r w:rsidRPr="00B04DC3">
        <w:rPr>
          <w:lang w:val="en-GB"/>
        </w:rPr>
        <w:tab/>
        <w:t>Specific denominator for components or systems that are not continuously commanded to function</w:t>
      </w:r>
    </w:p>
    <w:p w:rsidR="00AF2027" w:rsidRPr="00B04DC3" w:rsidRDefault="00AF2027" w:rsidP="00AF2027">
      <w:pPr>
        <w:pStyle w:val="para"/>
        <w:rPr>
          <w:lang w:val="en-GB"/>
        </w:rPr>
      </w:pPr>
      <w:r w:rsidRPr="00B04DC3">
        <w:rPr>
          <w:lang w:val="en-GB"/>
        </w:rPr>
        <w:tab/>
        <w:t>In addition to the requirements of paragraph 5.3.1.</w:t>
      </w:r>
      <w:r w:rsidR="00B80465" w:rsidRPr="00B80465">
        <w:rPr>
          <w:lang w:val="en-GB"/>
        </w:rPr>
        <w:t xml:space="preserve"> </w:t>
      </w:r>
      <w:r w:rsidR="00B80465">
        <w:rPr>
          <w:lang w:val="en-GB"/>
        </w:rPr>
        <w:t>of this annex, subparagraphs</w:t>
      </w:r>
      <w:r w:rsidRPr="00B04DC3">
        <w:rPr>
          <w:lang w:val="en-GB"/>
        </w:rPr>
        <w:t xml:space="preserve"> (a) and (b), the denominator(s) for monitors of components or systems that are not continuously commanded to function (e.g. Variable Valve Timing systems - VVT- or EGR valves), shall be incremented if that component or system is commanded to function (e.g., commanded "on", "open", "closed", "locked") on two or more occasions during the driving cycle, or for a cumulative time greater than or equal to 10 seconds, whichever occurs first.</w:t>
      </w:r>
    </w:p>
    <w:p w:rsidR="00AF2027" w:rsidRPr="00B04DC3" w:rsidRDefault="00AF2027" w:rsidP="00AF2027">
      <w:pPr>
        <w:pStyle w:val="para"/>
        <w:rPr>
          <w:lang w:val="en-GB"/>
        </w:rPr>
      </w:pPr>
      <w:r w:rsidRPr="00B04DC3">
        <w:rPr>
          <w:lang w:val="en-GB"/>
        </w:rPr>
        <w:t>5.3.2.5.</w:t>
      </w:r>
      <w:r w:rsidRPr="00B04DC3">
        <w:rPr>
          <w:lang w:val="en-GB"/>
        </w:rPr>
        <w:tab/>
        <w:t>Specific denominator for DPF</w:t>
      </w:r>
    </w:p>
    <w:p w:rsidR="00AF2027" w:rsidRPr="00B04DC3" w:rsidRDefault="00AF2027" w:rsidP="00AF2027">
      <w:pPr>
        <w:pStyle w:val="para"/>
        <w:rPr>
          <w:lang w:val="en-GB"/>
        </w:rPr>
      </w:pPr>
      <w:r w:rsidRPr="00B04DC3">
        <w:rPr>
          <w:lang w:val="en-GB"/>
        </w:rPr>
        <w:tab/>
        <w:t>In addition to the requirements of paragraph 5.3.1.</w:t>
      </w:r>
      <w:r w:rsidR="00B80465" w:rsidRPr="00B80465">
        <w:rPr>
          <w:lang w:val="en-GB"/>
        </w:rPr>
        <w:t xml:space="preserve"> </w:t>
      </w:r>
      <w:r w:rsidR="00B80465">
        <w:rPr>
          <w:lang w:val="en-GB"/>
        </w:rPr>
        <w:t>of this annex, subparagraphs</w:t>
      </w:r>
      <w:r w:rsidRPr="00B04DC3">
        <w:rPr>
          <w:lang w:val="en-GB"/>
        </w:rPr>
        <w:t xml:space="preserve"> (a) and (b), in at least one driving cycle the denominator(s) for DPF shall be incremented if at least 800 cumulative kilometres of vehicle operation or alternatively at least 750 minutes of engine run time have been experienced since the last time the denominator was incremented.</w:t>
      </w:r>
    </w:p>
    <w:p w:rsidR="00AF2027" w:rsidRPr="00B04DC3" w:rsidRDefault="00AF2027" w:rsidP="00D00E61">
      <w:pPr>
        <w:pStyle w:val="para"/>
        <w:keepNext/>
        <w:keepLines/>
        <w:rPr>
          <w:lang w:val="en-GB"/>
        </w:rPr>
      </w:pPr>
      <w:r w:rsidRPr="00B04DC3">
        <w:rPr>
          <w:lang w:val="en-GB"/>
        </w:rPr>
        <w:t>5.3.2.6.</w:t>
      </w:r>
      <w:r w:rsidRPr="00B04DC3">
        <w:rPr>
          <w:lang w:val="en-GB"/>
        </w:rPr>
        <w:tab/>
        <w:t>Specific denominator for oxidation catalysts</w:t>
      </w:r>
    </w:p>
    <w:p w:rsidR="00AF2027" w:rsidRPr="00B04DC3" w:rsidRDefault="00AF2027" w:rsidP="00D00E61">
      <w:pPr>
        <w:pStyle w:val="para"/>
        <w:keepNext/>
        <w:keepLines/>
        <w:rPr>
          <w:lang w:val="en-GB"/>
        </w:rPr>
      </w:pPr>
      <w:r w:rsidRPr="00B04DC3">
        <w:rPr>
          <w:lang w:val="en-GB"/>
        </w:rPr>
        <w:tab/>
        <w:t>In addition to the requirements of paragraph 5.3.1</w:t>
      </w:r>
      <w:r w:rsidR="00B80465">
        <w:rPr>
          <w:lang w:val="en-GB"/>
        </w:rPr>
        <w:t>.</w:t>
      </w:r>
      <w:r w:rsidR="00B80465" w:rsidRPr="00B80465">
        <w:rPr>
          <w:lang w:val="en-GB"/>
        </w:rPr>
        <w:t xml:space="preserve"> </w:t>
      </w:r>
      <w:r w:rsidR="00B80465">
        <w:rPr>
          <w:lang w:val="en-GB"/>
        </w:rPr>
        <w:t>of this annex, subparagraphs</w:t>
      </w:r>
      <w:r w:rsidRPr="00B04DC3">
        <w:rPr>
          <w:lang w:val="en-GB"/>
        </w:rPr>
        <w:t xml:space="preserve"> (a) and (b), in at least one driving cycle the denominator(s) for monitors of oxidation catalyst used for the purpose of DPF active regeneration shall be incremented if a regeneration event is commanded for a time greater than or equal to 10 seconds.</w:t>
      </w:r>
    </w:p>
    <w:p w:rsidR="00AF2027" w:rsidRPr="00B04DC3" w:rsidRDefault="00AF2027" w:rsidP="00AF2027">
      <w:pPr>
        <w:pStyle w:val="para"/>
        <w:rPr>
          <w:lang w:val="en-GB"/>
        </w:rPr>
      </w:pPr>
      <w:r w:rsidRPr="00B04DC3">
        <w:rPr>
          <w:lang w:val="en-GB"/>
        </w:rPr>
        <w:t>5.3.2.7.</w:t>
      </w:r>
      <w:r w:rsidRPr="00B04DC3">
        <w:rPr>
          <w:lang w:val="en-GB"/>
        </w:rPr>
        <w:tab/>
        <w:t>Specific denominator for hybrids (reserved)</w:t>
      </w:r>
    </w:p>
    <w:p w:rsidR="00AF2027" w:rsidRPr="00B04DC3" w:rsidRDefault="00AF2027" w:rsidP="00AF2027">
      <w:pPr>
        <w:pStyle w:val="para"/>
        <w:rPr>
          <w:lang w:val="en-GB"/>
        </w:rPr>
      </w:pPr>
      <w:r w:rsidRPr="00B04DC3">
        <w:rPr>
          <w:lang w:val="en-GB"/>
        </w:rPr>
        <w:t>5.4.</w:t>
      </w:r>
      <w:r w:rsidRPr="00B04DC3">
        <w:rPr>
          <w:lang w:val="en-GB"/>
        </w:rPr>
        <w:tab/>
        <w:t>Requirements for incrementing the general denominator</w:t>
      </w:r>
    </w:p>
    <w:p w:rsidR="00AF2027" w:rsidRPr="00B04DC3" w:rsidRDefault="00AF2027" w:rsidP="00AF2027">
      <w:pPr>
        <w:pStyle w:val="para"/>
        <w:rPr>
          <w:lang w:val="en-GB"/>
        </w:rPr>
      </w:pPr>
      <w:r w:rsidRPr="00B04DC3">
        <w:rPr>
          <w:lang w:val="en-GB"/>
        </w:rPr>
        <w:tab/>
        <w:t>The general denominator shall be incremented within 10 seconds, if and only if, all the following criteria are satisfied on a single driving cycle:</w:t>
      </w:r>
    </w:p>
    <w:p w:rsidR="00AF2027" w:rsidRPr="00B04DC3" w:rsidRDefault="00AF2027" w:rsidP="00AF2027">
      <w:pPr>
        <w:pStyle w:val="a"/>
        <w:rPr>
          <w:lang w:val="en-GB"/>
        </w:rPr>
      </w:pPr>
      <w:r w:rsidRPr="00B04DC3">
        <w:rPr>
          <w:lang w:val="en-GB"/>
        </w:rPr>
        <w:t>(a)</w:t>
      </w:r>
      <w:r w:rsidRPr="00B04DC3">
        <w:rPr>
          <w:lang w:val="en-GB"/>
        </w:rPr>
        <w:tab/>
        <w:t>Cumulative time since start of driving cycle is greater than or equal to 600 seconds while remaining:</w:t>
      </w:r>
    </w:p>
    <w:p w:rsidR="00AF2027" w:rsidRPr="00B04DC3" w:rsidRDefault="00AF2027" w:rsidP="00AF2027">
      <w:pPr>
        <w:pStyle w:val="i"/>
        <w:rPr>
          <w:lang w:val="en-GB"/>
        </w:rPr>
      </w:pPr>
      <w:r w:rsidRPr="00B04DC3">
        <w:rPr>
          <w:lang w:val="en-GB"/>
        </w:rPr>
        <w:t>(i)</w:t>
      </w:r>
      <w:r w:rsidRPr="00B04DC3">
        <w:rPr>
          <w:lang w:val="en-GB"/>
        </w:rPr>
        <w:tab/>
        <w:t>At an elevation of less than 2,500 meters above sea level;</w:t>
      </w:r>
    </w:p>
    <w:p w:rsidR="00AF2027" w:rsidRPr="00B04DC3" w:rsidRDefault="00AF2027" w:rsidP="00AF2027">
      <w:pPr>
        <w:pStyle w:val="i"/>
        <w:rPr>
          <w:lang w:val="en-GB"/>
        </w:rPr>
      </w:pPr>
      <w:r w:rsidRPr="00B04DC3">
        <w:rPr>
          <w:lang w:val="en-GB"/>
        </w:rPr>
        <w:t>(ii)</w:t>
      </w:r>
      <w:r w:rsidRPr="00B04DC3">
        <w:rPr>
          <w:lang w:val="en-GB"/>
        </w:rPr>
        <w:tab/>
        <w:t>At an ambient temperature of greater than or equal to 266 K (</w:t>
      </w:r>
      <w:r w:rsidRPr="00B04DC3">
        <w:rPr>
          <w:lang w:val="en-GB"/>
        </w:rPr>
        <w:noBreakHyphen/>
        <w:t>7 </w:t>
      </w:r>
      <w:r w:rsidR="00B80465">
        <w:rPr>
          <w:lang w:val="en-GB"/>
        </w:rPr>
        <w:t>°C</w:t>
      </w:r>
      <w:r w:rsidRPr="00B04DC3">
        <w:rPr>
          <w:lang w:val="en-GB"/>
        </w:rPr>
        <w:t>);</w:t>
      </w:r>
    </w:p>
    <w:p w:rsidR="00AF2027" w:rsidRPr="00B04DC3" w:rsidRDefault="00AF2027" w:rsidP="00AF2027">
      <w:pPr>
        <w:pStyle w:val="i"/>
        <w:rPr>
          <w:lang w:val="en-GB"/>
        </w:rPr>
      </w:pPr>
      <w:r w:rsidRPr="00B04DC3">
        <w:rPr>
          <w:lang w:val="en-GB"/>
        </w:rPr>
        <w:t>(iii)</w:t>
      </w:r>
      <w:r w:rsidRPr="00B04DC3">
        <w:rPr>
          <w:lang w:val="en-GB"/>
        </w:rPr>
        <w:tab/>
        <w:t>At an ambient temperature of lower than or equal to 308 K (35 </w:t>
      </w:r>
      <w:r w:rsidR="00B80465">
        <w:rPr>
          <w:lang w:val="en-GB"/>
        </w:rPr>
        <w:t>°C</w:t>
      </w:r>
      <w:r w:rsidRPr="00B04DC3">
        <w:rPr>
          <w:lang w:val="en-GB"/>
        </w:rPr>
        <w:t>).</w:t>
      </w:r>
    </w:p>
    <w:p w:rsidR="00AF2027" w:rsidRPr="00B04DC3" w:rsidRDefault="00AF2027" w:rsidP="00AF2027">
      <w:pPr>
        <w:pStyle w:val="a"/>
        <w:rPr>
          <w:spacing w:val="-2"/>
          <w:lang w:val="en-GB"/>
        </w:rPr>
      </w:pPr>
      <w:r w:rsidRPr="00B04DC3">
        <w:rPr>
          <w:spacing w:val="-2"/>
          <w:lang w:val="en-GB"/>
        </w:rPr>
        <w:t>(b)</w:t>
      </w:r>
      <w:r w:rsidRPr="00B04DC3">
        <w:rPr>
          <w:spacing w:val="-2"/>
          <w:lang w:val="en-GB"/>
        </w:rPr>
        <w:tab/>
        <w:t>Cumulative engine operation at or above 1150 min</w:t>
      </w:r>
      <w:r w:rsidRPr="00B04DC3">
        <w:rPr>
          <w:spacing w:val="-2"/>
          <w:vertAlign w:val="superscript"/>
          <w:lang w:val="en-GB"/>
        </w:rPr>
        <w:t>-1</w:t>
      </w:r>
      <w:r w:rsidRPr="00B04DC3">
        <w:rPr>
          <w:spacing w:val="-2"/>
          <w:lang w:val="en-GB"/>
        </w:rPr>
        <w:t xml:space="preserve"> for greater than or equal to 300 seconds while under the conditions specified in the above subparagraph (a); as alternatives left to the manufacturer an engine operation at or above 15 per cent calculated load or a vehicle operation at or above 40 km/h may be used in lieu of the 1</w:t>
      </w:r>
      <w:r w:rsidR="00B80465">
        <w:rPr>
          <w:spacing w:val="-2"/>
          <w:lang w:val="en-GB"/>
        </w:rPr>
        <w:t>,</w:t>
      </w:r>
      <w:r w:rsidRPr="00B04DC3">
        <w:rPr>
          <w:spacing w:val="-2"/>
          <w:lang w:val="en-GB"/>
        </w:rPr>
        <w:t>150 min</w:t>
      </w:r>
      <w:r w:rsidRPr="00B04DC3">
        <w:rPr>
          <w:spacing w:val="-2"/>
          <w:vertAlign w:val="superscript"/>
          <w:lang w:val="en-GB"/>
        </w:rPr>
        <w:t>-1</w:t>
      </w:r>
      <w:r w:rsidRPr="00B04DC3">
        <w:rPr>
          <w:spacing w:val="-2"/>
          <w:lang w:val="en-GB"/>
        </w:rPr>
        <w:t xml:space="preserve"> criterion.</w:t>
      </w:r>
    </w:p>
    <w:p w:rsidR="00AF2027" w:rsidRPr="00B04DC3" w:rsidRDefault="00AF2027" w:rsidP="00AF2027">
      <w:pPr>
        <w:pStyle w:val="a"/>
        <w:rPr>
          <w:lang w:val="en-GB"/>
        </w:rPr>
      </w:pPr>
      <w:r w:rsidRPr="00B04DC3">
        <w:rPr>
          <w:lang w:val="en-GB"/>
        </w:rPr>
        <w:t>(c)</w:t>
      </w:r>
      <w:r w:rsidRPr="00B04DC3">
        <w:rPr>
          <w:lang w:val="en-GB"/>
        </w:rPr>
        <w:tab/>
        <w:t>Continuous vehicle operation at idle (e.g., accelerator pedal released by driver and either vehicle speed less than or equal to 1.6 km/h or engine speed less than or equal to 200 min</w:t>
      </w:r>
      <w:r w:rsidRPr="00B04DC3">
        <w:rPr>
          <w:vertAlign w:val="superscript"/>
          <w:lang w:val="en-GB"/>
        </w:rPr>
        <w:t>-1</w:t>
      </w:r>
      <w:r w:rsidRPr="00B04DC3">
        <w:rPr>
          <w:lang w:val="en-GB"/>
        </w:rPr>
        <w:t xml:space="preserve"> above normal warmed-up idle) for greater than or equal to 30 seconds while under the conditions specified in the above subparagraph (a).</w:t>
      </w:r>
    </w:p>
    <w:p w:rsidR="00AF2027" w:rsidRPr="00B04DC3" w:rsidRDefault="00AF2027" w:rsidP="00AF2027">
      <w:pPr>
        <w:pStyle w:val="para"/>
        <w:rPr>
          <w:lang w:val="en-GB"/>
        </w:rPr>
      </w:pPr>
      <w:r w:rsidRPr="00B04DC3">
        <w:rPr>
          <w:lang w:val="en-GB"/>
        </w:rPr>
        <w:t>5.5.</w:t>
      </w:r>
      <w:r w:rsidRPr="00B04DC3">
        <w:rPr>
          <w:lang w:val="en-GB"/>
        </w:rPr>
        <w:tab/>
        <w:t>Requirements for incrementing the ignition cycle counter</w:t>
      </w:r>
    </w:p>
    <w:p w:rsidR="00AF2027" w:rsidRPr="00B04DC3" w:rsidRDefault="00AF2027" w:rsidP="00AF2027">
      <w:pPr>
        <w:pStyle w:val="para"/>
        <w:rPr>
          <w:lang w:val="en-GB"/>
        </w:rPr>
      </w:pPr>
      <w:r w:rsidRPr="00B04DC3">
        <w:rPr>
          <w:lang w:val="en-GB"/>
        </w:rPr>
        <w:tab/>
        <w:t>The ignition cycle counter shall be incremented once and only once per engine start.</w:t>
      </w:r>
    </w:p>
    <w:p w:rsidR="00AF2027" w:rsidRPr="00B04DC3" w:rsidRDefault="00AF2027" w:rsidP="00AF2027">
      <w:pPr>
        <w:pStyle w:val="para"/>
        <w:rPr>
          <w:lang w:val="en-GB"/>
        </w:rPr>
      </w:pPr>
      <w:r w:rsidRPr="00B04DC3">
        <w:rPr>
          <w:lang w:val="en-GB"/>
        </w:rPr>
        <w:t>5.6.</w:t>
      </w:r>
      <w:r w:rsidRPr="00B04DC3">
        <w:rPr>
          <w:lang w:val="en-GB"/>
        </w:rPr>
        <w:tab/>
        <w:t>Incrementing disablement of the numerators, of the denominators and of the general denominator</w:t>
      </w:r>
    </w:p>
    <w:p w:rsidR="00AF2027" w:rsidRPr="00B04DC3" w:rsidRDefault="00AF2027" w:rsidP="00AF2027">
      <w:pPr>
        <w:pStyle w:val="para"/>
        <w:rPr>
          <w:lang w:val="en-GB"/>
        </w:rPr>
      </w:pPr>
      <w:r w:rsidRPr="00B04DC3">
        <w:rPr>
          <w:lang w:val="en-GB"/>
        </w:rPr>
        <w:t>5.6.1.</w:t>
      </w:r>
      <w:r w:rsidRPr="00B04DC3">
        <w:rPr>
          <w:lang w:val="en-GB"/>
        </w:rPr>
        <w:tab/>
        <w:t>Within 10 seconds of a malfunction being detected (i.e. a potential or a confirmed and active DTC is stored), which disables a monitor, the OBD system shall disable further incrementing of the corresponding numerator and denominator for each monitor that is disabled.</w:t>
      </w:r>
    </w:p>
    <w:p w:rsidR="00AF2027" w:rsidRPr="00B04DC3" w:rsidRDefault="00AF2027" w:rsidP="00AF2027">
      <w:pPr>
        <w:pStyle w:val="para"/>
        <w:rPr>
          <w:lang w:val="en-GB"/>
        </w:rPr>
      </w:pPr>
      <w:r w:rsidRPr="00B04DC3">
        <w:rPr>
          <w:lang w:val="en-GB"/>
        </w:rPr>
        <w:tab/>
        <w:t>When the malfunction is no longer detected (e.g. the potential DTC is erased through self-clearing or through a scan-tool command), incrementing of all corresponding numerators and denominators shall resume within 10 seconds.</w:t>
      </w:r>
    </w:p>
    <w:p w:rsidR="00AF2027" w:rsidRPr="00B04DC3" w:rsidRDefault="00AF2027" w:rsidP="00AF2027">
      <w:pPr>
        <w:pStyle w:val="para"/>
        <w:rPr>
          <w:lang w:val="en-GB"/>
        </w:rPr>
      </w:pPr>
      <w:r w:rsidRPr="00B04DC3">
        <w:rPr>
          <w:lang w:val="en-GB"/>
        </w:rPr>
        <w:t>5.6.2.</w:t>
      </w:r>
      <w:r w:rsidRPr="00B04DC3">
        <w:rPr>
          <w:lang w:val="en-GB"/>
        </w:rPr>
        <w:tab/>
        <w:t>Within 10 seconds of the start of operation of a Power Take-Off unit (PTO) that disables a monitor as permitted in paragraph 5.2.5. of Annex 9B, the OBD system shall disable further incrementing of the corresponding numerator and denominator for each monitor that is disabled.</w:t>
      </w:r>
    </w:p>
    <w:p w:rsidR="00AF2027" w:rsidRPr="00B04DC3" w:rsidRDefault="00AF2027" w:rsidP="00AF2027">
      <w:pPr>
        <w:pStyle w:val="para"/>
        <w:rPr>
          <w:lang w:val="en-GB"/>
        </w:rPr>
      </w:pPr>
      <w:r w:rsidRPr="00B04DC3">
        <w:rPr>
          <w:lang w:val="en-GB"/>
        </w:rPr>
        <w:tab/>
        <w:t>When the PTO operation ends, incrementing of all corresponding numerators and denominators shall resume within 10 seconds.</w:t>
      </w:r>
    </w:p>
    <w:p w:rsidR="00AF2027" w:rsidRPr="00B04DC3" w:rsidRDefault="00AF2027" w:rsidP="00AF2027">
      <w:pPr>
        <w:pStyle w:val="para"/>
        <w:rPr>
          <w:lang w:val="en-GB"/>
        </w:rPr>
      </w:pPr>
      <w:r w:rsidRPr="00B04DC3">
        <w:rPr>
          <w:lang w:val="en-GB"/>
        </w:rPr>
        <w:t>5.6.3.</w:t>
      </w:r>
      <w:r w:rsidRPr="00B04DC3">
        <w:rPr>
          <w:lang w:val="en-GB"/>
        </w:rPr>
        <w:tab/>
        <w:t>In the case of a malfunction (i.e. a potential or confirmed and active DTC has been stored) preventing determination of whether the criteria for the Denominator</w:t>
      </w:r>
      <w:r w:rsidRPr="00B04DC3">
        <w:rPr>
          <w:vertAlign w:val="subscript"/>
          <w:lang w:val="en-GB"/>
        </w:rPr>
        <w:t>m</w:t>
      </w:r>
      <w:r w:rsidRPr="00B04DC3">
        <w:rPr>
          <w:lang w:val="en-GB"/>
        </w:rPr>
        <w:t xml:space="preserve"> of a monitor m mentioned in paragraph 5.3. </w:t>
      </w:r>
      <w:r w:rsidR="00B80465">
        <w:rPr>
          <w:lang w:val="en-GB"/>
        </w:rPr>
        <w:t xml:space="preserve">of this annex </w:t>
      </w:r>
      <w:r w:rsidRPr="00B04DC3">
        <w:rPr>
          <w:lang w:val="en-GB"/>
        </w:rPr>
        <w:t>are satisfied</w:t>
      </w:r>
      <w:r w:rsidR="00B80465" w:rsidRPr="00B04DC3">
        <w:rPr>
          <w:lang w:val="en-GB"/>
        </w:rPr>
        <w:t>,</w:t>
      </w:r>
      <w:r w:rsidRPr="00B04DC3">
        <w:rPr>
          <w:rStyle w:val="FootnoteReference"/>
          <w:lang w:val="en-GB"/>
        </w:rPr>
        <w:footnoteReference w:id="54"/>
      </w:r>
      <w:r w:rsidRPr="00B04DC3">
        <w:rPr>
          <w:lang w:val="en-GB"/>
        </w:rPr>
        <w:t xml:space="preserve"> the OBD system shall disable further incrementing the Numerator</w:t>
      </w:r>
      <w:r w:rsidRPr="00B04DC3">
        <w:rPr>
          <w:vertAlign w:val="subscript"/>
          <w:lang w:val="en-GB"/>
        </w:rPr>
        <w:t>m</w:t>
      </w:r>
      <w:r w:rsidRPr="00B04DC3">
        <w:rPr>
          <w:lang w:val="en-GB"/>
        </w:rPr>
        <w:t xml:space="preserve"> and Denominator</w:t>
      </w:r>
      <w:r w:rsidRPr="00B04DC3">
        <w:rPr>
          <w:vertAlign w:val="subscript"/>
          <w:lang w:val="en-GB"/>
        </w:rPr>
        <w:t>m</w:t>
      </w:r>
      <w:r w:rsidRPr="00B04DC3">
        <w:rPr>
          <w:lang w:val="en-GB"/>
        </w:rPr>
        <w:t xml:space="preserve"> within 10 seconds.</w:t>
      </w:r>
    </w:p>
    <w:p w:rsidR="00AF2027" w:rsidRPr="00B04DC3" w:rsidRDefault="00AF2027" w:rsidP="00AF2027">
      <w:pPr>
        <w:pStyle w:val="para"/>
        <w:rPr>
          <w:lang w:val="en-GB"/>
        </w:rPr>
      </w:pPr>
      <w:r w:rsidRPr="00B04DC3">
        <w:rPr>
          <w:lang w:val="en-GB"/>
        </w:rPr>
        <w:tab/>
        <w:t>Incrementing the Numerator</w:t>
      </w:r>
      <w:r w:rsidRPr="00B04DC3">
        <w:rPr>
          <w:vertAlign w:val="subscript"/>
          <w:lang w:val="en-GB"/>
        </w:rPr>
        <w:t>m</w:t>
      </w:r>
      <w:r w:rsidRPr="00B04DC3">
        <w:rPr>
          <w:lang w:val="en-GB"/>
        </w:rPr>
        <w:t xml:space="preserve"> and Denominator</w:t>
      </w:r>
      <w:r w:rsidRPr="00B04DC3">
        <w:rPr>
          <w:vertAlign w:val="subscript"/>
          <w:lang w:val="en-GB"/>
        </w:rPr>
        <w:t>m</w:t>
      </w:r>
      <w:r w:rsidRPr="00B04DC3">
        <w:rPr>
          <w:lang w:val="en-GB"/>
        </w:rPr>
        <w:t xml:space="preserve"> shall resume within 10 seconds when the malfunction is no longer present (e.g., pending code erased through self-clearing or by a scan tool command).</w:t>
      </w:r>
    </w:p>
    <w:p w:rsidR="00AF2027" w:rsidRPr="00B04DC3" w:rsidRDefault="00AF2027" w:rsidP="00AF2027">
      <w:pPr>
        <w:pStyle w:val="para"/>
        <w:rPr>
          <w:lang w:val="en-GB"/>
        </w:rPr>
      </w:pPr>
      <w:r w:rsidRPr="00B04DC3">
        <w:rPr>
          <w:lang w:val="en-GB"/>
        </w:rPr>
        <w:t>5.6.4.</w:t>
      </w:r>
      <w:r w:rsidRPr="00B04DC3">
        <w:rPr>
          <w:lang w:val="en-GB"/>
        </w:rPr>
        <w:tab/>
        <w:t xml:space="preserve">In the case of a malfunction (i.e. a potential or confirmed and active DTC has been stored) preventing determination of whether the criteria for the General denominator mentioned in paragraph 5.4. </w:t>
      </w:r>
      <w:r w:rsidR="00B80465">
        <w:rPr>
          <w:lang w:val="en-GB"/>
        </w:rPr>
        <w:t xml:space="preserve">of this annex </w:t>
      </w:r>
      <w:r w:rsidRPr="00B04DC3">
        <w:rPr>
          <w:lang w:val="en-GB"/>
        </w:rPr>
        <w:t>are satisfied</w:t>
      </w:r>
      <w:r w:rsidR="0099679A">
        <w:rPr>
          <w:lang w:val="en-GB"/>
        </w:rPr>
        <w:t>,</w:t>
      </w:r>
      <w:r w:rsidRPr="00B04DC3">
        <w:rPr>
          <w:rStyle w:val="FootnoteReference"/>
          <w:b/>
          <w:iCs/>
          <w:lang w:val="en-GB"/>
        </w:rPr>
        <w:footnoteReference w:id="55"/>
      </w:r>
      <w:r w:rsidRPr="00B04DC3">
        <w:rPr>
          <w:lang w:val="en-GB"/>
        </w:rPr>
        <w:t xml:space="preserve"> the OBD system shall disable further incrementing the general denominator within 10 seconds.</w:t>
      </w:r>
    </w:p>
    <w:p w:rsidR="00AF2027" w:rsidRPr="00B04DC3" w:rsidRDefault="00AF2027" w:rsidP="00AF2027">
      <w:pPr>
        <w:pStyle w:val="para"/>
        <w:rPr>
          <w:lang w:val="en-GB"/>
        </w:rPr>
      </w:pPr>
      <w:r w:rsidRPr="00B04DC3">
        <w:rPr>
          <w:lang w:val="en-GB"/>
        </w:rPr>
        <w:tab/>
        <w:t>Incrementing the general denominator shall resume within 10 seconds when the malfunction is no longer present (e.g., pending code erased through self-clearing or by a scan tool command).</w:t>
      </w:r>
    </w:p>
    <w:p w:rsidR="00AF2027" w:rsidRPr="00B04DC3" w:rsidRDefault="00AF2027" w:rsidP="00AF2027">
      <w:pPr>
        <w:pStyle w:val="para"/>
        <w:rPr>
          <w:lang w:val="en-GB"/>
        </w:rPr>
      </w:pPr>
      <w:r w:rsidRPr="00B04DC3">
        <w:rPr>
          <w:lang w:val="en-GB"/>
        </w:rPr>
        <w:tab/>
        <w:t>The general denominator may not be disabled from incrementing for any other condition.</w:t>
      </w:r>
    </w:p>
    <w:p w:rsidR="00AF2027" w:rsidRPr="00B04DC3" w:rsidRDefault="00AF2027" w:rsidP="00AF2027">
      <w:pPr>
        <w:pStyle w:val="para"/>
        <w:rPr>
          <w:lang w:val="en-GB"/>
        </w:rPr>
      </w:pPr>
      <w:r w:rsidRPr="00B04DC3">
        <w:rPr>
          <w:lang w:val="en-GB"/>
        </w:rPr>
        <w:t>6.</w:t>
      </w:r>
      <w:r w:rsidRPr="00B04DC3">
        <w:rPr>
          <w:lang w:val="en-GB"/>
        </w:rPr>
        <w:tab/>
        <w:t>Requirements for tracking and recording in-use performance data</w:t>
      </w:r>
    </w:p>
    <w:p w:rsidR="00AF2027" w:rsidRPr="00B04DC3" w:rsidRDefault="00AF2027" w:rsidP="00AF2027">
      <w:pPr>
        <w:pStyle w:val="para"/>
        <w:rPr>
          <w:lang w:val="en-GB"/>
        </w:rPr>
      </w:pPr>
      <w:r w:rsidRPr="00B04DC3">
        <w:rPr>
          <w:lang w:val="en-GB"/>
        </w:rPr>
        <w:tab/>
        <w:t xml:space="preserve">For each group of monitors listed in Appendix 1 to this annex, the OBD system shall separately track numerators and denominators for each of the specific monitors listed in Appendix 3 </w:t>
      </w:r>
      <w:r w:rsidR="0099679A">
        <w:rPr>
          <w:lang w:val="en-GB"/>
        </w:rPr>
        <w:t>to</w:t>
      </w:r>
      <w:r w:rsidR="0099679A" w:rsidRPr="00B04DC3">
        <w:rPr>
          <w:lang w:val="en-GB"/>
        </w:rPr>
        <w:t xml:space="preserve"> </w:t>
      </w:r>
      <w:r w:rsidRPr="00B04DC3">
        <w:rPr>
          <w:lang w:val="en-GB"/>
        </w:rPr>
        <w:t>Annex 9B and belonging to that group.</w:t>
      </w:r>
    </w:p>
    <w:p w:rsidR="00AF2027" w:rsidRPr="00B04DC3" w:rsidRDefault="00AF2027" w:rsidP="00AF2027">
      <w:pPr>
        <w:pStyle w:val="para"/>
        <w:rPr>
          <w:lang w:val="en-GB"/>
        </w:rPr>
      </w:pPr>
      <w:r w:rsidRPr="00B04DC3">
        <w:rPr>
          <w:lang w:val="en-GB"/>
        </w:rPr>
        <w:tab/>
        <w:t>It shall report only the corresponding numerator and denominator for the specific monitor that has the lowest numerical ratio.</w:t>
      </w:r>
    </w:p>
    <w:p w:rsidR="00AF2027" w:rsidRPr="00B04DC3" w:rsidRDefault="00AF2027" w:rsidP="00AF2027">
      <w:pPr>
        <w:pStyle w:val="para"/>
        <w:rPr>
          <w:lang w:val="en-GB"/>
        </w:rPr>
      </w:pPr>
      <w:r w:rsidRPr="00B04DC3">
        <w:rPr>
          <w:lang w:val="en-GB"/>
        </w:rPr>
        <w:tab/>
        <w:t>If two or more specific monitors have identical ratios, the corresponding numerator and denominator for the specific monitor that has the highest denominator shall be reported for the specific group of monitors.</w:t>
      </w:r>
    </w:p>
    <w:p w:rsidR="00AF2027" w:rsidRPr="00B04DC3" w:rsidRDefault="00AF2027" w:rsidP="00AF2027">
      <w:pPr>
        <w:pStyle w:val="para"/>
        <w:rPr>
          <w:lang w:val="en-GB"/>
        </w:rPr>
      </w:pPr>
      <w:r w:rsidRPr="00B04DC3">
        <w:rPr>
          <w:lang w:val="en-GB"/>
        </w:rPr>
        <w:tab/>
        <w:t>In order to determine without bias the lowest ratio of a group, only the monitors specifically mentioned in that group shall be taken into consideration (e.g. a NO</w:t>
      </w:r>
      <w:r w:rsidRPr="00B04DC3">
        <w:rPr>
          <w:vertAlign w:val="subscript"/>
          <w:lang w:val="en-GB"/>
        </w:rPr>
        <w:t>x</w:t>
      </w:r>
      <w:r w:rsidRPr="00B04DC3">
        <w:rPr>
          <w:lang w:val="en-GB"/>
        </w:rPr>
        <w:t xml:space="preserve"> sensor when used to perform one of the monitors listed in Annex 9B, Appendix 3, item 3 "SCR" will be taken into consideration into the "exhaust gas sensor" group of monitors and not in the "SCR" group of monitors)</w:t>
      </w:r>
    </w:p>
    <w:p w:rsidR="00AF2027" w:rsidRPr="00B04DC3" w:rsidRDefault="00AF2027" w:rsidP="00AF2027">
      <w:pPr>
        <w:pStyle w:val="para"/>
        <w:rPr>
          <w:lang w:val="en-GB"/>
        </w:rPr>
      </w:pPr>
      <w:r w:rsidRPr="00B04DC3">
        <w:rPr>
          <w:lang w:val="en-GB"/>
        </w:rPr>
        <w:tab/>
        <w:t xml:space="preserve">The OBD system shall also track and report the general denominator and the ignition cycle counter. </w:t>
      </w:r>
    </w:p>
    <w:p w:rsidR="00AF2027" w:rsidRPr="00B04DC3" w:rsidRDefault="00AF2027" w:rsidP="00AF2027">
      <w:pPr>
        <w:pStyle w:val="para"/>
        <w:rPr>
          <w:lang w:val="en-GB"/>
        </w:rPr>
      </w:pPr>
      <w:r w:rsidRPr="00B04DC3">
        <w:rPr>
          <w:lang w:val="en-GB"/>
        </w:rPr>
        <w:tab/>
      </w:r>
      <w:r w:rsidRPr="00B04DC3">
        <w:rPr>
          <w:i/>
          <w:lang w:val="en-GB"/>
        </w:rPr>
        <w:t>Note:</w:t>
      </w:r>
      <w:r w:rsidRPr="00B04DC3">
        <w:rPr>
          <w:lang w:val="en-GB"/>
        </w:rPr>
        <w:t xml:space="preserve"> </w:t>
      </w:r>
      <w:r w:rsidR="00B80465">
        <w:rPr>
          <w:lang w:val="en-GB"/>
        </w:rPr>
        <w:t>A</w:t>
      </w:r>
      <w:r w:rsidR="00B80465" w:rsidRPr="00B04DC3">
        <w:rPr>
          <w:lang w:val="en-GB"/>
        </w:rPr>
        <w:t xml:space="preserve">ccording </w:t>
      </w:r>
      <w:r w:rsidRPr="00B04DC3">
        <w:rPr>
          <w:lang w:val="en-GB"/>
        </w:rPr>
        <w:t>to paragraph 4.1.1.</w:t>
      </w:r>
      <w:r w:rsidR="00B80465">
        <w:rPr>
          <w:lang w:val="en-GB"/>
        </w:rPr>
        <w:t>of this annex</w:t>
      </w:r>
      <w:r w:rsidRPr="00B04DC3">
        <w:rPr>
          <w:lang w:val="en-GB"/>
        </w:rPr>
        <w:t>, manufacturers are not required to implement software algorithms in the OBD system to individually track and report numerators and denominators of monitors running continuously.</w:t>
      </w:r>
    </w:p>
    <w:p w:rsidR="00AF2027" w:rsidRPr="00B04DC3" w:rsidRDefault="00AF2027" w:rsidP="00AF2027">
      <w:pPr>
        <w:pStyle w:val="para"/>
        <w:rPr>
          <w:lang w:val="en-GB"/>
        </w:rPr>
      </w:pPr>
      <w:r w:rsidRPr="00B04DC3">
        <w:rPr>
          <w:lang w:val="en-GB"/>
        </w:rPr>
        <w:t>7.</w:t>
      </w:r>
      <w:r w:rsidRPr="00B04DC3">
        <w:rPr>
          <w:lang w:val="en-GB"/>
        </w:rPr>
        <w:tab/>
        <w:t>Requirements for storing and communicating in-use performance data</w:t>
      </w:r>
    </w:p>
    <w:p w:rsidR="00AF2027" w:rsidRPr="00B04DC3" w:rsidRDefault="00AF2027" w:rsidP="00AF2027">
      <w:pPr>
        <w:pStyle w:val="para"/>
        <w:rPr>
          <w:lang w:val="en-GB"/>
        </w:rPr>
      </w:pPr>
      <w:r w:rsidRPr="00B04DC3">
        <w:rPr>
          <w:lang w:val="en-GB"/>
        </w:rPr>
        <w:tab/>
        <w:t>Communication of the in-use performance data is a new use-case and is not included in the three existing use-cases which are dedicated to the presence of possible malfunctions</w:t>
      </w:r>
    </w:p>
    <w:p w:rsidR="00AF2027" w:rsidRPr="00B04DC3" w:rsidRDefault="00AF2027" w:rsidP="00AF2027">
      <w:pPr>
        <w:pStyle w:val="para"/>
        <w:rPr>
          <w:lang w:val="en-GB"/>
        </w:rPr>
      </w:pPr>
      <w:r w:rsidRPr="00B04DC3">
        <w:rPr>
          <w:lang w:val="en-GB"/>
        </w:rPr>
        <w:t>7.1.</w:t>
      </w:r>
      <w:r w:rsidRPr="00B04DC3">
        <w:rPr>
          <w:lang w:val="en-GB"/>
        </w:rPr>
        <w:tab/>
        <w:t>Information about in-use performance data</w:t>
      </w:r>
    </w:p>
    <w:p w:rsidR="00AF2027" w:rsidRPr="00B04DC3" w:rsidRDefault="00AF2027" w:rsidP="00AF2027">
      <w:pPr>
        <w:pStyle w:val="para"/>
        <w:rPr>
          <w:lang w:val="en-GB"/>
        </w:rPr>
      </w:pPr>
      <w:r w:rsidRPr="00B04DC3">
        <w:rPr>
          <w:lang w:val="en-GB"/>
        </w:rPr>
        <w:tab/>
        <w:t>The information about in-use performance data recorded by the OBD system shall be available upon off-board request according to paragraph 7.2.</w:t>
      </w:r>
      <w:r w:rsidR="00B80465">
        <w:rPr>
          <w:lang w:val="en-GB"/>
        </w:rPr>
        <w:t xml:space="preserve"> below.</w:t>
      </w:r>
    </w:p>
    <w:p w:rsidR="00AF2027" w:rsidRPr="00B04DC3" w:rsidRDefault="00AF2027" w:rsidP="00AF2027">
      <w:pPr>
        <w:pStyle w:val="para"/>
        <w:rPr>
          <w:lang w:val="en-GB"/>
        </w:rPr>
      </w:pPr>
      <w:r w:rsidRPr="00B04DC3">
        <w:rPr>
          <w:lang w:val="en-GB"/>
        </w:rPr>
        <w:tab/>
        <w:t>This information will provide type approval authorities with in use performance data.</w:t>
      </w:r>
    </w:p>
    <w:p w:rsidR="00AF2027" w:rsidRPr="00B04DC3" w:rsidRDefault="00AF2027" w:rsidP="00AF2027">
      <w:pPr>
        <w:pStyle w:val="para"/>
        <w:rPr>
          <w:lang w:val="en-GB"/>
        </w:rPr>
      </w:pPr>
      <w:r w:rsidRPr="00B04DC3">
        <w:rPr>
          <w:lang w:val="en-GB"/>
        </w:rPr>
        <w:tab/>
        <w:t>The OBD system shall provide all information (according to the applicable standard set in Appendix 6</w:t>
      </w:r>
      <w:r w:rsidR="007467E5" w:rsidRPr="00B04DC3">
        <w:rPr>
          <w:lang w:val="en-GB"/>
        </w:rPr>
        <w:t xml:space="preserve"> to Annex 9B</w:t>
      </w:r>
      <w:r w:rsidRPr="00B04DC3">
        <w:rPr>
          <w:lang w:val="en-GB"/>
        </w:rPr>
        <w:t>) for the external IUPR test equipment to assimilate the data and provide an inspector with the following information:</w:t>
      </w:r>
    </w:p>
    <w:p w:rsidR="00AF2027" w:rsidRPr="00B04DC3" w:rsidRDefault="00AF2027" w:rsidP="00AF2027">
      <w:pPr>
        <w:pStyle w:val="a"/>
        <w:rPr>
          <w:lang w:val="en-GB"/>
        </w:rPr>
      </w:pPr>
      <w:r w:rsidRPr="00B04DC3">
        <w:rPr>
          <w:lang w:val="en-GB"/>
        </w:rPr>
        <w:t>(a)</w:t>
      </w:r>
      <w:r w:rsidRPr="00B04DC3">
        <w:rPr>
          <w:lang w:val="en-GB"/>
        </w:rPr>
        <w:tab/>
        <w:t>The VIN (</w:t>
      </w:r>
      <w:r w:rsidR="00B80465">
        <w:rPr>
          <w:lang w:val="en-GB"/>
        </w:rPr>
        <w:t>V</w:t>
      </w:r>
      <w:r w:rsidR="00B80465" w:rsidRPr="00B04DC3">
        <w:rPr>
          <w:lang w:val="en-GB"/>
        </w:rPr>
        <w:t xml:space="preserve">ehicle </w:t>
      </w:r>
      <w:r w:rsidR="00B80465">
        <w:rPr>
          <w:lang w:val="en-GB"/>
        </w:rPr>
        <w:t>I</w:t>
      </w:r>
      <w:r w:rsidR="00B80465" w:rsidRPr="00B04DC3">
        <w:rPr>
          <w:lang w:val="en-GB"/>
        </w:rPr>
        <w:t xml:space="preserve">dentification </w:t>
      </w:r>
      <w:r w:rsidR="00B80465">
        <w:rPr>
          <w:lang w:val="en-GB"/>
        </w:rPr>
        <w:t>N</w:t>
      </w:r>
      <w:r w:rsidR="00B80465" w:rsidRPr="00B04DC3">
        <w:rPr>
          <w:lang w:val="en-GB"/>
        </w:rPr>
        <w:t>umber</w:t>
      </w:r>
      <w:r w:rsidRPr="00B04DC3">
        <w:rPr>
          <w:lang w:val="en-GB"/>
        </w:rPr>
        <w:t>),</w:t>
      </w:r>
    </w:p>
    <w:p w:rsidR="00AF2027" w:rsidRPr="00B04DC3" w:rsidRDefault="00AF2027" w:rsidP="00AF2027">
      <w:pPr>
        <w:pStyle w:val="a"/>
        <w:rPr>
          <w:lang w:val="en-GB"/>
        </w:rPr>
      </w:pPr>
      <w:r w:rsidRPr="00B04DC3">
        <w:rPr>
          <w:lang w:val="en-GB"/>
        </w:rPr>
        <w:t>(b)</w:t>
      </w:r>
      <w:r w:rsidRPr="00B04DC3">
        <w:rPr>
          <w:lang w:val="en-GB"/>
        </w:rPr>
        <w:tab/>
        <w:t>The numerator and denominator for each group of monitors recorded by the system according to paragraph 6.,</w:t>
      </w:r>
    </w:p>
    <w:p w:rsidR="00AF2027" w:rsidRPr="00B04DC3" w:rsidRDefault="00AF2027" w:rsidP="00AF2027">
      <w:pPr>
        <w:pStyle w:val="a"/>
        <w:rPr>
          <w:lang w:val="en-GB"/>
        </w:rPr>
      </w:pPr>
      <w:r w:rsidRPr="00B04DC3">
        <w:rPr>
          <w:lang w:val="en-GB"/>
        </w:rPr>
        <w:t>(c)</w:t>
      </w:r>
      <w:r w:rsidRPr="00B04DC3">
        <w:rPr>
          <w:lang w:val="en-GB"/>
        </w:rPr>
        <w:tab/>
        <w:t>The general denominator,</w:t>
      </w:r>
    </w:p>
    <w:p w:rsidR="00AF2027" w:rsidRPr="00B04DC3" w:rsidRDefault="00AF2027" w:rsidP="00AF2027">
      <w:pPr>
        <w:pStyle w:val="a"/>
        <w:rPr>
          <w:lang w:val="en-GB"/>
        </w:rPr>
      </w:pPr>
      <w:r w:rsidRPr="00B04DC3">
        <w:rPr>
          <w:lang w:val="en-GB"/>
        </w:rPr>
        <w:t>(d)</w:t>
      </w:r>
      <w:r w:rsidRPr="00B04DC3">
        <w:rPr>
          <w:lang w:val="en-GB"/>
        </w:rPr>
        <w:tab/>
        <w:t>The value of the ignition cycle counter,</w:t>
      </w:r>
    </w:p>
    <w:p w:rsidR="0002313E" w:rsidRPr="00B04DC3" w:rsidRDefault="00AF2027" w:rsidP="0002313E">
      <w:pPr>
        <w:pStyle w:val="a"/>
        <w:jc w:val="left"/>
        <w:rPr>
          <w:lang w:val="en-GB"/>
        </w:rPr>
      </w:pPr>
      <w:r w:rsidRPr="00B04DC3">
        <w:rPr>
          <w:lang w:val="en-GB"/>
        </w:rPr>
        <w:t>(e)</w:t>
      </w:r>
      <w:r w:rsidRPr="00B04DC3">
        <w:rPr>
          <w:lang w:val="en-GB"/>
        </w:rPr>
        <w:tab/>
        <w:t>The total engine running hours</w:t>
      </w:r>
      <w:r w:rsidR="0002313E" w:rsidRPr="00B04DC3">
        <w:rPr>
          <w:lang w:val="en-GB"/>
        </w:rPr>
        <w:t>,</w:t>
      </w:r>
    </w:p>
    <w:p w:rsidR="0002313E" w:rsidRPr="00B04DC3" w:rsidRDefault="0002313E" w:rsidP="0002313E">
      <w:pPr>
        <w:pStyle w:val="a"/>
        <w:jc w:val="left"/>
        <w:rPr>
          <w:lang w:val="en-GB"/>
        </w:rPr>
      </w:pPr>
      <w:r w:rsidRPr="00B04DC3">
        <w:rPr>
          <w:lang w:val="en-GB"/>
        </w:rPr>
        <w:t>(f)</w:t>
      </w:r>
      <w:r w:rsidRPr="00B04DC3">
        <w:rPr>
          <w:lang w:val="en-GB"/>
        </w:rPr>
        <w:tab/>
        <w:t>Confirmed and active DTCs for Class A malfunctions</w:t>
      </w:r>
    </w:p>
    <w:p w:rsidR="0002313E" w:rsidRPr="00B04DC3" w:rsidRDefault="0002313E" w:rsidP="0002313E">
      <w:pPr>
        <w:pStyle w:val="a"/>
        <w:jc w:val="left"/>
        <w:rPr>
          <w:lang w:val="en-GB"/>
        </w:rPr>
      </w:pPr>
      <w:r w:rsidRPr="00B04DC3">
        <w:rPr>
          <w:lang w:val="en-GB"/>
        </w:rPr>
        <w:t>(g)</w:t>
      </w:r>
      <w:r w:rsidRPr="00B04DC3">
        <w:rPr>
          <w:lang w:val="en-GB"/>
        </w:rPr>
        <w:tab/>
        <w:t>Confirmed and active DTCs for Class B (B1 and B2) malfunctions.</w:t>
      </w:r>
    </w:p>
    <w:p w:rsidR="00AF2027" w:rsidRPr="00B04DC3" w:rsidRDefault="00AF2027" w:rsidP="00AF2027">
      <w:pPr>
        <w:pStyle w:val="para"/>
        <w:rPr>
          <w:lang w:val="en-GB"/>
        </w:rPr>
      </w:pPr>
      <w:r w:rsidRPr="00B04DC3">
        <w:rPr>
          <w:lang w:val="en-GB"/>
        </w:rPr>
        <w:tab/>
        <w:t>This information shall be available through "read</w:t>
      </w:r>
      <w:r w:rsidRPr="00B04DC3">
        <w:rPr>
          <w:lang w:val="en-GB"/>
        </w:rPr>
        <w:noBreakHyphen/>
        <w:t>only" access (i.e. no clearing).</w:t>
      </w:r>
    </w:p>
    <w:p w:rsidR="00AF2027" w:rsidRPr="00B04DC3" w:rsidRDefault="00AF2027" w:rsidP="00AF2027">
      <w:pPr>
        <w:pStyle w:val="para"/>
        <w:rPr>
          <w:lang w:val="en-GB"/>
        </w:rPr>
      </w:pPr>
      <w:r w:rsidRPr="00B04DC3">
        <w:rPr>
          <w:lang w:val="en-GB"/>
        </w:rPr>
        <w:t>7.2.</w:t>
      </w:r>
      <w:r w:rsidRPr="00B04DC3">
        <w:rPr>
          <w:lang w:val="en-GB"/>
        </w:rPr>
        <w:tab/>
        <w:t>Access to in-use performance data</w:t>
      </w:r>
    </w:p>
    <w:p w:rsidR="00AF2027" w:rsidRPr="00B04DC3" w:rsidRDefault="00AF2027" w:rsidP="00AF2027">
      <w:pPr>
        <w:pStyle w:val="para"/>
        <w:rPr>
          <w:lang w:val="en-GB"/>
        </w:rPr>
      </w:pPr>
      <w:r w:rsidRPr="00B04DC3">
        <w:rPr>
          <w:lang w:val="en-GB"/>
        </w:rPr>
        <w:tab/>
        <w:t xml:space="preserve">Access to in-use performance data shall be provided only in accordance with the standards mentioned in Appendix 6 </w:t>
      </w:r>
      <w:r w:rsidR="0099679A">
        <w:rPr>
          <w:lang w:val="en-GB"/>
        </w:rPr>
        <w:t>to</w:t>
      </w:r>
      <w:r w:rsidR="0099679A" w:rsidRPr="00B04DC3">
        <w:rPr>
          <w:lang w:val="en-GB"/>
        </w:rPr>
        <w:t xml:space="preserve"> </w:t>
      </w:r>
      <w:r w:rsidRPr="00B04DC3">
        <w:rPr>
          <w:lang w:val="en-GB"/>
        </w:rPr>
        <w:t>Annex 9B and the following sub-paragraphs</w:t>
      </w:r>
      <w:r w:rsidR="00F033EF">
        <w:rPr>
          <w:lang w:val="en-GB"/>
        </w:rPr>
        <w:t>.</w:t>
      </w:r>
      <w:r w:rsidRPr="00B04DC3">
        <w:rPr>
          <w:rStyle w:val="FootnoteReference"/>
          <w:lang w:val="en-GB"/>
        </w:rPr>
        <w:footnoteReference w:id="56"/>
      </w:r>
    </w:p>
    <w:p w:rsidR="00AF2027" w:rsidRPr="00B04DC3" w:rsidRDefault="00AF2027" w:rsidP="00AF2027">
      <w:pPr>
        <w:pStyle w:val="para"/>
        <w:rPr>
          <w:lang w:val="en-GB"/>
        </w:rPr>
      </w:pPr>
      <w:r w:rsidRPr="00B04DC3">
        <w:rPr>
          <w:lang w:val="en-GB"/>
        </w:rPr>
        <w:tab/>
        <w:t>Access to the in-use performance data shall not be dependent on any access code or other device or method obtainable only from the manufacturer or its suppliers. Interpretation of the in-use performance data shall not require any unique decoding information, unless that information is publicly available.</w:t>
      </w:r>
    </w:p>
    <w:p w:rsidR="00AF2027" w:rsidRPr="00B04DC3" w:rsidRDefault="00AF2027" w:rsidP="00D00E61">
      <w:pPr>
        <w:pStyle w:val="para"/>
        <w:keepNext/>
        <w:keepLines/>
        <w:rPr>
          <w:lang w:val="en-GB"/>
        </w:rPr>
      </w:pPr>
      <w:r w:rsidRPr="00B04DC3">
        <w:rPr>
          <w:lang w:val="en-GB"/>
        </w:rPr>
        <w:tab/>
        <w:t>The access method (i.e. the access point/node) to in-use performance data shall be the same as the one used to retrieve all OBD information. This method shall permit access to the complete in-use performance data required by this annex.</w:t>
      </w:r>
    </w:p>
    <w:p w:rsidR="00AF2027" w:rsidRPr="00B04DC3" w:rsidRDefault="00AF2027" w:rsidP="0099679A">
      <w:pPr>
        <w:pStyle w:val="para"/>
        <w:keepNext/>
        <w:keepLines/>
        <w:rPr>
          <w:lang w:val="en-GB"/>
        </w:rPr>
      </w:pPr>
      <w:r w:rsidRPr="00B04DC3">
        <w:rPr>
          <w:lang w:val="en-GB"/>
        </w:rPr>
        <w:t>7.3.</w:t>
      </w:r>
      <w:r w:rsidRPr="00B04DC3">
        <w:rPr>
          <w:lang w:val="en-GB"/>
        </w:rPr>
        <w:tab/>
        <w:t>Reinitialising in-use performance data</w:t>
      </w:r>
    </w:p>
    <w:p w:rsidR="00AF2027" w:rsidRPr="00B04DC3" w:rsidRDefault="00AF2027" w:rsidP="00AF2027">
      <w:pPr>
        <w:pStyle w:val="para"/>
        <w:rPr>
          <w:lang w:val="en-GB"/>
        </w:rPr>
      </w:pPr>
      <w:r w:rsidRPr="00B04DC3">
        <w:rPr>
          <w:lang w:val="en-GB"/>
        </w:rPr>
        <w:t>7.3.1.</w:t>
      </w:r>
      <w:r w:rsidRPr="00B04DC3">
        <w:rPr>
          <w:lang w:val="en-GB"/>
        </w:rPr>
        <w:tab/>
        <w:t>Reset to zero</w:t>
      </w:r>
    </w:p>
    <w:p w:rsidR="00AF2027" w:rsidRPr="00B04DC3" w:rsidRDefault="00AF2027" w:rsidP="00AF2027">
      <w:pPr>
        <w:pStyle w:val="para"/>
        <w:rPr>
          <w:lang w:val="en-GB"/>
        </w:rPr>
      </w:pPr>
      <w:r w:rsidRPr="00B04DC3">
        <w:rPr>
          <w:lang w:val="en-GB"/>
        </w:rPr>
        <w:tab/>
        <w:t>Each number shall be reset to zero only when a Non-Volatile Random Access Memory (NVRAM) reset occurs (e.g., reprogramming event). Numbers may not be reset to zero under any other circumstances including when a scan tool command to clear fault codes is received.</w:t>
      </w:r>
    </w:p>
    <w:p w:rsidR="00AF2027" w:rsidRPr="00B04DC3" w:rsidRDefault="00AF2027" w:rsidP="00AF2027">
      <w:pPr>
        <w:pStyle w:val="para"/>
        <w:rPr>
          <w:lang w:val="en-GB"/>
        </w:rPr>
      </w:pPr>
      <w:r w:rsidRPr="00B04DC3">
        <w:rPr>
          <w:lang w:val="en-GB"/>
        </w:rPr>
        <w:t>7.3.2.</w:t>
      </w:r>
      <w:r w:rsidRPr="00B04DC3">
        <w:rPr>
          <w:lang w:val="en-GB"/>
        </w:rPr>
        <w:tab/>
        <w:t>Reset in case of memory overflow</w:t>
      </w:r>
    </w:p>
    <w:p w:rsidR="00AF2027" w:rsidRPr="00B04DC3" w:rsidRDefault="00AF2027" w:rsidP="00AF2027">
      <w:pPr>
        <w:pStyle w:val="para"/>
        <w:rPr>
          <w:lang w:val="en-GB"/>
        </w:rPr>
      </w:pPr>
      <w:r w:rsidRPr="00B04DC3">
        <w:rPr>
          <w:lang w:val="en-GB"/>
        </w:rPr>
        <w:tab/>
        <w:t>If either the numerator or denominator for a specific monitor reaches 65,535 ± 2, both numbers shall be divided by two before either is incremented again to avoid overflow problems.</w:t>
      </w:r>
    </w:p>
    <w:p w:rsidR="00AF2027" w:rsidRPr="00B04DC3" w:rsidRDefault="00AF2027" w:rsidP="00AF2027">
      <w:pPr>
        <w:pStyle w:val="para"/>
        <w:rPr>
          <w:lang w:val="en-GB"/>
        </w:rPr>
      </w:pPr>
      <w:r w:rsidRPr="00B04DC3">
        <w:rPr>
          <w:lang w:val="en-GB"/>
        </w:rPr>
        <w:tab/>
        <w:t>If the ignition cycle counter reaches the maximum value of 65,535 ± 2, the ignition cycle counter may rollover and increment to zero on the next ignition cycle to avoid overflow problems.</w:t>
      </w:r>
    </w:p>
    <w:p w:rsidR="00AF2027" w:rsidRPr="00B04DC3" w:rsidRDefault="00AF2027" w:rsidP="00AF2027">
      <w:pPr>
        <w:pStyle w:val="para"/>
        <w:rPr>
          <w:lang w:val="en-GB"/>
        </w:rPr>
      </w:pPr>
      <w:r w:rsidRPr="00B04DC3">
        <w:rPr>
          <w:lang w:val="en-GB"/>
        </w:rPr>
        <w:tab/>
        <w:t>If the general denominator reaches the maximum value of 65,535 ± 2, the general denominator may rollover and increment to zero on the next driving cycle that meets the general denominator definition to avoid overflow problems.</w:t>
      </w:r>
    </w:p>
    <w:p w:rsidR="00AF2027" w:rsidRPr="00B04DC3" w:rsidRDefault="00AF2027" w:rsidP="00AF2027">
      <w:pPr>
        <w:pStyle w:val="GTRnormal"/>
        <w:tabs>
          <w:tab w:val="clear" w:pos="540"/>
          <w:tab w:val="left" w:pos="1080"/>
          <w:tab w:val="left" w:pos="2268"/>
          <w:tab w:val="left" w:pos="8789"/>
        </w:tabs>
        <w:ind w:left="1080" w:hanging="1080"/>
        <w:jc w:val="center"/>
        <w:rPr>
          <w:rFonts w:ascii="Times New Roman" w:hAnsi="Times New Roman"/>
          <w:sz w:val="24"/>
          <w:u w:val="single"/>
        </w:rPr>
        <w:sectPr w:rsidR="00AF2027" w:rsidRPr="00B04DC3" w:rsidSect="00AF2027">
          <w:headerReference w:type="even" r:id="rId704"/>
          <w:headerReference w:type="default" r:id="rId705"/>
          <w:headerReference w:type="first" r:id="rId706"/>
          <w:footerReference w:type="first" r:id="rId707"/>
          <w:footnotePr>
            <w:numRestart w:val="eachSect"/>
          </w:footnotePr>
          <w:endnotePr>
            <w:numFmt w:val="decimal"/>
          </w:endnotePr>
          <w:pgSz w:w="11907" w:h="16840" w:code="9"/>
          <w:pgMar w:top="1701" w:right="1134" w:bottom="2268" w:left="1134" w:header="1134" w:footer="1701" w:gutter="0"/>
          <w:cols w:space="720"/>
          <w:titlePg/>
        </w:sectPr>
      </w:pPr>
    </w:p>
    <w:p w:rsidR="00AF2027" w:rsidRPr="00B04DC3" w:rsidRDefault="00AF2027" w:rsidP="00AF2027">
      <w:pPr>
        <w:pStyle w:val="HChG"/>
      </w:pPr>
      <w:bookmarkStart w:id="1135" w:name="_Toc423599714"/>
      <w:bookmarkStart w:id="1136" w:name="_Toc423611122"/>
      <w:r w:rsidRPr="00B04DC3">
        <w:t>Annex 9C</w:t>
      </w:r>
      <w:r w:rsidR="0099679A">
        <w:t xml:space="preserve"> - </w:t>
      </w:r>
      <w:r w:rsidRPr="00B04DC3">
        <w:t>Appendix 1</w:t>
      </w:r>
      <w:bookmarkEnd w:id="1135"/>
      <w:bookmarkEnd w:id="1136"/>
    </w:p>
    <w:p w:rsidR="00AF2027" w:rsidRPr="00B04DC3" w:rsidRDefault="00AF2027" w:rsidP="006304AC">
      <w:pPr>
        <w:pStyle w:val="HChG"/>
        <w:spacing w:after="360"/>
        <w:rPr>
          <w:i/>
          <w:sz w:val="24"/>
          <w:highlight w:val="yellow"/>
        </w:rPr>
      </w:pPr>
      <w:r w:rsidRPr="00B04DC3">
        <w:rPr>
          <w:i/>
        </w:rPr>
        <w:tab/>
      </w:r>
      <w:r w:rsidRPr="00B04DC3">
        <w:rPr>
          <w:i/>
        </w:rPr>
        <w:tab/>
      </w:r>
      <w:bookmarkStart w:id="1137" w:name="_Toc423599715"/>
      <w:bookmarkStart w:id="1138" w:name="_Toc423611123"/>
      <w:r w:rsidRPr="00B04DC3">
        <w:t>Groups of monitors</w:t>
      </w:r>
      <w:bookmarkEnd w:id="1137"/>
      <w:bookmarkEnd w:id="1138"/>
    </w:p>
    <w:p w:rsidR="00AF2027" w:rsidRPr="00B04DC3" w:rsidRDefault="00AF2027" w:rsidP="006304AC">
      <w:pPr>
        <w:pStyle w:val="para"/>
        <w:ind w:left="1134" w:firstLine="0"/>
        <w:rPr>
          <w:lang w:val="en-GB"/>
        </w:rPr>
      </w:pPr>
      <w:r w:rsidRPr="00B04DC3">
        <w:rPr>
          <w:lang w:val="en-GB"/>
        </w:rPr>
        <w:t>The groups of monitors considered in this annex are the following:</w:t>
      </w:r>
    </w:p>
    <w:p w:rsidR="00AF2027" w:rsidRPr="00B04DC3" w:rsidRDefault="00AF2027" w:rsidP="00AF2027">
      <w:pPr>
        <w:pStyle w:val="para"/>
        <w:rPr>
          <w:lang w:val="en-GB"/>
        </w:rPr>
      </w:pPr>
      <w:r w:rsidRPr="00B04DC3">
        <w:rPr>
          <w:lang w:val="en-GB"/>
        </w:rPr>
        <w:t>A.</w:t>
      </w:r>
      <w:r w:rsidRPr="00B04DC3">
        <w:rPr>
          <w:lang w:val="en-GB"/>
        </w:rPr>
        <w:tab/>
        <w:t>Oxidation catalysts</w:t>
      </w:r>
    </w:p>
    <w:p w:rsidR="00AF2027" w:rsidRPr="00B04DC3" w:rsidRDefault="00AF2027" w:rsidP="00AF2027">
      <w:pPr>
        <w:pStyle w:val="para"/>
        <w:rPr>
          <w:lang w:val="en-GB"/>
        </w:rPr>
      </w:pPr>
      <w:r w:rsidRPr="00B04DC3">
        <w:rPr>
          <w:lang w:val="en-GB"/>
        </w:rPr>
        <w:tab/>
        <w:t>The monitors specific to that group are those listed in item 5 of Appendix 3 to Annex 9B.</w:t>
      </w:r>
    </w:p>
    <w:p w:rsidR="00AF2027" w:rsidRPr="00B04DC3" w:rsidRDefault="00AF2027" w:rsidP="00AF2027">
      <w:pPr>
        <w:pStyle w:val="para"/>
        <w:rPr>
          <w:lang w:val="en-GB"/>
        </w:rPr>
      </w:pPr>
      <w:r w:rsidRPr="00B04DC3">
        <w:rPr>
          <w:lang w:val="en-GB"/>
        </w:rPr>
        <w:t>B.</w:t>
      </w:r>
      <w:r w:rsidRPr="00B04DC3">
        <w:rPr>
          <w:lang w:val="en-GB"/>
        </w:rPr>
        <w:tab/>
        <w:t>Selective Catalytical Reduction systems (SCR)</w:t>
      </w:r>
    </w:p>
    <w:p w:rsidR="00AF2027" w:rsidRPr="00B04DC3" w:rsidRDefault="00AF2027" w:rsidP="00AF2027">
      <w:pPr>
        <w:pStyle w:val="para"/>
        <w:rPr>
          <w:lang w:val="en-GB"/>
        </w:rPr>
      </w:pPr>
      <w:r w:rsidRPr="00B04DC3">
        <w:rPr>
          <w:lang w:val="en-GB"/>
        </w:rPr>
        <w:tab/>
        <w:t>The monitors specific to that group are those listed in item 3 of Appendix 3 to Annex 9B.</w:t>
      </w:r>
    </w:p>
    <w:p w:rsidR="00AF2027" w:rsidRPr="00B04DC3" w:rsidRDefault="00AF2027" w:rsidP="00AF2027">
      <w:pPr>
        <w:pStyle w:val="para"/>
        <w:rPr>
          <w:lang w:val="en-GB"/>
        </w:rPr>
      </w:pPr>
      <w:r w:rsidRPr="00B04DC3">
        <w:rPr>
          <w:lang w:val="en-GB"/>
        </w:rPr>
        <w:t>C.</w:t>
      </w:r>
      <w:r w:rsidRPr="00B04DC3">
        <w:rPr>
          <w:lang w:val="en-GB"/>
        </w:rPr>
        <w:tab/>
        <w:t xml:space="preserve">Exhaust gas and oxygen sensors </w:t>
      </w:r>
    </w:p>
    <w:p w:rsidR="00AF2027" w:rsidRPr="00B04DC3" w:rsidRDefault="00AF2027" w:rsidP="00AF2027">
      <w:pPr>
        <w:pStyle w:val="para"/>
        <w:rPr>
          <w:lang w:val="en-GB"/>
        </w:rPr>
      </w:pPr>
      <w:r w:rsidRPr="00B04DC3">
        <w:rPr>
          <w:lang w:val="en-GB"/>
        </w:rPr>
        <w:tab/>
        <w:t>The monitors specific to that group are those listed in item 13 of Appendix 3 to Annex 9B.</w:t>
      </w:r>
    </w:p>
    <w:p w:rsidR="00AF2027" w:rsidRPr="00B04DC3" w:rsidRDefault="00AF2027" w:rsidP="00AF2027">
      <w:pPr>
        <w:pStyle w:val="para"/>
        <w:rPr>
          <w:lang w:val="en-GB"/>
        </w:rPr>
      </w:pPr>
      <w:r w:rsidRPr="00B04DC3">
        <w:rPr>
          <w:lang w:val="en-GB"/>
        </w:rPr>
        <w:t>D.</w:t>
      </w:r>
      <w:r w:rsidRPr="00B04DC3">
        <w:rPr>
          <w:lang w:val="en-GB"/>
        </w:rPr>
        <w:tab/>
        <w:t xml:space="preserve">EGR systems and VVT </w:t>
      </w:r>
    </w:p>
    <w:p w:rsidR="00AF2027" w:rsidRPr="00B04DC3" w:rsidRDefault="00AF2027" w:rsidP="00AF2027">
      <w:pPr>
        <w:pStyle w:val="para"/>
        <w:rPr>
          <w:lang w:val="en-GB"/>
        </w:rPr>
      </w:pPr>
      <w:r w:rsidRPr="00B04DC3">
        <w:rPr>
          <w:lang w:val="en-GB"/>
        </w:rPr>
        <w:tab/>
        <w:t>The monitors specific to that group are those listed in items 6 and 9 and of Appendix 3 to Annex 9B.</w:t>
      </w:r>
    </w:p>
    <w:p w:rsidR="00AF2027" w:rsidRPr="00B04DC3" w:rsidRDefault="00AF2027" w:rsidP="00AF2027">
      <w:pPr>
        <w:pStyle w:val="para"/>
        <w:rPr>
          <w:lang w:val="en-GB"/>
        </w:rPr>
      </w:pPr>
      <w:r w:rsidRPr="00B04DC3">
        <w:rPr>
          <w:lang w:val="en-GB"/>
        </w:rPr>
        <w:t>E.</w:t>
      </w:r>
      <w:r w:rsidRPr="00B04DC3">
        <w:rPr>
          <w:lang w:val="en-GB"/>
        </w:rPr>
        <w:tab/>
        <w:t>DPF systems</w:t>
      </w:r>
    </w:p>
    <w:p w:rsidR="00AF2027" w:rsidRPr="00B04DC3" w:rsidRDefault="00AF2027" w:rsidP="00AF2027">
      <w:pPr>
        <w:pStyle w:val="para"/>
        <w:rPr>
          <w:lang w:val="en-GB"/>
        </w:rPr>
      </w:pPr>
      <w:r w:rsidRPr="00B04DC3">
        <w:rPr>
          <w:lang w:val="en-GB"/>
        </w:rPr>
        <w:tab/>
        <w:t>The monitors specific to that group are those listed in item 2 of Appendix 3 to Annex 9B.</w:t>
      </w:r>
    </w:p>
    <w:p w:rsidR="00AF2027" w:rsidRPr="00B04DC3" w:rsidRDefault="00AF2027" w:rsidP="00AF2027">
      <w:pPr>
        <w:pStyle w:val="para"/>
        <w:rPr>
          <w:lang w:val="en-GB"/>
        </w:rPr>
      </w:pPr>
      <w:r w:rsidRPr="00B04DC3">
        <w:rPr>
          <w:lang w:val="en-GB"/>
        </w:rPr>
        <w:t>F.</w:t>
      </w:r>
      <w:r w:rsidRPr="00B04DC3">
        <w:rPr>
          <w:lang w:val="en-GB"/>
        </w:rPr>
        <w:tab/>
        <w:t>Boost pressure control system</w:t>
      </w:r>
    </w:p>
    <w:p w:rsidR="00AF2027" w:rsidRPr="00B04DC3" w:rsidRDefault="00AF2027" w:rsidP="00AF2027">
      <w:pPr>
        <w:pStyle w:val="para"/>
        <w:rPr>
          <w:lang w:val="en-GB"/>
        </w:rPr>
      </w:pPr>
      <w:r w:rsidRPr="00B04DC3">
        <w:rPr>
          <w:lang w:val="en-GB"/>
        </w:rPr>
        <w:tab/>
        <w:t>The monitors specific to that group are those listed in item 8 of Appendix 3 to Annex 9B.</w:t>
      </w:r>
    </w:p>
    <w:p w:rsidR="00AF2027" w:rsidRPr="00B04DC3" w:rsidRDefault="00AF2027" w:rsidP="00AF2027">
      <w:pPr>
        <w:pStyle w:val="para"/>
        <w:rPr>
          <w:lang w:val="en-GB"/>
        </w:rPr>
      </w:pPr>
      <w:r w:rsidRPr="00B04DC3">
        <w:rPr>
          <w:lang w:val="en-GB"/>
        </w:rPr>
        <w:t>G.</w:t>
      </w:r>
      <w:r w:rsidRPr="00B04DC3">
        <w:rPr>
          <w:lang w:val="en-GB"/>
        </w:rPr>
        <w:tab/>
        <w:t>NO</w:t>
      </w:r>
      <w:r w:rsidRPr="00B04DC3">
        <w:rPr>
          <w:vertAlign w:val="subscript"/>
          <w:lang w:val="en-GB"/>
        </w:rPr>
        <w:t>x</w:t>
      </w:r>
      <w:r w:rsidRPr="00B04DC3">
        <w:rPr>
          <w:lang w:val="en-GB"/>
        </w:rPr>
        <w:t xml:space="preserve"> adsorber</w:t>
      </w:r>
    </w:p>
    <w:p w:rsidR="00AF2027" w:rsidRPr="00B04DC3" w:rsidRDefault="00AF2027" w:rsidP="00AF2027">
      <w:pPr>
        <w:pStyle w:val="para"/>
        <w:rPr>
          <w:lang w:val="en-GB"/>
        </w:rPr>
      </w:pPr>
      <w:r w:rsidRPr="00B04DC3">
        <w:rPr>
          <w:lang w:val="en-GB"/>
        </w:rPr>
        <w:tab/>
        <w:t>The monitors specific to that group are those listed in item 4 of Appendix 3 to Annex 9B.</w:t>
      </w:r>
    </w:p>
    <w:p w:rsidR="00AF2027" w:rsidRPr="00B04DC3" w:rsidRDefault="00AF2027" w:rsidP="00AF2027">
      <w:pPr>
        <w:pStyle w:val="para"/>
        <w:rPr>
          <w:lang w:val="en-GB"/>
        </w:rPr>
      </w:pPr>
      <w:r w:rsidRPr="00B04DC3">
        <w:rPr>
          <w:lang w:val="en-GB"/>
        </w:rPr>
        <w:t>H.</w:t>
      </w:r>
      <w:r w:rsidRPr="00B04DC3">
        <w:rPr>
          <w:lang w:val="en-GB"/>
        </w:rPr>
        <w:tab/>
        <w:t>Three-way catalyst</w:t>
      </w:r>
    </w:p>
    <w:p w:rsidR="00AF2027" w:rsidRPr="00B04DC3" w:rsidRDefault="00AF2027" w:rsidP="00AF2027">
      <w:pPr>
        <w:pStyle w:val="para"/>
        <w:rPr>
          <w:lang w:val="en-GB"/>
        </w:rPr>
      </w:pPr>
      <w:r w:rsidRPr="00B04DC3">
        <w:rPr>
          <w:lang w:val="en-GB"/>
        </w:rPr>
        <w:tab/>
        <w:t>The monitors specific to that group are those listed in item 15 of Appendix 3 to Annex 9B.</w:t>
      </w:r>
    </w:p>
    <w:p w:rsidR="00AF2027" w:rsidRPr="00B04DC3" w:rsidRDefault="00AF2027" w:rsidP="00AF2027">
      <w:pPr>
        <w:pStyle w:val="para"/>
        <w:rPr>
          <w:lang w:val="en-GB"/>
        </w:rPr>
      </w:pPr>
      <w:r w:rsidRPr="00B04DC3">
        <w:rPr>
          <w:lang w:val="en-GB"/>
        </w:rPr>
        <w:t>I.</w:t>
      </w:r>
      <w:r w:rsidRPr="00B04DC3">
        <w:rPr>
          <w:lang w:val="en-GB"/>
        </w:rPr>
        <w:tab/>
        <w:t>Evaporative systems (reserved)</w:t>
      </w:r>
    </w:p>
    <w:p w:rsidR="00AF2027" w:rsidRPr="00B04DC3" w:rsidRDefault="00AF2027" w:rsidP="00AF2027">
      <w:pPr>
        <w:pStyle w:val="para"/>
        <w:rPr>
          <w:lang w:val="en-GB"/>
        </w:rPr>
      </w:pPr>
      <w:r w:rsidRPr="00B04DC3">
        <w:rPr>
          <w:lang w:val="en-GB"/>
        </w:rPr>
        <w:t>J.</w:t>
      </w:r>
      <w:r w:rsidRPr="00B04DC3">
        <w:rPr>
          <w:lang w:val="en-GB"/>
        </w:rPr>
        <w:tab/>
        <w:t>Secondary Air system (reserved)</w:t>
      </w:r>
    </w:p>
    <w:p w:rsidR="00AF2027" w:rsidRPr="00B04DC3" w:rsidRDefault="00AF2027" w:rsidP="00AF2027">
      <w:pPr>
        <w:pStyle w:val="para"/>
        <w:ind w:firstLine="0"/>
        <w:rPr>
          <w:iCs/>
          <w:lang w:val="en-GB"/>
        </w:rPr>
      </w:pPr>
      <w:r w:rsidRPr="00B04DC3">
        <w:rPr>
          <w:iCs/>
          <w:lang w:val="en-GB"/>
        </w:rPr>
        <w:t>A specific monitor shall belong only to one of these groups.</w:t>
      </w:r>
    </w:p>
    <w:p w:rsidR="00AF2027" w:rsidRPr="00B04DC3" w:rsidRDefault="00AF2027" w:rsidP="00AF2027">
      <w:pPr>
        <w:pStyle w:val="para"/>
        <w:ind w:firstLine="0"/>
        <w:rPr>
          <w:iCs/>
          <w:lang w:val="en-GB"/>
        </w:rPr>
        <w:sectPr w:rsidR="00AF2027" w:rsidRPr="00B04DC3" w:rsidSect="00AF2027">
          <w:headerReference w:type="first" r:id="rId708"/>
          <w:footnotePr>
            <w:numRestart w:val="eachSect"/>
          </w:footnotePr>
          <w:endnotePr>
            <w:numFmt w:val="decimal"/>
          </w:endnotePr>
          <w:pgSz w:w="11907" w:h="16840" w:code="9"/>
          <w:pgMar w:top="1701" w:right="1134" w:bottom="2268" w:left="1134" w:header="1134" w:footer="1701" w:gutter="0"/>
          <w:cols w:space="720"/>
          <w:titlePg/>
        </w:sectPr>
      </w:pPr>
    </w:p>
    <w:p w:rsidR="00AF2027" w:rsidRPr="00B04DC3" w:rsidRDefault="00AF2027" w:rsidP="00AF2027">
      <w:pPr>
        <w:pStyle w:val="HChG"/>
      </w:pPr>
      <w:bookmarkStart w:id="1139" w:name="_Toc423599716"/>
      <w:bookmarkStart w:id="1140" w:name="_Toc423611124"/>
      <w:r w:rsidRPr="00B04DC3">
        <w:t>Annex 10</w:t>
      </w:r>
      <w:bookmarkEnd w:id="1139"/>
      <w:bookmarkEnd w:id="1140"/>
    </w:p>
    <w:p w:rsidR="00AF2027" w:rsidRPr="00B04DC3" w:rsidRDefault="00AF2027" w:rsidP="006304AC">
      <w:pPr>
        <w:pStyle w:val="HChG"/>
        <w:spacing w:after="360"/>
      </w:pPr>
      <w:r w:rsidRPr="00B04DC3">
        <w:rPr>
          <w:lang w:eastAsia="en-GB"/>
        </w:rPr>
        <w:tab/>
      </w:r>
      <w:r w:rsidRPr="00B04DC3">
        <w:rPr>
          <w:lang w:eastAsia="en-GB"/>
        </w:rPr>
        <w:tab/>
      </w:r>
      <w:bookmarkStart w:id="1141" w:name="_Toc423599717"/>
      <w:bookmarkStart w:id="1142" w:name="_Toc423611125"/>
      <w:r w:rsidRPr="00B04DC3">
        <w:rPr>
          <w:lang w:eastAsia="en-GB"/>
        </w:rPr>
        <w:t>Technical requirements on Off-Cycle Emissions (OCE)</w:t>
      </w:r>
      <w:bookmarkEnd w:id="1141"/>
      <w:bookmarkEnd w:id="1142"/>
    </w:p>
    <w:p w:rsidR="00AF2027" w:rsidRPr="00B04DC3" w:rsidRDefault="00AF2027" w:rsidP="00AF2027">
      <w:pPr>
        <w:pStyle w:val="para"/>
        <w:rPr>
          <w:szCs w:val="24"/>
          <w:u w:val="single"/>
          <w:lang w:val="en-GB"/>
        </w:rPr>
      </w:pPr>
      <w:bookmarkStart w:id="1143" w:name="_Toc211310290"/>
      <w:r w:rsidRPr="00B04DC3">
        <w:rPr>
          <w:szCs w:val="24"/>
          <w:lang w:val="en-GB"/>
        </w:rPr>
        <w:t>1.</w:t>
      </w:r>
      <w:r w:rsidRPr="00B04DC3">
        <w:rPr>
          <w:szCs w:val="24"/>
          <w:lang w:val="en-GB"/>
        </w:rPr>
        <w:tab/>
      </w:r>
      <w:bookmarkEnd w:id="1143"/>
      <w:r w:rsidRPr="00B04DC3">
        <w:rPr>
          <w:lang w:val="en-GB"/>
        </w:rPr>
        <w:t>Applicability</w:t>
      </w:r>
    </w:p>
    <w:p w:rsidR="00AF2027" w:rsidRPr="00B04DC3" w:rsidRDefault="00AF2027" w:rsidP="00AF2027">
      <w:pPr>
        <w:pStyle w:val="para"/>
        <w:rPr>
          <w:lang w:val="en-GB"/>
        </w:rPr>
      </w:pPr>
      <w:r w:rsidRPr="00B04DC3">
        <w:rPr>
          <w:lang w:val="en-GB"/>
        </w:rPr>
        <w:tab/>
        <w:t xml:space="preserve">This annex establishes performance-based </w:t>
      </w:r>
      <w:r w:rsidR="00FE41A4">
        <w:rPr>
          <w:lang w:val="en-GB"/>
        </w:rPr>
        <w:t>O</w:t>
      </w:r>
      <w:r w:rsidR="00FE41A4" w:rsidRPr="00B04DC3">
        <w:rPr>
          <w:lang w:val="en-GB"/>
        </w:rPr>
        <w:t>ff</w:t>
      </w:r>
      <w:r w:rsidRPr="00B04DC3">
        <w:rPr>
          <w:lang w:val="en-GB"/>
        </w:rPr>
        <w:t>-</w:t>
      </w:r>
      <w:r w:rsidR="00FE41A4">
        <w:rPr>
          <w:lang w:val="en-GB"/>
        </w:rPr>
        <w:t>C</w:t>
      </w:r>
      <w:r w:rsidR="00FE41A4" w:rsidRPr="00B04DC3">
        <w:rPr>
          <w:lang w:val="en-GB"/>
        </w:rPr>
        <w:t xml:space="preserve">ycle </w:t>
      </w:r>
      <w:r w:rsidR="00FE41A4">
        <w:rPr>
          <w:lang w:val="en-GB"/>
        </w:rPr>
        <w:t>E</w:t>
      </w:r>
      <w:r w:rsidR="00FE41A4" w:rsidRPr="00B04DC3">
        <w:rPr>
          <w:lang w:val="en-GB"/>
        </w:rPr>
        <w:t xml:space="preserve">mission </w:t>
      </w:r>
      <w:r w:rsidR="00FE41A4">
        <w:rPr>
          <w:lang w:val="en-GB"/>
        </w:rPr>
        <w:t xml:space="preserve">(OCE) </w:t>
      </w:r>
      <w:r w:rsidRPr="00B04DC3">
        <w:rPr>
          <w:lang w:val="en-GB"/>
        </w:rPr>
        <w:t>requirements and a prohibition on defeat strategies for heavy-duty engines and vehicles so as to achieve effective control of emissions under a broad range of engine and ambient operating conditions encountered during normal in-use vehicle operation.</w:t>
      </w:r>
    </w:p>
    <w:p w:rsidR="00AF2027" w:rsidRPr="00B04DC3" w:rsidRDefault="00AF2027" w:rsidP="00AF2027">
      <w:pPr>
        <w:pStyle w:val="para"/>
        <w:rPr>
          <w:b/>
          <w:szCs w:val="24"/>
          <w:lang w:val="en-GB"/>
        </w:rPr>
      </w:pPr>
      <w:bookmarkStart w:id="1144" w:name="_Toc101585422"/>
      <w:bookmarkStart w:id="1145" w:name="_Toc101585597"/>
      <w:bookmarkStart w:id="1146" w:name="_Toc101585919"/>
      <w:bookmarkStart w:id="1147" w:name="_Toc101674496"/>
      <w:bookmarkStart w:id="1148" w:name="_Toc101674586"/>
      <w:bookmarkStart w:id="1149" w:name="_Toc101674714"/>
      <w:bookmarkStart w:id="1150" w:name="_Toc211310291"/>
      <w:r w:rsidRPr="00B04DC3">
        <w:rPr>
          <w:szCs w:val="24"/>
          <w:lang w:val="en-GB"/>
        </w:rPr>
        <w:t>2.</w:t>
      </w:r>
      <w:bookmarkEnd w:id="1144"/>
      <w:bookmarkEnd w:id="1145"/>
      <w:bookmarkEnd w:id="1146"/>
      <w:bookmarkEnd w:id="1147"/>
      <w:bookmarkEnd w:id="1148"/>
      <w:bookmarkEnd w:id="1149"/>
      <w:r w:rsidRPr="00B04DC3">
        <w:rPr>
          <w:szCs w:val="24"/>
          <w:lang w:val="en-GB"/>
        </w:rPr>
        <w:tab/>
      </w:r>
      <w:bookmarkEnd w:id="1150"/>
      <w:r w:rsidRPr="00B04DC3">
        <w:rPr>
          <w:szCs w:val="24"/>
          <w:lang w:val="en-GB"/>
        </w:rPr>
        <w:t>Reserved</w:t>
      </w:r>
      <w:r w:rsidRPr="00B04DC3">
        <w:rPr>
          <w:rStyle w:val="FootnoteReference"/>
          <w:szCs w:val="24"/>
          <w:lang w:val="en-GB"/>
        </w:rPr>
        <w:footnoteReference w:id="57"/>
      </w:r>
    </w:p>
    <w:p w:rsidR="00AF2027" w:rsidRPr="00B04DC3" w:rsidRDefault="00AF2027" w:rsidP="00AF2027">
      <w:pPr>
        <w:pStyle w:val="para"/>
        <w:rPr>
          <w:sz w:val="24"/>
          <w:szCs w:val="24"/>
          <w:lang w:val="en-GB"/>
        </w:rPr>
      </w:pPr>
      <w:bookmarkStart w:id="1151" w:name="_Toc101585423"/>
      <w:bookmarkStart w:id="1152" w:name="_Toc101585598"/>
      <w:bookmarkStart w:id="1153" w:name="_Toc101585920"/>
      <w:bookmarkStart w:id="1154" w:name="_Toc101674497"/>
      <w:bookmarkStart w:id="1155" w:name="_Toc101674587"/>
      <w:bookmarkStart w:id="1156" w:name="_Toc101674715"/>
      <w:bookmarkStart w:id="1157" w:name="_Toc211310292"/>
      <w:r w:rsidRPr="00FE41A4">
        <w:rPr>
          <w:lang w:val="en-GB"/>
        </w:rPr>
        <w:t>3.</w:t>
      </w:r>
      <w:r w:rsidRPr="00B04DC3">
        <w:rPr>
          <w:sz w:val="24"/>
          <w:szCs w:val="24"/>
          <w:lang w:val="en-GB"/>
        </w:rPr>
        <w:tab/>
      </w:r>
      <w:bookmarkEnd w:id="1151"/>
      <w:bookmarkEnd w:id="1152"/>
      <w:bookmarkEnd w:id="1153"/>
      <w:bookmarkEnd w:id="1154"/>
      <w:bookmarkEnd w:id="1155"/>
      <w:bookmarkEnd w:id="1156"/>
      <w:bookmarkEnd w:id="1157"/>
      <w:r w:rsidRPr="00B04DC3">
        <w:rPr>
          <w:lang w:val="en-GB"/>
        </w:rPr>
        <w:t>Definitions</w:t>
      </w:r>
    </w:p>
    <w:p w:rsidR="00AF2027" w:rsidRPr="00B04DC3" w:rsidRDefault="00AF2027" w:rsidP="00AF2027">
      <w:pPr>
        <w:pStyle w:val="para"/>
        <w:rPr>
          <w:bCs/>
          <w:lang w:val="en-GB"/>
        </w:rPr>
      </w:pPr>
      <w:bookmarkStart w:id="1158" w:name="_Toc101585424"/>
      <w:bookmarkStart w:id="1159" w:name="_Toc101585599"/>
      <w:bookmarkStart w:id="1160" w:name="_Toc101585921"/>
      <w:bookmarkStart w:id="1161" w:name="_Toc101674498"/>
      <w:bookmarkStart w:id="1162" w:name="_Toc101674588"/>
      <w:r w:rsidRPr="00B04DC3">
        <w:rPr>
          <w:bCs/>
          <w:lang w:val="en-GB"/>
        </w:rPr>
        <w:t>3.1.</w:t>
      </w:r>
      <w:r w:rsidRPr="00B04DC3">
        <w:rPr>
          <w:bCs/>
          <w:lang w:val="en-GB"/>
        </w:rPr>
        <w:tab/>
        <w:t>"</w:t>
      </w:r>
      <w:r w:rsidRPr="00B04DC3">
        <w:rPr>
          <w:bCs/>
          <w:i/>
          <w:lang w:val="en-GB"/>
        </w:rPr>
        <w:t>Auxiliary Emission Strategy</w:t>
      </w:r>
      <w:r w:rsidRPr="0099679A">
        <w:rPr>
          <w:bCs/>
          <w:i/>
          <w:lang w:val="en-GB"/>
        </w:rPr>
        <w:t xml:space="preserve"> (AES)</w:t>
      </w:r>
      <w:r w:rsidR="0099679A">
        <w:rPr>
          <w:bCs/>
          <w:lang w:val="en-GB"/>
        </w:rPr>
        <w:t>"</w:t>
      </w:r>
      <w:r w:rsidRPr="00B04DC3">
        <w:rPr>
          <w:bCs/>
          <w:lang w:val="en-GB"/>
        </w:rPr>
        <w:t xml:space="preserve"> m</w:t>
      </w:r>
      <w:r w:rsidRPr="00B04DC3">
        <w:rPr>
          <w:snapToGrid w:val="0"/>
          <w:lang w:val="en-GB" w:eastAsia="de-DE"/>
        </w:rPr>
        <w:t>eans an emission strategy that becomes active and replaces or modifies a base emission strategy for a specific purpose or purposes and in response to a specific set of ambient and/or operating conditions and only remains operational as long as those conditions exist.</w:t>
      </w:r>
    </w:p>
    <w:bookmarkEnd w:id="1158"/>
    <w:bookmarkEnd w:id="1159"/>
    <w:bookmarkEnd w:id="1160"/>
    <w:bookmarkEnd w:id="1161"/>
    <w:bookmarkEnd w:id="1162"/>
    <w:p w:rsidR="00AF2027" w:rsidRPr="00B04DC3" w:rsidRDefault="00AF2027" w:rsidP="00AF2027">
      <w:pPr>
        <w:pStyle w:val="para"/>
        <w:rPr>
          <w:bCs/>
          <w:lang w:val="en-GB"/>
        </w:rPr>
      </w:pPr>
      <w:r w:rsidRPr="00B04DC3">
        <w:rPr>
          <w:bCs/>
          <w:lang w:val="en-GB"/>
        </w:rPr>
        <w:t>3.2.</w:t>
      </w:r>
      <w:r w:rsidRPr="00B04DC3">
        <w:rPr>
          <w:bCs/>
          <w:lang w:val="en-GB"/>
        </w:rPr>
        <w:tab/>
        <w:t>"</w:t>
      </w:r>
      <w:r w:rsidRPr="00B04DC3">
        <w:rPr>
          <w:bCs/>
          <w:i/>
          <w:lang w:val="en-GB"/>
        </w:rPr>
        <w:t>Base Emission Strategy</w:t>
      </w:r>
      <w:r w:rsidRPr="0099679A">
        <w:rPr>
          <w:bCs/>
          <w:i/>
          <w:lang w:val="en-GB"/>
        </w:rPr>
        <w:t xml:space="preserve"> (BES)</w:t>
      </w:r>
      <w:r w:rsidR="0099679A">
        <w:rPr>
          <w:bCs/>
          <w:lang w:val="en-GB"/>
        </w:rPr>
        <w:t>"</w:t>
      </w:r>
      <w:r w:rsidRPr="00B04DC3">
        <w:rPr>
          <w:bCs/>
          <w:lang w:val="en-GB"/>
        </w:rPr>
        <w:t xml:space="preserve"> m</w:t>
      </w:r>
      <w:r w:rsidRPr="00B04DC3">
        <w:rPr>
          <w:lang w:val="en-GB"/>
        </w:rPr>
        <w:t>eans an emission strategy that is active throughout the speed and load operating range of the engine unless an AES is activated.</w:t>
      </w:r>
    </w:p>
    <w:p w:rsidR="00AF2027" w:rsidRPr="00B04DC3" w:rsidRDefault="00AF2027" w:rsidP="00AF2027">
      <w:pPr>
        <w:pStyle w:val="para"/>
        <w:rPr>
          <w:lang w:val="en-GB"/>
        </w:rPr>
      </w:pPr>
      <w:r w:rsidRPr="00B04DC3">
        <w:rPr>
          <w:lang w:val="en-GB"/>
        </w:rPr>
        <w:t>3.3.</w:t>
      </w:r>
      <w:r w:rsidRPr="00B04DC3">
        <w:rPr>
          <w:lang w:val="en-GB"/>
        </w:rPr>
        <w:tab/>
        <w:t>"</w:t>
      </w:r>
      <w:r w:rsidRPr="00B04DC3">
        <w:rPr>
          <w:bCs/>
          <w:i/>
          <w:lang w:val="en-GB"/>
        </w:rPr>
        <w:t>Defeat strategy</w:t>
      </w:r>
      <w:r w:rsidRPr="00B04DC3">
        <w:rPr>
          <w:lang w:val="en-GB"/>
        </w:rPr>
        <w:t>" means an emission strategy that does not meet the performance requirements for a base and/or auxiliary emission strategy as specified in this annex.</w:t>
      </w:r>
    </w:p>
    <w:p w:rsidR="00AF2027" w:rsidRPr="00B04DC3" w:rsidRDefault="00AF2027" w:rsidP="00AF2027">
      <w:pPr>
        <w:pStyle w:val="para"/>
        <w:rPr>
          <w:lang w:val="en-GB"/>
        </w:rPr>
      </w:pPr>
      <w:r w:rsidRPr="00B04DC3">
        <w:rPr>
          <w:lang w:val="en-GB"/>
        </w:rPr>
        <w:t>3.4.</w:t>
      </w:r>
      <w:r w:rsidRPr="00B04DC3">
        <w:rPr>
          <w:lang w:val="en-GB"/>
        </w:rPr>
        <w:tab/>
        <w:t>"</w:t>
      </w:r>
      <w:r w:rsidRPr="00B04DC3">
        <w:rPr>
          <w:bCs/>
          <w:i/>
          <w:lang w:val="en-GB"/>
        </w:rPr>
        <w:t>Element of design</w:t>
      </w:r>
      <w:r w:rsidRPr="00B04DC3">
        <w:rPr>
          <w:lang w:val="en-GB"/>
        </w:rPr>
        <w:t>" means:</w:t>
      </w:r>
    </w:p>
    <w:p w:rsidR="00AF2027" w:rsidRPr="00B04DC3" w:rsidRDefault="00AF2027" w:rsidP="00AF2027">
      <w:pPr>
        <w:pStyle w:val="a"/>
        <w:rPr>
          <w:bCs/>
          <w:lang w:val="en-GB"/>
        </w:rPr>
      </w:pPr>
      <w:r w:rsidRPr="00B04DC3">
        <w:rPr>
          <w:lang w:val="en-GB"/>
        </w:rPr>
        <w:t>(a)</w:t>
      </w:r>
      <w:r w:rsidRPr="00B04DC3">
        <w:rPr>
          <w:lang w:val="en-GB"/>
        </w:rPr>
        <w:tab/>
        <w:t>The engine system;</w:t>
      </w:r>
    </w:p>
    <w:p w:rsidR="00AF2027" w:rsidRPr="00B04DC3" w:rsidRDefault="00AF2027" w:rsidP="00AF2027">
      <w:pPr>
        <w:pStyle w:val="a"/>
        <w:rPr>
          <w:lang w:val="en-GB"/>
        </w:rPr>
      </w:pPr>
      <w:r w:rsidRPr="00B04DC3">
        <w:rPr>
          <w:lang w:val="en-GB"/>
        </w:rPr>
        <w:t>(b)</w:t>
      </w:r>
      <w:r w:rsidRPr="00B04DC3">
        <w:rPr>
          <w:lang w:val="en-GB"/>
        </w:rPr>
        <w:tab/>
        <w:t>Any control system, including: computer software; electronic control systems; and computer logic;</w:t>
      </w:r>
    </w:p>
    <w:p w:rsidR="00AF2027" w:rsidRPr="00B04DC3" w:rsidRDefault="00AF2027" w:rsidP="00AF2027">
      <w:pPr>
        <w:pStyle w:val="a"/>
        <w:rPr>
          <w:lang w:val="en-GB"/>
        </w:rPr>
      </w:pPr>
      <w:r w:rsidRPr="00B04DC3">
        <w:rPr>
          <w:lang w:val="en-GB"/>
        </w:rPr>
        <w:t>(c)</w:t>
      </w:r>
      <w:r w:rsidRPr="00B04DC3">
        <w:rPr>
          <w:lang w:val="en-GB"/>
        </w:rPr>
        <w:tab/>
        <w:t>Any control system calibration; or</w:t>
      </w:r>
    </w:p>
    <w:p w:rsidR="00AF2027" w:rsidRPr="00B04DC3" w:rsidRDefault="00AF2027" w:rsidP="00AF2027">
      <w:pPr>
        <w:pStyle w:val="a"/>
        <w:rPr>
          <w:lang w:val="en-GB"/>
        </w:rPr>
      </w:pPr>
      <w:r w:rsidRPr="00B04DC3">
        <w:rPr>
          <w:lang w:val="en-GB"/>
        </w:rPr>
        <w:t>(d)</w:t>
      </w:r>
      <w:r w:rsidRPr="00B04DC3">
        <w:rPr>
          <w:lang w:val="en-GB"/>
        </w:rPr>
        <w:tab/>
        <w:t>The results of any interaction of systems.</w:t>
      </w:r>
    </w:p>
    <w:p w:rsidR="00AF2027" w:rsidRPr="00B04DC3" w:rsidRDefault="00AF2027" w:rsidP="00AF2027">
      <w:pPr>
        <w:pStyle w:val="para"/>
        <w:rPr>
          <w:lang w:val="en-GB"/>
        </w:rPr>
      </w:pPr>
      <w:r w:rsidRPr="00B04DC3">
        <w:rPr>
          <w:bCs/>
          <w:lang w:val="en-GB"/>
        </w:rPr>
        <w:t>3.5.</w:t>
      </w:r>
      <w:r w:rsidRPr="00B04DC3">
        <w:rPr>
          <w:bCs/>
          <w:lang w:val="en-GB"/>
        </w:rPr>
        <w:tab/>
        <w:t>"</w:t>
      </w:r>
      <w:r w:rsidRPr="00B04DC3">
        <w:rPr>
          <w:bCs/>
          <w:i/>
          <w:lang w:val="en-GB"/>
        </w:rPr>
        <w:t>Emission strategy</w:t>
      </w:r>
      <w:r w:rsidRPr="00B04DC3">
        <w:rPr>
          <w:bCs/>
          <w:lang w:val="en-GB"/>
        </w:rPr>
        <w:t>" m</w:t>
      </w:r>
      <w:r w:rsidRPr="00B04DC3">
        <w:rPr>
          <w:lang w:val="en-GB"/>
        </w:rPr>
        <w:t>eans an element or set of elements of design that is incorporated into the overall design of an engine system or vehicle and used in controlling emissions.</w:t>
      </w:r>
    </w:p>
    <w:p w:rsidR="00AF2027" w:rsidRPr="00B04DC3" w:rsidRDefault="00AF2027" w:rsidP="00AF2027">
      <w:pPr>
        <w:pStyle w:val="para"/>
        <w:rPr>
          <w:bCs/>
          <w:lang w:val="en-GB"/>
        </w:rPr>
      </w:pPr>
      <w:r w:rsidRPr="00B04DC3">
        <w:rPr>
          <w:lang w:val="en-GB"/>
        </w:rPr>
        <w:t>3.6.</w:t>
      </w:r>
      <w:r w:rsidRPr="00B04DC3">
        <w:rPr>
          <w:lang w:val="en-GB"/>
        </w:rPr>
        <w:tab/>
        <w:t>"</w:t>
      </w:r>
      <w:r w:rsidRPr="00B04DC3">
        <w:rPr>
          <w:bCs/>
          <w:i/>
          <w:lang w:val="en-GB"/>
        </w:rPr>
        <w:t>Emission control system</w:t>
      </w:r>
      <w:r w:rsidRPr="00B04DC3">
        <w:rPr>
          <w:lang w:val="en-GB"/>
        </w:rPr>
        <w:t>" m</w:t>
      </w:r>
      <w:r w:rsidRPr="00B04DC3">
        <w:rPr>
          <w:bCs/>
          <w:lang w:val="en-GB"/>
        </w:rPr>
        <w:t>eans the elements of design and emission strategies developed or calibrated for the purpose of controlling emissions.</w:t>
      </w:r>
    </w:p>
    <w:p w:rsidR="00AF2027" w:rsidRPr="00B04DC3" w:rsidRDefault="00512988" w:rsidP="00AF2027">
      <w:pPr>
        <w:pStyle w:val="para"/>
        <w:rPr>
          <w:lang w:val="en-GB"/>
        </w:rPr>
      </w:pPr>
      <w:r w:rsidRPr="00B04DC3">
        <w:rPr>
          <w:bCs/>
          <w:lang w:val="en-GB"/>
        </w:rPr>
        <w:br w:type="page"/>
      </w:r>
      <w:r w:rsidR="00AF2027" w:rsidRPr="00B04DC3">
        <w:rPr>
          <w:bCs/>
          <w:lang w:val="en-GB"/>
        </w:rPr>
        <w:t>3.7.</w:t>
      </w:r>
      <w:r w:rsidR="00AF2027" w:rsidRPr="00B04DC3">
        <w:rPr>
          <w:bCs/>
          <w:lang w:val="en-GB"/>
        </w:rPr>
        <w:tab/>
        <w:t>"</w:t>
      </w:r>
      <w:r w:rsidR="00AF2027" w:rsidRPr="00B04DC3">
        <w:rPr>
          <w:bCs/>
          <w:i/>
          <w:lang w:val="en-GB"/>
        </w:rPr>
        <w:t>Engine family</w:t>
      </w:r>
      <w:r w:rsidR="00AF2027" w:rsidRPr="00B04DC3">
        <w:rPr>
          <w:bCs/>
          <w:lang w:val="en-GB"/>
        </w:rPr>
        <w:t>" m</w:t>
      </w:r>
      <w:r w:rsidR="00AF2027" w:rsidRPr="00B04DC3">
        <w:rPr>
          <w:lang w:val="en-GB"/>
        </w:rPr>
        <w:t>eans a manufacturer's grouping of engines as defined in gtr No. 4</w:t>
      </w:r>
      <w:r w:rsidR="0099679A">
        <w:rPr>
          <w:lang w:val="en-GB"/>
        </w:rPr>
        <w:t>.</w:t>
      </w:r>
      <w:r w:rsidR="00AF2027" w:rsidRPr="00B04DC3">
        <w:rPr>
          <w:rStyle w:val="FootnoteReference"/>
          <w:caps/>
          <w:szCs w:val="24"/>
          <w:lang w:val="en-GB"/>
        </w:rPr>
        <w:footnoteReference w:id="58"/>
      </w:r>
    </w:p>
    <w:p w:rsidR="00AF2027" w:rsidRPr="00B04DC3" w:rsidRDefault="00AF2027" w:rsidP="00AF2027">
      <w:pPr>
        <w:pStyle w:val="para"/>
        <w:rPr>
          <w:bCs/>
          <w:lang w:val="en-GB"/>
        </w:rPr>
      </w:pPr>
      <w:r w:rsidRPr="00B04DC3">
        <w:rPr>
          <w:bCs/>
          <w:lang w:val="en-GB"/>
        </w:rPr>
        <w:t>3.8.</w:t>
      </w:r>
      <w:r w:rsidRPr="00B04DC3">
        <w:rPr>
          <w:bCs/>
          <w:lang w:val="en-GB"/>
        </w:rPr>
        <w:tab/>
        <w:t>"</w:t>
      </w:r>
      <w:r w:rsidRPr="00B04DC3">
        <w:rPr>
          <w:bCs/>
          <w:i/>
          <w:lang w:val="en-GB"/>
        </w:rPr>
        <w:t>Engine starting</w:t>
      </w:r>
      <w:r w:rsidRPr="00B04DC3">
        <w:rPr>
          <w:bCs/>
          <w:lang w:val="en-GB"/>
        </w:rPr>
        <w:t>" m</w:t>
      </w:r>
      <w:r w:rsidRPr="00B04DC3">
        <w:rPr>
          <w:lang w:val="en-GB"/>
        </w:rPr>
        <w:t>eans the process from the initiation of engine cranking until the engine reaches a speed 150 min</w:t>
      </w:r>
      <w:r w:rsidRPr="00B04DC3">
        <w:rPr>
          <w:vertAlign w:val="superscript"/>
          <w:lang w:val="en-GB"/>
        </w:rPr>
        <w:t>-1</w:t>
      </w:r>
      <w:r w:rsidRPr="00B04DC3">
        <w:rPr>
          <w:lang w:val="en-GB"/>
        </w:rPr>
        <w:t xml:space="preserve"> below the normal, warmed up idle speed (as determined in the drive position for vehicles equipped with an automatic transmission).</w:t>
      </w:r>
    </w:p>
    <w:p w:rsidR="00AF2027" w:rsidRPr="00B04DC3" w:rsidRDefault="00AF2027" w:rsidP="00AF2027">
      <w:pPr>
        <w:pStyle w:val="para"/>
        <w:rPr>
          <w:lang w:val="en-GB"/>
        </w:rPr>
      </w:pPr>
      <w:r w:rsidRPr="00B04DC3">
        <w:rPr>
          <w:lang w:val="en-GB"/>
        </w:rPr>
        <w:t>3.9.</w:t>
      </w:r>
      <w:r w:rsidRPr="00B04DC3">
        <w:rPr>
          <w:lang w:val="en-GB"/>
        </w:rPr>
        <w:tab/>
        <w:t>"</w:t>
      </w:r>
      <w:r w:rsidRPr="00B04DC3">
        <w:rPr>
          <w:bCs/>
          <w:i/>
          <w:lang w:val="en-GB"/>
        </w:rPr>
        <w:t>Engine system</w:t>
      </w:r>
      <w:r w:rsidRPr="00B04DC3">
        <w:rPr>
          <w:lang w:val="en-GB"/>
        </w:rPr>
        <w:t>" means the engine, the emission control system and the communication interface (hardware and messages) between the engine electronic control unit(s) and any other powertrain or vehicle control unit.</w:t>
      </w:r>
    </w:p>
    <w:p w:rsidR="00AF2027" w:rsidRPr="00B04DC3" w:rsidRDefault="00AF2027" w:rsidP="00AF2027">
      <w:pPr>
        <w:pStyle w:val="para"/>
        <w:rPr>
          <w:lang w:val="en-GB"/>
        </w:rPr>
      </w:pPr>
      <w:r w:rsidRPr="00B04DC3">
        <w:rPr>
          <w:lang w:val="en-GB"/>
        </w:rPr>
        <w:t>3.10.</w:t>
      </w:r>
      <w:r w:rsidRPr="00B04DC3">
        <w:rPr>
          <w:lang w:val="en-GB"/>
        </w:rPr>
        <w:tab/>
        <w:t>"</w:t>
      </w:r>
      <w:r w:rsidRPr="00B04DC3">
        <w:rPr>
          <w:bCs/>
          <w:i/>
          <w:lang w:val="en-GB"/>
        </w:rPr>
        <w:t>Engine warm-up</w:t>
      </w:r>
      <w:r w:rsidRPr="00B04DC3">
        <w:rPr>
          <w:lang w:val="en-GB"/>
        </w:rPr>
        <w:t>" means sufficient vehicle operation such that the coolant temperature reaches a minimum temperature of at least 70 °C.</w:t>
      </w:r>
    </w:p>
    <w:p w:rsidR="00AF2027" w:rsidRPr="00B04DC3" w:rsidRDefault="00AF2027" w:rsidP="00AF2027">
      <w:pPr>
        <w:pStyle w:val="para"/>
        <w:rPr>
          <w:lang w:val="en-GB"/>
        </w:rPr>
      </w:pPr>
      <w:r w:rsidRPr="00B04DC3">
        <w:rPr>
          <w:lang w:val="en-GB"/>
        </w:rPr>
        <w:t>3.11.</w:t>
      </w:r>
      <w:r w:rsidRPr="00B04DC3">
        <w:rPr>
          <w:lang w:val="en-GB"/>
        </w:rPr>
        <w:tab/>
        <w:t>"</w:t>
      </w:r>
      <w:r w:rsidRPr="00B04DC3">
        <w:rPr>
          <w:bCs/>
          <w:i/>
          <w:lang w:val="en-GB"/>
        </w:rPr>
        <w:t>Periodic regeneration</w:t>
      </w:r>
      <w:r w:rsidRPr="00B04DC3">
        <w:rPr>
          <w:lang w:val="en-GB"/>
        </w:rPr>
        <w:t xml:space="preserve">" means the regeneration process of an exhaust </w:t>
      </w:r>
      <w:r w:rsidR="006A75A0">
        <w:rPr>
          <w:lang w:val="en-GB"/>
        </w:rPr>
        <w:t>after-treatment</w:t>
      </w:r>
      <w:r w:rsidRPr="00B04DC3">
        <w:rPr>
          <w:lang w:val="en-GB"/>
        </w:rPr>
        <w:t xml:space="preserve"> system that occurs periodically in typically less than 100 hours of normal engine operation.</w:t>
      </w:r>
    </w:p>
    <w:p w:rsidR="00AF2027" w:rsidRPr="00B04DC3" w:rsidRDefault="00AF2027" w:rsidP="00AF2027">
      <w:pPr>
        <w:pStyle w:val="para"/>
        <w:rPr>
          <w:bCs/>
          <w:lang w:val="en-GB"/>
        </w:rPr>
      </w:pPr>
      <w:r w:rsidRPr="00B04DC3">
        <w:rPr>
          <w:bCs/>
          <w:lang w:val="en-GB"/>
        </w:rPr>
        <w:t>3.12.</w:t>
      </w:r>
      <w:r w:rsidRPr="00B04DC3">
        <w:rPr>
          <w:bCs/>
          <w:lang w:val="en-GB"/>
        </w:rPr>
        <w:tab/>
        <w:t>"</w:t>
      </w:r>
      <w:r w:rsidRPr="00B04DC3">
        <w:rPr>
          <w:bCs/>
          <w:i/>
          <w:lang w:val="en-GB"/>
        </w:rPr>
        <w:t>Rated speed</w:t>
      </w:r>
      <w:r w:rsidRPr="00B04DC3">
        <w:rPr>
          <w:bCs/>
          <w:lang w:val="en-GB"/>
        </w:rPr>
        <w:t>" m</w:t>
      </w:r>
      <w:r w:rsidRPr="00B04DC3">
        <w:rPr>
          <w:lang w:val="en-GB"/>
        </w:rPr>
        <w:t>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rsidR="00AF2027" w:rsidRPr="00B04DC3" w:rsidRDefault="00AF2027" w:rsidP="00AF2027">
      <w:pPr>
        <w:pStyle w:val="para"/>
        <w:rPr>
          <w:bCs/>
          <w:lang w:val="en-GB"/>
        </w:rPr>
      </w:pPr>
      <w:r w:rsidRPr="00B04DC3">
        <w:rPr>
          <w:bCs/>
          <w:lang w:val="en-GB"/>
        </w:rPr>
        <w:t>3.13.</w:t>
      </w:r>
      <w:r w:rsidRPr="00B04DC3">
        <w:rPr>
          <w:bCs/>
          <w:lang w:val="en-GB"/>
        </w:rPr>
        <w:tab/>
        <w:t>"</w:t>
      </w:r>
      <w:r w:rsidRPr="00B04DC3">
        <w:rPr>
          <w:bCs/>
          <w:i/>
          <w:lang w:val="en-GB"/>
        </w:rPr>
        <w:t>Regulated emissions</w:t>
      </w:r>
      <w:r w:rsidRPr="00B04DC3">
        <w:rPr>
          <w:bCs/>
          <w:lang w:val="en-GB"/>
        </w:rPr>
        <w:t>" m</w:t>
      </w:r>
      <w:r w:rsidRPr="00B04DC3">
        <w:rPr>
          <w:lang w:val="en-GB"/>
        </w:rPr>
        <w:t>eans "gaseous pollutants" defined as carbon monoxide, hydrocarbons and/or non-methane hydrocarbons (assuming a ratio of CH</w:t>
      </w:r>
      <w:r w:rsidRPr="00B04DC3">
        <w:rPr>
          <w:vertAlign w:val="subscript"/>
          <w:lang w:val="en-GB"/>
        </w:rPr>
        <w:t>1.85</w:t>
      </w:r>
      <w:r w:rsidRPr="00B04DC3">
        <w:rPr>
          <w:lang w:val="en-GB"/>
        </w:rPr>
        <w:t xml:space="preserve"> for diesel, CH</w:t>
      </w:r>
      <w:r w:rsidRPr="00B04DC3">
        <w:rPr>
          <w:vertAlign w:val="subscript"/>
          <w:lang w:val="en-GB"/>
        </w:rPr>
        <w:t>2.525</w:t>
      </w:r>
      <w:r w:rsidRPr="00B04DC3">
        <w:rPr>
          <w:lang w:val="en-GB"/>
        </w:rPr>
        <w:t xml:space="preserve"> for LPG and CH</w:t>
      </w:r>
      <w:r w:rsidRPr="00B04DC3">
        <w:rPr>
          <w:vertAlign w:val="subscript"/>
          <w:lang w:val="en-GB"/>
        </w:rPr>
        <w:t>2.93</w:t>
      </w:r>
      <w:r w:rsidRPr="00B04DC3">
        <w:rPr>
          <w:lang w:val="en-GB"/>
        </w:rPr>
        <w:t xml:space="preserve"> for NG, and an assumed molecule CH</w:t>
      </w:r>
      <w:r w:rsidRPr="00B04DC3">
        <w:rPr>
          <w:vertAlign w:val="subscript"/>
          <w:lang w:val="en-GB"/>
        </w:rPr>
        <w:t>3</w:t>
      </w:r>
      <w:r w:rsidRPr="00B04DC3">
        <w:rPr>
          <w:lang w:val="en-GB"/>
        </w:rPr>
        <w:t>O</w:t>
      </w:r>
      <w:r w:rsidRPr="00B04DC3">
        <w:rPr>
          <w:vertAlign w:val="subscript"/>
          <w:lang w:val="en-GB"/>
        </w:rPr>
        <w:t>0.5</w:t>
      </w:r>
      <w:r w:rsidRPr="00B04DC3">
        <w:rPr>
          <w:lang w:val="en-GB"/>
        </w:rPr>
        <w:t xml:space="preserve"> for ethanol fuelled diesel engines), methane (assuming a ration of CH</w:t>
      </w:r>
      <w:r w:rsidRPr="00B04DC3">
        <w:rPr>
          <w:vertAlign w:val="subscript"/>
          <w:lang w:val="en-GB"/>
        </w:rPr>
        <w:t>4</w:t>
      </w:r>
      <w:r w:rsidRPr="00B04DC3">
        <w:rPr>
          <w:lang w:val="en-GB"/>
        </w:rPr>
        <w:t xml:space="preserve"> for NG) and oxides of nitrogen (expressed in nitrogen dioxide (NO</w:t>
      </w:r>
      <w:r w:rsidRPr="00B04DC3">
        <w:rPr>
          <w:vertAlign w:val="subscript"/>
          <w:lang w:val="en-GB"/>
        </w:rPr>
        <w:t>2</w:t>
      </w:r>
      <w:r w:rsidRPr="00B04DC3">
        <w:rPr>
          <w:lang w:val="en-GB"/>
        </w:rPr>
        <w:t>) equivalent) and "particulate matter" (PM) defined as any material collected on a specified filter medium after diluting exhaust with clean filtered air to a temperature between 315 K (42 °C) and 325 K (52 °C), as measured at a point immediately upstream of the filter, this is primarily carbon, condensed hydrocarbons, and sulphates with associated water.</w:t>
      </w:r>
    </w:p>
    <w:p w:rsidR="00AF2027" w:rsidRPr="00B04DC3" w:rsidRDefault="00AF2027" w:rsidP="00AF2027">
      <w:pPr>
        <w:pStyle w:val="para"/>
        <w:rPr>
          <w:sz w:val="24"/>
          <w:szCs w:val="24"/>
          <w:lang w:val="en-GB"/>
        </w:rPr>
      </w:pPr>
      <w:bookmarkStart w:id="1163" w:name="_Toc101585427"/>
      <w:bookmarkStart w:id="1164" w:name="_Toc101585601"/>
      <w:bookmarkStart w:id="1165" w:name="_Toc101585923"/>
      <w:bookmarkStart w:id="1166" w:name="_Toc101674500"/>
      <w:bookmarkStart w:id="1167" w:name="_Toc101674590"/>
      <w:bookmarkStart w:id="1168" w:name="_Toc101674717"/>
      <w:bookmarkStart w:id="1169" w:name="_Toc211310293"/>
      <w:r w:rsidRPr="00B04DC3">
        <w:rPr>
          <w:lang w:val="en-GB"/>
        </w:rPr>
        <w:t>4</w:t>
      </w:r>
      <w:r w:rsidRPr="00B04DC3">
        <w:rPr>
          <w:sz w:val="24"/>
          <w:szCs w:val="24"/>
          <w:lang w:val="en-GB"/>
        </w:rPr>
        <w:t>.</w:t>
      </w:r>
      <w:r w:rsidRPr="00B04DC3">
        <w:rPr>
          <w:sz w:val="24"/>
          <w:szCs w:val="24"/>
          <w:lang w:val="en-GB"/>
        </w:rPr>
        <w:tab/>
      </w:r>
      <w:bookmarkEnd w:id="1163"/>
      <w:bookmarkEnd w:id="1164"/>
      <w:bookmarkEnd w:id="1165"/>
      <w:bookmarkEnd w:id="1166"/>
      <w:bookmarkEnd w:id="1167"/>
      <w:bookmarkEnd w:id="1168"/>
      <w:bookmarkEnd w:id="1169"/>
      <w:r w:rsidRPr="00B04DC3">
        <w:rPr>
          <w:lang w:val="en-GB"/>
        </w:rPr>
        <w:t>General requirements</w:t>
      </w:r>
    </w:p>
    <w:p w:rsidR="00AF2027" w:rsidRPr="00B04DC3" w:rsidRDefault="00AF2027" w:rsidP="00AF2027">
      <w:pPr>
        <w:pStyle w:val="para"/>
        <w:rPr>
          <w:lang w:val="en-GB"/>
        </w:rPr>
      </w:pPr>
      <w:r w:rsidRPr="00B04DC3">
        <w:rPr>
          <w:bCs/>
          <w:lang w:val="en-GB"/>
        </w:rPr>
        <w:tab/>
        <w:t>Any engine system and any element of design liable to affect the emission of regulated pollutants shall be designed, constructed, assembled and installed so as to enable the engine and vehicle to comply with the provisions of this annex</w:t>
      </w:r>
      <w:r w:rsidRPr="00B04DC3">
        <w:rPr>
          <w:lang w:val="en-GB"/>
        </w:rPr>
        <w:t>.</w:t>
      </w:r>
    </w:p>
    <w:p w:rsidR="00AF2027" w:rsidRPr="00B04DC3" w:rsidRDefault="00AF2027" w:rsidP="00AF2027">
      <w:pPr>
        <w:pStyle w:val="para"/>
        <w:rPr>
          <w:szCs w:val="24"/>
          <w:lang w:val="en-GB"/>
        </w:rPr>
      </w:pPr>
      <w:bookmarkStart w:id="1170" w:name="_Toc101585428"/>
      <w:bookmarkStart w:id="1171" w:name="_Toc101585602"/>
      <w:bookmarkStart w:id="1172" w:name="_Toc101585924"/>
      <w:bookmarkStart w:id="1173" w:name="_Toc101674501"/>
      <w:bookmarkStart w:id="1174" w:name="_Toc101674591"/>
      <w:bookmarkStart w:id="1175" w:name="_Toc101674718"/>
      <w:bookmarkStart w:id="1176" w:name="_Toc168287135"/>
      <w:bookmarkStart w:id="1177" w:name="_Toc211310294"/>
      <w:r w:rsidRPr="00B04DC3">
        <w:rPr>
          <w:szCs w:val="24"/>
          <w:lang w:val="en-GB"/>
        </w:rPr>
        <w:t>4.1.</w:t>
      </w:r>
      <w:r w:rsidRPr="00B04DC3">
        <w:rPr>
          <w:szCs w:val="24"/>
          <w:lang w:val="en-GB"/>
        </w:rPr>
        <w:tab/>
        <w:t>Prohibition of defeat strategies</w:t>
      </w:r>
      <w:bookmarkEnd w:id="1170"/>
      <w:bookmarkEnd w:id="1171"/>
      <w:bookmarkEnd w:id="1172"/>
      <w:bookmarkEnd w:id="1173"/>
      <w:bookmarkEnd w:id="1174"/>
      <w:bookmarkEnd w:id="1175"/>
      <w:bookmarkEnd w:id="1176"/>
      <w:bookmarkEnd w:id="1177"/>
    </w:p>
    <w:p w:rsidR="00AF2027" w:rsidRPr="00B04DC3" w:rsidRDefault="00AF2027" w:rsidP="00AF2027">
      <w:pPr>
        <w:pStyle w:val="para"/>
        <w:rPr>
          <w:bCs/>
          <w:lang w:val="en-GB"/>
        </w:rPr>
      </w:pPr>
      <w:r w:rsidRPr="00B04DC3">
        <w:rPr>
          <w:bCs/>
          <w:lang w:val="en-GB"/>
        </w:rPr>
        <w:tab/>
        <w:t>Engine systems and vehicles shall not be equipped with a defeat strategy.</w:t>
      </w:r>
    </w:p>
    <w:p w:rsidR="00AF2027" w:rsidRPr="00B04DC3" w:rsidRDefault="00512988" w:rsidP="00AF2027">
      <w:pPr>
        <w:pStyle w:val="para"/>
        <w:rPr>
          <w:szCs w:val="24"/>
          <w:lang w:val="en-GB"/>
        </w:rPr>
      </w:pPr>
      <w:bookmarkStart w:id="1178" w:name="_Toc101585429"/>
      <w:bookmarkStart w:id="1179" w:name="_Toc101585603"/>
      <w:bookmarkStart w:id="1180" w:name="_Toc101585925"/>
      <w:bookmarkStart w:id="1181" w:name="_Toc101674502"/>
      <w:bookmarkStart w:id="1182" w:name="_Toc101674592"/>
      <w:bookmarkStart w:id="1183" w:name="_Toc101674719"/>
      <w:bookmarkStart w:id="1184" w:name="_Toc168287136"/>
      <w:bookmarkStart w:id="1185" w:name="_Toc211310295"/>
      <w:r w:rsidRPr="00B04DC3">
        <w:rPr>
          <w:szCs w:val="24"/>
          <w:lang w:val="en-GB"/>
        </w:rPr>
        <w:br w:type="page"/>
      </w:r>
      <w:r w:rsidR="00AF2027" w:rsidRPr="00B04DC3">
        <w:rPr>
          <w:szCs w:val="24"/>
          <w:lang w:val="en-GB"/>
        </w:rPr>
        <w:t>4.2.</w:t>
      </w:r>
      <w:r w:rsidR="00AF2027" w:rsidRPr="00B04DC3">
        <w:rPr>
          <w:szCs w:val="24"/>
          <w:lang w:val="en-GB"/>
        </w:rPr>
        <w:tab/>
        <w:t xml:space="preserve">World-harmonized Not-To-Exceed </w:t>
      </w:r>
      <w:r w:rsidR="00264C32">
        <w:rPr>
          <w:szCs w:val="24"/>
          <w:lang w:val="en-GB"/>
        </w:rPr>
        <w:t>(</w:t>
      </w:r>
      <w:r w:rsidR="00264C32" w:rsidRPr="00FE41A4">
        <w:rPr>
          <w:szCs w:val="24"/>
          <w:lang w:val="en-GB"/>
        </w:rPr>
        <w:t>WNTE)</w:t>
      </w:r>
      <w:r w:rsidR="00264C32">
        <w:rPr>
          <w:szCs w:val="24"/>
          <w:lang w:val="en-GB"/>
        </w:rPr>
        <w:t xml:space="preserve"> </w:t>
      </w:r>
      <w:r w:rsidR="00AF2027" w:rsidRPr="00B04DC3">
        <w:rPr>
          <w:szCs w:val="24"/>
          <w:lang w:val="en-GB"/>
        </w:rPr>
        <w:t>emission requirement</w:t>
      </w:r>
      <w:bookmarkEnd w:id="1178"/>
      <w:bookmarkEnd w:id="1179"/>
      <w:bookmarkEnd w:id="1180"/>
      <w:bookmarkEnd w:id="1181"/>
      <w:bookmarkEnd w:id="1182"/>
      <w:bookmarkEnd w:id="1183"/>
      <w:bookmarkEnd w:id="1184"/>
      <w:bookmarkEnd w:id="1185"/>
    </w:p>
    <w:p w:rsidR="00AF2027" w:rsidRPr="00B04DC3" w:rsidRDefault="00AF2027" w:rsidP="00AF2027">
      <w:pPr>
        <w:pStyle w:val="para"/>
        <w:rPr>
          <w:szCs w:val="24"/>
          <w:lang w:val="en-GB"/>
        </w:rPr>
      </w:pPr>
      <w:r w:rsidRPr="00B04DC3">
        <w:rPr>
          <w:szCs w:val="24"/>
          <w:lang w:val="en-GB"/>
        </w:rPr>
        <w:tab/>
        <w:t xml:space="preserve">This annex requires that engine systems and vehicles comply with the WNTE emission limit values described in paragraph 5.2. </w:t>
      </w:r>
      <w:r w:rsidR="00FE41A4">
        <w:rPr>
          <w:szCs w:val="24"/>
          <w:lang w:val="en-GB"/>
        </w:rPr>
        <w:t xml:space="preserve">of this annex. </w:t>
      </w:r>
      <w:r w:rsidRPr="00B04DC3">
        <w:rPr>
          <w:szCs w:val="24"/>
          <w:lang w:val="en-GB"/>
        </w:rPr>
        <w:t>For laboratory based testing according to paragraph 7.4.</w:t>
      </w:r>
      <w:r w:rsidR="00FE41A4">
        <w:rPr>
          <w:szCs w:val="24"/>
          <w:lang w:val="en-GB"/>
        </w:rPr>
        <w:t xml:space="preserve"> below</w:t>
      </w:r>
      <w:r w:rsidRPr="00B04DC3">
        <w:rPr>
          <w:szCs w:val="24"/>
          <w:lang w:val="en-GB"/>
        </w:rPr>
        <w:t>, no test result shall exceed the emissions limits specified in paragraph 5.2.</w:t>
      </w:r>
      <w:r w:rsidR="005E75E6">
        <w:rPr>
          <w:szCs w:val="24"/>
          <w:lang w:val="en-GB"/>
        </w:rPr>
        <w:t xml:space="preserve"> below.</w:t>
      </w:r>
    </w:p>
    <w:p w:rsidR="00AF2027" w:rsidRPr="00B04DC3" w:rsidRDefault="00AF2027" w:rsidP="00AF2027">
      <w:pPr>
        <w:pStyle w:val="para"/>
        <w:rPr>
          <w:lang w:val="en-GB"/>
        </w:rPr>
      </w:pPr>
      <w:bookmarkStart w:id="1186" w:name="_Toc211310296"/>
      <w:r w:rsidRPr="00B04DC3">
        <w:rPr>
          <w:lang w:val="en-GB"/>
        </w:rPr>
        <w:t>5.</w:t>
      </w:r>
      <w:r w:rsidRPr="00B04DC3">
        <w:rPr>
          <w:lang w:val="en-GB"/>
        </w:rPr>
        <w:tab/>
      </w:r>
      <w:bookmarkEnd w:id="1186"/>
      <w:r w:rsidRPr="00B04DC3">
        <w:rPr>
          <w:lang w:val="en-GB"/>
        </w:rPr>
        <w:t>Performance requirements</w:t>
      </w:r>
    </w:p>
    <w:p w:rsidR="00AF2027" w:rsidRPr="00B04DC3" w:rsidRDefault="00AF2027" w:rsidP="00AF2027">
      <w:pPr>
        <w:pStyle w:val="para"/>
        <w:rPr>
          <w:lang w:val="en-GB"/>
        </w:rPr>
      </w:pPr>
      <w:bookmarkStart w:id="1187" w:name="_Toc211310297"/>
      <w:bookmarkStart w:id="1188" w:name="_Toc101585430"/>
      <w:bookmarkStart w:id="1189" w:name="_Toc101585604"/>
      <w:bookmarkStart w:id="1190" w:name="_Toc101585926"/>
      <w:bookmarkStart w:id="1191" w:name="_Toc101674503"/>
      <w:bookmarkStart w:id="1192" w:name="_Toc101674593"/>
      <w:bookmarkStart w:id="1193" w:name="_Toc101674720"/>
      <w:r w:rsidRPr="00B04DC3">
        <w:rPr>
          <w:lang w:val="en-GB"/>
        </w:rPr>
        <w:t>5.1.</w:t>
      </w:r>
      <w:r w:rsidRPr="00B04DC3">
        <w:rPr>
          <w:lang w:val="en-GB"/>
        </w:rPr>
        <w:tab/>
        <w:t>Emission strategies</w:t>
      </w:r>
      <w:bookmarkEnd w:id="1187"/>
    </w:p>
    <w:p w:rsidR="00AF2027" w:rsidRPr="00B04DC3" w:rsidRDefault="00AF2027" w:rsidP="00AF2027">
      <w:pPr>
        <w:pStyle w:val="para"/>
        <w:rPr>
          <w:lang w:val="en-GB"/>
        </w:rPr>
      </w:pPr>
      <w:r w:rsidRPr="00B04DC3">
        <w:rPr>
          <w:lang w:val="en-GB"/>
        </w:rPr>
        <w:tab/>
        <w:t>Emission strategies shall be designed so as to enable the engine system, in normal use, to comply with the provisions of this annex. Normal use is not restricted to the conditions of use as specified in paragraph 6.</w:t>
      </w:r>
      <w:r w:rsidR="005E75E6">
        <w:rPr>
          <w:lang w:val="en-GB"/>
        </w:rPr>
        <w:t xml:space="preserve"> of this annex.</w:t>
      </w:r>
    </w:p>
    <w:p w:rsidR="00AF2027" w:rsidRPr="00B04DC3" w:rsidRDefault="00AF2027" w:rsidP="00AF2027">
      <w:pPr>
        <w:pStyle w:val="para"/>
        <w:rPr>
          <w:lang w:val="en-GB"/>
        </w:rPr>
      </w:pPr>
      <w:r w:rsidRPr="00B04DC3">
        <w:rPr>
          <w:lang w:val="en-GB"/>
        </w:rPr>
        <w:t>5.1.1.</w:t>
      </w:r>
      <w:r w:rsidRPr="00B04DC3">
        <w:rPr>
          <w:lang w:val="en-GB"/>
        </w:rPr>
        <w:tab/>
        <w:t>Requirements for Base Emission Strategies (BES)</w:t>
      </w:r>
    </w:p>
    <w:p w:rsidR="00AF2027" w:rsidRPr="00B04DC3" w:rsidRDefault="00AF2027" w:rsidP="00AF2027">
      <w:pPr>
        <w:pStyle w:val="para"/>
        <w:rPr>
          <w:lang w:val="en-GB"/>
        </w:rPr>
      </w:pPr>
      <w:r w:rsidRPr="00B04DC3">
        <w:rPr>
          <w:lang w:val="en-GB"/>
        </w:rPr>
        <w:tab/>
        <w:t>A BES shall not discriminate between operation on an applicable type approval or certification test and other operation and provide a lesser level of emission control under conditions not substantially included in the applicable type approval or certification tests.</w:t>
      </w:r>
    </w:p>
    <w:p w:rsidR="00AF2027" w:rsidRPr="00B04DC3" w:rsidRDefault="00AF2027" w:rsidP="00AF2027">
      <w:pPr>
        <w:pStyle w:val="para"/>
        <w:rPr>
          <w:lang w:val="en-GB"/>
        </w:rPr>
      </w:pPr>
      <w:r w:rsidRPr="00B04DC3">
        <w:rPr>
          <w:lang w:val="en-GB"/>
        </w:rPr>
        <w:t>5.1.2.</w:t>
      </w:r>
      <w:r w:rsidRPr="00B04DC3">
        <w:rPr>
          <w:lang w:val="en-GB"/>
        </w:rPr>
        <w:tab/>
        <w:t>Requirements for Auxiliary Emission Strategies (AES)</w:t>
      </w:r>
    </w:p>
    <w:p w:rsidR="00AF2027" w:rsidRPr="00B04DC3" w:rsidRDefault="00AF2027" w:rsidP="00AF2027">
      <w:pPr>
        <w:pStyle w:val="para"/>
        <w:rPr>
          <w:lang w:val="en-GB"/>
        </w:rPr>
      </w:pPr>
      <w:r w:rsidRPr="00B04DC3">
        <w:rPr>
          <w:lang w:val="en-GB"/>
        </w:rPr>
        <w:tab/>
        <w:t>An AES shall not reduce the effectiveness of the emission control relative to a BES under conditions that may reasonably be expected to be encountered in normal vehicle operation and use, unless the AES satisfies one the following specific exceptions:</w:t>
      </w:r>
    </w:p>
    <w:p w:rsidR="00AF2027" w:rsidRPr="00B04DC3" w:rsidRDefault="00AF2027" w:rsidP="00AF2027">
      <w:pPr>
        <w:pStyle w:val="a"/>
        <w:rPr>
          <w:lang w:val="en-GB"/>
        </w:rPr>
      </w:pPr>
      <w:r w:rsidRPr="00B04DC3">
        <w:rPr>
          <w:lang w:val="en-GB"/>
        </w:rPr>
        <w:t>(a)</w:t>
      </w:r>
      <w:r w:rsidRPr="00B04DC3">
        <w:rPr>
          <w:lang w:val="en-GB"/>
        </w:rPr>
        <w:tab/>
        <w:t>Its operation is substantially included in the applicable type approval or certification tests, including the WNTE provisions of paragraph 7.</w:t>
      </w:r>
      <w:r w:rsidR="00BB3B29" w:rsidRPr="00BB3B29">
        <w:rPr>
          <w:lang w:val="en-GB"/>
        </w:rPr>
        <w:t xml:space="preserve"> </w:t>
      </w:r>
      <w:r w:rsidR="00BB3B29">
        <w:rPr>
          <w:lang w:val="en-GB"/>
        </w:rPr>
        <w:t>of this annex</w:t>
      </w:r>
      <w:r w:rsidRPr="00B04DC3">
        <w:rPr>
          <w:lang w:val="en-GB"/>
        </w:rPr>
        <w:t>;</w:t>
      </w:r>
    </w:p>
    <w:p w:rsidR="00AF2027" w:rsidRPr="00B04DC3" w:rsidRDefault="00AF2027" w:rsidP="00AF2027">
      <w:pPr>
        <w:pStyle w:val="a"/>
        <w:rPr>
          <w:lang w:val="en-GB"/>
        </w:rPr>
      </w:pPr>
      <w:r w:rsidRPr="00B04DC3">
        <w:rPr>
          <w:lang w:val="en-GB"/>
        </w:rPr>
        <w:t>(b)</w:t>
      </w:r>
      <w:r w:rsidRPr="00B04DC3">
        <w:rPr>
          <w:lang w:val="en-GB"/>
        </w:rPr>
        <w:tab/>
        <w:t>It is activated for the purposes of protecting the engine and/or vehicle from damage or accident;</w:t>
      </w:r>
    </w:p>
    <w:p w:rsidR="00AF2027" w:rsidRPr="00B04DC3" w:rsidRDefault="00AF2027" w:rsidP="00AF2027">
      <w:pPr>
        <w:pStyle w:val="a"/>
        <w:rPr>
          <w:lang w:val="en-GB"/>
        </w:rPr>
      </w:pPr>
      <w:r w:rsidRPr="00B04DC3">
        <w:rPr>
          <w:lang w:val="en-GB"/>
        </w:rPr>
        <w:t>(c)</w:t>
      </w:r>
      <w:r w:rsidRPr="00B04DC3">
        <w:rPr>
          <w:lang w:val="en-GB"/>
        </w:rPr>
        <w:tab/>
        <w:t>It is only activated during engine starting or warm up as defined in this annex;</w:t>
      </w:r>
    </w:p>
    <w:p w:rsidR="00AF2027" w:rsidRPr="00B04DC3" w:rsidRDefault="00AF2027" w:rsidP="00AF2027">
      <w:pPr>
        <w:pStyle w:val="a"/>
        <w:rPr>
          <w:lang w:val="en-GB"/>
        </w:rPr>
      </w:pPr>
      <w:r w:rsidRPr="00B04DC3">
        <w:rPr>
          <w:lang w:val="en-GB"/>
        </w:rPr>
        <w:t>(d)</w:t>
      </w:r>
      <w:r w:rsidRPr="00B04DC3">
        <w:rPr>
          <w:lang w:val="en-GB"/>
        </w:rPr>
        <w:tab/>
        <w:t xml:space="preserve">Its operation is used to trade-off the control of one type of regulated emissions in order to maintain control of another type of regulated emissions under specific ambient or operating conditions not substantially included in the type approval or certification tests. The overall </w:t>
      </w:r>
      <w:r w:rsidR="007467E5" w:rsidRPr="00B04DC3">
        <w:rPr>
          <w:lang w:val="en-GB"/>
        </w:rPr>
        <w:t xml:space="preserve">effect </w:t>
      </w:r>
      <w:r w:rsidRPr="00B04DC3">
        <w:rPr>
          <w:lang w:val="en-GB"/>
        </w:rPr>
        <w:t>of such an AES shall be to compensate for the effects of extreme ambient conditions in a manner that provides acceptable control of all regulated emissions.</w:t>
      </w:r>
    </w:p>
    <w:p w:rsidR="00AF2027" w:rsidRPr="00B04DC3" w:rsidRDefault="00AF2027" w:rsidP="00AF2027">
      <w:pPr>
        <w:pStyle w:val="para"/>
        <w:rPr>
          <w:lang w:val="en-GB"/>
        </w:rPr>
      </w:pPr>
      <w:bookmarkStart w:id="1194" w:name="_Toc101585432"/>
      <w:bookmarkStart w:id="1195" w:name="_Toc101585606"/>
      <w:bookmarkStart w:id="1196" w:name="_Toc101585928"/>
      <w:bookmarkStart w:id="1197" w:name="_Toc101674505"/>
      <w:bookmarkStart w:id="1198" w:name="_Toc101674595"/>
      <w:bookmarkStart w:id="1199" w:name="_Toc101674722"/>
      <w:bookmarkStart w:id="1200" w:name="_Toc168287139"/>
      <w:bookmarkStart w:id="1201" w:name="_Toc211310298"/>
      <w:bookmarkEnd w:id="1188"/>
      <w:bookmarkEnd w:id="1189"/>
      <w:bookmarkEnd w:id="1190"/>
      <w:bookmarkEnd w:id="1191"/>
      <w:bookmarkEnd w:id="1192"/>
      <w:bookmarkEnd w:id="1193"/>
      <w:r w:rsidRPr="00B04DC3">
        <w:rPr>
          <w:lang w:val="en-GB"/>
        </w:rPr>
        <w:t>5.2.</w:t>
      </w:r>
      <w:r w:rsidRPr="00B04DC3">
        <w:rPr>
          <w:lang w:val="en-GB"/>
        </w:rPr>
        <w:tab/>
        <w:t>World-harmonized Not-To-Exceed limits for gaseous and particulate exhaust emissions</w:t>
      </w:r>
      <w:bookmarkEnd w:id="1194"/>
      <w:bookmarkEnd w:id="1195"/>
      <w:bookmarkEnd w:id="1196"/>
      <w:bookmarkEnd w:id="1197"/>
      <w:bookmarkEnd w:id="1198"/>
      <w:bookmarkEnd w:id="1199"/>
      <w:bookmarkEnd w:id="1200"/>
      <w:bookmarkEnd w:id="1201"/>
    </w:p>
    <w:p w:rsidR="00AF2027" w:rsidRPr="00B04DC3" w:rsidRDefault="00AF2027" w:rsidP="00AF2027">
      <w:pPr>
        <w:pStyle w:val="para"/>
        <w:rPr>
          <w:lang w:val="en-GB"/>
        </w:rPr>
      </w:pPr>
      <w:r w:rsidRPr="00B04DC3">
        <w:rPr>
          <w:lang w:val="en-GB"/>
        </w:rPr>
        <w:t>5.2.1.</w:t>
      </w:r>
      <w:r w:rsidRPr="00B04DC3">
        <w:rPr>
          <w:lang w:val="en-GB"/>
        </w:rPr>
        <w:tab/>
        <w:t xml:space="preserve">Exhaust emissions shall not exceed the applicable WNTE emission limits specified in paragraph 5.2.2. </w:t>
      </w:r>
      <w:r w:rsidR="00BB3B29">
        <w:rPr>
          <w:lang w:val="en-GB"/>
        </w:rPr>
        <w:t xml:space="preserve">below </w:t>
      </w:r>
      <w:r w:rsidRPr="00B04DC3">
        <w:rPr>
          <w:lang w:val="en-GB"/>
        </w:rPr>
        <w:t>when the engine is operated in accordance with the conditions and procedures set out in paragraphs 6. and 7.</w:t>
      </w:r>
      <w:r w:rsidR="00BB3B29" w:rsidRPr="00BB3B29">
        <w:rPr>
          <w:lang w:val="en-GB"/>
        </w:rPr>
        <w:t xml:space="preserve"> </w:t>
      </w:r>
      <w:r w:rsidR="00BB3B29">
        <w:rPr>
          <w:lang w:val="en-GB"/>
        </w:rPr>
        <w:t>of this annex.</w:t>
      </w:r>
    </w:p>
    <w:p w:rsidR="00AF2027" w:rsidRPr="00B04DC3" w:rsidRDefault="00AF2027" w:rsidP="00AF2027">
      <w:pPr>
        <w:pStyle w:val="para"/>
        <w:rPr>
          <w:lang w:val="en-GB"/>
        </w:rPr>
      </w:pPr>
      <w:r w:rsidRPr="00B04DC3">
        <w:rPr>
          <w:lang w:val="en-GB"/>
        </w:rPr>
        <w:t>5.2.2.</w:t>
      </w:r>
      <w:r w:rsidRPr="00B04DC3">
        <w:rPr>
          <w:lang w:val="en-GB"/>
        </w:rPr>
        <w:tab/>
        <w:t>The applicable WNTE emission limits are determined, as follows:</w:t>
      </w:r>
    </w:p>
    <w:p w:rsidR="00AF2027" w:rsidRPr="00B04DC3" w:rsidRDefault="00AF2027" w:rsidP="00AF2027">
      <w:pPr>
        <w:pStyle w:val="para"/>
        <w:rPr>
          <w:lang w:val="en-GB"/>
        </w:rPr>
      </w:pPr>
      <w:r w:rsidRPr="00B04DC3">
        <w:rPr>
          <w:lang w:val="en-GB"/>
        </w:rPr>
        <w:tab/>
        <w:t>WNTE Emission Limit = WHTC Emission Limit + WNTE Component</w:t>
      </w:r>
    </w:p>
    <w:p w:rsidR="00AF2027" w:rsidRPr="00B04DC3" w:rsidRDefault="00512988" w:rsidP="00AF2027">
      <w:pPr>
        <w:pStyle w:val="para"/>
        <w:rPr>
          <w:lang w:val="en-GB"/>
        </w:rPr>
      </w:pPr>
      <w:r w:rsidRPr="00B04DC3">
        <w:rPr>
          <w:lang w:val="en-GB"/>
        </w:rPr>
        <w:br w:type="page"/>
      </w:r>
      <w:r w:rsidR="00AF2027" w:rsidRPr="00B04DC3">
        <w:rPr>
          <w:lang w:val="en-GB"/>
        </w:rPr>
        <w:tab/>
        <w:t>Where:</w:t>
      </w:r>
    </w:p>
    <w:p w:rsidR="00AF2027" w:rsidRPr="00B04DC3" w:rsidRDefault="00AF2027" w:rsidP="00AF2027">
      <w:pPr>
        <w:pStyle w:val="para"/>
        <w:ind w:left="4536" w:hanging="2268"/>
        <w:rPr>
          <w:lang w:val="en-GB"/>
        </w:rPr>
      </w:pPr>
      <w:r w:rsidRPr="00B04DC3">
        <w:rPr>
          <w:lang w:val="en-GB"/>
        </w:rPr>
        <w:t>"WHTC Emission Limit"</w:t>
      </w:r>
      <w:r w:rsidRPr="00B04DC3">
        <w:rPr>
          <w:lang w:val="en-GB"/>
        </w:rPr>
        <w:tab/>
        <w:t>is the emission limit (EL) to which the engine is certified pursuant to the WHDC gtr; and</w:t>
      </w:r>
    </w:p>
    <w:p w:rsidR="00AF2027" w:rsidRPr="00B04DC3" w:rsidRDefault="00AF2027" w:rsidP="00AF2027">
      <w:pPr>
        <w:pStyle w:val="para"/>
        <w:ind w:left="4536" w:hanging="2268"/>
        <w:rPr>
          <w:lang w:val="en-GB"/>
        </w:rPr>
      </w:pPr>
      <w:r w:rsidRPr="00B04DC3">
        <w:rPr>
          <w:lang w:val="en-GB"/>
        </w:rPr>
        <w:t>"WNTE Component"</w:t>
      </w:r>
      <w:r w:rsidRPr="00B04DC3">
        <w:rPr>
          <w:lang w:val="en-GB"/>
        </w:rPr>
        <w:tab/>
        <w:t>is determined by equations 1 to 4 in paragraph 5.2.3.</w:t>
      </w:r>
      <w:r w:rsidR="00BB3B29">
        <w:rPr>
          <w:lang w:val="en-GB"/>
        </w:rPr>
        <w:t>below .</w:t>
      </w:r>
    </w:p>
    <w:p w:rsidR="00AF2027" w:rsidRPr="00B04DC3" w:rsidRDefault="00AF2027" w:rsidP="00AF2027">
      <w:pPr>
        <w:pStyle w:val="para"/>
        <w:rPr>
          <w:lang w:val="en-GB"/>
        </w:rPr>
      </w:pPr>
      <w:r w:rsidRPr="00B04DC3">
        <w:rPr>
          <w:lang w:val="en-GB"/>
        </w:rPr>
        <w:t>5.2.3.</w:t>
      </w:r>
      <w:r w:rsidRPr="00B04DC3">
        <w:rPr>
          <w:lang w:val="en-GB"/>
        </w:rPr>
        <w:tab/>
        <w:t>The applicable WNTE components shall be determined using the following equations, when the ELs are expressed in g/kWh:</w:t>
      </w:r>
    </w:p>
    <w:p w:rsidR="00AF2027" w:rsidRPr="00B04DC3" w:rsidRDefault="00AF2027" w:rsidP="006304AC">
      <w:pPr>
        <w:pStyle w:val="para"/>
        <w:tabs>
          <w:tab w:val="left" w:pos="3402"/>
          <w:tab w:val="right" w:pos="8505"/>
        </w:tabs>
        <w:ind w:firstLine="0"/>
        <w:rPr>
          <w:lang w:val="en-GB"/>
        </w:rPr>
      </w:pPr>
      <w:r w:rsidRPr="00B04DC3">
        <w:rPr>
          <w:lang w:val="en-GB"/>
        </w:rPr>
        <w:t>For NO</w:t>
      </w:r>
      <w:r w:rsidRPr="00B04DC3">
        <w:rPr>
          <w:vertAlign w:val="subscript"/>
          <w:lang w:val="en-GB"/>
        </w:rPr>
        <w:t>x</w:t>
      </w:r>
      <w:r w:rsidRPr="00B04DC3">
        <w:rPr>
          <w:lang w:val="en-GB"/>
        </w:rPr>
        <w:t>:</w:t>
      </w:r>
      <w:r w:rsidRPr="00B04DC3">
        <w:rPr>
          <w:lang w:val="en-GB"/>
        </w:rPr>
        <w:tab/>
        <w:t xml:space="preserve">WNTE Component = 0.25 </w:t>
      </w:r>
      <w:r w:rsidR="006304AC">
        <w:rPr>
          <w:lang w:val="en-GB"/>
        </w:rPr>
        <w:sym w:font="Symbol" w:char="F0B4"/>
      </w:r>
      <w:r w:rsidRPr="00B04DC3">
        <w:rPr>
          <w:lang w:val="en-GB"/>
        </w:rPr>
        <w:t xml:space="preserve"> EL + 0.1</w:t>
      </w:r>
      <w:r w:rsidRPr="00B04DC3">
        <w:rPr>
          <w:lang w:val="en-GB"/>
        </w:rPr>
        <w:tab/>
        <w:t>(1)</w:t>
      </w:r>
    </w:p>
    <w:p w:rsidR="00AF2027" w:rsidRPr="00B04DC3" w:rsidRDefault="00AF2027" w:rsidP="006304AC">
      <w:pPr>
        <w:pStyle w:val="para"/>
        <w:tabs>
          <w:tab w:val="left" w:pos="3402"/>
          <w:tab w:val="right" w:pos="8505"/>
        </w:tabs>
        <w:ind w:firstLine="0"/>
        <w:rPr>
          <w:lang w:val="en-GB"/>
        </w:rPr>
      </w:pPr>
      <w:r w:rsidRPr="00B04DC3">
        <w:rPr>
          <w:lang w:val="en-GB"/>
        </w:rPr>
        <w:t>For HC:</w:t>
      </w:r>
      <w:r w:rsidRPr="00B04DC3">
        <w:rPr>
          <w:lang w:val="en-GB"/>
        </w:rPr>
        <w:tab/>
        <w:t xml:space="preserve">WNTE Component = 0.15 </w:t>
      </w:r>
      <w:r w:rsidR="006304AC">
        <w:rPr>
          <w:lang w:val="en-GB"/>
        </w:rPr>
        <w:sym w:font="Symbol" w:char="F0B4"/>
      </w:r>
      <w:r w:rsidRPr="00B04DC3">
        <w:rPr>
          <w:lang w:val="en-GB"/>
        </w:rPr>
        <w:t xml:space="preserve"> EL + 0.07</w:t>
      </w:r>
      <w:r w:rsidRPr="00B04DC3">
        <w:rPr>
          <w:lang w:val="en-GB"/>
        </w:rPr>
        <w:tab/>
        <w:t>(2)</w:t>
      </w:r>
    </w:p>
    <w:p w:rsidR="00AF2027" w:rsidRPr="00B04DC3" w:rsidRDefault="00AF2027" w:rsidP="006304AC">
      <w:pPr>
        <w:pStyle w:val="para"/>
        <w:tabs>
          <w:tab w:val="left" w:pos="3402"/>
          <w:tab w:val="right" w:pos="8505"/>
        </w:tabs>
        <w:ind w:firstLine="0"/>
        <w:rPr>
          <w:lang w:val="en-GB"/>
        </w:rPr>
      </w:pPr>
      <w:r w:rsidRPr="00B04DC3">
        <w:rPr>
          <w:lang w:val="en-GB"/>
        </w:rPr>
        <w:t>For CO:</w:t>
      </w:r>
      <w:r w:rsidRPr="00B04DC3">
        <w:rPr>
          <w:lang w:val="en-GB"/>
        </w:rPr>
        <w:tab/>
        <w:t xml:space="preserve">WNTE Component = 0.20 </w:t>
      </w:r>
      <w:r w:rsidR="006304AC">
        <w:rPr>
          <w:lang w:val="en-GB"/>
        </w:rPr>
        <w:sym w:font="Symbol" w:char="F0B4"/>
      </w:r>
      <w:r w:rsidRPr="00B04DC3">
        <w:rPr>
          <w:lang w:val="en-GB"/>
        </w:rPr>
        <w:t xml:space="preserve"> EL + 0.2</w:t>
      </w:r>
      <w:r w:rsidRPr="00B04DC3">
        <w:rPr>
          <w:lang w:val="en-GB"/>
        </w:rPr>
        <w:tab/>
        <w:t>(3)</w:t>
      </w:r>
    </w:p>
    <w:p w:rsidR="00AF2027" w:rsidRPr="00B04DC3" w:rsidRDefault="00AF2027" w:rsidP="006304AC">
      <w:pPr>
        <w:pStyle w:val="para"/>
        <w:tabs>
          <w:tab w:val="left" w:pos="3402"/>
          <w:tab w:val="right" w:pos="8505"/>
        </w:tabs>
        <w:ind w:firstLine="0"/>
        <w:rPr>
          <w:lang w:val="en-GB"/>
        </w:rPr>
      </w:pPr>
      <w:r w:rsidRPr="00B04DC3">
        <w:rPr>
          <w:lang w:val="en-GB"/>
        </w:rPr>
        <w:t>For PM:</w:t>
      </w:r>
      <w:r w:rsidRPr="00B04DC3">
        <w:rPr>
          <w:lang w:val="en-GB"/>
        </w:rPr>
        <w:tab/>
        <w:t xml:space="preserve">WNTE Component = 0.25 </w:t>
      </w:r>
      <w:r w:rsidR="006304AC">
        <w:rPr>
          <w:lang w:val="en-GB"/>
        </w:rPr>
        <w:sym w:font="Symbol" w:char="F0B4"/>
      </w:r>
      <w:r w:rsidRPr="00B04DC3">
        <w:rPr>
          <w:lang w:val="en-GB"/>
        </w:rPr>
        <w:t xml:space="preserve"> EL + 0.003</w:t>
      </w:r>
      <w:r w:rsidRPr="00B04DC3">
        <w:rPr>
          <w:lang w:val="en-GB"/>
        </w:rPr>
        <w:tab/>
        <w:t>(4)</w:t>
      </w:r>
    </w:p>
    <w:p w:rsidR="00AF2027" w:rsidRPr="00B04DC3" w:rsidRDefault="00AF2027" w:rsidP="00AF2027">
      <w:pPr>
        <w:pStyle w:val="para"/>
        <w:rPr>
          <w:lang w:val="en-GB"/>
        </w:rPr>
      </w:pPr>
      <w:r w:rsidRPr="00B04DC3">
        <w:rPr>
          <w:lang w:val="en-GB"/>
        </w:rPr>
        <w:tab/>
        <w:t>Where the applicable ELs are expressed in units other than units of g/kWh, the additive constants in the equations shall be converted from g/kWh to the appropriate units.</w:t>
      </w:r>
    </w:p>
    <w:p w:rsidR="00AF2027" w:rsidRPr="00B04DC3" w:rsidRDefault="00AF2027" w:rsidP="00AF2027">
      <w:pPr>
        <w:pStyle w:val="para"/>
        <w:rPr>
          <w:lang w:val="en-GB"/>
        </w:rPr>
      </w:pPr>
      <w:r w:rsidRPr="00B04DC3">
        <w:rPr>
          <w:lang w:val="en-GB"/>
        </w:rPr>
        <w:tab/>
        <w:t>The WNTE component shall be rounded to the number of places to the right of the decimal point indicated by the applicable EL in accordance with the rounding method of ASTM E 29</w:t>
      </w:r>
      <w:r w:rsidRPr="00B04DC3">
        <w:rPr>
          <w:lang w:val="en-GB"/>
        </w:rPr>
        <w:noBreakHyphen/>
        <w:t>06.</w:t>
      </w:r>
    </w:p>
    <w:p w:rsidR="00AF2027" w:rsidRPr="00B04DC3" w:rsidRDefault="00AF2027" w:rsidP="00AF2027">
      <w:pPr>
        <w:pStyle w:val="para"/>
        <w:rPr>
          <w:lang w:val="en-GB"/>
        </w:rPr>
      </w:pPr>
      <w:bookmarkStart w:id="1202" w:name="_Toc101585434"/>
      <w:bookmarkStart w:id="1203" w:name="_Toc101585608"/>
      <w:bookmarkStart w:id="1204" w:name="_Toc101585930"/>
      <w:bookmarkStart w:id="1205" w:name="_Toc101674507"/>
      <w:bookmarkStart w:id="1206" w:name="_Toc101674597"/>
      <w:bookmarkStart w:id="1207" w:name="_Toc101674724"/>
      <w:bookmarkStart w:id="1208" w:name="_Toc211310299"/>
      <w:r w:rsidRPr="00B04DC3">
        <w:rPr>
          <w:lang w:val="en-GB"/>
        </w:rPr>
        <w:t>6.</w:t>
      </w:r>
      <w:r w:rsidRPr="00B04DC3">
        <w:rPr>
          <w:lang w:val="en-GB"/>
        </w:rPr>
        <w:tab/>
        <w:t>Applicable ambient and operating conditions</w:t>
      </w:r>
      <w:bookmarkEnd w:id="1202"/>
      <w:bookmarkEnd w:id="1203"/>
      <w:bookmarkEnd w:id="1204"/>
      <w:bookmarkEnd w:id="1205"/>
      <w:bookmarkEnd w:id="1206"/>
      <w:bookmarkEnd w:id="1207"/>
      <w:bookmarkEnd w:id="1208"/>
    </w:p>
    <w:p w:rsidR="00AF2027" w:rsidRPr="00B04DC3" w:rsidRDefault="00AF2027" w:rsidP="00AF2027">
      <w:pPr>
        <w:pStyle w:val="para"/>
        <w:rPr>
          <w:lang w:val="en-GB"/>
        </w:rPr>
      </w:pPr>
      <w:r w:rsidRPr="00B04DC3">
        <w:rPr>
          <w:lang w:val="en-GB"/>
        </w:rPr>
        <w:tab/>
        <w:t>The WNTE emission limits shall apply at:</w:t>
      </w:r>
    </w:p>
    <w:p w:rsidR="00AF2027" w:rsidRPr="00B04DC3" w:rsidRDefault="00AF2027" w:rsidP="00AF2027">
      <w:pPr>
        <w:pStyle w:val="a"/>
        <w:rPr>
          <w:lang w:val="en-GB"/>
        </w:rPr>
      </w:pPr>
      <w:r w:rsidRPr="00B04DC3">
        <w:rPr>
          <w:lang w:val="en-GB"/>
        </w:rPr>
        <w:t>(a)</w:t>
      </w:r>
      <w:r w:rsidRPr="00B04DC3">
        <w:rPr>
          <w:lang w:val="en-GB"/>
        </w:rPr>
        <w:tab/>
        <w:t>All atmospheric pressures greater than or equal to 82.5 kPa;</w:t>
      </w:r>
    </w:p>
    <w:p w:rsidR="00AF2027" w:rsidRPr="00B04DC3" w:rsidRDefault="00AF2027" w:rsidP="00AF2027">
      <w:pPr>
        <w:pStyle w:val="a"/>
        <w:rPr>
          <w:lang w:val="en-GB"/>
        </w:rPr>
      </w:pPr>
      <w:r w:rsidRPr="00B04DC3">
        <w:rPr>
          <w:lang w:val="en-GB"/>
        </w:rPr>
        <w:t>(b)</w:t>
      </w:r>
      <w:r w:rsidRPr="00B04DC3">
        <w:rPr>
          <w:lang w:val="en-GB"/>
        </w:rPr>
        <w:tab/>
        <w:t>All temperatures less than or equal to the temperature determined by equation 5 at the specified atmospheric pressure:</w:t>
      </w:r>
    </w:p>
    <w:p w:rsidR="00AF2027" w:rsidRPr="00B04DC3" w:rsidRDefault="006304AC" w:rsidP="006304AC">
      <w:pPr>
        <w:pStyle w:val="para"/>
        <w:tabs>
          <w:tab w:val="left" w:pos="2835"/>
          <w:tab w:val="right" w:pos="8505"/>
        </w:tabs>
        <w:ind w:firstLine="0"/>
        <w:rPr>
          <w:lang w:val="en-GB"/>
        </w:rPr>
      </w:pPr>
      <w:r>
        <w:rPr>
          <w:lang w:val="en-GB"/>
        </w:rPr>
        <w:tab/>
      </w:r>
      <w:r w:rsidR="00AF2027" w:rsidRPr="00B04DC3">
        <w:rPr>
          <w:lang w:val="en-GB"/>
        </w:rPr>
        <w:t xml:space="preserve">T = -0.4514 </w:t>
      </w:r>
      <w:r>
        <w:rPr>
          <w:lang w:val="en-GB"/>
        </w:rPr>
        <w:sym w:font="Symbol" w:char="F0B4"/>
      </w:r>
      <w:r w:rsidR="00AF2027" w:rsidRPr="00B04DC3">
        <w:rPr>
          <w:lang w:val="en-GB"/>
        </w:rPr>
        <w:t xml:space="preserve"> (101.3 – p</w:t>
      </w:r>
      <w:r w:rsidR="00AF2027" w:rsidRPr="00B04DC3">
        <w:rPr>
          <w:vertAlign w:val="subscript"/>
          <w:lang w:val="en-GB"/>
        </w:rPr>
        <w:t>b</w:t>
      </w:r>
      <w:r>
        <w:rPr>
          <w:lang w:val="en-GB"/>
        </w:rPr>
        <w:t>) + 311</w:t>
      </w:r>
      <w:r w:rsidR="005D01BC" w:rsidRPr="00B04DC3">
        <w:rPr>
          <w:lang w:val="en-GB"/>
        </w:rPr>
        <w:tab/>
      </w:r>
      <w:r w:rsidR="00AF2027" w:rsidRPr="00B04DC3">
        <w:rPr>
          <w:lang w:val="en-GB"/>
        </w:rPr>
        <w:t>(5)</w:t>
      </w:r>
    </w:p>
    <w:p w:rsidR="00AF2027" w:rsidRPr="00B04DC3" w:rsidRDefault="00AF2027" w:rsidP="00AF2027">
      <w:pPr>
        <w:pStyle w:val="i"/>
        <w:rPr>
          <w:lang w:val="en-GB"/>
        </w:rPr>
      </w:pPr>
      <w:r w:rsidRPr="00B04DC3">
        <w:rPr>
          <w:lang w:val="en-GB"/>
        </w:rPr>
        <w:t>Where:</w:t>
      </w:r>
    </w:p>
    <w:p w:rsidR="00AF2027" w:rsidRPr="00B04DC3" w:rsidRDefault="00AF2027" w:rsidP="00AF2027">
      <w:pPr>
        <w:pStyle w:val="i"/>
        <w:rPr>
          <w:lang w:val="en-GB"/>
        </w:rPr>
      </w:pPr>
      <w:r w:rsidRPr="00B04DC3">
        <w:rPr>
          <w:lang w:val="en-GB"/>
        </w:rPr>
        <w:t>T</w:t>
      </w:r>
      <w:r w:rsidRPr="00B04DC3">
        <w:rPr>
          <w:lang w:val="en-GB"/>
        </w:rPr>
        <w:tab/>
        <w:t>is the ambient air temperature, K</w:t>
      </w:r>
    </w:p>
    <w:p w:rsidR="00AF2027" w:rsidRPr="00B04DC3" w:rsidRDefault="00AF2027" w:rsidP="00AF2027">
      <w:pPr>
        <w:pStyle w:val="i"/>
        <w:rPr>
          <w:lang w:val="en-GB"/>
        </w:rPr>
      </w:pPr>
      <w:r w:rsidRPr="00B04DC3">
        <w:rPr>
          <w:lang w:val="en-GB"/>
        </w:rPr>
        <w:t>p</w:t>
      </w:r>
      <w:r w:rsidRPr="00B04DC3">
        <w:rPr>
          <w:vertAlign w:val="subscript"/>
          <w:lang w:val="en-GB"/>
        </w:rPr>
        <w:t>b</w:t>
      </w:r>
      <w:r w:rsidRPr="00B04DC3">
        <w:rPr>
          <w:lang w:val="en-GB"/>
        </w:rPr>
        <w:tab/>
        <w:t>is the atmospheric pressure, kPa</w:t>
      </w:r>
    </w:p>
    <w:p w:rsidR="00AF2027" w:rsidRPr="00B04DC3" w:rsidRDefault="00AF2027" w:rsidP="00AF2027">
      <w:pPr>
        <w:pStyle w:val="a"/>
        <w:rPr>
          <w:lang w:val="en-GB"/>
        </w:rPr>
      </w:pPr>
      <w:r w:rsidRPr="00B04DC3">
        <w:rPr>
          <w:lang w:val="en-GB"/>
        </w:rPr>
        <w:t>(c)</w:t>
      </w:r>
      <w:r w:rsidRPr="00B04DC3">
        <w:rPr>
          <w:lang w:val="en-GB"/>
        </w:rPr>
        <w:tab/>
        <w:t>All engine coolant temperature above 343 K (70 °C).</w:t>
      </w:r>
    </w:p>
    <w:p w:rsidR="00AF2027" w:rsidRPr="00B04DC3" w:rsidRDefault="00AF2027" w:rsidP="00AF2027">
      <w:pPr>
        <w:pStyle w:val="para"/>
        <w:rPr>
          <w:lang w:val="en-GB"/>
        </w:rPr>
      </w:pPr>
      <w:r w:rsidRPr="00B04DC3">
        <w:rPr>
          <w:lang w:val="en-GB"/>
        </w:rPr>
        <w:tab/>
        <w:t xml:space="preserve">The applicable ambient atmospheric pressure and temperature conditions are shown in </w:t>
      </w:r>
      <w:r w:rsidR="00313D4E" w:rsidRPr="00B04DC3">
        <w:rPr>
          <w:lang w:val="en-GB"/>
        </w:rPr>
        <w:t>Figure</w:t>
      </w:r>
      <w:r w:rsidRPr="00B04DC3">
        <w:rPr>
          <w:lang w:val="en-GB"/>
        </w:rPr>
        <w:t> 1.</w:t>
      </w:r>
    </w:p>
    <w:p w:rsidR="00AF2027" w:rsidRPr="00B04DC3" w:rsidRDefault="00AF2027" w:rsidP="00AF2027">
      <w:pPr>
        <w:pStyle w:val="para"/>
        <w:rPr>
          <w:lang w:val="en-GB"/>
        </w:rPr>
      </w:pPr>
      <w:r w:rsidRPr="00B04DC3">
        <w:rPr>
          <w:lang w:val="en-GB"/>
        </w:rPr>
        <w:tab/>
        <w:t>WNTE Atmospheric Pressure and Temperature Range</w:t>
      </w:r>
    </w:p>
    <w:p w:rsidR="00AF2027" w:rsidRPr="00B04DC3" w:rsidRDefault="00AF2027" w:rsidP="00AF2027">
      <w:pPr>
        <w:pStyle w:val="Heading1"/>
        <w:keepNext/>
      </w:pPr>
      <w:bookmarkStart w:id="1209" w:name="_Toc399940135"/>
      <w:bookmarkStart w:id="1210" w:name="_Toc423599718"/>
      <w:bookmarkStart w:id="1211" w:name="_Toc423611126"/>
      <w:r w:rsidRPr="00B04DC3">
        <w:t>Figure 1</w:t>
      </w:r>
      <w:bookmarkEnd w:id="1209"/>
      <w:bookmarkEnd w:id="1210"/>
      <w:bookmarkEnd w:id="1211"/>
    </w:p>
    <w:p w:rsidR="00AF2027" w:rsidRPr="00B04DC3" w:rsidRDefault="00AF2027" w:rsidP="00AF2027">
      <w:pPr>
        <w:pStyle w:val="Heading1"/>
        <w:keepNext/>
        <w:rPr>
          <w:b/>
        </w:rPr>
      </w:pPr>
      <w:bookmarkStart w:id="1212" w:name="_Toc399940136"/>
      <w:bookmarkStart w:id="1213" w:name="_Toc423599719"/>
      <w:bookmarkStart w:id="1214" w:name="_Toc423611127"/>
      <w:r w:rsidRPr="00B04DC3">
        <w:rPr>
          <w:b/>
        </w:rPr>
        <w:t>Illustration of atmospheric pressure and temperature conditions</w:t>
      </w:r>
      <w:bookmarkEnd w:id="1212"/>
      <w:bookmarkEnd w:id="1213"/>
      <w:bookmarkEnd w:id="1214"/>
    </w:p>
    <w:p w:rsidR="00AF2027" w:rsidRPr="00B04DC3" w:rsidRDefault="00A905B7" w:rsidP="006304AC">
      <w:pPr>
        <w:keepNext/>
        <w:keepLines/>
        <w:ind w:left="851"/>
        <w:jc w:val="center"/>
        <w:rPr>
          <w:bCs/>
        </w:rPr>
      </w:pPr>
      <w:r>
        <w:pict>
          <v:shape id="_x0000_i1459" type="#_x0000_t75" style="width:6in;height:295.8pt">
            <v:imagedata r:id="rId709" o:title=""/>
          </v:shape>
        </w:pict>
      </w:r>
    </w:p>
    <w:p w:rsidR="00AF2027" w:rsidRPr="00B04DC3" w:rsidRDefault="00AF2027" w:rsidP="00AF2027">
      <w:pPr>
        <w:pStyle w:val="para"/>
        <w:rPr>
          <w:lang w:val="en-GB"/>
        </w:rPr>
      </w:pPr>
      <w:bookmarkStart w:id="1215" w:name="_Toc101585435"/>
      <w:bookmarkStart w:id="1216" w:name="_Toc101585609"/>
      <w:bookmarkStart w:id="1217" w:name="_Toc101585931"/>
      <w:bookmarkStart w:id="1218" w:name="_Toc101674508"/>
      <w:bookmarkStart w:id="1219" w:name="_Toc101674598"/>
      <w:bookmarkStart w:id="1220" w:name="_Toc101674725"/>
      <w:bookmarkStart w:id="1221" w:name="_Toc211310300"/>
      <w:r w:rsidRPr="00B04DC3">
        <w:rPr>
          <w:lang w:val="en-GB"/>
        </w:rPr>
        <w:t>7.</w:t>
      </w:r>
      <w:r w:rsidRPr="00B04DC3">
        <w:rPr>
          <w:lang w:val="en-GB"/>
        </w:rPr>
        <w:tab/>
      </w:r>
      <w:r w:rsidRPr="00B04DC3">
        <w:rPr>
          <w:lang w:val="en-GB"/>
        </w:rPr>
        <w:tab/>
      </w:r>
      <w:bookmarkEnd w:id="1215"/>
      <w:bookmarkEnd w:id="1216"/>
      <w:bookmarkEnd w:id="1217"/>
      <w:bookmarkEnd w:id="1218"/>
      <w:bookmarkEnd w:id="1219"/>
      <w:bookmarkEnd w:id="1220"/>
      <w:bookmarkEnd w:id="1221"/>
      <w:r w:rsidRPr="00B04DC3">
        <w:rPr>
          <w:lang w:val="en-GB"/>
        </w:rPr>
        <w:t>World harmonized Not-To-Exceed methodology</w:t>
      </w:r>
    </w:p>
    <w:p w:rsidR="00AF2027" w:rsidRPr="00B04DC3" w:rsidRDefault="00AF2027" w:rsidP="00AF2027">
      <w:pPr>
        <w:pStyle w:val="para"/>
        <w:rPr>
          <w:lang w:val="en-GB"/>
        </w:rPr>
      </w:pPr>
      <w:bookmarkStart w:id="1222" w:name="_Toc101585436"/>
      <w:bookmarkStart w:id="1223" w:name="_Toc101585610"/>
      <w:bookmarkStart w:id="1224" w:name="_Toc101585932"/>
      <w:bookmarkStart w:id="1225" w:name="_Toc101674509"/>
      <w:bookmarkStart w:id="1226" w:name="_Toc101674599"/>
      <w:bookmarkStart w:id="1227" w:name="_Toc101674726"/>
      <w:bookmarkStart w:id="1228" w:name="_Toc168287142"/>
      <w:bookmarkStart w:id="1229" w:name="_Toc211310301"/>
      <w:r w:rsidRPr="00B04DC3">
        <w:rPr>
          <w:lang w:val="en-GB"/>
        </w:rPr>
        <w:t>7.1.</w:t>
      </w:r>
      <w:bookmarkEnd w:id="1222"/>
      <w:bookmarkEnd w:id="1223"/>
      <w:bookmarkEnd w:id="1224"/>
      <w:bookmarkEnd w:id="1225"/>
      <w:bookmarkEnd w:id="1226"/>
      <w:bookmarkEnd w:id="1227"/>
      <w:r w:rsidRPr="00B04DC3">
        <w:rPr>
          <w:lang w:val="en-GB"/>
        </w:rPr>
        <w:tab/>
        <w:t>World-harmonized Not-To-Exceed control area</w:t>
      </w:r>
      <w:bookmarkEnd w:id="1228"/>
      <w:bookmarkEnd w:id="1229"/>
    </w:p>
    <w:p w:rsidR="00AF2027" w:rsidRPr="00B04DC3" w:rsidRDefault="00AF2027" w:rsidP="00AF2027">
      <w:pPr>
        <w:pStyle w:val="para"/>
        <w:rPr>
          <w:strike/>
          <w:lang w:val="en-GB"/>
        </w:rPr>
      </w:pPr>
      <w:r w:rsidRPr="00B04DC3">
        <w:rPr>
          <w:lang w:val="en-GB"/>
        </w:rPr>
        <w:tab/>
        <w:t xml:space="preserve">The WNTE control area consists of the engine speed and load points defined in paragraphs 7.1.1. through 7.1.6. </w:t>
      </w:r>
      <w:r w:rsidR="00BB3B29">
        <w:rPr>
          <w:lang w:val="en-GB"/>
        </w:rPr>
        <w:t xml:space="preserve">below, </w:t>
      </w:r>
      <w:r w:rsidRPr="00B04DC3">
        <w:rPr>
          <w:lang w:val="en-GB"/>
        </w:rPr>
        <w:t>Figure 2 is an example illustration of the WNTE control area.</w:t>
      </w:r>
    </w:p>
    <w:p w:rsidR="00AF2027" w:rsidRPr="00B04DC3" w:rsidRDefault="00AF2027" w:rsidP="00AF2027">
      <w:pPr>
        <w:pStyle w:val="para"/>
        <w:rPr>
          <w:lang w:val="en-GB"/>
        </w:rPr>
      </w:pPr>
      <w:r w:rsidRPr="00B04DC3">
        <w:rPr>
          <w:lang w:val="en-GB"/>
        </w:rPr>
        <w:t>7.1.1.</w:t>
      </w:r>
      <w:r w:rsidRPr="00B04DC3">
        <w:rPr>
          <w:lang w:val="en-GB"/>
        </w:rPr>
        <w:tab/>
        <w:t>Engine speed range</w:t>
      </w:r>
    </w:p>
    <w:p w:rsidR="00AF2027" w:rsidRPr="00B04DC3" w:rsidRDefault="00AF2027" w:rsidP="00AF2027">
      <w:pPr>
        <w:pStyle w:val="para"/>
        <w:rPr>
          <w:lang w:val="en-GB"/>
        </w:rPr>
      </w:pPr>
      <w:r w:rsidRPr="00B04DC3">
        <w:rPr>
          <w:lang w:val="en-GB"/>
        </w:rPr>
        <w:tab/>
        <w:t>The WNTE control area shall include all operating speeds between the 30th percentile cumulative speed distribution over the WHTC test cycle, including idle, (n</w:t>
      </w:r>
      <w:r w:rsidRPr="00B04DC3">
        <w:rPr>
          <w:vertAlign w:val="subscript"/>
          <w:lang w:val="en-GB"/>
        </w:rPr>
        <w:t>30</w:t>
      </w:r>
      <w:r w:rsidRPr="00B04DC3">
        <w:rPr>
          <w:lang w:val="en-GB"/>
        </w:rPr>
        <w:t>) and the highest speed where 70 per cent of the maximum power occurs (n</w:t>
      </w:r>
      <w:r w:rsidRPr="00B04DC3">
        <w:rPr>
          <w:vertAlign w:val="subscript"/>
          <w:lang w:val="en-GB"/>
        </w:rPr>
        <w:t>hi</w:t>
      </w:r>
      <w:r w:rsidRPr="00B04DC3">
        <w:rPr>
          <w:lang w:val="en-GB"/>
        </w:rPr>
        <w:t>). Figure 3 is an example of the WNTE cumulative speed frequency distribution for a specific engine.</w:t>
      </w:r>
    </w:p>
    <w:p w:rsidR="00AF2027" w:rsidRPr="00B04DC3" w:rsidRDefault="00AF2027" w:rsidP="00AF2027">
      <w:pPr>
        <w:pStyle w:val="para"/>
        <w:rPr>
          <w:lang w:val="en-GB"/>
        </w:rPr>
      </w:pPr>
      <w:r w:rsidRPr="00B04DC3">
        <w:rPr>
          <w:lang w:val="en-GB"/>
        </w:rPr>
        <w:t>7.1.2.</w:t>
      </w:r>
      <w:r w:rsidRPr="00B04DC3">
        <w:rPr>
          <w:lang w:val="en-GB"/>
        </w:rPr>
        <w:tab/>
        <w:t>Engine torque range</w:t>
      </w:r>
    </w:p>
    <w:p w:rsidR="00AF2027" w:rsidRPr="00B04DC3" w:rsidRDefault="00AF2027" w:rsidP="00AF2027">
      <w:pPr>
        <w:pStyle w:val="para"/>
        <w:rPr>
          <w:lang w:val="en-GB"/>
        </w:rPr>
      </w:pPr>
      <w:r w:rsidRPr="00B04DC3">
        <w:rPr>
          <w:lang w:val="en-GB"/>
        </w:rPr>
        <w:tab/>
        <w:t>The WNTE control area shall include all engine load points with a torque value greater than or equal to 30 per cent of the maximum torque value produced by the engine.</w:t>
      </w:r>
    </w:p>
    <w:p w:rsidR="00AF2027" w:rsidRPr="00B04DC3" w:rsidRDefault="00AF2027" w:rsidP="00AF2027">
      <w:pPr>
        <w:pStyle w:val="para"/>
        <w:rPr>
          <w:lang w:val="en-GB"/>
        </w:rPr>
      </w:pPr>
      <w:r w:rsidRPr="00B04DC3">
        <w:rPr>
          <w:lang w:val="en-GB"/>
        </w:rPr>
        <w:t>7.1.3.</w:t>
      </w:r>
      <w:r w:rsidRPr="00B04DC3">
        <w:rPr>
          <w:lang w:val="en-GB"/>
        </w:rPr>
        <w:tab/>
        <w:t>Engine power range</w:t>
      </w:r>
    </w:p>
    <w:p w:rsidR="00AF2027" w:rsidRPr="00B04DC3" w:rsidRDefault="00AF2027" w:rsidP="00AF2027">
      <w:pPr>
        <w:pStyle w:val="para"/>
        <w:rPr>
          <w:lang w:val="en-GB"/>
        </w:rPr>
      </w:pPr>
      <w:r w:rsidRPr="00B04DC3">
        <w:rPr>
          <w:lang w:val="en-GB"/>
        </w:rPr>
        <w:tab/>
        <w:t>Notwithstanding the provisions of paragraphs 7.1.1. and 7.1.2.</w:t>
      </w:r>
      <w:r w:rsidR="00BB3B29">
        <w:rPr>
          <w:lang w:val="en-GB"/>
        </w:rPr>
        <w:t xml:space="preserve"> above</w:t>
      </w:r>
      <w:r w:rsidRPr="00B04DC3">
        <w:rPr>
          <w:lang w:val="en-GB"/>
        </w:rPr>
        <w:t xml:space="preserve">, speed and load points below 30 per cent of the maximum power value produced by the engine shall be excluded from the WNTE </w:t>
      </w:r>
      <w:r w:rsidR="00BB3B29">
        <w:rPr>
          <w:lang w:val="en-GB"/>
        </w:rPr>
        <w:t>c</w:t>
      </w:r>
      <w:r w:rsidR="00BB3B29" w:rsidRPr="00B04DC3">
        <w:rPr>
          <w:lang w:val="en-GB"/>
        </w:rPr>
        <w:t xml:space="preserve">ontrol </w:t>
      </w:r>
      <w:r w:rsidR="00BB3B29">
        <w:rPr>
          <w:lang w:val="en-GB"/>
        </w:rPr>
        <w:t>a</w:t>
      </w:r>
      <w:r w:rsidR="00BB3B29" w:rsidRPr="00B04DC3">
        <w:rPr>
          <w:lang w:val="en-GB"/>
        </w:rPr>
        <w:t xml:space="preserve">rea </w:t>
      </w:r>
      <w:r w:rsidRPr="00B04DC3">
        <w:rPr>
          <w:lang w:val="en-GB"/>
        </w:rPr>
        <w:t>for all emissions.</w:t>
      </w:r>
    </w:p>
    <w:p w:rsidR="00AF2027" w:rsidRPr="00B04DC3" w:rsidRDefault="00AF2027" w:rsidP="00AF2027">
      <w:pPr>
        <w:pStyle w:val="para"/>
        <w:rPr>
          <w:lang w:val="en-GB"/>
        </w:rPr>
      </w:pPr>
      <w:r w:rsidRPr="00B04DC3">
        <w:rPr>
          <w:lang w:val="en-GB"/>
        </w:rPr>
        <w:br w:type="page"/>
        <w:t>7.1.4.</w:t>
      </w:r>
      <w:r w:rsidRPr="00B04DC3">
        <w:rPr>
          <w:lang w:val="en-GB"/>
        </w:rPr>
        <w:tab/>
        <w:t>Application of engine family concept</w:t>
      </w:r>
    </w:p>
    <w:p w:rsidR="00AF2027" w:rsidRPr="00B04DC3" w:rsidRDefault="00AF2027" w:rsidP="00AF2027">
      <w:pPr>
        <w:pStyle w:val="para"/>
        <w:rPr>
          <w:lang w:val="en-GB"/>
        </w:rPr>
      </w:pPr>
      <w:r w:rsidRPr="00B04DC3">
        <w:rPr>
          <w:lang w:val="en-GB"/>
        </w:rPr>
        <w:tab/>
        <w:t>In principal, any engine within a family with a unique torque/power curve will have its individual WNTE control area. For in-use testing, the individual WNTE control area of the respective engine shall apply. For type approval (certification) testing under the engine family concept of the WHDC gtr the manufacturer may optionally apply a single WNTE control area for the engine family under the following provisions:</w:t>
      </w:r>
    </w:p>
    <w:p w:rsidR="00AF2027" w:rsidRPr="00B04DC3" w:rsidRDefault="00AF2027" w:rsidP="00AF2027">
      <w:pPr>
        <w:pStyle w:val="a"/>
        <w:rPr>
          <w:lang w:val="en-GB"/>
        </w:rPr>
      </w:pPr>
      <w:r w:rsidRPr="00B04DC3">
        <w:rPr>
          <w:lang w:val="en-GB"/>
        </w:rPr>
        <w:t>(a)</w:t>
      </w:r>
      <w:r w:rsidRPr="00B04DC3">
        <w:rPr>
          <w:lang w:val="en-GB"/>
        </w:rPr>
        <w:tab/>
        <w:t>A single engine speed range of the WNTE control area may be used; if the measured engine speeds n</w:t>
      </w:r>
      <w:r w:rsidRPr="00B04DC3">
        <w:rPr>
          <w:vertAlign w:val="subscript"/>
          <w:lang w:val="en-GB"/>
        </w:rPr>
        <w:t>30</w:t>
      </w:r>
      <w:r w:rsidRPr="00B04DC3">
        <w:rPr>
          <w:lang w:val="en-GB"/>
        </w:rPr>
        <w:t xml:space="preserve"> and n</w:t>
      </w:r>
      <w:r w:rsidRPr="00B04DC3">
        <w:rPr>
          <w:vertAlign w:val="subscript"/>
          <w:lang w:val="en-GB"/>
        </w:rPr>
        <w:t>hi</w:t>
      </w:r>
      <w:r w:rsidRPr="00B04DC3">
        <w:rPr>
          <w:lang w:val="en-GB"/>
        </w:rPr>
        <w:t xml:space="preserve"> are within ±3 per cent of the engine speeds as declared by the manufacturer. If the tolerance is exceeded for any of the engine speeds, the measured engine speeds shall be used for determining the WNTE control area;</w:t>
      </w:r>
    </w:p>
    <w:p w:rsidR="00AF2027" w:rsidRPr="00B04DC3" w:rsidRDefault="00AF2027" w:rsidP="00AF2027">
      <w:pPr>
        <w:pStyle w:val="a"/>
        <w:rPr>
          <w:lang w:val="en-GB"/>
        </w:rPr>
      </w:pPr>
      <w:r w:rsidRPr="00B04DC3">
        <w:rPr>
          <w:lang w:val="en-GB"/>
        </w:rPr>
        <w:t>(b)</w:t>
      </w:r>
      <w:r w:rsidRPr="00B04DC3">
        <w:rPr>
          <w:lang w:val="en-GB"/>
        </w:rPr>
        <w:tab/>
        <w:t>A single engine torque/power range of the WNTE control area may be used, if it covers the full range from the highest to the lowest rating of the family. Alternatively, grouping of engine ratings into different WNTE control areas is permitted.</w:t>
      </w:r>
    </w:p>
    <w:p w:rsidR="00AF2027" w:rsidRPr="00B04DC3" w:rsidRDefault="00AF2027" w:rsidP="00AF2027">
      <w:pPr>
        <w:pStyle w:val="Heading1"/>
      </w:pPr>
      <w:bookmarkStart w:id="1230" w:name="_Toc399940137"/>
      <w:bookmarkStart w:id="1231" w:name="_Toc423599720"/>
      <w:bookmarkStart w:id="1232" w:name="_Toc423611128"/>
      <w:r w:rsidRPr="00B04DC3">
        <w:t>Figure 2</w:t>
      </w:r>
      <w:bookmarkEnd w:id="1230"/>
      <w:bookmarkEnd w:id="1231"/>
      <w:bookmarkEnd w:id="1232"/>
    </w:p>
    <w:p w:rsidR="00AF2027" w:rsidRPr="00B04DC3" w:rsidRDefault="00AF2027" w:rsidP="00AF2027">
      <w:pPr>
        <w:pStyle w:val="Heading1"/>
        <w:rPr>
          <w:b/>
        </w:rPr>
      </w:pPr>
      <w:bookmarkStart w:id="1233" w:name="_Toc399940138"/>
      <w:bookmarkStart w:id="1234" w:name="_Toc423599721"/>
      <w:bookmarkStart w:id="1235" w:name="_Toc423611129"/>
      <w:r w:rsidRPr="00B04DC3">
        <w:rPr>
          <w:b/>
        </w:rPr>
        <w:t>Example WNTE control area</w:t>
      </w:r>
      <w:bookmarkEnd w:id="1233"/>
      <w:bookmarkEnd w:id="1234"/>
      <w:bookmarkEnd w:id="1235"/>
    </w:p>
    <w:p w:rsidR="00AF2027" w:rsidRPr="00B04DC3" w:rsidRDefault="00A905B7" w:rsidP="00FD4B63">
      <w:pPr>
        <w:pStyle w:val="a"/>
        <w:ind w:left="993" w:firstLine="0"/>
        <w:rPr>
          <w:bCs/>
          <w:lang w:val="en-GB"/>
        </w:rPr>
      </w:pPr>
      <w:r>
        <w:rPr>
          <w:lang w:val="en-GB"/>
        </w:rPr>
        <w:pict>
          <v:shape id="_x0000_i1460" type="#_x0000_t75" style="width:418.2pt;height:262.2pt">
            <v:imagedata r:id="rId710" o:title=""/>
          </v:shape>
        </w:pict>
      </w:r>
    </w:p>
    <w:p w:rsidR="00AF2027" w:rsidRPr="00B04DC3" w:rsidRDefault="00AF2027" w:rsidP="00AF2027">
      <w:pPr>
        <w:pStyle w:val="Heading1"/>
        <w:keepNext/>
        <w:spacing w:before="240"/>
      </w:pPr>
      <w:bookmarkStart w:id="1236" w:name="_Toc399940139"/>
      <w:bookmarkStart w:id="1237" w:name="_Toc423599722"/>
      <w:bookmarkStart w:id="1238" w:name="_Toc423611130"/>
      <w:r w:rsidRPr="00B04DC3">
        <w:t>Figure 3</w:t>
      </w:r>
      <w:bookmarkEnd w:id="1236"/>
      <w:bookmarkEnd w:id="1237"/>
      <w:bookmarkEnd w:id="1238"/>
    </w:p>
    <w:p w:rsidR="00AF2027" w:rsidRPr="00B04DC3" w:rsidRDefault="00AF2027" w:rsidP="00AF2027">
      <w:pPr>
        <w:pStyle w:val="Heading1"/>
        <w:keepNext/>
        <w:rPr>
          <w:b/>
        </w:rPr>
      </w:pPr>
      <w:bookmarkStart w:id="1239" w:name="_Toc399940140"/>
      <w:bookmarkStart w:id="1240" w:name="_Toc423599723"/>
      <w:bookmarkStart w:id="1241" w:name="_Toc423611131"/>
      <w:r w:rsidRPr="00B04DC3">
        <w:rPr>
          <w:b/>
        </w:rPr>
        <w:t>Example of WNTE cumulative speed frequency distribution</w:t>
      </w:r>
      <w:bookmarkEnd w:id="1239"/>
      <w:bookmarkEnd w:id="1240"/>
      <w:bookmarkEnd w:id="1241"/>
    </w:p>
    <w:p w:rsidR="00AF2027" w:rsidRPr="00B04DC3" w:rsidRDefault="00A905B7" w:rsidP="00FD4B63">
      <w:pPr>
        <w:keepNext/>
        <w:keepLines/>
        <w:ind w:left="851"/>
        <w:jc w:val="center"/>
        <w:rPr>
          <w:bCs/>
        </w:rPr>
      </w:pPr>
      <w:r>
        <w:pict>
          <v:shape id="_x0000_i1461" type="#_x0000_t75" style="width:431.4pt;height:271.2pt">
            <v:imagedata r:id="rId711" o:title=""/>
          </v:shape>
        </w:pict>
      </w:r>
    </w:p>
    <w:p w:rsidR="00AF2027" w:rsidRPr="00B04DC3" w:rsidRDefault="00AF2027" w:rsidP="00AF2027">
      <w:pPr>
        <w:pStyle w:val="para"/>
        <w:spacing w:before="240"/>
        <w:rPr>
          <w:lang w:val="en-GB"/>
        </w:rPr>
      </w:pPr>
      <w:bookmarkStart w:id="1242" w:name="_Toc101674510"/>
      <w:bookmarkStart w:id="1243" w:name="_Toc101674600"/>
      <w:r w:rsidRPr="00B04DC3">
        <w:rPr>
          <w:lang w:val="en-GB"/>
        </w:rPr>
        <w:t>7.1.5.</w:t>
      </w:r>
      <w:r w:rsidRPr="00B04DC3">
        <w:rPr>
          <w:lang w:val="en-GB"/>
        </w:rPr>
        <w:tab/>
        <w:t>Compliance exclusion from certain WNTE operating points</w:t>
      </w:r>
      <w:bookmarkEnd w:id="1242"/>
      <w:bookmarkEnd w:id="1243"/>
    </w:p>
    <w:p w:rsidR="00AF2027" w:rsidRPr="00B04DC3" w:rsidRDefault="00AF2027" w:rsidP="00AF2027">
      <w:pPr>
        <w:pStyle w:val="para"/>
        <w:rPr>
          <w:lang w:val="en-GB"/>
        </w:rPr>
      </w:pPr>
      <w:r w:rsidRPr="00B04DC3">
        <w:rPr>
          <w:lang w:val="en-GB"/>
        </w:rPr>
        <w:tab/>
        <w:t xml:space="preserve">The manufacturer may request that the </w:t>
      </w:r>
      <w:r w:rsidR="009E6E1D">
        <w:rPr>
          <w:lang w:val="en-GB"/>
        </w:rPr>
        <w:t>Type A</w:t>
      </w:r>
      <w:r w:rsidR="009E6E1D" w:rsidRPr="00B04DC3">
        <w:rPr>
          <w:lang w:val="en-GB"/>
        </w:rPr>
        <w:t xml:space="preserve">pproval </w:t>
      </w:r>
      <w:r w:rsidR="009E6E1D">
        <w:rPr>
          <w:lang w:val="en-GB"/>
        </w:rPr>
        <w:t>A</w:t>
      </w:r>
      <w:r w:rsidR="009E6E1D" w:rsidRPr="00B04DC3">
        <w:rPr>
          <w:lang w:val="en-GB"/>
        </w:rPr>
        <w:t xml:space="preserve">uthority </w:t>
      </w:r>
      <w:r w:rsidRPr="00B04DC3">
        <w:rPr>
          <w:lang w:val="en-GB"/>
        </w:rPr>
        <w:t>excludes operating points from the WNTE control area defined in paragraphs 7.1.1</w:t>
      </w:r>
      <w:r w:rsidR="00BB3B29">
        <w:rPr>
          <w:lang w:val="en-GB"/>
        </w:rPr>
        <w:t>.</w:t>
      </w:r>
      <w:r w:rsidRPr="00B04DC3">
        <w:rPr>
          <w:lang w:val="en-GB"/>
        </w:rPr>
        <w:t xml:space="preserve"> through 7.1.4</w:t>
      </w:r>
      <w:r w:rsidR="00BB3B29">
        <w:rPr>
          <w:lang w:val="en-GB"/>
        </w:rPr>
        <w:t>. above</w:t>
      </w:r>
      <w:r w:rsidRPr="00B04DC3">
        <w:rPr>
          <w:lang w:val="en-GB"/>
        </w:rPr>
        <w:t xml:space="preserve"> during the certification/type approval. The </w:t>
      </w:r>
      <w:r w:rsidR="009E6E1D">
        <w:rPr>
          <w:lang w:val="en-GB"/>
        </w:rPr>
        <w:t>Type A</w:t>
      </w:r>
      <w:r w:rsidR="009E6E1D" w:rsidRPr="00B04DC3">
        <w:rPr>
          <w:lang w:val="en-GB"/>
        </w:rPr>
        <w:t xml:space="preserve">pproval </w:t>
      </w:r>
      <w:r w:rsidR="009E6E1D">
        <w:rPr>
          <w:lang w:val="en-GB"/>
        </w:rPr>
        <w:t>A</w:t>
      </w:r>
      <w:r w:rsidR="009E6E1D" w:rsidRPr="00B04DC3">
        <w:rPr>
          <w:lang w:val="en-GB"/>
        </w:rPr>
        <w:t xml:space="preserve">uthority </w:t>
      </w:r>
      <w:r w:rsidRPr="00B04DC3">
        <w:rPr>
          <w:lang w:val="en-GB"/>
        </w:rPr>
        <w:t>may grant this exclusion if the manufacturer can demonstrate that the engine is never capable of operating at such points when used in any vehicle combination.</w:t>
      </w:r>
    </w:p>
    <w:p w:rsidR="00AF2027" w:rsidRPr="00B04DC3" w:rsidRDefault="00AF2027" w:rsidP="00AF2027">
      <w:pPr>
        <w:pStyle w:val="para"/>
        <w:rPr>
          <w:lang w:val="en-GB"/>
        </w:rPr>
      </w:pPr>
      <w:bookmarkStart w:id="1244" w:name="_Toc101585437"/>
      <w:bookmarkStart w:id="1245" w:name="_Toc101585611"/>
      <w:bookmarkStart w:id="1246" w:name="_Toc101585933"/>
      <w:bookmarkStart w:id="1247" w:name="_Toc101674511"/>
      <w:bookmarkStart w:id="1248" w:name="_Toc101674601"/>
      <w:bookmarkStart w:id="1249" w:name="_Toc101674727"/>
      <w:bookmarkStart w:id="1250" w:name="_Toc168287143"/>
      <w:bookmarkStart w:id="1251" w:name="_Toc211310302"/>
      <w:r w:rsidRPr="00B04DC3">
        <w:rPr>
          <w:lang w:val="en-GB"/>
        </w:rPr>
        <w:t>7.2.</w:t>
      </w:r>
      <w:r w:rsidRPr="00B04DC3">
        <w:rPr>
          <w:lang w:val="en-GB"/>
        </w:rPr>
        <w:tab/>
        <w:t>Minimum World-harmonized Not-To-Exceed event duration and data sampling frequency</w:t>
      </w:r>
      <w:bookmarkEnd w:id="1244"/>
      <w:bookmarkEnd w:id="1245"/>
      <w:bookmarkEnd w:id="1246"/>
      <w:bookmarkEnd w:id="1247"/>
      <w:bookmarkEnd w:id="1248"/>
      <w:bookmarkEnd w:id="1249"/>
      <w:bookmarkEnd w:id="1250"/>
      <w:bookmarkEnd w:id="1251"/>
    </w:p>
    <w:p w:rsidR="00AF2027" w:rsidRPr="00FD4B63" w:rsidRDefault="00AF2027" w:rsidP="00AF2027">
      <w:pPr>
        <w:pStyle w:val="para"/>
        <w:rPr>
          <w:spacing w:val="-2"/>
          <w:lang w:val="en-GB"/>
        </w:rPr>
      </w:pPr>
      <w:r w:rsidRPr="00FD4B63">
        <w:rPr>
          <w:bCs/>
          <w:spacing w:val="-2"/>
          <w:lang w:val="en-GB"/>
        </w:rPr>
        <w:t>7.2.1.</w:t>
      </w:r>
      <w:r w:rsidRPr="00FD4B63">
        <w:rPr>
          <w:bCs/>
          <w:spacing w:val="-2"/>
          <w:lang w:val="en-GB"/>
        </w:rPr>
        <w:tab/>
      </w:r>
      <w:r w:rsidRPr="00FD4B63">
        <w:rPr>
          <w:spacing w:val="-2"/>
          <w:lang w:val="en-GB"/>
        </w:rPr>
        <w:t>To determine compliance with the WNTE emissions limits specified paragraph 5.2.</w:t>
      </w:r>
      <w:r w:rsidR="00BB3B29" w:rsidRPr="00FD4B63">
        <w:rPr>
          <w:spacing w:val="-2"/>
          <w:lang w:val="en-GB"/>
        </w:rPr>
        <w:t xml:space="preserve"> of this annex</w:t>
      </w:r>
      <w:r w:rsidRPr="00FD4B63">
        <w:rPr>
          <w:spacing w:val="-2"/>
          <w:lang w:val="en-GB"/>
        </w:rPr>
        <w:t>, the engine shall be operated within the WNTE control area defined in paragraph 7.1.</w:t>
      </w:r>
      <w:r w:rsidR="00BB3B29" w:rsidRPr="00FD4B63">
        <w:rPr>
          <w:spacing w:val="-2"/>
          <w:lang w:val="en-GB"/>
        </w:rPr>
        <w:t xml:space="preserve"> of this annex</w:t>
      </w:r>
      <w:r w:rsidRPr="00FD4B63">
        <w:rPr>
          <w:spacing w:val="-2"/>
          <w:lang w:val="en-GB"/>
        </w:rPr>
        <w:t xml:space="preserve"> and its emissions shall be measured and integrated over a minimum period of 30 seconds. A WNTE event is defined as a single set of integrated emissions over the period of time. For example, if the engine operates for 65 consecutive seconds within the WNTE control area and ambient conditions this would constitute a single WNTE event and the emissions would be averaged over the full 65 seconds period. In the case of laboratory testing, the integrating period of time of 7.5 seconds shall apply.</w:t>
      </w:r>
    </w:p>
    <w:p w:rsidR="00AF2027" w:rsidRPr="00B04DC3" w:rsidRDefault="00AF2027" w:rsidP="00AF2027">
      <w:pPr>
        <w:pStyle w:val="para"/>
        <w:rPr>
          <w:lang w:val="en-GB"/>
        </w:rPr>
      </w:pPr>
      <w:r w:rsidRPr="00B04DC3">
        <w:rPr>
          <w:bCs/>
          <w:lang w:val="en-GB"/>
        </w:rPr>
        <w:t>7.2.2.</w:t>
      </w:r>
      <w:r w:rsidRPr="00B04DC3">
        <w:rPr>
          <w:bCs/>
          <w:lang w:val="en-GB"/>
        </w:rPr>
        <w:tab/>
      </w:r>
      <w:r w:rsidRPr="00B04DC3">
        <w:rPr>
          <w:lang w:val="en-GB"/>
        </w:rPr>
        <w:t>For engines equipped with emission controls that include periodic regeneration events, if a regeneration event occurs during the WNTE test, then the averaging period shall be at least as long as the time between the events multiplied by the number of full regeneration events within the sampling period. This requirement only applies for engines that send an electronic signal indicating the start of the regeneration event.</w:t>
      </w:r>
    </w:p>
    <w:p w:rsidR="00AF2027" w:rsidRPr="00B04DC3" w:rsidRDefault="00512988" w:rsidP="00AF2027">
      <w:pPr>
        <w:pStyle w:val="para"/>
        <w:rPr>
          <w:strike/>
          <w:lang w:val="en-GB"/>
        </w:rPr>
      </w:pPr>
      <w:r w:rsidRPr="00B04DC3">
        <w:rPr>
          <w:lang w:val="en-GB"/>
        </w:rPr>
        <w:br w:type="page"/>
      </w:r>
      <w:r w:rsidR="00AF2027" w:rsidRPr="00B04DC3">
        <w:rPr>
          <w:lang w:val="en-GB"/>
        </w:rPr>
        <w:t>7.2.3.</w:t>
      </w:r>
      <w:r w:rsidR="00AF2027" w:rsidRPr="00B04DC3">
        <w:rPr>
          <w:lang w:val="en-GB"/>
        </w:rPr>
        <w:tab/>
        <w:t>A WNTE event is a sequence of data collected at the frequency of at least 1 Hz during engine operation in the WNTE control area for the minimum event duration or longer. The measured emission data shall be averaged over the duration of each WNTE event.</w:t>
      </w:r>
    </w:p>
    <w:p w:rsidR="00AF2027" w:rsidRPr="00B04DC3" w:rsidRDefault="00AF2027" w:rsidP="00AF2027">
      <w:pPr>
        <w:pStyle w:val="para"/>
        <w:rPr>
          <w:lang w:val="en-GB"/>
        </w:rPr>
      </w:pPr>
      <w:bookmarkStart w:id="1252" w:name="_Toc179009873"/>
      <w:bookmarkStart w:id="1253" w:name="_Toc211310303"/>
      <w:r w:rsidRPr="00B04DC3">
        <w:rPr>
          <w:lang w:val="en-GB"/>
        </w:rPr>
        <w:t>7.3.</w:t>
      </w:r>
      <w:r w:rsidRPr="00B04DC3">
        <w:rPr>
          <w:lang w:val="en-GB"/>
        </w:rPr>
        <w:tab/>
        <w:t>W</w:t>
      </w:r>
      <w:r w:rsidR="00BB3B29">
        <w:rPr>
          <w:lang w:val="en-GB"/>
        </w:rPr>
        <w:t>NTE</w:t>
      </w:r>
      <w:r w:rsidRPr="00B04DC3">
        <w:rPr>
          <w:lang w:val="en-GB"/>
        </w:rPr>
        <w:t xml:space="preserve"> in-use testing</w:t>
      </w:r>
      <w:bookmarkEnd w:id="1252"/>
      <w:bookmarkEnd w:id="1253"/>
    </w:p>
    <w:p w:rsidR="00AF2027" w:rsidRPr="00B04DC3" w:rsidRDefault="00AF2027" w:rsidP="00AF2027">
      <w:pPr>
        <w:pStyle w:val="para"/>
        <w:rPr>
          <w:lang w:val="en-GB"/>
        </w:rPr>
      </w:pPr>
      <w:r w:rsidRPr="00B04DC3">
        <w:rPr>
          <w:lang w:val="en-GB"/>
        </w:rPr>
        <w:tab/>
        <w:t>Where the provisions of this annex are used</w:t>
      </w:r>
      <w:r w:rsidRPr="00B04DC3">
        <w:rPr>
          <w:rFonts w:ascii="Arial" w:hAnsi="Arial" w:cs="Arial"/>
          <w:lang w:val="en-GB"/>
        </w:rPr>
        <w:t xml:space="preserve"> </w:t>
      </w:r>
      <w:r w:rsidRPr="00B04DC3">
        <w:rPr>
          <w:lang w:val="en-GB"/>
        </w:rPr>
        <w:t xml:space="preserve">as basis for in-use testing, the engine shall be operated under actual in-use conditions. The test results out of the total data set that comply with the provisions of paragraphs 6., 7.1. and 7.2. </w:t>
      </w:r>
      <w:r w:rsidR="00BB3B29">
        <w:rPr>
          <w:lang w:val="en-GB"/>
        </w:rPr>
        <w:t xml:space="preserve">above </w:t>
      </w:r>
      <w:r w:rsidRPr="00B04DC3">
        <w:rPr>
          <w:lang w:val="en-GB"/>
        </w:rPr>
        <w:t>shall be used for determining compliance with the WNTE emission limits specified in paragraph 5.2.</w:t>
      </w:r>
      <w:r w:rsidR="00BB3B29" w:rsidRPr="00BB3B29">
        <w:rPr>
          <w:lang w:val="en-GB"/>
        </w:rPr>
        <w:t xml:space="preserve"> </w:t>
      </w:r>
      <w:r w:rsidR="00BB3B29">
        <w:rPr>
          <w:lang w:val="en-GB"/>
        </w:rPr>
        <w:t>of this annex.</w:t>
      </w:r>
      <w:r w:rsidRPr="00B04DC3">
        <w:rPr>
          <w:lang w:val="en-GB"/>
        </w:rPr>
        <w:t xml:space="preserve"> It is understood that emission during some WNTE events may not be expected to comply with the WNTE emission limits. Therefore, statistical methods should be defined and implemented for determining compliance that are consistent with paragraphs</w:t>
      </w:r>
      <w:r w:rsidR="00FD4B63">
        <w:rPr>
          <w:lang w:val="en-GB"/>
        </w:rPr>
        <w:t> </w:t>
      </w:r>
      <w:r w:rsidRPr="00B04DC3">
        <w:rPr>
          <w:lang w:val="en-GB"/>
        </w:rPr>
        <w:t>7.2. and 7.3.</w:t>
      </w:r>
      <w:r w:rsidR="00BB3B29">
        <w:rPr>
          <w:lang w:val="en-GB"/>
        </w:rPr>
        <w:t xml:space="preserve"> above.</w:t>
      </w:r>
    </w:p>
    <w:p w:rsidR="00AF2027" w:rsidRPr="00B04DC3" w:rsidRDefault="00AF2027" w:rsidP="00AF2027">
      <w:pPr>
        <w:pStyle w:val="para"/>
        <w:rPr>
          <w:lang w:val="en-GB"/>
        </w:rPr>
      </w:pPr>
      <w:bookmarkStart w:id="1254" w:name="_Toc179009874"/>
      <w:bookmarkStart w:id="1255" w:name="_Toc211310304"/>
      <w:r w:rsidRPr="00B04DC3">
        <w:rPr>
          <w:lang w:val="en-GB"/>
        </w:rPr>
        <w:t>7.4.</w:t>
      </w:r>
      <w:r w:rsidRPr="00B04DC3">
        <w:rPr>
          <w:lang w:val="en-GB"/>
        </w:rPr>
        <w:tab/>
        <w:t>W</w:t>
      </w:r>
      <w:r w:rsidR="00BB3B29">
        <w:rPr>
          <w:lang w:val="en-GB"/>
        </w:rPr>
        <w:t>NTE</w:t>
      </w:r>
      <w:r w:rsidRPr="00B04DC3">
        <w:rPr>
          <w:lang w:val="en-GB"/>
        </w:rPr>
        <w:t xml:space="preserve"> laboratory testing</w:t>
      </w:r>
      <w:bookmarkEnd w:id="1254"/>
      <w:bookmarkEnd w:id="1255"/>
    </w:p>
    <w:p w:rsidR="00AF2027" w:rsidRPr="00B04DC3" w:rsidRDefault="00AF2027" w:rsidP="00AF2027">
      <w:pPr>
        <w:pStyle w:val="para"/>
        <w:rPr>
          <w:lang w:val="en-GB"/>
        </w:rPr>
      </w:pPr>
      <w:r w:rsidRPr="00B04DC3">
        <w:rPr>
          <w:lang w:val="en-GB"/>
        </w:rPr>
        <w:tab/>
        <w:t>Where the provisions of this annex are used as the basis for laboratory testing the following provision shall apply:</w:t>
      </w:r>
    </w:p>
    <w:p w:rsidR="00AF2027" w:rsidRPr="00B04DC3" w:rsidRDefault="00AF2027" w:rsidP="00AF2027">
      <w:pPr>
        <w:pStyle w:val="para"/>
        <w:rPr>
          <w:lang w:val="en-GB"/>
        </w:rPr>
      </w:pPr>
      <w:r w:rsidRPr="00B04DC3">
        <w:rPr>
          <w:lang w:val="en-GB"/>
        </w:rPr>
        <w:t>7.4.1.</w:t>
      </w:r>
      <w:r w:rsidRPr="00B04DC3">
        <w:rPr>
          <w:lang w:val="en-GB"/>
        </w:rPr>
        <w:tab/>
        <w:t>The specific mass emissions of regulated pollutants shall be determined on the basis of randomly defined test points distributed across the WNTE control area. All the test points shall be contained within 3 randomly selected grid cells imposed over the control area. The grid shall comprise of 9 cells for engines with a rated speed less than 3,000 min</w:t>
      </w:r>
      <w:r w:rsidRPr="00B04DC3">
        <w:rPr>
          <w:vertAlign w:val="superscript"/>
          <w:lang w:val="en-GB"/>
        </w:rPr>
        <w:t>-1</w:t>
      </w:r>
      <w:r w:rsidRPr="00B04DC3">
        <w:rPr>
          <w:lang w:val="en-GB"/>
        </w:rPr>
        <w:t xml:space="preserve"> and 12 cells for engines with a rated speed greater than or equal to 3,000 min</w:t>
      </w:r>
      <w:r w:rsidRPr="00B04DC3">
        <w:rPr>
          <w:vertAlign w:val="superscript"/>
          <w:lang w:val="en-GB"/>
        </w:rPr>
        <w:t>-1</w:t>
      </w:r>
      <w:r w:rsidRPr="00B04DC3">
        <w:rPr>
          <w:lang w:val="en-GB"/>
        </w:rPr>
        <w:t>. The grids are defined as follows:</w:t>
      </w:r>
    </w:p>
    <w:p w:rsidR="00AF2027" w:rsidRPr="00B04DC3" w:rsidRDefault="00AF2027" w:rsidP="00AF2027">
      <w:pPr>
        <w:pStyle w:val="a"/>
        <w:rPr>
          <w:lang w:val="en-GB"/>
        </w:rPr>
      </w:pPr>
      <w:r w:rsidRPr="00B04DC3">
        <w:rPr>
          <w:lang w:val="en-GB"/>
        </w:rPr>
        <w:t>(a)</w:t>
      </w:r>
      <w:r w:rsidRPr="00B04DC3">
        <w:rPr>
          <w:lang w:val="en-GB"/>
        </w:rPr>
        <w:tab/>
        <w:t>The outer boundaries of the grid are aligned to the WNTE control area;</w:t>
      </w:r>
    </w:p>
    <w:p w:rsidR="00AF2027" w:rsidRPr="00B04DC3" w:rsidRDefault="00AF2027" w:rsidP="00AF2027">
      <w:pPr>
        <w:pStyle w:val="a"/>
        <w:rPr>
          <w:lang w:val="en-GB"/>
        </w:rPr>
      </w:pPr>
      <w:r w:rsidRPr="00B04DC3">
        <w:rPr>
          <w:lang w:val="en-GB"/>
        </w:rPr>
        <w:t>(b)</w:t>
      </w:r>
      <w:r w:rsidRPr="00B04DC3">
        <w:rPr>
          <w:lang w:val="en-GB"/>
        </w:rPr>
        <w:tab/>
        <w:t>2 vertical lines spaced at equal distance between engine speeds n</w:t>
      </w:r>
      <w:r w:rsidRPr="00B04DC3">
        <w:rPr>
          <w:vertAlign w:val="subscript"/>
          <w:lang w:val="en-GB"/>
        </w:rPr>
        <w:t>30</w:t>
      </w:r>
      <w:r w:rsidRPr="00B04DC3">
        <w:rPr>
          <w:lang w:val="en-GB"/>
        </w:rPr>
        <w:t xml:space="preserve"> and n</w:t>
      </w:r>
      <w:r w:rsidRPr="00B04DC3">
        <w:rPr>
          <w:vertAlign w:val="subscript"/>
          <w:lang w:val="en-GB"/>
        </w:rPr>
        <w:t>hi</w:t>
      </w:r>
      <w:r w:rsidRPr="00B04DC3">
        <w:rPr>
          <w:lang w:val="en-GB"/>
        </w:rPr>
        <w:t xml:space="preserve"> for 9 cell grids, or 3 vertical lines spaced at equal distance between engine speeds n</w:t>
      </w:r>
      <w:r w:rsidRPr="00B04DC3">
        <w:rPr>
          <w:vertAlign w:val="subscript"/>
          <w:lang w:val="en-GB"/>
        </w:rPr>
        <w:t>30</w:t>
      </w:r>
      <w:r w:rsidRPr="00B04DC3">
        <w:rPr>
          <w:lang w:val="en-GB"/>
        </w:rPr>
        <w:t xml:space="preserve"> and n</w:t>
      </w:r>
      <w:r w:rsidRPr="00B04DC3">
        <w:rPr>
          <w:vertAlign w:val="subscript"/>
          <w:lang w:val="en-GB"/>
        </w:rPr>
        <w:t xml:space="preserve">hi </w:t>
      </w:r>
      <w:r w:rsidRPr="00B04DC3">
        <w:rPr>
          <w:lang w:val="en-GB"/>
        </w:rPr>
        <w:t>for 12 cell grids; and</w:t>
      </w:r>
    </w:p>
    <w:p w:rsidR="00AF2027" w:rsidRPr="00B04DC3" w:rsidRDefault="00AF2027" w:rsidP="00AF2027">
      <w:pPr>
        <w:pStyle w:val="a"/>
        <w:rPr>
          <w:lang w:val="en-GB"/>
        </w:rPr>
      </w:pPr>
      <w:r w:rsidRPr="00B04DC3">
        <w:rPr>
          <w:lang w:val="en-GB"/>
        </w:rPr>
        <w:t>(c)</w:t>
      </w:r>
      <w:r w:rsidRPr="00B04DC3">
        <w:rPr>
          <w:lang w:val="en-GB"/>
        </w:rPr>
        <w:tab/>
        <w:t>2 lines spaced at equal distance of engine torque (⅓) at each vertical line within the WNTE control area.</w:t>
      </w:r>
    </w:p>
    <w:p w:rsidR="00AF2027" w:rsidRPr="00B04DC3" w:rsidRDefault="00AF2027" w:rsidP="00AF2027">
      <w:pPr>
        <w:pStyle w:val="para"/>
        <w:rPr>
          <w:spacing w:val="-2"/>
          <w:lang w:val="en-GB"/>
        </w:rPr>
      </w:pPr>
      <w:r w:rsidRPr="00B04DC3">
        <w:rPr>
          <w:lang w:val="en-GB"/>
        </w:rPr>
        <w:tab/>
      </w:r>
      <w:r w:rsidRPr="00B04DC3">
        <w:rPr>
          <w:spacing w:val="-2"/>
          <w:lang w:val="en-GB"/>
        </w:rPr>
        <w:t>Examples of the grids applied to specific engines are shown in Figures 5 and 6</w:t>
      </w:r>
      <w:r w:rsidR="00D22B95" w:rsidRPr="00D22B95">
        <w:rPr>
          <w:lang w:val="en-GB"/>
        </w:rPr>
        <w:t xml:space="preserve"> </w:t>
      </w:r>
      <w:r w:rsidR="00D22B95">
        <w:rPr>
          <w:lang w:val="en-GB"/>
        </w:rPr>
        <w:t>of this annex</w:t>
      </w:r>
      <w:r w:rsidRPr="00B04DC3">
        <w:rPr>
          <w:spacing w:val="-2"/>
          <w:lang w:val="en-GB"/>
        </w:rPr>
        <w:t>.</w:t>
      </w:r>
    </w:p>
    <w:p w:rsidR="00AF2027" w:rsidRPr="00B04DC3" w:rsidRDefault="00AF2027" w:rsidP="00AF2027">
      <w:pPr>
        <w:pStyle w:val="para"/>
        <w:rPr>
          <w:lang w:val="en-GB"/>
        </w:rPr>
      </w:pPr>
      <w:r w:rsidRPr="00B04DC3">
        <w:rPr>
          <w:lang w:val="en-GB"/>
        </w:rPr>
        <w:t>7.4.2.</w:t>
      </w:r>
      <w:r w:rsidRPr="00B04DC3">
        <w:rPr>
          <w:lang w:val="en-GB"/>
        </w:rPr>
        <w:tab/>
        <w:t>The 3 selected grid cells shall each include 5 random test points, so a total of 15 random points shall be tested within the WNTE control area. Each cell shall be tested sequentially; therefore all 5 points in one grid cell are tested before transiting to the next grid cell. The test points are combined into a single ramped steady state cycle.</w:t>
      </w:r>
    </w:p>
    <w:p w:rsidR="00AF2027" w:rsidRPr="00B04DC3" w:rsidRDefault="00AF2027" w:rsidP="00AF2027">
      <w:pPr>
        <w:pStyle w:val="para"/>
        <w:rPr>
          <w:lang w:val="en-GB"/>
        </w:rPr>
      </w:pPr>
      <w:r w:rsidRPr="00B04DC3">
        <w:rPr>
          <w:lang w:val="en-GB"/>
        </w:rPr>
        <w:t>7.4.3.</w:t>
      </w:r>
      <w:r w:rsidRPr="00B04DC3">
        <w:rPr>
          <w:lang w:val="en-GB"/>
        </w:rPr>
        <w:tab/>
        <w:t>The order in which each of the grid cells are tested, and the order of testing the points within the grid cell, shall be randomly determined. The 3 grid cells to be tested, the 15 test points, the order of testing the grid cells, and the order of the points within a grid cell shall be selected by the Type Approval Authority using acknowledged statistical methods of randomization.</w:t>
      </w:r>
    </w:p>
    <w:p w:rsidR="00AF2027" w:rsidRPr="00B04DC3" w:rsidRDefault="00AF2027" w:rsidP="00AF2027">
      <w:pPr>
        <w:pStyle w:val="para"/>
        <w:rPr>
          <w:lang w:val="en-GB"/>
        </w:rPr>
      </w:pPr>
      <w:r w:rsidRPr="00B04DC3">
        <w:rPr>
          <w:lang w:val="en-GB"/>
        </w:rPr>
        <w:t>7.4.4.</w:t>
      </w:r>
      <w:r w:rsidRPr="00B04DC3">
        <w:rPr>
          <w:lang w:val="en-GB"/>
        </w:rPr>
        <w:tab/>
        <w:t xml:space="preserve">The average specific mass emissions of regulated gaseous pollutants shall not exceed the WNTE limit values specified in paragraph 5.2. </w:t>
      </w:r>
      <w:r w:rsidR="00D22B95">
        <w:rPr>
          <w:lang w:val="en-GB"/>
        </w:rPr>
        <w:t>of this annex</w:t>
      </w:r>
      <w:r w:rsidR="00D22B95" w:rsidRPr="00B04DC3">
        <w:rPr>
          <w:lang w:val="en-GB"/>
        </w:rPr>
        <w:t xml:space="preserve"> </w:t>
      </w:r>
      <w:r w:rsidRPr="00B04DC3">
        <w:rPr>
          <w:lang w:val="en-GB"/>
        </w:rPr>
        <w:t>when measured over any of the cycles in a grid cell with 5 test points.</w:t>
      </w:r>
    </w:p>
    <w:p w:rsidR="00AF2027" w:rsidRPr="00B04DC3" w:rsidRDefault="00AF2027" w:rsidP="00AF2027">
      <w:pPr>
        <w:pStyle w:val="para"/>
        <w:rPr>
          <w:lang w:val="en-GB"/>
        </w:rPr>
      </w:pPr>
      <w:r w:rsidRPr="00B04DC3">
        <w:rPr>
          <w:lang w:val="en-GB"/>
        </w:rPr>
        <w:t>7.4.5.</w:t>
      </w:r>
      <w:r w:rsidRPr="00B04DC3">
        <w:rPr>
          <w:lang w:val="en-GB"/>
        </w:rPr>
        <w:tab/>
        <w:t xml:space="preserve">The average specific mass emissions of regulated particulate pollutants shall not exceed the WNTE limit values specified in paragraph 5.2. </w:t>
      </w:r>
      <w:r w:rsidR="00D22B95">
        <w:rPr>
          <w:lang w:val="en-GB"/>
        </w:rPr>
        <w:t>of this annex</w:t>
      </w:r>
      <w:r w:rsidR="00D22B95" w:rsidRPr="00B04DC3">
        <w:rPr>
          <w:lang w:val="en-GB"/>
        </w:rPr>
        <w:t xml:space="preserve"> </w:t>
      </w:r>
      <w:r w:rsidRPr="00B04DC3">
        <w:rPr>
          <w:lang w:val="en-GB"/>
        </w:rPr>
        <w:t>when measured over the whole 15 test point cycle.</w:t>
      </w:r>
    </w:p>
    <w:p w:rsidR="00AF2027" w:rsidRPr="00B04DC3" w:rsidRDefault="00AF2027" w:rsidP="00AF2027">
      <w:pPr>
        <w:pStyle w:val="para"/>
        <w:rPr>
          <w:lang w:val="en-GB"/>
        </w:rPr>
      </w:pPr>
      <w:bookmarkStart w:id="1256" w:name="_Toc211310305"/>
      <w:r w:rsidRPr="00B04DC3">
        <w:rPr>
          <w:lang w:val="en-GB"/>
        </w:rPr>
        <w:t>7.5.</w:t>
      </w:r>
      <w:r w:rsidRPr="00B04DC3">
        <w:rPr>
          <w:lang w:val="en-GB"/>
        </w:rPr>
        <w:tab/>
        <w:t>Laboratory test procedure</w:t>
      </w:r>
      <w:bookmarkEnd w:id="1256"/>
    </w:p>
    <w:p w:rsidR="00AF2027" w:rsidRPr="00B04DC3" w:rsidRDefault="00AF2027" w:rsidP="00AF2027">
      <w:pPr>
        <w:pStyle w:val="para"/>
        <w:rPr>
          <w:lang w:val="en-GB"/>
        </w:rPr>
      </w:pPr>
      <w:r w:rsidRPr="00B04DC3">
        <w:rPr>
          <w:lang w:val="en-GB"/>
        </w:rPr>
        <w:t>7.5.1.</w:t>
      </w:r>
      <w:r w:rsidRPr="00B04DC3">
        <w:rPr>
          <w:lang w:val="en-GB"/>
        </w:rPr>
        <w:tab/>
        <w:t>After completion of the WHSC cycle, the engine shall be preconditioned at mode 9 of the WHSC for a period of three minutes. The test sequence shall start immediately after completion of the preconditioning phase.</w:t>
      </w:r>
    </w:p>
    <w:p w:rsidR="00AF2027" w:rsidRPr="00B04DC3" w:rsidRDefault="00AF2027" w:rsidP="00AF2027">
      <w:pPr>
        <w:pStyle w:val="para"/>
        <w:rPr>
          <w:lang w:val="en-GB"/>
        </w:rPr>
      </w:pPr>
      <w:r w:rsidRPr="00B04DC3">
        <w:rPr>
          <w:lang w:val="en-GB"/>
        </w:rPr>
        <w:t>7.5.2.</w:t>
      </w:r>
      <w:r w:rsidRPr="00B04DC3">
        <w:rPr>
          <w:lang w:val="en-GB"/>
        </w:rPr>
        <w:tab/>
        <w:t xml:space="preserve">The engine shall be operated for 2 minutes at each random test point. This time includes the preceding ramp from the previous steady state point. The transitions between the test points shall be linear </w:t>
      </w:r>
      <w:r w:rsidRPr="006923D6">
        <w:rPr>
          <w:lang w:val="en-GB"/>
        </w:rPr>
        <w:t xml:space="preserve">for engine speed </w:t>
      </w:r>
      <w:r w:rsidRPr="00D22B95">
        <w:rPr>
          <w:lang w:val="en-GB"/>
        </w:rPr>
        <w:t>and load and shall last</w:t>
      </w:r>
      <w:r w:rsidRPr="00B04DC3">
        <w:rPr>
          <w:lang w:val="en-GB"/>
        </w:rPr>
        <w:t xml:space="preserve"> 20 ± 1 seconds.</w:t>
      </w:r>
    </w:p>
    <w:p w:rsidR="00AF2027" w:rsidRPr="00B04DC3" w:rsidRDefault="00AF2027" w:rsidP="00AF2027">
      <w:pPr>
        <w:pStyle w:val="para"/>
        <w:rPr>
          <w:lang w:val="en-GB"/>
        </w:rPr>
      </w:pPr>
      <w:r w:rsidRPr="00B04DC3">
        <w:rPr>
          <w:lang w:val="en-GB"/>
        </w:rPr>
        <w:t>7.5.3.</w:t>
      </w:r>
      <w:r w:rsidRPr="00B04DC3">
        <w:rPr>
          <w:lang w:val="en-GB"/>
        </w:rPr>
        <w:tab/>
        <w:t>The total test time from start until finish shall be 30 minutes. The test of each set of 5 selected random points in a grid cell shall be 10 minutes, measured from the start of the entry ramp to the 1st point until the end of the steady state measurement at the 5</w:t>
      </w:r>
      <w:r w:rsidRPr="006923D6">
        <w:rPr>
          <w:vertAlign w:val="superscript"/>
          <w:lang w:val="en-GB"/>
        </w:rPr>
        <w:t>th</w:t>
      </w:r>
      <w:r w:rsidRPr="00B04DC3">
        <w:rPr>
          <w:lang w:val="en-GB"/>
        </w:rPr>
        <w:t xml:space="preserve"> point. Figure 5 </w:t>
      </w:r>
      <w:r w:rsidR="00D22B95">
        <w:rPr>
          <w:lang w:val="en-GB"/>
        </w:rPr>
        <w:t xml:space="preserve">below </w:t>
      </w:r>
      <w:r w:rsidRPr="00B04DC3">
        <w:rPr>
          <w:lang w:val="en-GB"/>
        </w:rPr>
        <w:t>illustrates the sequence of the test procedure.</w:t>
      </w:r>
    </w:p>
    <w:p w:rsidR="00AF2027" w:rsidRPr="00B04DC3" w:rsidRDefault="00AF2027" w:rsidP="00AF2027">
      <w:pPr>
        <w:pStyle w:val="para"/>
        <w:rPr>
          <w:lang w:val="en-GB"/>
        </w:rPr>
      </w:pPr>
      <w:r w:rsidRPr="00B04DC3">
        <w:rPr>
          <w:lang w:val="en-GB"/>
        </w:rPr>
        <w:t>7.5.4.</w:t>
      </w:r>
      <w:r w:rsidRPr="00B04DC3">
        <w:rPr>
          <w:lang w:val="en-GB"/>
        </w:rPr>
        <w:tab/>
        <w:t>The WNTE laboratory test shall meet the validation statistics of paragraph 7.7.2. of t</w:t>
      </w:r>
      <w:r w:rsidR="00D22B95" w:rsidRPr="00D22B95">
        <w:rPr>
          <w:lang w:val="en-GB"/>
        </w:rPr>
        <w:t xml:space="preserve"> </w:t>
      </w:r>
      <w:r w:rsidR="00D22B95">
        <w:rPr>
          <w:lang w:val="en-GB"/>
        </w:rPr>
        <w:t>the gtr No. 4 (</w:t>
      </w:r>
      <w:r w:rsidR="00D22B95" w:rsidRPr="00B04DC3">
        <w:rPr>
          <w:lang w:val="en-GB"/>
        </w:rPr>
        <w:t>WHDC</w:t>
      </w:r>
      <w:r w:rsidR="00D22B95">
        <w:rPr>
          <w:lang w:val="en-GB"/>
        </w:rPr>
        <w:t>)</w:t>
      </w:r>
      <w:r w:rsidRPr="00B04DC3">
        <w:rPr>
          <w:lang w:val="en-GB"/>
        </w:rPr>
        <w:t>.</w:t>
      </w:r>
    </w:p>
    <w:p w:rsidR="00AF2027" w:rsidRPr="00B04DC3" w:rsidRDefault="00AF2027" w:rsidP="00AF2027">
      <w:pPr>
        <w:pStyle w:val="para"/>
        <w:rPr>
          <w:lang w:val="en-GB"/>
        </w:rPr>
      </w:pPr>
      <w:r w:rsidRPr="00B04DC3">
        <w:rPr>
          <w:lang w:val="en-GB"/>
        </w:rPr>
        <w:t>7.5.5.</w:t>
      </w:r>
      <w:r w:rsidRPr="00B04DC3">
        <w:rPr>
          <w:lang w:val="en-GB"/>
        </w:rPr>
        <w:tab/>
        <w:t xml:space="preserve">The measurement of the emissions shall be carried out in accordance with paragraph 7.8. of </w:t>
      </w:r>
      <w:r w:rsidR="00D22B95">
        <w:rPr>
          <w:lang w:val="en-GB"/>
        </w:rPr>
        <w:t>the gtr No. 4 (</w:t>
      </w:r>
      <w:r w:rsidRPr="00B04DC3">
        <w:rPr>
          <w:lang w:val="en-GB"/>
        </w:rPr>
        <w:t>WHDC</w:t>
      </w:r>
      <w:r w:rsidR="00D22B95">
        <w:rPr>
          <w:lang w:val="en-GB"/>
        </w:rPr>
        <w:t>)</w:t>
      </w:r>
      <w:r w:rsidRPr="00B04DC3">
        <w:rPr>
          <w:lang w:val="en-GB"/>
        </w:rPr>
        <w:t>.</w:t>
      </w:r>
    </w:p>
    <w:p w:rsidR="00AF2027" w:rsidRPr="00B04DC3" w:rsidRDefault="00AF2027" w:rsidP="00AF2027">
      <w:pPr>
        <w:pStyle w:val="para"/>
        <w:rPr>
          <w:lang w:val="en-GB"/>
        </w:rPr>
      </w:pPr>
      <w:r w:rsidRPr="00B04DC3">
        <w:rPr>
          <w:lang w:val="en-GB"/>
        </w:rPr>
        <w:t>7.5.6.</w:t>
      </w:r>
      <w:r w:rsidRPr="00B04DC3">
        <w:rPr>
          <w:lang w:val="en-GB"/>
        </w:rPr>
        <w:tab/>
        <w:t xml:space="preserve">The calculation of the test results shall be carried out in accordance with paragraph 8. of </w:t>
      </w:r>
      <w:r w:rsidR="00D22B95">
        <w:rPr>
          <w:lang w:val="en-GB"/>
        </w:rPr>
        <w:t>the gtr No. 4 (</w:t>
      </w:r>
      <w:r w:rsidR="00D22B95" w:rsidRPr="00B04DC3">
        <w:rPr>
          <w:lang w:val="en-GB"/>
        </w:rPr>
        <w:t>WHDC</w:t>
      </w:r>
      <w:r w:rsidR="00D22B95">
        <w:rPr>
          <w:lang w:val="en-GB"/>
        </w:rPr>
        <w:t>)</w:t>
      </w:r>
      <w:r w:rsidRPr="00B04DC3">
        <w:rPr>
          <w:lang w:val="en-GB"/>
        </w:rPr>
        <w:t>.</w:t>
      </w:r>
    </w:p>
    <w:p w:rsidR="00AF2027" w:rsidRPr="00B04DC3" w:rsidRDefault="00AF2027" w:rsidP="00AF2027">
      <w:pPr>
        <w:pStyle w:val="Heading1"/>
        <w:keepNext/>
      </w:pPr>
      <w:bookmarkStart w:id="1257" w:name="_Toc399940141"/>
      <w:bookmarkStart w:id="1258" w:name="_Toc423599724"/>
      <w:bookmarkStart w:id="1259" w:name="_Toc423611132"/>
      <w:r w:rsidRPr="00B04DC3">
        <w:t>Figure 4</w:t>
      </w:r>
      <w:bookmarkEnd w:id="1257"/>
      <w:bookmarkEnd w:id="1258"/>
      <w:bookmarkEnd w:id="1259"/>
    </w:p>
    <w:p w:rsidR="00AF2027" w:rsidRPr="00B04DC3" w:rsidRDefault="00AF2027" w:rsidP="00AF2027">
      <w:pPr>
        <w:pStyle w:val="Heading1"/>
        <w:keepNext/>
        <w:rPr>
          <w:b/>
        </w:rPr>
      </w:pPr>
      <w:bookmarkStart w:id="1260" w:name="_Toc399940142"/>
      <w:bookmarkStart w:id="1261" w:name="_Toc423599725"/>
      <w:bookmarkStart w:id="1262" w:name="_Toc423611133"/>
      <w:r w:rsidRPr="00B04DC3">
        <w:rPr>
          <w:b/>
        </w:rPr>
        <w:t>Schematic example of the start of the WNTE test cycle</w:t>
      </w:r>
      <w:bookmarkEnd w:id="1260"/>
      <w:bookmarkEnd w:id="1261"/>
      <w:bookmarkEnd w:id="1262"/>
    </w:p>
    <w:p w:rsidR="00AF2027" w:rsidRPr="00B04DC3" w:rsidRDefault="00A905B7" w:rsidP="00AF2027">
      <w:pPr>
        <w:jc w:val="center"/>
      </w:pPr>
      <w:r>
        <w:pict>
          <v:shape id="_x0000_i1462" type="#_x0000_t75" style="width:477.6pt;height:168pt">
            <v:imagedata r:id="rId712" o:title="graph"/>
          </v:shape>
        </w:pict>
      </w:r>
    </w:p>
    <w:p w:rsidR="00AF2027" w:rsidRPr="00B04DC3" w:rsidRDefault="00AF2027" w:rsidP="00AF2027">
      <w:pPr>
        <w:pStyle w:val="Heading1"/>
        <w:keepNext/>
      </w:pPr>
      <w:bookmarkStart w:id="1263" w:name="_Toc399940143"/>
      <w:bookmarkStart w:id="1264" w:name="_Toc423599726"/>
      <w:bookmarkStart w:id="1265" w:name="_Toc423611134"/>
      <w:r w:rsidRPr="00B04DC3">
        <w:t>Figures 5 and 6</w:t>
      </w:r>
      <w:bookmarkEnd w:id="1263"/>
      <w:bookmarkEnd w:id="1264"/>
      <w:bookmarkEnd w:id="1265"/>
    </w:p>
    <w:p w:rsidR="00AF2027" w:rsidRPr="00B04DC3" w:rsidRDefault="00AF2027" w:rsidP="00AF2027">
      <w:pPr>
        <w:pStyle w:val="Heading1"/>
        <w:keepNext/>
        <w:rPr>
          <w:b/>
        </w:rPr>
      </w:pPr>
      <w:bookmarkStart w:id="1266" w:name="_Toc399940144"/>
      <w:bookmarkStart w:id="1267" w:name="_Toc423599727"/>
      <w:bookmarkStart w:id="1268" w:name="_Toc423611135"/>
      <w:r w:rsidRPr="00B04DC3">
        <w:rPr>
          <w:b/>
        </w:rPr>
        <w:t>WNTE test cycle grids</w:t>
      </w:r>
      <w:bookmarkEnd w:id="1266"/>
      <w:bookmarkEnd w:id="1267"/>
      <w:bookmarkEnd w:id="1268"/>
    </w:p>
    <w:p w:rsidR="00AF2027" w:rsidRPr="00B04DC3" w:rsidRDefault="00A905B7" w:rsidP="00FD4B63">
      <w:pPr>
        <w:keepNext/>
        <w:keepLines/>
        <w:ind w:left="993"/>
        <w:jc w:val="both"/>
      </w:pPr>
      <w:r>
        <w:pict>
          <v:shape id="_x0000_i1463" type="#_x0000_t75" style="width:413.4pt;height:254.4pt">
            <v:imagedata r:id="rId713" o:title=""/>
          </v:shape>
        </w:pict>
      </w:r>
    </w:p>
    <w:p w:rsidR="00AF2027" w:rsidRPr="00B04DC3" w:rsidRDefault="00A905B7" w:rsidP="00FD4B63">
      <w:pPr>
        <w:keepNext/>
        <w:keepLines/>
        <w:ind w:left="993"/>
        <w:jc w:val="both"/>
      </w:pPr>
      <w:r>
        <w:pict>
          <v:shape id="_x0000_i1464" type="#_x0000_t75" style="width:413.4pt;height:254.4pt">
            <v:imagedata r:id="rId714" o:title=""/>
          </v:shape>
        </w:pict>
      </w:r>
    </w:p>
    <w:p w:rsidR="00AF2027" w:rsidRPr="00B04DC3" w:rsidRDefault="00AF2027" w:rsidP="00AF2027">
      <w:pPr>
        <w:pStyle w:val="para"/>
        <w:spacing w:before="240"/>
        <w:rPr>
          <w:lang w:val="en-GB"/>
        </w:rPr>
      </w:pPr>
      <w:bookmarkStart w:id="1269" w:name="_Toc168287146"/>
      <w:bookmarkStart w:id="1270" w:name="_Toc211310306"/>
      <w:r w:rsidRPr="00B04DC3">
        <w:rPr>
          <w:lang w:val="en-GB"/>
        </w:rPr>
        <w:t>7.6.</w:t>
      </w:r>
      <w:r w:rsidRPr="00B04DC3">
        <w:rPr>
          <w:lang w:val="en-GB"/>
        </w:rPr>
        <w:tab/>
        <w:t>Rounding</w:t>
      </w:r>
      <w:bookmarkEnd w:id="1269"/>
      <w:bookmarkEnd w:id="1270"/>
    </w:p>
    <w:p w:rsidR="00AF2027" w:rsidRPr="00B04DC3" w:rsidRDefault="00AF2027" w:rsidP="00AF2027">
      <w:pPr>
        <w:pStyle w:val="para"/>
        <w:rPr>
          <w:spacing w:val="-2"/>
          <w:lang w:val="en-GB"/>
        </w:rPr>
      </w:pPr>
      <w:r w:rsidRPr="00B04DC3">
        <w:rPr>
          <w:spacing w:val="-2"/>
          <w:lang w:val="en-GB"/>
        </w:rPr>
        <w:tab/>
        <w:t>Each final test result shall be rounded in one step to the number of places to the right of the decimal point indicated by the applicable WHDC emission standard plus one additional significant figure, in accordance with ASTM E 29-06. No rounding of intermediate values leading to the final brake specific emission result is permitted.</w:t>
      </w:r>
    </w:p>
    <w:p w:rsidR="00AF2027" w:rsidRPr="00B04DC3" w:rsidRDefault="00AF2027" w:rsidP="00AF2027">
      <w:pPr>
        <w:pStyle w:val="para"/>
        <w:rPr>
          <w:lang w:val="en-GB"/>
        </w:rPr>
      </w:pPr>
      <w:bookmarkStart w:id="1271" w:name="_Toc101585443"/>
      <w:bookmarkStart w:id="1272" w:name="_Toc101585617"/>
      <w:bookmarkStart w:id="1273" w:name="_Toc101585939"/>
      <w:bookmarkStart w:id="1274" w:name="_Toc101674518"/>
      <w:bookmarkStart w:id="1275" w:name="_Toc101674607"/>
      <w:bookmarkStart w:id="1276" w:name="_Toc101674732"/>
      <w:bookmarkStart w:id="1277" w:name="_Toc168287147"/>
      <w:bookmarkStart w:id="1278" w:name="_Toc211310307"/>
      <w:r w:rsidRPr="00B04DC3">
        <w:rPr>
          <w:lang w:val="en-GB"/>
        </w:rPr>
        <w:t>8.</w:t>
      </w:r>
      <w:r w:rsidRPr="00B04DC3">
        <w:rPr>
          <w:lang w:val="en-GB"/>
        </w:rPr>
        <w:tab/>
        <w:t>World-harmonized not-to-exceed deficiencies</w:t>
      </w:r>
      <w:bookmarkStart w:id="1279" w:name="_Toc101585444"/>
      <w:bookmarkStart w:id="1280" w:name="_Toc101585618"/>
      <w:bookmarkStart w:id="1281" w:name="_Toc101585940"/>
      <w:bookmarkStart w:id="1282" w:name="_Toc101674519"/>
      <w:bookmarkStart w:id="1283" w:name="_Toc101674608"/>
      <w:bookmarkStart w:id="1284" w:name="_Toc101674733"/>
      <w:bookmarkEnd w:id="1271"/>
      <w:bookmarkEnd w:id="1272"/>
      <w:bookmarkEnd w:id="1273"/>
      <w:bookmarkEnd w:id="1274"/>
      <w:bookmarkEnd w:id="1275"/>
      <w:bookmarkEnd w:id="1276"/>
      <w:bookmarkEnd w:id="1277"/>
      <w:bookmarkEnd w:id="1278"/>
    </w:p>
    <w:bookmarkEnd w:id="1279"/>
    <w:bookmarkEnd w:id="1280"/>
    <w:bookmarkEnd w:id="1281"/>
    <w:bookmarkEnd w:id="1282"/>
    <w:bookmarkEnd w:id="1283"/>
    <w:bookmarkEnd w:id="1284"/>
    <w:p w:rsidR="00AF2027" w:rsidRPr="00B04DC3" w:rsidRDefault="00AF2027" w:rsidP="00AF2027">
      <w:pPr>
        <w:pStyle w:val="para"/>
        <w:rPr>
          <w:lang w:val="en-GB"/>
        </w:rPr>
      </w:pPr>
      <w:r w:rsidRPr="00B04DC3">
        <w:rPr>
          <w:lang w:val="en-GB"/>
        </w:rPr>
        <w:tab/>
        <w:t>The concept of a deficiency is to allow an engine or vehicle to be certified as compliant with a regulation even though specific requirements, limited in scope, are not fully met. WNTE deficiency provision would allow a manufacturer to apply for relief from the WNTE emission requirements under limited conditions, such as extreme ambient temperatures and/or severe operation where vehicles do not accumulate significant mileage.</w:t>
      </w:r>
    </w:p>
    <w:p w:rsidR="00AF2027" w:rsidRPr="00B04DC3" w:rsidRDefault="00AF2027" w:rsidP="00AF2027">
      <w:pPr>
        <w:pStyle w:val="para"/>
        <w:rPr>
          <w:lang w:val="en-GB"/>
        </w:rPr>
      </w:pPr>
      <w:bookmarkStart w:id="1285" w:name="_Toc168287152"/>
      <w:bookmarkStart w:id="1286" w:name="_Toc211310308"/>
      <w:bookmarkStart w:id="1287" w:name="_Toc101585448"/>
      <w:bookmarkStart w:id="1288" w:name="_Toc101585621"/>
      <w:bookmarkStart w:id="1289" w:name="_Toc101585943"/>
      <w:bookmarkStart w:id="1290" w:name="_Toc101674522"/>
      <w:bookmarkStart w:id="1291" w:name="_Toc101674611"/>
      <w:bookmarkStart w:id="1292" w:name="_Toc101674736"/>
      <w:r w:rsidRPr="00B04DC3">
        <w:rPr>
          <w:lang w:val="en-GB"/>
        </w:rPr>
        <w:t>9.</w:t>
      </w:r>
      <w:r w:rsidRPr="00B04DC3">
        <w:rPr>
          <w:lang w:val="en-GB"/>
        </w:rPr>
        <w:tab/>
        <w:t>World-harmonized not-to-exceed exemptions</w:t>
      </w:r>
      <w:bookmarkEnd w:id="1285"/>
      <w:bookmarkEnd w:id="1286"/>
    </w:p>
    <w:p w:rsidR="00AF2027" w:rsidRPr="00B04DC3" w:rsidRDefault="00AF2027" w:rsidP="00AF2027">
      <w:pPr>
        <w:pStyle w:val="para"/>
        <w:rPr>
          <w:lang w:val="en-GB"/>
        </w:rPr>
      </w:pPr>
      <w:r w:rsidRPr="00B04DC3">
        <w:rPr>
          <w:lang w:val="en-GB"/>
        </w:rPr>
        <w:tab/>
        <w:t>The concept of a WNTE exemption is a set of technical conditions under which the WNTE emission limits set out in this annex would not apply. A WNTE exemption shall apply to all engine and vehicle manufacturers.</w:t>
      </w:r>
    </w:p>
    <w:p w:rsidR="00AF2027" w:rsidRPr="00B04DC3" w:rsidRDefault="00AF2027" w:rsidP="00AF2027">
      <w:pPr>
        <w:pStyle w:val="para"/>
        <w:rPr>
          <w:lang w:val="en-GB"/>
        </w:rPr>
      </w:pPr>
      <w:r w:rsidRPr="00B04DC3">
        <w:rPr>
          <w:lang w:val="en-GB"/>
        </w:rPr>
        <w:tab/>
        <w:t xml:space="preserve">It may be decided to provide a WNTE exemption, in particular with the introduction of more stringent emission limits. For example a WNTE exemption may be necessary if the </w:t>
      </w:r>
      <w:r w:rsidR="009E6E1D">
        <w:rPr>
          <w:lang w:val="en-GB"/>
        </w:rPr>
        <w:t xml:space="preserve">Type </w:t>
      </w:r>
      <w:r w:rsidRPr="00B04DC3">
        <w:rPr>
          <w:lang w:val="en-GB"/>
        </w:rPr>
        <w:t xml:space="preserve">Approval Authority determines that certain engine or vehicle operation within the WNTE control area cannot achieve the WNTE emission limits. In such a case, the </w:t>
      </w:r>
      <w:r w:rsidR="009E6E1D">
        <w:rPr>
          <w:lang w:val="en-GB"/>
        </w:rPr>
        <w:t xml:space="preserve">Type </w:t>
      </w:r>
      <w:r w:rsidRPr="00B04DC3">
        <w:rPr>
          <w:lang w:val="en-GB"/>
        </w:rPr>
        <w:t xml:space="preserve">Approval Authority may determine that it is not necessary for engine manufacturers to request a WNTE deficiency for such operation, and that the granting of a WNTE exemption is appropriate. The </w:t>
      </w:r>
      <w:r w:rsidR="009E6E1D">
        <w:rPr>
          <w:lang w:val="en-GB"/>
        </w:rPr>
        <w:t xml:space="preserve">Type </w:t>
      </w:r>
      <w:r w:rsidRPr="00B04DC3">
        <w:rPr>
          <w:lang w:val="en-GB"/>
        </w:rPr>
        <w:t>Approval Authority can determine both the scope of the exemption with respect to the WNTE requirements, as well as the period of time for which the exemption is applicable.</w:t>
      </w:r>
    </w:p>
    <w:p w:rsidR="00AF2027" w:rsidRPr="00B04DC3" w:rsidRDefault="00AF2027" w:rsidP="00AF2027">
      <w:pPr>
        <w:pStyle w:val="para"/>
        <w:rPr>
          <w:lang w:val="en-GB"/>
        </w:rPr>
      </w:pPr>
      <w:bookmarkStart w:id="1293" w:name="_Toc101585453"/>
      <w:bookmarkStart w:id="1294" w:name="_Toc101585626"/>
      <w:bookmarkStart w:id="1295" w:name="_Toc101585948"/>
      <w:bookmarkStart w:id="1296" w:name="_Toc101674527"/>
      <w:bookmarkStart w:id="1297" w:name="_Toc101674615"/>
      <w:bookmarkStart w:id="1298" w:name="_Toc101674740"/>
      <w:bookmarkStart w:id="1299" w:name="_Toc168287154"/>
      <w:bookmarkStart w:id="1300" w:name="_Toc211310309"/>
      <w:bookmarkEnd w:id="1287"/>
      <w:bookmarkEnd w:id="1288"/>
      <w:bookmarkEnd w:id="1289"/>
      <w:bookmarkEnd w:id="1290"/>
      <w:bookmarkEnd w:id="1291"/>
      <w:bookmarkEnd w:id="1292"/>
      <w:r w:rsidRPr="00B04DC3">
        <w:rPr>
          <w:lang w:val="en-GB"/>
        </w:rPr>
        <w:t>10.</w:t>
      </w:r>
      <w:r w:rsidRPr="00B04DC3">
        <w:rPr>
          <w:lang w:val="en-GB"/>
        </w:rPr>
        <w:tab/>
        <w:t>Statement of off-cycle emission compliance</w:t>
      </w:r>
      <w:bookmarkEnd w:id="1293"/>
      <w:bookmarkEnd w:id="1294"/>
      <w:bookmarkEnd w:id="1295"/>
      <w:bookmarkEnd w:id="1296"/>
      <w:bookmarkEnd w:id="1297"/>
      <w:bookmarkEnd w:id="1298"/>
      <w:bookmarkEnd w:id="1299"/>
      <w:bookmarkEnd w:id="1300"/>
    </w:p>
    <w:p w:rsidR="00AF2027" w:rsidRPr="00B04DC3" w:rsidRDefault="00AF2027" w:rsidP="00AF2027">
      <w:pPr>
        <w:pStyle w:val="para"/>
        <w:rPr>
          <w:lang w:val="en-GB"/>
        </w:rPr>
      </w:pPr>
      <w:r w:rsidRPr="00B04DC3">
        <w:rPr>
          <w:lang w:val="en-GB"/>
        </w:rPr>
        <w:tab/>
        <w:t xml:space="preserve">In the application for certification or type approval, the manufacturer shall provide a statement that the engine family or vehicle complies with the requirements of this </w:t>
      </w:r>
      <w:r w:rsidR="00D22B95">
        <w:rPr>
          <w:lang w:val="en-GB"/>
        </w:rPr>
        <w:t>the gtr No. 10 (OCE)</w:t>
      </w:r>
      <w:r w:rsidRPr="00B04DC3">
        <w:rPr>
          <w:lang w:val="en-GB"/>
        </w:rPr>
        <w:t>. In addition to this statement, compliance with the WNTE limits shall be verified through additional tests and certification procedures defined by the Contracting Parties.</w:t>
      </w:r>
    </w:p>
    <w:p w:rsidR="00AF2027" w:rsidRPr="00B04DC3" w:rsidRDefault="00AF2027" w:rsidP="00AF2027">
      <w:pPr>
        <w:pStyle w:val="para"/>
        <w:rPr>
          <w:lang w:val="en-GB"/>
        </w:rPr>
      </w:pPr>
      <w:bookmarkStart w:id="1301" w:name="_Toc211310310"/>
      <w:r w:rsidRPr="00B04DC3">
        <w:rPr>
          <w:lang w:val="en-GB"/>
        </w:rPr>
        <w:t>10.1.</w:t>
      </w:r>
      <w:r w:rsidRPr="00B04DC3">
        <w:rPr>
          <w:lang w:val="en-GB"/>
        </w:rPr>
        <w:tab/>
        <w:t xml:space="preserve">Example statement of </w:t>
      </w:r>
      <w:r w:rsidR="006923D6">
        <w:rPr>
          <w:lang w:val="en-GB"/>
        </w:rPr>
        <w:t>o</w:t>
      </w:r>
      <w:r w:rsidR="006923D6" w:rsidRPr="00B04DC3">
        <w:rPr>
          <w:lang w:val="en-GB"/>
        </w:rPr>
        <w:t>ff</w:t>
      </w:r>
      <w:r w:rsidRPr="00B04DC3">
        <w:rPr>
          <w:lang w:val="en-GB"/>
        </w:rPr>
        <w:t>-</w:t>
      </w:r>
      <w:r w:rsidR="006923D6">
        <w:rPr>
          <w:lang w:val="en-GB"/>
        </w:rPr>
        <w:t>c</w:t>
      </w:r>
      <w:r w:rsidR="006923D6" w:rsidRPr="00B04DC3">
        <w:rPr>
          <w:lang w:val="en-GB"/>
        </w:rPr>
        <w:t xml:space="preserve">ycle </w:t>
      </w:r>
      <w:r w:rsidR="006923D6">
        <w:rPr>
          <w:lang w:val="en-GB"/>
        </w:rPr>
        <w:t>e</w:t>
      </w:r>
      <w:r w:rsidR="006923D6" w:rsidRPr="00B04DC3">
        <w:rPr>
          <w:lang w:val="en-GB"/>
        </w:rPr>
        <w:t xml:space="preserve">mission </w:t>
      </w:r>
      <w:r w:rsidRPr="00B04DC3">
        <w:rPr>
          <w:lang w:val="en-GB"/>
        </w:rPr>
        <w:t>compliance</w:t>
      </w:r>
      <w:bookmarkEnd w:id="1301"/>
    </w:p>
    <w:p w:rsidR="00AF2027" w:rsidRPr="00B04DC3" w:rsidRDefault="00AF2027" w:rsidP="00AF2027">
      <w:pPr>
        <w:pStyle w:val="para"/>
        <w:rPr>
          <w:lang w:val="en-GB"/>
        </w:rPr>
      </w:pPr>
      <w:r w:rsidRPr="00B04DC3">
        <w:rPr>
          <w:lang w:val="en-GB"/>
        </w:rPr>
        <w:tab/>
        <w:t>The following is an example compliance statement:</w:t>
      </w:r>
    </w:p>
    <w:p w:rsidR="00AF2027" w:rsidRPr="00B04DC3" w:rsidRDefault="00AF2027" w:rsidP="00AF2027">
      <w:pPr>
        <w:pStyle w:val="para"/>
        <w:rPr>
          <w:lang w:val="en-GB"/>
        </w:rPr>
      </w:pPr>
      <w:r w:rsidRPr="00B04DC3">
        <w:rPr>
          <w:lang w:val="en-GB"/>
        </w:rPr>
        <w:tab/>
        <w:t>"(Name of manufacturer) attests that the engines within this engine family comply with all requirements of this annex. (Name of manufacturer) makes this statement in good faith, after having performed an appropriate engineering evaluation of the emissions performance of the engines within the engine family over the applicable range of operating and ambient conditions."</w:t>
      </w:r>
    </w:p>
    <w:p w:rsidR="00AF2027" w:rsidRPr="00B04DC3" w:rsidRDefault="00AF2027" w:rsidP="00AF2027">
      <w:pPr>
        <w:pStyle w:val="para"/>
        <w:rPr>
          <w:lang w:val="en-GB"/>
        </w:rPr>
      </w:pPr>
      <w:bookmarkStart w:id="1302" w:name="_Toc101585454"/>
      <w:bookmarkStart w:id="1303" w:name="_Toc101585627"/>
      <w:bookmarkStart w:id="1304" w:name="_Toc101585949"/>
      <w:bookmarkStart w:id="1305" w:name="_Toc101674528"/>
      <w:bookmarkStart w:id="1306" w:name="_Toc101674616"/>
      <w:bookmarkStart w:id="1307" w:name="_Toc101674741"/>
      <w:bookmarkStart w:id="1308" w:name="_Toc168287155"/>
      <w:bookmarkStart w:id="1309" w:name="_Toc211310311"/>
      <w:r w:rsidRPr="00B04DC3">
        <w:rPr>
          <w:lang w:val="en-GB"/>
        </w:rPr>
        <w:t>10.2.</w:t>
      </w:r>
      <w:r w:rsidRPr="00B04DC3">
        <w:rPr>
          <w:lang w:val="en-GB"/>
        </w:rPr>
        <w:tab/>
        <w:t xml:space="preserve">Basis for </w:t>
      </w:r>
      <w:r w:rsidR="006923D6">
        <w:rPr>
          <w:lang w:val="en-GB"/>
        </w:rPr>
        <w:t>o</w:t>
      </w:r>
      <w:r w:rsidR="006923D6" w:rsidRPr="00B04DC3">
        <w:rPr>
          <w:lang w:val="en-GB"/>
        </w:rPr>
        <w:t>ff</w:t>
      </w:r>
      <w:r w:rsidRPr="00B04DC3">
        <w:rPr>
          <w:lang w:val="en-GB"/>
        </w:rPr>
        <w:t>-</w:t>
      </w:r>
      <w:r w:rsidR="006923D6">
        <w:rPr>
          <w:lang w:val="en-GB"/>
        </w:rPr>
        <w:t>c</w:t>
      </w:r>
      <w:r w:rsidR="006923D6" w:rsidRPr="00B04DC3">
        <w:rPr>
          <w:lang w:val="en-GB"/>
        </w:rPr>
        <w:t xml:space="preserve">ycle </w:t>
      </w:r>
      <w:r w:rsidR="006923D6">
        <w:rPr>
          <w:lang w:val="en-GB"/>
        </w:rPr>
        <w:t>e</w:t>
      </w:r>
      <w:r w:rsidR="006923D6" w:rsidRPr="00B04DC3">
        <w:rPr>
          <w:lang w:val="en-GB"/>
        </w:rPr>
        <w:t xml:space="preserve">mission </w:t>
      </w:r>
      <w:r w:rsidRPr="00B04DC3">
        <w:rPr>
          <w:lang w:val="en-GB"/>
        </w:rPr>
        <w:t>compliance statement</w:t>
      </w:r>
      <w:bookmarkEnd w:id="1302"/>
      <w:bookmarkEnd w:id="1303"/>
      <w:bookmarkEnd w:id="1304"/>
      <w:bookmarkEnd w:id="1305"/>
      <w:bookmarkEnd w:id="1306"/>
      <w:bookmarkEnd w:id="1307"/>
      <w:bookmarkEnd w:id="1308"/>
      <w:bookmarkEnd w:id="1309"/>
    </w:p>
    <w:p w:rsidR="00AF2027" w:rsidRPr="00B04DC3" w:rsidRDefault="00AF2027" w:rsidP="00AF2027">
      <w:pPr>
        <w:pStyle w:val="para"/>
        <w:rPr>
          <w:lang w:val="en-GB"/>
        </w:rPr>
      </w:pPr>
      <w:r w:rsidRPr="00B04DC3">
        <w:rPr>
          <w:lang w:val="en-GB"/>
        </w:rPr>
        <w:tab/>
        <w:t>The manufacturer shall maintain records at the manufacturer's facility which contain all test data, engineering analyses, and other information which provides the basis for the OCE compliance statement. The manufacturer shall provide such information to the Certification or Type Approval Authority upon request.</w:t>
      </w:r>
    </w:p>
    <w:p w:rsidR="00AF2027" w:rsidRPr="00B04DC3" w:rsidRDefault="00AF2027" w:rsidP="00AF2027">
      <w:pPr>
        <w:pStyle w:val="para"/>
        <w:rPr>
          <w:lang w:val="en-GB"/>
        </w:rPr>
      </w:pPr>
      <w:bookmarkStart w:id="1310" w:name="_Toc211310312"/>
      <w:bookmarkStart w:id="1311" w:name="_Toc168287157"/>
      <w:r w:rsidRPr="00B04DC3">
        <w:rPr>
          <w:lang w:val="en-GB"/>
        </w:rPr>
        <w:br w:type="page"/>
        <w:t>11.</w:t>
      </w:r>
      <w:r w:rsidRPr="00B04DC3">
        <w:rPr>
          <w:lang w:val="en-GB"/>
        </w:rPr>
        <w:tab/>
      </w:r>
      <w:bookmarkEnd w:id="1310"/>
      <w:r w:rsidRPr="00B04DC3">
        <w:rPr>
          <w:lang w:val="en-GB"/>
        </w:rPr>
        <w:t>Documentation</w:t>
      </w:r>
    </w:p>
    <w:p w:rsidR="00AF2027" w:rsidRPr="00B04DC3" w:rsidRDefault="00AF2027" w:rsidP="00AF2027">
      <w:pPr>
        <w:pStyle w:val="para"/>
        <w:rPr>
          <w:lang w:val="en-GB"/>
        </w:rPr>
      </w:pPr>
      <w:r w:rsidRPr="00B04DC3">
        <w:rPr>
          <w:lang w:val="en-GB"/>
        </w:rPr>
        <w:tab/>
        <w:t xml:space="preserve">The </w:t>
      </w:r>
      <w:r w:rsidR="006923D6">
        <w:rPr>
          <w:lang w:val="en-GB"/>
        </w:rPr>
        <w:t xml:space="preserve">Type </w:t>
      </w:r>
      <w:r w:rsidRPr="00B04DC3">
        <w:rPr>
          <w:lang w:val="en-GB"/>
        </w:rPr>
        <w:t>Approval Authority may decide to require that the manufacturer provides a documentation package. This should describe any element of design and emission control strategy of the engine system and the means by which it controls its output variables, whether that control is direct or indirect.</w:t>
      </w:r>
    </w:p>
    <w:p w:rsidR="00AF2027" w:rsidRPr="00B04DC3" w:rsidRDefault="00AF2027" w:rsidP="00AF2027">
      <w:pPr>
        <w:pStyle w:val="para"/>
        <w:rPr>
          <w:lang w:val="en-GB"/>
        </w:rPr>
      </w:pPr>
      <w:r w:rsidRPr="00B04DC3">
        <w:rPr>
          <w:lang w:val="en-GB"/>
        </w:rPr>
        <w:tab/>
        <w:t>The information may include a full description of the emission control strategy. In addition, this could include information on the operation of all AES and BES, including a description of the parameters that are modified by any AES and the boundary conditions under which the AES operate, and indication of which AES and BES are likely to be active under the conditions of the test procedures in this annex.</w:t>
      </w:r>
    </w:p>
    <w:p w:rsidR="00B4293A" w:rsidRPr="00B04DC3" w:rsidRDefault="00B4293A" w:rsidP="00AF2027">
      <w:pPr>
        <w:pStyle w:val="para"/>
        <w:spacing w:before="240" w:after="0"/>
        <w:ind w:left="1134" w:firstLine="0"/>
        <w:jc w:val="center"/>
        <w:rPr>
          <w:u w:val="single"/>
          <w:lang w:val="en-GB"/>
        </w:rPr>
        <w:sectPr w:rsidR="00B4293A" w:rsidRPr="00B04DC3" w:rsidSect="00AF2027">
          <w:headerReference w:type="even" r:id="rId715"/>
          <w:headerReference w:type="default" r:id="rId716"/>
          <w:footerReference w:type="even" r:id="rId717"/>
          <w:footerReference w:type="default" r:id="rId718"/>
          <w:headerReference w:type="first" r:id="rId719"/>
          <w:footerReference w:type="first" r:id="rId720"/>
          <w:footnotePr>
            <w:numRestart w:val="eachSect"/>
          </w:footnotePr>
          <w:endnotePr>
            <w:numFmt w:val="decimal"/>
          </w:endnotePr>
          <w:pgSz w:w="11907" w:h="16840" w:code="9"/>
          <w:pgMar w:top="1701" w:right="1134" w:bottom="2268" w:left="1134" w:header="1134" w:footer="1701" w:gutter="0"/>
          <w:cols w:space="720"/>
          <w:titlePg/>
        </w:sectPr>
      </w:pPr>
    </w:p>
    <w:p w:rsidR="00B4293A" w:rsidRPr="00B04DC3" w:rsidRDefault="00B4293A" w:rsidP="006923D6">
      <w:pPr>
        <w:pStyle w:val="HChG"/>
      </w:pPr>
      <w:bookmarkStart w:id="1312" w:name="_Toc423599728"/>
      <w:bookmarkStart w:id="1313" w:name="_Toc423611136"/>
      <w:r w:rsidRPr="00B04DC3">
        <w:t>Annex 11</w:t>
      </w:r>
      <w:bookmarkEnd w:id="1312"/>
      <w:bookmarkEnd w:id="1313"/>
    </w:p>
    <w:p w:rsidR="00B4293A" w:rsidRPr="00B04DC3" w:rsidRDefault="006923D6" w:rsidP="00FD4B63">
      <w:pPr>
        <w:pStyle w:val="HChG"/>
        <w:spacing w:after="360"/>
      </w:pPr>
      <w:r>
        <w:tab/>
      </w:r>
      <w:r>
        <w:tab/>
      </w:r>
      <w:bookmarkStart w:id="1314" w:name="_Toc423599729"/>
      <w:bookmarkStart w:id="1315" w:name="_Toc423611137"/>
      <w:r w:rsidR="00B4293A" w:rsidRPr="00B04DC3">
        <w:t>Technical requirements for dual fuel engines and vehicles</w:t>
      </w:r>
      <w:bookmarkEnd w:id="1314"/>
      <w:bookmarkEnd w:id="1315"/>
    </w:p>
    <w:p w:rsidR="00B4293A" w:rsidRPr="00B04DC3" w:rsidRDefault="00B4293A" w:rsidP="00FD4B63">
      <w:pPr>
        <w:keepNext/>
        <w:keepLines/>
        <w:spacing w:after="140"/>
        <w:ind w:left="2268" w:right="1134" w:hanging="1134"/>
        <w:jc w:val="both"/>
      </w:pPr>
      <w:r w:rsidRPr="00B04DC3">
        <w:t>1.</w:t>
      </w:r>
      <w:r w:rsidRPr="00B04DC3">
        <w:tab/>
      </w:r>
      <w:bookmarkStart w:id="1316" w:name="_Toc280868658"/>
      <w:bookmarkStart w:id="1317" w:name="_Toc280868848"/>
      <w:bookmarkStart w:id="1318" w:name="_Toc280868903"/>
      <w:bookmarkStart w:id="1319" w:name="_Toc280869052"/>
      <w:bookmarkStart w:id="1320" w:name="_Toc280872632"/>
      <w:bookmarkStart w:id="1321" w:name="_Toc280876599"/>
      <w:bookmarkStart w:id="1322" w:name="_Toc297891210"/>
      <w:bookmarkStart w:id="1323" w:name="_Toc297891299"/>
      <w:bookmarkStart w:id="1324" w:name="_Toc297891388"/>
      <w:bookmarkStart w:id="1325" w:name="_Toc301776530"/>
      <w:bookmarkStart w:id="1326" w:name="_Toc301776678"/>
      <w:bookmarkStart w:id="1327" w:name="_Toc301943970"/>
      <w:bookmarkStart w:id="1328" w:name="_Toc301946497"/>
      <w:bookmarkStart w:id="1329" w:name="_Toc304836440"/>
      <w:r w:rsidRPr="00B04DC3">
        <w:t>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B04DC3">
        <w:t>cope</w:t>
      </w:r>
    </w:p>
    <w:p w:rsidR="00B4293A" w:rsidRPr="00B04DC3" w:rsidRDefault="00B4293A" w:rsidP="00FD4B63">
      <w:pPr>
        <w:spacing w:after="140"/>
        <w:ind w:left="2268" w:right="1134" w:hanging="1134"/>
        <w:jc w:val="both"/>
      </w:pPr>
      <w:r w:rsidRPr="00B04DC3">
        <w:tab/>
        <w:t>This annex shall apply to dual fuel engines and vehicles. Per definition these engines and vehicles are fuelled with diesel and a gaseous fuel.</w:t>
      </w:r>
    </w:p>
    <w:p w:rsidR="00B4293A" w:rsidRPr="00B04DC3" w:rsidRDefault="00B4293A" w:rsidP="00FD4B63">
      <w:pPr>
        <w:spacing w:after="140"/>
        <w:ind w:left="2268" w:right="1134"/>
        <w:jc w:val="both"/>
        <w:rPr>
          <w:bCs/>
        </w:rPr>
      </w:pPr>
      <w:r w:rsidRPr="00B04DC3">
        <w:t>Notwithstanding the provisions regarding multi-setting engines set-out in paragraph 5.1.2.1. of this Regulation, dual-fuel and service modes as described in this annex are permitted.</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330" w:name="_Toc280868659"/>
      <w:bookmarkStart w:id="1331" w:name="_Toc280868849"/>
      <w:bookmarkStart w:id="1332" w:name="_Toc280868904"/>
      <w:bookmarkStart w:id="1333" w:name="_Toc280869053"/>
      <w:bookmarkStart w:id="1334" w:name="_Toc280872633"/>
      <w:bookmarkStart w:id="1335" w:name="_Toc280876600"/>
      <w:bookmarkStart w:id="1336" w:name="_Toc297891211"/>
      <w:bookmarkStart w:id="1337" w:name="_Toc297891300"/>
      <w:bookmarkStart w:id="1338" w:name="_Toc297891389"/>
      <w:bookmarkStart w:id="1339" w:name="_Toc301776531"/>
      <w:bookmarkStart w:id="1340" w:name="_Toc301776679"/>
      <w:bookmarkStart w:id="1341" w:name="_Toc301943971"/>
      <w:bookmarkStart w:id="1342" w:name="_Toc301944331"/>
      <w:bookmarkStart w:id="1343" w:name="_Toc301945280"/>
      <w:bookmarkStart w:id="1344" w:name="_Toc301945388"/>
      <w:bookmarkStart w:id="1345" w:name="_Toc301946498"/>
      <w:bookmarkStart w:id="1346" w:name="_Toc304836441"/>
      <w:r w:rsidRPr="00B04DC3">
        <w:t>2.</w:t>
      </w:r>
      <w:r w:rsidRPr="00B04DC3">
        <w:tab/>
        <w:t>Definitions and abbreviations</w:t>
      </w:r>
      <w:bookmarkStart w:id="1347" w:name="_Toc301943972"/>
      <w:bookmarkStart w:id="1348" w:name="_Toc301944332"/>
      <w:bookmarkStart w:id="1349" w:name="_Toc301945281"/>
      <w:bookmarkStart w:id="1350" w:name="_Toc301945389"/>
      <w:bookmarkStart w:id="1351" w:name="_Toc301946499"/>
      <w:bookmarkStart w:id="1352" w:name="_Toc304836442"/>
      <w:bookmarkStart w:id="1353" w:name="_Toc280868663"/>
      <w:bookmarkStart w:id="1354" w:name="_Toc280868853"/>
      <w:bookmarkStart w:id="1355" w:name="_Toc280868908"/>
      <w:bookmarkStart w:id="1356" w:name="_Toc280869057"/>
      <w:bookmarkStart w:id="1357" w:name="_Toc280872637"/>
      <w:bookmarkStart w:id="1358" w:name="_Toc280876604"/>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2.1.</w:t>
      </w:r>
      <w:r w:rsidRPr="00B04DC3">
        <w:tab/>
        <w:t>"</w:t>
      </w:r>
      <w:r w:rsidRPr="00B04DC3">
        <w:rPr>
          <w:i/>
        </w:rPr>
        <w:t>Gas Energy Ratio (GER)</w:t>
      </w:r>
      <w:bookmarkEnd w:id="1347"/>
      <w:bookmarkEnd w:id="1348"/>
      <w:bookmarkEnd w:id="1349"/>
      <w:bookmarkEnd w:id="1350"/>
      <w:bookmarkEnd w:id="1351"/>
      <w:bookmarkEnd w:id="1352"/>
      <w:r w:rsidRPr="00B04DC3">
        <w:t>" means in case of a dual-fuel engine, the ratio of the energy content of the gaseous fuel divided by the energy content of both fuels (diesel and gaseous), expressed as a percentage, the energy content of the fuels being defined as the lower heating value.</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359" w:name="_Toc301943973"/>
      <w:bookmarkStart w:id="1360" w:name="_Toc301944333"/>
      <w:bookmarkStart w:id="1361" w:name="_Toc301945282"/>
      <w:bookmarkStart w:id="1362" w:name="_Toc301945390"/>
      <w:bookmarkStart w:id="1363" w:name="_Toc301946500"/>
      <w:bookmarkStart w:id="1364" w:name="_Toc304836443"/>
      <w:r w:rsidRPr="00B04DC3">
        <w:t>2.2.</w:t>
      </w:r>
      <w:r w:rsidRPr="00B04DC3">
        <w:tab/>
        <w:t>"</w:t>
      </w:r>
      <w:r w:rsidRPr="00B04DC3">
        <w:rPr>
          <w:i/>
        </w:rPr>
        <w:t>Average gas ratio</w:t>
      </w:r>
      <w:bookmarkEnd w:id="1359"/>
      <w:bookmarkEnd w:id="1360"/>
      <w:bookmarkEnd w:id="1361"/>
      <w:bookmarkEnd w:id="1362"/>
      <w:bookmarkEnd w:id="1363"/>
      <w:bookmarkEnd w:id="1364"/>
      <w:r w:rsidRPr="00B04DC3">
        <w:t xml:space="preserve">" means the average </w:t>
      </w:r>
      <w:r w:rsidR="00D22B95">
        <w:t>g</w:t>
      </w:r>
      <w:r w:rsidRPr="00B04DC3">
        <w:t xml:space="preserve">as </w:t>
      </w:r>
      <w:r w:rsidR="00D22B95">
        <w:t>e</w:t>
      </w:r>
      <w:r w:rsidRPr="00B04DC3">
        <w:t xml:space="preserve">nergy </w:t>
      </w:r>
      <w:r w:rsidR="00D22B95">
        <w:t>r</w:t>
      </w:r>
      <w:r w:rsidRPr="00B04DC3">
        <w:t>atio calculated over a driving cycle.</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365" w:name="_Toc301943974"/>
      <w:bookmarkStart w:id="1366" w:name="_Toc301944334"/>
      <w:bookmarkStart w:id="1367" w:name="_Toc301945283"/>
      <w:bookmarkStart w:id="1368" w:name="_Toc301945391"/>
      <w:bookmarkStart w:id="1369" w:name="_Toc301946501"/>
      <w:bookmarkStart w:id="1370" w:name="_Toc304836444"/>
      <w:r w:rsidRPr="00B04DC3">
        <w:t>2.3.</w:t>
      </w:r>
      <w:r w:rsidRPr="00B04DC3">
        <w:tab/>
        <w:t>"</w:t>
      </w:r>
      <w:r w:rsidRPr="00B04DC3">
        <w:rPr>
          <w:i/>
        </w:rPr>
        <w:t>Type 1A dual-fuel engine</w:t>
      </w:r>
      <w:bookmarkEnd w:id="1353"/>
      <w:bookmarkEnd w:id="1354"/>
      <w:bookmarkEnd w:id="1355"/>
      <w:bookmarkEnd w:id="1356"/>
      <w:bookmarkEnd w:id="1357"/>
      <w:bookmarkEnd w:id="1358"/>
      <w:bookmarkEnd w:id="1365"/>
      <w:bookmarkEnd w:id="1366"/>
      <w:bookmarkEnd w:id="1367"/>
      <w:bookmarkEnd w:id="1368"/>
      <w:bookmarkEnd w:id="1369"/>
      <w:bookmarkEnd w:id="1370"/>
      <w:r w:rsidRPr="00B04DC3">
        <w:t>" means a dual-fuel engine that operates over the ETC test-cycle with an average gas ratio that is not lower than 90 per cent (GER</w:t>
      </w:r>
      <w:r w:rsidRPr="00B04DC3">
        <w:rPr>
          <w:vertAlign w:val="subscript"/>
        </w:rPr>
        <w:t>ETC</w:t>
      </w:r>
      <w:r w:rsidRPr="00B04DC3">
        <w:t xml:space="preserve"> ≥ 90 %), and that does not idle using exclusively diesel fuel, and that has no diesel mode.</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371" w:name="_Toc301943975"/>
      <w:bookmarkStart w:id="1372" w:name="_Toc301944335"/>
      <w:bookmarkStart w:id="1373" w:name="_Toc301945284"/>
      <w:bookmarkStart w:id="1374" w:name="_Toc301945392"/>
      <w:bookmarkStart w:id="1375" w:name="_Toc301946502"/>
      <w:bookmarkStart w:id="1376" w:name="_Toc304836445"/>
      <w:bookmarkStart w:id="1377" w:name="_Toc280868664"/>
      <w:bookmarkStart w:id="1378" w:name="_Toc280868854"/>
      <w:bookmarkStart w:id="1379" w:name="_Toc280868909"/>
      <w:bookmarkStart w:id="1380" w:name="_Toc280869058"/>
      <w:bookmarkStart w:id="1381" w:name="_Toc280872638"/>
      <w:bookmarkStart w:id="1382" w:name="_Toc280876605"/>
      <w:r w:rsidRPr="00B04DC3">
        <w:t>2.4.</w:t>
      </w:r>
      <w:r w:rsidRPr="00B04DC3">
        <w:tab/>
        <w:t>"</w:t>
      </w:r>
      <w:r w:rsidRPr="00B04DC3">
        <w:rPr>
          <w:i/>
        </w:rPr>
        <w:t>Type 1B dual-fuel engine</w:t>
      </w:r>
      <w:bookmarkEnd w:id="1371"/>
      <w:bookmarkEnd w:id="1372"/>
      <w:bookmarkEnd w:id="1373"/>
      <w:bookmarkEnd w:id="1374"/>
      <w:bookmarkEnd w:id="1375"/>
      <w:bookmarkEnd w:id="1376"/>
      <w:r w:rsidRPr="00B04DC3">
        <w:t>" means a dual-fuel engine that operates over the ETC test-cycle with an average gas ratio that is not lower than 90 per cent (GER</w:t>
      </w:r>
      <w:r w:rsidRPr="00B04DC3">
        <w:rPr>
          <w:vertAlign w:val="subscript"/>
        </w:rPr>
        <w:t>ETC</w:t>
      </w:r>
      <w:r w:rsidRPr="00B04DC3">
        <w:t xml:space="preserve"> ≥ 90 %), and that does not idle using exclusively diesel fuel in dual-fuel mode, and that has a diesel mode.</w:t>
      </w:r>
      <w:bookmarkEnd w:id="1377"/>
      <w:bookmarkEnd w:id="1378"/>
      <w:bookmarkEnd w:id="1379"/>
      <w:bookmarkEnd w:id="1380"/>
      <w:bookmarkEnd w:id="1381"/>
      <w:bookmarkEnd w:id="1382"/>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383" w:name="_Toc280868665"/>
      <w:bookmarkStart w:id="1384" w:name="_Toc280868855"/>
      <w:bookmarkStart w:id="1385" w:name="_Toc280868910"/>
      <w:bookmarkStart w:id="1386" w:name="_Toc280869059"/>
      <w:bookmarkStart w:id="1387" w:name="_Toc280872639"/>
      <w:bookmarkStart w:id="1388" w:name="_Toc280876606"/>
      <w:bookmarkStart w:id="1389" w:name="_Toc301943977"/>
      <w:bookmarkStart w:id="1390" w:name="_Toc301944337"/>
      <w:bookmarkStart w:id="1391" w:name="_Toc301945286"/>
      <w:bookmarkStart w:id="1392" w:name="_Toc301945394"/>
      <w:bookmarkStart w:id="1393" w:name="_Toc301946504"/>
      <w:bookmarkStart w:id="1394" w:name="_Toc304836447"/>
      <w:r w:rsidRPr="00B04DC3">
        <w:t>2.5.</w:t>
      </w:r>
      <w:r w:rsidRPr="00B04DC3">
        <w:tab/>
        <w:t>"</w:t>
      </w:r>
      <w:r w:rsidRPr="00B04DC3">
        <w:rPr>
          <w:i/>
        </w:rPr>
        <w:t>Type 2B dual-fuel engine</w:t>
      </w:r>
      <w:bookmarkEnd w:id="1383"/>
      <w:bookmarkEnd w:id="1384"/>
      <w:bookmarkEnd w:id="1385"/>
      <w:bookmarkEnd w:id="1386"/>
      <w:bookmarkEnd w:id="1387"/>
      <w:bookmarkEnd w:id="1388"/>
      <w:bookmarkEnd w:id="1389"/>
      <w:bookmarkEnd w:id="1390"/>
      <w:bookmarkEnd w:id="1391"/>
      <w:bookmarkEnd w:id="1392"/>
      <w:bookmarkEnd w:id="1393"/>
      <w:bookmarkEnd w:id="1394"/>
      <w:r w:rsidRPr="00B04DC3">
        <w:t>"</w:t>
      </w:r>
      <w:r w:rsidRPr="00B04DC3">
        <w:rPr>
          <w:vertAlign w:val="superscript"/>
        </w:rPr>
        <w:footnoteReference w:id="59"/>
      </w:r>
      <w:bookmarkStart w:id="1395" w:name="_Toc280868666"/>
      <w:bookmarkStart w:id="1396" w:name="_Toc280868856"/>
      <w:bookmarkStart w:id="1397" w:name="_Toc280868911"/>
      <w:bookmarkStart w:id="1398" w:name="_Toc280869060"/>
      <w:bookmarkStart w:id="1399" w:name="_Toc280872640"/>
      <w:bookmarkStart w:id="1400" w:name="_Toc280876607"/>
      <w:r w:rsidRPr="00B04DC3">
        <w:t xml:space="preserve"> means a dual-fuel engine that operates over the ETC test-cycle with an average gas ratio between 10 per cent and 90 per cent (10 % &lt; GER</w:t>
      </w:r>
      <w:r w:rsidRPr="00B04DC3">
        <w:rPr>
          <w:vertAlign w:val="subscript"/>
        </w:rPr>
        <w:t>ETC</w:t>
      </w:r>
      <w:r w:rsidRPr="00B04DC3">
        <w:t xml:space="preserve"> &lt; 90 %) and that has a diesel mode, or a dual-fuel engine that operates over the ETC test-cycle with an average gas ratio that is not lower than 90 per cent (GER</w:t>
      </w:r>
      <w:r w:rsidRPr="00B04DC3">
        <w:rPr>
          <w:vertAlign w:val="subscript"/>
        </w:rPr>
        <w:t>ETC</w:t>
      </w:r>
      <w:r w:rsidRPr="00B04DC3">
        <w:t xml:space="preserve"> ≥ 90 %), but that can idle using exclusively diesel fuel in dual-fuel mode, and that has a diesel mode.</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01" w:name="_Toc301943978"/>
      <w:bookmarkStart w:id="1402" w:name="_Toc301944338"/>
      <w:bookmarkStart w:id="1403" w:name="_Toc301945287"/>
      <w:bookmarkStart w:id="1404" w:name="_Toc301945395"/>
      <w:bookmarkStart w:id="1405" w:name="_Toc301946505"/>
      <w:bookmarkStart w:id="1406" w:name="_Toc304836448"/>
      <w:r w:rsidRPr="00B04DC3">
        <w:t>2.6.</w:t>
      </w:r>
      <w:r w:rsidRPr="00B04DC3">
        <w:tab/>
        <w:t>"</w:t>
      </w:r>
      <w:r w:rsidRPr="00B04DC3">
        <w:rPr>
          <w:i/>
        </w:rPr>
        <w:t>Type 3B dual-fuel engine</w:t>
      </w:r>
      <w:bookmarkEnd w:id="1395"/>
      <w:bookmarkEnd w:id="1396"/>
      <w:bookmarkEnd w:id="1397"/>
      <w:bookmarkEnd w:id="1398"/>
      <w:bookmarkEnd w:id="1399"/>
      <w:bookmarkEnd w:id="1400"/>
      <w:r w:rsidRPr="00B04DC3">
        <w:t>"</w:t>
      </w:r>
      <w:r w:rsidRPr="00B04DC3">
        <w:rPr>
          <w:vertAlign w:val="superscript"/>
        </w:rPr>
        <w:footnoteReference w:id="60"/>
      </w:r>
      <w:bookmarkEnd w:id="1401"/>
      <w:bookmarkEnd w:id="1402"/>
      <w:bookmarkEnd w:id="1403"/>
      <w:bookmarkEnd w:id="1404"/>
      <w:bookmarkEnd w:id="1405"/>
      <w:bookmarkEnd w:id="1406"/>
      <w:r w:rsidRPr="00B04DC3">
        <w:t xml:space="preserve"> means a dual-fuel engine that operates over the ETC test-cycle with an average gas ratio that does not exceed 10 per cent (GER</w:t>
      </w:r>
      <w:r w:rsidRPr="00B04DC3">
        <w:rPr>
          <w:vertAlign w:val="subscript"/>
        </w:rPr>
        <w:t>ETC</w:t>
      </w:r>
      <w:r w:rsidRPr="00B04DC3">
        <w:t xml:space="preserve"> ≤ 10 %) and that has a diesel mode.</w:t>
      </w:r>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07" w:name="_Toc297891218"/>
      <w:bookmarkStart w:id="1408" w:name="_Toc297891307"/>
      <w:bookmarkStart w:id="1409" w:name="_Toc297891396"/>
      <w:bookmarkStart w:id="1410" w:name="_Toc301776532"/>
      <w:bookmarkStart w:id="1411" w:name="_Toc301776680"/>
      <w:bookmarkStart w:id="1412" w:name="_Toc301943980"/>
      <w:bookmarkStart w:id="1413" w:name="_Toc301944340"/>
      <w:bookmarkStart w:id="1414" w:name="_Toc301945289"/>
      <w:bookmarkStart w:id="1415" w:name="_Toc301945397"/>
      <w:bookmarkStart w:id="1416" w:name="_Toc301946507"/>
      <w:bookmarkStart w:id="1417" w:name="_Toc304836450"/>
      <w:r w:rsidRPr="00B04DC3">
        <w:t>3.</w:t>
      </w:r>
      <w:r w:rsidRPr="00B04DC3">
        <w:tab/>
        <w:t>Dual-fuel specific additional approval requirements</w:t>
      </w:r>
      <w:bookmarkEnd w:id="1407"/>
      <w:bookmarkEnd w:id="1408"/>
      <w:bookmarkEnd w:id="1409"/>
      <w:bookmarkEnd w:id="1410"/>
      <w:bookmarkEnd w:id="1411"/>
      <w:bookmarkEnd w:id="1412"/>
      <w:bookmarkEnd w:id="1413"/>
      <w:bookmarkEnd w:id="1414"/>
      <w:bookmarkEnd w:id="1415"/>
      <w:bookmarkEnd w:id="1416"/>
      <w:bookmarkEnd w:id="1417"/>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18" w:name="_Toc297891220"/>
      <w:bookmarkStart w:id="1419" w:name="_Toc297891309"/>
      <w:bookmarkStart w:id="1420" w:name="_Toc297891398"/>
      <w:bookmarkStart w:id="1421" w:name="_Toc301776534"/>
      <w:bookmarkStart w:id="1422" w:name="_Toc301776682"/>
      <w:bookmarkStart w:id="1423" w:name="_Toc301943982"/>
      <w:bookmarkStart w:id="1424" w:name="_Toc301944342"/>
      <w:bookmarkStart w:id="1425" w:name="_Toc301945291"/>
      <w:bookmarkStart w:id="1426" w:name="_Toc301945399"/>
      <w:bookmarkStart w:id="1427" w:name="_Toc301946509"/>
      <w:bookmarkStart w:id="1428" w:name="_Toc304836452"/>
      <w:r w:rsidRPr="00B04DC3">
        <w:t>3.1.</w:t>
      </w:r>
      <w:r w:rsidRPr="00B04DC3">
        <w:tab/>
        <w:t>Dual-fuel engine family</w:t>
      </w:r>
      <w:bookmarkEnd w:id="1418"/>
      <w:bookmarkEnd w:id="1419"/>
      <w:bookmarkEnd w:id="1420"/>
      <w:bookmarkEnd w:id="1421"/>
      <w:bookmarkEnd w:id="1422"/>
      <w:bookmarkEnd w:id="1423"/>
      <w:bookmarkEnd w:id="1424"/>
      <w:bookmarkEnd w:id="1425"/>
      <w:bookmarkEnd w:id="1426"/>
      <w:bookmarkEnd w:id="1427"/>
      <w:bookmarkEnd w:id="1428"/>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29" w:name="_Toc280876614"/>
      <w:bookmarkStart w:id="1430" w:name="_Toc297891223"/>
      <w:bookmarkStart w:id="1431" w:name="_Toc297891312"/>
      <w:bookmarkStart w:id="1432" w:name="_Toc297891401"/>
      <w:bookmarkStart w:id="1433" w:name="_Toc301776537"/>
      <w:bookmarkStart w:id="1434" w:name="_Toc301776685"/>
      <w:bookmarkStart w:id="1435" w:name="_Toc301943985"/>
      <w:bookmarkStart w:id="1436" w:name="_Toc301944343"/>
      <w:bookmarkStart w:id="1437" w:name="_Toc301945292"/>
      <w:bookmarkStart w:id="1438" w:name="_Toc301945400"/>
      <w:r w:rsidRPr="00B04DC3">
        <w:t>3.1.1.</w:t>
      </w:r>
      <w:r w:rsidRPr="00B04DC3">
        <w:tab/>
        <w:t>Criteria for belonging to a dual-fuel engine family</w:t>
      </w:r>
      <w:bookmarkEnd w:id="1429"/>
      <w:bookmarkEnd w:id="1430"/>
      <w:bookmarkEnd w:id="1431"/>
      <w:bookmarkEnd w:id="1432"/>
      <w:bookmarkEnd w:id="1433"/>
      <w:bookmarkEnd w:id="1434"/>
      <w:bookmarkEnd w:id="1435"/>
      <w:bookmarkEnd w:id="1436"/>
      <w:bookmarkEnd w:id="1437"/>
      <w:bookmarkEnd w:id="1438"/>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ab/>
        <w:t>All engines within a dual-fuel engine family shall belong to the same type of dual-fuel engines defined in paragraph 2.</w:t>
      </w:r>
      <w:r w:rsidR="00D22B95" w:rsidRPr="00D22B95">
        <w:t xml:space="preserve"> </w:t>
      </w:r>
      <w:r w:rsidR="004604DB">
        <w:t>o</w:t>
      </w:r>
      <w:r w:rsidR="00D22B95">
        <w:t>f this annex</w:t>
      </w:r>
      <w:r w:rsidRPr="00B04DC3">
        <w:t xml:space="preserve"> and operate with the same types of fuel or when appropriate with fuels declared according to this Regulation as being of the same range(s).</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ab/>
        <w:t>All engines within a dual-fuel engine family shall meet the criteria defined by this Regulation for belonging to a compression ignition engine family.</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rPr>
          <w:iCs/>
        </w:rPr>
      </w:pPr>
      <w:r w:rsidRPr="00B04DC3">
        <w:tab/>
        <w:t>The difference between the highest and the lowest GER</w:t>
      </w:r>
      <w:r w:rsidRPr="00B04DC3">
        <w:rPr>
          <w:vertAlign w:val="subscript"/>
        </w:rPr>
        <w:t>ETC</w:t>
      </w:r>
      <w:r w:rsidRPr="00B04DC3">
        <w:t xml:space="preserve"> (i.e. the highest GER</w:t>
      </w:r>
      <w:r w:rsidRPr="00B04DC3">
        <w:rPr>
          <w:vertAlign w:val="subscript"/>
        </w:rPr>
        <w:t>ETC</w:t>
      </w:r>
      <w:r w:rsidRPr="00B04DC3">
        <w:t xml:space="preserve"> minus the lowest GER</w:t>
      </w:r>
      <w:r w:rsidRPr="00B04DC3">
        <w:rPr>
          <w:vertAlign w:val="subscript"/>
        </w:rPr>
        <w:t>ETC</w:t>
      </w:r>
      <w:r w:rsidRPr="00B04DC3">
        <w:t>) within a dual-fuel engine family shall not exceed 30 per cent.</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rPr>
          <w:b/>
          <w:iCs/>
        </w:rPr>
      </w:pPr>
      <w:bookmarkStart w:id="1439" w:name="_Toc280876615"/>
      <w:bookmarkStart w:id="1440" w:name="_Toc297891224"/>
      <w:bookmarkStart w:id="1441" w:name="_Toc297891313"/>
      <w:bookmarkStart w:id="1442" w:name="_Toc297891402"/>
      <w:bookmarkStart w:id="1443" w:name="_Toc301776538"/>
      <w:bookmarkStart w:id="1444" w:name="_Toc301776686"/>
      <w:bookmarkStart w:id="1445" w:name="_Toc301943986"/>
      <w:bookmarkStart w:id="1446" w:name="_Toc301944344"/>
      <w:bookmarkStart w:id="1447" w:name="_Toc301945293"/>
      <w:bookmarkStart w:id="1448" w:name="_Toc301945401"/>
      <w:r w:rsidRPr="00B04DC3">
        <w:t>3.1.2.</w:t>
      </w:r>
      <w:r w:rsidRPr="00B04DC3">
        <w:tab/>
        <w:t>Selection of the parent engine</w:t>
      </w:r>
      <w:bookmarkEnd w:id="1439"/>
      <w:bookmarkEnd w:id="1440"/>
      <w:bookmarkEnd w:id="1441"/>
      <w:bookmarkEnd w:id="1442"/>
      <w:bookmarkEnd w:id="1443"/>
      <w:bookmarkEnd w:id="1444"/>
      <w:bookmarkEnd w:id="1445"/>
      <w:bookmarkEnd w:id="1446"/>
      <w:bookmarkEnd w:id="1447"/>
      <w:bookmarkEnd w:id="1448"/>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rPr>
          <w:iCs/>
        </w:rPr>
      </w:pPr>
      <w:r w:rsidRPr="00B04DC3">
        <w:tab/>
        <w:t>The parent engine of a dual-fuel engine family shall be selected according to the criteria defined by this Regulation for selecting the parent engine of a compression ignition engine family.</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49" w:name="_Toc280868674"/>
      <w:bookmarkStart w:id="1450" w:name="_Toc280868864"/>
      <w:bookmarkStart w:id="1451" w:name="_Toc280868919"/>
      <w:bookmarkStart w:id="1452" w:name="_Toc280869068"/>
      <w:bookmarkStart w:id="1453" w:name="_Toc280872648"/>
      <w:bookmarkStart w:id="1454" w:name="_Toc280876619"/>
      <w:bookmarkStart w:id="1455" w:name="_Toc297891228"/>
      <w:bookmarkStart w:id="1456" w:name="_Toc297891317"/>
      <w:bookmarkStart w:id="1457" w:name="_Toc297891406"/>
      <w:bookmarkStart w:id="1458" w:name="_Toc301776542"/>
      <w:bookmarkStart w:id="1459" w:name="_Toc301776690"/>
      <w:bookmarkStart w:id="1460" w:name="_Toc301943990"/>
      <w:r w:rsidRPr="00B04DC3">
        <w:t>3.1.3.</w:t>
      </w:r>
      <w:r w:rsidRPr="00B04DC3">
        <w:tab/>
        <w:t>Extension to include a new engine system into a dual-fuel engine-family</w:t>
      </w:r>
      <w:bookmarkEnd w:id="1449"/>
      <w:bookmarkEnd w:id="1450"/>
      <w:bookmarkEnd w:id="1451"/>
      <w:bookmarkEnd w:id="1452"/>
      <w:bookmarkEnd w:id="1453"/>
      <w:bookmarkEnd w:id="1454"/>
      <w:bookmarkEnd w:id="1455"/>
      <w:bookmarkEnd w:id="1456"/>
      <w:bookmarkEnd w:id="1457"/>
      <w:bookmarkEnd w:id="1458"/>
      <w:bookmarkEnd w:id="1459"/>
      <w:bookmarkEnd w:id="1460"/>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rPr>
          <w:iCs/>
        </w:rPr>
      </w:pPr>
      <w:r w:rsidRPr="00B04DC3">
        <w:rPr>
          <w:iCs/>
        </w:rPr>
        <w:tab/>
        <w:t>At the request of the manufacturer and upon approval of the Type Approval Authority, a new dual-fuel engine may be included as a member of a certified dual-fuel engine family if the criteria specified in paragraph 3.2.2.1.</w:t>
      </w:r>
      <w:r w:rsidR="004604DB">
        <w:rPr>
          <w:iCs/>
        </w:rPr>
        <w:t xml:space="preserve"> of this Regulation</w:t>
      </w:r>
      <w:r w:rsidRPr="00B04DC3">
        <w:rPr>
          <w:iCs/>
        </w:rPr>
        <w:t xml:space="preserve"> are met.</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ab/>
        <w:t>If the elements of design of the parent engine system are representative of those of the new engine system, then the parent engine system shall remain unchanged and the manufacturer shall modify the documentation package according to paragraph 12. of this annex.</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ab/>
        <w:t>If the new engine system contains elements of design that are not represented by the parent engine system but itself would represent the whole family, then the new engine system shall become the new dual-fuel-parent engine. In this case the new elements of design shall be demonstrated to comply with the provisions of this regulation, and the documentation package shall be modified according to paragraph 12. of this annex.</w:t>
      </w:r>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bookmarkStart w:id="1461" w:name="_Toc280868675"/>
      <w:bookmarkStart w:id="1462" w:name="_Toc280868865"/>
      <w:bookmarkStart w:id="1463" w:name="_Toc280868920"/>
      <w:bookmarkStart w:id="1464" w:name="_Toc280869069"/>
      <w:bookmarkStart w:id="1465" w:name="_Toc280872649"/>
      <w:bookmarkStart w:id="1466" w:name="_Toc280876620"/>
      <w:bookmarkStart w:id="1467" w:name="_Toc297891229"/>
      <w:bookmarkStart w:id="1468" w:name="_Toc297891318"/>
      <w:bookmarkStart w:id="1469" w:name="_Toc297891407"/>
      <w:bookmarkStart w:id="1470" w:name="_Toc301776543"/>
      <w:bookmarkStart w:id="1471" w:name="_Toc301776691"/>
      <w:bookmarkStart w:id="1472" w:name="_Toc301943991"/>
      <w:r w:rsidRPr="00B04DC3">
        <w:t>3.1.4.</w:t>
      </w:r>
      <w:r w:rsidRPr="00B04DC3">
        <w:tab/>
        <w:t>Extension to address a design change that affects the dual-fuel engine system</w:t>
      </w:r>
      <w:bookmarkEnd w:id="1461"/>
      <w:bookmarkEnd w:id="1462"/>
      <w:bookmarkEnd w:id="1463"/>
      <w:bookmarkEnd w:id="1464"/>
      <w:bookmarkEnd w:id="1465"/>
      <w:bookmarkEnd w:id="1466"/>
      <w:bookmarkEnd w:id="1467"/>
      <w:bookmarkEnd w:id="1468"/>
      <w:bookmarkEnd w:id="1469"/>
      <w:bookmarkEnd w:id="1470"/>
      <w:bookmarkEnd w:id="1471"/>
      <w:bookmarkEnd w:id="1472"/>
    </w:p>
    <w:p w:rsidR="00B4293A" w:rsidRPr="00B04DC3" w:rsidRDefault="00B4293A" w:rsidP="00FD4B6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40"/>
        <w:ind w:left="2268" w:right="1134" w:hanging="1134"/>
        <w:jc w:val="both"/>
      </w:pPr>
      <w:r w:rsidRPr="00B04DC3">
        <w:tab/>
        <w:t>At the request of the manufacturer and upon approval of the Type Approval Authority, an extension of an existing certificate may be granted in the case of a design change of the dual-fuel engine system if the manufacturer demonstrates that the design changes comply with the provisions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documentation package shall be modified according to paragraph 12. of this annex.</w:t>
      </w:r>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473" w:name="_Toc297891230"/>
      <w:bookmarkStart w:id="1474" w:name="_Toc297891319"/>
      <w:bookmarkStart w:id="1475" w:name="_Toc297891408"/>
      <w:bookmarkStart w:id="1476" w:name="_Toc301776544"/>
      <w:bookmarkStart w:id="1477" w:name="_Toc301776692"/>
      <w:bookmarkStart w:id="1478" w:name="_Toc301943992"/>
      <w:bookmarkStart w:id="1479" w:name="_Toc301944347"/>
      <w:bookmarkStart w:id="1480" w:name="_Toc301945296"/>
      <w:bookmarkStart w:id="1481" w:name="_Toc301945404"/>
      <w:bookmarkStart w:id="1482" w:name="_Toc301946510"/>
      <w:bookmarkStart w:id="1483" w:name="_Toc304836453"/>
      <w:bookmarkStart w:id="1484" w:name="_Toc280868676"/>
      <w:bookmarkStart w:id="1485" w:name="_Toc280868866"/>
      <w:bookmarkStart w:id="1486" w:name="_Toc280868921"/>
      <w:bookmarkStart w:id="1487" w:name="_Toc280869070"/>
      <w:bookmarkStart w:id="1488" w:name="_Toc280872650"/>
      <w:bookmarkStart w:id="1489" w:name="_Toc280876621"/>
      <w:r w:rsidRPr="00B04DC3">
        <w:t>4.</w:t>
      </w:r>
      <w:r w:rsidRPr="00B04DC3">
        <w:tab/>
        <w:t>General requirements</w:t>
      </w:r>
      <w:bookmarkEnd w:id="1473"/>
      <w:bookmarkEnd w:id="1474"/>
      <w:bookmarkEnd w:id="1475"/>
      <w:bookmarkEnd w:id="1476"/>
      <w:bookmarkEnd w:id="1477"/>
      <w:bookmarkEnd w:id="1478"/>
      <w:bookmarkEnd w:id="1479"/>
      <w:bookmarkEnd w:id="1480"/>
      <w:bookmarkEnd w:id="1481"/>
      <w:bookmarkEnd w:id="1482"/>
      <w:bookmarkEnd w:id="1483"/>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490" w:name="_Toc301776545"/>
      <w:bookmarkStart w:id="1491" w:name="_Toc301776693"/>
      <w:bookmarkStart w:id="1492" w:name="_Toc301943993"/>
      <w:bookmarkStart w:id="1493" w:name="_Toc301944348"/>
      <w:bookmarkStart w:id="1494" w:name="_Toc301945297"/>
      <w:bookmarkStart w:id="1495" w:name="_Toc301945405"/>
      <w:bookmarkStart w:id="1496" w:name="_Toc301946511"/>
      <w:bookmarkStart w:id="1497" w:name="_Toc304836454"/>
      <w:r w:rsidRPr="00B04DC3">
        <w:t>4.1.</w:t>
      </w:r>
      <w:r w:rsidRPr="00B04DC3">
        <w:tab/>
        <w:t xml:space="preserve">Operating modes of dual-fuel engines and vehicles </w:t>
      </w:r>
      <w:bookmarkEnd w:id="1490"/>
      <w:bookmarkEnd w:id="1491"/>
      <w:bookmarkEnd w:id="1492"/>
      <w:bookmarkEnd w:id="1493"/>
      <w:bookmarkEnd w:id="1494"/>
      <w:bookmarkEnd w:id="1495"/>
      <w:bookmarkEnd w:id="1496"/>
      <w:bookmarkEnd w:id="1497"/>
    </w:p>
    <w:p w:rsidR="00B4293A" w:rsidRPr="00B04DC3" w:rsidRDefault="00B4293A" w:rsidP="00FD4B63">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498" w:name="_Toc301943994"/>
      <w:r w:rsidRPr="00B04DC3">
        <w:t>4.1.1.</w:t>
      </w:r>
      <w:r w:rsidRPr="00B04DC3">
        <w:tab/>
        <w:t>Conditions for a dual-fuel engine to operate in diesel mode</w:t>
      </w:r>
      <w:bookmarkEnd w:id="1498"/>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 dual-fuel engine may only operate in diesel mode if, when operating in diesel mode, it has been certified according to all the requirements of this Regulation concerning diesel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499" w:name="_Toc301943995"/>
      <w:r w:rsidRPr="00B04DC3">
        <w:t>4.1.2.</w:t>
      </w:r>
      <w:r w:rsidRPr="00B04DC3">
        <w:tab/>
        <w:t>Conditions for a dual-fuel engine to idle using diesel fuel</w:t>
      </w:r>
      <w:bookmarkEnd w:id="1499"/>
      <w:r w:rsidRPr="00B04DC3">
        <w:t xml:space="preserve"> exclusively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4.1.2.1.</w:t>
      </w:r>
      <w:r w:rsidRPr="00B04DC3">
        <w:tab/>
        <w:t xml:space="preserve">Type 1A dual-fuel engines shall not idle using diesel fuel exclusively except under the conditions defined in paragraph 4.1.3. </w:t>
      </w:r>
      <w:r w:rsidR="004604DB">
        <w:t xml:space="preserve">below </w:t>
      </w:r>
      <w:r w:rsidRPr="00B04DC3">
        <w:t>for warm-up and start.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4.1.2.2.</w:t>
      </w:r>
      <w:r w:rsidRPr="00B04DC3">
        <w:tab/>
        <w:t>Type 1B dual-fuel engines shall not idle using diesel fuel exclusively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4.1.2.3.</w:t>
      </w:r>
      <w:r w:rsidRPr="00B04DC3">
        <w:tab/>
        <w:t>Types 2B and 3B dual-fuel engines may idle using diesel fuel exclusively.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00" w:name="_Toc301943996"/>
      <w:r w:rsidRPr="00B04DC3">
        <w:t>4.1.3.</w:t>
      </w:r>
      <w:r w:rsidRPr="00B04DC3">
        <w:tab/>
        <w:t>Conditions for a dual-fuel engine to warm-up or start using diesel fuel</w:t>
      </w:r>
      <w:bookmarkEnd w:id="1500"/>
      <w:r w:rsidRPr="00B04DC3">
        <w:t xml:space="preserve"> exclusively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4.1.3.1.</w:t>
      </w:r>
      <w:r w:rsidRPr="00B04DC3">
        <w:tab/>
        <w:t>A Type 1B, Type 2B, or Type</w:t>
      </w:r>
      <w:r w:rsidR="004604DB">
        <w:t xml:space="preserve"> </w:t>
      </w:r>
      <w:r w:rsidRPr="00B04DC3">
        <w:t>3B dual-fuel engine may warm-up or start using diesel fuel solely. However, in that case, it shall operate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4.1.3.2.</w:t>
      </w:r>
      <w:r w:rsidRPr="00B04DC3">
        <w:tab/>
        <w:t xml:space="preserve">A Type 1A dual-fuel engine may warm-up or start using diesel fuel solely. However, in that case, the strategy shall be declared as an </w:t>
      </w:r>
      <w:r w:rsidR="001A3319">
        <w:t xml:space="preserve">Auxiliary </w:t>
      </w:r>
      <w:r w:rsidR="00DF2895">
        <w:t>e</w:t>
      </w:r>
      <w:r w:rsidR="001A3319">
        <w:t>mission Control Strategy (</w:t>
      </w:r>
      <w:r w:rsidR="001A3319" w:rsidRPr="00B04DC3">
        <w:t>ACS</w:t>
      </w:r>
      <w:r w:rsidR="001A3319">
        <w:t>)</w:t>
      </w:r>
      <w:r w:rsidRPr="00B04DC3">
        <w:t xml:space="preserve"> and the following additional requirements shall be met: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4.1.3.2.1.</w:t>
      </w:r>
      <w:r w:rsidRPr="00B04DC3">
        <w:tab/>
        <w:t>The strategy shall cease to be active when the coolant temperature has reached a temperature of 343 K (70 °C), or within 15 minutes after it has been activated, whichever occurs first; and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4.1.3.2.2.</w:t>
      </w:r>
      <w:r w:rsidRPr="00B04DC3">
        <w:tab/>
        <w:t>The service mode shall be activated while the strategy is active or, in absence of service mode, the vehicle shall remain stationary.</w:t>
      </w:r>
    </w:p>
    <w:bookmarkEnd w:id="1484"/>
    <w:bookmarkEnd w:id="1485"/>
    <w:bookmarkEnd w:id="1486"/>
    <w:bookmarkEnd w:id="1487"/>
    <w:bookmarkEnd w:id="1488"/>
    <w:bookmarkEnd w:id="1489"/>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4.2.</w:t>
      </w:r>
      <w:r w:rsidRPr="00B04DC3">
        <w:tab/>
        <w:t>Operability restriction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For the purpose of this annex, a dual-fuel vehicle shall be designed so as to permit, at the choice of the manufacturer, one of the following operability restrictions:</w:t>
      </w:r>
    </w:p>
    <w:p w:rsidR="00B4293A" w:rsidRPr="00B04DC3" w:rsidRDefault="00B4293A" w:rsidP="00B4293A">
      <w:pPr>
        <w:numPr>
          <w:ilvl w:val="0"/>
          <w:numId w:val="33"/>
        </w:num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activation of the service mode;</w:t>
      </w:r>
    </w:p>
    <w:p w:rsidR="00B4293A" w:rsidRPr="00B04DC3" w:rsidRDefault="00B4293A" w:rsidP="00B4293A">
      <w:pPr>
        <w:numPr>
          <w:ilvl w:val="0"/>
          <w:numId w:val="33"/>
        </w:num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inability for the engine to move the vehicle.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01" w:name="_Toc297891236"/>
      <w:bookmarkStart w:id="1502" w:name="_Toc297891325"/>
      <w:bookmarkStart w:id="1503" w:name="_Toc297891414"/>
      <w:bookmarkStart w:id="1504" w:name="_Toc301776547"/>
      <w:bookmarkStart w:id="1505" w:name="_Toc301776695"/>
      <w:bookmarkStart w:id="1506" w:name="_Toc301943998"/>
      <w:r w:rsidRPr="00B04DC3">
        <w:t>4.2.1</w:t>
      </w:r>
      <w:r w:rsidRPr="00B04DC3">
        <w:tab/>
        <w:t>Conditions for dual-fuel engines and vehicles to operate in service mode</w:t>
      </w:r>
      <w:bookmarkEnd w:id="1501"/>
      <w:bookmarkEnd w:id="1502"/>
      <w:bookmarkEnd w:id="1503"/>
      <w:bookmarkEnd w:id="1504"/>
      <w:bookmarkEnd w:id="1505"/>
      <w:bookmarkEnd w:id="1506"/>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07" w:name="_Toc297891237"/>
      <w:bookmarkStart w:id="1508" w:name="_Toc297891326"/>
      <w:bookmarkStart w:id="1509" w:name="_Toc297891415"/>
      <w:r w:rsidRPr="00B04DC3">
        <w:tab/>
        <w:t>When a dual-fuel engine operates in a service mode, the speed of the dual-fuel vehicle equipped with that engine shall be automatically limited to 20 km/h. This speed limitation shall be automatically deactivated when the vehicle no longer operates in service mode. When operating in service mode a dual-fuel engine is temporarily exempted from complying with the requirements related to exhaust emissions, OBD, and NO</w:t>
      </w:r>
      <w:r w:rsidRPr="00B04DC3">
        <w:rPr>
          <w:vertAlign w:val="subscript"/>
        </w:rPr>
        <w:t>x</w:t>
      </w:r>
      <w:r w:rsidRPr="00B04DC3">
        <w:t xml:space="preserve"> control monitoring described in this Regulation.</w:t>
      </w:r>
      <w:bookmarkEnd w:id="1507"/>
      <w:bookmarkEnd w:id="1508"/>
      <w:bookmarkEnd w:id="1509"/>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10" w:name="_Toc297891238"/>
      <w:bookmarkStart w:id="1511" w:name="_Toc297891327"/>
      <w:bookmarkStart w:id="1512" w:name="_Toc297891416"/>
      <w:bookmarkStart w:id="1513" w:name="_Toc301776548"/>
      <w:bookmarkStart w:id="1514" w:name="_Toc301776696"/>
      <w:bookmarkStart w:id="1515" w:name="_Toc301943999"/>
      <w:r w:rsidRPr="00B04DC3">
        <w:t>4.2.2.</w:t>
      </w:r>
      <w:r w:rsidRPr="00B04DC3">
        <w:tab/>
        <w:t>Requirements regarding operability restriction</w:t>
      </w:r>
      <w:bookmarkEnd w:id="1510"/>
      <w:bookmarkEnd w:id="1511"/>
      <w:bookmarkEnd w:id="1512"/>
      <w:bookmarkEnd w:id="1513"/>
      <w:bookmarkEnd w:id="1514"/>
      <w:bookmarkEnd w:id="1515"/>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4.2.2.1.</w:t>
      </w:r>
      <w:r w:rsidRPr="00B04DC3">
        <w:tab/>
        <w:t>Operability restriction and requirements to ensure the correct operation of NO</w:t>
      </w:r>
      <w:r w:rsidRPr="00B04DC3">
        <w:rPr>
          <w:vertAlign w:val="subscript"/>
        </w:rPr>
        <w:t>x</w:t>
      </w:r>
      <w:r w:rsidRPr="00B04DC3">
        <w:t xml:space="preserve"> control measures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An operability restriction as set out in paragraph 4.2. </w:t>
      </w:r>
      <w:r w:rsidR="004604DB">
        <w:t xml:space="preserve">above </w:t>
      </w:r>
      <w:r w:rsidRPr="00B04DC3">
        <w:t>shall not be deactivated by either the activation or deactivation of the warning and torque reduction systems specified in paragraph 5.5.5.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activation and the deactivation of an operability restriction as set out in paragraph 4.2.</w:t>
      </w:r>
      <w:r w:rsidR="004604DB">
        <w:t xml:space="preserve"> above</w:t>
      </w:r>
      <w:r w:rsidRPr="00B04DC3">
        <w:t xml:space="preserve"> shall not activate or deactivate the warning and torque reduction systems specified in paragraph 5.5.5. of this Regulation</w:t>
      </w:r>
      <w:r w:rsidR="004604DB">
        <w:t>.</w:t>
      </w:r>
    </w:p>
    <w:p w:rsidR="00B4293A" w:rsidRPr="00B04DC3" w:rsidRDefault="00B4293A" w:rsidP="006923D6">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16" w:name="_Toc297891239"/>
      <w:bookmarkStart w:id="1517" w:name="_Toc297891328"/>
      <w:bookmarkStart w:id="1518" w:name="_Toc297891417"/>
      <w:bookmarkStart w:id="1519" w:name="_Toc301776549"/>
      <w:bookmarkStart w:id="1520" w:name="_Toc301776697"/>
      <w:bookmarkStart w:id="1521" w:name="_Toc301944000"/>
      <w:bookmarkStart w:id="1522" w:name="_Toc301944350"/>
      <w:bookmarkStart w:id="1523" w:name="_Toc301945299"/>
      <w:bookmarkStart w:id="1524" w:name="_Toc301945407"/>
      <w:r w:rsidRPr="00B04DC3">
        <w:t>4.2.2.2.</w:t>
      </w:r>
      <w:r w:rsidRPr="00B04DC3">
        <w:tab/>
        <w:t>Activation of an operability restriction</w:t>
      </w:r>
      <w:bookmarkEnd w:id="1516"/>
      <w:bookmarkEnd w:id="1517"/>
      <w:bookmarkEnd w:id="1518"/>
      <w:bookmarkEnd w:id="1519"/>
      <w:bookmarkEnd w:id="1520"/>
      <w:bookmarkEnd w:id="1521"/>
      <w:bookmarkEnd w:id="1522"/>
      <w:bookmarkEnd w:id="1523"/>
      <w:bookmarkEnd w:id="1524"/>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In the case where an operability restriction is required according to paragraph 4.2.3. </w:t>
      </w:r>
      <w:r w:rsidR="004604DB">
        <w:t xml:space="preserve">below </w:t>
      </w:r>
      <w:r w:rsidRPr="00B04DC3">
        <w:t>"Unavailability of gaseous fuel when operating in a dual-fuel mode" because of a malfunction of the gas supply system, the operability restriction shall become active after the next time the vehicle is stationary</w:t>
      </w:r>
      <w:r w:rsidRPr="00B04DC3">
        <w:rPr>
          <w:vertAlign w:val="superscript"/>
        </w:rPr>
        <w:footnoteReference w:id="61"/>
      </w:r>
      <w:r w:rsidRPr="00B04DC3">
        <w:t xml:space="preserve"> or within 30 minutes after the operability restriction is required, whichever comes first.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the operability restriction is required because of an empty gas tank, the operability restriction shall become active as soon as it is required.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25" w:name="_Toc297891241"/>
      <w:bookmarkStart w:id="1526" w:name="_Toc297891330"/>
      <w:bookmarkStart w:id="1527" w:name="_Toc297891419"/>
      <w:bookmarkStart w:id="1528" w:name="_Ref301531948"/>
      <w:bookmarkStart w:id="1529" w:name="_Toc301776551"/>
      <w:bookmarkStart w:id="1530" w:name="_Toc301776699"/>
      <w:bookmarkStart w:id="1531" w:name="_Toc301944002"/>
      <w:r w:rsidRPr="00B04DC3">
        <w:t>4.2.3.</w:t>
      </w:r>
      <w:r w:rsidRPr="00B04DC3">
        <w:tab/>
        <w:t>Unavailability of gaseous fuel when operating in a dual-fuel mode</w:t>
      </w:r>
      <w:bookmarkEnd w:id="1525"/>
      <w:bookmarkEnd w:id="1526"/>
      <w:bookmarkEnd w:id="1527"/>
      <w:bookmarkEnd w:id="1528"/>
      <w:bookmarkEnd w:id="1529"/>
      <w:bookmarkEnd w:id="1530"/>
      <w:bookmarkEnd w:id="1531"/>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Upon detection of an empty gaseous fuel tank, or of a malfunctioning gas supply system according to paragraph 7.3.1.1.</w:t>
      </w:r>
      <w:r w:rsidR="004604DB" w:rsidRPr="004604DB">
        <w:t xml:space="preserve"> </w:t>
      </w:r>
      <w:r w:rsidR="004604DB">
        <w:t>of this annex</w:t>
      </w:r>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(a)</w:t>
      </w:r>
      <w:r w:rsidRPr="00B04DC3">
        <w:tab/>
        <w:t>Dual-fuel engines of Type 1A shall activate one of the operability restrictions considered in this</w:t>
      </w:r>
      <w:r w:rsidR="004604DB">
        <w:t xml:space="preserve"> p</w:t>
      </w:r>
      <w:r w:rsidRPr="00B04DC3">
        <w:t>aragraph;</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(b)</w:t>
      </w:r>
      <w:r w:rsidRPr="00B04DC3">
        <w:tab/>
        <w:t>Dual-fuel engines of Types 1B, 2B and 3B shall operate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4.2.3.1.</w:t>
      </w:r>
      <w:r w:rsidRPr="00B04DC3">
        <w:tab/>
        <w:t>Unavailability of gaseous fuel – empty gaseous fuel tank</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an empty gaseous fuel tank, an operability restriction or, as appropriate according to paragraph 4.2.3.</w:t>
      </w:r>
      <w:r w:rsidR="004604DB">
        <w:t xml:space="preserve"> above</w:t>
      </w:r>
      <w:r w:rsidRPr="00B04DC3">
        <w:t xml:space="preserve">, the diesel mode shall be activated according to paragraph 4.2.2.2. </w:t>
      </w:r>
      <w:r w:rsidR="004604DB">
        <w:t xml:space="preserve"> above</w:t>
      </w:r>
      <w:r w:rsidR="00CB2112">
        <w:t xml:space="preserve"> </w:t>
      </w:r>
      <w:r w:rsidRPr="00B04DC3">
        <w:t>as soon as the engine system has detected that the tank is empty.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When the gas availability in the tank again reaches the level that justified the activation of the empty tank warning system specified in paragraph 4.3.2.</w:t>
      </w:r>
      <w:r w:rsidR="00CB2112">
        <w:t xml:space="preserve"> below</w:t>
      </w:r>
      <w:r w:rsidRPr="00B04DC3">
        <w:t>, the operability restriction may be deactivated, or, when appropriate, the dual-fuel mode may be reactivated.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4.2.3.2.</w:t>
      </w:r>
      <w:r w:rsidRPr="00B04DC3">
        <w:tab/>
        <w:t>Unavailability of gaseous fuel – malfunctioning gas supply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a malfunctioning gas supply system according to paragraph 7.3.1.1.</w:t>
      </w:r>
      <w:r w:rsidR="00CB2112" w:rsidRPr="00CB2112">
        <w:t xml:space="preserve"> </w:t>
      </w:r>
      <w:r w:rsidR="00CB2112">
        <w:t>of this annex</w:t>
      </w:r>
      <w:r w:rsidRPr="00B04DC3">
        <w:t>, an operability restriction or, as appropriate according to paragraph 4.2.3.</w:t>
      </w:r>
      <w:r w:rsidR="00CB2112" w:rsidRPr="00CB2112">
        <w:t xml:space="preserve"> </w:t>
      </w:r>
      <w:r w:rsidR="00CB2112">
        <w:t>above</w:t>
      </w:r>
      <w:r w:rsidRPr="00B04DC3">
        <w:t xml:space="preserve">, the diesel mode shall be activated according to paragraph 4.2.2.2. </w:t>
      </w:r>
      <w:r w:rsidR="00CB2112">
        <w:t>above</w:t>
      </w:r>
      <w:r w:rsidR="00CB2112" w:rsidRPr="00B04DC3">
        <w:t xml:space="preserve"> </w:t>
      </w:r>
      <w:r w:rsidRPr="00B04DC3">
        <w:t>when the OBD system has determined the presence of a malfunction in the gas supply.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As soon as the diagnostic system concludes that the malfunction is no longer present or when the OBD information is erased by a scan tool, the operability restriction may be deactivated or, when appropriate, the dual-fuel mode may be reactivated.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4.2.3.2.1.</w:t>
      </w:r>
      <w:r w:rsidRPr="00B04DC3">
        <w:tab/>
        <w:t xml:space="preserve">If the counter specified in paragraph 4.4. </w:t>
      </w:r>
      <w:r w:rsidR="00CB2112">
        <w:t>of this annex</w:t>
      </w:r>
      <w:r w:rsidR="00CB2112" w:rsidRPr="00B04DC3">
        <w:t xml:space="preserve"> </w:t>
      </w:r>
      <w:r w:rsidRPr="00B04DC3">
        <w:t xml:space="preserve">that is associated with a malfunctioning gas supply system of a Type 1A dual-fuel engine is not at zero, and is consequently indicating that the monitor has detected a situation when the malfunction may have occurred for a second or subsequent time, the operability restriction shall be activated according to paragraph 4.2.2.2. </w:t>
      </w:r>
      <w:r w:rsidR="00CB2112">
        <w:t xml:space="preserve">above </w:t>
      </w:r>
      <w:r w:rsidRPr="00B04DC3">
        <w:t>when the OBD system has determined the presence of a pending malfunction of the gas supply.</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32" w:name="_Toc297891244"/>
      <w:bookmarkStart w:id="1533" w:name="_Toc297891333"/>
      <w:bookmarkStart w:id="1534" w:name="_Toc297891422"/>
      <w:bookmarkStart w:id="1535" w:name="_Toc301776553"/>
      <w:bookmarkStart w:id="1536" w:name="_Toc301776701"/>
      <w:bookmarkStart w:id="1537" w:name="_Toc301944004"/>
      <w:bookmarkStart w:id="1538" w:name="_Toc301944353"/>
      <w:bookmarkStart w:id="1539" w:name="_Toc301945302"/>
      <w:bookmarkStart w:id="1540" w:name="_Toc301945410"/>
      <w:bookmarkStart w:id="1541" w:name="_Toc301946513"/>
      <w:bookmarkStart w:id="1542" w:name="_Toc304836456"/>
      <w:r w:rsidRPr="00B04DC3">
        <w:t>4.3.</w:t>
      </w:r>
      <w:r w:rsidRPr="00B04DC3">
        <w:tab/>
        <w:t>Dual-fuel indicators</w:t>
      </w:r>
      <w:bookmarkEnd w:id="1532"/>
      <w:bookmarkEnd w:id="1533"/>
      <w:bookmarkEnd w:id="1534"/>
      <w:bookmarkEnd w:id="1535"/>
      <w:bookmarkEnd w:id="1536"/>
      <w:bookmarkEnd w:id="1537"/>
      <w:bookmarkEnd w:id="1538"/>
      <w:bookmarkEnd w:id="1539"/>
      <w:bookmarkEnd w:id="1540"/>
      <w:bookmarkEnd w:id="1541"/>
      <w:bookmarkEnd w:id="1542"/>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43" w:name="_Toc297891245"/>
      <w:bookmarkStart w:id="1544" w:name="_Toc297891334"/>
      <w:bookmarkStart w:id="1545" w:name="_Toc297891423"/>
      <w:bookmarkStart w:id="1546" w:name="_Toc301776554"/>
      <w:bookmarkStart w:id="1547" w:name="_Toc301776702"/>
      <w:bookmarkStart w:id="1548" w:name="_Toc301944005"/>
      <w:r w:rsidRPr="00B04DC3">
        <w:t>4.3.1.</w:t>
      </w:r>
      <w:r w:rsidRPr="00B04DC3">
        <w:tab/>
        <w:t>Dual-fuel operating mode indicator</w:t>
      </w:r>
      <w:bookmarkEnd w:id="1543"/>
      <w:bookmarkEnd w:id="1544"/>
      <w:bookmarkEnd w:id="1545"/>
      <w:bookmarkEnd w:id="1546"/>
      <w:bookmarkEnd w:id="1547"/>
      <w:bookmarkEnd w:id="1548"/>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Dual-fuel engines and vehicles shall have a visual indicator indicating to the driver the mode under which the engine operates (dual-fuel mode, diesel mode, or, when applicable, service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characteristics and the location of this indicator are left to the decision of the manufacturer and may be part of an already existing visual indication system.</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This indicator may be completed by a message display. The system used for displaying the messages referred to in this point may be the same as the ones used for OBD, correct operation of NO</w:t>
      </w:r>
      <w:r w:rsidRPr="00B04DC3">
        <w:rPr>
          <w:vertAlign w:val="subscript"/>
        </w:rPr>
        <w:t>x</w:t>
      </w:r>
      <w:r w:rsidRPr="00B04DC3">
        <w:t xml:space="preserve"> control measures, or other maintenance purposes.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visual element of the dual-fuel operating mode indicator shall not be the same as the one used for the purposes of OBD (that is, the MI – malfunction indicator), for the purpose of ensuring the correct operation of NO</w:t>
      </w:r>
      <w:r w:rsidRPr="00B04DC3">
        <w:rPr>
          <w:vertAlign w:val="subscript"/>
        </w:rPr>
        <w:t>x</w:t>
      </w:r>
      <w:r w:rsidRPr="00B04DC3">
        <w:t xml:space="preserve"> control measures, or for other engine maintenance purposes.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Safety alerts always have display priority over the operating mode indication.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49" w:name="_Toc297891246"/>
      <w:bookmarkStart w:id="1550" w:name="_Toc297891335"/>
      <w:bookmarkStart w:id="1551" w:name="_Toc297891424"/>
      <w:bookmarkStart w:id="1552" w:name="_Toc301776555"/>
      <w:bookmarkStart w:id="1553" w:name="_Toc301776703"/>
      <w:bookmarkStart w:id="1554" w:name="_Toc301944006"/>
      <w:bookmarkStart w:id="1555" w:name="_Toc301944354"/>
      <w:bookmarkStart w:id="1556" w:name="_Toc301945303"/>
      <w:bookmarkStart w:id="1557" w:name="_Toc301945411"/>
      <w:r w:rsidRPr="00B04DC3">
        <w:t>4.3.1.1.</w:t>
      </w:r>
      <w:r w:rsidRPr="00B04DC3">
        <w:tab/>
        <w:t>The driver shall be alerted as soon as an operability restriction requires the service mode to be activated (i.e. before it becomes actually active)</w:t>
      </w:r>
      <w:r w:rsidR="00CB2112">
        <w:t>.</w:t>
      </w:r>
      <w:r w:rsidRPr="00B04DC3">
        <w:t xml:space="preserve"> Setting the dual-fuel operating mode indicator to service mode for that purpose is permitted. The service mode indication shall in any case remain displayed as long as the service mode is active.</w:t>
      </w:r>
      <w:bookmarkEnd w:id="1549"/>
      <w:bookmarkEnd w:id="1550"/>
      <w:bookmarkEnd w:id="1551"/>
      <w:bookmarkEnd w:id="1552"/>
      <w:bookmarkEnd w:id="1553"/>
      <w:bookmarkEnd w:id="1554"/>
      <w:bookmarkEnd w:id="1555"/>
      <w:bookmarkEnd w:id="1556"/>
      <w:bookmarkEnd w:id="1557"/>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58" w:name="_Toc297891247"/>
      <w:bookmarkStart w:id="1559" w:name="_Toc297891336"/>
      <w:bookmarkStart w:id="1560" w:name="_Toc297891425"/>
      <w:bookmarkStart w:id="1561" w:name="_Toc301776556"/>
      <w:bookmarkStart w:id="1562" w:name="_Toc301776704"/>
      <w:bookmarkStart w:id="1563" w:name="_Toc301944007"/>
      <w:bookmarkStart w:id="1564" w:name="_Toc301944355"/>
      <w:bookmarkStart w:id="1565" w:name="_Toc301945304"/>
      <w:bookmarkStart w:id="1566" w:name="_Toc301945412"/>
      <w:r w:rsidRPr="00B04DC3">
        <w:t>4.3.1.2.</w:t>
      </w:r>
      <w:r w:rsidRPr="00B04DC3">
        <w:tab/>
        <w:t xml:space="preserve">The dual-fuel mode indicator shall be set for at least one minute on dual-fuel mode or diesel mode as soon as the engine operating mode is changed from diesel to dual-fuel mode or vice-versa. This indication is also required for at least </w:t>
      </w:r>
      <w:r w:rsidR="001A3319">
        <w:t>one</w:t>
      </w:r>
      <w:r w:rsidRPr="00B04DC3">
        <w:t xml:space="preserve"> minute at key-on, or at the request of the manufacturer at engine cranking. The indication shall also be given upon the driver's request</w:t>
      </w:r>
      <w:bookmarkEnd w:id="1558"/>
      <w:bookmarkEnd w:id="1559"/>
      <w:bookmarkEnd w:id="1560"/>
      <w:bookmarkEnd w:id="1561"/>
      <w:bookmarkEnd w:id="1562"/>
      <w:bookmarkEnd w:id="1563"/>
      <w:bookmarkEnd w:id="1564"/>
      <w:bookmarkEnd w:id="1565"/>
      <w:bookmarkEnd w:id="1566"/>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67" w:name="_Ref291846352"/>
      <w:bookmarkStart w:id="1568" w:name="_Ref291846979"/>
      <w:bookmarkStart w:id="1569" w:name="_Toc297891248"/>
      <w:bookmarkStart w:id="1570" w:name="_Toc297891337"/>
      <w:bookmarkStart w:id="1571" w:name="_Toc297891426"/>
      <w:bookmarkStart w:id="1572" w:name="_Toc301776557"/>
      <w:bookmarkStart w:id="1573" w:name="_Toc301776705"/>
      <w:bookmarkStart w:id="1574" w:name="_Toc301944008"/>
      <w:r w:rsidRPr="00B04DC3">
        <w:t>4.3.2.</w:t>
      </w:r>
      <w:r w:rsidRPr="00B04DC3">
        <w:tab/>
        <w:t>Empty gaseous fuel tank warning system</w:t>
      </w:r>
      <w:bookmarkEnd w:id="1567"/>
      <w:r w:rsidRPr="00B04DC3">
        <w:t xml:space="preserve"> (dual-fuel warning system)</w:t>
      </w:r>
      <w:bookmarkEnd w:id="1568"/>
      <w:bookmarkEnd w:id="1569"/>
      <w:bookmarkEnd w:id="1570"/>
      <w:bookmarkEnd w:id="1571"/>
      <w:bookmarkEnd w:id="1572"/>
      <w:bookmarkEnd w:id="1573"/>
      <w:bookmarkEnd w:id="1574"/>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A dual-fuel vehicle shall be equipped with a dual-fuel warning system that alerts the driver that the gaseous fuel tank will soon become empty.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dual-fuel warning system shall remain active until the tank is refuelled to a level above which the warning system is activated.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dual-fuel warning system may be temporarily interrupted by other warning signals providing important safety-related messages.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It shall not be possible to turn off the dual-fuel warning system by means of a scan-tool as long as the cause of the warning activation has not been rectified.</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75" w:name="_Toc297891249"/>
      <w:bookmarkStart w:id="1576" w:name="_Toc297891338"/>
      <w:bookmarkStart w:id="1577" w:name="_Toc297891427"/>
      <w:bookmarkStart w:id="1578" w:name="_Toc301776558"/>
      <w:bookmarkStart w:id="1579" w:name="_Toc301776706"/>
      <w:bookmarkStart w:id="1580" w:name="_Toc301944009"/>
      <w:bookmarkStart w:id="1581" w:name="_Toc301944356"/>
      <w:bookmarkStart w:id="1582" w:name="_Toc301945305"/>
      <w:bookmarkStart w:id="1583" w:name="_Toc301945413"/>
      <w:r w:rsidRPr="00B04DC3">
        <w:t>4.3.2.1.</w:t>
      </w:r>
      <w:r w:rsidRPr="00B04DC3">
        <w:tab/>
        <w:t>Characteristics of the dual-fuel warning system</w:t>
      </w:r>
      <w:bookmarkEnd w:id="1575"/>
      <w:bookmarkEnd w:id="1576"/>
      <w:bookmarkEnd w:id="1577"/>
      <w:bookmarkEnd w:id="1578"/>
      <w:bookmarkEnd w:id="1579"/>
      <w:bookmarkEnd w:id="1580"/>
      <w:bookmarkEnd w:id="1581"/>
      <w:bookmarkEnd w:id="1582"/>
      <w:bookmarkEnd w:id="1583"/>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dual-fuel warning system shall consist of a visual alert system (icon, pictogram, etc…) left to the choice of the manufacturer.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It may include, at the choice of the manufacturer, an audible component. In that case, the cancelling of that component by the driver is permitted.</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visual element of the dual-fuel warning system shall not be the same as the one used for the OBD system (that is, the MI – malfunction indicator), for the purpose of ensuring the correct operation of NO</w:t>
      </w:r>
      <w:r w:rsidRPr="00B04DC3">
        <w:rPr>
          <w:vertAlign w:val="subscript"/>
        </w:rPr>
        <w:t>x</w:t>
      </w:r>
      <w:r w:rsidRPr="00B04DC3">
        <w:t xml:space="preserve"> control measures, or for other engine maintenance purposes.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addition the dual-fuel warning system may display short messages, including messages indicating clearly the remaining distance or time before the activation of the operability restriction.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system used for displaying the messages referred to in this paragraph may be the same as the one used for displaying additional OBD messages, messages related to correct operation of NO</w:t>
      </w:r>
      <w:r w:rsidR="00FD4B63">
        <w:rPr>
          <w:vertAlign w:val="subscript"/>
        </w:rPr>
        <w:t>x</w:t>
      </w:r>
      <w:r w:rsidRPr="00B04DC3">
        <w:t xml:space="preserve"> control measures, or messages for other maintenance purposes.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 facility to permit the driver to dim the visual alarms provided by the warning system may be provided on vehicles for use by the rescue services or on vehicles designed and constructed for use by the armed services, civil defense, fire services and forces responsible for maintaining public order.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84" w:name="_Toc297891250"/>
      <w:bookmarkStart w:id="1585" w:name="_Toc297891339"/>
      <w:bookmarkStart w:id="1586" w:name="_Toc297891428"/>
      <w:bookmarkStart w:id="1587" w:name="_Toc301776559"/>
      <w:bookmarkStart w:id="1588" w:name="_Toc301776707"/>
      <w:bookmarkStart w:id="1589" w:name="_Toc301944010"/>
      <w:bookmarkStart w:id="1590" w:name="_Toc301944357"/>
      <w:bookmarkStart w:id="1591" w:name="_Toc301945306"/>
      <w:bookmarkStart w:id="1592" w:name="_Toc301945414"/>
      <w:bookmarkStart w:id="1593" w:name="_Toc301946514"/>
      <w:bookmarkStart w:id="1594" w:name="_Toc304836457"/>
      <w:r w:rsidRPr="00B04DC3">
        <w:t>4.4.</w:t>
      </w:r>
      <w:r w:rsidRPr="00B04DC3">
        <w:tab/>
        <w:t>Malfunctioning gas supply counter</w:t>
      </w:r>
      <w:bookmarkEnd w:id="1584"/>
      <w:bookmarkEnd w:id="1585"/>
      <w:bookmarkEnd w:id="1586"/>
      <w:bookmarkEnd w:id="1587"/>
      <w:bookmarkEnd w:id="1588"/>
      <w:bookmarkEnd w:id="1589"/>
      <w:bookmarkEnd w:id="1590"/>
      <w:bookmarkEnd w:id="1591"/>
      <w:bookmarkEnd w:id="1592"/>
      <w:bookmarkEnd w:id="1593"/>
      <w:bookmarkEnd w:id="1594"/>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Type 1A dual-fuel engines shall contain a counting system to record the number of hours during which the engine has been operated while the system has detected a malfunctioning gas supply system according to paragraph 7.3.1.1.</w:t>
      </w:r>
      <w:r w:rsidR="00CB2112" w:rsidRPr="00CB2112">
        <w:t xml:space="preserve"> </w:t>
      </w:r>
      <w:r w:rsidR="00CB2112">
        <w:t>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595" w:name="_Toc297891251"/>
      <w:bookmarkStart w:id="1596" w:name="_Toc297891340"/>
      <w:bookmarkStart w:id="1597" w:name="_Toc297891429"/>
      <w:bookmarkStart w:id="1598" w:name="_Toc301776560"/>
      <w:bookmarkStart w:id="1599" w:name="_Toc301776708"/>
      <w:bookmarkStart w:id="1600" w:name="_Toc301944011"/>
      <w:r w:rsidRPr="00B04DC3">
        <w:t>4.4.1.</w:t>
      </w:r>
      <w:r w:rsidRPr="00B04DC3">
        <w:tab/>
        <w:t>The activation and deactivation criteria and mechanisms of the counter dedicated to abnormality of the gaseous fuel consumption shall comply with the specifications of Appendix 2</w:t>
      </w:r>
      <w:r w:rsidR="00CB2112">
        <w:t xml:space="preserve"> to this annex</w:t>
      </w:r>
      <w:r w:rsidRPr="00B04DC3">
        <w:t>.</w:t>
      </w:r>
      <w:bookmarkEnd w:id="1595"/>
      <w:bookmarkEnd w:id="1596"/>
      <w:bookmarkEnd w:id="1597"/>
      <w:bookmarkEnd w:id="1598"/>
      <w:bookmarkEnd w:id="1599"/>
      <w:bookmarkEnd w:id="1600"/>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01" w:name="_Toc280876632"/>
      <w:bookmarkStart w:id="1602" w:name="_Toc297891253"/>
      <w:bookmarkStart w:id="1603" w:name="_Toc297891342"/>
      <w:bookmarkStart w:id="1604" w:name="_Toc297891431"/>
      <w:bookmarkStart w:id="1605" w:name="_Toc301776562"/>
      <w:bookmarkStart w:id="1606" w:name="_Toc301776710"/>
      <w:bookmarkStart w:id="1607" w:name="_Toc301944013"/>
      <w:bookmarkStart w:id="1608" w:name="_Toc301944358"/>
      <w:bookmarkStart w:id="1609" w:name="_Toc301945307"/>
      <w:bookmarkStart w:id="1610" w:name="_Toc301945415"/>
      <w:bookmarkStart w:id="1611" w:name="_Toc301946515"/>
      <w:bookmarkStart w:id="1612" w:name="_Toc304836458"/>
      <w:r w:rsidRPr="00B04DC3">
        <w:t>4.5.</w:t>
      </w:r>
      <w:r w:rsidRPr="00B04DC3">
        <w:tab/>
        <w:t>Demonstration of the dual-fuel indicators and operability restriction</w:t>
      </w:r>
      <w:bookmarkEnd w:id="1601"/>
      <w:bookmarkEnd w:id="1602"/>
      <w:bookmarkEnd w:id="1603"/>
      <w:bookmarkEnd w:id="1604"/>
      <w:bookmarkEnd w:id="1605"/>
      <w:bookmarkEnd w:id="1606"/>
      <w:bookmarkEnd w:id="1607"/>
      <w:bookmarkEnd w:id="1608"/>
      <w:bookmarkEnd w:id="1609"/>
      <w:bookmarkEnd w:id="1610"/>
      <w:bookmarkEnd w:id="1611"/>
      <w:bookmarkEnd w:id="1612"/>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As part of the application for type approval under this Regulation, the manufacturer shall demonstrate the operation of dual-fuel indicators and of the operability restriction in accordance with the provisions of Appendix 3</w:t>
      </w:r>
      <w:r w:rsidR="00CB2112">
        <w:t xml:space="preserve"> to this annex</w:t>
      </w:r>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13" w:name="_Toc280868682"/>
      <w:bookmarkStart w:id="1614" w:name="_Toc280868872"/>
      <w:bookmarkStart w:id="1615" w:name="_Toc280868927"/>
      <w:bookmarkStart w:id="1616" w:name="_Toc280869076"/>
      <w:bookmarkStart w:id="1617" w:name="_Toc280872656"/>
      <w:bookmarkStart w:id="1618" w:name="_Toc280876637"/>
      <w:bookmarkStart w:id="1619" w:name="_Toc297891255"/>
      <w:bookmarkStart w:id="1620" w:name="_Toc297891344"/>
      <w:bookmarkStart w:id="1621" w:name="_Toc297891433"/>
      <w:bookmarkStart w:id="1622" w:name="_Toc301776564"/>
      <w:bookmarkStart w:id="1623" w:name="_Toc301776712"/>
      <w:bookmarkStart w:id="1624" w:name="_Toc301944015"/>
      <w:bookmarkStart w:id="1625" w:name="_Toc301944360"/>
      <w:bookmarkStart w:id="1626" w:name="_Toc301945309"/>
      <w:bookmarkStart w:id="1627" w:name="_Toc301945417"/>
      <w:bookmarkStart w:id="1628" w:name="_Toc301946517"/>
      <w:bookmarkStart w:id="1629" w:name="_Toc304836460"/>
      <w:r w:rsidRPr="00B04DC3">
        <w:t>4.6.</w:t>
      </w:r>
      <w:r w:rsidRPr="00B04DC3">
        <w:tab/>
        <w:t>[Reserved]</w:t>
      </w:r>
      <w:bookmarkStart w:id="1630" w:name="_Toc316979342"/>
      <w:bookmarkStart w:id="1631" w:name="_Toc280868683"/>
      <w:bookmarkStart w:id="1632" w:name="_Toc280868873"/>
      <w:bookmarkStart w:id="1633" w:name="_Toc280868928"/>
      <w:bookmarkStart w:id="1634" w:name="_Toc280869077"/>
      <w:bookmarkStart w:id="1635" w:name="_Toc280872657"/>
      <w:bookmarkStart w:id="1636" w:name="_Toc280876638"/>
      <w:bookmarkStart w:id="1637" w:name="_Toc297891278"/>
      <w:bookmarkStart w:id="1638" w:name="_Toc297891367"/>
      <w:bookmarkStart w:id="1639" w:name="_Toc297891456"/>
      <w:bookmarkStart w:id="1640" w:name="_Toc301776589"/>
      <w:bookmarkStart w:id="1641" w:name="_Toc301776737"/>
      <w:bookmarkStart w:id="1642" w:name="_Toc301944039"/>
      <w:bookmarkStart w:id="1643" w:name="_Toc301944374"/>
      <w:bookmarkStart w:id="1644" w:name="_Toc301945323"/>
      <w:bookmarkStart w:id="1645" w:name="_Toc301945431"/>
      <w:bookmarkStart w:id="1646" w:name="_Toc301946531"/>
      <w:bookmarkStart w:id="1647" w:name="_Toc304836474"/>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4.7.</w:t>
      </w:r>
      <w:r w:rsidRPr="00B04DC3">
        <w:tab/>
        <w:t>Requirements to limit Off-Cycle Emissions (OCE) and in-use emissions</w:t>
      </w:r>
      <w:bookmarkEnd w:id="1630"/>
      <w:r w:rsidRPr="00B04DC3">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4.7.1.</w:t>
      </w:r>
      <w:r w:rsidRPr="00B04DC3">
        <w:tab/>
        <w:t>GER test at certification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An ESC test-cycle shall be performed immediately after or before having performed the ETC test-cycle where the type of dual-fuel engine has been confirmed.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fuels used in both tests shall be the same as well as all other test conditions, including the test bench.</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average gas ratio over this ESC test-cycle (GER</w:t>
      </w:r>
      <w:r w:rsidRPr="00B04DC3">
        <w:rPr>
          <w:vertAlign w:val="subscript"/>
        </w:rPr>
        <w:t>ESC</w:t>
      </w:r>
      <w:r w:rsidRPr="00B04DC3">
        <w:t>) is calculated using the weighted average of the consumption of both fuels over this cycle.</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4.7.1.1.</w:t>
      </w:r>
      <w:r w:rsidRPr="00B04DC3">
        <w:tab/>
        <w:t>Type 1 dual-fuel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Type 1 dual-fuel engines, the average gas ratio calculated over this ESC test-cycle (GER</w:t>
      </w:r>
      <w:r w:rsidRPr="00B04DC3">
        <w:rPr>
          <w:vertAlign w:val="subscript"/>
        </w:rPr>
        <w:t>ESC</w:t>
      </w:r>
      <w:r w:rsidRPr="00B04DC3">
        <w:t xml:space="preserve">) shall not be lower than 90 per cent </w:t>
      </w:r>
      <w:r w:rsidRPr="00B04DC3">
        <w:br/>
        <w:t>(GER</w:t>
      </w:r>
      <w:r w:rsidRPr="00B04DC3">
        <w:rPr>
          <w:vertAlign w:val="subscript"/>
        </w:rPr>
        <w:t>ESC</w:t>
      </w:r>
      <w:r w:rsidRPr="00B04DC3">
        <w:t xml:space="preserve"> ≥ 90 %).</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4.7.1.2.</w:t>
      </w:r>
      <w:r w:rsidRPr="00B04DC3">
        <w:tab/>
        <w:t>Type 2 dual-fuel engines</w:t>
      </w:r>
    </w:p>
    <w:p w:rsidR="00B4293A" w:rsidRPr="00B04DC3" w:rsidRDefault="00B4293A" w:rsidP="00B4293A">
      <w:pPr>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Type 2 dual-fuel engines, the absolute difference between the average gas ratio calculated over this ETC test-cycle (GER</w:t>
      </w:r>
      <w:r w:rsidRPr="00B04DC3">
        <w:rPr>
          <w:vertAlign w:val="subscript"/>
        </w:rPr>
        <w:t>ETC</w:t>
      </w:r>
      <w:r w:rsidRPr="00B04DC3">
        <w:t>) and the average gas ratio calculated over this ESC test-cycle (GER</w:t>
      </w:r>
      <w:r w:rsidRPr="00B04DC3">
        <w:rPr>
          <w:vertAlign w:val="subscript"/>
        </w:rPr>
        <w:t>ESC</w:t>
      </w:r>
      <w:r w:rsidRPr="00B04DC3">
        <w:t>) shall not exceed 20 per cent of the GER</w:t>
      </w:r>
      <w:r w:rsidRPr="00B04DC3">
        <w:rPr>
          <w:vertAlign w:val="subscript"/>
        </w:rPr>
        <w:t>ETC</w:t>
      </w:r>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48" w:name="_Toc280868684"/>
      <w:bookmarkStart w:id="1649" w:name="_Toc280868874"/>
      <w:bookmarkStart w:id="1650" w:name="_Toc280868929"/>
      <w:bookmarkStart w:id="1651" w:name="_Toc280869078"/>
      <w:bookmarkStart w:id="1652" w:name="_Toc280872658"/>
      <w:bookmarkStart w:id="1653" w:name="_Toc280876639"/>
      <w:bookmarkStart w:id="1654" w:name="_Toc297891258"/>
      <w:bookmarkStart w:id="1655" w:name="_Toc297891347"/>
      <w:bookmarkStart w:id="1656" w:name="_Toc297891436"/>
      <w:bookmarkStart w:id="1657" w:name="_Toc301776567"/>
      <w:bookmarkStart w:id="1658" w:name="_Toc301776715"/>
      <w:bookmarkStart w:id="1659" w:name="_Toc301944018"/>
      <w:bookmarkStart w:id="1660" w:name="_Toc301944361"/>
      <w:bookmarkStart w:id="1661" w:name="_Toc301945310"/>
      <w:bookmarkStart w:id="1662" w:name="_Toc301945418"/>
      <w:bookmarkStart w:id="1663" w:name="_Toc301946518"/>
      <w:bookmarkStart w:id="1664" w:name="_Toc304836461"/>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B04DC3">
        <w:t>5.</w:t>
      </w:r>
      <w:r w:rsidRPr="00B04DC3">
        <w:tab/>
        <w:t>Performance requirements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65" w:name="_Toc280868685"/>
      <w:bookmarkStart w:id="1666" w:name="_Toc280868875"/>
      <w:bookmarkStart w:id="1667" w:name="_Toc280868930"/>
      <w:bookmarkStart w:id="1668" w:name="_Toc280869079"/>
      <w:bookmarkStart w:id="1669" w:name="_Toc280872659"/>
      <w:bookmarkStart w:id="1670" w:name="_Toc280876640"/>
      <w:bookmarkStart w:id="1671" w:name="_Toc297891259"/>
      <w:bookmarkStart w:id="1672" w:name="_Toc297891348"/>
      <w:bookmarkStart w:id="1673" w:name="_Toc297891437"/>
      <w:bookmarkStart w:id="1674" w:name="_Toc301776568"/>
      <w:bookmarkStart w:id="1675" w:name="_Toc301776716"/>
      <w:bookmarkStart w:id="1676" w:name="_Toc301944019"/>
      <w:bookmarkStart w:id="1677" w:name="_Toc301944362"/>
      <w:bookmarkStart w:id="1678" w:name="_Toc301945311"/>
      <w:bookmarkStart w:id="1679" w:name="_Toc301945419"/>
      <w:bookmarkStart w:id="1680" w:name="_Toc301946519"/>
      <w:bookmarkStart w:id="1681" w:name="_Toc304836462"/>
      <w:r w:rsidRPr="00B04DC3">
        <w:t>5.1.</w:t>
      </w:r>
      <w:r w:rsidRPr="00B04DC3">
        <w:tab/>
        <w:t xml:space="preserve">Emission limits applicable to Type 1A and Type 1B </w:t>
      </w:r>
      <w:bookmarkEnd w:id="1665"/>
      <w:bookmarkEnd w:id="1666"/>
      <w:bookmarkEnd w:id="1667"/>
      <w:bookmarkEnd w:id="1668"/>
      <w:bookmarkEnd w:id="1669"/>
      <w:bookmarkEnd w:id="1670"/>
      <w:bookmarkEnd w:id="1671"/>
      <w:bookmarkEnd w:id="1672"/>
      <w:bookmarkEnd w:id="1673"/>
      <w:r w:rsidRPr="00B04DC3">
        <w:t xml:space="preserve">dual-fuel engines </w:t>
      </w:r>
      <w:bookmarkEnd w:id="1674"/>
      <w:bookmarkEnd w:id="1675"/>
      <w:bookmarkEnd w:id="1676"/>
      <w:bookmarkEnd w:id="1677"/>
      <w:bookmarkEnd w:id="1678"/>
      <w:bookmarkEnd w:id="1679"/>
      <w:bookmarkEnd w:id="1680"/>
      <w:bookmarkEnd w:id="1681"/>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5.1.1.</w:t>
      </w:r>
      <w:r w:rsidRPr="00B04DC3">
        <w:tab/>
        <w:t>The emission limits applicable to Type 1A and Type 1B dual-fuel engines operating in dual-fuel mode are those defined for gas engines in rows B2 (Euro V) and C (EEV)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5.1.2.</w:t>
      </w:r>
      <w:r w:rsidRPr="00B04DC3">
        <w:tab/>
        <w:t>The emission limits applicable to Type 1B dual-fuel engines operating in diesel-mode are those defined for diesel engines in rows B2 and C of tables 1 and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82" w:name="_Toc280868686"/>
      <w:bookmarkStart w:id="1683" w:name="_Toc280868876"/>
      <w:bookmarkStart w:id="1684" w:name="_Toc280868931"/>
      <w:bookmarkStart w:id="1685" w:name="_Toc280869080"/>
      <w:bookmarkStart w:id="1686" w:name="_Toc280872660"/>
      <w:bookmarkStart w:id="1687" w:name="_Toc280876641"/>
      <w:bookmarkStart w:id="1688" w:name="_Toc297891260"/>
      <w:bookmarkStart w:id="1689" w:name="_Toc297891349"/>
      <w:bookmarkStart w:id="1690" w:name="_Toc297891438"/>
      <w:bookmarkStart w:id="1691" w:name="_Toc301776571"/>
      <w:bookmarkStart w:id="1692" w:name="_Toc301776719"/>
      <w:bookmarkStart w:id="1693" w:name="_Toc301944021"/>
      <w:bookmarkStart w:id="1694" w:name="_Toc301944363"/>
      <w:bookmarkStart w:id="1695" w:name="_Toc301945312"/>
      <w:bookmarkStart w:id="1696" w:name="_Toc301945420"/>
      <w:bookmarkStart w:id="1697" w:name="_Toc301946520"/>
      <w:bookmarkStart w:id="1698" w:name="_Toc304836463"/>
      <w:r w:rsidRPr="00B04DC3">
        <w:t>5.2.</w:t>
      </w:r>
      <w:r w:rsidRPr="00B04DC3">
        <w:tab/>
        <w:t xml:space="preserve">Emission limits applicable to Type 2B dual-fuel engines </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5.2.1.</w:t>
      </w:r>
      <w:r w:rsidRPr="00B04DC3">
        <w:tab/>
        <w:t>Emission limits applicable over the ESC test-cycle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b/>
        <w:t>The emission limits over the ESC test-cycle applicable to Type 2B dual-fuel engines operating in diesel mode are those applicable to Diesel engines over the ESC test-cycle and defined in rows B2 and C of Table 1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5.2.2.</w:t>
      </w:r>
      <w:r w:rsidRPr="00B04DC3">
        <w:tab/>
        <w:t>Emission limits applicable over the ETC test-cycle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5.2.2.1.</w:t>
      </w:r>
      <w:r w:rsidRPr="00B04DC3">
        <w:tab/>
        <w:t>Emission limits for CO, NO</w:t>
      </w:r>
      <w:r w:rsidRPr="006923D6">
        <w:rPr>
          <w:vertAlign w:val="subscript"/>
        </w:rPr>
        <w:t>x</w:t>
      </w:r>
      <w:r w:rsidRPr="00B04DC3">
        <w:t xml:space="preserve"> and PM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CO, NO</w:t>
      </w:r>
      <w:r w:rsidR="006923D6">
        <w:rPr>
          <w:vertAlign w:val="subscript"/>
        </w:rPr>
        <w:t>x</w:t>
      </w:r>
      <w:r w:rsidRPr="00B04DC3">
        <w:t xml:space="preserve"> and PM mass emission limits over the ETC test-cycle applicable to Type 2B dual-fuel engines operating in dual-fuel and diesel mode over the ETC test-cycle are defined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5.2.2.2.</w:t>
      </w:r>
      <w:r w:rsidRPr="00B04DC3">
        <w:tab/>
        <w:t xml:space="preserve">Emission limits for </w:t>
      </w:r>
      <w:r w:rsidR="00CB2112">
        <w:t>h</w:t>
      </w:r>
      <w:r w:rsidRPr="00B04DC3">
        <w:t>ydrocarbons</w:t>
      </w:r>
    </w:p>
    <w:p w:rsidR="00B4293A" w:rsidRPr="00B04DC3" w:rsidRDefault="00B4293A" w:rsidP="00B4293A">
      <w:pPr>
        <w:tabs>
          <w:tab w:val="left" w:pos="567"/>
          <w:tab w:val="left" w:pos="1134"/>
          <w:tab w:val="left" w:pos="1701"/>
          <w:tab w:val="left" w:pos="2268"/>
          <w:tab w:val="left" w:pos="2835"/>
          <w:tab w:val="left" w:pos="3402"/>
          <w:tab w:val="left" w:pos="3969"/>
          <w:tab w:val="left" w:pos="4536"/>
          <w:tab w:val="center" w:pos="4819"/>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5.2.2.2.1.</w:t>
      </w:r>
      <w:r w:rsidRPr="00B04DC3">
        <w:tab/>
        <w:t>NG dual-fuel engines operating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THC, NMHC and CH</w:t>
      </w:r>
      <w:r w:rsidRPr="00B04DC3">
        <w:rPr>
          <w:vertAlign w:val="subscript"/>
        </w:rPr>
        <w:t>4</w:t>
      </w:r>
      <w:r w:rsidRPr="00B04DC3">
        <w:t xml:space="preserve"> emission limits over the ETC test-cycle applicable to Type 2B dual-fuel engines operating with Natural Gas in dual-fuel mode are calculated from the NMHC and CH</w:t>
      </w:r>
      <w:r w:rsidRPr="00B04DC3">
        <w:rPr>
          <w:vertAlign w:val="subscript"/>
        </w:rPr>
        <w:t>4</w:t>
      </w:r>
      <w:r w:rsidRPr="00B04DC3">
        <w:t xml:space="preserve"> limits applicable to Diesel and gas engines over the ETC test-cycle and defined in rows B2 and C of Table 2 of paragraph 5.2.1. of this Regulation. The calculation procedure is specified in paragraph 5.2.3. of this annex.</w:t>
      </w:r>
    </w:p>
    <w:p w:rsidR="00B4293A" w:rsidRPr="00B04DC3" w:rsidRDefault="00B4293A" w:rsidP="006923D6">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5.2.2.2.2.</w:t>
      </w:r>
      <w:r w:rsidRPr="00B04DC3">
        <w:tab/>
        <w:t>LP dual-fuel G engines operating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THC emission limits over the ETC test-cycle applicable to Type 2B dual-fuel engines operating with LPG in dual-fuel mode are the THC limits for Diesel engines as considered in paragraph 5.2.2.1.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5.2.2.2.3.</w:t>
      </w:r>
      <w:r w:rsidRPr="00B04DC3">
        <w:tab/>
        <w:t>Dual-fuel engines operating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NMHC emission limits over the ETC test-cycle applicable to Type 2B dual-fuel engines operating in diesel mode are those defined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699" w:name="_Toc280868687"/>
      <w:bookmarkStart w:id="1700" w:name="_Toc280868877"/>
      <w:bookmarkStart w:id="1701" w:name="_Toc280868932"/>
      <w:bookmarkStart w:id="1702" w:name="_Toc280869081"/>
      <w:bookmarkStart w:id="1703" w:name="_Toc280872661"/>
      <w:bookmarkStart w:id="1704" w:name="_Toc280876642"/>
      <w:bookmarkStart w:id="1705" w:name="_Toc297891261"/>
      <w:bookmarkStart w:id="1706" w:name="_Toc297891350"/>
      <w:bookmarkStart w:id="1707" w:name="_Toc297891439"/>
      <w:bookmarkStart w:id="1708" w:name="_Toc301776573"/>
      <w:bookmarkStart w:id="1709" w:name="_Toc301776721"/>
      <w:bookmarkStart w:id="1710" w:name="_Toc301944023"/>
      <w:r w:rsidRPr="00B04DC3">
        <w:t>5.2.3.</w:t>
      </w:r>
      <w:r w:rsidRPr="00B04DC3">
        <w:tab/>
        <w:t xml:space="preserve">Calculation procedure to determine the hydrocarbon limits (in g/kWh) applicable to Type 2B dual-fuel engines operating in dual-fuel mode during the </w:t>
      </w:r>
      <w:bookmarkEnd w:id="1699"/>
      <w:bookmarkEnd w:id="1700"/>
      <w:bookmarkEnd w:id="1701"/>
      <w:bookmarkEnd w:id="1702"/>
      <w:bookmarkEnd w:id="1703"/>
      <w:bookmarkEnd w:id="1704"/>
      <w:bookmarkEnd w:id="1705"/>
      <w:bookmarkEnd w:id="1706"/>
      <w:bookmarkEnd w:id="1707"/>
      <w:r w:rsidRPr="00B04DC3">
        <w:t>ETC test cycle.</w:t>
      </w:r>
      <w:bookmarkEnd w:id="1708"/>
      <w:bookmarkEnd w:id="1709"/>
      <w:bookmarkEnd w:id="1710"/>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following calculation procedure applies to Type 2B dual-fuel engines tested over the ETC cycle while operating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Calculate the average gas ratio GER</w:t>
      </w:r>
      <w:r w:rsidRPr="00B04DC3">
        <w:rPr>
          <w:vertAlign w:val="subscript"/>
        </w:rPr>
        <w:t>ETC</w:t>
      </w:r>
      <w:r w:rsidRPr="00B04DC3">
        <w:t xml:space="preserve"> over the ETC test cycle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Calculate a corresponding THC</w:t>
      </w:r>
      <w:r w:rsidRPr="00B04DC3">
        <w:rPr>
          <w:vertAlign w:val="subscript"/>
        </w:rPr>
        <w:t>GER</w:t>
      </w:r>
      <w:r w:rsidRPr="00B04DC3">
        <w:t xml:space="preserve"> in g/kWh using the following formula:</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THC</w:t>
      </w:r>
      <w:r w:rsidRPr="00B04DC3">
        <w:rPr>
          <w:vertAlign w:val="subscript"/>
        </w:rPr>
        <w:t>GER</w:t>
      </w:r>
      <w:r w:rsidRPr="00B04DC3">
        <w:t xml:space="preserve"> = NMHC</w:t>
      </w:r>
      <w:r w:rsidRPr="00B04DC3">
        <w:rPr>
          <w:vertAlign w:val="subscript"/>
        </w:rPr>
        <w:t>NG</w:t>
      </w:r>
      <w:r w:rsidRPr="00B04DC3">
        <w:t xml:space="preserve"> + (CH</w:t>
      </w:r>
      <w:r w:rsidRPr="001A3319">
        <w:rPr>
          <w:vertAlign w:val="subscript"/>
        </w:rPr>
        <w:t>4</w:t>
      </w:r>
      <w:r w:rsidRPr="00B04DC3">
        <w:rPr>
          <w:vertAlign w:val="subscript"/>
        </w:rPr>
        <w:t>NG</w:t>
      </w:r>
      <w:r w:rsidRPr="00B04DC3">
        <w:t xml:space="preserve"> * GER</w:t>
      </w:r>
      <w:r w:rsidRPr="00B04DC3">
        <w:rPr>
          <w:vertAlign w:val="subscript"/>
        </w:rPr>
        <w:t>ETC</w:t>
      </w:r>
      <w:r w:rsidRPr="00B04DC3">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Determine the applicable THC limit in g/kWh using the following method: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If THC</w:t>
      </w:r>
      <w:r w:rsidRPr="00B04DC3">
        <w:rPr>
          <w:vertAlign w:val="subscript"/>
        </w:rPr>
        <w:t>GER</w:t>
      </w:r>
      <w:r w:rsidRPr="00B04DC3">
        <w:t xml:space="preserve"> ≤ CH</w:t>
      </w:r>
      <w:r w:rsidRPr="001A3319">
        <w:rPr>
          <w:vertAlign w:val="subscript"/>
        </w:rPr>
        <w:t>4</w:t>
      </w:r>
      <w:r w:rsidRPr="00B04DC3">
        <w:rPr>
          <w:vertAlign w:val="subscript"/>
        </w:rPr>
        <w:t>NG</w:t>
      </w:r>
      <w:r w:rsidRPr="00B04DC3">
        <w:t>, then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w:t>
      </w:r>
      <w:r w:rsidRPr="00B04DC3">
        <w:tab/>
        <w:t>THC limit value = THC</w:t>
      </w:r>
      <w:r w:rsidRPr="00B04DC3">
        <w:rPr>
          <w:vertAlign w:val="subscript"/>
        </w:rPr>
        <w:t>GER</w:t>
      </w:r>
      <w:r w:rsidRPr="00B04DC3">
        <w:t xml:space="preserve"> and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(b)</w:t>
      </w:r>
      <w:r w:rsidRPr="00B04DC3">
        <w:tab/>
        <w:t>No applicable CH</w:t>
      </w:r>
      <w:r w:rsidRPr="00B04DC3">
        <w:rPr>
          <w:vertAlign w:val="subscript"/>
        </w:rPr>
        <w:t>4</w:t>
      </w:r>
      <w:r w:rsidRPr="00B04DC3">
        <w:t xml:space="preserve"> and NMHC limit value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If THC</w:t>
      </w:r>
      <w:r w:rsidRPr="00B04DC3">
        <w:rPr>
          <w:vertAlign w:val="subscript"/>
        </w:rPr>
        <w:t>GER</w:t>
      </w:r>
      <w:r w:rsidRPr="00B04DC3">
        <w:t xml:space="preserve"> &gt; CH</w:t>
      </w:r>
      <w:r w:rsidRPr="001A3319">
        <w:rPr>
          <w:vertAlign w:val="subscript"/>
        </w:rPr>
        <w:t>4</w:t>
      </w:r>
      <w:r w:rsidRPr="00B04DC3">
        <w:rPr>
          <w:vertAlign w:val="subscript"/>
        </w:rPr>
        <w:t>NG</w:t>
      </w:r>
      <w:r w:rsidRPr="00B04DC3">
        <w:t>, then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w:t>
      </w:r>
      <w:r w:rsidRPr="00B04DC3">
        <w:tab/>
        <w:t>No applicable THC limit value; and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(b)</w:t>
      </w:r>
      <w:r w:rsidRPr="00B04DC3">
        <w:tab/>
        <w:t>Both the NMHC</w:t>
      </w:r>
      <w:r w:rsidRPr="00B04DC3">
        <w:rPr>
          <w:vertAlign w:val="subscript"/>
        </w:rPr>
        <w:t xml:space="preserve">NG </w:t>
      </w:r>
      <w:r w:rsidRPr="00B04DC3">
        <w:t>and CH</w:t>
      </w:r>
      <w:r w:rsidRPr="001A3319">
        <w:rPr>
          <w:vertAlign w:val="subscript"/>
        </w:rPr>
        <w:t>4</w:t>
      </w:r>
      <w:r w:rsidRPr="00B04DC3">
        <w:rPr>
          <w:vertAlign w:val="subscript"/>
        </w:rPr>
        <w:t>NG</w:t>
      </w:r>
      <w:r w:rsidRPr="00B04DC3">
        <w:t xml:space="preserve"> limit values are applicable.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In this procedure,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NMHC</w:t>
      </w:r>
      <w:r w:rsidRPr="00B04DC3">
        <w:rPr>
          <w:vertAlign w:val="subscript"/>
        </w:rPr>
        <w:t>NG</w:t>
      </w:r>
      <w:r w:rsidRPr="00B04DC3">
        <w:t xml:space="preserve"> is the NMHC emission limit over the ETC test-cycle and made applicable to NG engine in rows B2 and C of Table 2 of paragraph 5.2.1</w:t>
      </w:r>
      <w:r w:rsidR="006923D6">
        <w:t>.</w:t>
      </w:r>
      <w:r w:rsidRPr="00B04DC3">
        <w:t xml:space="preserve">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CH</w:t>
      </w:r>
      <w:r w:rsidRPr="001A3319">
        <w:rPr>
          <w:vertAlign w:val="subscript"/>
        </w:rPr>
        <w:t>4</w:t>
      </w:r>
      <w:r w:rsidRPr="00B04DC3">
        <w:rPr>
          <w:vertAlign w:val="subscript"/>
        </w:rPr>
        <w:t>NG</w:t>
      </w:r>
      <w:r w:rsidRPr="00B04DC3">
        <w:t xml:space="preserve"> is the CH</w:t>
      </w:r>
      <w:r w:rsidRPr="00B04DC3">
        <w:rPr>
          <w:vertAlign w:val="subscript"/>
        </w:rPr>
        <w:t>4</w:t>
      </w:r>
      <w:r w:rsidRPr="00B04DC3">
        <w:t xml:space="preserve"> emission limit over the ETC test-cycle and applicable to NG engine in rows B2 and C of Table 2 of paragraph 5.2.1. of this Regulation.</w:t>
      </w:r>
    </w:p>
    <w:p w:rsidR="00B4293A" w:rsidRPr="00B04DC3" w:rsidRDefault="00B4293A" w:rsidP="00B31B9B">
      <w:pPr>
        <w:keepNext/>
        <w:keepLines/>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pPr>
      <w:r w:rsidRPr="00B04DC3">
        <w:t>Figure 1</w:t>
      </w:r>
    </w:p>
    <w:p w:rsidR="00B4293A" w:rsidRPr="00B04DC3" w:rsidRDefault="00B4293A" w:rsidP="00B31B9B">
      <w:pPr>
        <w:keepNext/>
        <w:keepLines/>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rPr>
          <w:b/>
        </w:rPr>
      </w:pPr>
      <w:r w:rsidRPr="00B04DC3">
        <w:rPr>
          <w:b/>
        </w:rPr>
        <w:t>Illustration of the HC limits in the case of a dual-fuel engine operating in dual-fuel mode during the ETC cycle (natural gas dual-fuel engines)</w:t>
      </w:r>
    </w:p>
    <w:p w:rsidR="00B4293A" w:rsidRPr="00B04DC3" w:rsidRDefault="00B4293A" w:rsidP="00B4293A">
      <w:pPr>
        <w:tabs>
          <w:tab w:val="left" w:pos="1701"/>
        </w:tabs>
        <w:suppressAutoHyphens w:val="0"/>
        <w:spacing w:line="240" w:lineRule="auto"/>
        <w:ind w:left="1134"/>
        <w:rPr>
          <w:sz w:val="24"/>
          <w:szCs w:val="24"/>
        </w:rPr>
      </w:pPr>
      <w:r w:rsidRPr="00B04DC3">
        <w:rPr>
          <w:noProof/>
          <w:sz w:val="24"/>
          <w:szCs w:val="24"/>
          <w:lang w:eastAsia="en-GB"/>
        </w:rPr>
        <w:t xml:space="preserve"> </w:t>
      </w:r>
      <w:r w:rsidR="00A905B7">
        <w:rPr>
          <w:noProof/>
          <w:sz w:val="24"/>
          <w:szCs w:val="24"/>
          <w:lang w:eastAsia="en-GB"/>
        </w:rPr>
        <w:pict>
          <v:shape id="Picture 26" o:spid="_x0000_i1465" type="#_x0000_t75" style="width:381pt;height:187.8pt;visibility:visible">
            <v:imagedata r:id="rId721" o:title=""/>
          </v:shape>
        </w:pic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57" w:right="1134" w:hanging="1123"/>
        <w:jc w:val="both"/>
      </w:pPr>
      <w:bookmarkStart w:id="1711" w:name="_Toc280868691"/>
      <w:bookmarkStart w:id="1712" w:name="_Toc280868881"/>
      <w:bookmarkStart w:id="1713" w:name="_Toc280868936"/>
      <w:bookmarkStart w:id="1714" w:name="_Toc280869085"/>
      <w:bookmarkStart w:id="1715" w:name="_Toc280872665"/>
      <w:bookmarkStart w:id="1716" w:name="_Toc280876646"/>
      <w:bookmarkStart w:id="1717" w:name="_Toc297891265"/>
      <w:bookmarkStart w:id="1718" w:name="_Toc297891354"/>
      <w:bookmarkStart w:id="1719" w:name="_Toc297891443"/>
      <w:bookmarkStart w:id="1720" w:name="_Toc301776576"/>
      <w:bookmarkStart w:id="1721" w:name="_Toc301776724"/>
      <w:bookmarkStart w:id="1722" w:name="_Toc301944026"/>
      <w:bookmarkStart w:id="1723" w:name="_Toc301944365"/>
      <w:bookmarkStart w:id="1724" w:name="_Toc301945314"/>
      <w:bookmarkStart w:id="1725" w:name="_Toc301945422"/>
      <w:bookmarkStart w:id="1726" w:name="_Toc301946522"/>
      <w:bookmarkStart w:id="1727" w:name="_Toc304836465"/>
      <w:r w:rsidRPr="00B04DC3">
        <w:t>5.3.</w:t>
      </w:r>
      <w:r w:rsidRPr="00B04DC3">
        <w:tab/>
        <w:t>Emission limits applicable to Type 3B dual-fuel engines</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57" w:right="1134" w:hanging="1123"/>
        <w:jc w:val="both"/>
      </w:pPr>
      <w:r w:rsidRPr="00B04DC3">
        <w:t>5.3.1.</w:t>
      </w:r>
      <w:r w:rsidRPr="00B04DC3">
        <w:tab/>
        <w:t>Emission limits applicable to Type 3B dual-fuel engines operating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59" w:right="1134" w:hanging="1125"/>
        <w:jc w:val="both"/>
      </w:pPr>
      <w:r w:rsidRPr="00B04DC3">
        <w:t>5.3.1.1.</w:t>
      </w:r>
      <w:r w:rsidRPr="00B04DC3">
        <w:tab/>
        <w:t>The emissions limits over the ESC test-cycle applicable to Type 3B dual-fuel engines operating in dual-fuel mode are the exhaust emission limits applicable to diesel engines and specified in rows B2 and C of Table 1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59" w:right="1134" w:hanging="1125"/>
        <w:jc w:val="both"/>
      </w:pPr>
      <w:r w:rsidRPr="00B04DC3">
        <w:t>5.3.1.2.</w:t>
      </w:r>
      <w:r w:rsidRPr="00B04DC3">
        <w:tab/>
        <w:t>The CO, NO</w:t>
      </w:r>
      <w:r w:rsidR="00CB2112">
        <w:rPr>
          <w:vertAlign w:val="subscript"/>
        </w:rPr>
        <w:t>x</w:t>
      </w:r>
      <w:r w:rsidRPr="00B04DC3">
        <w:t xml:space="preserve"> and PM mass emission limits over the ETC test-cycle applicable to Type 3B dual-fuel engines operating in dual-fuel mode are the exhaust emission limits applicable to diesel engines and specified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5.3.1.3.</w:t>
      </w:r>
      <w:r w:rsidRPr="00B04DC3">
        <w:tab/>
        <w:t>The THC emission limit over the ETC test-cycle applicable to Type 3B dual-fuel engines operating in dual-fuel mode is calculated from the NMHC and CH</w:t>
      </w:r>
      <w:r w:rsidRPr="00B04DC3">
        <w:rPr>
          <w:vertAlign w:val="subscript"/>
        </w:rPr>
        <w:t>4</w:t>
      </w:r>
      <w:r w:rsidRPr="00B04DC3">
        <w:t xml:space="preserve"> limits applicable to diesel and gas engines over the ETC test-cycle and defined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b/>
        <w:t>The calculation procedure is the following:</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b/>
        <w:t>(a)</w:t>
      </w:r>
      <w:r w:rsidRPr="00B04DC3">
        <w:tab/>
        <w:t>Calculate the average gas ratio GER</w:t>
      </w:r>
      <w:r w:rsidRPr="00B04DC3">
        <w:rPr>
          <w:vertAlign w:val="subscript"/>
        </w:rPr>
        <w:t>ETC</w:t>
      </w:r>
      <w:r w:rsidRPr="00B04DC3">
        <w:t xml:space="preserve"> over the ETC test cycle;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570"/>
        <w:jc w:val="both"/>
      </w:pPr>
      <w:r w:rsidRPr="00B04DC3">
        <w:t>(b)</w:t>
      </w:r>
      <w:r w:rsidRPr="00B04DC3">
        <w:tab/>
        <w:t>Calculate a corresponding THC</w:t>
      </w:r>
      <w:r w:rsidRPr="00B04DC3">
        <w:rPr>
          <w:vertAlign w:val="subscript"/>
        </w:rPr>
        <w:t>GER</w:t>
      </w:r>
      <w:r w:rsidRPr="00B04DC3">
        <w:t xml:space="preserve"> in g/kWh using the following formula: THC = NMHC</w:t>
      </w:r>
      <w:r w:rsidRPr="00B04DC3">
        <w:rPr>
          <w:vertAlign w:val="subscript"/>
        </w:rPr>
        <w:t>NG</w:t>
      </w:r>
      <w:r w:rsidRPr="00B04DC3">
        <w:t xml:space="preserve"> + (CH</w:t>
      </w:r>
      <w:r w:rsidRPr="001A3319">
        <w:rPr>
          <w:vertAlign w:val="subscript"/>
        </w:rPr>
        <w:t>4</w:t>
      </w:r>
      <w:r w:rsidRPr="00B04DC3">
        <w:rPr>
          <w:vertAlign w:val="subscript"/>
        </w:rPr>
        <w:t>NG</w:t>
      </w:r>
      <w:r w:rsidRPr="00B04DC3">
        <w:t xml:space="preserve"> * GER</w:t>
      </w:r>
      <w:r w:rsidRPr="00B04DC3">
        <w:rPr>
          <w:vertAlign w:val="subscript"/>
        </w:rPr>
        <w:t>ETC</w:t>
      </w:r>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b/>
        <w:t>In this procedure,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570"/>
        <w:jc w:val="both"/>
      </w:pPr>
      <w:r w:rsidRPr="00B04DC3">
        <w:t>(a)</w:t>
      </w:r>
      <w:r w:rsidRPr="00B04DC3">
        <w:tab/>
        <w:t>NMHC</w:t>
      </w:r>
      <w:r w:rsidRPr="00B04DC3">
        <w:rPr>
          <w:vertAlign w:val="subscript"/>
        </w:rPr>
        <w:t>NG</w:t>
      </w:r>
      <w:r w:rsidRPr="00B04DC3">
        <w:t xml:space="preserve"> is the NMHC emission limit over the ETC test-cycle and made applicable to NG engine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570"/>
        <w:jc w:val="both"/>
      </w:pPr>
      <w:r w:rsidRPr="00B04DC3">
        <w:t>(b)</w:t>
      </w:r>
      <w:r w:rsidRPr="00B04DC3">
        <w:tab/>
        <w:t>CH</w:t>
      </w:r>
      <w:r w:rsidRPr="001A3319">
        <w:rPr>
          <w:vertAlign w:val="subscript"/>
        </w:rPr>
        <w:t>4</w:t>
      </w:r>
      <w:r w:rsidRPr="00B04DC3">
        <w:rPr>
          <w:vertAlign w:val="subscript"/>
        </w:rPr>
        <w:t>NG</w:t>
      </w:r>
      <w:r w:rsidRPr="00B04DC3">
        <w:t xml:space="preserve"> is the CH</w:t>
      </w:r>
      <w:r w:rsidRPr="00B04DC3">
        <w:rPr>
          <w:vertAlign w:val="subscript"/>
        </w:rPr>
        <w:t>4</w:t>
      </w:r>
      <w:r w:rsidRPr="00B04DC3">
        <w:t xml:space="preserve"> emission limit over the ETC test-cycle and applicable to NG engine in rows B2 and C of Table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5.3.2.</w:t>
      </w:r>
      <w:r w:rsidRPr="00B04DC3">
        <w:tab/>
        <w:t>Emission limits applicable to Type 3B dual-fuel engines operating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emission limits applicable to Type 3B dual-fuel engines operating in diesel mode are those defined for diesel engines in rows B2 and C of Tables 1 and 2 of paragraph 5.2.1. of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6.</w:t>
      </w:r>
      <w:r w:rsidRPr="00B04DC3">
        <w:tab/>
        <w:t>Demonstration requirements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728" w:name="_Toc280868692"/>
      <w:bookmarkStart w:id="1729" w:name="_Toc280868882"/>
      <w:bookmarkStart w:id="1730" w:name="_Toc280868937"/>
      <w:bookmarkStart w:id="1731" w:name="_Toc280869086"/>
      <w:bookmarkStart w:id="1732" w:name="_Toc280872666"/>
      <w:bookmarkStart w:id="1733" w:name="_Toc280876647"/>
      <w:bookmarkStart w:id="1734" w:name="_Toc297891266"/>
      <w:bookmarkStart w:id="1735" w:name="_Toc297891355"/>
      <w:bookmarkStart w:id="1736" w:name="_Toc297891444"/>
      <w:bookmarkStart w:id="1737" w:name="_Toc301776577"/>
      <w:bookmarkStart w:id="1738" w:name="_Toc301776725"/>
      <w:bookmarkStart w:id="1739" w:name="_Toc301944027"/>
      <w:bookmarkStart w:id="1740" w:name="_Toc301944366"/>
      <w:bookmarkStart w:id="1741" w:name="_Toc301945315"/>
      <w:bookmarkStart w:id="1742" w:name="_Toc301945423"/>
      <w:bookmarkStart w:id="1743" w:name="_Toc301946523"/>
      <w:bookmarkStart w:id="1744" w:name="_Toc304836466"/>
      <w:r w:rsidRPr="00B04DC3">
        <w:t>6.1</w:t>
      </w:r>
      <w:r w:rsidRPr="00B04DC3">
        <w:tab/>
        <w:t>Laboratory tests</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567" w:right="1134" w:firstLine="567"/>
        <w:outlineLvl w:val="0"/>
      </w:pPr>
      <w:bookmarkStart w:id="1745" w:name="_Toc280868694"/>
      <w:bookmarkStart w:id="1746" w:name="_Toc280868884"/>
      <w:bookmarkStart w:id="1747" w:name="_Toc280868939"/>
      <w:bookmarkStart w:id="1748" w:name="_Toc280869088"/>
      <w:bookmarkStart w:id="1749" w:name="_Toc280872668"/>
      <w:bookmarkStart w:id="1750" w:name="_Toc280876649"/>
      <w:bookmarkStart w:id="1751" w:name="_Toc297891268"/>
      <w:bookmarkStart w:id="1752" w:name="_Toc297891357"/>
      <w:bookmarkStart w:id="1753" w:name="_Toc297891446"/>
      <w:bookmarkStart w:id="1754" w:name="_Toc301776579"/>
      <w:bookmarkStart w:id="1755" w:name="_Toc301776727"/>
      <w:bookmarkStart w:id="1756" w:name="_Toc301944029"/>
      <w:bookmarkStart w:id="1757" w:name="_Toc301944368"/>
      <w:bookmarkStart w:id="1758" w:name="_Toc301945317"/>
      <w:bookmarkStart w:id="1759" w:name="_Toc301945425"/>
      <w:bookmarkStart w:id="1760" w:name="_Toc301946525"/>
      <w:bookmarkStart w:id="1761" w:name="_Toc304836468"/>
      <w:r w:rsidRPr="00B04DC3">
        <w:t>Table 1</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567" w:right="1134" w:firstLine="567"/>
        <w:outlineLvl w:val="0"/>
        <w:rPr>
          <w:i/>
          <w:sz w:val="16"/>
          <w:szCs w:val="16"/>
        </w:rPr>
      </w:pPr>
      <w:r w:rsidRPr="00B04DC3">
        <w:rPr>
          <w:b/>
        </w:rPr>
        <w:t>Laboratory tests to be performed by a dual-fuel engine</w:t>
      </w:r>
    </w:p>
    <w:tbl>
      <w:tblPr>
        <w:tblW w:w="762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675"/>
        <w:gridCol w:w="1470"/>
        <w:gridCol w:w="1842"/>
        <w:gridCol w:w="1843"/>
        <w:gridCol w:w="1791"/>
      </w:tblGrid>
      <w:tr w:rsidR="00B4293A" w:rsidRPr="00B04DC3" w:rsidTr="00B4293A">
        <w:trPr>
          <w:tblHeader/>
        </w:trPr>
        <w:tc>
          <w:tcPr>
            <w:tcW w:w="675" w:type="dxa"/>
            <w:tcBorders>
              <w:bottom w:val="single" w:sz="1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ind w:right="-2518"/>
              <w:jc w:val="center"/>
              <w:rPr>
                <w:i/>
                <w:sz w:val="16"/>
                <w:szCs w:val="16"/>
              </w:rPr>
            </w:pPr>
          </w:p>
          <w:p w:rsidR="00B4293A" w:rsidRPr="00B04DC3" w:rsidRDefault="00B4293A" w:rsidP="00B4293A">
            <w:pPr>
              <w:widowControl w:val="0"/>
              <w:numPr>
                <w:ilvl w:val="1"/>
                <w:numId w:val="0"/>
              </w:numPr>
              <w:suppressAutoHyphens w:val="0"/>
              <w:autoSpaceDE w:val="0"/>
              <w:autoSpaceDN w:val="0"/>
              <w:adjustRightInd w:val="0"/>
              <w:spacing w:line="240" w:lineRule="auto"/>
              <w:ind w:right="-2518"/>
              <w:jc w:val="center"/>
              <w:rPr>
                <w:i/>
                <w:sz w:val="16"/>
                <w:szCs w:val="16"/>
              </w:rPr>
            </w:pPr>
          </w:p>
        </w:tc>
        <w:tc>
          <w:tcPr>
            <w:tcW w:w="1470" w:type="dxa"/>
            <w:tcBorders>
              <w:bottom w:val="single" w:sz="1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jc w:val="center"/>
              <w:rPr>
                <w:i/>
                <w:sz w:val="16"/>
                <w:szCs w:val="16"/>
              </w:rPr>
            </w:pPr>
            <w:r w:rsidRPr="00B04DC3">
              <w:rPr>
                <w:i/>
                <w:sz w:val="16"/>
                <w:szCs w:val="16"/>
              </w:rPr>
              <w:t>Type 1A</w:t>
            </w:r>
          </w:p>
        </w:tc>
        <w:tc>
          <w:tcPr>
            <w:tcW w:w="1842" w:type="dxa"/>
            <w:tcBorders>
              <w:bottom w:val="single" w:sz="1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jc w:val="center"/>
              <w:rPr>
                <w:i/>
                <w:sz w:val="16"/>
                <w:szCs w:val="16"/>
              </w:rPr>
            </w:pPr>
            <w:r w:rsidRPr="00B04DC3">
              <w:rPr>
                <w:i/>
                <w:sz w:val="16"/>
                <w:szCs w:val="16"/>
              </w:rPr>
              <w:t>Type 1B</w:t>
            </w:r>
          </w:p>
        </w:tc>
        <w:tc>
          <w:tcPr>
            <w:tcW w:w="1843" w:type="dxa"/>
            <w:tcBorders>
              <w:bottom w:val="single" w:sz="1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jc w:val="center"/>
              <w:rPr>
                <w:i/>
                <w:sz w:val="16"/>
                <w:szCs w:val="16"/>
              </w:rPr>
            </w:pPr>
            <w:r w:rsidRPr="00B04DC3">
              <w:rPr>
                <w:i/>
                <w:sz w:val="16"/>
                <w:szCs w:val="16"/>
              </w:rPr>
              <w:t>Type 2B</w:t>
            </w:r>
          </w:p>
        </w:tc>
        <w:tc>
          <w:tcPr>
            <w:tcW w:w="1791" w:type="dxa"/>
            <w:tcBorders>
              <w:bottom w:val="single" w:sz="1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jc w:val="center"/>
              <w:rPr>
                <w:i/>
                <w:sz w:val="16"/>
                <w:szCs w:val="16"/>
              </w:rPr>
            </w:pPr>
            <w:r w:rsidRPr="00B04DC3">
              <w:rPr>
                <w:i/>
                <w:sz w:val="16"/>
                <w:szCs w:val="16"/>
              </w:rPr>
              <w:t>Type 3B</w:t>
            </w:r>
          </w:p>
        </w:tc>
      </w:tr>
      <w:tr w:rsidR="00B4293A" w:rsidRPr="00B04DC3" w:rsidTr="00B4293A">
        <w:tc>
          <w:tcPr>
            <w:tcW w:w="675" w:type="dxa"/>
            <w:tcBorders>
              <w:top w:val="single" w:sz="12" w:space="0" w:color="auto"/>
              <w:bottom w:val="single" w:sz="2" w:space="0" w:color="auto"/>
            </w:tcBorders>
            <w:shd w:val="clear" w:color="auto" w:fill="auto"/>
            <w:vAlign w:val="center"/>
          </w:tcPr>
          <w:p w:rsidR="00B4293A" w:rsidRPr="00B04DC3" w:rsidRDefault="00B4293A" w:rsidP="00B4293A">
            <w:pPr>
              <w:widowControl w:val="0"/>
              <w:numPr>
                <w:ilvl w:val="1"/>
                <w:numId w:val="0"/>
              </w:numPr>
              <w:suppressAutoHyphens w:val="0"/>
              <w:autoSpaceDE w:val="0"/>
              <w:autoSpaceDN w:val="0"/>
              <w:adjustRightInd w:val="0"/>
              <w:spacing w:line="240" w:lineRule="auto"/>
              <w:ind w:left="65" w:right="-2518"/>
            </w:pPr>
            <w:r w:rsidRPr="00B04DC3">
              <w:t>ETC</w:t>
            </w:r>
          </w:p>
        </w:tc>
        <w:tc>
          <w:tcPr>
            <w:tcW w:w="1470" w:type="dxa"/>
            <w:tcBorders>
              <w:top w:val="single" w:sz="12" w:space="0" w:color="auto"/>
              <w:bottom w:val="single" w:sz="2" w:space="0" w:color="auto"/>
            </w:tcBorders>
            <w:shd w:val="clear" w:color="auto" w:fill="auto"/>
            <w:vAlign w:val="center"/>
          </w:tcPr>
          <w:p w:rsidR="00B4293A" w:rsidRPr="00B04DC3" w:rsidRDefault="00B4293A" w:rsidP="00B31B9B">
            <w:pPr>
              <w:widowControl w:val="0"/>
              <w:numPr>
                <w:ilvl w:val="1"/>
                <w:numId w:val="0"/>
              </w:numPr>
              <w:suppressAutoHyphens w:val="0"/>
              <w:autoSpaceDE w:val="0"/>
              <w:autoSpaceDN w:val="0"/>
              <w:adjustRightInd w:val="0"/>
              <w:spacing w:line="240" w:lineRule="auto"/>
              <w:jc w:val="center"/>
            </w:pPr>
            <w:r w:rsidRPr="00B04DC3">
              <w:t>NMHC; CH</w:t>
            </w:r>
            <w:r w:rsidRPr="00B04DC3">
              <w:rPr>
                <w:vertAlign w:val="subscript"/>
              </w:rPr>
              <w:t>4</w:t>
            </w:r>
            <w:r w:rsidRPr="00B04DC3">
              <w:t>; CO; NO</w:t>
            </w:r>
            <w:r w:rsidR="00B31B9B">
              <w:rPr>
                <w:vertAlign w:val="subscript"/>
              </w:rPr>
              <w:t>x</w:t>
            </w:r>
            <w:r w:rsidRPr="00B04DC3">
              <w:t>; PM</w:t>
            </w:r>
            <w:r w:rsidRPr="00B04DC3">
              <w:rPr>
                <w:strike/>
              </w:rPr>
              <w:t xml:space="preserve"> </w:t>
            </w:r>
          </w:p>
        </w:tc>
        <w:tc>
          <w:tcPr>
            <w:tcW w:w="1842" w:type="dxa"/>
            <w:tcBorders>
              <w:top w:val="single" w:sz="12" w:space="0" w:color="auto"/>
              <w:bottom w:val="single" w:sz="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NMHC; CH</w:t>
            </w:r>
            <w:r w:rsidRPr="00B04DC3">
              <w:rPr>
                <w:vertAlign w:val="subscript"/>
              </w:rPr>
              <w:t>4</w:t>
            </w:r>
            <w:r w:rsidRPr="00B04DC3">
              <w:t>; CO; NO</w:t>
            </w:r>
            <w:r w:rsidR="00B31B9B">
              <w:rPr>
                <w:vertAlign w:val="subscript"/>
              </w:rPr>
              <w:t>x</w:t>
            </w:r>
            <w:r w:rsidRPr="00B04DC3">
              <w:t>; PM</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Diesel mode:</w:t>
            </w:r>
          </w:p>
          <w:p w:rsidR="00B4293A" w:rsidRDefault="00B4293A" w:rsidP="00B31B9B">
            <w:pPr>
              <w:widowControl w:val="0"/>
              <w:numPr>
                <w:ilvl w:val="1"/>
                <w:numId w:val="0"/>
              </w:numPr>
              <w:suppressAutoHyphens w:val="0"/>
              <w:autoSpaceDE w:val="0"/>
              <w:autoSpaceDN w:val="0"/>
              <w:adjustRightInd w:val="0"/>
              <w:spacing w:line="240" w:lineRule="auto"/>
              <w:jc w:val="center"/>
            </w:pPr>
            <w:r w:rsidRPr="00B04DC3">
              <w:t>NMHC; CO; NO</w:t>
            </w:r>
            <w:r w:rsidR="00B31B9B">
              <w:rPr>
                <w:vertAlign w:val="subscript"/>
              </w:rPr>
              <w:t>x</w:t>
            </w:r>
            <w:r w:rsidRPr="00B04DC3">
              <w:t>; PM</w:t>
            </w:r>
          </w:p>
          <w:p w:rsidR="000A090D" w:rsidRPr="00B04DC3" w:rsidRDefault="000A090D" w:rsidP="00B31B9B">
            <w:pPr>
              <w:widowControl w:val="0"/>
              <w:numPr>
                <w:ilvl w:val="1"/>
                <w:numId w:val="0"/>
              </w:numPr>
              <w:suppressAutoHyphens w:val="0"/>
              <w:autoSpaceDE w:val="0"/>
              <w:autoSpaceDN w:val="0"/>
              <w:adjustRightInd w:val="0"/>
              <w:spacing w:line="240" w:lineRule="auto"/>
              <w:jc w:val="center"/>
            </w:pPr>
          </w:p>
        </w:tc>
        <w:tc>
          <w:tcPr>
            <w:tcW w:w="1843" w:type="dxa"/>
            <w:tcBorders>
              <w:top w:val="single" w:sz="12" w:space="0" w:color="auto"/>
              <w:bottom w:val="single" w:sz="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THC; NMHC; CH</w:t>
            </w:r>
            <w:r w:rsidRPr="00B04DC3">
              <w:rPr>
                <w:vertAlign w:val="subscript"/>
              </w:rPr>
              <w:t>4</w:t>
            </w:r>
            <w:r w:rsidRPr="00B04DC3">
              <w:t>; CO; NO</w:t>
            </w:r>
            <w:r w:rsidR="00B31B9B">
              <w:rPr>
                <w:vertAlign w:val="subscript"/>
              </w:rPr>
              <w:t>x</w:t>
            </w:r>
            <w:r w:rsidRPr="00B04DC3">
              <w:t>; PM</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Diesel mode:</w:t>
            </w:r>
          </w:p>
          <w:p w:rsidR="00B4293A" w:rsidRDefault="00B4293A" w:rsidP="00B31B9B">
            <w:pPr>
              <w:widowControl w:val="0"/>
              <w:numPr>
                <w:ilvl w:val="1"/>
                <w:numId w:val="0"/>
              </w:numPr>
              <w:suppressAutoHyphens w:val="0"/>
              <w:autoSpaceDE w:val="0"/>
              <w:autoSpaceDN w:val="0"/>
              <w:adjustRightInd w:val="0"/>
              <w:spacing w:line="240" w:lineRule="auto"/>
              <w:jc w:val="center"/>
            </w:pPr>
            <w:r w:rsidRPr="00B04DC3">
              <w:t>NMHC; CO; NO</w:t>
            </w:r>
            <w:r w:rsidR="00B31B9B">
              <w:rPr>
                <w:vertAlign w:val="subscript"/>
              </w:rPr>
              <w:t>x</w:t>
            </w:r>
            <w:r w:rsidRPr="00B04DC3">
              <w:t>; PM</w:t>
            </w:r>
          </w:p>
          <w:p w:rsidR="000A090D" w:rsidRPr="00B04DC3" w:rsidRDefault="000A090D" w:rsidP="00B31B9B">
            <w:pPr>
              <w:widowControl w:val="0"/>
              <w:numPr>
                <w:ilvl w:val="1"/>
                <w:numId w:val="0"/>
              </w:numPr>
              <w:suppressAutoHyphens w:val="0"/>
              <w:autoSpaceDE w:val="0"/>
              <w:autoSpaceDN w:val="0"/>
              <w:adjustRightInd w:val="0"/>
              <w:spacing w:line="240" w:lineRule="auto"/>
              <w:jc w:val="center"/>
            </w:pPr>
          </w:p>
        </w:tc>
        <w:tc>
          <w:tcPr>
            <w:tcW w:w="1791" w:type="dxa"/>
            <w:tcBorders>
              <w:top w:val="single" w:sz="12" w:space="0" w:color="auto"/>
              <w:bottom w:val="single" w:sz="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THC; CO; NO</w:t>
            </w:r>
            <w:r w:rsidR="00B31B9B">
              <w:rPr>
                <w:vertAlign w:val="subscript"/>
              </w:rPr>
              <w:t>x</w:t>
            </w:r>
            <w:r w:rsidRPr="00B04DC3">
              <w:t>; PM</w:t>
            </w: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p>
          <w:p w:rsidR="00B4293A" w:rsidRPr="00B04DC3" w:rsidRDefault="00B4293A" w:rsidP="00B4293A">
            <w:pPr>
              <w:widowControl w:val="0"/>
              <w:numPr>
                <w:ilvl w:val="1"/>
                <w:numId w:val="0"/>
              </w:numPr>
              <w:suppressAutoHyphens w:val="0"/>
              <w:autoSpaceDE w:val="0"/>
              <w:autoSpaceDN w:val="0"/>
              <w:adjustRightInd w:val="0"/>
              <w:spacing w:line="240" w:lineRule="auto"/>
              <w:jc w:val="center"/>
            </w:pPr>
            <w:r w:rsidRPr="00B04DC3">
              <w:t>Diesel mode:</w:t>
            </w:r>
          </w:p>
          <w:p w:rsidR="00B4293A" w:rsidRDefault="00B4293A" w:rsidP="00B31B9B">
            <w:pPr>
              <w:widowControl w:val="0"/>
              <w:numPr>
                <w:ilvl w:val="1"/>
                <w:numId w:val="0"/>
              </w:numPr>
              <w:suppressAutoHyphens w:val="0"/>
              <w:autoSpaceDE w:val="0"/>
              <w:autoSpaceDN w:val="0"/>
              <w:adjustRightInd w:val="0"/>
              <w:spacing w:line="240" w:lineRule="auto"/>
              <w:jc w:val="center"/>
            </w:pPr>
            <w:r w:rsidRPr="00B04DC3">
              <w:t>NMHC; CO; NO</w:t>
            </w:r>
            <w:r w:rsidR="00B31B9B">
              <w:rPr>
                <w:vertAlign w:val="subscript"/>
              </w:rPr>
              <w:t>x</w:t>
            </w:r>
            <w:r w:rsidRPr="00B04DC3">
              <w:t>; PM</w:t>
            </w:r>
          </w:p>
          <w:p w:rsidR="000A090D" w:rsidRPr="00B04DC3" w:rsidRDefault="000A090D" w:rsidP="00B31B9B">
            <w:pPr>
              <w:widowControl w:val="0"/>
              <w:numPr>
                <w:ilvl w:val="1"/>
                <w:numId w:val="0"/>
              </w:numPr>
              <w:suppressAutoHyphens w:val="0"/>
              <w:autoSpaceDE w:val="0"/>
              <w:autoSpaceDN w:val="0"/>
              <w:adjustRightInd w:val="0"/>
              <w:spacing w:line="240" w:lineRule="auto"/>
              <w:jc w:val="center"/>
            </w:pPr>
          </w:p>
        </w:tc>
      </w:tr>
      <w:tr w:rsidR="00B4293A" w:rsidRPr="00B04DC3" w:rsidTr="00B4293A">
        <w:tc>
          <w:tcPr>
            <w:tcW w:w="675" w:type="dxa"/>
            <w:tcBorders>
              <w:bottom w:val="single" w:sz="12" w:space="0" w:color="auto"/>
            </w:tcBorders>
            <w:shd w:val="clear" w:color="auto" w:fill="auto"/>
            <w:vAlign w:val="center"/>
          </w:tcPr>
          <w:p w:rsidR="00B4293A" w:rsidRPr="00B04DC3" w:rsidRDefault="00B4293A" w:rsidP="00B4293A">
            <w:pPr>
              <w:keepNext/>
              <w:keepLines/>
              <w:widowControl w:val="0"/>
              <w:numPr>
                <w:ilvl w:val="1"/>
                <w:numId w:val="0"/>
              </w:numPr>
              <w:suppressAutoHyphens w:val="0"/>
              <w:autoSpaceDE w:val="0"/>
              <w:autoSpaceDN w:val="0"/>
              <w:adjustRightInd w:val="0"/>
              <w:spacing w:line="240" w:lineRule="auto"/>
              <w:ind w:left="65" w:right="-2518"/>
            </w:pPr>
            <w:r w:rsidRPr="00B04DC3">
              <w:t>ESC</w:t>
            </w:r>
          </w:p>
        </w:tc>
        <w:tc>
          <w:tcPr>
            <w:tcW w:w="1470" w:type="dxa"/>
            <w:tcBorders>
              <w:bottom w:val="single" w:sz="12" w:space="0" w:color="auto"/>
            </w:tcBorders>
            <w:shd w:val="clear" w:color="auto" w:fill="auto"/>
            <w:vAlign w:val="center"/>
          </w:tcPr>
          <w:p w:rsidR="00B4293A" w:rsidRPr="00B04DC3" w:rsidRDefault="00B4293A" w:rsidP="000A090D">
            <w:pPr>
              <w:keepNext/>
              <w:keepLines/>
              <w:widowControl w:val="0"/>
              <w:numPr>
                <w:ilvl w:val="1"/>
                <w:numId w:val="0"/>
              </w:numPr>
              <w:suppressAutoHyphens w:val="0"/>
              <w:autoSpaceDE w:val="0"/>
              <w:autoSpaceDN w:val="0"/>
              <w:adjustRightInd w:val="0"/>
              <w:spacing w:line="240" w:lineRule="auto"/>
              <w:jc w:val="center"/>
            </w:pPr>
            <w:r w:rsidRPr="00B04DC3">
              <w:t xml:space="preserve">GER determination only </w:t>
            </w:r>
          </w:p>
        </w:tc>
        <w:tc>
          <w:tcPr>
            <w:tcW w:w="1842" w:type="dxa"/>
            <w:tcBorders>
              <w:bottom w:val="single" w:sz="1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r w:rsidRPr="00B04DC3">
              <w:t>GER determination only</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p>
          <w:p w:rsidR="00B4293A" w:rsidRDefault="00B4293A" w:rsidP="00B31B9B">
            <w:pPr>
              <w:keepNext/>
              <w:keepLines/>
              <w:widowControl w:val="0"/>
              <w:numPr>
                <w:ilvl w:val="1"/>
                <w:numId w:val="0"/>
              </w:numPr>
              <w:suppressAutoHyphens w:val="0"/>
              <w:autoSpaceDE w:val="0"/>
              <w:autoSpaceDN w:val="0"/>
              <w:adjustRightInd w:val="0"/>
              <w:spacing w:line="240" w:lineRule="auto"/>
              <w:jc w:val="center"/>
            </w:pPr>
            <w:r w:rsidRPr="00B04DC3">
              <w:t>Diesel mode:</w:t>
            </w:r>
            <w:r w:rsidRPr="00B04DC3">
              <w:br/>
              <w:t>HC; CO; NO</w:t>
            </w:r>
            <w:r w:rsidR="00B31B9B">
              <w:rPr>
                <w:vertAlign w:val="subscript"/>
              </w:rPr>
              <w:t>x</w:t>
            </w:r>
            <w:r w:rsidRPr="00B04DC3">
              <w:t>; PM</w:t>
            </w:r>
          </w:p>
          <w:p w:rsidR="000A090D" w:rsidRPr="00B04DC3" w:rsidRDefault="000A090D" w:rsidP="00B31B9B">
            <w:pPr>
              <w:keepNext/>
              <w:keepLines/>
              <w:widowControl w:val="0"/>
              <w:numPr>
                <w:ilvl w:val="1"/>
                <w:numId w:val="0"/>
              </w:numPr>
              <w:suppressAutoHyphens w:val="0"/>
              <w:autoSpaceDE w:val="0"/>
              <w:autoSpaceDN w:val="0"/>
              <w:adjustRightInd w:val="0"/>
              <w:spacing w:line="240" w:lineRule="auto"/>
              <w:jc w:val="center"/>
            </w:pPr>
          </w:p>
        </w:tc>
        <w:tc>
          <w:tcPr>
            <w:tcW w:w="1843" w:type="dxa"/>
            <w:tcBorders>
              <w:bottom w:val="single" w:sz="1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ind w:firstLine="33"/>
              <w:jc w:val="center"/>
            </w:pPr>
            <w:r w:rsidRPr="00B04DC3">
              <w:t>GER determination only</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ind w:firstLine="34"/>
              <w:jc w:val="center"/>
            </w:pP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ind w:firstLine="34"/>
              <w:jc w:val="center"/>
            </w:pPr>
          </w:p>
          <w:p w:rsidR="00B4293A" w:rsidRDefault="00B4293A" w:rsidP="00B31B9B">
            <w:pPr>
              <w:keepNext/>
              <w:keepLines/>
              <w:widowControl w:val="0"/>
              <w:numPr>
                <w:ilvl w:val="1"/>
                <w:numId w:val="0"/>
              </w:numPr>
              <w:suppressAutoHyphens w:val="0"/>
              <w:autoSpaceDE w:val="0"/>
              <w:autoSpaceDN w:val="0"/>
              <w:adjustRightInd w:val="0"/>
              <w:spacing w:line="240" w:lineRule="auto"/>
              <w:ind w:firstLine="34"/>
              <w:jc w:val="center"/>
            </w:pPr>
            <w:r w:rsidRPr="00B04DC3">
              <w:t>Diesel mode:</w:t>
            </w:r>
            <w:r w:rsidRPr="00B04DC3">
              <w:br/>
              <w:t>HC; CO; NO</w:t>
            </w:r>
            <w:r w:rsidR="00B31B9B">
              <w:rPr>
                <w:vertAlign w:val="subscript"/>
              </w:rPr>
              <w:t>x</w:t>
            </w:r>
            <w:r w:rsidRPr="00B04DC3">
              <w:t>; PM</w:t>
            </w:r>
          </w:p>
          <w:p w:rsidR="000A090D" w:rsidRPr="00B04DC3" w:rsidRDefault="000A090D" w:rsidP="00B31B9B">
            <w:pPr>
              <w:keepNext/>
              <w:keepLines/>
              <w:widowControl w:val="0"/>
              <w:numPr>
                <w:ilvl w:val="1"/>
                <w:numId w:val="0"/>
              </w:numPr>
              <w:suppressAutoHyphens w:val="0"/>
              <w:autoSpaceDE w:val="0"/>
              <w:autoSpaceDN w:val="0"/>
              <w:adjustRightInd w:val="0"/>
              <w:spacing w:line="240" w:lineRule="auto"/>
              <w:ind w:firstLine="34"/>
              <w:jc w:val="center"/>
            </w:pPr>
          </w:p>
        </w:tc>
        <w:tc>
          <w:tcPr>
            <w:tcW w:w="1791" w:type="dxa"/>
            <w:tcBorders>
              <w:bottom w:val="single" w:sz="12" w:space="0" w:color="auto"/>
            </w:tcBorders>
            <w:shd w:val="clear" w:color="auto" w:fill="auto"/>
            <w:vAlign w:val="center"/>
          </w:tcPr>
          <w:p w:rsidR="00B4293A" w:rsidRPr="00B04DC3" w:rsidRDefault="00B4293A" w:rsidP="000A090D">
            <w:pPr>
              <w:widowControl w:val="0"/>
              <w:numPr>
                <w:ilvl w:val="1"/>
                <w:numId w:val="0"/>
              </w:numPr>
              <w:suppressAutoHyphens w:val="0"/>
              <w:autoSpaceDE w:val="0"/>
              <w:autoSpaceDN w:val="0"/>
              <w:adjustRightInd w:val="0"/>
              <w:spacing w:before="120" w:line="240" w:lineRule="auto"/>
              <w:jc w:val="center"/>
            </w:pPr>
            <w:r w:rsidRPr="00B04DC3">
              <w:t>Dual-fuel mode:</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r w:rsidRPr="00B04DC3">
              <w:t>THC; CO; NO</w:t>
            </w:r>
            <w:r w:rsidR="00B31B9B">
              <w:rPr>
                <w:vertAlign w:val="subscript"/>
              </w:rPr>
              <w:t>x</w:t>
            </w:r>
            <w:r w:rsidRPr="00B04DC3">
              <w:t>; PM</w:t>
            </w: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p>
          <w:p w:rsidR="00B4293A" w:rsidRPr="00B04DC3" w:rsidRDefault="00B4293A" w:rsidP="00B4293A">
            <w:pPr>
              <w:keepNext/>
              <w:keepLines/>
              <w:widowControl w:val="0"/>
              <w:numPr>
                <w:ilvl w:val="1"/>
                <w:numId w:val="0"/>
              </w:numPr>
              <w:suppressAutoHyphens w:val="0"/>
              <w:autoSpaceDE w:val="0"/>
              <w:autoSpaceDN w:val="0"/>
              <w:adjustRightInd w:val="0"/>
              <w:spacing w:line="240" w:lineRule="auto"/>
              <w:jc w:val="center"/>
            </w:pPr>
          </w:p>
          <w:p w:rsidR="00B4293A" w:rsidRDefault="00B4293A" w:rsidP="00B31B9B">
            <w:pPr>
              <w:keepNext/>
              <w:keepLines/>
              <w:widowControl w:val="0"/>
              <w:numPr>
                <w:ilvl w:val="1"/>
                <w:numId w:val="0"/>
              </w:numPr>
              <w:suppressAutoHyphens w:val="0"/>
              <w:autoSpaceDE w:val="0"/>
              <w:autoSpaceDN w:val="0"/>
              <w:adjustRightInd w:val="0"/>
              <w:spacing w:line="240" w:lineRule="auto"/>
              <w:ind w:firstLine="34"/>
              <w:jc w:val="center"/>
            </w:pPr>
            <w:r w:rsidRPr="00B04DC3">
              <w:t>Diesel mode:</w:t>
            </w:r>
            <w:r w:rsidRPr="00B04DC3">
              <w:br/>
              <w:t>HC; CO; NO</w:t>
            </w:r>
            <w:r w:rsidR="00B31B9B">
              <w:rPr>
                <w:vertAlign w:val="subscript"/>
              </w:rPr>
              <w:t>x</w:t>
            </w:r>
            <w:r w:rsidRPr="00B04DC3">
              <w:t>; PM</w:t>
            </w:r>
          </w:p>
          <w:p w:rsidR="000A090D" w:rsidRPr="00B04DC3" w:rsidRDefault="000A090D" w:rsidP="00B31B9B">
            <w:pPr>
              <w:keepNext/>
              <w:keepLines/>
              <w:widowControl w:val="0"/>
              <w:numPr>
                <w:ilvl w:val="1"/>
                <w:numId w:val="0"/>
              </w:numPr>
              <w:suppressAutoHyphens w:val="0"/>
              <w:autoSpaceDE w:val="0"/>
              <w:autoSpaceDN w:val="0"/>
              <w:adjustRightInd w:val="0"/>
              <w:spacing w:line="240" w:lineRule="auto"/>
              <w:ind w:firstLine="34"/>
              <w:jc w:val="center"/>
            </w:pPr>
          </w:p>
        </w:tc>
      </w:tr>
    </w:tbl>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line="240" w:lineRule="auto"/>
        <w:ind w:left="2268" w:right="1134" w:hanging="1701"/>
        <w:outlineLvl w:val="0"/>
      </w:pPr>
      <w:r w:rsidRPr="00B04DC3">
        <w:tab/>
        <w:t>6.1.1.</w:t>
      </w:r>
      <w:r w:rsidRPr="00B04DC3">
        <w:tab/>
        <w:t>When a Type 1B, 2B or 3B dual-fuel engine is developed from an already certified diesel engine, then the engine shall be tested and approved in both dual-fuel and diesel modes.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6.1.2.</w:t>
      </w:r>
      <w:r w:rsidRPr="00B04DC3">
        <w:tab/>
        <w:t>Dual-fuel engines are subject to the requirements of this Regulation regarding NH</w:t>
      </w:r>
      <w:r w:rsidRPr="00CB2112">
        <w:rPr>
          <w:vertAlign w:val="subscript"/>
        </w:rPr>
        <w:t>3</w:t>
      </w:r>
      <w:r w:rsidRPr="00B04DC3">
        <w:t xml:space="preserve"> emissions whether operating in diesel or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6.2.</w:t>
      </w:r>
      <w:r w:rsidRPr="00B04DC3">
        <w:tab/>
        <w:t>Demonstrations in case of installation of a type-approved dual-fuel engine</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B04DC3">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762" w:name="_Toc280868695"/>
      <w:bookmarkStart w:id="1763" w:name="_Toc280868885"/>
      <w:bookmarkStart w:id="1764" w:name="_Toc280868940"/>
      <w:bookmarkStart w:id="1765" w:name="_Toc280869089"/>
      <w:bookmarkStart w:id="1766" w:name="_Toc280872669"/>
      <w:bookmarkStart w:id="1767" w:name="_Toc280876650"/>
      <w:bookmarkStart w:id="1768" w:name="_Toc297891269"/>
      <w:bookmarkStart w:id="1769" w:name="_Toc297891358"/>
      <w:bookmarkStart w:id="1770" w:name="_Toc297891447"/>
      <w:r w:rsidRPr="00B04DC3">
        <w:tab/>
        <w:t>This paragraph considers the case where the vehicle manufacturer requests approval of the installation on a vehicle of a dual-fuel engine that is type-approved to the requirements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this case, and in addition to the general requirements of this annex, a demonstration of the correct installation is required. This demonstration shall be done on the basis of the appropriate element of design, results of verification tests, etc. and address the conformity of the following elements to the requirements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(a)</w:t>
      </w:r>
      <w:r w:rsidRPr="00B04DC3">
        <w:tab/>
        <w:t>The dual-fuel indicators and warnings as specified in this annex (pictogram, activation schemes, etc.);</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(b)</w:t>
      </w:r>
      <w:r w:rsidRPr="00B04DC3">
        <w:tab/>
        <w:t>The fuel storage system.</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Correct indicator illumination and warning system activation will be checked. But any check shall not force dismounting the engine system (e.g. an electric disconnection may be selected).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771" w:name="_Toc301776580"/>
      <w:bookmarkStart w:id="1772" w:name="_Toc301776728"/>
      <w:bookmarkStart w:id="1773" w:name="_Toc301944030"/>
      <w:bookmarkStart w:id="1774" w:name="_Toc301944369"/>
      <w:bookmarkStart w:id="1775" w:name="_Toc301945318"/>
      <w:bookmarkStart w:id="1776" w:name="_Toc301945426"/>
      <w:bookmarkStart w:id="1777" w:name="_Toc301946526"/>
      <w:bookmarkStart w:id="1778" w:name="_Toc304836469"/>
      <w:r w:rsidRPr="00B04DC3">
        <w:t>6.3.</w:t>
      </w:r>
      <w:r w:rsidRPr="00B04DC3">
        <w:tab/>
        <w:t>Additional demonstration requirements in case of a Type</w:t>
      </w:r>
      <w:r w:rsidR="00CB2112">
        <w:t xml:space="preserve"> </w:t>
      </w:r>
      <w:r w:rsidRPr="00B04DC3">
        <w:t>2</w:t>
      </w:r>
      <w:r w:rsidR="001A3319">
        <w:t>B</w:t>
      </w:r>
      <w:r w:rsidRPr="00B04DC3">
        <w:t xml:space="preserve"> engine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manufacturer shall present the Type Approval Authority with evidence showing that the GER</w:t>
      </w:r>
      <w:r w:rsidRPr="00B04DC3">
        <w:rPr>
          <w:vertAlign w:val="subscript"/>
        </w:rPr>
        <w:t>ETC</w:t>
      </w:r>
      <w:r w:rsidRPr="00B04DC3">
        <w:t xml:space="preserve"> span of all members of the dual-fuel engine family remains within the percentage specified in paragraph 3.1.1. (for example results of previous tests).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6.4.</w:t>
      </w:r>
      <w:r w:rsidRPr="00B04DC3">
        <w:tab/>
        <w:t>Additional demonstration requirements in case of a universal fuel range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On request of the manufacturer and with approval of the Type Approval Authority, a maximum of two times the last 10 minutes of the WHTC may be added to the adaptation run between the demonstration tests.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6.5.</w:t>
      </w:r>
      <w:r w:rsidRPr="00B04DC3">
        <w:tab/>
        <w:t>Requirements for demonstrating the durability of a dual-fuel engine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Provisions of Annex 7 shall apply</w:t>
      </w:r>
      <w:r w:rsidR="00CB2112">
        <w:t>.</w:t>
      </w:r>
      <w:r w:rsidRPr="00B04DC3" w:rsidDel="0088488B">
        <w:t xml:space="preserve"> </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w:t>
      </w:r>
      <w:r w:rsidRPr="00B04DC3">
        <w:tab/>
      </w:r>
      <w:bookmarkStart w:id="1779" w:name="_Toc280868680"/>
      <w:bookmarkStart w:id="1780" w:name="_Toc280868870"/>
      <w:bookmarkStart w:id="1781" w:name="_Toc280868925"/>
      <w:bookmarkStart w:id="1782" w:name="_Toc280869074"/>
      <w:bookmarkStart w:id="1783" w:name="_Toc280872654"/>
      <w:bookmarkStart w:id="1784" w:name="_Toc280876635"/>
      <w:bookmarkStart w:id="1785" w:name="_Toc297891273"/>
      <w:bookmarkStart w:id="1786" w:name="_Toc297891362"/>
      <w:bookmarkStart w:id="1787" w:name="_Toc297891451"/>
      <w:bookmarkStart w:id="1788" w:name="_Toc301776583"/>
      <w:bookmarkStart w:id="1789" w:name="_Toc301776731"/>
      <w:bookmarkStart w:id="1790" w:name="_Toc301944033"/>
      <w:bookmarkStart w:id="1791" w:name="_Toc301944372"/>
      <w:bookmarkStart w:id="1792" w:name="_Toc301945321"/>
      <w:bookmarkStart w:id="1793" w:name="_Toc301945429"/>
      <w:bookmarkStart w:id="1794" w:name="_Toc301946529"/>
      <w:bookmarkStart w:id="1795" w:name="_Toc304836472"/>
      <w:r w:rsidRPr="00B04DC3">
        <w:t>OBD requirements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796" w:name="_Toc297891274"/>
      <w:bookmarkStart w:id="1797" w:name="_Toc297891363"/>
      <w:bookmarkStart w:id="1798" w:name="_Toc297891452"/>
      <w:bookmarkStart w:id="1799" w:name="_Toc301776584"/>
      <w:bookmarkStart w:id="1800" w:name="_Toc301776732"/>
      <w:bookmarkStart w:id="1801" w:name="_Toc301944034"/>
      <w:r w:rsidRPr="00B04DC3">
        <w:t>7.1.</w:t>
      </w:r>
      <w:r w:rsidRPr="00B04DC3">
        <w:tab/>
        <w:t>General OBD requirements</w:t>
      </w:r>
      <w:bookmarkEnd w:id="1796"/>
      <w:bookmarkEnd w:id="1797"/>
      <w:bookmarkEnd w:id="1798"/>
      <w:bookmarkEnd w:id="1799"/>
      <w:bookmarkEnd w:id="1800"/>
      <w:bookmarkEnd w:id="1801"/>
    </w:p>
    <w:p w:rsidR="00B4293A" w:rsidRPr="00B04DC3" w:rsidRDefault="00B4293A" w:rsidP="00B4293A">
      <w:pPr>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All dual-fuel engines and vehicles, independent of whether the engine operates in dual-fuel or in diesel mode, shall comply with the OBD Stage 2 requirements specified in Annex 9A to this regulation and applicable to diesel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exemptions to these rules, including the rules concerning the OBD deficiencies and the monitoring exemptions set out in paragraph 3.3.3. of Annex 9A to this Regulation shall apply.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7.2.</w:t>
      </w:r>
      <w:r w:rsidRPr="00B04DC3">
        <w:tab/>
        <w:t>Additional general OBD requirements in case of Type B dual-fuel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Type 1B, Type 2B, and Type 3B dual-fuel engines, it is allowed to have 2 separate OBD systems on-board the vehicle, one operating in dual-fuel mode, the other operating in diesel mode. It shall be possible to retrieve OBD information separately from each of these systems according to the requirements of Annex 9A to this Regulation.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02" w:name="_Toc297891275"/>
      <w:bookmarkStart w:id="1803" w:name="_Toc297891364"/>
      <w:bookmarkStart w:id="1804" w:name="_Toc297891453"/>
      <w:bookmarkStart w:id="1805" w:name="_Toc301776585"/>
      <w:bookmarkStart w:id="1806" w:name="_Toc301776733"/>
      <w:bookmarkStart w:id="1807" w:name="_Toc301944035"/>
      <w:r w:rsidRPr="00B04DC3">
        <w:t>7.3.</w:t>
      </w:r>
      <w:r w:rsidRPr="00B04DC3">
        <w:tab/>
        <w:t>Additional OBD requirements for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7.3.1.</w:t>
      </w:r>
      <w:r w:rsidRPr="00B04DC3">
        <w:tab/>
        <w:t xml:space="preserve">Monitoring requirements regarding the dual-fuel engine system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7.3.1.1.</w:t>
      </w:r>
      <w:r w:rsidRPr="00B04DC3">
        <w:tab/>
        <w:t>Monitoring requirements regarding the gas injection system</w:t>
      </w:r>
      <w:bookmarkEnd w:id="1802"/>
      <w:bookmarkEnd w:id="1803"/>
      <w:bookmarkEnd w:id="1804"/>
      <w:bookmarkEnd w:id="1805"/>
      <w:bookmarkEnd w:id="1806"/>
      <w:bookmarkEnd w:id="1807"/>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gas injection system electronics, fuel quantity and timing actuator(s) shall be monitored for circuit continuity (i.e. open circuit or short circuit) and total functional failure when the engine operates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08" w:name="_Toc297891276"/>
      <w:bookmarkStart w:id="1809" w:name="_Toc297891365"/>
      <w:bookmarkStart w:id="1810" w:name="_Toc297891454"/>
      <w:bookmarkStart w:id="1811" w:name="_Toc301776586"/>
      <w:bookmarkStart w:id="1812" w:name="_Toc301776734"/>
      <w:bookmarkStart w:id="1813" w:name="_Toc301944036"/>
      <w:r w:rsidRPr="00B04DC3">
        <w:t>7.3.2.</w:t>
      </w:r>
      <w:r w:rsidRPr="00B04DC3">
        <w:tab/>
        <w:t xml:space="preserve">Monitoring requirements regarding the catalysts specific to </w:t>
      </w:r>
      <w:bookmarkEnd w:id="1808"/>
      <w:bookmarkEnd w:id="1809"/>
      <w:bookmarkEnd w:id="1810"/>
      <w:bookmarkEnd w:id="1811"/>
      <w:bookmarkEnd w:id="1812"/>
      <w:bookmarkEnd w:id="1813"/>
      <w:r w:rsidRPr="00B04DC3">
        <w:t>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a catalyst that is solely used in dual-fuel mode, the OBD system shall monitor for the complete removal and for major functional failure of that catalyst when the engine operates in dual-fuel mode.</w:t>
      </w:r>
    </w:p>
    <w:p w:rsidR="00B4293A" w:rsidRPr="00B04DC3" w:rsidRDefault="00B4293A" w:rsidP="006923D6">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
        </w:rPr>
      </w:pPr>
      <w:r w:rsidRPr="00B04DC3">
        <w:tab/>
      </w:r>
      <w:r w:rsidRPr="00B04DC3">
        <w:rPr>
          <w:i/>
        </w:rPr>
        <w:t>Notes:</w:t>
      </w:r>
    </w:p>
    <w:p w:rsidR="00B4293A" w:rsidRPr="00B04DC3" w:rsidRDefault="00B4293A" w:rsidP="00B4293A">
      <w:pPr>
        <w:numPr>
          <w:ilvl w:val="0"/>
          <w:numId w:val="34"/>
        </w:numPr>
        <w:tabs>
          <w:tab w:val="left" w:pos="1134"/>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76"/>
        <w:jc w:val="both"/>
      </w:pPr>
      <w:r w:rsidRPr="00B04DC3">
        <w:t>The replacement of the catalyst system by a bogus system (intentional major functional failure) shall be considered as a major functional failure;</w:t>
      </w:r>
    </w:p>
    <w:p w:rsidR="00B4293A" w:rsidRPr="00B04DC3" w:rsidRDefault="00B4293A" w:rsidP="00B4293A">
      <w:pPr>
        <w:tabs>
          <w:tab w:val="left" w:pos="1134"/>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76"/>
        <w:jc w:val="both"/>
      </w:pPr>
      <w:r w:rsidRPr="00B04DC3">
        <w:t>(b)</w:t>
      </w:r>
      <w:r w:rsidRPr="00B04DC3">
        <w:tab/>
        <w:t>All dual-fuel specific catalyst shall be considered where fitted in a separate housing, that may or may not be part of a deNO</w:t>
      </w:r>
      <w:r w:rsidRPr="00CB2112">
        <w:rPr>
          <w:vertAlign w:val="subscript"/>
        </w:rPr>
        <w:t>x</w:t>
      </w:r>
      <w:r w:rsidRPr="00B04DC3">
        <w:t xml:space="preserve"> system or particulate filter.</w:t>
      </w:r>
      <w:r w:rsidRPr="00B04DC3" w:rsidDel="00B4425C">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7.4.</w:t>
      </w:r>
      <w:r w:rsidRPr="00B04DC3">
        <w:tab/>
        <w:t>Switch to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when the OBD systems of Type 1B, Type 2B, and Type 3B dual-fuel engines concludes that a malfunction has occurred when running in dual-fuel mode, it is permitted to automatically switch to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7.4.1.</w:t>
      </w:r>
      <w:r w:rsidRPr="00B04DC3">
        <w:tab/>
        <w:t xml:space="preserve">When the OBD systems of Type 1B, Type 2B, and Type 3B dual-fuel engines determines that a malfunction of the gas injection system or of a catalyst specific to dual-fuel mode has occurred when running in dual-fuel mode, it is permitted to automatically switch to diesel mode and to switch off the malfunction indicator. </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that case, however, the status of the Diagnostic Trouble Code (DTC) associated to the concerned malfunction and of the associated counters shall be kept frozen until the next time the engine switches back to the dual-fuel mode.</w:t>
      </w:r>
      <w:bookmarkStart w:id="1814" w:name="_Toc280868681"/>
      <w:bookmarkStart w:id="1815" w:name="_Toc280868871"/>
      <w:bookmarkStart w:id="1816" w:name="_Toc280868926"/>
      <w:bookmarkStart w:id="1817" w:name="_Toc280869075"/>
      <w:bookmarkStart w:id="1818" w:name="_Toc280872655"/>
      <w:bookmarkStart w:id="1819" w:name="_Toc280876636"/>
      <w:bookmarkStart w:id="1820" w:name="_Toc297891277"/>
      <w:bookmarkStart w:id="1821" w:name="_Toc297891366"/>
      <w:bookmarkStart w:id="1822" w:name="_Toc297891455"/>
      <w:bookmarkStart w:id="1823" w:name="_Toc301776588"/>
      <w:bookmarkStart w:id="1824" w:name="_Toc301776736"/>
      <w:bookmarkStart w:id="1825" w:name="_Toc301944038"/>
      <w:bookmarkStart w:id="1826" w:name="_Toc301944373"/>
      <w:bookmarkStart w:id="1827" w:name="_Toc301945322"/>
      <w:bookmarkStart w:id="1828" w:name="_Toc301945430"/>
      <w:bookmarkStart w:id="1829" w:name="_Toc301946530"/>
      <w:bookmarkStart w:id="1830" w:name="_Toc304836473"/>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8.</w:t>
      </w:r>
      <w:r w:rsidRPr="00B04DC3">
        <w:tab/>
        <w:t>Requirements to ensure the correct operation of NO</w:t>
      </w:r>
      <w:r w:rsidR="007B59F3">
        <w:rPr>
          <w:vertAlign w:val="subscript"/>
        </w:rPr>
        <w:t>x</w:t>
      </w:r>
      <w:r w:rsidRPr="00B04DC3">
        <w:t xml:space="preserve"> control measures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8.1.</w:t>
      </w:r>
      <w:r w:rsidRPr="00B04DC3">
        <w:tab/>
        <w:t>Paragraph 5.5. (on correct operation of NO</w:t>
      </w:r>
      <w:r w:rsidR="007B59F3">
        <w:rPr>
          <w:vertAlign w:val="subscript"/>
        </w:rPr>
        <w:t>x</w:t>
      </w:r>
      <w:r w:rsidRPr="00B04DC3">
        <w:t xml:space="preserve"> control measures) </w:t>
      </w:r>
      <w:r w:rsidR="00CB2112">
        <w:t>of</w:t>
      </w:r>
      <w:r w:rsidRPr="00B04DC3">
        <w:t xml:space="preserve"> this Regulation shall apply to dual-fuel engines and vehicles, whether operating in dual-fuel mode or, in the case of Types 1B, 2B, and 3B dual-fuel engines,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spacing w:val="-2"/>
        </w:rPr>
      </w:pPr>
      <w:r w:rsidRPr="00B04DC3">
        <w:rPr>
          <w:iCs/>
          <w:spacing w:val="-2"/>
        </w:rPr>
        <w:t>8.2.</w:t>
      </w:r>
      <w:r w:rsidRPr="00B04DC3">
        <w:rPr>
          <w:iCs/>
          <w:spacing w:val="-2"/>
        </w:rPr>
        <w:tab/>
        <w:t>When a service mode is available it is allowed to switch to that mode instead of applying the torque reduction considered in paragraph 5.5.</w:t>
      </w:r>
      <w:r w:rsidR="00CB2112">
        <w:rPr>
          <w:iCs/>
          <w:spacing w:val="-2"/>
        </w:rPr>
        <w:t xml:space="preserve"> of this Regulation.</w:t>
      </w:r>
      <w:r w:rsidRPr="00B04DC3">
        <w:rPr>
          <w:iCs/>
          <w:spacing w:val="-2"/>
        </w:rPr>
        <w:t xml:space="preserve"> The engine shall then stay in service mode until the issue causing the torque reduction is fixed.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8.3.</w:t>
      </w:r>
      <w:r w:rsidRPr="00B04DC3">
        <w:tab/>
        <w:t>Dual-fuel engines of Types 1B, 2B, and 3B</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8.3.1.</w:t>
      </w:r>
      <w:r w:rsidRPr="00B04DC3">
        <w:tab/>
        <w:t xml:space="preserve">In the case of Type 1B, Type 2B, and Type 3B dual-fuel engines, the torque reduction defined in paragraph 5.5.5.3. </w:t>
      </w:r>
      <w:r w:rsidR="00CB2112">
        <w:rPr>
          <w:iCs/>
          <w:spacing w:val="-2"/>
        </w:rPr>
        <w:t xml:space="preserve"> of this Regulation </w:t>
      </w:r>
      <w:r w:rsidRPr="00B04DC3">
        <w:t xml:space="preserve">shall </w:t>
      </w:r>
      <w:r w:rsidR="001A3319">
        <w:t xml:space="preserve">be </w:t>
      </w:r>
      <w:r w:rsidRPr="00B04DC3">
        <w:t xml:space="preserve">calculated on the basis of the lowest of the maximum torques obtained in diesel mode and in dual-fuel mode.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8.3.2.</w:t>
      </w:r>
      <w:r w:rsidRPr="00B04DC3">
        <w:tab/>
        <w:t xml:space="preserve">In the case of Type 1B, Type 2B, and Type 3B dual-fuel engines operating in dual-fuel mode, if a torque reduction is required according to paragraph 5.5. </w:t>
      </w:r>
      <w:r w:rsidR="00CB2112">
        <w:t xml:space="preserve"> of this Regulation </w:t>
      </w:r>
      <w:r w:rsidRPr="00B04DC3">
        <w:t>the system may either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w:t>
      </w:r>
      <w:r w:rsidRPr="00B04DC3">
        <w:tab/>
        <w:t>Apply the torque reduction required in paragraph 8.3.1.</w:t>
      </w:r>
      <w:r w:rsidR="00CB2112">
        <w:t xml:space="preserve"> above</w:t>
      </w:r>
      <w:r w:rsidRPr="00B04DC3">
        <w:t>; or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(b)</w:t>
      </w:r>
      <w:r w:rsidRPr="00B04DC3">
        <w:tab/>
        <w:t>Automatically switch to diesel mode or service mode and stay in that mode until the issue causing inducement is fixed.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spacing w:val="-2"/>
        </w:rPr>
      </w:pPr>
      <w:r w:rsidRPr="00B04DC3">
        <w:rPr>
          <w:iCs/>
          <w:spacing w:val="-2"/>
        </w:rPr>
        <w:t>8.3.3.</w:t>
      </w:r>
      <w:r w:rsidRPr="00B04DC3">
        <w:rPr>
          <w:iCs/>
          <w:spacing w:val="-2"/>
        </w:rPr>
        <w:tab/>
        <w:t>Switching to diesel mode or service mode and staying in that mode until the issue causing inducement is fixed is mandatory in the case when, in dual-fuel mode, it is not possible to reduce the torque to the level required in paragraph 8.3.1.</w:t>
      </w:r>
      <w:r w:rsidR="00CB2112">
        <w:t xml:space="preserve"> above.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9.</w:t>
      </w:r>
      <w:r w:rsidRPr="00B04DC3">
        <w:tab/>
        <w:t>Conformity of in-service engines or vehicles/engines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conformity of in-service dual-fuel engines and vehicles shall be performed according to the requirements specified in Annex 8, with the exceptions set out in paragraphs 9.1. to 9.3.</w:t>
      </w:r>
      <w:r w:rsidR="00CB2112">
        <w:t xml:space="preserve"> below.</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9.1.</w:t>
      </w:r>
      <w:r w:rsidRPr="00B04DC3">
        <w:rPr>
          <w:iCs/>
        </w:rPr>
        <w:tab/>
        <w:t>The emission tests shall be performed in dual-fuel mode and, in case of Type</w:t>
      </w:r>
      <w:r w:rsidR="00CB2112">
        <w:rPr>
          <w:iCs/>
        </w:rPr>
        <w:t>s</w:t>
      </w:r>
      <w:r w:rsidRPr="00B04DC3">
        <w:rPr>
          <w:iCs/>
        </w:rPr>
        <w:t xml:space="preserve"> 1B, 2B, and 3B also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9.2.</w:t>
      </w:r>
      <w:r w:rsidRPr="00B04DC3">
        <w:rPr>
          <w:iCs/>
        </w:rPr>
        <w:tab/>
        <w:t>The emission limits considered when evaluating the conformity are those set out in paragraph 5</w:t>
      </w:r>
      <w:r w:rsidR="00CB2112">
        <w:rPr>
          <w:iCs/>
        </w:rPr>
        <w:t xml:space="preserve">. </w:t>
      </w:r>
      <w:r w:rsidRPr="00B04DC3">
        <w:rPr>
          <w:iCs/>
        </w:rPr>
        <w:t>"Performance requirements"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9.3.</w:t>
      </w:r>
      <w:r w:rsidRPr="00B04DC3">
        <w:rPr>
          <w:iCs/>
        </w:rPr>
        <w:tab/>
        <w:t xml:space="preserve">Additional requirements for Type 1B, Type 2B and Type 3B dual-fuel engines </w:t>
      </w:r>
    </w:p>
    <w:p w:rsidR="00B4293A" w:rsidRPr="00B31B9B"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2"/>
        </w:rPr>
      </w:pPr>
      <w:r w:rsidRPr="00B31B9B">
        <w:rPr>
          <w:iCs/>
          <w:spacing w:val="2"/>
        </w:rPr>
        <w:t>9.3.1.</w:t>
      </w:r>
      <w:r w:rsidRPr="00B31B9B">
        <w:rPr>
          <w:iCs/>
          <w:spacing w:val="2"/>
        </w:rPr>
        <w:tab/>
        <w:t>The emission test in diesel mode shall be performed on the same engine immediately after, or before, the emission test is performed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Cs/>
        </w:rPr>
        <w:t>9.3.2.</w:t>
      </w:r>
      <w:r w:rsidRPr="00B04DC3">
        <w:rPr>
          <w:iCs/>
        </w:rPr>
        <w:tab/>
        <w:t>Paragraph 5.3. of Annex 8 shall not apply. The confirmatory test may instead be regarded as non-satisfactory when, from tests of two or more engines representing the same engine family, for any regulated pollutant component, the limit value as specified in this annex is exceeded significantly either in dual-fuel mode or in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10.</w:t>
      </w:r>
      <w:r w:rsidRPr="00B04DC3">
        <w:tab/>
        <w:t>Additional test procedures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10.1.</w:t>
      </w:r>
      <w:r w:rsidRPr="00B04DC3">
        <w:tab/>
        <w:t>Additional emission test procedure requirements for dual-fuel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10.1.1.</w:t>
      </w:r>
      <w:r w:rsidRPr="00B04DC3">
        <w:tab/>
        <w:t xml:space="preserve">Dual-fuel engines shall comply with the requirements of Appendix 4 </w:t>
      </w:r>
      <w:r w:rsidR="00644D66">
        <w:t xml:space="preserve">to this Regulation </w:t>
      </w:r>
      <w:r w:rsidRPr="00B04DC3">
        <w:t>in addition to the requirements of this Regulation (including Annex 4B) when performing an emission test.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11.</w:t>
      </w:r>
      <w:r w:rsidRPr="00B04DC3">
        <w:rPr>
          <w:iCs/>
        </w:rPr>
        <w:tab/>
        <w:t>Documentation requirements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11.1.</w:t>
      </w:r>
      <w:r w:rsidRPr="00B04DC3">
        <w:rPr>
          <w:iCs/>
        </w:rPr>
        <w:tab/>
        <w:t>Documentation for installing in a vehicle a type approved dual-fuel engine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manufacturer of a dual-fuel engine type-approved as separate technical unit shall include in the installation documents of its engine system the appropriate requirements that will ensure that the vehicle, when used on the road or elsewhere as appropriate, will comply with the requirements of this annex. This documentation shall include but is not limited to:</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(a)</w:t>
      </w:r>
      <w:r w:rsidRPr="00B04DC3">
        <w:tab/>
        <w:t>The detailed technical requirements, including the provisions ensuring the compatibility with the OBD system of the engine system;</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29" w:right="1134" w:hanging="1695"/>
        <w:jc w:val="both"/>
      </w:pPr>
      <w:r w:rsidRPr="00B04DC3">
        <w:tab/>
        <w:t>(b)</w:t>
      </w:r>
      <w:r w:rsidRPr="00B04DC3">
        <w:tab/>
        <w:t>The verification procedure to be completed.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existence and the adequacy of such installation requirements may be checked during the approval process of the engine system.</w:t>
      </w:r>
    </w:p>
    <w:p w:rsidR="00B4293A" w:rsidRPr="00B31B9B"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trike/>
          <w:spacing w:val="2"/>
        </w:rPr>
      </w:pPr>
      <w:r w:rsidRPr="00B31B9B">
        <w:rPr>
          <w:iCs/>
          <w:spacing w:val="2"/>
        </w:rPr>
        <w:t>11.1.1.</w:t>
      </w:r>
      <w:r w:rsidRPr="00B31B9B">
        <w:rPr>
          <w:iCs/>
          <w:spacing w:val="2"/>
        </w:rPr>
        <w:tab/>
        <w:t xml:space="preserve">In the case when the vehicle manufacturer who applies for approval of the installation of the engine system on the vehicle is the same manufacturer who received the type approval of the dual-fuel engine as a separate technical unit, the documentation specified in paragraph 11.1. </w:t>
      </w:r>
      <w:r w:rsidR="00644D66" w:rsidRPr="00B31B9B">
        <w:rPr>
          <w:iCs/>
          <w:spacing w:val="2"/>
        </w:rPr>
        <w:t xml:space="preserve">above </w:t>
      </w:r>
      <w:r w:rsidRPr="00B31B9B">
        <w:rPr>
          <w:iCs/>
          <w:spacing w:val="2"/>
        </w:rPr>
        <w:t>is not required.</w:t>
      </w:r>
    </w:p>
    <w:p w:rsidR="00B4293A" w:rsidRPr="00B04DC3" w:rsidRDefault="00B4293A" w:rsidP="000A090D">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iCs/>
        </w:rPr>
      </w:pPr>
      <w:r w:rsidRPr="00B04DC3">
        <w:rPr>
          <w:iCs/>
        </w:rPr>
        <w:t>12.</w:t>
      </w:r>
      <w:r w:rsidRPr="00B04DC3">
        <w:rPr>
          <w:iCs/>
        </w:rPr>
        <w:tab/>
        <w:t>Appendices</w:t>
      </w:r>
    </w:p>
    <w:p w:rsidR="00B4293A" w:rsidRPr="00B04DC3" w:rsidRDefault="00B4293A" w:rsidP="000A090D">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399" w:right="1134" w:hanging="2265"/>
        <w:jc w:val="both"/>
        <w:rPr>
          <w:rFonts w:eastAsia="MS Mincho"/>
        </w:rPr>
      </w:pPr>
      <w:r w:rsidRPr="00B04DC3">
        <w:rPr>
          <w:rFonts w:eastAsia="MS Mincho"/>
        </w:rPr>
        <w:tab/>
        <w:t>Appendix 1</w:t>
      </w:r>
      <w:r w:rsidRPr="00B04DC3">
        <w:rPr>
          <w:rFonts w:eastAsia="MS Mincho"/>
        </w:rPr>
        <w:tab/>
        <w:t>Types of dual-fuel engines and vehicles - illustration of the definitions and requirements</w:t>
      </w:r>
    </w:p>
    <w:p w:rsidR="00B4293A" w:rsidRPr="00B31B9B"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399" w:right="1134" w:hanging="2265"/>
        <w:jc w:val="both"/>
        <w:rPr>
          <w:rFonts w:eastAsia="MS Mincho"/>
          <w:spacing w:val="2"/>
        </w:rPr>
      </w:pPr>
      <w:r w:rsidRPr="00B31B9B">
        <w:rPr>
          <w:rFonts w:eastAsia="MS Mincho"/>
          <w:spacing w:val="2"/>
        </w:rPr>
        <w:tab/>
        <w:t>Appendix 2</w:t>
      </w:r>
      <w:r w:rsidRPr="00B31B9B">
        <w:rPr>
          <w:rFonts w:eastAsia="MS Mincho"/>
          <w:spacing w:val="2"/>
        </w:rPr>
        <w:tab/>
        <w:t>Activation and deactivation mechanisms of the counter(s), warning system, operability restriction, service mode in case of dual-fuel engines and vehicles - Description and illustrations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399" w:right="1134" w:hanging="2265"/>
        <w:jc w:val="both"/>
        <w:rPr>
          <w:lang w:eastAsia="ja-JP"/>
        </w:rPr>
      </w:pPr>
      <w:r w:rsidRPr="00B04DC3">
        <w:rPr>
          <w:rFonts w:eastAsia="MS Mincho"/>
        </w:rPr>
        <w:tab/>
        <w:t>Appendix 3</w:t>
      </w:r>
      <w:r w:rsidRPr="00B04DC3">
        <w:rPr>
          <w:rFonts w:eastAsia="MS Mincho"/>
        </w:rPr>
        <w:tab/>
      </w:r>
      <w:r w:rsidRPr="00B04DC3">
        <w:rPr>
          <w:lang w:eastAsia="ja-JP"/>
        </w:rPr>
        <w:t>Dual-fuel indicators, warning system, operability restriction</w:t>
      </w:r>
      <w:r w:rsidRPr="00B04DC3" w:rsidDel="00211460">
        <w:rPr>
          <w:lang w:eastAsia="ja-JP"/>
        </w:rPr>
        <w:t xml:space="preserve"> </w:t>
      </w:r>
      <w:r w:rsidRPr="00B04DC3">
        <w:rPr>
          <w:lang w:eastAsia="ja-JP"/>
        </w:rPr>
        <w:t>- Demonstration requirements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399" w:right="1134" w:hanging="2265"/>
        <w:jc w:val="both"/>
        <w:rPr>
          <w:lang w:eastAsia="ja-JP"/>
        </w:rPr>
      </w:pPr>
      <w:r w:rsidRPr="00B04DC3">
        <w:rPr>
          <w:lang w:eastAsia="ja-JP"/>
        </w:rPr>
        <w:tab/>
      </w:r>
      <w:r w:rsidRPr="00B04DC3">
        <w:rPr>
          <w:rFonts w:eastAsia="MS Mincho"/>
        </w:rPr>
        <w:t>Appendix 4</w:t>
      </w:r>
      <w:r w:rsidRPr="00B04DC3">
        <w:rPr>
          <w:rFonts w:eastAsia="MS Mincho"/>
        </w:rPr>
        <w:tab/>
      </w:r>
      <w:r w:rsidRPr="00B04DC3">
        <w:rPr>
          <w:lang w:eastAsia="ja-JP"/>
        </w:rPr>
        <w:t>Additional emission test procedure requirements for dual-fuel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399" w:right="1134" w:hanging="2265"/>
        <w:jc w:val="both"/>
        <w:rPr>
          <w:sz w:val="24"/>
        </w:rPr>
      </w:pPr>
      <w:r w:rsidRPr="00B04DC3">
        <w:rPr>
          <w:lang w:eastAsia="ja-JP"/>
        </w:rPr>
        <w:tab/>
      </w:r>
      <w:r w:rsidRPr="00B04DC3">
        <w:rPr>
          <w:rFonts w:eastAsia="MS Mincho"/>
        </w:rPr>
        <w:t>Appendix 5</w:t>
      </w:r>
      <w:r w:rsidRPr="00B04DC3">
        <w:rPr>
          <w:rFonts w:eastAsia="MS Mincho"/>
        </w:rPr>
        <w:tab/>
      </w:r>
      <w:r w:rsidRPr="00B04DC3">
        <w:rPr>
          <w:rFonts w:eastAsia="MS Mincho"/>
          <w:lang w:eastAsia="ja-JP"/>
        </w:rPr>
        <w:t xml:space="preserve">Determination of molar component ratios and </w:t>
      </w:r>
      <w:r w:rsidRPr="00B04DC3">
        <w:rPr>
          <w:rFonts w:eastAsia="MS Mincho"/>
          <w:i/>
          <w:lang w:eastAsia="ja-JP"/>
        </w:rPr>
        <w:t>u</w:t>
      </w:r>
      <w:r w:rsidRPr="00B04DC3">
        <w:rPr>
          <w:rFonts w:eastAsia="MS Mincho"/>
          <w:i/>
          <w:vertAlign w:val="subscript"/>
          <w:lang w:eastAsia="ja-JP"/>
        </w:rPr>
        <w:t>gas</w:t>
      </w:r>
      <w:r w:rsidRPr="00B04DC3">
        <w:rPr>
          <w:rFonts w:eastAsia="MS Mincho"/>
          <w:lang w:eastAsia="ja-JP"/>
        </w:rPr>
        <w:t xml:space="preserve"> values for dual-fuel engines</w:t>
      </w:r>
    </w:p>
    <w:p w:rsidR="00B4293A" w:rsidRPr="00B04DC3" w:rsidRDefault="00B4293A" w:rsidP="00B4293A">
      <w:pPr>
        <w:widowControl w:val="0"/>
        <w:tabs>
          <w:tab w:val="num" w:pos="540"/>
        </w:tabs>
        <w:suppressAutoHyphens w:val="0"/>
        <w:autoSpaceDE w:val="0"/>
        <w:autoSpaceDN w:val="0"/>
        <w:adjustRightInd w:val="0"/>
        <w:spacing w:line="240" w:lineRule="auto"/>
        <w:ind w:hanging="360"/>
        <w:jc w:val="both"/>
        <w:rPr>
          <w:sz w:val="24"/>
          <w:szCs w:val="24"/>
        </w:rPr>
        <w:sectPr w:rsidR="00B4293A" w:rsidRPr="00B04DC3" w:rsidSect="00B4293A">
          <w:headerReference w:type="even" r:id="rId722"/>
          <w:headerReference w:type="default" r:id="rId723"/>
          <w:footerReference w:type="even" r:id="rId724"/>
          <w:footerReference w:type="default" r:id="rId725"/>
          <w:headerReference w:type="first" r:id="rId726"/>
          <w:footerReference w:type="first" r:id="rId727"/>
          <w:footnotePr>
            <w:numRestart w:val="eachSect"/>
          </w:footnotePr>
          <w:endnotePr>
            <w:numFmt w:val="decimal"/>
          </w:endnotePr>
          <w:pgSz w:w="11907" w:h="16840" w:code="9"/>
          <w:pgMar w:top="1676" w:right="1134" w:bottom="2268" w:left="1134" w:header="1134" w:footer="1727" w:gutter="0"/>
          <w:cols w:space="720"/>
          <w:titlePg/>
          <w:docGrid w:linePitch="272"/>
        </w:sectPr>
      </w:pPr>
    </w:p>
    <w:p w:rsidR="00B4293A" w:rsidRPr="00B04DC3" w:rsidRDefault="00B4293A" w:rsidP="007B59F3">
      <w:pPr>
        <w:pStyle w:val="HChG"/>
      </w:pPr>
      <w:bookmarkStart w:id="1831" w:name="_Toc423599730"/>
      <w:bookmarkStart w:id="1832" w:name="_Toc423611138"/>
      <w:bookmarkStart w:id="1833" w:name="_Toc301946540"/>
      <w:bookmarkStart w:id="1834" w:name="_Toc304836483"/>
      <w:bookmarkStart w:id="1835" w:name="_Toc301946541"/>
      <w:bookmarkStart w:id="1836" w:name="_Toc304836484"/>
      <w:r w:rsidRPr="00B04DC3">
        <w:t>Annex 11 - Appendix 1</w:t>
      </w:r>
      <w:bookmarkEnd w:id="1831"/>
      <w:bookmarkEnd w:id="1832"/>
    </w:p>
    <w:p w:rsidR="00B4293A" w:rsidRPr="00B04DC3" w:rsidRDefault="00B4293A" w:rsidP="007B59F3">
      <w:pPr>
        <w:pStyle w:val="HChG"/>
      </w:pPr>
      <w:r w:rsidRPr="00B04DC3">
        <w:tab/>
      </w:r>
      <w:r w:rsidRPr="00B04DC3">
        <w:tab/>
      </w:r>
      <w:bookmarkStart w:id="1837" w:name="_Toc423599731"/>
      <w:bookmarkStart w:id="1838" w:name="_Toc423611139"/>
      <w:r w:rsidRPr="00B04DC3">
        <w:t>Types of dual-fuel engines and vehicles - illustration of the definitions and requirements</w:t>
      </w:r>
      <w:bookmarkEnd w:id="1833"/>
      <w:bookmarkEnd w:id="1834"/>
      <w:bookmarkEnd w:id="1837"/>
      <w:bookmarkEnd w:id="1838"/>
    </w:p>
    <w:tbl>
      <w:tblPr>
        <w:tblW w:w="99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18"/>
        <w:gridCol w:w="1460"/>
        <w:gridCol w:w="1612"/>
        <w:gridCol w:w="1612"/>
        <w:gridCol w:w="1612"/>
        <w:gridCol w:w="1018"/>
        <w:gridCol w:w="1576"/>
      </w:tblGrid>
      <w:tr w:rsidR="00B4293A" w:rsidRPr="00B04DC3" w:rsidTr="00B4293A">
        <w:trPr>
          <w:jc w:val="center"/>
        </w:trPr>
        <w:tc>
          <w:tcPr>
            <w:tcW w:w="1017"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p>
        </w:tc>
        <w:tc>
          <w:tcPr>
            <w:tcW w:w="1460"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r w:rsidRPr="00B04DC3">
              <w:rPr>
                <w:i/>
                <w:sz w:val="16"/>
                <w:szCs w:val="16"/>
              </w:rPr>
              <w:t>GER</w:t>
            </w:r>
            <w:r w:rsidRPr="00B04DC3">
              <w:rPr>
                <w:i/>
                <w:sz w:val="16"/>
                <w:szCs w:val="16"/>
                <w:vertAlign w:val="subscript"/>
              </w:rPr>
              <w:t>ETC</w:t>
            </w:r>
            <w:r w:rsidRPr="00B04DC3">
              <w:rPr>
                <w:i/>
                <w:sz w:val="16"/>
                <w:szCs w:val="16"/>
                <w:vertAlign w:val="superscript"/>
              </w:rPr>
              <w:t>1</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rPr>
                <w:i/>
                <w:sz w:val="16"/>
                <w:szCs w:val="16"/>
              </w:rPr>
            </w:pPr>
            <w:r w:rsidRPr="00B04DC3">
              <w:rPr>
                <w:i/>
                <w:sz w:val="16"/>
                <w:szCs w:val="16"/>
              </w:rPr>
              <w:t>Idle on diesel</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r w:rsidRPr="00B04DC3">
              <w:rPr>
                <w:i/>
                <w:sz w:val="16"/>
                <w:szCs w:val="16"/>
              </w:rPr>
              <w:t xml:space="preserve">Warm-up on diesel </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r w:rsidRPr="00B04DC3">
              <w:rPr>
                <w:i/>
                <w:sz w:val="16"/>
                <w:szCs w:val="16"/>
              </w:rPr>
              <w:t>Operation on diesel solely</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r w:rsidRPr="00B04DC3">
              <w:rPr>
                <w:i/>
                <w:sz w:val="16"/>
                <w:szCs w:val="16"/>
              </w:rPr>
              <w:t>Service-mode</w:t>
            </w:r>
          </w:p>
        </w:tc>
        <w:tc>
          <w:tcPr>
            <w:tcW w:w="1576"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rPr>
                <w:i/>
                <w:sz w:val="16"/>
                <w:szCs w:val="16"/>
              </w:rPr>
            </w:pPr>
            <w:r w:rsidRPr="00B04DC3">
              <w:rPr>
                <w:i/>
                <w:sz w:val="16"/>
                <w:szCs w:val="16"/>
              </w:rPr>
              <w:t>Comments</w:t>
            </w:r>
          </w:p>
        </w:tc>
      </w:tr>
      <w:tr w:rsidR="00B4293A" w:rsidRPr="00B04DC3" w:rsidTr="00B4293A">
        <w:trPr>
          <w:jc w:val="center"/>
        </w:trPr>
        <w:tc>
          <w:tcPr>
            <w:tcW w:w="1017" w:type="dxa"/>
            <w:tcBorders>
              <w:top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1A</w:t>
            </w:r>
          </w:p>
        </w:tc>
        <w:tc>
          <w:tcPr>
            <w:tcW w:w="1460" w:type="dxa"/>
            <w:tcBorders>
              <w:top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GER</w:t>
            </w:r>
            <w:r w:rsidRPr="00B04DC3">
              <w:rPr>
                <w:vertAlign w:val="subscript"/>
              </w:rPr>
              <w:t>ETC</w:t>
            </w:r>
            <w:r w:rsidRPr="00B04DC3">
              <w:t xml:space="preserve"> ≥ 90%</w:t>
            </w:r>
          </w:p>
        </w:tc>
        <w:tc>
          <w:tcPr>
            <w:tcW w:w="0" w:type="auto"/>
            <w:tcBorders>
              <w:top w:val="single" w:sz="12" w:space="0" w:color="auto"/>
            </w:tcBorders>
            <w:shd w:val="clear" w:color="auto" w:fill="auto"/>
            <w:vAlign w:val="center"/>
          </w:tcPr>
          <w:p w:rsidR="00B4293A" w:rsidRPr="00B04DC3" w:rsidRDefault="00B4293A" w:rsidP="00B31B9B">
            <w:pPr>
              <w:widowControl w:val="0"/>
              <w:tabs>
                <w:tab w:val="left" w:pos="1701"/>
              </w:tabs>
              <w:suppressAutoHyphens w:val="0"/>
              <w:adjustRightInd w:val="0"/>
              <w:spacing w:beforeLines="80" w:before="192" w:afterLines="80" w:after="192" w:line="240" w:lineRule="auto"/>
              <w:ind w:firstLine="32"/>
              <w:jc w:val="center"/>
            </w:pPr>
            <w:r w:rsidRPr="00B04DC3">
              <w:t>NOT Allowed</w:t>
            </w:r>
          </w:p>
        </w:tc>
        <w:tc>
          <w:tcPr>
            <w:tcW w:w="0" w:type="auto"/>
            <w:tcBorders>
              <w:top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w:t>
            </w:r>
          </w:p>
        </w:tc>
        <w:tc>
          <w:tcPr>
            <w:tcW w:w="0" w:type="auto"/>
            <w:tcBorders>
              <w:top w:val="single" w:sz="12" w:space="0" w:color="auto"/>
            </w:tcBorders>
            <w:shd w:val="clear" w:color="auto" w:fill="auto"/>
            <w:vAlign w:val="center"/>
          </w:tcPr>
          <w:p w:rsidR="00B4293A" w:rsidRPr="00B04DC3" w:rsidRDefault="00B4293A" w:rsidP="00B31B9B">
            <w:pPr>
              <w:widowControl w:val="0"/>
              <w:tabs>
                <w:tab w:val="left" w:pos="1701"/>
              </w:tabs>
              <w:suppressAutoHyphens w:val="0"/>
              <w:adjustRightInd w:val="0"/>
              <w:spacing w:beforeLines="80" w:before="192" w:afterLines="80" w:after="192" w:line="240" w:lineRule="auto"/>
              <w:jc w:val="center"/>
            </w:pPr>
            <w:r w:rsidRPr="00B04DC3">
              <w:t>NOT Allowed</w:t>
            </w:r>
          </w:p>
        </w:tc>
        <w:tc>
          <w:tcPr>
            <w:tcW w:w="0" w:type="auto"/>
            <w:tcBorders>
              <w:top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w:t>
            </w:r>
          </w:p>
        </w:tc>
        <w:tc>
          <w:tcPr>
            <w:tcW w:w="1576" w:type="dxa"/>
            <w:tcBorders>
              <w:top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p>
        </w:tc>
      </w:tr>
      <w:tr w:rsidR="00B4293A" w:rsidRPr="00B04DC3" w:rsidTr="00B4293A">
        <w:trPr>
          <w:jc w:val="center"/>
        </w:trPr>
        <w:tc>
          <w:tcPr>
            <w:tcW w:w="1017"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1B</w:t>
            </w:r>
          </w:p>
        </w:tc>
        <w:tc>
          <w:tcPr>
            <w:tcW w:w="1460"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GER</w:t>
            </w:r>
            <w:r w:rsidRPr="00B04DC3">
              <w:rPr>
                <w:vertAlign w:val="subscript"/>
              </w:rPr>
              <w:t>ETC</w:t>
            </w:r>
            <w:r w:rsidRPr="00B04DC3">
              <w:t xml:space="preserve"> ≥ 90%</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pPr>
            <w:r w:rsidRPr="00B04DC3">
              <w:t>Allowed only on Diesel mode</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w:t>
            </w:r>
            <w:r w:rsidRPr="00B04DC3">
              <w:rPr>
                <w:vertAlign w:val="superscript"/>
              </w:rPr>
              <w:t>2</w:t>
            </w:r>
          </w:p>
        </w:tc>
        <w:tc>
          <w:tcPr>
            <w:tcW w:w="1576"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p>
        </w:tc>
      </w:tr>
      <w:tr w:rsidR="00B4293A" w:rsidRPr="00B04DC3" w:rsidTr="00B4293A">
        <w:trPr>
          <w:trHeight w:val="493"/>
          <w:jc w:val="center"/>
        </w:trPr>
        <w:tc>
          <w:tcPr>
            <w:tcW w:w="1017"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2A</w:t>
            </w:r>
          </w:p>
        </w:tc>
        <w:tc>
          <w:tcPr>
            <w:tcW w:w="8891" w:type="dxa"/>
            <w:gridSpan w:val="6"/>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rPr>
                <w:color w:val="FF0000"/>
              </w:rPr>
            </w:pPr>
            <w:r w:rsidRPr="00B04DC3">
              <w:t>NEITHER DEFINED NOR ALLOWED</w:t>
            </w:r>
          </w:p>
        </w:tc>
      </w:tr>
      <w:tr w:rsidR="00B4293A" w:rsidRPr="00B04DC3" w:rsidTr="00B4293A">
        <w:trPr>
          <w:jc w:val="center"/>
        </w:trPr>
        <w:tc>
          <w:tcPr>
            <w:tcW w:w="1017"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2B</w:t>
            </w:r>
          </w:p>
        </w:tc>
        <w:tc>
          <w:tcPr>
            <w:tcW w:w="1460"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10% &lt; GER</w:t>
            </w:r>
            <w:r w:rsidRPr="00B04DC3">
              <w:rPr>
                <w:vertAlign w:val="subscript"/>
              </w:rPr>
              <w:t>ETC</w:t>
            </w:r>
            <w:r w:rsidRPr="00B04DC3">
              <w:t xml:space="preserve"> &lt; 90%</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pPr>
            <w:r w:rsidRPr="00B04DC3">
              <w:t>Allowed</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shd w:val="clear" w:color="auto" w:fill="auto"/>
            <w:vAlign w:val="center"/>
          </w:tcPr>
          <w:p w:rsidR="00B4293A" w:rsidRPr="00B04DC3" w:rsidRDefault="00B4293A" w:rsidP="00B31B9B">
            <w:pPr>
              <w:widowControl w:val="0"/>
              <w:tabs>
                <w:tab w:val="left" w:pos="1701"/>
              </w:tabs>
              <w:suppressAutoHyphens w:val="0"/>
              <w:adjustRightInd w:val="0"/>
              <w:spacing w:beforeLines="80" w:before="192" w:afterLines="80" w:after="192" w:line="240" w:lineRule="auto"/>
              <w:jc w:val="center"/>
            </w:pPr>
            <w:r w:rsidRPr="00B04DC3">
              <w:t>Allowed</w:t>
            </w:r>
            <w:r w:rsidRPr="00B04DC3">
              <w:rPr>
                <w:vertAlign w:val="superscript"/>
              </w:rPr>
              <w:t>2</w:t>
            </w:r>
          </w:p>
        </w:tc>
        <w:tc>
          <w:tcPr>
            <w:tcW w:w="1576" w:type="dxa"/>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GER</w:t>
            </w:r>
            <w:r w:rsidRPr="00B04DC3">
              <w:rPr>
                <w:vertAlign w:val="subscript"/>
              </w:rPr>
              <w:t>ETC</w:t>
            </w:r>
            <w:r w:rsidRPr="00B04DC3">
              <w:t xml:space="preserve"> ≥ 90% allowed</w:t>
            </w:r>
            <w:r w:rsidRPr="00B04DC3">
              <w:rPr>
                <w:vertAlign w:val="superscript"/>
              </w:rPr>
              <w:t>3</w:t>
            </w:r>
          </w:p>
        </w:tc>
      </w:tr>
      <w:tr w:rsidR="00B4293A" w:rsidRPr="00B04DC3" w:rsidTr="00B4293A">
        <w:trPr>
          <w:jc w:val="center"/>
        </w:trPr>
        <w:tc>
          <w:tcPr>
            <w:tcW w:w="1017" w:type="dxa"/>
            <w:tcBorders>
              <w:bottom w:val="single" w:sz="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3A</w:t>
            </w:r>
          </w:p>
        </w:tc>
        <w:tc>
          <w:tcPr>
            <w:tcW w:w="8891" w:type="dxa"/>
            <w:gridSpan w:val="6"/>
            <w:tcBorders>
              <w:bottom w:val="single" w:sz="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rPr>
                <w:color w:val="FF0000"/>
              </w:rPr>
            </w:pPr>
            <w:r w:rsidRPr="00B04DC3">
              <w:t>NEITHER DEFINED NOR ALLOWED</w:t>
            </w:r>
          </w:p>
        </w:tc>
      </w:tr>
      <w:tr w:rsidR="00B4293A" w:rsidRPr="00B04DC3" w:rsidTr="00B4293A">
        <w:trPr>
          <w:jc w:val="center"/>
        </w:trPr>
        <w:tc>
          <w:tcPr>
            <w:tcW w:w="1017"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Type 3B</w:t>
            </w:r>
          </w:p>
        </w:tc>
        <w:tc>
          <w:tcPr>
            <w:tcW w:w="1460"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GER</w:t>
            </w:r>
            <w:r w:rsidRPr="00B04DC3">
              <w:rPr>
                <w:vertAlign w:val="subscript"/>
              </w:rPr>
              <w:t>ETC</w:t>
            </w:r>
            <w:r w:rsidRPr="00B04DC3">
              <w:t xml:space="preserve"> ≤ 10%</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ind w:firstLine="32"/>
              <w:jc w:val="center"/>
            </w:pPr>
            <w:r w:rsidRPr="00B04DC3">
              <w:t>Allowed</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r w:rsidRPr="00B04DC3">
              <w:t>Allowed only on Diesel mode</w:t>
            </w:r>
          </w:p>
        </w:tc>
        <w:tc>
          <w:tcPr>
            <w:tcW w:w="0" w:type="auto"/>
            <w:tcBorders>
              <w:bottom w:val="single" w:sz="12" w:space="0" w:color="auto"/>
            </w:tcBorders>
            <w:shd w:val="clear" w:color="auto" w:fill="auto"/>
            <w:vAlign w:val="center"/>
          </w:tcPr>
          <w:p w:rsidR="00B4293A" w:rsidRPr="00B04DC3" w:rsidRDefault="00B4293A" w:rsidP="00B31B9B">
            <w:pPr>
              <w:widowControl w:val="0"/>
              <w:tabs>
                <w:tab w:val="left" w:pos="1701"/>
              </w:tabs>
              <w:suppressAutoHyphens w:val="0"/>
              <w:adjustRightInd w:val="0"/>
              <w:spacing w:beforeLines="80" w:before="192" w:afterLines="80" w:after="192" w:line="240" w:lineRule="auto"/>
              <w:jc w:val="center"/>
            </w:pPr>
            <w:r w:rsidRPr="00B04DC3">
              <w:t>Allowed</w:t>
            </w:r>
            <w:r w:rsidRPr="00B04DC3">
              <w:rPr>
                <w:vertAlign w:val="superscript"/>
              </w:rPr>
              <w:t>2</w:t>
            </w:r>
          </w:p>
        </w:tc>
        <w:tc>
          <w:tcPr>
            <w:tcW w:w="1576" w:type="dxa"/>
            <w:tcBorders>
              <w:bottom w:val="single" w:sz="12" w:space="0" w:color="auto"/>
            </w:tcBorders>
            <w:shd w:val="clear" w:color="auto" w:fill="auto"/>
            <w:vAlign w:val="center"/>
          </w:tcPr>
          <w:p w:rsidR="00B4293A" w:rsidRPr="00B04DC3" w:rsidRDefault="00B4293A" w:rsidP="00B31B9B">
            <w:pPr>
              <w:tabs>
                <w:tab w:val="left" w:pos="1701"/>
              </w:tabs>
              <w:suppressAutoHyphens w:val="0"/>
              <w:spacing w:beforeLines="80" w:before="192" w:afterLines="80" w:after="192" w:line="240" w:lineRule="auto"/>
              <w:jc w:val="center"/>
            </w:pPr>
          </w:p>
        </w:tc>
      </w:tr>
      <w:tr w:rsidR="00B4293A" w:rsidRPr="00B04DC3" w:rsidTr="00B4293A">
        <w:trPr>
          <w:jc w:val="center"/>
        </w:trPr>
        <w:tc>
          <w:tcPr>
            <w:tcW w:w="9908" w:type="dxa"/>
            <w:gridSpan w:val="7"/>
            <w:tcBorders>
              <w:top w:val="single" w:sz="12" w:space="0" w:color="auto"/>
              <w:left w:val="nil"/>
              <w:bottom w:val="nil"/>
              <w:right w:val="nil"/>
            </w:tcBorders>
            <w:shd w:val="clear" w:color="auto" w:fill="auto"/>
            <w:vAlign w:val="center"/>
          </w:tcPr>
          <w:p w:rsidR="00B4293A" w:rsidRPr="00B04DC3" w:rsidRDefault="00B4293A" w:rsidP="00B4293A">
            <w:pPr>
              <w:tabs>
                <w:tab w:val="left" w:pos="1701"/>
              </w:tabs>
              <w:suppressAutoHyphens w:val="0"/>
              <w:spacing w:line="240" w:lineRule="auto"/>
              <w:rPr>
                <w:sz w:val="18"/>
                <w:szCs w:val="18"/>
              </w:rPr>
            </w:pPr>
            <w:r w:rsidRPr="00B04DC3">
              <w:rPr>
                <w:sz w:val="18"/>
                <w:szCs w:val="18"/>
                <w:vertAlign w:val="superscript"/>
              </w:rPr>
              <w:t>1</w:t>
            </w:r>
            <w:r w:rsidRPr="00B04DC3">
              <w:rPr>
                <w:sz w:val="18"/>
                <w:szCs w:val="18"/>
              </w:rPr>
              <w:t xml:space="preserve">   His average </w:t>
            </w:r>
            <w:r w:rsidRPr="00B04DC3">
              <w:rPr>
                <w:sz w:val="18"/>
                <w:szCs w:val="18"/>
                <w:u w:val="single"/>
              </w:rPr>
              <w:t>G</w:t>
            </w:r>
            <w:r w:rsidRPr="00B04DC3">
              <w:rPr>
                <w:sz w:val="18"/>
                <w:szCs w:val="18"/>
              </w:rPr>
              <w:t xml:space="preserve">as </w:t>
            </w:r>
            <w:r w:rsidRPr="00B04DC3">
              <w:rPr>
                <w:sz w:val="18"/>
                <w:szCs w:val="18"/>
                <w:u w:val="single"/>
              </w:rPr>
              <w:t>E</w:t>
            </w:r>
            <w:r w:rsidRPr="00B04DC3">
              <w:rPr>
                <w:sz w:val="18"/>
                <w:szCs w:val="18"/>
              </w:rPr>
              <w:t xml:space="preserve">nergy </w:t>
            </w:r>
            <w:r w:rsidRPr="00B04DC3">
              <w:rPr>
                <w:sz w:val="18"/>
                <w:szCs w:val="18"/>
                <w:u w:val="single"/>
              </w:rPr>
              <w:t>R</w:t>
            </w:r>
            <w:r w:rsidRPr="00B04DC3">
              <w:rPr>
                <w:sz w:val="18"/>
                <w:szCs w:val="18"/>
              </w:rPr>
              <w:t>atio GER</w:t>
            </w:r>
            <w:r w:rsidRPr="00B04DC3">
              <w:rPr>
                <w:sz w:val="18"/>
                <w:szCs w:val="18"/>
                <w:vertAlign w:val="subscript"/>
              </w:rPr>
              <w:t>ETC</w:t>
            </w:r>
            <w:r w:rsidRPr="00B04DC3">
              <w:rPr>
                <w:sz w:val="18"/>
                <w:szCs w:val="18"/>
              </w:rPr>
              <w:t xml:space="preserve"> is calculated over the ETC test-cycle.</w:t>
            </w:r>
          </w:p>
          <w:p w:rsidR="00B4293A" w:rsidRPr="00B04DC3" w:rsidRDefault="00B4293A" w:rsidP="00B4293A">
            <w:pPr>
              <w:tabs>
                <w:tab w:val="left" w:pos="1701"/>
              </w:tabs>
              <w:suppressAutoHyphens w:val="0"/>
              <w:spacing w:line="240" w:lineRule="auto"/>
              <w:rPr>
                <w:sz w:val="18"/>
                <w:szCs w:val="18"/>
              </w:rPr>
            </w:pPr>
            <w:r w:rsidRPr="00B04DC3">
              <w:rPr>
                <w:sz w:val="18"/>
                <w:szCs w:val="18"/>
                <w:vertAlign w:val="superscript"/>
              </w:rPr>
              <w:t xml:space="preserve">2     </w:t>
            </w:r>
            <w:r w:rsidRPr="00B04DC3">
              <w:rPr>
                <w:sz w:val="18"/>
                <w:szCs w:val="18"/>
              </w:rPr>
              <w:t>Automatic switch-over to diesel mode allowed.</w:t>
            </w:r>
          </w:p>
          <w:p w:rsidR="00B4293A" w:rsidRPr="00B04DC3" w:rsidRDefault="00B4293A" w:rsidP="00B4293A">
            <w:pPr>
              <w:tabs>
                <w:tab w:val="left" w:pos="1701"/>
              </w:tabs>
              <w:suppressAutoHyphens w:val="0"/>
              <w:spacing w:line="240" w:lineRule="auto"/>
              <w:rPr>
                <w:sz w:val="18"/>
                <w:szCs w:val="18"/>
              </w:rPr>
            </w:pPr>
            <w:r w:rsidRPr="00B04DC3">
              <w:rPr>
                <w:sz w:val="18"/>
                <w:szCs w:val="18"/>
                <w:vertAlign w:val="superscript"/>
              </w:rPr>
              <w:t xml:space="preserve">3     </w:t>
            </w:r>
            <w:r w:rsidRPr="00B04DC3">
              <w:rPr>
                <w:sz w:val="18"/>
                <w:szCs w:val="18"/>
              </w:rPr>
              <w:t>Idling exclusively on diesel fuel in dual-fuel mode.</w:t>
            </w:r>
          </w:p>
        </w:tc>
      </w:tr>
    </w:tbl>
    <w:p w:rsidR="00B4293A" w:rsidRPr="00B04DC3" w:rsidRDefault="00B4293A" w:rsidP="00B4293A">
      <w:pPr>
        <w:suppressAutoHyphens w:val="0"/>
        <w:spacing w:line="240" w:lineRule="auto"/>
        <w:rPr>
          <w:sz w:val="24"/>
          <w:szCs w:val="24"/>
        </w:rPr>
      </w:pPr>
    </w:p>
    <w:p w:rsidR="00B4293A" w:rsidRPr="00B04DC3" w:rsidRDefault="00B4293A" w:rsidP="00B4293A">
      <w:pPr>
        <w:widowControl w:val="0"/>
        <w:suppressAutoHyphens w:val="0"/>
        <w:autoSpaceDE w:val="0"/>
        <w:autoSpaceDN w:val="0"/>
        <w:adjustRightInd w:val="0"/>
        <w:spacing w:line="240" w:lineRule="auto"/>
        <w:ind w:left="540" w:hanging="360"/>
        <w:jc w:val="both"/>
        <w:rPr>
          <w:sz w:val="24"/>
          <w:szCs w:val="24"/>
        </w:rPr>
        <w:sectPr w:rsidR="00B4293A" w:rsidRPr="00B04DC3" w:rsidSect="00B4293A">
          <w:headerReference w:type="default" r:id="rId728"/>
          <w:footerReference w:type="even" r:id="rId729"/>
          <w:footnotePr>
            <w:numRestart w:val="eachSect"/>
          </w:footnotePr>
          <w:endnotePr>
            <w:numFmt w:val="decimal"/>
          </w:endnotePr>
          <w:pgSz w:w="11907" w:h="16840" w:code="9"/>
          <w:pgMar w:top="1810" w:right="1134" w:bottom="2268" w:left="1134" w:header="1134" w:footer="1769" w:gutter="0"/>
          <w:cols w:space="720"/>
          <w:docGrid w:linePitch="272"/>
        </w:sectPr>
      </w:pPr>
    </w:p>
    <w:p w:rsidR="00B4293A" w:rsidRPr="00B04DC3" w:rsidRDefault="00B4293A" w:rsidP="007B59F3">
      <w:pPr>
        <w:pStyle w:val="HChG"/>
        <w:rPr>
          <w:rFonts w:eastAsia="EUAlbertina-Regular-Identity-H"/>
          <w:lang w:eastAsia="en-GB"/>
        </w:rPr>
      </w:pPr>
      <w:bookmarkStart w:id="1839" w:name="_Toc423599732"/>
      <w:bookmarkStart w:id="1840" w:name="_Toc423611140"/>
      <w:r w:rsidRPr="00B04DC3">
        <w:t xml:space="preserve">Annex 11 – </w:t>
      </w:r>
      <w:r w:rsidRPr="00B04DC3">
        <w:rPr>
          <w:rFonts w:eastAsia="EUAlbertina-Regular-Identity-H"/>
          <w:lang w:eastAsia="en-GB"/>
        </w:rPr>
        <w:t>Appendix 2</w:t>
      </w:r>
      <w:bookmarkEnd w:id="1839"/>
      <w:bookmarkEnd w:id="1840"/>
    </w:p>
    <w:p w:rsidR="00B4293A" w:rsidRPr="00B04DC3" w:rsidRDefault="00B4293A" w:rsidP="00B31B9B">
      <w:pPr>
        <w:pStyle w:val="HChG"/>
        <w:spacing w:after="360"/>
      </w:pPr>
      <w:r w:rsidRPr="00B04DC3">
        <w:tab/>
      </w:r>
      <w:r w:rsidRPr="00B04DC3">
        <w:tab/>
      </w:r>
      <w:bookmarkStart w:id="1841" w:name="_Toc423599733"/>
      <w:bookmarkStart w:id="1842" w:name="_Toc423611141"/>
      <w:r w:rsidRPr="00B04DC3">
        <w:t>Activation and deactivation mechanisms of the counter(s), warning system, operability restriction, service mode in case of dual-fuel engines and vehicles - Description and illustrations</w:t>
      </w:r>
      <w:bookmarkEnd w:id="1841"/>
      <w:bookmarkEnd w:id="1842"/>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w:t>
      </w:r>
      <w:r w:rsidRPr="00B04DC3">
        <w:tab/>
        <w:t>Description of the counter mechanism</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A.2.1.1.</w:t>
      </w:r>
      <w:r w:rsidRPr="00B04DC3">
        <w:tab/>
        <w:t>General</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A.2.1.1.1.</w:t>
      </w:r>
      <w:r w:rsidRPr="00B04DC3">
        <w:tab/>
        <w:t>In the case of a Type 1A dual-fuel engine, in order to comply with the requirements of this annex, the system shall contain a counter to record the number of hours during which the engine has been operated while the system has detected a malfunctioning gas supply.</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A.2.1.1.2.</w:t>
      </w:r>
      <w:r w:rsidRPr="00B04DC3">
        <w:tab/>
        <w:t>This counter shall be capable of counting up to 30 minutes operating time. The counter intervals shall be no longer than 3 minutes. When reaching its maximum value permitted by the system, it shall hold that value unless the conditions allowing the counter to be reset to zero are met.</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A.2.1.2.</w:t>
      </w:r>
      <w:r w:rsidRPr="00B04DC3">
        <w:tab/>
        <w:t>Principle of the counter mechanism</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A.2.1.2.1.</w:t>
      </w:r>
      <w:r w:rsidRPr="00B04DC3">
        <w:tab/>
        <w:t>The counters shall operate as follows:</w:t>
      </w:r>
    </w:p>
    <w:p w:rsidR="00B4293A" w:rsidRPr="00B04DC3" w:rsidRDefault="00B31B9B"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t>A.2.1.2.1.1.</w:t>
      </w:r>
      <w:r>
        <w:tab/>
      </w:r>
      <w:r w:rsidR="00B4293A" w:rsidRPr="00B04DC3">
        <w:t>If starting from zero, the counter shall begin counting as soon as a malfunctioning gas supply is detected according to paragraph 7.3.1.1. of this annex and the corresponding diagnostic trouble code (DTC) has the status confirmed and active.</w:t>
      </w:r>
    </w:p>
    <w:p w:rsidR="00B4293A" w:rsidRPr="00B04DC3" w:rsidRDefault="00B31B9B"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t>A.2.1.2.1.2.</w:t>
      </w:r>
      <w:r>
        <w:tab/>
      </w:r>
      <w:r w:rsidR="00B4293A" w:rsidRPr="00B04DC3">
        <w:t>The counter shall halt and hold its current value if a single monitoring event occurs and the malfunction that originally activated the counter is no longer detected or if the failure has been erased by a scan tool or a maintenance tool.</w:t>
      </w:r>
    </w:p>
    <w:p w:rsidR="00B4293A" w:rsidRPr="00B04DC3" w:rsidRDefault="00B31B9B"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t>A.2.1.2.1.2.1.</w:t>
      </w:r>
      <w:r>
        <w:tab/>
      </w:r>
      <w:r w:rsidR="00B4293A" w:rsidRPr="00B04DC3">
        <w:t>The counter shall also halt and hold its current value when the service mode becomes active.</w:t>
      </w:r>
    </w:p>
    <w:p w:rsidR="00B4293A" w:rsidRPr="00B04DC3" w:rsidRDefault="00B31B9B"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t>A.2.1.2.1.3.</w:t>
      </w:r>
      <w:r>
        <w:tab/>
      </w:r>
      <w:r w:rsidR="00B4293A" w:rsidRPr="00B04DC3">
        <w:t xml:space="preserve">Once frozen, the counter shall be reset to zero and restart counting if a malfunction relevant to that counter is detected and the service mode activated. </w:t>
      </w:r>
    </w:p>
    <w:p w:rsidR="00B4293A" w:rsidRPr="00B04DC3" w:rsidRDefault="00B31B9B"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t>A.2.1.2.1.3.1.</w:t>
      </w:r>
      <w:r>
        <w:tab/>
      </w:r>
      <w:r w:rsidR="00B4293A" w:rsidRPr="00B04DC3">
        <w:t>Once frozen, the counter shall also be reset to zero when the monitors relevant to that counter have run at least once to completion of their monitoring cycle without having detected a malfunction and no malfunction relevant to that counter has been detected during 36 engine operating hours since the counter was last held.</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A.2.1.3.</w:t>
      </w:r>
      <w:r w:rsidRPr="00B04DC3">
        <w:tab/>
        <w:t>Illustration of the counter mechanism</w:t>
      </w:r>
    </w:p>
    <w:p w:rsidR="00B4293A" w:rsidRPr="00B04DC3" w:rsidRDefault="00B4293A" w:rsidP="00B31B9B">
      <w:pPr>
        <w:tabs>
          <w:tab w:val="left" w:pos="1134"/>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410" w:right="1134" w:hanging="1276"/>
        <w:jc w:val="both"/>
      </w:pPr>
      <w:r w:rsidRPr="00B04DC3">
        <w:tab/>
        <w:t>Figures A2.1.1 to A2.1.3 give via three use-cases an illustration of the counter mechanism.</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sectPr w:rsidR="00B4293A" w:rsidRPr="00B04DC3" w:rsidSect="00B4293A">
          <w:headerReference w:type="even" r:id="rId730"/>
          <w:headerReference w:type="default" r:id="rId731"/>
          <w:headerReference w:type="first" r:id="rId732"/>
          <w:footnotePr>
            <w:numRestart w:val="eachSect"/>
          </w:footnotePr>
          <w:endnotePr>
            <w:numFmt w:val="decimal"/>
          </w:endnotePr>
          <w:pgSz w:w="11906" w:h="16838" w:code="9"/>
          <w:pgMar w:top="1806" w:right="1134" w:bottom="2268" w:left="1134" w:header="1134" w:footer="1729" w:gutter="0"/>
          <w:cols w:space="708"/>
          <w:docGrid w:linePitch="360"/>
        </w:sectPr>
      </w:pPr>
    </w:p>
    <w:p w:rsidR="00B4293A" w:rsidRPr="00B04DC3" w:rsidRDefault="00B4293A" w:rsidP="00B101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134"/>
        <w:jc w:val="both"/>
      </w:pPr>
      <w:r w:rsidRPr="00B04DC3">
        <w:t>Figure A2.1.1</w:t>
      </w:r>
    </w:p>
    <w:p w:rsidR="00B4293A" w:rsidRPr="00B04DC3" w:rsidRDefault="00A905B7"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rPr>
          <w:b/>
        </w:rPr>
      </w:pPr>
      <w:r>
        <w:rPr>
          <w:b/>
          <w:noProof/>
        </w:rPr>
        <w:pict>
          <v:shape id="_x0000_s5657" type="#_x0000_t75" style="position:absolute;left:0;text-align:left;margin-left:1.25pt;margin-top:17.85pt;width:618.65pt;height:251.1pt;z-index:251639808" wrapcoords="-26 -58 -26 21600 21626 21600 21626 -58 -26 -58" stroked="t" strokeweight=".5pt">
            <v:imagedata r:id="rId733" o:title=""/>
            <w10:wrap type="tight"/>
          </v:shape>
          <o:OLEObject Type="Embed" ProgID="Excel.Sheet.12" ShapeID="_x0000_s5657" DrawAspect="Content" ObjectID="_1498392433" r:id="rId734"/>
        </w:pict>
      </w:r>
      <w:r w:rsidR="00B4293A" w:rsidRPr="00B04DC3">
        <w:rPr>
          <w:b/>
        </w:rPr>
        <w:t>Illustration of the gas supply counter mechanism (Type 1A dual-fuel engine (HDDF)) - use-case 1</w:t>
      </w: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361576" w:rsidRDefault="00361576"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10109" w:rsidRDefault="00B10109"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10109" w:rsidRDefault="00B10109"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10109" w:rsidRDefault="00B10109"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4293A" w:rsidRPr="00B04DC3" w:rsidRDefault="00B4293A"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 malfunction of the gas supply is detected for the very first time.</w:t>
      </w:r>
    </w:p>
    <w:p w:rsidR="00B4293A" w:rsidRPr="00B04DC3" w:rsidRDefault="00B4293A"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service mode is activated and the counter starts counting once the DTC gets the "confirmed and active" status (2</w:t>
      </w:r>
      <w:r w:rsidRPr="00B04DC3">
        <w:rPr>
          <w:vertAlign w:val="superscript"/>
        </w:rPr>
        <w:t>nd</w:t>
      </w:r>
      <w:r w:rsidRPr="00B04DC3">
        <w:t xml:space="preserve"> detection).</w:t>
      </w:r>
    </w:p>
    <w:p w:rsidR="00B4293A" w:rsidRPr="00B04DC3" w:rsidRDefault="00B4293A"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vehicle encounters a stand-still situation before reaching 30 minutes operating time after the service mode is activated.</w:t>
      </w:r>
    </w:p>
    <w:p w:rsidR="00B4293A" w:rsidRPr="00B04DC3" w:rsidRDefault="00B4293A"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service mode becomes active and the vehicle speed is limited to 20 km/h (see paragraph 4.2.2.1. of this annex).</w:t>
      </w:r>
    </w:p>
    <w:p w:rsidR="00B4293A" w:rsidRPr="00B04DC3" w:rsidRDefault="00B4293A" w:rsidP="00B4293A">
      <w:pPr>
        <w:tabs>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r w:rsidRPr="00B04DC3">
        <w:t>The counter freezes at its present value.</w:t>
      </w:r>
    </w:p>
    <w:p w:rsidR="00B4293A" w:rsidRPr="00B04DC3" w:rsidRDefault="00B4293A" w:rsidP="00B101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right="1134"/>
        <w:jc w:val="both"/>
      </w:pPr>
      <w:r w:rsidRPr="00B04DC3">
        <w:br w:type="page"/>
        <w:t>Figure A2.1.2</w:t>
      </w:r>
    </w:p>
    <w:p w:rsidR="00B4293A" w:rsidRPr="00B04DC3" w:rsidRDefault="00B4293A" w:rsidP="00B101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rPr>
          <w:b/>
        </w:rPr>
      </w:pPr>
      <w:r w:rsidRPr="00B04DC3">
        <w:rPr>
          <w:b/>
        </w:rPr>
        <w:t>Illustration of the gas supply counter mechanism (Type 1A dual-fuel engine (HDDF)) - use-case 2</w:t>
      </w:r>
    </w:p>
    <w:p w:rsidR="00B10109" w:rsidRDefault="00A905B7"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rPr>
          <w:color w:val="C00000"/>
        </w:rPr>
      </w:pPr>
      <w:r>
        <w:rPr>
          <w:color w:val="C00000"/>
        </w:rPr>
      </w:r>
      <w:r>
        <w:rPr>
          <w:color w:val="C00000"/>
        </w:rPr>
        <w:pict>
          <v:group id="_x0000_s6113" editas="canvas" style="width:625.2pt;height:255pt;mso-position-horizontal-relative:char;mso-position-vertical-relative:line" coordsize="12504,5100">
            <o:lock v:ext="edit" aspectratio="t"/>
            <v:shape id="_x0000_s6112" type="#_x0000_t75" style="position:absolute;width:12504;height:5100" o:preferrelative="f" stroked="t" strokeweight=".5pt">
              <v:fill o:detectmouseclick="t"/>
              <v:path o:extrusionok="t" o:connecttype="none"/>
              <o:lock v:ext="edit" text="t"/>
            </v:shape>
            <v:group id="_x0000_s6314" style="position:absolute;left:307;top:154;width:11996;height:4792" coordorigin="307,154" coordsize="11996,4792">
              <v:rect id="_x0000_s6114" style="position:absolute;left:3012;top:154;width:2463;height:4792" fillcolor="#d9d9d9" stroked="f"/>
              <v:rect id="_x0000_s6115" style="position:absolute;left:8012;top:154;width:4291;height:4792" fillcolor="#d9d9d9" stroked="f"/>
              <v:rect id="_x0000_s6116" style="position:absolute;left:3900;top:236;width:614;height:240;mso-wrap-style:none" filled="f" stroked="f">
                <v:textbox style="mso-rotate-with-shape:t;mso-fit-shape-to-text:t" inset="0,0,0,0">
                  <w:txbxContent>
                    <w:p w:rsidR="00A905B7" w:rsidRPr="00361576" w:rsidRDefault="00A905B7">
                      <w:pPr>
                        <w:rPr>
                          <w:color w:val="C00000"/>
                        </w:rPr>
                      </w:pPr>
                      <w:r w:rsidRPr="00361576">
                        <w:rPr>
                          <w:rFonts w:ascii="Arial" w:hAnsi="Arial" w:cs="Arial"/>
                          <w:b/>
                          <w:bCs/>
                          <w:color w:val="C00000"/>
                          <w:sz w:val="12"/>
                          <w:szCs w:val="12"/>
                          <w:lang w:val="en-US"/>
                        </w:rPr>
                        <w:t>use-case 1</w:t>
                      </w:r>
                    </w:p>
                  </w:txbxContent>
                </v:textbox>
              </v:rect>
              <v:rect id="_x0000_s6117" style="position:absolute;left:6395;top:236;width:614;height:240;mso-wrap-style:none" filled="f" stroked="f">
                <v:textbox style="mso-rotate-with-shape:t;mso-fit-shape-to-text:t" inset="0,0,0,0">
                  <w:txbxContent>
                    <w:p w:rsidR="00A905B7" w:rsidRDefault="00A905B7">
                      <w:r>
                        <w:rPr>
                          <w:rFonts w:ascii="Arial" w:hAnsi="Arial" w:cs="Arial"/>
                          <w:b/>
                          <w:bCs/>
                          <w:color w:val="000000"/>
                          <w:sz w:val="12"/>
                          <w:szCs w:val="12"/>
                          <w:lang w:val="en-US"/>
                        </w:rPr>
                        <w:t>use-case 2</w:t>
                      </w:r>
                    </w:p>
                  </w:txbxContent>
                </v:textbox>
              </v:rect>
              <v:rect id="_x0000_s6118" style="position:absolute;left:9809;top:236;width:614;height:240;mso-wrap-style:none" filled="f" stroked="f">
                <v:textbox style="mso-rotate-with-shape:t;mso-fit-shape-to-text:t" inset="0,0,0,0">
                  <w:txbxContent>
                    <w:p w:rsidR="00A905B7" w:rsidRPr="00361576" w:rsidRDefault="00A905B7">
                      <w:pPr>
                        <w:rPr>
                          <w:color w:val="C00000"/>
                        </w:rPr>
                      </w:pPr>
                      <w:r w:rsidRPr="00361576">
                        <w:rPr>
                          <w:rFonts w:ascii="Arial" w:hAnsi="Arial" w:cs="Arial"/>
                          <w:b/>
                          <w:bCs/>
                          <w:color w:val="C00000"/>
                          <w:sz w:val="12"/>
                          <w:szCs w:val="12"/>
                          <w:lang w:val="en-US"/>
                        </w:rPr>
                        <w:t>use-case 3</w:t>
                      </w:r>
                    </w:p>
                  </w:txbxContent>
                </v:textbox>
              </v:rect>
              <v:rect id="_x0000_s6119" style="position:absolute;left:359;top:1196;width:334;height:240;mso-wrap-style:none" filled="f" stroked="f">
                <v:textbox style="mso-rotate-with-shape:t;mso-fit-shape-to-text:t" inset="0,0,0,0">
                  <w:txbxContent>
                    <w:p w:rsidR="00A905B7" w:rsidRDefault="00A905B7">
                      <w:r>
                        <w:rPr>
                          <w:rFonts w:ascii="Arial" w:hAnsi="Arial" w:cs="Arial"/>
                          <w:color w:val="00B0F0"/>
                          <w:sz w:val="12"/>
                          <w:szCs w:val="12"/>
                          <w:lang w:val="en-US"/>
                        </w:rPr>
                        <w:t>HDDF</w:t>
                      </w:r>
                    </w:p>
                  </w:txbxContent>
                </v:textbox>
              </v:rect>
              <v:rect id="_x0000_s6120" style="position:absolute;left:307;top:1350;width:414;height:240;mso-wrap-style:none" filled="f" stroked="f">
                <v:textbox style="mso-rotate-with-shape:t;mso-fit-shape-to-text:t" inset="0,0,0,0">
                  <w:txbxContent>
                    <w:p w:rsidR="00A905B7" w:rsidRDefault="00A905B7">
                      <w:r>
                        <w:rPr>
                          <w:rFonts w:ascii="Arial" w:hAnsi="Arial" w:cs="Arial"/>
                          <w:color w:val="00B0F0"/>
                          <w:sz w:val="12"/>
                          <w:szCs w:val="12"/>
                          <w:lang w:val="en-US"/>
                        </w:rPr>
                        <w:t>Type .A</w:t>
                      </w:r>
                    </w:p>
                  </w:txbxContent>
                </v:textbox>
              </v:rect>
              <v:rect id="_x0000_s6121" style="position:absolute;left:1057;top:634;width:547;height:240;mso-wrap-style:none" filled="f" stroked="f">
                <v:textbox style="mso-rotate-with-shape:t;mso-fit-shape-to-text:t" inset="0,0,0,0">
                  <w:txbxContent>
                    <w:p w:rsidR="00A905B7" w:rsidRDefault="00A905B7">
                      <w:r>
                        <w:rPr>
                          <w:rFonts w:ascii="Arial" w:hAnsi="Arial" w:cs="Arial"/>
                          <w:color w:val="00B0F0"/>
                          <w:sz w:val="12"/>
                          <w:szCs w:val="12"/>
                          <w:lang w:val="en-US"/>
                        </w:rPr>
                        <w:t>operability</w:t>
                      </w:r>
                    </w:p>
                  </w:txbxContent>
                </v:textbox>
              </v:rect>
              <v:rect id="_x0000_s6122" style="position:absolute;left:1068;top:788;width:521;height:240;mso-wrap-style:none" filled="f" stroked="f">
                <v:textbox style="mso-rotate-with-shape:t;mso-fit-shape-to-text:t" inset="0,0,0,0">
                  <w:txbxContent>
                    <w:p w:rsidR="00A905B7" w:rsidRDefault="00A905B7">
                      <w:r>
                        <w:rPr>
                          <w:rFonts w:ascii="Arial" w:hAnsi="Arial" w:cs="Arial"/>
                          <w:color w:val="00B0F0"/>
                          <w:sz w:val="12"/>
                          <w:szCs w:val="12"/>
                          <w:lang w:val="en-US"/>
                        </w:rPr>
                        <w:t>restriction</w:t>
                      </w:r>
                    </w:p>
                  </w:txbxContent>
                </v:textbox>
              </v:rect>
              <v:rect id="_x0000_s6123" style="position:absolute;left:2294;top:544;width:181;height:240;mso-wrap-style:none" filled="f" stroked="f">
                <v:textbox style="mso-rotate-with-shape:t;mso-fit-shape-to-text:t" inset="0,0,0,0">
                  <w:txbxContent>
                    <w:p w:rsidR="00A905B7" w:rsidRDefault="00A905B7">
                      <w:r>
                        <w:rPr>
                          <w:rFonts w:ascii="Arial" w:hAnsi="Arial" w:cs="Arial"/>
                          <w:color w:val="00B0F0"/>
                          <w:sz w:val="12"/>
                          <w:szCs w:val="12"/>
                          <w:lang w:val="en-US"/>
                        </w:rPr>
                        <w:t>ON</w:t>
                      </w:r>
                    </w:p>
                  </w:txbxContent>
                </v:textbox>
              </v:rect>
              <v:rect id="_x0000_s6124" style="position:absolute;left:2251;top:870;width:240;height:240;mso-wrap-style:none" filled="f" stroked="f">
                <v:textbox style="mso-rotate-with-shape:t;mso-fit-shape-to-text:t" inset="0,0,0,0">
                  <w:txbxContent>
                    <w:p w:rsidR="00A905B7" w:rsidRDefault="00A905B7">
                      <w:r>
                        <w:rPr>
                          <w:rFonts w:ascii="Arial" w:hAnsi="Arial" w:cs="Arial"/>
                          <w:color w:val="00B0F0"/>
                          <w:sz w:val="12"/>
                          <w:szCs w:val="12"/>
                          <w:lang w:val="en-US"/>
                        </w:rPr>
                        <w:t>OFF</w:t>
                      </w:r>
                    </w:p>
                  </w:txbxContent>
                </v:textbox>
              </v:rect>
              <v:rect id="_x0000_s6125" style="position:absolute;left:1152;top:1594;width:401;height:240;mso-wrap-style:none" filled="f" stroked="f">
                <v:textbox style="mso-rotate-with-shape:t;mso-fit-shape-to-text:t" inset="0,0,0,0">
                  <w:txbxContent>
                    <w:p w:rsidR="00A905B7" w:rsidRDefault="00A905B7">
                      <w:r>
                        <w:rPr>
                          <w:rFonts w:ascii="Arial" w:hAnsi="Arial" w:cs="Arial"/>
                          <w:color w:val="00B0F0"/>
                          <w:sz w:val="12"/>
                          <w:szCs w:val="12"/>
                          <w:lang w:val="en-US"/>
                        </w:rPr>
                        <w:t>Service</w:t>
                      </w:r>
                    </w:p>
                  </w:txbxContent>
                </v:textbox>
              </v:rect>
              <v:rect id="_x0000_s6126" style="position:absolute;left:1205;top:1748;width:301;height:240;mso-wrap-style:none" filled="f" stroked="f">
                <v:textbox style="mso-rotate-with-shape:t;mso-fit-shape-to-text:t" inset="0,0,0,0">
                  <w:txbxContent>
                    <w:p w:rsidR="00A905B7" w:rsidRDefault="00A905B7">
                      <w:r>
                        <w:rPr>
                          <w:rFonts w:ascii="Arial" w:hAnsi="Arial" w:cs="Arial"/>
                          <w:color w:val="00B0F0"/>
                          <w:sz w:val="12"/>
                          <w:szCs w:val="12"/>
                          <w:lang w:val="en-US"/>
                        </w:rPr>
                        <w:t>mode</w:t>
                      </w:r>
                    </w:p>
                  </w:txbxContent>
                </v:textbox>
              </v:rect>
              <v:rect id="_x0000_s6127" style="position:absolute;left:2209;top:1350;width:327;height:240;mso-wrap-style:none" filled="f" stroked="f">
                <v:textbox style="mso-rotate-with-shape:t;mso-fit-shape-to-text:t" inset="0,0,0,0">
                  <w:txbxContent>
                    <w:p w:rsidR="00A905B7" w:rsidRDefault="00A905B7">
                      <w:r>
                        <w:rPr>
                          <w:rFonts w:ascii="Arial" w:hAnsi="Arial" w:cs="Arial"/>
                          <w:color w:val="00B0F0"/>
                          <w:sz w:val="12"/>
                          <w:szCs w:val="12"/>
                          <w:lang w:val="en-US"/>
                        </w:rPr>
                        <w:t>Active</w:t>
                      </w:r>
                    </w:p>
                  </w:txbxContent>
                </v:textbox>
              </v:rect>
              <v:rect id="_x0000_s6128" style="position:absolute;left:2114;top:1676;width:494;height:240;mso-wrap-style:none" filled="f" stroked="f">
                <v:textbox style="mso-rotate-with-shape:t;mso-fit-shape-to-text:t" inset="0,0,0,0">
                  <w:txbxContent>
                    <w:p w:rsidR="00A905B7" w:rsidRDefault="00A905B7">
                      <w:r>
                        <w:rPr>
                          <w:rFonts w:ascii="Arial" w:hAnsi="Arial" w:cs="Arial"/>
                          <w:color w:val="00B0F0"/>
                          <w:sz w:val="12"/>
                          <w:szCs w:val="12"/>
                          <w:lang w:val="en-US"/>
                        </w:rPr>
                        <w:t>Activated</w:t>
                      </w:r>
                    </w:p>
                  </w:txbxContent>
                </v:textbox>
              </v:rect>
              <v:rect id="_x0000_s6129" style="position:absolute;left:6173;top:3189;width:91;height:240;mso-wrap-style:none" filled="f" stroked="f">
                <v:textbox style="mso-rotate-with-shape:t;mso-fit-shape-to-text:t" inset="0,0,0,0">
                  <w:txbxContent>
                    <w:p w:rsidR="00A905B7" w:rsidRDefault="00A905B7"/>
                  </w:txbxContent>
                </v:textbox>
              </v:rect>
              <v:rect id="_x0000_s6130" style="position:absolute;left:10601;top:3189;width:91;height:240;mso-wrap-style:none" filled="f" stroked="f">
                <v:textbox style="mso-rotate-with-shape:t;mso-fit-shape-to-text:t" inset="0,0,0,0">
                  <w:txbxContent>
                    <w:p w:rsidR="00A905B7" w:rsidRDefault="00A905B7"/>
                  </w:txbxContent>
                </v:textbox>
              </v:rect>
              <v:rect id="_x0000_s6131" style="position:absolute;left:2547;top:3261;width:294;height:240;mso-wrap-style:none" filled="f" stroked="f">
                <v:textbox style="mso-rotate-with-shape:t;mso-fit-shape-to-text:t" inset="0,0,0,0">
                  <w:txbxContent>
                    <w:p w:rsidR="00A905B7" w:rsidRDefault="00A905B7">
                      <w:r>
                        <w:rPr>
                          <w:rFonts w:ascii="Arial" w:hAnsi="Arial" w:cs="Arial"/>
                          <w:color w:val="000000"/>
                          <w:sz w:val="12"/>
                          <w:szCs w:val="12"/>
                          <w:lang w:val="en-US"/>
                        </w:rPr>
                        <w:t>0 min</w:t>
                      </w:r>
                    </w:p>
                  </w:txbxContent>
                </v:textbox>
              </v:rect>
              <v:rect id="_x0000_s6132" style="position:absolute;left:4069;top:3189;width:91;height:240;mso-wrap-style:none" filled="f" stroked="f">
                <v:textbox style="mso-rotate-with-shape:t;mso-fit-shape-to-text:t" inset="0,0,0,0">
                  <w:txbxContent>
                    <w:p w:rsidR="00A905B7" w:rsidRDefault="00A905B7"/>
                  </w:txbxContent>
                </v:textbox>
              </v:rect>
              <v:rect id="_x0000_s6133" style="position:absolute;left:930;top:4067;width:774;height:240;mso-wrap-style:none" filled="f" stroked="f">
                <v:textbox style="mso-rotate-with-shape:t;mso-fit-shape-to-text:t" inset="0,0,0,0">
                  <w:txbxContent>
                    <w:p w:rsidR="00A905B7" w:rsidRDefault="00A905B7">
                      <w:r>
                        <w:rPr>
                          <w:rFonts w:ascii="Arial" w:hAnsi="Arial" w:cs="Arial"/>
                          <w:color w:val="000000"/>
                          <w:sz w:val="12"/>
                          <w:szCs w:val="12"/>
                          <w:lang w:val="en-US"/>
                        </w:rPr>
                        <w:t>malfunctioning</w:t>
                      </w:r>
                    </w:p>
                  </w:txbxContent>
                </v:textbox>
              </v:rect>
              <v:rect id="_x0000_s6134" style="position:absolute;left:1258;top:4221;width:194;height:240;mso-wrap-style:none" filled="f" stroked="f">
                <v:textbox style="mso-rotate-with-shape:t;mso-fit-shape-to-text:t" inset="0,0,0,0">
                  <w:txbxContent>
                    <w:p w:rsidR="00A905B7" w:rsidRDefault="00A905B7">
                      <w:r>
                        <w:rPr>
                          <w:rFonts w:ascii="Arial" w:hAnsi="Arial" w:cs="Arial"/>
                          <w:color w:val="000000"/>
                          <w:sz w:val="12"/>
                          <w:szCs w:val="12"/>
                          <w:lang w:val="en-US"/>
                        </w:rPr>
                        <w:t>gas</w:t>
                      </w:r>
                    </w:p>
                  </w:txbxContent>
                </v:textbox>
              </v:rect>
              <v:rect id="_x0000_s6135" style="position:absolute;left:1173;top:4375;width:347;height:240;mso-wrap-style:none" filled="f" stroked="f">
                <v:textbox style="mso-rotate-with-shape:t;mso-fit-shape-to-text:t" inset="0,0,0,0">
                  <w:txbxContent>
                    <w:p w:rsidR="00A905B7" w:rsidRDefault="00A905B7">
                      <w:r>
                        <w:rPr>
                          <w:rFonts w:ascii="Arial" w:hAnsi="Arial" w:cs="Arial"/>
                          <w:color w:val="000000"/>
                          <w:sz w:val="12"/>
                          <w:szCs w:val="12"/>
                          <w:lang w:val="en-US"/>
                        </w:rPr>
                        <w:t>supply</w:t>
                      </w:r>
                    </w:p>
                  </w:txbxContent>
                </v:textbox>
              </v:rect>
              <v:rect id="_x0000_s6136" style="position:absolute;left:2051;top:3669;width:601;height:240;mso-wrap-style:none" filled="f" stroked="f">
                <v:textbox style="mso-rotate-with-shape:t;mso-fit-shape-to-text:t" inset="0,0,0,0">
                  <w:txbxContent>
                    <w:p w:rsidR="00A905B7" w:rsidRDefault="00A905B7">
                      <w:r>
                        <w:rPr>
                          <w:rFonts w:ascii="Arial" w:hAnsi="Arial" w:cs="Arial"/>
                          <w:color w:val="000000"/>
                          <w:sz w:val="12"/>
                          <w:szCs w:val="12"/>
                          <w:lang w:val="en-US"/>
                        </w:rPr>
                        <w:t>DTC status</w:t>
                      </w:r>
                    </w:p>
                  </w:txbxContent>
                </v:textbox>
              </v:rect>
              <v:rect id="_x0000_s6137" style="position:absolute;left:1913;top:3823;width:841;height:240;mso-wrap-style:none" filled="f" stroked="f">
                <v:textbox style="mso-rotate-with-shape:t;mso-fit-shape-to-text:t" inset="0,0,0,0">
                  <w:txbxContent>
                    <w:p w:rsidR="00A905B7" w:rsidRDefault="00A905B7">
                      <w:r>
                        <w:rPr>
                          <w:rFonts w:ascii="Arial" w:hAnsi="Arial" w:cs="Arial"/>
                          <w:color w:val="000000"/>
                          <w:sz w:val="12"/>
                          <w:szCs w:val="12"/>
                          <w:lang w:val="en-US"/>
                        </w:rPr>
                        <w:t>conf. and active</w:t>
                      </w:r>
                    </w:p>
                  </w:txbxContent>
                </v:textbox>
              </v:rect>
              <v:rect id="_x0000_s6138" style="position:absolute;left:2040;top:4140;width:601;height:240;mso-wrap-style:none" filled="f" stroked="f">
                <v:textbox style="mso-rotate-with-shape:t;mso-fit-shape-to-text:t" inset="0,0,0,0">
                  <w:txbxContent>
                    <w:p w:rsidR="00A905B7" w:rsidRDefault="00A905B7">
                      <w:r>
                        <w:rPr>
                          <w:rFonts w:ascii="Arial" w:hAnsi="Arial" w:cs="Arial"/>
                          <w:color w:val="000000"/>
                          <w:sz w:val="12"/>
                          <w:szCs w:val="12"/>
                          <w:lang w:val="en-US"/>
                        </w:rPr>
                        <w:t>DTC status</w:t>
                      </w:r>
                    </w:p>
                  </w:txbxContent>
                </v:textbox>
              </v:rect>
              <v:rect id="_x0000_s6139" style="position:absolute;left:2125;top:4294;width:454;height:240;mso-wrap-style:none" filled="f" stroked="f">
                <v:textbox style="mso-rotate-with-shape:t;mso-fit-shape-to-text:t" inset="0,0,0,0">
                  <w:txbxContent>
                    <w:p w:rsidR="00A905B7" w:rsidRDefault="00A905B7">
                      <w:r>
                        <w:rPr>
                          <w:rFonts w:ascii="Arial" w:hAnsi="Arial" w:cs="Arial"/>
                          <w:color w:val="000000"/>
                          <w:sz w:val="12"/>
                          <w:szCs w:val="12"/>
                          <w:lang w:val="en-US"/>
                        </w:rPr>
                        <w:t>potential</w:t>
                      </w:r>
                    </w:p>
                  </w:txbxContent>
                </v:textbox>
              </v:rect>
              <v:rect id="_x0000_s6140" style="position:absolute;left:1987;top:4701;width:701;height:240;mso-wrap-style:none" filled="f" stroked="f">
                <v:textbox style="mso-rotate-with-shape:t;mso-fit-shape-to-text:t" inset="0,0,0,0">
                  <w:txbxContent>
                    <w:p w:rsidR="00A905B7" w:rsidRDefault="00A905B7">
                      <w:r>
                        <w:rPr>
                          <w:rFonts w:ascii="Arial" w:hAnsi="Arial" w:cs="Arial"/>
                          <w:color w:val="000000"/>
                          <w:sz w:val="12"/>
                          <w:szCs w:val="12"/>
                          <w:lang w:val="en-US"/>
                        </w:rPr>
                        <w:t>NO detection</w:t>
                      </w:r>
                    </w:p>
                  </w:txbxContent>
                </v:textbox>
              </v:rect>
              <v:rect id="_x0000_s6141" style="position:absolute;left:2251;top:2002;width:240;height:240;mso-wrap-style:none" filled="f" stroked="f">
                <v:textbox style="mso-rotate-with-shape:t;mso-fit-shape-to-text:t" inset="0,0,0,0">
                  <w:txbxContent>
                    <w:p w:rsidR="00A905B7" w:rsidRDefault="00A905B7">
                      <w:r>
                        <w:rPr>
                          <w:rFonts w:ascii="Arial" w:hAnsi="Arial" w:cs="Arial"/>
                          <w:color w:val="00B0F0"/>
                          <w:sz w:val="12"/>
                          <w:szCs w:val="12"/>
                          <w:lang w:val="en-US"/>
                        </w:rPr>
                        <w:t>OFF</w:t>
                      </w:r>
                    </w:p>
                  </w:txbxContent>
                </v:textbox>
              </v:rect>
              <v:rect id="_x0000_s6142" style="position:absolute;left:476;top:3669;width:121;height:240;mso-wrap-style:none" filled="f" stroked="f">
                <v:textbox style="mso-rotate-with-shape:t;mso-fit-shape-to-text:t" inset="0,0,0,0">
                  <w:txbxContent>
                    <w:p w:rsidR="00A905B7" w:rsidRDefault="00A905B7">
                      <w:r>
                        <w:rPr>
                          <w:rFonts w:ascii="Arial" w:hAnsi="Arial" w:cs="Arial"/>
                          <w:color w:val="000000"/>
                          <w:sz w:val="12"/>
                          <w:szCs w:val="12"/>
                          <w:lang w:val="en-US"/>
                        </w:rPr>
                        <w:t>all</w:t>
                      </w:r>
                    </w:p>
                  </w:txbxContent>
                </v:textbox>
              </v:rect>
              <v:rect id="_x0000_s6143" style="position:absolute;left:359;top:3823;width:334;height:240;mso-wrap-style:none" filled="f" stroked="f">
                <v:textbox style="mso-rotate-with-shape:t;mso-fit-shape-to-text:t" inset="0,0,0,0">
                  <w:txbxContent>
                    <w:p w:rsidR="00A905B7" w:rsidRDefault="00A905B7">
                      <w:r>
                        <w:rPr>
                          <w:rFonts w:ascii="Arial" w:hAnsi="Arial" w:cs="Arial"/>
                          <w:color w:val="000000"/>
                          <w:sz w:val="12"/>
                          <w:szCs w:val="12"/>
                          <w:lang w:val="en-US"/>
                        </w:rPr>
                        <w:t>HDDF</w:t>
                      </w:r>
                    </w:p>
                  </w:txbxContent>
                </v:textbox>
              </v:rect>
              <v:rect id="_x0000_s6144" style="position:absolute;left:381;top:3977;width:287;height:240;mso-wrap-style:none" filled="f" stroked="f">
                <v:textbox style="mso-rotate-with-shape:t;mso-fit-shape-to-text:t" inset="0,0,0,0">
                  <w:txbxContent>
                    <w:p w:rsidR="00A905B7" w:rsidRDefault="00A905B7">
                      <w:r>
                        <w:rPr>
                          <w:rFonts w:ascii="Arial" w:hAnsi="Arial" w:cs="Arial"/>
                          <w:color w:val="000000"/>
                          <w:sz w:val="12"/>
                          <w:szCs w:val="12"/>
                          <w:lang w:val="en-US"/>
                        </w:rPr>
                        <w:t>types</w:t>
                      </w:r>
                    </w:p>
                  </w:txbxContent>
                </v:textbox>
              </v:rect>
              <v:rect id="_x0000_s6145" style="position:absolute;left:1036;top:3026;width:574;height:240;mso-wrap-style:none" filled="f" stroked="f">
                <v:textbox style="mso-rotate-with-shape:t;mso-fit-shape-to-text:t" inset="0,0,0,0">
                  <w:txbxContent>
                    <w:p w:rsidR="00A905B7" w:rsidRDefault="00A905B7">
                      <w:r>
                        <w:rPr>
                          <w:rFonts w:ascii="Arial" w:hAnsi="Arial" w:cs="Arial"/>
                          <w:color w:val="000000"/>
                          <w:sz w:val="12"/>
                          <w:szCs w:val="12"/>
                          <w:lang w:val="en-US"/>
                        </w:rPr>
                        <w:t>gas supply</w:t>
                      </w:r>
                    </w:p>
                  </w:txbxContent>
                </v:textbox>
              </v:rect>
              <v:rect id="_x0000_s6146" style="position:absolute;left:1142;top:3180;width:401;height:240;mso-wrap-style:none" filled="f" stroked="f">
                <v:textbox style="mso-rotate-with-shape:t;mso-fit-shape-to-text:t" inset="0,0,0,0">
                  <w:txbxContent>
                    <w:p w:rsidR="00A905B7" w:rsidRDefault="00A905B7">
                      <w:r>
                        <w:rPr>
                          <w:rFonts w:ascii="Arial" w:hAnsi="Arial" w:cs="Arial"/>
                          <w:color w:val="000000"/>
                          <w:sz w:val="12"/>
                          <w:szCs w:val="12"/>
                          <w:lang w:val="en-US"/>
                        </w:rPr>
                        <w:t>counter</w:t>
                      </w:r>
                    </w:p>
                  </w:txbxContent>
                </v:textbox>
              </v:rect>
              <v:rect id="_x0000_s6147" style="position:absolute;left:2473;top:2935;width:361;height:240;mso-wrap-style:none" filled="f" stroked="f">
                <v:textbox style="mso-rotate-with-shape:t;mso-fit-shape-to-text:t" inset="0,0,0,0">
                  <w:txbxContent>
                    <w:p w:rsidR="00A905B7" w:rsidRDefault="00A905B7">
                      <w:r>
                        <w:rPr>
                          <w:rFonts w:ascii="Arial" w:hAnsi="Arial" w:cs="Arial"/>
                          <w:color w:val="000000"/>
                          <w:sz w:val="12"/>
                          <w:szCs w:val="12"/>
                          <w:lang w:val="en-US"/>
                        </w:rPr>
                        <w:t>30 min</w:t>
                      </w:r>
                    </w:p>
                  </w:txbxContent>
                </v:textbox>
              </v:rect>
              <v:rect id="_x0000_s6148" style="position:absolute;left:2917;top:625;width:32;height:9" fillcolor="black" stroked="f"/>
              <v:rect id="_x0000_s6149" style="position:absolute;left:2981;top:625;width:31;height:9" fillcolor="black" stroked="f"/>
              <v:rect id="_x0000_s6150" style="position:absolute;left:3044;top:625;width:95;height:9" fillcolor="black" stroked="f"/>
              <v:rect id="_x0000_s6151" style="position:absolute;left:3234;top:625;width:95;height:9" fillcolor="black" stroked="f"/>
              <v:rect id="_x0000_s6152" style="position:absolute;left:3425;top:625;width:95;height:9" fillcolor="black" stroked="f"/>
              <v:rect id="_x0000_s6153" style="position:absolute;left:3615;top:625;width:95;height:9" fillcolor="black" stroked="f"/>
              <v:rect id="_x0000_s6154" style="position:absolute;left:3805;top:625;width:95;height:9" fillcolor="black" stroked="f"/>
              <v:rect id="_x0000_s6155" style="position:absolute;left:3995;top:625;width:43;height:9" fillcolor="black" stroked="f"/>
              <v:rect id="_x0000_s6156" style="position:absolute;left:3171;top:625;width:32;height:9" fillcolor="black" stroked="f"/>
              <v:rect id="_x0000_s6157" style="position:absolute;left:3361;top:625;width:32;height:9" fillcolor="black" stroked="f"/>
              <v:rect id="_x0000_s6158" style="position:absolute;left:3551;top:625;width:32;height:9" fillcolor="black" stroked="f"/>
              <v:rect id="_x0000_s6159" style="position:absolute;left:3742;top:625;width:31;height:9" fillcolor="black" stroked="f"/>
              <v:rect id="_x0000_s6160" style="position:absolute;left:3932;top:625;width:32;height:9" fillcolor="black" stroked="f"/>
              <v:rect id="_x0000_s6161" style="position:absolute;left:4048;top:625;width:42;height:9" fillcolor="black" stroked="f"/>
              <v:rect id="_x0000_s6162" style="position:absolute;left:4186;top:625;width:95;height:9" fillcolor="black" stroked="f"/>
              <v:rect id="_x0000_s6163" style="position:absolute;left:4376;top:625;width:95;height:9" fillcolor="black" stroked="f"/>
              <v:rect id="_x0000_s6164" style="position:absolute;left:4566;top:625;width:64;height:9" fillcolor="black" stroked="f"/>
              <v:rect id="_x0000_s6165" style="position:absolute;left:4122;top:625;width:32;height:9" fillcolor="black" stroked="f"/>
              <v:rect id="_x0000_s6166" style="position:absolute;left:4312;top:625;width:32;height:9" fillcolor="black" stroked="f"/>
              <v:rect id="_x0000_s6167" style="position:absolute;left:4503;top:625;width:31;height:9" fillcolor="black" stroked="f"/>
              <v:rect id="_x0000_s6168" style="position:absolute;left:4661;top:616;width:825;height:27" fillcolor="#00b0f0" stroked="f"/>
              <v:rect id="_x0000_s6169" style="position:absolute;left:5517;top:625;width:96;height:9" fillcolor="black" stroked="f"/>
              <v:rect id="_x0000_s6170" style="position:absolute;left:5708;top:625;width:95;height:9" fillcolor="black" stroked="f"/>
              <v:rect id="_x0000_s6171" style="position:absolute;left:5898;top:625;width:95;height:9" fillcolor="black" stroked="f"/>
              <v:rect id="_x0000_s6172" style="position:absolute;left:6088;top:625;width:53;height:9" fillcolor="black" stroked="f"/>
              <v:rect id="_x0000_s6173" style="position:absolute;left:5644;top:625;width:32;height:9" fillcolor="black" stroked="f"/>
              <v:rect id="_x0000_s6174" style="position:absolute;left:5834;top:625;width:32;height:9" fillcolor="black" stroked="f"/>
              <v:rect id="_x0000_s6175" style="position:absolute;left:6025;top:625;width:31;height:9" fillcolor="black" stroked="f"/>
              <v:rect id="_x0000_s6176" style="position:absolute;left:6152;top:625;width:31;height:9" fillcolor="black" stroked="f"/>
              <v:rect id="_x0000_s6177" style="position:absolute;left:6278;top:625;width:96;height:9" fillcolor="black" stroked="f"/>
              <v:rect id="_x0000_s6178" style="position:absolute;left:6469;top:625;width:95;height:9" fillcolor="black" stroked="f"/>
              <v:rect id="_x0000_s6179" style="position:absolute;left:6659;top:625;width:95;height:9" fillcolor="black" stroked="f"/>
              <v:rect id="_x0000_s6180" style="position:absolute;left:6849;top:625;width:95;height:9" fillcolor="black" stroked="f"/>
              <v:rect id="_x0000_s6181" style="position:absolute;left:7039;top:625;width:96;height:9" fillcolor="black" stroked="f"/>
              <v:rect id="_x0000_s6182" style="position:absolute;left:6215;top:625;width:32;height:9" fillcolor="black" stroked="f"/>
              <v:rect id="_x0000_s6183" style="position:absolute;left:6405;top:625;width:32;height:9" fillcolor="black" stroked="f"/>
              <v:rect id="_x0000_s6184" style="position:absolute;left:6596;top:625;width:31;height:9" fillcolor="black" stroked="f"/>
              <v:rect id="_x0000_s6185" style="position:absolute;left:6786;top:625;width:31;height:9" fillcolor="black" stroked="f"/>
              <v:rect id="_x0000_s6186" style="position:absolute;left:6976;top:625;width:32;height:9" fillcolor="black" stroked="f"/>
              <v:rect id="_x0000_s6187" style="position:absolute;left:7166;top:625;width:11;height:9" fillcolor="black" stroked="f"/>
              <v:rect id="_x0000_s6188" style="position:absolute;left:7209;top:616;width:824;height:27" fillcolor="#00b0f0" stroked="f"/>
              <v:rect id="_x0000_s6189" style="position:absolute;left:8118;top:625;width:95;height:9" fillcolor="black" stroked="f"/>
              <v:rect id="_x0000_s6190" style="position:absolute;left:8371;top:625;width:95;height:9" fillcolor="black" stroked="f"/>
              <v:rect id="_x0000_s6191" style="position:absolute;left:8625;top:625;width:95;height:9" fillcolor="black" stroked="f"/>
              <v:rect id="_x0000_s6192" style="position:absolute;left:8879;top:625;width:95;height:9" fillcolor="black" stroked="f"/>
              <v:rect id="_x0000_s6193" style="position:absolute;left:9132;top:625;width:95;height:9" fillcolor="black" stroked="f"/>
              <v:rect id="_x0000_s6194" style="position:absolute;left:9386;top:625;width:95;height:9" fillcolor="black" stroked="f"/>
              <v:rect id="_x0000_s6195" style="position:absolute;left:9640;top:625;width:95;height:9" fillcolor="black" stroked="f"/>
              <v:rect id="_x0000_s6196" style="position:absolute;left:9893;top:625;width:95;height:9" fillcolor="black" stroked="f"/>
              <v:rect id="_x0000_s6197" style="position:absolute;left:10147;top:625;width:95;height:9" fillcolor="black" stroked="f"/>
              <v:rect id="_x0000_s6198" style="position:absolute;left:10401;top:625;width:95;height:9" fillcolor="black" stroked="f"/>
              <v:rect id="_x0000_s6199" style="position:absolute;left:8244;top:625;width:32;height:9" fillcolor="black" stroked="f"/>
              <v:rect id="_x0000_s6200" style="position:absolute;left:8498;top:625;width:32;height:9" fillcolor="black" stroked="f"/>
              <v:rect id="_x0000_s6201" style="position:absolute;left:8752;top:625;width:31;height:9" fillcolor="black" stroked="f"/>
              <v:rect id="_x0000_s6202" style="position:absolute;left:9005;top:625;width:32;height:9" fillcolor="black" stroked="f"/>
              <v:rect id="_x0000_s6203" style="position:absolute;left:9259;top:625;width:32;height:9" fillcolor="black" stroked="f"/>
              <v:rect id="_x0000_s6204" style="position:absolute;left:9513;top:625;width:31;height:9" fillcolor="black" stroked="f"/>
              <v:rect id="_x0000_s6205" style="position:absolute;left:9766;top:625;width:32;height:9" fillcolor="black" stroked="f"/>
              <v:rect id="_x0000_s6206" style="position:absolute;left:10020;top:625;width:32;height:9" fillcolor="black" stroked="f"/>
              <v:rect id="_x0000_s6207" style="position:absolute;left:10274;top:625;width:31;height:9" fillcolor="black" stroked="f"/>
              <v:rect id="_x0000_s6208" style="position:absolute;left:10527;top:625;width:32;height:9" fillcolor="black" stroked="f"/>
              <v:rect id="_x0000_s6209" style="position:absolute;left:8054;top:625;width:32;height:9" fillcolor="black" stroked="f"/>
              <v:rect id="_x0000_s6210" style="position:absolute;left:8308;top:625;width:32;height:9" fillcolor="black" stroked="f"/>
              <v:rect id="_x0000_s6211" style="position:absolute;left:8561;top:625;width:32;height:9" fillcolor="black" stroked="f"/>
              <v:rect id="_x0000_s6212" style="position:absolute;left:8815;top:625;width:32;height:9" fillcolor="black" stroked="f"/>
              <v:rect id="_x0000_s6213" style="position:absolute;left:9069;top:625;width:32;height:9" fillcolor="black" stroked="f"/>
              <v:rect id="_x0000_s6214" style="position:absolute;left:9322;top:625;width:32;height:9" fillcolor="black" stroked="f"/>
              <v:rect id="_x0000_s6215" style="position:absolute;left:9576;top:625;width:32;height:9" fillcolor="black" stroked="f"/>
              <v:rect id="_x0000_s6216" style="position:absolute;left:9830;top:625;width:32;height:9" fillcolor="black" stroked="f"/>
              <v:rect id="_x0000_s6217" style="position:absolute;left:10084;top:625;width:31;height:9" fillcolor="black" stroked="f"/>
              <v:rect id="_x0000_s6218" style="position:absolute;left:10337;top:625;width:32;height:9" fillcolor="black" stroked="f"/>
              <v:rect id="_x0000_s6219" style="position:absolute;left:10654;top:625;width:95;height:9" fillcolor="black" stroked="f"/>
              <v:rect id="_x0000_s6220" style="position:absolute;left:10908;top:625;width:95;height:9" fillcolor="black" stroked="f"/>
              <v:rect id="_x0000_s6221" style="position:absolute;left:11162;top:625;width:95;height:9" fillcolor="black" stroked="f"/>
              <v:rect id="_x0000_s6222" style="position:absolute;left:11415;top:625;width:95;height:9" fillcolor="black" stroked="f"/>
              <v:rect id="_x0000_s6223" style="position:absolute;left:10781;top:625;width:32;height:9" fillcolor="black" stroked="f"/>
              <v:rect id="_x0000_s6224" style="position:absolute;left:11035;top:625;width:31;height:9" fillcolor="black" stroked="f"/>
              <v:rect id="_x0000_s6225" style="position:absolute;left:11288;top:625;width:32;height:9" fillcolor="black" stroked="f"/>
              <v:rect id="_x0000_s6226" style="position:absolute;left:11542;top:625;width:32;height:9" fillcolor="black" stroked="f"/>
              <v:rect id="_x0000_s6227" style="position:absolute;left:10591;top:625;width:32;height:9" fillcolor="black" stroked="f"/>
              <v:rect id="_x0000_s6228" style="position:absolute;left:10845;top:625;width:31;height:9" fillcolor="black" stroked="f"/>
              <v:rect id="_x0000_s6229" style="position:absolute;left:11098;top:625;width:32;height:9" fillcolor="black" stroked="f"/>
              <v:rect id="_x0000_s6230" style="position:absolute;left:11352;top:625;width:32;height:9" fillcolor="black" stroked="f"/>
              <v:line id="_x0000_s6231" style="position:absolute" from="5465,154" to="5465,616" strokeweight="0"/>
              <v:rect id="_x0000_s6232" style="position:absolute;left:5465;top:154;width:10;height:462" fillcolor="black" stroked="f"/>
              <v:line id="_x0000_s6233" style="position:absolute" from="8012,154" to="8012,616" strokeweight="0"/>
              <v:rect id="_x0000_s6234" style="position:absolute;left:8012;top:154;width:10;height:462" fillcolor="black" stroked="f"/>
              <v:rect id="_x0000_s6235" style="position:absolute;left:12282;top:154;width:21;height:462" fillcolor="black" stroked="f"/>
              <v:rect id="_x0000_s6236" style="position:absolute;left:2917;top:942;width:32;height:9" fillcolor="black" stroked="f"/>
              <v:rect id="_x0000_s6237" style="position:absolute;left:2981;top:942;width:31;height:9" fillcolor="black" stroked="f"/>
              <v:rect id="_x0000_s6238" style="position:absolute;left:3012;top:933;width:1649;height:27" fillcolor="#00b0f0" stroked="f"/>
              <v:rect id="_x0000_s6239" style="position:absolute;left:4820;top:942;width:95;height:9" fillcolor="black" stroked="f"/>
              <v:rect id="_x0000_s6240" style="position:absolute;left:5073;top:942;width:96;height:9" fillcolor="black" stroked="f"/>
              <v:rect id="_x0000_s6241" style="position:absolute;left:5327;top:942;width:95;height:9" fillcolor="black" stroked="f"/>
              <v:rect id="_x0000_s6242" style="position:absolute;left:4693;top:942;width:32;height:9" fillcolor="black" stroked="f"/>
              <v:rect id="_x0000_s6243" style="position:absolute;left:4947;top:942;width:31;height:9" fillcolor="black" stroked="f"/>
              <v:rect id="_x0000_s6244" style="position:absolute;left:5200;top:942;width:32;height:9" fillcolor="black" stroked="f"/>
              <v:rect id="_x0000_s6245" style="position:absolute;left:4756;top:942;width:32;height:9" fillcolor="black" stroked="f"/>
              <v:rect id="_x0000_s6246" style="position:absolute;left:5010;top:942;width:32;height:9" fillcolor="black" stroked="f"/>
              <v:rect id="_x0000_s6247" style="position:absolute;left:5264;top:942;width:31;height:9" fillcolor="black" stroked="f"/>
              <v:rect id="_x0000_s6248" style="position:absolute;left:5486;top:933;width:1723;height:27" fillcolor="#00b0f0" stroked="f"/>
              <v:rect id="_x0000_s6249" style="position:absolute;left:7230;top:942;width:95;height:9" fillcolor="black" stroked="f"/>
              <v:rect id="_x0000_s6250" style="position:absolute;left:7420;top:942;width:95;height:9" fillcolor="black" stroked="f"/>
              <v:rect id="_x0000_s6251" style="position:absolute;left:7610;top:942;width:95;height:9" fillcolor="black" stroked="f"/>
              <v:rect id="_x0000_s6252" style="position:absolute;left:7800;top:942;width:96;height:9" fillcolor="black" stroked="f"/>
              <v:rect id="_x0000_s6253" style="position:absolute;left:7991;top:942;width:10;height:9" fillcolor="black" stroked="f"/>
              <v:rect id="_x0000_s6254" style="position:absolute;left:7357;top:942;width:31;height:9" fillcolor="black" stroked="f"/>
              <v:rect id="_x0000_s6255" style="position:absolute;left:7547;top:942;width:31;height:9" fillcolor="black" stroked="f"/>
              <v:rect id="_x0000_s6256" style="position:absolute;left:7737;top:942;width:32;height:9" fillcolor="black" stroked="f"/>
              <v:rect id="_x0000_s6257" style="position:absolute;left:7927;top:942;width:32;height:9" fillcolor="black" stroked="f"/>
              <v:rect id="_x0000_s6258" style="position:absolute;left:8033;top:933;width:3604;height:27" fillcolor="#00b0f0" stroked="f"/>
              <v:line id="_x0000_s6259" style="position:absolute" from="3012,154" to="3012,933" strokeweight="0"/>
              <v:rect id="_x0000_s6260" style="position:absolute;left:3012;top:154;width:11;height:779" fillcolor="black" stroked="f"/>
              <v:line id="_x0000_s6261" style="position:absolute" from="4038,462" to="4038,933" strokeweight="0"/>
              <v:rect id="_x0000_s6262" style="position:absolute;left:4038;top:462;width:10;height:471" fillcolor="black" stroked="f"/>
              <v:rect id="_x0000_s6263" style="position:absolute;left:4630;top:616;width:31;height:344" fillcolor="#00b0f0" stroked="f"/>
              <v:rect id="_x0000_s6264" style="position:absolute;left:5454;top:643;width:32;height:317" fillcolor="#00b0f0" stroked="f"/>
              <v:line id="_x0000_s6265" style="position:absolute" from="6141,462" to="6141,933" strokeweight="0"/>
              <v:rect id="_x0000_s6266" style="position:absolute;left:6141;top:462;width:11;height:471" fillcolor="black" stroked="f"/>
              <v:rect id="_x0000_s6267" style="position:absolute;left:7177;top:616;width:32;height:344" fillcolor="#00b0f0" stroked="f"/>
              <v:rect id="_x0000_s6268" style="position:absolute;left:8001;top:643;width:32;height:317" fillcolor="#00b0f0" stroked="f"/>
              <v:line id="_x0000_s6269" style="position:absolute" from="10570,462" to="10570,933" strokeweight="0"/>
              <v:rect id="_x0000_s6270" style="position:absolute;left:10570;top:462;width:10;height:471" fillcolor="black" stroked="f"/>
              <v:rect id="_x0000_s6271" style="position:absolute;left:11606;top:616;width:31;height:344" fillcolor="#00b0f0" stroked="f"/>
              <v:line id="_x0000_s6272" style="position:absolute" from="2907,471" to="2907,1114" strokecolor="#00b0f0" strokeweight="0"/>
              <v:rect id="_x0000_s6273" style="position:absolute;left:2907;top:471;width:10;height:643" fillcolor="#00b0f0" stroked="f"/>
              <v:rect id="_x0000_s6274" style="position:absolute;left:2917;top:1422;width:32;height:9" fillcolor="black" stroked="f"/>
              <v:rect id="_x0000_s6275" style="position:absolute;left:2981;top:1422;width:31;height:9" fillcolor="black" stroked="f"/>
              <v:rect id="_x0000_s6276" style="position:absolute;left:3044;top:1422;width:95;height:9" fillcolor="black" stroked="f"/>
              <v:rect id="_x0000_s6277" style="position:absolute;left:3234;top:1422;width:95;height:9" fillcolor="black" stroked="f"/>
              <v:rect id="_x0000_s6278" style="position:absolute;left:3425;top:1422;width:95;height:9" fillcolor="black" stroked="f"/>
              <v:rect id="_x0000_s6279" style="position:absolute;left:3615;top:1422;width:95;height:9" fillcolor="black" stroked="f"/>
              <v:rect id="_x0000_s6280" style="position:absolute;left:3805;top:1422;width:95;height:9" fillcolor="black" stroked="f"/>
              <v:rect id="_x0000_s6281" style="position:absolute;left:3995;top:1422;width:43;height:9" fillcolor="black" stroked="f"/>
              <v:rect id="_x0000_s6282" style="position:absolute;left:3171;top:1422;width:32;height:9" fillcolor="black" stroked="f"/>
              <v:rect id="_x0000_s6283" style="position:absolute;left:3361;top:1422;width:32;height:9" fillcolor="black" stroked="f"/>
              <v:rect id="_x0000_s6284" style="position:absolute;left:3551;top:1422;width:32;height:9" fillcolor="black" stroked="f"/>
              <v:rect id="_x0000_s6285" style="position:absolute;left:3742;top:1422;width:31;height:9" fillcolor="black" stroked="f"/>
              <v:rect id="_x0000_s6286" style="position:absolute;left:3932;top:1422;width:32;height:9" fillcolor="black" stroked="f"/>
              <v:line id="_x0000_s6287" style="position:absolute" from="4640,960" to="4640,1413" strokeweight="0"/>
              <v:rect id="_x0000_s6288" style="position:absolute;left:4640;top:960;width:11;height:453" fillcolor="black" stroked="f"/>
              <v:rect id="_x0000_s6289" style="position:absolute;left:4048;top:1422;width:42;height:9" fillcolor="black" stroked="f"/>
              <v:rect id="_x0000_s6290" style="position:absolute;left:4186;top:1422;width:95;height:9" fillcolor="black" stroked="f"/>
              <v:rect id="_x0000_s6291" style="position:absolute;left:4376;top:1422;width:95;height:9" fillcolor="black" stroked="f"/>
              <v:rect id="_x0000_s6292" style="position:absolute;left:4566;top:1422;width:64;height:9" fillcolor="black" stroked="f"/>
              <v:rect id="_x0000_s6293" style="position:absolute;left:4122;top:1422;width:32;height:9" fillcolor="black" stroked="f"/>
              <v:rect id="_x0000_s6294" style="position:absolute;left:4312;top:1422;width:32;height:9" fillcolor="black" stroked="f"/>
              <v:rect id="_x0000_s6295" style="position:absolute;left:4503;top:1422;width:31;height:9" fillcolor="black" stroked="f"/>
              <v:rect id="_x0000_s6296" style="position:absolute;left:4661;top:1413;width:825;height:27" fillcolor="#00b0f0" stroked="f"/>
              <v:rect id="_x0000_s6297" style="position:absolute;left:5517;top:1422;width:96;height:9" fillcolor="black" stroked="f"/>
              <v:rect id="_x0000_s6298" style="position:absolute;left:5708;top:1422;width:95;height:9" fillcolor="black" stroked="f"/>
              <v:rect id="_x0000_s6299" style="position:absolute;left:5898;top:1422;width:95;height:9" fillcolor="black" stroked="f"/>
              <v:rect id="_x0000_s6300" style="position:absolute;left:6088;top:1422;width:53;height:9" fillcolor="black" stroked="f"/>
              <v:rect id="_x0000_s6301" style="position:absolute;left:5644;top:1422;width:32;height:9" fillcolor="black" stroked="f"/>
              <v:rect id="_x0000_s6302" style="position:absolute;left:5834;top:1422;width:32;height:9" fillcolor="black" stroked="f"/>
              <v:rect id="_x0000_s6303" style="position:absolute;left:6025;top:1422;width:31;height:9" fillcolor="black" stroked="f"/>
              <v:line id="_x0000_s6304" style="position:absolute" from="7187,960" to="7187,1413" strokeweight="0"/>
              <v:rect id="_x0000_s6305" style="position:absolute;left:7187;top:960;width:11;height:453" fillcolor="black" stroked="f"/>
              <v:rect id="_x0000_s6306" style="position:absolute;left:6152;top:1422;width:31;height:9" fillcolor="black" stroked="f"/>
              <v:rect id="_x0000_s6307" style="position:absolute;left:6278;top:1422;width:96;height:9" fillcolor="black" stroked="f"/>
              <v:rect id="_x0000_s6308" style="position:absolute;left:6469;top:1422;width:95;height:9" fillcolor="black" stroked="f"/>
              <v:rect id="_x0000_s6309" style="position:absolute;left:6659;top:1422;width:95;height:9" fillcolor="black" stroked="f"/>
              <v:rect id="_x0000_s6310" style="position:absolute;left:6849;top:1422;width:95;height:9" fillcolor="black" stroked="f"/>
              <v:rect id="_x0000_s6311" style="position:absolute;left:7039;top:1422;width:96;height:9" fillcolor="black" stroked="f"/>
              <v:rect id="_x0000_s6312" style="position:absolute;left:6215;top:1422;width:32;height:9" fillcolor="black" stroked="f"/>
              <v:rect id="_x0000_s6313" style="position:absolute;left:6405;top:1422;width:32;height:9" fillcolor="black" stroked="f"/>
            </v:group>
            <v:group id="_x0000_s6515" style="position:absolute;left:2907;top:643;width:9396;height:2383" coordorigin="2907,643" coordsize="9396,2383">
              <v:rect id="_x0000_s6315" style="position:absolute;left:6596;top:1422;width:31;height:9" fillcolor="black" stroked="f"/>
              <v:rect id="_x0000_s6316" style="position:absolute;left:6786;top:1422;width:31;height:9" fillcolor="black" stroked="f"/>
              <v:rect id="_x0000_s6317" style="position:absolute;left:6976;top:1422;width:32;height:9" fillcolor="black" stroked="f"/>
              <v:rect id="_x0000_s6318" style="position:absolute;left:7166;top:1422;width:11;height:9" fillcolor="black" stroked="f"/>
              <v:rect id="_x0000_s6319" style="position:absolute;left:7209;top:1413;width:824;height:27" fillcolor="#00b0f0" stroked="f"/>
              <v:rect id="_x0000_s6320" style="position:absolute;left:8033;top:1422;width:53;height:9" fillcolor="black" stroked="f"/>
              <v:rect id="_x0000_s6321" style="position:absolute;left:8181;top:1422;width:95;height:9" fillcolor="black" stroked="f"/>
              <v:rect id="_x0000_s6322" style="position:absolute;left:8371;top:1422;width:95;height:9" fillcolor="black" stroked="f"/>
              <v:rect id="_x0000_s6323" style="position:absolute;left:8561;top:1422;width:96;height:9" fillcolor="black" stroked="f"/>
              <v:rect id="_x0000_s6324" style="position:absolute;left:8752;top:1422;width:95;height:9" fillcolor="black" stroked="f"/>
              <v:rect id="_x0000_s6325" style="position:absolute;left:8942;top:1422;width:95;height:9" fillcolor="black" stroked="f"/>
              <v:rect id="_x0000_s6326" style="position:absolute;left:9132;top:1422;width:95;height:9" fillcolor="black" stroked="f"/>
              <v:rect id="_x0000_s6327" style="position:absolute;left:9322;top:1422;width:96;height:9" fillcolor="black" stroked="f"/>
              <v:rect id="_x0000_s6328" style="position:absolute;left:9513;top:1422;width:95;height:9" fillcolor="black" stroked="f"/>
              <v:rect id="_x0000_s6329" style="position:absolute;left:9703;top:1422;width:95;height:9" fillcolor="black" stroked="f"/>
              <v:rect id="_x0000_s6330" style="position:absolute;left:9893;top:1422;width:95;height:9" fillcolor="black" stroked="f"/>
              <v:rect id="_x0000_s6331" style="position:absolute;left:10084;top:1422;width:95;height:9" fillcolor="black" stroked="f"/>
              <v:rect id="_x0000_s6332" style="position:absolute;left:10274;top:1422;width:95;height:9" fillcolor="black" stroked="f"/>
              <v:rect id="_x0000_s6333" style="position:absolute;left:10464;top:1422;width:95;height:9" fillcolor="black" stroked="f"/>
              <v:rect id="_x0000_s6334" style="position:absolute;left:8118;top:1422;width:31;height:9" fillcolor="black" stroked="f"/>
              <v:rect id="_x0000_s6335" style="position:absolute;left:8308;top:1422;width:32;height:9" fillcolor="black" stroked="f"/>
              <v:rect id="_x0000_s6336" style="position:absolute;left:8498;top:1422;width:32;height:9" fillcolor="black" stroked="f"/>
              <v:rect id="_x0000_s6337" style="position:absolute;left:8688;top:1422;width:32;height:9" fillcolor="black" stroked="f"/>
              <v:rect id="_x0000_s6338" style="position:absolute;left:8879;top:1422;width:31;height:9" fillcolor="black" stroked="f"/>
              <v:rect id="_x0000_s6339" style="position:absolute;left:9069;top:1422;width:32;height:9" fillcolor="black" stroked="f"/>
              <v:rect id="_x0000_s6340" style="position:absolute;left:9259;top:1422;width:32;height:9" fillcolor="black" stroked="f"/>
              <v:rect id="_x0000_s6341" style="position:absolute;left:9449;top:1422;width:32;height:9" fillcolor="black" stroked="f"/>
              <v:rect id="_x0000_s6342" style="position:absolute;left:9640;top:1422;width:31;height:9" fillcolor="black" stroked="f"/>
              <v:rect id="_x0000_s6343" style="position:absolute;left:9830;top:1422;width:32;height:9" fillcolor="black" stroked="f"/>
              <v:rect id="_x0000_s6344" style="position:absolute;left:10020;top:1422;width:32;height:9" fillcolor="black" stroked="f"/>
              <v:rect id="_x0000_s6345" style="position:absolute;left:10210;top:1422;width:32;height:9" fillcolor="black" stroked="f"/>
              <v:rect id="_x0000_s6346" style="position:absolute;left:10401;top:1422;width:31;height:9" fillcolor="black" stroked="f"/>
              <v:line id="_x0000_s6347" style="position:absolute" from="11616,960" to="11616,1413" strokeweight="0"/>
              <v:rect id="_x0000_s6348" style="position:absolute;left:11616;top:960;width:11;height:453" fillcolor="black" stroked="f"/>
              <v:rect id="_x0000_s6349" style="position:absolute;left:10654;top:1422;width:95;height:9" fillcolor="black" stroked="f"/>
              <v:rect id="_x0000_s6350" style="position:absolute;left:10845;top:1422;width:95;height:9" fillcolor="black" stroked="f"/>
              <v:rect id="_x0000_s6351" style="position:absolute;left:11035;top:1422;width:95;height:9" fillcolor="black" stroked="f"/>
              <v:rect id="_x0000_s6352" style="position:absolute;left:11225;top:1422;width:95;height:9" fillcolor="black" stroked="f"/>
              <v:rect id="_x0000_s6353" style="position:absolute;left:11415;top:1422;width:95;height:9" fillcolor="black" stroked="f"/>
              <v:rect id="_x0000_s6354" style="position:absolute;left:10591;top:1422;width:32;height:9" fillcolor="black" stroked="f"/>
              <v:rect id="_x0000_s6355" style="position:absolute;left:10781;top:1422;width:32;height:9" fillcolor="black" stroked="f"/>
              <v:rect id="_x0000_s6356" style="position:absolute;left:10971;top:1422;width:32;height:9" fillcolor="black" stroked="f"/>
              <v:rect id="_x0000_s6357" style="position:absolute;left:11162;top:1422;width:31;height:9" fillcolor="black" stroked="f"/>
              <v:rect id="_x0000_s6358" style="position:absolute;left:11352;top:1422;width:32;height:9" fillcolor="black" stroked="f"/>
              <v:rect id="_x0000_s6359" style="position:absolute;left:11542;top:1422;width:32;height:9" fillcolor="black" stroked="f"/>
              <v:line id="_x0000_s6360" style="position:absolute" from="5465,960" to="5465,1413" strokeweight="0"/>
              <v:rect id="_x0000_s6361" style="position:absolute;left:5465;top:960;width:10;height:453" fillcolor="black" stroked="f"/>
              <v:line id="_x0000_s6362" style="position:absolute" from="8012,960" to="8012,1413" strokeweight="0"/>
              <v:rect id="_x0000_s6363" style="position:absolute;left:8012;top:960;width:10;height:453" fillcolor="black" stroked="f"/>
              <v:rect id="_x0000_s6364" style="position:absolute;left:12282;top:643;width:21;height:770" fillcolor="black" stroked="f"/>
              <v:rect id="_x0000_s6365" style="position:absolute;left:2917;top:1748;width:32;height:9" fillcolor="black" stroked="f"/>
              <v:rect id="_x0000_s6366" style="position:absolute;left:2981;top:1748;width:31;height:9" fillcolor="black" stroked="f"/>
              <v:line id="_x0000_s6367" style="position:absolute" from="4038,960" to="4038,1739" strokeweight="0"/>
              <v:rect id="_x0000_s6368" style="position:absolute;left:4038;top:960;width:10;height:779" fillcolor="black" stroked="f"/>
              <v:rect id="_x0000_s6369" style="position:absolute;left:3044;top:1748;width:95;height:9" fillcolor="black" stroked="f"/>
              <v:rect id="_x0000_s6370" style="position:absolute;left:3234;top:1748;width:95;height:9" fillcolor="black" stroked="f"/>
              <v:rect id="_x0000_s6371" style="position:absolute;left:3425;top:1748;width:95;height:9" fillcolor="black" stroked="f"/>
              <v:rect id="_x0000_s6372" style="position:absolute;left:3615;top:1748;width:95;height:9" fillcolor="black" stroked="f"/>
              <v:rect id="_x0000_s6373" style="position:absolute;left:3805;top:1748;width:95;height:9" fillcolor="black" stroked="f"/>
              <v:rect id="_x0000_s6374" style="position:absolute;left:3995;top:1748;width:32;height:9" fillcolor="black" stroked="f"/>
              <v:rect id="_x0000_s6375" style="position:absolute;left:3171;top:1748;width:32;height:9" fillcolor="black" stroked="f"/>
              <v:rect id="_x0000_s6376" style="position:absolute;left:3361;top:1748;width:32;height:9" fillcolor="black" stroked="f"/>
              <v:rect id="_x0000_s6377" style="position:absolute;left:3551;top:1748;width:32;height:9" fillcolor="black" stroked="f"/>
              <v:rect id="_x0000_s6378" style="position:absolute;left:3742;top:1748;width:31;height:9" fillcolor="black" stroked="f"/>
              <v:rect id="_x0000_s6379" style="position:absolute;left:3932;top:1748;width:32;height:9" fillcolor="black" stroked="f"/>
              <v:rect id="_x0000_s6380" style="position:absolute;left:4059;top:1739;width:602;height:27" fillcolor="#00b0f0" stroked="f"/>
              <v:rect id="_x0000_s6381" style="position:absolute;left:4756;top:1748;width:96;height:9" fillcolor="black" stroked="f"/>
              <v:rect id="_x0000_s6382" style="position:absolute;left:4947;top:1748;width:95;height:9" fillcolor="black" stroked="f"/>
              <v:rect id="_x0000_s6383" style="position:absolute;left:5137;top:1748;width:95;height:9" fillcolor="black" stroked="f"/>
              <v:rect id="_x0000_s6384" style="position:absolute;left:5327;top:1748;width:95;height:9" fillcolor="black" stroked="f"/>
              <v:rect id="_x0000_s6385" style="position:absolute;left:4693;top:1748;width:32;height:9" fillcolor="black" stroked="f"/>
              <v:rect id="_x0000_s6386" style="position:absolute;left:4883;top:1748;width:32;height:9" fillcolor="black" stroked="f"/>
              <v:rect id="_x0000_s6387" style="position:absolute;left:5073;top:1748;width:32;height:9" fillcolor="black" stroked="f"/>
              <v:rect id="_x0000_s6388" style="position:absolute;left:5264;top:1748;width:31;height:9" fillcolor="black" stroked="f"/>
              <v:line id="_x0000_s6389" style="position:absolute" from="6141,960" to="6141,1739" strokeweight="0"/>
              <v:rect id="_x0000_s6390" style="position:absolute;left:6141;top:960;width:11;height:779" fillcolor="black" stroked="f"/>
              <v:rect id="_x0000_s6391" style="position:absolute;left:5517;top:1748;width:96;height:9" fillcolor="black" stroked="f"/>
              <v:rect id="_x0000_s6392" style="position:absolute;left:5708;top:1748;width:95;height:9" fillcolor="black" stroked="f"/>
              <v:rect id="_x0000_s6393" style="position:absolute;left:5898;top:1748;width:95;height:9" fillcolor="black" stroked="f"/>
              <v:rect id="_x0000_s6394" style="position:absolute;left:6088;top:1748;width:42;height:9" fillcolor="black" stroked="f"/>
              <v:rect id="_x0000_s6395" style="position:absolute;left:5644;top:1748;width:32;height:9" fillcolor="black" stroked="f"/>
              <v:rect id="_x0000_s6396" style="position:absolute;left:5834;top:1748;width:32;height:9" fillcolor="black" stroked="f"/>
              <v:rect id="_x0000_s6397" style="position:absolute;left:6025;top:1748;width:31;height:9" fillcolor="black" stroked="f"/>
              <v:rect id="_x0000_s6398" style="position:absolute;left:6162;top:1739;width:1047;height:27" fillcolor="#00b0f0" stroked="f"/>
              <v:rect id="_x0000_s6399" style="position:absolute;left:7230;top:1748;width:95;height:9" fillcolor="black" stroked="f"/>
              <v:rect id="_x0000_s6400" style="position:absolute;left:7420;top:1748;width:95;height:9" fillcolor="black" stroked="f"/>
              <v:rect id="_x0000_s6401" style="position:absolute;left:7610;top:1748;width:95;height:9" fillcolor="black" stroked="f"/>
              <v:rect id="_x0000_s6402" style="position:absolute;left:7800;top:1748;width:96;height:9" fillcolor="black" stroked="f"/>
              <v:rect id="_x0000_s6403" style="position:absolute;left:7991;top:1748;width:10;height:9" fillcolor="black" stroked="f"/>
              <v:rect id="_x0000_s6404" style="position:absolute;left:7357;top:1748;width:31;height:9" fillcolor="black" stroked="f"/>
              <v:rect id="_x0000_s6405" style="position:absolute;left:7547;top:1748;width:31;height:9" fillcolor="black" stroked="f"/>
              <v:rect id="_x0000_s6406" style="position:absolute;left:7737;top:1748;width:32;height:9" fillcolor="black" stroked="f"/>
              <v:rect id="_x0000_s6407" style="position:absolute;left:7927;top:1748;width:32;height:9" fillcolor="black" stroked="f"/>
              <v:line id="_x0000_s6408" style="position:absolute" from="10570,960" to="10570,1739" strokeweight="0"/>
              <v:rect id="_x0000_s6409" style="position:absolute;left:10570;top:960;width:10;height:779" fillcolor="black" stroked="f"/>
              <v:rect id="_x0000_s6410" style="position:absolute;left:8033;top:1748;width:53;height:9" fillcolor="black" stroked="f"/>
              <v:rect id="_x0000_s6411" style="position:absolute;left:8181;top:1748;width:95;height:9" fillcolor="black" stroked="f"/>
              <v:rect id="_x0000_s6412" style="position:absolute;left:8371;top:1748;width:95;height:9" fillcolor="black" stroked="f"/>
              <v:rect id="_x0000_s6413" style="position:absolute;left:8561;top:1748;width:96;height:9" fillcolor="black" stroked="f"/>
              <v:rect id="_x0000_s6414" style="position:absolute;left:8752;top:1748;width:95;height:9" fillcolor="black" stroked="f"/>
              <v:rect id="_x0000_s6415" style="position:absolute;left:8942;top:1748;width:95;height:9" fillcolor="black" stroked="f"/>
              <v:rect id="_x0000_s6416" style="position:absolute;left:9132;top:1748;width:95;height:9" fillcolor="black" stroked="f"/>
              <v:rect id="_x0000_s6417" style="position:absolute;left:9322;top:1748;width:96;height:9" fillcolor="black" stroked="f"/>
              <v:rect id="_x0000_s6418" style="position:absolute;left:9513;top:1748;width:95;height:9" fillcolor="black" stroked="f"/>
              <v:rect id="_x0000_s6419" style="position:absolute;left:9703;top:1748;width:95;height:9" fillcolor="black" stroked="f"/>
              <v:rect id="_x0000_s6420" style="position:absolute;left:9893;top:1748;width:95;height:9" fillcolor="black" stroked="f"/>
              <v:rect id="_x0000_s6421" style="position:absolute;left:10084;top:1748;width:95;height:9" fillcolor="black" stroked="f"/>
              <v:rect id="_x0000_s6422" style="position:absolute;left:10274;top:1748;width:95;height:9" fillcolor="black" stroked="f"/>
              <v:rect id="_x0000_s6423" style="position:absolute;left:10464;top:1748;width:95;height:9" fillcolor="black" stroked="f"/>
              <v:rect id="_x0000_s6424" style="position:absolute;left:8118;top:1748;width:31;height:9" fillcolor="black" stroked="f"/>
              <v:rect id="_x0000_s6425" style="position:absolute;left:8308;top:1748;width:32;height:9" fillcolor="black" stroked="f"/>
              <v:rect id="_x0000_s6426" style="position:absolute;left:8498;top:1748;width:32;height:9" fillcolor="black" stroked="f"/>
              <v:rect id="_x0000_s6427" style="position:absolute;left:8688;top:1748;width:32;height:9" fillcolor="black" stroked="f"/>
              <v:rect id="_x0000_s6428" style="position:absolute;left:8879;top:1748;width:31;height:9" fillcolor="black" stroked="f"/>
              <v:rect id="_x0000_s6429" style="position:absolute;left:9069;top:1748;width:32;height:9" fillcolor="black" stroked="f"/>
              <v:rect id="_x0000_s6430" style="position:absolute;left:9259;top:1748;width:32;height:9" fillcolor="black" stroked="f"/>
              <v:rect id="_x0000_s6431" style="position:absolute;left:9449;top:1748;width:32;height:9" fillcolor="black" stroked="f"/>
              <v:rect id="_x0000_s6432" style="position:absolute;left:9640;top:1748;width:31;height:9" fillcolor="black" stroked="f"/>
              <v:rect id="_x0000_s6433" style="position:absolute;left:9830;top:1748;width:32;height:9" fillcolor="black" stroked="f"/>
              <v:rect id="_x0000_s6434" style="position:absolute;left:10020;top:1748;width:32;height:9" fillcolor="black" stroked="f"/>
              <v:rect id="_x0000_s6435" style="position:absolute;left:10210;top:1748;width:32;height:9" fillcolor="black" stroked="f"/>
              <v:rect id="_x0000_s6436" style="position:absolute;left:10401;top:1748;width:31;height:9" fillcolor="black" stroked="f"/>
              <v:rect id="_x0000_s6437" style="position:absolute;left:10591;top:1739;width:1046;height:27" fillcolor="#00b0f0" stroked="f"/>
              <v:rect id="_x0000_s6438" style="position:absolute;left:4630;top:1413;width:31;height:353" fillcolor="#00b0f0" stroked="f"/>
              <v:rect id="_x0000_s6439" style="position:absolute;left:7177;top:1413;width:32;height:353" fillcolor="#00b0f0" stroked="f"/>
              <v:rect id="_x0000_s6440" style="position:absolute;left:11606;top:1413;width:31;height:353" fillcolor="#00b0f0" stroked="f"/>
              <v:rect id="_x0000_s6441" style="position:absolute;left:2917;top:2074;width:32;height:9" fillcolor="black" stroked="f"/>
              <v:rect id="_x0000_s6442" style="position:absolute;left:2981;top:2074;width:31;height:9" fillcolor="black" stroked="f"/>
              <v:rect id="_x0000_s6443" style="position:absolute;left:3012;top:2065;width:1047;height:28" fillcolor="#00b0f0" stroked="f"/>
              <v:rect id="_x0000_s6444" style="position:absolute;left:4059;top:2074;width:31;height:9" fillcolor="black" stroked="f"/>
              <v:rect id="_x0000_s6445" style="position:absolute;left:4186;top:2074;width:95;height:9" fillcolor="black" stroked="f"/>
              <v:rect id="_x0000_s6446" style="position:absolute;left:4376;top:2074;width:95;height:9" fillcolor="black" stroked="f"/>
              <v:rect id="_x0000_s6447" style="position:absolute;left:4566;top:2074;width:74;height:9" fillcolor="black" stroked="f"/>
              <v:rect id="_x0000_s6448" style="position:absolute;left:4122;top:2074;width:32;height:9" fillcolor="black" stroked="f"/>
              <v:rect id="_x0000_s6449" style="position:absolute;left:4312;top:2074;width:32;height:9" fillcolor="black" stroked="f"/>
              <v:rect id="_x0000_s6450" style="position:absolute;left:4503;top:2074;width:31;height:9" fillcolor="black" stroked="f"/>
              <v:rect id="_x0000_s6451" style="position:absolute;left:4651;top:2074;width:10;height:9" fillcolor="black" stroked="f"/>
              <v:rect id="_x0000_s6452" style="position:absolute;left:4756;top:2074;width:96;height:9" fillcolor="black" stroked="f"/>
              <v:rect id="_x0000_s6453" style="position:absolute;left:4947;top:2074;width:95;height:9" fillcolor="black" stroked="f"/>
              <v:rect id="_x0000_s6454" style="position:absolute;left:5137;top:2074;width:95;height:9" fillcolor="black" stroked="f"/>
              <v:rect id="_x0000_s6455" style="position:absolute;left:5327;top:2074;width:95;height:9" fillcolor="black" stroked="f"/>
              <v:rect id="_x0000_s6456" style="position:absolute;left:4693;top:2074;width:32;height:9" fillcolor="black" stroked="f"/>
              <v:rect id="_x0000_s6457" style="position:absolute;left:4883;top:2074;width:32;height:9" fillcolor="black" stroked="f"/>
              <v:rect id="_x0000_s6458" style="position:absolute;left:5073;top:2074;width:32;height:9" fillcolor="black" stroked="f"/>
              <v:rect id="_x0000_s6459" style="position:absolute;left:5264;top:2074;width:31;height:9" fillcolor="black" stroked="f"/>
              <v:rect id="_x0000_s6460" style="position:absolute;left:5486;top:2065;width:676;height:28" fillcolor="#00b0f0" stroked="f"/>
              <v:rect id="_x0000_s6461" style="position:absolute;left:6162;top:2074;width:21;height:9" fillcolor="black" stroked="f"/>
              <v:rect id="_x0000_s6462" style="position:absolute;left:6278;top:2074;width:96;height:9" fillcolor="black" stroked="f"/>
              <v:rect id="_x0000_s6463" style="position:absolute;left:6469;top:2074;width:95;height:9" fillcolor="black" stroked="f"/>
              <v:rect id="_x0000_s6464" style="position:absolute;left:6659;top:2074;width:95;height:9" fillcolor="black" stroked="f"/>
              <v:rect id="_x0000_s6465" style="position:absolute;left:6849;top:2074;width:95;height:9" fillcolor="black" stroked="f"/>
              <v:rect id="_x0000_s6466" style="position:absolute;left:7039;top:2074;width:96;height:9" fillcolor="black" stroked="f"/>
              <v:rect id="_x0000_s6467" style="position:absolute;left:6215;top:2074;width:32;height:9" fillcolor="black" stroked="f"/>
              <v:rect id="_x0000_s6468" style="position:absolute;left:6405;top:2074;width:32;height:9" fillcolor="black" stroked="f"/>
              <v:rect id="_x0000_s6469" style="position:absolute;left:6596;top:2074;width:31;height:9" fillcolor="black" stroked="f"/>
              <v:rect id="_x0000_s6470" style="position:absolute;left:6786;top:2074;width:31;height:9" fillcolor="black" stroked="f"/>
              <v:rect id="_x0000_s6471" style="position:absolute;left:6976;top:2074;width:32;height:9" fillcolor="black" stroked="f"/>
              <v:rect id="_x0000_s6472" style="position:absolute;left:7166;top:2074;width:21;height:9" fillcolor="black" stroked="f"/>
              <v:rect id="_x0000_s6473" style="position:absolute;left:7230;top:2074;width:95;height:9" fillcolor="black" stroked="f"/>
              <v:rect id="_x0000_s6474" style="position:absolute;left:7420;top:2074;width:95;height:9" fillcolor="black" stroked="f"/>
              <v:rect id="_x0000_s6475" style="position:absolute;left:7610;top:2074;width:95;height:9" fillcolor="black" stroked="f"/>
              <v:rect id="_x0000_s6476" style="position:absolute;left:7800;top:2074;width:96;height:9" fillcolor="black" stroked="f"/>
              <v:rect id="_x0000_s6477" style="position:absolute;left:7991;top:2074;width:10;height:9" fillcolor="black" stroked="f"/>
              <v:rect id="_x0000_s6478" style="position:absolute;left:7357;top:2074;width:31;height:9" fillcolor="black" stroked="f"/>
              <v:rect id="_x0000_s6479" style="position:absolute;left:7547;top:2074;width:31;height:9" fillcolor="black" stroked="f"/>
              <v:rect id="_x0000_s6480" style="position:absolute;left:7737;top:2074;width:32;height:9" fillcolor="black" stroked="f"/>
              <v:rect id="_x0000_s6481" style="position:absolute;left:7927;top:2074;width:32;height:9" fillcolor="black" stroked="f"/>
              <v:rect id="_x0000_s6482" style="position:absolute;left:8033;top:2065;width:2558;height:28" fillcolor="#00b0f0" stroked="f"/>
              <v:rect id="_x0000_s6483" style="position:absolute;left:10654;top:2074;width:95;height:9" fillcolor="black" stroked="f"/>
              <v:rect id="_x0000_s6484" style="position:absolute;left:10845;top:2074;width:95;height:9" fillcolor="black" stroked="f"/>
              <v:rect id="_x0000_s6485" style="position:absolute;left:11035;top:2074;width:95;height:9" fillcolor="black" stroked="f"/>
              <v:rect id="_x0000_s6486" style="position:absolute;left:11225;top:2074;width:95;height:9" fillcolor="black" stroked="f"/>
              <v:rect id="_x0000_s6487" style="position:absolute;left:11415;top:2074;width:95;height:9" fillcolor="black" stroked="f"/>
              <v:rect id="_x0000_s6488" style="position:absolute;left:11606;top:2074;width:10;height:9" fillcolor="black" stroked="f"/>
              <v:rect id="_x0000_s6489" style="position:absolute;left:10591;top:2074;width:32;height:9" fillcolor="black" stroked="f"/>
              <v:rect id="_x0000_s6490" style="position:absolute;left:10781;top:2074;width:32;height:9" fillcolor="black" stroked="f"/>
              <v:rect id="_x0000_s6491" style="position:absolute;left:10971;top:2074;width:32;height:9" fillcolor="black" stroked="f"/>
              <v:rect id="_x0000_s6492" style="position:absolute;left:11162;top:2074;width:31;height:9" fillcolor="black" stroked="f"/>
              <v:rect id="_x0000_s6493" style="position:absolute;left:11352;top:2074;width:32;height:9" fillcolor="black" stroked="f"/>
              <v:rect id="_x0000_s6494" style="position:absolute;left:11542;top:2074;width:32;height:9" fillcolor="black" stroked="f"/>
              <v:line id="_x0000_s6495" style="position:absolute" from="3012,960" to="3012,2065" strokeweight="0"/>
              <v:rect id="_x0000_s6496" style="position:absolute;left:3012;top:960;width:11;height:1105" fillcolor="black" stroked="f"/>
              <v:rect id="_x0000_s6497" style="position:absolute;left:4027;top:1739;width:32;height:354" fillcolor="#00b0f0" stroked="f"/>
              <v:rect id="_x0000_s6498" style="position:absolute;left:5454;top:1440;width:32;height:653" fillcolor="#00b0f0" stroked="f"/>
              <v:rect id="_x0000_s6499" style="position:absolute;left:6130;top:1739;width:32;height:354" fillcolor="#00b0f0" stroked="f"/>
              <v:rect id="_x0000_s6500" style="position:absolute;left:8001;top:1440;width:32;height:653" fillcolor="#00b0f0" stroked="f"/>
              <v:rect id="_x0000_s6501" style="position:absolute;left:10559;top:1739;width:32;height:354" fillcolor="#00b0f0" stroked="f"/>
              <v:line id="_x0000_s6502" style="position:absolute" from="2907,1268" to="2907,2247" strokecolor="#00b0f0" strokeweight="0"/>
              <v:rect id="_x0000_s6503" style="position:absolute;left:2907;top:1268;width:10;height:979" fillcolor="#00b0f0" stroked="f"/>
              <v:rect id="_x0000_s6504" style="position:absolute;left:2917;top:3016;width:32;height:10" fillcolor="black" stroked="f"/>
              <v:rect id="_x0000_s6505" style="position:absolute;left:2981;top:3016;width:31;height:10" fillcolor="black" stroked="f"/>
              <v:rect id="_x0000_s6506" style="position:absolute;left:3044;top:3016;width:95;height:10" fillcolor="black" stroked="f"/>
              <v:rect id="_x0000_s6507" style="position:absolute;left:3234;top:3016;width:95;height:10" fillcolor="black" stroked="f"/>
              <v:rect id="_x0000_s6508" style="position:absolute;left:3425;top:3016;width:95;height:10" fillcolor="black" stroked="f"/>
              <v:rect id="_x0000_s6509" style="position:absolute;left:3615;top:3016;width:95;height:10" fillcolor="black" stroked="f"/>
              <v:rect id="_x0000_s6510" style="position:absolute;left:3805;top:3016;width:95;height:10" fillcolor="black" stroked="f"/>
              <v:rect id="_x0000_s6511" style="position:absolute;left:3995;top:3016;width:43;height:10" fillcolor="black" stroked="f"/>
              <v:rect id="_x0000_s6512" style="position:absolute;left:3171;top:3016;width:32;height:10" fillcolor="black" stroked="f"/>
              <v:rect id="_x0000_s6513" style="position:absolute;left:3361;top:3016;width:32;height:10" fillcolor="black" stroked="f"/>
              <v:rect id="_x0000_s6514" style="position:absolute;left:3551;top:3016;width:32;height:10" fillcolor="black" stroked="f"/>
            </v:group>
            <v:group id="_x0000_s6716" style="position:absolute;left:2907;top:1440;width:9396;height:2401" coordorigin="2907,1440" coordsize="9396,2401">
              <v:rect id="_x0000_s6516" style="position:absolute;left:3742;top:3016;width:31;height:10" fillcolor="black" stroked="f"/>
              <v:rect id="_x0000_s6517" style="position:absolute;left:3932;top:3016;width:32;height:10" fillcolor="black" stroked="f"/>
              <v:rect id="_x0000_s6518" style="position:absolute;left:4048;top:3016;width:42;height:10" fillcolor="black" stroked="f"/>
              <v:rect id="_x0000_s6519" style="position:absolute;left:4186;top:3016;width:95;height:10" fillcolor="black" stroked="f"/>
              <v:rect id="_x0000_s6520" style="position:absolute;left:4376;top:3016;width:95;height:10" fillcolor="black" stroked="f"/>
              <v:rect id="_x0000_s6521" style="position:absolute;left:4566;top:3016;width:74;height:10" fillcolor="black" stroked="f"/>
              <v:rect id="_x0000_s6522" style="position:absolute;left:4122;top:3016;width:32;height:10" fillcolor="black" stroked="f"/>
              <v:rect id="_x0000_s6523" style="position:absolute;left:4312;top:3016;width:32;height:10" fillcolor="black" stroked="f"/>
              <v:rect id="_x0000_s6524" style="position:absolute;left:4503;top:3016;width:31;height:10" fillcolor="black" stroked="f"/>
              <v:rect id="_x0000_s6525" style="position:absolute;left:4651;top:3016;width:10;height:10" fillcolor="black" stroked="f"/>
              <v:rect id="_x0000_s6526" style="position:absolute;left:4756;top:3016;width:96;height:10" fillcolor="black" stroked="f"/>
              <v:rect id="_x0000_s6527" style="position:absolute;left:4947;top:3016;width:95;height:10" fillcolor="black" stroked="f"/>
              <v:rect id="_x0000_s6528" style="position:absolute;left:5137;top:3016;width:95;height:10" fillcolor="black" stroked="f"/>
              <v:rect id="_x0000_s6529" style="position:absolute;left:5327;top:3016;width:95;height:10" fillcolor="black" stroked="f"/>
              <v:rect id="_x0000_s6530" style="position:absolute;left:4693;top:3016;width:32;height:10" fillcolor="black" stroked="f"/>
              <v:rect id="_x0000_s6531" style="position:absolute;left:4883;top:3016;width:32;height:10" fillcolor="black" stroked="f"/>
              <v:rect id="_x0000_s6532" style="position:absolute;left:5073;top:3016;width:32;height:10" fillcolor="black" stroked="f"/>
              <v:rect id="_x0000_s6533" style="position:absolute;left:5264;top:3016;width:31;height:10" fillcolor="black" stroked="f"/>
              <v:rect id="_x0000_s6534" style="position:absolute;left:5454;top:3016;width:11;height:10" fillcolor="black" stroked="f"/>
              <v:rect id="_x0000_s6535" style="position:absolute;left:5517;top:3016;width:96;height:10" fillcolor="black" stroked="f"/>
              <v:rect id="_x0000_s6536" style="position:absolute;left:5708;top:3016;width:95;height:10" fillcolor="black" stroked="f"/>
              <v:rect id="_x0000_s6537" style="position:absolute;left:5898;top:3016;width:95;height:10" fillcolor="black" stroked="f"/>
              <v:rect id="_x0000_s6538" style="position:absolute;left:6088;top:3016;width:53;height:10" fillcolor="black" stroked="f"/>
              <v:rect id="_x0000_s6539" style="position:absolute;left:5475;top:3016;width:11;height:10" fillcolor="black" stroked="f"/>
              <v:rect id="_x0000_s6540" style="position:absolute;left:5644;top:3016;width:32;height:10" fillcolor="black" stroked="f"/>
              <v:rect id="_x0000_s6541" style="position:absolute;left:5834;top:3016;width:32;height:10" fillcolor="black" stroked="f"/>
              <v:rect id="_x0000_s6542" style="position:absolute;left:6025;top:3016;width:31;height:10" fillcolor="black" stroked="f"/>
              <v:rect id="_x0000_s6543" style="position:absolute;left:6152;top:3016;width:31;height:10" fillcolor="black" stroked="f"/>
              <v:rect id="_x0000_s6544" style="position:absolute;left:6278;top:3016;width:96;height:10" fillcolor="black" stroked="f"/>
              <v:rect id="_x0000_s6545" style="position:absolute;left:6469;top:3016;width:95;height:10" fillcolor="black" stroked="f"/>
              <v:rect id="_x0000_s6546" style="position:absolute;left:6659;top:3016;width:95;height:10" fillcolor="black" stroked="f"/>
              <v:rect id="_x0000_s6547" style="position:absolute;left:6849;top:3016;width:95;height:10" fillcolor="black" stroked="f"/>
              <v:rect id="_x0000_s6548" style="position:absolute;left:7039;top:3016;width:96;height:10" fillcolor="black" stroked="f"/>
              <v:rect id="_x0000_s6549" style="position:absolute;left:6215;top:3016;width:32;height:10" fillcolor="black" stroked="f"/>
              <v:rect id="_x0000_s6550" style="position:absolute;left:6405;top:3016;width:32;height:10" fillcolor="black" stroked="f"/>
              <v:rect id="_x0000_s6551" style="position:absolute;left:6596;top:3016;width:31;height:10" fillcolor="black" stroked="f"/>
              <v:rect id="_x0000_s6552" style="position:absolute;left:6786;top:3016;width:31;height:10" fillcolor="black" stroked="f"/>
              <v:rect id="_x0000_s6553" style="position:absolute;left:6976;top:3016;width:32;height:10" fillcolor="black" stroked="f"/>
              <v:rect id="_x0000_s6554" style="position:absolute;left:7166;top:3016;width:21;height:10" fillcolor="black" stroked="f"/>
              <v:rect id="_x0000_s6555" style="position:absolute;left:7187;top:3007;width:2379;height:28" fillcolor="black" stroked="f"/>
              <v:rect id="_x0000_s6556" style="position:absolute;left:9566;top:3016;width:42;height:10" fillcolor="black" stroked="f"/>
              <v:rect id="_x0000_s6557" style="position:absolute;left:9703;top:3016;width:95;height:10" fillcolor="black" stroked="f"/>
              <v:rect id="_x0000_s6558" style="position:absolute;left:9893;top:3016;width:95;height:10" fillcolor="black" stroked="f"/>
              <v:rect id="_x0000_s6559" style="position:absolute;left:10084;top:3016;width:95;height:10" fillcolor="black" stroked="f"/>
              <v:rect id="_x0000_s6560" style="position:absolute;left:10274;top:3016;width:95;height:10" fillcolor="black" stroked="f"/>
              <v:rect id="_x0000_s6561" style="position:absolute;left:10464;top:3016;width:95;height:10" fillcolor="black" stroked="f"/>
              <v:rect id="_x0000_s6562" style="position:absolute;left:9640;top:3016;width:31;height:10" fillcolor="black" stroked="f"/>
              <v:rect id="_x0000_s6563" style="position:absolute;left:9830;top:3016;width:32;height:10" fillcolor="black" stroked="f"/>
              <v:rect id="_x0000_s6564" style="position:absolute;left:10020;top:3016;width:32;height:10" fillcolor="black" stroked="f"/>
              <v:rect id="_x0000_s6565" style="position:absolute;left:10210;top:3016;width:32;height:10" fillcolor="black" stroked="f"/>
              <v:rect id="_x0000_s6566" style="position:absolute;left:10401;top:3016;width:31;height:10" fillcolor="black" stroked="f"/>
              <v:rect id="_x0000_s6567" style="position:absolute;left:10654;top:3016;width:95;height:10" fillcolor="black" stroked="f"/>
              <v:rect id="_x0000_s6568" style="position:absolute;left:10845;top:3016;width:95;height:10" fillcolor="black" stroked="f"/>
              <v:rect id="_x0000_s6569" style="position:absolute;left:11035;top:3016;width:95;height:10" fillcolor="black" stroked="f"/>
              <v:rect id="_x0000_s6570" style="position:absolute;left:11225;top:3016;width:95;height:10" fillcolor="black" stroked="f"/>
              <v:rect id="_x0000_s6571" style="position:absolute;left:11415;top:3016;width:95;height:10" fillcolor="black" stroked="f"/>
              <v:rect id="_x0000_s6572" style="position:absolute;left:11606;top:3016;width:10;height:10" fillcolor="black" stroked="f"/>
              <v:rect id="_x0000_s6573" style="position:absolute;left:10591;top:3016;width:32;height:10" fillcolor="black" stroked="f"/>
              <v:rect id="_x0000_s6574" style="position:absolute;left:10781;top:3016;width:32;height:10" fillcolor="black" stroked="f"/>
              <v:rect id="_x0000_s6575" style="position:absolute;left:10971;top:3016;width:32;height:10" fillcolor="black" stroked="f"/>
              <v:rect id="_x0000_s6576" style="position:absolute;left:11162;top:3016;width:31;height:10" fillcolor="black" stroked="f"/>
              <v:rect id="_x0000_s6577" style="position:absolute;left:11352;top:3016;width:32;height:10" fillcolor="black" stroked="f"/>
              <v:rect id="_x0000_s6578" style="position:absolute;left:11542;top:3016;width:32;height:10" fillcolor="black" stroked="f"/>
              <v:line id="_x0000_s6579" style="position:absolute" from="8012,2093" to="8012,3007" strokeweight="0"/>
              <v:rect id="_x0000_s6580" style="position:absolute;left:8012;top:2093;width:10;height:914" fillcolor="black" stroked="f"/>
              <v:line id="_x0000_s6581" style="position:absolute" from="9544,2545" to="9544,3007" strokeweight="0"/>
              <v:rect id="_x0000_s6582" style="position:absolute;left:9544;top:2545;width:11;height:462" fillcolor="black" stroked="f"/>
              <v:rect id="_x0000_s6583" style="position:absolute;left:12282;top:1440;width:21;height:1567" fillcolor="black" stroked="f"/>
              <v:rect id="_x0000_s6584" style="position:absolute;left:2917;top:3343;width:32;height:9" fillcolor="black" stroked="f"/>
              <v:rect id="_x0000_s6585" style="position:absolute;left:2981;top:3343;width:31;height:9" fillcolor="black" stroked="f"/>
              <v:rect id="_x0000_s6586" style="position:absolute;left:3012;top:3334;width:1036;height:27" fillcolor="black" stroked="f"/>
              <v:rect id="_x0000_s6587" style="position:absolute;left:4048;top:3343;width:42;height:9" fillcolor="black" stroked="f"/>
              <v:rect id="_x0000_s6588" style="position:absolute;left:4186;top:3343;width:95;height:9" fillcolor="black" stroked="f"/>
              <v:rect id="_x0000_s6589" style="position:absolute;left:4376;top:3343;width:95;height:9" fillcolor="black" stroked="f"/>
              <v:rect id="_x0000_s6590" style="position:absolute;left:4566;top:3343;width:95;height:9" fillcolor="black" stroked="f"/>
              <v:rect id="_x0000_s6591" style="position:absolute;left:4756;top:3343;width:96;height:9" fillcolor="black" stroked="f"/>
              <v:rect id="_x0000_s6592" style="position:absolute;left:4947;top:3343;width:95;height:9" fillcolor="black" stroked="f"/>
              <v:rect id="_x0000_s6593" style="position:absolute;left:5137;top:3343;width:95;height:9" fillcolor="black" stroked="f"/>
              <v:rect id="_x0000_s6594" style="position:absolute;left:5327;top:3343;width:95;height:9" fillcolor="black" stroked="f"/>
              <v:rect id="_x0000_s6595" style="position:absolute;left:4122;top:3343;width:32;height:9" fillcolor="black" stroked="f"/>
              <v:rect id="_x0000_s6596" style="position:absolute;left:4312;top:3343;width:32;height:9" fillcolor="black" stroked="f"/>
              <v:rect id="_x0000_s6597" style="position:absolute;left:4503;top:3343;width:31;height:9" fillcolor="black" stroked="f"/>
              <v:rect id="_x0000_s6598" style="position:absolute;left:4693;top:3343;width:32;height:9" fillcolor="black" stroked="f"/>
              <v:rect id="_x0000_s6599" style="position:absolute;left:4883;top:3343;width:32;height:9" fillcolor="black" stroked="f"/>
              <v:rect id="_x0000_s6600" style="position:absolute;left:5073;top:3343;width:32;height:9" fillcolor="black" stroked="f"/>
              <v:rect id="_x0000_s6601" style="position:absolute;left:5264;top:3343;width:31;height:9" fillcolor="black" stroked="f"/>
              <v:rect id="_x0000_s6602" style="position:absolute;left:5454;top:3343;width:11;height:9" fillcolor="black" stroked="f"/>
              <v:line id="_x0000_s6603" style="position:absolute" from="5465,2093" to="5465,3161" strokeweight="0"/>
              <v:rect id="_x0000_s6604" style="position:absolute;left:5465;top:2093;width:10;height:1068" fillcolor="black" stroked="f"/>
              <v:line id="_x0000_s6605" style="position:absolute" from="6141,2093" to="6141,3161" strokeweight="0"/>
              <v:rect id="_x0000_s6606" style="position:absolute;left:6141;top:2093;width:11;height:1068" fillcolor="black" stroked="f"/>
              <v:rect id="_x0000_s6607" style="position:absolute;left:6130;top:3189;width:32;height:163" fillcolor="black" stroked="f"/>
              <v:rect id="_x0000_s6608" style="position:absolute;left:5517;top:3343;width:96;height:9" fillcolor="black" stroked="f"/>
              <v:rect id="_x0000_s6609" style="position:absolute;left:5708;top:3343;width:95;height:9" fillcolor="black" stroked="f"/>
              <v:rect id="_x0000_s6610" style="position:absolute;left:5898;top:3343;width:95;height:9" fillcolor="black" stroked="f"/>
              <v:rect id="_x0000_s6611" style="position:absolute;left:6088;top:3343;width:42;height:9" fillcolor="black" stroked="f"/>
              <v:rect id="_x0000_s6612" style="position:absolute;left:5475;top:3343;width:11;height:9" fillcolor="black" stroked="f"/>
              <v:rect id="_x0000_s6613" style="position:absolute;left:5644;top:3343;width:32;height:9" fillcolor="black" stroked="f"/>
              <v:rect id="_x0000_s6614" style="position:absolute;left:5834;top:3343;width:32;height:9" fillcolor="black" stroked="f"/>
              <v:rect id="_x0000_s6615" style="position:absolute;left:6025;top:3343;width:31;height:9" fillcolor="black" stroked="f"/>
              <v:rect id="_x0000_s6616" style="position:absolute;left:6162;top:3343;width:21;height:9" fillcolor="black" stroked="f"/>
              <v:rect id="_x0000_s6617" style="position:absolute;left:6278;top:3343;width:96;height:9" fillcolor="black" stroked="f"/>
              <v:rect id="_x0000_s6618" style="position:absolute;left:6469;top:3343;width:95;height:9" fillcolor="black" stroked="f"/>
              <v:rect id="_x0000_s6619" style="position:absolute;left:6659;top:3343;width:95;height:9" fillcolor="black" stroked="f"/>
              <v:rect id="_x0000_s6620" style="position:absolute;left:6849;top:3343;width:95;height:9" fillcolor="black" stroked="f"/>
              <v:rect id="_x0000_s6621" style="position:absolute;left:7039;top:3343;width:96;height:9" fillcolor="black" stroked="f"/>
              <v:rect id="_x0000_s6622" style="position:absolute;left:7230;top:3343;width:95;height:9" fillcolor="black" stroked="f"/>
              <v:rect id="_x0000_s6623" style="position:absolute;left:7420;top:3343;width:95;height:9" fillcolor="black" stroked="f"/>
              <v:rect id="_x0000_s6624" style="position:absolute;left:7610;top:3343;width:95;height:9" fillcolor="black" stroked="f"/>
              <v:rect id="_x0000_s6625" style="position:absolute;left:7800;top:3343;width:96;height:9" fillcolor="black" stroked="f"/>
              <v:rect id="_x0000_s6626" style="position:absolute;left:7991;top:3343;width:21;height:9" fillcolor="black" stroked="f"/>
              <v:rect id="_x0000_s6627" style="position:absolute;left:6215;top:3343;width:32;height:9" fillcolor="black" stroked="f"/>
              <v:rect id="_x0000_s6628" style="position:absolute;left:6405;top:3343;width:32;height:9" fillcolor="black" stroked="f"/>
              <v:rect id="_x0000_s6629" style="position:absolute;left:6596;top:3343;width:31;height:9" fillcolor="black" stroked="f"/>
              <v:rect id="_x0000_s6630" style="position:absolute;left:6786;top:3343;width:31;height:9" fillcolor="black" stroked="f"/>
              <v:rect id="_x0000_s6631" style="position:absolute;left:6976;top:3343;width:32;height:9" fillcolor="black" stroked="f"/>
              <v:rect id="_x0000_s6632" style="position:absolute;left:7166;top:3343;width:32;height:9" fillcolor="black" stroked="f"/>
              <v:rect id="_x0000_s6633" style="position:absolute;left:7357;top:3343;width:31;height:9" fillcolor="black" stroked="f"/>
              <v:rect id="_x0000_s6634" style="position:absolute;left:7547;top:3343;width:31;height:9" fillcolor="black" stroked="f"/>
              <v:rect id="_x0000_s6635" style="position:absolute;left:7737;top:3343;width:32;height:9" fillcolor="black" stroked="f"/>
              <v:rect id="_x0000_s6636" style="position:absolute;left:7927;top:3343;width:32;height:9" fillcolor="black" stroked="f"/>
              <v:rect id="_x0000_s6637" style="position:absolute;left:8022;top:3343;width:64;height:9" fillcolor="black" stroked="f"/>
              <v:rect id="_x0000_s6638" style="position:absolute;left:8181;top:3343;width:95;height:9" fillcolor="black" stroked="f"/>
              <v:rect id="_x0000_s6639" style="position:absolute;left:8371;top:3343;width:95;height:9" fillcolor="black" stroked="f"/>
              <v:rect id="_x0000_s6640" style="position:absolute;left:8561;top:3343;width:96;height:9" fillcolor="black" stroked="f"/>
              <v:rect id="_x0000_s6641" style="position:absolute;left:8752;top:3343;width:95;height:9" fillcolor="black" stroked="f"/>
              <v:rect id="_x0000_s6642" style="position:absolute;left:8942;top:3343;width:95;height:9" fillcolor="black" stroked="f"/>
              <v:rect id="_x0000_s6643" style="position:absolute;left:9132;top:3343;width:95;height:9" fillcolor="black" stroked="f"/>
              <v:rect id="_x0000_s6644" style="position:absolute;left:9322;top:3343;width:96;height:9" fillcolor="black" stroked="f"/>
              <v:rect id="_x0000_s6645" style="position:absolute;left:9513;top:3343;width:21;height:9" fillcolor="black" stroked="f"/>
              <v:rect id="_x0000_s6646" style="position:absolute;left:8118;top:3343;width:31;height:9" fillcolor="black" stroked="f"/>
              <v:rect id="_x0000_s6647" style="position:absolute;left:8308;top:3343;width:32;height:9" fillcolor="black" stroked="f"/>
              <v:rect id="_x0000_s6648" style="position:absolute;left:8498;top:3343;width:32;height:9" fillcolor="black" stroked="f"/>
              <v:rect id="_x0000_s6649" style="position:absolute;left:8688;top:3343;width:32;height:9" fillcolor="black" stroked="f"/>
              <v:rect id="_x0000_s6650" style="position:absolute;left:8879;top:3343;width:31;height:9" fillcolor="black" stroked="f"/>
              <v:rect id="_x0000_s6651" style="position:absolute;left:9069;top:3343;width:32;height:9" fillcolor="black" stroked="f"/>
              <v:rect id="_x0000_s6652" style="position:absolute;left:9259;top:3343;width:32;height:9" fillcolor="black" stroked="f"/>
              <v:rect id="_x0000_s6653" style="position:absolute;left:9449;top:3343;width:32;height:9" fillcolor="black" stroked="f"/>
              <v:rect id="_x0000_s6654" style="position:absolute;left:9566;top:3334;width:1014;height:27" fillcolor="black" stroked="f"/>
              <v:line id="_x0000_s6655" style="position:absolute" from="3012,2093" to="3012,3334" strokeweight="0"/>
              <v:rect id="_x0000_s6656" style="position:absolute;left:3012;top:2093;width:11;height:1241" fillcolor="black" stroked="f"/>
              <v:line id="_x0000_s6657" style="position:absolute" from="4038,2093" to="4038,3334" strokeweight="0"/>
              <v:rect id="_x0000_s6658" style="position:absolute;left:4038;top:2093;width:10;height:1241" fillcolor="black" stroked="f"/>
              <v:line id="_x0000_s6659" style="position:absolute" from="10570,2093" to="10570,3334" strokeweight="0"/>
              <v:rect id="_x0000_s6660" style="position:absolute;left:10570;top:2093;width:10;height:1241" fillcolor="black" stroked="f"/>
              <v:line id="_x0000_s6661" style="position:absolute" from="2907,2863" to="2907,3515" strokeweight="0"/>
              <v:rect id="_x0000_s6662" style="position:absolute;left:2907;top:2863;width:10;height:652" fillcolor="black" stroked="f"/>
              <v:rect id="_x0000_s6663" style="position:absolute;left:2917;top:3823;width:32;height:9" fillcolor="black" stroked="f"/>
              <v:rect id="_x0000_s6664" style="position:absolute;left:2981;top:3823;width:31;height:9" fillcolor="black" stroked="f"/>
              <v:line id="_x0000_s6665" style="position:absolute" from="4038,3361" to="4038,3814" strokeweight="0"/>
              <v:rect id="_x0000_s6666" style="position:absolute;left:4038;top:3361;width:10;height:453" fillcolor="black" stroked="f"/>
              <v:rect id="_x0000_s6667" style="position:absolute;left:3044;top:3823;width:95;height:9" fillcolor="black" stroked="f"/>
              <v:rect id="_x0000_s6668" style="position:absolute;left:3234;top:3823;width:95;height:9" fillcolor="black" stroked="f"/>
              <v:rect id="_x0000_s6669" style="position:absolute;left:3425;top:3823;width:95;height:9" fillcolor="black" stroked="f"/>
              <v:rect id="_x0000_s6670" style="position:absolute;left:3615;top:3823;width:95;height:9" fillcolor="black" stroked="f"/>
              <v:rect id="_x0000_s6671" style="position:absolute;left:3805;top:3823;width:95;height:9" fillcolor="black" stroked="f"/>
              <v:rect id="_x0000_s6672" style="position:absolute;left:3995;top:3823;width:32;height:9" fillcolor="black" stroked="f"/>
              <v:rect id="_x0000_s6673" style="position:absolute;left:3171;top:3823;width:32;height:9" fillcolor="black" stroked="f"/>
              <v:rect id="_x0000_s6674" style="position:absolute;left:3361;top:3823;width:32;height:9" fillcolor="black" stroked="f"/>
              <v:rect id="_x0000_s6675" style="position:absolute;left:3551;top:3823;width:32;height:9" fillcolor="black" stroked="f"/>
              <v:rect id="_x0000_s6676" style="position:absolute;left:3742;top:3823;width:31;height:9" fillcolor="black" stroked="f"/>
              <v:rect id="_x0000_s6677" style="position:absolute;left:3932;top:3823;width:32;height:9" fillcolor="black" stroked="f"/>
              <v:rect id="_x0000_s6678" style="position:absolute;left:4059;top:3814;width:1427;height:27" fillcolor="black" stroked="f"/>
              <v:rect id="_x0000_s6679" style="position:absolute;left:5517;top:3823;width:96;height:9" fillcolor="black" stroked="f"/>
              <v:rect id="_x0000_s6680" style="position:absolute;left:5708;top:3823;width:95;height:9" fillcolor="black" stroked="f"/>
              <v:rect id="_x0000_s6681" style="position:absolute;left:5898;top:3823;width:95;height:9" fillcolor="black" stroked="f"/>
              <v:rect id="_x0000_s6682" style="position:absolute;left:6088;top:3823;width:53;height:9" fillcolor="black" stroked="f"/>
              <v:rect id="_x0000_s6683" style="position:absolute;left:5644;top:3823;width:32;height:9" fillcolor="black" stroked="f"/>
              <v:rect id="_x0000_s6684" style="position:absolute;left:5834;top:3823;width:32;height:9" fillcolor="black" stroked="f"/>
              <v:rect id="_x0000_s6685" style="position:absolute;left:6025;top:3823;width:31;height:9" fillcolor="black" stroked="f"/>
              <v:rect id="_x0000_s6686" style="position:absolute;left:6152;top:3823;width:31;height:9" fillcolor="black" stroked="f"/>
              <v:rect id="_x0000_s6687" style="position:absolute;left:6278;top:3823;width:96;height:9" fillcolor="black" stroked="f"/>
              <v:rect id="_x0000_s6688" style="position:absolute;left:6469;top:3823;width:10;height:9" fillcolor="black" stroked="f"/>
              <v:rect id="_x0000_s6689" style="position:absolute;left:6215;top:3823;width:32;height:9" fillcolor="black" stroked="f"/>
              <v:rect id="_x0000_s6690" style="position:absolute;left:6405;top:3823;width:32;height:9" fillcolor="black" stroked="f"/>
              <v:rect id="_x0000_s6691" style="position:absolute;left:6511;top:3814;width:1522;height:27" fillcolor="black" stroked="f"/>
              <v:line id="_x0000_s6692" style="position:absolute" from="10570,3361" to="10570,3814" strokeweight="0"/>
              <v:rect id="_x0000_s6693" style="position:absolute;left:10570;top:3361;width:10;height:453" fillcolor="black" stroked="f"/>
              <v:rect id="_x0000_s6694" style="position:absolute;left:8033;top:3823;width:53;height:9" fillcolor="black" stroked="f"/>
              <v:rect id="_x0000_s6695" style="position:absolute;left:8181;top:3823;width:95;height:9" fillcolor="black" stroked="f"/>
              <v:rect id="_x0000_s6696" style="position:absolute;left:8371;top:3823;width:95;height:9" fillcolor="black" stroked="f"/>
              <v:rect id="_x0000_s6697" style="position:absolute;left:8561;top:3823;width:96;height:9" fillcolor="black" stroked="f"/>
              <v:rect id="_x0000_s6698" style="position:absolute;left:8752;top:3823;width:95;height:9" fillcolor="black" stroked="f"/>
              <v:rect id="_x0000_s6699" style="position:absolute;left:8942;top:3823;width:95;height:9" fillcolor="black" stroked="f"/>
              <v:rect id="_x0000_s6700" style="position:absolute;left:9132;top:3823;width:95;height:9" fillcolor="black" stroked="f"/>
              <v:rect id="_x0000_s6701" style="position:absolute;left:9322;top:3823;width:96;height:9" fillcolor="black" stroked="f"/>
              <v:rect id="_x0000_s6702" style="position:absolute;left:9513;top:3823;width:95;height:9" fillcolor="black" stroked="f"/>
              <v:rect id="_x0000_s6703" style="position:absolute;left:9703;top:3823;width:95;height:9" fillcolor="black" stroked="f"/>
              <v:rect id="_x0000_s6704" style="position:absolute;left:9893;top:3823;width:95;height:9" fillcolor="black" stroked="f"/>
              <v:rect id="_x0000_s6705" style="position:absolute;left:10084;top:3823;width:95;height:9" fillcolor="black" stroked="f"/>
              <v:rect id="_x0000_s6706" style="position:absolute;left:10274;top:3823;width:95;height:9" fillcolor="black" stroked="f"/>
              <v:rect id="_x0000_s6707" style="position:absolute;left:10464;top:3823;width:95;height:9" fillcolor="black" stroked="f"/>
              <v:rect id="_x0000_s6708" style="position:absolute;left:8118;top:3823;width:31;height:9" fillcolor="black" stroked="f"/>
              <v:rect id="_x0000_s6709" style="position:absolute;left:8308;top:3823;width:32;height:9" fillcolor="black" stroked="f"/>
              <v:rect id="_x0000_s6710" style="position:absolute;left:8498;top:3823;width:32;height:9" fillcolor="black" stroked="f"/>
              <v:rect id="_x0000_s6711" style="position:absolute;left:8688;top:3823;width:32;height:9" fillcolor="black" stroked="f"/>
              <v:rect id="_x0000_s6712" style="position:absolute;left:8879;top:3823;width:31;height:9" fillcolor="black" stroked="f"/>
              <v:rect id="_x0000_s6713" style="position:absolute;left:9069;top:3823;width:32;height:9" fillcolor="black" stroked="f"/>
              <v:rect id="_x0000_s6714" style="position:absolute;left:9259;top:3823;width:32;height:9" fillcolor="black" stroked="f"/>
              <v:rect id="_x0000_s6715" style="position:absolute;left:9449;top:3823;width:32;height:9" fillcolor="black" stroked="f"/>
            </v:group>
            <v:group id="_x0000_s6917" style="position:absolute;left:201;top:462;width:12102;height:4484" coordorigin="201,462" coordsize="12102,4484">
              <v:rect id="_x0000_s6717" style="position:absolute;left:9640;top:3823;width:31;height:9" fillcolor="black" stroked="f"/>
              <v:rect id="_x0000_s6718" style="position:absolute;left:9830;top:3823;width:32;height:9" fillcolor="black" stroked="f"/>
              <v:rect id="_x0000_s6719" style="position:absolute;left:10020;top:3823;width:32;height:9" fillcolor="black" stroked="f"/>
              <v:rect id="_x0000_s6720" style="position:absolute;left:10210;top:3823;width:32;height:9" fillcolor="black" stroked="f"/>
              <v:rect id="_x0000_s6721" style="position:absolute;left:10401;top:3823;width:31;height:9" fillcolor="black" stroked="f"/>
              <v:line id="_x0000_s6722" style="position:absolute" from="5465,3189" to="5465,3814" strokeweight="0"/>
              <v:rect id="_x0000_s6723" style="position:absolute;left:5465;top:3189;width:10;height:625" fillcolor="black" stroked="f"/>
              <v:line id="_x0000_s6724" style="position:absolute" from="8012,3035" to="8012,3814" strokeweight="0"/>
              <v:rect id="_x0000_s6725" style="position:absolute;left:8012;top:3035;width:10;height:779" fillcolor="black" stroked="f"/>
              <v:rect id="_x0000_s6726" style="position:absolute;left:12282;top:3035;width:21;height:779" fillcolor="black" stroked="f"/>
              <v:line id="_x0000_s6727" style="position:absolute" from="2907,3669" to="2907,3986" strokeweight="0"/>
              <v:rect id="_x0000_s6728" style="position:absolute;left:2907;top:3669;width:10;height:317" fillcolor="black" stroked="f"/>
              <v:rect id="_x0000_s6729" style="position:absolute;left:2917;top:4294;width:32;height:9" fillcolor="black" stroked="f"/>
              <v:rect id="_x0000_s6730" style="position:absolute;left:2981;top:4294;width:31;height:9" fillcolor="black" stroked="f"/>
              <v:rect id="_x0000_s6731" style="position:absolute;left:3044;top:4294;width:95;height:9" fillcolor="black" stroked="f"/>
              <v:rect id="_x0000_s6732" style="position:absolute;left:3234;top:4294;width:95;height:9" fillcolor="black" stroked="f"/>
              <v:rect id="_x0000_s6733" style="position:absolute;left:3425;top:4294;width:95;height:9" fillcolor="black" stroked="f"/>
              <v:rect id="_x0000_s6734" style="position:absolute;left:3615;top:4294;width:63;height:9" fillcolor="black" stroked="f"/>
              <v:rect id="_x0000_s6735" style="position:absolute;left:3171;top:4294;width:32;height:9" fillcolor="black" stroked="f"/>
              <v:rect id="_x0000_s6736" style="position:absolute;left:3361;top:4294;width:32;height:9" fillcolor="black" stroked="f"/>
              <v:rect id="_x0000_s6737" style="position:absolute;left:3551;top:4294;width:32;height:9" fillcolor="black" stroked="f"/>
              <v:rect id="_x0000_s6738" style="position:absolute;left:3710;top:4285;width:349;height:27" fillcolor="black" stroked="f"/>
              <v:rect id="_x0000_s6739" style="position:absolute;left:4059;top:4294;width:31;height:9" fillcolor="black" stroked="f"/>
              <v:rect id="_x0000_s6740" style="position:absolute;left:4186;top:4294;width:95;height:9" fillcolor="black" stroked="f"/>
              <v:rect id="_x0000_s6741" style="position:absolute;left:4376;top:4294;width:95;height:9" fillcolor="black" stroked="f"/>
              <v:rect id="_x0000_s6742" style="position:absolute;left:4566;top:4294;width:95;height:9" fillcolor="black" stroked="f"/>
              <v:rect id="_x0000_s6743" style="position:absolute;left:4756;top:4294;width:96;height:9" fillcolor="black" stroked="f"/>
              <v:rect id="_x0000_s6744" style="position:absolute;left:4947;top:4294;width:95;height:9" fillcolor="black" stroked="f"/>
              <v:rect id="_x0000_s6745" style="position:absolute;left:5137;top:4294;width:95;height:9" fillcolor="black" stroked="f"/>
              <v:rect id="_x0000_s6746" style="position:absolute;left:5327;top:4294;width:95;height:9" fillcolor="black" stroked="f"/>
              <v:rect id="_x0000_s6747" style="position:absolute;left:4122;top:4294;width:32;height:9" fillcolor="black" stroked="f"/>
              <v:rect id="_x0000_s6748" style="position:absolute;left:4312;top:4294;width:32;height:9" fillcolor="black" stroked="f"/>
              <v:rect id="_x0000_s6749" style="position:absolute;left:4503;top:4294;width:31;height:9" fillcolor="black" stroked="f"/>
              <v:rect id="_x0000_s6750" style="position:absolute;left:4693;top:4294;width:32;height:9" fillcolor="black" stroked="f"/>
              <v:rect id="_x0000_s6751" style="position:absolute;left:4883;top:4294;width:32;height:9" fillcolor="black" stroked="f"/>
              <v:rect id="_x0000_s6752" style="position:absolute;left:5073;top:4294;width:32;height:9" fillcolor="black" stroked="f"/>
              <v:rect id="_x0000_s6753" style="position:absolute;left:5264;top:4294;width:31;height:9" fillcolor="black" stroked="f"/>
              <v:line id="_x0000_s6754" style="position:absolute" from="6141,3352" to="6141,4285" strokeweight="0"/>
              <v:rect id="_x0000_s6755" style="position:absolute;left:6141;top:3352;width:11;height:933" fillcolor="black" stroked="f"/>
              <v:rect id="_x0000_s6756" style="position:absolute;left:5517;top:4294;width:96;height:9" fillcolor="black" stroked="f"/>
              <v:rect id="_x0000_s6757" style="position:absolute;left:5708;top:4294;width:95;height:9" fillcolor="black" stroked="f"/>
              <v:rect id="_x0000_s6758" style="position:absolute;left:5898;top:4294;width:95;height:9" fillcolor="black" stroked="f"/>
              <v:rect id="_x0000_s6759" style="position:absolute;left:6088;top:4294;width:42;height:9" fillcolor="black" stroked="f"/>
              <v:rect id="_x0000_s6760" style="position:absolute;left:5644;top:4294;width:32;height:9" fillcolor="black" stroked="f"/>
              <v:rect id="_x0000_s6761" style="position:absolute;left:5834;top:4294;width:32;height:9" fillcolor="black" stroked="f"/>
              <v:rect id="_x0000_s6762" style="position:absolute;left:6025;top:4294;width:31;height:9" fillcolor="black" stroked="f"/>
              <v:rect id="_x0000_s6763" style="position:absolute;left:6162;top:4285;width:349;height:27" fillcolor="black" stroked="f"/>
              <v:rect id="_x0000_s6764" style="position:absolute;left:6511;top:4294;width:53;height:9" fillcolor="black" stroked="f"/>
              <v:rect id="_x0000_s6765" style="position:absolute;left:6659;top:4294;width:95;height:9" fillcolor="black" stroked="f"/>
              <v:rect id="_x0000_s6766" style="position:absolute;left:6849;top:4294;width:95;height:9" fillcolor="black" stroked="f"/>
              <v:rect id="_x0000_s6767" style="position:absolute;left:7039;top:4294;width:96;height:9" fillcolor="black" stroked="f"/>
              <v:rect id="_x0000_s6768" style="position:absolute;left:7230;top:4294;width:95;height:9" fillcolor="black" stroked="f"/>
              <v:rect id="_x0000_s6769" style="position:absolute;left:7420;top:4294;width:95;height:9" fillcolor="black" stroked="f"/>
              <v:rect id="_x0000_s6770" style="position:absolute;left:7610;top:4294;width:95;height:9" fillcolor="black" stroked="f"/>
              <v:rect id="_x0000_s6771" style="position:absolute;left:7800;top:4294;width:96;height:9" fillcolor="black" stroked="f"/>
              <v:rect id="_x0000_s6772" style="position:absolute;left:7991;top:4294;width:10;height:9" fillcolor="black" stroked="f"/>
              <v:rect id="_x0000_s6773" style="position:absolute;left:6596;top:4294;width:31;height:9" fillcolor="black" stroked="f"/>
              <v:rect id="_x0000_s6774" style="position:absolute;left:6786;top:4294;width:31;height:9" fillcolor="black" stroked="f"/>
              <v:rect id="_x0000_s6775" style="position:absolute;left:6976;top:4294;width:32;height:9" fillcolor="black" stroked="f"/>
              <v:rect id="_x0000_s6776" style="position:absolute;left:7166;top:4294;width:32;height:9" fillcolor="black" stroked="f"/>
              <v:rect id="_x0000_s6777" style="position:absolute;left:7357;top:4294;width:31;height:9" fillcolor="black" stroked="f"/>
              <v:rect id="_x0000_s6778" style="position:absolute;left:7547;top:4294;width:31;height:9" fillcolor="black" stroked="f"/>
              <v:rect id="_x0000_s6779" style="position:absolute;left:7737;top:4294;width:32;height:9" fillcolor="black" stroked="f"/>
              <v:rect id="_x0000_s6780" style="position:absolute;left:7927;top:4294;width:32;height:9" fillcolor="black" stroked="f"/>
              <v:rect id="_x0000_s6781" style="position:absolute;left:8033;top:4294;width:53;height:9" fillcolor="black" stroked="f"/>
              <v:rect id="_x0000_s6782" style="position:absolute;left:8181;top:4294;width:95;height:9" fillcolor="black" stroked="f"/>
              <v:rect id="_x0000_s6783" style="position:absolute;left:8371;top:4294;width:95;height:9" fillcolor="black" stroked="f"/>
              <v:rect id="_x0000_s6784" style="position:absolute;left:8561;top:4294;width:96;height:9" fillcolor="black" stroked="f"/>
              <v:rect id="_x0000_s6785" style="position:absolute;left:8752;top:4294;width:95;height:9" fillcolor="black" stroked="f"/>
              <v:rect id="_x0000_s6786" style="position:absolute;left:8942;top:4294;width:95;height:9" fillcolor="black" stroked="f"/>
              <v:rect id="_x0000_s6787" style="position:absolute;left:9132;top:4294;width:95;height:9" fillcolor="black" stroked="f"/>
              <v:rect id="_x0000_s6788" style="position:absolute;left:9322;top:4294;width:96;height:9" fillcolor="black" stroked="f"/>
              <v:rect id="_x0000_s6789" style="position:absolute;left:9513;top:4294;width:95;height:9" fillcolor="black" stroked="f"/>
              <v:rect id="_x0000_s6790" style="position:absolute;left:9703;top:4294;width:95;height:9" fillcolor="black" stroked="f"/>
              <v:rect id="_x0000_s6791" style="position:absolute;left:9893;top:4294;width:95;height:9" fillcolor="black" stroked="f"/>
              <v:rect id="_x0000_s6792" style="position:absolute;left:10084;top:4294;width:95;height:9" fillcolor="black" stroked="f"/>
              <v:rect id="_x0000_s6793" style="position:absolute;left:8118;top:4294;width:31;height:9" fillcolor="black" stroked="f"/>
              <v:rect id="_x0000_s6794" style="position:absolute;left:8308;top:4294;width:32;height:9" fillcolor="black" stroked="f"/>
              <v:rect id="_x0000_s6795" style="position:absolute;left:8498;top:4294;width:32;height:9" fillcolor="black" stroked="f"/>
              <v:rect id="_x0000_s6796" style="position:absolute;left:8688;top:4294;width:32;height:9" fillcolor="black" stroked="f"/>
              <v:rect id="_x0000_s6797" style="position:absolute;left:8879;top:4294;width:31;height:9" fillcolor="black" stroked="f"/>
              <v:rect id="_x0000_s6798" style="position:absolute;left:9069;top:4294;width:32;height:9" fillcolor="black" stroked="f"/>
              <v:rect id="_x0000_s6799" style="position:absolute;left:9259;top:4294;width:32;height:9" fillcolor="black" stroked="f"/>
              <v:rect id="_x0000_s6800" style="position:absolute;left:9449;top:4294;width:32;height:9" fillcolor="black" stroked="f"/>
              <v:rect id="_x0000_s6801" style="position:absolute;left:9640;top:4294;width:31;height:9" fillcolor="black" stroked="f"/>
              <v:rect id="_x0000_s6802" style="position:absolute;left:9830;top:4294;width:32;height:9" fillcolor="black" stroked="f"/>
              <v:rect id="_x0000_s6803" style="position:absolute;left:10020;top:4294;width:32;height:9" fillcolor="black" stroked="f"/>
              <v:rect id="_x0000_s6804" style="position:absolute;left:10242;top:4285;width:349;height:27" fillcolor="black" stroked="f"/>
              <v:line id="_x0000_s6805" style="position:absolute" from="2907,4140" to="2907,4466" strokeweight="0"/>
              <v:rect id="_x0000_s6806" style="position:absolute;left:2907;top:4140;width:10;height:326" fillcolor="black" stroked="f"/>
              <v:rect id="_x0000_s6807" style="position:absolute;left:2917;top:4774;width:32;height:9" fillcolor="black" stroked="f"/>
              <v:rect id="_x0000_s6808" style="position:absolute;left:2981;top:4774;width:31;height:9" fillcolor="black" stroked="f"/>
              <v:rect id="_x0000_s6809" style="position:absolute;left:3012;top:4765;width:698;height:27" fillcolor="black" stroked="f"/>
              <v:rect id="_x0000_s6810" style="position:absolute;left:3805;top:4774;width:95;height:9" fillcolor="black" stroked="f"/>
              <v:rect id="_x0000_s6811" style="position:absolute;left:3995;top:4774;width:95;height:9" fillcolor="black" stroked="f"/>
              <v:rect id="_x0000_s6812" style="position:absolute;left:4186;top:4774;width:95;height:9" fillcolor="black" stroked="f"/>
              <v:rect id="_x0000_s6813" style="position:absolute;left:4376;top:4774;width:95;height:9" fillcolor="black" stroked="f"/>
              <v:rect id="_x0000_s6814" style="position:absolute;left:4566;top:4774;width:95;height:9" fillcolor="black" stroked="f"/>
              <v:rect id="_x0000_s6815" style="position:absolute;left:4756;top:4774;width:96;height:9" fillcolor="black" stroked="f"/>
              <v:rect id="_x0000_s6816" style="position:absolute;left:4947;top:4774;width:95;height:9" fillcolor="black" stroked="f"/>
              <v:rect id="_x0000_s6817" style="position:absolute;left:5137;top:4774;width:95;height:9" fillcolor="black" stroked="f"/>
              <v:rect id="_x0000_s6818" style="position:absolute;left:5327;top:4774;width:95;height:9" fillcolor="black" stroked="f"/>
              <v:rect id="_x0000_s6819" style="position:absolute;left:3742;top:4774;width:31;height:9" fillcolor="black" stroked="f"/>
              <v:rect id="_x0000_s6820" style="position:absolute;left:3932;top:4774;width:32;height:9" fillcolor="black" stroked="f"/>
              <v:rect id="_x0000_s6821" style="position:absolute;left:4122;top:4774;width:32;height:9" fillcolor="black" stroked="f"/>
              <v:rect id="_x0000_s6822" style="position:absolute;left:4312;top:4774;width:32;height:9" fillcolor="black" stroked="f"/>
              <v:rect id="_x0000_s6823" style="position:absolute;left:4503;top:4774;width:31;height:9" fillcolor="black" stroked="f"/>
              <v:rect id="_x0000_s6824" style="position:absolute;left:4693;top:4774;width:32;height:9" fillcolor="black" stroked="f"/>
              <v:rect id="_x0000_s6825" style="position:absolute;left:4883;top:4774;width:32;height:9" fillcolor="black" stroked="f"/>
              <v:rect id="_x0000_s6826" style="position:absolute;left:5073;top:4774;width:32;height:9" fillcolor="black" stroked="f"/>
              <v:rect id="_x0000_s6827" style="position:absolute;left:5264;top:4774;width:31;height:9" fillcolor="black" stroked="f"/>
              <v:rect id="_x0000_s6828" style="position:absolute;left:5486;top:4765;width:676;height:27" fillcolor="black" stroked="f"/>
              <v:rect id="_x0000_s6829" style="position:absolute;left:6162;top:4774;width:21;height:9" fillcolor="black" stroked="f"/>
              <v:rect id="_x0000_s6830" style="position:absolute;left:6278;top:4774;width:96;height:9" fillcolor="black" stroked="f"/>
              <v:rect id="_x0000_s6831" style="position:absolute;left:6469;top:4774;width:95;height:9" fillcolor="black" stroked="f"/>
              <v:rect id="_x0000_s6832" style="position:absolute;left:6659;top:4774;width:95;height:9" fillcolor="black" stroked="f"/>
              <v:rect id="_x0000_s6833" style="position:absolute;left:6849;top:4774;width:95;height:9" fillcolor="black" stroked="f"/>
              <v:rect id="_x0000_s6834" style="position:absolute;left:7039;top:4774;width:96;height:9" fillcolor="black" stroked="f"/>
              <v:rect id="_x0000_s6835" style="position:absolute;left:7230;top:4774;width:95;height:9" fillcolor="black" stroked="f"/>
              <v:rect id="_x0000_s6836" style="position:absolute;left:7420;top:4774;width:95;height:9" fillcolor="black" stroked="f"/>
              <v:rect id="_x0000_s6837" style="position:absolute;left:7610;top:4774;width:95;height:9" fillcolor="black" stroked="f"/>
              <v:rect id="_x0000_s6838" style="position:absolute;left:7800;top:4774;width:96;height:9" fillcolor="black" stroked="f"/>
              <v:rect id="_x0000_s6839" style="position:absolute;left:7991;top:4774;width:10;height:9" fillcolor="black" stroked="f"/>
              <v:rect id="_x0000_s6840" style="position:absolute;left:6215;top:4774;width:32;height:9" fillcolor="black" stroked="f"/>
              <v:rect id="_x0000_s6841" style="position:absolute;left:6405;top:4774;width:32;height:9" fillcolor="black" stroked="f"/>
              <v:rect id="_x0000_s6842" style="position:absolute;left:6596;top:4774;width:31;height:9" fillcolor="black" stroked="f"/>
              <v:rect id="_x0000_s6843" style="position:absolute;left:6786;top:4774;width:31;height:9" fillcolor="black" stroked="f"/>
              <v:rect id="_x0000_s6844" style="position:absolute;left:6976;top:4774;width:32;height:9" fillcolor="black" stroked="f"/>
              <v:rect id="_x0000_s6845" style="position:absolute;left:7166;top:4774;width:32;height:9" fillcolor="black" stroked="f"/>
              <v:rect id="_x0000_s6846" style="position:absolute;left:7357;top:4774;width:31;height:9" fillcolor="black" stroked="f"/>
              <v:rect id="_x0000_s6847" style="position:absolute;left:7547;top:4774;width:31;height:9" fillcolor="black" stroked="f"/>
              <v:rect id="_x0000_s6848" style="position:absolute;left:7737;top:4774;width:32;height:9" fillcolor="black" stroked="f"/>
              <v:rect id="_x0000_s6849" style="position:absolute;left:7927;top:4774;width:32;height:9" fillcolor="black" stroked="f"/>
              <v:rect id="_x0000_s6850" style="position:absolute;left:8033;top:4765;width:2209;height:27" fillcolor="black" stroked="f"/>
              <v:line id="_x0000_s6851" style="position:absolute" from="3012,3361" to="3012,4765" strokeweight="0"/>
              <v:rect id="_x0000_s6852" style="position:absolute;left:3012;top:3361;width:11;height:1404" fillcolor="black" stroked="f"/>
              <v:rect id="_x0000_s6853" style="position:absolute;left:5454;top:3841;width:32;height:951" fillcolor="black" stroked="f"/>
              <v:rect id="_x0000_s6854" style="position:absolute;left:8001;top:3841;width:32;height:951" fillcolor="black" stroked="f"/>
              <v:line id="_x0000_s6855" style="position:absolute" from="3012,4792" to="3012,4946" strokeweight="0"/>
              <v:rect id="_x0000_s6856" style="position:absolute;left:3012;top:4792;width:11;height:154" fillcolor="black" stroked="f"/>
              <v:line id="_x0000_s6857" style="position:absolute" from="5465,4792" to="5465,4946" strokeweight="0"/>
              <v:rect id="_x0000_s6858" style="position:absolute;left:5465;top:4792;width:10;height:154" fillcolor="black" stroked="f"/>
              <v:line id="_x0000_s6859" style="position:absolute" from="8012,4792" to="8012,4946" strokeweight="0"/>
              <v:rect id="_x0000_s6860" style="position:absolute;left:8012;top:4792;width:10;height:154" fillcolor="black" stroked="f"/>
              <v:rect id="_x0000_s6861" style="position:absolute;left:12282;top:3841;width:21;height:1105" fillcolor="black" stroked="f"/>
              <v:line id="_x0000_s6862" style="position:absolute" from="2907,4620" to="2907,4946" strokeweight="0"/>
              <v:rect id="_x0000_s6863" style="position:absolute;left:2907;top:4620;width:10;height:326" fillcolor="black" stroked="f"/>
              <v:rect id="_x0000_s6864" style="position:absolute;left:4027;top:3814;width:32;height:498" fillcolor="black" stroked="f"/>
              <v:rect id="_x0000_s6865" style="position:absolute;left:6130;top:4285;width:32;height:507" fillcolor="black" stroked="f"/>
              <v:rect id="_x0000_s6866" style="position:absolute;left:10559;top:3814;width:32;height:498" fillcolor="black" stroked="f"/>
              <v:line id="_x0000_s6867" style="position:absolute" from="4640,1766" to="4640,3161" strokeweight="0"/>
              <v:rect id="_x0000_s6868" style="position:absolute;left:4640;top:1766;width:11;height:1395" fillcolor="black" stroked="f"/>
              <v:line id="_x0000_s6869" style="position:absolute" from="7187,1766" to="7187,3007" strokeweight="0"/>
              <v:rect id="_x0000_s6870" style="position:absolute;left:7187;top:1766;width:11;height:1241" fillcolor="black" stroked="f"/>
              <v:line id="_x0000_s6871" style="position:absolute" from="11616,1766" to="11616,3007" strokeweight="0"/>
              <v:rect id="_x0000_s6872" style="position:absolute;left:11616;top:1766;width:11;height:1241" fillcolor="black" stroked="f"/>
              <v:rect id="_x0000_s6873" style="position:absolute;left:9534;top:3035;width:32;height:326" fillcolor="black" stroked="f"/>
              <v:rect id="_x0000_s6874" style="position:absolute;left:6479;top:3814;width:32;height:498" fillcolor="black" stroked="f"/>
              <v:rect id="_x0000_s6875" style="position:absolute;left:3678;top:4285;width:32;height:507" fillcolor="black" stroked="f"/>
              <v:rect id="_x0000_s6876" style="position:absolute;left:10210;top:4285;width:32;height:507" fillcolor="black" stroked="f"/>
              <v:line id="_x0000_s6877" style="position:absolute" from="201,462" to="2917,462" strokecolor="#00b0f0" strokeweight="0"/>
              <v:rect id="_x0000_s6878" style="position:absolute;left:201;top:462;width:2716;height:9" fillcolor="#00b0f0" stroked="f"/>
              <v:rect id="_x0000_s6879" style="position:absolute;left:11637;top:616;width:666;height:27" fillcolor="#00b0f0" stroked="f"/>
              <v:line id="_x0000_s6880" style="position:absolute" from="1860,779" to="2917,779" strokecolor="#00b0f0" strokeweight="0"/>
              <v:rect id="_x0000_s6881" style="position:absolute;left:1860;top:779;width:1057;height:9" fillcolor="#00b0f0" stroked="f"/>
              <v:rect id="_x0000_s6882" style="position:absolute;left:11637;top:942;width:64;height:9" fillcolor="black" stroked="f"/>
              <v:rect id="_x0000_s6883" style="position:absolute;left:11796;top:942;width:95;height:9" fillcolor="black" stroked="f"/>
              <v:rect id="_x0000_s6884" style="position:absolute;left:11986;top:942;width:95;height:9" fillcolor="black" stroked="f"/>
              <v:rect id="_x0000_s6885" style="position:absolute;left:12176;top:942;width:95;height:9" fillcolor="black" stroked="f"/>
              <v:rect id="_x0000_s6886" style="position:absolute;left:11732;top:942;width:32;height:9" fillcolor="black" stroked="f"/>
              <v:rect id="_x0000_s6887" style="position:absolute;left:11923;top:942;width:31;height:9" fillcolor="black" stroked="f"/>
              <v:rect id="_x0000_s6888" style="position:absolute;left:12113;top:942;width:32;height:9" fillcolor="black" stroked="f"/>
              <v:line id="_x0000_s6889" style="position:absolute" from="877,1105" to="2917,1105" strokecolor="#00b0f0" strokeweight="0"/>
              <v:rect id="_x0000_s6890" style="position:absolute;left:877;top:1105;width:2040;height:9" fillcolor="#00b0f0" stroked="f"/>
              <v:line id="_x0000_s6891" style="position:absolute" from="877,1259" to="2917,1259" strokecolor="#00b0f0" strokeweight="0"/>
              <v:rect id="_x0000_s6892" style="position:absolute;left:877;top:1259;width:2040;height:9" fillcolor="#00b0f0" stroked="f"/>
              <v:rect id="_x0000_s6893" style="position:absolute;left:11637;top:1413;width:666;height:27" fillcolor="#00b0f0" stroked="f"/>
              <v:line id="_x0000_s6894" style="position:absolute" from="1860,1585" to="2917,1585" strokecolor="#00b0f0" strokeweight="0"/>
              <v:rect id="_x0000_s6895" style="position:absolute;left:1860;top:1585;width:1057;height:9" fillcolor="#00b0f0" stroked="f"/>
              <v:rect id="_x0000_s6896" style="position:absolute;left:11637;top:1748;width:64;height:9" fillcolor="black" stroked="f"/>
              <v:rect id="_x0000_s6897" style="position:absolute;left:11796;top:1748;width:95;height:9" fillcolor="black" stroked="f"/>
              <v:rect id="_x0000_s6898" style="position:absolute;left:11986;top:1748;width:95;height:9" fillcolor="black" stroked="f"/>
              <v:rect id="_x0000_s6899" style="position:absolute;left:12176;top:1748;width:95;height:9" fillcolor="black" stroked="f"/>
              <v:rect id="_x0000_s6900" style="position:absolute;left:11732;top:1748;width:32;height:9" fillcolor="black" stroked="f"/>
              <v:rect id="_x0000_s6901" style="position:absolute;left:11923;top:1748;width:31;height:9" fillcolor="black" stroked="f"/>
              <v:rect id="_x0000_s6902" style="position:absolute;left:12113;top:1748;width:32;height:9" fillcolor="black" stroked="f"/>
              <v:line id="_x0000_s6903" style="position:absolute" from="1860,1911" to="2917,1911" strokecolor="#00b0f0" strokeweight="0"/>
              <v:rect id="_x0000_s6904" style="position:absolute;left:1860;top:1911;width:1057;height:9" fillcolor="#00b0f0" stroked="f"/>
              <v:rect id="_x0000_s6905" style="position:absolute;left:11627;top:2074;width:74;height:9" fillcolor="black" stroked="f"/>
              <v:rect id="_x0000_s6906" style="position:absolute;left:11796;top:2074;width:95;height:9" fillcolor="black" stroked="f"/>
              <v:rect id="_x0000_s6907" style="position:absolute;left:11986;top:2074;width:95;height:9" fillcolor="black" stroked="f"/>
              <v:rect id="_x0000_s6908" style="position:absolute;left:12176;top:2074;width:95;height:9" fillcolor="black" stroked="f"/>
              <v:rect id="_x0000_s6909" style="position:absolute;left:11732;top:2074;width:32;height:9" fillcolor="black" stroked="f"/>
              <v:rect id="_x0000_s6910" style="position:absolute;left:11923;top:2074;width:31;height:9" fillcolor="black" stroked="f"/>
              <v:rect id="_x0000_s6911" style="position:absolute;left:12113;top:2074;width:32;height:9" fillcolor="black" stroked="f"/>
              <v:line id="_x0000_s6912" style="position:absolute" from="201,2237" to="2917,2237" strokecolor="#00b0f0" strokeweight="0"/>
              <v:rect id="_x0000_s6913" style="position:absolute;left:201;top:2237;width:2716;height:10" fillcolor="#00b0f0" stroked="f"/>
              <v:line id="_x0000_s6914" style="position:absolute" from="201,2853" to="2917,2853" strokeweight="0"/>
              <v:rect id="_x0000_s6915" style="position:absolute;left:201;top:2853;width:2716;height:10" fillcolor="black" stroked="f"/>
              <v:rect id="_x0000_s6916" style="position:absolute;left:11616;top:3007;width:687;height:28" fillcolor="black" stroked="f"/>
            </v:group>
            <v:rect id="_x0000_s6918" style="position:absolute;left:4640;top:3161;width:1522;height:28" fillcolor="black" stroked="f"/>
            <v:rect id="_x0000_s6919" style="position:absolute;left:10654;top:3343;width:95;height:9" fillcolor="black" stroked="f"/>
            <v:rect id="_x0000_s6920" style="position:absolute;left:10845;top:3343;width:95;height:9" fillcolor="black" stroked="f"/>
            <v:rect id="_x0000_s6921" style="position:absolute;left:11035;top:3343;width:95;height:9" fillcolor="black" stroked="f"/>
            <v:rect id="_x0000_s6922" style="position:absolute;left:11225;top:3343;width:95;height:9" fillcolor="black" stroked="f"/>
            <v:rect id="_x0000_s6923" style="position:absolute;left:11415;top:3343;width:95;height:9" fillcolor="black" stroked="f"/>
            <v:rect id="_x0000_s6924" style="position:absolute;left:11606;top:3343;width:95;height:9" fillcolor="black" stroked="f"/>
            <v:rect id="_x0000_s6925" style="position:absolute;left:11796;top:3343;width:95;height:9" fillcolor="black" stroked="f"/>
            <v:rect id="_x0000_s6926" style="position:absolute;left:11986;top:3343;width:95;height:9" fillcolor="black" stroked="f"/>
            <v:rect id="_x0000_s6927" style="position:absolute;left:12176;top:3343;width:95;height:9" fillcolor="black" stroked="f"/>
            <v:rect id="_x0000_s6928" style="position:absolute;left:10591;top:3343;width:32;height:9" fillcolor="black" stroked="f"/>
            <v:rect id="_x0000_s6929" style="position:absolute;left:10781;top:3343;width:32;height:9" fillcolor="black" stroked="f"/>
            <v:rect id="_x0000_s6930" style="position:absolute;left:10971;top:3343;width:32;height:9" fillcolor="black" stroked="f"/>
            <v:rect id="_x0000_s6931" style="position:absolute;left:11162;top:3343;width:31;height:9" fillcolor="black" stroked="f"/>
            <v:rect id="_x0000_s6932" style="position:absolute;left:11352;top:3343;width:32;height:9" fillcolor="black" stroked="f"/>
            <v:rect id="_x0000_s6933" style="position:absolute;left:11542;top:3343;width:32;height:9" fillcolor="black" stroked="f"/>
            <v:rect id="_x0000_s6934" style="position:absolute;left:11732;top:3343;width:32;height:9" fillcolor="black" stroked="f"/>
            <v:rect id="_x0000_s6935" style="position:absolute;left:11923;top:3343;width:31;height:9" fillcolor="black" stroked="f"/>
            <v:rect id="_x0000_s6936" style="position:absolute;left:12113;top:3343;width:32;height:9" fillcolor="black" stroked="f"/>
            <v:line id="_x0000_s6937" style="position:absolute" from="877,3506" to="2917,3506" strokeweight="0"/>
            <v:rect id="_x0000_s6938" style="position:absolute;left:877;top:3506;width:2040;height:9" fillcolor="black" stroked="f"/>
            <v:line id="_x0000_s6939" style="position:absolute" from="877,3660" to="2917,3660" strokeweight="0"/>
            <v:rect id="_x0000_s6940" style="position:absolute;left:877;top:3660;width:2040;height:9" fillcolor="black" stroked="f"/>
            <v:rect id="_x0000_s6941" style="position:absolute;left:10591;top:3814;width:1712;height:27" fillcolor="black" stroked="f"/>
            <v:line id="_x0000_s6942" style="position:absolute" from="1860,3977" to="2917,3977" strokeweight="0"/>
            <v:rect id="_x0000_s6943" style="position:absolute;left:1860;top:3977;width:1057;height:9" fillcolor="black" stroked="f"/>
            <v:line id="_x0000_s6944" style="position:absolute" from="1860,4131" to="2917,4131" strokeweight="0"/>
            <v:rect id="_x0000_s6945" style="position:absolute;left:1860;top:4131;width:1057;height:9" fillcolor="black" stroked="f"/>
            <v:rect id="_x0000_s6946" style="position:absolute;left:10654;top:4294;width:95;height:9" fillcolor="black" stroked="f"/>
            <v:rect id="_x0000_s6947" style="position:absolute;left:10845;top:4294;width:95;height:9" fillcolor="black" stroked="f"/>
            <v:rect id="_x0000_s6948" style="position:absolute;left:11035;top:4294;width:95;height:9" fillcolor="black" stroked="f"/>
            <v:rect id="_x0000_s6949" style="position:absolute;left:11225;top:4294;width:95;height:9" fillcolor="black" stroked="f"/>
            <v:rect id="_x0000_s6950" style="position:absolute;left:11415;top:4294;width:95;height:9" fillcolor="black" stroked="f"/>
            <v:rect id="_x0000_s6951" style="position:absolute;left:11606;top:4294;width:95;height:9" fillcolor="black" stroked="f"/>
            <v:rect id="_x0000_s6952" style="position:absolute;left:11796;top:4294;width:95;height:9" fillcolor="black" stroked="f"/>
            <v:rect id="_x0000_s6953" style="position:absolute;left:11986;top:4294;width:95;height:9" fillcolor="black" stroked="f"/>
            <v:rect id="_x0000_s6954" style="position:absolute;left:12176;top:4294;width:95;height:9" fillcolor="black" stroked="f"/>
            <v:rect id="_x0000_s6955" style="position:absolute;left:10591;top:4294;width:32;height:9" fillcolor="black" stroked="f"/>
            <v:rect id="_x0000_s6956" style="position:absolute;left:10781;top:4294;width:32;height:9" fillcolor="black" stroked="f"/>
            <v:rect id="_x0000_s6957" style="position:absolute;left:10971;top:4294;width:32;height:9" fillcolor="black" stroked="f"/>
            <v:rect id="_x0000_s6958" style="position:absolute;left:11162;top:4294;width:31;height:9" fillcolor="black" stroked="f"/>
            <v:rect id="_x0000_s6959" style="position:absolute;left:11352;top:4294;width:32;height:9" fillcolor="black" stroked="f"/>
            <v:rect id="_x0000_s6960" style="position:absolute;left:11542;top:4294;width:32;height:9" fillcolor="black" stroked="f"/>
            <v:rect id="_x0000_s6961" style="position:absolute;left:11732;top:4294;width:32;height:9" fillcolor="black" stroked="f"/>
            <v:rect id="_x0000_s6962" style="position:absolute;left:11923;top:4294;width:31;height:9" fillcolor="black" stroked="f"/>
            <v:rect id="_x0000_s6963" style="position:absolute;left:12113;top:4294;width:32;height:9" fillcolor="black" stroked="f"/>
            <v:line id="_x0000_s6964" style="position:absolute" from="1860,4457" to="2917,4457" strokeweight="0"/>
            <v:rect id="_x0000_s6965" style="position:absolute;left:1860;top:4457;width:1057;height:9" fillcolor="black" stroked="f"/>
            <v:line id="_x0000_s6966" style="position:absolute" from="1860,4611" to="2917,4611" strokeweight="0"/>
            <v:rect id="_x0000_s6967" style="position:absolute;left:1860;top:4611;width:1057;height:9" fillcolor="black" stroked="f"/>
            <v:rect id="_x0000_s6968" style="position:absolute;left:10274;top:4774;width:95;height:9" fillcolor="black" stroked="f"/>
            <v:rect id="_x0000_s6969" style="position:absolute;left:10464;top:4774;width:95;height:9" fillcolor="black" stroked="f"/>
            <v:rect id="_x0000_s6970" style="position:absolute;left:10654;top:4774;width:95;height:9" fillcolor="black" stroked="f"/>
            <v:rect id="_x0000_s6971" style="position:absolute;left:10845;top:4774;width:95;height:9" fillcolor="black" stroked="f"/>
            <v:rect id="_x0000_s6972" style="position:absolute;left:11035;top:4774;width:95;height:9" fillcolor="black" stroked="f"/>
            <v:rect id="_x0000_s6973" style="position:absolute;left:11225;top:4774;width:95;height:9" fillcolor="black" stroked="f"/>
            <v:rect id="_x0000_s6974" style="position:absolute;left:11415;top:4774;width:95;height:9" fillcolor="black" stroked="f"/>
            <v:rect id="_x0000_s6975" style="position:absolute;left:11606;top:4774;width:95;height:9" fillcolor="black" stroked="f"/>
            <v:rect id="_x0000_s6976" style="position:absolute;left:11796;top:4774;width:95;height:9" fillcolor="black" stroked="f"/>
            <v:rect id="_x0000_s6977" style="position:absolute;left:11986;top:4774;width:95;height:9" fillcolor="black" stroked="f"/>
            <v:rect id="_x0000_s6978" style="position:absolute;left:12176;top:4774;width:95;height:9" fillcolor="black" stroked="f"/>
            <v:rect id="_x0000_s6979" style="position:absolute;left:10401;top:4774;width:31;height:9" fillcolor="black" stroked="f"/>
            <v:rect id="_x0000_s6980" style="position:absolute;left:10591;top:4774;width:32;height:9" fillcolor="black" stroked="f"/>
            <v:rect id="_x0000_s6981" style="position:absolute;left:10781;top:4774;width:32;height:9" fillcolor="black" stroked="f"/>
            <v:rect id="_x0000_s6982" style="position:absolute;left:10971;top:4774;width:32;height:9" fillcolor="black" stroked="f"/>
            <v:rect id="_x0000_s6983" style="position:absolute;left:11162;top:4774;width:31;height:9" fillcolor="black" stroked="f"/>
            <v:rect id="_x0000_s6984" style="position:absolute;left:11352;top:4774;width:32;height:9" fillcolor="black" stroked="f"/>
            <v:rect id="_x0000_s6985" style="position:absolute;left:11542;top:4774;width:32;height:9" fillcolor="black" stroked="f"/>
            <v:rect id="_x0000_s6986" style="position:absolute;left:11732;top:4774;width:32;height:9" fillcolor="black" stroked="f"/>
            <v:rect id="_x0000_s6987" style="position:absolute;left:11923;top:4774;width:31;height:9" fillcolor="black" stroked="f"/>
            <v:rect id="_x0000_s6988" style="position:absolute;left:12113;top:4774;width:32;height:9" fillcolor="black" stroked="f"/>
            <v:line id="_x0000_s6989" style="position:absolute" from="201,4937" to="2917,4937" strokeweight="0"/>
            <v:rect id="_x0000_s6990" style="position:absolute;left:201;top:4937;width:2716;height:9" fillcolor="black" stroked="f"/>
            <v:shape id="_x0000_s6991" style="position:absolute;left:6141;top:3016;width:1046;height:327" coordsize="1046,327" path="m1046,r-42,l,318r,9l42,327,1046,10r,-10xe" fillcolor="black" strokeweight="0">
              <v:path arrowok="t"/>
            </v:shape>
            <v:shape id="_x0000_s6992" style="position:absolute;left:10570;top:3016;width:1046;height:327" coordsize="1046,327" path="m1046,r-42,l,318r,9l42,327,1046,10r,-10xe" fillcolor="black" strokeweight="0">
              <v:path arrowok="t"/>
            </v:shape>
            <v:shape id="_x0000_s6993" style="position:absolute;left:4038;top:3170;width:602;height:173" coordsize="602,173" path="m602,l560,,,164r,9l42,173,602,10,602,xe" fillcolor="black" strokeweight="0">
              <v:path arrowok="t"/>
            </v:shape>
            <v:rect id="_x0000_s6994" style="position:absolute;left:3790;top:2263;width:514;height:240;mso-wrap-style:none" filled="f" stroked="f">
              <v:textbox style="mso-rotate-with-shape:t;mso-fit-shape-to-text:t" inset="0,0,0,0">
                <w:txbxContent>
                  <w:p w:rsidR="00A905B7" w:rsidRPr="00361576" w:rsidRDefault="00A905B7">
                    <w:pPr>
                      <w:rPr>
                        <w:color w:val="C00000"/>
                      </w:rPr>
                    </w:pPr>
                    <w:r w:rsidRPr="00361576">
                      <w:rPr>
                        <w:rFonts w:ascii="Calibri" w:hAnsi="Calibri" w:cs="Calibri"/>
                        <w:color w:val="C00000"/>
                        <w:sz w:val="14"/>
                        <w:szCs w:val="14"/>
                        <w:lang w:val="en-US"/>
                      </w:rPr>
                      <w:t>standstill</w:t>
                    </w:r>
                  </w:p>
                </w:txbxContent>
              </v:textbox>
            </v:rect>
            <v:rect id="_x0000_s6995" style="position:absolute;left:3632;top:2426;width:770;height:240;mso-wrap-style:none" filled="f" stroked="f">
              <v:textbox style="mso-rotate-with-shape:t;mso-fit-shape-to-text:t" inset="0,0,0,0">
                <w:txbxContent>
                  <w:p w:rsidR="00A905B7" w:rsidRPr="00361576" w:rsidRDefault="00A905B7">
                    <w:pPr>
                      <w:rPr>
                        <w:color w:val="C00000"/>
                      </w:rPr>
                    </w:pPr>
                    <w:r w:rsidRPr="00361576">
                      <w:rPr>
                        <w:rFonts w:ascii="Calibri" w:hAnsi="Calibri" w:cs="Calibri"/>
                        <w:color w:val="C00000"/>
                        <w:sz w:val="14"/>
                        <w:szCs w:val="14"/>
                        <w:lang w:val="en-US"/>
                      </w:rPr>
                      <w:t>of the vehicle</w:t>
                    </w:r>
                  </w:p>
                </w:txbxContent>
              </v:textbox>
            </v:rect>
            <v:shape id="_x0000_s6996" style="position:absolute;left:4139;top:2607;width:496;height:563" coordsize="496,563" path="m9,l458,513r-8,5l,5,9,xm479,484r17,79l411,527r68,-43xe" fillcolor="#a6a6a6" strokecolor="#c00000" strokeweight=".05pt">
              <v:path arrowok="t"/>
              <o:lock v:ext="edit" verticies="t"/>
            </v:shape>
            <v:rect id="_x0000_s6997" style="position:absolute;left:8022;top:2464;width:1522;height:272" filled="f" strokecolor="#c00000" strokeweight=".55pt">
              <v:stroke joinstyle="round"/>
            </v:rect>
            <v:rect id="_x0000_s6998" style="position:absolute;left:8327;top:2507;width:814;height:240;mso-wrap-style:none" filled="f" stroked="f">
              <v:textbox style="mso-rotate-with-shape:t;mso-fit-shape-to-text:t" inset="0,0,0,0">
                <w:txbxContent>
                  <w:p w:rsidR="00A905B7" w:rsidRPr="00361576" w:rsidRDefault="00A905B7">
                    <w:pPr>
                      <w:rPr>
                        <w:color w:val="C00000"/>
                      </w:rPr>
                    </w:pPr>
                    <w:r w:rsidRPr="00361576">
                      <w:rPr>
                        <w:rFonts w:ascii="Calibri" w:hAnsi="Calibri" w:cs="Calibri"/>
                        <w:color w:val="C00000"/>
                        <w:sz w:val="14"/>
                        <w:szCs w:val="14"/>
                        <w:lang w:val="en-US"/>
                      </w:rPr>
                      <w:t>&gt; 36 op. hours</w:t>
                    </w:r>
                  </w:p>
                </w:txbxContent>
              </v:textbox>
            </v:rect>
            <v:shape id="_x0000_s6999" style="position:absolute;left:8001;top:2709;width:1565;height:73" coordsize="1565,73" path="m71,31r1424,l1495,40,71,40r,-9xm85,73l,36,85,r,73xm1480,r85,36l1480,73r,-73xe" fillcolor="#a6a6a6" strokecolor="#c00000" strokeweight=".05pt">
              <v:path arrowok="t"/>
              <o:lock v:ext="edit" verticies="t"/>
            </v:shape>
            <v:rect id="_x0000_s7000" style="position:absolute;left:6146;top:1834;width:1026;height:435" stroked="f"/>
            <v:rect id="_x0000_s7001" style="position:absolute;left:6190;top:1882;width:835;height:240;mso-wrap-style:none" filled="f" stroked="f">
              <v:textbox style="mso-rotate-with-shape:t;mso-fit-shape-to-text:t" inset="0,0,0,0">
                <w:txbxContent>
                  <w:p w:rsidR="00A905B7" w:rsidRDefault="00A905B7">
                    <w:r>
                      <w:rPr>
                        <w:rFonts w:ascii="Calibri" w:hAnsi="Calibri" w:cs="Calibri"/>
                        <w:color w:val="000000"/>
                        <w:sz w:val="14"/>
                        <w:szCs w:val="14"/>
                        <w:lang w:val="en-US"/>
                      </w:rPr>
                      <w:t>30min op.time</w:t>
                    </w:r>
                  </w:p>
                </w:txbxContent>
              </v:textbox>
            </v:rect>
            <v:rect id="_x0000_s7002" style="position:absolute;left:6253;top:2045;width:774;height:240;mso-wrap-style:none" filled="f" stroked="f">
              <v:textbox style="mso-rotate-with-shape:t;mso-fit-shape-to-text:t" inset="0,0,0,0">
                <w:txbxContent>
                  <w:p w:rsidR="00A905B7" w:rsidRDefault="00A905B7">
                    <w:r>
                      <w:rPr>
                        <w:rFonts w:ascii="Calibri" w:hAnsi="Calibri" w:cs="Calibri"/>
                        <w:color w:val="000000"/>
                        <w:sz w:val="14"/>
                        <w:szCs w:val="14"/>
                        <w:lang w:val="en-US"/>
                      </w:rPr>
                      <w:t>w/o standstill</w:t>
                    </w:r>
                  </w:p>
                </w:txbxContent>
              </v:textbox>
            </v:rect>
            <v:shape id="_x0000_s7003" style="position:absolute;left:6141;top:2247;width:1057;height:73" coordsize="1057,73" path="m71,31r916,l987,40,71,40r,-9xm85,73l,36,85,r,73xm972,r85,36l972,73,972,xe" fillcolor="black" strokeweight=".05pt">
              <v:path arrowok="t"/>
              <o:lock v:ext="edit" verticies="t"/>
            </v:shape>
            <v:rect id="_x0000_s7004" style="position:absolute;left:10580;top:1857;width:1026;height:435" filled="f" strokecolor="#a6a6a6" strokeweight=".55pt">
              <v:stroke joinstyle="round"/>
            </v:rect>
            <v:rect id="_x0000_s7005" style="position:absolute;left:10618;top:1900;width:835;height:240;mso-wrap-style:none" filled="f" stroked="f">
              <v:textbox style="mso-rotate-with-shape:t;mso-fit-shape-to-text:t" inset="0,0,0,0">
                <w:txbxContent>
                  <w:p w:rsidR="00A905B7" w:rsidRPr="00361576" w:rsidRDefault="00A905B7">
                    <w:pPr>
                      <w:rPr>
                        <w:color w:val="C00000"/>
                      </w:rPr>
                    </w:pPr>
                    <w:r w:rsidRPr="00361576">
                      <w:rPr>
                        <w:rFonts w:ascii="Calibri" w:hAnsi="Calibri" w:cs="Calibri"/>
                        <w:color w:val="C00000"/>
                        <w:sz w:val="14"/>
                        <w:szCs w:val="14"/>
                        <w:lang w:val="en-US"/>
                      </w:rPr>
                      <w:t>30min op.time</w:t>
                    </w:r>
                  </w:p>
                </w:txbxContent>
              </v:textbox>
            </v:rect>
            <v:rect id="_x0000_s7006" style="position:absolute;left:10682;top:2064;width:774;height:240;mso-wrap-style:none" filled="f" stroked="f">
              <v:textbox style="mso-rotate-with-shape:t;mso-fit-shape-to-text:t" inset="0,0,0,0">
                <w:txbxContent>
                  <w:p w:rsidR="00A905B7" w:rsidRPr="00361576" w:rsidRDefault="00A905B7">
                    <w:pPr>
                      <w:rPr>
                        <w:color w:val="C00000"/>
                      </w:rPr>
                    </w:pPr>
                    <w:r w:rsidRPr="00361576">
                      <w:rPr>
                        <w:rFonts w:ascii="Calibri" w:hAnsi="Calibri" w:cs="Calibri"/>
                        <w:color w:val="C00000"/>
                        <w:sz w:val="14"/>
                        <w:szCs w:val="14"/>
                        <w:lang w:val="en-US"/>
                      </w:rPr>
                      <w:t>w/o standstill</w:t>
                    </w:r>
                  </w:p>
                </w:txbxContent>
              </v:textbox>
            </v:rect>
            <v:shape id="_x0000_s7007" style="position:absolute;left:10559;top:2265;width:1057;height:73" coordsize="1057,73" path="m71,31r916,l987,40,71,40r,-9xm85,73l,36,85,r,73xm973,r84,36l973,73,973,xe" fillcolor="#a6a6a6" strokecolor="#c00000" strokeweight=".05pt">
              <v:path arrowok="t"/>
              <o:lock v:ext="edit" verticies="t"/>
            </v:shape>
            <v:rect id="_x0000_s7008" style="position:absolute;left:5079;top:2459;width:1522;height:272" stroked="f"/>
            <v:rect id="_x0000_s7009" style="position:absolute;left:5389;top:2507;width:814;height:240;mso-wrap-style:none" filled="f" stroked="f">
              <v:textbox style="mso-rotate-with-shape:t;mso-fit-shape-to-text:t" inset="0,0,0,0">
                <w:txbxContent>
                  <w:p w:rsidR="00A905B7" w:rsidRDefault="00A905B7">
                    <w:r>
                      <w:rPr>
                        <w:rFonts w:ascii="Calibri" w:hAnsi="Calibri" w:cs="Calibri"/>
                        <w:color w:val="000000"/>
                        <w:sz w:val="14"/>
                        <w:szCs w:val="14"/>
                        <w:lang w:val="en-US"/>
                      </w:rPr>
                      <w:t>&lt; 36 op. hours</w:t>
                    </w:r>
                  </w:p>
                </w:txbxContent>
              </v:textbox>
            </v:rect>
            <v:line id="_x0000_s7010" style="position:absolute" from="5063,2745" to="6627,2745" strokeweight=".55pt"/>
            <v:shape id="_x0000_s7011" style="position:absolute;left:6141;top:2709;width:486;height:73" coordsize="486,73" path="m71,31r415,l486,40,71,40r,-9xm85,73l,36,85,r,73xe" fillcolor="black" strokeweight=".05pt">
              <v:path arrowok="t"/>
              <o:lock v:ext="edit" verticies="t"/>
            </v:shape>
            <v:shape id="_x0000_s7012" style="position:absolute;left:4978;top:2709;width:487;height:73" coordsize="487,73" path="m,31r417,l417,40,,40,,31xm402,r85,36l402,73,402,xe" fillcolor="black" strokeweight=".05pt">
              <v:path arrowok="t"/>
              <o:lock v:ext="edit" verticies="t"/>
            </v:shape>
            <w10:wrap type="none"/>
            <w10:anchorlock/>
          </v:group>
        </w:pic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 malfunction of the gas supply is detected while the gas supply malfunction counter is not at zero (in this use-case it indicates the value it reached in use-case 1 when the vehicle became standstill).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The service mode is activated and the counter restarts counting from zero as soon as the DTC gets the "potential" status (1</w:t>
      </w:r>
      <w:r w:rsidRPr="00B04DC3">
        <w:rPr>
          <w:vertAlign w:val="superscript"/>
        </w:rPr>
        <w:t>st</w:t>
      </w:r>
      <w:r w:rsidRPr="00B04DC3">
        <w:t xml:space="preserve"> detection: see paragraph 4.2.3.2.1.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After 30 minutes of operation without a standstill situation, the service mode becomes active and the vehicle speed is limited to 20 km/h (see paragraph 4.2.2.1.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The counter freezes at a value of 30 minutes operating time.</w:t>
      </w:r>
    </w:p>
    <w:p w:rsidR="00B4293A" w:rsidRPr="00B04DC3" w:rsidRDefault="00B4293A" w:rsidP="00B4293A">
      <w:pPr>
        <w:suppressAutoHyphens w:val="0"/>
        <w:spacing w:line="240" w:lineRule="auto"/>
      </w:pPr>
      <w:r w:rsidRPr="00B04DC3">
        <w:br w:type="page"/>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Figure A2.1.3</w:t>
      </w:r>
    </w:p>
    <w:p w:rsidR="00B4293A" w:rsidRPr="00B04DC3" w:rsidRDefault="00B4293A" w:rsidP="00B101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right="1134"/>
        <w:jc w:val="both"/>
      </w:pPr>
      <w:r w:rsidRPr="00B04DC3">
        <w:rPr>
          <w:b/>
        </w:rPr>
        <w:t>Illustration of the gas supply counter mechanism (Type 1A dual-fuel engine (HDDF)) - use-case 3</w:t>
      </w:r>
    </w:p>
    <w:p w:rsidR="005156AC" w:rsidRDefault="00A905B7"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Pr>
          <w:b/>
        </w:rPr>
        <w:pict>
          <v:shape id="_x0000_s5658" type="#_x0000_t75" style="position:absolute;left:0;text-align:left;margin-left:1.25pt;margin-top:6.35pt;width:603.15pt;height:243.55pt;z-index:251640832" wrapcoords="-26 -59 -26 21600 21626 21600 21626 -59 -26 -59" stroked="t" strokeweight=".5pt">
            <v:imagedata r:id="rId735" o:title=""/>
            <w10:wrap type="tight"/>
          </v:shape>
          <o:OLEObject Type="Embed" ProgID="Excel.Sheet.12" ShapeID="_x0000_s5658" DrawAspect="Content" ObjectID="_1498392434" r:id="rId736"/>
        </w:pict>
      </w: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5156AC" w:rsidRDefault="005156AC"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10109" w:rsidRDefault="00B10109"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10109" w:rsidRDefault="00B10109"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After 36 operating hours without detection of a malfunction of the gas supply, the counter is reset to zero (see paragraph A.2.1.2.</w:t>
      </w:r>
      <w:r w:rsidR="00644D66">
        <w:t>1.</w:t>
      </w:r>
      <w:r w:rsidRPr="00B04DC3">
        <w:t>3..1.).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 malfunction of the gas supply is again detected while the gas supply malfunction counter is at zero (1</w:t>
      </w:r>
      <w:r w:rsidRPr="00B04DC3">
        <w:rPr>
          <w:vertAlign w:val="superscript"/>
        </w:rPr>
        <w:t>st</w:t>
      </w:r>
      <w:r w:rsidRPr="00B04DC3">
        <w:t xml:space="preserve"> detection).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The service mode is activated and the counter starts counting once the DTC gets the ""confirmed and active"" status (2</w:t>
      </w:r>
      <w:r w:rsidRPr="00B04DC3">
        <w:rPr>
          <w:vertAlign w:val="superscript"/>
        </w:rPr>
        <w:t>nd</w:t>
      </w:r>
      <w:r w:rsidRPr="00B04DC3">
        <w:t xml:space="preserve"> detection).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After 30 minutes of operation without a standstill situation, the service mode becomes active and the vehicle speed is limited to 20 km/h (see paragraph 4.2.2.1.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pPr>
      <w:r w:rsidRPr="00B04DC3">
        <w:t>The counter freezes at a value of 30 minutes operating time.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right="1134"/>
        <w:jc w:val="both"/>
        <w:sectPr w:rsidR="00B4293A" w:rsidRPr="00B04DC3" w:rsidSect="00B4293A">
          <w:headerReference w:type="even" r:id="rId737"/>
          <w:headerReference w:type="default" r:id="rId738"/>
          <w:footerReference w:type="even" r:id="rId739"/>
          <w:footerReference w:type="default" r:id="rId740"/>
          <w:footnotePr>
            <w:numRestart w:val="eachSect"/>
          </w:footnotePr>
          <w:endnotePr>
            <w:numFmt w:val="decimal"/>
          </w:endnotePr>
          <w:pgSz w:w="16838" w:h="11906" w:orient="landscape"/>
          <w:pgMar w:top="1134" w:right="1701" w:bottom="1134" w:left="2268" w:header="851" w:footer="924" w:gutter="0"/>
          <w:paperSrc w:first="15" w:other="15"/>
          <w:cols w:space="708"/>
          <w:docGrid w:linePitch="360"/>
        </w:sectPr>
      </w:pP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43" w:name="_Toc316979372"/>
      <w:r w:rsidRPr="00B04DC3">
        <w:t>A.2.2.</w:t>
      </w:r>
      <w:r w:rsidRPr="00B04DC3">
        <w:tab/>
        <w:t>Illustration of the other activation and deactivation mechanisms</w:t>
      </w:r>
      <w:bookmarkEnd w:id="1843"/>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A.2.2.1.</w:t>
      </w:r>
      <w:r w:rsidRPr="00B04DC3">
        <w:tab/>
        <w:t>Empty gas tank</w:t>
      </w:r>
    </w:p>
    <w:p w:rsidR="00B4293A" w:rsidRPr="00AF5D09"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4"/>
        </w:rPr>
      </w:pPr>
      <w:r w:rsidRPr="00AF5D09">
        <w:rPr>
          <w:spacing w:val="4"/>
        </w:rPr>
        <w:tab/>
        <w:t>Figure A2.2 gives an illustration of the events occurring in the case of a dual-fuel vehicle when a gas tank becomes empty through one typical use-case.</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pPr>
      <w:r w:rsidRPr="00B04DC3">
        <w:t>Figure A2.2</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rPr>
          <w:b/>
        </w:rPr>
      </w:pPr>
      <w:r w:rsidRPr="00B04DC3">
        <w:rPr>
          <w:b/>
        </w:rPr>
        <w:t>Illustration of the events occurring in case of an empty gas tank of a dual-fuel engine/vehicle (HDDF)</w:t>
      </w:r>
    </w:p>
    <w:p w:rsidR="00B4293A" w:rsidRPr="00B04DC3" w:rsidRDefault="00A905B7" w:rsidP="00AF5D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9072"/>
        </w:tabs>
        <w:spacing w:before="120" w:after="120"/>
        <w:ind w:left="2268" w:hanging="1701"/>
        <w:jc w:val="both"/>
      </w:pPr>
      <w:r>
        <w:rPr>
          <w:noProof/>
          <w:lang w:eastAsia="en-GB"/>
        </w:rPr>
      </w:r>
      <w:r>
        <w:rPr>
          <w:noProof/>
          <w:lang w:eastAsia="en-GB"/>
        </w:rPr>
        <w:pict>
          <v:group id="_x0000_s7015" editas="canvas" style="width:433.7pt;height:284.95pt;mso-position-horizontal-relative:char;mso-position-vertical-relative:line" coordsize="7980,5244">
            <o:lock v:ext="edit" aspectratio="t"/>
            <v:shape id="_x0000_s7014" type="#_x0000_t75" style="position:absolute;width:7980;height:5244" o:preferrelative="f" stroked="t" strokeweight=".5pt">
              <v:fill o:detectmouseclick="t"/>
              <v:path o:extrusionok="t" o:connecttype="none"/>
              <o:lock v:ext="edit" text="t"/>
            </v:shape>
            <v:group id="_x0000_s7216" style="position:absolute;left:201;width:7779;height:5086" coordorigin="186,154" coordsize="7608,4936">
              <v:rect id="_x0000_s7016" style="position:absolute;left:1026;top:4148;width:193;height:221" filled="f" stroked="f">
                <v:textbox style="mso-next-textbox:#_x0000_s7016;mso-rotate-with-shape:t" inset="0,0,0,0">
                  <w:txbxContent>
                    <w:p w:rsidR="00A905B7" w:rsidRPr="00AF5D09" w:rsidRDefault="00A905B7" w:rsidP="00C56A42">
                      <w:pPr>
                        <w:rPr>
                          <w:sz w:val="22"/>
                        </w:rPr>
                      </w:pPr>
                      <w:r w:rsidRPr="00AF5D09">
                        <w:rPr>
                          <w:rFonts w:ascii="Arial" w:hAnsi="Arial" w:cs="Arial"/>
                          <w:color w:val="000000"/>
                          <w:sz w:val="13"/>
                          <w:szCs w:val="12"/>
                          <w:lang w:val="en-US"/>
                        </w:rPr>
                        <w:t>gas</w:t>
                      </w:r>
                    </w:p>
                  </w:txbxContent>
                </v:textbox>
              </v:rect>
              <v:rect id="_x0000_s7017" style="position:absolute;left:1006;top:4302;width:247;height:221" filled="f" stroked="f">
                <v:textbox style="mso-next-textbox:#_x0000_s7017;mso-rotate-with-shape:t" inset="0,0,0,0">
                  <w:txbxContent>
                    <w:p w:rsidR="00A905B7" w:rsidRPr="00AF5D09" w:rsidRDefault="00A905B7" w:rsidP="00C56A42">
                      <w:pPr>
                        <w:rPr>
                          <w:sz w:val="22"/>
                        </w:rPr>
                      </w:pPr>
                      <w:r w:rsidRPr="00AF5D09">
                        <w:rPr>
                          <w:rFonts w:ascii="Arial" w:hAnsi="Arial" w:cs="Arial"/>
                          <w:color w:val="000000"/>
                          <w:sz w:val="13"/>
                          <w:szCs w:val="12"/>
                          <w:lang w:val="en-US"/>
                        </w:rPr>
                        <w:t>level</w:t>
                      </w:r>
                    </w:p>
                  </w:txbxContent>
                </v:textbox>
              </v:rect>
              <v:rect id="_x0000_s7018" style="position:absolute;left:967;top:4456;width:293;height:221" filled="f" stroked="f">
                <v:textbox style="mso-next-textbox:#_x0000_s7018;mso-rotate-with-shape:t" inset="0,0,0,0">
                  <w:txbxContent>
                    <w:p w:rsidR="00A905B7" w:rsidRPr="00AF5D09" w:rsidRDefault="00A905B7" w:rsidP="00C56A42">
                      <w:pPr>
                        <w:rPr>
                          <w:sz w:val="22"/>
                        </w:rPr>
                      </w:pPr>
                      <w:r w:rsidRPr="00AF5D09">
                        <w:rPr>
                          <w:rFonts w:ascii="Arial" w:hAnsi="Arial" w:cs="Arial"/>
                          <w:color w:val="000000"/>
                          <w:sz w:val="13"/>
                          <w:szCs w:val="12"/>
                          <w:lang w:val="en-US"/>
                        </w:rPr>
                        <w:t xml:space="preserve">in the </w:t>
                      </w:r>
                    </w:p>
                  </w:txbxContent>
                </v:textbox>
              </v:rect>
              <v:rect id="_x0000_s7019" style="position:absolute;left:1006;top:4610;width:227;height:221" filled="f" stroked="f">
                <v:textbox style="mso-next-textbox:#_x0000_s7019;mso-rotate-with-shape:t" inset="0,0,0,0">
                  <w:txbxContent>
                    <w:p w:rsidR="00A905B7" w:rsidRPr="00AF5D09" w:rsidRDefault="00A905B7" w:rsidP="00C56A42">
                      <w:pPr>
                        <w:rPr>
                          <w:sz w:val="22"/>
                        </w:rPr>
                      </w:pPr>
                      <w:r w:rsidRPr="00AF5D09">
                        <w:rPr>
                          <w:rFonts w:ascii="Arial" w:hAnsi="Arial" w:cs="Arial"/>
                          <w:color w:val="000000"/>
                          <w:sz w:val="13"/>
                          <w:szCs w:val="12"/>
                          <w:lang w:val="en-US"/>
                        </w:rPr>
                        <w:t>tank</w:t>
                      </w:r>
                    </w:p>
                  </w:txbxContent>
                </v:textbox>
              </v:rect>
              <v:rect id="_x0000_s7020" style="position:absolute;left:1573;top:4375;width:340;height:221" filled="f" stroked="f">
                <v:textbox style="mso-next-textbox:#_x0000_s7020;mso-rotate-with-shape:t" inset="0,0,0,0">
                  <w:txbxContent>
                    <w:p w:rsidR="00A905B7" w:rsidRPr="00AF5D09" w:rsidRDefault="00A905B7" w:rsidP="00C56A42">
                      <w:pPr>
                        <w:rPr>
                          <w:sz w:val="22"/>
                        </w:rPr>
                      </w:pPr>
                      <w:r w:rsidRPr="00AF5D09">
                        <w:rPr>
                          <w:rFonts w:ascii="Arial" w:hAnsi="Arial" w:cs="Arial"/>
                          <w:color w:val="000000"/>
                          <w:sz w:val="13"/>
                          <w:szCs w:val="12"/>
                          <w:lang w:val="en-US"/>
                        </w:rPr>
                        <w:t>critical</w:t>
                      </w:r>
                    </w:p>
                  </w:txbxContent>
                </v:textbox>
              </v:rect>
              <v:rect id="_x0000_s7021" style="position:absolute;left:1582;top:4846;width:326;height:221" filled="f" stroked="f">
                <v:textbox style="mso-next-textbox:#_x0000_s7021;mso-rotate-with-shape:t" inset="0,0,0,0">
                  <w:txbxContent>
                    <w:p w:rsidR="00A905B7" w:rsidRPr="00AF5D09" w:rsidRDefault="00A905B7" w:rsidP="00C56A42">
                      <w:pPr>
                        <w:rPr>
                          <w:sz w:val="22"/>
                        </w:rPr>
                      </w:pPr>
                      <w:r w:rsidRPr="00AF5D09">
                        <w:rPr>
                          <w:rFonts w:ascii="Arial" w:hAnsi="Arial" w:cs="Arial"/>
                          <w:color w:val="000000"/>
                          <w:sz w:val="13"/>
                          <w:szCs w:val="12"/>
                          <w:lang w:val="en-US"/>
                        </w:rPr>
                        <w:t>empty</w:t>
                      </w:r>
                    </w:p>
                  </w:txbxContent>
                </v:textbox>
              </v:rect>
              <v:rect id="_x0000_s7022" style="position:absolute;left:332;top:480;width:334;height:221" filled="f" stroked="f">
                <v:textbox style="mso-next-textbox:#_x0000_s7022;mso-rotate-with-shape:t" inset="0,0,0,0">
                  <w:txbxContent>
                    <w:p w:rsidR="00A905B7" w:rsidRPr="00AF5D09" w:rsidRDefault="00A905B7" w:rsidP="00C56A42">
                      <w:pPr>
                        <w:rPr>
                          <w:sz w:val="22"/>
                        </w:rPr>
                      </w:pPr>
                      <w:r w:rsidRPr="00AF5D09">
                        <w:rPr>
                          <w:rFonts w:ascii="Arial" w:hAnsi="Arial" w:cs="Arial"/>
                          <w:color w:val="FF0000"/>
                          <w:sz w:val="13"/>
                          <w:szCs w:val="12"/>
                          <w:lang w:val="en-US"/>
                        </w:rPr>
                        <w:t>HDDF</w:t>
                      </w:r>
                    </w:p>
                  </w:txbxContent>
                </v:textbox>
              </v:rect>
              <v:rect id="_x0000_s7023" style="position:absolute;left:283;top:634;width:412;height:221" filled="f" stroked="f">
                <v:textbox style="mso-next-textbox:#_x0000_s7023;mso-rotate-with-shape:t" inset="0,0,0,0">
                  <w:txbxContent>
                    <w:p w:rsidR="00A905B7" w:rsidRPr="00AF5D09" w:rsidRDefault="00A905B7" w:rsidP="00C56A42">
                      <w:pPr>
                        <w:rPr>
                          <w:sz w:val="22"/>
                        </w:rPr>
                      </w:pPr>
                      <w:r w:rsidRPr="00AF5D09">
                        <w:rPr>
                          <w:rFonts w:ascii="Arial" w:hAnsi="Arial" w:cs="Arial"/>
                          <w:color w:val="FF0000"/>
                          <w:sz w:val="13"/>
                          <w:szCs w:val="12"/>
                          <w:lang w:val="en-US"/>
                        </w:rPr>
                        <w:t>Type .B</w:t>
                      </w:r>
                    </w:p>
                  </w:txbxContent>
                </v:textbox>
              </v:rect>
              <v:rect id="_x0000_s7024" style="position:absolute;left:332;top:1839;width:334;height:221" filled="f" stroked="f">
                <v:textbox style="mso-next-textbox:#_x0000_s7024;mso-rotate-with-shape:t" inset="0,0,0,0">
                  <w:txbxContent>
                    <w:p w:rsidR="00A905B7" w:rsidRPr="00AF5D09" w:rsidRDefault="00A905B7" w:rsidP="00C56A42">
                      <w:pPr>
                        <w:rPr>
                          <w:sz w:val="22"/>
                        </w:rPr>
                      </w:pPr>
                      <w:r w:rsidRPr="00AF5D09">
                        <w:rPr>
                          <w:rFonts w:ascii="Arial" w:hAnsi="Arial" w:cs="Arial"/>
                          <w:color w:val="00B0F0"/>
                          <w:sz w:val="13"/>
                          <w:szCs w:val="12"/>
                          <w:lang w:val="en-US"/>
                        </w:rPr>
                        <w:t>HDDF</w:t>
                      </w:r>
                    </w:p>
                  </w:txbxContent>
                </v:textbox>
              </v:rect>
              <v:rect id="_x0000_s7025" style="position:absolute;left:283;top:1993;width:412;height:221" filled="f" stroked="f">
                <v:textbox style="mso-next-textbox:#_x0000_s7025;mso-rotate-with-shape:t" inset="0,0,0,0">
                  <w:txbxContent>
                    <w:p w:rsidR="00A905B7" w:rsidRPr="00AF5D09" w:rsidRDefault="00A905B7" w:rsidP="00C56A42">
                      <w:pPr>
                        <w:rPr>
                          <w:sz w:val="22"/>
                        </w:rPr>
                      </w:pPr>
                      <w:r w:rsidRPr="00AF5D09">
                        <w:rPr>
                          <w:rFonts w:ascii="Arial" w:hAnsi="Arial" w:cs="Arial"/>
                          <w:color w:val="00B0F0"/>
                          <w:sz w:val="13"/>
                          <w:szCs w:val="12"/>
                          <w:lang w:val="en-US"/>
                        </w:rPr>
                        <w:t>Type .A</w:t>
                      </w:r>
                    </w:p>
                  </w:txbxContent>
                </v:textbox>
              </v:rect>
              <v:rect id="_x0000_s7026" style="position:absolute;left:440;top:3831;width:121;height:221" filled="f" stroked="f">
                <v:textbox style="mso-next-textbox:#_x0000_s7026;mso-rotate-with-shape:t" inset="0,0,0,0">
                  <w:txbxContent>
                    <w:p w:rsidR="00A905B7" w:rsidRPr="00AF5D09" w:rsidRDefault="00A905B7" w:rsidP="00C56A42">
                      <w:pPr>
                        <w:rPr>
                          <w:sz w:val="22"/>
                        </w:rPr>
                      </w:pPr>
                      <w:r w:rsidRPr="00AF5D09">
                        <w:rPr>
                          <w:rFonts w:ascii="Arial" w:hAnsi="Arial" w:cs="Arial"/>
                          <w:color w:val="000000"/>
                          <w:sz w:val="13"/>
                          <w:szCs w:val="12"/>
                          <w:lang w:val="en-US"/>
                        </w:rPr>
                        <w:t>all</w:t>
                      </w:r>
                    </w:p>
                  </w:txbxContent>
                </v:textbox>
              </v:rect>
              <v:rect id="_x0000_s7027" style="position:absolute;left:332;top:3985;width:334;height:221" filled="f" stroked="f">
                <v:textbox style="mso-next-textbox:#_x0000_s7027;mso-rotate-with-shape:t" inset="0,0,0,0">
                  <w:txbxContent>
                    <w:p w:rsidR="00A905B7" w:rsidRPr="00AF5D09" w:rsidRDefault="00A905B7" w:rsidP="00C56A42">
                      <w:pPr>
                        <w:rPr>
                          <w:sz w:val="22"/>
                        </w:rPr>
                      </w:pPr>
                      <w:r w:rsidRPr="00AF5D09">
                        <w:rPr>
                          <w:rFonts w:ascii="Arial" w:hAnsi="Arial" w:cs="Arial"/>
                          <w:color w:val="000000"/>
                          <w:sz w:val="13"/>
                          <w:szCs w:val="12"/>
                          <w:lang w:val="en-US"/>
                        </w:rPr>
                        <w:t>HDDF</w:t>
                      </w:r>
                    </w:p>
                  </w:txbxContent>
                </v:textbox>
              </v:rect>
              <v:rect id="_x0000_s7028" style="position:absolute;left:352;top:4139;width:286;height:221" filled="f" stroked="f">
                <v:textbox style="mso-next-textbox:#_x0000_s7028;mso-rotate-with-shape:t" inset="0,0,0,0">
                  <w:txbxContent>
                    <w:p w:rsidR="00A905B7" w:rsidRPr="00AF5D09" w:rsidRDefault="00A905B7" w:rsidP="00C56A42">
                      <w:pPr>
                        <w:rPr>
                          <w:sz w:val="22"/>
                        </w:rPr>
                      </w:pPr>
                      <w:r w:rsidRPr="00AF5D09">
                        <w:rPr>
                          <w:rFonts w:ascii="Arial" w:hAnsi="Arial" w:cs="Arial"/>
                          <w:color w:val="000000"/>
                          <w:sz w:val="13"/>
                          <w:szCs w:val="12"/>
                          <w:lang w:val="en-US"/>
                        </w:rPr>
                        <w:t>types</w:t>
                      </w:r>
                    </w:p>
                  </w:txbxContent>
                </v:textbox>
              </v:rect>
              <v:rect id="_x0000_s7029" style="position:absolute;left:869;top:480;width:500;height:221" filled="f" stroked="f">
                <v:textbox style="mso-next-textbox:#_x0000_s7029;mso-rotate-with-shape:t" inset="0,0,0,0">
                  <w:txbxContent>
                    <w:p w:rsidR="00A905B7" w:rsidRPr="00AF5D09" w:rsidRDefault="00A905B7" w:rsidP="00C56A42">
                      <w:pPr>
                        <w:rPr>
                          <w:sz w:val="22"/>
                        </w:rPr>
                      </w:pPr>
                      <w:r w:rsidRPr="00AF5D09">
                        <w:rPr>
                          <w:rFonts w:ascii="Arial" w:hAnsi="Arial" w:cs="Arial"/>
                          <w:color w:val="FF0000"/>
                          <w:sz w:val="13"/>
                          <w:szCs w:val="12"/>
                          <w:lang w:val="en-US"/>
                        </w:rPr>
                        <w:t>operating</w:t>
                      </w:r>
                    </w:p>
                  </w:txbxContent>
                </v:textbox>
              </v:rect>
              <v:rect id="_x0000_s7030" style="position:absolute;left:977;top:634;width:300;height:221" filled="f" stroked="f">
                <v:textbox style="mso-next-textbox:#_x0000_s7030;mso-rotate-with-shape:t" inset="0,0,0,0">
                  <w:txbxContent>
                    <w:p w:rsidR="00A905B7" w:rsidRPr="00AF5D09" w:rsidRDefault="00A905B7" w:rsidP="00C56A42">
                      <w:pPr>
                        <w:rPr>
                          <w:sz w:val="22"/>
                        </w:rPr>
                      </w:pPr>
                      <w:r w:rsidRPr="00AF5D09">
                        <w:rPr>
                          <w:rFonts w:ascii="Arial" w:hAnsi="Arial" w:cs="Arial"/>
                          <w:color w:val="FF0000"/>
                          <w:sz w:val="13"/>
                          <w:szCs w:val="12"/>
                          <w:lang w:val="en-US"/>
                        </w:rPr>
                        <w:t>mode</w:t>
                      </w:r>
                    </w:p>
                  </w:txbxContent>
                </v:textbox>
              </v:rect>
              <v:rect id="_x0000_s7031" style="position:absolute;left:840;top:1277;width:546;height:221" filled="f" stroked="f">
                <v:textbox style="mso-next-textbox:#_x0000_s7031;mso-rotate-with-shape:t" inset="0,0,0,0">
                  <w:txbxContent>
                    <w:p w:rsidR="00A905B7" w:rsidRPr="00AF5D09" w:rsidRDefault="00A905B7" w:rsidP="00C56A42">
                      <w:pPr>
                        <w:rPr>
                          <w:sz w:val="22"/>
                        </w:rPr>
                      </w:pPr>
                      <w:r w:rsidRPr="00AF5D09">
                        <w:rPr>
                          <w:rFonts w:ascii="Arial" w:hAnsi="Arial" w:cs="Arial"/>
                          <w:color w:val="00B0F0"/>
                          <w:sz w:val="13"/>
                          <w:szCs w:val="12"/>
                          <w:lang w:val="en-US"/>
                        </w:rPr>
                        <w:t>operability</w:t>
                      </w:r>
                    </w:p>
                  </w:txbxContent>
                </v:textbox>
              </v:rect>
              <v:rect id="_x0000_s7032" style="position:absolute;left:850;top:1431;width:519;height:221" filled="f" stroked="f">
                <v:textbox style="mso-next-textbox:#_x0000_s7032;mso-rotate-with-shape:t" inset="0,0,0,0">
                  <w:txbxContent>
                    <w:p w:rsidR="00A905B7" w:rsidRPr="00AF5D09" w:rsidRDefault="00A905B7" w:rsidP="00C56A42">
                      <w:pPr>
                        <w:rPr>
                          <w:sz w:val="22"/>
                        </w:rPr>
                      </w:pPr>
                      <w:r w:rsidRPr="00AF5D09">
                        <w:rPr>
                          <w:rFonts w:ascii="Arial" w:hAnsi="Arial" w:cs="Arial"/>
                          <w:color w:val="00B0F0"/>
                          <w:sz w:val="13"/>
                          <w:szCs w:val="12"/>
                          <w:lang w:val="en-US"/>
                        </w:rPr>
                        <w:t>restriction</w:t>
                      </w:r>
                    </w:p>
                  </w:txbxContent>
                </v:textbox>
              </v:rect>
              <v:rect id="_x0000_s7033" style="position:absolute;left:908;top:3206;width:420;height:221" filled="f" stroked="f">
                <v:textbox style="mso-next-textbox:#_x0000_s7033;mso-rotate-with-shape:t" inset="0,0,0,0">
                  <w:txbxContent>
                    <w:p w:rsidR="00A905B7" w:rsidRPr="00AF5D09" w:rsidRDefault="00A905B7" w:rsidP="00C56A42">
                      <w:pPr>
                        <w:rPr>
                          <w:sz w:val="22"/>
                        </w:rPr>
                      </w:pPr>
                      <w:r w:rsidRPr="00AF5D09">
                        <w:rPr>
                          <w:rFonts w:ascii="Arial" w:hAnsi="Arial" w:cs="Arial"/>
                          <w:color w:val="000000"/>
                          <w:sz w:val="13"/>
                          <w:szCs w:val="12"/>
                          <w:lang w:val="en-US"/>
                        </w:rPr>
                        <w:t>warning</w:t>
                      </w:r>
                    </w:p>
                  </w:txbxContent>
                </v:textbox>
              </v:rect>
              <v:rect id="_x0000_s7034" style="position:absolute;left:918;top:3360;width:379;height:221" filled="f" stroked="f">
                <v:textbox style="mso-next-textbox:#_x0000_s7034;mso-rotate-with-shape:t" inset="0,0,0,0">
                  <w:txbxContent>
                    <w:p w:rsidR="00A905B7" w:rsidRPr="00AF5D09" w:rsidRDefault="00A905B7" w:rsidP="00C56A42">
                      <w:pPr>
                        <w:rPr>
                          <w:sz w:val="22"/>
                        </w:rPr>
                      </w:pPr>
                      <w:r w:rsidRPr="00AF5D09">
                        <w:rPr>
                          <w:rFonts w:ascii="Arial" w:hAnsi="Arial" w:cs="Arial"/>
                          <w:color w:val="000000"/>
                          <w:sz w:val="13"/>
                          <w:szCs w:val="12"/>
                          <w:lang w:val="en-US"/>
                        </w:rPr>
                        <w:t>system</w:t>
                      </w:r>
                    </w:p>
                  </w:txbxContent>
                </v:textbox>
              </v:rect>
              <v:rect id="_x0000_s7035" style="position:absolute;left:1582;top:1993;width:326;height:221" filled="f" stroked="f">
                <v:textbox style="mso-next-textbox:#_x0000_s7035;mso-rotate-with-shape:t" inset="0,0,0,0">
                  <w:txbxContent>
                    <w:p w:rsidR="00A905B7" w:rsidRPr="00AF5D09" w:rsidRDefault="00A905B7" w:rsidP="00C56A42">
                      <w:pPr>
                        <w:rPr>
                          <w:sz w:val="22"/>
                        </w:rPr>
                      </w:pPr>
                      <w:r w:rsidRPr="00AF5D09">
                        <w:rPr>
                          <w:rFonts w:ascii="Arial" w:hAnsi="Arial" w:cs="Arial"/>
                          <w:color w:val="00B0F0"/>
                          <w:sz w:val="13"/>
                          <w:szCs w:val="12"/>
                          <w:lang w:val="en-US"/>
                        </w:rPr>
                        <w:t>Active</w:t>
                      </w:r>
                    </w:p>
                  </w:txbxContent>
                </v:textbox>
              </v:rect>
              <v:rect id="_x0000_s7036" style="position:absolute;left:1494;top:2319;width:493;height:221" filled="f" stroked="f">
                <v:textbox style="mso-next-textbox:#_x0000_s7036;mso-rotate-with-shape:t" inset="0,0,0,0">
                  <w:txbxContent>
                    <w:p w:rsidR="00A905B7" w:rsidRPr="00AF5D09" w:rsidRDefault="00A905B7" w:rsidP="00C56A42">
                      <w:pPr>
                        <w:rPr>
                          <w:sz w:val="22"/>
                        </w:rPr>
                      </w:pPr>
                      <w:r w:rsidRPr="00AF5D09">
                        <w:rPr>
                          <w:rFonts w:ascii="Arial" w:hAnsi="Arial" w:cs="Arial"/>
                          <w:color w:val="00B0F0"/>
                          <w:sz w:val="13"/>
                          <w:szCs w:val="12"/>
                          <w:lang w:val="en-US"/>
                        </w:rPr>
                        <w:t>Activated</w:t>
                      </w:r>
                    </w:p>
                  </w:txbxContent>
                </v:textbox>
              </v:rect>
              <v:rect id="_x0000_s7037" style="position:absolute;left:1631;top:2645;width:240;height:221" filled="f" stroked="f">
                <v:textbox style="mso-next-textbox:#_x0000_s7037;mso-rotate-with-shape:t" inset="0,0,0,0">
                  <w:txbxContent>
                    <w:p w:rsidR="00A905B7" w:rsidRPr="00AF5D09" w:rsidRDefault="00A905B7" w:rsidP="00C56A42">
                      <w:pPr>
                        <w:rPr>
                          <w:sz w:val="22"/>
                        </w:rPr>
                      </w:pPr>
                      <w:r w:rsidRPr="00AF5D09">
                        <w:rPr>
                          <w:rFonts w:ascii="Arial" w:hAnsi="Arial" w:cs="Arial"/>
                          <w:color w:val="00B0F0"/>
                          <w:sz w:val="13"/>
                          <w:szCs w:val="12"/>
                          <w:lang w:val="en-US"/>
                        </w:rPr>
                        <w:t>OFF</w:t>
                      </w:r>
                    </w:p>
                  </w:txbxContent>
                </v:textbox>
              </v:rect>
              <v:rect id="_x0000_s7038" style="position:absolute;left:918;top:2237;width:399;height:221" filled="f" stroked="f">
                <v:textbox style="mso-next-textbox:#_x0000_s7038;mso-rotate-with-shape:t" inset="0,0,0,0">
                  <w:txbxContent>
                    <w:p w:rsidR="00A905B7" w:rsidRPr="00AF5D09" w:rsidRDefault="00A905B7" w:rsidP="00C56A42">
                      <w:pPr>
                        <w:rPr>
                          <w:sz w:val="22"/>
                        </w:rPr>
                      </w:pPr>
                      <w:r w:rsidRPr="00AF5D09">
                        <w:rPr>
                          <w:rFonts w:ascii="Arial" w:hAnsi="Arial" w:cs="Arial"/>
                          <w:color w:val="00B0F0"/>
                          <w:sz w:val="13"/>
                          <w:szCs w:val="12"/>
                          <w:lang w:val="en-US"/>
                        </w:rPr>
                        <w:t>Service</w:t>
                      </w:r>
                    </w:p>
                  </w:txbxContent>
                </v:textbox>
              </v:rect>
              <v:rect id="_x0000_s7039" style="position:absolute;left:967;top:2391;width:300;height:221" filled="f" stroked="f">
                <v:textbox style="mso-next-textbox:#_x0000_s7039;mso-rotate-with-shape:t" inset="0,0,0,0">
                  <w:txbxContent>
                    <w:p w:rsidR="00A905B7" w:rsidRPr="00AF5D09" w:rsidRDefault="00A905B7" w:rsidP="00C56A42">
                      <w:pPr>
                        <w:rPr>
                          <w:sz w:val="22"/>
                        </w:rPr>
                      </w:pPr>
                      <w:r w:rsidRPr="00AF5D09">
                        <w:rPr>
                          <w:rFonts w:ascii="Arial" w:hAnsi="Arial" w:cs="Arial"/>
                          <w:color w:val="00B0F0"/>
                          <w:sz w:val="13"/>
                          <w:szCs w:val="12"/>
                          <w:lang w:val="en-US"/>
                        </w:rPr>
                        <w:t>mode</w:t>
                      </w:r>
                    </w:p>
                  </w:txbxContent>
                </v:textbox>
              </v:rect>
              <v:rect id="_x0000_s7040" style="position:absolute;left:1660;top:3116;width:180;height:221" filled="f" stroked="f">
                <v:textbox style="mso-next-textbox:#_x0000_s7040;mso-rotate-with-shape:t" inset="0,0,0,0">
                  <w:txbxContent>
                    <w:p w:rsidR="00A905B7" w:rsidRPr="00AF5D09" w:rsidRDefault="00A905B7" w:rsidP="00C56A42">
                      <w:pPr>
                        <w:rPr>
                          <w:sz w:val="22"/>
                        </w:rPr>
                      </w:pPr>
                      <w:r w:rsidRPr="00AF5D09">
                        <w:rPr>
                          <w:rFonts w:ascii="Arial" w:hAnsi="Arial" w:cs="Arial"/>
                          <w:color w:val="000000"/>
                          <w:sz w:val="13"/>
                          <w:szCs w:val="12"/>
                          <w:lang w:val="en-US"/>
                        </w:rPr>
                        <w:t>ON</w:t>
                      </w:r>
                    </w:p>
                  </w:txbxContent>
                </v:textbox>
              </v:rect>
              <v:rect id="_x0000_s7041" style="position:absolute;left:1631;top:3442;width:240;height:221" filled="f" stroked="f">
                <v:textbox style="mso-next-textbox:#_x0000_s7041;mso-rotate-with-shape:t" inset="0,0,0,0">
                  <w:txbxContent>
                    <w:p w:rsidR="00A905B7" w:rsidRPr="00AF5D09" w:rsidRDefault="00A905B7" w:rsidP="00C56A42">
                      <w:pPr>
                        <w:rPr>
                          <w:sz w:val="22"/>
                        </w:rPr>
                      </w:pPr>
                      <w:r w:rsidRPr="00AF5D09">
                        <w:rPr>
                          <w:rFonts w:ascii="Arial" w:hAnsi="Arial" w:cs="Arial"/>
                          <w:color w:val="000000"/>
                          <w:sz w:val="13"/>
                          <w:szCs w:val="12"/>
                          <w:lang w:val="en-US"/>
                        </w:rPr>
                        <w:t>OFF</w:t>
                      </w:r>
                    </w:p>
                  </w:txbxContent>
                </v:textbox>
              </v:rect>
              <v:rect id="_x0000_s7042" style="position:absolute;left:1582;top:389;width:333;height:221" filled="f" stroked="f">
                <v:textbox style="mso-next-textbox:#_x0000_s7042;mso-rotate-with-shape:t" inset="0,0,0,0">
                  <w:txbxContent>
                    <w:p w:rsidR="00A905B7" w:rsidRPr="00AF5D09" w:rsidRDefault="00A905B7" w:rsidP="00C56A42">
                      <w:pPr>
                        <w:rPr>
                          <w:sz w:val="22"/>
                        </w:rPr>
                      </w:pPr>
                      <w:r w:rsidRPr="00AF5D09">
                        <w:rPr>
                          <w:rFonts w:ascii="Arial" w:hAnsi="Arial" w:cs="Arial"/>
                          <w:color w:val="FF0000"/>
                          <w:sz w:val="13"/>
                          <w:szCs w:val="12"/>
                          <w:lang w:val="en-US"/>
                        </w:rPr>
                        <w:t>Diesel</w:t>
                      </w:r>
                    </w:p>
                  </w:txbxContent>
                </v:textbox>
              </v:rect>
              <v:rect id="_x0000_s7043" style="position:absolute;left:7189;top:4302;width:92;height:233" filled="f" stroked="f">
                <v:textbox style="mso-next-textbox:#_x0000_s7043;mso-rotate-with-shape:t" inset="0,0,0,0">
                  <w:txbxContent>
                    <w:p w:rsidR="00A905B7" w:rsidRPr="00AF5D09" w:rsidRDefault="00A905B7" w:rsidP="00C56A42">
                      <w:pPr>
                        <w:rPr>
                          <w:sz w:val="22"/>
                        </w:rPr>
                      </w:pPr>
                    </w:p>
                  </w:txbxContent>
                </v:textbox>
              </v:rect>
              <v:rect id="_x0000_s7044" style="position:absolute;left:6564;top:4773;width:92;height:233" filled="f" stroked="f">
                <v:textbox style="mso-next-textbox:#_x0000_s7044;mso-rotate-with-shape:t" inset="0,0,0,0">
                  <w:txbxContent>
                    <w:p w:rsidR="00A905B7" w:rsidRPr="00AF5D09" w:rsidRDefault="00A905B7" w:rsidP="00C56A42">
                      <w:pPr>
                        <w:rPr>
                          <w:sz w:val="22"/>
                          <w:lang w:val="fr-CH"/>
                        </w:rPr>
                      </w:pPr>
                    </w:p>
                  </w:txbxContent>
                </v:textbox>
              </v:rect>
              <v:rect id="_x0000_s7045" style="position:absolute;left:1514;top:716;width:480;height:221" filled="f" stroked="f">
                <v:textbox style="mso-next-textbox:#_x0000_s7045;mso-rotate-with-shape:t" inset="0,0,0,0">
                  <w:txbxContent>
                    <w:p w:rsidR="00A905B7" w:rsidRPr="00AF5D09" w:rsidRDefault="00A905B7" w:rsidP="00C56A42">
                      <w:pPr>
                        <w:rPr>
                          <w:sz w:val="22"/>
                        </w:rPr>
                      </w:pPr>
                      <w:r w:rsidRPr="00AF5D09">
                        <w:rPr>
                          <w:rFonts w:ascii="Arial" w:hAnsi="Arial" w:cs="Arial"/>
                          <w:color w:val="FF0000"/>
                          <w:sz w:val="13"/>
                          <w:szCs w:val="12"/>
                          <w:lang w:val="en-US"/>
                        </w:rPr>
                        <w:t>Dual-fuel</w:t>
                      </w:r>
                    </w:p>
                  </w:txbxContent>
                </v:textbox>
              </v:rect>
              <v:rect id="_x0000_s7046" style="position:absolute;left:1660;top:1186;width:180;height:221" filled="f" stroked="f">
                <v:textbox style="mso-next-textbox:#_x0000_s7046;mso-rotate-with-shape:t" inset="0,0,0,0">
                  <w:txbxContent>
                    <w:p w:rsidR="00A905B7" w:rsidRPr="00AF5D09" w:rsidRDefault="00A905B7" w:rsidP="00C56A42">
                      <w:pPr>
                        <w:rPr>
                          <w:sz w:val="22"/>
                        </w:rPr>
                      </w:pPr>
                      <w:r w:rsidRPr="00AF5D09">
                        <w:rPr>
                          <w:rFonts w:ascii="Arial" w:hAnsi="Arial" w:cs="Arial"/>
                          <w:color w:val="00B0F0"/>
                          <w:sz w:val="13"/>
                          <w:szCs w:val="12"/>
                          <w:lang w:val="en-US"/>
                        </w:rPr>
                        <w:t>ON</w:t>
                      </w:r>
                    </w:p>
                  </w:txbxContent>
                </v:textbox>
              </v:rect>
              <v:rect id="_x0000_s7047" style="position:absolute;left:1631;top:1513;width:240;height:221" filled="f" stroked="f">
                <v:textbox style="mso-next-textbox:#_x0000_s7047;mso-rotate-with-shape:t" inset="0,0,0,0">
                  <w:txbxContent>
                    <w:p w:rsidR="00A905B7" w:rsidRPr="00AF5D09" w:rsidRDefault="00A905B7" w:rsidP="00C56A42">
                      <w:pPr>
                        <w:rPr>
                          <w:sz w:val="22"/>
                        </w:rPr>
                      </w:pPr>
                      <w:r w:rsidRPr="00AF5D09">
                        <w:rPr>
                          <w:rFonts w:ascii="Arial" w:hAnsi="Arial" w:cs="Arial"/>
                          <w:color w:val="00B0F0"/>
                          <w:sz w:val="13"/>
                          <w:szCs w:val="12"/>
                          <w:lang w:val="en-US"/>
                        </w:rPr>
                        <w:t>OFF</w:t>
                      </w:r>
                    </w:p>
                  </w:txbxContent>
                </v:textbox>
              </v:rect>
              <v:rect id="_x0000_s7048" style="position:absolute;left:2188;top:4302;width:92;height:233" filled="f" stroked="f">
                <v:textbox style="mso-next-textbox:#_x0000_s7048;mso-rotate-with-shape:t" inset="0,0,0,0">
                  <w:txbxContent>
                    <w:p w:rsidR="00A905B7" w:rsidRPr="00AF5D09" w:rsidRDefault="00A905B7" w:rsidP="00C56A42">
                      <w:pPr>
                        <w:rPr>
                          <w:sz w:val="22"/>
                        </w:rPr>
                      </w:pPr>
                    </w:p>
                  </w:txbxContent>
                </v:textbox>
              </v:rect>
              <v:rect id="_x0000_s7049" style="position:absolute;left:2813;top:4773;width:93;height:233" filled="f" stroked="f">
                <v:textbox style="mso-next-textbox:#_x0000_s7049;mso-rotate-with-shape:t" inset="0,0,0,0">
                  <w:txbxContent>
                    <w:p w:rsidR="00A905B7" w:rsidRPr="00AF5D09" w:rsidRDefault="00A905B7" w:rsidP="00C56A42">
                      <w:pPr>
                        <w:rPr>
                          <w:sz w:val="22"/>
                        </w:rPr>
                      </w:pPr>
                    </w:p>
                  </w:txbxContent>
                </v:textbox>
              </v:rect>
              <v:line id="_x0000_s7050" style="position:absolute" from="2071,471" to="2159,471" strokecolor="red" strokeweight="0"/>
              <v:rect id="_x0000_s7051" style="position:absolute;left:2071;top:471;width:88;height:9" fillcolor="red" stroked="f"/>
              <v:line id="_x0000_s7052" style="position:absolute" from="2168,471" to="2784,471" strokecolor="red" strokeweight="0"/>
              <v:rect id="_x0000_s7053" style="position:absolute;left:2168;top:471;width:616;height:9" fillcolor="red" stroked="f"/>
              <v:line id="_x0000_s7054" style="position:absolute" from="3409,308" to="3409,462" strokeweight="0"/>
              <v:rect id="_x0000_s7055" style="position:absolute;left:3409;top:308;width:10;height:154" fillcolor="black" stroked="f"/>
              <v:line id="_x0000_s7056" style="position:absolute" from="2794,471" to="3399,471" strokecolor="red" strokeweight="0"/>
              <v:rect id="_x0000_s7057" style="position:absolute;left:2794;top:471;width:605;height:9" fillcolor="red" stroked="f"/>
              <v:line id="_x0000_s7058" style="position:absolute" from="7160,308" to="7160,462" strokeweight="0"/>
              <v:rect id="_x0000_s7059" style="position:absolute;left:7160;top:308;width:9;height:154" fillcolor="black" stroked="f"/>
              <v:line id="_x0000_s7060" style="position:absolute" from="2071,788" to="2159,788" strokecolor="red" strokeweight="0"/>
              <v:rect id="_x0000_s7061" style="position:absolute;left:2071;top:788;width:88;height:9" fillcolor="red" stroked="f"/>
              <v:rect id="_x0000_s7062" style="position:absolute;left:2159;top:779;width:1269;height:27" fillcolor="red" stroked="f"/>
              <v:line id="_x0000_s7063" style="position:absolute" from="3428,788" to="7150,788" strokecolor="red" strokeweight="0"/>
              <v:rect id="_x0000_s7064" style="position:absolute;left:3428;top:788;width:3722;height:9" fillcolor="red" stroked="f"/>
              <v:line id="_x0000_s7065" style="position:absolute" from="2159,154" to="2159,779" strokeweight="0"/>
              <v:rect id="_x0000_s7066" style="position:absolute;left:2159;top:154;width:9;height:625" fillcolor="black" stroked="f"/>
              <v:line id="_x0000_s7067" style="position:absolute" from="2784,308" to="2784,779" strokeweight="0"/>
              <v:rect id="_x0000_s7068" style="position:absolute;left:2784;top:308;width:10;height:471" fillcolor="black" stroked="f"/>
              <v:rect id="_x0000_s7069" style="position:absolute;left:3399;top:462;width:29;height:344" fillcolor="red" stroked="f"/>
              <v:rect id="_x0000_s7070" style="position:absolute;left:7150;top:489;width:29;height:317" fillcolor="red" stroked="f"/>
              <v:line id="_x0000_s7071" style="position:absolute" from="2061,317" to="2061,960" strokecolor="red" strokeweight="0"/>
              <v:rect id="_x0000_s7072" style="position:absolute;left:2061;top:317;width:10;height:643" fillcolor="red" stroked="f"/>
              <v:line id="_x0000_s7073" style="position:absolute" from="2071,1268" to="2159,1268" strokecolor="#00b0f0" strokeweight="0"/>
              <v:rect id="_x0000_s7074" style="position:absolute;left:2071;top:1268;width:88;height:9" fillcolor="#00b0f0" stroked="f"/>
              <v:line id="_x0000_s7075" style="position:absolute" from="2168,1268" to="2784,1268" strokecolor="#00b0f0" strokeweight="0"/>
              <v:rect id="_x0000_s7076" style="position:absolute;left:2168;top:1268;width:616;height:9" fillcolor="#00b0f0" stroked="f"/>
              <v:line id="_x0000_s7077" style="position:absolute" from="2794,1268" to="3409,1268" strokecolor="#00b0f0" strokeweight="0"/>
              <v:rect id="_x0000_s7078" style="position:absolute;left:2794;top:1268;width:615;height:9" fillcolor="#00b0f0" stroked="f"/>
              <v:line id="_x0000_s7079" style="position:absolute" from="3419,1268" to="5274,1268" strokecolor="#00b0f0" strokeweight="0"/>
              <v:rect id="_x0000_s7080" style="position:absolute;left:3419;top:1268;width:1855;height:9" fillcolor="#00b0f0" stroked="f"/>
              <v:line id="_x0000_s7081" style="position:absolute" from="7160,806" to="7160,1259" strokeweight="0"/>
              <v:rect id="_x0000_s7082" style="position:absolute;left:7160;top:806;width:9;height:453" fillcolor="black" stroked="f"/>
              <v:line id="_x0000_s7083" style="position:absolute" from="2071,1585" to="2159,1585" strokecolor="#00b0f0" strokeweight="0"/>
              <v:rect id="_x0000_s7084" style="position:absolute;left:2071;top:1585;width:88;height:9" fillcolor="#00b0f0" stroked="f"/>
              <v:rect id="_x0000_s7085" style="position:absolute;left:2159;top:1576;width:3145;height:27" fillcolor="#00b0f0" stroked="f"/>
              <v:line id="_x0000_s7086" style="position:absolute" from="5304,1585" to="7150,1585" strokecolor="#00b0f0" strokeweight="0"/>
              <v:rect id="_x0000_s7087" style="position:absolute;left:5304;top:1585;width:1846;height:9" fillcolor="#00b0f0" stroked="f"/>
              <v:line id="_x0000_s7088" style="position:absolute" from="2159,806" to="2159,1576" strokeweight="0"/>
              <v:rect id="_x0000_s7089" style="position:absolute;left:2159;top:806;width:9;height:770" fillcolor="black" stroked="f"/>
              <v:line id="_x0000_s7090" style="position:absolute" from="2784,806" to="2784,1576" strokeweight="0"/>
              <v:rect id="_x0000_s7091" style="position:absolute;left:2784;top:806;width:10;height:770" fillcolor="black" stroked="f"/>
              <v:line id="_x0000_s7092" style="position:absolute" from="3409,806" to="3409,1576" strokeweight="0"/>
              <v:rect id="_x0000_s7093" style="position:absolute;left:3409;top:806;width:10;height:770" fillcolor="black" stroked="f"/>
              <v:rect id="_x0000_s7094" style="position:absolute;left:5274;top:1259;width:30;height:344" fillcolor="#00b0f0" stroked="f"/>
              <v:rect id="_x0000_s7095" style="position:absolute;left:7150;top:1286;width:29;height:317" fillcolor="#00b0f0" stroked="f"/>
              <v:line id="_x0000_s7096" style="position:absolute" from="2061,1114" to="2061,1757" strokecolor="#00b0f0" strokeweight="0"/>
              <v:rect id="_x0000_s7097" style="position:absolute;left:2061;top:1114;width:10;height:643" fillcolor="#00b0f0" stroked="f"/>
              <v:line id="_x0000_s7098" style="position:absolute" from="2071,2065" to="2159,2065" strokecolor="#00b0f0" strokeweight="0"/>
              <v:rect id="_x0000_s7099" style="position:absolute;left:2071;top:2065;width:88;height:9" fillcolor="#00b0f0" stroked="f"/>
              <v:line id="_x0000_s7100" style="position:absolute" from="2168,2065" to="2784,2065" strokecolor="#00b0f0" strokeweight="0"/>
              <v:rect id="_x0000_s7101" style="position:absolute;left:2168;top:2065;width:616;height:9" fillcolor="#00b0f0" stroked="f"/>
              <v:line id="_x0000_s7102" style="position:absolute" from="2794,2065" to="3409,2065" strokecolor="#00b0f0" strokeweight="0"/>
              <v:rect id="_x0000_s7103" style="position:absolute;left:2794;top:2065;width:615;height:9" fillcolor="#00b0f0" stroked="f"/>
              <v:line id="_x0000_s7104" style="position:absolute" from="5284,1603" to="5284,2056" strokeweight="0"/>
              <v:rect id="_x0000_s7105" style="position:absolute;left:5284;top:1603;width:10;height:453" fillcolor="black" stroked="f"/>
              <v:line id="_x0000_s7106" style="position:absolute" from="3419,2065" to="5274,2065" strokecolor="#00b0f0" strokeweight="0"/>
              <v:rect id="_x0000_s7107" style="position:absolute;left:3419;top:2065;width:1855;height:9" fillcolor="#00b0f0" stroked="f"/>
              <v:line id="_x0000_s7108" style="position:absolute" from="7160,1603" to="7160,2056" strokeweight="0"/>
              <v:rect id="_x0000_s7109" style="position:absolute;left:7160;top:1603;width:9;height:453" fillcolor="black" stroked="f"/>
              <v:line id="_x0000_s7110" style="position:absolute" from="2071,2391" to="2159,2391" strokecolor="#00b0f0" strokeweight="0"/>
              <v:rect id="_x0000_s7111" style="position:absolute;left:2071;top:2391;width:88;height:9" fillcolor="#00b0f0" stroked="f"/>
              <v:line id="_x0000_s7112" style="position:absolute" from="2168,2391" to="2784,2391" strokecolor="#00b0f0" strokeweight="0"/>
              <v:rect id="_x0000_s7113" style="position:absolute;left:2168;top:2391;width:616;height:9" fillcolor="#00b0f0" stroked="f"/>
              <v:line id="_x0000_s7114" style="position:absolute" from="3409,1603" to="3409,2382" strokeweight="0"/>
              <v:rect id="_x0000_s7115" style="position:absolute;left:3409;top:1603;width:10;height:779" fillcolor="black" stroked="f"/>
              <v:line id="_x0000_s7116" style="position:absolute" from="2794,2391" to="3399,2391" strokecolor="#00b0f0" strokeweight="0"/>
              <v:rect id="_x0000_s7117" style="position:absolute;left:2794;top:2391;width:605;height:9" fillcolor="#00b0f0" stroked="f"/>
              <v:rect id="_x0000_s7118" style="position:absolute;left:5274;top:2056;width:30;height:353" fillcolor="#00b0f0" stroked="f"/>
              <v:line id="_x0000_s7119" style="position:absolute" from="2071,2717" to="2159,2717" strokecolor="#00b0f0" strokeweight="0"/>
              <v:rect id="_x0000_s7120" style="position:absolute;left:2071;top:2717;width:88;height:9" fillcolor="#00b0f0" stroked="f"/>
              <v:rect id="_x0000_s7121" style="position:absolute;left:2159;top:2708;width:1269;height:27" fillcolor="#00b0f0" stroked="f"/>
              <v:line id="_x0000_s7122" style="position:absolute" from="3428,2717" to="5284,2717" strokecolor="#00b0f0" strokeweight="0"/>
              <v:rect id="_x0000_s7123" style="position:absolute;left:3428;top:2717;width:1856;height:9" fillcolor="#00b0f0" stroked="f"/>
              <v:line id="_x0000_s7124" style="position:absolute" from="5294,2717" to="7150,2717" strokecolor="#00b0f0" strokeweight="0"/>
              <v:rect id="_x0000_s7125" style="position:absolute;left:5294;top:2717;width:1856;height:9" fillcolor="#00b0f0" stroked="f"/>
              <v:line id="_x0000_s7126" style="position:absolute" from="2159,1603" to="2159,2708" strokeweight="0"/>
              <v:rect id="_x0000_s7127" style="position:absolute;left:2159;top:1603;width:9;height:1105" fillcolor="black" stroked="f"/>
              <v:line id="_x0000_s7128" style="position:absolute" from="2784,1603" to="2784,2708" strokeweight="0"/>
              <v:rect id="_x0000_s7129" style="position:absolute;left:2784;top:1603;width:10;height:1105" fillcolor="black" stroked="f"/>
              <v:rect id="_x0000_s7130" style="position:absolute;left:3399;top:2382;width:29;height:353" fillcolor="#00b0f0" stroked="f"/>
              <v:rect id="_x0000_s7131" style="position:absolute;left:7150;top:2083;width:29;height:652" fillcolor="#00b0f0" stroked="f"/>
              <v:line id="_x0000_s7132" style="position:absolute" from="2061,1911" to="2061,2889" strokecolor="#00b0f0" strokeweight="0"/>
              <v:rect id="_x0000_s7133" style="position:absolute;left:2061;top:1911;width:10;height:978" fillcolor="#00b0f0" stroked="f"/>
              <v:line id="_x0000_s7134" style="position:absolute" from="2784,2735" to="2784,3188" strokeweight="0"/>
              <v:rect id="_x0000_s7135" style="position:absolute;left:2784;top:2735;width:10;height:453" fillcolor="black" stroked="f"/>
              <v:line id="_x0000_s7136" style="position:absolute" from="2071,3197" to="2774,3197" strokeweight="0"/>
              <v:rect id="_x0000_s7137" style="position:absolute;left:2071;top:3197;width:703;height:9" fillcolor="black" stroked="f"/>
              <v:line id="_x0000_s7138" style="position:absolute" from="3409,2735" to="3409,3188" strokeweight="0"/>
              <v:rect id="_x0000_s7139" style="position:absolute;left:3409;top:2735;width:10;height:453" fillcolor="black" stroked="f"/>
              <v:line id="_x0000_s7140" style="position:absolute" from="7160,2735" to="7160,3188" strokeweight="0"/>
              <v:rect id="_x0000_s7141" style="position:absolute;left:7160;top:2735;width:9;height:453" fillcolor="black" stroked="f"/>
              <v:line id="_x0000_s7142" style="position:absolute" from="2071,3514" to="2159,3514" strokeweight="0"/>
              <v:rect id="_x0000_s7143" style="position:absolute;left:2071;top:3514;width:88;height:9" fillcolor="black" stroked="f"/>
              <v:rect id="_x0000_s7144" style="position:absolute;left:2159;top:3505;width:644;height:27" fillcolor="black" stroked="f"/>
              <v:line id="_x0000_s7145" style="position:absolute" from="2803,3514" to="7150,3514" strokeweight="0"/>
              <v:rect id="_x0000_s7146" style="position:absolute;left:2803;top:3514;width:4347;height:9" fillcolor="black" stroked="f"/>
              <v:line id="_x0000_s7147" style="position:absolute" from="2159,2735" to="2159,3505" strokeweight="0"/>
              <v:rect id="_x0000_s7148" style="position:absolute;left:2159;top:2735;width:9;height:770" fillcolor="black" stroked="f"/>
              <v:rect id="_x0000_s7149" style="position:absolute;left:2774;top:3188;width:29;height:344" fillcolor="black" stroked="f"/>
              <v:rect id="_x0000_s7150" style="position:absolute;left:7150;top:3215;width:29;height:317" fillcolor="black" stroked="f"/>
              <v:line id="_x0000_s7151" style="position:absolute" from="2061,3043" to="2061,3686" strokeweight="0"/>
              <v:rect id="_x0000_s7152" style="position:absolute;left:2061;top:3043;width:10;height:643" fillcolor="black" stroked="f"/>
              <v:line id="_x0000_s7153" style="position:absolute" from="2061,4302" to="2061,4610" strokeweight="0"/>
              <v:rect id="_x0000_s7154" style="position:absolute;left:2061;top:4302;width:10;height:308" fillcolor="black" stroked="f"/>
              <v:line id="_x0000_s7155" style="position:absolute" from="2071,4918" to="3409,4918" strokeweight="0"/>
              <v:rect id="_x0000_s7156" style="position:absolute;left:2071;top:4918;width:1338;height:9" fillcolor="black" stroked="f"/>
              <v:line id="_x0000_s7157" style="position:absolute" from="2159,3532" to="2159,5090" strokeweight="0"/>
              <v:rect id="_x0000_s7158" style="position:absolute;left:2159;top:3532;width:9;height:1558" fillcolor="black" stroked="f"/>
              <v:line id="_x0000_s7159" style="position:absolute" from="2061,4764" to="2061,5090" strokeweight="0"/>
              <v:rect id="_x0000_s7160" style="position:absolute;left:2061;top:4764;width:10;height:326" fillcolor="black" stroked="f"/>
              <v:line id="_x0000_s7161" style="position:absolute" from="2784,3532" to="2784,4456" strokeweight="0"/>
              <v:rect id="_x0000_s7162" style="position:absolute;left:2784;top:3532;width:10;height:924" fillcolor="black" stroked="f"/>
              <v:line id="_x0000_s7163" style="position:absolute" from="3409,3215" to="3409,4909" strokeweight="0"/>
              <v:rect id="_x0000_s7164" style="position:absolute;left:3409;top:3215;width:10;height:1694" fillcolor="black" stroked="f"/>
              <v:line id="_x0000_s7165" style="position:absolute" from="7160,3532" to="7160,4456" strokeweight="0"/>
              <v:rect id="_x0000_s7166" style="position:absolute;left:7160;top:3532;width:9;height:924" fillcolor="black" stroked="f"/>
              <v:line id="_x0000_s7167" style="position:absolute" from="5284,2409" to="5284,3043" strokeweight="0"/>
              <v:rect id="_x0000_s7168" style="position:absolute;left:5284;top:2409;width:10;height:634" fillcolor="black" stroked="f"/>
              <v:line id="_x0000_s7169" style="position:absolute" from="186,308" to="2071,308" strokecolor="red" strokeweight="0"/>
              <v:rect id="_x0000_s7170" style="position:absolute;left:186;top:308;width:1885;height:9" fillcolor="red" stroked="f"/>
              <v:rect id="_x0000_s7171" style="position:absolute;left:3428;top:462;width:3751;height:27" fillcolor="red" stroked="f"/>
              <v:line id="_x0000_s7172" style="position:absolute" from="1436,625" to="2071,625" strokecolor="red" strokeweight="0"/>
              <v:rect id="_x0000_s7173" style="position:absolute;left:1436;top:625;width:635;height:9" fillcolor="red" stroked="f"/>
              <v:rect id="_x0000_s7174" style="position:absolute;left:7179;top:779;width:615;height:27" fillcolor="red" stroked="f"/>
              <v:line id="_x0000_s7175" style="position:absolute" from="186,951" to="2071,951" strokecolor="red" strokeweight="0"/>
              <v:rect id="_x0000_s7176" style="position:absolute;left:186;top:951;width:1885;height:9" fillcolor="red" stroked="f"/>
              <v:line id="_x0000_s7177" style="position:absolute" from="186,1105" to="2071,1105" strokecolor="#00b0f0" strokeweight="0"/>
              <v:rect id="_x0000_s7178" style="position:absolute;left:186;top:1105;width:1885;height:9" fillcolor="#00b0f0" stroked="f"/>
              <v:rect id="_x0000_s7179" style="position:absolute;left:5304;top:1259;width:1875;height:27" fillcolor="#00b0f0" stroked="f"/>
              <v:line id="_x0000_s7180" style="position:absolute" from="1436,1422" to="2071,1422" strokecolor="#00b0f0" strokeweight="0"/>
              <v:rect id="_x0000_s7181" style="position:absolute;left:1436;top:1422;width:635;height:9" fillcolor="#00b0f0" stroked="f"/>
              <v:rect id="_x0000_s7182" style="position:absolute;left:7179;top:1576;width:615;height:27" fillcolor="#00b0f0" stroked="f"/>
              <v:line id="_x0000_s7183" style="position:absolute" from="811,1748" to="2071,1748" strokecolor="#00b0f0" strokeweight="0"/>
              <v:rect id="_x0000_s7184" style="position:absolute;left:811;top:1748;width:1260;height:9" fillcolor="#00b0f0" stroked="f"/>
              <v:line id="_x0000_s7185" style="position:absolute" from="811,1902" to="2071,1902" strokecolor="#00b0f0" strokeweight="0"/>
              <v:rect id="_x0000_s7186" style="position:absolute;left:811;top:1902;width:1260;height:9" fillcolor="#00b0f0" stroked="f"/>
              <v:rect id="_x0000_s7187" style="position:absolute;left:5304;top:2056;width:1875;height:27" fillcolor="#00b0f0" stroked="f"/>
              <v:line id="_x0000_s7188" style="position:absolute" from="1436,2228" to="2071,2228" strokecolor="#00b0f0" strokeweight="0"/>
              <v:rect id="_x0000_s7189" style="position:absolute;left:1436;top:2228;width:635;height:9" fillcolor="#00b0f0" stroked="f"/>
              <v:rect id="_x0000_s7190" style="position:absolute;left:3428;top:2382;width:1876;height:27" fillcolor="#00b0f0" stroked="f"/>
              <v:line id="_x0000_s7191" style="position:absolute" from="1436,2554" to="2071,2554" strokecolor="#00b0f0" strokeweight="0"/>
              <v:rect id="_x0000_s7192" style="position:absolute;left:1436;top:2554;width:635;height:9" fillcolor="#00b0f0" stroked="f"/>
              <v:rect id="_x0000_s7193" style="position:absolute;left:7179;top:2708;width:615;height:27" fillcolor="#00b0f0" stroked="f"/>
              <v:line id="_x0000_s7194" style="position:absolute" from="186,2880" to="2071,2880" strokecolor="#00b0f0" strokeweight="0"/>
              <v:rect id="_x0000_s7195" style="position:absolute;left:186;top:2880;width:1885;height:9" fillcolor="#00b0f0" stroked="f"/>
              <v:line id="_x0000_s7196" style="position:absolute" from="186,3034" to="2071,3034" strokeweight="0"/>
              <v:rect id="_x0000_s7197" style="position:absolute;left:186;top:3034;width:1885;height:9" fillcolor="black" stroked="f"/>
              <v:rect id="_x0000_s7198" style="position:absolute;left:2803;top:3188;width:4376;height:27" fillcolor="black" stroked="f"/>
              <v:line id="_x0000_s7199" style="position:absolute" from="1436,3351" to="2071,3351" strokeweight="0"/>
              <v:rect id="_x0000_s7200" style="position:absolute;left:1436;top:3351;width:635;height:9" fillcolor="black" stroked="f"/>
              <v:rect id="_x0000_s7201" style="position:absolute;left:7179;top:3505;width:615;height:27" fillcolor="black" stroked="f"/>
              <v:line id="_x0000_s7202" style="position:absolute" from="811,3677" to="2071,3677" strokeweight="0"/>
              <v:rect id="_x0000_s7203" style="position:absolute;left:811;top:3677;width:1260;height:9" fillcolor="black" stroked="f"/>
              <v:line id="_x0000_s7204" style="position:absolute" from="811,3831" to="2071,3831" strokeweight="0"/>
              <v:rect id="_x0000_s7205" style="position:absolute;left:811;top:3831;width:1260;height:9" fillcolor="black" stroked="f"/>
              <v:line id="_x0000_s7206" style="position:absolute" from="1436,4293" to="2071,4293" strokeweight="0"/>
              <v:rect id="_x0000_s7207" style="position:absolute;left:1436;top:4293;width:635;height:9" fillcolor="black" stroked="f"/>
              <v:line id="_x0000_s7208" style="position:absolute" from="2071,4447" to="7169,4447" strokeweight="0"/>
              <v:rect id="_x0000_s7209" style="position:absolute;left:2071;top:4447;width:5098;height:9" fillcolor="black" stroked="f"/>
              <v:line id="_x0000_s7210" style="position:absolute" from="1436,4601" to="2071,4601" strokeweight="0"/>
              <v:rect id="_x0000_s7211" style="position:absolute;left:1436;top:4601;width:635;height:9" fillcolor="black" stroked="f"/>
              <v:line id="_x0000_s7212" style="position:absolute" from="1436,4755" to="2071,4755" strokeweight="0"/>
              <v:rect id="_x0000_s7213" style="position:absolute;left:1436;top:4755;width:635;height:9" fillcolor="black" stroked="f"/>
              <v:rect id="_x0000_s7214" style="position:absolute;left:3409;top:4909;width:3135;height:27" fillcolor="black" stroked="f"/>
              <v:line id="_x0000_s7215" style="position:absolute" from="186,5081" to="2071,5081" strokeweight="0"/>
            </v:group>
            <v:rect id="_x0000_s7217" style="position:absolute;left:186;top:5081;width:1885;height:9" fillcolor="black" stroked="f"/>
            <v:shape id="_x0000_s7218" style="position:absolute;left:2159;top:3985;width:625;height:462" coordsize="625,462" path="m,l19,,625,444r,18l605,462,,18,,xe" fillcolor="black" strokeweight="0">
              <v:path arrowok="t"/>
            </v:shape>
            <v:shape id="_x0000_s7219" style="position:absolute;left:7030;top:3827;width:625;height:462;rotation:-2292245fd" coordsize="625,462" path="m625,l605,,,444r,18l19,462,625,18,625,xe" fillcolor="black" strokeweight="0">
              <v:path arrowok="t"/>
            </v:shape>
            <v:shape id="_x0000_s7220" style="position:absolute;left:2784;top:4447;width:625;height:471" coordsize="625,471" path="m,l19,,625,453r,18l605,471,,18,,xe" fillcolor="black" strokeweight="0">
              <v:path arrowok="t"/>
            </v:shape>
            <v:shape id="_x0000_s7221" style="position:absolute;left:6589;top:4724;width:371;height:398;rotation:3119787fd" coordsize="626,471" path="m626,l606,,,453r,18l20,471,626,18,626,xe" fillcolor="black" strokeweight="0">
              <v:path arrowok="t"/>
            </v:shape>
            <v:rect id="_x0000_s7222" style="position:absolute;left:3717;top:2459;width:1377;height:417" stroked="f"/>
            <v:rect id="_x0000_s7223" style="position:absolute;left:3825;top:2507;width:1127;height:221;mso-wrap-style:none" filled="f" stroked="f">
              <v:textbox style="mso-next-textbox:#_x0000_s7223;mso-rotate-with-shape:t;mso-fit-shape-to-text:t" inset="0,0,0,0">
                <w:txbxContent>
                  <w:p w:rsidR="00A905B7" w:rsidRPr="00AF5D09" w:rsidRDefault="00A905B7" w:rsidP="00C56A42">
                    <w:pPr>
                      <w:rPr>
                        <w:sz w:val="22"/>
                      </w:rPr>
                    </w:pPr>
                    <w:r w:rsidRPr="00AF5D09">
                      <w:rPr>
                        <w:rFonts w:ascii="Calibri" w:hAnsi="Calibri" w:cs="Calibri"/>
                        <w:color w:val="000000"/>
                        <w:sz w:val="15"/>
                        <w:szCs w:val="14"/>
                        <w:lang w:val="en-US"/>
                      </w:rPr>
                      <w:t>30 minutes op. time</w:t>
                    </w:r>
                  </w:p>
                </w:txbxContent>
              </v:textbox>
            </v:rect>
            <v:rect id="_x0000_s7224" style="position:absolute;left:4069;top:2670;width:659;height:221;mso-wrap-style:none" filled="f" stroked="f">
              <v:textbox style="mso-next-textbox:#_x0000_s7224;mso-rotate-with-shape:t;mso-fit-shape-to-text:t" inset="0,0,0,0">
                <w:txbxContent>
                  <w:p w:rsidR="00A905B7" w:rsidRPr="00AF5D09" w:rsidRDefault="00A905B7" w:rsidP="00C56A42">
                    <w:pPr>
                      <w:rPr>
                        <w:sz w:val="22"/>
                      </w:rPr>
                    </w:pPr>
                    <w:r w:rsidRPr="00AF5D09">
                      <w:rPr>
                        <w:rFonts w:ascii="Calibri" w:hAnsi="Calibri" w:cs="Calibri"/>
                        <w:color w:val="000000"/>
                        <w:sz w:val="15"/>
                        <w:szCs w:val="14"/>
                        <w:lang w:val="en-US"/>
                      </w:rPr>
                      <w:t>or standstill</w:t>
                    </w:r>
                  </w:p>
                </w:txbxContent>
              </v:textbox>
            </v:rect>
            <v:shape id="_x0000_s7225" style="position:absolute;left:3409;top:2871;width:1885;height:73" coordsize="1885,73" path="m65,32r1755,l1820,41,65,41r,-9xm79,73l,36,79,r,73xm1807,r78,36l1807,73r,-73xe" fillcolor="black" strokeweight=".05pt">
              <v:path arrowok="t"/>
              <o:lock v:ext="edit" verticies="t"/>
            </v:shape>
            <v:shape id="_x0000_s7226" style="position:absolute;left:6845;top:4337;width:625;height:462;rotation:-2203958fd" coordsize="625,462" path="m625,l605,,,444r,18l19,462,625,18,625,xe" fillcolor="black" strokeweight="0">
              <v:path arrowok="t"/>
            </v:shape>
            <w10:wrap type="none"/>
            <w10:anchorlock/>
          </v:group>
        </w:pic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68" w:right="1134" w:hanging="1134"/>
        <w:jc w:val="both"/>
      </w:pPr>
      <w:r w:rsidRPr="00B04DC3">
        <w:tab/>
        <w:t>In that use case: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(a)</w:t>
      </w:r>
      <w:r w:rsidRPr="00B04DC3">
        <w:tab/>
        <w:t>The warning system specified in paragraph 4.3.2. of this annex becomes active when the level of gas reaches the critical level defined by the manufacturer;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(b)</w:t>
      </w:r>
      <w:r w:rsidRPr="00B04DC3">
        <w:tab/>
        <w:t>The service mode is activated (in the case of a Type 1A dual-fuel engine with service mode as operating restriction) or the engine switches to diesel mode (in the case of a Type B dual-fuel engine).</w:t>
      </w:r>
    </w:p>
    <w:p w:rsidR="00B4293A" w:rsidRPr="00B04DC3" w:rsidRDefault="00B4293A" w:rsidP="00283F72">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268" w:right="1134" w:hanging="1134"/>
        <w:jc w:val="both"/>
      </w:pPr>
      <w:r w:rsidRPr="00B04DC3">
        <w:tab/>
        <w:t>In the case of a Type 1A dual-fuel engine, the service mode becomes active and the vehicle speed is limited to 20 km/h after the next time the vehicle is stationary</w:t>
      </w:r>
      <w:r w:rsidRPr="00B04DC3">
        <w:rPr>
          <w:sz w:val="18"/>
          <w:vertAlign w:val="superscript"/>
        </w:rPr>
        <w:footnoteReference w:id="62"/>
      </w:r>
      <w:r w:rsidRPr="00B04DC3">
        <w:t xml:space="preserve"> or after 30 minutes operating time without standstill (see paragraph 4.2.2.1. of this annex).</w:t>
      </w:r>
    </w:p>
    <w:p w:rsidR="00B4293A" w:rsidRPr="00B04DC3" w:rsidRDefault="00B4293A" w:rsidP="00283F72">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ind w:left="2268" w:right="1134" w:hanging="1134"/>
        <w:jc w:val="both"/>
      </w:pPr>
      <w:r w:rsidRPr="00B04DC3">
        <w:tab/>
        <w:t>The gas tank is refilled.</w:t>
      </w:r>
    </w:p>
    <w:p w:rsidR="00B4293A" w:rsidRPr="00B04DC3" w:rsidRDefault="00B4293A" w:rsidP="00283F72">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ind w:left="2268" w:right="1134" w:hanging="1134"/>
        <w:jc w:val="both"/>
      </w:pPr>
      <w:r w:rsidRPr="00B04DC3">
        <w:tab/>
        <w:t>The vehicle operates again in dual-fuel mode as soon as the tank is refilled above the critical level.</w:t>
      </w:r>
    </w:p>
    <w:p w:rsidR="00B4293A" w:rsidRPr="00B04DC3" w:rsidRDefault="00B4293A" w:rsidP="00283F72">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ind w:left="2268" w:right="1134" w:hanging="1134"/>
        <w:jc w:val="both"/>
      </w:pPr>
      <w:r w:rsidRPr="00B04DC3">
        <w:t>A.2.2.2.</w:t>
      </w:r>
      <w:r w:rsidRPr="00B04DC3">
        <w:tab/>
        <w:t>Malfunctioning gas supply</w:t>
      </w:r>
    </w:p>
    <w:p w:rsidR="00B4293A" w:rsidRPr="00B04DC3" w:rsidRDefault="00B4293A" w:rsidP="00283F72">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ind w:left="2268" w:right="1134" w:hanging="1134"/>
        <w:jc w:val="both"/>
      </w:pPr>
      <w:r w:rsidRPr="00B04DC3">
        <w:tab/>
        <w:t>Figure A2.3 gives via one typical use-case an illustration of the events occurring in the case of a malfunction of the gas supply system. This illustration should be understood as complementary to that given in paragraph A.2.1</w:t>
      </w:r>
      <w:r w:rsidR="00644D66">
        <w:t>. of this appendix</w:t>
      </w:r>
      <w:r w:rsidRPr="00B04DC3">
        <w:t xml:space="preserve"> and dealing with the counter mechanism. </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pPr>
      <w:r w:rsidRPr="00B04DC3">
        <w:t>Figure A2.3</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1134" w:right="1134"/>
        <w:outlineLvl w:val="0"/>
        <w:rPr>
          <w:b/>
        </w:rPr>
      </w:pPr>
      <w:r w:rsidRPr="00B04DC3">
        <w:rPr>
          <w:b/>
        </w:rPr>
        <w:t>Illustration of the events occurring in case of a malfunctioning gas supply system of a dual-fuel engine/vehicle (HDDF)</w:t>
      </w:r>
    </w:p>
    <w:p w:rsidR="00B4293A" w:rsidRPr="00B04DC3" w:rsidRDefault="00A905B7" w:rsidP="00B10109">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68" w:right="1134" w:hanging="2268"/>
        <w:jc w:val="both"/>
      </w:pPr>
      <w:r>
        <w:rPr>
          <w:noProof/>
          <w:lang w:eastAsia="en-GB"/>
        </w:rPr>
        <w:pict>
          <v:shape id="Picture 1357" o:spid="_x0000_i1470" type="#_x0000_t75" style="width:466.8pt;height:228pt;visibility:visible" o:bordertopcolor="black" o:borderleftcolor="black" o:borderbottomcolor="black" o:borderrightcolor="black">
            <v:imagedata r:id="rId741" o:title=""/>
            <w10:bordertop type="single" width="4"/>
            <w10:borderleft type="single" width="4"/>
            <w10:borderbottom type="single" width="4"/>
            <w10:borderright type="single" width="4"/>
          </v:shape>
        </w:pic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68" w:right="1134" w:hanging="1134"/>
        <w:jc w:val="both"/>
      </w:pPr>
      <w:r w:rsidRPr="00B04DC3">
        <w:tab/>
        <w:t>In that use case: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835" w:right="1134" w:hanging="567"/>
        <w:jc w:val="both"/>
      </w:pPr>
      <w:r w:rsidRPr="00B04DC3">
        <w:t>(a)</w:t>
      </w:r>
      <w:r w:rsidRPr="00B04DC3">
        <w:tab/>
        <w:t>The failure of the gas supply system occurs for the very first time. The DTC gets the potential status (1</w:t>
      </w:r>
      <w:r w:rsidRPr="00B04DC3">
        <w:rPr>
          <w:vertAlign w:val="superscript"/>
        </w:rPr>
        <w:t>st</w:t>
      </w:r>
      <w:r w:rsidRPr="00B04DC3">
        <w:t xml:space="preserve"> detection);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(b)</w:t>
      </w:r>
      <w:r w:rsidRPr="00B04DC3">
        <w:tab/>
        <w:t>The service mode is activated (in the case of a Type 1A dual-fuel engines with a service mode as operability restriction) or the engine switches to diesel mode (in the case of a Type B dual-fuel engine) as soon as the DTC gets the "confirmed and active" status (2</w:t>
      </w:r>
      <w:r w:rsidRPr="00B04DC3">
        <w:rPr>
          <w:vertAlign w:val="superscript"/>
        </w:rPr>
        <w:t>nd</w:t>
      </w:r>
      <w:r w:rsidRPr="00B04DC3">
        <w:t xml:space="preserve"> detection).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of a Type 1A dual-fuel-engine, the service mode becomes active and the vehicle speed is limited to 20 km/h after the next time the vehicle is stationary</w:t>
      </w:r>
      <w:r w:rsidRPr="00B04DC3">
        <w:rPr>
          <w:sz w:val="18"/>
          <w:vertAlign w:val="superscript"/>
        </w:rPr>
        <w:footnoteReference w:id="63"/>
      </w:r>
      <w:r w:rsidRPr="00B04DC3">
        <w:t xml:space="preserve"> or after 30 minutes operating time without standstill (see paragraph 4.2.2.1. of this annex).</w:t>
      </w:r>
    </w:p>
    <w:p w:rsidR="00B4293A" w:rsidRPr="00283F72"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4"/>
          <w:sz w:val="24"/>
        </w:rPr>
      </w:pPr>
      <w:r w:rsidRPr="00283F72">
        <w:rPr>
          <w:spacing w:val="-4"/>
        </w:rPr>
        <w:tab/>
        <w:t>The vehicle operates again in dual-fuel mode as soon as the failure is repaired.</w:t>
      </w:r>
      <w:r w:rsidRPr="00283F72">
        <w:rPr>
          <w:spacing w:val="-4"/>
          <w:sz w:val="24"/>
        </w:rPr>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2268"/>
        <w:jc w:val="both"/>
        <w:rPr>
          <w:sz w:val="24"/>
        </w:rPr>
        <w:sectPr w:rsidR="00B4293A" w:rsidRPr="00B04DC3" w:rsidSect="008311A3">
          <w:headerReference w:type="even" r:id="rId742"/>
          <w:headerReference w:type="default" r:id="rId743"/>
          <w:footerReference w:type="even" r:id="rId744"/>
          <w:footerReference w:type="default" r:id="rId745"/>
          <w:headerReference w:type="first" r:id="rId746"/>
          <w:footerReference w:type="first" r:id="rId747"/>
          <w:footnotePr>
            <w:numRestart w:val="eachSect"/>
          </w:footnotePr>
          <w:endnotePr>
            <w:numFmt w:val="decimal"/>
          </w:endnotePr>
          <w:type w:val="continuous"/>
          <w:pgSz w:w="11907" w:h="16840" w:code="9"/>
          <w:pgMar w:top="1701" w:right="1134" w:bottom="2268" w:left="1134" w:header="1134" w:footer="1701" w:gutter="0"/>
          <w:cols w:space="720"/>
          <w:titlePg/>
        </w:sectPr>
      </w:pPr>
    </w:p>
    <w:p w:rsidR="00B4293A" w:rsidRPr="00B04DC3" w:rsidRDefault="00B4293A" w:rsidP="007B59F3">
      <w:pPr>
        <w:pStyle w:val="HChG"/>
        <w:rPr>
          <w:rFonts w:eastAsia="EUAlbertina-Regular-Identity-H"/>
          <w:lang w:eastAsia="en-GB"/>
        </w:rPr>
      </w:pPr>
      <w:bookmarkStart w:id="1844" w:name="_Toc423599734"/>
      <w:bookmarkStart w:id="1845" w:name="_Toc423611142"/>
      <w:r w:rsidRPr="00B04DC3">
        <w:t>Annex 11 – Appendix</w:t>
      </w:r>
      <w:r w:rsidRPr="00B04DC3">
        <w:rPr>
          <w:rFonts w:eastAsia="EUAlbertina-Regular-Identity-H"/>
          <w:lang w:eastAsia="en-GB"/>
        </w:rPr>
        <w:t xml:space="preserve"> 3</w:t>
      </w:r>
      <w:bookmarkEnd w:id="1844"/>
      <w:bookmarkEnd w:id="1845"/>
    </w:p>
    <w:p w:rsidR="00B4293A" w:rsidRPr="00B04DC3" w:rsidRDefault="00B4293A" w:rsidP="00283F72">
      <w:pPr>
        <w:pStyle w:val="HChG"/>
        <w:spacing w:after="360"/>
        <w:rPr>
          <w:lang w:eastAsia="ja-JP"/>
        </w:rPr>
      </w:pPr>
      <w:bookmarkStart w:id="1846" w:name="_Toc301946550"/>
      <w:bookmarkStart w:id="1847" w:name="_Toc316979373"/>
      <w:r w:rsidRPr="00B04DC3">
        <w:rPr>
          <w:lang w:eastAsia="ja-JP"/>
        </w:rPr>
        <w:tab/>
      </w:r>
      <w:r w:rsidRPr="00B04DC3">
        <w:rPr>
          <w:lang w:eastAsia="ja-JP"/>
        </w:rPr>
        <w:tab/>
      </w:r>
      <w:bookmarkStart w:id="1848" w:name="_Toc423599735"/>
      <w:bookmarkStart w:id="1849" w:name="_Toc423611143"/>
      <w:r w:rsidRPr="00B04DC3">
        <w:rPr>
          <w:lang w:eastAsia="ja-JP"/>
        </w:rPr>
        <w:t>Dual-fuel indicators, warning system, operability restriction</w:t>
      </w:r>
      <w:r w:rsidRPr="00B04DC3" w:rsidDel="00211460">
        <w:rPr>
          <w:lang w:eastAsia="ja-JP"/>
        </w:rPr>
        <w:t xml:space="preserve"> </w:t>
      </w:r>
      <w:bookmarkStart w:id="1850" w:name="_Toc301946551"/>
      <w:bookmarkEnd w:id="1846"/>
      <w:r w:rsidRPr="00B04DC3">
        <w:rPr>
          <w:lang w:eastAsia="ja-JP"/>
        </w:rPr>
        <w:t>- Demonstration requirements</w:t>
      </w:r>
      <w:bookmarkEnd w:id="1847"/>
      <w:bookmarkEnd w:id="1850"/>
      <w:bookmarkEnd w:id="1848"/>
      <w:bookmarkEnd w:id="1849"/>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51" w:name="_Toc316979374"/>
      <w:bookmarkStart w:id="1852" w:name="_Toc301946556"/>
      <w:bookmarkStart w:id="1853" w:name="_Toc316979377"/>
      <w:r w:rsidRPr="00B04DC3">
        <w:t>A.3.1.</w:t>
      </w:r>
      <w:r w:rsidRPr="00B04DC3">
        <w:tab/>
        <w:t>Dual-fuel indicators</w:t>
      </w:r>
      <w:bookmarkEnd w:id="1851"/>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A.3.1.1.</w:t>
      </w:r>
      <w:r w:rsidRPr="00B04DC3">
        <w:tab/>
        <w:t>Dual-fuel mode indicator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engine is type approved as a separate technical unit, the ability of the engine system to command the activation of the dual-fuel mode indicator when operating in dual-fuel mode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vehicle is type approved in respect of its engine, the activation of the dual-fuel mode indicator when operating in dual-fuel mode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r>
      <w:r w:rsidRPr="00B04DC3">
        <w:rPr>
          <w:i/>
        </w:rPr>
        <w:t>Note:</w:t>
      </w:r>
      <w:r w:rsidRPr="00B04DC3">
        <w:t xml:space="preserve"> Demonstration requirements related to the dual-fuel mode indicator in the case of the installation of a type-approved dual-fuel engine in a vehicle are specified in paragraph 6.2.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A.3.1.2.</w:t>
      </w:r>
      <w:r w:rsidRPr="00B04DC3">
        <w:tab/>
        <w:t>Diesel mode indicator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engine of Type 1B, Type 2B, or Type 3B is type approved as a separate technical unit, the ability of the engine system to command the activation of the diesel mode indicator when operating in diesel mode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vehicle of Type 1B, Type 2B, or Type 3B is type approved in respect of its engine, the activation of the diesel mode indicator when operating in diesel mode shall be demonstrated at type approval.</w:t>
      </w:r>
    </w:p>
    <w:p w:rsidR="00B4293A" w:rsidRPr="00283F72"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4"/>
        </w:rPr>
      </w:pPr>
      <w:r w:rsidRPr="00283F72">
        <w:rPr>
          <w:spacing w:val="4"/>
        </w:rPr>
        <w:tab/>
      </w:r>
      <w:r w:rsidRPr="00283F72">
        <w:rPr>
          <w:i/>
          <w:spacing w:val="4"/>
        </w:rPr>
        <w:t xml:space="preserve">Note: </w:t>
      </w:r>
      <w:r w:rsidRPr="00283F72">
        <w:rPr>
          <w:spacing w:val="4"/>
        </w:rPr>
        <w:t>Demonstration requirements related to the diesel mode indicator in the case of the installation of a type approved Type 1B, Type 2B, or Type 3B dual-fuel engine in a vehicle are specified in paragraph 6.2.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A.3.1.3.</w:t>
      </w:r>
      <w:r w:rsidRPr="00B04DC3">
        <w:tab/>
        <w:t>Service mode indicator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4"/>
        </w:rPr>
      </w:pPr>
      <w:bookmarkStart w:id="1854" w:name="_Toc316979375"/>
      <w:r w:rsidRPr="00B04DC3">
        <w:rPr>
          <w:spacing w:val="-4"/>
        </w:rPr>
        <w:tab/>
        <w:t xml:space="preserve">In the case where a dual-fuel engine is type approved as a separate technical unit, the ability of the engine system to command the activation of the service mode indicator when operating in service mode shall be demonstrated at type approval.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In the case where a dual-fuel vehicle is type approved with regard to its emissions, the activation of the service mode indicator when operating in service mode shall be demonstrated at type approval.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r>
      <w:r w:rsidRPr="00B04DC3">
        <w:rPr>
          <w:i/>
        </w:rPr>
        <w:t xml:space="preserve">Note: </w:t>
      </w:r>
      <w:r w:rsidRPr="00B04DC3">
        <w:t>Demonstration requirements related to the service mode indicator in the case of the installation of a type approved dual-fuel engine in a vehicle are specified in paragraph 6.2. of this annex.</w:t>
      </w:r>
    </w:p>
    <w:p w:rsidR="00B4293A" w:rsidRPr="00B04DC3" w:rsidRDefault="00B4293A" w:rsidP="00283F72">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A.3.1.3.1.</w:t>
      </w:r>
      <w:r w:rsidRPr="00B04DC3">
        <w:tab/>
        <w:t>When so-equipped it is sufficient to perform the demonstration related to the service mode indicator by activating a service mode activation switch and to present the Type Approval Authority with evidence showing that the activation occurs when the service mode is commanded by the engine system itself (for example, through algorithms, simulations, result of in-house tests, etc.).</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A.3.2.</w:t>
      </w:r>
      <w:r w:rsidRPr="00B04DC3">
        <w:tab/>
        <w:t>Dual-fuel warning system</w:t>
      </w:r>
      <w:bookmarkEnd w:id="1854"/>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engine is type approved as a separate technical unit, the ability of the engine system to command the activation of the dual-fuel warning system in the case that the amount of gas in the tank is below the warning level,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dual-fuel vehicle is type-approved in respect of its engine</w:t>
      </w:r>
      <w:r w:rsidRPr="00B04DC3" w:rsidDel="00B12CD9">
        <w:t xml:space="preserve"> </w:t>
      </w:r>
      <w:r w:rsidRPr="00B04DC3">
        <w:t>the activation of the dual-fuel warning system in the case that the amount of gas in the tank is below the warning level, shall be demonstrated at type approval. For that purpose, at the request of the manufacturer and with the approval of the Type Approval Authority, the actual amount of gas may be simulated.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r>
      <w:r w:rsidRPr="00B04DC3">
        <w:rPr>
          <w:i/>
        </w:rPr>
        <w:t>Note:</w:t>
      </w:r>
      <w:r w:rsidRPr="00B04DC3">
        <w:t xml:space="preserve"> Demonstration requirements related to the dual-fuel warning system in the case of the installation of a type-approved dual-fuel engine in a vehicle are specified in paragraph 6.2.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55" w:name="_Toc316979376"/>
      <w:r w:rsidRPr="00B04DC3">
        <w:t>A.3.3.</w:t>
      </w:r>
      <w:r w:rsidRPr="00B04DC3">
        <w:tab/>
        <w:t>Unavailability of gaseous fuel when operating in a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A.3.3.1.</w:t>
      </w:r>
      <w:r w:rsidRPr="00B04DC3">
        <w:tab/>
        <w:t>Operability</w:t>
      </w:r>
      <w:bookmarkEnd w:id="1855"/>
      <w:r w:rsidRPr="00B04DC3">
        <w:t xml:space="preserve"> restriction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pacing w:val="-4"/>
        </w:rPr>
      </w:pPr>
      <w:r w:rsidRPr="00B04DC3">
        <w:rPr>
          <w:spacing w:val="-4"/>
        </w:rPr>
        <w:tab/>
        <w:t>In the case where a Type 1A dual-fuel engine is type approved as a separate technical unit, the ability of the engine system to command the activation of the operability restriction upon detection of an empty gaseous fuel tank, of a malfunctioning gas supply system in dual-fuel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Type 1A dual-fuel vehicle is type approved in respect of its engine, the activation of the operability restriction upon detection of an empty gaseous fuel tank and, of a malfunctioning gas supply system in dual-fuel mode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r>
      <w:r w:rsidRPr="00B04DC3">
        <w:rPr>
          <w:i/>
        </w:rPr>
        <w:t>Note:</w:t>
      </w:r>
      <w:r w:rsidRPr="00B04DC3">
        <w:t xml:space="preserve"> Demonstration requirements related to the operability restriction in the case of the installation of a type-approved Type 1A dual-fuel engine in a vehicle are specified in paragraph 6.2. of this annex.</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A.3.3.2.</w:t>
      </w:r>
      <w:r w:rsidRPr="00B04DC3">
        <w:tab/>
        <w:t>Switch to diesel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Type 1B, 2B, or 3B dual-fuel engine is type approved as a separate technical unit, the ability of the engine system to switch to diesel mode upon detection of an empty gaseous fuel tank and of a malfunctioning gas supply system in dual-fuel shall be demonstrated at type approval.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In the case where a Type 1B, 2B, or 3B dual-fuel vehicle is type approved in respect of its engine, the switch to diesel mode upon detection of an empty gaseous fuel tank and of a malfunctioning gas supply system in dual-fuel mode shall be demonstrated at type approval.</w:t>
      </w:r>
    </w:p>
    <w:p w:rsidR="00B4293A" w:rsidRPr="00B04DC3" w:rsidRDefault="00B4293A" w:rsidP="00283F72">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A.3.3.3.</w:t>
      </w:r>
      <w:r w:rsidRPr="00B04DC3">
        <w:tab/>
        <w:t>The malfunctioning of the gas supply may be simulated at the request of the manufacturer and with the approval of the Type Approval Authority.</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snapToGrid w:val="0"/>
        </w:rPr>
      </w:pPr>
      <w:r w:rsidRPr="00B04DC3">
        <w:t>A.3.3.4.</w:t>
      </w:r>
      <w:r w:rsidRPr="00B04DC3">
        <w:tab/>
        <w:t xml:space="preserve">It is sufficient to perform the demonstration in a typical use-case selected with the agreement of the Type Approval Authority and to present that </w:t>
      </w:r>
      <w:r w:rsidR="009E6E1D">
        <w:t>A</w:t>
      </w:r>
      <w:r w:rsidRPr="00B04DC3">
        <w:t>uthority with evidence showing that the operability restriction occurs in the other possible use-cases (for example, through algorithms, simulations, result of in-house tests, etc.</w:t>
      </w:r>
      <w:bookmarkEnd w:id="1835"/>
      <w:bookmarkEnd w:id="1836"/>
      <w:bookmarkEnd w:id="1852"/>
      <w:bookmarkEnd w:id="1853"/>
    </w:p>
    <w:p w:rsidR="00B4293A" w:rsidRPr="00B04DC3" w:rsidRDefault="00B4293A" w:rsidP="00B4293A">
      <w:pPr>
        <w:keepNext/>
        <w:keepLines/>
        <w:tabs>
          <w:tab w:val="right" w:pos="851"/>
        </w:tabs>
        <w:spacing w:before="360" w:after="240" w:line="300" w:lineRule="exact"/>
        <w:ind w:left="1134" w:right="1134" w:hanging="1134"/>
        <w:rPr>
          <w:b/>
          <w:sz w:val="28"/>
        </w:rPr>
        <w:sectPr w:rsidR="00B4293A" w:rsidRPr="00B04DC3" w:rsidSect="00B4293A">
          <w:headerReference w:type="even" r:id="rId748"/>
          <w:headerReference w:type="default" r:id="rId749"/>
          <w:headerReference w:type="first" r:id="rId750"/>
          <w:footnotePr>
            <w:numRestart w:val="eachSect"/>
          </w:footnotePr>
          <w:endnotePr>
            <w:numFmt w:val="decimal"/>
          </w:endnotePr>
          <w:pgSz w:w="11907" w:h="16840" w:code="9"/>
          <w:pgMar w:top="1701" w:right="1134" w:bottom="2268" w:left="1134" w:header="1134" w:footer="1701" w:gutter="0"/>
          <w:cols w:space="720"/>
          <w:titlePg/>
        </w:sectPr>
      </w:pPr>
    </w:p>
    <w:p w:rsidR="00B4293A" w:rsidRPr="00B04DC3" w:rsidRDefault="00B4293A" w:rsidP="007B59F3">
      <w:pPr>
        <w:pStyle w:val="HChG"/>
      </w:pPr>
      <w:bookmarkStart w:id="1856" w:name="_Toc423599736"/>
      <w:bookmarkStart w:id="1857" w:name="_Toc423611144"/>
      <w:r w:rsidRPr="00B04DC3">
        <w:t>Annex 11 – Appendix 4</w:t>
      </w:r>
      <w:bookmarkEnd w:id="1856"/>
      <w:bookmarkEnd w:id="1857"/>
    </w:p>
    <w:p w:rsidR="00B4293A" w:rsidRPr="00B04DC3" w:rsidRDefault="00B4293A" w:rsidP="00A064FD">
      <w:pPr>
        <w:pStyle w:val="HChG"/>
        <w:spacing w:after="360"/>
        <w:rPr>
          <w:lang w:eastAsia="ja-JP"/>
        </w:rPr>
      </w:pPr>
      <w:bookmarkStart w:id="1858" w:name="_Toc301946557"/>
      <w:r w:rsidRPr="00B04DC3">
        <w:rPr>
          <w:lang w:eastAsia="ja-JP"/>
        </w:rPr>
        <w:tab/>
      </w:r>
      <w:r w:rsidRPr="00B04DC3">
        <w:rPr>
          <w:lang w:eastAsia="ja-JP"/>
        </w:rPr>
        <w:tab/>
      </w:r>
      <w:bookmarkStart w:id="1859" w:name="_Toc423599737"/>
      <w:bookmarkStart w:id="1860" w:name="_Toc423611145"/>
      <w:r w:rsidRPr="00B04DC3">
        <w:t>Additional</w:t>
      </w:r>
      <w:r w:rsidRPr="00B04DC3">
        <w:rPr>
          <w:lang w:eastAsia="ja-JP"/>
        </w:rPr>
        <w:t xml:space="preserve"> emission test procedure requirements for dual-fuel engines</w:t>
      </w:r>
      <w:bookmarkEnd w:id="1858"/>
      <w:bookmarkEnd w:id="1859"/>
      <w:bookmarkEnd w:id="1860"/>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bookmarkStart w:id="1861" w:name="_Toc316979384"/>
      <w:r w:rsidRPr="00B04DC3">
        <w:t>A.4.1.</w:t>
      </w:r>
      <w:r w:rsidRPr="00B04DC3">
        <w:tab/>
        <w:t>General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This appendix defines the additional requirements and exceptions to Annexes 4A and 4B of this Regulation to enable emission testing of dual-fuel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Emission testing of a dual-fuel engine is complicated by the fact that the fuel used by the engine can vary between pure diesel fuel and a combination of mainly gaseous fuel with only a small amount of diesel fuel as an ignition source. The ratio between the fuels used by a dual-fuel engine can also change dynamically depending of the operating condition of the engine. As a result special precautions and restrictions are necessary to enable emission testing of these engines.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A.4.2.</w:t>
      </w:r>
      <w:r w:rsidRPr="00B04DC3">
        <w:tab/>
        <w:t>Test conditions (Annex 4B, paragraph 6.)</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A.4.2.1.</w:t>
      </w:r>
      <w:r w:rsidRPr="00B04DC3">
        <w:tab/>
        <w:t>Laboratory test conditions (Annex 4A, paragraph 2.1. or Annex 4B, paragraph 6.1.)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The parameter </w:t>
      </w:r>
      <w:r w:rsidRPr="00B04DC3">
        <w:rPr>
          <w:i/>
        </w:rPr>
        <w:t>f</w:t>
      </w:r>
      <w:r w:rsidRPr="00B04DC3">
        <w:rPr>
          <w:i/>
          <w:vertAlign w:val="subscript"/>
        </w:rPr>
        <w:t>a</w:t>
      </w:r>
      <w:r w:rsidRPr="00B04DC3">
        <w:t xml:space="preserve"> for dual-fuel engines shall be determined with formula (a)(2) in paragraph 6.1. of Annex 4B to this </w:t>
      </w:r>
      <w:r w:rsidR="00644D66">
        <w:t>R</w:t>
      </w:r>
      <w:r w:rsidRPr="00B04DC3">
        <w:t>egulation.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A.4.3.</w:t>
      </w:r>
      <w:r w:rsidRPr="00B04DC3">
        <w:tab/>
        <w:t>Test procedures (</w:t>
      </w:r>
      <w:r w:rsidR="00644D66">
        <w:t>A</w:t>
      </w:r>
      <w:r w:rsidRPr="00B04DC3">
        <w:t>nnex 4A, paragraph 1. and Annex 4B, paragraph 7.)</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A.4.3.1.</w:t>
      </w:r>
      <w:r w:rsidRPr="00B04DC3">
        <w:tab/>
        <w:t>Measurement procedures (Annex 4B, paragraph 7.1.3.)</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The recommended measurement procedure for dual-fuel engines is procedure (b) listed in paragraph 7.1.3. of Annex 4B (CVS system).</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This measurement procedure ensures that the variation of the fuel composition during the test will only influence the hydrocarbon measurement results. This shall be compensated via one of the methods described in paragraph A.4.4.4.</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 xml:space="preserve">Other measurement methods such as method (a) listed in paragraph 7.1.3. of Annex 4B (raw gaseous/partial flow measurement) can be used with some precautions regarding exhaust mass flow determination and calculation methods. Fixed values for fuel parameters and </w:t>
      </w:r>
      <w:r w:rsidRPr="00B04DC3">
        <w:rPr>
          <w:i/>
        </w:rPr>
        <w:t>u</w:t>
      </w:r>
      <w:r w:rsidRPr="00B04DC3">
        <w:rPr>
          <w:i/>
          <w:vertAlign w:val="subscript"/>
        </w:rPr>
        <w:t>gas</w:t>
      </w:r>
      <w:r w:rsidRPr="00B04DC3">
        <w:t>-values shall be applied as described in Appendix 5.</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w:t>
      </w:r>
      <w:r w:rsidRPr="00B04DC3">
        <w:tab/>
        <w:t>Emission calculation (Annex 4B, paragraph 8.)</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emissions calculation on a molar basis, in accordance with Annex 7 of gtr No. 11 concerning the exhaust emission test protocol for Non-Road Mobile Machinery (NRMM), is not permitted.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A.4.4.1.</w:t>
      </w:r>
      <w:r w:rsidRPr="00B04DC3">
        <w:tab/>
        <w:t>Dry/wet correction (Annex 4A, Appendix 1, paragraph 5.2. and Annex 4B, paragraph 8.1.)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A.4.4.1.1.</w:t>
      </w:r>
      <w:r w:rsidRPr="00B04DC3">
        <w:tab/>
        <w:t>Raw exhaust gas (Annex 4B, paragraph 8.1.1.)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Equations 15 and 17 in Annex 4B, paragraph 8.1.1. shall be used to calculate the dry/wet correction.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fuel specific parameters shall be determined according to paragraphs A.5.2. and A.5.3. of Appendix 5.</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A.4.4.1.2.</w:t>
      </w:r>
      <w:r w:rsidRPr="00B04DC3">
        <w:tab/>
        <w:t>Diluted exhaust gas (Annex 4B, paragraph 8.1.2.)</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Equations 19 and 20 in Annex 4B, paragraph 8.1.2. shall be used to calculate the wet/dry correction.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molar hydrogen ratio</w:t>
      </w:r>
      <w:r w:rsidRPr="00B04DC3">
        <w:rPr>
          <w:i/>
        </w:rPr>
        <w:t xml:space="preserve"> α</w:t>
      </w:r>
      <w:r w:rsidRPr="00B04DC3">
        <w:t xml:space="preserve"> of the combination of the two fuels shall be used for the dry/wet correction. This molar hydrogen ratio shall be calculated from the fuel consumption measurement values of both fuels according to paragraph A.5.4. of Appendix 5.</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A.4.4.2.</w:t>
      </w:r>
      <w:r w:rsidRPr="00B04DC3">
        <w:tab/>
        <w:t>NO</w:t>
      </w:r>
      <w:r w:rsidRPr="00B04DC3">
        <w:rPr>
          <w:vertAlign w:val="subscript"/>
        </w:rPr>
        <w:t>x</w:t>
      </w:r>
      <w:r w:rsidRPr="00B04DC3">
        <w:t xml:space="preserve"> correction for humidity (Annex 4B, paragraph 8.2.)</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NO</w:t>
      </w:r>
      <w:r w:rsidRPr="00B04DC3">
        <w:rPr>
          <w:vertAlign w:val="subscript"/>
        </w:rPr>
        <w:t>x</w:t>
      </w:r>
      <w:r w:rsidRPr="00B04DC3">
        <w:t xml:space="preserve"> humidity correction for compression ignition engines as specified in paragraph 8.2.1. of Annex 4B shall be used to determine the NO</w:t>
      </w:r>
      <w:r w:rsidRPr="00B04DC3">
        <w:rPr>
          <w:vertAlign w:val="subscript"/>
        </w:rPr>
        <w:t>x</w:t>
      </w:r>
      <w:r w:rsidRPr="00B04DC3">
        <w:t xml:space="preserve"> humidity correction for dual-fuel engines.</w:t>
      </w:r>
    </w:p>
    <w:p w:rsidR="00B4293A" w:rsidRPr="00B04DC3" w:rsidRDefault="00A905B7" w:rsidP="00B4293A">
      <w:pPr>
        <w:tabs>
          <w:tab w:val="right" w:pos="8500"/>
        </w:tabs>
        <w:spacing w:after="120"/>
        <w:ind w:left="2268" w:right="1134"/>
        <w:jc w:val="both"/>
      </w:pPr>
      <w:r>
        <w:rPr>
          <w:position w:val="-26"/>
        </w:rPr>
        <w:pict>
          <v:shape id="_x0000_i1471" type="#_x0000_t75" style="width:115.8pt;height:30.6pt">
            <v:imagedata r:id="rId751" o:title=""/>
          </v:shape>
        </w:pict>
      </w:r>
      <w:r w:rsidR="00B4293A" w:rsidRPr="00B04DC3">
        <w:tab/>
        <w:t>(A4.1)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Where: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H</w:t>
      </w:r>
      <w:r w:rsidRPr="00B04DC3">
        <w:rPr>
          <w:vertAlign w:val="subscript"/>
        </w:rPr>
        <w:t xml:space="preserve">a </w:t>
      </w:r>
      <w:r w:rsidRPr="00B04DC3">
        <w:t>is the intake air humidity, g water per kg dry air</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A.4.4.3.</w:t>
      </w:r>
      <w:r w:rsidRPr="00B04DC3">
        <w:tab/>
        <w:t>Partial flow dilution (PFS) and raw gaseous measurement (Annex 4B, paragraph 8.4.)</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A.4.4.3.1.</w:t>
      </w:r>
      <w:r w:rsidRPr="00B04DC3">
        <w:tab/>
        <w:t>Determination of exhaust gas mass flow (Annex 4A, Appendix2, paragraph 4.2. and Annex 4B, paragraph 8.4.1.)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exhaust mass flow shall be determined according to the direct measurement method as described in paragraph 8.4.1.3. of Annex 4B.</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Alternatively the airflow and air to fuel ratio measurement method according to paragraph 4.2.5. (equations 30, 31 and 32 of Annex 4B) may be used only if </w:t>
      </w:r>
      <w:r w:rsidRPr="00B04DC3">
        <w:rPr>
          <w:i/>
        </w:rPr>
        <w:t>α, γ, δ</w:t>
      </w:r>
      <w:r w:rsidRPr="00B04DC3">
        <w:t xml:space="preserve"> and </w:t>
      </w:r>
      <w:r w:rsidRPr="00B04DC3">
        <w:rPr>
          <w:i/>
        </w:rPr>
        <w:t>ε</w:t>
      </w:r>
      <w:r w:rsidRPr="00B04DC3">
        <w:t xml:space="preserve"> values are determined according to paragraph A.5.2. and A.5.3. of Appendix 5. The use of a zirconia-type sensor to determine the air fuel ratio is not allowed.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A.4.4.3.2.</w:t>
      </w:r>
      <w:r w:rsidRPr="00B04DC3">
        <w:tab/>
        <w:t>Determination of the gaseous components (Annex 4B, paragraph 8.4.2.)</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The calculations shall be performed according to Annex 4B, paragraph 8. but the </w:t>
      </w:r>
      <w:r w:rsidRPr="00B04DC3">
        <w:rPr>
          <w:i/>
        </w:rPr>
        <w:t>u</w:t>
      </w:r>
      <w:r w:rsidRPr="00B04DC3">
        <w:rPr>
          <w:i/>
          <w:vertAlign w:val="subscript"/>
        </w:rPr>
        <w:t>gas</w:t>
      </w:r>
      <w:r w:rsidRPr="00B04DC3">
        <w:t>-values and molar ratios as described in paragraph A.5.2. and A.5.3. of Appendix 5</w:t>
      </w:r>
      <w:r w:rsidR="00644D66">
        <w:t xml:space="preserve"> to this annex</w:t>
      </w:r>
      <w:r w:rsidRPr="00B04DC3">
        <w:t xml:space="preserve"> shall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A.4.4.3.3.</w:t>
      </w:r>
      <w:r w:rsidRPr="00B04DC3">
        <w:tab/>
        <w:t>Particulate determination (Annex 4B, paragraph 8.4.3.)</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For the determination of particulate emissions with the partial dilution measurement method the calculation shall be performed according to Annex 4B, paragraph 8.4.3.2.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For controlling the dilution ratio</w:t>
      </w:r>
      <w:r w:rsidR="00C56A42">
        <w:t>,</w:t>
      </w:r>
      <w:r w:rsidRPr="00B04DC3">
        <w:t xml:space="preserve"> one of the following two methods may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(a)</w:t>
      </w:r>
      <w:r w:rsidRPr="00B04DC3">
        <w:tab/>
        <w:t>The direct mass flow measurement as described in paragraph 8.4.1.3.;</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(b)</w:t>
      </w:r>
      <w:r w:rsidRPr="00B04DC3">
        <w:tab/>
        <w:t xml:space="preserve">The airflow and air to fuel ratio measurement method according to paragraph 8.4.1.6. (equations 30, 31 and 32) may only be used when this is combined with the look ahead method described in paragraph 8.4.1.2. and if </w:t>
      </w:r>
      <w:r w:rsidRPr="00B04DC3">
        <w:rPr>
          <w:i/>
        </w:rPr>
        <w:t>α, γ, δ</w:t>
      </w:r>
      <w:r w:rsidRPr="00B04DC3">
        <w:t xml:space="preserve"> and </w:t>
      </w:r>
      <w:r w:rsidRPr="00B04DC3">
        <w:rPr>
          <w:i/>
        </w:rPr>
        <w:t>ε</w:t>
      </w:r>
      <w:r w:rsidRPr="00B04DC3">
        <w:t xml:space="preserve"> values are determined according to paragraphs A.5.2. and A.5.3. of Appendix 5</w:t>
      </w:r>
      <w:r w:rsidR="00644D66">
        <w:t xml:space="preserve"> to this annex</w:t>
      </w:r>
      <w:r w:rsidRPr="00B04DC3">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quality check according to paragraph 9.4.6.1. shall be performed for each measurement.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A.4.4.3.4.</w:t>
      </w:r>
      <w:r w:rsidRPr="00B04DC3">
        <w:tab/>
        <w:t xml:space="preserve">Additional requirements regarding the exhaust gas mass flow meter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flow meter referred to in paragraphs A.4.4.3.1. and A.4.4.3.3.</w:t>
      </w:r>
      <w:r w:rsidR="00644D66">
        <w:t xml:space="preserve"> above</w:t>
      </w:r>
      <w:r w:rsidRPr="00B04DC3">
        <w:t xml:space="preserve"> shall not be sensitive to the changes in exhaust gas composition and density. The small errors of e.g. pitot tube or orifice-type of measurement (equivalent with the square root of the exhaust density) may be neglected.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A.4.4.4.</w:t>
      </w:r>
      <w:r w:rsidRPr="00B04DC3">
        <w:tab/>
        <w:t>Full flow dilution measurement (CVS) (Annex 4B, paragraph 8.5.)</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possible variation of the fuel composition will only influence the hydrocarbons measurement results calculation. For all other components the appropriate equations from paragraph 8.5.2. of Annex 4B shall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exact equations shall be applied for the calculation of the hydrocarbon emissions using the molar component ratios determined from the fuel consumption measurements of both fuels according to paragraph A.5.4. of Appendix 5</w:t>
      </w:r>
      <w:r w:rsidR="00644D66" w:rsidRPr="00644D66">
        <w:t xml:space="preserve"> </w:t>
      </w:r>
      <w:r w:rsidR="00644D66">
        <w:t>to this annex</w:t>
      </w:r>
      <w:r w:rsidRPr="00B04DC3">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A.4.4.4.1.</w:t>
      </w:r>
      <w:r w:rsidRPr="00B04DC3">
        <w:tab/>
        <w:t>Determination of the background corrected concentrations (Annex 4B, paragraph 8.5.2.3.2.)</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To determine the stoïchiometric factor, the molar hydrogen ratio </w:t>
      </w:r>
      <w:r w:rsidRPr="00B04DC3">
        <w:rPr>
          <w:i/>
        </w:rPr>
        <w:t>α</w:t>
      </w:r>
      <w:r w:rsidRPr="00B04DC3">
        <w:t xml:space="preserve"> of the fuel shall be calculated as the average molar hydrogen ratio of the fuel mix during the test according to paragraph A.5.4. of Appendix 5</w:t>
      </w:r>
      <w:r w:rsidR="00644D66">
        <w:t xml:space="preserve"> to this annex</w:t>
      </w:r>
      <w:r w:rsidRPr="00B04DC3">
        <w:t>.</w:t>
      </w:r>
      <w:r w:rsidRPr="00B04DC3" w:rsidDel="0004331E">
        <w:t xml:space="preserve">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Alternatively the </w:t>
      </w:r>
      <w:r w:rsidRPr="00B04DC3">
        <w:rPr>
          <w:i/>
        </w:rPr>
        <w:t>F</w:t>
      </w:r>
      <w:r w:rsidRPr="00B04DC3">
        <w:rPr>
          <w:i/>
          <w:vertAlign w:val="subscript"/>
        </w:rPr>
        <w:t>s</w:t>
      </w:r>
      <w:r w:rsidRPr="00B04DC3">
        <w:t xml:space="preserve"> value of the gaseous fuel may be used in equation 59 or 60 of Annex 4B.</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A.4.5.</w:t>
      </w:r>
      <w:r w:rsidRPr="00B04DC3">
        <w:tab/>
        <w:t>Equipment specification and verification (Annex 4B, paragraph 9.)</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A.4.5.1.</w:t>
      </w:r>
      <w:r w:rsidRPr="00B04DC3">
        <w:tab/>
        <w:t>Oxygen interference check gases (Annex 4B, paragraph 9.3.3.4.)</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The oxygen concentrations required for dual-fuel engines are equal to those required for compression ignition engines listed in </w:t>
      </w:r>
      <w:r w:rsidR="00644D66">
        <w:t>T</w:t>
      </w:r>
      <w:r w:rsidRPr="00B04DC3">
        <w:t>able 8 in paragraph 9.3.3.4. of Annex 4B.</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rPr>
          <w:highlight w:val="cyan"/>
        </w:rPr>
      </w:pPr>
      <w:r w:rsidRPr="00B04DC3">
        <w:t>A.4.5.2.</w:t>
      </w:r>
      <w:r w:rsidRPr="00B04DC3">
        <w:tab/>
        <w:t>Oxygen interference check (Annex 4B, paragraph 9.3.7.3.)</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Instruments used to measure dual-fuel engines shall be checked using the same procedures as those used to measure compression ignition engines. The 21 per cent oxygen blend shall be used under subparagraph (b) in paragraph 9.3.7.3. of Annex 4B.</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rPr>
          <w:highlight w:val="cyan"/>
        </w:rPr>
      </w:pPr>
      <w:r w:rsidRPr="00B04DC3">
        <w:t>A.4.5.3.</w:t>
      </w:r>
      <w:r w:rsidRPr="00B04DC3">
        <w:tab/>
        <w:t>Water quench check (Annex 4A, Appendix 5, paragraph 1.9.2.2. and Annex 4B, paragraph 9.3.9.2.2.)</w:t>
      </w:r>
    </w:p>
    <w:p w:rsidR="00B4293A"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The water quench check applies to wet NO</w:t>
      </w:r>
      <w:r w:rsidRPr="00B04DC3">
        <w:rPr>
          <w:vertAlign w:val="subscript"/>
        </w:rPr>
        <w:t>x</w:t>
      </w:r>
      <w:r w:rsidRPr="00B04DC3">
        <w:t xml:space="preserve"> concentration measurements only. For dual-fuel engines fuelled with natural gas this check should be performed with an assumed H/C ratio of 4 (Methane). In that case </w:t>
      </w:r>
      <w:r w:rsidRPr="00B04DC3">
        <w:br/>
      </w:r>
      <w:r w:rsidRPr="00B04DC3">
        <w:rPr>
          <w:i/>
        </w:rPr>
        <w:t>H</w:t>
      </w:r>
      <w:r w:rsidRPr="00B04DC3">
        <w:rPr>
          <w:i/>
          <w:vertAlign w:val="subscript"/>
        </w:rPr>
        <w:t>m</w:t>
      </w:r>
      <w:r w:rsidRPr="00B04DC3">
        <w:t xml:space="preserve"> = 2 x </w:t>
      </w:r>
      <w:r w:rsidRPr="00B04DC3">
        <w:rPr>
          <w:i/>
        </w:rPr>
        <w:t>A</w:t>
      </w:r>
      <w:r w:rsidRPr="00B04DC3">
        <w:t xml:space="preserve">. For dual-fuel engines fuelled with LPG this check should be performed with an assumed H/C ratio of 2.525. In that case </w:t>
      </w:r>
      <w:r w:rsidRPr="00B04DC3">
        <w:rPr>
          <w:i/>
        </w:rPr>
        <w:t>H</w:t>
      </w:r>
      <w:r w:rsidRPr="00B04DC3">
        <w:rPr>
          <w:i/>
          <w:vertAlign w:val="subscript"/>
        </w:rPr>
        <w:t>m</w:t>
      </w:r>
      <w:r w:rsidRPr="00B04DC3">
        <w:t xml:space="preserve"> = 1.25 x </w:t>
      </w:r>
      <w:r w:rsidRPr="00B04DC3">
        <w:rPr>
          <w:i/>
        </w:rPr>
        <w:t>A</w:t>
      </w:r>
      <w:r w:rsidRPr="00B04DC3">
        <w:t>.</w:t>
      </w:r>
      <w:bookmarkEnd w:id="1861"/>
    </w:p>
    <w:p w:rsidR="007B59F3" w:rsidRDefault="007B59F3"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sectPr w:rsidR="007B59F3" w:rsidSect="00AF2027">
          <w:headerReference w:type="even" r:id="rId752"/>
          <w:headerReference w:type="default" r:id="rId753"/>
          <w:headerReference w:type="first" r:id="rId754"/>
          <w:footerReference w:type="first" r:id="rId755"/>
          <w:footnotePr>
            <w:numRestart w:val="eachSect"/>
          </w:footnotePr>
          <w:endnotePr>
            <w:numFmt w:val="decimal"/>
          </w:endnotePr>
          <w:pgSz w:w="11907" w:h="16840" w:code="9"/>
          <w:pgMar w:top="1701" w:right="1134" w:bottom="2268" w:left="1134" w:header="1134" w:footer="1701" w:gutter="0"/>
          <w:cols w:space="720"/>
          <w:titlePg/>
        </w:sectPr>
      </w:pPr>
    </w:p>
    <w:p w:rsidR="00B4293A" w:rsidRPr="00B04DC3" w:rsidRDefault="00B4293A" w:rsidP="007B59F3">
      <w:pPr>
        <w:pStyle w:val="HChG"/>
        <w:rPr>
          <w:rFonts w:eastAsia="EUAlbertina-Regular-Identity-H"/>
          <w:lang w:eastAsia="en-GB"/>
        </w:rPr>
      </w:pPr>
      <w:bookmarkStart w:id="1862" w:name="_Toc423599738"/>
      <w:bookmarkStart w:id="1863" w:name="_Toc423611146"/>
      <w:r w:rsidRPr="00B04DC3">
        <w:t>Annex 11 – Appendix</w:t>
      </w:r>
      <w:r w:rsidRPr="00B04DC3">
        <w:rPr>
          <w:rFonts w:eastAsia="EUAlbertina-Regular-Identity-H"/>
          <w:lang w:eastAsia="en-GB"/>
        </w:rPr>
        <w:t xml:space="preserve"> 5</w:t>
      </w:r>
      <w:bookmarkEnd w:id="1862"/>
      <w:bookmarkEnd w:id="1863"/>
    </w:p>
    <w:p w:rsidR="00B4293A" w:rsidRPr="00B04DC3" w:rsidRDefault="00B4293A" w:rsidP="00A064FD">
      <w:pPr>
        <w:pStyle w:val="HChG"/>
        <w:spacing w:after="360"/>
        <w:rPr>
          <w:rFonts w:eastAsia="MS Mincho"/>
          <w:lang w:eastAsia="ja-JP"/>
        </w:rPr>
      </w:pPr>
      <w:r w:rsidRPr="00B04DC3">
        <w:rPr>
          <w:rFonts w:eastAsia="MS Mincho"/>
          <w:lang w:eastAsia="ja-JP"/>
        </w:rPr>
        <w:tab/>
      </w:r>
      <w:r w:rsidRPr="00B04DC3">
        <w:rPr>
          <w:rFonts w:eastAsia="MS Mincho"/>
          <w:lang w:eastAsia="ja-JP"/>
        </w:rPr>
        <w:tab/>
      </w:r>
      <w:bookmarkStart w:id="1864" w:name="_Toc423599739"/>
      <w:bookmarkStart w:id="1865" w:name="_Toc423611147"/>
      <w:r w:rsidRPr="00B04DC3">
        <w:t>Determination</w:t>
      </w:r>
      <w:r w:rsidRPr="00B04DC3">
        <w:rPr>
          <w:rFonts w:eastAsia="MS Mincho"/>
          <w:lang w:eastAsia="ja-JP"/>
        </w:rPr>
        <w:t xml:space="preserve"> of molar component ratios and </w:t>
      </w:r>
      <w:r w:rsidRPr="00B04DC3">
        <w:rPr>
          <w:rFonts w:eastAsia="MS Mincho"/>
          <w:i/>
          <w:lang w:eastAsia="ja-JP"/>
        </w:rPr>
        <w:t>u</w:t>
      </w:r>
      <w:r w:rsidRPr="00B04DC3">
        <w:rPr>
          <w:rFonts w:eastAsia="MS Mincho"/>
          <w:i/>
          <w:vertAlign w:val="subscript"/>
          <w:lang w:eastAsia="ja-JP"/>
        </w:rPr>
        <w:t>gas</w:t>
      </w:r>
      <w:r w:rsidRPr="00B04DC3">
        <w:rPr>
          <w:rFonts w:eastAsia="MS Mincho"/>
          <w:lang w:eastAsia="ja-JP"/>
        </w:rPr>
        <w:t xml:space="preserve"> values for dual-fuel engines</w:t>
      </w:r>
      <w:bookmarkEnd w:id="1864"/>
      <w:bookmarkEnd w:id="1865"/>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A.5.1.</w:t>
      </w:r>
      <w:r w:rsidRPr="00B04DC3">
        <w:tab/>
        <w:t>General</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This appendix defines the determination of molar component ratios</w:t>
      </w:r>
      <w:r w:rsidRPr="00B04DC3">
        <w:rPr>
          <w:i/>
        </w:rPr>
        <w:t xml:space="preserve"> </w:t>
      </w:r>
      <w:r w:rsidRPr="00B04DC3">
        <w:t xml:space="preserve">and </w:t>
      </w:r>
      <w:r w:rsidRPr="00B04DC3">
        <w:rPr>
          <w:i/>
        </w:rPr>
        <w:t>u</w:t>
      </w:r>
      <w:r w:rsidRPr="00B04DC3">
        <w:rPr>
          <w:i/>
          <w:vertAlign w:val="subscript"/>
        </w:rPr>
        <w:t>gas</w:t>
      </w:r>
      <w:r w:rsidRPr="00B04DC3">
        <w:t xml:space="preserve"> values for the dry-wet factor and emissions calculations for emission testing of dual-fuel engines.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A.5.2.</w:t>
      </w:r>
      <w:r w:rsidRPr="00B04DC3">
        <w:tab/>
        <w:t>Operation in dual-fuel mode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A.5.2.1.</w:t>
      </w:r>
      <w:r w:rsidRPr="00B04DC3">
        <w:tab/>
        <w:t>For Type 1A or 1B dual-fuel engines operating in dual-fuel mode the molar component ratios</w:t>
      </w:r>
      <w:r w:rsidRPr="00B04DC3">
        <w:rPr>
          <w:i/>
        </w:rPr>
        <w:t xml:space="preserve"> </w:t>
      </w:r>
      <w:r w:rsidRPr="00B04DC3">
        <w:t xml:space="preserve">and the </w:t>
      </w:r>
      <w:r w:rsidRPr="00B04DC3">
        <w:rPr>
          <w:i/>
        </w:rPr>
        <w:t>u</w:t>
      </w:r>
      <w:r w:rsidRPr="00B04DC3">
        <w:rPr>
          <w:i/>
          <w:vertAlign w:val="subscript"/>
        </w:rPr>
        <w:t>gas</w:t>
      </w:r>
      <w:r w:rsidRPr="00B04DC3">
        <w:t xml:space="preserve"> values of the gaseous fuel shall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A.5.2.2.</w:t>
      </w:r>
      <w:r w:rsidRPr="00B04DC3">
        <w:tab/>
        <w:t>For Type 2A or 2B dual-fuel engines operating in dual-fuel mode the molar component ratios</w:t>
      </w:r>
      <w:r w:rsidRPr="00B04DC3">
        <w:rPr>
          <w:i/>
        </w:rPr>
        <w:t xml:space="preserve"> </w:t>
      </w:r>
      <w:r w:rsidRPr="00B04DC3">
        <w:t xml:space="preserve">and the </w:t>
      </w:r>
      <w:r w:rsidRPr="00B04DC3">
        <w:rPr>
          <w:i/>
        </w:rPr>
        <w:t>u</w:t>
      </w:r>
      <w:r w:rsidRPr="00B04DC3">
        <w:rPr>
          <w:i/>
          <w:vertAlign w:val="subscript"/>
        </w:rPr>
        <w:t>gas</w:t>
      </w:r>
      <w:r w:rsidRPr="00B04DC3">
        <w:t xml:space="preserve"> values from </w:t>
      </w:r>
      <w:r w:rsidR="00644D66">
        <w:t>T</w:t>
      </w:r>
      <w:r w:rsidRPr="00B04DC3">
        <w:t xml:space="preserve">ables A6.1 and A6.2 shall be used. </w:t>
      </w:r>
    </w:p>
    <w:p w:rsidR="00B4293A" w:rsidRPr="00B04DC3" w:rsidRDefault="00B4293A" w:rsidP="00331BC3">
      <w:pPr>
        <w:keepNext/>
        <w:keepLines/>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426" w:right="1134"/>
        <w:outlineLvl w:val="0"/>
      </w:pPr>
      <w:r w:rsidRPr="00B04DC3">
        <w:t>Table A6.1</w:t>
      </w:r>
    </w:p>
    <w:p w:rsidR="007B59F3" w:rsidRPr="00B04DC3" w:rsidRDefault="00B4293A" w:rsidP="007B59F3">
      <w:pPr>
        <w:keepNext/>
        <w:keepLines/>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426" w:right="1134"/>
        <w:outlineLvl w:val="0"/>
        <w:rPr>
          <w:b/>
        </w:rPr>
      </w:pPr>
      <w:r w:rsidRPr="00B04DC3">
        <w:rPr>
          <w:b/>
        </w:rPr>
        <w:t>Molar component ratios for a mixture of 50 per cent gaseous fuel and 50 per cent diesel fuel (mass per cent)</w:t>
      </w:r>
    </w:p>
    <w:tbl>
      <w:tblPr>
        <w:tblW w:w="8788"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26"/>
        <w:gridCol w:w="1740"/>
        <w:gridCol w:w="1741"/>
        <w:gridCol w:w="1740"/>
        <w:gridCol w:w="1741"/>
      </w:tblGrid>
      <w:tr w:rsidR="00B4293A" w:rsidRPr="00B04DC3" w:rsidTr="00331BC3">
        <w:tc>
          <w:tcPr>
            <w:tcW w:w="1826" w:type="dxa"/>
            <w:tcBorders>
              <w:bottom w:val="single" w:sz="12" w:space="0" w:color="auto"/>
            </w:tcBorders>
            <w:vAlign w:val="center"/>
          </w:tcPr>
          <w:p w:rsidR="00B4293A" w:rsidRPr="00B04DC3" w:rsidRDefault="00B4293A" w:rsidP="00A064FD">
            <w:pPr>
              <w:spacing w:before="80" w:after="80"/>
              <w:ind w:left="33"/>
              <w:rPr>
                <w:i/>
                <w:sz w:val="16"/>
                <w:szCs w:val="16"/>
              </w:rPr>
            </w:pPr>
            <w:r w:rsidRPr="00B04DC3">
              <w:rPr>
                <w:i/>
                <w:sz w:val="16"/>
                <w:szCs w:val="16"/>
              </w:rPr>
              <w:t xml:space="preserve">Gaseous </w:t>
            </w:r>
            <w:r w:rsidR="00925298">
              <w:rPr>
                <w:i/>
                <w:sz w:val="16"/>
                <w:szCs w:val="16"/>
              </w:rPr>
              <w:t>f</w:t>
            </w:r>
            <w:r w:rsidRPr="00B04DC3">
              <w:rPr>
                <w:i/>
                <w:sz w:val="16"/>
                <w:szCs w:val="16"/>
              </w:rPr>
              <w:t>uel</w:t>
            </w:r>
          </w:p>
        </w:tc>
        <w:tc>
          <w:tcPr>
            <w:tcW w:w="1740" w:type="dxa"/>
            <w:tcBorders>
              <w:bottom w:val="single" w:sz="12" w:space="0" w:color="auto"/>
            </w:tcBorders>
            <w:vAlign w:val="center"/>
          </w:tcPr>
          <w:p w:rsidR="00B4293A" w:rsidRPr="00B04DC3" w:rsidRDefault="00B4293A" w:rsidP="00A064FD">
            <w:pPr>
              <w:spacing w:before="80" w:after="80"/>
              <w:ind w:left="426"/>
              <w:jc w:val="center"/>
              <w:rPr>
                <w:i/>
                <w:sz w:val="16"/>
                <w:szCs w:val="16"/>
              </w:rPr>
            </w:pPr>
            <w:r w:rsidRPr="00B04DC3">
              <w:rPr>
                <w:i/>
                <w:sz w:val="16"/>
                <w:szCs w:val="16"/>
              </w:rPr>
              <w:t>α</w:t>
            </w:r>
          </w:p>
        </w:tc>
        <w:tc>
          <w:tcPr>
            <w:tcW w:w="1741" w:type="dxa"/>
            <w:tcBorders>
              <w:bottom w:val="single" w:sz="12" w:space="0" w:color="auto"/>
            </w:tcBorders>
            <w:vAlign w:val="center"/>
          </w:tcPr>
          <w:p w:rsidR="00B4293A" w:rsidRPr="00B04DC3" w:rsidRDefault="00B4293A" w:rsidP="00A064FD">
            <w:pPr>
              <w:spacing w:before="80" w:after="80"/>
              <w:ind w:left="426"/>
              <w:jc w:val="center"/>
              <w:rPr>
                <w:i/>
                <w:sz w:val="16"/>
                <w:szCs w:val="16"/>
              </w:rPr>
            </w:pPr>
            <w:r w:rsidRPr="00B04DC3">
              <w:rPr>
                <w:i/>
                <w:sz w:val="16"/>
                <w:szCs w:val="16"/>
              </w:rPr>
              <w:t>γ</w:t>
            </w:r>
          </w:p>
        </w:tc>
        <w:tc>
          <w:tcPr>
            <w:tcW w:w="1740" w:type="dxa"/>
            <w:tcBorders>
              <w:bottom w:val="single" w:sz="12" w:space="0" w:color="auto"/>
            </w:tcBorders>
            <w:vAlign w:val="center"/>
          </w:tcPr>
          <w:p w:rsidR="00B4293A" w:rsidRPr="00B04DC3" w:rsidRDefault="00B4293A" w:rsidP="00A064FD">
            <w:pPr>
              <w:spacing w:before="80" w:after="80"/>
              <w:ind w:left="426"/>
              <w:jc w:val="center"/>
              <w:rPr>
                <w:i/>
                <w:sz w:val="16"/>
                <w:szCs w:val="16"/>
              </w:rPr>
            </w:pPr>
            <w:r w:rsidRPr="00B04DC3">
              <w:rPr>
                <w:i/>
                <w:sz w:val="16"/>
                <w:szCs w:val="16"/>
              </w:rPr>
              <w:t>δ</w:t>
            </w:r>
          </w:p>
        </w:tc>
        <w:tc>
          <w:tcPr>
            <w:tcW w:w="1741" w:type="dxa"/>
            <w:tcBorders>
              <w:bottom w:val="single" w:sz="12" w:space="0" w:color="auto"/>
            </w:tcBorders>
            <w:vAlign w:val="center"/>
          </w:tcPr>
          <w:p w:rsidR="00B4293A" w:rsidRPr="00B04DC3" w:rsidRDefault="00B4293A" w:rsidP="00A064FD">
            <w:pPr>
              <w:spacing w:before="80" w:after="80"/>
              <w:ind w:left="426"/>
              <w:jc w:val="center"/>
              <w:rPr>
                <w:i/>
                <w:sz w:val="16"/>
                <w:szCs w:val="16"/>
              </w:rPr>
            </w:pPr>
            <w:r w:rsidRPr="00B04DC3">
              <w:rPr>
                <w:i/>
                <w:iCs/>
                <w:sz w:val="16"/>
                <w:szCs w:val="16"/>
              </w:rPr>
              <w:t>ε</w:t>
            </w:r>
          </w:p>
        </w:tc>
      </w:tr>
      <w:tr w:rsidR="00B4293A" w:rsidRPr="00B04DC3" w:rsidTr="00331BC3">
        <w:trPr>
          <w:trHeight w:hRule="exact" w:val="454"/>
        </w:trPr>
        <w:tc>
          <w:tcPr>
            <w:tcW w:w="1826" w:type="dxa"/>
            <w:tcBorders>
              <w:top w:val="single" w:sz="12" w:space="0" w:color="auto"/>
            </w:tcBorders>
            <w:vAlign w:val="center"/>
          </w:tcPr>
          <w:p w:rsidR="00B4293A" w:rsidRPr="00B04DC3" w:rsidRDefault="00B4293A" w:rsidP="00331BC3">
            <w:pPr>
              <w:ind w:left="175" w:hanging="158"/>
            </w:pPr>
            <w:r w:rsidRPr="00B04DC3">
              <w:t>CH</w:t>
            </w:r>
            <w:r w:rsidRPr="00B04DC3">
              <w:rPr>
                <w:vertAlign w:val="subscript"/>
              </w:rPr>
              <w:t>4</w:t>
            </w:r>
          </w:p>
        </w:tc>
        <w:tc>
          <w:tcPr>
            <w:tcW w:w="1740" w:type="dxa"/>
            <w:tcBorders>
              <w:top w:val="single" w:sz="12" w:space="0" w:color="auto"/>
            </w:tcBorders>
            <w:vAlign w:val="center"/>
          </w:tcPr>
          <w:p w:rsidR="00B4293A" w:rsidRPr="00B04DC3" w:rsidRDefault="00B4293A" w:rsidP="007B59F3">
            <w:pPr>
              <w:ind w:left="426"/>
              <w:jc w:val="center"/>
            </w:pPr>
            <w:r w:rsidRPr="00B04DC3">
              <w:t>2.8681</w:t>
            </w:r>
          </w:p>
        </w:tc>
        <w:tc>
          <w:tcPr>
            <w:tcW w:w="1741" w:type="dxa"/>
            <w:tcBorders>
              <w:top w:val="single" w:sz="12" w:space="0" w:color="auto"/>
            </w:tcBorders>
            <w:vAlign w:val="center"/>
          </w:tcPr>
          <w:p w:rsidR="00B4293A" w:rsidRPr="00B04DC3" w:rsidRDefault="00B4293A" w:rsidP="007B59F3">
            <w:pPr>
              <w:ind w:left="426"/>
              <w:jc w:val="center"/>
            </w:pPr>
            <w:r w:rsidRPr="00B04DC3">
              <w:t>0</w:t>
            </w:r>
          </w:p>
        </w:tc>
        <w:tc>
          <w:tcPr>
            <w:tcW w:w="1740" w:type="dxa"/>
            <w:tcBorders>
              <w:top w:val="single" w:sz="12" w:space="0" w:color="auto"/>
            </w:tcBorders>
            <w:vAlign w:val="center"/>
          </w:tcPr>
          <w:p w:rsidR="00B4293A" w:rsidRPr="00B04DC3" w:rsidRDefault="00B4293A" w:rsidP="007B59F3">
            <w:pPr>
              <w:ind w:left="426"/>
              <w:jc w:val="center"/>
            </w:pPr>
            <w:r w:rsidRPr="00B04DC3">
              <w:t>0</w:t>
            </w:r>
          </w:p>
        </w:tc>
        <w:tc>
          <w:tcPr>
            <w:tcW w:w="1741" w:type="dxa"/>
            <w:tcBorders>
              <w:top w:val="single" w:sz="12" w:space="0" w:color="auto"/>
            </w:tcBorders>
            <w:vAlign w:val="center"/>
          </w:tcPr>
          <w:p w:rsidR="00B4293A" w:rsidRPr="00B04DC3" w:rsidRDefault="00B4293A" w:rsidP="007B59F3">
            <w:pPr>
              <w:ind w:left="426"/>
              <w:jc w:val="center"/>
            </w:pPr>
            <w:r w:rsidRPr="00B04DC3">
              <w:t>0.0040</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G</w:t>
            </w:r>
            <w:r w:rsidRPr="00B04DC3">
              <w:rPr>
                <w:vertAlign w:val="subscript"/>
              </w:rPr>
              <w:t>R</w:t>
            </w:r>
          </w:p>
        </w:tc>
        <w:tc>
          <w:tcPr>
            <w:tcW w:w="1740" w:type="dxa"/>
            <w:vAlign w:val="center"/>
          </w:tcPr>
          <w:p w:rsidR="00B4293A" w:rsidRPr="00B04DC3" w:rsidRDefault="00B4293A" w:rsidP="007B59F3">
            <w:pPr>
              <w:ind w:left="426"/>
              <w:jc w:val="center"/>
            </w:pPr>
            <w:r w:rsidRPr="00B04DC3">
              <w:t>2.7676</w:t>
            </w:r>
          </w:p>
        </w:tc>
        <w:tc>
          <w:tcPr>
            <w:tcW w:w="1741" w:type="dxa"/>
            <w:vAlign w:val="center"/>
          </w:tcPr>
          <w:p w:rsidR="00B4293A" w:rsidRPr="00B04DC3" w:rsidRDefault="00B4293A" w:rsidP="007B59F3">
            <w:pPr>
              <w:ind w:left="426"/>
              <w:jc w:val="center"/>
            </w:pPr>
            <w:r w:rsidRPr="00B04DC3">
              <w:t>0</w:t>
            </w:r>
          </w:p>
        </w:tc>
        <w:tc>
          <w:tcPr>
            <w:tcW w:w="1740" w:type="dxa"/>
            <w:vAlign w:val="center"/>
          </w:tcPr>
          <w:p w:rsidR="00B4293A" w:rsidRPr="00B04DC3" w:rsidRDefault="00B4293A" w:rsidP="007B59F3">
            <w:pPr>
              <w:ind w:left="426"/>
              <w:jc w:val="center"/>
            </w:pPr>
            <w:r w:rsidRPr="00B04DC3">
              <w:t>0</w:t>
            </w:r>
          </w:p>
        </w:tc>
        <w:tc>
          <w:tcPr>
            <w:tcW w:w="1741" w:type="dxa"/>
            <w:vAlign w:val="center"/>
          </w:tcPr>
          <w:p w:rsidR="00B4293A" w:rsidRPr="00B04DC3" w:rsidRDefault="00B4293A" w:rsidP="007B59F3">
            <w:pPr>
              <w:ind w:left="426"/>
              <w:jc w:val="center"/>
            </w:pPr>
            <w:r w:rsidRPr="00B04DC3">
              <w:t>0.0040</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G</w:t>
            </w:r>
            <w:r w:rsidRPr="00B04DC3">
              <w:rPr>
                <w:vertAlign w:val="subscript"/>
              </w:rPr>
              <w:t>23</w:t>
            </w:r>
          </w:p>
        </w:tc>
        <w:tc>
          <w:tcPr>
            <w:tcW w:w="1740" w:type="dxa"/>
            <w:vAlign w:val="center"/>
          </w:tcPr>
          <w:p w:rsidR="00B4293A" w:rsidRPr="00B04DC3" w:rsidRDefault="00B4293A" w:rsidP="007B59F3">
            <w:pPr>
              <w:ind w:left="426"/>
              <w:jc w:val="center"/>
            </w:pPr>
            <w:r w:rsidRPr="00B04DC3">
              <w:t>2.7986</w:t>
            </w:r>
          </w:p>
        </w:tc>
        <w:tc>
          <w:tcPr>
            <w:tcW w:w="1741" w:type="dxa"/>
            <w:vAlign w:val="center"/>
          </w:tcPr>
          <w:p w:rsidR="00B4293A" w:rsidRPr="00B04DC3" w:rsidRDefault="00B4293A" w:rsidP="007B59F3">
            <w:pPr>
              <w:ind w:left="426"/>
              <w:jc w:val="center"/>
            </w:pPr>
            <w:r w:rsidRPr="00B04DC3">
              <w:t>0</w:t>
            </w:r>
          </w:p>
        </w:tc>
        <w:tc>
          <w:tcPr>
            <w:tcW w:w="1740" w:type="dxa"/>
            <w:vAlign w:val="center"/>
          </w:tcPr>
          <w:p w:rsidR="00B4293A" w:rsidRPr="00B04DC3" w:rsidRDefault="00B4293A" w:rsidP="007B59F3">
            <w:pPr>
              <w:tabs>
                <w:tab w:val="num" w:pos="643"/>
              </w:tabs>
              <w:ind w:left="426" w:hanging="360"/>
              <w:jc w:val="center"/>
            </w:pPr>
            <w:r w:rsidRPr="00B04DC3">
              <w:t>0.0703</w:t>
            </w:r>
          </w:p>
        </w:tc>
        <w:tc>
          <w:tcPr>
            <w:tcW w:w="1741" w:type="dxa"/>
            <w:vAlign w:val="center"/>
          </w:tcPr>
          <w:p w:rsidR="00B4293A" w:rsidRPr="00B04DC3" w:rsidRDefault="00B4293A" w:rsidP="007B59F3">
            <w:pPr>
              <w:ind w:left="426"/>
              <w:jc w:val="center"/>
            </w:pPr>
            <w:r w:rsidRPr="00B04DC3">
              <w:t>0.0043</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G</w:t>
            </w:r>
            <w:r w:rsidRPr="00B04DC3">
              <w:rPr>
                <w:vertAlign w:val="subscript"/>
              </w:rPr>
              <w:t>25</w:t>
            </w:r>
          </w:p>
        </w:tc>
        <w:tc>
          <w:tcPr>
            <w:tcW w:w="1740" w:type="dxa"/>
            <w:vAlign w:val="center"/>
          </w:tcPr>
          <w:p w:rsidR="00B4293A" w:rsidRPr="00B04DC3" w:rsidRDefault="00B4293A" w:rsidP="007B59F3">
            <w:pPr>
              <w:ind w:left="426"/>
              <w:jc w:val="center"/>
            </w:pPr>
            <w:r w:rsidRPr="00B04DC3">
              <w:t>2.7377</w:t>
            </w:r>
          </w:p>
        </w:tc>
        <w:tc>
          <w:tcPr>
            <w:tcW w:w="1741" w:type="dxa"/>
            <w:vAlign w:val="center"/>
          </w:tcPr>
          <w:p w:rsidR="00B4293A" w:rsidRPr="00B04DC3" w:rsidRDefault="00B4293A" w:rsidP="007B59F3">
            <w:pPr>
              <w:ind w:left="426"/>
              <w:jc w:val="center"/>
            </w:pPr>
            <w:r w:rsidRPr="00B04DC3">
              <w:t>0</w:t>
            </w:r>
          </w:p>
        </w:tc>
        <w:tc>
          <w:tcPr>
            <w:tcW w:w="1740" w:type="dxa"/>
            <w:vAlign w:val="center"/>
          </w:tcPr>
          <w:p w:rsidR="00B4293A" w:rsidRPr="00B04DC3" w:rsidRDefault="00B4293A" w:rsidP="007B59F3">
            <w:pPr>
              <w:tabs>
                <w:tab w:val="num" w:pos="643"/>
              </w:tabs>
              <w:ind w:left="426" w:hanging="360"/>
              <w:jc w:val="center"/>
            </w:pPr>
            <w:r w:rsidRPr="00B04DC3">
              <w:t>0.1319</w:t>
            </w:r>
          </w:p>
        </w:tc>
        <w:tc>
          <w:tcPr>
            <w:tcW w:w="1741" w:type="dxa"/>
            <w:vAlign w:val="center"/>
          </w:tcPr>
          <w:p w:rsidR="00B4293A" w:rsidRPr="00B04DC3" w:rsidRDefault="00B4293A" w:rsidP="007B59F3">
            <w:pPr>
              <w:ind w:left="426"/>
              <w:jc w:val="center"/>
            </w:pPr>
            <w:r w:rsidRPr="00B04DC3">
              <w:t>0.0045</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Propane</w:t>
            </w:r>
          </w:p>
        </w:tc>
        <w:tc>
          <w:tcPr>
            <w:tcW w:w="1740" w:type="dxa"/>
            <w:vAlign w:val="center"/>
          </w:tcPr>
          <w:p w:rsidR="00B4293A" w:rsidRPr="00B04DC3" w:rsidRDefault="00B4293A" w:rsidP="007B59F3">
            <w:pPr>
              <w:ind w:left="426"/>
              <w:jc w:val="center"/>
            </w:pPr>
            <w:r w:rsidRPr="00B04DC3">
              <w:t>2.2633</w:t>
            </w:r>
          </w:p>
        </w:tc>
        <w:tc>
          <w:tcPr>
            <w:tcW w:w="1741" w:type="dxa"/>
            <w:vAlign w:val="center"/>
          </w:tcPr>
          <w:p w:rsidR="00B4293A" w:rsidRPr="00B04DC3" w:rsidRDefault="00B4293A" w:rsidP="007B59F3">
            <w:pPr>
              <w:ind w:left="426"/>
              <w:jc w:val="center"/>
            </w:pPr>
            <w:r w:rsidRPr="00B04DC3">
              <w:t>0</w:t>
            </w:r>
          </w:p>
        </w:tc>
        <w:tc>
          <w:tcPr>
            <w:tcW w:w="1740" w:type="dxa"/>
          </w:tcPr>
          <w:p w:rsidR="00B4293A" w:rsidRPr="00B04DC3" w:rsidRDefault="00B4293A" w:rsidP="007B59F3">
            <w:pPr>
              <w:ind w:left="426"/>
              <w:jc w:val="center"/>
            </w:pPr>
            <w:r w:rsidRPr="00B04DC3">
              <w:t>0</w:t>
            </w:r>
          </w:p>
        </w:tc>
        <w:tc>
          <w:tcPr>
            <w:tcW w:w="1741" w:type="dxa"/>
            <w:vAlign w:val="center"/>
          </w:tcPr>
          <w:p w:rsidR="00B4293A" w:rsidRPr="00B04DC3" w:rsidRDefault="00B4293A" w:rsidP="007B59F3">
            <w:pPr>
              <w:ind w:left="426"/>
              <w:jc w:val="center"/>
            </w:pPr>
            <w:r w:rsidRPr="00B04DC3">
              <w:t>0.0039</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Butane</w:t>
            </w:r>
          </w:p>
        </w:tc>
        <w:tc>
          <w:tcPr>
            <w:tcW w:w="1740" w:type="dxa"/>
            <w:vAlign w:val="center"/>
          </w:tcPr>
          <w:p w:rsidR="00B4293A" w:rsidRPr="00B04DC3" w:rsidRDefault="00B4293A" w:rsidP="007B59F3">
            <w:pPr>
              <w:ind w:left="426"/>
              <w:jc w:val="center"/>
            </w:pPr>
            <w:r w:rsidRPr="00B04DC3">
              <w:t>2.1837</w:t>
            </w:r>
          </w:p>
        </w:tc>
        <w:tc>
          <w:tcPr>
            <w:tcW w:w="1741" w:type="dxa"/>
            <w:vAlign w:val="center"/>
          </w:tcPr>
          <w:p w:rsidR="00B4293A" w:rsidRPr="00B04DC3" w:rsidRDefault="00B4293A" w:rsidP="007B59F3">
            <w:pPr>
              <w:ind w:left="426"/>
              <w:jc w:val="center"/>
            </w:pPr>
            <w:r w:rsidRPr="00B04DC3">
              <w:t>0</w:t>
            </w:r>
          </w:p>
        </w:tc>
        <w:tc>
          <w:tcPr>
            <w:tcW w:w="1740" w:type="dxa"/>
          </w:tcPr>
          <w:p w:rsidR="00B4293A" w:rsidRPr="00B04DC3" w:rsidRDefault="00B4293A" w:rsidP="007B59F3">
            <w:pPr>
              <w:ind w:left="426"/>
              <w:jc w:val="center"/>
            </w:pPr>
            <w:r w:rsidRPr="00B04DC3">
              <w:t>0</w:t>
            </w:r>
          </w:p>
        </w:tc>
        <w:tc>
          <w:tcPr>
            <w:tcW w:w="1741" w:type="dxa"/>
            <w:vAlign w:val="center"/>
          </w:tcPr>
          <w:p w:rsidR="00B4293A" w:rsidRPr="00B04DC3" w:rsidRDefault="00B4293A" w:rsidP="007B59F3">
            <w:pPr>
              <w:ind w:left="426"/>
              <w:jc w:val="center"/>
            </w:pPr>
            <w:r w:rsidRPr="00B04DC3">
              <w:t>0.0038</w:t>
            </w:r>
          </w:p>
        </w:tc>
      </w:tr>
      <w:tr w:rsidR="00B4293A" w:rsidRPr="00B04DC3" w:rsidTr="00331BC3">
        <w:trPr>
          <w:trHeight w:hRule="exact" w:val="454"/>
        </w:trPr>
        <w:tc>
          <w:tcPr>
            <w:tcW w:w="1826" w:type="dxa"/>
            <w:vAlign w:val="center"/>
          </w:tcPr>
          <w:p w:rsidR="00B4293A" w:rsidRPr="00B04DC3" w:rsidRDefault="00B4293A" w:rsidP="00331BC3">
            <w:pPr>
              <w:ind w:left="175"/>
            </w:pPr>
            <w:r w:rsidRPr="00B04DC3">
              <w:t>LPG</w:t>
            </w:r>
          </w:p>
        </w:tc>
        <w:tc>
          <w:tcPr>
            <w:tcW w:w="1740" w:type="dxa"/>
            <w:vAlign w:val="center"/>
          </w:tcPr>
          <w:p w:rsidR="00B4293A" w:rsidRPr="00B04DC3" w:rsidRDefault="00B4293A" w:rsidP="007B59F3">
            <w:pPr>
              <w:ind w:left="426"/>
              <w:jc w:val="center"/>
            </w:pPr>
            <w:r w:rsidRPr="00B04DC3">
              <w:t>2.1957</w:t>
            </w:r>
          </w:p>
        </w:tc>
        <w:tc>
          <w:tcPr>
            <w:tcW w:w="1741" w:type="dxa"/>
            <w:vAlign w:val="center"/>
          </w:tcPr>
          <w:p w:rsidR="00B4293A" w:rsidRPr="00B04DC3" w:rsidRDefault="00B4293A" w:rsidP="007B59F3">
            <w:pPr>
              <w:ind w:left="426"/>
              <w:jc w:val="center"/>
            </w:pPr>
            <w:r w:rsidRPr="00B04DC3">
              <w:t>0</w:t>
            </w:r>
          </w:p>
        </w:tc>
        <w:tc>
          <w:tcPr>
            <w:tcW w:w="1740" w:type="dxa"/>
          </w:tcPr>
          <w:p w:rsidR="00B4293A" w:rsidRPr="00B04DC3" w:rsidRDefault="00B4293A" w:rsidP="007B59F3">
            <w:pPr>
              <w:ind w:left="426"/>
              <w:jc w:val="center"/>
            </w:pPr>
            <w:r w:rsidRPr="00B04DC3">
              <w:t>0</w:t>
            </w:r>
          </w:p>
        </w:tc>
        <w:tc>
          <w:tcPr>
            <w:tcW w:w="1741" w:type="dxa"/>
            <w:vAlign w:val="center"/>
          </w:tcPr>
          <w:p w:rsidR="00B4293A" w:rsidRPr="00B04DC3" w:rsidRDefault="00B4293A" w:rsidP="007B59F3">
            <w:pPr>
              <w:ind w:left="426"/>
              <w:jc w:val="center"/>
            </w:pPr>
            <w:r w:rsidRPr="00B04DC3">
              <w:t>0.0038</w:t>
            </w:r>
          </w:p>
        </w:tc>
      </w:tr>
      <w:tr w:rsidR="00B4293A" w:rsidRPr="00B04DC3" w:rsidTr="00331BC3">
        <w:trPr>
          <w:trHeight w:hRule="exact" w:val="454"/>
        </w:trPr>
        <w:tc>
          <w:tcPr>
            <w:tcW w:w="1826" w:type="dxa"/>
            <w:tcBorders>
              <w:bottom w:val="single" w:sz="2" w:space="0" w:color="auto"/>
            </w:tcBorders>
            <w:vAlign w:val="center"/>
          </w:tcPr>
          <w:p w:rsidR="00B4293A" w:rsidRPr="00B04DC3" w:rsidRDefault="00B4293A" w:rsidP="00331BC3">
            <w:pPr>
              <w:ind w:left="175"/>
            </w:pPr>
            <w:r w:rsidRPr="00B04DC3">
              <w:t>LPG Fuel A</w:t>
            </w:r>
          </w:p>
        </w:tc>
        <w:tc>
          <w:tcPr>
            <w:tcW w:w="1740" w:type="dxa"/>
            <w:tcBorders>
              <w:bottom w:val="single" w:sz="2" w:space="0" w:color="auto"/>
            </w:tcBorders>
            <w:vAlign w:val="center"/>
          </w:tcPr>
          <w:p w:rsidR="00B4293A" w:rsidRPr="00B04DC3" w:rsidRDefault="00B4293A" w:rsidP="007B59F3">
            <w:pPr>
              <w:ind w:left="426"/>
              <w:jc w:val="center"/>
            </w:pPr>
            <w:r w:rsidRPr="00B04DC3">
              <w:t>2.1740</w:t>
            </w:r>
          </w:p>
        </w:tc>
        <w:tc>
          <w:tcPr>
            <w:tcW w:w="1741" w:type="dxa"/>
            <w:tcBorders>
              <w:bottom w:val="single" w:sz="2" w:space="0" w:color="auto"/>
            </w:tcBorders>
            <w:vAlign w:val="center"/>
          </w:tcPr>
          <w:p w:rsidR="00B4293A" w:rsidRPr="00B04DC3" w:rsidRDefault="00B4293A" w:rsidP="007B59F3">
            <w:pPr>
              <w:ind w:left="426"/>
              <w:jc w:val="center"/>
            </w:pPr>
            <w:r w:rsidRPr="00B04DC3">
              <w:t>0</w:t>
            </w:r>
          </w:p>
        </w:tc>
        <w:tc>
          <w:tcPr>
            <w:tcW w:w="1740" w:type="dxa"/>
            <w:tcBorders>
              <w:bottom w:val="single" w:sz="2" w:space="0" w:color="auto"/>
            </w:tcBorders>
          </w:tcPr>
          <w:p w:rsidR="00B4293A" w:rsidRPr="00B04DC3" w:rsidRDefault="00B4293A" w:rsidP="007B59F3">
            <w:pPr>
              <w:ind w:left="426"/>
              <w:jc w:val="center"/>
            </w:pPr>
            <w:r w:rsidRPr="00B04DC3">
              <w:t>0</w:t>
            </w:r>
          </w:p>
        </w:tc>
        <w:tc>
          <w:tcPr>
            <w:tcW w:w="1741" w:type="dxa"/>
            <w:tcBorders>
              <w:bottom w:val="single" w:sz="2" w:space="0" w:color="auto"/>
            </w:tcBorders>
            <w:vAlign w:val="center"/>
          </w:tcPr>
          <w:p w:rsidR="00B4293A" w:rsidRPr="00B04DC3" w:rsidRDefault="00B4293A" w:rsidP="007B59F3">
            <w:pPr>
              <w:ind w:left="426"/>
              <w:jc w:val="center"/>
            </w:pPr>
            <w:r w:rsidRPr="00B04DC3">
              <w:t>0.0038</w:t>
            </w:r>
          </w:p>
        </w:tc>
      </w:tr>
      <w:tr w:rsidR="00B4293A" w:rsidRPr="00B04DC3" w:rsidTr="00331BC3">
        <w:trPr>
          <w:trHeight w:hRule="exact" w:val="454"/>
        </w:trPr>
        <w:tc>
          <w:tcPr>
            <w:tcW w:w="1826" w:type="dxa"/>
            <w:tcBorders>
              <w:bottom w:val="single" w:sz="12" w:space="0" w:color="auto"/>
            </w:tcBorders>
            <w:vAlign w:val="center"/>
          </w:tcPr>
          <w:p w:rsidR="00B4293A" w:rsidRPr="00B04DC3" w:rsidRDefault="00B4293A" w:rsidP="00331BC3">
            <w:pPr>
              <w:ind w:left="175"/>
            </w:pPr>
            <w:r w:rsidRPr="00B04DC3">
              <w:t>LPG Fuel B</w:t>
            </w:r>
          </w:p>
        </w:tc>
        <w:tc>
          <w:tcPr>
            <w:tcW w:w="1740" w:type="dxa"/>
            <w:tcBorders>
              <w:bottom w:val="single" w:sz="12" w:space="0" w:color="auto"/>
            </w:tcBorders>
            <w:vAlign w:val="center"/>
          </w:tcPr>
          <w:p w:rsidR="00B4293A" w:rsidRPr="00B04DC3" w:rsidRDefault="00B4293A" w:rsidP="007B59F3">
            <w:pPr>
              <w:ind w:left="426"/>
              <w:jc w:val="center"/>
            </w:pPr>
            <w:r w:rsidRPr="00B04DC3">
              <w:t>2.2402</w:t>
            </w:r>
          </w:p>
        </w:tc>
        <w:tc>
          <w:tcPr>
            <w:tcW w:w="1741" w:type="dxa"/>
            <w:tcBorders>
              <w:bottom w:val="single" w:sz="12" w:space="0" w:color="auto"/>
            </w:tcBorders>
            <w:vAlign w:val="center"/>
          </w:tcPr>
          <w:p w:rsidR="00B4293A" w:rsidRPr="00B04DC3" w:rsidRDefault="00B4293A" w:rsidP="007B59F3">
            <w:pPr>
              <w:ind w:left="426"/>
              <w:jc w:val="center"/>
            </w:pPr>
            <w:r w:rsidRPr="00B04DC3">
              <w:t>0</w:t>
            </w:r>
          </w:p>
        </w:tc>
        <w:tc>
          <w:tcPr>
            <w:tcW w:w="1740" w:type="dxa"/>
            <w:tcBorders>
              <w:bottom w:val="single" w:sz="12" w:space="0" w:color="auto"/>
            </w:tcBorders>
          </w:tcPr>
          <w:p w:rsidR="00B4293A" w:rsidRPr="00B04DC3" w:rsidRDefault="00B4293A" w:rsidP="007B59F3">
            <w:pPr>
              <w:ind w:left="426"/>
              <w:jc w:val="center"/>
            </w:pPr>
            <w:r w:rsidRPr="00B04DC3">
              <w:t>0</w:t>
            </w:r>
          </w:p>
        </w:tc>
        <w:tc>
          <w:tcPr>
            <w:tcW w:w="1741" w:type="dxa"/>
            <w:tcBorders>
              <w:bottom w:val="single" w:sz="12" w:space="0" w:color="auto"/>
            </w:tcBorders>
            <w:vAlign w:val="center"/>
          </w:tcPr>
          <w:p w:rsidR="00B4293A" w:rsidRPr="00B04DC3" w:rsidRDefault="00B4293A" w:rsidP="007B59F3">
            <w:pPr>
              <w:ind w:left="426"/>
              <w:jc w:val="center"/>
            </w:pPr>
            <w:r w:rsidRPr="00B04DC3">
              <w:t>0.0039</w:t>
            </w:r>
          </w:p>
        </w:tc>
      </w:tr>
    </w:tbl>
    <w:p w:rsidR="00331BC3" w:rsidRDefault="00331BC3"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240" w:lineRule="auto"/>
        <w:ind w:left="426" w:right="1134"/>
        <w:outlineLvl w:val="0"/>
      </w:pPr>
    </w:p>
    <w:p w:rsidR="00B4293A" w:rsidRPr="00B04DC3" w:rsidRDefault="00331BC3"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240" w:lineRule="auto"/>
        <w:ind w:left="426" w:right="1134"/>
        <w:outlineLvl w:val="0"/>
      </w:pPr>
      <w:r>
        <w:br w:type="page"/>
      </w:r>
      <w:r w:rsidR="00B4293A" w:rsidRPr="00B04DC3">
        <w:t>Table A6.2</w:t>
      </w:r>
    </w:p>
    <w:p w:rsidR="007B59F3"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uto"/>
        <w:ind w:left="426" w:right="1134"/>
        <w:outlineLvl w:val="0"/>
        <w:rPr>
          <w:b/>
        </w:rPr>
      </w:pPr>
      <w:r w:rsidRPr="00B04DC3">
        <w:rPr>
          <w:b/>
        </w:rPr>
        <w:t>Raw exhaust gas ugas values and component densities for a mixture of 50 per cent gaseous fuel and 50 per cent diesel fuel (mass per cent</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849"/>
        <w:gridCol w:w="1087"/>
        <w:gridCol w:w="1087"/>
        <w:gridCol w:w="1163"/>
        <w:gridCol w:w="1074"/>
        <w:gridCol w:w="1151"/>
        <w:gridCol w:w="1087"/>
      </w:tblGrid>
      <w:tr w:rsidR="00B4293A" w:rsidRPr="00B04DC3" w:rsidTr="00B4293A">
        <w:trPr>
          <w:jc w:val="center"/>
        </w:trPr>
        <w:tc>
          <w:tcPr>
            <w:tcW w:w="1268" w:type="dxa"/>
            <w:vMerge w:val="restart"/>
            <w:tcBorders>
              <w:top w:val="single" w:sz="2" w:space="0" w:color="auto"/>
              <w:left w:val="single" w:sz="2" w:space="0" w:color="auto"/>
              <w:bottom w:val="single" w:sz="2" w:space="0" w:color="auto"/>
            </w:tcBorders>
            <w:vAlign w:val="center"/>
          </w:tcPr>
          <w:p w:rsidR="00B4293A" w:rsidRPr="00B04DC3" w:rsidRDefault="00B4293A" w:rsidP="00B4293A">
            <w:pPr>
              <w:jc w:val="center"/>
              <w:rPr>
                <w:i/>
                <w:sz w:val="16"/>
                <w:szCs w:val="16"/>
              </w:rPr>
            </w:pPr>
            <w:r w:rsidRPr="00B04DC3">
              <w:rPr>
                <w:i/>
                <w:sz w:val="16"/>
                <w:szCs w:val="16"/>
              </w:rPr>
              <w:t>Gaseous fuel</w:t>
            </w:r>
          </w:p>
        </w:tc>
        <w:tc>
          <w:tcPr>
            <w:tcW w:w="849" w:type="dxa"/>
            <w:vMerge w:val="restart"/>
            <w:tcBorders>
              <w:top w:val="single" w:sz="2" w:space="0" w:color="auto"/>
              <w:bottom w:val="single" w:sz="2" w:space="0" w:color="auto"/>
            </w:tcBorders>
            <w:vAlign w:val="center"/>
          </w:tcPr>
          <w:p w:rsidR="00B4293A" w:rsidRPr="00B04DC3" w:rsidRDefault="00B4293A" w:rsidP="00B4293A">
            <w:pPr>
              <w:jc w:val="center"/>
              <w:rPr>
                <w:i/>
                <w:sz w:val="16"/>
                <w:szCs w:val="16"/>
              </w:rPr>
            </w:pPr>
            <w:r w:rsidRPr="00B04DC3">
              <w:rPr>
                <w:i/>
                <w:sz w:val="16"/>
                <w:szCs w:val="16"/>
              </w:rPr>
              <w:sym w:font="Symbol" w:char="F072"/>
            </w:r>
            <w:r w:rsidRPr="00B04DC3">
              <w:rPr>
                <w:i/>
                <w:sz w:val="16"/>
                <w:szCs w:val="16"/>
                <w:vertAlign w:val="subscript"/>
              </w:rPr>
              <w:t>e</w:t>
            </w:r>
          </w:p>
        </w:tc>
        <w:tc>
          <w:tcPr>
            <w:tcW w:w="1087" w:type="dxa"/>
            <w:tcBorders>
              <w:top w:val="single" w:sz="2" w:space="0" w:color="auto"/>
              <w:bottom w:val="single" w:sz="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163"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r w:rsidRPr="00B04DC3">
              <w:rPr>
                <w:i/>
                <w:sz w:val="16"/>
                <w:szCs w:val="16"/>
              </w:rPr>
              <w:t>Gas</w:t>
            </w:r>
          </w:p>
        </w:tc>
        <w:tc>
          <w:tcPr>
            <w:tcW w:w="1074"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151"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2" w:space="0" w:color="auto"/>
              <w:right w:val="single" w:sz="2" w:space="0" w:color="auto"/>
            </w:tcBorders>
          </w:tcPr>
          <w:p w:rsidR="00B4293A" w:rsidRPr="00B04DC3" w:rsidRDefault="00B4293A" w:rsidP="00B4293A">
            <w:pPr>
              <w:jc w:val="center"/>
              <w:rPr>
                <w:i/>
                <w:sz w:val="16"/>
                <w:szCs w:val="16"/>
              </w:rPr>
            </w:pPr>
          </w:p>
        </w:tc>
      </w:tr>
      <w:tr w:rsidR="00B4293A" w:rsidRPr="00B04DC3" w:rsidTr="00B4293A">
        <w:trPr>
          <w:jc w:val="center"/>
        </w:trPr>
        <w:tc>
          <w:tcPr>
            <w:tcW w:w="1268" w:type="dxa"/>
            <w:vMerge/>
            <w:tcBorders>
              <w:top w:val="single" w:sz="2" w:space="0" w:color="auto"/>
              <w:left w:val="single" w:sz="2" w:space="0" w:color="auto"/>
              <w:bottom w:val="single" w:sz="2" w:space="0" w:color="auto"/>
            </w:tcBorders>
          </w:tcPr>
          <w:p w:rsidR="00B4293A" w:rsidRPr="00B04DC3" w:rsidRDefault="00B4293A" w:rsidP="00B4293A">
            <w:pPr>
              <w:jc w:val="center"/>
              <w:rPr>
                <w:i/>
                <w:sz w:val="16"/>
                <w:szCs w:val="16"/>
              </w:rPr>
            </w:pPr>
          </w:p>
        </w:tc>
        <w:tc>
          <w:tcPr>
            <w:tcW w:w="849" w:type="dxa"/>
            <w:vMerge/>
            <w:tcBorders>
              <w:top w:val="single" w:sz="2" w:space="0" w:color="auto"/>
              <w:bottom w:val="single" w:sz="2" w:space="0" w:color="auto"/>
            </w:tcBorders>
          </w:tcPr>
          <w:p w:rsidR="00B4293A" w:rsidRPr="00B04DC3" w:rsidRDefault="00B4293A" w:rsidP="00B4293A">
            <w:pPr>
              <w:jc w:val="center"/>
              <w:rPr>
                <w:i/>
                <w:sz w:val="16"/>
                <w:szCs w:val="16"/>
              </w:rPr>
            </w:pPr>
          </w:p>
        </w:tc>
        <w:tc>
          <w:tcPr>
            <w:tcW w:w="1087" w:type="dxa"/>
            <w:tcBorders>
              <w:top w:val="single" w:sz="2" w:space="0" w:color="auto"/>
              <w:bottom w:val="single" w:sz="2" w:space="0" w:color="auto"/>
            </w:tcBorders>
          </w:tcPr>
          <w:p w:rsidR="00B4293A" w:rsidRPr="00B04DC3" w:rsidRDefault="00B4293A" w:rsidP="00B4293A">
            <w:pPr>
              <w:jc w:val="center"/>
              <w:rPr>
                <w:i/>
                <w:sz w:val="16"/>
                <w:szCs w:val="16"/>
                <w:vertAlign w:val="subscript"/>
              </w:rPr>
            </w:pPr>
            <w:r w:rsidRPr="00B04DC3">
              <w:rPr>
                <w:i/>
                <w:sz w:val="16"/>
                <w:szCs w:val="16"/>
              </w:rPr>
              <w:t>NO</w:t>
            </w:r>
            <w:r w:rsidRPr="00B04DC3">
              <w:rPr>
                <w:i/>
                <w:sz w:val="16"/>
                <w:szCs w:val="16"/>
                <w:vertAlign w:val="subscript"/>
              </w:rPr>
              <w:t>x</w:t>
            </w:r>
          </w:p>
        </w:tc>
        <w:tc>
          <w:tcPr>
            <w:tcW w:w="1087"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CO</w:t>
            </w:r>
          </w:p>
        </w:tc>
        <w:tc>
          <w:tcPr>
            <w:tcW w:w="1163"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HC</w:t>
            </w:r>
          </w:p>
        </w:tc>
        <w:tc>
          <w:tcPr>
            <w:tcW w:w="1074"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CO</w:t>
            </w:r>
            <w:r w:rsidRPr="00B04DC3">
              <w:rPr>
                <w:i/>
                <w:sz w:val="16"/>
                <w:szCs w:val="16"/>
                <w:vertAlign w:val="subscript"/>
              </w:rPr>
              <w:t>2</w:t>
            </w:r>
          </w:p>
        </w:tc>
        <w:tc>
          <w:tcPr>
            <w:tcW w:w="1151" w:type="dxa"/>
            <w:tcBorders>
              <w:top w:val="single" w:sz="2" w:space="0" w:color="auto"/>
              <w:bottom w:val="single" w:sz="2" w:space="0" w:color="auto"/>
            </w:tcBorders>
          </w:tcPr>
          <w:p w:rsidR="00B4293A" w:rsidRPr="00B04DC3" w:rsidRDefault="00B4293A" w:rsidP="00B4293A">
            <w:pPr>
              <w:jc w:val="center"/>
              <w:rPr>
                <w:i/>
                <w:sz w:val="16"/>
                <w:szCs w:val="16"/>
                <w:vertAlign w:val="subscript"/>
              </w:rPr>
            </w:pPr>
            <w:r w:rsidRPr="00B04DC3">
              <w:rPr>
                <w:i/>
                <w:sz w:val="16"/>
                <w:szCs w:val="16"/>
              </w:rPr>
              <w:t>O</w:t>
            </w:r>
            <w:r w:rsidRPr="00B04DC3">
              <w:rPr>
                <w:i/>
                <w:sz w:val="16"/>
                <w:szCs w:val="16"/>
                <w:vertAlign w:val="subscript"/>
              </w:rPr>
              <w:t>2</w:t>
            </w:r>
          </w:p>
        </w:tc>
        <w:tc>
          <w:tcPr>
            <w:tcW w:w="1087" w:type="dxa"/>
            <w:tcBorders>
              <w:top w:val="single" w:sz="2" w:space="0" w:color="auto"/>
              <w:bottom w:val="single" w:sz="2" w:space="0" w:color="auto"/>
              <w:right w:val="single" w:sz="2" w:space="0" w:color="auto"/>
            </w:tcBorders>
          </w:tcPr>
          <w:p w:rsidR="00B4293A" w:rsidRPr="00B04DC3" w:rsidRDefault="00B4293A" w:rsidP="00B4293A">
            <w:pPr>
              <w:jc w:val="center"/>
              <w:rPr>
                <w:i/>
                <w:sz w:val="16"/>
                <w:szCs w:val="16"/>
                <w:vertAlign w:val="subscript"/>
              </w:rPr>
            </w:pPr>
            <w:r w:rsidRPr="00B04DC3">
              <w:rPr>
                <w:i/>
                <w:sz w:val="16"/>
                <w:szCs w:val="16"/>
              </w:rPr>
              <w:t>CH</w:t>
            </w:r>
            <w:r w:rsidRPr="00B04DC3">
              <w:rPr>
                <w:i/>
                <w:sz w:val="16"/>
                <w:szCs w:val="16"/>
                <w:vertAlign w:val="subscript"/>
              </w:rPr>
              <w:t>4</w:t>
            </w:r>
          </w:p>
        </w:tc>
      </w:tr>
      <w:tr w:rsidR="00B4293A" w:rsidRPr="00B04DC3" w:rsidTr="00B4293A">
        <w:trPr>
          <w:jc w:val="center"/>
        </w:trPr>
        <w:tc>
          <w:tcPr>
            <w:tcW w:w="1268" w:type="dxa"/>
            <w:vMerge/>
            <w:tcBorders>
              <w:top w:val="single" w:sz="2" w:space="0" w:color="auto"/>
              <w:left w:val="single" w:sz="2" w:space="0" w:color="auto"/>
              <w:bottom w:val="single" w:sz="2" w:space="0" w:color="auto"/>
            </w:tcBorders>
          </w:tcPr>
          <w:p w:rsidR="00B4293A" w:rsidRPr="00B04DC3" w:rsidRDefault="00B4293A" w:rsidP="00B4293A">
            <w:pPr>
              <w:jc w:val="center"/>
              <w:rPr>
                <w:i/>
                <w:sz w:val="16"/>
                <w:szCs w:val="16"/>
              </w:rPr>
            </w:pPr>
          </w:p>
        </w:tc>
        <w:tc>
          <w:tcPr>
            <w:tcW w:w="849" w:type="dxa"/>
            <w:vMerge/>
            <w:tcBorders>
              <w:top w:val="single" w:sz="2" w:space="0" w:color="auto"/>
              <w:bottom w:val="single" w:sz="2" w:space="0" w:color="auto"/>
            </w:tcBorders>
          </w:tcPr>
          <w:p w:rsidR="00B4293A" w:rsidRPr="00B04DC3" w:rsidRDefault="00B4293A" w:rsidP="00B4293A">
            <w:pPr>
              <w:jc w:val="center"/>
              <w:rPr>
                <w:i/>
                <w:sz w:val="16"/>
                <w:szCs w:val="16"/>
              </w:rPr>
            </w:pPr>
          </w:p>
        </w:tc>
        <w:tc>
          <w:tcPr>
            <w:tcW w:w="1087" w:type="dxa"/>
            <w:tcBorders>
              <w:top w:val="single" w:sz="2" w:space="0" w:color="auto"/>
              <w:bottom w:val="single" w:sz="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163"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r w:rsidRPr="00B04DC3">
              <w:rPr>
                <w:i/>
                <w:sz w:val="16"/>
                <w:szCs w:val="16"/>
              </w:rPr>
              <w:sym w:font="Symbol" w:char="F072"/>
            </w:r>
            <w:r w:rsidRPr="00B04DC3">
              <w:rPr>
                <w:i/>
                <w:sz w:val="16"/>
                <w:szCs w:val="16"/>
                <w:vertAlign w:val="subscript"/>
              </w:rPr>
              <w:t>gas</w:t>
            </w:r>
            <w:r w:rsidRPr="00B04DC3">
              <w:rPr>
                <w:i/>
                <w:sz w:val="16"/>
                <w:szCs w:val="16"/>
              </w:rPr>
              <w:t> [kg/m</w:t>
            </w:r>
            <w:r w:rsidRPr="00B04DC3">
              <w:rPr>
                <w:i/>
                <w:sz w:val="16"/>
                <w:szCs w:val="16"/>
                <w:vertAlign w:val="superscript"/>
              </w:rPr>
              <w:t>3</w:t>
            </w:r>
            <w:r w:rsidRPr="00B04DC3">
              <w:rPr>
                <w:i/>
                <w:sz w:val="16"/>
                <w:szCs w:val="16"/>
              </w:rPr>
              <w:t>]</w:t>
            </w:r>
          </w:p>
        </w:tc>
        <w:tc>
          <w:tcPr>
            <w:tcW w:w="1074"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151" w:type="dxa"/>
            <w:tcBorders>
              <w:top w:val="single" w:sz="2" w:space="0" w:color="auto"/>
              <w:left w:val="nil"/>
              <w:bottom w:val="single" w:sz="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2" w:space="0" w:color="auto"/>
              <w:right w:val="single" w:sz="2" w:space="0" w:color="auto"/>
            </w:tcBorders>
          </w:tcPr>
          <w:p w:rsidR="00B4293A" w:rsidRPr="00B04DC3" w:rsidRDefault="00B4293A" w:rsidP="00B4293A">
            <w:pPr>
              <w:jc w:val="center"/>
              <w:rPr>
                <w:i/>
                <w:sz w:val="16"/>
                <w:szCs w:val="16"/>
              </w:rPr>
            </w:pPr>
          </w:p>
        </w:tc>
      </w:tr>
      <w:tr w:rsidR="00B4293A" w:rsidRPr="00B04DC3" w:rsidTr="00B4293A">
        <w:trPr>
          <w:jc w:val="center"/>
        </w:trPr>
        <w:tc>
          <w:tcPr>
            <w:tcW w:w="1268" w:type="dxa"/>
            <w:vMerge/>
            <w:tcBorders>
              <w:top w:val="single" w:sz="2" w:space="0" w:color="auto"/>
              <w:left w:val="single" w:sz="2" w:space="0" w:color="auto"/>
              <w:bottom w:val="single" w:sz="2" w:space="0" w:color="auto"/>
            </w:tcBorders>
          </w:tcPr>
          <w:p w:rsidR="00B4293A" w:rsidRPr="00B04DC3" w:rsidRDefault="00B4293A" w:rsidP="00B4293A">
            <w:pPr>
              <w:rPr>
                <w:i/>
                <w:sz w:val="16"/>
                <w:szCs w:val="16"/>
              </w:rPr>
            </w:pPr>
          </w:p>
        </w:tc>
        <w:tc>
          <w:tcPr>
            <w:tcW w:w="849" w:type="dxa"/>
            <w:vMerge/>
            <w:tcBorders>
              <w:top w:val="single" w:sz="2" w:space="0" w:color="auto"/>
              <w:bottom w:val="single" w:sz="2" w:space="0" w:color="auto"/>
            </w:tcBorders>
          </w:tcPr>
          <w:p w:rsidR="00B4293A" w:rsidRPr="00B04DC3" w:rsidRDefault="00B4293A" w:rsidP="00B4293A">
            <w:pPr>
              <w:rPr>
                <w:i/>
                <w:sz w:val="16"/>
                <w:szCs w:val="16"/>
              </w:rPr>
            </w:pPr>
          </w:p>
        </w:tc>
        <w:tc>
          <w:tcPr>
            <w:tcW w:w="1087"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2.053</w:t>
            </w:r>
          </w:p>
        </w:tc>
        <w:tc>
          <w:tcPr>
            <w:tcW w:w="1087"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1.250</w:t>
            </w:r>
          </w:p>
        </w:tc>
        <w:tc>
          <w:tcPr>
            <w:tcW w:w="1163" w:type="dxa"/>
            <w:tcBorders>
              <w:top w:val="single" w:sz="2" w:space="0" w:color="auto"/>
              <w:bottom w:val="single" w:sz="2" w:space="0" w:color="auto"/>
            </w:tcBorders>
          </w:tcPr>
          <w:p w:rsidR="00B4293A" w:rsidRPr="00B04DC3" w:rsidRDefault="00B4293A" w:rsidP="00B4293A">
            <w:pPr>
              <w:jc w:val="center"/>
              <w:rPr>
                <w:i/>
                <w:sz w:val="16"/>
                <w:szCs w:val="16"/>
                <w:vertAlign w:val="superscript"/>
              </w:rPr>
            </w:pPr>
            <w:r w:rsidRPr="00B04DC3">
              <w:rPr>
                <w:i/>
                <w:sz w:val="16"/>
                <w:szCs w:val="16"/>
                <w:vertAlign w:val="superscript"/>
              </w:rPr>
              <w:t>a</w:t>
            </w:r>
          </w:p>
        </w:tc>
        <w:tc>
          <w:tcPr>
            <w:tcW w:w="1074"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1.9636</w:t>
            </w:r>
          </w:p>
        </w:tc>
        <w:tc>
          <w:tcPr>
            <w:tcW w:w="1151" w:type="dxa"/>
            <w:tcBorders>
              <w:top w:val="single" w:sz="2" w:space="0" w:color="auto"/>
              <w:bottom w:val="single" w:sz="2" w:space="0" w:color="auto"/>
            </w:tcBorders>
          </w:tcPr>
          <w:p w:rsidR="00B4293A" w:rsidRPr="00B04DC3" w:rsidRDefault="00B4293A" w:rsidP="00B4293A">
            <w:pPr>
              <w:jc w:val="center"/>
              <w:rPr>
                <w:i/>
                <w:sz w:val="16"/>
                <w:szCs w:val="16"/>
              </w:rPr>
            </w:pPr>
            <w:r w:rsidRPr="00B04DC3">
              <w:rPr>
                <w:i/>
                <w:sz w:val="16"/>
                <w:szCs w:val="16"/>
              </w:rPr>
              <w:t>1.4277</w:t>
            </w:r>
          </w:p>
        </w:tc>
        <w:tc>
          <w:tcPr>
            <w:tcW w:w="1087" w:type="dxa"/>
            <w:tcBorders>
              <w:top w:val="single" w:sz="2" w:space="0" w:color="auto"/>
              <w:bottom w:val="single" w:sz="2" w:space="0" w:color="auto"/>
              <w:right w:val="single" w:sz="2" w:space="0" w:color="auto"/>
            </w:tcBorders>
          </w:tcPr>
          <w:p w:rsidR="00B4293A" w:rsidRPr="00B04DC3" w:rsidRDefault="00B4293A" w:rsidP="00B4293A">
            <w:pPr>
              <w:jc w:val="center"/>
              <w:rPr>
                <w:i/>
                <w:sz w:val="16"/>
                <w:szCs w:val="16"/>
              </w:rPr>
            </w:pPr>
            <w:r w:rsidRPr="00B04DC3">
              <w:rPr>
                <w:i/>
                <w:sz w:val="16"/>
                <w:szCs w:val="16"/>
              </w:rPr>
              <w:t>0.716</w:t>
            </w:r>
          </w:p>
        </w:tc>
      </w:tr>
      <w:tr w:rsidR="00B4293A" w:rsidRPr="00B04DC3" w:rsidTr="00B4293A">
        <w:trPr>
          <w:jc w:val="center"/>
        </w:trPr>
        <w:tc>
          <w:tcPr>
            <w:tcW w:w="1268" w:type="dxa"/>
            <w:vMerge/>
            <w:tcBorders>
              <w:top w:val="single" w:sz="2" w:space="0" w:color="auto"/>
              <w:left w:val="single" w:sz="2" w:space="0" w:color="auto"/>
              <w:bottom w:val="single" w:sz="12" w:space="0" w:color="auto"/>
            </w:tcBorders>
          </w:tcPr>
          <w:p w:rsidR="00B4293A" w:rsidRPr="00B04DC3" w:rsidRDefault="00B4293A" w:rsidP="00B4293A">
            <w:pPr>
              <w:jc w:val="center"/>
              <w:rPr>
                <w:i/>
                <w:sz w:val="16"/>
                <w:szCs w:val="16"/>
              </w:rPr>
            </w:pPr>
          </w:p>
        </w:tc>
        <w:tc>
          <w:tcPr>
            <w:tcW w:w="849" w:type="dxa"/>
            <w:vMerge/>
            <w:tcBorders>
              <w:top w:val="single" w:sz="2" w:space="0" w:color="auto"/>
              <w:bottom w:val="single" w:sz="12" w:space="0" w:color="auto"/>
            </w:tcBorders>
          </w:tcPr>
          <w:p w:rsidR="00B4293A" w:rsidRPr="00B04DC3" w:rsidRDefault="00B4293A" w:rsidP="00B4293A">
            <w:pPr>
              <w:jc w:val="center"/>
              <w:rPr>
                <w:i/>
                <w:sz w:val="16"/>
                <w:szCs w:val="16"/>
              </w:rPr>
            </w:pPr>
          </w:p>
        </w:tc>
        <w:tc>
          <w:tcPr>
            <w:tcW w:w="1087" w:type="dxa"/>
            <w:tcBorders>
              <w:top w:val="single" w:sz="2" w:space="0" w:color="auto"/>
              <w:bottom w:val="single" w:sz="1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12" w:space="0" w:color="auto"/>
              <w:right w:val="nil"/>
            </w:tcBorders>
          </w:tcPr>
          <w:p w:rsidR="00B4293A" w:rsidRPr="00B04DC3" w:rsidRDefault="00B4293A" w:rsidP="00B4293A">
            <w:pPr>
              <w:jc w:val="center"/>
              <w:rPr>
                <w:i/>
                <w:sz w:val="16"/>
                <w:szCs w:val="16"/>
              </w:rPr>
            </w:pPr>
          </w:p>
        </w:tc>
        <w:tc>
          <w:tcPr>
            <w:tcW w:w="1163" w:type="dxa"/>
            <w:tcBorders>
              <w:top w:val="single" w:sz="2" w:space="0" w:color="auto"/>
              <w:left w:val="nil"/>
              <w:bottom w:val="single" w:sz="12" w:space="0" w:color="auto"/>
              <w:right w:val="nil"/>
            </w:tcBorders>
          </w:tcPr>
          <w:p w:rsidR="00B4293A" w:rsidRPr="00B04DC3" w:rsidRDefault="00B4293A" w:rsidP="00B4293A">
            <w:pPr>
              <w:jc w:val="center"/>
              <w:rPr>
                <w:i/>
                <w:sz w:val="16"/>
                <w:szCs w:val="16"/>
                <w:vertAlign w:val="superscript"/>
              </w:rPr>
            </w:pPr>
            <w:r w:rsidRPr="00B04DC3">
              <w:rPr>
                <w:i/>
                <w:sz w:val="16"/>
                <w:szCs w:val="16"/>
              </w:rPr>
              <w:t>u</w:t>
            </w:r>
            <w:r w:rsidRPr="00B04DC3">
              <w:rPr>
                <w:i/>
                <w:sz w:val="16"/>
                <w:szCs w:val="16"/>
                <w:vertAlign w:val="subscript"/>
              </w:rPr>
              <w:t>gas</w:t>
            </w:r>
            <w:r w:rsidRPr="00B04DC3">
              <w:rPr>
                <w:i/>
                <w:sz w:val="16"/>
                <w:szCs w:val="16"/>
                <w:vertAlign w:val="superscript"/>
              </w:rPr>
              <w:t>b</w:t>
            </w:r>
          </w:p>
        </w:tc>
        <w:tc>
          <w:tcPr>
            <w:tcW w:w="1074" w:type="dxa"/>
            <w:tcBorders>
              <w:top w:val="single" w:sz="2" w:space="0" w:color="auto"/>
              <w:left w:val="nil"/>
              <w:bottom w:val="single" w:sz="12" w:space="0" w:color="auto"/>
              <w:right w:val="nil"/>
            </w:tcBorders>
          </w:tcPr>
          <w:p w:rsidR="00B4293A" w:rsidRPr="00B04DC3" w:rsidRDefault="00B4293A" w:rsidP="00B4293A">
            <w:pPr>
              <w:jc w:val="center"/>
              <w:rPr>
                <w:i/>
                <w:sz w:val="16"/>
                <w:szCs w:val="16"/>
              </w:rPr>
            </w:pPr>
          </w:p>
        </w:tc>
        <w:tc>
          <w:tcPr>
            <w:tcW w:w="1151" w:type="dxa"/>
            <w:tcBorders>
              <w:top w:val="single" w:sz="2" w:space="0" w:color="auto"/>
              <w:left w:val="nil"/>
              <w:bottom w:val="single" w:sz="12" w:space="0" w:color="auto"/>
              <w:right w:val="nil"/>
            </w:tcBorders>
          </w:tcPr>
          <w:p w:rsidR="00B4293A" w:rsidRPr="00B04DC3" w:rsidRDefault="00B4293A" w:rsidP="00B4293A">
            <w:pPr>
              <w:jc w:val="center"/>
              <w:rPr>
                <w:i/>
                <w:sz w:val="16"/>
                <w:szCs w:val="16"/>
              </w:rPr>
            </w:pPr>
          </w:p>
        </w:tc>
        <w:tc>
          <w:tcPr>
            <w:tcW w:w="1087" w:type="dxa"/>
            <w:tcBorders>
              <w:top w:val="single" w:sz="2" w:space="0" w:color="auto"/>
              <w:left w:val="nil"/>
              <w:bottom w:val="single" w:sz="12" w:space="0" w:color="auto"/>
              <w:right w:val="single" w:sz="2" w:space="0" w:color="auto"/>
            </w:tcBorders>
          </w:tcPr>
          <w:p w:rsidR="00B4293A" w:rsidRPr="00B04DC3" w:rsidRDefault="00B4293A" w:rsidP="00B4293A">
            <w:pPr>
              <w:jc w:val="center"/>
              <w:rPr>
                <w:i/>
                <w:sz w:val="16"/>
                <w:szCs w:val="16"/>
              </w:rPr>
            </w:pPr>
          </w:p>
        </w:tc>
      </w:tr>
      <w:tr w:rsidR="00B4293A" w:rsidRPr="00B04DC3" w:rsidTr="00B4293A">
        <w:trPr>
          <w:jc w:val="center"/>
        </w:trPr>
        <w:tc>
          <w:tcPr>
            <w:tcW w:w="1268" w:type="dxa"/>
            <w:tcBorders>
              <w:top w:val="single" w:sz="12" w:space="0" w:color="auto"/>
              <w:left w:val="single" w:sz="2" w:space="0" w:color="auto"/>
              <w:bottom w:val="single" w:sz="2" w:space="0" w:color="auto"/>
            </w:tcBorders>
          </w:tcPr>
          <w:p w:rsidR="00B4293A" w:rsidRPr="00B04DC3" w:rsidRDefault="00B4293A" w:rsidP="00A064FD">
            <w:pPr>
              <w:spacing w:before="80" w:after="80"/>
              <w:rPr>
                <w:vertAlign w:val="superscript"/>
              </w:rPr>
            </w:pPr>
            <w:r w:rsidRPr="00B04DC3">
              <w:t>CNG/LNG</w:t>
            </w:r>
            <w:r w:rsidRPr="00B04DC3">
              <w:rPr>
                <w:vertAlign w:val="superscript"/>
              </w:rPr>
              <w:t xml:space="preserve">c </w:t>
            </w:r>
          </w:p>
        </w:tc>
        <w:tc>
          <w:tcPr>
            <w:tcW w:w="849" w:type="dxa"/>
            <w:tcBorders>
              <w:top w:val="single" w:sz="12" w:space="0" w:color="auto"/>
              <w:bottom w:val="single" w:sz="2" w:space="0" w:color="auto"/>
            </w:tcBorders>
            <w:vAlign w:val="center"/>
          </w:tcPr>
          <w:p w:rsidR="00B4293A" w:rsidRPr="00B04DC3" w:rsidRDefault="00B4293A" w:rsidP="00A064FD">
            <w:pPr>
              <w:spacing w:before="80" w:after="80"/>
              <w:jc w:val="center"/>
            </w:pPr>
            <w:r w:rsidRPr="00B04DC3">
              <w:t>1.2786</w:t>
            </w:r>
          </w:p>
        </w:tc>
        <w:tc>
          <w:tcPr>
            <w:tcW w:w="1087" w:type="dxa"/>
            <w:tcBorders>
              <w:top w:val="single" w:sz="12" w:space="0" w:color="auto"/>
              <w:bottom w:val="single" w:sz="2" w:space="0" w:color="auto"/>
            </w:tcBorders>
            <w:vAlign w:val="center"/>
          </w:tcPr>
          <w:p w:rsidR="00B4293A" w:rsidRPr="00B04DC3" w:rsidRDefault="00B4293A" w:rsidP="00A064FD">
            <w:pPr>
              <w:spacing w:before="80" w:after="80"/>
              <w:jc w:val="center"/>
            </w:pPr>
            <w:r w:rsidRPr="00B04DC3">
              <w:t>0.001606</w:t>
            </w:r>
          </w:p>
        </w:tc>
        <w:tc>
          <w:tcPr>
            <w:tcW w:w="1087" w:type="dxa"/>
            <w:tcBorders>
              <w:top w:val="single" w:sz="12" w:space="0" w:color="auto"/>
              <w:bottom w:val="single" w:sz="2" w:space="0" w:color="auto"/>
            </w:tcBorders>
            <w:vAlign w:val="center"/>
          </w:tcPr>
          <w:p w:rsidR="00B4293A" w:rsidRPr="00B04DC3" w:rsidRDefault="00B4293A" w:rsidP="00A064FD">
            <w:pPr>
              <w:spacing w:before="80" w:after="80"/>
              <w:jc w:val="center"/>
            </w:pPr>
            <w:r w:rsidRPr="00B04DC3">
              <w:t>0.000978</w:t>
            </w:r>
          </w:p>
        </w:tc>
        <w:tc>
          <w:tcPr>
            <w:tcW w:w="1163" w:type="dxa"/>
            <w:tcBorders>
              <w:top w:val="single" w:sz="12" w:space="0" w:color="auto"/>
              <w:bottom w:val="single" w:sz="2" w:space="0" w:color="auto"/>
            </w:tcBorders>
            <w:vAlign w:val="center"/>
          </w:tcPr>
          <w:p w:rsidR="00B4293A" w:rsidRPr="00B04DC3" w:rsidRDefault="00B4293A" w:rsidP="00A064FD">
            <w:pPr>
              <w:spacing w:before="80" w:after="80"/>
              <w:jc w:val="center"/>
              <w:rPr>
                <w:vertAlign w:val="superscript"/>
              </w:rPr>
            </w:pPr>
            <w:r w:rsidRPr="00B04DC3">
              <w:t>0.000528</w:t>
            </w:r>
            <w:r w:rsidRPr="00B04DC3">
              <w:rPr>
                <w:vertAlign w:val="superscript"/>
              </w:rPr>
              <w:t>d</w:t>
            </w:r>
          </w:p>
        </w:tc>
        <w:tc>
          <w:tcPr>
            <w:tcW w:w="1074" w:type="dxa"/>
            <w:tcBorders>
              <w:top w:val="single" w:sz="12" w:space="0" w:color="auto"/>
              <w:bottom w:val="single" w:sz="2" w:space="0" w:color="auto"/>
            </w:tcBorders>
            <w:vAlign w:val="center"/>
          </w:tcPr>
          <w:p w:rsidR="00B4293A" w:rsidRPr="00B04DC3" w:rsidRDefault="00B4293A" w:rsidP="00A064FD">
            <w:pPr>
              <w:spacing w:before="80" w:after="80"/>
              <w:jc w:val="center"/>
            </w:pPr>
            <w:r w:rsidRPr="00B04DC3">
              <w:t>0.001536</w:t>
            </w:r>
          </w:p>
        </w:tc>
        <w:tc>
          <w:tcPr>
            <w:tcW w:w="1151" w:type="dxa"/>
            <w:tcBorders>
              <w:top w:val="single" w:sz="12" w:space="0" w:color="auto"/>
              <w:bottom w:val="single" w:sz="2" w:space="0" w:color="auto"/>
            </w:tcBorders>
            <w:vAlign w:val="center"/>
          </w:tcPr>
          <w:p w:rsidR="00B4293A" w:rsidRPr="00B04DC3" w:rsidRDefault="00B4293A" w:rsidP="00A064FD">
            <w:pPr>
              <w:spacing w:before="80" w:after="80"/>
              <w:jc w:val="center"/>
            </w:pPr>
            <w:r w:rsidRPr="00B04DC3">
              <w:t>0.001117</w:t>
            </w:r>
          </w:p>
        </w:tc>
        <w:tc>
          <w:tcPr>
            <w:tcW w:w="1087" w:type="dxa"/>
            <w:tcBorders>
              <w:top w:val="single" w:sz="12" w:space="0" w:color="auto"/>
              <w:bottom w:val="single" w:sz="2" w:space="0" w:color="auto"/>
              <w:right w:val="single" w:sz="2" w:space="0" w:color="auto"/>
            </w:tcBorders>
            <w:vAlign w:val="center"/>
          </w:tcPr>
          <w:p w:rsidR="00B4293A" w:rsidRPr="00B04DC3" w:rsidRDefault="00B4293A" w:rsidP="00A064FD">
            <w:pPr>
              <w:spacing w:before="80" w:after="80"/>
              <w:jc w:val="center"/>
            </w:pPr>
            <w:r w:rsidRPr="00B04DC3">
              <w:t>0.000560</w:t>
            </w:r>
          </w:p>
        </w:tc>
      </w:tr>
      <w:tr w:rsidR="00B4293A" w:rsidRPr="00B04DC3" w:rsidTr="00B4293A">
        <w:trPr>
          <w:jc w:val="center"/>
        </w:trPr>
        <w:tc>
          <w:tcPr>
            <w:tcW w:w="1268" w:type="dxa"/>
            <w:tcBorders>
              <w:top w:val="single" w:sz="2" w:space="0" w:color="auto"/>
              <w:left w:val="single" w:sz="2" w:space="0" w:color="auto"/>
              <w:bottom w:val="single" w:sz="2" w:space="0" w:color="auto"/>
            </w:tcBorders>
          </w:tcPr>
          <w:p w:rsidR="00B4293A" w:rsidRPr="00B04DC3" w:rsidRDefault="00B4293A" w:rsidP="00A064FD">
            <w:pPr>
              <w:spacing w:before="80" w:after="80"/>
            </w:pPr>
            <w:r w:rsidRPr="00B04DC3">
              <w:t>Propane</w:t>
            </w:r>
          </w:p>
        </w:tc>
        <w:tc>
          <w:tcPr>
            <w:tcW w:w="849"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1.2869</w:t>
            </w:r>
          </w:p>
        </w:tc>
        <w:tc>
          <w:tcPr>
            <w:tcW w:w="1087"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0.001596</w:t>
            </w:r>
          </w:p>
        </w:tc>
        <w:tc>
          <w:tcPr>
            <w:tcW w:w="1087"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0.000972</w:t>
            </w:r>
          </w:p>
        </w:tc>
        <w:tc>
          <w:tcPr>
            <w:tcW w:w="1163"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0.000510</w:t>
            </w:r>
          </w:p>
        </w:tc>
        <w:tc>
          <w:tcPr>
            <w:tcW w:w="1074"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0.001527</w:t>
            </w:r>
          </w:p>
        </w:tc>
        <w:tc>
          <w:tcPr>
            <w:tcW w:w="1151"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0.001110</w:t>
            </w:r>
          </w:p>
        </w:tc>
        <w:tc>
          <w:tcPr>
            <w:tcW w:w="1087" w:type="dxa"/>
            <w:tcBorders>
              <w:top w:val="single" w:sz="2" w:space="0" w:color="auto"/>
              <w:bottom w:val="single" w:sz="2" w:space="0" w:color="auto"/>
              <w:right w:val="single" w:sz="2" w:space="0" w:color="auto"/>
            </w:tcBorders>
            <w:vAlign w:val="center"/>
          </w:tcPr>
          <w:p w:rsidR="00B4293A" w:rsidRPr="00B04DC3" w:rsidRDefault="00B4293A" w:rsidP="00A064FD">
            <w:pPr>
              <w:spacing w:before="80" w:after="80"/>
              <w:jc w:val="center"/>
            </w:pPr>
            <w:r w:rsidRPr="00B04DC3">
              <w:t>0.000556</w:t>
            </w:r>
          </w:p>
        </w:tc>
      </w:tr>
      <w:tr w:rsidR="00B4293A" w:rsidRPr="00B04DC3" w:rsidTr="00B4293A">
        <w:trPr>
          <w:jc w:val="center"/>
        </w:trPr>
        <w:tc>
          <w:tcPr>
            <w:tcW w:w="1268" w:type="dxa"/>
            <w:tcBorders>
              <w:top w:val="single" w:sz="2" w:space="0" w:color="auto"/>
              <w:left w:val="single" w:sz="2" w:space="0" w:color="auto"/>
              <w:bottom w:val="single" w:sz="2" w:space="0" w:color="auto"/>
            </w:tcBorders>
          </w:tcPr>
          <w:p w:rsidR="00B4293A" w:rsidRPr="00B04DC3" w:rsidRDefault="00B4293A" w:rsidP="00A064FD">
            <w:pPr>
              <w:spacing w:before="80" w:after="80"/>
            </w:pPr>
            <w:r w:rsidRPr="00B04DC3">
              <w:t>Butane</w:t>
            </w:r>
          </w:p>
        </w:tc>
        <w:tc>
          <w:tcPr>
            <w:tcW w:w="849"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1.2883</w:t>
            </w:r>
          </w:p>
        </w:tc>
        <w:tc>
          <w:tcPr>
            <w:tcW w:w="1087"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0.001594</w:t>
            </w:r>
          </w:p>
        </w:tc>
        <w:tc>
          <w:tcPr>
            <w:tcW w:w="1087"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0.000971</w:t>
            </w:r>
          </w:p>
        </w:tc>
        <w:tc>
          <w:tcPr>
            <w:tcW w:w="1163"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0.000503</w:t>
            </w:r>
          </w:p>
        </w:tc>
        <w:tc>
          <w:tcPr>
            <w:tcW w:w="1074"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0.001525</w:t>
            </w:r>
          </w:p>
        </w:tc>
        <w:tc>
          <w:tcPr>
            <w:tcW w:w="1151" w:type="dxa"/>
            <w:tcBorders>
              <w:top w:val="single" w:sz="2" w:space="0" w:color="auto"/>
              <w:bottom w:val="single" w:sz="2" w:space="0" w:color="auto"/>
            </w:tcBorders>
            <w:vAlign w:val="center"/>
          </w:tcPr>
          <w:p w:rsidR="00B4293A" w:rsidRPr="00B04DC3" w:rsidRDefault="00B4293A" w:rsidP="00A064FD">
            <w:pPr>
              <w:spacing w:before="80" w:after="80"/>
              <w:jc w:val="center"/>
            </w:pPr>
            <w:r w:rsidRPr="00B04DC3">
              <w:t>0.001109</w:t>
            </w:r>
          </w:p>
        </w:tc>
        <w:tc>
          <w:tcPr>
            <w:tcW w:w="1087" w:type="dxa"/>
            <w:tcBorders>
              <w:top w:val="single" w:sz="2" w:space="0" w:color="auto"/>
              <w:bottom w:val="single" w:sz="2" w:space="0" w:color="auto"/>
              <w:right w:val="single" w:sz="2" w:space="0" w:color="auto"/>
            </w:tcBorders>
            <w:vAlign w:val="center"/>
          </w:tcPr>
          <w:p w:rsidR="00B4293A" w:rsidRPr="00B04DC3" w:rsidRDefault="00B4293A" w:rsidP="00A064FD">
            <w:pPr>
              <w:spacing w:before="80" w:after="80"/>
              <w:jc w:val="center"/>
            </w:pPr>
            <w:r w:rsidRPr="00B04DC3">
              <w:t>0.000556</w:t>
            </w:r>
          </w:p>
        </w:tc>
      </w:tr>
      <w:tr w:rsidR="00B4293A" w:rsidRPr="00B04DC3" w:rsidTr="00B4293A">
        <w:trPr>
          <w:jc w:val="center"/>
        </w:trPr>
        <w:tc>
          <w:tcPr>
            <w:tcW w:w="1268" w:type="dxa"/>
            <w:tcBorders>
              <w:top w:val="single" w:sz="2" w:space="0" w:color="auto"/>
              <w:left w:val="single" w:sz="2" w:space="0" w:color="auto"/>
              <w:bottom w:val="single" w:sz="12" w:space="0" w:color="auto"/>
            </w:tcBorders>
          </w:tcPr>
          <w:p w:rsidR="00B4293A" w:rsidRPr="00B04DC3" w:rsidRDefault="00B4293A" w:rsidP="00A064FD">
            <w:pPr>
              <w:spacing w:before="80" w:after="80"/>
              <w:rPr>
                <w:vertAlign w:val="superscript"/>
              </w:rPr>
            </w:pPr>
            <w:r w:rsidRPr="00B04DC3">
              <w:t>LPG</w:t>
            </w:r>
            <w:r w:rsidRPr="00B04DC3">
              <w:rPr>
                <w:vertAlign w:val="superscript"/>
              </w:rPr>
              <w:t>e</w:t>
            </w:r>
          </w:p>
        </w:tc>
        <w:tc>
          <w:tcPr>
            <w:tcW w:w="849"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1.2881</w:t>
            </w:r>
          </w:p>
        </w:tc>
        <w:tc>
          <w:tcPr>
            <w:tcW w:w="1087"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0.001594</w:t>
            </w:r>
          </w:p>
        </w:tc>
        <w:tc>
          <w:tcPr>
            <w:tcW w:w="1087"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0.000971</w:t>
            </w:r>
          </w:p>
        </w:tc>
        <w:tc>
          <w:tcPr>
            <w:tcW w:w="1163"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0.000506</w:t>
            </w:r>
          </w:p>
        </w:tc>
        <w:tc>
          <w:tcPr>
            <w:tcW w:w="1074"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0.001525</w:t>
            </w:r>
          </w:p>
        </w:tc>
        <w:tc>
          <w:tcPr>
            <w:tcW w:w="1151" w:type="dxa"/>
            <w:tcBorders>
              <w:top w:val="single" w:sz="2" w:space="0" w:color="auto"/>
              <w:bottom w:val="single" w:sz="12" w:space="0" w:color="auto"/>
            </w:tcBorders>
            <w:vAlign w:val="center"/>
          </w:tcPr>
          <w:p w:rsidR="00B4293A" w:rsidRPr="00B04DC3" w:rsidRDefault="00B4293A" w:rsidP="00A064FD">
            <w:pPr>
              <w:spacing w:before="80" w:after="80"/>
              <w:jc w:val="center"/>
            </w:pPr>
            <w:r w:rsidRPr="00B04DC3">
              <w:t>0.001109</w:t>
            </w:r>
          </w:p>
        </w:tc>
        <w:tc>
          <w:tcPr>
            <w:tcW w:w="1087" w:type="dxa"/>
            <w:tcBorders>
              <w:top w:val="single" w:sz="2" w:space="0" w:color="auto"/>
              <w:bottom w:val="single" w:sz="12" w:space="0" w:color="auto"/>
              <w:right w:val="single" w:sz="2" w:space="0" w:color="auto"/>
            </w:tcBorders>
            <w:vAlign w:val="center"/>
          </w:tcPr>
          <w:p w:rsidR="00B4293A" w:rsidRPr="00B04DC3" w:rsidRDefault="00B4293A" w:rsidP="00A064FD">
            <w:pPr>
              <w:spacing w:before="80" w:after="80"/>
              <w:jc w:val="center"/>
            </w:pPr>
            <w:r w:rsidRPr="00B04DC3">
              <w:t>0.000556</w:t>
            </w:r>
          </w:p>
        </w:tc>
      </w:tr>
      <w:tr w:rsidR="00B4293A" w:rsidRPr="00B04DC3" w:rsidTr="00B4293A">
        <w:trPr>
          <w:jc w:val="center"/>
        </w:trPr>
        <w:tc>
          <w:tcPr>
            <w:tcW w:w="8766" w:type="dxa"/>
            <w:gridSpan w:val="8"/>
            <w:tcBorders>
              <w:top w:val="single" w:sz="12" w:space="0" w:color="auto"/>
              <w:left w:val="nil"/>
              <w:bottom w:val="nil"/>
              <w:right w:val="nil"/>
            </w:tcBorders>
          </w:tcPr>
          <w:p w:rsidR="00B4293A" w:rsidRPr="00B04DC3" w:rsidRDefault="00B4293A" w:rsidP="00B4293A">
            <w:pPr>
              <w:spacing w:line="200" w:lineRule="atLeast"/>
              <w:ind w:left="533" w:hanging="533"/>
              <w:rPr>
                <w:sz w:val="18"/>
                <w:szCs w:val="18"/>
              </w:rPr>
            </w:pPr>
            <w:r w:rsidRPr="00B04DC3">
              <w:rPr>
                <w:sz w:val="18"/>
                <w:szCs w:val="18"/>
              </w:rPr>
              <w:t>a</w:t>
            </w:r>
            <w:r w:rsidRPr="00B04DC3">
              <w:rPr>
                <w:sz w:val="18"/>
                <w:szCs w:val="18"/>
              </w:rPr>
              <w:tab/>
              <w:t>Depending on fuel</w:t>
            </w:r>
          </w:p>
          <w:p w:rsidR="00B4293A" w:rsidRPr="00B04DC3" w:rsidRDefault="00B4293A" w:rsidP="00B4293A">
            <w:pPr>
              <w:spacing w:line="200" w:lineRule="atLeast"/>
              <w:ind w:left="533" w:hanging="533"/>
              <w:rPr>
                <w:sz w:val="18"/>
                <w:szCs w:val="18"/>
              </w:rPr>
            </w:pPr>
            <w:r w:rsidRPr="00B04DC3">
              <w:rPr>
                <w:sz w:val="18"/>
                <w:szCs w:val="18"/>
              </w:rPr>
              <w:t>b</w:t>
            </w:r>
            <w:r w:rsidRPr="00B04DC3">
              <w:rPr>
                <w:sz w:val="18"/>
                <w:szCs w:val="18"/>
              </w:rPr>
              <w:tab/>
              <w:t xml:space="preserve">At </w:t>
            </w:r>
            <w:r w:rsidRPr="00B04DC3">
              <w:rPr>
                <w:i/>
                <w:sz w:val="18"/>
                <w:szCs w:val="18"/>
              </w:rPr>
              <w:sym w:font="Symbol" w:char="F06C"/>
            </w:r>
            <w:r w:rsidRPr="00B04DC3">
              <w:rPr>
                <w:sz w:val="18"/>
                <w:szCs w:val="18"/>
              </w:rPr>
              <w:t xml:space="preserve"> = 2, dry air, 273 K, 101.3 kPa</w:t>
            </w:r>
          </w:p>
          <w:p w:rsidR="00B4293A" w:rsidRPr="00B04DC3" w:rsidRDefault="00B4293A" w:rsidP="00B4293A">
            <w:pPr>
              <w:spacing w:line="200" w:lineRule="atLeast"/>
              <w:ind w:left="533" w:hanging="533"/>
              <w:rPr>
                <w:sz w:val="18"/>
                <w:szCs w:val="18"/>
              </w:rPr>
            </w:pPr>
            <w:r w:rsidRPr="00B04DC3">
              <w:rPr>
                <w:sz w:val="18"/>
                <w:szCs w:val="18"/>
              </w:rPr>
              <w:t>c</w:t>
            </w:r>
            <w:r w:rsidRPr="00B04DC3">
              <w:rPr>
                <w:sz w:val="18"/>
                <w:szCs w:val="18"/>
              </w:rPr>
              <w:tab/>
            </w:r>
            <w:r w:rsidRPr="00B04DC3">
              <w:rPr>
                <w:i/>
                <w:sz w:val="18"/>
                <w:szCs w:val="18"/>
              </w:rPr>
              <w:t>u</w:t>
            </w:r>
            <w:r w:rsidRPr="00B04DC3">
              <w:rPr>
                <w:sz w:val="18"/>
                <w:szCs w:val="18"/>
              </w:rPr>
              <w:t xml:space="preserve"> accurate within 0.2 % for mass composition of: C = 58 - 76 %; H = 19 - 25 %; N = 0 - 14 %  (CH</w:t>
            </w:r>
            <w:r w:rsidRPr="00B04DC3">
              <w:rPr>
                <w:sz w:val="18"/>
                <w:szCs w:val="18"/>
                <w:vertAlign w:val="subscript"/>
              </w:rPr>
              <w:t>4</w:t>
            </w:r>
            <w:r w:rsidRPr="00B04DC3">
              <w:rPr>
                <w:sz w:val="18"/>
                <w:szCs w:val="18"/>
              </w:rPr>
              <w:t>, G</w:t>
            </w:r>
            <w:r w:rsidRPr="00B04DC3">
              <w:rPr>
                <w:sz w:val="18"/>
                <w:szCs w:val="18"/>
                <w:vertAlign w:val="subscript"/>
              </w:rPr>
              <w:t>20</w:t>
            </w:r>
            <w:r w:rsidRPr="00B04DC3">
              <w:rPr>
                <w:sz w:val="18"/>
                <w:szCs w:val="18"/>
              </w:rPr>
              <w:t>, G</w:t>
            </w:r>
            <w:r w:rsidRPr="00B04DC3">
              <w:rPr>
                <w:sz w:val="18"/>
                <w:szCs w:val="18"/>
                <w:vertAlign w:val="subscript"/>
              </w:rPr>
              <w:t>R</w:t>
            </w:r>
            <w:r w:rsidRPr="00B04DC3">
              <w:rPr>
                <w:sz w:val="18"/>
                <w:szCs w:val="18"/>
              </w:rPr>
              <w:t>, G</w:t>
            </w:r>
            <w:r w:rsidRPr="00B04DC3">
              <w:rPr>
                <w:sz w:val="18"/>
                <w:szCs w:val="18"/>
                <w:vertAlign w:val="subscript"/>
              </w:rPr>
              <w:t>23</w:t>
            </w:r>
            <w:r w:rsidRPr="00B04DC3">
              <w:rPr>
                <w:sz w:val="18"/>
                <w:szCs w:val="18"/>
              </w:rPr>
              <w:t xml:space="preserve"> and G</w:t>
            </w:r>
            <w:r w:rsidRPr="00B04DC3">
              <w:rPr>
                <w:sz w:val="18"/>
                <w:szCs w:val="18"/>
                <w:vertAlign w:val="subscript"/>
              </w:rPr>
              <w:t>25</w:t>
            </w:r>
            <w:r w:rsidRPr="00B04DC3">
              <w:rPr>
                <w:sz w:val="18"/>
                <w:szCs w:val="18"/>
              </w:rPr>
              <w:t>)</w:t>
            </w:r>
          </w:p>
          <w:p w:rsidR="00B4293A" w:rsidRPr="00B04DC3" w:rsidRDefault="00B4293A" w:rsidP="00B4293A">
            <w:pPr>
              <w:spacing w:line="200" w:lineRule="atLeast"/>
              <w:ind w:left="533" w:hanging="533"/>
              <w:rPr>
                <w:sz w:val="18"/>
                <w:szCs w:val="18"/>
              </w:rPr>
            </w:pPr>
            <w:r w:rsidRPr="00B04DC3">
              <w:rPr>
                <w:sz w:val="18"/>
                <w:szCs w:val="18"/>
              </w:rPr>
              <w:t>d</w:t>
            </w:r>
            <w:r w:rsidRPr="00B04DC3">
              <w:rPr>
                <w:sz w:val="18"/>
                <w:szCs w:val="18"/>
              </w:rPr>
              <w:tab/>
              <w:t>NMHC on the basis of CH</w:t>
            </w:r>
            <w:r w:rsidRPr="00B04DC3">
              <w:rPr>
                <w:sz w:val="18"/>
                <w:szCs w:val="18"/>
                <w:vertAlign w:val="subscript"/>
              </w:rPr>
              <w:t>2.93</w:t>
            </w:r>
            <w:r w:rsidRPr="00B04DC3">
              <w:rPr>
                <w:sz w:val="18"/>
                <w:szCs w:val="18"/>
              </w:rPr>
              <w:t xml:space="preserve"> (for total HC the </w:t>
            </w:r>
            <w:r w:rsidRPr="00B04DC3">
              <w:rPr>
                <w:i/>
                <w:sz w:val="18"/>
                <w:szCs w:val="18"/>
              </w:rPr>
              <w:t>u</w:t>
            </w:r>
            <w:r w:rsidRPr="00B04DC3">
              <w:rPr>
                <w:sz w:val="18"/>
                <w:szCs w:val="18"/>
                <w:vertAlign w:val="subscript"/>
              </w:rPr>
              <w:t>gas</w:t>
            </w:r>
            <w:r w:rsidRPr="00B04DC3">
              <w:rPr>
                <w:sz w:val="18"/>
                <w:szCs w:val="18"/>
              </w:rPr>
              <w:t xml:space="preserve"> coefficient of CH</w:t>
            </w:r>
            <w:r w:rsidRPr="00B04DC3">
              <w:rPr>
                <w:sz w:val="18"/>
                <w:szCs w:val="18"/>
                <w:vertAlign w:val="subscript"/>
              </w:rPr>
              <w:t>4</w:t>
            </w:r>
            <w:r w:rsidRPr="00B04DC3">
              <w:rPr>
                <w:sz w:val="18"/>
                <w:szCs w:val="18"/>
              </w:rPr>
              <w:t xml:space="preserve"> shall be used) </w:t>
            </w:r>
          </w:p>
          <w:p w:rsidR="00B4293A" w:rsidRPr="00B04DC3" w:rsidRDefault="00B4293A" w:rsidP="00B4293A">
            <w:pPr>
              <w:spacing w:line="200" w:lineRule="atLeast"/>
              <w:ind w:left="533" w:hanging="533"/>
            </w:pPr>
            <w:r w:rsidRPr="00B04DC3">
              <w:rPr>
                <w:sz w:val="18"/>
                <w:szCs w:val="18"/>
              </w:rPr>
              <w:t>e</w:t>
            </w:r>
            <w:r w:rsidRPr="00B04DC3">
              <w:rPr>
                <w:sz w:val="18"/>
                <w:szCs w:val="18"/>
              </w:rPr>
              <w:tab/>
            </w:r>
            <w:r w:rsidRPr="00B04DC3">
              <w:rPr>
                <w:i/>
                <w:sz w:val="18"/>
                <w:szCs w:val="18"/>
              </w:rPr>
              <w:t>u</w:t>
            </w:r>
            <w:r w:rsidRPr="00B04DC3">
              <w:rPr>
                <w:sz w:val="18"/>
                <w:szCs w:val="18"/>
              </w:rPr>
              <w:t xml:space="preserve"> accurate within 0.2 % for mass composition of: C3 = 27 - 90 %; C4 = 10 - 73 % (LPG Fuels A and B)</w:t>
            </w:r>
          </w:p>
        </w:tc>
      </w:tr>
    </w:tbl>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59" w:right="1134" w:hanging="1125"/>
        <w:jc w:val="both"/>
      </w:pPr>
      <w:r w:rsidRPr="00B04DC3">
        <w:t>A.5.2.3.</w:t>
      </w:r>
      <w:r w:rsidRPr="00B04DC3">
        <w:tab/>
        <w:t xml:space="preserve">For Type 3B dual-fuel engines operating in dual-fuel mode the molar component ratios and the </w:t>
      </w:r>
      <w:r w:rsidRPr="00B04DC3">
        <w:rPr>
          <w:i/>
        </w:rPr>
        <w:t>u</w:t>
      </w:r>
      <w:r w:rsidRPr="00B04DC3">
        <w:rPr>
          <w:i/>
          <w:vertAlign w:val="subscript"/>
        </w:rPr>
        <w:t>gas</w:t>
      </w:r>
      <w:r w:rsidRPr="00B04DC3">
        <w:t xml:space="preserve"> values of diesel fuel shall be used.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A.5.2.4.</w:t>
      </w:r>
      <w:r w:rsidRPr="00B04DC3">
        <w:tab/>
        <w:t xml:space="preserve">For the calculation of the hydrocarbon emissions of all types of dual-fuel engines operating in dual-fuel mode, the following shall apply: </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(a)</w:t>
      </w:r>
      <w:r w:rsidRPr="00B04DC3">
        <w:tab/>
        <w:t xml:space="preserve">For the calculation of the THC emissions, the </w:t>
      </w:r>
      <w:r w:rsidRPr="00B04DC3">
        <w:rPr>
          <w:i/>
        </w:rPr>
        <w:t>u</w:t>
      </w:r>
      <w:r w:rsidRPr="00B04DC3">
        <w:rPr>
          <w:i/>
          <w:vertAlign w:val="subscript"/>
        </w:rPr>
        <w:t>gas</w:t>
      </w:r>
      <w:r w:rsidRPr="00B04DC3">
        <w:t xml:space="preserve"> value of the gaseous fuel shall be used</w:t>
      </w:r>
      <w:r w:rsidR="00A064FD">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(b)</w:t>
      </w:r>
      <w:r w:rsidRPr="00B04DC3">
        <w:tab/>
        <w:t xml:space="preserve">For the calculation of the NMHC emissions, the </w:t>
      </w:r>
      <w:r w:rsidRPr="00B04DC3">
        <w:rPr>
          <w:i/>
        </w:rPr>
        <w:t>u</w:t>
      </w:r>
      <w:r w:rsidRPr="00B04DC3">
        <w:rPr>
          <w:i/>
          <w:vertAlign w:val="subscript"/>
        </w:rPr>
        <w:t>gas</w:t>
      </w:r>
      <w:r w:rsidRPr="00B04DC3">
        <w:t xml:space="preserve"> value on the basis of CH</w:t>
      </w:r>
      <w:r w:rsidRPr="00B04DC3">
        <w:rPr>
          <w:vertAlign w:val="subscript"/>
        </w:rPr>
        <w:t>2.93</w:t>
      </w:r>
      <w:r w:rsidRPr="00B04DC3">
        <w:t xml:space="preserve"> shall be used</w:t>
      </w:r>
      <w:r w:rsidR="00A064FD">
        <w:t>;</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835" w:right="1134" w:hanging="567"/>
        <w:jc w:val="both"/>
      </w:pPr>
      <w:r w:rsidRPr="00B04DC3">
        <w:t>(c)</w:t>
      </w:r>
      <w:r w:rsidRPr="00B04DC3">
        <w:tab/>
        <w:t>For the calculation of the CH</w:t>
      </w:r>
      <w:r w:rsidRPr="00B04DC3">
        <w:rPr>
          <w:vertAlign w:val="subscript"/>
        </w:rPr>
        <w:t>4</w:t>
      </w:r>
      <w:r w:rsidRPr="00B04DC3">
        <w:t xml:space="preserve"> emissions, the </w:t>
      </w:r>
      <w:r w:rsidRPr="00B04DC3">
        <w:rPr>
          <w:i/>
        </w:rPr>
        <w:t>u</w:t>
      </w:r>
      <w:r w:rsidRPr="00B04DC3">
        <w:rPr>
          <w:i/>
          <w:vertAlign w:val="subscript"/>
        </w:rPr>
        <w:t>gas</w:t>
      </w:r>
      <w:r w:rsidRPr="00B04DC3">
        <w:t xml:space="preserve"> value of CH</w:t>
      </w:r>
      <w:r w:rsidRPr="00B04DC3">
        <w:rPr>
          <w:vertAlign w:val="subscript"/>
        </w:rPr>
        <w:t xml:space="preserve">4 </w:t>
      </w:r>
      <w:r w:rsidRPr="00B04DC3">
        <w:t>shall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A.5.3.</w:t>
      </w:r>
      <w:r w:rsidRPr="00B04DC3">
        <w:tab/>
        <w:t>Operation in diesel mode</w:t>
      </w:r>
    </w:p>
    <w:p w:rsidR="00B4293A" w:rsidRPr="00B04DC3" w:rsidRDefault="00B4293A" w:rsidP="00B4293A">
      <w:pPr>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t xml:space="preserve">For Type 1B, 2B or 3B dual-fuel engines operating in diesel mode, the molar component ratios and the </w:t>
      </w:r>
      <w:r w:rsidRPr="00B04DC3">
        <w:rPr>
          <w:i/>
        </w:rPr>
        <w:t>u</w:t>
      </w:r>
      <w:r w:rsidRPr="00B04DC3">
        <w:rPr>
          <w:i/>
          <w:vertAlign w:val="subscript"/>
        </w:rPr>
        <w:t>gas</w:t>
      </w:r>
      <w:r w:rsidRPr="00B04DC3">
        <w:t xml:space="preserve"> values of diesel fuel shall be used.</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A.5.4.</w:t>
      </w:r>
      <w:r w:rsidRPr="00B04DC3">
        <w:tab/>
        <w:t>Determination of the molar component ratios when the fuel mix is known</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240" w:lineRule="auto"/>
        <w:ind w:left="2257" w:right="1134" w:hanging="1123"/>
        <w:jc w:val="both"/>
      </w:pPr>
      <w:r w:rsidRPr="00B04DC3">
        <w:t>A.5.4.1.</w:t>
      </w:r>
      <w:r w:rsidRPr="00B04DC3">
        <w:tab/>
        <w:t>Calculation of the fuel mixture components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5" o:spid="_x0000_i1472" type="#_x0000_t75" style="width:165.6pt;height:36.6pt;visibility:visible">
            <v:imagedata r:id="rId756" o:title=""/>
          </v:shape>
        </w:pict>
      </w:r>
      <w:r w:rsidRPr="00B04DC3">
        <w:tab/>
      </w:r>
      <w:r w:rsidRPr="00B04DC3">
        <w:tab/>
      </w:r>
      <w:r w:rsidRPr="00B04DC3">
        <w:tab/>
      </w:r>
      <w:r w:rsidRPr="00B04DC3">
        <w:tab/>
      </w:r>
      <w:r w:rsidRPr="00B04DC3">
        <w:tab/>
        <w:t>(A6.1)</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4" o:spid="_x0000_i1473" type="#_x0000_t75" style="width:163.8pt;height:36.6pt;visibility:visible">
            <v:imagedata r:id="rId757" o:title=""/>
          </v:shape>
        </w:pict>
      </w:r>
      <w:r w:rsidRPr="00B04DC3">
        <w:tab/>
      </w:r>
      <w:r w:rsidRPr="00B04DC3">
        <w:tab/>
      </w:r>
      <w:r w:rsidRPr="00B04DC3">
        <w:tab/>
      </w:r>
      <w:r w:rsidRPr="00B04DC3">
        <w:tab/>
      </w:r>
      <w:r w:rsidRPr="00B04DC3">
        <w:tab/>
        <w:t>(A6.2)</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3" o:spid="_x0000_i1474" type="#_x0000_t75" style="width:173.4pt;height:36.6pt;visibility:visible">
            <v:imagedata r:id="rId758" o:title=""/>
          </v:shape>
        </w:pict>
      </w:r>
      <w:r w:rsidRPr="00B04DC3">
        <w:tab/>
      </w:r>
      <w:r w:rsidRPr="00B04DC3">
        <w:tab/>
      </w:r>
      <w:r w:rsidRPr="00B04DC3">
        <w:tab/>
      </w:r>
      <w:r w:rsidRPr="00B04DC3">
        <w:tab/>
        <w:t>(A6.3)</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2" o:spid="_x0000_i1475" type="#_x0000_t75" style="width:163.8pt;height:36.6pt;visibility:visible">
            <v:imagedata r:id="rId759" o:title=""/>
          </v:shape>
        </w:pict>
      </w:r>
      <w:r w:rsidRPr="00B04DC3">
        <w:tab/>
      </w:r>
      <w:r w:rsidRPr="00B04DC3">
        <w:tab/>
      </w:r>
      <w:r w:rsidRPr="00B04DC3">
        <w:tab/>
      </w:r>
      <w:r w:rsidRPr="00B04DC3">
        <w:tab/>
      </w:r>
      <w:r w:rsidRPr="00B04DC3">
        <w:tab/>
        <w:t>(A6.4)</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1" o:spid="_x0000_i1476" type="#_x0000_t75" style="width:159.6pt;height:36.6pt;visibility:visible">
            <v:imagedata r:id="rId760" o:title=""/>
          </v:shape>
        </w:pict>
      </w:r>
      <w:r w:rsidRPr="00B04DC3">
        <w:tab/>
      </w:r>
      <w:r w:rsidRPr="00B04DC3">
        <w:tab/>
      </w:r>
      <w:r w:rsidRPr="00B04DC3">
        <w:tab/>
      </w:r>
      <w:r w:rsidRPr="00B04DC3">
        <w:tab/>
      </w:r>
      <w:r w:rsidRPr="00B04DC3">
        <w:tab/>
        <w:t>(A6.5)</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Where: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q</w:t>
      </w:r>
      <w:r w:rsidRPr="00B04DC3">
        <w:rPr>
          <w:i/>
          <w:vertAlign w:val="subscript"/>
        </w:rPr>
        <w:t>m</w:t>
      </w:r>
      <w:r w:rsidRPr="00B04DC3">
        <w:rPr>
          <w:vertAlign w:val="subscript"/>
        </w:rPr>
        <w:t>f1</w:t>
      </w:r>
      <w:r w:rsidRPr="00B04DC3">
        <w:tab/>
      </w:r>
      <w:r w:rsidRPr="00B04DC3">
        <w:tab/>
        <w:t>fuel mass flow rate of fuel1, kg/s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q</w:t>
      </w:r>
      <w:r w:rsidRPr="00B04DC3">
        <w:rPr>
          <w:i/>
          <w:vertAlign w:val="subscript"/>
        </w:rPr>
        <w:t>m</w:t>
      </w:r>
      <w:r w:rsidRPr="00B04DC3">
        <w:rPr>
          <w:vertAlign w:val="subscript"/>
        </w:rPr>
        <w:t>f2</w:t>
      </w:r>
      <w:r w:rsidRPr="00B04DC3">
        <w:tab/>
      </w:r>
      <w:r w:rsidRPr="00B04DC3">
        <w:tab/>
        <w:t>fuel mass flow rate of fuel2, kg/s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ALF</w:t>
      </w:r>
      <w:r w:rsidRPr="00B04DC3">
        <w:tab/>
      </w:r>
      <w:r w:rsidRPr="00B04DC3">
        <w:tab/>
        <w:t>hydrogen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BET</w:t>
      </w:r>
      <w:r w:rsidRPr="00B04DC3">
        <w:tab/>
      </w:r>
      <w:r w:rsidRPr="00B04DC3">
        <w:tab/>
        <w:t>carbon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GAM</w:t>
      </w:r>
      <w:r w:rsidRPr="00B04DC3">
        <w:tab/>
      </w:r>
      <w:r w:rsidRPr="00B04DC3">
        <w:tab/>
        <w:t>sulphur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DEL</w:t>
      </w:r>
      <w:r w:rsidRPr="00B04DC3">
        <w:tab/>
      </w:r>
      <w:r w:rsidRPr="00B04DC3">
        <w:tab/>
        <w:t>nitrogen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EPS</w:t>
      </w:r>
      <w:r w:rsidRPr="00B04DC3">
        <w:tab/>
      </w:r>
      <w:r w:rsidRPr="00B04DC3">
        <w:tab/>
        <w:t>oxygen content of fuel, per cent mass</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25"/>
        <w:jc w:val="both"/>
      </w:pPr>
      <w:r w:rsidRPr="00B04DC3">
        <w:t>A.5.4.2.</w:t>
      </w:r>
      <w:r w:rsidRPr="00B04DC3">
        <w:tab/>
        <w:t>Calculation of the molar ratios of H, C, S, N and O related to C for the fuel mixture (according to ISO8178-1, Annex A-A.2.2.2).</w:t>
      </w:r>
    </w:p>
    <w:p w:rsidR="00B4293A" w:rsidRPr="00B04DC3" w:rsidRDefault="00B4293A" w:rsidP="00B4293A">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50" o:spid="_x0000_i1477" type="#_x0000_t75" style="width:82.2pt;height:29.4pt;visibility:visible">
            <v:imagedata r:id="rId761" o:title=""/>
          </v:shape>
        </w:pict>
      </w:r>
      <w:r w:rsidRPr="00B04DC3">
        <w:tab/>
      </w:r>
      <w:r w:rsidRPr="00B04DC3">
        <w:tab/>
      </w:r>
      <w:r w:rsidRPr="00B04DC3">
        <w:tab/>
      </w:r>
      <w:r w:rsidRPr="00B04DC3">
        <w:tab/>
      </w:r>
      <w:r w:rsidRPr="00B04DC3">
        <w:tab/>
      </w:r>
      <w:r w:rsidRPr="00B04DC3">
        <w:tab/>
      </w:r>
      <w:r w:rsidRPr="00B04DC3">
        <w:tab/>
      </w:r>
      <w:r w:rsidR="00A064FD">
        <w:tab/>
      </w:r>
      <w:r w:rsidRPr="00B04DC3">
        <w:t>(A6.6)</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49" o:spid="_x0000_i1478" type="#_x0000_t75" style="width:90pt;height:29.4pt;visibility:visible">
            <v:imagedata r:id="rId762" o:title=""/>
          </v:shape>
        </w:pict>
      </w:r>
      <w:r w:rsidRPr="00B04DC3">
        <w:tab/>
      </w:r>
      <w:r w:rsidRPr="00B04DC3">
        <w:tab/>
      </w:r>
      <w:r w:rsidRPr="00B04DC3">
        <w:tab/>
      </w:r>
      <w:r w:rsidRPr="00B04DC3">
        <w:tab/>
      </w:r>
      <w:r w:rsidRPr="00B04DC3">
        <w:tab/>
      </w:r>
      <w:r w:rsidRPr="00B04DC3">
        <w:tab/>
      </w:r>
      <w:r w:rsidRPr="00B04DC3">
        <w:tab/>
        <w:t>(A6.7)</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48" o:spid="_x0000_i1479" type="#_x0000_t75" style="width:87.6pt;height:29.4pt;visibility:visible">
            <v:imagedata r:id="rId763" o:title=""/>
          </v:shape>
        </w:pict>
      </w:r>
      <w:r w:rsidRPr="00B04DC3">
        <w:tab/>
      </w:r>
      <w:r w:rsidRPr="00B04DC3">
        <w:tab/>
      </w:r>
      <w:r w:rsidRPr="00B04DC3">
        <w:tab/>
      </w:r>
      <w:r w:rsidRPr="00B04DC3">
        <w:tab/>
      </w:r>
      <w:r w:rsidRPr="00B04DC3">
        <w:tab/>
      </w:r>
      <w:r w:rsidRPr="00B04DC3">
        <w:tab/>
      </w:r>
      <w:r w:rsidRPr="00B04DC3">
        <w:tab/>
        <w:t>(A6.8)</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42" w:hanging="1134"/>
        <w:jc w:val="both"/>
      </w:pPr>
      <w:r w:rsidRPr="00B04DC3">
        <w:tab/>
      </w:r>
      <w:r w:rsidR="00A905B7">
        <w:rPr>
          <w:noProof/>
          <w:position w:val="-30"/>
          <w:lang w:eastAsia="en-GB"/>
        </w:rPr>
        <w:pict>
          <v:shape id="Picture 1347" o:spid="_x0000_i1480" type="#_x0000_t75" style="width:82.2pt;height:28.2pt;visibility:visible">
            <v:imagedata r:id="rId764" o:title=""/>
          </v:shape>
        </w:pict>
      </w:r>
      <w:r w:rsidRPr="00B04DC3">
        <w:tab/>
      </w:r>
      <w:r w:rsidRPr="00B04DC3">
        <w:tab/>
      </w:r>
      <w:r w:rsidRPr="00B04DC3">
        <w:tab/>
      </w:r>
      <w:r w:rsidRPr="00B04DC3">
        <w:tab/>
      </w:r>
      <w:r w:rsidRPr="00B04DC3">
        <w:tab/>
      </w:r>
      <w:r w:rsidRPr="00B04DC3">
        <w:tab/>
      </w:r>
      <w:r w:rsidRPr="00B04DC3">
        <w:tab/>
      </w:r>
      <w:r w:rsidR="00A064FD">
        <w:tab/>
      </w:r>
      <w:r w:rsidRPr="00B04DC3">
        <w:t>(A6.9)</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Where: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ALF</w:t>
      </w:r>
      <w:r w:rsidRPr="00B04DC3">
        <w:tab/>
      </w:r>
      <w:r w:rsidRPr="00B04DC3">
        <w:tab/>
        <w:t>hydrogen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BET</w:t>
      </w:r>
      <w:r w:rsidRPr="00B04DC3">
        <w:tab/>
      </w:r>
      <w:r w:rsidRPr="00B04DC3">
        <w:tab/>
        <w:t>carbon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GAM</w:t>
      </w:r>
      <w:r w:rsidRPr="00B04DC3">
        <w:tab/>
      </w:r>
      <w:r w:rsidRPr="00B04DC3">
        <w:tab/>
        <w:t>sulphur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DEL</w:t>
      </w:r>
      <w:r w:rsidRPr="00B04DC3">
        <w:tab/>
      </w:r>
      <w:r w:rsidRPr="00B04DC3">
        <w:tab/>
        <w:t>nitrogen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r>
      <w:r w:rsidRPr="00A064FD">
        <w:rPr>
          <w:i/>
        </w:rPr>
        <w:t>w</w:t>
      </w:r>
      <w:r w:rsidRPr="00A064FD">
        <w:rPr>
          <w:i/>
          <w:vertAlign w:val="subscript"/>
        </w:rPr>
        <w:t>EPS</w:t>
      </w:r>
      <w:r w:rsidRPr="00B04DC3">
        <w:tab/>
      </w:r>
      <w:r w:rsidRPr="00B04DC3">
        <w:tab/>
        <w:t>oxygen content of fuel, per cent mass</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α</w:t>
      </w:r>
      <w:r w:rsidRPr="00B04DC3">
        <w:tab/>
      </w:r>
      <w:r w:rsidRPr="00B04DC3">
        <w:tab/>
        <w:t>molar hydrogen ratio (H/C)</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γ</w:t>
      </w:r>
      <w:r w:rsidRPr="00B04DC3">
        <w:tab/>
      </w:r>
      <w:r w:rsidRPr="00B04DC3">
        <w:tab/>
        <w:t>molar sulphur ratio (S/C)</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δ</w:t>
      </w:r>
      <w:r w:rsidRPr="00B04DC3">
        <w:tab/>
      </w:r>
      <w:r w:rsidRPr="00B04DC3">
        <w:tab/>
        <w:t>molar nitrogen ratio (N/C)</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rPr>
          <w:i/>
        </w:rPr>
        <w:tab/>
        <w:t>ε</w:t>
      </w:r>
      <w:r w:rsidRPr="00B04DC3">
        <w:tab/>
      </w:r>
      <w:r w:rsidRPr="00B04DC3">
        <w:tab/>
        <w:t>molar oxygen ratio (O/C)</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b/>
        <w:t>referring to a fuel CH</w:t>
      </w:r>
      <w:r w:rsidRPr="00B04DC3">
        <w:rPr>
          <w:i/>
          <w:vertAlign w:val="subscript"/>
        </w:rPr>
        <w:t>α</w:t>
      </w:r>
      <w:r w:rsidRPr="00B04DC3">
        <w:t>O</w:t>
      </w:r>
      <w:r w:rsidRPr="00B04DC3">
        <w:rPr>
          <w:i/>
          <w:vertAlign w:val="subscript"/>
        </w:rPr>
        <w:sym w:font="Symbol" w:char="F065"/>
      </w:r>
      <w:r w:rsidRPr="00B04DC3">
        <w:t>N</w:t>
      </w:r>
      <w:r w:rsidRPr="00B04DC3">
        <w:rPr>
          <w:i/>
          <w:vertAlign w:val="subscript"/>
        </w:rPr>
        <w:sym w:font="Symbol" w:char="F064"/>
      </w:r>
      <w:r w:rsidRPr="00B04DC3">
        <w:t>S</w:t>
      </w:r>
      <w:r w:rsidRPr="00B04DC3">
        <w:rPr>
          <w:i/>
          <w:vertAlign w:val="subscript"/>
        </w:rPr>
        <w:sym w:font="Symbol" w:char="F067"/>
      </w:r>
    </w:p>
    <w:p w:rsidR="00B4293A" w:rsidRPr="00B04DC3" w:rsidRDefault="00B4293A" w:rsidP="00A064FD">
      <w:pPr>
        <w:keepNext/>
        <w:keepLines/>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B04DC3">
        <w:t>A.5.4.3.</w:t>
      </w:r>
      <w:r w:rsidRPr="00B04DC3">
        <w:tab/>
        <w:t xml:space="preserve">Calculation of the </w:t>
      </w:r>
      <w:r w:rsidRPr="00B04DC3">
        <w:rPr>
          <w:i/>
        </w:rPr>
        <w:t>u</w:t>
      </w:r>
      <w:r w:rsidRPr="00B04DC3">
        <w:rPr>
          <w:vertAlign w:val="subscript"/>
        </w:rPr>
        <w:t>gas</w:t>
      </w:r>
      <w:r w:rsidRPr="00B04DC3">
        <w:t xml:space="preserve"> values for a fuel mixture</w:t>
      </w:r>
    </w:p>
    <w:p w:rsidR="00B4293A" w:rsidRPr="00B04DC3"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The raw exhaust gas </w:t>
      </w:r>
      <w:r w:rsidRPr="00B04DC3">
        <w:rPr>
          <w:i/>
        </w:rPr>
        <w:t>u</w:t>
      </w:r>
      <w:r w:rsidRPr="00B04DC3">
        <w:rPr>
          <w:vertAlign w:val="subscript"/>
        </w:rPr>
        <w:t>gas</w:t>
      </w:r>
      <w:r w:rsidRPr="00B04DC3">
        <w:t xml:space="preserve"> values for a fuel mixture can be calculated with the exact equations in paragraph 8.4.2.4. of Annex 4B and the molar ratios calculated according to this paragraph. </w:t>
      </w:r>
    </w:p>
    <w:p w:rsidR="00B4293A" w:rsidRDefault="00B4293A"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r w:rsidRPr="00B04DC3">
        <w:tab/>
      </w:r>
      <w:r w:rsidRPr="00B04DC3">
        <w:tab/>
        <w:t xml:space="preserve">For systems with constant mass flow, equation 57 in paragraph 8.5.2.3.1. of Annex 4B is needed to calculate the diluted exhaust gas </w:t>
      </w:r>
      <w:r w:rsidRPr="00B04DC3">
        <w:rPr>
          <w:i/>
        </w:rPr>
        <w:t>u</w:t>
      </w:r>
      <w:r w:rsidRPr="00B04DC3">
        <w:rPr>
          <w:vertAlign w:val="subscript"/>
        </w:rPr>
        <w:t>gas</w:t>
      </w:r>
      <w:r w:rsidRPr="00B04DC3">
        <w:t xml:space="preserve"> values.</w:t>
      </w:r>
      <w:bookmarkEnd w:id="1311"/>
    </w:p>
    <w:p w:rsidR="00A064FD" w:rsidRPr="00A064FD" w:rsidRDefault="00A064FD" w:rsidP="00A064F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240"/>
        <w:ind w:left="1134" w:right="1134"/>
        <w:jc w:val="center"/>
        <w:rPr>
          <w:u w:val="single"/>
        </w:rPr>
      </w:pPr>
      <w:r>
        <w:rPr>
          <w:u w:val="single"/>
        </w:rPr>
        <w:tab/>
      </w:r>
      <w:r>
        <w:rPr>
          <w:u w:val="single"/>
        </w:rPr>
        <w:tab/>
      </w:r>
      <w:r>
        <w:rPr>
          <w:u w:val="single"/>
        </w:rPr>
        <w:tab/>
      </w:r>
    </w:p>
    <w:p w:rsidR="00A064FD" w:rsidRPr="00B04DC3" w:rsidRDefault="00A064FD" w:rsidP="00B4293A">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59" w:right="1134" w:hanging="1134"/>
        <w:jc w:val="both"/>
      </w:pPr>
    </w:p>
    <w:sectPr w:rsidR="00A064FD" w:rsidRPr="00B04DC3" w:rsidSect="00AF2027">
      <w:headerReference w:type="even" r:id="rId765"/>
      <w:headerReference w:type="default" r:id="rId766"/>
      <w:headerReference w:type="first" r:id="rId767"/>
      <w:footerReference w:type="first" r:id="rId768"/>
      <w:footnotePr>
        <w:numRestart w:val="eachSect"/>
      </w:footnotePr>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5B7" w:rsidRDefault="00A905B7"/>
  </w:endnote>
  <w:endnote w:type="continuationSeparator" w:id="0">
    <w:p w:rsidR="00A905B7" w:rsidRDefault="00A905B7"/>
  </w:endnote>
  <w:endnote w:type="continuationNotice" w:id="1">
    <w:p w:rsidR="00A905B7" w:rsidRDefault="00A905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EUAlbertina_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echnic">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xt">
    <w:altName w:val="Courier New"/>
    <w:charset w:val="00"/>
    <w:family w:val="auto"/>
    <w:pitch w:val="variable"/>
    <w:sig w:usb0="A0003AA7" w:usb1="00000000" w:usb2="00000000" w:usb3="00000000" w:csb0="000001FF" w:csb1="00000000"/>
  </w:font>
  <w:font w:name="TechnicLite">
    <w:altName w:val="Symbol"/>
    <w:charset w:val="02"/>
    <w:family w:val="auto"/>
    <w:pitch w:val="variable"/>
    <w:sig w:usb0="00000000" w:usb1="10000000" w:usb2="00000000" w:usb3="00000000" w:csb0="80000000" w:csb1="00000000"/>
  </w:font>
  <w:font w:name="(Utiliser une police de caractè">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EUAlbertina-Regular-Identity-H">
    <w:altName w:val="MS Mincho"/>
    <w:panose1 w:val="00000000000000000000"/>
    <w:charset w:val="80"/>
    <w:family w:val="auto"/>
    <w:notTrueType/>
    <w:pitch w:val="default"/>
    <w:sig w:usb0="00000000" w:usb1="08070000" w:usb2="00000010" w:usb3="00000000" w:csb0="00020000" w:csb1="00000000"/>
  </w:font>
  <w:font w:name="EUAlbertina-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EB395A">
    <w:pPr>
      <w:pStyle w:val="Footer"/>
      <w:tabs>
        <w:tab w:val="right" w:pos="9638"/>
      </w:tabs>
      <w:rPr>
        <w:sz w:val="18"/>
      </w:rPr>
    </w:pP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ind w:left="180"/>
      <w:jc w:val="center"/>
    </w:pPr>
    <w:r>
      <w:rPr>
        <w:noProof/>
        <w:lang w:val="en-US"/>
      </w:rPr>
      <w:pict>
        <v:shapetype id="_x0000_t202" coordsize="21600,21600" o:spt="202" path="m,l,21600r21600,l21600,xe">
          <v:stroke joinstyle="miter"/>
          <v:path gradientshapeok="t" o:connecttype="rect"/>
        </v:shapetype>
        <v:shape id="_x0000_s2057" type="#_x0000_t202" style="position:absolute;left:0;text-align:left;margin-left:-16pt;margin-top:13.95pt;width:32pt;height:27pt;z-index:251649536" stroked="f">
          <v:textbox style="layout-flow:vertical">
            <w:txbxContent>
              <w:p w:rsidR="00A905B7" w:rsidRDefault="00A905B7" w:rsidP="00A40979">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27</w:t>
                </w:r>
                <w:r>
                  <w:rPr>
                    <w:rStyle w:val="PageNumber"/>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36</w:t>
    </w:r>
    <w:r>
      <w:rPr>
        <w:rStyle w:val="PageNumber"/>
      </w:rPr>
      <w:fldChar w:fldCharType="end"/>
    </w:r>
    <w:r>
      <w:rPr>
        <w:noProof/>
        <w:lang w:val="en-US"/>
      </w:rPr>
      <w:pict>
        <v:shapetype id="_x0000_t202" coordsize="21600,21600" o:spt="202" path="m,l,21600r21600,l21600,xe">
          <v:stroke joinstyle="miter"/>
          <v:path gradientshapeok="t" o:connecttype="rect"/>
        </v:shapetype>
        <v:shape id="_x0000_s2067" type="#_x0000_t202" style="position:absolute;margin-left:-15pt;margin-top:257.4pt;width:32pt;height:27pt;z-index:251656704;mso-position-horizontal-relative:text;mso-position-vertical-relative:text"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36</w:t>
                </w:r>
                <w:r>
                  <w:rPr>
                    <w:rStyle w:val="PageNumber"/>
                  </w:rPr>
                  <w:fldChar w:fldCharType="end"/>
                </w:r>
              </w:p>
            </w:txbxContent>
          </v:textbox>
        </v:shape>
      </w:pict>
    </w:r>
    <w:r>
      <w:rPr>
        <w:noProof/>
        <w:lang w:val="en-US"/>
      </w:rPr>
      <w:pict>
        <v:shape id="_x0000_s2066" type="#_x0000_t202" style="position:absolute;margin-left:5pt;margin-top:168.95pt;width:32pt;height:27pt;z-index:251655680;mso-position-horizontal-relative:text;mso-position-vertical-relative:text"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36</w:t>
                </w:r>
                <w:r>
                  <w:rPr>
                    <w:rStyle w:val="PageNumber"/>
                  </w:rPr>
                  <w:fldChar w:fldCharType="end"/>
                </w:r>
              </w:p>
            </w:txbxContent>
          </v:textbox>
        </v:shape>
      </w:pict>
    </w:r>
    <w:r>
      <w:rPr>
        <w:noProof/>
        <w:lang w:val="en-US"/>
      </w:rPr>
      <w:pict>
        <v:shape id="_x0000_s2065" type="#_x0000_t202" style="position:absolute;margin-left:-30pt;margin-top:167.4pt;width:32pt;height:27pt;z-index:251654656;mso-position-horizontal-relative:text;mso-position-vertical-relative:text"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36</w:t>
                </w:r>
                <w:r>
                  <w:rPr>
                    <w:rStyle w:val="PageNumber"/>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C7D7E">
    <w:pPr>
      <w:pStyle w:val="Footer"/>
      <w:ind w:left="180"/>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97</w:t>
    </w:r>
    <w:r>
      <w:rPr>
        <w:rStyle w:val="PageNumber"/>
      </w:rPr>
      <w:fldChar w:fldCharType="end"/>
    </w:r>
    <w:r>
      <w:rPr>
        <w:noProof/>
        <w:sz w:val="20"/>
        <w:lang w:val="en-US"/>
      </w:rPr>
      <w:pict>
        <v:shapetype id="_x0000_t202" coordsize="21600,21600" o:spt="202" path="m,l,21600r21600,l21600,xe">
          <v:stroke joinstyle="miter"/>
          <v:path gradientshapeok="t" o:connecttype="rect"/>
        </v:shapetype>
        <v:shape id="_x0000_s2053" type="#_x0000_t202" style="position:absolute;left:0;text-align:left;margin-left:686.4pt;margin-top:-161.2pt;width:30.9pt;height:188.95pt;z-index:251648512;mso-wrap-edited:f;mso-position-horizontal-relative:text;mso-position-vertical-relative:text" wrapcoords="0 0 21600 0 21600 21600 0 21600 0 0" filled="f" stroked="f">
          <v:textbox style="layout-flow:vertical;mso-next-textbox:#_x0000_s2053" inset="0,0,0,0">
            <w:txbxContent>
              <w:p w:rsidR="00A905B7" w:rsidRDefault="00A905B7">
                <w:r>
                  <w:t>ECE/TRANS/WP.29/2007/26</w:t>
                </w:r>
              </w:p>
              <w:p w:rsidR="00A905B7" w:rsidRDefault="00A905B7">
                <w:r>
                  <w:t xml:space="preserve">page </w:t>
                </w: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97</w:t>
                </w:r>
                <w:r>
                  <w:rPr>
                    <w:rStyle w:val="PageNumber"/>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86</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88</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98</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7F478C">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96</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190</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A59A4">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191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7F478C">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99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EB395A">
    <w:pPr>
      <w:pStyle w:val="Footer"/>
      <w:tabs>
        <w:tab w:val="right" w:pos="9638"/>
      </w:tabs>
      <w:rPr>
        <w:b/>
        <w:sz w:val="18"/>
      </w:rPr>
    </w:pPr>
    <w:r>
      <w:tab/>
    </w:r>
    <w:r w:rsidRPr="00EB395A">
      <w:rPr>
        <w:b/>
        <w:sz w:val="18"/>
      </w:rPr>
      <w:fldChar w:fldCharType="begin"/>
    </w:r>
    <w:r w:rsidRPr="00EB395A">
      <w:rPr>
        <w:b/>
        <w:sz w:val="18"/>
      </w:rPr>
      <w:instrText xml:space="preserve"> PAGE  \* MERGEFORMAT </w:instrText>
    </w:r>
    <w:r w:rsidRPr="00EB395A">
      <w:rPr>
        <w:b/>
        <w:sz w:val="18"/>
      </w:rPr>
      <w:fldChar w:fldCharType="separate"/>
    </w:r>
    <w:r w:rsidR="00462662">
      <w:rPr>
        <w:b/>
        <w:noProof/>
        <w:sz w:val="18"/>
      </w:rPr>
      <w:t>5</w:t>
    </w:r>
    <w:r w:rsidRPr="00EB395A">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405.4pt;margin-top:-6.25pt;width:73.25pt;height:18.15pt;z-index:251657728">
          <v:imagedata r:id="rId1" o:title="recycle_English"/>
          <w10:anchorlock/>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218</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217</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254</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253</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B5947">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219</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B5947">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222</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396</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395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0C1D6F" w:rsidRDefault="00A905B7" w:rsidP="000C1D6F">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4pt;margin-top:-6.25pt;width:73.25pt;height:18.15pt;z-index:251645440">
          <v:imagedata r:id="rId1" o:title="recycle_English"/>
          <w10:anchorlock/>
        </v:shape>
      </w:pict>
    </w:r>
    <w:r>
      <w:t>GE.15-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B5947">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255</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372</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B5947">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378</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0158A">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397</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458</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457</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422</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63CD2">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441</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63CD2">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454</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518</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517</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8529AC" w:rsidRDefault="00A905B7" w:rsidP="008529AC">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459</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532</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F1261" w:rsidRDefault="00A905B7" w:rsidP="00FF1261">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519</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F1261" w:rsidRDefault="00A905B7" w:rsidP="00B91B76">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521</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F1261" w:rsidRDefault="00A905B7" w:rsidP="00FF1261">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531</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FF1261">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524</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FF1261">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533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jc w:val="both"/>
      <w:rPr>
        <w:u w:val="single"/>
      </w:rPr>
    </w:pPr>
    <w:r>
      <w:t>_________________</w:t>
    </w:r>
  </w:p>
  <w:p w:rsidR="00A905B7" w:rsidRDefault="00A905B7">
    <w:pPr>
      <w:pStyle w:val="Footer"/>
      <w:tabs>
        <w:tab w:val="left" w:pos="851"/>
      </w:tabs>
      <w:rPr>
        <w:sz w:val="20"/>
      </w:rPr>
    </w:pPr>
    <w:r>
      <w:rPr>
        <w:sz w:val="20"/>
        <w:u w:val="single"/>
      </w:rPr>
      <w:t>Note</w:t>
    </w:r>
    <w:r>
      <w:rPr>
        <w:sz w:val="20"/>
      </w:rPr>
      <w:t>:</w:t>
    </w:r>
    <w:r>
      <w:rPr>
        <w:sz w:val="20"/>
      </w:rPr>
      <w:tab/>
      <w:t>This document is distributed to the Experts on Pollution and Energy only.</w:t>
    </w:r>
  </w:p>
  <w:p w:rsidR="00A905B7" w:rsidRDefault="00A905B7">
    <w:pPr>
      <w:pStyle w:val="Footer"/>
      <w:rPr>
        <w:sz w:val="20"/>
      </w:rPr>
    </w:pPr>
  </w:p>
  <w:p w:rsidR="00A905B7" w:rsidRDefault="00A905B7">
    <w:pPr>
      <w:pStyle w:val="Footer"/>
    </w:pPr>
    <w:r>
      <w:t>GE.06-</w:t>
    </w:r>
  </w:p>
  <w:p w:rsidR="00A905B7" w:rsidRDefault="00A905B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544</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F1261" w:rsidRDefault="00A905B7" w:rsidP="00FF1261">
    <w:pPr>
      <w:pStyle w:val="Foote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545</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F6846">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534</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45CC9" w:rsidRDefault="00A905B7" w:rsidP="00B4293A">
    <w:pPr>
      <w:pStyle w:val="Footer"/>
      <w:tabs>
        <w:tab w:val="right" w:pos="9638"/>
      </w:tabs>
      <w:rPr>
        <w:sz w:val="18"/>
      </w:rPr>
    </w:pPr>
    <w:r w:rsidRPr="00D45CC9">
      <w:rPr>
        <w:b/>
        <w:sz w:val="18"/>
      </w:rPr>
      <w:fldChar w:fldCharType="begin"/>
    </w:r>
    <w:r w:rsidRPr="00D45CC9">
      <w:rPr>
        <w:b/>
        <w:sz w:val="18"/>
      </w:rPr>
      <w:instrText xml:space="preserve"> PAGE  \* MERGEFORMAT </w:instrText>
    </w:r>
    <w:r w:rsidRPr="00D45CC9">
      <w:rPr>
        <w:b/>
        <w:sz w:val="18"/>
      </w:rPr>
      <w:fldChar w:fldCharType="separate"/>
    </w:r>
    <w:r w:rsidR="00462662">
      <w:rPr>
        <w:b/>
        <w:noProof/>
        <w:sz w:val="18"/>
      </w:rPr>
      <w:t>558</w:t>
    </w:r>
    <w:r w:rsidRPr="00D45CC9">
      <w:rPr>
        <w:b/>
        <w:sz w:val="18"/>
      </w:rPr>
      <w:fldChar w:fldCharType="end"/>
    </w:r>
    <w:r>
      <w:rPr>
        <w:sz w:val="18"/>
      </w:rPr>
      <w:tab/>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45CC9" w:rsidRDefault="00A905B7" w:rsidP="00B4293A">
    <w:pPr>
      <w:pStyle w:val="Footer"/>
      <w:tabs>
        <w:tab w:val="right" w:pos="9638"/>
      </w:tabs>
      <w:rPr>
        <w:sz w:val="18"/>
      </w:rPr>
    </w:pPr>
    <w:r>
      <w:rPr>
        <w:sz w:val="18"/>
      </w:rPr>
      <w:tab/>
    </w:r>
    <w:r w:rsidRPr="00D45CC9">
      <w:rPr>
        <w:b/>
        <w:sz w:val="18"/>
      </w:rPr>
      <w:fldChar w:fldCharType="begin"/>
    </w:r>
    <w:r w:rsidRPr="00D45CC9">
      <w:rPr>
        <w:b/>
        <w:sz w:val="18"/>
      </w:rPr>
      <w:instrText xml:space="preserve"> PAGE  \* MERGEFORMAT </w:instrText>
    </w:r>
    <w:r w:rsidRPr="00D45CC9">
      <w:rPr>
        <w:b/>
        <w:sz w:val="18"/>
      </w:rPr>
      <w:fldChar w:fldCharType="separate"/>
    </w:r>
    <w:r w:rsidR="00462662">
      <w:rPr>
        <w:b/>
        <w:noProof/>
        <w:sz w:val="18"/>
      </w:rPr>
      <w:t>561</w:t>
    </w:r>
    <w:r w:rsidRPr="00D45CC9">
      <w:rPr>
        <w:b/>
        <w:sz w:val="18"/>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93280" w:rsidRDefault="00A905B7">
    <w:pPr>
      <w:pStyle w:val="Footer"/>
      <w:rPr>
        <w:b/>
        <w:sz w:val="18"/>
        <w:szCs w:val="18"/>
      </w:rPr>
    </w:pPr>
    <w:r w:rsidRPr="00393280">
      <w:rPr>
        <w:b/>
        <w:sz w:val="18"/>
        <w:szCs w:val="18"/>
      </w:rPr>
      <w:fldChar w:fldCharType="begin"/>
    </w:r>
    <w:r w:rsidRPr="00393280">
      <w:rPr>
        <w:b/>
        <w:sz w:val="18"/>
        <w:szCs w:val="18"/>
      </w:rPr>
      <w:instrText xml:space="preserve"> PAGE   \* MERGEFORMAT </w:instrText>
    </w:r>
    <w:r w:rsidRPr="00393280">
      <w:rPr>
        <w:b/>
        <w:sz w:val="18"/>
        <w:szCs w:val="18"/>
      </w:rPr>
      <w:fldChar w:fldCharType="separate"/>
    </w:r>
    <w:r w:rsidR="00462662">
      <w:rPr>
        <w:b/>
        <w:noProof/>
        <w:sz w:val="18"/>
        <w:szCs w:val="18"/>
      </w:rPr>
      <w:t>546</w:t>
    </w:r>
    <w:r w:rsidRPr="00393280">
      <w:rPr>
        <w:b/>
        <w:noProof/>
        <w:sz w:val="18"/>
        <w:szCs w:val="18"/>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45CC9" w:rsidRDefault="00A905B7" w:rsidP="00B4293A">
    <w:pPr>
      <w:pStyle w:val="Footer"/>
      <w:tabs>
        <w:tab w:val="right" w:pos="9638"/>
      </w:tabs>
      <w:rPr>
        <w:sz w:val="18"/>
      </w:rPr>
    </w:pPr>
    <w:r w:rsidRPr="00D45CC9">
      <w:rPr>
        <w:b/>
        <w:sz w:val="18"/>
      </w:rPr>
      <w:fldChar w:fldCharType="begin"/>
    </w:r>
    <w:r w:rsidRPr="00D45CC9">
      <w:rPr>
        <w:b/>
        <w:sz w:val="18"/>
      </w:rPr>
      <w:instrText xml:space="preserve"> PAGE  \* MERGEFORMAT </w:instrText>
    </w:r>
    <w:r w:rsidRPr="00D45CC9">
      <w:rPr>
        <w:b/>
        <w:sz w:val="18"/>
      </w:rPr>
      <w:fldChar w:fldCharType="separate"/>
    </w:r>
    <w:r w:rsidR="00462662">
      <w:rPr>
        <w:b/>
        <w:noProof/>
        <w:sz w:val="18"/>
      </w:rPr>
      <w:t>560</w:t>
    </w:r>
    <w:r w:rsidRPr="00D45CC9">
      <w:rPr>
        <w:b/>
        <w:sz w:val="18"/>
      </w:rPr>
      <w:fldChar w:fldCharType="end"/>
    </w:r>
    <w:r>
      <w:rPr>
        <w:sz w:val="18"/>
      </w:rPr>
      <w:tab/>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258D" w:rsidRDefault="00A905B7" w:rsidP="00B4293A">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072731" w:rsidRDefault="00A905B7" w:rsidP="00B4293A">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623A7" w:rsidRDefault="00A905B7">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sidR="00462662">
      <w:rPr>
        <w:b/>
        <w:noProof/>
        <w:sz w:val="18"/>
        <w:szCs w:val="18"/>
      </w:rPr>
      <w:t>576</w:t>
    </w:r>
    <w:r w:rsidRPr="00D623A7">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24</w:t>
    </w:r>
    <w:r>
      <w:rPr>
        <w:rStyle w:val="PageNumber"/>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776D12" w:rsidRDefault="00A905B7" w:rsidP="00B4293A">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sidR="00462662">
      <w:rPr>
        <w:b/>
        <w:noProof/>
        <w:sz w:val="18"/>
        <w:szCs w:val="18"/>
      </w:rPr>
      <w:t>575</w:t>
    </w:r>
    <w:r w:rsidRPr="00776D12">
      <w:rPr>
        <w:b/>
        <w:noProof/>
        <w:sz w:val="18"/>
        <w:szCs w:val="18"/>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4293A">
    <w:pPr>
      <w:pStyle w:val="Footer"/>
      <w:jc w:val="right"/>
    </w:pPr>
    <w:r w:rsidRPr="008645D6">
      <w:rPr>
        <w:b/>
        <w:sz w:val="18"/>
        <w:szCs w:val="18"/>
      </w:rPr>
      <w:fldChar w:fldCharType="begin"/>
    </w:r>
    <w:r w:rsidRPr="008645D6">
      <w:rPr>
        <w:b/>
        <w:sz w:val="18"/>
        <w:szCs w:val="18"/>
      </w:rPr>
      <w:instrText xml:space="preserve"> PAGE   \* MERGEFORMAT </w:instrText>
    </w:r>
    <w:r w:rsidRPr="008645D6">
      <w:rPr>
        <w:b/>
        <w:sz w:val="18"/>
        <w:szCs w:val="18"/>
      </w:rPr>
      <w:fldChar w:fldCharType="separate"/>
    </w:r>
    <w:r w:rsidR="00462662">
      <w:rPr>
        <w:b/>
        <w:noProof/>
        <w:sz w:val="18"/>
        <w:szCs w:val="18"/>
      </w:rPr>
      <w:t>567</w:t>
    </w:r>
    <w:r w:rsidRPr="008645D6">
      <w:rPr>
        <w:b/>
        <w:noProof/>
        <w:sz w:val="18"/>
        <w:szCs w:val="18"/>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A090D">
    <w:pPr>
      <w:pStyle w:val="Footer"/>
    </w:pPr>
    <w:r w:rsidRPr="008645D6">
      <w:rPr>
        <w:b/>
        <w:sz w:val="18"/>
        <w:szCs w:val="18"/>
      </w:rPr>
      <w:fldChar w:fldCharType="begin"/>
    </w:r>
    <w:r w:rsidRPr="008645D6">
      <w:rPr>
        <w:b/>
        <w:sz w:val="18"/>
        <w:szCs w:val="18"/>
      </w:rPr>
      <w:instrText xml:space="preserve"> PAGE   \* MERGEFORMAT </w:instrText>
    </w:r>
    <w:r w:rsidRPr="008645D6">
      <w:rPr>
        <w:b/>
        <w:sz w:val="18"/>
        <w:szCs w:val="18"/>
      </w:rPr>
      <w:fldChar w:fldCharType="separate"/>
    </w:r>
    <w:r w:rsidR="00462662">
      <w:rPr>
        <w:b/>
        <w:noProof/>
        <w:sz w:val="18"/>
        <w:szCs w:val="18"/>
      </w:rPr>
      <w:t>570</w:t>
    </w:r>
    <w:r w:rsidRPr="008645D6">
      <w:rPr>
        <w:b/>
        <w:noProo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A090D">
    <w:pPr>
      <w:pStyle w:val="Footer"/>
      <w:jc w:val="right"/>
    </w:pPr>
    <w:r w:rsidRPr="008645D6">
      <w:rPr>
        <w:b/>
        <w:sz w:val="18"/>
        <w:szCs w:val="18"/>
      </w:rPr>
      <w:fldChar w:fldCharType="begin"/>
    </w:r>
    <w:r w:rsidRPr="008645D6">
      <w:rPr>
        <w:b/>
        <w:sz w:val="18"/>
        <w:szCs w:val="18"/>
      </w:rPr>
      <w:instrText xml:space="preserve"> PAGE   \* MERGEFORMAT </w:instrText>
    </w:r>
    <w:r w:rsidRPr="008645D6">
      <w:rPr>
        <w:b/>
        <w:sz w:val="18"/>
        <w:szCs w:val="18"/>
      </w:rPr>
      <w:fldChar w:fldCharType="separate"/>
    </w:r>
    <w:r w:rsidR="00462662">
      <w:rPr>
        <w:b/>
        <w:noProof/>
        <w:sz w:val="18"/>
        <w:szCs w:val="18"/>
      </w:rPr>
      <w:t>573</w:t>
    </w:r>
    <w:r w:rsidRPr="008645D6">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EB395A">
    <w:pPr>
      <w:pStyle w:val="Footer"/>
      <w:tabs>
        <w:tab w:val="right" w:pos="9638"/>
      </w:tabs>
      <w:rPr>
        <w:b/>
        <w:sz w:val="18"/>
      </w:rPr>
    </w:pPr>
    <w:r>
      <w:tab/>
    </w:r>
    <w:r w:rsidRPr="00EB395A">
      <w:rPr>
        <w:b/>
        <w:sz w:val="18"/>
      </w:rPr>
      <w:fldChar w:fldCharType="begin"/>
    </w:r>
    <w:r w:rsidRPr="00EB395A">
      <w:rPr>
        <w:b/>
        <w:sz w:val="18"/>
      </w:rPr>
      <w:instrText xml:space="preserve"> PAGE  \* MERGEFORMAT </w:instrText>
    </w:r>
    <w:r w:rsidRPr="00EB395A">
      <w:rPr>
        <w:b/>
        <w:sz w:val="18"/>
      </w:rPr>
      <w:fldChar w:fldCharType="separate"/>
    </w:r>
    <w:r w:rsidR="00462662">
      <w:rPr>
        <w:b/>
        <w:noProof/>
        <w:sz w:val="18"/>
      </w:rPr>
      <w:t>25</w:t>
    </w:r>
    <w:r w:rsidRPr="00EB395A">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Footer"/>
    </w:pPr>
    <w:r>
      <w:rPr>
        <w:noProof/>
        <w:lang w:val="en-US"/>
      </w:rPr>
      <w:pict>
        <v:shapetype id="_x0000_t202" coordsize="21600,21600" o:spt="202" path="m,l,21600r21600,l21600,xe">
          <v:stroke joinstyle="miter"/>
          <v:path gradientshapeok="t" o:connecttype="rect"/>
        </v:shapetype>
        <v:shape id="_x0000_s2061" type="#_x0000_t202" style="position:absolute;margin-left:-15pt;margin-top:257.4pt;width:32pt;height:27pt;z-index:251652608"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26</w:t>
                </w:r>
                <w:r>
                  <w:rPr>
                    <w:rStyle w:val="PageNumber"/>
                  </w:rPr>
                  <w:fldChar w:fldCharType="end"/>
                </w:r>
              </w:p>
            </w:txbxContent>
          </v:textbox>
        </v:shape>
      </w:pict>
    </w:r>
    <w:r>
      <w:rPr>
        <w:noProof/>
        <w:lang w:val="en-US"/>
      </w:rPr>
      <w:pict>
        <v:shape id="_x0000_s2060" type="#_x0000_t202" style="position:absolute;margin-left:5pt;margin-top:168.95pt;width:32pt;height:27pt;z-index:251651584"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26</w:t>
                </w:r>
                <w:r>
                  <w:rPr>
                    <w:rStyle w:val="PageNumber"/>
                  </w:rPr>
                  <w:fldChar w:fldCharType="end"/>
                </w:r>
              </w:p>
            </w:txbxContent>
          </v:textbox>
        </v:shape>
      </w:pict>
    </w:r>
    <w:r>
      <w:rPr>
        <w:noProof/>
        <w:lang w:val="en-US"/>
      </w:rPr>
      <w:pict>
        <v:shape id="_x0000_s2059" type="#_x0000_t202" style="position:absolute;margin-left:-30pt;margin-top:167.4pt;width:32pt;height:27pt;z-index:251650560"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26</w:t>
                </w:r>
                <w:r>
                  <w:rPr>
                    <w:rStyle w:val="PageNumber"/>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5B7" w:rsidRPr="000B175B" w:rsidRDefault="00A905B7" w:rsidP="000B175B">
      <w:pPr>
        <w:tabs>
          <w:tab w:val="right" w:pos="2155"/>
        </w:tabs>
        <w:spacing w:after="80"/>
        <w:ind w:left="680"/>
        <w:rPr>
          <w:u w:val="single"/>
        </w:rPr>
      </w:pPr>
      <w:r>
        <w:rPr>
          <w:u w:val="single"/>
        </w:rPr>
        <w:tab/>
      </w:r>
    </w:p>
  </w:footnote>
  <w:footnote w:type="continuationSeparator" w:id="0">
    <w:p w:rsidR="00A905B7" w:rsidRPr="00FC68B7" w:rsidRDefault="00A905B7" w:rsidP="00FC68B7">
      <w:pPr>
        <w:tabs>
          <w:tab w:val="left" w:pos="2155"/>
        </w:tabs>
        <w:spacing w:after="80"/>
        <w:ind w:left="680"/>
        <w:rPr>
          <w:u w:val="single"/>
        </w:rPr>
      </w:pPr>
      <w:r>
        <w:rPr>
          <w:u w:val="single"/>
        </w:rPr>
        <w:tab/>
      </w:r>
    </w:p>
  </w:footnote>
  <w:footnote w:type="continuationNotice" w:id="1">
    <w:p w:rsidR="00A905B7" w:rsidRDefault="00A905B7"/>
  </w:footnote>
  <w:footnote w:id="2">
    <w:p w:rsidR="00A905B7" w:rsidRPr="00E36D1E" w:rsidRDefault="00A905B7" w:rsidP="000D0653">
      <w:pPr>
        <w:pStyle w:val="FootnoteText"/>
        <w:rPr>
          <w:lang w:val="en-US"/>
        </w:rPr>
      </w:pPr>
      <w:r>
        <w:tab/>
      </w:r>
      <w:r>
        <w:rPr>
          <w:rStyle w:val="FootnoteReference"/>
        </w:rPr>
        <w:footnoteRef/>
      </w:r>
      <w:r>
        <w:t xml:space="preserve"> </w:t>
      </w:r>
      <w:r>
        <w:tab/>
      </w:r>
      <w:r w:rsidRPr="00644CDB">
        <w:rPr>
          <w:sz w:val="16"/>
          <w:szCs w:val="16"/>
        </w:rPr>
        <w:t>Former title of the Agreement: Agreement Concerning the Adoption of Uniform Conditions of Approval and Reciprocal Recognition of Approval for Motor Vehicle Equipment and Parts, done at Geneva on 20 March 1958.</w:t>
      </w:r>
    </w:p>
  </w:footnote>
  <w:footnote w:id="3">
    <w:p w:rsidR="00A905B7" w:rsidRDefault="00A905B7" w:rsidP="00476113">
      <w:pPr>
        <w:pStyle w:val="FootnoteText"/>
        <w:widowControl w:val="0"/>
        <w:rPr>
          <w:lang w:val="en-US"/>
        </w:rPr>
      </w:pPr>
      <w:r>
        <w:tab/>
      </w:r>
      <w:r>
        <w:rPr>
          <w:rStyle w:val="FootnoteReference"/>
        </w:rPr>
        <w:footnoteRef/>
      </w:r>
      <w:r>
        <w:tab/>
      </w:r>
      <w:r w:rsidRPr="008F072F">
        <w:rPr>
          <w:lang w:val="en-US"/>
        </w:rPr>
        <w:t xml:space="preserve">As defined in the Consolidated Resolution on the Construction of Vehicles (R.E.3.), document ECE/TRANS/WP.29/78/Rev.3, para. 2 </w:t>
      </w:r>
      <w:r w:rsidRPr="008F072F">
        <w:t xml:space="preserve">- </w:t>
      </w:r>
      <w:hyperlink r:id="rId1" w:history="1">
        <w:r w:rsidRPr="008F072F">
          <w:rPr>
            <w:rStyle w:val="Hyperlink"/>
          </w:rPr>
          <w:t>www.unece.org/trans/main/wp29/wp29wgs/wp29gen/wp29resolutions.html</w:t>
        </w:r>
      </w:hyperlink>
    </w:p>
  </w:footnote>
  <w:footnote w:id="4">
    <w:p w:rsidR="00A905B7" w:rsidRDefault="00A905B7" w:rsidP="000F1B35">
      <w:pPr>
        <w:pStyle w:val="FootnoteText"/>
      </w:pPr>
      <w:r>
        <w:tab/>
      </w:r>
      <w:r w:rsidRPr="008713DB">
        <w:rPr>
          <w:rStyle w:val="FootnoteReference"/>
          <w:bCs/>
        </w:rPr>
        <w:footnoteRef/>
      </w:r>
      <w:r>
        <w:tab/>
        <w:t>Paragraph 5.4.1. of this Regulation provides for the monitoring for major functional failure instead of monitoring for the degradation or the loss of catalytic/filtering efficiency of an exhaust aftertreatment system.  Examples of major functional failure are given in paragraphs 3.2.3.2. and 3.2.3.3. of Annex 9A to this Regulation.</w:t>
      </w:r>
    </w:p>
  </w:footnote>
  <w:footnote w:id="5">
    <w:p w:rsidR="00A905B7" w:rsidRPr="00A210A2" w:rsidRDefault="00A905B7" w:rsidP="00B04DC3">
      <w:pPr>
        <w:pStyle w:val="FootnoteText"/>
        <w:rPr>
          <w:rStyle w:val="FootnoteReference"/>
        </w:rPr>
      </w:pPr>
      <w:r>
        <w:tab/>
      </w:r>
      <w:r w:rsidRPr="00A210A2">
        <w:rPr>
          <w:rStyle w:val="FootnoteReference"/>
        </w:rPr>
        <w:t>3</w:t>
      </w:r>
      <w:r w:rsidRPr="00A210A2">
        <w:rPr>
          <w:rStyle w:val="FootnoteReference"/>
        </w:rPr>
        <w:tab/>
      </w:r>
      <w:r w:rsidRPr="00A210A2">
        <w:rPr>
          <w:rStyle w:val="FootnoteReference"/>
          <w:vertAlign w:val="baseline"/>
        </w:rPr>
        <w:t>The distinguishing numbers of the Contracting Parties to the 1958 Agreement are reproduced in Annex 3 to the Consolidated Resoluti</w:t>
      </w:r>
      <w:r w:rsidRPr="00B04DC3">
        <w:rPr>
          <w:rStyle w:val="FootnoteReference"/>
          <w:vertAlign w:val="baseline"/>
        </w:rPr>
        <w:t>o</w:t>
      </w:r>
      <w:r w:rsidRPr="00A210A2">
        <w:rPr>
          <w:rStyle w:val="FootnoteReference"/>
          <w:vertAlign w:val="baseline"/>
        </w:rPr>
        <w:t xml:space="preserve">n on the Construction of Vehicles (R.E.3), document ECE/TRANS/WP.29/78/Rev. 3 - </w:t>
      </w:r>
      <w:hyperlink r:id="rId2" w:history="1">
        <w:r w:rsidRPr="00A210A2">
          <w:rPr>
            <w:rStyle w:val="FootnoteReference"/>
            <w:vertAlign w:val="baseline"/>
          </w:rPr>
          <w:t>www.unece.org/trans/main/wp29/wp29wgs/wp29gen/wp29resolutions.html</w:t>
        </w:r>
      </w:hyperlink>
    </w:p>
    <w:p w:rsidR="00A905B7" w:rsidRPr="00F970F1" w:rsidRDefault="00A905B7" w:rsidP="00833E33">
      <w:pPr>
        <w:pStyle w:val="FootnoteText"/>
        <w:rPr>
          <w:u w:val="single"/>
        </w:rPr>
      </w:pPr>
    </w:p>
  </w:footnote>
  <w:footnote w:id="6">
    <w:p w:rsidR="00A905B7" w:rsidRDefault="00A905B7" w:rsidP="00C0100D">
      <w:pPr>
        <w:pStyle w:val="FootnoteText"/>
        <w:tabs>
          <w:tab w:val="left" w:pos="540"/>
        </w:tabs>
        <w:jc w:val="both"/>
      </w:pPr>
      <w:r>
        <w:tab/>
      </w:r>
      <w:r>
        <w:tab/>
      </w:r>
      <w:r w:rsidRPr="00A7313B">
        <w:rPr>
          <w:rStyle w:val="FootnoteReference"/>
          <w:bCs/>
        </w:rPr>
        <w:footnoteRef/>
      </w:r>
      <w:r>
        <w:tab/>
        <w:t>Up to 1 October 2008, the following applies: "An ambient temperature within the range 279 K to 303 K (6 °C to 30 °C)".</w:t>
      </w:r>
    </w:p>
  </w:footnote>
  <w:footnote w:id="7">
    <w:p w:rsidR="00A905B7" w:rsidRDefault="00A905B7" w:rsidP="00C0100D">
      <w:pPr>
        <w:pStyle w:val="FootnoteText"/>
        <w:tabs>
          <w:tab w:val="left" w:pos="540"/>
        </w:tabs>
        <w:jc w:val="both"/>
      </w:pPr>
      <w:r>
        <w:tab/>
      </w:r>
      <w:r>
        <w:tab/>
      </w:r>
      <w:r w:rsidRPr="00A7313B">
        <w:rPr>
          <w:rStyle w:val="FootnoteReference"/>
          <w:bCs/>
        </w:rPr>
        <w:footnoteRef/>
      </w:r>
      <w:r>
        <w:tab/>
        <w:t>This temperature range will be reconsidered as part of the review of this Regulation with special emphasis on the appropriateness of the lower temperature boundary.</w:t>
      </w:r>
    </w:p>
  </w:footnote>
  <w:footnote w:id="8">
    <w:p w:rsidR="00A905B7" w:rsidRDefault="00A905B7" w:rsidP="00FB3D95">
      <w:pPr>
        <w:pStyle w:val="FootnoteText"/>
        <w:tabs>
          <w:tab w:val="left" w:pos="540"/>
        </w:tabs>
      </w:pPr>
      <w:r>
        <w:tab/>
      </w:r>
      <w:r>
        <w:tab/>
      </w:r>
      <w:r w:rsidRPr="00C541E5">
        <w:rPr>
          <w:rStyle w:val="FootnoteReference"/>
          <w:bCs/>
        </w:rPr>
        <w:footnoteRef/>
      </w:r>
      <w:r>
        <w:tab/>
      </w:r>
      <w:r>
        <w:rPr>
          <w:szCs w:val="18"/>
          <w:lang w:eastAsia="en-GB"/>
        </w:rPr>
        <w:t>As defined in the Consolidated Resolution on the Construction of Vehicles (R.E.3.), document ECE/TRANS/WP.29/78/Rev.3, para. 2</w:t>
      </w:r>
      <w:r>
        <w:rPr>
          <w:szCs w:val="18"/>
          <w:lang w:val="fr-FR" w:eastAsia="en-GB"/>
        </w:rPr>
        <w:t xml:space="preserve"> </w:t>
      </w:r>
      <w:r>
        <w:rPr>
          <w:szCs w:val="18"/>
          <w:lang w:eastAsia="en-GB"/>
        </w:rPr>
        <w:t xml:space="preserve">- </w:t>
      </w:r>
      <w:hyperlink r:id="rId3" w:history="1">
        <w:r>
          <w:rPr>
            <w:lang w:eastAsia="en-GB"/>
          </w:rPr>
          <w:t>www.unece.org/trans/main/wp29/wp29wgs/wp29gen/wp29resolutions.html</w:t>
        </w:r>
      </w:hyperlink>
      <w:r>
        <w:t xml:space="preserve"> </w:t>
      </w:r>
    </w:p>
  </w:footnote>
  <w:footnote w:id="9">
    <w:p w:rsidR="00A905B7" w:rsidRPr="00E36D1E" w:rsidRDefault="00A905B7" w:rsidP="000B5A13">
      <w:pPr>
        <w:pStyle w:val="FootnoteText"/>
        <w:widowControl w:val="0"/>
        <w:tabs>
          <w:tab w:val="clear" w:pos="1021"/>
          <w:tab w:val="right" w:pos="1020"/>
        </w:tabs>
        <w:rPr>
          <w:lang w:val="en-US"/>
        </w:rPr>
      </w:pPr>
      <w:r>
        <w:tab/>
      </w:r>
      <w:r>
        <w:rPr>
          <w:rStyle w:val="FootnoteReference"/>
        </w:rPr>
        <w:footnoteRef/>
      </w:r>
      <w:r>
        <w:tab/>
      </w:r>
      <w:r w:rsidRPr="000B5A13">
        <w:t>Delete as appropriate</w:t>
      </w:r>
      <w:r w:rsidRPr="00C541E5">
        <w:rPr>
          <w:lang w:val="en-US"/>
        </w:rPr>
        <w:t>.</w:t>
      </w:r>
    </w:p>
  </w:footnote>
  <w:footnote w:id="10">
    <w:p w:rsidR="00A905B7" w:rsidRDefault="00A905B7" w:rsidP="00C0100D">
      <w:pPr>
        <w:pStyle w:val="FootnoteText"/>
        <w:tabs>
          <w:tab w:val="left" w:pos="540"/>
        </w:tabs>
        <w:jc w:val="both"/>
      </w:pPr>
      <w:r>
        <w:tab/>
      </w:r>
      <w:r>
        <w:tab/>
      </w:r>
      <w:r w:rsidRPr="002C50EA">
        <w:rPr>
          <w:rStyle w:val="FootnoteReference"/>
          <w:bCs/>
        </w:rPr>
        <w:footnoteRef/>
      </w:r>
      <w:r>
        <w:tab/>
        <w:t>In the case of non-conventional engines and systems, particulars equivalent to those referred to here shall be supplied by the manufacturer.</w:t>
      </w:r>
    </w:p>
  </w:footnote>
  <w:footnote w:id="11">
    <w:p w:rsidR="00A905B7" w:rsidRDefault="00A905B7" w:rsidP="00C0100D">
      <w:pPr>
        <w:pStyle w:val="FootnoteText"/>
        <w:tabs>
          <w:tab w:val="left" w:pos="540"/>
        </w:tabs>
        <w:jc w:val="both"/>
      </w:pPr>
      <w:r>
        <w:tab/>
      </w:r>
      <w:r>
        <w:tab/>
      </w:r>
      <w:r w:rsidRPr="002C50EA">
        <w:rPr>
          <w:rStyle w:val="FootnoteReference"/>
          <w:bCs/>
        </w:rPr>
        <w:footnoteRef/>
      </w:r>
      <w:r>
        <w:tab/>
        <w:t>Strike out what does not apply</w:t>
      </w:r>
    </w:p>
  </w:footnote>
  <w:footnote w:id="12">
    <w:p w:rsidR="00A905B7" w:rsidRDefault="00A905B7" w:rsidP="00C0100D">
      <w:pPr>
        <w:pStyle w:val="FootnoteText"/>
        <w:tabs>
          <w:tab w:val="left" w:pos="540"/>
        </w:tabs>
        <w:jc w:val="both"/>
      </w:pPr>
      <w:r>
        <w:tab/>
      </w:r>
      <w:r>
        <w:tab/>
      </w:r>
      <w:r w:rsidRPr="002C50EA">
        <w:rPr>
          <w:rStyle w:val="FootnoteReference"/>
          <w:bCs/>
        </w:rPr>
        <w:footnoteRef/>
      </w:r>
      <w:r>
        <w:tab/>
        <w:t>Specify the tolerance</w:t>
      </w:r>
    </w:p>
  </w:footnote>
  <w:footnote w:id="13">
    <w:p w:rsidR="00A905B7" w:rsidRPr="00FB7ED6" w:rsidRDefault="00A905B7" w:rsidP="00FB7ED6">
      <w:pPr>
        <w:pStyle w:val="FootnoteText"/>
        <w:widowControl w:val="0"/>
        <w:tabs>
          <w:tab w:val="clear" w:pos="1021"/>
          <w:tab w:val="right" w:pos="1020"/>
        </w:tabs>
        <w:rPr>
          <w:lang w:val="fr-CH"/>
        </w:rPr>
      </w:pPr>
      <w:r>
        <w:tab/>
      </w:r>
      <w:r>
        <w:rPr>
          <w:rStyle w:val="FootnoteReference"/>
        </w:rPr>
        <w:footnoteRef/>
      </w:r>
      <w:r>
        <w:tab/>
      </w:r>
      <w:r w:rsidRPr="00112412">
        <w:rPr>
          <w:szCs w:val="18"/>
        </w:rPr>
        <w:t>In case of a dual-fuel engine or vehicle (types as defined in Annex 11).</w:t>
      </w:r>
      <w:r>
        <w:t xml:space="preserve"> </w:t>
      </w:r>
    </w:p>
  </w:footnote>
  <w:footnote w:id="14">
    <w:p w:rsidR="00A905B7" w:rsidRPr="00FB7ED6" w:rsidRDefault="00A905B7" w:rsidP="00FB7ED6">
      <w:pPr>
        <w:pStyle w:val="FootnoteText"/>
        <w:widowControl w:val="0"/>
        <w:tabs>
          <w:tab w:val="clear" w:pos="1021"/>
          <w:tab w:val="right" w:pos="1020"/>
        </w:tabs>
        <w:rPr>
          <w:lang w:val="fr-CH"/>
        </w:rPr>
      </w:pPr>
      <w:r>
        <w:tab/>
      </w:r>
      <w:r>
        <w:rPr>
          <w:rStyle w:val="FootnoteReference"/>
        </w:rPr>
        <w:footnoteRef/>
      </w:r>
      <w:r>
        <w:tab/>
      </w:r>
      <w:r w:rsidRPr="00112412">
        <w:rPr>
          <w:szCs w:val="18"/>
        </w:rPr>
        <w:t>In case of a dual-fuel engine or vehicle, the type of gaseous fuel used in dual-fuel mode shall not be struck out.</w:t>
      </w:r>
      <w:r>
        <w:t xml:space="preserve"> </w:t>
      </w:r>
    </w:p>
  </w:footnote>
  <w:footnote w:id="15">
    <w:p w:rsidR="00A905B7" w:rsidRPr="00BD2F06" w:rsidRDefault="00A905B7" w:rsidP="00C0100D">
      <w:pPr>
        <w:pStyle w:val="FootnoteText"/>
        <w:tabs>
          <w:tab w:val="left" w:pos="540"/>
        </w:tabs>
        <w:jc w:val="both"/>
        <w:rPr>
          <w:lang w:val="en-US"/>
        </w:rPr>
      </w:pPr>
      <w:r>
        <w:tab/>
      </w:r>
      <w:r>
        <w:tab/>
      </w:r>
      <w:r w:rsidRPr="000074BC">
        <w:rPr>
          <w:rStyle w:val="FootnoteReference"/>
          <w:bCs/>
        </w:rPr>
        <w:footnoteRef/>
      </w:r>
      <w:r>
        <w:tab/>
        <w:t>In the case of systems laid-out in a different manner, supply equivalent information (for paragraph 3.2.).</w:t>
      </w:r>
    </w:p>
  </w:footnote>
  <w:footnote w:id="16">
    <w:p w:rsidR="00A905B7" w:rsidRPr="00BD2F06" w:rsidRDefault="00A905B7" w:rsidP="00C0100D">
      <w:pPr>
        <w:pStyle w:val="FootnoteText"/>
        <w:tabs>
          <w:tab w:val="left" w:pos="540"/>
        </w:tabs>
        <w:jc w:val="both"/>
        <w:rPr>
          <w:lang w:val="en-US"/>
        </w:rPr>
      </w:pPr>
      <w:r>
        <w:tab/>
      </w:r>
      <w:r>
        <w:tab/>
      </w:r>
      <w:r w:rsidRPr="006910D4">
        <w:rPr>
          <w:rStyle w:val="FootnoteReference"/>
          <w:bCs/>
        </w:rPr>
        <w:footnoteRef/>
      </w:r>
      <w:r>
        <w:tab/>
        <w:t xml:space="preserve">Specify the tolerance; to be within </w:t>
      </w:r>
      <w:r w:rsidRPr="00025676">
        <w:sym w:font="Symbol" w:char="F0B1"/>
      </w:r>
      <w:r>
        <w:t>3 per cent of the values declared by the manufacturer.</w:t>
      </w:r>
    </w:p>
  </w:footnote>
  <w:footnote w:id="17">
    <w:p w:rsidR="00A905B7" w:rsidRPr="00CC343B" w:rsidRDefault="00A905B7" w:rsidP="00CC343B">
      <w:pPr>
        <w:pStyle w:val="FootnoteText"/>
        <w:widowControl w:val="0"/>
        <w:tabs>
          <w:tab w:val="clear" w:pos="1021"/>
          <w:tab w:val="right" w:pos="1020"/>
        </w:tabs>
        <w:rPr>
          <w:lang w:val="fr-CH"/>
        </w:rPr>
      </w:pPr>
      <w:r>
        <w:tab/>
      </w:r>
      <w:r>
        <w:rPr>
          <w:rStyle w:val="FootnoteReference"/>
        </w:rPr>
        <w:footnoteRef/>
      </w:r>
      <w:r>
        <w:tab/>
      </w:r>
      <w:r w:rsidRPr="00112412">
        <w:rPr>
          <w:szCs w:val="18"/>
        </w:rPr>
        <w:t>In the case of Type 1B, Type 2B, and Type 3B of dual-fuel engines (types as defined in Annex 11) , repeat the information in both dual-fuel and diesel mode.</w:t>
      </w:r>
      <w:r>
        <w:t xml:space="preserve"> </w:t>
      </w:r>
    </w:p>
  </w:footnote>
  <w:footnote w:id="18">
    <w:p w:rsidR="00A905B7" w:rsidRPr="00BD2F06" w:rsidRDefault="00A905B7" w:rsidP="00C0100D">
      <w:pPr>
        <w:pStyle w:val="FootnoteText"/>
        <w:tabs>
          <w:tab w:val="left" w:pos="540"/>
        </w:tabs>
        <w:rPr>
          <w:lang w:val="en-US"/>
        </w:rPr>
      </w:pPr>
      <w:r>
        <w:tab/>
      </w:r>
      <w:r>
        <w:tab/>
      </w:r>
      <w:r w:rsidRPr="00C70824">
        <w:rPr>
          <w:rStyle w:val="FootnoteReference"/>
          <w:bCs/>
        </w:rPr>
        <w:footnoteRef/>
      </w:r>
      <w:r>
        <w:tab/>
        <w:t>If not applicable, mark n.a.</w:t>
      </w:r>
    </w:p>
  </w:footnote>
  <w:footnote w:id="19">
    <w:p w:rsidR="00A905B7" w:rsidRPr="00BD2F06" w:rsidRDefault="00A905B7" w:rsidP="00C0100D">
      <w:pPr>
        <w:pStyle w:val="FootnoteText"/>
        <w:tabs>
          <w:tab w:val="left" w:pos="540"/>
        </w:tabs>
        <w:rPr>
          <w:lang w:val="en-US"/>
        </w:rPr>
      </w:pPr>
      <w:r>
        <w:rPr>
          <w:lang w:val="en-US"/>
        </w:rPr>
        <w:tab/>
      </w:r>
      <w:r>
        <w:rPr>
          <w:lang w:val="en-US"/>
        </w:rPr>
        <w:tab/>
      </w:r>
      <w:r w:rsidRPr="00B73202">
        <w:rPr>
          <w:rStyle w:val="FootnoteReference"/>
          <w:bCs/>
        </w:rPr>
        <w:footnoteRef/>
      </w:r>
      <w:r w:rsidRPr="00BD2F06">
        <w:rPr>
          <w:lang w:val="en-US"/>
        </w:rPr>
        <w:tab/>
      </w:r>
      <w:r>
        <w:t>To be submitted for each engine of the family.</w:t>
      </w:r>
    </w:p>
  </w:footnote>
  <w:footnote w:id="20">
    <w:p w:rsidR="00A905B7" w:rsidRPr="00BD2F06" w:rsidRDefault="00A905B7" w:rsidP="00C0100D">
      <w:pPr>
        <w:pStyle w:val="FootnoteText"/>
        <w:tabs>
          <w:tab w:val="left" w:pos="540"/>
        </w:tabs>
        <w:rPr>
          <w:lang w:val="en-US"/>
        </w:rPr>
      </w:pPr>
      <w:r>
        <w:tab/>
      </w:r>
      <w:r>
        <w:tab/>
      </w:r>
      <w:r w:rsidRPr="00B73202">
        <w:rPr>
          <w:rStyle w:val="FootnoteReference"/>
          <w:bCs/>
        </w:rPr>
        <w:footnoteRef/>
      </w:r>
      <w:r>
        <w:tab/>
        <w:t>Strike out what does not apply.</w:t>
      </w:r>
    </w:p>
  </w:footnote>
  <w:footnote w:id="21">
    <w:p w:rsidR="00A905B7" w:rsidRPr="00BD2F06" w:rsidRDefault="00A905B7" w:rsidP="00C0100D">
      <w:pPr>
        <w:pStyle w:val="FootnoteText"/>
        <w:tabs>
          <w:tab w:val="left" w:pos="540"/>
        </w:tabs>
        <w:rPr>
          <w:lang w:val="en-US"/>
        </w:rPr>
      </w:pPr>
      <w:r>
        <w:tab/>
      </w:r>
      <w:r>
        <w:tab/>
      </w:r>
      <w:r w:rsidRPr="00B73202">
        <w:rPr>
          <w:rStyle w:val="FootnoteReference"/>
          <w:bCs/>
        </w:rPr>
        <w:footnoteRef/>
      </w:r>
      <w:r>
        <w:tab/>
        <w:t>Specify the tolerance.</w:t>
      </w:r>
    </w:p>
  </w:footnote>
  <w:footnote w:id="22">
    <w:p w:rsidR="00A905B7" w:rsidRPr="0042767D" w:rsidRDefault="00A905B7" w:rsidP="0042767D">
      <w:pPr>
        <w:pStyle w:val="FootnoteText"/>
        <w:widowControl w:val="0"/>
        <w:tabs>
          <w:tab w:val="clear" w:pos="1021"/>
          <w:tab w:val="right" w:pos="1020"/>
        </w:tabs>
        <w:rPr>
          <w:lang w:val="fr-CH"/>
        </w:rPr>
      </w:pPr>
      <w:r>
        <w:tab/>
      </w:r>
      <w:r>
        <w:rPr>
          <w:rStyle w:val="FootnoteReference"/>
        </w:rPr>
        <w:footnoteRef/>
      </w:r>
      <w:r>
        <w:tab/>
      </w:r>
      <w:r w:rsidRPr="0042767D">
        <w:t>In case of a dual-fuel engine or vehicle (types as defined in Annex 11).</w:t>
      </w:r>
    </w:p>
  </w:footnote>
  <w:footnote w:id="23">
    <w:p w:rsidR="00A905B7" w:rsidRPr="0042767D" w:rsidRDefault="00A905B7" w:rsidP="0042767D">
      <w:pPr>
        <w:pStyle w:val="FootnoteText"/>
        <w:widowControl w:val="0"/>
        <w:tabs>
          <w:tab w:val="clear" w:pos="1021"/>
          <w:tab w:val="right" w:pos="1020"/>
        </w:tabs>
        <w:rPr>
          <w:lang w:val="fr-CH"/>
        </w:rPr>
      </w:pPr>
      <w:r>
        <w:tab/>
      </w:r>
      <w:r>
        <w:rPr>
          <w:rStyle w:val="FootnoteReference"/>
        </w:rPr>
        <w:footnoteRef/>
      </w:r>
      <w:r>
        <w:tab/>
      </w:r>
      <w:r w:rsidRPr="0042767D">
        <w:rPr>
          <w:szCs w:val="18"/>
        </w:rPr>
        <w:t>In case of a dual-fuel engine or vehicle, the type of gaseous fuel used in dual-fuel mode shall not be struck out.</w:t>
      </w:r>
      <w:r>
        <w:t xml:space="preserve"> </w:t>
      </w:r>
    </w:p>
  </w:footnote>
  <w:footnote w:id="24">
    <w:p w:rsidR="00A905B7" w:rsidRPr="00BD2F06" w:rsidRDefault="00A905B7" w:rsidP="00C0100D">
      <w:pPr>
        <w:pStyle w:val="FootnoteText"/>
        <w:tabs>
          <w:tab w:val="left" w:pos="540"/>
        </w:tabs>
        <w:rPr>
          <w:lang w:val="en-US"/>
        </w:rPr>
      </w:pPr>
      <w:r>
        <w:tab/>
      </w:r>
      <w:r>
        <w:tab/>
      </w:r>
      <w:r w:rsidRPr="00795632">
        <w:rPr>
          <w:rStyle w:val="FootnoteReference"/>
          <w:bCs/>
        </w:rPr>
        <w:footnoteRef/>
      </w:r>
      <w:r>
        <w:tab/>
      </w:r>
      <w:r w:rsidRPr="0042767D">
        <w:t>In the case of systems laid-out in a different manner, supply equivalent information (for paragraph 3.2.).</w:t>
      </w:r>
    </w:p>
  </w:footnote>
  <w:footnote w:id="25">
    <w:p w:rsidR="00A905B7" w:rsidRPr="00D71134" w:rsidRDefault="00A905B7" w:rsidP="007C3750">
      <w:pPr>
        <w:pStyle w:val="FootnoteText"/>
      </w:pPr>
      <w:r>
        <w:tab/>
      </w:r>
      <w:r w:rsidRPr="007C3750">
        <w:rPr>
          <w:rStyle w:val="FootnoteReference"/>
        </w:rPr>
        <w:footnoteRef/>
      </w:r>
      <w:r>
        <w:t xml:space="preserve"> </w:t>
      </w:r>
      <w:r>
        <w:tab/>
      </w:r>
      <w:r w:rsidRPr="00D71134">
        <w:t>Data shall be specified for each member of family</w:t>
      </w:r>
      <w:r>
        <w:t>.</w:t>
      </w:r>
    </w:p>
  </w:footnote>
  <w:footnote w:id="26">
    <w:p w:rsidR="00A905B7" w:rsidRPr="00E36D1E" w:rsidRDefault="00A905B7" w:rsidP="00813E76">
      <w:pPr>
        <w:pStyle w:val="FootnoteText"/>
        <w:widowControl w:val="0"/>
        <w:tabs>
          <w:tab w:val="clear" w:pos="1021"/>
          <w:tab w:val="right" w:pos="1020"/>
        </w:tabs>
        <w:rPr>
          <w:lang w:val="en-US"/>
        </w:rPr>
      </w:pPr>
      <w:r>
        <w:tab/>
      </w:r>
      <w:r>
        <w:rPr>
          <w:rStyle w:val="FootnoteReference"/>
        </w:rPr>
        <w:footnoteRef/>
      </w:r>
      <w:r>
        <w:tab/>
      </w:r>
      <w:r w:rsidRPr="00E84575">
        <w:rPr>
          <w:lang w:val="en-US"/>
        </w:rPr>
        <w:t>Distinguishing number of the country which has granted/extended/refused/withdrawn approval (see approval provisions in the Regulation).</w:t>
      </w:r>
    </w:p>
  </w:footnote>
  <w:footnote w:id="27">
    <w:p w:rsidR="00A905B7" w:rsidRPr="00E36D1E" w:rsidRDefault="00A905B7" w:rsidP="00813E76">
      <w:pPr>
        <w:pStyle w:val="FootnoteText"/>
        <w:widowControl w:val="0"/>
        <w:tabs>
          <w:tab w:val="clear" w:pos="1021"/>
          <w:tab w:val="right" w:pos="1020"/>
        </w:tabs>
        <w:rPr>
          <w:lang w:val="en-US"/>
        </w:rPr>
      </w:pPr>
      <w:r>
        <w:tab/>
      </w:r>
      <w:r>
        <w:rPr>
          <w:rStyle w:val="FootnoteReference"/>
        </w:rPr>
        <w:footnoteRef/>
      </w:r>
      <w:r>
        <w:tab/>
      </w:r>
      <w:r w:rsidRPr="00E84575">
        <w:rPr>
          <w:lang w:val="en-US"/>
        </w:rPr>
        <w:t>Strike out what does not apply.</w:t>
      </w:r>
    </w:p>
  </w:footnote>
  <w:footnote w:id="28">
    <w:p w:rsidR="00A905B7" w:rsidRPr="00E36D1E" w:rsidRDefault="00A905B7" w:rsidP="00813E76">
      <w:pPr>
        <w:pStyle w:val="FootnoteText"/>
        <w:widowControl w:val="0"/>
        <w:tabs>
          <w:tab w:val="clear" w:pos="1021"/>
          <w:tab w:val="right" w:pos="1020"/>
        </w:tabs>
        <w:rPr>
          <w:lang w:val="en-US"/>
        </w:rPr>
      </w:pPr>
      <w:r>
        <w:tab/>
      </w:r>
      <w:r>
        <w:rPr>
          <w:rStyle w:val="FootnoteReference"/>
        </w:rPr>
        <w:footnoteRef/>
      </w:r>
      <w:r>
        <w:tab/>
      </w:r>
      <w:r w:rsidRPr="00E84575">
        <w:rPr>
          <w:lang w:val="en-US"/>
        </w:rPr>
        <w:t>For each member of the family.</w:t>
      </w:r>
    </w:p>
  </w:footnote>
  <w:footnote w:id="29">
    <w:p w:rsidR="00A905B7" w:rsidRPr="00E36D1E" w:rsidRDefault="00A905B7" w:rsidP="00E46E21">
      <w:pPr>
        <w:pStyle w:val="FootnoteText"/>
        <w:widowControl w:val="0"/>
        <w:tabs>
          <w:tab w:val="clear" w:pos="1021"/>
          <w:tab w:val="right" w:pos="1020"/>
        </w:tabs>
        <w:rPr>
          <w:lang w:val="en-US"/>
        </w:rPr>
      </w:pPr>
      <w:r>
        <w:tab/>
      </w:r>
      <w:r>
        <w:rPr>
          <w:rStyle w:val="FootnoteReference"/>
        </w:rPr>
        <w:footnoteRef/>
      </w:r>
      <w:r>
        <w:tab/>
      </w:r>
      <w:r w:rsidRPr="00E84575">
        <w:rPr>
          <w:lang w:val="en-US"/>
        </w:rPr>
        <w:t>Distinguishing number of the country which has granted/extended/refused/withdrawn approval (see approval provisions in the Regulation).</w:t>
      </w:r>
    </w:p>
  </w:footnote>
  <w:footnote w:id="30">
    <w:p w:rsidR="00A905B7" w:rsidRPr="00E36D1E" w:rsidRDefault="00A905B7" w:rsidP="00E46E21">
      <w:pPr>
        <w:pStyle w:val="FootnoteText"/>
        <w:widowControl w:val="0"/>
        <w:tabs>
          <w:tab w:val="clear" w:pos="1021"/>
          <w:tab w:val="right" w:pos="1020"/>
        </w:tabs>
        <w:rPr>
          <w:lang w:val="en-US"/>
        </w:rPr>
      </w:pPr>
      <w:r>
        <w:tab/>
      </w:r>
      <w:r>
        <w:rPr>
          <w:rStyle w:val="FootnoteReference"/>
        </w:rPr>
        <w:footnoteRef/>
      </w:r>
      <w:r>
        <w:tab/>
      </w:r>
      <w:r w:rsidRPr="00E84575">
        <w:rPr>
          <w:lang w:val="en-US"/>
        </w:rPr>
        <w:t>Strike out what does not apply.</w:t>
      </w:r>
    </w:p>
  </w:footnote>
  <w:footnote w:id="31">
    <w:p w:rsidR="00A905B7" w:rsidRPr="00E36D1E" w:rsidRDefault="00A905B7" w:rsidP="0080740F">
      <w:pPr>
        <w:pStyle w:val="FootnoteText"/>
        <w:widowControl w:val="0"/>
        <w:tabs>
          <w:tab w:val="clear" w:pos="1021"/>
          <w:tab w:val="right" w:pos="1020"/>
        </w:tabs>
        <w:rPr>
          <w:lang w:val="en-US"/>
        </w:rPr>
      </w:pPr>
      <w:r>
        <w:tab/>
      </w:r>
      <w:r>
        <w:rPr>
          <w:rStyle w:val="FootnoteReference"/>
        </w:rPr>
        <w:footnoteRef/>
      </w:r>
      <w:r>
        <w:tab/>
      </w:r>
      <w:r w:rsidRPr="00E84575">
        <w:rPr>
          <w:lang w:val="en-US"/>
        </w:rPr>
        <w:t xml:space="preserve">The Regulation </w:t>
      </w:r>
      <w:r>
        <w:rPr>
          <w:lang w:val="en-US"/>
        </w:rPr>
        <w:t>No. 24</w:t>
      </w:r>
      <w:r w:rsidRPr="00E84575">
        <w:rPr>
          <w:lang w:val="en-US"/>
        </w:rPr>
        <w:t xml:space="preserve"> is given merely as an example.</w:t>
      </w:r>
    </w:p>
  </w:footnote>
  <w:footnote w:id="32">
    <w:p w:rsidR="00A905B7" w:rsidRDefault="00A905B7" w:rsidP="00DA59A4">
      <w:pPr>
        <w:pStyle w:val="FootnoteText"/>
        <w:tabs>
          <w:tab w:val="left" w:pos="540"/>
        </w:tabs>
      </w:pPr>
      <w:r>
        <w:tab/>
      </w:r>
      <w:r>
        <w:tab/>
      </w:r>
      <w:r w:rsidRPr="00AE1ECD">
        <w:rPr>
          <w:rStyle w:val="FootnoteReference"/>
          <w:bCs/>
        </w:rPr>
        <w:footnoteRef/>
      </w:r>
      <w:r>
        <w:tab/>
        <w:t>The test points shall be selected using approved statistical methods of randomisation.</w:t>
      </w:r>
    </w:p>
  </w:footnote>
  <w:footnote w:id="33">
    <w:p w:rsidR="00A905B7" w:rsidRDefault="00A905B7" w:rsidP="00DA59A4">
      <w:pPr>
        <w:pStyle w:val="FootnoteText"/>
        <w:tabs>
          <w:tab w:val="left" w:pos="540"/>
        </w:tabs>
        <w:ind w:left="0" w:firstLine="0"/>
      </w:pPr>
      <w:r>
        <w:tab/>
      </w:r>
      <w:r>
        <w:tab/>
      </w:r>
      <w:r w:rsidRPr="00FC5CC2">
        <w:rPr>
          <w:rStyle w:val="FootnoteReference"/>
          <w:bCs/>
        </w:rPr>
        <w:footnoteRef/>
      </w:r>
      <w:r>
        <w:tab/>
        <w:t>The test points shall be selected using approved statistical methods of randomisation.</w:t>
      </w:r>
    </w:p>
  </w:footnote>
  <w:footnote w:id="34">
    <w:p w:rsidR="00A905B7" w:rsidRDefault="00A905B7" w:rsidP="00DA59A4">
      <w:pPr>
        <w:pStyle w:val="FootnoteText"/>
        <w:tabs>
          <w:tab w:val="left" w:pos="540"/>
        </w:tabs>
      </w:pPr>
      <w:r>
        <w:tab/>
      </w:r>
      <w:r>
        <w:tab/>
      </w:r>
      <w:r w:rsidRPr="00033E46">
        <w:rPr>
          <w:rStyle w:val="FootnoteReference"/>
          <w:bCs/>
        </w:rPr>
        <w:footnoteRef/>
      </w:r>
      <w:r>
        <w:tab/>
        <w:t>The value is only valid for the reference fuel specified in Annex 5.</w:t>
      </w:r>
    </w:p>
  </w:footnote>
  <w:footnote w:id="35">
    <w:p w:rsidR="00A905B7" w:rsidRPr="00535031" w:rsidRDefault="00A905B7" w:rsidP="00002BA6">
      <w:pPr>
        <w:pStyle w:val="FootnoteText"/>
        <w:jc w:val="both"/>
      </w:pPr>
      <w:r>
        <w:tab/>
      </w:r>
      <w:r w:rsidRPr="00BD626E">
        <w:rPr>
          <w:rStyle w:val="FootnoteReference"/>
        </w:rPr>
        <w:footnoteRef/>
      </w:r>
      <w:r w:rsidRPr="00535031">
        <w:t xml:space="preserve"> </w:t>
      </w:r>
      <w:r>
        <w:tab/>
        <w:t>The numbering of this annex is consistent with the numbering of the WHDC gtr. However, some sections of the WHDC gtr are not needed in this annex.</w:t>
      </w:r>
    </w:p>
  </w:footnote>
  <w:footnote w:id="36">
    <w:p w:rsidR="00A905B7" w:rsidRDefault="00A905B7" w:rsidP="00D247DE">
      <w:pPr>
        <w:pStyle w:val="FootnoteText"/>
      </w:pPr>
      <w:r>
        <w:tab/>
      </w:r>
      <w:r>
        <w:rPr>
          <w:rStyle w:val="FootnoteReference"/>
        </w:rPr>
        <w:footnoteRef/>
      </w:r>
      <w:r>
        <w:tab/>
        <w:t xml:space="preserve">Example calibration/validation methods are available at: </w:t>
      </w:r>
      <w:r w:rsidRPr="00162381">
        <w:t>http://www.unece.org/trans/main/wp29/wp29wgs/wp29grpe/pmpFCP.html</w:t>
      </w:r>
    </w:p>
  </w:footnote>
  <w:footnote w:id="37">
    <w:p w:rsidR="00A905B7" w:rsidRDefault="00A905B7" w:rsidP="00BB1DA8">
      <w:pPr>
        <w:pStyle w:val="FootnoteText"/>
        <w:tabs>
          <w:tab w:val="left" w:pos="540"/>
        </w:tabs>
        <w:jc w:val="both"/>
      </w:pPr>
      <w:r>
        <w:tab/>
      </w:r>
      <w:r>
        <w:tab/>
      </w:r>
      <w:r w:rsidRPr="00A3589A">
        <w:rPr>
          <w:sz w:val="20"/>
          <w:vertAlign w:val="superscript"/>
          <w:lang w:val="fr-CH"/>
        </w:rPr>
        <w:footnoteRef/>
      </w:r>
      <w:r>
        <w:tab/>
        <w:t>Stoichiometric Air/Fuel ratios of automotive fuels - SAE J1829, June 1987. John B. Heywood, Internal combustion engine fundamentals, McGraw-Hill, 1988, Chapter 3.4 "Combustion stoichiometry" (pp. 68 to 72)</w:t>
      </w:r>
    </w:p>
  </w:footnote>
  <w:footnote w:id="38">
    <w:p w:rsidR="00A905B7" w:rsidRDefault="00A905B7" w:rsidP="00BB1DA8">
      <w:pPr>
        <w:pStyle w:val="FootnoteText"/>
        <w:tabs>
          <w:tab w:val="left" w:pos="540"/>
        </w:tabs>
      </w:pPr>
      <w:r>
        <w:tab/>
      </w:r>
      <w:r>
        <w:tab/>
      </w:r>
      <w:r w:rsidRPr="00FC5C3D">
        <w:rPr>
          <w:rStyle w:val="FootnoteReference"/>
          <w:bCs/>
        </w:rPr>
        <w:footnoteRef/>
      </w:r>
      <w:r>
        <w:tab/>
        <w:t>Symbol numbers F01 or F22.</w:t>
      </w:r>
    </w:p>
  </w:footnote>
  <w:footnote w:id="39">
    <w:p w:rsidR="00A905B7" w:rsidRDefault="00A905B7" w:rsidP="00BB1DA8">
      <w:pPr>
        <w:pStyle w:val="FootnoteText"/>
        <w:tabs>
          <w:tab w:val="left" w:pos="540"/>
        </w:tabs>
      </w:pPr>
      <w:r>
        <w:tab/>
      </w:r>
      <w:r>
        <w:tab/>
      </w:r>
      <w:r w:rsidRPr="00FC5C3D">
        <w:rPr>
          <w:rStyle w:val="FootnoteReference"/>
          <w:bCs/>
          <w:lang w:val="fr-CH"/>
        </w:rPr>
        <w:footnoteRef/>
      </w:r>
      <w:r>
        <w:tab/>
        <w:t>Symbol number F24.</w:t>
      </w:r>
    </w:p>
  </w:footnote>
  <w:footnote w:id="40">
    <w:p w:rsidR="00A905B7" w:rsidRDefault="00A905B7" w:rsidP="00BB1DA8">
      <w:pPr>
        <w:pStyle w:val="FootnoteText"/>
        <w:tabs>
          <w:tab w:val="left" w:pos="540"/>
        </w:tabs>
        <w:jc w:val="both"/>
      </w:pPr>
      <w:r>
        <w:tab/>
      </w:r>
      <w:r>
        <w:tab/>
      </w:r>
      <w:r w:rsidRPr="00462471">
        <w:rPr>
          <w:rStyle w:val="FootnoteReference"/>
          <w:bCs/>
        </w:rPr>
        <w:footnoteRef/>
      </w:r>
      <w:r>
        <w:tab/>
      </w:r>
      <w:r w:rsidRPr="00E35C47">
        <w:t>The use of the ISO single protocol standard (ISO/PAS 27145) developed for a world-wide global technical regulation on heavy-duty OBD will be considered to satisfy the appropriate requirements of paragraph 6.</w:t>
      </w:r>
      <w:r w:rsidRPr="00E35C47">
        <w:rPr>
          <w:sz w:val="20"/>
        </w:rPr>
        <w:t xml:space="preserve"> </w:t>
      </w:r>
      <w:r w:rsidRPr="00E35C47">
        <w:t xml:space="preserve">of </w:t>
      </w:r>
      <w:r w:rsidRPr="00E35C47">
        <w:rPr>
          <w:spacing w:val="-4"/>
        </w:rPr>
        <w:t>this annex</w:t>
      </w:r>
      <w:r>
        <w:rPr>
          <w:spacing w:val="-4"/>
        </w:rPr>
        <w:t>.</w:t>
      </w:r>
    </w:p>
  </w:footnote>
  <w:footnote w:id="41">
    <w:p w:rsidR="00A905B7" w:rsidRDefault="00A905B7" w:rsidP="00AF2027">
      <w:pPr>
        <w:pStyle w:val="FootnoteText"/>
        <w:tabs>
          <w:tab w:val="left" w:pos="540"/>
        </w:tabs>
        <w:jc w:val="both"/>
      </w:pPr>
      <w:r>
        <w:tab/>
      </w:r>
      <w:r>
        <w:tab/>
      </w:r>
      <w:r w:rsidRPr="00D16287">
        <w:rPr>
          <w:rStyle w:val="FootnoteReference"/>
          <w:bCs/>
        </w:rPr>
        <w:footnoteRef/>
      </w:r>
      <w:r>
        <w:tab/>
        <w:t>The numbering of this annex is consistent with the numbering of gtr No. 5 on WWH-OBD. However, some paragraphs of the WWH-OBD gtr are not needed in this annex.</w:t>
      </w:r>
    </w:p>
  </w:footnote>
  <w:footnote w:id="42">
    <w:p w:rsidR="00A905B7" w:rsidRPr="003A17DB" w:rsidRDefault="00A905B7" w:rsidP="00AF2027">
      <w:pPr>
        <w:pStyle w:val="FootnoteText"/>
        <w:widowControl w:val="0"/>
        <w:tabs>
          <w:tab w:val="clear" w:pos="1021"/>
          <w:tab w:val="right" w:pos="1020"/>
        </w:tabs>
        <w:rPr>
          <w:lang w:val="en-US"/>
        </w:rPr>
      </w:pPr>
      <w:r>
        <w:tab/>
      </w:r>
      <w:r>
        <w:rPr>
          <w:rStyle w:val="FootnoteReference"/>
        </w:rPr>
        <w:footnoteRef/>
      </w:r>
      <w:r>
        <w:tab/>
        <w:t>This definition does not imply that a temperature sensor is necessary to measure the coolant temperature.</w:t>
      </w:r>
    </w:p>
  </w:footnote>
  <w:footnote w:id="43">
    <w:p w:rsidR="00A905B7" w:rsidRDefault="00A905B7" w:rsidP="00AF2027">
      <w:pPr>
        <w:pStyle w:val="FootnoteText"/>
        <w:tabs>
          <w:tab w:val="left" w:pos="540"/>
        </w:tabs>
        <w:jc w:val="both"/>
      </w:pPr>
      <w:r>
        <w:tab/>
      </w:r>
      <w:r>
        <w:tab/>
      </w:r>
      <w:r w:rsidRPr="0020732C">
        <w:rPr>
          <w:rStyle w:val="FootnoteReference"/>
          <w:bCs/>
        </w:rPr>
        <w:footnoteRef/>
      </w:r>
      <w:r>
        <w:tab/>
        <w:t>The measured value shall be considered taking into account the relevant precision tolerance of the test-cell system and the increased variability in the test results due to the malfunction.</w:t>
      </w:r>
    </w:p>
  </w:footnote>
  <w:footnote w:id="44">
    <w:p w:rsidR="00A905B7" w:rsidRPr="00AF5665" w:rsidRDefault="00A905B7" w:rsidP="00AF5665">
      <w:pPr>
        <w:pStyle w:val="FootnoteText"/>
        <w:widowControl w:val="0"/>
        <w:tabs>
          <w:tab w:val="clear" w:pos="1021"/>
          <w:tab w:val="right" w:pos="1020"/>
        </w:tabs>
        <w:rPr>
          <w:lang w:val="fr-CH"/>
        </w:rPr>
      </w:pPr>
      <w:r>
        <w:tab/>
      </w:r>
      <w:r>
        <w:rPr>
          <w:rStyle w:val="FootnoteReference"/>
        </w:rPr>
        <w:footnoteRef/>
      </w:r>
      <w:r>
        <w:tab/>
      </w:r>
      <w:r w:rsidRPr="00AF5665">
        <w:t>An engine may be considered started during the cranking phase.</w:t>
      </w:r>
      <w:r>
        <w:t xml:space="preserve"> </w:t>
      </w:r>
    </w:p>
  </w:footnote>
  <w:footnote w:id="45">
    <w:p w:rsidR="00A905B7" w:rsidRPr="0048171B" w:rsidRDefault="00A905B7" w:rsidP="00AF2027">
      <w:pPr>
        <w:pStyle w:val="FootnoteText"/>
        <w:tabs>
          <w:tab w:val="left" w:pos="600"/>
        </w:tabs>
        <w:spacing w:before="120"/>
        <w:jc w:val="both"/>
        <w:rPr>
          <w:lang w:val="en-US"/>
        </w:rPr>
      </w:pPr>
      <w:r w:rsidRPr="0048171B">
        <w:rPr>
          <w:lang w:val="fr-CH"/>
        </w:rPr>
        <w:tab/>
      </w:r>
      <w:r>
        <w:rPr>
          <w:lang w:val="fr-CH"/>
        </w:rPr>
        <w:tab/>
      </w:r>
      <w:r w:rsidRPr="0048171B">
        <w:rPr>
          <w:vertAlign w:val="superscript"/>
          <w:lang w:val="fr-CH"/>
        </w:rPr>
        <w:footnoteRef/>
      </w:r>
      <w:r w:rsidRPr="0048171B">
        <w:rPr>
          <w:lang w:val="en-US"/>
        </w:rPr>
        <w:tab/>
        <w:t>A typical use of this information package may be to establish basic emission road-worthiness of the engine system.</w:t>
      </w:r>
    </w:p>
  </w:footnote>
  <w:footnote w:id="46">
    <w:p w:rsidR="00A905B7" w:rsidRPr="0048171B" w:rsidRDefault="00A905B7" w:rsidP="00AF2027">
      <w:pPr>
        <w:pStyle w:val="FootnoteText"/>
        <w:tabs>
          <w:tab w:val="left" w:pos="600"/>
        </w:tabs>
        <w:spacing w:before="120"/>
        <w:jc w:val="both"/>
        <w:rPr>
          <w:lang w:val="en-US"/>
        </w:rPr>
      </w:pPr>
      <w:r w:rsidRPr="0048171B">
        <w:rPr>
          <w:lang w:val="en-US"/>
        </w:rPr>
        <w:tab/>
      </w:r>
      <w:r>
        <w:rPr>
          <w:lang w:val="en-US"/>
        </w:rPr>
        <w:tab/>
      </w:r>
      <w:r w:rsidRPr="0048171B">
        <w:rPr>
          <w:vertAlign w:val="superscript"/>
          <w:lang w:val="fr-CH"/>
        </w:rPr>
        <w:footnoteRef/>
      </w:r>
      <w:r w:rsidRPr="0048171B">
        <w:rPr>
          <w:lang w:val="en-US"/>
        </w:rPr>
        <w:tab/>
        <w:t>A typical use of this information package may be to establish detailed understanding of the emission road-worthiness of the engine system.</w:t>
      </w:r>
    </w:p>
  </w:footnote>
  <w:footnote w:id="47">
    <w:p w:rsidR="00A905B7" w:rsidRDefault="00A905B7" w:rsidP="00AF2027">
      <w:pPr>
        <w:pStyle w:val="FootnoteText"/>
      </w:pPr>
      <w:r>
        <w:tab/>
      </w:r>
      <w:r w:rsidRPr="00485105">
        <w:rPr>
          <w:rStyle w:val="FootnoteReference"/>
        </w:rPr>
        <w:footnoteRef/>
      </w:r>
      <w:r>
        <w:tab/>
        <w:t>It is not required to equip the engine for the sole purpose of providing the information data mentioned in Tables 3 and 4 of Annex 5.</w:t>
      </w:r>
    </w:p>
  </w:footnote>
  <w:footnote w:id="48">
    <w:p w:rsidR="00A905B7" w:rsidRDefault="00A905B7" w:rsidP="00AF2027">
      <w:pPr>
        <w:pStyle w:val="FootnoteText"/>
      </w:pPr>
      <w:r>
        <w:tab/>
      </w:r>
      <w:r w:rsidRPr="00485105">
        <w:rPr>
          <w:rStyle w:val="FootnoteReference"/>
        </w:rPr>
        <w:footnoteRef/>
      </w:r>
      <w:r>
        <w:tab/>
        <w:t>The manufacturer is allowed to use an additional on-board diagnostic display, such as a dashboard mounted video display device, for providing access to OBD information. Such an additional device is not subject to the requirements of this annex.</w:t>
      </w:r>
    </w:p>
  </w:footnote>
  <w:footnote w:id="49">
    <w:p w:rsidR="00A905B7" w:rsidRPr="00485105" w:rsidRDefault="00A905B7" w:rsidP="00AF2027">
      <w:pPr>
        <w:pStyle w:val="FootnoteText"/>
      </w:pPr>
      <w:r>
        <w:tab/>
      </w:r>
      <w:r w:rsidRPr="005D5641">
        <w:rPr>
          <w:rStyle w:val="FootnoteReference"/>
        </w:rPr>
        <w:footnoteRef/>
      </w:r>
      <w:r w:rsidRPr="00485105">
        <w:tab/>
      </w:r>
      <w:r>
        <w:t>T</w:t>
      </w:r>
      <w:r w:rsidRPr="00485105">
        <w:t>o the value specified in the appropriate section of this annex</w:t>
      </w:r>
    </w:p>
  </w:footnote>
  <w:footnote w:id="50">
    <w:p w:rsidR="00A905B7" w:rsidRDefault="00A905B7" w:rsidP="00AF2027">
      <w:pPr>
        <w:pStyle w:val="FootnoteText"/>
        <w:tabs>
          <w:tab w:val="left" w:pos="540"/>
        </w:tabs>
        <w:rPr>
          <w:lang w:val="en-US"/>
        </w:rPr>
      </w:pPr>
      <w:r>
        <w:rPr>
          <w:lang w:val="en-US"/>
        </w:rPr>
        <w:tab/>
      </w:r>
      <w:r>
        <w:rPr>
          <w:lang w:val="en-US"/>
        </w:rPr>
        <w:tab/>
      </w:r>
      <w:r w:rsidRPr="00D90B61">
        <w:rPr>
          <w:rStyle w:val="FootnoteReference"/>
          <w:bCs/>
        </w:rPr>
        <w:footnoteRef/>
      </w:r>
      <w:r>
        <w:rPr>
          <w:lang w:val="en-US"/>
        </w:rPr>
        <w:tab/>
        <w:t>Examples of circumstances that may influence if and when OTLs are exceeded are the age of the engine system or whether the test is conducted with a new or aged component.</w:t>
      </w:r>
    </w:p>
  </w:footnote>
  <w:footnote w:id="51">
    <w:p w:rsidR="00A905B7" w:rsidRPr="0053694D" w:rsidRDefault="00A905B7" w:rsidP="00AF2027">
      <w:pPr>
        <w:pStyle w:val="FootnoteText"/>
        <w:widowControl w:val="0"/>
        <w:tabs>
          <w:tab w:val="clear" w:pos="1021"/>
          <w:tab w:val="right" w:pos="1020"/>
        </w:tabs>
      </w:pPr>
      <w:r>
        <w:tab/>
      </w:r>
      <w:r>
        <w:rPr>
          <w:rStyle w:val="FootnoteReference"/>
        </w:rPr>
        <w:footnoteRef/>
      </w:r>
      <w:r>
        <w:tab/>
      </w:r>
      <w:r w:rsidRPr="00792267">
        <w:rPr>
          <w:lang w:val="en-US"/>
        </w:rPr>
        <w:t>This paragraph will be extended to other monitors than emission threshold monitors at a later stage.</w:t>
      </w:r>
    </w:p>
  </w:footnote>
  <w:footnote w:id="52">
    <w:p w:rsidR="00A905B7" w:rsidRPr="007F026D" w:rsidRDefault="00A905B7" w:rsidP="00AF2027">
      <w:pPr>
        <w:pStyle w:val="FootnoteText"/>
        <w:widowControl w:val="0"/>
        <w:tabs>
          <w:tab w:val="clear" w:pos="1021"/>
          <w:tab w:val="right" w:pos="1020"/>
        </w:tabs>
        <w:rPr>
          <w:lang w:val="en-US"/>
        </w:rPr>
      </w:pPr>
      <w:r>
        <w:tab/>
      </w:r>
      <w:r>
        <w:rPr>
          <w:rStyle w:val="FootnoteReference"/>
        </w:rPr>
        <w:footnoteRef/>
      </w:r>
      <w:r>
        <w:tab/>
      </w:r>
      <w:r>
        <w:rPr>
          <w:lang w:val="en-US"/>
        </w:rPr>
        <w:t>As reported in the approval document</w:t>
      </w:r>
    </w:p>
  </w:footnote>
  <w:footnote w:id="53">
    <w:p w:rsidR="00A905B7" w:rsidRPr="004C4A6C" w:rsidRDefault="00A905B7" w:rsidP="00AF2027">
      <w:pPr>
        <w:pStyle w:val="FootnoteText"/>
        <w:widowControl w:val="0"/>
        <w:tabs>
          <w:tab w:val="clear" w:pos="1021"/>
          <w:tab w:val="right" w:pos="1020"/>
        </w:tabs>
        <w:rPr>
          <w:lang w:val="en-US"/>
        </w:rPr>
      </w:pPr>
      <w:r>
        <w:tab/>
      </w:r>
      <w:r>
        <w:rPr>
          <w:rStyle w:val="FootnoteReference"/>
        </w:rPr>
        <w:footnoteRef/>
      </w:r>
      <w:r>
        <w:tab/>
      </w:r>
      <w:r w:rsidRPr="00DC2BE9">
        <w:rPr>
          <w:lang w:val="en-US"/>
        </w:rPr>
        <w:t>This value corresponds to a maximum hexadecimal value of 0xFFFF with a resolution of 0x1.</w:t>
      </w:r>
    </w:p>
  </w:footnote>
  <w:footnote w:id="54">
    <w:p w:rsidR="00A905B7" w:rsidRPr="00124300" w:rsidRDefault="00A905B7" w:rsidP="00AF2027">
      <w:pPr>
        <w:pStyle w:val="FootnoteText"/>
        <w:widowControl w:val="0"/>
        <w:tabs>
          <w:tab w:val="clear" w:pos="1021"/>
          <w:tab w:val="right" w:pos="1020"/>
        </w:tabs>
        <w:rPr>
          <w:lang w:val="en-US"/>
        </w:rPr>
      </w:pPr>
      <w:r>
        <w:tab/>
      </w:r>
      <w:r>
        <w:rPr>
          <w:rStyle w:val="FootnoteReference"/>
        </w:rPr>
        <w:footnoteRef/>
      </w:r>
      <w:r>
        <w:tab/>
      </w:r>
      <w:r w:rsidRPr="00DC2BE9">
        <w:rPr>
          <w:lang w:val="en-US"/>
        </w:rPr>
        <w:t>e.g. vehicle speed / engine speed / calculated load, ambient temperature, elevation, idle operation, or time of operation.</w:t>
      </w:r>
    </w:p>
  </w:footnote>
  <w:footnote w:id="55">
    <w:p w:rsidR="00A905B7" w:rsidRPr="00DC2BE9" w:rsidRDefault="00A905B7" w:rsidP="00AF2027">
      <w:pPr>
        <w:pStyle w:val="FootnoteText"/>
        <w:tabs>
          <w:tab w:val="left" w:pos="567"/>
        </w:tabs>
        <w:jc w:val="both"/>
      </w:pPr>
      <w:r>
        <w:tab/>
      </w:r>
      <w:r>
        <w:tab/>
      </w:r>
      <w:r w:rsidRPr="00124300">
        <w:rPr>
          <w:rStyle w:val="FootnoteReference"/>
          <w:b/>
        </w:rPr>
        <w:footnoteRef/>
      </w:r>
      <w:r w:rsidRPr="00DC2BE9">
        <w:tab/>
        <w:t>The manufacturer is allowed to use an additional on-board diagnostic display, such as a dashboard mounted video display device, for providing access to in-use performance data</w:t>
      </w:r>
      <w:r>
        <w:t xml:space="preserve">. </w:t>
      </w:r>
      <w:r w:rsidRPr="00DC2BE9">
        <w:t>Such an additional device is not subject to the requirements of this annex.</w:t>
      </w:r>
    </w:p>
  </w:footnote>
  <w:footnote w:id="56">
    <w:p w:rsidR="00A905B7" w:rsidRPr="00124300" w:rsidRDefault="00A905B7" w:rsidP="00AF2027">
      <w:pPr>
        <w:pStyle w:val="FootnoteText"/>
        <w:widowControl w:val="0"/>
        <w:tabs>
          <w:tab w:val="clear" w:pos="1021"/>
          <w:tab w:val="right" w:pos="1020"/>
        </w:tabs>
        <w:rPr>
          <w:lang w:val="en-US"/>
        </w:rPr>
      </w:pPr>
      <w:r>
        <w:tab/>
      </w:r>
      <w:r>
        <w:rPr>
          <w:rStyle w:val="FootnoteReference"/>
        </w:rPr>
        <w:footnoteRef/>
      </w:r>
      <w:r>
        <w:tab/>
      </w:r>
      <w:r w:rsidRPr="00124300">
        <w:t>The manufacturer is allowed to use an additional on-board diagnostic display, such as a dashboard mounted video display device, for providing access to in-use performance data</w:t>
      </w:r>
      <w:r>
        <w:t xml:space="preserve">. </w:t>
      </w:r>
      <w:r w:rsidRPr="00124300">
        <w:t>Such an additional device is not subject to the requirements of this annex.</w:t>
      </w:r>
    </w:p>
  </w:footnote>
  <w:footnote w:id="57">
    <w:p w:rsidR="00A905B7" w:rsidRPr="00F940C8" w:rsidRDefault="00A905B7" w:rsidP="00AF2027">
      <w:pPr>
        <w:pStyle w:val="FootnoteText"/>
        <w:tabs>
          <w:tab w:val="left" w:pos="567"/>
        </w:tabs>
        <w:spacing w:before="120"/>
        <w:jc w:val="both"/>
        <w:rPr>
          <w:b/>
          <w:u w:val="single"/>
          <w:lang w:val="en-US"/>
        </w:rPr>
      </w:pPr>
      <w:r>
        <w:rPr>
          <w:lang w:val="en-US"/>
        </w:rPr>
        <w:tab/>
      </w:r>
      <w:r>
        <w:rPr>
          <w:lang w:val="en-US"/>
        </w:rPr>
        <w:tab/>
      </w:r>
      <w:r w:rsidRPr="00400CFD">
        <w:rPr>
          <w:rStyle w:val="FootnoteReference"/>
        </w:rPr>
        <w:footnoteRef/>
      </w:r>
      <w:r>
        <w:rPr>
          <w:lang w:val="en-US"/>
        </w:rPr>
        <w:tab/>
        <w:t>The numbering of this annex is consistent with the numbering of the gtr on OCE. However, some paragraphs of the gtr No. 10 (OCE) are not needed in this annex.</w:t>
      </w:r>
    </w:p>
  </w:footnote>
  <w:footnote w:id="58">
    <w:p w:rsidR="00A905B7" w:rsidRPr="004F1E44" w:rsidRDefault="00A905B7" w:rsidP="00AF2027">
      <w:pPr>
        <w:pStyle w:val="FootnoteText"/>
        <w:spacing w:before="120"/>
        <w:jc w:val="both"/>
        <w:rPr>
          <w:lang w:val="en-US"/>
        </w:rPr>
      </w:pPr>
      <w:r>
        <w:rPr>
          <w:lang w:val="en-US"/>
        </w:rPr>
        <w:tab/>
      </w:r>
      <w:r w:rsidRPr="0099067B">
        <w:rPr>
          <w:rStyle w:val="FootnoteReference"/>
        </w:rPr>
        <w:footnoteRef/>
      </w:r>
      <w:r w:rsidRPr="004F1E44">
        <w:rPr>
          <w:lang w:val="en-US"/>
        </w:rPr>
        <w:tab/>
        <w:t>Test Procedures for Compression-Ignition (C.I.) Engines and Posi</w:t>
      </w:r>
      <w:r>
        <w:rPr>
          <w:lang w:val="en-US"/>
        </w:rPr>
        <w:t>tive-Ignition </w:t>
      </w:r>
      <w:r w:rsidRPr="004F1E44">
        <w:rPr>
          <w:lang w:val="en-US"/>
        </w:rPr>
        <w:t>(P.I.) E</w:t>
      </w:r>
      <w:r>
        <w:rPr>
          <w:lang w:val="en-US"/>
        </w:rPr>
        <w:t>ngines Fuelled with Natural Gas (NG) or Liquefied Petroleum Gas </w:t>
      </w:r>
      <w:r w:rsidRPr="004F1E44">
        <w:rPr>
          <w:lang w:val="en-US"/>
        </w:rPr>
        <w:t xml:space="preserve">(LPG) with regard to the Emission of Pollutants (established in the Global Registry on 15 November 2006). </w:t>
      </w:r>
      <w:r>
        <w:rPr>
          <w:lang w:val="en-US"/>
        </w:rPr>
        <w:t xml:space="preserve">References to gtr No. 4 relate </w:t>
      </w:r>
      <w:r w:rsidRPr="004F1E44">
        <w:rPr>
          <w:lang w:val="en-US"/>
        </w:rPr>
        <w:t>to the document established on 1</w:t>
      </w:r>
      <w:r>
        <w:rPr>
          <w:lang w:val="en-US"/>
        </w:rPr>
        <w:t xml:space="preserve">5 November 2006. </w:t>
      </w:r>
      <w:r w:rsidRPr="004F1E44">
        <w:rPr>
          <w:lang w:val="en-US"/>
        </w:rPr>
        <w:t xml:space="preserve">Later changes to the </w:t>
      </w:r>
      <w:r>
        <w:rPr>
          <w:lang w:val="en-US"/>
        </w:rPr>
        <w:t>gtr No. 4 (</w:t>
      </w:r>
      <w:r w:rsidRPr="004F1E44">
        <w:rPr>
          <w:lang w:val="en-US"/>
        </w:rPr>
        <w:t>WHDC</w:t>
      </w:r>
      <w:r>
        <w:rPr>
          <w:lang w:val="en-US"/>
        </w:rPr>
        <w:t>)</w:t>
      </w:r>
      <w:r w:rsidRPr="004F1E44">
        <w:rPr>
          <w:lang w:val="en-US"/>
        </w:rPr>
        <w:t xml:space="preserve"> will have to be revaluated as to their applicability to this annex.</w:t>
      </w:r>
    </w:p>
  </w:footnote>
  <w:footnote w:id="59">
    <w:p w:rsidR="00A905B7" w:rsidRPr="00830EA3" w:rsidRDefault="00A905B7" w:rsidP="00B4293A">
      <w:pPr>
        <w:pStyle w:val="GRPEfootnote"/>
        <w:tabs>
          <w:tab w:val="clear" w:pos="567"/>
          <w:tab w:val="right" w:pos="993"/>
        </w:tabs>
        <w:ind w:left="1134" w:hanging="1134"/>
        <w:rPr>
          <w:sz w:val="18"/>
          <w:szCs w:val="18"/>
        </w:rPr>
      </w:pPr>
      <w:r w:rsidRPr="00830EA3">
        <w:rPr>
          <w:sz w:val="18"/>
          <w:szCs w:val="18"/>
        </w:rPr>
        <w:tab/>
      </w:r>
      <w:r w:rsidRPr="00830EA3">
        <w:rPr>
          <w:rStyle w:val="FootnoteReference"/>
          <w:szCs w:val="18"/>
        </w:rPr>
        <w:footnoteRef/>
      </w:r>
      <w:r w:rsidRPr="00830EA3">
        <w:rPr>
          <w:sz w:val="18"/>
          <w:szCs w:val="18"/>
        </w:rPr>
        <w:t xml:space="preserve"> </w:t>
      </w:r>
      <w:r w:rsidRPr="00830EA3">
        <w:rPr>
          <w:sz w:val="18"/>
          <w:szCs w:val="18"/>
        </w:rPr>
        <w:tab/>
        <w:t>Type 2A dual-fuel engines and vehicles are neither defined nor allowed by this Regulation.</w:t>
      </w:r>
    </w:p>
  </w:footnote>
  <w:footnote w:id="60">
    <w:p w:rsidR="00A905B7" w:rsidRPr="00D86F1A" w:rsidRDefault="00A905B7" w:rsidP="00B4293A">
      <w:pPr>
        <w:pStyle w:val="GRPEfootnote"/>
        <w:tabs>
          <w:tab w:val="clear" w:pos="567"/>
          <w:tab w:val="right" w:pos="993"/>
        </w:tabs>
        <w:ind w:left="1134" w:hanging="1134"/>
      </w:pPr>
      <w:r w:rsidRPr="00830EA3">
        <w:rPr>
          <w:sz w:val="18"/>
          <w:szCs w:val="18"/>
        </w:rPr>
        <w:tab/>
      </w:r>
      <w:r w:rsidRPr="00830EA3">
        <w:rPr>
          <w:rStyle w:val="FootnoteReference"/>
          <w:szCs w:val="18"/>
        </w:rPr>
        <w:footnoteRef/>
      </w:r>
      <w:r w:rsidRPr="00830EA3">
        <w:rPr>
          <w:sz w:val="18"/>
          <w:szCs w:val="18"/>
        </w:rPr>
        <w:t xml:space="preserve"> </w:t>
      </w:r>
      <w:r w:rsidRPr="00830EA3">
        <w:rPr>
          <w:sz w:val="18"/>
          <w:szCs w:val="18"/>
        </w:rPr>
        <w:tab/>
        <w:t>Type 3A dual-fuel engines and vehicles are neither defined nor allowed by this Regulation.</w:t>
      </w:r>
    </w:p>
  </w:footnote>
  <w:footnote w:id="61">
    <w:p w:rsidR="00A905B7" w:rsidRPr="00D52388" w:rsidRDefault="00A905B7" w:rsidP="00B4293A">
      <w:pPr>
        <w:pStyle w:val="FootnoteText"/>
      </w:pPr>
      <w:r>
        <w:tab/>
      </w:r>
      <w:r>
        <w:rPr>
          <w:rStyle w:val="FootnoteReference"/>
        </w:rPr>
        <w:footnoteRef/>
      </w:r>
      <w:r>
        <w:t xml:space="preserve"> </w:t>
      </w:r>
      <w:r>
        <w:tab/>
      </w:r>
      <w:r w:rsidRPr="003815AF">
        <w:t>A vehicle shall be considered as stationary at the latest 1 minute after the vehicle speed has been reduced to zero km/h</w:t>
      </w:r>
      <w:r>
        <w:t>.</w:t>
      </w:r>
      <w:r w:rsidRPr="003815AF">
        <w:t xml:space="preserve"> The engagement of any device such as </w:t>
      </w:r>
      <w:r>
        <w:t xml:space="preserve">a </w:t>
      </w:r>
      <w:r w:rsidRPr="003815AF">
        <w:t>park-brake,</w:t>
      </w:r>
      <w:r>
        <w:t xml:space="preserve"> a</w:t>
      </w:r>
      <w:r w:rsidRPr="003815AF">
        <w:t xml:space="preserve"> trailer-brake, or</w:t>
      </w:r>
      <w:r>
        <w:t xml:space="preserve"> a</w:t>
      </w:r>
      <w:r w:rsidRPr="003815AF">
        <w:t xml:space="preserve"> hand-brake shall not be </w:t>
      </w:r>
      <w:r>
        <w:t>necessary</w:t>
      </w:r>
      <w:r w:rsidRPr="003815AF">
        <w:t xml:space="preserve"> for being stationary.</w:t>
      </w:r>
    </w:p>
  </w:footnote>
  <w:footnote w:id="62">
    <w:p w:rsidR="00A905B7" w:rsidRPr="00D52388" w:rsidRDefault="00A905B7" w:rsidP="00B4293A">
      <w:pPr>
        <w:pStyle w:val="FootnoteText"/>
      </w:pPr>
      <w:r>
        <w:tab/>
      </w:r>
      <w:r>
        <w:rPr>
          <w:rStyle w:val="FootnoteReference"/>
        </w:rPr>
        <w:footnoteRef/>
      </w:r>
      <w:r>
        <w:t xml:space="preserve"> </w:t>
      </w:r>
      <w:r>
        <w:tab/>
      </w:r>
      <w:r w:rsidRPr="003815AF">
        <w:t>A vehicle shall be considered as stationary at the latest 1 minute after the vehicle speed has been reduced to zero km/h</w:t>
      </w:r>
      <w:r>
        <w:t>.</w:t>
      </w:r>
      <w:r w:rsidRPr="003815AF">
        <w:t xml:space="preserve"> The engagement of any device such as </w:t>
      </w:r>
      <w:r>
        <w:t xml:space="preserve">a </w:t>
      </w:r>
      <w:r w:rsidRPr="003815AF">
        <w:t>park-brake,</w:t>
      </w:r>
      <w:r>
        <w:t xml:space="preserve"> a</w:t>
      </w:r>
      <w:r w:rsidRPr="003815AF">
        <w:t xml:space="preserve"> trailer-brake, or</w:t>
      </w:r>
      <w:r>
        <w:t xml:space="preserve"> a</w:t>
      </w:r>
      <w:r w:rsidRPr="003815AF">
        <w:t xml:space="preserve"> hand-brake shall not be </w:t>
      </w:r>
      <w:r>
        <w:t>necessary</w:t>
      </w:r>
      <w:r w:rsidRPr="003815AF">
        <w:t xml:space="preserve"> for being stationary.</w:t>
      </w:r>
    </w:p>
  </w:footnote>
  <w:footnote w:id="63">
    <w:p w:rsidR="00A905B7" w:rsidRPr="0094410C" w:rsidRDefault="00A905B7" w:rsidP="00B4293A">
      <w:pPr>
        <w:pStyle w:val="FootnoteText"/>
      </w:pPr>
      <w:r>
        <w:tab/>
      </w:r>
      <w:r>
        <w:rPr>
          <w:rStyle w:val="FootnoteReference"/>
        </w:rPr>
        <w:footnoteRef/>
      </w:r>
      <w:r>
        <w:tab/>
      </w:r>
      <w:r w:rsidRPr="003815AF">
        <w:t>A vehicle shall be considered as stationary at the latest 1 minute after the vehicle speed has been reduced to zero km/h</w:t>
      </w:r>
      <w:r>
        <w:t>.</w:t>
      </w:r>
      <w:r w:rsidRPr="003815AF">
        <w:t xml:space="preserve"> The engagement of any device such as </w:t>
      </w:r>
      <w:r>
        <w:t xml:space="preserve">a </w:t>
      </w:r>
      <w:r w:rsidRPr="003815AF">
        <w:t>park-brake,</w:t>
      </w:r>
      <w:r>
        <w:t xml:space="preserve"> a</w:t>
      </w:r>
      <w:r w:rsidRPr="003815AF">
        <w:t xml:space="preserve"> trailer-brake, or</w:t>
      </w:r>
      <w:r>
        <w:t xml:space="preserve"> a</w:t>
      </w:r>
      <w:r w:rsidRPr="003815AF">
        <w:t xml:space="preserve"> hand-brake shall not be </w:t>
      </w:r>
      <w:r>
        <w:t>necessary</w:t>
      </w:r>
      <w:r w:rsidRPr="003815AF">
        <w:t xml:space="preserve"> for being stationary.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EB395A" w:rsidRDefault="00A905B7" w:rsidP="00EB395A">
    <w:pPr>
      <w:pStyle w:val="Header"/>
      <w:jc w:val="right"/>
    </w:pPr>
    <w:r>
      <w:t>E/ECE/324/Rev.1/Add.48/Rev.7</w:t>
    </w:r>
    <w:r>
      <w:br/>
      <w:t>E/ECE/TRANS/505/Rev.1/Add.48/Rev.7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C7D7E">
    <w:pPr>
      <w:pStyle w:val="Header"/>
      <w:jc w:val="right"/>
    </w:pPr>
    <w:r w:rsidRPr="002A4563">
      <w:t>E/ECE/324/Rev.1/Add.48/Rev.</w:t>
    </w:r>
    <w:r>
      <w:t>7</w:t>
    </w:r>
    <w:r w:rsidRPr="002A4563">
      <w:br/>
      <w:t>E/ECE/TRANS</w:t>
    </w:r>
    <w:r>
      <w:rPr>
        <w:rStyle w:val="PageNumber"/>
        <w:b/>
      </w:rPr>
      <w:fldChar w:fldCharType="begin"/>
    </w:r>
    <w:r>
      <w:rPr>
        <w:rStyle w:val="PageNumber"/>
        <w:b/>
      </w:rPr>
      <w:instrText xml:space="preserve"> PAGE </w:instrText>
    </w:r>
    <w:r>
      <w:rPr>
        <w:rStyle w:val="PageNumber"/>
        <w:b/>
      </w:rPr>
      <w:fldChar w:fldCharType="separate"/>
    </w:r>
    <w:r w:rsidR="00462662">
      <w:rPr>
        <w:rStyle w:val="PageNumber"/>
        <w:b/>
        <w:noProof/>
      </w:rPr>
      <w:t>53</w:t>
    </w:r>
    <w:r>
      <w:rPr>
        <w:rStyle w:val="PageNumber"/>
        <w:b/>
      </w:rPr>
      <w:fldChar w:fldCharType="end"/>
    </w:r>
    <w:r w:rsidRPr="002A4563">
      <w:t>/505/Rev.1/Add.48/Rev.</w:t>
    </w:r>
    <w:r>
      <w:t>7</w:t>
    </w:r>
  </w:p>
  <w:p w:rsidR="00A905B7" w:rsidRPr="00EA0EB6" w:rsidRDefault="00A905B7" w:rsidP="00EA0EB6"/>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C2B45" w:rsidRDefault="00A905B7" w:rsidP="00763CD2">
    <w:pPr>
      <w:pStyle w:val="Header"/>
      <w:jc w:val="right"/>
    </w:pPr>
    <w:r>
      <w:t>E/ECE/324/Rev.1/Add.48/Rev.7</w:t>
    </w:r>
    <w:r>
      <w:br/>
      <w:t>E/ECE/TRANS/505/Rev.1/Add.48/Rev.7</w:t>
    </w:r>
    <w:r>
      <w:br/>
      <w:t>Annex 8</w:t>
    </w:r>
  </w:p>
  <w:p w:rsidR="00A905B7" w:rsidRPr="0020158A" w:rsidRDefault="00A905B7" w:rsidP="0020158A"/>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C2B45" w:rsidRDefault="00A905B7" w:rsidP="003401C8">
    <w:pPr>
      <w:pStyle w:val="Header"/>
    </w:pPr>
    <w:r>
      <w:t>E/ECE/324/Rev.1/Add.48/Rev.7</w:t>
    </w:r>
    <w:r>
      <w:br/>
      <w:t>E/ECE/TRANS/505/Rev.1/Add.48/Rev.7</w:t>
    </w:r>
    <w:r>
      <w:br/>
      <w:t>Annex 8</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E/ECE/324/Rev.1/Add.48/Rev.7</w:t>
    </w:r>
    <w:r>
      <w:br/>
      <w:t>E/ECE/TRANS/505/Rev.1/Add.48/Rev.7</w:t>
    </w:r>
    <w:r>
      <w:br/>
      <w:t>Annex 8</w:t>
    </w:r>
  </w:p>
  <w:p w:rsidR="00A905B7" w:rsidRPr="002756E0" w:rsidRDefault="00A905B7" w:rsidP="002756E0"/>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D2836" w:rsidRDefault="00A905B7" w:rsidP="00BB1DA8">
    <w:pPr>
      <w:pStyle w:val="Header"/>
    </w:pPr>
    <w:r>
      <w:t>E/ECE/324/Rev.1/Add.48/Rev.5</w:t>
    </w:r>
    <w:r>
      <w:br/>
      <w:t>E/ECE/TRANS/505/Rev.1/Add.48/Rev.5</w:t>
    </w:r>
    <w:r>
      <w:br/>
      <w:t xml:space="preserve">Annex 9A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C2B45" w:rsidRDefault="00A905B7" w:rsidP="00BB1DA8">
    <w:pPr>
      <w:pStyle w:val="Header"/>
      <w:jc w:val="right"/>
      <w:rPr>
        <w:szCs w:val="16"/>
      </w:rPr>
    </w:pPr>
    <w:r>
      <w:t>E/ECE/324/Rev.1/Add.48/Rev.5</w:t>
    </w:r>
    <w:r>
      <w:br/>
      <w:t>E/ECE/TRANS/505/Rev.1/Add.48/Rev.5</w:t>
    </w:r>
    <w:r>
      <w:br/>
      <w:t>Annex 9A</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pPr>
    <w:r>
      <w:t>E/ECE/324/Rev.1/Add.48/Rev.5</w:t>
    </w:r>
    <w:r>
      <w:br/>
      <w:t>E/ECE/TRANS/505/Rev.1/Add.48/Rev.5</w:t>
    </w:r>
    <w:r>
      <w:br/>
      <w:t xml:space="preserve">Annex 9A </w:t>
    </w:r>
  </w:p>
  <w:p w:rsidR="00A905B7" w:rsidRPr="00AE1A72" w:rsidRDefault="00A905B7" w:rsidP="00AE1A72"/>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E/ECE/324/Rev.1/Add.48/Rev.7</w:t>
    </w:r>
    <w:r>
      <w:br/>
      <w:t>E/ECE/TRANS/505/Rev.1/Add.48/Rev.7</w:t>
    </w:r>
    <w:r>
      <w:br/>
      <w:t>Annex 9A</w:t>
    </w:r>
  </w:p>
  <w:p w:rsidR="00A905B7" w:rsidRPr="002756E0" w:rsidRDefault="00A905B7" w:rsidP="002756E0"/>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E/ECE/324/Rev.1/Add.48/Rev.7</w:t>
    </w:r>
    <w:r>
      <w:br/>
      <w:t>E/ECE/TRANS/505/Rev.1/Add.48/Rev.7</w:t>
    </w:r>
    <w:r>
      <w:br/>
      <w:t>Annex 9A</w:t>
    </w:r>
  </w:p>
  <w:p w:rsidR="00A905B7" w:rsidRDefault="00A905B7" w:rsidP="002756E0">
    <w: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pPr>
    <w:r>
      <w:t>E/ECE/324/Rev.1/Add.48/Rev.7</w:t>
    </w:r>
    <w:r>
      <w:br/>
      <w:t>E/ECE/TRANS/505/Rev.1/Add.48/Rev.7</w:t>
    </w:r>
    <w:r>
      <w:br/>
      <w:t>Annex 9A – Appendix</w:t>
    </w:r>
  </w:p>
  <w:p w:rsidR="00A905B7" w:rsidRPr="00394A6C" w:rsidRDefault="00A905B7" w:rsidP="00394A6C"/>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E/ECE/324/Rev.1/Add.48/Rev.7</w:t>
    </w:r>
    <w:r>
      <w:br/>
      <w:t>E/ECE/TRANS/505/Rev.1/Add.48/Rev.7</w:t>
    </w:r>
    <w:r>
      <w:br/>
      <w:t>Annex 9A – Appendix</w:t>
    </w:r>
  </w:p>
  <w:p w:rsidR="00A905B7" w:rsidRPr="00394A6C" w:rsidRDefault="00A905B7" w:rsidP="00394A6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39331B">
    <w:pPr>
      <w:pStyle w:val="Header"/>
    </w:pPr>
    <w:r w:rsidRPr="002A4563">
      <w:t>E/ECE/324/Rev.1/Add.48/Rev.</w:t>
    </w:r>
    <w:r>
      <w:t>7</w:t>
    </w:r>
    <w:r w:rsidRPr="002A4563">
      <w:br/>
      <w:t>E/ECE/TRANS/505/Rev.1/Add.48/Rev.</w:t>
    </w:r>
    <w:r>
      <w:t>7</w:t>
    </w:r>
  </w:p>
  <w:p w:rsidR="00A905B7" w:rsidRDefault="00A905B7" w:rsidP="0039331B">
    <w:pPr>
      <w:pStyle w:val="Header"/>
    </w:pPr>
    <w:r>
      <w:t>Appendix 1</w:t>
    </w:r>
  </w:p>
  <w:p w:rsidR="00A905B7" w:rsidRPr="00EA0EB6" w:rsidRDefault="00A905B7" w:rsidP="00EA0EB6"/>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63CD2">
    <w:pPr>
      <w:pStyle w:val="Header"/>
    </w:pPr>
    <w:r>
      <w:t>E/ECE/324/Rev.1/Add.48/Rev.7</w:t>
    </w:r>
    <w:r>
      <w:br/>
      <w:t>E/ECE/TRANS/505/Rev.1/Add.48/Rev.7</w:t>
    </w:r>
    <w:r>
      <w:br/>
      <w:t>Annex 9A – Appendix</w:t>
    </w:r>
  </w:p>
  <w:p w:rsidR="00A905B7" w:rsidRPr="00394A6C" w:rsidRDefault="00A905B7" w:rsidP="00394A6C"/>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pPr>
    <w:r>
      <w:t>E/ECE/324/Rev.1/Add.48/Rev.7</w:t>
    </w:r>
    <w:r>
      <w:br/>
      <w:t>E/ECE/TRANS/505/Rev.1/Add.48/Rev.7</w:t>
    </w:r>
    <w:r>
      <w:br/>
      <w:t>Annex 9B</w:t>
    </w:r>
  </w:p>
  <w:p w:rsidR="00A905B7" w:rsidRPr="00394A6C" w:rsidRDefault="00A905B7" w:rsidP="00394A6C"/>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jc w:val="right"/>
    </w:pPr>
    <w:r>
      <w:t>E/ECE/324/Rev.1/Add.48/Rev.7</w:t>
    </w:r>
    <w:r>
      <w:br/>
      <w:t>E/ECE/TRANS/505/Rev.1/Add.48/Rev.7</w:t>
    </w:r>
    <w:r>
      <w:br/>
      <w:t>Annex 9B</w:t>
    </w:r>
  </w:p>
  <w:p w:rsidR="00A905B7" w:rsidRPr="00394A6C" w:rsidRDefault="00A905B7" w:rsidP="00394A6C"/>
  <w:p w:rsidR="00A905B7" w:rsidRDefault="00A905B7"/>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E/ECE/324/Rev.1/Add.48/Rev.7</w:t>
    </w:r>
    <w:r>
      <w:br/>
      <w:t>E/ECE/TRANS/505/Rev.1/Add.48/Rev.7</w:t>
    </w:r>
    <w:r>
      <w:br/>
      <w:t>Annex 9B</w:t>
    </w:r>
  </w:p>
  <w:p w:rsidR="00A905B7" w:rsidRPr="00394A6C" w:rsidRDefault="00A905B7" w:rsidP="00394A6C"/>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B7A69" w:rsidRDefault="00A905B7" w:rsidP="00AF2027">
    <w:pPr>
      <w:pStyle w:val="Header"/>
      <w:rPr>
        <w:szCs w:val="16"/>
      </w:rPr>
    </w:pPr>
    <w:r>
      <w:t>E/ECE/324/Rev.1/Add.48/Rev.7</w:t>
    </w:r>
    <w:r>
      <w:br/>
      <w:t>E/ECE/TRANS/505/Rev.1/Add.48/Rev.7</w:t>
    </w:r>
    <w:r>
      <w:br/>
      <w:t>Annex 9B</w:t>
    </w:r>
    <w:r>
      <w:rPr>
        <w:szCs w:val="16"/>
      </w:rPr>
      <w:t xml:space="preserve"> – Appendix 1</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C1539" w:rsidRDefault="00A905B7" w:rsidP="00AF2027">
    <w:pPr>
      <w:pStyle w:val="Header"/>
      <w:jc w:val="right"/>
    </w:pPr>
    <w:r>
      <w:t>E/ECE/324/Rev.1/Add.48/Rev.5</w:t>
    </w:r>
    <w:r>
      <w:br/>
      <w:t>E/ECE/TRANS/505/Rev.1/Add.48/Rev.5</w:t>
    </w:r>
    <w:r>
      <w:br/>
      <w:t>Annex 9B – Appendix 1</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rPr>
        <w:szCs w:val="16"/>
      </w:rPr>
    </w:pPr>
    <w:r>
      <w:t>E/ECE/324/Rev.1/Add.48/Rev.7</w:t>
    </w:r>
    <w:r>
      <w:br/>
      <w:t>E/ECE/TRANS/505/Rev.1/Add.48/Rev.7</w:t>
    </w:r>
    <w:r>
      <w:br/>
      <w:t>Annex 9B</w:t>
    </w:r>
    <w:r>
      <w:rPr>
        <w:szCs w:val="16"/>
      </w:rPr>
      <w:t xml:space="preserve"> – Appendix 2</w:t>
    </w:r>
  </w:p>
  <w:p w:rsidR="00A905B7" w:rsidRPr="00394A6C" w:rsidRDefault="00A905B7" w:rsidP="00394A6C"/>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B7A69" w:rsidRDefault="00A905B7" w:rsidP="00AF2027">
    <w:pPr>
      <w:pStyle w:val="Header"/>
      <w:jc w:val="right"/>
      <w:rPr>
        <w:szCs w:val="16"/>
      </w:rPr>
    </w:pPr>
    <w:r>
      <w:t>E/ECE/324/Rev.1/Add.48/Rev.7</w:t>
    </w:r>
    <w:r>
      <w:br/>
      <w:t>E/ECE/TRANS/505/Rev.1/Add.48/Rev.7</w:t>
    </w:r>
    <w:r>
      <w:br/>
      <w:t>Annex 9B</w:t>
    </w:r>
    <w:r>
      <w:rPr>
        <w:szCs w:val="16"/>
      </w:rPr>
      <w:t xml:space="preserve"> – Appendix 2</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rPr>
        <w:szCs w:val="16"/>
      </w:rPr>
    </w:pPr>
    <w:r>
      <w:t>E/ECE/324/Rev.1/Add.48/Rev.7</w:t>
    </w:r>
    <w:r>
      <w:br/>
      <w:t>E/ECE/TRANS/505/Rev.1/Add.48/Rev.7</w:t>
    </w:r>
    <w:r>
      <w:br/>
      <w:t>Annex 9B</w:t>
    </w:r>
    <w:r>
      <w:rPr>
        <w:szCs w:val="16"/>
      </w:rPr>
      <w:t xml:space="preserve"> – Appendix 3</w:t>
    </w:r>
  </w:p>
  <w:p w:rsidR="00A905B7" w:rsidRPr="0004209B" w:rsidRDefault="00A905B7" w:rsidP="0004209B"/>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jc w:val="right"/>
      <w:rPr>
        <w:szCs w:val="16"/>
      </w:rPr>
    </w:pPr>
    <w:r>
      <w:t>E/ECE/324/Rev.1/Add.48/Rev.7</w:t>
    </w:r>
    <w:r>
      <w:br/>
      <w:t>E/ECE/TRANS/505/Rev.1/Add.48/Rev.7</w:t>
    </w:r>
    <w:r>
      <w:br/>
      <w:t>Annex 9B</w:t>
    </w:r>
    <w:r>
      <w:rPr>
        <w:szCs w:val="16"/>
      </w:rPr>
      <w:t xml:space="preserve"> – Appendix 3</w:t>
    </w:r>
  </w:p>
  <w:p w:rsidR="00A905B7" w:rsidRPr="0004209B" w:rsidRDefault="00A905B7" w:rsidP="0004209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7591F">
    <w:pPr>
      <w:pStyle w:val="Header"/>
      <w:jc w:val="right"/>
    </w:pPr>
    <w:r w:rsidRPr="002A4563">
      <w:t>E/ECE/324/Rev.1/Add.48/Rev.</w:t>
    </w:r>
    <w:r>
      <w:t>7</w:t>
    </w:r>
    <w:r w:rsidRPr="002A4563">
      <w:br/>
      <w:t>E/ECE/TRANS/505/Rev.1/Add.48/Rev.</w:t>
    </w:r>
    <w:r>
      <w:t>7</w:t>
    </w:r>
    <w:r>
      <w:br/>
      <w:t>Appendix 1</w:t>
    </w:r>
  </w:p>
  <w:p w:rsidR="00A905B7" w:rsidRPr="00EA0EB6" w:rsidRDefault="00A905B7" w:rsidP="00EA0EB6"/>
  <w:p w:rsidR="00A905B7" w:rsidRPr="00EA0EB6" w:rsidRDefault="00A905B7" w:rsidP="00EA0EB6"/>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17101E" w:rsidRDefault="00A905B7" w:rsidP="00AF2027">
    <w:pPr>
      <w:pStyle w:val="Header"/>
      <w:rPr>
        <w:szCs w:val="16"/>
      </w:rPr>
    </w:pPr>
    <w:r>
      <w:t>E/ECE/324/Rev.1/Add.48/Rev.7</w:t>
    </w:r>
    <w:r>
      <w:br/>
      <w:t>E/ECE/TRANS/505/Rev.1/Add.48/Rev.7</w:t>
    </w:r>
    <w:r>
      <w:br/>
      <w:t>Annex 9B</w:t>
    </w:r>
    <w:r>
      <w:rPr>
        <w:szCs w:val="16"/>
      </w:rPr>
      <w:t xml:space="preserve"> – Appendix 4</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17101E" w:rsidRDefault="00A905B7" w:rsidP="00AF2027">
    <w:pPr>
      <w:pStyle w:val="Header"/>
      <w:jc w:val="right"/>
      <w:rPr>
        <w:szCs w:val="16"/>
      </w:rPr>
    </w:pPr>
    <w:r>
      <w:t>E/ECE/324/Rev.1/Add.48/Rev.7</w:t>
    </w:r>
    <w:r>
      <w:br/>
      <w:t>E/ECE/TRANS/505/Rev.1/Add.48/Rev.7</w:t>
    </w:r>
    <w:r>
      <w:br/>
      <w:t>Annex 9B</w:t>
    </w:r>
    <w:r>
      <w:rPr>
        <w:szCs w:val="16"/>
      </w:rPr>
      <w:t xml:space="preserve"> – Appendix 4</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A6779" w:rsidRDefault="00A905B7" w:rsidP="00AF2027">
    <w:pPr>
      <w:pStyle w:val="SingleTxtG"/>
      <w:ind w:left="0"/>
    </w:pPr>
    <w:r>
      <w:rPr>
        <w:noProof/>
        <w:lang w:val="en-US"/>
      </w:rPr>
      <w:pict>
        <v:shapetype id="_x0000_t202" coordsize="21600,21600" o:spt="202" path="m,l,21600r21600,l21600,xe">
          <v:stroke joinstyle="miter"/>
          <v:path gradientshapeok="t" o:connecttype="rect"/>
        </v:shapetype>
        <v:shape id="_x0000_s2076" type="#_x0000_t202" style="position:absolute;left:0;text-align:left;margin-left:739.35pt;margin-top:19.8pt;width:53.45pt;height:441.85pt;z-index:251660800" filled="f" stroked="f">
          <v:textbox style="layout-flow:vertical;mso-next-textbox:#_x0000_s2076">
            <w:txbxContent>
              <w:p w:rsidR="00A905B7" w:rsidRPr="003A56D6" w:rsidRDefault="00A905B7" w:rsidP="00AF2027">
                <w:pPr>
                  <w:pStyle w:val="Header"/>
                  <w:rPr>
                    <w:lang w:val="en-US"/>
                  </w:rPr>
                </w:pPr>
                <w:r w:rsidRPr="003A56D6">
                  <w:rPr>
                    <w:lang w:val="en-US"/>
                  </w:rPr>
                  <w:t>E/ECE/324/Rev.1/Add.48/Rev.5</w:t>
                </w:r>
                <w:r w:rsidRPr="003A56D6">
                  <w:rPr>
                    <w:lang w:val="en-US"/>
                  </w:rPr>
                  <w:br/>
                  <w:t>E/ECE/TRANS/505/Rev.1/Add.48/Rev.5</w:t>
                </w:r>
                <w:r w:rsidRPr="003A56D6">
                  <w:rPr>
                    <w:lang w:val="en-US"/>
                  </w:rPr>
                  <w:br/>
                  <w:t>Annexe 9B - Appendice 4</w:t>
                </w:r>
              </w:p>
              <w:p w:rsidR="00A905B7" w:rsidRPr="00DA6779" w:rsidRDefault="00A905B7" w:rsidP="00AF2027">
                <w:pPr>
                  <w:rPr>
                    <w:lang w:val="en-US"/>
                  </w:rPr>
                </w:pPr>
              </w:p>
            </w:txbxContent>
          </v:textbox>
        </v:shape>
      </w:pict>
    </w:r>
    <w:r>
      <w:pict>
        <v:group id="_x0000_s2071" editas="canvas" style="width:10in;height:6in;mso-position-horizontal-relative:char;mso-position-vertical-relative:line" coordorigin="3594,2337"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3594;top:2337;width:7200;height:4320" o:preferrelative="f">
            <v:fill o:detectmouseclick="t"/>
            <v:path o:extrusionok="t" o:connecttype="none"/>
            <o:lock v:ext="edit" text="t"/>
          </v:shape>
          <v:shape id="_x0000_s2073" type="#_x0000_t202" style="position:absolute;left:3594;top:2427;width:270;height:270" stroked="f">
            <v:textbox style="layout-flow:vertical;mso-next-textbox:#_x0000_s2073">
              <w:txbxContent>
                <w:p w:rsidR="00A905B7" w:rsidRDefault="00A905B7">
                  <w:r>
                    <w:rPr>
                      <w:rStyle w:val="PageNumber"/>
                    </w:rPr>
                    <w:fldChar w:fldCharType="begin"/>
                  </w:r>
                  <w:r>
                    <w:rPr>
                      <w:rStyle w:val="PageNumber"/>
                    </w:rPr>
                    <w:instrText xml:space="preserve"> PAGE </w:instrText>
                  </w:r>
                  <w:r>
                    <w:rPr>
                      <w:rStyle w:val="PageNumber"/>
                    </w:rPr>
                    <w:fldChar w:fldCharType="separate"/>
                  </w:r>
                  <w:r>
                    <w:rPr>
                      <w:rStyle w:val="PageNumber"/>
                      <w:noProof/>
                    </w:rPr>
                    <w:t>518</w:t>
                  </w:r>
                  <w:r>
                    <w:rPr>
                      <w:rStyle w:val="PageNumber"/>
                    </w:rPr>
                    <w:fldChar w:fldCharType="end"/>
                  </w:r>
                </w:p>
              </w:txbxContent>
            </v:textbox>
          </v:shape>
          <w10:anchorlock/>
        </v:group>
      </w:pict>
    </w:r>
    <w:r>
      <w:pict>
        <v:group id="_x0000_s2069" editas="canvas" style="width:657pt;height:27pt;mso-position-horizontal-relative:char;mso-position-vertical-relative:line" coordorigin="2623,3145" coordsize="7200,295">
          <o:lock v:ext="edit" aspectratio="t"/>
          <v:shape id="_x0000_s2070" type="#_x0000_t75" style="position:absolute;left:2623;top:3145;width:7200;height:295" o:preferrelative="f">
            <v:fill o:detectmouseclick="t"/>
            <v:path o:extrusionok="t" o:connecttype="none"/>
            <o:lock v:ext="edit" text="t"/>
          </v:shape>
          <w10:anchorlock/>
        </v:group>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SingleTxtG"/>
    </w:pPr>
    <w:r>
      <w:rPr>
        <w:noProof/>
        <w:lang w:val="en-US"/>
      </w:rPr>
      <w:pict>
        <v:shapetype id="_x0000_t202" coordsize="21600,21600" o:spt="202" path="m,l,21600r21600,l21600,xe">
          <v:stroke joinstyle="miter"/>
          <v:path gradientshapeok="t" o:connecttype="rect"/>
        </v:shapetype>
        <v:shape id="_x0000_s2075" type="#_x0000_t202" style="position:absolute;left:0;text-align:left;margin-left:667.35pt;margin-top:-6.35pt;width:1in;height:506.1pt;z-index:251659776;mso-wrap-edited:f" wrapcoords="0 0 21600 0 21600 21600 0 21600 0 0" filled="f" stroked="f">
          <v:textbox style="layout-flow:vertical;mso-next-textbox:#_x0000_s2075" inset=".5mm,.3mm,.5mm,.3mm">
            <w:txbxContent>
              <w:p w:rsidR="00A905B7" w:rsidRPr="0017101E" w:rsidRDefault="00A905B7" w:rsidP="00AF2027">
                <w:pPr>
                  <w:pStyle w:val="Header"/>
                  <w:jc w:val="right"/>
                  <w:rPr>
                    <w:szCs w:val="16"/>
                  </w:rPr>
                </w:pPr>
                <w:r>
                  <w:t>E/ECE/324/Rev.1/Add.48/Rev.7</w:t>
                </w:r>
                <w:r>
                  <w:br/>
                  <w:t>E/ECE/TRANS/505/Rev.1/Add.48/Rev.7</w:t>
                </w:r>
                <w:r>
                  <w:br/>
                  <w:t>Annex 9B</w:t>
                </w:r>
                <w:r>
                  <w:rPr>
                    <w:szCs w:val="16"/>
                  </w:rPr>
                  <w:t xml:space="preserve"> – Appendix 4</w:t>
                </w:r>
              </w:p>
              <w:p w:rsidR="00A905B7" w:rsidRDefault="00A905B7"/>
              <w:p w:rsidR="00A905B7" w:rsidRDefault="00A905B7"/>
            </w:txbxContent>
          </v:textbox>
        </v:shape>
      </w:pict>
    </w:r>
    <w:r>
      <w:rPr>
        <w:noProof/>
        <w:lang w:val="en-US"/>
      </w:rPr>
      <w:pict>
        <v:shape id="_x0000_s2077" type="#_x0000_t202" style="position:absolute;left:0;text-align:left;margin-left:-7.65pt;margin-top:416.65pt;width:27pt;height:85.65pt;z-index:251661824" stroked="f">
          <v:textbox style="layout-flow:vertical;mso-next-textbox:#_x0000_s2077">
            <w:txbxContent>
              <w:p w:rsidR="00A905B7" w:rsidRDefault="00A905B7" w:rsidP="00AF2027">
                <w:pPr>
                  <w:jc w:val="right"/>
                </w:pP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519</w:t>
                </w:r>
                <w:r>
                  <w:rPr>
                    <w:rStyle w:val="PageNumber"/>
                  </w:rPr>
                  <w:fldChar w:fldCharType="end"/>
                </w:r>
              </w:p>
            </w:txbxContent>
          </v:textbox>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Header"/>
    </w:pPr>
    <w:r>
      <w:rPr>
        <w:noProof/>
        <w:sz w:val="20"/>
        <w:lang w:val="en-US"/>
      </w:rPr>
      <w:pict>
        <v:shapetype id="_x0000_t202" coordsize="21600,21600" o:spt="202" path="m,l,21600r21600,l21600,xe">
          <v:stroke joinstyle="miter"/>
          <v:path gradientshapeok="t" o:connecttype="rect"/>
        </v:shapetype>
        <v:shape id="_x0000_s2074" type="#_x0000_t202" style="position:absolute;margin-left:685.9pt;margin-top:-5.1pt;width:39.75pt;height:201pt;z-index:251658752;mso-wrap-edited:f" wrapcoords="0 0 21600 0 21600 21600 0 21600 0 0" filled="f" stroked="f">
          <v:textbox style="layout-flow:vertical;mso-next-textbox:#_x0000_s2074">
            <w:txbxContent>
              <w:p w:rsidR="00A905B7" w:rsidRDefault="00A905B7">
                <w:pPr>
                  <w:pStyle w:val="Header"/>
                </w:pPr>
                <w:r>
                  <w:t>ECE/TRANS/WP.29/2007/26</w:t>
                </w:r>
              </w:p>
              <w:p w:rsidR="00A905B7" w:rsidRDefault="00A905B7">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502</w:t>
                </w:r>
                <w:r>
                  <w:rPr>
                    <w:rStyle w:val="PageNumber"/>
                  </w:rPr>
                  <w:fldChar w:fldCharType="end"/>
                </w:r>
              </w:p>
            </w:txbxContent>
          </v:textbox>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t>Annex</w:t>
    </w:r>
    <w:r>
      <w:rPr>
        <w:lang w:val="en-US"/>
      </w:rPr>
      <w:t xml:space="preserve"> 9B - Appendix</w:t>
    </w:r>
    <w:r w:rsidRPr="003A56D6">
      <w:rPr>
        <w:lang w:val="en-US"/>
      </w:rPr>
      <w:t xml:space="preserve"> </w:t>
    </w:r>
    <w:r>
      <w:rPr>
        <w:lang w:val="en-US"/>
      </w:rPr>
      <w:t>5</w:t>
    </w:r>
  </w:p>
  <w:p w:rsidR="00A905B7" w:rsidRPr="00394A6C" w:rsidRDefault="00A905B7" w:rsidP="00394A6C"/>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AF2027">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t xml:space="preserve">Annexe 9B - Appendice </w:t>
    </w:r>
    <w:r>
      <w:rPr>
        <w:lang w:val="en-US"/>
      </w:rPr>
      <w:t>5</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8391A" w:rsidRDefault="00A905B7" w:rsidP="00AF2027">
    <w:pPr>
      <w:pStyle w:val="Header"/>
      <w:rPr>
        <w:lang w:val="en-US"/>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7C4B27" w:rsidRDefault="00A905B7" w:rsidP="00AF2027">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9B – Appendix 6</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Header"/>
      <w:rPr>
        <w:lang w:val="en-US"/>
      </w:rPr>
    </w:pPr>
    <w:r w:rsidRPr="003A56D6">
      <w:rPr>
        <w:lang w:val="en-US"/>
      </w:rPr>
      <w:t>E/ECE/324/Rev.1/Add.48/Rev.</w:t>
    </w:r>
    <w:r>
      <w:rPr>
        <w:lang w:val="en-US"/>
      </w:rPr>
      <w:t>7</w:t>
    </w:r>
    <w:r w:rsidRPr="003A56D6">
      <w:rPr>
        <w:lang w:val="en-US"/>
      </w:rPr>
      <w:br/>
      <w:t>E/ECE/TRANS/505/Rev.1/Ad</w:t>
    </w:r>
    <w:r>
      <w:rPr>
        <w:lang w:val="en-US"/>
      </w:rPr>
      <w:t>d.48/Rev.7</w:t>
    </w:r>
    <w:r>
      <w:rPr>
        <w:lang w:val="en-US"/>
      </w:rPr>
      <w:br/>
      <w:t>Annex 9B - Appendix</w:t>
    </w:r>
    <w:r w:rsidRPr="003A56D6">
      <w:rPr>
        <w:lang w:val="en-US"/>
      </w:rPr>
      <w:t xml:space="preserve"> </w:t>
    </w:r>
    <w:r>
      <w:rPr>
        <w:noProof/>
        <w:sz w:val="20"/>
        <w:lang w:val="en-US"/>
      </w:rPr>
      <w:pict>
        <v:shapetype id="_x0000_t202" coordsize="21600,21600" o:spt="202" path="m,l,21600r21600,l21600,xe">
          <v:stroke joinstyle="miter"/>
          <v:path gradientshapeok="t" o:connecttype="rect"/>
        </v:shapetype>
        <v:shape id="_x0000_s2078" type="#_x0000_t202" style="position:absolute;margin-left:685.9pt;margin-top:-5.1pt;width:39.75pt;height:201pt;z-index:251662848;mso-wrap-edited:f;mso-position-horizontal-relative:text;mso-position-vertical-relative:text" wrapcoords="0 0 21600 0 21600 21600 0 21600 0 0" filled="f" stroked="f">
          <v:textbox style="layout-flow:vertical">
            <w:txbxContent>
              <w:p w:rsidR="00A905B7" w:rsidRDefault="00A905B7">
                <w:pPr>
                  <w:pStyle w:val="Header"/>
                </w:pPr>
                <w:r>
                  <w:t>ECE/TRANS/WP.29/2007/26</w:t>
                </w:r>
              </w:p>
              <w:p w:rsidR="00A905B7" w:rsidRDefault="00A905B7">
                <w:r>
                  <w:t xml:space="preserve">Page </w:t>
                </w:r>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524</w:t>
                </w:r>
                <w:r>
                  <w:rPr>
                    <w:rStyle w:val="PageNumber"/>
                  </w:rPr>
                  <w:fldChar w:fldCharType="end"/>
                </w:r>
              </w:p>
            </w:txbxContent>
          </v:textbox>
        </v:shape>
      </w:pict>
    </w:r>
    <w:r>
      <w:rPr>
        <w:lang w:val="en-US"/>
      </w:rPr>
      <w:t>7</w:t>
    </w:r>
  </w:p>
  <w:p w:rsidR="00A905B7" w:rsidRPr="00394A6C" w:rsidRDefault="00A905B7" w:rsidP="00394A6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C4527E" w:rsidRDefault="00A905B7" w:rsidP="00C4527E">
    <w:pPr>
      <w:pStyle w:val="Header"/>
    </w:pPr>
    <w:r w:rsidRPr="002A4563">
      <w:t>E/ECE/324/Rev.1/Add.48/Rev.</w:t>
    </w:r>
    <w:r>
      <w:t>7</w:t>
    </w:r>
    <w:r w:rsidRPr="002A4563">
      <w:br/>
      <w:t>E/ECE/TRANS/505/Rev.1/Add.48/Rev.</w:t>
    </w:r>
    <w:r>
      <w:t>7</w:t>
    </w:r>
    <w:r>
      <w:br/>
      <w:t>Appendix 2</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t xml:space="preserve">Annex </w:t>
    </w:r>
    <w:r>
      <w:rPr>
        <w:lang w:val="en-US"/>
      </w:rPr>
      <w:t>9C</w:t>
    </w:r>
  </w:p>
  <w:p w:rsidR="00A905B7" w:rsidRPr="00394A6C" w:rsidRDefault="00A905B7" w:rsidP="00394A6C"/>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9C</w:t>
    </w:r>
  </w:p>
  <w:p w:rsidR="00A905B7" w:rsidRPr="00394A6C" w:rsidRDefault="00A905B7" w:rsidP="00394A6C"/>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jc w:val="right"/>
      <w:rPr>
        <w:lang w:val="en-US"/>
      </w:rPr>
    </w:pPr>
    <w:r w:rsidRPr="003A56D6">
      <w:rPr>
        <w:lang w:val="en-US"/>
      </w:rPr>
      <w:t>E/ECE/324/Rev.1/Add.48/Rev.</w:t>
    </w:r>
    <w:r>
      <w:rPr>
        <w:lang w:val="en-US"/>
      </w:rPr>
      <w:t>7</w:t>
    </w:r>
    <w:r w:rsidRPr="003A56D6">
      <w:rPr>
        <w:lang w:val="en-US"/>
      </w:rPr>
      <w:br/>
      <w:t>E/ECE/TRA</w:t>
    </w:r>
    <w:r>
      <w:rPr>
        <w:lang w:val="en-US"/>
      </w:rPr>
      <w:t>NS/505/Rev.1/Add.48/Rev.7</w:t>
    </w:r>
    <w:r>
      <w:rPr>
        <w:lang w:val="en-US"/>
      </w:rPr>
      <w:br/>
      <w:t>Annex</w:t>
    </w:r>
    <w:r w:rsidRPr="003A56D6">
      <w:rPr>
        <w:lang w:val="en-US"/>
      </w:rPr>
      <w:t xml:space="preserve"> </w:t>
    </w:r>
    <w:r>
      <w:rPr>
        <w:lang w:val="en-US"/>
      </w:rPr>
      <w:t>9C</w:t>
    </w:r>
  </w:p>
  <w:p w:rsidR="00A905B7" w:rsidRPr="00394A6C" w:rsidRDefault="00A905B7" w:rsidP="00394A6C"/>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AF2027">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9C - Appendix 1</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rPr>
        <w:lang w:val="en-US"/>
      </w:rPr>
    </w:pPr>
    <w:r w:rsidRPr="003A56D6">
      <w:rPr>
        <w:lang w:val="en-US"/>
      </w:rPr>
      <w:t>E/ECE/324/Rev.1/Add.48/Rev.</w:t>
    </w:r>
    <w:r>
      <w:rPr>
        <w:lang w:val="en-US"/>
      </w:rPr>
      <w:t>7</w:t>
    </w:r>
    <w:r w:rsidRPr="003A56D6">
      <w:rPr>
        <w:lang w:val="en-US"/>
      </w:rPr>
      <w:br/>
      <w:t>E/ECE/TRA</w:t>
    </w:r>
    <w:r>
      <w:rPr>
        <w:lang w:val="en-US"/>
      </w:rPr>
      <w:t>NS/505/Rev.1/Add.48/Rev.7</w:t>
    </w:r>
    <w:r>
      <w:rPr>
        <w:lang w:val="en-US"/>
      </w:rPr>
      <w:br/>
      <w:t>Annex</w:t>
    </w:r>
    <w:r w:rsidRPr="003A56D6">
      <w:rPr>
        <w:lang w:val="en-US"/>
      </w:rPr>
      <w:t xml:space="preserve"> </w:t>
    </w:r>
    <w:r>
      <w:rPr>
        <w:lang w:val="en-US"/>
      </w:rPr>
      <w:t>10</w:t>
    </w:r>
  </w:p>
  <w:p w:rsidR="00A905B7" w:rsidRPr="006304AC" w:rsidRDefault="00A905B7" w:rsidP="006304AC"/>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F2027">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10</w:t>
    </w:r>
  </w:p>
  <w:p w:rsidR="00A905B7" w:rsidRPr="006304AC" w:rsidRDefault="00A905B7" w:rsidP="006304AC"/>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AF2027">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10</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B4293A">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w:t>
    </w:r>
  </w:p>
  <w:p w:rsidR="00A905B7" w:rsidRPr="004175FF" w:rsidRDefault="00A905B7" w:rsidP="00B4293A"/>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9E6E1D">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w:t>
    </w:r>
  </w:p>
  <w:p w:rsidR="00A905B7" w:rsidRPr="00CC6583" w:rsidRDefault="00A905B7" w:rsidP="00B4293A"/>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393280">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80740F">
    <w:pPr>
      <w:pStyle w:val="Header"/>
      <w:jc w:val="right"/>
    </w:pPr>
    <w:r w:rsidRPr="002A4563">
      <w:t>E/ECE/324/Rev.1/Add.48/Rev.</w:t>
    </w:r>
    <w:r>
      <w:t>7</w:t>
    </w:r>
    <w:r w:rsidRPr="002A4563">
      <w:br/>
      <w:t>E/ECE/TRANS/505/Rev.1/Add.48/Rev.</w:t>
    </w:r>
    <w:r>
      <w:t>7</w:t>
    </w:r>
    <w:r>
      <w:br/>
      <w:t>Appendix 2</w:t>
    </w:r>
  </w:p>
  <w:p w:rsidR="00A905B7" w:rsidRPr="00EA0EB6" w:rsidRDefault="00A905B7" w:rsidP="00EA0EB6"/>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4293A">
    <w:pPr>
      <w:pStyle w:val="Header"/>
      <w:jc w:val="right"/>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w:t>
    </w:r>
    <w:r w:rsidRPr="00394A6C">
      <w:rPr>
        <w:b w:val="0"/>
        <w:sz w:val="20"/>
      </w:rPr>
      <w:t xml:space="preserve"> </w:t>
    </w:r>
    <w:r>
      <w:t>– Appendix 1</w:t>
    </w:r>
  </w:p>
  <w:p w:rsidR="00A905B7" w:rsidRPr="00CC6583" w:rsidRDefault="00A905B7" w:rsidP="00B4293A"/>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B4293A">
    <w:pPr>
      <w:pStyle w:val="Header"/>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 – Appendix 2</w:t>
    </w:r>
  </w:p>
  <w:p w:rsidR="00A905B7" w:rsidRPr="004175FF" w:rsidRDefault="00A905B7" w:rsidP="00B4293A"/>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14E9C" w:rsidRDefault="00A905B7" w:rsidP="00EE140A">
    <w:pPr>
      <w:pStyle w:val="Header"/>
      <w:jc w:val="right"/>
      <w:rPr>
        <w:lang w:val="en-US"/>
      </w:rPr>
    </w:pPr>
    <w:r w:rsidRPr="003A56D6">
      <w:rPr>
        <w:lang w:val="en-US"/>
      </w:rPr>
      <w:t>E/ECE/324/Rev.1/Add.48/Rev.</w:t>
    </w:r>
    <w:r>
      <w:rPr>
        <w:lang w:val="en-US"/>
      </w:rPr>
      <w:t>7</w:t>
    </w:r>
    <w:r w:rsidRPr="003A56D6">
      <w:rPr>
        <w:lang w:val="en-US"/>
      </w:rPr>
      <w:br/>
      <w:t>E/ECE/TRANS/505/Rev.1/Add.48/Rev.</w:t>
    </w:r>
    <w:r>
      <w:rPr>
        <w:lang w:val="en-US"/>
      </w:rPr>
      <w:t>7</w:t>
    </w:r>
    <w:r w:rsidRPr="003A56D6">
      <w:rPr>
        <w:lang w:val="en-US"/>
      </w:rPr>
      <w:br/>
    </w:r>
    <w:r>
      <w:rPr>
        <w:lang w:val="en-US"/>
      </w:rPr>
      <w:t>Annex 11 – Appendix 2</w:t>
    </w:r>
  </w:p>
  <w:p w:rsidR="00A905B7" w:rsidRPr="00CC6583" w:rsidRDefault="00A905B7" w:rsidP="00B4293A"/>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4293A">
    <w:pPr>
      <w:pStyle w:val="Header"/>
    </w:pPr>
    <w:r w:rsidRPr="00F96DBF">
      <w:t>E/ECE/324/Rev.1/Add.48/Rev.5/Amend.3</w:t>
    </w:r>
    <w:r>
      <w:br/>
    </w:r>
    <w:r w:rsidRPr="00F96DBF">
      <w:t>E/ECE/TRANS/505/Rev.1/Add.48/Rev.5/Amend.3</w:t>
    </w:r>
  </w:p>
  <w:p w:rsidR="00A905B7" w:rsidRPr="008645D6" w:rsidRDefault="00A905B7" w:rsidP="00B4293A"/>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57CF3" w:rsidRDefault="00A905B7" w:rsidP="00B4293A">
    <w:pPr>
      <w:pStyle w:val="Header"/>
      <w:pBdr>
        <w:bottom w:val="none" w:sz="0" w:space="0" w:color="auto"/>
      </w:pBdr>
      <w:jc w:val="right"/>
    </w:pPr>
    <w:r>
      <w:rPr>
        <w:noProof/>
      </w:rPr>
      <w:pict>
        <v:shapetype id="_x0000_t202" coordsize="21600,21600" o:spt="202" path="m,l,21600r21600,l21600,xe">
          <v:stroke joinstyle="miter"/>
          <v:path gradientshapeok="t" o:connecttype="rect"/>
        </v:shapetype>
        <v:shape id="Text Box 15" o:spid="_x0000_s2083" type="#_x0000_t202" style="position:absolute;left:0;text-align:left;margin-left:91.4pt;margin-top:56.6pt;width:17.55pt;height:484.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" stroked="f">
          <v:textbox style="layout-flow:vertical" inset="0,0,0,0">
            <w:txbxContent>
              <w:p w:rsidR="00A905B7" w:rsidRPr="00D45CC9" w:rsidRDefault="00A905B7" w:rsidP="00B4293A">
                <w:pPr>
                  <w:pStyle w:val="Footer"/>
                  <w:tabs>
                    <w:tab w:val="right" w:pos="9638"/>
                  </w:tabs>
                  <w:rPr>
                    <w:sz w:val="18"/>
                  </w:rPr>
                </w:pPr>
                <w:r w:rsidRPr="00D45CC9">
                  <w:rPr>
                    <w:b/>
                    <w:sz w:val="18"/>
                  </w:rPr>
                  <w:fldChar w:fldCharType="begin"/>
                </w:r>
                <w:r w:rsidRPr="00D45CC9">
                  <w:rPr>
                    <w:b/>
                    <w:sz w:val="18"/>
                  </w:rPr>
                  <w:instrText xml:space="preserve"> PAGE  \* MERGEFORMAT </w:instrText>
                </w:r>
                <w:r w:rsidRPr="00D45CC9">
                  <w:rPr>
                    <w:b/>
                    <w:sz w:val="18"/>
                  </w:rPr>
                  <w:fldChar w:fldCharType="separate"/>
                </w:r>
                <w:r w:rsidR="00462662">
                  <w:rPr>
                    <w:b/>
                    <w:noProof/>
                    <w:sz w:val="18"/>
                  </w:rPr>
                  <w:t>564</w:t>
                </w:r>
                <w:r w:rsidRPr="00D45CC9">
                  <w:rPr>
                    <w:b/>
                    <w:sz w:val="18"/>
                  </w:rPr>
                  <w:fldChar w:fldCharType="end"/>
                </w:r>
              </w:p>
              <w:p w:rsidR="00A905B7" w:rsidRPr="00D45CC9" w:rsidRDefault="00A905B7" w:rsidP="00B4293A">
                <w:pPr>
                  <w:pStyle w:val="Footer"/>
                  <w:tabs>
                    <w:tab w:val="right" w:pos="9638"/>
                  </w:tabs>
                  <w:rPr>
                    <w:sz w:val="18"/>
                  </w:rPr>
                </w:pPr>
                <w:r>
                  <w:rPr>
                    <w:sz w:val="18"/>
                  </w:rPr>
                  <w:tab/>
                </w:r>
              </w:p>
              <w:p w:rsidR="00A905B7" w:rsidRDefault="00A905B7" w:rsidP="00B4293A">
                <w:pPr>
                  <w:jc w:val="right"/>
                </w:pPr>
              </w:p>
            </w:txbxContent>
          </v:textbox>
          <w10:wrap anchorx="page" anchory="page"/>
          <w10:anchorlock/>
        </v:shape>
      </w:pict>
    </w:r>
    <w:r>
      <w:rPr>
        <w:noProof/>
      </w:rPr>
      <w:pict>
        <v:shape id="Text Box 8" o:spid="_x0000_s2082" type="#_x0000_t202" style="position:absolute;left:0;text-align:left;margin-left:743.8pt;margin-top:56.7pt;width:37.75pt;height:481.4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" stroked="f">
          <v:textbox style="layout-flow:vertical" inset="0,0,0,0">
            <w:txbxContent>
              <w:p w:rsidR="00A905B7" w:rsidRPr="00E671F4" w:rsidRDefault="00A905B7" w:rsidP="00E671F4">
                <w:pPr>
                  <w:pStyle w:val="Header"/>
                  <w:pBdr>
                    <w:bottom w:val="single" w:sz="4" w:space="1" w:color="auto"/>
                  </w:pBdr>
                  <w:rPr>
                    <w:szCs w:val="18"/>
                    <w:lang w:val="en-US"/>
                  </w:rPr>
                </w:pPr>
                <w:r w:rsidRPr="00E671F4">
                  <w:rPr>
                    <w:szCs w:val="18"/>
                    <w:lang w:val="en-US"/>
                  </w:rPr>
                  <w:t>E/ECE/324/Rev.1/Add.48/Rev.</w:t>
                </w:r>
                <w:r>
                  <w:rPr>
                    <w:szCs w:val="18"/>
                    <w:lang w:val="en-US"/>
                  </w:rPr>
                  <w:t>7</w:t>
                </w:r>
                <w:r w:rsidRPr="00E671F4">
                  <w:rPr>
                    <w:szCs w:val="18"/>
                    <w:lang w:val="en-US"/>
                  </w:rPr>
                  <w:br/>
                  <w:t>E/ECE/TRANS/505/Rev.1/Add.48/Rev.</w:t>
                </w:r>
                <w:r>
                  <w:rPr>
                    <w:szCs w:val="18"/>
                    <w:lang w:val="en-US"/>
                  </w:rPr>
                  <w:t>7</w:t>
                </w:r>
                <w:r w:rsidRPr="00E671F4">
                  <w:rPr>
                    <w:szCs w:val="18"/>
                    <w:lang w:val="en-US"/>
                  </w:rPr>
                  <w:br/>
                  <w:t>Annex 11</w:t>
                </w:r>
                <w:r>
                  <w:rPr>
                    <w:szCs w:val="18"/>
                    <w:lang w:val="en-US"/>
                  </w:rPr>
                  <w:t xml:space="preserve"> – Appendix 2</w:t>
                </w:r>
              </w:p>
              <w:p w:rsidR="00A905B7" w:rsidRDefault="00A905B7" w:rsidP="00B4293A">
                <w:pPr>
                  <w:jc w:val="right"/>
                </w:pPr>
              </w:p>
            </w:txbxContent>
          </v:textbox>
          <w10:wrap anchorx="page" anchory="page"/>
          <w10:anchorlock/>
        </v:shape>
      </w:pict>
    </w:r>
    <w:r>
      <w:rPr>
        <w:noProof/>
      </w:rPr>
      <w:pict>
        <v:shape id="Text Box 1405" o:spid="_x0000_s2079" type="#_x0000_t202" style="position:absolute;left:0;text-align:left;margin-left:759.6pt;margin-top:54pt;width:17.55pt;height:469.9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pafgIAAAw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" stroked="f">
          <v:textbox style="layout-flow:vertical" inset="0,0,0,0">
            <w:txbxContent>
              <w:p w:rsidR="00A905B7" w:rsidRDefault="00A905B7" w:rsidP="00B4293A">
                <w:pPr>
                  <w:pStyle w:val="Header"/>
                </w:pPr>
                <w:r w:rsidRPr="00C638E4">
                  <w:t>ECE/TRANS/WP.29/GRPE/2013/7</w:t>
                </w:r>
              </w:p>
              <w:p w:rsidR="00A905B7" w:rsidRDefault="00A905B7" w:rsidP="00B4293A"/>
            </w:txbxContent>
          </v:textbox>
          <w10:wrap anchorx="page" anchory="page"/>
          <w10:anchorlock/>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45CC9" w:rsidRDefault="00A905B7" w:rsidP="00B4293A">
    <w:pPr>
      <w:pStyle w:val="Header"/>
      <w:pBdr>
        <w:bottom w:val="none" w:sz="0" w:space="0" w:color="auto"/>
      </w:pBdr>
      <w:jc w:val="right"/>
    </w:pPr>
    <w:r>
      <w:rPr>
        <w:noProof/>
      </w:rPr>
      <w:pict>
        <v:shapetype id="_x0000_t202" coordsize="21600,21600" o:spt="202" path="m,l,21600r21600,l21600,xe">
          <v:stroke joinstyle="miter"/>
          <v:path gradientshapeok="t" o:connecttype="rect"/>
        </v:shapetype>
        <v:shape id="Text Box 20" o:spid="_x0000_s2084" type="#_x0000_t202" style="position:absolute;left:0;text-align:left;margin-left:89.45pt;margin-top:56pt;width:17.55pt;height:482.2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" stroked="f">
          <v:textbox style="layout-flow:vertical" inset="0,0,0,0">
            <w:txbxContent>
              <w:p w:rsidR="00A905B7" w:rsidRPr="00D45CC9" w:rsidRDefault="00A905B7" w:rsidP="00B4293A">
                <w:pPr>
                  <w:pStyle w:val="Footer"/>
                  <w:tabs>
                    <w:tab w:val="right" w:pos="9638"/>
                  </w:tabs>
                  <w:jc w:val="right"/>
                  <w:rPr>
                    <w:sz w:val="18"/>
                  </w:rPr>
                </w:pPr>
                <w:r w:rsidRPr="00D45CC9">
                  <w:rPr>
                    <w:b/>
                    <w:sz w:val="18"/>
                  </w:rPr>
                  <w:fldChar w:fldCharType="begin"/>
                </w:r>
                <w:r w:rsidRPr="00D45CC9">
                  <w:rPr>
                    <w:b/>
                    <w:sz w:val="18"/>
                  </w:rPr>
                  <w:instrText xml:space="preserve"> PAGE  \* MERGEFORMAT </w:instrText>
                </w:r>
                <w:r w:rsidRPr="00D45CC9">
                  <w:rPr>
                    <w:b/>
                    <w:sz w:val="18"/>
                  </w:rPr>
                  <w:fldChar w:fldCharType="separate"/>
                </w:r>
                <w:r w:rsidR="00462662">
                  <w:rPr>
                    <w:b/>
                    <w:noProof/>
                    <w:sz w:val="18"/>
                  </w:rPr>
                  <w:t>563</w:t>
                </w:r>
                <w:r w:rsidRPr="00D45CC9">
                  <w:rPr>
                    <w:b/>
                    <w:sz w:val="18"/>
                  </w:rPr>
                  <w:fldChar w:fldCharType="end"/>
                </w:r>
              </w:p>
              <w:p w:rsidR="00A905B7" w:rsidRPr="00D45CC9" w:rsidRDefault="00A905B7" w:rsidP="00B4293A">
                <w:pPr>
                  <w:pStyle w:val="Footer"/>
                  <w:tabs>
                    <w:tab w:val="right" w:pos="9638"/>
                  </w:tabs>
                  <w:rPr>
                    <w:sz w:val="18"/>
                  </w:rPr>
                </w:pPr>
                <w:r>
                  <w:rPr>
                    <w:sz w:val="18"/>
                  </w:rPr>
                  <w:tab/>
                </w:r>
              </w:p>
              <w:p w:rsidR="00A905B7" w:rsidRDefault="00A905B7" w:rsidP="00B4293A">
                <w:pPr>
                  <w:jc w:val="right"/>
                </w:pPr>
              </w:p>
            </w:txbxContent>
          </v:textbox>
          <w10:wrap anchorx="page" anchory="page"/>
          <w10:anchorlock/>
        </v:shape>
      </w:pict>
    </w:r>
    <w:r>
      <w:rPr>
        <w:noProof/>
      </w:rPr>
      <w:pict>
        <v:shape id="Text Box 1403" o:spid="_x0000_s2080" type="#_x0000_t202" style="position:absolute;left:0;text-align:left;margin-left:739.7pt;margin-top:57.35pt;width:48.15pt;height:480.7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" stroked="f">
          <v:textbox style="layout-flow:vertical" inset="0,0,0,0">
            <w:txbxContent>
              <w:p w:rsidR="00A905B7" w:rsidRPr="00E671F4" w:rsidRDefault="00A905B7" w:rsidP="00F9186C">
                <w:pPr>
                  <w:pStyle w:val="Header"/>
                  <w:pBdr>
                    <w:bottom w:val="single" w:sz="4" w:space="1" w:color="auto"/>
                  </w:pBdr>
                  <w:jc w:val="right"/>
                  <w:rPr>
                    <w:szCs w:val="18"/>
                    <w:lang w:val="en-US"/>
                  </w:rPr>
                </w:pPr>
                <w:r w:rsidRPr="00E671F4">
                  <w:rPr>
                    <w:szCs w:val="18"/>
                    <w:lang w:val="en-US"/>
                  </w:rPr>
                  <w:t>E/ECE/324/Rev.1/Add.48/Rev.</w:t>
                </w:r>
                <w:r>
                  <w:rPr>
                    <w:szCs w:val="18"/>
                    <w:lang w:val="en-US"/>
                  </w:rPr>
                  <w:t>7</w:t>
                </w:r>
                <w:r w:rsidRPr="00E671F4">
                  <w:rPr>
                    <w:szCs w:val="18"/>
                    <w:lang w:val="en-US"/>
                  </w:rPr>
                  <w:br/>
                  <w:t>E/ECE/TRANS/505/Rev.1/Add.48/Rev.</w:t>
                </w:r>
                <w:r>
                  <w:rPr>
                    <w:szCs w:val="18"/>
                    <w:lang w:val="en-US"/>
                  </w:rPr>
                  <w:t>7</w:t>
                </w:r>
                <w:r w:rsidRPr="00E671F4">
                  <w:rPr>
                    <w:szCs w:val="18"/>
                    <w:lang w:val="en-US"/>
                  </w:rPr>
                  <w:br/>
                  <w:t>Annex 11</w:t>
                </w:r>
                <w:r>
                  <w:rPr>
                    <w:szCs w:val="18"/>
                    <w:lang w:val="en-US"/>
                  </w:rPr>
                  <w:t xml:space="preserve"> – Appendix 2</w:t>
                </w:r>
              </w:p>
              <w:p w:rsidR="00A905B7" w:rsidRPr="00E671F4" w:rsidRDefault="00A905B7" w:rsidP="00EE140A">
                <w:pPr>
                  <w:rPr>
                    <w:b/>
                    <w:sz w:val="18"/>
                    <w:szCs w:val="18"/>
                    <w:lang w:val="en-US"/>
                  </w:rPr>
                </w:pPr>
              </w:p>
              <w:p w:rsidR="00A905B7" w:rsidRPr="000F3708" w:rsidRDefault="00A905B7" w:rsidP="00B4293A">
                <w:pPr>
                  <w:jc w:val="right"/>
                  <w:rPr>
                    <w:b/>
                    <w:sz w:val="18"/>
                    <w:szCs w:val="18"/>
                  </w:rPr>
                </w:pPr>
                <w:r w:rsidRPr="000F3708">
                  <w:rPr>
                    <w:b/>
                    <w:sz w:val="18"/>
                    <w:szCs w:val="18"/>
                  </w:rPr>
                  <w:br/>
                </w:r>
              </w:p>
            </w:txbxContent>
          </v:textbox>
          <w10:wrap anchorx="page" anchory="page"/>
          <w10:anchorlock/>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rPr>
        <w:lang w:val="en-US"/>
      </w:rPr>
    </w:pPr>
    <w:r w:rsidRPr="00F9186C">
      <w:rPr>
        <w:lang w:val="en-US"/>
      </w:rPr>
      <w:t>E/ECE/324/Rev.1/Add.48/Rev.7</w:t>
    </w:r>
    <w:r w:rsidRPr="00F9186C">
      <w:rPr>
        <w:lang w:val="en-US"/>
      </w:rPr>
      <w:br/>
      <w:t>E/ECE/TRANS/505/Rev.1/Add.48/Rev.7</w:t>
    </w:r>
    <w:r w:rsidRPr="00F9186C">
      <w:rPr>
        <w:lang w:val="en-US"/>
      </w:rPr>
      <w:br/>
      <w:t>Annex 11 – Appendix 2</w:t>
    </w:r>
  </w:p>
  <w:p w:rsidR="00A905B7" w:rsidRPr="00DC236C" w:rsidRDefault="00A905B7" w:rsidP="00B4293A"/>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2</w:t>
    </w:r>
  </w:p>
  <w:p w:rsidR="00A905B7" w:rsidRDefault="00A905B7" w:rsidP="00B4293A">
    <w:pPr>
      <w:pStyle w:val="Header"/>
      <w:jc w:val="right"/>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0A090D">
    <w:pPr>
      <w:pStyle w:val="Header"/>
      <w:jc w:val="right"/>
      <w:rPr>
        <w:lang w:val="en-US"/>
      </w:rPr>
    </w:pPr>
    <w:r w:rsidRPr="00F9186C">
      <w:rPr>
        <w:lang w:val="en-US"/>
      </w:rPr>
      <w:t>E/ECE/324/Rev.1/Add.48/Rev.7</w:t>
    </w:r>
    <w:r w:rsidRPr="00F9186C">
      <w:rPr>
        <w:lang w:val="en-US"/>
      </w:rPr>
      <w:br/>
      <w:t>E/ECE/TRANS/505/Rev.1/Add.48/Rev.7</w:t>
    </w:r>
    <w:r w:rsidRPr="00F9186C">
      <w:rPr>
        <w:lang w:val="en-US"/>
      </w:rPr>
      <w:br/>
      <w:t>Annex 11 – Appendix 2</w:t>
    </w:r>
  </w:p>
  <w:p w:rsidR="00A905B7" w:rsidRPr="008645D6" w:rsidRDefault="00A905B7" w:rsidP="00B4293A"/>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3</w:t>
    </w:r>
  </w:p>
  <w:p w:rsidR="00A905B7" w:rsidRPr="00DC236C" w:rsidRDefault="00A905B7" w:rsidP="00B4293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637DCD" w:rsidRDefault="00A905B7" w:rsidP="00637DCD">
    <w:pPr>
      <w:pStyle w:val="Header"/>
    </w:pPr>
    <w:r w:rsidRPr="002A4563">
      <w:t>E/ECE/324/Rev.1/Add.48/Rev.</w:t>
    </w:r>
    <w:r>
      <w:t>7</w:t>
    </w:r>
    <w:r w:rsidRPr="002A4563">
      <w:br/>
      <w:t>E/ECE/TRANS/505/Rev.1/Add.48/Rev.</w:t>
    </w:r>
    <w:r>
      <w:t>7</w:t>
    </w:r>
    <w:r>
      <w:br/>
      <w:t>Appendix 3</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3</w:t>
    </w:r>
  </w:p>
  <w:p w:rsidR="00A905B7" w:rsidRPr="00283F72" w:rsidRDefault="00A905B7" w:rsidP="00283F72"/>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0A090D">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3</w:t>
    </w:r>
  </w:p>
  <w:p w:rsidR="00A905B7" w:rsidRPr="008645D6" w:rsidRDefault="00A905B7" w:rsidP="00B4293A"/>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4</w:t>
    </w:r>
  </w:p>
  <w:p w:rsidR="00A905B7" w:rsidRPr="00DC236C" w:rsidRDefault="00A905B7" w:rsidP="00B4293A"/>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4370B">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4</w:t>
    </w:r>
  </w:p>
  <w:p w:rsidR="00A905B7" w:rsidRPr="0074370B" w:rsidRDefault="00A905B7" w:rsidP="0074370B"/>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0A090D">
    <w:pPr>
      <w:pStyle w:val="Header"/>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4</w:t>
    </w:r>
  </w:p>
  <w:p w:rsidR="00A905B7" w:rsidRPr="008645D6" w:rsidRDefault="00A905B7" w:rsidP="00B4293A"/>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F9186C">
    <w:pPr>
      <w:pStyle w:val="Header"/>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5</w:t>
    </w:r>
  </w:p>
  <w:p w:rsidR="00A905B7" w:rsidRPr="00DC236C" w:rsidRDefault="00A905B7" w:rsidP="00B4293A"/>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4370B">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5</w:t>
    </w:r>
  </w:p>
  <w:p w:rsidR="00A905B7" w:rsidRPr="0074370B" w:rsidRDefault="00A905B7" w:rsidP="0074370B"/>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9186C" w:rsidRDefault="00A905B7" w:rsidP="009E6E1D">
    <w:pPr>
      <w:pStyle w:val="Header"/>
      <w:jc w:val="right"/>
      <w:rPr>
        <w:lang w:val="en-US"/>
      </w:rPr>
    </w:pPr>
    <w:r w:rsidRPr="00F9186C">
      <w:rPr>
        <w:lang w:val="en-US"/>
      </w:rPr>
      <w:t>E/ECE/324/Rev.1/Add.48/Rev.7</w:t>
    </w:r>
    <w:r w:rsidRPr="00F9186C">
      <w:rPr>
        <w:lang w:val="en-US"/>
      </w:rPr>
      <w:br/>
      <w:t>E/ECE/TRANS/505/Rev.1/Add.48/Rev.7</w:t>
    </w:r>
    <w:r w:rsidRPr="00F9186C">
      <w:rPr>
        <w:lang w:val="en-US"/>
      </w:rPr>
      <w:br/>
      <w:t xml:space="preserve">Annex 11 – Appendix </w:t>
    </w:r>
    <w:r>
      <w:rPr>
        <w:lang w:val="en-US"/>
      </w:rPr>
      <w:t>5</w:t>
    </w:r>
  </w:p>
  <w:p w:rsidR="00A905B7" w:rsidRPr="008645D6" w:rsidRDefault="00A905B7" w:rsidP="00B4293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637DCD" w:rsidRDefault="00A905B7" w:rsidP="00637DCD">
    <w:pPr>
      <w:pStyle w:val="Header"/>
      <w:jc w:val="right"/>
    </w:pPr>
    <w:r w:rsidRPr="002A4563">
      <w:t>E/ECE/324/Rev.1/Add.48/Rev.</w:t>
    </w:r>
    <w:r>
      <w:t>7</w:t>
    </w:r>
    <w:r w:rsidRPr="002A4563">
      <w:br/>
      <w:t>E/ECE/TRANS/505/Rev.1/Add.48/Rev.</w:t>
    </w:r>
    <w:r>
      <w:t>7</w:t>
    </w:r>
    <w:r>
      <w:br/>
      <w:t>Appendix 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A0E48">
    <w:pPr>
      <w:pStyle w:val="Header"/>
    </w:pPr>
    <w:r w:rsidRPr="002A4563">
      <w:t>E/ECE/324/Rev.1/Add.48/Rev.</w:t>
    </w:r>
    <w:r>
      <w:t>7</w:t>
    </w:r>
    <w:r w:rsidRPr="002A4563">
      <w:br/>
      <w:t>E/ECE/TRANS/505/Rev.1/Add.48/Rev.</w:t>
    </w:r>
    <w:r>
      <w:t>7</w:t>
    </w:r>
    <w:r>
      <w:br/>
      <w:t>Appendix 4</w:t>
    </w:r>
  </w:p>
  <w:p w:rsidR="00A905B7" w:rsidRPr="00EA0EB6" w:rsidRDefault="00A905B7" w:rsidP="00EA0EB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EB7842">
    <w:pPr>
      <w:pStyle w:val="Header"/>
    </w:pPr>
    <w:r w:rsidRPr="002A4563">
      <w:t>E/ECE/324/Rev.1/Add.48/Rev.</w:t>
    </w:r>
    <w:r>
      <w:t>7</w:t>
    </w:r>
    <w:r w:rsidRPr="002A4563">
      <w:br/>
      <w:t>E/ECE/TRANS/505/Rev.1/Add.48/Rev.</w:t>
    </w:r>
    <w:r>
      <w:t>7</w:t>
    </w:r>
    <w:r>
      <w:br/>
      <w:t>Appendix 4</w:t>
    </w:r>
  </w:p>
  <w:p w:rsidR="00A905B7" w:rsidRPr="00EA0EB6" w:rsidRDefault="00A905B7" w:rsidP="00EA0EB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4E1B22">
    <w:pPr>
      <w:pStyle w:val="Header"/>
    </w:pPr>
    <w:r w:rsidRPr="002A4563">
      <w:t>E/ECE/324/Rev.1/Add.48/Rev.</w:t>
    </w:r>
    <w:r>
      <w:t>7</w:t>
    </w:r>
    <w:r w:rsidRPr="002A4563">
      <w:br/>
      <w:t>E/ECE/TRANS/505/Rev.1/Add.48/Rev.</w:t>
    </w:r>
    <w:r>
      <w:t>7</w:t>
    </w:r>
    <w:r>
      <w:br/>
      <w:t>Annex 1</w:t>
    </w:r>
  </w:p>
  <w:p w:rsidR="00A905B7" w:rsidRPr="00EA0EB6" w:rsidRDefault="00A905B7" w:rsidP="00EA0E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80740F" w:rsidRDefault="00A905B7" w:rsidP="0080740F">
    <w:pPr>
      <w:pStyle w:val="Header"/>
      <w:pBdr>
        <w:bottom w:val="single" w:sz="4" w:space="14"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022DE" w:rsidRDefault="00A905B7" w:rsidP="00AA0E48">
    <w:pPr>
      <w:pStyle w:val="Header"/>
      <w:jc w:val="right"/>
    </w:pPr>
    <w:r w:rsidRPr="002A4563">
      <w:t>E/ECE/324/Rev.1/Add.48/Rev.5</w:t>
    </w:r>
    <w:r w:rsidRPr="002A4563">
      <w:br/>
      <w:t>E/ECE/TRANS/505/Rev.1/Add.48/Rev.5</w:t>
    </w:r>
    <w:r>
      <w:br/>
      <w:t>Annex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196776" w:rsidRDefault="00A905B7" w:rsidP="00196776">
    <w:pPr>
      <w:pStyle w:val="Header"/>
    </w:pPr>
    <w:r w:rsidRPr="002A4563">
      <w:t>E/ECE/324/Rev.1/Add.48/Rev.</w:t>
    </w:r>
    <w:r>
      <w:t>7</w:t>
    </w:r>
    <w:r w:rsidRPr="002A4563">
      <w:br/>
      <w:t>E/ECE/TRANS/505/Rev.1/Add.48/Rev.</w:t>
    </w:r>
    <w:r>
      <w:t>7</w:t>
    </w:r>
    <w:r>
      <w:br/>
      <w:t>Annex 1 - Appendix 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E1B22" w:rsidRDefault="00A905B7" w:rsidP="004E1B22">
    <w:pPr>
      <w:pStyle w:val="Header"/>
      <w:jc w:val="right"/>
    </w:pPr>
    <w:r w:rsidRPr="002A4563">
      <w:t>E/ECE/324/Rev.1/Add.48/Rev.</w:t>
    </w:r>
    <w:r>
      <w:t>7</w:t>
    </w:r>
    <w:r w:rsidRPr="002A4563">
      <w:br/>
      <w:t>E/ECE/TRANS/505/Rev.1/Add.48/Rev.</w:t>
    </w:r>
    <w:r>
      <w:t>7</w:t>
    </w:r>
    <w:r>
      <w:br/>
      <w:t>Annex 1 - Appendix 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B6E97" w:rsidRDefault="00A905B7" w:rsidP="004B6E97">
    <w:pPr>
      <w:pStyle w:val="Header"/>
    </w:pPr>
    <w:r w:rsidRPr="002A4563">
      <w:t>E/ECE/324/Rev.1/Add.48/Rev.</w:t>
    </w:r>
    <w:r>
      <w:t>7</w:t>
    </w:r>
    <w:r w:rsidRPr="002A4563">
      <w:br/>
      <w:t>E/ECE/TRANS/505/Rev.1/Add.48/Rev.</w:t>
    </w:r>
    <w:r>
      <w:t>7</w:t>
    </w:r>
    <w:r>
      <w:br/>
      <w:t>Annex 1 - Appendix 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C70824" w:rsidRDefault="00A905B7" w:rsidP="00C70824">
    <w:pPr>
      <w:pStyle w:val="Header"/>
      <w:jc w:val="right"/>
    </w:pPr>
    <w:r w:rsidRPr="002A4563">
      <w:t>E/ECE/324/Rev.1/Add.48/Rev.</w:t>
    </w:r>
    <w:r>
      <w:t>7</w:t>
    </w:r>
    <w:r w:rsidRPr="002A4563">
      <w:br/>
      <w:t>E/ECE/TRANS/505/Rev.1/Add.48/Rev.</w:t>
    </w:r>
    <w:r>
      <w:t>7</w:t>
    </w:r>
    <w:r>
      <w:br/>
      <w:t>Annex 1 - Appendix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73202" w:rsidRDefault="00A905B7" w:rsidP="00B73202">
    <w:pPr>
      <w:pStyle w:val="Header"/>
    </w:pPr>
    <w:r w:rsidRPr="002A4563">
      <w:t>E/ECE/324/Rev.1/Add.48/Rev.</w:t>
    </w:r>
    <w:r>
      <w:t>7</w:t>
    </w:r>
    <w:r w:rsidRPr="002A4563">
      <w:br/>
      <w:t>E/ECE/TRANS/505/Rev.1/Add.48/Rev.</w:t>
    </w:r>
    <w:r>
      <w:t>7</w:t>
    </w:r>
    <w:r>
      <w:br/>
      <w:t>Annex 1 - Appendix 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73202" w:rsidRDefault="00A905B7" w:rsidP="00B73202">
    <w:pPr>
      <w:pStyle w:val="Header"/>
      <w:jc w:val="right"/>
    </w:pPr>
    <w:r w:rsidRPr="002A4563">
      <w:t>E/ECE/324/Rev.1/Add.48/Rev.</w:t>
    </w:r>
    <w:r>
      <w:t>7</w:t>
    </w:r>
    <w:r w:rsidRPr="002A4563">
      <w:br/>
      <w:t>E/ECE/TRANS/505/Rev.1/Add.48/Rev.</w:t>
    </w:r>
    <w:r>
      <w:t>7</w:t>
    </w:r>
    <w:r>
      <w:br/>
      <w:t>Annex 1 - Appendix 3</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233F2" w:rsidRDefault="00A905B7" w:rsidP="009233F2">
    <w:pPr>
      <w:pStyle w:val="Header"/>
    </w:pPr>
    <w:r w:rsidRPr="002A4563">
      <w:t>E/ECE/324/Rev.1/Add.48/Rev.</w:t>
    </w:r>
    <w:r>
      <w:t>7</w:t>
    </w:r>
    <w:r w:rsidRPr="002A4563">
      <w:br/>
      <w:t>E/ECE/TRANS/505/Rev.1/Add.48/Rev.</w:t>
    </w:r>
    <w:r>
      <w:t>7</w:t>
    </w:r>
    <w:r>
      <w:br/>
      <w:t>Annex 1 - Appendix 4</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73202" w:rsidRDefault="00A905B7" w:rsidP="007C3750">
    <w:pPr>
      <w:pStyle w:val="Header"/>
      <w:jc w:val="right"/>
    </w:pPr>
    <w:r w:rsidRPr="002A4563">
      <w:t>E/ECE/324/Rev.1/Add.48/Rev.5</w:t>
    </w:r>
    <w:r w:rsidRPr="002A4563">
      <w:br/>
      <w:t>E/ECE/TRANS/505/Rev.1/Add.48/Rev.5</w:t>
    </w:r>
    <w:r>
      <w:br/>
      <w:t>Annex 1 - Appendix 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66675C" w:rsidRDefault="00A905B7" w:rsidP="0066675C">
    <w:pPr>
      <w:pStyle w:val="Header"/>
    </w:pPr>
    <w:r w:rsidRPr="002A4563">
      <w:t>E/ECE/324/Rev.1/Add.48/Rev.</w:t>
    </w:r>
    <w:r>
      <w:t>7</w:t>
    </w:r>
    <w:r w:rsidRPr="002A4563">
      <w:br/>
      <w:t>E/ECE/TRANS/505/Rev.1/Add.48/Rev.</w:t>
    </w:r>
    <w:r>
      <w:t>7</w:t>
    </w:r>
    <w:r>
      <w:br/>
      <w:t>Annex 1 - Appendix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2A4563" w:rsidRDefault="00A905B7" w:rsidP="005727F2">
    <w:pPr>
      <w:pStyle w:val="Header"/>
    </w:pPr>
    <w:r w:rsidRPr="002A4563">
      <w:t>E/ECE/324/Rev.1/Add.48/Rev.</w:t>
    </w:r>
    <w:r>
      <w:t>7</w:t>
    </w:r>
    <w:r w:rsidRPr="002A4563">
      <w:br/>
      <w:t>E/ECE/TRANS/505/Rev.1/Add.48/Rev.</w:t>
    </w:r>
    <w:r>
      <w:t>7</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5751F0" w:rsidRDefault="00A905B7" w:rsidP="005751F0">
    <w:pPr>
      <w:pStyle w:val="Header"/>
      <w:jc w:val="right"/>
    </w:pPr>
    <w:r w:rsidRPr="002A4563">
      <w:t>E/ECE/324/Rev.1/Add.48/Rev.</w:t>
    </w:r>
    <w:r>
      <w:t>7</w:t>
    </w:r>
    <w:r w:rsidRPr="002A4563">
      <w:br/>
      <w:t>E/ECE/TRANS/505/Rev.1/Add.48/Rev.</w:t>
    </w:r>
    <w:r>
      <w:t>7</w:t>
    </w:r>
    <w:r>
      <w:br/>
      <w:t>Annex 1 - Appendix 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4D5FD0" w:rsidRDefault="00A905B7" w:rsidP="004D5FD0">
    <w:pPr>
      <w:pStyle w:val="Header"/>
    </w:pPr>
    <w:r w:rsidRPr="002A4563">
      <w:t>E/ECE/324/Rev.1/Add.48/Rev.</w:t>
    </w:r>
    <w:r>
      <w:t>7</w:t>
    </w:r>
    <w:r w:rsidRPr="002A4563">
      <w:br/>
      <w:t>E/ECE/TRANS/505/Rev.1/Add.48/Rev.</w:t>
    </w:r>
    <w:r>
      <w:t>7</w:t>
    </w:r>
    <w:r>
      <w:br/>
      <w:t>Annex 2A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C36F7A" w:rsidRDefault="00A905B7" w:rsidP="00C36F7A">
    <w:pPr>
      <w:pStyle w:val="Header"/>
      <w:jc w:val="right"/>
    </w:pPr>
    <w:r w:rsidRPr="002A4563">
      <w:t>E/ECE/324/Rev.1/Add.48/Rev.</w:t>
    </w:r>
    <w:r>
      <w:t>7</w:t>
    </w:r>
    <w:r w:rsidRPr="002A4563">
      <w:br/>
      <w:t>E/ECE/TRANS/505/Rev.1/Add.48/Rev.</w:t>
    </w:r>
    <w:r>
      <w:t>7</w:t>
    </w:r>
    <w:r>
      <w:br/>
      <w:t>Annex 2A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813E76" w:rsidRDefault="00A905B7" w:rsidP="00813E76">
    <w:pPr>
      <w:pStyle w:val="Header"/>
    </w:pPr>
    <w:r w:rsidRPr="002A4563">
      <w:t>E/ECE/324/Rev.1/Add.48/Rev.</w:t>
    </w:r>
    <w:r>
      <w:t>7</w:t>
    </w:r>
    <w:r w:rsidRPr="002A4563">
      <w:br/>
      <w:t>E/ECE/TRANS/505/Rev.1/Add.48/Rev.</w:t>
    </w:r>
    <w:r>
      <w:t>7</w:t>
    </w:r>
    <w:r>
      <w:br/>
      <w:t>Annex 2A - Appendix</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7C3750" w:rsidRDefault="00A905B7" w:rsidP="007C3750">
    <w:pPr>
      <w:pStyle w:val="Header"/>
      <w:jc w:val="right"/>
    </w:pPr>
    <w:r w:rsidRPr="002A4563">
      <w:t>E/ECE/324/Rev.1/Add.48/Rev.5</w:t>
    </w:r>
    <w:r w:rsidRPr="002A4563">
      <w:br/>
      <w:t>E/ECE/TRANS/505/Rev.1/Add.48/Rev.5</w:t>
    </w:r>
    <w:r>
      <w:br/>
      <w:t>Annex 2A - Appendix</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813E76" w:rsidRDefault="00A905B7" w:rsidP="00813E76">
    <w:pPr>
      <w:pStyle w:val="Header"/>
    </w:pPr>
    <w:r w:rsidRPr="002A4563">
      <w:t>E/ECE/324/Rev.1/Add.48/Rev.</w:t>
    </w:r>
    <w:r>
      <w:t>7</w:t>
    </w:r>
    <w:r w:rsidRPr="002A4563">
      <w:br/>
      <w:t>E/ECE/TRANS/505/Rev.1/Add.48/Rev.</w:t>
    </w:r>
    <w:r>
      <w:t>7</w:t>
    </w:r>
    <w:r>
      <w:br/>
      <w:t>Annex 2B</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735711" w:rsidRDefault="00A905B7" w:rsidP="00735711">
    <w:pPr>
      <w:pStyle w:val="Header"/>
      <w:jc w:val="right"/>
    </w:pPr>
    <w:r w:rsidRPr="002A4563">
      <w:t>E/ECE/324/Rev.1/Add.48/Rev.</w:t>
    </w:r>
    <w:r>
      <w:t>7</w:t>
    </w:r>
    <w:r w:rsidRPr="002A4563">
      <w:br/>
      <w:t>E/ECE/TRANS/505/Rev.1/Add.48/Rev.</w:t>
    </w:r>
    <w:r>
      <w:t>7</w:t>
    </w:r>
    <w:r>
      <w:br/>
      <w:t>Annex 2B</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813E76">
    <w:pPr>
      <w:pStyle w:val="Header"/>
    </w:pPr>
    <w:r w:rsidRPr="002A4563">
      <w:t>E/ECE/324/Rev.1/Add.48/Rev.</w:t>
    </w:r>
    <w:r>
      <w:t>7</w:t>
    </w:r>
    <w:r w:rsidRPr="002A4563">
      <w:br/>
      <w:t>E/ECE/TRANS/505/Rev.1/Add.48/Rev.</w:t>
    </w:r>
    <w:r>
      <w:t>7</w:t>
    </w:r>
    <w:r>
      <w:br/>
      <w:t>Annex 3</w:t>
    </w:r>
  </w:p>
  <w:p w:rsidR="00A905B7" w:rsidRPr="00AA0E48" w:rsidRDefault="00A905B7" w:rsidP="00AA0E4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35711">
    <w:pPr>
      <w:pStyle w:val="Header"/>
      <w:jc w:val="right"/>
    </w:pPr>
    <w:r w:rsidRPr="002A4563">
      <w:t>E/ECE/324/Rev.1/Add.48/Rev.</w:t>
    </w:r>
    <w:r>
      <w:t>7</w:t>
    </w:r>
    <w:r w:rsidRPr="002A4563">
      <w:br/>
      <w:t>E/ECE/TRANS/505/Rev.1/Add.48/Rev.</w:t>
    </w:r>
    <w:r>
      <w:t>7</w:t>
    </w:r>
    <w:r>
      <w:br/>
      <w:t>Annex 3</w:t>
    </w:r>
  </w:p>
  <w:p w:rsidR="00A905B7" w:rsidRPr="00AA0E48" w:rsidRDefault="00A905B7" w:rsidP="00AA0E4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F478C">
    <w:pPr>
      <w:pStyle w:val="Header"/>
    </w:pPr>
    <w:r w:rsidRPr="002A4563">
      <w:t>E/ECE/324/Rev.1/Add.48/Rev.</w:t>
    </w:r>
    <w:r>
      <w:t>7</w:t>
    </w:r>
    <w:r w:rsidRPr="002A4563">
      <w:br/>
      <w:t>E/ECE/TRANS/505/Rev.1/Add.48/Rev.</w:t>
    </w:r>
    <w:r>
      <w:t>7</w:t>
    </w:r>
    <w:r>
      <w:br/>
      <w:t>Annex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2A4563" w:rsidRDefault="00A905B7" w:rsidP="002A4563">
    <w:pPr>
      <w:pStyle w:val="Header"/>
      <w:jc w:val="right"/>
    </w:pPr>
    <w:r w:rsidRPr="002A4563">
      <w:t>E/ECE/324/Rev.1/Add.48/Rev.</w:t>
    </w:r>
    <w:r>
      <w:t>7</w:t>
    </w:r>
    <w:r w:rsidRPr="002A4563">
      <w:br/>
      <w:t>E/ECE/TRANS/505/Rev.1/Add.48/Rev.</w:t>
    </w:r>
    <w:r>
      <w:t>7</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A59A4">
    <w:pPr>
      <w:pStyle w:val="Header"/>
    </w:pPr>
    <w:r>
      <w:t>E/ECE/324/Rev.1/Add.48/Rev.7</w:t>
    </w:r>
    <w:r>
      <w:br/>
      <w:t>E/ECE/TRANS/505/Rev.1/Add.48/Rev.7</w:t>
    </w:r>
    <w:r>
      <w:br/>
      <w:t>Annex 4A</w:t>
    </w:r>
  </w:p>
  <w:p w:rsidR="00A905B7" w:rsidRPr="00AA0E48" w:rsidRDefault="00A905B7" w:rsidP="00AA0E48"/>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A59A4">
    <w:pPr>
      <w:pStyle w:val="Header"/>
      <w:jc w:val="right"/>
    </w:pPr>
    <w:r>
      <w:t>E/ECE/324/Rev.1/Add.48/Rev.7</w:t>
    </w:r>
    <w:r>
      <w:br/>
      <w:t>E/ECE/TRANS/505/Rev.1/Add.48/Rev.7</w:t>
    </w:r>
    <w:r>
      <w:br/>
      <w:t>Annex 4A</w:t>
    </w:r>
  </w:p>
  <w:p w:rsidR="00A905B7" w:rsidRPr="00AA0E48" w:rsidRDefault="00A905B7" w:rsidP="00AA0E48"/>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F478C">
    <w:pPr>
      <w:pStyle w:val="Header"/>
      <w:jc w:val="right"/>
    </w:pPr>
    <w:r w:rsidRPr="002A4563">
      <w:t>E/ECE/324/Rev.1/Add.48/Rev.</w:t>
    </w:r>
    <w:r>
      <w:t>7</w:t>
    </w:r>
    <w:r w:rsidRPr="002A4563">
      <w:br/>
      <w:t>E/ECE/TRANS/505/Rev.1/Add.48/Rev.</w:t>
    </w:r>
    <w:r>
      <w:t>7</w:t>
    </w:r>
    <w:r>
      <w:br/>
      <w:t>Annex 4A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925FA" w:rsidRDefault="00A905B7" w:rsidP="00DA59A4">
    <w:pPr>
      <w:pStyle w:val="Header"/>
    </w:pPr>
    <w:r>
      <w:t>E/ECE/324/Rev.1/Add.48/Rev.7</w:t>
    </w:r>
    <w:r>
      <w:br/>
      <w:t>E/ECE/TRANS/505/Rev.1/Add.48/Rev.7</w:t>
    </w:r>
    <w:r>
      <w:br/>
      <w:t>Annex 4A - Appendix 1</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925FA" w:rsidRDefault="00A905B7" w:rsidP="00DA59A4">
    <w:pPr>
      <w:pStyle w:val="Header"/>
      <w:jc w:val="right"/>
    </w:pPr>
    <w:r>
      <w:t>E/ECE/324/Rev.1/Add.48/Rev.7</w:t>
    </w:r>
    <w:r>
      <w:br/>
      <w:t>E/ECE/TRANS/505/Rev.1/Add.48/Rev.7</w:t>
    </w:r>
    <w:r>
      <w:br/>
      <w:t>Annex 4A - Appendix 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5330D" w:rsidRDefault="00A905B7" w:rsidP="00DA59A4">
    <w:pPr>
      <w:pStyle w:val="Header"/>
    </w:pPr>
    <w:r>
      <w:t>E/ECE/324/Rev.1/Add.48/Rev.7</w:t>
    </w:r>
    <w:r>
      <w:br/>
      <w:t>E/ECE/TRANS/505/Rev.1/Add.48/Rev.7</w:t>
    </w:r>
    <w:r>
      <w:br/>
      <w:t>Annex 4A - Appendix 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925FA" w:rsidRDefault="00A905B7" w:rsidP="00DA59A4">
    <w:pPr>
      <w:pStyle w:val="Header"/>
      <w:jc w:val="right"/>
    </w:pPr>
    <w:r>
      <w:t>E/ECE/324/Rev.1/Add.48/Rev.7</w:t>
    </w:r>
    <w:r>
      <w:br/>
      <w:t>E/ECE/TRANS/505/Rev.1/Add.48/Rev.7</w:t>
    </w:r>
    <w:r>
      <w:br/>
      <w:t>Annex 4A - Appendix 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B5330D" w:rsidRDefault="00A905B7" w:rsidP="00DA59A4">
    <w:pPr>
      <w:pStyle w:val="Header"/>
    </w:pPr>
    <w:r>
      <w:t>E/ECE/324/Rev.1/Add.48/Rev.7</w:t>
    </w:r>
    <w:r>
      <w:br/>
      <w:t>E/ECE/TRANS/505/Rev.1/Add.48/Rev.7</w:t>
    </w:r>
    <w:r>
      <w:br/>
      <w:t>Annex 4A - Appendix 3</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925FA" w:rsidRDefault="00A905B7" w:rsidP="00DA59A4">
    <w:pPr>
      <w:pStyle w:val="Header"/>
      <w:jc w:val="right"/>
    </w:pPr>
    <w:r>
      <w:t>E/ECE/324/Rev.1/Add.48/Rev.7</w:t>
    </w:r>
    <w:r>
      <w:br/>
      <w:t>E/ECE/TRANS/505/Rev.1/Add.48/Rev.7</w:t>
    </w:r>
    <w:r>
      <w:br/>
      <w:t>Annex 4A - Appendix 3</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7B37C8" w:rsidRDefault="00A905B7" w:rsidP="00D75405">
    <w:pPr>
      <w:pStyle w:val="Header"/>
    </w:pPr>
    <w:r>
      <w:t>E/ECE/324/Rev.1/Add.48/Rev.7</w:t>
    </w:r>
    <w:r>
      <w:br/>
      <w:t>E/ECE/TRANS/505/Rev.1/Add.48/Rev.7</w:t>
    </w:r>
    <w:r>
      <w:br/>
      <w:t>Annex 4A - Appendix 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D7CF7" w:rsidRDefault="00A905B7" w:rsidP="009D7CF7">
    <w:pPr>
      <w:pStyle w:val="Header"/>
    </w:pPr>
    <w:r w:rsidRPr="002A4563">
      <w:t>E/ECE/324/Rev.1/Add.48/Rev.</w:t>
    </w:r>
    <w:r>
      <w:t>7</w:t>
    </w:r>
    <w:r w:rsidRPr="002A4563">
      <w:br/>
      <w:t>E/ECE/TRANS/505/Rev.1/Add.48/Rev.</w:t>
    </w:r>
    <w:r>
      <w:t>7</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D26828" w:rsidRDefault="00A905B7" w:rsidP="00D75405">
    <w:pPr>
      <w:pStyle w:val="Header"/>
      <w:jc w:val="right"/>
    </w:pPr>
    <w:r>
      <w:t>E/ECE/324/Rev.1/Add.48/Rev.7</w:t>
    </w:r>
    <w:r>
      <w:br/>
      <w:t>E/ECE/TRANS/505/Rev.1/Add.48/Rev.7</w:t>
    </w:r>
    <w:r>
      <w:br/>
      <w:t>Annex 4A - Appendix 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jc w:val="right"/>
    </w:pPr>
    <w:r>
      <w:t>E/ECE/324/Rev.1/Add.48/Rev.5</w:t>
    </w:r>
    <w:r>
      <w:br/>
      <w:t>E/ECE/TRANS/505/Rev.1/Add.48/Rev.5</w:t>
    </w:r>
    <w:r>
      <w:br/>
      <w:t>Annex 4A - Appendix 5</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pPr>
    <w:r>
      <w:t>E/ECE/324/Rev.1/Add.48/Rev.7</w:t>
    </w:r>
    <w:r>
      <w:br/>
      <w:t>E/ECE/TRANS/505/Rev.1/Add.48/Rev.7</w:t>
    </w:r>
    <w:r>
      <w:br/>
      <w:t>Annex 4A - Appendix 5</w:t>
    </w:r>
  </w:p>
  <w:p w:rsidR="00A905B7" w:rsidRDefault="00A905B7" w:rsidP="00D75405">
    <w:pPr>
      <w:pStyle w:val="Header"/>
    </w:pPr>
  </w:p>
  <w:p w:rsidR="00A905B7" w:rsidRPr="005501C4" w:rsidRDefault="00A905B7" w:rsidP="00D75405">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jc w:val="right"/>
    </w:pPr>
    <w:r>
      <w:t>E/ECE/324/Rev.1/Add.48/Rev.7</w:t>
    </w:r>
    <w:r>
      <w:br/>
      <w:t>E/ECE/TRANS/505/Rev.1/Add.48/Rev.7</w:t>
    </w:r>
    <w:r>
      <w:br/>
      <w:t>Annex 4A - Appendix 5</w:t>
    </w:r>
  </w:p>
  <w:p w:rsidR="00A905B7" w:rsidRPr="00C04835" w:rsidRDefault="00A905B7" w:rsidP="00C04835"/>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jc w:val="right"/>
    </w:pPr>
    <w:r>
      <w:t>E/ECE/324/Rev.1/Add.48/Rev.5</w:t>
    </w:r>
    <w:r>
      <w:br/>
      <w:t>E/ECE/TRANS/505/Rev.1/Add.48/Rev.5</w:t>
    </w:r>
    <w:r>
      <w:br/>
      <w:t>Annex 4A - Appendix 5</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pPr>
    <w:r>
      <w:t>E/ECE/324/Rev.1/Add.48/Rev.7</w:t>
    </w:r>
    <w:r>
      <w:br/>
      <w:t>E/ECE/TRANS/505/Rev.1/Add.48/Rev.7</w:t>
    </w:r>
    <w:r>
      <w:br/>
      <w:t>Annex 4A - Appendix 5</w:t>
    </w:r>
  </w:p>
  <w:p w:rsidR="00A905B7" w:rsidRPr="00C04835" w:rsidRDefault="00A905B7" w:rsidP="00C04835"/>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5501C4" w:rsidRDefault="00A905B7" w:rsidP="00D75405">
    <w:pPr>
      <w:pStyle w:val="Header"/>
    </w:pPr>
    <w:r>
      <w:t>E/ECE/324/Rev.1/Add.48/Rev.7</w:t>
    </w:r>
    <w:r>
      <w:br/>
      <w:t>E/ECE/TRANS/505/Rev.1/Add.48/Rev.7</w:t>
    </w:r>
    <w:r>
      <w:br/>
      <w:t>Annex 4A - Appendix 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5501C4" w:rsidRDefault="00A905B7" w:rsidP="00D75405">
    <w:pPr>
      <w:pStyle w:val="Header"/>
      <w:jc w:val="right"/>
    </w:pPr>
    <w:r>
      <w:t>E/ECE/324/Rev.1/Add.48/Rev.7</w:t>
    </w:r>
    <w:r>
      <w:br/>
      <w:t>E/ECE/TRANS/505/Rev.1/Add.48/Rev.7</w:t>
    </w:r>
    <w:r>
      <w:br/>
      <w:t>Annex 4A - Appendix 6</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jc w:val="right"/>
    </w:pPr>
    <w:r>
      <w:t>E/ECE/324/Rev.1/Add.48/Rev.7</w:t>
    </w:r>
    <w:r>
      <w:br/>
      <w:t>E/ECE/TRANS/505/Rev.1/Add.48/Rev.7</w:t>
    </w:r>
    <w:r>
      <w:br/>
      <w:t>Annex 4A - Appendix 6</w:t>
    </w:r>
  </w:p>
  <w:p w:rsidR="00A905B7" w:rsidRPr="00593305" w:rsidRDefault="00A905B7" w:rsidP="00593305"/>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5501C4" w:rsidRDefault="00A905B7" w:rsidP="00D75405">
    <w:pPr>
      <w:pStyle w:val="Header"/>
    </w:pPr>
    <w:r>
      <w:t>E/ECE/324/Rev.1/Add.48/Rev.7</w:t>
    </w:r>
    <w:r>
      <w:br/>
      <w:t>E/ECE/TRANS/505/Rev.1/Add.48/Rev.7</w:t>
    </w:r>
    <w:r>
      <w:br/>
      <w:t>Annex 4A - Appendix 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9D7CF7" w:rsidRDefault="00A905B7" w:rsidP="009D7CF7">
    <w:pPr>
      <w:pStyle w:val="Header"/>
      <w:jc w:val="right"/>
    </w:pPr>
    <w:r w:rsidRPr="002A4563">
      <w:t>E/ECE/324/Rev.1/Add.48/Rev.</w:t>
    </w:r>
    <w:r>
      <w:t>7</w:t>
    </w:r>
    <w:r w:rsidRPr="002A4563">
      <w:br/>
      <w:t>E/ECE/TRANS/505/Rev.1/Add.48/Rev.</w:t>
    </w:r>
    <w:r>
      <w:t>7</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5501C4" w:rsidRDefault="00A905B7" w:rsidP="00D75405">
    <w:pPr>
      <w:pStyle w:val="Header"/>
      <w:jc w:val="right"/>
    </w:pPr>
    <w:r>
      <w:t>E/ECE/324/Rev.1/Add.48/Rev.7</w:t>
    </w:r>
    <w:r>
      <w:br/>
      <w:t>E/ECE/TRANS/505/Rev.1/Add.48/Rev.7</w:t>
    </w:r>
    <w:r>
      <w:br/>
      <w:t>Annex 4A - Appendix 7</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D75405">
    <w:pPr>
      <w:pStyle w:val="Header"/>
    </w:pPr>
    <w:r>
      <w:t>E/ECE/324/Rev.1/Add.48/Rev.7</w:t>
    </w:r>
    <w:r>
      <w:br/>
      <w:t>E/ECE/TRANS/505/Rev.1/Add.48/Rev.7</w:t>
    </w:r>
    <w:r>
      <w:br/>
      <w:t>Annex 4A - Appendix 7</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Header"/>
    </w:pPr>
    <w:r>
      <w:t>E/ECE/324/Rev.1/Add.48/Rev.7</w:t>
    </w:r>
    <w:r>
      <w:br/>
      <w:t>E/ECE/TRANS/505/Rev.1/Add.48/Rev.7</w:t>
    </w:r>
    <w:r>
      <w:br/>
      <w:t>Annex 4B</w:t>
    </w:r>
    <w:r>
      <w:rPr>
        <w:rStyle w:val="PageNumber"/>
        <w:b/>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Header"/>
      <w:jc w:val="right"/>
    </w:pPr>
    <w:r>
      <w:t>E/ECE/324/Rev.1/Add.48/Rev.7</w:t>
    </w:r>
    <w:r>
      <w:br/>
      <w:t>E/ECE/TRANS/505/Rev.1/Add.48/Rev.7</w:t>
    </w:r>
    <w:r>
      <w:br/>
      <w:t>Annex 4B</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B5947">
    <w:pPr>
      <w:pStyle w:val="Header"/>
      <w:jc w:val="right"/>
    </w:pPr>
    <w:r>
      <w:t>E/ECE/324/Rev.1/Add.48/Rev.7</w:t>
    </w:r>
    <w:r>
      <w:br/>
      <w:t>E/ECE/TRANS/505/Rev.1/Add.48/Rev.7</w:t>
    </w:r>
    <w:r>
      <w:br/>
      <w:t>Annex 4B</w:t>
    </w:r>
    <w:r>
      <w:rPr>
        <w:rStyle w:val="PageNumber"/>
        <w:b/>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Header"/>
    </w:pPr>
    <w:r>
      <w:t>E/ECE/324/Rev.1/Add.48/Rev.7</w:t>
    </w:r>
    <w:r>
      <w:br/>
      <w:t>E/ECE/TRANS/505/Rev.1/Add.48/Rev.7</w:t>
    </w:r>
    <w:r>
      <w:br/>
      <w:t>Annex 4B</w:t>
    </w:r>
    <w:r>
      <w:rPr>
        <w:rStyle w:val="PageNumber"/>
        <w:b/>
      </w:rPr>
      <w:t xml:space="preserve"> – Appendix 1</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Header"/>
      <w:jc w:val="right"/>
    </w:pPr>
    <w:r>
      <w:t>E/ECE/324/Rev.1/Add.48/Rev.7</w:t>
    </w:r>
    <w:r>
      <w:br/>
      <w:t>E/ECE/TRANS/505/Rev.1/Add.48/Rev.7</w:t>
    </w:r>
    <w:r>
      <w:br/>
      <w:t xml:space="preserve">Annex 4B </w:t>
    </w:r>
    <w:r>
      <w:rPr>
        <w:rStyle w:val="PageNumber"/>
        <w:b/>
      </w:rPr>
      <w:t xml:space="preserve">– Appendix 1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25E60" w:rsidRDefault="00A905B7" w:rsidP="00002BA6">
    <w:pPr>
      <w:pStyle w:val="Header"/>
    </w:pPr>
    <w:r>
      <w:t>E/ECE/324/Rev.1/Add.48/Rev.5</w:t>
    </w:r>
    <w:r>
      <w:br/>
      <w:t>E/ECE/TRANS/505/Rev.1/Add.48/Rev.5</w:t>
    </w:r>
    <w:r>
      <w:br/>
      <w:t xml:space="preserve">Annex 4B </w:t>
    </w:r>
    <w:r>
      <w:rPr>
        <w:rStyle w:val="PageNumber"/>
        <w:b/>
      </w:rPr>
      <w:t>– Appendix 2</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A426A0" w:rsidRDefault="00A905B7" w:rsidP="00002BA6">
    <w:pPr>
      <w:pStyle w:val="Header"/>
      <w:jc w:val="right"/>
    </w:pPr>
    <w:r>
      <w:t>E/ECE/324/Rev.1/Add.48/Rev.7</w:t>
    </w:r>
    <w:r>
      <w:br/>
      <w:t>E/ECE/TRANS/505/Rev.1/Add.48/Rev.7</w:t>
    </w:r>
    <w:r>
      <w:br/>
      <w:t>Annex 4B</w:t>
    </w:r>
    <w:r>
      <w:rPr>
        <w:rStyle w:val="PageNumber"/>
        <w:b/>
      </w:rPr>
      <w:t xml:space="preserve"> – Appendix 2</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pPr>
    <w:r>
      <w:t>E/ECE/324/Rev.1/Add.48/Rev.7</w:t>
    </w:r>
    <w:r>
      <w:br/>
      <w:t>E/ECE/TRANS/505/Rev.1/Add.48/Rev.7</w:t>
    </w:r>
    <w:r>
      <w:br/>
      <w:t>Annex 4B</w:t>
    </w:r>
    <w:r>
      <w:rPr>
        <w:rStyle w:val="PageNumber"/>
        <w:b/>
      </w:rPr>
      <w:t xml:space="preserve"> – Appendix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7C7D7E">
    <w:r>
      <w:rPr>
        <w:noProof/>
        <w:lang w:val="en-US"/>
      </w:rPr>
      <w:pict>
        <v:shapetype id="_x0000_t202" coordsize="21600,21600" o:spt="202" path="m,l,21600r21600,l21600,xe">
          <v:stroke joinstyle="miter"/>
          <v:path gradientshapeok="t" o:connecttype="rect"/>
        </v:shapetype>
        <v:shape id="_x0000_s2064" type="#_x0000_t202" style="position:absolute;margin-left:-16pt;margin-top:-4.35pt;width:32pt;height:27pt;z-index:251653632" stroked="f">
          <v:textbox style="layout-flow:vertical">
            <w:txbxContent>
              <w:p w:rsidR="00A905B7" w:rsidRDefault="00A905B7" w:rsidP="007C7D7E">
                <w:r>
                  <w:rPr>
                    <w:rStyle w:val="PageNumber"/>
                  </w:rPr>
                  <w:fldChar w:fldCharType="begin"/>
                </w:r>
                <w:r>
                  <w:rPr>
                    <w:rStyle w:val="PageNumber"/>
                  </w:rPr>
                  <w:instrText xml:space="preserve"> PAGE </w:instrText>
                </w:r>
                <w:r>
                  <w:rPr>
                    <w:rStyle w:val="PageNumber"/>
                  </w:rPr>
                  <w:fldChar w:fldCharType="separate"/>
                </w:r>
                <w:r w:rsidR="00462662">
                  <w:rPr>
                    <w:rStyle w:val="PageNumber"/>
                    <w:noProof/>
                  </w:rPr>
                  <w:t>26</w:t>
                </w:r>
                <w:r>
                  <w:rPr>
                    <w:rStyle w:val="PageNumber"/>
                  </w:rPr>
                  <w:fldChar w:fldCharType="end"/>
                </w:r>
              </w:p>
            </w:txbxContent>
          </v:textbox>
        </v:shape>
      </w:pict>
    </w:r>
    <w:r>
      <w:rPr>
        <w:noProof/>
        <w:lang w:val="en-US"/>
      </w:rPr>
      <w:pict>
        <v:shape id="_x0000_s2051" type="#_x0000_t202" style="position:absolute;margin-left:685pt;margin-top:-2.5pt;width:45pt;height:468pt;z-index:251646464;mso-wrap-edited:f" wrapcoords="0 0 21600 0 21600 21600 0 21600 0 0" filled="f" stroked="f">
          <v:textbox style="layout-flow:vertical;mso-next-textbox:#_x0000_s2051" inset="1mm,1mm,1mm,1mm">
            <w:txbxContent>
              <w:p w:rsidR="00A905B7" w:rsidRPr="009D7CF7" w:rsidRDefault="00A905B7" w:rsidP="007C7D7E">
                <w:pPr>
                  <w:pStyle w:val="Header"/>
                </w:pPr>
                <w:r w:rsidRPr="002A4563">
                  <w:t>E/ECE/324/Rev.1/Add.48/Rev.</w:t>
                </w:r>
                <w:r>
                  <w:t>7</w:t>
                </w:r>
                <w:r w:rsidRPr="002A4563">
                  <w:br/>
                  <w:t>E/ECE/TRANS</w:t>
                </w:r>
                <w:r>
                  <w:rPr>
                    <w:rStyle w:val="PageNumber"/>
                    <w:b/>
                  </w:rPr>
                  <w:fldChar w:fldCharType="begin"/>
                </w:r>
                <w:r>
                  <w:rPr>
                    <w:rStyle w:val="PageNumber"/>
                    <w:b/>
                  </w:rPr>
                  <w:instrText xml:space="preserve"> PAGE </w:instrText>
                </w:r>
                <w:r>
                  <w:rPr>
                    <w:rStyle w:val="PageNumber"/>
                    <w:b/>
                  </w:rPr>
                  <w:fldChar w:fldCharType="separate"/>
                </w:r>
                <w:r w:rsidR="00462662">
                  <w:rPr>
                    <w:rStyle w:val="PageNumber"/>
                    <w:b/>
                    <w:noProof/>
                  </w:rPr>
                  <w:t>26</w:t>
                </w:r>
                <w:r>
                  <w:rPr>
                    <w:rStyle w:val="PageNumber"/>
                    <w:b/>
                  </w:rPr>
                  <w:fldChar w:fldCharType="end"/>
                </w:r>
                <w:r w:rsidRPr="002A4563">
                  <w:t>/505/Rev.1/Add.48/Rev.</w:t>
                </w:r>
                <w:r>
                  <w:t>7</w:t>
                </w:r>
              </w:p>
              <w:p w:rsidR="00A905B7" w:rsidRPr="00A40979" w:rsidRDefault="00A905B7" w:rsidP="00A40979">
                <w:pPr>
                  <w:jc w:val="right"/>
                  <w:rPr>
                    <w:szCs w:val="22"/>
                  </w:rPr>
                </w:pPr>
              </w:p>
            </w:txbxContent>
          </v:textbox>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4B</w:t>
    </w:r>
    <w:r>
      <w:rPr>
        <w:rStyle w:val="PageNumber"/>
        <w:b/>
      </w:rPr>
      <w:t xml:space="preserve"> – Appendix 3</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pPr>
    <w:r>
      <w:t>E/ECE/324/Rev.1/Add.48/Rev.7</w:t>
    </w:r>
    <w:r>
      <w:br/>
      <w:t>E/ECE/TRANS/505/Rev.1/Add.48/Rev.7</w:t>
    </w:r>
    <w:r>
      <w:br/>
      <w:t>Annex 4B</w:t>
    </w:r>
    <w:r>
      <w:rPr>
        <w:rStyle w:val="PageNumber"/>
        <w:b/>
      </w:rPr>
      <w:t xml:space="preserve"> – Appendix 4</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4B</w:t>
    </w:r>
    <w:r>
      <w:rPr>
        <w:rStyle w:val="PageNumber"/>
        <w:b/>
      </w:rPr>
      <w:t xml:space="preserve"> – Appendix 4</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pPr>
    <w:r>
      <w:t>E/ECE/324/Rev.1/Add.48/Rev.5</w:t>
    </w:r>
    <w:r>
      <w:br/>
      <w:t>E/ECE/TRANS/505/Rev.1/Add.48/Rev.5</w:t>
    </w:r>
    <w:r>
      <w:br/>
      <w:t>Annex 4B</w:t>
    </w:r>
    <w:r>
      <w:rPr>
        <w:rStyle w:val="PageNumber"/>
        <w:b/>
      </w:rPr>
      <w:t xml:space="preserve"> – Appendix 5</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E/ECE/TRANS/505/Rev.1/Add.48/Rev.5</w:t>
    </w:r>
    <w:r>
      <w:br/>
      <w:t>Annex 4B</w:t>
    </w:r>
    <w:r>
      <w:rPr>
        <w:rStyle w:val="PageNumber"/>
        <w:b/>
      </w:rPr>
      <w:t xml:space="preserve"> – Appendix 5</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Header"/>
    </w:pPr>
    <w:r>
      <w:t>E/ECE/324/Rev.1/Add.48/Rev.5</w:t>
    </w:r>
    <w:r>
      <w:br/>
      <w:t>E/ECE/TRANS/505/Rev.1/Add.48/Rev.5</w:t>
    </w:r>
    <w:r>
      <w:br/>
      <w:t>Annex 4B</w:t>
    </w:r>
    <w:r>
      <w:rPr>
        <w:rStyle w:val="PageNumber"/>
        <w:b/>
      </w:rPr>
      <w:t xml:space="preserve"> – Appendix 7</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pPr>
    <w:r>
      <w:t>E/ECE/324/Rev.1/Add.48/Rev.7</w:t>
    </w:r>
    <w:r>
      <w:br/>
      <w:t>E/ECE/TRANS/505/Rev.1/Add.48/Rev.7</w:t>
    </w:r>
    <w:r>
      <w:br/>
      <w:t>Annex 4B</w:t>
    </w:r>
    <w:r>
      <w:rPr>
        <w:rStyle w:val="PageNumber"/>
        <w:b/>
      </w:rPr>
      <w:t xml:space="preserve"> – Appendix 5</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4B</w:t>
    </w:r>
    <w:r>
      <w:rPr>
        <w:rStyle w:val="PageNumber"/>
        <w:b/>
      </w:rPr>
      <w:t xml:space="preserve"> – Appendix 5</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Header"/>
    </w:pPr>
    <w:r>
      <w:t>E/ECE/324/Rev.1/Add.48/Rev.7</w:t>
    </w:r>
    <w:r>
      <w:br/>
      <w:t>E/ECE/TRANS/505/Rev.1/Add.48/Rev.7</w:t>
    </w:r>
    <w:r>
      <w:br/>
      <w:t>Annex 4B</w:t>
    </w:r>
    <w:r>
      <w:rPr>
        <w:rStyle w:val="PageNumber"/>
        <w:b/>
      </w:rPr>
      <w:t xml:space="preserve"> – Appendix 5</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rPr>
        <w:rStyle w:val="PageNumber"/>
        <w:b/>
      </w:rPr>
    </w:pPr>
    <w:r>
      <w:t>E/ECE/324/Rev.1/Add.48/Rev.7</w:t>
    </w:r>
    <w:r>
      <w:br/>
      <w:t>E/ECE/TRANS/505/Rev.1/Add.48/Rev.7</w:t>
    </w:r>
    <w:r>
      <w:br/>
      <w:t>Annex 4B</w:t>
    </w:r>
    <w:r>
      <w:rPr>
        <w:rStyle w:val="PageNumber"/>
        <w:b/>
      </w:rPr>
      <w:t xml:space="preserve"> – Appendix 6</w:t>
    </w:r>
  </w:p>
  <w:p w:rsidR="00A905B7" w:rsidRPr="0088419A" w:rsidRDefault="00A905B7" w:rsidP="0088419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A40979">
    <w:r>
      <w:rPr>
        <w:noProof/>
        <w:lang w:val="en-US"/>
      </w:rPr>
      <w:pict>
        <v:shapetype id="_x0000_t202" coordsize="21600,21600" o:spt="202" path="m,l,21600r21600,l21600,xe">
          <v:stroke joinstyle="miter"/>
          <v:path gradientshapeok="t" o:connecttype="rect"/>
        </v:shapetype>
        <v:shape id="_x0000_s2052" type="#_x0000_t202" style="position:absolute;margin-left:715pt;margin-top:4.95pt;width:27.3pt;height:463.6pt;z-index:251647488;mso-wrap-edited:f" wrapcoords="0 0 21600 0 21600 21600 0 21600 0 0" filled="f" stroked="f">
          <v:textbox style="layout-flow:vertical;mso-next-textbox:#_x0000_s2052" inset="0,0,0,0">
            <w:txbxContent>
              <w:p w:rsidR="00A905B7" w:rsidRPr="009D7CF7" w:rsidRDefault="00A905B7" w:rsidP="007C7D7E">
                <w:pPr>
                  <w:pStyle w:val="Header"/>
                  <w:jc w:val="right"/>
                </w:pPr>
                <w:r w:rsidRPr="002A4563">
                  <w:t>E/ECE/324/Rev.1/Add.48/Rev.</w:t>
                </w:r>
                <w:r>
                  <w:t>7</w:t>
                </w:r>
                <w:r w:rsidRPr="002A4563">
                  <w:br/>
                  <w:t>E/ECE/TRANS</w:t>
                </w:r>
                <w:r>
                  <w:rPr>
                    <w:rStyle w:val="PageNumber"/>
                    <w:b/>
                  </w:rPr>
                  <w:fldChar w:fldCharType="begin"/>
                </w:r>
                <w:r>
                  <w:rPr>
                    <w:rStyle w:val="PageNumber"/>
                    <w:b/>
                  </w:rPr>
                  <w:instrText xml:space="preserve"> PAGE </w:instrText>
                </w:r>
                <w:r>
                  <w:rPr>
                    <w:rStyle w:val="PageNumber"/>
                    <w:b/>
                  </w:rPr>
                  <w:fldChar w:fldCharType="separate"/>
                </w:r>
                <w:r w:rsidR="00462662">
                  <w:rPr>
                    <w:rStyle w:val="PageNumber"/>
                    <w:b/>
                    <w:noProof/>
                  </w:rPr>
                  <w:t>27</w:t>
                </w:r>
                <w:r>
                  <w:rPr>
                    <w:rStyle w:val="PageNumber"/>
                    <w:b/>
                  </w:rPr>
                  <w:fldChar w:fldCharType="end"/>
                </w:r>
                <w:r w:rsidRPr="002A4563">
                  <w:t>/505/Rev.1/Add.48/Rev.</w:t>
                </w:r>
                <w:r>
                  <w:t>7</w:t>
                </w:r>
              </w:p>
            </w:txbxContent>
          </v:textbox>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jc w:val="right"/>
      <w:rPr>
        <w:rStyle w:val="PageNumber"/>
        <w:b/>
      </w:rPr>
    </w:pPr>
    <w:r>
      <w:t>E/ECE/324/Rev.1/Add.48/Rev.7</w:t>
    </w:r>
    <w:r>
      <w:br/>
      <w:t>E/ECE/TRANS/505/Rev.1/Add.48/Rev.7</w:t>
    </w:r>
    <w:r>
      <w:br/>
      <w:t>Annex 4B</w:t>
    </w:r>
    <w:r>
      <w:rPr>
        <w:rStyle w:val="PageNumber"/>
        <w:b/>
      </w:rPr>
      <w:t xml:space="preserve"> – Appendix 6</w:t>
    </w:r>
  </w:p>
  <w:p w:rsidR="00A905B7" w:rsidRPr="0088419A" w:rsidRDefault="00A905B7" w:rsidP="0088419A"/>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pPr>
      <w:pStyle w:val="Header"/>
      <w:rPr>
        <w:rStyle w:val="PageNumber"/>
        <w:b/>
      </w:rPr>
    </w:pPr>
    <w:r>
      <w:t>E/ECE/324/Rev.1/Add.48/Rev.7</w:t>
    </w:r>
    <w:r>
      <w:br/>
      <w:t>E/ECE/TRANS/505/Rev.1/Add.48/Rev.7</w:t>
    </w:r>
    <w:r>
      <w:br/>
      <w:t>Annex 4B</w:t>
    </w:r>
    <w:r>
      <w:rPr>
        <w:rStyle w:val="PageNumber"/>
        <w:b/>
      </w:rPr>
      <w:t xml:space="preserve"> – Appendix 6</w:t>
    </w:r>
  </w:p>
  <w:p w:rsidR="00A905B7" w:rsidRPr="0088419A" w:rsidRDefault="00A905B7" w:rsidP="0088419A"/>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pPr>
    <w:r>
      <w:t>E/ECE/324/Rev.1/Add.48/Rev.5</w:t>
    </w:r>
    <w:r>
      <w:br/>
      <w:t>E/ECE/TRANS/505/Rev.1/Add.48/Rev.5</w:t>
    </w:r>
    <w:r>
      <w:br/>
      <w:t>Annex 4C</w:t>
    </w:r>
  </w:p>
  <w:p w:rsidR="00A905B7" w:rsidRPr="00665E2D" w:rsidRDefault="00A905B7" w:rsidP="00665E2D"/>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4C</w:t>
    </w:r>
    <w:r>
      <w:rPr>
        <w:rStyle w:val="PageNumber"/>
        <w:b/>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393280">
    <w:pPr>
      <w:pStyle w:val="Header"/>
      <w:rPr>
        <w:rStyle w:val="PageNumber"/>
        <w:b/>
      </w:rPr>
    </w:pPr>
    <w:r>
      <w:t>E/ECE/324/Rev.1/Add.48/Rev.7</w:t>
    </w:r>
    <w:r>
      <w:br/>
      <w:t>E/ECE/TRANS/505/Rev.1/Add.48/Rev.7</w:t>
    </w:r>
    <w:r>
      <w:br/>
      <w:t>Annex 4B</w:t>
    </w:r>
    <w:r>
      <w:rPr>
        <w:rStyle w:val="PageNumber"/>
        <w:b/>
      </w:rPr>
      <w:t xml:space="preserve"> – Appendix 7</w:t>
    </w:r>
  </w:p>
  <w:p w:rsidR="00A905B7" w:rsidRPr="00665E2D" w:rsidRDefault="00A905B7" w:rsidP="00665E2D"/>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pPr>
    <w:r>
      <w:t>E/ECE/324/Rev.1/Add.48/Rev.7</w:t>
    </w:r>
    <w:r>
      <w:br/>
      <w:t>E/ECE/TRANS/505/Rev.1/Add.48/Rev.7</w:t>
    </w:r>
    <w:r>
      <w:br/>
      <w:t>Annex 4C</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4C</w:t>
    </w:r>
    <w:r>
      <w:rPr>
        <w:rStyle w:val="PageNumber"/>
        <w:b/>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20158A">
    <w:pPr>
      <w:pStyle w:val="Header"/>
    </w:pPr>
    <w:r>
      <w:t>E/ECE/324/Rev.1/Add.48/Rev.7</w:t>
    </w:r>
    <w:r>
      <w:br/>
      <w:t>E/ECE/TRANS/505/Rev.1/Add.48/Rev.7</w:t>
    </w:r>
    <w:r>
      <w:br/>
      <w:t>Annex 4C</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rPr>
        <w:rStyle w:val="PageNumber"/>
        <w:b/>
      </w:rPr>
    </w:pPr>
    <w:r>
      <w:t>E/ECE/324/Rev.1/Add.48/Rev.7</w:t>
    </w:r>
    <w:r>
      <w:br/>
      <w:t>E/ECE/TRANS/505/Rev.1/Add.48/Rev.7</w:t>
    </w:r>
    <w:r>
      <w:br/>
      <w:t>Annex 4C</w:t>
    </w:r>
    <w:r>
      <w:rPr>
        <w:rStyle w:val="PageNumber"/>
        <w:b/>
      </w:rPr>
      <w:t xml:space="preserve"> – Appendix 1</w:t>
    </w:r>
  </w:p>
  <w:p w:rsidR="00A905B7" w:rsidRPr="002756E0" w:rsidRDefault="00A905B7" w:rsidP="002756E0"/>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31ED9" w:rsidRDefault="00A905B7" w:rsidP="00002BA6">
    <w:pPr>
      <w:pStyle w:val="Header"/>
      <w:jc w:val="right"/>
    </w:pPr>
    <w:r>
      <w:t>E/ECE/324/Rev.1/Add.48/Rev.7</w:t>
    </w:r>
    <w:r>
      <w:br/>
      <w:t>E/ECE/TRANS/505/Rev.1/Add.48/Rev.7</w:t>
    </w:r>
    <w:r>
      <w:br/>
      <w:t>Annex 4C</w:t>
    </w:r>
    <w:r>
      <w:rPr>
        <w:rStyle w:val="PageNumber"/>
        <w:b/>
      </w:rPr>
      <w:t xml:space="preserve"> – Appendix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833E33">
    <w:pPr>
      <w:pStyle w:val="Header"/>
    </w:pPr>
    <w:r w:rsidRPr="002A4563">
      <w:t>E/ECE/324/Rev.1/Add.48/Rev.</w:t>
    </w:r>
    <w:r>
      <w:t>7</w:t>
    </w:r>
    <w:r w:rsidRPr="002A4563">
      <w:br/>
      <w:t>E/ECE/TRANS/505/Rev.1/Add.48/Rev.</w:t>
    </w:r>
    <w:r>
      <w:t>7</w:t>
    </w:r>
  </w:p>
  <w:p w:rsidR="00A905B7" w:rsidRPr="00EA0EB6" w:rsidRDefault="00A905B7" w:rsidP="00EA0EB6"/>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jc w:val="right"/>
      <w:rPr>
        <w:rStyle w:val="PageNumber"/>
        <w:b/>
      </w:rPr>
    </w:pPr>
    <w:r>
      <w:t>E/ECE/324/Rev.1/Add.48/Rev.7</w:t>
    </w:r>
    <w:r>
      <w:br/>
      <w:t>E/ECE/TRANS/505/Rev.1/Add.48/Rev.7</w:t>
    </w:r>
    <w:r>
      <w:br/>
      <w:t>Annex 4C</w:t>
    </w:r>
    <w:r>
      <w:rPr>
        <w:rStyle w:val="PageNumber"/>
        <w:b/>
      </w:rPr>
      <w:t xml:space="preserve"> – Appendix 1</w:t>
    </w:r>
  </w:p>
  <w:p w:rsidR="00A905B7" w:rsidRPr="002756E0" w:rsidRDefault="00A905B7" w:rsidP="002756E0"/>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pPr>
    <w:r>
      <w:t>E/ECE/324/Rev.1/Add.48/Rev.7</w:t>
    </w:r>
    <w:r>
      <w:br/>
      <w:t>E/ECE/TRANS/505/Rev.1/Add.48/Rev.7</w:t>
    </w:r>
    <w:r>
      <w:br/>
      <w:t>Annex 5</w:t>
    </w:r>
  </w:p>
  <w:p w:rsidR="00A905B7" w:rsidRPr="002756E0" w:rsidRDefault="00A905B7" w:rsidP="002756E0"/>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2F7A66" w:rsidRDefault="00A905B7" w:rsidP="00BB1DA8">
    <w:pPr>
      <w:pStyle w:val="Header"/>
      <w:jc w:val="right"/>
    </w:pPr>
    <w:r>
      <w:t>E/ECE/324/Rev.1/Add.48/Rev.7</w:t>
    </w:r>
    <w:r>
      <w:br/>
      <w:t>E/ECE/TRANS/505/Rev.1/Add.48/Rev.7</w:t>
    </w:r>
    <w:r>
      <w:br/>
      <w:t>Annex 5</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002BA6">
    <w:pPr>
      <w:pStyle w:val="Header"/>
      <w:jc w:val="right"/>
    </w:pPr>
    <w:r>
      <w:t>E/ECE/324/Rev.1/Add.48/Rev.7</w:t>
    </w:r>
    <w:r>
      <w:br/>
      <w:t>E/ECE/TRANS/505/Rev.1/Add.48/Rev.7</w:t>
    </w:r>
    <w:r>
      <w:br/>
      <w:t>Annex 5</w:t>
    </w:r>
  </w:p>
  <w:p w:rsidR="00A905B7" w:rsidRPr="002756E0" w:rsidRDefault="00A905B7" w:rsidP="002756E0"/>
  <w:p w:rsidR="00A905B7" w:rsidRPr="002756E0" w:rsidRDefault="00A905B7" w:rsidP="002756E0"/>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pPr>
    <w:r>
      <w:t>E/ECE/324/Rev.1/Add.48/Rev.7</w:t>
    </w:r>
    <w:r>
      <w:br/>
      <w:t>E/ECE/TRANS/505/Rev.1/Add.48/Rev.7</w:t>
    </w:r>
    <w:r>
      <w:br/>
      <w:t>Annex 6</w:t>
    </w:r>
  </w:p>
  <w:p w:rsidR="00A905B7" w:rsidRPr="002756E0" w:rsidRDefault="00A905B7" w:rsidP="002756E0"/>
  <w:p w:rsidR="00A905B7" w:rsidRPr="002756E0" w:rsidRDefault="00A905B7" w:rsidP="002756E0"/>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2F7A66" w:rsidRDefault="00A905B7" w:rsidP="00BB1DA8">
    <w:pPr>
      <w:pStyle w:val="Header"/>
      <w:jc w:val="right"/>
    </w:pPr>
    <w:r>
      <w:t>E/ECE/324/Rev.1/Add.48/Rev.7</w:t>
    </w:r>
    <w:r>
      <w:br/>
      <w:t>E/ECE/TRANS/505/Rev.1/Add.48/Rev.7</w:t>
    </w:r>
    <w:r>
      <w:br/>
      <w:t>Annex 6</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Default="00A905B7" w:rsidP="00BB1DA8">
    <w:pPr>
      <w:pStyle w:val="Header"/>
      <w:jc w:val="right"/>
    </w:pPr>
    <w:r>
      <w:t>E/ECE/324/Rev.1/Add.48/Rev.5</w:t>
    </w:r>
    <w:r>
      <w:br/>
      <w:t>E/ECE/TRANS/505/Rev.1/Add.48/Rev.5</w:t>
    </w:r>
    <w:r>
      <w:br/>
      <w:t>Annex 9A - Appendix</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14888" w:rsidRDefault="00A905B7" w:rsidP="00BB1DA8">
    <w:pPr>
      <w:pStyle w:val="Header"/>
    </w:pPr>
    <w:r>
      <w:t>E/ECE/324/Rev.1/Add.48/Rev.7</w:t>
    </w:r>
    <w:r>
      <w:br/>
      <w:t>E/ECE/TRANS/505/Rev.1/Add.48/Rev.7</w:t>
    </w:r>
    <w:r>
      <w:br/>
      <w:t>Annex 7</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314888" w:rsidRDefault="00A905B7" w:rsidP="00BB1DA8">
    <w:pPr>
      <w:pStyle w:val="Header"/>
      <w:jc w:val="right"/>
    </w:pPr>
    <w:r>
      <w:t>E/ECE/324/Rev.1/Add.48/Rev.7</w:t>
    </w:r>
    <w:r>
      <w:br/>
      <w:t>E/ECE/TRANS/505/Rev.1/Add.48/Rev.7</w:t>
    </w:r>
    <w:r>
      <w:br/>
      <w:t>Annex 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B7" w:rsidRPr="00F227A5" w:rsidRDefault="00A905B7" w:rsidP="00BB1DA8">
    <w:pPr>
      <w:pStyle w:val="Header"/>
    </w:pPr>
    <w:r>
      <w:t>E/ECE/324/Rev.1/Add.48/Rev.7</w:t>
    </w:r>
    <w:r>
      <w:br/>
      <w:t>E/ECE/TRANS/505/Rev.1/Add.48/Rev.7</w:t>
    </w:r>
    <w:r>
      <w:br/>
      <w:t>Annex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12F6A6"/>
    <w:lvl w:ilvl="0">
      <w:start w:val="1"/>
      <w:numFmt w:val="decimal"/>
      <w:lvlText w:val="%1."/>
      <w:lvlJc w:val="left"/>
      <w:pPr>
        <w:tabs>
          <w:tab w:val="num" w:pos="1492"/>
        </w:tabs>
        <w:ind w:left="1492" w:hanging="360"/>
      </w:pPr>
    </w:lvl>
  </w:abstractNum>
  <w:abstractNum w:abstractNumId="1">
    <w:nsid w:val="FFFFFF7D"/>
    <w:multiLevelType w:val="singleLevel"/>
    <w:tmpl w:val="A8E271E6"/>
    <w:lvl w:ilvl="0">
      <w:start w:val="1"/>
      <w:numFmt w:val="decimal"/>
      <w:lvlText w:val="%1."/>
      <w:lvlJc w:val="left"/>
      <w:pPr>
        <w:tabs>
          <w:tab w:val="num" w:pos="1209"/>
        </w:tabs>
        <w:ind w:left="1209" w:hanging="360"/>
      </w:pPr>
    </w:lvl>
  </w:abstractNum>
  <w:abstractNum w:abstractNumId="2">
    <w:nsid w:val="FFFFFF7E"/>
    <w:multiLevelType w:val="singleLevel"/>
    <w:tmpl w:val="F0D6E1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07A5082"/>
    <w:lvl w:ilvl="0">
      <w:start w:val="1"/>
      <w:numFmt w:val="decimal"/>
      <w:lvlText w:val="%1."/>
      <w:lvlJc w:val="left"/>
      <w:pPr>
        <w:tabs>
          <w:tab w:val="num" w:pos="643"/>
        </w:tabs>
        <w:ind w:left="643" w:hanging="360"/>
      </w:pPr>
    </w:lvl>
  </w:abstractNum>
  <w:abstractNum w:abstractNumId="4">
    <w:nsid w:val="FFFFFF80"/>
    <w:multiLevelType w:val="singleLevel"/>
    <w:tmpl w:val="CE9CF4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BA73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A650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ECE3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6C4FC2"/>
    <w:lvl w:ilvl="0">
      <w:start w:val="1"/>
      <w:numFmt w:val="decimal"/>
      <w:pStyle w:val="Frontpagetext"/>
      <w:lvlText w:val="%1."/>
      <w:lvlJc w:val="left"/>
      <w:pPr>
        <w:tabs>
          <w:tab w:val="num" w:pos="360"/>
        </w:tabs>
        <w:ind w:left="360" w:hanging="360"/>
      </w:pPr>
    </w:lvl>
  </w:abstractNum>
  <w:abstractNum w:abstractNumId="9">
    <w:nsid w:val="FFFFFF89"/>
    <w:multiLevelType w:val="singleLevel"/>
    <w:tmpl w:val="446097AA"/>
    <w:lvl w:ilvl="0">
      <w:start w:val="1"/>
      <w:numFmt w:val="bullet"/>
      <w:pStyle w:val="Frontpagelarger"/>
      <w:lvlText w:val=""/>
      <w:lvlJc w:val="left"/>
      <w:pPr>
        <w:tabs>
          <w:tab w:val="num" w:pos="360"/>
        </w:tabs>
        <w:ind w:left="360" w:hanging="360"/>
      </w:pPr>
      <w:rPr>
        <w:rFonts w:ascii="Symbol" w:hAnsi="Symbol" w:hint="default"/>
      </w:rPr>
    </w:lvl>
  </w:abstractNum>
  <w:abstractNum w:abstractNumId="10">
    <w:nsid w:val="FFFFFFFE"/>
    <w:multiLevelType w:val="singleLevel"/>
    <w:tmpl w:val="5B4AADE2"/>
    <w:lvl w:ilvl="0">
      <w:numFmt w:val="bullet"/>
      <w:lvlText w:val="*"/>
      <w:lvlJc w:val="left"/>
    </w:lvl>
  </w:abstractNum>
  <w:abstractNum w:abstractNumId="11">
    <w:nsid w:val="02790038"/>
    <w:multiLevelType w:val="hybridMultilevel"/>
    <w:tmpl w:val="FF88B45E"/>
    <w:lvl w:ilvl="0" w:tplc="7A768F90">
      <w:start w:val="5"/>
      <w:numFmt w:val="bullet"/>
      <w:lvlText w:val="-"/>
      <w:lvlJc w:val="left"/>
      <w:pPr>
        <w:tabs>
          <w:tab w:val="num" w:pos="595"/>
        </w:tabs>
        <w:ind w:left="595" w:hanging="420"/>
      </w:pPr>
      <w:rPr>
        <w:rFonts w:ascii="Times New Roman" w:eastAsia="Times New Roman" w:hAnsi="Times New Roman" w:cs="Times New Roman" w:hint="default"/>
        <w:color w:val="0000FF"/>
      </w:rPr>
    </w:lvl>
    <w:lvl w:ilvl="1" w:tplc="04090003" w:tentative="1">
      <w:start w:val="1"/>
      <w:numFmt w:val="bullet"/>
      <w:lvlText w:val="o"/>
      <w:lvlJc w:val="left"/>
      <w:pPr>
        <w:tabs>
          <w:tab w:val="num" w:pos="1255"/>
        </w:tabs>
        <w:ind w:left="1255" w:hanging="360"/>
      </w:pPr>
      <w:rPr>
        <w:rFonts w:ascii="Courier New" w:hAnsi="Courier New" w:cs="Courier New" w:hint="default"/>
      </w:rPr>
    </w:lvl>
    <w:lvl w:ilvl="2" w:tplc="04090005" w:tentative="1">
      <w:start w:val="1"/>
      <w:numFmt w:val="bullet"/>
      <w:lvlText w:val=""/>
      <w:lvlJc w:val="left"/>
      <w:pPr>
        <w:tabs>
          <w:tab w:val="num" w:pos="1975"/>
        </w:tabs>
        <w:ind w:left="1975" w:hanging="360"/>
      </w:pPr>
      <w:rPr>
        <w:rFonts w:ascii="Wingdings" w:hAnsi="Wingdings" w:hint="default"/>
      </w:rPr>
    </w:lvl>
    <w:lvl w:ilvl="3" w:tplc="04090001" w:tentative="1">
      <w:start w:val="1"/>
      <w:numFmt w:val="bullet"/>
      <w:lvlText w:val=""/>
      <w:lvlJc w:val="left"/>
      <w:pPr>
        <w:tabs>
          <w:tab w:val="num" w:pos="2695"/>
        </w:tabs>
        <w:ind w:left="2695" w:hanging="360"/>
      </w:pPr>
      <w:rPr>
        <w:rFonts w:ascii="Symbol" w:hAnsi="Symbol" w:hint="default"/>
      </w:rPr>
    </w:lvl>
    <w:lvl w:ilvl="4" w:tplc="04090003" w:tentative="1">
      <w:start w:val="1"/>
      <w:numFmt w:val="bullet"/>
      <w:lvlText w:val="o"/>
      <w:lvlJc w:val="left"/>
      <w:pPr>
        <w:tabs>
          <w:tab w:val="num" w:pos="3415"/>
        </w:tabs>
        <w:ind w:left="3415" w:hanging="360"/>
      </w:pPr>
      <w:rPr>
        <w:rFonts w:ascii="Courier New" w:hAnsi="Courier New" w:cs="Courier New" w:hint="default"/>
      </w:rPr>
    </w:lvl>
    <w:lvl w:ilvl="5" w:tplc="04090005" w:tentative="1">
      <w:start w:val="1"/>
      <w:numFmt w:val="bullet"/>
      <w:lvlText w:val=""/>
      <w:lvlJc w:val="left"/>
      <w:pPr>
        <w:tabs>
          <w:tab w:val="num" w:pos="4135"/>
        </w:tabs>
        <w:ind w:left="4135" w:hanging="360"/>
      </w:pPr>
      <w:rPr>
        <w:rFonts w:ascii="Wingdings" w:hAnsi="Wingdings" w:hint="default"/>
      </w:rPr>
    </w:lvl>
    <w:lvl w:ilvl="6" w:tplc="04090001" w:tentative="1">
      <w:start w:val="1"/>
      <w:numFmt w:val="bullet"/>
      <w:lvlText w:val=""/>
      <w:lvlJc w:val="left"/>
      <w:pPr>
        <w:tabs>
          <w:tab w:val="num" w:pos="4855"/>
        </w:tabs>
        <w:ind w:left="4855" w:hanging="360"/>
      </w:pPr>
      <w:rPr>
        <w:rFonts w:ascii="Symbol" w:hAnsi="Symbol" w:hint="default"/>
      </w:rPr>
    </w:lvl>
    <w:lvl w:ilvl="7" w:tplc="04090003" w:tentative="1">
      <w:start w:val="1"/>
      <w:numFmt w:val="bullet"/>
      <w:lvlText w:val="o"/>
      <w:lvlJc w:val="left"/>
      <w:pPr>
        <w:tabs>
          <w:tab w:val="num" w:pos="5575"/>
        </w:tabs>
        <w:ind w:left="5575" w:hanging="360"/>
      </w:pPr>
      <w:rPr>
        <w:rFonts w:ascii="Courier New" w:hAnsi="Courier New" w:cs="Courier New" w:hint="default"/>
      </w:rPr>
    </w:lvl>
    <w:lvl w:ilvl="8" w:tplc="04090005" w:tentative="1">
      <w:start w:val="1"/>
      <w:numFmt w:val="bullet"/>
      <w:lvlText w:val=""/>
      <w:lvlJc w:val="left"/>
      <w:pPr>
        <w:tabs>
          <w:tab w:val="num" w:pos="6295"/>
        </w:tabs>
        <w:ind w:left="6295" w:hanging="360"/>
      </w:pPr>
      <w:rPr>
        <w:rFonts w:ascii="Wingdings" w:hAnsi="Wingdings" w:hint="default"/>
      </w:rPr>
    </w:lvl>
  </w:abstractNum>
  <w:abstractNum w:abstractNumId="1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8316A87"/>
    <w:multiLevelType w:val="hybridMultilevel"/>
    <w:tmpl w:val="3BE64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E431DF"/>
    <w:multiLevelType w:val="hybridMultilevel"/>
    <w:tmpl w:val="050E31AE"/>
    <w:lvl w:ilvl="0" w:tplc="33FCAC20">
      <w:start w:val="4"/>
      <w:numFmt w:val="bullet"/>
      <w:pStyle w:val="GTRtitre4"/>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5">
    <w:nsid w:val="15AE5C4D"/>
    <w:multiLevelType w:val="hybridMultilevel"/>
    <w:tmpl w:val="9FD42718"/>
    <w:lvl w:ilvl="0" w:tplc="CFEC1D34">
      <w:start w:val="1"/>
      <w:numFmt w:val="bullet"/>
      <w:lvlText w:val="-"/>
      <w:lvlJc w:val="left"/>
      <w:pPr>
        <w:tabs>
          <w:tab w:val="num" w:pos="565"/>
        </w:tabs>
        <w:ind w:left="565" w:hanging="390"/>
      </w:pPr>
      <w:rPr>
        <w:rFonts w:ascii="Times New Roman" w:eastAsia="Times New Roman" w:hAnsi="Times New Roman" w:cs="Times New Roman" w:hint="default"/>
      </w:rPr>
    </w:lvl>
    <w:lvl w:ilvl="1" w:tplc="04090003" w:tentative="1">
      <w:start w:val="1"/>
      <w:numFmt w:val="bullet"/>
      <w:lvlText w:val="o"/>
      <w:lvlJc w:val="left"/>
      <w:pPr>
        <w:tabs>
          <w:tab w:val="num" w:pos="1255"/>
        </w:tabs>
        <w:ind w:left="1255" w:hanging="360"/>
      </w:pPr>
      <w:rPr>
        <w:rFonts w:ascii="Courier New" w:hAnsi="Courier New" w:cs="Courier New" w:hint="default"/>
      </w:rPr>
    </w:lvl>
    <w:lvl w:ilvl="2" w:tplc="04090005" w:tentative="1">
      <w:start w:val="1"/>
      <w:numFmt w:val="bullet"/>
      <w:lvlText w:val=""/>
      <w:lvlJc w:val="left"/>
      <w:pPr>
        <w:tabs>
          <w:tab w:val="num" w:pos="1975"/>
        </w:tabs>
        <w:ind w:left="1975" w:hanging="360"/>
      </w:pPr>
      <w:rPr>
        <w:rFonts w:ascii="Wingdings" w:hAnsi="Wingdings" w:hint="default"/>
      </w:rPr>
    </w:lvl>
    <w:lvl w:ilvl="3" w:tplc="04090001" w:tentative="1">
      <w:start w:val="1"/>
      <w:numFmt w:val="bullet"/>
      <w:lvlText w:val=""/>
      <w:lvlJc w:val="left"/>
      <w:pPr>
        <w:tabs>
          <w:tab w:val="num" w:pos="2695"/>
        </w:tabs>
        <w:ind w:left="2695" w:hanging="360"/>
      </w:pPr>
      <w:rPr>
        <w:rFonts w:ascii="Symbol" w:hAnsi="Symbol" w:hint="default"/>
      </w:rPr>
    </w:lvl>
    <w:lvl w:ilvl="4" w:tplc="04090003" w:tentative="1">
      <w:start w:val="1"/>
      <w:numFmt w:val="bullet"/>
      <w:lvlText w:val="o"/>
      <w:lvlJc w:val="left"/>
      <w:pPr>
        <w:tabs>
          <w:tab w:val="num" w:pos="3415"/>
        </w:tabs>
        <w:ind w:left="3415" w:hanging="360"/>
      </w:pPr>
      <w:rPr>
        <w:rFonts w:ascii="Courier New" w:hAnsi="Courier New" w:cs="Courier New" w:hint="default"/>
      </w:rPr>
    </w:lvl>
    <w:lvl w:ilvl="5" w:tplc="04090005" w:tentative="1">
      <w:start w:val="1"/>
      <w:numFmt w:val="bullet"/>
      <w:lvlText w:val=""/>
      <w:lvlJc w:val="left"/>
      <w:pPr>
        <w:tabs>
          <w:tab w:val="num" w:pos="4135"/>
        </w:tabs>
        <w:ind w:left="4135" w:hanging="360"/>
      </w:pPr>
      <w:rPr>
        <w:rFonts w:ascii="Wingdings" w:hAnsi="Wingdings" w:hint="default"/>
      </w:rPr>
    </w:lvl>
    <w:lvl w:ilvl="6" w:tplc="04090001" w:tentative="1">
      <w:start w:val="1"/>
      <w:numFmt w:val="bullet"/>
      <w:lvlText w:val=""/>
      <w:lvlJc w:val="left"/>
      <w:pPr>
        <w:tabs>
          <w:tab w:val="num" w:pos="4855"/>
        </w:tabs>
        <w:ind w:left="4855" w:hanging="360"/>
      </w:pPr>
      <w:rPr>
        <w:rFonts w:ascii="Symbol" w:hAnsi="Symbol" w:hint="default"/>
      </w:rPr>
    </w:lvl>
    <w:lvl w:ilvl="7" w:tplc="04090003" w:tentative="1">
      <w:start w:val="1"/>
      <w:numFmt w:val="bullet"/>
      <w:lvlText w:val="o"/>
      <w:lvlJc w:val="left"/>
      <w:pPr>
        <w:tabs>
          <w:tab w:val="num" w:pos="5575"/>
        </w:tabs>
        <w:ind w:left="5575" w:hanging="360"/>
      </w:pPr>
      <w:rPr>
        <w:rFonts w:ascii="Courier New" w:hAnsi="Courier New" w:cs="Courier New" w:hint="default"/>
      </w:rPr>
    </w:lvl>
    <w:lvl w:ilvl="8" w:tplc="04090005" w:tentative="1">
      <w:start w:val="1"/>
      <w:numFmt w:val="bullet"/>
      <w:lvlText w:val=""/>
      <w:lvlJc w:val="left"/>
      <w:pPr>
        <w:tabs>
          <w:tab w:val="num" w:pos="6295"/>
        </w:tabs>
        <w:ind w:left="6295" w:hanging="360"/>
      </w:pPr>
      <w:rPr>
        <w:rFonts w:ascii="Wingdings" w:hAnsi="Wingdings" w:hint="default"/>
      </w:rPr>
    </w:lvl>
  </w:abstractNum>
  <w:abstractNum w:abstractNumId="16">
    <w:nsid w:val="181513F5"/>
    <w:multiLevelType w:val="multilevel"/>
    <w:tmpl w:val="B9465C7E"/>
    <w:lvl w:ilvl="0">
      <w:start w:val="4"/>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712B4D"/>
    <w:multiLevelType w:val="singleLevel"/>
    <w:tmpl w:val="A912843A"/>
    <w:lvl w:ilvl="0">
      <w:start w:val="1"/>
      <w:numFmt w:val="decimal"/>
      <w:pStyle w:val="Level1"/>
      <w:lvlText w:val="(%1)"/>
      <w:lvlJc w:val="left"/>
      <w:pPr>
        <w:tabs>
          <w:tab w:val="num" w:pos="368"/>
        </w:tabs>
        <w:ind w:left="368" w:hanging="255"/>
      </w:pPr>
      <w:rPr>
        <w:rFonts w:hint="eastAsia"/>
      </w:rPr>
    </w:lvl>
  </w:abstractNum>
  <w:abstractNum w:abstractNumId="18">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9">
    <w:nsid w:val="2F087A7B"/>
    <w:multiLevelType w:val="singleLevel"/>
    <w:tmpl w:val="DB0A8F52"/>
    <w:lvl w:ilvl="0">
      <w:start w:val="1"/>
      <w:numFmt w:val="lowerLetter"/>
      <w:lvlText w:val="(%1)"/>
      <w:lvlJc w:val="left"/>
      <w:pPr>
        <w:tabs>
          <w:tab w:val="num" w:pos="1260"/>
        </w:tabs>
        <w:ind w:left="1260" w:hanging="540"/>
      </w:pPr>
      <w:rPr>
        <w:rFonts w:hint="default"/>
      </w:rPr>
    </w:lvl>
  </w:abstractNum>
  <w:abstractNum w:abstractNumId="2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nsid w:val="413B2323"/>
    <w:multiLevelType w:val="hybridMultilevel"/>
    <w:tmpl w:val="D2849C68"/>
    <w:lvl w:ilvl="0" w:tplc="CB1EF79C">
      <w:start w:val="1"/>
      <w:numFmt w:val="lowerLetter"/>
      <w:lvlText w:val="(%1)"/>
      <w:lvlJc w:val="left"/>
      <w:pPr>
        <w:ind w:left="2619" w:hanging="360"/>
      </w:pPr>
      <w:rPr>
        <w:rFonts w:hint="default"/>
      </w:rPr>
    </w:lvl>
    <w:lvl w:ilvl="1" w:tplc="08090019" w:tentative="1">
      <w:start w:val="1"/>
      <w:numFmt w:val="lowerLetter"/>
      <w:lvlText w:val="%2."/>
      <w:lvlJc w:val="left"/>
      <w:pPr>
        <w:ind w:left="3339" w:hanging="360"/>
      </w:pPr>
    </w:lvl>
    <w:lvl w:ilvl="2" w:tplc="0809001B" w:tentative="1">
      <w:start w:val="1"/>
      <w:numFmt w:val="lowerRoman"/>
      <w:lvlText w:val="%3."/>
      <w:lvlJc w:val="right"/>
      <w:pPr>
        <w:ind w:left="4059" w:hanging="180"/>
      </w:pPr>
    </w:lvl>
    <w:lvl w:ilvl="3" w:tplc="0809000F" w:tentative="1">
      <w:start w:val="1"/>
      <w:numFmt w:val="decimal"/>
      <w:lvlText w:val="%4."/>
      <w:lvlJc w:val="left"/>
      <w:pPr>
        <w:ind w:left="4779" w:hanging="360"/>
      </w:pPr>
    </w:lvl>
    <w:lvl w:ilvl="4" w:tplc="08090019" w:tentative="1">
      <w:start w:val="1"/>
      <w:numFmt w:val="lowerLetter"/>
      <w:lvlText w:val="%5."/>
      <w:lvlJc w:val="left"/>
      <w:pPr>
        <w:ind w:left="5499" w:hanging="360"/>
      </w:pPr>
    </w:lvl>
    <w:lvl w:ilvl="5" w:tplc="0809001B" w:tentative="1">
      <w:start w:val="1"/>
      <w:numFmt w:val="lowerRoman"/>
      <w:lvlText w:val="%6."/>
      <w:lvlJc w:val="right"/>
      <w:pPr>
        <w:ind w:left="6219" w:hanging="180"/>
      </w:pPr>
    </w:lvl>
    <w:lvl w:ilvl="6" w:tplc="0809000F" w:tentative="1">
      <w:start w:val="1"/>
      <w:numFmt w:val="decimal"/>
      <w:lvlText w:val="%7."/>
      <w:lvlJc w:val="left"/>
      <w:pPr>
        <w:ind w:left="6939" w:hanging="360"/>
      </w:pPr>
    </w:lvl>
    <w:lvl w:ilvl="7" w:tplc="08090019" w:tentative="1">
      <w:start w:val="1"/>
      <w:numFmt w:val="lowerLetter"/>
      <w:lvlText w:val="%8."/>
      <w:lvlJc w:val="left"/>
      <w:pPr>
        <w:ind w:left="7659" w:hanging="360"/>
      </w:pPr>
    </w:lvl>
    <w:lvl w:ilvl="8" w:tplc="0809001B" w:tentative="1">
      <w:start w:val="1"/>
      <w:numFmt w:val="lowerRoman"/>
      <w:lvlText w:val="%9."/>
      <w:lvlJc w:val="right"/>
      <w:pPr>
        <w:ind w:left="8379" w:hanging="180"/>
      </w:pPr>
    </w:lvl>
  </w:abstractNum>
  <w:abstractNum w:abstractNumId="22">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pStyle w:val="berschrift2-3"/>
      <w:lvlText w:val="(%2)"/>
      <w:lvlJc w:val="left"/>
      <w:pPr>
        <w:tabs>
          <w:tab w:val="num" w:pos="1417"/>
        </w:tabs>
        <w:ind w:left="1417" w:hanging="708"/>
      </w:pPr>
    </w:lvl>
    <w:lvl w:ilvl="2">
      <w:start w:val="1"/>
      <w:numFmt w:val="bullet"/>
      <w:pStyle w:val="berschrift4n"/>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5C02279"/>
    <w:multiLevelType w:val="singleLevel"/>
    <w:tmpl w:val="EBAEF04A"/>
    <w:name w:val="List Number"/>
    <w:lvl w:ilvl="0">
      <w:start w:val="1"/>
      <w:numFmt w:val="bullet"/>
      <w:lvlRestart w:val="0"/>
      <w:lvlText w:val="–"/>
      <w:lvlJc w:val="left"/>
      <w:pPr>
        <w:tabs>
          <w:tab w:val="num" w:pos="1984"/>
        </w:tabs>
        <w:ind w:left="1984" w:hanging="567"/>
      </w:pPr>
    </w:lvl>
  </w:abstractNum>
  <w:abstractNum w:abstractNumId="24">
    <w:nsid w:val="4B2633F4"/>
    <w:multiLevelType w:val="multilevel"/>
    <w:tmpl w:val="A1A6FFF6"/>
    <w:lvl w:ilvl="0">
      <w:start w:val="3"/>
      <w:numFmt w:val="decimal"/>
      <w:lvlText w:val="%1."/>
      <w:lvlJc w:val="left"/>
      <w:pPr>
        <w:tabs>
          <w:tab w:val="num" w:pos="1140"/>
        </w:tabs>
        <w:ind w:left="1140" w:hanging="1140"/>
      </w:pPr>
      <w:rPr>
        <w:rFonts w:hint="default"/>
      </w:rPr>
    </w:lvl>
    <w:lvl w:ilvl="1">
      <w:start w:val="2"/>
      <w:numFmt w:val="decimal"/>
      <w:lvlText w:val="%1.%2."/>
      <w:lvlJc w:val="left"/>
      <w:pPr>
        <w:tabs>
          <w:tab w:val="num" w:pos="1423"/>
        </w:tabs>
        <w:ind w:left="1423" w:hanging="1140"/>
      </w:pPr>
      <w:rPr>
        <w:rFonts w:hint="default"/>
      </w:rPr>
    </w:lvl>
    <w:lvl w:ilvl="2">
      <w:start w:val="8"/>
      <w:numFmt w:val="decimal"/>
      <w:lvlText w:val="%1.%2.%3."/>
      <w:lvlJc w:val="left"/>
      <w:pPr>
        <w:tabs>
          <w:tab w:val="num" w:pos="1706"/>
        </w:tabs>
        <w:ind w:left="1706" w:hanging="1140"/>
      </w:pPr>
      <w:rPr>
        <w:rFonts w:hint="default"/>
      </w:rPr>
    </w:lvl>
    <w:lvl w:ilvl="3">
      <w:start w:val="1"/>
      <w:numFmt w:val="decimal"/>
      <w:lvlText w:val="%1.%2.%3.%4."/>
      <w:lvlJc w:val="left"/>
      <w:pPr>
        <w:tabs>
          <w:tab w:val="num" w:pos="1989"/>
        </w:tabs>
        <w:ind w:left="1989" w:hanging="1140"/>
      </w:pPr>
      <w:rPr>
        <w:rFonts w:hint="default"/>
      </w:rPr>
    </w:lvl>
    <w:lvl w:ilvl="4">
      <w:start w:val="1"/>
      <w:numFmt w:val="decimal"/>
      <w:lvlText w:val="%1.%2.%3.%4.%5."/>
      <w:lvlJc w:val="left"/>
      <w:pPr>
        <w:tabs>
          <w:tab w:val="num" w:pos="2272"/>
        </w:tabs>
        <w:ind w:left="2272" w:hanging="1140"/>
      </w:pPr>
      <w:rPr>
        <w:rFonts w:hint="default"/>
      </w:rPr>
    </w:lvl>
    <w:lvl w:ilvl="5">
      <w:start w:val="1"/>
      <w:numFmt w:val="decimal"/>
      <w:lvlText w:val="%1.%2.%3.%4.%5.%6."/>
      <w:lvlJc w:val="left"/>
      <w:pPr>
        <w:tabs>
          <w:tab w:val="num" w:pos="2555"/>
        </w:tabs>
        <w:ind w:left="2555" w:hanging="1140"/>
      </w:pPr>
      <w:rPr>
        <w:rFonts w:hint="default"/>
      </w:rPr>
    </w:lvl>
    <w:lvl w:ilvl="6">
      <w:start w:val="1"/>
      <w:numFmt w:val="decimal"/>
      <w:lvlText w:val="%1.%2.%3.%4.%5.%6.%7."/>
      <w:lvlJc w:val="left"/>
      <w:pPr>
        <w:tabs>
          <w:tab w:val="num" w:pos="2838"/>
        </w:tabs>
        <w:ind w:left="2838" w:hanging="11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3704"/>
        </w:tabs>
        <w:ind w:left="3704" w:hanging="1440"/>
      </w:pPr>
      <w:rPr>
        <w:rFonts w:hint="default"/>
      </w:rPr>
    </w:lvl>
  </w:abstractNum>
  <w:abstractNum w:abstractNumId="25">
    <w:nsid w:val="4B3455C8"/>
    <w:multiLevelType w:val="singleLevel"/>
    <w:tmpl w:val="41C6D032"/>
    <w:name w:val="List Bullet 1"/>
    <w:lvl w:ilvl="0">
      <w:start w:val="1"/>
      <w:numFmt w:val="bullet"/>
      <w:lvlRestart w:val="0"/>
      <w:lvlText w:val="–"/>
      <w:lvlJc w:val="left"/>
      <w:pPr>
        <w:tabs>
          <w:tab w:val="num" w:pos="3118"/>
        </w:tabs>
        <w:ind w:left="3118" w:hanging="567"/>
      </w:pPr>
    </w:lvl>
  </w:abstractNum>
  <w:abstractNum w:abstractNumId="26">
    <w:nsid w:val="5AFD6A64"/>
    <w:multiLevelType w:val="multilevel"/>
    <w:tmpl w:val="E3D4F0C4"/>
    <w:lvl w:ilvl="0">
      <w:start w:val="1"/>
      <w:numFmt w:val="decimal"/>
      <w:pStyle w:val="Document5"/>
      <w:isLgl/>
      <w:lvlText w:val="%1"/>
      <w:lvlJc w:val="left"/>
      <w:pPr>
        <w:tabs>
          <w:tab w:val="num" w:pos="432"/>
        </w:tabs>
        <w:ind w:left="432" w:hanging="432"/>
      </w:pPr>
      <w:rPr>
        <w:rFonts w:hint="default"/>
      </w:rPr>
    </w:lvl>
    <w:lvl w:ilvl="1">
      <w:start w:val="1"/>
      <w:numFmt w:val="decimal"/>
      <w:pStyle w:val="HeaderA2"/>
      <w:lvlText w:val="%1.%2"/>
      <w:lvlJc w:val="left"/>
      <w:pPr>
        <w:tabs>
          <w:tab w:val="num" w:pos="576"/>
        </w:tabs>
        <w:ind w:left="576" w:hanging="576"/>
      </w:pPr>
      <w:rPr>
        <w:rFonts w:hint="default"/>
      </w:rPr>
    </w:lvl>
    <w:lvl w:ilvl="2">
      <w:start w:val="1"/>
      <w:numFmt w:val="decimal"/>
      <w:pStyle w:val="HeaderA3"/>
      <w:lvlText w:val="%1.%2.%3"/>
      <w:lvlJc w:val="left"/>
      <w:pPr>
        <w:tabs>
          <w:tab w:val="num" w:pos="720"/>
        </w:tabs>
        <w:ind w:left="720" w:hanging="720"/>
      </w:pPr>
      <w:rPr>
        <w:rFonts w:hint="default"/>
      </w:rPr>
    </w:lvl>
    <w:lvl w:ilvl="3">
      <w:start w:val="1"/>
      <w:numFmt w:val="decimal"/>
      <w:pStyle w:val="HeaderA4"/>
      <w:lvlText w:val="%1.%2.%3.%4"/>
      <w:lvlJc w:val="left"/>
      <w:pPr>
        <w:tabs>
          <w:tab w:val="num" w:pos="864"/>
        </w:tabs>
        <w:ind w:left="864" w:hanging="864"/>
      </w:pPr>
      <w:rPr>
        <w:rFonts w:hint="default"/>
      </w:rPr>
    </w:lvl>
    <w:lvl w:ilvl="4">
      <w:start w:val="1"/>
      <w:numFmt w:val="decimal"/>
      <w:pStyle w:val="HeaderA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CCB7080"/>
    <w:multiLevelType w:val="singleLevel"/>
    <w:tmpl w:val="BB38DFE8"/>
    <w:name w:val="Tiret 3"/>
    <w:lvl w:ilvl="0">
      <w:start w:val="1"/>
      <w:numFmt w:val="bullet"/>
      <w:lvlRestart w:val="0"/>
      <w:lvlText w:val=""/>
      <w:lvlJc w:val="left"/>
      <w:pPr>
        <w:tabs>
          <w:tab w:val="num" w:pos="1134"/>
        </w:tabs>
        <w:ind w:left="1134" w:hanging="283"/>
      </w:pPr>
      <w:rPr>
        <w:rFonts w:ascii="Symbol" w:hAnsi="Symbol" w:hint="default"/>
      </w:rPr>
    </w:lvl>
  </w:abstractNum>
  <w:abstractNum w:abstractNumId="29">
    <w:nsid w:val="6E940409"/>
    <w:multiLevelType w:val="hybridMultilevel"/>
    <w:tmpl w:val="5F803F96"/>
    <w:lvl w:ilvl="0" w:tplc="FDF8C690">
      <w:start w:val="1"/>
      <w:numFmt w:val="decimal"/>
      <w:lvlText w:val="%1)"/>
      <w:lvlJc w:val="left"/>
      <w:pPr>
        <w:tabs>
          <w:tab w:val="num" w:pos="1381"/>
        </w:tabs>
        <w:ind w:left="1378" w:hanging="357"/>
      </w:pPr>
      <w:rPr>
        <w:rFonts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0">
    <w:nsid w:val="6F4901CD"/>
    <w:multiLevelType w:val="hybridMultilevel"/>
    <w:tmpl w:val="857C8AD2"/>
    <w:lvl w:ilvl="0" w:tplc="4622DA54">
      <w:start w:val="1"/>
      <w:numFmt w:val="lowerLetter"/>
      <w:lvlText w:val="(%1)"/>
      <w:lvlJc w:val="left"/>
      <w:pPr>
        <w:ind w:left="2619" w:hanging="360"/>
      </w:pPr>
      <w:rPr>
        <w:rFonts w:ascii="Times New Roman" w:eastAsia="Times New Roman" w:hAnsi="Times New Roman" w:cs="Times New Roman"/>
      </w:rPr>
    </w:lvl>
    <w:lvl w:ilvl="1" w:tplc="08090019" w:tentative="1">
      <w:start w:val="1"/>
      <w:numFmt w:val="lowerLetter"/>
      <w:lvlText w:val="%2."/>
      <w:lvlJc w:val="left"/>
      <w:pPr>
        <w:ind w:left="3339" w:hanging="360"/>
      </w:pPr>
    </w:lvl>
    <w:lvl w:ilvl="2" w:tplc="0809001B" w:tentative="1">
      <w:start w:val="1"/>
      <w:numFmt w:val="lowerRoman"/>
      <w:lvlText w:val="%3."/>
      <w:lvlJc w:val="right"/>
      <w:pPr>
        <w:ind w:left="4059" w:hanging="180"/>
      </w:pPr>
    </w:lvl>
    <w:lvl w:ilvl="3" w:tplc="0809000F" w:tentative="1">
      <w:start w:val="1"/>
      <w:numFmt w:val="decimal"/>
      <w:lvlText w:val="%4."/>
      <w:lvlJc w:val="left"/>
      <w:pPr>
        <w:ind w:left="4779" w:hanging="360"/>
      </w:pPr>
    </w:lvl>
    <w:lvl w:ilvl="4" w:tplc="08090019" w:tentative="1">
      <w:start w:val="1"/>
      <w:numFmt w:val="lowerLetter"/>
      <w:lvlText w:val="%5."/>
      <w:lvlJc w:val="left"/>
      <w:pPr>
        <w:ind w:left="5499" w:hanging="360"/>
      </w:pPr>
    </w:lvl>
    <w:lvl w:ilvl="5" w:tplc="0809001B" w:tentative="1">
      <w:start w:val="1"/>
      <w:numFmt w:val="lowerRoman"/>
      <w:lvlText w:val="%6."/>
      <w:lvlJc w:val="right"/>
      <w:pPr>
        <w:ind w:left="6219" w:hanging="180"/>
      </w:pPr>
    </w:lvl>
    <w:lvl w:ilvl="6" w:tplc="0809000F" w:tentative="1">
      <w:start w:val="1"/>
      <w:numFmt w:val="decimal"/>
      <w:lvlText w:val="%7."/>
      <w:lvlJc w:val="left"/>
      <w:pPr>
        <w:ind w:left="6939" w:hanging="360"/>
      </w:pPr>
    </w:lvl>
    <w:lvl w:ilvl="7" w:tplc="08090019" w:tentative="1">
      <w:start w:val="1"/>
      <w:numFmt w:val="lowerLetter"/>
      <w:lvlText w:val="%8."/>
      <w:lvlJc w:val="left"/>
      <w:pPr>
        <w:ind w:left="7659" w:hanging="360"/>
      </w:pPr>
    </w:lvl>
    <w:lvl w:ilvl="8" w:tplc="0809001B" w:tentative="1">
      <w:start w:val="1"/>
      <w:numFmt w:val="lowerRoman"/>
      <w:lvlText w:val="%9."/>
      <w:lvlJc w:val="right"/>
      <w:pPr>
        <w:ind w:left="8379" w:hanging="180"/>
      </w:pPr>
    </w:lvl>
  </w:abstractNum>
  <w:abstractNum w:abstractNumId="31">
    <w:nsid w:val="798654D8"/>
    <w:multiLevelType w:val="multilevel"/>
    <w:tmpl w:val="CDC82E9A"/>
    <w:lvl w:ilvl="0">
      <w:start w:val="1"/>
      <w:numFmt w:val="decimal"/>
      <w:pStyle w:val="NumPar2"/>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2">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3">
    <w:nsid w:val="7DE4786D"/>
    <w:multiLevelType w:val="multilevel"/>
    <w:tmpl w:val="A91C0178"/>
    <w:lvl w:ilvl="0">
      <w:start w:val="1"/>
      <w:numFmt w:val="decimal"/>
      <w:pStyle w:val="Aufzhlung3"/>
      <w:lvlText w:val="%1"/>
      <w:lvlJc w:val="left"/>
      <w:pPr>
        <w:tabs>
          <w:tab w:val="num" w:pos="1566"/>
        </w:tabs>
        <w:ind w:left="1566" w:hanging="432"/>
      </w:pPr>
      <w:rPr>
        <w:rFonts w:hint="default"/>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4">
    <w:nsid w:val="7F106724"/>
    <w:multiLevelType w:val="hybridMultilevel"/>
    <w:tmpl w:val="5C7A12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1A6D4D"/>
    <w:multiLevelType w:val="hybridMultilevel"/>
    <w:tmpl w:val="FA7C0B84"/>
    <w:lvl w:ilvl="0" w:tplc="FFFFFFFF">
      <w:start w:val="1"/>
      <w:numFmt w:val="decimal"/>
      <w:pStyle w:val="ListNumber"/>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
  </w:num>
  <w:num w:numId="2">
    <w:abstractNumId w:val="27"/>
  </w:num>
  <w:num w:numId="3">
    <w:abstractNumId w:val="20"/>
  </w:num>
  <w:num w:numId="4">
    <w:abstractNumId w:val="32"/>
  </w:num>
  <w:num w:numId="5">
    <w:abstractNumId w:val="18"/>
  </w:num>
  <w:num w:numId="6">
    <w:abstractNumId w:val="33"/>
  </w:num>
  <w:num w:numId="7">
    <w:abstractNumId w:val="35"/>
  </w:num>
  <w:num w:numId="8">
    <w:abstractNumId w:val="17"/>
  </w:num>
  <w:num w:numId="9">
    <w:abstractNumId w:val="26"/>
  </w:num>
  <w:num w:numId="10">
    <w:abstractNumId w:val="31"/>
  </w:num>
  <w:num w:numId="11">
    <w:abstractNumId w:val="22"/>
  </w:num>
  <w:num w:numId="12">
    <w:abstractNumId w:val="14"/>
  </w:num>
  <w:num w:numId="13">
    <w:abstractNumId w:val="24"/>
  </w:num>
  <w:num w:numId="14">
    <w:abstractNumId w:val="9"/>
  </w:num>
  <w:num w:numId="15">
    <w:abstractNumId w:val="8"/>
  </w:num>
  <w:num w:numId="16">
    <w:abstractNumId w:val="29"/>
    <w:lvlOverride w:ilvl="0">
      <w:startOverride w:val="1"/>
    </w:lvlOverride>
  </w:num>
  <w:num w:numId="17">
    <w:abstractNumId w:val="34"/>
  </w:num>
  <w:num w:numId="18">
    <w:abstractNumId w:val="19"/>
  </w:num>
  <w:num w:numId="19">
    <w:abstractNumId w:val="28"/>
  </w:num>
  <w:num w:numId="20">
    <w:abstractNumId w:val="16"/>
  </w:num>
  <w:num w:numId="21">
    <w:abstractNumId w:val="15"/>
  </w:num>
  <w:num w:numId="22">
    <w:abstractNumId w:val="11"/>
  </w:num>
  <w:num w:numId="23">
    <w:abstractNumId w:val="2"/>
  </w:num>
  <w:num w:numId="24">
    <w:abstractNumId w:val="7"/>
  </w:num>
  <w:num w:numId="25">
    <w:abstractNumId w:val="6"/>
  </w:num>
  <w:num w:numId="26">
    <w:abstractNumId w:val="5"/>
  </w:num>
  <w:num w:numId="27">
    <w:abstractNumId w:val="4"/>
  </w:num>
  <w:num w:numId="28">
    <w:abstractNumId w:val="3"/>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883" w:hanging="283"/>
        </w:pPr>
        <w:rPr>
          <w:rFonts w:ascii="Times New Roman" w:hAnsi="Times New Roman" w:cs="Times New Roman" w:hint="default"/>
        </w:rPr>
      </w:lvl>
    </w:lvlOverride>
  </w:num>
  <w:num w:numId="32">
    <w:abstractNumId w:val="13"/>
  </w:num>
  <w:num w:numId="33">
    <w:abstractNumId w:val="21"/>
  </w:num>
  <w:num w:numId="34">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dirty"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7902">
      <o:colormenu v:ext="edit" strokecolor="none"/>
    </o:shapedefaults>
    <o:shapelayout v:ext="edit">
      <o:idmap v:ext="edit" data="2"/>
    </o:shapelayout>
  </w:hdrShapeDefaults>
  <w:footnotePr>
    <w:numRestart w:val="eachSect"/>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5A"/>
    <w:rsid w:val="00002BA6"/>
    <w:rsid w:val="000038C7"/>
    <w:rsid w:val="00005E28"/>
    <w:rsid w:val="00005F95"/>
    <w:rsid w:val="000074BC"/>
    <w:rsid w:val="00016F2E"/>
    <w:rsid w:val="000219E8"/>
    <w:rsid w:val="0002313E"/>
    <w:rsid w:val="00023D64"/>
    <w:rsid w:val="000245EA"/>
    <w:rsid w:val="00025676"/>
    <w:rsid w:val="000259C1"/>
    <w:rsid w:val="00032FAE"/>
    <w:rsid w:val="0004209B"/>
    <w:rsid w:val="000430DF"/>
    <w:rsid w:val="00045BE8"/>
    <w:rsid w:val="00050F6B"/>
    <w:rsid w:val="00051DFF"/>
    <w:rsid w:val="00060993"/>
    <w:rsid w:val="00062B68"/>
    <w:rsid w:val="000679CB"/>
    <w:rsid w:val="00071126"/>
    <w:rsid w:val="00072C8C"/>
    <w:rsid w:val="000770A5"/>
    <w:rsid w:val="000777AB"/>
    <w:rsid w:val="00077AA2"/>
    <w:rsid w:val="00082505"/>
    <w:rsid w:val="00083D2B"/>
    <w:rsid w:val="000917EB"/>
    <w:rsid w:val="000931C0"/>
    <w:rsid w:val="00093492"/>
    <w:rsid w:val="00093795"/>
    <w:rsid w:val="000A090D"/>
    <w:rsid w:val="000A18B1"/>
    <w:rsid w:val="000A2DD6"/>
    <w:rsid w:val="000A32EC"/>
    <w:rsid w:val="000A5B6F"/>
    <w:rsid w:val="000A78EB"/>
    <w:rsid w:val="000B175B"/>
    <w:rsid w:val="000B175E"/>
    <w:rsid w:val="000B1788"/>
    <w:rsid w:val="000B306F"/>
    <w:rsid w:val="000B3A0F"/>
    <w:rsid w:val="000B5A13"/>
    <w:rsid w:val="000C0C96"/>
    <w:rsid w:val="000C1D6F"/>
    <w:rsid w:val="000C29B6"/>
    <w:rsid w:val="000C2B67"/>
    <w:rsid w:val="000D0653"/>
    <w:rsid w:val="000D278E"/>
    <w:rsid w:val="000D6A75"/>
    <w:rsid w:val="000D79C8"/>
    <w:rsid w:val="000E0415"/>
    <w:rsid w:val="000E0666"/>
    <w:rsid w:val="000E15C3"/>
    <w:rsid w:val="000E4497"/>
    <w:rsid w:val="000F1B35"/>
    <w:rsid w:val="000F40CF"/>
    <w:rsid w:val="000F4F49"/>
    <w:rsid w:val="000F5505"/>
    <w:rsid w:val="0010130A"/>
    <w:rsid w:val="00101C1E"/>
    <w:rsid w:val="001120FF"/>
    <w:rsid w:val="001122C9"/>
    <w:rsid w:val="00113B12"/>
    <w:rsid w:val="001220B8"/>
    <w:rsid w:val="00122420"/>
    <w:rsid w:val="001309C3"/>
    <w:rsid w:val="001400BF"/>
    <w:rsid w:val="001410B0"/>
    <w:rsid w:val="00141998"/>
    <w:rsid w:val="00141F44"/>
    <w:rsid w:val="001433E2"/>
    <w:rsid w:val="001448D0"/>
    <w:rsid w:val="00161617"/>
    <w:rsid w:val="001704CE"/>
    <w:rsid w:val="001720AB"/>
    <w:rsid w:val="0017458B"/>
    <w:rsid w:val="00175304"/>
    <w:rsid w:val="001812EE"/>
    <w:rsid w:val="00181632"/>
    <w:rsid w:val="001829E6"/>
    <w:rsid w:val="00193179"/>
    <w:rsid w:val="001949C0"/>
    <w:rsid w:val="00196776"/>
    <w:rsid w:val="00196BF4"/>
    <w:rsid w:val="0019757D"/>
    <w:rsid w:val="001A1975"/>
    <w:rsid w:val="001A1FEB"/>
    <w:rsid w:val="001A2E86"/>
    <w:rsid w:val="001A3319"/>
    <w:rsid w:val="001A3718"/>
    <w:rsid w:val="001A4340"/>
    <w:rsid w:val="001A5519"/>
    <w:rsid w:val="001A5A17"/>
    <w:rsid w:val="001B0787"/>
    <w:rsid w:val="001B4B04"/>
    <w:rsid w:val="001C1ED1"/>
    <w:rsid w:val="001C4739"/>
    <w:rsid w:val="001C6663"/>
    <w:rsid w:val="001C7895"/>
    <w:rsid w:val="001D26DF"/>
    <w:rsid w:val="001F19DD"/>
    <w:rsid w:val="001F2236"/>
    <w:rsid w:val="001F3D70"/>
    <w:rsid w:val="001F3F31"/>
    <w:rsid w:val="001F7522"/>
    <w:rsid w:val="0020158A"/>
    <w:rsid w:val="00211E0B"/>
    <w:rsid w:val="00211E1D"/>
    <w:rsid w:val="00212A3D"/>
    <w:rsid w:val="00214035"/>
    <w:rsid w:val="00221134"/>
    <w:rsid w:val="0022176C"/>
    <w:rsid w:val="002218F1"/>
    <w:rsid w:val="00222296"/>
    <w:rsid w:val="002248F7"/>
    <w:rsid w:val="00225716"/>
    <w:rsid w:val="0022755D"/>
    <w:rsid w:val="00232B4E"/>
    <w:rsid w:val="0023373C"/>
    <w:rsid w:val="0023498A"/>
    <w:rsid w:val="002405A7"/>
    <w:rsid w:val="00242C11"/>
    <w:rsid w:val="00242FEC"/>
    <w:rsid w:val="00251F29"/>
    <w:rsid w:val="00252984"/>
    <w:rsid w:val="002531CA"/>
    <w:rsid w:val="0025373F"/>
    <w:rsid w:val="002539CC"/>
    <w:rsid w:val="002540E4"/>
    <w:rsid w:val="0025624A"/>
    <w:rsid w:val="00257619"/>
    <w:rsid w:val="00260B82"/>
    <w:rsid w:val="00264C32"/>
    <w:rsid w:val="002756E0"/>
    <w:rsid w:val="00280104"/>
    <w:rsid w:val="00280E7A"/>
    <w:rsid w:val="00281C9D"/>
    <w:rsid w:val="00283F72"/>
    <w:rsid w:val="002849D2"/>
    <w:rsid w:val="00292316"/>
    <w:rsid w:val="00297343"/>
    <w:rsid w:val="002A074F"/>
    <w:rsid w:val="002A4563"/>
    <w:rsid w:val="002B2506"/>
    <w:rsid w:val="002B5947"/>
    <w:rsid w:val="002C2CEB"/>
    <w:rsid w:val="002C50EA"/>
    <w:rsid w:val="002D4800"/>
    <w:rsid w:val="002D4D9D"/>
    <w:rsid w:val="002D4E2F"/>
    <w:rsid w:val="002E04DA"/>
    <w:rsid w:val="002E1CE4"/>
    <w:rsid w:val="002E6737"/>
    <w:rsid w:val="002F043C"/>
    <w:rsid w:val="002F3FE3"/>
    <w:rsid w:val="00304034"/>
    <w:rsid w:val="003107FA"/>
    <w:rsid w:val="00313D4E"/>
    <w:rsid w:val="00317274"/>
    <w:rsid w:val="00317780"/>
    <w:rsid w:val="003229D8"/>
    <w:rsid w:val="00323C6B"/>
    <w:rsid w:val="00331265"/>
    <w:rsid w:val="00331BC3"/>
    <w:rsid w:val="00333768"/>
    <w:rsid w:val="0033745A"/>
    <w:rsid w:val="00337B4B"/>
    <w:rsid w:val="003401C8"/>
    <w:rsid w:val="00347858"/>
    <w:rsid w:val="00350517"/>
    <w:rsid w:val="00350F5F"/>
    <w:rsid w:val="00355693"/>
    <w:rsid w:val="003611F0"/>
    <w:rsid w:val="00361576"/>
    <w:rsid w:val="003623A8"/>
    <w:rsid w:val="00370708"/>
    <w:rsid w:val="003730F4"/>
    <w:rsid w:val="00373653"/>
    <w:rsid w:val="00376365"/>
    <w:rsid w:val="0037676B"/>
    <w:rsid w:val="00376938"/>
    <w:rsid w:val="00381748"/>
    <w:rsid w:val="00385ED4"/>
    <w:rsid w:val="00391C5C"/>
    <w:rsid w:val="0039277A"/>
    <w:rsid w:val="00393280"/>
    <w:rsid w:val="0039331B"/>
    <w:rsid w:val="00393FA0"/>
    <w:rsid w:val="00394348"/>
    <w:rsid w:val="00394A6C"/>
    <w:rsid w:val="003972E0"/>
    <w:rsid w:val="003A14CE"/>
    <w:rsid w:val="003A191F"/>
    <w:rsid w:val="003B06F6"/>
    <w:rsid w:val="003B133B"/>
    <w:rsid w:val="003B31D3"/>
    <w:rsid w:val="003B4288"/>
    <w:rsid w:val="003C2CC4"/>
    <w:rsid w:val="003C301D"/>
    <w:rsid w:val="003C3936"/>
    <w:rsid w:val="003C4076"/>
    <w:rsid w:val="003D37B5"/>
    <w:rsid w:val="003D3A69"/>
    <w:rsid w:val="003D3E73"/>
    <w:rsid w:val="003D4B23"/>
    <w:rsid w:val="003D4C2C"/>
    <w:rsid w:val="003D5AAF"/>
    <w:rsid w:val="003E1293"/>
    <w:rsid w:val="003E1A90"/>
    <w:rsid w:val="003E43D2"/>
    <w:rsid w:val="003E52B1"/>
    <w:rsid w:val="003E68F8"/>
    <w:rsid w:val="003F1ED3"/>
    <w:rsid w:val="003F5A8B"/>
    <w:rsid w:val="00401E79"/>
    <w:rsid w:val="00405F93"/>
    <w:rsid w:val="0041076B"/>
    <w:rsid w:val="0041080A"/>
    <w:rsid w:val="004108D6"/>
    <w:rsid w:val="004137F8"/>
    <w:rsid w:val="00416318"/>
    <w:rsid w:val="004223B5"/>
    <w:rsid w:val="0042767D"/>
    <w:rsid w:val="004305AA"/>
    <w:rsid w:val="004325C1"/>
    <w:rsid w:val="004325CB"/>
    <w:rsid w:val="004355B6"/>
    <w:rsid w:val="00436D63"/>
    <w:rsid w:val="004403E8"/>
    <w:rsid w:val="00441203"/>
    <w:rsid w:val="00441CD7"/>
    <w:rsid w:val="00441D29"/>
    <w:rsid w:val="00445C27"/>
    <w:rsid w:val="0044655B"/>
    <w:rsid w:val="00446DE4"/>
    <w:rsid w:val="00450AC9"/>
    <w:rsid w:val="004524F5"/>
    <w:rsid w:val="00453F93"/>
    <w:rsid w:val="00453FAB"/>
    <w:rsid w:val="00454BF4"/>
    <w:rsid w:val="0045629C"/>
    <w:rsid w:val="0045663E"/>
    <w:rsid w:val="00457582"/>
    <w:rsid w:val="004604DB"/>
    <w:rsid w:val="00461BDA"/>
    <w:rsid w:val="00462662"/>
    <w:rsid w:val="00463E81"/>
    <w:rsid w:val="0046452C"/>
    <w:rsid w:val="00464A90"/>
    <w:rsid w:val="00476113"/>
    <w:rsid w:val="004856BE"/>
    <w:rsid w:val="00485CB1"/>
    <w:rsid w:val="00491E78"/>
    <w:rsid w:val="0049299A"/>
    <w:rsid w:val="004971BB"/>
    <w:rsid w:val="004A252A"/>
    <w:rsid w:val="004A41CA"/>
    <w:rsid w:val="004A5C78"/>
    <w:rsid w:val="004B2784"/>
    <w:rsid w:val="004B31B3"/>
    <w:rsid w:val="004B53F0"/>
    <w:rsid w:val="004B59C4"/>
    <w:rsid w:val="004B5A51"/>
    <w:rsid w:val="004B5D1C"/>
    <w:rsid w:val="004B6E97"/>
    <w:rsid w:val="004B6F5F"/>
    <w:rsid w:val="004C0BE6"/>
    <w:rsid w:val="004C5085"/>
    <w:rsid w:val="004C7809"/>
    <w:rsid w:val="004D2926"/>
    <w:rsid w:val="004D5FD0"/>
    <w:rsid w:val="004D739A"/>
    <w:rsid w:val="004E1B22"/>
    <w:rsid w:val="004E2929"/>
    <w:rsid w:val="004E4A52"/>
    <w:rsid w:val="004E4E29"/>
    <w:rsid w:val="004E65D6"/>
    <w:rsid w:val="004F59F4"/>
    <w:rsid w:val="004F5EA5"/>
    <w:rsid w:val="004F7091"/>
    <w:rsid w:val="005006D6"/>
    <w:rsid w:val="00503228"/>
    <w:rsid w:val="00505384"/>
    <w:rsid w:val="00512988"/>
    <w:rsid w:val="00512B34"/>
    <w:rsid w:val="00512B52"/>
    <w:rsid w:val="005156AC"/>
    <w:rsid w:val="005157C5"/>
    <w:rsid w:val="00516D24"/>
    <w:rsid w:val="00524583"/>
    <w:rsid w:val="005249D2"/>
    <w:rsid w:val="00530445"/>
    <w:rsid w:val="00537015"/>
    <w:rsid w:val="00540512"/>
    <w:rsid w:val="005420F2"/>
    <w:rsid w:val="00543194"/>
    <w:rsid w:val="005437A8"/>
    <w:rsid w:val="00546652"/>
    <w:rsid w:val="0055021A"/>
    <w:rsid w:val="00551C68"/>
    <w:rsid w:val="00553894"/>
    <w:rsid w:val="00553D21"/>
    <w:rsid w:val="00565E13"/>
    <w:rsid w:val="005703B5"/>
    <w:rsid w:val="005727F2"/>
    <w:rsid w:val="00573FB1"/>
    <w:rsid w:val="005751F0"/>
    <w:rsid w:val="0058429C"/>
    <w:rsid w:val="00592A62"/>
    <w:rsid w:val="00593305"/>
    <w:rsid w:val="00594A72"/>
    <w:rsid w:val="00594E5F"/>
    <w:rsid w:val="005B3DB3"/>
    <w:rsid w:val="005B529C"/>
    <w:rsid w:val="005C17EB"/>
    <w:rsid w:val="005C370C"/>
    <w:rsid w:val="005C3C42"/>
    <w:rsid w:val="005C49AD"/>
    <w:rsid w:val="005C670B"/>
    <w:rsid w:val="005D01BC"/>
    <w:rsid w:val="005D056E"/>
    <w:rsid w:val="005D0AAC"/>
    <w:rsid w:val="005D15E1"/>
    <w:rsid w:val="005E222C"/>
    <w:rsid w:val="005E2765"/>
    <w:rsid w:val="005E75E6"/>
    <w:rsid w:val="005F0EB5"/>
    <w:rsid w:val="005F33DC"/>
    <w:rsid w:val="005F3AAA"/>
    <w:rsid w:val="00600D06"/>
    <w:rsid w:val="00602B9A"/>
    <w:rsid w:val="00602D04"/>
    <w:rsid w:val="00610370"/>
    <w:rsid w:val="00611FC4"/>
    <w:rsid w:val="00616286"/>
    <w:rsid w:val="006176FB"/>
    <w:rsid w:val="006216EA"/>
    <w:rsid w:val="006223A9"/>
    <w:rsid w:val="00624E4E"/>
    <w:rsid w:val="0062535F"/>
    <w:rsid w:val="00627ED0"/>
    <w:rsid w:val="006304AC"/>
    <w:rsid w:val="00637DCD"/>
    <w:rsid w:val="006406C2"/>
    <w:rsid w:val="00640B26"/>
    <w:rsid w:val="006430B3"/>
    <w:rsid w:val="00644CDB"/>
    <w:rsid w:val="00644D45"/>
    <w:rsid w:val="00644D66"/>
    <w:rsid w:val="0065630A"/>
    <w:rsid w:val="00661039"/>
    <w:rsid w:val="00661DA4"/>
    <w:rsid w:val="00664D8D"/>
    <w:rsid w:val="00664E7D"/>
    <w:rsid w:val="00665595"/>
    <w:rsid w:val="00665E2D"/>
    <w:rsid w:val="0066675C"/>
    <w:rsid w:val="00672656"/>
    <w:rsid w:val="0067642F"/>
    <w:rsid w:val="00676A4D"/>
    <w:rsid w:val="00677F11"/>
    <w:rsid w:val="00683D19"/>
    <w:rsid w:val="00687057"/>
    <w:rsid w:val="006910D4"/>
    <w:rsid w:val="006923D6"/>
    <w:rsid w:val="006A2D20"/>
    <w:rsid w:val="006A2EA1"/>
    <w:rsid w:val="006A52F7"/>
    <w:rsid w:val="006A7392"/>
    <w:rsid w:val="006A75A0"/>
    <w:rsid w:val="006B664A"/>
    <w:rsid w:val="006B6D11"/>
    <w:rsid w:val="006C5934"/>
    <w:rsid w:val="006C5B0C"/>
    <w:rsid w:val="006C677A"/>
    <w:rsid w:val="006D17BC"/>
    <w:rsid w:val="006E1E07"/>
    <w:rsid w:val="006E3517"/>
    <w:rsid w:val="006E3B38"/>
    <w:rsid w:val="006E564B"/>
    <w:rsid w:val="006F0700"/>
    <w:rsid w:val="006F156B"/>
    <w:rsid w:val="006F68ED"/>
    <w:rsid w:val="00700CBE"/>
    <w:rsid w:val="007065DF"/>
    <w:rsid w:val="00710050"/>
    <w:rsid w:val="00711D7D"/>
    <w:rsid w:val="00715EC8"/>
    <w:rsid w:val="0071760E"/>
    <w:rsid w:val="007256D5"/>
    <w:rsid w:val="0072632A"/>
    <w:rsid w:val="007279B0"/>
    <w:rsid w:val="00730122"/>
    <w:rsid w:val="007302C0"/>
    <w:rsid w:val="0073189C"/>
    <w:rsid w:val="00735711"/>
    <w:rsid w:val="00735C88"/>
    <w:rsid w:val="007400FB"/>
    <w:rsid w:val="0074370B"/>
    <w:rsid w:val="007467E5"/>
    <w:rsid w:val="007531D4"/>
    <w:rsid w:val="0075426D"/>
    <w:rsid w:val="007548B0"/>
    <w:rsid w:val="00757E15"/>
    <w:rsid w:val="00760715"/>
    <w:rsid w:val="0076136A"/>
    <w:rsid w:val="007622A6"/>
    <w:rsid w:val="00762A95"/>
    <w:rsid w:val="00763CD2"/>
    <w:rsid w:val="00767D90"/>
    <w:rsid w:val="007705C9"/>
    <w:rsid w:val="007714F9"/>
    <w:rsid w:val="00771ABB"/>
    <w:rsid w:val="007720E8"/>
    <w:rsid w:val="007721AE"/>
    <w:rsid w:val="00773615"/>
    <w:rsid w:val="00774E57"/>
    <w:rsid w:val="0078001E"/>
    <w:rsid w:val="00787B4A"/>
    <w:rsid w:val="007908C1"/>
    <w:rsid w:val="00791E2C"/>
    <w:rsid w:val="00794B30"/>
    <w:rsid w:val="00795632"/>
    <w:rsid w:val="00795E3A"/>
    <w:rsid w:val="00796DFA"/>
    <w:rsid w:val="007A0831"/>
    <w:rsid w:val="007A153A"/>
    <w:rsid w:val="007A6F4E"/>
    <w:rsid w:val="007B0AF7"/>
    <w:rsid w:val="007B59F3"/>
    <w:rsid w:val="007B5EAB"/>
    <w:rsid w:val="007B6BA5"/>
    <w:rsid w:val="007C105E"/>
    <w:rsid w:val="007C2773"/>
    <w:rsid w:val="007C2EE6"/>
    <w:rsid w:val="007C3390"/>
    <w:rsid w:val="007C3750"/>
    <w:rsid w:val="007C4F4B"/>
    <w:rsid w:val="007C51A2"/>
    <w:rsid w:val="007C7D7E"/>
    <w:rsid w:val="007D40BD"/>
    <w:rsid w:val="007D65ED"/>
    <w:rsid w:val="007E4700"/>
    <w:rsid w:val="007F0B83"/>
    <w:rsid w:val="007F3073"/>
    <w:rsid w:val="007F3772"/>
    <w:rsid w:val="007F478C"/>
    <w:rsid w:val="007F6611"/>
    <w:rsid w:val="007F6846"/>
    <w:rsid w:val="007F7CE1"/>
    <w:rsid w:val="00802E7F"/>
    <w:rsid w:val="0080740F"/>
    <w:rsid w:val="00813E76"/>
    <w:rsid w:val="008165BE"/>
    <w:rsid w:val="008175E9"/>
    <w:rsid w:val="008227BD"/>
    <w:rsid w:val="008227D1"/>
    <w:rsid w:val="008239EC"/>
    <w:rsid w:val="008242D7"/>
    <w:rsid w:val="00827E05"/>
    <w:rsid w:val="008311A3"/>
    <w:rsid w:val="00831D34"/>
    <w:rsid w:val="00833E33"/>
    <w:rsid w:val="00835BFE"/>
    <w:rsid w:val="00836802"/>
    <w:rsid w:val="00845825"/>
    <w:rsid w:val="0084631F"/>
    <w:rsid w:val="00846CB1"/>
    <w:rsid w:val="008529AC"/>
    <w:rsid w:val="00855668"/>
    <w:rsid w:val="00860891"/>
    <w:rsid w:val="008611F8"/>
    <w:rsid w:val="00862A3C"/>
    <w:rsid w:val="00864CF5"/>
    <w:rsid w:val="00866116"/>
    <w:rsid w:val="00866DC3"/>
    <w:rsid w:val="008713DB"/>
    <w:rsid w:val="00871FD5"/>
    <w:rsid w:val="0087212F"/>
    <w:rsid w:val="00875FFA"/>
    <w:rsid w:val="008818F2"/>
    <w:rsid w:val="0088419A"/>
    <w:rsid w:val="0088563E"/>
    <w:rsid w:val="0088711D"/>
    <w:rsid w:val="0089648E"/>
    <w:rsid w:val="008979B1"/>
    <w:rsid w:val="008A6B25"/>
    <w:rsid w:val="008A6C4F"/>
    <w:rsid w:val="008A7028"/>
    <w:rsid w:val="008B0D8A"/>
    <w:rsid w:val="008B1316"/>
    <w:rsid w:val="008B1B5A"/>
    <w:rsid w:val="008C00FD"/>
    <w:rsid w:val="008C0229"/>
    <w:rsid w:val="008C3328"/>
    <w:rsid w:val="008C520C"/>
    <w:rsid w:val="008D2DD3"/>
    <w:rsid w:val="008D6F53"/>
    <w:rsid w:val="008D7ECA"/>
    <w:rsid w:val="008E05FC"/>
    <w:rsid w:val="008E0E46"/>
    <w:rsid w:val="008E2032"/>
    <w:rsid w:val="008E284E"/>
    <w:rsid w:val="008E3448"/>
    <w:rsid w:val="008E3ADA"/>
    <w:rsid w:val="008E4C5C"/>
    <w:rsid w:val="008F0EE6"/>
    <w:rsid w:val="008F1CF4"/>
    <w:rsid w:val="008F2A18"/>
    <w:rsid w:val="008F2D10"/>
    <w:rsid w:val="008F36DB"/>
    <w:rsid w:val="00901017"/>
    <w:rsid w:val="0090296F"/>
    <w:rsid w:val="0090306E"/>
    <w:rsid w:val="0090439E"/>
    <w:rsid w:val="0090475A"/>
    <w:rsid w:val="00906B6E"/>
    <w:rsid w:val="00907AD2"/>
    <w:rsid w:val="00910136"/>
    <w:rsid w:val="009105AC"/>
    <w:rsid w:val="00911052"/>
    <w:rsid w:val="009135A7"/>
    <w:rsid w:val="009140D5"/>
    <w:rsid w:val="00917787"/>
    <w:rsid w:val="009207B2"/>
    <w:rsid w:val="009233F2"/>
    <w:rsid w:val="00925298"/>
    <w:rsid w:val="00926159"/>
    <w:rsid w:val="00930D21"/>
    <w:rsid w:val="00933DA1"/>
    <w:rsid w:val="00933EDC"/>
    <w:rsid w:val="00937E9F"/>
    <w:rsid w:val="00940F16"/>
    <w:rsid w:val="00941C23"/>
    <w:rsid w:val="0094446B"/>
    <w:rsid w:val="009469BB"/>
    <w:rsid w:val="009473D9"/>
    <w:rsid w:val="00955037"/>
    <w:rsid w:val="00955494"/>
    <w:rsid w:val="00956745"/>
    <w:rsid w:val="00961115"/>
    <w:rsid w:val="00963CBA"/>
    <w:rsid w:val="009737AE"/>
    <w:rsid w:val="00974A8D"/>
    <w:rsid w:val="00976F7D"/>
    <w:rsid w:val="00977ED8"/>
    <w:rsid w:val="00980B68"/>
    <w:rsid w:val="0098569F"/>
    <w:rsid w:val="00986923"/>
    <w:rsid w:val="00990141"/>
    <w:rsid w:val="00990F47"/>
    <w:rsid w:val="00991261"/>
    <w:rsid w:val="0099679A"/>
    <w:rsid w:val="009B357A"/>
    <w:rsid w:val="009B6E08"/>
    <w:rsid w:val="009C1A7C"/>
    <w:rsid w:val="009C3F74"/>
    <w:rsid w:val="009D7CF7"/>
    <w:rsid w:val="009E02A2"/>
    <w:rsid w:val="009E373B"/>
    <w:rsid w:val="009E4A69"/>
    <w:rsid w:val="009E5087"/>
    <w:rsid w:val="009E6C8D"/>
    <w:rsid w:val="009E6E1D"/>
    <w:rsid w:val="009F018E"/>
    <w:rsid w:val="009F153C"/>
    <w:rsid w:val="009F357C"/>
    <w:rsid w:val="009F3A17"/>
    <w:rsid w:val="009F71EE"/>
    <w:rsid w:val="00A00827"/>
    <w:rsid w:val="00A00D72"/>
    <w:rsid w:val="00A064FD"/>
    <w:rsid w:val="00A06E5F"/>
    <w:rsid w:val="00A07AF2"/>
    <w:rsid w:val="00A07B7A"/>
    <w:rsid w:val="00A11839"/>
    <w:rsid w:val="00A11B95"/>
    <w:rsid w:val="00A131C5"/>
    <w:rsid w:val="00A1427D"/>
    <w:rsid w:val="00A210A2"/>
    <w:rsid w:val="00A231BF"/>
    <w:rsid w:val="00A25233"/>
    <w:rsid w:val="00A2723B"/>
    <w:rsid w:val="00A3224C"/>
    <w:rsid w:val="00A32C29"/>
    <w:rsid w:val="00A353CD"/>
    <w:rsid w:val="00A37515"/>
    <w:rsid w:val="00A40979"/>
    <w:rsid w:val="00A42677"/>
    <w:rsid w:val="00A42DF7"/>
    <w:rsid w:val="00A43208"/>
    <w:rsid w:val="00A4721D"/>
    <w:rsid w:val="00A5311B"/>
    <w:rsid w:val="00A5362E"/>
    <w:rsid w:val="00A552B9"/>
    <w:rsid w:val="00A61718"/>
    <w:rsid w:val="00A70635"/>
    <w:rsid w:val="00A72F22"/>
    <w:rsid w:val="00A7313B"/>
    <w:rsid w:val="00A748A6"/>
    <w:rsid w:val="00A75DEE"/>
    <w:rsid w:val="00A76413"/>
    <w:rsid w:val="00A77835"/>
    <w:rsid w:val="00A80A87"/>
    <w:rsid w:val="00A85DE8"/>
    <w:rsid w:val="00A85EFF"/>
    <w:rsid w:val="00A879A4"/>
    <w:rsid w:val="00A905B7"/>
    <w:rsid w:val="00A9113E"/>
    <w:rsid w:val="00A94412"/>
    <w:rsid w:val="00A966DA"/>
    <w:rsid w:val="00AA0E48"/>
    <w:rsid w:val="00AA3C44"/>
    <w:rsid w:val="00AB1CCF"/>
    <w:rsid w:val="00AB712B"/>
    <w:rsid w:val="00AC10D8"/>
    <w:rsid w:val="00AC1338"/>
    <w:rsid w:val="00AC1EFA"/>
    <w:rsid w:val="00AC33AB"/>
    <w:rsid w:val="00AC44D8"/>
    <w:rsid w:val="00AC44FF"/>
    <w:rsid w:val="00AD3688"/>
    <w:rsid w:val="00AD6062"/>
    <w:rsid w:val="00AD6803"/>
    <w:rsid w:val="00AE1A72"/>
    <w:rsid w:val="00AE528D"/>
    <w:rsid w:val="00AE65D4"/>
    <w:rsid w:val="00AF2027"/>
    <w:rsid w:val="00AF4FCB"/>
    <w:rsid w:val="00AF5665"/>
    <w:rsid w:val="00AF5D09"/>
    <w:rsid w:val="00B000E8"/>
    <w:rsid w:val="00B04DC3"/>
    <w:rsid w:val="00B06874"/>
    <w:rsid w:val="00B10109"/>
    <w:rsid w:val="00B11153"/>
    <w:rsid w:val="00B1669D"/>
    <w:rsid w:val="00B170C7"/>
    <w:rsid w:val="00B20576"/>
    <w:rsid w:val="00B23BB1"/>
    <w:rsid w:val="00B2512B"/>
    <w:rsid w:val="00B27C66"/>
    <w:rsid w:val="00B30179"/>
    <w:rsid w:val="00B30D30"/>
    <w:rsid w:val="00B31B9B"/>
    <w:rsid w:val="00B33EC0"/>
    <w:rsid w:val="00B34EBD"/>
    <w:rsid w:val="00B41361"/>
    <w:rsid w:val="00B4293A"/>
    <w:rsid w:val="00B43FF2"/>
    <w:rsid w:val="00B47485"/>
    <w:rsid w:val="00B51EF1"/>
    <w:rsid w:val="00B568B4"/>
    <w:rsid w:val="00B6131C"/>
    <w:rsid w:val="00B73202"/>
    <w:rsid w:val="00B7449B"/>
    <w:rsid w:val="00B7591F"/>
    <w:rsid w:val="00B80465"/>
    <w:rsid w:val="00B81E12"/>
    <w:rsid w:val="00B824C8"/>
    <w:rsid w:val="00B8756D"/>
    <w:rsid w:val="00B90B16"/>
    <w:rsid w:val="00B912E6"/>
    <w:rsid w:val="00B91B76"/>
    <w:rsid w:val="00B92520"/>
    <w:rsid w:val="00BA529C"/>
    <w:rsid w:val="00BB1DA8"/>
    <w:rsid w:val="00BB3B29"/>
    <w:rsid w:val="00BB4DCD"/>
    <w:rsid w:val="00BB784C"/>
    <w:rsid w:val="00BC1900"/>
    <w:rsid w:val="00BC242F"/>
    <w:rsid w:val="00BC41E8"/>
    <w:rsid w:val="00BC4B9C"/>
    <w:rsid w:val="00BC714F"/>
    <w:rsid w:val="00BC74E9"/>
    <w:rsid w:val="00BD2146"/>
    <w:rsid w:val="00BD29C3"/>
    <w:rsid w:val="00BE3111"/>
    <w:rsid w:val="00BE4F74"/>
    <w:rsid w:val="00BE618E"/>
    <w:rsid w:val="00C0100D"/>
    <w:rsid w:val="00C0150A"/>
    <w:rsid w:val="00C04835"/>
    <w:rsid w:val="00C10398"/>
    <w:rsid w:val="00C15FD2"/>
    <w:rsid w:val="00C161BF"/>
    <w:rsid w:val="00C17699"/>
    <w:rsid w:val="00C243AA"/>
    <w:rsid w:val="00C2506D"/>
    <w:rsid w:val="00C2508C"/>
    <w:rsid w:val="00C30B7B"/>
    <w:rsid w:val="00C32859"/>
    <w:rsid w:val="00C334C7"/>
    <w:rsid w:val="00C36F7A"/>
    <w:rsid w:val="00C37177"/>
    <w:rsid w:val="00C41A28"/>
    <w:rsid w:val="00C41EDA"/>
    <w:rsid w:val="00C433C3"/>
    <w:rsid w:val="00C4527E"/>
    <w:rsid w:val="00C463DD"/>
    <w:rsid w:val="00C46752"/>
    <w:rsid w:val="00C541E5"/>
    <w:rsid w:val="00C56A42"/>
    <w:rsid w:val="00C60A2C"/>
    <w:rsid w:val="00C704C2"/>
    <w:rsid w:val="00C70824"/>
    <w:rsid w:val="00C71659"/>
    <w:rsid w:val="00C745C3"/>
    <w:rsid w:val="00C763D0"/>
    <w:rsid w:val="00C77432"/>
    <w:rsid w:val="00C77F35"/>
    <w:rsid w:val="00C859B2"/>
    <w:rsid w:val="00C9239B"/>
    <w:rsid w:val="00C92D69"/>
    <w:rsid w:val="00C96366"/>
    <w:rsid w:val="00CA549F"/>
    <w:rsid w:val="00CB1B09"/>
    <w:rsid w:val="00CB2112"/>
    <w:rsid w:val="00CB34F1"/>
    <w:rsid w:val="00CB550E"/>
    <w:rsid w:val="00CB5698"/>
    <w:rsid w:val="00CC2FA9"/>
    <w:rsid w:val="00CC343B"/>
    <w:rsid w:val="00CC51C7"/>
    <w:rsid w:val="00CC52C6"/>
    <w:rsid w:val="00CD250E"/>
    <w:rsid w:val="00CD6FC3"/>
    <w:rsid w:val="00CD7DCC"/>
    <w:rsid w:val="00CE2638"/>
    <w:rsid w:val="00CE4A8F"/>
    <w:rsid w:val="00CF0D17"/>
    <w:rsid w:val="00CF2CBE"/>
    <w:rsid w:val="00CF7EE0"/>
    <w:rsid w:val="00D00049"/>
    <w:rsid w:val="00D00E61"/>
    <w:rsid w:val="00D012DF"/>
    <w:rsid w:val="00D01D68"/>
    <w:rsid w:val="00D022DE"/>
    <w:rsid w:val="00D0286F"/>
    <w:rsid w:val="00D04F10"/>
    <w:rsid w:val="00D06B9E"/>
    <w:rsid w:val="00D12151"/>
    <w:rsid w:val="00D17DBC"/>
    <w:rsid w:val="00D2031B"/>
    <w:rsid w:val="00D21895"/>
    <w:rsid w:val="00D21E3C"/>
    <w:rsid w:val="00D22B95"/>
    <w:rsid w:val="00D247DE"/>
    <w:rsid w:val="00D24FE7"/>
    <w:rsid w:val="00D25372"/>
    <w:rsid w:val="00D25FE2"/>
    <w:rsid w:val="00D317BB"/>
    <w:rsid w:val="00D33753"/>
    <w:rsid w:val="00D342AF"/>
    <w:rsid w:val="00D36328"/>
    <w:rsid w:val="00D3766B"/>
    <w:rsid w:val="00D42399"/>
    <w:rsid w:val="00D43252"/>
    <w:rsid w:val="00D465B3"/>
    <w:rsid w:val="00D51627"/>
    <w:rsid w:val="00D52AA6"/>
    <w:rsid w:val="00D53851"/>
    <w:rsid w:val="00D56A0B"/>
    <w:rsid w:val="00D71F62"/>
    <w:rsid w:val="00D748C9"/>
    <w:rsid w:val="00D74B39"/>
    <w:rsid w:val="00D75405"/>
    <w:rsid w:val="00D77E75"/>
    <w:rsid w:val="00D81B35"/>
    <w:rsid w:val="00D8408B"/>
    <w:rsid w:val="00D90404"/>
    <w:rsid w:val="00D918FE"/>
    <w:rsid w:val="00D95BAB"/>
    <w:rsid w:val="00D978C6"/>
    <w:rsid w:val="00DA09F5"/>
    <w:rsid w:val="00DA3D6A"/>
    <w:rsid w:val="00DA59A4"/>
    <w:rsid w:val="00DA67AD"/>
    <w:rsid w:val="00DB08BC"/>
    <w:rsid w:val="00DB1021"/>
    <w:rsid w:val="00DB140F"/>
    <w:rsid w:val="00DB1FE7"/>
    <w:rsid w:val="00DB401B"/>
    <w:rsid w:val="00DB5D0F"/>
    <w:rsid w:val="00DB627E"/>
    <w:rsid w:val="00DB75B5"/>
    <w:rsid w:val="00DD04BE"/>
    <w:rsid w:val="00DD5950"/>
    <w:rsid w:val="00DF12F7"/>
    <w:rsid w:val="00DF2895"/>
    <w:rsid w:val="00DF2D85"/>
    <w:rsid w:val="00DF4BB2"/>
    <w:rsid w:val="00DF79B5"/>
    <w:rsid w:val="00E01ED6"/>
    <w:rsid w:val="00E02C2F"/>
    <w:rsid w:val="00E02C81"/>
    <w:rsid w:val="00E02D60"/>
    <w:rsid w:val="00E0527E"/>
    <w:rsid w:val="00E0603F"/>
    <w:rsid w:val="00E07F11"/>
    <w:rsid w:val="00E130AB"/>
    <w:rsid w:val="00E15A27"/>
    <w:rsid w:val="00E16438"/>
    <w:rsid w:val="00E17EB2"/>
    <w:rsid w:val="00E2083D"/>
    <w:rsid w:val="00E2696A"/>
    <w:rsid w:val="00E31D0F"/>
    <w:rsid w:val="00E32993"/>
    <w:rsid w:val="00E35C47"/>
    <w:rsid w:val="00E35ECD"/>
    <w:rsid w:val="00E36073"/>
    <w:rsid w:val="00E36D1E"/>
    <w:rsid w:val="00E44279"/>
    <w:rsid w:val="00E44FAF"/>
    <w:rsid w:val="00E46661"/>
    <w:rsid w:val="00E46E21"/>
    <w:rsid w:val="00E530AD"/>
    <w:rsid w:val="00E575DA"/>
    <w:rsid w:val="00E61424"/>
    <w:rsid w:val="00E6190A"/>
    <w:rsid w:val="00E636BF"/>
    <w:rsid w:val="00E63CB5"/>
    <w:rsid w:val="00E671F4"/>
    <w:rsid w:val="00E672FC"/>
    <w:rsid w:val="00E71651"/>
    <w:rsid w:val="00E7260F"/>
    <w:rsid w:val="00E84575"/>
    <w:rsid w:val="00E87921"/>
    <w:rsid w:val="00E87E18"/>
    <w:rsid w:val="00E913E9"/>
    <w:rsid w:val="00E91ED6"/>
    <w:rsid w:val="00E96630"/>
    <w:rsid w:val="00EA0EB6"/>
    <w:rsid w:val="00EA264E"/>
    <w:rsid w:val="00EA5811"/>
    <w:rsid w:val="00EB13A4"/>
    <w:rsid w:val="00EB1BCE"/>
    <w:rsid w:val="00EB2682"/>
    <w:rsid w:val="00EB395A"/>
    <w:rsid w:val="00EB7842"/>
    <w:rsid w:val="00EC0816"/>
    <w:rsid w:val="00EC1BB4"/>
    <w:rsid w:val="00EC3C99"/>
    <w:rsid w:val="00EC3DEF"/>
    <w:rsid w:val="00ED0418"/>
    <w:rsid w:val="00ED073B"/>
    <w:rsid w:val="00ED0E3F"/>
    <w:rsid w:val="00ED24E5"/>
    <w:rsid w:val="00ED2E62"/>
    <w:rsid w:val="00ED3207"/>
    <w:rsid w:val="00ED6381"/>
    <w:rsid w:val="00ED6D71"/>
    <w:rsid w:val="00ED7A2A"/>
    <w:rsid w:val="00EE140A"/>
    <w:rsid w:val="00EE1768"/>
    <w:rsid w:val="00EE40CB"/>
    <w:rsid w:val="00EE6DE4"/>
    <w:rsid w:val="00EF0DB0"/>
    <w:rsid w:val="00EF1D7F"/>
    <w:rsid w:val="00EF33C1"/>
    <w:rsid w:val="00F033EF"/>
    <w:rsid w:val="00F0496F"/>
    <w:rsid w:val="00F10D27"/>
    <w:rsid w:val="00F13D92"/>
    <w:rsid w:val="00F2385B"/>
    <w:rsid w:val="00F24A05"/>
    <w:rsid w:val="00F24F01"/>
    <w:rsid w:val="00F25BA0"/>
    <w:rsid w:val="00F367CA"/>
    <w:rsid w:val="00F379C8"/>
    <w:rsid w:val="00F40324"/>
    <w:rsid w:val="00F465E1"/>
    <w:rsid w:val="00F50947"/>
    <w:rsid w:val="00F5107F"/>
    <w:rsid w:val="00F53A73"/>
    <w:rsid w:val="00F53EDA"/>
    <w:rsid w:val="00F551ED"/>
    <w:rsid w:val="00F5572A"/>
    <w:rsid w:val="00F644CA"/>
    <w:rsid w:val="00F712AA"/>
    <w:rsid w:val="00F729CA"/>
    <w:rsid w:val="00F76184"/>
    <w:rsid w:val="00F77516"/>
    <w:rsid w:val="00F7753D"/>
    <w:rsid w:val="00F85F34"/>
    <w:rsid w:val="00F90D0E"/>
    <w:rsid w:val="00F9186C"/>
    <w:rsid w:val="00F91B1F"/>
    <w:rsid w:val="00F94276"/>
    <w:rsid w:val="00FA06F7"/>
    <w:rsid w:val="00FA18F4"/>
    <w:rsid w:val="00FA27AE"/>
    <w:rsid w:val="00FA6C7E"/>
    <w:rsid w:val="00FB171A"/>
    <w:rsid w:val="00FB3D95"/>
    <w:rsid w:val="00FB5A71"/>
    <w:rsid w:val="00FB7ED6"/>
    <w:rsid w:val="00FC68B7"/>
    <w:rsid w:val="00FD1EE5"/>
    <w:rsid w:val="00FD3B1C"/>
    <w:rsid w:val="00FD4B63"/>
    <w:rsid w:val="00FD7BF6"/>
    <w:rsid w:val="00FE41A4"/>
    <w:rsid w:val="00FE5C96"/>
    <w:rsid w:val="00FE6E38"/>
    <w:rsid w:val="00FE7B0A"/>
    <w:rsid w:val="00FF0BC7"/>
    <w:rsid w:val="00FF0BF4"/>
    <w:rsid w:val="00FF1261"/>
    <w:rsid w:val="00FF461B"/>
    <w:rsid w:val="00FF7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7902">
      <o:colormenu v:ext="edit" strokecolor="none"/>
    </o:shapedefaults>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6"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aliases w:val="H2"/>
    <w:basedOn w:val="Normal"/>
    <w:next w:val="Normal"/>
    <w:rsid w:val="00503228"/>
    <w:pPr>
      <w:spacing w:line="240" w:lineRule="auto"/>
      <w:outlineLvl w:val="1"/>
    </w:pPr>
  </w:style>
  <w:style w:type="paragraph" w:styleId="Heading3">
    <w:name w:val="heading 3"/>
    <w:basedOn w:val="Normal"/>
    <w:next w:val="Normal"/>
    <w:rsid w:val="00503228"/>
    <w:pPr>
      <w:spacing w:line="240" w:lineRule="auto"/>
      <w:outlineLvl w:val="2"/>
    </w:pPr>
  </w:style>
  <w:style w:type="paragraph" w:styleId="Heading4">
    <w:name w:val="heading 4"/>
    <w:basedOn w:val="Normal"/>
    <w:next w:val="Normal"/>
    <w:rsid w:val="00503228"/>
    <w:pPr>
      <w:spacing w:line="240" w:lineRule="auto"/>
      <w:outlineLvl w:val="3"/>
    </w:pPr>
  </w:style>
  <w:style w:type="paragraph" w:styleId="Heading5">
    <w:name w:val="heading 5"/>
    <w:basedOn w:val="Normal"/>
    <w:next w:val="Normal"/>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rsid w:val="00503228"/>
    <w:pPr>
      <w:spacing w:after="120"/>
      <w:ind w:left="1134" w:right="1134"/>
      <w:jc w:val="both"/>
    </w:pPr>
  </w:style>
  <w:style w:type="character" w:customStyle="1" w:styleId="SingleTxtGCar">
    <w:name w:val="_ Single Txt_G Car"/>
    <w:link w:val="SingleTxtG"/>
    <w:rsid w:val="006C677A"/>
    <w:rPr>
      <w:lang w:val="en-GB" w:eastAsia="en-US" w:bidi="ar-SA"/>
    </w:rPr>
  </w:style>
  <w:style w:type="character" w:customStyle="1" w:styleId="Heading1Char">
    <w:name w:val="Heading 1 Char"/>
    <w:aliases w:val="Table_G Char"/>
    <w:link w:val="Heading1"/>
    <w:rsid w:val="00BB1DA8"/>
    <w:rPr>
      <w:sz w:val="24"/>
      <w:lang w:val="en-GB" w:eastAsia="en-US" w:bidi="ar-SA"/>
    </w:rPr>
  </w:style>
  <w:style w:type="character" w:customStyle="1" w:styleId="SingleTxtGChar">
    <w:name w:val="_ Single Txt_G Char"/>
    <w:rsid w:val="00002BA6"/>
    <w:rPr>
      <w:sz w:val="24"/>
      <w:lang w:val="en-GB" w:eastAsia="en-US" w:bidi="ar-SA"/>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aliases w:val=" double line spacing"/>
    <w:basedOn w:val="Normal"/>
    <w:semiHidden/>
    <w:rsid w:val="00C0100D"/>
    <w:pPr>
      <w:suppressAutoHyphens w:val="0"/>
      <w:spacing w:line="240" w:lineRule="auto"/>
      <w:jc w:val="center"/>
    </w:pPr>
    <w:rPr>
      <w:rFonts w:ascii="Univers" w:hAnsi="Univers"/>
      <w:b/>
      <w:caps/>
      <w:sz w:val="24"/>
    </w:rPr>
  </w:style>
  <w:style w:type="paragraph" w:styleId="BodyText">
    <w:name w:val="Body Text"/>
    <w:basedOn w:val="Normal"/>
    <w:semiHidden/>
    <w:rsid w:val="00C0100D"/>
    <w:pPr>
      <w:suppressAutoHyphens w:val="0"/>
      <w:spacing w:after="60" w:line="240" w:lineRule="auto"/>
    </w:pPr>
    <w:rPr>
      <w:sz w:val="18"/>
      <w:szCs w:val="24"/>
    </w:rPr>
  </w:style>
  <w:style w:type="paragraph" w:styleId="BodyTextIndent">
    <w:name w:val="Body Text Indent"/>
    <w:basedOn w:val="Normal"/>
    <w:semiHidden/>
    <w:rsid w:val="00C0100D"/>
    <w:pPr>
      <w:suppressAutoHyphens w:val="0"/>
      <w:spacing w:after="120" w:line="240" w:lineRule="auto"/>
      <w:ind w:left="283"/>
    </w:pPr>
    <w:rPr>
      <w:sz w:val="24"/>
      <w:szCs w:val="24"/>
    </w:rPr>
  </w:style>
  <w:style w:type="paragraph" w:customStyle="1" w:styleId="ParaNo">
    <w:name w:val="ParaNo."/>
    <w:basedOn w:val="Normal"/>
    <w:rsid w:val="00C0100D"/>
    <w:pPr>
      <w:numPr>
        <w:numId w:val="3"/>
      </w:numPr>
      <w:tabs>
        <w:tab w:val="clear" w:pos="360"/>
      </w:tabs>
      <w:suppressAutoHyphens w:val="0"/>
      <w:spacing w:line="240" w:lineRule="auto"/>
    </w:pPr>
    <w:rPr>
      <w:sz w:val="24"/>
      <w:lang w:val="fr-FR"/>
    </w:rPr>
  </w:style>
  <w:style w:type="paragraph" w:customStyle="1" w:styleId="Rom1">
    <w:name w:val="Rom1"/>
    <w:basedOn w:val="Normal"/>
    <w:rsid w:val="00C0100D"/>
    <w:pPr>
      <w:numPr>
        <w:numId w:val="4"/>
      </w:numPr>
      <w:tabs>
        <w:tab w:val="clear" w:pos="504"/>
      </w:tabs>
      <w:suppressAutoHyphens w:val="0"/>
      <w:spacing w:line="240" w:lineRule="auto"/>
      <w:ind w:left="1145" w:hanging="465"/>
    </w:pPr>
    <w:rPr>
      <w:sz w:val="24"/>
      <w:lang w:val="fr-FR"/>
    </w:rPr>
  </w:style>
  <w:style w:type="paragraph" w:customStyle="1" w:styleId="Rom2">
    <w:name w:val="Rom2"/>
    <w:basedOn w:val="Normal"/>
    <w:rsid w:val="00C0100D"/>
    <w:pPr>
      <w:numPr>
        <w:numId w:val="5"/>
      </w:numPr>
      <w:tabs>
        <w:tab w:val="clear" w:pos="927"/>
      </w:tabs>
      <w:suppressAutoHyphens w:val="0"/>
      <w:spacing w:line="240" w:lineRule="auto"/>
      <w:ind w:left="1712" w:hanging="465"/>
    </w:pPr>
    <w:rPr>
      <w:sz w:val="24"/>
      <w:lang w:val="fr-FR"/>
    </w:rPr>
  </w:style>
  <w:style w:type="paragraph" w:styleId="BodyTextIndent2">
    <w:name w:val="Body Text Indent 2"/>
    <w:basedOn w:val="Normal"/>
    <w:semiHidden/>
    <w:rsid w:val="00C0100D"/>
    <w:pPr>
      <w:suppressAutoHyphens w:val="0"/>
      <w:spacing w:after="240" w:line="240" w:lineRule="auto"/>
      <w:ind w:left="1134" w:hanging="1134"/>
    </w:pPr>
    <w:rPr>
      <w:sz w:val="24"/>
      <w:u w:val="single"/>
      <w:lang w:val="fr-FR"/>
    </w:rPr>
  </w:style>
  <w:style w:type="paragraph" w:customStyle="1" w:styleId="Heading51">
    <w:name w:val="Heading 51"/>
    <w:semiHidden/>
    <w:rsid w:val="00C0100D"/>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0100D"/>
    <w:pPr>
      <w:tabs>
        <w:tab w:val="center" w:pos="4680"/>
        <w:tab w:val="right" w:pos="9000"/>
        <w:tab w:val="left" w:pos="9360"/>
      </w:tabs>
      <w:suppressAutoHyphens/>
    </w:pPr>
    <w:rPr>
      <w:rFonts w:ascii="Book Antiqua" w:hAnsi="Book Antiqua"/>
      <w:lang w:val="en-US" w:eastAsia="en-US"/>
    </w:rPr>
  </w:style>
  <w:style w:type="paragraph" w:styleId="BodyText3">
    <w:name w:val="Body Text 3"/>
    <w:basedOn w:val="Normal"/>
    <w:semiHidden/>
    <w:rsid w:val="00C0100D"/>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paragraph" w:customStyle="1" w:styleId="Document1">
    <w:name w:val="Document 1"/>
    <w:semiHidden/>
    <w:rsid w:val="00C0100D"/>
    <w:pPr>
      <w:keepNext/>
      <w:keepLines/>
      <w:widowControl w:val="0"/>
      <w:tabs>
        <w:tab w:val="left" w:pos="-720"/>
      </w:tabs>
      <w:suppressAutoHyphens/>
    </w:pPr>
    <w:rPr>
      <w:rFonts w:ascii="Courier" w:hAnsi="Courier"/>
      <w:snapToGrid w:val="0"/>
      <w:lang w:val="en-US" w:eastAsia="it-IT"/>
    </w:rPr>
  </w:style>
  <w:style w:type="paragraph" w:customStyle="1" w:styleId="Text1">
    <w:name w:val="Text 1"/>
    <w:basedOn w:val="Normal"/>
    <w:semiHidden/>
    <w:rsid w:val="00C0100D"/>
    <w:pPr>
      <w:suppressAutoHyphens w:val="0"/>
      <w:spacing w:before="120" w:after="120" w:line="240" w:lineRule="auto"/>
      <w:ind w:left="851"/>
      <w:jc w:val="both"/>
    </w:pPr>
    <w:rPr>
      <w:sz w:val="24"/>
    </w:rPr>
  </w:style>
  <w:style w:type="paragraph" w:customStyle="1" w:styleId="ManualNumPar1">
    <w:name w:val="Manual NumPar 1"/>
    <w:basedOn w:val="Normal"/>
    <w:next w:val="Text1"/>
    <w:semiHidden/>
    <w:rsid w:val="00C0100D"/>
    <w:pPr>
      <w:suppressAutoHyphens w:val="0"/>
      <w:spacing w:before="120" w:after="120" w:line="240" w:lineRule="auto"/>
      <w:ind w:left="851" w:hanging="851"/>
      <w:jc w:val="both"/>
    </w:pPr>
    <w:rPr>
      <w:sz w:val="24"/>
    </w:rPr>
  </w:style>
  <w:style w:type="paragraph" w:customStyle="1" w:styleId="Aufzhlung3">
    <w:name w:val="Aufzählung 3"/>
    <w:basedOn w:val="Aufzhlung2"/>
    <w:rsid w:val="00C0100D"/>
    <w:pPr>
      <w:numPr>
        <w:numId w:val="6"/>
      </w:numPr>
      <w:tabs>
        <w:tab w:val="clear" w:pos="1566"/>
        <w:tab w:val="num" w:pos="1381"/>
        <w:tab w:val="left" w:pos="1701"/>
      </w:tabs>
      <w:ind w:left="1378" w:hanging="357"/>
    </w:pPr>
  </w:style>
  <w:style w:type="paragraph" w:customStyle="1" w:styleId="Aufzhlung2">
    <w:name w:val="Aufzählung 2"/>
    <w:basedOn w:val="Aufzhlung1"/>
    <w:rsid w:val="00C0100D"/>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0100D"/>
    <w:pPr>
      <w:tabs>
        <w:tab w:val="left" w:pos="1021"/>
        <w:tab w:val="num" w:pos="1381"/>
      </w:tabs>
      <w:spacing w:after="120"/>
      <w:ind w:left="1378" w:hanging="357"/>
      <w:jc w:val="both"/>
    </w:pPr>
    <w:rPr>
      <w:rFonts w:ascii="Arial" w:eastAsia="MS Mincho" w:hAnsi="Arial"/>
      <w:sz w:val="20"/>
      <w:szCs w:val="20"/>
    </w:rPr>
  </w:style>
  <w:style w:type="paragraph" w:customStyle="1" w:styleId="NormalCentered">
    <w:name w:val="Normal Centered"/>
    <w:basedOn w:val="Normal"/>
    <w:semiHidden/>
    <w:rsid w:val="00C0100D"/>
    <w:pPr>
      <w:numPr>
        <w:numId w:val="11"/>
      </w:numPr>
      <w:suppressAutoHyphens w:val="0"/>
      <w:spacing w:before="120" w:after="120" w:line="240" w:lineRule="auto"/>
      <w:jc w:val="center"/>
    </w:pPr>
    <w:rPr>
      <w:sz w:val="24"/>
    </w:rPr>
  </w:style>
  <w:style w:type="paragraph" w:customStyle="1" w:styleId="berschrift2-3">
    <w:name w:val="Überschrift2-3"/>
    <w:basedOn w:val="berschrift1-3"/>
    <w:next w:val="BodyText"/>
    <w:rsid w:val="00C0100D"/>
    <w:pPr>
      <w:numPr>
        <w:ilvl w:val="1"/>
        <w:numId w:val="11"/>
      </w:numPr>
      <w:tabs>
        <w:tab w:val="clear" w:pos="1417"/>
        <w:tab w:val="num" w:pos="1413"/>
      </w:tabs>
      <w:ind w:left="1413" w:hanging="432"/>
    </w:pPr>
  </w:style>
  <w:style w:type="paragraph" w:customStyle="1" w:styleId="berschrift1-3">
    <w:name w:val="Überschrift1-3"/>
    <w:basedOn w:val="berschrift1-2"/>
    <w:rsid w:val="00C0100D"/>
    <w:pPr>
      <w:tabs>
        <w:tab w:val="clear" w:pos="368"/>
        <w:tab w:val="num" w:pos="1800"/>
      </w:tabs>
      <w:ind w:left="1800" w:hanging="360"/>
    </w:pPr>
  </w:style>
  <w:style w:type="paragraph" w:customStyle="1" w:styleId="berschrift1-2">
    <w:name w:val="Überschrift1-2"/>
    <w:basedOn w:val="Heading1"/>
    <w:rsid w:val="00C0100D"/>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0100D"/>
    <w:pPr>
      <w:widowControl w:val="0"/>
      <w:numPr>
        <w:ilvl w:val="2"/>
        <w:numId w:val="11"/>
      </w:numPr>
      <w:tabs>
        <w:tab w:val="clear" w:pos="2126"/>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character" w:customStyle="1" w:styleId="FootnoteReference1">
    <w:name w:val="Footnote Reference1"/>
    <w:rsid w:val="00C0100D"/>
    <w:rPr>
      <w:sz w:val="20"/>
      <w:vertAlign w:val="superscript"/>
    </w:rPr>
  </w:style>
  <w:style w:type="paragraph" w:customStyle="1" w:styleId="NormalLeft">
    <w:name w:val="Normal Left"/>
    <w:basedOn w:val="Normal"/>
    <w:semiHidden/>
    <w:rsid w:val="00C0100D"/>
    <w:pPr>
      <w:suppressAutoHyphens w:val="0"/>
      <w:spacing w:before="120" w:after="120" w:line="240" w:lineRule="auto"/>
    </w:pPr>
    <w:rPr>
      <w:sz w:val="24"/>
      <w:lang w:eastAsia="ko-KR"/>
    </w:rPr>
  </w:style>
  <w:style w:type="paragraph" w:customStyle="1" w:styleId="Document5">
    <w:name w:val="Document[5]"/>
    <w:basedOn w:val="Normal"/>
    <w:rsid w:val="00C0100D"/>
    <w:pPr>
      <w:widowControl w:val="0"/>
      <w:numPr>
        <w:numId w:val="9"/>
      </w:numPr>
      <w:tabs>
        <w:tab w:val="clear" w:pos="432"/>
      </w:tabs>
      <w:suppressAutoHyphens w:val="0"/>
      <w:spacing w:line="240" w:lineRule="auto"/>
      <w:ind w:left="0" w:firstLine="0"/>
    </w:pPr>
    <w:rPr>
      <w:sz w:val="24"/>
      <w:lang w:val="en-US"/>
    </w:rPr>
  </w:style>
  <w:style w:type="paragraph" w:customStyle="1" w:styleId="NumPar2">
    <w:name w:val="NumPar 2"/>
    <w:basedOn w:val="Normal"/>
    <w:next w:val="Text2"/>
    <w:rsid w:val="00C0100D"/>
    <w:pPr>
      <w:numPr>
        <w:numId w:val="10"/>
      </w:numPr>
      <w:tabs>
        <w:tab w:val="clear" w:pos="1413"/>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C0100D"/>
    <w:pPr>
      <w:suppressAutoHyphens w:val="0"/>
      <w:spacing w:before="120" w:after="120" w:line="240" w:lineRule="auto"/>
      <w:ind w:left="850"/>
      <w:jc w:val="both"/>
    </w:pPr>
    <w:rPr>
      <w:sz w:val="24"/>
      <w:lang w:eastAsia="en-GB"/>
    </w:rPr>
  </w:style>
  <w:style w:type="paragraph" w:customStyle="1" w:styleId="Text3">
    <w:name w:val="Text 3"/>
    <w:basedOn w:val="Normal"/>
    <w:semiHidden/>
    <w:rsid w:val="00C0100D"/>
    <w:pPr>
      <w:suppressAutoHyphens w:val="0"/>
      <w:spacing w:before="120" w:after="120" w:line="240" w:lineRule="auto"/>
      <w:ind w:left="850"/>
      <w:jc w:val="both"/>
    </w:pPr>
    <w:rPr>
      <w:sz w:val="24"/>
      <w:lang w:eastAsia="en-GB"/>
    </w:rPr>
  </w:style>
  <w:style w:type="paragraph" w:customStyle="1" w:styleId="Point0">
    <w:name w:val="Point 0"/>
    <w:basedOn w:val="Normal"/>
    <w:semiHidden/>
    <w:rsid w:val="00C0100D"/>
    <w:pPr>
      <w:suppressAutoHyphens w:val="0"/>
      <w:spacing w:before="120" w:after="120" w:line="240" w:lineRule="auto"/>
      <w:ind w:left="850" w:hanging="850"/>
      <w:jc w:val="both"/>
    </w:pPr>
    <w:rPr>
      <w:sz w:val="24"/>
      <w:lang w:eastAsia="en-GB"/>
    </w:rPr>
  </w:style>
  <w:style w:type="paragraph" w:customStyle="1" w:styleId="Tiret1">
    <w:name w:val="Tiret 1"/>
    <w:basedOn w:val="Point1"/>
    <w:semiHidden/>
    <w:rsid w:val="00C0100D"/>
    <w:pPr>
      <w:tabs>
        <w:tab w:val="num" w:pos="709"/>
      </w:tabs>
      <w:ind w:left="709" w:hanging="709"/>
    </w:pPr>
  </w:style>
  <w:style w:type="paragraph" w:customStyle="1" w:styleId="Point1">
    <w:name w:val="Point 1"/>
    <w:basedOn w:val="Normal"/>
    <w:semiHidden/>
    <w:rsid w:val="00C0100D"/>
    <w:pPr>
      <w:suppressAutoHyphens w:val="0"/>
      <w:spacing w:before="120" w:after="120" w:line="240" w:lineRule="auto"/>
      <w:ind w:left="1417" w:hanging="567"/>
      <w:jc w:val="both"/>
    </w:pPr>
    <w:rPr>
      <w:sz w:val="24"/>
      <w:lang w:eastAsia="en-GB"/>
    </w:rPr>
  </w:style>
  <w:style w:type="paragraph" w:customStyle="1" w:styleId="Tiret2">
    <w:name w:val="Tiret 2"/>
    <w:basedOn w:val="Point2"/>
    <w:semiHidden/>
    <w:rsid w:val="00C0100D"/>
    <w:pPr>
      <w:tabs>
        <w:tab w:val="num" w:pos="1984"/>
      </w:tabs>
    </w:pPr>
  </w:style>
  <w:style w:type="paragraph" w:customStyle="1" w:styleId="Point2">
    <w:name w:val="Point 2"/>
    <w:basedOn w:val="Normal"/>
    <w:rsid w:val="00C0100D"/>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C0100D"/>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C0100D"/>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C0100D"/>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0100D"/>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0100D"/>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0100D"/>
  </w:style>
  <w:style w:type="paragraph" w:customStyle="1" w:styleId="ManualHeading1">
    <w:name w:val="Manual Heading 1"/>
    <w:basedOn w:val="Normal"/>
    <w:next w:val="Text1"/>
    <w:semiHidden/>
    <w:rsid w:val="00C0100D"/>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C0100D"/>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0100D"/>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C0100D"/>
    <w:pPr>
      <w:suppressAutoHyphens w:val="0"/>
      <w:spacing w:before="120" w:after="120" w:line="240" w:lineRule="auto"/>
      <w:jc w:val="right"/>
    </w:pPr>
    <w:rPr>
      <w:sz w:val="24"/>
      <w:lang w:eastAsia="en-GB"/>
    </w:rPr>
  </w:style>
  <w:style w:type="paragraph" w:customStyle="1" w:styleId="PointDouble0">
    <w:name w:val="PointDouble 0"/>
    <w:basedOn w:val="Normal"/>
    <w:semiHidden/>
    <w:rsid w:val="00C0100D"/>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C0100D"/>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semiHidden/>
    <w:rsid w:val="00C0100D"/>
    <w:pPr>
      <w:keepNext/>
      <w:suppressAutoHyphens w:val="0"/>
      <w:spacing w:before="120" w:after="360" w:line="240" w:lineRule="auto"/>
      <w:jc w:val="center"/>
    </w:pPr>
    <w:rPr>
      <w:b/>
      <w:smallCaps/>
      <w:sz w:val="28"/>
      <w:lang w:eastAsia="en-GB"/>
    </w:rPr>
  </w:style>
  <w:style w:type="paragraph" w:customStyle="1" w:styleId="QuotedText">
    <w:name w:val="Quoted Text"/>
    <w:basedOn w:val="Normal"/>
    <w:semiHidden/>
    <w:rsid w:val="00C0100D"/>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0100D"/>
    <w:pPr>
      <w:widowControl w:val="0"/>
      <w:numPr>
        <w:numId w:val="12"/>
      </w:numPr>
      <w:tabs>
        <w:tab w:val="clear" w:pos="540"/>
        <w:tab w:val="num" w:pos="1440"/>
        <w:tab w:val="left" w:pos="1985"/>
      </w:tabs>
      <w:suppressAutoHyphens w:val="0"/>
      <w:autoSpaceDE w:val="0"/>
      <w:autoSpaceDN w:val="0"/>
      <w:adjustRightInd w:val="0"/>
      <w:spacing w:line="240" w:lineRule="auto"/>
      <w:ind w:left="1440" w:right="90"/>
    </w:pPr>
    <w:rPr>
      <w:rFonts w:ascii="Courier New" w:hAnsi="Courier New" w:cs="Courier New"/>
      <w:i/>
      <w:iCs/>
      <w:szCs w:val="24"/>
      <w:u w:val="single"/>
    </w:rPr>
  </w:style>
  <w:style w:type="paragraph" w:customStyle="1" w:styleId="GTRnormalCarCarCar1">
    <w:name w:val="GTR normal Car Car Car1"/>
    <w:basedOn w:val="Normal"/>
    <w:rsid w:val="00C0100D"/>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BalloonText">
    <w:name w:val="Balloon Text"/>
    <w:basedOn w:val="Normal"/>
    <w:semiHidden/>
    <w:rsid w:val="00F53A73"/>
    <w:rPr>
      <w:rFonts w:ascii="Tahoma" w:hAnsi="Tahoma" w:cs="Tahoma"/>
      <w:sz w:val="16"/>
      <w:szCs w:val="16"/>
    </w:rPr>
  </w:style>
  <w:style w:type="character" w:styleId="CommentReference">
    <w:name w:val="annotation reference"/>
    <w:semiHidden/>
    <w:rsid w:val="00F53A73"/>
    <w:rPr>
      <w:sz w:val="16"/>
      <w:szCs w:val="16"/>
    </w:rPr>
  </w:style>
  <w:style w:type="paragraph" w:styleId="CommentText">
    <w:name w:val="annotation text"/>
    <w:basedOn w:val="Normal"/>
    <w:semiHidden/>
    <w:rsid w:val="00F53A73"/>
  </w:style>
  <w:style w:type="paragraph" w:styleId="CommentSubject">
    <w:name w:val="annotation subject"/>
    <w:basedOn w:val="CommentText"/>
    <w:next w:val="CommentText"/>
    <w:semiHidden/>
    <w:rsid w:val="00F53A73"/>
    <w:rPr>
      <w:b/>
      <w:bCs/>
    </w:rPr>
  </w:style>
  <w:style w:type="paragraph" w:customStyle="1" w:styleId="para">
    <w:name w:val="para"/>
    <w:basedOn w:val="SingleTxtG"/>
    <w:link w:val="paraChar"/>
    <w:qFormat/>
    <w:rsid w:val="0023373C"/>
    <w:pPr>
      <w:ind w:left="2268" w:hanging="1134"/>
    </w:pPr>
    <w:rPr>
      <w:lang w:val="fr-CH"/>
    </w:rPr>
  </w:style>
  <w:style w:type="character" w:customStyle="1" w:styleId="paraChar">
    <w:name w:val="para Char"/>
    <w:link w:val="para"/>
    <w:rsid w:val="00DA59A4"/>
    <w:rPr>
      <w:lang w:val="fr-CH" w:eastAsia="en-US" w:bidi="ar-SA"/>
    </w:rPr>
  </w:style>
  <w:style w:type="paragraph" w:customStyle="1" w:styleId="a">
    <w:name w:val="a)"/>
    <w:basedOn w:val="Normal"/>
    <w:qFormat/>
    <w:rsid w:val="000D6A75"/>
    <w:pPr>
      <w:tabs>
        <w:tab w:val="decimal" w:pos="567"/>
      </w:tabs>
      <w:spacing w:after="120"/>
      <w:ind w:left="2835" w:right="1134" w:hanging="567"/>
      <w:jc w:val="both"/>
    </w:pPr>
    <w:rPr>
      <w:lang w:val="fr-CH"/>
    </w:rPr>
  </w:style>
  <w:style w:type="paragraph" w:customStyle="1" w:styleId="i">
    <w:name w:val="i)"/>
    <w:basedOn w:val="a"/>
    <w:qFormat/>
    <w:rsid w:val="00FE6E38"/>
    <w:pPr>
      <w:ind w:left="3402"/>
    </w:pPr>
    <w:rPr>
      <w:lang w:val="fr-FR"/>
    </w:rPr>
  </w:style>
  <w:style w:type="paragraph" w:styleId="PlainText">
    <w:name w:val="Plain Text"/>
    <w:basedOn w:val="Normal"/>
    <w:semiHidden/>
    <w:rsid w:val="00E84575"/>
    <w:rPr>
      <w:rFonts w:cs="Courier New"/>
      <w:lang w:val="fr-CH"/>
    </w:rPr>
  </w:style>
  <w:style w:type="paragraph" w:customStyle="1" w:styleId="tableautexte">
    <w:name w:val="tableau texte"/>
    <w:basedOn w:val="StyletableautexteBefore2lineAfter6line1"/>
    <w:rsid w:val="00DA59A4"/>
  </w:style>
  <w:style w:type="paragraph" w:customStyle="1" w:styleId="StyletableautexteBefore2lineAfter6line1">
    <w:name w:val="Style tableau texte + Before:  2 line After:  6 line1"/>
    <w:basedOn w:val="Normal"/>
    <w:rsid w:val="00DA59A4"/>
    <w:pPr>
      <w:suppressAutoHyphens w:val="0"/>
      <w:spacing w:before="40" w:after="120" w:line="240" w:lineRule="exact"/>
    </w:pPr>
    <w:rPr>
      <w:lang w:eastAsia="ko-KR"/>
    </w:rPr>
  </w:style>
  <w:style w:type="paragraph" w:customStyle="1" w:styleId="tableen-tte">
    <w:name w:val="table en-tête"/>
    <w:basedOn w:val="Text1"/>
    <w:autoRedefine/>
    <w:rsid w:val="00DA59A4"/>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DA59A4"/>
    <w:pPr>
      <w:spacing w:beforeLines="40" w:before="96" w:afterLines="80" w:after="192" w:line="240" w:lineRule="atLeast"/>
      <w:jc w:val="center"/>
    </w:pPr>
    <w:rPr>
      <w:sz w:val="18"/>
      <w:szCs w:val="18"/>
    </w:rPr>
  </w:style>
  <w:style w:type="paragraph" w:customStyle="1" w:styleId="Style1">
    <w:name w:val="Style1"/>
    <w:basedOn w:val="Normal"/>
    <w:rsid w:val="00DA59A4"/>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D75405"/>
  </w:style>
  <w:style w:type="paragraph" w:customStyle="1" w:styleId="StyletableauchiffresBefore2lineAfter2line">
    <w:name w:val="Style tableau chiffres + Before:  2 line After:  2 line"/>
    <w:basedOn w:val="Normal"/>
    <w:rsid w:val="00D75405"/>
    <w:pPr>
      <w:suppressAutoHyphens w:val="0"/>
      <w:spacing w:before="40" w:after="80"/>
      <w:jc w:val="center"/>
    </w:pPr>
    <w:rPr>
      <w:sz w:val="18"/>
      <w:lang w:eastAsia="ko-KR"/>
    </w:rPr>
  </w:style>
  <w:style w:type="paragraph" w:styleId="BodyTextIndent3">
    <w:name w:val="Body Text Indent 3"/>
    <w:basedOn w:val="Normal"/>
    <w:rsid w:val="00002BA6"/>
    <w:pPr>
      <w:suppressAutoHyphens w:val="0"/>
      <w:spacing w:after="240" w:line="240" w:lineRule="auto"/>
      <w:ind w:left="1134"/>
    </w:pPr>
    <w:rPr>
      <w:sz w:val="24"/>
      <w:lang w:val="fr-FR"/>
    </w:rPr>
  </w:style>
  <w:style w:type="paragraph" w:customStyle="1" w:styleId="TermNum">
    <w:name w:val="TermNum"/>
    <w:basedOn w:val="Normal"/>
    <w:next w:val="Terms"/>
    <w:semiHidden/>
    <w:rsid w:val="00002BA6"/>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002BA6"/>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Definition">
    <w:name w:val="Definition"/>
    <w:basedOn w:val="Normal"/>
    <w:next w:val="Normal"/>
    <w:semiHidden/>
    <w:rsid w:val="00002BA6"/>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styleId="Caption">
    <w:name w:val="caption"/>
    <w:basedOn w:val="Normal"/>
    <w:next w:val="Normal"/>
    <w:rsid w:val="00002BA6"/>
    <w:pPr>
      <w:suppressAutoHyphens w:val="0"/>
      <w:spacing w:before="120" w:after="120" w:line="240" w:lineRule="auto"/>
      <w:jc w:val="both"/>
    </w:pPr>
    <w:rPr>
      <w:rFonts w:ascii="Arial" w:eastAsia="MS Mincho" w:hAnsi="Arial"/>
      <w:b/>
      <w:bCs/>
      <w:sz w:val="22"/>
      <w:lang w:eastAsia="de-DE"/>
    </w:rPr>
  </w:style>
  <w:style w:type="paragraph" w:customStyle="1" w:styleId="Formula">
    <w:name w:val="Formula"/>
    <w:basedOn w:val="Normal"/>
    <w:next w:val="Normal"/>
    <w:semiHidden/>
    <w:rsid w:val="00002BA6"/>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character" w:customStyle="1" w:styleId="TableFootNoteXref">
    <w:name w:val="TableFootNoteXref"/>
    <w:semiHidden/>
    <w:rsid w:val="00002BA6"/>
    <w:rPr>
      <w:position w:val="6"/>
      <w:sz w:val="16"/>
    </w:rPr>
  </w:style>
  <w:style w:type="paragraph" w:styleId="Index1">
    <w:name w:val="index 1"/>
    <w:basedOn w:val="Normal"/>
    <w:next w:val="Normal"/>
    <w:autoRedefine/>
    <w:semiHidden/>
    <w:rsid w:val="00002BA6"/>
    <w:pPr>
      <w:ind w:left="200" w:hanging="200"/>
    </w:pPr>
  </w:style>
  <w:style w:type="paragraph" w:styleId="IndexHeading">
    <w:name w:val="index heading"/>
    <w:basedOn w:val="Normal"/>
    <w:next w:val="Index1"/>
    <w:semiHidden/>
    <w:rsid w:val="00002BA6"/>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ANNEX">
    <w:name w:val="ANNEX"/>
    <w:basedOn w:val="Normal"/>
    <w:next w:val="Normal"/>
    <w:semiHidden/>
    <w:rsid w:val="00002BA6"/>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Special">
    <w:name w:val="Special"/>
    <w:basedOn w:val="Normal"/>
    <w:next w:val="Normal"/>
    <w:semiHidden/>
    <w:rsid w:val="00002BA6"/>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002BA6"/>
    <w:pPr>
      <w:suppressAutoHyphens w:val="0"/>
      <w:spacing w:after="240" w:line="230" w:lineRule="atLeast"/>
    </w:pPr>
    <w:rPr>
      <w:rFonts w:ascii="Arial" w:hAnsi="Arial"/>
    </w:rPr>
  </w:style>
  <w:style w:type="paragraph" w:customStyle="1" w:styleId="BodyText31">
    <w:name w:val="Body Text 31"/>
    <w:basedOn w:val="Normal"/>
    <w:semiHidden/>
    <w:rsid w:val="00002BA6"/>
    <w:pPr>
      <w:suppressAutoHyphens w:val="0"/>
      <w:spacing w:before="60" w:after="60" w:line="190" w:lineRule="auto"/>
      <w:jc w:val="both"/>
    </w:pPr>
    <w:rPr>
      <w:rFonts w:ascii="Arial" w:hAnsi="Arial"/>
      <w:sz w:val="16"/>
    </w:rPr>
  </w:style>
  <w:style w:type="character" w:customStyle="1" w:styleId="Subscript">
    <w:name w:val="Subscript"/>
    <w:semiHidden/>
    <w:rsid w:val="00002BA6"/>
    <w:rPr>
      <w:rFonts w:ascii="Arial" w:hAnsi="Arial"/>
      <w:noProof w:val="0"/>
      <w:position w:val="-5"/>
      <w:sz w:val="16"/>
      <w:lang w:val="en-GB"/>
    </w:rPr>
  </w:style>
  <w:style w:type="paragraph" w:styleId="ListContinue">
    <w:name w:val="List Continue"/>
    <w:aliases w:val="list-1"/>
    <w:basedOn w:val="Normal"/>
    <w:semiHidden/>
    <w:rsid w:val="00002BA6"/>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002BA6"/>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TOC1">
    <w:name w:val="toc 1"/>
    <w:next w:val="Normal"/>
    <w:uiPriority w:val="39"/>
    <w:rsid w:val="00002BA6"/>
    <w:pPr>
      <w:spacing w:after="60"/>
    </w:pPr>
    <w:rPr>
      <w:rFonts w:ascii="Arial" w:hAnsi="Arial"/>
      <w:b/>
      <w:bCs/>
      <w:noProof/>
      <w:sz w:val="22"/>
      <w:lang w:eastAsia="en-US"/>
    </w:rPr>
  </w:style>
  <w:style w:type="paragraph" w:styleId="BlockText">
    <w:name w:val="Block Text"/>
    <w:basedOn w:val="Normal"/>
    <w:semiHidden/>
    <w:rsid w:val="00002BA6"/>
    <w:pPr>
      <w:tabs>
        <w:tab w:val="left" w:pos="1134"/>
      </w:tabs>
      <w:suppressAutoHyphens w:val="0"/>
      <w:spacing w:after="240" w:line="240" w:lineRule="auto"/>
      <w:ind w:left="1440" w:right="1440"/>
    </w:pPr>
    <w:rPr>
      <w:rFonts w:cs="Arial"/>
      <w:bCs/>
      <w:sz w:val="24"/>
      <w:szCs w:val="32"/>
    </w:rPr>
  </w:style>
  <w:style w:type="paragraph" w:styleId="ListBullet">
    <w:name w:val="List Bullet"/>
    <w:basedOn w:val="Normal"/>
    <w:semiHidden/>
    <w:rsid w:val="00002BA6"/>
    <w:pPr>
      <w:tabs>
        <w:tab w:val="left" w:pos="1134"/>
        <w:tab w:val="num" w:pos="1566"/>
      </w:tabs>
      <w:suppressAutoHyphens w:val="0"/>
      <w:spacing w:line="240" w:lineRule="auto"/>
      <w:ind w:left="369" w:hanging="284"/>
    </w:pPr>
    <w:rPr>
      <w:rFonts w:cs="Arial"/>
      <w:bCs/>
      <w:sz w:val="24"/>
      <w:szCs w:val="32"/>
    </w:rPr>
  </w:style>
  <w:style w:type="paragraph" w:styleId="ListNumber">
    <w:name w:val="List Number"/>
    <w:basedOn w:val="Normal"/>
    <w:semiHidden/>
    <w:rsid w:val="00002BA6"/>
    <w:pPr>
      <w:numPr>
        <w:numId w:val="7"/>
      </w:num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002BA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002BA6"/>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rsid w:val="00002BA6"/>
    <w:pPr>
      <w:tabs>
        <w:tab w:val="left" w:pos="1134"/>
      </w:tabs>
      <w:suppressAutoHyphens w:val="0"/>
      <w:spacing w:after="240" w:line="240" w:lineRule="auto"/>
      <w:ind w:left="1134"/>
      <w:jc w:val="center"/>
    </w:pPr>
    <w:rPr>
      <w:rFonts w:cs="Arial"/>
      <w:b/>
      <w:sz w:val="26"/>
      <w:szCs w:val="32"/>
    </w:rPr>
  </w:style>
  <w:style w:type="paragraph" w:customStyle="1" w:styleId="Title2">
    <w:name w:val="Title 2"/>
    <w:basedOn w:val="Title"/>
    <w:semiHidden/>
    <w:rsid w:val="00002BA6"/>
  </w:style>
  <w:style w:type="paragraph" w:customStyle="1" w:styleId="Frontpage">
    <w:name w:val="Front page"/>
    <w:semiHidden/>
    <w:rsid w:val="00002BA6"/>
    <w:rPr>
      <w:rFonts w:ascii="Arial" w:hAnsi="Arial"/>
      <w:b/>
      <w:sz w:val="22"/>
      <w:lang w:eastAsia="en-US"/>
    </w:rPr>
  </w:style>
  <w:style w:type="paragraph" w:customStyle="1" w:styleId="Frontpagetitle">
    <w:name w:val="Front page title"/>
    <w:semiHidden/>
    <w:rsid w:val="00002BA6"/>
    <w:pPr>
      <w:spacing w:line="264" w:lineRule="auto"/>
      <w:jc w:val="center"/>
    </w:pPr>
    <w:rPr>
      <w:rFonts w:ascii="Arial" w:hAnsi="Arial"/>
      <w:b/>
      <w:sz w:val="24"/>
      <w:lang w:eastAsia="en-US"/>
    </w:rPr>
  </w:style>
  <w:style w:type="paragraph" w:customStyle="1" w:styleId="Frontpagelarger">
    <w:name w:val="Front page larger"/>
    <w:basedOn w:val="Frontpage"/>
    <w:semiHidden/>
    <w:rsid w:val="00002BA6"/>
    <w:pPr>
      <w:numPr>
        <w:numId w:val="14"/>
      </w:numPr>
      <w:tabs>
        <w:tab w:val="clear" w:pos="360"/>
      </w:tabs>
      <w:ind w:left="0" w:firstLine="0"/>
    </w:pPr>
    <w:rPr>
      <w:sz w:val="24"/>
    </w:rPr>
  </w:style>
  <w:style w:type="paragraph" w:customStyle="1" w:styleId="Frontpagetext">
    <w:name w:val="Front page text"/>
    <w:basedOn w:val="Frontpage"/>
    <w:semiHidden/>
    <w:rsid w:val="00002BA6"/>
    <w:pPr>
      <w:numPr>
        <w:numId w:val="15"/>
      </w:numPr>
      <w:tabs>
        <w:tab w:val="clear" w:pos="360"/>
      </w:tabs>
      <w:spacing w:line="264" w:lineRule="auto"/>
      <w:ind w:left="0" w:firstLine="0"/>
    </w:pPr>
    <w:rPr>
      <w:b w:val="0"/>
    </w:rPr>
  </w:style>
  <w:style w:type="paragraph" w:customStyle="1" w:styleId="Level2">
    <w:name w:val="Level 2"/>
    <w:basedOn w:val="Normal"/>
    <w:semiHidden/>
    <w:rsid w:val="00002BA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002BA6"/>
    <w:pPr>
      <w:widowControl w:val="0"/>
      <w:numPr>
        <w:numId w:val="8"/>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002BA6"/>
    <w:pPr>
      <w:keepNext/>
      <w:tabs>
        <w:tab w:val="num" w:pos="432"/>
      </w:tabs>
      <w:spacing w:before="300" w:after="220"/>
      <w:ind w:left="432" w:hanging="432"/>
      <w:outlineLvl w:val="0"/>
    </w:pPr>
    <w:rPr>
      <w:sz w:val="24"/>
      <w:lang w:eastAsia="en-US"/>
    </w:rPr>
  </w:style>
  <w:style w:type="paragraph" w:customStyle="1" w:styleId="Appendix">
    <w:name w:val="Appendix"/>
    <w:semiHidden/>
    <w:rsid w:val="00002BA6"/>
    <w:pPr>
      <w:pageBreakBefore/>
      <w:jc w:val="center"/>
      <w:outlineLvl w:val="0"/>
    </w:pPr>
    <w:rPr>
      <w:rFonts w:ascii="Courier New" w:hAnsi="Courier New"/>
      <w:b/>
      <w:sz w:val="24"/>
      <w:lang w:eastAsia="en-US"/>
    </w:rPr>
  </w:style>
  <w:style w:type="paragraph" w:customStyle="1" w:styleId="HeaderA2">
    <w:name w:val="Header A2"/>
    <w:basedOn w:val="HeaderA1"/>
    <w:semiHidden/>
    <w:rsid w:val="00002BA6"/>
    <w:pPr>
      <w:numPr>
        <w:ilvl w:val="1"/>
        <w:numId w:val="9"/>
      </w:numPr>
    </w:pPr>
  </w:style>
  <w:style w:type="paragraph" w:customStyle="1" w:styleId="HeaderA3">
    <w:name w:val="Header A3"/>
    <w:basedOn w:val="HeaderA2"/>
    <w:next w:val="Normal"/>
    <w:semiHidden/>
    <w:rsid w:val="00002BA6"/>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002BA6"/>
    <w:pPr>
      <w:numPr>
        <w:ilvl w:val="3"/>
      </w:numPr>
    </w:pPr>
  </w:style>
  <w:style w:type="paragraph" w:customStyle="1" w:styleId="HeaderA5">
    <w:name w:val="Header A5"/>
    <w:basedOn w:val="HeaderA4"/>
    <w:semiHidden/>
    <w:rsid w:val="00002BA6"/>
    <w:pPr>
      <w:numPr>
        <w:ilvl w:val="4"/>
      </w:numPr>
    </w:pPr>
  </w:style>
  <w:style w:type="character" w:customStyle="1" w:styleId="hilite1">
    <w:name w:val="hilite1"/>
    <w:semiHidden/>
    <w:rsid w:val="00002BA6"/>
    <w:rPr>
      <w:b/>
      <w:bCs/>
      <w:color w:val="CC0000"/>
    </w:rPr>
  </w:style>
  <w:style w:type="paragraph" w:customStyle="1" w:styleId="FootnoteTex">
    <w:name w:val="Footnote Tex"/>
    <w:basedOn w:val="Normal"/>
    <w:rsid w:val="00002BA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002BA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002BA6"/>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002BA6"/>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02BA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002BA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002BA6"/>
    <w:pPr>
      <w:ind w:left="1134" w:hanging="283"/>
    </w:pPr>
    <w:rPr>
      <w:b/>
    </w:rPr>
  </w:style>
  <w:style w:type="paragraph" w:customStyle="1" w:styleId="normal2jfr">
    <w:name w:val="normal2_jfr"/>
    <w:basedOn w:val="normaljfr"/>
    <w:semiHidden/>
    <w:rsid w:val="00002BA6"/>
    <w:pPr>
      <w:ind w:left="1134" w:hanging="283"/>
    </w:pPr>
  </w:style>
  <w:style w:type="paragraph" w:customStyle="1" w:styleId="remjfr">
    <w:name w:val="rem_jfr"/>
    <w:basedOn w:val="normaljfr"/>
    <w:next w:val="normaljfr"/>
    <w:semiHidden/>
    <w:rsid w:val="00002BA6"/>
    <w:pPr>
      <w:tabs>
        <w:tab w:val="left" w:pos="3686"/>
      </w:tabs>
      <w:ind w:left="1985" w:hanging="1134"/>
    </w:pPr>
    <w:rPr>
      <w:i/>
    </w:rPr>
  </w:style>
  <w:style w:type="paragraph" w:customStyle="1" w:styleId="notejfr">
    <w:name w:val="note_jfr"/>
    <w:basedOn w:val="normaljfr"/>
    <w:next w:val="normaljfr"/>
    <w:semiHidden/>
    <w:rsid w:val="00002BA6"/>
    <w:pPr>
      <w:tabs>
        <w:tab w:val="clear" w:pos="1701"/>
      </w:tabs>
      <w:ind w:left="1843" w:hanging="992"/>
    </w:pPr>
    <w:rPr>
      <w:i/>
    </w:rPr>
  </w:style>
  <w:style w:type="paragraph" w:customStyle="1" w:styleId="t2jfr">
    <w:name w:val="t2_jfr"/>
    <w:basedOn w:val="Normal"/>
    <w:next w:val="normaljfr"/>
    <w:semiHidden/>
    <w:rsid w:val="00002BA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002BA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002BA6"/>
    <w:pPr>
      <w:ind w:left="1418"/>
    </w:pPr>
    <w:rPr>
      <w:lang w:val="en-GB"/>
    </w:rPr>
  </w:style>
  <w:style w:type="paragraph" w:customStyle="1" w:styleId="normal2ajfr">
    <w:name w:val="normal2a_jfr"/>
    <w:basedOn w:val="normal2jfr"/>
    <w:semiHidden/>
    <w:rsid w:val="00002BA6"/>
    <w:rPr>
      <w:lang w:val="en-GB"/>
    </w:rPr>
  </w:style>
  <w:style w:type="paragraph" w:customStyle="1" w:styleId="normal1ajfr">
    <w:name w:val="normal1a_jfr"/>
    <w:basedOn w:val="normaljfr"/>
    <w:semiHidden/>
    <w:rsid w:val="00002BA6"/>
    <w:rPr>
      <w:lang w:val="en-GB"/>
    </w:rPr>
  </w:style>
  <w:style w:type="paragraph" w:customStyle="1" w:styleId="t1ajfr">
    <w:name w:val="t1a_jfr"/>
    <w:basedOn w:val="Heading1"/>
    <w:next w:val="normal1ajfr"/>
    <w:semiHidden/>
    <w:rsid w:val="00002BA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002BA6"/>
    <w:pPr>
      <w:keepNext/>
      <w:suppressAutoHyphens w:val="0"/>
      <w:ind w:left="567"/>
      <w:outlineLvl w:val="9"/>
    </w:pPr>
    <w:rPr>
      <w:i/>
      <w:sz w:val="24"/>
      <w:u w:val="single"/>
    </w:rPr>
  </w:style>
  <w:style w:type="paragraph" w:customStyle="1" w:styleId="t3ajfr">
    <w:name w:val="t3a_jfr"/>
    <w:basedOn w:val="t2ajfr"/>
    <w:next w:val="normal1ajfr"/>
    <w:semiHidden/>
    <w:rsid w:val="00002BA6"/>
    <w:pPr>
      <w:ind w:left="851"/>
    </w:pPr>
    <w:rPr>
      <w:i w:val="0"/>
    </w:rPr>
  </w:style>
  <w:style w:type="paragraph" w:customStyle="1" w:styleId="t3jfr">
    <w:name w:val="t3_jfr"/>
    <w:basedOn w:val="t3ajfr"/>
    <w:next w:val="normaljfr"/>
    <w:semiHidden/>
    <w:rsid w:val="00002BA6"/>
    <w:rPr>
      <w:lang w:val="fr-FR"/>
    </w:rPr>
  </w:style>
  <w:style w:type="paragraph" w:customStyle="1" w:styleId="GTRnormal3">
    <w:name w:val="GTR normal 3"/>
    <w:basedOn w:val="GTRnormalCarCarCar1"/>
    <w:rsid w:val="00002BA6"/>
    <w:pPr>
      <w:spacing w:after="240"/>
      <w:ind w:left="1418"/>
    </w:pPr>
    <w:rPr>
      <w:szCs w:val="20"/>
    </w:rPr>
  </w:style>
  <w:style w:type="paragraph" w:customStyle="1" w:styleId="GTRnormal2Car">
    <w:name w:val="GTR normal 2 Car"/>
    <w:basedOn w:val="GTRnormalCarCarCar1"/>
    <w:rsid w:val="00002BA6"/>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002BA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002BA6"/>
    <w:pPr>
      <w:widowControl w:val="0"/>
      <w:autoSpaceDE w:val="0"/>
      <w:autoSpaceDN w:val="0"/>
      <w:adjustRightInd w:val="0"/>
    </w:pPr>
    <w:rPr>
      <w:sz w:val="24"/>
      <w:szCs w:val="24"/>
      <w:lang w:val="en-US" w:eastAsia="en-US"/>
    </w:rPr>
  </w:style>
  <w:style w:type="paragraph" w:customStyle="1" w:styleId="Heading61">
    <w:name w:val="Heading 61"/>
    <w:semiHidden/>
    <w:rsid w:val="00002BA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002BA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002BA6"/>
    <w:pPr>
      <w:jc w:val="both"/>
    </w:pPr>
    <w:rPr>
      <w:rFonts w:ascii="Arial" w:eastAsia="MS Mincho" w:hAnsi="Arial"/>
      <w:color w:val="000000"/>
      <w:lang w:val="en-US" w:eastAsia="en-US"/>
    </w:rPr>
  </w:style>
  <w:style w:type="paragraph" w:customStyle="1" w:styleId="Zakltextodsazeny">
    <w:name w:val="Zakl text odsazeny"/>
    <w:basedOn w:val="Normal"/>
    <w:semiHidden/>
    <w:rsid w:val="00002BA6"/>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semiHidden/>
    <w:rsid w:val="00002BA6"/>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semiHidden/>
    <w:rsid w:val="00002BA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002BA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002BA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002BA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002BA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002BA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002BA6"/>
    <w:pPr>
      <w:spacing w:before="120" w:after="120"/>
      <w:ind w:left="340"/>
      <w:jc w:val="both"/>
    </w:pPr>
    <w:rPr>
      <w:rFonts w:ascii="Arial" w:eastAsia="MS Mincho" w:hAnsi="Arial"/>
      <w:sz w:val="20"/>
      <w:szCs w:val="20"/>
    </w:rPr>
  </w:style>
  <w:style w:type="paragraph" w:customStyle="1" w:styleId="Standard2">
    <w:name w:val="Standard 2"/>
    <w:basedOn w:val="BodyText"/>
    <w:semiHidden/>
    <w:rsid w:val="00002BA6"/>
    <w:pPr>
      <w:spacing w:before="120" w:after="120"/>
      <w:ind w:left="567"/>
      <w:jc w:val="both"/>
    </w:pPr>
    <w:rPr>
      <w:rFonts w:ascii="Arial" w:eastAsia="MS Mincho" w:hAnsi="Arial"/>
      <w:sz w:val="20"/>
      <w:szCs w:val="20"/>
    </w:rPr>
  </w:style>
  <w:style w:type="paragraph" w:customStyle="1" w:styleId="Standard3">
    <w:name w:val="Standard 3"/>
    <w:basedOn w:val="BodyText"/>
    <w:semiHidden/>
    <w:rsid w:val="00002BA6"/>
    <w:pPr>
      <w:spacing w:before="120" w:after="120"/>
      <w:ind w:left="737"/>
      <w:jc w:val="both"/>
    </w:pPr>
    <w:rPr>
      <w:rFonts w:ascii="Arial" w:eastAsia="MS Mincho" w:hAnsi="Arial"/>
      <w:sz w:val="20"/>
      <w:szCs w:val="20"/>
    </w:rPr>
  </w:style>
  <w:style w:type="paragraph" w:customStyle="1" w:styleId="Note4">
    <w:name w:val="Note 4"/>
    <w:basedOn w:val="Normal"/>
    <w:autoRedefine/>
    <w:rsid w:val="00002BA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002BA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002BA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002BA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002BA6"/>
    <w:pPr>
      <w:ind w:left="1701"/>
    </w:pPr>
  </w:style>
  <w:style w:type="paragraph" w:customStyle="1" w:styleId="Table">
    <w:name w:val="Table"/>
    <w:basedOn w:val="Caption"/>
    <w:semiHidden/>
    <w:rsid w:val="00002BA6"/>
    <w:pPr>
      <w:tabs>
        <w:tab w:val="left" w:pos="993"/>
      </w:tabs>
      <w:spacing w:after="240"/>
      <w:jc w:val="center"/>
    </w:pPr>
  </w:style>
  <w:style w:type="paragraph" w:customStyle="1" w:styleId="standard6">
    <w:name w:val="standard 6"/>
    <w:basedOn w:val="Normal"/>
    <w:semiHidden/>
    <w:rsid w:val="00002BA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002BA6"/>
    <w:pPr>
      <w:tabs>
        <w:tab w:val="clear" w:pos="1140"/>
        <w:tab w:val="clear" w:pos="1491"/>
        <w:tab w:val="num" w:pos="360"/>
      </w:tabs>
      <w:ind w:left="360" w:hanging="360"/>
    </w:pPr>
  </w:style>
  <w:style w:type="paragraph" w:customStyle="1" w:styleId="Note6">
    <w:name w:val="Note 6"/>
    <w:basedOn w:val="Note5"/>
    <w:semiHidden/>
    <w:rsid w:val="00002BA6"/>
    <w:pPr>
      <w:tabs>
        <w:tab w:val="clear" w:pos="1418"/>
        <w:tab w:val="left" w:pos="1985"/>
      </w:tabs>
      <w:ind w:left="1985"/>
    </w:pPr>
  </w:style>
  <w:style w:type="paragraph" w:customStyle="1" w:styleId="title1">
    <w:name w:val="title1"/>
    <w:basedOn w:val="main"/>
    <w:semiHidden/>
    <w:rsid w:val="00002BA6"/>
    <w:rPr>
      <w:b/>
      <w:sz w:val="28"/>
    </w:rPr>
  </w:style>
  <w:style w:type="paragraph" w:customStyle="1" w:styleId="main">
    <w:name w:val="main"/>
    <w:basedOn w:val="Normal"/>
    <w:rsid w:val="00002BA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002BA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002BA6"/>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02BA6"/>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002BA6"/>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002BA6"/>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semiHidden/>
    <w:rsid w:val="00002BA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002BA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02BA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002BA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002BA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002BA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002BA6"/>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002BA6"/>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002BA6"/>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002BA6"/>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002BA6"/>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002BA6"/>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002BA6"/>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002BA6"/>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02BA6"/>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002BA6"/>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002BA6"/>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002BA6"/>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002BA6"/>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002BA6"/>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002BA6"/>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002BA6"/>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02BA6"/>
  </w:style>
  <w:style w:type="paragraph" w:customStyle="1" w:styleId="zzCopyright">
    <w:name w:val="zzCopyright"/>
    <w:basedOn w:val="Normal"/>
    <w:next w:val="Normal"/>
    <w:semiHidden/>
    <w:rsid w:val="00002BA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002BA6"/>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02BA6"/>
    <w:rPr>
      <w:color w:val="0000FF"/>
    </w:rPr>
  </w:style>
  <w:style w:type="paragraph" w:customStyle="1" w:styleId="zzIndex">
    <w:name w:val="zzIndex"/>
    <w:basedOn w:val="zzBiblio"/>
    <w:next w:val="Normal"/>
    <w:semiHidden/>
    <w:rsid w:val="00002BA6"/>
  </w:style>
  <w:style w:type="paragraph" w:customStyle="1" w:styleId="zzSTDTitle">
    <w:name w:val="zzSTDTitle"/>
    <w:basedOn w:val="Normal"/>
    <w:next w:val="Normal"/>
    <w:semiHidden/>
    <w:rsid w:val="00002BA6"/>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002BA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002BA6"/>
    <w:pPr>
      <w:suppressAutoHyphens w:val="0"/>
      <w:spacing w:before="40" w:after="40" w:line="210" w:lineRule="exact"/>
    </w:pPr>
    <w:rPr>
      <w:rFonts w:ascii="Helvetica" w:hAnsi="Helvetica"/>
      <w:sz w:val="18"/>
      <w:lang w:val="fr-FR" w:eastAsia="de-DE"/>
    </w:rPr>
  </w:style>
  <w:style w:type="paragraph" w:customStyle="1" w:styleId="Default">
    <w:name w:val="Default"/>
    <w:semiHidden/>
    <w:rsid w:val="00002BA6"/>
    <w:pPr>
      <w:autoSpaceDE w:val="0"/>
      <w:autoSpaceDN w:val="0"/>
      <w:adjustRightInd w:val="0"/>
    </w:pPr>
    <w:rPr>
      <w:color w:val="000000"/>
      <w:sz w:val="24"/>
      <w:szCs w:val="24"/>
      <w:lang w:val="sv-SE" w:eastAsia="sv-SE"/>
    </w:rPr>
  </w:style>
  <w:style w:type="paragraph" w:customStyle="1" w:styleId="PointTriple1">
    <w:name w:val="PointTriple 1"/>
    <w:basedOn w:val="Normal"/>
    <w:rsid w:val="00BB1DA8"/>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BB1DA8"/>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BB1DA8"/>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BB1DA8"/>
    <w:rPr>
      <w:sz w:val="24"/>
      <w:lang w:val="en-GB" w:eastAsia="en-GB" w:bidi="ar-SA"/>
    </w:rPr>
  </w:style>
  <w:style w:type="paragraph" w:styleId="ListNumber3">
    <w:name w:val="List Number 3"/>
    <w:basedOn w:val="Normal"/>
    <w:semiHidden/>
    <w:rsid w:val="00AF2027"/>
    <w:pPr>
      <w:numPr>
        <w:numId w:val="23"/>
      </w:numPr>
    </w:pPr>
    <w:rPr>
      <w:lang w:val="fr-CH"/>
    </w:rPr>
  </w:style>
  <w:style w:type="character" w:customStyle="1" w:styleId="FootnoteTextChar">
    <w:name w:val="Footnote Text Char"/>
    <w:aliases w:val="5_G Char,PP Char"/>
    <w:link w:val="FootnoteText"/>
    <w:rsid w:val="00D247DE"/>
    <w:rPr>
      <w:sz w:val="18"/>
      <w:lang w:eastAsia="en-US"/>
    </w:rPr>
  </w:style>
  <w:style w:type="paragraph" w:styleId="EnvelopeReturn">
    <w:name w:val="envelope return"/>
    <w:basedOn w:val="Normal"/>
    <w:rsid w:val="00EC3C99"/>
    <w:rPr>
      <w:rFonts w:ascii="Arial" w:hAnsi="Arial" w:cs="Arial"/>
    </w:rPr>
  </w:style>
  <w:style w:type="paragraph" w:styleId="HTMLAddress">
    <w:name w:val="HTML Address"/>
    <w:basedOn w:val="Normal"/>
    <w:link w:val="HTMLAddressChar"/>
    <w:rsid w:val="004E2929"/>
    <w:rPr>
      <w:i/>
      <w:iCs/>
      <w:lang w:val="x-none"/>
    </w:rPr>
  </w:style>
  <w:style w:type="character" w:customStyle="1" w:styleId="HTMLAddressChar">
    <w:name w:val="HTML Address Char"/>
    <w:link w:val="HTMLAddress"/>
    <w:rsid w:val="004E2929"/>
    <w:rPr>
      <w:i/>
      <w:iCs/>
      <w:lang w:val="x-none" w:eastAsia="en-US"/>
    </w:rPr>
  </w:style>
  <w:style w:type="character" w:customStyle="1" w:styleId="FooterChar">
    <w:name w:val="Footer Char"/>
    <w:aliases w:val="3_G Char"/>
    <w:link w:val="Footer"/>
    <w:uiPriority w:val="99"/>
    <w:rsid w:val="00B4293A"/>
    <w:rPr>
      <w:sz w:val="16"/>
      <w:lang w:eastAsia="en-US"/>
    </w:rPr>
  </w:style>
  <w:style w:type="character" w:customStyle="1" w:styleId="HeaderChar">
    <w:name w:val="Header Char"/>
    <w:aliases w:val="6_G Char"/>
    <w:link w:val="Header"/>
    <w:uiPriority w:val="99"/>
    <w:rsid w:val="00B4293A"/>
    <w:rPr>
      <w:b/>
      <w:sz w:val="18"/>
      <w:lang w:eastAsia="en-US"/>
    </w:rPr>
  </w:style>
  <w:style w:type="paragraph" w:customStyle="1" w:styleId="GRPEfootnote">
    <w:name w:val="GRPE footnote"/>
    <w:basedOn w:val="Normal"/>
    <w:rsid w:val="00B4293A"/>
    <w:pPr>
      <w:tabs>
        <w:tab w:val="left" w:pos="567"/>
      </w:tabs>
      <w:suppressAutoHyphens w:val="0"/>
      <w:spacing w:line="240" w:lineRule="auto"/>
      <w:ind w:left="567" w:hanging="567"/>
    </w:pPr>
    <w:rPr>
      <w:rFonts w:eastAsia="MS Mincho"/>
      <w:lang w:val="en-US" w:eastAsia="ja-JP"/>
    </w:rPr>
  </w:style>
  <w:style w:type="paragraph" w:styleId="Subtitle">
    <w:name w:val="Subtitle"/>
    <w:basedOn w:val="Normal"/>
    <w:next w:val="Normal"/>
    <w:link w:val="SubtitleChar"/>
    <w:qFormat/>
    <w:rsid w:val="00B04DC3"/>
    <w:pPr>
      <w:spacing w:after="60"/>
      <w:jc w:val="center"/>
      <w:outlineLvl w:val="1"/>
    </w:pPr>
    <w:rPr>
      <w:rFonts w:ascii="Cambria" w:hAnsi="Cambria"/>
      <w:sz w:val="24"/>
      <w:szCs w:val="24"/>
    </w:rPr>
  </w:style>
  <w:style w:type="character" w:customStyle="1" w:styleId="SubtitleChar">
    <w:name w:val="Subtitle Char"/>
    <w:link w:val="Subtitle"/>
    <w:rsid w:val="00B04DC3"/>
    <w:rPr>
      <w:rFonts w:ascii="Cambria" w:eastAsia="Times New Roman" w:hAnsi="Cambria" w:cs="Times New Roman"/>
      <w:sz w:val="24"/>
      <w:szCs w:val="24"/>
      <w:lang w:eastAsia="en-US"/>
    </w:rPr>
  </w:style>
  <w:style w:type="paragraph" w:styleId="TOC2">
    <w:name w:val="toc 2"/>
    <w:basedOn w:val="Normal"/>
    <w:next w:val="Normal"/>
    <w:autoRedefine/>
    <w:uiPriority w:val="39"/>
    <w:unhideWhenUsed/>
    <w:rsid w:val="00331BC3"/>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331BC3"/>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331BC3"/>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331BC3"/>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331BC3"/>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331BC3"/>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331BC3"/>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331BC3"/>
    <w:pPr>
      <w:suppressAutoHyphens w:val="0"/>
      <w:spacing w:after="100" w:line="276" w:lineRule="auto"/>
      <w:ind w:left="1760"/>
    </w:pPr>
    <w:rPr>
      <w:rFonts w:ascii="Calibri" w:hAnsi="Calibri"/>
      <w:sz w:val="22"/>
      <w:szCs w:val="22"/>
      <w:lang w:eastAsia="en-GB"/>
    </w:rPr>
  </w:style>
  <w:style w:type="paragraph" w:styleId="Revision">
    <w:name w:val="Revision"/>
    <w:hidden/>
    <w:uiPriority w:val="99"/>
    <w:semiHidden/>
    <w:rsid w:val="00450AC9"/>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671" Type="http://schemas.openxmlformats.org/officeDocument/2006/relationships/footer" Target="footer41.xml"/><Relationship Id="rId769" Type="http://schemas.openxmlformats.org/officeDocument/2006/relationships/fontTable" Target="fontTable.xml"/><Relationship Id="rId21" Type="http://schemas.openxmlformats.org/officeDocument/2006/relationships/oleObject" Target="embeddings/oleObject1.bin"/><Relationship Id="rId324" Type="http://schemas.openxmlformats.org/officeDocument/2006/relationships/header" Target="header58.xml"/><Relationship Id="rId531" Type="http://schemas.openxmlformats.org/officeDocument/2006/relationships/header" Target="header93.xml"/><Relationship Id="rId629" Type="http://schemas.openxmlformats.org/officeDocument/2006/relationships/header" Target="header106.xml"/><Relationship Id="rId170" Type="http://schemas.openxmlformats.org/officeDocument/2006/relationships/oleObject" Target="embeddings/oleObject42.bin"/><Relationship Id="rId268" Type="http://schemas.openxmlformats.org/officeDocument/2006/relationships/header" Target="header47.xml"/><Relationship Id="rId475" Type="http://schemas.openxmlformats.org/officeDocument/2006/relationships/image" Target="media/image203.wmf"/><Relationship Id="rId682" Type="http://schemas.openxmlformats.org/officeDocument/2006/relationships/header" Target="header116.xml"/><Relationship Id="rId32" Type="http://schemas.openxmlformats.org/officeDocument/2006/relationships/oleObject" Target="embeddings/oleObject4.bin"/><Relationship Id="rId128" Type="http://schemas.openxmlformats.org/officeDocument/2006/relationships/image" Target="media/image37.wmf"/><Relationship Id="rId335" Type="http://schemas.openxmlformats.org/officeDocument/2006/relationships/image" Target="media/image133.wmf"/><Relationship Id="rId542" Type="http://schemas.openxmlformats.org/officeDocument/2006/relationships/image" Target="media/image242.wmf"/><Relationship Id="rId181" Type="http://schemas.openxmlformats.org/officeDocument/2006/relationships/image" Target="media/image66.wmf"/><Relationship Id="rId402" Type="http://schemas.openxmlformats.org/officeDocument/2006/relationships/image" Target="media/image170.wmf"/><Relationship Id="rId279" Type="http://schemas.openxmlformats.org/officeDocument/2006/relationships/footer" Target="footer23.xml"/><Relationship Id="rId486" Type="http://schemas.openxmlformats.org/officeDocument/2006/relationships/header" Target="header79.xml"/><Relationship Id="rId693" Type="http://schemas.openxmlformats.org/officeDocument/2006/relationships/footer" Target="footer44.xml"/><Relationship Id="rId707" Type="http://schemas.openxmlformats.org/officeDocument/2006/relationships/footer" Target="footer49.xml"/><Relationship Id="rId43" Type="http://schemas.openxmlformats.org/officeDocument/2006/relationships/header" Target="header7.xml"/><Relationship Id="rId139" Type="http://schemas.openxmlformats.org/officeDocument/2006/relationships/image" Target="media/image43.wmf"/><Relationship Id="rId346" Type="http://schemas.openxmlformats.org/officeDocument/2006/relationships/image" Target="media/image140.emf"/><Relationship Id="rId553" Type="http://schemas.openxmlformats.org/officeDocument/2006/relationships/image" Target="media/image248.wmf"/><Relationship Id="rId760" Type="http://schemas.openxmlformats.org/officeDocument/2006/relationships/image" Target="media/image324.wmf"/><Relationship Id="rId192" Type="http://schemas.openxmlformats.org/officeDocument/2006/relationships/oleObject" Target="embeddings/oleObject50.bin"/><Relationship Id="rId206" Type="http://schemas.openxmlformats.org/officeDocument/2006/relationships/oleObject" Target="embeddings/oleObject57.bin"/><Relationship Id="rId413" Type="http://schemas.openxmlformats.org/officeDocument/2006/relationships/oleObject" Target="embeddings/oleObject142.bin"/><Relationship Id="rId497" Type="http://schemas.openxmlformats.org/officeDocument/2006/relationships/image" Target="media/image214.wmf"/><Relationship Id="rId620" Type="http://schemas.openxmlformats.org/officeDocument/2006/relationships/header" Target="header100.xml"/><Relationship Id="rId718" Type="http://schemas.openxmlformats.org/officeDocument/2006/relationships/footer" Target="footer51.xml"/><Relationship Id="rId357" Type="http://schemas.openxmlformats.org/officeDocument/2006/relationships/image" Target="media/image147.wmf"/><Relationship Id="rId54" Type="http://schemas.openxmlformats.org/officeDocument/2006/relationships/header" Target="header12.xml"/><Relationship Id="rId217" Type="http://schemas.openxmlformats.org/officeDocument/2006/relationships/oleObject" Target="embeddings/oleObject65.bin"/><Relationship Id="rId564" Type="http://schemas.openxmlformats.org/officeDocument/2006/relationships/image" Target="media/image256.wmf"/><Relationship Id="rId424" Type="http://schemas.openxmlformats.org/officeDocument/2006/relationships/image" Target="media/image181.wmf"/><Relationship Id="rId631" Type="http://schemas.openxmlformats.org/officeDocument/2006/relationships/footer" Target="footer38.xml"/><Relationship Id="rId729" Type="http://schemas.openxmlformats.org/officeDocument/2006/relationships/footer" Target="footer56.xml"/><Relationship Id="rId270" Type="http://schemas.openxmlformats.org/officeDocument/2006/relationships/footer" Target="footer20.xml"/><Relationship Id="rId65" Type="http://schemas.openxmlformats.org/officeDocument/2006/relationships/image" Target="media/image20.wmf"/><Relationship Id="rId130" Type="http://schemas.openxmlformats.org/officeDocument/2006/relationships/image" Target="media/image38.wmf"/><Relationship Id="rId368" Type="http://schemas.openxmlformats.org/officeDocument/2006/relationships/oleObject" Target="embeddings/oleObject120.bin"/><Relationship Id="rId575" Type="http://schemas.openxmlformats.org/officeDocument/2006/relationships/oleObject" Target="embeddings/oleObject177.bin"/><Relationship Id="rId228" Type="http://schemas.openxmlformats.org/officeDocument/2006/relationships/oleObject" Target="embeddings/oleObject73.bin"/><Relationship Id="rId435" Type="http://schemas.openxmlformats.org/officeDocument/2006/relationships/header" Target="header62.xml"/><Relationship Id="rId642" Type="http://schemas.openxmlformats.org/officeDocument/2006/relationships/image" Target="media/image290.wmf"/><Relationship Id="rId281" Type="http://schemas.openxmlformats.org/officeDocument/2006/relationships/image" Target="media/image105.wmf"/><Relationship Id="rId502" Type="http://schemas.openxmlformats.org/officeDocument/2006/relationships/image" Target="media/image219.wmf"/><Relationship Id="rId76" Type="http://schemas.openxmlformats.org/officeDocument/2006/relationships/header" Target="header24.xml"/><Relationship Id="rId141" Type="http://schemas.openxmlformats.org/officeDocument/2006/relationships/oleObject" Target="embeddings/oleObject28.bin"/><Relationship Id="rId379" Type="http://schemas.openxmlformats.org/officeDocument/2006/relationships/oleObject" Target="embeddings/oleObject125.bin"/><Relationship Id="rId586" Type="http://schemas.openxmlformats.org/officeDocument/2006/relationships/image" Target="media/image269.wmf"/><Relationship Id="rId7" Type="http://schemas.openxmlformats.org/officeDocument/2006/relationships/footnotes" Target="footnotes.xml"/><Relationship Id="rId239" Type="http://schemas.openxmlformats.org/officeDocument/2006/relationships/image" Target="media/image90.wmf"/><Relationship Id="rId446" Type="http://schemas.openxmlformats.org/officeDocument/2006/relationships/image" Target="media/image188.png"/><Relationship Id="rId653" Type="http://schemas.openxmlformats.org/officeDocument/2006/relationships/image" Target="media/image295.wmf"/><Relationship Id="rId292" Type="http://schemas.openxmlformats.org/officeDocument/2006/relationships/oleObject" Target="embeddings/oleObject97.bin"/><Relationship Id="rId306" Type="http://schemas.openxmlformats.org/officeDocument/2006/relationships/oleObject" Target="embeddings/oleObject104.bin"/><Relationship Id="rId87" Type="http://schemas.openxmlformats.org/officeDocument/2006/relationships/header" Target="header32.xml"/><Relationship Id="rId513" Type="http://schemas.openxmlformats.org/officeDocument/2006/relationships/image" Target="media/image230.wmf"/><Relationship Id="rId597" Type="http://schemas.openxmlformats.org/officeDocument/2006/relationships/image" Target="media/image278.wmf"/><Relationship Id="rId720" Type="http://schemas.openxmlformats.org/officeDocument/2006/relationships/footer" Target="footer52.xml"/><Relationship Id="rId152" Type="http://schemas.openxmlformats.org/officeDocument/2006/relationships/image" Target="media/image50.wmf"/><Relationship Id="rId457" Type="http://schemas.openxmlformats.org/officeDocument/2006/relationships/image" Target="media/image197.wmf"/><Relationship Id="rId664" Type="http://schemas.openxmlformats.org/officeDocument/2006/relationships/image" Target="media/image300.wmf"/><Relationship Id="rId14" Type="http://schemas.openxmlformats.org/officeDocument/2006/relationships/header" Target="header2.xml"/><Relationship Id="rId317" Type="http://schemas.openxmlformats.org/officeDocument/2006/relationships/oleObject" Target="embeddings/oleObject109.bin"/><Relationship Id="rId524" Type="http://schemas.openxmlformats.org/officeDocument/2006/relationships/header" Target="header89.xml"/><Relationship Id="rId731" Type="http://schemas.openxmlformats.org/officeDocument/2006/relationships/header" Target="header142.xml"/><Relationship Id="rId98" Type="http://schemas.openxmlformats.org/officeDocument/2006/relationships/image" Target="media/image24.wmf"/><Relationship Id="rId163" Type="http://schemas.openxmlformats.org/officeDocument/2006/relationships/image" Target="media/image56.wmf"/><Relationship Id="rId370" Type="http://schemas.openxmlformats.org/officeDocument/2006/relationships/oleObject" Target="embeddings/oleObject121.bin"/><Relationship Id="rId230" Type="http://schemas.openxmlformats.org/officeDocument/2006/relationships/oleObject" Target="embeddings/oleObject74.bin"/><Relationship Id="rId468" Type="http://schemas.openxmlformats.org/officeDocument/2006/relationships/header" Target="header77.xml"/><Relationship Id="rId675" Type="http://schemas.openxmlformats.org/officeDocument/2006/relationships/header" Target="header115.xml"/><Relationship Id="rId25" Type="http://schemas.openxmlformats.org/officeDocument/2006/relationships/footer" Target="footer7.xml"/><Relationship Id="rId328" Type="http://schemas.openxmlformats.org/officeDocument/2006/relationships/image" Target="media/image126.wmf"/><Relationship Id="rId535" Type="http://schemas.openxmlformats.org/officeDocument/2006/relationships/oleObject" Target="embeddings/oleObject161.bin"/><Relationship Id="rId742" Type="http://schemas.openxmlformats.org/officeDocument/2006/relationships/header" Target="header146.xml"/><Relationship Id="rId174" Type="http://schemas.openxmlformats.org/officeDocument/2006/relationships/oleObject" Target="embeddings/oleObject44.bin"/><Relationship Id="rId381" Type="http://schemas.openxmlformats.org/officeDocument/2006/relationships/oleObject" Target="embeddings/oleObject126.bin"/><Relationship Id="rId602" Type="http://schemas.openxmlformats.org/officeDocument/2006/relationships/oleObject" Target="embeddings/oleObject186.bin"/><Relationship Id="rId241" Type="http://schemas.openxmlformats.org/officeDocument/2006/relationships/image" Target="media/image91.wmf"/><Relationship Id="rId479" Type="http://schemas.openxmlformats.org/officeDocument/2006/relationships/oleObject" Target="embeddings/oleObject156.bin"/><Relationship Id="rId686" Type="http://schemas.openxmlformats.org/officeDocument/2006/relationships/header" Target="header120.xml"/><Relationship Id="rId36" Type="http://schemas.openxmlformats.org/officeDocument/2006/relationships/oleObject" Target="embeddings/oleObject6.bin"/><Relationship Id="rId339" Type="http://schemas.openxmlformats.org/officeDocument/2006/relationships/image" Target="media/image137.wmf"/><Relationship Id="rId546" Type="http://schemas.openxmlformats.org/officeDocument/2006/relationships/image" Target="media/image244.wmf"/><Relationship Id="rId753" Type="http://schemas.openxmlformats.org/officeDocument/2006/relationships/header" Target="header153.xml"/><Relationship Id="rId101" Type="http://schemas.openxmlformats.org/officeDocument/2006/relationships/oleObject" Target="embeddings/oleObject13.bin"/><Relationship Id="rId185" Type="http://schemas.openxmlformats.org/officeDocument/2006/relationships/oleObject" Target="embeddings/oleObject48.bin"/><Relationship Id="rId406" Type="http://schemas.openxmlformats.org/officeDocument/2006/relationships/image" Target="media/image172.wmf"/><Relationship Id="rId392" Type="http://schemas.openxmlformats.org/officeDocument/2006/relationships/oleObject" Target="embeddings/oleObject131.bin"/><Relationship Id="rId613" Type="http://schemas.openxmlformats.org/officeDocument/2006/relationships/header" Target="header94.xml"/><Relationship Id="rId697" Type="http://schemas.openxmlformats.org/officeDocument/2006/relationships/header" Target="header126.xml"/><Relationship Id="rId252" Type="http://schemas.openxmlformats.org/officeDocument/2006/relationships/oleObject" Target="embeddings/oleObject85.bin"/><Relationship Id="rId47" Type="http://schemas.openxmlformats.org/officeDocument/2006/relationships/image" Target="media/image12.png"/><Relationship Id="rId112" Type="http://schemas.openxmlformats.org/officeDocument/2006/relationships/image" Target="media/image29.wmf"/><Relationship Id="rId557" Type="http://schemas.openxmlformats.org/officeDocument/2006/relationships/image" Target="media/image252.png"/><Relationship Id="rId764" Type="http://schemas.openxmlformats.org/officeDocument/2006/relationships/image" Target="media/image328.wmf"/><Relationship Id="rId196" Type="http://schemas.openxmlformats.org/officeDocument/2006/relationships/oleObject" Target="embeddings/oleObject52.bin"/><Relationship Id="rId417" Type="http://schemas.openxmlformats.org/officeDocument/2006/relationships/oleObject" Target="embeddings/oleObject144.bin"/><Relationship Id="rId624" Type="http://schemas.openxmlformats.org/officeDocument/2006/relationships/header" Target="header102.xml"/><Relationship Id="rId263" Type="http://schemas.openxmlformats.org/officeDocument/2006/relationships/image" Target="media/image102.wmf"/><Relationship Id="rId470" Type="http://schemas.openxmlformats.org/officeDocument/2006/relationships/footer" Target="footer32.xml"/><Relationship Id="rId58" Type="http://schemas.openxmlformats.org/officeDocument/2006/relationships/image" Target="media/image17.wmf"/><Relationship Id="rId123" Type="http://schemas.openxmlformats.org/officeDocument/2006/relationships/oleObject" Target="embeddings/oleObject20.bin"/><Relationship Id="rId330" Type="http://schemas.openxmlformats.org/officeDocument/2006/relationships/image" Target="media/image128.wmf"/><Relationship Id="rId568" Type="http://schemas.openxmlformats.org/officeDocument/2006/relationships/image" Target="media/image259.wmf"/><Relationship Id="rId428" Type="http://schemas.openxmlformats.org/officeDocument/2006/relationships/oleObject" Target="embeddings/oleObject149.bin"/><Relationship Id="rId635" Type="http://schemas.openxmlformats.org/officeDocument/2006/relationships/footer" Target="footer39.xml"/><Relationship Id="rId274" Type="http://schemas.openxmlformats.org/officeDocument/2006/relationships/footer" Target="footer22.xml"/><Relationship Id="rId481" Type="http://schemas.openxmlformats.org/officeDocument/2006/relationships/oleObject" Target="embeddings/oleObject157.bin"/><Relationship Id="rId702" Type="http://schemas.openxmlformats.org/officeDocument/2006/relationships/header" Target="header129.xml"/><Relationship Id="rId69" Type="http://schemas.openxmlformats.org/officeDocument/2006/relationships/header" Target="header17.xml"/><Relationship Id="rId134" Type="http://schemas.openxmlformats.org/officeDocument/2006/relationships/image" Target="media/image40.wmf"/><Relationship Id="rId579" Type="http://schemas.openxmlformats.org/officeDocument/2006/relationships/image" Target="media/image265.wmf"/><Relationship Id="rId341" Type="http://schemas.openxmlformats.org/officeDocument/2006/relationships/image" Target="media/image139.wmf"/><Relationship Id="rId439" Type="http://schemas.openxmlformats.org/officeDocument/2006/relationships/header" Target="header64.xml"/><Relationship Id="rId646" Type="http://schemas.openxmlformats.org/officeDocument/2006/relationships/oleObject" Target="embeddings/oleObject198.bin"/><Relationship Id="rId201" Type="http://schemas.openxmlformats.org/officeDocument/2006/relationships/image" Target="media/image76.wmf"/><Relationship Id="rId285" Type="http://schemas.openxmlformats.org/officeDocument/2006/relationships/image" Target="media/image107.wmf"/><Relationship Id="rId506" Type="http://schemas.openxmlformats.org/officeDocument/2006/relationships/image" Target="media/image223.wmf"/><Relationship Id="rId492" Type="http://schemas.openxmlformats.org/officeDocument/2006/relationships/image" Target="media/image209.wmf"/><Relationship Id="rId713" Type="http://schemas.openxmlformats.org/officeDocument/2006/relationships/image" Target="media/image313.emf"/><Relationship Id="rId145" Type="http://schemas.openxmlformats.org/officeDocument/2006/relationships/oleObject" Target="embeddings/oleObject30.bin"/><Relationship Id="rId352" Type="http://schemas.openxmlformats.org/officeDocument/2006/relationships/image" Target="media/image144.wmf"/><Relationship Id="rId212" Type="http://schemas.openxmlformats.org/officeDocument/2006/relationships/oleObject" Target="embeddings/oleObject60.bin"/><Relationship Id="rId657" Type="http://schemas.openxmlformats.org/officeDocument/2006/relationships/image" Target="media/image297.wmf"/><Relationship Id="rId296" Type="http://schemas.openxmlformats.org/officeDocument/2006/relationships/oleObject" Target="embeddings/oleObject99.bin"/><Relationship Id="rId517" Type="http://schemas.openxmlformats.org/officeDocument/2006/relationships/image" Target="media/image231.jpeg"/><Relationship Id="rId724" Type="http://schemas.openxmlformats.org/officeDocument/2006/relationships/footer" Target="footer53.xml"/><Relationship Id="rId60" Type="http://schemas.openxmlformats.org/officeDocument/2006/relationships/image" Target="media/image19.wmf"/><Relationship Id="rId156" Type="http://schemas.openxmlformats.org/officeDocument/2006/relationships/oleObject" Target="embeddings/oleObject35.bin"/><Relationship Id="rId363" Type="http://schemas.openxmlformats.org/officeDocument/2006/relationships/image" Target="media/image150.wmf"/><Relationship Id="rId570" Type="http://schemas.openxmlformats.org/officeDocument/2006/relationships/image" Target="media/image260.wmf"/><Relationship Id="rId223" Type="http://schemas.openxmlformats.org/officeDocument/2006/relationships/image" Target="media/image82.wmf"/><Relationship Id="rId430" Type="http://schemas.openxmlformats.org/officeDocument/2006/relationships/oleObject" Target="embeddings/oleObject150.bin"/><Relationship Id="rId668" Type="http://schemas.openxmlformats.org/officeDocument/2006/relationships/header" Target="header111.xml"/><Relationship Id="rId18" Type="http://schemas.openxmlformats.org/officeDocument/2006/relationships/footer" Target="footer4.xml"/><Relationship Id="rId528" Type="http://schemas.openxmlformats.org/officeDocument/2006/relationships/header" Target="header92.xml"/><Relationship Id="rId735" Type="http://schemas.openxmlformats.org/officeDocument/2006/relationships/image" Target="media/image317.emf"/><Relationship Id="rId167" Type="http://schemas.openxmlformats.org/officeDocument/2006/relationships/image" Target="media/image58.wmf"/><Relationship Id="rId374" Type="http://schemas.openxmlformats.org/officeDocument/2006/relationships/image" Target="media/image156.wmf"/><Relationship Id="rId581" Type="http://schemas.openxmlformats.org/officeDocument/2006/relationships/oleObject" Target="embeddings/oleObject179.bin"/><Relationship Id="rId71" Type="http://schemas.openxmlformats.org/officeDocument/2006/relationships/header" Target="header19.xml"/><Relationship Id="rId234" Type="http://schemas.openxmlformats.org/officeDocument/2006/relationships/oleObject" Target="embeddings/oleObject76.bin"/><Relationship Id="rId679" Type="http://schemas.openxmlformats.org/officeDocument/2006/relationships/image" Target="media/image305.emf"/><Relationship Id="rId2" Type="http://schemas.openxmlformats.org/officeDocument/2006/relationships/numbering" Target="numbering.xml"/><Relationship Id="rId29" Type="http://schemas.openxmlformats.org/officeDocument/2006/relationships/image" Target="media/image5.wmf"/><Relationship Id="rId441" Type="http://schemas.openxmlformats.org/officeDocument/2006/relationships/header" Target="header65.xml"/><Relationship Id="rId539" Type="http://schemas.openxmlformats.org/officeDocument/2006/relationships/oleObject" Target="embeddings/oleObject163.bin"/><Relationship Id="rId746" Type="http://schemas.openxmlformats.org/officeDocument/2006/relationships/header" Target="header148.xml"/><Relationship Id="rId178" Type="http://schemas.openxmlformats.org/officeDocument/2006/relationships/oleObject" Target="embeddings/oleObject46.bin"/><Relationship Id="rId301" Type="http://schemas.openxmlformats.org/officeDocument/2006/relationships/image" Target="media/image115.wmf"/><Relationship Id="rId82" Type="http://schemas.openxmlformats.org/officeDocument/2006/relationships/header" Target="header29.xml"/><Relationship Id="rId385" Type="http://schemas.openxmlformats.org/officeDocument/2006/relationships/oleObject" Target="embeddings/oleObject128.bin"/><Relationship Id="rId592" Type="http://schemas.openxmlformats.org/officeDocument/2006/relationships/image" Target="media/image274.wmf"/><Relationship Id="rId606" Type="http://schemas.openxmlformats.org/officeDocument/2006/relationships/oleObject" Target="embeddings/oleObject188.bin"/><Relationship Id="rId245" Type="http://schemas.openxmlformats.org/officeDocument/2006/relationships/image" Target="media/image93.wmf"/><Relationship Id="rId452" Type="http://schemas.openxmlformats.org/officeDocument/2006/relationships/image" Target="media/image194.png"/><Relationship Id="rId105" Type="http://schemas.openxmlformats.org/officeDocument/2006/relationships/header" Target="header41.xml"/><Relationship Id="rId312" Type="http://schemas.openxmlformats.org/officeDocument/2006/relationships/image" Target="media/image120.wmf"/><Relationship Id="rId757" Type="http://schemas.openxmlformats.org/officeDocument/2006/relationships/image" Target="media/image321.wmf"/><Relationship Id="rId93" Type="http://schemas.openxmlformats.org/officeDocument/2006/relationships/image" Target="media/image23.emf"/><Relationship Id="rId189" Type="http://schemas.openxmlformats.org/officeDocument/2006/relationships/image" Target="media/image70.wmf"/><Relationship Id="rId396" Type="http://schemas.openxmlformats.org/officeDocument/2006/relationships/image" Target="media/image167.wmf"/><Relationship Id="rId617" Type="http://schemas.openxmlformats.org/officeDocument/2006/relationships/header" Target="header97.xml"/><Relationship Id="rId256" Type="http://schemas.openxmlformats.org/officeDocument/2006/relationships/oleObject" Target="embeddings/oleObject87.bin"/><Relationship Id="rId463" Type="http://schemas.openxmlformats.org/officeDocument/2006/relationships/header" Target="header74.xml"/><Relationship Id="rId670" Type="http://schemas.openxmlformats.org/officeDocument/2006/relationships/footer" Target="footer40.xml"/><Relationship Id="rId116" Type="http://schemas.openxmlformats.org/officeDocument/2006/relationships/image" Target="media/image31.wmf"/><Relationship Id="rId323" Type="http://schemas.openxmlformats.org/officeDocument/2006/relationships/footer" Target="footer25.xml"/><Relationship Id="rId530" Type="http://schemas.openxmlformats.org/officeDocument/2006/relationships/footer" Target="footer35.xml"/><Relationship Id="rId768" Type="http://schemas.openxmlformats.org/officeDocument/2006/relationships/footer" Target="footer63.xml"/><Relationship Id="rId20" Type="http://schemas.openxmlformats.org/officeDocument/2006/relationships/image" Target="media/image3.wmf"/><Relationship Id="rId628" Type="http://schemas.openxmlformats.org/officeDocument/2006/relationships/header" Target="header105.xml"/><Relationship Id="rId267" Type="http://schemas.openxmlformats.org/officeDocument/2006/relationships/image" Target="media/image103.wmf"/><Relationship Id="rId474" Type="http://schemas.openxmlformats.org/officeDocument/2006/relationships/image" Target="media/image202.wmf"/><Relationship Id="rId127" Type="http://schemas.openxmlformats.org/officeDocument/2006/relationships/oleObject" Target="embeddings/oleObject22.bin"/><Relationship Id="rId681" Type="http://schemas.openxmlformats.org/officeDocument/2006/relationships/image" Target="media/image307.png"/><Relationship Id="rId31" Type="http://schemas.openxmlformats.org/officeDocument/2006/relationships/image" Target="media/image6.wmf"/><Relationship Id="rId334" Type="http://schemas.openxmlformats.org/officeDocument/2006/relationships/image" Target="media/image132.wmf"/><Relationship Id="rId541" Type="http://schemas.openxmlformats.org/officeDocument/2006/relationships/oleObject" Target="embeddings/oleObject164.bin"/><Relationship Id="rId639" Type="http://schemas.openxmlformats.org/officeDocument/2006/relationships/oleObject" Target="embeddings/oleObject194.bin"/><Relationship Id="rId180" Type="http://schemas.openxmlformats.org/officeDocument/2006/relationships/image" Target="media/image65.wmf"/><Relationship Id="rId278" Type="http://schemas.openxmlformats.org/officeDocument/2006/relationships/header" Target="header54.xml"/><Relationship Id="rId401" Type="http://schemas.openxmlformats.org/officeDocument/2006/relationships/oleObject" Target="embeddings/oleObject136.bin"/><Relationship Id="rId485" Type="http://schemas.openxmlformats.org/officeDocument/2006/relationships/oleObject" Target="embeddings/oleObject159.bin"/><Relationship Id="rId692" Type="http://schemas.openxmlformats.org/officeDocument/2006/relationships/footer" Target="footer43.xml"/><Relationship Id="rId706" Type="http://schemas.openxmlformats.org/officeDocument/2006/relationships/header" Target="header132.xml"/><Relationship Id="rId42" Type="http://schemas.openxmlformats.org/officeDocument/2006/relationships/oleObject" Target="embeddings/oleObject9.bin"/><Relationship Id="rId84" Type="http://schemas.openxmlformats.org/officeDocument/2006/relationships/footer" Target="footer14.xml"/><Relationship Id="rId138" Type="http://schemas.openxmlformats.org/officeDocument/2006/relationships/image" Target="media/image42.wmf"/><Relationship Id="rId345" Type="http://schemas.openxmlformats.org/officeDocument/2006/relationships/footer" Target="footer27.xml"/><Relationship Id="rId387" Type="http://schemas.openxmlformats.org/officeDocument/2006/relationships/oleObject" Target="embeddings/oleObject129.bin"/><Relationship Id="rId510" Type="http://schemas.openxmlformats.org/officeDocument/2006/relationships/image" Target="media/image227.wmf"/><Relationship Id="rId552" Type="http://schemas.openxmlformats.org/officeDocument/2006/relationships/oleObject" Target="embeddings/oleObject169.bin"/><Relationship Id="rId594" Type="http://schemas.openxmlformats.org/officeDocument/2006/relationships/image" Target="media/image276.wmf"/><Relationship Id="rId608" Type="http://schemas.openxmlformats.org/officeDocument/2006/relationships/oleObject" Target="embeddings/oleObject189.bin"/><Relationship Id="rId191" Type="http://schemas.openxmlformats.org/officeDocument/2006/relationships/image" Target="media/image71.wmf"/><Relationship Id="rId205" Type="http://schemas.openxmlformats.org/officeDocument/2006/relationships/image" Target="media/image78.wmf"/><Relationship Id="rId247" Type="http://schemas.openxmlformats.org/officeDocument/2006/relationships/image" Target="media/image94.wmf"/><Relationship Id="rId412" Type="http://schemas.openxmlformats.org/officeDocument/2006/relationships/image" Target="media/image175.wmf"/><Relationship Id="rId107" Type="http://schemas.openxmlformats.org/officeDocument/2006/relationships/footer" Target="footer18.xml"/><Relationship Id="rId289" Type="http://schemas.openxmlformats.org/officeDocument/2006/relationships/image" Target="media/image109.wmf"/><Relationship Id="rId454" Type="http://schemas.openxmlformats.org/officeDocument/2006/relationships/header" Target="header69.xml"/><Relationship Id="rId496" Type="http://schemas.openxmlformats.org/officeDocument/2006/relationships/image" Target="media/image213.wmf"/><Relationship Id="rId661" Type="http://schemas.openxmlformats.org/officeDocument/2006/relationships/oleObject" Target="embeddings/oleObject206.bin"/><Relationship Id="rId717" Type="http://schemas.openxmlformats.org/officeDocument/2006/relationships/footer" Target="footer50.xml"/><Relationship Id="rId759" Type="http://schemas.openxmlformats.org/officeDocument/2006/relationships/image" Target="media/image323.wmf"/><Relationship Id="rId11" Type="http://schemas.openxmlformats.org/officeDocument/2006/relationships/header" Target="header1.xml"/><Relationship Id="rId53" Type="http://schemas.openxmlformats.org/officeDocument/2006/relationships/header" Target="header11.xml"/><Relationship Id="rId149" Type="http://schemas.openxmlformats.org/officeDocument/2006/relationships/oleObject" Target="embeddings/oleObject32.bin"/><Relationship Id="rId314" Type="http://schemas.openxmlformats.org/officeDocument/2006/relationships/image" Target="media/image121.wmf"/><Relationship Id="rId356" Type="http://schemas.openxmlformats.org/officeDocument/2006/relationships/oleObject" Target="embeddings/oleObject114.bin"/><Relationship Id="rId398" Type="http://schemas.openxmlformats.org/officeDocument/2006/relationships/image" Target="media/image168.wmf"/><Relationship Id="rId521" Type="http://schemas.openxmlformats.org/officeDocument/2006/relationships/image" Target="media/image235.wmf"/><Relationship Id="rId563" Type="http://schemas.openxmlformats.org/officeDocument/2006/relationships/oleObject" Target="embeddings/oleObject172.bin"/><Relationship Id="rId619" Type="http://schemas.openxmlformats.org/officeDocument/2006/relationships/header" Target="header99.xml"/><Relationship Id="rId770" Type="http://schemas.openxmlformats.org/officeDocument/2006/relationships/theme" Target="theme/theme1.xml"/><Relationship Id="rId95" Type="http://schemas.openxmlformats.org/officeDocument/2006/relationships/header" Target="header38.xml"/><Relationship Id="rId160" Type="http://schemas.openxmlformats.org/officeDocument/2006/relationships/oleObject" Target="embeddings/oleObject37.bin"/><Relationship Id="rId216" Type="http://schemas.openxmlformats.org/officeDocument/2006/relationships/oleObject" Target="embeddings/oleObject64.bin"/><Relationship Id="rId423" Type="http://schemas.openxmlformats.org/officeDocument/2006/relationships/oleObject" Target="embeddings/oleObject147.bin"/><Relationship Id="rId258" Type="http://schemas.openxmlformats.org/officeDocument/2006/relationships/oleObject" Target="embeddings/oleObject88.bin"/><Relationship Id="rId465" Type="http://schemas.openxmlformats.org/officeDocument/2006/relationships/footer" Target="footer31.xml"/><Relationship Id="rId630" Type="http://schemas.openxmlformats.org/officeDocument/2006/relationships/header" Target="header107.xml"/><Relationship Id="rId672" Type="http://schemas.openxmlformats.org/officeDocument/2006/relationships/header" Target="header113.xml"/><Relationship Id="rId728" Type="http://schemas.openxmlformats.org/officeDocument/2006/relationships/header" Target="header140.xml"/><Relationship Id="rId22" Type="http://schemas.openxmlformats.org/officeDocument/2006/relationships/header" Target="header5.xml"/><Relationship Id="rId64" Type="http://schemas.openxmlformats.org/officeDocument/2006/relationships/header" Target="header16.xml"/><Relationship Id="rId118" Type="http://schemas.openxmlformats.org/officeDocument/2006/relationships/image" Target="media/image32.wmf"/><Relationship Id="rId325" Type="http://schemas.openxmlformats.org/officeDocument/2006/relationships/footer" Target="footer26.xml"/><Relationship Id="rId367" Type="http://schemas.openxmlformats.org/officeDocument/2006/relationships/image" Target="media/image152.wmf"/><Relationship Id="rId532" Type="http://schemas.openxmlformats.org/officeDocument/2006/relationships/image" Target="media/image237.wmf"/><Relationship Id="rId574" Type="http://schemas.openxmlformats.org/officeDocument/2006/relationships/image" Target="media/image262.wmf"/><Relationship Id="rId171" Type="http://schemas.openxmlformats.org/officeDocument/2006/relationships/image" Target="media/image60.wmf"/><Relationship Id="rId227" Type="http://schemas.openxmlformats.org/officeDocument/2006/relationships/image" Target="media/image84.wmf"/><Relationship Id="rId269" Type="http://schemas.openxmlformats.org/officeDocument/2006/relationships/header" Target="header48.xml"/><Relationship Id="rId434" Type="http://schemas.openxmlformats.org/officeDocument/2006/relationships/oleObject" Target="embeddings/oleObject152.bin"/><Relationship Id="rId476" Type="http://schemas.openxmlformats.org/officeDocument/2006/relationships/oleObject" Target="embeddings/oleObject155.bin"/><Relationship Id="rId641" Type="http://schemas.openxmlformats.org/officeDocument/2006/relationships/oleObject" Target="embeddings/oleObject195.bin"/><Relationship Id="rId683" Type="http://schemas.openxmlformats.org/officeDocument/2006/relationships/header" Target="header117.xml"/><Relationship Id="rId739" Type="http://schemas.openxmlformats.org/officeDocument/2006/relationships/footer" Target="footer57.xml"/><Relationship Id="rId33" Type="http://schemas.openxmlformats.org/officeDocument/2006/relationships/image" Target="media/image7.wmf"/><Relationship Id="rId129" Type="http://schemas.openxmlformats.org/officeDocument/2006/relationships/oleObject" Target="embeddings/oleObject23.bin"/><Relationship Id="rId280" Type="http://schemas.openxmlformats.org/officeDocument/2006/relationships/image" Target="media/image104.wmf"/><Relationship Id="rId336" Type="http://schemas.openxmlformats.org/officeDocument/2006/relationships/image" Target="media/image134.wmf"/><Relationship Id="rId501" Type="http://schemas.openxmlformats.org/officeDocument/2006/relationships/image" Target="media/image218.wmf"/><Relationship Id="rId543" Type="http://schemas.openxmlformats.org/officeDocument/2006/relationships/oleObject" Target="embeddings/oleObject165.bin"/><Relationship Id="rId75" Type="http://schemas.openxmlformats.org/officeDocument/2006/relationships/header" Target="header23.xml"/><Relationship Id="rId140" Type="http://schemas.openxmlformats.org/officeDocument/2006/relationships/image" Target="media/image44.wmf"/><Relationship Id="rId182" Type="http://schemas.openxmlformats.org/officeDocument/2006/relationships/image" Target="media/image67.wmf"/><Relationship Id="rId378" Type="http://schemas.openxmlformats.org/officeDocument/2006/relationships/image" Target="media/image158.wmf"/><Relationship Id="rId403" Type="http://schemas.openxmlformats.org/officeDocument/2006/relationships/oleObject" Target="embeddings/oleObject137.bin"/><Relationship Id="rId585" Type="http://schemas.openxmlformats.org/officeDocument/2006/relationships/oleObject" Target="embeddings/oleObject181.bin"/><Relationship Id="rId750" Type="http://schemas.openxmlformats.org/officeDocument/2006/relationships/header" Target="header151.xml"/><Relationship Id="rId6" Type="http://schemas.openxmlformats.org/officeDocument/2006/relationships/webSettings" Target="webSettings.xml"/><Relationship Id="rId238" Type="http://schemas.openxmlformats.org/officeDocument/2006/relationships/oleObject" Target="embeddings/oleObject78.bin"/><Relationship Id="rId445" Type="http://schemas.openxmlformats.org/officeDocument/2006/relationships/image" Target="media/image187.png"/><Relationship Id="rId487" Type="http://schemas.openxmlformats.org/officeDocument/2006/relationships/header" Target="header80.xml"/><Relationship Id="rId610" Type="http://schemas.openxmlformats.org/officeDocument/2006/relationships/oleObject" Target="embeddings/oleObject190.bin"/><Relationship Id="rId652" Type="http://schemas.openxmlformats.org/officeDocument/2006/relationships/oleObject" Target="embeddings/oleObject201.bin"/><Relationship Id="rId694" Type="http://schemas.openxmlformats.org/officeDocument/2006/relationships/header" Target="header124.xml"/><Relationship Id="rId708" Type="http://schemas.openxmlformats.org/officeDocument/2006/relationships/header" Target="header133.xml"/><Relationship Id="rId291" Type="http://schemas.openxmlformats.org/officeDocument/2006/relationships/image" Target="media/image110.wmf"/><Relationship Id="rId305" Type="http://schemas.openxmlformats.org/officeDocument/2006/relationships/image" Target="media/image117.wmf"/><Relationship Id="rId347" Type="http://schemas.openxmlformats.org/officeDocument/2006/relationships/image" Target="media/image141.wmf"/><Relationship Id="rId512" Type="http://schemas.openxmlformats.org/officeDocument/2006/relationships/image" Target="media/image229.wmf"/><Relationship Id="rId44" Type="http://schemas.openxmlformats.org/officeDocument/2006/relationships/header" Target="header8.xml"/><Relationship Id="rId86" Type="http://schemas.openxmlformats.org/officeDocument/2006/relationships/header" Target="header31.xml"/><Relationship Id="rId151" Type="http://schemas.openxmlformats.org/officeDocument/2006/relationships/oleObject" Target="embeddings/oleObject33.bin"/><Relationship Id="rId389" Type="http://schemas.openxmlformats.org/officeDocument/2006/relationships/oleObject" Target="embeddings/oleObject130.bin"/><Relationship Id="rId554" Type="http://schemas.openxmlformats.org/officeDocument/2006/relationships/image" Target="media/image249.wmf"/><Relationship Id="rId596" Type="http://schemas.openxmlformats.org/officeDocument/2006/relationships/oleObject" Target="embeddings/oleObject183.bin"/><Relationship Id="rId761" Type="http://schemas.openxmlformats.org/officeDocument/2006/relationships/image" Target="media/image325.wmf"/><Relationship Id="rId193" Type="http://schemas.openxmlformats.org/officeDocument/2006/relationships/image" Target="media/image72.wmf"/><Relationship Id="rId207" Type="http://schemas.openxmlformats.org/officeDocument/2006/relationships/image" Target="media/image79.wmf"/><Relationship Id="rId249" Type="http://schemas.openxmlformats.org/officeDocument/2006/relationships/image" Target="media/image95.wmf"/><Relationship Id="rId414" Type="http://schemas.openxmlformats.org/officeDocument/2006/relationships/image" Target="media/image176.wmf"/><Relationship Id="rId456" Type="http://schemas.openxmlformats.org/officeDocument/2006/relationships/image" Target="media/image196.wmf"/><Relationship Id="rId498" Type="http://schemas.openxmlformats.org/officeDocument/2006/relationships/image" Target="media/image215.wmf"/><Relationship Id="rId621" Type="http://schemas.openxmlformats.org/officeDocument/2006/relationships/image" Target="media/image286.wmf"/><Relationship Id="rId663" Type="http://schemas.openxmlformats.org/officeDocument/2006/relationships/oleObject" Target="embeddings/oleObject207.bin"/><Relationship Id="rId13" Type="http://schemas.openxmlformats.org/officeDocument/2006/relationships/footer" Target="footer2.xml"/><Relationship Id="rId109" Type="http://schemas.openxmlformats.org/officeDocument/2006/relationships/footer" Target="footer19.xml"/><Relationship Id="rId260" Type="http://schemas.openxmlformats.org/officeDocument/2006/relationships/oleObject" Target="embeddings/oleObject89.bin"/><Relationship Id="rId316" Type="http://schemas.openxmlformats.org/officeDocument/2006/relationships/image" Target="media/image122.wmf"/><Relationship Id="rId523" Type="http://schemas.openxmlformats.org/officeDocument/2006/relationships/header" Target="header88.xml"/><Relationship Id="rId719" Type="http://schemas.openxmlformats.org/officeDocument/2006/relationships/header" Target="header136.xml"/><Relationship Id="rId55" Type="http://schemas.openxmlformats.org/officeDocument/2006/relationships/image" Target="media/image14.wmf"/><Relationship Id="rId97" Type="http://schemas.openxmlformats.org/officeDocument/2006/relationships/footer" Target="footer16.xml"/><Relationship Id="rId120" Type="http://schemas.openxmlformats.org/officeDocument/2006/relationships/image" Target="media/image33.wmf"/><Relationship Id="rId358" Type="http://schemas.openxmlformats.org/officeDocument/2006/relationships/oleObject" Target="embeddings/oleObject115.bin"/><Relationship Id="rId565" Type="http://schemas.openxmlformats.org/officeDocument/2006/relationships/oleObject" Target="embeddings/oleObject173.bin"/><Relationship Id="rId730" Type="http://schemas.openxmlformats.org/officeDocument/2006/relationships/header" Target="header141.xml"/><Relationship Id="rId162" Type="http://schemas.openxmlformats.org/officeDocument/2006/relationships/oleObject" Target="embeddings/oleObject38.bin"/><Relationship Id="rId218" Type="http://schemas.openxmlformats.org/officeDocument/2006/relationships/oleObject" Target="embeddings/oleObject66.bin"/><Relationship Id="rId425" Type="http://schemas.openxmlformats.org/officeDocument/2006/relationships/image" Target="media/image182.wmf"/><Relationship Id="rId467" Type="http://schemas.openxmlformats.org/officeDocument/2006/relationships/header" Target="header76.xml"/><Relationship Id="rId632" Type="http://schemas.openxmlformats.org/officeDocument/2006/relationships/header" Target="header108.xml"/><Relationship Id="rId271" Type="http://schemas.openxmlformats.org/officeDocument/2006/relationships/header" Target="header49.xml"/><Relationship Id="rId674" Type="http://schemas.openxmlformats.org/officeDocument/2006/relationships/header" Target="header114.xml"/><Relationship Id="rId24" Type="http://schemas.openxmlformats.org/officeDocument/2006/relationships/footer" Target="footer6.xml"/><Relationship Id="rId66" Type="http://schemas.openxmlformats.org/officeDocument/2006/relationships/oleObject" Target="embeddings/oleObject10.bin"/><Relationship Id="rId131" Type="http://schemas.openxmlformats.org/officeDocument/2006/relationships/oleObject" Target="embeddings/oleObject24.bin"/><Relationship Id="rId327" Type="http://schemas.openxmlformats.org/officeDocument/2006/relationships/image" Target="media/image125.wmf"/><Relationship Id="rId369" Type="http://schemas.openxmlformats.org/officeDocument/2006/relationships/image" Target="media/image153.wmf"/><Relationship Id="rId534" Type="http://schemas.openxmlformats.org/officeDocument/2006/relationships/image" Target="media/image238.wmf"/><Relationship Id="rId576" Type="http://schemas.openxmlformats.org/officeDocument/2006/relationships/image" Target="media/image263.wmf"/><Relationship Id="rId741" Type="http://schemas.openxmlformats.org/officeDocument/2006/relationships/image" Target="media/image318.emf"/><Relationship Id="rId173" Type="http://schemas.openxmlformats.org/officeDocument/2006/relationships/image" Target="media/image61.wmf"/><Relationship Id="rId229" Type="http://schemas.openxmlformats.org/officeDocument/2006/relationships/image" Target="media/image85.wmf"/><Relationship Id="rId380" Type="http://schemas.openxmlformats.org/officeDocument/2006/relationships/image" Target="media/image159.wmf"/><Relationship Id="rId436" Type="http://schemas.openxmlformats.org/officeDocument/2006/relationships/header" Target="header63.xml"/><Relationship Id="rId601" Type="http://schemas.openxmlformats.org/officeDocument/2006/relationships/image" Target="media/image280.wmf"/><Relationship Id="rId643" Type="http://schemas.openxmlformats.org/officeDocument/2006/relationships/oleObject" Target="embeddings/oleObject196.bin"/><Relationship Id="rId240" Type="http://schemas.openxmlformats.org/officeDocument/2006/relationships/oleObject" Target="embeddings/oleObject79.bin"/><Relationship Id="rId478" Type="http://schemas.openxmlformats.org/officeDocument/2006/relationships/image" Target="media/image205.wmf"/><Relationship Id="rId685" Type="http://schemas.openxmlformats.org/officeDocument/2006/relationships/header" Target="header119.xml"/><Relationship Id="rId35" Type="http://schemas.openxmlformats.org/officeDocument/2006/relationships/image" Target="media/image8.wmf"/><Relationship Id="rId77" Type="http://schemas.openxmlformats.org/officeDocument/2006/relationships/header" Target="header25.xml"/><Relationship Id="rId100" Type="http://schemas.openxmlformats.org/officeDocument/2006/relationships/image" Target="media/image25.wmf"/><Relationship Id="rId282" Type="http://schemas.openxmlformats.org/officeDocument/2006/relationships/oleObject" Target="embeddings/oleObject92.bin"/><Relationship Id="rId338" Type="http://schemas.openxmlformats.org/officeDocument/2006/relationships/image" Target="media/image136.wmf"/><Relationship Id="rId503" Type="http://schemas.openxmlformats.org/officeDocument/2006/relationships/image" Target="media/image220.wmf"/><Relationship Id="rId545" Type="http://schemas.openxmlformats.org/officeDocument/2006/relationships/oleObject" Target="embeddings/oleObject166.bin"/><Relationship Id="rId587" Type="http://schemas.openxmlformats.org/officeDocument/2006/relationships/oleObject" Target="embeddings/oleObject182.bin"/><Relationship Id="rId710" Type="http://schemas.openxmlformats.org/officeDocument/2006/relationships/image" Target="media/image310.emf"/><Relationship Id="rId752" Type="http://schemas.openxmlformats.org/officeDocument/2006/relationships/header" Target="header152.xml"/><Relationship Id="rId8" Type="http://schemas.openxmlformats.org/officeDocument/2006/relationships/endnotes" Target="endnotes.xml"/><Relationship Id="rId142" Type="http://schemas.openxmlformats.org/officeDocument/2006/relationships/image" Target="media/image45.wmf"/><Relationship Id="rId184" Type="http://schemas.openxmlformats.org/officeDocument/2006/relationships/image" Target="media/image68.wmf"/><Relationship Id="rId391" Type="http://schemas.openxmlformats.org/officeDocument/2006/relationships/image" Target="media/image165.wmf"/><Relationship Id="rId405" Type="http://schemas.openxmlformats.org/officeDocument/2006/relationships/oleObject" Target="embeddings/oleObject138.bin"/><Relationship Id="rId447" Type="http://schemas.openxmlformats.org/officeDocument/2006/relationships/image" Target="media/image189.wmf"/><Relationship Id="rId612" Type="http://schemas.openxmlformats.org/officeDocument/2006/relationships/oleObject" Target="embeddings/oleObject191.bin"/><Relationship Id="rId251" Type="http://schemas.openxmlformats.org/officeDocument/2006/relationships/image" Target="media/image96.wmf"/><Relationship Id="rId489" Type="http://schemas.openxmlformats.org/officeDocument/2006/relationships/header" Target="header82.xml"/><Relationship Id="rId654" Type="http://schemas.openxmlformats.org/officeDocument/2006/relationships/oleObject" Target="embeddings/oleObject202.bin"/><Relationship Id="rId696" Type="http://schemas.openxmlformats.org/officeDocument/2006/relationships/header" Target="header125.xml"/><Relationship Id="rId46" Type="http://schemas.openxmlformats.org/officeDocument/2006/relationships/footer" Target="footer10.xml"/><Relationship Id="rId293" Type="http://schemas.openxmlformats.org/officeDocument/2006/relationships/image" Target="media/image111.wmf"/><Relationship Id="rId307" Type="http://schemas.openxmlformats.org/officeDocument/2006/relationships/image" Target="media/image118.wmf"/><Relationship Id="rId349" Type="http://schemas.openxmlformats.org/officeDocument/2006/relationships/image" Target="media/image142.wmf"/><Relationship Id="rId514" Type="http://schemas.openxmlformats.org/officeDocument/2006/relationships/header" Target="header85.xml"/><Relationship Id="rId556" Type="http://schemas.openxmlformats.org/officeDocument/2006/relationships/image" Target="media/image251.wmf"/><Relationship Id="rId721" Type="http://schemas.openxmlformats.org/officeDocument/2006/relationships/image" Target="media/image315.png"/><Relationship Id="rId763" Type="http://schemas.openxmlformats.org/officeDocument/2006/relationships/image" Target="media/image327.wmf"/><Relationship Id="rId88" Type="http://schemas.openxmlformats.org/officeDocument/2006/relationships/footer" Target="footer15.xml"/><Relationship Id="rId111" Type="http://schemas.openxmlformats.org/officeDocument/2006/relationships/image" Target="media/image28.wmf"/><Relationship Id="rId153" Type="http://schemas.openxmlformats.org/officeDocument/2006/relationships/oleObject" Target="embeddings/oleObject34.bin"/><Relationship Id="rId195" Type="http://schemas.openxmlformats.org/officeDocument/2006/relationships/image" Target="media/image73.wmf"/><Relationship Id="rId209" Type="http://schemas.openxmlformats.org/officeDocument/2006/relationships/image" Target="media/image80.wmf"/><Relationship Id="rId360" Type="http://schemas.openxmlformats.org/officeDocument/2006/relationships/oleObject" Target="embeddings/oleObject116.bin"/><Relationship Id="rId416" Type="http://schemas.openxmlformats.org/officeDocument/2006/relationships/image" Target="media/image177.wmf"/><Relationship Id="rId598" Type="http://schemas.openxmlformats.org/officeDocument/2006/relationships/oleObject" Target="embeddings/oleObject184.bin"/><Relationship Id="rId220" Type="http://schemas.openxmlformats.org/officeDocument/2006/relationships/oleObject" Target="embeddings/oleObject68.bin"/><Relationship Id="rId458" Type="http://schemas.openxmlformats.org/officeDocument/2006/relationships/image" Target="media/image198.wmf"/><Relationship Id="rId623" Type="http://schemas.openxmlformats.org/officeDocument/2006/relationships/header" Target="header101.xml"/><Relationship Id="rId665" Type="http://schemas.openxmlformats.org/officeDocument/2006/relationships/oleObject" Target="embeddings/oleObject208.bin"/><Relationship Id="rId15" Type="http://schemas.openxmlformats.org/officeDocument/2006/relationships/footer" Target="footer3.xml"/><Relationship Id="rId57" Type="http://schemas.openxmlformats.org/officeDocument/2006/relationships/image" Target="media/image16.wmf"/><Relationship Id="rId262" Type="http://schemas.openxmlformats.org/officeDocument/2006/relationships/oleObject" Target="embeddings/oleObject90.bin"/><Relationship Id="rId318" Type="http://schemas.openxmlformats.org/officeDocument/2006/relationships/image" Target="media/image123.wmf"/><Relationship Id="rId525" Type="http://schemas.openxmlformats.org/officeDocument/2006/relationships/header" Target="header90.xml"/><Relationship Id="rId567" Type="http://schemas.openxmlformats.org/officeDocument/2006/relationships/image" Target="media/image258.wmf"/><Relationship Id="rId732" Type="http://schemas.openxmlformats.org/officeDocument/2006/relationships/header" Target="header143.xml"/><Relationship Id="rId99" Type="http://schemas.openxmlformats.org/officeDocument/2006/relationships/oleObject" Target="embeddings/oleObject12.bin"/><Relationship Id="rId122" Type="http://schemas.openxmlformats.org/officeDocument/2006/relationships/image" Target="media/image34.wmf"/><Relationship Id="rId164" Type="http://schemas.openxmlformats.org/officeDocument/2006/relationships/oleObject" Target="embeddings/oleObject39.bin"/><Relationship Id="rId371" Type="http://schemas.openxmlformats.org/officeDocument/2006/relationships/image" Target="media/image154.wmf"/><Relationship Id="rId427" Type="http://schemas.openxmlformats.org/officeDocument/2006/relationships/image" Target="media/image183.wmf"/><Relationship Id="rId469" Type="http://schemas.openxmlformats.org/officeDocument/2006/relationships/header" Target="header78.xml"/><Relationship Id="rId634" Type="http://schemas.openxmlformats.org/officeDocument/2006/relationships/header" Target="header110.xml"/><Relationship Id="rId676" Type="http://schemas.openxmlformats.org/officeDocument/2006/relationships/image" Target="media/image302.png"/><Relationship Id="rId26" Type="http://schemas.openxmlformats.org/officeDocument/2006/relationships/footer" Target="footer8.xml"/><Relationship Id="rId231" Type="http://schemas.openxmlformats.org/officeDocument/2006/relationships/image" Target="media/image86.wmf"/><Relationship Id="rId273" Type="http://schemas.openxmlformats.org/officeDocument/2006/relationships/footer" Target="footer21.xml"/><Relationship Id="rId329" Type="http://schemas.openxmlformats.org/officeDocument/2006/relationships/image" Target="media/image127.wmf"/><Relationship Id="rId480" Type="http://schemas.openxmlformats.org/officeDocument/2006/relationships/image" Target="media/image206.wmf"/><Relationship Id="rId536" Type="http://schemas.openxmlformats.org/officeDocument/2006/relationships/image" Target="media/image239.wmf"/><Relationship Id="rId701" Type="http://schemas.openxmlformats.org/officeDocument/2006/relationships/footer" Target="footer47.xml"/><Relationship Id="rId68" Type="http://schemas.openxmlformats.org/officeDocument/2006/relationships/oleObject" Target="embeddings/oleObject11.bin"/><Relationship Id="rId133" Type="http://schemas.openxmlformats.org/officeDocument/2006/relationships/oleObject" Target="embeddings/oleObject25.bin"/><Relationship Id="rId175" Type="http://schemas.openxmlformats.org/officeDocument/2006/relationships/image" Target="media/image62.wmf"/><Relationship Id="rId340" Type="http://schemas.openxmlformats.org/officeDocument/2006/relationships/image" Target="media/image138.wmf"/><Relationship Id="rId578" Type="http://schemas.openxmlformats.org/officeDocument/2006/relationships/image" Target="media/image264.wmf"/><Relationship Id="rId743" Type="http://schemas.openxmlformats.org/officeDocument/2006/relationships/header" Target="header147.xml"/><Relationship Id="rId200" Type="http://schemas.openxmlformats.org/officeDocument/2006/relationships/oleObject" Target="embeddings/oleObject54.bin"/><Relationship Id="rId382" Type="http://schemas.openxmlformats.org/officeDocument/2006/relationships/image" Target="media/image160.wmf"/><Relationship Id="rId438" Type="http://schemas.openxmlformats.org/officeDocument/2006/relationships/footer" Target="footer29.xml"/><Relationship Id="rId603" Type="http://schemas.openxmlformats.org/officeDocument/2006/relationships/image" Target="media/image281.wmf"/><Relationship Id="rId645" Type="http://schemas.openxmlformats.org/officeDocument/2006/relationships/image" Target="media/image291.wmf"/><Relationship Id="rId687" Type="http://schemas.openxmlformats.org/officeDocument/2006/relationships/header" Target="header121.xml"/><Relationship Id="rId242" Type="http://schemas.openxmlformats.org/officeDocument/2006/relationships/oleObject" Target="embeddings/oleObject80.bin"/><Relationship Id="rId284" Type="http://schemas.openxmlformats.org/officeDocument/2006/relationships/oleObject" Target="embeddings/oleObject93.bin"/><Relationship Id="rId491" Type="http://schemas.openxmlformats.org/officeDocument/2006/relationships/header" Target="header84.xml"/><Relationship Id="rId505" Type="http://schemas.openxmlformats.org/officeDocument/2006/relationships/image" Target="media/image222.wmf"/><Relationship Id="rId712" Type="http://schemas.openxmlformats.org/officeDocument/2006/relationships/image" Target="media/image312.jpeg"/><Relationship Id="rId37" Type="http://schemas.openxmlformats.org/officeDocument/2006/relationships/image" Target="media/image9.wmf"/><Relationship Id="rId79" Type="http://schemas.openxmlformats.org/officeDocument/2006/relationships/header" Target="header27.xml"/><Relationship Id="rId102" Type="http://schemas.openxmlformats.org/officeDocument/2006/relationships/image" Target="media/image26.wmf"/><Relationship Id="rId144" Type="http://schemas.openxmlformats.org/officeDocument/2006/relationships/image" Target="media/image46.wmf"/><Relationship Id="rId547" Type="http://schemas.openxmlformats.org/officeDocument/2006/relationships/image" Target="media/image245.wmf"/><Relationship Id="rId589" Type="http://schemas.openxmlformats.org/officeDocument/2006/relationships/image" Target="media/image271.wmf"/><Relationship Id="rId754" Type="http://schemas.openxmlformats.org/officeDocument/2006/relationships/header" Target="header154.xml"/><Relationship Id="rId90" Type="http://schemas.openxmlformats.org/officeDocument/2006/relationships/header" Target="header34.xml"/><Relationship Id="rId186" Type="http://schemas.openxmlformats.org/officeDocument/2006/relationships/image" Target="media/image69.wmf"/><Relationship Id="rId351" Type="http://schemas.openxmlformats.org/officeDocument/2006/relationships/oleObject" Target="embeddings/oleObject112.bin"/><Relationship Id="rId393" Type="http://schemas.openxmlformats.org/officeDocument/2006/relationships/image" Target="media/image166.wmf"/><Relationship Id="rId407" Type="http://schemas.openxmlformats.org/officeDocument/2006/relationships/oleObject" Target="embeddings/oleObject139.bin"/><Relationship Id="rId449" Type="http://schemas.openxmlformats.org/officeDocument/2006/relationships/image" Target="media/image191.png"/><Relationship Id="rId614" Type="http://schemas.openxmlformats.org/officeDocument/2006/relationships/header" Target="header95.xml"/><Relationship Id="rId656" Type="http://schemas.openxmlformats.org/officeDocument/2006/relationships/oleObject" Target="embeddings/oleObject203.bin"/><Relationship Id="rId211" Type="http://schemas.openxmlformats.org/officeDocument/2006/relationships/image" Target="media/image81.wmf"/><Relationship Id="rId253" Type="http://schemas.openxmlformats.org/officeDocument/2006/relationships/image" Target="media/image97.wmf"/><Relationship Id="rId295" Type="http://schemas.openxmlformats.org/officeDocument/2006/relationships/image" Target="media/image112.wmf"/><Relationship Id="rId309" Type="http://schemas.openxmlformats.org/officeDocument/2006/relationships/header" Target="header55.xml"/><Relationship Id="rId460" Type="http://schemas.openxmlformats.org/officeDocument/2006/relationships/header" Target="header71.xml"/><Relationship Id="rId516" Type="http://schemas.openxmlformats.org/officeDocument/2006/relationships/header" Target="header87.xml"/><Relationship Id="rId698" Type="http://schemas.openxmlformats.org/officeDocument/2006/relationships/footer" Target="footer46.xml"/><Relationship Id="rId48" Type="http://schemas.openxmlformats.org/officeDocument/2006/relationships/header" Target="header9.xml"/><Relationship Id="rId113" Type="http://schemas.openxmlformats.org/officeDocument/2006/relationships/oleObject" Target="embeddings/oleObject15.bin"/><Relationship Id="rId320" Type="http://schemas.openxmlformats.org/officeDocument/2006/relationships/header" Target="header56.xml"/><Relationship Id="rId558" Type="http://schemas.openxmlformats.org/officeDocument/2006/relationships/image" Target="media/image253.wmf"/><Relationship Id="rId723" Type="http://schemas.openxmlformats.org/officeDocument/2006/relationships/header" Target="header138.xml"/><Relationship Id="rId765" Type="http://schemas.openxmlformats.org/officeDocument/2006/relationships/header" Target="header155.xml"/><Relationship Id="rId155" Type="http://schemas.openxmlformats.org/officeDocument/2006/relationships/image" Target="media/image52.wmf"/><Relationship Id="rId197" Type="http://schemas.openxmlformats.org/officeDocument/2006/relationships/image" Target="media/image74.wmf"/><Relationship Id="rId362" Type="http://schemas.openxmlformats.org/officeDocument/2006/relationships/oleObject" Target="embeddings/oleObject117.bin"/><Relationship Id="rId418" Type="http://schemas.openxmlformats.org/officeDocument/2006/relationships/image" Target="media/image178.wmf"/><Relationship Id="rId625" Type="http://schemas.openxmlformats.org/officeDocument/2006/relationships/header" Target="header103.xml"/><Relationship Id="rId222" Type="http://schemas.openxmlformats.org/officeDocument/2006/relationships/oleObject" Target="embeddings/oleObject70.bin"/><Relationship Id="rId264" Type="http://schemas.openxmlformats.org/officeDocument/2006/relationships/oleObject" Target="embeddings/oleObject91.bin"/><Relationship Id="rId471" Type="http://schemas.openxmlformats.org/officeDocument/2006/relationships/image" Target="media/image200.wmf"/><Relationship Id="rId667" Type="http://schemas.openxmlformats.org/officeDocument/2006/relationships/oleObject" Target="embeddings/oleObject209.bin"/><Relationship Id="rId17" Type="http://schemas.openxmlformats.org/officeDocument/2006/relationships/header" Target="header4.xml"/><Relationship Id="rId59" Type="http://schemas.openxmlformats.org/officeDocument/2006/relationships/image" Target="media/image18.wmf"/><Relationship Id="rId124" Type="http://schemas.openxmlformats.org/officeDocument/2006/relationships/image" Target="media/image35.wmf"/><Relationship Id="rId527" Type="http://schemas.openxmlformats.org/officeDocument/2006/relationships/header" Target="header91.xml"/><Relationship Id="rId569" Type="http://schemas.openxmlformats.org/officeDocument/2006/relationships/oleObject" Target="embeddings/oleObject174.bin"/><Relationship Id="rId734" Type="http://schemas.openxmlformats.org/officeDocument/2006/relationships/package" Target="embeddings/Microsoft_Excel_Worksheet1.xlsx"/><Relationship Id="rId70" Type="http://schemas.openxmlformats.org/officeDocument/2006/relationships/header" Target="header18.xml"/><Relationship Id="rId166" Type="http://schemas.openxmlformats.org/officeDocument/2006/relationships/oleObject" Target="embeddings/oleObject40.bin"/><Relationship Id="rId331" Type="http://schemas.openxmlformats.org/officeDocument/2006/relationships/image" Target="media/image129.wmf"/><Relationship Id="rId373" Type="http://schemas.openxmlformats.org/officeDocument/2006/relationships/image" Target="media/image155.jpeg"/><Relationship Id="rId429" Type="http://schemas.openxmlformats.org/officeDocument/2006/relationships/image" Target="media/image184.wmf"/><Relationship Id="rId580" Type="http://schemas.openxmlformats.org/officeDocument/2006/relationships/image" Target="media/image266.wmf"/><Relationship Id="rId636" Type="http://schemas.openxmlformats.org/officeDocument/2006/relationships/image" Target="media/image287.emf"/><Relationship Id="rId1" Type="http://schemas.openxmlformats.org/officeDocument/2006/relationships/customXml" Target="../customXml/item1.xml"/><Relationship Id="rId233" Type="http://schemas.openxmlformats.org/officeDocument/2006/relationships/image" Target="media/image87.wmf"/><Relationship Id="rId440" Type="http://schemas.openxmlformats.org/officeDocument/2006/relationships/footer" Target="footer30.xml"/><Relationship Id="rId678" Type="http://schemas.openxmlformats.org/officeDocument/2006/relationships/image" Target="media/image304.png"/><Relationship Id="rId28" Type="http://schemas.openxmlformats.org/officeDocument/2006/relationships/oleObject" Target="embeddings/oleObject2.bin"/><Relationship Id="rId275" Type="http://schemas.openxmlformats.org/officeDocument/2006/relationships/header" Target="header51.xml"/><Relationship Id="rId300" Type="http://schemas.openxmlformats.org/officeDocument/2006/relationships/oleObject" Target="embeddings/oleObject101.bin"/><Relationship Id="rId482" Type="http://schemas.openxmlformats.org/officeDocument/2006/relationships/image" Target="media/image207.wmf"/><Relationship Id="rId538" Type="http://schemas.openxmlformats.org/officeDocument/2006/relationships/image" Target="media/image240.wmf"/><Relationship Id="rId703" Type="http://schemas.openxmlformats.org/officeDocument/2006/relationships/footer" Target="footer48.xml"/><Relationship Id="rId745" Type="http://schemas.openxmlformats.org/officeDocument/2006/relationships/footer" Target="footer60.xml"/><Relationship Id="rId81" Type="http://schemas.openxmlformats.org/officeDocument/2006/relationships/footer" Target="footer13.xml"/><Relationship Id="rId135" Type="http://schemas.openxmlformats.org/officeDocument/2006/relationships/oleObject" Target="embeddings/oleObject26.bin"/><Relationship Id="rId177" Type="http://schemas.openxmlformats.org/officeDocument/2006/relationships/image" Target="media/image63.wmf"/><Relationship Id="rId342" Type="http://schemas.openxmlformats.org/officeDocument/2006/relationships/header" Target="header59.xml"/><Relationship Id="rId384" Type="http://schemas.openxmlformats.org/officeDocument/2006/relationships/image" Target="media/image161.wmf"/><Relationship Id="rId591" Type="http://schemas.openxmlformats.org/officeDocument/2006/relationships/image" Target="media/image273.wmf"/><Relationship Id="rId605" Type="http://schemas.openxmlformats.org/officeDocument/2006/relationships/image" Target="media/image282.wmf"/><Relationship Id="rId202" Type="http://schemas.openxmlformats.org/officeDocument/2006/relationships/oleObject" Target="embeddings/oleObject55.bin"/><Relationship Id="rId244" Type="http://schemas.openxmlformats.org/officeDocument/2006/relationships/oleObject" Target="embeddings/oleObject81.bin"/><Relationship Id="rId647" Type="http://schemas.openxmlformats.org/officeDocument/2006/relationships/image" Target="media/image292.emf"/><Relationship Id="rId689" Type="http://schemas.openxmlformats.org/officeDocument/2006/relationships/oleObject" Target="embeddings/oleObject210.bin"/><Relationship Id="rId39" Type="http://schemas.openxmlformats.org/officeDocument/2006/relationships/image" Target="media/image10.wmf"/><Relationship Id="rId286" Type="http://schemas.openxmlformats.org/officeDocument/2006/relationships/oleObject" Target="embeddings/oleObject94.bin"/><Relationship Id="rId451" Type="http://schemas.openxmlformats.org/officeDocument/2006/relationships/image" Target="media/image193.png"/><Relationship Id="rId493" Type="http://schemas.openxmlformats.org/officeDocument/2006/relationships/image" Target="media/image210.wmf"/><Relationship Id="rId507" Type="http://schemas.openxmlformats.org/officeDocument/2006/relationships/image" Target="media/image224.wmf"/><Relationship Id="rId549" Type="http://schemas.openxmlformats.org/officeDocument/2006/relationships/image" Target="media/image246.wmf"/><Relationship Id="rId714" Type="http://schemas.openxmlformats.org/officeDocument/2006/relationships/image" Target="media/image314.emf"/><Relationship Id="rId756" Type="http://schemas.openxmlformats.org/officeDocument/2006/relationships/image" Target="media/image320.wmf"/><Relationship Id="rId50" Type="http://schemas.openxmlformats.org/officeDocument/2006/relationships/footer" Target="footer11.xml"/><Relationship Id="rId104" Type="http://schemas.openxmlformats.org/officeDocument/2006/relationships/header" Target="header40.xml"/><Relationship Id="rId146" Type="http://schemas.openxmlformats.org/officeDocument/2006/relationships/image" Target="media/image47.wmf"/><Relationship Id="rId188" Type="http://schemas.openxmlformats.org/officeDocument/2006/relationships/header" Target="header44.xml"/><Relationship Id="rId311" Type="http://schemas.openxmlformats.org/officeDocument/2006/relationships/oleObject" Target="embeddings/oleObject106.bin"/><Relationship Id="rId353" Type="http://schemas.openxmlformats.org/officeDocument/2006/relationships/oleObject" Target="embeddings/oleObject113.bin"/><Relationship Id="rId395" Type="http://schemas.openxmlformats.org/officeDocument/2006/relationships/oleObject" Target="embeddings/oleObject133.bin"/><Relationship Id="rId409" Type="http://schemas.openxmlformats.org/officeDocument/2006/relationships/oleObject" Target="embeddings/oleObject140.bin"/><Relationship Id="rId560" Type="http://schemas.openxmlformats.org/officeDocument/2006/relationships/image" Target="media/image254.wmf"/><Relationship Id="rId92" Type="http://schemas.openxmlformats.org/officeDocument/2006/relationships/header" Target="header36.xml"/><Relationship Id="rId213" Type="http://schemas.openxmlformats.org/officeDocument/2006/relationships/oleObject" Target="embeddings/oleObject61.bin"/><Relationship Id="rId420" Type="http://schemas.openxmlformats.org/officeDocument/2006/relationships/image" Target="media/image179.wmf"/><Relationship Id="rId616" Type="http://schemas.openxmlformats.org/officeDocument/2006/relationships/footer" Target="footer36.xml"/><Relationship Id="rId658" Type="http://schemas.openxmlformats.org/officeDocument/2006/relationships/oleObject" Target="embeddings/oleObject204.bin"/><Relationship Id="rId255" Type="http://schemas.openxmlformats.org/officeDocument/2006/relationships/image" Target="media/image98.wmf"/><Relationship Id="rId297" Type="http://schemas.openxmlformats.org/officeDocument/2006/relationships/image" Target="media/image113.wmf"/><Relationship Id="rId462" Type="http://schemas.openxmlformats.org/officeDocument/2006/relationships/header" Target="header73.xml"/><Relationship Id="rId518" Type="http://schemas.openxmlformats.org/officeDocument/2006/relationships/image" Target="media/image232.jpeg"/><Relationship Id="rId725" Type="http://schemas.openxmlformats.org/officeDocument/2006/relationships/footer" Target="footer54.xml"/><Relationship Id="rId115" Type="http://schemas.openxmlformats.org/officeDocument/2006/relationships/oleObject" Target="embeddings/oleObject16.bin"/><Relationship Id="rId157" Type="http://schemas.openxmlformats.org/officeDocument/2006/relationships/image" Target="media/image53.wmf"/><Relationship Id="rId322" Type="http://schemas.openxmlformats.org/officeDocument/2006/relationships/footer" Target="footer24.xml"/><Relationship Id="rId364" Type="http://schemas.openxmlformats.org/officeDocument/2006/relationships/oleObject" Target="embeddings/oleObject118.bin"/><Relationship Id="rId767" Type="http://schemas.openxmlformats.org/officeDocument/2006/relationships/header" Target="header157.xml"/><Relationship Id="rId61" Type="http://schemas.openxmlformats.org/officeDocument/2006/relationships/header" Target="header13.xml"/><Relationship Id="rId199" Type="http://schemas.openxmlformats.org/officeDocument/2006/relationships/image" Target="media/image75.wmf"/><Relationship Id="rId571" Type="http://schemas.openxmlformats.org/officeDocument/2006/relationships/oleObject" Target="embeddings/oleObject175.bin"/><Relationship Id="rId627" Type="http://schemas.openxmlformats.org/officeDocument/2006/relationships/footer" Target="footer37.xml"/><Relationship Id="rId669" Type="http://schemas.openxmlformats.org/officeDocument/2006/relationships/header" Target="header112.xml"/><Relationship Id="rId19" Type="http://schemas.openxmlformats.org/officeDocument/2006/relationships/footer" Target="footer5.xml"/><Relationship Id="rId224" Type="http://schemas.openxmlformats.org/officeDocument/2006/relationships/oleObject" Target="embeddings/oleObject71.bin"/><Relationship Id="rId266" Type="http://schemas.openxmlformats.org/officeDocument/2006/relationships/header" Target="header46.xml"/><Relationship Id="rId431" Type="http://schemas.openxmlformats.org/officeDocument/2006/relationships/image" Target="media/image185.wmf"/><Relationship Id="rId473" Type="http://schemas.openxmlformats.org/officeDocument/2006/relationships/image" Target="media/image201.wmf"/><Relationship Id="rId529" Type="http://schemas.openxmlformats.org/officeDocument/2006/relationships/footer" Target="footer34.xml"/><Relationship Id="rId680" Type="http://schemas.openxmlformats.org/officeDocument/2006/relationships/image" Target="media/image306.emf"/><Relationship Id="rId736" Type="http://schemas.openxmlformats.org/officeDocument/2006/relationships/package" Target="embeddings/Microsoft_Excel_Worksheet2.xlsx"/><Relationship Id="rId30" Type="http://schemas.openxmlformats.org/officeDocument/2006/relationships/oleObject" Target="embeddings/oleObject3.bin"/><Relationship Id="rId126" Type="http://schemas.openxmlformats.org/officeDocument/2006/relationships/image" Target="media/image36.wmf"/><Relationship Id="rId168" Type="http://schemas.openxmlformats.org/officeDocument/2006/relationships/oleObject" Target="embeddings/oleObject41.bin"/><Relationship Id="rId333" Type="http://schemas.openxmlformats.org/officeDocument/2006/relationships/image" Target="media/image131.wmf"/><Relationship Id="rId540" Type="http://schemas.openxmlformats.org/officeDocument/2006/relationships/image" Target="media/image241.wmf"/><Relationship Id="rId72" Type="http://schemas.openxmlformats.org/officeDocument/2006/relationships/header" Target="header20.xml"/><Relationship Id="rId375" Type="http://schemas.openxmlformats.org/officeDocument/2006/relationships/oleObject" Target="embeddings/oleObject123.bin"/><Relationship Id="rId582" Type="http://schemas.openxmlformats.org/officeDocument/2006/relationships/image" Target="media/image267.wmf"/><Relationship Id="rId638" Type="http://schemas.openxmlformats.org/officeDocument/2006/relationships/image" Target="media/image288.wmf"/><Relationship Id="rId3" Type="http://schemas.openxmlformats.org/officeDocument/2006/relationships/styles" Target="styles.xml"/><Relationship Id="rId235" Type="http://schemas.openxmlformats.org/officeDocument/2006/relationships/image" Target="media/image88.wmf"/><Relationship Id="rId277" Type="http://schemas.openxmlformats.org/officeDocument/2006/relationships/header" Target="header53.xml"/><Relationship Id="rId400" Type="http://schemas.openxmlformats.org/officeDocument/2006/relationships/image" Target="media/image169.wmf"/><Relationship Id="rId442" Type="http://schemas.openxmlformats.org/officeDocument/2006/relationships/header" Target="header66.xml"/><Relationship Id="rId484" Type="http://schemas.openxmlformats.org/officeDocument/2006/relationships/image" Target="media/image208.wmf"/><Relationship Id="rId705" Type="http://schemas.openxmlformats.org/officeDocument/2006/relationships/header" Target="header131.xml"/><Relationship Id="rId137" Type="http://schemas.openxmlformats.org/officeDocument/2006/relationships/oleObject" Target="embeddings/oleObject27.bin"/><Relationship Id="rId302" Type="http://schemas.openxmlformats.org/officeDocument/2006/relationships/oleObject" Target="embeddings/oleObject102.bin"/><Relationship Id="rId344" Type="http://schemas.openxmlformats.org/officeDocument/2006/relationships/header" Target="header61.xml"/><Relationship Id="rId691" Type="http://schemas.openxmlformats.org/officeDocument/2006/relationships/header" Target="header123.xml"/><Relationship Id="rId747" Type="http://schemas.openxmlformats.org/officeDocument/2006/relationships/footer" Target="footer61.xml"/><Relationship Id="rId41" Type="http://schemas.openxmlformats.org/officeDocument/2006/relationships/image" Target="media/image11.wmf"/><Relationship Id="rId83" Type="http://schemas.openxmlformats.org/officeDocument/2006/relationships/header" Target="header30.xml"/><Relationship Id="rId179" Type="http://schemas.openxmlformats.org/officeDocument/2006/relationships/image" Target="media/image64.wmf"/><Relationship Id="rId386" Type="http://schemas.openxmlformats.org/officeDocument/2006/relationships/image" Target="media/image162.wmf"/><Relationship Id="rId551" Type="http://schemas.openxmlformats.org/officeDocument/2006/relationships/image" Target="media/image247.wmf"/><Relationship Id="rId593" Type="http://schemas.openxmlformats.org/officeDocument/2006/relationships/image" Target="media/image275.wmf"/><Relationship Id="rId607" Type="http://schemas.openxmlformats.org/officeDocument/2006/relationships/image" Target="media/image283.wmf"/><Relationship Id="rId649" Type="http://schemas.openxmlformats.org/officeDocument/2006/relationships/image" Target="media/image293.wmf"/><Relationship Id="rId190" Type="http://schemas.openxmlformats.org/officeDocument/2006/relationships/oleObject" Target="embeddings/oleObject49.bin"/><Relationship Id="rId204" Type="http://schemas.openxmlformats.org/officeDocument/2006/relationships/oleObject" Target="embeddings/oleObject56.bin"/><Relationship Id="rId246" Type="http://schemas.openxmlformats.org/officeDocument/2006/relationships/oleObject" Target="embeddings/oleObject82.bin"/><Relationship Id="rId288" Type="http://schemas.openxmlformats.org/officeDocument/2006/relationships/oleObject" Target="embeddings/oleObject95.bin"/><Relationship Id="rId411" Type="http://schemas.openxmlformats.org/officeDocument/2006/relationships/oleObject" Target="embeddings/oleObject141.bin"/><Relationship Id="rId453" Type="http://schemas.openxmlformats.org/officeDocument/2006/relationships/image" Target="media/image195.png"/><Relationship Id="rId509" Type="http://schemas.openxmlformats.org/officeDocument/2006/relationships/image" Target="media/image226.wmf"/><Relationship Id="rId660" Type="http://schemas.openxmlformats.org/officeDocument/2006/relationships/oleObject" Target="embeddings/oleObject205.bin"/><Relationship Id="rId106" Type="http://schemas.openxmlformats.org/officeDocument/2006/relationships/footer" Target="footer17.xml"/><Relationship Id="rId313" Type="http://schemas.openxmlformats.org/officeDocument/2006/relationships/oleObject" Target="embeddings/oleObject107.bin"/><Relationship Id="rId495" Type="http://schemas.openxmlformats.org/officeDocument/2006/relationships/image" Target="media/image212.wmf"/><Relationship Id="rId716" Type="http://schemas.openxmlformats.org/officeDocument/2006/relationships/header" Target="header135.xml"/><Relationship Id="rId758" Type="http://schemas.openxmlformats.org/officeDocument/2006/relationships/image" Target="media/image322.wmf"/><Relationship Id="rId10" Type="http://schemas.openxmlformats.org/officeDocument/2006/relationships/hyperlink" Target="http://www.unece.org/trans/main/wp29/wp29wgs/wp29grpe/grpeinf71.html" TargetMode="External"/><Relationship Id="rId52" Type="http://schemas.openxmlformats.org/officeDocument/2006/relationships/image" Target="media/image13.wmf"/><Relationship Id="rId94" Type="http://schemas.openxmlformats.org/officeDocument/2006/relationships/header" Target="header37.xml"/><Relationship Id="rId148" Type="http://schemas.openxmlformats.org/officeDocument/2006/relationships/image" Target="media/image48.wmf"/><Relationship Id="rId355" Type="http://schemas.openxmlformats.org/officeDocument/2006/relationships/image" Target="media/image146.wmf"/><Relationship Id="rId397" Type="http://schemas.openxmlformats.org/officeDocument/2006/relationships/oleObject" Target="embeddings/oleObject134.bin"/><Relationship Id="rId520" Type="http://schemas.openxmlformats.org/officeDocument/2006/relationships/image" Target="media/image234.wmf"/><Relationship Id="rId562" Type="http://schemas.openxmlformats.org/officeDocument/2006/relationships/image" Target="media/image255.wmf"/><Relationship Id="rId618" Type="http://schemas.openxmlformats.org/officeDocument/2006/relationships/header" Target="header98.xml"/><Relationship Id="rId215" Type="http://schemas.openxmlformats.org/officeDocument/2006/relationships/oleObject" Target="embeddings/oleObject63.bin"/><Relationship Id="rId257" Type="http://schemas.openxmlformats.org/officeDocument/2006/relationships/image" Target="media/image99.wmf"/><Relationship Id="rId422" Type="http://schemas.openxmlformats.org/officeDocument/2006/relationships/image" Target="media/image180.wmf"/><Relationship Id="rId464" Type="http://schemas.openxmlformats.org/officeDocument/2006/relationships/header" Target="header75.xml"/><Relationship Id="rId299" Type="http://schemas.openxmlformats.org/officeDocument/2006/relationships/image" Target="media/image114.wmf"/><Relationship Id="rId727" Type="http://schemas.openxmlformats.org/officeDocument/2006/relationships/footer" Target="footer55.xml"/><Relationship Id="rId63" Type="http://schemas.openxmlformats.org/officeDocument/2006/relationships/header" Target="header15.xml"/><Relationship Id="rId159" Type="http://schemas.openxmlformats.org/officeDocument/2006/relationships/image" Target="media/image54.wmf"/><Relationship Id="rId366" Type="http://schemas.openxmlformats.org/officeDocument/2006/relationships/oleObject" Target="embeddings/oleObject119.bin"/><Relationship Id="rId573" Type="http://schemas.openxmlformats.org/officeDocument/2006/relationships/oleObject" Target="embeddings/oleObject176.bin"/><Relationship Id="rId226" Type="http://schemas.openxmlformats.org/officeDocument/2006/relationships/oleObject" Target="embeddings/oleObject72.bin"/><Relationship Id="rId433" Type="http://schemas.openxmlformats.org/officeDocument/2006/relationships/image" Target="media/image186.wmf"/><Relationship Id="rId640" Type="http://schemas.openxmlformats.org/officeDocument/2006/relationships/image" Target="media/image289.emf"/><Relationship Id="rId738" Type="http://schemas.openxmlformats.org/officeDocument/2006/relationships/header" Target="header145.xml"/><Relationship Id="rId74" Type="http://schemas.openxmlformats.org/officeDocument/2006/relationships/header" Target="header22.xml"/><Relationship Id="rId377" Type="http://schemas.openxmlformats.org/officeDocument/2006/relationships/oleObject" Target="embeddings/oleObject124.bin"/><Relationship Id="rId500" Type="http://schemas.openxmlformats.org/officeDocument/2006/relationships/image" Target="media/image217.wmf"/><Relationship Id="rId584" Type="http://schemas.openxmlformats.org/officeDocument/2006/relationships/image" Target="media/image268.wmf"/><Relationship Id="rId5" Type="http://schemas.openxmlformats.org/officeDocument/2006/relationships/settings" Target="settings.xml"/><Relationship Id="rId237" Type="http://schemas.openxmlformats.org/officeDocument/2006/relationships/image" Target="media/image89.wmf"/><Relationship Id="rId444" Type="http://schemas.openxmlformats.org/officeDocument/2006/relationships/header" Target="header68.xml"/><Relationship Id="rId651" Type="http://schemas.openxmlformats.org/officeDocument/2006/relationships/image" Target="media/image294.wmf"/><Relationship Id="rId749" Type="http://schemas.openxmlformats.org/officeDocument/2006/relationships/header" Target="header150.xml"/><Relationship Id="rId290" Type="http://schemas.openxmlformats.org/officeDocument/2006/relationships/oleObject" Target="embeddings/oleObject96.bin"/><Relationship Id="rId304" Type="http://schemas.openxmlformats.org/officeDocument/2006/relationships/oleObject" Target="embeddings/oleObject103.bin"/><Relationship Id="rId388" Type="http://schemas.openxmlformats.org/officeDocument/2006/relationships/image" Target="media/image163.wmf"/><Relationship Id="rId511" Type="http://schemas.openxmlformats.org/officeDocument/2006/relationships/image" Target="media/image228.wmf"/><Relationship Id="rId609" Type="http://schemas.openxmlformats.org/officeDocument/2006/relationships/image" Target="media/image284.wmf"/><Relationship Id="rId85" Type="http://schemas.openxmlformats.org/officeDocument/2006/relationships/image" Target="media/image22.png"/><Relationship Id="rId150" Type="http://schemas.openxmlformats.org/officeDocument/2006/relationships/image" Target="media/image49.wmf"/><Relationship Id="rId595" Type="http://schemas.openxmlformats.org/officeDocument/2006/relationships/image" Target="media/image277.wmf"/><Relationship Id="rId248" Type="http://schemas.openxmlformats.org/officeDocument/2006/relationships/oleObject" Target="embeddings/oleObject83.bin"/><Relationship Id="rId455" Type="http://schemas.openxmlformats.org/officeDocument/2006/relationships/header" Target="header70.xml"/><Relationship Id="rId662" Type="http://schemas.openxmlformats.org/officeDocument/2006/relationships/image" Target="media/image299.wmf"/><Relationship Id="rId12" Type="http://schemas.openxmlformats.org/officeDocument/2006/relationships/footer" Target="footer1.xml"/><Relationship Id="rId108" Type="http://schemas.openxmlformats.org/officeDocument/2006/relationships/header" Target="header42.xml"/><Relationship Id="rId315" Type="http://schemas.openxmlformats.org/officeDocument/2006/relationships/oleObject" Target="embeddings/oleObject108.bin"/><Relationship Id="rId522" Type="http://schemas.openxmlformats.org/officeDocument/2006/relationships/image" Target="media/image236.wmf"/><Relationship Id="rId96" Type="http://schemas.openxmlformats.org/officeDocument/2006/relationships/header" Target="header39.xml"/><Relationship Id="rId161" Type="http://schemas.openxmlformats.org/officeDocument/2006/relationships/image" Target="media/image55.wmf"/><Relationship Id="rId399" Type="http://schemas.openxmlformats.org/officeDocument/2006/relationships/oleObject" Target="embeddings/oleObject135.bin"/><Relationship Id="rId259" Type="http://schemas.openxmlformats.org/officeDocument/2006/relationships/image" Target="media/image100.wmf"/><Relationship Id="rId466" Type="http://schemas.openxmlformats.org/officeDocument/2006/relationships/image" Target="media/image199.wmf"/><Relationship Id="rId673" Type="http://schemas.openxmlformats.org/officeDocument/2006/relationships/footer" Target="footer42.xml"/><Relationship Id="rId23" Type="http://schemas.openxmlformats.org/officeDocument/2006/relationships/header" Target="header6.xml"/><Relationship Id="rId119" Type="http://schemas.openxmlformats.org/officeDocument/2006/relationships/oleObject" Target="embeddings/oleObject18.bin"/><Relationship Id="rId326" Type="http://schemas.openxmlformats.org/officeDocument/2006/relationships/image" Target="media/image124.wmf"/><Relationship Id="rId533" Type="http://schemas.openxmlformats.org/officeDocument/2006/relationships/oleObject" Target="embeddings/oleObject160.bin"/><Relationship Id="rId740" Type="http://schemas.openxmlformats.org/officeDocument/2006/relationships/footer" Target="footer58.xml"/><Relationship Id="rId172" Type="http://schemas.openxmlformats.org/officeDocument/2006/relationships/oleObject" Target="embeddings/oleObject43.bin"/><Relationship Id="rId477" Type="http://schemas.openxmlformats.org/officeDocument/2006/relationships/image" Target="media/image204.wmf"/><Relationship Id="rId600" Type="http://schemas.openxmlformats.org/officeDocument/2006/relationships/oleObject" Target="embeddings/oleObject185.bin"/><Relationship Id="rId684" Type="http://schemas.openxmlformats.org/officeDocument/2006/relationships/header" Target="header118.xml"/><Relationship Id="rId337" Type="http://schemas.openxmlformats.org/officeDocument/2006/relationships/image" Target="media/image135.wmf"/><Relationship Id="rId34" Type="http://schemas.openxmlformats.org/officeDocument/2006/relationships/oleObject" Target="embeddings/oleObject5.bin"/><Relationship Id="rId544" Type="http://schemas.openxmlformats.org/officeDocument/2006/relationships/image" Target="media/image243.wmf"/><Relationship Id="rId751" Type="http://schemas.openxmlformats.org/officeDocument/2006/relationships/image" Target="media/image319.wmf"/><Relationship Id="rId183" Type="http://schemas.openxmlformats.org/officeDocument/2006/relationships/oleObject" Target="embeddings/oleObject47.bin"/><Relationship Id="rId390" Type="http://schemas.openxmlformats.org/officeDocument/2006/relationships/image" Target="media/image164.png"/><Relationship Id="rId404" Type="http://schemas.openxmlformats.org/officeDocument/2006/relationships/image" Target="media/image171.wmf"/><Relationship Id="rId611" Type="http://schemas.openxmlformats.org/officeDocument/2006/relationships/image" Target="media/image285.wmf"/><Relationship Id="rId250" Type="http://schemas.openxmlformats.org/officeDocument/2006/relationships/oleObject" Target="embeddings/oleObject84.bin"/><Relationship Id="rId488" Type="http://schemas.openxmlformats.org/officeDocument/2006/relationships/header" Target="header81.xml"/><Relationship Id="rId695" Type="http://schemas.openxmlformats.org/officeDocument/2006/relationships/footer" Target="footer45.xml"/><Relationship Id="rId709" Type="http://schemas.openxmlformats.org/officeDocument/2006/relationships/image" Target="media/image309.emf"/><Relationship Id="rId45" Type="http://schemas.openxmlformats.org/officeDocument/2006/relationships/footer" Target="footer9.xml"/><Relationship Id="rId110" Type="http://schemas.openxmlformats.org/officeDocument/2006/relationships/image" Target="media/image27.wmf"/><Relationship Id="rId348" Type="http://schemas.openxmlformats.org/officeDocument/2006/relationships/oleObject" Target="embeddings/oleObject111.bin"/><Relationship Id="rId555" Type="http://schemas.openxmlformats.org/officeDocument/2006/relationships/image" Target="media/image250.wmf"/><Relationship Id="rId762" Type="http://schemas.openxmlformats.org/officeDocument/2006/relationships/image" Target="media/image326.wmf"/><Relationship Id="rId194" Type="http://schemas.openxmlformats.org/officeDocument/2006/relationships/oleObject" Target="embeddings/oleObject51.bin"/><Relationship Id="rId208" Type="http://schemas.openxmlformats.org/officeDocument/2006/relationships/oleObject" Target="embeddings/oleObject58.bin"/><Relationship Id="rId415" Type="http://schemas.openxmlformats.org/officeDocument/2006/relationships/oleObject" Target="embeddings/oleObject143.bin"/><Relationship Id="rId622" Type="http://schemas.openxmlformats.org/officeDocument/2006/relationships/oleObject" Target="embeddings/oleObject192.bin"/><Relationship Id="rId261" Type="http://schemas.openxmlformats.org/officeDocument/2006/relationships/image" Target="media/image101.wmf"/><Relationship Id="rId499" Type="http://schemas.openxmlformats.org/officeDocument/2006/relationships/image" Target="media/image216.wmf"/><Relationship Id="rId56" Type="http://schemas.openxmlformats.org/officeDocument/2006/relationships/image" Target="media/image15.wmf"/><Relationship Id="rId359" Type="http://schemas.openxmlformats.org/officeDocument/2006/relationships/image" Target="media/image148.wmf"/><Relationship Id="rId566" Type="http://schemas.openxmlformats.org/officeDocument/2006/relationships/image" Target="media/image257.png"/><Relationship Id="rId121" Type="http://schemas.openxmlformats.org/officeDocument/2006/relationships/oleObject" Target="embeddings/oleObject19.bin"/><Relationship Id="rId219" Type="http://schemas.openxmlformats.org/officeDocument/2006/relationships/oleObject" Target="embeddings/oleObject67.bin"/><Relationship Id="rId426" Type="http://schemas.openxmlformats.org/officeDocument/2006/relationships/oleObject" Target="embeddings/oleObject148.bin"/><Relationship Id="rId633" Type="http://schemas.openxmlformats.org/officeDocument/2006/relationships/header" Target="header109.xml"/><Relationship Id="rId67" Type="http://schemas.openxmlformats.org/officeDocument/2006/relationships/image" Target="media/image21.wmf"/><Relationship Id="rId272" Type="http://schemas.openxmlformats.org/officeDocument/2006/relationships/header" Target="header50.xml"/><Relationship Id="rId577" Type="http://schemas.openxmlformats.org/officeDocument/2006/relationships/oleObject" Target="embeddings/oleObject178.bin"/><Relationship Id="rId700" Type="http://schemas.openxmlformats.org/officeDocument/2006/relationships/header" Target="header128.xml"/><Relationship Id="rId132" Type="http://schemas.openxmlformats.org/officeDocument/2006/relationships/image" Target="media/image39.wmf"/><Relationship Id="rId437" Type="http://schemas.openxmlformats.org/officeDocument/2006/relationships/footer" Target="footer28.xml"/><Relationship Id="rId644" Type="http://schemas.openxmlformats.org/officeDocument/2006/relationships/oleObject" Target="embeddings/oleObject197.bin"/><Relationship Id="rId283" Type="http://schemas.openxmlformats.org/officeDocument/2006/relationships/image" Target="media/image106.wmf"/><Relationship Id="rId490" Type="http://schemas.openxmlformats.org/officeDocument/2006/relationships/header" Target="header83.xml"/><Relationship Id="rId504" Type="http://schemas.openxmlformats.org/officeDocument/2006/relationships/image" Target="media/image221.wmf"/><Relationship Id="rId711" Type="http://schemas.openxmlformats.org/officeDocument/2006/relationships/image" Target="media/image311.emf"/><Relationship Id="rId78" Type="http://schemas.openxmlformats.org/officeDocument/2006/relationships/header" Target="header26.xml"/><Relationship Id="rId143" Type="http://schemas.openxmlformats.org/officeDocument/2006/relationships/oleObject" Target="embeddings/oleObject29.bin"/><Relationship Id="rId350" Type="http://schemas.openxmlformats.org/officeDocument/2006/relationships/image" Target="media/image143.wmf"/><Relationship Id="rId588" Type="http://schemas.openxmlformats.org/officeDocument/2006/relationships/image" Target="media/image270.wmf"/><Relationship Id="rId9" Type="http://schemas.openxmlformats.org/officeDocument/2006/relationships/image" Target="media/image1.png"/><Relationship Id="rId210" Type="http://schemas.openxmlformats.org/officeDocument/2006/relationships/oleObject" Target="embeddings/oleObject59.bin"/><Relationship Id="rId448" Type="http://schemas.openxmlformats.org/officeDocument/2006/relationships/image" Target="media/image190.wmf"/><Relationship Id="rId655" Type="http://schemas.openxmlformats.org/officeDocument/2006/relationships/image" Target="media/image296.wmf"/><Relationship Id="rId294" Type="http://schemas.openxmlformats.org/officeDocument/2006/relationships/oleObject" Target="embeddings/oleObject98.bin"/><Relationship Id="rId308" Type="http://schemas.openxmlformats.org/officeDocument/2006/relationships/oleObject" Target="embeddings/oleObject105.bin"/><Relationship Id="rId515" Type="http://schemas.openxmlformats.org/officeDocument/2006/relationships/header" Target="header86.xml"/><Relationship Id="rId722" Type="http://schemas.openxmlformats.org/officeDocument/2006/relationships/header" Target="header137.xml"/><Relationship Id="rId89" Type="http://schemas.openxmlformats.org/officeDocument/2006/relationships/header" Target="header33.xml"/><Relationship Id="rId154" Type="http://schemas.openxmlformats.org/officeDocument/2006/relationships/image" Target="media/image51.wmf"/><Relationship Id="rId361" Type="http://schemas.openxmlformats.org/officeDocument/2006/relationships/image" Target="media/image149.wmf"/><Relationship Id="rId599" Type="http://schemas.openxmlformats.org/officeDocument/2006/relationships/image" Target="media/image279.wmf"/><Relationship Id="rId459" Type="http://schemas.openxmlformats.org/officeDocument/2006/relationships/oleObject" Target="embeddings/oleObject153.bin"/><Relationship Id="rId666" Type="http://schemas.openxmlformats.org/officeDocument/2006/relationships/image" Target="media/image301.wmf"/><Relationship Id="rId16" Type="http://schemas.openxmlformats.org/officeDocument/2006/relationships/header" Target="header3.xml"/><Relationship Id="rId221" Type="http://schemas.openxmlformats.org/officeDocument/2006/relationships/oleObject" Target="embeddings/oleObject69.bin"/><Relationship Id="rId319" Type="http://schemas.openxmlformats.org/officeDocument/2006/relationships/oleObject" Target="embeddings/oleObject110.bin"/><Relationship Id="rId526" Type="http://schemas.openxmlformats.org/officeDocument/2006/relationships/footer" Target="footer33.xml"/><Relationship Id="rId733" Type="http://schemas.openxmlformats.org/officeDocument/2006/relationships/image" Target="media/image316.emf"/><Relationship Id="rId165" Type="http://schemas.openxmlformats.org/officeDocument/2006/relationships/image" Target="media/image57.wmf"/><Relationship Id="rId372" Type="http://schemas.openxmlformats.org/officeDocument/2006/relationships/oleObject" Target="embeddings/oleObject122.bin"/><Relationship Id="rId677" Type="http://schemas.openxmlformats.org/officeDocument/2006/relationships/image" Target="media/image303.png"/><Relationship Id="rId232" Type="http://schemas.openxmlformats.org/officeDocument/2006/relationships/oleObject" Target="embeddings/oleObject75.bin"/><Relationship Id="rId27" Type="http://schemas.openxmlformats.org/officeDocument/2006/relationships/image" Target="media/image4.wmf"/><Relationship Id="rId537" Type="http://schemas.openxmlformats.org/officeDocument/2006/relationships/oleObject" Target="embeddings/oleObject162.bin"/><Relationship Id="rId744" Type="http://schemas.openxmlformats.org/officeDocument/2006/relationships/footer" Target="footer59.xml"/><Relationship Id="rId80" Type="http://schemas.openxmlformats.org/officeDocument/2006/relationships/header" Target="header28.xml"/><Relationship Id="rId176" Type="http://schemas.openxmlformats.org/officeDocument/2006/relationships/oleObject" Target="embeddings/oleObject45.bin"/><Relationship Id="rId383" Type="http://schemas.openxmlformats.org/officeDocument/2006/relationships/oleObject" Target="embeddings/oleObject127.bin"/><Relationship Id="rId590" Type="http://schemas.openxmlformats.org/officeDocument/2006/relationships/image" Target="media/image272.wmf"/><Relationship Id="rId604" Type="http://schemas.openxmlformats.org/officeDocument/2006/relationships/oleObject" Target="embeddings/oleObject187.bin"/><Relationship Id="rId243" Type="http://schemas.openxmlformats.org/officeDocument/2006/relationships/image" Target="media/image92.wmf"/><Relationship Id="rId450" Type="http://schemas.openxmlformats.org/officeDocument/2006/relationships/image" Target="media/image192.emf"/><Relationship Id="rId688" Type="http://schemas.openxmlformats.org/officeDocument/2006/relationships/image" Target="media/image308.wmf"/><Relationship Id="rId38" Type="http://schemas.openxmlformats.org/officeDocument/2006/relationships/oleObject" Target="embeddings/oleObject7.bin"/><Relationship Id="rId103" Type="http://schemas.openxmlformats.org/officeDocument/2006/relationships/oleObject" Target="embeddings/oleObject14.bin"/><Relationship Id="rId310" Type="http://schemas.openxmlformats.org/officeDocument/2006/relationships/image" Target="media/image119.wmf"/><Relationship Id="rId548" Type="http://schemas.openxmlformats.org/officeDocument/2006/relationships/oleObject" Target="embeddings/oleObject167.bin"/><Relationship Id="rId755" Type="http://schemas.openxmlformats.org/officeDocument/2006/relationships/footer" Target="footer62.xml"/><Relationship Id="rId91" Type="http://schemas.openxmlformats.org/officeDocument/2006/relationships/header" Target="header35.xml"/><Relationship Id="rId187" Type="http://schemas.openxmlformats.org/officeDocument/2006/relationships/header" Target="header43.xml"/><Relationship Id="rId394" Type="http://schemas.openxmlformats.org/officeDocument/2006/relationships/oleObject" Target="embeddings/oleObject132.bin"/><Relationship Id="rId408" Type="http://schemas.openxmlformats.org/officeDocument/2006/relationships/image" Target="media/image173.wmf"/><Relationship Id="rId615" Type="http://schemas.openxmlformats.org/officeDocument/2006/relationships/header" Target="header96.xml"/><Relationship Id="rId254" Type="http://schemas.openxmlformats.org/officeDocument/2006/relationships/oleObject" Target="embeddings/oleObject86.bin"/><Relationship Id="rId699" Type="http://schemas.openxmlformats.org/officeDocument/2006/relationships/header" Target="header127.xml"/><Relationship Id="rId49" Type="http://schemas.openxmlformats.org/officeDocument/2006/relationships/header" Target="header10.xml"/><Relationship Id="rId114" Type="http://schemas.openxmlformats.org/officeDocument/2006/relationships/image" Target="media/image30.wmf"/><Relationship Id="rId461" Type="http://schemas.openxmlformats.org/officeDocument/2006/relationships/header" Target="header72.xml"/><Relationship Id="rId559" Type="http://schemas.openxmlformats.org/officeDocument/2006/relationships/oleObject" Target="embeddings/oleObject170.bin"/><Relationship Id="rId766" Type="http://schemas.openxmlformats.org/officeDocument/2006/relationships/header" Target="header156.xml"/><Relationship Id="rId198" Type="http://schemas.openxmlformats.org/officeDocument/2006/relationships/oleObject" Target="embeddings/oleObject53.bin"/><Relationship Id="rId321" Type="http://schemas.openxmlformats.org/officeDocument/2006/relationships/header" Target="header57.xml"/><Relationship Id="rId419" Type="http://schemas.openxmlformats.org/officeDocument/2006/relationships/oleObject" Target="embeddings/oleObject145.bin"/><Relationship Id="rId626" Type="http://schemas.openxmlformats.org/officeDocument/2006/relationships/header" Target="header104.xml"/><Relationship Id="rId265" Type="http://schemas.openxmlformats.org/officeDocument/2006/relationships/header" Target="header45.xml"/><Relationship Id="rId472" Type="http://schemas.openxmlformats.org/officeDocument/2006/relationships/oleObject" Target="embeddings/oleObject154.bin"/><Relationship Id="rId125" Type="http://schemas.openxmlformats.org/officeDocument/2006/relationships/oleObject" Target="embeddings/oleObject21.bin"/><Relationship Id="rId332" Type="http://schemas.openxmlformats.org/officeDocument/2006/relationships/image" Target="media/image130.wmf"/><Relationship Id="rId637" Type="http://schemas.openxmlformats.org/officeDocument/2006/relationships/oleObject" Target="embeddings/oleObject193.bin"/><Relationship Id="rId276" Type="http://schemas.openxmlformats.org/officeDocument/2006/relationships/header" Target="header52.xml"/><Relationship Id="rId483" Type="http://schemas.openxmlformats.org/officeDocument/2006/relationships/oleObject" Target="embeddings/oleObject158.bin"/><Relationship Id="rId690" Type="http://schemas.openxmlformats.org/officeDocument/2006/relationships/header" Target="header122.xml"/><Relationship Id="rId704" Type="http://schemas.openxmlformats.org/officeDocument/2006/relationships/header" Target="header130.xml"/><Relationship Id="rId40" Type="http://schemas.openxmlformats.org/officeDocument/2006/relationships/oleObject" Target="embeddings/oleObject8.bin"/><Relationship Id="rId136" Type="http://schemas.openxmlformats.org/officeDocument/2006/relationships/image" Target="media/image41.wmf"/><Relationship Id="rId343" Type="http://schemas.openxmlformats.org/officeDocument/2006/relationships/header" Target="header60.xml"/><Relationship Id="rId550" Type="http://schemas.openxmlformats.org/officeDocument/2006/relationships/oleObject" Target="embeddings/oleObject168.bin"/><Relationship Id="rId203" Type="http://schemas.openxmlformats.org/officeDocument/2006/relationships/image" Target="media/image77.wmf"/><Relationship Id="rId648" Type="http://schemas.openxmlformats.org/officeDocument/2006/relationships/oleObject" Target="embeddings/oleObject199.bin"/><Relationship Id="rId287" Type="http://schemas.openxmlformats.org/officeDocument/2006/relationships/image" Target="media/image108.wmf"/><Relationship Id="rId410" Type="http://schemas.openxmlformats.org/officeDocument/2006/relationships/image" Target="media/image174.wmf"/><Relationship Id="rId494" Type="http://schemas.openxmlformats.org/officeDocument/2006/relationships/image" Target="media/image211.wmf"/><Relationship Id="rId508" Type="http://schemas.openxmlformats.org/officeDocument/2006/relationships/image" Target="media/image225.wmf"/><Relationship Id="rId715" Type="http://schemas.openxmlformats.org/officeDocument/2006/relationships/header" Target="header134.xml"/><Relationship Id="rId147" Type="http://schemas.openxmlformats.org/officeDocument/2006/relationships/oleObject" Target="embeddings/oleObject31.bin"/><Relationship Id="rId354" Type="http://schemas.openxmlformats.org/officeDocument/2006/relationships/image" Target="media/image145.emf"/><Relationship Id="rId51" Type="http://schemas.openxmlformats.org/officeDocument/2006/relationships/footer" Target="footer12.xml"/><Relationship Id="rId561" Type="http://schemas.openxmlformats.org/officeDocument/2006/relationships/oleObject" Target="embeddings/oleObject171.bin"/><Relationship Id="rId659" Type="http://schemas.openxmlformats.org/officeDocument/2006/relationships/image" Target="media/image298.wmf"/><Relationship Id="rId214" Type="http://schemas.openxmlformats.org/officeDocument/2006/relationships/oleObject" Target="embeddings/oleObject62.bin"/><Relationship Id="rId298" Type="http://schemas.openxmlformats.org/officeDocument/2006/relationships/oleObject" Target="embeddings/oleObject100.bin"/><Relationship Id="rId421" Type="http://schemas.openxmlformats.org/officeDocument/2006/relationships/oleObject" Target="embeddings/oleObject146.bin"/><Relationship Id="rId519" Type="http://schemas.openxmlformats.org/officeDocument/2006/relationships/image" Target="media/image233.wmf"/><Relationship Id="rId158" Type="http://schemas.openxmlformats.org/officeDocument/2006/relationships/oleObject" Target="embeddings/oleObject36.bin"/><Relationship Id="rId726" Type="http://schemas.openxmlformats.org/officeDocument/2006/relationships/header" Target="header139.xml"/><Relationship Id="rId62" Type="http://schemas.openxmlformats.org/officeDocument/2006/relationships/header" Target="header14.xml"/><Relationship Id="rId365" Type="http://schemas.openxmlformats.org/officeDocument/2006/relationships/image" Target="media/image151.wmf"/><Relationship Id="rId572" Type="http://schemas.openxmlformats.org/officeDocument/2006/relationships/image" Target="media/image261.wmf"/><Relationship Id="rId225" Type="http://schemas.openxmlformats.org/officeDocument/2006/relationships/image" Target="media/image83.wmf"/><Relationship Id="rId432" Type="http://schemas.openxmlformats.org/officeDocument/2006/relationships/oleObject" Target="embeddings/oleObject151.bin"/><Relationship Id="rId737" Type="http://schemas.openxmlformats.org/officeDocument/2006/relationships/header" Target="header144.xml"/><Relationship Id="rId73" Type="http://schemas.openxmlformats.org/officeDocument/2006/relationships/header" Target="header21.xml"/><Relationship Id="rId169" Type="http://schemas.openxmlformats.org/officeDocument/2006/relationships/image" Target="media/image59.wmf"/><Relationship Id="rId376" Type="http://schemas.openxmlformats.org/officeDocument/2006/relationships/image" Target="media/image157.wmf"/><Relationship Id="rId583" Type="http://schemas.openxmlformats.org/officeDocument/2006/relationships/oleObject" Target="embeddings/oleObject180.bin"/><Relationship Id="rId4" Type="http://schemas.microsoft.com/office/2007/relationships/stylesWithEffects" Target="stylesWithEffects.xml"/><Relationship Id="rId236" Type="http://schemas.openxmlformats.org/officeDocument/2006/relationships/oleObject" Target="embeddings/oleObject77.bin"/><Relationship Id="rId443" Type="http://schemas.openxmlformats.org/officeDocument/2006/relationships/header" Target="header67.xml"/><Relationship Id="rId650" Type="http://schemas.openxmlformats.org/officeDocument/2006/relationships/oleObject" Target="embeddings/oleObject200.bin"/><Relationship Id="rId303" Type="http://schemas.openxmlformats.org/officeDocument/2006/relationships/image" Target="media/image116.wmf"/><Relationship Id="rId748" Type="http://schemas.openxmlformats.org/officeDocument/2006/relationships/header" Target="header149.xml"/></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8DBD-C796-4645-89C2-13BD5E09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10</TotalTime>
  <Pages>576</Pages>
  <Words>153011</Words>
  <Characters>872166</Characters>
  <Application>Microsoft Office Word</Application>
  <DocSecurity>0</DocSecurity>
  <Lines>7268</Lines>
  <Paragraphs>2046</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1023131</CharactersWithSpaces>
  <SharedDoc>false</SharedDoc>
  <HLinks>
    <vt:vector size="744" baseType="variant">
      <vt:variant>
        <vt:i4>1179711</vt:i4>
      </vt:variant>
      <vt:variant>
        <vt:i4>563</vt:i4>
      </vt:variant>
      <vt:variant>
        <vt:i4>0</vt:i4>
      </vt:variant>
      <vt:variant>
        <vt:i4>5</vt:i4>
      </vt:variant>
      <vt:variant>
        <vt:lpwstr/>
      </vt:variant>
      <vt:variant>
        <vt:lpwstr>_Toc399940156</vt:lpwstr>
      </vt:variant>
      <vt:variant>
        <vt:i4>1179711</vt:i4>
      </vt:variant>
      <vt:variant>
        <vt:i4>560</vt:i4>
      </vt:variant>
      <vt:variant>
        <vt:i4>0</vt:i4>
      </vt:variant>
      <vt:variant>
        <vt:i4>5</vt:i4>
      </vt:variant>
      <vt:variant>
        <vt:lpwstr/>
      </vt:variant>
      <vt:variant>
        <vt:lpwstr>_Toc399940155</vt:lpwstr>
      </vt:variant>
      <vt:variant>
        <vt:i4>1179711</vt:i4>
      </vt:variant>
      <vt:variant>
        <vt:i4>554</vt:i4>
      </vt:variant>
      <vt:variant>
        <vt:i4>0</vt:i4>
      </vt:variant>
      <vt:variant>
        <vt:i4>5</vt:i4>
      </vt:variant>
      <vt:variant>
        <vt:lpwstr/>
      </vt:variant>
      <vt:variant>
        <vt:lpwstr>_Toc399940154</vt:lpwstr>
      </vt:variant>
      <vt:variant>
        <vt:i4>1179711</vt:i4>
      </vt:variant>
      <vt:variant>
        <vt:i4>551</vt:i4>
      </vt:variant>
      <vt:variant>
        <vt:i4>0</vt:i4>
      </vt:variant>
      <vt:variant>
        <vt:i4>5</vt:i4>
      </vt:variant>
      <vt:variant>
        <vt:lpwstr/>
      </vt:variant>
      <vt:variant>
        <vt:lpwstr>_Toc399940153</vt:lpwstr>
      </vt:variant>
      <vt:variant>
        <vt:i4>1179711</vt:i4>
      </vt:variant>
      <vt:variant>
        <vt:i4>545</vt:i4>
      </vt:variant>
      <vt:variant>
        <vt:i4>0</vt:i4>
      </vt:variant>
      <vt:variant>
        <vt:i4>5</vt:i4>
      </vt:variant>
      <vt:variant>
        <vt:lpwstr/>
      </vt:variant>
      <vt:variant>
        <vt:lpwstr>_Toc399940152</vt:lpwstr>
      </vt:variant>
      <vt:variant>
        <vt:i4>1179711</vt:i4>
      </vt:variant>
      <vt:variant>
        <vt:i4>542</vt:i4>
      </vt:variant>
      <vt:variant>
        <vt:i4>0</vt:i4>
      </vt:variant>
      <vt:variant>
        <vt:i4>5</vt:i4>
      </vt:variant>
      <vt:variant>
        <vt:lpwstr/>
      </vt:variant>
      <vt:variant>
        <vt:lpwstr>_Toc399940151</vt:lpwstr>
      </vt:variant>
      <vt:variant>
        <vt:i4>1179711</vt:i4>
      </vt:variant>
      <vt:variant>
        <vt:i4>536</vt:i4>
      </vt:variant>
      <vt:variant>
        <vt:i4>0</vt:i4>
      </vt:variant>
      <vt:variant>
        <vt:i4>5</vt:i4>
      </vt:variant>
      <vt:variant>
        <vt:lpwstr/>
      </vt:variant>
      <vt:variant>
        <vt:lpwstr>_Toc399940150</vt:lpwstr>
      </vt:variant>
      <vt:variant>
        <vt:i4>1245247</vt:i4>
      </vt:variant>
      <vt:variant>
        <vt:i4>533</vt:i4>
      </vt:variant>
      <vt:variant>
        <vt:i4>0</vt:i4>
      </vt:variant>
      <vt:variant>
        <vt:i4>5</vt:i4>
      </vt:variant>
      <vt:variant>
        <vt:lpwstr/>
      </vt:variant>
      <vt:variant>
        <vt:lpwstr>_Toc399940149</vt:lpwstr>
      </vt:variant>
      <vt:variant>
        <vt:i4>1245247</vt:i4>
      </vt:variant>
      <vt:variant>
        <vt:i4>527</vt:i4>
      </vt:variant>
      <vt:variant>
        <vt:i4>0</vt:i4>
      </vt:variant>
      <vt:variant>
        <vt:i4>5</vt:i4>
      </vt:variant>
      <vt:variant>
        <vt:lpwstr/>
      </vt:variant>
      <vt:variant>
        <vt:lpwstr>_Toc399940148</vt:lpwstr>
      </vt:variant>
      <vt:variant>
        <vt:i4>1245247</vt:i4>
      </vt:variant>
      <vt:variant>
        <vt:i4>524</vt:i4>
      </vt:variant>
      <vt:variant>
        <vt:i4>0</vt:i4>
      </vt:variant>
      <vt:variant>
        <vt:i4>5</vt:i4>
      </vt:variant>
      <vt:variant>
        <vt:lpwstr/>
      </vt:variant>
      <vt:variant>
        <vt:lpwstr>_Toc399940147</vt:lpwstr>
      </vt:variant>
      <vt:variant>
        <vt:i4>1245247</vt:i4>
      </vt:variant>
      <vt:variant>
        <vt:i4>518</vt:i4>
      </vt:variant>
      <vt:variant>
        <vt:i4>0</vt:i4>
      </vt:variant>
      <vt:variant>
        <vt:i4>5</vt:i4>
      </vt:variant>
      <vt:variant>
        <vt:lpwstr/>
      </vt:variant>
      <vt:variant>
        <vt:lpwstr>_Toc399940146</vt:lpwstr>
      </vt:variant>
      <vt:variant>
        <vt:i4>1245247</vt:i4>
      </vt:variant>
      <vt:variant>
        <vt:i4>515</vt:i4>
      </vt:variant>
      <vt:variant>
        <vt:i4>0</vt:i4>
      </vt:variant>
      <vt:variant>
        <vt:i4>5</vt:i4>
      </vt:variant>
      <vt:variant>
        <vt:lpwstr/>
      </vt:variant>
      <vt:variant>
        <vt:lpwstr>_Toc399940145</vt:lpwstr>
      </vt:variant>
      <vt:variant>
        <vt:i4>1310783</vt:i4>
      </vt:variant>
      <vt:variant>
        <vt:i4>509</vt:i4>
      </vt:variant>
      <vt:variant>
        <vt:i4>0</vt:i4>
      </vt:variant>
      <vt:variant>
        <vt:i4>5</vt:i4>
      </vt:variant>
      <vt:variant>
        <vt:lpwstr/>
      </vt:variant>
      <vt:variant>
        <vt:lpwstr>_Toc399940134</vt:lpwstr>
      </vt:variant>
      <vt:variant>
        <vt:i4>1310783</vt:i4>
      </vt:variant>
      <vt:variant>
        <vt:i4>506</vt:i4>
      </vt:variant>
      <vt:variant>
        <vt:i4>0</vt:i4>
      </vt:variant>
      <vt:variant>
        <vt:i4>5</vt:i4>
      </vt:variant>
      <vt:variant>
        <vt:lpwstr/>
      </vt:variant>
      <vt:variant>
        <vt:lpwstr>_Toc399940133</vt:lpwstr>
      </vt:variant>
      <vt:variant>
        <vt:i4>1310783</vt:i4>
      </vt:variant>
      <vt:variant>
        <vt:i4>500</vt:i4>
      </vt:variant>
      <vt:variant>
        <vt:i4>0</vt:i4>
      </vt:variant>
      <vt:variant>
        <vt:i4>5</vt:i4>
      </vt:variant>
      <vt:variant>
        <vt:lpwstr/>
      </vt:variant>
      <vt:variant>
        <vt:lpwstr>_Toc399940132</vt:lpwstr>
      </vt:variant>
      <vt:variant>
        <vt:i4>1310783</vt:i4>
      </vt:variant>
      <vt:variant>
        <vt:i4>497</vt:i4>
      </vt:variant>
      <vt:variant>
        <vt:i4>0</vt:i4>
      </vt:variant>
      <vt:variant>
        <vt:i4>5</vt:i4>
      </vt:variant>
      <vt:variant>
        <vt:lpwstr/>
      </vt:variant>
      <vt:variant>
        <vt:lpwstr>_Toc399940131</vt:lpwstr>
      </vt:variant>
      <vt:variant>
        <vt:i4>1310783</vt:i4>
      </vt:variant>
      <vt:variant>
        <vt:i4>491</vt:i4>
      </vt:variant>
      <vt:variant>
        <vt:i4>0</vt:i4>
      </vt:variant>
      <vt:variant>
        <vt:i4>5</vt:i4>
      </vt:variant>
      <vt:variant>
        <vt:lpwstr/>
      </vt:variant>
      <vt:variant>
        <vt:lpwstr>_Toc399940130</vt:lpwstr>
      </vt:variant>
      <vt:variant>
        <vt:i4>1376319</vt:i4>
      </vt:variant>
      <vt:variant>
        <vt:i4>488</vt:i4>
      </vt:variant>
      <vt:variant>
        <vt:i4>0</vt:i4>
      </vt:variant>
      <vt:variant>
        <vt:i4>5</vt:i4>
      </vt:variant>
      <vt:variant>
        <vt:lpwstr/>
      </vt:variant>
      <vt:variant>
        <vt:lpwstr>_Toc399940129</vt:lpwstr>
      </vt:variant>
      <vt:variant>
        <vt:i4>1376319</vt:i4>
      </vt:variant>
      <vt:variant>
        <vt:i4>482</vt:i4>
      </vt:variant>
      <vt:variant>
        <vt:i4>0</vt:i4>
      </vt:variant>
      <vt:variant>
        <vt:i4>5</vt:i4>
      </vt:variant>
      <vt:variant>
        <vt:lpwstr/>
      </vt:variant>
      <vt:variant>
        <vt:lpwstr>_Toc399940128</vt:lpwstr>
      </vt:variant>
      <vt:variant>
        <vt:i4>1376319</vt:i4>
      </vt:variant>
      <vt:variant>
        <vt:i4>479</vt:i4>
      </vt:variant>
      <vt:variant>
        <vt:i4>0</vt:i4>
      </vt:variant>
      <vt:variant>
        <vt:i4>5</vt:i4>
      </vt:variant>
      <vt:variant>
        <vt:lpwstr/>
      </vt:variant>
      <vt:variant>
        <vt:lpwstr>_Toc399940127</vt:lpwstr>
      </vt:variant>
      <vt:variant>
        <vt:i4>1376319</vt:i4>
      </vt:variant>
      <vt:variant>
        <vt:i4>473</vt:i4>
      </vt:variant>
      <vt:variant>
        <vt:i4>0</vt:i4>
      </vt:variant>
      <vt:variant>
        <vt:i4>5</vt:i4>
      </vt:variant>
      <vt:variant>
        <vt:lpwstr/>
      </vt:variant>
      <vt:variant>
        <vt:lpwstr>_Toc399940126</vt:lpwstr>
      </vt:variant>
      <vt:variant>
        <vt:i4>1376319</vt:i4>
      </vt:variant>
      <vt:variant>
        <vt:i4>470</vt:i4>
      </vt:variant>
      <vt:variant>
        <vt:i4>0</vt:i4>
      </vt:variant>
      <vt:variant>
        <vt:i4>5</vt:i4>
      </vt:variant>
      <vt:variant>
        <vt:lpwstr/>
      </vt:variant>
      <vt:variant>
        <vt:lpwstr>_Toc399940125</vt:lpwstr>
      </vt:variant>
      <vt:variant>
        <vt:i4>1441855</vt:i4>
      </vt:variant>
      <vt:variant>
        <vt:i4>464</vt:i4>
      </vt:variant>
      <vt:variant>
        <vt:i4>0</vt:i4>
      </vt:variant>
      <vt:variant>
        <vt:i4>5</vt:i4>
      </vt:variant>
      <vt:variant>
        <vt:lpwstr/>
      </vt:variant>
      <vt:variant>
        <vt:lpwstr>_Toc399940116</vt:lpwstr>
      </vt:variant>
      <vt:variant>
        <vt:i4>1441855</vt:i4>
      </vt:variant>
      <vt:variant>
        <vt:i4>461</vt:i4>
      </vt:variant>
      <vt:variant>
        <vt:i4>0</vt:i4>
      </vt:variant>
      <vt:variant>
        <vt:i4>5</vt:i4>
      </vt:variant>
      <vt:variant>
        <vt:lpwstr/>
      </vt:variant>
      <vt:variant>
        <vt:lpwstr>_Toc399940115</vt:lpwstr>
      </vt:variant>
      <vt:variant>
        <vt:i4>1441855</vt:i4>
      </vt:variant>
      <vt:variant>
        <vt:i4>455</vt:i4>
      </vt:variant>
      <vt:variant>
        <vt:i4>0</vt:i4>
      </vt:variant>
      <vt:variant>
        <vt:i4>5</vt:i4>
      </vt:variant>
      <vt:variant>
        <vt:lpwstr/>
      </vt:variant>
      <vt:variant>
        <vt:lpwstr>_Toc399940113</vt:lpwstr>
      </vt:variant>
      <vt:variant>
        <vt:i4>1441855</vt:i4>
      </vt:variant>
      <vt:variant>
        <vt:i4>452</vt:i4>
      </vt:variant>
      <vt:variant>
        <vt:i4>0</vt:i4>
      </vt:variant>
      <vt:variant>
        <vt:i4>5</vt:i4>
      </vt:variant>
      <vt:variant>
        <vt:lpwstr/>
      </vt:variant>
      <vt:variant>
        <vt:lpwstr>_Toc399940112</vt:lpwstr>
      </vt:variant>
      <vt:variant>
        <vt:i4>1441855</vt:i4>
      </vt:variant>
      <vt:variant>
        <vt:i4>446</vt:i4>
      </vt:variant>
      <vt:variant>
        <vt:i4>0</vt:i4>
      </vt:variant>
      <vt:variant>
        <vt:i4>5</vt:i4>
      </vt:variant>
      <vt:variant>
        <vt:lpwstr/>
      </vt:variant>
      <vt:variant>
        <vt:lpwstr>_Toc399940111</vt:lpwstr>
      </vt:variant>
      <vt:variant>
        <vt:i4>1441855</vt:i4>
      </vt:variant>
      <vt:variant>
        <vt:i4>443</vt:i4>
      </vt:variant>
      <vt:variant>
        <vt:i4>0</vt:i4>
      </vt:variant>
      <vt:variant>
        <vt:i4>5</vt:i4>
      </vt:variant>
      <vt:variant>
        <vt:lpwstr/>
      </vt:variant>
      <vt:variant>
        <vt:lpwstr>_Toc399940110</vt:lpwstr>
      </vt:variant>
      <vt:variant>
        <vt:i4>1966142</vt:i4>
      </vt:variant>
      <vt:variant>
        <vt:i4>437</vt:i4>
      </vt:variant>
      <vt:variant>
        <vt:i4>0</vt:i4>
      </vt:variant>
      <vt:variant>
        <vt:i4>5</vt:i4>
      </vt:variant>
      <vt:variant>
        <vt:lpwstr/>
      </vt:variant>
      <vt:variant>
        <vt:lpwstr>_Toc399940099</vt:lpwstr>
      </vt:variant>
      <vt:variant>
        <vt:i4>1966142</vt:i4>
      </vt:variant>
      <vt:variant>
        <vt:i4>434</vt:i4>
      </vt:variant>
      <vt:variant>
        <vt:i4>0</vt:i4>
      </vt:variant>
      <vt:variant>
        <vt:i4>5</vt:i4>
      </vt:variant>
      <vt:variant>
        <vt:lpwstr/>
      </vt:variant>
      <vt:variant>
        <vt:lpwstr>_Toc399940098</vt:lpwstr>
      </vt:variant>
      <vt:variant>
        <vt:i4>1966142</vt:i4>
      </vt:variant>
      <vt:variant>
        <vt:i4>428</vt:i4>
      </vt:variant>
      <vt:variant>
        <vt:i4>0</vt:i4>
      </vt:variant>
      <vt:variant>
        <vt:i4>5</vt:i4>
      </vt:variant>
      <vt:variant>
        <vt:lpwstr/>
      </vt:variant>
      <vt:variant>
        <vt:lpwstr>_Toc399940097</vt:lpwstr>
      </vt:variant>
      <vt:variant>
        <vt:i4>1966142</vt:i4>
      </vt:variant>
      <vt:variant>
        <vt:i4>425</vt:i4>
      </vt:variant>
      <vt:variant>
        <vt:i4>0</vt:i4>
      </vt:variant>
      <vt:variant>
        <vt:i4>5</vt:i4>
      </vt:variant>
      <vt:variant>
        <vt:lpwstr/>
      </vt:variant>
      <vt:variant>
        <vt:lpwstr>_Toc399940096</vt:lpwstr>
      </vt:variant>
      <vt:variant>
        <vt:i4>2031678</vt:i4>
      </vt:variant>
      <vt:variant>
        <vt:i4>419</vt:i4>
      </vt:variant>
      <vt:variant>
        <vt:i4>0</vt:i4>
      </vt:variant>
      <vt:variant>
        <vt:i4>5</vt:i4>
      </vt:variant>
      <vt:variant>
        <vt:lpwstr/>
      </vt:variant>
      <vt:variant>
        <vt:lpwstr>_Toc399940086</vt:lpwstr>
      </vt:variant>
      <vt:variant>
        <vt:i4>2031678</vt:i4>
      </vt:variant>
      <vt:variant>
        <vt:i4>416</vt:i4>
      </vt:variant>
      <vt:variant>
        <vt:i4>0</vt:i4>
      </vt:variant>
      <vt:variant>
        <vt:i4>5</vt:i4>
      </vt:variant>
      <vt:variant>
        <vt:lpwstr/>
      </vt:variant>
      <vt:variant>
        <vt:lpwstr>_Toc399940085</vt:lpwstr>
      </vt:variant>
      <vt:variant>
        <vt:i4>2031678</vt:i4>
      </vt:variant>
      <vt:variant>
        <vt:i4>410</vt:i4>
      </vt:variant>
      <vt:variant>
        <vt:i4>0</vt:i4>
      </vt:variant>
      <vt:variant>
        <vt:i4>5</vt:i4>
      </vt:variant>
      <vt:variant>
        <vt:lpwstr/>
      </vt:variant>
      <vt:variant>
        <vt:lpwstr>_Toc399940084</vt:lpwstr>
      </vt:variant>
      <vt:variant>
        <vt:i4>2031678</vt:i4>
      </vt:variant>
      <vt:variant>
        <vt:i4>407</vt:i4>
      </vt:variant>
      <vt:variant>
        <vt:i4>0</vt:i4>
      </vt:variant>
      <vt:variant>
        <vt:i4>5</vt:i4>
      </vt:variant>
      <vt:variant>
        <vt:lpwstr/>
      </vt:variant>
      <vt:variant>
        <vt:lpwstr>_Toc399940083</vt:lpwstr>
      </vt:variant>
      <vt:variant>
        <vt:i4>2031678</vt:i4>
      </vt:variant>
      <vt:variant>
        <vt:i4>401</vt:i4>
      </vt:variant>
      <vt:variant>
        <vt:i4>0</vt:i4>
      </vt:variant>
      <vt:variant>
        <vt:i4>5</vt:i4>
      </vt:variant>
      <vt:variant>
        <vt:lpwstr/>
      </vt:variant>
      <vt:variant>
        <vt:lpwstr>_Toc399940082</vt:lpwstr>
      </vt:variant>
      <vt:variant>
        <vt:i4>2031678</vt:i4>
      </vt:variant>
      <vt:variant>
        <vt:i4>395</vt:i4>
      </vt:variant>
      <vt:variant>
        <vt:i4>0</vt:i4>
      </vt:variant>
      <vt:variant>
        <vt:i4>5</vt:i4>
      </vt:variant>
      <vt:variant>
        <vt:lpwstr/>
      </vt:variant>
      <vt:variant>
        <vt:lpwstr>_Toc399940081</vt:lpwstr>
      </vt:variant>
      <vt:variant>
        <vt:i4>1048638</vt:i4>
      </vt:variant>
      <vt:variant>
        <vt:i4>389</vt:i4>
      </vt:variant>
      <vt:variant>
        <vt:i4>0</vt:i4>
      </vt:variant>
      <vt:variant>
        <vt:i4>5</vt:i4>
      </vt:variant>
      <vt:variant>
        <vt:lpwstr/>
      </vt:variant>
      <vt:variant>
        <vt:lpwstr>_Toc399940079</vt:lpwstr>
      </vt:variant>
      <vt:variant>
        <vt:i4>1048638</vt:i4>
      </vt:variant>
      <vt:variant>
        <vt:i4>386</vt:i4>
      </vt:variant>
      <vt:variant>
        <vt:i4>0</vt:i4>
      </vt:variant>
      <vt:variant>
        <vt:i4>5</vt:i4>
      </vt:variant>
      <vt:variant>
        <vt:lpwstr/>
      </vt:variant>
      <vt:variant>
        <vt:lpwstr>_Toc399940078</vt:lpwstr>
      </vt:variant>
      <vt:variant>
        <vt:i4>1048638</vt:i4>
      </vt:variant>
      <vt:variant>
        <vt:i4>380</vt:i4>
      </vt:variant>
      <vt:variant>
        <vt:i4>0</vt:i4>
      </vt:variant>
      <vt:variant>
        <vt:i4>5</vt:i4>
      </vt:variant>
      <vt:variant>
        <vt:lpwstr/>
      </vt:variant>
      <vt:variant>
        <vt:lpwstr>_Toc399940077</vt:lpwstr>
      </vt:variant>
      <vt:variant>
        <vt:i4>1048638</vt:i4>
      </vt:variant>
      <vt:variant>
        <vt:i4>377</vt:i4>
      </vt:variant>
      <vt:variant>
        <vt:i4>0</vt:i4>
      </vt:variant>
      <vt:variant>
        <vt:i4>5</vt:i4>
      </vt:variant>
      <vt:variant>
        <vt:lpwstr/>
      </vt:variant>
      <vt:variant>
        <vt:lpwstr>_Toc399940076</vt:lpwstr>
      </vt:variant>
      <vt:variant>
        <vt:i4>1114174</vt:i4>
      </vt:variant>
      <vt:variant>
        <vt:i4>371</vt:i4>
      </vt:variant>
      <vt:variant>
        <vt:i4>0</vt:i4>
      </vt:variant>
      <vt:variant>
        <vt:i4>5</vt:i4>
      </vt:variant>
      <vt:variant>
        <vt:lpwstr/>
      </vt:variant>
      <vt:variant>
        <vt:lpwstr>_Toc399940066</vt:lpwstr>
      </vt:variant>
      <vt:variant>
        <vt:i4>1114174</vt:i4>
      </vt:variant>
      <vt:variant>
        <vt:i4>368</vt:i4>
      </vt:variant>
      <vt:variant>
        <vt:i4>0</vt:i4>
      </vt:variant>
      <vt:variant>
        <vt:i4>5</vt:i4>
      </vt:variant>
      <vt:variant>
        <vt:lpwstr/>
      </vt:variant>
      <vt:variant>
        <vt:lpwstr>_Toc399940065</vt:lpwstr>
      </vt:variant>
      <vt:variant>
        <vt:i4>1114174</vt:i4>
      </vt:variant>
      <vt:variant>
        <vt:i4>362</vt:i4>
      </vt:variant>
      <vt:variant>
        <vt:i4>0</vt:i4>
      </vt:variant>
      <vt:variant>
        <vt:i4>5</vt:i4>
      </vt:variant>
      <vt:variant>
        <vt:lpwstr/>
      </vt:variant>
      <vt:variant>
        <vt:lpwstr>_Toc399940060</vt:lpwstr>
      </vt:variant>
      <vt:variant>
        <vt:i4>1179710</vt:i4>
      </vt:variant>
      <vt:variant>
        <vt:i4>359</vt:i4>
      </vt:variant>
      <vt:variant>
        <vt:i4>0</vt:i4>
      </vt:variant>
      <vt:variant>
        <vt:i4>5</vt:i4>
      </vt:variant>
      <vt:variant>
        <vt:lpwstr/>
      </vt:variant>
      <vt:variant>
        <vt:lpwstr>_Toc399940059</vt:lpwstr>
      </vt:variant>
      <vt:variant>
        <vt:i4>1179710</vt:i4>
      </vt:variant>
      <vt:variant>
        <vt:i4>353</vt:i4>
      </vt:variant>
      <vt:variant>
        <vt:i4>0</vt:i4>
      </vt:variant>
      <vt:variant>
        <vt:i4>5</vt:i4>
      </vt:variant>
      <vt:variant>
        <vt:lpwstr/>
      </vt:variant>
      <vt:variant>
        <vt:lpwstr>_Toc399940058</vt:lpwstr>
      </vt:variant>
      <vt:variant>
        <vt:i4>1179710</vt:i4>
      </vt:variant>
      <vt:variant>
        <vt:i4>350</vt:i4>
      </vt:variant>
      <vt:variant>
        <vt:i4>0</vt:i4>
      </vt:variant>
      <vt:variant>
        <vt:i4>5</vt:i4>
      </vt:variant>
      <vt:variant>
        <vt:lpwstr/>
      </vt:variant>
      <vt:variant>
        <vt:lpwstr>_Toc399940057</vt:lpwstr>
      </vt:variant>
      <vt:variant>
        <vt:i4>1179710</vt:i4>
      </vt:variant>
      <vt:variant>
        <vt:i4>344</vt:i4>
      </vt:variant>
      <vt:variant>
        <vt:i4>0</vt:i4>
      </vt:variant>
      <vt:variant>
        <vt:i4>5</vt:i4>
      </vt:variant>
      <vt:variant>
        <vt:lpwstr/>
      </vt:variant>
      <vt:variant>
        <vt:lpwstr>_Toc399940056</vt:lpwstr>
      </vt:variant>
      <vt:variant>
        <vt:i4>1179710</vt:i4>
      </vt:variant>
      <vt:variant>
        <vt:i4>341</vt:i4>
      </vt:variant>
      <vt:variant>
        <vt:i4>0</vt:i4>
      </vt:variant>
      <vt:variant>
        <vt:i4>5</vt:i4>
      </vt:variant>
      <vt:variant>
        <vt:lpwstr/>
      </vt:variant>
      <vt:variant>
        <vt:lpwstr>_Toc399940055</vt:lpwstr>
      </vt:variant>
      <vt:variant>
        <vt:i4>1179710</vt:i4>
      </vt:variant>
      <vt:variant>
        <vt:i4>335</vt:i4>
      </vt:variant>
      <vt:variant>
        <vt:i4>0</vt:i4>
      </vt:variant>
      <vt:variant>
        <vt:i4>5</vt:i4>
      </vt:variant>
      <vt:variant>
        <vt:lpwstr/>
      </vt:variant>
      <vt:variant>
        <vt:lpwstr>_Toc399940054</vt:lpwstr>
      </vt:variant>
      <vt:variant>
        <vt:i4>1179710</vt:i4>
      </vt:variant>
      <vt:variant>
        <vt:i4>332</vt:i4>
      </vt:variant>
      <vt:variant>
        <vt:i4>0</vt:i4>
      </vt:variant>
      <vt:variant>
        <vt:i4>5</vt:i4>
      </vt:variant>
      <vt:variant>
        <vt:lpwstr/>
      </vt:variant>
      <vt:variant>
        <vt:lpwstr>_Toc399940053</vt:lpwstr>
      </vt:variant>
      <vt:variant>
        <vt:i4>1179710</vt:i4>
      </vt:variant>
      <vt:variant>
        <vt:i4>329</vt:i4>
      </vt:variant>
      <vt:variant>
        <vt:i4>0</vt:i4>
      </vt:variant>
      <vt:variant>
        <vt:i4>5</vt:i4>
      </vt:variant>
      <vt:variant>
        <vt:lpwstr/>
      </vt:variant>
      <vt:variant>
        <vt:lpwstr>_Toc399940052</vt:lpwstr>
      </vt:variant>
      <vt:variant>
        <vt:i4>1179710</vt:i4>
      </vt:variant>
      <vt:variant>
        <vt:i4>323</vt:i4>
      </vt:variant>
      <vt:variant>
        <vt:i4>0</vt:i4>
      </vt:variant>
      <vt:variant>
        <vt:i4>5</vt:i4>
      </vt:variant>
      <vt:variant>
        <vt:lpwstr/>
      </vt:variant>
      <vt:variant>
        <vt:lpwstr>_Toc399940051</vt:lpwstr>
      </vt:variant>
      <vt:variant>
        <vt:i4>1179710</vt:i4>
      </vt:variant>
      <vt:variant>
        <vt:i4>320</vt:i4>
      </vt:variant>
      <vt:variant>
        <vt:i4>0</vt:i4>
      </vt:variant>
      <vt:variant>
        <vt:i4>5</vt:i4>
      </vt:variant>
      <vt:variant>
        <vt:lpwstr/>
      </vt:variant>
      <vt:variant>
        <vt:lpwstr>_Toc399940050</vt:lpwstr>
      </vt:variant>
      <vt:variant>
        <vt:i4>1245246</vt:i4>
      </vt:variant>
      <vt:variant>
        <vt:i4>314</vt:i4>
      </vt:variant>
      <vt:variant>
        <vt:i4>0</vt:i4>
      </vt:variant>
      <vt:variant>
        <vt:i4>5</vt:i4>
      </vt:variant>
      <vt:variant>
        <vt:lpwstr/>
      </vt:variant>
      <vt:variant>
        <vt:lpwstr>_Toc399940047</vt:lpwstr>
      </vt:variant>
      <vt:variant>
        <vt:i4>1245246</vt:i4>
      </vt:variant>
      <vt:variant>
        <vt:i4>311</vt:i4>
      </vt:variant>
      <vt:variant>
        <vt:i4>0</vt:i4>
      </vt:variant>
      <vt:variant>
        <vt:i4>5</vt:i4>
      </vt:variant>
      <vt:variant>
        <vt:lpwstr/>
      </vt:variant>
      <vt:variant>
        <vt:lpwstr>_Toc399940046</vt:lpwstr>
      </vt:variant>
      <vt:variant>
        <vt:i4>1245246</vt:i4>
      </vt:variant>
      <vt:variant>
        <vt:i4>305</vt:i4>
      </vt:variant>
      <vt:variant>
        <vt:i4>0</vt:i4>
      </vt:variant>
      <vt:variant>
        <vt:i4>5</vt:i4>
      </vt:variant>
      <vt:variant>
        <vt:lpwstr/>
      </vt:variant>
      <vt:variant>
        <vt:lpwstr>_Toc399940043</vt:lpwstr>
      </vt:variant>
      <vt:variant>
        <vt:i4>1376318</vt:i4>
      </vt:variant>
      <vt:variant>
        <vt:i4>299</vt:i4>
      </vt:variant>
      <vt:variant>
        <vt:i4>0</vt:i4>
      </vt:variant>
      <vt:variant>
        <vt:i4>5</vt:i4>
      </vt:variant>
      <vt:variant>
        <vt:lpwstr/>
      </vt:variant>
      <vt:variant>
        <vt:lpwstr>_Toc399940029</vt:lpwstr>
      </vt:variant>
      <vt:variant>
        <vt:i4>1376318</vt:i4>
      </vt:variant>
      <vt:variant>
        <vt:i4>296</vt:i4>
      </vt:variant>
      <vt:variant>
        <vt:i4>0</vt:i4>
      </vt:variant>
      <vt:variant>
        <vt:i4>5</vt:i4>
      </vt:variant>
      <vt:variant>
        <vt:lpwstr/>
      </vt:variant>
      <vt:variant>
        <vt:lpwstr>_Toc399940028</vt:lpwstr>
      </vt:variant>
      <vt:variant>
        <vt:i4>1376318</vt:i4>
      </vt:variant>
      <vt:variant>
        <vt:i4>290</vt:i4>
      </vt:variant>
      <vt:variant>
        <vt:i4>0</vt:i4>
      </vt:variant>
      <vt:variant>
        <vt:i4>5</vt:i4>
      </vt:variant>
      <vt:variant>
        <vt:lpwstr/>
      </vt:variant>
      <vt:variant>
        <vt:lpwstr>_Toc399940027</vt:lpwstr>
      </vt:variant>
      <vt:variant>
        <vt:i4>1376318</vt:i4>
      </vt:variant>
      <vt:variant>
        <vt:i4>287</vt:i4>
      </vt:variant>
      <vt:variant>
        <vt:i4>0</vt:i4>
      </vt:variant>
      <vt:variant>
        <vt:i4>5</vt:i4>
      </vt:variant>
      <vt:variant>
        <vt:lpwstr/>
      </vt:variant>
      <vt:variant>
        <vt:lpwstr>_Toc399940026</vt:lpwstr>
      </vt:variant>
      <vt:variant>
        <vt:i4>1376318</vt:i4>
      </vt:variant>
      <vt:variant>
        <vt:i4>281</vt:i4>
      </vt:variant>
      <vt:variant>
        <vt:i4>0</vt:i4>
      </vt:variant>
      <vt:variant>
        <vt:i4>5</vt:i4>
      </vt:variant>
      <vt:variant>
        <vt:lpwstr/>
      </vt:variant>
      <vt:variant>
        <vt:lpwstr>_Toc399940025</vt:lpwstr>
      </vt:variant>
      <vt:variant>
        <vt:i4>1507376</vt:i4>
      </vt:variant>
      <vt:variant>
        <vt:i4>275</vt:i4>
      </vt:variant>
      <vt:variant>
        <vt:i4>0</vt:i4>
      </vt:variant>
      <vt:variant>
        <vt:i4>5</vt:i4>
      </vt:variant>
      <vt:variant>
        <vt:lpwstr/>
      </vt:variant>
      <vt:variant>
        <vt:lpwstr>_Toc399939992</vt:lpwstr>
      </vt:variant>
      <vt:variant>
        <vt:i4>1507376</vt:i4>
      </vt:variant>
      <vt:variant>
        <vt:i4>272</vt:i4>
      </vt:variant>
      <vt:variant>
        <vt:i4>0</vt:i4>
      </vt:variant>
      <vt:variant>
        <vt:i4>5</vt:i4>
      </vt:variant>
      <vt:variant>
        <vt:lpwstr/>
      </vt:variant>
      <vt:variant>
        <vt:lpwstr>_Toc399939991</vt:lpwstr>
      </vt:variant>
      <vt:variant>
        <vt:i4>1769520</vt:i4>
      </vt:variant>
      <vt:variant>
        <vt:i4>266</vt:i4>
      </vt:variant>
      <vt:variant>
        <vt:i4>0</vt:i4>
      </vt:variant>
      <vt:variant>
        <vt:i4>5</vt:i4>
      </vt:variant>
      <vt:variant>
        <vt:lpwstr/>
      </vt:variant>
      <vt:variant>
        <vt:lpwstr>_Toc399939951</vt:lpwstr>
      </vt:variant>
      <vt:variant>
        <vt:i4>1769520</vt:i4>
      </vt:variant>
      <vt:variant>
        <vt:i4>263</vt:i4>
      </vt:variant>
      <vt:variant>
        <vt:i4>0</vt:i4>
      </vt:variant>
      <vt:variant>
        <vt:i4>5</vt:i4>
      </vt:variant>
      <vt:variant>
        <vt:lpwstr/>
      </vt:variant>
      <vt:variant>
        <vt:lpwstr>_Toc399939950</vt:lpwstr>
      </vt:variant>
      <vt:variant>
        <vt:i4>1703984</vt:i4>
      </vt:variant>
      <vt:variant>
        <vt:i4>257</vt:i4>
      </vt:variant>
      <vt:variant>
        <vt:i4>0</vt:i4>
      </vt:variant>
      <vt:variant>
        <vt:i4>5</vt:i4>
      </vt:variant>
      <vt:variant>
        <vt:lpwstr/>
      </vt:variant>
      <vt:variant>
        <vt:lpwstr>_Toc399939947</vt:lpwstr>
      </vt:variant>
      <vt:variant>
        <vt:i4>1703984</vt:i4>
      </vt:variant>
      <vt:variant>
        <vt:i4>254</vt:i4>
      </vt:variant>
      <vt:variant>
        <vt:i4>0</vt:i4>
      </vt:variant>
      <vt:variant>
        <vt:i4>5</vt:i4>
      </vt:variant>
      <vt:variant>
        <vt:lpwstr/>
      </vt:variant>
      <vt:variant>
        <vt:lpwstr>_Toc399939946</vt:lpwstr>
      </vt:variant>
      <vt:variant>
        <vt:i4>1703984</vt:i4>
      </vt:variant>
      <vt:variant>
        <vt:i4>248</vt:i4>
      </vt:variant>
      <vt:variant>
        <vt:i4>0</vt:i4>
      </vt:variant>
      <vt:variant>
        <vt:i4>5</vt:i4>
      </vt:variant>
      <vt:variant>
        <vt:lpwstr/>
      </vt:variant>
      <vt:variant>
        <vt:lpwstr>_Toc399939943</vt:lpwstr>
      </vt:variant>
      <vt:variant>
        <vt:i4>1703984</vt:i4>
      </vt:variant>
      <vt:variant>
        <vt:i4>245</vt:i4>
      </vt:variant>
      <vt:variant>
        <vt:i4>0</vt:i4>
      </vt:variant>
      <vt:variant>
        <vt:i4>5</vt:i4>
      </vt:variant>
      <vt:variant>
        <vt:lpwstr/>
      </vt:variant>
      <vt:variant>
        <vt:lpwstr>_Toc399939942</vt:lpwstr>
      </vt:variant>
      <vt:variant>
        <vt:i4>1900592</vt:i4>
      </vt:variant>
      <vt:variant>
        <vt:i4>239</vt:i4>
      </vt:variant>
      <vt:variant>
        <vt:i4>0</vt:i4>
      </vt:variant>
      <vt:variant>
        <vt:i4>5</vt:i4>
      </vt:variant>
      <vt:variant>
        <vt:lpwstr/>
      </vt:variant>
      <vt:variant>
        <vt:lpwstr>_Toc399939938</vt:lpwstr>
      </vt:variant>
      <vt:variant>
        <vt:i4>1900592</vt:i4>
      </vt:variant>
      <vt:variant>
        <vt:i4>236</vt:i4>
      </vt:variant>
      <vt:variant>
        <vt:i4>0</vt:i4>
      </vt:variant>
      <vt:variant>
        <vt:i4>5</vt:i4>
      </vt:variant>
      <vt:variant>
        <vt:lpwstr/>
      </vt:variant>
      <vt:variant>
        <vt:lpwstr>_Toc399939937</vt:lpwstr>
      </vt:variant>
      <vt:variant>
        <vt:i4>1900592</vt:i4>
      </vt:variant>
      <vt:variant>
        <vt:i4>230</vt:i4>
      </vt:variant>
      <vt:variant>
        <vt:i4>0</vt:i4>
      </vt:variant>
      <vt:variant>
        <vt:i4>5</vt:i4>
      </vt:variant>
      <vt:variant>
        <vt:lpwstr/>
      </vt:variant>
      <vt:variant>
        <vt:lpwstr>_Toc399939934</vt:lpwstr>
      </vt:variant>
      <vt:variant>
        <vt:i4>1900592</vt:i4>
      </vt:variant>
      <vt:variant>
        <vt:i4>227</vt:i4>
      </vt:variant>
      <vt:variant>
        <vt:i4>0</vt:i4>
      </vt:variant>
      <vt:variant>
        <vt:i4>5</vt:i4>
      </vt:variant>
      <vt:variant>
        <vt:lpwstr/>
      </vt:variant>
      <vt:variant>
        <vt:lpwstr>_Toc399939933</vt:lpwstr>
      </vt:variant>
      <vt:variant>
        <vt:i4>1835056</vt:i4>
      </vt:variant>
      <vt:variant>
        <vt:i4>221</vt:i4>
      </vt:variant>
      <vt:variant>
        <vt:i4>0</vt:i4>
      </vt:variant>
      <vt:variant>
        <vt:i4>5</vt:i4>
      </vt:variant>
      <vt:variant>
        <vt:lpwstr/>
      </vt:variant>
      <vt:variant>
        <vt:lpwstr>_Toc399939929</vt:lpwstr>
      </vt:variant>
      <vt:variant>
        <vt:i4>1835056</vt:i4>
      </vt:variant>
      <vt:variant>
        <vt:i4>218</vt:i4>
      </vt:variant>
      <vt:variant>
        <vt:i4>0</vt:i4>
      </vt:variant>
      <vt:variant>
        <vt:i4>5</vt:i4>
      </vt:variant>
      <vt:variant>
        <vt:lpwstr/>
      </vt:variant>
      <vt:variant>
        <vt:lpwstr>_Toc399939928</vt:lpwstr>
      </vt:variant>
      <vt:variant>
        <vt:i4>1835056</vt:i4>
      </vt:variant>
      <vt:variant>
        <vt:i4>212</vt:i4>
      </vt:variant>
      <vt:variant>
        <vt:i4>0</vt:i4>
      </vt:variant>
      <vt:variant>
        <vt:i4>5</vt:i4>
      </vt:variant>
      <vt:variant>
        <vt:lpwstr/>
      </vt:variant>
      <vt:variant>
        <vt:lpwstr>_Toc399939922</vt:lpwstr>
      </vt:variant>
      <vt:variant>
        <vt:i4>1835056</vt:i4>
      </vt:variant>
      <vt:variant>
        <vt:i4>209</vt:i4>
      </vt:variant>
      <vt:variant>
        <vt:i4>0</vt:i4>
      </vt:variant>
      <vt:variant>
        <vt:i4>5</vt:i4>
      </vt:variant>
      <vt:variant>
        <vt:lpwstr/>
      </vt:variant>
      <vt:variant>
        <vt:lpwstr>_Toc399939921</vt:lpwstr>
      </vt:variant>
      <vt:variant>
        <vt:i4>1835056</vt:i4>
      </vt:variant>
      <vt:variant>
        <vt:i4>203</vt:i4>
      </vt:variant>
      <vt:variant>
        <vt:i4>0</vt:i4>
      </vt:variant>
      <vt:variant>
        <vt:i4>5</vt:i4>
      </vt:variant>
      <vt:variant>
        <vt:lpwstr/>
      </vt:variant>
      <vt:variant>
        <vt:lpwstr>_Toc399939920</vt:lpwstr>
      </vt:variant>
      <vt:variant>
        <vt:i4>2031664</vt:i4>
      </vt:variant>
      <vt:variant>
        <vt:i4>200</vt:i4>
      </vt:variant>
      <vt:variant>
        <vt:i4>0</vt:i4>
      </vt:variant>
      <vt:variant>
        <vt:i4>5</vt:i4>
      </vt:variant>
      <vt:variant>
        <vt:lpwstr/>
      </vt:variant>
      <vt:variant>
        <vt:lpwstr>_Toc399939919</vt:lpwstr>
      </vt:variant>
      <vt:variant>
        <vt:i4>2031664</vt:i4>
      </vt:variant>
      <vt:variant>
        <vt:i4>194</vt:i4>
      </vt:variant>
      <vt:variant>
        <vt:i4>0</vt:i4>
      </vt:variant>
      <vt:variant>
        <vt:i4>5</vt:i4>
      </vt:variant>
      <vt:variant>
        <vt:lpwstr/>
      </vt:variant>
      <vt:variant>
        <vt:lpwstr>_Toc399939918</vt:lpwstr>
      </vt:variant>
      <vt:variant>
        <vt:i4>2031664</vt:i4>
      </vt:variant>
      <vt:variant>
        <vt:i4>191</vt:i4>
      </vt:variant>
      <vt:variant>
        <vt:i4>0</vt:i4>
      </vt:variant>
      <vt:variant>
        <vt:i4>5</vt:i4>
      </vt:variant>
      <vt:variant>
        <vt:lpwstr/>
      </vt:variant>
      <vt:variant>
        <vt:lpwstr>_Toc399939917</vt:lpwstr>
      </vt:variant>
      <vt:variant>
        <vt:i4>2031664</vt:i4>
      </vt:variant>
      <vt:variant>
        <vt:i4>185</vt:i4>
      </vt:variant>
      <vt:variant>
        <vt:i4>0</vt:i4>
      </vt:variant>
      <vt:variant>
        <vt:i4>5</vt:i4>
      </vt:variant>
      <vt:variant>
        <vt:lpwstr/>
      </vt:variant>
      <vt:variant>
        <vt:lpwstr>_Toc399939916</vt:lpwstr>
      </vt:variant>
      <vt:variant>
        <vt:i4>2031664</vt:i4>
      </vt:variant>
      <vt:variant>
        <vt:i4>182</vt:i4>
      </vt:variant>
      <vt:variant>
        <vt:i4>0</vt:i4>
      </vt:variant>
      <vt:variant>
        <vt:i4>5</vt:i4>
      </vt:variant>
      <vt:variant>
        <vt:lpwstr/>
      </vt:variant>
      <vt:variant>
        <vt:lpwstr>_Toc399939915</vt:lpwstr>
      </vt:variant>
      <vt:variant>
        <vt:i4>2031664</vt:i4>
      </vt:variant>
      <vt:variant>
        <vt:i4>176</vt:i4>
      </vt:variant>
      <vt:variant>
        <vt:i4>0</vt:i4>
      </vt:variant>
      <vt:variant>
        <vt:i4>5</vt:i4>
      </vt:variant>
      <vt:variant>
        <vt:lpwstr/>
      </vt:variant>
      <vt:variant>
        <vt:lpwstr>_Toc399939914</vt:lpwstr>
      </vt:variant>
      <vt:variant>
        <vt:i4>2031664</vt:i4>
      </vt:variant>
      <vt:variant>
        <vt:i4>173</vt:i4>
      </vt:variant>
      <vt:variant>
        <vt:i4>0</vt:i4>
      </vt:variant>
      <vt:variant>
        <vt:i4>5</vt:i4>
      </vt:variant>
      <vt:variant>
        <vt:lpwstr/>
      </vt:variant>
      <vt:variant>
        <vt:lpwstr>_Toc399939913</vt:lpwstr>
      </vt:variant>
      <vt:variant>
        <vt:i4>2031664</vt:i4>
      </vt:variant>
      <vt:variant>
        <vt:i4>167</vt:i4>
      </vt:variant>
      <vt:variant>
        <vt:i4>0</vt:i4>
      </vt:variant>
      <vt:variant>
        <vt:i4>5</vt:i4>
      </vt:variant>
      <vt:variant>
        <vt:lpwstr/>
      </vt:variant>
      <vt:variant>
        <vt:lpwstr>_Toc399939912</vt:lpwstr>
      </vt:variant>
      <vt:variant>
        <vt:i4>2031664</vt:i4>
      </vt:variant>
      <vt:variant>
        <vt:i4>164</vt:i4>
      </vt:variant>
      <vt:variant>
        <vt:i4>0</vt:i4>
      </vt:variant>
      <vt:variant>
        <vt:i4>5</vt:i4>
      </vt:variant>
      <vt:variant>
        <vt:lpwstr/>
      </vt:variant>
      <vt:variant>
        <vt:lpwstr>_Toc399939911</vt:lpwstr>
      </vt:variant>
      <vt:variant>
        <vt:i4>2031664</vt:i4>
      </vt:variant>
      <vt:variant>
        <vt:i4>158</vt:i4>
      </vt:variant>
      <vt:variant>
        <vt:i4>0</vt:i4>
      </vt:variant>
      <vt:variant>
        <vt:i4>5</vt:i4>
      </vt:variant>
      <vt:variant>
        <vt:lpwstr/>
      </vt:variant>
      <vt:variant>
        <vt:lpwstr>_Toc399939910</vt:lpwstr>
      </vt:variant>
      <vt:variant>
        <vt:i4>1966128</vt:i4>
      </vt:variant>
      <vt:variant>
        <vt:i4>155</vt:i4>
      </vt:variant>
      <vt:variant>
        <vt:i4>0</vt:i4>
      </vt:variant>
      <vt:variant>
        <vt:i4>5</vt:i4>
      </vt:variant>
      <vt:variant>
        <vt:lpwstr/>
      </vt:variant>
      <vt:variant>
        <vt:lpwstr>_Toc399939909</vt:lpwstr>
      </vt:variant>
      <vt:variant>
        <vt:i4>1966128</vt:i4>
      </vt:variant>
      <vt:variant>
        <vt:i4>149</vt:i4>
      </vt:variant>
      <vt:variant>
        <vt:i4>0</vt:i4>
      </vt:variant>
      <vt:variant>
        <vt:i4>5</vt:i4>
      </vt:variant>
      <vt:variant>
        <vt:lpwstr/>
      </vt:variant>
      <vt:variant>
        <vt:lpwstr>_Toc399939908</vt:lpwstr>
      </vt:variant>
      <vt:variant>
        <vt:i4>1966128</vt:i4>
      </vt:variant>
      <vt:variant>
        <vt:i4>146</vt:i4>
      </vt:variant>
      <vt:variant>
        <vt:i4>0</vt:i4>
      </vt:variant>
      <vt:variant>
        <vt:i4>5</vt:i4>
      </vt:variant>
      <vt:variant>
        <vt:lpwstr/>
      </vt:variant>
      <vt:variant>
        <vt:lpwstr>_Toc399939907</vt:lpwstr>
      </vt:variant>
      <vt:variant>
        <vt:i4>1966128</vt:i4>
      </vt:variant>
      <vt:variant>
        <vt:i4>140</vt:i4>
      </vt:variant>
      <vt:variant>
        <vt:i4>0</vt:i4>
      </vt:variant>
      <vt:variant>
        <vt:i4>5</vt:i4>
      </vt:variant>
      <vt:variant>
        <vt:lpwstr/>
      </vt:variant>
      <vt:variant>
        <vt:lpwstr>_Toc399939906</vt:lpwstr>
      </vt:variant>
      <vt:variant>
        <vt:i4>1966128</vt:i4>
      </vt:variant>
      <vt:variant>
        <vt:i4>137</vt:i4>
      </vt:variant>
      <vt:variant>
        <vt:i4>0</vt:i4>
      </vt:variant>
      <vt:variant>
        <vt:i4>5</vt:i4>
      </vt:variant>
      <vt:variant>
        <vt:lpwstr/>
      </vt:variant>
      <vt:variant>
        <vt:lpwstr>_Toc399939905</vt:lpwstr>
      </vt:variant>
      <vt:variant>
        <vt:i4>1966128</vt:i4>
      </vt:variant>
      <vt:variant>
        <vt:i4>131</vt:i4>
      </vt:variant>
      <vt:variant>
        <vt:i4>0</vt:i4>
      </vt:variant>
      <vt:variant>
        <vt:i4>5</vt:i4>
      </vt:variant>
      <vt:variant>
        <vt:lpwstr/>
      </vt:variant>
      <vt:variant>
        <vt:lpwstr>_Toc399939904</vt:lpwstr>
      </vt:variant>
      <vt:variant>
        <vt:i4>1966128</vt:i4>
      </vt:variant>
      <vt:variant>
        <vt:i4>128</vt:i4>
      </vt:variant>
      <vt:variant>
        <vt:i4>0</vt:i4>
      </vt:variant>
      <vt:variant>
        <vt:i4>5</vt:i4>
      </vt:variant>
      <vt:variant>
        <vt:lpwstr/>
      </vt:variant>
      <vt:variant>
        <vt:lpwstr>_Toc399939903</vt:lpwstr>
      </vt:variant>
      <vt:variant>
        <vt:i4>1966128</vt:i4>
      </vt:variant>
      <vt:variant>
        <vt:i4>122</vt:i4>
      </vt:variant>
      <vt:variant>
        <vt:i4>0</vt:i4>
      </vt:variant>
      <vt:variant>
        <vt:i4>5</vt:i4>
      </vt:variant>
      <vt:variant>
        <vt:lpwstr/>
      </vt:variant>
      <vt:variant>
        <vt:lpwstr>_Toc399939902</vt:lpwstr>
      </vt:variant>
      <vt:variant>
        <vt:i4>1966128</vt:i4>
      </vt:variant>
      <vt:variant>
        <vt:i4>119</vt:i4>
      </vt:variant>
      <vt:variant>
        <vt:i4>0</vt:i4>
      </vt:variant>
      <vt:variant>
        <vt:i4>5</vt:i4>
      </vt:variant>
      <vt:variant>
        <vt:lpwstr/>
      </vt:variant>
      <vt:variant>
        <vt:lpwstr>_Toc399939901</vt:lpwstr>
      </vt:variant>
      <vt:variant>
        <vt:i4>1966128</vt:i4>
      </vt:variant>
      <vt:variant>
        <vt:i4>113</vt:i4>
      </vt:variant>
      <vt:variant>
        <vt:i4>0</vt:i4>
      </vt:variant>
      <vt:variant>
        <vt:i4>5</vt:i4>
      </vt:variant>
      <vt:variant>
        <vt:lpwstr/>
      </vt:variant>
      <vt:variant>
        <vt:lpwstr>_Toc399939900</vt:lpwstr>
      </vt:variant>
      <vt:variant>
        <vt:i4>1507377</vt:i4>
      </vt:variant>
      <vt:variant>
        <vt:i4>110</vt:i4>
      </vt:variant>
      <vt:variant>
        <vt:i4>0</vt:i4>
      </vt:variant>
      <vt:variant>
        <vt:i4>5</vt:i4>
      </vt:variant>
      <vt:variant>
        <vt:lpwstr/>
      </vt:variant>
      <vt:variant>
        <vt:lpwstr>_Toc399939899</vt:lpwstr>
      </vt:variant>
      <vt:variant>
        <vt:i4>1507377</vt:i4>
      </vt:variant>
      <vt:variant>
        <vt:i4>104</vt:i4>
      </vt:variant>
      <vt:variant>
        <vt:i4>0</vt:i4>
      </vt:variant>
      <vt:variant>
        <vt:i4>5</vt:i4>
      </vt:variant>
      <vt:variant>
        <vt:lpwstr/>
      </vt:variant>
      <vt:variant>
        <vt:lpwstr>_Toc399939898</vt:lpwstr>
      </vt:variant>
      <vt:variant>
        <vt:i4>1507377</vt:i4>
      </vt:variant>
      <vt:variant>
        <vt:i4>101</vt:i4>
      </vt:variant>
      <vt:variant>
        <vt:i4>0</vt:i4>
      </vt:variant>
      <vt:variant>
        <vt:i4>5</vt:i4>
      </vt:variant>
      <vt:variant>
        <vt:lpwstr/>
      </vt:variant>
      <vt:variant>
        <vt:lpwstr>_Toc399939897</vt:lpwstr>
      </vt:variant>
      <vt:variant>
        <vt:i4>1507377</vt:i4>
      </vt:variant>
      <vt:variant>
        <vt:i4>95</vt:i4>
      </vt:variant>
      <vt:variant>
        <vt:i4>0</vt:i4>
      </vt:variant>
      <vt:variant>
        <vt:i4>5</vt:i4>
      </vt:variant>
      <vt:variant>
        <vt:lpwstr/>
      </vt:variant>
      <vt:variant>
        <vt:lpwstr>_Toc399939893</vt:lpwstr>
      </vt:variant>
      <vt:variant>
        <vt:i4>1507377</vt:i4>
      </vt:variant>
      <vt:variant>
        <vt:i4>92</vt:i4>
      </vt:variant>
      <vt:variant>
        <vt:i4>0</vt:i4>
      </vt:variant>
      <vt:variant>
        <vt:i4>5</vt:i4>
      </vt:variant>
      <vt:variant>
        <vt:lpwstr/>
      </vt:variant>
      <vt:variant>
        <vt:lpwstr>_Toc399939892</vt:lpwstr>
      </vt:variant>
      <vt:variant>
        <vt:i4>1441841</vt:i4>
      </vt:variant>
      <vt:variant>
        <vt:i4>86</vt:i4>
      </vt:variant>
      <vt:variant>
        <vt:i4>0</vt:i4>
      </vt:variant>
      <vt:variant>
        <vt:i4>5</vt:i4>
      </vt:variant>
      <vt:variant>
        <vt:lpwstr/>
      </vt:variant>
      <vt:variant>
        <vt:lpwstr>_Toc399939888</vt:lpwstr>
      </vt:variant>
      <vt:variant>
        <vt:i4>1441841</vt:i4>
      </vt:variant>
      <vt:variant>
        <vt:i4>83</vt:i4>
      </vt:variant>
      <vt:variant>
        <vt:i4>0</vt:i4>
      </vt:variant>
      <vt:variant>
        <vt:i4>5</vt:i4>
      </vt:variant>
      <vt:variant>
        <vt:lpwstr/>
      </vt:variant>
      <vt:variant>
        <vt:lpwstr>_Toc399939887</vt:lpwstr>
      </vt:variant>
      <vt:variant>
        <vt:i4>1441841</vt:i4>
      </vt:variant>
      <vt:variant>
        <vt:i4>77</vt:i4>
      </vt:variant>
      <vt:variant>
        <vt:i4>0</vt:i4>
      </vt:variant>
      <vt:variant>
        <vt:i4>5</vt:i4>
      </vt:variant>
      <vt:variant>
        <vt:lpwstr/>
      </vt:variant>
      <vt:variant>
        <vt:lpwstr>_Toc399939883</vt:lpwstr>
      </vt:variant>
      <vt:variant>
        <vt:i4>1441841</vt:i4>
      </vt:variant>
      <vt:variant>
        <vt:i4>74</vt:i4>
      </vt:variant>
      <vt:variant>
        <vt:i4>0</vt:i4>
      </vt:variant>
      <vt:variant>
        <vt:i4>5</vt:i4>
      </vt:variant>
      <vt:variant>
        <vt:lpwstr/>
      </vt:variant>
      <vt:variant>
        <vt:lpwstr>_Toc399939882</vt:lpwstr>
      </vt:variant>
      <vt:variant>
        <vt:i4>1441841</vt:i4>
      </vt:variant>
      <vt:variant>
        <vt:i4>68</vt:i4>
      </vt:variant>
      <vt:variant>
        <vt:i4>0</vt:i4>
      </vt:variant>
      <vt:variant>
        <vt:i4>5</vt:i4>
      </vt:variant>
      <vt:variant>
        <vt:lpwstr/>
      </vt:variant>
      <vt:variant>
        <vt:lpwstr>_Toc399939881</vt:lpwstr>
      </vt:variant>
      <vt:variant>
        <vt:i4>1441841</vt:i4>
      </vt:variant>
      <vt:variant>
        <vt:i4>62</vt:i4>
      </vt:variant>
      <vt:variant>
        <vt:i4>0</vt:i4>
      </vt:variant>
      <vt:variant>
        <vt:i4>5</vt:i4>
      </vt:variant>
      <vt:variant>
        <vt:lpwstr/>
      </vt:variant>
      <vt:variant>
        <vt:lpwstr>_Toc399939880</vt:lpwstr>
      </vt:variant>
      <vt:variant>
        <vt:i4>1638449</vt:i4>
      </vt:variant>
      <vt:variant>
        <vt:i4>56</vt:i4>
      </vt:variant>
      <vt:variant>
        <vt:i4>0</vt:i4>
      </vt:variant>
      <vt:variant>
        <vt:i4>5</vt:i4>
      </vt:variant>
      <vt:variant>
        <vt:lpwstr/>
      </vt:variant>
      <vt:variant>
        <vt:lpwstr>_Toc399939879</vt:lpwstr>
      </vt:variant>
      <vt:variant>
        <vt:i4>1638449</vt:i4>
      </vt:variant>
      <vt:variant>
        <vt:i4>50</vt:i4>
      </vt:variant>
      <vt:variant>
        <vt:i4>0</vt:i4>
      </vt:variant>
      <vt:variant>
        <vt:i4>5</vt:i4>
      </vt:variant>
      <vt:variant>
        <vt:lpwstr/>
      </vt:variant>
      <vt:variant>
        <vt:lpwstr>_Toc399939878</vt:lpwstr>
      </vt:variant>
      <vt:variant>
        <vt:i4>1638449</vt:i4>
      </vt:variant>
      <vt:variant>
        <vt:i4>44</vt:i4>
      </vt:variant>
      <vt:variant>
        <vt:i4>0</vt:i4>
      </vt:variant>
      <vt:variant>
        <vt:i4>5</vt:i4>
      </vt:variant>
      <vt:variant>
        <vt:lpwstr/>
      </vt:variant>
      <vt:variant>
        <vt:lpwstr>_Toc399939877</vt:lpwstr>
      </vt:variant>
      <vt:variant>
        <vt:i4>1638449</vt:i4>
      </vt:variant>
      <vt:variant>
        <vt:i4>38</vt:i4>
      </vt:variant>
      <vt:variant>
        <vt:i4>0</vt:i4>
      </vt:variant>
      <vt:variant>
        <vt:i4>5</vt:i4>
      </vt:variant>
      <vt:variant>
        <vt:lpwstr/>
      </vt:variant>
      <vt:variant>
        <vt:lpwstr>_Toc399939874</vt:lpwstr>
      </vt:variant>
      <vt:variant>
        <vt:i4>1638449</vt:i4>
      </vt:variant>
      <vt:variant>
        <vt:i4>32</vt:i4>
      </vt:variant>
      <vt:variant>
        <vt:i4>0</vt:i4>
      </vt:variant>
      <vt:variant>
        <vt:i4>5</vt:i4>
      </vt:variant>
      <vt:variant>
        <vt:lpwstr/>
      </vt:variant>
      <vt:variant>
        <vt:lpwstr>_Toc399939873</vt:lpwstr>
      </vt:variant>
      <vt:variant>
        <vt:i4>1638449</vt:i4>
      </vt:variant>
      <vt:variant>
        <vt:i4>26</vt:i4>
      </vt:variant>
      <vt:variant>
        <vt:i4>0</vt:i4>
      </vt:variant>
      <vt:variant>
        <vt:i4>5</vt:i4>
      </vt:variant>
      <vt:variant>
        <vt:lpwstr/>
      </vt:variant>
      <vt:variant>
        <vt:lpwstr>_Toc399939872</vt:lpwstr>
      </vt:variant>
      <vt:variant>
        <vt:i4>1572913</vt:i4>
      </vt:variant>
      <vt:variant>
        <vt:i4>20</vt:i4>
      </vt:variant>
      <vt:variant>
        <vt:i4>0</vt:i4>
      </vt:variant>
      <vt:variant>
        <vt:i4>5</vt:i4>
      </vt:variant>
      <vt:variant>
        <vt:lpwstr/>
      </vt:variant>
      <vt:variant>
        <vt:lpwstr>_Toc399939867</vt:lpwstr>
      </vt:variant>
      <vt:variant>
        <vt:i4>1572913</vt:i4>
      </vt:variant>
      <vt:variant>
        <vt:i4>14</vt:i4>
      </vt:variant>
      <vt:variant>
        <vt:i4>0</vt:i4>
      </vt:variant>
      <vt:variant>
        <vt:i4>5</vt:i4>
      </vt:variant>
      <vt:variant>
        <vt:lpwstr/>
      </vt:variant>
      <vt:variant>
        <vt:lpwstr>_Toc399939863</vt:lpwstr>
      </vt:variant>
      <vt:variant>
        <vt:i4>1572913</vt:i4>
      </vt:variant>
      <vt:variant>
        <vt:i4>8</vt:i4>
      </vt:variant>
      <vt:variant>
        <vt:i4>0</vt:i4>
      </vt:variant>
      <vt:variant>
        <vt:i4>5</vt:i4>
      </vt:variant>
      <vt:variant>
        <vt:lpwstr/>
      </vt:variant>
      <vt:variant>
        <vt:lpwstr>_Toc399939862</vt:lpwstr>
      </vt:variant>
      <vt:variant>
        <vt:i4>1572913</vt:i4>
      </vt:variant>
      <vt:variant>
        <vt:i4>2</vt:i4>
      </vt:variant>
      <vt:variant>
        <vt:i4>0</vt:i4>
      </vt:variant>
      <vt:variant>
        <vt:i4>5</vt:i4>
      </vt:variant>
      <vt:variant>
        <vt:lpwstr/>
      </vt:variant>
      <vt:variant>
        <vt:lpwstr>_Toc399939861</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Bachelard</dc:creator>
  <cp:lastModifiedBy>06</cp:lastModifiedBy>
  <cp:revision>3</cp:revision>
  <cp:lastPrinted>2015-07-14T13:06:00Z</cp:lastPrinted>
  <dcterms:created xsi:type="dcterms:W3CDTF">2015-07-14T12:57:00Z</dcterms:created>
  <dcterms:modified xsi:type="dcterms:W3CDTF">2015-07-14T13:07:00Z</dcterms:modified>
</cp:coreProperties>
</file>